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F45C4" w14:textId="011CE735" w:rsidR="0BC3259E" w:rsidRDefault="000D6825">
      <w:r>
        <w:rPr>
          <w:noProof/>
        </w:rPr>
        <w:drawing>
          <wp:inline distT="0" distB="0" distL="0" distR="0" wp14:anchorId="142F0FEF" wp14:editId="64DAFF88">
            <wp:extent cx="2234048" cy="602673"/>
            <wp:effectExtent l="0" t="0" r="0" b="6985"/>
            <wp:docPr id="1623906183"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06183" name="Picture 1" descr="Blue text on a white background&#10;&#10;Description automatically generated"/>
                    <pic:cNvPicPr/>
                  </pic:nvPicPr>
                  <pic:blipFill>
                    <a:blip r:embed="rId11"/>
                    <a:stretch>
                      <a:fillRect/>
                    </a:stretch>
                  </pic:blipFill>
                  <pic:spPr>
                    <a:xfrm>
                      <a:off x="0" y="0"/>
                      <a:ext cx="2290076" cy="617787"/>
                    </a:xfrm>
                    <a:prstGeom prst="rect">
                      <a:avLst/>
                    </a:prstGeom>
                  </pic:spPr>
                </pic:pic>
              </a:graphicData>
            </a:graphic>
          </wp:inline>
        </w:drawing>
      </w:r>
    </w:p>
    <w:p w14:paraId="18652BE8" w14:textId="7EE8BB2A" w:rsidR="0030208D" w:rsidRPr="00B47BDA" w:rsidRDefault="0030208D" w:rsidP="004623DD">
      <w:bookmarkStart w:id="0" w:name="_Toc526847744"/>
      <w:bookmarkStart w:id="1" w:name="_Toc527048093"/>
    </w:p>
    <w:p w14:paraId="33F62A94" w14:textId="77777777" w:rsidR="00541F32" w:rsidRPr="00B47BDA" w:rsidRDefault="00541F32" w:rsidP="004623DD"/>
    <w:p w14:paraId="1B64CAB8" w14:textId="17564900" w:rsidR="001E531A" w:rsidRPr="00B47BDA" w:rsidRDefault="001E531A" w:rsidP="004623DD"/>
    <w:p w14:paraId="31BBA611" w14:textId="77777777" w:rsidR="0063356D" w:rsidRPr="00B47BDA" w:rsidRDefault="0063356D" w:rsidP="004623DD"/>
    <w:p w14:paraId="434F0E2D" w14:textId="77777777" w:rsidR="00F836F0" w:rsidRDefault="00F836F0" w:rsidP="004623DD"/>
    <w:p w14:paraId="522B019E" w14:textId="74A24041" w:rsidR="00CC3757" w:rsidRDefault="00CC3757" w:rsidP="004623DD"/>
    <w:p w14:paraId="66A94109" w14:textId="77777777" w:rsidR="00CC3757" w:rsidRDefault="00CC3757" w:rsidP="004623DD"/>
    <w:p w14:paraId="1D9AA695" w14:textId="07B95330" w:rsidR="00CC3757" w:rsidRDefault="00CC3757" w:rsidP="004623DD"/>
    <w:p w14:paraId="7120D31D" w14:textId="77777777" w:rsidR="00CC3757" w:rsidRPr="00B47BDA" w:rsidRDefault="00CC3757" w:rsidP="004623DD"/>
    <w:p w14:paraId="2A58B095" w14:textId="718EF325" w:rsidR="00E66162" w:rsidRPr="00B47BDA" w:rsidRDefault="00050292" w:rsidP="004623DD">
      <w:pPr>
        <w:pStyle w:val="Title"/>
      </w:pPr>
      <w:r>
        <w:t>Integriran</w:t>
      </w:r>
      <w:r w:rsidR="001208C0">
        <w:t>i</w:t>
      </w:r>
      <w:r w:rsidRPr="00B47BDA">
        <w:t xml:space="preserve"> </w:t>
      </w:r>
      <w:r w:rsidR="001208C0" w:rsidRPr="00B47BDA">
        <w:t>nacionalni</w:t>
      </w:r>
    </w:p>
    <w:p w14:paraId="0374294C" w14:textId="37175580" w:rsidR="004A363C" w:rsidRPr="00B47BDA" w:rsidRDefault="001208C0" w:rsidP="004623DD">
      <w:pPr>
        <w:pStyle w:val="Title"/>
      </w:pPr>
      <w:r w:rsidRPr="00B47BDA">
        <w:t xml:space="preserve">energetski </w:t>
      </w:r>
      <w:r w:rsidR="00050292" w:rsidRPr="00B47BDA">
        <w:t xml:space="preserve">i </w:t>
      </w:r>
      <w:r w:rsidRPr="00B47BDA">
        <w:t xml:space="preserve">klimatski </w:t>
      </w:r>
      <w:r w:rsidR="00050292" w:rsidRPr="00B47BDA">
        <w:t>plan</w:t>
      </w:r>
    </w:p>
    <w:p w14:paraId="37289C90" w14:textId="0B154AB1" w:rsidR="00E66162" w:rsidRPr="00B47BDA" w:rsidRDefault="004A363C" w:rsidP="004623DD">
      <w:pPr>
        <w:pStyle w:val="Title"/>
      </w:pPr>
      <w:r w:rsidRPr="00B47BDA">
        <w:t>za Republiku Hrvatsku</w:t>
      </w:r>
      <w:r w:rsidR="00E66162" w:rsidRPr="00B47BDA">
        <w:t xml:space="preserve"> </w:t>
      </w:r>
    </w:p>
    <w:p w14:paraId="4F1F5C7F" w14:textId="1FA0EF3E" w:rsidR="004D5C6B" w:rsidRPr="00B47BDA" w:rsidRDefault="00CC7E0C" w:rsidP="004623DD">
      <w:pPr>
        <w:pStyle w:val="Title"/>
      </w:pPr>
      <w:r w:rsidRPr="00B47BDA">
        <w:t>za r</w:t>
      </w:r>
      <w:r w:rsidR="00050292" w:rsidRPr="00B47BDA">
        <w:t>azdoblje od 2021. do 2030. godine</w:t>
      </w:r>
      <w:r w:rsidR="009C3D2D" w:rsidRPr="00B47BDA">
        <w:t xml:space="preserve"> </w:t>
      </w:r>
    </w:p>
    <w:p w14:paraId="710E1336" w14:textId="4403F60E" w:rsidR="00E66162" w:rsidRPr="00B47BDA" w:rsidRDefault="00E66162" w:rsidP="004623DD"/>
    <w:p w14:paraId="67033F3D" w14:textId="029E044B" w:rsidR="00E66162" w:rsidRDefault="00E66162" w:rsidP="004623DD"/>
    <w:p w14:paraId="6D4325D4" w14:textId="77777777" w:rsidR="00CC3757" w:rsidRDefault="00CC3757" w:rsidP="004623DD"/>
    <w:p w14:paraId="54E30955" w14:textId="77777777" w:rsidR="00CC3757" w:rsidRDefault="00CC3757" w:rsidP="004623DD"/>
    <w:p w14:paraId="3A5CD67E" w14:textId="77777777" w:rsidR="00CC3757" w:rsidRDefault="00CC3757" w:rsidP="004623DD"/>
    <w:p w14:paraId="2F331188" w14:textId="77777777" w:rsidR="00CC3757" w:rsidRDefault="00CC3757" w:rsidP="004623DD"/>
    <w:p w14:paraId="55177B80" w14:textId="77777777" w:rsidR="00CC3757" w:rsidRDefault="00CC3757" w:rsidP="004623DD"/>
    <w:p w14:paraId="21847245" w14:textId="77777777" w:rsidR="00CC3757" w:rsidRDefault="00CC3757" w:rsidP="004623DD"/>
    <w:p w14:paraId="08EC8A17" w14:textId="77777777" w:rsidR="00CC3757" w:rsidRDefault="00CC3757" w:rsidP="004623DD"/>
    <w:p w14:paraId="2C1D0257" w14:textId="77777777" w:rsidR="00CC3757" w:rsidRPr="00B47BDA" w:rsidRDefault="00CC3757" w:rsidP="004623DD"/>
    <w:p w14:paraId="031771C3" w14:textId="62E0DACC" w:rsidR="00E66162" w:rsidRPr="00B47BDA" w:rsidRDefault="005456E1" w:rsidP="004623DD">
      <w:r>
        <w:t>Ožujak</w:t>
      </w:r>
      <w:r w:rsidR="004F15C4" w:rsidRPr="00B47BDA">
        <w:t xml:space="preserve"> </w:t>
      </w:r>
      <w:r w:rsidR="00B70205" w:rsidRPr="00B47BDA">
        <w:t>202</w:t>
      </w:r>
      <w:r w:rsidR="006A7D2F">
        <w:t>5</w:t>
      </w:r>
      <w:r w:rsidR="00952518" w:rsidRPr="00B47BDA">
        <w:t>.</w:t>
      </w:r>
    </w:p>
    <w:p w14:paraId="60094BE5" w14:textId="7DE65AD3" w:rsidR="0052110E" w:rsidRPr="00B47BDA" w:rsidRDefault="0052110E" w:rsidP="004623DD">
      <w:r w:rsidRPr="00B47BDA">
        <w:br w:type="page"/>
      </w:r>
    </w:p>
    <w:bookmarkEnd w:id="1" w:displacedByCustomXml="next"/>
    <w:bookmarkEnd w:id="0" w:displacedByCustomXml="next"/>
    <w:bookmarkStart w:id="2" w:name="_Toc531945068" w:displacedByCustomXml="next"/>
    <w:bookmarkStart w:id="3" w:name="_Toc531934942" w:displacedByCustomXml="next"/>
    <w:sdt>
      <w:sdtPr>
        <w:rPr>
          <w:b w:val="0"/>
          <w:caps w:val="0"/>
          <w:color w:val="auto"/>
          <w:sz w:val="24"/>
        </w:rPr>
        <w:id w:val="-1710479361"/>
        <w:docPartObj>
          <w:docPartGallery w:val="Table of Contents"/>
          <w:docPartUnique/>
        </w:docPartObj>
      </w:sdtPr>
      <w:sdtEndPr>
        <w:rPr>
          <w:b/>
          <w:noProof/>
          <w:color w:val="BE1D2D"/>
          <w:sz w:val="28"/>
        </w:rPr>
      </w:sdtEndPr>
      <w:sdtContent>
        <w:p w14:paraId="729B8EBD" w14:textId="264B42CC" w:rsidR="000C38D1" w:rsidRDefault="000C38D1" w:rsidP="00DB579D">
          <w:pPr>
            <w:pStyle w:val="Sadraj"/>
            <w:spacing w:after="240"/>
          </w:pPr>
          <w:r>
            <w:t>Sadržaj</w:t>
          </w:r>
        </w:p>
        <w:p w14:paraId="3D98E7CA" w14:textId="0B15292E" w:rsidR="0038342A" w:rsidRDefault="000C38D1" w:rsidP="00DB579D">
          <w:pPr>
            <w:pStyle w:val="TOC1"/>
            <w:rPr>
              <w:rFonts w:asciiTheme="minorHAnsi" w:hAnsiTheme="minorHAnsi" w:cstheme="minorBidi"/>
              <w:noProof/>
              <w:color w:val="auto"/>
              <w:kern w:val="2"/>
              <w:sz w:val="24"/>
              <w:lang w:val="en-GB"/>
              <w14:ligatures w14:val="standardContextual"/>
            </w:rPr>
          </w:pPr>
          <w:r>
            <w:fldChar w:fldCharType="begin"/>
          </w:r>
          <w:r>
            <w:instrText xml:space="preserve"> TOC \o "1-3" \h \z \u </w:instrText>
          </w:r>
          <w:r>
            <w:fldChar w:fldCharType="separate"/>
          </w:r>
          <w:hyperlink w:anchor="_Toc193043250" w:history="1">
            <w:r w:rsidR="0038342A" w:rsidRPr="0075519C">
              <w:rPr>
                <w:rStyle w:val="Hyperlink"/>
              </w:rPr>
              <w:t>ODJELJAK A: NACIONALNI PLAN</w:t>
            </w:r>
            <w:r w:rsidR="0038342A">
              <w:rPr>
                <w:noProof/>
                <w:webHidden/>
              </w:rPr>
              <w:tab/>
            </w:r>
            <w:r w:rsidR="0038342A">
              <w:rPr>
                <w:noProof/>
                <w:webHidden/>
              </w:rPr>
              <w:fldChar w:fldCharType="begin"/>
            </w:r>
            <w:r w:rsidR="0038342A">
              <w:rPr>
                <w:noProof/>
                <w:webHidden/>
              </w:rPr>
              <w:instrText xml:space="preserve"> PAGEREF _Toc193043250 \h </w:instrText>
            </w:r>
            <w:r w:rsidR="0038342A">
              <w:rPr>
                <w:noProof/>
                <w:webHidden/>
              </w:rPr>
            </w:r>
            <w:r w:rsidR="0038342A">
              <w:rPr>
                <w:noProof/>
                <w:webHidden/>
              </w:rPr>
              <w:fldChar w:fldCharType="separate"/>
            </w:r>
            <w:r w:rsidR="00DB579D">
              <w:rPr>
                <w:noProof/>
                <w:webHidden/>
              </w:rPr>
              <w:t>6</w:t>
            </w:r>
            <w:r w:rsidR="0038342A">
              <w:rPr>
                <w:noProof/>
                <w:webHidden/>
              </w:rPr>
              <w:fldChar w:fldCharType="end"/>
            </w:r>
          </w:hyperlink>
        </w:p>
        <w:p w14:paraId="2E00FEAF" w14:textId="41B3227C" w:rsidR="0038342A" w:rsidRDefault="0038342A" w:rsidP="00DB579D">
          <w:pPr>
            <w:pStyle w:val="TOC1"/>
            <w:rPr>
              <w:rFonts w:asciiTheme="minorHAnsi" w:hAnsiTheme="minorHAnsi" w:cstheme="minorBidi"/>
              <w:noProof/>
              <w:color w:val="auto"/>
              <w:kern w:val="2"/>
              <w:sz w:val="24"/>
              <w:lang w:val="en-GB"/>
              <w14:ligatures w14:val="standardContextual"/>
            </w:rPr>
          </w:pPr>
          <w:hyperlink w:anchor="_Toc193043251" w:history="1">
            <w:r w:rsidRPr="0075519C">
              <w:rPr>
                <w:rStyle w:val="Hyperlink"/>
              </w:rPr>
              <w:t>1.</w:t>
            </w:r>
            <w:r>
              <w:rPr>
                <w:rFonts w:asciiTheme="minorHAnsi" w:hAnsiTheme="minorHAnsi" w:cstheme="minorBidi"/>
                <w:noProof/>
                <w:color w:val="auto"/>
                <w:kern w:val="2"/>
                <w:sz w:val="24"/>
                <w:lang w:val="en-GB"/>
                <w14:ligatures w14:val="standardContextual"/>
              </w:rPr>
              <w:tab/>
            </w:r>
            <w:r w:rsidRPr="0075519C">
              <w:rPr>
                <w:rStyle w:val="Hyperlink"/>
              </w:rPr>
              <w:t>PREGLED I POSTUPAK ZA DONOŠENJE PLANA</w:t>
            </w:r>
            <w:r>
              <w:rPr>
                <w:noProof/>
                <w:webHidden/>
              </w:rPr>
              <w:tab/>
            </w:r>
            <w:r>
              <w:rPr>
                <w:noProof/>
                <w:webHidden/>
              </w:rPr>
              <w:fldChar w:fldCharType="begin"/>
            </w:r>
            <w:r>
              <w:rPr>
                <w:noProof/>
                <w:webHidden/>
              </w:rPr>
              <w:instrText xml:space="preserve"> PAGEREF _Toc193043251 \h </w:instrText>
            </w:r>
            <w:r>
              <w:rPr>
                <w:noProof/>
                <w:webHidden/>
              </w:rPr>
            </w:r>
            <w:r>
              <w:rPr>
                <w:noProof/>
                <w:webHidden/>
              </w:rPr>
              <w:fldChar w:fldCharType="separate"/>
            </w:r>
            <w:r w:rsidR="00DB579D">
              <w:rPr>
                <w:noProof/>
                <w:webHidden/>
              </w:rPr>
              <w:t>7</w:t>
            </w:r>
            <w:r>
              <w:rPr>
                <w:noProof/>
                <w:webHidden/>
              </w:rPr>
              <w:fldChar w:fldCharType="end"/>
            </w:r>
          </w:hyperlink>
        </w:p>
        <w:p w14:paraId="7737524B" w14:textId="5137FA75" w:rsidR="0038342A" w:rsidRDefault="0038342A">
          <w:pPr>
            <w:pStyle w:val="TOC2"/>
            <w:rPr>
              <w:rFonts w:asciiTheme="minorHAnsi" w:hAnsiTheme="minorHAnsi" w:cstheme="minorBidi"/>
              <w:noProof/>
              <w:kern w:val="2"/>
              <w:lang w:val="en-GB"/>
              <w14:ligatures w14:val="standardContextual"/>
            </w:rPr>
          </w:pPr>
          <w:hyperlink w:anchor="_Toc193043252" w:history="1">
            <w:r w:rsidRPr="0075519C">
              <w:rPr>
                <w:rStyle w:val="Hyperlink"/>
              </w:rPr>
              <w:t>1.1</w:t>
            </w:r>
            <w:r>
              <w:rPr>
                <w:rFonts w:asciiTheme="minorHAnsi" w:hAnsiTheme="minorHAnsi" w:cstheme="minorBidi"/>
                <w:noProof/>
                <w:kern w:val="2"/>
                <w:lang w:val="en-GB"/>
                <w14:ligatures w14:val="standardContextual"/>
              </w:rPr>
              <w:tab/>
            </w:r>
            <w:r w:rsidRPr="0075519C">
              <w:rPr>
                <w:rStyle w:val="Hyperlink"/>
              </w:rPr>
              <w:t>Sažetak</w:t>
            </w:r>
            <w:r>
              <w:rPr>
                <w:noProof/>
                <w:webHidden/>
              </w:rPr>
              <w:tab/>
            </w:r>
            <w:r>
              <w:rPr>
                <w:noProof/>
                <w:webHidden/>
              </w:rPr>
              <w:fldChar w:fldCharType="begin"/>
            </w:r>
            <w:r>
              <w:rPr>
                <w:noProof/>
                <w:webHidden/>
              </w:rPr>
              <w:instrText xml:space="preserve"> PAGEREF _Toc193043252 \h </w:instrText>
            </w:r>
            <w:r>
              <w:rPr>
                <w:noProof/>
                <w:webHidden/>
              </w:rPr>
            </w:r>
            <w:r>
              <w:rPr>
                <w:noProof/>
                <w:webHidden/>
              </w:rPr>
              <w:fldChar w:fldCharType="separate"/>
            </w:r>
            <w:r w:rsidR="00DB579D">
              <w:rPr>
                <w:noProof/>
                <w:webHidden/>
              </w:rPr>
              <w:t>7</w:t>
            </w:r>
            <w:r>
              <w:rPr>
                <w:noProof/>
                <w:webHidden/>
              </w:rPr>
              <w:fldChar w:fldCharType="end"/>
            </w:r>
          </w:hyperlink>
        </w:p>
        <w:p w14:paraId="205CF578" w14:textId="1928E3A1" w:rsidR="0038342A" w:rsidRDefault="0038342A">
          <w:pPr>
            <w:pStyle w:val="TOC2"/>
            <w:rPr>
              <w:rFonts w:asciiTheme="minorHAnsi" w:hAnsiTheme="minorHAnsi" w:cstheme="minorBidi"/>
              <w:noProof/>
              <w:kern w:val="2"/>
              <w:lang w:val="en-GB"/>
              <w14:ligatures w14:val="standardContextual"/>
            </w:rPr>
          </w:pPr>
          <w:hyperlink w:anchor="_Toc193043253" w:history="1">
            <w:r w:rsidRPr="0075519C">
              <w:rPr>
                <w:rStyle w:val="Hyperlink"/>
              </w:rPr>
              <w:t>1.2</w:t>
            </w:r>
            <w:r>
              <w:rPr>
                <w:rFonts w:asciiTheme="minorHAnsi" w:hAnsiTheme="minorHAnsi" w:cstheme="minorBidi"/>
                <w:noProof/>
                <w:kern w:val="2"/>
                <w:lang w:val="en-GB"/>
                <w14:ligatures w14:val="standardContextual"/>
              </w:rPr>
              <w:tab/>
            </w:r>
            <w:r w:rsidRPr="0075519C">
              <w:rPr>
                <w:rStyle w:val="Hyperlink"/>
              </w:rPr>
              <w:t>Pregled trenutačnog stanja u pogledu politika</w:t>
            </w:r>
            <w:r>
              <w:rPr>
                <w:noProof/>
                <w:webHidden/>
              </w:rPr>
              <w:tab/>
            </w:r>
            <w:r>
              <w:rPr>
                <w:noProof/>
                <w:webHidden/>
              </w:rPr>
              <w:fldChar w:fldCharType="begin"/>
            </w:r>
            <w:r>
              <w:rPr>
                <w:noProof/>
                <w:webHidden/>
              </w:rPr>
              <w:instrText xml:space="preserve"> PAGEREF _Toc193043253 \h </w:instrText>
            </w:r>
            <w:r>
              <w:rPr>
                <w:noProof/>
                <w:webHidden/>
              </w:rPr>
            </w:r>
            <w:r>
              <w:rPr>
                <w:noProof/>
                <w:webHidden/>
              </w:rPr>
              <w:fldChar w:fldCharType="separate"/>
            </w:r>
            <w:r w:rsidR="00DB579D">
              <w:rPr>
                <w:noProof/>
                <w:webHidden/>
              </w:rPr>
              <w:t>16</w:t>
            </w:r>
            <w:r>
              <w:rPr>
                <w:noProof/>
                <w:webHidden/>
              </w:rPr>
              <w:fldChar w:fldCharType="end"/>
            </w:r>
          </w:hyperlink>
        </w:p>
        <w:p w14:paraId="2941B790" w14:textId="40D44684" w:rsidR="0038342A" w:rsidRDefault="0038342A">
          <w:pPr>
            <w:pStyle w:val="TOC2"/>
            <w:rPr>
              <w:rFonts w:asciiTheme="minorHAnsi" w:hAnsiTheme="minorHAnsi" w:cstheme="minorBidi"/>
              <w:noProof/>
              <w:kern w:val="2"/>
              <w:lang w:val="en-GB"/>
              <w14:ligatures w14:val="standardContextual"/>
            </w:rPr>
          </w:pPr>
          <w:hyperlink w:anchor="_Toc193043254" w:history="1">
            <w:r w:rsidRPr="0075519C">
              <w:rPr>
                <w:rStyle w:val="Hyperlink"/>
              </w:rPr>
              <w:t>1.3</w:t>
            </w:r>
            <w:r>
              <w:rPr>
                <w:rFonts w:asciiTheme="minorHAnsi" w:hAnsiTheme="minorHAnsi" w:cstheme="minorBidi"/>
                <w:noProof/>
                <w:kern w:val="2"/>
                <w:lang w:val="en-GB"/>
                <w14:ligatures w14:val="standardContextual"/>
              </w:rPr>
              <w:tab/>
            </w:r>
            <w:r w:rsidRPr="0075519C">
              <w:rPr>
                <w:rStyle w:val="Hyperlink"/>
              </w:rPr>
              <w:t>Savjetovanja i sudjelovanje nacionalnih subjekata i subjekata Unije te ishod savjetovanja</w:t>
            </w:r>
            <w:r>
              <w:rPr>
                <w:noProof/>
                <w:webHidden/>
              </w:rPr>
              <w:tab/>
            </w:r>
            <w:r>
              <w:rPr>
                <w:noProof/>
                <w:webHidden/>
              </w:rPr>
              <w:fldChar w:fldCharType="begin"/>
            </w:r>
            <w:r>
              <w:rPr>
                <w:noProof/>
                <w:webHidden/>
              </w:rPr>
              <w:instrText xml:space="preserve"> PAGEREF _Toc193043254 \h </w:instrText>
            </w:r>
            <w:r>
              <w:rPr>
                <w:noProof/>
                <w:webHidden/>
              </w:rPr>
            </w:r>
            <w:r>
              <w:rPr>
                <w:noProof/>
                <w:webHidden/>
              </w:rPr>
              <w:fldChar w:fldCharType="separate"/>
            </w:r>
            <w:r w:rsidR="00DB579D">
              <w:rPr>
                <w:noProof/>
                <w:webHidden/>
              </w:rPr>
              <w:t>72</w:t>
            </w:r>
            <w:r>
              <w:rPr>
                <w:noProof/>
                <w:webHidden/>
              </w:rPr>
              <w:fldChar w:fldCharType="end"/>
            </w:r>
          </w:hyperlink>
        </w:p>
        <w:p w14:paraId="592BE747" w14:textId="28781712" w:rsidR="0038342A" w:rsidRDefault="0038342A">
          <w:pPr>
            <w:pStyle w:val="TOC2"/>
            <w:rPr>
              <w:rFonts w:asciiTheme="minorHAnsi" w:hAnsiTheme="minorHAnsi" w:cstheme="minorBidi"/>
              <w:noProof/>
              <w:kern w:val="2"/>
              <w:lang w:val="en-GB"/>
              <w14:ligatures w14:val="standardContextual"/>
            </w:rPr>
          </w:pPr>
          <w:hyperlink w:anchor="_Toc193043255" w:history="1">
            <w:r w:rsidRPr="0075519C">
              <w:rPr>
                <w:rStyle w:val="Hyperlink"/>
              </w:rPr>
              <w:t>1.4</w:t>
            </w:r>
            <w:r>
              <w:rPr>
                <w:rFonts w:asciiTheme="minorHAnsi" w:hAnsiTheme="minorHAnsi" w:cstheme="minorBidi"/>
                <w:noProof/>
                <w:kern w:val="2"/>
                <w:lang w:val="en-GB"/>
                <w14:ligatures w14:val="standardContextual"/>
              </w:rPr>
              <w:tab/>
            </w:r>
            <w:r w:rsidRPr="0075519C">
              <w:rPr>
                <w:rStyle w:val="Hyperlink"/>
              </w:rPr>
              <w:t>Regionalna suradnja u izradi plana</w:t>
            </w:r>
            <w:r>
              <w:rPr>
                <w:noProof/>
                <w:webHidden/>
              </w:rPr>
              <w:tab/>
            </w:r>
            <w:r>
              <w:rPr>
                <w:noProof/>
                <w:webHidden/>
              </w:rPr>
              <w:fldChar w:fldCharType="begin"/>
            </w:r>
            <w:r>
              <w:rPr>
                <w:noProof/>
                <w:webHidden/>
              </w:rPr>
              <w:instrText xml:space="preserve"> PAGEREF _Toc193043255 \h </w:instrText>
            </w:r>
            <w:r>
              <w:rPr>
                <w:noProof/>
                <w:webHidden/>
              </w:rPr>
            </w:r>
            <w:r>
              <w:rPr>
                <w:noProof/>
                <w:webHidden/>
              </w:rPr>
              <w:fldChar w:fldCharType="separate"/>
            </w:r>
            <w:r w:rsidR="00DB579D">
              <w:rPr>
                <w:noProof/>
                <w:webHidden/>
              </w:rPr>
              <w:t>75</w:t>
            </w:r>
            <w:r>
              <w:rPr>
                <w:noProof/>
                <w:webHidden/>
              </w:rPr>
              <w:fldChar w:fldCharType="end"/>
            </w:r>
          </w:hyperlink>
        </w:p>
        <w:p w14:paraId="04547214" w14:textId="566C8A4E" w:rsidR="0038342A" w:rsidRDefault="0038342A" w:rsidP="00DB579D">
          <w:pPr>
            <w:pStyle w:val="TOC1"/>
            <w:rPr>
              <w:rFonts w:asciiTheme="minorHAnsi" w:hAnsiTheme="minorHAnsi" w:cstheme="minorBidi"/>
              <w:noProof/>
              <w:color w:val="auto"/>
              <w:kern w:val="2"/>
              <w:sz w:val="24"/>
              <w:lang w:val="en-GB"/>
              <w14:ligatures w14:val="standardContextual"/>
            </w:rPr>
          </w:pPr>
          <w:hyperlink w:anchor="_Toc193043256" w:history="1">
            <w:r w:rsidRPr="0075519C">
              <w:rPr>
                <w:rStyle w:val="Hyperlink"/>
              </w:rPr>
              <w:t>2.</w:t>
            </w:r>
            <w:r>
              <w:rPr>
                <w:rFonts w:asciiTheme="minorHAnsi" w:hAnsiTheme="minorHAnsi" w:cstheme="minorBidi"/>
                <w:noProof/>
                <w:color w:val="auto"/>
                <w:kern w:val="2"/>
                <w:sz w:val="24"/>
                <w:lang w:val="en-GB"/>
                <w14:ligatures w14:val="standardContextual"/>
              </w:rPr>
              <w:tab/>
            </w:r>
            <w:r w:rsidRPr="0075519C">
              <w:rPr>
                <w:rStyle w:val="Hyperlink"/>
              </w:rPr>
              <w:t>NACIONALNI CILJEVI</w:t>
            </w:r>
            <w:r>
              <w:rPr>
                <w:noProof/>
                <w:webHidden/>
              </w:rPr>
              <w:tab/>
            </w:r>
            <w:r>
              <w:rPr>
                <w:noProof/>
                <w:webHidden/>
              </w:rPr>
              <w:fldChar w:fldCharType="begin"/>
            </w:r>
            <w:r>
              <w:rPr>
                <w:noProof/>
                <w:webHidden/>
              </w:rPr>
              <w:instrText xml:space="preserve"> PAGEREF _Toc193043256 \h </w:instrText>
            </w:r>
            <w:r>
              <w:rPr>
                <w:noProof/>
                <w:webHidden/>
              </w:rPr>
            </w:r>
            <w:r>
              <w:rPr>
                <w:noProof/>
                <w:webHidden/>
              </w:rPr>
              <w:fldChar w:fldCharType="separate"/>
            </w:r>
            <w:r w:rsidR="00DB579D">
              <w:rPr>
                <w:noProof/>
                <w:webHidden/>
              </w:rPr>
              <w:t>77</w:t>
            </w:r>
            <w:r>
              <w:rPr>
                <w:noProof/>
                <w:webHidden/>
              </w:rPr>
              <w:fldChar w:fldCharType="end"/>
            </w:r>
          </w:hyperlink>
        </w:p>
        <w:p w14:paraId="36A9103B" w14:textId="0E42E19B" w:rsidR="0038342A" w:rsidRDefault="0038342A">
          <w:pPr>
            <w:pStyle w:val="TOC2"/>
            <w:rPr>
              <w:rFonts w:asciiTheme="minorHAnsi" w:hAnsiTheme="minorHAnsi" w:cstheme="minorBidi"/>
              <w:noProof/>
              <w:kern w:val="2"/>
              <w:lang w:val="en-GB"/>
              <w14:ligatures w14:val="standardContextual"/>
            </w:rPr>
          </w:pPr>
          <w:hyperlink w:anchor="_Toc193043257" w:history="1">
            <w:r w:rsidRPr="0075519C">
              <w:rPr>
                <w:rStyle w:val="Hyperlink"/>
              </w:rPr>
              <w:t>2.1</w:t>
            </w:r>
            <w:r>
              <w:rPr>
                <w:rFonts w:asciiTheme="minorHAnsi" w:hAnsiTheme="minorHAnsi" w:cstheme="minorBidi"/>
                <w:noProof/>
                <w:kern w:val="2"/>
                <w:lang w:val="en-GB"/>
                <w14:ligatures w14:val="standardContextual"/>
              </w:rPr>
              <w:tab/>
            </w:r>
            <w:r w:rsidRPr="0075519C">
              <w:rPr>
                <w:rStyle w:val="Hyperlink"/>
              </w:rPr>
              <w:t>Dimenzija: dekarbonizacija</w:t>
            </w:r>
            <w:r>
              <w:rPr>
                <w:noProof/>
                <w:webHidden/>
              </w:rPr>
              <w:tab/>
            </w:r>
            <w:r>
              <w:rPr>
                <w:noProof/>
                <w:webHidden/>
              </w:rPr>
              <w:fldChar w:fldCharType="begin"/>
            </w:r>
            <w:r>
              <w:rPr>
                <w:noProof/>
                <w:webHidden/>
              </w:rPr>
              <w:instrText xml:space="preserve"> PAGEREF _Toc193043257 \h </w:instrText>
            </w:r>
            <w:r>
              <w:rPr>
                <w:noProof/>
                <w:webHidden/>
              </w:rPr>
            </w:r>
            <w:r>
              <w:rPr>
                <w:noProof/>
                <w:webHidden/>
              </w:rPr>
              <w:fldChar w:fldCharType="separate"/>
            </w:r>
            <w:r w:rsidR="00DB579D">
              <w:rPr>
                <w:noProof/>
                <w:webHidden/>
              </w:rPr>
              <w:t>77</w:t>
            </w:r>
            <w:r>
              <w:rPr>
                <w:noProof/>
                <w:webHidden/>
              </w:rPr>
              <w:fldChar w:fldCharType="end"/>
            </w:r>
          </w:hyperlink>
        </w:p>
        <w:p w14:paraId="0EE06C4C" w14:textId="3C9B82FD" w:rsidR="0038342A" w:rsidRDefault="0038342A">
          <w:pPr>
            <w:pStyle w:val="TOC3"/>
            <w:rPr>
              <w:rFonts w:asciiTheme="minorHAnsi" w:hAnsiTheme="minorHAnsi" w:cstheme="minorBidi"/>
              <w:noProof/>
              <w:kern w:val="2"/>
              <w:lang w:val="en-GB"/>
              <w14:ligatures w14:val="standardContextual"/>
            </w:rPr>
          </w:pPr>
          <w:hyperlink w:anchor="_Toc193043258" w:history="1">
            <w:r w:rsidRPr="0075519C">
              <w:rPr>
                <w:rStyle w:val="Hyperlink"/>
              </w:rPr>
              <w:t>2.1.1</w:t>
            </w:r>
            <w:r>
              <w:rPr>
                <w:rFonts w:asciiTheme="minorHAnsi" w:hAnsiTheme="minorHAnsi" w:cstheme="minorBidi"/>
                <w:noProof/>
                <w:kern w:val="2"/>
                <w:lang w:val="en-GB"/>
                <w14:ligatures w14:val="standardContextual"/>
              </w:rPr>
              <w:tab/>
            </w:r>
            <w:r w:rsidRPr="0075519C">
              <w:rPr>
                <w:rStyle w:val="Hyperlink"/>
              </w:rPr>
              <w:t>Emisije i uklanjanja stakleničkih plinova</w:t>
            </w:r>
            <w:r>
              <w:rPr>
                <w:noProof/>
                <w:webHidden/>
              </w:rPr>
              <w:tab/>
            </w:r>
            <w:r>
              <w:rPr>
                <w:noProof/>
                <w:webHidden/>
              </w:rPr>
              <w:fldChar w:fldCharType="begin"/>
            </w:r>
            <w:r>
              <w:rPr>
                <w:noProof/>
                <w:webHidden/>
              </w:rPr>
              <w:instrText xml:space="preserve"> PAGEREF _Toc193043258 \h </w:instrText>
            </w:r>
            <w:r>
              <w:rPr>
                <w:noProof/>
                <w:webHidden/>
              </w:rPr>
            </w:r>
            <w:r>
              <w:rPr>
                <w:noProof/>
                <w:webHidden/>
              </w:rPr>
              <w:fldChar w:fldCharType="separate"/>
            </w:r>
            <w:r w:rsidR="00DB579D">
              <w:rPr>
                <w:noProof/>
                <w:webHidden/>
              </w:rPr>
              <w:t>77</w:t>
            </w:r>
            <w:r>
              <w:rPr>
                <w:noProof/>
                <w:webHidden/>
              </w:rPr>
              <w:fldChar w:fldCharType="end"/>
            </w:r>
          </w:hyperlink>
        </w:p>
        <w:p w14:paraId="52A75050" w14:textId="65E21FFA" w:rsidR="0038342A" w:rsidRDefault="0038342A">
          <w:pPr>
            <w:pStyle w:val="TOC3"/>
            <w:rPr>
              <w:rFonts w:asciiTheme="minorHAnsi" w:hAnsiTheme="minorHAnsi" w:cstheme="minorBidi"/>
              <w:noProof/>
              <w:kern w:val="2"/>
              <w:lang w:val="en-GB"/>
              <w14:ligatures w14:val="standardContextual"/>
            </w:rPr>
          </w:pPr>
          <w:hyperlink w:anchor="_Toc193043259" w:history="1">
            <w:r w:rsidRPr="0075519C">
              <w:rPr>
                <w:rStyle w:val="Hyperlink"/>
              </w:rPr>
              <w:t>2.1.2</w:t>
            </w:r>
            <w:r>
              <w:rPr>
                <w:rFonts w:asciiTheme="minorHAnsi" w:hAnsiTheme="minorHAnsi" w:cstheme="minorBidi"/>
                <w:noProof/>
                <w:kern w:val="2"/>
                <w:lang w:val="en-GB"/>
                <w14:ligatures w14:val="standardContextual"/>
              </w:rPr>
              <w:tab/>
            </w:r>
            <w:r w:rsidRPr="0075519C">
              <w:rPr>
                <w:rStyle w:val="Hyperlink"/>
              </w:rPr>
              <w:t>Energija iz obnovljivih izvora</w:t>
            </w:r>
            <w:r>
              <w:rPr>
                <w:noProof/>
                <w:webHidden/>
              </w:rPr>
              <w:tab/>
            </w:r>
            <w:r>
              <w:rPr>
                <w:noProof/>
                <w:webHidden/>
              </w:rPr>
              <w:fldChar w:fldCharType="begin"/>
            </w:r>
            <w:r>
              <w:rPr>
                <w:noProof/>
                <w:webHidden/>
              </w:rPr>
              <w:instrText xml:space="preserve"> PAGEREF _Toc193043259 \h </w:instrText>
            </w:r>
            <w:r>
              <w:rPr>
                <w:noProof/>
                <w:webHidden/>
              </w:rPr>
            </w:r>
            <w:r>
              <w:rPr>
                <w:noProof/>
                <w:webHidden/>
              </w:rPr>
              <w:fldChar w:fldCharType="separate"/>
            </w:r>
            <w:r w:rsidR="00DB579D">
              <w:rPr>
                <w:noProof/>
                <w:webHidden/>
              </w:rPr>
              <w:t>80</w:t>
            </w:r>
            <w:r>
              <w:rPr>
                <w:noProof/>
                <w:webHidden/>
              </w:rPr>
              <w:fldChar w:fldCharType="end"/>
            </w:r>
          </w:hyperlink>
        </w:p>
        <w:p w14:paraId="77C0E972" w14:textId="05DFBEE1" w:rsidR="0038342A" w:rsidRDefault="0038342A">
          <w:pPr>
            <w:pStyle w:val="TOC2"/>
            <w:rPr>
              <w:rFonts w:asciiTheme="minorHAnsi" w:hAnsiTheme="minorHAnsi" w:cstheme="minorBidi"/>
              <w:noProof/>
              <w:kern w:val="2"/>
              <w:lang w:val="en-GB"/>
              <w14:ligatures w14:val="standardContextual"/>
            </w:rPr>
          </w:pPr>
          <w:hyperlink w:anchor="_Toc193043260" w:history="1">
            <w:r w:rsidRPr="0075519C">
              <w:rPr>
                <w:rStyle w:val="Hyperlink"/>
              </w:rPr>
              <w:t>2.2</w:t>
            </w:r>
            <w:r>
              <w:rPr>
                <w:rFonts w:asciiTheme="minorHAnsi" w:hAnsiTheme="minorHAnsi" w:cstheme="minorBidi"/>
                <w:noProof/>
                <w:kern w:val="2"/>
                <w:lang w:val="en-GB"/>
                <w14:ligatures w14:val="standardContextual"/>
              </w:rPr>
              <w:tab/>
            </w:r>
            <w:r w:rsidRPr="0075519C">
              <w:rPr>
                <w:rStyle w:val="Hyperlink"/>
              </w:rPr>
              <w:t>Dimenzija: energetska učinkovitost</w:t>
            </w:r>
            <w:r>
              <w:rPr>
                <w:noProof/>
                <w:webHidden/>
              </w:rPr>
              <w:tab/>
            </w:r>
            <w:r>
              <w:rPr>
                <w:noProof/>
                <w:webHidden/>
              </w:rPr>
              <w:fldChar w:fldCharType="begin"/>
            </w:r>
            <w:r>
              <w:rPr>
                <w:noProof/>
                <w:webHidden/>
              </w:rPr>
              <w:instrText xml:space="preserve"> PAGEREF _Toc193043260 \h </w:instrText>
            </w:r>
            <w:r>
              <w:rPr>
                <w:noProof/>
                <w:webHidden/>
              </w:rPr>
            </w:r>
            <w:r>
              <w:rPr>
                <w:noProof/>
                <w:webHidden/>
              </w:rPr>
              <w:fldChar w:fldCharType="separate"/>
            </w:r>
            <w:r w:rsidR="00DB579D">
              <w:rPr>
                <w:noProof/>
                <w:webHidden/>
              </w:rPr>
              <w:t>96</w:t>
            </w:r>
            <w:r>
              <w:rPr>
                <w:noProof/>
                <w:webHidden/>
              </w:rPr>
              <w:fldChar w:fldCharType="end"/>
            </w:r>
          </w:hyperlink>
        </w:p>
        <w:p w14:paraId="3EC8B931" w14:textId="6CF41A95" w:rsidR="0038342A" w:rsidRDefault="0038342A">
          <w:pPr>
            <w:pStyle w:val="TOC2"/>
            <w:rPr>
              <w:rFonts w:asciiTheme="minorHAnsi" w:hAnsiTheme="minorHAnsi" w:cstheme="minorBidi"/>
              <w:noProof/>
              <w:kern w:val="2"/>
              <w:lang w:val="en-GB"/>
              <w14:ligatures w14:val="standardContextual"/>
            </w:rPr>
          </w:pPr>
          <w:hyperlink w:anchor="_Toc193043261" w:history="1">
            <w:r w:rsidRPr="0075519C">
              <w:rPr>
                <w:rStyle w:val="Hyperlink"/>
              </w:rPr>
              <w:t>2.3</w:t>
            </w:r>
            <w:r>
              <w:rPr>
                <w:rFonts w:asciiTheme="minorHAnsi" w:hAnsiTheme="minorHAnsi" w:cstheme="minorBidi"/>
                <w:noProof/>
                <w:kern w:val="2"/>
                <w:lang w:val="en-GB"/>
                <w14:ligatures w14:val="standardContextual"/>
              </w:rPr>
              <w:tab/>
            </w:r>
            <w:r w:rsidRPr="0075519C">
              <w:rPr>
                <w:rStyle w:val="Hyperlink"/>
              </w:rPr>
              <w:t>Dimenzija: energetska sigurnost</w:t>
            </w:r>
            <w:r>
              <w:rPr>
                <w:noProof/>
                <w:webHidden/>
              </w:rPr>
              <w:tab/>
            </w:r>
            <w:r>
              <w:rPr>
                <w:noProof/>
                <w:webHidden/>
              </w:rPr>
              <w:fldChar w:fldCharType="begin"/>
            </w:r>
            <w:r>
              <w:rPr>
                <w:noProof/>
                <w:webHidden/>
              </w:rPr>
              <w:instrText xml:space="preserve"> PAGEREF _Toc193043261 \h </w:instrText>
            </w:r>
            <w:r>
              <w:rPr>
                <w:noProof/>
                <w:webHidden/>
              </w:rPr>
            </w:r>
            <w:r>
              <w:rPr>
                <w:noProof/>
                <w:webHidden/>
              </w:rPr>
              <w:fldChar w:fldCharType="separate"/>
            </w:r>
            <w:r w:rsidR="00DB579D">
              <w:rPr>
                <w:noProof/>
                <w:webHidden/>
              </w:rPr>
              <w:t>102</w:t>
            </w:r>
            <w:r>
              <w:rPr>
                <w:noProof/>
                <w:webHidden/>
              </w:rPr>
              <w:fldChar w:fldCharType="end"/>
            </w:r>
          </w:hyperlink>
        </w:p>
        <w:p w14:paraId="35757387" w14:textId="5A142CBC" w:rsidR="0038342A" w:rsidRDefault="0038342A">
          <w:pPr>
            <w:pStyle w:val="TOC2"/>
            <w:rPr>
              <w:rFonts w:asciiTheme="minorHAnsi" w:hAnsiTheme="minorHAnsi" w:cstheme="minorBidi"/>
              <w:noProof/>
              <w:kern w:val="2"/>
              <w:lang w:val="en-GB"/>
              <w14:ligatures w14:val="standardContextual"/>
            </w:rPr>
          </w:pPr>
          <w:hyperlink w:anchor="_Toc193043262" w:history="1">
            <w:r w:rsidRPr="0075519C">
              <w:rPr>
                <w:rStyle w:val="Hyperlink"/>
              </w:rPr>
              <w:t>2.4</w:t>
            </w:r>
            <w:r>
              <w:rPr>
                <w:rFonts w:asciiTheme="minorHAnsi" w:hAnsiTheme="minorHAnsi" w:cstheme="minorBidi"/>
                <w:noProof/>
                <w:kern w:val="2"/>
                <w:lang w:val="en-GB"/>
                <w14:ligatures w14:val="standardContextual"/>
              </w:rPr>
              <w:tab/>
            </w:r>
            <w:r w:rsidRPr="0075519C">
              <w:rPr>
                <w:rStyle w:val="Hyperlink"/>
              </w:rPr>
              <w:t>Dimenzija: unutarnje energetsko tržište</w:t>
            </w:r>
            <w:r>
              <w:rPr>
                <w:noProof/>
                <w:webHidden/>
              </w:rPr>
              <w:tab/>
            </w:r>
            <w:r>
              <w:rPr>
                <w:noProof/>
                <w:webHidden/>
              </w:rPr>
              <w:fldChar w:fldCharType="begin"/>
            </w:r>
            <w:r>
              <w:rPr>
                <w:noProof/>
                <w:webHidden/>
              </w:rPr>
              <w:instrText xml:space="preserve"> PAGEREF _Toc193043262 \h </w:instrText>
            </w:r>
            <w:r>
              <w:rPr>
                <w:noProof/>
                <w:webHidden/>
              </w:rPr>
            </w:r>
            <w:r>
              <w:rPr>
                <w:noProof/>
                <w:webHidden/>
              </w:rPr>
              <w:fldChar w:fldCharType="separate"/>
            </w:r>
            <w:r w:rsidR="00DB579D">
              <w:rPr>
                <w:noProof/>
                <w:webHidden/>
              </w:rPr>
              <w:t>103</w:t>
            </w:r>
            <w:r>
              <w:rPr>
                <w:noProof/>
                <w:webHidden/>
              </w:rPr>
              <w:fldChar w:fldCharType="end"/>
            </w:r>
          </w:hyperlink>
        </w:p>
        <w:p w14:paraId="75DDDD01" w14:textId="02F34199" w:rsidR="0038342A" w:rsidRDefault="0038342A">
          <w:pPr>
            <w:pStyle w:val="TOC3"/>
            <w:rPr>
              <w:rFonts w:asciiTheme="minorHAnsi" w:hAnsiTheme="minorHAnsi" w:cstheme="minorBidi"/>
              <w:noProof/>
              <w:kern w:val="2"/>
              <w:lang w:val="en-GB"/>
              <w14:ligatures w14:val="standardContextual"/>
            </w:rPr>
          </w:pPr>
          <w:hyperlink w:anchor="_Toc193043263" w:history="1">
            <w:r w:rsidRPr="0075519C">
              <w:rPr>
                <w:rStyle w:val="Hyperlink"/>
              </w:rPr>
              <w:t>2.4.1</w:t>
            </w:r>
            <w:r>
              <w:rPr>
                <w:rFonts w:asciiTheme="minorHAnsi" w:hAnsiTheme="minorHAnsi" w:cstheme="minorBidi"/>
                <w:noProof/>
                <w:kern w:val="2"/>
                <w:lang w:val="en-GB"/>
                <w14:ligatures w14:val="standardContextual"/>
              </w:rPr>
              <w:tab/>
            </w:r>
            <w:r w:rsidRPr="0075519C">
              <w:rPr>
                <w:rStyle w:val="Hyperlink"/>
              </w:rPr>
              <w:t>Elektroenergetska međupovezanost</w:t>
            </w:r>
            <w:r>
              <w:rPr>
                <w:noProof/>
                <w:webHidden/>
              </w:rPr>
              <w:tab/>
            </w:r>
            <w:r>
              <w:rPr>
                <w:noProof/>
                <w:webHidden/>
              </w:rPr>
              <w:fldChar w:fldCharType="begin"/>
            </w:r>
            <w:r>
              <w:rPr>
                <w:noProof/>
                <w:webHidden/>
              </w:rPr>
              <w:instrText xml:space="preserve"> PAGEREF _Toc193043263 \h </w:instrText>
            </w:r>
            <w:r>
              <w:rPr>
                <w:noProof/>
                <w:webHidden/>
              </w:rPr>
            </w:r>
            <w:r>
              <w:rPr>
                <w:noProof/>
                <w:webHidden/>
              </w:rPr>
              <w:fldChar w:fldCharType="separate"/>
            </w:r>
            <w:r w:rsidR="00DB579D">
              <w:rPr>
                <w:noProof/>
                <w:webHidden/>
              </w:rPr>
              <w:t>103</w:t>
            </w:r>
            <w:r>
              <w:rPr>
                <w:noProof/>
                <w:webHidden/>
              </w:rPr>
              <w:fldChar w:fldCharType="end"/>
            </w:r>
          </w:hyperlink>
        </w:p>
        <w:p w14:paraId="5B745CD5" w14:textId="260FEC13" w:rsidR="0038342A" w:rsidRDefault="0038342A">
          <w:pPr>
            <w:pStyle w:val="TOC3"/>
            <w:rPr>
              <w:rFonts w:asciiTheme="minorHAnsi" w:hAnsiTheme="minorHAnsi" w:cstheme="minorBidi"/>
              <w:noProof/>
              <w:kern w:val="2"/>
              <w:lang w:val="en-GB"/>
              <w14:ligatures w14:val="standardContextual"/>
            </w:rPr>
          </w:pPr>
          <w:hyperlink w:anchor="_Toc193043264" w:history="1">
            <w:r w:rsidRPr="0075519C">
              <w:rPr>
                <w:rStyle w:val="Hyperlink"/>
              </w:rPr>
              <w:t>2.4.2</w:t>
            </w:r>
            <w:r>
              <w:rPr>
                <w:rFonts w:asciiTheme="minorHAnsi" w:hAnsiTheme="minorHAnsi" w:cstheme="minorBidi"/>
                <w:noProof/>
                <w:kern w:val="2"/>
                <w:lang w:val="en-GB"/>
                <w14:ligatures w14:val="standardContextual"/>
              </w:rPr>
              <w:tab/>
            </w:r>
            <w:r w:rsidRPr="0075519C">
              <w:rPr>
                <w:rStyle w:val="Hyperlink"/>
              </w:rPr>
              <w:t>Infrastruktura za prijenos energije</w:t>
            </w:r>
            <w:r>
              <w:rPr>
                <w:noProof/>
                <w:webHidden/>
              </w:rPr>
              <w:tab/>
            </w:r>
            <w:r>
              <w:rPr>
                <w:noProof/>
                <w:webHidden/>
              </w:rPr>
              <w:fldChar w:fldCharType="begin"/>
            </w:r>
            <w:r>
              <w:rPr>
                <w:noProof/>
                <w:webHidden/>
              </w:rPr>
              <w:instrText xml:space="preserve"> PAGEREF _Toc193043264 \h </w:instrText>
            </w:r>
            <w:r>
              <w:rPr>
                <w:noProof/>
                <w:webHidden/>
              </w:rPr>
            </w:r>
            <w:r>
              <w:rPr>
                <w:noProof/>
                <w:webHidden/>
              </w:rPr>
              <w:fldChar w:fldCharType="separate"/>
            </w:r>
            <w:r w:rsidR="00DB579D">
              <w:rPr>
                <w:noProof/>
                <w:webHidden/>
              </w:rPr>
              <w:t>104</w:t>
            </w:r>
            <w:r>
              <w:rPr>
                <w:noProof/>
                <w:webHidden/>
              </w:rPr>
              <w:fldChar w:fldCharType="end"/>
            </w:r>
          </w:hyperlink>
        </w:p>
        <w:p w14:paraId="1A1A3FC2" w14:textId="7BF6E157" w:rsidR="0038342A" w:rsidRDefault="0038342A">
          <w:pPr>
            <w:pStyle w:val="TOC3"/>
            <w:rPr>
              <w:rFonts w:asciiTheme="minorHAnsi" w:hAnsiTheme="minorHAnsi" w:cstheme="minorBidi"/>
              <w:noProof/>
              <w:kern w:val="2"/>
              <w:lang w:val="en-GB"/>
              <w14:ligatures w14:val="standardContextual"/>
            </w:rPr>
          </w:pPr>
          <w:hyperlink w:anchor="_Toc193043265" w:history="1">
            <w:r w:rsidRPr="0075519C">
              <w:rPr>
                <w:rStyle w:val="Hyperlink"/>
              </w:rPr>
              <w:t>2.4.3</w:t>
            </w:r>
            <w:r>
              <w:rPr>
                <w:rFonts w:asciiTheme="minorHAnsi" w:hAnsiTheme="minorHAnsi" w:cstheme="minorBidi"/>
                <w:noProof/>
                <w:kern w:val="2"/>
                <w:lang w:val="en-GB"/>
                <w14:ligatures w14:val="standardContextual"/>
              </w:rPr>
              <w:tab/>
            </w:r>
            <w:r w:rsidRPr="0075519C">
              <w:rPr>
                <w:rStyle w:val="Hyperlink"/>
              </w:rPr>
              <w:t>Integracija tržišta</w:t>
            </w:r>
            <w:r>
              <w:rPr>
                <w:noProof/>
                <w:webHidden/>
              </w:rPr>
              <w:tab/>
            </w:r>
            <w:r>
              <w:rPr>
                <w:noProof/>
                <w:webHidden/>
              </w:rPr>
              <w:fldChar w:fldCharType="begin"/>
            </w:r>
            <w:r>
              <w:rPr>
                <w:noProof/>
                <w:webHidden/>
              </w:rPr>
              <w:instrText xml:space="preserve"> PAGEREF _Toc193043265 \h </w:instrText>
            </w:r>
            <w:r>
              <w:rPr>
                <w:noProof/>
                <w:webHidden/>
              </w:rPr>
            </w:r>
            <w:r>
              <w:rPr>
                <w:noProof/>
                <w:webHidden/>
              </w:rPr>
              <w:fldChar w:fldCharType="separate"/>
            </w:r>
            <w:r w:rsidR="00DB579D">
              <w:rPr>
                <w:noProof/>
                <w:webHidden/>
              </w:rPr>
              <w:t>106</w:t>
            </w:r>
            <w:r>
              <w:rPr>
                <w:noProof/>
                <w:webHidden/>
              </w:rPr>
              <w:fldChar w:fldCharType="end"/>
            </w:r>
          </w:hyperlink>
        </w:p>
        <w:p w14:paraId="7C0CA9EC" w14:textId="4630444C" w:rsidR="0038342A" w:rsidRDefault="0038342A">
          <w:pPr>
            <w:pStyle w:val="TOC3"/>
            <w:rPr>
              <w:rFonts w:asciiTheme="minorHAnsi" w:hAnsiTheme="minorHAnsi" w:cstheme="minorBidi"/>
              <w:noProof/>
              <w:kern w:val="2"/>
              <w:lang w:val="en-GB"/>
              <w14:ligatures w14:val="standardContextual"/>
            </w:rPr>
          </w:pPr>
          <w:hyperlink w:anchor="_Toc193043266" w:history="1">
            <w:r w:rsidRPr="0075519C">
              <w:rPr>
                <w:rStyle w:val="Hyperlink"/>
              </w:rPr>
              <w:t>2.4.4</w:t>
            </w:r>
            <w:r>
              <w:rPr>
                <w:rFonts w:asciiTheme="minorHAnsi" w:hAnsiTheme="minorHAnsi" w:cstheme="minorBidi"/>
                <w:noProof/>
                <w:kern w:val="2"/>
                <w:lang w:val="en-GB"/>
                <w14:ligatures w14:val="standardContextual"/>
              </w:rPr>
              <w:tab/>
            </w:r>
            <w:r w:rsidRPr="0075519C">
              <w:rPr>
                <w:rStyle w:val="Hyperlink"/>
              </w:rPr>
              <w:t>Energetsko siromaštvo i siromaštvo u pogledu mobilnosti</w:t>
            </w:r>
            <w:r>
              <w:rPr>
                <w:noProof/>
                <w:webHidden/>
              </w:rPr>
              <w:tab/>
            </w:r>
            <w:r>
              <w:rPr>
                <w:noProof/>
                <w:webHidden/>
              </w:rPr>
              <w:fldChar w:fldCharType="begin"/>
            </w:r>
            <w:r>
              <w:rPr>
                <w:noProof/>
                <w:webHidden/>
              </w:rPr>
              <w:instrText xml:space="preserve"> PAGEREF _Toc193043266 \h </w:instrText>
            </w:r>
            <w:r>
              <w:rPr>
                <w:noProof/>
                <w:webHidden/>
              </w:rPr>
            </w:r>
            <w:r>
              <w:rPr>
                <w:noProof/>
                <w:webHidden/>
              </w:rPr>
              <w:fldChar w:fldCharType="separate"/>
            </w:r>
            <w:r w:rsidR="00DB579D">
              <w:rPr>
                <w:noProof/>
                <w:webHidden/>
              </w:rPr>
              <w:t>110</w:t>
            </w:r>
            <w:r>
              <w:rPr>
                <w:noProof/>
                <w:webHidden/>
              </w:rPr>
              <w:fldChar w:fldCharType="end"/>
            </w:r>
          </w:hyperlink>
        </w:p>
        <w:p w14:paraId="0CDFC8A2" w14:textId="069AB460" w:rsidR="0038342A" w:rsidRDefault="0038342A">
          <w:pPr>
            <w:pStyle w:val="TOC2"/>
            <w:rPr>
              <w:rFonts w:asciiTheme="minorHAnsi" w:hAnsiTheme="minorHAnsi" w:cstheme="minorBidi"/>
              <w:noProof/>
              <w:kern w:val="2"/>
              <w:lang w:val="en-GB"/>
              <w14:ligatures w14:val="standardContextual"/>
            </w:rPr>
          </w:pPr>
          <w:hyperlink w:anchor="_Toc193043267" w:history="1">
            <w:r w:rsidRPr="0075519C">
              <w:rPr>
                <w:rStyle w:val="Hyperlink"/>
              </w:rPr>
              <w:t>2.5</w:t>
            </w:r>
            <w:r>
              <w:rPr>
                <w:rFonts w:asciiTheme="minorHAnsi" w:hAnsiTheme="minorHAnsi" w:cstheme="minorBidi"/>
                <w:noProof/>
                <w:kern w:val="2"/>
                <w:lang w:val="en-GB"/>
                <w14:ligatures w14:val="standardContextual"/>
              </w:rPr>
              <w:tab/>
            </w:r>
            <w:r w:rsidRPr="0075519C">
              <w:rPr>
                <w:rStyle w:val="Hyperlink"/>
              </w:rPr>
              <w:t>Dimenzija: istraživanje, inovacije i konkurentnost</w:t>
            </w:r>
            <w:r>
              <w:rPr>
                <w:noProof/>
                <w:webHidden/>
              </w:rPr>
              <w:tab/>
            </w:r>
            <w:r>
              <w:rPr>
                <w:noProof/>
                <w:webHidden/>
              </w:rPr>
              <w:fldChar w:fldCharType="begin"/>
            </w:r>
            <w:r>
              <w:rPr>
                <w:noProof/>
                <w:webHidden/>
              </w:rPr>
              <w:instrText xml:space="preserve"> PAGEREF _Toc193043267 \h </w:instrText>
            </w:r>
            <w:r>
              <w:rPr>
                <w:noProof/>
                <w:webHidden/>
              </w:rPr>
            </w:r>
            <w:r>
              <w:rPr>
                <w:noProof/>
                <w:webHidden/>
              </w:rPr>
              <w:fldChar w:fldCharType="separate"/>
            </w:r>
            <w:r w:rsidR="00DB579D">
              <w:rPr>
                <w:noProof/>
                <w:webHidden/>
              </w:rPr>
              <w:t>113</w:t>
            </w:r>
            <w:r>
              <w:rPr>
                <w:noProof/>
                <w:webHidden/>
              </w:rPr>
              <w:fldChar w:fldCharType="end"/>
            </w:r>
          </w:hyperlink>
        </w:p>
        <w:p w14:paraId="0020B91C" w14:textId="2B378461" w:rsidR="0038342A" w:rsidRDefault="0038342A" w:rsidP="00DB579D">
          <w:pPr>
            <w:pStyle w:val="TOC1"/>
            <w:rPr>
              <w:rFonts w:asciiTheme="minorHAnsi" w:hAnsiTheme="minorHAnsi" w:cstheme="minorBidi"/>
              <w:noProof/>
              <w:color w:val="auto"/>
              <w:kern w:val="2"/>
              <w:sz w:val="24"/>
              <w:lang w:val="en-GB"/>
              <w14:ligatures w14:val="standardContextual"/>
            </w:rPr>
          </w:pPr>
          <w:hyperlink w:anchor="_Toc193043268" w:history="1">
            <w:r w:rsidRPr="0075519C">
              <w:rPr>
                <w:rStyle w:val="Hyperlink"/>
              </w:rPr>
              <w:t>3.</w:t>
            </w:r>
            <w:r>
              <w:rPr>
                <w:rFonts w:asciiTheme="minorHAnsi" w:hAnsiTheme="minorHAnsi" w:cstheme="minorBidi"/>
                <w:noProof/>
                <w:color w:val="auto"/>
                <w:kern w:val="2"/>
                <w:sz w:val="24"/>
                <w:lang w:val="en-GB"/>
                <w14:ligatures w14:val="standardContextual"/>
              </w:rPr>
              <w:tab/>
            </w:r>
            <w:r w:rsidRPr="0075519C">
              <w:rPr>
                <w:rStyle w:val="Hyperlink"/>
              </w:rPr>
              <w:t>POLITIKE I MJERE</w:t>
            </w:r>
            <w:r>
              <w:rPr>
                <w:noProof/>
                <w:webHidden/>
              </w:rPr>
              <w:tab/>
            </w:r>
            <w:r>
              <w:rPr>
                <w:noProof/>
                <w:webHidden/>
              </w:rPr>
              <w:fldChar w:fldCharType="begin"/>
            </w:r>
            <w:r>
              <w:rPr>
                <w:noProof/>
                <w:webHidden/>
              </w:rPr>
              <w:instrText xml:space="preserve"> PAGEREF _Toc193043268 \h </w:instrText>
            </w:r>
            <w:r>
              <w:rPr>
                <w:noProof/>
                <w:webHidden/>
              </w:rPr>
            </w:r>
            <w:r>
              <w:rPr>
                <w:noProof/>
                <w:webHidden/>
              </w:rPr>
              <w:fldChar w:fldCharType="separate"/>
            </w:r>
            <w:r w:rsidR="00DB579D">
              <w:rPr>
                <w:noProof/>
                <w:webHidden/>
              </w:rPr>
              <w:t>116</w:t>
            </w:r>
            <w:r>
              <w:rPr>
                <w:noProof/>
                <w:webHidden/>
              </w:rPr>
              <w:fldChar w:fldCharType="end"/>
            </w:r>
          </w:hyperlink>
        </w:p>
        <w:p w14:paraId="026A1AE0" w14:textId="67D718F1" w:rsidR="0038342A" w:rsidRDefault="0038342A">
          <w:pPr>
            <w:pStyle w:val="TOC2"/>
            <w:rPr>
              <w:rFonts w:asciiTheme="minorHAnsi" w:hAnsiTheme="minorHAnsi" w:cstheme="minorBidi"/>
              <w:noProof/>
              <w:kern w:val="2"/>
              <w:lang w:val="en-GB"/>
              <w14:ligatures w14:val="standardContextual"/>
            </w:rPr>
          </w:pPr>
          <w:hyperlink w:anchor="_Toc193043269" w:history="1">
            <w:r w:rsidRPr="0075519C">
              <w:rPr>
                <w:rStyle w:val="Hyperlink"/>
              </w:rPr>
              <w:t>3.1</w:t>
            </w:r>
            <w:r>
              <w:rPr>
                <w:rFonts w:asciiTheme="minorHAnsi" w:hAnsiTheme="minorHAnsi" w:cstheme="minorBidi"/>
                <w:noProof/>
                <w:kern w:val="2"/>
                <w:lang w:val="en-GB"/>
                <w14:ligatures w14:val="standardContextual"/>
              </w:rPr>
              <w:tab/>
            </w:r>
            <w:r w:rsidRPr="0075519C">
              <w:rPr>
                <w:rStyle w:val="Hyperlink"/>
              </w:rPr>
              <w:t>Dimenzija: dekarbonizacija</w:t>
            </w:r>
            <w:r>
              <w:rPr>
                <w:noProof/>
                <w:webHidden/>
              </w:rPr>
              <w:tab/>
            </w:r>
            <w:r>
              <w:rPr>
                <w:noProof/>
                <w:webHidden/>
              </w:rPr>
              <w:fldChar w:fldCharType="begin"/>
            </w:r>
            <w:r>
              <w:rPr>
                <w:noProof/>
                <w:webHidden/>
              </w:rPr>
              <w:instrText xml:space="preserve"> PAGEREF _Toc193043269 \h </w:instrText>
            </w:r>
            <w:r>
              <w:rPr>
                <w:noProof/>
                <w:webHidden/>
              </w:rPr>
            </w:r>
            <w:r>
              <w:rPr>
                <w:noProof/>
                <w:webHidden/>
              </w:rPr>
              <w:fldChar w:fldCharType="separate"/>
            </w:r>
            <w:r w:rsidR="00DB579D">
              <w:rPr>
                <w:noProof/>
                <w:webHidden/>
              </w:rPr>
              <w:t>116</w:t>
            </w:r>
            <w:r>
              <w:rPr>
                <w:noProof/>
                <w:webHidden/>
              </w:rPr>
              <w:fldChar w:fldCharType="end"/>
            </w:r>
          </w:hyperlink>
        </w:p>
        <w:p w14:paraId="3B95C397" w14:textId="7F4B886D" w:rsidR="0038342A" w:rsidRDefault="0038342A">
          <w:pPr>
            <w:pStyle w:val="TOC3"/>
            <w:rPr>
              <w:rFonts w:asciiTheme="minorHAnsi" w:hAnsiTheme="minorHAnsi" w:cstheme="minorBidi"/>
              <w:noProof/>
              <w:kern w:val="2"/>
              <w:lang w:val="en-GB"/>
              <w14:ligatures w14:val="standardContextual"/>
            </w:rPr>
          </w:pPr>
          <w:hyperlink w:anchor="_Toc193043270" w:history="1">
            <w:r w:rsidRPr="0075519C">
              <w:rPr>
                <w:rStyle w:val="Hyperlink"/>
              </w:rPr>
              <w:t>3.1.1</w:t>
            </w:r>
            <w:r>
              <w:rPr>
                <w:rFonts w:asciiTheme="minorHAnsi" w:hAnsiTheme="minorHAnsi" w:cstheme="minorBidi"/>
                <w:noProof/>
                <w:kern w:val="2"/>
                <w:lang w:val="en-GB"/>
                <w14:ligatures w14:val="standardContextual"/>
              </w:rPr>
              <w:tab/>
            </w:r>
            <w:r w:rsidRPr="0075519C">
              <w:rPr>
                <w:rStyle w:val="Hyperlink"/>
              </w:rPr>
              <w:t>Emisije i uklanjanja stakleničkih plinova</w:t>
            </w:r>
            <w:r>
              <w:rPr>
                <w:noProof/>
                <w:webHidden/>
              </w:rPr>
              <w:tab/>
            </w:r>
            <w:r>
              <w:rPr>
                <w:noProof/>
                <w:webHidden/>
              </w:rPr>
              <w:fldChar w:fldCharType="begin"/>
            </w:r>
            <w:r>
              <w:rPr>
                <w:noProof/>
                <w:webHidden/>
              </w:rPr>
              <w:instrText xml:space="preserve"> PAGEREF _Toc193043270 \h </w:instrText>
            </w:r>
            <w:r>
              <w:rPr>
                <w:noProof/>
                <w:webHidden/>
              </w:rPr>
            </w:r>
            <w:r>
              <w:rPr>
                <w:noProof/>
                <w:webHidden/>
              </w:rPr>
              <w:fldChar w:fldCharType="separate"/>
            </w:r>
            <w:r w:rsidR="00DB579D">
              <w:rPr>
                <w:noProof/>
                <w:webHidden/>
              </w:rPr>
              <w:t>116</w:t>
            </w:r>
            <w:r>
              <w:rPr>
                <w:noProof/>
                <w:webHidden/>
              </w:rPr>
              <w:fldChar w:fldCharType="end"/>
            </w:r>
          </w:hyperlink>
        </w:p>
        <w:p w14:paraId="7B7D5341" w14:textId="7ABA4F27" w:rsidR="0038342A" w:rsidRDefault="0038342A">
          <w:pPr>
            <w:pStyle w:val="TOC3"/>
            <w:rPr>
              <w:rFonts w:asciiTheme="minorHAnsi" w:hAnsiTheme="minorHAnsi" w:cstheme="minorBidi"/>
              <w:noProof/>
              <w:kern w:val="2"/>
              <w:lang w:val="en-GB"/>
              <w14:ligatures w14:val="standardContextual"/>
            </w:rPr>
          </w:pPr>
          <w:hyperlink w:anchor="_Toc193043271" w:history="1">
            <w:r w:rsidRPr="0075519C">
              <w:rPr>
                <w:rStyle w:val="Hyperlink"/>
              </w:rPr>
              <w:t>3.1.2</w:t>
            </w:r>
            <w:r>
              <w:rPr>
                <w:rFonts w:asciiTheme="minorHAnsi" w:hAnsiTheme="minorHAnsi" w:cstheme="minorBidi"/>
                <w:noProof/>
                <w:kern w:val="2"/>
                <w:lang w:val="en-GB"/>
                <w14:ligatures w14:val="standardContextual"/>
              </w:rPr>
              <w:tab/>
            </w:r>
            <w:r w:rsidRPr="0075519C">
              <w:rPr>
                <w:rStyle w:val="Hyperlink"/>
              </w:rPr>
              <w:t>Energija iz obnovljivih izvora</w:t>
            </w:r>
            <w:r>
              <w:rPr>
                <w:noProof/>
                <w:webHidden/>
              </w:rPr>
              <w:tab/>
            </w:r>
            <w:r>
              <w:rPr>
                <w:noProof/>
                <w:webHidden/>
              </w:rPr>
              <w:fldChar w:fldCharType="begin"/>
            </w:r>
            <w:r>
              <w:rPr>
                <w:noProof/>
                <w:webHidden/>
              </w:rPr>
              <w:instrText xml:space="preserve"> PAGEREF _Toc193043271 \h </w:instrText>
            </w:r>
            <w:r>
              <w:rPr>
                <w:noProof/>
                <w:webHidden/>
              </w:rPr>
            </w:r>
            <w:r>
              <w:rPr>
                <w:noProof/>
                <w:webHidden/>
              </w:rPr>
              <w:fldChar w:fldCharType="separate"/>
            </w:r>
            <w:r w:rsidR="00DB579D">
              <w:rPr>
                <w:noProof/>
                <w:webHidden/>
              </w:rPr>
              <w:t>181</w:t>
            </w:r>
            <w:r>
              <w:rPr>
                <w:noProof/>
                <w:webHidden/>
              </w:rPr>
              <w:fldChar w:fldCharType="end"/>
            </w:r>
          </w:hyperlink>
        </w:p>
        <w:p w14:paraId="11EFD59C" w14:textId="1303D6DA" w:rsidR="0038342A" w:rsidRDefault="0038342A">
          <w:pPr>
            <w:pStyle w:val="TOC3"/>
            <w:rPr>
              <w:rFonts w:asciiTheme="minorHAnsi" w:hAnsiTheme="minorHAnsi" w:cstheme="minorBidi"/>
              <w:noProof/>
              <w:kern w:val="2"/>
              <w:lang w:val="en-GB"/>
              <w14:ligatures w14:val="standardContextual"/>
            </w:rPr>
          </w:pPr>
          <w:hyperlink w:anchor="_Toc193043272" w:history="1">
            <w:r w:rsidRPr="0075519C">
              <w:rPr>
                <w:rStyle w:val="Hyperlink"/>
              </w:rPr>
              <w:t>3.1.3</w:t>
            </w:r>
            <w:r>
              <w:rPr>
                <w:rFonts w:asciiTheme="minorHAnsi" w:hAnsiTheme="minorHAnsi" w:cstheme="minorBidi"/>
                <w:noProof/>
                <w:kern w:val="2"/>
                <w:lang w:val="en-GB"/>
                <w14:ligatures w14:val="standardContextual"/>
              </w:rPr>
              <w:tab/>
            </w:r>
            <w:r w:rsidRPr="0075519C">
              <w:rPr>
                <w:rStyle w:val="Hyperlink"/>
              </w:rPr>
              <w:t>Ostali elementi dimenzije</w:t>
            </w:r>
            <w:r>
              <w:rPr>
                <w:noProof/>
                <w:webHidden/>
              </w:rPr>
              <w:tab/>
            </w:r>
            <w:r>
              <w:rPr>
                <w:noProof/>
                <w:webHidden/>
              </w:rPr>
              <w:fldChar w:fldCharType="begin"/>
            </w:r>
            <w:r>
              <w:rPr>
                <w:noProof/>
                <w:webHidden/>
              </w:rPr>
              <w:instrText xml:space="preserve"> PAGEREF _Toc193043272 \h </w:instrText>
            </w:r>
            <w:r>
              <w:rPr>
                <w:noProof/>
                <w:webHidden/>
              </w:rPr>
            </w:r>
            <w:r>
              <w:rPr>
                <w:noProof/>
                <w:webHidden/>
              </w:rPr>
              <w:fldChar w:fldCharType="separate"/>
            </w:r>
            <w:r w:rsidR="00DB579D">
              <w:rPr>
                <w:noProof/>
                <w:webHidden/>
              </w:rPr>
              <w:t>197</w:t>
            </w:r>
            <w:r>
              <w:rPr>
                <w:noProof/>
                <w:webHidden/>
              </w:rPr>
              <w:fldChar w:fldCharType="end"/>
            </w:r>
          </w:hyperlink>
        </w:p>
        <w:p w14:paraId="38E271DA" w14:textId="22A26F27" w:rsidR="0038342A" w:rsidRDefault="0038342A">
          <w:pPr>
            <w:pStyle w:val="TOC2"/>
            <w:rPr>
              <w:rFonts w:asciiTheme="minorHAnsi" w:hAnsiTheme="minorHAnsi" w:cstheme="minorBidi"/>
              <w:noProof/>
              <w:kern w:val="2"/>
              <w:lang w:val="en-GB"/>
              <w14:ligatures w14:val="standardContextual"/>
            </w:rPr>
          </w:pPr>
          <w:hyperlink w:anchor="_Toc193043273" w:history="1">
            <w:r w:rsidRPr="0075519C">
              <w:rPr>
                <w:rStyle w:val="Hyperlink"/>
              </w:rPr>
              <w:t>3.2</w:t>
            </w:r>
            <w:r>
              <w:rPr>
                <w:rFonts w:asciiTheme="minorHAnsi" w:hAnsiTheme="minorHAnsi" w:cstheme="minorBidi"/>
                <w:noProof/>
                <w:kern w:val="2"/>
                <w:lang w:val="en-GB"/>
                <w14:ligatures w14:val="standardContextual"/>
              </w:rPr>
              <w:tab/>
            </w:r>
            <w:r w:rsidRPr="0075519C">
              <w:rPr>
                <w:rStyle w:val="Hyperlink"/>
              </w:rPr>
              <w:t>Dimenzija: energetska učinkovitost</w:t>
            </w:r>
            <w:r>
              <w:rPr>
                <w:noProof/>
                <w:webHidden/>
              </w:rPr>
              <w:tab/>
            </w:r>
            <w:r>
              <w:rPr>
                <w:noProof/>
                <w:webHidden/>
              </w:rPr>
              <w:fldChar w:fldCharType="begin"/>
            </w:r>
            <w:r>
              <w:rPr>
                <w:noProof/>
                <w:webHidden/>
              </w:rPr>
              <w:instrText xml:space="preserve"> PAGEREF _Toc193043273 \h </w:instrText>
            </w:r>
            <w:r>
              <w:rPr>
                <w:noProof/>
                <w:webHidden/>
              </w:rPr>
            </w:r>
            <w:r>
              <w:rPr>
                <w:noProof/>
                <w:webHidden/>
              </w:rPr>
              <w:fldChar w:fldCharType="separate"/>
            </w:r>
            <w:r w:rsidR="00DB579D">
              <w:rPr>
                <w:noProof/>
                <w:webHidden/>
              </w:rPr>
              <w:t>210</w:t>
            </w:r>
            <w:r>
              <w:rPr>
                <w:noProof/>
                <w:webHidden/>
              </w:rPr>
              <w:fldChar w:fldCharType="end"/>
            </w:r>
          </w:hyperlink>
        </w:p>
        <w:p w14:paraId="62368A2A" w14:textId="20AF89BA" w:rsidR="0038342A" w:rsidRDefault="0038342A">
          <w:pPr>
            <w:pStyle w:val="TOC2"/>
            <w:rPr>
              <w:rFonts w:asciiTheme="minorHAnsi" w:hAnsiTheme="minorHAnsi" w:cstheme="minorBidi"/>
              <w:noProof/>
              <w:kern w:val="2"/>
              <w:lang w:val="en-GB"/>
              <w14:ligatures w14:val="standardContextual"/>
            </w:rPr>
          </w:pPr>
          <w:hyperlink w:anchor="_Toc193043274" w:history="1">
            <w:r w:rsidRPr="0075519C">
              <w:rPr>
                <w:rStyle w:val="Hyperlink"/>
              </w:rPr>
              <w:t>3.3</w:t>
            </w:r>
            <w:r>
              <w:rPr>
                <w:rFonts w:asciiTheme="minorHAnsi" w:hAnsiTheme="minorHAnsi" w:cstheme="minorBidi"/>
                <w:noProof/>
                <w:kern w:val="2"/>
                <w:lang w:val="en-GB"/>
                <w14:ligatures w14:val="standardContextual"/>
              </w:rPr>
              <w:tab/>
            </w:r>
            <w:r w:rsidRPr="0075519C">
              <w:rPr>
                <w:rStyle w:val="Hyperlink"/>
              </w:rPr>
              <w:t>Dimenzija: energetska sigurnost</w:t>
            </w:r>
            <w:r>
              <w:rPr>
                <w:noProof/>
                <w:webHidden/>
              </w:rPr>
              <w:tab/>
            </w:r>
            <w:r>
              <w:rPr>
                <w:noProof/>
                <w:webHidden/>
              </w:rPr>
              <w:fldChar w:fldCharType="begin"/>
            </w:r>
            <w:r>
              <w:rPr>
                <w:noProof/>
                <w:webHidden/>
              </w:rPr>
              <w:instrText xml:space="preserve"> PAGEREF _Toc193043274 \h </w:instrText>
            </w:r>
            <w:r>
              <w:rPr>
                <w:noProof/>
                <w:webHidden/>
              </w:rPr>
            </w:r>
            <w:r>
              <w:rPr>
                <w:noProof/>
                <w:webHidden/>
              </w:rPr>
              <w:fldChar w:fldCharType="separate"/>
            </w:r>
            <w:r w:rsidR="00DB579D">
              <w:rPr>
                <w:noProof/>
                <w:webHidden/>
              </w:rPr>
              <w:t>246</w:t>
            </w:r>
            <w:r>
              <w:rPr>
                <w:noProof/>
                <w:webHidden/>
              </w:rPr>
              <w:fldChar w:fldCharType="end"/>
            </w:r>
          </w:hyperlink>
        </w:p>
        <w:p w14:paraId="615F6285" w14:textId="7A169930" w:rsidR="0038342A" w:rsidRDefault="0038342A">
          <w:pPr>
            <w:pStyle w:val="TOC2"/>
            <w:rPr>
              <w:rFonts w:asciiTheme="minorHAnsi" w:hAnsiTheme="minorHAnsi" w:cstheme="minorBidi"/>
              <w:noProof/>
              <w:kern w:val="2"/>
              <w:lang w:val="en-GB"/>
              <w14:ligatures w14:val="standardContextual"/>
            </w:rPr>
          </w:pPr>
          <w:hyperlink w:anchor="_Toc193043275" w:history="1">
            <w:r w:rsidRPr="0075519C">
              <w:rPr>
                <w:rStyle w:val="Hyperlink"/>
              </w:rPr>
              <w:t>3.4</w:t>
            </w:r>
            <w:r>
              <w:rPr>
                <w:rFonts w:asciiTheme="minorHAnsi" w:hAnsiTheme="minorHAnsi" w:cstheme="minorBidi"/>
                <w:noProof/>
                <w:kern w:val="2"/>
                <w:lang w:val="en-GB"/>
                <w14:ligatures w14:val="standardContextual"/>
              </w:rPr>
              <w:tab/>
            </w:r>
            <w:r w:rsidRPr="0075519C">
              <w:rPr>
                <w:rStyle w:val="Hyperlink"/>
              </w:rPr>
              <w:t>Dimenzija: unutarnje energetsko tržište</w:t>
            </w:r>
            <w:r>
              <w:rPr>
                <w:noProof/>
                <w:webHidden/>
              </w:rPr>
              <w:tab/>
            </w:r>
            <w:r>
              <w:rPr>
                <w:noProof/>
                <w:webHidden/>
              </w:rPr>
              <w:fldChar w:fldCharType="begin"/>
            </w:r>
            <w:r>
              <w:rPr>
                <w:noProof/>
                <w:webHidden/>
              </w:rPr>
              <w:instrText xml:space="preserve"> PAGEREF _Toc193043275 \h </w:instrText>
            </w:r>
            <w:r>
              <w:rPr>
                <w:noProof/>
                <w:webHidden/>
              </w:rPr>
            </w:r>
            <w:r>
              <w:rPr>
                <w:noProof/>
                <w:webHidden/>
              </w:rPr>
              <w:fldChar w:fldCharType="separate"/>
            </w:r>
            <w:r w:rsidR="00DB579D">
              <w:rPr>
                <w:noProof/>
                <w:webHidden/>
              </w:rPr>
              <w:t>258</w:t>
            </w:r>
            <w:r>
              <w:rPr>
                <w:noProof/>
                <w:webHidden/>
              </w:rPr>
              <w:fldChar w:fldCharType="end"/>
            </w:r>
          </w:hyperlink>
        </w:p>
        <w:p w14:paraId="23536C6C" w14:textId="22A5310E" w:rsidR="0038342A" w:rsidRDefault="0038342A">
          <w:pPr>
            <w:pStyle w:val="TOC3"/>
            <w:rPr>
              <w:rFonts w:asciiTheme="minorHAnsi" w:hAnsiTheme="minorHAnsi" w:cstheme="minorBidi"/>
              <w:noProof/>
              <w:kern w:val="2"/>
              <w:lang w:val="en-GB"/>
              <w14:ligatures w14:val="standardContextual"/>
            </w:rPr>
          </w:pPr>
          <w:hyperlink w:anchor="_Toc193043276" w:history="1">
            <w:r w:rsidRPr="0075519C">
              <w:rPr>
                <w:rStyle w:val="Hyperlink"/>
              </w:rPr>
              <w:t>3.4.1</w:t>
            </w:r>
            <w:r>
              <w:rPr>
                <w:rFonts w:asciiTheme="minorHAnsi" w:hAnsiTheme="minorHAnsi" w:cstheme="minorBidi"/>
                <w:noProof/>
                <w:kern w:val="2"/>
                <w:lang w:val="en-GB"/>
                <w14:ligatures w14:val="standardContextual"/>
              </w:rPr>
              <w:tab/>
            </w:r>
            <w:r w:rsidRPr="0075519C">
              <w:rPr>
                <w:rStyle w:val="Hyperlink"/>
              </w:rPr>
              <w:t>Elektroenergetska infrastruktura</w:t>
            </w:r>
            <w:r>
              <w:rPr>
                <w:noProof/>
                <w:webHidden/>
              </w:rPr>
              <w:tab/>
            </w:r>
            <w:r>
              <w:rPr>
                <w:noProof/>
                <w:webHidden/>
              </w:rPr>
              <w:fldChar w:fldCharType="begin"/>
            </w:r>
            <w:r>
              <w:rPr>
                <w:noProof/>
                <w:webHidden/>
              </w:rPr>
              <w:instrText xml:space="preserve"> PAGEREF _Toc193043276 \h </w:instrText>
            </w:r>
            <w:r>
              <w:rPr>
                <w:noProof/>
                <w:webHidden/>
              </w:rPr>
            </w:r>
            <w:r>
              <w:rPr>
                <w:noProof/>
                <w:webHidden/>
              </w:rPr>
              <w:fldChar w:fldCharType="separate"/>
            </w:r>
            <w:r w:rsidR="00DB579D">
              <w:rPr>
                <w:noProof/>
                <w:webHidden/>
              </w:rPr>
              <w:t>258</w:t>
            </w:r>
            <w:r>
              <w:rPr>
                <w:noProof/>
                <w:webHidden/>
              </w:rPr>
              <w:fldChar w:fldCharType="end"/>
            </w:r>
          </w:hyperlink>
        </w:p>
        <w:p w14:paraId="5273387C" w14:textId="5A999040" w:rsidR="0038342A" w:rsidRDefault="0038342A">
          <w:pPr>
            <w:pStyle w:val="TOC3"/>
            <w:rPr>
              <w:rFonts w:asciiTheme="minorHAnsi" w:hAnsiTheme="minorHAnsi" w:cstheme="minorBidi"/>
              <w:noProof/>
              <w:kern w:val="2"/>
              <w:lang w:val="en-GB"/>
              <w14:ligatures w14:val="standardContextual"/>
            </w:rPr>
          </w:pPr>
          <w:hyperlink w:anchor="_Toc193043277" w:history="1">
            <w:r w:rsidRPr="0075519C">
              <w:rPr>
                <w:rStyle w:val="Hyperlink"/>
              </w:rPr>
              <w:t>3.4.2</w:t>
            </w:r>
            <w:r>
              <w:rPr>
                <w:rFonts w:asciiTheme="minorHAnsi" w:hAnsiTheme="minorHAnsi" w:cstheme="minorBidi"/>
                <w:noProof/>
                <w:kern w:val="2"/>
                <w:lang w:val="en-GB"/>
                <w14:ligatures w14:val="standardContextual"/>
              </w:rPr>
              <w:tab/>
            </w:r>
            <w:r w:rsidRPr="0075519C">
              <w:rPr>
                <w:rStyle w:val="Hyperlink"/>
              </w:rPr>
              <w:t>Infrastruktura za prijenos energije</w:t>
            </w:r>
            <w:r>
              <w:rPr>
                <w:noProof/>
                <w:webHidden/>
              </w:rPr>
              <w:tab/>
            </w:r>
            <w:r>
              <w:rPr>
                <w:noProof/>
                <w:webHidden/>
              </w:rPr>
              <w:fldChar w:fldCharType="begin"/>
            </w:r>
            <w:r>
              <w:rPr>
                <w:noProof/>
                <w:webHidden/>
              </w:rPr>
              <w:instrText xml:space="preserve"> PAGEREF _Toc193043277 \h </w:instrText>
            </w:r>
            <w:r>
              <w:rPr>
                <w:noProof/>
                <w:webHidden/>
              </w:rPr>
            </w:r>
            <w:r>
              <w:rPr>
                <w:noProof/>
                <w:webHidden/>
              </w:rPr>
              <w:fldChar w:fldCharType="separate"/>
            </w:r>
            <w:r w:rsidR="00DB579D">
              <w:rPr>
                <w:noProof/>
                <w:webHidden/>
              </w:rPr>
              <w:t>259</w:t>
            </w:r>
            <w:r>
              <w:rPr>
                <w:noProof/>
                <w:webHidden/>
              </w:rPr>
              <w:fldChar w:fldCharType="end"/>
            </w:r>
          </w:hyperlink>
        </w:p>
        <w:p w14:paraId="294AD14D" w14:textId="3949BC3E" w:rsidR="0038342A" w:rsidRDefault="0038342A">
          <w:pPr>
            <w:pStyle w:val="TOC3"/>
            <w:rPr>
              <w:rFonts w:asciiTheme="minorHAnsi" w:hAnsiTheme="minorHAnsi" w:cstheme="minorBidi"/>
              <w:noProof/>
              <w:kern w:val="2"/>
              <w:lang w:val="en-GB"/>
              <w14:ligatures w14:val="standardContextual"/>
            </w:rPr>
          </w:pPr>
          <w:hyperlink w:anchor="_Toc193043278" w:history="1">
            <w:r w:rsidRPr="0075519C">
              <w:rPr>
                <w:rStyle w:val="Hyperlink"/>
              </w:rPr>
              <w:t>3.4.3</w:t>
            </w:r>
            <w:r>
              <w:rPr>
                <w:rFonts w:asciiTheme="minorHAnsi" w:hAnsiTheme="minorHAnsi" w:cstheme="minorBidi"/>
                <w:noProof/>
                <w:kern w:val="2"/>
                <w:lang w:val="en-GB"/>
                <w14:ligatures w14:val="standardContextual"/>
              </w:rPr>
              <w:tab/>
            </w:r>
            <w:r w:rsidRPr="0075519C">
              <w:rPr>
                <w:rStyle w:val="Hyperlink"/>
              </w:rPr>
              <w:t>Integracija tržišta</w:t>
            </w:r>
            <w:r>
              <w:rPr>
                <w:noProof/>
                <w:webHidden/>
              </w:rPr>
              <w:tab/>
            </w:r>
            <w:r>
              <w:rPr>
                <w:noProof/>
                <w:webHidden/>
              </w:rPr>
              <w:fldChar w:fldCharType="begin"/>
            </w:r>
            <w:r>
              <w:rPr>
                <w:noProof/>
                <w:webHidden/>
              </w:rPr>
              <w:instrText xml:space="preserve"> PAGEREF _Toc193043278 \h </w:instrText>
            </w:r>
            <w:r>
              <w:rPr>
                <w:noProof/>
                <w:webHidden/>
              </w:rPr>
            </w:r>
            <w:r>
              <w:rPr>
                <w:noProof/>
                <w:webHidden/>
              </w:rPr>
              <w:fldChar w:fldCharType="separate"/>
            </w:r>
            <w:r w:rsidR="00DB579D">
              <w:rPr>
                <w:noProof/>
                <w:webHidden/>
              </w:rPr>
              <w:t>262</w:t>
            </w:r>
            <w:r>
              <w:rPr>
                <w:noProof/>
                <w:webHidden/>
              </w:rPr>
              <w:fldChar w:fldCharType="end"/>
            </w:r>
          </w:hyperlink>
        </w:p>
        <w:p w14:paraId="364C5229" w14:textId="6A42908D" w:rsidR="0038342A" w:rsidRDefault="0038342A">
          <w:pPr>
            <w:pStyle w:val="TOC3"/>
            <w:rPr>
              <w:rFonts w:asciiTheme="minorHAnsi" w:hAnsiTheme="minorHAnsi" w:cstheme="minorBidi"/>
              <w:noProof/>
              <w:kern w:val="2"/>
              <w:lang w:val="en-GB"/>
              <w14:ligatures w14:val="standardContextual"/>
            </w:rPr>
          </w:pPr>
          <w:hyperlink w:anchor="_Toc193043279" w:history="1">
            <w:r w:rsidRPr="0075519C">
              <w:rPr>
                <w:rStyle w:val="Hyperlink"/>
              </w:rPr>
              <w:t>3.4.4</w:t>
            </w:r>
            <w:r>
              <w:rPr>
                <w:rFonts w:asciiTheme="minorHAnsi" w:hAnsiTheme="minorHAnsi" w:cstheme="minorBidi"/>
                <w:noProof/>
                <w:kern w:val="2"/>
                <w:lang w:val="en-GB"/>
                <w14:ligatures w14:val="standardContextual"/>
              </w:rPr>
              <w:tab/>
            </w:r>
            <w:r w:rsidRPr="0075519C">
              <w:rPr>
                <w:rStyle w:val="Hyperlink"/>
              </w:rPr>
              <w:t>Energetsko siromaštvo i siromaštvo u pogledu mobilnosti</w:t>
            </w:r>
            <w:r>
              <w:rPr>
                <w:noProof/>
                <w:webHidden/>
              </w:rPr>
              <w:tab/>
            </w:r>
            <w:r>
              <w:rPr>
                <w:noProof/>
                <w:webHidden/>
              </w:rPr>
              <w:fldChar w:fldCharType="begin"/>
            </w:r>
            <w:r>
              <w:rPr>
                <w:noProof/>
                <w:webHidden/>
              </w:rPr>
              <w:instrText xml:space="preserve"> PAGEREF _Toc193043279 \h </w:instrText>
            </w:r>
            <w:r>
              <w:rPr>
                <w:noProof/>
                <w:webHidden/>
              </w:rPr>
            </w:r>
            <w:r>
              <w:rPr>
                <w:noProof/>
                <w:webHidden/>
              </w:rPr>
              <w:fldChar w:fldCharType="separate"/>
            </w:r>
            <w:r w:rsidR="00DB579D">
              <w:rPr>
                <w:noProof/>
                <w:webHidden/>
              </w:rPr>
              <w:t>267</w:t>
            </w:r>
            <w:r>
              <w:rPr>
                <w:noProof/>
                <w:webHidden/>
              </w:rPr>
              <w:fldChar w:fldCharType="end"/>
            </w:r>
          </w:hyperlink>
        </w:p>
        <w:p w14:paraId="28F8CAE9" w14:textId="059846D7" w:rsidR="0038342A" w:rsidRDefault="0038342A">
          <w:pPr>
            <w:pStyle w:val="TOC2"/>
            <w:rPr>
              <w:rFonts w:asciiTheme="minorHAnsi" w:hAnsiTheme="minorHAnsi" w:cstheme="minorBidi"/>
              <w:noProof/>
              <w:kern w:val="2"/>
              <w:lang w:val="en-GB"/>
              <w14:ligatures w14:val="standardContextual"/>
            </w:rPr>
          </w:pPr>
          <w:hyperlink w:anchor="_Toc193043280" w:history="1">
            <w:r w:rsidRPr="0075519C">
              <w:rPr>
                <w:rStyle w:val="Hyperlink"/>
              </w:rPr>
              <w:t>3.5</w:t>
            </w:r>
            <w:r>
              <w:rPr>
                <w:rFonts w:asciiTheme="minorHAnsi" w:hAnsiTheme="minorHAnsi" w:cstheme="minorBidi"/>
                <w:noProof/>
                <w:kern w:val="2"/>
                <w:lang w:val="en-GB"/>
                <w14:ligatures w14:val="standardContextual"/>
              </w:rPr>
              <w:tab/>
            </w:r>
            <w:r w:rsidRPr="0075519C">
              <w:rPr>
                <w:rStyle w:val="Hyperlink"/>
              </w:rPr>
              <w:t>Dimenzija: istraživanje, inovacije i konkurentnost</w:t>
            </w:r>
            <w:r>
              <w:rPr>
                <w:noProof/>
                <w:webHidden/>
              </w:rPr>
              <w:tab/>
            </w:r>
            <w:r>
              <w:rPr>
                <w:noProof/>
                <w:webHidden/>
              </w:rPr>
              <w:fldChar w:fldCharType="begin"/>
            </w:r>
            <w:r>
              <w:rPr>
                <w:noProof/>
                <w:webHidden/>
              </w:rPr>
              <w:instrText xml:space="preserve"> PAGEREF _Toc193043280 \h </w:instrText>
            </w:r>
            <w:r>
              <w:rPr>
                <w:noProof/>
                <w:webHidden/>
              </w:rPr>
            </w:r>
            <w:r>
              <w:rPr>
                <w:noProof/>
                <w:webHidden/>
              </w:rPr>
              <w:fldChar w:fldCharType="separate"/>
            </w:r>
            <w:r w:rsidR="00DB579D">
              <w:rPr>
                <w:noProof/>
                <w:webHidden/>
              </w:rPr>
              <w:t>270</w:t>
            </w:r>
            <w:r>
              <w:rPr>
                <w:noProof/>
                <w:webHidden/>
              </w:rPr>
              <w:fldChar w:fldCharType="end"/>
            </w:r>
          </w:hyperlink>
        </w:p>
        <w:p w14:paraId="6B8D0237" w14:textId="2F851B73" w:rsidR="0038342A" w:rsidRDefault="0038342A" w:rsidP="00DB579D">
          <w:pPr>
            <w:pStyle w:val="TOC1"/>
            <w:rPr>
              <w:rFonts w:asciiTheme="minorHAnsi" w:hAnsiTheme="minorHAnsi" w:cstheme="minorBidi"/>
              <w:noProof/>
              <w:color w:val="auto"/>
              <w:kern w:val="2"/>
              <w:sz w:val="24"/>
              <w:lang w:val="en-GB"/>
              <w14:ligatures w14:val="standardContextual"/>
            </w:rPr>
          </w:pPr>
          <w:hyperlink w:anchor="_Toc193043281" w:history="1">
            <w:r w:rsidRPr="0075519C">
              <w:rPr>
                <w:rStyle w:val="Hyperlink"/>
              </w:rPr>
              <w:t>DIO B: ANALITIČKA OSNOVA</w:t>
            </w:r>
            <w:r>
              <w:rPr>
                <w:noProof/>
                <w:webHidden/>
              </w:rPr>
              <w:tab/>
            </w:r>
            <w:r>
              <w:rPr>
                <w:noProof/>
                <w:webHidden/>
              </w:rPr>
              <w:fldChar w:fldCharType="begin"/>
            </w:r>
            <w:r>
              <w:rPr>
                <w:noProof/>
                <w:webHidden/>
              </w:rPr>
              <w:instrText xml:space="preserve"> PAGEREF _Toc193043281 \h </w:instrText>
            </w:r>
            <w:r>
              <w:rPr>
                <w:noProof/>
                <w:webHidden/>
              </w:rPr>
            </w:r>
            <w:r>
              <w:rPr>
                <w:noProof/>
                <w:webHidden/>
              </w:rPr>
              <w:fldChar w:fldCharType="separate"/>
            </w:r>
            <w:r w:rsidR="00DB579D">
              <w:rPr>
                <w:noProof/>
                <w:webHidden/>
              </w:rPr>
              <w:t>274</w:t>
            </w:r>
            <w:r>
              <w:rPr>
                <w:noProof/>
                <w:webHidden/>
              </w:rPr>
              <w:fldChar w:fldCharType="end"/>
            </w:r>
          </w:hyperlink>
        </w:p>
        <w:p w14:paraId="1B9AF351" w14:textId="22E6D280" w:rsidR="0038342A" w:rsidRDefault="0038342A" w:rsidP="00DB579D">
          <w:pPr>
            <w:pStyle w:val="TOC1"/>
            <w:rPr>
              <w:rFonts w:asciiTheme="minorHAnsi" w:hAnsiTheme="minorHAnsi" w:cstheme="minorBidi"/>
              <w:noProof/>
              <w:color w:val="auto"/>
              <w:kern w:val="2"/>
              <w:sz w:val="24"/>
              <w:lang w:val="en-GB"/>
              <w14:ligatures w14:val="standardContextual"/>
            </w:rPr>
          </w:pPr>
          <w:hyperlink w:anchor="_Toc193043282" w:history="1">
            <w:r w:rsidRPr="0075519C">
              <w:rPr>
                <w:rStyle w:val="Hyperlink"/>
              </w:rPr>
              <w:t>4.</w:t>
            </w:r>
            <w:r>
              <w:rPr>
                <w:rFonts w:asciiTheme="minorHAnsi" w:hAnsiTheme="minorHAnsi" w:cstheme="minorBidi"/>
                <w:noProof/>
                <w:color w:val="auto"/>
                <w:kern w:val="2"/>
                <w:sz w:val="24"/>
                <w:lang w:val="en-GB"/>
                <w14:ligatures w14:val="standardContextual"/>
              </w:rPr>
              <w:tab/>
            </w:r>
            <w:r w:rsidRPr="0075519C">
              <w:rPr>
                <w:rStyle w:val="Hyperlink"/>
              </w:rPr>
              <w:t>TRENUTAČNO STANJE I PROJEKCIJE NA TEMELJU POSTOJEĆIH POLITIKA I MJERA</w:t>
            </w:r>
            <w:r>
              <w:rPr>
                <w:noProof/>
                <w:webHidden/>
              </w:rPr>
              <w:tab/>
            </w:r>
            <w:r>
              <w:rPr>
                <w:noProof/>
                <w:webHidden/>
              </w:rPr>
              <w:fldChar w:fldCharType="begin"/>
            </w:r>
            <w:r>
              <w:rPr>
                <w:noProof/>
                <w:webHidden/>
              </w:rPr>
              <w:instrText xml:space="preserve"> PAGEREF _Toc193043282 \h </w:instrText>
            </w:r>
            <w:r>
              <w:rPr>
                <w:noProof/>
                <w:webHidden/>
              </w:rPr>
            </w:r>
            <w:r>
              <w:rPr>
                <w:noProof/>
                <w:webHidden/>
              </w:rPr>
              <w:fldChar w:fldCharType="separate"/>
            </w:r>
            <w:r w:rsidR="00DB579D">
              <w:rPr>
                <w:noProof/>
                <w:webHidden/>
              </w:rPr>
              <w:t>275</w:t>
            </w:r>
            <w:r>
              <w:rPr>
                <w:noProof/>
                <w:webHidden/>
              </w:rPr>
              <w:fldChar w:fldCharType="end"/>
            </w:r>
          </w:hyperlink>
        </w:p>
        <w:p w14:paraId="22751D4E" w14:textId="2FF9016A" w:rsidR="0038342A" w:rsidRDefault="0038342A">
          <w:pPr>
            <w:pStyle w:val="TOC2"/>
            <w:rPr>
              <w:rFonts w:asciiTheme="minorHAnsi" w:hAnsiTheme="minorHAnsi" w:cstheme="minorBidi"/>
              <w:noProof/>
              <w:kern w:val="2"/>
              <w:lang w:val="en-GB"/>
              <w14:ligatures w14:val="standardContextual"/>
            </w:rPr>
          </w:pPr>
          <w:hyperlink w:anchor="_Toc193043283" w:history="1">
            <w:r w:rsidRPr="0075519C">
              <w:rPr>
                <w:rStyle w:val="Hyperlink"/>
              </w:rPr>
              <w:t>4.1</w:t>
            </w:r>
            <w:r>
              <w:rPr>
                <w:rFonts w:asciiTheme="minorHAnsi" w:hAnsiTheme="minorHAnsi" w:cstheme="minorBidi"/>
                <w:noProof/>
                <w:kern w:val="2"/>
                <w:lang w:val="en-GB"/>
                <w14:ligatures w14:val="standardContextual"/>
              </w:rPr>
              <w:tab/>
            </w:r>
            <w:r w:rsidRPr="0075519C">
              <w:rPr>
                <w:rStyle w:val="Hyperlink"/>
              </w:rPr>
              <w:t>Predviđeni razvoj glavnih egzogenih čimbenika koji utječu na energetski sustav i trendove u pogledu emisija stakleničkih plinova</w:t>
            </w:r>
            <w:r>
              <w:rPr>
                <w:noProof/>
                <w:webHidden/>
              </w:rPr>
              <w:tab/>
            </w:r>
            <w:r>
              <w:rPr>
                <w:noProof/>
                <w:webHidden/>
              </w:rPr>
              <w:fldChar w:fldCharType="begin"/>
            </w:r>
            <w:r>
              <w:rPr>
                <w:noProof/>
                <w:webHidden/>
              </w:rPr>
              <w:instrText xml:space="preserve"> PAGEREF _Toc193043283 \h </w:instrText>
            </w:r>
            <w:r>
              <w:rPr>
                <w:noProof/>
                <w:webHidden/>
              </w:rPr>
            </w:r>
            <w:r>
              <w:rPr>
                <w:noProof/>
                <w:webHidden/>
              </w:rPr>
              <w:fldChar w:fldCharType="separate"/>
            </w:r>
            <w:r w:rsidR="00DB579D">
              <w:rPr>
                <w:noProof/>
                <w:webHidden/>
              </w:rPr>
              <w:t>275</w:t>
            </w:r>
            <w:r>
              <w:rPr>
                <w:noProof/>
                <w:webHidden/>
              </w:rPr>
              <w:fldChar w:fldCharType="end"/>
            </w:r>
          </w:hyperlink>
        </w:p>
        <w:p w14:paraId="01F1F9A1" w14:textId="77582103" w:rsidR="0038342A" w:rsidRDefault="0038342A">
          <w:pPr>
            <w:pStyle w:val="TOC2"/>
            <w:rPr>
              <w:rFonts w:asciiTheme="minorHAnsi" w:hAnsiTheme="minorHAnsi" w:cstheme="minorBidi"/>
              <w:noProof/>
              <w:kern w:val="2"/>
              <w:lang w:val="en-GB"/>
              <w14:ligatures w14:val="standardContextual"/>
            </w:rPr>
          </w:pPr>
          <w:hyperlink w:anchor="_Toc193043284" w:history="1">
            <w:r w:rsidRPr="0075519C">
              <w:rPr>
                <w:rStyle w:val="Hyperlink"/>
              </w:rPr>
              <w:t>4.2</w:t>
            </w:r>
            <w:r>
              <w:rPr>
                <w:rFonts w:asciiTheme="minorHAnsi" w:hAnsiTheme="minorHAnsi" w:cstheme="minorBidi"/>
                <w:noProof/>
                <w:kern w:val="2"/>
                <w:lang w:val="en-GB"/>
                <w14:ligatures w14:val="standardContextual"/>
              </w:rPr>
              <w:tab/>
            </w:r>
            <w:r w:rsidRPr="0075519C">
              <w:rPr>
                <w:rStyle w:val="Hyperlink"/>
              </w:rPr>
              <w:t>Dimenzija: dekarbonizacija</w:t>
            </w:r>
            <w:r>
              <w:rPr>
                <w:noProof/>
                <w:webHidden/>
              </w:rPr>
              <w:tab/>
            </w:r>
            <w:r>
              <w:rPr>
                <w:noProof/>
                <w:webHidden/>
              </w:rPr>
              <w:fldChar w:fldCharType="begin"/>
            </w:r>
            <w:r>
              <w:rPr>
                <w:noProof/>
                <w:webHidden/>
              </w:rPr>
              <w:instrText xml:space="preserve"> PAGEREF _Toc193043284 \h </w:instrText>
            </w:r>
            <w:r>
              <w:rPr>
                <w:noProof/>
                <w:webHidden/>
              </w:rPr>
            </w:r>
            <w:r>
              <w:rPr>
                <w:noProof/>
                <w:webHidden/>
              </w:rPr>
              <w:fldChar w:fldCharType="separate"/>
            </w:r>
            <w:r w:rsidR="00DB579D">
              <w:rPr>
                <w:noProof/>
                <w:webHidden/>
              </w:rPr>
              <w:t>284</w:t>
            </w:r>
            <w:r>
              <w:rPr>
                <w:noProof/>
                <w:webHidden/>
              </w:rPr>
              <w:fldChar w:fldCharType="end"/>
            </w:r>
          </w:hyperlink>
        </w:p>
        <w:p w14:paraId="3B02431F" w14:textId="4DB36BFF" w:rsidR="0038342A" w:rsidRDefault="0038342A">
          <w:pPr>
            <w:pStyle w:val="TOC3"/>
            <w:rPr>
              <w:rFonts w:asciiTheme="minorHAnsi" w:hAnsiTheme="minorHAnsi" w:cstheme="minorBidi"/>
              <w:noProof/>
              <w:kern w:val="2"/>
              <w:lang w:val="en-GB"/>
              <w14:ligatures w14:val="standardContextual"/>
            </w:rPr>
          </w:pPr>
          <w:hyperlink w:anchor="_Toc193043285" w:history="1">
            <w:r w:rsidRPr="0075519C">
              <w:rPr>
                <w:rStyle w:val="Hyperlink"/>
              </w:rPr>
              <w:t>4.2.1</w:t>
            </w:r>
            <w:r>
              <w:rPr>
                <w:rFonts w:asciiTheme="minorHAnsi" w:hAnsiTheme="minorHAnsi" w:cstheme="minorBidi"/>
                <w:noProof/>
                <w:kern w:val="2"/>
                <w:lang w:val="en-GB"/>
                <w14:ligatures w14:val="standardContextual"/>
              </w:rPr>
              <w:tab/>
            </w:r>
            <w:r w:rsidRPr="0075519C">
              <w:rPr>
                <w:rStyle w:val="Hyperlink"/>
              </w:rPr>
              <w:t>Emisije i uklanjanja stakleničkih plinova</w:t>
            </w:r>
            <w:r>
              <w:rPr>
                <w:noProof/>
                <w:webHidden/>
              </w:rPr>
              <w:tab/>
            </w:r>
            <w:r>
              <w:rPr>
                <w:noProof/>
                <w:webHidden/>
              </w:rPr>
              <w:fldChar w:fldCharType="begin"/>
            </w:r>
            <w:r>
              <w:rPr>
                <w:noProof/>
                <w:webHidden/>
              </w:rPr>
              <w:instrText xml:space="preserve"> PAGEREF _Toc193043285 \h </w:instrText>
            </w:r>
            <w:r>
              <w:rPr>
                <w:noProof/>
                <w:webHidden/>
              </w:rPr>
            </w:r>
            <w:r>
              <w:rPr>
                <w:noProof/>
                <w:webHidden/>
              </w:rPr>
              <w:fldChar w:fldCharType="separate"/>
            </w:r>
            <w:r w:rsidR="00DB579D">
              <w:rPr>
                <w:noProof/>
                <w:webHidden/>
              </w:rPr>
              <w:t>284</w:t>
            </w:r>
            <w:r>
              <w:rPr>
                <w:noProof/>
                <w:webHidden/>
              </w:rPr>
              <w:fldChar w:fldCharType="end"/>
            </w:r>
          </w:hyperlink>
        </w:p>
        <w:p w14:paraId="60D5C77E" w14:textId="61176864" w:rsidR="0038342A" w:rsidRDefault="0038342A">
          <w:pPr>
            <w:pStyle w:val="TOC3"/>
            <w:rPr>
              <w:rFonts w:asciiTheme="minorHAnsi" w:hAnsiTheme="minorHAnsi" w:cstheme="minorBidi"/>
              <w:noProof/>
              <w:kern w:val="2"/>
              <w:lang w:val="en-GB"/>
              <w14:ligatures w14:val="standardContextual"/>
            </w:rPr>
          </w:pPr>
          <w:hyperlink w:anchor="_Toc193043286" w:history="1">
            <w:r w:rsidRPr="0075519C">
              <w:rPr>
                <w:rStyle w:val="Hyperlink"/>
              </w:rPr>
              <w:t>4.2.2</w:t>
            </w:r>
            <w:r>
              <w:rPr>
                <w:rFonts w:asciiTheme="minorHAnsi" w:hAnsiTheme="minorHAnsi" w:cstheme="minorBidi"/>
                <w:noProof/>
                <w:kern w:val="2"/>
                <w:lang w:val="en-GB"/>
                <w14:ligatures w14:val="standardContextual"/>
              </w:rPr>
              <w:tab/>
            </w:r>
            <w:r w:rsidRPr="0075519C">
              <w:rPr>
                <w:rStyle w:val="Hyperlink"/>
              </w:rPr>
              <w:t>Energija iz obnovljivih izvora</w:t>
            </w:r>
            <w:r>
              <w:rPr>
                <w:noProof/>
                <w:webHidden/>
              </w:rPr>
              <w:tab/>
            </w:r>
            <w:r>
              <w:rPr>
                <w:noProof/>
                <w:webHidden/>
              </w:rPr>
              <w:fldChar w:fldCharType="begin"/>
            </w:r>
            <w:r>
              <w:rPr>
                <w:noProof/>
                <w:webHidden/>
              </w:rPr>
              <w:instrText xml:space="preserve"> PAGEREF _Toc193043286 \h </w:instrText>
            </w:r>
            <w:r>
              <w:rPr>
                <w:noProof/>
                <w:webHidden/>
              </w:rPr>
            </w:r>
            <w:r>
              <w:rPr>
                <w:noProof/>
                <w:webHidden/>
              </w:rPr>
              <w:fldChar w:fldCharType="separate"/>
            </w:r>
            <w:r w:rsidR="00DB579D">
              <w:rPr>
                <w:noProof/>
                <w:webHidden/>
              </w:rPr>
              <w:t>286</w:t>
            </w:r>
            <w:r>
              <w:rPr>
                <w:noProof/>
                <w:webHidden/>
              </w:rPr>
              <w:fldChar w:fldCharType="end"/>
            </w:r>
          </w:hyperlink>
        </w:p>
        <w:p w14:paraId="04530558" w14:textId="3480C23D" w:rsidR="0038342A" w:rsidRDefault="0038342A">
          <w:pPr>
            <w:pStyle w:val="TOC2"/>
            <w:rPr>
              <w:rFonts w:asciiTheme="minorHAnsi" w:hAnsiTheme="minorHAnsi" w:cstheme="minorBidi"/>
              <w:noProof/>
              <w:kern w:val="2"/>
              <w:lang w:val="en-GB"/>
              <w14:ligatures w14:val="standardContextual"/>
            </w:rPr>
          </w:pPr>
          <w:hyperlink w:anchor="_Toc193043287" w:history="1">
            <w:r w:rsidRPr="0075519C">
              <w:rPr>
                <w:rStyle w:val="Hyperlink"/>
              </w:rPr>
              <w:t>4.3</w:t>
            </w:r>
            <w:r>
              <w:rPr>
                <w:rFonts w:asciiTheme="minorHAnsi" w:hAnsiTheme="minorHAnsi" w:cstheme="minorBidi"/>
                <w:noProof/>
                <w:kern w:val="2"/>
                <w:lang w:val="en-GB"/>
                <w14:ligatures w14:val="standardContextual"/>
              </w:rPr>
              <w:tab/>
            </w:r>
            <w:r w:rsidRPr="0075519C">
              <w:rPr>
                <w:rStyle w:val="Hyperlink"/>
              </w:rPr>
              <w:t>Dimenzija: energetska učinkovitost</w:t>
            </w:r>
            <w:r>
              <w:rPr>
                <w:noProof/>
                <w:webHidden/>
              </w:rPr>
              <w:tab/>
            </w:r>
            <w:r>
              <w:rPr>
                <w:noProof/>
                <w:webHidden/>
              </w:rPr>
              <w:fldChar w:fldCharType="begin"/>
            </w:r>
            <w:r>
              <w:rPr>
                <w:noProof/>
                <w:webHidden/>
              </w:rPr>
              <w:instrText xml:space="preserve"> PAGEREF _Toc193043287 \h </w:instrText>
            </w:r>
            <w:r>
              <w:rPr>
                <w:noProof/>
                <w:webHidden/>
              </w:rPr>
            </w:r>
            <w:r>
              <w:rPr>
                <w:noProof/>
                <w:webHidden/>
              </w:rPr>
              <w:fldChar w:fldCharType="separate"/>
            </w:r>
            <w:r w:rsidR="00DB579D">
              <w:rPr>
                <w:noProof/>
                <w:webHidden/>
              </w:rPr>
              <w:t>291</w:t>
            </w:r>
            <w:r>
              <w:rPr>
                <w:noProof/>
                <w:webHidden/>
              </w:rPr>
              <w:fldChar w:fldCharType="end"/>
            </w:r>
          </w:hyperlink>
        </w:p>
        <w:p w14:paraId="0000A8E9" w14:textId="397587AD" w:rsidR="0038342A" w:rsidRDefault="0038342A">
          <w:pPr>
            <w:pStyle w:val="TOC2"/>
            <w:rPr>
              <w:rFonts w:asciiTheme="minorHAnsi" w:hAnsiTheme="minorHAnsi" w:cstheme="minorBidi"/>
              <w:noProof/>
              <w:kern w:val="2"/>
              <w:lang w:val="en-GB"/>
              <w14:ligatures w14:val="standardContextual"/>
            </w:rPr>
          </w:pPr>
          <w:hyperlink w:anchor="_Toc193043288" w:history="1">
            <w:r w:rsidRPr="0075519C">
              <w:rPr>
                <w:rStyle w:val="Hyperlink"/>
              </w:rPr>
              <w:t>4.4</w:t>
            </w:r>
            <w:r>
              <w:rPr>
                <w:rFonts w:asciiTheme="minorHAnsi" w:hAnsiTheme="minorHAnsi" w:cstheme="minorBidi"/>
                <w:noProof/>
                <w:kern w:val="2"/>
                <w:lang w:val="en-GB"/>
                <w14:ligatures w14:val="standardContextual"/>
              </w:rPr>
              <w:tab/>
            </w:r>
            <w:r w:rsidRPr="0075519C">
              <w:rPr>
                <w:rStyle w:val="Hyperlink"/>
              </w:rPr>
              <w:t>Dimenzija: energetska sigurnost</w:t>
            </w:r>
            <w:r>
              <w:rPr>
                <w:noProof/>
                <w:webHidden/>
              </w:rPr>
              <w:tab/>
            </w:r>
            <w:r>
              <w:rPr>
                <w:noProof/>
                <w:webHidden/>
              </w:rPr>
              <w:fldChar w:fldCharType="begin"/>
            </w:r>
            <w:r>
              <w:rPr>
                <w:noProof/>
                <w:webHidden/>
              </w:rPr>
              <w:instrText xml:space="preserve"> PAGEREF _Toc193043288 \h </w:instrText>
            </w:r>
            <w:r>
              <w:rPr>
                <w:noProof/>
                <w:webHidden/>
              </w:rPr>
            </w:r>
            <w:r>
              <w:rPr>
                <w:noProof/>
                <w:webHidden/>
              </w:rPr>
              <w:fldChar w:fldCharType="separate"/>
            </w:r>
            <w:r w:rsidR="00DB579D">
              <w:rPr>
                <w:noProof/>
                <w:webHidden/>
              </w:rPr>
              <w:t>295</w:t>
            </w:r>
            <w:r>
              <w:rPr>
                <w:noProof/>
                <w:webHidden/>
              </w:rPr>
              <w:fldChar w:fldCharType="end"/>
            </w:r>
          </w:hyperlink>
        </w:p>
        <w:p w14:paraId="345C9F01" w14:textId="540EE48F" w:rsidR="0038342A" w:rsidRDefault="0038342A">
          <w:pPr>
            <w:pStyle w:val="TOC2"/>
            <w:rPr>
              <w:rFonts w:asciiTheme="minorHAnsi" w:hAnsiTheme="minorHAnsi" w:cstheme="minorBidi"/>
              <w:noProof/>
              <w:kern w:val="2"/>
              <w:lang w:val="en-GB"/>
              <w14:ligatures w14:val="standardContextual"/>
            </w:rPr>
          </w:pPr>
          <w:hyperlink w:anchor="_Toc193043289" w:history="1">
            <w:r w:rsidRPr="0075519C">
              <w:rPr>
                <w:rStyle w:val="Hyperlink"/>
              </w:rPr>
              <w:t>4.5</w:t>
            </w:r>
            <w:r>
              <w:rPr>
                <w:rFonts w:asciiTheme="minorHAnsi" w:hAnsiTheme="minorHAnsi" w:cstheme="minorBidi"/>
                <w:noProof/>
                <w:kern w:val="2"/>
                <w:lang w:val="en-GB"/>
                <w14:ligatures w14:val="standardContextual"/>
              </w:rPr>
              <w:tab/>
            </w:r>
            <w:r w:rsidRPr="0075519C">
              <w:rPr>
                <w:rStyle w:val="Hyperlink"/>
              </w:rPr>
              <w:t>Dimenzija: unutarnje energetsko tržište</w:t>
            </w:r>
            <w:r>
              <w:rPr>
                <w:noProof/>
                <w:webHidden/>
              </w:rPr>
              <w:tab/>
            </w:r>
            <w:r>
              <w:rPr>
                <w:noProof/>
                <w:webHidden/>
              </w:rPr>
              <w:fldChar w:fldCharType="begin"/>
            </w:r>
            <w:r>
              <w:rPr>
                <w:noProof/>
                <w:webHidden/>
              </w:rPr>
              <w:instrText xml:space="preserve"> PAGEREF _Toc193043289 \h </w:instrText>
            </w:r>
            <w:r>
              <w:rPr>
                <w:noProof/>
                <w:webHidden/>
              </w:rPr>
            </w:r>
            <w:r>
              <w:rPr>
                <w:noProof/>
                <w:webHidden/>
              </w:rPr>
              <w:fldChar w:fldCharType="separate"/>
            </w:r>
            <w:r w:rsidR="00DB579D">
              <w:rPr>
                <w:noProof/>
                <w:webHidden/>
              </w:rPr>
              <w:t>298</w:t>
            </w:r>
            <w:r>
              <w:rPr>
                <w:noProof/>
                <w:webHidden/>
              </w:rPr>
              <w:fldChar w:fldCharType="end"/>
            </w:r>
          </w:hyperlink>
        </w:p>
        <w:p w14:paraId="604CB138" w14:textId="26C66AB6" w:rsidR="0038342A" w:rsidRDefault="0038342A">
          <w:pPr>
            <w:pStyle w:val="TOC3"/>
            <w:rPr>
              <w:rFonts w:asciiTheme="minorHAnsi" w:hAnsiTheme="minorHAnsi" w:cstheme="minorBidi"/>
              <w:noProof/>
              <w:kern w:val="2"/>
              <w:lang w:val="en-GB"/>
              <w14:ligatures w14:val="standardContextual"/>
            </w:rPr>
          </w:pPr>
          <w:hyperlink w:anchor="_Toc193043290" w:history="1">
            <w:r w:rsidRPr="0075519C">
              <w:rPr>
                <w:rStyle w:val="Hyperlink"/>
              </w:rPr>
              <w:t>4.5.1</w:t>
            </w:r>
            <w:r>
              <w:rPr>
                <w:rFonts w:asciiTheme="minorHAnsi" w:hAnsiTheme="minorHAnsi" w:cstheme="minorBidi"/>
                <w:noProof/>
                <w:kern w:val="2"/>
                <w:lang w:val="en-GB"/>
                <w14:ligatures w14:val="standardContextual"/>
              </w:rPr>
              <w:tab/>
            </w:r>
            <w:r w:rsidRPr="0075519C">
              <w:rPr>
                <w:rStyle w:val="Hyperlink"/>
              </w:rPr>
              <w:t>Elektroenergetska međupovezivost</w:t>
            </w:r>
            <w:r>
              <w:rPr>
                <w:noProof/>
                <w:webHidden/>
              </w:rPr>
              <w:tab/>
            </w:r>
            <w:r>
              <w:rPr>
                <w:noProof/>
                <w:webHidden/>
              </w:rPr>
              <w:fldChar w:fldCharType="begin"/>
            </w:r>
            <w:r>
              <w:rPr>
                <w:noProof/>
                <w:webHidden/>
              </w:rPr>
              <w:instrText xml:space="preserve"> PAGEREF _Toc193043290 \h </w:instrText>
            </w:r>
            <w:r>
              <w:rPr>
                <w:noProof/>
                <w:webHidden/>
              </w:rPr>
            </w:r>
            <w:r>
              <w:rPr>
                <w:noProof/>
                <w:webHidden/>
              </w:rPr>
              <w:fldChar w:fldCharType="separate"/>
            </w:r>
            <w:r w:rsidR="00DB579D">
              <w:rPr>
                <w:noProof/>
                <w:webHidden/>
              </w:rPr>
              <w:t>298</w:t>
            </w:r>
            <w:r>
              <w:rPr>
                <w:noProof/>
                <w:webHidden/>
              </w:rPr>
              <w:fldChar w:fldCharType="end"/>
            </w:r>
          </w:hyperlink>
        </w:p>
        <w:p w14:paraId="7937A062" w14:textId="70954F3E" w:rsidR="0038342A" w:rsidRDefault="0038342A">
          <w:pPr>
            <w:pStyle w:val="TOC3"/>
            <w:rPr>
              <w:rFonts w:asciiTheme="minorHAnsi" w:hAnsiTheme="minorHAnsi" w:cstheme="minorBidi"/>
              <w:noProof/>
              <w:kern w:val="2"/>
              <w:lang w:val="en-GB"/>
              <w14:ligatures w14:val="standardContextual"/>
            </w:rPr>
          </w:pPr>
          <w:hyperlink w:anchor="_Toc193043291" w:history="1">
            <w:r w:rsidRPr="0075519C">
              <w:rPr>
                <w:rStyle w:val="Hyperlink"/>
              </w:rPr>
              <w:t>4.5.2</w:t>
            </w:r>
            <w:r>
              <w:rPr>
                <w:rFonts w:asciiTheme="minorHAnsi" w:hAnsiTheme="minorHAnsi" w:cstheme="minorBidi"/>
                <w:noProof/>
                <w:kern w:val="2"/>
                <w:lang w:val="en-GB"/>
                <w14:ligatures w14:val="standardContextual"/>
              </w:rPr>
              <w:tab/>
            </w:r>
            <w:r w:rsidRPr="0075519C">
              <w:rPr>
                <w:rStyle w:val="Hyperlink"/>
              </w:rPr>
              <w:t>Infrastruktura za prijenos energije</w:t>
            </w:r>
            <w:r>
              <w:rPr>
                <w:noProof/>
                <w:webHidden/>
              </w:rPr>
              <w:tab/>
            </w:r>
            <w:r>
              <w:rPr>
                <w:noProof/>
                <w:webHidden/>
              </w:rPr>
              <w:fldChar w:fldCharType="begin"/>
            </w:r>
            <w:r>
              <w:rPr>
                <w:noProof/>
                <w:webHidden/>
              </w:rPr>
              <w:instrText xml:space="preserve"> PAGEREF _Toc193043291 \h </w:instrText>
            </w:r>
            <w:r>
              <w:rPr>
                <w:noProof/>
                <w:webHidden/>
              </w:rPr>
            </w:r>
            <w:r>
              <w:rPr>
                <w:noProof/>
                <w:webHidden/>
              </w:rPr>
              <w:fldChar w:fldCharType="separate"/>
            </w:r>
            <w:r w:rsidR="00DB579D">
              <w:rPr>
                <w:noProof/>
                <w:webHidden/>
              </w:rPr>
              <w:t>300</w:t>
            </w:r>
            <w:r>
              <w:rPr>
                <w:noProof/>
                <w:webHidden/>
              </w:rPr>
              <w:fldChar w:fldCharType="end"/>
            </w:r>
          </w:hyperlink>
        </w:p>
        <w:p w14:paraId="6610D725" w14:textId="526F9E74" w:rsidR="0038342A" w:rsidRDefault="0038342A">
          <w:pPr>
            <w:pStyle w:val="TOC3"/>
            <w:rPr>
              <w:rFonts w:asciiTheme="minorHAnsi" w:hAnsiTheme="minorHAnsi" w:cstheme="minorBidi"/>
              <w:noProof/>
              <w:kern w:val="2"/>
              <w:lang w:val="en-GB"/>
              <w14:ligatures w14:val="standardContextual"/>
            </w:rPr>
          </w:pPr>
          <w:hyperlink w:anchor="_Toc193043292" w:history="1">
            <w:r w:rsidRPr="0075519C">
              <w:rPr>
                <w:rStyle w:val="Hyperlink"/>
              </w:rPr>
              <w:t>4.5.3</w:t>
            </w:r>
            <w:r>
              <w:rPr>
                <w:rFonts w:asciiTheme="minorHAnsi" w:hAnsiTheme="minorHAnsi" w:cstheme="minorBidi"/>
                <w:noProof/>
                <w:kern w:val="2"/>
                <w:lang w:val="en-GB"/>
                <w14:ligatures w14:val="standardContextual"/>
              </w:rPr>
              <w:tab/>
            </w:r>
            <w:r w:rsidRPr="0075519C">
              <w:rPr>
                <w:rStyle w:val="Hyperlink"/>
              </w:rPr>
              <w:t>Tržišta električne energije i plina, cijene energije</w:t>
            </w:r>
            <w:r>
              <w:rPr>
                <w:noProof/>
                <w:webHidden/>
              </w:rPr>
              <w:tab/>
            </w:r>
            <w:r>
              <w:rPr>
                <w:noProof/>
                <w:webHidden/>
              </w:rPr>
              <w:fldChar w:fldCharType="begin"/>
            </w:r>
            <w:r>
              <w:rPr>
                <w:noProof/>
                <w:webHidden/>
              </w:rPr>
              <w:instrText xml:space="preserve"> PAGEREF _Toc193043292 \h </w:instrText>
            </w:r>
            <w:r>
              <w:rPr>
                <w:noProof/>
                <w:webHidden/>
              </w:rPr>
            </w:r>
            <w:r>
              <w:rPr>
                <w:noProof/>
                <w:webHidden/>
              </w:rPr>
              <w:fldChar w:fldCharType="separate"/>
            </w:r>
            <w:r w:rsidR="00DB579D">
              <w:rPr>
                <w:noProof/>
                <w:webHidden/>
              </w:rPr>
              <w:t>309</w:t>
            </w:r>
            <w:r>
              <w:rPr>
                <w:noProof/>
                <w:webHidden/>
              </w:rPr>
              <w:fldChar w:fldCharType="end"/>
            </w:r>
          </w:hyperlink>
        </w:p>
        <w:p w14:paraId="2F1A96E9" w14:textId="78B6E3A2" w:rsidR="0038342A" w:rsidRDefault="0038342A">
          <w:pPr>
            <w:pStyle w:val="TOC2"/>
            <w:rPr>
              <w:rFonts w:asciiTheme="minorHAnsi" w:hAnsiTheme="minorHAnsi" w:cstheme="minorBidi"/>
              <w:noProof/>
              <w:kern w:val="2"/>
              <w:lang w:val="en-GB"/>
              <w14:ligatures w14:val="standardContextual"/>
            </w:rPr>
          </w:pPr>
          <w:hyperlink w:anchor="_Toc193043293" w:history="1">
            <w:r w:rsidRPr="0075519C">
              <w:rPr>
                <w:rStyle w:val="Hyperlink"/>
              </w:rPr>
              <w:t>4.6</w:t>
            </w:r>
            <w:r>
              <w:rPr>
                <w:rFonts w:asciiTheme="minorHAnsi" w:hAnsiTheme="minorHAnsi" w:cstheme="minorBidi"/>
                <w:noProof/>
                <w:kern w:val="2"/>
                <w:lang w:val="en-GB"/>
                <w14:ligatures w14:val="standardContextual"/>
              </w:rPr>
              <w:tab/>
            </w:r>
            <w:r w:rsidRPr="0075519C">
              <w:rPr>
                <w:rStyle w:val="Hyperlink"/>
              </w:rPr>
              <w:t>Dimenzija: istraživanje, inovacije i konkurentnost</w:t>
            </w:r>
            <w:r>
              <w:rPr>
                <w:noProof/>
                <w:webHidden/>
              </w:rPr>
              <w:tab/>
            </w:r>
            <w:r>
              <w:rPr>
                <w:noProof/>
                <w:webHidden/>
              </w:rPr>
              <w:fldChar w:fldCharType="begin"/>
            </w:r>
            <w:r>
              <w:rPr>
                <w:noProof/>
                <w:webHidden/>
              </w:rPr>
              <w:instrText xml:space="preserve"> PAGEREF _Toc193043293 \h </w:instrText>
            </w:r>
            <w:r>
              <w:rPr>
                <w:noProof/>
                <w:webHidden/>
              </w:rPr>
            </w:r>
            <w:r>
              <w:rPr>
                <w:noProof/>
                <w:webHidden/>
              </w:rPr>
              <w:fldChar w:fldCharType="separate"/>
            </w:r>
            <w:r w:rsidR="00DB579D">
              <w:rPr>
                <w:noProof/>
                <w:webHidden/>
              </w:rPr>
              <w:t>313</w:t>
            </w:r>
            <w:r>
              <w:rPr>
                <w:noProof/>
                <w:webHidden/>
              </w:rPr>
              <w:fldChar w:fldCharType="end"/>
            </w:r>
          </w:hyperlink>
        </w:p>
        <w:p w14:paraId="2A1C34C6" w14:textId="27E8EC91" w:rsidR="0038342A" w:rsidRDefault="0038342A" w:rsidP="00DB579D">
          <w:pPr>
            <w:pStyle w:val="TOC1"/>
            <w:rPr>
              <w:rFonts w:asciiTheme="minorHAnsi" w:hAnsiTheme="minorHAnsi" w:cstheme="minorBidi"/>
              <w:noProof/>
              <w:color w:val="auto"/>
              <w:kern w:val="2"/>
              <w:sz w:val="24"/>
              <w:lang w:val="en-GB"/>
              <w14:ligatures w14:val="standardContextual"/>
            </w:rPr>
          </w:pPr>
          <w:hyperlink w:anchor="_Toc193043294" w:history="1">
            <w:r w:rsidRPr="0075519C">
              <w:rPr>
                <w:rStyle w:val="Hyperlink"/>
              </w:rPr>
              <w:t>5.</w:t>
            </w:r>
            <w:r>
              <w:rPr>
                <w:rFonts w:asciiTheme="minorHAnsi" w:hAnsiTheme="minorHAnsi" w:cstheme="minorBidi"/>
                <w:noProof/>
                <w:color w:val="auto"/>
                <w:kern w:val="2"/>
                <w:sz w:val="24"/>
                <w:lang w:val="en-GB"/>
                <w14:ligatures w14:val="standardContextual"/>
              </w:rPr>
              <w:tab/>
            </w:r>
            <w:r w:rsidRPr="0075519C">
              <w:rPr>
                <w:rStyle w:val="Hyperlink"/>
              </w:rPr>
              <w:t>OCJENA UČINAKA PLANIRANIH POLITIKA I MJERA</w:t>
            </w:r>
            <w:r>
              <w:rPr>
                <w:noProof/>
                <w:webHidden/>
              </w:rPr>
              <w:tab/>
            </w:r>
            <w:r>
              <w:rPr>
                <w:noProof/>
                <w:webHidden/>
              </w:rPr>
              <w:fldChar w:fldCharType="begin"/>
            </w:r>
            <w:r>
              <w:rPr>
                <w:noProof/>
                <w:webHidden/>
              </w:rPr>
              <w:instrText xml:space="preserve"> PAGEREF _Toc193043294 \h </w:instrText>
            </w:r>
            <w:r>
              <w:rPr>
                <w:noProof/>
                <w:webHidden/>
              </w:rPr>
            </w:r>
            <w:r>
              <w:rPr>
                <w:noProof/>
                <w:webHidden/>
              </w:rPr>
              <w:fldChar w:fldCharType="separate"/>
            </w:r>
            <w:r w:rsidR="00DB579D">
              <w:rPr>
                <w:noProof/>
                <w:webHidden/>
              </w:rPr>
              <w:t>322</w:t>
            </w:r>
            <w:r>
              <w:rPr>
                <w:noProof/>
                <w:webHidden/>
              </w:rPr>
              <w:fldChar w:fldCharType="end"/>
            </w:r>
          </w:hyperlink>
        </w:p>
        <w:p w14:paraId="17215863" w14:textId="73818647" w:rsidR="0038342A" w:rsidRDefault="0038342A">
          <w:pPr>
            <w:pStyle w:val="TOC2"/>
            <w:rPr>
              <w:rFonts w:asciiTheme="minorHAnsi" w:hAnsiTheme="minorHAnsi" w:cstheme="minorBidi"/>
              <w:noProof/>
              <w:kern w:val="2"/>
              <w:lang w:val="en-GB"/>
              <w14:ligatures w14:val="standardContextual"/>
            </w:rPr>
          </w:pPr>
          <w:hyperlink w:anchor="_Toc193043295" w:history="1">
            <w:r w:rsidRPr="0075519C">
              <w:rPr>
                <w:rStyle w:val="Hyperlink"/>
              </w:rPr>
              <w:t>5.1</w:t>
            </w:r>
            <w:r>
              <w:rPr>
                <w:rFonts w:asciiTheme="minorHAnsi" w:hAnsiTheme="minorHAnsi" w:cstheme="minorBidi"/>
                <w:noProof/>
                <w:kern w:val="2"/>
                <w:lang w:val="en-GB"/>
                <w14:ligatures w14:val="standardContextual"/>
              </w:rPr>
              <w:tab/>
            </w:r>
            <w:r w:rsidRPr="0075519C">
              <w:rPr>
                <w:rStyle w:val="Hyperlink"/>
              </w:rPr>
              <w:t>Učinci planiranih politika i mjera opisanih u točki 3. o energetskom sustavu i emisijama stakleničkih plinova i uklanjanju stakleničkih plinova, uključujući usporedbu s projekcijama na temelju postojećih politika i mjera (kako su opisane u točki 4.).</w:t>
            </w:r>
            <w:r>
              <w:rPr>
                <w:noProof/>
                <w:webHidden/>
              </w:rPr>
              <w:tab/>
            </w:r>
            <w:r>
              <w:rPr>
                <w:noProof/>
                <w:webHidden/>
              </w:rPr>
              <w:fldChar w:fldCharType="begin"/>
            </w:r>
            <w:r>
              <w:rPr>
                <w:noProof/>
                <w:webHidden/>
              </w:rPr>
              <w:instrText xml:space="preserve"> PAGEREF _Toc193043295 \h </w:instrText>
            </w:r>
            <w:r>
              <w:rPr>
                <w:noProof/>
                <w:webHidden/>
              </w:rPr>
            </w:r>
            <w:r>
              <w:rPr>
                <w:noProof/>
                <w:webHidden/>
              </w:rPr>
              <w:fldChar w:fldCharType="separate"/>
            </w:r>
            <w:r w:rsidR="00DB579D">
              <w:rPr>
                <w:noProof/>
                <w:webHidden/>
              </w:rPr>
              <w:t>322</w:t>
            </w:r>
            <w:r>
              <w:rPr>
                <w:noProof/>
                <w:webHidden/>
              </w:rPr>
              <w:fldChar w:fldCharType="end"/>
            </w:r>
          </w:hyperlink>
        </w:p>
        <w:p w14:paraId="75489A3D" w14:textId="3BFAFF15" w:rsidR="0038342A" w:rsidRDefault="0038342A">
          <w:pPr>
            <w:pStyle w:val="TOC2"/>
            <w:rPr>
              <w:rFonts w:asciiTheme="minorHAnsi" w:hAnsiTheme="minorHAnsi" w:cstheme="minorBidi"/>
              <w:noProof/>
              <w:kern w:val="2"/>
              <w:lang w:val="en-GB"/>
              <w14:ligatures w14:val="standardContextual"/>
            </w:rPr>
          </w:pPr>
          <w:hyperlink w:anchor="_Toc193043296" w:history="1">
            <w:r w:rsidRPr="0075519C">
              <w:rPr>
                <w:rStyle w:val="Hyperlink"/>
              </w:rPr>
              <w:t>5.2</w:t>
            </w:r>
            <w:r>
              <w:rPr>
                <w:rFonts w:asciiTheme="minorHAnsi" w:hAnsiTheme="minorHAnsi" w:cstheme="minorBidi"/>
                <w:noProof/>
                <w:kern w:val="2"/>
                <w:lang w:val="en-GB"/>
                <w14:ligatures w14:val="standardContextual"/>
              </w:rPr>
              <w:tab/>
            </w:r>
            <w:r w:rsidRPr="0075519C">
              <w:rPr>
                <w:rStyle w:val="Hyperlink"/>
              </w:rPr>
              <w:t>Makroekonomski i, u mjeri u kojoj je to moguće, zdravstveni i okolišni učinci, učinci u pogledu zapošljavanja i obrazovanja, socijalni učinci i učinci na vještine (u smislu troškova i koristi, kao i ekonomičnosti) planiranih politika i mjera opisanih u točki 3. barem do posljednje godine razdoblja obuhvaćenog planom, uključujući usporedbu s projekcijama nastalim na temelju postojećih politika i mjera</w:t>
            </w:r>
            <w:r>
              <w:rPr>
                <w:noProof/>
                <w:webHidden/>
              </w:rPr>
              <w:tab/>
            </w:r>
            <w:r>
              <w:rPr>
                <w:noProof/>
                <w:webHidden/>
              </w:rPr>
              <w:fldChar w:fldCharType="begin"/>
            </w:r>
            <w:r>
              <w:rPr>
                <w:noProof/>
                <w:webHidden/>
              </w:rPr>
              <w:instrText xml:space="preserve"> PAGEREF _Toc193043296 \h </w:instrText>
            </w:r>
            <w:r>
              <w:rPr>
                <w:noProof/>
                <w:webHidden/>
              </w:rPr>
            </w:r>
            <w:r>
              <w:rPr>
                <w:noProof/>
                <w:webHidden/>
              </w:rPr>
              <w:fldChar w:fldCharType="separate"/>
            </w:r>
            <w:r w:rsidR="00DB579D">
              <w:rPr>
                <w:noProof/>
                <w:webHidden/>
              </w:rPr>
              <w:t>329</w:t>
            </w:r>
            <w:r>
              <w:rPr>
                <w:noProof/>
                <w:webHidden/>
              </w:rPr>
              <w:fldChar w:fldCharType="end"/>
            </w:r>
          </w:hyperlink>
        </w:p>
        <w:p w14:paraId="7D5212EA" w14:textId="754EDC16" w:rsidR="0038342A" w:rsidRDefault="0038342A">
          <w:pPr>
            <w:pStyle w:val="TOC2"/>
            <w:rPr>
              <w:rFonts w:asciiTheme="minorHAnsi" w:hAnsiTheme="minorHAnsi" w:cstheme="minorBidi"/>
              <w:noProof/>
              <w:kern w:val="2"/>
              <w:lang w:val="en-GB"/>
              <w14:ligatures w14:val="standardContextual"/>
            </w:rPr>
          </w:pPr>
          <w:hyperlink w:anchor="_Toc193043297" w:history="1">
            <w:r w:rsidRPr="0075519C">
              <w:rPr>
                <w:rStyle w:val="Hyperlink"/>
              </w:rPr>
              <w:t>5.3</w:t>
            </w:r>
            <w:r>
              <w:rPr>
                <w:rFonts w:asciiTheme="minorHAnsi" w:hAnsiTheme="minorHAnsi" w:cstheme="minorBidi"/>
                <w:noProof/>
                <w:kern w:val="2"/>
                <w:lang w:val="en-GB"/>
                <w14:ligatures w14:val="standardContextual"/>
              </w:rPr>
              <w:tab/>
            </w:r>
            <w:r w:rsidRPr="0075519C">
              <w:rPr>
                <w:rStyle w:val="Hyperlink"/>
              </w:rPr>
              <w:t>Pregled potrebnih ulaganja</w:t>
            </w:r>
            <w:r>
              <w:rPr>
                <w:noProof/>
                <w:webHidden/>
              </w:rPr>
              <w:tab/>
            </w:r>
            <w:r>
              <w:rPr>
                <w:noProof/>
                <w:webHidden/>
              </w:rPr>
              <w:fldChar w:fldCharType="begin"/>
            </w:r>
            <w:r>
              <w:rPr>
                <w:noProof/>
                <w:webHidden/>
              </w:rPr>
              <w:instrText xml:space="preserve"> PAGEREF _Toc193043297 \h </w:instrText>
            </w:r>
            <w:r>
              <w:rPr>
                <w:noProof/>
                <w:webHidden/>
              </w:rPr>
            </w:r>
            <w:r>
              <w:rPr>
                <w:noProof/>
                <w:webHidden/>
              </w:rPr>
              <w:fldChar w:fldCharType="separate"/>
            </w:r>
            <w:r w:rsidR="00DB579D">
              <w:rPr>
                <w:noProof/>
                <w:webHidden/>
              </w:rPr>
              <w:t>334</w:t>
            </w:r>
            <w:r>
              <w:rPr>
                <w:noProof/>
                <w:webHidden/>
              </w:rPr>
              <w:fldChar w:fldCharType="end"/>
            </w:r>
          </w:hyperlink>
        </w:p>
        <w:p w14:paraId="50AC857B" w14:textId="4E7FB74C" w:rsidR="0038342A" w:rsidRDefault="0038342A">
          <w:pPr>
            <w:pStyle w:val="TOC2"/>
            <w:rPr>
              <w:rFonts w:asciiTheme="minorHAnsi" w:hAnsiTheme="minorHAnsi" w:cstheme="minorBidi"/>
              <w:noProof/>
              <w:kern w:val="2"/>
              <w:lang w:val="en-GB"/>
              <w14:ligatures w14:val="standardContextual"/>
            </w:rPr>
          </w:pPr>
          <w:hyperlink w:anchor="_Toc193043298" w:history="1">
            <w:r w:rsidRPr="0075519C">
              <w:rPr>
                <w:rStyle w:val="Hyperlink"/>
              </w:rPr>
              <w:t>5.4</w:t>
            </w:r>
            <w:r>
              <w:rPr>
                <w:rFonts w:asciiTheme="minorHAnsi" w:hAnsiTheme="minorHAnsi" w:cstheme="minorBidi"/>
                <w:noProof/>
                <w:kern w:val="2"/>
                <w:lang w:val="en-GB"/>
                <w14:ligatures w14:val="standardContextual"/>
              </w:rPr>
              <w:tab/>
            </w:r>
            <w:r w:rsidRPr="0075519C">
              <w:rPr>
                <w:rStyle w:val="Hyperlink"/>
              </w:rPr>
              <w:t>Učinci planiranih politika i mjera opisanih u točki 3. na druge države članice i na regionalnu suradnju barem do posljednje godine razdoblja obuhvaćenog planom, uključujući usporedbu s projekcijama nastalim na temelju postojećih politika i mjera</w:t>
            </w:r>
            <w:r>
              <w:rPr>
                <w:noProof/>
                <w:webHidden/>
              </w:rPr>
              <w:tab/>
            </w:r>
            <w:r>
              <w:rPr>
                <w:noProof/>
                <w:webHidden/>
              </w:rPr>
              <w:fldChar w:fldCharType="begin"/>
            </w:r>
            <w:r>
              <w:rPr>
                <w:noProof/>
                <w:webHidden/>
              </w:rPr>
              <w:instrText xml:space="preserve"> PAGEREF _Toc193043298 \h </w:instrText>
            </w:r>
            <w:r>
              <w:rPr>
                <w:noProof/>
                <w:webHidden/>
              </w:rPr>
            </w:r>
            <w:r>
              <w:rPr>
                <w:noProof/>
                <w:webHidden/>
              </w:rPr>
              <w:fldChar w:fldCharType="separate"/>
            </w:r>
            <w:r w:rsidR="00DB579D">
              <w:rPr>
                <w:noProof/>
                <w:webHidden/>
              </w:rPr>
              <w:t>344</w:t>
            </w:r>
            <w:r>
              <w:rPr>
                <w:noProof/>
                <w:webHidden/>
              </w:rPr>
              <w:fldChar w:fldCharType="end"/>
            </w:r>
          </w:hyperlink>
        </w:p>
        <w:p w14:paraId="05899DDF" w14:textId="03BD4A09" w:rsidR="0038342A" w:rsidRDefault="0038342A" w:rsidP="00DB579D">
          <w:pPr>
            <w:pStyle w:val="TOC1"/>
            <w:rPr>
              <w:rFonts w:asciiTheme="minorHAnsi" w:hAnsiTheme="minorHAnsi" w:cstheme="minorBidi"/>
              <w:noProof/>
              <w:color w:val="auto"/>
              <w:kern w:val="2"/>
              <w:sz w:val="24"/>
              <w:lang w:val="en-GB"/>
              <w14:ligatures w14:val="standardContextual"/>
            </w:rPr>
          </w:pPr>
          <w:hyperlink w:anchor="_Toc193043299" w:history="1">
            <w:r w:rsidRPr="0075519C">
              <w:rPr>
                <w:rStyle w:val="Hyperlink"/>
              </w:rPr>
              <w:t>6.</w:t>
            </w:r>
            <w:r>
              <w:rPr>
                <w:rFonts w:asciiTheme="minorHAnsi" w:hAnsiTheme="minorHAnsi" w:cstheme="minorBidi"/>
                <w:noProof/>
                <w:color w:val="auto"/>
                <w:kern w:val="2"/>
                <w:sz w:val="24"/>
                <w:lang w:val="en-GB"/>
                <w14:ligatures w14:val="standardContextual"/>
              </w:rPr>
              <w:tab/>
            </w:r>
            <w:r w:rsidRPr="0075519C">
              <w:rPr>
                <w:rStyle w:val="Hyperlink"/>
              </w:rPr>
              <w:t>REFERENCE</w:t>
            </w:r>
            <w:r>
              <w:rPr>
                <w:noProof/>
                <w:webHidden/>
              </w:rPr>
              <w:tab/>
            </w:r>
            <w:r>
              <w:rPr>
                <w:noProof/>
                <w:webHidden/>
              </w:rPr>
              <w:fldChar w:fldCharType="begin"/>
            </w:r>
            <w:r>
              <w:rPr>
                <w:noProof/>
                <w:webHidden/>
              </w:rPr>
              <w:instrText xml:space="preserve"> PAGEREF _Toc193043299 \h </w:instrText>
            </w:r>
            <w:r>
              <w:rPr>
                <w:noProof/>
                <w:webHidden/>
              </w:rPr>
            </w:r>
            <w:r>
              <w:rPr>
                <w:noProof/>
                <w:webHidden/>
              </w:rPr>
              <w:fldChar w:fldCharType="separate"/>
            </w:r>
            <w:r w:rsidR="00DB579D">
              <w:rPr>
                <w:noProof/>
                <w:webHidden/>
              </w:rPr>
              <w:t>345</w:t>
            </w:r>
            <w:r>
              <w:rPr>
                <w:noProof/>
                <w:webHidden/>
              </w:rPr>
              <w:fldChar w:fldCharType="end"/>
            </w:r>
          </w:hyperlink>
        </w:p>
        <w:p w14:paraId="0B7A33DB" w14:textId="6B8918D5" w:rsidR="0038342A" w:rsidRDefault="0038342A" w:rsidP="00DB579D">
          <w:pPr>
            <w:pStyle w:val="TOC1"/>
            <w:rPr>
              <w:rFonts w:asciiTheme="minorHAnsi" w:hAnsiTheme="minorHAnsi" w:cstheme="minorBidi"/>
              <w:noProof/>
              <w:color w:val="auto"/>
              <w:kern w:val="2"/>
              <w:sz w:val="24"/>
              <w:lang w:val="en-GB"/>
              <w14:ligatures w14:val="standardContextual"/>
            </w:rPr>
          </w:pPr>
          <w:hyperlink w:anchor="_Toc193043300" w:history="1">
            <w:r w:rsidRPr="0075519C">
              <w:rPr>
                <w:rStyle w:val="Hyperlink"/>
              </w:rPr>
              <w:t>7.</w:t>
            </w:r>
            <w:r>
              <w:rPr>
                <w:rFonts w:asciiTheme="minorHAnsi" w:hAnsiTheme="minorHAnsi" w:cstheme="minorBidi"/>
                <w:noProof/>
                <w:color w:val="auto"/>
                <w:kern w:val="2"/>
                <w:sz w:val="24"/>
                <w:lang w:val="en-GB"/>
                <w14:ligatures w14:val="standardContextual"/>
              </w:rPr>
              <w:tab/>
            </w:r>
            <w:r w:rsidRPr="0075519C">
              <w:rPr>
                <w:rStyle w:val="Hyperlink"/>
              </w:rPr>
              <w:t>POPIS SLIKA</w:t>
            </w:r>
            <w:r>
              <w:rPr>
                <w:noProof/>
                <w:webHidden/>
              </w:rPr>
              <w:tab/>
            </w:r>
            <w:r>
              <w:rPr>
                <w:noProof/>
                <w:webHidden/>
              </w:rPr>
              <w:fldChar w:fldCharType="begin"/>
            </w:r>
            <w:r>
              <w:rPr>
                <w:noProof/>
                <w:webHidden/>
              </w:rPr>
              <w:instrText xml:space="preserve"> PAGEREF _Toc193043300 \h </w:instrText>
            </w:r>
            <w:r>
              <w:rPr>
                <w:noProof/>
                <w:webHidden/>
              </w:rPr>
            </w:r>
            <w:r>
              <w:rPr>
                <w:noProof/>
                <w:webHidden/>
              </w:rPr>
              <w:fldChar w:fldCharType="separate"/>
            </w:r>
            <w:r w:rsidR="00DB579D">
              <w:rPr>
                <w:noProof/>
                <w:webHidden/>
              </w:rPr>
              <w:t>346</w:t>
            </w:r>
            <w:r>
              <w:rPr>
                <w:noProof/>
                <w:webHidden/>
              </w:rPr>
              <w:fldChar w:fldCharType="end"/>
            </w:r>
          </w:hyperlink>
        </w:p>
        <w:p w14:paraId="6A2402BE" w14:textId="2DEF93B6" w:rsidR="0038342A" w:rsidRDefault="0038342A" w:rsidP="00DB579D">
          <w:pPr>
            <w:pStyle w:val="TOC1"/>
            <w:rPr>
              <w:rFonts w:asciiTheme="minorHAnsi" w:hAnsiTheme="minorHAnsi" w:cstheme="minorBidi"/>
              <w:noProof/>
              <w:color w:val="auto"/>
              <w:kern w:val="2"/>
              <w:sz w:val="24"/>
              <w:lang w:val="en-GB"/>
              <w14:ligatures w14:val="standardContextual"/>
            </w:rPr>
          </w:pPr>
          <w:hyperlink w:anchor="_Toc193043301" w:history="1">
            <w:r w:rsidRPr="0075519C">
              <w:rPr>
                <w:rStyle w:val="Hyperlink"/>
              </w:rPr>
              <w:t>8.</w:t>
            </w:r>
            <w:r>
              <w:rPr>
                <w:rFonts w:asciiTheme="minorHAnsi" w:hAnsiTheme="minorHAnsi" w:cstheme="minorBidi"/>
                <w:noProof/>
                <w:color w:val="auto"/>
                <w:kern w:val="2"/>
                <w:sz w:val="24"/>
                <w:lang w:val="en-GB"/>
                <w14:ligatures w14:val="standardContextual"/>
              </w:rPr>
              <w:tab/>
            </w:r>
            <w:r w:rsidRPr="0075519C">
              <w:rPr>
                <w:rStyle w:val="Hyperlink"/>
              </w:rPr>
              <w:t>POPIS TABLICA</w:t>
            </w:r>
            <w:r>
              <w:rPr>
                <w:noProof/>
                <w:webHidden/>
              </w:rPr>
              <w:tab/>
            </w:r>
            <w:r>
              <w:rPr>
                <w:noProof/>
                <w:webHidden/>
              </w:rPr>
              <w:fldChar w:fldCharType="begin"/>
            </w:r>
            <w:r>
              <w:rPr>
                <w:noProof/>
                <w:webHidden/>
              </w:rPr>
              <w:instrText xml:space="preserve"> PAGEREF _Toc193043301 \h </w:instrText>
            </w:r>
            <w:r>
              <w:rPr>
                <w:noProof/>
                <w:webHidden/>
              </w:rPr>
            </w:r>
            <w:r>
              <w:rPr>
                <w:noProof/>
                <w:webHidden/>
              </w:rPr>
              <w:fldChar w:fldCharType="separate"/>
            </w:r>
            <w:r w:rsidR="00DB579D">
              <w:rPr>
                <w:noProof/>
                <w:webHidden/>
              </w:rPr>
              <w:t>349</w:t>
            </w:r>
            <w:r>
              <w:rPr>
                <w:noProof/>
                <w:webHidden/>
              </w:rPr>
              <w:fldChar w:fldCharType="end"/>
            </w:r>
          </w:hyperlink>
        </w:p>
        <w:p w14:paraId="2BC26E22" w14:textId="095F696F" w:rsidR="00DB579D" w:rsidRDefault="0038342A" w:rsidP="00DB579D">
          <w:pPr>
            <w:pStyle w:val="TOC1"/>
            <w:rPr>
              <w:noProof/>
            </w:rPr>
          </w:pPr>
          <w:hyperlink w:anchor="_Toc193043302" w:history="1">
            <w:r w:rsidRPr="0075519C">
              <w:rPr>
                <w:rStyle w:val="Hyperlink"/>
              </w:rPr>
              <w:t>9.</w:t>
            </w:r>
            <w:r>
              <w:rPr>
                <w:rFonts w:asciiTheme="minorHAnsi" w:hAnsiTheme="minorHAnsi" w:cstheme="minorBidi"/>
                <w:noProof/>
                <w:color w:val="auto"/>
                <w:kern w:val="2"/>
                <w:sz w:val="24"/>
                <w:lang w:val="en-GB"/>
                <w14:ligatures w14:val="standardContextual"/>
              </w:rPr>
              <w:tab/>
            </w:r>
            <w:r w:rsidRPr="0075519C">
              <w:rPr>
                <w:rStyle w:val="Hyperlink"/>
              </w:rPr>
              <w:t>POPIS KRATICA</w:t>
            </w:r>
            <w:r>
              <w:rPr>
                <w:noProof/>
                <w:webHidden/>
              </w:rPr>
              <w:tab/>
            </w:r>
            <w:r>
              <w:rPr>
                <w:noProof/>
                <w:webHidden/>
              </w:rPr>
              <w:fldChar w:fldCharType="begin"/>
            </w:r>
            <w:r>
              <w:rPr>
                <w:noProof/>
                <w:webHidden/>
              </w:rPr>
              <w:instrText xml:space="preserve"> PAGEREF _Toc193043302 \h </w:instrText>
            </w:r>
            <w:r>
              <w:rPr>
                <w:noProof/>
                <w:webHidden/>
              </w:rPr>
            </w:r>
            <w:r>
              <w:rPr>
                <w:noProof/>
                <w:webHidden/>
              </w:rPr>
              <w:fldChar w:fldCharType="separate"/>
            </w:r>
            <w:r w:rsidR="00DB579D">
              <w:rPr>
                <w:noProof/>
                <w:webHidden/>
              </w:rPr>
              <w:t>351</w:t>
            </w:r>
            <w:r>
              <w:rPr>
                <w:noProof/>
                <w:webHidden/>
              </w:rPr>
              <w:fldChar w:fldCharType="end"/>
            </w:r>
          </w:hyperlink>
          <w:r w:rsidR="000C38D1">
            <w:rPr>
              <w:b w:val="0"/>
              <w:bCs/>
              <w:noProof/>
            </w:rPr>
            <w:fldChar w:fldCharType="end"/>
          </w:r>
        </w:p>
      </w:sdtContent>
    </w:sdt>
    <w:p w14:paraId="3B14256F" w14:textId="4C67234F" w:rsidR="00F61DC8" w:rsidRPr="00B47BDA" w:rsidRDefault="00F61DC8" w:rsidP="00521E0C">
      <w:r w:rsidRPr="00B47BDA">
        <w:br w:type="page"/>
      </w:r>
    </w:p>
    <w:p w14:paraId="05D34A45" w14:textId="4427D00F" w:rsidR="004140F5" w:rsidRPr="00CB4B0D" w:rsidRDefault="00C11F7F" w:rsidP="00CB4B0D">
      <w:pPr>
        <w:pStyle w:val="Sadraj"/>
      </w:pPr>
      <w:r w:rsidRPr="00CB4B0D">
        <w:lastRenderedPageBreak/>
        <w:t>UVOD</w:t>
      </w:r>
    </w:p>
    <w:p w14:paraId="13F4C57A" w14:textId="7E384656" w:rsidR="004D5756" w:rsidRPr="00B47BDA" w:rsidRDefault="004D5756" w:rsidP="63259912">
      <w:pPr>
        <w:rPr>
          <w:i/>
          <w:iCs/>
        </w:rPr>
      </w:pPr>
      <w:r w:rsidRPr="63259912">
        <w:t xml:space="preserve">U </w:t>
      </w:r>
      <w:r w:rsidR="00B96749" w:rsidRPr="63259912">
        <w:t>Komunikaciji Komisije Europskom parlamentu, Vijeću, Europskom gospodarskom i socijalnom odboru, Odboru regija te Europskoj investicijskoj banci: Okvirna strategija za otpornu energetsku uniju s naprednom klimatskom politikom, COM</w:t>
      </w:r>
      <w:r w:rsidR="004C3A3D" w:rsidRPr="63259912">
        <w:t>(</w:t>
      </w:r>
      <w:r w:rsidR="00B96749" w:rsidRPr="63259912">
        <w:t>2015</w:t>
      </w:r>
      <w:r w:rsidR="004C3A3D" w:rsidRPr="63259912">
        <w:t>)</w:t>
      </w:r>
      <w:r w:rsidR="00B96749" w:rsidRPr="63259912">
        <w:t>80 final</w:t>
      </w:r>
      <w:r w:rsidR="004A5015" w:rsidRPr="63259912">
        <w:t xml:space="preserve"> </w:t>
      </w:r>
      <w:r w:rsidRPr="63259912">
        <w:t>od 25. veljače 2015.</w:t>
      </w:r>
      <w:r w:rsidR="00CC7817" w:rsidRPr="63259912">
        <w:t xml:space="preserve"> godine</w:t>
      </w:r>
      <w:r w:rsidR="348EDD02" w:rsidRPr="63259912">
        <w:t>,</w:t>
      </w:r>
      <w:r w:rsidRPr="63259912">
        <w:t xml:space="preserve"> istaknuto je da je potrebno integrirano upravljanje kako bi se osiguralo da </w:t>
      </w:r>
      <w:r w:rsidR="406BBF42" w:rsidRPr="63259912">
        <w:t>sv</w:t>
      </w:r>
      <w:r w:rsidR="7514641A" w:rsidRPr="63259912">
        <w:t>e</w:t>
      </w:r>
      <w:r w:rsidRPr="63259912">
        <w:t xml:space="preserve"> aktivnosti </w:t>
      </w:r>
      <w:r w:rsidR="406BBF42" w:rsidRPr="63259912">
        <w:t>povezan</w:t>
      </w:r>
      <w:r w:rsidR="7B9B1713" w:rsidRPr="63259912">
        <w:t>e</w:t>
      </w:r>
      <w:r w:rsidRPr="63259912">
        <w:t xml:space="preserve"> s energijom na razini Unije </w:t>
      </w:r>
      <w:r w:rsidR="7F78E6BF" w:rsidRPr="63259912">
        <w:t>i</w:t>
      </w:r>
      <w:r w:rsidRPr="63259912">
        <w:t xml:space="preserve"> na regionalnoj, nacionalnoj i lokalnoj razini pridonos</w:t>
      </w:r>
      <w:r w:rsidR="23D75A7D" w:rsidRPr="63259912">
        <w:t>e</w:t>
      </w:r>
      <w:r w:rsidRPr="63259912">
        <w:t xml:space="preserve"> ciljevima </w:t>
      </w:r>
      <w:r w:rsidR="00DB38F7" w:rsidRPr="63259912">
        <w:t xml:space="preserve">energetske </w:t>
      </w:r>
      <w:r w:rsidRPr="63259912">
        <w:t xml:space="preserve">unije. Ostvarivanje ciljeva </w:t>
      </w:r>
      <w:r w:rsidR="6B181528" w:rsidRPr="63259912">
        <w:t>trebalo bi se postići</w:t>
      </w:r>
      <w:r w:rsidRPr="63259912">
        <w:t xml:space="preserve"> kroz pet ključnih dimenzija </w:t>
      </w:r>
      <w:r w:rsidR="00DB38F7" w:rsidRPr="63259912">
        <w:t xml:space="preserve">energetske </w:t>
      </w:r>
      <w:r w:rsidRPr="63259912">
        <w:t xml:space="preserve">unije: </w:t>
      </w:r>
      <w:r w:rsidRPr="63259912">
        <w:rPr>
          <w:i/>
          <w:iCs/>
        </w:rPr>
        <w:t xml:space="preserve">1. </w:t>
      </w:r>
      <w:r w:rsidR="001A755C" w:rsidRPr="63259912">
        <w:rPr>
          <w:i/>
          <w:iCs/>
        </w:rPr>
        <w:t xml:space="preserve">dekarbonizaciju, </w:t>
      </w:r>
      <w:r w:rsidR="0055229C" w:rsidRPr="63259912">
        <w:rPr>
          <w:i/>
          <w:iCs/>
        </w:rPr>
        <w:t>2. energetsku učinkovitost, 3.</w:t>
      </w:r>
      <w:r w:rsidR="001A755C" w:rsidRPr="63259912">
        <w:rPr>
          <w:i/>
          <w:iCs/>
        </w:rPr>
        <w:t xml:space="preserve"> </w:t>
      </w:r>
      <w:r w:rsidRPr="63259912">
        <w:rPr>
          <w:i/>
          <w:iCs/>
        </w:rPr>
        <w:t xml:space="preserve">energetsku sigurnost, </w:t>
      </w:r>
      <w:r w:rsidR="0055229C" w:rsidRPr="63259912">
        <w:rPr>
          <w:i/>
          <w:iCs/>
        </w:rPr>
        <w:t>4</w:t>
      </w:r>
      <w:r w:rsidRPr="63259912">
        <w:rPr>
          <w:i/>
          <w:iCs/>
        </w:rPr>
        <w:t>. unutarnje energetsko tržište</w:t>
      </w:r>
      <w:r w:rsidR="001E0E81" w:rsidRPr="63259912">
        <w:rPr>
          <w:i/>
          <w:iCs/>
        </w:rPr>
        <w:t xml:space="preserve"> </w:t>
      </w:r>
      <w:r w:rsidRPr="63259912">
        <w:rPr>
          <w:i/>
          <w:iCs/>
        </w:rPr>
        <w:t>i 5. istraživanje, inovacije i konkurentnost.</w:t>
      </w:r>
    </w:p>
    <w:p w14:paraId="30488F1F" w14:textId="289355EF" w:rsidR="004D5756" w:rsidRPr="00B47BDA" w:rsidRDefault="004D5756" w:rsidP="004623DD">
      <w:r w:rsidRPr="00B47BDA">
        <w:t xml:space="preserve">U Zaključcima Europskog vijeća o upravljanju energetskom unijom od 26. studenoga 2015. </w:t>
      </w:r>
      <w:r w:rsidR="15EA315C">
        <w:t xml:space="preserve">godine </w:t>
      </w:r>
      <w:r w:rsidR="76D9D780">
        <w:t>upravljanje je</w:t>
      </w:r>
      <w:r w:rsidR="00B54482" w:rsidRPr="00B47BDA">
        <w:t xml:space="preserve"> </w:t>
      </w:r>
      <w:r w:rsidRPr="00B47BDA">
        <w:t xml:space="preserve">prepoznato </w:t>
      </w:r>
      <w:r w:rsidR="65A8219C">
        <w:t>kao</w:t>
      </w:r>
      <w:r w:rsidR="406BBF42">
        <w:t xml:space="preserve"> </w:t>
      </w:r>
      <w:r w:rsidRPr="00B47BDA">
        <w:t xml:space="preserve">ključan alat za učinkovitu i djelotvornu izgradnju </w:t>
      </w:r>
      <w:r w:rsidR="00FF3A27" w:rsidRPr="00B47BDA">
        <w:t>e</w:t>
      </w:r>
      <w:r w:rsidRPr="00B47BDA">
        <w:t>nergetske unije i za ostvarivanje njenih ciljeva. U njima je istaknuto da bi se sustav upravljanja trebao temeljiti na načelima integracije strateškog planiranja i izvješćivanja o provedbi klimatske i energetske politike i na koordinaciji između dionika odgovornih za energetsku i klimatsku politiku na regionalnoj i nacionalnoj razini kao i na razini Unije.</w:t>
      </w:r>
    </w:p>
    <w:p w14:paraId="6AA75BC5" w14:textId="2A5935D1" w:rsidR="004D5756" w:rsidRPr="00B47BDA" w:rsidRDefault="004D5756" w:rsidP="004623DD">
      <w:r w:rsidRPr="00B47BDA">
        <w:t xml:space="preserve">Stoga je 11. prosinca 2018. </w:t>
      </w:r>
      <w:r w:rsidR="00B84100" w:rsidRPr="00B47BDA">
        <w:t xml:space="preserve">godine </w:t>
      </w:r>
      <w:r w:rsidRPr="00B47BDA">
        <w:t>donesena Uredba (EU) 2018/1999 Europskog parlamenta i Vijeća o upravljanju energetskom unijom i djelovanjem u području klime i izmjeni uredaba (EZ) 663/2009 i (EZ) 715/2009 Europskog parlamenta i Vijeća i direktiva 94/22/EZ, 98/70/EZ, 2009/31/EZ, 2009/73/EZ, 2010/31/EU, 2012/27/EU i 2013/30/EU Europskog parlamenta i Vijeća, direktiva Vijeća 2009/119/EZ i (EU) 2015/652 te stavljanju izvan snage Uredbe (EU) 525/2013 Europskog parlamenta i Vijeća</w:t>
      </w:r>
      <w:r w:rsidR="00A116F4" w:rsidRPr="00A116F4">
        <w:t xml:space="preserve"> </w:t>
      </w:r>
      <w:r w:rsidR="00EB3D1D" w:rsidRPr="00EB3D1D">
        <w:t xml:space="preserve">(Tekst značajan za EGP) </w:t>
      </w:r>
      <w:r w:rsidR="00A116F4" w:rsidRPr="00A116F4">
        <w:t>(SL L 328, 21. 12. 2018.)</w:t>
      </w:r>
      <w:r w:rsidRPr="00B47BDA">
        <w:t xml:space="preserve"> (</w:t>
      </w:r>
      <w:r w:rsidR="008C7262" w:rsidRPr="00B47BDA">
        <w:t xml:space="preserve">u </w:t>
      </w:r>
      <w:r w:rsidR="00933DFD" w:rsidRPr="00B47BDA">
        <w:t>dalj</w:t>
      </w:r>
      <w:r w:rsidR="008C7262" w:rsidRPr="00B47BDA">
        <w:t>nj</w:t>
      </w:r>
      <w:r w:rsidR="00933DFD" w:rsidRPr="00B47BDA">
        <w:t>e</w:t>
      </w:r>
      <w:r w:rsidR="008C7262" w:rsidRPr="00B47BDA">
        <w:t>m</w:t>
      </w:r>
      <w:r w:rsidR="00933DFD" w:rsidRPr="00B47BDA">
        <w:t xml:space="preserve"> tekstu: </w:t>
      </w:r>
      <w:r w:rsidRPr="00B47BDA">
        <w:t xml:space="preserve">Uredba </w:t>
      </w:r>
      <w:r w:rsidR="00E728A4">
        <w:t>(EU) 201</w:t>
      </w:r>
      <w:r w:rsidR="00283B28">
        <w:t xml:space="preserve">8/1999 </w:t>
      </w:r>
      <w:r w:rsidRPr="00B47BDA">
        <w:t>o upravljanju energetskom unijom i djelovanjem u području klime). U toj</w:t>
      </w:r>
      <w:r w:rsidR="406BBF42">
        <w:t xml:space="preserve"> </w:t>
      </w:r>
      <w:r w:rsidR="52F7A87B">
        <w:t>se</w:t>
      </w:r>
      <w:r w:rsidRPr="00B47BDA">
        <w:t xml:space="preserve"> uredbi propisuje izrada </w:t>
      </w:r>
      <w:r w:rsidRPr="00B47BDA">
        <w:rPr>
          <w:b/>
        </w:rPr>
        <w:t>integriranih nacionalnih energetskih i klimatskih planova</w:t>
      </w:r>
      <w:r w:rsidR="0FDEFA0C">
        <w:t xml:space="preserve"> </w:t>
      </w:r>
      <w:r w:rsidRPr="00B47BDA">
        <w:t xml:space="preserve">za desetogodišnje razdoblje. Prvi Integrirani energetski i klimatski plan treba </w:t>
      </w:r>
      <w:r w:rsidR="7162B90A">
        <w:t>biti izrađen za</w:t>
      </w:r>
      <w:r w:rsidRPr="00B47BDA">
        <w:t xml:space="preserve"> </w:t>
      </w:r>
      <w:r w:rsidR="00776CCE" w:rsidRPr="00B47BDA">
        <w:t>razdoblje</w:t>
      </w:r>
      <w:r w:rsidRPr="00B47BDA">
        <w:t xml:space="preserve"> od 2021. do 2030. godine.</w:t>
      </w:r>
    </w:p>
    <w:p w14:paraId="317887A8" w14:textId="34796DC7" w:rsidR="004D5756" w:rsidRPr="00B47BDA" w:rsidRDefault="004D5756" w:rsidP="004623DD">
      <w:r w:rsidRPr="00B47BDA">
        <w:t xml:space="preserve">Postizanje </w:t>
      </w:r>
      <w:r w:rsidR="000E1D08" w:rsidRPr="00866F4E">
        <w:t>nacionalni</w:t>
      </w:r>
      <w:r w:rsidR="000E1D08">
        <w:t>h</w:t>
      </w:r>
      <w:r w:rsidR="000E1D08" w:rsidRPr="00866F4E">
        <w:t xml:space="preserve"> i europski</w:t>
      </w:r>
      <w:r w:rsidR="000E1D08">
        <w:t>h</w:t>
      </w:r>
      <w:r w:rsidR="000E1D08" w:rsidRPr="00866F4E">
        <w:t xml:space="preserve"> </w:t>
      </w:r>
      <w:r w:rsidR="000E1D08">
        <w:t xml:space="preserve">energetskih i </w:t>
      </w:r>
      <w:r w:rsidR="000E1D08" w:rsidRPr="00866F4E">
        <w:t>klimatski</w:t>
      </w:r>
      <w:r w:rsidR="000E1D08">
        <w:t>h</w:t>
      </w:r>
      <w:r w:rsidR="000E1D08" w:rsidRPr="00866F4E">
        <w:t xml:space="preserve"> ciljev</w:t>
      </w:r>
      <w:r w:rsidR="000E1D08">
        <w:t>a</w:t>
      </w:r>
      <w:r w:rsidR="000E1D08" w:rsidRPr="00866F4E">
        <w:t xml:space="preserve"> do 2030. godine i posti</w:t>
      </w:r>
      <w:r w:rsidR="000E1D08">
        <w:t xml:space="preserve">zanje </w:t>
      </w:r>
      <w:r w:rsidR="000E1D08" w:rsidRPr="00866F4E">
        <w:t>klimatsk</w:t>
      </w:r>
      <w:r w:rsidR="000E1D08">
        <w:t>e</w:t>
      </w:r>
      <w:r w:rsidR="000E1D08" w:rsidRPr="00866F4E">
        <w:t xml:space="preserve"> neutralnost</w:t>
      </w:r>
      <w:r w:rsidR="000E1D08">
        <w:t>i</w:t>
      </w:r>
      <w:r w:rsidR="000E1D08" w:rsidRPr="00866F4E">
        <w:t xml:space="preserve"> do 2050.</w:t>
      </w:r>
      <w:r w:rsidRPr="00B47BDA">
        <w:t xml:space="preserve"> </w:t>
      </w:r>
      <w:r w:rsidR="41D57824">
        <w:t>namjerava</w:t>
      </w:r>
      <w:r w:rsidRPr="00B47BDA">
        <w:t xml:space="preserve"> se osigurati kombinacijom inicijativa Unije i dosljednih nacionalnih politika utvrđenih u integriranim nacionalnim energetskim i klimatskim planovima.</w:t>
      </w:r>
    </w:p>
    <w:p w14:paraId="6D77BBD6" w14:textId="3175334D" w:rsidR="003852EA" w:rsidRDefault="004D5756" w:rsidP="004623DD">
      <w:r w:rsidRPr="63259912">
        <w:t xml:space="preserve">Integrirani nacionalni energetski i klimatski plan </w:t>
      </w:r>
      <w:r w:rsidR="002D2E52" w:rsidRPr="63259912">
        <w:t xml:space="preserve">za Republiku Hrvatsku </w:t>
      </w:r>
      <w:r w:rsidRPr="63259912">
        <w:t xml:space="preserve">za razdoblje od 2021. do 2030. godine </w:t>
      </w:r>
      <w:r w:rsidR="00253E63" w:rsidRPr="63259912">
        <w:t xml:space="preserve">(u daljnjem tekstu: NECP, Plan, Integrirani energetski i klimatski plan) </w:t>
      </w:r>
      <w:r w:rsidRPr="63259912">
        <w:t>nadovezuje se na postojeće nacionalne strategije i planove</w:t>
      </w:r>
      <w:r w:rsidR="00485218" w:rsidRPr="63259912">
        <w:t xml:space="preserve"> </w:t>
      </w:r>
      <w:r w:rsidR="00F74AFC" w:rsidRPr="63259912">
        <w:t>te će omogućit</w:t>
      </w:r>
      <w:r w:rsidR="00485218" w:rsidRPr="63259912">
        <w:t>i</w:t>
      </w:r>
      <w:r w:rsidR="00F74AFC" w:rsidRPr="63259912">
        <w:t xml:space="preserve"> provedbu dugoročne Strategije niskougljičnog razvoja Republike Hrvatske za razdoblje do 2030. godine s pogledom na 2050. godinu</w:t>
      </w:r>
      <w:r w:rsidR="00D74594" w:rsidRPr="63259912">
        <w:t xml:space="preserve"> („Narodne novine“, br</w:t>
      </w:r>
      <w:r w:rsidR="006D3251" w:rsidRPr="63259912">
        <w:t>.</w:t>
      </w:r>
      <w:r w:rsidR="00D74594" w:rsidRPr="63259912">
        <w:t xml:space="preserve"> 63/21.)</w:t>
      </w:r>
      <w:r w:rsidR="00F74AFC" w:rsidRPr="63259912">
        <w:t xml:space="preserve"> i stavit će Hrvatsku na putanju snažnog smanjenja emisija stakleničkih plinova sukladno energetsko klimatskom zakonodavnom okviru „Spremni za 55“.</w:t>
      </w:r>
    </w:p>
    <w:p w14:paraId="77F911DE" w14:textId="1260E898" w:rsidR="00820072" w:rsidRPr="00B47BDA" w:rsidRDefault="004D5756" w:rsidP="004623DD">
      <w:r w:rsidRPr="00B47BDA">
        <w:t xml:space="preserve">Njime se daje pregled trenutačnog energetskog sustava i stanja u području energetske i klimatske politike. </w:t>
      </w:r>
      <w:r w:rsidR="406BBF42">
        <w:t>Također</w:t>
      </w:r>
      <w:r w:rsidR="6D57F996">
        <w:t xml:space="preserve">, u </w:t>
      </w:r>
      <w:r w:rsidR="00F90244">
        <w:t>NECP-u</w:t>
      </w:r>
      <w:r w:rsidRPr="00B47BDA">
        <w:t xml:space="preserve"> se daje pregled nacionalnih ciljeva za svaku od pet ključnih dimenzija </w:t>
      </w:r>
      <w:r w:rsidR="00FF3A27" w:rsidRPr="00B47BDA">
        <w:t>e</w:t>
      </w:r>
      <w:r w:rsidRPr="00B47BDA">
        <w:t xml:space="preserve">nergetske unije i </w:t>
      </w:r>
      <w:r w:rsidR="406BBF42">
        <w:t>odgovarajuć</w:t>
      </w:r>
      <w:r w:rsidR="39F8B4A9">
        <w:t>ih</w:t>
      </w:r>
      <w:r w:rsidR="406BBF42">
        <w:t xml:space="preserve"> politik</w:t>
      </w:r>
      <w:r w:rsidR="2106995F">
        <w:t>a</w:t>
      </w:r>
      <w:r w:rsidRPr="00B47BDA">
        <w:t xml:space="preserve"> i </w:t>
      </w:r>
      <w:r w:rsidR="406BBF42">
        <w:t>mjer</w:t>
      </w:r>
      <w:r w:rsidR="0EA69971">
        <w:t>a</w:t>
      </w:r>
      <w:r w:rsidRPr="00B47BDA">
        <w:t xml:space="preserve"> za ostvarivanje tih ciljeva, a za</w:t>
      </w:r>
      <w:r w:rsidR="406BBF42">
        <w:t xml:space="preserve"> </w:t>
      </w:r>
      <w:r w:rsidRPr="00B47BDA">
        <w:t xml:space="preserve">to </w:t>
      </w:r>
      <w:r w:rsidR="67702FB9">
        <w:t>je potrebno</w:t>
      </w:r>
      <w:r w:rsidRPr="00B47BDA">
        <w:t xml:space="preserve"> uspostaviti i analitičku osnovu. U Integriranom energetskom i klimatskom planu posebnu pozornost treba posvetiti ciljevima do 2030. godine, koji uključuju </w:t>
      </w:r>
      <w:r w:rsidRPr="00B47BDA">
        <w:rPr>
          <w:b/>
        </w:rPr>
        <w:t xml:space="preserve">smanjenje </w:t>
      </w:r>
      <w:r w:rsidRPr="00B47BDA">
        <w:rPr>
          <w:b/>
        </w:rPr>
        <w:lastRenderedPageBreak/>
        <w:t>emisija stakleničkih plinova</w:t>
      </w:r>
      <w:r w:rsidRPr="00B47BDA">
        <w:t xml:space="preserve">, </w:t>
      </w:r>
      <w:r w:rsidR="11743E50" w:rsidRPr="00E12853">
        <w:rPr>
          <w:b/>
          <w:bCs/>
        </w:rPr>
        <w:t xml:space="preserve">povećanje </w:t>
      </w:r>
      <w:r w:rsidR="79236AEE" w:rsidRPr="00E12853">
        <w:rPr>
          <w:b/>
          <w:bCs/>
        </w:rPr>
        <w:t>proizvodnje i potrošnje</w:t>
      </w:r>
      <w:r w:rsidR="79236AEE">
        <w:t xml:space="preserve"> </w:t>
      </w:r>
      <w:r w:rsidR="406BBF42" w:rsidRPr="79BEB828">
        <w:rPr>
          <w:b/>
          <w:bCs/>
        </w:rPr>
        <w:t>energij</w:t>
      </w:r>
      <w:r w:rsidR="343415EB" w:rsidRPr="79BEB828">
        <w:rPr>
          <w:b/>
          <w:bCs/>
        </w:rPr>
        <w:t>e</w:t>
      </w:r>
      <w:r w:rsidRPr="00B47BDA">
        <w:rPr>
          <w:b/>
        </w:rPr>
        <w:t xml:space="preserve"> iz obnovljivih izvora</w:t>
      </w:r>
      <w:r w:rsidRPr="00B47BDA">
        <w:t xml:space="preserve">, </w:t>
      </w:r>
      <w:r w:rsidRPr="00B47BDA">
        <w:rPr>
          <w:b/>
        </w:rPr>
        <w:t>energetsku učinkovitost</w:t>
      </w:r>
      <w:r w:rsidRPr="00B47BDA">
        <w:t xml:space="preserve"> i </w:t>
      </w:r>
      <w:r w:rsidRPr="00B47BDA">
        <w:rPr>
          <w:b/>
        </w:rPr>
        <w:t>elektroenergetsku međusobnu povezanost</w:t>
      </w:r>
      <w:r w:rsidR="632080E8" w:rsidRPr="08331868">
        <w:rPr>
          <w:b/>
          <w:bCs/>
        </w:rPr>
        <w:t xml:space="preserve"> </w:t>
      </w:r>
      <w:r w:rsidR="632080E8" w:rsidRPr="28D1DE39">
        <w:rPr>
          <w:b/>
          <w:bCs/>
        </w:rPr>
        <w:t>uz sveobuhvatno jačanje otpornosti na klimatske promjene</w:t>
      </w:r>
      <w:r>
        <w:t>.</w:t>
      </w:r>
      <w:r w:rsidRPr="00B47BDA">
        <w:t xml:space="preserve"> Integrirani energetski i klimatski plan </w:t>
      </w:r>
      <w:r w:rsidR="36D7E9B0">
        <w:t>treba biti</w:t>
      </w:r>
      <w:r w:rsidR="406BBF42">
        <w:t xml:space="preserve"> </w:t>
      </w:r>
      <w:r w:rsidRPr="00B47BDA">
        <w:t xml:space="preserve">u skladu </w:t>
      </w:r>
      <w:r w:rsidR="10C1333E">
        <w:t xml:space="preserve">i pridonositi </w:t>
      </w:r>
      <w:r w:rsidRPr="00B47BDA">
        <w:t>ciljevima održivog razvoja.</w:t>
      </w:r>
      <w:r w:rsidR="003B5BA7">
        <w:t xml:space="preserve"> </w:t>
      </w:r>
    </w:p>
    <w:p w14:paraId="58147543" w14:textId="493C0B2C" w:rsidR="000C4CFE" w:rsidRPr="00B47BDA" w:rsidRDefault="009104BE" w:rsidP="004623DD">
      <w:r w:rsidRPr="00B47BDA">
        <w:t xml:space="preserve">Sukladno </w:t>
      </w:r>
      <w:r w:rsidR="008D7C5E" w:rsidRPr="00B47BDA">
        <w:t>članku 1</w:t>
      </w:r>
      <w:r w:rsidR="000F1438" w:rsidRPr="00B47BDA">
        <w:t>4</w:t>
      </w:r>
      <w:r w:rsidR="00D44A89">
        <w:t>.</w:t>
      </w:r>
      <w:r w:rsidR="008D7C5E" w:rsidRPr="00B47BDA">
        <w:t xml:space="preserve"> Uredbe </w:t>
      </w:r>
      <w:r w:rsidR="00022854">
        <w:t>(EU) 2018</w:t>
      </w:r>
      <w:r w:rsidR="004633FD">
        <w:t xml:space="preserve">/1999 </w:t>
      </w:r>
      <w:r w:rsidR="008D7C5E" w:rsidRPr="00B47BDA">
        <w:t xml:space="preserve">o upravljanju </w:t>
      </w:r>
      <w:r w:rsidR="004E387F" w:rsidRPr="00B47BDA">
        <w:t>energetskom unijom i djelovanjem u području klime</w:t>
      </w:r>
      <w:r w:rsidR="00D0390B" w:rsidRPr="00B47BDA">
        <w:t xml:space="preserve">, </w:t>
      </w:r>
      <w:r w:rsidR="00E74F48" w:rsidRPr="00B47BDA">
        <w:t>do 30. lipnja 2023.</w:t>
      </w:r>
      <w:r w:rsidR="000C4CFE" w:rsidRPr="00B47BDA">
        <w:t xml:space="preserve"> go</w:t>
      </w:r>
      <w:r w:rsidR="00E74F48" w:rsidRPr="00B47BDA">
        <w:t>dine sv</w:t>
      </w:r>
      <w:r w:rsidR="000C4CFE" w:rsidRPr="00B47BDA">
        <w:t xml:space="preserve">aka država članica </w:t>
      </w:r>
      <w:r w:rsidR="05AE5484">
        <w:t xml:space="preserve">Komisiji </w:t>
      </w:r>
      <w:r w:rsidR="000C4CFE" w:rsidRPr="00B47BDA">
        <w:t>podnosi</w:t>
      </w:r>
      <w:r w:rsidR="00792269" w:rsidRPr="00B47BDA">
        <w:t xml:space="preserve"> nacrt ažuriranja posljednjeg priopćenog integriranog nacionalnog energetskog i klimatskog plana, a do </w:t>
      </w:r>
      <w:r w:rsidR="00E5514B" w:rsidRPr="00B47BDA">
        <w:t xml:space="preserve">30. lipnja 2024. </w:t>
      </w:r>
      <w:r w:rsidR="007E26EB">
        <w:t xml:space="preserve">godine </w:t>
      </w:r>
      <w:r w:rsidR="4318DD15">
        <w:t xml:space="preserve">Komisiji </w:t>
      </w:r>
      <w:r w:rsidR="4A36F25F">
        <w:t>prijavljuj</w:t>
      </w:r>
      <w:r w:rsidR="3C4F4403">
        <w:t>e</w:t>
      </w:r>
      <w:r w:rsidR="00E5514B" w:rsidRPr="00B47BDA">
        <w:t xml:space="preserve"> ažuriranje svojeg posljednjeg priopćenog integriranog nacionalnog energetskog i klimatskog plana. </w:t>
      </w:r>
      <w:r w:rsidR="4F90013D">
        <w:t>Glavni</w:t>
      </w:r>
      <w:r w:rsidR="752AA74A">
        <w:t xml:space="preserve"> razlo</w:t>
      </w:r>
      <w:r w:rsidR="6AF6032F">
        <w:t>zi</w:t>
      </w:r>
      <w:r w:rsidR="00635087">
        <w:t xml:space="preserve"> </w:t>
      </w:r>
      <w:r w:rsidR="003A26AF">
        <w:t xml:space="preserve">provedenog ažuriranja </w:t>
      </w:r>
      <w:r w:rsidR="00E12853">
        <w:t>su</w:t>
      </w:r>
      <w:r w:rsidR="003A26AF">
        <w:t xml:space="preserve"> povećanje klimatskih ambicija do 2030. godine </w:t>
      </w:r>
      <w:r w:rsidR="007603F5">
        <w:t xml:space="preserve">unutar Europske unije </w:t>
      </w:r>
      <w:r w:rsidR="652EEA76">
        <w:t>i</w:t>
      </w:r>
      <w:r w:rsidR="007603F5">
        <w:t xml:space="preserve"> postizanje ugljične neutralnosti do 2050. godine. Sukladno tome, Republika Hrvatska </w:t>
      </w:r>
      <w:r w:rsidR="220A83E1">
        <w:t xml:space="preserve">je </w:t>
      </w:r>
      <w:r w:rsidR="00AA7020">
        <w:t xml:space="preserve">usvojila ambicioznije ciljeve u pogledu smanjenja emisija stakleničkih plinova, </w:t>
      </w:r>
      <w:r w:rsidR="007C767F">
        <w:t xml:space="preserve">kako </w:t>
      </w:r>
      <w:r w:rsidR="33AFDC7D">
        <w:t>u</w:t>
      </w:r>
      <w:r w:rsidR="6334D022">
        <w:t xml:space="preserve"> sektorima </w:t>
      </w:r>
      <w:r w:rsidR="007C767F">
        <w:t xml:space="preserve">unutar </w:t>
      </w:r>
      <w:r w:rsidR="7BE159D5">
        <w:t>sustava</w:t>
      </w:r>
      <w:r w:rsidR="33AFDC7D">
        <w:t xml:space="preserve"> </w:t>
      </w:r>
      <w:r w:rsidR="007C767F">
        <w:t xml:space="preserve">trgovanja emisijskim jedinicama, tako i </w:t>
      </w:r>
      <w:r w:rsidR="79DB0380">
        <w:t xml:space="preserve">u sektorima </w:t>
      </w:r>
      <w:r w:rsidR="33AFDC7D">
        <w:t>izvan</w:t>
      </w:r>
      <w:r w:rsidR="65DBA4AC">
        <w:t xml:space="preserve"> trgovanja emisijskim jedinicama</w:t>
      </w:r>
      <w:r w:rsidR="007C767F">
        <w:t xml:space="preserve">, te </w:t>
      </w:r>
      <w:r w:rsidR="00B92589">
        <w:t xml:space="preserve">je povećala ciljeve vezane uz udio obnovljivih izvora energije u </w:t>
      </w:r>
      <w:r w:rsidR="00F736C2">
        <w:t>potrošnji energije i energetske učinkovitosti.</w:t>
      </w:r>
    </w:p>
    <w:p w14:paraId="292F69AF" w14:textId="03A06061" w:rsidR="00820072" w:rsidRPr="00B47BDA" w:rsidRDefault="00B27B02" w:rsidP="004623DD">
      <w:r w:rsidRPr="00B47BDA">
        <w:t>Najvažn</w:t>
      </w:r>
      <w:r w:rsidR="009E1F1F" w:rsidRPr="00B47BDA">
        <w:t>i</w:t>
      </w:r>
      <w:r w:rsidRPr="00B47BDA">
        <w:t>j</w:t>
      </w:r>
      <w:r w:rsidR="72121A96">
        <w:t>i</w:t>
      </w:r>
      <w:r w:rsidR="5DEB15A9">
        <w:t xml:space="preserve"> </w:t>
      </w:r>
      <w:r w:rsidR="608E3F18">
        <w:t xml:space="preserve">indikatori i </w:t>
      </w:r>
      <w:r w:rsidR="5DEB15A9">
        <w:t>ciljev</w:t>
      </w:r>
      <w:r w:rsidR="2B779424">
        <w:t>i</w:t>
      </w:r>
      <w:r w:rsidR="5DEB15A9">
        <w:t xml:space="preserve"> </w:t>
      </w:r>
      <w:r w:rsidR="7C8CB601">
        <w:t>iz</w:t>
      </w:r>
      <w:r w:rsidR="21C21756">
        <w:t xml:space="preserve"> </w:t>
      </w:r>
      <w:r w:rsidR="00F26232">
        <w:t>NECP-a</w:t>
      </w:r>
      <w:r w:rsidR="00150CB1" w:rsidRPr="00B47BDA">
        <w:t xml:space="preserve"> za 2030. godinu </w:t>
      </w:r>
      <w:r w:rsidR="572A1EFD">
        <w:t>navedeni su u sljedećoj tablici:</w:t>
      </w:r>
    </w:p>
    <w:p w14:paraId="44BF8C76" w14:textId="77777777" w:rsidR="009E1F1F" w:rsidRPr="00B47BDA" w:rsidRDefault="009E1F1F" w:rsidP="004623DD">
      <w:pPr>
        <w:rPr>
          <w:highlight w:val="yellow"/>
        </w:rPr>
      </w:pPr>
    </w:p>
    <w:tbl>
      <w:tblPr>
        <w:tblStyle w:val="NECP"/>
        <w:tblW w:w="4459" w:type="pct"/>
        <w:tblLook w:val="04A0" w:firstRow="1" w:lastRow="0" w:firstColumn="1" w:lastColumn="0" w:noHBand="0" w:noVBand="1"/>
      </w:tblPr>
      <w:tblGrid>
        <w:gridCol w:w="5697"/>
        <w:gridCol w:w="2374"/>
      </w:tblGrid>
      <w:tr w:rsidR="009D227B" w:rsidRPr="00004196" w14:paraId="5FE7AC50" w14:textId="77777777" w:rsidTr="63259912">
        <w:trPr>
          <w:cnfStyle w:val="100000000000" w:firstRow="1" w:lastRow="0" w:firstColumn="0" w:lastColumn="0" w:oddVBand="0" w:evenVBand="0" w:oddHBand="0" w:evenHBand="0" w:firstRowFirstColumn="0" w:firstRowLastColumn="0" w:lastRowFirstColumn="0" w:lastRowLastColumn="0"/>
          <w:trHeight w:val="397"/>
        </w:trPr>
        <w:tc>
          <w:tcPr>
            <w:tcW w:w="3529" w:type="pct"/>
            <w:shd w:val="clear" w:color="auto" w:fill="D9E2F3" w:themeFill="accent5" w:themeFillTint="33"/>
          </w:tcPr>
          <w:p w14:paraId="7946EC95" w14:textId="1B9C86D1" w:rsidR="009D227B" w:rsidRPr="00CA7C26" w:rsidRDefault="009D227B" w:rsidP="003D09A5">
            <w:pPr>
              <w:spacing w:after="0"/>
              <w:jc w:val="center"/>
              <w:rPr>
                <w:sz w:val="22"/>
                <w:szCs w:val="22"/>
              </w:rPr>
            </w:pPr>
            <w:r w:rsidRPr="00CA7C26">
              <w:rPr>
                <w:sz w:val="22"/>
                <w:szCs w:val="22"/>
              </w:rPr>
              <w:t>Indikator</w:t>
            </w:r>
          </w:p>
        </w:tc>
        <w:tc>
          <w:tcPr>
            <w:tcW w:w="1471" w:type="pct"/>
            <w:shd w:val="clear" w:color="auto" w:fill="D9E2F3" w:themeFill="accent5" w:themeFillTint="33"/>
          </w:tcPr>
          <w:p w14:paraId="30EF1AE6" w14:textId="1C844FB3" w:rsidR="009D227B" w:rsidRPr="00CA7C26" w:rsidRDefault="009D227B" w:rsidP="003D09A5">
            <w:pPr>
              <w:spacing w:after="0"/>
              <w:jc w:val="center"/>
              <w:rPr>
                <w:sz w:val="22"/>
                <w:szCs w:val="22"/>
              </w:rPr>
            </w:pPr>
            <w:r w:rsidRPr="00CA7C26">
              <w:rPr>
                <w:sz w:val="22"/>
                <w:szCs w:val="22"/>
              </w:rPr>
              <w:t>Cilj</w:t>
            </w:r>
          </w:p>
        </w:tc>
      </w:tr>
      <w:tr w:rsidR="009D227B" w:rsidRPr="00004196" w14:paraId="16C97620" w14:textId="77777777" w:rsidTr="63259912">
        <w:trPr>
          <w:trHeight w:val="397"/>
        </w:trPr>
        <w:tc>
          <w:tcPr>
            <w:tcW w:w="3529" w:type="pct"/>
          </w:tcPr>
          <w:p w14:paraId="55CA7332" w14:textId="01E92228" w:rsidR="009D227B" w:rsidRPr="00CA7C26" w:rsidRDefault="008B30B7" w:rsidP="00004196">
            <w:pPr>
              <w:spacing w:after="0"/>
              <w:jc w:val="left"/>
              <w:rPr>
                <w:sz w:val="22"/>
                <w:szCs w:val="22"/>
              </w:rPr>
            </w:pPr>
            <w:r w:rsidRPr="00CA7C26">
              <w:rPr>
                <w:sz w:val="22"/>
                <w:szCs w:val="22"/>
              </w:rPr>
              <w:t>Smanjenje e</w:t>
            </w:r>
            <w:r w:rsidR="001563F2" w:rsidRPr="00CA7C26">
              <w:rPr>
                <w:sz w:val="22"/>
                <w:szCs w:val="22"/>
              </w:rPr>
              <w:t>misij</w:t>
            </w:r>
            <w:r w:rsidR="43B958F4" w:rsidRPr="79BEB828">
              <w:rPr>
                <w:sz w:val="22"/>
                <w:szCs w:val="22"/>
              </w:rPr>
              <w:t>a</w:t>
            </w:r>
            <w:r w:rsidR="001563F2" w:rsidRPr="00CA7C26">
              <w:rPr>
                <w:sz w:val="22"/>
                <w:szCs w:val="22"/>
              </w:rPr>
              <w:t xml:space="preserve"> stakleničkih plinova</w:t>
            </w:r>
            <w:r w:rsidR="000D3FF0" w:rsidRPr="00CA7C26">
              <w:rPr>
                <w:sz w:val="22"/>
                <w:szCs w:val="22"/>
              </w:rPr>
              <w:t xml:space="preserve"> </w:t>
            </w:r>
            <w:r w:rsidR="6AABB555" w:rsidRPr="79BEB828">
              <w:rPr>
                <w:sz w:val="22"/>
                <w:szCs w:val="22"/>
              </w:rPr>
              <w:t>u</w:t>
            </w:r>
            <w:r w:rsidR="000D3FF0" w:rsidRPr="00CA7C26">
              <w:rPr>
                <w:sz w:val="22"/>
                <w:szCs w:val="22"/>
              </w:rPr>
              <w:t xml:space="preserve"> </w:t>
            </w:r>
            <w:r w:rsidR="009A1746" w:rsidRPr="00CA7C26">
              <w:rPr>
                <w:sz w:val="22"/>
                <w:szCs w:val="22"/>
              </w:rPr>
              <w:t xml:space="preserve">ETS </w:t>
            </w:r>
            <w:r w:rsidR="3D8C924C" w:rsidRPr="79BEB828">
              <w:rPr>
                <w:sz w:val="22"/>
                <w:szCs w:val="22"/>
              </w:rPr>
              <w:t>sektor</w:t>
            </w:r>
            <w:r w:rsidR="1E53405A" w:rsidRPr="79BEB828">
              <w:rPr>
                <w:sz w:val="22"/>
                <w:szCs w:val="22"/>
              </w:rPr>
              <w:t>u</w:t>
            </w:r>
            <w:r w:rsidR="003410E8" w:rsidRPr="00CA7C26">
              <w:rPr>
                <w:sz w:val="22"/>
                <w:szCs w:val="22"/>
              </w:rPr>
              <w:t xml:space="preserve">, u </w:t>
            </w:r>
            <w:r w:rsidR="000D3FF0" w:rsidRPr="00CA7C26">
              <w:rPr>
                <w:sz w:val="22"/>
                <w:szCs w:val="22"/>
              </w:rPr>
              <w:t xml:space="preserve">odnosu na </w:t>
            </w:r>
            <w:r w:rsidR="0015718E" w:rsidRPr="00CA7C26">
              <w:rPr>
                <w:sz w:val="22"/>
                <w:szCs w:val="22"/>
              </w:rPr>
              <w:t>2005</w:t>
            </w:r>
            <w:r w:rsidR="000D3FF0" w:rsidRPr="00CA7C26">
              <w:rPr>
                <w:sz w:val="22"/>
                <w:szCs w:val="22"/>
              </w:rPr>
              <w:t>. godinu</w:t>
            </w:r>
          </w:p>
        </w:tc>
        <w:tc>
          <w:tcPr>
            <w:tcW w:w="1471" w:type="pct"/>
          </w:tcPr>
          <w:p w14:paraId="52B221D9" w14:textId="7F023FAB" w:rsidR="009D227B" w:rsidRPr="00CA7C26" w:rsidRDefault="3B1FBC64" w:rsidP="005C3A59">
            <w:pPr>
              <w:spacing w:after="0"/>
              <w:jc w:val="center"/>
              <w:rPr>
                <w:sz w:val="22"/>
                <w:szCs w:val="22"/>
              </w:rPr>
            </w:pPr>
            <w:r w:rsidRPr="40A57B62">
              <w:rPr>
                <w:sz w:val="22"/>
                <w:szCs w:val="22"/>
              </w:rPr>
              <w:t>-</w:t>
            </w:r>
            <w:r w:rsidR="479464EB" w:rsidRPr="40A57B62">
              <w:rPr>
                <w:sz w:val="22"/>
                <w:szCs w:val="22"/>
              </w:rPr>
              <w:t>62</w:t>
            </w:r>
            <w:r w:rsidR="32708BA1" w:rsidRPr="40A57B62">
              <w:rPr>
                <w:sz w:val="22"/>
                <w:szCs w:val="22"/>
              </w:rPr>
              <w:t xml:space="preserve"> </w:t>
            </w:r>
            <w:r w:rsidR="5403D424" w:rsidRPr="40A57B62">
              <w:rPr>
                <w:sz w:val="22"/>
                <w:szCs w:val="22"/>
              </w:rPr>
              <w:t>%</w:t>
            </w:r>
          </w:p>
        </w:tc>
      </w:tr>
      <w:tr w:rsidR="00F66804" w:rsidRPr="00004196" w14:paraId="77C7C9A6" w14:textId="77777777" w:rsidTr="63259912">
        <w:trPr>
          <w:trHeight w:val="397"/>
        </w:trPr>
        <w:tc>
          <w:tcPr>
            <w:tcW w:w="3529" w:type="pct"/>
          </w:tcPr>
          <w:p w14:paraId="0917D9B2" w14:textId="10BD5C9C" w:rsidR="00F66804" w:rsidRPr="00CA7C26" w:rsidRDefault="003410E8" w:rsidP="00004196">
            <w:pPr>
              <w:spacing w:after="0"/>
              <w:jc w:val="left"/>
              <w:rPr>
                <w:sz w:val="22"/>
                <w:szCs w:val="22"/>
              </w:rPr>
            </w:pPr>
            <w:r w:rsidRPr="00CA7C26">
              <w:rPr>
                <w:sz w:val="22"/>
                <w:szCs w:val="22"/>
              </w:rPr>
              <w:t>Smanjenje emisij</w:t>
            </w:r>
            <w:r w:rsidR="251FC1BD" w:rsidRPr="79BEB828">
              <w:rPr>
                <w:sz w:val="22"/>
                <w:szCs w:val="22"/>
              </w:rPr>
              <w:t>a</w:t>
            </w:r>
            <w:r w:rsidRPr="00CA7C26">
              <w:rPr>
                <w:sz w:val="22"/>
                <w:szCs w:val="22"/>
              </w:rPr>
              <w:t xml:space="preserve"> stakleničkih plinova </w:t>
            </w:r>
            <w:r w:rsidR="68127AC7" w:rsidRPr="79BEB828">
              <w:rPr>
                <w:sz w:val="22"/>
                <w:szCs w:val="22"/>
              </w:rPr>
              <w:t>u</w:t>
            </w:r>
            <w:r w:rsidR="3D8C924C" w:rsidRPr="79BEB828">
              <w:rPr>
                <w:sz w:val="22"/>
                <w:szCs w:val="22"/>
              </w:rPr>
              <w:t xml:space="preserve"> sektor</w:t>
            </w:r>
            <w:r w:rsidR="3F209050" w:rsidRPr="79BEB828">
              <w:rPr>
                <w:sz w:val="22"/>
                <w:szCs w:val="22"/>
              </w:rPr>
              <w:t>ima</w:t>
            </w:r>
            <w:r w:rsidR="00E608D4" w:rsidRPr="00CA7C26">
              <w:rPr>
                <w:sz w:val="22"/>
                <w:szCs w:val="22"/>
              </w:rPr>
              <w:t xml:space="preserve"> izvan ETS-a</w:t>
            </w:r>
            <w:r w:rsidRPr="00CA7C26">
              <w:rPr>
                <w:sz w:val="22"/>
                <w:szCs w:val="22"/>
              </w:rPr>
              <w:t xml:space="preserve">, u odnosu na </w:t>
            </w:r>
            <w:r w:rsidR="0015718E" w:rsidRPr="00CA7C26">
              <w:rPr>
                <w:sz w:val="22"/>
                <w:szCs w:val="22"/>
              </w:rPr>
              <w:t>2005</w:t>
            </w:r>
            <w:r w:rsidRPr="00CA7C26">
              <w:rPr>
                <w:sz w:val="22"/>
                <w:szCs w:val="22"/>
              </w:rPr>
              <w:t>. godinu</w:t>
            </w:r>
          </w:p>
        </w:tc>
        <w:tc>
          <w:tcPr>
            <w:tcW w:w="1471" w:type="pct"/>
          </w:tcPr>
          <w:p w14:paraId="73073D4E" w14:textId="2AF0475A" w:rsidR="00F66804" w:rsidRPr="00CA7C26" w:rsidRDefault="00422820" w:rsidP="005C3A59">
            <w:pPr>
              <w:spacing w:after="0"/>
              <w:jc w:val="center"/>
              <w:rPr>
                <w:sz w:val="22"/>
                <w:szCs w:val="22"/>
              </w:rPr>
            </w:pPr>
            <w:r w:rsidRPr="00CA7C26">
              <w:rPr>
                <w:sz w:val="22"/>
                <w:szCs w:val="22"/>
              </w:rPr>
              <w:t>-</w:t>
            </w:r>
            <w:r w:rsidR="00095FE9" w:rsidRPr="00CA7C26">
              <w:rPr>
                <w:sz w:val="22"/>
                <w:szCs w:val="22"/>
              </w:rPr>
              <w:t>1</w:t>
            </w:r>
            <w:r w:rsidR="001928B1" w:rsidRPr="00CA7C26">
              <w:rPr>
                <w:sz w:val="22"/>
                <w:szCs w:val="22"/>
              </w:rPr>
              <w:t>6</w:t>
            </w:r>
            <w:r w:rsidR="00AB798E" w:rsidRPr="00CA7C26">
              <w:rPr>
                <w:sz w:val="22"/>
                <w:szCs w:val="22"/>
              </w:rPr>
              <w:t>,</w:t>
            </w:r>
            <w:r w:rsidR="001928B1" w:rsidRPr="00CA7C26">
              <w:rPr>
                <w:sz w:val="22"/>
                <w:szCs w:val="22"/>
              </w:rPr>
              <w:t>7</w:t>
            </w:r>
            <w:r w:rsidR="003132E2" w:rsidRPr="00CA7C26">
              <w:rPr>
                <w:sz w:val="22"/>
                <w:szCs w:val="22"/>
              </w:rPr>
              <w:t xml:space="preserve"> %</w:t>
            </w:r>
          </w:p>
        </w:tc>
      </w:tr>
      <w:tr w:rsidR="005E02C0" w:rsidRPr="00004196" w14:paraId="368534FB" w14:textId="77777777" w:rsidTr="63259912">
        <w:trPr>
          <w:trHeight w:val="397"/>
        </w:trPr>
        <w:tc>
          <w:tcPr>
            <w:tcW w:w="3529" w:type="pct"/>
          </w:tcPr>
          <w:p w14:paraId="4360CA67" w14:textId="427646B7" w:rsidR="005E02C0" w:rsidRPr="00711DE3" w:rsidRDefault="32F61A64" w:rsidP="40A57B62">
            <w:pPr>
              <w:spacing w:after="0" w:line="259" w:lineRule="auto"/>
              <w:jc w:val="left"/>
              <w:rPr>
                <w:sz w:val="22"/>
                <w:szCs w:val="22"/>
              </w:rPr>
            </w:pPr>
            <w:r w:rsidRPr="40A57B62">
              <w:rPr>
                <w:sz w:val="22"/>
                <w:szCs w:val="22"/>
              </w:rPr>
              <w:t xml:space="preserve">Vrijednost neto uklanjanja stakleničkih plinova u </w:t>
            </w:r>
            <w:r w:rsidR="0D357C6D" w:rsidRPr="40A57B62">
              <w:rPr>
                <w:sz w:val="22"/>
                <w:szCs w:val="22"/>
              </w:rPr>
              <w:t xml:space="preserve">2030. </w:t>
            </w:r>
          </w:p>
        </w:tc>
        <w:tc>
          <w:tcPr>
            <w:tcW w:w="1471" w:type="pct"/>
          </w:tcPr>
          <w:p w14:paraId="73419886" w14:textId="28A0DFCD" w:rsidR="005E02C0" w:rsidRPr="00711DE3" w:rsidRDefault="62802F6F" w:rsidP="63259912">
            <w:pPr>
              <w:spacing w:after="0"/>
              <w:jc w:val="center"/>
              <w:rPr>
                <w:sz w:val="22"/>
                <w:szCs w:val="22"/>
              </w:rPr>
            </w:pPr>
            <w:r w:rsidRPr="63259912">
              <w:rPr>
                <w:sz w:val="22"/>
                <w:szCs w:val="22"/>
              </w:rPr>
              <w:t>-</w:t>
            </w:r>
            <w:r w:rsidR="3EA7422F" w:rsidRPr="63259912">
              <w:rPr>
                <w:sz w:val="22"/>
                <w:szCs w:val="22"/>
              </w:rPr>
              <w:t>5</w:t>
            </w:r>
            <w:r w:rsidR="00C506BA" w:rsidRPr="63259912">
              <w:rPr>
                <w:sz w:val="22"/>
                <w:szCs w:val="22"/>
              </w:rPr>
              <w:t>.</w:t>
            </w:r>
            <w:r w:rsidRPr="63259912">
              <w:rPr>
                <w:sz w:val="22"/>
                <w:szCs w:val="22"/>
              </w:rPr>
              <w:t>5</w:t>
            </w:r>
            <w:r w:rsidR="528D82E4" w:rsidRPr="63259912">
              <w:rPr>
                <w:sz w:val="22"/>
                <w:szCs w:val="22"/>
              </w:rPr>
              <w:t>2</w:t>
            </w:r>
            <w:r w:rsidR="69631246" w:rsidRPr="63259912">
              <w:rPr>
                <w:sz w:val="22"/>
                <w:szCs w:val="22"/>
              </w:rPr>
              <w:t>7</w:t>
            </w:r>
            <w:r w:rsidRPr="63259912">
              <w:rPr>
                <w:sz w:val="22"/>
                <w:szCs w:val="22"/>
              </w:rPr>
              <w:t xml:space="preserve"> kt CO</w:t>
            </w:r>
            <w:r w:rsidRPr="63259912">
              <w:rPr>
                <w:sz w:val="22"/>
                <w:szCs w:val="22"/>
                <w:vertAlign w:val="subscript"/>
              </w:rPr>
              <w:t>2</w:t>
            </w:r>
            <w:r w:rsidRPr="63259912">
              <w:rPr>
                <w:sz w:val="22"/>
                <w:szCs w:val="22"/>
              </w:rPr>
              <w:t>-eq</w:t>
            </w:r>
          </w:p>
        </w:tc>
      </w:tr>
      <w:tr w:rsidR="009D227B" w:rsidRPr="00004196" w14:paraId="42B8FD89" w14:textId="77777777" w:rsidTr="63259912">
        <w:trPr>
          <w:trHeight w:val="397"/>
        </w:trPr>
        <w:tc>
          <w:tcPr>
            <w:tcW w:w="3529" w:type="pct"/>
          </w:tcPr>
          <w:p w14:paraId="49C55981" w14:textId="5B6809D1" w:rsidR="009D227B" w:rsidRPr="00711DE3" w:rsidRDefault="001563F2" w:rsidP="00004196">
            <w:pPr>
              <w:spacing w:after="0"/>
              <w:jc w:val="left"/>
              <w:rPr>
                <w:sz w:val="22"/>
                <w:szCs w:val="22"/>
              </w:rPr>
            </w:pPr>
            <w:r w:rsidRPr="00711DE3">
              <w:rPr>
                <w:sz w:val="22"/>
                <w:szCs w:val="22"/>
              </w:rPr>
              <w:t xml:space="preserve">Udio </w:t>
            </w:r>
            <w:r w:rsidR="22FD42A1" w:rsidRPr="6F3F65D6">
              <w:rPr>
                <w:sz w:val="22"/>
                <w:szCs w:val="22"/>
              </w:rPr>
              <w:t>obnovljivih izvora energije (</w:t>
            </w:r>
            <w:r w:rsidRPr="00711DE3">
              <w:rPr>
                <w:sz w:val="22"/>
                <w:szCs w:val="22"/>
              </w:rPr>
              <w:t>OIE</w:t>
            </w:r>
            <w:r w:rsidR="5F367488" w:rsidRPr="6F3F65D6">
              <w:rPr>
                <w:sz w:val="22"/>
                <w:szCs w:val="22"/>
              </w:rPr>
              <w:t>)</w:t>
            </w:r>
            <w:r w:rsidRPr="00711DE3">
              <w:rPr>
                <w:sz w:val="22"/>
                <w:szCs w:val="22"/>
              </w:rPr>
              <w:t xml:space="preserve"> u </w:t>
            </w:r>
            <w:r w:rsidR="007C5EBE" w:rsidRPr="00711DE3">
              <w:rPr>
                <w:sz w:val="22"/>
                <w:szCs w:val="22"/>
              </w:rPr>
              <w:t xml:space="preserve">bruto </w:t>
            </w:r>
            <w:r w:rsidRPr="00711DE3">
              <w:rPr>
                <w:sz w:val="22"/>
                <w:szCs w:val="22"/>
              </w:rPr>
              <w:t>neposrednoj potrošnji energije</w:t>
            </w:r>
          </w:p>
        </w:tc>
        <w:tc>
          <w:tcPr>
            <w:tcW w:w="1471" w:type="pct"/>
          </w:tcPr>
          <w:p w14:paraId="33078653" w14:textId="2D6CC551" w:rsidR="009D227B" w:rsidRPr="00711DE3" w:rsidRDefault="00245D4F" w:rsidP="005C3A59">
            <w:pPr>
              <w:spacing w:after="0"/>
              <w:jc w:val="center"/>
              <w:rPr>
                <w:sz w:val="22"/>
                <w:szCs w:val="22"/>
              </w:rPr>
            </w:pPr>
            <w:r w:rsidRPr="00711DE3">
              <w:rPr>
                <w:sz w:val="22"/>
                <w:szCs w:val="22"/>
              </w:rPr>
              <w:t>4</w:t>
            </w:r>
            <w:r w:rsidR="00A2689F">
              <w:rPr>
                <w:sz w:val="22"/>
                <w:szCs w:val="22"/>
              </w:rPr>
              <w:t>2,5</w:t>
            </w:r>
            <w:r w:rsidR="006B57EC" w:rsidRPr="00711DE3">
              <w:rPr>
                <w:sz w:val="22"/>
                <w:szCs w:val="22"/>
              </w:rPr>
              <w:t xml:space="preserve"> %</w:t>
            </w:r>
          </w:p>
        </w:tc>
      </w:tr>
      <w:tr w:rsidR="009D227B" w:rsidRPr="00004196" w14:paraId="67F1B290" w14:textId="77777777" w:rsidTr="63259912">
        <w:trPr>
          <w:trHeight w:val="397"/>
        </w:trPr>
        <w:tc>
          <w:tcPr>
            <w:tcW w:w="3529" w:type="pct"/>
          </w:tcPr>
          <w:p w14:paraId="4DE35360" w14:textId="0A44DEFA" w:rsidR="009D227B" w:rsidRPr="00711DE3" w:rsidRDefault="001563F2" w:rsidP="00004196">
            <w:pPr>
              <w:spacing w:after="0"/>
              <w:jc w:val="left"/>
              <w:rPr>
                <w:sz w:val="22"/>
                <w:szCs w:val="22"/>
              </w:rPr>
            </w:pPr>
            <w:r w:rsidRPr="00711DE3">
              <w:rPr>
                <w:sz w:val="22"/>
                <w:szCs w:val="22"/>
              </w:rPr>
              <w:t xml:space="preserve">Udio </w:t>
            </w:r>
            <w:r w:rsidR="7597DF9A" w:rsidRPr="6F3F65D6">
              <w:rPr>
                <w:sz w:val="22"/>
                <w:szCs w:val="22"/>
              </w:rPr>
              <w:t>obnovljivih izvora energije (</w:t>
            </w:r>
            <w:r w:rsidRPr="00711DE3">
              <w:rPr>
                <w:sz w:val="22"/>
                <w:szCs w:val="22"/>
              </w:rPr>
              <w:t>OIE</w:t>
            </w:r>
            <w:r w:rsidR="77BED63F" w:rsidRPr="6F3F65D6">
              <w:rPr>
                <w:sz w:val="22"/>
                <w:szCs w:val="22"/>
              </w:rPr>
              <w:t>)</w:t>
            </w:r>
            <w:r w:rsidRPr="00711DE3">
              <w:rPr>
                <w:sz w:val="22"/>
                <w:szCs w:val="22"/>
              </w:rPr>
              <w:t xml:space="preserve"> u neposrednoj potrošnji energije</w:t>
            </w:r>
            <w:r w:rsidR="006928FC" w:rsidRPr="00711DE3">
              <w:rPr>
                <w:sz w:val="22"/>
                <w:szCs w:val="22"/>
              </w:rPr>
              <w:t xml:space="preserve"> u</w:t>
            </w:r>
            <w:r w:rsidR="00595746" w:rsidRPr="00711DE3">
              <w:rPr>
                <w:sz w:val="22"/>
                <w:szCs w:val="22"/>
              </w:rPr>
              <w:t xml:space="preserve"> </w:t>
            </w:r>
            <w:r w:rsidR="006928FC" w:rsidRPr="00711DE3">
              <w:rPr>
                <w:sz w:val="22"/>
                <w:szCs w:val="22"/>
              </w:rPr>
              <w:t>prometu</w:t>
            </w:r>
          </w:p>
        </w:tc>
        <w:tc>
          <w:tcPr>
            <w:tcW w:w="1471" w:type="pct"/>
          </w:tcPr>
          <w:p w14:paraId="25026537" w14:textId="789CB2B9" w:rsidR="009D227B" w:rsidRPr="00711DE3" w:rsidRDefault="006D76F7" w:rsidP="005C3A59">
            <w:pPr>
              <w:spacing w:after="0"/>
              <w:jc w:val="center"/>
              <w:rPr>
                <w:sz w:val="22"/>
                <w:szCs w:val="22"/>
              </w:rPr>
            </w:pPr>
            <w:r w:rsidRPr="00711DE3">
              <w:rPr>
                <w:sz w:val="22"/>
                <w:szCs w:val="22"/>
              </w:rPr>
              <w:t>2</w:t>
            </w:r>
            <w:r w:rsidR="00AB6D1A" w:rsidRPr="00711DE3">
              <w:rPr>
                <w:sz w:val="22"/>
                <w:szCs w:val="22"/>
              </w:rPr>
              <w:t>4</w:t>
            </w:r>
            <w:r w:rsidRPr="00711DE3">
              <w:rPr>
                <w:sz w:val="22"/>
                <w:szCs w:val="22"/>
              </w:rPr>
              <w:t>,6</w:t>
            </w:r>
            <w:r w:rsidR="00F1274F" w:rsidRPr="00711DE3">
              <w:rPr>
                <w:sz w:val="22"/>
                <w:szCs w:val="22"/>
              </w:rPr>
              <w:t xml:space="preserve"> %</w:t>
            </w:r>
          </w:p>
        </w:tc>
      </w:tr>
      <w:tr w:rsidR="001563F2" w:rsidRPr="00004196" w14:paraId="180F059D" w14:textId="77777777" w:rsidTr="63259912">
        <w:trPr>
          <w:trHeight w:val="397"/>
        </w:trPr>
        <w:tc>
          <w:tcPr>
            <w:tcW w:w="3529" w:type="pct"/>
          </w:tcPr>
          <w:p w14:paraId="62A37D3B" w14:textId="2FC90FA9" w:rsidR="001563F2" w:rsidRPr="00711DE3" w:rsidRDefault="00BA79D4" w:rsidP="63259912">
            <w:pPr>
              <w:spacing w:after="0"/>
              <w:jc w:val="left"/>
              <w:rPr>
                <w:sz w:val="22"/>
                <w:szCs w:val="22"/>
              </w:rPr>
            </w:pPr>
            <w:r w:rsidRPr="63259912">
              <w:rPr>
                <w:sz w:val="22"/>
                <w:szCs w:val="22"/>
              </w:rPr>
              <w:t>P</w:t>
            </w:r>
            <w:r w:rsidR="006928FC" w:rsidRPr="63259912">
              <w:rPr>
                <w:sz w:val="22"/>
                <w:szCs w:val="22"/>
              </w:rPr>
              <w:t xml:space="preserve">otrošnja </w:t>
            </w:r>
            <w:r w:rsidRPr="63259912">
              <w:rPr>
                <w:sz w:val="22"/>
                <w:szCs w:val="22"/>
              </w:rPr>
              <w:t xml:space="preserve">primarne </w:t>
            </w:r>
            <w:r w:rsidR="006928FC" w:rsidRPr="63259912">
              <w:rPr>
                <w:sz w:val="22"/>
                <w:szCs w:val="22"/>
              </w:rPr>
              <w:t>energije</w:t>
            </w:r>
            <w:r w:rsidRPr="63259912">
              <w:rPr>
                <w:sz w:val="22"/>
                <w:szCs w:val="22"/>
              </w:rPr>
              <w:t xml:space="preserve"> (ukupna potrošnja energije bez neenergetske potrošnje)</w:t>
            </w:r>
          </w:p>
        </w:tc>
        <w:tc>
          <w:tcPr>
            <w:tcW w:w="1471" w:type="pct"/>
          </w:tcPr>
          <w:p w14:paraId="35083CBE" w14:textId="3106D08D" w:rsidR="001563F2" w:rsidRPr="00711DE3" w:rsidRDefault="00A72307" w:rsidP="63259912">
            <w:pPr>
              <w:spacing w:after="0"/>
              <w:jc w:val="center"/>
              <w:rPr>
                <w:sz w:val="22"/>
                <w:szCs w:val="22"/>
              </w:rPr>
            </w:pPr>
            <w:r w:rsidRPr="63259912">
              <w:rPr>
                <w:sz w:val="22"/>
                <w:szCs w:val="22"/>
              </w:rPr>
              <w:t>3</w:t>
            </w:r>
            <w:r w:rsidR="00070FC6" w:rsidRPr="63259912">
              <w:rPr>
                <w:sz w:val="22"/>
                <w:szCs w:val="22"/>
              </w:rPr>
              <w:t>36,9</w:t>
            </w:r>
            <w:r w:rsidR="00BA79D4" w:rsidRPr="63259912">
              <w:rPr>
                <w:sz w:val="22"/>
                <w:szCs w:val="22"/>
              </w:rPr>
              <w:t xml:space="preserve"> PJ (</w:t>
            </w:r>
            <w:r w:rsidR="00A96174" w:rsidRPr="63259912">
              <w:rPr>
                <w:sz w:val="22"/>
                <w:szCs w:val="22"/>
              </w:rPr>
              <w:t>8,</w:t>
            </w:r>
            <w:r w:rsidR="008954E6" w:rsidRPr="63259912">
              <w:rPr>
                <w:sz w:val="22"/>
                <w:szCs w:val="22"/>
              </w:rPr>
              <w:t>05</w:t>
            </w:r>
            <w:r w:rsidR="00BA79D4" w:rsidRPr="63259912">
              <w:rPr>
                <w:sz w:val="22"/>
                <w:szCs w:val="22"/>
              </w:rPr>
              <w:t xml:space="preserve"> </w:t>
            </w:r>
            <w:r w:rsidR="00BE4B9E" w:rsidRPr="63259912">
              <w:rPr>
                <w:sz w:val="22"/>
                <w:szCs w:val="22"/>
              </w:rPr>
              <w:t>M</w:t>
            </w:r>
            <w:r w:rsidR="00BA79D4" w:rsidRPr="63259912">
              <w:rPr>
                <w:sz w:val="22"/>
                <w:szCs w:val="22"/>
              </w:rPr>
              <w:t>toe)</w:t>
            </w:r>
          </w:p>
        </w:tc>
      </w:tr>
      <w:tr w:rsidR="001563F2" w:rsidRPr="00004196" w14:paraId="069DC023" w14:textId="77777777" w:rsidTr="63259912">
        <w:trPr>
          <w:trHeight w:val="397"/>
        </w:trPr>
        <w:tc>
          <w:tcPr>
            <w:tcW w:w="3529" w:type="pct"/>
          </w:tcPr>
          <w:p w14:paraId="1346E996" w14:textId="6EF9263F" w:rsidR="001563F2" w:rsidRPr="00711DE3" w:rsidRDefault="006928FC" w:rsidP="00004196">
            <w:pPr>
              <w:spacing w:after="0"/>
              <w:jc w:val="left"/>
              <w:rPr>
                <w:sz w:val="22"/>
                <w:szCs w:val="22"/>
              </w:rPr>
            </w:pPr>
            <w:r w:rsidRPr="00711DE3">
              <w:rPr>
                <w:sz w:val="22"/>
                <w:szCs w:val="22"/>
              </w:rPr>
              <w:t>Neposredna potrošnja energije</w:t>
            </w:r>
          </w:p>
        </w:tc>
        <w:tc>
          <w:tcPr>
            <w:tcW w:w="1471" w:type="pct"/>
          </w:tcPr>
          <w:p w14:paraId="227BE8C6" w14:textId="692A9459" w:rsidR="001563F2" w:rsidRPr="00711DE3" w:rsidRDefault="00BA79D4" w:rsidP="63259912">
            <w:pPr>
              <w:spacing w:after="0"/>
              <w:jc w:val="center"/>
              <w:rPr>
                <w:sz w:val="22"/>
                <w:szCs w:val="22"/>
              </w:rPr>
            </w:pPr>
            <w:r w:rsidRPr="63259912">
              <w:rPr>
                <w:sz w:val="22"/>
                <w:szCs w:val="22"/>
              </w:rPr>
              <w:t>2</w:t>
            </w:r>
            <w:r w:rsidR="005F2C3A" w:rsidRPr="63259912">
              <w:rPr>
                <w:sz w:val="22"/>
                <w:szCs w:val="22"/>
              </w:rPr>
              <w:t>46,2</w:t>
            </w:r>
            <w:r w:rsidRPr="63259912">
              <w:rPr>
                <w:sz w:val="22"/>
                <w:szCs w:val="22"/>
              </w:rPr>
              <w:t xml:space="preserve"> PJ (</w:t>
            </w:r>
            <w:r w:rsidR="002D4734" w:rsidRPr="63259912">
              <w:rPr>
                <w:sz w:val="22"/>
                <w:szCs w:val="22"/>
              </w:rPr>
              <w:t>5,88</w:t>
            </w:r>
            <w:r w:rsidRPr="63259912">
              <w:rPr>
                <w:sz w:val="22"/>
                <w:szCs w:val="22"/>
              </w:rPr>
              <w:t xml:space="preserve"> </w:t>
            </w:r>
            <w:r w:rsidR="00BE4B9E" w:rsidRPr="63259912">
              <w:rPr>
                <w:sz w:val="22"/>
                <w:szCs w:val="22"/>
              </w:rPr>
              <w:t>M</w:t>
            </w:r>
            <w:r w:rsidRPr="63259912">
              <w:rPr>
                <w:sz w:val="22"/>
                <w:szCs w:val="22"/>
              </w:rPr>
              <w:t>toe)</w:t>
            </w:r>
          </w:p>
        </w:tc>
      </w:tr>
    </w:tbl>
    <w:p w14:paraId="7B36724B" w14:textId="77777777" w:rsidR="004E0A5B" w:rsidRPr="00B47BDA" w:rsidRDefault="004E0A5B" w:rsidP="004623DD">
      <w:bookmarkStart w:id="4" w:name="_Toc6302323"/>
    </w:p>
    <w:p w14:paraId="024E7FDF" w14:textId="77685EEF" w:rsidR="00F736C2" w:rsidRPr="00E54EB2" w:rsidRDefault="546A6069" w:rsidP="00F736C2">
      <w:r>
        <w:t>S</w:t>
      </w:r>
      <w:r w:rsidR="00F736C2" w:rsidRPr="00B47BDA">
        <w:t xml:space="preserve">ukladno </w:t>
      </w:r>
      <w:r w:rsidR="00C14708" w:rsidRPr="00B47BDA">
        <w:t>članku 1</w:t>
      </w:r>
      <w:r w:rsidR="00C14708">
        <w:t>8</w:t>
      </w:r>
      <w:r w:rsidR="00C14708" w:rsidRPr="00B47BDA">
        <w:t xml:space="preserve">. Zakona o </w:t>
      </w:r>
      <w:r w:rsidR="00C14708">
        <w:t xml:space="preserve">klimatskim promjenama i zaštiti ozonskog sloja </w:t>
      </w:r>
      <w:r w:rsidR="00EB08F1">
        <w:t xml:space="preserve">(„Narodne novine“, br. </w:t>
      </w:r>
      <w:r w:rsidR="00C14708">
        <w:t>127/19</w:t>
      </w:r>
      <w:r w:rsidR="00EA00FC">
        <w:t>.</w:t>
      </w:r>
      <w:r w:rsidR="00C14708">
        <w:t xml:space="preserve">) </w:t>
      </w:r>
      <w:r w:rsidR="15FAA358">
        <w:t xml:space="preserve">Integrirani nacionalni energetski i klimatski plan za razdoblje od 2021. do 2030. godine </w:t>
      </w:r>
      <w:r w:rsidR="00F736C2" w:rsidRPr="00B47BDA">
        <w:t xml:space="preserve">donosi Vlada Republike Hrvatske </w:t>
      </w:r>
      <w:r w:rsidR="00C05B57" w:rsidRPr="008D48BA">
        <w:t>na prijedlog tijela državne uprave nadležnog za energetiku, uz prethodnu suglasnost tijela državne uprave nadležnog za zaštitu okoliša</w:t>
      </w:r>
      <w:r w:rsidR="00F736C2" w:rsidRPr="008D48BA">
        <w:t>.</w:t>
      </w:r>
    </w:p>
    <w:p w14:paraId="0BB56394" w14:textId="737295F5" w:rsidR="004E0A5B" w:rsidRPr="00B47BDA" w:rsidRDefault="004E0A5B" w:rsidP="004623DD"/>
    <w:p w14:paraId="6ABC38CC" w14:textId="77777777" w:rsidR="008C4503" w:rsidRPr="00BD786C" w:rsidRDefault="008C4503">
      <w:r>
        <w:br w:type="page"/>
      </w:r>
    </w:p>
    <w:p w14:paraId="3C5BAB2D" w14:textId="0583BE35" w:rsidR="00040572" w:rsidRPr="00B47BDA" w:rsidRDefault="00AA1B64" w:rsidP="00F7150E">
      <w:pPr>
        <w:pStyle w:val="Sadraj"/>
        <w:outlineLvl w:val="0"/>
      </w:pPr>
      <w:bookmarkStart w:id="5" w:name="_Toc187418325"/>
      <w:bookmarkStart w:id="6" w:name="_Toc193043250"/>
      <w:r>
        <w:lastRenderedPageBreak/>
        <w:t>ODJELJAK</w:t>
      </w:r>
      <w:r w:rsidR="00040572" w:rsidRPr="00B47BDA">
        <w:t xml:space="preserve"> A: NACIONALNI PLAN</w:t>
      </w:r>
      <w:bookmarkEnd w:id="4"/>
      <w:bookmarkEnd w:id="5"/>
      <w:bookmarkEnd w:id="6"/>
    </w:p>
    <w:p w14:paraId="3DFEC296" w14:textId="77777777" w:rsidR="00040572" w:rsidRPr="00B47BDA" w:rsidRDefault="00040572" w:rsidP="004623DD"/>
    <w:p w14:paraId="22CC0CE9" w14:textId="54497537" w:rsidR="000C55C1" w:rsidRPr="00B47BDA" w:rsidRDefault="000C55C1" w:rsidP="005C2C7E">
      <w:pPr>
        <w:pStyle w:val="Heading1"/>
        <w:numPr>
          <w:ilvl w:val="0"/>
          <w:numId w:val="175"/>
        </w:numPr>
      </w:pPr>
      <w:bookmarkStart w:id="7" w:name="_Toc6302324"/>
      <w:bookmarkStart w:id="8" w:name="_Toc187418326"/>
      <w:bookmarkStart w:id="9" w:name="_Toc193043251"/>
      <w:r w:rsidRPr="00B47BDA">
        <w:lastRenderedPageBreak/>
        <w:t xml:space="preserve">PREGLED I </w:t>
      </w:r>
      <w:r w:rsidR="00241803">
        <w:t>POSTUPAK ZA</w:t>
      </w:r>
      <w:r w:rsidRPr="00B47BDA">
        <w:t xml:space="preserve"> </w:t>
      </w:r>
      <w:r w:rsidRPr="00A7205A">
        <w:t>DONOŠENJ</w:t>
      </w:r>
      <w:r w:rsidR="00241803">
        <w:t>E</w:t>
      </w:r>
      <w:r w:rsidRPr="00B47BDA">
        <w:t xml:space="preserve"> PLANA</w:t>
      </w:r>
      <w:bookmarkEnd w:id="7"/>
      <w:bookmarkEnd w:id="8"/>
      <w:bookmarkEnd w:id="9"/>
      <w:bookmarkEnd w:id="3"/>
      <w:bookmarkEnd w:id="2"/>
    </w:p>
    <w:p w14:paraId="6B2B42C6" w14:textId="1FE6225C" w:rsidR="006874A9" w:rsidRPr="006874A9" w:rsidRDefault="000C55C1" w:rsidP="005C2C7E">
      <w:pPr>
        <w:pStyle w:val="Heading2"/>
        <w:numPr>
          <w:ilvl w:val="1"/>
          <w:numId w:val="175"/>
        </w:numPr>
      </w:pPr>
      <w:bookmarkStart w:id="10" w:name="_Toc531934943"/>
      <w:bookmarkStart w:id="11" w:name="_Toc531945069"/>
      <w:bookmarkStart w:id="12" w:name="_Toc6302325"/>
      <w:bookmarkStart w:id="13" w:name="_Toc187418327"/>
      <w:bookmarkStart w:id="14" w:name="_Toc193043252"/>
      <w:r w:rsidRPr="00E31330">
        <w:t>Sažetak</w:t>
      </w:r>
      <w:bookmarkEnd w:id="10"/>
      <w:bookmarkEnd w:id="11"/>
      <w:bookmarkEnd w:id="12"/>
      <w:bookmarkEnd w:id="13"/>
      <w:bookmarkEnd w:id="14"/>
    </w:p>
    <w:p w14:paraId="49021FB4" w14:textId="7A0F29D2" w:rsidR="0061359A" w:rsidRPr="00B47BDA" w:rsidRDefault="0061359A" w:rsidP="005309C0">
      <w:pPr>
        <w:pStyle w:val="Heading4"/>
        <w:numPr>
          <w:ilvl w:val="3"/>
          <w:numId w:val="175"/>
        </w:numPr>
        <w:ind w:hanging="580"/>
      </w:pPr>
      <w:bookmarkStart w:id="15" w:name="_Toc531934944"/>
      <w:bookmarkStart w:id="16" w:name="_Toc531945070"/>
      <w:bookmarkStart w:id="17" w:name="_Toc6302326"/>
      <w:r w:rsidRPr="00B47BDA">
        <w:t xml:space="preserve">Politički, </w:t>
      </w:r>
      <w:r w:rsidR="008A5B79">
        <w:t xml:space="preserve">gospodarski, </w:t>
      </w:r>
      <w:r w:rsidRPr="00B47BDA">
        <w:t>okolišni</w:t>
      </w:r>
      <w:r w:rsidR="008A5B79">
        <w:t xml:space="preserve"> i</w:t>
      </w:r>
      <w:r w:rsidRPr="00B47BDA">
        <w:t xml:space="preserve"> socijalni kontekst plana</w:t>
      </w:r>
    </w:p>
    <w:bookmarkEnd w:id="15"/>
    <w:bookmarkEnd w:id="16"/>
    <w:bookmarkEnd w:id="17"/>
    <w:p w14:paraId="422C3D09" w14:textId="07963158" w:rsidR="00914FD7" w:rsidRPr="00B47BDA" w:rsidRDefault="000C55C1" w:rsidP="0010052C">
      <w:r w:rsidRPr="63259912">
        <w:t xml:space="preserve">Republika Hrvatska </w:t>
      </w:r>
      <w:r w:rsidR="06C8C660" w:rsidRPr="63259912">
        <w:t xml:space="preserve">je </w:t>
      </w:r>
      <w:r w:rsidRPr="63259912">
        <w:t>članica Europske unije</w:t>
      </w:r>
      <w:r w:rsidR="005965DD" w:rsidRPr="63259912">
        <w:t xml:space="preserve"> (EU)</w:t>
      </w:r>
      <w:r w:rsidRPr="63259912">
        <w:t xml:space="preserve"> od</w:t>
      </w:r>
      <w:r w:rsidR="0077353E" w:rsidRPr="63259912">
        <w:t xml:space="preserve"> 1. srpnja</w:t>
      </w:r>
      <w:r w:rsidRPr="63259912">
        <w:t xml:space="preserve"> 2013. godine te je njezino energetsko i klimatsko zakonodavstvo usklađeno s relevantnom pravnom stečevinom </w:t>
      </w:r>
      <w:r w:rsidR="005965DD" w:rsidRPr="63259912">
        <w:t>EU</w:t>
      </w:r>
      <w:r w:rsidR="78E478FE" w:rsidRPr="63259912">
        <w:t>-a</w:t>
      </w:r>
      <w:r w:rsidRPr="63259912">
        <w:t xml:space="preserve">. Republika Hrvatska je </w:t>
      </w:r>
      <w:r w:rsidR="068B12B0" w:rsidRPr="63259912">
        <w:t xml:space="preserve">i </w:t>
      </w:r>
      <w:r w:rsidRPr="63259912">
        <w:t xml:space="preserve">stranka Okvirne konvencije </w:t>
      </w:r>
      <w:r w:rsidR="3F551748" w:rsidRPr="63259912">
        <w:t>U</w:t>
      </w:r>
      <w:r w:rsidR="74F69BA0" w:rsidRPr="63259912">
        <w:t>jedinjenih naroda</w:t>
      </w:r>
      <w:r w:rsidRPr="63259912">
        <w:t xml:space="preserve"> o promjeni klime (</w:t>
      </w:r>
      <w:r w:rsidR="6680AAFE" w:rsidRPr="63259912">
        <w:t xml:space="preserve">u daljnjem tekstu: </w:t>
      </w:r>
      <w:r w:rsidRPr="63259912">
        <w:t>UNFCCC)</w:t>
      </w:r>
      <w:r w:rsidR="0003775B" w:rsidRPr="63259912">
        <w:t>, Kyotskog protokola</w:t>
      </w:r>
      <w:r w:rsidR="005C5166" w:rsidRPr="63259912">
        <w:t xml:space="preserve"> uz Okvirnu konvenciju </w:t>
      </w:r>
      <w:r w:rsidR="15511713" w:rsidRPr="63259912">
        <w:t>U</w:t>
      </w:r>
      <w:r w:rsidR="273DBB1C" w:rsidRPr="63259912">
        <w:t>jedinjenih naroda</w:t>
      </w:r>
      <w:r w:rsidR="1FB2D743" w:rsidRPr="63259912">
        <w:t xml:space="preserve"> </w:t>
      </w:r>
      <w:r w:rsidR="005C5166" w:rsidRPr="63259912">
        <w:t>o promjeni klime</w:t>
      </w:r>
      <w:r w:rsidR="0003775B" w:rsidRPr="63259912">
        <w:t xml:space="preserve"> i Pariškog sporazuma</w:t>
      </w:r>
      <w:r w:rsidR="00705B08" w:rsidRPr="63259912">
        <w:t xml:space="preserve"> </w:t>
      </w:r>
      <w:r w:rsidR="00BD2AFC" w:rsidRPr="63259912">
        <w:t xml:space="preserve">te </w:t>
      </w:r>
      <w:r w:rsidR="5A380389" w:rsidRPr="63259912">
        <w:t xml:space="preserve">Tajništvu </w:t>
      </w:r>
      <w:r w:rsidR="39738F9C" w:rsidRPr="63259912">
        <w:t>UNFCCC</w:t>
      </w:r>
      <w:r w:rsidR="58F4677C" w:rsidRPr="63259912">
        <w:t xml:space="preserve"> </w:t>
      </w:r>
      <w:r w:rsidRPr="63259912">
        <w:t xml:space="preserve">redovito podnosi izvješća o inventaru stakleničkih plinova i nacionalna izvješća. </w:t>
      </w:r>
    </w:p>
    <w:p w14:paraId="5813AED6" w14:textId="73D00FFF" w:rsidR="000C55C1" w:rsidRPr="00B47BDA" w:rsidRDefault="697BBE00" w:rsidP="0010052C">
      <w:r>
        <w:t>Osmo</w:t>
      </w:r>
      <w:r w:rsidR="00266B3F" w:rsidRPr="00B47BDA">
        <w:t xml:space="preserve"> nacionalno </w:t>
      </w:r>
      <w:r w:rsidR="002E5BD6" w:rsidRPr="00B47BDA">
        <w:t>izvješće Republike Hrvatske prema Okvirnoj konvenciji Ujedinjenih naroda o promjeni klime</w:t>
      </w:r>
      <w:r w:rsidR="741FC42D">
        <w:t xml:space="preserve"> s prilogom </w:t>
      </w:r>
      <w:r w:rsidR="2EABFD76">
        <w:t>P</w:t>
      </w:r>
      <w:r w:rsidR="741FC42D">
        <w:t xml:space="preserve">eto dvogodišnje izvješće </w:t>
      </w:r>
      <w:r w:rsidR="42DA9E69">
        <w:t>dosta</w:t>
      </w:r>
      <w:r w:rsidR="5F482C62">
        <w:t>vljeno</w:t>
      </w:r>
      <w:r w:rsidR="000C55C1" w:rsidRPr="00B47BDA">
        <w:t xml:space="preserve"> je </w:t>
      </w:r>
      <w:r w:rsidR="7810E834">
        <w:t>20</w:t>
      </w:r>
      <w:r w:rsidR="0432995A">
        <w:t>24</w:t>
      </w:r>
      <w:r w:rsidR="2537A6CB">
        <w:t>.</w:t>
      </w:r>
      <w:r w:rsidR="000C55C1" w:rsidRPr="00B47BDA">
        <w:t xml:space="preserve"> godine</w:t>
      </w:r>
      <w:r w:rsidR="00D533D1" w:rsidRPr="00B47BDA">
        <w:t xml:space="preserve">. </w:t>
      </w:r>
      <w:r w:rsidR="7984F76B">
        <w:t>Pored</w:t>
      </w:r>
      <w:r w:rsidR="00F7B838">
        <w:t xml:space="preserve"> informacij</w:t>
      </w:r>
      <w:r w:rsidR="761426A1">
        <w:t>a</w:t>
      </w:r>
      <w:r w:rsidR="00D533D1" w:rsidRPr="00B47BDA">
        <w:t xml:space="preserve"> o emisijama stakleničkih plinova, </w:t>
      </w:r>
      <w:r w:rsidR="31C8E839">
        <w:t xml:space="preserve">ovaj dokument </w:t>
      </w:r>
      <w:r w:rsidR="000C55C1" w:rsidRPr="00B47BDA">
        <w:t>sadrži</w:t>
      </w:r>
      <w:r w:rsidR="00D533D1" w:rsidRPr="00B47BDA">
        <w:t xml:space="preserve"> i</w:t>
      </w:r>
      <w:r w:rsidR="000C55C1" w:rsidRPr="00B47BDA">
        <w:t xml:space="preserve"> zaključke o stanju i trendovima u </w:t>
      </w:r>
      <w:r w:rsidR="68CFCB1B">
        <w:t>području</w:t>
      </w:r>
      <w:r w:rsidR="000C55C1" w:rsidRPr="00B47BDA">
        <w:t xml:space="preserve"> zaštite okoliša, gospodarstva i društvenih kretanja, kao i preporuke za unapređenje provedbe politike zaštite okoliša i održivog razvitka</w:t>
      </w:r>
      <w:r w:rsidR="006639F2" w:rsidRPr="00B47BDA">
        <w:t xml:space="preserve"> [</w:t>
      </w:r>
      <w:r w:rsidR="000C30F2" w:rsidRPr="00B47BDA">
        <w:fldChar w:fldCharType="begin"/>
      </w:r>
      <w:r w:rsidR="000C30F2" w:rsidRPr="00B47BDA">
        <w:instrText xml:space="preserve"> REF _Ref531599550 \r \h  \* MERGEFORMAT </w:instrText>
      </w:r>
      <w:r w:rsidR="000C30F2" w:rsidRPr="00B47BDA">
        <w:fldChar w:fldCharType="separate"/>
      </w:r>
      <w:r w:rsidR="00AD324D">
        <w:t>1</w:t>
      </w:r>
      <w:r w:rsidR="000C30F2" w:rsidRPr="00B47BDA">
        <w:fldChar w:fldCharType="end"/>
      </w:r>
      <w:r w:rsidR="006639F2" w:rsidRPr="00B47BDA">
        <w:t>]</w:t>
      </w:r>
      <w:r w:rsidR="000C55C1" w:rsidRPr="00B47BDA">
        <w:t>. Emisije glavnih onečišćujućih tvari u zrak (SO</w:t>
      </w:r>
      <w:r w:rsidR="000C55C1" w:rsidRPr="00B47BDA">
        <w:rPr>
          <w:vertAlign w:val="subscript"/>
        </w:rPr>
        <w:t>2</w:t>
      </w:r>
      <w:r w:rsidR="000C55C1" w:rsidRPr="00B47BDA">
        <w:t>, NH</w:t>
      </w:r>
      <w:r w:rsidR="000C55C1" w:rsidRPr="00B47BDA">
        <w:rPr>
          <w:vertAlign w:val="subscript"/>
        </w:rPr>
        <w:t>3</w:t>
      </w:r>
      <w:r w:rsidR="000C55C1" w:rsidRPr="00B47BDA">
        <w:t>, NO</w:t>
      </w:r>
      <w:r w:rsidR="000C55C1" w:rsidRPr="00B47BDA">
        <w:rPr>
          <w:vertAlign w:val="subscript"/>
        </w:rPr>
        <w:t>X</w:t>
      </w:r>
      <w:r w:rsidR="000C55C1" w:rsidRPr="00B47BDA">
        <w:t>, NMHOS) pokazuju opći trend smanjenja</w:t>
      </w:r>
      <w:r w:rsidR="735696D1">
        <w:t xml:space="preserve"> u odnosu na razinu njihovih emisija u baznoj 1990. godini</w:t>
      </w:r>
      <w:r w:rsidR="5F482C62">
        <w:t>.</w:t>
      </w:r>
      <w:r w:rsidR="000C55C1" w:rsidRPr="00B47BDA">
        <w:t xml:space="preserve"> Emisije stakleničkih plinova </w:t>
      </w:r>
      <w:r w:rsidR="5FC99DFD">
        <w:t xml:space="preserve">općenito </w:t>
      </w:r>
      <w:r w:rsidR="44AB2818">
        <w:t>pokazuju tendenciju</w:t>
      </w:r>
      <w:r w:rsidR="5F482C62">
        <w:t xml:space="preserve"> smanj</w:t>
      </w:r>
      <w:r w:rsidR="45C7FC5C">
        <w:t>enja</w:t>
      </w:r>
      <w:r w:rsidR="5DA555FD">
        <w:t xml:space="preserve"> u odnosu na baznu 1990. </w:t>
      </w:r>
      <w:r w:rsidR="2F08D709">
        <w:t>go</w:t>
      </w:r>
      <w:r w:rsidR="338EAD9B">
        <w:t>dinu</w:t>
      </w:r>
      <w:r w:rsidR="1AECC40F">
        <w:t xml:space="preserve">, </w:t>
      </w:r>
      <w:r w:rsidR="0028236B">
        <w:t xml:space="preserve">pri čemu je to smanjenje </w:t>
      </w:r>
      <w:r w:rsidR="1AECC40F">
        <w:t>nužno intenzivirati s obzirom na nove</w:t>
      </w:r>
      <w:r w:rsidR="306E754C">
        <w:t xml:space="preserve"> klimatske</w:t>
      </w:r>
      <w:r w:rsidR="1AECC40F">
        <w:t xml:space="preserve"> ciljeve do 2030. godine</w:t>
      </w:r>
      <w:r w:rsidR="35E205DD">
        <w:t>.</w:t>
      </w:r>
      <w:r w:rsidR="000C55C1" w:rsidRPr="00B47BDA">
        <w:t xml:space="preserve"> Prema brojnosti </w:t>
      </w:r>
      <w:r w:rsidR="1E61E5D5">
        <w:t>različitih onečišćujućih tvari u vode i/ili more</w:t>
      </w:r>
      <w:r w:rsidR="5F482C62">
        <w:t xml:space="preserve"> i </w:t>
      </w:r>
      <w:r w:rsidR="0E7EB457">
        <w:t>njihovim</w:t>
      </w:r>
      <w:r w:rsidR="000C55C1" w:rsidRPr="00B47BDA">
        <w:t xml:space="preserve"> količinama ispuštanja i prijenosa, najopterećenije je vodno područje sliva Save. Minski sumnjive površine su i dalje prisutne.</w:t>
      </w:r>
    </w:p>
    <w:p w14:paraId="254EADAB" w14:textId="0EBF9ECD" w:rsidR="000C55C1" w:rsidRDefault="000C55C1" w:rsidP="0010052C">
      <w:r w:rsidRPr="00B47BDA">
        <w:t>U pogledu socijalnog konteksta plana, razvitak regija Hrvatske i naseljavanje prostora su neravnomjerni, sa sve jačim pritiscima na veće gradove</w:t>
      </w:r>
      <w:r w:rsidR="000C30F2" w:rsidRPr="00B47BDA">
        <w:t>.</w:t>
      </w:r>
      <w:r w:rsidRPr="00B47BDA">
        <w:t xml:space="preserve"> Nastavlja se trend napuštanja ruralnih područja. Zbog emigracije dijela </w:t>
      </w:r>
      <w:r w:rsidR="14E92064">
        <w:t xml:space="preserve">radno sposobnog </w:t>
      </w:r>
      <w:r w:rsidRPr="00B47BDA">
        <w:t xml:space="preserve">stanovništva i oporavka gospodarstva, dinamika smanjenja stope nezaposlenosti znatno je brža od dinamike predviđene u europskim projekcijama. Broj stanovnika </w:t>
      </w:r>
      <w:r w:rsidR="153D7C46">
        <w:t>R</w:t>
      </w:r>
      <w:r w:rsidR="612863F2">
        <w:t xml:space="preserve">epublike </w:t>
      </w:r>
      <w:r w:rsidR="153D7C46">
        <w:t>H</w:t>
      </w:r>
      <w:r w:rsidR="6CCFF4F5">
        <w:t>rvatske</w:t>
      </w:r>
      <w:r w:rsidRPr="00B47BDA">
        <w:t xml:space="preserve"> kontinuirano opada, pri čemu se povećava udio stanovništva u dobnoj skupini iznad 65 godina, </w:t>
      </w:r>
      <w:r w:rsidR="64C1B560">
        <w:t>a</w:t>
      </w:r>
      <w:r w:rsidR="153D7C46">
        <w:t xml:space="preserve"> smanj</w:t>
      </w:r>
      <w:r w:rsidR="1192E35A">
        <w:t>uje</w:t>
      </w:r>
      <w:r w:rsidR="26FFAD20">
        <w:t xml:space="preserve"> udio</w:t>
      </w:r>
      <w:r w:rsidR="153D7C46">
        <w:t xml:space="preserve"> </w:t>
      </w:r>
      <w:r w:rsidR="3D0A08FC">
        <w:t>radno sposobnih</w:t>
      </w:r>
      <w:r w:rsidRPr="00B47BDA">
        <w:t xml:space="preserve"> dobn</w:t>
      </w:r>
      <w:r w:rsidR="0083392B" w:rsidRPr="00B47BDA">
        <w:t>ih</w:t>
      </w:r>
      <w:r w:rsidRPr="00B47BDA">
        <w:t xml:space="preserve"> skupina</w:t>
      </w:r>
      <w:r w:rsidR="2B535A60">
        <w:t>.</w:t>
      </w:r>
    </w:p>
    <w:p w14:paraId="5A21C309" w14:textId="13DF7FA7" w:rsidR="00CB1C67" w:rsidRPr="00B47BDA" w:rsidRDefault="009553D6" w:rsidP="0010052C">
      <w:r w:rsidRPr="00B47BDA">
        <w:t xml:space="preserve">Hrvatska trenutno ima znatno niže stope ekonomske aktivnosti stanovništva od većine zemalja EU-a. </w:t>
      </w:r>
      <w:r w:rsidR="00B53E46" w:rsidRPr="00B47BDA">
        <w:t>Prema</w:t>
      </w:r>
      <w:r w:rsidRPr="00B47BDA">
        <w:t xml:space="preserve"> energetskoj bilanci </w:t>
      </w:r>
      <w:r w:rsidR="5F3C5F56">
        <w:t xml:space="preserve">Republike </w:t>
      </w:r>
      <w:r w:rsidRPr="00B47BDA">
        <w:t>Hrvatske</w:t>
      </w:r>
      <w:r w:rsidR="00B53E46" w:rsidRPr="00B47BDA">
        <w:t>,</w:t>
      </w:r>
      <w:r w:rsidRPr="00B47BDA">
        <w:t xml:space="preserve"> značajna je ovisnost o uvozu nafte i </w:t>
      </w:r>
      <w:r w:rsidR="006E0FB2" w:rsidRPr="00B47BDA">
        <w:t>naftnih derivata</w:t>
      </w:r>
      <w:r w:rsidRPr="00B47BDA">
        <w:t xml:space="preserve">, plina i električne energije. </w:t>
      </w:r>
    </w:p>
    <w:p w14:paraId="0C726E6B" w14:textId="2EBD5514" w:rsidR="223EF8A2" w:rsidRDefault="223EF8A2" w:rsidP="00C34CC2">
      <w:pPr>
        <w:spacing w:line="259" w:lineRule="auto"/>
      </w:pPr>
      <w:r>
        <w:t>Utjecaj klimatskih promjena u Hrvatskoj uzrokuje povećanje rizika od katastrofa na razne načine: mijenjanjem učestalosti i intenziteta prirodnih prijetnji, utječući na ranjivost i mijenjajući područja izloženosti. Rizik od katastrofa povećan je pod utjecajem klimatskih promjena, a istovremeno pojačava</w:t>
      </w:r>
      <w:r w:rsidR="4F59F711">
        <w:t xml:space="preserve"> se</w:t>
      </w:r>
      <w:r>
        <w:t xml:space="preserve"> intenzitet prirodnih prijetnji i smanj</w:t>
      </w:r>
      <w:r w:rsidR="3FBEF1E0">
        <w:t xml:space="preserve">uje </w:t>
      </w:r>
      <w:r>
        <w:t>otpornos</w:t>
      </w:r>
      <w:r w:rsidR="1BAAFFE3">
        <w:t>t</w:t>
      </w:r>
      <w:r>
        <w:t xml:space="preserve"> zajednica.</w:t>
      </w:r>
      <w:r w:rsidR="48644182">
        <w:t xml:space="preserve"> </w:t>
      </w:r>
    </w:p>
    <w:p w14:paraId="71CAADBF" w14:textId="7806A6B4" w:rsidR="1C8AE045" w:rsidRDefault="1C8AE045" w:rsidP="1C8AE045"/>
    <w:p w14:paraId="2AFFDB05" w14:textId="77777777" w:rsidR="00CB1C67" w:rsidRPr="00B47BDA" w:rsidRDefault="00CB1C67" w:rsidP="004623DD">
      <w:r w:rsidRPr="00B47BDA">
        <w:br w:type="page"/>
      </w:r>
    </w:p>
    <w:p w14:paraId="56692D0C" w14:textId="5516A794" w:rsidR="00424126" w:rsidRPr="00B47BDA" w:rsidRDefault="00167757" w:rsidP="005309C0">
      <w:pPr>
        <w:pStyle w:val="Heading4"/>
        <w:numPr>
          <w:ilvl w:val="3"/>
          <w:numId w:val="175"/>
        </w:numPr>
        <w:ind w:hanging="580"/>
      </w:pPr>
      <w:r w:rsidRPr="00B47BDA">
        <w:lastRenderedPageBreak/>
        <w:t>Strategij</w:t>
      </w:r>
      <w:r w:rsidR="00E7271C">
        <w:t>a</w:t>
      </w:r>
      <w:r w:rsidRPr="00B47BDA">
        <w:t xml:space="preserve"> koj</w:t>
      </w:r>
      <w:r w:rsidR="00E7271C">
        <w:t>a</w:t>
      </w:r>
      <w:r w:rsidRPr="00B47BDA">
        <w:t xml:space="preserve"> </w:t>
      </w:r>
      <w:r w:rsidR="00424126" w:rsidRPr="00B47BDA">
        <w:t xml:space="preserve">se </w:t>
      </w:r>
      <w:r w:rsidRPr="00B47BDA">
        <w:t>odnos</w:t>
      </w:r>
      <w:r w:rsidR="00E7271C">
        <w:t>i</w:t>
      </w:r>
      <w:r w:rsidRPr="00B47BDA">
        <w:t xml:space="preserve"> </w:t>
      </w:r>
      <w:r w:rsidR="00424126" w:rsidRPr="00B47BDA">
        <w:t>na pet dimenzija energetske unije</w:t>
      </w:r>
    </w:p>
    <w:p w14:paraId="03BDC3DA" w14:textId="509069B7" w:rsidR="00140A62" w:rsidRPr="00183A89" w:rsidRDefault="000C55C1" w:rsidP="63259912">
      <w:pPr>
        <w:rPr>
          <w:rFonts w:asciiTheme="minorHAnsi" w:hAnsiTheme="minorHAnsi" w:cstheme="minorBidi"/>
        </w:rPr>
      </w:pPr>
      <w:r w:rsidRPr="63259912">
        <w:rPr>
          <w:rFonts w:asciiTheme="minorHAnsi" w:hAnsiTheme="minorHAnsi" w:cstheme="minorBidi"/>
        </w:rPr>
        <w:t xml:space="preserve">Pet dimenzija </w:t>
      </w:r>
      <w:r w:rsidR="00FF3A27" w:rsidRPr="63259912">
        <w:rPr>
          <w:rFonts w:asciiTheme="minorHAnsi" w:hAnsiTheme="minorHAnsi" w:cstheme="minorBidi"/>
        </w:rPr>
        <w:t xml:space="preserve">energetske </w:t>
      </w:r>
      <w:r w:rsidRPr="63259912">
        <w:rPr>
          <w:rFonts w:asciiTheme="minorHAnsi" w:hAnsiTheme="minorHAnsi" w:cstheme="minorBidi"/>
        </w:rPr>
        <w:t>unije su</w:t>
      </w:r>
      <w:r w:rsidR="75A07662" w:rsidRPr="63259912">
        <w:rPr>
          <w:rFonts w:asciiTheme="minorHAnsi" w:hAnsiTheme="minorHAnsi" w:cstheme="minorBidi"/>
        </w:rPr>
        <w:t>:</w:t>
      </w:r>
      <w:r w:rsidRPr="63259912">
        <w:rPr>
          <w:rFonts w:asciiTheme="minorHAnsi" w:hAnsiTheme="minorHAnsi" w:cstheme="minorBidi"/>
        </w:rPr>
        <w:t xml:space="preserve"> dekarbonizacija, energetska učinkovitost, energetska sigurnost, unutarnje energetsko tržište te istraživanje, inovacije i konkurentnost. </w:t>
      </w:r>
    </w:p>
    <w:p w14:paraId="6A56036E" w14:textId="699C100D" w:rsidR="00767FE8" w:rsidRPr="002C51A2" w:rsidRDefault="00EC5C71" w:rsidP="63259912">
      <w:pPr>
        <w:rPr>
          <w:rFonts w:asciiTheme="minorHAnsi" w:hAnsiTheme="minorHAnsi" w:cstheme="minorBidi"/>
        </w:rPr>
      </w:pPr>
      <w:r w:rsidRPr="63259912">
        <w:rPr>
          <w:rFonts w:asciiTheme="minorHAnsi" w:hAnsiTheme="minorHAnsi" w:cstheme="minorBidi"/>
        </w:rPr>
        <w:t xml:space="preserve">Pet je ključnih </w:t>
      </w:r>
      <w:r w:rsidR="002C448B" w:rsidRPr="63259912">
        <w:rPr>
          <w:rFonts w:asciiTheme="minorHAnsi" w:hAnsiTheme="minorHAnsi" w:cstheme="minorBidi"/>
        </w:rPr>
        <w:t xml:space="preserve">strategija </w:t>
      </w:r>
      <w:r w:rsidR="00767FE8" w:rsidRPr="63259912">
        <w:rPr>
          <w:rFonts w:asciiTheme="minorHAnsi" w:hAnsiTheme="minorHAnsi" w:cstheme="minorBidi"/>
        </w:rPr>
        <w:t>koje se odnose na</w:t>
      </w:r>
      <w:r w:rsidR="004A722C" w:rsidRPr="63259912">
        <w:rPr>
          <w:rFonts w:asciiTheme="minorHAnsi" w:hAnsiTheme="minorHAnsi" w:cstheme="minorBidi"/>
        </w:rPr>
        <w:t xml:space="preserve"> </w:t>
      </w:r>
      <w:r w:rsidR="00B83818" w:rsidRPr="63259912">
        <w:rPr>
          <w:rFonts w:asciiTheme="minorHAnsi" w:hAnsiTheme="minorHAnsi" w:cstheme="minorBidi"/>
          <w:b/>
          <w:bCs/>
        </w:rPr>
        <w:t>dimenziju dekarbonizacije</w:t>
      </w:r>
      <w:r w:rsidR="00767FE8" w:rsidRPr="63259912">
        <w:rPr>
          <w:rFonts w:asciiTheme="minorHAnsi" w:hAnsiTheme="minorHAnsi" w:cstheme="minorBidi"/>
        </w:rPr>
        <w:t xml:space="preserve">. </w:t>
      </w:r>
      <w:r w:rsidR="00767FE8" w:rsidRPr="63259912">
        <w:rPr>
          <w:rFonts w:asciiTheme="minorHAnsi" w:hAnsiTheme="minorHAnsi" w:cstheme="minorBidi"/>
          <w:b/>
          <w:bCs/>
        </w:rPr>
        <w:t>Strategija energetskog razvoja Republike Hrvatske do 2030. godine s pogledom na 2050. godinu</w:t>
      </w:r>
      <w:r w:rsidR="00767FE8" w:rsidRPr="63259912">
        <w:rPr>
          <w:rFonts w:asciiTheme="minorHAnsi" w:hAnsiTheme="minorHAnsi" w:cstheme="minorBidi"/>
        </w:rPr>
        <w:t xml:space="preserve"> (</w:t>
      </w:r>
      <w:r w:rsidR="00F431B7" w:rsidRPr="63259912">
        <w:rPr>
          <w:rFonts w:asciiTheme="minorHAnsi" w:hAnsiTheme="minorHAnsi" w:cstheme="minorBidi"/>
        </w:rPr>
        <w:t>„Narodne novine“, br</w:t>
      </w:r>
      <w:r w:rsidR="00914E20" w:rsidRPr="63259912">
        <w:rPr>
          <w:rFonts w:asciiTheme="minorHAnsi" w:hAnsiTheme="minorHAnsi" w:cstheme="minorBidi"/>
        </w:rPr>
        <w:t>.</w:t>
      </w:r>
      <w:r w:rsidR="00F431B7" w:rsidRPr="63259912">
        <w:rPr>
          <w:rFonts w:asciiTheme="minorHAnsi" w:hAnsiTheme="minorHAnsi" w:cstheme="minorBidi"/>
        </w:rPr>
        <w:t>novione“, br</w:t>
      </w:r>
      <w:r w:rsidR="00F431B7" w:rsidRPr="63259912" w:rsidDel="001B663B">
        <w:rPr>
          <w:rFonts w:asciiTheme="minorHAnsi" w:hAnsiTheme="minorHAnsi" w:cstheme="minorBidi"/>
        </w:rPr>
        <w:t>oj</w:t>
      </w:r>
      <w:r w:rsidR="001B663B" w:rsidRPr="63259912">
        <w:rPr>
          <w:rFonts w:asciiTheme="minorHAnsi" w:hAnsiTheme="minorHAnsi" w:cstheme="minorBidi"/>
        </w:rPr>
        <w:t>.</w:t>
      </w:r>
      <w:r w:rsidR="00F431B7" w:rsidRPr="63259912">
        <w:rPr>
          <w:rFonts w:asciiTheme="minorHAnsi" w:hAnsiTheme="minorHAnsi" w:cstheme="minorBidi"/>
        </w:rPr>
        <w:t xml:space="preserve"> 25/20.,</w:t>
      </w:r>
      <w:r w:rsidR="00175B98" w:rsidRPr="63259912">
        <w:rPr>
          <w:rFonts w:asciiTheme="minorHAnsi" w:hAnsiTheme="minorHAnsi" w:cstheme="minorBidi"/>
        </w:rPr>
        <w:t xml:space="preserve"> </w:t>
      </w:r>
      <w:r w:rsidR="003A3524" w:rsidRPr="63259912">
        <w:rPr>
          <w:rFonts w:asciiTheme="minorHAnsi" w:hAnsiTheme="minorHAnsi" w:cstheme="minorBidi"/>
        </w:rPr>
        <w:t xml:space="preserve">u </w:t>
      </w:r>
      <w:r w:rsidR="00767FE8" w:rsidRPr="63259912">
        <w:rPr>
          <w:rFonts w:asciiTheme="minorHAnsi" w:hAnsiTheme="minorHAnsi" w:cstheme="minorBidi"/>
        </w:rPr>
        <w:t>dalj</w:t>
      </w:r>
      <w:r w:rsidR="003A3524" w:rsidRPr="63259912">
        <w:rPr>
          <w:rFonts w:asciiTheme="minorHAnsi" w:hAnsiTheme="minorHAnsi" w:cstheme="minorBidi"/>
        </w:rPr>
        <w:t>nj</w:t>
      </w:r>
      <w:r w:rsidR="00767FE8" w:rsidRPr="63259912">
        <w:rPr>
          <w:rFonts w:asciiTheme="minorHAnsi" w:hAnsiTheme="minorHAnsi" w:cstheme="minorBidi"/>
        </w:rPr>
        <w:t>e</w:t>
      </w:r>
      <w:r w:rsidR="003A3524" w:rsidRPr="63259912">
        <w:rPr>
          <w:rFonts w:asciiTheme="minorHAnsi" w:hAnsiTheme="minorHAnsi" w:cstheme="minorBidi"/>
        </w:rPr>
        <w:t>m</w:t>
      </w:r>
      <w:r w:rsidR="00767FE8" w:rsidRPr="63259912">
        <w:rPr>
          <w:rFonts w:asciiTheme="minorHAnsi" w:hAnsiTheme="minorHAnsi" w:cstheme="minorBidi"/>
        </w:rPr>
        <w:t xml:space="preserve"> tekstu: </w:t>
      </w:r>
      <w:r w:rsidR="003E66D9" w:rsidRPr="63259912">
        <w:rPr>
          <w:rFonts w:asciiTheme="minorHAnsi" w:hAnsiTheme="minorHAnsi" w:cstheme="minorBidi"/>
        </w:rPr>
        <w:t>Strategija energetskog razvoja</w:t>
      </w:r>
      <w:r w:rsidR="00767FE8" w:rsidRPr="63259912">
        <w:rPr>
          <w:rFonts w:asciiTheme="minorHAnsi" w:hAnsiTheme="minorHAnsi" w:cstheme="minorBidi"/>
        </w:rPr>
        <w:t>) [</w:t>
      </w:r>
      <w:r w:rsidR="006F4072" w:rsidRPr="63259912">
        <w:rPr>
          <w:rFonts w:asciiTheme="minorHAnsi" w:hAnsiTheme="minorHAnsi" w:cstheme="minorBidi"/>
        </w:rPr>
        <w:fldChar w:fldCharType="begin"/>
      </w:r>
      <w:r w:rsidR="006F4072" w:rsidRPr="63259912">
        <w:rPr>
          <w:rFonts w:asciiTheme="minorHAnsi" w:hAnsiTheme="minorHAnsi" w:cstheme="minorBidi"/>
        </w:rPr>
        <w:instrText xml:space="preserve"> REF _Ref19783836 \r \h  \* MERGEFORMAT </w:instrText>
      </w:r>
      <w:r w:rsidR="006F4072" w:rsidRPr="63259912">
        <w:rPr>
          <w:rFonts w:asciiTheme="minorHAnsi" w:hAnsiTheme="minorHAnsi" w:cstheme="minorBidi"/>
        </w:rPr>
      </w:r>
      <w:r w:rsidR="006F4072" w:rsidRPr="63259912">
        <w:rPr>
          <w:rFonts w:asciiTheme="minorHAnsi" w:hAnsiTheme="minorHAnsi" w:cstheme="minorBidi"/>
        </w:rPr>
        <w:fldChar w:fldCharType="separate"/>
      </w:r>
      <w:r w:rsidR="00AD324D" w:rsidRPr="63259912">
        <w:rPr>
          <w:rFonts w:asciiTheme="minorHAnsi" w:hAnsiTheme="minorHAnsi" w:cstheme="minorBidi"/>
        </w:rPr>
        <w:t>3</w:t>
      </w:r>
      <w:r w:rsidR="006F4072" w:rsidRPr="63259912">
        <w:rPr>
          <w:rFonts w:asciiTheme="minorHAnsi" w:hAnsiTheme="minorHAnsi" w:cstheme="minorBidi"/>
        </w:rPr>
        <w:fldChar w:fldCharType="end"/>
      </w:r>
      <w:r w:rsidR="00767FE8" w:rsidRPr="63259912">
        <w:rPr>
          <w:rFonts w:asciiTheme="minorHAnsi" w:hAnsiTheme="minorHAnsi" w:cstheme="minorBidi"/>
        </w:rPr>
        <w:t>] obveza je koja slijedi iz Zakona o energiji (</w:t>
      </w:r>
      <w:r w:rsidR="00175B98" w:rsidRPr="63259912">
        <w:rPr>
          <w:rFonts w:asciiTheme="minorHAnsi" w:hAnsiTheme="minorHAnsi" w:cstheme="minorBidi"/>
        </w:rPr>
        <w:t>„</w:t>
      </w:r>
      <w:r w:rsidR="00071A4F" w:rsidRPr="63259912">
        <w:rPr>
          <w:rFonts w:asciiTheme="minorHAnsi" w:hAnsiTheme="minorHAnsi" w:cstheme="minorBidi"/>
        </w:rPr>
        <w:t xml:space="preserve">Narodne </w:t>
      </w:r>
      <w:r w:rsidR="00A97AE7" w:rsidRPr="63259912">
        <w:rPr>
          <w:rFonts w:asciiTheme="minorHAnsi" w:hAnsiTheme="minorHAnsi" w:cstheme="minorBidi"/>
        </w:rPr>
        <w:t>novine</w:t>
      </w:r>
      <w:r w:rsidR="00175B98" w:rsidRPr="63259912">
        <w:rPr>
          <w:rFonts w:asciiTheme="minorHAnsi" w:hAnsiTheme="minorHAnsi" w:cstheme="minorBidi"/>
        </w:rPr>
        <w:t>“</w:t>
      </w:r>
      <w:r w:rsidR="00071A4F" w:rsidRPr="63259912">
        <w:rPr>
          <w:rFonts w:asciiTheme="minorHAnsi" w:hAnsiTheme="minorHAnsi" w:cstheme="minorBidi"/>
        </w:rPr>
        <w:t>,</w:t>
      </w:r>
      <w:r w:rsidR="00D44AB4" w:rsidRPr="63259912">
        <w:rPr>
          <w:rFonts w:asciiTheme="minorHAnsi" w:hAnsiTheme="minorHAnsi" w:cstheme="minorBidi"/>
        </w:rPr>
        <w:t xml:space="preserve"> </w:t>
      </w:r>
      <w:r w:rsidR="741CD57E" w:rsidRPr="63259912">
        <w:rPr>
          <w:rFonts w:asciiTheme="minorHAnsi" w:hAnsiTheme="minorHAnsi" w:cstheme="minorBidi"/>
        </w:rPr>
        <w:t>br</w:t>
      </w:r>
      <w:r w:rsidR="001F24C8" w:rsidRPr="63259912">
        <w:rPr>
          <w:rFonts w:asciiTheme="minorHAnsi" w:hAnsiTheme="minorHAnsi" w:cstheme="minorBidi"/>
        </w:rPr>
        <w:t>.</w:t>
      </w:r>
      <w:r w:rsidR="00767FE8" w:rsidRPr="63259912">
        <w:rPr>
          <w:rFonts w:asciiTheme="minorHAnsi" w:hAnsiTheme="minorHAnsi" w:cstheme="minorBidi"/>
        </w:rPr>
        <w:t xml:space="preserve"> 120</w:t>
      </w:r>
      <w:r w:rsidR="005B41DA" w:rsidRPr="63259912">
        <w:rPr>
          <w:rFonts w:asciiTheme="minorHAnsi" w:hAnsiTheme="minorHAnsi" w:cstheme="minorBidi"/>
        </w:rPr>
        <w:t>/12</w:t>
      </w:r>
      <w:r w:rsidR="00124F3B" w:rsidRPr="63259912">
        <w:rPr>
          <w:rFonts w:asciiTheme="minorHAnsi" w:hAnsiTheme="minorHAnsi" w:cstheme="minorBidi"/>
        </w:rPr>
        <w:t>.</w:t>
      </w:r>
      <w:r w:rsidR="00767FE8" w:rsidRPr="63259912">
        <w:rPr>
          <w:rFonts w:asciiTheme="minorHAnsi" w:hAnsiTheme="minorHAnsi" w:cstheme="minorBidi"/>
        </w:rPr>
        <w:t>, 14</w:t>
      </w:r>
      <w:r w:rsidR="005B41DA" w:rsidRPr="63259912">
        <w:rPr>
          <w:rFonts w:asciiTheme="minorHAnsi" w:hAnsiTheme="minorHAnsi" w:cstheme="minorBidi"/>
        </w:rPr>
        <w:t>/14</w:t>
      </w:r>
      <w:r w:rsidR="00124F3B" w:rsidRPr="63259912">
        <w:rPr>
          <w:rFonts w:asciiTheme="minorHAnsi" w:hAnsiTheme="minorHAnsi" w:cstheme="minorBidi"/>
        </w:rPr>
        <w:t>.</w:t>
      </w:r>
      <w:r w:rsidR="00767FE8" w:rsidRPr="63259912">
        <w:rPr>
          <w:rFonts w:asciiTheme="minorHAnsi" w:hAnsiTheme="minorHAnsi" w:cstheme="minorBidi"/>
        </w:rPr>
        <w:t>, 95</w:t>
      </w:r>
      <w:r w:rsidR="005B41DA" w:rsidRPr="63259912">
        <w:rPr>
          <w:rFonts w:asciiTheme="minorHAnsi" w:hAnsiTheme="minorHAnsi" w:cstheme="minorBidi"/>
        </w:rPr>
        <w:t>/15</w:t>
      </w:r>
      <w:r w:rsidR="00124F3B" w:rsidRPr="63259912">
        <w:rPr>
          <w:rFonts w:asciiTheme="minorHAnsi" w:hAnsiTheme="minorHAnsi" w:cstheme="minorBidi"/>
        </w:rPr>
        <w:t>.</w:t>
      </w:r>
      <w:r w:rsidR="00767FE8" w:rsidRPr="63259912">
        <w:rPr>
          <w:rFonts w:asciiTheme="minorHAnsi" w:hAnsiTheme="minorHAnsi" w:cstheme="minorBidi"/>
        </w:rPr>
        <w:t>, 102</w:t>
      </w:r>
      <w:r w:rsidR="005B41DA" w:rsidRPr="63259912">
        <w:rPr>
          <w:rFonts w:asciiTheme="minorHAnsi" w:hAnsiTheme="minorHAnsi" w:cstheme="minorBidi"/>
        </w:rPr>
        <w:t>/15</w:t>
      </w:r>
      <w:r w:rsidR="00124F3B" w:rsidRPr="63259912">
        <w:rPr>
          <w:rFonts w:asciiTheme="minorHAnsi" w:hAnsiTheme="minorHAnsi" w:cstheme="minorBidi"/>
        </w:rPr>
        <w:t>.</w:t>
      </w:r>
      <w:r w:rsidR="005237E3" w:rsidRPr="63259912">
        <w:rPr>
          <w:rFonts w:asciiTheme="minorHAnsi" w:hAnsiTheme="minorHAnsi" w:cstheme="minorBidi"/>
        </w:rPr>
        <w:t xml:space="preserve"> i</w:t>
      </w:r>
      <w:r w:rsidR="00767FE8" w:rsidRPr="63259912">
        <w:rPr>
          <w:rFonts w:asciiTheme="minorHAnsi" w:hAnsiTheme="minorHAnsi" w:cstheme="minorBidi"/>
        </w:rPr>
        <w:t xml:space="preserve"> 68</w:t>
      </w:r>
      <w:r w:rsidR="005B41DA" w:rsidRPr="63259912">
        <w:rPr>
          <w:rFonts w:asciiTheme="minorHAnsi" w:hAnsiTheme="minorHAnsi" w:cstheme="minorBidi"/>
        </w:rPr>
        <w:t>/18</w:t>
      </w:r>
      <w:r w:rsidR="00124F3B" w:rsidRPr="63259912">
        <w:rPr>
          <w:rFonts w:asciiTheme="minorHAnsi" w:hAnsiTheme="minorHAnsi" w:cstheme="minorBidi"/>
        </w:rPr>
        <w:t>.</w:t>
      </w:r>
      <w:r w:rsidR="00767FE8" w:rsidRPr="63259912">
        <w:rPr>
          <w:rFonts w:asciiTheme="minorHAnsi" w:hAnsiTheme="minorHAnsi" w:cstheme="minorBidi"/>
        </w:rPr>
        <w:t xml:space="preserve">). Za potrebe izrade </w:t>
      </w:r>
      <w:r w:rsidR="00010C80" w:rsidRPr="63259912">
        <w:rPr>
          <w:rFonts w:asciiTheme="minorHAnsi" w:hAnsiTheme="minorHAnsi" w:cstheme="minorBidi"/>
        </w:rPr>
        <w:t>Strategije energetskog razvoja</w:t>
      </w:r>
      <w:r w:rsidR="00767FE8" w:rsidRPr="63259912">
        <w:rPr>
          <w:rFonts w:asciiTheme="minorHAnsi" w:hAnsiTheme="minorHAnsi" w:cstheme="minorBidi"/>
        </w:rPr>
        <w:t xml:space="preserve"> izrađene su analitičke podloge (tzv. Zelena knjiga [</w:t>
      </w:r>
      <w:r w:rsidR="00767FE8" w:rsidRPr="63259912">
        <w:rPr>
          <w:rFonts w:asciiTheme="minorHAnsi" w:hAnsiTheme="minorHAnsi" w:cstheme="minorBidi"/>
        </w:rPr>
        <w:fldChar w:fldCharType="begin"/>
      </w:r>
      <w:r w:rsidR="00767FE8" w:rsidRPr="63259912">
        <w:rPr>
          <w:rFonts w:asciiTheme="minorHAnsi" w:hAnsiTheme="minorHAnsi" w:cstheme="minorBidi"/>
        </w:rPr>
        <w:instrText xml:space="preserve"> REF _Ref531599476 \r \h  \* MERGEFORMAT </w:instrText>
      </w:r>
      <w:r w:rsidR="00767FE8" w:rsidRPr="63259912">
        <w:rPr>
          <w:rFonts w:asciiTheme="minorHAnsi" w:hAnsiTheme="minorHAnsi" w:cstheme="minorBidi"/>
        </w:rPr>
      </w:r>
      <w:r w:rsidR="00767FE8" w:rsidRPr="63259912">
        <w:rPr>
          <w:rFonts w:asciiTheme="minorHAnsi" w:hAnsiTheme="minorHAnsi" w:cstheme="minorBidi"/>
        </w:rPr>
        <w:fldChar w:fldCharType="separate"/>
      </w:r>
      <w:r w:rsidR="00AD324D" w:rsidRPr="63259912">
        <w:rPr>
          <w:rFonts w:asciiTheme="minorHAnsi" w:hAnsiTheme="minorHAnsi" w:cstheme="minorBidi"/>
        </w:rPr>
        <w:t>2</w:t>
      </w:r>
      <w:r w:rsidR="00767FE8" w:rsidRPr="63259912">
        <w:rPr>
          <w:rFonts w:asciiTheme="minorHAnsi" w:hAnsiTheme="minorHAnsi" w:cstheme="minorBidi"/>
        </w:rPr>
        <w:fldChar w:fldCharType="end"/>
      </w:r>
      <w:r w:rsidR="00767FE8" w:rsidRPr="63259912">
        <w:rPr>
          <w:rFonts w:asciiTheme="minorHAnsi" w:hAnsiTheme="minorHAnsi" w:cstheme="minorBidi"/>
        </w:rPr>
        <w:t>] i Bijela knjiga [</w:t>
      </w:r>
      <w:r w:rsidR="001F7A02" w:rsidRPr="63259912">
        <w:rPr>
          <w:rFonts w:asciiTheme="minorHAnsi" w:hAnsiTheme="minorHAnsi" w:cstheme="minorBidi"/>
        </w:rPr>
        <w:fldChar w:fldCharType="begin"/>
      </w:r>
      <w:r w:rsidR="001F7A02" w:rsidRPr="63259912">
        <w:rPr>
          <w:rFonts w:asciiTheme="minorHAnsi" w:hAnsiTheme="minorHAnsi" w:cstheme="minorBidi"/>
        </w:rPr>
        <w:instrText xml:space="preserve"> REF _Ref19784013 \r \h </w:instrText>
      </w:r>
      <w:r w:rsidR="006B010E" w:rsidRPr="63259912">
        <w:rPr>
          <w:rFonts w:asciiTheme="minorHAnsi" w:hAnsiTheme="minorHAnsi" w:cstheme="minorBidi"/>
        </w:rPr>
        <w:instrText xml:space="preserve"> \* MERGEFORMAT </w:instrText>
      </w:r>
      <w:r w:rsidR="001F7A02" w:rsidRPr="63259912">
        <w:rPr>
          <w:rFonts w:asciiTheme="minorHAnsi" w:hAnsiTheme="minorHAnsi" w:cstheme="minorBidi"/>
        </w:rPr>
      </w:r>
      <w:r w:rsidR="001F7A02" w:rsidRPr="63259912">
        <w:rPr>
          <w:rFonts w:asciiTheme="minorHAnsi" w:hAnsiTheme="minorHAnsi" w:cstheme="minorBidi"/>
        </w:rPr>
        <w:fldChar w:fldCharType="separate"/>
      </w:r>
      <w:r w:rsidR="00AD324D" w:rsidRPr="63259912">
        <w:rPr>
          <w:rFonts w:asciiTheme="minorHAnsi" w:hAnsiTheme="minorHAnsi" w:cstheme="minorBidi"/>
        </w:rPr>
        <w:t>4</w:t>
      </w:r>
      <w:r w:rsidR="001F7A02" w:rsidRPr="63259912">
        <w:rPr>
          <w:rFonts w:asciiTheme="minorHAnsi" w:hAnsiTheme="minorHAnsi" w:cstheme="minorBidi"/>
        </w:rPr>
        <w:fldChar w:fldCharType="end"/>
      </w:r>
      <w:r w:rsidR="00767FE8" w:rsidRPr="63259912">
        <w:rPr>
          <w:rFonts w:asciiTheme="minorHAnsi" w:hAnsiTheme="minorHAnsi" w:cstheme="minorBidi"/>
        </w:rPr>
        <w:t xml:space="preserve">]) koje su predstavljene stručnoj i zainteresiranoj javnosti krajem 2018. i početkom 2019. godine. Analitičke podloge sadrže razrađene ciljeve za korištenje obnovljivih izvora energije (OIE), energetsku učinkovitost, unutarnje energetsko tržište i energetsku sigurnost. </w:t>
      </w:r>
      <w:r w:rsidR="00505D3E" w:rsidRPr="63259912">
        <w:rPr>
          <w:rFonts w:asciiTheme="minorHAnsi" w:hAnsiTheme="minorHAnsi" w:cstheme="minorBidi"/>
        </w:rPr>
        <w:t xml:space="preserve">Strategija energetskog razvoja </w:t>
      </w:r>
      <w:r w:rsidR="00767FE8" w:rsidRPr="63259912">
        <w:rPr>
          <w:rFonts w:asciiTheme="minorHAnsi" w:hAnsiTheme="minorHAnsi" w:cstheme="minorBidi"/>
        </w:rPr>
        <w:t>definira optimalni energetski miks i razvojne energetske projekte s ciljem osiguranja energetske neovisnosti Republike Hrvatske s posebnim naglaskom na jačanje proizvodnje energije iz obnovljivih izvora. Također, posebna je pozornost posvećena sigurnosti opskrbe</w:t>
      </w:r>
      <w:r w:rsidR="6CD1850D" w:rsidRPr="63259912">
        <w:rPr>
          <w:rFonts w:asciiTheme="minorHAnsi" w:hAnsiTheme="minorHAnsi" w:cstheme="minorBidi"/>
        </w:rPr>
        <w:t>,</w:t>
      </w:r>
      <w:r w:rsidR="00767FE8" w:rsidRPr="63259912">
        <w:rPr>
          <w:rFonts w:asciiTheme="minorHAnsi" w:hAnsiTheme="minorHAnsi" w:cstheme="minorBidi"/>
        </w:rPr>
        <w:t xml:space="preserve"> održivosti </w:t>
      </w:r>
      <w:r w:rsidR="266D0EE6" w:rsidRPr="63259912">
        <w:rPr>
          <w:rFonts w:asciiTheme="minorHAnsi" w:hAnsiTheme="minorHAnsi" w:cstheme="minorBidi"/>
        </w:rPr>
        <w:t>i</w:t>
      </w:r>
      <w:r w:rsidR="00767FE8" w:rsidRPr="63259912">
        <w:rPr>
          <w:rFonts w:asciiTheme="minorHAnsi" w:hAnsiTheme="minorHAnsi" w:cstheme="minorBidi"/>
        </w:rPr>
        <w:t xml:space="preserve"> konkurentnosti energetskog sustava. Navedeno je usklađeno s ciljevima iz EU direktiva po pitanjima smanjenja potrošnje, smanjenja emisija stakleničkih plinova, održivosti energetskog razvoja, konkurentnosti energetskog sustava i pozitivnog investicijskog okruženja.</w:t>
      </w:r>
      <w:r w:rsidR="00785351" w:rsidRPr="63259912">
        <w:rPr>
          <w:rFonts w:asciiTheme="minorHAnsi" w:hAnsiTheme="minorHAnsi" w:cstheme="minorBidi"/>
        </w:rPr>
        <w:t xml:space="preserve"> </w:t>
      </w:r>
      <w:bookmarkStart w:id="18" w:name="_Hlk26358621"/>
      <w:r w:rsidR="009C768E" w:rsidRPr="63259912">
        <w:rPr>
          <w:rFonts w:asciiTheme="minorHAnsi" w:hAnsiTheme="minorHAnsi" w:cstheme="minorBidi"/>
        </w:rPr>
        <w:t xml:space="preserve">Za korištenje obnovljivih izvora energije u zgradarstvu ključna je </w:t>
      </w:r>
      <w:r w:rsidR="009C768E" w:rsidRPr="63259912">
        <w:rPr>
          <w:rFonts w:asciiTheme="minorHAnsi" w:hAnsiTheme="minorHAnsi" w:cstheme="minorBidi"/>
          <w:b/>
          <w:bCs/>
        </w:rPr>
        <w:t xml:space="preserve">Dugoročna strategija </w:t>
      </w:r>
      <w:r w:rsidR="00CF7ED3" w:rsidRPr="63259912">
        <w:rPr>
          <w:rFonts w:asciiTheme="minorHAnsi" w:hAnsiTheme="minorHAnsi" w:cstheme="minorBidi"/>
          <w:b/>
          <w:bCs/>
        </w:rPr>
        <w:t>obnove</w:t>
      </w:r>
      <w:r w:rsidR="009C768E" w:rsidRPr="63259912">
        <w:rPr>
          <w:rFonts w:asciiTheme="minorHAnsi" w:hAnsiTheme="minorHAnsi" w:cstheme="minorBidi"/>
          <w:b/>
          <w:bCs/>
        </w:rPr>
        <w:t xml:space="preserve"> nacionalnog fonda zgrada Republike Hrvatske</w:t>
      </w:r>
      <w:r w:rsidR="0075494E" w:rsidRPr="63259912">
        <w:rPr>
          <w:rFonts w:asciiTheme="minorHAnsi" w:hAnsiTheme="minorHAnsi" w:cstheme="minorBidi"/>
          <w:b/>
          <w:bCs/>
        </w:rPr>
        <w:t xml:space="preserve"> do 2050. godine</w:t>
      </w:r>
      <w:r w:rsidR="00670C5E" w:rsidRPr="63259912">
        <w:rPr>
          <w:rStyle w:val="FootnoteReference"/>
          <w:rFonts w:asciiTheme="minorHAnsi" w:hAnsiTheme="minorHAnsi" w:cstheme="minorBidi"/>
          <w:b/>
          <w:bCs/>
          <w:sz w:val="24"/>
        </w:rPr>
        <w:footnoteReference w:id="2"/>
      </w:r>
      <w:r w:rsidR="163A0FBB" w:rsidRPr="63259912">
        <w:rPr>
          <w:rFonts w:asciiTheme="minorHAnsi" w:hAnsiTheme="minorHAnsi" w:cstheme="minorBidi"/>
        </w:rPr>
        <w:t>. Ova strategija</w:t>
      </w:r>
      <w:r w:rsidR="009C768E" w:rsidRPr="63259912">
        <w:rPr>
          <w:rFonts w:asciiTheme="minorHAnsi" w:hAnsiTheme="minorHAnsi" w:cstheme="minorBidi"/>
        </w:rPr>
        <w:t xml:space="preserve"> kroz zahtjev za nove zgrade i rekonstrukciju postojećih zgrada </w:t>
      </w:r>
      <w:r w:rsidR="6E85576F" w:rsidRPr="63259912">
        <w:rPr>
          <w:rFonts w:asciiTheme="minorHAnsi" w:hAnsiTheme="minorHAnsi" w:cstheme="minorBidi"/>
        </w:rPr>
        <w:t xml:space="preserve">kojim se nastoji </w:t>
      </w:r>
      <w:r w:rsidR="4DFE0B45" w:rsidRPr="63259912">
        <w:rPr>
          <w:rFonts w:asciiTheme="minorHAnsi" w:hAnsiTheme="minorHAnsi" w:cstheme="minorBidi"/>
        </w:rPr>
        <w:t>povećati broj zgrada koje su gotovo nulte energije (nZEB)</w:t>
      </w:r>
      <w:r w:rsidR="0E6FA54F" w:rsidRPr="63259912">
        <w:rPr>
          <w:rFonts w:asciiTheme="minorHAnsi" w:hAnsiTheme="minorHAnsi" w:cstheme="minorBidi"/>
        </w:rPr>
        <w:t>,</w:t>
      </w:r>
      <w:r w:rsidR="2E0FCC46" w:rsidRPr="63259912">
        <w:rPr>
          <w:rFonts w:asciiTheme="minorHAnsi" w:hAnsiTheme="minorHAnsi" w:cstheme="minorBidi"/>
        </w:rPr>
        <w:t xml:space="preserve"> </w:t>
      </w:r>
      <w:r w:rsidR="009C768E" w:rsidRPr="63259912">
        <w:rPr>
          <w:rFonts w:asciiTheme="minorHAnsi" w:hAnsiTheme="minorHAnsi" w:cstheme="minorBidi"/>
        </w:rPr>
        <w:t xml:space="preserve">uključuje obavezu pokrivanja znatnog dijela primarne energije za zgradu korištenjem obnovljivih izvora energije na lokaciji zgrade ili u </w:t>
      </w:r>
      <w:r w:rsidR="4C93E908" w:rsidRPr="63259912">
        <w:rPr>
          <w:rFonts w:asciiTheme="minorHAnsi" w:hAnsiTheme="minorHAnsi" w:cstheme="minorBidi"/>
        </w:rPr>
        <w:t xml:space="preserve">njenoj </w:t>
      </w:r>
      <w:r w:rsidR="009C768E" w:rsidRPr="63259912">
        <w:rPr>
          <w:rFonts w:asciiTheme="minorHAnsi" w:hAnsiTheme="minorHAnsi" w:cstheme="minorBidi"/>
        </w:rPr>
        <w:t>neposrednoj blizini</w:t>
      </w:r>
      <w:bookmarkEnd w:id="18"/>
      <w:r w:rsidR="00670C5E" w:rsidRPr="63259912">
        <w:rPr>
          <w:rFonts w:asciiTheme="minorHAnsi" w:hAnsiTheme="minorHAnsi" w:cstheme="minorBidi"/>
        </w:rPr>
        <w:t xml:space="preserve">. </w:t>
      </w:r>
    </w:p>
    <w:p w14:paraId="225381E2" w14:textId="2E6E9514" w:rsidR="00F46741" w:rsidRDefault="00AA6D86" w:rsidP="0010052C">
      <w:r w:rsidRPr="63259912">
        <w:t>Treći</w:t>
      </w:r>
      <w:r w:rsidR="00B83818" w:rsidRPr="63259912">
        <w:t xml:space="preserve"> </w:t>
      </w:r>
      <w:r w:rsidR="00767FE8" w:rsidRPr="63259912">
        <w:t xml:space="preserve">strateški dokument </w:t>
      </w:r>
      <w:r w:rsidR="00B83818" w:rsidRPr="63259912">
        <w:t xml:space="preserve">za dimenziju dekarbonizacije </w:t>
      </w:r>
      <w:r w:rsidR="00767FE8" w:rsidRPr="63259912">
        <w:t xml:space="preserve">je </w:t>
      </w:r>
      <w:r w:rsidR="00767FE8" w:rsidRPr="63259912">
        <w:rPr>
          <w:b/>
          <w:bCs/>
        </w:rPr>
        <w:t>Strategij</w:t>
      </w:r>
      <w:r w:rsidR="00CC34F2" w:rsidRPr="63259912">
        <w:rPr>
          <w:b/>
          <w:bCs/>
        </w:rPr>
        <w:t>a</w:t>
      </w:r>
      <w:r w:rsidR="00767FE8" w:rsidRPr="63259912">
        <w:rPr>
          <w:b/>
          <w:bCs/>
        </w:rPr>
        <w:t xml:space="preserve"> niskougljičnog razvoja Republike Hrvatske za razdoblje do 2030. godine, s pogledom na 2050. godinu</w:t>
      </w:r>
      <w:r w:rsidR="00767FE8" w:rsidRPr="63259912">
        <w:t xml:space="preserve"> [</w:t>
      </w:r>
      <w:r w:rsidR="00767FE8" w:rsidRPr="00B47BDA">
        <w:fldChar w:fldCharType="begin"/>
      </w:r>
      <w:r w:rsidR="00767FE8" w:rsidRPr="00B47BDA">
        <w:instrText xml:space="preserve"> REF _Ref531599957 \r \h  \* MERGEFORMAT </w:instrText>
      </w:r>
      <w:r w:rsidR="00767FE8" w:rsidRPr="00B47BDA">
        <w:fldChar w:fldCharType="separate"/>
      </w:r>
      <w:r w:rsidR="00AD324D" w:rsidRPr="63259912">
        <w:t>5</w:t>
      </w:r>
      <w:r w:rsidR="00767FE8" w:rsidRPr="00B47BDA">
        <w:fldChar w:fldCharType="end"/>
      </w:r>
      <w:r w:rsidR="00767FE8" w:rsidRPr="63259912">
        <w:t>] (</w:t>
      </w:r>
      <w:r w:rsidR="004A032A" w:rsidRPr="63259912">
        <w:t xml:space="preserve">u </w:t>
      </w:r>
      <w:r w:rsidR="00767FE8" w:rsidRPr="63259912">
        <w:t>dalj</w:t>
      </w:r>
      <w:r w:rsidR="004A032A" w:rsidRPr="63259912">
        <w:t>nj</w:t>
      </w:r>
      <w:r w:rsidR="00767FE8" w:rsidRPr="63259912">
        <w:t>e</w:t>
      </w:r>
      <w:r w:rsidR="004A032A" w:rsidRPr="63259912">
        <w:t>m</w:t>
      </w:r>
      <w:r w:rsidR="00767FE8" w:rsidRPr="63259912">
        <w:t xml:space="preserve"> tekstu: </w:t>
      </w:r>
      <w:r w:rsidR="007510C6" w:rsidRPr="63259912">
        <w:t>Strategija niskougljičnog razvoja</w:t>
      </w:r>
      <w:r w:rsidR="00767FE8" w:rsidRPr="63259912">
        <w:t xml:space="preserve">). Izrada </w:t>
      </w:r>
      <w:r w:rsidR="007510C6" w:rsidRPr="63259912">
        <w:t xml:space="preserve">Strategije niskougljičnog razvoja </w:t>
      </w:r>
      <w:r w:rsidR="00767FE8" w:rsidRPr="63259912">
        <w:t xml:space="preserve">obveza je koja </w:t>
      </w:r>
      <w:r w:rsidR="77B10AB9" w:rsidRPr="63259912">
        <w:t>proizlazi</w:t>
      </w:r>
      <w:r w:rsidR="00767FE8" w:rsidRPr="63259912">
        <w:t xml:space="preserve"> iz </w:t>
      </w:r>
      <w:r w:rsidR="00164681" w:rsidRPr="63259912">
        <w:t>Zakon</w:t>
      </w:r>
      <w:r w:rsidR="00DA539F" w:rsidRPr="63259912">
        <w:t>a</w:t>
      </w:r>
      <w:r w:rsidR="00767FE8" w:rsidRPr="63259912">
        <w:t xml:space="preserve"> o </w:t>
      </w:r>
      <w:r w:rsidR="008647CD" w:rsidRPr="63259912">
        <w:t xml:space="preserve">klimatskim promjenama i </w:t>
      </w:r>
      <w:r w:rsidR="00767FE8" w:rsidRPr="63259912">
        <w:t xml:space="preserve">zaštiti </w:t>
      </w:r>
      <w:r w:rsidR="008647CD" w:rsidRPr="63259912">
        <w:t xml:space="preserve">ozonskog sloja </w:t>
      </w:r>
      <w:r w:rsidR="00164681" w:rsidRPr="63259912">
        <w:t>(</w:t>
      </w:r>
      <w:r w:rsidR="00124F3B" w:rsidRPr="63259912">
        <w:t>„</w:t>
      </w:r>
      <w:r w:rsidR="00071A4F" w:rsidRPr="63259912">
        <w:t xml:space="preserve">Narodne </w:t>
      </w:r>
      <w:r w:rsidR="00A97AE7" w:rsidRPr="63259912">
        <w:t>novine</w:t>
      </w:r>
      <w:r w:rsidR="00124F3B" w:rsidRPr="63259912">
        <w:t>“</w:t>
      </w:r>
      <w:r w:rsidR="00071A4F" w:rsidRPr="63259912">
        <w:t xml:space="preserve">, </w:t>
      </w:r>
      <w:r w:rsidR="00124F3B" w:rsidRPr="63259912">
        <w:t xml:space="preserve">br. </w:t>
      </w:r>
      <w:r w:rsidR="605BAE0C" w:rsidRPr="63259912">
        <w:t>127/19</w:t>
      </w:r>
      <w:r w:rsidR="00124F3B" w:rsidRPr="63259912">
        <w:t>.</w:t>
      </w:r>
      <w:r w:rsidR="0AD4F9C8" w:rsidRPr="63259912">
        <w:t>).</w:t>
      </w:r>
      <w:r w:rsidR="00767FE8" w:rsidRPr="63259912">
        <w:t xml:space="preserve"> </w:t>
      </w:r>
      <w:r w:rsidR="001F5173" w:rsidRPr="63259912">
        <w:t xml:space="preserve">Također, </w:t>
      </w:r>
      <w:r w:rsidR="00EB7B10" w:rsidRPr="63259912">
        <w:t>stra</w:t>
      </w:r>
      <w:r w:rsidR="002C448B" w:rsidRPr="63259912">
        <w:t>teški dokument značajan za područje dekarbonizacije</w:t>
      </w:r>
      <w:r w:rsidR="6BBFBB1F" w:rsidRPr="63259912">
        <w:t xml:space="preserve"> </w:t>
      </w:r>
      <w:r w:rsidR="7122F0FD" w:rsidRPr="63259912">
        <w:t>i jačanja otpornosti na klimatske promjene</w:t>
      </w:r>
      <w:r w:rsidR="002C448B" w:rsidRPr="63259912">
        <w:t xml:space="preserve"> je i Strategija </w:t>
      </w:r>
      <w:r w:rsidR="00457F2F" w:rsidRPr="63259912">
        <w:t xml:space="preserve">prostornog razvoja RH, </w:t>
      </w:r>
      <w:r w:rsidR="4C1F5B14" w:rsidRPr="63259912">
        <w:t>koj</w:t>
      </w:r>
      <w:r w:rsidR="6A028952" w:rsidRPr="63259912">
        <w:t>om</w:t>
      </w:r>
      <w:r w:rsidR="00FC79B8" w:rsidRPr="63259912">
        <w:t xml:space="preserve"> </w:t>
      </w:r>
      <w:r w:rsidR="3DD90182" w:rsidRPr="63259912">
        <w:rPr>
          <w:rFonts w:eastAsia="Calibri" w:cs="Calibri"/>
          <w:color w:val="231F20"/>
        </w:rPr>
        <w:t>se osiguravaju uvjeti za korištenje, zaštitu i upravljanje prostorom RH kao osobito vrijednim nacionalnim dobrom</w:t>
      </w:r>
      <w:r w:rsidR="3DD90182" w:rsidRPr="63259912">
        <w:rPr>
          <w:rFonts w:eastAsia="Calibri" w:cs="Calibri"/>
        </w:rPr>
        <w:t xml:space="preserve"> </w:t>
      </w:r>
      <w:r w:rsidR="001F5173" w:rsidRPr="63259912">
        <w:rPr>
          <w:rStyle w:val="FootnoteReference"/>
        </w:rPr>
        <w:footnoteReference w:id="3"/>
      </w:r>
      <w:r w:rsidR="00FC79B8" w:rsidRPr="63259912">
        <w:t xml:space="preserve">. </w:t>
      </w:r>
    </w:p>
    <w:p w14:paraId="0BDFF2C0" w14:textId="7F4F954B" w:rsidR="00767FE8" w:rsidRPr="00B47BDA" w:rsidRDefault="00767FE8" w:rsidP="0010052C">
      <w:r w:rsidRPr="63259912">
        <w:t xml:space="preserve">Jedan od ciljeva u okviru dimenzije dekarbonizacije je i prilagodba klimatskim promjenama, koju razrađuje </w:t>
      </w:r>
      <w:r w:rsidRPr="63259912">
        <w:rPr>
          <w:b/>
          <w:bCs/>
        </w:rPr>
        <w:t>Strategij</w:t>
      </w:r>
      <w:r w:rsidR="00B825A6" w:rsidRPr="63259912">
        <w:rPr>
          <w:b/>
          <w:bCs/>
        </w:rPr>
        <w:t>a</w:t>
      </w:r>
      <w:r w:rsidRPr="63259912">
        <w:rPr>
          <w:b/>
          <w:bCs/>
        </w:rPr>
        <w:t xml:space="preserve"> prilagodbe klimatskim promjenama </w:t>
      </w:r>
      <w:r w:rsidR="00545B70" w:rsidRPr="63259912">
        <w:rPr>
          <w:b/>
          <w:bCs/>
        </w:rPr>
        <w:t>u Republici Hrv</w:t>
      </w:r>
      <w:r w:rsidR="003368D1" w:rsidRPr="63259912">
        <w:rPr>
          <w:b/>
          <w:bCs/>
        </w:rPr>
        <w:t>a</w:t>
      </w:r>
      <w:r w:rsidR="00545B70" w:rsidRPr="63259912">
        <w:rPr>
          <w:b/>
          <w:bCs/>
        </w:rPr>
        <w:t>tskoj za razdoblje do 2040. godine s pogledom na 2070. godinu</w:t>
      </w:r>
      <w:r w:rsidR="00545B70" w:rsidRPr="63259912">
        <w:t xml:space="preserve"> </w:t>
      </w:r>
      <w:r w:rsidRPr="63259912">
        <w:t>s akcijskim planom</w:t>
      </w:r>
      <w:r w:rsidR="00485CF3" w:rsidRPr="63259912">
        <w:t xml:space="preserve"> (</w:t>
      </w:r>
      <w:r w:rsidR="009E3A9E" w:rsidRPr="63259912">
        <w:t xml:space="preserve">u </w:t>
      </w:r>
      <w:r w:rsidR="00485CF3" w:rsidRPr="63259912">
        <w:t>dalj</w:t>
      </w:r>
      <w:r w:rsidR="009E3A9E" w:rsidRPr="63259912">
        <w:t>nj</w:t>
      </w:r>
      <w:r w:rsidR="00485CF3" w:rsidRPr="63259912">
        <w:t>e</w:t>
      </w:r>
      <w:r w:rsidR="009E3A9E" w:rsidRPr="63259912">
        <w:t>m</w:t>
      </w:r>
      <w:r w:rsidR="00485CF3" w:rsidRPr="63259912">
        <w:t xml:space="preserve"> tekstu: Strategija pril</w:t>
      </w:r>
      <w:r w:rsidR="009E4B05" w:rsidRPr="63259912">
        <w:t>a</w:t>
      </w:r>
      <w:r w:rsidR="00485CF3" w:rsidRPr="63259912">
        <w:t>godbe</w:t>
      </w:r>
      <w:r w:rsidRPr="63259912">
        <w:t xml:space="preserve"> [</w:t>
      </w:r>
      <w:r>
        <w:fldChar w:fldCharType="begin"/>
      </w:r>
      <w:r>
        <w:instrText xml:space="preserve"> REF _Ref531802168 \r \h  \* MERGEFORMAT </w:instrText>
      </w:r>
      <w:r>
        <w:fldChar w:fldCharType="separate"/>
      </w:r>
      <w:r w:rsidR="00AD324D" w:rsidRPr="63259912">
        <w:t>6</w:t>
      </w:r>
      <w:r>
        <w:fldChar w:fldCharType="end"/>
      </w:r>
      <w:r w:rsidR="3DA748F1" w:rsidRPr="63259912">
        <w:t>]</w:t>
      </w:r>
      <w:r w:rsidR="21267255" w:rsidRPr="63259912">
        <w:t>)</w:t>
      </w:r>
      <w:r w:rsidR="2E09DAC3" w:rsidRPr="63259912">
        <w:t>, a koja</w:t>
      </w:r>
      <w:r w:rsidR="00BD4DD5" w:rsidRPr="63259912">
        <w:t xml:space="preserve"> </w:t>
      </w:r>
      <w:r w:rsidR="00013A56" w:rsidRPr="63259912">
        <w:t xml:space="preserve">predviđa </w:t>
      </w:r>
      <w:r w:rsidR="00C52E43" w:rsidRPr="63259912">
        <w:t>djelovanje u pravcu jačanja otpornosti na klimatske promjene i smanjenja rizika</w:t>
      </w:r>
      <w:r w:rsidR="5A453058" w:rsidRPr="63259912">
        <w:t xml:space="preserve"> od katastrofa potenciranih klimatskim promjenama</w:t>
      </w:r>
      <w:r w:rsidRPr="63259912">
        <w:t xml:space="preserve">. </w:t>
      </w:r>
      <w:r w:rsidR="00D57490" w:rsidRPr="63259912">
        <w:t xml:space="preserve">Strategiju prilagodbe </w:t>
      </w:r>
      <w:r w:rsidR="358FFC36" w:rsidRPr="63259912">
        <w:t xml:space="preserve">je </w:t>
      </w:r>
      <w:r w:rsidR="00D57490" w:rsidRPr="63259912">
        <w:t xml:space="preserve">Hrvatski </w:t>
      </w:r>
      <w:r w:rsidR="006966BB" w:rsidRPr="63259912">
        <w:t>sabor donio 2020. godine</w:t>
      </w:r>
      <w:r w:rsidRPr="63259912">
        <w:t>.</w:t>
      </w:r>
      <w:r w:rsidR="002009B1" w:rsidRPr="63259912">
        <w:t xml:space="preserve"> </w:t>
      </w:r>
    </w:p>
    <w:p w14:paraId="17A8E4F1" w14:textId="2FABA55F" w:rsidR="00B83818" w:rsidRPr="00B47BDA" w:rsidRDefault="00B83818" w:rsidP="0010052C">
      <w:r w:rsidRPr="63259912">
        <w:lastRenderedPageBreak/>
        <w:t xml:space="preserve">Ključan dokument za dimenziju energetske učinkovitosti je </w:t>
      </w:r>
      <w:r w:rsidR="00E2237B" w:rsidRPr="63259912">
        <w:rPr>
          <w:b/>
          <w:bCs/>
        </w:rPr>
        <w:t xml:space="preserve">Dugoročna strategija </w:t>
      </w:r>
      <w:r w:rsidR="0094204C" w:rsidRPr="63259912">
        <w:rPr>
          <w:b/>
          <w:bCs/>
        </w:rPr>
        <w:t>obnove</w:t>
      </w:r>
      <w:r w:rsidR="00E2237B" w:rsidRPr="63259912">
        <w:rPr>
          <w:b/>
          <w:bCs/>
        </w:rPr>
        <w:t xml:space="preserve"> nacionalnog fonda zgrada Republike Hrvatske do 2050. godine</w:t>
      </w:r>
      <w:r w:rsidR="0029726A" w:rsidRPr="63259912">
        <w:rPr>
          <w:b/>
          <w:bCs/>
        </w:rPr>
        <w:t xml:space="preserve"> </w:t>
      </w:r>
      <w:r w:rsidR="0029726A" w:rsidRPr="63259912">
        <w:t>[15]</w:t>
      </w:r>
      <w:r w:rsidR="0005799F" w:rsidRPr="63259912">
        <w:t xml:space="preserve">, kojom se promiče potreba ulaganja u fond zgrada. </w:t>
      </w:r>
      <w:r w:rsidR="0099104C" w:rsidRPr="63259912">
        <w:t>Dugoročnu strategiju usvojila je Vlada</w:t>
      </w:r>
      <w:r w:rsidR="0005799F" w:rsidRPr="63259912">
        <w:t xml:space="preserve"> </w:t>
      </w:r>
      <w:r w:rsidR="0D419583" w:rsidRPr="63259912">
        <w:t>R</w:t>
      </w:r>
      <w:r w:rsidR="2ED45F51" w:rsidRPr="63259912">
        <w:t xml:space="preserve">epublike </w:t>
      </w:r>
      <w:r w:rsidR="0D419583" w:rsidRPr="63259912">
        <w:t>H</w:t>
      </w:r>
      <w:r w:rsidR="5DDE9119" w:rsidRPr="63259912">
        <w:t>rvatske</w:t>
      </w:r>
      <w:r w:rsidR="0005799F" w:rsidRPr="63259912">
        <w:t xml:space="preserve"> </w:t>
      </w:r>
      <w:r w:rsidR="001F480D" w:rsidRPr="63259912">
        <w:t xml:space="preserve">u </w:t>
      </w:r>
      <w:r w:rsidR="00607FAB" w:rsidRPr="63259912">
        <w:t>prosincu</w:t>
      </w:r>
      <w:r w:rsidR="001F480D" w:rsidRPr="63259912">
        <w:t xml:space="preserve"> 2020. godine </w:t>
      </w:r>
      <w:r w:rsidR="7EFEBFD9" w:rsidRPr="63259912">
        <w:t>i</w:t>
      </w:r>
      <w:r w:rsidR="4875E6E4" w:rsidRPr="63259912">
        <w:t xml:space="preserve"> </w:t>
      </w:r>
      <w:r w:rsidR="00281F89" w:rsidRPr="63259912">
        <w:t xml:space="preserve">u njoj </w:t>
      </w:r>
      <w:r w:rsidR="432D27D2" w:rsidRPr="63259912">
        <w:t xml:space="preserve">su </w:t>
      </w:r>
      <w:r w:rsidR="00281F89" w:rsidRPr="63259912">
        <w:t>usklađeni</w:t>
      </w:r>
      <w:r w:rsidR="0005799F" w:rsidRPr="63259912">
        <w:t xml:space="preserve"> ciljevi obnove s </w:t>
      </w:r>
      <w:r w:rsidR="75E2D80C" w:rsidRPr="63259912">
        <w:t>integriranim energetskim i klimatskim planom</w:t>
      </w:r>
      <w:r w:rsidR="0005799F" w:rsidRPr="63259912">
        <w:t xml:space="preserve"> u svjetlu demografskih trendova i aktivnosti građevinskog sektora</w:t>
      </w:r>
      <w:r w:rsidR="2826F37D" w:rsidRPr="63259912">
        <w:t>.</w:t>
      </w:r>
      <w:r w:rsidR="71A77BCB" w:rsidRPr="63259912">
        <w:t xml:space="preserve"> </w:t>
      </w:r>
      <w:r w:rsidR="4E5EBC2C" w:rsidRPr="63259912">
        <w:t>Pri tome</w:t>
      </w:r>
      <w:r w:rsidR="0005799F" w:rsidRPr="63259912">
        <w:t xml:space="preserve"> su </w:t>
      </w:r>
      <w:r w:rsidR="4BD05036" w:rsidRPr="63259912">
        <w:t>uočeni</w:t>
      </w:r>
      <w:r w:rsidR="0005799F" w:rsidRPr="63259912">
        <w:t xml:space="preserve"> trendovi ubrzanog napuštanja postojećeg fonda zgrada lošijih svojstava, uz postupni rast novogradnje. </w:t>
      </w:r>
      <w:r w:rsidR="00A03573" w:rsidRPr="63259912">
        <w:t>S</w:t>
      </w:r>
      <w:r w:rsidR="0005799F" w:rsidRPr="63259912">
        <w:t xml:space="preserve">topa energetske obnove </w:t>
      </w:r>
      <w:r w:rsidR="71A77BCB" w:rsidRPr="63259912">
        <w:t>zgrad</w:t>
      </w:r>
      <w:r w:rsidR="2EA9706C" w:rsidRPr="63259912">
        <w:t>a</w:t>
      </w:r>
      <w:r w:rsidR="0005799F" w:rsidRPr="63259912">
        <w:t xml:space="preserve"> </w:t>
      </w:r>
      <w:r w:rsidR="00A03573" w:rsidRPr="63259912">
        <w:t xml:space="preserve">u razdoblju do 2020. godine </w:t>
      </w:r>
      <w:r w:rsidR="0005799F" w:rsidRPr="63259912">
        <w:t>iznosi</w:t>
      </w:r>
      <w:r w:rsidR="00A03573" w:rsidRPr="63259912">
        <w:t>la je</w:t>
      </w:r>
      <w:r w:rsidR="0005799F" w:rsidRPr="63259912">
        <w:t xml:space="preserve"> 0,7</w:t>
      </w:r>
      <w:r w:rsidR="4E63ADD9" w:rsidRPr="63259912">
        <w:t xml:space="preserve"> </w:t>
      </w:r>
      <w:r w:rsidR="0005799F" w:rsidRPr="63259912">
        <w:t xml:space="preserve">% godišnje, </w:t>
      </w:r>
      <w:r w:rsidR="00E32A79" w:rsidRPr="63259912">
        <w:t>a Strategijom je definirano</w:t>
      </w:r>
      <w:r w:rsidR="0005799F" w:rsidRPr="63259912">
        <w:t xml:space="preserve"> postupno </w:t>
      </w:r>
      <w:r w:rsidR="00E32A79" w:rsidRPr="63259912">
        <w:t xml:space="preserve">podizanje </w:t>
      </w:r>
      <w:r w:rsidR="16FE5130" w:rsidRPr="63259912">
        <w:t xml:space="preserve">te vrijednosti na 3 % </w:t>
      </w:r>
      <w:r w:rsidR="0005799F" w:rsidRPr="63259912">
        <w:t>kroz razdoblje 2021</w:t>
      </w:r>
      <w:r w:rsidR="5ED350AA" w:rsidRPr="63259912">
        <w:t>.</w:t>
      </w:r>
      <w:r w:rsidR="0005799F" w:rsidRPr="63259912">
        <w:t xml:space="preserve"> – 2030</w:t>
      </w:r>
      <w:r w:rsidR="2640B3E0" w:rsidRPr="63259912">
        <w:t>.</w:t>
      </w:r>
      <w:r w:rsidR="0005799F" w:rsidRPr="63259912">
        <w:t>, s desetogodišnjom prosječnom stopom od 1,6</w:t>
      </w:r>
      <w:r w:rsidR="15EAB94B" w:rsidRPr="63259912">
        <w:t xml:space="preserve"> </w:t>
      </w:r>
      <w:r w:rsidR="0005799F" w:rsidRPr="63259912">
        <w:t xml:space="preserve">%. Bitan element je uvođenje dodatnih mjerljivih indikatora energetske obnove </w:t>
      </w:r>
      <w:r w:rsidR="71A77BCB" w:rsidRPr="63259912">
        <w:t>zgrad</w:t>
      </w:r>
      <w:r w:rsidR="11A102F5" w:rsidRPr="63259912">
        <w:t>a</w:t>
      </w:r>
      <w:r w:rsidR="0005799F" w:rsidRPr="63259912">
        <w:t xml:space="preserve"> čime će se osnažiti proces konverzije građevinskog fonda u zgrade gotovo nulte energije</w:t>
      </w:r>
      <w:r w:rsidR="2F57AE06" w:rsidRPr="63259912">
        <w:t xml:space="preserve"> (nZEB)</w:t>
      </w:r>
      <w:r w:rsidR="0005799F" w:rsidRPr="63259912">
        <w:t xml:space="preserve"> </w:t>
      </w:r>
      <w:r w:rsidR="6E79011C" w:rsidRPr="63259912">
        <w:t xml:space="preserve">i zgrade </w:t>
      </w:r>
      <w:r w:rsidR="002735E8" w:rsidRPr="63259912">
        <w:t>s nultim emisijama</w:t>
      </w:r>
      <w:r w:rsidR="71A77BCB" w:rsidRPr="63259912">
        <w:t xml:space="preserve"> </w:t>
      </w:r>
      <w:r w:rsidR="37822025" w:rsidRPr="63259912">
        <w:t>(</w:t>
      </w:r>
      <w:r w:rsidR="008529DB" w:rsidRPr="63259912">
        <w:t>ugljično</w:t>
      </w:r>
      <w:r w:rsidR="0005799F" w:rsidRPr="63259912">
        <w:t xml:space="preserve"> neutralne</w:t>
      </w:r>
      <w:r w:rsidR="24C01543" w:rsidRPr="63259912">
        <w:t xml:space="preserve"> zgrade</w:t>
      </w:r>
      <w:r w:rsidR="2B362A6F" w:rsidRPr="63259912">
        <w:t>)</w:t>
      </w:r>
      <w:r w:rsidR="71A77BCB" w:rsidRPr="63259912">
        <w:t>.</w:t>
      </w:r>
    </w:p>
    <w:p w14:paraId="29705E6F" w14:textId="4E893F01" w:rsidR="00767FE8" w:rsidRPr="00B47BDA" w:rsidRDefault="00767FE8" w:rsidP="0010052C">
      <w:r w:rsidRPr="00B47BDA">
        <w:t>Dimenzije energetsk</w:t>
      </w:r>
      <w:r w:rsidR="508061C9">
        <w:t>e</w:t>
      </w:r>
      <w:r w:rsidR="7DF2C174">
        <w:t xml:space="preserve"> sigurnost</w:t>
      </w:r>
      <w:r w:rsidR="32EA6E93">
        <w:t>i</w:t>
      </w:r>
      <w:r w:rsidRPr="00B47BDA">
        <w:t xml:space="preserve"> i </w:t>
      </w:r>
      <w:r w:rsidR="7DF2C174">
        <w:t>unutarnje</w:t>
      </w:r>
      <w:r w:rsidR="794A7659">
        <w:t>g</w:t>
      </w:r>
      <w:r w:rsidR="7DF2C174">
        <w:t xml:space="preserve"> energetsko</w:t>
      </w:r>
      <w:r w:rsidR="5973639B">
        <w:t>g</w:t>
      </w:r>
      <w:r w:rsidR="7DF2C174">
        <w:t xml:space="preserve"> tržišt</w:t>
      </w:r>
      <w:r w:rsidR="2B90E869">
        <w:t>a</w:t>
      </w:r>
      <w:r w:rsidRPr="00B47BDA">
        <w:t xml:space="preserve"> </w:t>
      </w:r>
      <w:r w:rsidR="00353BFC" w:rsidRPr="00B47BDA">
        <w:t xml:space="preserve">obrađene su u okviru </w:t>
      </w:r>
      <w:r w:rsidR="002316A3" w:rsidRPr="00B47BDA">
        <w:t>Strategije energetskog razvoja</w:t>
      </w:r>
      <w:r w:rsidRPr="00B47BDA">
        <w:t>.</w:t>
      </w:r>
    </w:p>
    <w:p w14:paraId="74DE2C16" w14:textId="6E3D93B8" w:rsidR="000C55C1" w:rsidRPr="00B47BDA" w:rsidRDefault="000C55C1" w:rsidP="0010052C">
      <w:r w:rsidRPr="00B47BDA">
        <w:t>Nacionalne strategije koje su relevantne za dimenziju istraživanj</w:t>
      </w:r>
      <w:r w:rsidR="6ABD2C8B">
        <w:t>a</w:t>
      </w:r>
      <w:r w:rsidR="153D7C46">
        <w:t>, inovacij</w:t>
      </w:r>
      <w:r w:rsidR="653A3A08">
        <w:t>a</w:t>
      </w:r>
      <w:r w:rsidR="153D7C46">
        <w:t xml:space="preserve"> i konkurentnost</w:t>
      </w:r>
      <w:r w:rsidR="3AEDD7AD">
        <w:t>i</w:t>
      </w:r>
      <w:r w:rsidRPr="00B47BDA">
        <w:t xml:space="preserve"> su</w:t>
      </w:r>
      <w:r w:rsidR="00791A49" w:rsidRPr="00B47BDA">
        <w:t xml:space="preserve"> Strategija obrazovanja, znanosti i tehnologije [</w:t>
      </w:r>
      <w:r w:rsidR="00527BAF" w:rsidRPr="00B47BDA">
        <w:fldChar w:fldCharType="begin"/>
      </w:r>
      <w:r w:rsidR="00527BAF" w:rsidRPr="00B47BDA">
        <w:instrText xml:space="preserve"> REF _Ref533752217 \r \h </w:instrText>
      </w:r>
      <w:r w:rsidR="006B010E" w:rsidRPr="00B47BDA">
        <w:instrText xml:space="preserve"> \* MERGEFORMAT </w:instrText>
      </w:r>
      <w:r w:rsidR="00527BAF" w:rsidRPr="00B47BDA">
        <w:fldChar w:fldCharType="separate"/>
      </w:r>
      <w:r w:rsidR="00AD324D">
        <w:t>7</w:t>
      </w:r>
      <w:r w:rsidR="00527BAF" w:rsidRPr="00B47BDA">
        <w:fldChar w:fldCharType="end"/>
      </w:r>
      <w:r w:rsidR="00791A49" w:rsidRPr="00B47BDA">
        <w:t>]</w:t>
      </w:r>
      <w:r w:rsidR="000A18F0" w:rsidRPr="00B47BDA">
        <w:t xml:space="preserve"> i</w:t>
      </w:r>
      <w:r w:rsidRPr="00B47BDA">
        <w:t xml:space="preserve"> Strategija pametne specijalizacije </w:t>
      </w:r>
      <w:r w:rsidR="00ED2D3D" w:rsidRPr="00B47BDA">
        <w:t>do 2029</w:t>
      </w:r>
      <w:r w:rsidRPr="00B47BDA">
        <w:t>.</w:t>
      </w:r>
      <w:r w:rsidR="00CE0505" w:rsidRPr="00B47BDA">
        <w:t xml:space="preserve"> godine</w:t>
      </w:r>
      <w:r w:rsidRPr="00B47BDA">
        <w:t xml:space="preserve"> </w:t>
      </w:r>
      <w:r w:rsidR="30F55685">
        <w:t>usv</w:t>
      </w:r>
      <w:r w:rsidR="37C8739C">
        <w:t xml:space="preserve">ojena </w:t>
      </w:r>
      <w:r w:rsidR="06FE3BDC">
        <w:t>krajem</w:t>
      </w:r>
      <w:r w:rsidR="00141941" w:rsidRPr="00141941">
        <w:t xml:space="preserve"> 2023</w:t>
      </w:r>
      <w:r w:rsidR="680E93AD">
        <w:t>. godine</w:t>
      </w:r>
      <w:r w:rsidRPr="00B47BDA">
        <w:t xml:space="preserve"> </w:t>
      </w:r>
      <w:r w:rsidR="006639F2" w:rsidRPr="00B47BDA">
        <w:t>[</w:t>
      </w:r>
      <w:r w:rsidR="00455DE5" w:rsidRPr="00B47BDA">
        <w:fldChar w:fldCharType="begin"/>
      </w:r>
      <w:r w:rsidR="00455DE5" w:rsidRPr="00B47BDA">
        <w:instrText xml:space="preserve"> REF _Ref531600731 \r \h </w:instrText>
      </w:r>
      <w:r w:rsidR="0090031F" w:rsidRPr="00B47BDA">
        <w:instrText xml:space="preserve"> \* MERGEFORMAT </w:instrText>
      </w:r>
      <w:r w:rsidR="00455DE5" w:rsidRPr="00B47BDA">
        <w:fldChar w:fldCharType="separate"/>
      </w:r>
      <w:r w:rsidR="00AD324D">
        <w:t>8</w:t>
      </w:r>
      <w:r w:rsidR="00455DE5" w:rsidRPr="00B47BDA">
        <w:fldChar w:fldCharType="end"/>
      </w:r>
      <w:r w:rsidR="006639F2" w:rsidRPr="00B47BDA">
        <w:t>]</w:t>
      </w:r>
      <w:r w:rsidR="006244CC" w:rsidRPr="00B47BDA">
        <w:t xml:space="preserve">. </w:t>
      </w:r>
      <w:r w:rsidR="00386698" w:rsidRPr="00B47BDA">
        <w:t>Nastavno na te strategije, u</w:t>
      </w:r>
      <w:r w:rsidRPr="00B47BDA">
        <w:t xml:space="preserve"> ovom </w:t>
      </w:r>
      <w:r w:rsidR="58340167">
        <w:t>I</w:t>
      </w:r>
      <w:r w:rsidR="0A3E4A14">
        <w:t xml:space="preserve">ntegriranom energetskom i klimatskom planu </w:t>
      </w:r>
      <w:r w:rsidRPr="00B47BDA">
        <w:t>su istaknute i sistematizirane mjere za koje se očekuj</w:t>
      </w:r>
      <w:r w:rsidR="00077080" w:rsidRPr="00B47BDA">
        <w:t>e</w:t>
      </w:r>
      <w:r w:rsidRPr="00B47BDA">
        <w:t xml:space="preserve"> da </w:t>
      </w:r>
      <w:r w:rsidR="00077080" w:rsidRPr="00B47BDA">
        <w:t xml:space="preserve">će </w:t>
      </w:r>
      <w:r w:rsidRPr="00B47BDA">
        <w:t>doprinijeti istraživanju, inovacijama i konkurentnosti hrvatskog gospodarstva u sektorima relevant</w:t>
      </w:r>
      <w:r w:rsidR="00F947B4" w:rsidRPr="00B47BDA">
        <w:t>n</w:t>
      </w:r>
      <w:r w:rsidRPr="00B47BDA">
        <w:t>ima za energetsku tranziciju.</w:t>
      </w:r>
    </w:p>
    <w:p w14:paraId="545AE06B" w14:textId="194330BC" w:rsidR="007202FF" w:rsidRPr="00B47BDA" w:rsidRDefault="007202FF" w:rsidP="005309C0">
      <w:pPr>
        <w:pStyle w:val="Heading4"/>
        <w:numPr>
          <w:ilvl w:val="3"/>
          <w:numId w:val="175"/>
        </w:numPr>
        <w:ind w:hanging="580"/>
      </w:pPr>
      <w:bookmarkStart w:id="19" w:name="_Toc531934946"/>
      <w:bookmarkStart w:id="20" w:name="_Toc531945072"/>
      <w:bookmarkStart w:id="21" w:name="_Toc6302328"/>
      <w:r w:rsidRPr="00B47BDA">
        <w:t>Tablični prikaz ključnih ciljeva</w:t>
      </w:r>
      <w:r w:rsidR="005309C0">
        <w:t xml:space="preserve"> i </w:t>
      </w:r>
      <w:r w:rsidRPr="00B47BDA">
        <w:t>politika</w:t>
      </w:r>
    </w:p>
    <w:bookmarkEnd w:id="19"/>
    <w:bookmarkEnd w:id="20"/>
    <w:bookmarkEnd w:id="21"/>
    <w:p w14:paraId="36C837F7" w14:textId="4191905B" w:rsidR="000A11E8" w:rsidRPr="00B47BDA" w:rsidRDefault="000A11E8" w:rsidP="0010052C">
      <w:r w:rsidRPr="00B47BDA">
        <w:t>Ključni ciljevi prikazani u Integriranom energetskom i klimatskom planu su</w:t>
      </w:r>
      <w:r w:rsidR="6C83320D">
        <w:t>:</w:t>
      </w:r>
      <w:r w:rsidRPr="00B47BDA">
        <w:t xml:space="preserve"> smanjenj</w:t>
      </w:r>
      <w:r w:rsidR="00E41754" w:rsidRPr="00B47BDA">
        <w:t>e</w:t>
      </w:r>
      <w:r w:rsidRPr="00B47BDA">
        <w:t xml:space="preserve"> emisija stakleničkih plinova </w:t>
      </w:r>
      <w:r w:rsidR="0B69A82E">
        <w:t>u Republici Hrvatskoj</w:t>
      </w:r>
      <w:r w:rsidRPr="00B47BDA">
        <w:t xml:space="preserve"> </w:t>
      </w:r>
      <w:r w:rsidR="64FF2B8C">
        <w:t>do</w:t>
      </w:r>
      <w:r w:rsidR="7B838F8F">
        <w:t xml:space="preserve"> </w:t>
      </w:r>
      <w:r w:rsidRPr="00B47BDA">
        <w:t xml:space="preserve">2030. </w:t>
      </w:r>
      <w:r w:rsidR="7B838F8F">
        <w:t>godin</w:t>
      </w:r>
      <w:r w:rsidR="4893A99F">
        <w:t>e</w:t>
      </w:r>
      <w:r w:rsidRPr="00B47BDA">
        <w:t>,</w:t>
      </w:r>
      <w:r w:rsidR="00E41754" w:rsidRPr="00B47BDA">
        <w:t xml:space="preserve"> povećanje</w:t>
      </w:r>
      <w:r w:rsidRPr="00B47BDA">
        <w:t xml:space="preserve"> ud</w:t>
      </w:r>
      <w:r w:rsidR="00E41754" w:rsidRPr="00B47BDA">
        <w:t>jela</w:t>
      </w:r>
      <w:r w:rsidRPr="00B47BDA">
        <w:t xml:space="preserve"> </w:t>
      </w:r>
      <w:r w:rsidR="4B220C4C">
        <w:t>obnovljivih izvora energije (</w:t>
      </w:r>
      <w:r w:rsidRPr="00B47BDA">
        <w:t>OIE</w:t>
      </w:r>
      <w:r w:rsidR="5F803011">
        <w:t>)</w:t>
      </w:r>
      <w:r w:rsidRPr="00B47BDA">
        <w:t xml:space="preserve"> u bruto neposrednoj potrošnji energije </w:t>
      </w:r>
      <w:r w:rsidR="638ADBDB">
        <w:t>i</w:t>
      </w:r>
      <w:r w:rsidR="00E41754" w:rsidRPr="00B47BDA">
        <w:t xml:space="preserve"> povećanje </w:t>
      </w:r>
      <w:r w:rsidRPr="00B47BDA">
        <w:t>energetsk</w:t>
      </w:r>
      <w:r w:rsidR="00E41754" w:rsidRPr="00B47BDA">
        <w:t>e</w:t>
      </w:r>
      <w:r w:rsidRPr="00B47BDA">
        <w:t xml:space="preserve"> učinkovitost</w:t>
      </w:r>
      <w:r w:rsidR="00E41754" w:rsidRPr="00B47BDA">
        <w:t>i</w:t>
      </w:r>
      <w:r w:rsidR="00EB1599" w:rsidRPr="00B47BDA">
        <w:t xml:space="preserve"> iskazan</w:t>
      </w:r>
      <w:r w:rsidR="797B01F0">
        <w:t>ih</w:t>
      </w:r>
      <w:r w:rsidR="00EB1599" w:rsidRPr="00B47BDA">
        <w:t xml:space="preserve"> kao p</w:t>
      </w:r>
      <w:r w:rsidRPr="00B47BDA">
        <w:t xml:space="preserve">otrošnja primarne energije i </w:t>
      </w:r>
      <w:r w:rsidR="00EB1599" w:rsidRPr="00B47BDA">
        <w:t>n</w:t>
      </w:r>
      <w:r w:rsidRPr="00B47BDA">
        <w:t>eposredna potrošnja energije.</w:t>
      </w:r>
    </w:p>
    <w:p w14:paraId="02B1DAFD" w14:textId="2049AB49" w:rsidR="00502EE4" w:rsidRPr="00914098" w:rsidRDefault="00E36E50" w:rsidP="004A7CAC">
      <w:pPr>
        <w:rPr>
          <w:rFonts w:asciiTheme="minorHAnsi" w:hAnsiTheme="minorHAnsi" w:cstheme="minorBidi"/>
        </w:rPr>
      </w:pPr>
      <w:r w:rsidRPr="003673B6">
        <w:rPr>
          <w:rFonts w:asciiTheme="minorHAnsi" w:hAnsiTheme="minorHAnsi" w:cstheme="minorBidi"/>
        </w:rPr>
        <w:t xml:space="preserve">Cilj smanjenja emisija stakleničkih plinova </w:t>
      </w:r>
      <w:r w:rsidR="6138F764" w:rsidRPr="692C9CAC">
        <w:rPr>
          <w:rFonts w:asciiTheme="minorHAnsi" w:hAnsiTheme="minorHAnsi" w:cstheme="minorBidi"/>
        </w:rPr>
        <w:t>u</w:t>
      </w:r>
      <w:r w:rsidR="476B0163" w:rsidRPr="003673B6">
        <w:rPr>
          <w:rFonts w:asciiTheme="minorHAnsi" w:hAnsiTheme="minorHAnsi" w:cstheme="minorBidi"/>
        </w:rPr>
        <w:t xml:space="preserve"> Republi</w:t>
      </w:r>
      <w:r w:rsidR="17744BF4" w:rsidRPr="692C9CAC">
        <w:rPr>
          <w:rFonts w:asciiTheme="minorHAnsi" w:hAnsiTheme="minorHAnsi" w:cstheme="minorBidi"/>
        </w:rPr>
        <w:t>ci</w:t>
      </w:r>
      <w:r w:rsidR="476B0163" w:rsidRPr="003673B6">
        <w:rPr>
          <w:rFonts w:asciiTheme="minorHAnsi" w:hAnsiTheme="minorHAnsi" w:cstheme="minorBidi"/>
        </w:rPr>
        <w:t xml:space="preserve"> Hrvatsk</w:t>
      </w:r>
      <w:r w:rsidR="78C62813" w:rsidRPr="692C9CAC">
        <w:rPr>
          <w:rFonts w:asciiTheme="minorHAnsi" w:hAnsiTheme="minorHAnsi" w:cstheme="minorBidi"/>
        </w:rPr>
        <w:t>oj</w:t>
      </w:r>
      <w:r w:rsidR="476B0163" w:rsidRPr="003673B6">
        <w:rPr>
          <w:rFonts w:asciiTheme="minorHAnsi" w:hAnsiTheme="minorHAnsi" w:cstheme="minorBidi"/>
        </w:rPr>
        <w:t xml:space="preserve"> </w:t>
      </w:r>
      <w:r w:rsidR="17F6B2D3" w:rsidRPr="692C9CAC">
        <w:rPr>
          <w:rFonts w:asciiTheme="minorHAnsi" w:hAnsiTheme="minorHAnsi" w:cstheme="minorBidi"/>
        </w:rPr>
        <w:t>do</w:t>
      </w:r>
      <w:r w:rsidRPr="003673B6">
        <w:rPr>
          <w:rFonts w:asciiTheme="minorHAnsi" w:hAnsiTheme="minorHAnsi" w:cstheme="minorBidi"/>
        </w:rPr>
        <w:t xml:space="preserve"> 2030. </w:t>
      </w:r>
      <w:r w:rsidR="476B0163" w:rsidRPr="003673B6">
        <w:rPr>
          <w:rFonts w:asciiTheme="minorHAnsi" w:hAnsiTheme="minorHAnsi" w:cstheme="minorBidi"/>
        </w:rPr>
        <w:t>godin</w:t>
      </w:r>
      <w:r w:rsidR="5105B30A" w:rsidRPr="692C9CAC">
        <w:rPr>
          <w:rFonts w:asciiTheme="minorHAnsi" w:hAnsiTheme="minorHAnsi" w:cstheme="minorBidi"/>
        </w:rPr>
        <w:t>e</w:t>
      </w:r>
      <w:r w:rsidR="476B0163" w:rsidRPr="003673B6">
        <w:rPr>
          <w:rFonts w:asciiTheme="minorHAnsi" w:hAnsiTheme="minorHAnsi" w:cstheme="minorBidi"/>
        </w:rPr>
        <w:t xml:space="preserve"> </w:t>
      </w:r>
      <w:r w:rsidR="788730CC" w:rsidRPr="692C9CAC">
        <w:rPr>
          <w:rFonts w:asciiTheme="minorHAnsi" w:hAnsiTheme="minorHAnsi" w:cstheme="minorBidi"/>
        </w:rPr>
        <w:t>utvrđen</w:t>
      </w:r>
      <w:r w:rsidRPr="003673B6">
        <w:rPr>
          <w:rFonts w:asciiTheme="minorHAnsi" w:hAnsiTheme="minorHAnsi" w:cstheme="minorBidi"/>
        </w:rPr>
        <w:t xml:space="preserve"> je </w:t>
      </w:r>
      <w:r w:rsidR="001F6EEB" w:rsidRPr="001F6EEB">
        <w:rPr>
          <w:rFonts w:asciiTheme="minorHAnsi" w:hAnsiTheme="minorHAnsi" w:cstheme="minorBidi"/>
        </w:rPr>
        <w:t>Direktiv</w:t>
      </w:r>
      <w:r w:rsidR="001F6EEB">
        <w:rPr>
          <w:rFonts w:asciiTheme="minorHAnsi" w:hAnsiTheme="minorHAnsi" w:cstheme="minorBidi"/>
        </w:rPr>
        <w:t>om</w:t>
      </w:r>
      <w:r w:rsidR="001F6EEB" w:rsidRPr="001F6EEB">
        <w:rPr>
          <w:rFonts w:asciiTheme="minorHAnsi" w:hAnsiTheme="minorHAnsi" w:cstheme="minorBidi"/>
        </w:rPr>
        <w:t xml:space="preserve"> (EU) 2023/959 Europskog parlamenta i Vijeća od 10. svibnja 2023. o izmjeni Direktive 2003/87/EZ o uspostavi sustava trgovanja emisijskim jedinicama stakleničkih plinova unutar Unije i Odluke (EU) 2015/1814 o uspostavi i funkcioniranju rezerve za stabilnost tržišta za sustav trgovanja emisijama stakleničkih plinova Unije </w:t>
      </w:r>
      <w:r w:rsidR="006E233C">
        <w:rPr>
          <w:rFonts w:asciiTheme="minorHAnsi" w:hAnsiTheme="minorHAnsi" w:cstheme="minorBidi"/>
        </w:rPr>
        <w:t xml:space="preserve"> i </w:t>
      </w:r>
      <w:r w:rsidR="004A7CAC" w:rsidRPr="004A7CAC">
        <w:rPr>
          <w:rFonts w:asciiTheme="minorHAnsi" w:hAnsiTheme="minorHAnsi" w:cstheme="minorBidi"/>
        </w:rPr>
        <w:t>Uredb</w:t>
      </w:r>
      <w:r w:rsidR="004A7CAC">
        <w:rPr>
          <w:rFonts w:asciiTheme="minorHAnsi" w:hAnsiTheme="minorHAnsi" w:cstheme="minorBidi"/>
        </w:rPr>
        <w:t>om</w:t>
      </w:r>
      <w:r w:rsidR="004A7CAC" w:rsidRPr="004A7CAC">
        <w:rPr>
          <w:rFonts w:asciiTheme="minorHAnsi" w:hAnsiTheme="minorHAnsi" w:cstheme="minorBidi"/>
        </w:rPr>
        <w:t xml:space="preserve"> (EU) 2018/842 Europskog parlamenta i Vijeća od 30. svibnja 2018. o obvezujućem godišnjem smanjenju emisija stakleničkih plinova u državama članicama od 2021. do 2030. kojim se doprinosi mjerama u području klime za ispunjenje obveza u okviru Pariškog sporazuma i izmjeni Uredbe (EU) br. 525/2013</w:t>
      </w:r>
      <w:r w:rsidR="00906DC5">
        <w:rPr>
          <w:rFonts w:asciiTheme="minorHAnsi" w:hAnsiTheme="minorHAnsi" w:cstheme="minorBidi"/>
        </w:rPr>
        <w:t xml:space="preserve"> </w:t>
      </w:r>
      <w:r w:rsidR="00906DC5" w:rsidRPr="005A6F2E">
        <w:rPr>
          <w:rFonts w:asciiTheme="minorHAnsi" w:hAnsiTheme="minorHAnsi" w:cstheme="minorBidi"/>
        </w:rPr>
        <w:t xml:space="preserve">(Tekst značajan za EGP) </w:t>
      </w:r>
      <w:r w:rsidR="00CB1B91">
        <w:rPr>
          <w:rFonts w:asciiTheme="minorHAnsi" w:hAnsiTheme="minorHAnsi" w:cstheme="minorBidi"/>
        </w:rPr>
        <w:t>(SL</w:t>
      </w:r>
      <w:r w:rsidR="00CB1B91" w:rsidRPr="00CC4E1A">
        <w:rPr>
          <w:rFonts w:asciiTheme="minorHAnsi" w:hAnsiTheme="minorHAnsi" w:cstheme="minorBidi"/>
        </w:rPr>
        <w:t xml:space="preserve"> L 156, 19. </w:t>
      </w:r>
      <w:r w:rsidR="00CB1B91">
        <w:rPr>
          <w:rFonts w:asciiTheme="minorHAnsi" w:hAnsiTheme="minorHAnsi" w:cstheme="minorBidi"/>
        </w:rPr>
        <w:t>6.</w:t>
      </w:r>
      <w:r w:rsidR="00CB1B91" w:rsidRPr="00CC4E1A">
        <w:rPr>
          <w:rFonts w:asciiTheme="minorHAnsi" w:hAnsiTheme="minorHAnsi" w:cstheme="minorBidi"/>
        </w:rPr>
        <w:t>2018</w:t>
      </w:r>
      <w:r w:rsidR="00CF4989">
        <w:rPr>
          <w:rFonts w:asciiTheme="minorHAnsi" w:hAnsiTheme="minorHAnsi" w:cstheme="minorBidi"/>
        </w:rPr>
        <w:t>.</w:t>
      </w:r>
      <w:r w:rsidR="00CB1B91">
        <w:rPr>
          <w:rFonts w:asciiTheme="minorHAnsi" w:hAnsiTheme="minorHAnsi" w:cstheme="minorBidi"/>
        </w:rPr>
        <w:t xml:space="preserve">) </w:t>
      </w:r>
      <w:r w:rsidRPr="003673B6">
        <w:rPr>
          <w:rFonts w:asciiTheme="minorHAnsi" w:hAnsiTheme="minorHAnsi" w:cstheme="minorBidi"/>
        </w:rPr>
        <w:t xml:space="preserve">zasebno za </w:t>
      </w:r>
      <w:r w:rsidR="00547A23" w:rsidRPr="003673B6">
        <w:rPr>
          <w:rFonts w:asciiTheme="minorHAnsi" w:hAnsiTheme="minorHAnsi" w:cstheme="minorBidi"/>
        </w:rPr>
        <w:t xml:space="preserve">sudionike </w:t>
      </w:r>
      <w:r w:rsidR="1C01E1A5" w:rsidRPr="003673B6">
        <w:rPr>
          <w:rFonts w:asciiTheme="minorHAnsi" w:hAnsiTheme="minorHAnsi" w:cstheme="minorBidi"/>
        </w:rPr>
        <w:t xml:space="preserve">EU </w:t>
      </w:r>
      <w:r w:rsidR="00D44F38" w:rsidRPr="003673B6">
        <w:rPr>
          <w:rFonts w:asciiTheme="minorHAnsi" w:hAnsiTheme="minorHAnsi" w:cstheme="minorBidi"/>
        </w:rPr>
        <w:t xml:space="preserve">sustava </w:t>
      </w:r>
      <w:r w:rsidRPr="003673B6">
        <w:rPr>
          <w:rFonts w:asciiTheme="minorHAnsi" w:hAnsiTheme="minorHAnsi" w:cstheme="minorBidi"/>
        </w:rPr>
        <w:t>trgovanj</w:t>
      </w:r>
      <w:r w:rsidR="00D44F38" w:rsidRPr="003673B6">
        <w:rPr>
          <w:rFonts w:asciiTheme="minorHAnsi" w:hAnsiTheme="minorHAnsi" w:cstheme="minorBidi"/>
        </w:rPr>
        <w:t>a</w:t>
      </w:r>
      <w:r w:rsidRPr="003673B6">
        <w:rPr>
          <w:rFonts w:asciiTheme="minorHAnsi" w:hAnsiTheme="minorHAnsi" w:cstheme="minorBidi"/>
        </w:rPr>
        <w:t xml:space="preserve"> emisijskim jedinicama</w:t>
      </w:r>
      <w:r w:rsidR="00D44F38" w:rsidRPr="003673B6">
        <w:rPr>
          <w:rFonts w:asciiTheme="minorHAnsi" w:hAnsiTheme="minorHAnsi" w:cstheme="minorBidi"/>
        </w:rPr>
        <w:t xml:space="preserve"> (</w:t>
      </w:r>
      <w:r w:rsidR="6436B5DB" w:rsidRPr="692C9CAC">
        <w:rPr>
          <w:rFonts w:asciiTheme="minorHAnsi" w:hAnsiTheme="minorHAnsi" w:cstheme="minorBidi"/>
        </w:rPr>
        <w:t xml:space="preserve">sektori u EU </w:t>
      </w:r>
      <w:r w:rsidR="00D44F38" w:rsidRPr="003673B6">
        <w:rPr>
          <w:rFonts w:asciiTheme="minorHAnsi" w:hAnsiTheme="minorHAnsi" w:cstheme="minorBidi"/>
        </w:rPr>
        <w:t>ETS</w:t>
      </w:r>
      <w:r w:rsidR="64D4EF42" w:rsidRPr="692C9CAC">
        <w:rPr>
          <w:rFonts w:asciiTheme="minorHAnsi" w:hAnsiTheme="minorHAnsi" w:cstheme="minorBidi"/>
        </w:rPr>
        <w:t>-u</w:t>
      </w:r>
      <w:r w:rsidR="00D44F38" w:rsidRPr="003673B6">
        <w:rPr>
          <w:rFonts w:asciiTheme="minorHAnsi" w:hAnsiTheme="minorHAnsi" w:cstheme="minorBidi"/>
        </w:rPr>
        <w:t>)</w:t>
      </w:r>
      <w:r w:rsidRPr="003673B6">
        <w:rPr>
          <w:rFonts w:asciiTheme="minorHAnsi" w:hAnsiTheme="minorHAnsi" w:cstheme="minorBidi"/>
        </w:rPr>
        <w:t xml:space="preserve"> i za sektore koji ne sudjeluju u trgovanju</w:t>
      </w:r>
      <w:r w:rsidR="00D44F38" w:rsidRPr="692C9CAC">
        <w:rPr>
          <w:rFonts w:asciiTheme="minorHAnsi" w:hAnsiTheme="minorHAnsi" w:cstheme="minorBidi"/>
        </w:rPr>
        <w:t xml:space="preserve"> </w:t>
      </w:r>
      <w:r w:rsidR="27A4EEEB" w:rsidRPr="692C9CAC">
        <w:rPr>
          <w:rFonts w:asciiTheme="minorHAnsi" w:hAnsiTheme="minorHAnsi" w:cstheme="minorBidi"/>
        </w:rPr>
        <w:t>emisijskim jedinicama</w:t>
      </w:r>
      <w:r w:rsidR="00D44F38" w:rsidRPr="003673B6">
        <w:rPr>
          <w:rFonts w:asciiTheme="minorHAnsi" w:hAnsiTheme="minorHAnsi" w:cstheme="minorBidi"/>
        </w:rPr>
        <w:t xml:space="preserve"> (sektori</w:t>
      </w:r>
      <w:r w:rsidR="002C24A7" w:rsidRPr="003673B6">
        <w:rPr>
          <w:rFonts w:asciiTheme="minorHAnsi" w:hAnsiTheme="minorHAnsi" w:cstheme="minorBidi"/>
        </w:rPr>
        <w:t xml:space="preserve"> izvan </w:t>
      </w:r>
      <w:r w:rsidR="78C775BA" w:rsidRPr="692C9CAC">
        <w:rPr>
          <w:rFonts w:asciiTheme="minorHAnsi" w:hAnsiTheme="minorHAnsi" w:cstheme="minorBidi"/>
        </w:rPr>
        <w:t xml:space="preserve">EU </w:t>
      </w:r>
      <w:r w:rsidR="002C24A7" w:rsidRPr="003673B6">
        <w:rPr>
          <w:rFonts w:asciiTheme="minorHAnsi" w:hAnsiTheme="minorHAnsi" w:cstheme="minorBidi"/>
        </w:rPr>
        <w:t>ETS-a</w:t>
      </w:r>
      <w:r w:rsidR="00D44F38" w:rsidRPr="003673B6">
        <w:rPr>
          <w:rFonts w:asciiTheme="minorHAnsi" w:hAnsiTheme="minorHAnsi" w:cstheme="minorBidi"/>
        </w:rPr>
        <w:t>)</w:t>
      </w:r>
      <w:r w:rsidRPr="003673B6">
        <w:rPr>
          <w:rFonts w:asciiTheme="minorHAnsi" w:hAnsiTheme="minorHAnsi" w:cstheme="minorBidi"/>
        </w:rPr>
        <w:t xml:space="preserve">. </w:t>
      </w:r>
      <w:r w:rsidR="72D6C422" w:rsidRPr="692C9CAC">
        <w:rPr>
          <w:rFonts w:asciiTheme="minorHAnsi" w:hAnsiTheme="minorHAnsi" w:cstheme="minorBidi"/>
        </w:rPr>
        <w:t>Ciljevi smanjenja emisija stakleničkih plinova prikazani su u</w:t>
      </w:r>
      <w:r w:rsidRPr="003673B6">
        <w:rPr>
          <w:rFonts w:asciiTheme="minorHAnsi" w:hAnsiTheme="minorHAnsi" w:cstheme="minorBidi"/>
        </w:rPr>
        <w:t xml:space="preserve"> </w:t>
      </w:r>
      <w:r w:rsidR="2E8868FC" w:rsidRPr="692C9CAC">
        <w:rPr>
          <w:rFonts w:asciiTheme="minorHAnsi" w:hAnsiTheme="minorHAnsi" w:cstheme="minorBidi"/>
        </w:rPr>
        <w:t>T</w:t>
      </w:r>
      <w:r w:rsidR="72865A31" w:rsidRPr="003673B6">
        <w:rPr>
          <w:rFonts w:asciiTheme="minorHAnsi" w:hAnsiTheme="minorHAnsi" w:cstheme="minorBidi"/>
        </w:rPr>
        <w:t>ablic</w:t>
      </w:r>
      <w:r w:rsidR="64B36634" w:rsidRPr="692C9CAC">
        <w:rPr>
          <w:rFonts w:asciiTheme="minorHAnsi" w:hAnsiTheme="minorHAnsi" w:cstheme="minorBidi"/>
        </w:rPr>
        <w:t>i</w:t>
      </w:r>
      <w:r w:rsidR="008C18A9" w:rsidRPr="003673B6">
        <w:rPr>
          <w:rFonts w:asciiTheme="minorHAnsi" w:hAnsiTheme="minorHAnsi" w:cstheme="minorBidi"/>
        </w:rPr>
        <w:t xml:space="preserve"> </w:t>
      </w:r>
      <w:r w:rsidRPr="00B47BDA">
        <w:fldChar w:fldCharType="begin"/>
      </w:r>
      <w:r w:rsidRPr="00B47BDA">
        <w:instrText xml:space="preserve"> REF _Ref531506675 \h </w:instrText>
      </w:r>
      <w:r w:rsidR="006B010E" w:rsidRPr="00B47BDA">
        <w:instrText xml:space="preserve"> \* MERGEFORMAT </w:instrText>
      </w:r>
      <w:r w:rsidRPr="00B47BDA">
        <w:fldChar w:fldCharType="separate"/>
      </w:r>
      <w:r w:rsidR="00AD324D">
        <w:t>1</w:t>
      </w:r>
      <w:r w:rsidR="00AD324D" w:rsidRPr="00BD786C">
        <w:noBreakHyphen/>
      </w:r>
      <w:r w:rsidR="00AD324D">
        <w:t>1</w:t>
      </w:r>
      <w:r w:rsidR="00AD324D" w:rsidRPr="00BD786C">
        <w:t>.</w:t>
      </w:r>
      <w:r w:rsidRPr="00B47BDA">
        <w:fldChar w:fldCharType="end"/>
      </w:r>
    </w:p>
    <w:p w14:paraId="74F2B70B" w14:textId="0559C90B" w:rsidR="00E36E50" w:rsidRPr="00B47BDA" w:rsidRDefault="00E36E50" w:rsidP="00576C31">
      <w:pPr>
        <w:pStyle w:val="Caption"/>
        <w:keepNext/>
      </w:pPr>
      <w:bookmarkStart w:id="22" w:name="_Toc193035929"/>
      <w:r w:rsidRPr="00BD786C">
        <w:lastRenderedPageBreak/>
        <w:t xml:space="preserve">Tablica </w:t>
      </w:r>
      <w:bookmarkStart w:id="23" w:name="_Ref531506675"/>
      <w:r w:rsidR="00F56C25">
        <w:fldChar w:fldCharType="begin"/>
      </w:r>
      <w:r w:rsidR="00F56C25">
        <w:instrText xml:space="preserve"> STYLEREF 1 \s </w:instrText>
      </w:r>
      <w:r w:rsidR="00F56C25">
        <w:fldChar w:fldCharType="separate"/>
      </w:r>
      <w:r w:rsidR="00AD324D">
        <w:rPr>
          <w:noProof/>
        </w:rPr>
        <w:t>1</w:t>
      </w:r>
      <w:r w:rsidR="00F56C25">
        <w:rPr>
          <w:noProof/>
        </w:rPr>
        <w:fldChar w:fldCharType="end"/>
      </w:r>
      <w:r w:rsidR="00DE7F11" w:rsidRPr="00BD786C">
        <w:noBreakHyphen/>
      </w:r>
      <w:r>
        <w:fldChar w:fldCharType="begin"/>
      </w:r>
      <w:r>
        <w:instrText>SEQ Tablica \* ARABIC \s 1</w:instrText>
      </w:r>
      <w:r>
        <w:fldChar w:fldCharType="separate"/>
      </w:r>
      <w:r w:rsidR="00AD324D">
        <w:rPr>
          <w:noProof/>
        </w:rPr>
        <w:t>1</w:t>
      </w:r>
      <w:r>
        <w:fldChar w:fldCharType="end"/>
      </w:r>
      <w:r w:rsidR="00F458D6" w:rsidRPr="00BD786C">
        <w:t>.</w:t>
      </w:r>
      <w:bookmarkEnd w:id="23"/>
      <w:r w:rsidR="00A87274" w:rsidRPr="00BD786C">
        <w:t xml:space="preserve"> </w:t>
      </w:r>
      <w:r w:rsidR="002A5495">
        <w:t>C</w:t>
      </w:r>
      <w:r w:rsidR="00920AC3" w:rsidRPr="00BD786C">
        <w:t xml:space="preserve">iljevi </w:t>
      </w:r>
      <w:r w:rsidR="006C718E">
        <w:t>smanjenja emisija stakleničkih plinova</w:t>
      </w:r>
      <w:bookmarkEnd w:id="22"/>
    </w:p>
    <w:tbl>
      <w:tblPr>
        <w:tblStyle w:val="NECP"/>
        <w:tblW w:w="4856" w:type="pct"/>
        <w:tblLook w:val="0620" w:firstRow="1" w:lastRow="0" w:firstColumn="0" w:lastColumn="0" w:noHBand="1" w:noVBand="1"/>
      </w:tblPr>
      <w:tblGrid>
        <w:gridCol w:w="1976"/>
        <w:gridCol w:w="3684"/>
        <w:gridCol w:w="3129"/>
      </w:tblGrid>
      <w:tr w:rsidR="002A5495" w:rsidRPr="00D66CC0" w14:paraId="6CACDCCB" w14:textId="77777777" w:rsidTr="009167E8">
        <w:trPr>
          <w:cnfStyle w:val="100000000000" w:firstRow="1" w:lastRow="0" w:firstColumn="0" w:lastColumn="0" w:oddVBand="0" w:evenVBand="0" w:oddHBand="0" w:evenHBand="0" w:firstRowFirstColumn="0" w:firstRowLastColumn="0" w:lastRowFirstColumn="0" w:lastRowLastColumn="0"/>
          <w:trHeight w:val="397"/>
        </w:trPr>
        <w:tc>
          <w:tcPr>
            <w:tcW w:w="1124" w:type="pct"/>
            <w:shd w:val="clear" w:color="auto" w:fill="D9E2F3" w:themeFill="accent5" w:themeFillTint="33"/>
          </w:tcPr>
          <w:p w14:paraId="3BAD2542" w14:textId="77777777" w:rsidR="002A5495" w:rsidRPr="00D66CC0" w:rsidRDefault="002A5495" w:rsidP="00576C31">
            <w:pPr>
              <w:keepNext/>
              <w:spacing w:after="0"/>
              <w:rPr>
                <w:rFonts w:eastAsia="Calibri"/>
                <w:sz w:val="22"/>
                <w:szCs w:val="22"/>
              </w:rPr>
            </w:pPr>
          </w:p>
        </w:tc>
        <w:tc>
          <w:tcPr>
            <w:tcW w:w="2096" w:type="pct"/>
            <w:shd w:val="clear" w:color="auto" w:fill="D9E2F3" w:themeFill="accent5" w:themeFillTint="33"/>
          </w:tcPr>
          <w:p w14:paraId="25067677" w14:textId="0F80FBD2" w:rsidR="002A5495" w:rsidRPr="00D66CC0" w:rsidRDefault="002A5495" w:rsidP="003D09A5">
            <w:pPr>
              <w:keepNext/>
              <w:spacing w:after="0"/>
              <w:jc w:val="center"/>
              <w:rPr>
                <w:rFonts w:eastAsia="Calibri"/>
                <w:b w:val="0"/>
                <w:sz w:val="22"/>
                <w:szCs w:val="22"/>
              </w:rPr>
            </w:pPr>
            <w:r w:rsidRPr="00D66CC0">
              <w:rPr>
                <w:rFonts w:eastAsia="Calibri"/>
                <w:sz w:val="22"/>
                <w:szCs w:val="22"/>
              </w:rPr>
              <w:t>Ciljevi za 2030. u odnosu na 2005.</w:t>
            </w:r>
          </w:p>
        </w:tc>
        <w:tc>
          <w:tcPr>
            <w:tcW w:w="1780" w:type="pct"/>
            <w:shd w:val="clear" w:color="auto" w:fill="D9E2F3" w:themeFill="accent5" w:themeFillTint="33"/>
          </w:tcPr>
          <w:p w14:paraId="684CFDAE" w14:textId="7A21DD6F" w:rsidR="002A5495" w:rsidRPr="00D66CC0" w:rsidRDefault="002A5495" w:rsidP="003D09A5">
            <w:pPr>
              <w:keepNext/>
              <w:spacing w:after="0"/>
              <w:jc w:val="center"/>
              <w:rPr>
                <w:rFonts w:eastAsia="Calibri"/>
                <w:b w:val="0"/>
                <w:sz w:val="22"/>
                <w:szCs w:val="22"/>
              </w:rPr>
            </w:pPr>
            <w:r w:rsidRPr="00D66CC0">
              <w:rPr>
                <w:rFonts w:eastAsia="Calibri"/>
                <w:sz w:val="22"/>
                <w:szCs w:val="22"/>
              </w:rPr>
              <w:t>Cilj za 2030. u odnosu na 2005. prema WAM scenariju</w:t>
            </w:r>
          </w:p>
        </w:tc>
      </w:tr>
      <w:tr w:rsidR="002A5495" w:rsidRPr="00D66CC0" w14:paraId="36C7D325" w14:textId="77777777" w:rsidTr="009167E8">
        <w:trPr>
          <w:trHeight w:val="397"/>
        </w:trPr>
        <w:tc>
          <w:tcPr>
            <w:tcW w:w="1124" w:type="pct"/>
          </w:tcPr>
          <w:p w14:paraId="1CFF16C1" w14:textId="58218994" w:rsidR="002A5495" w:rsidRPr="00D66CC0" w:rsidRDefault="38E60B50" w:rsidP="00576C31">
            <w:pPr>
              <w:keepNext/>
              <w:spacing w:after="0"/>
              <w:rPr>
                <w:rFonts w:eastAsia="Calibri"/>
                <w:b/>
                <w:sz w:val="22"/>
                <w:szCs w:val="22"/>
              </w:rPr>
            </w:pPr>
            <w:r w:rsidRPr="692C9CAC">
              <w:rPr>
                <w:rFonts w:eastAsia="Calibri"/>
                <w:b/>
                <w:bCs/>
                <w:sz w:val="22"/>
                <w:szCs w:val="22"/>
              </w:rPr>
              <w:t xml:space="preserve">Sektori u EU </w:t>
            </w:r>
            <w:r w:rsidR="002A5495" w:rsidRPr="00D66CC0">
              <w:rPr>
                <w:rFonts w:eastAsia="Calibri"/>
                <w:b/>
                <w:sz w:val="22"/>
                <w:szCs w:val="22"/>
              </w:rPr>
              <w:t>ETS</w:t>
            </w:r>
            <w:r w:rsidR="045D6023" w:rsidRPr="692C9CAC">
              <w:rPr>
                <w:rFonts w:eastAsia="Calibri"/>
                <w:b/>
                <w:bCs/>
                <w:sz w:val="22"/>
                <w:szCs w:val="22"/>
              </w:rPr>
              <w:t>-u</w:t>
            </w:r>
          </w:p>
        </w:tc>
        <w:tc>
          <w:tcPr>
            <w:tcW w:w="2096" w:type="pct"/>
          </w:tcPr>
          <w:p w14:paraId="167DC72A" w14:textId="799CFE8B" w:rsidR="002A5495" w:rsidRPr="003B0BEC" w:rsidRDefault="002A5495" w:rsidP="003B0BEC">
            <w:pPr>
              <w:keepNext/>
              <w:spacing w:after="0"/>
              <w:jc w:val="center"/>
              <w:rPr>
                <w:sz w:val="22"/>
                <w:szCs w:val="22"/>
              </w:rPr>
            </w:pPr>
            <w:r w:rsidRPr="00D66CC0">
              <w:rPr>
                <w:sz w:val="22"/>
                <w:szCs w:val="22"/>
              </w:rPr>
              <w:t>-62 %(cilj za cijelu EU)</w:t>
            </w:r>
          </w:p>
        </w:tc>
        <w:tc>
          <w:tcPr>
            <w:tcW w:w="1780" w:type="pct"/>
            <w:hideMark/>
          </w:tcPr>
          <w:p w14:paraId="1FC72AF6" w14:textId="19A7C976" w:rsidR="002A5495" w:rsidRPr="00D66CC0" w:rsidRDefault="16525918" w:rsidP="001F4E0B">
            <w:pPr>
              <w:keepNext/>
              <w:spacing w:after="0"/>
              <w:jc w:val="center"/>
              <w:rPr>
                <w:rFonts w:eastAsia="Calibri"/>
                <w:sz w:val="22"/>
                <w:szCs w:val="22"/>
                <w:highlight w:val="yellow"/>
              </w:rPr>
            </w:pPr>
            <w:r w:rsidRPr="40A57B62">
              <w:rPr>
                <w:rFonts w:eastAsia="Calibri"/>
                <w:sz w:val="22"/>
                <w:szCs w:val="22"/>
              </w:rPr>
              <w:t>-</w:t>
            </w:r>
            <w:r w:rsidR="55085CC8" w:rsidRPr="40A57B62">
              <w:rPr>
                <w:rFonts w:eastAsia="Calibri"/>
                <w:sz w:val="22"/>
                <w:szCs w:val="22"/>
              </w:rPr>
              <w:t>6</w:t>
            </w:r>
            <w:r w:rsidRPr="40A57B62">
              <w:rPr>
                <w:rFonts w:eastAsia="Calibri"/>
                <w:sz w:val="22"/>
                <w:szCs w:val="22"/>
              </w:rPr>
              <w:t>2 %</w:t>
            </w:r>
          </w:p>
        </w:tc>
      </w:tr>
      <w:tr w:rsidR="002A5495" w:rsidRPr="00D66CC0" w14:paraId="740F44D8" w14:textId="77777777" w:rsidTr="009167E8">
        <w:trPr>
          <w:trHeight w:val="397"/>
        </w:trPr>
        <w:tc>
          <w:tcPr>
            <w:tcW w:w="1124" w:type="pct"/>
          </w:tcPr>
          <w:p w14:paraId="51520EAD" w14:textId="5423D870" w:rsidR="002A5495" w:rsidRPr="00D66CC0" w:rsidRDefault="002A5495" w:rsidP="008C18A9">
            <w:pPr>
              <w:spacing w:after="0"/>
              <w:rPr>
                <w:rFonts w:eastAsia="Calibri"/>
                <w:b/>
                <w:sz w:val="22"/>
                <w:szCs w:val="22"/>
              </w:rPr>
            </w:pPr>
            <w:r w:rsidRPr="00D66CC0">
              <w:rPr>
                <w:rFonts w:eastAsia="Calibri"/>
                <w:b/>
                <w:sz w:val="22"/>
                <w:szCs w:val="22"/>
              </w:rPr>
              <w:t>Sektori izvan</w:t>
            </w:r>
          </w:p>
          <w:p w14:paraId="2BFA5225" w14:textId="4933F63E" w:rsidR="002A5495" w:rsidRPr="00D66CC0" w:rsidRDefault="059E5657" w:rsidP="008C18A9">
            <w:pPr>
              <w:spacing w:after="0"/>
              <w:rPr>
                <w:rFonts w:eastAsia="Calibri"/>
                <w:b/>
                <w:sz w:val="22"/>
                <w:szCs w:val="22"/>
              </w:rPr>
            </w:pPr>
            <w:r w:rsidRPr="692C9CAC">
              <w:rPr>
                <w:rFonts w:eastAsia="Calibri"/>
                <w:b/>
                <w:bCs/>
                <w:sz w:val="22"/>
                <w:szCs w:val="22"/>
              </w:rPr>
              <w:t xml:space="preserve">EU </w:t>
            </w:r>
            <w:r w:rsidR="002A5495" w:rsidRPr="00D66CC0">
              <w:rPr>
                <w:rFonts w:eastAsia="Calibri"/>
                <w:b/>
                <w:sz w:val="22"/>
                <w:szCs w:val="22"/>
              </w:rPr>
              <w:t>ETS-a</w:t>
            </w:r>
          </w:p>
        </w:tc>
        <w:tc>
          <w:tcPr>
            <w:tcW w:w="2096" w:type="pct"/>
          </w:tcPr>
          <w:p w14:paraId="0AD05691" w14:textId="6C7D1F6C" w:rsidR="002A5495" w:rsidRPr="00D66CC0" w:rsidRDefault="002A5495" w:rsidP="003B0BEC">
            <w:pPr>
              <w:spacing w:before="60" w:after="0"/>
              <w:jc w:val="center"/>
              <w:rPr>
                <w:sz w:val="22"/>
                <w:szCs w:val="22"/>
              </w:rPr>
            </w:pPr>
            <w:r w:rsidRPr="00D66CC0">
              <w:rPr>
                <w:sz w:val="22"/>
                <w:szCs w:val="22"/>
              </w:rPr>
              <w:t>-40 %</w:t>
            </w:r>
            <w:r w:rsidR="003B0BEC">
              <w:rPr>
                <w:sz w:val="22"/>
                <w:szCs w:val="22"/>
              </w:rPr>
              <w:t xml:space="preserve"> </w:t>
            </w:r>
            <w:r w:rsidRPr="00D66CC0">
              <w:rPr>
                <w:sz w:val="22"/>
                <w:szCs w:val="22"/>
              </w:rPr>
              <w:t>(cilj za cijelu EU)</w:t>
            </w:r>
          </w:p>
          <w:p w14:paraId="70DF5D33" w14:textId="77777777" w:rsidR="002A5495" w:rsidRPr="00D66CC0" w:rsidRDefault="002A5495" w:rsidP="001F4E0B">
            <w:pPr>
              <w:spacing w:after="0"/>
              <w:jc w:val="center"/>
              <w:rPr>
                <w:sz w:val="22"/>
                <w:szCs w:val="22"/>
              </w:rPr>
            </w:pPr>
          </w:p>
          <w:p w14:paraId="085E367D" w14:textId="11EFBFC4" w:rsidR="002A5495" w:rsidRPr="003B0BEC" w:rsidRDefault="002A5495" w:rsidP="003B0BEC">
            <w:pPr>
              <w:spacing w:after="60"/>
              <w:jc w:val="center"/>
              <w:rPr>
                <w:sz w:val="22"/>
                <w:szCs w:val="22"/>
              </w:rPr>
            </w:pPr>
            <w:r w:rsidRPr="00D66CC0">
              <w:rPr>
                <w:sz w:val="22"/>
                <w:szCs w:val="22"/>
              </w:rPr>
              <w:t>-16,7 %</w:t>
            </w:r>
            <w:r w:rsidR="003B0BEC">
              <w:rPr>
                <w:sz w:val="22"/>
                <w:szCs w:val="22"/>
              </w:rPr>
              <w:t xml:space="preserve"> </w:t>
            </w:r>
            <w:r w:rsidRPr="00D66CC0">
              <w:rPr>
                <w:sz w:val="22"/>
                <w:szCs w:val="22"/>
              </w:rPr>
              <w:t>(cilj za RH)</w:t>
            </w:r>
          </w:p>
        </w:tc>
        <w:tc>
          <w:tcPr>
            <w:tcW w:w="1780" w:type="pct"/>
          </w:tcPr>
          <w:p w14:paraId="78446CCF" w14:textId="4131511E" w:rsidR="002A5495" w:rsidRPr="00D66CC0" w:rsidRDefault="002A5495" w:rsidP="001F4E0B">
            <w:pPr>
              <w:spacing w:after="0"/>
              <w:jc w:val="center"/>
              <w:rPr>
                <w:rFonts w:eastAsia="Calibri"/>
                <w:strike/>
                <w:sz w:val="22"/>
                <w:szCs w:val="22"/>
                <w:highlight w:val="yellow"/>
              </w:rPr>
            </w:pPr>
            <w:r w:rsidRPr="00D66CC0">
              <w:rPr>
                <w:rFonts w:eastAsia="Calibri"/>
                <w:sz w:val="22"/>
                <w:szCs w:val="22"/>
              </w:rPr>
              <w:t>-16,7 %</w:t>
            </w:r>
          </w:p>
        </w:tc>
      </w:tr>
    </w:tbl>
    <w:p w14:paraId="605C63AF" w14:textId="30AD3826" w:rsidR="009F1CA1" w:rsidRPr="00D66CC0" w:rsidRDefault="688E4E6F" w:rsidP="00502EE4">
      <w:pPr>
        <w:spacing w:before="240"/>
      </w:pPr>
      <w:r>
        <w:t>N</w:t>
      </w:r>
      <w:r w:rsidR="38096F67">
        <w:t>a</w:t>
      </w:r>
      <w:r w:rsidR="18FF9D42">
        <w:t xml:space="preserve"> razini EU</w:t>
      </w:r>
      <w:r w:rsidR="4B37E604">
        <w:t>-a</w:t>
      </w:r>
      <w:r w:rsidR="38096F67">
        <w:t xml:space="preserve"> </w:t>
      </w:r>
      <w:r w:rsidR="0620E81F">
        <w:t xml:space="preserve">cilj je povećanje ponora </w:t>
      </w:r>
      <w:r w:rsidR="0059590C">
        <w:t>n</w:t>
      </w:r>
      <w:r w:rsidR="00F5603C">
        <w:t xml:space="preserve">a </w:t>
      </w:r>
      <w:r w:rsidR="7DDC0002">
        <w:t>najmanje</w:t>
      </w:r>
      <w:r w:rsidR="38096F67">
        <w:t xml:space="preserve"> </w:t>
      </w:r>
      <w:r w:rsidR="18FF9D42">
        <w:t>-310 Mt CO</w:t>
      </w:r>
      <w:r w:rsidR="18FF9D42" w:rsidRPr="40A57B62">
        <w:rPr>
          <w:vertAlign w:val="subscript"/>
        </w:rPr>
        <w:t>2</w:t>
      </w:r>
      <w:r w:rsidR="18FF9D42">
        <w:t xml:space="preserve">-eq </w:t>
      </w:r>
      <w:r w:rsidR="5F1A59CE">
        <w:t xml:space="preserve">do 2030. </w:t>
      </w:r>
      <w:r w:rsidR="4123A172">
        <w:t>g</w:t>
      </w:r>
      <w:r w:rsidR="43388DBB">
        <w:t>odine</w:t>
      </w:r>
      <w:r w:rsidR="79DFEB99">
        <w:t>,</w:t>
      </w:r>
      <w:r w:rsidR="5F1A59CE">
        <w:t xml:space="preserve"> </w:t>
      </w:r>
      <w:r w:rsidR="00C9CAE6">
        <w:t>i on</w:t>
      </w:r>
      <w:r w:rsidR="18FF9D42">
        <w:t xml:space="preserve"> proizlazi iz ciljeva paketa </w:t>
      </w:r>
      <w:r w:rsidR="50905AB6">
        <w:t>‘’</w:t>
      </w:r>
      <w:r w:rsidR="38096F67">
        <w:t>Spremni</w:t>
      </w:r>
      <w:r w:rsidR="18FF9D42">
        <w:t xml:space="preserve"> za </w:t>
      </w:r>
      <w:r w:rsidR="38096F67">
        <w:t>55</w:t>
      </w:r>
      <w:r w:rsidR="13CD01AF">
        <w:t>’’</w:t>
      </w:r>
      <w:r w:rsidR="2767EFFE">
        <w:t xml:space="preserve"> te je</w:t>
      </w:r>
      <w:r w:rsidR="18FF9D42">
        <w:t xml:space="preserve"> </w:t>
      </w:r>
      <w:r w:rsidR="0038710F" w:rsidRPr="0038710F">
        <w:t>Uredb</w:t>
      </w:r>
      <w:r w:rsidR="0038710F">
        <w:t>om</w:t>
      </w:r>
      <w:r w:rsidR="0038710F" w:rsidRPr="0038710F">
        <w:t xml:space="preserve"> (EU) 2023/839 Europskog parlamenta i Vijeća od 19. travnja 2023. o izmjeni Uredbe (EU) 2018/841 u pogledu područja primjene, pojednostavnjenja pravila o izvješćivanju i usklađenosti i utvrđivanja ciljeva država članica za 2030. i Uredbe (EU) 2018/1999 u pogledu poboljšanja praćenja, izvješćivanja, praćenja napretka i preispitivanja (Tekst značajan za EGP)</w:t>
      </w:r>
      <w:r w:rsidR="00744A30">
        <w:t xml:space="preserve"> (SL L</w:t>
      </w:r>
      <w:r w:rsidR="009B43A1">
        <w:t xml:space="preserve"> 107 19.4.2023.)</w:t>
      </w:r>
      <w:r w:rsidR="18FF9D42">
        <w:t xml:space="preserve"> </w:t>
      </w:r>
      <w:r w:rsidR="7072F9C4">
        <w:t>utvrđeno</w:t>
      </w:r>
      <w:r w:rsidR="18FF9D42">
        <w:t xml:space="preserve"> povećanje ponora u </w:t>
      </w:r>
      <w:r w:rsidR="63C73E96">
        <w:t xml:space="preserve">sektoru </w:t>
      </w:r>
      <w:r w:rsidR="18FF9D42">
        <w:t xml:space="preserve">LULUCF za </w:t>
      </w:r>
      <w:r w:rsidR="30D973B4">
        <w:t>svaku</w:t>
      </w:r>
      <w:r w:rsidR="5943AFFA">
        <w:t xml:space="preserve"> </w:t>
      </w:r>
      <w:r w:rsidR="38096F67">
        <w:t>držav</w:t>
      </w:r>
      <w:r w:rsidR="66F9F427">
        <w:t>u</w:t>
      </w:r>
      <w:r w:rsidR="38096F67">
        <w:t xml:space="preserve"> članic</w:t>
      </w:r>
      <w:r w:rsidR="12DC355A">
        <w:t>u</w:t>
      </w:r>
      <w:r w:rsidR="38096F67">
        <w:t xml:space="preserve">. </w:t>
      </w:r>
      <w:r w:rsidR="00E82972">
        <w:t xml:space="preserve">Ciljna </w:t>
      </w:r>
      <w:r w:rsidR="510EDEE3">
        <w:t>v</w:t>
      </w:r>
      <w:r w:rsidR="18AC0F05">
        <w:t xml:space="preserve">rijednost neto uklanjanja </w:t>
      </w:r>
      <w:r w:rsidR="18FF9D42">
        <w:t>u 2030.</w:t>
      </w:r>
      <w:r w:rsidR="38096F67">
        <w:t xml:space="preserve"> </w:t>
      </w:r>
      <w:r w:rsidR="1CBE5F64">
        <w:t>godini</w:t>
      </w:r>
      <w:r w:rsidR="38096F67">
        <w:t xml:space="preserve"> </w:t>
      </w:r>
      <w:r w:rsidR="4591337D">
        <w:t xml:space="preserve">za Republiku Hrvatsku </w:t>
      </w:r>
      <w:r w:rsidR="00516EE5">
        <w:t>iznosi</w:t>
      </w:r>
      <w:r w:rsidR="4591337D">
        <w:t xml:space="preserve"> </w:t>
      </w:r>
      <w:r w:rsidR="59998B0D">
        <w:t>-</w:t>
      </w:r>
      <w:r w:rsidR="4591337D">
        <w:t>5</w:t>
      </w:r>
      <w:r w:rsidR="00345E77">
        <w:t>.</w:t>
      </w:r>
      <w:r w:rsidR="4591337D">
        <w:t>527 ktCO2-</w:t>
      </w:r>
      <w:r w:rsidR="70C89898">
        <w:t>eq</w:t>
      </w:r>
      <w:r w:rsidR="44848808">
        <w:t>.</w:t>
      </w:r>
    </w:p>
    <w:p w14:paraId="0308B06C" w14:textId="7CAA86A7" w:rsidR="00F5603C" w:rsidRPr="00AD624D" w:rsidRDefault="00F5603C" w:rsidP="008F0332">
      <w:pPr>
        <w:pStyle w:val="Caption"/>
        <w:keepNext/>
      </w:pPr>
      <w:bookmarkStart w:id="24" w:name="_Toc193035930"/>
      <w:r w:rsidRPr="5B269282">
        <w:t xml:space="preserve">Tablica </w:t>
      </w:r>
      <w:r w:rsidRPr="5B269282">
        <w:rPr>
          <w:szCs w:val="22"/>
        </w:rPr>
        <w:fldChar w:fldCharType="begin"/>
      </w:r>
      <w:r w:rsidRPr="00AD624D">
        <w:rPr>
          <w:szCs w:val="22"/>
        </w:rPr>
        <w:instrText xml:space="preserve"> STYLEREF 1 \s </w:instrText>
      </w:r>
      <w:r w:rsidRPr="5B269282">
        <w:rPr>
          <w:szCs w:val="22"/>
        </w:rPr>
        <w:fldChar w:fldCharType="separate"/>
      </w:r>
      <w:r w:rsidR="00AD324D">
        <w:rPr>
          <w:noProof/>
          <w:szCs w:val="22"/>
        </w:rPr>
        <w:t>1</w:t>
      </w:r>
      <w:r w:rsidRPr="5B269282">
        <w:fldChar w:fldCharType="end"/>
      </w:r>
      <w:r w:rsidRPr="00AD624D">
        <w:rPr>
          <w:szCs w:val="22"/>
        </w:rPr>
        <w:noBreakHyphen/>
      </w:r>
      <w:r w:rsidRPr="5B269282">
        <w:rPr>
          <w:szCs w:val="22"/>
        </w:rPr>
        <w:fldChar w:fldCharType="begin"/>
      </w:r>
      <w:r w:rsidRPr="00AD624D">
        <w:rPr>
          <w:szCs w:val="22"/>
        </w:rPr>
        <w:instrText xml:space="preserve"> SEQ Tablica \* ARABIC \s 1 </w:instrText>
      </w:r>
      <w:r w:rsidRPr="5B269282">
        <w:rPr>
          <w:szCs w:val="22"/>
        </w:rPr>
        <w:fldChar w:fldCharType="separate"/>
      </w:r>
      <w:r w:rsidR="00AD324D">
        <w:rPr>
          <w:noProof/>
          <w:szCs w:val="22"/>
        </w:rPr>
        <w:t>2</w:t>
      </w:r>
      <w:r w:rsidRPr="5B269282">
        <w:fldChar w:fldCharType="end"/>
      </w:r>
      <w:r w:rsidRPr="5B269282">
        <w:t xml:space="preserve">. Cilj povećanja neto uklanjanja </w:t>
      </w:r>
      <w:r w:rsidR="4FE6029B" w:rsidRPr="5B269282">
        <w:t xml:space="preserve">ponorima </w:t>
      </w:r>
      <w:r w:rsidRPr="5B269282">
        <w:t>stakleničkih plinova u sektoru LULUCF-a</w:t>
      </w:r>
      <w:bookmarkEnd w:id="24"/>
    </w:p>
    <w:tbl>
      <w:tblPr>
        <w:tblStyle w:val="TableGrid"/>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78"/>
        <w:gridCol w:w="2544"/>
        <w:gridCol w:w="3126"/>
      </w:tblGrid>
      <w:tr w:rsidR="00F5603C" w:rsidRPr="00AD624D" w14:paraId="4F6619FC" w14:textId="77777777" w:rsidTr="63259912">
        <w:trPr>
          <w:jc w:val="center"/>
        </w:trPr>
        <w:tc>
          <w:tcPr>
            <w:tcW w:w="3678" w:type="dxa"/>
            <w:shd w:val="clear" w:color="auto" w:fill="D9E2F3" w:themeFill="accent5" w:themeFillTint="33"/>
          </w:tcPr>
          <w:p w14:paraId="7F64C42C" w14:textId="088179C7" w:rsidR="00F5603C" w:rsidRPr="00AD624D" w:rsidRDefault="00F5603C" w:rsidP="63259912">
            <w:pPr>
              <w:jc w:val="center"/>
              <w:rPr>
                <w:sz w:val="22"/>
                <w:szCs w:val="22"/>
              </w:rPr>
            </w:pPr>
            <w:r w:rsidRPr="63259912">
              <w:rPr>
                <w:sz w:val="22"/>
                <w:szCs w:val="22"/>
              </w:rPr>
              <w:t>Prosječni podaci iz inventara stakleničkih plinova za 2016., 2017. i 2018. (kt ekvivalent</w:t>
            </w:r>
            <w:r w:rsidR="4D3E0618" w:rsidRPr="63259912">
              <w:rPr>
                <w:sz w:val="22"/>
                <w:szCs w:val="22"/>
              </w:rPr>
              <w:t>a</w:t>
            </w:r>
            <w:r w:rsidRPr="63259912">
              <w:rPr>
                <w:sz w:val="22"/>
                <w:szCs w:val="22"/>
              </w:rPr>
              <w:t xml:space="preserve"> CO</w:t>
            </w:r>
            <w:r w:rsidRPr="63259912">
              <w:rPr>
                <w:sz w:val="22"/>
                <w:szCs w:val="22"/>
                <w:vertAlign w:val="subscript"/>
              </w:rPr>
              <w:t>2</w:t>
            </w:r>
            <w:r w:rsidRPr="63259912">
              <w:rPr>
                <w:sz w:val="22"/>
                <w:szCs w:val="22"/>
              </w:rPr>
              <w:t xml:space="preserve">), podaci dostavljeni  </w:t>
            </w:r>
            <w:r w:rsidR="24C4FDFC" w:rsidRPr="63259912">
              <w:rPr>
                <w:sz w:val="22"/>
                <w:szCs w:val="22"/>
              </w:rPr>
              <w:t>2020</w:t>
            </w:r>
            <w:r w:rsidR="6F7FE402" w:rsidRPr="63259912">
              <w:rPr>
                <w:sz w:val="22"/>
                <w:szCs w:val="22"/>
              </w:rPr>
              <w:t>.</w:t>
            </w:r>
            <w:r w:rsidR="37D83F71" w:rsidRPr="63259912">
              <w:rPr>
                <w:sz w:val="22"/>
                <w:szCs w:val="22"/>
              </w:rPr>
              <w:t xml:space="preserve"> godine</w:t>
            </w:r>
          </w:p>
        </w:tc>
        <w:tc>
          <w:tcPr>
            <w:tcW w:w="2544" w:type="dxa"/>
            <w:shd w:val="clear" w:color="auto" w:fill="D9E2F3" w:themeFill="accent5" w:themeFillTint="33"/>
          </w:tcPr>
          <w:p w14:paraId="57C6BAE1" w14:textId="77777777" w:rsidR="00F5603C" w:rsidRPr="00AD624D" w:rsidRDefault="00F5603C" w:rsidP="63259912">
            <w:pPr>
              <w:jc w:val="center"/>
              <w:rPr>
                <w:sz w:val="22"/>
                <w:szCs w:val="22"/>
              </w:rPr>
            </w:pPr>
            <w:r w:rsidRPr="63259912">
              <w:rPr>
                <w:sz w:val="22"/>
                <w:szCs w:val="22"/>
              </w:rPr>
              <w:t>Cilj za Republiku Hrvatsku za 2030. godinu (kt ekvivalenta CO</w:t>
            </w:r>
            <w:r w:rsidRPr="63259912">
              <w:rPr>
                <w:sz w:val="22"/>
                <w:szCs w:val="22"/>
                <w:vertAlign w:val="subscript"/>
              </w:rPr>
              <w:t>2</w:t>
            </w:r>
            <w:r w:rsidRPr="63259912">
              <w:rPr>
                <w:sz w:val="22"/>
                <w:szCs w:val="22"/>
              </w:rPr>
              <w:t>)</w:t>
            </w:r>
          </w:p>
        </w:tc>
        <w:tc>
          <w:tcPr>
            <w:tcW w:w="3126" w:type="dxa"/>
            <w:shd w:val="clear" w:color="auto" w:fill="D9E2F3" w:themeFill="accent5" w:themeFillTint="33"/>
          </w:tcPr>
          <w:p w14:paraId="7DFC340F" w14:textId="2BB4AB2E" w:rsidR="00F5603C" w:rsidRPr="00AD624D" w:rsidRDefault="18FF9D42" w:rsidP="63259912">
            <w:pPr>
              <w:jc w:val="center"/>
              <w:rPr>
                <w:sz w:val="22"/>
                <w:szCs w:val="22"/>
              </w:rPr>
            </w:pPr>
            <w:r w:rsidRPr="63259912">
              <w:rPr>
                <w:sz w:val="22"/>
                <w:szCs w:val="22"/>
              </w:rPr>
              <w:t>Vrijednost neto uklanjanja u kt ekvivalenta CO</w:t>
            </w:r>
            <w:r w:rsidRPr="63259912">
              <w:rPr>
                <w:sz w:val="22"/>
                <w:szCs w:val="22"/>
                <w:vertAlign w:val="subscript"/>
              </w:rPr>
              <w:t>2</w:t>
            </w:r>
            <w:r w:rsidRPr="63259912">
              <w:rPr>
                <w:sz w:val="22"/>
                <w:szCs w:val="22"/>
              </w:rPr>
              <w:t xml:space="preserve"> 2030.</w:t>
            </w:r>
            <w:r w:rsidR="70696B34" w:rsidRPr="63259912">
              <w:rPr>
                <w:sz w:val="22"/>
                <w:szCs w:val="22"/>
              </w:rPr>
              <w:t xml:space="preserve"> godine</w:t>
            </w:r>
            <w:r w:rsidRPr="63259912">
              <w:rPr>
                <w:sz w:val="22"/>
                <w:szCs w:val="22"/>
              </w:rPr>
              <w:t xml:space="preserve">, podaci dostavljeni 2020. </w:t>
            </w:r>
            <w:r w:rsidR="08E84022" w:rsidRPr="63259912">
              <w:rPr>
                <w:sz w:val="22"/>
                <w:szCs w:val="22"/>
              </w:rPr>
              <w:t>g</w:t>
            </w:r>
            <w:r w:rsidR="1EB0E8BA" w:rsidRPr="63259912">
              <w:rPr>
                <w:sz w:val="22"/>
                <w:szCs w:val="22"/>
              </w:rPr>
              <w:t>odine</w:t>
            </w:r>
          </w:p>
        </w:tc>
      </w:tr>
      <w:tr w:rsidR="00F5603C" w:rsidRPr="00AD624D" w14:paraId="2AFBB4D8" w14:textId="77777777" w:rsidTr="63259912">
        <w:trPr>
          <w:jc w:val="center"/>
        </w:trPr>
        <w:tc>
          <w:tcPr>
            <w:tcW w:w="3678" w:type="dxa"/>
            <w:shd w:val="clear" w:color="auto" w:fill="auto"/>
          </w:tcPr>
          <w:p w14:paraId="1AFFC02D" w14:textId="06805574" w:rsidR="00F5603C" w:rsidRPr="00AD624D" w:rsidRDefault="2E3F0D27">
            <w:pPr>
              <w:jc w:val="center"/>
              <w:rPr>
                <w:sz w:val="22"/>
                <w:szCs w:val="22"/>
              </w:rPr>
            </w:pPr>
            <w:r w:rsidRPr="692C9CAC">
              <w:rPr>
                <w:sz w:val="22"/>
                <w:szCs w:val="22"/>
              </w:rPr>
              <w:t xml:space="preserve"> -4</w:t>
            </w:r>
            <w:r w:rsidR="004742BC">
              <w:rPr>
                <w:sz w:val="22"/>
                <w:szCs w:val="22"/>
              </w:rPr>
              <w:t>.</w:t>
            </w:r>
            <w:r w:rsidRPr="692C9CAC">
              <w:rPr>
                <w:sz w:val="22"/>
                <w:szCs w:val="22"/>
              </w:rPr>
              <w:t>933</w:t>
            </w:r>
          </w:p>
        </w:tc>
        <w:tc>
          <w:tcPr>
            <w:tcW w:w="2544" w:type="dxa"/>
            <w:shd w:val="clear" w:color="auto" w:fill="auto"/>
          </w:tcPr>
          <w:p w14:paraId="607C39D7" w14:textId="1769746A" w:rsidR="00F5603C" w:rsidRPr="00AD624D" w:rsidRDefault="00F5603C">
            <w:pPr>
              <w:jc w:val="center"/>
              <w:rPr>
                <w:sz w:val="22"/>
                <w:szCs w:val="22"/>
              </w:rPr>
            </w:pPr>
            <w:r w:rsidRPr="00AD624D">
              <w:rPr>
                <w:sz w:val="22"/>
                <w:szCs w:val="22"/>
              </w:rPr>
              <w:t>-593</w:t>
            </w:r>
          </w:p>
        </w:tc>
        <w:tc>
          <w:tcPr>
            <w:tcW w:w="3126" w:type="dxa"/>
            <w:shd w:val="clear" w:color="auto" w:fill="auto"/>
          </w:tcPr>
          <w:p w14:paraId="18C3CF7D" w14:textId="13278A5C" w:rsidR="00F5603C" w:rsidRPr="00AD624D" w:rsidRDefault="65366A32">
            <w:pPr>
              <w:jc w:val="center"/>
              <w:rPr>
                <w:sz w:val="22"/>
                <w:szCs w:val="22"/>
              </w:rPr>
            </w:pPr>
            <w:r w:rsidRPr="692C9CAC">
              <w:rPr>
                <w:sz w:val="22"/>
                <w:szCs w:val="22"/>
              </w:rPr>
              <w:t xml:space="preserve"> -5</w:t>
            </w:r>
            <w:r w:rsidR="004742BC">
              <w:rPr>
                <w:sz w:val="22"/>
                <w:szCs w:val="22"/>
              </w:rPr>
              <w:t>.</w:t>
            </w:r>
            <w:r w:rsidRPr="692C9CAC">
              <w:rPr>
                <w:sz w:val="22"/>
                <w:szCs w:val="22"/>
              </w:rPr>
              <w:t>527</w:t>
            </w:r>
          </w:p>
        </w:tc>
      </w:tr>
    </w:tbl>
    <w:p w14:paraId="54E9889C" w14:textId="77777777" w:rsidR="00B9269F" w:rsidRPr="00C94EFB" w:rsidRDefault="00B9269F" w:rsidP="004623DD">
      <w:pPr>
        <w:rPr>
          <w:sz w:val="22"/>
          <w:szCs w:val="22"/>
          <w:highlight w:val="yellow"/>
        </w:rPr>
      </w:pPr>
    </w:p>
    <w:p w14:paraId="52E9CCAB" w14:textId="0F8653F2" w:rsidR="000527F4" w:rsidRPr="00D4303E" w:rsidRDefault="000F4301" w:rsidP="004623DD">
      <w:r w:rsidRPr="00D4303E">
        <w:t>Cilj</w:t>
      </w:r>
      <w:r w:rsidR="00EE108C" w:rsidRPr="00D4303E">
        <w:t xml:space="preserve">ani </w:t>
      </w:r>
      <w:r w:rsidR="00EC2C15" w:rsidRPr="00D4303E">
        <w:t xml:space="preserve">udio OIE u bruto neposrednoj potrošnji </w:t>
      </w:r>
      <w:r w:rsidR="009C0DB6" w:rsidRPr="00D4303E">
        <w:t>te ciljevi energetske učinkovitosti</w:t>
      </w:r>
      <w:r w:rsidR="00BC5158" w:rsidRPr="00D4303E">
        <w:t xml:space="preserve"> </w:t>
      </w:r>
      <w:r w:rsidRPr="00D4303E">
        <w:t xml:space="preserve">u </w:t>
      </w:r>
      <w:r w:rsidR="00FB0B28" w:rsidRPr="00D4303E">
        <w:t>2030. godini</w:t>
      </w:r>
      <w:r w:rsidR="005E1921" w:rsidRPr="00D4303E">
        <w:t xml:space="preserve"> </w:t>
      </w:r>
      <w:r w:rsidR="00FB0B28" w:rsidRPr="00D4303E">
        <w:t>prikazuje</w:t>
      </w:r>
      <w:r w:rsidR="008C18A9" w:rsidRPr="00D4303E">
        <w:t xml:space="preserve"> </w:t>
      </w:r>
      <w:r w:rsidR="7FBBF214">
        <w:t>T</w:t>
      </w:r>
      <w:r w:rsidR="008C18A9">
        <w:t>ablica</w:t>
      </w:r>
      <w:r w:rsidR="00FB0B28" w:rsidRPr="00D4303E">
        <w:t xml:space="preserve"> </w:t>
      </w:r>
      <w:r w:rsidR="00E36E50" w:rsidRPr="00D4303E">
        <w:fldChar w:fldCharType="begin"/>
      </w:r>
      <w:r w:rsidR="00E36E50" w:rsidRPr="00D4303E">
        <w:instrText xml:space="preserve"> REF _Ref531506783 \h </w:instrText>
      </w:r>
      <w:r w:rsidR="006B010E" w:rsidRPr="00D4303E">
        <w:instrText xml:space="preserve"> \* MERGEFORMAT </w:instrText>
      </w:r>
      <w:r w:rsidR="00E36E50" w:rsidRPr="00D4303E">
        <w:fldChar w:fldCharType="separate"/>
      </w:r>
      <w:r w:rsidR="00AD324D" w:rsidRPr="00AD324D">
        <w:t>1</w:t>
      </w:r>
      <w:r w:rsidR="00AD324D" w:rsidRPr="00AD324D">
        <w:noBreakHyphen/>
        <w:t>3.</w:t>
      </w:r>
      <w:r w:rsidR="00E36E50" w:rsidRPr="00D4303E">
        <w:fldChar w:fldCharType="end"/>
      </w:r>
    </w:p>
    <w:p w14:paraId="173C01DB" w14:textId="37D42CDD" w:rsidR="004E0694" w:rsidRPr="00AD624D" w:rsidRDefault="00E36E50" w:rsidP="00576C31">
      <w:pPr>
        <w:pStyle w:val="Caption"/>
        <w:spacing w:before="240"/>
        <w:rPr>
          <w:szCs w:val="22"/>
        </w:rPr>
      </w:pPr>
      <w:bookmarkStart w:id="25" w:name="_Toc193035931"/>
      <w:r w:rsidRPr="00AD624D">
        <w:rPr>
          <w:szCs w:val="22"/>
        </w:rPr>
        <w:t xml:space="preserve">Tablica </w:t>
      </w:r>
      <w:bookmarkStart w:id="26" w:name="_Ref531506783"/>
      <w:r w:rsidR="00F56C25" w:rsidRPr="00AD624D">
        <w:rPr>
          <w:szCs w:val="22"/>
        </w:rPr>
        <w:fldChar w:fldCharType="begin"/>
      </w:r>
      <w:r w:rsidR="00F56C25" w:rsidRPr="00AD624D">
        <w:rPr>
          <w:szCs w:val="22"/>
        </w:rPr>
        <w:instrText xml:space="preserve"> STYLEREF 1 \s </w:instrText>
      </w:r>
      <w:r w:rsidR="00F56C25" w:rsidRPr="00AD624D">
        <w:rPr>
          <w:szCs w:val="22"/>
        </w:rPr>
        <w:fldChar w:fldCharType="separate"/>
      </w:r>
      <w:r w:rsidR="00AD324D">
        <w:rPr>
          <w:noProof/>
          <w:szCs w:val="22"/>
        </w:rPr>
        <w:t>1</w:t>
      </w:r>
      <w:r w:rsidR="00F56C25" w:rsidRPr="00AD624D">
        <w:rPr>
          <w:szCs w:val="22"/>
        </w:rPr>
        <w:fldChar w:fldCharType="end"/>
      </w:r>
      <w:r w:rsidR="000C3EFD" w:rsidRPr="00AD624D">
        <w:rPr>
          <w:szCs w:val="22"/>
        </w:rPr>
        <w:noBreakHyphen/>
      </w:r>
      <w:r w:rsidRPr="00AD624D">
        <w:rPr>
          <w:szCs w:val="22"/>
        </w:rPr>
        <w:fldChar w:fldCharType="begin"/>
      </w:r>
      <w:r w:rsidRPr="00AD624D">
        <w:rPr>
          <w:szCs w:val="22"/>
        </w:rPr>
        <w:instrText xml:space="preserve"> SEQ Tablica \* ARABIC \s 1 </w:instrText>
      </w:r>
      <w:r w:rsidRPr="00AD624D">
        <w:rPr>
          <w:szCs w:val="22"/>
        </w:rPr>
        <w:fldChar w:fldCharType="separate"/>
      </w:r>
      <w:r w:rsidR="00AD324D">
        <w:rPr>
          <w:noProof/>
          <w:szCs w:val="22"/>
        </w:rPr>
        <w:t>3</w:t>
      </w:r>
      <w:r w:rsidRPr="00AD624D">
        <w:rPr>
          <w:noProof/>
          <w:szCs w:val="22"/>
        </w:rPr>
        <w:fldChar w:fldCharType="end"/>
      </w:r>
      <w:r w:rsidR="00F458D6" w:rsidRPr="00AD624D">
        <w:rPr>
          <w:szCs w:val="22"/>
        </w:rPr>
        <w:t>.</w:t>
      </w:r>
      <w:bookmarkEnd w:id="26"/>
      <w:r w:rsidR="00A87274" w:rsidRPr="00AD624D">
        <w:rPr>
          <w:szCs w:val="22"/>
        </w:rPr>
        <w:t xml:space="preserve"> </w:t>
      </w:r>
      <w:r w:rsidRPr="00AD624D">
        <w:rPr>
          <w:szCs w:val="22"/>
        </w:rPr>
        <w:t>Projekcije vrijednosti ključnih indikatora</w:t>
      </w:r>
      <w:bookmarkEnd w:id="25"/>
    </w:p>
    <w:tbl>
      <w:tblPr>
        <w:tblStyle w:val="NECP"/>
        <w:tblW w:w="4302" w:type="pct"/>
        <w:tblLook w:val="04A0" w:firstRow="1" w:lastRow="0" w:firstColumn="1" w:lastColumn="0" w:noHBand="0" w:noVBand="1"/>
      </w:tblPr>
      <w:tblGrid>
        <w:gridCol w:w="5751"/>
        <w:gridCol w:w="2036"/>
      </w:tblGrid>
      <w:tr w:rsidR="00FD2288" w:rsidRPr="00AD624D" w14:paraId="1E8563C9" w14:textId="77777777" w:rsidTr="00174E7B">
        <w:trPr>
          <w:cnfStyle w:val="100000000000" w:firstRow="1" w:lastRow="0" w:firstColumn="0" w:lastColumn="0" w:oddVBand="0" w:evenVBand="0" w:oddHBand="0" w:evenHBand="0" w:firstRowFirstColumn="0" w:firstRowLastColumn="0" w:lastRowFirstColumn="0" w:lastRowLastColumn="0"/>
          <w:trHeight w:val="340"/>
        </w:trPr>
        <w:tc>
          <w:tcPr>
            <w:tcW w:w="3693" w:type="pct"/>
            <w:shd w:val="clear" w:color="auto" w:fill="D9E2F3" w:themeFill="accent5" w:themeFillTint="33"/>
          </w:tcPr>
          <w:p w14:paraId="741FDE6F" w14:textId="77777777" w:rsidR="00FD2288" w:rsidRPr="00C94EFB" w:rsidRDefault="00FD2288" w:rsidP="001D3C67">
            <w:pPr>
              <w:spacing w:after="0"/>
              <w:rPr>
                <w:rFonts w:cstheme="minorHAnsi"/>
                <w:sz w:val="22"/>
                <w:szCs w:val="22"/>
              </w:rPr>
            </w:pPr>
            <w:bookmarkStart w:id="27" w:name="_Hlk531807782"/>
          </w:p>
        </w:tc>
        <w:tc>
          <w:tcPr>
            <w:tcW w:w="1307" w:type="pct"/>
            <w:shd w:val="clear" w:color="auto" w:fill="D9E2F3" w:themeFill="accent5" w:themeFillTint="33"/>
          </w:tcPr>
          <w:p w14:paraId="3140D057" w14:textId="0A194972" w:rsidR="00FD2288" w:rsidRPr="00C94EFB" w:rsidRDefault="00FD2288" w:rsidP="003D09A5">
            <w:pPr>
              <w:spacing w:after="0"/>
              <w:jc w:val="center"/>
              <w:rPr>
                <w:rFonts w:cstheme="minorHAnsi"/>
                <w:sz w:val="22"/>
                <w:szCs w:val="22"/>
              </w:rPr>
            </w:pPr>
            <w:r w:rsidRPr="00C94EFB">
              <w:rPr>
                <w:rFonts w:cstheme="minorHAnsi"/>
                <w:sz w:val="22"/>
                <w:szCs w:val="22"/>
              </w:rPr>
              <w:t>Cilj za 2030.</w:t>
            </w:r>
          </w:p>
        </w:tc>
      </w:tr>
      <w:tr w:rsidR="00FD2288" w:rsidRPr="00AD624D" w14:paraId="056A1BD3" w14:textId="77777777" w:rsidTr="00174E7B">
        <w:trPr>
          <w:trHeight w:val="364"/>
        </w:trPr>
        <w:tc>
          <w:tcPr>
            <w:tcW w:w="3693" w:type="pct"/>
          </w:tcPr>
          <w:p w14:paraId="7AEE5B6B" w14:textId="20E80F13" w:rsidR="00FD2288" w:rsidRPr="00C94EFB" w:rsidRDefault="009C1D4F" w:rsidP="001D3C67">
            <w:pPr>
              <w:spacing w:after="0"/>
              <w:rPr>
                <w:rFonts w:cstheme="minorHAnsi"/>
                <w:sz w:val="22"/>
                <w:szCs w:val="22"/>
              </w:rPr>
            </w:pPr>
            <w:r>
              <w:rPr>
                <w:rFonts w:cstheme="minorHAnsi"/>
                <w:sz w:val="22"/>
                <w:szCs w:val="22"/>
              </w:rPr>
              <w:t xml:space="preserve">     </w:t>
            </w:r>
            <w:r w:rsidR="00FD2288" w:rsidRPr="00C94EFB">
              <w:rPr>
                <w:rFonts w:cstheme="minorHAnsi"/>
                <w:sz w:val="22"/>
                <w:szCs w:val="22"/>
              </w:rPr>
              <w:t xml:space="preserve">Udio OIE u </w:t>
            </w:r>
            <w:r w:rsidR="0086726A" w:rsidRPr="00C94EFB">
              <w:rPr>
                <w:rFonts w:cstheme="minorHAnsi"/>
                <w:sz w:val="22"/>
                <w:szCs w:val="22"/>
              </w:rPr>
              <w:t>bruto neposrednoj</w:t>
            </w:r>
            <w:r w:rsidR="00FD2288" w:rsidRPr="00C94EFB">
              <w:rPr>
                <w:rFonts w:cstheme="minorHAnsi"/>
                <w:sz w:val="22"/>
                <w:szCs w:val="22"/>
              </w:rPr>
              <w:t xml:space="preserve"> potrošnji energije</w:t>
            </w:r>
          </w:p>
        </w:tc>
        <w:tc>
          <w:tcPr>
            <w:tcW w:w="1307" w:type="pct"/>
          </w:tcPr>
          <w:p w14:paraId="27911F4A" w14:textId="1418C742" w:rsidR="00FD2288" w:rsidRPr="00C94EFB" w:rsidRDefault="00542FCA" w:rsidP="00174E7B">
            <w:pPr>
              <w:spacing w:after="0"/>
              <w:jc w:val="center"/>
              <w:rPr>
                <w:rFonts w:cstheme="minorHAnsi"/>
                <w:sz w:val="22"/>
                <w:szCs w:val="22"/>
              </w:rPr>
            </w:pPr>
            <w:r w:rsidRPr="00C94EFB">
              <w:rPr>
                <w:rFonts w:cstheme="minorHAnsi"/>
                <w:sz w:val="22"/>
                <w:szCs w:val="22"/>
              </w:rPr>
              <w:t>4</w:t>
            </w:r>
            <w:r w:rsidR="008D7955">
              <w:rPr>
                <w:rFonts w:cstheme="minorHAnsi"/>
                <w:sz w:val="22"/>
                <w:szCs w:val="22"/>
              </w:rPr>
              <w:t>2,5</w:t>
            </w:r>
            <w:r w:rsidR="00FD2288" w:rsidRPr="00C94EFB">
              <w:rPr>
                <w:rFonts w:cstheme="minorHAnsi"/>
                <w:sz w:val="22"/>
                <w:szCs w:val="22"/>
              </w:rPr>
              <w:t xml:space="preserve"> %</w:t>
            </w:r>
          </w:p>
        </w:tc>
      </w:tr>
      <w:tr w:rsidR="00251DFC" w:rsidRPr="00AD624D" w14:paraId="300B9906" w14:textId="77777777" w:rsidTr="00174E7B">
        <w:trPr>
          <w:trHeight w:val="364"/>
        </w:trPr>
        <w:tc>
          <w:tcPr>
            <w:tcW w:w="3693" w:type="pct"/>
          </w:tcPr>
          <w:p w14:paraId="52BA1B22" w14:textId="59062E29" w:rsidR="00251DFC" w:rsidRPr="00CB1895" w:rsidRDefault="00251DFC" w:rsidP="001D3C67">
            <w:pPr>
              <w:spacing w:after="0"/>
              <w:rPr>
                <w:rFonts w:cstheme="minorBidi"/>
                <w:i/>
                <w:iCs/>
                <w:sz w:val="22"/>
                <w:szCs w:val="22"/>
              </w:rPr>
            </w:pPr>
            <w:r w:rsidRPr="00CB1895">
              <w:rPr>
                <w:rFonts w:cstheme="minorBidi"/>
                <w:i/>
                <w:iCs/>
                <w:sz w:val="22"/>
                <w:szCs w:val="22"/>
              </w:rPr>
              <w:t>Energetska učinkovitost</w:t>
            </w:r>
          </w:p>
        </w:tc>
        <w:tc>
          <w:tcPr>
            <w:tcW w:w="1307" w:type="pct"/>
          </w:tcPr>
          <w:p w14:paraId="1B0BD589" w14:textId="3BD91103" w:rsidR="00251DFC" w:rsidRPr="00C94EFB" w:rsidRDefault="00251DFC" w:rsidP="00174E7B">
            <w:pPr>
              <w:spacing w:after="0"/>
              <w:jc w:val="center"/>
              <w:rPr>
                <w:rFonts w:cstheme="minorBidi"/>
                <w:sz w:val="22"/>
                <w:szCs w:val="22"/>
              </w:rPr>
            </w:pPr>
          </w:p>
        </w:tc>
      </w:tr>
      <w:tr w:rsidR="00251DFC" w:rsidRPr="00AD624D" w14:paraId="7B934DCC" w14:textId="77777777" w:rsidTr="00174E7B">
        <w:trPr>
          <w:trHeight w:val="364"/>
        </w:trPr>
        <w:tc>
          <w:tcPr>
            <w:tcW w:w="3693" w:type="pct"/>
            <w:tcBorders>
              <w:bottom w:val="single" w:sz="8" w:space="0" w:color="auto"/>
            </w:tcBorders>
          </w:tcPr>
          <w:p w14:paraId="044046B9" w14:textId="05DDD0AC" w:rsidR="00251DFC" w:rsidRPr="00C94EFB" w:rsidRDefault="009C1D4F" w:rsidP="001D3C67">
            <w:pPr>
              <w:spacing w:after="0"/>
              <w:rPr>
                <w:rFonts w:cstheme="minorHAnsi"/>
                <w:sz w:val="22"/>
                <w:szCs w:val="22"/>
              </w:rPr>
            </w:pPr>
            <w:r>
              <w:rPr>
                <w:rFonts w:cstheme="minorHAnsi"/>
                <w:sz w:val="22"/>
                <w:szCs w:val="22"/>
              </w:rPr>
              <w:t xml:space="preserve">     </w:t>
            </w:r>
            <w:r w:rsidR="00251DFC" w:rsidRPr="00C94EFB">
              <w:rPr>
                <w:rFonts w:cstheme="minorHAnsi"/>
                <w:sz w:val="22"/>
                <w:szCs w:val="22"/>
              </w:rPr>
              <w:t>Potrošnja primarne energije</w:t>
            </w:r>
            <w:r w:rsidR="00251DFC" w:rsidRPr="00C94EFB">
              <w:rPr>
                <w:rStyle w:val="FootnoteReference"/>
                <w:rFonts w:asciiTheme="minorHAnsi" w:hAnsiTheme="minorHAnsi" w:cstheme="minorHAnsi"/>
                <w:szCs w:val="22"/>
              </w:rPr>
              <w:footnoteReference w:id="4"/>
            </w:r>
          </w:p>
        </w:tc>
        <w:tc>
          <w:tcPr>
            <w:tcW w:w="1307" w:type="pct"/>
            <w:tcBorders>
              <w:bottom w:val="single" w:sz="8" w:space="0" w:color="auto"/>
            </w:tcBorders>
          </w:tcPr>
          <w:p w14:paraId="30E5D118" w14:textId="47EC88E6" w:rsidR="00251DFC" w:rsidRPr="00C94EFB" w:rsidRDefault="00251DFC" w:rsidP="00174E7B">
            <w:pPr>
              <w:spacing w:after="0"/>
              <w:jc w:val="center"/>
              <w:rPr>
                <w:rFonts w:cstheme="minorHAnsi"/>
                <w:sz w:val="22"/>
                <w:szCs w:val="22"/>
              </w:rPr>
            </w:pPr>
            <w:r w:rsidRPr="00C94EFB">
              <w:rPr>
                <w:rFonts w:cstheme="minorHAnsi"/>
                <w:sz w:val="22"/>
                <w:szCs w:val="22"/>
              </w:rPr>
              <w:t>3</w:t>
            </w:r>
            <w:r w:rsidR="00830973" w:rsidRPr="00C94EFB">
              <w:rPr>
                <w:rFonts w:cstheme="minorHAnsi"/>
                <w:sz w:val="22"/>
                <w:szCs w:val="22"/>
              </w:rPr>
              <w:t>36,9</w:t>
            </w:r>
            <w:r w:rsidRPr="00C94EFB">
              <w:rPr>
                <w:rFonts w:cstheme="minorHAnsi"/>
                <w:sz w:val="22"/>
                <w:szCs w:val="22"/>
              </w:rPr>
              <w:t xml:space="preserve"> PJ</w:t>
            </w:r>
          </w:p>
        </w:tc>
      </w:tr>
      <w:tr w:rsidR="00251DFC" w:rsidRPr="00AD624D" w14:paraId="4BEF7135" w14:textId="77777777" w:rsidTr="00174E7B">
        <w:trPr>
          <w:trHeight w:val="364"/>
        </w:trPr>
        <w:tc>
          <w:tcPr>
            <w:tcW w:w="3693" w:type="pct"/>
          </w:tcPr>
          <w:p w14:paraId="5D1C8145" w14:textId="1B5529B9" w:rsidR="00251DFC" w:rsidRPr="00C94EFB" w:rsidRDefault="009C1D4F" w:rsidP="001D3C67">
            <w:pPr>
              <w:spacing w:after="0"/>
              <w:rPr>
                <w:rFonts w:cstheme="minorHAnsi"/>
                <w:sz w:val="22"/>
                <w:szCs w:val="22"/>
              </w:rPr>
            </w:pPr>
            <w:r>
              <w:rPr>
                <w:rFonts w:cstheme="minorHAnsi"/>
                <w:sz w:val="22"/>
                <w:szCs w:val="22"/>
              </w:rPr>
              <w:t xml:space="preserve">     </w:t>
            </w:r>
            <w:r w:rsidR="00251DFC" w:rsidRPr="00C94EFB">
              <w:rPr>
                <w:rFonts w:cstheme="minorHAnsi"/>
                <w:sz w:val="22"/>
                <w:szCs w:val="22"/>
              </w:rPr>
              <w:t>Neposredna potrošnja energije</w:t>
            </w:r>
          </w:p>
        </w:tc>
        <w:tc>
          <w:tcPr>
            <w:tcW w:w="1307" w:type="pct"/>
          </w:tcPr>
          <w:p w14:paraId="29981F24" w14:textId="13A4BB87" w:rsidR="00251DFC" w:rsidRPr="00C94EFB" w:rsidRDefault="00251DFC" w:rsidP="00174E7B">
            <w:pPr>
              <w:spacing w:after="0"/>
              <w:jc w:val="center"/>
              <w:rPr>
                <w:rFonts w:cstheme="minorHAnsi"/>
                <w:sz w:val="22"/>
                <w:szCs w:val="22"/>
              </w:rPr>
            </w:pPr>
            <w:r w:rsidRPr="00C94EFB">
              <w:rPr>
                <w:rFonts w:cstheme="minorHAnsi"/>
                <w:sz w:val="22"/>
                <w:szCs w:val="22"/>
              </w:rPr>
              <w:t>2</w:t>
            </w:r>
            <w:r w:rsidR="00576C31" w:rsidRPr="00C94EFB">
              <w:rPr>
                <w:rFonts w:cstheme="minorHAnsi"/>
                <w:sz w:val="22"/>
                <w:szCs w:val="22"/>
              </w:rPr>
              <w:t>46,2</w:t>
            </w:r>
            <w:r w:rsidRPr="00C94EFB">
              <w:rPr>
                <w:rFonts w:cstheme="minorHAnsi"/>
                <w:sz w:val="22"/>
                <w:szCs w:val="22"/>
              </w:rPr>
              <w:t xml:space="preserve"> PJ</w:t>
            </w:r>
          </w:p>
        </w:tc>
      </w:tr>
      <w:bookmarkEnd w:id="27"/>
    </w:tbl>
    <w:p w14:paraId="21F8CB38" w14:textId="77777777" w:rsidR="00B67268" w:rsidRPr="00C94EFB" w:rsidRDefault="00B67268" w:rsidP="004623DD">
      <w:pPr>
        <w:rPr>
          <w:sz w:val="22"/>
          <w:szCs w:val="22"/>
        </w:rPr>
      </w:pPr>
    </w:p>
    <w:p w14:paraId="2623F736" w14:textId="3DC6B1CC" w:rsidR="00E87F30" w:rsidRPr="00D4303E" w:rsidRDefault="00791586" w:rsidP="004623DD">
      <w:r w:rsidRPr="00D4303E">
        <w:t>M</w:t>
      </w:r>
      <w:r w:rsidR="004E0694" w:rsidRPr="00D4303E">
        <w:t xml:space="preserve">jere </w:t>
      </w:r>
      <w:r w:rsidR="0090031F" w:rsidRPr="00D4303E">
        <w:t>relevantne za pojedine dimenzije energetske unije</w:t>
      </w:r>
      <w:r w:rsidR="004E0694" w:rsidRPr="00D4303E">
        <w:t xml:space="preserve"> prikazuje </w:t>
      </w:r>
      <w:r w:rsidR="50E4F316" w:rsidRPr="00D4303E">
        <w:t>T</w:t>
      </w:r>
      <w:r w:rsidR="093188E6" w:rsidRPr="00D4303E">
        <w:t>ablica</w:t>
      </w:r>
      <w:r w:rsidR="006237B2" w:rsidRPr="00D4303E">
        <w:t xml:space="preserve"> </w:t>
      </w:r>
      <w:r w:rsidR="006639F2" w:rsidRPr="00D4303E">
        <w:fldChar w:fldCharType="begin"/>
      </w:r>
      <w:r w:rsidR="006639F2" w:rsidRPr="00D4303E">
        <w:instrText xml:space="preserve"> REF _Ref531506913 \h </w:instrText>
      </w:r>
      <w:r w:rsidR="006B010E" w:rsidRPr="00D4303E">
        <w:instrText xml:space="preserve"> \* MERGEFORMAT </w:instrText>
      </w:r>
      <w:r w:rsidR="006639F2" w:rsidRPr="00D4303E">
        <w:fldChar w:fldCharType="separate"/>
      </w:r>
      <w:r w:rsidR="00AD324D">
        <w:t>1</w:t>
      </w:r>
      <w:r w:rsidR="00AD324D" w:rsidRPr="00B47BDA">
        <w:noBreakHyphen/>
      </w:r>
      <w:r w:rsidR="00AD324D">
        <w:t>4</w:t>
      </w:r>
      <w:r w:rsidR="00AD324D" w:rsidRPr="00B47BDA">
        <w:t>.</w:t>
      </w:r>
      <w:r w:rsidR="006639F2" w:rsidRPr="00D4303E">
        <w:fldChar w:fldCharType="end"/>
      </w:r>
    </w:p>
    <w:p w14:paraId="78080A43" w14:textId="6D24BCC0" w:rsidR="004E0694" w:rsidRPr="00D4303E" w:rsidRDefault="00166381" w:rsidP="0010052C">
      <w:r w:rsidRPr="00D4303E">
        <w:t xml:space="preserve">Većina mjera relevantna je i za izvještavanje o politikama i mjerama za smanjenje emisija i o projekcijama stakleničkih plinova prema Europskoj </w:t>
      </w:r>
      <w:r w:rsidR="007A7028" w:rsidRPr="00D4303E">
        <w:t>k</w:t>
      </w:r>
      <w:r w:rsidRPr="00D4303E">
        <w:t xml:space="preserve">omisiji u okviru Uredbe </w:t>
      </w:r>
      <w:r w:rsidR="004C7BEA">
        <w:t xml:space="preserve">(EU) 2018/899 </w:t>
      </w:r>
      <w:r w:rsidRPr="00D4303E">
        <w:t xml:space="preserve">o upravljanju energetskom unijom </w:t>
      </w:r>
      <w:r w:rsidR="00B51216">
        <w:t xml:space="preserve">i djelovanjem </w:t>
      </w:r>
      <w:r w:rsidR="006B32D3">
        <w:t xml:space="preserve">u području klime </w:t>
      </w:r>
      <w:r w:rsidRPr="00D4303E">
        <w:t xml:space="preserve">te prema UNFCCC u okviru </w:t>
      </w:r>
      <w:r w:rsidRPr="00D4303E">
        <w:lastRenderedPageBreak/>
        <w:t xml:space="preserve">izrade nacionalnih i dvogodišnjih izvješća Republike Hrvatske pa tablica uz kraticu koja ukazuje na dimenziju energetske unije na koju se mjera primarno odnosi, sadrži i kraticu koja se koristi u okviru navedenog izvještavanja. </w:t>
      </w:r>
      <w:r w:rsidR="00E14C3D" w:rsidRPr="00D4303E">
        <w:t>Utjecaji na druge dimenzije energetske unije, prilagodbu klimatskim promjenama i kružno gospodarstvo</w:t>
      </w:r>
      <w:r w:rsidR="4CBD3818">
        <w:t>,</w:t>
      </w:r>
      <w:r w:rsidR="00E14C3D" w:rsidRPr="00D4303E">
        <w:t xml:space="preserve"> </w:t>
      </w:r>
      <w:r w:rsidR="008B3D5C" w:rsidRPr="00D4303E">
        <w:t>navedeni su uz opis pojedine mjere.</w:t>
      </w:r>
    </w:p>
    <w:p w14:paraId="460FE939" w14:textId="36DD4359" w:rsidR="52886F97" w:rsidRDefault="5D702B1B" w:rsidP="52886F97">
      <w:r w:rsidRPr="63259912">
        <w:t xml:space="preserve">U planiranju i provedbi svih mjera primjena DNSH-načela 'Ne čini značajnu štetu' </w:t>
      </w:r>
      <w:r w:rsidR="300DD709" w:rsidRPr="63259912">
        <w:t xml:space="preserve">koje </w:t>
      </w:r>
      <w:r w:rsidRPr="63259912">
        <w:t xml:space="preserve">ima za cilj osigurati da projekti ne uzrokuju značajnu štetu šest ekoloških ciljeva definiranih u </w:t>
      </w:r>
      <w:r w:rsidR="00180A6A" w:rsidRPr="63259912">
        <w:t>Uredb</w:t>
      </w:r>
      <w:r w:rsidR="00517F9D" w:rsidRPr="63259912">
        <w:t>i</w:t>
      </w:r>
      <w:r w:rsidR="00180A6A" w:rsidRPr="63259912">
        <w:t xml:space="preserve"> (EU) 2020/852 Europskog parlamenta i Vijeća od 18. lipnja 2020. o uspostavi okvira za olakšavanje održivih ulaganja i izmjeni Uredbe (EU) 2019/2088 (Tekst značajan za EGP)</w:t>
      </w:r>
      <w:r w:rsidR="00456C2B" w:rsidRPr="63259912">
        <w:t xml:space="preserve"> (SL L </w:t>
      </w:r>
      <w:r w:rsidR="00B45B84" w:rsidRPr="63259912">
        <w:t>198,</w:t>
      </w:r>
      <w:r w:rsidR="00670B70" w:rsidRPr="63259912">
        <w:t> </w:t>
      </w:r>
      <w:r w:rsidR="00B45B84" w:rsidRPr="63259912">
        <w:t>22.6.2020.)</w:t>
      </w:r>
      <w:r w:rsidR="00733FFE" w:rsidRPr="63259912">
        <w:t xml:space="preserve"> </w:t>
      </w:r>
      <w:r w:rsidR="00B45B84" w:rsidRPr="63259912">
        <w:t xml:space="preserve">(u daljnjem tekstu: Uredba o održivom ulaganju) </w:t>
      </w:r>
      <w:r w:rsidR="1F742D99" w:rsidRPr="63259912">
        <w:t xml:space="preserve">ima imperativ. </w:t>
      </w:r>
      <w:r w:rsidR="00F1244F" w:rsidRPr="63259912">
        <w:t>Infras</w:t>
      </w:r>
      <w:r w:rsidR="32EC6D3E" w:rsidRPr="63259912">
        <w:t>trukturn</w:t>
      </w:r>
      <w:r w:rsidR="754F4B25" w:rsidRPr="63259912">
        <w:t>i</w:t>
      </w:r>
      <w:r w:rsidR="32EC6D3E" w:rsidRPr="63259912">
        <w:t xml:space="preserve"> projekt</w:t>
      </w:r>
      <w:r w:rsidR="58340FE5" w:rsidRPr="63259912">
        <w:t>i</w:t>
      </w:r>
      <w:r w:rsidR="1F742D99" w:rsidRPr="63259912">
        <w:t xml:space="preserve"> čiji</w:t>
      </w:r>
      <w:r w:rsidR="3C11E702" w:rsidRPr="63259912">
        <w:t xml:space="preserve"> je vijek trajanja duži od pet (5) godina pripremat će se primjenjujući </w:t>
      </w:r>
      <w:r w:rsidR="00BF27D2" w:rsidRPr="63259912">
        <w:t xml:space="preserve">Obavijest Komisije - </w:t>
      </w:r>
      <w:r w:rsidR="14BAF764" w:rsidRPr="63259912">
        <w:t>Tehničke smjernice za pripremu infrastrukture za klimatske promjene u razdoblju 2021. – 2027. (</w:t>
      </w:r>
      <w:r w:rsidR="0036317E" w:rsidRPr="63259912">
        <w:t>SL C 373,</w:t>
      </w:r>
      <w:r w:rsidR="00670B70" w:rsidRPr="63259912">
        <w:t> </w:t>
      </w:r>
      <w:r w:rsidR="0036317E" w:rsidRPr="63259912">
        <w:t>16.9.202</w:t>
      </w:r>
      <w:r w:rsidR="14BAF764" w:rsidRPr="63259912">
        <w:t>1</w:t>
      </w:r>
      <w:r w:rsidR="0036317E" w:rsidRPr="63259912">
        <w:t>.</w:t>
      </w:r>
      <w:r w:rsidR="14BAF764" w:rsidRPr="63259912">
        <w:t xml:space="preserve">) tj. </w:t>
      </w:r>
      <w:r w:rsidR="3BFEBAB3" w:rsidRPr="63259912">
        <w:t>p</w:t>
      </w:r>
      <w:r w:rsidR="14BAF764" w:rsidRPr="63259912">
        <w:t>rimjenjivat će se proces klimatskog po</w:t>
      </w:r>
      <w:r w:rsidR="7776FCD9" w:rsidRPr="63259912">
        <w:t>t</w:t>
      </w:r>
      <w:r w:rsidR="14BAF764" w:rsidRPr="63259912">
        <w:t xml:space="preserve">vrđivanja (eng. </w:t>
      </w:r>
      <w:r w:rsidR="32FA984C" w:rsidRPr="63259912">
        <w:t>cl</w:t>
      </w:r>
      <w:r w:rsidR="14BAF764" w:rsidRPr="63259912">
        <w:t>imate p</w:t>
      </w:r>
      <w:r w:rsidR="42F871D4" w:rsidRPr="63259912">
        <w:t>roofing).</w:t>
      </w:r>
      <w:r w:rsidR="14BAF764" w:rsidRPr="63259912">
        <w:t xml:space="preserve"> </w:t>
      </w:r>
    </w:p>
    <w:p w14:paraId="3D6C52F0" w14:textId="2E38FB7D" w:rsidR="00EA074C" w:rsidRPr="00D4303E" w:rsidRDefault="00C230BB" w:rsidP="0010052C">
      <w:r w:rsidRPr="00D4303E">
        <w:t>Sve mjere iz Plana za koje se kao potencijalni izvor financiranja navodi neki od EU fondova</w:t>
      </w:r>
      <w:r w:rsidR="6D77B48F">
        <w:t>,</w:t>
      </w:r>
      <w:r w:rsidR="09526E14">
        <w:t xml:space="preserve"> uključuj</w:t>
      </w:r>
      <w:r w:rsidR="7BD71368">
        <w:t>u</w:t>
      </w:r>
      <w:r w:rsidRPr="00D4303E">
        <w:t xml:space="preserve"> i mogućnost financiranja iz EGP financijskog mehanizma, Norveškog financijskog mehanizma i Švicarsko</w:t>
      </w:r>
      <w:r w:rsidR="23EA85C1">
        <w:t>-</w:t>
      </w:r>
      <w:r w:rsidRPr="00D4303E">
        <w:t>hrvatskog programa suradnje, pod uvjetom da</w:t>
      </w:r>
      <w:r w:rsidR="2835E39D">
        <w:t>,</w:t>
      </w:r>
      <w:r w:rsidRPr="00D4303E">
        <w:t xml:space="preserve"> sukladno pravnom okviru navedenih financijskih mehanizama</w:t>
      </w:r>
      <w:r w:rsidR="619273CF">
        <w:t>,</w:t>
      </w:r>
      <w:r w:rsidRPr="00D4303E">
        <w:t xml:space="preserve"> troškovi koji se financiraju u okviru navedenih mjera predstavljaju prihvatljive troškove.</w:t>
      </w:r>
    </w:p>
    <w:p w14:paraId="169F78FF" w14:textId="6BCA691E" w:rsidR="006C252D" w:rsidRDefault="006C252D">
      <w:pPr>
        <w:spacing w:after="0"/>
      </w:pPr>
      <w:r>
        <w:br w:type="page"/>
      </w:r>
    </w:p>
    <w:p w14:paraId="2E4D1963" w14:textId="6A0A0B89" w:rsidR="002871BC" w:rsidRPr="00B47BDA" w:rsidRDefault="002871BC" w:rsidP="005C2C7E">
      <w:pPr>
        <w:pStyle w:val="Heading4"/>
        <w:numPr>
          <w:ilvl w:val="3"/>
          <w:numId w:val="175"/>
        </w:numPr>
        <w:ind w:hanging="580"/>
      </w:pPr>
      <w:r w:rsidRPr="00B47BDA">
        <w:lastRenderedPageBreak/>
        <w:t>Tablični prikaz mjera plana</w:t>
      </w:r>
    </w:p>
    <w:p w14:paraId="4BFD690C" w14:textId="77777777" w:rsidR="002871BC" w:rsidRDefault="002871BC" w:rsidP="00B04E4C">
      <w:pPr>
        <w:pStyle w:val="Caption"/>
      </w:pPr>
    </w:p>
    <w:p w14:paraId="18BB3479" w14:textId="00986B2E" w:rsidR="004E0694" w:rsidRPr="00B47BDA" w:rsidRDefault="006639F2" w:rsidP="00B04E4C">
      <w:pPr>
        <w:pStyle w:val="Caption"/>
      </w:pPr>
      <w:bookmarkStart w:id="28" w:name="_Toc193035932"/>
      <w:r w:rsidRPr="00B47BDA">
        <w:t xml:space="preserve">Tablica </w:t>
      </w:r>
      <w:bookmarkStart w:id="29" w:name="_Ref531506913"/>
      <w:r w:rsidR="00F56C25">
        <w:fldChar w:fldCharType="begin"/>
      </w:r>
      <w:r w:rsidR="00F56C25">
        <w:instrText xml:space="preserve"> STYLEREF 1 \s </w:instrText>
      </w:r>
      <w:r w:rsidR="00F56C25">
        <w:fldChar w:fldCharType="separate"/>
      </w:r>
      <w:r w:rsidR="00AD324D">
        <w:rPr>
          <w:noProof/>
        </w:rPr>
        <w:t>1</w:t>
      </w:r>
      <w:r w:rsidR="00F56C25">
        <w:fldChar w:fldCharType="end"/>
      </w:r>
      <w:r w:rsidR="000C3EFD" w:rsidRPr="00B47BDA">
        <w:noBreakHyphen/>
      </w:r>
      <w:r>
        <w:fldChar w:fldCharType="begin"/>
      </w:r>
      <w:r>
        <w:instrText>SEQ Tablica \* ARABIC \s 1</w:instrText>
      </w:r>
      <w:r>
        <w:fldChar w:fldCharType="separate"/>
      </w:r>
      <w:r w:rsidR="00AD324D">
        <w:rPr>
          <w:noProof/>
        </w:rPr>
        <w:t>4</w:t>
      </w:r>
      <w:r>
        <w:fldChar w:fldCharType="end"/>
      </w:r>
      <w:r w:rsidR="00F458D6" w:rsidRPr="00B47BDA">
        <w:t>.</w:t>
      </w:r>
      <w:bookmarkEnd w:id="29"/>
      <w:r w:rsidR="00A87274" w:rsidRPr="00B47BDA">
        <w:t xml:space="preserve"> </w:t>
      </w:r>
      <w:r w:rsidRPr="00B47BDA">
        <w:t>Pregled mjera</w:t>
      </w:r>
      <w:bookmarkEnd w:id="28"/>
    </w:p>
    <w:tbl>
      <w:tblPr>
        <w:tblStyle w:val="NECP"/>
        <w:tblW w:w="9346" w:type="dxa"/>
        <w:tblLook w:val="04A0" w:firstRow="1" w:lastRow="0" w:firstColumn="1" w:lastColumn="0" w:noHBand="0" w:noVBand="1"/>
      </w:tblPr>
      <w:tblGrid>
        <w:gridCol w:w="1124"/>
        <w:gridCol w:w="1169"/>
        <w:gridCol w:w="5919"/>
        <w:gridCol w:w="1134"/>
      </w:tblGrid>
      <w:tr w:rsidR="00532D3D" w:rsidRPr="005128B6" w14:paraId="57A4A150" w14:textId="14C9465B" w:rsidTr="63259912">
        <w:trPr>
          <w:cnfStyle w:val="100000000000" w:firstRow="1" w:lastRow="0" w:firstColumn="0" w:lastColumn="0" w:oddVBand="0" w:evenVBand="0" w:oddHBand="0" w:evenHBand="0" w:firstRowFirstColumn="0" w:firstRowLastColumn="0" w:lastRowFirstColumn="0" w:lastRowLastColumn="0"/>
          <w:trHeight w:val="883"/>
        </w:trPr>
        <w:tc>
          <w:tcPr>
            <w:tcW w:w="1124" w:type="dxa"/>
            <w:shd w:val="clear" w:color="auto" w:fill="D9E2F3" w:themeFill="accent5" w:themeFillTint="33"/>
            <w:tcMar>
              <w:left w:w="57" w:type="dxa"/>
              <w:right w:w="57" w:type="dxa"/>
            </w:tcMar>
          </w:tcPr>
          <w:p w14:paraId="03CE84A0" w14:textId="00F28C15" w:rsidR="00532D3D" w:rsidRPr="005128B6" w:rsidRDefault="00532D3D" w:rsidP="004D14AC">
            <w:pPr>
              <w:spacing w:after="0"/>
              <w:jc w:val="center"/>
              <w:rPr>
                <w:sz w:val="22"/>
                <w:szCs w:val="22"/>
              </w:rPr>
            </w:pPr>
            <w:bookmarkStart w:id="30" w:name="_Hlk26361237"/>
            <w:r w:rsidRPr="005128B6">
              <w:rPr>
                <w:sz w:val="22"/>
                <w:szCs w:val="22"/>
              </w:rPr>
              <w:t>Kratica 1</w:t>
            </w:r>
            <w:r w:rsidRPr="20C1EDF1">
              <w:rPr>
                <w:rStyle w:val="FootnoteReference"/>
              </w:rPr>
              <w:footnoteReference w:id="5"/>
            </w:r>
          </w:p>
        </w:tc>
        <w:tc>
          <w:tcPr>
            <w:tcW w:w="1169" w:type="dxa"/>
            <w:shd w:val="clear" w:color="auto" w:fill="D9E2F3" w:themeFill="accent5" w:themeFillTint="33"/>
            <w:tcMar>
              <w:left w:w="57" w:type="dxa"/>
              <w:right w:w="57" w:type="dxa"/>
            </w:tcMar>
          </w:tcPr>
          <w:p w14:paraId="3B65BC6C" w14:textId="64383508" w:rsidR="00532D3D" w:rsidRPr="005128B6" w:rsidRDefault="00532D3D" w:rsidP="004D14AC">
            <w:pPr>
              <w:spacing w:after="0"/>
              <w:jc w:val="center"/>
              <w:rPr>
                <w:sz w:val="22"/>
                <w:szCs w:val="22"/>
              </w:rPr>
            </w:pPr>
            <w:r w:rsidRPr="005128B6">
              <w:rPr>
                <w:sz w:val="22"/>
                <w:szCs w:val="22"/>
              </w:rPr>
              <w:t>Kratica 2</w:t>
            </w:r>
            <w:r w:rsidRPr="20C1EDF1">
              <w:rPr>
                <w:rStyle w:val="FootnoteReference"/>
              </w:rPr>
              <w:footnoteReference w:id="6"/>
            </w:r>
          </w:p>
        </w:tc>
        <w:tc>
          <w:tcPr>
            <w:tcW w:w="5919" w:type="dxa"/>
            <w:shd w:val="clear" w:color="auto" w:fill="D9E2F3" w:themeFill="accent5" w:themeFillTint="33"/>
            <w:tcMar>
              <w:left w:w="57" w:type="dxa"/>
              <w:right w:w="57" w:type="dxa"/>
            </w:tcMar>
          </w:tcPr>
          <w:p w14:paraId="24C29396" w14:textId="359F4D50" w:rsidR="00532D3D" w:rsidRPr="005128B6" w:rsidRDefault="00532D3D" w:rsidP="003D09A5">
            <w:pPr>
              <w:jc w:val="center"/>
              <w:rPr>
                <w:sz w:val="22"/>
                <w:szCs w:val="22"/>
              </w:rPr>
            </w:pPr>
            <w:r w:rsidRPr="005128B6">
              <w:rPr>
                <w:sz w:val="22"/>
                <w:szCs w:val="22"/>
              </w:rPr>
              <w:t>Naziv</w:t>
            </w:r>
          </w:p>
        </w:tc>
        <w:tc>
          <w:tcPr>
            <w:tcW w:w="1134" w:type="dxa"/>
            <w:shd w:val="clear" w:color="auto" w:fill="D9E2F3" w:themeFill="accent5" w:themeFillTint="33"/>
            <w:tcMar>
              <w:left w:w="57" w:type="dxa"/>
              <w:right w:w="57" w:type="dxa"/>
            </w:tcMar>
          </w:tcPr>
          <w:p w14:paraId="5BE7A8AE" w14:textId="658EEEC8" w:rsidR="00532D3D" w:rsidRPr="005128B6" w:rsidRDefault="00532D3D" w:rsidP="003D09A5">
            <w:pPr>
              <w:jc w:val="center"/>
              <w:rPr>
                <w:sz w:val="22"/>
                <w:szCs w:val="22"/>
              </w:rPr>
            </w:pPr>
            <w:r w:rsidRPr="005128B6">
              <w:rPr>
                <w:sz w:val="22"/>
                <w:szCs w:val="22"/>
              </w:rPr>
              <w:t>Utjecaj na ostale dimenzije</w:t>
            </w:r>
          </w:p>
        </w:tc>
      </w:tr>
      <w:tr w:rsidR="00532D3D" w:rsidRPr="005128B6" w14:paraId="241C1C53" w14:textId="3ADEE807" w:rsidTr="63259912">
        <w:tc>
          <w:tcPr>
            <w:tcW w:w="9346" w:type="dxa"/>
            <w:gridSpan w:val="4"/>
            <w:tcMar>
              <w:left w:w="57" w:type="dxa"/>
              <w:right w:w="57" w:type="dxa"/>
            </w:tcMar>
          </w:tcPr>
          <w:p w14:paraId="48DFA180" w14:textId="6111DE78" w:rsidR="00532D3D" w:rsidRPr="005128B6" w:rsidRDefault="00532D3D" w:rsidP="63259912">
            <w:pPr>
              <w:rPr>
                <w:b/>
                <w:bCs/>
                <w:sz w:val="22"/>
                <w:szCs w:val="22"/>
              </w:rPr>
            </w:pPr>
            <w:r w:rsidRPr="63259912">
              <w:rPr>
                <w:b/>
                <w:bCs/>
                <w:sz w:val="22"/>
                <w:szCs w:val="22"/>
              </w:rPr>
              <w:t>Dekarbonizacija</w:t>
            </w:r>
          </w:p>
        </w:tc>
      </w:tr>
      <w:tr w:rsidR="00532D3D" w:rsidRPr="005128B6" w14:paraId="28C78396" w14:textId="3AABEF7F" w:rsidTr="63259912">
        <w:tc>
          <w:tcPr>
            <w:tcW w:w="1124" w:type="dxa"/>
            <w:tcMar>
              <w:left w:w="57" w:type="dxa"/>
              <w:right w:w="57" w:type="dxa"/>
            </w:tcMar>
          </w:tcPr>
          <w:p w14:paraId="007B4EA4" w14:textId="36AB0168" w:rsidR="00532D3D" w:rsidRPr="005128B6" w:rsidRDefault="00532D3D" w:rsidP="004623DD">
            <w:pPr>
              <w:rPr>
                <w:sz w:val="22"/>
                <w:szCs w:val="22"/>
              </w:rPr>
            </w:pPr>
            <w:r w:rsidRPr="005128B6">
              <w:rPr>
                <w:sz w:val="22"/>
                <w:szCs w:val="22"/>
              </w:rPr>
              <w:t>MS-1</w:t>
            </w:r>
          </w:p>
        </w:tc>
        <w:tc>
          <w:tcPr>
            <w:tcW w:w="1169" w:type="dxa"/>
            <w:tcMar>
              <w:left w:w="57" w:type="dxa"/>
              <w:right w:w="57" w:type="dxa"/>
            </w:tcMar>
          </w:tcPr>
          <w:p w14:paraId="0EFFDD0D" w14:textId="1CA4C8A3" w:rsidR="00532D3D" w:rsidRPr="005128B6" w:rsidRDefault="00F11D7C" w:rsidP="004623DD">
            <w:pPr>
              <w:rPr>
                <w:sz w:val="22"/>
                <w:szCs w:val="22"/>
              </w:rPr>
            </w:pPr>
            <w:r w:rsidRPr="005128B6">
              <w:rPr>
                <w:sz w:val="22"/>
                <w:szCs w:val="22"/>
              </w:rPr>
              <w:t>MCC-</w:t>
            </w:r>
            <w:r w:rsidR="000A6082" w:rsidRPr="005128B6">
              <w:rPr>
                <w:sz w:val="22"/>
                <w:szCs w:val="22"/>
              </w:rPr>
              <w:t>1</w:t>
            </w:r>
          </w:p>
        </w:tc>
        <w:tc>
          <w:tcPr>
            <w:tcW w:w="5919" w:type="dxa"/>
            <w:tcMar>
              <w:left w:w="57" w:type="dxa"/>
              <w:right w:w="57" w:type="dxa"/>
            </w:tcMar>
          </w:tcPr>
          <w:p w14:paraId="04616E0C" w14:textId="5ECAFC46" w:rsidR="00532D3D" w:rsidRPr="005128B6" w:rsidRDefault="001555B3" w:rsidP="004623DD">
            <w:pPr>
              <w:rPr>
                <w:sz w:val="22"/>
                <w:szCs w:val="22"/>
              </w:rPr>
            </w:pPr>
            <w:r w:rsidRPr="001555B3">
              <w:rPr>
                <w:sz w:val="22"/>
                <w:szCs w:val="22"/>
              </w:rPr>
              <w:t>Jačanje upravljanja za postizanje klimatskih ciljeva</w:t>
            </w:r>
          </w:p>
        </w:tc>
        <w:tc>
          <w:tcPr>
            <w:tcW w:w="1134" w:type="dxa"/>
            <w:shd w:val="clear" w:color="auto" w:fill="auto"/>
            <w:tcMar>
              <w:left w:w="57" w:type="dxa"/>
              <w:right w:w="57" w:type="dxa"/>
            </w:tcMar>
          </w:tcPr>
          <w:p w14:paraId="71CB76C7" w14:textId="6B86BF0D" w:rsidR="00532D3D" w:rsidRPr="005128B6" w:rsidRDefault="00532D3D" w:rsidP="004623DD">
            <w:pPr>
              <w:rPr>
                <w:sz w:val="22"/>
                <w:szCs w:val="22"/>
              </w:rPr>
            </w:pPr>
            <w:r w:rsidRPr="005128B6">
              <w:rPr>
                <w:sz w:val="22"/>
                <w:szCs w:val="22"/>
              </w:rPr>
              <w:t>2,3,4,5</w:t>
            </w:r>
          </w:p>
        </w:tc>
      </w:tr>
      <w:tr w:rsidR="00532D3D" w:rsidRPr="005128B6" w14:paraId="5F977B12" w14:textId="77777777" w:rsidTr="63259912">
        <w:tc>
          <w:tcPr>
            <w:tcW w:w="1124" w:type="dxa"/>
            <w:tcMar>
              <w:left w:w="57" w:type="dxa"/>
              <w:right w:w="57" w:type="dxa"/>
            </w:tcMar>
          </w:tcPr>
          <w:p w14:paraId="4D0929BF" w14:textId="70544F9E" w:rsidR="00532D3D" w:rsidRPr="005128B6" w:rsidRDefault="00532D3D" w:rsidP="004623DD">
            <w:pPr>
              <w:rPr>
                <w:sz w:val="22"/>
                <w:szCs w:val="22"/>
              </w:rPr>
            </w:pPr>
            <w:r w:rsidRPr="005128B6">
              <w:rPr>
                <w:sz w:val="22"/>
                <w:szCs w:val="22"/>
              </w:rPr>
              <w:t>MS-2</w:t>
            </w:r>
          </w:p>
        </w:tc>
        <w:tc>
          <w:tcPr>
            <w:tcW w:w="1169" w:type="dxa"/>
            <w:tcMar>
              <w:left w:w="57" w:type="dxa"/>
              <w:right w:w="57" w:type="dxa"/>
            </w:tcMar>
          </w:tcPr>
          <w:p w14:paraId="0B4B2006" w14:textId="78B1E29D" w:rsidR="00532D3D" w:rsidRPr="005128B6" w:rsidRDefault="00F11D7C" w:rsidP="004623DD">
            <w:pPr>
              <w:rPr>
                <w:sz w:val="22"/>
                <w:szCs w:val="22"/>
              </w:rPr>
            </w:pPr>
            <w:r w:rsidRPr="005128B6">
              <w:rPr>
                <w:sz w:val="22"/>
                <w:szCs w:val="22"/>
              </w:rPr>
              <w:t>MCC-</w:t>
            </w:r>
            <w:r w:rsidR="000A6082" w:rsidRPr="005128B6">
              <w:rPr>
                <w:sz w:val="22"/>
                <w:szCs w:val="22"/>
              </w:rPr>
              <w:t>2</w:t>
            </w:r>
          </w:p>
        </w:tc>
        <w:tc>
          <w:tcPr>
            <w:tcW w:w="5919" w:type="dxa"/>
            <w:tcMar>
              <w:left w:w="57" w:type="dxa"/>
              <w:right w:w="57" w:type="dxa"/>
            </w:tcMar>
          </w:tcPr>
          <w:p w14:paraId="739373CD" w14:textId="5FE073DB" w:rsidR="00532D3D" w:rsidRPr="005128B6" w:rsidRDefault="003946A8" w:rsidP="004623DD">
            <w:pPr>
              <w:rPr>
                <w:sz w:val="22"/>
                <w:szCs w:val="22"/>
              </w:rPr>
            </w:pPr>
            <w:r w:rsidRPr="005128B6">
              <w:rPr>
                <w:sz w:val="22"/>
                <w:szCs w:val="22"/>
              </w:rPr>
              <w:t>O</w:t>
            </w:r>
            <w:r w:rsidR="00532D3D" w:rsidRPr="005128B6">
              <w:rPr>
                <w:sz w:val="22"/>
                <w:szCs w:val="22"/>
              </w:rPr>
              <w:t>snivanj</w:t>
            </w:r>
            <w:r w:rsidRPr="005128B6">
              <w:rPr>
                <w:sz w:val="22"/>
                <w:szCs w:val="22"/>
              </w:rPr>
              <w:t>e</w:t>
            </w:r>
            <w:r w:rsidR="00532D3D" w:rsidRPr="005128B6">
              <w:rPr>
                <w:sz w:val="22"/>
                <w:szCs w:val="22"/>
              </w:rPr>
              <w:t xml:space="preserve"> regionalnih energetskih i klimatskih agencija i izgradnja kapaciteta</w:t>
            </w:r>
          </w:p>
        </w:tc>
        <w:tc>
          <w:tcPr>
            <w:tcW w:w="1134" w:type="dxa"/>
            <w:shd w:val="clear" w:color="auto" w:fill="auto"/>
            <w:tcMar>
              <w:left w:w="57" w:type="dxa"/>
              <w:right w:w="57" w:type="dxa"/>
            </w:tcMar>
          </w:tcPr>
          <w:p w14:paraId="7ACE837E" w14:textId="6DC6EF20" w:rsidR="00532D3D" w:rsidRPr="005128B6" w:rsidRDefault="00532D3D" w:rsidP="004623DD">
            <w:pPr>
              <w:rPr>
                <w:sz w:val="22"/>
                <w:szCs w:val="22"/>
              </w:rPr>
            </w:pPr>
            <w:r w:rsidRPr="005128B6">
              <w:rPr>
                <w:sz w:val="22"/>
                <w:szCs w:val="22"/>
              </w:rPr>
              <w:t>2,3,4,5</w:t>
            </w:r>
          </w:p>
        </w:tc>
      </w:tr>
      <w:tr w:rsidR="00532D3D" w:rsidRPr="005128B6" w14:paraId="70510D08" w14:textId="2D7D31B3" w:rsidTr="63259912">
        <w:tc>
          <w:tcPr>
            <w:tcW w:w="1124" w:type="dxa"/>
            <w:tcMar>
              <w:left w:w="57" w:type="dxa"/>
              <w:right w:w="57" w:type="dxa"/>
            </w:tcMar>
          </w:tcPr>
          <w:p w14:paraId="4D6F2F07" w14:textId="2E20B5E3" w:rsidR="00532D3D" w:rsidRPr="005128B6" w:rsidRDefault="00532D3D" w:rsidP="004623DD">
            <w:pPr>
              <w:rPr>
                <w:sz w:val="22"/>
                <w:szCs w:val="22"/>
              </w:rPr>
            </w:pPr>
            <w:r w:rsidRPr="005128B6">
              <w:rPr>
                <w:sz w:val="22"/>
                <w:szCs w:val="22"/>
              </w:rPr>
              <w:t>MS-</w:t>
            </w:r>
            <w:r w:rsidR="004C7EB8" w:rsidRPr="005128B6">
              <w:rPr>
                <w:sz w:val="22"/>
                <w:szCs w:val="22"/>
              </w:rPr>
              <w:t>3</w:t>
            </w:r>
          </w:p>
        </w:tc>
        <w:tc>
          <w:tcPr>
            <w:tcW w:w="1169" w:type="dxa"/>
            <w:tcMar>
              <w:left w:w="57" w:type="dxa"/>
              <w:right w:w="57" w:type="dxa"/>
            </w:tcMar>
          </w:tcPr>
          <w:p w14:paraId="3AE9D94B" w14:textId="16CFEB05" w:rsidR="00532D3D" w:rsidRPr="005128B6" w:rsidRDefault="00F11D7C" w:rsidP="004623DD">
            <w:pPr>
              <w:rPr>
                <w:sz w:val="22"/>
                <w:szCs w:val="22"/>
              </w:rPr>
            </w:pPr>
            <w:r w:rsidRPr="005128B6">
              <w:rPr>
                <w:sz w:val="22"/>
                <w:szCs w:val="22"/>
              </w:rPr>
              <w:t>MCC-</w:t>
            </w:r>
            <w:r w:rsidR="000A6082" w:rsidRPr="005128B6">
              <w:rPr>
                <w:sz w:val="22"/>
                <w:szCs w:val="22"/>
              </w:rPr>
              <w:t>4</w:t>
            </w:r>
          </w:p>
        </w:tc>
        <w:tc>
          <w:tcPr>
            <w:tcW w:w="5919" w:type="dxa"/>
            <w:tcMar>
              <w:left w:w="57" w:type="dxa"/>
              <w:right w:w="57" w:type="dxa"/>
            </w:tcMar>
          </w:tcPr>
          <w:p w14:paraId="3D6BEC32" w14:textId="3C80F954" w:rsidR="00532D3D" w:rsidRPr="005128B6" w:rsidRDefault="00532D3D" w:rsidP="004623DD">
            <w:pPr>
              <w:rPr>
                <w:sz w:val="22"/>
                <w:szCs w:val="22"/>
              </w:rPr>
            </w:pPr>
            <w:r w:rsidRPr="005128B6">
              <w:rPr>
                <w:sz w:val="22"/>
                <w:szCs w:val="22"/>
              </w:rPr>
              <w:t>Europski sustav trgovanja emisijskim jedinicama</w:t>
            </w:r>
          </w:p>
        </w:tc>
        <w:tc>
          <w:tcPr>
            <w:tcW w:w="1134" w:type="dxa"/>
            <w:shd w:val="clear" w:color="auto" w:fill="auto"/>
            <w:tcMar>
              <w:left w:w="57" w:type="dxa"/>
              <w:right w:w="57" w:type="dxa"/>
            </w:tcMar>
          </w:tcPr>
          <w:p w14:paraId="38FCE539" w14:textId="0E14CA6C" w:rsidR="00532D3D" w:rsidRPr="005128B6" w:rsidRDefault="00532D3D" w:rsidP="004623DD">
            <w:pPr>
              <w:rPr>
                <w:sz w:val="22"/>
                <w:szCs w:val="22"/>
              </w:rPr>
            </w:pPr>
            <w:r w:rsidRPr="005128B6">
              <w:rPr>
                <w:sz w:val="22"/>
                <w:szCs w:val="22"/>
              </w:rPr>
              <w:t>2,4</w:t>
            </w:r>
          </w:p>
        </w:tc>
      </w:tr>
      <w:tr w:rsidR="00532D3D" w:rsidRPr="005128B6" w14:paraId="0C63DD25" w14:textId="55E898F3" w:rsidTr="63259912">
        <w:tc>
          <w:tcPr>
            <w:tcW w:w="1124" w:type="dxa"/>
            <w:tcMar>
              <w:left w:w="57" w:type="dxa"/>
              <w:right w:w="57" w:type="dxa"/>
            </w:tcMar>
          </w:tcPr>
          <w:p w14:paraId="5A22F50F" w14:textId="7F84C575" w:rsidR="00532D3D" w:rsidRPr="005128B6" w:rsidRDefault="00532D3D" w:rsidP="004623DD">
            <w:pPr>
              <w:rPr>
                <w:sz w:val="22"/>
                <w:szCs w:val="22"/>
              </w:rPr>
            </w:pPr>
            <w:r w:rsidRPr="005128B6">
              <w:rPr>
                <w:sz w:val="22"/>
                <w:szCs w:val="22"/>
              </w:rPr>
              <w:t>MS-</w:t>
            </w:r>
            <w:r w:rsidR="005361A2" w:rsidRPr="005128B6">
              <w:rPr>
                <w:sz w:val="22"/>
                <w:szCs w:val="22"/>
              </w:rPr>
              <w:t>4</w:t>
            </w:r>
          </w:p>
        </w:tc>
        <w:tc>
          <w:tcPr>
            <w:tcW w:w="1169" w:type="dxa"/>
            <w:tcMar>
              <w:left w:w="57" w:type="dxa"/>
              <w:right w:w="57" w:type="dxa"/>
            </w:tcMar>
          </w:tcPr>
          <w:p w14:paraId="4A77E59C" w14:textId="2D3B73E0" w:rsidR="00532D3D" w:rsidRPr="005128B6" w:rsidRDefault="00F11D7C" w:rsidP="004623DD">
            <w:pPr>
              <w:rPr>
                <w:sz w:val="22"/>
                <w:szCs w:val="22"/>
              </w:rPr>
            </w:pPr>
            <w:r w:rsidRPr="005128B6">
              <w:rPr>
                <w:sz w:val="22"/>
                <w:szCs w:val="22"/>
              </w:rPr>
              <w:t>MCC-</w:t>
            </w:r>
            <w:r w:rsidR="000A6082" w:rsidRPr="005128B6">
              <w:rPr>
                <w:sz w:val="22"/>
                <w:szCs w:val="22"/>
              </w:rPr>
              <w:t>6</w:t>
            </w:r>
          </w:p>
        </w:tc>
        <w:tc>
          <w:tcPr>
            <w:tcW w:w="5919" w:type="dxa"/>
            <w:tcMar>
              <w:left w:w="57" w:type="dxa"/>
              <w:right w:w="57" w:type="dxa"/>
            </w:tcMar>
          </w:tcPr>
          <w:p w14:paraId="0A2018CB" w14:textId="6B50F113" w:rsidR="00532D3D" w:rsidRPr="005128B6" w:rsidRDefault="00D06EC4" w:rsidP="004623DD">
            <w:pPr>
              <w:rPr>
                <w:sz w:val="22"/>
                <w:szCs w:val="22"/>
              </w:rPr>
            </w:pPr>
            <w:r w:rsidRPr="005128B6">
              <w:rPr>
                <w:sz w:val="22"/>
                <w:szCs w:val="22"/>
              </w:rPr>
              <w:t>Strateško planiranje na regionalnoj i lokalnoj razini</w:t>
            </w:r>
          </w:p>
        </w:tc>
        <w:tc>
          <w:tcPr>
            <w:tcW w:w="1134" w:type="dxa"/>
            <w:shd w:val="clear" w:color="auto" w:fill="auto"/>
            <w:tcMar>
              <w:left w:w="57" w:type="dxa"/>
              <w:right w:w="57" w:type="dxa"/>
            </w:tcMar>
          </w:tcPr>
          <w:p w14:paraId="41C27D92" w14:textId="04676BE0" w:rsidR="00532D3D" w:rsidRPr="005128B6" w:rsidRDefault="00532D3D" w:rsidP="004623DD">
            <w:pPr>
              <w:rPr>
                <w:sz w:val="22"/>
                <w:szCs w:val="22"/>
              </w:rPr>
            </w:pPr>
            <w:r w:rsidRPr="005128B6">
              <w:rPr>
                <w:sz w:val="22"/>
                <w:szCs w:val="22"/>
              </w:rPr>
              <w:t>2,3,4,5</w:t>
            </w:r>
          </w:p>
        </w:tc>
      </w:tr>
      <w:tr w:rsidR="00FE1A9F" w:rsidRPr="005128B6" w14:paraId="41279641" w14:textId="184807F8" w:rsidTr="63259912">
        <w:tc>
          <w:tcPr>
            <w:tcW w:w="1124" w:type="dxa"/>
            <w:tcMar>
              <w:left w:w="57" w:type="dxa"/>
              <w:right w:w="57" w:type="dxa"/>
            </w:tcMar>
          </w:tcPr>
          <w:p w14:paraId="28CCB7BC" w14:textId="7A17DEC7" w:rsidR="00FE1A9F" w:rsidRPr="005128B6" w:rsidRDefault="00FE1A9F" w:rsidP="004623DD">
            <w:pPr>
              <w:rPr>
                <w:sz w:val="22"/>
                <w:szCs w:val="22"/>
              </w:rPr>
            </w:pPr>
            <w:r w:rsidRPr="005128B6">
              <w:rPr>
                <w:sz w:val="22"/>
                <w:szCs w:val="22"/>
              </w:rPr>
              <w:t>MS-</w:t>
            </w:r>
            <w:r w:rsidR="00200970" w:rsidRPr="005128B6">
              <w:rPr>
                <w:sz w:val="22"/>
                <w:szCs w:val="22"/>
              </w:rPr>
              <w:t>5</w:t>
            </w:r>
          </w:p>
        </w:tc>
        <w:tc>
          <w:tcPr>
            <w:tcW w:w="1169" w:type="dxa"/>
            <w:tcMar>
              <w:left w:w="57" w:type="dxa"/>
              <w:right w:w="57" w:type="dxa"/>
            </w:tcMar>
          </w:tcPr>
          <w:p w14:paraId="05B079E2" w14:textId="4A8C0DBE" w:rsidR="00FE1A9F" w:rsidRPr="005128B6" w:rsidRDefault="00FE1A9F" w:rsidP="004623DD">
            <w:pPr>
              <w:rPr>
                <w:sz w:val="22"/>
                <w:szCs w:val="22"/>
              </w:rPr>
            </w:pPr>
            <w:r w:rsidRPr="005128B6">
              <w:rPr>
                <w:sz w:val="22"/>
                <w:szCs w:val="22"/>
              </w:rPr>
              <w:t>MCC-8</w:t>
            </w:r>
          </w:p>
        </w:tc>
        <w:tc>
          <w:tcPr>
            <w:tcW w:w="5919" w:type="dxa"/>
            <w:tcMar>
              <w:left w:w="57" w:type="dxa"/>
              <w:right w:w="57" w:type="dxa"/>
            </w:tcMar>
          </w:tcPr>
          <w:p w14:paraId="50B16975" w14:textId="7D1407AE" w:rsidR="00FE1A9F" w:rsidRPr="005128B6" w:rsidRDefault="4CA4EC21" w:rsidP="004623DD">
            <w:r w:rsidRPr="00D975BA">
              <w:rPr>
                <w:sz w:val="22"/>
                <w:szCs w:val="22"/>
              </w:rPr>
              <w:t>Razvoj i implementacija projekata prikupljanja, transporta i skladištenja CO</w:t>
            </w:r>
            <w:r w:rsidRPr="00B518CB">
              <w:rPr>
                <w:sz w:val="22"/>
                <w:szCs w:val="22"/>
                <w:vertAlign w:val="subscript"/>
              </w:rPr>
              <w:t>2</w:t>
            </w:r>
            <w:r w:rsidRPr="00D975BA">
              <w:rPr>
                <w:sz w:val="22"/>
                <w:szCs w:val="22"/>
              </w:rPr>
              <w:t>(CCS)</w:t>
            </w:r>
          </w:p>
        </w:tc>
        <w:tc>
          <w:tcPr>
            <w:tcW w:w="1134" w:type="dxa"/>
            <w:shd w:val="clear" w:color="auto" w:fill="auto"/>
            <w:tcMar>
              <w:left w:w="57" w:type="dxa"/>
              <w:right w:w="57" w:type="dxa"/>
            </w:tcMar>
          </w:tcPr>
          <w:p w14:paraId="3DEE7148" w14:textId="0EA213AB" w:rsidR="00FE1A9F" w:rsidRPr="005128B6" w:rsidRDefault="00FE1A9F" w:rsidP="004623DD">
            <w:pPr>
              <w:rPr>
                <w:sz w:val="22"/>
                <w:szCs w:val="22"/>
              </w:rPr>
            </w:pPr>
            <w:r w:rsidRPr="005128B6">
              <w:rPr>
                <w:sz w:val="22"/>
                <w:szCs w:val="22"/>
              </w:rPr>
              <w:t>5</w:t>
            </w:r>
          </w:p>
        </w:tc>
      </w:tr>
      <w:tr w:rsidR="00FE1A9F" w:rsidRPr="005128B6" w14:paraId="458DADF8" w14:textId="50A19405" w:rsidTr="63259912">
        <w:tc>
          <w:tcPr>
            <w:tcW w:w="1124" w:type="dxa"/>
            <w:tcMar>
              <w:left w:w="57" w:type="dxa"/>
              <w:right w:w="57" w:type="dxa"/>
            </w:tcMar>
          </w:tcPr>
          <w:p w14:paraId="7965085B" w14:textId="7CF28CB0" w:rsidR="00FE1A9F" w:rsidRPr="005128B6" w:rsidRDefault="00FE1A9F" w:rsidP="004623DD">
            <w:pPr>
              <w:rPr>
                <w:sz w:val="22"/>
                <w:szCs w:val="22"/>
              </w:rPr>
            </w:pPr>
            <w:r w:rsidRPr="005128B6">
              <w:rPr>
                <w:sz w:val="22"/>
                <w:szCs w:val="22"/>
              </w:rPr>
              <w:t>MS-</w:t>
            </w:r>
            <w:r w:rsidR="007874B8" w:rsidRPr="005128B6">
              <w:rPr>
                <w:sz w:val="22"/>
                <w:szCs w:val="22"/>
              </w:rPr>
              <w:t>6</w:t>
            </w:r>
          </w:p>
        </w:tc>
        <w:tc>
          <w:tcPr>
            <w:tcW w:w="1169" w:type="dxa"/>
            <w:tcMar>
              <w:left w:w="57" w:type="dxa"/>
              <w:right w:w="57" w:type="dxa"/>
            </w:tcMar>
          </w:tcPr>
          <w:p w14:paraId="6ECE2D0A" w14:textId="79F8002C" w:rsidR="00FE1A9F" w:rsidRPr="005128B6" w:rsidRDefault="00FE1A9F" w:rsidP="004623DD">
            <w:pPr>
              <w:rPr>
                <w:sz w:val="22"/>
                <w:szCs w:val="22"/>
              </w:rPr>
            </w:pPr>
            <w:r w:rsidRPr="005128B6">
              <w:rPr>
                <w:sz w:val="22"/>
                <w:szCs w:val="22"/>
              </w:rPr>
              <w:t>MCC-9</w:t>
            </w:r>
          </w:p>
        </w:tc>
        <w:tc>
          <w:tcPr>
            <w:tcW w:w="5919" w:type="dxa"/>
            <w:tcMar>
              <w:left w:w="57" w:type="dxa"/>
              <w:right w:w="57" w:type="dxa"/>
            </w:tcMar>
          </w:tcPr>
          <w:p w14:paraId="33FE8053" w14:textId="79E8B0A9" w:rsidR="00FE1A9F" w:rsidRPr="005128B6" w:rsidRDefault="00FE1A9F" w:rsidP="004623DD">
            <w:pPr>
              <w:rPr>
                <w:sz w:val="22"/>
                <w:szCs w:val="22"/>
              </w:rPr>
            </w:pPr>
            <w:r w:rsidRPr="005128B6">
              <w:rPr>
                <w:sz w:val="22"/>
                <w:szCs w:val="22"/>
              </w:rPr>
              <w:t>Unaprjeđenje održivosti urbanih sredina</w:t>
            </w:r>
          </w:p>
        </w:tc>
        <w:tc>
          <w:tcPr>
            <w:tcW w:w="1134" w:type="dxa"/>
            <w:shd w:val="clear" w:color="auto" w:fill="auto"/>
            <w:tcMar>
              <w:left w:w="57" w:type="dxa"/>
              <w:right w:w="57" w:type="dxa"/>
            </w:tcMar>
          </w:tcPr>
          <w:p w14:paraId="2559EA3E" w14:textId="1C4A214E" w:rsidR="00FE1A9F" w:rsidRPr="005128B6" w:rsidRDefault="00FE1A9F" w:rsidP="004623DD">
            <w:pPr>
              <w:rPr>
                <w:sz w:val="22"/>
                <w:szCs w:val="22"/>
              </w:rPr>
            </w:pPr>
            <w:r w:rsidRPr="005128B6">
              <w:rPr>
                <w:sz w:val="22"/>
                <w:szCs w:val="22"/>
              </w:rPr>
              <w:t>2,3,5</w:t>
            </w:r>
          </w:p>
        </w:tc>
      </w:tr>
      <w:tr w:rsidR="00FE1A9F" w:rsidRPr="005128B6" w14:paraId="0A0D800F" w14:textId="77777777" w:rsidTr="63259912">
        <w:tc>
          <w:tcPr>
            <w:tcW w:w="1124" w:type="dxa"/>
            <w:tcMar>
              <w:left w:w="57" w:type="dxa"/>
              <w:right w:w="57" w:type="dxa"/>
            </w:tcMar>
          </w:tcPr>
          <w:p w14:paraId="1D228846" w14:textId="791E6472" w:rsidR="00FE1A9F" w:rsidRPr="005128B6" w:rsidRDefault="00FE1A9F" w:rsidP="004623DD">
            <w:pPr>
              <w:rPr>
                <w:sz w:val="22"/>
                <w:szCs w:val="22"/>
              </w:rPr>
            </w:pPr>
            <w:r w:rsidRPr="005128B6">
              <w:rPr>
                <w:sz w:val="22"/>
                <w:szCs w:val="22"/>
              </w:rPr>
              <w:t>MS-</w:t>
            </w:r>
            <w:r w:rsidR="007874B8" w:rsidRPr="005128B6">
              <w:rPr>
                <w:sz w:val="22"/>
                <w:szCs w:val="22"/>
              </w:rPr>
              <w:t>7</w:t>
            </w:r>
          </w:p>
        </w:tc>
        <w:tc>
          <w:tcPr>
            <w:tcW w:w="1169" w:type="dxa"/>
            <w:tcMar>
              <w:left w:w="57" w:type="dxa"/>
              <w:right w:w="57" w:type="dxa"/>
            </w:tcMar>
          </w:tcPr>
          <w:p w14:paraId="5550BDB5" w14:textId="3A2B8322" w:rsidR="00FE1A9F" w:rsidRPr="005128B6" w:rsidRDefault="00FE1A9F" w:rsidP="004623DD">
            <w:pPr>
              <w:rPr>
                <w:sz w:val="22"/>
                <w:szCs w:val="22"/>
              </w:rPr>
            </w:pPr>
            <w:r w:rsidRPr="005128B6">
              <w:rPr>
                <w:sz w:val="22"/>
                <w:szCs w:val="22"/>
              </w:rPr>
              <w:t>MCC-10</w:t>
            </w:r>
          </w:p>
        </w:tc>
        <w:tc>
          <w:tcPr>
            <w:tcW w:w="5919" w:type="dxa"/>
            <w:tcMar>
              <w:left w:w="57" w:type="dxa"/>
              <w:right w:w="57" w:type="dxa"/>
            </w:tcMar>
          </w:tcPr>
          <w:p w14:paraId="50D2ACC3" w14:textId="1857CB4B" w:rsidR="00FE1A9F" w:rsidRPr="005128B6" w:rsidRDefault="009D071E" w:rsidP="63259912">
            <w:pPr>
              <w:rPr>
                <w:sz w:val="22"/>
                <w:szCs w:val="22"/>
              </w:rPr>
            </w:pPr>
            <w:r w:rsidRPr="63259912">
              <w:rPr>
                <w:sz w:val="22"/>
                <w:szCs w:val="22"/>
              </w:rPr>
              <w:t>Ozelenjavanje javnog i privatnog sektora</w:t>
            </w:r>
          </w:p>
        </w:tc>
        <w:tc>
          <w:tcPr>
            <w:tcW w:w="1134" w:type="dxa"/>
            <w:shd w:val="clear" w:color="auto" w:fill="auto"/>
            <w:tcMar>
              <w:left w:w="57" w:type="dxa"/>
              <w:right w:w="57" w:type="dxa"/>
            </w:tcMar>
          </w:tcPr>
          <w:p w14:paraId="3D3A8BAF" w14:textId="62F335A1" w:rsidR="00FE1A9F" w:rsidRPr="005128B6" w:rsidRDefault="00FE1A9F" w:rsidP="004623DD">
            <w:pPr>
              <w:rPr>
                <w:sz w:val="22"/>
                <w:szCs w:val="22"/>
              </w:rPr>
            </w:pPr>
            <w:r w:rsidRPr="005128B6">
              <w:rPr>
                <w:sz w:val="22"/>
                <w:szCs w:val="22"/>
              </w:rPr>
              <w:t>2,3,4,5</w:t>
            </w:r>
          </w:p>
        </w:tc>
      </w:tr>
      <w:tr w:rsidR="00FE1A9F" w:rsidRPr="005128B6" w14:paraId="2BDE71C9" w14:textId="77777777" w:rsidTr="63259912">
        <w:tc>
          <w:tcPr>
            <w:tcW w:w="1124" w:type="dxa"/>
            <w:tcMar>
              <w:left w:w="57" w:type="dxa"/>
              <w:right w:w="57" w:type="dxa"/>
            </w:tcMar>
          </w:tcPr>
          <w:p w14:paraId="5B8EC95D" w14:textId="15F391C8" w:rsidR="00FE1A9F" w:rsidRPr="005128B6" w:rsidRDefault="00FE1A9F" w:rsidP="004623DD">
            <w:pPr>
              <w:rPr>
                <w:sz w:val="22"/>
                <w:szCs w:val="22"/>
              </w:rPr>
            </w:pPr>
            <w:r w:rsidRPr="005128B6">
              <w:rPr>
                <w:sz w:val="22"/>
                <w:szCs w:val="22"/>
              </w:rPr>
              <w:t>MS-</w:t>
            </w:r>
            <w:r w:rsidR="00AA4496" w:rsidRPr="005128B6">
              <w:rPr>
                <w:sz w:val="22"/>
                <w:szCs w:val="22"/>
              </w:rPr>
              <w:t>8</w:t>
            </w:r>
          </w:p>
        </w:tc>
        <w:tc>
          <w:tcPr>
            <w:tcW w:w="1169" w:type="dxa"/>
            <w:tcMar>
              <w:left w:w="57" w:type="dxa"/>
              <w:right w:w="57" w:type="dxa"/>
            </w:tcMar>
          </w:tcPr>
          <w:p w14:paraId="625D8B68" w14:textId="32527F9A" w:rsidR="00FE1A9F" w:rsidRPr="005128B6" w:rsidRDefault="00FE1A9F" w:rsidP="004623DD">
            <w:pPr>
              <w:rPr>
                <w:sz w:val="22"/>
                <w:szCs w:val="22"/>
              </w:rPr>
            </w:pPr>
            <w:r w:rsidRPr="005128B6">
              <w:rPr>
                <w:sz w:val="22"/>
                <w:szCs w:val="22"/>
              </w:rPr>
              <w:t>MCC-11</w:t>
            </w:r>
          </w:p>
        </w:tc>
        <w:tc>
          <w:tcPr>
            <w:tcW w:w="5919" w:type="dxa"/>
            <w:tcMar>
              <w:left w:w="57" w:type="dxa"/>
              <w:right w:w="57" w:type="dxa"/>
            </w:tcMar>
          </w:tcPr>
          <w:p w14:paraId="0FCFD5F8" w14:textId="64152C4D" w:rsidR="00FE1A9F" w:rsidRPr="005128B6" w:rsidRDefault="008F5A2C" w:rsidP="004623DD">
            <w:pPr>
              <w:rPr>
                <w:sz w:val="22"/>
                <w:szCs w:val="22"/>
              </w:rPr>
            </w:pPr>
            <w:bookmarkStart w:id="31" w:name="_Hlk162618311"/>
            <w:r w:rsidRPr="005128B6">
              <w:rPr>
                <w:sz w:val="22"/>
                <w:szCs w:val="22"/>
              </w:rPr>
              <w:t>Unaprjeđenje IT platforme gospodarenja otpadom</w:t>
            </w:r>
            <w:bookmarkEnd w:id="31"/>
          </w:p>
        </w:tc>
        <w:tc>
          <w:tcPr>
            <w:tcW w:w="1134" w:type="dxa"/>
            <w:shd w:val="clear" w:color="auto" w:fill="auto"/>
            <w:tcMar>
              <w:left w:w="57" w:type="dxa"/>
              <w:right w:w="57" w:type="dxa"/>
            </w:tcMar>
          </w:tcPr>
          <w:p w14:paraId="33505520" w14:textId="77777777" w:rsidR="00FE1A9F" w:rsidRPr="005128B6" w:rsidRDefault="00FE1A9F" w:rsidP="004623DD">
            <w:pPr>
              <w:rPr>
                <w:sz w:val="22"/>
                <w:szCs w:val="22"/>
              </w:rPr>
            </w:pPr>
            <w:r w:rsidRPr="005128B6">
              <w:rPr>
                <w:sz w:val="22"/>
                <w:szCs w:val="22"/>
              </w:rPr>
              <w:t>2,3,4,5</w:t>
            </w:r>
          </w:p>
        </w:tc>
      </w:tr>
      <w:tr w:rsidR="00FE1A9F" w:rsidRPr="005128B6" w14:paraId="3AF51330" w14:textId="77777777" w:rsidTr="63259912">
        <w:tc>
          <w:tcPr>
            <w:tcW w:w="1124" w:type="dxa"/>
            <w:tcMar>
              <w:left w:w="57" w:type="dxa"/>
              <w:right w:w="57" w:type="dxa"/>
            </w:tcMar>
          </w:tcPr>
          <w:p w14:paraId="1AAA88DF" w14:textId="28225DD4" w:rsidR="00FE1A9F" w:rsidRPr="005128B6" w:rsidRDefault="00FE1A9F" w:rsidP="004623DD">
            <w:pPr>
              <w:rPr>
                <w:sz w:val="22"/>
                <w:szCs w:val="22"/>
              </w:rPr>
            </w:pPr>
            <w:bookmarkStart w:id="32" w:name="_Hlk138926399"/>
            <w:bookmarkStart w:id="33" w:name="_Hlk138926378"/>
            <w:r w:rsidRPr="005128B6">
              <w:rPr>
                <w:sz w:val="22"/>
                <w:szCs w:val="22"/>
              </w:rPr>
              <w:t>MS-</w:t>
            </w:r>
            <w:r w:rsidR="00AA4496" w:rsidRPr="005128B6">
              <w:rPr>
                <w:sz w:val="22"/>
                <w:szCs w:val="22"/>
              </w:rPr>
              <w:t>9</w:t>
            </w:r>
          </w:p>
        </w:tc>
        <w:tc>
          <w:tcPr>
            <w:tcW w:w="1169" w:type="dxa"/>
            <w:tcMar>
              <w:left w:w="57" w:type="dxa"/>
              <w:right w:w="57" w:type="dxa"/>
            </w:tcMar>
          </w:tcPr>
          <w:p w14:paraId="19DC0F0D" w14:textId="21F5FF07" w:rsidR="00FE1A9F" w:rsidRPr="005128B6" w:rsidRDefault="00FE1A9F" w:rsidP="004623DD">
            <w:pPr>
              <w:rPr>
                <w:sz w:val="22"/>
                <w:szCs w:val="22"/>
              </w:rPr>
            </w:pPr>
            <w:r w:rsidRPr="005128B6">
              <w:rPr>
                <w:sz w:val="22"/>
                <w:szCs w:val="22"/>
              </w:rPr>
              <w:t>MCC-12</w:t>
            </w:r>
          </w:p>
        </w:tc>
        <w:tc>
          <w:tcPr>
            <w:tcW w:w="5919" w:type="dxa"/>
            <w:tcMar>
              <w:left w:w="57" w:type="dxa"/>
              <w:right w:w="57" w:type="dxa"/>
            </w:tcMar>
          </w:tcPr>
          <w:p w14:paraId="1B519B9F" w14:textId="19F1433A" w:rsidR="00FE1A9F" w:rsidRPr="005128B6" w:rsidRDefault="00CA32E0" w:rsidP="63259912">
            <w:pPr>
              <w:rPr>
                <w:sz w:val="22"/>
                <w:szCs w:val="22"/>
              </w:rPr>
            </w:pPr>
            <w:r w:rsidRPr="63259912">
              <w:rPr>
                <w:sz w:val="22"/>
                <w:szCs w:val="22"/>
              </w:rPr>
              <w:t>Transformacija sektora</w:t>
            </w:r>
            <w:r w:rsidR="00436C98" w:rsidRPr="63259912">
              <w:rPr>
                <w:sz w:val="22"/>
                <w:szCs w:val="22"/>
              </w:rPr>
              <w:t xml:space="preserve"> biogospodarstva</w:t>
            </w:r>
          </w:p>
        </w:tc>
        <w:tc>
          <w:tcPr>
            <w:tcW w:w="1134" w:type="dxa"/>
            <w:shd w:val="clear" w:color="auto" w:fill="auto"/>
            <w:tcMar>
              <w:left w:w="57" w:type="dxa"/>
              <w:right w:w="57" w:type="dxa"/>
            </w:tcMar>
          </w:tcPr>
          <w:p w14:paraId="24CBD69D" w14:textId="641261E9" w:rsidR="00FE1A9F" w:rsidRPr="005128B6" w:rsidRDefault="00FE1A9F" w:rsidP="004623DD">
            <w:pPr>
              <w:rPr>
                <w:sz w:val="22"/>
                <w:szCs w:val="22"/>
              </w:rPr>
            </w:pPr>
            <w:r w:rsidRPr="005128B6">
              <w:rPr>
                <w:sz w:val="22"/>
                <w:szCs w:val="22"/>
              </w:rPr>
              <w:t>2,3,5</w:t>
            </w:r>
          </w:p>
        </w:tc>
      </w:tr>
      <w:bookmarkEnd w:id="32"/>
      <w:tr w:rsidR="00FE1A9F" w:rsidRPr="005128B6" w14:paraId="25F26A8A" w14:textId="77777777" w:rsidTr="63259912">
        <w:tc>
          <w:tcPr>
            <w:tcW w:w="1124" w:type="dxa"/>
            <w:tcMar>
              <w:left w:w="57" w:type="dxa"/>
              <w:right w:w="57" w:type="dxa"/>
            </w:tcMar>
          </w:tcPr>
          <w:p w14:paraId="68705069" w14:textId="3DE3A498" w:rsidR="00FE1A9F" w:rsidRPr="005128B6" w:rsidRDefault="00FE1A9F" w:rsidP="004623DD">
            <w:pPr>
              <w:rPr>
                <w:sz w:val="22"/>
                <w:szCs w:val="22"/>
              </w:rPr>
            </w:pPr>
            <w:r w:rsidRPr="005128B6">
              <w:rPr>
                <w:sz w:val="22"/>
                <w:szCs w:val="22"/>
              </w:rPr>
              <w:t>MS-1</w:t>
            </w:r>
            <w:r w:rsidR="00AA4496" w:rsidRPr="005128B6">
              <w:rPr>
                <w:sz w:val="22"/>
                <w:szCs w:val="22"/>
              </w:rPr>
              <w:t>0</w:t>
            </w:r>
          </w:p>
        </w:tc>
        <w:tc>
          <w:tcPr>
            <w:tcW w:w="1169" w:type="dxa"/>
            <w:tcMar>
              <w:left w:w="57" w:type="dxa"/>
              <w:right w:w="57" w:type="dxa"/>
            </w:tcMar>
          </w:tcPr>
          <w:p w14:paraId="7552BD5B" w14:textId="01EAE6C0" w:rsidR="00FE1A9F" w:rsidRPr="005128B6" w:rsidRDefault="00FE1A9F" w:rsidP="004623DD">
            <w:pPr>
              <w:rPr>
                <w:sz w:val="22"/>
                <w:szCs w:val="22"/>
              </w:rPr>
            </w:pPr>
            <w:r w:rsidRPr="005128B6">
              <w:rPr>
                <w:sz w:val="22"/>
                <w:szCs w:val="22"/>
              </w:rPr>
              <w:t>MCC-13</w:t>
            </w:r>
          </w:p>
        </w:tc>
        <w:tc>
          <w:tcPr>
            <w:tcW w:w="5919" w:type="dxa"/>
            <w:tcMar>
              <w:left w:w="57" w:type="dxa"/>
              <w:right w:w="57" w:type="dxa"/>
            </w:tcMar>
          </w:tcPr>
          <w:p w14:paraId="37C9B066" w14:textId="04311F20" w:rsidR="00FE1A9F" w:rsidRPr="005128B6" w:rsidRDefault="00A84EAD" w:rsidP="004623DD">
            <w:pPr>
              <w:rPr>
                <w:sz w:val="22"/>
                <w:szCs w:val="22"/>
              </w:rPr>
            </w:pPr>
            <w:r w:rsidRPr="005128B6">
              <w:rPr>
                <w:sz w:val="22"/>
                <w:szCs w:val="22"/>
              </w:rPr>
              <w:t>Zakonske prilagodbe i tehničke podloge za uvođenje vodika u energetski sustav</w:t>
            </w:r>
          </w:p>
        </w:tc>
        <w:tc>
          <w:tcPr>
            <w:tcW w:w="1134" w:type="dxa"/>
            <w:shd w:val="clear" w:color="auto" w:fill="auto"/>
            <w:tcMar>
              <w:left w:w="57" w:type="dxa"/>
              <w:right w:w="57" w:type="dxa"/>
            </w:tcMar>
          </w:tcPr>
          <w:p w14:paraId="4F81143E" w14:textId="4DCB550A" w:rsidR="00FE1A9F" w:rsidRPr="005128B6" w:rsidRDefault="00FE1A9F" w:rsidP="004623DD">
            <w:pPr>
              <w:rPr>
                <w:sz w:val="22"/>
                <w:szCs w:val="22"/>
              </w:rPr>
            </w:pPr>
            <w:r w:rsidRPr="005128B6">
              <w:rPr>
                <w:sz w:val="22"/>
                <w:szCs w:val="22"/>
              </w:rPr>
              <w:t>3,5</w:t>
            </w:r>
          </w:p>
        </w:tc>
      </w:tr>
      <w:tr w:rsidR="00DF3ED7" w:rsidRPr="005128B6" w14:paraId="253E835A" w14:textId="77777777" w:rsidTr="63259912">
        <w:tc>
          <w:tcPr>
            <w:tcW w:w="1124" w:type="dxa"/>
            <w:tcMar>
              <w:left w:w="57" w:type="dxa"/>
              <w:right w:w="57" w:type="dxa"/>
            </w:tcMar>
          </w:tcPr>
          <w:p w14:paraId="39B6A8E9" w14:textId="544D56C1" w:rsidR="00DF3ED7" w:rsidRPr="005128B6" w:rsidRDefault="00DF3ED7" w:rsidP="004623DD">
            <w:pPr>
              <w:rPr>
                <w:sz w:val="22"/>
                <w:szCs w:val="22"/>
                <w:highlight w:val="yellow"/>
              </w:rPr>
            </w:pPr>
            <w:r w:rsidRPr="005128B6">
              <w:rPr>
                <w:sz w:val="22"/>
                <w:szCs w:val="22"/>
              </w:rPr>
              <w:t>MS-1</w:t>
            </w:r>
            <w:r w:rsidR="00AA4496" w:rsidRPr="005128B6">
              <w:rPr>
                <w:sz w:val="22"/>
                <w:szCs w:val="22"/>
              </w:rPr>
              <w:t>1</w:t>
            </w:r>
          </w:p>
        </w:tc>
        <w:tc>
          <w:tcPr>
            <w:tcW w:w="1169" w:type="dxa"/>
            <w:tcMar>
              <w:left w:w="57" w:type="dxa"/>
              <w:right w:w="57" w:type="dxa"/>
            </w:tcMar>
          </w:tcPr>
          <w:p w14:paraId="2F7ACFEE" w14:textId="77777777" w:rsidR="00DF3ED7" w:rsidRPr="005128B6" w:rsidRDefault="00DF3ED7" w:rsidP="004623DD">
            <w:pPr>
              <w:rPr>
                <w:sz w:val="22"/>
                <w:szCs w:val="22"/>
                <w:highlight w:val="yellow"/>
              </w:rPr>
            </w:pPr>
          </w:p>
        </w:tc>
        <w:tc>
          <w:tcPr>
            <w:tcW w:w="5919" w:type="dxa"/>
            <w:tcMar>
              <w:left w:w="57" w:type="dxa"/>
              <w:right w:w="57" w:type="dxa"/>
            </w:tcMar>
          </w:tcPr>
          <w:p w14:paraId="1587BCC6" w14:textId="37AA75F1" w:rsidR="00DF3ED7" w:rsidRPr="005128B6" w:rsidRDefault="00245A41" w:rsidP="004623DD">
            <w:pPr>
              <w:rPr>
                <w:sz w:val="22"/>
                <w:szCs w:val="22"/>
                <w:highlight w:val="yellow"/>
              </w:rPr>
            </w:pPr>
            <w:r w:rsidRPr="005128B6">
              <w:rPr>
                <w:sz w:val="22"/>
                <w:szCs w:val="22"/>
              </w:rPr>
              <w:t xml:space="preserve">Smanjenje </w:t>
            </w:r>
            <w:r w:rsidR="61164170" w:rsidRPr="20C1EDF1">
              <w:rPr>
                <w:sz w:val="22"/>
                <w:szCs w:val="22"/>
              </w:rPr>
              <w:t>uglji</w:t>
            </w:r>
            <w:r w:rsidR="004604E4">
              <w:rPr>
                <w:sz w:val="22"/>
                <w:szCs w:val="22"/>
              </w:rPr>
              <w:t>čnog</w:t>
            </w:r>
            <w:r w:rsidRPr="005128B6">
              <w:rPr>
                <w:sz w:val="22"/>
                <w:szCs w:val="22"/>
              </w:rPr>
              <w:t xml:space="preserve"> otiska pojedinca promjenom životnih navika</w:t>
            </w:r>
          </w:p>
        </w:tc>
        <w:tc>
          <w:tcPr>
            <w:tcW w:w="1134" w:type="dxa"/>
            <w:shd w:val="clear" w:color="auto" w:fill="auto"/>
            <w:tcMar>
              <w:left w:w="57" w:type="dxa"/>
              <w:right w:w="57" w:type="dxa"/>
            </w:tcMar>
          </w:tcPr>
          <w:p w14:paraId="1361AD35" w14:textId="110643D4" w:rsidR="00DF3ED7" w:rsidRPr="005128B6" w:rsidRDefault="00B162A6" w:rsidP="004623DD">
            <w:pPr>
              <w:rPr>
                <w:sz w:val="22"/>
                <w:szCs w:val="22"/>
              </w:rPr>
            </w:pPr>
            <w:r w:rsidRPr="005128B6">
              <w:rPr>
                <w:sz w:val="22"/>
                <w:szCs w:val="22"/>
              </w:rPr>
              <w:t>2,3</w:t>
            </w:r>
          </w:p>
        </w:tc>
      </w:tr>
      <w:tr w:rsidR="00DF3ED7" w:rsidRPr="005128B6" w14:paraId="19241A52" w14:textId="77777777" w:rsidTr="63259912">
        <w:tc>
          <w:tcPr>
            <w:tcW w:w="1124" w:type="dxa"/>
            <w:tcMar>
              <w:left w:w="57" w:type="dxa"/>
              <w:right w:w="57" w:type="dxa"/>
            </w:tcMar>
          </w:tcPr>
          <w:p w14:paraId="504AE535" w14:textId="29FD660B" w:rsidR="00DF3ED7" w:rsidRPr="005128B6" w:rsidRDefault="00DF3ED7" w:rsidP="004623DD">
            <w:pPr>
              <w:rPr>
                <w:sz w:val="22"/>
                <w:szCs w:val="22"/>
                <w:highlight w:val="yellow"/>
              </w:rPr>
            </w:pPr>
            <w:bookmarkStart w:id="34" w:name="_Hlk138926411"/>
            <w:r w:rsidRPr="005128B6">
              <w:rPr>
                <w:sz w:val="22"/>
                <w:szCs w:val="22"/>
              </w:rPr>
              <w:t>MS-1</w:t>
            </w:r>
            <w:r w:rsidR="002D4A29" w:rsidRPr="005128B6">
              <w:rPr>
                <w:sz w:val="22"/>
                <w:szCs w:val="22"/>
              </w:rPr>
              <w:t>2</w:t>
            </w:r>
          </w:p>
        </w:tc>
        <w:tc>
          <w:tcPr>
            <w:tcW w:w="1169" w:type="dxa"/>
            <w:tcMar>
              <w:left w:w="57" w:type="dxa"/>
              <w:right w:w="57" w:type="dxa"/>
            </w:tcMar>
          </w:tcPr>
          <w:p w14:paraId="644802D6" w14:textId="77777777" w:rsidR="00DF3ED7" w:rsidRPr="005128B6" w:rsidRDefault="00DF3ED7" w:rsidP="004623DD">
            <w:pPr>
              <w:rPr>
                <w:sz w:val="22"/>
                <w:szCs w:val="22"/>
                <w:highlight w:val="yellow"/>
              </w:rPr>
            </w:pPr>
          </w:p>
        </w:tc>
        <w:tc>
          <w:tcPr>
            <w:tcW w:w="5919" w:type="dxa"/>
            <w:tcMar>
              <w:left w:w="57" w:type="dxa"/>
              <w:right w:w="57" w:type="dxa"/>
            </w:tcMar>
          </w:tcPr>
          <w:p w14:paraId="39A1AAC1" w14:textId="03646304" w:rsidR="00DF3ED7" w:rsidRPr="005128B6" w:rsidRDefault="00D71D01" w:rsidP="004623DD">
            <w:pPr>
              <w:rPr>
                <w:sz w:val="22"/>
                <w:szCs w:val="22"/>
                <w:highlight w:val="yellow"/>
              </w:rPr>
            </w:pPr>
            <w:r w:rsidRPr="005128B6">
              <w:rPr>
                <w:sz w:val="22"/>
                <w:szCs w:val="22"/>
              </w:rPr>
              <w:t xml:space="preserve">Prikupljanje i </w:t>
            </w:r>
            <w:r w:rsidR="000A0FF0">
              <w:rPr>
                <w:sz w:val="22"/>
                <w:szCs w:val="22"/>
              </w:rPr>
              <w:t>korištenje</w:t>
            </w:r>
            <w:r w:rsidRPr="005128B6">
              <w:rPr>
                <w:sz w:val="22"/>
                <w:szCs w:val="22"/>
              </w:rPr>
              <w:t xml:space="preserve"> biomase iz poljoprivrede, šumarstva, ribarstva i akvakulture</w:t>
            </w:r>
          </w:p>
        </w:tc>
        <w:tc>
          <w:tcPr>
            <w:tcW w:w="1134" w:type="dxa"/>
            <w:shd w:val="clear" w:color="auto" w:fill="auto"/>
            <w:tcMar>
              <w:left w:w="57" w:type="dxa"/>
              <w:right w:w="57" w:type="dxa"/>
            </w:tcMar>
          </w:tcPr>
          <w:p w14:paraId="0A206DE2" w14:textId="4B5BAFAF" w:rsidR="00DF3ED7" w:rsidRPr="005128B6" w:rsidRDefault="0080047C" w:rsidP="004623DD">
            <w:pPr>
              <w:rPr>
                <w:sz w:val="22"/>
                <w:szCs w:val="22"/>
                <w:highlight w:val="yellow"/>
              </w:rPr>
            </w:pPr>
            <w:r w:rsidRPr="0080047C">
              <w:rPr>
                <w:sz w:val="22"/>
                <w:szCs w:val="22"/>
              </w:rPr>
              <w:t>5</w:t>
            </w:r>
          </w:p>
        </w:tc>
      </w:tr>
      <w:bookmarkEnd w:id="33"/>
      <w:bookmarkEnd w:id="34"/>
      <w:tr w:rsidR="00441C17" w:rsidRPr="005128B6" w14:paraId="2C655E54" w14:textId="77777777" w:rsidTr="63259912">
        <w:tc>
          <w:tcPr>
            <w:tcW w:w="1124" w:type="dxa"/>
            <w:tcMar>
              <w:left w:w="57" w:type="dxa"/>
              <w:right w:w="57" w:type="dxa"/>
            </w:tcMar>
          </w:tcPr>
          <w:p w14:paraId="440E1943" w14:textId="47D9D4EA" w:rsidR="00441C17" w:rsidRPr="005128B6" w:rsidRDefault="00441C17" w:rsidP="004623DD">
            <w:pPr>
              <w:rPr>
                <w:sz w:val="22"/>
                <w:szCs w:val="22"/>
              </w:rPr>
            </w:pPr>
            <w:r w:rsidRPr="005128B6">
              <w:rPr>
                <w:sz w:val="22"/>
                <w:szCs w:val="22"/>
              </w:rPr>
              <w:t>MS-1</w:t>
            </w:r>
            <w:r w:rsidR="00627DD7" w:rsidRPr="005128B6">
              <w:rPr>
                <w:sz w:val="22"/>
                <w:szCs w:val="22"/>
              </w:rPr>
              <w:t>3</w:t>
            </w:r>
          </w:p>
        </w:tc>
        <w:tc>
          <w:tcPr>
            <w:tcW w:w="1169" w:type="dxa"/>
            <w:tcMar>
              <w:left w:w="57" w:type="dxa"/>
              <w:right w:w="57" w:type="dxa"/>
            </w:tcMar>
          </w:tcPr>
          <w:p w14:paraId="6BEC00F8" w14:textId="77777777" w:rsidR="00441C17" w:rsidRPr="005128B6" w:rsidRDefault="00441C17" w:rsidP="004623DD">
            <w:pPr>
              <w:rPr>
                <w:sz w:val="22"/>
                <w:szCs w:val="22"/>
                <w:highlight w:val="yellow"/>
              </w:rPr>
            </w:pPr>
          </w:p>
        </w:tc>
        <w:tc>
          <w:tcPr>
            <w:tcW w:w="5919" w:type="dxa"/>
            <w:tcMar>
              <w:left w:w="57" w:type="dxa"/>
              <w:right w:w="57" w:type="dxa"/>
            </w:tcMar>
          </w:tcPr>
          <w:p w14:paraId="57EE1DEF" w14:textId="0A551152" w:rsidR="00441C17" w:rsidRPr="005128B6" w:rsidRDefault="00AC344D" w:rsidP="004623DD">
            <w:pPr>
              <w:rPr>
                <w:sz w:val="22"/>
                <w:szCs w:val="22"/>
              </w:rPr>
            </w:pPr>
            <w:r w:rsidRPr="005128B6">
              <w:rPr>
                <w:sz w:val="22"/>
                <w:szCs w:val="22"/>
              </w:rPr>
              <w:t>Ukidanje subvencija za fosilna goriva</w:t>
            </w:r>
          </w:p>
        </w:tc>
        <w:tc>
          <w:tcPr>
            <w:tcW w:w="1134" w:type="dxa"/>
            <w:shd w:val="clear" w:color="auto" w:fill="auto"/>
            <w:tcMar>
              <w:left w:w="57" w:type="dxa"/>
              <w:right w:w="57" w:type="dxa"/>
            </w:tcMar>
          </w:tcPr>
          <w:p w14:paraId="64FF2CC5" w14:textId="6F014FFC" w:rsidR="00441C17" w:rsidRPr="005128B6" w:rsidRDefault="00340473" w:rsidP="004623DD">
            <w:pPr>
              <w:rPr>
                <w:sz w:val="22"/>
                <w:szCs w:val="22"/>
                <w:highlight w:val="yellow"/>
              </w:rPr>
            </w:pPr>
            <w:r w:rsidRPr="00F45F7F">
              <w:rPr>
                <w:sz w:val="22"/>
                <w:szCs w:val="22"/>
              </w:rPr>
              <w:t>3,5</w:t>
            </w:r>
          </w:p>
        </w:tc>
      </w:tr>
      <w:tr w:rsidR="00FD1F20" w:rsidRPr="005128B6" w14:paraId="54F049B8" w14:textId="77777777" w:rsidTr="63259912">
        <w:tc>
          <w:tcPr>
            <w:tcW w:w="1124" w:type="dxa"/>
            <w:tcMar>
              <w:left w:w="57" w:type="dxa"/>
              <w:right w:w="57" w:type="dxa"/>
            </w:tcMar>
          </w:tcPr>
          <w:p w14:paraId="2ED155F4" w14:textId="01697AA9" w:rsidR="00FD1F20" w:rsidRPr="005128B6" w:rsidRDefault="00FD1F20" w:rsidP="004623DD">
            <w:pPr>
              <w:rPr>
                <w:sz w:val="22"/>
                <w:szCs w:val="22"/>
              </w:rPr>
            </w:pPr>
            <w:r w:rsidRPr="005128B6">
              <w:rPr>
                <w:sz w:val="22"/>
                <w:szCs w:val="22"/>
              </w:rPr>
              <w:t>MS-1</w:t>
            </w:r>
            <w:r w:rsidR="00627DD7" w:rsidRPr="005128B6">
              <w:rPr>
                <w:sz w:val="22"/>
                <w:szCs w:val="22"/>
              </w:rPr>
              <w:t>4</w:t>
            </w:r>
          </w:p>
        </w:tc>
        <w:tc>
          <w:tcPr>
            <w:tcW w:w="1169" w:type="dxa"/>
            <w:tcMar>
              <w:left w:w="57" w:type="dxa"/>
              <w:right w:w="57" w:type="dxa"/>
            </w:tcMar>
          </w:tcPr>
          <w:p w14:paraId="2FDB3E72" w14:textId="77777777" w:rsidR="00FD1F20" w:rsidRPr="005128B6" w:rsidRDefault="00FD1F20" w:rsidP="004623DD">
            <w:pPr>
              <w:rPr>
                <w:sz w:val="22"/>
                <w:szCs w:val="22"/>
              </w:rPr>
            </w:pPr>
          </w:p>
        </w:tc>
        <w:tc>
          <w:tcPr>
            <w:tcW w:w="5919" w:type="dxa"/>
            <w:tcMar>
              <w:left w:w="57" w:type="dxa"/>
              <w:right w:w="57" w:type="dxa"/>
            </w:tcMar>
          </w:tcPr>
          <w:p w14:paraId="08F755DD" w14:textId="4DACC357" w:rsidR="00FD1F20" w:rsidRPr="005128B6" w:rsidRDefault="00FD1F20" w:rsidP="004623DD">
            <w:pPr>
              <w:rPr>
                <w:sz w:val="22"/>
                <w:szCs w:val="22"/>
              </w:rPr>
            </w:pPr>
            <w:r w:rsidRPr="005128B6">
              <w:rPr>
                <w:sz w:val="22"/>
                <w:szCs w:val="22"/>
              </w:rPr>
              <w:t>Certifikacija uklanjanja ugljika</w:t>
            </w:r>
          </w:p>
        </w:tc>
        <w:tc>
          <w:tcPr>
            <w:tcW w:w="1134" w:type="dxa"/>
            <w:shd w:val="clear" w:color="auto" w:fill="auto"/>
            <w:tcMar>
              <w:left w:w="57" w:type="dxa"/>
              <w:right w:w="57" w:type="dxa"/>
            </w:tcMar>
          </w:tcPr>
          <w:p w14:paraId="13A5A67A" w14:textId="264B32B0" w:rsidR="00FD1F20" w:rsidRPr="005128B6" w:rsidRDefault="00016C6B" w:rsidP="004623DD">
            <w:pPr>
              <w:rPr>
                <w:sz w:val="22"/>
                <w:szCs w:val="22"/>
                <w:highlight w:val="yellow"/>
              </w:rPr>
            </w:pPr>
            <w:r w:rsidRPr="00016C6B">
              <w:rPr>
                <w:sz w:val="22"/>
                <w:szCs w:val="22"/>
              </w:rPr>
              <w:t>4</w:t>
            </w:r>
          </w:p>
        </w:tc>
      </w:tr>
      <w:tr w:rsidR="003E17AD" w:rsidRPr="005128B6" w14:paraId="096E6D67" w14:textId="77777777" w:rsidTr="63259912">
        <w:tc>
          <w:tcPr>
            <w:tcW w:w="1124" w:type="dxa"/>
            <w:tcMar>
              <w:left w:w="57" w:type="dxa"/>
              <w:right w:w="57" w:type="dxa"/>
            </w:tcMar>
          </w:tcPr>
          <w:p w14:paraId="7D6F2670" w14:textId="6894253E" w:rsidR="003E17AD" w:rsidRPr="005128B6" w:rsidRDefault="003E17AD" w:rsidP="003E17AD">
            <w:pPr>
              <w:rPr>
                <w:sz w:val="22"/>
                <w:szCs w:val="22"/>
              </w:rPr>
            </w:pPr>
            <w:r>
              <w:rPr>
                <w:sz w:val="22"/>
                <w:szCs w:val="22"/>
              </w:rPr>
              <w:t>MS-15</w:t>
            </w:r>
          </w:p>
        </w:tc>
        <w:tc>
          <w:tcPr>
            <w:tcW w:w="1169" w:type="dxa"/>
            <w:tcMar>
              <w:left w:w="57" w:type="dxa"/>
              <w:right w:w="57" w:type="dxa"/>
            </w:tcMar>
          </w:tcPr>
          <w:p w14:paraId="2C2292FF" w14:textId="77777777" w:rsidR="003E17AD" w:rsidRPr="005128B6" w:rsidRDefault="003E17AD" w:rsidP="003E17AD">
            <w:pPr>
              <w:rPr>
                <w:sz w:val="22"/>
                <w:szCs w:val="22"/>
              </w:rPr>
            </w:pPr>
          </w:p>
        </w:tc>
        <w:tc>
          <w:tcPr>
            <w:tcW w:w="5919" w:type="dxa"/>
            <w:tcMar>
              <w:left w:w="57" w:type="dxa"/>
              <w:right w:w="57" w:type="dxa"/>
            </w:tcMar>
          </w:tcPr>
          <w:p w14:paraId="456E014D" w14:textId="7008FDA8" w:rsidR="003E17AD" w:rsidRPr="005128B6" w:rsidRDefault="003E17AD" w:rsidP="003E17AD">
            <w:pPr>
              <w:rPr>
                <w:sz w:val="22"/>
                <w:szCs w:val="22"/>
              </w:rPr>
            </w:pPr>
            <w:r>
              <w:rPr>
                <w:sz w:val="22"/>
                <w:szCs w:val="22"/>
              </w:rPr>
              <w:t xml:space="preserve">Izrada i provedba </w:t>
            </w:r>
            <w:r w:rsidRPr="002E335A">
              <w:rPr>
                <w:sz w:val="22"/>
                <w:szCs w:val="22"/>
              </w:rPr>
              <w:t>Socijaln</w:t>
            </w:r>
            <w:r>
              <w:rPr>
                <w:sz w:val="22"/>
                <w:szCs w:val="22"/>
              </w:rPr>
              <w:t>og</w:t>
            </w:r>
            <w:r w:rsidRPr="002E335A">
              <w:rPr>
                <w:sz w:val="22"/>
                <w:szCs w:val="22"/>
              </w:rPr>
              <w:t xml:space="preserve"> plan</w:t>
            </w:r>
            <w:r>
              <w:rPr>
                <w:sz w:val="22"/>
                <w:szCs w:val="22"/>
              </w:rPr>
              <w:t>a</w:t>
            </w:r>
            <w:r w:rsidRPr="002E335A">
              <w:rPr>
                <w:sz w:val="22"/>
                <w:szCs w:val="22"/>
              </w:rPr>
              <w:t xml:space="preserve"> za klimatsku politiku</w:t>
            </w:r>
          </w:p>
        </w:tc>
        <w:tc>
          <w:tcPr>
            <w:tcW w:w="1134" w:type="dxa"/>
            <w:shd w:val="clear" w:color="auto" w:fill="auto"/>
            <w:tcMar>
              <w:left w:w="57" w:type="dxa"/>
              <w:right w:w="57" w:type="dxa"/>
            </w:tcMar>
          </w:tcPr>
          <w:p w14:paraId="2834B773" w14:textId="67775BB2" w:rsidR="003E17AD" w:rsidRPr="005128B6" w:rsidRDefault="003E17AD" w:rsidP="003E17AD">
            <w:pPr>
              <w:rPr>
                <w:sz w:val="22"/>
                <w:szCs w:val="22"/>
                <w:highlight w:val="yellow"/>
              </w:rPr>
            </w:pPr>
            <w:r>
              <w:rPr>
                <w:sz w:val="22"/>
                <w:szCs w:val="22"/>
              </w:rPr>
              <w:t>2,3,5</w:t>
            </w:r>
          </w:p>
        </w:tc>
      </w:tr>
      <w:tr w:rsidR="00480923" w:rsidRPr="005128B6" w14:paraId="755193B4" w14:textId="77777777" w:rsidTr="63259912">
        <w:tc>
          <w:tcPr>
            <w:tcW w:w="1124" w:type="dxa"/>
            <w:tcMar>
              <w:left w:w="57" w:type="dxa"/>
              <w:right w:w="57" w:type="dxa"/>
            </w:tcMar>
          </w:tcPr>
          <w:p w14:paraId="1B3DAB65" w14:textId="16BF361E" w:rsidR="00480923" w:rsidRDefault="00480923" w:rsidP="003E17AD">
            <w:pPr>
              <w:rPr>
                <w:sz w:val="22"/>
                <w:szCs w:val="22"/>
              </w:rPr>
            </w:pPr>
            <w:r>
              <w:rPr>
                <w:sz w:val="22"/>
                <w:szCs w:val="22"/>
              </w:rPr>
              <w:t>MS-16</w:t>
            </w:r>
          </w:p>
        </w:tc>
        <w:tc>
          <w:tcPr>
            <w:tcW w:w="1169" w:type="dxa"/>
            <w:tcMar>
              <w:left w:w="57" w:type="dxa"/>
              <w:right w:w="57" w:type="dxa"/>
            </w:tcMar>
          </w:tcPr>
          <w:p w14:paraId="27E4F193" w14:textId="77777777" w:rsidR="00480923" w:rsidRPr="005128B6" w:rsidRDefault="00480923" w:rsidP="003E17AD">
            <w:pPr>
              <w:rPr>
                <w:sz w:val="22"/>
                <w:szCs w:val="22"/>
              </w:rPr>
            </w:pPr>
          </w:p>
        </w:tc>
        <w:tc>
          <w:tcPr>
            <w:tcW w:w="5919" w:type="dxa"/>
            <w:tcMar>
              <w:left w:w="57" w:type="dxa"/>
              <w:right w:w="57" w:type="dxa"/>
            </w:tcMar>
          </w:tcPr>
          <w:p w14:paraId="15144A81" w14:textId="6D1BCA64" w:rsidR="00480923" w:rsidRDefault="004C4977" w:rsidP="003E17AD">
            <w:pPr>
              <w:rPr>
                <w:sz w:val="22"/>
                <w:szCs w:val="22"/>
              </w:rPr>
            </w:pPr>
            <w:r>
              <w:rPr>
                <w:sz w:val="22"/>
                <w:szCs w:val="22"/>
              </w:rPr>
              <w:t>Planiranje zelenog proračuna</w:t>
            </w:r>
          </w:p>
        </w:tc>
        <w:tc>
          <w:tcPr>
            <w:tcW w:w="1134" w:type="dxa"/>
            <w:shd w:val="clear" w:color="auto" w:fill="auto"/>
            <w:tcMar>
              <w:left w:w="57" w:type="dxa"/>
              <w:right w:w="57" w:type="dxa"/>
            </w:tcMar>
          </w:tcPr>
          <w:p w14:paraId="467AEFE2" w14:textId="6788FD68" w:rsidR="00480923" w:rsidRDefault="009126DE" w:rsidP="003E17AD">
            <w:pPr>
              <w:rPr>
                <w:sz w:val="22"/>
                <w:szCs w:val="22"/>
              </w:rPr>
            </w:pPr>
            <w:r>
              <w:rPr>
                <w:sz w:val="22"/>
                <w:szCs w:val="22"/>
              </w:rPr>
              <w:t>2,3,4,5</w:t>
            </w:r>
          </w:p>
        </w:tc>
      </w:tr>
      <w:tr w:rsidR="00CE0D0B" w:rsidRPr="005128B6" w14:paraId="5A484EC3" w14:textId="77777777" w:rsidTr="63259912">
        <w:tc>
          <w:tcPr>
            <w:tcW w:w="1124" w:type="dxa"/>
            <w:tcMar>
              <w:left w:w="57" w:type="dxa"/>
              <w:right w:w="57" w:type="dxa"/>
            </w:tcMar>
          </w:tcPr>
          <w:p w14:paraId="6D63A46F" w14:textId="162B43F2" w:rsidR="00CE0D0B" w:rsidRDefault="00CE0D0B" w:rsidP="003E17AD">
            <w:pPr>
              <w:rPr>
                <w:sz w:val="22"/>
                <w:szCs w:val="22"/>
              </w:rPr>
            </w:pPr>
            <w:r>
              <w:rPr>
                <w:sz w:val="22"/>
                <w:szCs w:val="22"/>
              </w:rPr>
              <w:t>IP-1</w:t>
            </w:r>
          </w:p>
        </w:tc>
        <w:tc>
          <w:tcPr>
            <w:tcW w:w="1169" w:type="dxa"/>
            <w:tcMar>
              <w:left w:w="57" w:type="dxa"/>
              <w:right w:w="57" w:type="dxa"/>
            </w:tcMar>
          </w:tcPr>
          <w:p w14:paraId="22A83481" w14:textId="0947835D" w:rsidR="00CE0D0B" w:rsidRPr="005128B6" w:rsidRDefault="00BE3301" w:rsidP="003E17AD">
            <w:pPr>
              <w:rPr>
                <w:sz w:val="22"/>
                <w:szCs w:val="22"/>
              </w:rPr>
            </w:pPr>
            <w:r>
              <w:rPr>
                <w:sz w:val="22"/>
                <w:szCs w:val="22"/>
              </w:rPr>
              <w:t>MIP-1</w:t>
            </w:r>
          </w:p>
        </w:tc>
        <w:tc>
          <w:tcPr>
            <w:tcW w:w="5919" w:type="dxa"/>
            <w:tcMar>
              <w:left w:w="57" w:type="dxa"/>
              <w:right w:w="57" w:type="dxa"/>
            </w:tcMar>
          </w:tcPr>
          <w:p w14:paraId="29F30E35" w14:textId="3BE80181" w:rsidR="00CE0D0B" w:rsidRDefault="00380C33" w:rsidP="63259912">
            <w:pPr>
              <w:rPr>
                <w:sz w:val="22"/>
                <w:szCs w:val="22"/>
              </w:rPr>
            </w:pPr>
            <w:r w:rsidRPr="63259912">
              <w:rPr>
                <w:sz w:val="22"/>
                <w:szCs w:val="22"/>
              </w:rPr>
              <w:t>Smanjenje udjela klinkera u proizvodnji cementa</w:t>
            </w:r>
          </w:p>
        </w:tc>
        <w:tc>
          <w:tcPr>
            <w:tcW w:w="1134" w:type="dxa"/>
            <w:shd w:val="clear" w:color="auto" w:fill="auto"/>
            <w:tcMar>
              <w:left w:w="57" w:type="dxa"/>
              <w:right w:w="57" w:type="dxa"/>
            </w:tcMar>
          </w:tcPr>
          <w:p w14:paraId="6C74DCD2" w14:textId="77777777" w:rsidR="00CE0D0B" w:rsidRDefault="00CE0D0B" w:rsidP="003E17AD">
            <w:pPr>
              <w:rPr>
                <w:sz w:val="22"/>
                <w:szCs w:val="22"/>
              </w:rPr>
            </w:pPr>
          </w:p>
        </w:tc>
      </w:tr>
      <w:tr w:rsidR="00FE1A9F" w:rsidRPr="005128B6" w14:paraId="587C9D27" w14:textId="38854610" w:rsidTr="63259912">
        <w:tc>
          <w:tcPr>
            <w:tcW w:w="1124" w:type="dxa"/>
            <w:tcMar>
              <w:left w:w="57" w:type="dxa"/>
              <w:right w:w="57" w:type="dxa"/>
            </w:tcMar>
          </w:tcPr>
          <w:p w14:paraId="67E7C489" w14:textId="72A2EE37" w:rsidR="00FE1A9F" w:rsidRPr="005128B6" w:rsidRDefault="00FF77E0" w:rsidP="004623DD">
            <w:pPr>
              <w:rPr>
                <w:sz w:val="22"/>
                <w:szCs w:val="22"/>
              </w:rPr>
            </w:pPr>
            <w:r>
              <w:rPr>
                <w:sz w:val="22"/>
                <w:szCs w:val="22"/>
              </w:rPr>
              <w:t>IP-</w:t>
            </w:r>
            <w:r w:rsidR="001722F4">
              <w:rPr>
                <w:sz w:val="22"/>
                <w:szCs w:val="22"/>
              </w:rPr>
              <w:t>2</w:t>
            </w:r>
          </w:p>
        </w:tc>
        <w:tc>
          <w:tcPr>
            <w:tcW w:w="1169" w:type="dxa"/>
            <w:tcMar>
              <w:left w:w="57" w:type="dxa"/>
              <w:right w:w="57" w:type="dxa"/>
            </w:tcMar>
          </w:tcPr>
          <w:p w14:paraId="06154D53" w14:textId="53C0F8B0" w:rsidR="00FE1A9F" w:rsidRPr="005128B6" w:rsidRDefault="00FF77E0" w:rsidP="004623DD">
            <w:pPr>
              <w:rPr>
                <w:sz w:val="22"/>
                <w:szCs w:val="22"/>
              </w:rPr>
            </w:pPr>
            <w:r>
              <w:rPr>
                <w:sz w:val="22"/>
                <w:szCs w:val="22"/>
              </w:rPr>
              <w:t>MIP-2</w:t>
            </w:r>
          </w:p>
        </w:tc>
        <w:tc>
          <w:tcPr>
            <w:tcW w:w="5919" w:type="dxa"/>
            <w:tcMar>
              <w:left w:w="57" w:type="dxa"/>
              <w:right w:w="57" w:type="dxa"/>
            </w:tcMar>
          </w:tcPr>
          <w:p w14:paraId="416B9D41" w14:textId="36113B90" w:rsidR="00FE1A9F" w:rsidRPr="00AB2DFC" w:rsidRDefault="00030827" w:rsidP="63259912">
            <w:pPr>
              <w:spacing w:after="0"/>
              <w:rPr>
                <w:rFonts w:cs="Calibri"/>
                <w:color w:val="000000"/>
                <w:sz w:val="22"/>
                <w:szCs w:val="22"/>
                <w:lang w:eastAsia="zh-TW"/>
              </w:rPr>
            </w:pPr>
            <w:r w:rsidRPr="63259912">
              <w:rPr>
                <w:rFonts w:cs="Calibri"/>
                <w:color w:val="000000" w:themeColor="text1"/>
                <w:sz w:val="22"/>
                <w:szCs w:val="22"/>
              </w:rPr>
              <w:t>Ograničenja i zabrana stavljanja na tržište i isključivanje  proizvoda i opreme koji sadrže fluorirane stakleničke plinove</w:t>
            </w:r>
          </w:p>
        </w:tc>
        <w:tc>
          <w:tcPr>
            <w:tcW w:w="1134" w:type="dxa"/>
            <w:shd w:val="clear" w:color="auto" w:fill="auto"/>
            <w:tcMar>
              <w:left w:w="57" w:type="dxa"/>
              <w:right w:w="57" w:type="dxa"/>
            </w:tcMar>
          </w:tcPr>
          <w:p w14:paraId="3FB7759E" w14:textId="1AECB09D" w:rsidR="00FE1A9F" w:rsidRPr="005128B6" w:rsidRDefault="00FE1A9F" w:rsidP="004623DD">
            <w:pPr>
              <w:rPr>
                <w:sz w:val="22"/>
                <w:szCs w:val="22"/>
                <w:highlight w:val="yellow"/>
              </w:rPr>
            </w:pPr>
          </w:p>
        </w:tc>
      </w:tr>
      <w:tr w:rsidR="00FE1A9F" w:rsidRPr="005128B6" w14:paraId="24E652A2" w14:textId="653E808F" w:rsidTr="63259912">
        <w:tc>
          <w:tcPr>
            <w:tcW w:w="1124" w:type="dxa"/>
            <w:tcMar>
              <w:left w:w="57" w:type="dxa"/>
              <w:right w:w="57" w:type="dxa"/>
            </w:tcMar>
          </w:tcPr>
          <w:p w14:paraId="32059A2D" w14:textId="6F2DC462" w:rsidR="00FE1A9F" w:rsidRPr="005128B6" w:rsidRDefault="00FE1A9F" w:rsidP="004623DD">
            <w:pPr>
              <w:rPr>
                <w:sz w:val="22"/>
                <w:szCs w:val="22"/>
                <w:highlight w:val="yellow"/>
              </w:rPr>
            </w:pPr>
            <w:r w:rsidRPr="005128B6">
              <w:rPr>
                <w:sz w:val="22"/>
                <w:szCs w:val="22"/>
              </w:rPr>
              <w:t>GO-1</w:t>
            </w:r>
          </w:p>
        </w:tc>
        <w:tc>
          <w:tcPr>
            <w:tcW w:w="1169" w:type="dxa"/>
            <w:tcMar>
              <w:left w:w="57" w:type="dxa"/>
              <w:right w:w="57" w:type="dxa"/>
            </w:tcMar>
          </w:tcPr>
          <w:p w14:paraId="74BDC132" w14:textId="7688CE4E" w:rsidR="00FE1A9F" w:rsidRPr="005128B6" w:rsidRDefault="00FE1A9F" w:rsidP="004623DD">
            <w:pPr>
              <w:rPr>
                <w:sz w:val="22"/>
                <w:szCs w:val="22"/>
                <w:highlight w:val="yellow"/>
              </w:rPr>
            </w:pPr>
            <w:r w:rsidRPr="005128B6">
              <w:rPr>
                <w:sz w:val="22"/>
                <w:szCs w:val="22"/>
              </w:rPr>
              <w:t>MWM-1</w:t>
            </w:r>
          </w:p>
        </w:tc>
        <w:tc>
          <w:tcPr>
            <w:tcW w:w="5919" w:type="dxa"/>
            <w:tcMar>
              <w:left w:w="57" w:type="dxa"/>
              <w:right w:w="57" w:type="dxa"/>
            </w:tcMar>
          </w:tcPr>
          <w:p w14:paraId="1BF86FD0" w14:textId="618544C5" w:rsidR="00FE1A9F" w:rsidRPr="00F46143" w:rsidRDefault="00FE1A9F" w:rsidP="004623DD">
            <w:pPr>
              <w:rPr>
                <w:sz w:val="22"/>
                <w:szCs w:val="22"/>
              </w:rPr>
            </w:pPr>
            <w:r w:rsidRPr="00F46143">
              <w:rPr>
                <w:sz w:val="22"/>
                <w:szCs w:val="22"/>
              </w:rPr>
              <w:t xml:space="preserve">Sprječavanje </w:t>
            </w:r>
            <w:r w:rsidR="00C30482" w:rsidRPr="00F46143">
              <w:rPr>
                <w:sz w:val="22"/>
                <w:szCs w:val="22"/>
              </w:rPr>
              <w:t xml:space="preserve">i smanjenje </w:t>
            </w:r>
            <w:r w:rsidRPr="00F46143">
              <w:rPr>
                <w:sz w:val="22"/>
                <w:szCs w:val="22"/>
              </w:rPr>
              <w:t>nastajanja otpada</w:t>
            </w:r>
          </w:p>
        </w:tc>
        <w:tc>
          <w:tcPr>
            <w:tcW w:w="1134" w:type="dxa"/>
            <w:shd w:val="clear" w:color="auto" w:fill="auto"/>
            <w:tcMar>
              <w:left w:w="57" w:type="dxa"/>
              <w:right w:w="57" w:type="dxa"/>
            </w:tcMar>
          </w:tcPr>
          <w:p w14:paraId="4F9A7E04" w14:textId="104481CC" w:rsidR="00FE1A9F" w:rsidRPr="00F46143" w:rsidRDefault="00F46143" w:rsidP="004623DD">
            <w:pPr>
              <w:rPr>
                <w:sz w:val="22"/>
                <w:szCs w:val="22"/>
              </w:rPr>
            </w:pPr>
            <w:r w:rsidRPr="00F46143">
              <w:rPr>
                <w:sz w:val="22"/>
                <w:szCs w:val="22"/>
              </w:rPr>
              <w:t>5</w:t>
            </w:r>
          </w:p>
        </w:tc>
      </w:tr>
      <w:tr w:rsidR="00FE1A9F" w:rsidRPr="005128B6" w14:paraId="25C75091" w14:textId="654F06D7" w:rsidTr="63259912">
        <w:tc>
          <w:tcPr>
            <w:tcW w:w="1124" w:type="dxa"/>
            <w:tcMar>
              <w:left w:w="57" w:type="dxa"/>
              <w:right w:w="57" w:type="dxa"/>
            </w:tcMar>
          </w:tcPr>
          <w:p w14:paraId="36AE4E00" w14:textId="75DD1CFD" w:rsidR="00FE1A9F" w:rsidRPr="005128B6" w:rsidRDefault="00FE1A9F" w:rsidP="004623DD">
            <w:pPr>
              <w:rPr>
                <w:sz w:val="22"/>
                <w:szCs w:val="22"/>
                <w:highlight w:val="yellow"/>
              </w:rPr>
            </w:pPr>
            <w:r w:rsidRPr="005128B6">
              <w:rPr>
                <w:sz w:val="22"/>
                <w:szCs w:val="22"/>
              </w:rPr>
              <w:t>GO-2</w:t>
            </w:r>
          </w:p>
        </w:tc>
        <w:tc>
          <w:tcPr>
            <w:tcW w:w="1169" w:type="dxa"/>
            <w:tcMar>
              <w:left w:w="57" w:type="dxa"/>
              <w:right w:w="57" w:type="dxa"/>
            </w:tcMar>
          </w:tcPr>
          <w:p w14:paraId="4449041B" w14:textId="33D8D338" w:rsidR="00FE1A9F" w:rsidRPr="005128B6" w:rsidRDefault="00FE1A9F" w:rsidP="004623DD">
            <w:pPr>
              <w:rPr>
                <w:sz w:val="22"/>
                <w:szCs w:val="22"/>
                <w:highlight w:val="yellow"/>
              </w:rPr>
            </w:pPr>
            <w:r w:rsidRPr="005128B6">
              <w:rPr>
                <w:sz w:val="22"/>
                <w:szCs w:val="22"/>
              </w:rPr>
              <w:t>MWM-2</w:t>
            </w:r>
          </w:p>
        </w:tc>
        <w:tc>
          <w:tcPr>
            <w:tcW w:w="5919" w:type="dxa"/>
            <w:tcMar>
              <w:left w:w="57" w:type="dxa"/>
              <w:right w:w="57" w:type="dxa"/>
            </w:tcMar>
          </w:tcPr>
          <w:p w14:paraId="57F32460" w14:textId="4E0FB8BD" w:rsidR="00FE1A9F" w:rsidRPr="00F46143" w:rsidRDefault="00FE1A9F" w:rsidP="004623DD">
            <w:pPr>
              <w:rPr>
                <w:sz w:val="22"/>
                <w:szCs w:val="22"/>
              </w:rPr>
            </w:pPr>
            <w:r w:rsidRPr="00F46143">
              <w:rPr>
                <w:sz w:val="22"/>
                <w:szCs w:val="22"/>
              </w:rPr>
              <w:t xml:space="preserve">Povećanje </w:t>
            </w:r>
            <w:r w:rsidR="0050591B" w:rsidRPr="00F46143">
              <w:rPr>
                <w:sz w:val="22"/>
                <w:szCs w:val="22"/>
              </w:rPr>
              <w:t>mase</w:t>
            </w:r>
            <w:r w:rsidRPr="00F46143">
              <w:rPr>
                <w:sz w:val="22"/>
                <w:szCs w:val="22"/>
              </w:rPr>
              <w:t xml:space="preserve"> odvojeno skupljenog i recikliranog otpada</w:t>
            </w:r>
          </w:p>
        </w:tc>
        <w:tc>
          <w:tcPr>
            <w:tcW w:w="1134" w:type="dxa"/>
            <w:shd w:val="clear" w:color="auto" w:fill="auto"/>
            <w:tcMar>
              <w:left w:w="57" w:type="dxa"/>
              <w:right w:w="57" w:type="dxa"/>
            </w:tcMar>
          </w:tcPr>
          <w:p w14:paraId="02B7BC23" w14:textId="20370AB4" w:rsidR="00FE1A9F" w:rsidRPr="00F46143" w:rsidRDefault="00F46143" w:rsidP="004623DD">
            <w:pPr>
              <w:rPr>
                <w:sz w:val="22"/>
                <w:szCs w:val="22"/>
              </w:rPr>
            </w:pPr>
            <w:r w:rsidRPr="00F46143">
              <w:rPr>
                <w:sz w:val="22"/>
                <w:szCs w:val="22"/>
              </w:rPr>
              <w:t>5</w:t>
            </w:r>
          </w:p>
        </w:tc>
      </w:tr>
      <w:tr w:rsidR="00FE1A9F" w:rsidRPr="005128B6" w14:paraId="4B47E17E" w14:textId="4B2BD036" w:rsidTr="63259912">
        <w:tc>
          <w:tcPr>
            <w:tcW w:w="1124" w:type="dxa"/>
            <w:tcMar>
              <w:left w:w="57" w:type="dxa"/>
              <w:right w:w="57" w:type="dxa"/>
            </w:tcMar>
          </w:tcPr>
          <w:p w14:paraId="1C3ADABB" w14:textId="437BCC48" w:rsidR="00FE1A9F" w:rsidRPr="005128B6" w:rsidRDefault="00FE1A9F" w:rsidP="004623DD">
            <w:pPr>
              <w:rPr>
                <w:sz w:val="22"/>
                <w:szCs w:val="22"/>
                <w:highlight w:val="yellow"/>
              </w:rPr>
            </w:pPr>
            <w:r w:rsidRPr="005128B6">
              <w:rPr>
                <w:sz w:val="22"/>
                <w:szCs w:val="22"/>
              </w:rPr>
              <w:lastRenderedPageBreak/>
              <w:t>GO-3</w:t>
            </w:r>
          </w:p>
        </w:tc>
        <w:tc>
          <w:tcPr>
            <w:tcW w:w="1169" w:type="dxa"/>
            <w:tcMar>
              <w:left w:w="57" w:type="dxa"/>
              <w:right w:w="57" w:type="dxa"/>
            </w:tcMar>
          </w:tcPr>
          <w:p w14:paraId="5D38D556" w14:textId="0D4B6E79" w:rsidR="00FE1A9F" w:rsidRPr="005128B6" w:rsidRDefault="00FE1A9F" w:rsidP="004623DD">
            <w:pPr>
              <w:rPr>
                <w:sz w:val="22"/>
                <w:szCs w:val="22"/>
                <w:highlight w:val="yellow"/>
              </w:rPr>
            </w:pPr>
            <w:r w:rsidRPr="005128B6">
              <w:rPr>
                <w:sz w:val="22"/>
                <w:szCs w:val="22"/>
              </w:rPr>
              <w:t>MWM-</w:t>
            </w:r>
            <w:r w:rsidR="0050591B" w:rsidRPr="005128B6">
              <w:rPr>
                <w:sz w:val="22"/>
                <w:szCs w:val="22"/>
              </w:rPr>
              <w:t>4</w:t>
            </w:r>
          </w:p>
        </w:tc>
        <w:tc>
          <w:tcPr>
            <w:tcW w:w="5919" w:type="dxa"/>
            <w:tcMar>
              <w:left w:w="57" w:type="dxa"/>
              <w:right w:w="57" w:type="dxa"/>
            </w:tcMar>
          </w:tcPr>
          <w:p w14:paraId="18E60483" w14:textId="3B91F0AB" w:rsidR="00FE1A9F" w:rsidRPr="00F46143" w:rsidRDefault="0050591B" w:rsidP="004623DD">
            <w:pPr>
              <w:rPr>
                <w:sz w:val="22"/>
                <w:szCs w:val="22"/>
              </w:rPr>
            </w:pPr>
            <w:r w:rsidRPr="00F46143">
              <w:rPr>
                <w:sz w:val="22"/>
                <w:szCs w:val="22"/>
              </w:rPr>
              <w:t>Smanjenje mase odloženog biorazgradivog otpada</w:t>
            </w:r>
          </w:p>
        </w:tc>
        <w:tc>
          <w:tcPr>
            <w:tcW w:w="1134" w:type="dxa"/>
            <w:shd w:val="clear" w:color="auto" w:fill="auto"/>
            <w:tcMar>
              <w:left w:w="57" w:type="dxa"/>
              <w:right w:w="57" w:type="dxa"/>
            </w:tcMar>
          </w:tcPr>
          <w:p w14:paraId="0087CBF2" w14:textId="66E57A5C" w:rsidR="00FE1A9F" w:rsidRPr="00F46143" w:rsidRDefault="00F46143" w:rsidP="004623DD">
            <w:pPr>
              <w:rPr>
                <w:sz w:val="22"/>
                <w:szCs w:val="22"/>
              </w:rPr>
            </w:pPr>
            <w:r w:rsidRPr="00F46143">
              <w:rPr>
                <w:sz w:val="22"/>
                <w:szCs w:val="22"/>
              </w:rPr>
              <w:t>5</w:t>
            </w:r>
          </w:p>
        </w:tc>
      </w:tr>
      <w:tr w:rsidR="00FE1A9F" w:rsidRPr="005128B6" w14:paraId="7340C93D" w14:textId="65408D35" w:rsidTr="63259912">
        <w:tc>
          <w:tcPr>
            <w:tcW w:w="1124" w:type="dxa"/>
            <w:tcMar>
              <w:left w:w="57" w:type="dxa"/>
              <w:right w:w="57" w:type="dxa"/>
            </w:tcMar>
          </w:tcPr>
          <w:p w14:paraId="1BDA9309" w14:textId="4237906B" w:rsidR="00FE1A9F" w:rsidRPr="005128B6" w:rsidRDefault="00FE1A9F" w:rsidP="004623DD">
            <w:pPr>
              <w:rPr>
                <w:sz w:val="22"/>
                <w:szCs w:val="22"/>
              </w:rPr>
            </w:pPr>
            <w:r w:rsidRPr="005128B6">
              <w:rPr>
                <w:sz w:val="22"/>
                <w:szCs w:val="22"/>
              </w:rPr>
              <w:t>GO-4</w:t>
            </w:r>
          </w:p>
        </w:tc>
        <w:tc>
          <w:tcPr>
            <w:tcW w:w="1169" w:type="dxa"/>
            <w:tcMar>
              <w:left w:w="57" w:type="dxa"/>
              <w:right w:w="57" w:type="dxa"/>
            </w:tcMar>
          </w:tcPr>
          <w:p w14:paraId="5765E026" w14:textId="11668E86" w:rsidR="00FE1A9F" w:rsidRPr="005128B6" w:rsidRDefault="00C052F9" w:rsidP="004623DD">
            <w:pPr>
              <w:rPr>
                <w:sz w:val="22"/>
                <w:szCs w:val="22"/>
              </w:rPr>
            </w:pPr>
            <w:r w:rsidRPr="005128B6">
              <w:rPr>
                <w:sz w:val="22"/>
                <w:szCs w:val="22"/>
              </w:rPr>
              <w:t>MWM-3</w:t>
            </w:r>
          </w:p>
        </w:tc>
        <w:tc>
          <w:tcPr>
            <w:tcW w:w="5919" w:type="dxa"/>
            <w:tcMar>
              <w:left w:w="57" w:type="dxa"/>
              <w:right w:w="57" w:type="dxa"/>
            </w:tcMar>
          </w:tcPr>
          <w:p w14:paraId="2B478EDF" w14:textId="2443AA82" w:rsidR="00FE1A9F" w:rsidRPr="004A0C57" w:rsidRDefault="00C052F9" w:rsidP="004623DD">
            <w:pPr>
              <w:rPr>
                <w:sz w:val="22"/>
                <w:szCs w:val="22"/>
              </w:rPr>
            </w:pPr>
            <w:r w:rsidRPr="004A0C57">
              <w:rPr>
                <w:sz w:val="22"/>
                <w:szCs w:val="22"/>
              </w:rPr>
              <w:t>Osiguravanje sustava obrade i korištenja odlagališnog plina</w:t>
            </w:r>
          </w:p>
        </w:tc>
        <w:tc>
          <w:tcPr>
            <w:tcW w:w="1134" w:type="dxa"/>
            <w:shd w:val="clear" w:color="auto" w:fill="auto"/>
            <w:tcMar>
              <w:left w:w="57" w:type="dxa"/>
              <w:right w:w="57" w:type="dxa"/>
            </w:tcMar>
          </w:tcPr>
          <w:p w14:paraId="5844FA7A" w14:textId="0F77470E" w:rsidR="00FE1A9F" w:rsidRPr="004A0C57" w:rsidRDefault="00F43758" w:rsidP="004623DD">
            <w:pPr>
              <w:rPr>
                <w:sz w:val="22"/>
                <w:szCs w:val="22"/>
              </w:rPr>
            </w:pPr>
            <w:r>
              <w:rPr>
                <w:sz w:val="22"/>
                <w:szCs w:val="22"/>
              </w:rPr>
              <w:t>5</w:t>
            </w:r>
          </w:p>
        </w:tc>
      </w:tr>
      <w:tr w:rsidR="00FE1A9F" w:rsidRPr="005128B6" w14:paraId="58B78E03" w14:textId="05B761A8" w:rsidTr="63259912">
        <w:tc>
          <w:tcPr>
            <w:tcW w:w="1124" w:type="dxa"/>
            <w:tcMar>
              <w:left w:w="57" w:type="dxa"/>
              <w:right w:w="57" w:type="dxa"/>
            </w:tcMar>
          </w:tcPr>
          <w:p w14:paraId="540F1214" w14:textId="5CC88598" w:rsidR="00FE1A9F" w:rsidRPr="005128B6" w:rsidRDefault="00FE1A9F" w:rsidP="004623DD">
            <w:pPr>
              <w:rPr>
                <w:sz w:val="22"/>
                <w:szCs w:val="22"/>
              </w:rPr>
            </w:pPr>
            <w:r w:rsidRPr="005128B6">
              <w:rPr>
                <w:sz w:val="22"/>
                <w:szCs w:val="22"/>
              </w:rPr>
              <w:t>GO-5</w:t>
            </w:r>
          </w:p>
        </w:tc>
        <w:tc>
          <w:tcPr>
            <w:tcW w:w="1169" w:type="dxa"/>
            <w:tcMar>
              <w:left w:w="57" w:type="dxa"/>
              <w:right w:w="57" w:type="dxa"/>
            </w:tcMar>
          </w:tcPr>
          <w:p w14:paraId="56B85A77" w14:textId="2F35306C" w:rsidR="00FE1A9F" w:rsidRPr="005128B6" w:rsidRDefault="00FE1A9F" w:rsidP="004623DD">
            <w:pPr>
              <w:rPr>
                <w:sz w:val="22"/>
                <w:szCs w:val="22"/>
              </w:rPr>
            </w:pPr>
          </w:p>
        </w:tc>
        <w:tc>
          <w:tcPr>
            <w:tcW w:w="5919" w:type="dxa"/>
            <w:tcMar>
              <w:left w:w="57" w:type="dxa"/>
              <w:right w:w="57" w:type="dxa"/>
            </w:tcMar>
          </w:tcPr>
          <w:p w14:paraId="613566D9" w14:textId="57D21398" w:rsidR="00FE1A9F" w:rsidRPr="005128B6" w:rsidRDefault="00C052F9" w:rsidP="004623DD">
            <w:pPr>
              <w:rPr>
                <w:sz w:val="22"/>
                <w:szCs w:val="22"/>
              </w:rPr>
            </w:pPr>
            <w:r w:rsidRPr="005128B6">
              <w:rPr>
                <w:sz w:val="22"/>
                <w:szCs w:val="22"/>
              </w:rPr>
              <w:t xml:space="preserve">Smanjenje </w:t>
            </w:r>
            <w:r w:rsidR="00F91289">
              <w:rPr>
                <w:sz w:val="22"/>
                <w:szCs w:val="22"/>
              </w:rPr>
              <w:t xml:space="preserve">nastajanja </w:t>
            </w:r>
            <w:r w:rsidRPr="005128B6">
              <w:rPr>
                <w:sz w:val="22"/>
                <w:szCs w:val="22"/>
              </w:rPr>
              <w:t>otpada od hrane</w:t>
            </w:r>
          </w:p>
        </w:tc>
        <w:tc>
          <w:tcPr>
            <w:tcW w:w="1134" w:type="dxa"/>
            <w:shd w:val="clear" w:color="auto" w:fill="auto"/>
            <w:tcMar>
              <w:left w:w="57" w:type="dxa"/>
              <w:right w:w="57" w:type="dxa"/>
            </w:tcMar>
          </w:tcPr>
          <w:p w14:paraId="0B5AB421" w14:textId="7E10C8AD" w:rsidR="00FE1A9F" w:rsidRPr="00FC781E" w:rsidRDefault="00F43758" w:rsidP="004623DD">
            <w:pPr>
              <w:rPr>
                <w:sz w:val="22"/>
                <w:szCs w:val="22"/>
              </w:rPr>
            </w:pPr>
            <w:r w:rsidRPr="00FC781E">
              <w:rPr>
                <w:sz w:val="22"/>
                <w:szCs w:val="22"/>
              </w:rPr>
              <w:t>5</w:t>
            </w:r>
          </w:p>
        </w:tc>
      </w:tr>
      <w:tr w:rsidR="0050591B" w:rsidRPr="005128B6" w14:paraId="75DBEA72" w14:textId="77777777" w:rsidTr="63259912">
        <w:tc>
          <w:tcPr>
            <w:tcW w:w="1124" w:type="dxa"/>
            <w:tcMar>
              <w:left w:w="57" w:type="dxa"/>
              <w:right w:w="57" w:type="dxa"/>
            </w:tcMar>
          </w:tcPr>
          <w:p w14:paraId="7CA09E3C" w14:textId="5E0B2ACA" w:rsidR="0050591B" w:rsidRPr="005128B6" w:rsidRDefault="0050591B" w:rsidP="004623DD">
            <w:pPr>
              <w:rPr>
                <w:sz w:val="22"/>
                <w:szCs w:val="22"/>
              </w:rPr>
            </w:pPr>
            <w:r w:rsidRPr="005128B6">
              <w:rPr>
                <w:sz w:val="22"/>
                <w:szCs w:val="22"/>
              </w:rPr>
              <w:t>GO-6</w:t>
            </w:r>
          </w:p>
        </w:tc>
        <w:tc>
          <w:tcPr>
            <w:tcW w:w="1169" w:type="dxa"/>
            <w:tcMar>
              <w:left w:w="57" w:type="dxa"/>
              <w:right w:w="57" w:type="dxa"/>
            </w:tcMar>
          </w:tcPr>
          <w:p w14:paraId="38E3529E" w14:textId="77777777" w:rsidR="0050591B" w:rsidRPr="005128B6" w:rsidRDefault="0050591B" w:rsidP="004623DD">
            <w:pPr>
              <w:rPr>
                <w:sz w:val="22"/>
                <w:szCs w:val="22"/>
              </w:rPr>
            </w:pPr>
          </w:p>
        </w:tc>
        <w:tc>
          <w:tcPr>
            <w:tcW w:w="5919" w:type="dxa"/>
            <w:tcMar>
              <w:left w:w="57" w:type="dxa"/>
              <w:right w:w="57" w:type="dxa"/>
            </w:tcMar>
          </w:tcPr>
          <w:p w14:paraId="03E543C1" w14:textId="0D432161" w:rsidR="0050591B" w:rsidRPr="005128B6" w:rsidRDefault="00D81E26" w:rsidP="004623DD">
            <w:pPr>
              <w:rPr>
                <w:sz w:val="22"/>
                <w:szCs w:val="22"/>
              </w:rPr>
            </w:pPr>
            <w:r w:rsidRPr="005128B6">
              <w:rPr>
                <w:sz w:val="22"/>
                <w:szCs w:val="22"/>
              </w:rPr>
              <w:t>Mjere kružnog gospodarstva za povećanje resursne učinkovitosti i primjenu poslovnih modela temeljenih na popravljanju, recikliranju i oporabi</w:t>
            </w:r>
          </w:p>
        </w:tc>
        <w:tc>
          <w:tcPr>
            <w:tcW w:w="1134" w:type="dxa"/>
            <w:shd w:val="clear" w:color="auto" w:fill="auto"/>
            <w:tcMar>
              <w:left w:w="57" w:type="dxa"/>
              <w:right w:w="57" w:type="dxa"/>
            </w:tcMar>
          </w:tcPr>
          <w:p w14:paraId="0D64FA1D" w14:textId="783E062D" w:rsidR="0050591B" w:rsidRPr="00FC781E" w:rsidRDefault="00FC781E" w:rsidP="004623DD">
            <w:pPr>
              <w:rPr>
                <w:sz w:val="22"/>
                <w:szCs w:val="22"/>
              </w:rPr>
            </w:pPr>
            <w:r w:rsidRPr="00FC781E">
              <w:rPr>
                <w:sz w:val="22"/>
                <w:szCs w:val="22"/>
              </w:rPr>
              <w:t>5</w:t>
            </w:r>
          </w:p>
        </w:tc>
      </w:tr>
      <w:tr w:rsidR="00FE1A9F" w:rsidRPr="005128B6" w14:paraId="545BFBEA" w14:textId="77777777" w:rsidTr="63259912">
        <w:tc>
          <w:tcPr>
            <w:tcW w:w="1124" w:type="dxa"/>
            <w:tcMar>
              <w:left w:w="57" w:type="dxa"/>
              <w:right w:w="57" w:type="dxa"/>
            </w:tcMar>
          </w:tcPr>
          <w:p w14:paraId="2CBB12ED" w14:textId="25B522CA" w:rsidR="00FE1A9F" w:rsidRPr="005128B6" w:rsidRDefault="00FE1A9F" w:rsidP="004623DD">
            <w:pPr>
              <w:rPr>
                <w:sz w:val="22"/>
                <w:szCs w:val="22"/>
                <w:highlight w:val="yellow"/>
              </w:rPr>
            </w:pPr>
            <w:r w:rsidRPr="005128B6">
              <w:rPr>
                <w:sz w:val="22"/>
                <w:szCs w:val="22"/>
              </w:rPr>
              <w:t>POLJ-</w:t>
            </w:r>
            <w:r w:rsidR="00CE67D2" w:rsidRPr="005128B6">
              <w:rPr>
                <w:sz w:val="22"/>
                <w:szCs w:val="22"/>
              </w:rPr>
              <w:t>1</w:t>
            </w:r>
          </w:p>
        </w:tc>
        <w:tc>
          <w:tcPr>
            <w:tcW w:w="1169" w:type="dxa"/>
            <w:tcMar>
              <w:left w:w="57" w:type="dxa"/>
              <w:right w:w="57" w:type="dxa"/>
            </w:tcMar>
          </w:tcPr>
          <w:p w14:paraId="1FD1CD90" w14:textId="707ADBDD" w:rsidR="00FE1A9F" w:rsidRPr="005128B6" w:rsidRDefault="00FE1A9F" w:rsidP="004623DD">
            <w:pPr>
              <w:rPr>
                <w:sz w:val="22"/>
                <w:szCs w:val="22"/>
                <w:highlight w:val="yellow"/>
              </w:rPr>
            </w:pPr>
            <w:r w:rsidRPr="005128B6">
              <w:rPr>
                <w:sz w:val="22"/>
                <w:szCs w:val="22"/>
              </w:rPr>
              <w:t>MAG-2</w:t>
            </w:r>
          </w:p>
        </w:tc>
        <w:tc>
          <w:tcPr>
            <w:tcW w:w="5919" w:type="dxa"/>
            <w:tcMar>
              <w:left w:w="57" w:type="dxa"/>
              <w:right w:w="57" w:type="dxa"/>
            </w:tcMar>
          </w:tcPr>
          <w:p w14:paraId="4EC7E162" w14:textId="112CF57B" w:rsidR="00FE1A9F" w:rsidRPr="005128B6" w:rsidRDefault="0097388A" w:rsidP="004623DD">
            <w:pPr>
              <w:rPr>
                <w:sz w:val="22"/>
                <w:szCs w:val="22"/>
                <w:highlight w:val="yellow"/>
              </w:rPr>
            </w:pPr>
            <w:r w:rsidRPr="005128B6">
              <w:rPr>
                <w:sz w:val="22"/>
                <w:szCs w:val="22"/>
              </w:rPr>
              <w:t xml:space="preserve">Poboljšanje </w:t>
            </w:r>
            <w:r w:rsidR="00D64C25" w:rsidRPr="005128B6">
              <w:rPr>
                <w:sz w:val="22"/>
                <w:szCs w:val="22"/>
              </w:rPr>
              <w:t>kapaciteta za skladištenje i praks</w:t>
            </w:r>
            <w:r w:rsidR="460109A6" w:rsidRPr="20C1EDF1">
              <w:rPr>
                <w:sz w:val="22"/>
                <w:szCs w:val="22"/>
              </w:rPr>
              <w:t>e</w:t>
            </w:r>
            <w:r w:rsidR="00D64C25" w:rsidRPr="005128B6">
              <w:rPr>
                <w:sz w:val="22"/>
                <w:szCs w:val="22"/>
              </w:rPr>
              <w:t xml:space="preserve"> </w:t>
            </w:r>
            <w:r w:rsidR="00F107A1" w:rsidRPr="005128B6">
              <w:rPr>
                <w:sz w:val="22"/>
                <w:szCs w:val="22"/>
              </w:rPr>
              <w:t>manipulacije stajskim gnojem</w:t>
            </w:r>
          </w:p>
        </w:tc>
        <w:tc>
          <w:tcPr>
            <w:tcW w:w="1134" w:type="dxa"/>
            <w:shd w:val="clear" w:color="auto" w:fill="auto"/>
            <w:tcMar>
              <w:left w:w="57" w:type="dxa"/>
              <w:right w:w="57" w:type="dxa"/>
            </w:tcMar>
          </w:tcPr>
          <w:p w14:paraId="651E3ECC" w14:textId="57C63031" w:rsidR="00FE1A9F" w:rsidRPr="00755731" w:rsidRDefault="001F382A" w:rsidP="004623DD">
            <w:pPr>
              <w:rPr>
                <w:sz w:val="22"/>
                <w:szCs w:val="22"/>
              </w:rPr>
            </w:pPr>
            <w:r w:rsidRPr="00755731">
              <w:rPr>
                <w:sz w:val="22"/>
                <w:szCs w:val="22"/>
              </w:rPr>
              <w:t>5</w:t>
            </w:r>
          </w:p>
        </w:tc>
      </w:tr>
      <w:tr w:rsidR="00FE1A9F" w:rsidRPr="005128B6" w14:paraId="0108B07D" w14:textId="6B8FE34C" w:rsidTr="63259912">
        <w:tc>
          <w:tcPr>
            <w:tcW w:w="1124" w:type="dxa"/>
            <w:tcMar>
              <w:left w:w="57" w:type="dxa"/>
              <w:right w:w="57" w:type="dxa"/>
            </w:tcMar>
          </w:tcPr>
          <w:p w14:paraId="60A51A85" w14:textId="584E23E5" w:rsidR="00FE1A9F" w:rsidRPr="005128B6" w:rsidRDefault="00FE1A9F" w:rsidP="004623DD">
            <w:pPr>
              <w:rPr>
                <w:sz w:val="22"/>
                <w:szCs w:val="22"/>
                <w:highlight w:val="yellow"/>
              </w:rPr>
            </w:pPr>
            <w:r w:rsidRPr="005128B6">
              <w:rPr>
                <w:sz w:val="22"/>
                <w:szCs w:val="22"/>
              </w:rPr>
              <w:t>POLJ-</w:t>
            </w:r>
            <w:r w:rsidR="00AF3550" w:rsidRPr="005128B6">
              <w:rPr>
                <w:sz w:val="22"/>
                <w:szCs w:val="22"/>
              </w:rPr>
              <w:t>2</w:t>
            </w:r>
          </w:p>
        </w:tc>
        <w:tc>
          <w:tcPr>
            <w:tcW w:w="1169" w:type="dxa"/>
            <w:tcMar>
              <w:left w:w="57" w:type="dxa"/>
              <w:right w:w="57" w:type="dxa"/>
            </w:tcMar>
          </w:tcPr>
          <w:p w14:paraId="526CE679" w14:textId="75B61EED" w:rsidR="00FE1A9F" w:rsidRPr="005128B6" w:rsidRDefault="00FE1A9F" w:rsidP="004623DD">
            <w:pPr>
              <w:rPr>
                <w:sz w:val="22"/>
                <w:szCs w:val="22"/>
                <w:highlight w:val="yellow"/>
              </w:rPr>
            </w:pPr>
            <w:r w:rsidRPr="005128B6">
              <w:rPr>
                <w:sz w:val="22"/>
                <w:szCs w:val="22"/>
              </w:rPr>
              <w:t>MAG-4</w:t>
            </w:r>
          </w:p>
        </w:tc>
        <w:tc>
          <w:tcPr>
            <w:tcW w:w="5919" w:type="dxa"/>
            <w:tcMar>
              <w:left w:w="57" w:type="dxa"/>
              <w:right w:w="57" w:type="dxa"/>
            </w:tcMar>
          </w:tcPr>
          <w:p w14:paraId="38F7446C" w14:textId="6DB0E8F7" w:rsidR="00FE1A9F" w:rsidRPr="005128B6" w:rsidRDefault="00FE1A9F" w:rsidP="004623DD">
            <w:pPr>
              <w:rPr>
                <w:sz w:val="22"/>
                <w:szCs w:val="22"/>
                <w:highlight w:val="yellow"/>
              </w:rPr>
            </w:pPr>
            <w:r w:rsidRPr="005128B6">
              <w:rPr>
                <w:sz w:val="22"/>
                <w:szCs w:val="22"/>
              </w:rPr>
              <w:t>Anaerobna razgradnja stajskog gnoja i proizvodnja bioplina</w:t>
            </w:r>
          </w:p>
        </w:tc>
        <w:tc>
          <w:tcPr>
            <w:tcW w:w="1134" w:type="dxa"/>
            <w:shd w:val="clear" w:color="auto" w:fill="auto"/>
            <w:tcMar>
              <w:left w:w="57" w:type="dxa"/>
              <w:right w:w="57" w:type="dxa"/>
            </w:tcMar>
          </w:tcPr>
          <w:p w14:paraId="68FCD48C" w14:textId="77777777" w:rsidR="00FE1A9F" w:rsidRPr="00755731" w:rsidRDefault="00FE1A9F" w:rsidP="004623DD">
            <w:pPr>
              <w:rPr>
                <w:sz w:val="22"/>
                <w:szCs w:val="22"/>
              </w:rPr>
            </w:pPr>
          </w:p>
        </w:tc>
      </w:tr>
      <w:tr w:rsidR="00FE1A9F" w:rsidRPr="005128B6" w14:paraId="5A083F8C" w14:textId="77777777" w:rsidTr="63259912">
        <w:tc>
          <w:tcPr>
            <w:tcW w:w="1124" w:type="dxa"/>
            <w:tcMar>
              <w:left w:w="57" w:type="dxa"/>
              <w:right w:w="57" w:type="dxa"/>
            </w:tcMar>
          </w:tcPr>
          <w:p w14:paraId="0CD602DB" w14:textId="2160496E" w:rsidR="00FE1A9F" w:rsidRPr="005128B6" w:rsidRDefault="00FE1A9F" w:rsidP="004623DD">
            <w:pPr>
              <w:rPr>
                <w:sz w:val="22"/>
                <w:szCs w:val="22"/>
                <w:highlight w:val="yellow"/>
              </w:rPr>
            </w:pPr>
            <w:r w:rsidRPr="005128B6">
              <w:rPr>
                <w:sz w:val="22"/>
                <w:szCs w:val="22"/>
              </w:rPr>
              <w:t>POLJ-</w:t>
            </w:r>
            <w:r w:rsidR="00AF3550" w:rsidRPr="005128B6">
              <w:rPr>
                <w:sz w:val="22"/>
                <w:szCs w:val="22"/>
              </w:rPr>
              <w:t>3</w:t>
            </w:r>
          </w:p>
        </w:tc>
        <w:tc>
          <w:tcPr>
            <w:tcW w:w="1169" w:type="dxa"/>
            <w:tcMar>
              <w:left w:w="57" w:type="dxa"/>
              <w:right w:w="57" w:type="dxa"/>
            </w:tcMar>
          </w:tcPr>
          <w:p w14:paraId="09383380" w14:textId="62498D92" w:rsidR="00FE1A9F" w:rsidRPr="005128B6" w:rsidRDefault="00FE1A9F" w:rsidP="004623DD">
            <w:pPr>
              <w:rPr>
                <w:sz w:val="22"/>
                <w:szCs w:val="22"/>
                <w:highlight w:val="yellow"/>
              </w:rPr>
            </w:pPr>
            <w:r w:rsidRPr="005128B6">
              <w:rPr>
                <w:sz w:val="22"/>
                <w:szCs w:val="22"/>
              </w:rPr>
              <w:t>MAG-6</w:t>
            </w:r>
          </w:p>
        </w:tc>
        <w:tc>
          <w:tcPr>
            <w:tcW w:w="5919" w:type="dxa"/>
            <w:tcMar>
              <w:left w:w="57" w:type="dxa"/>
              <w:right w:w="57" w:type="dxa"/>
            </w:tcMar>
          </w:tcPr>
          <w:p w14:paraId="4C1C61DB" w14:textId="4C407964" w:rsidR="00FE1A9F" w:rsidRPr="005128B6" w:rsidRDefault="00FE1A9F" w:rsidP="004623DD">
            <w:pPr>
              <w:rPr>
                <w:sz w:val="22"/>
                <w:szCs w:val="22"/>
                <w:highlight w:val="yellow"/>
              </w:rPr>
            </w:pPr>
            <w:r w:rsidRPr="005128B6">
              <w:rPr>
                <w:sz w:val="22"/>
                <w:szCs w:val="22"/>
              </w:rPr>
              <w:t>Unaprjeđivanje i promjena sustava obrade tla (reducirana obrada)</w:t>
            </w:r>
          </w:p>
        </w:tc>
        <w:tc>
          <w:tcPr>
            <w:tcW w:w="1134" w:type="dxa"/>
            <w:shd w:val="clear" w:color="auto" w:fill="auto"/>
            <w:tcMar>
              <w:left w:w="57" w:type="dxa"/>
              <w:right w:w="57" w:type="dxa"/>
            </w:tcMar>
          </w:tcPr>
          <w:p w14:paraId="77E2FCC6" w14:textId="34A0948F" w:rsidR="00FE1A9F" w:rsidRPr="00755731" w:rsidRDefault="00755731" w:rsidP="004623DD">
            <w:pPr>
              <w:rPr>
                <w:sz w:val="22"/>
                <w:szCs w:val="22"/>
              </w:rPr>
            </w:pPr>
            <w:r w:rsidRPr="00755731">
              <w:rPr>
                <w:sz w:val="22"/>
                <w:szCs w:val="22"/>
              </w:rPr>
              <w:t>5</w:t>
            </w:r>
          </w:p>
        </w:tc>
      </w:tr>
      <w:tr w:rsidR="00FE1A9F" w:rsidRPr="005128B6" w14:paraId="7B4F059D" w14:textId="77777777" w:rsidTr="63259912">
        <w:tc>
          <w:tcPr>
            <w:tcW w:w="1124" w:type="dxa"/>
            <w:tcMar>
              <w:left w:w="57" w:type="dxa"/>
              <w:right w:w="57" w:type="dxa"/>
            </w:tcMar>
          </w:tcPr>
          <w:p w14:paraId="1AE72933" w14:textId="06FE152B" w:rsidR="00FE1A9F" w:rsidRPr="005128B6" w:rsidRDefault="00FE1A9F" w:rsidP="004623DD">
            <w:pPr>
              <w:rPr>
                <w:sz w:val="22"/>
                <w:szCs w:val="22"/>
                <w:highlight w:val="yellow"/>
              </w:rPr>
            </w:pPr>
            <w:r w:rsidRPr="005128B6">
              <w:rPr>
                <w:sz w:val="22"/>
                <w:szCs w:val="22"/>
              </w:rPr>
              <w:t>POLJ-</w:t>
            </w:r>
            <w:r w:rsidR="00AF3550" w:rsidRPr="005128B6">
              <w:rPr>
                <w:sz w:val="22"/>
                <w:szCs w:val="22"/>
              </w:rPr>
              <w:t>4</w:t>
            </w:r>
          </w:p>
        </w:tc>
        <w:tc>
          <w:tcPr>
            <w:tcW w:w="1169" w:type="dxa"/>
            <w:tcMar>
              <w:left w:w="57" w:type="dxa"/>
              <w:right w:w="57" w:type="dxa"/>
            </w:tcMar>
          </w:tcPr>
          <w:p w14:paraId="31243776" w14:textId="17877DA8" w:rsidR="00FE1A9F" w:rsidRPr="005128B6" w:rsidRDefault="00FE1A9F" w:rsidP="004623DD">
            <w:pPr>
              <w:rPr>
                <w:sz w:val="22"/>
                <w:szCs w:val="22"/>
                <w:highlight w:val="yellow"/>
              </w:rPr>
            </w:pPr>
            <w:r w:rsidRPr="005128B6">
              <w:rPr>
                <w:sz w:val="22"/>
                <w:szCs w:val="22"/>
              </w:rPr>
              <w:t>MAG-7</w:t>
            </w:r>
          </w:p>
        </w:tc>
        <w:tc>
          <w:tcPr>
            <w:tcW w:w="5919" w:type="dxa"/>
            <w:tcMar>
              <w:left w:w="57" w:type="dxa"/>
              <w:right w:w="57" w:type="dxa"/>
            </w:tcMar>
          </w:tcPr>
          <w:p w14:paraId="55706A9B" w14:textId="5A14DA2D" w:rsidR="00FE1A9F" w:rsidRPr="005128B6" w:rsidRDefault="00FE1A9F" w:rsidP="004623DD">
            <w:pPr>
              <w:rPr>
                <w:sz w:val="22"/>
                <w:szCs w:val="22"/>
                <w:highlight w:val="yellow"/>
              </w:rPr>
            </w:pPr>
            <w:r w:rsidRPr="005128B6">
              <w:rPr>
                <w:sz w:val="22"/>
                <w:szCs w:val="22"/>
              </w:rPr>
              <w:t>Proširenje plodoreda s većim učešćem leguminoza</w:t>
            </w:r>
          </w:p>
        </w:tc>
        <w:tc>
          <w:tcPr>
            <w:tcW w:w="1134" w:type="dxa"/>
            <w:shd w:val="clear" w:color="auto" w:fill="auto"/>
            <w:tcMar>
              <w:left w:w="57" w:type="dxa"/>
              <w:right w:w="57" w:type="dxa"/>
            </w:tcMar>
          </w:tcPr>
          <w:p w14:paraId="54B693C0" w14:textId="1AFF02E4" w:rsidR="00FE1A9F" w:rsidRPr="007E48E7" w:rsidRDefault="007E48E7" w:rsidP="004623DD">
            <w:pPr>
              <w:rPr>
                <w:sz w:val="22"/>
                <w:szCs w:val="22"/>
              </w:rPr>
            </w:pPr>
            <w:r w:rsidRPr="007E48E7">
              <w:rPr>
                <w:sz w:val="22"/>
                <w:szCs w:val="22"/>
              </w:rPr>
              <w:t>5</w:t>
            </w:r>
          </w:p>
        </w:tc>
      </w:tr>
      <w:tr w:rsidR="00FE1A9F" w:rsidRPr="005128B6" w14:paraId="08AF2D72" w14:textId="77777777" w:rsidTr="63259912">
        <w:tc>
          <w:tcPr>
            <w:tcW w:w="1124" w:type="dxa"/>
            <w:tcMar>
              <w:left w:w="57" w:type="dxa"/>
              <w:right w:w="57" w:type="dxa"/>
            </w:tcMar>
          </w:tcPr>
          <w:p w14:paraId="520684A8" w14:textId="10ACBFB2" w:rsidR="00FE1A9F" w:rsidRPr="005128B6" w:rsidRDefault="00FE1A9F" w:rsidP="004623DD">
            <w:pPr>
              <w:rPr>
                <w:sz w:val="22"/>
                <w:szCs w:val="22"/>
                <w:highlight w:val="yellow"/>
              </w:rPr>
            </w:pPr>
            <w:r w:rsidRPr="005128B6">
              <w:rPr>
                <w:sz w:val="22"/>
                <w:szCs w:val="22"/>
              </w:rPr>
              <w:t>POLJ-</w:t>
            </w:r>
            <w:r w:rsidR="00AF3550" w:rsidRPr="005128B6">
              <w:rPr>
                <w:sz w:val="22"/>
                <w:szCs w:val="22"/>
              </w:rPr>
              <w:t>5</w:t>
            </w:r>
          </w:p>
        </w:tc>
        <w:tc>
          <w:tcPr>
            <w:tcW w:w="1169" w:type="dxa"/>
            <w:tcMar>
              <w:left w:w="57" w:type="dxa"/>
              <w:right w:w="57" w:type="dxa"/>
            </w:tcMar>
          </w:tcPr>
          <w:p w14:paraId="5F1C07FB" w14:textId="23E2C059" w:rsidR="00FE1A9F" w:rsidRPr="005128B6" w:rsidRDefault="00FE1A9F" w:rsidP="004623DD">
            <w:pPr>
              <w:rPr>
                <w:sz w:val="22"/>
                <w:szCs w:val="22"/>
                <w:highlight w:val="yellow"/>
              </w:rPr>
            </w:pPr>
            <w:r w:rsidRPr="005128B6">
              <w:rPr>
                <w:sz w:val="22"/>
                <w:szCs w:val="22"/>
              </w:rPr>
              <w:t>MAG-8</w:t>
            </w:r>
          </w:p>
        </w:tc>
        <w:tc>
          <w:tcPr>
            <w:tcW w:w="5919" w:type="dxa"/>
            <w:tcMar>
              <w:left w:w="57" w:type="dxa"/>
              <w:right w:w="57" w:type="dxa"/>
            </w:tcMar>
          </w:tcPr>
          <w:p w14:paraId="516B180D" w14:textId="261617FE" w:rsidR="00FE1A9F" w:rsidRPr="005128B6" w:rsidRDefault="00FE1A9F" w:rsidP="63259912">
            <w:pPr>
              <w:rPr>
                <w:sz w:val="22"/>
                <w:szCs w:val="22"/>
                <w:highlight w:val="yellow"/>
              </w:rPr>
            </w:pPr>
            <w:r w:rsidRPr="63259912">
              <w:rPr>
                <w:sz w:val="22"/>
                <w:szCs w:val="22"/>
              </w:rPr>
              <w:t>Intenziviranje plodoreda korištenjem međuusjeva</w:t>
            </w:r>
          </w:p>
        </w:tc>
        <w:tc>
          <w:tcPr>
            <w:tcW w:w="1134" w:type="dxa"/>
            <w:shd w:val="clear" w:color="auto" w:fill="auto"/>
            <w:tcMar>
              <w:left w:w="57" w:type="dxa"/>
              <w:right w:w="57" w:type="dxa"/>
            </w:tcMar>
          </w:tcPr>
          <w:p w14:paraId="14868BD5" w14:textId="048509E3" w:rsidR="00FE1A9F" w:rsidRPr="007E48E7" w:rsidRDefault="007E48E7" w:rsidP="004623DD">
            <w:pPr>
              <w:rPr>
                <w:sz w:val="22"/>
                <w:szCs w:val="22"/>
              </w:rPr>
            </w:pPr>
            <w:r w:rsidRPr="007E48E7">
              <w:rPr>
                <w:sz w:val="22"/>
                <w:szCs w:val="22"/>
              </w:rPr>
              <w:t>5</w:t>
            </w:r>
          </w:p>
        </w:tc>
      </w:tr>
      <w:tr w:rsidR="00FE1A9F" w:rsidRPr="005128B6" w14:paraId="1EFCAC00" w14:textId="77777777" w:rsidTr="63259912">
        <w:tc>
          <w:tcPr>
            <w:tcW w:w="1124" w:type="dxa"/>
            <w:tcMar>
              <w:left w:w="57" w:type="dxa"/>
              <w:right w:w="57" w:type="dxa"/>
            </w:tcMar>
          </w:tcPr>
          <w:p w14:paraId="71EF7AB8" w14:textId="75A95DD8" w:rsidR="00FE1A9F" w:rsidRPr="005128B6" w:rsidRDefault="00FE1A9F" w:rsidP="004623DD">
            <w:pPr>
              <w:rPr>
                <w:sz w:val="22"/>
                <w:szCs w:val="22"/>
                <w:highlight w:val="yellow"/>
              </w:rPr>
            </w:pPr>
            <w:r w:rsidRPr="005128B6">
              <w:rPr>
                <w:sz w:val="22"/>
                <w:szCs w:val="22"/>
              </w:rPr>
              <w:t>POLJ-</w:t>
            </w:r>
            <w:r w:rsidR="000C463F">
              <w:rPr>
                <w:sz w:val="22"/>
                <w:szCs w:val="22"/>
              </w:rPr>
              <w:t>6</w:t>
            </w:r>
          </w:p>
        </w:tc>
        <w:tc>
          <w:tcPr>
            <w:tcW w:w="1169" w:type="dxa"/>
            <w:tcMar>
              <w:left w:w="57" w:type="dxa"/>
              <w:right w:w="57" w:type="dxa"/>
            </w:tcMar>
          </w:tcPr>
          <w:p w14:paraId="0B43C67B" w14:textId="73924A29" w:rsidR="00FE1A9F" w:rsidRPr="005128B6" w:rsidRDefault="00FE1A9F" w:rsidP="004623DD">
            <w:pPr>
              <w:rPr>
                <w:sz w:val="22"/>
                <w:szCs w:val="22"/>
                <w:highlight w:val="yellow"/>
              </w:rPr>
            </w:pPr>
            <w:r w:rsidRPr="005128B6">
              <w:rPr>
                <w:sz w:val="22"/>
                <w:szCs w:val="22"/>
              </w:rPr>
              <w:t>MAG-10</w:t>
            </w:r>
          </w:p>
        </w:tc>
        <w:tc>
          <w:tcPr>
            <w:tcW w:w="5919" w:type="dxa"/>
            <w:tcMar>
              <w:left w:w="57" w:type="dxa"/>
              <w:right w:w="57" w:type="dxa"/>
            </w:tcMar>
          </w:tcPr>
          <w:p w14:paraId="422203DF" w14:textId="3CA7FFC3" w:rsidR="00FE1A9F" w:rsidRPr="005128B6" w:rsidRDefault="00FE1A9F" w:rsidP="004623DD">
            <w:pPr>
              <w:rPr>
                <w:sz w:val="22"/>
                <w:szCs w:val="22"/>
                <w:highlight w:val="yellow"/>
              </w:rPr>
            </w:pPr>
            <w:r w:rsidRPr="005128B6">
              <w:rPr>
                <w:sz w:val="22"/>
                <w:szCs w:val="22"/>
              </w:rPr>
              <w:t>Poboljšanje metoda primjene organskih gnojiva</w:t>
            </w:r>
          </w:p>
        </w:tc>
        <w:tc>
          <w:tcPr>
            <w:tcW w:w="1134" w:type="dxa"/>
            <w:shd w:val="clear" w:color="auto" w:fill="auto"/>
            <w:tcMar>
              <w:left w:w="57" w:type="dxa"/>
              <w:right w:w="57" w:type="dxa"/>
            </w:tcMar>
          </w:tcPr>
          <w:p w14:paraId="2DFB5BC7" w14:textId="54A25DF7" w:rsidR="00FE1A9F" w:rsidRPr="00C456E6" w:rsidRDefault="007E48E7" w:rsidP="004623DD">
            <w:pPr>
              <w:rPr>
                <w:sz w:val="22"/>
                <w:szCs w:val="22"/>
              </w:rPr>
            </w:pPr>
            <w:r w:rsidRPr="00C456E6">
              <w:rPr>
                <w:sz w:val="22"/>
                <w:szCs w:val="22"/>
              </w:rPr>
              <w:t>5</w:t>
            </w:r>
          </w:p>
        </w:tc>
      </w:tr>
      <w:tr w:rsidR="00FE1A9F" w:rsidRPr="005128B6" w14:paraId="36ECE405" w14:textId="77777777" w:rsidTr="63259912">
        <w:tc>
          <w:tcPr>
            <w:tcW w:w="1124" w:type="dxa"/>
            <w:tcMar>
              <w:left w:w="57" w:type="dxa"/>
              <w:right w:w="57" w:type="dxa"/>
            </w:tcMar>
          </w:tcPr>
          <w:p w14:paraId="47B04B46" w14:textId="7D820B32" w:rsidR="00FE1A9F" w:rsidRPr="005128B6" w:rsidRDefault="00FE1A9F" w:rsidP="004623DD">
            <w:pPr>
              <w:rPr>
                <w:sz w:val="22"/>
                <w:szCs w:val="22"/>
                <w:highlight w:val="yellow"/>
              </w:rPr>
            </w:pPr>
            <w:r w:rsidRPr="005128B6">
              <w:rPr>
                <w:sz w:val="22"/>
                <w:szCs w:val="22"/>
              </w:rPr>
              <w:t>POLJ-</w:t>
            </w:r>
            <w:r w:rsidR="000C463F">
              <w:rPr>
                <w:sz w:val="22"/>
                <w:szCs w:val="22"/>
              </w:rPr>
              <w:t>7</w:t>
            </w:r>
          </w:p>
        </w:tc>
        <w:tc>
          <w:tcPr>
            <w:tcW w:w="1169" w:type="dxa"/>
            <w:tcMar>
              <w:left w:w="57" w:type="dxa"/>
              <w:right w:w="57" w:type="dxa"/>
            </w:tcMar>
          </w:tcPr>
          <w:p w14:paraId="5144A867" w14:textId="6058C90C" w:rsidR="00FE1A9F" w:rsidRPr="005128B6" w:rsidRDefault="00FE1A9F" w:rsidP="004623DD">
            <w:pPr>
              <w:rPr>
                <w:sz w:val="22"/>
                <w:szCs w:val="22"/>
                <w:highlight w:val="yellow"/>
              </w:rPr>
            </w:pPr>
            <w:r w:rsidRPr="005128B6">
              <w:rPr>
                <w:sz w:val="22"/>
                <w:szCs w:val="22"/>
              </w:rPr>
              <w:t>MAG-11</w:t>
            </w:r>
          </w:p>
        </w:tc>
        <w:tc>
          <w:tcPr>
            <w:tcW w:w="5919" w:type="dxa"/>
            <w:tcMar>
              <w:left w:w="57" w:type="dxa"/>
              <w:right w:w="57" w:type="dxa"/>
            </w:tcMar>
          </w:tcPr>
          <w:p w14:paraId="51FD4771" w14:textId="48FF88D7" w:rsidR="00FE1A9F" w:rsidRPr="005128B6" w:rsidRDefault="00FE1A9F" w:rsidP="63259912">
            <w:pPr>
              <w:rPr>
                <w:sz w:val="22"/>
                <w:szCs w:val="22"/>
                <w:highlight w:val="yellow"/>
              </w:rPr>
            </w:pPr>
            <w:r w:rsidRPr="63259912">
              <w:rPr>
                <w:sz w:val="22"/>
                <w:szCs w:val="22"/>
              </w:rPr>
              <w:t>Agrošumarstvo</w:t>
            </w:r>
          </w:p>
        </w:tc>
        <w:tc>
          <w:tcPr>
            <w:tcW w:w="1134" w:type="dxa"/>
            <w:shd w:val="clear" w:color="auto" w:fill="auto"/>
            <w:tcMar>
              <w:left w:w="57" w:type="dxa"/>
              <w:right w:w="57" w:type="dxa"/>
            </w:tcMar>
          </w:tcPr>
          <w:p w14:paraId="7CAA9396" w14:textId="3D482FDF" w:rsidR="00FE1A9F" w:rsidRPr="00C456E6" w:rsidRDefault="00C456E6" w:rsidP="004623DD">
            <w:pPr>
              <w:rPr>
                <w:sz w:val="22"/>
                <w:szCs w:val="22"/>
              </w:rPr>
            </w:pPr>
            <w:r w:rsidRPr="00C456E6">
              <w:rPr>
                <w:sz w:val="22"/>
                <w:szCs w:val="22"/>
              </w:rPr>
              <w:t>5</w:t>
            </w:r>
          </w:p>
        </w:tc>
      </w:tr>
      <w:tr w:rsidR="00FE1A9F" w:rsidRPr="005128B6" w14:paraId="2933A3CE" w14:textId="1C62FCFA" w:rsidTr="63259912">
        <w:tc>
          <w:tcPr>
            <w:tcW w:w="1124" w:type="dxa"/>
            <w:tcMar>
              <w:left w:w="57" w:type="dxa"/>
              <w:right w:w="57" w:type="dxa"/>
            </w:tcMar>
          </w:tcPr>
          <w:p w14:paraId="29DDDA17" w14:textId="00F47461" w:rsidR="00FE1A9F" w:rsidRPr="005128B6" w:rsidRDefault="00FE1A9F" w:rsidP="004623DD">
            <w:pPr>
              <w:rPr>
                <w:sz w:val="22"/>
                <w:szCs w:val="22"/>
                <w:highlight w:val="yellow"/>
              </w:rPr>
            </w:pPr>
            <w:r w:rsidRPr="005128B6">
              <w:rPr>
                <w:sz w:val="22"/>
                <w:szCs w:val="22"/>
              </w:rPr>
              <w:t>POLJ-</w:t>
            </w:r>
            <w:r w:rsidR="000C463F">
              <w:rPr>
                <w:sz w:val="22"/>
                <w:szCs w:val="22"/>
              </w:rPr>
              <w:t>8</w:t>
            </w:r>
          </w:p>
        </w:tc>
        <w:tc>
          <w:tcPr>
            <w:tcW w:w="1169" w:type="dxa"/>
            <w:tcMar>
              <w:left w:w="57" w:type="dxa"/>
              <w:right w:w="57" w:type="dxa"/>
            </w:tcMar>
          </w:tcPr>
          <w:p w14:paraId="68F05110" w14:textId="0FA28C22" w:rsidR="00FE1A9F" w:rsidRPr="005128B6" w:rsidRDefault="00FE1A9F" w:rsidP="004623DD">
            <w:pPr>
              <w:rPr>
                <w:sz w:val="22"/>
                <w:szCs w:val="22"/>
                <w:highlight w:val="yellow"/>
              </w:rPr>
            </w:pPr>
            <w:r w:rsidRPr="005128B6">
              <w:rPr>
                <w:sz w:val="22"/>
                <w:szCs w:val="22"/>
              </w:rPr>
              <w:t>MAG-12</w:t>
            </w:r>
          </w:p>
        </w:tc>
        <w:tc>
          <w:tcPr>
            <w:tcW w:w="5919" w:type="dxa"/>
            <w:tcMar>
              <w:left w:w="57" w:type="dxa"/>
              <w:right w:w="57" w:type="dxa"/>
            </w:tcMar>
          </w:tcPr>
          <w:p w14:paraId="3F04761A" w14:textId="505CA637" w:rsidR="00FE1A9F" w:rsidRPr="00A960DF" w:rsidRDefault="00FE1A9F" w:rsidP="63259912">
            <w:pPr>
              <w:rPr>
                <w:sz w:val="22"/>
                <w:szCs w:val="22"/>
              </w:rPr>
            </w:pPr>
            <w:r w:rsidRPr="63259912">
              <w:rPr>
                <w:sz w:val="22"/>
                <w:szCs w:val="22"/>
              </w:rPr>
              <w:t xml:space="preserve">Hidromelioracijski zahvati i sustavi zaštite od nepogoda </w:t>
            </w:r>
          </w:p>
        </w:tc>
        <w:tc>
          <w:tcPr>
            <w:tcW w:w="1134" w:type="dxa"/>
            <w:shd w:val="clear" w:color="auto" w:fill="auto"/>
            <w:tcMar>
              <w:left w:w="57" w:type="dxa"/>
              <w:right w:w="57" w:type="dxa"/>
            </w:tcMar>
          </w:tcPr>
          <w:p w14:paraId="23496FCF" w14:textId="0818DA75" w:rsidR="00FE1A9F" w:rsidRPr="00A960DF" w:rsidRDefault="00A960DF" w:rsidP="004623DD">
            <w:pPr>
              <w:rPr>
                <w:sz w:val="22"/>
                <w:szCs w:val="22"/>
              </w:rPr>
            </w:pPr>
            <w:r w:rsidRPr="00A960DF">
              <w:rPr>
                <w:sz w:val="22"/>
                <w:szCs w:val="22"/>
              </w:rPr>
              <w:t>5</w:t>
            </w:r>
          </w:p>
        </w:tc>
      </w:tr>
      <w:tr w:rsidR="00FE1A9F" w:rsidRPr="005128B6" w14:paraId="7504EA72" w14:textId="3A14E708" w:rsidTr="63259912">
        <w:tc>
          <w:tcPr>
            <w:tcW w:w="1124" w:type="dxa"/>
            <w:tcMar>
              <w:left w:w="57" w:type="dxa"/>
              <w:right w:w="57" w:type="dxa"/>
            </w:tcMar>
          </w:tcPr>
          <w:p w14:paraId="252A97AB" w14:textId="447C9EAC" w:rsidR="00FE1A9F" w:rsidRPr="005128B6" w:rsidRDefault="00FE1A9F" w:rsidP="004623DD">
            <w:pPr>
              <w:rPr>
                <w:sz w:val="22"/>
                <w:szCs w:val="22"/>
                <w:highlight w:val="yellow"/>
              </w:rPr>
            </w:pPr>
            <w:r w:rsidRPr="005128B6">
              <w:rPr>
                <w:sz w:val="22"/>
                <w:szCs w:val="22"/>
              </w:rPr>
              <w:t>POLJ-</w:t>
            </w:r>
            <w:r w:rsidR="000C463F">
              <w:rPr>
                <w:sz w:val="22"/>
                <w:szCs w:val="22"/>
              </w:rPr>
              <w:t>9</w:t>
            </w:r>
          </w:p>
        </w:tc>
        <w:tc>
          <w:tcPr>
            <w:tcW w:w="1169" w:type="dxa"/>
            <w:tcMar>
              <w:left w:w="57" w:type="dxa"/>
              <w:right w:w="57" w:type="dxa"/>
            </w:tcMar>
          </w:tcPr>
          <w:p w14:paraId="531B6BFC" w14:textId="4B41DE8B" w:rsidR="00FE1A9F" w:rsidRPr="005128B6" w:rsidRDefault="00FE1A9F" w:rsidP="004623DD">
            <w:pPr>
              <w:rPr>
                <w:sz w:val="22"/>
                <w:szCs w:val="22"/>
                <w:highlight w:val="yellow"/>
              </w:rPr>
            </w:pPr>
            <w:r w:rsidRPr="005128B6">
              <w:rPr>
                <w:sz w:val="22"/>
                <w:szCs w:val="22"/>
              </w:rPr>
              <w:t>MAG-13</w:t>
            </w:r>
          </w:p>
        </w:tc>
        <w:tc>
          <w:tcPr>
            <w:tcW w:w="5919" w:type="dxa"/>
            <w:tcMar>
              <w:left w:w="57" w:type="dxa"/>
              <w:right w:w="57" w:type="dxa"/>
            </w:tcMar>
          </w:tcPr>
          <w:p w14:paraId="6E094765" w14:textId="215EF60E" w:rsidR="00FE1A9F" w:rsidRPr="00614CCF" w:rsidRDefault="00FE1A9F" w:rsidP="004623DD">
            <w:pPr>
              <w:rPr>
                <w:sz w:val="22"/>
                <w:szCs w:val="22"/>
              </w:rPr>
            </w:pPr>
            <w:r w:rsidRPr="00614CCF">
              <w:rPr>
                <w:sz w:val="22"/>
                <w:szCs w:val="22"/>
              </w:rPr>
              <w:t xml:space="preserve">Uvođenje novih kultivara, sorti i </w:t>
            </w:r>
            <w:r w:rsidR="003C0363" w:rsidRPr="00614CCF">
              <w:rPr>
                <w:sz w:val="22"/>
                <w:szCs w:val="22"/>
              </w:rPr>
              <w:t>kultura</w:t>
            </w:r>
          </w:p>
        </w:tc>
        <w:tc>
          <w:tcPr>
            <w:tcW w:w="1134" w:type="dxa"/>
            <w:shd w:val="clear" w:color="auto" w:fill="auto"/>
            <w:tcMar>
              <w:left w:w="57" w:type="dxa"/>
              <w:right w:w="57" w:type="dxa"/>
            </w:tcMar>
          </w:tcPr>
          <w:p w14:paraId="1FBD358F" w14:textId="60288791" w:rsidR="00FE1A9F" w:rsidRPr="00614CCF" w:rsidRDefault="00614CCF" w:rsidP="004623DD">
            <w:pPr>
              <w:rPr>
                <w:sz w:val="22"/>
                <w:szCs w:val="22"/>
              </w:rPr>
            </w:pPr>
            <w:r w:rsidRPr="00614CCF">
              <w:rPr>
                <w:sz w:val="22"/>
                <w:szCs w:val="22"/>
              </w:rPr>
              <w:t>5</w:t>
            </w:r>
          </w:p>
        </w:tc>
      </w:tr>
      <w:tr w:rsidR="00FE1A9F" w:rsidRPr="005128B6" w14:paraId="2A29AE1C" w14:textId="7CFEA0EF" w:rsidTr="63259912">
        <w:tc>
          <w:tcPr>
            <w:tcW w:w="1124" w:type="dxa"/>
            <w:tcMar>
              <w:left w:w="57" w:type="dxa"/>
              <w:right w:w="57" w:type="dxa"/>
            </w:tcMar>
          </w:tcPr>
          <w:p w14:paraId="48F7E9FC" w14:textId="0A89AD15" w:rsidR="00FE1A9F" w:rsidRPr="005128B6" w:rsidRDefault="00FE1A9F" w:rsidP="004623DD">
            <w:pPr>
              <w:rPr>
                <w:sz w:val="22"/>
                <w:szCs w:val="22"/>
                <w:highlight w:val="yellow"/>
              </w:rPr>
            </w:pPr>
            <w:r w:rsidRPr="005128B6">
              <w:rPr>
                <w:sz w:val="22"/>
                <w:szCs w:val="22"/>
              </w:rPr>
              <w:t>LUF-1</w:t>
            </w:r>
          </w:p>
        </w:tc>
        <w:tc>
          <w:tcPr>
            <w:tcW w:w="1169" w:type="dxa"/>
            <w:tcMar>
              <w:left w:w="57" w:type="dxa"/>
              <w:right w:w="57" w:type="dxa"/>
            </w:tcMar>
          </w:tcPr>
          <w:p w14:paraId="0F4FD0CF" w14:textId="5DF58765" w:rsidR="00FE1A9F" w:rsidRPr="005128B6" w:rsidRDefault="00FE1A9F" w:rsidP="004623DD">
            <w:pPr>
              <w:rPr>
                <w:sz w:val="22"/>
                <w:szCs w:val="22"/>
                <w:highlight w:val="yellow"/>
              </w:rPr>
            </w:pPr>
            <w:r w:rsidRPr="005128B6">
              <w:rPr>
                <w:sz w:val="22"/>
                <w:szCs w:val="22"/>
              </w:rPr>
              <w:t>MLF-1</w:t>
            </w:r>
          </w:p>
        </w:tc>
        <w:tc>
          <w:tcPr>
            <w:tcW w:w="5919" w:type="dxa"/>
            <w:tcMar>
              <w:left w:w="57" w:type="dxa"/>
              <w:right w:w="57" w:type="dxa"/>
            </w:tcMar>
          </w:tcPr>
          <w:p w14:paraId="69D84DB3" w14:textId="0D25745F" w:rsidR="00FE1A9F" w:rsidRPr="00F24E13" w:rsidRDefault="7F73979C" w:rsidP="004623DD">
            <w:pPr>
              <w:rPr>
                <w:sz w:val="22"/>
                <w:szCs w:val="22"/>
              </w:rPr>
            </w:pPr>
            <w:r w:rsidRPr="00F24E13">
              <w:rPr>
                <w:sz w:val="22"/>
                <w:szCs w:val="22"/>
              </w:rPr>
              <w:t>Uspostava</w:t>
            </w:r>
            <w:r w:rsidR="53F1C07E" w:rsidRPr="00F24E13">
              <w:rPr>
                <w:sz w:val="22"/>
                <w:szCs w:val="22"/>
              </w:rPr>
              <w:t>,</w:t>
            </w:r>
            <w:r w:rsidR="007B19EC" w:rsidRPr="00F24E13">
              <w:rPr>
                <w:sz w:val="22"/>
                <w:szCs w:val="22"/>
              </w:rPr>
              <w:t xml:space="preserve"> održavanje </w:t>
            </w:r>
            <w:r w:rsidR="514305ED" w:rsidRPr="00F24E13">
              <w:rPr>
                <w:sz w:val="22"/>
                <w:szCs w:val="22"/>
              </w:rPr>
              <w:t>i nadogradnja</w:t>
            </w:r>
            <w:r w:rsidR="653188D7" w:rsidRPr="00F24E13">
              <w:rPr>
                <w:sz w:val="22"/>
                <w:szCs w:val="22"/>
              </w:rPr>
              <w:t xml:space="preserve"> </w:t>
            </w:r>
            <w:r w:rsidR="007B19EC" w:rsidRPr="00F24E13">
              <w:rPr>
                <w:sz w:val="22"/>
                <w:szCs w:val="22"/>
              </w:rPr>
              <w:t>Nacionalnog informacijskog sustava za zemljište u Repub</w:t>
            </w:r>
            <w:r w:rsidR="0051240C" w:rsidRPr="00F24E13">
              <w:rPr>
                <w:sz w:val="22"/>
                <w:szCs w:val="22"/>
              </w:rPr>
              <w:t>lici Hrvatskoj</w:t>
            </w:r>
          </w:p>
        </w:tc>
        <w:tc>
          <w:tcPr>
            <w:tcW w:w="1134" w:type="dxa"/>
            <w:shd w:val="clear" w:color="auto" w:fill="auto"/>
            <w:tcMar>
              <w:left w:w="57" w:type="dxa"/>
              <w:right w:w="57" w:type="dxa"/>
            </w:tcMar>
          </w:tcPr>
          <w:p w14:paraId="37743D61" w14:textId="1623590F" w:rsidR="00FE1A9F" w:rsidRPr="00F24E13" w:rsidRDefault="00F24E13" w:rsidP="004623DD">
            <w:pPr>
              <w:rPr>
                <w:sz w:val="22"/>
                <w:szCs w:val="22"/>
              </w:rPr>
            </w:pPr>
            <w:r w:rsidRPr="00F24E13">
              <w:rPr>
                <w:sz w:val="22"/>
                <w:szCs w:val="22"/>
              </w:rPr>
              <w:t>3,4</w:t>
            </w:r>
          </w:p>
        </w:tc>
      </w:tr>
      <w:tr w:rsidR="00FE1A9F" w:rsidRPr="005128B6" w14:paraId="328E4B3D" w14:textId="2BE12D52" w:rsidTr="63259912">
        <w:tc>
          <w:tcPr>
            <w:tcW w:w="1124" w:type="dxa"/>
            <w:tcMar>
              <w:left w:w="57" w:type="dxa"/>
              <w:right w:w="57" w:type="dxa"/>
            </w:tcMar>
          </w:tcPr>
          <w:p w14:paraId="3B575F3E" w14:textId="3A45BCD0" w:rsidR="00FE1A9F" w:rsidRPr="005128B6" w:rsidRDefault="00FE1A9F" w:rsidP="004623DD">
            <w:pPr>
              <w:rPr>
                <w:sz w:val="22"/>
                <w:szCs w:val="22"/>
                <w:highlight w:val="yellow"/>
              </w:rPr>
            </w:pPr>
            <w:r w:rsidRPr="005128B6">
              <w:rPr>
                <w:sz w:val="22"/>
                <w:szCs w:val="22"/>
              </w:rPr>
              <w:t>LUF-2</w:t>
            </w:r>
          </w:p>
        </w:tc>
        <w:tc>
          <w:tcPr>
            <w:tcW w:w="1169" w:type="dxa"/>
            <w:tcMar>
              <w:left w:w="57" w:type="dxa"/>
              <w:right w:w="57" w:type="dxa"/>
            </w:tcMar>
          </w:tcPr>
          <w:p w14:paraId="357DF9FC" w14:textId="54537685" w:rsidR="00FE1A9F" w:rsidRPr="005128B6" w:rsidRDefault="00FE1A9F" w:rsidP="004623DD">
            <w:pPr>
              <w:rPr>
                <w:sz w:val="22"/>
                <w:szCs w:val="22"/>
                <w:highlight w:val="yellow"/>
              </w:rPr>
            </w:pPr>
            <w:r w:rsidRPr="005128B6">
              <w:rPr>
                <w:sz w:val="22"/>
                <w:szCs w:val="22"/>
              </w:rPr>
              <w:t>MLF-2</w:t>
            </w:r>
          </w:p>
        </w:tc>
        <w:tc>
          <w:tcPr>
            <w:tcW w:w="5919" w:type="dxa"/>
            <w:tcMar>
              <w:left w:w="57" w:type="dxa"/>
              <w:right w:w="57" w:type="dxa"/>
            </w:tcMar>
          </w:tcPr>
          <w:p w14:paraId="21ED9588" w14:textId="5AB2BFB9" w:rsidR="00FE1A9F" w:rsidRPr="00F36648" w:rsidRDefault="00FE1A9F" w:rsidP="004623DD">
            <w:pPr>
              <w:rPr>
                <w:sz w:val="22"/>
                <w:szCs w:val="22"/>
              </w:rPr>
            </w:pPr>
            <w:r w:rsidRPr="00F36648">
              <w:rPr>
                <w:sz w:val="22"/>
                <w:szCs w:val="22"/>
              </w:rPr>
              <w:t>Akumulacija ugljika na površinama postojećih šuma</w:t>
            </w:r>
            <w:r w:rsidRPr="00F36648" w:rsidDel="00A50598">
              <w:rPr>
                <w:sz w:val="22"/>
                <w:szCs w:val="22"/>
              </w:rPr>
              <w:t xml:space="preserve"> </w:t>
            </w:r>
          </w:p>
        </w:tc>
        <w:tc>
          <w:tcPr>
            <w:tcW w:w="1134" w:type="dxa"/>
            <w:shd w:val="clear" w:color="auto" w:fill="auto"/>
            <w:tcMar>
              <w:left w:w="57" w:type="dxa"/>
              <w:right w:w="57" w:type="dxa"/>
            </w:tcMar>
          </w:tcPr>
          <w:p w14:paraId="72CBC2FE" w14:textId="1CA54A4E" w:rsidR="00FE1A9F" w:rsidRPr="00F36648" w:rsidRDefault="00F24E13" w:rsidP="004623DD">
            <w:pPr>
              <w:rPr>
                <w:sz w:val="22"/>
                <w:szCs w:val="22"/>
              </w:rPr>
            </w:pPr>
            <w:r w:rsidRPr="00F36648">
              <w:rPr>
                <w:sz w:val="22"/>
                <w:szCs w:val="22"/>
              </w:rPr>
              <w:t>3,</w:t>
            </w:r>
            <w:r w:rsidR="00F029A8">
              <w:rPr>
                <w:sz w:val="22"/>
                <w:szCs w:val="22"/>
              </w:rPr>
              <w:t>4</w:t>
            </w:r>
          </w:p>
        </w:tc>
      </w:tr>
      <w:tr w:rsidR="00FE1A9F" w:rsidRPr="005128B6" w14:paraId="360A4B91" w14:textId="62E8723A" w:rsidTr="63259912">
        <w:tc>
          <w:tcPr>
            <w:tcW w:w="1124" w:type="dxa"/>
            <w:tcMar>
              <w:left w:w="57" w:type="dxa"/>
              <w:right w:w="57" w:type="dxa"/>
            </w:tcMar>
          </w:tcPr>
          <w:p w14:paraId="1A4822CE" w14:textId="5B74C002" w:rsidR="00FE1A9F" w:rsidRPr="005128B6" w:rsidRDefault="00FE1A9F" w:rsidP="004623DD">
            <w:pPr>
              <w:rPr>
                <w:sz w:val="22"/>
                <w:szCs w:val="22"/>
                <w:highlight w:val="yellow"/>
              </w:rPr>
            </w:pPr>
            <w:r w:rsidRPr="005128B6">
              <w:rPr>
                <w:sz w:val="22"/>
                <w:szCs w:val="22"/>
              </w:rPr>
              <w:t>LUF-3</w:t>
            </w:r>
          </w:p>
        </w:tc>
        <w:tc>
          <w:tcPr>
            <w:tcW w:w="1169" w:type="dxa"/>
            <w:tcMar>
              <w:left w:w="57" w:type="dxa"/>
              <w:right w:w="57" w:type="dxa"/>
            </w:tcMar>
          </w:tcPr>
          <w:p w14:paraId="39871739" w14:textId="177C7952" w:rsidR="00FE1A9F" w:rsidRPr="005128B6" w:rsidRDefault="00FE1A9F" w:rsidP="004623DD">
            <w:pPr>
              <w:rPr>
                <w:sz w:val="22"/>
                <w:szCs w:val="22"/>
                <w:highlight w:val="yellow"/>
              </w:rPr>
            </w:pPr>
            <w:r w:rsidRPr="005128B6">
              <w:rPr>
                <w:sz w:val="22"/>
                <w:szCs w:val="22"/>
              </w:rPr>
              <w:t>MLF-3</w:t>
            </w:r>
          </w:p>
        </w:tc>
        <w:tc>
          <w:tcPr>
            <w:tcW w:w="5919" w:type="dxa"/>
            <w:tcMar>
              <w:left w:w="57" w:type="dxa"/>
              <w:right w:w="57" w:type="dxa"/>
            </w:tcMar>
          </w:tcPr>
          <w:p w14:paraId="5C6BFE5E" w14:textId="2D26F9F7" w:rsidR="00FE1A9F" w:rsidRPr="00A05EF1" w:rsidRDefault="00FE1A9F" w:rsidP="004623DD">
            <w:pPr>
              <w:rPr>
                <w:sz w:val="22"/>
                <w:szCs w:val="22"/>
              </w:rPr>
            </w:pPr>
            <w:r w:rsidRPr="00A05EF1">
              <w:rPr>
                <w:sz w:val="22"/>
                <w:szCs w:val="22"/>
              </w:rPr>
              <w:t>Provedba radova pošumljavanja</w:t>
            </w:r>
          </w:p>
        </w:tc>
        <w:tc>
          <w:tcPr>
            <w:tcW w:w="1134" w:type="dxa"/>
            <w:shd w:val="clear" w:color="auto" w:fill="auto"/>
            <w:tcMar>
              <w:left w:w="57" w:type="dxa"/>
              <w:right w:w="57" w:type="dxa"/>
            </w:tcMar>
          </w:tcPr>
          <w:p w14:paraId="3E1987C6" w14:textId="2C73D27F" w:rsidR="00FE1A9F" w:rsidRPr="00A05EF1" w:rsidRDefault="00A05EF1" w:rsidP="004623DD">
            <w:pPr>
              <w:rPr>
                <w:sz w:val="22"/>
                <w:szCs w:val="22"/>
              </w:rPr>
            </w:pPr>
            <w:r w:rsidRPr="00A05EF1">
              <w:rPr>
                <w:sz w:val="22"/>
                <w:szCs w:val="22"/>
              </w:rPr>
              <w:t>5</w:t>
            </w:r>
          </w:p>
        </w:tc>
      </w:tr>
      <w:tr w:rsidR="00FE1A9F" w:rsidRPr="005128B6" w14:paraId="0AA503BE" w14:textId="77777777" w:rsidTr="63259912">
        <w:tc>
          <w:tcPr>
            <w:tcW w:w="1124" w:type="dxa"/>
            <w:tcMar>
              <w:left w:w="57" w:type="dxa"/>
              <w:right w:w="57" w:type="dxa"/>
            </w:tcMar>
          </w:tcPr>
          <w:p w14:paraId="373CBCB8" w14:textId="2415903C" w:rsidR="00FE1A9F" w:rsidRPr="005128B6" w:rsidRDefault="00FE1A9F" w:rsidP="004623DD">
            <w:pPr>
              <w:rPr>
                <w:sz w:val="22"/>
                <w:szCs w:val="22"/>
                <w:highlight w:val="yellow"/>
              </w:rPr>
            </w:pPr>
            <w:r w:rsidRPr="005128B6">
              <w:rPr>
                <w:sz w:val="22"/>
                <w:szCs w:val="22"/>
              </w:rPr>
              <w:t>LUF-4</w:t>
            </w:r>
          </w:p>
        </w:tc>
        <w:tc>
          <w:tcPr>
            <w:tcW w:w="1169" w:type="dxa"/>
            <w:tcMar>
              <w:left w:w="57" w:type="dxa"/>
              <w:right w:w="57" w:type="dxa"/>
            </w:tcMar>
          </w:tcPr>
          <w:p w14:paraId="3020B47D" w14:textId="1D4704ED" w:rsidR="00FE1A9F" w:rsidRPr="005128B6" w:rsidRDefault="00FE1A9F" w:rsidP="004623DD">
            <w:pPr>
              <w:rPr>
                <w:sz w:val="22"/>
                <w:szCs w:val="22"/>
                <w:highlight w:val="yellow"/>
              </w:rPr>
            </w:pPr>
            <w:r w:rsidRPr="005128B6">
              <w:rPr>
                <w:sz w:val="22"/>
                <w:szCs w:val="22"/>
              </w:rPr>
              <w:t>MLF-4</w:t>
            </w:r>
          </w:p>
        </w:tc>
        <w:tc>
          <w:tcPr>
            <w:tcW w:w="5919" w:type="dxa"/>
            <w:tcMar>
              <w:left w:w="57" w:type="dxa"/>
              <w:right w:w="57" w:type="dxa"/>
            </w:tcMar>
          </w:tcPr>
          <w:p w14:paraId="71B8EA7C" w14:textId="2DCD00AD" w:rsidR="00FE1A9F" w:rsidRPr="005128B6" w:rsidRDefault="00FE1A9F" w:rsidP="004623DD">
            <w:pPr>
              <w:rPr>
                <w:sz w:val="22"/>
                <w:szCs w:val="22"/>
                <w:highlight w:val="yellow"/>
              </w:rPr>
            </w:pPr>
            <w:r w:rsidRPr="005128B6">
              <w:rPr>
                <w:sz w:val="22"/>
                <w:szCs w:val="22"/>
              </w:rPr>
              <w:t>Proizvodnja i uporaba drva i drvnih proizvoda</w:t>
            </w:r>
          </w:p>
        </w:tc>
        <w:tc>
          <w:tcPr>
            <w:tcW w:w="1134" w:type="dxa"/>
            <w:shd w:val="clear" w:color="auto" w:fill="auto"/>
            <w:tcMar>
              <w:left w:w="57" w:type="dxa"/>
              <w:right w:w="57" w:type="dxa"/>
            </w:tcMar>
          </w:tcPr>
          <w:p w14:paraId="5E089766" w14:textId="77777777" w:rsidR="00FE1A9F" w:rsidRPr="005128B6" w:rsidRDefault="00FE1A9F" w:rsidP="004623DD">
            <w:pPr>
              <w:rPr>
                <w:sz w:val="22"/>
                <w:szCs w:val="22"/>
                <w:highlight w:val="yellow"/>
              </w:rPr>
            </w:pPr>
          </w:p>
        </w:tc>
      </w:tr>
      <w:tr w:rsidR="00FE1A9F" w:rsidRPr="005128B6" w14:paraId="22F29E8E" w14:textId="77777777" w:rsidTr="63259912">
        <w:tc>
          <w:tcPr>
            <w:tcW w:w="1124" w:type="dxa"/>
            <w:tcMar>
              <w:left w:w="57" w:type="dxa"/>
              <w:right w:w="57" w:type="dxa"/>
            </w:tcMar>
          </w:tcPr>
          <w:p w14:paraId="3649F1AB" w14:textId="6A4B1341" w:rsidR="00FE1A9F" w:rsidRPr="005128B6" w:rsidRDefault="00FE1A9F" w:rsidP="004623DD">
            <w:pPr>
              <w:rPr>
                <w:sz w:val="22"/>
                <w:szCs w:val="22"/>
                <w:highlight w:val="yellow"/>
              </w:rPr>
            </w:pPr>
            <w:r w:rsidRPr="005128B6">
              <w:rPr>
                <w:sz w:val="22"/>
                <w:szCs w:val="22"/>
              </w:rPr>
              <w:t>LUF-5</w:t>
            </w:r>
          </w:p>
        </w:tc>
        <w:tc>
          <w:tcPr>
            <w:tcW w:w="1169" w:type="dxa"/>
            <w:tcMar>
              <w:left w:w="57" w:type="dxa"/>
              <w:right w:w="57" w:type="dxa"/>
            </w:tcMar>
          </w:tcPr>
          <w:p w14:paraId="4DC8F547" w14:textId="4894AC2C" w:rsidR="00FE1A9F" w:rsidRPr="005128B6" w:rsidRDefault="00FE1A9F" w:rsidP="004623DD">
            <w:pPr>
              <w:rPr>
                <w:sz w:val="22"/>
                <w:szCs w:val="22"/>
                <w:highlight w:val="yellow"/>
              </w:rPr>
            </w:pPr>
            <w:r w:rsidRPr="005128B6">
              <w:rPr>
                <w:sz w:val="22"/>
                <w:szCs w:val="22"/>
              </w:rPr>
              <w:t>MLF-5</w:t>
            </w:r>
          </w:p>
        </w:tc>
        <w:tc>
          <w:tcPr>
            <w:tcW w:w="5919" w:type="dxa"/>
            <w:tcMar>
              <w:left w:w="57" w:type="dxa"/>
              <w:right w:w="57" w:type="dxa"/>
            </w:tcMar>
          </w:tcPr>
          <w:p w14:paraId="31767B90" w14:textId="223BC0A4" w:rsidR="00FE1A9F" w:rsidRPr="005128B6" w:rsidRDefault="00CD184F" w:rsidP="004623DD">
            <w:pPr>
              <w:rPr>
                <w:sz w:val="22"/>
                <w:szCs w:val="22"/>
                <w:highlight w:val="yellow"/>
              </w:rPr>
            </w:pPr>
            <w:r w:rsidRPr="005128B6">
              <w:rPr>
                <w:sz w:val="22"/>
                <w:szCs w:val="22"/>
              </w:rPr>
              <w:t>Gospodarenje poljoprivrednim zemljištem</w:t>
            </w:r>
          </w:p>
        </w:tc>
        <w:tc>
          <w:tcPr>
            <w:tcW w:w="1134" w:type="dxa"/>
            <w:shd w:val="clear" w:color="auto" w:fill="auto"/>
            <w:tcMar>
              <w:left w:w="57" w:type="dxa"/>
              <w:right w:w="57" w:type="dxa"/>
            </w:tcMar>
          </w:tcPr>
          <w:p w14:paraId="296F03D4" w14:textId="77777777" w:rsidR="00FE1A9F" w:rsidRPr="005128B6" w:rsidRDefault="00FE1A9F" w:rsidP="004623DD">
            <w:pPr>
              <w:rPr>
                <w:sz w:val="22"/>
                <w:szCs w:val="22"/>
                <w:highlight w:val="yellow"/>
              </w:rPr>
            </w:pPr>
          </w:p>
        </w:tc>
      </w:tr>
      <w:tr w:rsidR="00FE1A9F" w:rsidRPr="005128B6" w14:paraId="173A3A7F" w14:textId="77777777" w:rsidTr="63259912">
        <w:tc>
          <w:tcPr>
            <w:tcW w:w="1124" w:type="dxa"/>
            <w:tcMar>
              <w:left w:w="57" w:type="dxa"/>
              <w:right w:w="57" w:type="dxa"/>
            </w:tcMar>
          </w:tcPr>
          <w:p w14:paraId="158D3094" w14:textId="5D2E8D10" w:rsidR="00FE1A9F" w:rsidRPr="005128B6" w:rsidRDefault="00FE1A9F" w:rsidP="004623DD">
            <w:pPr>
              <w:rPr>
                <w:sz w:val="22"/>
                <w:szCs w:val="22"/>
                <w:highlight w:val="yellow"/>
              </w:rPr>
            </w:pPr>
            <w:r w:rsidRPr="005128B6">
              <w:rPr>
                <w:sz w:val="22"/>
                <w:szCs w:val="22"/>
              </w:rPr>
              <w:t>LUF-6</w:t>
            </w:r>
          </w:p>
        </w:tc>
        <w:tc>
          <w:tcPr>
            <w:tcW w:w="1169" w:type="dxa"/>
            <w:tcMar>
              <w:left w:w="57" w:type="dxa"/>
              <w:right w:w="57" w:type="dxa"/>
            </w:tcMar>
          </w:tcPr>
          <w:p w14:paraId="648D489F" w14:textId="0A9DF70B" w:rsidR="00FE1A9F" w:rsidRPr="005128B6" w:rsidRDefault="00FE1A9F" w:rsidP="004623DD">
            <w:pPr>
              <w:rPr>
                <w:sz w:val="22"/>
                <w:szCs w:val="22"/>
                <w:highlight w:val="yellow"/>
              </w:rPr>
            </w:pPr>
            <w:r w:rsidRPr="005128B6">
              <w:rPr>
                <w:sz w:val="22"/>
                <w:szCs w:val="22"/>
              </w:rPr>
              <w:t>MLF-6</w:t>
            </w:r>
          </w:p>
        </w:tc>
        <w:tc>
          <w:tcPr>
            <w:tcW w:w="5919" w:type="dxa"/>
            <w:tcMar>
              <w:left w:w="57" w:type="dxa"/>
              <w:right w:w="57" w:type="dxa"/>
            </w:tcMar>
          </w:tcPr>
          <w:p w14:paraId="1B27F812" w14:textId="695A0A93" w:rsidR="00FE1A9F" w:rsidRPr="005128B6" w:rsidRDefault="005244F4" w:rsidP="004623DD">
            <w:pPr>
              <w:rPr>
                <w:sz w:val="22"/>
                <w:szCs w:val="22"/>
                <w:highlight w:val="yellow"/>
              </w:rPr>
            </w:pPr>
            <w:r w:rsidRPr="005128B6">
              <w:rPr>
                <w:sz w:val="22"/>
                <w:szCs w:val="22"/>
              </w:rPr>
              <w:t>Gospodarenje pašnjacima</w:t>
            </w:r>
          </w:p>
        </w:tc>
        <w:tc>
          <w:tcPr>
            <w:tcW w:w="1134" w:type="dxa"/>
            <w:shd w:val="clear" w:color="auto" w:fill="auto"/>
            <w:tcMar>
              <w:left w:w="57" w:type="dxa"/>
              <w:right w:w="57" w:type="dxa"/>
            </w:tcMar>
          </w:tcPr>
          <w:p w14:paraId="67648B20" w14:textId="77777777" w:rsidR="00FE1A9F" w:rsidRPr="005128B6" w:rsidRDefault="00FE1A9F" w:rsidP="004623DD">
            <w:pPr>
              <w:rPr>
                <w:sz w:val="22"/>
                <w:szCs w:val="22"/>
                <w:highlight w:val="yellow"/>
              </w:rPr>
            </w:pPr>
          </w:p>
        </w:tc>
      </w:tr>
      <w:tr w:rsidR="00FE1A9F" w:rsidRPr="005128B6" w14:paraId="77424528" w14:textId="77777777" w:rsidTr="63259912">
        <w:tc>
          <w:tcPr>
            <w:tcW w:w="1124" w:type="dxa"/>
            <w:tcMar>
              <w:left w:w="57" w:type="dxa"/>
              <w:right w:w="57" w:type="dxa"/>
            </w:tcMar>
          </w:tcPr>
          <w:p w14:paraId="7AADED42" w14:textId="5DE68098" w:rsidR="00FE1A9F" w:rsidRPr="005128B6" w:rsidRDefault="00FE1A9F" w:rsidP="004623DD">
            <w:pPr>
              <w:rPr>
                <w:sz w:val="22"/>
                <w:szCs w:val="22"/>
                <w:highlight w:val="yellow"/>
              </w:rPr>
            </w:pPr>
            <w:r w:rsidRPr="005128B6">
              <w:rPr>
                <w:sz w:val="22"/>
                <w:szCs w:val="22"/>
              </w:rPr>
              <w:t>LUF-7</w:t>
            </w:r>
          </w:p>
        </w:tc>
        <w:tc>
          <w:tcPr>
            <w:tcW w:w="1169" w:type="dxa"/>
            <w:tcMar>
              <w:left w:w="57" w:type="dxa"/>
              <w:right w:w="57" w:type="dxa"/>
            </w:tcMar>
          </w:tcPr>
          <w:p w14:paraId="7D73E4C0" w14:textId="3C9DBBF3" w:rsidR="00FE1A9F" w:rsidRPr="005128B6" w:rsidRDefault="00FE1A9F" w:rsidP="004623DD">
            <w:pPr>
              <w:rPr>
                <w:sz w:val="22"/>
                <w:szCs w:val="22"/>
                <w:highlight w:val="yellow"/>
              </w:rPr>
            </w:pPr>
            <w:r w:rsidRPr="005128B6">
              <w:rPr>
                <w:sz w:val="22"/>
                <w:szCs w:val="22"/>
              </w:rPr>
              <w:t>MLF-7</w:t>
            </w:r>
          </w:p>
        </w:tc>
        <w:tc>
          <w:tcPr>
            <w:tcW w:w="5919" w:type="dxa"/>
            <w:tcMar>
              <w:left w:w="57" w:type="dxa"/>
              <w:right w:w="57" w:type="dxa"/>
            </w:tcMar>
          </w:tcPr>
          <w:p w14:paraId="621B899E" w14:textId="2050BC13" w:rsidR="00FE1A9F" w:rsidRPr="005128B6" w:rsidRDefault="00FE1A9F" w:rsidP="004623DD">
            <w:pPr>
              <w:rPr>
                <w:sz w:val="22"/>
                <w:szCs w:val="22"/>
                <w:highlight w:val="yellow"/>
              </w:rPr>
            </w:pPr>
            <w:r w:rsidRPr="005128B6">
              <w:rPr>
                <w:sz w:val="22"/>
                <w:szCs w:val="22"/>
              </w:rPr>
              <w:t xml:space="preserve">Provedba tehničkih projekata i znanstvenih istraživanja u </w:t>
            </w:r>
            <w:r w:rsidR="03208BAD" w:rsidRPr="20C1EDF1">
              <w:rPr>
                <w:sz w:val="22"/>
                <w:szCs w:val="22"/>
              </w:rPr>
              <w:t xml:space="preserve">sektoru </w:t>
            </w:r>
            <w:r w:rsidRPr="005128B6">
              <w:rPr>
                <w:sz w:val="22"/>
                <w:szCs w:val="22"/>
              </w:rPr>
              <w:t>LULUCF</w:t>
            </w:r>
          </w:p>
        </w:tc>
        <w:tc>
          <w:tcPr>
            <w:tcW w:w="1134" w:type="dxa"/>
            <w:shd w:val="clear" w:color="auto" w:fill="auto"/>
            <w:tcMar>
              <w:left w:w="57" w:type="dxa"/>
              <w:right w:w="57" w:type="dxa"/>
            </w:tcMar>
          </w:tcPr>
          <w:p w14:paraId="557B5394" w14:textId="0F36633D" w:rsidR="00FE1A9F" w:rsidRPr="005128B6" w:rsidRDefault="00FE1A9F" w:rsidP="004623DD">
            <w:pPr>
              <w:rPr>
                <w:sz w:val="22"/>
                <w:szCs w:val="22"/>
                <w:highlight w:val="yellow"/>
              </w:rPr>
            </w:pPr>
            <w:r w:rsidRPr="005128B6">
              <w:rPr>
                <w:sz w:val="22"/>
                <w:szCs w:val="22"/>
              </w:rPr>
              <w:t>5</w:t>
            </w:r>
          </w:p>
        </w:tc>
      </w:tr>
      <w:tr w:rsidR="008E7502" w:rsidRPr="005128B6" w14:paraId="5B25FFC6" w14:textId="77777777" w:rsidTr="63259912">
        <w:tc>
          <w:tcPr>
            <w:tcW w:w="1124" w:type="dxa"/>
            <w:tcMar>
              <w:left w:w="57" w:type="dxa"/>
              <w:right w:w="57" w:type="dxa"/>
            </w:tcMar>
          </w:tcPr>
          <w:p w14:paraId="3AD27825" w14:textId="34194069" w:rsidR="008E7502" w:rsidRPr="005128B6" w:rsidRDefault="008E7502" w:rsidP="004623DD">
            <w:pPr>
              <w:rPr>
                <w:sz w:val="22"/>
                <w:szCs w:val="22"/>
              </w:rPr>
            </w:pPr>
            <w:r w:rsidRPr="005128B6">
              <w:rPr>
                <w:sz w:val="22"/>
                <w:szCs w:val="22"/>
              </w:rPr>
              <w:t>LUF-8</w:t>
            </w:r>
          </w:p>
        </w:tc>
        <w:tc>
          <w:tcPr>
            <w:tcW w:w="1169" w:type="dxa"/>
            <w:tcMar>
              <w:left w:w="57" w:type="dxa"/>
              <w:right w:w="57" w:type="dxa"/>
            </w:tcMar>
          </w:tcPr>
          <w:p w14:paraId="3757EC33" w14:textId="0E1BCDA2" w:rsidR="008E7502" w:rsidRPr="005128B6" w:rsidRDefault="008E7502" w:rsidP="004623DD">
            <w:pPr>
              <w:rPr>
                <w:sz w:val="22"/>
                <w:szCs w:val="22"/>
              </w:rPr>
            </w:pPr>
            <w:r w:rsidRPr="005128B6">
              <w:rPr>
                <w:sz w:val="22"/>
                <w:szCs w:val="22"/>
              </w:rPr>
              <w:t>MLF-8</w:t>
            </w:r>
          </w:p>
        </w:tc>
        <w:tc>
          <w:tcPr>
            <w:tcW w:w="5919" w:type="dxa"/>
            <w:tcMar>
              <w:left w:w="57" w:type="dxa"/>
              <w:right w:w="57" w:type="dxa"/>
            </w:tcMar>
          </w:tcPr>
          <w:p w14:paraId="430D2251" w14:textId="7101E0E6" w:rsidR="008E7502" w:rsidRPr="005128B6" w:rsidRDefault="0067603E" w:rsidP="004623DD">
            <w:pPr>
              <w:rPr>
                <w:sz w:val="22"/>
                <w:szCs w:val="22"/>
              </w:rPr>
            </w:pPr>
            <w:r w:rsidRPr="005128B6">
              <w:rPr>
                <w:sz w:val="22"/>
                <w:szCs w:val="22"/>
              </w:rPr>
              <w:t>Aktivnosti za izgradnju scenarija</w:t>
            </w:r>
            <w:r w:rsidR="61AAEE6D" w:rsidRPr="20C1EDF1">
              <w:rPr>
                <w:sz w:val="22"/>
                <w:szCs w:val="22"/>
              </w:rPr>
              <w:t xml:space="preserve"> WAM</w:t>
            </w:r>
          </w:p>
        </w:tc>
        <w:tc>
          <w:tcPr>
            <w:tcW w:w="1134" w:type="dxa"/>
            <w:shd w:val="clear" w:color="auto" w:fill="auto"/>
            <w:tcMar>
              <w:left w:w="57" w:type="dxa"/>
              <w:right w:w="57" w:type="dxa"/>
            </w:tcMar>
          </w:tcPr>
          <w:p w14:paraId="69EA4355" w14:textId="7EE0069D" w:rsidR="008E7502" w:rsidRPr="005128B6" w:rsidRDefault="00D636A8" w:rsidP="004623DD">
            <w:pPr>
              <w:rPr>
                <w:sz w:val="22"/>
                <w:szCs w:val="22"/>
              </w:rPr>
            </w:pPr>
            <w:r>
              <w:rPr>
                <w:sz w:val="22"/>
                <w:szCs w:val="22"/>
              </w:rPr>
              <w:t>3</w:t>
            </w:r>
          </w:p>
        </w:tc>
      </w:tr>
      <w:tr w:rsidR="00FE1A9F" w:rsidRPr="005128B6" w14:paraId="3BECC982" w14:textId="77777777" w:rsidTr="63259912">
        <w:tc>
          <w:tcPr>
            <w:tcW w:w="1124" w:type="dxa"/>
            <w:tcMar>
              <w:left w:w="57" w:type="dxa"/>
              <w:right w:w="57" w:type="dxa"/>
            </w:tcMar>
          </w:tcPr>
          <w:p w14:paraId="0F1D346C" w14:textId="6AB86DF4" w:rsidR="00FE1A9F" w:rsidRPr="005128B6" w:rsidRDefault="00FE1A9F" w:rsidP="004623DD">
            <w:pPr>
              <w:rPr>
                <w:sz w:val="22"/>
                <w:szCs w:val="22"/>
              </w:rPr>
            </w:pPr>
            <w:bookmarkStart w:id="35" w:name="_Hlk26360695"/>
            <w:r w:rsidRPr="005128B6">
              <w:rPr>
                <w:sz w:val="22"/>
                <w:szCs w:val="22"/>
              </w:rPr>
              <w:t>FUG-1</w:t>
            </w:r>
          </w:p>
        </w:tc>
        <w:tc>
          <w:tcPr>
            <w:tcW w:w="1169" w:type="dxa"/>
            <w:tcMar>
              <w:left w:w="57" w:type="dxa"/>
              <w:right w:w="57" w:type="dxa"/>
            </w:tcMar>
          </w:tcPr>
          <w:p w14:paraId="6E70D71E" w14:textId="3A83A0D5" w:rsidR="00FE1A9F" w:rsidRPr="005128B6" w:rsidRDefault="00FE1A9F" w:rsidP="004623DD">
            <w:pPr>
              <w:rPr>
                <w:sz w:val="22"/>
                <w:szCs w:val="22"/>
              </w:rPr>
            </w:pPr>
            <w:r w:rsidRPr="005128B6">
              <w:rPr>
                <w:sz w:val="22"/>
                <w:szCs w:val="22"/>
              </w:rPr>
              <w:t>MEN-24</w:t>
            </w:r>
          </w:p>
        </w:tc>
        <w:tc>
          <w:tcPr>
            <w:tcW w:w="5919" w:type="dxa"/>
            <w:tcMar>
              <w:left w:w="57" w:type="dxa"/>
              <w:right w:w="57" w:type="dxa"/>
            </w:tcMar>
          </w:tcPr>
          <w:p w14:paraId="79F98977" w14:textId="37D9BA9A" w:rsidR="00FE1A9F" w:rsidRPr="005128B6" w:rsidRDefault="00FE1A9F" w:rsidP="004623DD">
            <w:pPr>
              <w:rPr>
                <w:sz w:val="22"/>
                <w:szCs w:val="22"/>
              </w:rPr>
            </w:pPr>
            <w:r w:rsidRPr="005128B6">
              <w:rPr>
                <w:sz w:val="22"/>
                <w:szCs w:val="22"/>
              </w:rPr>
              <w:t xml:space="preserve">Modernizacija </w:t>
            </w:r>
            <w:r w:rsidR="00D026A3" w:rsidRPr="005128B6">
              <w:rPr>
                <w:sz w:val="22"/>
                <w:szCs w:val="22"/>
              </w:rPr>
              <w:t xml:space="preserve">i transformacija </w:t>
            </w:r>
            <w:r w:rsidRPr="005128B6">
              <w:rPr>
                <w:sz w:val="22"/>
                <w:szCs w:val="22"/>
              </w:rPr>
              <w:t>rafinerija</w:t>
            </w:r>
          </w:p>
        </w:tc>
        <w:tc>
          <w:tcPr>
            <w:tcW w:w="1134" w:type="dxa"/>
            <w:shd w:val="clear" w:color="auto" w:fill="auto"/>
            <w:tcMar>
              <w:left w:w="57" w:type="dxa"/>
              <w:right w:w="57" w:type="dxa"/>
            </w:tcMar>
          </w:tcPr>
          <w:p w14:paraId="751B85E6" w14:textId="1A335840" w:rsidR="00FE1A9F" w:rsidRPr="005128B6" w:rsidRDefault="00FE1A9F" w:rsidP="004623DD">
            <w:pPr>
              <w:rPr>
                <w:sz w:val="22"/>
                <w:szCs w:val="22"/>
              </w:rPr>
            </w:pPr>
            <w:r w:rsidRPr="005128B6">
              <w:rPr>
                <w:sz w:val="22"/>
                <w:szCs w:val="22"/>
              </w:rPr>
              <w:t>2,3</w:t>
            </w:r>
          </w:p>
        </w:tc>
      </w:tr>
      <w:tr w:rsidR="00FE1A9F" w:rsidRPr="005128B6" w14:paraId="53867A89" w14:textId="77777777" w:rsidTr="63259912">
        <w:tc>
          <w:tcPr>
            <w:tcW w:w="1124" w:type="dxa"/>
            <w:tcMar>
              <w:left w:w="57" w:type="dxa"/>
              <w:right w:w="57" w:type="dxa"/>
            </w:tcMar>
          </w:tcPr>
          <w:p w14:paraId="518D1B40" w14:textId="405F0F05" w:rsidR="00FE1A9F" w:rsidRPr="005128B6" w:rsidRDefault="00FE1A9F" w:rsidP="004623DD">
            <w:pPr>
              <w:rPr>
                <w:sz w:val="22"/>
                <w:szCs w:val="22"/>
              </w:rPr>
            </w:pPr>
            <w:r w:rsidRPr="005128B6">
              <w:rPr>
                <w:sz w:val="22"/>
                <w:szCs w:val="22"/>
              </w:rPr>
              <w:t>FUG-2</w:t>
            </w:r>
          </w:p>
        </w:tc>
        <w:tc>
          <w:tcPr>
            <w:tcW w:w="1169" w:type="dxa"/>
            <w:tcMar>
              <w:left w:w="57" w:type="dxa"/>
              <w:right w:w="57" w:type="dxa"/>
            </w:tcMar>
          </w:tcPr>
          <w:p w14:paraId="2D5B427D" w14:textId="1B01A133" w:rsidR="00FE1A9F" w:rsidRPr="005128B6" w:rsidRDefault="00FE1A9F" w:rsidP="004623DD">
            <w:pPr>
              <w:rPr>
                <w:sz w:val="22"/>
                <w:szCs w:val="22"/>
              </w:rPr>
            </w:pPr>
            <w:r w:rsidRPr="005128B6">
              <w:rPr>
                <w:sz w:val="22"/>
                <w:szCs w:val="22"/>
              </w:rPr>
              <w:t>MEN-25</w:t>
            </w:r>
          </w:p>
        </w:tc>
        <w:tc>
          <w:tcPr>
            <w:tcW w:w="5919" w:type="dxa"/>
            <w:tcMar>
              <w:left w:w="57" w:type="dxa"/>
              <w:right w:w="57" w:type="dxa"/>
            </w:tcMar>
          </w:tcPr>
          <w:p w14:paraId="21127FE4" w14:textId="699A8748" w:rsidR="00FE1A9F" w:rsidRPr="005128B6" w:rsidRDefault="00FE1A9F" w:rsidP="004623DD">
            <w:pPr>
              <w:rPr>
                <w:sz w:val="22"/>
                <w:szCs w:val="22"/>
              </w:rPr>
            </w:pPr>
            <w:r w:rsidRPr="005128B6">
              <w:rPr>
                <w:sz w:val="22"/>
                <w:szCs w:val="22"/>
              </w:rPr>
              <w:t>Mjere povećanja energetske učinkovitosti unapređenjem procesa i procesnih jedinica</w:t>
            </w:r>
          </w:p>
        </w:tc>
        <w:tc>
          <w:tcPr>
            <w:tcW w:w="1134" w:type="dxa"/>
            <w:shd w:val="clear" w:color="auto" w:fill="auto"/>
            <w:tcMar>
              <w:left w:w="57" w:type="dxa"/>
              <w:right w:w="57" w:type="dxa"/>
            </w:tcMar>
          </w:tcPr>
          <w:p w14:paraId="5DC1166F" w14:textId="0C3A920B" w:rsidR="00FE1A9F" w:rsidRPr="005128B6" w:rsidRDefault="00FE1A9F" w:rsidP="004623DD">
            <w:pPr>
              <w:rPr>
                <w:sz w:val="22"/>
                <w:szCs w:val="22"/>
              </w:rPr>
            </w:pPr>
            <w:r w:rsidRPr="005128B6">
              <w:rPr>
                <w:sz w:val="22"/>
                <w:szCs w:val="22"/>
              </w:rPr>
              <w:t>2,3</w:t>
            </w:r>
          </w:p>
        </w:tc>
      </w:tr>
      <w:tr w:rsidR="00FE1A9F" w:rsidRPr="005128B6" w14:paraId="4677015B" w14:textId="6578BF44" w:rsidTr="63259912">
        <w:tc>
          <w:tcPr>
            <w:tcW w:w="1124" w:type="dxa"/>
            <w:tcMar>
              <w:left w:w="57" w:type="dxa"/>
              <w:right w:w="57" w:type="dxa"/>
            </w:tcMar>
          </w:tcPr>
          <w:p w14:paraId="6FEF2BF0" w14:textId="471E343A" w:rsidR="00FE1A9F" w:rsidRPr="005128B6" w:rsidRDefault="00FE1A9F" w:rsidP="004623DD">
            <w:pPr>
              <w:rPr>
                <w:sz w:val="22"/>
                <w:szCs w:val="22"/>
              </w:rPr>
            </w:pPr>
            <w:r w:rsidRPr="005128B6">
              <w:rPr>
                <w:sz w:val="22"/>
                <w:szCs w:val="22"/>
              </w:rPr>
              <w:t>OIE-1</w:t>
            </w:r>
          </w:p>
        </w:tc>
        <w:tc>
          <w:tcPr>
            <w:tcW w:w="1169" w:type="dxa"/>
            <w:tcMar>
              <w:left w:w="57" w:type="dxa"/>
              <w:right w:w="57" w:type="dxa"/>
            </w:tcMar>
          </w:tcPr>
          <w:p w14:paraId="3D43DAE2" w14:textId="5B5888FB" w:rsidR="00FE1A9F" w:rsidRPr="005128B6" w:rsidRDefault="00FE1A9F" w:rsidP="004623DD">
            <w:pPr>
              <w:rPr>
                <w:sz w:val="22"/>
                <w:szCs w:val="22"/>
              </w:rPr>
            </w:pPr>
            <w:r w:rsidRPr="005128B6">
              <w:rPr>
                <w:sz w:val="22"/>
                <w:szCs w:val="22"/>
              </w:rPr>
              <w:t>MEN-1</w:t>
            </w:r>
            <w:r w:rsidR="00A8468D" w:rsidRPr="005128B6">
              <w:rPr>
                <w:sz w:val="22"/>
                <w:szCs w:val="22"/>
              </w:rPr>
              <w:t>6</w:t>
            </w:r>
          </w:p>
        </w:tc>
        <w:tc>
          <w:tcPr>
            <w:tcW w:w="5919" w:type="dxa"/>
            <w:tcMar>
              <w:left w:w="57" w:type="dxa"/>
              <w:right w:w="57" w:type="dxa"/>
            </w:tcMar>
          </w:tcPr>
          <w:p w14:paraId="45757785" w14:textId="5C0EB0EC" w:rsidR="00FE1A9F" w:rsidRPr="005128B6" w:rsidRDefault="00FE1A9F" w:rsidP="004623DD">
            <w:pPr>
              <w:rPr>
                <w:sz w:val="22"/>
                <w:szCs w:val="22"/>
              </w:rPr>
            </w:pPr>
            <w:r w:rsidRPr="005128B6">
              <w:rPr>
                <w:sz w:val="22"/>
                <w:szCs w:val="22"/>
              </w:rPr>
              <w:t>Informiranje, edukacija i povećanje kapaciteta za korištenje OIE</w:t>
            </w:r>
          </w:p>
        </w:tc>
        <w:tc>
          <w:tcPr>
            <w:tcW w:w="1134" w:type="dxa"/>
            <w:shd w:val="clear" w:color="auto" w:fill="auto"/>
            <w:tcMar>
              <w:left w:w="57" w:type="dxa"/>
              <w:right w:w="57" w:type="dxa"/>
            </w:tcMar>
          </w:tcPr>
          <w:p w14:paraId="167BCA95" w14:textId="68CF0241" w:rsidR="00FE1A9F" w:rsidRPr="005128B6" w:rsidRDefault="00FE1A9F" w:rsidP="004623DD">
            <w:pPr>
              <w:rPr>
                <w:sz w:val="22"/>
                <w:szCs w:val="22"/>
              </w:rPr>
            </w:pPr>
            <w:r w:rsidRPr="005128B6">
              <w:rPr>
                <w:sz w:val="22"/>
                <w:szCs w:val="22"/>
              </w:rPr>
              <w:t>2,3,4</w:t>
            </w:r>
          </w:p>
        </w:tc>
      </w:tr>
      <w:bookmarkEnd w:id="35"/>
      <w:tr w:rsidR="00583820" w:rsidRPr="005128B6" w14:paraId="0374FB49" w14:textId="01B6C112" w:rsidTr="63259912">
        <w:tc>
          <w:tcPr>
            <w:tcW w:w="1124" w:type="dxa"/>
            <w:tcMar>
              <w:left w:w="57" w:type="dxa"/>
              <w:right w:w="57" w:type="dxa"/>
            </w:tcMar>
          </w:tcPr>
          <w:p w14:paraId="5BC80683" w14:textId="27F26C1A" w:rsidR="00583820" w:rsidRPr="005128B6" w:rsidRDefault="00583820" w:rsidP="004623DD">
            <w:pPr>
              <w:rPr>
                <w:sz w:val="22"/>
                <w:szCs w:val="22"/>
              </w:rPr>
            </w:pPr>
            <w:r w:rsidRPr="005128B6">
              <w:rPr>
                <w:sz w:val="22"/>
                <w:szCs w:val="22"/>
              </w:rPr>
              <w:t>OIE-2</w:t>
            </w:r>
          </w:p>
        </w:tc>
        <w:tc>
          <w:tcPr>
            <w:tcW w:w="1169" w:type="dxa"/>
            <w:tcMar>
              <w:left w:w="57" w:type="dxa"/>
              <w:right w:w="57" w:type="dxa"/>
            </w:tcMar>
          </w:tcPr>
          <w:p w14:paraId="383FCB51" w14:textId="1A29EF00" w:rsidR="00583820" w:rsidRPr="005128B6" w:rsidRDefault="00583820" w:rsidP="004623DD">
            <w:pPr>
              <w:rPr>
                <w:sz w:val="22"/>
                <w:szCs w:val="22"/>
              </w:rPr>
            </w:pPr>
            <w:r w:rsidRPr="005128B6">
              <w:rPr>
                <w:sz w:val="22"/>
                <w:szCs w:val="22"/>
              </w:rPr>
              <w:t>MEN-17</w:t>
            </w:r>
          </w:p>
        </w:tc>
        <w:tc>
          <w:tcPr>
            <w:tcW w:w="5919" w:type="dxa"/>
            <w:tcMar>
              <w:left w:w="57" w:type="dxa"/>
              <w:right w:w="57" w:type="dxa"/>
            </w:tcMar>
          </w:tcPr>
          <w:p w14:paraId="23AEC980" w14:textId="55C28666" w:rsidR="00583820" w:rsidRPr="005128B6" w:rsidRDefault="00583820" w:rsidP="004623DD">
            <w:pPr>
              <w:rPr>
                <w:sz w:val="22"/>
                <w:szCs w:val="22"/>
              </w:rPr>
            </w:pPr>
            <w:bookmarkStart w:id="36" w:name="_Hlk531872947"/>
            <w:r w:rsidRPr="005128B6">
              <w:rPr>
                <w:sz w:val="22"/>
                <w:szCs w:val="22"/>
              </w:rPr>
              <w:t xml:space="preserve">Prostorno-planski preduvjeti za korištenje </w:t>
            </w:r>
            <w:bookmarkEnd w:id="36"/>
            <w:r w:rsidRPr="005128B6">
              <w:rPr>
                <w:sz w:val="22"/>
                <w:szCs w:val="22"/>
              </w:rPr>
              <w:t>OIE</w:t>
            </w:r>
          </w:p>
        </w:tc>
        <w:tc>
          <w:tcPr>
            <w:tcW w:w="1134" w:type="dxa"/>
            <w:shd w:val="clear" w:color="auto" w:fill="auto"/>
            <w:tcMar>
              <w:left w:w="57" w:type="dxa"/>
              <w:right w:w="57" w:type="dxa"/>
            </w:tcMar>
          </w:tcPr>
          <w:p w14:paraId="397EC35F" w14:textId="0B7AE788" w:rsidR="00583820" w:rsidRPr="005128B6" w:rsidRDefault="00206DAD" w:rsidP="004623DD">
            <w:pPr>
              <w:rPr>
                <w:sz w:val="22"/>
                <w:szCs w:val="22"/>
              </w:rPr>
            </w:pPr>
            <w:r>
              <w:rPr>
                <w:sz w:val="22"/>
                <w:szCs w:val="22"/>
              </w:rPr>
              <w:t>3,4</w:t>
            </w:r>
          </w:p>
        </w:tc>
      </w:tr>
      <w:tr w:rsidR="00F8432B" w:rsidRPr="005128B6" w14:paraId="417DDFD2" w14:textId="77777777" w:rsidTr="63259912">
        <w:tc>
          <w:tcPr>
            <w:tcW w:w="1124" w:type="dxa"/>
            <w:tcMar>
              <w:left w:w="57" w:type="dxa"/>
              <w:right w:w="57" w:type="dxa"/>
            </w:tcMar>
          </w:tcPr>
          <w:p w14:paraId="7D600A08" w14:textId="08D73166" w:rsidR="00F8432B" w:rsidRPr="005128B6" w:rsidRDefault="00F8432B" w:rsidP="004623DD">
            <w:pPr>
              <w:rPr>
                <w:sz w:val="22"/>
                <w:szCs w:val="22"/>
              </w:rPr>
            </w:pPr>
            <w:r w:rsidRPr="005128B6">
              <w:rPr>
                <w:sz w:val="22"/>
                <w:szCs w:val="22"/>
              </w:rPr>
              <w:t>OIE-</w:t>
            </w:r>
            <w:r w:rsidR="00251316" w:rsidRPr="005128B6">
              <w:rPr>
                <w:sz w:val="22"/>
                <w:szCs w:val="22"/>
              </w:rPr>
              <w:t>3</w:t>
            </w:r>
          </w:p>
        </w:tc>
        <w:tc>
          <w:tcPr>
            <w:tcW w:w="1169" w:type="dxa"/>
            <w:tcMar>
              <w:left w:w="57" w:type="dxa"/>
              <w:right w:w="57" w:type="dxa"/>
            </w:tcMar>
          </w:tcPr>
          <w:p w14:paraId="686DC166" w14:textId="63386F8C" w:rsidR="00F8432B" w:rsidRPr="005128B6" w:rsidRDefault="00F8432B" w:rsidP="004623DD">
            <w:pPr>
              <w:rPr>
                <w:sz w:val="22"/>
                <w:szCs w:val="22"/>
              </w:rPr>
            </w:pPr>
            <w:r w:rsidRPr="005128B6">
              <w:rPr>
                <w:sz w:val="22"/>
                <w:szCs w:val="22"/>
              </w:rPr>
              <w:t>MEN-19</w:t>
            </w:r>
          </w:p>
        </w:tc>
        <w:tc>
          <w:tcPr>
            <w:tcW w:w="5919" w:type="dxa"/>
            <w:tcMar>
              <w:left w:w="57" w:type="dxa"/>
              <w:right w:w="57" w:type="dxa"/>
            </w:tcMar>
          </w:tcPr>
          <w:p w14:paraId="55A166DB" w14:textId="071C3B7C" w:rsidR="00F8432B" w:rsidRPr="005128B6" w:rsidRDefault="00F8432B" w:rsidP="004623DD">
            <w:pPr>
              <w:rPr>
                <w:sz w:val="22"/>
                <w:szCs w:val="22"/>
              </w:rPr>
            </w:pPr>
            <w:r w:rsidRPr="005128B6">
              <w:rPr>
                <w:sz w:val="22"/>
                <w:szCs w:val="22"/>
              </w:rPr>
              <w:t>Razrada regulatornog okvira za korištenje OIE</w:t>
            </w:r>
          </w:p>
        </w:tc>
        <w:tc>
          <w:tcPr>
            <w:tcW w:w="1134" w:type="dxa"/>
            <w:shd w:val="clear" w:color="auto" w:fill="auto"/>
            <w:tcMar>
              <w:left w:w="57" w:type="dxa"/>
              <w:right w:w="57" w:type="dxa"/>
            </w:tcMar>
          </w:tcPr>
          <w:p w14:paraId="2BF3C29E" w14:textId="1043907F" w:rsidR="00F8432B" w:rsidRPr="005128B6" w:rsidRDefault="00A855C8" w:rsidP="004623DD">
            <w:pPr>
              <w:rPr>
                <w:sz w:val="22"/>
                <w:szCs w:val="22"/>
              </w:rPr>
            </w:pPr>
            <w:r>
              <w:rPr>
                <w:sz w:val="22"/>
                <w:szCs w:val="22"/>
              </w:rPr>
              <w:t>3,</w:t>
            </w:r>
            <w:r w:rsidR="00F8432B" w:rsidRPr="005128B6">
              <w:rPr>
                <w:sz w:val="22"/>
                <w:szCs w:val="22"/>
              </w:rPr>
              <w:t>4</w:t>
            </w:r>
          </w:p>
        </w:tc>
      </w:tr>
      <w:tr w:rsidR="0093761D" w:rsidRPr="005128B6" w14:paraId="398B18C7" w14:textId="77777777" w:rsidTr="63259912">
        <w:tc>
          <w:tcPr>
            <w:tcW w:w="1124" w:type="dxa"/>
            <w:tcMar>
              <w:left w:w="57" w:type="dxa"/>
              <w:right w:w="57" w:type="dxa"/>
            </w:tcMar>
          </w:tcPr>
          <w:p w14:paraId="740EFF08" w14:textId="00C9094B" w:rsidR="0093761D" w:rsidRPr="005128B6" w:rsidRDefault="0093761D" w:rsidP="004623DD">
            <w:pPr>
              <w:rPr>
                <w:sz w:val="22"/>
                <w:szCs w:val="22"/>
              </w:rPr>
            </w:pPr>
            <w:r w:rsidRPr="005128B6">
              <w:rPr>
                <w:sz w:val="22"/>
                <w:szCs w:val="22"/>
              </w:rPr>
              <w:t>OIE-</w:t>
            </w:r>
            <w:r w:rsidR="00BA114A" w:rsidRPr="005128B6">
              <w:rPr>
                <w:sz w:val="22"/>
                <w:szCs w:val="22"/>
              </w:rPr>
              <w:t>4</w:t>
            </w:r>
          </w:p>
        </w:tc>
        <w:tc>
          <w:tcPr>
            <w:tcW w:w="1169" w:type="dxa"/>
            <w:tcMar>
              <w:left w:w="57" w:type="dxa"/>
              <w:right w:w="57" w:type="dxa"/>
            </w:tcMar>
          </w:tcPr>
          <w:p w14:paraId="7E5AC03A" w14:textId="39AE71EE" w:rsidR="0093761D" w:rsidRPr="005128B6" w:rsidRDefault="0093761D" w:rsidP="004623DD">
            <w:pPr>
              <w:rPr>
                <w:sz w:val="22"/>
                <w:szCs w:val="22"/>
              </w:rPr>
            </w:pPr>
          </w:p>
        </w:tc>
        <w:tc>
          <w:tcPr>
            <w:tcW w:w="5919" w:type="dxa"/>
            <w:tcMar>
              <w:left w:w="57" w:type="dxa"/>
              <w:right w:w="57" w:type="dxa"/>
            </w:tcMar>
          </w:tcPr>
          <w:p w14:paraId="7A8D67AE" w14:textId="41AB2BFC" w:rsidR="0093761D" w:rsidRPr="005128B6" w:rsidRDefault="0093761D" w:rsidP="004623DD">
            <w:pPr>
              <w:rPr>
                <w:sz w:val="22"/>
                <w:szCs w:val="22"/>
              </w:rPr>
            </w:pPr>
            <w:r w:rsidRPr="005128B6">
              <w:rPr>
                <w:sz w:val="22"/>
                <w:szCs w:val="22"/>
              </w:rPr>
              <w:t>Korištenje OIE za proizvodnju električne energije</w:t>
            </w:r>
          </w:p>
        </w:tc>
        <w:tc>
          <w:tcPr>
            <w:tcW w:w="1134" w:type="dxa"/>
            <w:tcMar>
              <w:left w:w="57" w:type="dxa"/>
              <w:right w:w="57" w:type="dxa"/>
            </w:tcMar>
          </w:tcPr>
          <w:p w14:paraId="1DCF6CBC" w14:textId="52F0185C" w:rsidR="0093761D" w:rsidRPr="00016C6B" w:rsidRDefault="0093761D" w:rsidP="004623DD">
            <w:pPr>
              <w:rPr>
                <w:sz w:val="22"/>
                <w:szCs w:val="22"/>
              </w:rPr>
            </w:pPr>
            <w:r w:rsidRPr="00016C6B">
              <w:rPr>
                <w:sz w:val="22"/>
                <w:szCs w:val="22"/>
              </w:rPr>
              <w:t>3,4</w:t>
            </w:r>
            <w:r w:rsidR="00717687">
              <w:rPr>
                <w:sz w:val="22"/>
                <w:szCs w:val="22"/>
              </w:rPr>
              <w:t>,5</w:t>
            </w:r>
          </w:p>
        </w:tc>
      </w:tr>
      <w:tr w:rsidR="0093761D" w:rsidRPr="005128B6" w14:paraId="4963B096" w14:textId="77777777" w:rsidTr="63259912">
        <w:tc>
          <w:tcPr>
            <w:tcW w:w="1124" w:type="dxa"/>
            <w:tcMar>
              <w:left w:w="57" w:type="dxa"/>
              <w:right w:w="57" w:type="dxa"/>
            </w:tcMar>
          </w:tcPr>
          <w:p w14:paraId="52F1E790" w14:textId="44E1F017" w:rsidR="0093761D" w:rsidRPr="005128B6" w:rsidRDefault="006547C9" w:rsidP="004623DD">
            <w:pPr>
              <w:rPr>
                <w:sz w:val="22"/>
                <w:szCs w:val="22"/>
              </w:rPr>
            </w:pPr>
            <w:r w:rsidRPr="005128B6">
              <w:rPr>
                <w:sz w:val="22"/>
                <w:szCs w:val="22"/>
              </w:rPr>
              <w:t>OIE-</w:t>
            </w:r>
            <w:r w:rsidR="00BA114A" w:rsidRPr="005128B6">
              <w:rPr>
                <w:sz w:val="22"/>
                <w:szCs w:val="22"/>
              </w:rPr>
              <w:t>5</w:t>
            </w:r>
          </w:p>
        </w:tc>
        <w:tc>
          <w:tcPr>
            <w:tcW w:w="1169" w:type="dxa"/>
            <w:tcMar>
              <w:left w:w="57" w:type="dxa"/>
              <w:right w:w="57" w:type="dxa"/>
            </w:tcMar>
          </w:tcPr>
          <w:p w14:paraId="254D64B1" w14:textId="609FAA72" w:rsidR="0093761D" w:rsidRPr="005128B6" w:rsidRDefault="0093761D" w:rsidP="004623DD">
            <w:pPr>
              <w:rPr>
                <w:sz w:val="22"/>
                <w:szCs w:val="22"/>
              </w:rPr>
            </w:pPr>
          </w:p>
        </w:tc>
        <w:tc>
          <w:tcPr>
            <w:tcW w:w="5919" w:type="dxa"/>
            <w:tcMar>
              <w:left w:w="57" w:type="dxa"/>
              <w:right w:w="57" w:type="dxa"/>
            </w:tcMar>
          </w:tcPr>
          <w:p w14:paraId="251CAAED" w14:textId="7AEAB11D" w:rsidR="0093761D" w:rsidRPr="005128B6" w:rsidRDefault="006547C9" w:rsidP="004623DD">
            <w:pPr>
              <w:rPr>
                <w:sz w:val="22"/>
                <w:szCs w:val="22"/>
              </w:rPr>
            </w:pPr>
            <w:r w:rsidRPr="005128B6">
              <w:rPr>
                <w:sz w:val="22"/>
                <w:szCs w:val="22"/>
              </w:rPr>
              <w:t xml:space="preserve">Korištenje OIE za toplinske </w:t>
            </w:r>
            <w:r w:rsidR="00AF27B7" w:rsidRPr="005128B6">
              <w:rPr>
                <w:sz w:val="22"/>
                <w:szCs w:val="22"/>
              </w:rPr>
              <w:t>potrebe</w:t>
            </w:r>
          </w:p>
        </w:tc>
        <w:tc>
          <w:tcPr>
            <w:tcW w:w="1134" w:type="dxa"/>
            <w:tcMar>
              <w:left w:w="57" w:type="dxa"/>
              <w:right w:w="57" w:type="dxa"/>
            </w:tcMar>
          </w:tcPr>
          <w:p w14:paraId="57D60AA8" w14:textId="68EFCA72" w:rsidR="0093761D" w:rsidRPr="00016C6B" w:rsidRDefault="006547C9" w:rsidP="004623DD">
            <w:pPr>
              <w:rPr>
                <w:sz w:val="22"/>
                <w:szCs w:val="22"/>
              </w:rPr>
            </w:pPr>
            <w:r w:rsidRPr="00016C6B">
              <w:rPr>
                <w:sz w:val="22"/>
                <w:szCs w:val="22"/>
              </w:rPr>
              <w:t>3,4,5</w:t>
            </w:r>
          </w:p>
        </w:tc>
      </w:tr>
      <w:tr w:rsidR="0093761D" w:rsidRPr="005128B6" w14:paraId="1FE5319D" w14:textId="10E6506B" w:rsidTr="63259912">
        <w:tc>
          <w:tcPr>
            <w:tcW w:w="1124" w:type="dxa"/>
            <w:tcMar>
              <w:left w:w="57" w:type="dxa"/>
              <w:right w:w="57" w:type="dxa"/>
            </w:tcMar>
          </w:tcPr>
          <w:p w14:paraId="60FC7F14" w14:textId="4F4247EE" w:rsidR="0093761D" w:rsidRPr="005128B6" w:rsidRDefault="0093761D" w:rsidP="004623DD">
            <w:pPr>
              <w:rPr>
                <w:sz w:val="22"/>
                <w:szCs w:val="22"/>
              </w:rPr>
            </w:pPr>
            <w:r w:rsidRPr="005128B6">
              <w:rPr>
                <w:sz w:val="22"/>
                <w:szCs w:val="22"/>
              </w:rPr>
              <w:lastRenderedPageBreak/>
              <w:t>OIE-</w:t>
            </w:r>
            <w:r w:rsidR="00BA114A" w:rsidRPr="005128B6">
              <w:rPr>
                <w:sz w:val="22"/>
                <w:szCs w:val="22"/>
              </w:rPr>
              <w:t>6</w:t>
            </w:r>
          </w:p>
        </w:tc>
        <w:tc>
          <w:tcPr>
            <w:tcW w:w="1169" w:type="dxa"/>
            <w:tcMar>
              <w:left w:w="57" w:type="dxa"/>
              <w:right w:w="57" w:type="dxa"/>
            </w:tcMar>
          </w:tcPr>
          <w:p w14:paraId="2080EDAF" w14:textId="49A38714" w:rsidR="0093761D" w:rsidRPr="005128B6" w:rsidRDefault="0093761D" w:rsidP="004623DD">
            <w:pPr>
              <w:rPr>
                <w:sz w:val="22"/>
                <w:szCs w:val="22"/>
              </w:rPr>
            </w:pPr>
          </w:p>
        </w:tc>
        <w:tc>
          <w:tcPr>
            <w:tcW w:w="5919" w:type="dxa"/>
            <w:tcMar>
              <w:left w:w="57" w:type="dxa"/>
              <w:right w:w="57" w:type="dxa"/>
            </w:tcMar>
          </w:tcPr>
          <w:p w14:paraId="51A41C79" w14:textId="79B535A0" w:rsidR="0093761D" w:rsidRPr="005128B6" w:rsidRDefault="006547C9" w:rsidP="004623DD">
            <w:pPr>
              <w:rPr>
                <w:sz w:val="22"/>
                <w:szCs w:val="22"/>
              </w:rPr>
            </w:pPr>
            <w:r w:rsidRPr="005128B6">
              <w:rPr>
                <w:sz w:val="22"/>
                <w:szCs w:val="22"/>
              </w:rPr>
              <w:t>Korištenje OIE u centraliziranim i zatvorenim toplinskim sustavima</w:t>
            </w:r>
          </w:p>
        </w:tc>
        <w:tc>
          <w:tcPr>
            <w:tcW w:w="1134" w:type="dxa"/>
            <w:tcMar>
              <w:left w:w="57" w:type="dxa"/>
              <w:right w:w="57" w:type="dxa"/>
            </w:tcMar>
          </w:tcPr>
          <w:p w14:paraId="6BCD9D57" w14:textId="11448D41" w:rsidR="0093761D" w:rsidRPr="00016C6B" w:rsidRDefault="006547C9" w:rsidP="004623DD">
            <w:pPr>
              <w:rPr>
                <w:sz w:val="22"/>
                <w:szCs w:val="22"/>
              </w:rPr>
            </w:pPr>
            <w:r w:rsidRPr="00016C6B">
              <w:rPr>
                <w:sz w:val="22"/>
                <w:szCs w:val="22"/>
              </w:rPr>
              <w:t>3,4</w:t>
            </w:r>
            <w:r w:rsidR="00F029A8">
              <w:rPr>
                <w:sz w:val="22"/>
                <w:szCs w:val="22"/>
              </w:rPr>
              <w:t>,5</w:t>
            </w:r>
          </w:p>
        </w:tc>
      </w:tr>
      <w:tr w:rsidR="0093761D" w:rsidRPr="005128B6" w14:paraId="1D2D50BA" w14:textId="77777777" w:rsidTr="63259912">
        <w:tc>
          <w:tcPr>
            <w:tcW w:w="1124" w:type="dxa"/>
            <w:tcMar>
              <w:left w:w="57" w:type="dxa"/>
              <w:right w:w="57" w:type="dxa"/>
            </w:tcMar>
          </w:tcPr>
          <w:p w14:paraId="392740C7" w14:textId="64860AE3" w:rsidR="0093761D" w:rsidRPr="005128B6" w:rsidRDefault="0093761D" w:rsidP="004623DD">
            <w:pPr>
              <w:rPr>
                <w:sz w:val="22"/>
                <w:szCs w:val="22"/>
              </w:rPr>
            </w:pPr>
            <w:r w:rsidRPr="005128B6">
              <w:rPr>
                <w:sz w:val="22"/>
                <w:szCs w:val="22"/>
              </w:rPr>
              <w:t>OIE-</w:t>
            </w:r>
            <w:r w:rsidR="00BA114A" w:rsidRPr="005128B6">
              <w:rPr>
                <w:sz w:val="22"/>
                <w:szCs w:val="22"/>
              </w:rPr>
              <w:t>7</w:t>
            </w:r>
          </w:p>
        </w:tc>
        <w:tc>
          <w:tcPr>
            <w:tcW w:w="1169" w:type="dxa"/>
            <w:tcMar>
              <w:left w:w="57" w:type="dxa"/>
              <w:right w:w="57" w:type="dxa"/>
            </w:tcMar>
          </w:tcPr>
          <w:p w14:paraId="31ECDD86" w14:textId="77777777" w:rsidR="0093761D" w:rsidRPr="005128B6" w:rsidRDefault="0093761D" w:rsidP="004623DD">
            <w:pPr>
              <w:rPr>
                <w:sz w:val="22"/>
                <w:szCs w:val="22"/>
              </w:rPr>
            </w:pPr>
          </w:p>
        </w:tc>
        <w:tc>
          <w:tcPr>
            <w:tcW w:w="5919" w:type="dxa"/>
            <w:tcMar>
              <w:left w:w="57" w:type="dxa"/>
              <w:right w:w="57" w:type="dxa"/>
            </w:tcMar>
          </w:tcPr>
          <w:p w14:paraId="66FB1F3D" w14:textId="5E0D48B3" w:rsidR="0093761D" w:rsidRPr="005128B6" w:rsidRDefault="006547C9" w:rsidP="004623DD">
            <w:pPr>
              <w:rPr>
                <w:sz w:val="22"/>
                <w:szCs w:val="22"/>
              </w:rPr>
            </w:pPr>
            <w:r w:rsidRPr="005128B6">
              <w:rPr>
                <w:sz w:val="22"/>
                <w:szCs w:val="22"/>
              </w:rPr>
              <w:t>Dijeljenje energije</w:t>
            </w:r>
            <w:r w:rsidR="00BA114A" w:rsidRPr="005128B6">
              <w:rPr>
                <w:sz w:val="22"/>
                <w:szCs w:val="22"/>
              </w:rPr>
              <w:t xml:space="preserve"> i </w:t>
            </w:r>
            <w:r w:rsidRPr="005128B6">
              <w:rPr>
                <w:sz w:val="22"/>
                <w:szCs w:val="22"/>
              </w:rPr>
              <w:t>energetske zajednice</w:t>
            </w:r>
          </w:p>
        </w:tc>
        <w:tc>
          <w:tcPr>
            <w:tcW w:w="1134" w:type="dxa"/>
            <w:tcMar>
              <w:left w:w="57" w:type="dxa"/>
              <w:right w:w="57" w:type="dxa"/>
            </w:tcMar>
          </w:tcPr>
          <w:p w14:paraId="4AEA64E4" w14:textId="5FB72FD9" w:rsidR="0093761D" w:rsidRPr="00016C6B" w:rsidRDefault="001D1657" w:rsidP="004623DD">
            <w:pPr>
              <w:rPr>
                <w:sz w:val="22"/>
                <w:szCs w:val="22"/>
              </w:rPr>
            </w:pPr>
            <w:r>
              <w:rPr>
                <w:sz w:val="22"/>
                <w:szCs w:val="22"/>
              </w:rPr>
              <w:t>2,4</w:t>
            </w:r>
          </w:p>
        </w:tc>
      </w:tr>
      <w:tr w:rsidR="00967B25" w:rsidRPr="005128B6" w14:paraId="1505FED8" w14:textId="77777777" w:rsidTr="63259912">
        <w:tc>
          <w:tcPr>
            <w:tcW w:w="1124" w:type="dxa"/>
            <w:tcMar>
              <w:left w:w="57" w:type="dxa"/>
              <w:right w:w="57" w:type="dxa"/>
            </w:tcMar>
          </w:tcPr>
          <w:p w14:paraId="22A2A5A2" w14:textId="01CE68DD" w:rsidR="00967B25" w:rsidRPr="005128B6" w:rsidRDefault="00967B25" w:rsidP="004623DD">
            <w:pPr>
              <w:rPr>
                <w:sz w:val="22"/>
                <w:szCs w:val="22"/>
              </w:rPr>
            </w:pPr>
            <w:r w:rsidRPr="005128B6">
              <w:rPr>
                <w:sz w:val="22"/>
                <w:szCs w:val="22"/>
              </w:rPr>
              <w:t>OIE-8</w:t>
            </w:r>
          </w:p>
        </w:tc>
        <w:tc>
          <w:tcPr>
            <w:tcW w:w="1169" w:type="dxa"/>
            <w:tcMar>
              <w:left w:w="57" w:type="dxa"/>
              <w:right w:w="57" w:type="dxa"/>
            </w:tcMar>
          </w:tcPr>
          <w:p w14:paraId="54B900FB" w14:textId="77777777" w:rsidR="00967B25" w:rsidRPr="005128B6" w:rsidRDefault="00967B25" w:rsidP="004623DD">
            <w:pPr>
              <w:rPr>
                <w:sz w:val="22"/>
                <w:szCs w:val="22"/>
              </w:rPr>
            </w:pPr>
          </w:p>
        </w:tc>
        <w:tc>
          <w:tcPr>
            <w:tcW w:w="5919" w:type="dxa"/>
            <w:tcMar>
              <w:left w:w="57" w:type="dxa"/>
              <w:right w:w="57" w:type="dxa"/>
            </w:tcMar>
          </w:tcPr>
          <w:p w14:paraId="586781D0" w14:textId="61C0BB7D" w:rsidR="00967B25" w:rsidRPr="005128B6" w:rsidRDefault="0049458F" w:rsidP="004623DD">
            <w:pPr>
              <w:rPr>
                <w:sz w:val="22"/>
                <w:szCs w:val="22"/>
              </w:rPr>
            </w:pPr>
            <w:r w:rsidRPr="005128B6">
              <w:rPr>
                <w:sz w:val="22"/>
                <w:szCs w:val="22"/>
              </w:rPr>
              <w:t>Korištenje vodika i novih tehnologija</w:t>
            </w:r>
          </w:p>
        </w:tc>
        <w:tc>
          <w:tcPr>
            <w:tcW w:w="1134" w:type="dxa"/>
            <w:tcMar>
              <w:left w:w="57" w:type="dxa"/>
              <w:right w:w="57" w:type="dxa"/>
            </w:tcMar>
          </w:tcPr>
          <w:p w14:paraId="15EBE03B" w14:textId="5143EEBA" w:rsidR="00967B25" w:rsidRPr="00016C6B" w:rsidRDefault="001D1657" w:rsidP="004623DD">
            <w:pPr>
              <w:rPr>
                <w:sz w:val="22"/>
                <w:szCs w:val="22"/>
              </w:rPr>
            </w:pPr>
            <w:r>
              <w:rPr>
                <w:sz w:val="22"/>
                <w:szCs w:val="22"/>
              </w:rPr>
              <w:t>3,5</w:t>
            </w:r>
          </w:p>
        </w:tc>
      </w:tr>
      <w:tr w:rsidR="0093761D" w:rsidRPr="005128B6" w14:paraId="1A41628B" w14:textId="650ABC4A" w:rsidTr="63259912">
        <w:tc>
          <w:tcPr>
            <w:tcW w:w="1124" w:type="dxa"/>
            <w:tcMar>
              <w:left w:w="57" w:type="dxa"/>
              <w:right w:w="57" w:type="dxa"/>
            </w:tcMar>
          </w:tcPr>
          <w:p w14:paraId="792CCB5C" w14:textId="1E54F9DF" w:rsidR="0093761D" w:rsidRPr="005128B6" w:rsidRDefault="0093761D" w:rsidP="004623DD">
            <w:pPr>
              <w:rPr>
                <w:sz w:val="22"/>
                <w:szCs w:val="22"/>
              </w:rPr>
            </w:pPr>
            <w:r w:rsidRPr="005128B6">
              <w:rPr>
                <w:sz w:val="22"/>
                <w:szCs w:val="22"/>
              </w:rPr>
              <w:t>TR-1</w:t>
            </w:r>
          </w:p>
        </w:tc>
        <w:tc>
          <w:tcPr>
            <w:tcW w:w="1169" w:type="dxa"/>
            <w:tcMar>
              <w:left w:w="57" w:type="dxa"/>
              <w:right w:w="57" w:type="dxa"/>
            </w:tcMar>
          </w:tcPr>
          <w:p w14:paraId="2078528F" w14:textId="7D6E3EAE" w:rsidR="0093761D" w:rsidRPr="005128B6" w:rsidRDefault="0093761D" w:rsidP="004623DD">
            <w:pPr>
              <w:rPr>
                <w:sz w:val="22"/>
                <w:szCs w:val="22"/>
              </w:rPr>
            </w:pPr>
            <w:r w:rsidRPr="005128B6">
              <w:rPr>
                <w:sz w:val="22"/>
                <w:szCs w:val="22"/>
              </w:rPr>
              <w:t>MTR-</w:t>
            </w:r>
            <w:r w:rsidR="003819B1" w:rsidRPr="005128B6">
              <w:rPr>
                <w:sz w:val="22"/>
                <w:szCs w:val="22"/>
              </w:rPr>
              <w:t>5</w:t>
            </w:r>
          </w:p>
        </w:tc>
        <w:tc>
          <w:tcPr>
            <w:tcW w:w="5919" w:type="dxa"/>
            <w:tcMar>
              <w:left w:w="57" w:type="dxa"/>
              <w:right w:w="57" w:type="dxa"/>
            </w:tcMar>
          </w:tcPr>
          <w:p w14:paraId="468292AA" w14:textId="333903D2" w:rsidR="0093761D" w:rsidRPr="005128B6" w:rsidRDefault="0093761D" w:rsidP="004623DD">
            <w:pPr>
              <w:rPr>
                <w:sz w:val="22"/>
                <w:szCs w:val="22"/>
              </w:rPr>
            </w:pPr>
            <w:r w:rsidRPr="005128B6">
              <w:rPr>
                <w:sz w:val="22"/>
                <w:szCs w:val="22"/>
              </w:rPr>
              <w:t>Regulatorni instrumenti za poticanje čišćeg prometnog sustava</w:t>
            </w:r>
          </w:p>
        </w:tc>
        <w:tc>
          <w:tcPr>
            <w:tcW w:w="1134" w:type="dxa"/>
            <w:tcMar>
              <w:left w:w="57" w:type="dxa"/>
              <w:right w:w="57" w:type="dxa"/>
            </w:tcMar>
          </w:tcPr>
          <w:p w14:paraId="466BD915" w14:textId="55F35662" w:rsidR="0093761D" w:rsidRPr="00016C6B" w:rsidRDefault="0093761D" w:rsidP="004623DD">
            <w:pPr>
              <w:rPr>
                <w:sz w:val="22"/>
                <w:szCs w:val="22"/>
              </w:rPr>
            </w:pPr>
            <w:r w:rsidRPr="00016C6B">
              <w:rPr>
                <w:sz w:val="22"/>
                <w:szCs w:val="22"/>
              </w:rPr>
              <w:t>2</w:t>
            </w:r>
          </w:p>
        </w:tc>
      </w:tr>
      <w:tr w:rsidR="0093761D" w:rsidRPr="005128B6" w14:paraId="4DFCF737" w14:textId="1693153E" w:rsidTr="63259912">
        <w:tc>
          <w:tcPr>
            <w:tcW w:w="1124" w:type="dxa"/>
            <w:tcMar>
              <w:left w:w="57" w:type="dxa"/>
              <w:right w:w="57" w:type="dxa"/>
            </w:tcMar>
          </w:tcPr>
          <w:p w14:paraId="155B44F9" w14:textId="0247E79C" w:rsidR="0093761D" w:rsidRPr="005128B6" w:rsidRDefault="0093761D" w:rsidP="004623DD">
            <w:pPr>
              <w:rPr>
                <w:sz w:val="22"/>
                <w:szCs w:val="22"/>
              </w:rPr>
            </w:pPr>
            <w:r w:rsidRPr="005128B6">
              <w:rPr>
                <w:sz w:val="22"/>
                <w:szCs w:val="22"/>
              </w:rPr>
              <w:t>TR-2</w:t>
            </w:r>
          </w:p>
        </w:tc>
        <w:tc>
          <w:tcPr>
            <w:tcW w:w="1169" w:type="dxa"/>
            <w:tcMar>
              <w:left w:w="57" w:type="dxa"/>
              <w:right w:w="57" w:type="dxa"/>
            </w:tcMar>
          </w:tcPr>
          <w:p w14:paraId="0DC7765B" w14:textId="228105CF" w:rsidR="0093761D" w:rsidRPr="005128B6" w:rsidRDefault="0093761D" w:rsidP="004623DD">
            <w:pPr>
              <w:rPr>
                <w:sz w:val="22"/>
                <w:szCs w:val="22"/>
              </w:rPr>
            </w:pPr>
            <w:r w:rsidRPr="005128B6">
              <w:rPr>
                <w:sz w:val="22"/>
                <w:szCs w:val="22"/>
              </w:rPr>
              <w:t>MTR-</w:t>
            </w:r>
            <w:r w:rsidR="007F762B" w:rsidRPr="005128B6">
              <w:rPr>
                <w:sz w:val="22"/>
                <w:szCs w:val="22"/>
              </w:rPr>
              <w:t>6</w:t>
            </w:r>
          </w:p>
        </w:tc>
        <w:tc>
          <w:tcPr>
            <w:tcW w:w="5919" w:type="dxa"/>
            <w:tcMar>
              <w:left w:w="57" w:type="dxa"/>
              <w:right w:w="57" w:type="dxa"/>
            </w:tcMar>
          </w:tcPr>
          <w:p w14:paraId="6971CE1C" w14:textId="72246387" w:rsidR="0093761D" w:rsidRPr="005128B6" w:rsidRDefault="0093761D" w:rsidP="004623DD">
            <w:pPr>
              <w:rPr>
                <w:sz w:val="22"/>
                <w:szCs w:val="22"/>
              </w:rPr>
            </w:pPr>
            <w:r w:rsidRPr="005128B6">
              <w:rPr>
                <w:sz w:val="22"/>
                <w:szCs w:val="22"/>
              </w:rPr>
              <w:t>Program sufinanciranja kupnje novih vozila na alternativna goriva i razvoja infrastrukture za alternativna goriva u cestovnom prometu</w:t>
            </w:r>
          </w:p>
        </w:tc>
        <w:tc>
          <w:tcPr>
            <w:tcW w:w="1134" w:type="dxa"/>
            <w:tcMar>
              <w:left w:w="57" w:type="dxa"/>
              <w:right w:w="57" w:type="dxa"/>
            </w:tcMar>
          </w:tcPr>
          <w:p w14:paraId="6FC6A865" w14:textId="7345E436" w:rsidR="0093761D" w:rsidRPr="00016C6B" w:rsidRDefault="0093761D" w:rsidP="004623DD">
            <w:pPr>
              <w:rPr>
                <w:sz w:val="22"/>
                <w:szCs w:val="22"/>
              </w:rPr>
            </w:pPr>
            <w:r w:rsidRPr="00016C6B">
              <w:rPr>
                <w:sz w:val="22"/>
                <w:szCs w:val="22"/>
              </w:rPr>
              <w:t>2</w:t>
            </w:r>
          </w:p>
        </w:tc>
      </w:tr>
      <w:tr w:rsidR="00430066" w:rsidRPr="005128B6" w14:paraId="5575414E" w14:textId="77777777" w:rsidTr="63259912">
        <w:tc>
          <w:tcPr>
            <w:tcW w:w="1124" w:type="dxa"/>
            <w:tcMar>
              <w:left w:w="57" w:type="dxa"/>
              <w:right w:w="57" w:type="dxa"/>
            </w:tcMar>
          </w:tcPr>
          <w:p w14:paraId="26AAE7D8" w14:textId="1D21BDE0" w:rsidR="00430066" w:rsidRPr="005128B6" w:rsidRDefault="00430066" w:rsidP="004623DD">
            <w:pPr>
              <w:rPr>
                <w:sz w:val="22"/>
                <w:szCs w:val="22"/>
              </w:rPr>
            </w:pPr>
            <w:r w:rsidRPr="005128B6">
              <w:rPr>
                <w:sz w:val="22"/>
                <w:szCs w:val="22"/>
              </w:rPr>
              <w:t>TR-3</w:t>
            </w:r>
          </w:p>
        </w:tc>
        <w:tc>
          <w:tcPr>
            <w:tcW w:w="1169" w:type="dxa"/>
            <w:tcMar>
              <w:left w:w="57" w:type="dxa"/>
              <w:right w:w="57" w:type="dxa"/>
            </w:tcMar>
          </w:tcPr>
          <w:p w14:paraId="058D2243" w14:textId="76DEC872" w:rsidR="00430066" w:rsidRPr="005128B6" w:rsidRDefault="00430066" w:rsidP="004623DD">
            <w:pPr>
              <w:rPr>
                <w:sz w:val="22"/>
                <w:szCs w:val="22"/>
              </w:rPr>
            </w:pPr>
            <w:r w:rsidRPr="005128B6">
              <w:rPr>
                <w:sz w:val="22"/>
                <w:szCs w:val="22"/>
              </w:rPr>
              <w:t>MTR-</w:t>
            </w:r>
            <w:r w:rsidR="00EA3B59" w:rsidRPr="005128B6">
              <w:rPr>
                <w:sz w:val="22"/>
                <w:szCs w:val="22"/>
              </w:rPr>
              <w:t>9</w:t>
            </w:r>
          </w:p>
        </w:tc>
        <w:tc>
          <w:tcPr>
            <w:tcW w:w="5919" w:type="dxa"/>
            <w:tcMar>
              <w:left w:w="57" w:type="dxa"/>
              <w:right w:w="57" w:type="dxa"/>
            </w:tcMar>
          </w:tcPr>
          <w:p w14:paraId="1268212F" w14:textId="2CBE88BF" w:rsidR="00430066" w:rsidRPr="005128B6" w:rsidRDefault="00430066" w:rsidP="004623DD">
            <w:pPr>
              <w:rPr>
                <w:sz w:val="22"/>
                <w:szCs w:val="22"/>
              </w:rPr>
            </w:pPr>
            <w:r w:rsidRPr="005128B6">
              <w:rPr>
                <w:sz w:val="22"/>
                <w:szCs w:val="22"/>
              </w:rPr>
              <w:t>Unaprjeđenje sustava javnog prijevoza i promicanje održivog integriranog prometa</w:t>
            </w:r>
          </w:p>
        </w:tc>
        <w:tc>
          <w:tcPr>
            <w:tcW w:w="1134" w:type="dxa"/>
            <w:tcMar>
              <w:left w:w="57" w:type="dxa"/>
              <w:right w:w="57" w:type="dxa"/>
            </w:tcMar>
          </w:tcPr>
          <w:p w14:paraId="3FCDCE6F" w14:textId="2490CC8C" w:rsidR="00430066" w:rsidRPr="00016C6B" w:rsidRDefault="00430066" w:rsidP="004623DD">
            <w:pPr>
              <w:rPr>
                <w:sz w:val="22"/>
                <w:szCs w:val="22"/>
              </w:rPr>
            </w:pPr>
            <w:r w:rsidRPr="00016C6B">
              <w:rPr>
                <w:sz w:val="22"/>
                <w:szCs w:val="22"/>
              </w:rPr>
              <w:t>2</w:t>
            </w:r>
          </w:p>
        </w:tc>
      </w:tr>
      <w:tr w:rsidR="00C61142" w:rsidRPr="005128B6" w14:paraId="1EE31E43" w14:textId="77777777" w:rsidTr="63259912">
        <w:tc>
          <w:tcPr>
            <w:tcW w:w="1124" w:type="dxa"/>
            <w:tcMar>
              <w:left w:w="57" w:type="dxa"/>
              <w:right w:w="57" w:type="dxa"/>
            </w:tcMar>
          </w:tcPr>
          <w:p w14:paraId="1473A085" w14:textId="49A1A425" w:rsidR="00C61142" w:rsidRPr="005128B6" w:rsidRDefault="00C61142" w:rsidP="004623DD">
            <w:pPr>
              <w:rPr>
                <w:sz w:val="22"/>
                <w:szCs w:val="22"/>
              </w:rPr>
            </w:pPr>
            <w:r w:rsidRPr="005128B6">
              <w:rPr>
                <w:sz w:val="22"/>
                <w:szCs w:val="22"/>
              </w:rPr>
              <w:t>TR-4</w:t>
            </w:r>
          </w:p>
        </w:tc>
        <w:tc>
          <w:tcPr>
            <w:tcW w:w="1169" w:type="dxa"/>
            <w:tcMar>
              <w:left w:w="57" w:type="dxa"/>
              <w:right w:w="57" w:type="dxa"/>
            </w:tcMar>
          </w:tcPr>
          <w:p w14:paraId="32E1DA12" w14:textId="5B735AE7" w:rsidR="00C61142" w:rsidRPr="005128B6" w:rsidRDefault="00C61142" w:rsidP="004623DD">
            <w:pPr>
              <w:rPr>
                <w:sz w:val="22"/>
                <w:szCs w:val="22"/>
              </w:rPr>
            </w:pPr>
            <w:r w:rsidRPr="005128B6">
              <w:rPr>
                <w:sz w:val="22"/>
                <w:szCs w:val="22"/>
              </w:rPr>
              <w:t>MTR-</w:t>
            </w:r>
            <w:r w:rsidR="007F1AB9" w:rsidRPr="005128B6">
              <w:rPr>
                <w:sz w:val="22"/>
                <w:szCs w:val="22"/>
              </w:rPr>
              <w:t>12</w:t>
            </w:r>
          </w:p>
        </w:tc>
        <w:tc>
          <w:tcPr>
            <w:tcW w:w="5919" w:type="dxa"/>
            <w:tcMar>
              <w:left w:w="57" w:type="dxa"/>
              <w:right w:w="57" w:type="dxa"/>
            </w:tcMar>
          </w:tcPr>
          <w:p w14:paraId="1D77B085" w14:textId="7839491C" w:rsidR="00C61142" w:rsidRPr="005128B6" w:rsidRDefault="007A3E6D" w:rsidP="004623DD">
            <w:pPr>
              <w:rPr>
                <w:sz w:val="22"/>
                <w:szCs w:val="22"/>
              </w:rPr>
            </w:pPr>
            <w:r w:rsidRPr="005128B6">
              <w:rPr>
                <w:sz w:val="22"/>
                <w:szCs w:val="22"/>
              </w:rPr>
              <w:t>R</w:t>
            </w:r>
            <w:r w:rsidR="00C61142" w:rsidRPr="005128B6">
              <w:rPr>
                <w:sz w:val="22"/>
                <w:szCs w:val="22"/>
              </w:rPr>
              <w:t>azvoj energetski učinkovitog pomorskog prometa i prometa unutarnje plovidbe</w:t>
            </w:r>
          </w:p>
        </w:tc>
        <w:tc>
          <w:tcPr>
            <w:tcW w:w="1134" w:type="dxa"/>
            <w:tcMar>
              <w:left w:w="57" w:type="dxa"/>
              <w:right w:w="57" w:type="dxa"/>
            </w:tcMar>
          </w:tcPr>
          <w:p w14:paraId="13BB98D7" w14:textId="5B7847CC" w:rsidR="00C61142" w:rsidRPr="00016C6B" w:rsidRDefault="00846AFD" w:rsidP="004623DD">
            <w:pPr>
              <w:rPr>
                <w:sz w:val="22"/>
                <w:szCs w:val="22"/>
              </w:rPr>
            </w:pPr>
            <w:r w:rsidRPr="00016C6B">
              <w:rPr>
                <w:sz w:val="22"/>
                <w:szCs w:val="22"/>
              </w:rPr>
              <w:t>2,3,5</w:t>
            </w:r>
          </w:p>
        </w:tc>
      </w:tr>
      <w:tr w:rsidR="00C61142" w:rsidRPr="005128B6" w14:paraId="09575910" w14:textId="58AD00D0" w:rsidTr="63259912">
        <w:tc>
          <w:tcPr>
            <w:tcW w:w="1124" w:type="dxa"/>
            <w:tcMar>
              <w:left w:w="57" w:type="dxa"/>
              <w:right w:w="57" w:type="dxa"/>
            </w:tcMar>
          </w:tcPr>
          <w:p w14:paraId="0FA8A4F7" w14:textId="6ABF78BC" w:rsidR="00C61142" w:rsidRPr="005128B6" w:rsidRDefault="00C61142" w:rsidP="004623DD">
            <w:pPr>
              <w:rPr>
                <w:sz w:val="22"/>
                <w:szCs w:val="22"/>
              </w:rPr>
            </w:pPr>
            <w:r w:rsidRPr="005128B6">
              <w:rPr>
                <w:sz w:val="22"/>
                <w:szCs w:val="22"/>
              </w:rPr>
              <w:t>TR-</w:t>
            </w:r>
            <w:r w:rsidR="004F4FD3" w:rsidRPr="005128B6">
              <w:rPr>
                <w:sz w:val="22"/>
                <w:szCs w:val="22"/>
              </w:rPr>
              <w:t>5</w:t>
            </w:r>
          </w:p>
        </w:tc>
        <w:tc>
          <w:tcPr>
            <w:tcW w:w="1169" w:type="dxa"/>
            <w:tcMar>
              <w:left w:w="57" w:type="dxa"/>
              <w:right w:w="57" w:type="dxa"/>
            </w:tcMar>
          </w:tcPr>
          <w:p w14:paraId="5379B06F" w14:textId="44A04911" w:rsidR="00C61142" w:rsidRPr="005128B6" w:rsidRDefault="00C61142" w:rsidP="004623DD">
            <w:pPr>
              <w:rPr>
                <w:sz w:val="22"/>
                <w:szCs w:val="22"/>
              </w:rPr>
            </w:pPr>
          </w:p>
        </w:tc>
        <w:tc>
          <w:tcPr>
            <w:tcW w:w="5919" w:type="dxa"/>
            <w:tcMar>
              <w:left w:w="57" w:type="dxa"/>
              <w:right w:w="57" w:type="dxa"/>
            </w:tcMar>
          </w:tcPr>
          <w:p w14:paraId="53CD62E2" w14:textId="22BA3CBE" w:rsidR="00C61142" w:rsidRPr="005128B6" w:rsidRDefault="007A3E6D" w:rsidP="004623DD">
            <w:pPr>
              <w:rPr>
                <w:sz w:val="22"/>
                <w:szCs w:val="22"/>
              </w:rPr>
            </w:pPr>
            <w:r w:rsidRPr="005128B6">
              <w:rPr>
                <w:sz w:val="22"/>
                <w:szCs w:val="22"/>
              </w:rPr>
              <w:t>R</w:t>
            </w:r>
            <w:r w:rsidR="00C61142" w:rsidRPr="005128B6">
              <w:rPr>
                <w:sz w:val="22"/>
                <w:szCs w:val="22"/>
              </w:rPr>
              <w:t>azvoj energetski učinkovitog željezničkog prometa</w:t>
            </w:r>
          </w:p>
        </w:tc>
        <w:tc>
          <w:tcPr>
            <w:tcW w:w="1134" w:type="dxa"/>
            <w:tcMar>
              <w:left w:w="57" w:type="dxa"/>
              <w:right w:w="57" w:type="dxa"/>
            </w:tcMar>
          </w:tcPr>
          <w:p w14:paraId="2C90F0D5" w14:textId="2F60BA0F" w:rsidR="00C61142" w:rsidRPr="00016C6B" w:rsidRDefault="00846AFD" w:rsidP="004623DD">
            <w:pPr>
              <w:rPr>
                <w:sz w:val="22"/>
                <w:szCs w:val="22"/>
              </w:rPr>
            </w:pPr>
            <w:r w:rsidRPr="00016C6B">
              <w:rPr>
                <w:sz w:val="22"/>
                <w:szCs w:val="22"/>
              </w:rPr>
              <w:t>2,3,5</w:t>
            </w:r>
          </w:p>
        </w:tc>
      </w:tr>
      <w:tr w:rsidR="00C61142" w:rsidRPr="005128B6" w14:paraId="0E677103" w14:textId="2ADA33BD" w:rsidTr="63259912">
        <w:tc>
          <w:tcPr>
            <w:tcW w:w="1124" w:type="dxa"/>
            <w:tcMar>
              <w:left w:w="57" w:type="dxa"/>
              <w:right w:w="57" w:type="dxa"/>
            </w:tcMar>
          </w:tcPr>
          <w:p w14:paraId="315AEBC9" w14:textId="6D2E3512" w:rsidR="00C61142" w:rsidRPr="005128B6" w:rsidRDefault="00C61142" w:rsidP="004623DD">
            <w:pPr>
              <w:rPr>
                <w:sz w:val="22"/>
                <w:szCs w:val="22"/>
              </w:rPr>
            </w:pPr>
            <w:r w:rsidRPr="005128B6">
              <w:rPr>
                <w:sz w:val="22"/>
                <w:szCs w:val="22"/>
              </w:rPr>
              <w:t>TR-</w:t>
            </w:r>
            <w:r w:rsidR="00420C08" w:rsidRPr="005128B6">
              <w:rPr>
                <w:sz w:val="22"/>
                <w:szCs w:val="22"/>
              </w:rPr>
              <w:t>6</w:t>
            </w:r>
          </w:p>
        </w:tc>
        <w:tc>
          <w:tcPr>
            <w:tcW w:w="1169" w:type="dxa"/>
            <w:tcMar>
              <w:left w:w="57" w:type="dxa"/>
              <w:right w:w="57" w:type="dxa"/>
            </w:tcMar>
          </w:tcPr>
          <w:p w14:paraId="37003673" w14:textId="20B6F53E" w:rsidR="00C61142" w:rsidRPr="005128B6" w:rsidRDefault="00C61142" w:rsidP="004623DD">
            <w:pPr>
              <w:rPr>
                <w:sz w:val="22"/>
                <w:szCs w:val="22"/>
              </w:rPr>
            </w:pPr>
          </w:p>
        </w:tc>
        <w:tc>
          <w:tcPr>
            <w:tcW w:w="5919" w:type="dxa"/>
            <w:tcMar>
              <w:left w:w="57" w:type="dxa"/>
              <w:right w:w="57" w:type="dxa"/>
            </w:tcMar>
          </w:tcPr>
          <w:p w14:paraId="081450AB" w14:textId="1DDFA421" w:rsidR="00C61142" w:rsidRPr="005128B6" w:rsidRDefault="002E30C1" w:rsidP="004623DD">
            <w:pPr>
              <w:rPr>
                <w:sz w:val="22"/>
                <w:szCs w:val="22"/>
              </w:rPr>
            </w:pPr>
            <w:r w:rsidRPr="005128B6">
              <w:rPr>
                <w:sz w:val="22"/>
                <w:szCs w:val="22"/>
              </w:rPr>
              <w:t>R</w:t>
            </w:r>
            <w:r w:rsidR="00C61142" w:rsidRPr="005128B6">
              <w:rPr>
                <w:sz w:val="22"/>
                <w:szCs w:val="22"/>
              </w:rPr>
              <w:t>azvoj energetski učinkovitog zračnog prometa</w:t>
            </w:r>
          </w:p>
        </w:tc>
        <w:tc>
          <w:tcPr>
            <w:tcW w:w="1134" w:type="dxa"/>
            <w:tcMar>
              <w:left w:w="57" w:type="dxa"/>
              <w:right w:w="57" w:type="dxa"/>
            </w:tcMar>
          </w:tcPr>
          <w:p w14:paraId="7B1A0C77" w14:textId="7ADBE0DC" w:rsidR="00C61142" w:rsidRPr="00016C6B" w:rsidRDefault="00846AFD" w:rsidP="004623DD">
            <w:pPr>
              <w:rPr>
                <w:sz w:val="22"/>
                <w:szCs w:val="22"/>
              </w:rPr>
            </w:pPr>
            <w:r w:rsidRPr="00016C6B">
              <w:rPr>
                <w:sz w:val="22"/>
                <w:szCs w:val="22"/>
              </w:rPr>
              <w:t>2,3,5</w:t>
            </w:r>
          </w:p>
        </w:tc>
      </w:tr>
      <w:tr w:rsidR="00C61142" w:rsidRPr="005128B6" w14:paraId="06D8CF92" w14:textId="77777777" w:rsidTr="63259912">
        <w:tc>
          <w:tcPr>
            <w:tcW w:w="1124" w:type="dxa"/>
            <w:tcMar>
              <w:left w:w="57" w:type="dxa"/>
              <w:right w:w="57" w:type="dxa"/>
            </w:tcMar>
          </w:tcPr>
          <w:p w14:paraId="2652AFD0" w14:textId="1EEA7867" w:rsidR="00C61142" w:rsidRPr="005128B6" w:rsidRDefault="00C61142" w:rsidP="004623DD">
            <w:pPr>
              <w:rPr>
                <w:sz w:val="22"/>
                <w:szCs w:val="22"/>
              </w:rPr>
            </w:pPr>
            <w:r w:rsidRPr="005128B6">
              <w:rPr>
                <w:sz w:val="22"/>
                <w:szCs w:val="22"/>
              </w:rPr>
              <w:t>TR-7</w:t>
            </w:r>
          </w:p>
        </w:tc>
        <w:tc>
          <w:tcPr>
            <w:tcW w:w="1169" w:type="dxa"/>
            <w:tcMar>
              <w:left w:w="57" w:type="dxa"/>
              <w:right w:w="57" w:type="dxa"/>
            </w:tcMar>
          </w:tcPr>
          <w:p w14:paraId="4D2F8179" w14:textId="2724AAC9" w:rsidR="00C61142" w:rsidRPr="005128B6" w:rsidRDefault="00C61142" w:rsidP="004623DD">
            <w:pPr>
              <w:rPr>
                <w:sz w:val="22"/>
                <w:szCs w:val="22"/>
              </w:rPr>
            </w:pPr>
            <w:r w:rsidRPr="005128B6">
              <w:rPr>
                <w:sz w:val="22"/>
                <w:szCs w:val="22"/>
              </w:rPr>
              <w:t>MTR-</w:t>
            </w:r>
            <w:r w:rsidR="00846AFD" w:rsidRPr="005128B6">
              <w:rPr>
                <w:sz w:val="22"/>
                <w:szCs w:val="22"/>
              </w:rPr>
              <w:t>13</w:t>
            </w:r>
          </w:p>
        </w:tc>
        <w:tc>
          <w:tcPr>
            <w:tcW w:w="5919" w:type="dxa"/>
            <w:tcMar>
              <w:left w:w="57" w:type="dxa"/>
              <w:right w:w="57" w:type="dxa"/>
            </w:tcMar>
          </w:tcPr>
          <w:p w14:paraId="3286E0AA" w14:textId="11A67C2E" w:rsidR="00C61142" w:rsidRPr="005128B6" w:rsidRDefault="00C61142" w:rsidP="63259912">
            <w:pPr>
              <w:rPr>
                <w:sz w:val="22"/>
                <w:szCs w:val="22"/>
              </w:rPr>
            </w:pPr>
            <w:r w:rsidRPr="63259912">
              <w:rPr>
                <w:sz w:val="22"/>
                <w:szCs w:val="22"/>
              </w:rPr>
              <w:t>Razvoj tržišta niskougljičnih goriva</w:t>
            </w:r>
          </w:p>
        </w:tc>
        <w:tc>
          <w:tcPr>
            <w:tcW w:w="1134" w:type="dxa"/>
            <w:tcMar>
              <w:left w:w="57" w:type="dxa"/>
              <w:right w:w="57" w:type="dxa"/>
            </w:tcMar>
          </w:tcPr>
          <w:p w14:paraId="7B65AE33" w14:textId="432AFCF2" w:rsidR="00C61142" w:rsidRPr="00016C6B" w:rsidRDefault="00C61142" w:rsidP="004623DD">
            <w:pPr>
              <w:rPr>
                <w:sz w:val="22"/>
                <w:szCs w:val="22"/>
              </w:rPr>
            </w:pPr>
            <w:r w:rsidRPr="00016C6B">
              <w:rPr>
                <w:sz w:val="22"/>
                <w:szCs w:val="22"/>
              </w:rPr>
              <w:t>2,3,5</w:t>
            </w:r>
          </w:p>
        </w:tc>
      </w:tr>
      <w:tr w:rsidR="00C61142" w:rsidRPr="005128B6" w14:paraId="78A7AA78" w14:textId="495EE2DD" w:rsidTr="63259912">
        <w:tc>
          <w:tcPr>
            <w:tcW w:w="9346" w:type="dxa"/>
            <w:gridSpan w:val="4"/>
            <w:tcMar>
              <w:left w:w="57" w:type="dxa"/>
              <w:right w:w="57" w:type="dxa"/>
            </w:tcMar>
          </w:tcPr>
          <w:p w14:paraId="46A9A6DF" w14:textId="34D0D351" w:rsidR="00C61142" w:rsidRPr="00016C6B" w:rsidRDefault="00C61142" w:rsidP="004623DD">
            <w:pPr>
              <w:rPr>
                <w:b/>
                <w:bCs/>
                <w:sz w:val="22"/>
                <w:szCs w:val="22"/>
              </w:rPr>
            </w:pPr>
            <w:r w:rsidRPr="00016C6B">
              <w:rPr>
                <w:b/>
                <w:bCs/>
                <w:sz w:val="22"/>
                <w:szCs w:val="22"/>
              </w:rPr>
              <w:t>Energetska učinkovitost</w:t>
            </w:r>
          </w:p>
        </w:tc>
      </w:tr>
      <w:tr w:rsidR="00C61142" w:rsidRPr="005128B6" w14:paraId="220F2EC3" w14:textId="24BE35E1" w:rsidTr="63259912">
        <w:tc>
          <w:tcPr>
            <w:tcW w:w="1124" w:type="dxa"/>
            <w:tcMar>
              <w:left w:w="57" w:type="dxa"/>
              <w:right w:w="57" w:type="dxa"/>
            </w:tcMar>
          </w:tcPr>
          <w:p w14:paraId="62C8D587" w14:textId="42B5F150" w:rsidR="00C61142" w:rsidRPr="005128B6" w:rsidRDefault="00C61142" w:rsidP="004623DD">
            <w:pPr>
              <w:rPr>
                <w:sz w:val="22"/>
                <w:szCs w:val="22"/>
              </w:rPr>
            </w:pPr>
            <w:r w:rsidRPr="005128B6">
              <w:rPr>
                <w:sz w:val="22"/>
                <w:szCs w:val="22"/>
              </w:rPr>
              <w:t>ENU-1</w:t>
            </w:r>
          </w:p>
        </w:tc>
        <w:tc>
          <w:tcPr>
            <w:tcW w:w="1169" w:type="dxa"/>
            <w:tcMar>
              <w:left w:w="57" w:type="dxa"/>
              <w:right w:w="57" w:type="dxa"/>
            </w:tcMar>
          </w:tcPr>
          <w:p w14:paraId="480ACA5F" w14:textId="77CFA573" w:rsidR="00C61142" w:rsidRPr="005128B6" w:rsidRDefault="00C61142" w:rsidP="004623DD">
            <w:pPr>
              <w:rPr>
                <w:sz w:val="22"/>
                <w:szCs w:val="22"/>
              </w:rPr>
            </w:pPr>
            <w:r w:rsidRPr="005128B6">
              <w:rPr>
                <w:sz w:val="22"/>
                <w:szCs w:val="22"/>
              </w:rPr>
              <w:t>MCC-14</w:t>
            </w:r>
          </w:p>
        </w:tc>
        <w:tc>
          <w:tcPr>
            <w:tcW w:w="5919" w:type="dxa"/>
            <w:tcMar>
              <w:left w:w="57" w:type="dxa"/>
              <w:right w:w="57" w:type="dxa"/>
            </w:tcMar>
          </w:tcPr>
          <w:p w14:paraId="4DB48996" w14:textId="3EB5304D" w:rsidR="00C61142" w:rsidRPr="005128B6" w:rsidRDefault="00C61142" w:rsidP="004623DD">
            <w:pPr>
              <w:rPr>
                <w:sz w:val="22"/>
                <w:szCs w:val="22"/>
              </w:rPr>
            </w:pPr>
            <w:r w:rsidRPr="005128B6">
              <w:rPr>
                <w:sz w:val="22"/>
                <w:szCs w:val="22"/>
              </w:rPr>
              <w:t>Sustav obveze energetske učinkovitosti za opskrbljivače</w:t>
            </w:r>
          </w:p>
        </w:tc>
        <w:tc>
          <w:tcPr>
            <w:tcW w:w="1134" w:type="dxa"/>
            <w:tcMar>
              <w:left w:w="57" w:type="dxa"/>
              <w:right w:w="57" w:type="dxa"/>
            </w:tcMar>
          </w:tcPr>
          <w:p w14:paraId="465C23B4" w14:textId="6B567F98" w:rsidR="00C61142" w:rsidRPr="00016C6B" w:rsidRDefault="000565C0" w:rsidP="004623DD">
            <w:pPr>
              <w:rPr>
                <w:sz w:val="22"/>
                <w:szCs w:val="22"/>
              </w:rPr>
            </w:pPr>
            <w:r>
              <w:rPr>
                <w:sz w:val="22"/>
                <w:szCs w:val="22"/>
              </w:rPr>
              <w:t>4</w:t>
            </w:r>
          </w:p>
        </w:tc>
      </w:tr>
      <w:tr w:rsidR="00C61142" w:rsidRPr="005128B6" w14:paraId="2AFB53AE" w14:textId="2453972A" w:rsidTr="63259912">
        <w:tc>
          <w:tcPr>
            <w:tcW w:w="1124" w:type="dxa"/>
            <w:tcMar>
              <w:left w:w="57" w:type="dxa"/>
              <w:right w:w="57" w:type="dxa"/>
            </w:tcMar>
          </w:tcPr>
          <w:p w14:paraId="5893BC40" w14:textId="15AA884D" w:rsidR="00C61142" w:rsidRPr="005128B6" w:rsidRDefault="00C61142" w:rsidP="004623DD">
            <w:pPr>
              <w:rPr>
                <w:sz w:val="22"/>
                <w:szCs w:val="22"/>
              </w:rPr>
            </w:pPr>
            <w:r w:rsidRPr="005128B6">
              <w:rPr>
                <w:sz w:val="22"/>
                <w:szCs w:val="22"/>
              </w:rPr>
              <w:t>ENU-2</w:t>
            </w:r>
          </w:p>
        </w:tc>
        <w:tc>
          <w:tcPr>
            <w:tcW w:w="1169" w:type="dxa"/>
            <w:tcMar>
              <w:left w:w="57" w:type="dxa"/>
              <w:right w:w="57" w:type="dxa"/>
            </w:tcMar>
          </w:tcPr>
          <w:p w14:paraId="6B39EB04" w14:textId="29E663B4" w:rsidR="00C61142" w:rsidRPr="005128B6" w:rsidRDefault="007419BD" w:rsidP="004623DD">
            <w:pPr>
              <w:rPr>
                <w:sz w:val="22"/>
                <w:szCs w:val="22"/>
              </w:rPr>
            </w:pPr>
            <w:r w:rsidRPr="005128B6">
              <w:rPr>
                <w:sz w:val="22"/>
                <w:szCs w:val="22"/>
              </w:rPr>
              <w:t>MEN-1</w:t>
            </w:r>
          </w:p>
        </w:tc>
        <w:tc>
          <w:tcPr>
            <w:tcW w:w="5919" w:type="dxa"/>
            <w:tcMar>
              <w:left w:w="57" w:type="dxa"/>
              <w:right w:w="57" w:type="dxa"/>
            </w:tcMar>
          </w:tcPr>
          <w:p w14:paraId="36A9CBC7" w14:textId="594BD26C" w:rsidR="00C61142" w:rsidRPr="005128B6" w:rsidRDefault="00C61142" w:rsidP="63259912">
            <w:pPr>
              <w:rPr>
                <w:sz w:val="22"/>
                <w:szCs w:val="22"/>
              </w:rPr>
            </w:pPr>
            <w:r w:rsidRPr="63259912">
              <w:rPr>
                <w:sz w:val="22"/>
                <w:szCs w:val="22"/>
              </w:rPr>
              <w:t xml:space="preserve">Promoviranje dekarbonizacije i primjene </w:t>
            </w:r>
            <w:r w:rsidR="184D39EE" w:rsidRPr="63259912">
              <w:rPr>
                <w:sz w:val="22"/>
                <w:szCs w:val="22"/>
              </w:rPr>
              <w:t>načela prvenstva energetske učinkovitosti</w:t>
            </w:r>
            <w:r w:rsidR="3B2A5963" w:rsidRPr="63259912">
              <w:rPr>
                <w:sz w:val="22"/>
                <w:szCs w:val="22"/>
              </w:rPr>
              <w:t xml:space="preserve"> </w:t>
            </w:r>
            <w:r w:rsidR="735D0690" w:rsidRPr="63259912">
              <w:rPr>
                <w:sz w:val="22"/>
                <w:szCs w:val="22"/>
              </w:rPr>
              <w:t>(</w:t>
            </w:r>
            <w:r w:rsidRPr="63259912">
              <w:rPr>
                <w:i/>
                <w:iCs/>
                <w:sz w:val="22"/>
                <w:szCs w:val="22"/>
              </w:rPr>
              <w:t>energy efficiency first</w:t>
            </w:r>
            <w:r w:rsidR="5E5DB3DB" w:rsidRPr="63259912">
              <w:rPr>
                <w:i/>
                <w:iCs/>
                <w:sz w:val="22"/>
                <w:szCs w:val="22"/>
              </w:rPr>
              <w:t>)</w:t>
            </w:r>
            <w:r w:rsidRPr="63259912">
              <w:rPr>
                <w:sz w:val="22"/>
                <w:szCs w:val="22"/>
              </w:rPr>
              <w:t xml:space="preserve"> u zgradarstvu</w:t>
            </w:r>
          </w:p>
        </w:tc>
        <w:tc>
          <w:tcPr>
            <w:tcW w:w="1134" w:type="dxa"/>
            <w:tcMar>
              <w:left w:w="57" w:type="dxa"/>
              <w:right w:w="57" w:type="dxa"/>
            </w:tcMar>
          </w:tcPr>
          <w:p w14:paraId="5716F8F2" w14:textId="198523CF" w:rsidR="00C61142" w:rsidRPr="00016C6B" w:rsidRDefault="00C61142" w:rsidP="004623DD">
            <w:pPr>
              <w:rPr>
                <w:sz w:val="22"/>
                <w:szCs w:val="22"/>
              </w:rPr>
            </w:pPr>
            <w:r w:rsidRPr="00016C6B">
              <w:rPr>
                <w:sz w:val="22"/>
                <w:szCs w:val="22"/>
              </w:rPr>
              <w:t>1,</w:t>
            </w:r>
            <w:r w:rsidR="00C210C3">
              <w:rPr>
                <w:sz w:val="22"/>
                <w:szCs w:val="22"/>
              </w:rPr>
              <w:t>4</w:t>
            </w:r>
          </w:p>
        </w:tc>
      </w:tr>
      <w:tr w:rsidR="00C61142" w:rsidRPr="005128B6" w14:paraId="38E22DB6" w14:textId="39A1E475" w:rsidTr="63259912">
        <w:tc>
          <w:tcPr>
            <w:tcW w:w="1124" w:type="dxa"/>
            <w:tcMar>
              <w:left w:w="57" w:type="dxa"/>
              <w:right w:w="57" w:type="dxa"/>
            </w:tcMar>
          </w:tcPr>
          <w:p w14:paraId="7580D3CC" w14:textId="4AAC9FA4" w:rsidR="00C61142" w:rsidRPr="005128B6" w:rsidRDefault="00C61142" w:rsidP="004623DD">
            <w:pPr>
              <w:rPr>
                <w:sz w:val="22"/>
                <w:szCs w:val="22"/>
              </w:rPr>
            </w:pPr>
            <w:r w:rsidRPr="005128B6">
              <w:rPr>
                <w:sz w:val="22"/>
                <w:szCs w:val="22"/>
              </w:rPr>
              <w:t>ENU-3</w:t>
            </w:r>
          </w:p>
        </w:tc>
        <w:tc>
          <w:tcPr>
            <w:tcW w:w="1169" w:type="dxa"/>
            <w:tcMar>
              <w:left w:w="57" w:type="dxa"/>
              <w:right w:w="57" w:type="dxa"/>
            </w:tcMar>
          </w:tcPr>
          <w:p w14:paraId="35285FB6" w14:textId="161BC607" w:rsidR="00C61142" w:rsidRPr="005128B6" w:rsidRDefault="00C61142" w:rsidP="004623DD">
            <w:pPr>
              <w:rPr>
                <w:sz w:val="22"/>
                <w:szCs w:val="22"/>
              </w:rPr>
            </w:pPr>
            <w:r w:rsidRPr="005128B6">
              <w:rPr>
                <w:sz w:val="22"/>
                <w:szCs w:val="22"/>
              </w:rPr>
              <w:t>MEN-2</w:t>
            </w:r>
          </w:p>
        </w:tc>
        <w:tc>
          <w:tcPr>
            <w:tcW w:w="5919" w:type="dxa"/>
            <w:tcMar>
              <w:left w:w="57" w:type="dxa"/>
              <w:right w:w="57" w:type="dxa"/>
            </w:tcMar>
          </w:tcPr>
          <w:p w14:paraId="6A4A2108" w14:textId="6079A128" w:rsidR="00C61142" w:rsidRPr="005128B6" w:rsidRDefault="00C61142" w:rsidP="004623DD">
            <w:pPr>
              <w:rPr>
                <w:sz w:val="22"/>
                <w:szCs w:val="22"/>
              </w:rPr>
            </w:pPr>
            <w:r w:rsidRPr="005128B6">
              <w:rPr>
                <w:sz w:val="22"/>
                <w:szCs w:val="22"/>
              </w:rPr>
              <w:t>Program energetske obnove višestambenih zgrada</w:t>
            </w:r>
          </w:p>
        </w:tc>
        <w:tc>
          <w:tcPr>
            <w:tcW w:w="1134" w:type="dxa"/>
            <w:tcMar>
              <w:left w:w="57" w:type="dxa"/>
              <w:right w:w="57" w:type="dxa"/>
            </w:tcMar>
          </w:tcPr>
          <w:p w14:paraId="7D5D6D8C" w14:textId="46227EFB" w:rsidR="00C61142" w:rsidRPr="00016C6B" w:rsidRDefault="00C61142" w:rsidP="004623DD">
            <w:pPr>
              <w:rPr>
                <w:sz w:val="22"/>
                <w:szCs w:val="22"/>
              </w:rPr>
            </w:pPr>
            <w:r w:rsidRPr="00016C6B">
              <w:rPr>
                <w:sz w:val="22"/>
                <w:szCs w:val="22"/>
              </w:rPr>
              <w:t>1</w:t>
            </w:r>
          </w:p>
        </w:tc>
      </w:tr>
      <w:tr w:rsidR="00C61142" w:rsidRPr="005128B6" w14:paraId="6456B1EB" w14:textId="29E18674" w:rsidTr="63259912">
        <w:tc>
          <w:tcPr>
            <w:tcW w:w="1124" w:type="dxa"/>
            <w:tcMar>
              <w:left w:w="57" w:type="dxa"/>
              <w:right w:w="57" w:type="dxa"/>
            </w:tcMar>
          </w:tcPr>
          <w:p w14:paraId="35B805A9" w14:textId="70D4EF5F" w:rsidR="00C61142" w:rsidRPr="005128B6" w:rsidRDefault="00C61142" w:rsidP="004623DD">
            <w:pPr>
              <w:rPr>
                <w:sz w:val="22"/>
                <w:szCs w:val="22"/>
              </w:rPr>
            </w:pPr>
            <w:r w:rsidRPr="005128B6">
              <w:rPr>
                <w:sz w:val="22"/>
                <w:szCs w:val="22"/>
              </w:rPr>
              <w:t>ENU-4</w:t>
            </w:r>
          </w:p>
        </w:tc>
        <w:tc>
          <w:tcPr>
            <w:tcW w:w="1169" w:type="dxa"/>
            <w:tcMar>
              <w:left w:w="57" w:type="dxa"/>
              <w:right w:w="57" w:type="dxa"/>
            </w:tcMar>
          </w:tcPr>
          <w:p w14:paraId="16AF532E" w14:textId="51EB0C34" w:rsidR="00C61142" w:rsidRPr="005128B6" w:rsidRDefault="00C61142" w:rsidP="004623DD">
            <w:pPr>
              <w:rPr>
                <w:sz w:val="22"/>
                <w:szCs w:val="22"/>
              </w:rPr>
            </w:pPr>
            <w:r w:rsidRPr="005128B6">
              <w:rPr>
                <w:sz w:val="22"/>
                <w:szCs w:val="22"/>
              </w:rPr>
              <w:t>MEN-3</w:t>
            </w:r>
          </w:p>
        </w:tc>
        <w:tc>
          <w:tcPr>
            <w:tcW w:w="5919" w:type="dxa"/>
            <w:tcMar>
              <w:left w:w="57" w:type="dxa"/>
              <w:right w:w="57" w:type="dxa"/>
            </w:tcMar>
          </w:tcPr>
          <w:p w14:paraId="6FBDEDBF" w14:textId="7B195A6F" w:rsidR="00C61142" w:rsidRPr="005128B6" w:rsidRDefault="00C61142" w:rsidP="004623DD">
            <w:pPr>
              <w:rPr>
                <w:sz w:val="22"/>
                <w:szCs w:val="22"/>
              </w:rPr>
            </w:pPr>
            <w:r w:rsidRPr="005128B6">
              <w:rPr>
                <w:sz w:val="22"/>
                <w:szCs w:val="22"/>
              </w:rPr>
              <w:t>Program energetske obnove obiteljskih kuća</w:t>
            </w:r>
          </w:p>
        </w:tc>
        <w:tc>
          <w:tcPr>
            <w:tcW w:w="1134" w:type="dxa"/>
            <w:tcMar>
              <w:left w:w="57" w:type="dxa"/>
              <w:right w:w="57" w:type="dxa"/>
            </w:tcMar>
          </w:tcPr>
          <w:p w14:paraId="65E5C755" w14:textId="72A093FD" w:rsidR="00C61142" w:rsidRPr="00016C6B" w:rsidRDefault="00C61142" w:rsidP="004623DD">
            <w:pPr>
              <w:rPr>
                <w:sz w:val="22"/>
                <w:szCs w:val="22"/>
              </w:rPr>
            </w:pPr>
            <w:r w:rsidRPr="00016C6B">
              <w:rPr>
                <w:sz w:val="22"/>
                <w:szCs w:val="22"/>
              </w:rPr>
              <w:t>1</w:t>
            </w:r>
          </w:p>
        </w:tc>
      </w:tr>
      <w:tr w:rsidR="00C61142" w:rsidRPr="005128B6" w14:paraId="7D19DC96" w14:textId="497F9478" w:rsidTr="63259912">
        <w:tc>
          <w:tcPr>
            <w:tcW w:w="1124" w:type="dxa"/>
            <w:tcMar>
              <w:left w:w="57" w:type="dxa"/>
              <w:right w:w="57" w:type="dxa"/>
            </w:tcMar>
          </w:tcPr>
          <w:p w14:paraId="7B8EC06E" w14:textId="1BDBB3B9" w:rsidR="00C61142" w:rsidRPr="005128B6" w:rsidRDefault="00C61142" w:rsidP="004623DD">
            <w:pPr>
              <w:rPr>
                <w:sz w:val="22"/>
                <w:szCs w:val="22"/>
              </w:rPr>
            </w:pPr>
            <w:r w:rsidRPr="005128B6">
              <w:rPr>
                <w:sz w:val="22"/>
                <w:szCs w:val="22"/>
              </w:rPr>
              <w:t>ENU-5</w:t>
            </w:r>
          </w:p>
        </w:tc>
        <w:tc>
          <w:tcPr>
            <w:tcW w:w="1169" w:type="dxa"/>
            <w:tcMar>
              <w:left w:w="57" w:type="dxa"/>
              <w:right w:w="57" w:type="dxa"/>
            </w:tcMar>
          </w:tcPr>
          <w:p w14:paraId="38D7CD79" w14:textId="414004C7" w:rsidR="00C61142" w:rsidRPr="005128B6" w:rsidRDefault="00C61142" w:rsidP="004623DD">
            <w:pPr>
              <w:rPr>
                <w:sz w:val="22"/>
                <w:szCs w:val="22"/>
              </w:rPr>
            </w:pPr>
            <w:r w:rsidRPr="005128B6">
              <w:rPr>
                <w:sz w:val="22"/>
                <w:szCs w:val="22"/>
              </w:rPr>
              <w:t>MEN-4</w:t>
            </w:r>
          </w:p>
        </w:tc>
        <w:tc>
          <w:tcPr>
            <w:tcW w:w="5919" w:type="dxa"/>
            <w:tcMar>
              <w:left w:w="57" w:type="dxa"/>
              <w:right w:w="57" w:type="dxa"/>
            </w:tcMar>
          </w:tcPr>
          <w:p w14:paraId="2E79435C" w14:textId="73D1207A" w:rsidR="00C61142" w:rsidRPr="005128B6" w:rsidRDefault="00C61142" w:rsidP="004623DD">
            <w:pPr>
              <w:rPr>
                <w:sz w:val="22"/>
                <w:szCs w:val="22"/>
              </w:rPr>
            </w:pPr>
            <w:r w:rsidRPr="005128B6">
              <w:rPr>
                <w:sz w:val="22"/>
                <w:szCs w:val="22"/>
              </w:rPr>
              <w:t>Program energetske obnove zgrada javnog sektora</w:t>
            </w:r>
          </w:p>
        </w:tc>
        <w:tc>
          <w:tcPr>
            <w:tcW w:w="1134" w:type="dxa"/>
            <w:tcMar>
              <w:left w:w="57" w:type="dxa"/>
              <w:right w:w="57" w:type="dxa"/>
            </w:tcMar>
          </w:tcPr>
          <w:p w14:paraId="5B992DF2" w14:textId="155A438E" w:rsidR="00C61142" w:rsidRPr="00016C6B" w:rsidRDefault="00C61142" w:rsidP="004623DD">
            <w:pPr>
              <w:rPr>
                <w:sz w:val="22"/>
                <w:szCs w:val="22"/>
              </w:rPr>
            </w:pPr>
            <w:r w:rsidRPr="00016C6B">
              <w:rPr>
                <w:sz w:val="22"/>
                <w:szCs w:val="22"/>
              </w:rPr>
              <w:t>1</w:t>
            </w:r>
          </w:p>
        </w:tc>
      </w:tr>
      <w:tr w:rsidR="00C61142" w:rsidRPr="005128B6" w14:paraId="37455692" w14:textId="77777777" w:rsidTr="63259912">
        <w:tc>
          <w:tcPr>
            <w:tcW w:w="1124" w:type="dxa"/>
            <w:tcMar>
              <w:left w:w="57" w:type="dxa"/>
              <w:right w:w="57" w:type="dxa"/>
            </w:tcMar>
          </w:tcPr>
          <w:p w14:paraId="05495C1D" w14:textId="6E323F1E" w:rsidR="00C61142" w:rsidRPr="005128B6" w:rsidRDefault="00C61142" w:rsidP="004623DD">
            <w:pPr>
              <w:rPr>
                <w:sz w:val="22"/>
                <w:szCs w:val="22"/>
              </w:rPr>
            </w:pPr>
            <w:r w:rsidRPr="005128B6">
              <w:rPr>
                <w:sz w:val="22"/>
                <w:szCs w:val="22"/>
              </w:rPr>
              <w:t>ENU-6</w:t>
            </w:r>
          </w:p>
        </w:tc>
        <w:tc>
          <w:tcPr>
            <w:tcW w:w="1169" w:type="dxa"/>
            <w:tcMar>
              <w:left w:w="57" w:type="dxa"/>
              <w:right w:w="57" w:type="dxa"/>
            </w:tcMar>
          </w:tcPr>
          <w:p w14:paraId="6A5F7037" w14:textId="70A7F88C" w:rsidR="00C61142" w:rsidRPr="005128B6" w:rsidRDefault="00C61142" w:rsidP="004623DD">
            <w:pPr>
              <w:rPr>
                <w:sz w:val="22"/>
                <w:szCs w:val="22"/>
              </w:rPr>
            </w:pPr>
            <w:r w:rsidRPr="005128B6">
              <w:rPr>
                <w:sz w:val="22"/>
                <w:szCs w:val="22"/>
              </w:rPr>
              <w:t>MEN-5</w:t>
            </w:r>
          </w:p>
        </w:tc>
        <w:tc>
          <w:tcPr>
            <w:tcW w:w="5919" w:type="dxa"/>
            <w:tcMar>
              <w:left w:w="57" w:type="dxa"/>
              <w:right w:w="57" w:type="dxa"/>
            </w:tcMar>
          </w:tcPr>
          <w:p w14:paraId="6A60EA36" w14:textId="190ECCF5" w:rsidR="00C61142" w:rsidRPr="005128B6" w:rsidRDefault="00C61142" w:rsidP="004623DD">
            <w:pPr>
              <w:rPr>
                <w:sz w:val="22"/>
                <w:szCs w:val="22"/>
              </w:rPr>
            </w:pPr>
            <w:r w:rsidRPr="005128B6">
              <w:rPr>
                <w:sz w:val="22"/>
                <w:szCs w:val="22"/>
              </w:rPr>
              <w:t>Program energetske obnove zgrada koje imaju status kulturnog dobra</w:t>
            </w:r>
          </w:p>
        </w:tc>
        <w:tc>
          <w:tcPr>
            <w:tcW w:w="1134" w:type="dxa"/>
            <w:tcMar>
              <w:left w:w="57" w:type="dxa"/>
              <w:right w:w="57" w:type="dxa"/>
            </w:tcMar>
          </w:tcPr>
          <w:p w14:paraId="2305F99A" w14:textId="67D99863" w:rsidR="00C61142" w:rsidRPr="00016C6B" w:rsidRDefault="00C61142" w:rsidP="004623DD">
            <w:pPr>
              <w:rPr>
                <w:sz w:val="22"/>
                <w:szCs w:val="22"/>
              </w:rPr>
            </w:pPr>
            <w:r w:rsidRPr="00016C6B">
              <w:rPr>
                <w:sz w:val="22"/>
                <w:szCs w:val="22"/>
              </w:rPr>
              <w:t>1</w:t>
            </w:r>
          </w:p>
        </w:tc>
      </w:tr>
      <w:tr w:rsidR="00C61142" w:rsidRPr="005128B6" w14:paraId="6724FA7C" w14:textId="2D2E1675" w:rsidTr="63259912">
        <w:tc>
          <w:tcPr>
            <w:tcW w:w="1124" w:type="dxa"/>
            <w:tcMar>
              <w:left w:w="57" w:type="dxa"/>
              <w:right w:w="57" w:type="dxa"/>
            </w:tcMar>
          </w:tcPr>
          <w:p w14:paraId="6266265A" w14:textId="02A0C58E" w:rsidR="00C61142" w:rsidRPr="005128B6" w:rsidRDefault="00C61142" w:rsidP="004623DD">
            <w:pPr>
              <w:rPr>
                <w:sz w:val="22"/>
                <w:szCs w:val="22"/>
              </w:rPr>
            </w:pPr>
            <w:r w:rsidRPr="005128B6">
              <w:rPr>
                <w:sz w:val="22"/>
                <w:szCs w:val="22"/>
              </w:rPr>
              <w:t>ENU-7</w:t>
            </w:r>
          </w:p>
        </w:tc>
        <w:tc>
          <w:tcPr>
            <w:tcW w:w="1169" w:type="dxa"/>
            <w:tcMar>
              <w:left w:w="57" w:type="dxa"/>
              <w:right w:w="57" w:type="dxa"/>
            </w:tcMar>
          </w:tcPr>
          <w:p w14:paraId="78AFFA5E" w14:textId="7F38C36A" w:rsidR="00C61142" w:rsidRPr="005128B6" w:rsidRDefault="00C61142" w:rsidP="004623DD">
            <w:pPr>
              <w:rPr>
                <w:sz w:val="22"/>
                <w:szCs w:val="22"/>
              </w:rPr>
            </w:pPr>
            <w:r w:rsidRPr="005128B6">
              <w:rPr>
                <w:sz w:val="22"/>
                <w:szCs w:val="22"/>
              </w:rPr>
              <w:t>MEN-7</w:t>
            </w:r>
          </w:p>
        </w:tc>
        <w:tc>
          <w:tcPr>
            <w:tcW w:w="5919" w:type="dxa"/>
            <w:tcMar>
              <w:left w:w="57" w:type="dxa"/>
              <w:right w:w="57" w:type="dxa"/>
            </w:tcMar>
          </w:tcPr>
          <w:p w14:paraId="03DA420F" w14:textId="446F30CD" w:rsidR="00C61142" w:rsidRPr="005128B6" w:rsidRDefault="00C61142" w:rsidP="004623DD">
            <w:pPr>
              <w:rPr>
                <w:sz w:val="22"/>
                <w:szCs w:val="22"/>
              </w:rPr>
            </w:pPr>
            <w:r w:rsidRPr="005128B6">
              <w:rPr>
                <w:sz w:val="22"/>
                <w:szCs w:val="22"/>
              </w:rPr>
              <w:t>Sustavno gospodarenje energijom u javnom sektoru</w:t>
            </w:r>
          </w:p>
        </w:tc>
        <w:tc>
          <w:tcPr>
            <w:tcW w:w="1134" w:type="dxa"/>
            <w:tcMar>
              <w:left w:w="57" w:type="dxa"/>
              <w:right w:w="57" w:type="dxa"/>
            </w:tcMar>
          </w:tcPr>
          <w:p w14:paraId="2DBD42BC" w14:textId="15B81241" w:rsidR="00C61142" w:rsidRPr="00016C6B" w:rsidRDefault="004C4118" w:rsidP="004623DD">
            <w:pPr>
              <w:rPr>
                <w:sz w:val="22"/>
                <w:szCs w:val="22"/>
              </w:rPr>
            </w:pPr>
            <w:r>
              <w:rPr>
                <w:sz w:val="22"/>
                <w:szCs w:val="22"/>
              </w:rPr>
              <w:t>4</w:t>
            </w:r>
          </w:p>
        </w:tc>
      </w:tr>
      <w:tr w:rsidR="00C61142" w:rsidRPr="005128B6" w14:paraId="5EEF866D" w14:textId="02B7E6FB" w:rsidTr="63259912">
        <w:tc>
          <w:tcPr>
            <w:tcW w:w="1124" w:type="dxa"/>
            <w:tcMar>
              <w:left w:w="57" w:type="dxa"/>
              <w:right w:w="57" w:type="dxa"/>
            </w:tcMar>
          </w:tcPr>
          <w:p w14:paraId="6B4AB8ED" w14:textId="11F3BEC0" w:rsidR="00C61142" w:rsidRPr="005128B6" w:rsidRDefault="00C61142" w:rsidP="004623DD">
            <w:pPr>
              <w:rPr>
                <w:sz w:val="22"/>
                <w:szCs w:val="22"/>
              </w:rPr>
            </w:pPr>
            <w:r w:rsidRPr="005128B6">
              <w:rPr>
                <w:sz w:val="22"/>
                <w:szCs w:val="22"/>
              </w:rPr>
              <w:t>ENU-8</w:t>
            </w:r>
          </w:p>
        </w:tc>
        <w:tc>
          <w:tcPr>
            <w:tcW w:w="1169" w:type="dxa"/>
            <w:tcMar>
              <w:left w:w="57" w:type="dxa"/>
              <w:right w:w="57" w:type="dxa"/>
            </w:tcMar>
          </w:tcPr>
          <w:p w14:paraId="2C5B34E6" w14:textId="089D3724" w:rsidR="00C61142" w:rsidRPr="005128B6" w:rsidRDefault="00C61142" w:rsidP="004623DD">
            <w:pPr>
              <w:rPr>
                <w:sz w:val="22"/>
                <w:szCs w:val="22"/>
              </w:rPr>
            </w:pPr>
            <w:r w:rsidRPr="005128B6">
              <w:rPr>
                <w:sz w:val="22"/>
                <w:szCs w:val="22"/>
              </w:rPr>
              <w:t>MEN-6</w:t>
            </w:r>
          </w:p>
        </w:tc>
        <w:tc>
          <w:tcPr>
            <w:tcW w:w="5919" w:type="dxa"/>
            <w:tcMar>
              <w:left w:w="57" w:type="dxa"/>
              <w:right w:w="57" w:type="dxa"/>
            </w:tcMar>
          </w:tcPr>
          <w:p w14:paraId="2CA55D0D" w14:textId="7DC291AA" w:rsidR="00C61142" w:rsidRPr="005128B6" w:rsidRDefault="00C61142" w:rsidP="004623DD">
            <w:pPr>
              <w:rPr>
                <w:sz w:val="22"/>
                <w:szCs w:val="22"/>
              </w:rPr>
            </w:pPr>
            <w:r w:rsidRPr="005128B6">
              <w:rPr>
                <w:sz w:val="22"/>
                <w:szCs w:val="22"/>
              </w:rPr>
              <w:t>Program energetske obnove javne rasvjete</w:t>
            </w:r>
          </w:p>
        </w:tc>
        <w:tc>
          <w:tcPr>
            <w:tcW w:w="1134" w:type="dxa"/>
            <w:tcMar>
              <w:left w:w="57" w:type="dxa"/>
              <w:right w:w="57" w:type="dxa"/>
            </w:tcMar>
          </w:tcPr>
          <w:p w14:paraId="3527B23D" w14:textId="6580872C" w:rsidR="00C61142" w:rsidRPr="00016C6B" w:rsidRDefault="00C61142" w:rsidP="004623DD">
            <w:pPr>
              <w:rPr>
                <w:sz w:val="22"/>
                <w:szCs w:val="22"/>
              </w:rPr>
            </w:pPr>
            <w:r w:rsidRPr="00016C6B">
              <w:rPr>
                <w:sz w:val="22"/>
                <w:szCs w:val="22"/>
              </w:rPr>
              <w:t>1</w:t>
            </w:r>
          </w:p>
        </w:tc>
      </w:tr>
      <w:tr w:rsidR="00C61142" w:rsidRPr="005128B6" w14:paraId="4A2E6037" w14:textId="195CAD88" w:rsidTr="63259912">
        <w:tc>
          <w:tcPr>
            <w:tcW w:w="1124" w:type="dxa"/>
            <w:tcMar>
              <w:left w:w="57" w:type="dxa"/>
              <w:right w:w="57" w:type="dxa"/>
            </w:tcMar>
          </w:tcPr>
          <w:p w14:paraId="492C5E74" w14:textId="16D2E99C" w:rsidR="00C61142" w:rsidRPr="005128B6" w:rsidRDefault="00C61142" w:rsidP="004623DD">
            <w:pPr>
              <w:rPr>
                <w:sz w:val="22"/>
                <w:szCs w:val="22"/>
              </w:rPr>
            </w:pPr>
            <w:r w:rsidRPr="005128B6">
              <w:rPr>
                <w:sz w:val="22"/>
                <w:szCs w:val="22"/>
              </w:rPr>
              <w:t>ENU-9</w:t>
            </w:r>
          </w:p>
        </w:tc>
        <w:tc>
          <w:tcPr>
            <w:tcW w:w="1169" w:type="dxa"/>
            <w:tcMar>
              <w:left w:w="57" w:type="dxa"/>
              <w:right w:w="57" w:type="dxa"/>
            </w:tcMar>
          </w:tcPr>
          <w:p w14:paraId="4154E272" w14:textId="5AD38A2A" w:rsidR="00C61142" w:rsidRPr="005128B6" w:rsidRDefault="00C61142" w:rsidP="004623DD">
            <w:pPr>
              <w:rPr>
                <w:sz w:val="22"/>
                <w:szCs w:val="22"/>
              </w:rPr>
            </w:pPr>
            <w:r w:rsidRPr="005128B6">
              <w:rPr>
                <w:sz w:val="22"/>
                <w:szCs w:val="22"/>
              </w:rPr>
              <w:t>MCC-15</w:t>
            </w:r>
          </w:p>
        </w:tc>
        <w:tc>
          <w:tcPr>
            <w:tcW w:w="5919" w:type="dxa"/>
            <w:tcMar>
              <w:left w:w="57" w:type="dxa"/>
              <w:right w:w="57" w:type="dxa"/>
            </w:tcMar>
          </w:tcPr>
          <w:p w14:paraId="463068B9" w14:textId="62DFDE02" w:rsidR="00C61142" w:rsidRPr="005128B6" w:rsidRDefault="00C61142" w:rsidP="004623DD">
            <w:pPr>
              <w:rPr>
                <w:sz w:val="22"/>
                <w:szCs w:val="22"/>
              </w:rPr>
            </w:pPr>
            <w:r w:rsidRPr="005128B6">
              <w:rPr>
                <w:sz w:val="22"/>
                <w:szCs w:val="22"/>
              </w:rPr>
              <w:t>Zelena javna nabava</w:t>
            </w:r>
          </w:p>
        </w:tc>
        <w:tc>
          <w:tcPr>
            <w:tcW w:w="1134" w:type="dxa"/>
            <w:tcMar>
              <w:left w:w="57" w:type="dxa"/>
              <w:right w:w="57" w:type="dxa"/>
            </w:tcMar>
          </w:tcPr>
          <w:p w14:paraId="7E09AF4D" w14:textId="5134B986" w:rsidR="00C61142" w:rsidRPr="00016C6B" w:rsidRDefault="00C61142" w:rsidP="004623DD">
            <w:pPr>
              <w:rPr>
                <w:sz w:val="22"/>
                <w:szCs w:val="22"/>
              </w:rPr>
            </w:pPr>
            <w:r w:rsidRPr="00016C6B">
              <w:rPr>
                <w:sz w:val="22"/>
                <w:szCs w:val="22"/>
              </w:rPr>
              <w:t>1,5</w:t>
            </w:r>
          </w:p>
        </w:tc>
      </w:tr>
      <w:tr w:rsidR="00C61142" w:rsidRPr="005128B6" w14:paraId="6367EB96" w14:textId="5927E351" w:rsidTr="63259912">
        <w:tc>
          <w:tcPr>
            <w:tcW w:w="1124" w:type="dxa"/>
            <w:tcMar>
              <w:left w:w="57" w:type="dxa"/>
              <w:right w:w="57" w:type="dxa"/>
            </w:tcMar>
          </w:tcPr>
          <w:p w14:paraId="7EAC00F9" w14:textId="6B38EC74" w:rsidR="00C61142" w:rsidRPr="005128B6" w:rsidRDefault="00C61142" w:rsidP="004623DD">
            <w:pPr>
              <w:rPr>
                <w:sz w:val="22"/>
                <w:szCs w:val="22"/>
              </w:rPr>
            </w:pPr>
            <w:r w:rsidRPr="005128B6">
              <w:rPr>
                <w:sz w:val="22"/>
                <w:szCs w:val="22"/>
              </w:rPr>
              <w:t>ENU-10</w:t>
            </w:r>
          </w:p>
        </w:tc>
        <w:tc>
          <w:tcPr>
            <w:tcW w:w="1169" w:type="dxa"/>
            <w:tcMar>
              <w:left w:w="57" w:type="dxa"/>
              <w:right w:w="57" w:type="dxa"/>
            </w:tcMar>
          </w:tcPr>
          <w:p w14:paraId="16F62FC6" w14:textId="7F05181B" w:rsidR="00C61142" w:rsidRPr="005128B6" w:rsidRDefault="00C61142" w:rsidP="004623DD">
            <w:pPr>
              <w:rPr>
                <w:sz w:val="22"/>
                <w:szCs w:val="22"/>
              </w:rPr>
            </w:pPr>
            <w:r w:rsidRPr="005128B6">
              <w:rPr>
                <w:sz w:val="22"/>
                <w:szCs w:val="22"/>
              </w:rPr>
              <w:t>MEN-8</w:t>
            </w:r>
          </w:p>
        </w:tc>
        <w:tc>
          <w:tcPr>
            <w:tcW w:w="5919" w:type="dxa"/>
            <w:tcMar>
              <w:left w:w="57" w:type="dxa"/>
              <w:right w:w="57" w:type="dxa"/>
            </w:tcMar>
          </w:tcPr>
          <w:p w14:paraId="27AE43B3" w14:textId="0734FDB8" w:rsidR="00C61142" w:rsidRPr="005128B6" w:rsidRDefault="00C61142" w:rsidP="004623DD">
            <w:pPr>
              <w:rPr>
                <w:sz w:val="22"/>
                <w:szCs w:val="22"/>
              </w:rPr>
            </w:pPr>
            <w:r w:rsidRPr="005128B6">
              <w:rPr>
                <w:sz w:val="22"/>
                <w:szCs w:val="22"/>
              </w:rPr>
              <w:t>Sustavno gospodarenje energijom u poslovnom (uslužnom i proizvodnom) sektoru</w:t>
            </w:r>
          </w:p>
        </w:tc>
        <w:tc>
          <w:tcPr>
            <w:tcW w:w="1134" w:type="dxa"/>
            <w:tcMar>
              <w:left w:w="57" w:type="dxa"/>
              <w:right w:w="57" w:type="dxa"/>
            </w:tcMar>
          </w:tcPr>
          <w:p w14:paraId="7834BD4D" w14:textId="622F7638" w:rsidR="00C61142" w:rsidRPr="00016C6B" w:rsidRDefault="00C61142" w:rsidP="004623DD">
            <w:pPr>
              <w:rPr>
                <w:sz w:val="22"/>
                <w:szCs w:val="22"/>
              </w:rPr>
            </w:pPr>
            <w:r w:rsidRPr="00016C6B">
              <w:rPr>
                <w:sz w:val="22"/>
                <w:szCs w:val="22"/>
              </w:rPr>
              <w:t>1</w:t>
            </w:r>
            <w:r w:rsidR="001E1DD9">
              <w:rPr>
                <w:sz w:val="22"/>
                <w:szCs w:val="22"/>
              </w:rPr>
              <w:t>,4</w:t>
            </w:r>
          </w:p>
        </w:tc>
      </w:tr>
      <w:tr w:rsidR="00C61142" w:rsidRPr="005128B6" w14:paraId="0DD30F2E" w14:textId="500C79C3" w:rsidTr="63259912">
        <w:tc>
          <w:tcPr>
            <w:tcW w:w="1124" w:type="dxa"/>
            <w:tcMar>
              <w:left w:w="57" w:type="dxa"/>
              <w:right w:w="57" w:type="dxa"/>
            </w:tcMar>
          </w:tcPr>
          <w:p w14:paraId="0BE666A4" w14:textId="767FB95B" w:rsidR="00C61142" w:rsidRPr="005128B6" w:rsidRDefault="00C61142" w:rsidP="004623DD">
            <w:pPr>
              <w:rPr>
                <w:sz w:val="22"/>
                <w:szCs w:val="22"/>
              </w:rPr>
            </w:pPr>
            <w:r w:rsidRPr="005128B6">
              <w:rPr>
                <w:sz w:val="22"/>
                <w:szCs w:val="22"/>
              </w:rPr>
              <w:t>ENU-11</w:t>
            </w:r>
          </w:p>
        </w:tc>
        <w:tc>
          <w:tcPr>
            <w:tcW w:w="1169" w:type="dxa"/>
            <w:tcMar>
              <w:left w:w="57" w:type="dxa"/>
              <w:right w:w="57" w:type="dxa"/>
            </w:tcMar>
          </w:tcPr>
          <w:p w14:paraId="52E15CB0" w14:textId="7302670E" w:rsidR="00C61142" w:rsidRPr="005128B6" w:rsidRDefault="00C61142" w:rsidP="004623DD">
            <w:pPr>
              <w:rPr>
                <w:sz w:val="22"/>
                <w:szCs w:val="22"/>
              </w:rPr>
            </w:pPr>
            <w:r w:rsidRPr="005128B6">
              <w:rPr>
                <w:sz w:val="22"/>
                <w:szCs w:val="22"/>
              </w:rPr>
              <w:t>MEN-10</w:t>
            </w:r>
          </w:p>
        </w:tc>
        <w:tc>
          <w:tcPr>
            <w:tcW w:w="5919" w:type="dxa"/>
            <w:tcMar>
              <w:left w:w="57" w:type="dxa"/>
              <w:right w:w="57" w:type="dxa"/>
            </w:tcMar>
          </w:tcPr>
          <w:p w14:paraId="20FC659E" w14:textId="48BB420A" w:rsidR="00C61142" w:rsidRPr="005128B6" w:rsidRDefault="00C61142" w:rsidP="004623DD">
            <w:pPr>
              <w:rPr>
                <w:sz w:val="22"/>
                <w:szCs w:val="22"/>
              </w:rPr>
            </w:pPr>
            <w:r w:rsidRPr="005128B6">
              <w:rPr>
                <w:sz w:val="22"/>
                <w:szCs w:val="22"/>
              </w:rPr>
              <w:t>Informiranje o energetskoj učinkovitosti</w:t>
            </w:r>
          </w:p>
        </w:tc>
        <w:tc>
          <w:tcPr>
            <w:tcW w:w="1134" w:type="dxa"/>
            <w:tcMar>
              <w:left w:w="57" w:type="dxa"/>
              <w:right w:w="57" w:type="dxa"/>
            </w:tcMar>
          </w:tcPr>
          <w:p w14:paraId="558E1014" w14:textId="2726B821" w:rsidR="00C61142" w:rsidRPr="00016C6B" w:rsidRDefault="00C61142" w:rsidP="004623DD">
            <w:pPr>
              <w:rPr>
                <w:sz w:val="22"/>
                <w:szCs w:val="22"/>
              </w:rPr>
            </w:pPr>
            <w:r w:rsidRPr="00016C6B">
              <w:rPr>
                <w:sz w:val="22"/>
                <w:szCs w:val="22"/>
              </w:rPr>
              <w:t>1</w:t>
            </w:r>
            <w:r w:rsidR="00B50E76">
              <w:rPr>
                <w:sz w:val="22"/>
                <w:szCs w:val="22"/>
              </w:rPr>
              <w:t>,5</w:t>
            </w:r>
          </w:p>
        </w:tc>
      </w:tr>
      <w:tr w:rsidR="00C61142" w:rsidRPr="005128B6" w14:paraId="710902A3" w14:textId="6C868C52" w:rsidTr="63259912">
        <w:tc>
          <w:tcPr>
            <w:tcW w:w="1124" w:type="dxa"/>
            <w:tcMar>
              <w:left w:w="57" w:type="dxa"/>
              <w:right w:w="57" w:type="dxa"/>
            </w:tcMar>
          </w:tcPr>
          <w:p w14:paraId="46284DC0" w14:textId="5722A9AE" w:rsidR="00C61142" w:rsidRPr="005128B6" w:rsidRDefault="00C61142" w:rsidP="004623DD">
            <w:pPr>
              <w:rPr>
                <w:sz w:val="22"/>
                <w:szCs w:val="22"/>
              </w:rPr>
            </w:pPr>
            <w:r w:rsidRPr="005128B6">
              <w:rPr>
                <w:sz w:val="22"/>
                <w:szCs w:val="22"/>
              </w:rPr>
              <w:t>ENU-12</w:t>
            </w:r>
          </w:p>
        </w:tc>
        <w:tc>
          <w:tcPr>
            <w:tcW w:w="1169" w:type="dxa"/>
            <w:tcMar>
              <w:left w:w="57" w:type="dxa"/>
              <w:right w:w="57" w:type="dxa"/>
            </w:tcMar>
          </w:tcPr>
          <w:p w14:paraId="25C69DDF" w14:textId="3B266D71" w:rsidR="00C61142" w:rsidRPr="005128B6" w:rsidRDefault="00896F34" w:rsidP="004623DD">
            <w:pPr>
              <w:rPr>
                <w:sz w:val="22"/>
                <w:szCs w:val="22"/>
              </w:rPr>
            </w:pPr>
            <w:r w:rsidRPr="005128B6">
              <w:rPr>
                <w:sz w:val="22"/>
                <w:szCs w:val="22"/>
              </w:rPr>
              <w:t>MEN-11</w:t>
            </w:r>
          </w:p>
        </w:tc>
        <w:tc>
          <w:tcPr>
            <w:tcW w:w="5919" w:type="dxa"/>
            <w:tcMar>
              <w:left w:w="57" w:type="dxa"/>
              <w:right w:w="57" w:type="dxa"/>
            </w:tcMar>
          </w:tcPr>
          <w:p w14:paraId="133B9D2A" w14:textId="24B19235" w:rsidR="00C61142" w:rsidRPr="005128B6" w:rsidRDefault="00C61142" w:rsidP="004623DD">
            <w:pPr>
              <w:rPr>
                <w:sz w:val="22"/>
                <w:szCs w:val="22"/>
              </w:rPr>
            </w:pPr>
            <w:r w:rsidRPr="005128B6">
              <w:rPr>
                <w:sz w:val="22"/>
                <w:szCs w:val="22"/>
              </w:rPr>
              <w:t>Razvoj okvira za osiguranje adekvatnih vještina u kontekstu zelenih poslova potrebnih za obnovu zgrada</w:t>
            </w:r>
          </w:p>
        </w:tc>
        <w:tc>
          <w:tcPr>
            <w:tcW w:w="1134" w:type="dxa"/>
            <w:tcMar>
              <w:left w:w="57" w:type="dxa"/>
              <w:right w:w="57" w:type="dxa"/>
            </w:tcMar>
          </w:tcPr>
          <w:p w14:paraId="6090176E" w14:textId="58B54140" w:rsidR="00C61142" w:rsidRPr="00016C6B" w:rsidRDefault="00C61142" w:rsidP="004623DD">
            <w:pPr>
              <w:rPr>
                <w:sz w:val="22"/>
                <w:szCs w:val="22"/>
              </w:rPr>
            </w:pPr>
            <w:r w:rsidRPr="00016C6B">
              <w:rPr>
                <w:sz w:val="22"/>
                <w:szCs w:val="22"/>
              </w:rPr>
              <w:t>1</w:t>
            </w:r>
          </w:p>
        </w:tc>
      </w:tr>
      <w:tr w:rsidR="00C61142" w:rsidRPr="005128B6" w14:paraId="1D296BB6" w14:textId="15C72004" w:rsidTr="63259912">
        <w:tc>
          <w:tcPr>
            <w:tcW w:w="1124" w:type="dxa"/>
            <w:tcMar>
              <w:left w:w="57" w:type="dxa"/>
              <w:right w:w="57" w:type="dxa"/>
            </w:tcMar>
          </w:tcPr>
          <w:p w14:paraId="07FFBDD1" w14:textId="0CFB68E1" w:rsidR="00C61142" w:rsidRPr="005128B6" w:rsidRDefault="00C61142" w:rsidP="004623DD">
            <w:pPr>
              <w:rPr>
                <w:sz w:val="22"/>
                <w:szCs w:val="22"/>
              </w:rPr>
            </w:pPr>
            <w:r w:rsidRPr="005128B6">
              <w:rPr>
                <w:sz w:val="22"/>
                <w:szCs w:val="22"/>
              </w:rPr>
              <w:t>ENU-13</w:t>
            </w:r>
          </w:p>
        </w:tc>
        <w:tc>
          <w:tcPr>
            <w:tcW w:w="1169" w:type="dxa"/>
            <w:tcMar>
              <w:left w:w="57" w:type="dxa"/>
              <w:right w:w="57" w:type="dxa"/>
            </w:tcMar>
          </w:tcPr>
          <w:p w14:paraId="5D15F566" w14:textId="6B5FB83E" w:rsidR="00C61142" w:rsidRPr="005128B6" w:rsidRDefault="00C61142" w:rsidP="004623DD">
            <w:pPr>
              <w:rPr>
                <w:sz w:val="22"/>
                <w:szCs w:val="22"/>
              </w:rPr>
            </w:pPr>
            <w:r w:rsidRPr="005128B6">
              <w:rPr>
                <w:sz w:val="22"/>
                <w:szCs w:val="22"/>
              </w:rPr>
              <w:t>MEN-12</w:t>
            </w:r>
          </w:p>
        </w:tc>
        <w:tc>
          <w:tcPr>
            <w:tcW w:w="5919" w:type="dxa"/>
            <w:tcMar>
              <w:left w:w="57" w:type="dxa"/>
              <w:right w:w="57" w:type="dxa"/>
            </w:tcMar>
          </w:tcPr>
          <w:p w14:paraId="7921B4FE" w14:textId="5E6829BC" w:rsidR="00C61142" w:rsidRPr="005128B6" w:rsidRDefault="00C61142" w:rsidP="004623DD">
            <w:pPr>
              <w:rPr>
                <w:sz w:val="22"/>
                <w:szCs w:val="22"/>
              </w:rPr>
            </w:pPr>
            <w:r w:rsidRPr="005128B6">
              <w:rPr>
                <w:sz w:val="22"/>
                <w:szCs w:val="22"/>
              </w:rPr>
              <w:t>Energetska učinkovitost elektroenergetskog prijenosnog sustava</w:t>
            </w:r>
          </w:p>
        </w:tc>
        <w:tc>
          <w:tcPr>
            <w:tcW w:w="1134" w:type="dxa"/>
            <w:tcMar>
              <w:left w:w="57" w:type="dxa"/>
              <w:right w:w="57" w:type="dxa"/>
            </w:tcMar>
          </w:tcPr>
          <w:p w14:paraId="00200628" w14:textId="665746D5" w:rsidR="00C61142" w:rsidRPr="00016C6B" w:rsidRDefault="00C61142" w:rsidP="004623DD">
            <w:pPr>
              <w:rPr>
                <w:sz w:val="22"/>
                <w:szCs w:val="22"/>
              </w:rPr>
            </w:pPr>
            <w:r w:rsidRPr="00016C6B">
              <w:rPr>
                <w:sz w:val="22"/>
                <w:szCs w:val="22"/>
              </w:rPr>
              <w:t>1,3</w:t>
            </w:r>
            <w:r w:rsidR="00E409AA">
              <w:rPr>
                <w:sz w:val="22"/>
                <w:szCs w:val="22"/>
              </w:rPr>
              <w:t>,4</w:t>
            </w:r>
          </w:p>
        </w:tc>
      </w:tr>
      <w:tr w:rsidR="00C61142" w:rsidRPr="005128B6" w14:paraId="69B77CA2" w14:textId="27E7AB0D" w:rsidTr="63259912">
        <w:tc>
          <w:tcPr>
            <w:tcW w:w="1124" w:type="dxa"/>
            <w:tcMar>
              <w:left w:w="57" w:type="dxa"/>
              <w:right w:w="57" w:type="dxa"/>
            </w:tcMar>
          </w:tcPr>
          <w:p w14:paraId="5E35FE0A" w14:textId="337D4189" w:rsidR="00C61142" w:rsidRPr="005128B6" w:rsidRDefault="00C61142" w:rsidP="004623DD">
            <w:pPr>
              <w:rPr>
                <w:sz w:val="22"/>
                <w:szCs w:val="22"/>
              </w:rPr>
            </w:pPr>
            <w:r w:rsidRPr="005128B6">
              <w:rPr>
                <w:sz w:val="22"/>
                <w:szCs w:val="22"/>
              </w:rPr>
              <w:t>ENU-14</w:t>
            </w:r>
          </w:p>
        </w:tc>
        <w:tc>
          <w:tcPr>
            <w:tcW w:w="1169" w:type="dxa"/>
            <w:tcMar>
              <w:left w:w="57" w:type="dxa"/>
              <w:right w:w="57" w:type="dxa"/>
            </w:tcMar>
          </w:tcPr>
          <w:p w14:paraId="3AC79CD3" w14:textId="7FE4466B" w:rsidR="00C61142" w:rsidRPr="005128B6" w:rsidRDefault="00C61142" w:rsidP="004623DD">
            <w:pPr>
              <w:rPr>
                <w:sz w:val="22"/>
                <w:szCs w:val="22"/>
              </w:rPr>
            </w:pPr>
            <w:r w:rsidRPr="005128B6">
              <w:rPr>
                <w:sz w:val="22"/>
                <w:szCs w:val="22"/>
              </w:rPr>
              <w:t>MEN-13</w:t>
            </w:r>
          </w:p>
        </w:tc>
        <w:tc>
          <w:tcPr>
            <w:tcW w:w="5919" w:type="dxa"/>
            <w:tcMar>
              <w:left w:w="57" w:type="dxa"/>
              <w:right w:w="57" w:type="dxa"/>
            </w:tcMar>
          </w:tcPr>
          <w:p w14:paraId="585FAE88" w14:textId="7CFE170F" w:rsidR="00C61142" w:rsidRPr="005128B6" w:rsidRDefault="00C61142" w:rsidP="004623DD">
            <w:pPr>
              <w:rPr>
                <w:sz w:val="22"/>
                <w:szCs w:val="22"/>
              </w:rPr>
            </w:pPr>
            <w:r w:rsidRPr="005128B6">
              <w:rPr>
                <w:sz w:val="22"/>
                <w:szCs w:val="22"/>
              </w:rPr>
              <w:t>Smanjenje gubitaka u distribucijskoj elektroenergetskoj mreži i uvođenje naprednih mreža</w:t>
            </w:r>
          </w:p>
        </w:tc>
        <w:tc>
          <w:tcPr>
            <w:tcW w:w="1134" w:type="dxa"/>
            <w:tcMar>
              <w:left w:w="57" w:type="dxa"/>
              <w:right w:w="57" w:type="dxa"/>
            </w:tcMar>
          </w:tcPr>
          <w:p w14:paraId="5CB93827" w14:textId="6979DEC5" w:rsidR="00C61142" w:rsidRPr="00016C6B" w:rsidRDefault="00C61142" w:rsidP="004623DD">
            <w:pPr>
              <w:rPr>
                <w:sz w:val="22"/>
                <w:szCs w:val="22"/>
              </w:rPr>
            </w:pPr>
            <w:r w:rsidRPr="00016C6B">
              <w:rPr>
                <w:sz w:val="22"/>
                <w:szCs w:val="22"/>
              </w:rPr>
              <w:t>1,3,4</w:t>
            </w:r>
          </w:p>
        </w:tc>
      </w:tr>
      <w:tr w:rsidR="00C61142" w:rsidRPr="005128B6" w14:paraId="534F53F0" w14:textId="7E7B3E2F" w:rsidTr="63259912">
        <w:tc>
          <w:tcPr>
            <w:tcW w:w="1124" w:type="dxa"/>
            <w:tcMar>
              <w:left w:w="57" w:type="dxa"/>
              <w:right w:w="57" w:type="dxa"/>
            </w:tcMar>
          </w:tcPr>
          <w:p w14:paraId="4BFFB2FF" w14:textId="7C70CB53" w:rsidR="00C61142" w:rsidRPr="005128B6" w:rsidRDefault="00C61142" w:rsidP="004623DD">
            <w:pPr>
              <w:rPr>
                <w:sz w:val="22"/>
                <w:szCs w:val="22"/>
              </w:rPr>
            </w:pPr>
            <w:r w:rsidRPr="005128B6">
              <w:rPr>
                <w:sz w:val="22"/>
                <w:szCs w:val="22"/>
              </w:rPr>
              <w:t>ENU-15</w:t>
            </w:r>
          </w:p>
        </w:tc>
        <w:tc>
          <w:tcPr>
            <w:tcW w:w="1169" w:type="dxa"/>
            <w:tcMar>
              <w:left w:w="57" w:type="dxa"/>
              <w:right w:w="57" w:type="dxa"/>
            </w:tcMar>
          </w:tcPr>
          <w:p w14:paraId="7D1B27CF" w14:textId="6EB892C9" w:rsidR="00C61142" w:rsidRPr="005128B6" w:rsidRDefault="00C61142" w:rsidP="004623DD">
            <w:pPr>
              <w:rPr>
                <w:sz w:val="22"/>
                <w:szCs w:val="22"/>
              </w:rPr>
            </w:pPr>
            <w:r w:rsidRPr="005128B6">
              <w:rPr>
                <w:sz w:val="22"/>
                <w:szCs w:val="22"/>
              </w:rPr>
              <w:t>MEN-14</w:t>
            </w:r>
          </w:p>
        </w:tc>
        <w:tc>
          <w:tcPr>
            <w:tcW w:w="5919" w:type="dxa"/>
            <w:tcMar>
              <w:left w:w="57" w:type="dxa"/>
              <w:right w:w="57" w:type="dxa"/>
            </w:tcMar>
          </w:tcPr>
          <w:p w14:paraId="2B82C86A" w14:textId="182FCEBF" w:rsidR="00C61142" w:rsidRPr="005128B6" w:rsidRDefault="00C61142" w:rsidP="63259912">
            <w:pPr>
              <w:rPr>
                <w:sz w:val="22"/>
                <w:szCs w:val="22"/>
              </w:rPr>
            </w:pPr>
            <w:r w:rsidRPr="63259912">
              <w:rPr>
                <w:sz w:val="22"/>
                <w:szCs w:val="22"/>
              </w:rPr>
              <w:t>Povećanje učinkovitosti sustava toplinarstva</w:t>
            </w:r>
          </w:p>
        </w:tc>
        <w:tc>
          <w:tcPr>
            <w:tcW w:w="1134" w:type="dxa"/>
            <w:tcMar>
              <w:left w:w="57" w:type="dxa"/>
              <w:right w:w="57" w:type="dxa"/>
            </w:tcMar>
          </w:tcPr>
          <w:p w14:paraId="4C85C0FA" w14:textId="2C97701D" w:rsidR="00C61142" w:rsidRPr="00016C6B" w:rsidRDefault="00C61142" w:rsidP="004623DD">
            <w:pPr>
              <w:rPr>
                <w:sz w:val="22"/>
                <w:szCs w:val="22"/>
              </w:rPr>
            </w:pPr>
            <w:r w:rsidRPr="00016C6B">
              <w:rPr>
                <w:sz w:val="22"/>
                <w:szCs w:val="22"/>
              </w:rPr>
              <w:t>1,3,4</w:t>
            </w:r>
          </w:p>
        </w:tc>
      </w:tr>
      <w:tr w:rsidR="00C61142" w:rsidRPr="005128B6" w14:paraId="44ACEF9F" w14:textId="77777777" w:rsidTr="63259912">
        <w:tc>
          <w:tcPr>
            <w:tcW w:w="1124" w:type="dxa"/>
            <w:tcMar>
              <w:left w:w="57" w:type="dxa"/>
              <w:right w:w="57" w:type="dxa"/>
            </w:tcMar>
          </w:tcPr>
          <w:p w14:paraId="717D78A3" w14:textId="3A6D72ED" w:rsidR="00C61142" w:rsidRPr="005128B6" w:rsidRDefault="00C61142" w:rsidP="004623DD">
            <w:pPr>
              <w:rPr>
                <w:sz w:val="22"/>
                <w:szCs w:val="22"/>
              </w:rPr>
            </w:pPr>
            <w:r w:rsidRPr="005128B6">
              <w:rPr>
                <w:sz w:val="22"/>
                <w:szCs w:val="22"/>
              </w:rPr>
              <w:lastRenderedPageBreak/>
              <w:t>ENU-16</w:t>
            </w:r>
          </w:p>
        </w:tc>
        <w:tc>
          <w:tcPr>
            <w:tcW w:w="1169" w:type="dxa"/>
            <w:tcMar>
              <w:left w:w="57" w:type="dxa"/>
              <w:right w:w="57" w:type="dxa"/>
            </w:tcMar>
          </w:tcPr>
          <w:p w14:paraId="1645CEF6" w14:textId="6373D310" w:rsidR="00C61142" w:rsidRPr="005128B6" w:rsidRDefault="00C61142" w:rsidP="004623DD">
            <w:pPr>
              <w:rPr>
                <w:sz w:val="22"/>
                <w:szCs w:val="22"/>
              </w:rPr>
            </w:pPr>
            <w:r w:rsidRPr="005128B6">
              <w:rPr>
                <w:sz w:val="22"/>
                <w:szCs w:val="22"/>
              </w:rPr>
              <w:t>MEN-15</w:t>
            </w:r>
          </w:p>
        </w:tc>
        <w:tc>
          <w:tcPr>
            <w:tcW w:w="5919" w:type="dxa"/>
            <w:tcMar>
              <w:left w:w="57" w:type="dxa"/>
              <w:right w:w="57" w:type="dxa"/>
            </w:tcMar>
          </w:tcPr>
          <w:p w14:paraId="758A020B" w14:textId="5B9C4D14" w:rsidR="00C61142" w:rsidRPr="005128B6" w:rsidRDefault="00C61142" w:rsidP="004623DD">
            <w:pPr>
              <w:rPr>
                <w:sz w:val="22"/>
                <w:szCs w:val="22"/>
              </w:rPr>
            </w:pPr>
            <w:r w:rsidRPr="005128B6">
              <w:rPr>
                <w:sz w:val="22"/>
                <w:szCs w:val="22"/>
              </w:rPr>
              <w:t>Povećanje učinkovitosti plinskog sustava</w:t>
            </w:r>
          </w:p>
        </w:tc>
        <w:tc>
          <w:tcPr>
            <w:tcW w:w="1134" w:type="dxa"/>
            <w:tcMar>
              <w:left w:w="57" w:type="dxa"/>
              <w:right w:w="57" w:type="dxa"/>
            </w:tcMar>
          </w:tcPr>
          <w:p w14:paraId="4A7D5183" w14:textId="4125C310" w:rsidR="00C61142" w:rsidRPr="00016C6B" w:rsidRDefault="00C61142" w:rsidP="004623DD">
            <w:pPr>
              <w:rPr>
                <w:sz w:val="22"/>
                <w:szCs w:val="22"/>
              </w:rPr>
            </w:pPr>
            <w:r w:rsidRPr="00016C6B">
              <w:rPr>
                <w:sz w:val="22"/>
                <w:szCs w:val="22"/>
              </w:rPr>
              <w:t>1,3,4</w:t>
            </w:r>
          </w:p>
        </w:tc>
      </w:tr>
      <w:tr w:rsidR="00C97367" w:rsidRPr="005128B6" w14:paraId="31817CBD" w14:textId="77777777" w:rsidTr="63259912">
        <w:tc>
          <w:tcPr>
            <w:tcW w:w="1124" w:type="dxa"/>
            <w:tcMar>
              <w:left w:w="57" w:type="dxa"/>
              <w:right w:w="57" w:type="dxa"/>
            </w:tcMar>
          </w:tcPr>
          <w:p w14:paraId="786D2AB9" w14:textId="7E1D102D" w:rsidR="00C97367" w:rsidRPr="005128B6" w:rsidRDefault="00C97367" w:rsidP="00C97367">
            <w:pPr>
              <w:rPr>
                <w:sz w:val="22"/>
                <w:szCs w:val="22"/>
              </w:rPr>
            </w:pPr>
            <w:r w:rsidRPr="005128B6">
              <w:rPr>
                <w:sz w:val="22"/>
                <w:szCs w:val="22"/>
              </w:rPr>
              <w:t>ENU-17</w:t>
            </w:r>
          </w:p>
        </w:tc>
        <w:tc>
          <w:tcPr>
            <w:tcW w:w="1169" w:type="dxa"/>
            <w:tcMar>
              <w:left w:w="57" w:type="dxa"/>
              <w:right w:w="57" w:type="dxa"/>
            </w:tcMar>
          </w:tcPr>
          <w:p w14:paraId="0F0CF1D2" w14:textId="77777777" w:rsidR="00C97367" w:rsidRPr="005128B6" w:rsidRDefault="00C97367" w:rsidP="00C97367">
            <w:pPr>
              <w:rPr>
                <w:sz w:val="22"/>
                <w:szCs w:val="22"/>
              </w:rPr>
            </w:pPr>
          </w:p>
        </w:tc>
        <w:tc>
          <w:tcPr>
            <w:tcW w:w="5919" w:type="dxa"/>
            <w:tcMar>
              <w:left w:w="57" w:type="dxa"/>
              <w:right w:w="57" w:type="dxa"/>
            </w:tcMar>
          </w:tcPr>
          <w:p w14:paraId="7EA5CD71" w14:textId="3C028C9A" w:rsidR="00C97367" w:rsidRPr="005128B6" w:rsidRDefault="00C97367" w:rsidP="00C97367">
            <w:pPr>
              <w:rPr>
                <w:sz w:val="22"/>
                <w:szCs w:val="22"/>
              </w:rPr>
            </w:pPr>
            <w:r w:rsidRPr="005128B6">
              <w:rPr>
                <w:sz w:val="22"/>
                <w:szCs w:val="22"/>
              </w:rPr>
              <w:t>Povećanje energetske učinkovitosti i korištenja OIE u proizvodnim industrijama</w:t>
            </w:r>
          </w:p>
        </w:tc>
        <w:tc>
          <w:tcPr>
            <w:tcW w:w="1134" w:type="dxa"/>
            <w:tcMar>
              <w:left w:w="57" w:type="dxa"/>
              <w:right w:w="57" w:type="dxa"/>
            </w:tcMar>
          </w:tcPr>
          <w:p w14:paraId="39C7652F" w14:textId="48D8CC55" w:rsidR="00C97367" w:rsidRPr="00016C6B" w:rsidRDefault="00C97367" w:rsidP="00C97367">
            <w:pPr>
              <w:rPr>
                <w:sz w:val="22"/>
                <w:szCs w:val="22"/>
              </w:rPr>
            </w:pPr>
            <w:r w:rsidRPr="00016C6B">
              <w:rPr>
                <w:sz w:val="22"/>
                <w:szCs w:val="22"/>
              </w:rPr>
              <w:t>1</w:t>
            </w:r>
          </w:p>
        </w:tc>
      </w:tr>
      <w:tr w:rsidR="00C97367" w:rsidRPr="005128B6" w14:paraId="35791832" w14:textId="77777777" w:rsidTr="63259912">
        <w:tc>
          <w:tcPr>
            <w:tcW w:w="1124" w:type="dxa"/>
            <w:tcMar>
              <w:left w:w="57" w:type="dxa"/>
              <w:right w:w="57" w:type="dxa"/>
            </w:tcMar>
          </w:tcPr>
          <w:p w14:paraId="253FC613" w14:textId="4C3CF2D4" w:rsidR="00C97367" w:rsidRPr="005128B6" w:rsidRDefault="00C97367" w:rsidP="00C97367">
            <w:pPr>
              <w:rPr>
                <w:sz w:val="22"/>
                <w:szCs w:val="22"/>
              </w:rPr>
            </w:pPr>
            <w:r w:rsidRPr="005128B6">
              <w:rPr>
                <w:sz w:val="22"/>
                <w:szCs w:val="22"/>
              </w:rPr>
              <w:t>ENU-18</w:t>
            </w:r>
          </w:p>
        </w:tc>
        <w:tc>
          <w:tcPr>
            <w:tcW w:w="1169" w:type="dxa"/>
            <w:tcMar>
              <w:left w:w="57" w:type="dxa"/>
              <w:right w:w="57" w:type="dxa"/>
            </w:tcMar>
          </w:tcPr>
          <w:p w14:paraId="1A9E9834" w14:textId="77777777" w:rsidR="00C97367" w:rsidRPr="005128B6" w:rsidRDefault="00C97367" w:rsidP="00C97367">
            <w:pPr>
              <w:rPr>
                <w:sz w:val="22"/>
                <w:szCs w:val="22"/>
              </w:rPr>
            </w:pPr>
          </w:p>
        </w:tc>
        <w:tc>
          <w:tcPr>
            <w:tcW w:w="5919" w:type="dxa"/>
            <w:tcMar>
              <w:left w:w="57" w:type="dxa"/>
              <w:right w:w="57" w:type="dxa"/>
            </w:tcMar>
          </w:tcPr>
          <w:p w14:paraId="5141B970" w14:textId="593C91FF" w:rsidR="00C97367" w:rsidRPr="005128B6" w:rsidRDefault="00C97367" w:rsidP="00C97367">
            <w:pPr>
              <w:rPr>
                <w:sz w:val="22"/>
                <w:szCs w:val="22"/>
              </w:rPr>
            </w:pPr>
            <w:r w:rsidRPr="005128B6">
              <w:rPr>
                <w:sz w:val="22"/>
                <w:szCs w:val="22"/>
              </w:rPr>
              <w:t>Povećanje energetske učinkovitosti sustava javne vodoopskrbe, odvodnje i pročišćavanja otpadnih voda</w:t>
            </w:r>
          </w:p>
        </w:tc>
        <w:tc>
          <w:tcPr>
            <w:tcW w:w="1134" w:type="dxa"/>
            <w:tcMar>
              <w:left w:w="57" w:type="dxa"/>
              <w:right w:w="57" w:type="dxa"/>
            </w:tcMar>
          </w:tcPr>
          <w:p w14:paraId="6173E084" w14:textId="03B9BB75" w:rsidR="00C97367" w:rsidRPr="00016C6B" w:rsidRDefault="00C97367" w:rsidP="00C97367">
            <w:pPr>
              <w:rPr>
                <w:sz w:val="22"/>
                <w:szCs w:val="22"/>
              </w:rPr>
            </w:pPr>
            <w:r w:rsidRPr="00016C6B">
              <w:rPr>
                <w:sz w:val="22"/>
                <w:szCs w:val="22"/>
              </w:rPr>
              <w:t>1</w:t>
            </w:r>
          </w:p>
        </w:tc>
      </w:tr>
      <w:tr w:rsidR="00C97367" w:rsidRPr="005128B6" w14:paraId="05B8EFB0" w14:textId="72C9F8B4" w:rsidTr="63259912">
        <w:tc>
          <w:tcPr>
            <w:tcW w:w="9346" w:type="dxa"/>
            <w:gridSpan w:val="4"/>
            <w:tcMar>
              <w:left w:w="57" w:type="dxa"/>
              <w:right w:w="57" w:type="dxa"/>
            </w:tcMar>
          </w:tcPr>
          <w:p w14:paraId="3F9A8D2B" w14:textId="46CAD754" w:rsidR="00C97367" w:rsidRPr="00016C6B" w:rsidRDefault="00C97367" w:rsidP="00C97367">
            <w:pPr>
              <w:rPr>
                <w:b/>
                <w:bCs/>
                <w:sz w:val="22"/>
                <w:szCs w:val="22"/>
              </w:rPr>
            </w:pPr>
            <w:r w:rsidRPr="00016C6B">
              <w:rPr>
                <w:b/>
                <w:bCs/>
                <w:sz w:val="22"/>
                <w:szCs w:val="22"/>
              </w:rPr>
              <w:t>Energetska sigurnost</w:t>
            </w:r>
          </w:p>
        </w:tc>
      </w:tr>
      <w:tr w:rsidR="00C97367" w:rsidRPr="005128B6" w14:paraId="2EAAA685" w14:textId="55E5706A" w:rsidTr="63259912">
        <w:tc>
          <w:tcPr>
            <w:tcW w:w="1124" w:type="dxa"/>
            <w:tcMar>
              <w:left w:w="57" w:type="dxa"/>
              <w:right w:w="57" w:type="dxa"/>
            </w:tcMar>
          </w:tcPr>
          <w:p w14:paraId="2C51E685" w14:textId="5C937E74" w:rsidR="00C97367" w:rsidRPr="005128B6" w:rsidRDefault="00C97367" w:rsidP="00C97367">
            <w:pPr>
              <w:rPr>
                <w:sz w:val="22"/>
                <w:szCs w:val="22"/>
              </w:rPr>
            </w:pPr>
            <w:r w:rsidRPr="005128B6">
              <w:rPr>
                <w:sz w:val="22"/>
                <w:szCs w:val="22"/>
              </w:rPr>
              <w:t>ES-1</w:t>
            </w:r>
          </w:p>
        </w:tc>
        <w:tc>
          <w:tcPr>
            <w:tcW w:w="1169" w:type="dxa"/>
            <w:tcMar>
              <w:left w:w="57" w:type="dxa"/>
              <w:right w:w="57" w:type="dxa"/>
            </w:tcMar>
          </w:tcPr>
          <w:p w14:paraId="07CE3346" w14:textId="0354544A" w:rsidR="00C97367" w:rsidRPr="005128B6" w:rsidRDefault="00C97367" w:rsidP="00C97367">
            <w:pPr>
              <w:rPr>
                <w:sz w:val="22"/>
                <w:szCs w:val="22"/>
              </w:rPr>
            </w:pPr>
            <w:r w:rsidRPr="005128B6">
              <w:rPr>
                <w:sz w:val="22"/>
                <w:szCs w:val="22"/>
              </w:rPr>
              <w:t>MEN-21</w:t>
            </w:r>
          </w:p>
        </w:tc>
        <w:tc>
          <w:tcPr>
            <w:tcW w:w="5919" w:type="dxa"/>
            <w:tcMar>
              <w:left w:w="57" w:type="dxa"/>
              <w:right w:w="57" w:type="dxa"/>
            </w:tcMar>
          </w:tcPr>
          <w:p w14:paraId="5D054811" w14:textId="2574AAEE" w:rsidR="00C97367" w:rsidRPr="005128B6" w:rsidRDefault="00C97367" w:rsidP="00C97367">
            <w:pPr>
              <w:rPr>
                <w:sz w:val="22"/>
                <w:szCs w:val="22"/>
              </w:rPr>
            </w:pPr>
            <w:r w:rsidRPr="005128B6">
              <w:rPr>
                <w:sz w:val="22"/>
                <w:szCs w:val="22"/>
              </w:rPr>
              <w:t>Izgradnja i korištenje spremnika energije</w:t>
            </w:r>
          </w:p>
        </w:tc>
        <w:tc>
          <w:tcPr>
            <w:tcW w:w="1134" w:type="dxa"/>
            <w:tcMar>
              <w:left w:w="57" w:type="dxa"/>
              <w:right w:w="57" w:type="dxa"/>
            </w:tcMar>
          </w:tcPr>
          <w:p w14:paraId="7138B749" w14:textId="08141998" w:rsidR="00C97367" w:rsidRPr="00016C6B" w:rsidRDefault="00C97367" w:rsidP="00C97367">
            <w:pPr>
              <w:rPr>
                <w:sz w:val="22"/>
                <w:szCs w:val="22"/>
              </w:rPr>
            </w:pPr>
            <w:r w:rsidRPr="00016C6B">
              <w:rPr>
                <w:sz w:val="22"/>
                <w:szCs w:val="22"/>
              </w:rPr>
              <w:t>1,2,4,5</w:t>
            </w:r>
          </w:p>
        </w:tc>
      </w:tr>
      <w:tr w:rsidR="00C97367" w:rsidRPr="005128B6" w14:paraId="56E3D543" w14:textId="368EB256" w:rsidTr="63259912">
        <w:tc>
          <w:tcPr>
            <w:tcW w:w="1124" w:type="dxa"/>
            <w:tcMar>
              <w:left w:w="57" w:type="dxa"/>
              <w:right w:w="57" w:type="dxa"/>
            </w:tcMar>
          </w:tcPr>
          <w:p w14:paraId="723B93FB" w14:textId="1DF43D12" w:rsidR="00C97367" w:rsidRPr="005128B6" w:rsidRDefault="00C97367" w:rsidP="00C97367">
            <w:pPr>
              <w:rPr>
                <w:sz w:val="22"/>
                <w:szCs w:val="22"/>
              </w:rPr>
            </w:pPr>
            <w:r w:rsidRPr="005128B6">
              <w:rPr>
                <w:sz w:val="22"/>
                <w:szCs w:val="22"/>
              </w:rPr>
              <w:t>ES-2</w:t>
            </w:r>
          </w:p>
        </w:tc>
        <w:tc>
          <w:tcPr>
            <w:tcW w:w="1169" w:type="dxa"/>
            <w:tcMar>
              <w:left w:w="57" w:type="dxa"/>
              <w:right w:w="57" w:type="dxa"/>
            </w:tcMar>
          </w:tcPr>
          <w:p w14:paraId="128EFED7" w14:textId="54F122C4" w:rsidR="00C97367" w:rsidRPr="005128B6" w:rsidRDefault="00C97367" w:rsidP="00C97367">
            <w:pPr>
              <w:rPr>
                <w:sz w:val="22"/>
                <w:szCs w:val="22"/>
              </w:rPr>
            </w:pPr>
          </w:p>
        </w:tc>
        <w:tc>
          <w:tcPr>
            <w:tcW w:w="5919" w:type="dxa"/>
            <w:tcMar>
              <w:left w:w="57" w:type="dxa"/>
              <w:right w:w="57" w:type="dxa"/>
            </w:tcMar>
          </w:tcPr>
          <w:p w14:paraId="72A8F59F" w14:textId="0ED64E4C" w:rsidR="00C97367" w:rsidRPr="005128B6" w:rsidRDefault="00C97367" w:rsidP="00C97367">
            <w:pPr>
              <w:rPr>
                <w:sz w:val="22"/>
                <w:szCs w:val="22"/>
              </w:rPr>
            </w:pPr>
            <w:r w:rsidRPr="005128B6">
              <w:rPr>
                <w:sz w:val="22"/>
                <w:szCs w:val="22"/>
              </w:rPr>
              <w:t>Unaprjeđenje vođenja elektroenergetskog sustava</w:t>
            </w:r>
          </w:p>
        </w:tc>
        <w:tc>
          <w:tcPr>
            <w:tcW w:w="1134" w:type="dxa"/>
            <w:tcMar>
              <w:left w:w="57" w:type="dxa"/>
              <w:right w:w="57" w:type="dxa"/>
            </w:tcMar>
          </w:tcPr>
          <w:p w14:paraId="7A07A473" w14:textId="0EEB71F1" w:rsidR="00C97367" w:rsidRPr="00016C6B" w:rsidRDefault="00C97367" w:rsidP="00C97367">
            <w:pPr>
              <w:rPr>
                <w:sz w:val="22"/>
                <w:szCs w:val="22"/>
              </w:rPr>
            </w:pPr>
            <w:r w:rsidRPr="00016C6B">
              <w:rPr>
                <w:sz w:val="22"/>
                <w:szCs w:val="22"/>
              </w:rPr>
              <w:t>1,2,4,5</w:t>
            </w:r>
          </w:p>
        </w:tc>
      </w:tr>
      <w:tr w:rsidR="00C97367" w:rsidRPr="005128B6" w14:paraId="5CC67577" w14:textId="65F89F52" w:rsidTr="63259912">
        <w:tc>
          <w:tcPr>
            <w:tcW w:w="1124" w:type="dxa"/>
            <w:tcMar>
              <w:left w:w="57" w:type="dxa"/>
              <w:right w:w="57" w:type="dxa"/>
            </w:tcMar>
          </w:tcPr>
          <w:p w14:paraId="45DEEC2D" w14:textId="3AB90092" w:rsidR="00C97367" w:rsidRPr="005128B6" w:rsidRDefault="00C97367" w:rsidP="00C97367">
            <w:pPr>
              <w:rPr>
                <w:sz w:val="22"/>
                <w:szCs w:val="22"/>
              </w:rPr>
            </w:pPr>
            <w:r w:rsidRPr="005128B6">
              <w:rPr>
                <w:sz w:val="22"/>
                <w:szCs w:val="22"/>
              </w:rPr>
              <w:t>ES-3</w:t>
            </w:r>
          </w:p>
        </w:tc>
        <w:tc>
          <w:tcPr>
            <w:tcW w:w="1169" w:type="dxa"/>
            <w:tcMar>
              <w:left w:w="57" w:type="dxa"/>
              <w:right w:w="57" w:type="dxa"/>
            </w:tcMar>
          </w:tcPr>
          <w:p w14:paraId="7CFB4267" w14:textId="6EAE6CEB" w:rsidR="00C97367" w:rsidRPr="005128B6" w:rsidRDefault="00C97367" w:rsidP="00C97367">
            <w:pPr>
              <w:rPr>
                <w:sz w:val="22"/>
                <w:szCs w:val="22"/>
              </w:rPr>
            </w:pPr>
            <w:r w:rsidRPr="005128B6">
              <w:rPr>
                <w:sz w:val="22"/>
                <w:szCs w:val="22"/>
              </w:rPr>
              <w:t>MEN-22</w:t>
            </w:r>
          </w:p>
        </w:tc>
        <w:tc>
          <w:tcPr>
            <w:tcW w:w="5919" w:type="dxa"/>
            <w:tcMar>
              <w:left w:w="57" w:type="dxa"/>
              <w:right w:w="57" w:type="dxa"/>
            </w:tcMar>
          </w:tcPr>
          <w:p w14:paraId="14174BDF" w14:textId="15C68C26" w:rsidR="00C97367" w:rsidRPr="005128B6" w:rsidRDefault="00C97367" w:rsidP="00C97367">
            <w:pPr>
              <w:rPr>
                <w:sz w:val="22"/>
                <w:szCs w:val="22"/>
              </w:rPr>
            </w:pPr>
            <w:r w:rsidRPr="005128B6">
              <w:rPr>
                <w:sz w:val="22"/>
                <w:szCs w:val="22"/>
              </w:rPr>
              <w:t>Razvoj i održavanje sustava centralne proizvodnje toplinske energije</w:t>
            </w:r>
          </w:p>
        </w:tc>
        <w:tc>
          <w:tcPr>
            <w:tcW w:w="1134" w:type="dxa"/>
            <w:tcMar>
              <w:left w:w="57" w:type="dxa"/>
              <w:right w:w="57" w:type="dxa"/>
            </w:tcMar>
          </w:tcPr>
          <w:p w14:paraId="0A071191" w14:textId="6FA29522" w:rsidR="00C97367" w:rsidRPr="00016C6B" w:rsidRDefault="00C97367" w:rsidP="00C97367">
            <w:pPr>
              <w:rPr>
                <w:sz w:val="22"/>
                <w:szCs w:val="22"/>
              </w:rPr>
            </w:pPr>
            <w:r w:rsidRPr="00016C6B">
              <w:rPr>
                <w:sz w:val="22"/>
                <w:szCs w:val="22"/>
              </w:rPr>
              <w:t>1,2,4</w:t>
            </w:r>
          </w:p>
        </w:tc>
      </w:tr>
      <w:tr w:rsidR="00C97367" w:rsidRPr="005128B6" w14:paraId="3571EFCA" w14:textId="37B7BDA2" w:rsidTr="63259912">
        <w:tc>
          <w:tcPr>
            <w:tcW w:w="1124" w:type="dxa"/>
            <w:tcMar>
              <w:left w:w="57" w:type="dxa"/>
              <w:right w:w="57" w:type="dxa"/>
            </w:tcMar>
          </w:tcPr>
          <w:p w14:paraId="2881F7EE" w14:textId="3207779D" w:rsidR="00C97367" w:rsidRPr="005128B6" w:rsidRDefault="00C97367" w:rsidP="00C97367">
            <w:pPr>
              <w:rPr>
                <w:sz w:val="22"/>
                <w:szCs w:val="22"/>
              </w:rPr>
            </w:pPr>
            <w:r w:rsidRPr="005128B6">
              <w:rPr>
                <w:sz w:val="22"/>
                <w:szCs w:val="22"/>
              </w:rPr>
              <w:t>ES-4</w:t>
            </w:r>
          </w:p>
        </w:tc>
        <w:tc>
          <w:tcPr>
            <w:tcW w:w="1169" w:type="dxa"/>
            <w:tcMar>
              <w:left w:w="57" w:type="dxa"/>
              <w:right w:w="57" w:type="dxa"/>
            </w:tcMar>
          </w:tcPr>
          <w:p w14:paraId="1F6B9AE8" w14:textId="799B65A8" w:rsidR="00C97367" w:rsidRPr="005128B6" w:rsidRDefault="00C97367" w:rsidP="00C97367">
            <w:pPr>
              <w:rPr>
                <w:sz w:val="22"/>
                <w:szCs w:val="22"/>
              </w:rPr>
            </w:pPr>
            <w:r w:rsidRPr="005128B6">
              <w:rPr>
                <w:sz w:val="22"/>
                <w:szCs w:val="22"/>
              </w:rPr>
              <w:t>MEN-23</w:t>
            </w:r>
          </w:p>
        </w:tc>
        <w:tc>
          <w:tcPr>
            <w:tcW w:w="5919" w:type="dxa"/>
            <w:tcMar>
              <w:left w:w="57" w:type="dxa"/>
              <w:right w:w="57" w:type="dxa"/>
            </w:tcMar>
          </w:tcPr>
          <w:p w14:paraId="1D1122D4" w14:textId="4CA01C8A" w:rsidR="00C97367" w:rsidRPr="005128B6" w:rsidRDefault="00C97367" w:rsidP="00C97367">
            <w:pPr>
              <w:rPr>
                <w:sz w:val="22"/>
                <w:szCs w:val="22"/>
              </w:rPr>
            </w:pPr>
            <w:r w:rsidRPr="005128B6">
              <w:rPr>
                <w:sz w:val="22"/>
                <w:szCs w:val="22"/>
              </w:rPr>
              <w:t>Povećanje kapaciteta terminala za UPP</w:t>
            </w:r>
          </w:p>
        </w:tc>
        <w:tc>
          <w:tcPr>
            <w:tcW w:w="1134" w:type="dxa"/>
            <w:tcMar>
              <w:left w:w="57" w:type="dxa"/>
              <w:right w:w="57" w:type="dxa"/>
            </w:tcMar>
          </w:tcPr>
          <w:p w14:paraId="54B87F74" w14:textId="48E88C3C" w:rsidR="00C97367" w:rsidRPr="00016C6B" w:rsidRDefault="004A7A28" w:rsidP="00C97367">
            <w:pPr>
              <w:rPr>
                <w:sz w:val="22"/>
                <w:szCs w:val="22"/>
              </w:rPr>
            </w:pPr>
            <w:r>
              <w:rPr>
                <w:sz w:val="22"/>
                <w:szCs w:val="22"/>
              </w:rPr>
              <w:t>3,</w:t>
            </w:r>
            <w:r w:rsidR="00C97367" w:rsidRPr="00016C6B">
              <w:rPr>
                <w:sz w:val="22"/>
                <w:szCs w:val="22"/>
              </w:rPr>
              <w:t>4</w:t>
            </w:r>
          </w:p>
        </w:tc>
      </w:tr>
      <w:tr w:rsidR="00C97367" w:rsidRPr="005128B6" w14:paraId="5E46F076" w14:textId="77777777" w:rsidTr="63259912">
        <w:tc>
          <w:tcPr>
            <w:tcW w:w="1124" w:type="dxa"/>
            <w:tcMar>
              <w:left w:w="57" w:type="dxa"/>
              <w:right w:w="57" w:type="dxa"/>
            </w:tcMar>
          </w:tcPr>
          <w:p w14:paraId="56F3F16E" w14:textId="0743B569" w:rsidR="00C97367" w:rsidRPr="005128B6" w:rsidRDefault="00C97367" w:rsidP="00C97367">
            <w:pPr>
              <w:rPr>
                <w:sz w:val="22"/>
                <w:szCs w:val="22"/>
              </w:rPr>
            </w:pPr>
            <w:r w:rsidRPr="005128B6">
              <w:rPr>
                <w:sz w:val="22"/>
                <w:szCs w:val="22"/>
              </w:rPr>
              <w:t>ES-5</w:t>
            </w:r>
          </w:p>
        </w:tc>
        <w:tc>
          <w:tcPr>
            <w:tcW w:w="1169" w:type="dxa"/>
            <w:tcMar>
              <w:left w:w="57" w:type="dxa"/>
              <w:right w:w="57" w:type="dxa"/>
            </w:tcMar>
          </w:tcPr>
          <w:p w14:paraId="6781FA07" w14:textId="77777777" w:rsidR="00C97367" w:rsidRPr="005128B6" w:rsidRDefault="00C97367" w:rsidP="00C97367">
            <w:pPr>
              <w:rPr>
                <w:sz w:val="22"/>
                <w:szCs w:val="22"/>
              </w:rPr>
            </w:pPr>
          </w:p>
        </w:tc>
        <w:tc>
          <w:tcPr>
            <w:tcW w:w="5919" w:type="dxa"/>
            <w:tcMar>
              <w:left w:w="57" w:type="dxa"/>
              <w:right w:w="57" w:type="dxa"/>
            </w:tcMar>
          </w:tcPr>
          <w:p w14:paraId="0061BC0F" w14:textId="0CC2825A" w:rsidR="00C97367" w:rsidRPr="005128B6" w:rsidRDefault="00C97367" w:rsidP="00C97367">
            <w:pPr>
              <w:rPr>
                <w:sz w:val="22"/>
                <w:szCs w:val="22"/>
              </w:rPr>
            </w:pPr>
            <w:r w:rsidRPr="005128B6">
              <w:rPr>
                <w:sz w:val="22"/>
                <w:szCs w:val="22"/>
              </w:rPr>
              <w:t>Sigurnost opskrbe prirodnim plinom za EU zemlje</w:t>
            </w:r>
          </w:p>
        </w:tc>
        <w:tc>
          <w:tcPr>
            <w:tcW w:w="1134" w:type="dxa"/>
            <w:tcMar>
              <w:left w:w="57" w:type="dxa"/>
              <w:right w:w="57" w:type="dxa"/>
            </w:tcMar>
          </w:tcPr>
          <w:p w14:paraId="407832F0" w14:textId="48965668" w:rsidR="00C97367" w:rsidRPr="00016C6B" w:rsidRDefault="00A178FE" w:rsidP="00C97367">
            <w:pPr>
              <w:rPr>
                <w:sz w:val="22"/>
                <w:szCs w:val="22"/>
              </w:rPr>
            </w:pPr>
            <w:r>
              <w:rPr>
                <w:sz w:val="22"/>
                <w:szCs w:val="22"/>
              </w:rPr>
              <w:t>3,4</w:t>
            </w:r>
          </w:p>
        </w:tc>
      </w:tr>
      <w:tr w:rsidR="00C97367" w:rsidRPr="005128B6" w14:paraId="2A3474B3" w14:textId="77777777" w:rsidTr="63259912">
        <w:tc>
          <w:tcPr>
            <w:tcW w:w="1124" w:type="dxa"/>
            <w:tcMar>
              <w:left w:w="57" w:type="dxa"/>
              <w:right w:w="57" w:type="dxa"/>
            </w:tcMar>
          </w:tcPr>
          <w:p w14:paraId="539B5CEE" w14:textId="0CB9F503" w:rsidR="00C97367" w:rsidRPr="005128B6" w:rsidRDefault="00C97367" w:rsidP="00C97367">
            <w:pPr>
              <w:rPr>
                <w:sz w:val="22"/>
                <w:szCs w:val="22"/>
              </w:rPr>
            </w:pPr>
            <w:r w:rsidRPr="005128B6">
              <w:rPr>
                <w:sz w:val="22"/>
                <w:szCs w:val="22"/>
              </w:rPr>
              <w:t>ES-6</w:t>
            </w:r>
          </w:p>
        </w:tc>
        <w:tc>
          <w:tcPr>
            <w:tcW w:w="1169" w:type="dxa"/>
            <w:tcMar>
              <w:left w:w="57" w:type="dxa"/>
              <w:right w:w="57" w:type="dxa"/>
            </w:tcMar>
          </w:tcPr>
          <w:p w14:paraId="0A48F027" w14:textId="77777777" w:rsidR="00C97367" w:rsidRPr="005128B6" w:rsidRDefault="00C97367" w:rsidP="00C97367">
            <w:pPr>
              <w:rPr>
                <w:sz w:val="22"/>
                <w:szCs w:val="22"/>
              </w:rPr>
            </w:pPr>
          </w:p>
        </w:tc>
        <w:tc>
          <w:tcPr>
            <w:tcW w:w="5919" w:type="dxa"/>
            <w:tcMar>
              <w:left w:w="57" w:type="dxa"/>
              <w:right w:w="57" w:type="dxa"/>
            </w:tcMar>
          </w:tcPr>
          <w:p w14:paraId="2B31CBE8" w14:textId="578A0643" w:rsidR="00C97367" w:rsidRPr="005128B6" w:rsidRDefault="00C97367" w:rsidP="00C97367">
            <w:pPr>
              <w:rPr>
                <w:sz w:val="22"/>
                <w:szCs w:val="22"/>
              </w:rPr>
            </w:pPr>
            <w:r w:rsidRPr="005128B6">
              <w:rPr>
                <w:sz w:val="22"/>
                <w:szCs w:val="22"/>
              </w:rPr>
              <w:t>Sigurnost opskrbe prirodnim plinom za Zapadni Balkan</w:t>
            </w:r>
          </w:p>
        </w:tc>
        <w:tc>
          <w:tcPr>
            <w:tcW w:w="1134" w:type="dxa"/>
            <w:tcMar>
              <w:left w:w="57" w:type="dxa"/>
              <w:right w:w="57" w:type="dxa"/>
            </w:tcMar>
          </w:tcPr>
          <w:p w14:paraId="30683E8D" w14:textId="6F87E205" w:rsidR="00C97367" w:rsidRPr="00016C6B" w:rsidRDefault="00A178FE" w:rsidP="00C97367">
            <w:pPr>
              <w:rPr>
                <w:sz w:val="22"/>
                <w:szCs w:val="22"/>
              </w:rPr>
            </w:pPr>
            <w:r>
              <w:rPr>
                <w:sz w:val="22"/>
                <w:szCs w:val="22"/>
              </w:rPr>
              <w:t>3,</w:t>
            </w:r>
            <w:r w:rsidR="00C97367" w:rsidRPr="00016C6B">
              <w:rPr>
                <w:sz w:val="22"/>
                <w:szCs w:val="22"/>
              </w:rPr>
              <w:t>4</w:t>
            </w:r>
          </w:p>
        </w:tc>
      </w:tr>
      <w:tr w:rsidR="00C97367" w:rsidRPr="005128B6" w14:paraId="0BE1ADFF" w14:textId="77777777" w:rsidTr="63259912">
        <w:tc>
          <w:tcPr>
            <w:tcW w:w="1124" w:type="dxa"/>
            <w:tcMar>
              <w:left w:w="57" w:type="dxa"/>
              <w:right w:w="57" w:type="dxa"/>
            </w:tcMar>
          </w:tcPr>
          <w:p w14:paraId="0C05E396" w14:textId="5F31733A" w:rsidR="00C97367" w:rsidRPr="005128B6" w:rsidRDefault="00C97367" w:rsidP="00C97367">
            <w:pPr>
              <w:rPr>
                <w:sz w:val="22"/>
                <w:szCs w:val="22"/>
              </w:rPr>
            </w:pPr>
            <w:r w:rsidRPr="005128B6">
              <w:rPr>
                <w:sz w:val="22"/>
                <w:szCs w:val="22"/>
              </w:rPr>
              <w:t>ES-7</w:t>
            </w:r>
          </w:p>
        </w:tc>
        <w:tc>
          <w:tcPr>
            <w:tcW w:w="1169" w:type="dxa"/>
            <w:tcMar>
              <w:left w:w="57" w:type="dxa"/>
              <w:right w:w="57" w:type="dxa"/>
            </w:tcMar>
          </w:tcPr>
          <w:p w14:paraId="58F8AE68" w14:textId="77777777" w:rsidR="00C97367" w:rsidRPr="005128B6" w:rsidRDefault="00C97367" w:rsidP="00C97367">
            <w:pPr>
              <w:rPr>
                <w:sz w:val="22"/>
                <w:szCs w:val="22"/>
              </w:rPr>
            </w:pPr>
          </w:p>
        </w:tc>
        <w:tc>
          <w:tcPr>
            <w:tcW w:w="5919" w:type="dxa"/>
            <w:tcMar>
              <w:left w:w="57" w:type="dxa"/>
              <w:right w:w="57" w:type="dxa"/>
            </w:tcMar>
          </w:tcPr>
          <w:p w14:paraId="5747BF78" w14:textId="3725F897" w:rsidR="00C97367" w:rsidRPr="005128B6" w:rsidRDefault="00C97367" w:rsidP="00C97367">
            <w:pPr>
              <w:rPr>
                <w:sz w:val="22"/>
                <w:szCs w:val="22"/>
              </w:rPr>
            </w:pPr>
            <w:r w:rsidRPr="005128B6">
              <w:rPr>
                <w:sz w:val="22"/>
                <w:szCs w:val="22"/>
              </w:rPr>
              <w:t>Izgradnja i unaprjeđenje vođenja transportnog plinskog sustava</w:t>
            </w:r>
          </w:p>
        </w:tc>
        <w:tc>
          <w:tcPr>
            <w:tcW w:w="1134" w:type="dxa"/>
            <w:tcMar>
              <w:left w:w="57" w:type="dxa"/>
              <w:right w:w="57" w:type="dxa"/>
            </w:tcMar>
          </w:tcPr>
          <w:p w14:paraId="768949D0" w14:textId="27B6D084" w:rsidR="00C97367" w:rsidRPr="00016C6B" w:rsidRDefault="00F86C20" w:rsidP="00C97367">
            <w:pPr>
              <w:rPr>
                <w:sz w:val="22"/>
                <w:szCs w:val="22"/>
              </w:rPr>
            </w:pPr>
            <w:r>
              <w:rPr>
                <w:sz w:val="22"/>
                <w:szCs w:val="22"/>
              </w:rPr>
              <w:t>1</w:t>
            </w:r>
            <w:r w:rsidR="0031467E">
              <w:rPr>
                <w:sz w:val="22"/>
                <w:szCs w:val="22"/>
              </w:rPr>
              <w:t>,3,</w:t>
            </w:r>
            <w:r w:rsidR="00C97367" w:rsidRPr="00016C6B">
              <w:rPr>
                <w:sz w:val="22"/>
                <w:szCs w:val="22"/>
              </w:rPr>
              <w:t>4</w:t>
            </w:r>
          </w:p>
        </w:tc>
      </w:tr>
      <w:tr w:rsidR="00C97367" w:rsidRPr="005128B6" w14:paraId="7A7EAE89" w14:textId="77777777" w:rsidTr="63259912">
        <w:tc>
          <w:tcPr>
            <w:tcW w:w="1124" w:type="dxa"/>
            <w:tcMar>
              <w:left w:w="57" w:type="dxa"/>
              <w:right w:w="57" w:type="dxa"/>
            </w:tcMar>
          </w:tcPr>
          <w:p w14:paraId="0233CD1C" w14:textId="4AF3192C" w:rsidR="00C97367" w:rsidRPr="005128B6" w:rsidRDefault="00C97367" w:rsidP="00C97367">
            <w:pPr>
              <w:rPr>
                <w:sz w:val="22"/>
                <w:szCs w:val="22"/>
              </w:rPr>
            </w:pPr>
            <w:r w:rsidRPr="005128B6">
              <w:rPr>
                <w:sz w:val="22"/>
                <w:szCs w:val="22"/>
              </w:rPr>
              <w:t>ES-8</w:t>
            </w:r>
          </w:p>
        </w:tc>
        <w:tc>
          <w:tcPr>
            <w:tcW w:w="1169" w:type="dxa"/>
            <w:tcMar>
              <w:left w:w="57" w:type="dxa"/>
              <w:right w:w="57" w:type="dxa"/>
            </w:tcMar>
          </w:tcPr>
          <w:p w14:paraId="18505941" w14:textId="0CA8461B" w:rsidR="00C97367" w:rsidRPr="005128B6" w:rsidRDefault="00C97367" w:rsidP="00C97367">
            <w:pPr>
              <w:rPr>
                <w:sz w:val="22"/>
                <w:szCs w:val="22"/>
              </w:rPr>
            </w:pPr>
          </w:p>
        </w:tc>
        <w:tc>
          <w:tcPr>
            <w:tcW w:w="5919" w:type="dxa"/>
            <w:tcMar>
              <w:left w:w="57" w:type="dxa"/>
              <w:right w:w="57" w:type="dxa"/>
            </w:tcMar>
          </w:tcPr>
          <w:p w14:paraId="5D7CE14A" w14:textId="4E866990" w:rsidR="00C97367" w:rsidRPr="005128B6" w:rsidRDefault="00C97367" w:rsidP="00C97367">
            <w:pPr>
              <w:rPr>
                <w:sz w:val="22"/>
                <w:szCs w:val="22"/>
              </w:rPr>
            </w:pPr>
            <w:r w:rsidRPr="005128B6">
              <w:rPr>
                <w:sz w:val="22"/>
                <w:szCs w:val="22"/>
              </w:rPr>
              <w:t>Istraživanje potencijalnih ležišta ugljikovodika</w:t>
            </w:r>
          </w:p>
        </w:tc>
        <w:tc>
          <w:tcPr>
            <w:tcW w:w="1134" w:type="dxa"/>
            <w:tcMar>
              <w:left w:w="57" w:type="dxa"/>
              <w:right w:w="57" w:type="dxa"/>
            </w:tcMar>
          </w:tcPr>
          <w:p w14:paraId="1ADBBA16" w14:textId="5649DB85" w:rsidR="00C97367" w:rsidRPr="00016C6B" w:rsidRDefault="0031467E" w:rsidP="00C97367">
            <w:pPr>
              <w:rPr>
                <w:sz w:val="22"/>
                <w:szCs w:val="22"/>
              </w:rPr>
            </w:pPr>
            <w:r>
              <w:rPr>
                <w:sz w:val="22"/>
                <w:szCs w:val="22"/>
              </w:rPr>
              <w:t>3</w:t>
            </w:r>
          </w:p>
        </w:tc>
      </w:tr>
      <w:tr w:rsidR="00C97367" w:rsidRPr="005128B6" w14:paraId="2527B9C3" w14:textId="77777777" w:rsidTr="63259912">
        <w:tc>
          <w:tcPr>
            <w:tcW w:w="1124" w:type="dxa"/>
            <w:tcMar>
              <w:left w:w="57" w:type="dxa"/>
              <w:right w:w="57" w:type="dxa"/>
            </w:tcMar>
          </w:tcPr>
          <w:p w14:paraId="02C3AAD4" w14:textId="12C7F597" w:rsidR="00C97367" w:rsidRPr="005128B6" w:rsidRDefault="00C97367" w:rsidP="00C97367">
            <w:pPr>
              <w:rPr>
                <w:sz w:val="22"/>
                <w:szCs w:val="22"/>
              </w:rPr>
            </w:pPr>
            <w:r w:rsidRPr="005128B6">
              <w:rPr>
                <w:sz w:val="22"/>
                <w:szCs w:val="22"/>
              </w:rPr>
              <w:t>ES-9</w:t>
            </w:r>
          </w:p>
        </w:tc>
        <w:tc>
          <w:tcPr>
            <w:tcW w:w="1169" w:type="dxa"/>
            <w:tcMar>
              <w:left w:w="57" w:type="dxa"/>
              <w:right w:w="57" w:type="dxa"/>
            </w:tcMar>
          </w:tcPr>
          <w:p w14:paraId="277D3519" w14:textId="77777777" w:rsidR="00C97367" w:rsidRPr="005128B6" w:rsidRDefault="00C97367" w:rsidP="00C97367">
            <w:pPr>
              <w:rPr>
                <w:sz w:val="22"/>
                <w:szCs w:val="22"/>
              </w:rPr>
            </w:pPr>
          </w:p>
        </w:tc>
        <w:tc>
          <w:tcPr>
            <w:tcW w:w="5919" w:type="dxa"/>
            <w:tcMar>
              <w:left w:w="57" w:type="dxa"/>
              <w:right w:w="57" w:type="dxa"/>
            </w:tcMar>
          </w:tcPr>
          <w:p w14:paraId="096ACEC3" w14:textId="253B1473" w:rsidR="00C97367" w:rsidRPr="005128B6" w:rsidRDefault="00C97367" w:rsidP="00C97367">
            <w:pPr>
              <w:rPr>
                <w:sz w:val="22"/>
                <w:szCs w:val="22"/>
              </w:rPr>
            </w:pPr>
            <w:r w:rsidRPr="005128B6">
              <w:rPr>
                <w:sz w:val="22"/>
                <w:szCs w:val="22"/>
              </w:rPr>
              <w:t>Smanjenje uporabe fosilnih goriva za toplinske potrebe u individualnim toplinskim sustavima</w:t>
            </w:r>
          </w:p>
        </w:tc>
        <w:tc>
          <w:tcPr>
            <w:tcW w:w="1134" w:type="dxa"/>
            <w:tcMar>
              <w:left w:w="57" w:type="dxa"/>
              <w:right w:w="57" w:type="dxa"/>
            </w:tcMar>
          </w:tcPr>
          <w:p w14:paraId="618ACEAD" w14:textId="6D4AA9DB" w:rsidR="00C97367" w:rsidRPr="00016C6B" w:rsidRDefault="00C97367" w:rsidP="00C97367">
            <w:pPr>
              <w:rPr>
                <w:sz w:val="22"/>
                <w:szCs w:val="22"/>
              </w:rPr>
            </w:pPr>
            <w:r w:rsidRPr="00016C6B">
              <w:rPr>
                <w:sz w:val="22"/>
                <w:szCs w:val="22"/>
              </w:rPr>
              <w:t>1</w:t>
            </w:r>
            <w:r w:rsidR="00610C46">
              <w:rPr>
                <w:sz w:val="22"/>
                <w:szCs w:val="22"/>
              </w:rPr>
              <w:t>,3,4</w:t>
            </w:r>
          </w:p>
        </w:tc>
      </w:tr>
      <w:tr w:rsidR="00C97367" w:rsidRPr="005128B6" w14:paraId="0F1C12DB" w14:textId="77777777" w:rsidTr="63259912">
        <w:tc>
          <w:tcPr>
            <w:tcW w:w="1124" w:type="dxa"/>
            <w:tcMar>
              <w:left w:w="57" w:type="dxa"/>
              <w:right w:w="57" w:type="dxa"/>
            </w:tcMar>
          </w:tcPr>
          <w:p w14:paraId="7FA854FD" w14:textId="333772E9" w:rsidR="00C97367" w:rsidRPr="005128B6" w:rsidRDefault="00C97367" w:rsidP="00C97367">
            <w:pPr>
              <w:rPr>
                <w:sz w:val="22"/>
                <w:szCs w:val="22"/>
              </w:rPr>
            </w:pPr>
            <w:r w:rsidRPr="005128B6">
              <w:rPr>
                <w:sz w:val="22"/>
                <w:szCs w:val="22"/>
              </w:rPr>
              <w:t>ES-10</w:t>
            </w:r>
          </w:p>
        </w:tc>
        <w:tc>
          <w:tcPr>
            <w:tcW w:w="1169" w:type="dxa"/>
            <w:tcMar>
              <w:left w:w="57" w:type="dxa"/>
              <w:right w:w="57" w:type="dxa"/>
            </w:tcMar>
          </w:tcPr>
          <w:p w14:paraId="77D16425" w14:textId="77777777" w:rsidR="00C97367" w:rsidRPr="005128B6" w:rsidRDefault="00C97367" w:rsidP="00C97367">
            <w:pPr>
              <w:rPr>
                <w:sz w:val="22"/>
                <w:szCs w:val="22"/>
              </w:rPr>
            </w:pPr>
          </w:p>
        </w:tc>
        <w:tc>
          <w:tcPr>
            <w:tcW w:w="5919" w:type="dxa"/>
            <w:tcMar>
              <w:left w:w="57" w:type="dxa"/>
              <w:right w:w="57" w:type="dxa"/>
            </w:tcMar>
          </w:tcPr>
          <w:p w14:paraId="36FBD18F" w14:textId="4F609D21" w:rsidR="00C97367" w:rsidRPr="005128B6" w:rsidRDefault="00C97367" w:rsidP="00C97367">
            <w:pPr>
              <w:rPr>
                <w:sz w:val="22"/>
                <w:szCs w:val="22"/>
              </w:rPr>
            </w:pPr>
            <w:r w:rsidRPr="005128B6">
              <w:rPr>
                <w:sz w:val="22"/>
                <w:szCs w:val="22"/>
              </w:rPr>
              <w:t>Kibernetička sigurnost</w:t>
            </w:r>
          </w:p>
        </w:tc>
        <w:tc>
          <w:tcPr>
            <w:tcW w:w="1134" w:type="dxa"/>
            <w:tcMar>
              <w:left w:w="57" w:type="dxa"/>
              <w:right w:w="57" w:type="dxa"/>
            </w:tcMar>
          </w:tcPr>
          <w:p w14:paraId="75A32700" w14:textId="63435C1B" w:rsidR="00C97367" w:rsidRPr="00016C6B" w:rsidRDefault="001F15E7" w:rsidP="00C97367">
            <w:pPr>
              <w:rPr>
                <w:sz w:val="22"/>
                <w:szCs w:val="22"/>
              </w:rPr>
            </w:pPr>
            <w:r>
              <w:rPr>
                <w:sz w:val="22"/>
                <w:szCs w:val="22"/>
              </w:rPr>
              <w:t>3,4</w:t>
            </w:r>
          </w:p>
        </w:tc>
      </w:tr>
      <w:tr w:rsidR="00C97367" w:rsidRPr="005128B6" w14:paraId="31C93870" w14:textId="77777777" w:rsidTr="63259912">
        <w:tc>
          <w:tcPr>
            <w:tcW w:w="1124" w:type="dxa"/>
            <w:tcMar>
              <w:left w:w="57" w:type="dxa"/>
              <w:right w:w="57" w:type="dxa"/>
            </w:tcMar>
          </w:tcPr>
          <w:p w14:paraId="63C136AA" w14:textId="1E624ED0" w:rsidR="00C97367" w:rsidRPr="005128B6" w:rsidRDefault="00C97367" w:rsidP="00C97367">
            <w:pPr>
              <w:rPr>
                <w:sz w:val="22"/>
                <w:szCs w:val="22"/>
              </w:rPr>
            </w:pPr>
            <w:r w:rsidRPr="005128B6">
              <w:rPr>
                <w:sz w:val="22"/>
                <w:szCs w:val="22"/>
              </w:rPr>
              <w:t>ES-11</w:t>
            </w:r>
          </w:p>
        </w:tc>
        <w:tc>
          <w:tcPr>
            <w:tcW w:w="1169" w:type="dxa"/>
            <w:tcMar>
              <w:left w:w="57" w:type="dxa"/>
              <w:right w:w="57" w:type="dxa"/>
            </w:tcMar>
          </w:tcPr>
          <w:p w14:paraId="065B0E00" w14:textId="77777777" w:rsidR="00C97367" w:rsidRPr="005128B6" w:rsidRDefault="00C97367" w:rsidP="00C97367">
            <w:pPr>
              <w:rPr>
                <w:sz w:val="22"/>
                <w:szCs w:val="22"/>
              </w:rPr>
            </w:pPr>
          </w:p>
        </w:tc>
        <w:tc>
          <w:tcPr>
            <w:tcW w:w="5919" w:type="dxa"/>
            <w:tcMar>
              <w:left w:w="57" w:type="dxa"/>
              <w:right w:w="57" w:type="dxa"/>
            </w:tcMar>
          </w:tcPr>
          <w:p w14:paraId="6E34BB3D" w14:textId="1DCB5792" w:rsidR="00C97367" w:rsidRPr="005128B6" w:rsidRDefault="00C97367" w:rsidP="00C97367">
            <w:pPr>
              <w:rPr>
                <w:sz w:val="22"/>
                <w:szCs w:val="22"/>
              </w:rPr>
            </w:pPr>
            <w:r w:rsidRPr="005128B6">
              <w:rPr>
                <w:sz w:val="22"/>
                <w:szCs w:val="22"/>
              </w:rPr>
              <w:t>Uspostava gospodarstva temeljenog na vodiku</w:t>
            </w:r>
          </w:p>
        </w:tc>
        <w:tc>
          <w:tcPr>
            <w:tcW w:w="1134" w:type="dxa"/>
            <w:tcMar>
              <w:left w:w="57" w:type="dxa"/>
              <w:right w:w="57" w:type="dxa"/>
            </w:tcMar>
          </w:tcPr>
          <w:p w14:paraId="77FFF790" w14:textId="347B1069" w:rsidR="00C97367" w:rsidRPr="00016C6B" w:rsidRDefault="001F15E7" w:rsidP="00C97367">
            <w:pPr>
              <w:rPr>
                <w:sz w:val="22"/>
                <w:szCs w:val="22"/>
              </w:rPr>
            </w:pPr>
            <w:r>
              <w:rPr>
                <w:sz w:val="22"/>
                <w:szCs w:val="22"/>
              </w:rPr>
              <w:t>1</w:t>
            </w:r>
          </w:p>
        </w:tc>
      </w:tr>
      <w:tr w:rsidR="00C97367" w:rsidRPr="005128B6" w14:paraId="21F1843F" w14:textId="747561CD" w:rsidTr="63259912">
        <w:tc>
          <w:tcPr>
            <w:tcW w:w="9346" w:type="dxa"/>
            <w:gridSpan w:val="4"/>
            <w:tcMar>
              <w:left w:w="57" w:type="dxa"/>
              <w:right w:w="57" w:type="dxa"/>
            </w:tcMar>
          </w:tcPr>
          <w:p w14:paraId="346D96D5" w14:textId="1F2C9ED7" w:rsidR="00C97367" w:rsidRPr="00016C6B" w:rsidRDefault="00C97367" w:rsidP="00C97367">
            <w:pPr>
              <w:rPr>
                <w:b/>
                <w:bCs/>
                <w:sz w:val="22"/>
                <w:szCs w:val="22"/>
              </w:rPr>
            </w:pPr>
            <w:r w:rsidRPr="00016C6B">
              <w:rPr>
                <w:b/>
                <w:bCs/>
                <w:sz w:val="22"/>
                <w:szCs w:val="22"/>
              </w:rPr>
              <w:t>Unutarnje energetsko tržište</w:t>
            </w:r>
          </w:p>
        </w:tc>
      </w:tr>
      <w:tr w:rsidR="00C97367" w:rsidRPr="005128B6" w14:paraId="7317CE13" w14:textId="2FAF696E" w:rsidTr="63259912">
        <w:tc>
          <w:tcPr>
            <w:tcW w:w="1124" w:type="dxa"/>
            <w:tcMar>
              <w:left w:w="57" w:type="dxa"/>
              <w:right w:w="57" w:type="dxa"/>
            </w:tcMar>
          </w:tcPr>
          <w:p w14:paraId="46202920" w14:textId="2ECD400C" w:rsidR="00C97367" w:rsidRPr="005128B6" w:rsidRDefault="00C97367" w:rsidP="00C97367">
            <w:pPr>
              <w:rPr>
                <w:sz w:val="22"/>
                <w:szCs w:val="22"/>
              </w:rPr>
            </w:pPr>
            <w:r w:rsidRPr="005128B6">
              <w:rPr>
                <w:sz w:val="22"/>
                <w:szCs w:val="22"/>
              </w:rPr>
              <w:t>UET-1</w:t>
            </w:r>
          </w:p>
        </w:tc>
        <w:tc>
          <w:tcPr>
            <w:tcW w:w="1169" w:type="dxa"/>
            <w:tcMar>
              <w:left w:w="57" w:type="dxa"/>
              <w:right w:w="57" w:type="dxa"/>
            </w:tcMar>
          </w:tcPr>
          <w:p w14:paraId="55A69870" w14:textId="3F144921" w:rsidR="00C97367" w:rsidRPr="005128B6" w:rsidRDefault="00C97367" w:rsidP="00C97367">
            <w:pPr>
              <w:rPr>
                <w:sz w:val="22"/>
                <w:szCs w:val="22"/>
              </w:rPr>
            </w:pPr>
            <w:r w:rsidRPr="005128B6">
              <w:rPr>
                <w:sz w:val="22"/>
                <w:szCs w:val="22"/>
              </w:rPr>
              <w:t>MEN-27</w:t>
            </w:r>
          </w:p>
        </w:tc>
        <w:tc>
          <w:tcPr>
            <w:tcW w:w="5919" w:type="dxa"/>
            <w:tcMar>
              <w:left w:w="57" w:type="dxa"/>
              <w:right w:w="57" w:type="dxa"/>
            </w:tcMar>
          </w:tcPr>
          <w:p w14:paraId="5AD68777" w14:textId="16765BA5" w:rsidR="00C97367" w:rsidRPr="005128B6" w:rsidRDefault="00C97367" w:rsidP="00C97367">
            <w:pPr>
              <w:rPr>
                <w:sz w:val="22"/>
                <w:szCs w:val="22"/>
              </w:rPr>
            </w:pPr>
            <w:r w:rsidRPr="005128B6">
              <w:rPr>
                <w:sz w:val="22"/>
                <w:szCs w:val="22"/>
              </w:rPr>
              <w:t>Razvoj prijenosne elektroenergetske mreže</w:t>
            </w:r>
          </w:p>
        </w:tc>
        <w:tc>
          <w:tcPr>
            <w:tcW w:w="1134" w:type="dxa"/>
            <w:tcMar>
              <w:left w:w="57" w:type="dxa"/>
              <w:right w:w="57" w:type="dxa"/>
            </w:tcMar>
          </w:tcPr>
          <w:p w14:paraId="021469E4" w14:textId="420E04DA" w:rsidR="00C97367" w:rsidRPr="00016C6B" w:rsidRDefault="00C97367" w:rsidP="00C97367">
            <w:pPr>
              <w:rPr>
                <w:sz w:val="22"/>
                <w:szCs w:val="22"/>
              </w:rPr>
            </w:pPr>
            <w:r w:rsidRPr="00016C6B">
              <w:rPr>
                <w:sz w:val="22"/>
                <w:szCs w:val="22"/>
              </w:rPr>
              <w:t>1,2,3,5</w:t>
            </w:r>
          </w:p>
        </w:tc>
      </w:tr>
      <w:tr w:rsidR="00C97367" w:rsidRPr="005128B6" w14:paraId="556EF1C8" w14:textId="6FAE5C83" w:rsidTr="63259912">
        <w:tc>
          <w:tcPr>
            <w:tcW w:w="1124" w:type="dxa"/>
            <w:tcMar>
              <w:left w:w="57" w:type="dxa"/>
              <w:right w:w="57" w:type="dxa"/>
            </w:tcMar>
          </w:tcPr>
          <w:p w14:paraId="44727409" w14:textId="299A01AF" w:rsidR="00C97367" w:rsidRPr="005128B6" w:rsidRDefault="00C97367" w:rsidP="00C97367">
            <w:pPr>
              <w:rPr>
                <w:sz w:val="22"/>
                <w:szCs w:val="22"/>
              </w:rPr>
            </w:pPr>
            <w:r w:rsidRPr="005128B6">
              <w:rPr>
                <w:sz w:val="22"/>
                <w:szCs w:val="22"/>
              </w:rPr>
              <w:t>UET-2</w:t>
            </w:r>
          </w:p>
        </w:tc>
        <w:tc>
          <w:tcPr>
            <w:tcW w:w="1169" w:type="dxa"/>
            <w:tcMar>
              <w:left w:w="57" w:type="dxa"/>
              <w:right w:w="57" w:type="dxa"/>
            </w:tcMar>
          </w:tcPr>
          <w:p w14:paraId="032C72EF" w14:textId="0B361699" w:rsidR="00C97367" w:rsidRPr="005128B6" w:rsidRDefault="00C97367" w:rsidP="00C97367">
            <w:pPr>
              <w:rPr>
                <w:sz w:val="22"/>
                <w:szCs w:val="22"/>
              </w:rPr>
            </w:pPr>
            <w:r w:rsidRPr="005128B6">
              <w:rPr>
                <w:sz w:val="22"/>
                <w:szCs w:val="22"/>
              </w:rPr>
              <w:t>MEN-28</w:t>
            </w:r>
          </w:p>
        </w:tc>
        <w:tc>
          <w:tcPr>
            <w:tcW w:w="5919" w:type="dxa"/>
            <w:tcMar>
              <w:left w:w="57" w:type="dxa"/>
              <w:right w:w="57" w:type="dxa"/>
            </w:tcMar>
          </w:tcPr>
          <w:p w14:paraId="75DA5EAC" w14:textId="754F6D99" w:rsidR="00C97367" w:rsidRPr="005128B6" w:rsidRDefault="00C97367" w:rsidP="00C97367">
            <w:pPr>
              <w:rPr>
                <w:sz w:val="22"/>
                <w:szCs w:val="22"/>
              </w:rPr>
            </w:pPr>
            <w:r w:rsidRPr="005128B6">
              <w:rPr>
                <w:sz w:val="22"/>
                <w:szCs w:val="22"/>
              </w:rPr>
              <w:t>Razvoj plinskog transportnog sustava</w:t>
            </w:r>
          </w:p>
        </w:tc>
        <w:tc>
          <w:tcPr>
            <w:tcW w:w="1134" w:type="dxa"/>
            <w:tcMar>
              <w:left w:w="57" w:type="dxa"/>
              <w:right w:w="57" w:type="dxa"/>
            </w:tcMar>
          </w:tcPr>
          <w:p w14:paraId="04CC360C" w14:textId="5B789683" w:rsidR="00C97367" w:rsidRPr="00016C6B" w:rsidRDefault="00C97367" w:rsidP="00C97367">
            <w:pPr>
              <w:rPr>
                <w:sz w:val="22"/>
                <w:szCs w:val="22"/>
              </w:rPr>
            </w:pPr>
            <w:r w:rsidRPr="00016C6B">
              <w:rPr>
                <w:sz w:val="22"/>
                <w:szCs w:val="22"/>
              </w:rPr>
              <w:t>1,2,3,5</w:t>
            </w:r>
          </w:p>
        </w:tc>
      </w:tr>
      <w:tr w:rsidR="00C97367" w:rsidRPr="005128B6" w14:paraId="5AFF248D" w14:textId="77777777" w:rsidTr="63259912">
        <w:tc>
          <w:tcPr>
            <w:tcW w:w="1124" w:type="dxa"/>
            <w:tcMar>
              <w:left w:w="57" w:type="dxa"/>
              <w:right w:w="57" w:type="dxa"/>
            </w:tcMar>
          </w:tcPr>
          <w:p w14:paraId="1E0FA763" w14:textId="573AA043" w:rsidR="00C97367" w:rsidRPr="005128B6" w:rsidRDefault="00C97367" w:rsidP="00C97367">
            <w:pPr>
              <w:rPr>
                <w:sz w:val="22"/>
                <w:szCs w:val="22"/>
              </w:rPr>
            </w:pPr>
            <w:r w:rsidRPr="005128B6">
              <w:rPr>
                <w:sz w:val="22"/>
                <w:szCs w:val="22"/>
              </w:rPr>
              <w:t>UET-3</w:t>
            </w:r>
          </w:p>
        </w:tc>
        <w:tc>
          <w:tcPr>
            <w:tcW w:w="1169" w:type="dxa"/>
            <w:tcMar>
              <w:left w:w="57" w:type="dxa"/>
              <w:right w:w="57" w:type="dxa"/>
            </w:tcMar>
          </w:tcPr>
          <w:p w14:paraId="59953869" w14:textId="77777777" w:rsidR="00C97367" w:rsidRPr="005128B6" w:rsidRDefault="00C97367" w:rsidP="00C97367">
            <w:pPr>
              <w:rPr>
                <w:sz w:val="22"/>
                <w:szCs w:val="22"/>
              </w:rPr>
            </w:pPr>
          </w:p>
        </w:tc>
        <w:tc>
          <w:tcPr>
            <w:tcW w:w="5919" w:type="dxa"/>
            <w:tcMar>
              <w:left w:w="57" w:type="dxa"/>
              <w:right w:w="57" w:type="dxa"/>
            </w:tcMar>
          </w:tcPr>
          <w:p w14:paraId="4CA1FDDE" w14:textId="4C92850A" w:rsidR="00C97367" w:rsidRPr="005128B6" w:rsidRDefault="00C97367" w:rsidP="00C97367">
            <w:pPr>
              <w:rPr>
                <w:sz w:val="22"/>
                <w:szCs w:val="22"/>
              </w:rPr>
            </w:pPr>
            <w:r w:rsidRPr="005128B6">
              <w:rPr>
                <w:sz w:val="22"/>
                <w:szCs w:val="22"/>
              </w:rPr>
              <w:t>Opremanje transportnog plinskog sustava za buduću mogućnost transporta do 100 % vodika</w:t>
            </w:r>
          </w:p>
        </w:tc>
        <w:tc>
          <w:tcPr>
            <w:tcW w:w="1134" w:type="dxa"/>
            <w:tcMar>
              <w:left w:w="57" w:type="dxa"/>
              <w:right w:w="57" w:type="dxa"/>
            </w:tcMar>
          </w:tcPr>
          <w:p w14:paraId="7D9512CC" w14:textId="27CB3FD0" w:rsidR="00C97367" w:rsidRPr="00016C6B" w:rsidRDefault="00AF4D63" w:rsidP="00C97367">
            <w:pPr>
              <w:rPr>
                <w:sz w:val="22"/>
                <w:szCs w:val="22"/>
              </w:rPr>
            </w:pPr>
            <w:r w:rsidRPr="00016C6B">
              <w:rPr>
                <w:sz w:val="22"/>
                <w:szCs w:val="22"/>
              </w:rPr>
              <w:t>1,2,3</w:t>
            </w:r>
          </w:p>
        </w:tc>
      </w:tr>
      <w:tr w:rsidR="00C97367" w:rsidRPr="005128B6" w14:paraId="49B9F4A3" w14:textId="77777777" w:rsidTr="63259912">
        <w:tc>
          <w:tcPr>
            <w:tcW w:w="1124" w:type="dxa"/>
            <w:tcMar>
              <w:left w:w="57" w:type="dxa"/>
              <w:right w:w="57" w:type="dxa"/>
            </w:tcMar>
          </w:tcPr>
          <w:p w14:paraId="68779E29" w14:textId="6E7E774D" w:rsidR="00C97367" w:rsidRPr="005128B6" w:rsidRDefault="00C97367" w:rsidP="00C97367">
            <w:pPr>
              <w:rPr>
                <w:sz w:val="22"/>
                <w:szCs w:val="22"/>
              </w:rPr>
            </w:pPr>
            <w:r w:rsidRPr="005128B6">
              <w:rPr>
                <w:sz w:val="22"/>
                <w:szCs w:val="22"/>
              </w:rPr>
              <w:t>UET-4</w:t>
            </w:r>
          </w:p>
        </w:tc>
        <w:tc>
          <w:tcPr>
            <w:tcW w:w="1169" w:type="dxa"/>
            <w:tcMar>
              <w:left w:w="57" w:type="dxa"/>
              <w:right w:w="57" w:type="dxa"/>
            </w:tcMar>
          </w:tcPr>
          <w:p w14:paraId="4FFB7CDC" w14:textId="77777777" w:rsidR="00C97367" w:rsidRPr="005128B6" w:rsidRDefault="00C97367" w:rsidP="00C97367">
            <w:pPr>
              <w:rPr>
                <w:sz w:val="22"/>
                <w:szCs w:val="22"/>
              </w:rPr>
            </w:pPr>
          </w:p>
        </w:tc>
        <w:tc>
          <w:tcPr>
            <w:tcW w:w="5919" w:type="dxa"/>
            <w:tcMar>
              <w:left w:w="57" w:type="dxa"/>
              <w:right w:w="57" w:type="dxa"/>
            </w:tcMar>
          </w:tcPr>
          <w:p w14:paraId="7DF1E853" w14:textId="3A25D380" w:rsidR="00C97367" w:rsidRPr="005128B6" w:rsidRDefault="00C97367" w:rsidP="00C97367">
            <w:pPr>
              <w:jc w:val="left"/>
              <w:rPr>
                <w:sz w:val="22"/>
                <w:szCs w:val="22"/>
              </w:rPr>
            </w:pPr>
            <w:r w:rsidRPr="005128B6">
              <w:rPr>
                <w:sz w:val="22"/>
                <w:szCs w:val="22"/>
              </w:rPr>
              <w:t xml:space="preserve">Analiza utjecaja pilot projekata </w:t>
            </w:r>
            <w:r w:rsidR="00E42F44">
              <w:rPr>
                <w:sz w:val="22"/>
                <w:szCs w:val="22"/>
              </w:rPr>
              <w:t>upravljanja potrošnjom</w:t>
            </w:r>
            <w:r w:rsidRPr="005128B6">
              <w:rPr>
                <w:sz w:val="22"/>
                <w:szCs w:val="22"/>
              </w:rPr>
              <w:t xml:space="preserve"> na distribucijsku mrežu</w:t>
            </w:r>
          </w:p>
        </w:tc>
        <w:tc>
          <w:tcPr>
            <w:tcW w:w="1134" w:type="dxa"/>
            <w:tcMar>
              <w:left w:w="57" w:type="dxa"/>
              <w:right w:w="57" w:type="dxa"/>
            </w:tcMar>
          </w:tcPr>
          <w:p w14:paraId="446AA147" w14:textId="0064AE6C" w:rsidR="00C97367" w:rsidRPr="00016C6B" w:rsidRDefault="008179B3" w:rsidP="00C97367">
            <w:pPr>
              <w:rPr>
                <w:sz w:val="22"/>
                <w:szCs w:val="22"/>
              </w:rPr>
            </w:pPr>
            <w:r>
              <w:rPr>
                <w:sz w:val="22"/>
                <w:szCs w:val="22"/>
              </w:rPr>
              <w:t>2</w:t>
            </w:r>
            <w:r w:rsidR="00481046">
              <w:rPr>
                <w:sz w:val="22"/>
                <w:szCs w:val="22"/>
              </w:rPr>
              <w:t>,5</w:t>
            </w:r>
          </w:p>
        </w:tc>
      </w:tr>
      <w:tr w:rsidR="00C97367" w:rsidRPr="005128B6" w14:paraId="24440E8D" w14:textId="77777777" w:rsidTr="63259912">
        <w:tc>
          <w:tcPr>
            <w:tcW w:w="1124" w:type="dxa"/>
            <w:tcMar>
              <w:left w:w="57" w:type="dxa"/>
              <w:right w:w="57" w:type="dxa"/>
            </w:tcMar>
          </w:tcPr>
          <w:p w14:paraId="0DFCD173" w14:textId="47A1762F" w:rsidR="00C97367" w:rsidRPr="005128B6" w:rsidRDefault="00C97367" w:rsidP="00C97367">
            <w:pPr>
              <w:rPr>
                <w:sz w:val="22"/>
                <w:szCs w:val="22"/>
              </w:rPr>
            </w:pPr>
            <w:r w:rsidRPr="005128B6">
              <w:rPr>
                <w:sz w:val="22"/>
                <w:szCs w:val="22"/>
              </w:rPr>
              <w:t>UET-5</w:t>
            </w:r>
          </w:p>
        </w:tc>
        <w:tc>
          <w:tcPr>
            <w:tcW w:w="1169" w:type="dxa"/>
            <w:tcMar>
              <w:left w:w="57" w:type="dxa"/>
              <w:right w:w="57" w:type="dxa"/>
            </w:tcMar>
          </w:tcPr>
          <w:p w14:paraId="36FBE732" w14:textId="77777777" w:rsidR="00C97367" w:rsidRPr="005128B6" w:rsidRDefault="00C97367" w:rsidP="00C97367">
            <w:pPr>
              <w:rPr>
                <w:sz w:val="22"/>
                <w:szCs w:val="22"/>
              </w:rPr>
            </w:pPr>
          </w:p>
        </w:tc>
        <w:tc>
          <w:tcPr>
            <w:tcW w:w="5919" w:type="dxa"/>
            <w:tcMar>
              <w:left w:w="57" w:type="dxa"/>
              <w:right w:w="57" w:type="dxa"/>
            </w:tcMar>
          </w:tcPr>
          <w:p w14:paraId="78E12867" w14:textId="582FAD51" w:rsidR="00C97367" w:rsidRPr="005128B6" w:rsidRDefault="00C97367" w:rsidP="00C97367">
            <w:pPr>
              <w:rPr>
                <w:sz w:val="22"/>
                <w:szCs w:val="22"/>
              </w:rPr>
            </w:pPr>
            <w:r w:rsidRPr="006D0EE1">
              <w:rPr>
                <w:sz w:val="22"/>
                <w:szCs w:val="22"/>
              </w:rPr>
              <w:t xml:space="preserve">Sufinanciranje provedbe projekata </w:t>
            </w:r>
            <w:r w:rsidR="00E42F44">
              <w:rPr>
                <w:sz w:val="22"/>
                <w:szCs w:val="22"/>
              </w:rPr>
              <w:t>upravljanja potrošnjom</w:t>
            </w:r>
          </w:p>
        </w:tc>
        <w:tc>
          <w:tcPr>
            <w:tcW w:w="1134" w:type="dxa"/>
            <w:tcMar>
              <w:left w:w="57" w:type="dxa"/>
              <w:right w:w="57" w:type="dxa"/>
            </w:tcMar>
          </w:tcPr>
          <w:p w14:paraId="70D7DCF1" w14:textId="39064B5B" w:rsidR="00C97367" w:rsidRPr="00016C6B" w:rsidRDefault="00481046" w:rsidP="00C97367">
            <w:pPr>
              <w:rPr>
                <w:sz w:val="22"/>
                <w:szCs w:val="22"/>
              </w:rPr>
            </w:pPr>
            <w:r>
              <w:rPr>
                <w:sz w:val="22"/>
                <w:szCs w:val="22"/>
              </w:rPr>
              <w:t>1,2,3,5</w:t>
            </w:r>
          </w:p>
        </w:tc>
      </w:tr>
      <w:tr w:rsidR="00C97367" w:rsidRPr="005128B6" w14:paraId="142007E6" w14:textId="77777777" w:rsidTr="63259912">
        <w:tc>
          <w:tcPr>
            <w:tcW w:w="1124" w:type="dxa"/>
            <w:tcMar>
              <w:left w:w="57" w:type="dxa"/>
              <w:right w:w="57" w:type="dxa"/>
            </w:tcMar>
          </w:tcPr>
          <w:p w14:paraId="642F2671" w14:textId="14F1B86E" w:rsidR="00C97367" w:rsidRPr="005128B6" w:rsidRDefault="00C97367" w:rsidP="00C97367">
            <w:pPr>
              <w:rPr>
                <w:sz w:val="22"/>
                <w:szCs w:val="22"/>
              </w:rPr>
            </w:pPr>
            <w:r w:rsidRPr="005128B6">
              <w:rPr>
                <w:sz w:val="22"/>
                <w:szCs w:val="22"/>
              </w:rPr>
              <w:t>UET-</w:t>
            </w:r>
            <w:r>
              <w:rPr>
                <w:sz w:val="22"/>
                <w:szCs w:val="22"/>
              </w:rPr>
              <w:t>6</w:t>
            </w:r>
          </w:p>
        </w:tc>
        <w:tc>
          <w:tcPr>
            <w:tcW w:w="1169" w:type="dxa"/>
            <w:tcMar>
              <w:left w:w="57" w:type="dxa"/>
              <w:right w:w="57" w:type="dxa"/>
            </w:tcMar>
          </w:tcPr>
          <w:p w14:paraId="7FE2A665" w14:textId="77777777" w:rsidR="00C97367" w:rsidRPr="005128B6" w:rsidRDefault="00C97367" w:rsidP="00C97367">
            <w:pPr>
              <w:rPr>
                <w:sz w:val="22"/>
                <w:szCs w:val="22"/>
              </w:rPr>
            </w:pPr>
          </w:p>
        </w:tc>
        <w:tc>
          <w:tcPr>
            <w:tcW w:w="5919" w:type="dxa"/>
            <w:tcMar>
              <w:left w:w="57" w:type="dxa"/>
              <w:right w:w="57" w:type="dxa"/>
            </w:tcMar>
          </w:tcPr>
          <w:p w14:paraId="35167FBB" w14:textId="440F786C" w:rsidR="00C97367" w:rsidRPr="005128B6" w:rsidRDefault="00C97367" w:rsidP="00C97367">
            <w:pPr>
              <w:rPr>
                <w:sz w:val="22"/>
                <w:szCs w:val="22"/>
              </w:rPr>
            </w:pPr>
            <w:r w:rsidRPr="005128B6">
              <w:rPr>
                <w:sz w:val="22"/>
                <w:szCs w:val="22"/>
              </w:rPr>
              <w:t>Razvoj nacionalnog tržišta uravnoteženja</w:t>
            </w:r>
          </w:p>
        </w:tc>
        <w:tc>
          <w:tcPr>
            <w:tcW w:w="1134" w:type="dxa"/>
            <w:tcMar>
              <w:left w:w="57" w:type="dxa"/>
              <w:right w:w="57" w:type="dxa"/>
            </w:tcMar>
          </w:tcPr>
          <w:p w14:paraId="3B2EF955" w14:textId="015197A5" w:rsidR="00C97367" w:rsidRPr="00016C6B" w:rsidRDefault="001828E5" w:rsidP="00C97367">
            <w:pPr>
              <w:rPr>
                <w:sz w:val="22"/>
                <w:szCs w:val="22"/>
              </w:rPr>
            </w:pPr>
            <w:r>
              <w:rPr>
                <w:sz w:val="22"/>
                <w:szCs w:val="22"/>
              </w:rPr>
              <w:t>2</w:t>
            </w:r>
          </w:p>
        </w:tc>
      </w:tr>
      <w:tr w:rsidR="00C97367" w:rsidRPr="005128B6" w14:paraId="17CCDFEB" w14:textId="77D351DD" w:rsidTr="63259912">
        <w:tc>
          <w:tcPr>
            <w:tcW w:w="1124" w:type="dxa"/>
            <w:tcMar>
              <w:left w:w="57" w:type="dxa"/>
              <w:right w:w="57" w:type="dxa"/>
            </w:tcMar>
          </w:tcPr>
          <w:p w14:paraId="1D6ED64A" w14:textId="2C6E9D88" w:rsidR="00C97367" w:rsidRPr="005128B6" w:rsidRDefault="00C97367" w:rsidP="00C97367">
            <w:pPr>
              <w:rPr>
                <w:sz w:val="22"/>
                <w:szCs w:val="22"/>
              </w:rPr>
            </w:pPr>
            <w:r w:rsidRPr="005128B6">
              <w:rPr>
                <w:sz w:val="22"/>
                <w:szCs w:val="22"/>
              </w:rPr>
              <w:t>UET-</w:t>
            </w:r>
            <w:r>
              <w:rPr>
                <w:sz w:val="22"/>
                <w:szCs w:val="22"/>
              </w:rPr>
              <w:t>7</w:t>
            </w:r>
          </w:p>
        </w:tc>
        <w:tc>
          <w:tcPr>
            <w:tcW w:w="1169" w:type="dxa"/>
            <w:tcMar>
              <w:left w:w="57" w:type="dxa"/>
              <w:right w:w="57" w:type="dxa"/>
            </w:tcMar>
          </w:tcPr>
          <w:p w14:paraId="65155FB6" w14:textId="756D33B3" w:rsidR="00C97367" w:rsidRPr="005128B6" w:rsidRDefault="00C97367" w:rsidP="00C97367">
            <w:pPr>
              <w:rPr>
                <w:sz w:val="22"/>
                <w:szCs w:val="22"/>
              </w:rPr>
            </w:pPr>
            <w:r w:rsidRPr="005128B6">
              <w:rPr>
                <w:sz w:val="22"/>
                <w:szCs w:val="22"/>
              </w:rPr>
              <w:t>MEN-29</w:t>
            </w:r>
          </w:p>
        </w:tc>
        <w:tc>
          <w:tcPr>
            <w:tcW w:w="5919" w:type="dxa"/>
            <w:tcMar>
              <w:left w:w="57" w:type="dxa"/>
              <w:right w:w="57" w:type="dxa"/>
            </w:tcMar>
          </w:tcPr>
          <w:p w14:paraId="401F9CBD" w14:textId="2591CA94" w:rsidR="00C97367" w:rsidRPr="005128B6" w:rsidRDefault="00C97367" w:rsidP="00C97367">
            <w:pPr>
              <w:rPr>
                <w:sz w:val="22"/>
                <w:szCs w:val="22"/>
              </w:rPr>
            </w:pPr>
            <w:r w:rsidRPr="005128B6">
              <w:rPr>
                <w:sz w:val="22"/>
                <w:szCs w:val="22"/>
              </w:rPr>
              <w:t>Razrada regulatornog okvira za aktivno sudjelovanje korisnika mreže na tržištu električne energije</w:t>
            </w:r>
          </w:p>
        </w:tc>
        <w:tc>
          <w:tcPr>
            <w:tcW w:w="1134" w:type="dxa"/>
            <w:tcMar>
              <w:left w:w="57" w:type="dxa"/>
              <w:right w:w="57" w:type="dxa"/>
            </w:tcMar>
          </w:tcPr>
          <w:p w14:paraId="63F02877" w14:textId="728482B7" w:rsidR="00C97367" w:rsidRPr="00016C6B" w:rsidRDefault="00C97367" w:rsidP="00C97367">
            <w:pPr>
              <w:rPr>
                <w:sz w:val="22"/>
                <w:szCs w:val="22"/>
              </w:rPr>
            </w:pPr>
            <w:r w:rsidRPr="00016C6B">
              <w:rPr>
                <w:sz w:val="22"/>
                <w:szCs w:val="22"/>
              </w:rPr>
              <w:t>1,3</w:t>
            </w:r>
          </w:p>
        </w:tc>
      </w:tr>
      <w:tr w:rsidR="00C97367" w:rsidRPr="005128B6" w14:paraId="0B7041DE" w14:textId="280F15D6" w:rsidTr="63259912">
        <w:tc>
          <w:tcPr>
            <w:tcW w:w="1124" w:type="dxa"/>
            <w:tcMar>
              <w:left w:w="57" w:type="dxa"/>
              <w:right w:w="57" w:type="dxa"/>
            </w:tcMar>
          </w:tcPr>
          <w:p w14:paraId="6DCE922E" w14:textId="2A9E3C14" w:rsidR="00C97367" w:rsidRPr="005128B6" w:rsidRDefault="00C97367" w:rsidP="00C97367">
            <w:pPr>
              <w:rPr>
                <w:sz w:val="22"/>
                <w:szCs w:val="22"/>
              </w:rPr>
            </w:pPr>
            <w:r w:rsidRPr="005128B6">
              <w:rPr>
                <w:sz w:val="22"/>
                <w:szCs w:val="22"/>
              </w:rPr>
              <w:t>UET-</w:t>
            </w:r>
            <w:r>
              <w:rPr>
                <w:sz w:val="22"/>
                <w:szCs w:val="22"/>
              </w:rPr>
              <w:t>8</w:t>
            </w:r>
          </w:p>
        </w:tc>
        <w:tc>
          <w:tcPr>
            <w:tcW w:w="1169" w:type="dxa"/>
            <w:tcMar>
              <w:left w:w="57" w:type="dxa"/>
              <w:right w:w="57" w:type="dxa"/>
            </w:tcMar>
          </w:tcPr>
          <w:p w14:paraId="623DE478" w14:textId="4BCBB1EF" w:rsidR="00C97367" w:rsidRPr="005128B6" w:rsidRDefault="00C97367" w:rsidP="00C97367">
            <w:pPr>
              <w:rPr>
                <w:sz w:val="22"/>
                <w:szCs w:val="22"/>
              </w:rPr>
            </w:pPr>
            <w:r w:rsidRPr="005128B6">
              <w:rPr>
                <w:sz w:val="22"/>
                <w:szCs w:val="22"/>
              </w:rPr>
              <w:t>MEN-30</w:t>
            </w:r>
          </w:p>
        </w:tc>
        <w:tc>
          <w:tcPr>
            <w:tcW w:w="5919" w:type="dxa"/>
            <w:tcMar>
              <w:left w:w="57" w:type="dxa"/>
              <w:right w:w="57" w:type="dxa"/>
            </w:tcMar>
          </w:tcPr>
          <w:p w14:paraId="28CAE998" w14:textId="258108DE" w:rsidR="00C97367" w:rsidRPr="005128B6" w:rsidRDefault="00C97367" w:rsidP="00C97367">
            <w:pPr>
              <w:rPr>
                <w:sz w:val="22"/>
                <w:szCs w:val="22"/>
              </w:rPr>
            </w:pPr>
            <w:r w:rsidRPr="005128B6">
              <w:rPr>
                <w:sz w:val="22"/>
                <w:szCs w:val="22"/>
              </w:rPr>
              <w:t>Uvođenje naprednih sustava mjerenja potrošnje i upravljanja mjernim podacima</w:t>
            </w:r>
          </w:p>
        </w:tc>
        <w:tc>
          <w:tcPr>
            <w:tcW w:w="1134" w:type="dxa"/>
            <w:tcMar>
              <w:left w:w="57" w:type="dxa"/>
              <w:right w:w="57" w:type="dxa"/>
            </w:tcMar>
          </w:tcPr>
          <w:p w14:paraId="4F0EF81D" w14:textId="51F202DE" w:rsidR="00C97367" w:rsidRPr="00016C6B" w:rsidRDefault="00C97367" w:rsidP="00C97367">
            <w:pPr>
              <w:rPr>
                <w:sz w:val="22"/>
                <w:szCs w:val="22"/>
              </w:rPr>
            </w:pPr>
            <w:r w:rsidRPr="00016C6B">
              <w:rPr>
                <w:sz w:val="22"/>
                <w:szCs w:val="22"/>
              </w:rPr>
              <w:t>1,</w:t>
            </w:r>
            <w:r w:rsidR="00B868C7">
              <w:rPr>
                <w:sz w:val="22"/>
                <w:szCs w:val="22"/>
              </w:rPr>
              <w:t>2,</w:t>
            </w:r>
            <w:r w:rsidRPr="00016C6B">
              <w:rPr>
                <w:sz w:val="22"/>
                <w:szCs w:val="22"/>
              </w:rPr>
              <w:t>3</w:t>
            </w:r>
          </w:p>
        </w:tc>
      </w:tr>
      <w:tr w:rsidR="00C97367" w:rsidRPr="005128B6" w14:paraId="7B8D231C" w14:textId="759DD2D1" w:rsidTr="63259912">
        <w:tc>
          <w:tcPr>
            <w:tcW w:w="1124" w:type="dxa"/>
            <w:tcMar>
              <w:left w:w="57" w:type="dxa"/>
              <w:right w:w="57" w:type="dxa"/>
            </w:tcMar>
          </w:tcPr>
          <w:p w14:paraId="0E547A2D" w14:textId="1373A4A8" w:rsidR="00C97367" w:rsidRPr="005128B6" w:rsidRDefault="00C97367" w:rsidP="00C97367">
            <w:pPr>
              <w:rPr>
                <w:sz w:val="22"/>
                <w:szCs w:val="22"/>
              </w:rPr>
            </w:pPr>
            <w:r w:rsidRPr="005128B6">
              <w:rPr>
                <w:sz w:val="22"/>
                <w:szCs w:val="22"/>
              </w:rPr>
              <w:t>UET-</w:t>
            </w:r>
            <w:r>
              <w:rPr>
                <w:sz w:val="22"/>
                <w:szCs w:val="22"/>
              </w:rPr>
              <w:t>9</w:t>
            </w:r>
          </w:p>
        </w:tc>
        <w:tc>
          <w:tcPr>
            <w:tcW w:w="1169" w:type="dxa"/>
            <w:tcMar>
              <w:left w:w="57" w:type="dxa"/>
              <w:right w:w="57" w:type="dxa"/>
            </w:tcMar>
          </w:tcPr>
          <w:p w14:paraId="4E78D42B" w14:textId="326E439C" w:rsidR="00C97367" w:rsidRPr="005128B6" w:rsidRDefault="00C97367" w:rsidP="00C97367">
            <w:pPr>
              <w:rPr>
                <w:sz w:val="22"/>
                <w:szCs w:val="22"/>
              </w:rPr>
            </w:pPr>
            <w:r w:rsidRPr="005128B6">
              <w:rPr>
                <w:sz w:val="22"/>
                <w:szCs w:val="22"/>
              </w:rPr>
              <w:t>MEN-31</w:t>
            </w:r>
          </w:p>
        </w:tc>
        <w:tc>
          <w:tcPr>
            <w:tcW w:w="5919" w:type="dxa"/>
            <w:tcMar>
              <w:left w:w="57" w:type="dxa"/>
              <w:right w:w="57" w:type="dxa"/>
            </w:tcMar>
          </w:tcPr>
          <w:p w14:paraId="59DFD8CD" w14:textId="5EB2D097" w:rsidR="00C97367" w:rsidRPr="005128B6" w:rsidRDefault="00C97367" w:rsidP="00C97367">
            <w:pPr>
              <w:rPr>
                <w:sz w:val="22"/>
                <w:szCs w:val="22"/>
              </w:rPr>
            </w:pPr>
            <w:r w:rsidRPr="005128B6">
              <w:rPr>
                <w:sz w:val="22"/>
                <w:szCs w:val="22"/>
              </w:rPr>
              <w:t>Usvajanje i provedba Programa suzbijanja energetskog siromaštva te Programa suzbijanja siromaštva u pogledu mobilnosti</w:t>
            </w:r>
          </w:p>
        </w:tc>
        <w:tc>
          <w:tcPr>
            <w:tcW w:w="1134" w:type="dxa"/>
            <w:tcMar>
              <w:left w:w="57" w:type="dxa"/>
              <w:right w:w="57" w:type="dxa"/>
            </w:tcMar>
          </w:tcPr>
          <w:p w14:paraId="3ACB8A90" w14:textId="3591F345" w:rsidR="00C97367" w:rsidRPr="00016C6B" w:rsidRDefault="00C97367" w:rsidP="00C97367">
            <w:pPr>
              <w:rPr>
                <w:sz w:val="22"/>
                <w:szCs w:val="22"/>
              </w:rPr>
            </w:pPr>
            <w:r w:rsidRPr="00016C6B">
              <w:rPr>
                <w:sz w:val="22"/>
                <w:szCs w:val="22"/>
              </w:rPr>
              <w:t>1,2</w:t>
            </w:r>
            <w:r w:rsidR="008374F0">
              <w:rPr>
                <w:sz w:val="22"/>
                <w:szCs w:val="22"/>
              </w:rPr>
              <w:t>,3</w:t>
            </w:r>
          </w:p>
        </w:tc>
      </w:tr>
      <w:tr w:rsidR="00C97367" w:rsidRPr="005128B6" w14:paraId="4ADE1013" w14:textId="77777777" w:rsidTr="63259912">
        <w:tc>
          <w:tcPr>
            <w:tcW w:w="1124" w:type="dxa"/>
            <w:tcMar>
              <w:left w:w="57" w:type="dxa"/>
              <w:right w:w="57" w:type="dxa"/>
            </w:tcMar>
          </w:tcPr>
          <w:p w14:paraId="7027F4BF" w14:textId="2DA01190" w:rsidR="00C97367" w:rsidRPr="005128B6" w:rsidRDefault="00C97367" w:rsidP="00C97367">
            <w:pPr>
              <w:rPr>
                <w:sz w:val="22"/>
                <w:szCs w:val="22"/>
              </w:rPr>
            </w:pPr>
            <w:r w:rsidRPr="005128B6">
              <w:rPr>
                <w:sz w:val="22"/>
                <w:szCs w:val="22"/>
              </w:rPr>
              <w:t>UET-</w:t>
            </w:r>
            <w:r>
              <w:rPr>
                <w:sz w:val="22"/>
                <w:szCs w:val="22"/>
              </w:rPr>
              <w:t>10</w:t>
            </w:r>
          </w:p>
        </w:tc>
        <w:tc>
          <w:tcPr>
            <w:tcW w:w="1169" w:type="dxa"/>
            <w:tcMar>
              <w:left w:w="57" w:type="dxa"/>
              <w:right w:w="57" w:type="dxa"/>
            </w:tcMar>
          </w:tcPr>
          <w:p w14:paraId="47E54191" w14:textId="77777777" w:rsidR="00C97367" w:rsidRPr="005128B6" w:rsidRDefault="00C97367" w:rsidP="00C97367">
            <w:pPr>
              <w:rPr>
                <w:sz w:val="22"/>
                <w:szCs w:val="22"/>
              </w:rPr>
            </w:pPr>
          </w:p>
        </w:tc>
        <w:tc>
          <w:tcPr>
            <w:tcW w:w="5919" w:type="dxa"/>
            <w:tcMar>
              <w:left w:w="57" w:type="dxa"/>
              <w:right w:w="57" w:type="dxa"/>
            </w:tcMar>
          </w:tcPr>
          <w:p w14:paraId="41112D05" w14:textId="70CE96F4" w:rsidR="00C97367" w:rsidRPr="005128B6" w:rsidRDefault="00C97367" w:rsidP="00C97367">
            <w:pPr>
              <w:rPr>
                <w:sz w:val="22"/>
                <w:szCs w:val="22"/>
              </w:rPr>
            </w:pPr>
            <w:r w:rsidRPr="005128B6">
              <w:rPr>
                <w:sz w:val="22"/>
                <w:szCs w:val="22"/>
              </w:rPr>
              <w:t xml:space="preserve">Provedba Programa suzbijanja energetskog siromaštva koji uključuje korištenje obnovljivih izvora energije u stambenim </w:t>
            </w:r>
            <w:r w:rsidRPr="005128B6">
              <w:rPr>
                <w:sz w:val="22"/>
                <w:szCs w:val="22"/>
              </w:rPr>
              <w:lastRenderedPageBreak/>
              <w:t>zgradama na potpomognutim područjima i područjima posebne državne skrbi za razdoblje do 2025. godine</w:t>
            </w:r>
          </w:p>
        </w:tc>
        <w:tc>
          <w:tcPr>
            <w:tcW w:w="1134" w:type="dxa"/>
            <w:tcMar>
              <w:left w:w="57" w:type="dxa"/>
              <w:right w:w="57" w:type="dxa"/>
            </w:tcMar>
          </w:tcPr>
          <w:p w14:paraId="4AF8EE62" w14:textId="63286255" w:rsidR="00C97367" w:rsidRPr="00016C6B" w:rsidRDefault="00C97367" w:rsidP="00C97367">
            <w:pPr>
              <w:rPr>
                <w:sz w:val="22"/>
                <w:szCs w:val="22"/>
              </w:rPr>
            </w:pPr>
            <w:r w:rsidRPr="00016C6B">
              <w:rPr>
                <w:sz w:val="22"/>
                <w:szCs w:val="22"/>
              </w:rPr>
              <w:lastRenderedPageBreak/>
              <w:t>1,2</w:t>
            </w:r>
            <w:r w:rsidR="008374F0">
              <w:rPr>
                <w:sz w:val="22"/>
                <w:szCs w:val="22"/>
              </w:rPr>
              <w:t>,3</w:t>
            </w:r>
          </w:p>
        </w:tc>
      </w:tr>
      <w:tr w:rsidR="00C97367" w:rsidRPr="005128B6" w14:paraId="32AC7D32" w14:textId="253525DC" w:rsidTr="63259912">
        <w:tc>
          <w:tcPr>
            <w:tcW w:w="9346" w:type="dxa"/>
            <w:gridSpan w:val="4"/>
            <w:tcMar>
              <w:left w:w="57" w:type="dxa"/>
              <w:right w:w="57" w:type="dxa"/>
            </w:tcMar>
          </w:tcPr>
          <w:p w14:paraId="5E7CCB43" w14:textId="555A6C0C" w:rsidR="00C97367" w:rsidRPr="00016C6B" w:rsidRDefault="00C97367" w:rsidP="00C97367">
            <w:pPr>
              <w:rPr>
                <w:b/>
                <w:bCs/>
                <w:sz w:val="22"/>
                <w:szCs w:val="22"/>
              </w:rPr>
            </w:pPr>
            <w:r w:rsidRPr="00016C6B">
              <w:rPr>
                <w:b/>
                <w:bCs/>
                <w:sz w:val="22"/>
                <w:szCs w:val="22"/>
              </w:rPr>
              <w:t>Istraživanje, inovacije i konkurentnost</w:t>
            </w:r>
          </w:p>
        </w:tc>
      </w:tr>
      <w:tr w:rsidR="00C97367" w:rsidRPr="005128B6" w14:paraId="6150203D" w14:textId="67D175F5" w:rsidTr="63259912">
        <w:tc>
          <w:tcPr>
            <w:tcW w:w="1124" w:type="dxa"/>
            <w:tcMar>
              <w:left w:w="57" w:type="dxa"/>
              <w:right w:w="57" w:type="dxa"/>
            </w:tcMar>
          </w:tcPr>
          <w:p w14:paraId="7DC940B5" w14:textId="609798E5" w:rsidR="00C97367" w:rsidRPr="005128B6" w:rsidRDefault="00C97367" w:rsidP="00C97367">
            <w:pPr>
              <w:rPr>
                <w:sz w:val="22"/>
                <w:szCs w:val="22"/>
              </w:rPr>
            </w:pPr>
            <w:r w:rsidRPr="005128B6">
              <w:rPr>
                <w:sz w:val="22"/>
                <w:szCs w:val="22"/>
              </w:rPr>
              <w:t>IIK-1</w:t>
            </w:r>
          </w:p>
        </w:tc>
        <w:tc>
          <w:tcPr>
            <w:tcW w:w="1169" w:type="dxa"/>
            <w:tcMar>
              <w:left w:w="57" w:type="dxa"/>
              <w:right w:w="57" w:type="dxa"/>
            </w:tcMar>
          </w:tcPr>
          <w:p w14:paraId="4F3EF904" w14:textId="12B0B8A2" w:rsidR="00C97367" w:rsidRPr="005128B6" w:rsidRDefault="00C97367" w:rsidP="00C97367">
            <w:pPr>
              <w:rPr>
                <w:sz w:val="22"/>
                <w:szCs w:val="22"/>
              </w:rPr>
            </w:pPr>
            <w:r w:rsidRPr="005128B6">
              <w:rPr>
                <w:sz w:val="22"/>
                <w:szCs w:val="22"/>
              </w:rPr>
              <w:t>MCC-17</w:t>
            </w:r>
          </w:p>
        </w:tc>
        <w:tc>
          <w:tcPr>
            <w:tcW w:w="5919" w:type="dxa"/>
            <w:tcMar>
              <w:left w:w="57" w:type="dxa"/>
              <w:right w:w="57" w:type="dxa"/>
            </w:tcMar>
          </w:tcPr>
          <w:p w14:paraId="2CC45398" w14:textId="5FCF7AF8" w:rsidR="00C97367" w:rsidRPr="005128B6" w:rsidRDefault="00C97367" w:rsidP="00C97367">
            <w:pPr>
              <w:rPr>
                <w:sz w:val="22"/>
                <w:szCs w:val="22"/>
              </w:rPr>
            </w:pPr>
            <w:r w:rsidRPr="005128B6">
              <w:rPr>
                <w:sz w:val="22"/>
                <w:szCs w:val="22"/>
              </w:rPr>
              <w:t>Uspostava sustava identifikacije i praćenja ostvarenja ciljeva istraživanja, inovacija i konkurentnosti</w:t>
            </w:r>
          </w:p>
        </w:tc>
        <w:tc>
          <w:tcPr>
            <w:tcW w:w="1134" w:type="dxa"/>
            <w:tcMar>
              <w:left w:w="57" w:type="dxa"/>
              <w:right w:w="57" w:type="dxa"/>
            </w:tcMar>
          </w:tcPr>
          <w:p w14:paraId="02C7C12B" w14:textId="26C92D94" w:rsidR="00C97367" w:rsidRPr="00016C6B" w:rsidRDefault="000E12F7" w:rsidP="00C97367">
            <w:pPr>
              <w:rPr>
                <w:sz w:val="22"/>
                <w:szCs w:val="22"/>
              </w:rPr>
            </w:pPr>
            <w:r w:rsidRPr="00016C6B">
              <w:rPr>
                <w:sz w:val="22"/>
                <w:szCs w:val="22"/>
              </w:rPr>
              <w:t>1,2,3,4</w:t>
            </w:r>
          </w:p>
        </w:tc>
      </w:tr>
      <w:tr w:rsidR="00C97367" w:rsidRPr="005128B6" w14:paraId="1A7F460B" w14:textId="77777777" w:rsidTr="63259912">
        <w:tc>
          <w:tcPr>
            <w:tcW w:w="1124" w:type="dxa"/>
            <w:tcMar>
              <w:left w:w="57" w:type="dxa"/>
              <w:right w:w="57" w:type="dxa"/>
            </w:tcMar>
          </w:tcPr>
          <w:p w14:paraId="3CDC2CD1" w14:textId="6A73A12C" w:rsidR="00C97367" w:rsidRPr="005128B6" w:rsidRDefault="00C97367" w:rsidP="00C97367">
            <w:pPr>
              <w:rPr>
                <w:sz w:val="22"/>
                <w:szCs w:val="22"/>
              </w:rPr>
            </w:pPr>
            <w:r w:rsidRPr="005128B6">
              <w:rPr>
                <w:sz w:val="22"/>
                <w:szCs w:val="22"/>
              </w:rPr>
              <w:t>IIK-2</w:t>
            </w:r>
          </w:p>
        </w:tc>
        <w:tc>
          <w:tcPr>
            <w:tcW w:w="1169" w:type="dxa"/>
            <w:tcMar>
              <w:left w:w="57" w:type="dxa"/>
              <w:right w:w="57" w:type="dxa"/>
            </w:tcMar>
          </w:tcPr>
          <w:p w14:paraId="65B01D46" w14:textId="15B01204" w:rsidR="00C97367" w:rsidRPr="005128B6" w:rsidRDefault="00C97367" w:rsidP="00C97367">
            <w:pPr>
              <w:rPr>
                <w:sz w:val="22"/>
                <w:szCs w:val="22"/>
              </w:rPr>
            </w:pPr>
            <w:r w:rsidRPr="005128B6">
              <w:rPr>
                <w:sz w:val="22"/>
                <w:szCs w:val="22"/>
              </w:rPr>
              <w:t>MCC-18</w:t>
            </w:r>
          </w:p>
        </w:tc>
        <w:tc>
          <w:tcPr>
            <w:tcW w:w="5919" w:type="dxa"/>
            <w:tcMar>
              <w:left w:w="57" w:type="dxa"/>
              <w:right w:w="57" w:type="dxa"/>
            </w:tcMar>
          </w:tcPr>
          <w:p w14:paraId="305FEDFB" w14:textId="5C3D697C" w:rsidR="00C97367" w:rsidRPr="005128B6" w:rsidRDefault="00C97367" w:rsidP="00C97367">
            <w:pPr>
              <w:rPr>
                <w:sz w:val="22"/>
                <w:szCs w:val="22"/>
              </w:rPr>
            </w:pPr>
            <w:r w:rsidRPr="005128B6">
              <w:rPr>
                <w:sz w:val="22"/>
                <w:szCs w:val="22"/>
              </w:rPr>
              <w:t>Uspostava sustavnog financiranja istraživačkih i razvojnih projekata</w:t>
            </w:r>
          </w:p>
        </w:tc>
        <w:tc>
          <w:tcPr>
            <w:tcW w:w="1134" w:type="dxa"/>
            <w:tcMar>
              <w:left w:w="57" w:type="dxa"/>
              <w:right w:w="57" w:type="dxa"/>
            </w:tcMar>
          </w:tcPr>
          <w:p w14:paraId="6B399112" w14:textId="1D70B273" w:rsidR="00C97367" w:rsidRPr="00016C6B" w:rsidRDefault="000E12F7" w:rsidP="00C97367">
            <w:pPr>
              <w:rPr>
                <w:sz w:val="22"/>
                <w:szCs w:val="22"/>
              </w:rPr>
            </w:pPr>
            <w:r w:rsidRPr="00016C6B">
              <w:rPr>
                <w:sz w:val="22"/>
                <w:szCs w:val="22"/>
              </w:rPr>
              <w:t>1,2,3,4</w:t>
            </w:r>
          </w:p>
        </w:tc>
      </w:tr>
      <w:tr w:rsidR="00C97367" w:rsidRPr="005128B6" w14:paraId="4C971D67" w14:textId="33E1A2AF" w:rsidTr="63259912">
        <w:tc>
          <w:tcPr>
            <w:tcW w:w="1124" w:type="dxa"/>
            <w:tcMar>
              <w:left w:w="57" w:type="dxa"/>
              <w:right w:w="57" w:type="dxa"/>
            </w:tcMar>
          </w:tcPr>
          <w:p w14:paraId="2BD9E2E1" w14:textId="218092F5" w:rsidR="00C97367" w:rsidRPr="005128B6" w:rsidRDefault="00C97367" w:rsidP="00C97367">
            <w:pPr>
              <w:rPr>
                <w:sz w:val="22"/>
                <w:szCs w:val="22"/>
              </w:rPr>
            </w:pPr>
            <w:r w:rsidRPr="005128B6">
              <w:rPr>
                <w:sz w:val="22"/>
                <w:szCs w:val="22"/>
              </w:rPr>
              <w:t>IIK-3</w:t>
            </w:r>
          </w:p>
        </w:tc>
        <w:tc>
          <w:tcPr>
            <w:tcW w:w="1169" w:type="dxa"/>
            <w:tcMar>
              <w:left w:w="57" w:type="dxa"/>
              <w:right w:w="57" w:type="dxa"/>
            </w:tcMar>
          </w:tcPr>
          <w:p w14:paraId="0062EBBE" w14:textId="3E837FBE" w:rsidR="00C97367" w:rsidRPr="005128B6" w:rsidRDefault="00C97367" w:rsidP="00C97367">
            <w:pPr>
              <w:rPr>
                <w:sz w:val="22"/>
                <w:szCs w:val="22"/>
              </w:rPr>
            </w:pPr>
            <w:r w:rsidRPr="005128B6">
              <w:rPr>
                <w:sz w:val="22"/>
                <w:szCs w:val="22"/>
              </w:rPr>
              <w:t>MCC-19</w:t>
            </w:r>
          </w:p>
        </w:tc>
        <w:tc>
          <w:tcPr>
            <w:tcW w:w="5919" w:type="dxa"/>
            <w:tcMar>
              <w:left w:w="57" w:type="dxa"/>
              <w:right w:w="57" w:type="dxa"/>
            </w:tcMar>
          </w:tcPr>
          <w:p w14:paraId="60E1AC2D" w14:textId="40820015" w:rsidR="00C97367" w:rsidRPr="005128B6" w:rsidRDefault="00C97367" w:rsidP="63259912">
            <w:pPr>
              <w:rPr>
                <w:sz w:val="22"/>
                <w:szCs w:val="22"/>
              </w:rPr>
            </w:pPr>
            <w:r w:rsidRPr="63259912">
              <w:rPr>
                <w:sz w:val="22"/>
                <w:szCs w:val="22"/>
              </w:rPr>
              <w:t>Jačanje konkurentnosti na području niskougljičnog gospodarstva</w:t>
            </w:r>
          </w:p>
        </w:tc>
        <w:tc>
          <w:tcPr>
            <w:tcW w:w="1134" w:type="dxa"/>
            <w:tcMar>
              <w:left w:w="57" w:type="dxa"/>
              <w:right w:w="57" w:type="dxa"/>
            </w:tcMar>
          </w:tcPr>
          <w:p w14:paraId="686E0531" w14:textId="4D7D9CE8" w:rsidR="00C97367" w:rsidRPr="00016C6B" w:rsidRDefault="000E12F7" w:rsidP="00C97367">
            <w:pPr>
              <w:rPr>
                <w:sz w:val="22"/>
                <w:szCs w:val="22"/>
              </w:rPr>
            </w:pPr>
            <w:r w:rsidRPr="00016C6B">
              <w:rPr>
                <w:sz w:val="22"/>
                <w:szCs w:val="22"/>
              </w:rPr>
              <w:t>1,2,3,4</w:t>
            </w:r>
          </w:p>
        </w:tc>
      </w:tr>
      <w:tr w:rsidR="00C97367" w:rsidRPr="005128B6" w14:paraId="141E1E72" w14:textId="2EAF6E6A" w:rsidTr="63259912">
        <w:tc>
          <w:tcPr>
            <w:tcW w:w="1124" w:type="dxa"/>
            <w:tcMar>
              <w:left w:w="57" w:type="dxa"/>
              <w:right w:w="57" w:type="dxa"/>
            </w:tcMar>
          </w:tcPr>
          <w:p w14:paraId="78793610" w14:textId="0F300330" w:rsidR="00C97367" w:rsidRPr="005128B6" w:rsidRDefault="00C97367" w:rsidP="00C97367">
            <w:pPr>
              <w:rPr>
                <w:sz w:val="22"/>
                <w:szCs w:val="22"/>
              </w:rPr>
            </w:pPr>
            <w:r w:rsidRPr="005128B6">
              <w:rPr>
                <w:sz w:val="22"/>
                <w:szCs w:val="22"/>
              </w:rPr>
              <w:t>IIK-4</w:t>
            </w:r>
          </w:p>
        </w:tc>
        <w:tc>
          <w:tcPr>
            <w:tcW w:w="1169" w:type="dxa"/>
            <w:tcMar>
              <w:left w:w="57" w:type="dxa"/>
              <w:right w:w="57" w:type="dxa"/>
            </w:tcMar>
          </w:tcPr>
          <w:p w14:paraId="134F11C4" w14:textId="6DD9808B" w:rsidR="00C97367" w:rsidRPr="005128B6" w:rsidRDefault="00C97367" w:rsidP="00C97367">
            <w:pPr>
              <w:rPr>
                <w:sz w:val="22"/>
                <w:szCs w:val="22"/>
              </w:rPr>
            </w:pPr>
            <w:r w:rsidRPr="005128B6">
              <w:rPr>
                <w:sz w:val="22"/>
                <w:szCs w:val="22"/>
              </w:rPr>
              <w:t>MCC-20</w:t>
            </w:r>
          </w:p>
        </w:tc>
        <w:tc>
          <w:tcPr>
            <w:tcW w:w="5919" w:type="dxa"/>
            <w:tcMar>
              <w:left w:w="57" w:type="dxa"/>
              <w:right w:w="57" w:type="dxa"/>
            </w:tcMar>
          </w:tcPr>
          <w:p w14:paraId="5D1BF1F5" w14:textId="6FE5EFBF" w:rsidR="00C97367" w:rsidRPr="005128B6" w:rsidRDefault="00C97367" w:rsidP="63259912">
            <w:pPr>
              <w:rPr>
                <w:sz w:val="22"/>
                <w:szCs w:val="22"/>
              </w:rPr>
            </w:pPr>
            <w:r w:rsidRPr="63259912">
              <w:rPr>
                <w:sz w:val="22"/>
                <w:szCs w:val="22"/>
              </w:rPr>
              <w:t>Transfer znanja i tehnologija iz sustava znanosti u sustav gospodarstva s naglaskom na niskougljične tehnologije</w:t>
            </w:r>
          </w:p>
        </w:tc>
        <w:tc>
          <w:tcPr>
            <w:tcW w:w="1134" w:type="dxa"/>
            <w:tcMar>
              <w:left w:w="57" w:type="dxa"/>
              <w:right w:w="57" w:type="dxa"/>
            </w:tcMar>
          </w:tcPr>
          <w:p w14:paraId="0F854206" w14:textId="448BC89D" w:rsidR="00C97367" w:rsidRPr="00016C6B" w:rsidRDefault="000E12F7" w:rsidP="00C97367">
            <w:pPr>
              <w:rPr>
                <w:sz w:val="22"/>
                <w:szCs w:val="22"/>
              </w:rPr>
            </w:pPr>
            <w:r w:rsidRPr="00016C6B">
              <w:rPr>
                <w:sz w:val="22"/>
                <w:szCs w:val="22"/>
              </w:rPr>
              <w:t>1,2,3,4</w:t>
            </w:r>
          </w:p>
        </w:tc>
      </w:tr>
      <w:tr w:rsidR="00C97367" w:rsidRPr="005128B6" w14:paraId="57C47B39" w14:textId="77777777" w:rsidTr="63259912">
        <w:tc>
          <w:tcPr>
            <w:tcW w:w="1124" w:type="dxa"/>
            <w:tcMar>
              <w:left w:w="57" w:type="dxa"/>
              <w:right w:w="57" w:type="dxa"/>
            </w:tcMar>
          </w:tcPr>
          <w:p w14:paraId="30ACDE3B" w14:textId="3750D428" w:rsidR="00C97367" w:rsidRPr="005128B6" w:rsidRDefault="00C97367" w:rsidP="00C97367">
            <w:pPr>
              <w:rPr>
                <w:sz w:val="22"/>
                <w:szCs w:val="22"/>
              </w:rPr>
            </w:pPr>
            <w:r w:rsidRPr="005128B6">
              <w:rPr>
                <w:sz w:val="22"/>
                <w:szCs w:val="22"/>
              </w:rPr>
              <w:t>IIK-5</w:t>
            </w:r>
          </w:p>
        </w:tc>
        <w:tc>
          <w:tcPr>
            <w:tcW w:w="1169" w:type="dxa"/>
            <w:tcMar>
              <w:left w:w="57" w:type="dxa"/>
              <w:right w:w="57" w:type="dxa"/>
            </w:tcMar>
          </w:tcPr>
          <w:p w14:paraId="328BDB21" w14:textId="34BFE7AA" w:rsidR="00C97367" w:rsidRPr="005128B6" w:rsidRDefault="00C97367" w:rsidP="00C97367">
            <w:pPr>
              <w:rPr>
                <w:sz w:val="22"/>
                <w:szCs w:val="22"/>
              </w:rPr>
            </w:pPr>
            <w:r w:rsidRPr="005128B6">
              <w:rPr>
                <w:sz w:val="22"/>
                <w:szCs w:val="22"/>
              </w:rPr>
              <w:t>MCC-21</w:t>
            </w:r>
          </w:p>
        </w:tc>
        <w:tc>
          <w:tcPr>
            <w:tcW w:w="5919" w:type="dxa"/>
            <w:tcMar>
              <w:left w:w="57" w:type="dxa"/>
              <w:right w:w="57" w:type="dxa"/>
            </w:tcMar>
          </w:tcPr>
          <w:p w14:paraId="72D64549" w14:textId="5ABE3CE9" w:rsidR="00C97367" w:rsidRPr="005128B6" w:rsidRDefault="00C97367" w:rsidP="00C97367">
            <w:pPr>
              <w:rPr>
                <w:sz w:val="22"/>
                <w:szCs w:val="22"/>
              </w:rPr>
            </w:pPr>
            <w:r w:rsidRPr="005128B6">
              <w:rPr>
                <w:sz w:val="22"/>
                <w:szCs w:val="22"/>
              </w:rPr>
              <w:t>Jačanje znanstvenih centara izvrsnosti osnovanih u području prirodnih, tehnički</w:t>
            </w:r>
            <w:r w:rsidR="00912016">
              <w:rPr>
                <w:sz w:val="22"/>
                <w:szCs w:val="22"/>
              </w:rPr>
              <w:t>h</w:t>
            </w:r>
            <w:r w:rsidRPr="005128B6">
              <w:rPr>
                <w:sz w:val="22"/>
                <w:szCs w:val="22"/>
              </w:rPr>
              <w:t>, biotehnički</w:t>
            </w:r>
            <w:r w:rsidR="00912016">
              <w:rPr>
                <w:sz w:val="22"/>
                <w:szCs w:val="22"/>
              </w:rPr>
              <w:t>h</w:t>
            </w:r>
            <w:r w:rsidRPr="005128B6">
              <w:rPr>
                <w:sz w:val="22"/>
                <w:szCs w:val="22"/>
              </w:rPr>
              <w:t xml:space="preserve"> i biomedicinskih znanosti</w:t>
            </w:r>
          </w:p>
        </w:tc>
        <w:tc>
          <w:tcPr>
            <w:tcW w:w="1134" w:type="dxa"/>
            <w:tcMar>
              <w:left w:w="57" w:type="dxa"/>
              <w:right w:w="57" w:type="dxa"/>
            </w:tcMar>
          </w:tcPr>
          <w:p w14:paraId="212D0924" w14:textId="6E1E2CCA" w:rsidR="00C97367" w:rsidRPr="00016C6B" w:rsidRDefault="000E12F7" w:rsidP="00C97367">
            <w:pPr>
              <w:rPr>
                <w:sz w:val="22"/>
                <w:szCs w:val="22"/>
              </w:rPr>
            </w:pPr>
            <w:r w:rsidRPr="00016C6B">
              <w:rPr>
                <w:sz w:val="22"/>
                <w:szCs w:val="22"/>
              </w:rPr>
              <w:t>1,2,3,4</w:t>
            </w:r>
          </w:p>
        </w:tc>
      </w:tr>
      <w:tr w:rsidR="00C97367" w:rsidRPr="005128B6" w14:paraId="75F3306B" w14:textId="77777777" w:rsidTr="63259912">
        <w:tc>
          <w:tcPr>
            <w:tcW w:w="1124" w:type="dxa"/>
            <w:tcMar>
              <w:left w:w="57" w:type="dxa"/>
              <w:right w:w="57" w:type="dxa"/>
            </w:tcMar>
          </w:tcPr>
          <w:p w14:paraId="26BF9B91" w14:textId="4435B0C9" w:rsidR="00C97367" w:rsidRPr="005128B6" w:rsidRDefault="00C97367" w:rsidP="00C97367">
            <w:pPr>
              <w:rPr>
                <w:sz w:val="22"/>
                <w:szCs w:val="22"/>
              </w:rPr>
            </w:pPr>
            <w:r w:rsidRPr="005128B6">
              <w:rPr>
                <w:sz w:val="22"/>
                <w:szCs w:val="22"/>
              </w:rPr>
              <w:t>IIK-6</w:t>
            </w:r>
          </w:p>
        </w:tc>
        <w:tc>
          <w:tcPr>
            <w:tcW w:w="1169" w:type="dxa"/>
            <w:tcMar>
              <w:left w:w="57" w:type="dxa"/>
              <w:right w:w="57" w:type="dxa"/>
            </w:tcMar>
          </w:tcPr>
          <w:p w14:paraId="408463C5" w14:textId="7BF971CD" w:rsidR="00C97367" w:rsidRPr="005128B6" w:rsidRDefault="00C97367" w:rsidP="00C97367">
            <w:pPr>
              <w:rPr>
                <w:sz w:val="22"/>
                <w:szCs w:val="22"/>
              </w:rPr>
            </w:pPr>
            <w:r w:rsidRPr="005128B6">
              <w:rPr>
                <w:sz w:val="22"/>
                <w:szCs w:val="22"/>
              </w:rPr>
              <w:t>MCC-22</w:t>
            </w:r>
          </w:p>
        </w:tc>
        <w:tc>
          <w:tcPr>
            <w:tcW w:w="5919" w:type="dxa"/>
            <w:tcMar>
              <w:left w:w="57" w:type="dxa"/>
              <w:right w:w="57" w:type="dxa"/>
            </w:tcMar>
          </w:tcPr>
          <w:p w14:paraId="1FBFC35F" w14:textId="5E0D6503" w:rsidR="00C97367" w:rsidRPr="005128B6" w:rsidRDefault="00C97367" w:rsidP="63259912">
            <w:pPr>
              <w:rPr>
                <w:sz w:val="22"/>
                <w:szCs w:val="22"/>
              </w:rPr>
            </w:pPr>
            <w:r w:rsidRPr="63259912">
              <w:rPr>
                <w:sz w:val="22"/>
                <w:szCs w:val="22"/>
              </w:rPr>
              <w:t>Jačanje istraživanja i inovacija te povećanje konkurentnosti u području niskougljičnog gospodarstva</w:t>
            </w:r>
          </w:p>
        </w:tc>
        <w:tc>
          <w:tcPr>
            <w:tcW w:w="1134" w:type="dxa"/>
            <w:tcMar>
              <w:left w:w="57" w:type="dxa"/>
              <w:right w:w="57" w:type="dxa"/>
            </w:tcMar>
          </w:tcPr>
          <w:p w14:paraId="1AB6E81C" w14:textId="5589FF57" w:rsidR="00C97367" w:rsidRPr="00016C6B" w:rsidRDefault="00C97367" w:rsidP="00C97367">
            <w:pPr>
              <w:rPr>
                <w:sz w:val="22"/>
                <w:szCs w:val="22"/>
              </w:rPr>
            </w:pPr>
            <w:r w:rsidRPr="00016C6B">
              <w:rPr>
                <w:sz w:val="22"/>
                <w:szCs w:val="22"/>
              </w:rPr>
              <w:t>1,2,3,4</w:t>
            </w:r>
          </w:p>
        </w:tc>
      </w:tr>
      <w:tr w:rsidR="00C97367" w:rsidRPr="005128B6" w14:paraId="249F9E01" w14:textId="77777777" w:rsidTr="63259912">
        <w:tc>
          <w:tcPr>
            <w:tcW w:w="1124" w:type="dxa"/>
            <w:tcMar>
              <w:left w:w="57" w:type="dxa"/>
              <w:right w:w="57" w:type="dxa"/>
            </w:tcMar>
          </w:tcPr>
          <w:p w14:paraId="73BC727E" w14:textId="15947D9D" w:rsidR="00C97367" w:rsidRPr="005128B6" w:rsidRDefault="00C97367" w:rsidP="00C97367">
            <w:pPr>
              <w:rPr>
                <w:sz w:val="22"/>
                <w:szCs w:val="22"/>
              </w:rPr>
            </w:pPr>
            <w:r>
              <w:rPr>
                <w:sz w:val="22"/>
                <w:szCs w:val="22"/>
              </w:rPr>
              <w:t>IIK-7</w:t>
            </w:r>
          </w:p>
        </w:tc>
        <w:tc>
          <w:tcPr>
            <w:tcW w:w="1169" w:type="dxa"/>
            <w:tcMar>
              <w:left w:w="57" w:type="dxa"/>
              <w:right w:w="57" w:type="dxa"/>
            </w:tcMar>
          </w:tcPr>
          <w:p w14:paraId="1F8137F9" w14:textId="77777777" w:rsidR="00C97367" w:rsidRPr="005128B6" w:rsidRDefault="00C97367" w:rsidP="00C97367">
            <w:pPr>
              <w:rPr>
                <w:sz w:val="22"/>
                <w:szCs w:val="22"/>
              </w:rPr>
            </w:pPr>
          </w:p>
        </w:tc>
        <w:tc>
          <w:tcPr>
            <w:tcW w:w="5919" w:type="dxa"/>
            <w:tcMar>
              <w:left w:w="57" w:type="dxa"/>
              <w:right w:w="57" w:type="dxa"/>
            </w:tcMar>
          </w:tcPr>
          <w:p w14:paraId="3B4D0A06" w14:textId="40ADA4AA" w:rsidR="00C97367" w:rsidRPr="005128B6" w:rsidRDefault="00C97367" w:rsidP="00C97367">
            <w:pPr>
              <w:rPr>
                <w:sz w:val="22"/>
                <w:szCs w:val="22"/>
              </w:rPr>
            </w:pPr>
            <w:r>
              <w:rPr>
                <w:sz w:val="22"/>
                <w:szCs w:val="22"/>
              </w:rPr>
              <w:t>Analitičke podloge za zelenu tranziciju</w:t>
            </w:r>
          </w:p>
        </w:tc>
        <w:tc>
          <w:tcPr>
            <w:tcW w:w="1134" w:type="dxa"/>
            <w:tcMar>
              <w:left w:w="57" w:type="dxa"/>
              <w:right w:w="57" w:type="dxa"/>
            </w:tcMar>
          </w:tcPr>
          <w:p w14:paraId="1586555C" w14:textId="7A2E9EE9" w:rsidR="00C97367" w:rsidRPr="00016C6B" w:rsidRDefault="00C97367" w:rsidP="00C97367">
            <w:pPr>
              <w:rPr>
                <w:sz w:val="22"/>
                <w:szCs w:val="22"/>
              </w:rPr>
            </w:pPr>
            <w:r w:rsidRPr="00016C6B">
              <w:rPr>
                <w:sz w:val="22"/>
                <w:szCs w:val="22"/>
              </w:rPr>
              <w:t>1,2,3,4</w:t>
            </w:r>
          </w:p>
        </w:tc>
      </w:tr>
    </w:tbl>
    <w:p w14:paraId="190B9CB3" w14:textId="2067517F" w:rsidR="00FF0CF3" w:rsidRPr="00B47BDA" w:rsidRDefault="00FF0CF3" w:rsidP="005C2C7E">
      <w:pPr>
        <w:pStyle w:val="Heading2"/>
        <w:numPr>
          <w:ilvl w:val="1"/>
          <w:numId w:val="175"/>
        </w:numPr>
      </w:pPr>
      <w:bookmarkStart w:id="37" w:name="_Toc531702922"/>
      <w:bookmarkStart w:id="38" w:name="_Toc531801472"/>
      <w:bookmarkStart w:id="39" w:name="_Toc531801601"/>
      <w:bookmarkStart w:id="40" w:name="_Toc531801727"/>
      <w:bookmarkStart w:id="41" w:name="_Toc531801855"/>
      <w:bookmarkStart w:id="42" w:name="_Toc531702925"/>
      <w:bookmarkStart w:id="43" w:name="_Toc531801475"/>
      <w:bookmarkStart w:id="44" w:name="_Toc531801604"/>
      <w:bookmarkStart w:id="45" w:name="_Toc531801730"/>
      <w:bookmarkStart w:id="46" w:name="_Toc531801858"/>
      <w:bookmarkStart w:id="47" w:name="_Toc531702928"/>
      <w:bookmarkStart w:id="48" w:name="_Toc531801478"/>
      <w:bookmarkStart w:id="49" w:name="_Toc531801607"/>
      <w:bookmarkStart w:id="50" w:name="_Toc531801733"/>
      <w:bookmarkStart w:id="51" w:name="_Toc531801861"/>
      <w:bookmarkStart w:id="52" w:name="_Toc531702931"/>
      <w:bookmarkStart w:id="53" w:name="_Toc531801481"/>
      <w:bookmarkStart w:id="54" w:name="_Toc531801610"/>
      <w:bookmarkStart w:id="55" w:name="_Toc531801736"/>
      <w:bookmarkStart w:id="56" w:name="_Toc531801864"/>
      <w:bookmarkStart w:id="57" w:name="_Toc531702932"/>
      <w:bookmarkStart w:id="58" w:name="_Toc531801482"/>
      <w:bookmarkStart w:id="59" w:name="_Toc531801611"/>
      <w:bookmarkStart w:id="60" w:name="_Toc531801737"/>
      <w:bookmarkStart w:id="61" w:name="_Toc531801865"/>
      <w:bookmarkStart w:id="62" w:name="_Toc531702933"/>
      <w:bookmarkStart w:id="63" w:name="_Toc531801483"/>
      <w:bookmarkStart w:id="64" w:name="_Toc531801612"/>
      <w:bookmarkStart w:id="65" w:name="_Toc531801738"/>
      <w:bookmarkStart w:id="66" w:name="_Toc531801866"/>
      <w:bookmarkStart w:id="67" w:name="_Toc531934947"/>
      <w:bookmarkStart w:id="68" w:name="_Toc531945073"/>
      <w:bookmarkStart w:id="69" w:name="_Toc6302329"/>
      <w:bookmarkStart w:id="70" w:name="_Toc187418328"/>
      <w:bookmarkStart w:id="71" w:name="_Toc193043253"/>
      <w:bookmarkEnd w:id="3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B47BDA">
        <w:t>Pregled trenutačnog stanja u pogledu politika</w:t>
      </w:r>
      <w:bookmarkEnd w:id="67"/>
      <w:bookmarkEnd w:id="68"/>
      <w:bookmarkEnd w:id="69"/>
      <w:bookmarkEnd w:id="70"/>
      <w:bookmarkEnd w:id="71"/>
      <w:r w:rsidRPr="00B47BDA">
        <w:t xml:space="preserve"> </w:t>
      </w:r>
    </w:p>
    <w:p w14:paraId="205961CC" w14:textId="63CFA8DA" w:rsidR="00D95386" w:rsidRPr="00B47BDA" w:rsidRDefault="00D95386" w:rsidP="00601BC4">
      <w:pPr>
        <w:pStyle w:val="Heading4"/>
        <w:numPr>
          <w:ilvl w:val="3"/>
          <w:numId w:val="175"/>
        </w:numPr>
        <w:ind w:hanging="580"/>
      </w:pPr>
      <w:bookmarkStart w:id="72" w:name="_Toc531934948"/>
      <w:bookmarkStart w:id="73" w:name="_Toc531945074"/>
      <w:bookmarkStart w:id="74" w:name="_Toc6302330"/>
      <w:r w:rsidRPr="00B47BDA">
        <w:t>Nacionalni energetski sustav te kontekst politika nacionalnog plana</w:t>
      </w:r>
      <w:bookmarkEnd w:id="72"/>
      <w:bookmarkEnd w:id="73"/>
      <w:bookmarkEnd w:id="74"/>
    </w:p>
    <w:p w14:paraId="1C82A2DA" w14:textId="1531CBBD" w:rsidR="0072671B" w:rsidRPr="00B47BDA" w:rsidRDefault="004E5AE8" w:rsidP="004623DD">
      <w:r w:rsidRPr="00B47BDA">
        <w:t xml:space="preserve">Osnovne pokazatelje </w:t>
      </w:r>
      <w:r w:rsidR="00D95386" w:rsidRPr="00B47BDA">
        <w:t xml:space="preserve">razvoja potrošnje energije i </w:t>
      </w:r>
      <w:r w:rsidRPr="00B47BDA">
        <w:t>ekonomske pokazatelje</w:t>
      </w:r>
      <w:r w:rsidR="0072671B" w:rsidRPr="00B47BDA">
        <w:t xml:space="preserve">: </w:t>
      </w:r>
    </w:p>
    <w:p w14:paraId="69CC4420" w14:textId="4DAD92AC" w:rsidR="0072671B" w:rsidRPr="00B47BDA" w:rsidRDefault="004E5AE8" w:rsidP="002C51A2">
      <w:pPr>
        <w:pStyle w:val="ListParagraph"/>
        <w:numPr>
          <w:ilvl w:val="0"/>
          <w:numId w:val="25"/>
        </w:numPr>
        <w:spacing w:after="60"/>
        <w:ind w:left="714" w:hanging="357"/>
      </w:pPr>
      <w:r w:rsidRPr="20C1EDF1">
        <w:rPr>
          <w:lang w:val="en-US"/>
        </w:rPr>
        <w:t>GDP</w:t>
      </w:r>
      <w:r w:rsidR="004A02A0" w:rsidRPr="20C1EDF1">
        <w:rPr>
          <w:lang w:val="en-US"/>
        </w:rPr>
        <w:t xml:space="preserve"> </w:t>
      </w:r>
      <w:r w:rsidR="0072671B" w:rsidRPr="20C1EDF1">
        <w:rPr>
          <w:lang w:val="en-US"/>
        </w:rPr>
        <w:t>(</w:t>
      </w:r>
      <w:proofErr w:type="spellStart"/>
      <w:r w:rsidR="75800D0A" w:rsidRPr="20C1EDF1">
        <w:rPr>
          <w:lang w:val="en-US"/>
        </w:rPr>
        <w:t>eng</w:t>
      </w:r>
      <w:r w:rsidR="68641E61" w:rsidRPr="20C1EDF1">
        <w:rPr>
          <w:lang w:val="en-US"/>
        </w:rPr>
        <w:t>l</w:t>
      </w:r>
      <w:r w:rsidR="75800D0A" w:rsidRPr="20C1EDF1">
        <w:rPr>
          <w:lang w:val="en-US"/>
        </w:rPr>
        <w:t>.</w:t>
      </w:r>
      <w:proofErr w:type="spellEnd"/>
      <w:r w:rsidR="0072671B" w:rsidRPr="20C1EDF1">
        <w:rPr>
          <w:lang w:val="en-US"/>
        </w:rPr>
        <w:t xml:space="preserve"> </w:t>
      </w:r>
      <w:r w:rsidR="004A02A0" w:rsidRPr="00A20155">
        <w:rPr>
          <w:i/>
          <w:lang w:val="en-US"/>
        </w:rPr>
        <w:t>Gross Domestic Product</w:t>
      </w:r>
      <w:r w:rsidR="0072671B" w:rsidRPr="20C1EDF1">
        <w:rPr>
          <w:lang w:val="en-US"/>
        </w:rPr>
        <w:t xml:space="preserve">) – </w:t>
      </w:r>
      <w:proofErr w:type="spellStart"/>
      <w:r w:rsidR="004A02A0" w:rsidRPr="20C1EDF1">
        <w:rPr>
          <w:lang w:val="en-US"/>
        </w:rPr>
        <w:t>bruto</w:t>
      </w:r>
      <w:proofErr w:type="spellEnd"/>
      <w:r w:rsidR="004A02A0" w:rsidRPr="20C1EDF1">
        <w:rPr>
          <w:lang w:val="en-US"/>
        </w:rPr>
        <w:t xml:space="preserve"> </w:t>
      </w:r>
      <w:proofErr w:type="spellStart"/>
      <w:r w:rsidR="004A02A0" w:rsidRPr="20C1EDF1">
        <w:rPr>
          <w:lang w:val="en-US"/>
        </w:rPr>
        <w:t>domaći</w:t>
      </w:r>
      <w:proofErr w:type="spellEnd"/>
      <w:r w:rsidR="004A02A0" w:rsidRPr="20C1EDF1">
        <w:rPr>
          <w:lang w:val="en-US"/>
        </w:rPr>
        <w:t xml:space="preserve"> </w:t>
      </w:r>
      <w:proofErr w:type="spellStart"/>
      <w:r w:rsidR="004A02A0" w:rsidRPr="20C1EDF1">
        <w:rPr>
          <w:lang w:val="en-US"/>
        </w:rPr>
        <w:t>proizvod</w:t>
      </w:r>
      <w:proofErr w:type="spellEnd"/>
      <w:r w:rsidR="4C971693" w:rsidRPr="20C1EDF1">
        <w:rPr>
          <w:lang w:val="en-US"/>
        </w:rPr>
        <w:t>,</w:t>
      </w:r>
      <w:r w:rsidRPr="20C1EDF1">
        <w:rPr>
          <w:lang w:val="en-US"/>
        </w:rPr>
        <w:t xml:space="preserve"> </w:t>
      </w:r>
    </w:p>
    <w:p w14:paraId="3057D9D1" w14:textId="16E0B198" w:rsidR="0072671B" w:rsidRPr="00B47BDA" w:rsidRDefault="004E5AE8" w:rsidP="002C51A2">
      <w:pPr>
        <w:pStyle w:val="ListParagraph"/>
        <w:numPr>
          <w:ilvl w:val="0"/>
          <w:numId w:val="25"/>
        </w:numPr>
        <w:spacing w:after="60"/>
        <w:ind w:left="714" w:hanging="357"/>
      </w:pPr>
      <w:r w:rsidRPr="20C1EDF1">
        <w:rPr>
          <w:lang w:val="en-US"/>
        </w:rPr>
        <w:t>TPES</w:t>
      </w:r>
      <w:r w:rsidR="004A02A0" w:rsidRPr="20C1EDF1">
        <w:rPr>
          <w:lang w:val="en-US"/>
        </w:rPr>
        <w:t xml:space="preserve"> </w:t>
      </w:r>
      <w:r w:rsidR="00161C0C" w:rsidRPr="20C1EDF1">
        <w:rPr>
          <w:lang w:val="en-US"/>
        </w:rPr>
        <w:t>(</w:t>
      </w:r>
      <w:proofErr w:type="spellStart"/>
      <w:r w:rsidR="0AB224E0" w:rsidRPr="20C1EDF1">
        <w:rPr>
          <w:lang w:val="en-US"/>
        </w:rPr>
        <w:t>eng</w:t>
      </w:r>
      <w:r w:rsidR="59F62BCE" w:rsidRPr="20C1EDF1">
        <w:rPr>
          <w:lang w:val="en-US"/>
        </w:rPr>
        <w:t>l</w:t>
      </w:r>
      <w:r w:rsidR="0AB224E0" w:rsidRPr="20C1EDF1">
        <w:rPr>
          <w:lang w:val="en-US"/>
        </w:rPr>
        <w:t>.</w:t>
      </w:r>
      <w:proofErr w:type="spellEnd"/>
      <w:r w:rsidR="00161C0C" w:rsidRPr="20C1EDF1">
        <w:rPr>
          <w:lang w:val="en-US"/>
        </w:rPr>
        <w:t xml:space="preserve"> </w:t>
      </w:r>
      <w:r w:rsidR="004A02A0" w:rsidRPr="00A20155">
        <w:rPr>
          <w:i/>
          <w:lang w:val="en-US"/>
        </w:rPr>
        <w:t>Total Primary Energy Supply</w:t>
      </w:r>
      <w:r w:rsidR="0072671B" w:rsidRPr="20C1EDF1">
        <w:rPr>
          <w:lang w:val="en-US"/>
        </w:rPr>
        <w:t xml:space="preserve">) – </w:t>
      </w:r>
      <w:proofErr w:type="spellStart"/>
      <w:r w:rsidR="004A02A0" w:rsidRPr="20C1EDF1">
        <w:rPr>
          <w:lang w:val="en-US"/>
        </w:rPr>
        <w:t>ukupna</w:t>
      </w:r>
      <w:proofErr w:type="spellEnd"/>
      <w:r w:rsidR="004A02A0" w:rsidRPr="20C1EDF1">
        <w:rPr>
          <w:lang w:val="en-US"/>
        </w:rPr>
        <w:t xml:space="preserve"> </w:t>
      </w:r>
      <w:proofErr w:type="spellStart"/>
      <w:r w:rsidR="004A02A0" w:rsidRPr="20C1EDF1">
        <w:rPr>
          <w:lang w:val="en-US"/>
        </w:rPr>
        <w:t>potrošnja</w:t>
      </w:r>
      <w:proofErr w:type="spellEnd"/>
      <w:r w:rsidR="004A02A0" w:rsidRPr="20C1EDF1">
        <w:rPr>
          <w:lang w:val="en-US"/>
        </w:rPr>
        <w:t xml:space="preserve"> </w:t>
      </w:r>
      <w:proofErr w:type="spellStart"/>
      <w:r w:rsidR="004A02A0" w:rsidRPr="20C1EDF1">
        <w:rPr>
          <w:lang w:val="en-US"/>
        </w:rPr>
        <w:t>energije</w:t>
      </w:r>
      <w:proofErr w:type="spellEnd"/>
      <w:r w:rsidR="03286E68" w:rsidRPr="20C1EDF1">
        <w:rPr>
          <w:lang w:val="en-US"/>
        </w:rPr>
        <w:t>,</w:t>
      </w:r>
      <w:r w:rsidRPr="20C1EDF1">
        <w:rPr>
          <w:lang w:val="en-US"/>
        </w:rPr>
        <w:t xml:space="preserve"> </w:t>
      </w:r>
    </w:p>
    <w:p w14:paraId="3770D761" w14:textId="4509E2BE" w:rsidR="0072671B" w:rsidRPr="00B47BDA" w:rsidRDefault="004E5AE8" w:rsidP="002C51A2">
      <w:pPr>
        <w:pStyle w:val="ListParagraph"/>
        <w:numPr>
          <w:ilvl w:val="0"/>
          <w:numId w:val="25"/>
        </w:numPr>
        <w:spacing w:after="60"/>
        <w:ind w:left="714" w:hanging="357"/>
      </w:pPr>
      <w:r w:rsidRPr="00A20155">
        <w:rPr>
          <w:lang w:val="es-ES"/>
        </w:rPr>
        <w:t>TFC</w:t>
      </w:r>
      <w:r w:rsidR="0072671B" w:rsidRPr="00A20155">
        <w:rPr>
          <w:lang w:val="es-ES"/>
        </w:rPr>
        <w:t xml:space="preserve"> </w:t>
      </w:r>
      <w:r w:rsidR="00161C0C" w:rsidRPr="00A20155">
        <w:rPr>
          <w:lang w:val="es-ES"/>
        </w:rPr>
        <w:t>(</w:t>
      </w:r>
      <w:proofErr w:type="spellStart"/>
      <w:r w:rsidR="0AB224E0" w:rsidRPr="00A20155">
        <w:rPr>
          <w:lang w:val="es-ES"/>
        </w:rPr>
        <w:t>eng</w:t>
      </w:r>
      <w:r w:rsidR="161391A2" w:rsidRPr="00A20155">
        <w:rPr>
          <w:lang w:val="es-ES"/>
        </w:rPr>
        <w:t>l</w:t>
      </w:r>
      <w:proofErr w:type="spellEnd"/>
      <w:r w:rsidR="0AB224E0" w:rsidRPr="00A20155">
        <w:rPr>
          <w:lang w:val="es-ES"/>
        </w:rPr>
        <w:t>.</w:t>
      </w:r>
      <w:r w:rsidR="00161C0C" w:rsidRPr="00A20155">
        <w:rPr>
          <w:lang w:val="es-ES"/>
        </w:rPr>
        <w:t xml:space="preserve"> </w:t>
      </w:r>
      <w:proofErr w:type="gramStart"/>
      <w:r w:rsidR="0072671B" w:rsidRPr="00A20155">
        <w:rPr>
          <w:i/>
          <w:lang w:val="es-ES"/>
        </w:rPr>
        <w:t>Total</w:t>
      </w:r>
      <w:proofErr w:type="gramEnd"/>
      <w:r w:rsidR="0072671B" w:rsidRPr="00A20155">
        <w:rPr>
          <w:i/>
          <w:lang w:val="es-ES"/>
        </w:rPr>
        <w:t xml:space="preserve"> Final Energy </w:t>
      </w:r>
      <w:proofErr w:type="spellStart"/>
      <w:r w:rsidR="0072671B" w:rsidRPr="00A20155">
        <w:rPr>
          <w:i/>
          <w:lang w:val="es-ES"/>
        </w:rPr>
        <w:t>Consumption</w:t>
      </w:r>
      <w:proofErr w:type="spellEnd"/>
      <w:r w:rsidR="0072671B" w:rsidRPr="00A20155">
        <w:rPr>
          <w:lang w:val="es-ES"/>
        </w:rPr>
        <w:t xml:space="preserve">) – </w:t>
      </w:r>
      <w:proofErr w:type="spellStart"/>
      <w:r w:rsidR="0072671B" w:rsidRPr="00A20155">
        <w:rPr>
          <w:lang w:val="es-ES"/>
        </w:rPr>
        <w:t>neposredna</w:t>
      </w:r>
      <w:proofErr w:type="spellEnd"/>
      <w:r w:rsidR="0072671B" w:rsidRPr="00A20155">
        <w:rPr>
          <w:lang w:val="es-ES"/>
        </w:rPr>
        <w:t xml:space="preserve"> </w:t>
      </w:r>
      <w:proofErr w:type="spellStart"/>
      <w:r w:rsidR="0072671B" w:rsidRPr="00A20155">
        <w:rPr>
          <w:lang w:val="es-ES"/>
        </w:rPr>
        <w:t>potrošnja</w:t>
      </w:r>
      <w:proofErr w:type="spellEnd"/>
      <w:r w:rsidR="0072671B" w:rsidRPr="00A20155">
        <w:rPr>
          <w:lang w:val="es-ES"/>
        </w:rPr>
        <w:t xml:space="preserve"> </w:t>
      </w:r>
      <w:proofErr w:type="spellStart"/>
      <w:r w:rsidR="0072671B" w:rsidRPr="00A20155">
        <w:rPr>
          <w:lang w:val="es-ES"/>
        </w:rPr>
        <w:t>energije</w:t>
      </w:r>
      <w:proofErr w:type="spellEnd"/>
      <w:r w:rsidR="106100DD" w:rsidRPr="00A20155">
        <w:rPr>
          <w:lang w:val="es-ES"/>
        </w:rPr>
        <w:t>,</w:t>
      </w:r>
      <w:r w:rsidRPr="00A20155">
        <w:rPr>
          <w:lang w:val="es-ES"/>
        </w:rPr>
        <w:t xml:space="preserve"> </w:t>
      </w:r>
    </w:p>
    <w:p w14:paraId="42174D50" w14:textId="274C7AA7" w:rsidR="0072671B" w:rsidRPr="00B47BDA" w:rsidRDefault="004E5AE8" w:rsidP="002C51A2">
      <w:pPr>
        <w:pStyle w:val="ListParagraph"/>
        <w:numPr>
          <w:ilvl w:val="0"/>
          <w:numId w:val="25"/>
        </w:numPr>
        <w:spacing w:after="60"/>
        <w:ind w:left="714" w:hanging="357"/>
      </w:pPr>
      <w:r w:rsidRPr="63259912">
        <w:t>GEC</w:t>
      </w:r>
      <w:r w:rsidR="004A02A0" w:rsidRPr="63259912">
        <w:t xml:space="preserve"> </w:t>
      </w:r>
      <w:r w:rsidR="00161C0C" w:rsidRPr="63259912">
        <w:t>(</w:t>
      </w:r>
      <w:r w:rsidR="0AB224E0" w:rsidRPr="63259912">
        <w:t>eng</w:t>
      </w:r>
      <w:r w:rsidR="7B15FCB5" w:rsidRPr="63259912">
        <w:t>l</w:t>
      </w:r>
      <w:r w:rsidR="0AB224E0" w:rsidRPr="63259912">
        <w:t>.</w:t>
      </w:r>
      <w:r w:rsidR="00161C0C" w:rsidRPr="63259912">
        <w:t xml:space="preserve"> </w:t>
      </w:r>
      <w:r w:rsidR="004A02A0" w:rsidRPr="63259912">
        <w:rPr>
          <w:i/>
          <w:iCs/>
        </w:rPr>
        <w:t>Gross Electricity Consumption</w:t>
      </w:r>
      <w:r w:rsidR="0072671B" w:rsidRPr="63259912">
        <w:t xml:space="preserve">) – </w:t>
      </w:r>
      <w:r w:rsidR="004A02A0" w:rsidRPr="63259912">
        <w:t>ukupna potrošnja električne energije</w:t>
      </w:r>
      <w:r w:rsidR="131384B4" w:rsidRPr="63259912">
        <w:t>,</w:t>
      </w:r>
      <w:r w:rsidRPr="63259912">
        <w:t xml:space="preserve"> </w:t>
      </w:r>
    </w:p>
    <w:p w14:paraId="2BAAFEC9" w14:textId="3C0A1429" w:rsidR="0072671B" w:rsidRPr="00B47BDA" w:rsidRDefault="004E5AE8" w:rsidP="002C51A2">
      <w:pPr>
        <w:pStyle w:val="ListParagraph"/>
        <w:numPr>
          <w:ilvl w:val="0"/>
          <w:numId w:val="25"/>
        </w:numPr>
        <w:spacing w:after="60"/>
        <w:ind w:left="714" w:hanging="357"/>
      </w:pPr>
      <w:r w:rsidRPr="63259912">
        <w:t>NEC</w:t>
      </w:r>
      <w:r w:rsidR="004A02A0" w:rsidRPr="63259912">
        <w:t xml:space="preserve"> </w:t>
      </w:r>
      <w:r w:rsidR="00161C0C" w:rsidRPr="63259912">
        <w:t>(</w:t>
      </w:r>
      <w:r w:rsidR="0AB224E0" w:rsidRPr="63259912">
        <w:t>eng</w:t>
      </w:r>
      <w:r w:rsidR="53735190" w:rsidRPr="63259912">
        <w:t>l</w:t>
      </w:r>
      <w:r w:rsidR="0AB224E0" w:rsidRPr="63259912">
        <w:t>.</w:t>
      </w:r>
      <w:r w:rsidR="00161C0C" w:rsidRPr="63259912">
        <w:t xml:space="preserve"> </w:t>
      </w:r>
      <w:r w:rsidR="004A02A0" w:rsidRPr="63259912">
        <w:rPr>
          <w:i/>
          <w:iCs/>
        </w:rPr>
        <w:t>Net electricity Consumption</w:t>
      </w:r>
      <w:r w:rsidR="0072671B" w:rsidRPr="63259912">
        <w:t xml:space="preserve">) – </w:t>
      </w:r>
      <w:r w:rsidR="004A02A0" w:rsidRPr="63259912">
        <w:t>neto potrošnja električne energije</w:t>
      </w:r>
      <w:r w:rsidR="6BA6F6A7" w:rsidRPr="63259912">
        <w:t>,</w:t>
      </w:r>
      <w:r w:rsidRPr="63259912">
        <w:t xml:space="preserve"> </w:t>
      </w:r>
    </w:p>
    <w:p w14:paraId="5FF776E8" w14:textId="69B44B46" w:rsidR="0072671B" w:rsidRPr="00B47BDA" w:rsidRDefault="004E5AE8" w:rsidP="002C51A2">
      <w:pPr>
        <w:pStyle w:val="ListParagraph"/>
        <w:numPr>
          <w:ilvl w:val="0"/>
          <w:numId w:val="25"/>
        </w:numPr>
        <w:spacing w:after="60"/>
        <w:ind w:left="714" w:hanging="357"/>
      </w:pPr>
      <w:r w:rsidRPr="20C1EDF1">
        <w:rPr>
          <w:lang w:val="en-US"/>
        </w:rPr>
        <w:t>TPES/</w:t>
      </w:r>
      <w:r w:rsidR="004A02A0" w:rsidRPr="20C1EDF1">
        <w:rPr>
          <w:lang w:val="en-US"/>
        </w:rPr>
        <w:t>GDP</w:t>
      </w:r>
      <w:r w:rsidR="4ECDC979" w:rsidRPr="20C1EDF1">
        <w:rPr>
          <w:lang w:val="en-US"/>
        </w:rPr>
        <w:t xml:space="preserve"> </w:t>
      </w:r>
      <w:r w:rsidR="72E98A5B" w:rsidRPr="20C1EDF1">
        <w:rPr>
          <w:lang w:val="en-US"/>
        </w:rPr>
        <w:t>(</w:t>
      </w:r>
      <w:proofErr w:type="spellStart"/>
      <w:r w:rsidR="72E98A5B" w:rsidRPr="20C1EDF1">
        <w:rPr>
          <w:lang w:val="en-US"/>
        </w:rPr>
        <w:t>engl</w:t>
      </w:r>
      <w:r w:rsidR="72E98A5B" w:rsidRPr="0038461A">
        <w:rPr>
          <w:i/>
          <w:lang w:val="en-US"/>
        </w:rPr>
        <w:t>.</w:t>
      </w:r>
      <w:proofErr w:type="spellEnd"/>
      <w:r w:rsidR="72E98A5B" w:rsidRPr="0038461A">
        <w:rPr>
          <w:i/>
          <w:lang w:val="en-US"/>
        </w:rPr>
        <w:t xml:space="preserve"> Total Primary Energy Supply per Gross Domestic Product</w:t>
      </w:r>
      <w:r w:rsidR="02A8EC1F" w:rsidRPr="0038461A">
        <w:rPr>
          <w:i/>
          <w:lang w:val="en-US"/>
        </w:rPr>
        <w:t>)</w:t>
      </w:r>
      <w:r w:rsidR="004A02A0" w:rsidRPr="20C1EDF1">
        <w:rPr>
          <w:lang w:val="en-US"/>
        </w:rPr>
        <w:t xml:space="preserve"> – </w:t>
      </w:r>
      <w:proofErr w:type="spellStart"/>
      <w:r w:rsidR="004A02A0" w:rsidRPr="20C1EDF1">
        <w:rPr>
          <w:lang w:val="en-US"/>
        </w:rPr>
        <w:t>energetska</w:t>
      </w:r>
      <w:proofErr w:type="spellEnd"/>
      <w:r w:rsidR="004A02A0" w:rsidRPr="20C1EDF1">
        <w:rPr>
          <w:lang w:val="en-US"/>
        </w:rPr>
        <w:t xml:space="preserve"> </w:t>
      </w:r>
      <w:proofErr w:type="spellStart"/>
      <w:r w:rsidR="004A02A0" w:rsidRPr="20C1EDF1">
        <w:rPr>
          <w:lang w:val="en-US"/>
        </w:rPr>
        <w:t>intenzivnost</w:t>
      </w:r>
      <w:proofErr w:type="spellEnd"/>
      <w:r w:rsidR="004A02A0" w:rsidRPr="20C1EDF1">
        <w:rPr>
          <w:lang w:val="en-US"/>
        </w:rPr>
        <w:t xml:space="preserve"> </w:t>
      </w:r>
      <w:proofErr w:type="spellStart"/>
      <w:r w:rsidR="004A02A0" w:rsidRPr="20C1EDF1">
        <w:rPr>
          <w:lang w:val="en-US"/>
        </w:rPr>
        <w:t>ukupno</w:t>
      </w:r>
      <w:proofErr w:type="spellEnd"/>
      <w:r w:rsidR="004A02A0" w:rsidRPr="20C1EDF1">
        <w:rPr>
          <w:lang w:val="en-US"/>
        </w:rPr>
        <w:t xml:space="preserve"> </w:t>
      </w:r>
      <w:proofErr w:type="spellStart"/>
      <w:r w:rsidR="004A02A0" w:rsidRPr="20C1EDF1">
        <w:rPr>
          <w:lang w:val="en-US"/>
        </w:rPr>
        <w:t>utrošene</w:t>
      </w:r>
      <w:proofErr w:type="spellEnd"/>
      <w:r w:rsidR="004A02A0" w:rsidRPr="20C1EDF1">
        <w:rPr>
          <w:lang w:val="en-US"/>
        </w:rPr>
        <w:t xml:space="preserve"> </w:t>
      </w:r>
      <w:proofErr w:type="spellStart"/>
      <w:r w:rsidR="004A02A0" w:rsidRPr="20C1EDF1">
        <w:rPr>
          <w:lang w:val="en-US"/>
        </w:rPr>
        <w:t>energije</w:t>
      </w:r>
      <w:proofErr w:type="spellEnd"/>
      <w:r w:rsidR="412F9421" w:rsidRPr="20C1EDF1">
        <w:rPr>
          <w:lang w:val="en-US"/>
        </w:rPr>
        <w:t>,</w:t>
      </w:r>
      <w:r w:rsidR="004A02A0" w:rsidRPr="20C1EDF1">
        <w:rPr>
          <w:lang w:val="en-US"/>
        </w:rPr>
        <w:t xml:space="preserve"> </w:t>
      </w:r>
    </w:p>
    <w:p w14:paraId="25F01842" w14:textId="44B8A93A" w:rsidR="0072671B" w:rsidRPr="00B47BDA" w:rsidRDefault="004A02A0" w:rsidP="002C51A2">
      <w:pPr>
        <w:pStyle w:val="ListParagraph"/>
        <w:numPr>
          <w:ilvl w:val="0"/>
          <w:numId w:val="25"/>
        </w:numPr>
        <w:spacing w:after="60"/>
        <w:ind w:left="714" w:hanging="357"/>
      </w:pPr>
      <w:r w:rsidRPr="20C1EDF1">
        <w:rPr>
          <w:lang w:val="en-US"/>
        </w:rPr>
        <w:t xml:space="preserve">GEC/GDP </w:t>
      </w:r>
      <w:r w:rsidR="56D246CD" w:rsidRPr="20C1EDF1">
        <w:rPr>
          <w:lang w:val="en-US"/>
        </w:rPr>
        <w:t>(</w:t>
      </w:r>
      <w:proofErr w:type="spellStart"/>
      <w:r w:rsidR="56D246CD" w:rsidRPr="20C1EDF1">
        <w:rPr>
          <w:lang w:val="en-US"/>
        </w:rPr>
        <w:t>engl.</w:t>
      </w:r>
      <w:proofErr w:type="spellEnd"/>
      <w:r w:rsidR="56D246CD" w:rsidRPr="20C1EDF1">
        <w:rPr>
          <w:lang w:val="en-US"/>
        </w:rPr>
        <w:t xml:space="preserve"> </w:t>
      </w:r>
      <w:r w:rsidR="56D246CD" w:rsidRPr="0038461A">
        <w:rPr>
          <w:i/>
          <w:lang w:val="en-US"/>
        </w:rPr>
        <w:t>Gross Energy</w:t>
      </w:r>
      <w:r w:rsidR="56D246CD" w:rsidRPr="009419B1">
        <w:rPr>
          <w:i/>
          <w:lang w:val="en-US"/>
        </w:rPr>
        <w:t xml:space="preserve"> Consumption per Gross Domestic Product</w:t>
      </w:r>
      <w:r w:rsidR="56D246CD" w:rsidRPr="20C1EDF1">
        <w:rPr>
          <w:lang w:val="en-US"/>
        </w:rPr>
        <w:t>)</w:t>
      </w:r>
      <w:r w:rsidR="4ECDC979" w:rsidRPr="20C1EDF1">
        <w:rPr>
          <w:lang w:val="en-US"/>
        </w:rPr>
        <w:t xml:space="preserve"> </w:t>
      </w:r>
      <w:r w:rsidRPr="20C1EDF1">
        <w:rPr>
          <w:lang w:val="en-US"/>
        </w:rPr>
        <w:t xml:space="preserve">– </w:t>
      </w:r>
      <w:proofErr w:type="spellStart"/>
      <w:r w:rsidRPr="20C1EDF1">
        <w:rPr>
          <w:lang w:val="en-US"/>
        </w:rPr>
        <w:t>energetska</w:t>
      </w:r>
      <w:proofErr w:type="spellEnd"/>
      <w:r w:rsidRPr="20C1EDF1">
        <w:rPr>
          <w:lang w:val="en-US"/>
        </w:rPr>
        <w:t xml:space="preserve"> </w:t>
      </w:r>
      <w:proofErr w:type="spellStart"/>
      <w:r w:rsidRPr="20C1EDF1">
        <w:rPr>
          <w:lang w:val="en-US"/>
        </w:rPr>
        <w:t>intenz</w:t>
      </w:r>
      <w:r w:rsidR="00631012" w:rsidRPr="20C1EDF1">
        <w:rPr>
          <w:lang w:val="en-US"/>
        </w:rPr>
        <w:t>iv</w:t>
      </w:r>
      <w:r w:rsidRPr="20C1EDF1">
        <w:rPr>
          <w:lang w:val="en-US"/>
        </w:rPr>
        <w:t>nost</w:t>
      </w:r>
      <w:proofErr w:type="spellEnd"/>
      <w:r w:rsidRPr="20C1EDF1">
        <w:rPr>
          <w:lang w:val="en-US"/>
        </w:rPr>
        <w:t xml:space="preserve"> </w:t>
      </w:r>
      <w:proofErr w:type="spellStart"/>
      <w:r w:rsidRPr="20C1EDF1">
        <w:rPr>
          <w:lang w:val="en-US"/>
        </w:rPr>
        <w:t>ukupne</w:t>
      </w:r>
      <w:proofErr w:type="spellEnd"/>
      <w:r w:rsidRPr="20C1EDF1">
        <w:rPr>
          <w:lang w:val="en-US"/>
        </w:rPr>
        <w:t xml:space="preserve"> </w:t>
      </w:r>
      <w:proofErr w:type="spellStart"/>
      <w:r w:rsidRPr="20C1EDF1">
        <w:rPr>
          <w:lang w:val="en-US"/>
        </w:rPr>
        <w:t>potrošnje</w:t>
      </w:r>
      <w:proofErr w:type="spellEnd"/>
      <w:r w:rsidRPr="20C1EDF1">
        <w:rPr>
          <w:lang w:val="en-US"/>
        </w:rPr>
        <w:t xml:space="preserve"> </w:t>
      </w:r>
      <w:proofErr w:type="spellStart"/>
      <w:r w:rsidRPr="20C1EDF1">
        <w:rPr>
          <w:lang w:val="en-US"/>
        </w:rPr>
        <w:t>električne</w:t>
      </w:r>
      <w:proofErr w:type="spellEnd"/>
      <w:r w:rsidRPr="20C1EDF1">
        <w:rPr>
          <w:lang w:val="en-US"/>
        </w:rPr>
        <w:t xml:space="preserve"> </w:t>
      </w:r>
      <w:proofErr w:type="spellStart"/>
      <w:r w:rsidRPr="20C1EDF1">
        <w:rPr>
          <w:lang w:val="en-US"/>
        </w:rPr>
        <w:t>energije</w:t>
      </w:r>
      <w:proofErr w:type="spellEnd"/>
      <w:r w:rsidRPr="20C1EDF1">
        <w:rPr>
          <w:lang w:val="en-US"/>
        </w:rPr>
        <w:t xml:space="preserve"> </w:t>
      </w:r>
      <w:proofErr w:type="spellStart"/>
      <w:r w:rsidR="74EC1ADD" w:rsidRPr="20C1EDF1">
        <w:rPr>
          <w:lang w:val="en-US"/>
        </w:rPr>
        <w:t>i</w:t>
      </w:r>
      <w:proofErr w:type="spellEnd"/>
      <w:r w:rsidR="4ECDC979" w:rsidRPr="20C1EDF1">
        <w:rPr>
          <w:lang w:val="en-US"/>
        </w:rPr>
        <w:t xml:space="preserve"> </w:t>
      </w:r>
    </w:p>
    <w:p w14:paraId="40530A8A" w14:textId="03C52064" w:rsidR="0072671B" w:rsidRPr="00B47BDA" w:rsidRDefault="004A02A0" w:rsidP="002C51A2">
      <w:pPr>
        <w:pStyle w:val="ListParagraph"/>
        <w:numPr>
          <w:ilvl w:val="0"/>
          <w:numId w:val="25"/>
        </w:numPr>
        <w:spacing w:after="60"/>
        <w:ind w:left="714" w:hanging="357"/>
      </w:pPr>
      <w:r w:rsidRPr="00B47BDA">
        <w:t xml:space="preserve">NEC/GDP </w:t>
      </w:r>
      <w:r w:rsidR="621EDC32" w:rsidRPr="20C1EDF1">
        <w:t xml:space="preserve">(engl. </w:t>
      </w:r>
      <w:r w:rsidR="621EDC32" w:rsidRPr="009419B1">
        <w:rPr>
          <w:i/>
          <w:lang w:val="en-US"/>
        </w:rPr>
        <w:t>Net Energy Consumption per Gross Domestic Product</w:t>
      </w:r>
      <w:r w:rsidR="621EDC32" w:rsidRPr="20C1EDF1">
        <w:rPr>
          <w:lang w:val="en-US"/>
        </w:rPr>
        <w:t>)</w:t>
      </w:r>
      <w:r w:rsidR="4ECDC979" w:rsidRPr="20C1EDF1">
        <w:t xml:space="preserve"> </w:t>
      </w:r>
      <w:r w:rsidRPr="00B47BDA">
        <w:t>– energetska intenzivnost neto potrošnje električne energije</w:t>
      </w:r>
    </w:p>
    <w:p w14:paraId="2009989E" w14:textId="75394425" w:rsidR="00D95386" w:rsidRPr="00D4303E" w:rsidRDefault="00D95386" w:rsidP="004623DD">
      <w:r w:rsidRPr="00D4303E">
        <w:t>za R</w:t>
      </w:r>
      <w:r w:rsidR="007E2EAC">
        <w:t>epubliku Hrvatsku</w:t>
      </w:r>
      <w:r w:rsidRPr="00D4303E">
        <w:t xml:space="preserve"> u razdoblju od </w:t>
      </w:r>
      <w:r w:rsidR="00BF7DD8" w:rsidRPr="00D4303E">
        <w:t>201</w:t>
      </w:r>
      <w:r w:rsidR="00142980">
        <w:t>7</w:t>
      </w:r>
      <w:r w:rsidRPr="00D4303E">
        <w:t>. do 20</w:t>
      </w:r>
      <w:r w:rsidR="00AF41C1" w:rsidRPr="00D4303E">
        <w:t>2</w:t>
      </w:r>
      <w:r w:rsidR="00142980">
        <w:t>2</w:t>
      </w:r>
      <w:r w:rsidRPr="00D4303E">
        <w:t>. godine prikaz</w:t>
      </w:r>
      <w:r w:rsidR="006639F2" w:rsidRPr="00D4303E">
        <w:t xml:space="preserve">uje </w:t>
      </w:r>
      <w:r w:rsidR="679AFCB6">
        <w:t>S</w:t>
      </w:r>
      <w:r w:rsidR="000C2C97" w:rsidRPr="00D4303E">
        <w:t xml:space="preserve">lika </w:t>
      </w:r>
      <w:r w:rsidR="00C912FE" w:rsidRPr="00D4303E">
        <w:fldChar w:fldCharType="begin"/>
      </w:r>
      <w:r w:rsidR="00C912FE" w:rsidRPr="00D4303E">
        <w:instrText xml:space="preserve"> REF _Ref133530215 \h </w:instrText>
      </w:r>
      <w:r w:rsidR="003405DD" w:rsidRPr="00D4303E">
        <w:instrText xml:space="preserve"> \* MERGEFORMAT </w:instrText>
      </w:r>
      <w:r w:rsidR="00C912FE" w:rsidRPr="00D4303E">
        <w:fldChar w:fldCharType="separate"/>
      </w:r>
      <w:r w:rsidR="00AD324D">
        <w:t>1</w:t>
      </w:r>
      <w:r w:rsidR="00AD324D">
        <w:noBreakHyphen/>
        <w:t>1</w:t>
      </w:r>
      <w:r w:rsidR="00C912FE" w:rsidRPr="00D4303E">
        <w:fldChar w:fldCharType="end"/>
      </w:r>
      <w:r w:rsidR="00C912FE" w:rsidRPr="00D4303E">
        <w:t>.</w:t>
      </w:r>
    </w:p>
    <w:p w14:paraId="51136F78" w14:textId="4BBBCB75" w:rsidR="006136BA" w:rsidRPr="00B47BDA" w:rsidRDefault="001A56F7" w:rsidP="008C18A9">
      <w:pPr>
        <w:jc w:val="center"/>
      </w:pPr>
      <w:r>
        <w:rPr>
          <w:noProof/>
        </w:rPr>
        <w:lastRenderedPageBreak/>
        <w:drawing>
          <wp:inline distT="0" distB="0" distL="0" distR="0" wp14:anchorId="48E299C3" wp14:editId="7E792EAD">
            <wp:extent cx="5360865" cy="3544554"/>
            <wp:effectExtent l="0" t="0" r="0" b="0"/>
            <wp:docPr id="25583968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39686" name="Picture 1" descr="A graph of different colored lines&#10;&#10;Description automatically generated"/>
                    <pic:cNvPicPr/>
                  </pic:nvPicPr>
                  <pic:blipFill>
                    <a:blip r:embed="rId12"/>
                    <a:stretch>
                      <a:fillRect/>
                    </a:stretch>
                  </pic:blipFill>
                  <pic:spPr>
                    <a:xfrm>
                      <a:off x="0" y="0"/>
                      <a:ext cx="5371017" cy="3551266"/>
                    </a:xfrm>
                    <a:prstGeom prst="rect">
                      <a:avLst/>
                    </a:prstGeom>
                  </pic:spPr>
                </pic:pic>
              </a:graphicData>
            </a:graphic>
          </wp:inline>
        </w:drawing>
      </w:r>
    </w:p>
    <w:p w14:paraId="3DD526B9" w14:textId="528DB2B8" w:rsidR="006136BA" w:rsidRPr="00B47BDA" w:rsidRDefault="006136BA" w:rsidP="004623DD">
      <w:pPr>
        <w:pStyle w:val="Caption"/>
        <w:rPr>
          <w:highlight w:val="yellow"/>
        </w:rPr>
      </w:pPr>
      <w:bookmarkStart w:id="75" w:name="_Ref134172976"/>
      <w:bookmarkStart w:id="76" w:name="_Toc185605245"/>
      <w:bookmarkStart w:id="77" w:name="_Toc193035873"/>
      <w:r w:rsidRPr="00B47BDA">
        <w:t xml:space="preserve">Slika </w:t>
      </w:r>
      <w:bookmarkStart w:id="78" w:name="_Ref133530215"/>
      <w:r w:rsidR="00432DEF">
        <w:fldChar w:fldCharType="begin"/>
      </w:r>
      <w:r w:rsidR="00432DEF">
        <w:instrText xml:space="preserve"> STYLEREF 1 \s </w:instrText>
      </w:r>
      <w:r w:rsidR="00432DEF">
        <w:fldChar w:fldCharType="separate"/>
      </w:r>
      <w:r w:rsidR="00AD324D">
        <w:rPr>
          <w:noProof/>
        </w:rPr>
        <w:t>1</w:t>
      </w:r>
      <w:r w:rsidR="00432DEF">
        <w:fldChar w:fldCharType="end"/>
      </w:r>
      <w:r w:rsidR="00257B39">
        <w:t>–</w:t>
      </w:r>
      <w:r>
        <w:fldChar w:fldCharType="begin"/>
      </w:r>
      <w:r>
        <w:instrText>SEQ Slika \* ARABIC \s 1</w:instrText>
      </w:r>
      <w:r>
        <w:fldChar w:fldCharType="separate"/>
      </w:r>
      <w:r w:rsidR="00AD324D">
        <w:rPr>
          <w:noProof/>
        </w:rPr>
        <w:t>1</w:t>
      </w:r>
      <w:r>
        <w:fldChar w:fldCharType="end"/>
      </w:r>
      <w:bookmarkEnd w:id="75"/>
      <w:bookmarkEnd w:id="78"/>
      <w:r w:rsidR="0094067A" w:rsidRPr="00B47BDA">
        <w:t>.</w:t>
      </w:r>
      <w:r w:rsidRPr="00B47BDA">
        <w:t xml:space="preserve"> Osnovni pokazatelji razvoja potrošnje energije i ekonomski pokazatelji u RH u razdoblju 201</w:t>
      </w:r>
      <w:r w:rsidR="00542F76">
        <w:t>7</w:t>
      </w:r>
      <w:r w:rsidR="2ED72CBE" w:rsidRPr="00B47BDA">
        <w:t>.</w:t>
      </w:r>
      <w:r w:rsidR="2A00968C" w:rsidRPr="00B47BDA">
        <w:t xml:space="preserve"> </w:t>
      </w:r>
      <w:r w:rsidR="2ED72CBE" w:rsidRPr="00B47BDA">
        <w:t>-</w:t>
      </w:r>
      <w:r w:rsidR="63CF6E6B" w:rsidRPr="00B47BDA">
        <w:t xml:space="preserve"> </w:t>
      </w:r>
      <w:r w:rsidRPr="00B47BDA">
        <w:t>202</w:t>
      </w:r>
      <w:r w:rsidR="00542F76">
        <w:t>2</w:t>
      </w:r>
      <w:r w:rsidRPr="00B47BDA">
        <w:t>. godine</w:t>
      </w:r>
      <w:bookmarkEnd w:id="76"/>
      <w:bookmarkEnd w:id="77"/>
    </w:p>
    <w:p w14:paraId="33B3960A" w14:textId="3FC20141" w:rsidR="00951E32" w:rsidRPr="00B47BDA" w:rsidRDefault="00DB7176" w:rsidP="004623DD">
      <w:pPr>
        <w:rPr>
          <w:highlight w:val="yellow"/>
        </w:rPr>
      </w:pPr>
      <w:r w:rsidRPr="00B47BDA">
        <w:t>Tijekom razdoblja od 201</w:t>
      </w:r>
      <w:r w:rsidR="00542F76">
        <w:t>7</w:t>
      </w:r>
      <w:r w:rsidRPr="00B47BDA">
        <w:t>. do 202</w:t>
      </w:r>
      <w:r w:rsidR="00542F76">
        <w:t>2</w:t>
      </w:r>
      <w:r w:rsidRPr="00B47BDA">
        <w:t xml:space="preserve">. godine bruto domaći proizvod ostvario je porast s prosječnom godišnjom stopom od </w:t>
      </w:r>
      <w:r w:rsidR="00437485">
        <w:t>3</w:t>
      </w:r>
      <w:r w:rsidRPr="00B47BDA">
        <w:t>,2</w:t>
      </w:r>
      <w:r w:rsidR="00415633">
        <w:t> </w:t>
      </w:r>
      <w:r w:rsidR="20A0FDC7">
        <w:t>%</w:t>
      </w:r>
      <w:r w:rsidRPr="00B47BDA">
        <w:t xml:space="preserve">. U istom razdoblju se ukupna potrošnja energije </w:t>
      </w:r>
      <w:r w:rsidR="0007619A">
        <w:t>smanjivala</w:t>
      </w:r>
      <w:r w:rsidRPr="00B47BDA">
        <w:t xml:space="preserve"> s prosječnom godišnjom stopom od 0,</w:t>
      </w:r>
      <w:r w:rsidR="00C556B3">
        <w:t>9</w:t>
      </w:r>
      <w:r w:rsidR="00214CE1">
        <w:t> </w:t>
      </w:r>
      <w:r w:rsidR="12D9A348">
        <w:t>%,</w:t>
      </w:r>
      <w:r w:rsidR="1256C506">
        <w:t xml:space="preserve"> </w:t>
      </w:r>
      <w:r w:rsidRPr="00B47BDA">
        <w:t xml:space="preserve">a neposredna potrošnja energije s prosječnom godišnjom stopom od </w:t>
      </w:r>
      <w:r w:rsidR="00C556B3">
        <w:t>0,2</w:t>
      </w:r>
      <w:r w:rsidR="00214CE1">
        <w:t> </w:t>
      </w:r>
      <w:r w:rsidR="124877F7">
        <w:t>%</w:t>
      </w:r>
      <w:r w:rsidRPr="00B47BDA">
        <w:t xml:space="preserve">. U potrošnji električne energije </w:t>
      </w:r>
      <w:r w:rsidR="009122C3">
        <w:t>zabilježena je stagnacija</w:t>
      </w:r>
      <w:r w:rsidRPr="00B47BDA">
        <w:t xml:space="preserve">, a neto potrošnja električne energije </w:t>
      </w:r>
      <w:r w:rsidR="00DE4C48">
        <w:t xml:space="preserve">rasla je </w:t>
      </w:r>
      <w:r w:rsidRPr="00B47BDA">
        <w:t xml:space="preserve">s prosječnom godišnjom stopom od </w:t>
      </w:r>
      <w:r w:rsidR="00DE4C48">
        <w:t>0</w:t>
      </w:r>
      <w:r w:rsidRPr="00B47BDA">
        <w:t>,1</w:t>
      </w:r>
      <w:r w:rsidR="00AE7C36">
        <w:t> </w:t>
      </w:r>
      <w:r w:rsidR="1E456393">
        <w:t>%</w:t>
      </w:r>
      <w:r w:rsidRPr="00B47BDA">
        <w:t>. Gubici prijenosa i distribucije električne energije ostvarili su smanjenje s prosječnom godišnjom stopom od 1,</w:t>
      </w:r>
      <w:r w:rsidR="00DE4C48">
        <w:t>2</w:t>
      </w:r>
      <w:r w:rsidR="00703723">
        <w:t> </w:t>
      </w:r>
      <w:r w:rsidR="5FB109DA">
        <w:t>%</w:t>
      </w:r>
      <w:r w:rsidRPr="00B47BDA">
        <w:t>.</w:t>
      </w:r>
    </w:p>
    <w:p w14:paraId="1A12B3D9" w14:textId="5147355C" w:rsidR="003D44BF" w:rsidRPr="00B47BDA" w:rsidRDefault="006639F2" w:rsidP="004623DD">
      <w:pPr>
        <w:rPr>
          <w:highlight w:val="yellow"/>
        </w:rPr>
      </w:pPr>
      <w:r w:rsidRPr="00B47BDA">
        <w:t xml:space="preserve">Trendove u </w:t>
      </w:r>
      <w:r w:rsidRPr="00B47BDA">
        <w:rPr>
          <w:b/>
        </w:rPr>
        <w:t>proizvodnji primarne energije</w:t>
      </w:r>
      <w:r w:rsidRPr="00B47BDA">
        <w:t xml:space="preserve"> prikazuje </w:t>
      </w:r>
      <w:r w:rsidR="6C0ADDD7">
        <w:t>S</w:t>
      </w:r>
      <w:r w:rsidR="1A52A7BB">
        <w:t>lika</w:t>
      </w:r>
      <w:r w:rsidR="00AC40CC" w:rsidRPr="00B47BDA">
        <w:t xml:space="preserve"> </w:t>
      </w:r>
      <w:r w:rsidR="0094067A" w:rsidRPr="00B47BDA">
        <w:fldChar w:fldCharType="begin"/>
      </w:r>
      <w:r w:rsidR="0094067A" w:rsidRPr="00B47BDA">
        <w:instrText xml:space="preserve"> REF _Ref133531154 \h </w:instrText>
      </w:r>
      <w:r w:rsidR="00AC40CC" w:rsidRPr="00B47BDA">
        <w:instrText xml:space="preserve"> \* MERGEFORMAT </w:instrText>
      </w:r>
      <w:r w:rsidR="0094067A" w:rsidRPr="00B47BDA">
        <w:fldChar w:fldCharType="separate"/>
      </w:r>
      <w:r w:rsidR="00B707A0">
        <w:t>1–</w:t>
      </w:r>
      <w:r w:rsidR="00B707A0">
        <w:rPr>
          <w:noProof/>
        </w:rPr>
        <w:t>2</w:t>
      </w:r>
      <w:r w:rsidR="0094067A" w:rsidRPr="00B47BDA">
        <w:fldChar w:fldCharType="end"/>
      </w:r>
      <w:r w:rsidR="00B707A0">
        <w:t>.</w:t>
      </w:r>
      <w:r w:rsidRPr="00B47BDA">
        <w:t xml:space="preserve"> </w:t>
      </w:r>
      <w:r w:rsidR="00951E32" w:rsidRPr="00B47BDA">
        <w:t>Tijekom šestogodišnjeg razdoblja od 201</w:t>
      </w:r>
      <w:r w:rsidR="001F16AD">
        <w:t>7</w:t>
      </w:r>
      <w:r w:rsidR="00951E32" w:rsidRPr="00B47BDA">
        <w:t>. do 20</w:t>
      </w:r>
      <w:r w:rsidR="0094067A" w:rsidRPr="00B47BDA">
        <w:t>2</w:t>
      </w:r>
      <w:r w:rsidR="001F16AD">
        <w:t>2</w:t>
      </w:r>
      <w:r w:rsidR="00951E32" w:rsidRPr="00B47BDA">
        <w:t>. godine</w:t>
      </w:r>
      <w:r w:rsidR="003D44BF" w:rsidRPr="00B47BDA">
        <w:t xml:space="preserve"> proizvodnja primarne energije u Hrvatskoj smanjivala se s prosječnom godišnjom stopom od </w:t>
      </w:r>
      <w:r w:rsidR="001F16AD">
        <w:t>2</w:t>
      </w:r>
      <w:r w:rsidR="003D44BF" w:rsidRPr="00B47BDA">
        <w:t>,6</w:t>
      </w:r>
      <w:r w:rsidR="00214CE1">
        <w:t> </w:t>
      </w:r>
      <w:r w:rsidR="1F150E16">
        <w:t>%</w:t>
      </w:r>
      <w:r w:rsidR="003D44BF" w:rsidRPr="00B47BDA">
        <w:t xml:space="preserve">. Trend povećanja ostvaren je u proizvodnji energije iz obnovljivih izvora, ogrjevnog drva i ostale krute biomase dok je proizvodnja ostalih primarnih oblika energije </w:t>
      </w:r>
      <w:r w:rsidR="00A65A88" w:rsidRPr="00B47BDA">
        <w:t>(</w:t>
      </w:r>
      <w:r w:rsidR="00AC40CC" w:rsidRPr="00B47BDA">
        <w:t>sirov</w:t>
      </w:r>
      <w:r w:rsidR="00A65A88" w:rsidRPr="00B47BDA">
        <w:t>a</w:t>
      </w:r>
      <w:r w:rsidR="00AC40CC" w:rsidRPr="00B47BDA">
        <w:t xml:space="preserve"> naft</w:t>
      </w:r>
      <w:r w:rsidR="00A65A88" w:rsidRPr="00B47BDA">
        <w:t>a</w:t>
      </w:r>
      <w:r w:rsidR="00AC40CC" w:rsidRPr="00B47BDA">
        <w:t>, prirodn</w:t>
      </w:r>
      <w:r w:rsidR="00A65A88" w:rsidRPr="00B47BDA">
        <w:t>i</w:t>
      </w:r>
      <w:r w:rsidR="00AC40CC" w:rsidRPr="00B47BDA">
        <w:t xml:space="preserve"> plin i vodn</w:t>
      </w:r>
      <w:r w:rsidR="00A65A88" w:rsidRPr="00B47BDA">
        <w:t>a</w:t>
      </w:r>
      <w:r w:rsidR="00AC40CC" w:rsidRPr="00B47BDA">
        <w:t xml:space="preserve"> snag</w:t>
      </w:r>
      <w:r w:rsidR="00A65A88" w:rsidRPr="00B47BDA">
        <w:t xml:space="preserve">a) </w:t>
      </w:r>
      <w:r w:rsidR="003D44BF" w:rsidRPr="00B47BDA">
        <w:t>ostvarila trend smanjenja.</w:t>
      </w:r>
    </w:p>
    <w:p w14:paraId="6BECF8FA" w14:textId="13C170B7" w:rsidR="00AC7B68" w:rsidRPr="00B47BDA" w:rsidRDefault="001F16AD" w:rsidP="001F16AD">
      <w:pPr>
        <w:jc w:val="center"/>
        <w:rPr>
          <w:highlight w:val="yellow"/>
        </w:rPr>
      </w:pPr>
      <w:r>
        <w:rPr>
          <w:noProof/>
        </w:rPr>
        <w:lastRenderedPageBreak/>
        <w:drawing>
          <wp:inline distT="0" distB="0" distL="0" distR="0" wp14:anchorId="7F0DDF63" wp14:editId="51D4158B">
            <wp:extent cx="5431204" cy="3491659"/>
            <wp:effectExtent l="0" t="0" r="0" b="0"/>
            <wp:docPr id="73064442"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4442" name="Picture 1" descr="A graph of different colored lines&#10;&#10;Description automatically generated"/>
                    <pic:cNvPicPr/>
                  </pic:nvPicPr>
                  <pic:blipFill>
                    <a:blip r:embed="rId13"/>
                    <a:stretch>
                      <a:fillRect/>
                    </a:stretch>
                  </pic:blipFill>
                  <pic:spPr>
                    <a:xfrm>
                      <a:off x="0" y="0"/>
                      <a:ext cx="5440796" cy="3497826"/>
                    </a:xfrm>
                    <a:prstGeom prst="rect">
                      <a:avLst/>
                    </a:prstGeom>
                  </pic:spPr>
                </pic:pic>
              </a:graphicData>
            </a:graphic>
          </wp:inline>
        </w:drawing>
      </w:r>
    </w:p>
    <w:p w14:paraId="250D3D32" w14:textId="3DA224CA" w:rsidR="00D95386" w:rsidRPr="00B47BDA" w:rsidRDefault="00884224" w:rsidP="004623DD">
      <w:pPr>
        <w:pStyle w:val="Caption"/>
      </w:pPr>
      <w:bookmarkStart w:id="79" w:name="_Toc185605246"/>
      <w:bookmarkStart w:id="80" w:name="_Toc193035874"/>
      <w:r w:rsidRPr="00B47BDA">
        <w:t xml:space="preserve">Slika </w:t>
      </w:r>
      <w:bookmarkStart w:id="81" w:name="_Ref133531154"/>
      <w:r w:rsidR="00432DEF">
        <w:fldChar w:fldCharType="begin"/>
      </w:r>
      <w:r w:rsidR="00432DEF">
        <w:instrText xml:space="preserve"> STYLEREF 1 \s </w:instrText>
      </w:r>
      <w:r w:rsidR="00432DEF">
        <w:fldChar w:fldCharType="separate"/>
      </w:r>
      <w:r w:rsidR="00AD324D">
        <w:rPr>
          <w:noProof/>
        </w:rPr>
        <w:t>1</w:t>
      </w:r>
      <w:r w:rsidR="00432DEF">
        <w:fldChar w:fldCharType="end"/>
      </w:r>
      <w:r w:rsidR="00257B39">
        <w:t>–</w:t>
      </w:r>
      <w:r>
        <w:fldChar w:fldCharType="begin"/>
      </w:r>
      <w:r>
        <w:instrText>SEQ Slika \* ARABIC \s 1</w:instrText>
      </w:r>
      <w:r>
        <w:fldChar w:fldCharType="separate"/>
      </w:r>
      <w:r w:rsidR="00AD324D">
        <w:rPr>
          <w:noProof/>
        </w:rPr>
        <w:t>2</w:t>
      </w:r>
      <w:r>
        <w:fldChar w:fldCharType="end"/>
      </w:r>
      <w:bookmarkEnd w:id="81"/>
      <w:r w:rsidRPr="00B47BDA">
        <w:t>.</w:t>
      </w:r>
      <w:r w:rsidR="00A87274" w:rsidRPr="00B47BDA">
        <w:t xml:space="preserve"> </w:t>
      </w:r>
      <w:r w:rsidR="002C233C" w:rsidRPr="00B47BDA">
        <w:t>Proizvodnja primarne energije</w:t>
      </w:r>
      <w:bookmarkEnd w:id="79"/>
      <w:bookmarkEnd w:id="80"/>
    </w:p>
    <w:p w14:paraId="07F165BC" w14:textId="5925A5D4" w:rsidR="00D95386" w:rsidRPr="00B47BDA" w:rsidRDefault="002C233C" w:rsidP="004623DD">
      <w:r w:rsidRPr="00B47BDA">
        <w:t>Tren</w:t>
      </w:r>
      <w:r w:rsidR="0070097E" w:rsidRPr="00B47BDA">
        <w:t>d</w:t>
      </w:r>
      <w:r w:rsidRPr="00B47BDA">
        <w:t xml:space="preserve">ove u </w:t>
      </w:r>
      <w:r w:rsidRPr="00B47BDA">
        <w:rPr>
          <w:b/>
        </w:rPr>
        <w:t>uvozu energije</w:t>
      </w:r>
      <w:r w:rsidRPr="00B47BDA">
        <w:t xml:space="preserve"> </w:t>
      </w:r>
      <w:r w:rsidR="00D95386" w:rsidRPr="00B47BDA">
        <w:t xml:space="preserve">do </w:t>
      </w:r>
      <w:r w:rsidR="00663037" w:rsidRPr="00B47BDA">
        <w:t>20</w:t>
      </w:r>
      <w:r w:rsidR="00DA42C6" w:rsidRPr="00B47BDA">
        <w:t>2</w:t>
      </w:r>
      <w:r w:rsidR="001A735E">
        <w:t>2</w:t>
      </w:r>
      <w:r w:rsidR="00D95386" w:rsidRPr="00B47BDA">
        <w:t>. godine</w:t>
      </w:r>
      <w:r w:rsidRPr="00B47BDA">
        <w:t xml:space="preserve"> prikazuje</w:t>
      </w:r>
      <w:r w:rsidR="008C18A9">
        <w:t xml:space="preserve"> </w:t>
      </w:r>
      <w:r w:rsidR="38816D44">
        <w:t>S</w:t>
      </w:r>
      <w:r w:rsidR="6EC16411">
        <w:t>lika</w:t>
      </w:r>
      <w:r w:rsidR="00884224" w:rsidRPr="00B47BDA">
        <w:t xml:space="preserve"> </w:t>
      </w:r>
      <w:r w:rsidR="00884224" w:rsidRPr="00B47BDA">
        <w:fldChar w:fldCharType="begin"/>
      </w:r>
      <w:r w:rsidR="00884224" w:rsidRPr="00B47BDA">
        <w:instrText xml:space="preserve"> REF _Ref133601611 \h </w:instrText>
      </w:r>
      <w:r w:rsidR="003405DD">
        <w:instrText xml:space="preserve"> \* MERGEFORMAT </w:instrText>
      </w:r>
      <w:r w:rsidR="00884224" w:rsidRPr="00B47BDA">
        <w:fldChar w:fldCharType="separate"/>
      </w:r>
      <w:r w:rsidR="00B707A0">
        <w:rPr>
          <w:noProof/>
        </w:rPr>
        <w:t>1</w:t>
      </w:r>
      <w:r w:rsidR="00B707A0">
        <w:t>–</w:t>
      </w:r>
      <w:r w:rsidR="00B707A0">
        <w:rPr>
          <w:noProof/>
        </w:rPr>
        <w:t>3</w:t>
      </w:r>
      <w:r w:rsidR="00884224" w:rsidRPr="00B47BDA">
        <w:fldChar w:fldCharType="end"/>
      </w:r>
      <w:r w:rsidR="00B707A0">
        <w:t>.</w:t>
      </w:r>
    </w:p>
    <w:p w14:paraId="6F7C8A86" w14:textId="68CC90E8" w:rsidR="00663037" w:rsidRPr="00B47BDA" w:rsidRDefault="007862FE" w:rsidP="007862FE">
      <w:pPr>
        <w:jc w:val="center"/>
        <w:rPr>
          <w:highlight w:val="yellow"/>
        </w:rPr>
      </w:pPr>
      <w:r>
        <w:rPr>
          <w:noProof/>
        </w:rPr>
        <w:drawing>
          <wp:inline distT="0" distB="0" distL="0" distR="0" wp14:anchorId="0ADFFF5B" wp14:editId="7AACD1DA">
            <wp:extent cx="5208465" cy="3251414"/>
            <wp:effectExtent l="0" t="0" r="0" b="6350"/>
            <wp:docPr id="1998718088" name="Picture 1" descr="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18088" name="Picture 1" descr="A graph showing different colored lines&#10;&#10;Description automatically generated"/>
                    <pic:cNvPicPr/>
                  </pic:nvPicPr>
                  <pic:blipFill>
                    <a:blip r:embed="rId14"/>
                    <a:stretch>
                      <a:fillRect/>
                    </a:stretch>
                  </pic:blipFill>
                  <pic:spPr>
                    <a:xfrm>
                      <a:off x="0" y="0"/>
                      <a:ext cx="5215144" cy="3255583"/>
                    </a:xfrm>
                    <a:prstGeom prst="rect">
                      <a:avLst/>
                    </a:prstGeom>
                  </pic:spPr>
                </pic:pic>
              </a:graphicData>
            </a:graphic>
          </wp:inline>
        </w:drawing>
      </w:r>
    </w:p>
    <w:p w14:paraId="59FE7ED0" w14:textId="0098F5D4" w:rsidR="00D95386" w:rsidRPr="00B47BDA" w:rsidRDefault="002C233C" w:rsidP="004623DD">
      <w:pPr>
        <w:pStyle w:val="Caption"/>
      </w:pPr>
      <w:bookmarkStart w:id="82" w:name="_Ref531507601"/>
      <w:bookmarkStart w:id="83" w:name="_Toc185605247"/>
      <w:bookmarkStart w:id="84" w:name="_Toc193035875"/>
      <w:r w:rsidRPr="00B47BDA">
        <w:t xml:space="preserve">Slika </w:t>
      </w:r>
      <w:bookmarkStart w:id="85" w:name="_Ref133601611"/>
      <w:r w:rsidR="00432DEF">
        <w:fldChar w:fldCharType="begin"/>
      </w:r>
      <w:r w:rsidR="00432DEF">
        <w:instrText xml:space="preserve"> STYLEREF 1 \s </w:instrText>
      </w:r>
      <w:r w:rsidR="00432DEF">
        <w:fldChar w:fldCharType="separate"/>
      </w:r>
      <w:r w:rsidR="00AD324D">
        <w:rPr>
          <w:noProof/>
        </w:rPr>
        <w:t>1</w:t>
      </w:r>
      <w:r w:rsidR="00432DEF">
        <w:fldChar w:fldCharType="end"/>
      </w:r>
      <w:r w:rsidR="00257B39">
        <w:t>–</w:t>
      </w:r>
      <w:r>
        <w:fldChar w:fldCharType="begin"/>
      </w:r>
      <w:r>
        <w:instrText>SEQ Slika \* ARABIC \s 1</w:instrText>
      </w:r>
      <w:r>
        <w:fldChar w:fldCharType="separate"/>
      </w:r>
      <w:r w:rsidR="00AD324D">
        <w:rPr>
          <w:noProof/>
        </w:rPr>
        <w:t>3</w:t>
      </w:r>
      <w:r>
        <w:fldChar w:fldCharType="end"/>
      </w:r>
      <w:bookmarkEnd w:id="85"/>
      <w:r w:rsidR="00F458D6" w:rsidRPr="00B47BDA">
        <w:t xml:space="preserve">. </w:t>
      </w:r>
      <w:r w:rsidRPr="00B47BDA">
        <w:t xml:space="preserve">Uvoz energije u </w:t>
      </w:r>
      <w:r w:rsidR="1C8ABFC3" w:rsidRPr="00B47BDA">
        <w:t xml:space="preserve">Republiku </w:t>
      </w:r>
      <w:r w:rsidRPr="00B47BDA">
        <w:t>Hrvatsku</w:t>
      </w:r>
      <w:bookmarkEnd w:id="82"/>
      <w:bookmarkEnd w:id="83"/>
      <w:bookmarkEnd w:id="84"/>
    </w:p>
    <w:p w14:paraId="643280B8" w14:textId="36377F1C" w:rsidR="002F55DC" w:rsidRPr="00B47BDA" w:rsidRDefault="00951E32" w:rsidP="008137DA">
      <w:r w:rsidRPr="00B47BDA">
        <w:t>Tijekom razdoblja od 201</w:t>
      </w:r>
      <w:r w:rsidR="007862FE">
        <w:t>7</w:t>
      </w:r>
      <w:r w:rsidRPr="00B47BDA">
        <w:t>. do 20</w:t>
      </w:r>
      <w:r w:rsidR="002F55DC" w:rsidRPr="00B47BDA">
        <w:t>2</w:t>
      </w:r>
      <w:r w:rsidR="007862FE">
        <w:t>2</w:t>
      </w:r>
      <w:r w:rsidRPr="00B47BDA">
        <w:t xml:space="preserve">. godine ostvaren je trend porasta uvoza energije u Hrvatsku </w:t>
      </w:r>
      <w:r w:rsidR="002F55DC" w:rsidRPr="00B47BDA">
        <w:t>prosječnom godišnjom stopom od 1,</w:t>
      </w:r>
      <w:r w:rsidR="00C670F9">
        <w:t>4</w:t>
      </w:r>
      <w:r w:rsidR="00A42AAA">
        <w:t> </w:t>
      </w:r>
      <w:r w:rsidR="38B1988B">
        <w:t>%</w:t>
      </w:r>
      <w:r w:rsidR="002F55DC" w:rsidRPr="00B47BDA">
        <w:t xml:space="preserve">. Pri tome su ostvarene određene promjene u strukturi </w:t>
      </w:r>
      <w:r w:rsidR="00202B5D" w:rsidRPr="00B47BDA">
        <w:t xml:space="preserve">uvoza energenata tako da je povećan udio naftnih derivata, prirodnog plina te </w:t>
      </w:r>
      <w:r w:rsidR="00252A4D">
        <w:t>obnovljivih izvora</w:t>
      </w:r>
      <w:r w:rsidR="00202B5D" w:rsidRPr="00B47BDA">
        <w:t>, dok su se udjeli električne energije, ugljena i koksa te sirove nafte smanjili.</w:t>
      </w:r>
    </w:p>
    <w:p w14:paraId="470DA058" w14:textId="07D07B83" w:rsidR="006F34EB" w:rsidRPr="00B47BDA" w:rsidRDefault="006F34EB" w:rsidP="008137DA">
      <w:r w:rsidRPr="00B47BDA">
        <w:lastRenderedPageBreak/>
        <w:t>U predmetnom razdoblju</w:t>
      </w:r>
      <w:r w:rsidR="00951E32" w:rsidRPr="00B47BDA">
        <w:t xml:space="preserve"> uvoz </w:t>
      </w:r>
      <w:r w:rsidR="00297CEA">
        <w:t>obnovljivih izvora</w:t>
      </w:r>
      <w:r w:rsidR="00951E32" w:rsidRPr="00B47BDA">
        <w:t xml:space="preserve"> povećao </w:t>
      </w:r>
      <w:r w:rsidRPr="00B47BDA">
        <w:t>se</w:t>
      </w:r>
      <w:r w:rsidR="00951E32" w:rsidRPr="00B47BDA">
        <w:t xml:space="preserve"> s prosječnom godišnjom stopom od </w:t>
      </w:r>
      <w:r w:rsidR="009122E6">
        <w:t>8,5</w:t>
      </w:r>
      <w:r w:rsidR="00871292">
        <w:t> </w:t>
      </w:r>
      <w:r w:rsidR="73421E9C">
        <w:t>%</w:t>
      </w:r>
      <w:r w:rsidR="00951E32" w:rsidRPr="00B47BDA">
        <w:t xml:space="preserve">, uvoz prirodnog plina </w:t>
      </w:r>
      <w:r w:rsidRPr="00B47BDA">
        <w:t>1</w:t>
      </w:r>
      <w:r w:rsidR="00176A5E">
        <w:t>1,1</w:t>
      </w:r>
      <w:r w:rsidR="00871292">
        <w:t> </w:t>
      </w:r>
      <w:r w:rsidR="08F8B6EF">
        <w:t>%</w:t>
      </w:r>
      <w:r w:rsidRPr="00B47BDA">
        <w:t xml:space="preserve"> te</w:t>
      </w:r>
      <w:r w:rsidR="00951E32" w:rsidRPr="00B47BDA">
        <w:t xml:space="preserve"> uvoz derivata nafte </w:t>
      </w:r>
      <w:r w:rsidR="00176A5E">
        <w:t>7,0 </w:t>
      </w:r>
      <w:r w:rsidR="64FC19DC">
        <w:t>%</w:t>
      </w:r>
      <w:r w:rsidRPr="00B47BDA">
        <w:t xml:space="preserve">. </w:t>
      </w:r>
      <w:r w:rsidR="00151D1E" w:rsidRPr="00B47BDA">
        <w:t xml:space="preserve">Uvoz ugljena i koksa smanjio se za </w:t>
      </w:r>
      <w:r w:rsidR="00176A5E">
        <w:t>0,3</w:t>
      </w:r>
      <w:r w:rsidR="00871292">
        <w:t> </w:t>
      </w:r>
      <w:r w:rsidR="2D0D652F">
        <w:t>%</w:t>
      </w:r>
      <w:r w:rsidR="00151D1E" w:rsidRPr="00B47BDA">
        <w:t xml:space="preserve">, uvoz sirove nafte za </w:t>
      </w:r>
      <w:r w:rsidR="00176A5E">
        <w:t>12,2</w:t>
      </w:r>
      <w:r w:rsidR="00A42AAA">
        <w:t> </w:t>
      </w:r>
      <w:r w:rsidR="545141A9">
        <w:t>%</w:t>
      </w:r>
      <w:r w:rsidR="00151D1E" w:rsidRPr="00B47BDA">
        <w:t xml:space="preserve"> te uvoz električne energije za </w:t>
      </w:r>
      <w:r w:rsidR="00527BA0">
        <w:t>0,4</w:t>
      </w:r>
      <w:r w:rsidR="00A42AAA">
        <w:t> </w:t>
      </w:r>
      <w:r w:rsidR="7D7075F7">
        <w:t>%</w:t>
      </w:r>
      <w:r w:rsidR="00151D1E" w:rsidRPr="00B47BDA">
        <w:t>.</w:t>
      </w:r>
    </w:p>
    <w:p w14:paraId="6CD82920" w14:textId="58E3FEC8" w:rsidR="00AD5578" w:rsidRPr="00B47BDA" w:rsidRDefault="002646CD" w:rsidP="008137DA">
      <w:r w:rsidRPr="00B47BDA">
        <w:t>Tijekom razdoblja od 201</w:t>
      </w:r>
      <w:r w:rsidR="00527BA0">
        <w:t>7</w:t>
      </w:r>
      <w:r w:rsidRPr="00B47BDA">
        <w:t>. do 202</w:t>
      </w:r>
      <w:r w:rsidR="00527BA0">
        <w:t>2</w:t>
      </w:r>
      <w:r w:rsidRPr="00B47BDA">
        <w:t xml:space="preserve">. godine ukupna </w:t>
      </w:r>
      <w:r w:rsidRPr="00B47BDA">
        <w:rPr>
          <w:b/>
        </w:rPr>
        <w:t>potrošnja energije</w:t>
      </w:r>
      <w:r w:rsidRPr="00B47BDA">
        <w:t xml:space="preserve"> </w:t>
      </w:r>
      <w:r w:rsidR="0023189C">
        <w:t>smanjivala</w:t>
      </w:r>
      <w:r w:rsidRPr="00B47BDA">
        <w:t xml:space="preserve"> se s prosječnom godišnjom stopom od </w:t>
      </w:r>
      <w:r w:rsidR="003E6FB0">
        <w:t>1,0</w:t>
      </w:r>
      <w:r w:rsidR="00871292">
        <w:t> </w:t>
      </w:r>
      <w:r w:rsidR="727286EC">
        <w:t>%</w:t>
      </w:r>
      <w:r w:rsidRPr="00B47BDA">
        <w:t xml:space="preserve">. U tome razdoblju ostvaren je trend smanjenja potrošnje tekućih goriva, </w:t>
      </w:r>
      <w:r w:rsidR="003E6FB0">
        <w:t>prirodnog plina</w:t>
      </w:r>
      <w:r w:rsidRPr="00B47BDA">
        <w:t xml:space="preserve"> i električne energije. Potrošnja energije iz </w:t>
      </w:r>
      <w:r w:rsidR="005402DC">
        <w:t xml:space="preserve">ugljena i koksa, </w:t>
      </w:r>
      <w:r w:rsidR="009905BE">
        <w:t xml:space="preserve">vodnih snaga, </w:t>
      </w:r>
      <w:r w:rsidRPr="00B47BDA">
        <w:t xml:space="preserve">drva i biomase, obnovljivih izvora </w:t>
      </w:r>
      <w:r w:rsidR="006A3C02">
        <w:t>te neobnovljivog otpada</w:t>
      </w:r>
      <w:r w:rsidRPr="00B47BDA">
        <w:t xml:space="preserve"> se povećala</w:t>
      </w:r>
      <w:r w:rsidR="0079644D" w:rsidRPr="00B47BDA">
        <w:t xml:space="preserve"> (</w:t>
      </w:r>
      <w:r w:rsidR="6463888B">
        <w:t>S</w:t>
      </w:r>
      <w:r w:rsidR="0B260D72">
        <w:t>lika</w:t>
      </w:r>
      <w:r w:rsidR="00E10AB4" w:rsidRPr="00B47BDA">
        <w:t xml:space="preserve"> </w:t>
      </w:r>
      <w:r w:rsidR="0079644D" w:rsidRPr="00B47BDA">
        <w:fldChar w:fldCharType="begin"/>
      </w:r>
      <w:r w:rsidR="0079644D" w:rsidRPr="00B47BDA">
        <w:instrText xml:space="preserve"> REF _Ref133533201 \h </w:instrText>
      </w:r>
      <w:r w:rsidR="00593CE3" w:rsidRPr="00B47BDA">
        <w:instrText xml:space="preserve"> \* MERGEFORMAT </w:instrText>
      </w:r>
      <w:r w:rsidR="0079644D" w:rsidRPr="00B47BDA">
        <w:fldChar w:fldCharType="separate"/>
      </w:r>
      <w:r w:rsidR="00AD324D">
        <w:t>1</w:t>
      </w:r>
      <w:r w:rsidR="00AD324D">
        <w:noBreakHyphen/>
        <w:t>4</w:t>
      </w:r>
      <w:r w:rsidR="00AD324D" w:rsidRPr="00B47BDA">
        <w:t>.</w:t>
      </w:r>
      <w:r w:rsidR="0079644D" w:rsidRPr="00B47BDA">
        <w:fldChar w:fldCharType="end"/>
      </w:r>
      <w:r w:rsidR="0079644D" w:rsidRPr="00B47BDA">
        <w:t>)</w:t>
      </w:r>
      <w:r w:rsidRPr="00B47BDA">
        <w:t>.</w:t>
      </w:r>
    </w:p>
    <w:p w14:paraId="5EB5F625" w14:textId="5FC99871" w:rsidR="00F60EFB" w:rsidRPr="00B47BDA" w:rsidRDefault="00DE2791" w:rsidP="00DE2791">
      <w:pPr>
        <w:jc w:val="center"/>
      </w:pPr>
      <w:r>
        <w:rPr>
          <w:noProof/>
        </w:rPr>
        <w:drawing>
          <wp:inline distT="0" distB="0" distL="0" distR="0" wp14:anchorId="53EA00F7" wp14:editId="4A4491D8">
            <wp:extent cx="5284665" cy="3379389"/>
            <wp:effectExtent l="0" t="0" r="0" b="0"/>
            <wp:docPr id="273129196" name="Picture 1" descr="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29196" name="Picture 1" descr="A graph showing different colored lines&#10;&#10;Description automatically generated"/>
                    <pic:cNvPicPr/>
                  </pic:nvPicPr>
                  <pic:blipFill>
                    <a:blip r:embed="rId15"/>
                    <a:stretch>
                      <a:fillRect/>
                    </a:stretch>
                  </pic:blipFill>
                  <pic:spPr>
                    <a:xfrm>
                      <a:off x="0" y="0"/>
                      <a:ext cx="5293547" cy="3385069"/>
                    </a:xfrm>
                    <a:prstGeom prst="rect">
                      <a:avLst/>
                    </a:prstGeom>
                  </pic:spPr>
                </pic:pic>
              </a:graphicData>
            </a:graphic>
          </wp:inline>
        </w:drawing>
      </w:r>
    </w:p>
    <w:p w14:paraId="4F7091D4" w14:textId="0B959631" w:rsidR="002646CD" w:rsidRPr="00B47BDA" w:rsidRDefault="00F60EFB" w:rsidP="004623DD">
      <w:pPr>
        <w:pStyle w:val="Caption"/>
      </w:pPr>
      <w:bookmarkStart w:id="86" w:name="_Toc185605248"/>
      <w:bookmarkStart w:id="87" w:name="_Toc193035876"/>
      <w:r w:rsidRPr="00B47BDA">
        <w:t xml:space="preserve">Slika </w:t>
      </w:r>
      <w:bookmarkStart w:id="88" w:name="_Ref133533201"/>
      <w:r w:rsidR="00432DEF">
        <w:fldChar w:fldCharType="begin"/>
      </w:r>
      <w:r w:rsidR="00432DEF">
        <w:instrText xml:space="preserve"> STYLEREF 1 \s </w:instrText>
      </w:r>
      <w:r w:rsidR="00432DEF">
        <w:fldChar w:fldCharType="separate"/>
      </w:r>
      <w:r w:rsidR="00AD324D">
        <w:rPr>
          <w:noProof/>
        </w:rPr>
        <w:t>1</w:t>
      </w:r>
      <w:r w:rsidR="00432DEF">
        <w:fldChar w:fldCharType="end"/>
      </w:r>
      <w:r w:rsidR="00257B39">
        <w:t>–</w:t>
      </w:r>
      <w:r>
        <w:fldChar w:fldCharType="begin"/>
      </w:r>
      <w:r>
        <w:instrText>SEQ Slika \* ARABIC \s 1</w:instrText>
      </w:r>
      <w:r>
        <w:fldChar w:fldCharType="separate"/>
      </w:r>
      <w:r w:rsidR="00AD324D">
        <w:rPr>
          <w:noProof/>
        </w:rPr>
        <w:t>4</w:t>
      </w:r>
      <w:r>
        <w:fldChar w:fldCharType="end"/>
      </w:r>
      <w:bookmarkEnd w:id="88"/>
      <w:r w:rsidR="0079644D" w:rsidRPr="00B47BDA">
        <w:t>.</w:t>
      </w:r>
      <w:r w:rsidRPr="00B47BDA">
        <w:t xml:space="preserve"> Ukupna potrošnja energije</w:t>
      </w:r>
      <w:bookmarkEnd w:id="86"/>
      <w:bookmarkEnd w:id="87"/>
    </w:p>
    <w:p w14:paraId="308BCE29" w14:textId="1CFC6E19" w:rsidR="00E10AB4" w:rsidRPr="00B47BDA" w:rsidRDefault="00D95386" w:rsidP="008137DA">
      <w:r w:rsidRPr="00B47BDA">
        <w:t>Energetsko zakonodavstvo i klimatsko zakonodavstvo usklađeni su s pravnom stečevinom Europske unije.</w:t>
      </w:r>
    </w:p>
    <w:p w14:paraId="1353CD34" w14:textId="34DBB18D" w:rsidR="00D95386" w:rsidRPr="00B47BDA" w:rsidRDefault="000C2C97" w:rsidP="008137DA">
      <w:r w:rsidRPr="00B47BDA">
        <w:t xml:space="preserve">Republika Hrvatska donijela </w:t>
      </w:r>
      <w:r w:rsidR="0041408A">
        <w:t xml:space="preserve">je </w:t>
      </w:r>
      <w:r w:rsidRPr="00B47BDA">
        <w:t xml:space="preserve">niz </w:t>
      </w:r>
      <w:r w:rsidRPr="004623DD">
        <w:t>dokumenata</w:t>
      </w:r>
      <w:r w:rsidRPr="00B47BDA">
        <w:t xml:space="preserve"> vezanih za energetiku koji oblikuju njezin strateški okvir u </w:t>
      </w:r>
      <w:r w:rsidR="00EF4EE8" w:rsidRPr="00B47BDA">
        <w:t>tom</w:t>
      </w:r>
      <w:r w:rsidRPr="00B47BDA">
        <w:t xml:space="preserve"> području.</w:t>
      </w:r>
    </w:p>
    <w:p w14:paraId="60B9D0FD" w14:textId="1826B27C" w:rsidR="004F4A8A" w:rsidRPr="00B47BDA" w:rsidRDefault="004F4A8A" w:rsidP="008137DA">
      <w:r w:rsidRPr="00B47BDA">
        <w:t xml:space="preserve">U veljači 2020. </w:t>
      </w:r>
      <w:r w:rsidR="00810DAD">
        <w:t xml:space="preserve">godine </w:t>
      </w:r>
      <w:r w:rsidRPr="00B47BDA">
        <w:t xml:space="preserve">donesena je </w:t>
      </w:r>
      <w:r w:rsidRPr="00B47BDA">
        <w:rPr>
          <w:b/>
        </w:rPr>
        <w:t>Strategija energetskog razvoja Republike Hrvatske do 2030. s pogledom na 2050. godinu</w:t>
      </w:r>
      <w:r w:rsidR="00BB7BFC" w:rsidRPr="00B47BDA">
        <w:t xml:space="preserve"> koja je usmjerena </w:t>
      </w:r>
      <w:r w:rsidR="093E5E3B">
        <w:t xml:space="preserve">ka </w:t>
      </w:r>
      <w:r w:rsidR="00BB7BFC" w:rsidRPr="00B47BDA">
        <w:t>ciljevima EU</w:t>
      </w:r>
      <w:r w:rsidR="25AF0BCF">
        <w:t>-a</w:t>
      </w:r>
      <w:r w:rsidR="00BB7BFC" w:rsidRPr="00B47BDA">
        <w:t xml:space="preserve"> u pogledu smanjenja </w:t>
      </w:r>
      <w:r w:rsidR="2D6D6673">
        <w:t>emisij</w:t>
      </w:r>
      <w:r w:rsidR="1365086D">
        <w:t>a</w:t>
      </w:r>
      <w:r w:rsidR="00BB7BFC" w:rsidRPr="00B47BDA">
        <w:t xml:space="preserve"> stakleničkih plinova, povećanja udjela OIE, energetske učinkovitosti, sigurnosti i kvalitete opskrbe te razvoja unutarnjeg energetskog tržišta EU</w:t>
      </w:r>
      <w:r w:rsidR="17693A34">
        <w:t>-a</w:t>
      </w:r>
      <w:r w:rsidR="00BB7BFC" w:rsidRPr="00B47BDA">
        <w:t xml:space="preserve">, kao i raspoloživim resursima, energetskoj infrastrukturi te </w:t>
      </w:r>
      <w:r w:rsidR="2D6D6673">
        <w:t>konkurentno</w:t>
      </w:r>
      <w:r w:rsidR="4015C8AC">
        <w:t>sti</w:t>
      </w:r>
      <w:r w:rsidR="00BB7BFC" w:rsidRPr="00B47BDA">
        <w:t xml:space="preserve"> gospodarstva i energetskog sektora.</w:t>
      </w:r>
    </w:p>
    <w:p w14:paraId="5AFAC709" w14:textId="2D2E0881" w:rsidR="004F4A8A" w:rsidRPr="00B47BDA" w:rsidRDefault="52E2F0BF" w:rsidP="008137DA">
      <w:r w:rsidRPr="63259912">
        <w:t xml:space="preserve">U lipnju 2021. </w:t>
      </w:r>
      <w:r w:rsidR="4744AEA8" w:rsidRPr="63259912">
        <w:t>g</w:t>
      </w:r>
      <w:r w:rsidRPr="63259912">
        <w:t xml:space="preserve">odine usvojena je i Strategija niskougljičnog razvoja </w:t>
      </w:r>
      <w:r w:rsidR="11E28D45" w:rsidRPr="63259912">
        <w:t>s ciljem smanjivanja emisija stakleničkih plinova</w:t>
      </w:r>
      <w:r w:rsidR="67EF653B" w:rsidRPr="63259912">
        <w:t xml:space="preserve"> u svim sektorima i stvaranja temelja za razvoj niskougljičnog </w:t>
      </w:r>
      <w:r w:rsidR="5C91D627" w:rsidRPr="63259912">
        <w:t>društva čije će gospodarstvo biti konkurentno u okvirima Europske unije i globalno.</w:t>
      </w:r>
    </w:p>
    <w:p w14:paraId="518E6C16" w14:textId="62A10DA4" w:rsidR="0081767B" w:rsidRPr="00B47BDA" w:rsidRDefault="0081767B" w:rsidP="008137DA">
      <w:r w:rsidRPr="00B47BDA">
        <w:t xml:space="preserve">U </w:t>
      </w:r>
      <w:r w:rsidR="00B11755" w:rsidRPr="00B47BDA">
        <w:t>sklopu</w:t>
      </w:r>
      <w:r w:rsidR="00FD4D64" w:rsidRPr="00B47BDA">
        <w:t xml:space="preserve"> </w:t>
      </w:r>
      <w:r w:rsidR="00FD4D64" w:rsidRPr="00B47BDA">
        <w:rPr>
          <w:b/>
        </w:rPr>
        <w:t xml:space="preserve">Nacionalne razvojne strategije </w:t>
      </w:r>
      <w:r w:rsidR="00B11755" w:rsidRPr="00B47BDA">
        <w:rPr>
          <w:b/>
        </w:rPr>
        <w:t xml:space="preserve">Republike Hrvatske </w:t>
      </w:r>
      <w:r w:rsidR="00FD4D64" w:rsidRPr="00B47BDA">
        <w:rPr>
          <w:b/>
        </w:rPr>
        <w:t>do 2030. godine</w:t>
      </w:r>
      <w:r w:rsidR="00B11755" w:rsidRPr="00B47BDA">
        <w:t xml:space="preserve"> definiran je Strateški cilj 8. „Ekološka i energetska tranzicija za klimatsku neutralnost“.</w:t>
      </w:r>
    </w:p>
    <w:p w14:paraId="7B3D391E" w14:textId="0C90014A" w:rsidR="00D95386" w:rsidRPr="00B47BDA" w:rsidRDefault="1C0C5B0D" w:rsidP="00504D45">
      <w:r w:rsidRPr="63259912">
        <w:lastRenderedPageBreak/>
        <w:t>Radi</w:t>
      </w:r>
      <w:r w:rsidR="00D95386" w:rsidRPr="63259912">
        <w:t xml:space="preserve"> koordinacije politika i mjera za ublažavanje i prilagodbu klimatskim promjenama, Vlada RH je </w:t>
      </w:r>
      <w:r w:rsidR="00FB72F4" w:rsidRPr="63259912">
        <w:t>2018</w:t>
      </w:r>
      <w:r w:rsidR="00D95386" w:rsidRPr="63259912">
        <w:t xml:space="preserve">. godine donijela odluku o osnivanju </w:t>
      </w:r>
      <w:r w:rsidR="00D95386" w:rsidRPr="63259912">
        <w:rPr>
          <w:b/>
          <w:bCs/>
        </w:rPr>
        <w:t>Povjere</w:t>
      </w:r>
      <w:r w:rsidR="00E00C7D" w:rsidRPr="63259912">
        <w:rPr>
          <w:b/>
          <w:bCs/>
        </w:rPr>
        <w:t>n</w:t>
      </w:r>
      <w:r w:rsidR="00D95386" w:rsidRPr="63259912">
        <w:rPr>
          <w:b/>
          <w:bCs/>
        </w:rPr>
        <w:t>stva za međusektorsku koordinaciju za politiku i mjere ublažavanja i prilagodbu klimatskim promjenama</w:t>
      </w:r>
      <w:r w:rsidR="1F979C0A" w:rsidRPr="63259912">
        <w:rPr>
          <w:b/>
          <w:bCs/>
        </w:rPr>
        <w:t xml:space="preserve"> </w:t>
      </w:r>
      <w:r w:rsidR="1F979C0A" w:rsidRPr="63259912">
        <w:t>(</w:t>
      </w:r>
      <w:r w:rsidR="0066171B" w:rsidRPr="63259912">
        <w:t>„</w:t>
      </w:r>
      <w:r w:rsidR="1F979C0A" w:rsidRPr="63259912">
        <w:t>Narodne novine</w:t>
      </w:r>
      <w:r w:rsidR="0066171B" w:rsidRPr="63259912">
        <w:t>“</w:t>
      </w:r>
      <w:r w:rsidR="1F979C0A" w:rsidRPr="63259912">
        <w:t xml:space="preserve">, </w:t>
      </w:r>
      <w:r w:rsidR="00124F3B" w:rsidRPr="63259912">
        <w:t xml:space="preserve">br. </w:t>
      </w:r>
      <w:r w:rsidR="1F979C0A" w:rsidRPr="63259912">
        <w:t>9/18</w:t>
      </w:r>
      <w:r w:rsidR="008B0064" w:rsidRPr="63259912">
        <w:t>.</w:t>
      </w:r>
      <w:r w:rsidR="1F979C0A" w:rsidRPr="63259912">
        <w:t>)</w:t>
      </w:r>
      <w:r w:rsidR="74815E4C" w:rsidRPr="63259912">
        <w:t>.</w:t>
      </w:r>
      <w:r w:rsidR="48EBFC6A" w:rsidRPr="63259912">
        <w:t xml:space="preserve"> Članovi ovog Povjerenstva su predstavnici nadležnih tijela državne uprave na razini po</w:t>
      </w:r>
      <w:r w:rsidR="225C0AC1" w:rsidRPr="63259912">
        <w:t>moćnika ministara/</w:t>
      </w:r>
      <w:r w:rsidR="48EBFC6A" w:rsidRPr="63259912">
        <w:t>ravnatelja</w:t>
      </w:r>
      <w:r w:rsidR="765FE9D9" w:rsidRPr="63259912">
        <w:t xml:space="preserve">, a predsjednik Povjerenstva imenuje dvije tehničke radne skupine, </w:t>
      </w:r>
      <w:r w:rsidR="1F21A302" w:rsidRPr="63259912">
        <w:t>za niskougljični razvoj i prilagodbu klimatskim promjenama</w:t>
      </w:r>
      <w:r w:rsidR="257A004C" w:rsidRPr="63259912">
        <w:t>,</w:t>
      </w:r>
      <w:r w:rsidR="3ADFC6F3" w:rsidRPr="63259912">
        <w:t xml:space="preserve"> od stručnjaka resornih ministarstava, stručnih institucija, predstavnika gospodarstva</w:t>
      </w:r>
      <w:r w:rsidR="0A400E7D" w:rsidRPr="63259912">
        <w:t xml:space="preserve"> i nevladinih udruga</w:t>
      </w:r>
      <w:r w:rsidR="3EBA0DEC" w:rsidRPr="63259912">
        <w:t>.</w:t>
      </w:r>
    </w:p>
    <w:p w14:paraId="0459DEE4" w14:textId="1CBE6707" w:rsidR="3303CE59" w:rsidRPr="001734F5" w:rsidRDefault="3303CE59">
      <w:pPr>
        <w:spacing w:after="0"/>
        <w:rPr>
          <w:rFonts w:asciiTheme="minorHAnsi" w:hAnsiTheme="minorHAnsi" w:cstheme="minorBidi"/>
        </w:rPr>
      </w:pPr>
      <w:r w:rsidRPr="001734F5">
        <w:rPr>
          <w:rFonts w:asciiTheme="minorHAnsi" w:hAnsiTheme="minorHAnsi" w:cstheme="minorBidi"/>
        </w:rPr>
        <w:t xml:space="preserve">U </w:t>
      </w:r>
      <w:r w:rsidR="55B7C4B1" w:rsidRPr="001734F5">
        <w:rPr>
          <w:rFonts w:asciiTheme="minorHAnsi" w:hAnsiTheme="minorHAnsi" w:cstheme="minorBidi"/>
        </w:rPr>
        <w:t xml:space="preserve">rujnu 2019. </w:t>
      </w:r>
      <w:r w:rsidR="734B28EC" w:rsidRPr="001734F5">
        <w:rPr>
          <w:rFonts w:asciiTheme="minorHAnsi" w:hAnsiTheme="minorHAnsi" w:cstheme="minorBidi"/>
        </w:rPr>
        <w:t>u</w:t>
      </w:r>
      <w:r w:rsidR="55B7C4B1" w:rsidRPr="001734F5">
        <w:rPr>
          <w:rFonts w:asciiTheme="minorHAnsi" w:hAnsiTheme="minorHAnsi" w:cstheme="minorBidi"/>
        </w:rPr>
        <w:t xml:space="preserve">svojen je inicijalni </w:t>
      </w:r>
      <w:r w:rsidR="55B7C4B1" w:rsidRPr="001734F5">
        <w:rPr>
          <w:rFonts w:asciiTheme="minorHAnsi" w:hAnsiTheme="minorHAnsi" w:cstheme="minorBidi"/>
          <w:b/>
          <w:bCs/>
        </w:rPr>
        <w:t xml:space="preserve">Program kontrole onečišćenja zraka za razdoblje 2020. </w:t>
      </w:r>
      <w:r w:rsidR="1B42B3D2" w:rsidRPr="001734F5">
        <w:rPr>
          <w:rFonts w:asciiTheme="minorHAnsi" w:hAnsiTheme="minorHAnsi" w:cstheme="minorBidi"/>
          <w:b/>
          <w:bCs/>
        </w:rPr>
        <w:t>d</w:t>
      </w:r>
      <w:r w:rsidR="55B7C4B1" w:rsidRPr="001734F5">
        <w:rPr>
          <w:rFonts w:asciiTheme="minorHAnsi" w:hAnsiTheme="minorHAnsi" w:cstheme="minorBidi"/>
          <w:b/>
          <w:bCs/>
        </w:rPr>
        <w:t>o 2029</w:t>
      </w:r>
      <w:r w:rsidR="55B7C4B1" w:rsidRPr="001734F5">
        <w:rPr>
          <w:rFonts w:asciiTheme="minorHAnsi" w:hAnsiTheme="minorHAnsi" w:cstheme="minorBidi"/>
        </w:rPr>
        <w:t xml:space="preserve">. </w:t>
      </w:r>
      <w:r w:rsidR="00EB08F1">
        <w:rPr>
          <w:rFonts w:asciiTheme="minorHAnsi" w:hAnsiTheme="minorHAnsi" w:cstheme="minorBidi"/>
        </w:rPr>
        <w:t xml:space="preserve">(„Narodne novine“, br. </w:t>
      </w:r>
      <w:r w:rsidR="1CBBE579" w:rsidRPr="001734F5">
        <w:rPr>
          <w:rFonts w:asciiTheme="minorHAnsi" w:hAnsiTheme="minorHAnsi" w:cstheme="minorBidi"/>
        </w:rPr>
        <w:t>90/19</w:t>
      </w:r>
      <w:r w:rsidR="00C44763">
        <w:rPr>
          <w:rFonts w:asciiTheme="minorHAnsi" w:hAnsiTheme="minorHAnsi" w:cstheme="minorBidi"/>
        </w:rPr>
        <w:t>.</w:t>
      </w:r>
      <w:r w:rsidR="1CBBE579" w:rsidRPr="001734F5">
        <w:rPr>
          <w:rFonts w:asciiTheme="minorHAnsi" w:hAnsiTheme="minorHAnsi" w:cstheme="minorBidi"/>
        </w:rPr>
        <w:t xml:space="preserve">) </w:t>
      </w:r>
      <w:r w:rsidR="3F0E2622" w:rsidRPr="001734F5">
        <w:rPr>
          <w:rFonts w:asciiTheme="minorHAnsi" w:hAnsiTheme="minorHAnsi" w:cstheme="minorBidi"/>
        </w:rPr>
        <w:t xml:space="preserve">Navedeni Program je glavni instrument upravljanja kojim države članice EU-a moraju osigurati da se poštuju obveze smanjenja emisija za 2020.-2029. i 2030. godinu, te sadrži politike i mjere po sektorima (energetika, poljoprivreda, otpad, industrija, promet) kao i pregled predviđanja daljnjeg razvoja u scenarijima s postojećim mjerama i s dodatnim mjerama. </w:t>
      </w:r>
    </w:p>
    <w:p w14:paraId="36B11E76" w14:textId="711AB2F5" w:rsidR="3F0E2622" w:rsidRPr="001734F5" w:rsidRDefault="3F0E2622" w:rsidP="001734F5">
      <w:pPr>
        <w:spacing w:after="0"/>
        <w:rPr>
          <w:rFonts w:asciiTheme="minorHAnsi" w:hAnsiTheme="minorHAnsi" w:cstheme="minorBidi"/>
        </w:rPr>
      </w:pPr>
      <w:r w:rsidRPr="001734F5">
        <w:rPr>
          <w:rFonts w:asciiTheme="minorHAnsi" w:hAnsiTheme="minorHAnsi" w:cstheme="minorBidi"/>
        </w:rPr>
        <w:t xml:space="preserve">U cilju osiguranja sinergije i smanjenja troškova provedbe, Program osigurava opći okvir za integrirane nacionalne energetske i klimatske planove, s obzirom da se u velikoj mjeri oslanja na mjere i akcije koji su navedeni i usvojeni u nacionalnim energetskim i klimatskim strategijama. </w:t>
      </w:r>
    </w:p>
    <w:p w14:paraId="4D31551C" w14:textId="7845EFD9" w:rsidR="3F0E2622" w:rsidRDefault="3F0E2622">
      <w:pPr>
        <w:spacing w:after="0"/>
        <w:rPr>
          <w:rFonts w:asciiTheme="minorHAnsi" w:hAnsiTheme="minorHAnsi" w:cstheme="minorBidi"/>
          <w:color w:val="000000" w:themeColor="text1"/>
        </w:rPr>
      </w:pPr>
      <w:r w:rsidRPr="001734F5">
        <w:rPr>
          <w:rFonts w:asciiTheme="minorHAnsi" w:hAnsiTheme="minorHAnsi" w:cstheme="minorBidi"/>
        </w:rPr>
        <w:t>Program prepoznaje i potiče snažnu sinergiju prilikom planiranja politika i mjera za smanjenje emisija onečišćujućih tvari u zrak i poboljšanja kvalitete zraka s politikama i mjerama za smanjenje emisija stakleničkih plinova, rast udjela obnovljivih izvora energije te povećanje energetske učinkovitosti.</w:t>
      </w:r>
      <w:r w:rsidR="47DCFC09" w:rsidRPr="001734F5">
        <w:rPr>
          <w:rFonts w:asciiTheme="minorHAnsi" w:hAnsiTheme="minorHAnsi" w:cstheme="minorBidi"/>
        </w:rPr>
        <w:t xml:space="preserve"> U toku je izrada </w:t>
      </w:r>
      <w:r w:rsidR="47DCFC09" w:rsidRPr="001734F5">
        <w:rPr>
          <w:rFonts w:asciiTheme="minorHAnsi" w:hAnsiTheme="minorHAnsi" w:cstheme="minorBidi"/>
          <w:color w:val="000000" w:themeColor="text1"/>
        </w:rPr>
        <w:t>Prvih Izmjena i dopuna Programa kontrole onečišćenja zraka za razdoblje od 2020. do 2029.</w:t>
      </w:r>
    </w:p>
    <w:p w14:paraId="373C4614" w14:textId="4BB61008" w:rsidR="00E10AB4" w:rsidRPr="00B47BDA" w:rsidRDefault="6CDB4F00" w:rsidP="00D37DE1">
      <w:pPr>
        <w:spacing w:before="120"/>
      </w:pPr>
      <w:r>
        <w:t>S ciljem jačanja otpornosti na klimatske promjene izazovima u energetskom sektoru pristupit</w:t>
      </w:r>
      <w:r w:rsidR="364B34CB">
        <w:t xml:space="preserve"> će se</w:t>
      </w:r>
      <w:r>
        <w:t xml:space="preserve"> s iznimnom pažnjom u svrhu osiguranja održive energetike, kako s aspekta proizvodnje električne, tako i toplinske energije, ali i njihove distribucije i prijenosa. </w:t>
      </w:r>
      <w:r w:rsidR="49B2D15A">
        <w:t>Sve češća oštećenja elektroenergetskog sustava i njegovih postrojenja uslijed ekstremnih vremenskih događaja predstavljaju veliki financijski teret za sve sudionike u energetskom sektoru.</w:t>
      </w:r>
    </w:p>
    <w:p w14:paraId="71C8A9C7" w14:textId="45F48F90" w:rsidR="00FF0CF3" w:rsidRPr="00B47BDA" w:rsidRDefault="00F66B22" w:rsidP="00601BC4">
      <w:pPr>
        <w:pStyle w:val="Heading4"/>
        <w:numPr>
          <w:ilvl w:val="3"/>
          <w:numId w:val="175"/>
        </w:numPr>
        <w:ind w:hanging="580"/>
      </w:pPr>
      <w:bookmarkStart w:id="89" w:name="_Hlk531604663"/>
      <w:bookmarkStart w:id="90" w:name="_Toc531934949"/>
      <w:bookmarkStart w:id="91" w:name="_Toc531945075"/>
      <w:bookmarkStart w:id="92" w:name="_Toc6302331"/>
      <w:r w:rsidRPr="00B47BDA">
        <w:tab/>
      </w:r>
      <w:r w:rsidR="00FF0CF3" w:rsidRPr="00B47BDA">
        <w:t xml:space="preserve">Trenutačne energetske i klimatske politike </w:t>
      </w:r>
      <w:bookmarkEnd w:id="89"/>
      <w:r w:rsidR="00FF0CF3" w:rsidRPr="00B47BDA">
        <w:t xml:space="preserve">i mjere koje se odnose na pet dimenzija </w:t>
      </w:r>
      <w:r w:rsidR="00FF3A27" w:rsidRPr="00B47BDA">
        <w:t xml:space="preserve">energetske </w:t>
      </w:r>
      <w:r w:rsidR="00FF0CF3" w:rsidRPr="00B47BDA">
        <w:t>unije</w:t>
      </w:r>
      <w:bookmarkEnd w:id="90"/>
      <w:bookmarkEnd w:id="91"/>
      <w:bookmarkEnd w:id="92"/>
    </w:p>
    <w:p w14:paraId="647FB3A9" w14:textId="3C283CE1" w:rsidR="00FF0CF3" w:rsidRPr="00B47BDA" w:rsidRDefault="00FF0CF3" w:rsidP="008137DA">
      <w:pPr>
        <w:pStyle w:val="Heading5"/>
        <w:shd w:val="clear" w:color="auto" w:fill="DEEAF6" w:themeFill="accent1" w:themeFillTint="33"/>
      </w:pPr>
      <w:r w:rsidRPr="63259912">
        <w:t>Dimenzija</w:t>
      </w:r>
      <w:r w:rsidR="00206A8F" w:rsidRPr="63259912">
        <w:t>:</w:t>
      </w:r>
      <w:r w:rsidRPr="63259912">
        <w:t xml:space="preserve"> </w:t>
      </w:r>
      <w:r w:rsidR="00206A8F" w:rsidRPr="63259912">
        <w:t>d</w:t>
      </w:r>
      <w:r w:rsidR="05A9AE22" w:rsidRPr="63259912">
        <w:t>ekarbonizacij</w:t>
      </w:r>
      <w:r w:rsidR="00206A8F" w:rsidRPr="63259912">
        <w:t>a</w:t>
      </w:r>
    </w:p>
    <w:p w14:paraId="52409D63" w14:textId="4FDDEFA7" w:rsidR="00634B7C" w:rsidRPr="00B47BDA" w:rsidRDefault="009D2674" w:rsidP="004623DD">
      <w:r w:rsidRPr="63259912">
        <w:t xml:space="preserve">Dimenzija </w:t>
      </w:r>
      <w:r w:rsidR="5B348D10" w:rsidRPr="63259912">
        <w:t>d</w:t>
      </w:r>
      <w:r w:rsidR="3117D6A6" w:rsidRPr="63259912">
        <w:t>ekarbonizacij</w:t>
      </w:r>
      <w:r w:rsidR="523D7BED" w:rsidRPr="63259912">
        <w:t>e</w:t>
      </w:r>
      <w:r w:rsidRPr="63259912">
        <w:t xml:space="preserve"> ima dva </w:t>
      </w:r>
      <w:r w:rsidR="001D6358" w:rsidRPr="63259912">
        <w:t>ključna elementa</w:t>
      </w:r>
    </w:p>
    <w:p w14:paraId="38B0AC7B" w14:textId="77777777" w:rsidR="00C46FEC" w:rsidRDefault="005F741A" w:rsidP="00070B62">
      <w:pPr>
        <w:pStyle w:val="ListParagraph"/>
        <w:numPr>
          <w:ilvl w:val="0"/>
          <w:numId w:val="14"/>
        </w:numPr>
        <w:spacing w:after="60"/>
        <w:ind w:left="714" w:hanging="357"/>
      </w:pPr>
      <w:r>
        <w:t xml:space="preserve">Smanjenje </w:t>
      </w:r>
      <w:r w:rsidR="001D6358" w:rsidRPr="00B47BDA">
        <w:t xml:space="preserve">emisije </w:t>
      </w:r>
      <w:r>
        <w:t xml:space="preserve">stakleničkih plinova </w:t>
      </w:r>
      <w:r w:rsidR="001D6358" w:rsidRPr="00B47BDA">
        <w:t xml:space="preserve">i </w:t>
      </w:r>
    </w:p>
    <w:p w14:paraId="6136FE00" w14:textId="366DF9D9" w:rsidR="001D6358" w:rsidRPr="00B47BDA" w:rsidRDefault="00C46FEC" w:rsidP="00C46FEC">
      <w:pPr>
        <w:pStyle w:val="ListParagraph"/>
        <w:numPr>
          <w:ilvl w:val="0"/>
          <w:numId w:val="14"/>
        </w:numPr>
        <w:spacing w:after="240"/>
        <w:ind w:left="714" w:hanging="357"/>
      </w:pPr>
      <w:r>
        <w:t>P</w:t>
      </w:r>
      <w:r w:rsidR="005F741A">
        <w:t>ove</w:t>
      </w:r>
      <w:r w:rsidR="004A5580">
        <w:t>ć</w:t>
      </w:r>
      <w:r w:rsidR="005F741A">
        <w:t xml:space="preserve">anje </w:t>
      </w:r>
      <w:r w:rsidR="001D6358" w:rsidRPr="00B47BDA">
        <w:t>uklanjanj</w:t>
      </w:r>
      <w:r w:rsidR="005F741A">
        <w:t>a</w:t>
      </w:r>
      <w:r w:rsidR="00470587">
        <w:t xml:space="preserve"> odnosno povećanje ponora</w:t>
      </w:r>
      <w:r>
        <w:t>.</w:t>
      </w:r>
    </w:p>
    <w:p w14:paraId="2EC5276C" w14:textId="0D762B4D" w:rsidR="00FF0CF3" w:rsidRPr="00B47BDA" w:rsidRDefault="00FF0CF3" w:rsidP="008137DA">
      <w:r w:rsidRPr="63259912">
        <w:t xml:space="preserve">Pitanje klimatskih promjena na globalnom planu rješava se </w:t>
      </w:r>
      <w:r w:rsidR="2829B30F" w:rsidRPr="63259912">
        <w:t>međunarodnim sporazumima kojih je stranka i Hrvatska</w:t>
      </w:r>
      <w:r w:rsidR="327174CB" w:rsidRPr="63259912">
        <w:t xml:space="preserve">, </w:t>
      </w:r>
      <w:r w:rsidRPr="63259912">
        <w:t>UNFCCC</w:t>
      </w:r>
      <w:r w:rsidR="5EC4AD9C" w:rsidRPr="63259912">
        <w:t xml:space="preserve">, </w:t>
      </w:r>
      <w:r w:rsidRPr="63259912">
        <w:t>Zakona o njezinom potvrđivanju u Hrvatskom saboru (</w:t>
      </w:r>
      <w:r w:rsidR="00CC6557" w:rsidRPr="63259912">
        <w:t>„</w:t>
      </w:r>
      <w:r w:rsidR="00071A4F" w:rsidRPr="63259912">
        <w:t xml:space="preserve">Narodne </w:t>
      </w:r>
      <w:r w:rsidR="00A97AE7" w:rsidRPr="63259912">
        <w:t>novin</w:t>
      </w:r>
      <w:r w:rsidR="00CB0965" w:rsidRPr="63259912">
        <w:t>e</w:t>
      </w:r>
      <w:r w:rsidR="00CC6557" w:rsidRPr="63259912">
        <w:t>“</w:t>
      </w:r>
      <w:r w:rsidR="00CB0965" w:rsidRPr="63259912">
        <w:t xml:space="preserve">, </w:t>
      </w:r>
      <w:r w:rsidRPr="63259912">
        <w:t xml:space="preserve">Međunarodni ugovori, </w:t>
      </w:r>
      <w:r w:rsidR="00EE1897" w:rsidRPr="63259912">
        <w:t xml:space="preserve">br. </w:t>
      </w:r>
      <w:r w:rsidRPr="63259912">
        <w:t>2/96</w:t>
      </w:r>
      <w:r w:rsidR="00CC6557" w:rsidRPr="63259912">
        <w:t>.</w:t>
      </w:r>
      <w:r w:rsidRPr="63259912">
        <w:t xml:space="preserve">). </w:t>
      </w:r>
      <w:r w:rsidR="000E6972" w:rsidRPr="63259912">
        <w:t>Republika Hrvatska je stranka Kyotskog protokola</w:t>
      </w:r>
      <w:r w:rsidR="00A70748" w:rsidRPr="63259912">
        <w:t xml:space="preserve"> </w:t>
      </w:r>
      <w:r w:rsidR="002D480F" w:rsidRPr="63259912">
        <w:t xml:space="preserve">na </w:t>
      </w:r>
      <w:r w:rsidR="00A70748" w:rsidRPr="63259912">
        <w:t>temelj</w:t>
      </w:r>
      <w:r w:rsidR="002D480F" w:rsidRPr="63259912">
        <w:t>u</w:t>
      </w:r>
      <w:r w:rsidR="000E6972" w:rsidRPr="63259912">
        <w:t xml:space="preserve"> Zakon</w:t>
      </w:r>
      <w:r w:rsidR="00A70748" w:rsidRPr="63259912">
        <w:t>a</w:t>
      </w:r>
      <w:r w:rsidR="000E6972" w:rsidRPr="63259912">
        <w:t xml:space="preserve"> o potvrđivanju Kyotskog protokola uz Okvirnu konvenciju Ujedinjenih naroda o promjeni klime (</w:t>
      </w:r>
      <w:r w:rsidR="00CC6557" w:rsidRPr="63259912">
        <w:t>„</w:t>
      </w:r>
      <w:r w:rsidR="00071A4F" w:rsidRPr="63259912">
        <w:t xml:space="preserve">Narodne </w:t>
      </w:r>
      <w:r w:rsidR="00A97AE7" w:rsidRPr="63259912">
        <w:t>novine</w:t>
      </w:r>
      <w:r w:rsidR="00CC6557" w:rsidRPr="63259912">
        <w:t>“</w:t>
      </w:r>
      <w:r w:rsidR="00071A4F" w:rsidRPr="63259912">
        <w:t>,</w:t>
      </w:r>
      <w:r w:rsidR="60E427A7" w:rsidRPr="63259912">
        <w:t xml:space="preserve"> </w:t>
      </w:r>
      <w:r w:rsidR="000E6972" w:rsidRPr="63259912">
        <w:t>Međunarodni ugovori</w:t>
      </w:r>
      <w:r w:rsidR="007C0523" w:rsidRPr="63259912">
        <w:t>,</w:t>
      </w:r>
      <w:r w:rsidR="000E6972" w:rsidRPr="63259912">
        <w:t xml:space="preserve"> </w:t>
      </w:r>
      <w:r w:rsidR="00EE1897" w:rsidRPr="63259912">
        <w:t xml:space="preserve">br. </w:t>
      </w:r>
      <w:r w:rsidR="000E6972" w:rsidRPr="63259912">
        <w:t>5/07</w:t>
      </w:r>
      <w:r w:rsidR="004B546B" w:rsidRPr="63259912">
        <w:t>.</w:t>
      </w:r>
      <w:r w:rsidR="000E6972" w:rsidRPr="63259912">
        <w:t>)</w:t>
      </w:r>
      <w:r w:rsidR="00A70748" w:rsidRPr="63259912">
        <w:t xml:space="preserve"> i</w:t>
      </w:r>
      <w:r w:rsidR="000E6972" w:rsidRPr="63259912">
        <w:t xml:space="preserve"> Zakon</w:t>
      </w:r>
      <w:r w:rsidR="00A70748" w:rsidRPr="63259912">
        <w:t>a</w:t>
      </w:r>
      <w:r w:rsidR="000E6972" w:rsidRPr="63259912">
        <w:t xml:space="preserve"> o potvrđivanju Izmjene Kyotskog protokola </w:t>
      </w:r>
      <w:r w:rsidR="00A454B8" w:rsidRPr="63259912">
        <w:t xml:space="preserve">iz Dohe </w:t>
      </w:r>
      <w:r w:rsidR="000E6972" w:rsidRPr="63259912">
        <w:t>(</w:t>
      </w:r>
      <w:r w:rsidR="004B546B" w:rsidRPr="63259912">
        <w:t>„</w:t>
      </w:r>
      <w:r w:rsidR="00071A4F" w:rsidRPr="63259912">
        <w:t xml:space="preserve">Narodne </w:t>
      </w:r>
      <w:r w:rsidR="00A97AE7" w:rsidRPr="63259912">
        <w:t>novine</w:t>
      </w:r>
      <w:r w:rsidR="004B546B" w:rsidRPr="63259912">
        <w:t>“</w:t>
      </w:r>
      <w:r w:rsidR="00071A4F" w:rsidRPr="63259912">
        <w:t xml:space="preserve">, </w:t>
      </w:r>
      <w:r w:rsidR="000E6972" w:rsidRPr="63259912">
        <w:t xml:space="preserve">Međunarodni ugovori, </w:t>
      </w:r>
      <w:r w:rsidR="00EE1897" w:rsidRPr="63259912">
        <w:t xml:space="preserve">br. </w:t>
      </w:r>
      <w:r w:rsidR="000E6972" w:rsidRPr="63259912">
        <w:t>6/15</w:t>
      </w:r>
      <w:r w:rsidR="00781211" w:rsidRPr="63259912">
        <w:t>.</w:t>
      </w:r>
      <w:r w:rsidR="00593F2D" w:rsidRPr="63259912">
        <w:t>)</w:t>
      </w:r>
      <w:r w:rsidR="000E6972" w:rsidRPr="63259912">
        <w:t xml:space="preserve"> </w:t>
      </w:r>
      <w:r w:rsidR="00A70748" w:rsidRPr="63259912">
        <w:t>te</w:t>
      </w:r>
      <w:r w:rsidR="000E6972" w:rsidRPr="63259912">
        <w:t xml:space="preserve"> Pariškog sporazuma</w:t>
      </w:r>
      <w:r w:rsidR="0049025A" w:rsidRPr="63259912">
        <w:t>, temeljem</w:t>
      </w:r>
      <w:r w:rsidR="000E6972" w:rsidRPr="63259912">
        <w:t xml:space="preserve"> Zakon</w:t>
      </w:r>
      <w:r w:rsidR="0049025A" w:rsidRPr="63259912">
        <w:t>a</w:t>
      </w:r>
      <w:r w:rsidR="000E6972" w:rsidRPr="63259912">
        <w:t xml:space="preserve"> o potvrđivanju Pariškog sporazuma (</w:t>
      </w:r>
      <w:r w:rsidR="009B32E1" w:rsidRPr="63259912">
        <w:t>„</w:t>
      </w:r>
      <w:r w:rsidR="00071A4F" w:rsidRPr="63259912">
        <w:t xml:space="preserve">Narodne </w:t>
      </w:r>
      <w:r w:rsidR="00A97AE7" w:rsidRPr="63259912">
        <w:t>novine</w:t>
      </w:r>
      <w:r w:rsidR="009B32E1" w:rsidRPr="63259912">
        <w:t>“</w:t>
      </w:r>
      <w:r w:rsidR="00071A4F" w:rsidRPr="63259912">
        <w:t xml:space="preserve">, </w:t>
      </w:r>
      <w:r w:rsidR="000E6972" w:rsidRPr="63259912">
        <w:t>Međunarodni ugovori</w:t>
      </w:r>
      <w:r w:rsidR="00E30B7A" w:rsidRPr="63259912">
        <w:t>,</w:t>
      </w:r>
      <w:r w:rsidR="000E6972" w:rsidRPr="63259912">
        <w:t xml:space="preserve"> </w:t>
      </w:r>
      <w:r w:rsidR="00EE1897" w:rsidRPr="63259912">
        <w:t xml:space="preserve">br. </w:t>
      </w:r>
      <w:r w:rsidR="000E6972" w:rsidRPr="63259912">
        <w:t>3/17</w:t>
      </w:r>
      <w:r w:rsidR="009B32E1" w:rsidRPr="63259912">
        <w:t>.</w:t>
      </w:r>
      <w:r w:rsidR="000E6972" w:rsidRPr="63259912">
        <w:t xml:space="preserve">). </w:t>
      </w:r>
    </w:p>
    <w:p w14:paraId="1F040C65" w14:textId="13EBA6BC" w:rsidR="00D71B5A" w:rsidRPr="00B47BDA" w:rsidRDefault="00D71B5A" w:rsidP="63259912">
      <w:pPr>
        <w:rPr>
          <w:highlight w:val="yellow"/>
        </w:rPr>
      </w:pPr>
      <w:r w:rsidRPr="63259912">
        <w:lastRenderedPageBreak/>
        <w:t xml:space="preserve">Tijekom 2018. godine usvojeno je niz novih EU </w:t>
      </w:r>
      <w:r w:rsidR="0049025A" w:rsidRPr="63259912">
        <w:t>propisa</w:t>
      </w:r>
      <w:r w:rsidRPr="63259912">
        <w:t xml:space="preserve">, kojima se uređuje ili restrukturira područje klimatskih promjena. </w:t>
      </w:r>
      <w:r w:rsidR="00A454B8" w:rsidRPr="63259912">
        <w:t>Stoga</w:t>
      </w:r>
      <w:r w:rsidRPr="63259912">
        <w:t xml:space="preserve"> se pristupilo donošenju posebnog Zakona o klimatskim promjenama i zaštiti ozonskog sloja</w:t>
      </w:r>
      <w:r w:rsidR="009961BF" w:rsidRPr="63259912">
        <w:t xml:space="preserve"> (</w:t>
      </w:r>
      <w:r w:rsidR="0056727F" w:rsidRPr="63259912">
        <w:t>„</w:t>
      </w:r>
      <w:r w:rsidR="00071A4F" w:rsidRPr="63259912">
        <w:t xml:space="preserve">Narodne </w:t>
      </w:r>
      <w:r w:rsidR="00A97AE7" w:rsidRPr="63259912">
        <w:t>novine</w:t>
      </w:r>
      <w:r w:rsidR="0056727F" w:rsidRPr="63259912">
        <w:t>“</w:t>
      </w:r>
      <w:r w:rsidR="00071A4F" w:rsidRPr="63259912">
        <w:t>,</w:t>
      </w:r>
      <w:r w:rsidR="2C11AA3A" w:rsidRPr="63259912">
        <w:t xml:space="preserve"> </w:t>
      </w:r>
      <w:r w:rsidR="00EE1897" w:rsidRPr="63259912">
        <w:t xml:space="preserve">br. </w:t>
      </w:r>
      <w:r w:rsidR="009961BF" w:rsidRPr="63259912">
        <w:t>127/19</w:t>
      </w:r>
      <w:r w:rsidR="0056727F" w:rsidRPr="63259912">
        <w:t>.</w:t>
      </w:r>
      <w:r w:rsidR="009961BF" w:rsidRPr="63259912">
        <w:t>)</w:t>
      </w:r>
      <w:r w:rsidRPr="63259912">
        <w:t xml:space="preserve">, koji je </w:t>
      </w:r>
      <w:r w:rsidR="00937FD6" w:rsidRPr="63259912">
        <w:t>na snazi od 1.</w:t>
      </w:r>
      <w:r w:rsidR="4C1D0E1E" w:rsidRPr="63259912">
        <w:t xml:space="preserve"> siječnja </w:t>
      </w:r>
      <w:r w:rsidR="00AF2E6C" w:rsidRPr="63259912">
        <w:t>2020</w:t>
      </w:r>
      <w:r w:rsidR="00575D66" w:rsidRPr="63259912">
        <w:t xml:space="preserve">. </w:t>
      </w:r>
      <w:r w:rsidR="13935D9C" w:rsidRPr="63259912">
        <w:t>godine.</w:t>
      </w:r>
      <w:r w:rsidR="2AAC442A" w:rsidRPr="63259912">
        <w:t xml:space="preserve"> </w:t>
      </w:r>
      <w:r w:rsidR="751F040D" w:rsidRPr="63259912">
        <w:t xml:space="preserve">Ovim se </w:t>
      </w:r>
      <w:r w:rsidR="00524867" w:rsidRPr="63259912">
        <w:t xml:space="preserve">Zakonom određuju </w:t>
      </w:r>
      <w:r w:rsidR="6AA2A9F1" w:rsidRPr="63259912">
        <w:t>nadležnost</w:t>
      </w:r>
      <w:r w:rsidR="6D3A70E9" w:rsidRPr="63259912">
        <w:t>i</w:t>
      </w:r>
      <w:r w:rsidR="00524867" w:rsidRPr="63259912">
        <w:t xml:space="preserve"> i </w:t>
      </w:r>
      <w:r w:rsidR="6AA2A9F1" w:rsidRPr="63259912">
        <w:t>odgovornost</w:t>
      </w:r>
      <w:r w:rsidR="6D3A70E9" w:rsidRPr="63259912">
        <w:t>i</w:t>
      </w:r>
      <w:r w:rsidR="00524867" w:rsidRPr="63259912">
        <w:t xml:space="preserve"> za</w:t>
      </w:r>
      <w:r w:rsidR="402F84D5" w:rsidRPr="63259912">
        <w:t>:</w:t>
      </w:r>
      <w:r w:rsidR="00524867" w:rsidRPr="63259912">
        <w:t xml:space="preserve"> ublažavanje klimatskih promjena, prilagodbu klimatskim promjenama i zaštitu ozonskog sloja, </w:t>
      </w:r>
      <w:r w:rsidR="6AA2A9F1" w:rsidRPr="63259912">
        <w:t>dokument</w:t>
      </w:r>
      <w:r w:rsidR="22C8E216" w:rsidRPr="63259912">
        <w:t>e</w:t>
      </w:r>
      <w:r w:rsidR="00524867" w:rsidRPr="63259912">
        <w:t xml:space="preserve"> o klimatskim promjenama i zaštiti ozonskog sloja, praćenje i izvješćivanje o emisijama stakleničkih plinova, sustav trgovanja emisijama stakleničkih plinova, </w:t>
      </w:r>
      <w:r w:rsidR="6AA2A9F1" w:rsidRPr="63259912">
        <w:t>sektor</w:t>
      </w:r>
      <w:r w:rsidR="06472145" w:rsidRPr="63259912">
        <w:t>e</w:t>
      </w:r>
      <w:r w:rsidR="00524867" w:rsidRPr="63259912">
        <w:t xml:space="preserve"> izvan sustava trgovanja emisijama stakleničkih plinova, tvari koje oštećuju ozonski sloj i fluoriran</w:t>
      </w:r>
      <w:r w:rsidR="178B4998" w:rsidRPr="63259912">
        <w:t>e</w:t>
      </w:r>
      <w:r w:rsidR="6AA2A9F1" w:rsidRPr="63259912">
        <w:t xml:space="preserve"> stakleničk</w:t>
      </w:r>
      <w:r w:rsidR="70F9C319" w:rsidRPr="63259912">
        <w:t>e</w:t>
      </w:r>
      <w:r w:rsidR="6AA2A9F1" w:rsidRPr="63259912">
        <w:t xml:space="preserve"> plinov</w:t>
      </w:r>
      <w:r w:rsidR="39930FDE" w:rsidRPr="63259912">
        <w:t>e</w:t>
      </w:r>
      <w:r w:rsidR="00524867" w:rsidRPr="63259912">
        <w:t xml:space="preserve">, financiranje ublažavanja klimatskih promjena, prilagodbe klimatskim promjenama i zaštite ozonskog sloja, informacijski sustav za klimatske promjene i zaštitu ozonskog sloja </w:t>
      </w:r>
      <w:r w:rsidR="00017836" w:rsidRPr="63259912">
        <w:t xml:space="preserve">kao </w:t>
      </w:r>
      <w:r w:rsidR="00524867" w:rsidRPr="63259912">
        <w:t xml:space="preserve">i druga pitanja vezana uz </w:t>
      </w:r>
      <w:r w:rsidR="00FC24D3" w:rsidRPr="63259912">
        <w:t>ublažavanje klimatskih promjena, prilagodb</w:t>
      </w:r>
      <w:r w:rsidR="00017836" w:rsidRPr="63259912">
        <w:t>u</w:t>
      </w:r>
      <w:r w:rsidR="00FC24D3" w:rsidRPr="63259912">
        <w:t xml:space="preserve"> klimatskim promjenama i </w:t>
      </w:r>
      <w:r w:rsidR="560B3FB2" w:rsidRPr="63259912">
        <w:t>zaštit</w:t>
      </w:r>
      <w:r w:rsidR="503E15BE" w:rsidRPr="63259912">
        <w:t>u</w:t>
      </w:r>
      <w:r w:rsidR="00FC24D3" w:rsidRPr="63259912">
        <w:t xml:space="preserve"> ozonskog sloja</w:t>
      </w:r>
      <w:r w:rsidR="00E80BBB" w:rsidRPr="63259912">
        <w:t>.</w:t>
      </w:r>
    </w:p>
    <w:p w14:paraId="563598EE" w14:textId="590B9E1C" w:rsidR="00892A72" w:rsidRPr="00070B62" w:rsidRDefault="00892A72" w:rsidP="008137DA">
      <w:pPr>
        <w:pStyle w:val="ListParagraph"/>
        <w:rPr>
          <w:rFonts w:asciiTheme="minorHAnsi" w:hAnsiTheme="minorHAnsi" w:cstheme="minorBidi"/>
        </w:rPr>
      </w:pPr>
      <w:r w:rsidRPr="20C1EDF1">
        <w:rPr>
          <w:rFonts w:asciiTheme="minorHAnsi" w:hAnsiTheme="minorHAnsi" w:cstheme="minorBidi"/>
        </w:rPr>
        <w:t xml:space="preserve">Republika Hrvatska kao </w:t>
      </w:r>
      <w:r w:rsidR="00661E4B" w:rsidRPr="20C1EDF1">
        <w:rPr>
          <w:rFonts w:asciiTheme="minorHAnsi" w:hAnsiTheme="minorHAnsi" w:cstheme="minorBidi"/>
        </w:rPr>
        <w:t xml:space="preserve">stranka </w:t>
      </w:r>
      <w:r w:rsidRPr="20C1EDF1">
        <w:rPr>
          <w:rFonts w:asciiTheme="minorHAnsi" w:hAnsiTheme="minorHAnsi" w:cstheme="minorBidi"/>
        </w:rPr>
        <w:t xml:space="preserve">UNFCCC svake četiri godine </w:t>
      </w:r>
      <w:r w:rsidR="009D2674" w:rsidRPr="20C1EDF1">
        <w:rPr>
          <w:rFonts w:asciiTheme="minorHAnsi" w:hAnsiTheme="minorHAnsi" w:cstheme="minorBidi"/>
        </w:rPr>
        <w:t xml:space="preserve">izrađuje i dostavlja </w:t>
      </w:r>
      <w:r w:rsidRPr="20C1EDF1">
        <w:rPr>
          <w:rFonts w:asciiTheme="minorHAnsi" w:hAnsiTheme="minorHAnsi" w:cstheme="minorBidi"/>
        </w:rPr>
        <w:t xml:space="preserve">nacionalno izvješće o promjeni klime kojim izvještava </w:t>
      </w:r>
      <w:r w:rsidR="5A28B874" w:rsidRPr="20C1EDF1">
        <w:rPr>
          <w:rFonts w:asciiTheme="minorHAnsi" w:hAnsiTheme="minorHAnsi" w:cstheme="minorBidi"/>
        </w:rPr>
        <w:t xml:space="preserve">Tajništvo UNFCCC-a </w:t>
      </w:r>
      <w:r w:rsidRPr="20C1EDF1">
        <w:rPr>
          <w:rFonts w:asciiTheme="minorHAnsi" w:hAnsiTheme="minorHAnsi" w:cstheme="minorBidi"/>
        </w:rPr>
        <w:t xml:space="preserve">o provedbi obveza </w:t>
      </w:r>
      <w:r w:rsidR="0069795A" w:rsidRPr="20C1EDF1">
        <w:rPr>
          <w:rFonts w:asciiTheme="minorHAnsi" w:hAnsiTheme="minorHAnsi" w:cstheme="minorBidi"/>
        </w:rPr>
        <w:t xml:space="preserve">iz </w:t>
      </w:r>
      <w:r w:rsidRPr="20C1EDF1">
        <w:rPr>
          <w:rFonts w:asciiTheme="minorHAnsi" w:hAnsiTheme="minorHAnsi" w:cstheme="minorBidi"/>
        </w:rPr>
        <w:t xml:space="preserve">Konvencije. </w:t>
      </w:r>
      <w:r w:rsidR="009D2674" w:rsidRPr="20C1EDF1">
        <w:rPr>
          <w:rFonts w:asciiTheme="minorHAnsi" w:hAnsiTheme="minorHAnsi" w:cstheme="minorBidi"/>
        </w:rPr>
        <w:t xml:space="preserve">Najnovije izvješće je </w:t>
      </w:r>
      <w:r w:rsidR="1176EBED" w:rsidRPr="20C1EDF1">
        <w:rPr>
          <w:rFonts w:asciiTheme="minorHAnsi" w:hAnsiTheme="minorHAnsi" w:cstheme="minorBidi"/>
        </w:rPr>
        <w:t xml:space="preserve">Osmo </w:t>
      </w:r>
      <w:r w:rsidR="009D2674" w:rsidRPr="20C1EDF1">
        <w:rPr>
          <w:rFonts w:asciiTheme="minorHAnsi" w:hAnsiTheme="minorHAnsi" w:cstheme="minorBidi"/>
        </w:rPr>
        <w:t>nacionalno izvješće</w:t>
      </w:r>
      <w:r w:rsidR="0072157B">
        <w:rPr>
          <w:rStyle w:val="FootnoteReference"/>
          <w:rFonts w:cstheme="minorBidi"/>
        </w:rPr>
        <w:footnoteReference w:id="7"/>
      </w:r>
      <w:r w:rsidR="009D2674" w:rsidRPr="20C1EDF1">
        <w:rPr>
          <w:rFonts w:asciiTheme="minorHAnsi" w:hAnsiTheme="minorHAnsi" w:cstheme="minorBidi"/>
        </w:rPr>
        <w:t xml:space="preserve"> i </w:t>
      </w:r>
      <w:r w:rsidR="644CB296" w:rsidRPr="20C1EDF1">
        <w:rPr>
          <w:rFonts w:asciiTheme="minorHAnsi" w:hAnsiTheme="minorHAnsi" w:cstheme="minorBidi"/>
        </w:rPr>
        <w:t>Peto</w:t>
      </w:r>
      <w:r w:rsidR="00FB2291" w:rsidRPr="20C1EDF1">
        <w:rPr>
          <w:rFonts w:asciiTheme="minorHAnsi" w:hAnsiTheme="minorHAnsi" w:cstheme="minorBidi"/>
        </w:rPr>
        <w:t xml:space="preserve"> </w:t>
      </w:r>
      <w:r w:rsidR="009D2674" w:rsidRPr="20C1EDF1">
        <w:rPr>
          <w:rFonts w:asciiTheme="minorHAnsi" w:hAnsiTheme="minorHAnsi" w:cstheme="minorBidi"/>
        </w:rPr>
        <w:t>dvogodišnje izvješće</w:t>
      </w:r>
      <w:r w:rsidR="001D7201" w:rsidRPr="20C1EDF1">
        <w:rPr>
          <w:rStyle w:val="FootnoteReference"/>
          <w:rFonts w:asciiTheme="minorHAnsi" w:hAnsiTheme="minorHAnsi" w:cstheme="minorBidi"/>
          <w:sz w:val="24"/>
        </w:rPr>
        <w:footnoteReference w:id="8"/>
      </w:r>
      <w:r w:rsidR="001D7201" w:rsidRPr="20C1EDF1">
        <w:rPr>
          <w:rFonts w:asciiTheme="minorHAnsi" w:hAnsiTheme="minorHAnsi" w:cstheme="minorBidi"/>
        </w:rPr>
        <w:t xml:space="preserve"> R</w:t>
      </w:r>
      <w:r w:rsidR="009D2674" w:rsidRPr="20C1EDF1">
        <w:rPr>
          <w:rFonts w:asciiTheme="minorHAnsi" w:hAnsiTheme="minorHAnsi" w:cstheme="minorBidi"/>
        </w:rPr>
        <w:t>epublike Hrvatske prema UNFCCC</w:t>
      </w:r>
      <w:r w:rsidR="3B6338EC" w:rsidRPr="20C1EDF1">
        <w:rPr>
          <w:rFonts w:asciiTheme="minorHAnsi" w:hAnsiTheme="minorHAnsi" w:cstheme="minorBidi"/>
        </w:rPr>
        <w:t>-u</w:t>
      </w:r>
      <w:r w:rsidR="009D2674" w:rsidRPr="20C1EDF1">
        <w:rPr>
          <w:rFonts w:asciiTheme="minorHAnsi" w:hAnsiTheme="minorHAnsi" w:cstheme="minorBidi"/>
        </w:rPr>
        <w:t>.</w:t>
      </w:r>
    </w:p>
    <w:p w14:paraId="3D7CF4D3" w14:textId="54EB79FC" w:rsidR="000261EA" w:rsidRDefault="000261EA" w:rsidP="008137DA">
      <w:r w:rsidRPr="63259912">
        <w:t xml:space="preserve">U prosincu 2019. </w:t>
      </w:r>
      <w:r w:rsidR="009D4D28" w:rsidRPr="63259912">
        <w:t xml:space="preserve">godine </w:t>
      </w:r>
      <w:r w:rsidRPr="63259912">
        <w:t xml:space="preserve">Europska komisija </w:t>
      </w:r>
      <w:r w:rsidR="00DD71A4" w:rsidRPr="63259912">
        <w:t xml:space="preserve">objavila je </w:t>
      </w:r>
      <w:r w:rsidR="00AC4412" w:rsidRPr="63259912">
        <w:t>Europski zeleni plan</w:t>
      </w:r>
      <w:r w:rsidR="00AC4412" w:rsidRPr="63259912">
        <w:rPr>
          <w:rStyle w:val="FootnoteReference"/>
        </w:rPr>
        <w:footnoteReference w:id="9"/>
      </w:r>
      <w:r w:rsidR="007C5696" w:rsidRPr="63259912">
        <w:t xml:space="preserve"> </w:t>
      </w:r>
      <w:r w:rsidRPr="63259912">
        <w:t xml:space="preserve">kojim se </w:t>
      </w:r>
      <w:r w:rsidR="23B7AE8C" w:rsidRPr="63259912">
        <w:t xml:space="preserve">Europska unija </w:t>
      </w:r>
      <w:r w:rsidRPr="63259912">
        <w:t>obvezuje na postizanje klimatske neutralnosti do 2050</w:t>
      </w:r>
      <w:r w:rsidR="2BAE2EA3" w:rsidRPr="63259912">
        <w:t>.</w:t>
      </w:r>
      <w:r w:rsidR="5ECE2C4E" w:rsidRPr="63259912">
        <w:t xml:space="preserve"> </w:t>
      </w:r>
      <w:r w:rsidR="4AD86237" w:rsidRPr="63259912">
        <w:t>g</w:t>
      </w:r>
      <w:r w:rsidR="52A7059F" w:rsidRPr="63259912">
        <w:t>odine</w:t>
      </w:r>
      <w:r w:rsidRPr="63259912">
        <w:t xml:space="preserve"> te dekarbonizaciju energetskog sustava </w:t>
      </w:r>
      <w:r w:rsidR="211C41E9" w:rsidRPr="63259912">
        <w:t xml:space="preserve">određuje </w:t>
      </w:r>
      <w:r w:rsidRPr="63259912">
        <w:t xml:space="preserve">ključnom za postizanje ciljeva u području klime </w:t>
      </w:r>
      <w:r w:rsidR="74948285" w:rsidRPr="63259912">
        <w:t xml:space="preserve">za </w:t>
      </w:r>
      <w:r w:rsidRPr="63259912">
        <w:t xml:space="preserve">2030. i 2050. </w:t>
      </w:r>
      <w:r w:rsidR="6B9EF654" w:rsidRPr="63259912">
        <w:t>godin</w:t>
      </w:r>
      <w:r w:rsidR="2517270B" w:rsidRPr="63259912">
        <w:t>u</w:t>
      </w:r>
      <w:r w:rsidR="6B9EF654" w:rsidRPr="63259912">
        <w:t>.</w:t>
      </w:r>
      <w:r w:rsidR="5ECE2C4E" w:rsidRPr="63259912">
        <w:t xml:space="preserve"> </w:t>
      </w:r>
      <w:r w:rsidRPr="63259912">
        <w:t xml:space="preserve">U lipnju 2021. </w:t>
      </w:r>
      <w:r w:rsidR="009C46D5" w:rsidRPr="63259912">
        <w:t xml:space="preserve">godine </w:t>
      </w:r>
      <w:r w:rsidRPr="63259912">
        <w:t>usvojen</w:t>
      </w:r>
      <w:r w:rsidR="00A90B21" w:rsidRPr="63259912">
        <w:t>a je</w:t>
      </w:r>
      <w:r w:rsidR="00A90B21" w:rsidRPr="63259912" w:rsidDel="00A90B21">
        <w:t xml:space="preserve"> </w:t>
      </w:r>
      <w:r w:rsidR="00F81AFC" w:rsidRPr="63259912">
        <w:t>Europski zakon o klimi</w:t>
      </w:r>
      <w:r w:rsidR="00F81AFC" w:rsidRPr="63259912">
        <w:rPr>
          <w:rStyle w:val="FootnoteReference"/>
        </w:rPr>
        <w:footnoteReference w:id="10"/>
      </w:r>
      <w:r w:rsidR="00C36C4D" w:rsidRPr="63259912">
        <w:rPr>
          <w:rFonts w:eastAsia="Calibri" w:cs="Calibri"/>
        </w:rPr>
        <w:t xml:space="preserve"> </w:t>
      </w:r>
      <w:r w:rsidRPr="63259912">
        <w:t xml:space="preserve">čime postizanje klimatske neutralnosti do 2050. </w:t>
      </w:r>
      <w:r w:rsidR="009C46D5" w:rsidRPr="63259912">
        <w:t xml:space="preserve">godine </w:t>
      </w:r>
      <w:r w:rsidRPr="63259912">
        <w:t>u skladu s Europskim zelenim planom postaje zakonski obvezujuće.</w:t>
      </w:r>
    </w:p>
    <w:p w14:paraId="5A509166" w14:textId="749FF171" w:rsidR="00F2035C" w:rsidRDefault="00F2035C" w:rsidP="00F2035C">
      <w:r w:rsidRPr="00B47BDA">
        <w:t xml:space="preserve">Dana 14. srpnja 2021. Europska komisija </w:t>
      </w:r>
      <w:r>
        <w:t>objavi</w:t>
      </w:r>
      <w:r w:rsidRPr="00B47BDA">
        <w:t xml:space="preserve">la je </w:t>
      </w:r>
      <w:r>
        <w:t>zakonodavni</w:t>
      </w:r>
      <w:r w:rsidRPr="00B47BDA">
        <w:t xml:space="preserve"> paket „</w:t>
      </w:r>
      <w:r>
        <w:t>Spremni za</w:t>
      </w:r>
      <w:r w:rsidRPr="00B47BDA">
        <w:t xml:space="preserve"> 55“, </w:t>
      </w:r>
      <w:r>
        <w:t xml:space="preserve">koji je usvojen tijekom 2023. i 2024. godine, a </w:t>
      </w:r>
      <w:r w:rsidRPr="00B47BDA">
        <w:t>kojim se prilagođava postojeće zakonodavstvo o klimi i energiji kako bi se ispunio novi cilj EU-a o smanjenju emisija stakleničkih plinova od najmanje 55</w:t>
      </w:r>
      <w:r w:rsidR="006A31B6">
        <w:t> </w:t>
      </w:r>
      <w:r w:rsidRPr="00B47BDA">
        <w:t>% do 2030.</w:t>
      </w:r>
      <w:r>
        <w:t xml:space="preserve"> Cilj smanjenja emisija stakleničkih plinova za najmanje 55</w:t>
      </w:r>
      <w:r w:rsidR="006A31B6">
        <w:t> </w:t>
      </w:r>
      <w:r>
        <w:t>% do 2030. godine je ujedno nacionalno određeni doprinos (NDC) EU i njezinih država članica prema Pariškom sporazumu.</w:t>
      </w:r>
    </w:p>
    <w:p w14:paraId="5FE6CD59" w14:textId="20F127C2" w:rsidR="00F2035C" w:rsidRDefault="00F2035C" w:rsidP="00F2035C">
      <w:r>
        <w:t>Obvezu smanjenja emisija stakleničkih plinova za najmanje 55</w:t>
      </w:r>
      <w:r w:rsidR="006A31B6">
        <w:t> </w:t>
      </w:r>
      <w:r>
        <w:t>% do 2030. godine u odnosu na razinu emisija u 1990., države članice provode zajednički na razini Europske unije i to na dva načina:</w:t>
      </w:r>
    </w:p>
    <w:p w14:paraId="3460A8A6" w14:textId="6F72E9D3" w:rsidR="00F2035C" w:rsidRDefault="00F2035C" w:rsidP="00F2035C">
      <w:r>
        <w:t>a.) putem EU sustava trgovanja emisijskim jedinicama stakleničkih plinova (EU ETS), u kojem je potrebno smanjiti emisije za -62</w:t>
      </w:r>
      <w:r w:rsidR="006A31B6">
        <w:t> </w:t>
      </w:r>
      <w:r>
        <w:t>% u odnosu na razine iz 2005. godine. U EU ETS je uključeno 43 postrojenja iz Republike Hrvatske i 3 zrakoplovne kompanije.</w:t>
      </w:r>
    </w:p>
    <w:p w14:paraId="7B32AF8F" w14:textId="77B172BC" w:rsidR="00F2035C" w:rsidRDefault="00F2035C" w:rsidP="00F2035C">
      <w:r w:rsidRPr="63259912">
        <w:lastRenderedPageBreak/>
        <w:t>b.) obvezama održavanja emisija iz sektora izvan ETS-a (tzv. non-ETS) do razine dodijeljene godišnje kvote. Cilj smanjenja emisija do 2030. godine na razini EU-a za navedene sektore iznosi 40</w:t>
      </w:r>
      <w:r w:rsidR="00331F11" w:rsidRPr="63259912">
        <w:t> </w:t>
      </w:r>
      <w:r w:rsidRPr="63259912">
        <w:t>% u odnosu na razine iz 2005. godine.</w:t>
      </w:r>
    </w:p>
    <w:p w14:paraId="6285F72F" w14:textId="77777777" w:rsidR="00F2035C" w:rsidRDefault="00F2035C" w:rsidP="00F2035C">
      <w:r>
        <w:t xml:space="preserve">Za sektore izvan ETS-a (dio industrijskih procesa, uporaba otapala i drugih proizvoda, poljoprivreda, šumarstvo, gospodarenje otpadom, kućanstva i usluge, promet itd.), za države članice i Republiku Hrvatsku je određena godišnja nacionalna kvota koja se ne smije prekoračiti, inače, nakon korištenja određenih fleksibilnosti, mora kupovati emisijske jedinice od drugih država članica, kojim pokriva prekoračenje. </w:t>
      </w:r>
    </w:p>
    <w:p w14:paraId="07CA1F71" w14:textId="4903CD3B" w:rsidR="00661F30" w:rsidRPr="00B47BDA" w:rsidRDefault="00F2035C" w:rsidP="00F2035C">
      <w:r>
        <w:t>Kvota za sektore izvan sustava trgovanja je uspostavljena temeljem solidarnosti između država članica Europske unije, a prema kojoj Republika Hrvatska do 2030. godine iz tih sektora mora smanjiti emisije za 16,7</w:t>
      </w:r>
      <w:r w:rsidR="00331F11">
        <w:t> </w:t>
      </w:r>
      <w:r>
        <w:t>% u odnosu na razine tih emisija u baznoj, 2005. godini.</w:t>
      </w:r>
    </w:p>
    <w:p w14:paraId="7DC92987" w14:textId="2EF70587" w:rsidR="000261EA" w:rsidRPr="00B47BDA" w:rsidRDefault="000261EA" w:rsidP="008137DA">
      <w:r w:rsidRPr="63259912">
        <w:t>Nastavno na proved</w:t>
      </w:r>
      <w:r w:rsidR="00B806A8" w:rsidRPr="63259912">
        <w:t>b</w:t>
      </w:r>
      <w:r w:rsidRPr="63259912">
        <w:t>u Pariškog sporazuma održana je klimatska konferencija stranaka COP26 (Glasgow, studeni 2021.</w:t>
      </w:r>
      <w:r w:rsidR="000278A2" w:rsidRPr="63259912">
        <w:t xml:space="preserve"> godine</w:t>
      </w:r>
      <w:r w:rsidRPr="63259912">
        <w:t>). gdje je usvojen tzv. Glasgowski klimatski pakt koji sadržava niz odluka o pojačanim naporima za izgradnju otpornosti na klimatske promjene, za smanjenje emisija stakleničkih plinova i osiguranje potrebnog financiranja te poziva na postupno ukidanje subvencija za fosilna goriva i razmatranje daljnjih mjera za smanjenje emisija koje ne sadržavaju CO</w:t>
      </w:r>
      <w:r w:rsidRPr="63259912">
        <w:rPr>
          <w:vertAlign w:val="subscript"/>
        </w:rPr>
        <w:t>2</w:t>
      </w:r>
      <w:r w:rsidR="00B1332E" w:rsidRPr="63259912">
        <w:t>.</w:t>
      </w:r>
      <w:r w:rsidR="007D049A" w:rsidRPr="63259912">
        <w:t xml:space="preserve"> Ti su ciljevi ojačani na COP-u 28 2023. godine, odlukom o ishodima Globalnog pregleda stanja, kojom se stranke pozivanju na utrostručenje obnovljivih izvora energije, udvostručenje energetske učinkovitosti do 2030. godine, ubrzavanje napora na globalnoj razini prema energetskim sustavima s nultom emisijom, korištenje goriva s nultim i niskim udjelom ugljika, prijelaz s fosilnih goriva u energetskim sustavima, ubrzavanje smanjenja emisija iz cestovnog prometa, uključujući kroz razvoj infrastrukture i brzu implementaciju vozila s nultom i niskom emisijom itd.</w:t>
      </w:r>
    </w:p>
    <w:p w14:paraId="4E949D0C" w14:textId="1B6B95E7" w:rsidR="00FF0CF3" w:rsidRPr="00B47BDA" w:rsidRDefault="00892A72" w:rsidP="008137DA">
      <w:r w:rsidRPr="63259912">
        <w:t xml:space="preserve">Kao stranka </w:t>
      </w:r>
      <w:r w:rsidR="0074533E" w:rsidRPr="63259912">
        <w:t xml:space="preserve">UNFCCC, </w:t>
      </w:r>
      <w:r w:rsidRPr="63259912">
        <w:t xml:space="preserve">Kyotskog protokola </w:t>
      </w:r>
      <w:r w:rsidR="008E656E" w:rsidRPr="63259912">
        <w:t xml:space="preserve">i Pariškog sporazuma </w:t>
      </w:r>
      <w:r w:rsidRPr="63259912">
        <w:t xml:space="preserve">Republika Hrvatska je uspostavila nacionalni sustav za praćenje emisija stakleničkih plinova u državi te na godišnjoj osnovi izrađuje </w:t>
      </w:r>
      <w:r w:rsidR="52F23EB7" w:rsidRPr="63259912">
        <w:t>i</w:t>
      </w:r>
      <w:r w:rsidR="49F3A085" w:rsidRPr="63259912">
        <w:t>zvješće o</w:t>
      </w:r>
      <w:r w:rsidR="0FB3086F" w:rsidRPr="63259912">
        <w:t xml:space="preserve"> inventaru</w:t>
      </w:r>
      <w:r w:rsidR="49F3A085" w:rsidRPr="63259912">
        <w:t xml:space="preserve"> </w:t>
      </w:r>
      <w:r w:rsidRPr="63259912">
        <w:t xml:space="preserve">emisija stakleničkih plinova i dostavlja ga u </w:t>
      </w:r>
      <w:r w:rsidR="04DF6099" w:rsidRPr="63259912">
        <w:t>T</w:t>
      </w:r>
      <w:r w:rsidR="49F3A085" w:rsidRPr="63259912">
        <w:t>ajništvo</w:t>
      </w:r>
      <w:r w:rsidRPr="63259912">
        <w:t xml:space="preserve"> UNFCCC</w:t>
      </w:r>
      <w:r w:rsidR="72984B31" w:rsidRPr="63259912">
        <w:t>-a</w:t>
      </w:r>
      <w:r w:rsidRPr="63259912">
        <w:t xml:space="preserve"> (do 15. travnja tekuće godine) i Europsk</w:t>
      </w:r>
      <w:r w:rsidR="008612FD" w:rsidRPr="63259912">
        <w:t>oj</w:t>
      </w:r>
      <w:r w:rsidRPr="63259912">
        <w:t xml:space="preserve"> </w:t>
      </w:r>
      <w:r w:rsidR="00581EFB" w:rsidRPr="63259912">
        <w:t>k</w:t>
      </w:r>
      <w:r w:rsidRPr="63259912">
        <w:t>omisij</w:t>
      </w:r>
      <w:r w:rsidR="008612FD" w:rsidRPr="63259912">
        <w:t>i</w:t>
      </w:r>
      <w:r w:rsidRPr="63259912">
        <w:t xml:space="preserve"> (do 15. siječnja tekuće godine</w:t>
      </w:r>
      <w:r w:rsidR="2DC83E67" w:rsidRPr="63259912">
        <w:t xml:space="preserve"> preliminarni NIR</w:t>
      </w:r>
      <w:r w:rsidR="552BF419" w:rsidRPr="63259912">
        <w:t>,</w:t>
      </w:r>
      <w:r w:rsidR="2DC83E67" w:rsidRPr="63259912">
        <w:t xml:space="preserve"> a potom do 15. ožujka konačni NIR</w:t>
      </w:r>
      <w:r w:rsidR="49F3A085" w:rsidRPr="63259912">
        <w:t>).</w:t>
      </w:r>
      <w:r w:rsidR="009D2674" w:rsidRPr="63259912">
        <w:t xml:space="preserve"> Najnovije </w:t>
      </w:r>
      <w:r w:rsidR="001D6358" w:rsidRPr="63259912">
        <w:t xml:space="preserve">Izvješće o inventaru </w:t>
      </w:r>
      <w:r w:rsidR="774ACD08" w:rsidRPr="63259912">
        <w:t xml:space="preserve">emisija </w:t>
      </w:r>
      <w:r w:rsidR="001D6358" w:rsidRPr="63259912">
        <w:t>stakleničkih plinova na području Republike Hrvatske za razdoblje 1990</w:t>
      </w:r>
      <w:r w:rsidR="000C55FB" w:rsidRPr="63259912">
        <w:t>. - 20</w:t>
      </w:r>
      <w:r w:rsidR="00C812F6" w:rsidRPr="63259912">
        <w:t>2</w:t>
      </w:r>
      <w:r w:rsidR="15BEEB21" w:rsidRPr="63259912">
        <w:t>2</w:t>
      </w:r>
      <w:r w:rsidR="000C55FB" w:rsidRPr="63259912">
        <w:t>. (NIR 202</w:t>
      </w:r>
      <w:r w:rsidR="778B5CA9" w:rsidRPr="63259912">
        <w:t>4</w:t>
      </w:r>
      <w:r w:rsidR="000C55FB" w:rsidRPr="63259912">
        <w:t xml:space="preserve">) </w:t>
      </w:r>
      <w:r w:rsidR="65D46A7C" w:rsidRPr="63259912">
        <w:t>dostavljeno je u Europsku komisiju u ožujku 2024. godine</w:t>
      </w:r>
      <w:r w:rsidR="000C55FB" w:rsidRPr="63259912">
        <w:t>.</w:t>
      </w:r>
      <w:r w:rsidR="001D6358" w:rsidRPr="63259912">
        <w:t>[</w:t>
      </w:r>
      <w:r>
        <w:fldChar w:fldCharType="begin"/>
      </w:r>
      <w:r>
        <w:instrText xml:space="preserve"> REF _Ref531604458 \r \h  \* MERGEFORMAT </w:instrText>
      </w:r>
      <w:r>
        <w:fldChar w:fldCharType="separate"/>
      </w:r>
      <w:r w:rsidR="00AD324D" w:rsidRPr="63259912">
        <w:t>11</w:t>
      </w:r>
      <w:r>
        <w:fldChar w:fldCharType="end"/>
      </w:r>
      <w:r w:rsidR="6E94E673" w:rsidRPr="63259912">
        <w:t>]</w:t>
      </w:r>
      <w:r w:rsidR="054E2943" w:rsidRPr="63259912">
        <w:t xml:space="preserve"> </w:t>
      </w:r>
      <w:r w:rsidR="58C0AB9A" w:rsidRPr="63259912">
        <w:t xml:space="preserve">Budući </w:t>
      </w:r>
      <w:r w:rsidR="4D8F73AA" w:rsidRPr="63259912">
        <w:t xml:space="preserve">da </w:t>
      </w:r>
      <w:r w:rsidR="6F88058A" w:rsidRPr="63259912">
        <w:t>T</w:t>
      </w:r>
      <w:r w:rsidR="58C0AB9A" w:rsidRPr="63259912">
        <w:t xml:space="preserve">ajništvo UNFCCC-a trenutno radi na novim tabličnim formatima za </w:t>
      </w:r>
      <w:r w:rsidR="6F3885E5" w:rsidRPr="63259912">
        <w:t>i</w:t>
      </w:r>
      <w:r w:rsidR="58C0AB9A" w:rsidRPr="63259912">
        <w:t>zvješćivanj</w:t>
      </w:r>
      <w:r w:rsidR="355ED21B" w:rsidRPr="63259912">
        <w:t>e prema Pariškom sporazumu</w:t>
      </w:r>
      <w:r w:rsidR="47A36F3B" w:rsidRPr="63259912">
        <w:t>,</w:t>
      </w:r>
      <w:r w:rsidR="355ED21B" w:rsidRPr="63259912">
        <w:t xml:space="preserve"> </w:t>
      </w:r>
      <w:r w:rsidR="43C0D5EA" w:rsidRPr="63259912">
        <w:t>s</w:t>
      </w:r>
      <w:r w:rsidR="526D2089" w:rsidRPr="63259912">
        <w:t>t</w:t>
      </w:r>
      <w:r w:rsidR="671906C5" w:rsidRPr="63259912">
        <w:t>rank</w:t>
      </w:r>
      <w:r w:rsidR="5DF6B9F1" w:rsidRPr="63259912">
        <w:t xml:space="preserve">e </w:t>
      </w:r>
      <w:r w:rsidR="7322CA5A" w:rsidRPr="63259912">
        <w:t>UNFCCC-a</w:t>
      </w:r>
      <w:r w:rsidR="4AF64C0A" w:rsidRPr="63259912">
        <w:t xml:space="preserve"> svoje </w:t>
      </w:r>
      <w:r w:rsidR="3EF3E036" w:rsidRPr="63259912">
        <w:t>i</w:t>
      </w:r>
      <w:r w:rsidR="4AF64C0A" w:rsidRPr="63259912">
        <w:t xml:space="preserve">nventare emisija stakleničkih plinova </w:t>
      </w:r>
      <w:r w:rsidR="3739EDB3" w:rsidRPr="63259912">
        <w:t>za razdoblje o</w:t>
      </w:r>
      <w:r w:rsidR="18FFB7E2" w:rsidRPr="63259912">
        <w:t>d</w:t>
      </w:r>
      <w:r w:rsidR="3739EDB3" w:rsidRPr="63259912">
        <w:t xml:space="preserve"> 1990. </w:t>
      </w:r>
      <w:r w:rsidR="2B0B791F" w:rsidRPr="63259912">
        <w:t>d</w:t>
      </w:r>
      <w:r w:rsidR="3739EDB3" w:rsidRPr="63259912">
        <w:t>o 2022.</w:t>
      </w:r>
      <w:r w:rsidR="41B9DA9B" w:rsidRPr="63259912">
        <w:t>,</w:t>
      </w:r>
      <w:r w:rsidR="3739EDB3" w:rsidRPr="63259912">
        <w:t xml:space="preserve"> </w:t>
      </w:r>
      <w:r w:rsidR="421C9429" w:rsidRPr="63259912">
        <w:t>iznimno ove godine</w:t>
      </w:r>
      <w:r w:rsidR="5C70BFB5" w:rsidRPr="63259912">
        <w:t>,</w:t>
      </w:r>
      <w:r w:rsidR="36F72B8C" w:rsidRPr="63259912">
        <w:t xml:space="preserve"> </w:t>
      </w:r>
      <w:r w:rsidR="1849AB62" w:rsidRPr="63259912">
        <w:t>trebaju</w:t>
      </w:r>
      <w:r w:rsidR="421C9429" w:rsidRPr="63259912">
        <w:t xml:space="preserve"> </w:t>
      </w:r>
      <w:r w:rsidR="5CADAB4E" w:rsidRPr="63259912">
        <w:t>dostaviti u Tajništvo UN</w:t>
      </w:r>
      <w:r w:rsidR="626A1717" w:rsidRPr="63259912">
        <w:t>FCCC-a</w:t>
      </w:r>
      <w:r w:rsidR="71DC66D0" w:rsidRPr="63259912">
        <w:t xml:space="preserve"> do kraja 2024. godine.</w:t>
      </w:r>
    </w:p>
    <w:p w14:paraId="19B7926F" w14:textId="50F54B68" w:rsidR="004527B9" w:rsidRPr="00B47BDA" w:rsidRDefault="004527B9" w:rsidP="00557530">
      <w:r w:rsidRPr="63259912">
        <w:t xml:space="preserve">Osim navedenih konvencija, ključni zakoni relevantni za dimenziju </w:t>
      </w:r>
      <w:r w:rsidR="52E4059D" w:rsidRPr="63259912">
        <w:t>dekarbonizacije</w:t>
      </w:r>
      <w:r w:rsidRPr="63259912">
        <w:t xml:space="preserve"> su:</w:t>
      </w:r>
    </w:p>
    <w:p w14:paraId="56911A68" w14:textId="6AEE381E" w:rsidR="00547C9F" w:rsidRPr="002D7293" w:rsidRDefault="00547C9F" w:rsidP="002D7293">
      <w:pPr>
        <w:pStyle w:val="ListParagraph"/>
        <w:numPr>
          <w:ilvl w:val="0"/>
          <w:numId w:val="33"/>
        </w:numPr>
        <w:spacing w:after="60"/>
        <w:ind w:left="714" w:hanging="357"/>
      </w:pPr>
      <w:r w:rsidRPr="002D7293">
        <w:t>Zakon o klimatskim promjenama i zaštiti ozonskog sloja (</w:t>
      </w:r>
      <w:r w:rsidR="007C551B">
        <w:t>„</w:t>
      </w:r>
      <w:r w:rsidR="00071A4F" w:rsidRPr="00071A4F">
        <w:t xml:space="preserve">Narodne </w:t>
      </w:r>
      <w:r w:rsidR="00A97AE7">
        <w:t>novine</w:t>
      </w:r>
      <w:r w:rsidR="007C551B">
        <w:t>“</w:t>
      </w:r>
      <w:r w:rsidR="00071A4F" w:rsidRPr="00071A4F">
        <w:t xml:space="preserve">, </w:t>
      </w:r>
      <w:r w:rsidR="69A8CD10">
        <w:t>br</w:t>
      </w:r>
      <w:r w:rsidR="00EE1897">
        <w:t>.</w:t>
      </w:r>
      <w:r w:rsidR="00380A46">
        <w:t xml:space="preserve"> </w:t>
      </w:r>
      <w:r w:rsidRPr="002D7293">
        <w:t>127/19</w:t>
      </w:r>
      <w:r w:rsidR="007C551B">
        <w:t>.</w:t>
      </w:r>
      <w:r w:rsidR="25DB4932">
        <w:t>)</w:t>
      </w:r>
      <w:r w:rsidR="50147ED7">
        <w:t>,</w:t>
      </w:r>
    </w:p>
    <w:p w14:paraId="3279723C" w14:textId="0ABEAAE4" w:rsidR="004527B9" w:rsidRPr="002D7293" w:rsidRDefault="004527B9" w:rsidP="002D7293">
      <w:pPr>
        <w:pStyle w:val="ListParagraph"/>
        <w:numPr>
          <w:ilvl w:val="0"/>
          <w:numId w:val="33"/>
        </w:numPr>
        <w:spacing w:after="60"/>
        <w:ind w:left="714" w:hanging="357"/>
      </w:pPr>
      <w:r w:rsidRPr="002D7293">
        <w:t>Zakon o zaštiti okoliša (</w:t>
      </w:r>
      <w:r w:rsidR="007C551B">
        <w:t>„</w:t>
      </w:r>
      <w:r w:rsidR="00071A4F" w:rsidRPr="00071A4F">
        <w:t xml:space="preserve">Narodne </w:t>
      </w:r>
      <w:r w:rsidR="00A97AE7">
        <w:t>novine</w:t>
      </w:r>
      <w:r w:rsidR="007C551B">
        <w:t>“</w:t>
      </w:r>
      <w:r w:rsidR="00071A4F" w:rsidRPr="00071A4F">
        <w:t>,</w:t>
      </w:r>
      <w:r w:rsidR="77E15EB7">
        <w:t xml:space="preserve"> br</w:t>
      </w:r>
      <w:r w:rsidR="00EE1897">
        <w:t>.</w:t>
      </w:r>
      <w:r w:rsidRPr="002D7293">
        <w:t xml:space="preserve"> 80/13</w:t>
      </w:r>
      <w:r w:rsidR="007C551B">
        <w:t>.</w:t>
      </w:r>
      <w:r w:rsidRPr="002D7293">
        <w:t>, 153/13</w:t>
      </w:r>
      <w:r w:rsidR="007C551B">
        <w:t>.</w:t>
      </w:r>
      <w:r w:rsidRPr="002D7293">
        <w:t>, 78/15</w:t>
      </w:r>
      <w:r w:rsidR="007C551B">
        <w:t>.</w:t>
      </w:r>
      <w:r w:rsidRPr="002D7293">
        <w:t>, 12/18</w:t>
      </w:r>
      <w:r w:rsidR="007C551B">
        <w:t>.</w:t>
      </w:r>
      <w:r w:rsidRPr="002D7293">
        <w:t xml:space="preserve"> </w:t>
      </w:r>
      <w:r w:rsidR="6A77FC1D">
        <w:t>i</w:t>
      </w:r>
      <w:r w:rsidR="0249C38A">
        <w:t xml:space="preserve"> </w:t>
      </w:r>
      <w:r w:rsidRPr="002D7293">
        <w:t>118/18</w:t>
      </w:r>
      <w:r w:rsidR="007C551B">
        <w:t>.</w:t>
      </w:r>
      <w:r w:rsidRPr="002D7293">
        <w:t>),</w:t>
      </w:r>
    </w:p>
    <w:p w14:paraId="78202D54" w14:textId="7BA30ACD" w:rsidR="004527B9" w:rsidRPr="002D7293" w:rsidRDefault="004527B9" w:rsidP="002D7293">
      <w:pPr>
        <w:pStyle w:val="ListParagraph"/>
        <w:numPr>
          <w:ilvl w:val="0"/>
          <w:numId w:val="33"/>
        </w:numPr>
        <w:spacing w:after="60"/>
        <w:ind w:left="714" w:hanging="357"/>
      </w:pPr>
      <w:r w:rsidRPr="002D7293">
        <w:t>Zakon o zaštiti zraka (</w:t>
      </w:r>
      <w:r w:rsidR="007C551B">
        <w:t>„</w:t>
      </w:r>
      <w:r w:rsidR="00071A4F" w:rsidRPr="00071A4F">
        <w:t xml:space="preserve">Narodne </w:t>
      </w:r>
      <w:r w:rsidR="00A97AE7">
        <w:t>novine</w:t>
      </w:r>
      <w:r w:rsidR="007C551B">
        <w:t>“</w:t>
      </w:r>
      <w:r w:rsidR="00071A4F" w:rsidRPr="00071A4F">
        <w:t xml:space="preserve">, </w:t>
      </w:r>
      <w:r w:rsidR="53560361">
        <w:t>br</w:t>
      </w:r>
      <w:r w:rsidR="00EE1897">
        <w:t>.</w:t>
      </w:r>
      <w:r w:rsidRPr="002D7293">
        <w:t xml:space="preserve"> </w:t>
      </w:r>
      <w:r w:rsidR="004D08B1" w:rsidRPr="002D7293">
        <w:t>127/19</w:t>
      </w:r>
      <w:r w:rsidR="007C551B">
        <w:t>.</w:t>
      </w:r>
      <w:r w:rsidR="002209CE" w:rsidRPr="002D7293">
        <w:t xml:space="preserve"> </w:t>
      </w:r>
      <w:r w:rsidR="7FFD7A66">
        <w:t>i</w:t>
      </w:r>
      <w:r w:rsidR="419F568A">
        <w:t xml:space="preserve"> </w:t>
      </w:r>
      <w:r w:rsidR="004D08B1" w:rsidRPr="002D7293">
        <w:t>57/22</w:t>
      </w:r>
      <w:r w:rsidR="007C551B">
        <w:t>.</w:t>
      </w:r>
      <w:r w:rsidR="7D1DA611">
        <w:t>)</w:t>
      </w:r>
      <w:r w:rsidR="712A4747">
        <w:t>,</w:t>
      </w:r>
    </w:p>
    <w:p w14:paraId="62B0548F" w14:textId="6328745A" w:rsidR="004527B9" w:rsidRPr="002D7293" w:rsidRDefault="004527B9" w:rsidP="002D7293">
      <w:pPr>
        <w:pStyle w:val="ListParagraph"/>
        <w:numPr>
          <w:ilvl w:val="0"/>
          <w:numId w:val="33"/>
        </w:numPr>
        <w:spacing w:after="60"/>
        <w:ind w:left="714" w:hanging="357"/>
      </w:pPr>
      <w:r w:rsidRPr="002D7293">
        <w:t>Zakon o energiji (</w:t>
      </w:r>
      <w:r w:rsidR="007C551B">
        <w:t>„</w:t>
      </w:r>
      <w:r w:rsidR="00071A4F" w:rsidRPr="00071A4F">
        <w:t xml:space="preserve">Narodne </w:t>
      </w:r>
      <w:r w:rsidR="00A97AE7">
        <w:t>novine</w:t>
      </w:r>
      <w:r w:rsidR="007C551B">
        <w:t>“</w:t>
      </w:r>
      <w:r w:rsidR="00071A4F" w:rsidRPr="00071A4F">
        <w:t xml:space="preserve">, </w:t>
      </w:r>
      <w:r w:rsidR="4D1F8486">
        <w:t>br</w:t>
      </w:r>
      <w:r w:rsidR="00EE1897">
        <w:t>.</w:t>
      </w:r>
      <w:r w:rsidRPr="002D7293">
        <w:t xml:space="preserve"> 120</w:t>
      </w:r>
      <w:r w:rsidR="005B41DA">
        <w:t>/12</w:t>
      </w:r>
      <w:r w:rsidR="007C551B">
        <w:t>.</w:t>
      </w:r>
      <w:r w:rsidRPr="002D7293">
        <w:t>, 14</w:t>
      </w:r>
      <w:r w:rsidR="005B41DA">
        <w:t>/14</w:t>
      </w:r>
      <w:r w:rsidR="007C551B">
        <w:t>.</w:t>
      </w:r>
      <w:r w:rsidRPr="002D7293">
        <w:t>,</w:t>
      </w:r>
      <w:r w:rsidR="00EB1290" w:rsidRPr="002D7293">
        <w:t xml:space="preserve"> 95</w:t>
      </w:r>
      <w:r w:rsidR="005B41DA">
        <w:t>/15</w:t>
      </w:r>
      <w:r w:rsidR="007C551B">
        <w:t>.</w:t>
      </w:r>
      <w:r w:rsidR="00EB1290" w:rsidRPr="002D7293">
        <w:t>,</w:t>
      </w:r>
      <w:r w:rsidRPr="002D7293">
        <w:t xml:space="preserve"> 102</w:t>
      </w:r>
      <w:r w:rsidR="005B41DA">
        <w:t>/15</w:t>
      </w:r>
      <w:r w:rsidR="007C551B">
        <w:t>.</w:t>
      </w:r>
      <w:r w:rsidR="000F6E07" w:rsidRPr="002D7293">
        <w:t xml:space="preserve"> </w:t>
      </w:r>
      <w:r w:rsidR="63928155">
        <w:t>i</w:t>
      </w:r>
      <w:r w:rsidR="32932337">
        <w:t xml:space="preserve"> </w:t>
      </w:r>
      <w:r w:rsidRPr="002D7293">
        <w:t>68</w:t>
      </w:r>
      <w:r w:rsidR="005B41DA">
        <w:t>/18</w:t>
      </w:r>
      <w:r w:rsidR="007C551B">
        <w:t>.</w:t>
      </w:r>
      <w:r w:rsidRPr="002D7293">
        <w:t>),</w:t>
      </w:r>
    </w:p>
    <w:p w14:paraId="21A8D4B5" w14:textId="427E77CB" w:rsidR="004527B9" w:rsidRPr="002D7293" w:rsidRDefault="004527B9" w:rsidP="002D7293">
      <w:pPr>
        <w:pStyle w:val="ListParagraph"/>
        <w:numPr>
          <w:ilvl w:val="0"/>
          <w:numId w:val="33"/>
        </w:numPr>
        <w:spacing w:after="60"/>
        <w:ind w:left="714" w:hanging="357"/>
      </w:pPr>
      <w:r w:rsidRPr="002D7293">
        <w:t>Zakon o tržištu električne energije (</w:t>
      </w:r>
      <w:r w:rsidR="00BF5390">
        <w:t>„</w:t>
      </w:r>
      <w:r w:rsidR="00071A4F" w:rsidRPr="00071A4F">
        <w:t xml:space="preserve">Narodne </w:t>
      </w:r>
      <w:r w:rsidR="00A97AE7">
        <w:t>novine</w:t>
      </w:r>
      <w:r w:rsidR="00BF5390">
        <w:t>“</w:t>
      </w:r>
      <w:r w:rsidR="00071A4F" w:rsidRPr="00071A4F">
        <w:t xml:space="preserve">, </w:t>
      </w:r>
      <w:r w:rsidR="4D95F6A7">
        <w:t>br</w:t>
      </w:r>
      <w:r w:rsidR="00EE1897">
        <w:t>.</w:t>
      </w:r>
      <w:r w:rsidRPr="002D7293">
        <w:t xml:space="preserve"> </w:t>
      </w:r>
      <w:r w:rsidR="009C5889" w:rsidRPr="002D7293">
        <w:t>111</w:t>
      </w:r>
      <w:r w:rsidR="005B41DA">
        <w:t>/21</w:t>
      </w:r>
      <w:r w:rsidR="00BF5390">
        <w:t>. i</w:t>
      </w:r>
      <w:r w:rsidR="0084454D">
        <w:t xml:space="preserve"> </w:t>
      </w:r>
      <w:r w:rsidR="003F729E">
        <w:t>83/23</w:t>
      </w:r>
      <w:r w:rsidR="00BF5390">
        <w:t>.</w:t>
      </w:r>
      <w:r w:rsidRPr="002D7293">
        <w:t>),</w:t>
      </w:r>
    </w:p>
    <w:p w14:paraId="25E281F0" w14:textId="7F3643A0" w:rsidR="00D8448A" w:rsidRPr="002D7293" w:rsidRDefault="00D8448A" w:rsidP="002D7293">
      <w:pPr>
        <w:pStyle w:val="ListParagraph"/>
        <w:numPr>
          <w:ilvl w:val="0"/>
          <w:numId w:val="33"/>
        </w:numPr>
        <w:spacing w:after="60"/>
        <w:ind w:left="714" w:hanging="357"/>
      </w:pPr>
      <w:r w:rsidRPr="002D7293">
        <w:lastRenderedPageBreak/>
        <w:t>Zakon o tržištu toplinske energije (</w:t>
      </w:r>
      <w:r w:rsidR="00C84EAB">
        <w:t>„</w:t>
      </w:r>
      <w:r w:rsidR="00071A4F" w:rsidRPr="00071A4F">
        <w:t xml:space="preserve">Narodne </w:t>
      </w:r>
      <w:r w:rsidR="00A97AE7">
        <w:t>novine</w:t>
      </w:r>
      <w:r w:rsidR="00C84EAB">
        <w:t>“</w:t>
      </w:r>
      <w:r w:rsidR="00071A4F" w:rsidRPr="00071A4F">
        <w:t>,</w:t>
      </w:r>
      <w:r w:rsidR="02EFFCE3">
        <w:t xml:space="preserve"> br</w:t>
      </w:r>
      <w:r w:rsidR="00EE1897">
        <w:t>.</w:t>
      </w:r>
      <w:r w:rsidRPr="002D7293">
        <w:t xml:space="preserve"> 80</w:t>
      </w:r>
      <w:r w:rsidR="005B41DA">
        <w:t>/13</w:t>
      </w:r>
      <w:r w:rsidR="00C84EAB">
        <w:t>.</w:t>
      </w:r>
      <w:r w:rsidR="003F729E">
        <w:t>,</w:t>
      </w:r>
      <w:r w:rsidR="6AC3DD6B">
        <w:t xml:space="preserve"> </w:t>
      </w:r>
      <w:r w:rsidRPr="002D7293">
        <w:t>14</w:t>
      </w:r>
      <w:r w:rsidR="005B41DA">
        <w:t>/14</w:t>
      </w:r>
      <w:r w:rsidR="00C84EAB">
        <w:t>.</w:t>
      </w:r>
      <w:r w:rsidR="003F729E">
        <w:t xml:space="preserve">, </w:t>
      </w:r>
      <w:r w:rsidR="00840F32">
        <w:t>102/14</w:t>
      </w:r>
      <w:r w:rsidR="00C84EAB">
        <w:t>.</w:t>
      </w:r>
      <w:r w:rsidR="00840F32">
        <w:t>, 95/15</w:t>
      </w:r>
      <w:r w:rsidR="00C84EAB">
        <w:t>.</w:t>
      </w:r>
      <w:r w:rsidR="00840F32">
        <w:t>, 76/18</w:t>
      </w:r>
      <w:r w:rsidR="006246EF">
        <w:t>. i</w:t>
      </w:r>
      <w:r w:rsidR="00840F32">
        <w:t xml:space="preserve"> 86/19</w:t>
      </w:r>
      <w:r w:rsidR="006246EF">
        <w:t>.</w:t>
      </w:r>
      <w:r w:rsidR="6AC3DD6B">
        <w:t>)</w:t>
      </w:r>
      <w:r w:rsidR="48B26B08">
        <w:t>,</w:t>
      </w:r>
    </w:p>
    <w:p w14:paraId="0B4ACD88" w14:textId="64812A36" w:rsidR="008C2080" w:rsidRPr="002D7293" w:rsidRDefault="008C2080" w:rsidP="002D7293">
      <w:pPr>
        <w:pStyle w:val="ListParagraph"/>
        <w:numPr>
          <w:ilvl w:val="0"/>
          <w:numId w:val="33"/>
        </w:numPr>
        <w:spacing w:after="60"/>
        <w:ind w:left="714" w:hanging="357"/>
      </w:pPr>
      <w:r w:rsidRPr="002D7293">
        <w:t>Zakon o obnovljivim izvorima energije i visokoučinkovitoj kogeneraciji (</w:t>
      </w:r>
      <w:r w:rsidR="006246EF">
        <w:t>„</w:t>
      </w:r>
      <w:r w:rsidR="00071A4F" w:rsidRPr="00071A4F">
        <w:t xml:space="preserve">Narodne </w:t>
      </w:r>
      <w:r w:rsidR="00A97AE7">
        <w:t>novine</w:t>
      </w:r>
      <w:r w:rsidR="006246EF">
        <w:t>“</w:t>
      </w:r>
      <w:r w:rsidR="00071A4F" w:rsidRPr="00071A4F">
        <w:t>, br</w:t>
      </w:r>
      <w:r w:rsidR="00EE1897">
        <w:t>.</w:t>
      </w:r>
      <w:r w:rsidRPr="002D7293">
        <w:t xml:space="preserve"> 138</w:t>
      </w:r>
      <w:r w:rsidR="005B41DA">
        <w:t>/21</w:t>
      </w:r>
      <w:r w:rsidR="006246EF">
        <w:t xml:space="preserve">. i </w:t>
      </w:r>
      <w:r w:rsidR="001E158B">
        <w:t>83/23</w:t>
      </w:r>
      <w:r w:rsidR="006246EF">
        <w:t>.</w:t>
      </w:r>
      <w:r w:rsidRPr="002D7293">
        <w:t>),</w:t>
      </w:r>
    </w:p>
    <w:p w14:paraId="70868451" w14:textId="6E8FCC9E" w:rsidR="00097488" w:rsidRPr="002D7293" w:rsidRDefault="00097488" w:rsidP="00FC3DF8">
      <w:pPr>
        <w:pStyle w:val="ListParagraph"/>
        <w:numPr>
          <w:ilvl w:val="0"/>
          <w:numId w:val="33"/>
        </w:numPr>
        <w:spacing w:after="60"/>
        <w:ind w:left="714" w:hanging="357"/>
      </w:pPr>
      <w:r w:rsidRPr="002D7293">
        <w:t>Zakon o energetskoj učinkovitosti (</w:t>
      </w:r>
      <w:r w:rsidR="006246EF">
        <w:t>„</w:t>
      </w:r>
      <w:r w:rsidR="00071A4F" w:rsidRPr="00071A4F">
        <w:t xml:space="preserve">Narodne </w:t>
      </w:r>
      <w:r w:rsidR="00A97AE7">
        <w:t>novine</w:t>
      </w:r>
      <w:r w:rsidR="006246EF">
        <w:t>“</w:t>
      </w:r>
      <w:r w:rsidR="00071A4F" w:rsidRPr="00071A4F">
        <w:t>,</w:t>
      </w:r>
      <w:r w:rsidR="0DC054D6">
        <w:t xml:space="preserve"> br</w:t>
      </w:r>
      <w:r w:rsidR="00EE1897">
        <w:t>.</w:t>
      </w:r>
      <w:r w:rsidRPr="002D7293">
        <w:t xml:space="preserve"> 127</w:t>
      </w:r>
      <w:r w:rsidR="005B41DA">
        <w:t>/14</w:t>
      </w:r>
      <w:r w:rsidR="006246EF">
        <w:t>.</w:t>
      </w:r>
      <w:r w:rsidRPr="002D7293">
        <w:t>, 116</w:t>
      </w:r>
      <w:r w:rsidR="005B41DA">
        <w:t>/18</w:t>
      </w:r>
      <w:r w:rsidR="006246EF">
        <w:t>.</w:t>
      </w:r>
      <w:r w:rsidRPr="002D7293">
        <w:t xml:space="preserve">, 25/20 </w:t>
      </w:r>
      <w:r w:rsidR="72543CD5">
        <w:t>i</w:t>
      </w:r>
      <w:r w:rsidR="18150DD5">
        <w:t xml:space="preserve"> </w:t>
      </w:r>
      <w:r w:rsidRPr="002D7293">
        <w:t>41</w:t>
      </w:r>
      <w:r w:rsidR="005B41DA">
        <w:t>/21</w:t>
      </w:r>
      <w:r w:rsidR="006246EF">
        <w:t>.</w:t>
      </w:r>
      <w:r w:rsidR="18150DD5">
        <w:t>)</w:t>
      </w:r>
      <w:r w:rsidR="313329AE">
        <w:t>,</w:t>
      </w:r>
    </w:p>
    <w:p w14:paraId="1E6E9F27" w14:textId="370E5B3F" w:rsidR="008C2080" w:rsidRPr="002D7293" w:rsidRDefault="008C2080" w:rsidP="00FC3DF8">
      <w:pPr>
        <w:pStyle w:val="ListParagraph"/>
        <w:numPr>
          <w:ilvl w:val="0"/>
          <w:numId w:val="33"/>
        </w:numPr>
        <w:spacing w:after="60"/>
        <w:ind w:left="714" w:hanging="357"/>
      </w:pPr>
      <w:r w:rsidRPr="002D7293">
        <w:t>Zakon o biogorivima za prijevoz (</w:t>
      </w:r>
      <w:r w:rsidR="006246EF">
        <w:t>„</w:t>
      </w:r>
      <w:r w:rsidR="00071A4F" w:rsidRPr="00071A4F">
        <w:t xml:space="preserve">Narodne </w:t>
      </w:r>
      <w:r w:rsidR="00A97AE7">
        <w:t>novine</w:t>
      </w:r>
      <w:r w:rsidR="006246EF">
        <w:t>“</w:t>
      </w:r>
      <w:r w:rsidR="00071A4F" w:rsidRPr="00071A4F">
        <w:t xml:space="preserve">, </w:t>
      </w:r>
      <w:r w:rsidR="523B18CE">
        <w:t>br</w:t>
      </w:r>
      <w:r w:rsidR="00EE1897">
        <w:t>.</w:t>
      </w:r>
      <w:r w:rsidRPr="002D7293">
        <w:t xml:space="preserve"> 65/09</w:t>
      </w:r>
      <w:r w:rsidR="006246EF">
        <w:t>.</w:t>
      </w:r>
      <w:r w:rsidRPr="002D7293">
        <w:t>, 145/10</w:t>
      </w:r>
      <w:r w:rsidR="006246EF">
        <w:t>.</w:t>
      </w:r>
      <w:r w:rsidRPr="002D7293">
        <w:t>, 26</w:t>
      </w:r>
      <w:r w:rsidR="005B41DA">
        <w:t>/11</w:t>
      </w:r>
      <w:r w:rsidR="006246EF">
        <w:t>.</w:t>
      </w:r>
      <w:r w:rsidRPr="002D7293">
        <w:t>, 144</w:t>
      </w:r>
      <w:r w:rsidR="005B41DA">
        <w:t>/12</w:t>
      </w:r>
      <w:r w:rsidR="006246EF">
        <w:t>.</w:t>
      </w:r>
      <w:r w:rsidRPr="002D7293">
        <w:t>, 14</w:t>
      </w:r>
      <w:r w:rsidR="005B41DA">
        <w:t>/14</w:t>
      </w:r>
      <w:r w:rsidR="006246EF">
        <w:t>.</w:t>
      </w:r>
      <w:r w:rsidRPr="002D7293">
        <w:t>, 94</w:t>
      </w:r>
      <w:r w:rsidR="005B41DA">
        <w:t>/18</w:t>
      </w:r>
      <w:r w:rsidR="006246EF">
        <w:t>.</w:t>
      </w:r>
      <w:r w:rsidR="00195B05" w:rsidRPr="002D7293">
        <w:t xml:space="preserve"> </w:t>
      </w:r>
      <w:r w:rsidR="4A022FB6">
        <w:t>i</w:t>
      </w:r>
      <w:r w:rsidR="2C5E3FA2">
        <w:t xml:space="preserve"> </w:t>
      </w:r>
      <w:r w:rsidR="00195B05" w:rsidRPr="002D7293">
        <w:t>52</w:t>
      </w:r>
      <w:r w:rsidR="005B41DA">
        <w:t>/21</w:t>
      </w:r>
      <w:r w:rsidR="006246EF">
        <w:t>.</w:t>
      </w:r>
      <w:r w:rsidRPr="002D7293">
        <w:t>),</w:t>
      </w:r>
    </w:p>
    <w:p w14:paraId="3ECC4288" w14:textId="39E60502" w:rsidR="00417A3E" w:rsidRPr="002D7293" w:rsidRDefault="00417A3E" w:rsidP="00FC3DF8">
      <w:pPr>
        <w:pStyle w:val="ListParagraph"/>
        <w:numPr>
          <w:ilvl w:val="0"/>
          <w:numId w:val="33"/>
        </w:numPr>
        <w:spacing w:after="60"/>
        <w:ind w:left="714" w:hanging="357"/>
      </w:pPr>
      <w:r w:rsidRPr="002D7293">
        <w:t>Zakon o uspostavi infrastrukture za alternativna goriva (</w:t>
      </w:r>
      <w:r w:rsidR="006246EF">
        <w:t>„</w:t>
      </w:r>
      <w:r w:rsidR="00071A4F" w:rsidRPr="00071A4F">
        <w:t xml:space="preserve">Narodne </w:t>
      </w:r>
      <w:r w:rsidR="00A97AE7">
        <w:t>novine</w:t>
      </w:r>
      <w:r w:rsidR="00064A88">
        <w:t>“</w:t>
      </w:r>
      <w:r w:rsidR="00071A4F" w:rsidRPr="00071A4F">
        <w:t xml:space="preserve">, </w:t>
      </w:r>
      <w:r w:rsidR="1FF5BA2C">
        <w:t>br</w:t>
      </w:r>
      <w:r w:rsidR="00EE1897">
        <w:t>.</w:t>
      </w:r>
      <w:r w:rsidRPr="002D7293">
        <w:t xml:space="preserve"> 120</w:t>
      </w:r>
      <w:r w:rsidR="005B41DA">
        <w:t>/16</w:t>
      </w:r>
      <w:r w:rsidR="005E75E4">
        <w:t>.</w:t>
      </w:r>
      <w:r w:rsidRPr="002D7293">
        <w:t xml:space="preserve"> </w:t>
      </w:r>
      <w:r w:rsidR="2FA5CF3B">
        <w:t>i</w:t>
      </w:r>
      <w:r w:rsidR="70A59798">
        <w:t xml:space="preserve"> </w:t>
      </w:r>
      <w:r w:rsidRPr="002D7293">
        <w:t>63</w:t>
      </w:r>
      <w:r w:rsidR="005B41DA">
        <w:t>/22</w:t>
      </w:r>
      <w:r w:rsidR="005E75E4">
        <w:t>.</w:t>
      </w:r>
      <w:r w:rsidRPr="002D7293">
        <w:t>),</w:t>
      </w:r>
    </w:p>
    <w:p w14:paraId="64F4E6AA" w14:textId="730F75CC" w:rsidR="004527B9" w:rsidRPr="002D7293" w:rsidRDefault="004527B9" w:rsidP="00FC3DF8">
      <w:pPr>
        <w:pStyle w:val="ListParagraph"/>
        <w:numPr>
          <w:ilvl w:val="0"/>
          <w:numId w:val="33"/>
        </w:numPr>
        <w:spacing w:after="60"/>
        <w:ind w:left="714" w:hanging="357"/>
      </w:pPr>
      <w:r w:rsidRPr="002D7293">
        <w:t>Zakon o Fondu za zaštitu okoliša i energetsku učinkovitost (</w:t>
      </w:r>
      <w:r w:rsidR="005E75E4">
        <w:t>„</w:t>
      </w:r>
      <w:r w:rsidR="00071A4F" w:rsidRPr="00071A4F">
        <w:t xml:space="preserve">Narodne </w:t>
      </w:r>
      <w:r w:rsidR="00A97AE7">
        <w:t>novine</w:t>
      </w:r>
      <w:r w:rsidR="00212952">
        <w:t>“</w:t>
      </w:r>
      <w:r w:rsidR="00071A4F" w:rsidRPr="00071A4F">
        <w:t xml:space="preserve">, </w:t>
      </w:r>
      <w:r w:rsidR="3BD15E7C">
        <w:t>br</w:t>
      </w:r>
      <w:r w:rsidR="00EE1897">
        <w:t xml:space="preserve">. </w:t>
      </w:r>
      <w:r w:rsidRPr="002D7293">
        <w:t>107/03</w:t>
      </w:r>
      <w:r w:rsidR="00212952">
        <w:t>.</w:t>
      </w:r>
      <w:r w:rsidRPr="002D7293">
        <w:t xml:space="preserve"> </w:t>
      </w:r>
      <w:r w:rsidR="39839484">
        <w:t>i</w:t>
      </w:r>
      <w:r w:rsidR="2A4D1AC0">
        <w:t xml:space="preserve"> </w:t>
      </w:r>
      <w:r w:rsidRPr="002D7293">
        <w:t>144</w:t>
      </w:r>
      <w:r w:rsidR="005B41DA">
        <w:t>/12</w:t>
      </w:r>
      <w:r w:rsidR="00212952">
        <w:t>.</w:t>
      </w:r>
      <w:r w:rsidRPr="002D7293">
        <w:t>),</w:t>
      </w:r>
    </w:p>
    <w:p w14:paraId="55A64EAC" w14:textId="77777777" w:rsidR="004527B9" w:rsidRPr="002D7293" w:rsidRDefault="004527B9" w:rsidP="00FC3DF8">
      <w:pPr>
        <w:pStyle w:val="ListParagraph"/>
        <w:numPr>
          <w:ilvl w:val="0"/>
          <w:numId w:val="33"/>
        </w:numPr>
        <w:spacing w:after="60"/>
        <w:ind w:left="714" w:hanging="357"/>
      </w:pPr>
      <w:r w:rsidRPr="002D7293">
        <w:t>podzakonski akti za provedbu tih zakona.</w:t>
      </w:r>
    </w:p>
    <w:p w14:paraId="3B71FA07" w14:textId="2C8448F0" w:rsidR="008E6BFD" w:rsidRPr="00B47BDA" w:rsidRDefault="00496204" w:rsidP="63259912">
      <w:pPr>
        <w:rPr>
          <w:lang w:eastAsia="ar-SA"/>
        </w:rPr>
      </w:pPr>
      <w:r w:rsidRPr="63259912">
        <w:rPr>
          <w:lang w:eastAsia="ar-SA"/>
        </w:rPr>
        <w:t>Strateško pla</w:t>
      </w:r>
      <w:r w:rsidR="00D756E1" w:rsidRPr="63259912">
        <w:rPr>
          <w:lang w:eastAsia="ar-SA"/>
        </w:rPr>
        <w:t xml:space="preserve">nski dokumenti vezani uz </w:t>
      </w:r>
      <w:r w:rsidR="007C19DD" w:rsidRPr="63259912">
        <w:rPr>
          <w:lang w:eastAsia="ar-SA"/>
        </w:rPr>
        <w:t>niskougljični</w:t>
      </w:r>
      <w:r w:rsidR="000F4019" w:rsidRPr="63259912">
        <w:rPr>
          <w:lang w:eastAsia="ar-SA"/>
        </w:rPr>
        <w:t xml:space="preserve"> razvoj </w:t>
      </w:r>
      <w:r w:rsidR="007C19DD" w:rsidRPr="63259912">
        <w:rPr>
          <w:lang w:eastAsia="ar-SA"/>
        </w:rPr>
        <w:t xml:space="preserve">i borbu protiv klimatskih promjena </w:t>
      </w:r>
      <w:r w:rsidR="00A34DF0" w:rsidRPr="63259912">
        <w:rPr>
          <w:lang w:eastAsia="ar-SA"/>
        </w:rPr>
        <w:t>su</w:t>
      </w:r>
      <w:r w:rsidR="008E6BFD" w:rsidRPr="63259912">
        <w:rPr>
          <w:lang w:eastAsia="ar-SA"/>
        </w:rPr>
        <w:t>:</w:t>
      </w:r>
    </w:p>
    <w:p w14:paraId="62350040" w14:textId="0A403CD1" w:rsidR="008E6BFD" w:rsidRPr="00B47BDA" w:rsidRDefault="00292919" w:rsidP="00FC3DF8">
      <w:pPr>
        <w:pStyle w:val="ListParagraph"/>
        <w:numPr>
          <w:ilvl w:val="0"/>
          <w:numId w:val="63"/>
        </w:numPr>
        <w:spacing w:after="60"/>
        <w:ind w:left="714" w:hanging="357"/>
      </w:pPr>
      <w:r w:rsidRPr="00B47BDA">
        <w:t xml:space="preserve">Nacionalna </w:t>
      </w:r>
      <w:r w:rsidR="007C19DD" w:rsidRPr="00B47BDA">
        <w:t>razvojna strategija RH do 2030</w:t>
      </w:r>
      <w:r w:rsidR="5B6ED313">
        <w:t>.</w:t>
      </w:r>
      <w:r w:rsidR="0373EC10">
        <w:t xml:space="preserve"> (</w:t>
      </w:r>
      <w:r w:rsidR="00785C25">
        <w:t>„</w:t>
      </w:r>
      <w:r w:rsidR="00071A4F" w:rsidRPr="00071A4F">
        <w:t xml:space="preserve">Narodne </w:t>
      </w:r>
      <w:r w:rsidR="00A97AE7">
        <w:t>novine</w:t>
      </w:r>
      <w:r w:rsidR="00785C25">
        <w:t>“</w:t>
      </w:r>
      <w:r w:rsidR="00071A4F" w:rsidRPr="00071A4F">
        <w:t xml:space="preserve">, </w:t>
      </w:r>
      <w:r w:rsidR="00EE1897" w:rsidRPr="00071A4F">
        <w:t>br</w:t>
      </w:r>
      <w:r w:rsidR="00EE1897">
        <w:t>.</w:t>
      </w:r>
      <w:r w:rsidR="00EE1897" w:rsidRPr="00B47BDA">
        <w:t xml:space="preserve"> </w:t>
      </w:r>
      <w:r w:rsidR="008608D5" w:rsidRPr="00B47BDA">
        <w:t>13/21</w:t>
      </w:r>
      <w:r w:rsidR="00785C25">
        <w:t>.</w:t>
      </w:r>
      <w:r w:rsidR="008608D5" w:rsidRPr="00B47BDA">
        <w:t>)</w:t>
      </w:r>
      <w:r w:rsidR="007C19DD" w:rsidRPr="00B47BDA">
        <w:t xml:space="preserve">, </w:t>
      </w:r>
    </w:p>
    <w:p w14:paraId="36A32D56" w14:textId="7F65BE76" w:rsidR="000C45AA" w:rsidRPr="00B47BDA" w:rsidRDefault="000C45AA" w:rsidP="00FC3DF8">
      <w:pPr>
        <w:pStyle w:val="ListParagraph"/>
        <w:numPr>
          <w:ilvl w:val="0"/>
          <w:numId w:val="63"/>
        </w:numPr>
        <w:spacing w:after="60"/>
        <w:ind w:left="714" w:hanging="357"/>
      </w:pPr>
      <w:r w:rsidRPr="00B47BDA">
        <w:t>Strategija energetskog razvoja Republike Hrvatske do 2030. s pogledom na 2050. godinu (</w:t>
      </w:r>
      <w:r w:rsidR="00785C25">
        <w:t>„</w:t>
      </w:r>
      <w:r w:rsidR="00071A4F" w:rsidRPr="00071A4F">
        <w:t xml:space="preserve">Narodne </w:t>
      </w:r>
      <w:r w:rsidR="00A97AE7">
        <w:t>novine</w:t>
      </w:r>
      <w:r w:rsidR="00785C25">
        <w:t>“</w:t>
      </w:r>
      <w:r w:rsidR="00071A4F" w:rsidRPr="00071A4F">
        <w:t xml:space="preserve">, </w:t>
      </w:r>
      <w:r w:rsidR="00EE1897">
        <w:t>br.</w:t>
      </w:r>
      <w:r w:rsidR="00EE1897" w:rsidRPr="00B47BDA">
        <w:t xml:space="preserve"> </w:t>
      </w:r>
      <w:r w:rsidRPr="00B47BDA">
        <w:t>25/20</w:t>
      </w:r>
      <w:r w:rsidR="00785C25">
        <w:t>.</w:t>
      </w:r>
      <w:r w:rsidRPr="00B47BDA">
        <w:t>)</w:t>
      </w:r>
      <w:r w:rsidR="008E6BFD" w:rsidRPr="00B47BDA">
        <w:t>,</w:t>
      </w:r>
    </w:p>
    <w:p w14:paraId="5081D00E" w14:textId="4C76AD0C" w:rsidR="00A1078D" w:rsidRPr="00B47BDA" w:rsidRDefault="00A1078D" w:rsidP="00FC3DF8">
      <w:pPr>
        <w:pStyle w:val="ListParagraph"/>
        <w:numPr>
          <w:ilvl w:val="0"/>
          <w:numId w:val="63"/>
        </w:numPr>
        <w:spacing w:after="60"/>
        <w:ind w:left="714" w:hanging="357"/>
      </w:pPr>
      <w:r w:rsidRPr="00B47BDA">
        <w:t>Strategija prilagodbe klimatskim promjenama u Republici Hrvatskoj za razdoblje do 2040. godine s pogledom na 2070. godinu</w:t>
      </w:r>
      <w:r w:rsidR="00E32836" w:rsidRPr="00B47BDA">
        <w:t xml:space="preserve"> (</w:t>
      </w:r>
      <w:r w:rsidR="00785C25">
        <w:t>„</w:t>
      </w:r>
      <w:r w:rsidR="00071A4F" w:rsidRPr="00071A4F">
        <w:t xml:space="preserve">Narodne </w:t>
      </w:r>
      <w:r w:rsidR="00A97AE7">
        <w:t>novine</w:t>
      </w:r>
      <w:r w:rsidR="00785C25">
        <w:t>“</w:t>
      </w:r>
      <w:r w:rsidR="00071A4F" w:rsidRPr="00071A4F">
        <w:t xml:space="preserve">, </w:t>
      </w:r>
      <w:r w:rsidR="00EE1897" w:rsidRPr="00071A4F">
        <w:t>br</w:t>
      </w:r>
      <w:r w:rsidR="00EE1897">
        <w:t xml:space="preserve">. </w:t>
      </w:r>
      <w:r w:rsidR="00E32836" w:rsidRPr="00B47BDA">
        <w:t>46/20</w:t>
      </w:r>
      <w:r w:rsidR="00785C25">
        <w:t>.</w:t>
      </w:r>
      <w:r w:rsidR="00E32836" w:rsidRPr="00B47BDA">
        <w:t>)</w:t>
      </w:r>
      <w:r w:rsidR="00A5444A" w:rsidRPr="00B47BDA">
        <w:t>,</w:t>
      </w:r>
    </w:p>
    <w:p w14:paraId="07FB04C7" w14:textId="1533EB62" w:rsidR="00E32836" w:rsidRPr="00B47BDA" w:rsidRDefault="00E32836" w:rsidP="00FC3DF8">
      <w:pPr>
        <w:pStyle w:val="ListParagraph"/>
        <w:numPr>
          <w:ilvl w:val="0"/>
          <w:numId w:val="63"/>
        </w:numPr>
        <w:spacing w:after="60"/>
        <w:ind w:left="714" w:hanging="357"/>
      </w:pPr>
      <w:r w:rsidRPr="00B47BDA">
        <w:t>Dugoročna strategija obnove nacionalnog fonda zgrada do 2050. godine (</w:t>
      </w:r>
      <w:r w:rsidR="00785C25">
        <w:t>„</w:t>
      </w:r>
      <w:r w:rsidR="00071A4F" w:rsidRPr="00071A4F">
        <w:t xml:space="preserve">Narodne </w:t>
      </w:r>
      <w:r w:rsidR="00A97AE7">
        <w:t>novine</w:t>
      </w:r>
      <w:r w:rsidR="00785C25">
        <w:t>“</w:t>
      </w:r>
      <w:r w:rsidR="00071A4F" w:rsidRPr="00071A4F">
        <w:t xml:space="preserve">, </w:t>
      </w:r>
      <w:r w:rsidR="00EE1897">
        <w:t>br.</w:t>
      </w:r>
      <w:r w:rsidR="00EE1897" w:rsidRPr="00B47BDA">
        <w:t xml:space="preserve"> </w:t>
      </w:r>
      <w:r w:rsidR="008B0170" w:rsidRPr="00B47BDA">
        <w:t>140/2</w:t>
      </w:r>
      <w:r w:rsidR="007865CF" w:rsidRPr="00B47BDA">
        <w:t>0</w:t>
      </w:r>
      <w:r w:rsidR="00785C25">
        <w:t>.</w:t>
      </w:r>
      <w:r w:rsidR="007865CF" w:rsidRPr="00B47BDA">
        <w:t>)</w:t>
      </w:r>
      <w:r w:rsidR="00BC2B49" w:rsidRPr="00B47BDA">
        <w:t>,</w:t>
      </w:r>
    </w:p>
    <w:p w14:paraId="0929D940" w14:textId="49AB529E" w:rsidR="00137EA4" w:rsidRPr="007E2A21" w:rsidRDefault="00137EA4" w:rsidP="63259912">
      <w:pPr>
        <w:pStyle w:val="ListParagraph"/>
        <w:numPr>
          <w:ilvl w:val="0"/>
          <w:numId w:val="63"/>
        </w:numPr>
        <w:spacing w:after="60"/>
        <w:ind w:left="714" w:hanging="357"/>
        <w:rPr>
          <w:rFonts w:asciiTheme="minorHAnsi" w:hAnsiTheme="minorHAnsi" w:cstheme="minorBidi"/>
        </w:rPr>
      </w:pPr>
      <w:r w:rsidRPr="63259912">
        <w:t xml:space="preserve">Strategija </w:t>
      </w:r>
      <w:r w:rsidRPr="63259912">
        <w:rPr>
          <w:rFonts w:asciiTheme="minorHAnsi" w:hAnsiTheme="minorHAnsi" w:cstheme="minorBidi"/>
        </w:rPr>
        <w:t xml:space="preserve">niskougljičnog razvoja </w:t>
      </w:r>
      <w:r w:rsidR="6EAFA7A4" w:rsidRPr="63259912">
        <w:rPr>
          <w:rFonts w:asciiTheme="minorHAnsi" w:eastAsia="Lucida Sans Unicode" w:hAnsiTheme="minorHAnsi" w:cstheme="minorBidi"/>
        </w:rPr>
        <w:t>Republike Hrvatske do 2030. s pogledom na 2050. godinu.</w:t>
      </w:r>
      <w:r w:rsidR="6EAFA7A4" w:rsidRPr="63259912">
        <w:rPr>
          <w:rFonts w:asciiTheme="minorHAnsi" w:hAnsiTheme="minorHAnsi" w:cstheme="minorBidi"/>
        </w:rPr>
        <w:t xml:space="preserve"> </w:t>
      </w:r>
      <w:r w:rsidR="0AFB380A" w:rsidRPr="63259912">
        <w:rPr>
          <w:rFonts w:asciiTheme="minorHAnsi" w:hAnsiTheme="minorHAnsi" w:cstheme="minorBidi"/>
        </w:rPr>
        <w:t>(</w:t>
      </w:r>
      <w:r w:rsidR="00204CF0" w:rsidRPr="63259912">
        <w:rPr>
          <w:rFonts w:asciiTheme="minorHAnsi" w:hAnsiTheme="minorHAnsi" w:cstheme="minorBidi"/>
        </w:rPr>
        <w:t>„</w:t>
      </w:r>
      <w:r w:rsidR="00071A4F" w:rsidRPr="63259912">
        <w:rPr>
          <w:rFonts w:asciiTheme="minorHAnsi" w:hAnsiTheme="minorHAnsi" w:cstheme="minorBidi"/>
        </w:rPr>
        <w:t xml:space="preserve">Narodne </w:t>
      </w:r>
      <w:r w:rsidR="00A97AE7" w:rsidRPr="63259912">
        <w:rPr>
          <w:rFonts w:asciiTheme="minorHAnsi" w:hAnsiTheme="minorHAnsi" w:cstheme="minorBidi"/>
        </w:rPr>
        <w:t>novine</w:t>
      </w:r>
      <w:r w:rsidR="00204CF0" w:rsidRPr="63259912">
        <w:rPr>
          <w:rFonts w:asciiTheme="minorHAnsi" w:hAnsiTheme="minorHAnsi" w:cstheme="minorBidi"/>
        </w:rPr>
        <w:t>“</w:t>
      </w:r>
      <w:r w:rsidR="00071A4F" w:rsidRPr="63259912">
        <w:rPr>
          <w:rFonts w:asciiTheme="minorHAnsi" w:hAnsiTheme="minorHAnsi" w:cstheme="minorBidi"/>
        </w:rPr>
        <w:t xml:space="preserve">, </w:t>
      </w:r>
      <w:r w:rsidR="00EE1897" w:rsidRPr="63259912">
        <w:rPr>
          <w:rFonts w:asciiTheme="minorHAnsi" w:hAnsiTheme="minorHAnsi" w:cstheme="minorBidi"/>
        </w:rPr>
        <w:t xml:space="preserve">br. </w:t>
      </w:r>
      <w:r w:rsidRPr="63259912">
        <w:rPr>
          <w:rFonts w:asciiTheme="minorHAnsi" w:hAnsiTheme="minorHAnsi" w:cstheme="minorBidi"/>
        </w:rPr>
        <w:t>63</w:t>
      </w:r>
      <w:r w:rsidR="005B41DA" w:rsidRPr="63259912">
        <w:rPr>
          <w:rFonts w:asciiTheme="minorHAnsi" w:hAnsiTheme="minorHAnsi" w:cstheme="minorBidi"/>
        </w:rPr>
        <w:t>/21</w:t>
      </w:r>
      <w:r w:rsidR="00204CF0" w:rsidRPr="63259912">
        <w:rPr>
          <w:rFonts w:asciiTheme="minorHAnsi" w:hAnsiTheme="minorHAnsi" w:cstheme="minorBidi"/>
        </w:rPr>
        <w:t>.</w:t>
      </w:r>
      <w:r w:rsidR="004A2A77" w:rsidRPr="63259912">
        <w:rPr>
          <w:rFonts w:asciiTheme="minorHAnsi" w:hAnsiTheme="minorHAnsi" w:cstheme="minorBidi"/>
        </w:rPr>
        <w:t>)</w:t>
      </w:r>
      <w:r w:rsidR="00A5444A" w:rsidRPr="63259912">
        <w:rPr>
          <w:rFonts w:asciiTheme="minorHAnsi" w:hAnsiTheme="minorHAnsi" w:cstheme="minorBidi"/>
        </w:rPr>
        <w:t>,</w:t>
      </w:r>
    </w:p>
    <w:p w14:paraId="5E57E404" w14:textId="170B8EEF" w:rsidR="004A2A77" w:rsidRPr="002D7293" w:rsidRDefault="004A2A77" w:rsidP="00FC3DF8">
      <w:pPr>
        <w:pStyle w:val="ListParagraph"/>
        <w:numPr>
          <w:ilvl w:val="0"/>
          <w:numId w:val="63"/>
        </w:numPr>
        <w:spacing w:after="60"/>
        <w:ind w:left="714" w:hanging="357"/>
      </w:pPr>
      <w:r w:rsidRPr="63259912">
        <w:t>Program energetske učinkovitosti za dekarbonizaciju energetskog sektora</w:t>
      </w:r>
      <w:r w:rsidR="005A4696" w:rsidRPr="63259912">
        <w:t xml:space="preserve"> (MGOR, 2021</w:t>
      </w:r>
      <w:r w:rsidR="696DD56B" w:rsidRPr="63259912">
        <w:t>.)</w:t>
      </w:r>
      <w:r w:rsidR="54C12389" w:rsidRPr="63259912">
        <w:t>,</w:t>
      </w:r>
    </w:p>
    <w:p w14:paraId="5F5C4D5C" w14:textId="47003D0E" w:rsidR="000C2D68" w:rsidRPr="002D7293" w:rsidRDefault="000C2D68" w:rsidP="00FC3DF8">
      <w:pPr>
        <w:pStyle w:val="ListParagraph"/>
        <w:numPr>
          <w:ilvl w:val="0"/>
          <w:numId w:val="63"/>
        </w:numPr>
        <w:spacing w:after="60"/>
        <w:ind w:left="714" w:hanging="357"/>
      </w:pPr>
      <w:r w:rsidRPr="002D7293">
        <w:t>Hrvatska strategija za vodik do 2050. godine (</w:t>
      </w:r>
      <w:r w:rsidR="00204CF0">
        <w:t>„</w:t>
      </w:r>
      <w:r w:rsidR="00071A4F" w:rsidRPr="00071A4F">
        <w:t xml:space="preserve">Narodne </w:t>
      </w:r>
      <w:r w:rsidR="00A97AE7">
        <w:t>novine</w:t>
      </w:r>
      <w:r w:rsidR="00204CF0">
        <w:t>“</w:t>
      </w:r>
      <w:r w:rsidR="00071A4F" w:rsidRPr="00071A4F">
        <w:t xml:space="preserve">, </w:t>
      </w:r>
      <w:r w:rsidR="00EE1897" w:rsidRPr="00071A4F">
        <w:t>br</w:t>
      </w:r>
      <w:r w:rsidR="00EE1897">
        <w:t>.</w:t>
      </w:r>
      <w:r w:rsidR="00EE1897" w:rsidRPr="002D7293">
        <w:t xml:space="preserve"> </w:t>
      </w:r>
      <w:r w:rsidRPr="002D7293">
        <w:t>40</w:t>
      </w:r>
      <w:r w:rsidR="005B41DA">
        <w:t>/22</w:t>
      </w:r>
      <w:r w:rsidR="00204CF0">
        <w:t>.</w:t>
      </w:r>
      <w:r w:rsidRPr="002D7293">
        <w:t>)</w:t>
      </w:r>
      <w:r w:rsidR="00BC2B49" w:rsidRPr="002D7293">
        <w:t>.</w:t>
      </w:r>
    </w:p>
    <w:p w14:paraId="0209EEC3" w14:textId="26549E35" w:rsidR="00222E54" w:rsidRPr="00B47BDA" w:rsidRDefault="00262E76" w:rsidP="00557530">
      <w:r w:rsidRPr="63259912">
        <w:t xml:space="preserve">U </w:t>
      </w:r>
      <w:r w:rsidRPr="63259912">
        <w:rPr>
          <w:b/>
          <w:bCs/>
        </w:rPr>
        <w:t xml:space="preserve">sektoru zgradarstva, </w:t>
      </w:r>
      <w:r w:rsidRPr="63259912">
        <w:t>Republika Hrvatska</w:t>
      </w:r>
      <w:r w:rsidR="00223B7C" w:rsidRPr="63259912">
        <w:t xml:space="preserve"> se opredijelila za ostvarivanje energetski visokoučinkovitog i dekarboniziranog </w:t>
      </w:r>
      <w:r w:rsidR="00221899" w:rsidRPr="63259912">
        <w:t>fonda zgrada do 2050. godine. S ciljem mobilizacije svih dionika</w:t>
      </w:r>
      <w:r w:rsidR="0065038E" w:rsidRPr="63259912">
        <w:t xml:space="preserve"> u procesu građenja i obnavljanja zgrada za postizanje </w:t>
      </w:r>
      <w:r w:rsidR="00556DB3" w:rsidRPr="63259912">
        <w:t xml:space="preserve">dugoročnog cilja </w:t>
      </w:r>
      <w:r w:rsidR="0092049D" w:rsidRPr="63259912">
        <w:t>smanjenja emisija CO</w:t>
      </w:r>
      <w:r w:rsidR="0092049D" w:rsidRPr="63259912">
        <w:rPr>
          <w:vertAlign w:val="subscript"/>
        </w:rPr>
        <w:t>2</w:t>
      </w:r>
      <w:r w:rsidR="0092049D" w:rsidRPr="63259912">
        <w:t xml:space="preserve"> iz sektora zgradarstva od 80</w:t>
      </w:r>
      <w:r w:rsidR="001D7CBE" w:rsidRPr="63259912">
        <w:t> </w:t>
      </w:r>
      <w:r w:rsidR="0092049D" w:rsidRPr="63259912">
        <w:t xml:space="preserve">% do kraja 2050. godine, </w:t>
      </w:r>
      <w:r w:rsidR="00093174" w:rsidRPr="63259912">
        <w:t>Ministarstvo prostornoga uređenja</w:t>
      </w:r>
      <w:r w:rsidR="006903F8" w:rsidRPr="63259912">
        <w:t>,</w:t>
      </w:r>
      <w:r w:rsidR="00093174" w:rsidRPr="63259912">
        <w:t xml:space="preserve"> graditeljstva i </w:t>
      </w:r>
      <w:r w:rsidR="006903F8" w:rsidRPr="63259912">
        <w:t>državne imovine</w:t>
      </w:r>
      <w:r w:rsidR="00093174" w:rsidRPr="63259912">
        <w:t xml:space="preserve"> iniciralo je Povelju o suradnji u cilju dekarbonizacije zgrada do 2050</w:t>
      </w:r>
      <w:r w:rsidR="00130B80" w:rsidRPr="63259912">
        <w:t>. godine</w:t>
      </w:r>
      <w:r w:rsidR="00093174" w:rsidRPr="63259912">
        <w:t xml:space="preserve">. Sadržaj povelje odnosi se na postizanje energetskih i klimatskih ciljeva na nacionalnoj i EU razini kroz dekarbonizaciju fonda zgrada, obnovom zgrada i građenjem zgrada gotovo nulte energije, čime se ističe važnost dodatnog smanjenja emisija stakleničkih plinova, povećanja udjela obnovljivih izvora energije, poboljšanja energetske sigurnosti te uvođenja inovacija i pametnih tehnologija koje omogućuju </w:t>
      </w:r>
      <w:r w:rsidR="17A626C3" w:rsidRPr="63259912">
        <w:t>sektoru zgradarstva</w:t>
      </w:r>
      <w:r w:rsidR="00093174" w:rsidRPr="63259912">
        <w:t xml:space="preserve"> da potpomognu sveukupnu dekarbonizaciju gospodarstva. Potpisivanjem povelje potiče se kontinuirana suradnja na </w:t>
      </w:r>
      <w:r w:rsidR="004314D9" w:rsidRPr="63259912">
        <w:t xml:space="preserve">provedbi </w:t>
      </w:r>
      <w:r w:rsidR="00093174" w:rsidRPr="63259912">
        <w:t xml:space="preserve">Dugoročne strategije obnove nacionalnog fonda zgrada i prelazak na standard gradnje zgrada gotovo nulte energije (nZEB). </w:t>
      </w:r>
    </w:p>
    <w:p w14:paraId="45BDF7D8" w14:textId="4A8F313F" w:rsidR="007822E6" w:rsidRPr="00FC3DF8" w:rsidRDefault="00093174" w:rsidP="63259912">
      <w:pPr>
        <w:rPr>
          <w:rFonts w:asciiTheme="minorHAnsi" w:hAnsiTheme="minorHAnsi" w:cstheme="minorBidi"/>
        </w:rPr>
      </w:pPr>
      <w:r w:rsidRPr="63259912">
        <w:rPr>
          <w:rFonts w:asciiTheme="minorHAnsi" w:hAnsiTheme="minorHAnsi" w:cstheme="minorBidi"/>
        </w:rPr>
        <w:lastRenderedPageBreak/>
        <w:t xml:space="preserve">Potpisnici Povelje pružaju potporu te promiču dekarbonizaciju zgrada u svojim daljnjim aktivnostima, gdje god je to moguće. Do kraja </w:t>
      </w:r>
      <w:r w:rsidR="000913E3" w:rsidRPr="63259912">
        <w:rPr>
          <w:rFonts w:asciiTheme="minorHAnsi" w:hAnsiTheme="minorHAnsi" w:cstheme="minorBidi"/>
        </w:rPr>
        <w:t>ožujka</w:t>
      </w:r>
      <w:r w:rsidR="00C10632" w:rsidRPr="63259912">
        <w:rPr>
          <w:rFonts w:asciiTheme="minorHAnsi" w:hAnsiTheme="minorHAnsi" w:cstheme="minorBidi"/>
        </w:rPr>
        <w:t xml:space="preserve"> 2024</w:t>
      </w:r>
      <w:r w:rsidRPr="63259912">
        <w:rPr>
          <w:rFonts w:asciiTheme="minorHAnsi" w:hAnsiTheme="minorHAnsi" w:cstheme="minorBidi"/>
        </w:rPr>
        <w:t xml:space="preserve">. godine povelju je potpisalo </w:t>
      </w:r>
      <w:r w:rsidR="00C10632" w:rsidRPr="63259912">
        <w:rPr>
          <w:rFonts w:asciiTheme="minorHAnsi" w:hAnsiTheme="minorHAnsi" w:cstheme="minorBidi"/>
        </w:rPr>
        <w:t xml:space="preserve">84 </w:t>
      </w:r>
      <w:r w:rsidRPr="63259912">
        <w:rPr>
          <w:rFonts w:asciiTheme="minorHAnsi" w:hAnsiTheme="minorHAnsi" w:cstheme="minorBidi"/>
        </w:rPr>
        <w:t>dionika iz poslovnog i javnog sektora</w:t>
      </w:r>
      <w:r w:rsidRPr="63259912">
        <w:rPr>
          <w:rStyle w:val="FootnoteReference"/>
          <w:rFonts w:asciiTheme="minorHAnsi" w:hAnsiTheme="minorHAnsi" w:cstheme="minorBidi"/>
          <w:sz w:val="24"/>
        </w:rPr>
        <w:footnoteReference w:id="11"/>
      </w:r>
      <w:r w:rsidRPr="63259912">
        <w:rPr>
          <w:rFonts w:asciiTheme="minorHAnsi" w:hAnsiTheme="minorHAnsi" w:cstheme="minorBidi"/>
        </w:rPr>
        <w:t>.</w:t>
      </w:r>
      <w:r w:rsidR="00622DB1" w:rsidRPr="63259912">
        <w:rPr>
          <w:rFonts w:asciiTheme="minorHAnsi" w:hAnsiTheme="minorHAnsi" w:cstheme="minorBidi"/>
        </w:rPr>
        <w:t xml:space="preserve"> </w:t>
      </w:r>
    </w:p>
    <w:p w14:paraId="27BE7D2C" w14:textId="495F31B8" w:rsidR="00464AC7" w:rsidRPr="00B47BDA" w:rsidRDefault="003C4085" w:rsidP="00557530">
      <w:r w:rsidRPr="00B47BDA">
        <w:t xml:space="preserve">U </w:t>
      </w:r>
      <w:r w:rsidRPr="00B47BDA">
        <w:rPr>
          <w:b/>
        </w:rPr>
        <w:t>sektoru prometa</w:t>
      </w:r>
      <w:r w:rsidRPr="00B47BDA">
        <w:t>,</w:t>
      </w:r>
      <w:r w:rsidR="00464AC7" w:rsidRPr="00B47BDA">
        <w:t xml:space="preserve"> Republika Hrvatska se suočava s problemom velike ovisnosti o </w:t>
      </w:r>
      <w:r w:rsidR="316A4E29">
        <w:t>fosilnim gorivima</w:t>
      </w:r>
      <w:r w:rsidR="555A7A0A">
        <w:t xml:space="preserve"> </w:t>
      </w:r>
      <w:r w:rsidR="00464AC7" w:rsidRPr="00B47BDA">
        <w:t xml:space="preserve">i negativnim utjecajem </w:t>
      </w:r>
      <w:r w:rsidDel="65BED489">
        <w:t xml:space="preserve">cestovnog </w:t>
      </w:r>
      <w:r w:rsidR="00464AC7" w:rsidRPr="00B47BDA">
        <w:t>prometa na okoliš</w:t>
      </w:r>
      <w:r w:rsidR="447B73FB">
        <w:t>.</w:t>
      </w:r>
      <w:r w:rsidR="00464AC7" w:rsidRPr="00B47BDA">
        <w:t xml:space="preserve"> Udio osobnih vozila s pogonom na električnu energiju u ukupnom broju registriranih osobnih vozila u Hrvatskoj iznosi manje od 0,3 </w:t>
      </w:r>
      <w:r w:rsidR="555A7A0A">
        <w:t>%,</w:t>
      </w:r>
      <w:r w:rsidR="00464AC7" w:rsidRPr="00B47BDA">
        <w:t xml:space="preserve"> što ukazuje na to da tržište električnih vozila još uvijek nije dovoljno razvijeno. </w:t>
      </w:r>
      <w:r w:rsidR="1AA33B0C">
        <w:t>T</w:t>
      </w:r>
      <w:r w:rsidR="555A7A0A">
        <w:t>ržište</w:t>
      </w:r>
      <w:r w:rsidR="00464AC7" w:rsidRPr="00B47BDA">
        <w:t xml:space="preserve"> vodika u sektoru prometa </w:t>
      </w:r>
      <w:r w:rsidR="06E22A78">
        <w:t xml:space="preserve">također </w:t>
      </w:r>
      <w:r w:rsidR="00464AC7" w:rsidRPr="00B47BDA">
        <w:t>nije razvijeno, a ne postoj</w:t>
      </w:r>
      <w:r w:rsidR="2EC80088">
        <w:t>i</w:t>
      </w:r>
      <w:r w:rsidR="00464AC7" w:rsidRPr="00B47BDA">
        <w:t xml:space="preserve"> ni javno dostupn</w:t>
      </w:r>
      <w:r w:rsidR="00495C4C" w:rsidRPr="00B47BDA">
        <w:t>a infrastruktura za opskrbu</w:t>
      </w:r>
      <w:r w:rsidR="00AD70BB" w:rsidRPr="00B47BDA">
        <w:t xml:space="preserve"> vodikom</w:t>
      </w:r>
      <w:r w:rsidR="00464AC7" w:rsidRPr="00B47BDA">
        <w:t>.</w:t>
      </w:r>
    </w:p>
    <w:p w14:paraId="51D4D73A" w14:textId="08C155C1" w:rsidR="00464AC7" w:rsidRPr="00B47BDA" w:rsidRDefault="62B52EA7" w:rsidP="00557530">
      <w:r w:rsidRPr="00E30BF9">
        <w:t>Zakon</w:t>
      </w:r>
      <w:r w:rsidR="0C052F2A" w:rsidRPr="00E30BF9">
        <w:t xml:space="preserve"> o uspostavi infrastrukture za alternativna goriva</w:t>
      </w:r>
      <w:r w:rsidR="0C052F2A" w:rsidRPr="1C9333AB">
        <w:rPr>
          <w:i/>
          <w:iCs/>
        </w:rPr>
        <w:t xml:space="preserve"> </w:t>
      </w:r>
      <w:r w:rsidR="0DCC9361" w:rsidRPr="00E30BF9">
        <w:t>(</w:t>
      </w:r>
      <w:r w:rsidR="00A93E8E">
        <w:t>„</w:t>
      </w:r>
      <w:r w:rsidR="00071A4F" w:rsidRPr="00071A4F">
        <w:t xml:space="preserve">Narodne </w:t>
      </w:r>
      <w:r w:rsidR="00A97AE7">
        <w:t>novine</w:t>
      </w:r>
      <w:r w:rsidR="00A93E8E">
        <w:t>“</w:t>
      </w:r>
      <w:r w:rsidR="00071A4F" w:rsidRPr="00071A4F">
        <w:t>,</w:t>
      </w:r>
      <w:r w:rsidR="245D22EF" w:rsidRPr="20C1EDF1">
        <w:t xml:space="preserve"> br</w:t>
      </w:r>
      <w:r w:rsidR="001D2B96">
        <w:t>.</w:t>
      </w:r>
      <w:r w:rsidR="0DCC9361" w:rsidRPr="00E30BF9">
        <w:t xml:space="preserve"> 120</w:t>
      </w:r>
      <w:r w:rsidR="005B41DA">
        <w:t>/16</w:t>
      </w:r>
      <w:r w:rsidR="00A93E8E">
        <w:t>.</w:t>
      </w:r>
      <w:r w:rsidR="512DD4A4" w:rsidRPr="20C1EDF1">
        <w:t xml:space="preserve"> i</w:t>
      </w:r>
      <w:r w:rsidRPr="00E30BF9">
        <w:t xml:space="preserve"> 63</w:t>
      </w:r>
      <w:r w:rsidR="005B41DA">
        <w:t>/22</w:t>
      </w:r>
      <w:r w:rsidR="00A93E8E">
        <w:t>.</w:t>
      </w:r>
      <w:r w:rsidRPr="00E30BF9">
        <w:t>)</w:t>
      </w:r>
      <w:r>
        <w:t xml:space="preserve"> propisuje da se</w:t>
      </w:r>
      <w:r w:rsidR="0C052F2A">
        <w:t xml:space="preserve"> zajednički okvir mjera za razvoj tržišta u pogledu alternativnih goriva u prometnom sektoru i za postavljanje odgovarajuće infrastrukture određuje </w:t>
      </w:r>
      <w:r w:rsidR="0C052F2A" w:rsidRPr="00E30BF9">
        <w:t>Nacionalnim okvirom politike</w:t>
      </w:r>
      <w:r w:rsidR="17CACF9A" w:rsidRPr="00E30BF9">
        <w:t xml:space="preserve"> za uspostavu infrastrukture za alternativna goriva Republike Hrvatske</w:t>
      </w:r>
      <w:r w:rsidR="0C052F2A" w:rsidRPr="00E30BF9">
        <w:t xml:space="preserve"> (NOP)</w:t>
      </w:r>
      <w:r w:rsidR="0C052F2A">
        <w:t xml:space="preserve">, koji je </w:t>
      </w:r>
      <w:r w:rsidR="40A5443F">
        <w:t>prvi puta</w:t>
      </w:r>
      <w:r>
        <w:t xml:space="preserve"> </w:t>
      </w:r>
      <w:r w:rsidR="0C052F2A">
        <w:t xml:space="preserve">donesen 2017. </w:t>
      </w:r>
      <w:r w:rsidR="0DCC9361">
        <w:t>godin</w:t>
      </w:r>
      <w:r w:rsidR="33F2D842">
        <w:t>e</w:t>
      </w:r>
      <w:r w:rsidR="0DCC9361">
        <w:t xml:space="preserve"> </w:t>
      </w:r>
      <w:r w:rsidR="00EB08F1">
        <w:t xml:space="preserve">(„Narodne novine“, br. </w:t>
      </w:r>
      <w:r w:rsidR="0DCC9361">
        <w:t>34</w:t>
      </w:r>
      <w:r w:rsidR="005B41DA">
        <w:t>/17</w:t>
      </w:r>
      <w:r w:rsidR="00EF072F">
        <w:t>.</w:t>
      </w:r>
      <w:r w:rsidR="0DCC9361">
        <w:t>).</w:t>
      </w:r>
      <w:r w:rsidR="0C052F2A">
        <w:t xml:space="preserve"> NOP-om su utvrđeni minimalni ciljevi za izgradnju infrastrukture za alternativna goriva, uključujući mjesta za punjenje, zajedničke tehničke specifikacije za mjesta za punjenje i opskrbu, zahtjevi za informiranje korisnika, kao i mjere potrebne za ostvarivanje nacionalnih ciljeva. </w:t>
      </w:r>
      <w:r w:rsidR="68D7F11C">
        <w:t>Donošenje n</w:t>
      </w:r>
      <w:r>
        <w:t>ov</w:t>
      </w:r>
      <w:r w:rsidR="68D7F11C">
        <w:t>og</w:t>
      </w:r>
      <w:r>
        <w:t xml:space="preserve"> NOP</w:t>
      </w:r>
      <w:r w:rsidR="68D7F11C">
        <w:t>-a</w:t>
      </w:r>
      <w:r>
        <w:t xml:space="preserve"> očekuje se </w:t>
      </w:r>
      <w:r w:rsidR="00045140">
        <w:t>tijekom</w:t>
      </w:r>
      <w:r>
        <w:t xml:space="preserve"> 202</w:t>
      </w:r>
      <w:r w:rsidR="00212EC1">
        <w:t>5</w:t>
      </w:r>
      <w:r>
        <w:t>. godine, u kojem</w:t>
      </w:r>
      <w:r w:rsidR="27DFF3F4">
        <w:t xml:space="preserve"> će se definirati </w:t>
      </w:r>
      <w:r>
        <w:t xml:space="preserve">ambiciozni ciljevi u pogledu uspostave infrastrukture za alternativna goriva u svim vrstama prometa. Predmetna inicijativa bi mogla dovesti do značajnog povećanja udjela vozila s pogonom na </w:t>
      </w:r>
      <w:r w:rsidR="5D3466ED">
        <w:t>alternativne izvore energije</w:t>
      </w:r>
      <w:r>
        <w:t xml:space="preserve"> te bržeg</w:t>
      </w:r>
      <w:r w:rsidR="5D3466ED">
        <w:t xml:space="preserve"> razvoja</w:t>
      </w:r>
      <w:r>
        <w:t xml:space="preserve"> tržišta alternativnih goriva u Hrvatskoj.</w:t>
      </w:r>
    </w:p>
    <w:p w14:paraId="5D3A641A" w14:textId="5061DF3F" w:rsidR="00634B7C" w:rsidRPr="00B47BDA" w:rsidRDefault="48A2E5F9" w:rsidP="00557530">
      <w:r w:rsidRPr="63259912">
        <w:t xml:space="preserve">U okviru dimenzije </w:t>
      </w:r>
      <w:r w:rsidR="4B8399A8" w:rsidRPr="63259912">
        <w:t>dekarbonizacije</w:t>
      </w:r>
      <w:r w:rsidRPr="63259912">
        <w:t xml:space="preserve">, važnu ulogu ima </w:t>
      </w:r>
      <w:r w:rsidRPr="63259912">
        <w:rPr>
          <w:b/>
          <w:bCs/>
        </w:rPr>
        <w:t>poljoprivredni sektor</w:t>
      </w:r>
      <w:r w:rsidRPr="63259912">
        <w:t xml:space="preserve"> – kako u kontekstu vlastitih emisija, tako i u kontekstu njegova doprinosa korištenju obnovljivih izvora. </w:t>
      </w:r>
      <w:r w:rsidR="5C3DA1AD" w:rsidRPr="63259912">
        <w:t>Strategija poljopriv</w:t>
      </w:r>
      <w:r w:rsidR="625FFA41" w:rsidRPr="63259912">
        <w:t>r</w:t>
      </w:r>
      <w:r w:rsidR="5C3DA1AD" w:rsidRPr="63259912">
        <w:t>ede do 2030.</w:t>
      </w:r>
      <w:r w:rsidR="6641510E" w:rsidRPr="63259912">
        <w:t xml:space="preserve"> </w:t>
      </w:r>
      <w:r w:rsidR="00BB382C" w:rsidRPr="63259912">
        <w:t xml:space="preserve">godine </w:t>
      </w:r>
      <w:r w:rsidR="002220DC" w:rsidRPr="63259912">
        <w:t>[</w:t>
      </w:r>
      <w:r w:rsidR="00C3343F" w:rsidRPr="63259912">
        <w:t>12</w:t>
      </w:r>
      <w:r w:rsidR="002220DC" w:rsidRPr="63259912">
        <w:t xml:space="preserve">] </w:t>
      </w:r>
      <w:r w:rsidR="00EB08F1" w:rsidRPr="63259912">
        <w:t xml:space="preserve">(„Narodne novine“, br. </w:t>
      </w:r>
      <w:r w:rsidR="79395B6D" w:rsidRPr="63259912">
        <w:t>26</w:t>
      </w:r>
      <w:r w:rsidR="005B41DA" w:rsidRPr="63259912">
        <w:t>/22</w:t>
      </w:r>
      <w:r w:rsidR="00EF072F" w:rsidRPr="63259912">
        <w:t>.</w:t>
      </w:r>
      <w:r w:rsidR="625FFA41" w:rsidRPr="63259912">
        <w:t>)</w:t>
      </w:r>
      <w:r w:rsidRPr="63259912">
        <w:t xml:space="preserve"> definira </w:t>
      </w:r>
      <w:r w:rsidR="64E14E25" w:rsidRPr="63259912">
        <w:t xml:space="preserve">razvojne potrebe, strateške ciljeve, područja intervencija, provedbene mehanizme i izvore financiranja. Jedan od strateških ciljeva u Strategiji poljoprivrede do 2030. </w:t>
      </w:r>
      <w:r w:rsidR="00EC10DC" w:rsidRPr="63259912">
        <w:t xml:space="preserve">godine </w:t>
      </w:r>
      <w:r w:rsidR="64E14E25" w:rsidRPr="63259912">
        <w:t xml:space="preserve">je </w:t>
      </w:r>
      <w:r w:rsidR="400C7955" w:rsidRPr="63259912">
        <w:t>j</w:t>
      </w:r>
      <w:r w:rsidR="46DD639C" w:rsidRPr="63259912">
        <w:t>ačanje</w:t>
      </w:r>
      <w:r w:rsidR="64E14E25" w:rsidRPr="63259912">
        <w:t xml:space="preserve"> održivosti i otpornosti poljoprivredne proizvodnje na klimatske promjene u okviru kojega je smanjenje ranjivosti na klimatske promjene i poticanje proizvodnje s niskim emisijama</w:t>
      </w:r>
      <w:r w:rsidR="1FCDB498" w:rsidRPr="63259912">
        <w:t xml:space="preserve"> jedan od prioriteta</w:t>
      </w:r>
      <w:r w:rsidR="46DD639C" w:rsidRPr="63259912">
        <w:t>.</w:t>
      </w:r>
      <w:r w:rsidR="64E14E25" w:rsidRPr="63259912">
        <w:t xml:space="preserve"> Trenutne mjere koje se odnose na dimenziju </w:t>
      </w:r>
      <w:r w:rsidR="7B962E51" w:rsidRPr="63259912">
        <w:t>dekarbonizacije</w:t>
      </w:r>
      <w:r w:rsidR="64E14E25" w:rsidRPr="63259912">
        <w:t xml:space="preserve"> prikazane su u </w:t>
      </w:r>
      <w:r w:rsidR="00FB64B7" w:rsidRPr="00B47BDA">
        <w:fldChar w:fldCharType="begin"/>
      </w:r>
      <w:r w:rsidR="00FB64B7" w:rsidRPr="00B47BDA">
        <w:instrText xml:space="preserve"> REF _Ref531512768 \h  \* MERGEFORMAT </w:instrText>
      </w:r>
      <w:r w:rsidR="00FB64B7" w:rsidRPr="00B47BDA">
        <w:fldChar w:fldCharType="separate"/>
      </w:r>
      <w:r w:rsidR="00AD324D" w:rsidRPr="63259912">
        <w:t>Tablic</w:t>
      </w:r>
      <w:r w:rsidR="000C6A81" w:rsidRPr="63259912">
        <w:t>i</w:t>
      </w:r>
      <w:r w:rsidR="00AD324D" w:rsidRPr="63259912">
        <w:t xml:space="preserve"> 1</w:t>
      </w:r>
      <w:r w:rsidR="00AD324D" w:rsidRPr="00B47BDA">
        <w:noBreakHyphen/>
      </w:r>
      <w:r w:rsidR="00AD324D" w:rsidRPr="63259912">
        <w:t>5</w:t>
      </w:r>
      <w:r w:rsidR="00FB64B7" w:rsidRPr="00B47BDA">
        <w:fldChar w:fldCharType="end"/>
      </w:r>
      <w:r w:rsidR="64E14E25" w:rsidRPr="63259912">
        <w:t>. Uz naziv svake mjere naveden je dokument u kojemu je mjera planirana.</w:t>
      </w:r>
    </w:p>
    <w:p w14:paraId="27A57D3C" w14:textId="39412203" w:rsidR="00B63D95" w:rsidRPr="00B47BDA" w:rsidRDefault="7EB80F8A" w:rsidP="00557530">
      <w:r>
        <w:t xml:space="preserve">U sektoru LULUCF najveći ponori se ostvaruju u kategoriji </w:t>
      </w:r>
      <w:r w:rsidR="3C11D3A5">
        <w:t>š</w:t>
      </w:r>
      <w:r w:rsidR="73BA0AFF">
        <w:t>umsko</w:t>
      </w:r>
      <w:r w:rsidR="7104B5F1">
        <w:t>g</w:t>
      </w:r>
      <w:r w:rsidR="73BA0AFF">
        <w:t xml:space="preserve"> zemljišt</w:t>
      </w:r>
      <w:r w:rsidR="0816D9C3">
        <w:t>a</w:t>
      </w:r>
      <w:r>
        <w:t xml:space="preserve"> (kategorizacij</w:t>
      </w:r>
      <w:r w:rsidR="11365788">
        <w:t>a</w:t>
      </w:r>
      <w:r>
        <w:t xml:space="preserve"> prema IPCC-u). </w:t>
      </w:r>
      <w:r w:rsidR="71EF9FD0">
        <w:t xml:space="preserve">U Republici Hrvatskoj </w:t>
      </w:r>
      <w:r w:rsidR="155A9333">
        <w:t>š</w:t>
      </w:r>
      <w:r w:rsidR="73BA0AFF">
        <w:t>umsko</w:t>
      </w:r>
      <w:r>
        <w:t xml:space="preserve"> zemljište </w:t>
      </w:r>
      <w:r w:rsidR="467BFC65">
        <w:t>pokriva</w:t>
      </w:r>
      <w:r w:rsidR="73BA0AFF">
        <w:t xml:space="preserve"> </w:t>
      </w:r>
      <w:r>
        <w:t>49,3</w:t>
      </w:r>
      <w:r w:rsidR="000C6A81">
        <w:t> </w:t>
      </w:r>
      <w:r>
        <w:t xml:space="preserve">% ukupne površine (prema nacionalnoj klasifikaciji). Ponor </w:t>
      </w:r>
      <w:r w:rsidR="032F344B">
        <w:t xml:space="preserve">sektora </w:t>
      </w:r>
      <w:r>
        <w:t>LULUCF čini 23,7</w:t>
      </w:r>
      <w:r w:rsidR="000C6A81">
        <w:t> </w:t>
      </w:r>
      <w:r>
        <w:t xml:space="preserve">% </w:t>
      </w:r>
      <w:r w:rsidR="7BF12D83">
        <w:t>ukupnih</w:t>
      </w:r>
      <w:r w:rsidR="73BA0AFF">
        <w:t xml:space="preserve"> emisij</w:t>
      </w:r>
      <w:r w:rsidR="4D108944">
        <w:t>a</w:t>
      </w:r>
      <w:r w:rsidR="73BA0AFF">
        <w:t>.</w:t>
      </w:r>
      <w:r>
        <w:t xml:space="preserve"> Gospodarenje </w:t>
      </w:r>
      <w:r w:rsidR="73BA0AFF">
        <w:t>šum</w:t>
      </w:r>
      <w:r w:rsidR="0AE224AD">
        <w:t>ama</w:t>
      </w:r>
      <w:r>
        <w:t xml:space="preserve"> i pošumljavanje kao šumsko-uzgojni rad propisano </w:t>
      </w:r>
      <w:r w:rsidR="56E93D51">
        <w:t xml:space="preserve">je </w:t>
      </w:r>
      <w:r>
        <w:t xml:space="preserve">šumskogospodarskim planovima (ŠGP). Relativno je malo </w:t>
      </w:r>
      <w:r w:rsidR="495171EF">
        <w:t>pogodnih</w:t>
      </w:r>
      <w:r w:rsidR="73BA0AFF">
        <w:t xml:space="preserve"> </w:t>
      </w:r>
      <w:r>
        <w:t xml:space="preserve">i raspoloživih šumskih zemljišta za pošumljavanje koje, kao i svi ostali propisani šumski radovi u </w:t>
      </w:r>
      <w:r w:rsidR="78B6C5C4">
        <w:t>š</w:t>
      </w:r>
      <w:r w:rsidR="73BA0AFF">
        <w:t>umsko</w:t>
      </w:r>
      <w:r>
        <w:t xml:space="preserve"> gospodarskim planovima, moraju dobiti pisanu suglasnost ministarstva nadležnog za zaštitu prirode.</w:t>
      </w:r>
    </w:p>
    <w:p w14:paraId="777A428D" w14:textId="27B02D21" w:rsidR="00634B7C" w:rsidRPr="00B47BDA" w:rsidRDefault="00EE1DD4" w:rsidP="63259912">
      <w:pPr>
        <w:pStyle w:val="Caption"/>
      </w:pPr>
      <w:bookmarkStart w:id="93" w:name="_Ref531512768"/>
      <w:bookmarkStart w:id="94" w:name="_Toc193035933"/>
      <w:r w:rsidRPr="63259912">
        <w:lastRenderedPageBreak/>
        <w:t xml:space="preserve">Tablica </w:t>
      </w:r>
      <w:r>
        <w:fldChar w:fldCharType="begin"/>
      </w:r>
      <w:r>
        <w:instrText>STYLEREF 1 \s</w:instrText>
      </w:r>
      <w:r>
        <w:fldChar w:fldCharType="separate"/>
      </w:r>
      <w:r w:rsidR="00AD324D" w:rsidRPr="63259912">
        <w:rPr>
          <w:noProof/>
        </w:rPr>
        <w:t>1</w:t>
      </w:r>
      <w:r>
        <w:fldChar w:fldCharType="end"/>
      </w:r>
      <w:r w:rsidR="000C3EFD" w:rsidRPr="00B47BDA">
        <w:noBreakHyphen/>
      </w:r>
      <w:r>
        <w:fldChar w:fldCharType="begin"/>
      </w:r>
      <w:r>
        <w:instrText>SEQ Tablica \* ARABIC \s 1</w:instrText>
      </w:r>
      <w:r>
        <w:fldChar w:fldCharType="separate"/>
      </w:r>
      <w:r w:rsidR="00AD324D" w:rsidRPr="63259912">
        <w:rPr>
          <w:noProof/>
        </w:rPr>
        <w:t>5</w:t>
      </w:r>
      <w:r>
        <w:fldChar w:fldCharType="end"/>
      </w:r>
      <w:bookmarkStart w:id="95" w:name="_Hlk531607566"/>
      <w:bookmarkEnd w:id="93"/>
      <w:r w:rsidR="00F458D6" w:rsidRPr="63259912">
        <w:t>.</w:t>
      </w:r>
      <w:r w:rsidR="00A87274" w:rsidRPr="63259912">
        <w:t xml:space="preserve"> </w:t>
      </w:r>
      <w:r w:rsidRPr="63259912">
        <w:t xml:space="preserve">Trenutne mjere unutar dimenzije </w:t>
      </w:r>
      <w:r w:rsidR="166B8DD7" w:rsidRPr="63259912">
        <w:t>dekarbonizacij</w:t>
      </w:r>
      <w:r w:rsidR="78AF233E" w:rsidRPr="63259912">
        <w:t>e</w:t>
      </w:r>
      <w:bookmarkEnd w:id="94"/>
      <w:bookmarkEnd w:id="95"/>
    </w:p>
    <w:tbl>
      <w:tblPr>
        <w:tblStyle w:val="NECP"/>
        <w:tblW w:w="5000" w:type="pct"/>
        <w:tblLook w:val="04A0" w:firstRow="1" w:lastRow="0" w:firstColumn="1" w:lastColumn="0" w:noHBand="0" w:noVBand="1"/>
      </w:tblPr>
      <w:tblGrid>
        <w:gridCol w:w="2913"/>
        <w:gridCol w:w="3046"/>
        <w:gridCol w:w="3091"/>
      </w:tblGrid>
      <w:tr w:rsidR="00EE1DD4" w:rsidRPr="00B255F7" w14:paraId="1BB94DBB" w14:textId="77777777" w:rsidTr="63259912">
        <w:trPr>
          <w:cnfStyle w:val="100000000000" w:firstRow="1" w:lastRow="0" w:firstColumn="0" w:lastColumn="0" w:oddVBand="0" w:evenVBand="0" w:oddHBand="0" w:evenHBand="0" w:firstRowFirstColumn="0" w:firstRowLastColumn="0" w:lastRowFirstColumn="0" w:lastRowLastColumn="0"/>
          <w:trHeight w:val="397"/>
        </w:trPr>
        <w:tc>
          <w:tcPr>
            <w:tcW w:w="1609" w:type="pct"/>
            <w:shd w:val="clear" w:color="auto" w:fill="D9E2F3" w:themeFill="accent5" w:themeFillTint="33"/>
          </w:tcPr>
          <w:p w14:paraId="779FEF31" w14:textId="77777777" w:rsidR="00EE1DD4" w:rsidRPr="00B255F7" w:rsidRDefault="00EE1DD4" w:rsidP="003D09A5">
            <w:pPr>
              <w:spacing w:after="0"/>
              <w:jc w:val="center"/>
              <w:rPr>
                <w:rFonts w:asciiTheme="minorHAnsi" w:hAnsiTheme="minorHAnsi" w:cstheme="minorHAnsi"/>
                <w:sz w:val="22"/>
                <w:szCs w:val="22"/>
              </w:rPr>
            </w:pPr>
            <w:r w:rsidRPr="00B255F7">
              <w:rPr>
                <w:rFonts w:asciiTheme="minorHAnsi" w:hAnsiTheme="minorHAnsi" w:cstheme="minorHAnsi"/>
                <w:sz w:val="22"/>
                <w:szCs w:val="22"/>
              </w:rPr>
              <w:t>Naziv mjere</w:t>
            </w:r>
          </w:p>
        </w:tc>
        <w:tc>
          <w:tcPr>
            <w:tcW w:w="1683" w:type="pct"/>
            <w:shd w:val="clear" w:color="auto" w:fill="D9E2F3" w:themeFill="accent5" w:themeFillTint="33"/>
          </w:tcPr>
          <w:p w14:paraId="4DA81666" w14:textId="7D26D82B" w:rsidR="00EE1DD4" w:rsidRPr="00B255F7" w:rsidRDefault="00EE1DD4" w:rsidP="003D09A5">
            <w:pPr>
              <w:spacing w:after="0"/>
              <w:jc w:val="center"/>
              <w:rPr>
                <w:rFonts w:asciiTheme="minorHAnsi" w:hAnsiTheme="minorHAnsi" w:cstheme="minorHAnsi"/>
                <w:sz w:val="22"/>
                <w:szCs w:val="22"/>
              </w:rPr>
            </w:pPr>
            <w:r w:rsidRPr="00B255F7">
              <w:rPr>
                <w:rFonts w:asciiTheme="minorHAnsi" w:hAnsiTheme="minorHAnsi" w:cstheme="minorHAnsi"/>
                <w:sz w:val="22"/>
                <w:szCs w:val="22"/>
              </w:rPr>
              <w:t>Dokument</w:t>
            </w:r>
            <w:r w:rsidR="00566C04" w:rsidRPr="00B255F7">
              <w:rPr>
                <w:rFonts w:asciiTheme="minorHAnsi" w:hAnsiTheme="minorHAnsi" w:cstheme="minorHAnsi"/>
                <w:sz w:val="22"/>
                <w:szCs w:val="22"/>
              </w:rPr>
              <w:t>i</w:t>
            </w:r>
          </w:p>
        </w:tc>
        <w:tc>
          <w:tcPr>
            <w:tcW w:w="1708" w:type="pct"/>
            <w:shd w:val="clear" w:color="auto" w:fill="D9E2F3" w:themeFill="accent5" w:themeFillTint="33"/>
          </w:tcPr>
          <w:p w14:paraId="44701A9A" w14:textId="77777777" w:rsidR="00EE1DD4" w:rsidRPr="00B255F7" w:rsidRDefault="00EE1DD4" w:rsidP="003D09A5">
            <w:pPr>
              <w:spacing w:after="0"/>
              <w:jc w:val="center"/>
              <w:rPr>
                <w:rFonts w:asciiTheme="minorHAnsi" w:hAnsiTheme="minorHAnsi" w:cstheme="minorHAnsi"/>
                <w:sz w:val="22"/>
                <w:szCs w:val="22"/>
              </w:rPr>
            </w:pPr>
            <w:r w:rsidRPr="00B255F7">
              <w:rPr>
                <w:rFonts w:asciiTheme="minorHAnsi" w:hAnsiTheme="minorHAnsi" w:cstheme="minorHAnsi"/>
                <w:sz w:val="22"/>
                <w:szCs w:val="22"/>
              </w:rPr>
              <w:t>Kratki opis</w:t>
            </w:r>
          </w:p>
        </w:tc>
      </w:tr>
      <w:tr w:rsidR="00EE1DD4" w:rsidRPr="00B255F7" w14:paraId="09C5770B" w14:textId="77777777" w:rsidTr="63259912">
        <w:tc>
          <w:tcPr>
            <w:tcW w:w="5000" w:type="pct"/>
            <w:gridSpan w:val="3"/>
            <w:shd w:val="clear" w:color="auto" w:fill="D9D9D9" w:themeFill="background1" w:themeFillShade="D9"/>
          </w:tcPr>
          <w:p w14:paraId="2EE7B2DC" w14:textId="6168725A" w:rsidR="00EE1DD4" w:rsidRPr="00B255F7" w:rsidRDefault="00EE1DD4" w:rsidP="00AE4D7E">
            <w:pPr>
              <w:spacing w:after="0"/>
              <w:rPr>
                <w:rFonts w:asciiTheme="minorHAnsi" w:hAnsiTheme="minorHAnsi" w:cstheme="minorHAnsi"/>
                <w:sz w:val="22"/>
                <w:szCs w:val="22"/>
              </w:rPr>
            </w:pPr>
            <w:r w:rsidRPr="00B255F7">
              <w:rPr>
                <w:rFonts w:asciiTheme="minorHAnsi" w:hAnsiTheme="minorHAnsi" w:cstheme="minorHAnsi"/>
                <w:sz w:val="22"/>
                <w:szCs w:val="22"/>
              </w:rPr>
              <w:t>Međusektorske politike i mjere</w:t>
            </w:r>
          </w:p>
        </w:tc>
      </w:tr>
      <w:tr w:rsidR="004C7FEF" w:rsidRPr="00B255F7" w14:paraId="16C22C48" w14:textId="77777777" w:rsidTr="63259912">
        <w:tc>
          <w:tcPr>
            <w:tcW w:w="1609" w:type="pct"/>
          </w:tcPr>
          <w:p w14:paraId="66043384" w14:textId="022A3754" w:rsidR="004C7FEF" w:rsidRPr="00B255F7" w:rsidRDefault="005F4107" w:rsidP="00AE4D7E">
            <w:pPr>
              <w:pStyle w:val="Default"/>
              <w:jc w:val="both"/>
              <w:rPr>
                <w:rFonts w:eastAsiaTheme="minorEastAsia" w:cstheme="minorHAnsi"/>
                <w:b/>
                <w:sz w:val="22"/>
                <w:szCs w:val="22"/>
              </w:rPr>
            </w:pPr>
            <w:r>
              <w:rPr>
                <w:rFonts w:eastAsiaTheme="minorEastAsia" w:cstheme="minorHAnsi"/>
                <w:sz w:val="22"/>
                <w:szCs w:val="22"/>
              </w:rPr>
              <w:t>Jačanje upravljanja za postizanje klimatskih ciljeva</w:t>
            </w:r>
          </w:p>
        </w:tc>
        <w:tc>
          <w:tcPr>
            <w:tcW w:w="1683" w:type="pct"/>
          </w:tcPr>
          <w:p w14:paraId="4A392977" w14:textId="06F8FAF4" w:rsidR="004C7FEF" w:rsidRPr="00B255F7" w:rsidRDefault="00BE4D49" w:rsidP="00AE4D7E">
            <w:pPr>
              <w:pStyle w:val="Default"/>
              <w:jc w:val="both"/>
              <w:rPr>
                <w:rFonts w:eastAsiaTheme="minorEastAsia" w:cstheme="minorHAnsi"/>
                <w:sz w:val="22"/>
                <w:szCs w:val="22"/>
              </w:rPr>
            </w:pPr>
            <w:r w:rsidRPr="00B255F7">
              <w:rPr>
                <w:rFonts w:eastAsiaTheme="minorEastAsia" w:cstheme="minorHAnsi"/>
                <w:sz w:val="22"/>
                <w:szCs w:val="22"/>
              </w:rPr>
              <w:t xml:space="preserve">Zakon o klimatskim promjenama i zaštiti ozonskog sloja </w:t>
            </w:r>
            <w:r w:rsidR="00EB08F1">
              <w:rPr>
                <w:rFonts w:eastAsiaTheme="minorEastAsia" w:cstheme="minorHAnsi"/>
                <w:sz w:val="22"/>
                <w:szCs w:val="22"/>
              </w:rPr>
              <w:t xml:space="preserve">(„Narodne novine“, br. </w:t>
            </w:r>
            <w:r w:rsidRPr="00B255F7">
              <w:rPr>
                <w:rFonts w:eastAsiaTheme="minorEastAsia" w:cstheme="minorHAnsi"/>
                <w:sz w:val="22"/>
                <w:szCs w:val="22"/>
              </w:rPr>
              <w:t>127</w:t>
            </w:r>
            <w:r w:rsidR="005B41DA" w:rsidRPr="00B255F7">
              <w:rPr>
                <w:rFonts w:eastAsiaTheme="minorEastAsia" w:cstheme="minorHAnsi"/>
                <w:sz w:val="22"/>
                <w:szCs w:val="22"/>
              </w:rPr>
              <w:t>/19</w:t>
            </w:r>
            <w:r w:rsidR="00484458">
              <w:rPr>
                <w:rFonts w:eastAsiaTheme="minorEastAsia" w:cstheme="minorHAnsi"/>
                <w:sz w:val="22"/>
                <w:szCs w:val="22"/>
              </w:rPr>
              <w:t>.</w:t>
            </w:r>
            <w:r w:rsidRPr="00B255F7">
              <w:rPr>
                <w:rFonts w:eastAsiaTheme="minorEastAsia" w:cstheme="minorHAnsi"/>
                <w:sz w:val="22"/>
                <w:szCs w:val="22"/>
              </w:rPr>
              <w:t>)</w:t>
            </w:r>
            <w:r w:rsidR="004C7FEF" w:rsidRPr="00B255F7">
              <w:rPr>
                <w:rFonts w:eastAsiaTheme="minorEastAsia" w:cstheme="minorHAnsi"/>
                <w:sz w:val="22"/>
                <w:szCs w:val="22"/>
              </w:rPr>
              <w:t>,</w:t>
            </w:r>
            <w:r w:rsidR="004F72E1" w:rsidRPr="00B255F7">
              <w:rPr>
                <w:rFonts w:eastAsiaTheme="minorEastAsia" w:cstheme="minorHAnsi"/>
                <w:sz w:val="22"/>
                <w:szCs w:val="22"/>
              </w:rPr>
              <w:t xml:space="preserve"> Odluk</w:t>
            </w:r>
            <w:r w:rsidR="00350118">
              <w:rPr>
                <w:rFonts w:eastAsiaTheme="minorEastAsia" w:cstheme="minorHAnsi"/>
                <w:sz w:val="22"/>
                <w:szCs w:val="22"/>
              </w:rPr>
              <w:t>a</w:t>
            </w:r>
            <w:r w:rsidR="004F72E1" w:rsidRPr="00B255F7">
              <w:rPr>
                <w:rFonts w:eastAsiaTheme="minorEastAsia" w:cstheme="minorHAnsi"/>
                <w:sz w:val="22"/>
                <w:szCs w:val="22"/>
              </w:rPr>
              <w:t xml:space="preserve"> </w:t>
            </w:r>
            <w:r w:rsidR="003952F6" w:rsidRPr="00B255F7">
              <w:rPr>
                <w:rFonts w:eastAsiaTheme="minorEastAsia" w:cstheme="minorHAnsi"/>
                <w:sz w:val="22"/>
                <w:szCs w:val="22"/>
              </w:rPr>
              <w:t>o osnivanju</w:t>
            </w:r>
            <w:r w:rsidR="00C4324F" w:rsidRPr="00B255F7">
              <w:rPr>
                <w:rFonts w:eastAsiaTheme="minorEastAsia" w:cstheme="minorHAnsi"/>
                <w:sz w:val="22"/>
                <w:szCs w:val="22"/>
              </w:rPr>
              <w:t xml:space="preserve"> Povjerenstva za međusektorsku koordinaciju za politiku i mjere za ublaživanje i prilagodbu klimatskim promjenama</w:t>
            </w:r>
            <w:r w:rsidR="005630FE" w:rsidRPr="00B255F7">
              <w:rPr>
                <w:rFonts w:eastAsiaTheme="minorEastAsia" w:cstheme="minorHAnsi"/>
                <w:sz w:val="22"/>
                <w:szCs w:val="22"/>
              </w:rPr>
              <w:t xml:space="preserve"> </w:t>
            </w:r>
            <w:r w:rsidR="00CD6393" w:rsidRPr="00B255F7">
              <w:rPr>
                <w:rFonts w:eastAsiaTheme="minorEastAsia" w:cstheme="minorHAnsi"/>
                <w:sz w:val="22"/>
                <w:szCs w:val="22"/>
              </w:rPr>
              <w:t>iz 20</w:t>
            </w:r>
            <w:r w:rsidR="00350118">
              <w:rPr>
                <w:rFonts w:eastAsiaTheme="minorEastAsia" w:cstheme="minorHAnsi"/>
                <w:sz w:val="22"/>
                <w:szCs w:val="22"/>
              </w:rPr>
              <w:t>18</w:t>
            </w:r>
            <w:r w:rsidR="00CD6393" w:rsidRPr="00B255F7">
              <w:rPr>
                <w:rFonts w:eastAsiaTheme="minorEastAsia" w:cstheme="minorHAnsi"/>
                <w:sz w:val="22"/>
                <w:szCs w:val="22"/>
              </w:rPr>
              <w:t>. godine</w:t>
            </w:r>
            <w:r w:rsidR="00C4324F" w:rsidRPr="00B255F7">
              <w:rPr>
                <w:rFonts w:eastAsiaTheme="minorEastAsia" w:cstheme="minorHAnsi"/>
                <w:sz w:val="22"/>
                <w:szCs w:val="22"/>
              </w:rPr>
              <w:t xml:space="preserve"> </w:t>
            </w:r>
          </w:p>
        </w:tc>
        <w:tc>
          <w:tcPr>
            <w:tcW w:w="1708" w:type="pct"/>
          </w:tcPr>
          <w:p w14:paraId="0DF8A442" w14:textId="5AFBAB43" w:rsidR="004C7FEF" w:rsidRPr="00B255F7" w:rsidRDefault="004C7FEF" w:rsidP="00AE4D7E">
            <w:pPr>
              <w:pStyle w:val="Default"/>
              <w:jc w:val="both"/>
              <w:rPr>
                <w:rFonts w:eastAsiaTheme="minorEastAsia" w:cstheme="minorHAnsi"/>
                <w:sz w:val="22"/>
                <w:szCs w:val="22"/>
              </w:rPr>
            </w:pPr>
            <w:r w:rsidRPr="00B255F7">
              <w:rPr>
                <w:rFonts w:eastAsiaTheme="minorEastAsia" w:cstheme="minorHAnsi"/>
                <w:sz w:val="22"/>
                <w:szCs w:val="22"/>
              </w:rPr>
              <w:t xml:space="preserve">Povjerenstvo je nadležno za praćenje i ocjenu provedbe i planiranja politike i mjera za ublažavanje i prilagodbu klimatskim promjenama u Republici Hrvatskoj. U Povjerenstvo su imenovani </w:t>
            </w:r>
            <w:r w:rsidR="00736FEF" w:rsidRPr="00B255F7">
              <w:rPr>
                <w:rFonts w:eastAsiaTheme="minorEastAsia" w:cstheme="minorHAnsi"/>
                <w:sz w:val="22"/>
                <w:szCs w:val="22"/>
              </w:rPr>
              <w:t>dužnosnici iz</w:t>
            </w:r>
            <w:r w:rsidRPr="00B255F7">
              <w:rPr>
                <w:rFonts w:eastAsiaTheme="minorEastAsia" w:cstheme="minorHAnsi"/>
                <w:sz w:val="22"/>
                <w:szCs w:val="22"/>
              </w:rPr>
              <w:t xml:space="preserve"> nadležnih tijela državne. Sastav Povjerenstva, poslove i način rada povjerenstva određuje Vlada Republike Hrvatske na prijedlog ministarstva nadležnog za zaštitu okoliša. </w:t>
            </w:r>
          </w:p>
        </w:tc>
      </w:tr>
      <w:tr w:rsidR="00EE1DD4" w:rsidRPr="00B255F7" w14:paraId="69651A9C" w14:textId="77777777" w:rsidTr="63259912">
        <w:tc>
          <w:tcPr>
            <w:tcW w:w="1609" w:type="pct"/>
          </w:tcPr>
          <w:p w14:paraId="1CFF1936" w14:textId="37A39D67" w:rsidR="00EE1DD4" w:rsidRPr="00B255F7" w:rsidRDefault="00F16666" w:rsidP="00AE4D7E">
            <w:pPr>
              <w:pStyle w:val="Default"/>
              <w:jc w:val="both"/>
              <w:rPr>
                <w:rFonts w:cstheme="minorHAnsi"/>
                <w:b/>
                <w:sz w:val="22"/>
                <w:szCs w:val="22"/>
              </w:rPr>
            </w:pPr>
            <w:r w:rsidRPr="00B255F7">
              <w:rPr>
                <w:rFonts w:cstheme="minorHAnsi"/>
                <w:sz w:val="22"/>
                <w:szCs w:val="22"/>
              </w:rPr>
              <w:t>Promicanje korištenja inovativnih informacijskih i komunikacijskih tehnologija (I</w:t>
            </w:r>
            <w:r w:rsidR="008959CD" w:rsidRPr="00B255F7">
              <w:rPr>
                <w:rFonts w:cstheme="minorHAnsi"/>
                <w:sz w:val="22"/>
                <w:szCs w:val="22"/>
              </w:rPr>
              <w:t>K</w:t>
            </w:r>
            <w:r w:rsidRPr="00B255F7">
              <w:rPr>
                <w:rFonts w:cstheme="minorHAnsi"/>
                <w:sz w:val="22"/>
                <w:szCs w:val="22"/>
              </w:rPr>
              <w:t>T) radi smanjenja emisija stakleničkih plinova</w:t>
            </w:r>
          </w:p>
        </w:tc>
        <w:tc>
          <w:tcPr>
            <w:tcW w:w="1683" w:type="pct"/>
          </w:tcPr>
          <w:p w14:paraId="0176E4F8" w14:textId="3C1E387C" w:rsidR="00EE1DD4" w:rsidRPr="00B255F7" w:rsidRDefault="00BD4E92" w:rsidP="00AE4D7E">
            <w:pPr>
              <w:pStyle w:val="Default"/>
              <w:jc w:val="both"/>
              <w:rPr>
                <w:rFonts w:cstheme="minorHAnsi"/>
                <w:sz w:val="22"/>
                <w:szCs w:val="22"/>
              </w:rPr>
            </w:pPr>
            <w:r w:rsidRPr="00B255F7">
              <w:rPr>
                <w:rFonts w:cstheme="minorHAnsi"/>
                <w:sz w:val="22"/>
                <w:szCs w:val="22"/>
              </w:rPr>
              <w:t>Zakon o energetskoj učinkovitosti (</w:t>
            </w:r>
            <w:r w:rsidR="00484458">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484458">
              <w:rPr>
                <w:rFonts w:cstheme="minorHAnsi"/>
                <w:sz w:val="22"/>
                <w:szCs w:val="22"/>
              </w:rPr>
              <w:t>“</w:t>
            </w:r>
            <w:r w:rsidR="00071A4F" w:rsidRPr="00B255F7">
              <w:rPr>
                <w:rFonts w:cstheme="minorHAnsi"/>
                <w:sz w:val="22"/>
                <w:szCs w:val="22"/>
              </w:rPr>
              <w:t>, br</w:t>
            </w:r>
            <w:r w:rsidR="00EE1897">
              <w:rPr>
                <w:rFonts w:cstheme="minorHAnsi"/>
                <w:sz w:val="22"/>
                <w:szCs w:val="22"/>
              </w:rPr>
              <w:t>.</w:t>
            </w:r>
            <w:r w:rsidRPr="00B255F7">
              <w:rPr>
                <w:rFonts w:cstheme="minorHAnsi"/>
                <w:sz w:val="22"/>
                <w:szCs w:val="22"/>
              </w:rPr>
              <w:t xml:space="preserve"> </w:t>
            </w:r>
            <w:r w:rsidR="00EA06D7" w:rsidRPr="00B255F7">
              <w:rPr>
                <w:rFonts w:cstheme="minorHAnsi"/>
                <w:sz w:val="22"/>
                <w:szCs w:val="22"/>
              </w:rPr>
              <w:t>127</w:t>
            </w:r>
            <w:r w:rsidR="005B41DA" w:rsidRPr="00B255F7">
              <w:rPr>
                <w:rFonts w:cstheme="minorHAnsi"/>
                <w:sz w:val="22"/>
                <w:szCs w:val="22"/>
              </w:rPr>
              <w:t>/14</w:t>
            </w:r>
            <w:r w:rsidR="00484458">
              <w:rPr>
                <w:rFonts w:cstheme="minorHAnsi"/>
                <w:sz w:val="22"/>
                <w:szCs w:val="22"/>
              </w:rPr>
              <w:t>.</w:t>
            </w:r>
            <w:r w:rsidR="00EA06D7" w:rsidRPr="00B255F7">
              <w:rPr>
                <w:rFonts w:cstheme="minorHAnsi"/>
                <w:sz w:val="22"/>
                <w:szCs w:val="22"/>
              </w:rPr>
              <w:t>, 116</w:t>
            </w:r>
            <w:r w:rsidR="005B41DA" w:rsidRPr="00B255F7">
              <w:rPr>
                <w:rFonts w:cstheme="minorHAnsi"/>
                <w:sz w:val="22"/>
                <w:szCs w:val="22"/>
              </w:rPr>
              <w:t>/18</w:t>
            </w:r>
            <w:r w:rsidR="00484458">
              <w:rPr>
                <w:rFonts w:cstheme="minorHAnsi"/>
                <w:sz w:val="22"/>
                <w:szCs w:val="22"/>
              </w:rPr>
              <w:t>.</w:t>
            </w:r>
            <w:r w:rsidR="00EA06D7" w:rsidRPr="00B255F7">
              <w:rPr>
                <w:rFonts w:cstheme="minorHAnsi"/>
                <w:sz w:val="22"/>
                <w:szCs w:val="22"/>
              </w:rPr>
              <w:t>, 25/20</w:t>
            </w:r>
            <w:r w:rsidR="00484458">
              <w:rPr>
                <w:rFonts w:cstheme="minorHAnsi"/>
                <w:sz w:val="22"/>
                <w:szCs w:val="22"/>
              </w:rPr>
              <w:t>.</w:t>
            </w:r>
            <w:r w:rsidR="00EA06D7" w:rsidRPr="00B255F7">
              <w:rPr>
                <w:rFonts w:cstheme="minorHAnsi"/>
                <w:sz w:val="22"/>
                <w:szCs w:val="22"/>
              </w:rPr>
              <w:t xml:space="preserve"> </w:t>
            </w:r>
            <w:r w:rsidR="00314538" w:rsidRPr="00B255F7">
              <w:rPr>
                <w:rFonts w:cstheme="minorHAnsi"/>
                <w:sz w:val="22"/>
                <w:szCs w:val="22"/>
              </w:rPr>
              <w:t>i 41</w:t>
            </w:r>
            <w:r w:rsidR="005B41DA" w:rsidRPr="00B255F7">
              <w:rPr>
                <w:rFonts w:cstheme="minorHAnsi"/>
                <w:sz w:val="22"/>
                <w:szCs w:val="22"/>
              </w:rPr>
              <w:t>/21</w:t>
            </w:r>
            <w:r w:rsidR="00484458">
              <w:rPr>
                <w:rFonts w:cstheme="minorHAnsi"/>
                <w:sz w:val="22"/>
                <w:szCs w:val="22"/>
              </w:rPr>
              <w:t>.</w:t>
            </w:r>
            <w:r w:rsidR="00EA06D7" w:rsidRPr="00B255F7">
              <w:rPr>
                <w:rFonts w:cstheme="minorHAnsi"/>
                <w:sz w:val="22"/>
                <w:szCs w:val="22"/>
              </w:rPr>
              <w:t>)</w:t>
            </w:r>
          </w:p>
        </w:tc>
        <w:tc>
          <w:tcPr>
            <w:tcW w:w="1708" w:type="pct"/>
          </w:tcPr>
          <w:p w14:paraId="493AA1FC" w14:textId="5491EFC1" w:rsidR="00EE1DD4" w:rsidRPr="00B255F7" w:rsidRDefault="0070212E" w:rsidP="00AE4D7E">
            <w:pPr>
              <w:pStyle w:val="Default"/>
              <w:jc w:val="both"/>
              <w:rPr>
                <w:rFonts w:cstheme="minorHAnsi"/>
                <w:sz w:val="22"/>
                <w:szCs w:val="22"/>
              </w:rPr>
            </w:pPr>
            <w:r w:rsidRPr="00B255F7">
              <w:rPr>
                <w:rFonts w:cstheme="minorHAnsi"/>
                <w:sz w:val="22"/>
                <w:szCs w:val="22"/>
              </w:rPr>
              <w:t>Inovativne informacijske i komunikacijske tehnologije imaju sve važniju ulogu u smanjenju emisija stakleničkih plinova i povećanju energetske učinkovitosti. Intenziviranjem njihovog korištenja u javnoj upravi, uslugama i proizvodnim procesima povećat će se produktivnost i učinkovitost rada te istovremeno smanjiti potrošnja energije i posljedične emisije stakleničkih plinova. Očekuje se kako će mjera povećati korištenje inovativnih I</w:t>
            </w:r>
            <w:r w:rsidR="008959CD" w:rsidRPr="00B255F7">
              <w:rPr>
                <w:rFonts w:cstheme="minorHAnsi"/>
                <w:sz w:val="22"/>
                <w:szCs w:val="22"/>
              </w:rPr>
              <w:t>K</w:t>
            </w:r>
            <w:r w:rsidRPr="00B255F7">
              <w:rPr>
                <w:rFonts w:cstheme="minorHAnsi"/>
                <w:sz w:val="22"/>
                <w:szCs w:val="22"/>
              </w:rPr>
              <w:t>T i praćenje stvarnih ušteda energije te smanjenja emisija stakleničkih plinova.</w:t>
            </w:r>
          </w:p>
        </w:tc>
      </w:tr>
      <w:tr w:rsidR="00F16666" w:rsidRPr="00B255F7" w14:paraId="6299797A" w14:textId="77777777" w:rsidTr="63259912">
        <w:tc>
          <w:tcPr>
            <w:tcW w:w="1609" w:type="pct"/>
          </w:tcPr>
          <w:p w14:paraId="177FE9CC" w14:textId="6FD25834" w:rsidR="00F16666" w:rsidRPr="00B255F7" w:rsidRDefault="00F16666" w:rsidP="00AE4D7E">
            <w:pPr>
              <w:pStyle w:val="Default"/>
              <w:jc w:val="both"/>
              <w:rPr>
                <w:rFonts w:cstheme="minorHAnsi"/>
                <w:b/>
                <w:sz w:val="22"/>
                <w:szCs w:val="22"/>
                <w:highlight w:val="yellow"/>
              </w:rPr>
            </w:pPr>
            <w:r w:rsidRPr="00B255F7">
              <w:rPr>
                <w:rFonts w:cstheme="minorHAnsi"/>
                <w:sz w:val="22"/>
                <w:szCs w:val="22"/>
              </w:rPr>
              <w:t>Europski sustav trgovanja emisijskim jedinicama</w:t>
            </w:r>
          </w:p>
        </w:tc>
        <w:tc>
          <w:tcPr>
            <w:tcW w:w="1683" w:type="pct"/>
          </w:tcPr>
          <w:p w14:paraId="2138ECC3" w14:textId="12B1430C" w:rsidR="00F16666" w:rsidRPr="00B255F7" w:rsidRDefault="0056229D" w:rsidP="00AE4D7E">
            <w:pPr>
              <w:pStyle w:val="Default"/>
              <w:jc w:val="both"/>
              <w:rPr>
                <w:rFonts w:cstheme="minorHAnsi"/>
                <w:sz w:val="22"/>
                <w:szCs w:val="22"/>
                <w:highlight w:val="yellow"/>
              </w:rPr>
            </w:pPr>
            <w:r w:rsidRPr="00B255F7">
              <w:rPr>
                <w:rFonts w:cstheme="minorHAnsi"/>
                <w:sz w:val="22"/>
                <w:szCs w:val="22"/>
              </w:rPr>
              <w:t>Zakon o klimatskim promjenama i zaštiti ozonskog sloja (</w:t>
            </w:r>
            <w:r w:rsidR="00920C47">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920C47">
              <w:rPr>
                <w:rFonts w:cstheme="minorHAnsi"/>
                <w:sz w:val="22"/>
                <w:szCs w:val="22"/>
              </w:rPr>
              <w:t>“</w:t>
            </w:r>
            <w:r w:rsidR="00071A4F" w:rsidRPr="00B255F7">
              <w:rPr>
                <w:rFonts w:cstheme="minorHAnsi"/>
                <w:sz w:val="22"/>
                <w:szCs w:val="22"/>
              </w:rPr>
              <w:t xml:space="preserve">, </w:t>
            </w:r>
            <w:r w:rsidR="00EE1897" w:rsidRPr="00B255F7">
              <w:rPr>
                <w:rFonts w:cstheme="minorHAnsi"/>
                <w:sz w:val="22"/>
                <w:szCs w:val="22"/>
              </w:rPr>
              <w:t>br</w:t>
            </w:r>
            <w:r w:rsidR="00EE1897">
              <w:rPr>
                <w:rFonts w:cstheme="minorHAnsi"/>
                <w:sz w:val="22"/>
                <w:szCs w:val="22"/>
              </w:rPr>
              <w:t>.</w:t>
            </w:r>
            <w:r w:rsidR="00EE1897" w:rsidRPr="00B255F7">
              <w:rPr>
                <w:rFonts w:cstheme="minorHAnsi"/>
                <w:sz w:val="22"/>
                <w:szCs w:val="22"/>
              </w:rPr>
              <w:t xml:space="preserve"> </w:t>
            </w:r>
            <w:r w:rsidRPr="00B255F7">
              <w:rPr>
                <w:rFonts w:cstheme="minorHAnsi"/>
                <w:sz w:val="22"/>
                <w:szCs w:val="22"/>
              </w:rPr>
              <w:t>127</w:t>
            </w:r>
            <w:r w:rsidR="005B41DA" w:rsidRPr="00B255F7">
              <w:rPr>
                <w:rFonts w:cstheme="minorHAnsi"/>
                <w:sz w:val="22"/>
                <w:szCs w:val="22"/>
              </w:rPr>
              <w:t>/19</w:t>
            </w:r>
            <w:r w:rsidR="00920C47">
              <w:rPr>
                <w:rFonts w:cstheme="minorHAnsi"/>
                <w:sz w:val="22"/>
                <w:szCs w:val="22"/>
              </w:rPr>
              <w:t>.</w:t>
            </w:r>
            <w:r w:rsidR="00412098" w:rsidRPr="00B255F7">
              <w:rPr>
                <w:rFonts w:cstheme="minorHAnsi"/>
                <w:sz w:val="22"/>
                <w:szCs w:val="22"/>
              </w:rPr>
              <w:t xml:space="preserve">), </w:t>
            </w:r>
            <w:r w:rsidR="00691746" w:rsidRPr="00B255F7">
              <w:rPr>
                <w:rFonts w:cstheme="minorHAnsi"/>
                <w:sz w:val="22"/>
                <w:szCs w:val="22"/>
              </w:rPr>
              <w:t>Uredba o načinu trgovanja emisijskim jedinicama stakleničkih plinova</w:t>
            </w:r>
            <w:r w:rsidR="00A41DBE" w:rsidRPr="00B255F7">
              <w:rPr>
                <w:rFonts w:cstheme="minorHAnsi"/>
                <w:sz w:val="22"/>
                <w:szCs w:val="22"/>
              </w:rPr>
              <w:t xml:space="preserve"> (</w:t>
            </w:r>
            <w:r w:rsidR="00920C47">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920C47">
              <w:rPr>
                <w:rFonts w:cstheme="minorHAnsi"/>
                <w:sz w:val="22"/>
                <w:szCs w:val="22"/>
              </w:rPr>
              <w:t>“</w:t>
            </w:r>
            <w:r w:rsidR="00071A4F" w:rsidRPr="00B255F7">
              <w:rPr>
                <w:rFonts w:cstheme="minorHAnsi"/>
                <w:sz w:val="22"/>
                <w:szCs w:val="22"/>
              </w:rPr>
              <w:t xml:space="preserve">, </w:t>
            </w:r>
            <w:r w:rsidR="00EE1897" w:rsidRPr="00B255F7">
              <w:rPr>
                <w:rFonts w:cstheme="minorHAnsi"/>
                <w:sz w:val="22"/>
                <w:szCs w:val="22"/>
              </w:rPr>
              <w:t>br</w:t>
            </w:r>
            <w:r w:rsidR="00EE1897">
              <w:rPr>
                <w:rFonts w:cstheme="minorHAnsi"/>
                <w:sz w:val="22"/>
                <w:szCs w:val="22"/>
              </w:rPr>
              <w:t>.</w:t>
            </w:r>
            <w:r w:rsidR="00EE1897" w:rsidRPr="00B255F7">
              <w:rPr>
                <w:rFonts w:cstheme="minorHAnsi"/>
                <w:sz w:val="22"/>
                <w:szCs w:val="22"/>
              </w:rPr>
              <w:t xml:space="preserve"> </w:t>
            </w:r>
            <w:r w:rsidR="00A41DBE" w:rsidRPr="00B255F7">
              <w:rPr>
                <w:rFonts w:cstheme="minorHAnsi"/>
                <w:sz w:val="22"/>
                <w:szCs w:val="22"/>
              </w:rPr>
              <w:t>89/20</w:t>
            </w:r>
            <w:r w:rsidR="00920C47">
              <w:rPr>
                <w:rFonts w:cstheme="minorHAnsi"/>
                <w:sz w:val="22"/>
                <w:szCs w:val="22"/>
              </w:rPr>
              <w:t>.</w:t>
            </w:r>
            <w:r w:rsidR="00A41DBE" w:rsidRPr="00B255F7">
              <w:rPr>
                <w:rFonts w:cstheme="minorHAnsi"/>
                <w:sz w:val="22"/>
                <w:szCs w:val="22"/>
              </w:rPr>
              <w:t>)</w:t>
            </w:r>
            <w:r w:rsidR="00691746" w:rsidRPr="00B255F7">
              <w:rPr>
                <w:rFonts w:cstheme="minorHAnsi"/>
                <w:sz w:val="22"/>
                <w:szCs w:val="22"/>
              </w:rPr>
              <w:t xml:space="preserve"> i Pravilnik o načinu besplatne dodjele emisijskih jedinica postrojenjima i o praćenju, izvješćivanju i verifikaciji izvješća o emisijama stakleničkih plinova iz </w:t>
            </w:r>
            <w:r w:rsidR="00691746" w:rsidRPr="00B255F7">
              <w:rPr>
                <w:rFonts w:cstheme="minorHAnsi"/>
                <w:sz w:val="22"/>
                <w:szCs w:val="22"/>
              </w:rPr>
              <w:lastRenderedPageBreak/>
              <w:t xml:space="preserve">postrojenja i zrakoplova </w:t>
            </w:r>
            <w:r w:rsidR="00A41DBE" w:rsidRPr="00B255F7">
              <w:rPr>
                <w:rFonts w:cstheme="minorHAnsi"/>
                <w:sz w:val="22"/>
                <w:szCs w:val="22"/>
              </w:rPr>
              <w:t>(</w:t>
            </w:r>
            <w:r w:rsidR="00920C47">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920C47">
              <w:rPr>
                <w:rFonts w:cstheme="minorHAnsi"/>
                <w:sz w:val="22"/>
                <w:szCs w:val="22"/>
              </w:rPr>
              <w:t>“</w:t>
            </w:r>
            <w:r w:rsidR="00071A4F" w:rsidRPr="00B255F7">
              <w:rPr>
                <w:rFonts w:cstheme="minorHAnsi"/>
                <w:sz w:val="22"/>
                <w:szCs w:val="22"/>
              </w:rPr>
              <w:t xml:space="preserve">, </w:t>
            </w:r>
            <w:r w:rsidR="00EE1897" w:rsidRPr="00B255F7">
              <w:rPr>
                <w:rFonts w:cstheme="minorHAnsi"/>
                <w:sz w:val="22"/>
                <w:szCs w:val="22"/>
              </w:rPr>
              <w:t>br</w:t>
            </w:r>
            <w:r w:rsidR="00EE1897">
              <w:rPr>
                <w:rFonts w:cstheme="minorHAnsi"/>
                <w:sz w:val="22"/>
                <w:szCs w:val="22"/>
              </w:rPr>
              <w:t>.</w:t>
            </w:r>
            <w:r w:rsidR="00EE1897" w:rsidRPr="00B255F7">
              <w:rPr>
                <w:rFonts w:cstheme="minorHAnsi"/>
                <w:sz w:val="22"/>
                <w:szCs w:val="22"/>
              </w:rPr>
              <w:t xml:space="preserve"> </w:t>
            </w:r>
            <w:r w:rsidR="00691746" w:rsidRPr="00B255F7">
              <w:rPr>
                <w:rFonts w:cstheme="minorHAnsi"/>
                <w:sz w:val="22"/>
                <w:szCs w:val="22"/>
              </w:rPr>
              <w:t>89/20</w:t>
            </w:r>
            <w:r w:rsidR="00920C47">
              <w:rPr>
                <w:rFonts w:cstheme="minorHAnsi"/>
                <w:sz w:val="22"/>
                <w:szCs w:val="22"/>
              </w:rPr>
              <w:t>.</w:t>
            </w:r>
            <w:r w:rsidR="00A41DBE" w:rsidRPr="00B255F7">
              <w:rPr>
                <w:rFonts w:cstheme="minorHAnsi"/>
                <w:sz w:val="22"/>
                <w:szCs w:val="22"/>
              </w:rPr>
              <w:t>)</w:t>
            </w:r>
          </w:p>
        </w:tc>
        <w:tc>
          <w:tcPr>
            <w:tcW w:w="1708" w:type="pct"/>
          </w:tcPr>
          <w:p w14:paraId="1FDFAA6A" w14:textId="7A1A1915" w:rsidR="00F16666" w:rsidRPr="00B255F7" w:rsidRDefault="0070212E" w:rsidP="00AE4D7E">
            <w:pPr>
              <w:pStyle w:val="Default"/>
              <w:jc w:val="both"/>
              <w:rPr>
                <w:rFonts w:cstheme="minorHAnsi"/>
                <w:sz w:val="22"/>
                <w:szCs w:val="22"/>
                <w:highlight w:val="yellow"/>
              </w:rPr>
            </w:pPr>
            <w:r w:rsidRPr="00B255F7">
              <w:rPr>
                <w:rFonts w:cstheme="minorHAnsi"/>
                <w:sz w:val="22"/>
                <w:szCs w:val="22"/>
              </w:rPr>
              <w:lastRenderedPageBreak/>
              <w:t xml:space="preserve">Kroz ravnomjernu raspodjelu emisijskih jedinica obveze za </w:t>
            </w:r>
            <w:r w:rsidR="00531B15" w:rsidRPr="00B255F7">
              <w:rPr>
                <w:rFonts w:cstheme="minorHAnsi"/>
                <w:sz w:val="22"/>
                <w:szCs w:val="22"/>
              </w:rPr>
              <w:t>smanjenje emisija</w:t>
            </w:r>
            <w:r w:rsidRPr="00B255F7">
              <w:rPr>
                <w:rFonts w:cstheme="minorHAnsi"/>
                <w:sz w:val="22"/>
                <w:szCs w:val="22"/>
              </w:rPr>
              <w:t xml:space="preserve"> podijeljene su </w:t>
            </w:r>
            <w:r w:rsidR="001C2E8C" w:rsidRPr="00B255F7">
              <w:rPr>
                <w:rFonts w:cstheme="minorHAnsi"/>
                <w:sz w:val="22"/>
                <w:szCs w:val="22"/>
              </w:rPr>
              <w:t xml:space="preserve">sudionicima </w:t>
            </w:r>
            <w:r w:rsidR="005D0166" w:rsidRPr="00B255F7">
              <w:rPr>
                <w:rFonts w:cstheme="minorHAnsi"/>
                <w:sz w:val="22"/>
                <w:szCs w:val="22"/>
              </w:rPr>
              <w:t xml:space="preserve">sustava iz </w:t>
            </w:r>
            <w:r w:rsidRPr="00B255F7">
              <w:rPr>
                <w:rFonts w:cstheme="minorHAnsi"/>
                <w:sz w:val="22"/>
                <w:szCs w:val="22"/>
              </w:rPr>
              <w:t>svi</w:t>
            </w:r>
            <w:r w:rsidR="005D0166" w:rsidRPr="00B255F7">
              <w:rPr>
                <w:rFonts w:cstheme="minorHAnsi"/>
                <w:sz w:val="22"/>
                <w:szCs w:val="22"/>
              </w:rPr>
              <w:t>h</w:t>
            </w:r>
            <w:r w:rsidRPr="00B255F7">
              <w:rPr>
                <w:rFonts w:cstheme="minorHAnsi"/>
                <w:sz w:val="22"/>
                <w:szCs w:val="22"/>
              </w:rPr>
              <w:t xml:space="preserve"> država članica s ciljem doprinosa smanjenju emisija </w:t>
            </w:r>
            <w:r w:rsidR="003B5505" w:rsidRPr="00B255F7">
              <w:rPr>
                <w:rFonts w:cstheme="minorHAnsi"/>
                <w:sz w:val="22"/>
                <w:szCs w:val="22"/>
              </w:rPr>
              <w:t xml:space="preserve">na razini EU </w:t>
            </w:r>
            <w:r w:rsidRPr="00B255F7">
              <w:rPr>
                <w:rFonts w:cstheme="minorHAnsi"/>
                <w:sz w:val="22"/>
                <w:szCs w:val="22"/>
              </w:rPr>
              <w:t xml:space="preserve">za </w:t>
            </w:r>
            <w:r w:rsidR="00A77954" w:rsidRPr="00B255F7">
              <w:rPr>
                <w:rFonts w:cstheme="minorHAnsi"/>
                <w:sz w:val="22"/>
                <w:szCs w:val="22"/>
              </w:rPr>
              <w:t xml:space="preserve">najmanje </w:t>
            </w:r>
            <w:r w:rsidR="00251122" w:rsidRPr="00B255F7">
              <w:rPr>
                <w:rFonts w:cstheme="minorHAnsi"/>
                <w:sz w:val="22"/>
                <w:szCs w:val="22"/>
              </w:rPr>
              <w:t>62</w:t>
            </w:r>
            <w:r w:rsidR="00BF1588">
              <w:rPr>
                <w:rFonts w:cstheme="minorHAnsi"/>
                <w:sz w:val="22"/>
                <w:szCs w:val="22"/>
              </w:rPr>
              <w:t> </w:t>
            </w:r>
            <w:r w:rsidRPr="00B255F7">
              <w:rPr>
                <w:rFonts w:cstheme="minorHAnsi"/>
                <w:sz w:val="22"/>
                <w:szCs w:val="22"/>
              </w:rPr>
              <w:t>% do 20</w:t>
            </w:r>
            <w:r w:rsidR="00A77954" w:rsidRPr="00B255F7">
              <w:rPr>
                <w:rFonts w:cstheme="minorHAnsi"/>
                <w:sz w:val="22"/>
                <w:szCs w:val="22"/>
              </w:rPr>
              <w:t>3</w:t>
            </w:r>
            <w:r w:rsidRPr="00B255F7">
              <w:rPr>
                <w:rFonts w:cstheme="minorHAnsi"/>
                <w:sz w:val="22"/>
                <w:szCs w:val="22"/>
              </w:rPr>
              <w:t>0. godine u odnosu na razinu iz 2005. godine.</w:t>
            </w:r>
          </w:p>
        </w:tc>
      </w:tr>
      <w:tr w:rsidR="002D4571" w:rsidRPr="00B255F7" w14:paraId="454F67D9" w14:textId="77777777" w:rsidTr="63259912">
        <w:tc>
          <w:tcPr>
            <w:tcW w:w="1609" w:type="pct"/>
          </w:tcPr>
          <w:p w14:paraId="335FEEB5" w14:textId="4387ABAB" w:rsidR="002D4571" w:rsidRPr="00B255F7" w:rsidRDefault="0068709B" w:rsidP="00AE4D7E">
            <w:pPr>
              <w:pStyle w:val="Default"/>
              <w:jc w:val="both"/>
              <w:rPr>
                <w:rFonts w:cstheme="minorHAnsi"/>
                <w:b/>
                <w:sz w:val="22"/>
                <w:szCs w:val="22"/>
                <w:highlight w:val="yellow"/>
              </w:rPr>
            </w:pPr>
            <w:r w:rsidRPr="00B255F7">
              <w:rPr>
                <w:rFonts w:cstheme="minorHAnsi"/>
                <w:sz w:val="22"/>
                <w:szCs w:val="22"/>
              </w:rPr>
              <w:t>Porez na emisiju CO</w:t>
            </w:r>
            <w:r w:rsidRPr="00B255F7">
              <w:rPr>
                <w:rFonts w:cstheme="minorHAnsi"/>
                <w:sz w:val="22"/>
                <w:szCs w:val="22"/>
                <w:vertAlign w:val="subscript"/>
              </w:rPr>
              <w:t>2</w:t>
            </w:r>
            <w:r w:rsidRPr="00B255F7">
              <w:rPr>
                <w:rFonts w:cstheme="minorHAnsi"/>
                <w:sz w:val="22"/>
                <w:szCs w:val="22"/>
              </w:rPr>
              <w:t xml:space="preserve"> za stacionarne izvore koji nisu u EU ETS-u</w:t>
            </w:r>
          </w:p>
        </w:tc>
        <w:tc>
          <w:tcPr>
            <w:tcW w:w="1683" w:type="pct"/>
          </w:tcPr>
          <w:p w14:paraId="02557764" w14:textId="7281AA71" w:rsidR="002D4571" w:rsidRPr="00B255F7" w:rsidRDefault="0068709B" w:rsidP="00AE4D7E">
            <w:pPr>
              <w:pStyle w:val="Default"/>
              <w:jc w:val="both"/>
              <w:rPr>
                <w:rFonts w:cstheme="minorHAnsi"/>
                <w:sz w:val="22"/>
                <w:szCs w:val="22"/>
                <w:highlight w:val="yellow"/>
              </w:rPr>
            </w:pPr>
            <w:r w:rsidRPr="00B255F7">
              <w:rPr>
                <w:rFonts w:cstheme="minorHAnsi"/>
                <w:sz w:val="22"/>
                <w:szCs w:val="22"/>
              </w:rPr>
              <w:t>Uredba o jediničnim naknadama, korektivnim koeficijentima i pobližim kriterijima i mjerilima za utvrđivanje naknade na emisiju u okoliš ugljikovog dioksida (</w:t>
            </w:r>
            <w:r w:rsidR="00920C47">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920C47">
              <w:rPr>
                <w:rFonts w:cstheme="minorHAnsi"/>
                <w:sz w:val="22"/>
                <w:szCs w:val="22"/>
              </w:rPr>
              <w:t>“</w:t>
            </w:r>
            <w:r w:rsidR="00071A4F" w:rsidRPr="00B255F7">
              <w:rPr>
                <w:rFonts w:cstheme="minorHAnsi"/>
                <w:sz w:val="22"/>
                <w:szCs w:val="22"/>
              </w:rPr>
              <w:t>, br</w:t>
            </w:r>
            <w:r w:rsidR="00EE1897">
              <w:rPr>
                <w:rFonts w:cstheme="minorHAnsi"/>
                <w:sz w:val="22"/>
                <w:szCs w:val="22"/>
              </w:rPr>
              <w:t>.</w:t>
            </w:r>
            <w:r w:rsidRPr="00B255F7">
              <w:rPr>
                <w:rFonts w:cstheme="minorHAnsi"/>
                <w:sz w:val="22"/>
                <w:szCs w:val="22"/>
              </w:rPr>
              <w:t xml:space="preserve"> 73/07</w:t>
            </w:r>
            <w:r w:rsidR="00920C47">
              <w:rPr>
                <w:rFonts w:cstheme="minorHAnsi"/>
                <w:sz w:val="22"/>
                <w:szCs w:val="22"/>
              </w:rPr>
              <w:t>.</w:t>
            </w:r>
            <w:r w:rsidRPr="00B255F7">
              <w:rPr>
                <w:rFonts w:cstheme="minorHAnsi"/>
                <w:sz w:val="22"/>
                <w:szCs w:val="22"/>
              </w:rPr>
              <w:t>, 48/09</w:t>
            </w:r>
            <w:r w:rsidR="00920C47">
              <w:rPr>
                <w:rFonts w:cstheme="minorHAnsi"/>
                <w:sz w:val="22"/>
                <w:szCs w:val="22"/>
              </w:rPr>
              <w:t>.</w:t>
            </w:r>
            <w:r w:rsidRPr="00B255F7">
              <w:rPr>
                <w:rFonts w:cstheme="minorHAnsi"/>
                <w:sz w:val="22"/>
                <w:szCs w:val="22"/>
              </w:rPr>
              <w:t>, 2</w:t>
            </w:r>
            <w:r w:rsidR="005B41DA" w:rsidRPr="00B255F7">
              <w:rPr>
                <w:rFonts w:cstheme="minorHAnsi"/>
                <w:sz w:val="22"/>
                <w:szCs w:val="22"/>
              </w:rPr>
              <w:t>/18</w:t>
            </w:r>
            <w:r w:rsidR="00920C47">
              <w:rPr>
                <w:rFonts w:cstheme="minorHAnsi"/>
                <w:sz w:val="22"/>
                <w:szCs w:val="22"/>
              </w:rPr>
              <w:t>. i</w:t>
            </w:r>
            <w:r w:rsidR="008A7A62" w:rsidRPr="00B255F7">
              <w:rPr>
                <w:rFonts w:cstheme="minorHAnsi"/>
                <w:sz w:val="22"/>
                <w:szCs w:val="22"/>
              </w:rPr>
              <w:t xml:space="preserve"> 46</w:t>
            </w:r>
            <w:r w:rsidR="005B41DA" w:rsidRPr="00B255F7">
              <w:rPr>
                <w:rFonts w:cstheme="minorHAnsi"/>
                <w:sz w:val="22"/>
                <w:szCs w:val="22"/>
              </w:rPr>
              <w:t>/21</w:t>
            </w:r>
            <w:r w:rsidR="00920C47">
              <w:rPr>
                <w:rFonts w:cstheme="minorHAnsi"/>
                <w:sz w:val="22"/>
                <w:szCs w:val="22"/>
              </w:rPr>
              <w:t>.</w:t>
            </w:r>
            <w:r w:rsidRPr="00B255F7">
              <w:rPr>
                <w:rFonts w:cstheme="minorHAnsi"/>
                <w:sz w:val="22"/>
                <w:szCs w:val="22"/>
              </w:rPr>
              <w:t>)</w:t>
            </w:r>
          </w:p>
        </w:tc>
        <w:tc>
          <w:tcPr>
            <w:tcW w:w="1708" w:type="pct"/>
          </w:tcPr>
          <w:p w14:paraId="23D1DE71" w14:textId="4C0126DF" w:rsidR="002D4571" w:rsidRPr="00B255F7" w:rsidRDefault="00B728AB" w:rsidP="00AE4D7E">
            <w:pPr>
              <w:pStyle w:val="Default"/>
              <w:jc w:val="both"/>
              <w:rPr>
                <w:rFonts w:cstheme="minorHAnsi"/>
                <w:sz w:val="22"/>
                <w:szCs w:val="22"/>
                <w:highlight w:val="yellow"/>
              </w:rPr>
            </w:pPr>
            <w:r w:rsidRPr="00B255F7">
              <w:rPr>
                <w:rFonts w:cstheme="minorHAnsi"/>
                <w:sz w:val="22"/>
                <w:szCs w:val="22"/>
              </w:rPr>
              <w:t>Uredba o jediničnim naknadama, korektivnim koeficijentima i pobližim kriterijima i mjerilima za utvrđivanje naknade na emisiju u okoliš ugljikovog dioksida (</w:t>
            </w:r>
            <w:r w:rsidR="0063168B">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63168B">
              <w:rPr>
                <w:rFonts w:cstheme="minorHAnsi"/>
                <w:sz w:val="22"/>
                <w:szCs w:val="22"/>
              </w:rPr>
              <w:t>“</w:t>
            </w:r>
            <w:r w:rsidR="00071A4F" w:rsidRPr="00B255F7">
              <w:rPr>
                <w:rFonts w:cstheme="minorHAnsi"/>
                <w:sz w:val="22"/>
                <w:szCs w:val="22"/>
              </w:rPr>
              <w:t>, br</w:t>
            </w:r>
            <w:r w:rsidR="00EE1897">
              <w:rPr>
                <w:rFonts w:cstheme="minorHAnsi"/>
                <w:sz w:val="22"/>
                <w:szCs w:val="22"/>
              </w:rPr>
              <w:t xml:space="preserve">. </w:t>
            </w:r>
            <w:r w:rsidRPr="00B255F7">
              <w:rPr>
                <w:rFonts w:cstheme="minorHAnsi"/>
                <w:sz w:val="22"/>
                <w:szCs w:val="22"/>
              </w:rPr>
              <w:t>73/07</w:t>
            </w:r>
            <w:r w:rsidR="0063168B">
              <w:rPr>
                <w:rFonts w:cstheme="minorHAnsi"/>
                <w:sz w:val="22"/>
                <w:szCs w:val="22"/>
              </w:rPr>
              <w:t>.</w:t>
            </w:r>
            <w:r w:rsidRPr="00B255F7">
              <w:rPr>
                <w:rFonts w:cstheme="minorHAnsi"/>
                <w:sz w:val="22"/>
                <w:szCs w:val="22"/>
              </w:rPr>
              <w:t>, 48/09</w:t>
            </w:r>
            <w:r w:rsidR="0063168B">
              <w:rPr>
                <w:rFonts w:cstheme="minorHAnsi"/>
                <w:sz w:val="22"/>
                <w:szCs w:val="22"/>
              </w:rPr>
              <w:t>.</w:t>
            </w:r>
            <w:r w:rsidRPr="00B255F7">
              <w:rPr>
                <w:rFonts w:cstheme="minorHAnsi"/>
                <w:sz w:val="22"/>
                <w:szCs w:val="22"/>
              </w:rPr>
              <w:t>, 2/18</w:t>
            </w:r>
            <w:r w:rsidR="0063168B">
              <w:rPr>
                <w:rFonts w:cstheme="minorHAnsi"/>
                <w:sz w:val="22"/>
                <w:szCs w:val="22"/>
              </w:rPr>
              <w:t>. i</w:t>
            </w:r>
            <w:r w:rsidR="008A7A62" w:rsidRPr="00B255F7">
              <w:rPr>
                <w:rFonts w:cstheme="minorHAnsi"/>
                <w:sz w:val="22"/>
                <w:szCs w:val="22"/>
              </w:rPr>
              <w:t xml:space="preserve"> 46/21</w:t>
            </w:r>
            <w:r w:rsidR="0063168B">
              <w:rPr>
                <w:rFonts w:cstheme="minorHAnsi"/>
                <w:sz w:val="22"/>
                <w:szCs w:val="22"/>
              </w:rPr>
              <w:t>.</w:t>
            </w:r>
            <w:r w:rsidRPr="00B255F7">
              <w:rPr>
                <w:rFonts w:cstheme="minorHAnsi"/>
                <w:sz w:val="22"/>
                <w:szCs w:val="22"/>
              </w:rPr>
              <w:t>) propisuje obvezu plaćanja naknade na emisiju CO</w:t>
            </w:r>
            <w:r w:rsidRPr="00B255F7">
              <w:rPr>
                <w:rFonts w:cstheme="minorHAnsi"/>
                <w:sz w:val="22"/>
                <w:szCs w:val="22"/>
                <w:vertAlign w:val="subscript"/>
              </w:rPr>
              <w:t>2</w:t>
            </w:r>
            <w:r w:rsidRPr="00B255F7">
              <w:rPr>
                <w:rFonts w:cstheme="minorHAnsi"/>
                <w:sz w:val="22"/>
                <w:szCs w:val="22"/>
              </w:rPr>
              <w:t xml:space="preserve"> za sve stacionarne izvore koji emitiraju više od 450 tona CO</w:t>
            </w:r>
            <w:r w:rsidRPr="00B255F7">
              <w:rPr>
                <w:rFonts w:cstheme="minorHAnsi"/>
                <w:sz w:val="22"/>
                <w:szCs w:val="22"/>
                <w:vertAlign w:val="subscript"/>
              </w:rPr>
              <w:t>2</w:t>
            </w:r>
            <w:r w:rsidRPr="00B255F7">
              <w:rPr>
                <w:rFonts w:cstheme="minorHAnsi"/>
                <w:sz w:val="22"/>
                <w:szCs w:val="22"/>
              </w:rPr>
              <w:t xml:space="preserve"> godišnje</w:t>
            </w:r>
            <w:r w:rsidR="001714F3" w:rsidRPr="00B255F7">
              <w:rPr>
                <w:rFonts w:cstheme="minorHAnsi"/>
                <w:sz w:val="22"/>
                <w:szCs w:val="22"/>
              </w:rPr>
              <w:t>.</w:t>
            </w:r>
            <w:r w:rsidR="00C10892" w:rsidRPr="00B255F7">
              <w:rPr>
                <w:rFonts w:cstheme="minorHAnsi"/>
                <w:sz w:val="22"/>
                <w:szCs w:val="22"/>
              </w:rPr>
              <w:t xml:space="preserve"> Obveznicima plaćanja naknada koji ulažu u energetsku učinkovitost, </w:t>
            </w:r>
            <w:r w:rsidR="004A37C4" w:rsidRPr="00B255F7">
              <w:rPr>
                <w:rFonts w:cstheme="minorHAnsi"/>
                <w:sz w:val="22"/>
                <w:szCs w:val="22"/>
              </w:rPr>
              <w:t xml:space="preserve">OIE </w:t>
            </w:r>
            <w:r w:rsidR="00C10892" w:rsidRPr="00B255F7">
              <w:rPr>
                <w:rFonts w:cstheme="minorHAnsi"/>
                <w:sz w:val="22"/>
                <w:szCs w:val="22"/>
              </w:rPr>
              <w:t>i druge mjere za smanjenje emisije CO</w:t>
            </w:r>
            <w:r w:rsidR="00C10892" w:rsidRPr="00B255F7">
              <w:rPr>
                <w:rFonts w:cstheme="minorHAnsi"/>
                <w:sz w:val="22"/>
                <w:szCs w:val="22"/>
                <w:vertAlign w:val="subscript"/>
              </w:rPr>
              <w:t>2</w:t>
            </w:r>
            <w:r w:rsidR="00C10892" w:rsidRPr="00B255F7">
              <w:rPr>
                <w:rFonts w:cstheme="minorHAnsi"/>
                <w:sz w:val="22"/>
                <w:szCs w:val="22"/>
              </w:rPr>
              <w:t xml:space="preserve"> i ostalih emisija stakleničkih plinova naplaćuje se niža naknada. Fond za zaštitu okoliša i energetsku učinkovitost ovlašten je za obračun i naplatu troškova. </w:t>
            </w:r>
            <w:r w:rsidR="003C17AE" w:rsidRPr="00B255F7">
              <w:rPr>
                <w:rFonts w:cstheme="minorHAnsi"/>
                <w:sz w:val="22"/>
                <w:szCs w:val="22"/>
              </w:rPr>
              <w:t xml:space="preserve">Od 2013. </w:t>
            </w:r>
            <w:r w:rsidR="0029540A">
              <w:rPr>
                <w:rFonts w:cstheme="minorHAnsi"/>
                <w:sz w:val="22"/>
                <w:szCs w:val="22"/>
              </w:rPr>
              <w:t xml:space="preserve">godine </w:t>
            </w:r>
            <w:r w:rsidR="003C17AE" w:rsidRPr="00B255F7">
              <w:rPr>
                <w:rFonts w:cstheme="minorHAnsi"/>
                <w:sz w:val="22"/>
                <w:szCs w:val="22"/>
              </w:rPr>
              <w:t>nadalje, obveza plaćanja naknade na emisiju CO</w:t>
            </w:r>
            <w:r w:rsidR="003C17AE" w:rsidRPr="00B255F7">
              <w:rPr>
                <w:rFonts w:cstheme="minorHAnsi"/>
                <w:sz w:val="22"/>
                <w:szCs w:val="22"/>
                <w:vertAlign w:val="subscript"/>
              </w:rPr>
              <w:t>2</w:t>
            </w:r>
            <w:r w:rsidR="003C17AE" w:rsidRPr="00B255F7">
              <w:rPr>
                <w:rFonts w:cstheme="minorHAnsi"/>
                <w:sz w:val="22"/>
                <w:szCs w:val="22"/>
              </w:rPr>
              <w:t xml:space="preserve"> odnosi </w:t>
            </w:r>
            <w:r w:rsidR="00BE3BC5" w:rsidRPr="00B255F7">
              <w:rPr>
                <w:rFonts w:cstheme="minorHAnsi"/>
                <w:sz w:val="22"/>
                <w:szCs w:val="22"/>
              </w:rPr>
              <w:t xml:space="preserve">se </w:t>
            </w:r>
            <w:r w:rsidR="003C17AE" w:rsidRPr="00B255F7">
              <w:rPr>
                <w:rFonts w:cstheme="minorHAnsi"/>
                <w:sz w:val="22"/>
                <w:szCs w:val="22"/>
              </w:rPr>
              <w:t>samo na izvore koji nisu obuhvaćeni ETS-om</w:t>
            </w:r>
            <w:r w:rsidR="00C10892" w:rsidRPr="00B255F7">
              <w:rPr>
                <w:rFonts w:cstheme="minorHAnsi"/>
                <w:sz w:val="22"/>
                <w:szCs w:val="22"/>
              </w:rPr>
              <w:t>.</w:t>
            </w:r>
          </w:p>
        </w:tc>
      </w:tr>
      <w:tr w:rsidR="00C9563C" w:rsidRPr="00B255F7" w14:paraId="2575D91A" w14:textId="77777777" w:rsidTr="63259912">
        <w:tc>
          <w:tcPr>
            <w:tcW w:w="1609" w:type="pct"/>
          </w:tcPr>
          <w:p w14:paraId="54CFF0DC" w14:textId="03D0D567" w:rsidR="00C9563C" w:rsidRPr="00B255F7" w:rsidRDefault="00580851" w:rsidP="00AE4D7E">
            <w:pPr>
              <w:pStyle w:val="Default"/>
              <w:jc w:val="both"/>
              <w:rPr>
                <w:rFonts w:cstheme="minorHAnsi"/>
                <w:b/>
                <w:sz w:val="22"/>
                <w:szCs w:val="22"/>
                <w:highlight w:val="yellow"/>
              </w:rPr>
            </w:pPr>
            <w:r w:rsidRPr="00B255F7">
              <w:rPr>
                <w:rFonts w:cstheme="minorHAnsi"/>
                <w:sz w:val="22"/>
                <w:szCs w:val="22"/>
              </w:rPr>
              <w:t>Sporazum gradonačelnika za klimu i energiju u Republici Hrvatskoj</w:t>
            </w:r>
          </w:p>
        </w:tc>
        <w:tc>
          <w:tcPr>
            <w:tcW w:w="1683" w:type="pct"/>
          </w:tcPr>
          <w:p w14:paraId="485819AA" w14:textId="77777777" w:rsidR="00C9563C" w:rsidRPr="00B255F7" w:rsidRDefault="00C9563C" w:rsidP="00AE4D7E">
            <w:pPr>
              <w:pStyle w:val="Default"/>
              <w:jc w:val="both"/>
              <w:rPr>
                <w:rFonts w:cstheme="minorHAnsi"/>
                <w:sz w:val="22"/>
                <w:szCs w:val="22"/>
                <w:highlight w:val="yellow"/>
              </w:rPr>
            </w:pPr>
          </w:p>
        </w:tc>
        <w:tc>
          <w:tcPr>
            <w:tcW w:w="1708" w:type="pct"/>
          </w:tcPr>
          <w:p w14:paraId="76DD5E41" w14:textId="55356F2E" w:rsidR="00C9563C" w:rsidRPr="00B255F7" w:rsidRDefault="00A77954" w:rsidP="63259912">
            <w:pPr>
              <w:pStyle w:val="Default"/>
              <w:jc w:val="both"/>
              <w:rPr>
                <w:rFonts w:cstheme="minorBidi"/>
                <w:sz w:val="22"/>
                <w:szCs w:val="22"/>
                <w:highlight w:val="yellow"/>
              </w:rPr>
            </w:pPr>
            <w:r w:rsidRPr="63259912">
              <w:rPr>
                <w:rFonts w:cstheme="minorBidi"/>
                <w:sz w:val="22"/>
                <w:szCs w:val="22"/>
              </w:rPr>
              <w:t>Potpisnici Sporazuma podržavaju zajedničku viziju za 2050. godinu: ubrzavanje dekarbonizacije njihovih teritorija, osnaživanje kapaciteta za prilagodbu na neizbježan utjecaj klimatskih promjena te omogućavanje građanima pristup sigurnoj, održivoj i povoljnoj energiji.</w:t>
            </w:r>
            <w:r w:rsidR="00891862" w:rsidRPr="63259912">
              <w:rPr>
                <w:rFonts w:cstheme="minorBidi"/>
                <w:sz w:val="22"/>
                <w:szCs w:val="22"/>
              </w:rPr>
              <w:t xml:space="preserve"> Sporazumom je obuhvaćeno </w:t>
            </w:r>
            <w:r w:rsidR="00777FD6" w:rsidRPr="63259912">
              <w:rPr>
                <w:rFonts w:cstheme="minorBidi"/>
                <w:sz w:val="22"/>
                <w:szCs w:val="22"/>
              </w:rPr>
              <w:t xml:space="preserve">više od </w:t>
            </w:r>
            <w:r w:rsidR="001C7EE2" w:rsidRPr="63259912">
              <w:rPr>
                <w:rFonts w:cstheme="minorBidi"/>
                <w:sz w:val="22"/>
                <w:szCs w:val="22"/>
              </w:rPr>
              <w:t xml:space="preserve">168 </w:t>
            </w:r>
            <w:r w:rsidR="00891862" w:rsidRPr="63259912">
              <w:rPr>
                <w:rFonts w:cstheme="minorBidi"/>
                <w:sz w:val="22"/>
                <w:szCs w:val="22"/>
              </w:rPr>
              <w:t>gradova i općina, odnosno preko 2 milijuna stanovnika u Republici Hrvatskoj.</w:t>
            </w:r>
          </w:p>
        </w:tc>
      </w:tr>
      <w:tr w:rsidR="00173175" w:rsidRPr="00B255F7" w14:paraId="61935CF9" w14:textId="77777777" w:rsidTr="63259912">
        <w:tc>
          <w:tcPr>
            <w:tcW w:w="1609" w:type="pct"/>
          </w:tcPr>
          <w:p w14:paraId="4F183DAA" w14:textId="38CE3C7A" w:rsidR="00173175" w:rsidRPr="00B255F7" w:rsidRDefault="008227AC" w:rsidP="63259912">
            <w:pPr>
              <w:pStyle w:val="Default"/>
              <w:jc w:val="both"/>
              <w:rPr>
                <w:rFonts w:cstheme="minorBidi"/>
                <w:b/>
                <w:bCs/>
                <w:sz w:val="22"/>
                <w:szCs w:val="22"/>
              </w:rPr>
            </w:pPr>
            <w:r w:rsidRPr="63259912">
              <w:rPr>
                <w:rFonts w:cstheme="minorBidi"/>
                <w:sz w:val="22"/>
                <w:szCs w:val="22"/>
              </w:rPr>
              <w:t>Povelja o dekarbonizaciji nacionalnog fonda zgrada do 2050.</w:t>
            </w:r>
            <w:r w:rsidR="00981357" w:rsidRPr="63259912">
              <w:rPr>
                <w:rFonts w:cstheme="minorBidi"/>
                <w:sz w:val="22"/>
                <w:szCs w:val="22"/>
              </w:rPr>
              <w:t xml:space="preserve"> godine</w:t>
            </w:r>
          </w:p>
        </w:tc>
        <w:tc>
          <w:tcPr>
            <w:tcW w:w="1683" w:type="pct"/>
          </w:tcPr>
          <w:p w14:paraId="7002800A" w14:textId="77777777" w:rsidR="00173175" w:rsidRPr="00B255F7" w:rsidRDefault="00173175" w:rsidP="00AE4D7E">
            <w:pPr>
              <w:pStyle w:val="Default"/>
              <w:jc w:val="both"/>
              <w:rPr>
                <w:rFonts w:cstheme="minorHAnsi"/>
                <w:sz w:val="22"/>
                <w:szCs w:val="22"/>
              </w:rPr>
            </w:pPr>
          </w:p>
        </w:tc>
        <w:tc>
          <w:tcPr>
            <w:tcW w:w="1708" w:type="pct"/>
          </w:tcPr>
          <w:p w14:paraId="2AF7054E" w14:textId="5048F74A" w:rsidR="00173175" w:rsidRPr="00B255F7" w:rsidRDefault="00263EA7" w:rsidP="63259912">
            <w:pPr>
              <w:pStyle w:val="Default"/>
              <w:jc w:val="both"/>
              <w:rPr>
                <w:rFonts w:cstheme="minorBidi"/>
                <w:sz w:val="22"/>
                <w:szCs w:val="22"/>
              </w:rPr>
            </w:pPr>
            <w:r w:rsidRPr="63259912">
              <w:rPr>
                <w:rFonts w:cstheme="minorBidi"/>
                <w:sz w:val="22"/>
                <w:szCs w:val="22"/>
              </w:rPr>
              <w:t xml:space="preserve">Potpisnici Povelje su predstavnici državne i lokalne </w:t>
            </w:r>
            <w:r w:rsidR="004A095D" w:rsidRPr="63259912">
              <w:rPr>
                <w:rFonts w:cstheme="minorBidi"/>
                <w:sz w:val="22"/>
                <w:szCs w:val="22"/>
              </w:rPr>
              <w:t>samo</w:t>
            </w:r>
            <w:r w:rsidRPr="63259912">
              <w:rPr>
                <w:rFonts w:cstheme="minorBidi"/>
                <w:sz w:val="22"/>
                <w:szCs w:val="22"/>
              </w:rPr>
              <w:t xml:space="preserve">uprave, akademske zajednice i stručne javnosti, građevinskog i energetskog sektora te pratećih industrija koji pružaju potporu te promiču dekarbonizaciju zgrada u svojim </w:t>
            </w:r>
            <w:r w:rsidRPr="63259912">
              <w:rPr>
                <w:rFonts w:cstheme="minorBidi"/>
                <w:sz w:val="22"/>
                <w:szCs w:val="22"/>
              </w:rPr>
              <w:lastRenderedPageBreak/>
              <w:t xml:space="preserve">daljnjim aktivnostima, gdje god je to moguće. Partnere-Potpisnike Povelje se kroz otvorene dijaloge partnera potiče na aktivnu i kontinuiranu suradnju na izradi </w:t>
            </w:r>
            <w:r w:rsidR="00E6534B" w:rsidRPr="63259912">
              <w:rPr>
                <w:rFonts w:cstheme="minorBidi"/>
                <w:sz w:val="22"/>
                <w:szCs w:val="22"/>
              </w:rPr>
              <w:t xml:space="preserve">i provedbi </w:t>
            </w:r>
            <w:r w:rsidRPr="63259912">
              <w:rPr>
                <w:rFonts w:cstheme="minorBidi"/>
                <w:sz w:val="22"/>
                <w:szCs w:val="22"/>
              </w:rPr>
              <w:t>Dugoročne strategije obnove nacionalnog fonda zgrada i prelazak na standard gradnje zgrada gotovo nulte energije (nZEB).</w:t>
            </w:r>
          </w:p>
        </w:tc>
      </w:tr>
      <w:tr w:rsidR="00501745" w:rsidRPr="00B255F7" w14:paraId="20D357D1" w14:textId="77777777" w:rsidTr="63259912">
        <w:tc>
          <w:tcPr>
            <w:tcW w:w="5000" w:type="pct"/>
            <w:gridSpan w:val="3"/>
            <w:shd w:val="clear" w:color="auto" w:fill="D9D9D9" w:themeFill="background1" w:themeFillShade="D9"/>
          </w:tcPr>
          <w:p w14:paraId="7A29634C" w14:textId="26845F9D" w:rsidR="00501745" w:rsidRPr="00B255F7" w:rsidRDefault="00501745" w:rsidP="00AE4D7E">
            <w:pPr>
              <w:pStyle w:val="Default"/>
              <w:jc w:val="both"/>
              <w:rPr>
                <w:rFonts w:cstheme="minorHAnsi"/>
                <w:sz w:val="22"/>
                <w:szCs w:val="22"/>
              </w:rPr>
            </w:pPr>
            <w:r w:rsidRPr="00B255F7">
              <w:rPr>
                <w:rFonts w:cstheme="minorHAnsi"/>
                <w:sz w:val="22"/>
                <w:szCs w:val="22"/>
              </w:rPr>
              <w:lastRenderedPageBreak/>
              <w:t>OIE</w:t>
            </w:r>
          </w:p>
        </w:tc>
      </w:tr>
      <w:tr w:rsidR="00566C04" w:rsidRPr="00B255F7" w14:paraId="1506C4F9" w14:textId="77777777" w:rsidTr="63259912">
        <w:tc>
          <w:tcPr>
            <w:tcW w:w="1609" w:type="pct"/>
          </w:tcPr>
          <w:p w14:paraId="0D649B00" w14:textId="64CCEADA" w:rsidR="00566C04" w:rsidRPr="00B255F7" w:rsidRDefault="004A37C4" w:rsidP="63259912">
            <w:pPr>
              <w:pStyle w:val="Default"/>
              <w:jc w:val="both"/>
              <w:rPr>
                <w:rFonts w:cstheme="minorBidi"/>
                <w:b/>
                <w:bCs/>
                <w:sz w:val="22"/>
                <w:szCs w:val="22"/>
              </w:rPr>
            </w:pPr>
            <w:r w:rsidRPr="63259912">
              <w:rPr>
                <w:rFonts w:cstheme="minorBidi"/>
                <w:sz w:val="22"/>
                <w:szCs w:val="22"/>
              </w:rPr>
              <w:t>Poticajne cijene (f</w:t>
            </w:r>
            <w:r w:rsidR="00566C04" w:rsidRPr="63259912">
              <w:rPr>
                <w:rFonts w:cstheme="minorBidi"/>
                <w:sz w:val="22"/>
                <w:szCs w:val="22"/>
              </w:rPr>
              <w:t>eed-in tarife</w:t>
            </w:r>
            <w:r w:rsidRPr="63259912">
              <w:rPr>
                <w:rFonts w:cstheme="minorBidi"/>
                <w:sz w:val="22"/>
                <w:szCs w:val="22"/>
              </w:rPr>
              <w:t>)</w:t>
            </w:r>
            <w:r w:rsidR="00566C04" w:rsidRPr="63259912">
              <w:rPr>
                <w:rFonts w:cstheme="minorBidi"/>
                <w:sz w:val="22"/>
                <w:szCs w:val="22"/>
              </w:rPr>
              <w:t xml:space="preserve"> i sustav premija za potporu korištenja </w:t>
            </w:r>
            <w:r w:rsidRPr="63259912">
              <w:rPr>
                <w:rFonts w:cstheme="minorBidi"/>
                <w:sz w:val="22"/>
                <w:szCs w:val="22"/>
              </w:rPr>
              <w:t xml:space="preserve">OIE i </w:t>
            </w:r>
            <w:r w:rsidR="00566C04" w:rsidRPr="63259912">
              <w:rPr>
                <w:rFonts w:cstheme="minorBidi"/>
                <w:sz w:val="22"/>
                <w:szCs w:val="22"/>
              </w:rPr>
              <w:t xml:space="preserve">u proizvodnji električne energije i za </w:t>
            </w:r>
            <w:r w:rsidRPr="63259912">
              <w:rPr>
                <w:rFonts w:cstheme="minorBidi"/>
                <w:sz w:val="22"/>
                <w:szCs w:val="22"/>
              </w:rPr>
              <w:t>VUK</w:t>
            </w:r>
          </w:p>
        </w:tc>
        <w:tc>
          <w:tcPr>
            <w:tcW w:w="1683" w:type="pct"/>
          </w:tcPr>
          <w:p w14:paraId="354FD3F1" w14:textId="713FE47E" w:rsidR="003A12E7" w:rsidRPr="00B255F7" w:rsidRDefault="00A658DC" w:rsidP="00AE4D7E">
            <w:pPr>
              <w:pStyle w:val="Default"/>
              <w:jc w:val="both"/>
              <w:rPr>
                <w:rFonts w:cstheme="minorHAnsi"/>
                <w:sz w:val="22"/>
                <w:szCs w:val="22"/>
              </w:rPr>
            </w:pPr>
            <w:r w:rsidRPr="00B255F7">
              <w:rPr>
                <w:rFonts w:cstheme="minorHAnsi"/>
                <w:sz w:val="22"/>
                <w:szCs w:val="22"/>
              </w:rPr>
              <w:t>Zakon o obnovljivim izvorima energije i visokoučinkovitoj kogeneraciji</w:t>
            </w:r>
            <w:r w:rsidR="00CB70C7" w:rsidRPr="00B255F7">
              <w:rPr>
                <w:rFonts w:cstheme="minorHAnsi"/>
                <w:sz w:val="22"/>
                <w:szCs w:val="22"/>
              </w:rPr>
              <w:t xml:space="preserve"> </w:t>
            </w:r>
            <w:r w:rsidRPr="00B255F7">
              <w:rPr>
                <w:rFonts w:cstheme="minorHAnsi"/>
                <w:sz w:val="22"/>
                <w:szCs w:val="22"/>
              </w:rPr>
              <w:t>(</w:t>
            </w:r>
            <w:r w:rsidR="00FC5933">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FC5933">
              <w:rPr>
                <w:rFonts w:cstheme="minorHAnsi"/>
                <w:sz w:val="22"/>
                <w:szCs w:val="22"/>
              </w:rPr>
              <w:t>“</w:t>
            </w:r>
            <w:r w:rsidR="00071A4F" w:rsidRPr="00B255F7">
              <w:rPr>
                <w:rFonts w:cstheme="minorHAnsi"/>
                <w:sz w:val="22"/>
                <w:szCs w:val="22"/>
              </w:rPr>
              <w:t xml:space="preserve">, </w:t>
            </w:r>
            <w:r w:rsidR="00EE1897" w:rsidRPr="00B255F7">
              <w:rPr>
                <w:rFonts w:cstheme="minorHAnsi"/>
                <w:sz w:val="22"/>
                <w:szCs w:val="22"/>
              </w:rPr>
              <w:t>br</w:t>
            </w:r>
            <w:r w:rsidR="00EE1897">
              <w:rPr>
                <w:rFonts w:cstheme="minorHAnsi"/>
                <w:sz w:val="22"/>
                <w:szCs w:val="22"/>
              </w:rPr>
              <w:t>.</w:t>
            </w:r>
            <w:r w:rsidR="00EE1897" w:rsidRPr="00B255F7">
              <w:rPr>
                <w:rFonts w:cstheme="minorHAnsi"/>
                <w:sz w:val="22"/>
                <w:szCs w:val="22"/>
              </w:rPr>
              <w:t xml:space="preserve"> </w:t>
            </w:r>
            <w:r w:rsidRPr="00B255F7">
              <w:rPr>
                <w:rFonts w:cstheme="minorHAnsi"/>
                <w:sz w:val="22"/>
                <w:szCs w:val="22"/>
              </w:rPr>
              <w:t>138/21</w:t>
            </w:r>
            <w:r w:rsidR="003B25AF">
              <w:rPr>
                <w:rFonts w:cstheme="minorHAnsi"/>
                <w:sz w:val="22"/>
                <w:szCs w:val="22"/>
              </w:rPr>
              <w:t xml:space="preserve">. i </w:t>
            </w:r>
            <w:r w:rsidR="000108B5">
              <w:rPr>
                <w:rFonts w:cstheme="minorHAnsi"/>
                <w:sz w:val="22"/>
                <w:szCs w:val="22"/>
              </w:rPr>
              <w:t>83/23.</w:t>
            </w:r>
            <w:r w:rsidRPr="00B255F7">
              <w:rPr>
                <w:rFonts w:cstheme="minorHAnsi"/>
                <w:sz w:val="22"/>
                <w:szCs w:val="22"/>
              </w:rPr>
              <w:t>)</w:t>
            </w:r>
          </w:p>
          <w:p w14:paraId="679B1415" w14:textId="56C18434" w:rsidR="00566C04" w:rsidRPr="00B255F7" w:rsidRDefault="00337C25" w:rsidP="00AE4D7E">
            <w:pPr>
              <w:pStyle w:val="Default"/>
              <w:jc w:val="both"/>
              <w:rPr>
                <w:rFonts w:cstheme="minorHAnsi"/>
                <w:sz w:val="22"/>
                <w:szCs w:val="22"/>
              </w:rPr>
            </w:pPr>
            <w:r w:rsidRPr="00B255F7">
              <w:rPr>
                <w:rFonts w:cstheme="minorHAnsi"/>
                <w:sz w:val="22"/>
                <w:szCs w:val="22"/>
              </w:rPr>
              <w:t>Zakon o tržištu električne energije (</w:t>
            </w:r>
            <w:r w:rsidR="00C151BF">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C151BF">
              <w:rPr>
                <w:rFonts w:cstheme="minorHAnsi"/>
                <w:sz w:val="22"/>
                <w:szCs w:val="22"/>
              </w:rPr>
              <w:t>“</w:t>
            </w:r>
            <w:r w:rsidR="00071A4F" w:rsidRPr="00B255F7">
              <w:rPr>
                <w:rFonts w:cstheme="minorHAnsi"/>
                <w:sz w:val="22"/>
                <w:szCs w:val="22"/>
              </w:rPr>
              <w:t>, br</w:t>
            </w:r>
            <w:r w:rsidR="00EE1897">
              <w:rPr>
                <w:rFonts w:cstheme="minorHAnsi"/>
                <w:sz w:val="22"/>
                <w:szCs w:val="22"/>
              </w:rPr>
              <w:t>.</w:t>
            </w:r>
            <w:r w:rsidRPr="00B255F7">
              <w:rPr>
                <w:rFonts w:cstheme="minorHAnsi"/>
                <w:sz w:val="22"/>
                <w:szCs w:val="22"/>
              </w:rPr>
              <w:t xml:space="preserve"> 111/21</w:t>
            </w:r>
            <w:r w:rsidR="00C151BF">
              <w:rPr>
                <w:rFonts w:cstheme="minorHAnsi"/>
                <w:sz w:val="22"/>
                <w:szCs w:val="22"/>
              </w:rPr>
              <w:t>. i</w:t>
            </w:r>
            <w:r w:rsidR="00981357">
              <w:rPr>
                <w:rFonts w:cstheme="minorHAnsi"/>
                <w:sz w:val="22"/>
                <w:szCs w:val="22"/>
              </w:rPr>
              <w:t xml:space="preserve"> 83/23</w:t>
            </w:r>
            <w:r w:rsidR="00C151BF">
              <w:rPr>
                <w:rFonts w:cstheme="minorHAnsi"/>
                <w:sz w:val="22"/>
                <w:szCs w:val="22"/>
              </w:rPr>
              <w:t>.</w:t>
            </w:r>
            <w:r w:rsidRPr="00B255F7">
              <w:rPr>
                <w:rFonts w:cstheme="minorHAnsi"/>
                <w:sz w:val="22"/>
                <w:szCs w:val="22"/>
              </w:rPr>
              <w:t>)</w:t>
            </w:r>
          </w:p>
        </w:tc>
        <w:tc>
          <w:tcPr>
            <w:tcW w:w="1708" w:type="pct"/>
          </w:tcPr>
          <w:p w14:paraId="5DF724B6" w14:textId="574E7686" w:rsidR="00566C04" w:rsidRPr="00B255F7" w:rsidRDefault="00A004BA" w:rsidP="63259912">
            <w:pPr>
              <w:pStyle w:val="Default"/>
              <w:jc w:val="both"/>
              <w:rPr>
                <w:rFonts w:cstheme="minorBidi"/>
                <w:sz w:val="22"/>
                <w:szCs w:val="22"/>
              </w:rPr>
            </w:pPr>
            <w:r w:rsidRPr="63259912">
              <w:rPr>
                <w:rFonts w:cstheme="minorBidi"/>
                <w:sz w:val="22"/>
                <w:szCs w:val="22"/>
              </w:rPr>
              <w:t xml:space="preserve">Glavni mehanizam zaslužan za </w:t>
            </w:r>
            <w:r w:rsidR="004A37C4" w:rsidRPr="63259912">
              <w:rPr>
                <w:rFonts w:cstheme="minorBidi"/>
                <w:sz w:val="22"/>
                <w:szCs w:val="22"/>
              </w:rPr>
              <w:t xml:space="preserve">prethodni </w:t>
            </w:r>
            <w:r w:rsidRPr="63259912">
              <w:rPr>
                <w:rFonts w:cstheme="minorBidi"/>
                <w:sz w:val="22"/>
                <w:szCs w:val="22"/>
              </w:rPr>
              <w:t xml:space="preserve">razvoj </w:t>
            </w:r>
            <w:r w:rsidR="004A37C4" w:rsidRPr="63259912">
              <w:rPr>
                <w:rFonts w:cstheme="minorBidi"/>
                <w:sz w:val="22"/>
                <w:szCs w:val="22"/>
              </w:rPr>
              <w:t xml:space="preserve">OIE </w:t>
            </w:r>
            <w:r w:rsidR="003A1565" w:rsidRPr="63259912">
              <w:rPr>
                <w:rFonts w:cstheme="minorBidi"/>
                <w:sz w:val="22"/>
                <w:szCs w:val="22"/>
              </w:rPr>
              <w:t xml:space="preserve">bile </w:t>
            </w:r>
            <w:r w:rsidRPr="63259912">
              <w:rPr>
                <w:rFonts w:cstheme="minorBidi"/>
                <w:sz w:val="22"/>
                <w:szCs w:val="22"/>
              </w:rPr>
              <w:t>su poticajne cijene (feed-in tarife)</w:t>
            </w:r>
            <w:r w:rsidR="00EA06B0" w:rsidRPr="63259912">
              <w:rPr>
                <w:rFonts w:cstheme="minorBidi"/>
                <w:sz w:val="22"/>
                <w:szCs w:val="22"/>
              </w:rPr>
              <w:t>;</w:t>
            </w:r>
            <w:r w:rsidRPr="63259912">
              <w:rPr>
                <w:rFonts w:cstheme="minorBidi"/>
                <w:sz w:val="22"/>
                <w:szCs w:val="22"/>
              </w:rPr>
              <w:t xml:space="preserve"> Zakon o </w:t>
            </w:r>
            <w:r w:rsidR="00E41059" w:rsidRPr="63259912">
              <w:rPr>
                <w:rFonts w:cstheme="minorBidi"/>
                <w:sz w:val="22"/>
                <w:szCs w:val="22"/>
              </w:rPr>
              <w:t>obnovljivim izvorima energije i visokoučinkovitoj kogeneraciji</w:t>
            </w:r>
            <w:r w:rsidR="004A37C4" w:rsidRPr="63259912">
              <w:rPr>
                <w:rFonts w:cstheme="minorBidi"/>
                <w:sz w:val="22"/>
                <w:szCs w:val="22"/>
              </w:rPr>
              <w:t xml:space="preserve"> </w:t>
            </w:r>
            <w:r w:rsidRPr="63259912">
              <w:rPr>
                <w:rFonts w:cstheme="minorBidi"/>
                <w:sz w:val="22"/>
                <w:szCs w:val="22"/>
              </w:rPr>
              <w:t>uveo je premijski sustav poticanja.</w:t>
            </w:r>
          </w:p>
          <w:p w14:paraId="435E559A" w14:textId="4D80B6F1" w:rsidR="00566C04" w:rsidRPr="00B255F7" w:rsidRDefault="00566C04" w:rsidP="00AE4D7E">
            <w:pPr>
              <w:pStyle w:val="Default"/>
              <w:jc w:val="both"/>
              <w:rPr>
                <w:rFonts w:cstheme="minorHAnsi"/>
                <w:sz w:val="22"/>
                <w:szCs w:val="22"/>
              </w:rPr>
            </w:pPr>
          </w:p>
        </w:tc>
      </w:tr>
      <w:tr w:rsidR="00CE47EE" w:rsidRPr="00B255F7" w14:paraId="7C6823CA" w14:textId="77777777" w:rsidTr="63259912">
        <w:tc>
          <w:tcPr>
            <w:tcW w:w="1609" w:type="pct"/>
          </w:tcPr>
          <w:p w14:paraId="3303C540" w14:textId="6112D6FF" w:rsidR="00CE47EE" w:rsidRPr="00B255F7" w:rsidRDefault="00566C04" w:rsidP="00AE4D7E">
            <w:pPr>
              <w:pStyle w:val="Default"/>
              <w:jc w:val="both"/>
              <w:rPr>
                <w:rFonts w:cstheme="minorHAnsi"/>
                <w:b/>
                <w:sz w:val="22"/>
                <w:szCs w:val="22"/>
              </w:rPr>
            </w:pPr>
            <w:r w:rsidRPr="00B255F7">
              <w:rPr>
                <w:rFonts w:cstheme="minorHAnsi"/>
                <w:sz w:val="22"/>
                <w:szCs w:val="22"/>
              </w:rPr>
              <w:t xml:space="preserve">Povećanje korištenja </w:t>
            </w:r>
            <w:r w:rsidR="004A37C4" w:rsidRPr="00B255F7">
              <w:rPr>
                <w:rFonts w:cstheme="minorHAnsi"/>
                <w:sz w:val="22"/>
                <w:szCs w:val="22"/>
              </w:rPr>
              <w:t>OIE</w:t>
            </w:r>
            <w:r w:rsidRPr="00B255F7">
              <w:rPr>
                <w:rFonts w:cstheme="minorHAnsi"/>
                <w:sz w:val="22"/>
                <w:szCs w:val="22"/>
              </w:rPr>
              <w:t xml:space="preserve"> i energetske učinkovitosti u industrijskom sektoru</w:t>
            </w:r>
          </w:p>
        </w:tc>
        <w:tc>
          <w:tcPr>
            <w:tcW w:w="1683" w:type="pct"/>
          </w:tcPr>
          <w:p w14:paraId="58625CE1" w14:textId="4F4DE888" w:rsidR="00735DEC" w:rsidRPr="00B255F7" w:rsidRDefault="00735DEC" w:rsidP="00AE4D7E">
            <w:pPr>
              <w:pStyle w:val="Default"/>
              <w:jc w:val="both"/>
              <w:rPr>
                <w:rFonts w:cstheme="minorHAnsi"/>
                <w:sz w:val="22"/>
                <w:szCs w:val="22"/>
              </w:rPr>
            </w:pPr>
            <w:r w:rsidRPr="00B255F7">
              <w:rPr>
                <w:rFonts w:cstheme="minorHAnsi"/>
                <w:sz w:val="22"/>
                <w:szCs w:val="22"/>
              </w:rPr>
              <w:t xml:space="preserve">Zakon o obnovljivim izvorima energije i visokoučinkovitoj kogeneraciji </w:t>
            </w:r>
            <w:r w:rsidR="00EB08F1">
              <w:rPr>
                <w:rFonts w:cstheme="minorHAnsi"/>
                <w:sz w:val="22"/>
                <w:szCs w:val="22"/>
              </w:rPr>
              <w:t xml:space="preserve">(„Narodne novine“, br. </w:t>
            </w:r>
            <w:r w:rsidRPr="00B255F7">
              <w:rPr>
                <w:rFonts w:cstheme="minorHAnsi"/>
                <w:sz w:val="22"/>
                <w:szCs w:val="22"/>
              </w:rPr>
              <w:t>138/21</w:t>
            </w:r>
            <w:r w:rsidR="00C151BF">
              <w:rPr>
                <w:rFonts w:cstheme="minorHAnsi"/>
                <w:sz w:val="22"/>
                <w:szCs w:val="22"/>
              </w:rPr>
              <w:t>. i</w:t>
            </w:r>
            <w:r w:rsidR="00981357">
              <w:rPr>
                <w:rFonts w:cstheme="minorHAnsi"/>
                <w:sz w:val="22"/>
                <w:szCs w:val="22"/>
              </w:rPr>
              <w:t xml:space="preserve"> 83/23</w:t>
            </w:r>
            <w:r w:rsidR="00C151BF">
              <w:rPr>
                <w:rFonts w:cstheme="minorHAnsi"/>
                <w:sz w:val="22"/>
                <w:szCs w:val="22"/>
              </w:rPr>
              <w:t>.</w:t>
            </w:r>
            <w:r w:rsidRPr="00B255F7">
              <w:rPr>
                <w:rFonts w:cstheme="minorHAnsi"/>
                <w:sz w:val="22"/>
                <w:szCs w:val="22"/>
              </w:rPr>
              <w:t>)</w:t>
            </w:r>
          </w:p>
          <w:p w14:paraId="14ADC0F5" w14:textId="367BE616" w:rsidR="00201ECF" w:rsidRPr="00B255F7" w:rsidRDefault="00201ECF" w:rsidP="00AE4D7E">
            <w:pPr>
              <w:pStyle w:val="Default"/>
              <w:jc w:val="both"/>
              <w:rPr>
                <w:rFonts w:cstheme="minorHAnsi"/>
                <w:sz w:val="22"/>
                <w:szCs w:val="22"/>
              </w:rPr>
            </w:pPr>
            <w:r w:rsidRPr="00B255F7">
              <w:rPr>
                <w:rFonts w:cstheme="minorHAnsi"/>
                <w:sz w:val="22"/>
                <w:szCs w:val="22"/>
              </w:rPr>
              <w:t>Zakon o energetskoj učinkovitosti (</w:t>
            </w:r>
            <w:r w:rsidR="00C151BF">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C151BF">
              <w:rPr>
                <w:rFonts w:cstheme="minorHAnsi"/>
                <w:sz w:val="22"/>
                <w:szCs w:val="22"/>
              </w:rPr>
              <w:t>“</w:t>
            </w:r>
            <w:r w:rsidR="00071A4F" w:rsidRPr="00B255F7">
              <w:rPr>
                <w:rFonts w:cstheme="minorHAnsi"/>
                <w:sz w:val="22"/>
                <w:szCs w:val="22"/>
              </w:rPr>
              <w:t>, br</w:t>
            </w:r>
            <w:r w:rsidR="00EE1897">
              <w:rPr>
                <w:rFonts w:cstheme="minorHAnsi"/>
                <w:sz w:val="22"/>
                <w:szCs w:val="22"/>
              </w:rPr>
              <w:t>.</w:t>
            </w:r>
            <w:r w:rsidRPr="00B255F7">
              <w:rPr>
                <w:rFonts w:cstheme="minorHAnsi"/>
                <w:sz w:val="22"/>
                <w:szCs w:val="22"/>
              </w:rPr>
              <w:t xml:space="preserve"> 127</w:t>
            </w:r>
            <w:r w:rsidR="005B41DA" w:rsidRPr="00B255F7">
              <w:rPr>
                <w:rFonts w:cstheme="minorHAnsi"/>
                <w:sz w:val="22"/>
                <w:szCs w:val="22"/>
              </w:rPr>
              <w:t>/14</w:t>
            </w:r>
            <w:r w:rsidR="00C151BF">
              <w:rPr>
                <w:rFonts w:cstheme="minorHAnsi"/>
                <w:sz w:val="22"/>
                <w:szCs w:val="22"/>
              </w:rPr>
              <w:t>.</w:t>
            </w:r>
            <w:r w:rsidRPr="00B255F7">
              <w:rPr>
                <w:rFonts w:cstheme="minorHAnsi"/>
                <w:sz w:val="22"/>
                <w:szCs w:val="22"/>
              </w:rPr>
              <w:t>, 116</w:t>
            </w:r>
            <w:r w:rsidR="005B41DA" w:rsidRPr="00B255F7">
              <w:rPr>
                <w:rFonts w:cstheme="minorHAnsi"/>
                <w:sz w:val="22"/>
                <w:szCs w:val="22"/>
              </w:rPr>
              <w:t>/18</w:t>
            </w:r>
            <w:r w:rsidR="00C151BF">
              <w:rPr>
                <w:rFonts w:cstheme="minorHAnsi"/>
                <w:sz w:val="22"/>
                <w:szCs w:val="22"/>
              </w:rPr>
              <w:t>.</w:t>
            </w:r>
            <w:r w:rsidRPr="00B255F7">
              <w:rPr>
                <w:rFonts w:cstheme="minorHAnsi"/>
                <w:sz w:val="22"/>
                <w:szCs w:val="22"/>
              </w:rPr>
              <w:t>, 25</w:t>
            </w:r>
            <w:r w:rsidR="005B41DA" w:rsidRPr="00B255F7">
              <w:rPr>
                <w:rFonts w:cstheme="minorHAnsi"/>
                <w:sz w:val="22"/>
                <w:szCs w:val="22"/>
              </w:rPr>
              <w:t>/20</w:t>
            </w:r>
            <w:r w:rsidR="00C151BF">
              <w:rPr>
                <w:rFonts w:cstheme="minorHAnsi"/>
                <w:sz w:val="22"/>
                <w:szCs w:val="22"/>
              </w:rPr>
              <w:t>.</w:t>
            </w:r>
            <w:r w:rsidRPr="00B255F7">
              <w:rPr>
                <w:rFonts w:cstheme="minorHAnsi"/>
                <w:sz w:val="22"/>
                <w:szCs w:val="22"/>
              </w:rPr>
              <w:t xml:space="preserve"> i 41/21</w:t>
            </w:r>
            <w:r w:rsidR="00C151BF">
              <w:rPr>
                <w:rFonts w:cstheme="minorHAnsi"/>
                <w:sz w:val="22"/>
                <w:szCs w:val="22"/>
              </w:rPr>
              <w:t>.</w:t>
            </w:r>
            <w:r w:rsidRPr="00B255F7">
              <w:rPr>
                <w:rFonts w:cstheme="minorHAnsi"/>
                <w:sz w:val="22"/>
                <w:szCs w:val="22"/>
              </w:rPr>
              <w:t>)</w:t>
            </w:r>
          </w:p>
          <w:p w14:paraId="32B300D1" w14:textId="4882AE37" w:rsidR="00CE47EE" w:rsidRPr="00B255F7" w:rsidRDefault="00CE47EE" w:rsidP="00AE4D7E">
            <w:pPr>
              <w:pStyle w:val="Default"/>
              <w:jc w:val="both"/>
              <w:rPr>
                <w:rFonts w:cstheme="minorHAnsi"/>
                <w:sz w:val="22"/>
                <w:szCs w:val="22"/>
              </w:rPr>
            </w:pPr>
          </w:p>
        </w:tc>
        <w:tc>
          <w:tcPr>
            <w:tcW w:w="1708" w:type="pct"/>
          </w:tcPr>
          <w:p w14:paraId="1833203B" w14:textId="2E982FD2" w:rsidR="00CE47EE" w:rsidRPr="00B255F7" w:rsidRDefault="00A004BA" w:rsidP="00AE4D7E">
            <w:pPr>
              <w:pStyle w:val="Default"/>
              <w:jc w:val="both"/>
              <w:rPr>
                <w:rFonts w:cstheme="minorHAnsi"/>
                <w:sz w:val="22"/>
                <w:szCs w:val="22"/>
              </w:rPr>
            </w:pPr>
            <w:r w:rsidRPr="00B255F7">
              <w:rPr>
                <w:rFonts w:cstheme="minorHAnsi"/>
                <w:sz w:val="22"/>
                <w:szCs w:val="22"/>
              </w:rPr>
              <w:t>Korištenje raspoloživih sredstava iz</w:t>
            </w:r>
            <w:r w:rsidR="00B774EB">
              <w:rPr>
                <w:rFonts w:cstheme="minorHAnsi"/>
                <w:sz w:val="22"/>
                <w:szCs w:val="22"/>
              </w:rPr>
              <w:t xml:space="preserve"> EU fondova</w:t>
            </w:r>
            <w:r w:rsidRPr="00B255F7">
              <w:rPr>
                <w:rFonts w:cstheme="minorHAnsi"/>
                <w:sz w:val="22"/>
                <w:szCs w:val="22"/>
              </w:rPr>
              <w:t xml:space="preserve"> i sredstava dostupnih na aukcijama emisijskih jedinica u EU ETS za korištenje </w:t>
            </w:r>
            <w:r w:rsidR="004A37C4" w:rsidRPr="00B255F7">
              <w:rPr>
                <w:rFonts w:cstheme="minorHAnsi"/>
                <w:sz w:val="22"/>
                <w:szCs w:val="22"/>
              </w:rPr>
              <w:t xml:space="preserve">OIE </w:t>
            </w:r>
            <w:r w:rsidRPr="00B255F7">
              <w:rPr>
                <w:rFonts w:cstheme="minorHAnsi"/>
                <w:sz w:val="22"/>
                <w:szCs w:val="22"/>
              </w:rPr>
              <w:t>i energetsku učinkovitost u industrijskom sektoru.</w:t>
            </w:r>
          </w:p>
        </w:tc>
      </w:tr>
      <w:tr w:rsidR="001E0162" w:rsidRPr="00B255F7" w14:paraId="4AF333EA" w14:textId="77777777" w:rsidTr="63259912">
        <w:tc>
          <w:tcPr>
            <w:tcW w:w="1609" w:type="pct"/>
          </w:tcPr>
          <w:p w14:paraId="69AA45CB" w14:textId="5E51E7C5" w:rsidR="001E0162" w:rsidRPr="00B255F7" w:rsidRDefault="00566C04" w:rsidP="00AE4D7E">
            <w:pPr>
              <w:pStyle w:val="Default"/>
              <w:jc w:val="both"/>
              <w:rPr>
                <w:rFonts w:cstheme="minorHAnsi"/>
                <w:b/>
                <w:sz w:val="22"/>
                <w:szCs w:val="22"/>
              </w:rPr>
            </w:pPr>
            <w:r w:rsidRPr="00B255F7">
              <w:rPr>
                <w:rFonts w:cstheme="minorHAnsi"/>
                <w:sz w:val="22"/>
                <w:szCs w:val="22"/>
              </w:rPr>
              <w:t xml:space="preserve">Poticanje korištenja </w:t>
            </w:r>
            <w:r w:rsidR="004A37C4" w:rsidRPr="00B255F7">
              <w:rPr>
                <w:rFonts w:cstheme="minorHAnsi"/>
                <w:sz w:val="22"/>
                <w:szCs w:val="22"/>
              </w:rPr>
              <w:t xml:space="preserve">OIE </w:t>
            </w:r>
            <w:r w:rsidRPr="00B255F7">
              <w:rPr>
                <w:rFonts w:cstheme="minorHAnsi"/>
                <w:sz w:val="22"/>
                <w:szCs w:val="22"/>
              </w:rPr>
              <w:t>i energetske učinkovitosti putem HBOR-a</w:t>
            </w:r>
          </w:p>
        </w:tc>
        <w:tc>
          <w:tcPr>
            <w:tcW w:w="1683" w:type="pct"/>
          </w:tcPr>
          <w:p w14:paraId="45E0187A" w14:textId="712B5481" w:rsidR="00132B6A" w:rsidRPr="00B255F7" w:rsidRDefault="00132B6A" w:rsidP="00132B6A">
            <w:pPr>
              <w:pStyle w:val="Default"/>
              <w:jc w:val="both"/>
              <w:rPr>
                <w:rFonts w:cstheme="minorHAnsi"/>
                <w:sz w:val="22"/>
                <w:szCs w:val="22"/>
              </w:rPr>
            </w:pPr>
            <w:r w:rsidRPr="00B255F7">
              <w:rPr>
                <w:rFonts w:cstheme="minorHAnsi"/>
                <w:sz w:val="22"/>
                <w:szCs w:val="22"/>
              </w:rPr>
              <w:t>Zakon o obnovljivim izvorima energije i visokoučinkovitoj kogeneraciji (</w:t>
            </w:r>
            <w:r>
              <w:rPr>
                <w:rFonts w:cstheme="minorHAnsi"/>
                <w:sz w:val="22"/>
                <w:szCs w:val="22"/>
              </w:rPr>
              <w:t>„</w:t>
            </w:r>
            <w:r w:rsidRPr="00B255F7">
              <w:rPr>
                <w:rFonts w:cstheme="minorHAnsi"/>
                <w:sz w:val="22"/>
                <w:szCs w:val="22"/>
              </w:rPr>
              <w:t>Narodne novine</w:t>
            </w:r>
            <w:r>
              <w:rPr>
                <w:rFonts w:cstheme="minorHAnsi"/>
                <w:sz w:val="22"/>
                <w:szCs w:val="22"/>
              </w:rPr>
              <w:t>“</w:t>
            </w:r>
            <w:r w:rsidRPr="00B255F7">
              <w:rPr>
                <w:rFonts w:cstheme="minorHAnsi"/>
                <w:sz w:val="22"/>
                <w:szCs w:val="22"/>
              </w:rPr>
              <w:t>, br</w:t>
            </w:r>
            <w:r w:rsidR="00EE1897">
              <w:rPr>
                <w:rFonts w:cstheme="minorHAnsi"/>
                <w:sz w:val="22"/>
                <w:szCs w:val="22"/>
              </w:rPr>
              <w:t>.</w:t>
            </w:r>
            <w:r w:rsidRPr="00B255F7">
              <w:rPr>
                <w:rFonts w:cstheme="minorHAnsi"/>
                <w:sz w:val="22"/>
                <w:szCs w:val="22"/>
              </w:rPr>
              <w:t xml:space="preserve"> 138/21</w:t>
            </w:r>
            <w:r>
              <w:rPr>
                <w:rFonts w:cstheme="minorHAnsi"/>
                <w:sz w:val="22"/>
                <w:szCs w:val="22"/>
              </w:rPr>
              <w:t>. i 83/23.</w:t>
            </w:r>
            <w:r w:rsidRPr="00B255F7">
              <w:rPr>
                <w:rFonts w:cstheme="minorHAnsi"/>
                <w:sz w:val="22"/>
                <w:szCs w:val="22"/>
              </w:rPr>
              <w:t>)</w:t>
            </w:r>
          </w:p>
          <w:p w14:paraId="4117D690" w14:textId="2655D193" w:rsidR="00132B6A" w:rsidRPr="00B255F7" w:rsidRDefault="00132B6A" w:rsidP="00132B6A">
            <w:pPr>
              <w:pStyle w:val="Default"/>
              <w:jc w:val="both"/>
              <w:rPr>
                <w:rFonts w:cstheme="minorHAnsi"/>
                <w:sz w:val="22"/>
                <w:szCs w:val="22"/>
              </w:rPr>
            </w:pPr>
            <w:r w:rsidRPr="00B255F7">
              <w:rPr>
                <w:rFonts w:cstheme="minorHAnsi"/>
                <w:sz w:val="22"/>
                <w:szCs w:val="22"/>
              </w:rPr>
              <w:t>Zakon o energetskoj učinkovitosti (</w:t>
            </w:r>
            <w:r>
              <w:rPr>
                <w:rFonts w:cstheme="minorHAnsi"/>
                <w:sz w:val="22"/>
                <w:szCs w:val="22"/>
              </w:rPr>
              <w:t>„</w:t>
            </w:r>
            <w:r w:rsidRPr="00B255F7">
              <w:rPr>
                <w:rFonts w:cstheme="minorHAnsi"/>
                <w:sz w:val="22"/>
                <w:szCs w:val="22"/>
              </w:rPr>
              <w:t>Narodne novine</w:t>
            </w:r>
            <w:r>
              <w:rPr>
                <w:rFonts w:cstheme="minorHAnsi"/>
                <w:sz w:val="22"/>
                <w:szCs w:val="22"/>
              </w:rPr>
              <w:t>“</w:t>
            </w:r>
            <w:r w:rsidRPr="00B255F7">
              <w:rPr>
                <w:rFonts w:cstheme="minorHAnsi"/>
                <w:sz w:val="22"/>
                <w:szCs w:val="22"/>
              </w:rPr>
              <w:t>, br</w:t>
            </w:r>
            <w:r w:rsidR="00EE1897">
              <w:rPr>
                <w:rFonts w:cstheme="minorHAnsi"/>
                <w:sz w:val="22"/>
                <w:szCs w:val="22"/>
              </w:rPr>
              <w:t>.</w:t>
            </w:r>
            <w:r w:rsidRPr="00B255F7">
              <w:rPr>
                <w:rFonts w:cstheme="minorHAnsi"/>
                <w:sz w:val="22"/>
                <w:szCs w:val="22"/>
              </w:rPr>
              <w:t xml:space="preserve"> 127/14</w:t>
            </w:r>
            <w:r>
              <w:rPr>
                <w:rFonts w:cstheme="minorHAnsi"/>
                <w:sz w:val="22"/>
                <w:szCs w:val="22"/>
              </w:rPr>
              <w:t>.</w:t>
            </w:r>
            <w:r w:rsidRPr="00B255F7">
              <w:rPr>
                <w:rFonts w:cstheme="minorHAnsi"/>
                <w:sz w:val="22"/>
                <w:szCs w:val="22"/>
              </w:rPr>
              <w:t>, 116/18</w:t>
            </w:r>
            <w:r>
              <w:rPr>
                <w:rFonts w:cstheme="minorHAnsi"/>
                <w:sz w:val="22"/>
                <w:szCs w:val="22"/>
              </w:rPr>
              <w:t>.</w:t>
            </w:r>
            <w:r w:rsidRPr="00B255F7">
              <w:rPr>
                <w:rFonts w:cstheme="minorHAnsi"/>
                <w:sz w:val="22"/>
                <w:szCs w:val="22"/>
              </w:rPr>
              <w:t>, 25/20</w:t>
            </w:r>
            <w:r>
              <w:rPr>
                <w:rFonts w:cstheme="minorHAnsi"/>
                <w:sz w:val="22"/>
                <w:szCs w:val="22"/>
              </w:rPr>
              <w:t>.</w:t>
            </w:r>
            <w:r w:rsidRPr="00B255F7">
              <w:rPr>
                <w:rFonts w:cstheme="minorHAnsi"/>
                <w:sz w:val="22"/>
                <w:szCs w:val="22"/>
              </w:rPr>
              <w:t xml:space="preserve"> i 41/21</w:t>
            </w:r>
            <w:r>
              <w:rPr>
                <w:rFonts w:cstheme="minorHAnsi"/>
                <w:sz w:val="22"/>
                <w:szCs w:val="22"/>
              </w:rPr>
              <w:t>.</w:t>
            </w:r>
            <w:r w:rsidRPr="00B255F7">
              <w:rPr>
                <w:rFonts w:cstheme="minorHAnsi"/>
                <w:sz w:val="22"/>
                <w:szCs w:val="22"/>
              </w:rPr>
              <w:t>)</w:t>
            </w:r>
          </w:p>
          <w:p w14:paraId="4444795A" w14:textId="72C2C08B" w:rsidR="001E0162" w:rsidRPr="00B255F7" w:rsidRDefault="001E0162" w:rsidP="00AE4D7E">
            <w:pPr>
              <w:pStyle w:val="Default"/>
              <w:jc w:val="both"/>
              <w:rPr>
                <w:rFonts w:cstheme="minorHAnsi"/>
                <w:sz w:val="22"/>
                <w:szCs w:val="22"/>
              </w:rPr>
            </w:pPr>
          </w:p>
        </w:tc>
        <w:tc>
          <w:tcPr>
            <w:tcW w:w="1708" w:type="pct"/>
          </w:tcPr>
          <w:p w14:paraId="11F04E29" w14:textId="25CA030C" w:rsidR="001E0162" w:rsidRPr="00B255F7" w:rsidRDefault="00A004BA" w:rsidP="00AE4D7E">
            <w:pPr>
              <w:pStyle w:val="Default"/>
              <w:jc w:val="both"/>
              <w:rPr>
                <w:rFonts w:cstheme="minorHAnsi"/>
                <w:sz w:val="22"/>
                <w:szCs w:val="22"/>
              </w:rPr>
            </w:pPr>
            <w:r w:rsidRPr="00B255F7">
              <w:rPr>
                <w:rFonts w:cstheme="minorHAnsi"/>
                <w:sz w:val="22"/>
                <w:szCs w:val="22"/>
              </w:rPr>
              <w:t xml:space="preserve">Cilj programa kreditiranja projekata zaštite okoliša, energetske učinkovitosti i </w:t>
            </w:r>
            <w:r w:rsidR="004A37C4" w:rsidRPr="00B255F7">
              <w:rPr>
                <w:rFonts w:cstheme="minorHAnsi"/>
                <w:sz w:val="22"/>
                <w:szCs w:val="22"/>
              </w:rPr>
              <w:t xml:space="preserve">OIE </w:t>
            </w:r>
            <w:r w:rsidRPr="00B255F7">
              <w:rPr>
                <w:rFonts w:cstheme="minorHAnsi"/>
                <w:sz w:val="22"/>
                <w:szCs w:val="22"/>
              </w:rPr>
              <w:t xml:space="preserve">je realizacija investicijskih projekata usmjerenih na zaštitu okoliša, poboljšanje energetske učinkovitosti i poticanje korištenja </w:t>
            </w:r>
            <w:r w:rsidR="004A37C4" w:rsidRPr="00B255F7">
              <w:rPr>
                <w:rFonts w:cstheme="minorHAnsi"/>
                <w:sz w:val="22"/>
                <w:szCs w:val="22"/>
              </w:rPr>
              <w:t>OIE</w:t>
            </w:r>
            <w:r w:rsidRPr="00B255F7">
              <w:rPr>
                <w:rFonts w:cstheme="minorHAnsi"/>
                <w:sz w:val="22"/>
                <w:szCs w:val="22"/>
              </w:rPr>
              <w:t>. Krediti su namijenjeni za ulaganja u zemljišta, građevinske objekte, opremu i uređaje. Krajnji korisnici kredita mogu biti jedinice lokalne i područne (regionalne) samouprave, komunalna društva, trgovačka društva, obrtnici i ostale pravne osobe.</w:t>
            </w:r>
          </w:p>
        </w:tc>
      </w:tr>
      <w:tr w:rsidR="001E0162" w:rsidRPr="00B255F7" w14:paraId="2ADDFFC0" w14:textId="77777777" w:rsidTr="63259912">
        <w:tc>
          <w:tcPr>
            <w:tcW w:w="1609" w:type="pct"/>
          </w:tcPr>
          <w:p w14:paraId="7666846E" w14:textId="335BB025" w:rsidR="001E0162" w:rsidRPr="00B255F7" w:rsidRDefault="00566C04" w:rsidP="00AE4D7E">
            <w:pPr>
              <w:pStyle w:val="Default"/>
              <w:jc w:val="both"/>
              <w:rPr>
                <w:rFonts w:cstheme="minorHAnsi"/>
                <w:b/>
                <w:sz w:val="22"/>
                <w:szCs w:val="22"/>
              </w:rPr>
            </w:pPr>
            <w:r w:rsidRPr="00B255F7">
              <w:rPr>
                <w:rFonts w:cstheme="minorHAnsi"/>
                <w:sz w:val="22"/>
                <w:szCs w:val="22"/>
              </w:rPr>
              <w:t xml:space="preserve">Poticanje korištenja </w:t>
            </w:r>
            <w:r w:rsidR="004A37C4" w:rsidRPr="00B255F7">
              <w:rPr>
                <w:rFonts w:cstheme="minorHAnsi"/>
                <w:sz w:val="22"/>
                <w:szCs w:val="22"/>
              </w:rPr>
              <w:t xml:space="preserve">OIE </w:t>
            </w:r>
            <w:r w:rsidRPr="00B255F7">
              <w:rPr>
                <w:rFonts w:cstheme="minorHAnsi"/>
                <w:sz w:val="22"/>
                <w:szCs w:val="22"/>
              </w:rPr>
              <w:t xml:space="preserve">i energetske učinkovitosti </w:t>
            </w:r>
            <w:r w:rsidR="00CD0632" w:rsidRPr="00B255F7">
              <w:rPr>
                <w:rFonts w:cstheme="minorHAnsi"/>
                <w:sz w:val="22"/>
                <w:szCs w:val="22"/>
              </w:rPr>
              <w:t>prihodi</w:t>
            </w:r>
            <w:r w:rsidR="0062723C" w:rsidRPr="00B255F7">
              <w:rPr>
                <w:rFonts w:cstheme="minorHAnsi"/>
                <w:sz w:val="22"/>
                <w:szCs w:val="22"/>
              </w:rPr>
              <w:t>ma</w:t>
            </w:r>
            <w:r w:rsidR="00CD0632" w:rsidRPr="00B255F7">
              <w:rPr>
                <w:rFonts w:cstheme="minorHAnsi"/>
                <w:sz w:val="22"/>
                <w:szCs w:val="22"/>
              </w:rPr>
              <w:t xml:space="preserve"> od prodaje emisijskih jedinica iz EU ETS-a</w:t>
            </w:r>
            <w:r w:rsidR="0062723C" w:rsidRPr="00B255F7">
              <w:rPr>
                <w:rFonts w:cstheme="minorHAnsi"/>
                <w:sz w:val="22"/>
                <w:szCs w:val="22"/>
              </w:rPr>
              <w:t xml:space="preserve"> </w:t>
            </w:r>
          </w:p>
        </w:tc>
        <w:tc>
          <w:tcPr>
            <w:tcW w:w="1683" w:type="pct"/>
          </w:tcPr>
          <w:p w14:paraId="0700F1F0" w14:textId="2C0CAAFC" w:rsidR="00132B6A" w:rsidRPr="00B255F7" w:rsidRDefault="00132B6A" w:rsidP="00132B6A">
            <w:pPr>
              <w:pStyle w:val="Default"/>
              <w:jc w:val="both"/>
              <w:rPr>
                <w:rFonts w:cstheme="minorHAnsi"/>
                <w:sz w:val="22"/>
                <w:szCs w:val="22"/>
              </w:rPr>
            </w:pPr>
            <w:r w:rsidRPr="00B255F7">
              <w:rPr>
                <w:rFonts w:cstheme="minorHAnsi"/>
                <w:sz w:val="22"/>
                <w:szCs w:val="22"/>
              </w:rPr>
              <w:t>Zakon o obnovljivim izvorima energije i visokoučinkovitoj kogeneraciji (</w:t>
            </w:r>
            <w:r>
              <w:rPr>
                <w:rFonts w:cstheme="minorHAnsi"/>
                <w:sz w:val="22"/>
                <w:szCs w:val="22"/>
              </w:rPr>
              <w:t>„</w:t>
            </w:r>
            <w:r w:rsidRPr="00B255F7">
              <w:rPr>
                <w:rFonts w:cstheme="minorHAnsi"/>
                <w:sz w:val="22"/>
                <w:szCs w:val="22"/>
              </w:rPr>
              <w:t>Narodne novine</w:t>
            </w:r>
            <w:r>
              <w:rPr>
                <w:rFonts w:cstheme="minorHAnsi"/>
                <w:sz w:val="22"/>
                <w:szCs w:val="22"/>
              </w:rPr>
              <w:t>“</w:t>
            </w:r>
            <w:r w:rsidRPr="00B255F7">
              <w:rPr>
                <w:rFonts w:cstheme="minorHAnsi"/>
                <w:sz w:val="22"/>
                <w:szCs w:val="22"/>
              </w:rPr>
              <w:t>, br</w:t>
            </w:r>
            <w:r w:rsidR="00EE1897">
              <w:rPr>
                <w:rFonts w:cstheme="minorHAnsi"/>
                <w:sz w:val="22"/>
                <w:szCs w:val="22"/>
              </w:rPr>
              <w:t>.</w:t>
            </w:r>
            <w:r w:rsidRPr="00B255F7">
              <w:rPr>
                <w:rFonts w:cstheme="minorHAnsi"/>
                <w:sz w:val="22"/>
                <w:szCs w:val="22"/>
              </w:rPr>
              <w:t xml:space="preserve"> 138/21</w:t>
            </w:r>
            <w:r>
              <w:rPr>
                <w:rFonts w:cstheme="minorHAnsi"/>
                <w:sz w:val="22"/>
                <w:szCs w:val="22"/>
              </w:rPr>
              <w:t>. i 83/23.</w:t>
            </w:r>
            <w:r w:rsidRPr="00B255F7">
              <w:rPr>
                <w:rFonts w:cstheme="minorHAnsi"/>
                <w:sz w:val="22"/>
                <w:szCs w:val="22"/>
              </w:rPr>
              <w:t>)</w:t>
            </w:r>
          </w:p>
          <w:p w14:paraId="4A4E4500" w14:textId="7D0848C1" w:rsidR="00132B6A" w:rsidRPr="00B255F7" w:rsidRDefault="00132B6A" w:rsidP="00132B6A">
            <w:pPr>
              <w:pStyle w:val="Default"/>
              <w:jc w:val="both"/>
              <w:rPr>
                <w:rFonts w:cstheme="minorHAnsi"/>
                <w:sz w:val="22"/>
                <w:szCs w:val="22"/>
              </w:rPr>
            </w:pPr>
            <w:r w:rsidRPr="00B255F7">
              <w:rPr>
                <w:rFonts w:cstheme="minorHAnsi"/>
                <w:sz w:val="22"/>
                <w:szCs w:val="22"/>
              </w:rPr>
              <w:lastRenderedPageBreak/>
              <w:t>Zakon o energetskoj učinkovitosti (</w:t>
            </w:r>
            <w:r>
              <w:rPr>
                <w:rFonts w:cstheme="minorHAnsi"/>
                <w:sz w:val="22"/>
                <w:szCs w:val="22"/>
              </w:rPr>
              <w:t>„</w:t>
            </w:r>
            <w:r w:rsidRPr="00B255F7">
              <w:rPr>
                <w:rFonts w:cstheme="minorHAnsi"/>
                <w:sz w:val="22"/>
                <w:szCs w:val="22"/>
              </w:rPr>
              <w:t>Narodne novine</w:t>
            </w:r>
            <w:r>
              <w:rPr>
                <w:rFonts w:cstheme="minorHAnsi"/>
                <w:sz w:val="22"/>
                <w:szCs w:val="22"/>
              </w:rPr>
              <w:t>“</w:t>
            </w:r>
            <w:r w:rsidRPr="00B255F7">
              <w:rPr>
                <w:rFonts w:cstheme="minorHAnsi"/>
                <w:sz w:val="22"/>
                <w:szCs w:val="22"/>
              </w:rPr>
              <w:t>, br</w:t>
            </w:r>
            <w:r w:rsidR="00EE1897">
              <w:rPr>
                <w:rFonts w:cstheme="minorHAnsi"/>
                <w:sz w:val="22"/>
                <w:szCs w:val="22"/>
              </w:rPr>
              <w:t>.</w:t>
            </w:r>
            <w:r w:rsidRPr="00B255F7">
              <w:rPr>
                <w:rFonts w:cstheme="minorHAnsi"/>
                <w:sz w:val="22"/>
                <w:szCs w:val="22"/>
              </w:rPr>
              <w:t xml:space="preserve"> 127/14</w:t>
            </w:r>
            <w:r>
              <w:rPr>
                <w:rFonts w:cstheme="minorHAnsi"/>
                <w:sz w:val="22"/>
                <w:szCs w:val="22"/>
              </w:rPr>
              <w:t>.</w:t>
            </w:r>
            <w:r w:rsidRPr="00B255F7">
              <w:rPr>
                <w:rFonts w:cstheme="minorHAnsi"/>
                <w:sz w:val="22"/>
                <w:szCs w:val="22"/>
              </w:rPr>
              <w:t>, 116/18</w:t>
            </w:r>
            <w:r>
              <w:rPr>
                <w:rFonts w:cstheme="minorHAnsi"/>
                <w:sz w:val="22"/>
                <w:szCs w:val="22"/>
              </w:rPr>
              <w:t>.</w:t>
            </w:r>
            <w:r w:rsidRPr="00B255F7">
              <w:rPr>
                <w:rFonts w:cstheme="minorHAnsi"/>
                <w:sz w:val="22"/>
                <w:szCs w:val="22"/>
              </w:rPr>
              <w:t>, 25/20</w:t>
            </w:r>
            <w:r>
              <w:rPr>
                <w:rFonts w:cstheme="minorHAnsi"/>
                <w:sz w:val="22"/>
                <w:szCs w:val="22"/>
              </w:rPr>
              <w:t>.</w:t>
            </w:r>
            <w:r w:rsidRPr="00B255F7">
              <w:rPr>
                <w:rFonts w:cstheme="minorHAnsi"/>
                <w:sz w:val="22"/>
                <w:szCs w:val="22"/>
              </w:rPr>
              <w:t xml:space="preserve"> i 41/21</w:t>
            </w:r>
            <w:r>
              <w:rPr>
                <w:rFonts w:cstheme="minorHAnsi"/>
                <w:sz w:val="22"/>
                <w:szCs w:val="22"/>
              </w:rPr>
              <w:t>.</w:t>
            </w:r>
            <w:r w:rsidRPr="00B255F7">
              <w:rPr>
                <w:rFonts w:cstheme="minorHAnsi"/>
                <w:sz w:val="22"/>
                <w:szCs w:val="22"/>
              </w:rPr>
              <w:t>)</w:t>
            </w:r>
          </w:p>
          <w:p w14:paraId="091FA00E" w14:textId="63605CC7" w:rsidR="001E0162" w:rsidRPr="00B255F7" w:rsidRDefault="006F1183" w:rsidP="00AE4D7E">
            <w:pPr>
              <w:pStyle w:val="Default"/>
              <w:jc w:val="both"/>
              <w:rPr>
                <w:rFonts w:cstheme="minorHAnsi"/>
                <w:color w:val="414145"/>
                <w:sz w:val="22"/>
                <w:szCs w:val="22"/>
                <w:shd w:val="clear" w:color="auto" w:fill="E4E4E7"/>
                <w:lang w:eastAsia="en-GB"/>
              </w:rPr>
            </w:pPr>
            <w:r w:rsidRPr="00B255F7">
              <w:rPr>
                <w:rFonts w:cstheme="minorHAnsi"/>
                <w:sz w:val="22"/>
                <w:szCs w:val="22"/>
              </w:rPr>
              <w:t>Zakon o Fondu za zaštitu okoliša i energetsku učinkovitost</w:t>
            </w:r>
            <w:r w:rsidR="00810167" w:rsidRPr="00B255F7">
              <w:rPr>
                <w:rFonts w:cstheme="minorHAnsi"/>
                <w:sz w:val="22"/>
                <w:szCs w:val="22"/>
              </w:rPr>
              <w:t xml:space="preserve"> (</w:t>
            </w:r>
            <w:r w:rsidR="00132B6A">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132B6A">
              <w:rPr>
                <w:rFonts w:cstheme="minorHAnsi"/>
                <w:sz w:val="22"/>
                <w:szCs w:val="22"/>
              </w:rPr>
              <w:t>“</w:t>
            </w:r>
            <w:r w:rsidR="00071A4F" w:rsidRPr="00B255F7">
              <w:rPr>
                <w:rFonts w:cstheme="minorHAnsi"/>
                <w:sz w:val="22"/>
                <w:szCs w:val="22"/>
              </w:rPr>
              <w:t>, br</w:t>
            </w:r>
            <w:r w:rsidR="00EE1897">
              <w:rPr>
                <w:rFonts w:cstheme="minorHAnsi"/>
                <w:sz w:val="22"/>
                <w:szCs w:val="22"/>
              </w:rPr>
              <w:t>.</w:t>
            </w:r>
            <w:r w:rsidR="00333F50" w:rsidRPr="00B255F7">
              <w:rPr>
                <w:rFonts w:cstheme="minorHAnsi"/>
                <w:sz w:val="22"/>
                <w:szCs w:val="22"/>
              </w:rPr>
              <w:t xml:space="preserve"> </w:t>
            </w:r>
            <w:hyperlink r:id="rId16" w:history="1">
              <w:r w:rsidR="00810167" w:rsidRPr="00B255F7">
                <w:rPr>
                  <w:rFonts w:cstheme="minorHAnsi"/>
                  <w:sz w:val="22"/>
                  <w:szCs w:val="22"/>
                </w:rPr>
                <w:t>107/03</w:t>
              </w:r>
            </w:hyperlink>
            <w:r w:rsidR="00132B6A">
              <w:t>. i</w:t>
            </w:r>
            <w:r w:rsidR="00333F50" w:rsidRPr="00B255F7">
              <w:rPr>
                <w:rFonts w:cstheme="minorHAnsi"/>
                <w:sz w:val="22"/>
                <w:szCs w:val="22"/>
              </w:rPr>
              <w:t xml:space="preserve"> </w:t>
            </w:r>
            <w:hyperlink r:id="rId17" w:history="1">
              <w:r w:rsidR="00810167" w:rsidRPr="00400666">
                <w:rPr>
                  <w:rFonts w:cstheme="minorHAnsi"/>
                  <w:sz w:val="22"/>
                  <w:szCs w:val="22"/>
                </w:rPr>
                <w:t>144</w:t>
              </w:r>
              <w:r w:rsidR="005B41DA" w:rsidRPr="00400666">
                <w:rPr>
                  <w:rFonts w:cstheme="minorHAnsi"/>
                  <w:sz w:val="22"/>
                  <w:szCs w:val="22"/>
                </w:rPr>
                <w:t>/12</w:t>
              </w:r>
            </w:hyperlink>
            <w:r w:rsidR="00132B6A">
              <w:t>.</w:t>
            </w:r>
            <w:r w:rsidR="00333F50" w:rsidRPr="00400666">
              <w:rPr>
                <w:rFonts w:cstheme="minorHAnsi"/>
                <w:sz w:val="22"/>
                <w:szCs w:val="22"/>
              </w:rPr>
              <w:t>)</w:t>
            </w:r>
          </w:p>
          <w:p w14:paraId="55F367EC" w14:textId="0D0EBA1C" w:rsidR="001E0162" w:rsidRPr="00B255F7" w:rsidRDefault="005C164E" w:rsidP="00AE4D7E">
            <w:pPr>
              <w:pStyle w:val="Default"/>
              <w:jc w:val="both"/>
              <w:rPr>
                <w:rFonts w:cstheme="minorHAnsi"/>
                <w:sz w:val="22"/>
                <w:szCs w:val="22"/>
              </w:rPr>
            </w:pPr>
            <w:r w:rsidRPr="0008299A">
              <w:rPr>
                <w:rFonts w:cstheme="minorHAnsi"/>
                <w:sz w:val="22"/>
                <w:szCs w:val="22"/>
              </w:rPr>
              <w:t>Zakon o klimatskim promjenam</w:t>
            </w:r>
            <w:r w:rsidR="00A11B95" w:rsidRPr="0008299A">
              <w:rPr>
                <w:rFonts w:cstheme="minorHAnsi"/>
                <w:sz w:val="22"/>
                <w:szCs w:val="22"/>
              </w:rPr>
              <w:t xml:space="preserve">a i zaštiti ozonskog sloja </w:t>
            </w:r>
            <w:r w:rsidR="00A11B95" w:rsidRPr="00B255F7">
              <w:rPr>
                <w:rFonts w:cstheme="minorHAnsi"/>
                <w:sz w:val="22"/>
                <w:szCs w:val="22"/>
              </w:rPr>
              <w:t>(</w:t>
            </w:r>
            <w:r w:rsidR="00132B6A">
              <w:rPr>
                <w:rFonts w:cstheme="minorHAnsi"/>
                <w:sz w:val="22"/>
                <w:szCs w:val="22"/>
              </w:rPr>
              <w:t>„</w:t>
            </w:r>
            <w:r w:rsidR="00A11B95" w:rsidRPr="00B255F7">
              <w:rPr>
                <w:rFonts w:cstheme="minorHAnsi"/>
                <w:sz w:val="22"/>
                <w:szCs w:val="22"/>
              </w:rPr>
              <w:t>Narodne novine</w:t>
            </w:r>
            <w:r w:rsidR="00132B6A">
              <w:rPr>
                <w:rFonts w:cstheme="minorHAnsi"/>
                <w:sz w:val="22"/>
                <w:szCs w:val="22"/>
              </w:rPr>
              <w:t>“</w:t>
            </w:r>
            <w:r w:rsidR="00A11B95" w:rsidRPr="00B255F7">
              <w:rPr>
                <w:rFonts w:cstheme="minorHAnsi"/>
                <w:sz w:val="22"/>
                <w:szCs w:val="22"/>
              </w:rPr>
              <w:t xml:space="preserve">, </w:t>
            </w:r>
            <w:r w:rsidR="00EE1897" w:rsidRPr="00B255F7">
              <w:rPr>
                <w:rFonts w:cstheme="minorHAnsi"/>
                <w:sz w:val="22"/>
                <w:szCs w:val="22"/>
              </w:rPr>
              <w:t>br</w:t>
            </w:r>
            <w:r w:rsidR="00EE1897">
              <w:rPr>
                <w:rFonts w:cstheme="minorHAnsi"/>
                <w:sz w:val="22"/>
                <w:szCs w:val="22"/>
              </w:rPr>
              <w:t>.</w:t>
            </w:r>
            <w:r w:rsidR="00EE1897" w:rsidRPr="00B255F7">
              <w:rPr>
                <w:rFonts w:cstheme="minorHAnsi"/>
                <w:sz w:val="22"/>
                <w:szCs w:val="22"/>
              </w:rPr>
              <w:t xml:space="preserve"> </w:t>
            </w:r>
            <w:r w:rsidR="00BB70AF" w:rsidRPr="00B255F7">
              <w:rPr>
                <w:rFonts w:cstheme="minorHAnsi"/>
                <w:sz w:val="22"/>
                <w:szCs w:val="22"/>
              </w:rPr>
              <w:t>127/19</w:t>
            </w:r>
            <w:r w:rsidR="00132B6A">
              <w:rPr>
                <w:rFonts w:cstheme="minorHAnsi"/>
                <w:sz w:val="22"/>
                <w:szCs w:val="22"/>
              </w:rPr>
              <w:t>.</w:t>
            </w:r>
            <w:r w:rsidR="00400666">
              <w:rPr>
                <w:rFonts w:cstheme="minorHAnsi"/>
                <w:sz w:val="22"/>
                <w:szCs w:val="22"/>
              </w:rPr>
              <w:t>)</w:t>
            </w:r>
          </w:p>
        </w:tc>
        <w:tc>
          <w:tcPr>
            <w:tcW w:w="1708" w:type="pct"/>
          </w:tcPr>
          <w:p w14:paraId="75E69B3A" w14:textId="46740A0D" w:rsidR="001E0162" w:rsidRPr="00B255F7" w:rsidRDefault="00A004BA" w:rsidP="00AE4D7E">
            <w:pPr>
              <w:pStyle w:val="Default"/>
              <w:jc w:val="both"/>
              <w:rPr>
                <w:rFonts w:cstheme="minorHAnsi"/>
                <w:sz w:val="22"/>
                <w:szCs w:val="22"/>
              </w:rPr>
            </w:pPr>
            <w:r w:rsidRPr="00B255F7">
              <w:rPr>
                <w:rFonts w:cstheme="minorHAnsi"/>
                <w:sz w:val="22"/>
                <w:szCs w:val="22"/>
              </w:rPr>
              <w:lastRenderedPageBreak/>
              <w:t xml:space="preserve">Sredstva za financiranje osiguravaju se iz namjenskih prihoda Fonda od naknada onečišćivača okoliša, što </w:t>
            </w:r>
            <w:r w:rsidRPr="00B255F7">
              <w:rPr>
                <w:rFonts w:cstheme="minorHAnsi"/>
                <w:sz w:val="22"/>
                <w:szCs w:val="22"/>
              </w:rPr>
              <w:lastRenderedPageBreak/>
              <w:t>uključuje naknade na emisij</w:t>
            </w:r>
            <w:r w:rsidR="001155A4" w:rsidRPr="00B255F7">
              <w:rPr>
                <w:rFonts w:cstheme="minorHAnsi"/>
                <w:sz w:val="22"/>
                <w:szCs w:val="22"/>
              </w:rPr>
              <w:t>u</w:t>
            </w:r>
            <w:r w:rsidRPr="00B255F7">
              <w:rPr>
                <w:rFonts w:cstheme="minorHAnsi"/>
                <w:sz w:val="22"/>
                <w:szCs w:val="22"/>
              </w:rPr>
              <w:t xml:space="preserve"> ugljikovog dioksida, naknade za opterećivanje okoliša otpadom, naknade korisnika okoliša i posebne naknade za okoliš za vozila na motorni pogon</w:t>
            </w:r>
            <w:r w:rsidR="005F53E0" w:rsidRPr="00B255F7">
              <w:rPr>
                <w:rFonts w:cstheme="minorHAnsi"/>
                <w:sz w:val="22"/>
                <w:szCs w:val="22"/>
              </w:rPr>
              <w:t xml:space="preserve"> te prihodi</w:t>
            </w:r>
            <w:r w:rsidR="00335E49" w:rsidRPr="00B255F7">
              <w:rPr>
                <w:rFonts w:cstheme="minorHAnsi"/>
                <w:sz w:val="22"/>
                <w:szCs w:val="22"/>
              </w:rPr>
              <w:t>ma</w:t>
            </w:r>
            <w:r w:rsidR="005F53E0" w:rsidRPr="00B255F7">
              <w:rPr>
                <w:rFonts w:cstheme="minorHAnsi"/>
                <w:sz w:val="22"/>
                <w:szCs w:val="22"/>
              </w:rPr>
              <w:t xml:space="preserve"> od prodaje emisijskih </w:t>
            </w:r>
            <w:r w:rsidR="00301F2A" w:rsidRPr="00B255F7">
              <w:rPr>
                <w:rFonts w:cstheme="minorHAnsi"/>
                <w:sz w:val="22"/>
                <w:szCs w:val="22"/>
              </w:rPr>
              <w:t>jedinica iz EU ETS-a</w:t>
            </w:r>
            <w:r w:rsidRPr="00B255F7">
              <w:rPr>
                <w:rFonts w:cstheme="minorHAnsi"/>
                <w:sz w:val="22"/>
                <w:szCs w:val="22"/>
              </w:rPr>
              <w:t xml:space="preserve">. </w:t>
            </w:r>
            <w:r w:rsidR="00D179DB" w:rsidRPr="00B255F7">
              <w:rPr>
                <w:rFonts w:cstheme="minorHAnsi"/>
                <w:sz w:val="22"/>
                <w:szCs w:val="22"/>
              </w:rPr>
              <w:t>Sredstvima Modernizacijskog fonda</w:t>
            </w:r>
            <w:r w:rsidR="009C1D97" w:rsidRPr="00B255F7">
              <w:rPr>
                <w:rFonts w:cstheme="minorHAnsi"/>
                <w:sz w:val="22"/>
                <w:szCs w:val="22"/>
              </w:rPr>
              <w:t>,</w:t>
            </w:r>
            <w:r w:rsidRPr="00B255F7">
              <w:rPr>
                <w:rFonts w:cstheme="minorHAnsi"/>
                <w:sz w:val="22"/>
                <w:szCs w:val="22"/>
              </w:rPr>
              <w:t xml:space="preserve"> Projekti </w:t>
            </w:r>
            <w:r w:rsidR="004A37C4" w:rsidRPr="00B255F7">
              <w:rPr>
                <w:rFonts w:cstheme="minorHAnsi"/>
                <w:sz w:val="22"/>
                <w:szCs w:val="22"/>
              </w:rPr>
              <w:t xml:space="preserve">OIE </w:t>
            </w:r>
            <w:r w:rsidRPr="00B255F7">
              <w:rPr>
                <w:rFonts w:cstheme="minorHAnsi"/>
                <w:sz w:val="22"/>
                <w:szCs w:val="22"/>
              </w:rPr>
              <w:t xml:space="preserve">za koja Fond za zaštitu okoliša i energetsku učinkovitost dodjeljuje sredstva uključuju </w:t>
            </w:r>
            <w:r w:rsidR="00655004" w:rsidRPr="00B255F7">
              <w:rPr>
                <w:rFonts w:cstheme="minorHAnsi"/>
                <w:sz w:val="22"/>
                <w:szCs w:val="22"/>
              </w:rPr>
              <w:t xml:space="preserve">Sunčevu </w:t>
            </w:r>
            <w:r w:rsidRPr="00B255F7">
              <w:rPr>
                <w:rFonts w:cstheme="minorHAnsi"/>
                <w:sz w:val="22"/>
                <w:szCs w:val="22"/>
              </w:rPr>
              <w:t>energiju, energiju vjetra, energiju biomase, energiju iz malih hidroelektrana i geotermalnu energiju.</w:t>
            </w:r>
          </w:p>
        </w:tc>
      </w:tr>
      <w:tr w:rsidR="00511C1A" w:rsidRPr="00B255F7" w14:paraId="7B28DC63" w14:textId="77777777" w:rsidTr="63259912">
        <w:tc>
          <w:tcPr>
            <w:tcW w:w="1609" w:type="pct"/>
          </w:tcPr>
          <w:p w14:paraId="1823B7FB" w14:textId="30AF7464" w:rsidR="00511C1A" w:rsidRPr="00B255F7" w:rsidRDefault="00511C1A" w:rsidP="00AE4D7E">
            <w:pPr>
              <w:pStyle w:val="Default"/>
              <w:jc w:val="both"/>
              <w:rPr>
                <w:rFonts w:cstheme="minorHAnsi"/>
                <w:b/>
                <w:sz w:val="22"/>
                <w:szCs w:val="22"/>
              </w:rPr>
            </w:pPr>
            <w:r w:rsidRPr="00B255F7">
              <w:rPr>
                <w:rFonts w:cstheme="minorHAnsi"/>
                <w:sz w:val="22"/>
                <w:szCs w:val="22"/>
              </w:rPr>
              <w:lastRenderedPageBreak/>
              <w:t>Djelovanje na lokalnoj razini</w:t>
            </w:r>
          </w:p>
        </w:tc>
        <w:tc>
          <w:tcPr>
            <w:tcW w:w="1683" w:type="pct"/>
          </w:tcPr>
          <w:p w14:paraId="2D55E523" w14:textId="432253C8" w:rsidR="00511C1A" w:rsidRPr="00B255F7" w:rsidRDefault="009E16D2" w:rsidP="00AE4D7E">
            <w:pPr>
              <w:pStyle w:val="Default"/>
              <w:jc w:val="both"/>
              <w:rPr>
                <w:rFonts w:cstheme="minorHAnsi"/>
                <w:sz w:val="22"/>
                <w:szCs w:val="22"/>
              </w:rPr>
            </w:pPr>
            <w:r w:rsidRPr="00B255F7">
              <w:rPr>
                <w:rFonts w:cstheme="minorHAnsi"/>
                <w:sz w:val="22"/>
                <w:szCs w:val="22"/>
              </w:rPr>
              <w:t xml:space="preserve">Integrirani nacionalni energetski i klimatski plan za razdoblje </w:t>
            </w:r>
            <w:r w:rsidR="0014546A" w:rsidRPr="00B255F7">
              <w:rPr>
                <w:rFonts w:cstheme="minorHAnsi"/>
                <w:sz w:val="22"/>
                <w:szCs w:val="22"/>
              </w:rPr>
              <w:t>od 2021. do 2030.</w:t>
            </w:r>
            <w:r w:rsidR="006C5C2F">
              <w:rPr>
                <w:rFonts w:cstheme="minorHAnsi"/>
                <w:sz w:val="22"/>
                <w:szCs w:val="22"/>
              </w:rPr>
              <w:t xml:space="preserve"> godine</w:t>
            </w:r>
          </w:p>
        </w:tc>
        <w:tc>
          <w:tcPr>
            <w:tcW w:w="1708" w:type="pct"/>
          </w:tcPr>
          <w:p w14:paraId="53443818" w14:textId="33D572D4" w:rsidR="00511C1A" w:rsidRPr="00B255F7" w:rsidRDefault="00511C1A" w:rsidP="00AE4D7E">
            <w:pPr>
              <w:pStyle w:val="Default"/>
              <w:jc w:val="both"/>
              <w:rPr>
                <w:rFonts w:cstheme="minorHAnsi"/>
                <w:sz w:val="22"/>
                <w:szCs w:val="22"/>
              </w:rPr>
            </w:pPr>
            <w:r w:rsidRPr="00B255F7">
              <w:rPr>
                <w:rFonts w:cstheme="minorHAnsi"/>
                <w:sz w:val="22"/>
                <w:szCs w:val="22"/>
              </w:rPr>
              <w:t>Podizanje svijesti o OIE, s očekivanim rezultatom promjene ponašanja. Ciljne skupine su lokalne vlasti, interesne skupine</w:t>
            </w:r>
            <w:r w:rsidR="0014016B" w:rsidRPr="00B255F7">
              <w:rPr>
                <w:rFonts w:cstheme="minorHAnsi"/>
                <w:sz w:val="22"/>
                <w:szCs w:val="22"/>
              </w:rPr>
              <w:t xml:space="preserve"> i</w:t>
            </w:r>
            <w:r w:rsidRPr="00B255F7">
              <w:rPr>
                <w:rFonts w:cstheme="minorHAnsi"/>
                <w:sz w:val="22"/>
                <w:szCs w:val="22"/>
              </w:rPr>
              <w:t xml:space="preserve"> javnost.</w:t>
            </w:r>
          </w:p>
        </w:tc>
      </w:tr>
      <w:tr w:rsidR="0063094C" w:rsidRPr="00B255F7" w14:paraId="06176942" w14:textId="77777777" w:rsidTr="63259912">
        <w:tc>
          <w:tcPr>
            <w:tcW w:w="1609" w:type="pct"/>
          </w:tcPr>
          <w:p w14:paraId="40159A29" w14:textId="42DB0864" w:rsidR="0063094C" w:rsidRPr="00B255F7" w:rsidRDefault="0063094C" w:rsidP="63259912">
            <w:pPr>
              <w:pStyle w:val="Default"/>
              <w:jc w:val="both"/>
              <w:rPr>
                <w:rFonts w:cstheme="minorBidi"/>
                <w:b/>
                <w:bCs/>
                <w:sz w:val="22"/>
                <w:szCs w:val="22"/>
              </w:rPr>
            </w:pPr>
            <w:r w:rsidRPr="63259912">
              <w:rPr>
                <w:rFonts w:cstheme="minorBidi"/>
                <w:sz w:val="22"/>
                <w:szCs w:val="22"/>
              </w:rPr>
              <w:t>Revitalizacija, izgradnja i digitalizacija energetskog sektora i prateće infrastrukture za dekarbonizaciju energetskog sektora</w:t>
            </w:r>
          </w:p>
        </w:tc>
        <w:tc>
          <w:tcPr>
            <w:tcW w:w="1683" w:type="pct"/>
          </w:tcPr>
          <w:p w14:paraId="67E14546" w14:textId="01DA938F" w:rsidR="0063094C" w:rsidRPr="00B255F7" w:rsidRDefault="0063094C" w:rsidP="00AE4D7E">
            <w:pPr>
              <w:pStyle w:val="Default"/>
              <w:jc w:val="both"/>
              <w:rPr>
                <w:rFonts w:cstheme="minorHAnsi"/>
                <w:sz w:val="22"/>
                <w:szCs w:val="22"/>
              </w:rPr>
            </w:pPr>
            <w:r w:rsidRPr="00B255F7">
              <w:rPr>
                <w:rFonts w:cstheme="minorHAnsi"/>
                <w:sz w:val="22"/>
                <w:szCs w:val="22"/>
              </w:rPr>
              <w:t>N</w:t>
            </w:r>
            <w:r w:rsidR="00773AE7" w:rsidRPr="00B255F7">
              <w:rPr>
                <w:rFonts w:cstheme="minorHAnsi"/>
                <w:sz w:val="22"/>
                <w:szCs w:val="22"/>
              </w:rPr>
              <w:t xml:space="preserve">acionalni plan oporavka i otpornosti </w:t>
            </w:r>
            <w:r w:rsidR="006C5C2F">
              <w:rPr>
                <w:rFonts w:cstheme="minorHAnsi"/>
                <w:sz w:val="22"/>
                <w:szCs w:val="22"/>
              </w:rPr>
              <w:t xml:space="preserve">(NPOO) </w:t>
            </w:r>
            <w:r w:rsidR="00773AE7" w:rsidRPr="00B255F7">
              <w:rPr>
                <w:rFonts w:cstheme="minorHAnsi"/>
                <w:sz w:val="22"/>
                <w:szCs w:val="22"/>
              </w:rPr>
              <w:t xml:space="preserve">2021.-2026. </w:t>
            </w:r>
            <w:r w:rsidR="006C5C2F">
              <w:rPr>
                <w:rFonts w:cstheme="minorHAnsi"/>
                <w:sz w:val="22"/>
                <w:szCs w:val="22"/>
              </w:rPr>
              <w:t>godine</w:t>
            </w:r>
            <w:r w:rsidR="005E6487" w:rsidRPr="00B255F7">
              <w:rPr>
                <w:rFonts w:cstheme="minorHAnsi"/>
                <w:sz w:val="22"/>
                <w:szCs w:val="22"/>
              </w:rPr>
              <w:t>,</w:t>
            </w:r>
            <w:r w:rsidR="00B53F3E" w:rsidRPr="00B255F7">
              <w:rPr>
                <w:rFonts w:cstheme="minorHAnsi"/>
                <w:sz w:val="22"/>
                <w:szCs w:val="22"/>
              </w:rPr>
              <w:t xml:space="preserve"> </w:t>
            </w:r>
          </w:p>
          <w:p w14:paraId="17C7F9CD" w14:textId="2835FE42" w:rsidR="0063094C" w:rsidRPr="00B255F7" w:rsidRDefault="005E6487" w:rsidP="00AE4D7E">
            <w:pPr>
              <w:pStyle w:val="Default"/>
              <w:jc w:val="both"/>
              <w:rPr>
                <w:rFonts w:cstheme="minorHAnsi"/>
                <w:sz w:val="22"/>
                <w:szCs w:val="22"/>
              </w:rPr>
            </w:pPr>
            <w:r w:rsidRPr="00237F26">
              <w:rPr>
                <w:rFonts w:cstheme="minorHAnsi"/>
                <w:sz w:val="22"/>
                <w:szCs w:val="22"/>
              </w:rPr>
              <w:t xml:space="preserve">Zakon o klimatskim promjenama i zaštiti ozonskog sloja </w:t>
            </w:r>
            <w:r w:rsidRPr="00B255F7">
              <w:rPr>
                <w:rFonts w:cstheme="minorHAnsi"/>
                <w:sz w:val="22"/>
                <w:szCs w:val="22"/>
              </w:rPr>
              <w:t>(</w:t>
            </w:r>
            <w:r w:rsidR="00132B6A">
              <w:rPr>
                <w:rFonts w:cstheme="minorHAnsi"/>
                <w:sz w:val="22"/>
                <w:szCs w:val="22"/>
              </w:rPr>
              <w:t>„</w:t>
            </w:r>
            <w:r w:rsidRPr="00B255F7">
              <w:rPr>
                <w:rFonts w:cstheme="minorHAnsi"/>
                <w:sz w:val="22"/>
                <w:szCs w:val="22"/>
              </w:rPr>
              <w:t>Narodne novine</w:t>
            </w:r>
            <w:r w:rsidR="00132B6A">
              <w:rPr>
                <w:rFonts w:cstheme="minorHAnsi"/>
                <w:sz w:val="22"/>
                <w:szCs w:val="22"/>
              </w:rPr>
              <w:t>“</w:t>
            </w:r>
            <w:r w:rsidRPr="00B255F7">
              <w:rPr>
                <w:rFonts w:cstheme="minorHAnsi"/>
                <w:sz w:val="22"/>
                <w:szCs w:val="22"/>
              </w:rPr>
              <w:t xml:space="preserve">, </w:t>
            </w:r>
            <w:r w:rsidR="00EE1897" w:rsidRPr="00B255F7">
              <w:rPr>
                <w:rFonts w:cstheme="minorHAnsi"/>
                <w:sz w:val="22"/>
                <w:szCs w:val="22"/>
              </w:rPr>
              <w:t>br</w:t>
            </w:r>
            <w:r w:rsidR="00EE1897">
              <w:rPr>
                <w:rFonts w:cstheme="minorHAnsi"/>
                <w:sz w:val="22"/>
                <w:szCs w:val="22"/>
              </w:rPr>
              <w:t>.</w:t>
            </w:r>
            <w:r w:rsidR="00EE1897" w:rsidRPr="00B255F7">
              <w:rPr>
                <w:rFonts w:cstheme="minorHAnsi"/>
                <w:sz w:val="22"/>
                <w:szCs w:val="22"/>
              </w:rPr>
              <w:t xml:space="preserve"> </w:t>
            </w:r>
            <w:r w:rsidRPr="00B255F7">
              <w:rPr>
                <w:rFonts w:cstheme="minorHAnsi"/>
                <w:sz w:val="22"/>
                <w:szCs w:val="22"/>
              </w:rPr>
              <w:t>127/19</w:t>
            </w:r>
            <w:r w:rsidR="00132B6A">
              <w:rPr>
                <w:rFonts w:cstheme="minorHAnsi"/>
                <w:sz w:val="22"/>
                <w:szCs w:val="22"/>
              </w:rPr>
              <w:t>.</w:t>
            </w:r>
            <w:r w:rsidR="00237F26">
              <w:rPr>
                <w:rFonts w:cstheme="minorHAnsi"/>
                <w:sz w:val="22"/>
                <w:szCs w:val="22"/>
              </w:rPr>
              <w:t>)</w:t>
            </w:r>
          </w:p>
        </w:tc>
        <w:tc>
          <w:tcPr>
            <w:tcW w:w="1708" w:type="pct"/>
          </w:tcPr>
          <w:p w14:paraId="6DC6FE51" w14:textId="4ED6B4FE" w:rsidR="0063094C" w:rsidRPr="00B255F7" w:rsidRDefault="003B6FD4" w:rsidP="00AE4D7E">
            <w:pPr>
              <w:pStyle w:val="Default"/>
              <w:jc w:val="both"/>
              <w:rPr>
                <w:rFonts w:cstheme="minorHAnsi"/>
                <w:sz w:val="22"/>
                <w:szCs w:val="22"/>
              </w:rPr>
            </w:pPr>
            <w:r w:rsidRPr="00B255F7">
              <w:rPr>
                <w:rFonts w:cstheme="minorHAnsi"/>
                <w:sz w:val="22"/>
                <w:szCs w:val="22"/>
              </w:rPr>
              <w:t>Ubrzavanje investicija u razvoj mreže na način da se postojeći sustav prijenosa i distribucije električne energije zbog povećanja kapaciteta prijenosa revitaliziraju, digitaliziraju i dograde s novim kapacitetima uslijed povećanih potreba u pogledu OIE do 2030. godine</w:t>
            </w:r>
            <w:r w:rsidR="00593FEA" w:rsidRPr="00B255F7">
              <w:rPr>
                <w:rFonts w:cstheme="minorHAnsi"/>
                <w:sz w:val="22"/>
                <w:szCs w:val="22"/>
              </w:rPr>
              <w:t>. Pored sredstva NPOO-a koristit će se i sredstva Moderniz</w:t>
            </w:r>
            <w:r w:rsidR="009362CD" w:rsidRPr="00B255F7">
              <w:rPr>
                <w:rFonts w:cstheme="minorHAnsi"/>
                <w:sz w:val="22"/>
                <w:szCs w:val="22"/>
              </w:rPr>
              <w:t>acijskog fonda.</w:t>
            </w:r>
          </w:p>
        </w:tc>
      </w:tr>
      <w:tr w:rsidR="00AD23A2" w:rsidRPr="00B255F7" w14:paraId="5A514B54" w14:textId="77777777" w:rsidTr="63259912">
        <w:tc>
          <w:tcPr>
            <w:tcW w:w="1609" w:type="pct"/>
          </w:tcPr>
          <w:p w14:paraId="04D2796A" w14:textId="1249C960" w:rsidR="00AD23A2" w:rsidRPr="00B255F7" w:rsidRDefault="00AD23A2" w:rsidP="63259912">
            <w:pPr>
              <w:pStyle w:val="Default"/>
              <w:jc w:val="both"/>
              <w:rPr>
                <w:rFonts w:cstheme="minorBidi"/>
                <w:b/>
                <w:bCs/>
                <w:sz w:val="22"/>
                <w:szCs w:val="22"/>
              </w:rPr>
            </w:pPr>
            <w:r w:rsidRPr="63259912">
              <w:rPr>
                <w:rFonts w:cstheme="minorBidi"/>
                <w:sz w:val="22"/>
                <w:szCs w:val="22"/>
              </w:rPr>
              <w:t>Dekarbonizacija sustava grijanja u javnom sektoru</w:t>
            </w:r>
          </w:p>
        </w:tc>
        <w:tc>
          <w:tcPr>
            <w:tcW w:w="1683" w:type="pct"/>
          </w:tcPr>
          <w:p w14:paraId="1988916E" w14:textId="42C438E5" w:rsidR="00AD23A2" w:rsidRPr="00B255F7" w:rsidRDefault="00AD23A2" w:rsidP="00AE4D7E">
            <w:pPr>
              <w:pStyle w:val="Default"/>
              <w:jc w:val="both"/>
              <w:rPr>
                <w:rFonts w:cstheme="minorHAnsi"/>
                <w:sz w:val="22"/>
                <w:szCs w:val="22"/>
              </w:rPr>
            </w:pPr>
            <w:r w:rsidRPr="00B255F7">
              <w:rPr>
                <w:rFonts w:cstheme="minorHAnsi"/>
                <w:sz w:val="22"/>
                <w:szCs w:val="22"/>
              </w:rPr>
              <w:t>Nacionalni akcijski plan energetske učinkovitosti za razdoblje od 2022.</w:t>
            </w:r>
            <w:r w:rsidR="00F93998">
              <w:rPr>
                <w:rFonts w:cstheme="minorHAnsi"/>
                <w:sz w:val="22"/>
                <w:szCs w:val="22"/>
              </w:rPr>
              <w:t xml:space="preserve"> do </w:t>
            </w:r>
            <w:r w:rsidRPr="00B255F7">
              <w:rPr>
                <w:rFonts w:cstheme="minorHAnsi"/>
                <w:sz w:val="22"/>
                <w:szCs w:val="22"/>
              </w:rPr>
              <w:t>2024. godine</w:t>
            </w:r>
            <w:r w:rsidR="00F93998">
              <w:rPr>
                <w:rFonts w:cstheme="minorHAnsi"/>
                <w:sz w:val="22"/>
                <w:szCs w:val="22"/>
              </w:rPr>
              <w:t xml:space="preserve"> </w:t>
            </w:r>
            <w:r w:rsidR="00F93998" w:rsidRPr="00B47BDA">
              <w:t>[</w:t>
            </w:r>
            <w:r w:rsidR="00AC043A">
              <w:t>13</w:t>
            </w:r>
            <w:r w:rsidR="00F93998" w:rsidRPr="00B47BDA">
              <w:t>]</w:t>
            </w:r>
          </w:p>
        </w:tc>
        <w:tc>
          <w:tcPr>
            <w:tcW w:w="1708" w:type="pct"/>
          </w:tcPr>
          <w:p w14:paraId="273FEC19" w14:textId="1548CB09" w:rsidR="00AD23A2" w:rsidRPr="00B255F7" w:rsidRDefault="00AD23A2" w:rsidP="00AE4D7E">
            <w:pPr>
              <w:pStyle w:val="Default"/>
              <w:jc w:val="both"/>
              <w:rPr>
                <w:rFonts w:cstheme="minorHAnsi"/>
                <w:sz w:val="22"/>
                <w:szCs w:val="22"/>
              </w:rPr>
            </w:pPr>
            <w:r w:rsidRPr="00B255F7">
              <w:rPr>
                <w:rFonts w:cstheme="minorHAnsi"/>
                <w:sz w:val="22"/>
                <w:szCs w:val="22"/>
              </w:rPr>
              <w:t>Zamjena sustava grijanja koja koriste kruta i tekuća fosiln</w:t>
            </w:r>
            <w:r w:rsidR="0014016B" w:rsidRPr="00B255F7">
              <w:rPr>
                <w:rFonts w:cstheme="minorHAnsi"/>
                <w:sz w:val="22"/>
                <w:szCs w:val="22"/>
              </w:rPr>
              <w:t>a</w:t>
            </w:r>
            <w:r w:rsidRPr="00B255F7">
              <w:rPr>
                <w:rFonts w:cstheme="minorHAnsi"/>
                <w:sz w:val="22"/>
                <w:szCs w:val="22"/>
              </w:rPr>
              <w:t xml:space="preserve"> goriva te sufinanciranje za zamjenu sustava koja koriste prirodni plin novim, učinkovitijim sustavom koji koristi OIE. Također, poticanje  elektrifikacije sustava grijanja primjenom dizalica topline uz obaveznu proizvodnju električne energije iz fotonaponskih sustava na samoj zgradi, priključak zgrada na postojeće učinkovitije CTS-ove te razvoj novi</w:t>
            </w:r>
            <w:r w:rsidR="00313A07" w:rsidRPr="00B255F7">
              <w:rPr>
                <w:rFonts w:cstheme="minorHAnsi"/>
                <w:sz w:val="22"/>
                <w:szCs w:val="22"/>
              </w:rPr>
              <w:t>h</w:t>
            </w:r>
            <w:r w:rsidRPr="00B255F7">
              <w:rPr>
                <w:rFonts w:cstheme="minorHAnsi"/>
                <w:sz w:val="22"/>
                <w:szCs w:val="22"/>
              </w:rPr>
              <w:t xml:space="preserve"> centralnih </w:t>
            </w:r>
            <w:r w:rsidRPr="00B255F7">
              <w:rPr>
                <w:rFonts w:cstheme="minorHAnsi"/>
                <w:sz w:val="22"/>
                <w:szCs w:val="22"/>
              </w:rPr>
              <w:lastRenderedPageBreak/>
              <w:t>sustava grijanja za opskrbu većeg broja zgrada.</w:t>
            </w:r>
          </w:p>
        </w:tc>
      </w:tr>
      <w:tr w:rsidR="00EE1DD4" w:rsidRPr="00B255F7" w14:paraId="2619657E" w14:textId="77777777" w:rsidTr="63259912">
        <w:tc>
          <w:tcPr>
            <w:tcW w:w="5000" w:type="pct"/>
            <w:gridSpan w:val="3"/>
            <w:shd w:val="clear" w:color="auto" w:fill="D9D9D9" w:themeFill="background1" w:themeFillShade="D9"/>
          </w:tcPr>
          <w:p w14:paraId="66BAC4B6" w14:textId="340EC939" w:rsidR="00EE1DD4" w:rsidRPr="00B255F7" w:rsidRDefault="0070662D"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lastRenderedPageBreak/>
              <w:t>Promet</w:t>
            </w:r>
          </w:p>
        </w:tc>
      </w:tr>
      <w:tr w:rsidR="00EE1DD4" w:rsidRPr="00B255F7" w14:paraId="2F75C2EE" w14:textId="77777777" w:rsidTr="63259912">
        <w:tc>
          <w:tcPr>
            <w:tcW w:w="1609" w:type="pct"/>
          </w:tcPr>
          <w:p w14:paraId="3757516A" w14:textId="09ABFC5A" w:rsidR="00EE1DD4" w:rsidRPr="00B255F7" w:rsidRDefault="0070662D" w:rsidP="00AE4D7E">
            <w:pPr>
              <w:pStyle w:val="Default"/>
              <w:jc w:val="both"/>
              <w:rPr>
                <w:rFonts w:cstheme="minorHAnsi"/>
                <w:b/>
                <w:sz w:val="22"/>
                <w:szCs w:val="22"/>
                <w:highlight w:val="yellow"/>
              </w:rPr>
            </w:pPr>
            <w:r w:rsidRPr="00B255F7">
              <w:rPr>
                <w:rFonts w:cstheme="minorHAnsi"/>
                <w:sz w:val="22"/>
                <w:szCs w:val="22"/>
              </w:rPr>
              <w:t>Informiranje potrošača o ekonomičnosti potrošnje goriva i emisiji CO</w:t>
            </w:r>
            <w:r w:rsidRPr="00B255F7">
              <w:rPr>
                <w:rFonts w:cstheme="minorHAnsi"/>
                <w:sz w:val="22"/>
                <w:szCs w:val="22"/>
                <w:vertAlign w:val="subscript"/>
              </w:rPr>
              <w:t>2</w:t>
            </w:r>
            <w:r w:rsidRPr="00B255F7">
              <w:rPr>
                <w:rFonts w:cstheme="minorHAnsi"/>
                <w:sz w:val="22"/>
                <w:szCs w:val="22"/>
              </w:rPr>
              <w:t xml:space="preserve"> novih osobnih automobila</w:t>
            </w:r>
          </w:p>
        </w:tc>
        <w:tc>
          <w:tcPr>
            <w:tcW w:w="1683" w:type="pct"/>
          </w:tcPr>
          <w:p w14:paraId="10F396D6" w14:textId="122CFF0D" w:rsidR="00EE1DD4" w:rsidRPr="00B255F7" w:rsidRDefault="00511058" w:rsidP="00AE4D7E">
            <w:pPr>
              <w:pStyle w:val="Default"/>
              <w:jc w:val="both"/>
              <w:rPr>
                <w:rFonts w:cstheme="minorHAnsi"/>
                <w:sz w:val="22"/>
                <w:szCs w:val="22"/>
                <w:highlight w:val="yellow"/>
              </w:rPr>
            </w:pPr>
            <w:r w:rsidRPr="00B255F7">
              <w:rPr>
                <w:rFonts w:cstheme="minorHAnsi"/>
                <w:sz w:val="22"/>
                <w:szCs w:val="22"/>
              </w:rPr>
              <w:t>Pravilnik o dostupnosti podataka potrošačima o službenoj potrošnji goriva i službenim specifičnim emisijama CO</w:t>
            </w:r>
            <w:r w:rsidRPr="00B255F7">
              <w:rPr>
                <w:rFonts w:cstheme="minorHAnsi"/>
                <w:sz w:val="22"/>
                <w:szCs w:val="22"/>
                <w:vertAlign w:val="subscript"/>
              </w:rPr>
              <w:t>2</w:t>
            </w:r>
            <w:r w:rsidRPr="00B255F7">
              <w:rPr>
                <w:rFonts w:cstheme="minorHAnsi"/>
                <w:sz w:val="22"/>
                <w:szCs w:val="22"/>
              </w:rPr>
              <w:t xml:space="preserve"> novih osobnih vozila (</w:t>
            </w:r>
            <w:r w:rsidR="00132B6A">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132B6A">
              <w:rPr>
                <w:rFonts w:cstheme="minorHAnsi"/>
                <w:sz w:val="22"/>
                <w:szCs w:val="22"/>
              </w:rPr>
              <w:t>“</w:t>
            </w:r>
            <w:r w:rsidR="00071A4F" w:rsidRPr="00B255F7">
              <w:rPr>
                <w:rFonts w:cstheme="minorHAnsi"/>
                <w:sz w:val="22"/>
                <w:szCs w:val="22"/>
              </w:rPr>
              <w:t xml:space="preserve">, </w:t>
            </w:r>
            <w:r w:rsidR="00EE1897" w:rsidRPr="00B255F7">
              <w:rPr>
                <w:rFonts w:cstheme="minorHAnsi"/>
                <w:sz w:val="22"/>
                <w:szCs w:val="22"/>
              </w:rPr>
              <w:t>br</w:t>
            </w:r>
            <w:r w:rsidR="00EE1897">
              <w:rPr>
                <w:rFonts w:cstheme="minorHAnsi"/>
                <w:sz w:val="22"/>
                <w:szCs w:val="22"/>
              </w:rPr>
              <w:t>.</w:t>
            </w:r>
            <w:r w:rsidR="00EE1897" w:rsidRPr="00B255F7">
              <w:rPr>
                <w:rFonts w:cstheme="minorHAnsi"/>
                <w:sz w:val="22"/>
                <w:szCs w:val="22"/>
              </w:rPr>
              <w:t xml:space="preserve"> </w:t>
            </w:r>
            <w:r w:rsidRPr="00B255F7">
              <w:rPr>
                <w:rFonts w:cstheme="minorHAnsi"/>
                <w:sz w:val="22"/>
                <w:szCs w:val="22"/>
              </w:rPr>
              <w:t>113/21</w:t>
            </w:r>
            <w:r w:rsidR="00132B6A">
              <w:rPr>
                <w:rFonts w:cstheme="minorHAnsi"/>
                <w:sz w:val="22"/>
                <w:szCs w:val="22"/>
              </w:rPr>
              <w:t>.</w:t>
            </w:r>
            <w:r w:rsidRPr="00B255F7">
              <w:rPr>
                <w:rFonts w:cstheme="minorHAnsi"/>
                <w:sz w:val="22"/>
                <w:szCs w:val="22"/>
              </w:rPr>
              <w:t>)</w:t>
            </w:r>
          </w:p>
        </w:tc>
        <w:tc>
          <w:tcPr>
            <w:tcW w:w="1708" w:type="pct"/>
          </w:tcPr>
          <w:p w14:paraId="6BEE490F" w14:textId="319E7DA7" w:rsidR="00EE1DD4" w:rsidRPr="00B255F7" w:rsidRDefault="00EB031F"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 xml:space="preserve">Svrha je potrošačima osigurati dostupnost podataka o službenoj potrošnji goriva i službenim specifičnim emisijama ugljikova dioksida novih osobnih vozila koja su namijenjena prodaji ili leasingu, kako bi im se omogućio izbor </w:t>
            </w:r>
            <w:r w:rsidR="005416ED" w:rsidRPr="00B255F7">
              <w:rPr>
                <w:rFonts w:asciiTheme="minorHAnsi" w:hAnsiTheme="minorHAnsi" w:cstheme="minorHAnsi"/>
                <w:sz w:val="22"/>
                <w:szCs w:val="22"/>
              </w:rPr>
              <w:t>vozila s manjom potrošnjom i manjim emisijama</w:t>
            </w:r>
            <w:r w:rsidR="009E60F1" w:rsidRPr="00B255F7">
              <w:rPr>
                <w:rFonts w:asciiTheme="minorHAnsi" w:hAnsiTheme="minorHAnsi" w:cstheme="minorHAnsi"/>
                <w:sz w:val="22"/>
                <w:szCs w:val="22"/>
              </w:rPr>
              <w:t>.</w:t>
            </w:r>
          </w:p>
        </w:tc>
      </w:tr>
      <w:tr w:rsidR="00EE1DD4" w:rsidRPr="00B255F7" w14:paraId="3C267931" w14:textId="77777777" w:rsidTr="63259912">
        <w:tc>
          <w:tcPr>
            <w:tcW w:w="1609" w:type="pct"/>
          </w:tcPr>
          <w:p w14:paraId="6A604EDF" w14:textId="2DD07FC3" w:rsidR="00EE1DD4" w:rsidRPr="00B255F7" w:rsidRDefault="0070662D" w:rsidP="00AE4D7E">
            <w:pPr>
              <w:pStyle w:val="Default"/>
              <w:jc w:val="both"/>
              <w:rPr>
                <w:rFonts w:cstheme="minorHAnsi"/>
                <w:b/>
                <w:sz w:val="22"/>
                <w:szCs w:val="22"/>
                <w:highlight w:val="yellow"/>
              </w:rPr>
            </w:pPr>
            <w:r w:rsidRPr="00B255F7">
              <w:rPr>
                <w:rFonts w:cstheme="minorHAnsi"/>
                <w:sz w:val="22"/>
                <w:szCs w:val="22"/>
              </w:rPr>
              <w:t>Obveza korištenja biogoriva u prometu</w:t>
            </w:r>
          </w:p>
        </w:tc>
        <w:tc>
          <w:tcPr>
            <w:tcW w:w="1683" w:type="pct"/>
          </w:tcPr>
          <w:p w14:paraId="0BBEB41B" w14:textId="04B53F8A" w:rsidR="00EE1DD4" w:rsidRPr="00B255F7" w:rsidRDefault="00882CD6" w:rsidP="00AE4D7E">
            <w:pPr>
              <w:pStyle w:val="Default"/>
              <w:jc w:val="both"/>
              <w:rPr>
                <w:rFonts w:cstheme="minorHAnsi"/>
                <w:sz w:val="22"/>
                <w:szCs w:val="22"/>
                <w:highlight w:val="yellow"/>
              </w:rPr>
            </w:pPr>
            <w:r w:rsidRPr="00B255F7">
              <w:rPr>
                <w:rFonts w:cstheme="minorHAnsi"/>
                <w:sz w:val="22"/>
                <w:szCs w:val="22"/>
              </w:rPr>
              <w:t>Zakon o biogorivima za prijevoz (</w:t>
            </w:r>
            <w:r w:rsidR="00132B6A">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132B6A">
              <w:rPr>
                <w:rFonts w:cstheme="minorHAnsi"/>
                <w:sz w:val="22"/>
                <w:szCs w:val="22"/>
              </w:rPr>
              <w:t>“</w:t>
            </w:r>
            <w:r w:rsidR="00071A4F" w:rsidRPr="00B255F7">
              <w:rPr>
                <w:rFonts w:cstheme="minorHAnsi"/>
                <w:sz w:val="22"/>
                <w:szCs w:val="22"/>
              </w:rPr>
              <w:t>, br</w:t>
            </w:r>
            <w:r w:rsidR="00EE1897">
              <w:rPr>
                <w:rFonts w:cstheme="minorHAnsi"/>
                <w:sz w:val="22"/>
                <w:szCs w:val="22"/>
              </w:rPr>
              <w:t>.</w:t>
            </w:r>
            <w:r w:rsidRPr="00B255F7">
              <w:rPr>
                <w:rFonts w:cstheme="minorHAnsi"/>
                <w:sz w:val="22"/>
                <w:szCs w:val="22"/>
              </w:rPr>
              <w:t xml:space="preserve"> 65/09</w:t>
            </w:r>
            <w:r w:rsidR="00132B6A">
              <w:rPr>
                <w:rFonts w:cstheme="minorHAnsi"/>
                <w:sz w:val="22"/>
                <w:szCs w:val="22"/>
              </w:rPr>
              <w:t>.</w:t>
            </w:r>
            <w:r w:rsidRPr="00B255F7">
              <w:rPr>
                <w:rFonts w:cstheme="minorHAnsi"/>
                <w:sz w:val="22"/>
                <w:szCs w:val="22"/>
              </w:rPr>
              <w:t>, 145/10</w:t>
            </w:r>
            <w:r w:rsidR="00132B6A">
              <w:rPr>
                <w:rFonts w:cstheme="minorHAnsi"/>
                <w:sz w:val="22"/>
                <w:szCs w:val="22"/>
              </w:rPr>
              <w:t>.</w:t>
            </w:r>
            <w:r w:rsidRPr="00B255F7">
              <w:rPr>
                <w:rFonts w:cstheme="minorHAnsi"/>
                <w:sz w:val="22"/>
                <w:szCs w:val="22"/>
              </w:rPr>
              <w:t>, 26</w:t>
            </w:r>
            <w:r w:rsidR="005B41DA" w:rsidRPr="00B255F7">
              <w:rPr>
                <w:rFonts w:cstheme="minorHAnsi"/>
                <w:sz w:val="22"/>
                <w:szCs w:val="22"/>
              </w:rPr>
              <w:t>/11</w:t>
            </w:r>
            <w:r w:rsidR="00132B6A">
              <w:rPr>
                <w:rFonts w:cstheme="minorHAnsi"/>
                <w:sz w:val="22"/>
                <w:szCs w:val="22"/>
              </w:rPr>
              <w:t>.</w:t>
            </w:r>
            <w:r w:rsidRPr="00B255F7">
              <w:rPr>
                <w:rFonts w:cstheme="minorHAnsi"/>
                <w:sz w:val="22"/>
                <w:szCs w:val="22"/>
              </w:rPr>
              <w:t>, 144</w:t>
            </w:r>
            <w:r w:rsidR="005B41DA" w:rsidRPr="00B255F7">
              <w:rPr>
                <w:rFonts w:cstheme="minorHAnsi"/>
                <w:sz w:val="22"/>
                <w:szCs w:val="22"/>
              </w:rPr>
              <w:t>/12</w:t>
            </w:r>
            <w:r w:rsidR="00132B6A">
              <w:rPr>
                <w:rFonts w:cstheme="minorHAnsi"/>
                <w:sz w:val="22"/>
                <w:szCs w:val="22"/>
              </w:rPr>
              <w:t>.</w:t>
            </w:r>
            <w:r w:rsidRPr="00B255F7">
              <w:rPr>
                <w:rFonts w:cstheme="minorHAnsi"/>
                <w:sz w:val="22"/>
                <w:szCs w:val="22"/>
              </w:rPr>
              <w:t>, 14</w:t>
            </w:r>
            <w:r w:rsidR="005B41DA" w:rsidRPr="00B255F7">
              <w:rPr>
                <w:rFonts w:cstheme="minorHAnsi"/>
                <w:sz w:val="22"/>
                <w:szCs w:val="22"/>
              </w:rPr>
              <w:t>/14</w:t>
            </w:r>
            <w:r w:rsidR="00132B6A">
              <w:rPr>
                <w:rFonts w:cstheme="minorHAnsi"/>
                <w:sz w:val="22"/>
                <w:szCs w:val="22"/>
              </w:rPr>
              <w:t>.</w:t>
            </w:r>
            <w:r w:rsidRPr="00B255F7">
              <w:rPr>
                <w:rFonts w:cstheme="minorHAnsi"/>
                <w:sz w:val="22"/>
                <w:szCs w:val="22"/>
              </w:rPr>
              <w:t>, 94</w:t>
            </w:r>
            <w:r w:rsidR="005B41DA" w:rsidRPr="00B255F7">
              <w:rPr>
                <w:rFonts w:cstheme="minorHAnsi"/>
                <w:sz w:val="22"/>
                <w:szCs w:val="22"/>
              </w:rPr>
              <w:t>/18</w:t>
            </w:r>
            <w:r w:rsidR="00132B6A">
              <w:rPr>
                <w:rFonts w:cstheme="minorHAnsi"/>
                <w:sz w:val="22"/>
                <w:szCs w:val="22"/>
              </w:rPr>
              <w:t>. i</w:t>
            </w:r>
            <w:r w:rsidRPr="00B255F7">
              <w:rPr>
                <w:rFonts w:cstheme="minorHAnsi"/>
                <w:sz w:val="22"/>
                <w:szCs w:val="22"/>
              </w:rPr>
              <w:t xml:space="preserve"> 52</w:t>
            </w:r>
            <w:r w:rsidR="005B41DA" w:rsidRPr="00B255F7">
              <w:rPr>
                <w:rFonts w:cstheme="minorHAnsi"/>
                <w:sz w:val="22"/>
                <w:szCs w:val="22"/>
              </w:rPr>
              <w:t>/21</w:t>
            </w:r>
            <w:r w:rsidR="00132B6A">
              <w:rPr>
                <w:rFonts w:cstheme="minorHAnsi"/>
                <w:sz w:val="22"/>
                <w:szCs w:val="22"/>
              </w:rPr>
              <w:t>.</w:t>
            </w:r>
            <w:r w:rsidRPr="00B255F7">
              <w:rPr>
                <w:rFonts w:cstheme="minorHAnsi"/>
                <w:sz w:val="22"/>
                <w:szCs w:val="22"/>
              </w:rPr>
              <w:t>)</w:t>
            </w:r>
          </w:p>
        </w:tc>
        <w:tc>
          <w:tcPr>
            <w:tcW w:w="1708" w:type="pct"/>
          </w:tcPr>
          <w:p w14:paraId="2E102349" w14:textId="73B395D2" w:rsidR="00EE1DD4" w:rsidRPr="00B255F7" w:rsidRDefault="00864508"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Ovim se Zakonom uređuje proizvodnja, trgovina i skladištenje biogoriva, korištenje obnovljivih izvora energije u prijevozu, donošenje programa i planova za poticanje proizvodnje i korištenja obnovljivih izvora energije u prijevozu, ovlasti i odgovornosti za utvrđivanje i provođenje politike poticanja proizvodnje i korištenja obnovljivih izvora energije u prijevozu, mjere poticanja proizvodnje i korištenja obnovljivih izvora energije u prijevozu, kao i poticanja istraživanja i razvoja novih, naprednih biogoriva koja se ne natječu s kulturama za hranu i krmivo te utvrđuju kriteriji održivosti i uštede emisije stakleničkih plinova za biogoriva, tekuća biogoriva i goriva iz biomase.</w:t>
            </w:r>
          </w:p>
        </w:tc>
      </w:tr>
      <w:tr w:rsidR="00EE1DD4" w:rsidRPr="00B255F7" w14:paraId="60D43B96" w14:textId="77777777" w:rsidTr="63259912">
        <w:tc>
          <w:tcPr>
            <w:tcW w:w="1609" w:type="pct"/>
          </w:tcPr>
          <w:p w14:paraId="2B042631" w14:textId="0C0AF3C4" w:rsidR="00EE1DD4" w:rsidRPr="00B255F7" w:rsidRDefault="0070662D" w:rsidP="00AE4D7E">
            <w:pPr>
              <w:pStyle w:val="Default"/>
              <w:jc w:val="both"/>
              <w:rPr>
                <w:rFonts w:cstheme="minorHAnsi"/>
                <w:b/>
                <w:sz w:val="22"/>
                <w:szCs w:val="22"/>
                <w:highlight w:val="yellow"/>
              </w:rPr>
            </w:pPr>
            <w:r w:rsidRPr="00B255F7">
              <w:rPr>
                <w:rFonts w:cstheme="minorHAnsi"/>
                <w:sz w:val="22"/>
                <w:szCs w:val="22"/>
              </w:rPr>
              <w:t>Posebna naknada za okoliš za vozila na motorni pogon</w:t>
            </w:r>
          </w:p>
        </w:tc>
        <w:tc>
          <w:tcPr>
            <w:tcW w:w="1683" w:type="pct"/>
          </w:tcPr>
          <w:p w14:paraId="5939F406" w14:textId="0B483F57" w:rsidR="00EE1DD4" w:rsidRPr="00B255F7" w:rsidRDefault="0050612A" w:rsidP="00AE4D7E">
            <w:pPr>
              <w:pStyle w:val="Default"/>
              <w:jc w:val="both"/>
              <w:rPr>
                <w:rFonts w:cstheme="minorHAnsi"/>
                <w:sz w:val="22"/>
                <w:szCs w:val="22"/>
                <w:highlight w:val="yellow"/>
              </w:rPr>
            </w:pPr>
            <w:r w:rsidRPr="00B255F7">
              <w:rPr>
                <w:rFonts w:cstheme="minorHAnsi"/>
                <w:sz w:val="22"/>
                <w:szCs w:val="22"/>
              </w:rPr>
              <w:t>Uredba o izmjenama Uredbe</w:t>
            </w:r>
            <w:r w:rsidR="0081463A" w:rsidRPr="00B255F7">
              <w:rPr>
                <w:rFonts w:cstheme="minorHAnsi"/>
                <w:sz w:val="22"/>
                <w:szCs w:val="22"/>
              </w:rPr>
              <w:t xml:space="preserve"> o jediničnim naknadama, korektivnim koeficijentima i pobližim kriterijima i mjerilima za utvrđivanje posebne naknade za okoliš na vozila na motorni pogon </w:t>
            </w:r>
            <w:r w:rsidR="00EB08F1">
              <w:rPr>
                <w:rFonts w:cstheme="minorHAnsi"/>
                <w:sz w:val="22"/>
                <w:szCs w:val="22"/>
              </w:rPr>
              <w:t xml:space="preserve">(„Narodne novine“, br. </w:t>
            </w:r>
            <w:r w:rsidRPr="00B255F7">
              <w:rPr>
                <w:rFonts w:cstheme="minorHAnsi"/>
                <w:sz w:val="22"/>
                <w:szCs w:val="22"/>
              </w:rPr>
              <w:t>2/21</w:t>
            </w:r>
            <w:r w:rsidR="00132B6A">
              <w:rPr>
                <w:rFonts w:cstheme="minorHAnsi"/>
                <w:sz w:val="22"/>
                <w:szCs w:val="22"/>
              </w:rPr>
              <w:t>.</w:t>
            </w:r>
            <w:r w:rsidR="0081463A" w:rsidRPr="00B255F7">
              <w:rPr>
                <w:rFonts w:cstheme="minorHAnsi"/>
                <w:sz w:val="22"/>
                <w:szCs w:val="22"/>
              </w:rPr>
              <w:t>)</w:t>
            </w:r>
          </w:p>
        </w:tc>
        <w:tc>
          <w:tcPr>
            <w:tcW w:w="1708" w:type="pct"/>
          </w:tcPr>
          <w:p w14:paraId="1F537C4C" w14:textId="52567085" w:rsidR="00EE1DD4" w:rsidRPr="00B255F7" w:rsidRDefault="00F558ED"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 xml:space="preserve">Ovom se Uredbom propisuju jedinične naknade i korektivni koeficijenti na temelju kojih se obavlja izračun posebne naknade za okoliš na vozila na motorni pogon te pobliži kriteriji i mjerila za utvrđivanje posebne naknade. </w:t>
            </w:r>
            <w:r w:rsidR="0081463A" w:rsidRPr="00B255F7">
              <w:rPr>
                <w:rFonts w:asciiTheme="minorHAnsi" w:hAnsiTheme="minorHAnsi" w:cstheme="minorHAnsi"/>
                <w:sz w:val="22"/>
                <w:szCs w:val="22"/>
              </w:rPr>
              <w:t>Posebna naknada naplaćuje se uzimajući u obzir vrstu motora i goriva, radni volumen motora, vrstu vozila, emisiju CO</w:t>
            </w:r>
            <w:r w:rsidR="0081463A" w:rsidRPr="00B255F7">
              <w:rPr>
                <w:rFonts w:asciiTheme="minorHAnsi" w:hAnsiTheme="minorHAnsi" w:cstheme="minorHAnsi"/>
                <w:sz w:val="22"/>
                <w:szCs w:val="22"/>
                <w:vertAlign w:val="subscript"/>
              </w:rPr>
              <w:t xml:space="preserve">2 </w:t>
            </w:r>
            <w:r w:rsidR="0081463A" w:rsidRPr="00B255F7">
              <w:rPr>
                <w:rFonts w:asciiTheme="minorHAnsi" w:hAnsiTheme="minorHAnsi" w:cstheme="minorHAnsi"/>
                <w:sz w:val="22"/>
                <w:szCs w:val="22"/>
              </w:rPr>
              <w:t>i starost vozila</w:t>
            </w:r>
            <w:r w:rsidR="00ED19DF" w:rsidRPr="00B255F7">
              <w:rPr>
                <w:rFonts w:asciiTheme="minorHAnsi" w:hAnsiTheme="minorHAnsi" w:cstheme="minorHAnsi"/>
                <w:sz w:val="22"/>
                <w:szCs w:val="22"/>
              </w:rPr>
              <w:t>.</w:t>
            </w:r>
          </w:p>
        </w:tc>
      </w:tr>
      <w:tr w:rsidR="00EE1DD4" w:rsidRPr="00B255F7" w14:paraId="7CD5E764" w14:textId="77777777" w:rsidTr="63259912">
        <w:trPr>
          <w:trHeight w:val="1438"/>
        </w:trPr>
        <w:tc>
          <w:tcPr>
            <w:tcW w:w="1609" w:type="pct"/>
          </w:tcPr>
          <w:p w14:paraId="48FECA60" w14:textId="50B9A72D" w:rsidR="00EE1DD4" w:rsidRPr="00B255F7" w:rsidRDefault="0070662D" w:rsidP="00AE4D7E">
            <w:pPr>
              <w:pStyle w:val="Default"/>
              <w:jc w:val="both"/>
              <w:rPr>
                <w:rFonts w:cstheme="minorHAnsi"/>
                <w:b/>
                <w:sz w:val="22"/>
                <w:szCs w:val="22"/>
                <w:highlight w:val="yellow"/>
              </w:rPr>
            </w:pPr>
            <w:r w:rsidRPr="00B255F7">
              <w:rPr>
                <w:rFonts w:cstheme="minorHAnsi"/>
                <w:sz w:val="22"/>
                <w:szCs w:val="22"/>
              </w:rPr>
              <w:lastRenderedPageBreak/>
              <w:t>Posebni porez na motorna vozila</w:t>
            </w:r>
          </w:p>
        </w:tc>
        <w:tc>
          <w:tcPr>
            <w:tcW w:w="1683" w:type="pct"/>
          </w:tcPr>
          <w:p w14:paraId="71A69964" w14:textId="232419C4" w:rsidR="00EE1DD4" w:rsidRPr="00B255F7" w:rsidRDefault="00751286" w:rsidP="00AE4D7E">
            <w:pPr>
              <w:pStyle w:val="Default"/>
              <w:jc w:val="both"/>
              <w:rPr>
                <w:rFonts w:cstheme="minorHAnsi"/>
                <w:sz w:val="22"/>
                <w:szCs w:val="22"/>
                <w:highlight w:val="yellow"/>
              </w:rPr>
            </w:pPr>
            <w:r w:rsidRPr="00B255F7">
              <w:rPr>
                <w:rFonts w:cstheme="minorHAnsi"/>
                <w:sz w:val="22"/>
                <w:szCs w:val="22"/>
              </w:rPr>
              <w:t>Zakonu</w:t>
            </w:r>
            <w:r w:rsidR="0081463A" w:rsidRPr="00B255F7">
              <w:rPr>
                <w:rFonts w:cstheme="minorHAnsi"/>
                <w:sz w:val="22"/>
                <w:szCs w:val="22"/>
              </w:rPr>
              <w:t xml:space="preserve"> o posebnom porezu na motorna vozila (</w:t>
            </w:r>
            <w:r w:rsidR="004C161F">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4C161F">
              <w:rPr>
                <w:rFonts w:cstheme="minorHAnsi"/>
                <w:sz w:val="22"/>
                <w:szCs w:val="22"/>
              </w:rPr>
              <w:t>“</w:t>
            </w:r>
            <w:r w:rsidR="00071A4F" w:rsidRPr="00B255F7">
              <w:rPr>
                <w:rFonts w:cstheme="minorHAnsi"/>
                <w:sz w:val="22"/>
                <w:szCs w:val="22"/>
              </w:rPr>
              <w:t>, br</w:t>
            </w:r>
            <w:r w:rsidR="001B663B">
              <w:rPr>
                <w:rFonts w:cstheme="minorHAnsi"/>
                <w:sz w:val="22"/>
                <w:szCs w:val="22"/>
              </w:rPr>
              <w:t>.</w:t>
            </w:r>
            <w:r w:rsidR="0081463A" w:rsidRPr="00B255F7">
              <w:rPr>
                <w:rFonts w:cstheme="minorHAnsi"/>
                <w:sz w:val="22"/>
                <w:szCs w:val="22"/>
              </w:rPr>
              <w:t xml:space="preserve"> 15</w:t>
            </w:r>
            <w:r w:rsidR="005B41DA" w:rsidRPr="00B255F7">
              <w:rPr>
                <w:rFonts w:cstheme="minorHAnsi"/>
                <w:sz w:val="22"/>
                <w:szCs w:val="22"/>
              </w:rPr>
              <w:t>/13</w:t>
            </w:r>
            <w:r w:rsidR="004C161F">
              <w:rPr>
                <w:rFonts w:cstheme="minorHAnsi"/>
                <w:sz w:val="22"/>
                <w:szCs w:val="22"/>
              </w:rPr>
              <w:t>.</w:t>
            </w:r>
            <w:r w:rsidR="0081463A" w:rsidRPr="00B255F7">
              <w:rPr>
                <w:rFonts w:cstheme="minorHAnsi"/>
                <w:sz w:val="22"/>
                <w:szCs w:val="22"/>
              </w:rPr>
              <w:t>, 108</w:t>
            </w:r>
            <w:r w:rsidR="005B41DA" w:rsidRPr="00B255F7">
              <w:rPr>
                <w:rFonts w:cstheme="minorHAnsi"/>
                <w:sz w:val="22"/>
                <w:szCs w:val="22"/>
              </w:rPr>
              <w:t>/13</w:t>
            </w:r>
            <w:r w:rsidR="004C161F">
              <w:rPr>
                <w:rFonts w:cstheme="minorHAnsi"/>
                <w:sz w:val="22"/>
                <w:szCs w:val="22"/>
              </w:rPr>
              <w:t>.</w:t>
            </w:r>
            <w:r w:rsidR="0081463A" w:rsidRPr="00B255F7">
              <w:rPr>
                <w:rFonts w:cstheme="minorHAnsi"/>
                <w:sz w:val="22"/>
                <w:szCs w:val="22"/>
              </w:rPr>
              <w:t>, 115</w:t>
            </w:r>
            <w:r w:rsidR="005B41DA" w:rsidRPr="00B255F7">
              <w:rPr>
                <w:rFonts w:cstheme="minorHAnsi"/>
                <w:sz w:val="22"/>
                <w:szCs w:val="22"/>
              </w:rPr>
              <w:t>/16</w:t>
            </w:r>
            <w:r w:rsidR="004C161F">
              <w:rPr>
                <w:rFonts w:cstheme="minorHAnsi"/>
                <w:sz w:val="22"/>
                <w:szCs w:val="22"/>
              </w:rPr>
              <w:t>.</w:t>
            </w:r>
            <w:r w:rsidR="00A172DD" w:rsidRPr="00B255F7">
              <w:rPr>
                <w:rFonts w:cstheme="minorHAnsi"/>
                <w:sz w:val="22"/>
                <w:szCs w:val="22"/>
              </w:rPr>
              <w:t>, 127</w:t>
            </w:r>
            <w:r w:rsidR="005B41DA" w:rsidRPr="00B255F7">
              <w:rPr>
                <w:rFonts w:cstheme="minorHAnsi"/>
                <w:sz w:val="22"/>
                <w:szCs w:val="22"/>
              </w:rPr>
              <w:t>/17</w:t>
            </w:r>
            <w:r w:rsidR="004C161F">
              <w:rPr>
                <w:rFonts w:cstheme="minorHAnsi"/>
                <w:sz w:val="22"/>
                <w:szCs w:val="22"/>
              </w:rPr>
              <w:t>. i</w:t>
            </w:r>
            <w:r w:rsidRPr="00B255F7">
              <w:rPr>
                <w:rFonts w:cstheme="minorHAnsi"/>
                <w:sz w:val="22"/>
                <w:szCs w:val="22"/>
              </w:rPr>
              <w:t xml:space="preserve"> 121</w:t>
            </w:r>
            <w:r w:rsidR="005B41DA" w:rsidRPr="00B255F7">
              <w:rPr>
                <w:rFonts w:cstheme="minorHAnsi"/>
                <w:sz w:val="22"/>
                <w:szCs w:val="22"/>
              </w:rPr>
              <w:t>/19</w:t>
            </w:r>
            <w:r w:rsidR="004C161F">
              <w:rPr>
                <w:rFonts w:cstheme="minorHAnsi"/>
                <w:sz w:val="22"/>
                <w:szCs w:val="22"/>
              </w:rPr>
              <w:t>.</w:t>
            </w:r>
            <w:r w:rsidR="0081463A" w:rsidRPr="00B255F7">
              <w:rPr>
                <w:rFonts w:cstheme="minorHAnsi"/>
                <w:sz w:val="22"/>
                <w:szCs w:val="22"/>
              </w:rPr>
              <w:t>)</w:t>
            </w:r>
          </w:p>
        </w:tc>
        <w:tc>
          <w:tcPr>
            <w:tcW w:w="1708" w:type="pct"/>
          </w:tcPr>
          <w:p w14:paraId="1F578D56" w14:textId="0409F33A" w:rsidR="00EE1DD4" w:rsidRPr="00B255F7" w:rsidRDefault="00CC533C"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Bazirajući se na načelu „onečišćivač plaća“, model obračuna temelji se na emisiji CO</w:t>
            </w:r>
            <w:r w:rsidRPr="00B255F7">
              <w:rPr>
                <w:rFonts w:asciiTheme="minorHAnsi" w:hAnsiTheme="minorHAnsi" w:cstheme="minorHAnsi"/>
                <w:sz w:val="22"/>
                <w:szCs w:val="22"/>
                <w:vertAlign w:val="subscript"/>
              </w:rPr>
              <w:t>2</w:t>
            </w:r>
            <w:r w:rsidRPr="00B255F7">
              <w:rPr>
                <w:rFonts w:asciiTheme="minorHAnsi" w:hAnsiTheme="minorHAnsi" w:cstheme="minorHAnsi"/>
                <w:sz w:val="22"/>
                <w:szCs w:val="22"/>
              </w:rPr>
              <w:t xml:space="preserve"> u zrak iz motornih vozila. Posebni porez utvrđuje se na temelju prodajne, odnosno tržišne cijene motornog vozila, emisije CO</w:t>
            </w:r>
            <w:r w:rsidRPr="00B255F7">
              <w:rPr>
                <w:rFonts w:asciiTheme="minorHAnsi" w:hAnsiTheme="minorHAnsi" w:cstheme="minorHAnsi"/>
                <w:sz w:val="22"/>
                <w:szCs w:val="22"/>
                <w:vertAlign w:val="subscript"/>
              </w:rPr>
              <w:t>2</w:t>
            </w:r>
            <w:r w:rsidRPr="00B255F7">
              <w:rPr>
                <w:rFonts w:asciiTheme="minorHAnsi" w:hAnsiTheme="minorHAnsi" w:cstheme="minorHAnsi"/>
                <w:sz w:val="22"/>
                <w:szCs w:val="22"/>
              </w:rPr>
              <w:t xml:space="preserve"> izražene u gramima po kilometru, obujmu motora u kubičnim centimetrima i razini emisije stakleničkih plinova. Ovim posebnim porezom potiče se kupovina učinkovitih vozila i vozila s manjim emisijama stakleničkih plinova.</w:t>
            </w:r>
          </w:p>
        </w:tc>
      </w:tr>
      <w:tr w:rsidR="0070662D" w:rsidRPr="00B255F7" w14:paraId="05E81255" w14:textId="77777777" w:rsidTr="63259912">
        <w:tc>
          <w:tcPr>
            <w:tcW w:w="1609" w:type="pct"/>
          </w:tcPr>
          <w:p w14:paraId="0E4D5E3C" w14:textId="348A5C20" w:rsidR="0070662D" w:rsidRPr="00B255F7" w:rsidRDefault="00882751" w:rsidP="00AE4D7E">
            <w:pPr>
              <w:pStyle w:val="Default"/>
              <w:jc w:val="both"/>
              <w:rPr>
                <w:rFonts w:cstheme="minorHAnsi"/>
                <w:b/>
                <w:sz w:val="22"/>
                <w:szCs w:val="22"/>
                <w:highlight w:val="yellow"/>
              </w:rPr>
            </w:pPr>
            <w:r w:rsidRPr="00B255F7">
              <w:rPr>
                <w:rFonts w:cstheme="minorHAnsi"/>
                <w:sz w:val="22"/>
                <w:szCs w:val="22"/>
              </w:rPr>
              <w:t>Financijski poticaji za energetski učinkovita vozila</w:t>
            </w:r>
          </w:p>
        </w:tc>
        <w:tc>
          <w:tcPr>
            <w:tcW w:w="1683" w:type="pct"/>
          </w:tcPr>
          <w:p w14:paraId="4924CB49" w14:textId="23AF7029" w:rsidR="0070662D" w:rsidRPr="00B255F7" w:rsidRDefault="00CE3A58" w:rsidP="00AE4D7E">
            <w:pPr>
              <w:pStyle w:val="Default"/>
              <w:jc w:val="both"/>
              <w:rPr>
                <w:rFonts w:cstheme="minorHAnsi"/>
                <w:sz w:val="22"/>
                <w:szCs w:val="22"/>
                <w:highlight w:val="yellow"/>
              </w:rPr>
            </w:pPr>
            <w:r w:rsidRPr="00B255F7">
              <w:rPr>
                <w:rFonts w:cstheme="minorHAnsi"/>
                <w:sz w:val="22"/>
                <w:szCs w:val="22"/>
              </w:rPr>
              <w:t>Nacionalni okvir politike za uspostavu infrastrukture i razvoj tržišta alternativnih goriva u prometu (</w:t>
            </w:r>
            <w:r w:rsidR="004C161F">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4C161F">
              <w:rPr>
                <w:rFonts w:cstheme="minorHAnsi"/>
                <w:sz w:val="22"/>
                <w:szCs w:val="22"/>
              </w:rPr>
              <w:t>“</w:t>
            </w:r>
            <w:r w:rsidR="00071A4F" w:rsidRPr="00B255F7">
              <w:rPr>
                <w:rFonts w:cstheme="minorHAnsi"/>
                <w:sz w:val="22"/>
                <w:szCs w:val="22"/>
              </w:rPr>
              <w:t xml:space="preserve">, </w:t>
            </w:r>
            <w:r w:rsidR="00326206" w:rsidRPr="00B255F7">
              <w:rPr>
                <w:rFonts w:cstheme="minorHAnsi"/>
                <w:sz w:val="22"/>
                <w:szCs w:val="22"/>
              </w:rPr>
              <w:t>br</w:t>
            </w:r>
            <w:r w:rsidR="00326206">
              <w:rPr>
                <w:rFonts w:cstheme="minorHAnsi"/>
                <w:sz w:val="22"/>
                <w:szCs w:val="22"/>
              </w:rPr>
              <w:t>.</w:t>
            </w:r>
            <w:r w:rsidR="00326206" w:rsidRPr="00B255F7">
              <w:rPr>
                <w:rFonts w:cstheme="minorHAnsi"/>
                <w:sz w:val="22"/>
                <w:szCs w:val="22"/>
              </w:rPr>
              <w:t xml:space="preserve"> </w:t>
            </w:r>
            <w:r w:rsidRPr="00B255F7">
              <w:rPr>
                <w:rFonts w:cstheme="minorHAnsi"/>
                <w:sz w:val="22"/>
                <w:szCs w:val="22"/>
              </w:rPr>
              <w:t>34</w:t>
            </w:r>
            <w:r w:rsidR="005B41DA" w:rsidRPr="00B255F7">
              <w:rPr>
                <w:rFonts w:cstheme="minorHAnsi"/>
                <w:sz w:val="22"/>
                <w:szCs w:val="22"/>
              </w:rPr>
              <w:t>/17</w:t>
            </w:r>
            <w:r w:rsidR="004C161F">
              <w:rPr>
                <w:rFonts w:cstheme="minorHAnsi"/>
                <w:sz w:val="22"/>
                <w:szCs w:val="22"/>
              </w:rPr>
              <w:t>.</w:t>
            </w:r>
            <w:r w:rsidRPr="00B255F7">
              <w:rPr>
                <w:rFonts w:cstheme="minorHAnsi"/>
                <w:sz w:val="22"/>
                <w:szCs w:val="22"/>
              </w:rPr>
              <w:t>)</w:t>
            </w:r>
          </w:p>
        </w:tc>
        <w:tc>
          <w:tcPr>
            <w:tcW w:w="1708" w:type="pct"/>
          </w:tcPr>
          <w:p w14:paraId="23977ECC" w14:textId="1C6E90EA" w:rsidR="0070662D" w:rsidRPr="00B255F7" w:rsidRDefault="007522A6"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 xml:space="preserve">S ciljem povećanja udjela </w:t>
            </w:r>
            <w:r w:rsidR="000E3C55" w:rsidRPr="00B255F7">
              <w:rPr>
                <w:rFonts w:asciiTheme="minorHAnsi" w:hAnsiTheme="minorHAnsi" w:cstheme="minorHAnsi"/>
                <w:sz w:val="22"/>
                <w:szCs w:val="22"/>
              </w:rPr>
              <w:t>energetski</w:t>
            </w:r>
            <w:r w:rsidR="00637777" w:rsidRPr="00B255F7">
              <w:rPr>
                <w:rFonts w:asciiTheme="minorHAnsi" w:hAnsiTheme="minorHAnsi" w:cstheme="minorHAnsi"/>
                <w:sz w:val="22"/>
                <w:szCs w:val="22"/>
              </w:rPr>
              <w:t xml:space="preserve"> učinkovitih vozila </w:t>
            </w:r>
            <w:r w:rsidRPr="00B255F7">
              <w:rPr>
                <w:rFonts w:asciiTheme="minorHAnsi" w:hAnsiTheme="minorHAnsi" w:cstheme="minorHAnsi"/>
                <w:sz w:val="22"/>
                <w:szCs w:val="22"/>
              </w:rPr>
              <w:t xml:space="preserve">uvele su se subvencije za kupnju vozila </w:t>
            </w:r>
            <w:r w:rsidR="00637777" w:rsidRPr="00B255F7">
              <w:rPr>
                <w:rFonts w:asciiTheme="minorHAnsi" w:hAnsiTheme="minorHAnsi" w:cstheme="minorHAnsi"/>
                <w:sz w:val="22"/>
                <w:szCs w:val="22"/>
              </w:rPr>
              <w:t xml:space="preserve">s pogonom na </w:t>
            </w:r>
            <w:r w:rsidR="004133C9" w:rsidRPr="00B255F7">
              <w:rPr>
                <w:rFonts w:asciiTheme="minorHAnsi" w:hAnsiTheme="minorHAnsi" w:cstheme="minorHAnsi"/>
                <w:sz w:val="22"/>
                <w:szCs w:val="22"/>
              </w:rPr>
              <w:t>alternativna goriva</w:t>
            </w:r>
            <w:r w:rsidR="00546A85" w:rsidRPr="00B255F7">
              <w:rPr>
                <w:rFonts w:asciiTheme="minorHAnsi" w:hAnsiTheme="minorHAnsi" w:cstheme="minorHAnsi"/>
                <w:sz w:val="22"/>
                <w:szCs w:val="22"/>
              </w:rPr>
              <w:t>,</w:t>
            </w:r>
            <w:r w:rsidRPr="00B255F7">
              <w:rPr>
                <w:rFonts w:asciiTheme="minorHAnsi" w:hAnsiTheme="minorHAnsi" w:cstheme="minorHAnsi"/>
                <w:sz w:val="22"/>
                <w:szCs w:val="22"/>
              </w:rPr>
              <w:t xml:space="preserve"> kroz dodjelu nepovratnih sredstava. Ova se sredstva isplaćuju iz prihoda Fonda za zaštitu okoliša i energetsku učinkovitost ostvarenog</w:t>
            </w:r>
            <w:r w:rsidR="00A7735F" w:rsidRPr="00B255F7">
              <w:rPr>
                <w:rFonts w:asciiTheme="minorHAnsi" w:hAnsiTheme="minorHAnsi" w:cstheme="minorHAnsi"/>
                <w:sz w:val="22"/>
                <w:szCs w:val="22"/>
              </w:rPr>
              <w:t xml:space="preserve"> </w:t>
            </w:r>
            <w:r w:rsidR="00CD0632" w:rsidRPr="00B255F7">
              <w:rPr>
                <w:rFonts w:asciiTheme="minorHAnsi" w:hAnsiTheme="minorHAnsi" w:cstheme="minorHAnsi"/>
                <w:sz w:val="22"/>
                <w:szCs w:val="22"/>
              </w:rPr>
              <w:t>iz prihod</w:t>
            </w:r>
            <w:r w:rsidR="009F0777" w:rsidRPr="00B255F7">
              <w:rPr>
                <w:rFonts w:asciiTheme="minorHAnsi" w:hAnsiTheme="minorHAnsi" w:cstheme="minorHAnsi"/>
                <w:sz w:val="22"/>
                <w:szCs w:val="22"/>
              </w:rPr>
              <w:t>a</w:t>
            </w:r>
            <w:r w:rsidR="00CD0632" w:rsidRPr="00B255F7">
              <w:rPr>
                <w:rFonts w:asciiTheme="minorHAnsi" w:hAnsiTheme="minorHAnsi" w:cstheme="minorHAnsi"/>
                <w:sz w:val="22"/>
                <w:szCs w:val="22"/>
              </w:rPr>
              <w:t xml:space="preserve"> od prodaje emisijskih jedinica iz EU ETS-a</w:t>
            </w:r>
            <w:r w:rsidR="009F0777" w:rsidRPr="00B255F7">
              <w:rPr>
                <w:rFonts w:asciiTheme="minorHAnsi" w:hAnsiTheme="minorHAnsi" w:cstheme="minorHAnsi"/>
                <w:sz w:val="22"/>
                <w:szCs w:val="22"/>
              </w:rPr>
              <w:t xml:space="preserve"> te Modernizacijskog fonda</w:t>
            </w:r>
            <w:r w:rsidR="00E274D7" w:rsidRPr="00B255F7">
              <w:rPr>
                <w:rFonts w:asciiTheme="minorHAnsi" w:hAnsiTheme="minorHAnsi" w:cstheme="minorHAnsi"/>
                <w:sz w:val="22"/>
                <w:szCs w:val="22"/>
              </w:rPr>
              <w:t>,</w:t>
            </w:r>
            <w:r w:rsidRPr="00B255F7">
              <w:rPr>
                <w:rFonts w:asciiTheme="minorHAnsi" w:hAnsiTheme="minorHAnsi" w:cstheme="minorHAnsi"/>
                <w:sz w:val="22"/>
                <w:szCs w:val="22"/>
              </w:rPr>
              <w:t xml:space="preserve"> između ostalog</w:t>
            </w:r>
            <w:r w:rsidR="00E274D7" w:rsidRPr="00B255F7">
              <w:rPr>
                <w:rFonts w:asciiTheme="minorHAnsi" w:hAnsiTheme="minorHAnsi" w:cstheme="minorHAnsi"/>
                <w:sz w:val="22"/>
                <w:szCs w:val="22"/>
              </w:rPr>
              <w:t>,</w:t>
            </w:r>
            <w:r w:rsidRPr="00B255F7">
              <w:rPr>
                <w:rFonts w:asciiTheme="minorHAnsi" w:hAnsiTheme="minorHAnsi" w:cstheme="minorHAnsi"/>
                <w:sz w:val="22"/>
                <w:szCs w:val="22"/>
              </w:rPr>
              <w:t xml:space="preserve"> prikupljanjem posebne naknade za okoliš na vozila na motorni pogon.</w:t>
            </w:r>
          </w:p>
        </w:tc>
      </w:tr>
      <w:tr w:rsidR="0070662D" w:rsidRPr="00B255F7" w14:paraId="14587F8E" w14:textId="77777777" w:rsidTr="63259912">
        <w:tc>
          <w:tcPr>
            <w:tcW w:w="1609" w:type="pct"/>
          </w:tcPr>
          <w:p w14:paraId="71BAD55E" w14:textId="0931F399" w:rsidR="0070662D" w:rsidRPr="00B255F7" w:rsidRDefault="00D67371" w:rsidP="00AE4D7E">
            <w:pPr>
              <w:pStyle w:val="Default"/>
              <w:jc w:val="both"/>
              <w:rPr>
                <w:rFonts w:cstheme="minorHAnsi"/>
                <w:b/>
                <w:sz w:val="22"/>
                <w:szCs w:val="22"/>
                <w:highlight w:val="yellow"/>
              </w:rPr>
            </w:pPr>
            <w:r w:rsidRPr="00B255F7">
              <w:rPr>
                <w:rFonts w:cstheme="minorHAnsi"/>
                <w:sz w:val="22"/>
                <w:szCs w:val="22"/>
              </w:rPr>
              <w:t>Razvoj infrastrukture za alternativna goriva</w:t>
            </w:r>
          </w:p>
        </w:tc>
        <w:tc>
          <w:tcPr>
            <w:tcW w:w="1683" w:type="pct"/>
          </w:tcPr>
          <w:p w14:paraId="0751138A" w14:textId="0411E714" w:rsidR="0070662D" w:rsidRPr="00B255F7" w:rsidRDefault="007522A6" w:rsidP="55103C4F">
            <w:pPr>
              <w:pStyle w:val="Default"/>
              <w:jc w:val="both"/>
              <w:rPr>
                <w:rFonts w:cstheme="minorHAnsi"/>
                <w:sz w:val="22"/>
                <w:szCs w:val="22"/>
                <w:highlight w:val="yellow"/>
              </w:rPr>
            </w:pPr>
            <w:r w:rsidRPr="00B255F7">
              <w:rPr>
                <w:rFonts w:cstheme="minorHAnsi"/>
                <w:sz w:val="22"/>
                <w:szCs w:val="22"/>
              </w:rPr>
              <w:t>Nacionalni okvir politike za uspostavu infrastrukture i razvoj tržišta alternativnih goriva u prometu (</w:t>
            </w:r>
            <w:r w:rsidR="004C161F">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4C161F">
              <w:rPr>
                <w:rFonts w:cstheme="minorHAnsi"/>
                <w:sz w:val="22"/>
                <w:szCs w:val="22"/>
              </w:rPr>
              <w:t>“</w:t>
            </w:r>
            <w:r w:rsidR="00071A4F" w:rsidRPr="00B255F7">
              <w:rPr>
                <w:rFonts w:cstheme="minorHAnsi"/>
                <w:sz w:val="22"/>
                <w:szCs w:val="22"/>
              </w:rPr>
              <w:t xml:space="preserve">, </w:t>
            </w:r>
            <w:r w:rsidR="00326206" w:rsidRPr="00B255F7">
              <w:rPr>
                <w:rFonts w:cstheme="minorHAnsi"/>
                <w:sz w:val="22"/>
                <w:szCs w:val="22"/>
              </w:rPr>
              <w:t>br</w:t>
            </w:r>
            <w:r w:rsidR="00326206">
              <w:rPr>
                <w:rFonts w:cstheme="minorHAnsi"/>
                <w:sz w:val="22"/>
                <w:szCs w:val="22"/>
              </w:rPr>
              <w:t>.</w:t>
            </w:r>
            <w:r w:rsidR="00326206" w:rsidRPr="00B255F7">
              <w:rPr>
                <w:rFonts w:cstheme="minorHAnsi"/>
                <w:sz w:val="22"/>
                <w:szCs w:val="22"/>
              </w:rPr>
              <w:t xml:space="preserve"> </w:t>
            </w:r>
            <w:r w:rsidRPr="00B255F7">
              <w:rPr>
                <w:rFonts w:cstheme="minorHAnsi"/>
                <w:sz w:val="22"/>
                <w:szCs w:val="22"/>
              </w:rPr>
              <w:t>34</w:t>
            </w:r>
            <w:r w:rsidR="005B41DA" w:rsidRPr="00B255F7">
              <w:rPr>
                <w:rFonts w:cstheme="minorHAnsi"/>
                <w:sz w:val="22"/>
                <w:szCs w:val="22"/>
              </w:rPr>
              <w:t>/17</w:t>
            </w:r>
            <w:r w:rsidR="004C161F">
              <w:rPr>
                <w:rFonts w:cstheme="minorHAnsi"/>
                <w:sz w:val="22"/>
                <w:szCs w:val="22"/>
              </w:rPr>
              <w:t>.</w:t>
            </w:r>
            <w:r w:rsidRPr="00B255F7">
              <w:rPr>
                <w:rFonts w:cstheme="minorHAnsi"/>
                <w:sz w:val="22"/>
                <w:szCs w:val="22"/>
              </w:rPr>
              <w:t xml:space="preserve">), Zakon o uspostavi infrastrukture za </w:t>
            </w:r>
            <w:r w:rsidR="004C26BB" w:rsidRPr="00B255F7">
              <w:rPr>
                <w:rFonts w:cstheme="minorHAnsi"/>
                <w:sz w:val="22"/>
                <w:szCs w:val="22"/>
              </w:rPr>
              <w:t>alternativna</w:t>
            </w:r>
            <w:r w:rsidRPr="00B255F7">
              <w:rPr>
                <w:rFonts w:cstheme="minorHAnsi"/>
                <w:sz w:val="22"/>
                <w:szCs w:val="22"/>
              </w:rPr>
              <w:t xml:space="preserve"> goriva (</w:t>
            </w:r>
            <w:r w:rsidR="004C161F">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4C161F">
              <w:rPr>
                <w:rFonts w:cstheme="minorHAnsi"/>
                <w:sz w:val="22"/>
                <w:szCs w:val="22"/>
              </w:rPr>
              <w:t>“</w:t>
            </w:r>
            <w:r w:rsidR="00071A4F" w:rsidRPr="00B255F7">
              <w:rPr>
                <w:rFonts w:cstheme="minorHAnsi"/>
                <w:sz w:val="22"/>
                <w:szCs w:val="22"/>
              </w:rPr>
              <w:t>, br</w:t>
            </w:r>
            <w:r w:rsidR="00326206">
              <w:rPr>
                <w:rFonts w:cstheme="minorHAnsi"/>
                <w:sz w:val="22"/>
                <w:szCs w:val="22"/>
              </w:rPr>
              <w:t>.</w:t>
            </w:r>
            <w:r w:rsidRPr="00B255F7">
              <w:rPr>
                <w:rFonts w:cstheme="minorHAnsi"/>
                <w:sz w:val="22"/>
                <w:szCs w:val="22"/>
              </w:rPr>
              <w:t xml:space="preserve"> 120</w:t>
            </w:r>
            <w:r w:rsidR="005B41DA" w:rsidRPr="00B255F7">
              <w:rPr>
                <w:rFonts w:cstheme="minorHAnsi"/>
                <w:sz w:val="22"/>
                <w:szCs w:val="22"/>
              </w:rPr>
              <w:t>/16</w:t>
            </w:r>
            <w:r w:rsidR="004C161F">
              <w:rPr>
                <w:rFonts w:cstheme="minorHAnsi"/>
                <w:sz w:val="22"/>
                <w:szCs w:val="22"/>
              </w:rPr>
              <w:t>. i</w:t>
            </w:r>
            <w:r w:rsidR="004C26BB" w:rsidRPr="00B255F7">
              <w:rPr>
                <w:rFonts w:cstheme="minorHAnsi"/>
                <w:sz w:val="22"/>
                <w:szCs w:val="22"/>
              </w:rPr>
              <w:t xml:space="preserve"> 63</w:t>
            </w:r>
            <w:r w:rsidR="005B41DA" w:rsidRPr="00B255F7">
              <w:rPr>
                <w:rFonts w:cstheme="minorHAnsi"/>
                <w:sz w:val="22"/>
                <w:szCs w:val="22"/>
              </w:rPr>
              <w:t>/22</w:t>
            </w:r>
            <w:r w:rsidR="004C161F">
              <w:rPr>
                <w:rFonts w:cstheme="minorHAnsi"/>
                <w:sz w:val="22"/>
                <w:szCs w:val="22"/>
              </w:rPr>
              <w:t>.</w:t>
            </w:r>
            <w:r w:rsidR="004C26BB" w:rsidRPr="00B255F7">
              <w:rPr>
                <w:rFonts w:cstheme="minorHAnsi"/>
                <w:sz w:val="22"/>
                <w:szCs w:val="22"/>
              </w:rPr>
              <w:t>)</w:t>
            </w:r>
          </w:p>
          <w:p w14:paraId="3A32ECE9" w14:textId="5D0CD75B" w:rsidR="0070662D" w:rsidRPr="00B255F7" w:rsidRDefault="0070662D" w:rsidP="55103C4F">
            <w:pPr>
              <w:pStyle w:val="Default"/>
              <w:jc w:val="both"/>
              <w:rPr>
                <w:rFonts w:cstheme="minorHAnsi"/>
                <w:sz w:val="22"/>
                <w:szCs w:val="22"/>
              </w:rPr>
            </w:pPr>
          </w:p>
          <w:p w14:paraId="27985C87" w14:textId="54FD6A60" w:rsidR="0070662D" w:rsidRPr="00B255F7" w:rsidRDefault="4BD191B0" w:rsidP="00AE4D7E">
            <w:pPr>
              <w:pStyle w:val="Default"/>
              <w:jc w:val="both"/>
              <w:rPr>
                <w:rFonts w:cstheme="minorHAnsi"/>
                <w:sz w:val="22"/>
                <w:szCs w:val="22"/>
              </w:rPr>
            </w:pPr>
            <w:r w:rsidRPr="00B255F7">
              <w:rPr>
                <w:rFonts w:cstheme="minorHAnsi"/>
                <w:sz w:val="22"/>
                <w:szCs w:val="22"/>
              </w:rPr>
              <w:t>Strategija prilagodbe klimatskim promjenama u Republici Hrvatskoj za razdoblje do 2040. godine s pogledom na 2070. godinu (</w:t>
            </w:r>
            <w:r w:rsidR="004C161F">
              <w:rPr>
                <w:rFonts w:cstheme="minorHAnsi"/>
                <w:sz w:val="22"/>
                <w:szCs w:val="22"/>
              </w:rPr>
              <w:t>„</w:t>
            </w:r>
            <w:r w:rsidRPr="00B255F7">
              <w:rPr>
                <w:rFonts w:cstheme="minorHAnsi"/>
                <w:sz w:val="22"/>
                <w:szCs w:val="22"/>
              </w:rPr>
              <w:t>Narodne novine</w:t>
            </w:r>
            <w:r w:rsidR="000620CB">
              <w:rPr>
                <w:rFonts w:cstheme="minorHAnsi"/>
                <w:sz w:val="22"/>
                <w:szCs w:val="22"/>
              </w:rPr>
              <w:t>“</w:t>
            </w:r>
            <w:r w:rsidRPr="00B255F7">
              <w:rPr>
                <w:rFonts w:cstheme="minorHAnsi"/>
                <w:sz w:val="22"/>
                <w:szCs w:val="22"/>
              </w:rPr>
              <w:t xml:space="preserve">, </w:t>
            </w:r>
            <w:r w:rsidR="00326206" w:rsidRPr="00B255F7">
              <w:rPr>
                <w:rFonts w:cstheme="minorHAnsi"/>
                <w:sz w:val="22"/>
                <w:szCs w:val="22"/>
              </w:rPr>
              <w:t>br</w:t>
            </w:r>
            <w:r w:rsidR="00326206">
              <w:rPr>
                <w:rFonts w:cstheme="minorHAnsi"/>
                <w:sz w:val="22"/>
                <w:szCs w:val="22"/>
              </w:rPr>
              <w:t>.</w:t>
            </w:r>
            <w:r w:rsidR="00326206" w:rsidRPr="00B255F7">
              <w:rPr>
                <w:rFonts w:cstheme="minorHAnsi"/>
                <w:sz w:val="22"/>
                <w:szCs w:val="22"/>
              </w:rPr>
              <w:t xml:space="preserve"> </w:t>
            </w:r>
            <w:r w:rsidRPr="00B255F7">
              <w:rPr>
                <w:rFonts w:cstheme="minorHAnsi"/>
                <w:sz w:val="22"/>
                <w:szCs w:val="22"/>
              </w:rPr>
              <w:t>46/20</w:t>
            </w:r>
            <w:r w:rsidR="000620CB">
              <w:rPr>
                <w:rFonts w:cstheme="minorHAnsi"/>
                <w:sz w:val="22"/>
                <w:szCs w:val="22"/>
              </w:rPr>
              <w:t>.</w:t>
            </w:r>
            <w:r w:rsidRPr="00B255F7">
              <w:rPr>
                <w:rFonts w:cstheme="minorHAnsi"/>
                <w:sz w:val="22"/>
                <w:szCs w:val="22"/>
              </w:rPr>
              <w:t>)</w:t>
            </w:r>
          </w:p>
        </w:tc>
        <w:tc>
          <w:tcPr>
            <w:tcW w:w="1708" w:type="pct"/>
          </w:tcPr>
          <w:p w14:paraId="08DF6150" w14:textId="7D75768F" w:rsidR="0070662D" w:rsidRPr="00B255F7" w:rsidRDefault="00183DFA" w:rsidP="55103C4F">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 xml:space="preserve">Poticajna mjera sufinanciranja koja prati </w:t>
            </w:r>
            <w:r w:rsidR="00ED4801" w:rsidRPr="00ED4801">
              <w:rPr>
                <w:rFonts w:asciiTheme="minorHAnsi" w:hAnsiTheme="minorHAnsi" w:cstheme="minorHAnsi"/>
                <w:sz w:val="22"/>
                <w:szCs w:val="22"/>
              </w:rPr>
              <w:t>Direktiv</w:t>
            </w:r>
            <w:r w:rsidR="00D37382">
              <w:rPr>
                <w:rFonts w:asciiTheme="minorHAnsi" w:hAnsiTheme="minorHAnsi" w:cstheme="minorHAnsi"/>
                <w:sz w:val="22"/>
                <w:szCs w:val="22"/>
              </w:rPr>
              <w:t>u</w:t>
            </w:r>
            <w:r w:rsidR="00ED4801" w:rsidRPr="00ED4801">
              <w:rPr>
                <w:rFonts w:asciiTheme="minorHAnsi" w:hAnsiTheme="minorHAnsi" w:cstheme="minorHAnsi"/>
                <w:sz w:val="22"/>
                <w:szCs w:val="22"/>
              </w:rPr>
              <w:t xml:space="preserve"> Europskog parlamenta i Vijeća od 22. listopada 2014. o uspostavi infrastrukture za alternativna goriva 2014/94/EU</w:t>
            </w:r>
            <w:r w:rsidR="00C35ED6">
              <w:rPr>
                <w:rFonts w:asciiTheme="minorHAnsi" w:hAnsiTheme="minorHAnsi" w:cstheme="minorHAnsi"/>
                <w:sz w:val="22"/>
                <w:szCs w:val="22"/>
              </w:rPr>
              <w:t xml:space="preserve"> (SL L </w:t>
            </w:r>
            <w:r w:rsidR="00817F47">
              <w:rPr>
                <w:rFonts w:asciiTheme="minorHAnsi" w:hAnsiTheme="minorHAnsi" w:cstheme="minorHAnsi"/>
                <w:sz w:val="22"/>
                <w:szCs w:val="22"/>
              </w:rPr>
              <w:t>307</w:t>
            </w:r>
            <w:r w:rsidR="001D06BE">
              <w:rPr>
                <w:rFonts w:asciiTheme="minorHAnsi" w:hAnsiTheme="minorHAnsi" w:cstheme="minorHAnsi"/>
                <w:sz w:val="22"/>
                <w:szCs w:val="22"/>
              </w:rPr>
              <w:t>, 28.10.2014.)</w:t>
            </w:r>
            <w:r w:rsidR="0055340B">
              <w:rPr>
                <w:rFonts w:asciiTheme="minorHAnsi" w:hAnsiTheme="minorHAnsi" w:cstheme="minorHAnsi"/>
                <w:sz w:val="22"/>
                <w:szCs w:val="22"/>
              </w:rPr>
              <w:t>,</w:t>
            </w:r>
            <w:r w:rsidR="001D06BE">
              <w:rPr>
                <w:rFonts w:asciiTheme="minorHAnsi" w:hAnsiTheme="minorHAnsi" w:cstheme="minorHAnsi"/>
                <w:sz w:val="22"/>
                <w:szCs w:val="22"/>
              </w:rPr>
              <w:t xml:space="preserve"> </w:t>
            </w:r>
            <w:r w:rsidRPr="00B255F7">
              <w:rPr>
                <w:rFonts w:asciiTheme="minorHAnsi" w:hAnsiTheme="minorHAnsi" w:cstheme="minorHAnsi"/>
                <w:sz w:val="22"/>
                <w:szCs w:val="22"/>
              </w:rPr>
              <w:t>Zakon o uspostavi infrastrukture za alternativna goriva i Nacionalni okvir politike za uspostavu infrastrukture i razvoj tržišta alternativnih goriva u prometu</w:t>
            </w:r>
            <w:r w:rsidR="00531499" w:rsidRPr="00B255F7">
              <w:rPr>
                <w:rFonts w:asciiTheme="minorHAnsi" w:hAnsiTheme="minorHAnsi" w:cstheme="minorHAnsi"/>
                <w:sz w:val="22"/>
                <w:szCs w:val="22"/>
              </w:rPr>
              <w:t xml:space="preserve"> (NOP)</w:t>
            </w:r>
            <w:r w:rsidRPr="00B255F7">
              <w:rPr>
                <w:rFonts w:asciiTheme="minorHAnsi" w:hAnsiTheme="minorHAnsi" w:cstheme="minorHAnsi"/>
                <w:sz w:val="22"/>
                <w:szCs w:val="22"/>
              </w:rPr>
              <w:t>, te potiče izgradnju punionica u skladu s navedenim dokumentima.</w:t>
            </w:r>
          </w:p>
          <w:p w14:paraId="58690641" w14:textId="5D4F812C" w:rsidR="0070662D" w:rsidRPr="00B255F7" w:rsidRDefault="0070662D" w:rsidP="55103C4F">
            <w:pPr>
              <w:spacing w:after="0"/>
              <w:rPr>
                <w:rFonts w:asciiTheme="minorHAnsi" w:hAnsiTheme="minorHAnsi" w:cstheme="minorHAnsi"/>
                <w:sz w:val="22"/>
                <w:szCs w:val="22"/>
              </w:rPr>
            </w:pPr>
          </w:p>
          <w:p w14:paraId="1B2277BE" w14:textId="6BD35467" w:rsidR="0070662D" w:rsidRPr="00B255F7" w:rsidRDefault="02EE5D75" w:rsidP="00AE4D7E">
            <w:pPr>
              <w:spacing w:after="0"/>
              <w:rPr>
                <w:rFonts w:asciiTheme="minorHAnsi" w:hAnsiTheme="minorHAnsi" w:cstheme="minorHAnsi"/>
                <w:sz w:val="22"/>
                <w:szCs w:val="22"/>
              </w:rPr>
            </w:pPr>
            <w:r w:rsidRPr="00B255F7">
              <w:rPr>
                <w:rFonts w:asciiTheme="minorHAnsi" w:hAnsiTheme="minorHAnsi" w:cstheme="minorHAnsi"/>
                <w:sz w:val="22"/>
                <w:szCs w:val="22"/>
              </w:rPr>
              <w:t xml:space="preserve">Prema </w:t>
            </w:r>
            <w:r w:rsidR="1FA4595F" w:rsidRPr="00B255F7">
              <w:rPr>
                <w:rFonts w:asciiTheme="minorHAnsi" w:hAnsiTheme="minorHAnsi" w:cstheme="minorHAnsi"/>
                <w:sz w:val="22"/>
                <w:szCs w:val="22"/>
              </w:rPr>
              <w:t>Strategij</w:t>
            </w:r>
            <w:r w:rsidR="24201CFE" w:rsidRPr="00B255F7">
              <w:rPr>
                <w:rFonts w:asciiTheme="minorHAnsi" w:hAnsiTheme="minorHAnsi" w:cstheme="minorHAnsi"/>
                <w:sz w:val="22"/>
                <w:szCs w:val="22"/>
              </w:rPr>
              <w:t>i</w:t>
            </w:r>
            <w:r w:rsidR="1FA4595F" w:rsidRPr="00B255F7">
              <w:rPr>
                <w:rFonts w:asciiTheme="minorHAnsi" w:hAnsiTheme="minorHAnsi" w:cstheme="minorHAnsi"/>
                <w:sz w:val="22"/>
                <w:szCs w:val="22"/>
              </w:rPr>
              <w:t xml:space="preserve"> prilagodbe</w:t>
            </w:r>
            <w:r w:rsidR="06D56894" w:rsidRPr="00B255F7">
              <w:rPr>
                <w:rFonts w:asciiTheme="minorHAnsi" w:hAnsiTheme="minorHAnsi" w:cstheme="minorHAnsi"/>
                <w:sz w:val="22"/>
                <w:szCs w:val="22"/>
              </w:rPr>
              <w:t xml:space="preserve"> </w:t>
            </w:r>
            <w:r w:rsidR="1E723006" w:rsidRPr="00B255F7">
              <w:rPr>
                <w:rFonts w:asciiTheme="minorHAnsi" w:hAnsiTheme="minorHAnsi" w:cstheme="minorHAnsi"/>
                <w:sz w:val="22"/>
                <w:szCs w:val="22"/>
              </w:rPr>
              <w:t xml:space="preserve"> potrebno </w:t>
            </w:r>
            <w:r w:rsidR="1849B07B" w:rsidRPr="00B255F7">
              <w:rPr>
                <w:rFonts w:asciiTheme="minorHAnsi" w:hAnsiTheme="minorHAnsi" w:cstheme="minorHAnsi"/>
                <w:sz w:val="22"/>
                <w:szCs w:val="22"/>
              </w:rPr>
              <w:t xml:space="preserve">je </w:t>
            </w:r>
            <w:r w:rsidR="1E723006" w:rsidRPr="00B255F7">
              <w:rPr>
                <w:rFonts w:asciiTheme="minorHAnsi" w:hAnsiTheme="minorHAnsi" w:cstheme="minorHAnsi"/>
                <w:sz w:val="22"/>
                <w:szCs w:val="22"/>
              </w:rPr>
              <w:t xml:space="preserve">provesti </w:t>
            </w:r>
            <w:r w:rsidR="6D96CFE7" w:rsidRPr="00B255F7">
              <w:rPr>
                <w:rFonts w:asciiTheme="minorHAnsi" w:hAnsiTheme="minorHAnsi" w:cstheme="minorHAnsi"/>
                <w:sz w:val="22"/>
                <w:szCs w:val="22"/>
              </w:rPr>
              <w:t xml:space="preserve">u cijelosti </w:t>
            </w:r>
            <w:r w:rsidR="1E723006" w:rsidRPr="00B255F7">
              <w:rPr>
                <w:rFonts w:asciiTheme="minorHAnsi" w:hAnsiTheme="minorHAnsi" w:cstheme="minorHAnsi"/>
                <w:sz w:val="22"/>
                <w:szCs w:val="22"/>
              </w:rPr>
              <w:t>mjeru E-0</w:t>
            </w:r>
            <w:r w:rsidR="5C6CA4E5" w:rsidRPr="00B255F7">
              <w:rPr>
                <w:rFonts w:asciiTheme="minorHAnsi" w:hAnsiTheme="minorHAnsi" w:cstheme="minorHAnsi"/>
                <w:sz w:val="22"/>
                <w:szCs w:val="22"/>
              </w:rPr>
              <w:t xml:space="preserve">6 jačanje otpornosti </w:t>
            </w:r>
            <w:r w:rsidR="5C6CA4E5" w:rsidRPr="00B255F7">
              <w:rPr>
                <w:rFonts w:asciiTheme="minorHAnsi" w:hAnsiTheme="minorHAnsi" w:cstheme="minorHAnsi"/>
                <w:sz w:val="22"/>
                <w:szCs w:val="22"/>
              </w:rPr>
              <w:lastRenderedPageBreak/>
              <w:t xml:space="preserve">distribucijske mreže </w:t>
            </w:r>
            <w:r w:rsidR="39F4AC4F" w:rsidRPr="00B255F7">
              <w:rPr>
                <w:rFonts w:asciiTheme="minorHAnsi" w:hAnsiTheme="minorHAnsi" w:cstheme="minorHAnsi"/>
                <w:sz w:val="22"/>
                <w:szCs w:val="22"/>
              </w:rPr>
              <w:t>kao bi se uključile klimatske promjene u donošenje sektorskih strategije, planova i programa razvoja.</w:t>
            </w:r>
          </w:p>
        </w:tc>
      </w:tr>
      <w:tr w:rsidR="0070662D" w:rsidRPr="00B255F7" w14:paraId="2BC8FF39" w14:textId="77777777" w:rsidTr="63259912">
        <w:tc>
          <w:tcPr>
            <w:tcW w:w="1609" w:type="pct"/>
          </w:tcPr>
          <w:p w14:paraId="4DD35BA5" w14:textId="6509594B" w:rsidR="0070662D" w:rsidRPr="00B255F7" w:rsidRDefault="00882C66" w:rsidP="63259912">
            <w:pPr>
              <w:pStyle w:val="Default"/>
              <w:jc w:val="both"/>
              <w:rPr>
                <w:rFonts w:cstheme="minorBidi"/>
                <w:b/>
                <w:bCs/>
                <w:sz w:val="22"/>
                <w:szCs w:val="22"/>
                <w:highlight w:val="yellow"/>
              </w:rPr>
            </w:pPr>
            <w:r w:rsidRPr="63259912">
              <w:rPr>
                <w:rFonts w:cstheme="minorBidi"/>
                <w:sz w:val="22"/>
                <w:szCs w:val="22"/>
              </w:rPr>
              <w:lastRenderedPageBreak/>
              <w:t>Promicanje elektromobilnosti i uspostave infrastrukture za punjenje u zgradama</w:t>
            </w:r>
          </w:p>
        </w:tc>
        <w:tc>
          <w:tcPr>
            <w:tcW w:w="1683" w:type="pct"/>
          </w:tcPr>
          <w:p w14:paraId="3B587083" w14:textId="01028DCF" w:rsidR="0070662D" w:rsidRPr="00B255F7" w:rsidRDefault="003C610A" w:rsidP="55103C4F">
            <w:pPr>
              <w:pStyle w:val="Default"/>
              <w:jc w:val="both"/>
              <w:rPr>
                <w:rFonts w:cstheme="minorHAnsi"/>
                <w:sz w:val="22"/>
                <w:szCs w:val="22"/>
                <w:highlight w:val="yellow"/>
              </w:rPr>
            </w:pPr>
            <w:r w:rsidRPr="00B255F7">
              <w:rPr>
                <w:rFonts w:cstheme="minorHAnsi"/>
                <w:sz w:val="22"/>
                <w:szCs w:val="22"/>
              </w:rPr>
              <w:t>Zakon o gradnji (</w:t>
            </w:r>
            <w:r w:rsidR="00207DDF">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207DDF">
              <w:rPr>
                <w:rFonts w:cstheme="minorHAnsi"/>
                <w:sz w:val="22"/>
                <w:szCs w:val="22"/>
              </w:rPr>
              <w:t>“</w:t>
            </w:r>
            <w:r w:rsidR="00071A4F" w:rsidRPr="00B255F7">
              <w:rPr>
                <w:rFonts w:cstheme="minorHAnsi"/>
                <w:sz w:val="22"/>
                <w:szCs w:val="22"/>
              </w:rPr>
              <w:t>, br</w:t>
            </w:r>
            <w:r w:rsidR="000267AF">
              <w:rPr>
                <w:rFonts w:cstheme="minorHAnsi"/>
                <w:sz w:val="22"/>
                <w:szCs w:val="22"/>
              </w:rPr>
              <w:t>.</w:t>
            </w:r>
            <w:r w:rsidRPr="00B255F7">
              <w:rPr>
                <w:rFonts w:cstheme="minorHAnsi"/>
                <w:sz w:val="22"/>
                <w:szCs w:val="22"/>
              </w:rPr>
              <w:t xml:space="preserve"> 153</w:t>
            </w:r>
            <w:r w:rsidR="005B41DA" w:rsidRPr="00B255F7">
              <w:rPr>
                <w:rFonts w:cstheme="minorHAnsi"/>
                <w:sz w:val="22"/>
                <w:szCs w:val="22"/>
              </w:rPr>
              <w:t>/13</w:t>
            </w:r>
            <w:r w:rsidR="00F62939">
              <w:rPr>
                <w:rFonts w:cstheme="minorHAnsi"/>
                <w:sz w:val="22"/>
                <w:szCs w:val="22"/>
              </w:rPr>
              <w:t>.</w:t>
            </w:r>
            <w:r w:rsidRPr="00B255F7">
              <w:rPr>
                <w:rFonts w:cstheme="minorHAnsi"/>
                <w:sz w:val="22"/>
                <w:szCs w:val="22"/>
              </w:rPr>
              <w:t>, 20</w:t>
            </w:r>
            <w:r w:rsidR="005B41DA" w:rsidRPr="00B255F7">
              <w:rPr>
                <w:rFonts w:cstheme="minorHAnsi"/>
                <w:sz w:val="22"/>
                <w:szCs w:val="22"/>
              </w:rPr>
              <w:t>/17</w:t>
            </w:r>
            <w:r w:rsidR="00F62939">
              <w:rPr>
                <w:rFonts w:cstheme="minorHAnsi"/>
                <w:sz w:val="22"/>
                <w:szCs w:val="22"/>
              </w:rPr>
              <w:t>.</w:t>
            </w:r>
            <w:r w:rsidRPr="00B255F7">
              <w:rPr>
                <w:rFonts w:cstheme="minorHAnsi"/>
                <w:sz w:val="22"/>
                <w:szCs w:val="22"/>
              </w:rPr>
              <w:t>, 39</w:t>
            </w:r>
            <w:r w:rsidR="005B41DA" w:rsidRPr="00B255F7">
              <w:rPr>
                <w:rFonts w:cstheme="minorHAnsi"/>
                <w:sz w:val="22"/>
                <w:szCs w:val="22"/>
              </w:rPr>
              <w:t>/19</w:t>
            </w:r>
            <w:r w:rsidR="00F62939">
              <w:rPr>
                <w:rFonts w:cstheme="minorHAnsi"/>
                <w:sz w:val="22"/>
                <w:szCs w:val="22"/>
              </w:rPr>
              <w:t>.</w:t>
            </w:r>
            <w:r w:rsidRPr="00B255F7">
              <w:rPr>
                <w:rFonts w:cstheme="minorHAnsi"/>
                <w:sz w:val="22"/>
                <w:szCs w:val="22"/>
              </w:rPr>
              <w:t>, 125</w:t>
            </w:r>
            <w:r w:rsidR="005B41DA" w:rsidRPr="00B255F7">
              <w:rPr>
                <w:rFonts w:cstheme="minorHAnsi"/>
                <w:sz w:val="22"/>
                <w:szCs w:val="22"/>
              </w:rPr>
              <w:t>/19</w:t>
            </w:r>
            <w:r w:rsidR="00F62939">
              <w:rPr>
                <w:rFonts w:cstheme="minorHAnsi"/>
                <w:sz w:val="22"/>
                <w:szCs w:val="22"/>
              </w:rPr>
              <w:t>.</w:t>
            </w:r>
            <w:r w:rsidRPr="00B255F7">
              <w:rPr>
                <w:rFonts w:cstheme="minorHAnsi"/>
                <w:sz w:val="22"/>
                <w:szCs w:val="22"/>
              </w:rPr>
              <w:t>)</w:t>
            </w:r>
          </w:p>
          <w:p w14:paraId="6350AC36" w14:textId="29CAAC67" w:rsidR="0070662D" w:rsidRPr="00B255F7" w:rsidRDefault="0070662D" w:rsidP="55103C4F">
            <w:pPr>
              <w:pStyle w:val="Default"/>
              <w:jc w:val="both"/>
              <w:rPr>
                <w:rFonts w:cstheme="minorHAnsi"/>
                <w:sz w:val="22"/>
                <w:szCs w:val="22"/>
              </w:rPr>
            </w:pPr>
          </w:p>
          <w:p w14:paraId="406FAB79" w14:textId="3C1746F5" w:rsidR="0070662D" w:rsidRPr="00B255F7" w:rsidRDefault="3DBEDA16" w:rsidP="00AE4D7E">
            <w:pPr>
              <w:pStyle w:val="Default"/>
              <w:jc w:val="both"/>
              <w:rPr>
                <w:rFonts w:cstheme="minorHAnsi"/>
                <w:sz w:val="22"/>
                <w:szCs w:val="22"/>
              </w:rPr>
            </w:pPr>
            <w:r w:rsidRPr="00B255F7">
              <w:rPr>
                <w:rFonts w:cstheme="minorHAnsi"/>
                <w:sz w:val="22"/>
                <w:szCs w:val="22"/>
              </w:rPr>
              <w:t>Strategija prilagodbe klimatskim promjenama u Republici Hrvatskoj za razdoblje do 2040. godine s pogledom na 2070. godinu (</w:t>
            </w:r>
            <w:r w:rsidR="00207DDF">
              <w:rPr>
                <w:rFonts w:cstheme="minorHAnsi"/>
                <w:sz w:val="22"/>
                <w:szCs w:val="22"/>
              </w:rPr>
              <w:t>„</w:t>
            </w:r>
            <w:r w:rsidRPr="00B255F7">
              <w:rPr>
                <w:rFonts w:cstheme="minorHAnsi"/>
                <w:sz w:val="22"/>
                <w:szCs w:val="22"/>
              </w:rPr>
              <w:t>Narodne novine</w:t>
            </w:r>
            <w:r w:rsidR="00207DDF">
              <w:rPr>
                <w:rFonts w:cstheme="minorHAnsi"/>
                <w:sz w:val="22"/>
                <w:szCs w:val="22"/>
              </w:rPr>
              <w:t>“</w:t>
            </w:r>
            <w:r w:rsidRPr="00B255F7">
              <w:rPr>
                <w:rFonts w:cstheme="minorHAnsi"/>
                <w:sz w:val="22"/>
                <w:szCs w:val="22"/>
              </w:rPr>
              <w:t xml:space="preserve">, </w:t>
            </w:r>
            <w:r w:rsidR="00326206" w:rsidRPr="00B255F7">
              <w:rPr>
                <w:rFonts w:cstheme="minorHAnsi"/>
                <w:sz w:val="22"/>
                <w:szCs w:val="22"/>
              </w:rPr>
              <w:t>br</w:t>
            </w:r>
            <w:r w:rsidR="00326206">
              <w:rPr>
                <w:rFonts w:cstheme="minorHAnsi"/>
                <w:sz w:val="22"/>
                <w:szCs w:val="22"/>
              </w:rPr>
              <w:t>.</w:t>
            </w:r>
            <w:r w:rsidR="00326206" w:rsidRPr="00B255F7">
              <w:rPr>
                <w:rFonts w:cstheme="minorHAnsi"/>
                <w:sz w:val="22"/>
                <w:szCs w:val="22"/>
              </w:rPr>
              <w:t xml:space="preserve"> </w:t>
            </w:r>
            <w:r w:rsidRPr="00B255F7">
              <w:rPr>
                <w:rFonts w:cstheme="minorHAnsi"/>
                <w:sz w:val="22"/>
                <w:szCs w:val="22"/>
              </w:rPr>
              <w:t>46/20</w:t>
            </w:r>
            <w:r w:rsidR="00F62939">
              <w:rPr>
                <w:rFonts w:cstheme="minorHAnsi"/>
                <w:sz w:val="22"/>
                <w:szCs w:val="22"/>
              </w:rPr>
              <w:t>.</w:t>
            </w:r>
            <w:r w:rsidRPr="00B255F7">
              <w:rPr>
                <w:rFonts w:cstheme="minorHAnsi"/>
                <w:sz w:val="22"/>
                <w:szCs w:val="22"/>
              </w:rPr>
              <w:t>)</w:t>
            </w:r>
          </w:p>
        </w:tc>
        <w:tc>
          <w:tcPr>
            <w:tcW w:w="1708" w:type="pct"/>
          </w:tcPr>
          <w:p w14:paraId="6C3B3566" w14:textId="6BA0D08E" w:rsidR="0070662D" w:rsidRPr="00B255F7" w:rsidRDefault="00B74D29"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Za nove i postoje</w:t>
            </w:r>
            <w:r w:rsidR="00D609E7" w:rsidRPr="63259912">
              <w:rPr>
                <w:rFonts w:asciiTheme="minorHAnsi" w:hAnsiTheme="minorHAnsi" w:cstheme="minorBidi"/>
                <w:sz w:val="22"/>
                <w:szCs w:val="22"/>
              </w:rPr>
              <w:t xml:space="preserve">će zgrade </w:t>
            </w:r>
            <w:r w:rsidR="00D85E91" w:rsidRPr="63259912">
              <w:rPr>
                <w:rFonts w:asciiTheme="minorHAnsi" w:hAnsiTheme="minorHAnsi" w:cstheme="minorBidi"/>
                <w:sz w:val="22"/>
                <w:szCs w:val="22"/>
              </w:rPr>
              <w:t xml:space="preserve">primjenjuju se </w:t>
            </w:r>
            <w:r w:rsidR="004A5FFD" w:rsidRPr="63259912">
              <w:rPr>
                <w:rFonts w:asciiTheme="minorHAnsi" w:hAnsiTheme="minorHAnsi" w:cstheme="minorBidi"/>
                <w:sz w:val="22"/>
                <w:szCs w:val="22"/>
              </w:rPr>
              <w:t xml:space="preserve">zahtjevi za </w:t>
            </w:r>
            <w:r w:rsidR="002F4325" w:rsidRPr="63259912">
              <w:rPr>
                <w:rFonts w:asciiTheme="minorHAnsi" w:hAnsiTheme="minorHAnsi" w:cstheme="minorBidi"/>
                <w:sz w:val="22"/>
                <w:szCs w:val="22"/>
              </w:rPr>
              <w:t>uvođenje</w:t>
            </w:r>
            <w:r w:rsidR="004A5FFD" w:rsidRPr="63259912">
              <w:rPr>
                <w:rFonts w:asciiTheme="minorHAnsi" w:hAnsiTheme="minorHAnsi" w:cstheme="minorBidi"/>
                <w:sz w:val="22"/>
                <w:szCs w:val="22"/>
              </w:rPr>
              <w:t xml:space="preserve"> elektromobilnosti</w:t>
            </w:r>
            <w:r w:rsidR="002F4325" w:rsidRPr="63259912">
              <w:rPr>
                <w:rFonts w:asciiTheme="minorHAnsi" w:hAnsiTheme="minorHAnsi" w:cstheme="minorBidi"/>
                <w:sz w:val="22"/>
                <w:szCs w:val="22"/>
              </w:rPr>
              <w:t xml:space="preserve"> uspostavom </w:t>
            </w:r>
            <w:r w:rsidR="00637A4A" w:rsidRPr="63259912">
              <w:rPr>
                <w:rFonts w:asciiTheme="minorHAnsi" w:hAnsiTheme="minorHAnsi" w:cstheme="minorBidi"/>
                <w:sz w:val="22"/>
                <w:szCs w:val="22"/>
              </w:rPr>
              <w:t>infrastrukture za punjenje u zgradama.</w:t>
            </w:r>
            <w:r w:rsidR="004A5FFD" w:rsidRPr="63259912">
              <w:rPr>
                <w:rFonts w:asciiTheme="minorHAnsi" w:hAnsiTheme="minorHAnsi" w:cstheme="minorBidi"/>
                <w:sz w:val="22"/>
                <w:szCs w:val="22"/>
              </w:rPr>
              <w:t xml:space="preserve"> </w:t>
            </w:r>
          </w:p>
          <w:p w14:paraId="16C0785E" w14:textId="48DBC548" w:rsidR="0070662D" w:rsidRPr="00B255F7" w:rsidRDefault="0070662D" w:rsidP="55103C4F">
            <w:pPr>
              <w:spacing w:after="0"/>
              <w:rPr>
                <w:rFonts w:asciiTheme="minorHAnsi" w:hAnsiTheme="minorHAnsi" w:cstheme="minorHAnsi"/>
                <w:sz w:val="22"/>
                <w:szCs w:val="22"/>
              </w:rPr>
            </w:pPr>
          </w:p>
          <w:p w14:paraId="17121554" w14:textId="76D9BF12" w:rsidR="0070662D" w:rsidRPr="00B255F7" w:rsidRDefault="0BF694CB" w:rsidP="00AE4D7E">
            <w:pPr>
              <w:spacing w:after="0"/>
              <w:rPr>
                <w:rFonts w:asciiTheme="minorHAnsi" w:hAnsiTheme="minorHAnsi" w:cstheme="minorHAnsi"/>
                <w:sz w:val="22"/>
                <w:szCs w:val="22"/>
              </w:rPr>
            </w:pPr>
            <w:r w:rsidRPr="00B255F7">
              <w:rPr>
                <w:rFonts w:asciiTheme="minorHAnsi" w:hAnsiTheme="minorHAnsi" w:cstheme="minorHAnsi"/>
                <w:sz w:val="22"/>
                <w:szCs w:val="22"/>
              </w:rPr>
              <w:t>Prema Strategiji prilagodbe  potrebno je provesti u cijelosti mjeru E-06 jačanje otpornosti distribucijske mreže kao bi se uključile klimatske promjene u donošenje sektorskih strategije, planova i programa razvoja</w:t>
            </w:r>
          </w:p>
        </w:tc>
      </w:tr>
      <w:tr w:rsidR="00B8226C" w:rsidRPr="00B255F7" w14:paraId="75517BD6" w14:textId="77777777" w:rsidTr="63259912">
        <w:tc>
          <w:tcPr>
            <w:tcW w:w="1609" w:type="pct"/>
          </w:tcPr>
          <w:p w14:paraId="5704522F" w14:textId="5FA1CA51" w:rsidR="00B8226C" w:rsidRPr="00B255F7" w:rsidRDefault="005A240A" w:rsidP="00AE4D7E">
            <w:pPr>
              <w:pStyle w:val="Default"/>
              <w:jc w:val="both"/>
              <w:rPr>
                <w:rFonts w:cstheme="minorHAnsi"/>
                <w:b/>
                <w:sz w:val="22"/>
                <w:szCs w:val="22"/>
                <w:highlight w:val="yellow"/>
              </w:rPr>
            </w:pPr>
            <w:r w:rsidRPr="00B255F7">
              <w:rPr>
                <w:rFonts w:cstheme="minorHAnsi"/>
                <w:sz w:val="22"/>
                <w:szCs w:val="22"/>
              </w:rPr>
              <w:t xml:space="preserve">Promicanje </w:t>
            </w:r>
            <w:r w:rsidR="00F531BC" w:rsidRPr="00B255F7">
              <w:rPr>
                <w:rFonts w:cstheme="minorHAnsi"/>
                <w:sz w:val="22"/>
                <w:szCs w:val="22"/>
              </w:rPr>
              <w:t xml:space="preserve">javne nabave </w:t>
            </w:r>
            <w:r w:rsidRPr="00B255F7">
              <w:rPr>
                <w:rFonts w:cstheme="minorHAnsi"/>
                <w:sz w:val="22"/>
                <w:szCs w:val="22"/>
              </w:rPr>
              <w:t>čistih vozila u</w:t>
            </w:r>
            <w:r w:rsidR="00531499" w:rsidRPr="00B255F7">
              <w:rPr>
                <w:rFonts w:cstheme="minorHAnsi"/>
                <w:sz w:val="22"/>
                <w:szCs w:val="22"/>
              </w:rPr>
              <w:t xml:space="preserve"> </w:t>
            </w:r>
            <w:r w:rsidRPr="00B255F7">
              <w:rPr>
                <w:rFonts w:cstheme="minorHAnsi"/>
                <w:sz w:val="22"/>
                <w:szCs w:val="22"/>
              </w:rPr>
              <w:t>cestovnom prijevozu</w:t>
            </w:r>
          </w:p>
        </w:tc>
        <w:tc>
          <w:tcPr>
            <w:tcW w:w="1683" w:type="pct"/>
          </w:tcPr>
          <w:p w14:paraId="08BAB779" w14:textId="4ED9ECDD" w:rsidR="00B8226C" w:rsidRPr="00B255F7" w:rsidRDefault="00ED496D" w:rsidP="00AE4D7E">
            <w:pPr>
              <w:pStyle w:val="Default"/>
              <w:jc w:val="both"/>
              <w:rPr>
                <w:rFonts w:cstheme="minorHAnsi"/>
                <w:sz w:val="22"/>
                <w:szCs w:val="22"/>
              </w:rPr>
            </w:pPr>
            <w:r w:rsidRPr="00B255F7">
              <w:rPr>
                <w:rFonts w:cstheme="minorHAnsi"/>
                <w:sz w:val="22"/>
                <w:szCs w:val="22"/>
              </w:rPr>
              <w:t xml:space="preserve">Zakon o promicanju čistih vozila u cestovnom </w:t>
            </w:r>
            <w:r w:rsidR="00ED7E7C" w:rsidRPr="00B255F7">
              <w:rPr>
                <w:rFonts w:cstheme="minorHAnsi"/>
                <w:sz w:val="22"/>
                <w:szCs w:val="22"/>
              </w:rPr>
              <w:t>prijevozu</w:t>
            </w:r>
            <w:r w:rsidRPr="00B255F7">
              <w:rPr>
                <w:rFonts w:cstheme="minorHAnsi"/>
                <w:sz w:val="22"/>
                <w:szCs w:val="22"/>
              </w:rPr>
              <w:t xml:space="preserve"> (</w:t>
            </w:r>
            <w:r w:rsidR="00F62939">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F62939">
              <w:rPr>
                <w:rFonts w:cstheme="minorHAnsi"/>
                <w:sz w:val="22"/>
                <w:szCs w:val="22"/>
              </w:rPr>
              <w:t>“</w:t>
            </w:r>
            <w:r w:rsidR="00071A4F" w:rsidRPr="00B255F7">
              <w:rPr>
                <w:rFonts w:cstheme="minorHAnsi"/>
                <w:sz w:val="22"/>
                <w:szCs w:val="22"/>
              </w:rPr>
              <w:t xml:space="preserve">, </w:t>
            </w:r>
            <w:r w:rsidR="00326206" w:rsidRPr="00B255F7">
              <w:rPr>
                <w:rFonts w:cstheme="minorHAnsi"/>
                <w:sz w:val="22"/>
                <w:szCs w:val="22"/>
              </w:rPr>
              <w:t>br</w:t>
            </w:r>
            <w:r w:rsidR="00326206">
              <w:rPr>
                <w:rFonts w:cstheme="minorHAnsi"/>
                <w:sz w:val="22"/>
                <w:szCs w:val="22"/>
              </w:rPr>
              <w:t>.</w:t>
            </w:r>
            <w:r w:rsidR="00326206" w:rsidRPr="00B255F7">
              <w:rPr>
                <w:rFonts w:cstheme="minorHAnsi"/>
                <w:sz w:val="22"/>
                <w:szCs w:val="22"/>
              </w:rPr>
              <w:t xml:space="preserve"> </w:t>
            </w:r>
            <w:r w:rsidR="00ED7E7C" w:rsidRPr="00B255F7">
              <w:rPr>
                <w:rFonts w:cstheme="minorHAnsi"/>
                <w:sz w:val="22"/>
                <w:szCs w:val="22"/>
              </w:rPr>
              <w:t>52</w:t>
            </w:r>
            <w:r w:rsidR="005B41DA" w:rsidRPr="00B255F7">
              <w:rPr>
                <w:rFonts w:cstheme="minorHAnsi"/>
                <w:sz w:val="22"/>
                <w:szCs w:val="22"/>
              </w:rPr>
              <w:t>/21</w:t>
            </w:r>
            <w:r w:rsidR="00F62939">
              <w:rPr>
                <w:rFonts w:cstheme="minorHAnsi"/>
                <w:sz w:val="22"/>
                <w:szCs w:val="22"/>
              </w:rPr>
              <w:t>.</w:t>
            </w:r>
            <w:r w:rsidR="00ED7E7C" w:rsidRPr="00B255F7">
              <w:rPr>
                <w:rFonts w:cstheme="minorHAnsi"/>
                <w:sz w:val="22"/>
                <w:szCs w:val="22"/>
              </w:rPr>
              <w:t xml:space="preserve">). </w:t>
            </w:r>
          </w:p>
          <w:p w14:paraId="5BD1B907" w14:textId="1EACC44D" w:rsidR="00B8226C" w:rsidRPr="00B255F7" w:rsidRDefault="00201A46" w:rsidP="00AE4D7E">
            <w:pPr>
              <w:pStyle w:val="Default"/>
              <w:jc w:val="both"/>
              <w:rPr>
                <w:rFonts w:cstheme="minorHAnsi"/>
                <w:sz w:val="22"/>
                <w:szCs w:val="22"/>
                <w:highlight w:val="yellow"/>
              </w:rPr>
            </w:pPr>
            <w:r w:rsidRPr="00B255F7">
              <w:rPr>
                <w:rFonts w:cstheme="minorHAnsi"/>
                <w:sz w:val="22"/>
                <w:szCs w:val="22"/>
              </w:rPr>
              <w:t xml:space="preserve">Pravilnik o </w:t>
            </w:r>
            <w:r w:rsidR="005A6EEE" w:rsidRPr="00B255F7">
              <w:rPr>
                <w:rFonts w:cstheme="minorHAnsi"/>
                <w:sz w:val="22"/>
                <w:szCs w:val="22"/>
              </w:rPr>
              <w:t>obvezi izvješćivanja Europskoj komisiji i minimalnim ciljevima u postupcima javne nabave</w:t>
            </w:r>
            <w:r w:rsidRPr="00B255F7">
              <w:rPr>
                <w:rFonts w:cstheme="minorHAnsi"/>
                <w:sz w:val="22"/>
                <w:szCs w:val="22"/>
              </w:rPr>
              <w:t xml:space="preserve"> vozila za cestovni prijevoz (</w:t>
            </w:r>
            <w:r w:rsidR="00F62939">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F62939">
              <w:rPr>
                <w:rFonts w:cstheme="minorHAnsi"/>
                <w:sz w:val="22"/>
                <w:szCs w:val="22"/>
              </w:rPr>
              <w:t>“</w:t>
            </w:r>
            <w:r w:rsidR="00071A4F" w:rsidRPr="00B255F7">
              <w:rPr>
                <w:rFonts w:cstheme="minorHAnsi"/>
                <w:sz w:val="22"/>
                <w:szCs w:val="22"/>
              </w:rPr>
              <w:t xml:space="preserve">, </w:t>
            </w:r>
            <w:r w:rsidR="00326206" w:rsidRPr="00B255F7">
              <w:rPr>
                <w:rFonts w:cstheme="minorHAnsi"/>
                <w:sz w:val="22"/>
                <w:szCs w:val="22"/>
              </w:rPr>
              <w:t>br</w:t>
            </w:r>
            <w:r w:rsidR="00326206">
              <w:rPr>
                <w:rFonts w:cstheme="minorHAnsi"/>
                <w:sz w:val="22"/>
                <w:szCs w:val="22"/>
              </w:rPr>
              <w:t>.</w:t>
            </w:r>
            <w:r w:rsidR="00326206" w:rsidRPr="00B255F7">
              <w:rPr>
                <w:rFonts w:cstheme="minorHAnsi"/>
                <w:sz w:val="22"/>
                <w:szCs w:val="22"/>
              </w:rPr>
              <w:t xml:space="preserve"> </w:t>
            </w:r>
            <w:r w:rsidR="005A6EEE" w:rsidRPr="00B255F7">
              <w:rPr>
                <w:rFonts w:cstheme="minorHAnsi"/>
                <w:sz w:val="22"/>
                <w:szCs w:val="22"/>
              </w:rPr>
              <w:t>86/21</w:t>
            </w:r>
            <w:r w:rsidR="00F62939">
              <w:rPr>
                <w:rFonts w:cstheme="minorHAnsi"/>
                <w:sz w:val="22"/>
                <w:szCs w:val="22"/>
              </w:rPr>
              <w:t>.</w:t>
            </w:r>
            <w:r w:rsidR="005A6EEE" w:rsidRPr="00B255F7">
              <w:rPr>
                <w:rFonts w:cstheme="minorHAnsi"/>
                <w:sz w:val="22"/>
                <w:szCs w:val="22"/>
              </w:rPr>
              <w:t>)</w:t>
            </w:r>
            <w:r w:rsidR="009E1EC6" w:rsidRPr="00B255F7">
              <w:rPr>
                <w:rFonts w:cstheme="minorHAnsi"/>
                <w:sz w:val="22"/>
                <w:szCs w:val="22"/>
              </w:rPr>
              <w:t>.</w:t>
            </w:r>
          </w:p>
        </w:tc>
        <w:tc>
          <w:tcPr>
            <w:tcW w:w="1708" w:type="pct"/>
          </w:tcPr>
          <w:p w14:paraId="17B42739" w14:textId="26893D9B" w:rsidR="00B8226C" w:rsidRPr="00B255F7" w:rsidRDefault="00A941B4"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Utvrđene su</w:t>
            </w:r>
            <w:r w:rsidR="0083493C" w:rsidRPr="00B255F7">
              <w:rPr>
                <w:rFonts w:asciiTheme="minorHAnsi" w:hAnsiTheme="minorHAnsi" w:cstheme="minorHAnsi"/>
                <w:sz w:val="22"/>
                <w:szCs w:val="22"/>
              </w:rPr>
              <w:t xml:space="preserve"> obveze javnih naručitelja i naručitelja da pri javnoj nabavi određenih vozila za cestovni prijevoz radi promicanja i poticanja tržišta za čista i energetski učinkovita vozila i povećanja doprinosa prometnog sektora politikama Unije koje se odnose na zaštitu okoliša, klimu i energetiku u obzir uzmu energetske učinke i učinke na okoliš za trajanja cijelog radnog vijeka vozila, uključujući potrošnju energije te emisije CO</w:t>
            </w:r>
            <w:r w:rsidR="0083493C" w:rsidRPr="00B255F7">
              <w:rPr>
                <w:rFonts w:asciiTheme="minorHAnsi" w:hAnsiTheme="minorHAnsi" w:cstheme="minorHAnsi"/>
                <w:sz w:val="22"/>
                <w:szCs w:val="22"/>
                <w:vertAlign w:val="subscript"/>
              </w:rPr>
              <w:t>2</w:t>
            </w:r>
            <w:r w:rsidR="0083493C" w:rsidRPr="00B255F7">
              <w:rPr>
                <w:rFonts w:asciiTheme="minorHAnsi" w:hAnsiTheme="minorHAnsi" w:cstheme="minorHAnsi"/>
                <w:sz w:val="22"/>
                <w:szCs w:val="22"/>
              </w:rPr>
              <w:t xml:space="preserve"> i emisije određenih onečišćujućih tvari.</w:t>
            </w:r>
          </w:p>
        </w:tc>
      </w:tr>
      <w:tr w:rsidR="00B8226C" w:rsidRPr="00B255F7" w14:paraId="4FE0F97A" w14:textId="77777777" w:rsidTr="63259912">
        <w:tc>
          <w:tcPr>
            <w:tcW w:w="1609" w:type="pct"/>
          </w:tcPr>
          <w:p w14:paraId="5D8CB251" w14:textId="42EA8074" w:rsidR="00B8226C" w:rsidRPr="00B255F7" w:rsidRDefault="009F0EE3" w:rsidP="00AE4D7E">
            <w:pPr>
              <w:pStyle w:val="Default"/>
              <w:jc w:val="both"/>
              <w:rPr>
                <w:rFonts w:cstheme="minorHAnsi"/>
                <w:b/>
                <w:sz w:val="22"/>
                <w:szCs w:val="22"/>
              </w:rPr>
            </w:pPr>
            <w:r w:rsidRPr="00B255F7">
              <w:rPr>
                <w:rFonts w:cstheme="minorHAnsi"/>
                <w:sz w:val="22"/>
                <w:szCs w:val="22"/>
              </w:rPr>
              <w:t xml:space="preserve">Poticanje </w:t>
            </w:r>
            <w:r w:rsidR="006646D5" w:rsidRPr="00B255F7">
              <w:rPr>
                <w:rFonts w:cstheme="minorHAnsi"/>
                <w:sz w:val="22"/>
                <w:szCs w:val="22"/>
              </w:rPr>
              <w:t>integriran</w:t>
            </w:r>
            <w:r w:rsidRPr="00B255F7">
              <w:rPr>
                <w:rFonts w:cstheme="minorHAnsi"/>
                <w:sz w:val="22"/>
                <w:szCs w:val="22"/>
              </w:rPr>
              <w:t xml:space="preserve">og </w:t>
            </w:r>
            <w:r w:rsidR="00531499" w:rsidRPr="00B255F7">
              <w:rPr>
                <w:rFonts w:cstheme="minorHAnsi"/>
                <w:sz w:val="22"/>
                <w:szCs w:val="22"/>
              </w:rPr>
              <w:t xml:space="preserve">teretnog </w:t>
            </w:r>
            <w:r w:rsidRPr="00B255F7">
              <w:rPr>
                <w:rFonts w:cstheme="minorHAnsi"/>
                <w:sz w:val="22"/>
                <w:szCs w:val="22"/>
              </w:rPr>
              <w:t>prometa</w:t>
            </w:r>
          </w:p>
        </w:tc>
        <w:tc>
          <w:tcPr>
            <w:tcW w:w="1683" w:type="pct"/>
          </w:tcPr>
          <w:p w14:paraId="71173C09" w14:textId="52A9175E" w:rsidR="00BF6385" w:rsidRPr="00B255F7" w:rsidRDefault="00BF6385" w:rsidP="00AE4D7E">
            <w:pPr>
              <w:pStyle w:val="Default"/>
              <w:jc w:val="both"/>
              <w:rPr>
                <w:rFonts w:cstheme="minorHAnsi"/>
                <w:sz w:val="22"/>
                <w:szCs w:val="22"/>
              </w:rPr>
            </w:pPr>
            <w:r w:rsidRPr="00B255F7">
              <w:rPr>
                <w:rFonts w:cstheme="minorHAnsi"/>
                <w:sz w:val="22"/>
                <w:szCs w:val="22"/>
              </w:rPr>
              <w:t>Zakon o kombiniranom prijevozu tereta (</w:t>
            </w:r>
            <w:r w:rsidR="00AD5169">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AD5169">
              <w:rPr>
                <w:rFonts w:cstheme="minorHAnsi"/>
                <w:sz w:val="22"/>
                <w:szCs w:val="22"/>
              </w:rPr>
              <w:t>“</w:t>
            </w:r>
            <w:r w:rsidR="00071A4F" w:rsidRPr="00B255F7">
              <w:rPr>
                <w:rFonts w:cstheme="minorHAnsi"/>
                <w:sz w:val="22"/>
                <w:szCs w:val="22"/>
              </w:rPr>
              <w:t xml:space="preserve">, </w:t>
            </w:r>
            <w:r w:rsidR="00326206" w:rsidRPr="00B255F7">
              <w:rPr>
                <w:rFonts w:cstheme="minorHAnsi"/>
                <w:sz w:val="22"/>
                <w:szCs w:val="22"/>
              </w:rPr>
              <w:t>br</w:t>
            </w:r>
            <w:r w:rsidR="00326206">
              <w:rPr>
                <w:rFonts w:cstheme="minorHAnsi"/>
                <w:sz w:val="22"/>
                <w:szCs w:val="22"/>
              </w:rPr>
              <w:t>.</w:t>
            </w:r>
            <w:r w:rsidR="00326206" w:rsidRPr="00B255F7">
              <w:rPr>
                <w:rFonts w:cstheme="minorHAnsi"/>
                <w:sz w:val="22"/>
                <w:szCs w:val="22"/>
              </w:rPr>
              <w:t xml:space="preserve"> </w:t>
            </w:r>
            <w:r w:rsidRPr="00B255F7">
              <w:rPr>
                <w:rFonts w:cstheme="minorHAnsi"/>
                <w:sz w:val="22"/>
                <w:szCs w:val="22"/>
              </w:rPr>
              <w:t>120</w:t>
            </w:r>
            <w:r w:rsidR="005B41DA" w:rsidRPr="00B255F7">
              <w:rPr>
                <w:rFonts w:cstheme="minorHAnsi"/>
                <w:sz w:val="22"/>
                <w:szCs w:val="22"/>
              </w:rPr>
              <w:t>/16</w:t>
            </w:r>
            <w:r w:rsidR="00AD5169">
              <w:rPr>
                <w:rFonts w:cstheme="minorHAnsi"/>
                <w:sz w:val="22"/>
                <w:szCs w:val="22"/>
              </w:rPr>
              <w:t>.</w:t>
            </w:r>
            <w:r w:rsidRPr="00B255F7">
              <w:rPr>
                <w:rFonts w:cstheme="minorHAnsi"/>
                <w:sz w:val="22"/>
                <w:szCs w:val="22"/>
              </w:rPr>
              <w:t>)</w:t>
            </w:r>
          </w:p>
          <w:p w14:paraId="79A1A9F6" w14:textId="19E1244C" w:rsidR="00B8226C" w:rsidRPr="00B255F7" w:rsidRDefault="00BF6385" w:rsidP="00AE4D7E">
            <w:pPr>
              <w:pStyle w:val="Default"/>
              <w:jc w:val="both"/>
              <w:rPr>
                <w:rFonts w:cstheme="minorHAnsi"/>
                <w:sz w:val="22"/>
                <w:szCs w:val="22"/>
              </w:rPr>
            </w:pPr>
            <w:r w:rsidRPr="00B255F7">
              <w:rPr>
                <w:rFonts w:cstheme="minorHAnsi"/>
                <w:sz w:val="22"/>
                <w:szCs w:val="22"/>
              </w:rPr>
              <w:t>Pravilnik o poticajima u kombiniranom prijevozu tereta (</w:t>
            </w:r>
            <w:r w:rsidR="00AD5169">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AD5169">
              <w:rPr>
                <w:rFonts w:cstheme="minorHAnsi"/>
                <w:sz w:val="22"/>
                <w:szCs w:val="22"/>
              </w:rPr>
              <w:t>“</w:t>
            </w:r>
            <w:r w:rsidR="00071A4F" w:rsidRPr="00B255F7">
              <w:rPr>
                <w:rFonts w:cstheme="minorHAnsi"/>
                <w:sz w:val="22"/>
                <w:szCs w:val="22"/>
              </w:rPr>
              <w:t xml:space="preserve">, </w:t>
            </w:r>
            <w:r w:rsidR="00326206" w:rsidRPr="00B255F7">
              <w:rPr>
                <w:rFonts w:cstheme="minorHAnsi"/>
                <w:sz w:val="22"/>
                <w:szCs w:val="22"/>
              </w:rPr>
              <w:t>br</w:t>
            </w:r>
            <w:r w:rsidR="00326206">
              <w:rPr>
                <w:rFonts w:cstheme="minorHAnsi"/>
                <w:sz w:val="22"/>
                <w:szCs w:val="22"/>
              </w:rPr>
              <w:t>.</w:t>
            </w:r>
            <w:r w:rsidR="00326206" w:rsidRPr="00B255F7">
              <w:rPr>
                <w:rFonts w:cstheme="minorHAnsi"/>
                <w:sz w:val="22"/>
                <w:szCs w:val="22"/>
              </w:rPr>
              <w:t xml:space="preserve"> </w:t>
            </w:r>
            <w:r w:rsidRPr="00B255F7">
              <w:rPr>
                <w:rFonts w:cstheme="minorHAnsi"/>
                <w:sz w:val="22"/>
                <w:szCs w:val="22"/>
              </w:rPr>
              <w:t>5</w:t>
            </w:r>
            <w:r w:rsidR="005B41DA" w:rsidRPr="00B255F7">
              <w:rPr>
                <w:rFonts w:cstheme="minorHAnsi"/>
                <w:sz w:val="22"/>
                <w:szCs w:val="22"/>
              </w:rPr>
              <w:t>/18</w:t>
            </w:r>
            <w:r w:rsidR="007F62AF">
              <w:rPr>
                <w:rFonts w:cstheme="minorHAnsi"/>
                <w:sz w:val="22"/>
                <w:szCs w:val="22"/>
              </w:rPr>
              <w:t>.</w:t>
            </w:r>
            <w:r w:rsidRPr="00B255F7">
              <w:rPr>
                <w:rFonts w:cstheme="minorHAnsi"/>
                <w:sz w:val="22"/>
                <w:szCs w:val="22"/>
              </w:rPr>
              <w:t>)</w:t>
            </w:r>
          </w:p>
        </w:tc>
        <w:tc>
          <w:tcPr>
            <w:tcW w:w="1708" w:type="pct"/>
          </w:tcPr>
          <w:p w14:paraId="4A0228B8" w14:textId="0CC95EE1" w:rsidR="00B8226C" w:rsidRPr="00B255F7" w:rsidRDefault="519F5A2F" w:rsidP="1C9333AB">
            <w:pPr>
              <w:spacing w:after="0"/>
              <w:rPr>
                <w:rFonts w:asciiTheme="minorHAnsi" w:hAnsiTheme="minorHAnsi" w:cstheme="minorHAnsi"/>
                <w:sz w:val="22"/>
                <w:szCs w:val="22"/>
              </w:rPr>
            </w:pPr>
            <w:r w:rsidRPr="00B255F7">
              <w:rPr>
                <w:rFonts w:asciiTheme="minorHAnsi" w:hAnsiTheme="minorHAnsi" w:cstheme="minorHAnsi"/>
                <w:sz w:val="22"/>
                <w:szCs w:val="22"/>
              </w:rPr>
              <w:t>Pravilnikom</w:t>
            </w:r>
            <w:r w:rsidR="0ADE38E7" w:rsidRPr="00B255F7">
              <w:rPr>
                <w:rFonts w:asciiTheme="minorHAnsi" w:hAnsiTheme="minorHAnsi" w:cstheme="minorHAnsi"/>
                <w:sz w:val="22"/>
                <w:szCs w:val="22"/>
              </w:rPr>
              <w:t xml:space="preserve"> su</w:t>
            </w:r>
            <w:r w:rsidRPr="00B255F7">
              <w:rPr>
                <w:rFonts w:asciiTheme="minorHAnsi" w:hAnsiTheme="minorHAnsi" w:cstheme="minorHAnsi"/>
                <w:sz w:val="22"/>
                <w:szCs w:val="22"/>
              </w:rPr>
              <w:t xml:space="preserve"> propisani poticaji u</w:t>
            </w:r>
            <w:r w:rsidR="134355D1" w:rsidRPr="00B255F7">
              <w:rPr>
                <w:rFonts w:asciiTheme="minorHAnsi" w:hAnsiTheme="minorHAnsi" w:cstheme="minorHAnsi"/>
                <w:sz w:val="22"/>
                <w:szCs w:val="22"/>
              </w:rPr>
              <w:t xml:space="preserve"> kombiniranom prijevozu tereta željeznicom, </w:t>
            </w:r>
            <w:r w:rsidR="405D1593" w:rsidRPr="00B255F7">
              <w:rPr>
                <w:rFonts w:asciiTheme="minorHAnsi" w:hAnsiTheme="minorHAnsi" w:cstheme="minorHAnsi"/>
                <w:sz w:val="22"/>
                <w:szCs w:val="22"/>
              </w:rPr>
              <w:t xml:space="preserve">unutarnjim vodama ili morem te </w:t>
            </w:r>
            <w:r w:rsidR="1E93668C" w:rsidRPr="00B255F7">
              <w:rPr>
                <w:rFonts w:asciiTheme="minorHAnsi" w:hAnsiTheme="minorHAnsi" w:cstheme="minorHAnsi"/>
                <w:sz w:val="22"/>
                <w:szCs w:val="22"/>
              </w:rPr>
              <w:t>poticaji u kombiniranom prijevozu tereta cestovnom dionicom.</w:t>
            </w:r>
          </w:p>
        </w:tc>
      </w:tr>
      <w:tr w:rsidR="0070662D" w:rsidRPr="00B255F7" w14:paraId="4978377B" w14:textId="77777777" w:rsidTr="63259912">
        <w:tc>
          <w:tcPr>
            <w:tcW w:w="1609" w:type="pct"/>
          </w:tcPr>
          <w:p w14:paraId="624B7FB1" w14:textId="2F69CCAD" w:rsidR="0070662D" w:rsidRPr="00B255F7" w:rsidRDefault="00D67371" w:rsidP="00AE4D7E">
            <w:pPr>
              <w:pStyle w:val="Default"/>
              <w:jc w:val="both"/>
              <w:rPr>
                <w:rFonts w:cstheme="minorHAnsi"/>
                <w:b/>
                <w:sz w:val="22"/>
                <w:szCs w:val="22"/>
                <w:highlight w:val="yellow"/>
              </w:rPr>
            </w:pPr>
            <w:bookmarkStart w:id="96" w:name="_Hlk531523485"/>
            <w:r w:rsidRPr="00B255F7">
              <w:rPr>
                <w:rFonts w:cstheme="minorHAnsi"/>
                <w:sz w:val="22"/>
                <w:szCs w:val="22"/>
              </w:rPr>
              <w:t>Praćenje, izvještavanje i verifikacija emisija stakleničkih plinova u životnom vijeku tekućih goriva</w:t>
            </w:r>
            <w:bookmarkEnd w:id="96"/>
          </w:p>
        </w:tc>
        <w:tc>
          <w:tcPr>
            <w:tcW w:w="1683" w:type="pct"/>
          </w:tcPr>
          <w:p w14:paraId="056E9AE5" w14:textId="4A3E1057" w:rsidR="0070662D" w:rsidRPr="00B255F7" w:rsidRDefault="004C3F63" w:rsidP="00AE4D7E">
            <w:pPr>
              <w:pStyle w:val="Default"/>
              <w:jc w:val="both"/>
              <w:rPr>
                <w:rFonts w:cstheme="minorHAnsi"/>
                <w:sz w:val="22"/>
                <w:szCs w:val="22"/>
                <w:highlight w:val="yellow"/>
              </w:rPr>
            </w:pPr>
            <w:r w:rsidRPr="00B255F7">
              <w:rPr>
                <w:rFonts w:cstheme="minorHAnsi"/>
                <w:sz w:val="22"/>
                <w:szCs w:val="22"/>
              </w:rPr>
              <w:t>Pravilnik</w:t>
            </w:r>
            <w:r w:rsidR="007522A6" w:rsidRPr="00B255F7">
              <w:rPr>
                <w:rFonts w:cstheme="minorHAnsi"/>
                <w:sz w:val="22"/>
                <w:szCs w:val="22"/>
              </w:rPr>
              <w:t xml:space="preserve"> o načinu praćenja i </w:t>
            </w:r>
            <w:r w:rsidRPr="00B255F7">
              <w:rPr>
                <w:rFonts w:cstheme="minorHAnsi"/>
                <w:sz w:val="22"/>
                <w:szCs w:val="22"/>
              </w:rPr>
              <w:t>izvješćivanja</w:t>
            </w:r>
            <w:r w:rsidR="007522A6" w:rsidRPr="00B255F7">
              <w:rPr>
                <w:rFonts w:cstheme="minorHAnsi"/>
                <w:sz w:val="22"/>
                <w:szCs w:val="22"/>
              </w:rPr>
              <w:t xml:space="preserve"> te metodologiji izračuna emisija stakleničkih plinova u životnom vijeku isporučenih goriva i energije </w:t>
            </w:r>
            <w:r w:rsidRPr="00B255F7">
              <w:rPr>
                <w:rFonts w:cstheme="minorHAnsi"/>
                <w:sz w:val="22"/>
                <w:szCs w:val="22"/>
              </w:rPr>
              <w:t>i načinu provođenja projekata smanjenja emisija nastalih istraživanjem i proizvodnjom nafte i plina (</w:t>
            </w:r>
            <w:r w:rsidR="00CE4604">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CE4604">
              <w:rPr>
                <w:rFonts w:cstheme="minorHAnsi"/>
                <w:sz w:val="22"/>
                <w:szCs w:val="22"/>
              </w:rPr>
              <w:t>“</w:t>
            </w:r>
            <w:r w:rsidR="00071A4F" w:rsidRPr="00B255F7">
              <w:rPr>
                <w:rFonts w:cstheme="minorHAnsi"/>
                <w:sz w:val="22"/>
                <w:szCs w:val="22"/>
              </w:rPr>
              <w:t xml:space="preserve">, </w:t>
            </w:r>
            <w:r w:rsidR="00326206" w:rsidRPr="00B255F7">
              <w:rPr>
                <w:rFonts w:cstheme="minorHAnsi"/>
                <w:sz w:val="22"/>
                <w:szCs w:val="22"/>
              </w:rPr>
              <w:t>br</w:t>
            </w:r>
            <w:r w:rsidR="00326206">
              <w:rPr>
                <w:rFonts w:cstheme="minorHAnsi"/>
                <w:sz w:val="22"/>
                <w:szCs w:val="22"/>
              </w:rPr>
              <w:t>.</w:t>
            </w:r>
            <w:r w:rsidR="00326206" w:rsidRPr="00B255F7">
              <w:rPr>
                <w:rFonts w:cstheme="minorHAnsi"/>
                <w:sz w:val="22"/>
                <w:szCs w:val="22"/>
              </w:rPr>
              <w:t xml:space="preserve"> </w:t>
            </w:r>
            <w:r w:rsidRPr="00B255F7">
              <w:rPr>
                <w:rFonts w:cstheme="minorHAnsi"/>
                <w:sz w:val="22"/>
                <w:szCs w:val="22"/>
              </w:rPr>
              <w:t>131/21</w:t>
            </w:r>
            <w:r w:rsidR="007F62AF">
              <w:rPr>
                <w:rFonts w:cstheme="minorHAnsi"/>
                <w:sz w:val="22"/>
                <w:szCs w:val="22"/>
              </w:rPr>
              <w:t>.</w:t>
            </w:r>
            <w:r w:rsidRPr="00B255F7">
              <w:rPr>
                <w:rFonts w:cstheme="minorHAnsi"/>
                <w:sz w:val="22"/>
                <w:szCs w:val="22"/>
              </w:rPr>
              <w:t>).</w:t>
            </w:r>
          </w:p>
        </w:tc>
        <w:tc>
          <w:tcPr>
            <w:tcW w:w="1708" w:type="pct"/>
          </w:tcPr>
          <w:p w14:paraId="7F3904C0" w14:textId="22FF4F3E" w:rsidR="0070662D" w:rsidRPr="00B255F7" w:rsidRDefault="008E44F4"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 xml:space="preserve">Praćenje emisija stakleničkih plinova primjenjuje se na goriva koja se upotrebljavaju za pogon cestovnih vozila, izvancestovnih pokretnih strojeva (uključujući plovila za promet unutarnjim plovnim putovima kada ne plove morem), traktora za poljoprivredu i šumarstvo, rekreacijskih plovila kada ne plove morem i električnu </w:t>
            </w:r>
            <w:r w:rsidRPr="63259912">
              <w:rPr>
                <w:rFonts w:asciiTheme="minorHAnsi" w:hAnsiTheme="minorHAnsi" w:cstheme="minorBidi"/>
                <w:sz w:val="22"/>
                <w:szCs w:val="22"/>
              </w:rPr>
              <w:lastRenderedPageBreak/>
              <w:t>energiju za uporabu u cestovnim vozilima.</w:t>
            </w:r>
          </w:p>
        </w:tc>
      </w:tr>
      <w:tr w:rsidR="00EE1DD4" w:rsidRPr="00B255F7" w14:paraId="654231F1" w14:textId="77777777" w:rsidTr="63259912">
        <w:tc>
          <w:tcPr>
            <w:tcW w:w="5000" w:type="pct"/>
            <w:gridSpan w:val="3"/>
            <w:shd w:val="clear" w:color="auto" w:fill="D9D9D9" w:themeFill="background1" w:themeFillShade="D9"/>
          </w:tcPr>
          <w:p w14:paraId="351AEEA6" w14:textId="42951DB1" w:rsidR="00EE1DD4" w:rsidRPr="00B255F7" w:rsidRDefault="00D67371" w:rsidP="00AE4D7E">
            <w:pPr>
              <w:spacing w:after="0"/>
              <w:rPr>
                <w:rFonts w:asciiTheme="minorHAnsi" w:hAnsiTheme="minorHAnsi" w:cstheme="minorHAnsi"/>
                <w:sz w:val="22"/>
                <w:szCs w:val="22"/>
              </w:rPr>
            </w:pPr>
            <w:r w:rsidRPr="00B255F7">
              <w:rPr>
                <w:rFonts w:asciiTheme="minorHAnsi" w:hAnsiTheme="minorHAnsi" w:cstheme="minorHAnsi"/>
                <w:sz w:val="22"/>
                <w:szCs w:val="22"/>
              </w:rPr>
              <w:lastRenderedPageBreak/>
              <w:t>Industrijski procesi</w:t>
            </w:r>
          </w:p>
        </w:tc>
      </w:tr>
      <w:tr w:rsidR="00EE1DD4" w:rsidRPr="00B255F7" w14:paraId="5F92CF90" w14:textId="77777777" w:rsidTr="63259912">
        <w:tc>
          <w:tcPr>
            <w:tcW w:w="1609" w:type="pct"/>
          </w:tcPr>
          <w:p w14:paraId="3782CA03" w14:textId="6BF2BE63" w:rsidR="00EE1DD4" w:rsidRPr="00B255F7" w:rsidRDefault="00D67371" w:rsidP="00AE4D7E">
            <w:pPr>
              <w:pStyle w:val="Default"/>
              <w:jc w:val="both"/>
              <w:rPr>
                <w:rFonts w:cstheme="minorHAnsi"/>
                <w:sz w:val="22"/>
                <w:szCs w:val="22"/>
                <w:highlight w:val="yellow"/>
              </w:rPr>
            </w:pPr>
            <w:r w:rsidRPr="00B255F7">
              <w:rPr>
                <w:rFonts w:cstheme="minorHAnsi"/>
                <w:sz w:val="22"/>
                <w:szCs w:val="22"/>
              </w:rPr>
              <w:t>Smanjenje emisije hlapljivih organskih spojeva u sektoru uporabe otapala</w:t>
            </w:r>
          </w:p>
        </w:tc>
        <w:tc>
          <w:tcPr>
            <w:tcW w:w="1683" w:type="pct"/>
          </w:tcPr>
          <w:p w14:paraId="1AF0B0C3" w14:textId="2BD2FC0F" w:rsidR="00EE1DD4" w:rsidRPr="00B255F7" w:rsidRDefault="003F003C" w:rsidP="00AE4D7E">
            <w:pPr>
              <w:spacing w:after="0"/>
              <w:rPr>
                <w:rFonts w:asciiTheme="minorHAnsi" w:hAnsiTheme="minorHAnsi" w:cstheme="minorHAnsi"/>
                <w:sz w:val="22"/>
                <w:szCs w:val="22"/>
                <w:highlight w:val="yellow"/>
              </w:rPr>
            </w:pPr>
            <w:bookmarkStart w:id="97" w:name="_Hlk132111402"/>
            <w:r w:rsidRPr="00B255F7">
              <w:rPr>
                <w:rFonts w:asciiTheme="minorHAnsi" w:hAnsiTheme="minorHAnsi" w:cstheme="minorHAnsi"/>
                <w:sz w:val="22"/>
                <w:szCs w:val="22"/>
              </w:rPr>
              <w:t>Uredba o graničnim vrijednostima sadržaja hlapivih organskih spojeva u određenim bojama i lakovima koji se koriste u graditeljstvu i proizvodima za završnu obradu vozila (</w:t>
            </w:r>
            <w:r w:rsidR="007F62AF">
              <w:rPr>
                <w:rFonts w:asciiTheme="minorHAnsi" w:hAnsiTheme="minorHAnsi" w:cstheme="minorHAnsi"/>
                <w:sz w:val="22"/>
                <w:szCs w:val="22"/>
              </w:rPr>
              <w:t>„</w:t>
            </w:r>
            <w:r w:rsidR="00071A4F" w:rsidRPr="00B255F7">
              <w:rPr>
                <w:rFonts w:asciiTheme="minorHAnsi" w:hAnsiTheme="minorHAnsi" w:cstheme="minorHAnsi"/>
                <w:sz w:val="22"/>
                <w:szCs w:val="22"/>
              </w:rPr>
              <w:t xml:space="preserve">Narodne </w:t>
            </w:r>
            <w:r w:rsidR="00A97AE7" w:rsidRPr="00B255F7">
              <w:rPr>
                <w:rFonts w:asciiTheme="minorHAnsi" w:hAnsiTheme="minorHAnsi" w:cstheme="minorHAnsi"/>
                <w:sz w:val="22"/>
                <w:szCs w:val="22"/>
              </w:rPr>
              <w:t>novine</w:t>
            </w:r>
            <w:r w:rsidR="007F62AF">
              <w:rPr>
                <w:rFonts w:asciiTheme="minorHAnsi" w:hAnsiTheme="minorHAnsi" w:cstheme="minorHAnsi"/>
                <w:sz w:val="22"/>
                <w:szCs w:val="22"/>
              </w:rPr>
              <w:t>“</w:t>
            </w:r>
            <w:r w:rsidR="00071A4F" w:rsidRPr="00B255F7">
              <w:rPr>
                <w:rFonts w:asciiTheme="minorHAnsi" w:hAnsiTheme="minorHAnsi" w:cstheme="minorHAnsi"/>
                <w:sz w:val="22"/>
                <w:szCs w:val="22"/>
              </w:rPr>
              <w:t xml:space="preserve">, </w:t>
            </w:r>
            <w:r w:rsidR="00326206" w:rsidRPr="00B255F7">
              <w:rPr>
                <w:rFonts w:asciiTheme="minorHAnsi" w:hAnsiTheme="minorHAnsi" w:cstheme="minorHAnsi"/>
                <w:sz w:val="22"/>
                <w:szCs w:val="22"/>
              </w:rPr>
              <w:t>br</w:t>
            </w:r>
            <w:r w:rsidR="00326206">
              <w:rPr>
                <w:rFonts w:asciiTheme="minorHAnsi" w:hAnsiTheme="minorHAnsi" w:cstheme="minorHAnsi"/>
                <w:sz w:val="22"/>
                <w:szCs w:val="22"/>
              </w:rPr>
              <w:t>.</w:t>
            </w:r>
            <w:r w:rsidR="00326206" w:rsidRPr="00B255F7">
              <w:rPr>
                <w:rFonts w:asciiTheme="minorHAnsi" w:hAnsiTheme="minorHAnsi" w:cstheme="minorHAnsi"/>
                <w:sz w:val="22"/>
                <w:szCs w:val="22"/>
              </w:rPr>
              <w:t xml:space="preserve"> </w:t>
            </w:r>
            <w:r w:rsidR="00544861" w:rsidRPr="00B255F7">
              <w:rPr>
                <w:rFonts w:asciiTheme="minorHAnsi" w:hAnsiTheme="minorHAnsi" w:cstheme="minorHAnsi"/>
                <w:sz w:val="22"/>
                <w:szCs w:val="22"/>
              </w:rPr>
              <w:t>86</w:t>
            </w:r>
            <w:r w:rsidR="005B41DA" w:rsidRPr="00B255F7">
              <w:rPr>
                <w:rFonts w:asciiTheme="minorHAnsi" w:hAnsiTheme="minorHAnsi" w:cstheme="minorHAnsi"/>
                <w:sz w:val="22"/>
                <w:szCs w:val="22"/>
              </w:rPr>
              <w:t>/21</w:t>
            </w:r>
            <w:r w:rsidR="007F62AF">
              <w:rPr>
                <w:rFonts w:asciiTheme="minorHAnsi" w:hAnsiTheme="minorHAnsi" w:cstheme="minorHAnsi"/>
                <w:sz w:val="22"/>
                <w:szCs w:val="22"/>
              </w:rPr>
              <w:t>.</w:t>
            </w:r>
            <w:r w:rsidRPr="00B255F7">
              <w:rPr>
                <w:rFonts w:asciiTheme="minorHAnsi" w:hAnsiTheme="minorHAnsi" w:cstheme="minorHAnsi"/>
                <w:sz w:val="22"/>
                <w:szCs w:val="22"/>
              </w:rPr>
              <w:t>)</w:t>
            </w:r>
            <w:bookmarkEnd w:id="97"/>
          </w:p>
        </w:tc>
        <w:tc>
          <w:tcPr>
            <w:tcW w:w="1708" w:type="pct"/>
          </w:tcPr>
          <w:p w14:paraId="1EB9F904" w14:textId="426BE347" w:rsidR="00EE1DD4" w:rsidRPr="00B255F7" w:rsidRDefault="003F003C"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Uredba propisuje granične vrijednosti sadržaja hlapivih organskih spojeva koji se smiju stavljati na tržište</w:t>
            </w:r>
            <w:r w:rsidR="00544861" w:rsidRPr="00B255F7">
              <w:rPr>
                <w:rFonts w:asciiTheme="minorHAnsi" w:hAnsiTheme="minorHAnsi" w:cstheme="minorHAnsi"/>
                <w:sz w:val="22"/>
                <w:szCs w:val="22"/>
              </w:rPr>
              <w:t>, odnosno na raspolaganje na tržištu. Provođenje propisanih mjera</w:t>
            </w:r>
            <w:r w:rsidRPr="00B255F7">
              <w:rPr>
                <w:rFonts w:asciiTheme="minorHAnsi" w:hAnsiTheme="minorHAnsi" w:cstheme="minorHAnsi"/>
                <w:sz w:val="22"/>
                <w:szCs w:val="22"/>
              </w:rPr>
              <w:t xml:space="preserve"> smanjuje emisije hlapivih organskih spojeva, a time i emisije ugljikovog dioksida.</w:t>
            </w:r>
          </w:p>
        </w:tc>
      </w:tr>
      <w:tr w:rsidR="00D67371" w:rsidRPr="00B255F7" w14:paraId="4F6FFDD9" w14:textId="77777777" w:rsidTr="63259912">
        <w:tc>
          <w:tcPr>
            <w:tcW w:w="1609" w:type="pct"/>
          </w:tcPr>
          <w:p w14:paraId="2F584FAB" w14:textId="3878A469" w:rsidR="00D67371" w:rsidRPr="00B255F7" w:rsidRDefault="00D67371" w:rsidP="63259912">
            <w:pPr>
              <w:pStyle w:val="Default"/>
              <w:jc w:val="both"/>
              <w:rPr>
                <w:rFonts w:cstheme="minorBidi"/>
                <w:b/>
                <w:bCs/>
                <w:sz w:val="22"/>
                <w:szCs w:val="22"/>
                <w:highlight w:val="yellow"/>
              </w:rPr>
            </w:pPr>
            <w:bookmarkStart w:id="98" w:name="_Hlk531523905"/>
            <w:r w:rsidRPr="63259912">
              <w:rPr>
                <w:rFonts w:cstheme="minorBidi"/>
                <w:sz w:val="22"/>
                <w:szCs w:val="22"/>
              </w:rPr>
              <w:t>Postupanje s tvarima koje oštećuju ozonski sloj i fluoriranim stakleničkim plinovima</w:t>
            </w:r>
          </w:p>
        </w:tc>
        <w:tc>
          <w:tcPr>
            <w:tcW w:w="1683" w:type="pct"/>
          </w:tcPr>
          <w:p w14:paraId="69F52A56" w14:textId="47CCAF6C" w:rsidR="00D67371" w:rsidRPr="00B255F7" w:rsidRDefault="00544861" w:rsidP="63259912">
            <w:pPr>
              <w:pStyle w:val="Default"/>
              <w:jc w:val="both"/>
              <w:rPr>
                <w:rFonts w:cstheme="minorBidi"/>
                <w:sz w:val="22"/>
                <w:szCs w:val="22"/>
                <w:highlight w:val="yellow"/>
              </w:rPr>
            </w:pPr>
            <w:r w:rsidRPr="63259912">
              <w:rPr>
                <w:rFonts w:cstheme="minorBidi"/>
                <w:sz w:val="22"/>
                <w:szCs w:val="22"/>
              </w:rPr>
              <w:t>Zakon o klimatskim promjenama i zaštiti ozonskog sloja (</w:t>
            </w:r>
            <w:r w:rsidR="007F62AF"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7F62AF"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Pr="63259912">
              <w:rPr>
                <w:rFonts w:cstheme="minorBidi"/>
                <w:sz w:val="22"/>
                <w:szCs w:val="22"/>
              </w:rPr>
              <w:t>127</w:t>
            </w:r>
            <w:r w:rsidR="005B41DA" w:rsidRPr="63259912">
              <w:rPr>
                <w:rFonts w:cstheme="minorBidi"/>
                <w:sz w:val="22"/>
                <w:szCs w:val="22"/>
              </w:rPr>
              <w:t>/19</w:t>
            </w:r>
            <w:r w:rsidR="007F62AF" w:rsidRPr="63259912">
              <w:rPr>
                <w:rFonts w:cstheme="minorBidi"/>
                <w:sz w:val="22"/>
                <w:szCs w:val="22"/>
              </w:rPr>
              <w:t>.</w:t>
            </w:r>
            <w:r w:rsidRPr="63259912">
              <w:rPr>
                <w:rFonts w:cstheme="minorBidi"/>
                <w:sz w:val="22"/>
                <w:szCs w:val="22"/>
              </w:rPr>
              <w:t>) i</w:t>
            </w:r>
            <w:r w:rsidR="004A70B3" w:rsidRPr="63259912">
              <w:rPr>
                <w:rFonts w:cstheme="minorBidi"/>
                <w:sz w:val="22"/>
                <w:szCs w:val="22"/>
              </w:rPr>
              <w:t xml:space="preserve"> Uredba o tvarima koje oštećuju ozonski sloj i fluoriranim stakleničkim plinovima (</w:t>
            </w:r>
            <w:r w:rsidR="007F62AF"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7F62AF"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Pr="63259912">
              <w:rPr>
                <w:rFonts w:cstheme="minorBidi"/>
                <w:sz w:val="22"/>
                <w:szCs w:val="22"/>
              </w:rPr>
              <w:t>83</w:t>
            </w:r>
            <w:r w:rsidR="005B41DA" w:rsidRPr="63259912">
              <w:rPr>
                <w:rFonts w:cstheme="minorBidi"/>
                <w:sz w:val="22"/>
                <w:szCs w:val="22"/>
              </w:rPr>
              <w:t>/21</w:t>
            </w:r>
            <w:r w:rsidR="007F62AF" w:rsidRPr="63259912">
              <w:rPr>
                <w:rFonts w:cstheme="minorBidi"/>
                <w:sz w:val="22"/>
                <w:szCs w:val="22"/>
              </w:rPr>
              <w:t>.</w:t>
            </w:r>
            <w:r w:rsidRPr="63259912">
              <w:rPr>
                <w:rFonts w:cstheme="minorBidi"/>
                <w:sz w:val="22"/>
                <w:szCs w:val="22"/>
              </w:rPr>
              <w:t>)</w:t>
            </w:r>
          </w:p>
        </w:tc>
        <w:tc>
          <w:tcPr>
            <w:tcW w:w="1708" w:type="pct"/>
          </w:tcPr>
          <w:p w14:paraId="7D660F90" w14:textId="59C424F0" w:rsidR="00D67371" w:rsidRPr="00B255F7" w:rsidRDefault="003F003C"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Zabranjeno je ispuštanje kontroliranih tvari i fluoriranih stakleničkih plinova u zrak za vrijeme obavljanja aktivnosti prikupljanja, provjere propuštanja i održavanja ili servisiranja uređaja i opreme.</w:t>
            </w:r>
          </w:p>
        </w:tc>
      </w:tr>
      <w:bookmarkEnd w:id="98"/>
      <w:tr w:rsidR="00D67371" w:rsidRPr="00B255F7" w14:paraId="79B5E476" w14:textId="77777777" w:rsidTr="63259912">
        <w:tc>
          <w:tcPr>
            <w:tcW w:w="1609" w:type="pct"/>
          </w:tcPr>
          <w:p w14:paraId="4FDCA745" w14:textId="3CFCB5EA" w:rsidR="00D67371" w:rsidRPr="00B255F7" w:rsidRDefault="00174665" w:rsidP="63259912">
            <w:pPr>
              <w:pStyle w:val="Default"/>
              <w:jc w:val="both"/>
              <w:rPr>
                <w:rFonts w:cstheme="minorBidi"/>
                <w:b/>
                <w:bCs/>
                <w:sz w:val="22"/>
                <w:szCs w:val="22"/>
                <w:highlight w:val="yellow"/>
              </w:rPr>
            </w:pPr>
            <w:r w:rsidRPr="63259912">
              <w:rPr>
                <w:rFonts w:cstheme="minorBidi"/>
                <w:sz w:val="22"/>
                <w:szCs w:val="22"/>
              </w:rPr>
              <w:t>Izdavanje dozvola</w:t>
            </w:r>
            <w:r w:rsidR="007C5649" w:rsidRPr="63259912">
              <w:rPr>
                <w:rFonts w:cstheme="minorBidi"/>
                <w:sz w:val="22"/>
                <w:szCs w:val="22"/>
              </w:rPr>
              <w:t xml:space="preserve"> i t</w:t>
            </w:r>
            <w:r w:rsidR="00D67371" w:rsidRPr="63259912">
              <w:rPr>
                <w:rFonts w:cstheme="minorBidi"/>
                <w:sz w:val="22"/>
                <w:szCs w:val="22"/>
              </w:rPr>
              <w:t>ehničke i organizacijske mjere prikupljanja, obnavljanja, oporabe i uništavanja kontroliranih tvari i fluoriranih stakleničkih plinova</w:t>
            </w:r>
          </w:p>
        </w:tc>
        <w:tc>
          <w:tcPr>
            <w:tcW w:w="1683" w:type="pct"/>
          </w:tcPr>
          <w:p w14:paraId="5F09D203" w14:textId="5740B467" w:rsidR="00D67371" w:rsidRPr="00B255F7" w:rsidRDefault="00544861" w:rsidP="63259912">
            <w:pPr>
              <w:pStyle w:val="Default"/>
              <w:jc w:val="both"/>
              <w:rPr>
                <w:rFonts w:cstheme="minorBidi"/>
                <w:sz w:val="22"/>
                <w:szCs w:val="22"/>
                <w:highlight w:val="yellow"/>
              </w:rPr>
            </w:pPr>
            <w:r w:rsidRPr="63259912">
              <w:rPr>
                <w:rFonts w:cstheme="minorBidi"/>
                <w:sz w:val="22"/>
                <w:szCs w:val="22"/>
              </w:rPr>
              <w:t>Zakon o klimatskim promjenama i zaštiti ozonskog sloja (</w:t>
            </w:r>
            <w:r w:rsidR="00FE73B1"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FE73B1"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Pr="63259912">
              <w:rPr>
                <w:rFonts w:cstheme="minorBidi"/>
                <w:sz w:val="22"/>
                <w:szCs w:val="22"/>
              </w:rPr>
              <w:t>127</w:t>
            </w:r>
            <w:r w:rsidR="005B41DA" w:rsidRPr="63259912">
              <w:rPr>
                <w:rFonts w:cstheme="minorBidi"/>
                <w:sz w:val="22"/>
                <w:szCs w:val="22"/>
              </w:rPr>
              <w:t>/19</w:t>
            </w:r>
            <w:r w:rsidR="005A3959" w:rsidRPr="63259912">
              <w:rPr>
                <w:rFonts w:cstheme="minorBidi"/>
                <w:sz w:val="22"/>
                <w:szCs w:val="22"/>
              </w:rPr>
              <w:t>.</w:t>
            </w:r>
            <w:r w:rsidRPr="63259912">
              <w:rPr>
                <w:rFonts w:cstheme="minorBidi"/>
                <w:sz w:val="22"/>
                <w:szCs w:val="22"/>
              </w:rPr>
              <w:t xml:space="preserve">) i </w:t>
            </w:r>
            <w:r w:rsidR="00D4643F" w:rsidRPr="63259912">
              <w:rPr>
                <w:rFonts w:cstheme="minorBidi"/>
                <w:sz w:val="22"/>
                <w:szCs w:val="22"/>
              </w:rPr>
              <w:t>Uredba o tvarima koje oštećuju ozonski sloj i fluoriranim stakleničkim plinovima (</w:t>
            </w:r>
            <w:r w:rsidR="00FE73B1"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390F8C"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Pr="63259912">
              <w:rPr>
                <w:rFonts w:cstheme="minorBidi"/>
                <w:sz w:val="22"/>
                <w:szCs w:val="22"/>
              </w:rPr>
              <w:t>83</w:t>
            </w:r>
            <w:r w:rsidR="005B41DA" w:rsidRPr="63259912">
              <w:rPr>
                <w:rFonts w:cstheme="minorBidi"/>
                <w:sz w:val="22"/>
                <w:szCs w:val="22"/>
              </w:rPr>
              <w:t>/21</w:t>
            </w:r>
            <w:r w:rsidR="005A3959" w:rsidRPr="63259912">
              <w:rPr>
                <w:rFonts w:cstheme="minorBidi"/>
                <w:sz w:val="22"/>
                <w:szCs w:val="22"/>
              </w:rPr>
              <w:t>.</w:t>
            </w:r>
            <w:r w:rsidR="000358CB" w:rsidRPr="63259912">
              <w:rPr>
                <w:rFonts w:cstheme="minorBidi"/>
                <w:sz w:val="22"/>
                <w:szCs w:val="22"/>
              </w:rPr>
              <w:t>)</w:t>
            </w:r>
          </w:p>
        </w:tc>
        <w:tc>
          <w:tcPr>
            <w:tcW w:w="1708" w:type="pct"/>
          </w:tcPr>
          <w:p w14:paraId="16CAB607" w14:textId="0F77707E" w:rsidR="00D67371" w:rsidRPr="00B255F7" w:rsidRDefault="003F003C"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Ova skupina mjera definira</w:t>
            </w:r>
            <w:r w:rsidR="00E77BE8" w:rsidRPr="63259912">
              <w:rPr>
                <w:rFonts w:asciiTheme="minorHAnsi" w:hAnsiTheme="minorHAnsi" w:cstheme="minorBidi"/>
                <w:sz w:val="22"/>
                <w:szCs w:val="22"/>
              </w:rPr>
              <w:t xml:space="preserve"> način izdavanja dozvole serviserima i </w:t>
            </w:r>
            <w:r w:rsidR="00054F07" w:rsidRPr="63259912">
              <w:rPr>
                <w:rFonts w:asciiTheme="minorHAnsi" w:hAnsiTheme="minorHAnsi" w:cstheme="minorBidi"/>
                <w:sz w:val="22"/>
                <w:szCs w:val="22"/>
              </w:rPr>
              <w:t>centrima i</w:t>
            </w:r>
            <w:r w:rsidRPr="63259912">
              <w:rPr>
                <w:rFonts w:asciiTheme="minorHAnsi" w:hAnsiTheme="minorHAnsi" w:cstheme="minorBidi"/>
                <w:sz w:val="22"/>
                <w:szCs w:val="22"/>
              </w:rPr>
              <w:t xml:space="preserve"> način na koji se uporabljene kontrolirane tvari i fluorirani staklenički plinovi sadržani u proizvodima i opremi moraju prikupiti, obnoviti, oporabiti ili uništiti.</w:t>
            </w:r>
          </w:p>
        </w:tc>
      </w:tr>
      <w:tr w:rsidR="00D67371" w:rsidRPr="00B255F7" w14:paraId="02BBA69D" w14:textId="77777777" w:rsidTr="63259912">
        <w:tc>
          <w:tcPr>
            <w:tcW w:w="1609" w:type="pct"/>
          </w:tcPr>
          <w:p w14:paraId="1F4AEDAA" w14:textId="3C07F264" w:rsidR="00D67371" w:rsidRPr="00B255F7" w:rsidRDefault="00B33C9C" w:rsidP="00AE4D7E">
            <w:pPr>
              <w:pStyle w:val="Default"/>
              <w:jc w:val="both"/>
              <w:rPr>
                <w:rFonts w:cstheme="minorHAnsi"/>
                <w:b/>
                <w:sz w:val="22"/>
                <w:szCs w:val="22"/>
                <w:highlight w:val="yellow"/>
              </w:rPr>
            </w:pPr>
            <w:r w:rsidRPr="00B255F7">
              <w:rPr>
                <w:rFonts w:cstheme="minorHAnsi"/>
                <w:sz w:val="22"/>
                <w:szCs w:val="22"/>
              </w:rPr>
              <w:t>Certificiranje i i</w:t>
            </w:r>
            <w:r w:rsidR="00D67371" w:rsidRPr="00B255F7">
              <w:rPr>
                <w:rFonts w:cstheme="minorHAnsi"/>
                <w:sz w:val="22"/>
                <w:szCs w:val="22"/>
              </w:rPr>
              <w:t>zgradnja kapaciteta i jačanje znanja ovlaštenih servisera</w:t>
            </w:r>
          </w:p>
        </w:tc>
        <w:tc>
          <w:tcPr>
            <w:tcW w:w="1683" w:type="pct"/>
          </w:tcPr>
          <w:p w14:paraId="188C6555" w14:textId="54F01BE7" w:rsidR="00D67371" w:rsidRPr="00B255F7" w:rsidRDefault="004A0F26" w:rsidP="63259912">
            <w:pPr>
              <w:pStyle w:val="Default"/>
              <w:jc w:val="both"/>
              <w:rPr>
                <w:rFonts w:cstheme="minorBidi"/>
                <w:sz w:val="22"/>
                <w:szCs w:val="22"/>
                <w:highlight w:val="yellow"/>
              </w:rPr>
            </w:pPr>
            <w:r w:rsidRPr="63259912">
              <w:rPr>
                <w:rFonts w:cstheme="minorBidi"/>
                <w:sz w:val="22"/>
                <w:szCs w:val="22"/>
              </w:rPr>
              <w:t>Pravilnik o izobrazbi osoba koje obavljaju djelatnost prikupljanja, provjere propuštanja, ugradnje i održavanja ili servisiranja opreme i uređaja koji sadrže tvari koje oštećuju ozonski sloj ili fluorirane stakleničke plinove ili o njima ovise (</w:t>
            </w:r>
            <w:r w:rsidR="00390F8C"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390F8C" w:rsidRPr="63259912">
              <w:rPr>
                <w:rFonts w:cstheme="minorBidi"/>
                <w:sz w:val="22"/>
                <w:szCs w:val="22"/>
              </w:rPr>
              <w:t>“</w:t>
            </w:r>
            <w:r w:rsidR="00071A4F" w:rsidRPr="63259912">
              <w:rPr>
                <w:rFonts w:cstheme="minorBidi"/>
                <w:sz w:val="22"/>
                <w:szCs w:val="22"/>
              </w:rPr>
              <w:t>, br</w:t>
            </w:r>
            <w:r w:rsidR="00291BA2" w:rsidRPr="63259912">
              <w:rPr>
                <w:rFonts w:cstheme="minorBidi"/>
                <w:sz w:val="22"/>
                <w:szCs w:val="22"/>
              </w:rPr>
              <w:t>.</w:t>
            </w:r>
            <w:r w:rsidRPr="63259912">
              <w:rPr>
                <w:rFonts w:cstheme="minorBidi"/>
                <w:sz w:val="22"/>
                <w:szCs w:val="22"/>
              </w:rPr>
              <w:t xml:space="preserve"> </w:t>
            </w:r>
            <w:r w:rsidR="00404D34" w:rsidRPr="63259912">
              <w:rPr>
                <w:rFonts w:cstheme="minorBidi"/>
                <w:sz w:val="22"/>
                <w:szCs w:val="22"/>
              </w:rPr>
              <w:t>3</w:t>
            </w:r>
            <w:r w:rsidR="005B41DA" w:rsidRPr="63259912">
              <w:rPr>
                <w:rFonts w:cstheme="minorBidi"/>
                <w:sz w:val="22"/>
                <w:szCs w:val="22"/>
              </w:rPr>
              <w:t>/13</w:t>
            </w:r>
            <w:r w:rsidR="005A3959" w:rsidRPr="63259912">
              <w:rPr>
                <w:rFonts w:cstheme="minorBidi"/>
                <w:sz w:val="22"/>
                <w:szCs w:val="22"/>
              </w:rPr>
              <w:t>.</w:t>
            </w:r>
            <w:r w:rsidR="00404D34" w:rsidRPr="63259912">
              <w:rPr>
                <w:rFonts w:cstheme="minorBidi"/>
                <w:sz w:val="22"/>
                <w:szCs w:val="22"/>
              </w:rPr>
              <w:t>, 47</w:t>
            </w:r>
            <w:r w:rsidR="005B41DA" w:rsidRPr="63259912">
              <w:rPr>
                <w:rFonts w:cstheme="minorBidi"/>
                <w:sz w:val="22"/>
                <w:szCs w:val="22"/>
              </w:rPr>
              <w:t>/14</w:t>
            </w:r>
            <w:r w:rsidR="005A3959" w:rsidRPr="63259912">
              <w:rPr>
                <w:rFonts w:cstheme="minorBidi"/>
                <w:sz w:val="22"/>
                <w:szCs w:val="22"/>
              </w:rPr>
              <w:t>.</w:t>
            </w:r>
            <w:r w:rsidR="00404D34" w:rsidRPr="63259912">
              <w:rPr>
                <w:rFonts w:cstheme="minorBidi"/>
                <w:sz w:val="22"/>
                <w:szCs w:val="22"/>
              </w:rPr>
              <w:t>, 61</w:t>
            </w:r>
            <w:r w:rsidR="005B41DA" w:rsidRPr="63259912">
              <w:rPr>
                <w:rFonts w:cstheme="minorBidi"/>
                <w:sz w:val="22"/>
                <w:szCs w:val="22"/>
              </w:rPr>
              <w:t>/17</w:t>
            </w:r>
            <w:r w:rsidR="005A3959" w:rsidRPr="63259912">
              <w:rPr>
                <w:rFonts w:cstheme="minorBidi"/>
                <w:sz w:val="22"/>
                <w:szCs w:val="22"/>
              </w:rPr>
              <w:t>.</w:t>
            </w:r>
            <w:r w:rsidR="00404D34" w:rsidRPr="63259912">
              <w:rPr>
                <w:rFonts w:cstheme="minorBidi"/>
                <w:sz w:val="22"/>
                <w:szCs w:val="22"/>
              </w:rPr>
              <w:t>, 127</w:t>
            </w:r>
            <w:r w:rsidR="005B41DA" w:rsidRPr="63259912">
              <w:rPr>
                <w:rFonts w:cstheme="minorBidi"/>
                <w:sz w:val="22"/>
                <w:szCs w:val="22"/>
              </w:rPr>
              <w:t>/2019</w:t>
            </w:r>
            <w:r w:rsidR="005A3959" w:rsidRPr="63259912">
              <w:rPr>
                <w:rFonts w:cstheme="minorBidi"/>
                <w:sz w:val="22"/>
                <w:szCs w:val="22"/>
              </w:rPr>
              <w:t>.</w:t>
            </w:r>
            <w:r w:rsidR="00404D34" w:rsidRPr="63259912">
              <w:rPr>
                <w:rFonts w:cstheme="minorBidi"/>
                <w:sz w:val="22"/>
                <w:szCs w:val="22"/>
              </w:rPr>
              <w:t>) i Zakon o klimatskim promjenama i zaštiti ozonskog sloja (</w:t>
            </w:r>
            <w:r w:rsidR="005A3959"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5A3959"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00404D34" w:rsidRPr="63259912">
              <w:rPr>
                <w:rFonts w:cstheme="minorBidi"/>
                <w:sz w:val="22"/>
                <w:szCs w:val="22"/>
              </w:rPr>
              <w:t>127</w:t>
            </w:r>
            <w:r w:rsidR="005B41DA" w:rsidRPr="63259912">
              <w:rPr>
                <w:rFonts w:cstheme="minorBidi"/>
                <w:sz w:val="22"/>
                <w:szCs w:val="22"/>
              </w:rPr>
              <w:t>/19</w:t>
            </w:r>
            <w:r w:rsidR="005A3959" w:rsidRPr="63259912">
              <w:rPr>
                <w:rFonts w:cstheme="minorBidi"/>
                <w:sz w:val="22"/>
                <w:szCs w:val="22"/>
              </w:rPr>
              <w:t>.</w:t>
            </w:r>
            <w:r w:rsidR="00404D34" w:rsidRPr="63259912">
              <w:rPr>
                <w:rFonts w:cstheme="minorBidi"/>
                <w:sz w:val="22"/>
                <w:szCs w:val="22"/>
              </w:rPr>
              <w:t>)</w:t>
            </w:r>
          </w:p>
        </w:tc>
        <w:tc>
          <w:tcPr>
            <w:tcW w:w="1708" w:type="pct"/>
          </w:tcPr>
          <w:p w14:paraId="5D1827CC" w14:textId="416FC09B" w:rsidR="00D67371" w:rsidRPr="00B255F7" w:rsidRDefault="003F003C"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 xml:space="preserve">Edukacija ovlaštenih servisera o </w:t>
            </w:r>
            <w:r w:rsidR="00404D34" w:rsidRPr="63259912">
              <w:rPr>
                <w:rFonts w:asciiTheme="minorHAnsi" w:hAnsiTheme="minorHAnsi" w:cstheme="minorBidi"/>
                <w:sz w:val="22"/>
                <w:szCs w:val="22"/>
              </w:rPr>
              <w:t>prikupljanju</w:t>
            </w:r>
            <w:r w:rsidRPr="63259912">
              <w:rPr>
                <w:rFonts w:asciiTheme="minorHAnsi" w:hAnsiTheme="minorHAnsi" w:cstheme="minorBidi"/>
                <w:sz w:val="22"/>
                <w:szCs w:val="22"/>
              </w:rPr>
              <w:t xml:space="preserve"> i rukovanju kontroliranim tvarima i fluoriranim stakleničkim plinovima tijekom servisiranja uređaja i opreme.</w:t>
            </w:r>
            <w:r w:rsidR="00537F97" w:rsidRPr="63259912">
              <w:rPr>
                <w:rFonts w:asciiTheme="minorHAnsi" w:hAnsiTheme="minorHAnsi" w:cstheme="minorBidi"/>
                <w:sz w:val="22"/>
                <w:szCs w:val="22"/>
              </w:rPr>
              <w:t xml:space="preserve"> Serviseri polažu ispit i izdaje im se Uvjerenje</w:t>
            </w:r>
            <w:r w:rsidR="005D7022" w:rsidRPr="63259912">
              <w:rPr>
                <w:rFonts w:asciiTheme="minorHAnsi" w:hAnsiTheme="minorHAnsi" w:cstheme="minorBidi"/>
                <w:sz w:val="22"/>
                <w:szCs w:val="22"/>
              </w:rPr>
              <w:t xml:space="preserve">, koje traje neograničeno, ali </w:t>
            </w:r>
            <w:r w:rsidR="004B4DE9" w:rsidRPr="63259912">
              <w:rPr>
                <w:rFonts w:asciiTheme="minorHAnsi" w:hAnsiTheme="minorHAnsi" w:cstheme="minorBidi"/>
                <w:sz w:val="22"/>
                <w:szCs w:val="22"/>
              </w:rPr>
              <w:t>su u obvezi</w:t>
            </w:r>
            <w:r w:rsidR="005D7022" w:rsidRPr="63259912">
              <w:rPr>
                <w:rFonts w:asciiTheme="minorHAnsi" w:hAnsiTheme="minorHAnsi" w:cstheme="minorBidi"/>
                <w:sz w:val="22"/>
                <w:szCs w:val="22"/>
              </w:rPr>
              <w:t xml:space="preserve"> polaziti usavršavanje svakih 5 godina</w:t>
            </w:r>
          </w:p>
        </w:tc>
      </w:tr>
      <w:tr w:rsidR="00D67371" w:rsidRPr="00B255F7" w14:paraId="1CB7D6EC" w14:textId="77777777" w:rsidTr="63259912">
        <w:tc>
          <w:tcPr>
            <w:tcW w:w="1609" w:type="pct"/>
          </w:tcPr>
          <w:p w14:paraId="61DB7C5F" w14:textId="0DECCC0F" w:rsidR="00D67371" w:rsidRPr="00B255F7" w:rsidRDefault="00D67371" w:rsidP="63259912">
            <w:pPr>
              <w:pStyle w:val="Default"/>
              <w:jc w:val="both"/>
              <w:rPr>
                <w:rFonts w:cstheme="minorBidi"/>
                <w:b/>
                <w:bCs/>
                <w:sz w:val="22"/>
                <w:szCs w:val="22"/>
                <w:highlight w:val="yellow"/>
              </w:rPr>
            </w:pPr>
            <w:r w:rsidRPr="63259912">
              <w:rPr>
                <w:rFonts w:cstheme="minorBidi"/>
                <w:sz w:val="22"/>
                <w:szCs w:val="22"/>
              </w:rPr>
              <w:t>Provjera propuštanja kontroliranih tvari i flu</w:t>
            </w:r>
            <w:r w:rsidR="00C651D3" w:rsidRPr="63259912">
              <w:rPr>
                <w:rFonts w:cstheme="minorBidi"/>
                <w:sz w:val="22"/>
                <w:szCs w:val="22"/>
              </w:rPr>
              <w:t>o</w:t>
            </w:r>
            <w:r w:rsidRPr="63259912">
              <w:rPr>
                <w:rFonts w:cstheme="minorBidi"/>
                <w:sz w:val="22"/>
                <w:szCs w:val="22"/>
              </w:rPr>
              <w:t>riranih stakleničkih plinova</w:t>
            </w:r>
          </w:p>
        </w:tc>
        <w:tc>
          <w:tcPr>
            <w:tcW w:w="1683" w:type="pct"/>
          </w:tcPr>
          <w:p w14:paraId="3C3F2DBE" w14:textId="594832D3" w:rsidR="00D67371" w:rsidRPr="00B255F7" w:rsidRDefault="00404D34" w:rsidP="63259912">
            <w:pPr>
              <w:pStyle w:val="Default"/>
              <w:jc w:val="both"/>
              <w:rPr>
                <w:rFonts w:cstheme="minorBidi"/>
                <w:sz w:val="22"/>
                <w:szCs w:val="22"/>
                <w:highlight w:val="yellow"/>
              </w:rPr>
            </w:pPr>
            <w:r w:rsidRPr="63259912">
              <w:rPr>
                <w:rFonts w:cstheme="minorBidi"/>
                <w:sz w:val="22"/>
                <w:szCs w:val="22"/>
              </w:rPr>
              <w:t>Zakon o klimatskim promjenama i zaštiti ozonskog sloja (</w:t>
            </w:r>
            <w:r w:rsidR="00467517"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467517"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Pr="63259912">
              <w:rPr>
                <w:rFonts w:cstheme="minorBidi"/>
                <w:sz w:val="22"/>
                <w:szCs w:val="22"/>
              </w:rPr>
              <w:t>127</w:t>
            </w:r>
            <w:r w:rsidR="005B41DA" w:rsidRPr="63259912">
              <w:rPr>
                <w:rFonts w:cstheme="minorBidi"/>
                <w:sz w:val="22"/>
                <w:szCs w:val="22"/>
              </w:rPr>
              <w:t>/19</w:t>
            </w:r>
            <w:r w:rsidR="00467517" w:rsidRPr="63259912">
              <w:rPr>
                <w:rFonts w:cstheme="minorBidi"/>
                <w:sz w:val="22"/>
                <w:szCs w:val="22"/>
              </w:rPr>
              <w:t>.</w:t>
            </w:r>
            <w:r w:rsidRPr="63259912">
              <w:rPr>
                <w:rFonts w:cstheme="minorBidi"/>
                <w:sz w:val="22"/>
                <w:szCs w:val="22"/>
              </w:rPr>
              <w:t>) i</w:t>
            </w:r>
            <w:r w:rsidR="00854D4C" w:rsidRPr="63259912">
              <w:rPr>
                <w:rFonts w:cstheme="minorBidi"/>
                <w:sz w:val="22"/>
                <w:szCs w:val="22"/>
              </w:rPr>
              <w:t xml:space="preserve"> Uredba o tvarima koje oštećuju ozonski sloj i fluoriranim stakleničkim </w:t>
            </w:r>
            <w:r w:rsidR="00854D4C" w:rsidRPr="63259912">
              <w:rPr>
                <w:rFonts w:cstheme="minorBidi"/>
                <w:sz w:val="22"/>
                <w:szCs w:val="22"/>
              </w:rPr>
              <w:lastRenderedPageBreak/>
              <w:t>plinovima (</w:t>
            </w:r>
            <w:r w:rsidR="00467517"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467517"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Pr="63259912">
              <w:rPr>
                <w:rFonts w:cstheme="minorBidi"/>
                <w:sz w:val="22"/>
                <w:szCs w:val="22"/>
              </w:rPr>
              <w:t>83</w:t>
            </w:r>
            <w:r w:rsidR="005B41DA" w:rsidRPr="63259912">
              <w:rPr>
                <w:rFonts w:cstheme="minorBidi"/>
                <w:sz w:val="22"/>
                <w:szCs w:val="22"/>
              </w:rPr>
              <w:t>/21</w:t>
            </w:r>
            <w:r w:rsidR="00467517" w:rsidRPr="63259912">
              <w:rPr>
                <w:rFonts w:cstheme="minorBidi"/>
                <w:sz w:val="22"/>
                <w:szCs w:val="22"/>
              </w:rPr>
              <w:t>.</w:t>
            </w:r>
            <w:r w:rsidR="000358CB" w:rsidRPr="63259912">
              <w:rPr>
                <w:rFonts w:cstheme="minorBidi"/>
                <w:sz w:val="22"/>
                <w:szCs w:val="22"/>
              </w:rPr>
              <w:t>)</w:t>
            </w:r>
          </w:p>
        </w:tc>
        <w:tc>
          <w:tcPr>
            <w:tcW w:w="1708" w:type="pct"/>
          </w:tcPr>
          <w:p w14:paraId="5ECA94B5" w14:textId="39C3B179" w:rsidR="00D67371" w:rsidRPr="00B255F7" w:rsidRDefault="003F003C"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lastRenderedPageBreak/>
              <w:t>Tehničke mjere za sprječavanje ili uklanjanje propuštanja kontroliranih tvari i fl</w:t>
            </w:r>
            <w:r w:rsidR="00C651D3" w:rsidRPr="63259912">
              <w:rPr>
                <w:rFonts w:asciiTheme="minorHAnsi" w:hAnsiTheme="minorHAnsi" w:cstheme="minorBidi"/>
                <w:sz w:val="22"/>
                <w:szCs w:val="22"/>
              </w:rPr>
              <w:t>uo</w:t>
            </w:r>
            <w:r w:rsidRPr="63259912">
              <w:rPr>
                <w:rFonts w:asciiTheme="minorHAnsi" w:hAnsiTheme="minorHAnsi" w:cstheme="minorBidi"/>
                <w:sz w:val="22"/>
                <w:szCs w:val="22"/>
              </w:rPr>
              <w:t>riranih stakleničkih plinova.</w:t>
            </w:r>
          </w:p>
        </w:tc>
      </w:tr>
      <w:tr w:rsidR="00D67371" w:rsidRPr="00B255F7" w14:paraId="2736F2F6" w14:textId="77777777" w:rsidTr="63259912">
        <w:tc>
          <w:tcPr>
            <w:tcW w:w="1609" w:type="pct"/>
          </w:tcPr>
          <w:p w14:paraId="7EFA9A82" w14:textId="0A10CF28" w:rsidR="00D67371" w:rsidRPr="00B255F7" w:rsidRDefault="00D67371" w:rsidP="63259912">
            <w:pPr>
              <w:pStyle w:val="Default"/>
              <w:jc w:val="both"/>
              <w:rPr>
                <w:rFonts w:cstheme="minorBidi"/>
                <w:b/>
                <w:bCs/>
                <w:sz w:val="22"/>
                <w:szCs w:val="22"/>
                <w:highlight w:val="yellow"/>
              </w:rPr>
            </w:pPr>
            <w:r w:rsidRPr="63259912">
              <w:rPr>
                <w:rFonts w:cstheme="minorBidi"/>
                <w:sz w:val="22"/>
                <w:szCs w:val="22"/>
              </w:rPr>
              <w:t>Naknada za pokriće troškova prikupljanja, obnavljanja, oporabe i uništavanja kontroliranih tvari i fluoriranih stakleničkih plinova</w:t>
            </w:r>
          </w:p>
        </w:tc>
        <w:tc>
          <w:tcPr>
            <w:tcW w:w="1683" w:type="pct"/>
          </w:tcPr>
          <w:p w14:paraId="6F067119" w14:textId="5A582025" w:rsidR="00D67371" w:rsidRPr="00B255F7" w:rsidRDefault="00BC06B6" w:rsidP="63259912">
            <w:pPr>
              <w:pStyle w:val="Default"/>
              <w:jc w:val="both"/>
              <w:rPr>
                <w:rFonts w:cstheme="minorBidi"/>
                <w:sz w:val="22"/>
                <w:szCs w:val="22"/>
                <w:highlight w:val="yellow"/>
              </w:rPr>
            </w:pPr>
            <w:r w:rsidRPr="63259912">
              <w:rPr>
                <w:rFonts w:cstheme="minorBidi"/>
                <w:sz w:val="22"/>
                <w:szCs w:val="22"/>
              </w:rPr>
              <w:t>Zakon o klimatskim promjenama i zaštiti ozonskog sloja (</w:t>
            </w:r>
            <w:r w:rsidR="00467517"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467517"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Pr="63259912">
              <w:rPr>
                <w:rFonts w:cstheme="minorBidi"/>
                <w:sz w:val="22"/>
                <w:szCs w:val="22"/>
              </w:rPr>
              <w:t>127</w:t>
            </w:r>
            <w:r w:rsidR="005B41DA" w:rsidRPr="63259912">
              <w:rPr>
                <w:rFonts w:cstheme="minorBidi"/>
                <w:sz w:val="22"/>
                <w:szCs w:val="22"/>
              </w:rPr>
              <w:t>/19</w:t>
            </w:r>
            <w:r w:rsidR="00467517" w:rsidRPr="63259912">
              <w:rPr>
                <w:rFonts w:cstheme="minorBidi"/>
                <w:sz w:val="22"/>
                <w:szCs w:val="22"/>
              </w:rPr>
              <w:t>.</w:t>
            </w:r>
            <w:r w:rsidRPr="63259912">
              <w:rPr>
                <w:rFonts w:cstheme="minorBidi"/>
                <w:sz w:val="22"/>
                <w:szCs w:val="22"/>
              </w:rPr>
              <w:t xml:space="preserve">) i </w:t>
            </w:r>
            <w:r w:rsidR="00AA111B" w:rsidRPr="63259912">
              <w:rPr>
                <w:rFonts w:cstheme="minorBidi"/>
                <w:sz w:val="22"/>
                <w:szCs w:val="22"/>
              </w:rPr>
              <w:t>Uredba o tvarima koje oštećuju ozonski sloj i fluoriranim stakleničkim plinovima (</w:t>
            </w:r>
            <w:r w:rsidR="00467517"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467517"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Pr="63259912">
              <w:rPr>
                <w:rFonts w:cstheme="minorBidi"/>
                <w:sz w:val="22"/>
                <w:szCs w:val="22"/>
              </w:rPr>
              <w:t>83</w:t>
            </w:r>
            <w:r w:rsidR="005B41DA" w:rsidRPr="63259912">
              <w:rPr>
                <w:rFonts w:cstheme="minorBidi"/>
                <w:sz w:val="22"/>
                <w:szCs w:val="22"/>
              </w:rPr>
              <w:t>/21</w:t>
            </w:r>
            <w:r w:rsidR="00467517" w:rsidRPr="63259912">
              <w:rPr>
                <w:rFonts w:cstheme="minorBidi"/>
                <w:sz w:val="22"/>
                <w:szCs w:val="22"/>
              </w:rPr>
              <w:t>.</w:t>
            </w:r>
            <w:r w:rsidR="00AA111B" w:rsidRPr="63259912">
              <w:rPr>
                <w:rFonts w:cstheme="minorBidi"/>
                <w:sz w:val="22"/>
                <w:szCs w:val="22"/>
              </w:rPr>
              <w:t>)</w:t>
            </w:r>
          </w:p>
        </w:tc>
        <w:tc>
          <w:tcPr>
            <w:tcW w:w="1708" w:type="pct"/>
          </w:tcPr>
          <w:p w14:paraId="652DC04B" w14:textId="2ADA1050" w:rsidR="00D67371" w:rsidRPr="00B255F7" w:rsidRDefault="003F003C"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 xml:space="preserve">Poduzetnik koji uvozi/unosi kontrolirane tvari i/ili fluorirane stakleničke plinove u svrhu stavljanja na tržište Republike Hrvatske ili za svoje potrebe, dužan je uplatiti naknadu u Fond za zaštitu okoliša i energetsku učinkovitost. Naknada iznosi </w:t>
            </w:r>
            <w:r w:rsidR="00BC06B6" w:rsidRPr="63259912">
              <w:rPr>
                <w:rFonts w:asciiTheme="minorHAnsi" w:hAnsiTheme="minorHAnsi" w:cstheme="minorBidi"/>
                <w:sz w:val="22"/>
                <w:szCs w:val="22"/>
              </w:rPr>
              <w:t xml:space="preserve">0,2 </w:t>
            </w:r>
            <w:r w:rsidR="007F7363" w:rsidRPr="63259912">
              <w:rPr>
                <w:rFonts w:asciiTheme="minorHAnsi" w:hAnsiTheme="minorHAnsi" w:cstheme="minorBidi"/>
                <w:sz w:val="22"/>
                <w:szCs w:val="22"/>
              </w:rPr>
              <w:t>EUR</w:t>
            </w:r>
            <w:r w:rsidRPr="63259912">
              <w:rPr>
                <w:rFonts w:asciiTheme="minorHAnsi" w:hAnsiTheme="minorHAnsi" w:cstheme="minorBidi"/>
                <w:sz w:val="22"/>
                <w:szCs w:val="22"/>
              </w:rPr>
              <w:t xml:space="preserve"> po kilogramu uvezene/unesene nerabljene kontrolirane tvari i/ili fluoriranog stakleničkog plina.</w:t>
            </w:r>
          </w:p>
        </w:tc>
      </w:tr>
      <w:tr w:rsidR="00EE1DD4" w:rsidRPr="00B255F7" w14:paraId="75DCCED7" w14:textId="77777777" w:rsidTr="63259912">
        <w:tc>
          <w:tcPr>
            <w:tcW w:w="5000" w:type="pct"/>
            <w:gridSpan w:val="3"/>
            <w:shd w:val="clear" w:color="auto" w:fill="D9D9D9" w:themeFill="background1" w:themeFillShade="D9"/>
          </w:tcPr>
          <w:p w14:paraId="1E31C199" w14:textId="4656FEEA" w:rsidR="00EE1DD4" w:rsidRPr="00B255F7" w:rsidRDefault="00CE47EE"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Gospodarenje otpadom</w:t>
            </w:r>
          </w:p>
        </w:tc>
      </w:tr>
      <w:tr w:rsidR="00EE1DD4" w:rsidRPr="00B255F7" w14:paraId="568F6CD4" w14:textId="77777777" w:rsidTr="63259912">
        <w:tc>
          <w:tcPr>
            <w:tcW w:w="1609" w:type="pct"/>
          </w:tcPr>
          <w:p w14:paraId="32F7FA27" w14:textId="61468165" w:rsidR="00EE1DD4" w:rsidRPr="00B255F7" w:rsidRDefault="00CE47EE" w:rsidP="00AE4D7E">
            <w:pPr>
              <w:pStyle w:val="Default"/>
              <w:jc w:val="both"/>
              <w:rPr>
                <w:rFonts w:cstheme="minorHAnsi"/>
                <w:b/>
                <w:sz w:val="22"/>
                <w:szCs w:val="22"/>
                <w:highlight w:val="yellow"/>
              </w:rPr>
            </w:pPr>
            <w:r w:rsidRPr="00B255F7">
              <w:rPr>
                <w:rFonts w:cstheme="minorHAnsi"/>
                <w:sz w:val="22"/>
                <w:szCs w:val="22"/>
              </w:rPr>
              <w:t>Sprječavanje nastajanja i smanjivanje količine krutog komunalnog otpada</w:t>
            </w:r>
          </w:p>
        </w:tc>
        <w:tc>
          <w:tcPr>
            <w:tcW w:w="1683" w:type="pct"/>
          </w:tcPr>
          <w:p w14:paraId="04ACC889" w14:textId="33F722B9" w:rsidR="00EE1DD4" w:rsidRPr="00B255F7" w:rsidRDefault="003F003C" w:rsidP="00AE4D7E">
            <w:pPr>
              <w:spacing w:after="0"/>
              <w:rPr>
                <w:rFonts w:asciiTheme="minorHAnsi" w:hAnsiTheme="minorHAnsi" w:cstheme="minorHAnsi"/>
                <w:sz w:val="22"/>
                <w:szCs w:val="22"/>
              </w:rPr>
            </w:pPr>
            <w:r w:rsidRPr="00B255F7">
              <w:rPr>
                <w:rFonts w:asciiTheme="minorHAnsi" w:hAnsiTheme="minorHAnsi" w:cstheme="minorHAnsi"/>
                <w:sz w:val="22"/>
                <w:szCs w:val="22"/>
              </w:rPr>
              <w:t>Zakon o gospodarenju otpadom (</w:t>
            </w:r>
            <w:r w:rsidR="00F73ACE">
              <w:rPr>
                <w:rFonts w:asciiTheme="minorHAnsi" w:hAnsiTheme="minorHAnsi" w:cstheme="minorHAnsi"/>
                <w:sz w:val="22"/>
                <w:szCs w:val="22"/>
              </w:rPr>
              <w:t>„</w:t>
            </w:r>
            <w:r w:rsidR="00071A4F" w:rsidRPr="00B255F7">
              <w:rPr>
                <w:rFonts w:asciiTheme="minorHAnsi" w:hAnsiTheme="minorHAnsi" w:cstheme="minorHAnsi"/>
                <w:sz w:val="22"/>
                <w:szCs w:val="22"/>
              </w:rPr>
              <w:t xml:space="preserve">Narodne </w:t>
            </w:r>
            <w:r w:rsidR="00A97AE7" w:rsidRPr="00B255F7">
              <w:rPr>
                <w:rFonts w:asciiTheme="minorHAnsi" w:hAnsiTheme="minorHAnsi" w:cstheme="minorHAnsi"/>
                <w:sz w:val="22"/>
                <w:szCs w:val="22"/>
              </w:rPr>
              <w:t>novine</w:t>
            </w:r>
            <w:r w:rsidR="00F73ACE">
              <w:rPr>
                <w:rFonts w:asciiTheme="minorHAnsi" w:hAnsiTheme="minorHAnsi" w:cstheme="minorHAnsi"/>
                <w:sz w:val="22"/>
                <w:szCs w:val="22"/>
              </w:rPr>
              <w:t>“</w:t>
            </w:r>
            <w:r w:rsidR="00071A4F" w:rsidRPr="00B255F7">
              <w:rPr>
                <w:rFonts w:asciiTheme="minorHAnsi" w:hAnsiTheme="minorHAnsi" w:cstheme="minorHAnsi"/>
                <w:sz w:val="22"/>
                <w:szCs w:val="22"/>
              </w:rPr>
              <w:t>, br</w:t>
            </w:r>
            <w:r w:rsidR="00BB24DA">
              <w:rPr>
                <w:rFonts w:asciiTheme="minorHAnsi" w:hAnsiTheme="minorHAnsi" w:cstheme="minorHAnsi"/>
                <w:sz w:val="22"/>
                <w:szCs w:val="22"/>
              </w:rPr>
              <w:t>.</w:t>
            </w:r>
            <w:r w:rsidR="001C351F" w:rsidRPr="00B255F7">
              <w:rPr>
                <w:rFonts w:asciiTheme="minorHAnsi" w:hAnsiTheme="minorHAnsi" w:cstheme="minorHAnsi"/>
                <w:sz w:val="22"/>
                <w:szCs w:val="22"/>
              </w:rPr>
              <w:t xml:space="preserve"> </w:t>
            </w:r>
            <w:r w:rsidR="00C97C1D" w:rsidRPr="00B255F7">
              <w:rPr>
                <w:rFonts w:asciiTheme="minorHAnsi" w:hAnsiTheme="minorHAnsi" w:cstheme="minorHAnsi"/>
                <w:sz w:val="22"/>
                <w:szCs w:val="22"/>
              </w:rPr>
              <w:t>84</w:t>
            </w:r>
            <w:r w:rsidR="005B41DA" w:rsidRPr="00B255F7">
              <w:rPr>
                <w:rFonts w:asciiTheme="minorHAnsi" w:hAnsiTheme="minorHAnsi" w:cstheme="minorHAnsi"/>
                <w:sz w:val="22"/>
                <w:szCs w:val="22"/>
              </w:rPr>
              <w:t>/21</w:t>
            </w:r>
            <w:r w:rsidR="00F73ACE">
              <w:rPr>
                <w:rFonts w:asciiTheme="minorHAnsi" w:hAnsiTheme="minorHAnsi" w:cstheme="minorHAnsi"/>
                <w:sz w:val="22"/>
                <w:szCs w:val="22"/>
              </w:rPr>
              <w:t>.</w:t>
            </w:r>
            <w:r w:rsidR="007561F2" w:rsidRPr="00B255F7">
              <w:rPr>
                <w:rFonts w:asciiTheme="minorHAnsi" w:hAnsiTheme="minorHAnsi" w:cstheme="minorHAnsi"/>
                <w:sz w:val="22"/>
                <w:szCs w:val="22"/>
              </w:rPr>
              <w:t>, 142</w:t>
            </w:r>
            <w:r w:rsidR="005B41DA" w:rsidRPr="00B255F7">
              <w:rPr>
                <w:rFonts w:asciiTheme="minorHAnsi" w:hAnsiTheme="minorHAnsi" w:cstheme="minorHAnsi"/>
                <w:sz w:val="22"/>
                <w:szCs w:val="22"/>
              </w:rPr>
              <w:t>/23</w:t>
            </w:r>
            <w:r w:rsidR="00F73ACE">
              <w:rPr>
                <w:rFonts w:asciiTheme="minorHAnsi" w:hAnsiTheme="minorHAnsi" w:cstheme="minorHAnsi"/>
                <w:sz w:val="22"/>
                <w:szCs w:val="22"/>
              </w:rPr>
              <w:t>.</w:t>
            </w:r>
            <w:r w:rsidRPr="00B255F7">
              <w:rPr>
                <w:rFonts w:asciiTheme="minorHAnsi" w:hAnsiTheme="minorHAnsi" w:cstheme="minorHAnsi"/>
                <w:sz w:val="22"/>
                <w:szCs w:val="22"/>
              </w:rPr>
              <w:t>)</w:t>
            </w:r>
            <w:r w:rsidR="00B45D81" w:rsidRPr="00B255F7">
              <w:rPr>
                <w:rFonts w:asciiTheme="minorHAnsi" w:hAnsiTheme="minorHAnsi" w:cstheme="minorHAnsi"/>
                <w:sz w:val="22"/>
                <w:szCs w:val="22"/>
              </w:rPr>
              <w:t>, Plan gospodarenja otpadom Republike Hrvatske za razdoblje 20</w:t>
            </w:r>
            <w:r w:rsidR="007561F2" w:rsidRPr="00B255F7">
              <w:rPr>
                <w:rFonts w:asciiTheme="minorHAnsi" w:hAnsiTheme="minorHAnsi" w:cstheme="minorHAnsi"/>
                <w:sz w:val="22"/>
                <w:szCs w:val="22"/>
              </w:rPr>
              <w:t>23</w:t>
            </w:r>
            <w:r w:rsidR="00B45D81" w:rsidRPr="00B255F7">
              <w:rPr>
                <w:rFonts w:asciiTheme="minorHAnsi" w:hAnsiTheme="minorHAnsi" w:cstheme="minorHAnsi"/>
                <w:sz w:val="22"/>
                <w:szCs w:val="22"/>
              </w:rPr>
              <w:t>. - 202</w:t>
            </w:r>
            <w:r w:rsidR="007561F2" w:rsidRPr="00B255F7">
              <w:rPr>
                <w:rFonts w:asciiTheme="minorHAnsi" w:hAnsiTheme="minorHAnsi" w:cstheme="minorHAnsi"/>
                <w:sz w:val="22"/>
                <w:szCs w:val="22"/>
              </w:rPr>
              <w:t>8</w:t>
            </w:r>
            <w:r w:rsidR="00B45D81" w:rsidRPr="00B255F7">
              <w:rPr>
                <w:rFonts w:asciiTheme="minorHAnsi" w:hAnsiTheme="minorHAnsi" w:cstheme="minorHAnsi"/>
                <w:sz w:val="22"/>
                <w:szCs w:val="22"/>
              </w:rPr>
              <w:t>. godine (</w:t>
            </w:r>
            <w:r w:rsidR="00F73ACE">
              <w:rPr>
                <w:rFonts w:asciiTheme="minorHAnsi" w:hAnsiTheme="minorHAnsi" w:cstheme="minorHAnsi"/>
                <w:sz w:val="22"/>
                <w:szCs w:val="22"/>
              </w:rPr>
              <w:t>„</w:t>
            </w:r>
            <w:r w:rsidR="00071A4F" w:rsidRPr="00B255F7">
              <w:rPr>
                <w:rFonts w:asciiTheme="minorHAnsi" w:hAnsiTheme="minorHAnsi" w:cstheme="minorHAnsi"/>
                <w:sz w:val="22"/>
                <w:szCs w:val="22"/>
              </w:rPr>
              <w:t xml:space="preserve">Narodne </w:t>
            </w:r>
            <w:r w:rsidR="00A97AE7" w:rsidRPr="00B255F7">
              <w:rPr>
                <w:rFonts w:asciiTheme="minorHAnsi" w:hAnsiTheme="minorHAnsi" w:cstheme="minorHAnsi"/>
                <w:sz w:val="22"/>
                <w:szCs w:val="22"/>
              </w:rPr>
              <w:t>novine</w:t>
            </w:r>
            <w:r w:rsidR="00F73ACE">
              <w:rPr>
                <w:rFonts w:asciiTheme="minorHAnsi" w:hAnsiTheme="minorHAnsi" w:cstheme="minorHAnsi"/>
                <w:sz w:val="22"/>
                <w:szCs w:val="22"/>
              </w:rPr>
              <w:t>“</w:t>
            </w:r>
            <w:r w:rsidR="00071A4F" w:rsidRPr="00B255F7">
              <w:rPr>
                <w:rFonts w:asciiTheme="minorHAnsi" w:hAnsiTheme="minorHAnsi" w:cstheme="minorHAnsi"/>
                <w:sz w:val="22"/>
                <w:szCs w:val="22"/>
              </w:rPr>
              <w:t>, br</w:t>
            </w:r>
            <w:r w:rsidR="00326206">
              <w:rPr>
                <w:rFonts w:asciiTheme="minorHAnsi" w:hAnsiTheme="minorHAnsi" w:cstheme="minorHAnsi"/>
                <w:sz w:val="22"/>
                <w:szCs w:val="22"/>
              </w:rPr>
              <w:t>.</w:t>
            </w:r>
            <w:r w:rsidR="00B45D81" w:rsidRPr="00B255F7">
              <w:rPr>
                <w:rFonts w:asciiTheme="minorHAnsi" w:hAnsiTheme="minorHAnsi" w:cstheme="minorHAnsi"/>
                <w:sz w:val="22"/>
                <w:szCs w:val="22"/>
              </w:rPr>
              <w:t xml:space="preserve"> </w:t>
            </w:r>
            <w:r w:rsidR="005912F8" w:rsidRPr="00B255F7">
              <w:rPr>
                <w:rFonts w:asciiTheme="minorHAnsi" w:hAnsiTheme="minorHAnsi" w:cstheme="minorHAnsi"/>
                <w:sz w:val="22"/>
                <w:szCs w:val="22"/>
              </w:rPr>
              <w:t>84</w:t>
            </w:r>
            <w:r w:rsidR="005B41DA" w:rsidRPr="00B255F7">
              <w:rPr>
                <w:rFonts w:asciiTheme="minorHAnsi" w:hAnsiTheme="minorHAnsi" w:cstheme="minorHAnsi"/>
                <w:sz w:val="22"/>
                <w:szCs w:val="22"/>
              </w:rPr>
              <w:t>/23</w:t>
            </w:r>
            <w:r w:rsidR="00F73ACE">
              <w:rPr>
                <w:rFonts w:asciiTheme="minorHAnsi" w:hAnsiTheme="minorHAnsi" w:cstheme="minorHAnsi"/>
                <w:sz w:val="22"/>
                <w:szCs w:val="22"/>
              </w:rPr>
              <w:t>.</w:t>
            </w:r>
            <w:r w:rsidR="00D60817" w:rsidRPr="00B255F7">
              <w:rPr>
                <w:rFonts w:asciiTheme="minorHAnsi" w:hAnsiTheme="minorHAnsi" w:cstheme="minorHAnsi"/>
                <w:sz w:val="22"/>
                <w:szCs w:val="22"/>
              </w:rPr>
              <w:t>)</w:t>
            </w:r>
          </w:p>
        </w:tc>
        <w:tc>
          <w:tcPr>
            <w:tcW w:w="1708" w:type="pct"/>
          </w:tcPr>
          <w:p w14:paraId="7395D814" w14:textId="6AE78264" w:rsidR="00EE1DD4" w:rsidRPr="00B255F7" w:rsidRDefault="00C15CB8"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 xml:space="preserve">Sprječavanje nastanka otpada prioritet je u redu prvenstva gospodarenja otpadom. Sprječavanje i smanjenje nastajanja otpada postiže se postupcima ponovne uporabe, uspostavom centara za ponovnu uporabu, primjenom instrumenata nusproizvoda i ukidanja statusa otpada te ograničavanjem stavljanja određenih proizvoda na tržište. </w:t>
            </w:r>
            <w:r w:rsidR="00C50664" w:rsidRPr="63259912">
              <w:rPr>
                <w:rFonts w:asciiTheme="minorHAnsi" w:hAnsiTheme="minorHAnsi" w:cstheme="minorBidi"/>
                <w:sz w:val="22"/>
                <w:szCs w:val="22"/>
              </w:rPr>
              <w:t>Mjera se treba postići čistijom proizvodnjom, izobrazbom, informiranjem i projektima podizanja svijesti o održivom gospodarenju otpadom, ekonomskim instrumentima, primjenom propisa koji uređuju gospodarenje otpadom i ulaganjima u suvremene tehnologije kojima se sprječava nastajanje i/ili se smanjuje nastanak otpada.</w:t>
            </w:r>
          </w:p>
        </w:tc>
      </w:tr>
      <w:tr w:rsidR="00CE47EE" w:rsidRPr="00B255F7" w14:paraId="634E987F" w14:textId="77777777" w:rsidTr="63259912">
        <w:tc>
          <w:tcPr>
            <w:tcW w:w="1609" w:type="pct"/>
          </w:tcPr>
          <w:p w14:paraId="5C4C5CAB" w14:textId="55E1131A" w:rsidR="00CE47EE" w:rsidRPr="00B255F7" w:rsidRDefault="00CE47EE" w:rsidP="00AE4D7E">
            <w:pPr>
              <w:pStyle w:val="Default"/>
              <w:jc w:val="both"/>
              <w:rPr>
                <w:rFonts w:cstheme="minorHAnsi"/>
                <w:b/>
                <w:sz w:val="22"/>
                <w:szCs w:val="22"/>
                <w:highlight w:val="yellow"/>
              </w:rPr>
            </w:pPr>
            <w:r w:rsidRPr="00B255F7">
              <w:rPr>
                <w:rFonts w:cstheme="minorHAnsi"/>
                <w:sz w:val="22"/>
                <w:szCs w:val="22"/>
              </w:rPr>
              <w:t>Povećanje količine odvojeno skupljenog i recikliranog krutog komunalnog otpada</w:t>
            </w:r>
          </w:p>
        </w:tc>
        <w:tc>
          <w:tcPr>
            <w:tcW w:w="1683" w:type="pct"/>
          </w:tcPr>
          <w:p w14:paraId="788C01D5" w14:textId="71B7657B" w:rsidR="00CE47EE" w:rsidRPr="00B255F7" w:rsidRDefault="00BC52CA" w:rsidP="00AE4D7E">
            <w:pPr>
              <w:spacing w:after="0"/>
              <w:rPr>
                <w:rFonts w:asciiTheme="minorHAnsi" w:hAnsiTheme="minorHAnsi" w:cstheme="minorHAnsi"/>
                <w:sz w:val="22"/>
                <w:szCs w:val="22"/>
              </w:rPr>
            </w:pPr>
            <w:r w:rsidRPr="00B255F7">
              <w:rPr>
                <w:rFonts w:asciiTheme="minorHAnsi" w:hAnsiTheme="minorHAnsi" w:cstheme="minorHAnsi"/>
                <w:sz w:val="22"/>
                <w:szCs w:val="22"/>
              </w:rPr>
              <w:t>Zakon o gospodarenju otpadom (</w:t>
            </w:r>
            <w:r w:rsidR="006565D1">
              <w:rPr>
                <w:rFonts w:asciiTheme="minorHAnsi" w:hAnsiTheme="minorHAnsi" w:cstheme="minorHAnsi"/>
                <w:sz w:val="22"/>
                <w:szCs w:val="22"/>
              </w:rPr>
              <w:t>„</w:t>
            </w:r>
            <w:r w:rsidR="00071A4F" w:rsidRPr="00B255F7">
              <w:rPr>
                <w:rFonts w:asciiTheme="minorHAnsi" w:hAnsiTheme="minorHAnsi" w:cstheme="minorHAnsi"/>
                <w:sz w:val="22"/>
                <w:szCs w:val="22"/>
              </w:rPr>
              <w:t xml:space="preserve">Narodne </w:t>
            </w:r>
            <w:r w:rsidR="00A97AE7" w:rsidRPr="00B255F7">
              <w:rPr>
                <w:rFonts w:asciiTheme="minorHAnsi" w:hAnsiTheme="minorHAnsi" w:cstheme="minorHAnsi"/>
                <w:sz w:val="22"/>
                <w:szCs w:val="22"/>
              </w:rPr>
              <w:t>novine</w:t>
            </w:r>
            <w:r w:rsidR="006565D1">
              <w:rPr>
                <w:rFonts w:asciiTheme="minorHAnsi" w:hAnsiTheme="minorHAnsi" w:cstheme="minorHAnsi"/>
                <w:sz w:val="22"/>
                <w:szCs w:val="22"/>
              </w:rPr>
              <w:t>“</w:t>
            </w:r>
            <w:r w:rsidR="00071A4F" w:rsidRPr="00B255F7">
              <w:rPr>
                <w:rFonts w:asciiTheme="minorHAnsi" w:hAnsiTheme="minorHAnsi" w:cstheme="minorHAnsi"/>
                <w:sz w:val="22"/>
                <w:szCs w:val="22"/>
              </w:rPr>
              <w:t>, br</w:t>
            </w:r>
            <w:r w:rsidR="00BB24DA">
              <w:rPr>
                <w:rFonts w:asciiTheme="minorHAnsi" w:hAnsiTheme="minorHAnsi" w:cstheme="minorHAnsi"/>
                <w:sz w:val="22"/>
                <w:szCs w:val="22"/>
              </w:rPr>
              <w:t>.</w:t>
            </w:r>
            <w:r w:rsidRPr="00B255F7">
              <w:rPr>
                <w:rFonts w:asciiTheme="minorHAnsi" w:hAnsiTheme="minorHAnsi" w:cstheme="minorHAnsi"/>
                <w:sz w:val="22"/>
                <w:szCs w:val="22"/>
              </w:rPr>
              <w:t xml:space="preserve"> </w:t>
            </w:r>
            <w:r w:rsidR="009114B5" w:rsidRPr="00B255F7">
              <w:rPr>
                <w:rFonts w:asciiTheme="minorHAnsi" w:hAnsiTheme="minorHAnsi" w:cstheme="minorHAnsi"/>
                <w:sz w:val="22"/>
                <w:szCs w:val="22"/>
              </w:rPr>
              <w:t>84</w:t>
            </w:r>
            <w:r w:rsidR="005B41DA" w:rsidRPr="00B255F7">
              <w:rPr>
                <w:rFonts w:asciiTheme="minorHAnsi" w:hAnsiTheme="minorHAnsi" w:cstheme="minorHAnsi"/>
                <w:sz w:val="22"/>
                <w:szCs w:val="22"/>
              </w:rPr>
              <w:t>/21</w:t>
            </w:r>
            <w:r w:rsidR="006565D1">
              <w:rPr>
                <w:rFonts w:asciiTheme="minorHAnsi" w:hAnsiTheme="minorHAnsi" w:cstheme="minorHAnsi"/>
                <w:sz w:val="22"/>
                <w:szCs w:val="22"/>
              </w:rPr>
              <w:t>.</w:t>
            </w:r>
            <w:r w:rsidR="00C15CB8" w:rsidRPr="00B255F7">
              <w:rPr>
                <w:rFonts w:asciiTheme="minorHAnsi" w:hAnsiTheme="minorHAnsi" w:cstheme="minorHAnsi"/>
                <w:sz w:val="22"/>
                <w:szCs w:val="22"/>
              </w:rPr>
              <w:t>, 142</w:t>
            </w:r>
            <w:r w:rsidR="005B41DA" w:rsidRPr="00B255F7">
              <w:rPr>
                <w:rFonts w:asciiTheme="minorHAnsi" w:hAnsiTheme="minorHAnsi" w:cstheme="minorHAnsi"/>
                <w:sz w:val="22"/>
                <w:szCs w:val="22"/>
              </w:rPr>
              <w:t>/23</w:t>
            </w:r>
            <w:r w:rsidR="006565D1">
              <w:rPr>
                <w:rFonts w:asciiTheme="minorHAnsi" w:hAnsiTheme="minorHAnsi" w:cstheme="minorHAnsi"/>
                <w:sz w:val="22"/>
                <w:szCs w:val="22"/>
              </w:rPr>
              <w:t>.</w:t>
            </w:r>
            <w:r w:rsidRPr="00B255F7">
              <w:rPr>
                <w:rFonts w:asciiTheme="minorHAnsi" w:hAnsiTheme="minorHAnsi" w:cstheme="minorHAnsi"/>
                <w:sz w:val="22"/>
                <w:szCs w:val="22"/>
              </w:rPr>
              <w:t>), Plan gospodarenja otpadom Republike Hrvatske za razdoblje 20</w:t>
            </w:r>
            <w:r w:rsidR="00C15CB8" w:rsidRPr="00B255F7">
              <w:rPr>
                <w:rFonts w:asciiTheme="minorHAnsi" w:hAnsiTheme="minorHAnsi" w:cstheme="minorHAnsi"/>
                <w:sz w:val="22"/>
                <w:szCs w:val="22"/>
              </w:rPr>
              <w:t>23</w:t>
            </w:r>
            <w:r w:rsidRPr="00B255F7">
              <w:rPr>
                <w:rFonts w:asciiTheme="minorHAnsi" w:hAnsiTheme="minorHAnsi" w:cstheme="minorHAnsi"/>
                <w:sz w:val="22"/>
                <w:szCs w:val="22"/>
              </w:rPr>
              <w:t>. - 202</w:t>
            </w:r>
            <w:r w:rsidR="00962DD8" w:rsidRPr="00B255F7">
              <w:rPr>
                <w:rFonts w:asciiTheme="minorHAnsi" w:hAnsiTheme="minorHAnsi" w:cstheme="minorHAnsi"/>
                <w:sz w:val="22"/>
                <w:szCs w:val="22"/>
              </w:rPr>
              <w:t>8</w:t>
            </w:r>
            <w:r w:rsidRPr="00B255F7">
              <w:rPr>
                <w:rFonts w:asciiTheme="minorHAnsi" w:hAnsiTheme="minorHAnsi" w:cstheme="minorHAnsi"/>
                <w:sz w:val="22"/>
                <w:szCs w:val="22"/>
              </w:rPr>
              <w:t>. godine (</w:t>
            </w:r>
            <w:r w:rsidR="006565D1">
              <w:rPr>
                <w:rFonts w:asciiTheme="minorHAnsi" w:hAnsiTheme="minorHAnsi" w:cstheme="minorHAnsi"/>
                <w:sz w:val="22"/>
                <w:szCs w:val="22"/>
              </w:rPr>
              <w:t>„</w:t>
            </w:r>
            <w:r w:rsidR="00071A4F" w:rsidRPr="00B255F7">
              <w:rPr>
                <w:rFonts w:asciiTheme="minorHAnsi" w:hAnsiTheme="minorHAnsi" w:cstheme="minorHAnsi"/>
                <w:sz w:val="22"/>
                <w:szCs w:val="22"/>
              </w:rPr>
              <w:t xml:space="preserve">Narodne </w:t>
            </w:r>
            <w:r w:rsidR="00A97AE7" w:rsidRPr="00B255F7">
              <w:rPr>
                <w:rFonts w:asciiTheme="minorHAnsi" w:hAnsiTheme="minorHAnsi" w:cstheme="minorHAnsi"/>
                <w:sz w:val="22"/>
                <w:szCs w:val="22"/>
              </w:rPr>
              <w:t>novine</w:t>
            </w:r>
            <w:r w:rsidR="006565D1">
              <w:rPr>
                <w:rFonts w:asciiTheme="minorHAnsi" w:hAnsiTheme="minorHAnsi" w:cstheme="minorHAnsi"/>
                <w:sz w:val="22"/>
                <w:szCs w:val="22"/>
              </w:rPr>
              <w:t>“</w:t>
            </w:r>
            <w:r w:rsidR="00071A4F" w:rsidRPr="00B255F7">
              <w:rPr>
                <w:rFonts w:asciiTheme="minorHAnsi" w:hAnsiTheme="minorHAnsi" w:cstheme="minorHAnsi"/>
                <w:sz w:val="22"/>
                <w:szCs w:val="22"/>
              </w:rPr>
              <w:t xml:space="preserve">, </w:t>
            </w:r>
            <w:r w:rsidR="00326206" w:rsidRPr="00B255F7">
              <w:rPr>
                <w:rFonts w:asciiTheme="minorHAnsi" w:hAnsiTheme="minorHAnsi" w:cstheme="minorHAnsi"/>
                <w:sz w:val="22"/>
                <w:szCs w:val="22"/>
              </w:rPr>
              <w:t>br</w:t>
            </w:r>
            <w:r w:rsidR="00326206">
              <w:rPr>
                <w:rFonts w:asciiTheme="minorHAnsi" w:hAnsiTheme="minorHAnsi" w:cstheme="minorHAnsi"/>
                <w:sz w:val="22"/>
                <w:szCs w:val="22"/>
              </w:rPr>
              <w:t>.</w:t>
            </w:r>
            <w:r w:rsidR="00326206" w:rsidRPr="00B255F7">
              <w:rPr>
                <w:rFonts w:asciiTheme="minorHAnsi" w:hAnsiTheme="minorHAnsi" w:cstheme="minorHAnsi"/>
                <w:sz w:val="22"/>
                <w:szCs w:val="22"/>
              </w:rPr>
              <w:t xml:space="preserve"> </w:t>
            </w:r>
            <w:r w:rsidR="00962DD8" w:rsidRPr="00B255F7">
              <w:rPr>
                <w:rFonts w:asciiTheme="minorHAnsi" w:hAnsiTheme="minorHAnsi" w:cstheme="minorHAnsi"/>
                <w:sz w:val="22"/>
                <w:szCs w:val="22"/>
              </w:rPr>
              <w:t>84</w:t>
            </w:r>
            <w:r w:rsidR="005B41DA" w:rsidRPr="00B255F7">
              <w:rPr>
                <w:rFonts w:asciiTheme="minorHAnsi" w:hAnsiTheme="minorHAnsi" w:cstheme="minorHAnsi"/>
                <w:sz w:val="22"/>
                <w:szCs w:val="22"/>
              </w:rPr>
              <w:t>/23</w:t>
            </w:r>
            <w:r w:rsidR="006565D1">
              <w:rPr>
                <w:rFonts w:asciiTheme="minorHAnsi" w:hAnsiTheme="minorHAnsi" w:cstheme="minorHAnsi"/>
                <w:sz w:val="22"/>
                <w:szCs w:val="22"/>
              </w:rPr>
              <w:t>.</w:t>
            </w:r>
            <w:r w:rsidR="00D60817" w:rsidRPr="00B255F7">
              <w:rPr>
                <w:rFonts w:asciiTheme="minorHAnsi" w:hAnsiTheme="minorHAnsi" w:cstheme="minorHAnsi"/>
                <w:sz w:val="22"/>
                <w:szCs w:val="22"/>
              </w:rPr>
              <w:t>)</w:t>
            </w:r>
          </w:p>
        </w:tc>
        <w:tc>
          <w:tcPr>
            <w:tcW w:w="1708" w:type="pct"/>
          </w:tcPr>
          <w:p w14:paraId="3199A35A" w14:textId="59BC2619" w:rsidR="00B81A93" w:rsidRPr="00B255F7" w:rsidRDefault="00B81A93" w:rsidP="00B81A93">
            <w:pPr>
              <w:spacing w:after="0"/>
              <w:rPr>
                <w:rFonts w:asciiTheme="minorHAnsi" w:hAnsiTheme="minorHAnsi" w:cstheme="minorHAnsi"/>
                <w:sz w:val="22"/>
                <w:szCs w:val="22"/>
              </w:rPr>
            </w:pPr>
            <w:r w:rsidRPr="00B255F7">
              <w:rPr>
                <w:rFonts w:asciiTheme="minorHAnsi" w:hAnsiTheme="minorHAnsi" w:cstheme="minorHAnsi"/>
                <w:sz w:val="22"/>
                <w:szCs w:val="22"/>
              </w:rPr>
              <w:t xml:space="preserve">U mjeru su ugrađeni kvantitativni ciljevi i rokovi za povećanje </w:t>
            </w:r>
            <w:r w:rsidR="00621F7A" w:rsidRPr="00B255F7">
              <w:rPr>
                <w:rFonts w:asciiTheme="minorHAnsi" w:hAnsiTheme="minorHAnsi" w:cstheme="minorHAnsi"/>
                <w:sz w:val="22"/>
                <w:szCs w:val="22"/>
              </w:rPr>
              <w:t xml:space="preserve">mase </w:t>
            </w:r>
            <w:r w:rsidRPr="00B255F7">
              <w:rPr>
                <w:rFonts w:asciiTheme="minorHAnsi" w:hAnsiTheme="minorHAnsi" w:cstheme="minorHAnsi"/>
                <w:sz w:val="22"/>
                <w:szCs w:val="22"/>
              </w:rPr>
              <w:t>odvojeno skupljenog i recikliranog otpada definirani Zakonom o gospodarenju otpadom i Planom gospodarenja otpadom Republike Hrvatske za razdoblje 20</w:t>
            </w:r>
            <w:r w:rsidR="00621F7A" w:rsidRPr="00B255F7">
              <w:rPr>
                <w:rFonts w:asciiTheme="minorHAnsi" w:hAnsiTheme="minorHAnsi" w:cstheme="minorHAnsi"/>
                <w:sz w:val="22"/>
                <w:szCs w:val="22"/>
              </w:rPr>
              <w:t>23</w:t>
            </w:r>
            <w:r w:rsidRPr="00B255F7">
              <w:rPr>
                <w:rFonts w:asciiTheme="minorHAnsi" w:hAnsiTheme="minorHAnsi" w:cstheme="minorHAnsi"/>
                <w:sz w:val="22"/>
                <w:szCs w:val="22"/>
              </w:rPr>
              <w:t>. - 202</w:t>
            </w:r>
            <w:r w:rsidR="00621F7A" w:rsidRPr="00B255F7">
              <w:rPr>
                <w:rFonts w:asciiTheme="minorHAnsi" w:hAnsiTheme="minorHAnsi" w:cstheme="minorHAnsi"/>
                <w:sz w:val="22"/>
                <w:szCs w:val="22"/>
              </w:rPr>
              <w:t>8</w:t>
            </w:r>
            <w:r w:rsidRPr="00B255F7">
              <w:rPr>
                <w:rFonts w:asciiTheme="minorHAnsi" w:hAnsiTheme="minorHAnsi" w:cstheme="minorHAnsi"/>
                <w:sz w:val="22"/>
                <w:szCs w:val="22"/>
              </w:rPr>
              <w:t xml:space="preserve">. godine. </w:t>
            </w:r>
          </w:p>
          <w:p w14:paraId="2E2F2FEE" w14:textId="6E1C6F09" w:rsidR="00CE47EE" w:rsidRPr="00B255F7" w:rsidRDefault="00B81A93"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 xml:space="preserve">Ciljevi gospodarenja otpadom propisuju se radi poticanja </w:t>
            </w:r>
            <w:r w:rsidRPr="00B255F7">
              <w:rPr>
                <w:rFonts w:asciiTheme="minorHAnsi" w:hAnsiTheme="minorHAnsi" w:cstheme="minorHAnsi"/>
                <w:sz w:val="22"/>
                <w:szCs w:val="22"/>
              </w:rPr>
              <w:lastRenderedPageBreak/>
              <w:t>prelaska na gospodarstvo koje je u većoj mjeri kružno i u kojem se što dulje zadržava vrijednost proizvoda, materijala i resursa, a stvaranje otpada se svodi na najmanju moguću mjeru.</w:t>
            </w:r>
          </w:p>
        </w:tc>
      </w:tr>
      <w:tr w:rsidR="00CE47EE" w:rsidRPr="00B255F7" w14:paraId="6C8E2890" w14:textId="77777777" w:rsidTr="63259912">
        <w:tc>
          <w:tcPr>
            <w:tcW w:w="1609" w:type="pct"/>
          </w:tcPr>
          <w:p w14:paraId="048B4578" w14:textId="7AA4C0A5" w:rsidR="00CE47EE" w:rsidRPr="00B255F7" w:rsidRDefault="00CE47EE" w:rsidP="00AE4D7E">
            <w:pPr>
              <w:pStyle w:val="Default"/>
              <w:jc w:val="both"/>
              <w:rPr>
                <w:rFonts w:cstheme="minorHAnsi"/>
                <w:b/>
                <w:sz w:val="22"/>
                <w:szCs w:val="22"/>
                <w:highlight w:val="yellow"/>
              </w:rPr>
            </w:pPr>
            <w:r w:rsidRPr="00B255F7">
              <w:rPr>
                <w:rFonts w:cstheme="minorHAnsi"/>
                <w:sz w:val="22"/>
                <w:szCs w:val="22"/>
              </w:rPr>
              <w:lastRenderedPageBreak/>
              <w:t>Spaljivanje metana na baklji</w:t>
            </w:r>
          </w:p>
        </w:tc>
        <w:tc>
          <w:tcPr>
            <w:tcW w:w="1683" w:type="pct"/>
          </w:tcPr>
          <w:p w14:paraId="6DF4C1CA" w14:textId="76EB3644" w:rsidR="00CE47EE" w:rsidRPr="00B255F7" w:rsidRDefault="00C30132"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Zakon o gospodarenju otpadom (</w:t>
            </w:r>
            <w:r w:rsidR="00F452DF">
              <w:rPr>
                <w:rFonts w:asciiTheme="minorHAnsi" w:hAnsiTheme="minorHAnsi" w:cstheme="minorHAnsi"/>
                <w:sz w:val="22"/>
                <w:szCs w:val="22"/>
              </w:rPr>
              <w:t>„</w:t>
            </w:r>
            <w:r w:rsidRPr="00B255F7">
              <w:rPr>
                <w:rFonts w:asciiTheme="minorHAnsi" w:hAnsiTheme="minorHAnsi" w:cstheme="minorHAnsi"/>
                <w:sz w:val="22"/>
                <w:szCs w:val="22"/>
              </w:rPr>
              <w:t>Narodne novine</w:t>
            </w:r>
            <w:r w:rsidR="00F452DF">
              <w:rPr>
                <w:rFonts w:asciiTheme="minorHAnsi" w:hAnsiTheme="minorHAnsi" w:cstheme="minorHAnsi"/>
                <w:sz w:val="22"/>
                <w:szCs w:val="22"/>
              </w:rPr>
              <w:t>“</w:t>
            </w:r>
            <w:r w:rsidRPr="00B255F7">
              <w:rPr>
                <w:rFonts w:asciiTheme="minorHAnsi" w:hAnsiTheme="minorHAnsi" w:cstheme="minorHAnsi"/>
                <w:sz w:val="22"/>
                <w:szCs w:val="22"/>
              </w:rPr>
              <w:t>, br</w:t>
            </w:r>
            <w:r>
              <w:rPr>
                <w:rFonts w:asciiTheme="minorHAnsi" w:hAnsiTheme="minorHAnsi" w:cstheme="minorHAnsi"/>
                <w:sz w:val="22"/>
                <w:szCs w:val="22"/>
              </w:rPr>
              <w:t>.</w:t>
            </w:r>
            <w:r w:rsidRPr="00B255F7">
              <w:rPr>
                <w:rFonts w:asciiTheme="minorHAnsi" w:hAnsiTheme="minorHAnsi" w:cstheme="minorHAnsi"/>
                <w:sz w:val="22"/>
                <w:szCs w:val="22"/>
              </w:rPr>
              <w:t xml:space="preserve"> 84/21</w:t>
            </w:r>
            <w:r w:rsidR="00F452DF">
              <w:rPr>
                <w:rFonts w:asciiTheme="minorHAnsi" w:hAnsiTheme="minorHAnsi" w:cstheme="minorHAnsi"/>
                <w:sz w:val="22"/>
                <w:szCs w:val="22"/>
              </w:rPr>
              <w:t>.</w:t>
            </w:r>
            <w:r w:rsidRPr="00B255F7">
              <w:rPr>
                <w:rFonts w:asciiTheme="minorHAnsi" w:hAnsiTheme="minorHAnsi" w:cstheme="minorHAnsi"/>
                <w:sz w:val="22"/>
                <w:szCs w:val="22"/>
              </w:rPr>
              <w:t>, 142/23</w:t>
            </w:r>
            <w:r w:rsidR="00F452DF">
              <w:rPr>
                <w:rFonts w:asciiTheme="minorHAnsi" w:hAnsiTheme="minorHAnsi" w:cstheme="minorHAnsi"/>
                <w:sz w:val="22"/>
                <w:szCs w:val="22"/>
              </w:rPr>
              <w:t>.</w:t>
            </w:r>
            <w:r w:rsidRPr="00B255F7">
              <w:rPr>
                <w:rFonts w:asciiTheme="minorHAnsi" w:hAnsiTheme="minorHAnsi" w:cstheme="minorHAnsi"/>
                <w:sz w:val="22"/>
                <w:szCs w:val="22"/>
              </w:rPr>
              <w:t>),</w:t>
            </w:r>
            <w:r>
              <w:rPr>
                <w:rFonts w:asciiTheme="minorHAnsi" w:hAnsiTheme="minorHAnsi" w:cstheme="minorHAnsi"/>
                <w:sz w:val="22"/>
                <w:szCs w:val="22"/>
              </w:rPr>
              <w:t xml:space="preserve"> </w:t>
            </w:r>
            <w:r w:rsidR="00D60817" w:rsidRPr="00B255F7">
              <w:rPr>
                <w:rFonts w:asciiTheme="minorHAnsi" w:hAnsiTheme="minorHAnsi" w:cstheme="minorHAnsi"/>
                <w:sz w:val="22"/>
                <w:szCs w:val="22"/>
              </w:rPr>
              <w:t>Pravilnik o odlagalištima otpada (</w:t>
            </w:r>
            <w:r w:rsidR="00F452DF">
              <w:rPr>
                <w:rFonts w:asciiTheme="minorHAnsi" w:hAnsiTheme="minorHAnsi" w:cstheme="minorHAnsi"/>
                <w:sz w:val="22"/>
                <w:szCs w:val="22"/>
              </w:rPr>
              <w:t>„</w:t>
            </w:r>
            <w:r w:rsidR="00071A4F" w:rsidRPr="00B255F7">
              <w:rPr>
                <w:rFonts w:asciiTheme="minorHAnsi" w:hAnsiTheme="minorHAnsi" w:cstheme="minorHAnsi"/>
                <w:sz w:val="22"/>
                <w:szCs w:val="22"/>
              </w:rPr>
              <w:t xml:space="preserve">Narodne </w:t>
            </w:r>
            <w:r w:rsidR="00A97AE7" w:rsidRPr="00B255F7">
              <w:rPr>
                <w:rFonts w:asciiTheme="minorHAnsi" w:hAnsiTheme="minorHAnsi" w:cstheme="minorHAnsi"/>
                <w:sz w:val="22"/>
                <w:szCs w:val="22"/>
              </w:rPr>
              <w:t>novine</w:t>
            </w:r>
            <w:r w:rsidR="00F452DF">
              <w:rPr>
                <w:rFonts w:asciiTheme="minorHAnsi" w:hAnsiTheme="minorHAnsi" w:cstheme="minorHAnsi"/>
                <w:sz w:val="22"/>
                <w:szCs w:val="22"/>
              </w:rPr>
              <w:t>“</w:t>
            </w:r>
            <w:r w:rsidR="00071A4F" w:rsidRPr="00B255F7">
              <w:rPr>
                <w:rFonts w:asciiTheme="minorHAnsi" w:hAnsiTheme="minorHAnsi" w:cstheme="minorHAnsi"/>
                <w:sz w:val="22"/>
                <w:szCs w:val="22"/>
              </w:rPr>
              <w:t xml:space="preserve">, </w:t>
            </w:r>
            <w:r w:rsidR="00326206" w:rsidRPr="00B255F7">
              <w:rPr>
                <w:rFonts w:asciiTheme="minorHAnsi" w:hAnsiTheme="minorHAnsi" w:cstheme="minorHAnsi"/>
                <w:sz w:val="22"/>
                <w:szCs w:val="22"/>
              </w:rPr>
              <w:t>br</w:t>
            </w:r>
            <w:r w:rsidR="00326206">
              <w:rPr>
                <w:rFonts w:asciiTheme="minorHAnsi" w:hAnsiTheme="minorHAnsi" w:cstheme="minorHAnsi"/>
                <w:sz w:val="22"/>
                <w:szCs w:val="22"/>
              </w:rPr>
              <w:t>.</w:t>
            </w:r>
            <w:r w:rsidR="00326206" w:rsidRPr="00B255F7">
              <w:rPr>
                <w:rFonts w:asciiTheme="minorHAnsi" w:hAnsiTheme="minorHAnsi" w:cstheme="minorHAnsi"/>
                <w:sz w:val="22"/>
                <w:szCs w:val="22"/>
              </w:rPr>
              <w:t xml:space="preserve"> </w:t>
            </w:r>
            <w:r w:rsidR="00D60817" w:rsidRPr="00B255F7">
              <w:rPr>
                <w:rFonts w:asciiTheme="minorHAnsi" w:hAnsiTheme="minorHAnsi" w:cstheme="minorHAnsi"/>
                <w:sz w:val="22"/>
                <w:szCs w:val="22"/>
              </w:rPr>
              <w:t>4</w:t>
            </w:r>
            <w:r w:rsidR="005B41DA" w:rsidRPr="00B255F7">
              <w:rPr>
                <w:rFonts w:asciiTheme="minorHAnsi" w:hAnsiTheme="minorHAnsi" w:cstheme="minorHAnsi"/>
                <w:sz w:val="22"/>
                <w:szCs w:val="22"/>
              </w:rPr>
              <w:t>/23</w:t>
            </w:r>
            <w:r w:rsidR="00F452DF">
              <w:rPr>
                <w:rFonts w:asciiTheme="minorHAnsi" w:hAnsiTheme="minorHAnsi" w:cstheme="minorHAnsi"/>
                <w:sz w:val="22"/>
                <w:szCs w:val="22"/>
              </w:rPr>
              <w:t>.</w:t>
            </w:r>
            <w:r w:rsidR="00D60817" w:rsidRPr="00B255F7">
              <w:rPr>
                <w:rFonts w:asciiTheme="minorHAnsi" w:hAnsiTheme="minorHAnsi" w:cstheme="minorHAnsi"/>
                <w:sz w:val="22"/>
                <w:szCs w:val="22"/>
              </w:rPr>
              <w:t>), Pravilnik o gospodarenju otpadom (</w:t>
            </w:r>
            <w:r w:rsidR="00F452DF">
              <w:rPr>
                <w:rFonts w:asciiTheme="minorHAnsi" w:hAnsiTheme="minorHAnsi" w:cstheme="minorHAnsi"/>
                <w:sz w:val="22"/>
                <w:szCs w:val="22"/>
              </w:rPr>
              <w:t>„</w:t>
            </w:r>
            <w:r w:rsidR="00071A4F" w:rsidRPr="00B255F7">
              <w:rPr>
                <w:rFonts w:asciiTheme="minorHAnsi" w:hAnsiTheme="minorHAnsi" w:cstheme="minorHAnsi"/>
                <w:sz w:val="22"/>
                <w:szCs w:val="22"/>
              </w:rPr>
              <w:t xml:space="preserve">Narodne </w:t>
            </w:r>
            <w:r w:rsidR="00A97AE7" w:rsidRPr="00B255F7">
              <w:rPr>
                <w:rFonts w:asciiTheme="minorHAnsi" w:hAnsiTheme="minorHAnsi" w:cstheme="minorHAnsi"/>
                <w:sz w:val="22"/>
                <w:szCs w:val="22"/>
              </w:rPr>
              <w:t>novine</w:t>
            </w:r>
            <w:r w:rsidR="00F452DF">
              <w:rPr>
                <w:rFonts w:asciiTheme="minorHAnsi" w:hAnsiTheme="minorHAnsi" w:cstheme="minorHAnsi"/>
                <w:sz w:val="22"/>
                <w:szCs w:val="22"/>
              </w:rPr>
              <w:t>“</w:t>
            </w:r>
            <w:r w:rsidR="00071A4F" w:rsidRPr="00B255F7">
              <w:rPr>
                <w:rFonts w:asciiTheme="minorHAnsi" w:hAnsiTheme="minorHAnsi" w:cstheme="minorHAnsi"/>
                <w:sz w:val="22"/>
                <w:szCs w:val="22"/>
              </w:rPr>
              <w:t>, br</w:t>
            </w:r>
            <w:r w:rsidR="00326206">
              <w:rPr>
                <w:rFonts w:asciiTheme="minorHAnsi" w:hAnsiTheme="minorHAnsi" w:cstheme="minorHAnsi"/>
                <w:sz w:val="22"/>
                <w:szCs w:val="22"/>
              </w:rPr>
              <w:t>.</w:t>
            </w:r>
            <w:r w:rsidR="00D60817" w:rsidRPr="00B255F7">
              <w:rPr>
                <w:rFonts w:asciiTheme="minorHAnsi" w:hAnsiTheme="minorHAnsi" w:cstheme="minorHAnsi"/>
                <w:sz w:val="22"/>
                <w:szCs w:val="22"/>
              </w:rPr>
              <w:t xml:space="preserve"> 106</w:t>
            </w:r>
            <w:r w:rsidR="005B41DA" w:rsidRPr="00B255F7">
              <w:rPr>
                <w:rFonts w:asciiTheme="minorHAnsi" w:hAnsiTheme="minorHAnsi" w:cstheme="minorHAnsi"/>
                <w:sz w:val="22"/>
                <w:szCs w:val="22"/>
              </w:rPr>
              <w:t>/22</w:t>
            </w:r>
            <w:r w:rsidR="00F452DF">
              <w:rPr>
                <w:rFonts w:asciiTheme="minorHAnsi" w:hAnsiTheme="minorHAnsi" w:cstheme="minorHAnsi"/>
                <w:sz w:val="22"/>
                <w:szCs w:val="22"/>
              </w:rPr>
              <w:t>.</w:t>
            </w:r>
            <w:r w:rsidR="00D60817" w:rsidRPr="00B255F7">
              <w:rPr>
                <w:rFonts w:asciiTheme="minorHAnsi" w:hAnsiTheme="minorHAnsi" w:cstheme="minorHAnsi"/>
                <w:sz w:val="22"/>
                <w:szCs w:val="22"/>
              </w:rPr>
              <w:t>)</w:t>
            </w:r>
          </w:p>
        </w:tc>
        <w:tc>
          <w:tcPr>
            <w:tcW w:w="1708" w:type="pct"/>
          </w:tcPr>
          <w:p w14:paraId="61BB613C" w14:textId="0E61DB48" w:rsidR="00CE47EE" w:rsidRPr="00B255F7" w:rsidRDefault="008B49E8"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 xml:space="preserve">Pravilnik o odlagalištima otpada određuje uvjete rada odlagališta otpada kojima se smanjuju moguće štetne posljedice odlagališta na okoliš. Odlagališni plin se sakuplja sa svih odlagališta koja primaju biorazgradivi otpad. Sakupljeni odlagališni plin treba obraditi i koristiti. </w:t>
            </w:r>
            <w:r w:rsidR="00BC52CA" w:rsidRPr="00B255F7">
              <w:rPr>
                <w:rFonts w:asciiTheme="minorHAnsi" w:hAnsiTheme="minorHAnsi" w:cstheme="minorHAnsi"/>
                <w:sz w:val="22"/>
                <w:szCs w:val="22"/>
              </w:rPr>
              <w:t xml:space="preserve">Ako se sakupljeni </w:t>
            </w:r>
            <w:r w:rsidRPr="00B255F7">
              <w:rPr>
                <w:rFonts w:asciiTheme="minorHAnsi" w:hAnsiTheme="minorHAnsi" w:cstheme="minorHAnsi"/>
                <w:sz w:val="22"/>
                <w:szCs w:val="22"/>
              </w:rPr>
              <w:t>plin</w:t>
            </w:r>
            <w:r w:rsidR="00BC52CA" w:rsidRPr="00B255F7">
              <w:rPr>
                <w:rFonts w:asciiTheme="minorHAnsi" w:hAnsiTheme="minorHAnsi" w:cstheme="minorHAnsi"/>
                <w:sz w:val="22"/>
                <w:szCs w:val="22"/>
              </w:rPr>
              <w:t xml:space="preserve"> ne </w:t>
            </w:r>
            <w:r w:rsidRPr="00B255F7">
              <w:rPr>
                <w:rFonts w:asciiTheme="minorHAnsi" w:hAnsiTheme="minorHAnsi" w:cstheme="minorHAnsi"/>
                <w:sz w:val="22"/>
                <w:szCs w:val="22"/>
              </w:rPr>
              <w:t>može</w:t>
            </w:r>
            <w:r w:rsidR="00BC52CA" w:rsidRPr="00B255F7">
              <w:rPr>
                <w:rFonts w:asciiTheme="minorHAnsi" w:hAnsiTheme="minorHAnsi" w:cstheme="minorHAnsi"/>
                <w:sz w:val="22"/>
                <w:szCs w:val="22"/>
              </w:rPr>
              <w:t xml:space="preserve"> upotrijebiti za dobivanje energije, treba </w:t>
            </w:r>
            <w:r w:rsidRPr="00B255F7">
              <w:rPr>
                <w:rFonts w:asciiTheme="minorHAnsi" w:hAnsiTheme="minorHAnsi" w:cstheme="minorHAnsi"/>
                <w:sz w:val="22"/>
                <w:szCs w:val="22"/>
              </w:rPr>
              <w:t>ga</w:t>
            </w:r>
            <w:r w:rsidR="00BC52CA" w:rsidRPr="00B255F7">
              <w:rPr>
                <w:rFonts w:asciiTheme="minorHAnsi" w:hAnsiTheme="minorHAnsi" w:cstheme="minorHAnsi"/>
                <w:sz w:val="22"/>
                <w:szCs w:val="22"/>
              </w:rPr>
              <w:t xml:space="preserve"> spaliti</w:t>
            </w:r>
            <w:r w:rsidR="00C7250B" w:rsidRPr="00B255F7">
              <w:rPr>
                <w:rFonts w:asciiTheme="minorHAnsi" w:hAnsiTheme="minorHAnsi" w:cstheme="minorHAnsi"/>
                <w:sz w:val="22"/>
                <w:szCs w:val="22"/>
              </w:rPr>
              <w:t xml:space="preserve"> i spriječiti emisiju metana u atmosferu</w:t>
            </w:r>
            <w:r w:rsidR="00BC52CA" w:rsidRPr="00B255F7">
              <w:rPr>
                <w:rFonts w:asciiTheme="minorHAnsi" w:hAnsiTheme="minorHAnsi" w:cstheme="minorHAnsi"/>
                <w:sz w:val="22"/>
                <w:szCs w:val="22"/>
              </w:rPr>
              <w:t>.</w:t>
            </w:r>
          </w:p>
        </w:tc>
      </w:tr>
      <w:tr w:rsidR="00CE47EE" w:rsidRPr="00B255F7" w14:paraId="04BFD954" w14:textId="77777777" w:rsidTr="63259912">
        <w:tc>
          <w:tcPr>
            <w:tcW w:w="1609" w:type="pct"/>
          </w:tcPr>
          <w:p w14:paraId="7BA084EC" w14:textId="722F2A24" w:rsidR="00CE47EE" w:rsidRPr="00B255F7" w:rsidRDefault="00CE47EE" w:rsidP="00AE4D7E">
            <w:pPr>
              <w:pStyle w:val="Default"/>
              <w:jc w:val="both"/>
              <w:rPr>
                <w:rFonts w:cstheme="minorHAnsi"/>
                <w:b/>
                <w:sz w:val="22"/>
                <w:szCs w:val="22"/>
                <w:highlight w:val="yellow"/>
              </w:rPr>
            </w:pPr>
            <w:r w:rsidRPr="00B255F7">
              <w:rPr>
                <w:rFonts w:cstheme="minorHAnsi"/>
                <w:sz w:val="22"/>
                <w:szCs w:val="22"/>
              </w:rPr>
              <w:t>Smanjenje količine odloženog biorazgradivog krutog komunalnog otpada</w:t>
            </w:r>
          </w:p>
        </w:tc>
        <w:tc>
          <w:tcPr>
            <w:tcW w:w="1683" w:type="pct"/>
          </w:tcPr>
          <w:p w14:paraId="58184905" w14:textId="769484F9" w:rsidR="00CE47EE" w:rsidRPr="00B255F7" w:rsidRDefault="00BC52CA"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Zakon o gospodarenju otpadom (</w:t>
            </w:r>
            <w:r w:rsidR="009F0890">
              <w:rPr>
                <w:rFonts w:asciiTheme="minorHAnsi" w:hAnsiTheme="minorHAnsi" w:cstheme="minorHAnsi"/>
                <w:sz w:val="22"/>
                <w:szCs w:val="22"/>
              </w:rPr>
              <w:t>„</w:t>
            </w:r>
            <w:r w:rsidR="00071A4F" w:rsidRPr="00B255F7">
              <w:rPr>
                <w:rFonts w:asciiTheme="minorHAnsi" w:hAnsiTheme="minorHAnsi" w:cstheme="minorHAnsi"/>
                <w:sz w:val="22"/>
                <w:szCs w:val="22"/>
              </w:rPr>
              <w:t xml:space="preserve">Narodne </w:t>
            </w:r>
            <w:r w:rsidR="00A97AE7" w:rsidRPr="00B255F7">
              <w:rPr>
                <w:rFonts w:asciiTheme="minorHAnsi" w:hAnsiTheme="minorHAnsi" w:cstheme="minorHAnsi"/>
                <w:sz w:val="22"/>
                <w:szCs w:val="22"/>
              </w:rPr>
              <w:t>novine</w:t>
            </w:r>
            <w:r w:rsidR="009F0890">
              <w:rPr>
                <w:rFonts w:asciiTheme="minorHAnsi" w:hAnsiTheme="minorHAnsi" w:cstheme="minorHAnsi"/>
                <w:sz w:val="22"/>
                <w:szCs w:val="22"/>
              </w:rPr>
              <w:t>“</w:t>
            </w:r>
            <w:r w:rsidR="00071A4F" w:rsidRPr="00B255F7">
              <w:rPr>
                <w:rFonts w:asciiTheme="minorHAnsi" w:hAnsiTheme="minorHAnsi" w:cstheme="minorHAnsi"/>
                <w:sz w:val="22"/>
                <w:szCs w:val="22"/>
              </w:rPr>
              <w:t>, br</w:t>
            </w:r>
            <w:r w:rsidR="00C03E70">
              <w:rPr>
                <w:rFonts w:asciiTheme="minorHAnsi" w:hAnsiTheme="minorHAnsi" w:cstheme="minorHAnsi"/>
                <w:sz w:val="22"/>
                <w:szCs w:val="22"/>
              </w:rPr>
              <w:t>.</w:t>
            </w:r>
            <w:r w:rsidRPr="00B255F7">
              <w:rPr>
                <w:rFonts w:asciiTheme="minorHAnsi" w:hAnsiTheme="minorHAnsi" w:cstheme="minorHAnsi"/>
                <w:sz w:val="22"/>
                <w:szCs w:val="22"/>
              </w:rPr>
              <w:t xml:space="preserve"> </w:t>
            </w:r>
            <w:r w:rsidR="00BE4A05" w:rsidRPr="00B255F7">
              <w:rPr>
                <w:rFonts w:asciiTheme="minorHAnsi" w:hAnsiTheme="minorHAnsi" w:cstheme="minorHAnsi"/>
                <w:sz w:val="22"/>
                <w:szCs w:val="22"/>
              </w:rPr>
              <w:t>84</w:t>
            </w:r>
            <w:r w:rsidR="005B41DA" w:rsidRPr="00B255F7">
              <w:rPr>
                <w:rFonts w:asciiTheme="minorHAnsi" w:hAnsiTheme="minorHAnsi" w:cstheme="minorHAnsi"/>
                <w:sz w:val="22"/>
                <w:szCs w:val="22"/>
              </w:rPr>
              <w:t>/21</w:t>
            </w:r>
            <w:r w:rsidR="009F0890">
              <w:rPr>
                <w:rFonts w:asciiTheme="minorHAnsi" w:hAnsiTheme="minorHAnsi" w:cstheme="minorHAnsi"/>
                <w:sz w:val="22"/>
                <w:szCs w:val="22"/>
              </w:rPr>
              <w:t>.</w:t>
            </w:r>
            <w:r w:rsidR="00C7250B" w:rsidRPr="00B255F7">
              <w:rPr>
                <w:rFonts w:asciiTheme="minorHAnsi" w:hAnsiTheme="minorHAnsi" w:cstheme="minorHAnsi"/>
                <w:sz w:val="22"/>
                <w:szCs w:val="22"/>
              </w:rPr>
              <w:t>, 142</w:t>
            </w:r>
            <w:r w:rsidR="005B41DA" w:rsidRPr="00B255F7">
              <w:rPr>
                <w:rFonts w:asciiTheme="minorHAnsi" w:hAnsiTheme="minorHAnsi" w:cstheme="minorHAnsi"/>
                <w:sz w:val="22"/>
                <w:szCs w:val="22"/>
              </w:rPr>
              <w:t>/23</w:t>
            </w:r>
            <w:r w:rsidR="009F0890">
              <w:rPr>
                <w:rFonts w:asciiTheme="minorHAnsi" w:hAnsiTheme="minorHAnsi" w:cstheme="minorHAnsi"/>
                <w:sz w:val="22"/>
                <w:szCs w:val="22"/>
              </w:rPr>
              <w:t>.</w:t>
            </w:r>
            <w:r w:rsidRPr="00B255F7">
              <w:rPr>
                <w:rFonts w:asciiTheme="minorHAnsi" w:hAnsiTheme="minorHAnsi" w:cstheme="minorHAnsi"/>
                <w:sz w:val="22"/>
                <w:szCs w:val="22"/>
              </w:rPr>
              <w:t>)</w:t>
            </w:r>
            <w:r w:rsidR="00C32EB7" w:rsidRPr="00B255F7">
              <w:rPr>
                <w:rFonts w:asciiTheme="minorHAnsi" w:hAnsiTheme="minorHAnsi" w:cstheme="minorHAnsi"/>
                <w:sz w:val="22"/>
                <w:szCs w:val="22"/>
              </w:rPr>
              <w:t>, Plan gospodarenja otpadom Republike Hrvatske za razdoblje 20</w:t>
            </w:r>
            <w:r w:rsidR="00C7250B" w:rsidRPr="00B255F7">
              <w:rPr>
                <w:rFonts w:asciiTheme="minorHAnsi" w:hAnsiTheme="minorHAnsi" w:cstheme="minorHAnsi"/>
                <w:sz w:val="22"/>
                <w:szCs w:val="22"/>
              </w:rPr>
              <w:t>23</w:t>
            </w:r>
            <w:r w:rsidR="00C32EB7" w:rsidRPr="00B255F7">
              <w:rPr>
                <w:rFonts w:asciiTheme="minorHAnsi" w:hAnsiTheme="minorHAnsi" w:cstheme="minorHAnsi"/>
                <w:sz w:val="22"/>
                <w:szCs w:val="22"/>
              </w:rPr>
              <w:t>. - 202</w:t>
            </w:r>
            <w:r w:rsidR="00C7250B" w:rsidRPr="00B255F7">
              <w:rPr>
                <w:rFonts w:asciiTheme="minorHAnsi" w:hAnsiTheme="minorHAnsi" w:cstheme="minorHAnsi"/>
                <w:sz w:val="22"/>
                <w:szCs w:val="22"/>
              </w:rPr>
              <w:t>8</w:t>
            </w:r>
            <w:r w:rsidR="00C32EB7" w:rsidRPr="00B255F7">
              <w:rPr>
                <w:rFonts w:asciiTheme="minorHAnsi" w:hAnsiTheme="minorHAnsi" w:cstheme="minorHAnsi"/>
                <w:sz w:val="22"/>
                <w:szCs w:val="22"/>
              </w:rPr>
              <w:t>. godine (</w:t>
            </w:r>
            <w:r w:rsidR="009F0890">
              <w:rPr>
                <w:rFonts w:asciiTheme="minorHAnsi" w:hAnsiTheme="minorHAnsi" w:cstheme="minorHAnsi"/>
                <w:sz w:val="22"/>
                <w:szCs w:val="22"/>
              </w:rPr>
              <w:t>„</w:t>
            </w:r>
            <w:r w:rsidR="00071A4F" w:rsidRPr="00B255F7">
              <w:rPr>
                <w:rFonts w:asciiTheme="minorHAnsi" w:hAnsiTheme="minorHAnsi" w:cstheme="minorHAnsi"/>
                <w:sz w:val="22"/>
                <w:szCs w:val="22"/>
              </w:rPr>
              <w:t xml:space="preserve">Narodne </w:t>
            </w:r>
            <w:r w:rsidR="00A97AE7" w:rsidRPr="00B255F7">
              <w:rPr>
                <w:rFonts w:asciiTheme="minorHAnsi" w:hAnsiTheme="minorHAnsi" w:cstheme="minorHAnsi"/>
                <w:sz w:val="22"/>
                <w:szCs w:val="22"/>
              </w:rPr>
              <w:t>novine</w:t>
            </w:r>
            <w:r w:rsidR="009F0890">
              <w:rPr>
                <w:rFonts w:asciiTheme="minorHAnsi" w:hAnsiTheme="minorHAnsi" w:cstheme="minorHAnsi"/>
                <w:sz w:val="22"/>
                <w:szCs w:val="22"/>
              </w:rPr>
              <w:t>“</w:t>
            </w:r>
            <w:r w:rsidR="00071A4F" w:rsidRPr="00B255F7">
              <w:rPr>
                <w:rFonts w:asciiTheme="minorHAnsi" w:hAnsiTheme="minorHAnsi" w:cstheme="minorHAnsi"/>
                <w:sz w:val="22"/>
                <w:szCs w:val="22"/>
              </w:rPr>
              <w:t xml:space="preserve">, </w:t>
            </w:r>
            <w:r w:rsidR="00326206" w:rsidRPr="00B255F7">
              <w:rPr>
                <w:rFonts w:asciiTheme="minorHAnsi" w:hAnsiTheme="minorHAnsi" w:cstheme="minorHAnsi"/>
                <w:sz w:val="22"/>
                <w:szCs w:val="22"/>
              </w:rPr>
              <w:t>br</w:t>
            </w:r>
            <w:r w:rsidR="00326206">
              <w:rPr>
                <w:rFonts w:asciiTheme="minorHAnsi" w:hAnsiTheme="minorHAnsi" w:cstheme="minorHAnsi"/>
                <w:sz w:val="22"/>
                <w:szCs w:val="22"/>
              </w:rPr>
              <w:t>.</w:t>
            </w:r>
            <w:r w:rsidR="00326206" w:rsidRPr="00B255F7">
              <w:rPr>
                <w:rFonts w:asciiTheme="minorHAnsi" w:hAnsiTheme="minorHAnsi" w:cstheme="minorHAnsi"/>
                <w:sz w:val="22"/>
                <w:szCs w:val="22"/>
              </w:rPr>
              <w:t xml:space="preserve"> </w:t>
            </w:r>
            <w:r w:rsidR="00C7250B" w:rsidRPr="00B255F7">
              <w:rPr>
                <w:rFonts w:asciiTheme="minorHAnsi" w:hAnsiTheme="minorHAnsi" w:cstheme="minorHAnsi"/>
                <w:sz w:val="22"/>
                <w:szCs w:val="22"/>
              </w:rPr>
              <w:t>84/</w:t>
            </w:r>
            <w:r w:rsidR="45CF769F" w:rsidRPr="00B255F7">
              <w:rPr>
                <w:rFonts w:asciiTheme="minorHAnsi" w:hAnsiTheme="minorHAnsi" w:cstheme="minorHAnsi"/>
                <w:sz w:val="22"/>
                <w:szCs w:val="22"/>
              </w:rPr>
              <w:t>23</w:t>
            </w:r>
            <w:r w:rsidR="009F0890">
              <w:rPr>
                <w:rFonts w:asciiTheme="minorHAnsi" w:hAnsiTheme="minorHAnsi" w:cstheme="minorHAnsi"/>
                <w:sz w:val="22"/>
                <w:szCs w:val="22"/>
              </w:rPr>
              <w:t>.</w:t>
            </w:r>
            <w:r w:rsidR="669BE3EF" w:rsidRPr="00B255F7">
              <w:rPr>
                <w:rFonts w:asciiTheme="minorHAnsi" w:hAnsiTheme="minorHAnsi" w:cstheme="minorHAnsi"/>
                <w:sz w:val="22"/>
                <w:szCs w:val="22"/>
              </w:rPr>
              <w:t>)</w:t>
            </w:r>
          </w:p>
        </w:tc>
        <w:tc>
          <w:tcPr>
            <w:tcW w:w="1708" w:type="pct"/>
          </w:tcPr>
          <w:p w14:paraId="7F1961B0" w14:textId="0C908526" w:rsidR="00BE4A05" w:rsidRPr="00B255F7" w:rsidRDefault="00BC52CA" w:rsidP="00BE4A05">
            <w:pPr>
              <w:spacing w:after="0"/>
              <w:rPr>
                <w:rFonts w:asciiTheme="minorHAnsi" w:hAnsiTheme="minorHAnsi" w:cstheme="minorHAnsi"/>
                <w:sz w:val="22"/>
                <w:szCs w:val="22"/>
              </w:rPr>
            </w:pPr>
            <w:r w:rsidRPr="00B255F7">
              <w:rPr>
                <w:rFonts w:asciiTheme="minorHAnsi" w:hAnsiTheme="minorHAnsi" w:cstheme="minorHAnsi"/>
                <w:sz w:val="22"/>
                <w:szCs w:val="22"/>
              </w:rPr>
              <w:t xml:space="preserve">Cilj mjere je smanjiti </w:t>
            </w:r>
            <w:r w:rsidR="00C7250B" w:rsidRPr="00B255F7">
              <w:rPr>
                <w:rFonts w:asciiTheme="minorHAnsi" w:hAnsiTheme="minorHAnsi" w:cstheme="minorHAnsi"/>
                <w:sz w:val="22"/>
                <w:szCs w:val="22"/>
              </w:rPr>
              <w:t>masu</w:t>
            </w:r>
            <w:r w:rsidRPr="00B255F7">
              <w:rPr>
                <w:rFonts w:asciiTheme="minorHAnsi" w:hAnsiTheme="minorHAnsi" w:cstheme="minorHAnsi"/>
                <w:sz w:val="22"/>
                <w:szCs w:val="22"/>
              </w:rPr>
              <w:t xml:space="preserve"> biorazgradive frakcije otpada koja se odlaže na odlagališta</w:t>
            </w:r>
            <w:r w:rsidR="00BE4A05" w:rsidRPr="00B255F7">
              <w:rPr>
                <w:rFonts w:asciiTheme="minorHAnsi" w:hAnsiTheme="minorHAnsi" w:cstheme="minorHAnsi"/>
                <w:sz w:val="22"/>
                <w:szCs w:val="22"/>
              </w:rPr>
              <w:t>, čime</w:t>
            </w:r>
            <w:r w:rsidRPr="00B255F7">
              <w:rPr>
                <w:rFonts w:asciiTheme="minorHAnsi" w:hAnsiTheme="minorHAnsi" w:cstheme="minorHAnsi"/>
                <w:sz w:val="22"/>
                <w:szCs w:val="22"/>
              </w:rPr>
              <w:t xml:space="preserve"> se </w:t>
            </w:r>
            <w:r w:rsidR="00BE4A05" w:rsidRPr="00B255F7">
              <w:rPr>
                <w:rFonts w:asciiTheme="minorHAnsi" w:hAnsiTheme="minorHAnsi" w:cstheme="minorHAnsi"/>
                <w:sz w:val="22"/>
                <w:szCs w:val="22"/>
              </w:rPr>
              <w:t xml:space="preserve">smanjuje emisija metana nastalog anaerobnim procesima razgradnje otpada. </w:t>
            </w:r>
          </w:p>
          <w:p w14:paraId="36B62540" w14:textId="55A428E7" w:rsidR="00CE47EE" w:rsidRPr="00B255F7" w:rsidRDefault="006D5E20"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 xml:space="preserve">Prema </w:t>
            </w:r>
            <w:r w:rsidR="00BE4A05" w:rsidRPr="00B255F7">
              <w:rPr>
                <w:rFonts w:asciiTheme="minorHAnsi" w:hAnsiTheme="minorHAnsi" w:cstheme="minorHAnsi"/>
                <w:sz w:val="22"/>
                <w:szCs w:val="22"/>
              </w:rPr>
              <w:t>Zakon</w:t>
            </w:r>
            <w:r w:rsidRPr="00B255F7">
              <w:rPr>
                <w:rFonts w:asciiTheme="minorHAnsi" w:hAnsiTheme="minorHAnsi" w:cstheme="minorHAnsi"/>
                <w:sz w:val="22"/>
                <w:szCs w:val="22"/>
              </w:rPr>
              <w:t>u</w:t>
            </w:r>
            <w:r w:rsidR="00BE4A05" w:rsidRPr="00B255F7">
              <w:rPr>
                <w:rFonts w:asciiTheme="minorHAnsi" w:hAnsiTheme="minorHAnsi" w:cstheme="minorHAnsi"/>
                <w:sz w:val="22"/>
                <w:szCs w:val="22"/>
              </w:rPr>
              <w:t xml:space="preserve"> o gospodarenju otpadom</w:t>
            </w:r>
            <w:r w:rsidRPr="00B255F7">
              <w:rPr>
                <w:rFonts w:asciiTheme="minorHAnsi" w:hAnsiTheme="minorHAnsi" w:cstheme="minorHAnsi"/>
                <w:sz w:val="22"/>
                <w:szCs w:val="22"/>
              </w:rPr>
              <w:t>, svim dozvolama za gospodarenje otpadom u RH</w:t>
            </w:r>
            <w:r w:rsidR="002F18E9" w:rsidRPr="00B255F7">
              <w:rPr>
                <w:rFonts w:asciiTheme="minorHAnsi" w:hAnsiTheme="minorHAnsi" w:cstheme="minorHAnsi"/>
                <w:sz w:val="22"/>
                <w:szCs w:val="22"/>
              </w:rPr>
              <w:t>,</w:t>
            </w:r>
            <w:r w:rsidR="00BE4A05" w:rsidRPr="00B255F7">
              <w:rPr>
                <w:rFonts w:asciiTheme="minorHAnsi" w:hAnsiTheme="minorHAnsi" w:cstheme="minorHAnsi"/>
                <w:sz w:val="22"/>
                <w:szCs w:val="22"/>
              </w:rPr>
              <w:t xml:space="preserve"> u </w:t>
            </w:r>
            <w:r w:rsidR="002F18E9" w:rsidRPr="00B255F7">
              <w:rPr>
                <w:rFonts w:asciiTheme="minorHAnsi" w:hAnsiTheme="minorHAnsi" w:cstheme="minorHAnsi"/>
                <w:sz w:val="22"/>
                <w:szCs w:val="22"/>
              </w:rPr>
              <w:t xml:space="preserve">jednoj </w:t>
            </w:r>
            <w:r w:rsidR="00BE4A05" w:rsidRPr="00B255F7">
              <w:rPr>
                <w:rFonts w:asciiTheme="minorHAnsi" w:hAnsiTheme="minorHAnsi" w:cstheme="minorHAnsi"/>
                <w:sz w:val="22"/>
                <w:szCs w:val="22"/>
              </w:rPr>
              <w:t xml:space="preserve">kalendarskoj godini može </w:t>
            </w:r>
            <w:r w:rsidR="002F18E9" w:rsidRPr="00B255F7">
              <w:rPr>
                <w:rFonts w:asciiTheme="minorHAnsi" w:hAnsiTheme="minorHAnsi" w:cstheme="minorHAnsi"/>
                <w:sz w:val="22"/>
                <w:szCs w:val="22"/>
              </w:rPr>
              <w:t xml:space="preserve">se </w:t>
            </w:r>
            <w:r w:rsidR="00BE4A05" w:rsidRPr="00B255F7">
              <w:rPr>
                <w:rFonts w:asciiTheme="minorHAnsi" w:hAnsiTheme="minorHAnsi" w:cstheme="minorHAnsi"/>
                <w:sz w:val="22"/>
                <w:szCs w:val="22"/>
              </w:rPr>
              <w:t xml:space="preserve">dopustiti </w:t>
            </w:r>
            <w:r w:rsidR="002F18E9" w:rsidRPr="00B255F7">
              <w:rPr>
                <w:rFonts w:asciiTheme="minorHAnsi" w:hAnsiTheme="minorHAnsi" w:cstheme="minorHAnsi"/>
                <w:sz w:val="22"/>
                <w:szCs w:val="22"/>
              </w:rPr>
              <w:t xml:space="preserve">odlaganje najviše </w:t>
            </w:r>
            <w:r w:rsidR="00BE4A05" w:rsidRPr="00B255F7">
              <w:rPr>
                <w:rFonts w:asciiTheme="minorHAnsi" w:hAnsiTheme="minorHAnsi" w:cstheme="minorHAnsi"/>
                <w:sz w:val="22"/>
                <w:szCs w:val="22"/>
              </w:rPr>
              <w:t>264.661 tona</w:t>
            </w:r>
            <w:r w:rsidR="00F97BF1" w:rsidRPr="00B255F7">
              <w:rPr>
                <w:rFonts w:asciiTheme="minorHAnsi" w:hAnsiTheme="minorHAnsi" w:cstheme="minorHAnsi"/>
                <w:sz w:val="22"/>
                <w:szCs w:val="22"/>
              </w:rPr>
              <w:t xml:space="preserve"> mase biorazgradivog komunalnog otpada</w:t>
            </w:r>
            <w:r w:rsidR="00D6379E" w:rsidRPr="00B255F7">
              <w:rPr>
                <w:rFonts w:asciiTheme="minorHAnsi" w:hAnsiTheme="minorHAnsi" w:cstheme="minorHAnsi"/>
                <w:sz w:val="22"/>
                <w:szCs w:val="22"/>
              </w:rPr>
              <w:t xml:space="preserve"> </w:t>
            </w:r>
            <w:r w:rsidR="004D0B39" w:rsidRPr="00B255F7">
              <w:rPr>
                <w:rFonts w:asciiTheme="minorHAnsi" w:hAnsiTheme="minorHAnsi" w:cstheme="minorHAnsi"/>
                <w:sz w:val="22"/>
                <w:szCs w:val="22"/>
              </w:rPr>
              <w:t>(</w:t>
            </w:r>
            <w:r w:rsidR="00BE4A05" w:rsidRPr="00B255F7">
              <w:rPr>
                <w:rFonts w:asciiTheme="minorHAnsi" w:hAnsiTheme="minorHAnsi" w:cstheme="minorHAnsi"/>
                <w:sz w:val="22"/>
                <w:szCs w:val="22"/>
              </w:rPr>
              <w:t>35</w:t>
            </w:r>
            <w:r w:rsidR="004D0B39" w:rsidRPr="00B255F7">
              <w:rPr>
                <w:rFonts w:asciiTheme="minorHAnsi" w:hAnsiTheme="minorHAnsi" w:cstheme="minorHAnsi"/>
                <w:sz w:val="22"/>
                <w:szCs w:val="22"/>
              </w:rPr>
              <w:t> </w:t>
            </w:r>
            <w:r w:rsidR="00BE4A05" w:rsidRPr="00B255F7">
              <w:rPr>
                <w:rFonts w:asciiTheme="minorHAnsi" w:hAnsiTheme="minorHAnsi" w:cstheme="minorHAnsi"/>
                <w:sz w:val="22"/>
                <w:szCs w:val="22"/>
              </w:rPr>
              <w:t>% mase biorazgradivog komunalnog otpada proizvedenog u</w:t>
            </w:r>
            <w:r w:rsidR="00BC52CA" w:rsidRPr="00B255F7">
              <w:rPr>
                <w:rFonts w:asciiTheme="minorHAnsi" w:hAnsiTheme="minorHAnsi" w:cstheme="minorHAnsi"/>
                <w:sz w:val="22"/>
                <w:szCs w:val="22"/>
              </w:rPr>
              <w:t xml:space="preserve"> 1997. </w:t>
            </w:r>
            <w:r w:rsidR="00BE4A05" w:rsidRPr="00B255F7">
              <w:rPr>
                <w:rFonts w:asciiTheme="minorHAnsi" w:hAnsiTheme="minorHAnsi" w:cstheme="minorHAnsi"/>
                <w:sz w:val="22"/>
                <w:szCs w:val="22"/>
              </w:rPr>
              <w:t>godini</w:t>
            </w:r>
            <w:r w:rsidR="004D0B39" w:rsidRPr="00B255F7">
              <w:rPr>
                <w:rFonts w:asciiTheme="minorHAnsi" w:hAnsiTheme="minorHAnsi" w:cstheme="minorHAnsi"/>
                <w:sz w:val="22"/>
                <w:szCs w:val="22"/>
              </w:rPr>
              <w:t>)</w:t>
            </w:r>
            <w:r w:rsidR="00BE4A05" w:rsidRPr="00B255F7">
              <w:rPr>
                <w:rFonts w:asciiTheme="minorHAnsi" w:hAnsiTheme="minorHAnsi" w:cstheme="minorHAnsi"/>
                <w:sz w:val="22"/>
                <w:szCs w:val="22"/>
              </w:rPr>
              <w:t>.</w:t>
            </w:r>
          </w:p>
        </w:tc>
      </w:tr>
      <w:tr w:rsidR="00CE47EE" w:rsidRPr="00B255F7" w14:paraId="64151A7E" w14:textId="77777777" w:rsidTr="63259912">
        <w:tc>
          <w:tcPr>
            <w:tcW w:w="1609" w:type="pct"/>
          </w:tcPr>
          <w:p w14:paraId="23D0B661" w14:textId="39D5DE9D" w:rsidR="00CE47EE" w:rsidRPr="00B255F7" w:rsidRDefault="00CE47EE" w:rsidP="00AE4D7E">
            <w:pPr>
              <w:pStyle w:val="Default"/>
              <w:jc w:val="both"/>
              <w:rPr>
                <w:rFonts w:cstheme="minorHAnsi"/>
                <w:b/>
                <w:sz w:val="22"/>
                <w:szCs w:val="22"/>
                <w:highlight w:val="yellow"/>
              </w:rPr>
            </w:pPr>
            <w:r w:rsidRPr="00B255F7">
              <w:rPr>
                <w:rFonts w:cstheme="minorHAnsi"/>
                <w:sz w:val="22"/>
                <w:szCs w:val="22"/>
              </w:rPr>
              <w:t>Korištenje bioplina za proizvodnju električne energije i topline.</w:t>
            </w:r>
          </w:p>
        </w:tc>
        <w:tc>
          <w:tcPr>
            <w:tcW w:w="1683" w:type="pct"/>
          </w:tcPr>
          <w:p w14:paraId="18F1741E" w14:textId="3BBD652B" w:rsidR="00CE47EE" w:rsidRPr="00B255F7" w:rsidRDefault="002D1323"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Strategija niskougljičnog razvoja Republike Hrvatske do 2030. s pogledom na 2050. godinu (</w:t>
            </w:r>
            <w:r w:rsidR="00126004" w:rsidRPr="63259912">
              <w:rPr>
                <w:rFonts w:asciiTheme="minorHAnsi" w:hAnsiTheme="minorHAnsi" w:cstheme="minorBidi"/>
                <w:sz w:val="22"/>
                <w:szCs w:val="22"/>
              </w:rPr>
              <w:t>„</w:t>
            </w:r>
            <w:r w:rsidR="00071A4F" w:rsidRPr="63259912">
              <w:rPr>
                <w:rFonts w:asciiTheme="minorHAnsi" w:hAnsiTheme="minorHAnsi" w:cstheme="minorBidi"/>
                <w:sz w:val="22"/>
                <w:szCs w:val="22"/>
              </w:rPr>
              <w:t xml:space="preserve">Narodne </w:t>
            </w:r>
            <w:r w:rsidR="00A97AE7" w:rsidRPr="63259912">
              <w:rPr>
                <w:rFonts w:asciiTheme="minorHAnsi" w:hAnsiTheme="minorHAnsi" w:cstheme="minorBidi"/>
                <w:sz w:val="22"/>
                <w:szCs w:val="22"/>
              </w:rPr>
              <w:t>novine</w:t>
            </w:r>
            <w:r w:rsidR="00126004" w:rsidRPr="63259912">
              <w:rPr>
                <w:rFonts w:asciiTheme="minorHAnsi" w:hAnsiTheme="minorHAnsi" w:cstheme="minorBidi"/>
                <w:sz w:val="22"/>
                <w:szCs w:val="22"/>
              </w:rPr>
              <w:t>“</w:t>
            </w:r>
            <w:r w:rsidR="00071A4F" w:rsidRPr="63259912">
              <w:rPr>
                <w:rFonts w:asciiTheme="minorHAnsi" w:hAnsiTheme="minorHAnsi" w:cstheme="minorBidi"/>
                <w:sz w:val="22"/>
                <w:szCs w:val="22"/>
              </w:rPr>
              <w:t xml:space="preserve">, </w:t>
            </w:r>
            <w:r w:rsidR="00326206" w:rsidRPr="63259912">
              <w:rPr>
                <w:rFonts w:asciiTheme="minorHAnsi" w:hAnsiTheme="minorHAnsi" w:cstheme="minorBidi"/>
                <w:sz w:val="22"/>
                <w:szCs w:val="22"/>
              </w:rPr>
              <w:t xml:space="preserve">br. </w:t>
            </w:r>
            <w:r w:rsidRPr="63259912">
              <w:rPr>
                <w:rFonts w:asciiTheme="minorHAnsi" w:hAnsiTheme="minorHAnsi" w:cstheme="minorBidi"/>
                <w:sz w:val="22"/>
                <w:szCs w:val="22"/>
              </w:rPr>
              <w:t>63/</w:t>
            </w:r>
            <w:r w:rsidR="669BE3EF" w:rsidRPr="63259912">
              <w:rPr>
                <w:rFonts w:asciiTheme="minorHAnsi" w:hAnsiTheme="minorHAnsi" w:cstheme="minorBidi"/>
                <w:sz w:val="22"/>
                <w:szCs w:val="22"/>
              </w:rPr>
              <w:t>21</w:t>
            </w:r>
            <w:r w:rsidR="00126004" w:rsidRPr="63259912">
              <w:rPr>
                <w:rFonts w:asciiTheme="minorHAnsi" w:hAnsiTheme="minorHAnsi" w:cstheme="minorBidi"/>
                <w:sz w:val="22"/>
                <w:szCs w:val="22"/>
              </w:rPr>
              <w:t>.</w:t>
            </w:r>
            <w:r w:rsidR="669BE3EF" w:rsidRPr="63259912">
              <w:rPr>
                <w:rFonts w:asciiTheme="minorHAnsi" w:hAnsiTheme="minorHAnsi" w:cstheme="minorBidi"/>
                <w:sz w:val="22"/>
                <w:szCs w:val="22"/>
              </w:rPr>
              <w:t>)</w:t>
            </w:r>
          </w:p>
        </w:tc>
        <w:tc>
          <w:tcPr>
            <w:tcW w:w="1708" w:type="pct"/>
          </w:tcPr>
          <w:p w14:paraId="02006451" w14:textId="543449AE" w:rsidR="00CE47EE" w:rsidRPr="00B255F7" w:rsidRDefault="00511C1A"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 xml:space="preserve">Mjera je povezana s mjerom „Feed-in tarife i sustav premija za potporu korištenja obnovljivih izvora energije u proizvodnji električne energije i za visokoučinkovitu kogeneraciju“ u </w:t>
            </w:r>
            <w:r w:rsidR="005454F7" w:rsidRPr="63259912">
              <w:rPr>
                <w:rFonts w:asciiTheme="minorHAnsi" w:hAnsiTheme="minorHAnsi" w:cstheme="minorBidi"/>
                <w:sz w:val="22"/>
                <w:szCs w:val="22"/>
              </w:rPr>
              <w:t>poglavlju</w:t>
            </w:r>
            <w:r w:rsidRPr="63259912">
              <w:rPr>
                <w:rFonts w:asciiTheme="minorHAnsi" w:hAnsiTheme="minorHAnsi" w:cstheme="minorBidi"/>
                <w:sz w:val="22"/>
                <w:szCs w:val="22"/>
              </w:rPr>
              <w:t xml:space="preserve"> „Obnovljivi izvori energije“.</w:t>
            </w:r>
          </w:p>
        </w:tc>
      </w:tr>
      <w:tr w:rsidR="00CE47EE" w:rsidRPr="00B255F7" w14:paraId="50A06B07" w14:textId="77777777" w:rsidTr="63259912">
        <w:tc>
          <w:tcPr>
            <w:tcW w:w="5000" w:type="pct"/>
            <w:gridSpan w:val="3"/>
            <w:shd w:val="clear" w:color="auto" w:fill="D9D9D9" w:themeFill="background1" w:themeFillShade="D9"/>
          </w:tcPr>
          <w:p w14:paraId="1A8A8F19" w14:textId="4192E578" w:rsidR="00CE47EE" w:rsidRPr="00B255F7" w:rsidRDefault="00CE47EE"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Poljoprivreda</w:t>
            </w:r>
          </w:p>
        </w:tc>
      </w:tr>
      <w:tr w:rsidR="002D250E" w:rsidRPr="00B255F7" w14:paraId="7CDF324A" w14:textId="77777777" w:rsidTr="63259912">
        <w:tc>
          <w:tcPr>
            <w:tcW w:w="1609" w:type="pct"/>
          </w:tcPr>
          <w:p w14:paraId="75CF4940" w14:textId="54DFBC32" w:rsidR="002D250E" w:rsidRPr="00B255F7" w:rsidRDefault="002D250E" w:rsidP="00AE4D7E">
            <w:pPr>
              <w:pStyle w:val="Default"/>
              <w:jc w:val="both"/>
              <w:rPr>
                <w:rFonts w:cstheme="minorHAnsi"/>
                <w:b/>
                <w:sz w:val="22"/>
                <w:szCs w:val="22"/>
                <w:highlight w:val="yellow"/>
              </w:rPr>
            </w:pPr>
            <w:r w:rsidRPr="00B255F7">
              <w:rPr>
                <w:rFonts w:cstheme="minorHAnsi"/>
                <w:sz w:val="22"/>
                <w:szCs w:val="22"/>
              </w:rPr>
              <w:t>Anaerobna razgradnja gnoja i proizvodnja bioplina</w:t>
            </w:r>
          </w:p>
        </w:tc>
        <w:tc>
          <w:tcPr>
            <w:tcW w:w="1683" w:type="pct"/>
          </w:tcPr>
          <w:p w14:paraId="2C3A1D81" w14:textId="79C62E5F" w:rsidR="002D250E" w:rsidRPr="00B255F7" w:rsidRDefault="002D250E" w:rsidP="63259912">
            <w:pPr>
              <w:pStyle w:val="Default"/>
              <w:jc w:val="both"/>
              <w:rPr>
                <w:rFonts w:cstheme="minorBidi"/>
                <w:sz w:val="22"/>
                <w:szCs w:val="22"/>
                <w:highlight w:val="yellow"/>
              </w:rPr>
            </w:pPr>
            <w:r w:rsidRPr="63259912">
              <w:rPr>
                <w:rFonts w:cstheme="minorBidi"/>
                <w:sz w:val="22"/>
                <w:szCs w:val="22"/>
              </w:rPr>
              <w:t xml:space="preserve">Strategija niskougljičnog razvoja Republike Hrvatske do 2030. s pogledom na 2050. </w:t>
            </w:r>
            <w:r w:rsidRPr="63259912">
              <w:rPr>
                <w:rFonts w:cstheme="minorBidi"/>
                <w:sz w:val="22"/>
                <w:szCs w:val="22"/>
              </w:rPr>
              <w:lastRenderedPageBreak/>
              <w:t>godinu (</w:t>
            </w:r>
            <w:r w:rsidR="000B45CC"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0B45CC"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Pr="63259912">
              <w:rPr>
                <w:rFonts w:cstheme="minorBidi"/>
                <w:sz w:val="22"/>
                <w:szCs w:val="22"/>
              </w:rPr>
              <w:t>63/</w:t>
            </w:r>
            <w:r w:rsidR="6E18134D" w:rsidRPr="63259912">
              <w:rPr>
                <w:rFonts w:cstheme="minorBidi"/>
                <w:sz w:val="22"/>
                <w:szCs w:val="22"/>
              </w:rPr>
              <w:t>21</w:t>
            </w:r>
            <w:r w:rsidR="000B45CC" w:rsidRPr="63259912">
              <w:rPr>
                <w:rFonts w:cstheme="minorBidi"/>
                <w:sz w:val="22"/>
                <w:szCs w:val="22"/>
              </w:rPr>
              <w:t>.</w:t>
            </w:r>
            <w:r w:rsidR="6E18134D" w:rsidRPr="63259912">
              <w:rPr>
                <w:rFonts w:cstheme="minorBidi"/>
                <w:sz w:val="22"/>
                <w:szCs w:val="22"/>
              </w:rPr>
              <w:t>)</w:t>
            </w:r>
          </w:p>
        </w:tc>
        <w:tc>
          <w:tcPr>
            <w:tcW w:w="1708" w:type="pct"/>
          </w:tcPr>
          <w:p w14:paraId="4C8A9E14" w14:textId="22940694" w:rsidR="002D250E" w:rsidRPr="00B255F7" w:rsidRDefault="002D250E"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lastRenderedPageBreak/>
              <w:t xml:space="preserve">Uvođenjem postrojenja za bioplin smanjenje emisija postiže se uklanjanjem emisija metana koje nastaju uslijed </w:t>
            </w:r>
            <w:r w:rsidRPr="63259912">
              <w:rPr>
                <w:rFonts w:asciiTheme="minorHAnsi" w:hAnsiTheme="minorHAnsi" w:cstheme="minorBidi"/>
                <w:sz w:val="22"/>
                <w:szCs w:val="22"/>
              </w:rPr>
              <w:lastRenderedPageBreak/>
              <w:t>odlaganja korištenog otpada te proizvodnjom električne energije iz obnovljivih izvora. Mjera je povezana s mjerama kojima se potiče korištenje OIE. Anaerobna razgradnja pomaže postrojenjima za bioplin u smanjenju izvora lako razgradivog ugljika u gnojivu koje se primjenjuje na poljoprivredno</w:t>
            </w:r>
            <w:r w:rsidR="00A248FA" w:rsidRPr="63259912">
              <w:rPr>
                <w:rFonts w:asciiTheme="minorHAnsi" w:hAnsiTheme="minorHAnsi" w:cstheme="minorBidi"/>
                <w:sz w:val="22"/>
                <w:szCs w:val="22"/>
              </w:rPr>
              <w:t>m</w:t>
            </w:r>
            <w:r w:rsidRPr="63259912">
              <w:rPr>
                <w:rFonts w:asciiTheme="minorHAnsi" w:hAnsiTheme="minorHAnsi" w:cstheme="minorBidi"/>
                <w:sz w:val="22"/>
                <w:szCs w:val="22"/>
              </w:rPr>
              <w:t xml:space="preserve"> zemljišt</w:t>
            </w:r>
            <w:r w:rsidR="00A248FA" w:rsidRPr="63259912">
              <w:rPr>
                <w:rFonts w:asciiTheme="minorHAnsi" w:hAnsiTheme="minorHAnsi" w:cstheme="minorBidi"/>
                <w:sz w:val="22"/>
                <w:szCs w:val="22"/>
              </w:rPr>
              <w:t>u</w:t>
            </w:r>
            <w:r w:rsidRPr="63259912">
              <w:rPr>
                <w:rFonts w:asciiTheme="minorHAnsi" w:hAnsiTheme="minorHAnsi" w:cstheme="minorBidi"/>
                <w:sz w:val="22"/>
                <w:szCs w:val="22"/>
              </w:rPr>
              <w:t>, ali i potencijalno smanjuje emisije N</w:t>
            </w:r>
            <w:r w:rsidRPr="63259912">
              <w:rPr>
                <w:rFonts w:asciiTheme="minorHAnsi" w:hAnsiTheme="minorHAnsi" w:cstheme="minorBidi"/>
                <w:sz w:val="22"/>
                <w:szCs w:val="22"/>
                <w:vertAlign w:val="subscript"/>
              </w:rPr>
              <w:t>2</w:t>
            </w:r>
            <w:r w:rsidRPr="63259912">
              <w:rPr>
                <w:rFonts w:asciiTheme="minorHAnsi" w:hAnsiTheme="minorHAnsi" w:cstheme="minorBidi"/>
                <w:sz w:val="22"/>
                <w:szCs w:val="22"/>
              </w:rPr>
              <w:t>O nastalih u procesu nitrifikacije.</w:t>
            </w:r>
          </w:p>
        </w:tc>
      </w:tr>
      <w:tr w:rsidR="00CE47EE" w:rsidRPr="00B255F7" w14:paraId="539F2021" w14:textId="77777777" w:rsidTr="63259912">
        <w:tc>
          <w:tcPr>
            <w:tcW w:w="1609" w:type="pct"/>
          </w:tcPr>
          <w:p w14:paraId="61CF2234" w14:textId="26E62EC6" w:rsidR="00CE47EE" w:rsidRPr="00B255F7" w:rsidRDefault="001E0162" w:rsidP="00AE4D7E">
            <w:pPr>
              <w:pStyle w:val="Default"/>
              <w:jc w:val="both"/>
              <w:rPr>
                <w:rFonts w:cstheme="minorHAnsi"/>
                <w:b/>
                <w:sz w:val="22"/>
                <w:szCs w:val="22"/>
                <w:highlight w:val="yellow"/>
              </w:rPr>
            </w:pPr>
            <w:r w:rsidRPr="00B255F7">
              <w:rPr>
                <w:rFonts w:cstheme="minorHAnsi"/>
                <w:sz w:val="22"/>
                <w:szCs w:val="22"/>
              </w:rPr>
              <w:lastRenderedPageBreak/>
              <w:t>Poboljšanje stočarskih postrojenja i sustava upravljanja životinjskim otpadom</w:t>
            </w:r>
          </w:p>
        </w:tc>
        <w:tc>
          <w:tcPr>
            <w:tcW w:w="1683" w:type="pct"/>
          </w:tcPr>
          <w:p w14:paraId="626010EF" w14:textId="0B46E31B" w:rsidR="00CE47EE" w:rsidRPr="00B255F7" w:rsidRDefault="00D96BC5" w:rsidP="63259912">
            <w:pPr>
              <w:pStyle w:val="Default"/>
              <w:jc w:val="both"/>
              <w:rPr>
                <w:rFonts w:cstheme="minorBidi"/>
                <w:sz w:val="22"/>
                <w:szCs w:val="22"/>
                <w:highlight w:val="yellow"/>
              </w:rPr>
            </w:pPr>
            <w:r w:rsidRPr="63259912">
              <w:rPr>
                <w:rFonts w:cstheme="minorBidi"/>
                <w:sz w:val="22"/>
                <w:szCs w:val="22"/>
              </w:rPr>
              <w:t>Strategija niskougljičnog razvoja Republike Hrvatske do 2030. s pogledom na 2050. godinu (</w:t>
            </w:r>
            <w:r w:rsidR="00D92894"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D92894" w:rsidRPr="63259912">
              <w:rPr>
                <w:rFonts w:cstheme="minorBidi"/>
                <w:sz w:val="22"/>
                <w:szCs w:val="22"/>
              </w:rPr>
              <w:t>“</w:t>
            </w:r>
            <w:r w:rsidR="00071A4F" w:rsidRPr="63259912">
              <w:rPr>
                <w:rFonts w:cstheme="minorBidi"/>
                <w:sz w:val="22"/>
                <w:szCs w:val="22"/>
              </w:rPr>
              <w:t>, br</w:t>
            </w:r>
            <w:r w:rsidR="00326206" w:rsidRPr="63259912">
              <w:rPr>
                <w:rFonts w:cstheme="minorBidi"/>
                <w:sz w:val="22"/>
                <w:szCs w:val="22"/>
              </w:rPr>
              <w:t>.</w:t>
            </w:r>
            <w:r w:rsidRPr="63259912">
              <w:rPr>
                <w:rFonts w:cstheme="minorBidi"/>
                <w:sz w:val="22"/>
                <w:szCs w:val="22"/>
              </w:rPr>
              <w:t xml:space="preserve"> 63/</w:t>
            </w:r>
            <w:r w:rsidR="0B6C8414" w:rsidRPr="63259912">
              <w:rPr>
                <w:rFonts w:cstheme="minorBidi"/>
                <w:sz w:val="22"/>
                <w:szCs w:val="22"/>
              </w:rPr>
              <w:t>21</w:t>
            </w:r>
            <w:r w:rsidR="00D92894" w:rsidRPr="63259912">
              <w:rPr>
                <w:rFonts w:cstheme="minorBidi"/>
                <w:sz w:val="22"/>
                <w:szCs w:val="22"/>
              </w:rPr>
              <w:t>.</w:t>
            </w:r>
            <w:r w:rsidR="0B6C8414" w:rsidRPr="63259912">
              <w:rPr>
                <w:rFonts w:cstheme="minorBidi"/>
                <w:sz w:val="22"/>
                <w:szCs w:val="22"/>
              </w:rPr>
              <w:t>)</w:t>
            </w:r>
          </w:p>
        </w:tc>
        <w:tc>
          <w:tcPr>
            <w:tcW w:w="1708" w:type="pct"/>
          </w:tcPr>
          <w:p w14:paraId="1A769E2F" w14:textId="62B3CA56" w:rsidR="00CE47EE" w:rsidRPr="00B255F7" w:rsidRDefault="00E156AD"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Pokrivanje mjesta za skladištenje gnoja – stvaranje prirodnog sloja (kore) s prirodnim (slama) ili (poroznim) umjetnim materijalom. Ova mjera smanjuje izravnu emisiju metana i amonijaka, iako u manjoj mjeri poboljšava proces nitrifikacije (porozni materijal) i uzrokuju blago povećanje emisije dušikovog oksida.</w:t>
            </w:r>
          </w:p>
        </w:tc>
      </w:tr>
      <w:tr w:rsidR="00CE47EE" w:rsidRPr="00B255F7" w14:paraId="2589809B" w14:textId="77777777" w:rsidTr="63259912">
        <w:tc>
          <w:tcPr>
            <w:tcW w:w="1609" w:type="pct"/>
          </w:tcPr>
          <w:p w14:paraId="2AF77518" w14:textId="380DE26F" w:rsidR="00CE47EE" w:rsidRPr="00B255F7" w:rsidRDefault="001E0162" w:rsidP="00AE4D7E">
            <w:pPr>
              <w:pStyle w:val="Default"/>
              <w:jc w:val="both"/>
              <w:rPr>
                <w:rFonts w:cstheme="minorHAnsi"/>
                <w:b/>
                <w:sz w:val="22"/>
                <w:szCs w:val="22"/>
                <w:highlight w:val="yellow"/>
              </w:rPr>
            </w:pPr>
            <w:r w:rsidRPr="00B255F7">
              <w:rPr>
                <w:rFonts w:cstheme="minorHAnsi"/>
                <w:sz w:val="22"/>
                <w:szCs w:val="22"/>
              </w:rPr>
              <w:t>Poboljšanje metoda primjene mineralnih gnojiva</w:t>
            </w:r>
          </w:p>
        </w:tc>
        <w:tc>
          <w:tcPr>
            <w:tcW w:w="1683" w:type="pct"/>
          </w:tcPr>
          <w:p w14:paraId="7253DF79" w14:textId="44422E05" w:rsidR="00CE47EE" w:rsidRPr="00B255F7" w:rsidRDefault="00D96BC5" w:rsidP="63259912">
            <w:pPr>
              <w:pStyle w:val="Default"/>
              <w:jc w:val="both"/>
              <w:rPr>
                <w:rFonts w:cstheme="minorBidi"/>
                <w:sz w:val="22"/>
                <w:szCs w:val="22"/>
                <w:highlight w:val="yellow"/>
              </w:rPr>
            </w:pPr>
            <w:r w:rsidRPr="63259912">
              <w:rPr>
                <w:rFonts w:cstheme="minorBidi"/>
                <w:sz w:val="22"/>
                <w:szCs w:val="22"/>
              </w:rPr>
              <w:t>Strategija niskougljičnog razvoja Republike Hrvatske do 2030. s pogledom na 2050. godinu (</w:t>
            </w:r>
            <w:r w:rsidR="00D92894"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D92894"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Pr="63259912">
              <w:rPr>
                <w:rFonts w:cstheme="minorBidi"/>
                <w:sz w:val="22"/>
                <w:szCs w:val="22"/>
              </w:rPr>
              <w:t>63/</w:t>
            </w:r>
            <w:r w:rsidR="0B6C8414" w:rsidRPr="63259912">
              <w:rPr>
                <w:rFonts w:cstheme="minorBidi"/>
                <w:sz w:val="22"/>
                <w:szCs w:val="22"/>
              </w:rPr>
              <w:t>21</w:t>
            </w:r>
            <w:r w:rsidR="00D92894" w:rsidRPr="63259912">
              <w:rPr>
                <w:rFonts w:cstheme="minorBidi"/>
                <w:sz w:val="22"/>
                <w:szCs w:val="22"/>
              </w:rPr>
              <w:t>.</w:t>
            </w:r>
            <w:r w:rsidR="0B6C8414" w:rsidRPr="63259912">
              <w:rPr>
                <w:rFonts w:cstheme="minorBidi"/>
                <w:sz w:val="22"/>
                <w:szCs w:val="22"/>
              </w:rPr>
              <w:t>)</w:t>
            </w:r>
          </w:p>
        </w:tc>
        <w:tc>
          <w:tcPr>
            <w:tcW w:w="1708" w:type="pct"/>
          </w:tcPr>
          <w:p w14:paraId="16B12949" w14:textId="56D27BF8" w:rsidR="00CE47EE" w:rsidRPr="00B255F7" w:rsidRDefault="00E156AD"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 xml:space="preserve">Primjena novih gnojiva sporog djelovanja pogodnih za uzgoj </w:t>
            </w:r>
            <w:r w:rsidR="00A31F15" w:rsidRPr="00B255F7">
              <w:rPr>
                <w:rFonts w:asciiTheme="minorHAnsi" w:hAnsiTheme="minorHAnsi" w:cstheme="minorHAnsi"/>
                <w:sz w:val="22"/>
                <w:szCs w:val="22"/>
              </w:rPr>
              <w:t xml:space="preserve">poljoprivrednih kultura </w:t>
            </w:r>
            <w:r w:rsidRPr="00B255F7">
              <w:rPr>
                <w:rFonts w:asciiTheme="minorHAnsi" w:hAnsiTheme="minorHAnsi" w:cstheme="minorHAnsi"/>
                <w:sz w:val="22"/>
                <w:szCs w:val="22"/>
              </w:rPr>
              <w:t>(gnojiva obložena polimerima). Istraživanje ukazuje na mogućnost smanjenja potrebe za primjenom gnojiva po hektaru (uslijed manjih gubitaka dušika) s nepromijenjenim ili povećanim prihodima.</w:t>
            </w:r>
          </w:p>
        </w:tc>
      </w:tr>
      <w:tr w:rsidR="001E0162" w:rsidRPr="00B255F7" w14:paraId="44FE9E9B" w14:textId="77777777" w:rsidTr="63259912">
        <w:tc>
          <w:tcPr>
            <w:tcW w:w="1609" w:type="pct"/>
          </w:tcPr>
          <w:p w14:paraId="7EFEAC6E" w14:textId="3D5552B4" w:rsidR="001E0162" w:rsidRPr="00B255F7" w:rsidRDefault="00D96BC5" w:rsidP="63259912">
            <w:pPr>
              <w:pStyle w:val="Default"/>
              <w:jc w:val="both"/>
              <w:rPr>
                <w:rFonts w:cstheme="minorBidi"/>
                <w:b/>
                <w:bCs/>
                <w:sz w:val="22"/>
                <w:szCs w:val="22"/>
                <w:highlight w:val="yellow"/>
              </w:rPr>
            </w:pPr>
            <w:r w:rsidRPr="63259912">
              <w:rPr>
                <w:rFonts w:cstheme="minorBidi"/>
                <w:sz w:val="22"/>
                <w:szCs w:val="22"/>
              </w:rPr>
              <w:t>Hidromelioracijski</w:t>
            </w:r>
            <w:r w:rsidR="001E0162" w:rsidRPr="63259912">
              <w:rPr>
                <w:rFonts w:cstheme="minorBidi"/>
                <w:sz w:val="22"/>
                <w:szCs w:val="22"/>
              </w:rPr>
              <w:t xml:space="preserve"> zahvati i sustavi zaštite od </w:t>
            </w:r>
            <w:r w:rsidRPr="63259912">
              <w:rPr>
                <w:rFonts w:cstheme="minorBidi"/>
                <w:sz w:val="22"/>
                <w:szCs w:val="22"/>
              </w:rPr>
              <w:t>nepogoda</w:t>
            </w:r>
          </w:p>
        </w:tc>
        <w:tc>
          <w:tcPr>
            <w:tcW w:w="1683" w:type="pct"/>
          </w:tcPr>
          <w:p w14:paraId="031CCE88" w14:textId="0D75781E" w:rsidR="001E0162" w:rsidRPr="00B255F7" w:rsidRDefault="00D96BC5" w:rsidP="63259912">
            <w:pPr>
              <w:pStyle w:val="Default"/>
              <w:jc w:val="both"/>
              <w:rPr>
                <w:rFonts w:cstheme="minorBidi"/>
                <w:sz w:val="22"/>
                <w:szCs w:val="22"/>
                <w:highlight w:val="yellow"/>
              </w:rPr>
            </w:pPr>
            <w:r w:rsidRPr="63259912">
              <w:rPr>
                <w:rFonts w:cstheme="minorBidi"/>
                <w:sz w:val="22"/>
                <w:szCs w:val="22"/>
              </w:rPr>
              <w:t>Strategija niskougljičnog razvoja Republike Hrvatske do 2030. s pogledom na 2050. godinu (</w:t>
            </w:r>
            <w:r w:rsidR="00FD732F"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FD732F"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Pr="63259912">
              <w:rPr>
                <w:rFonts w:cstheme="minorBidi"/>
                <w:sz w:val="22"/>
                <w:szCs w:val="22"/>
              </w:rPr>
              <w:t>63/</w:t>
            </w:r>
            <w:r w:rsidR="0B6C8414" w:rsidRPr="63259912">
              <w:rPr>
                <w:rFonts w:cstheme="minorBidi"/>
                <w:sz w:val="22"/>
                <w:szCs w:val="22"/>
              </w:rPr>
              <w:t>21</w:t>
            </w:r>
            <w:r w:rsidR="00FD732F" w:rsidRPr="63259912">
              <w:rPr>
                <w:rFonts w:cstheme="minorBidi"/>
                <w:sz w:val="22"/>
                <w:szCs w:val="22"/>
              </w:rPr>
              <w:t>.</w:t>
            </w:r>
            <w:r w:rsidR="0B6C8414" w:rsidRPr="63259912">
              <w:rPr>
                <w:rFonts w:cstheme="minorBidi"/>
                <w:sz w:val="22"/>
                <w:szCs w:val="22"/>
              </w:rPr>
              <w:t>)</w:t>
            </w:r>
          </w:p>
          <w:p w14:paraId="5DD35691" w14:textId="5D924653" w:rsidR="001E0162" w:rsidRPr="00B255F7" w:rsidRDefault="001E0162" w:rsidP="0B4FAE79">
            <w:pPr>
              <w:pStyle w:val="Default"/>
              <w:jc w:val="both"/>
              <w:rPr>
                <w:rFonts w:cstheme="minorHAnsi"/>
                <w:sz w:val="22"/>
                <w:szCs w:val="22"/>
              </w:rPr>
            </w:pPr>
          </w:p>
          <w:p w14:paraId="0B29E476" w14:textId="1CE35066" w:rsidR="001E0162" w:rsidRPr="00B255F7" w:rsidRDefault="217B2190" w:rsidP="00AE4D7E">
            <w:pPr>
              <w:pStyle w:val="Default"/>
              <w:jc w:val="both"/>
              <w:rPr>
                <w:rFonts w:cstheme="minorHAnsi"/>
                <w:sz w:val="22"/>
                <w:szCs w:val="22"/>
              </w:rPr>
            </w:pPr>
            <w:r w:rsidRPr="00B255F7">
              <w:rPr>
                <w:rFonts w:cstheme="minorHAnsi"/>
                <w:sz w:val="22"/>
                <w:szCs w:val="22"/>
              </w:rPr>
              <w:t>Strategija prilagodbe klimatskim promjenama u Republici Hrvatskoj za razdoblje do 2040. godine s pogledom na 2070. godinu (</w:t>
            </w:r>
            <w:r w:rsidR="00FD732F">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FD732F">
              <w:rPr>
                <w:rFonts w:cstheme="minorHAnsi"/>
                <w:sz w:val="22"/>
                <w:szCs w:val="22"/>
              </w:rPr>
              <w:t>“</w:t>
            </w:r>
            <w:r w:rsidR="00071A4F" w:rsidRPr="00B255F7">
              <w:rPr>
                <w:rFonts w:cstheme="minorHAnsi"/>
                <w:sz w:val="22"/>
                <w:szCs w:val="22"/>
              </w:rPr>
              <w:t xml:space="preserve">, </w:t>
            </w:r>
            <w:r w:rsidR="00326206" w:rsidRPr="00B255F7">
              <w:rPr>
                <w:rFonts w:cstheme="minorHAnsi"/>
                <w:sz w:val="22"/>
                <w:szCs w:val="22"/>
              </w:rPr>
              <w:t>br</w:t>
            </w:r>
            <w:r w:rsidR="00326206">
              <w:rPr>
                <w:rFonts w:cstheme="minorHAnsi"/>
                <w:sz w:val="22"/>
                <w:szCs w:val="22"/>
              </w:rPr>
              <w:t>.</w:t>
            </w:r>
            <w:r w:rsidR="00326206" w:rsidRPr="00B255F7">
              <w:rPr>
                <w:rFonts w:cstheme="minorHAnsi"/>
                <w:sz w:val="22"/>
                <w:szCs w:val="22"/>
              </w:rPr>
              <w:t xml:space="preserve"> </w:t>
            </w:r>
            <w:r w:rsidRPr="00B255F7">
              <w:rPr>
                <w:rFonts w:cstheme="minorHAnsi"/>
                <w:sz w:val="22"/>
                <w:szCs w:val="22"/>
              </w:rPr>
              <w:t>46/20</w:t>
            </w:r>
            <w:r w:rsidR="00FD732F">
              <w:rPr>
                <w:rFonts w:cstheme="minorHAnsi"/>
                <w:sz w:val="22"/>
                <w:szCs w:val="22"/>
              </w:rPr>
              <w:t>.</w:t>
            </w:r>
            <w:r w:rsidRPr="00B255F7">
              <w:rPr>
                <w:rFonts w:cstheme="minorHAnsi"/>
                <w:sz w:val="22"/>
                <w:szCs w:val="22"/>
              </w:rPr>
              <w:t xml:space="preserve">)  </w:t>
            </w:r>
          </w:p>
        </w:tc>
        <w:tc>
          <w:tcPr>
            <w:tcW w:w="1708" w:type="pct"/>
          </w:tcPr>
          <w:p w14:paraId="279D0C91" w14:textId="6E92E6E0" w:rsidR="001E0162" w:rsidRPr="00B255F7" w:rsidRDefault="00E156AD" w:rsidP="55103C4F">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Izgradnja sustava odvodnje, navodnjavanja i sustava zaštite od poplava, suša i ostalih prirodnih katastrofa može utjecati na smanjenje gubitka hranjivih tvari uslijed procjeđivanja i ispiranja, što za posljedicu ima smanjenu potrebu za primjenom dušika.</w:t>
            </w:r>
          </w:p>
          <w:p w14:paraId="00C0CB0B" w14:textId="07335D64" w:rsidR="001E0162" w:rsidRPr="00B255F7" w:rsidRDefault="001E0162" w:rsidP="55103C4F">
            <w:pPr>
              <w:spacing w:after="0"/>
              <w:rPr>
                <w:rFonts w:asciiTheme="minorHAnsi" w:hAnsiTheme="minorHAnsi" w:cstheme="minorHAnsi"/>
                <w:sz w:val="22"/>
                <w:szCs w:val="22"/>
              </w:rPr>
            </w:pPr>
          </w:p>
          <w:p w14:paraId="612E36F1" w14:textId="3702C5F0" w:rsidR="001E0162" w:rsidRPr="00B255F7" w:rsidRDefault="55D752C4" w:rsidP="00AE4D7E">
            <w:pPr>
              <w:spacing w:after="0"/>
              <w:rPr>
                <w:rFonts w:asciiTheme="minorHAnsi" w:hAnsiTheme="minorHAnsi" w:cstheme="minorHAnsi"/>
                <w:sz w:val="22"/>
                <w:szCs w:val="22"/>
              </w:rPr>
            </w:pPr>
            <w:r w:rsidRPr="00B255F7">
              <w:rPr>
                <w:rFonts w:asciiTheme="minorHAnsi" w:hAnsiTheme="minorHAnsi" w:cstheme="minorHAnsi"/>
                <w:sz w:val="22"/>
                <w:szCs w:val="22"/>
              </w:rPr>
              <w:t xml:space="preserve">Prema Strategiji prilagodbe  potrebno je provesti u cijelosti mjeru P-07 Obnova i izgradnja građevina za melioracijsku odvodnju </w:t>
            </w:r>
            <w:r w:rsidR="757B5A22" w:rsidRPr="00B255F7">
              <w:rPr>
                <w:rFonts w:asciiTheme="minorHAnsi" w:hAnsiTheme="minorHAnsi" w:cstheme="minorHAnsi"/>
                <w:sz w:val="22"/>
                <w:szCs w:val="22"/>
              </w:rPr>
              <w:t xml:space="preserve">kako bi se adresirala </w:t>
            </w:r>
            <w:r w:rsidR="757B5A22" w:rsidRPr="00B255F7">
              <w:rPr>
                <w:rFonts w:asciiTheme="minorHAnsi" w:hAnsiTheme="minorHAnsi" w:cstheme="minorHAnsi"/>
                <w:sz w:val="22"/>
                <w:szCs w:val="22"/>
              </w:rPr>
              <w:lastRenderedPageBreak/>
              <w:t>prilagodba klimatskim promjenama.</w:t>
            </w:r>
          </w:p>
        </w:tc>
      </w:tr>
      <w:tr w:rsidR="001E0162" w:rsidRPr="00B255F7" w14:paraId="360133EF" w14:textId="77777777" w:rsidTr="63259912">
        <w:tc>
          <w:tcPr>
            <w:tcW w:w="1609" w:type="pct"/>
          </w:tcPr>
          <w:p w14:paraId="500EFBB9" w14:textId="43C97CB5" w:rsidR="001E0162" w:rsidRPr="00B255F7" w:rsidRDefault="008B07AB" w:rsidP="00AE4D7E">
            <w:pPr>
              <w:pStyle w:val="Default"/>
              <w:jc w:val="both"/>
              <w:rPr>
                <w:rFonts w:cstheme="minorHAnsi"/>
                <w:b/>
                <w:sz w:val="22"/>
                <w:szCs w:val="22"/>
                <w:highlight w:val="yellow"/>
              </w:rPr>
            </w:pPr>
            <w:r w:rsidRPr="00B255F7">
              <w:rPr>
                <w:rFonts w:cstheme="minorHAnsi"/>
                <w:sz w:val="22"/>
                <w:szCs w:val="22"/>
              </w:rPr>
              <w:lastRenderedPageBreak/>
              <w:t>Unaprjeđivanje i promjena sustava obrade tla (reducirana obrada)</w:t>
            </w:r>
          </w:p>
        </w:tc>
        <w:tc>
          <w:tcPr>
            <w:tcW w:w="1683" w:type="pct"/>
          </w:tcPr>
          <w:p w14:paraId="2029459A" w14:textId="7F411722" w:rsidR="001E0162" w:rsidRPr="00B255F7" w:rsidRDefault="008B07AB" w:rsidP="63259912">
            <w:pPr>
              <w:pStyle w:val="Default"/>
              <w:jc w:val="both"/>
              <w:rPr>
                <w:rFonts w:cstheme="minorBidi"/>
                <w:sz w:val="22"/>
                <w:szCs w:val="22"/>
                <w:highlight w:val="yellow"/>
              </w:rPr>
            </w:pPr>
            <w:r w:rsidRPr="63259912">
              <w:rPr>
                <w:rFonts w:cstheme="minorBidi"/>
                <w:sz w:val="22"/>
                <w:szCs w:val="22"/>
              </w:rPr>
              <w:t>Strategija niskougljičnog razvoja Republike Hrvatske do 2030. s pogledom na 2050. godinu (</w:t>
            </w:r>
            <w:r w:rsidR="0050171A"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50171A"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Pr="63259912">
              <w:rPr>
                <w:rFonts w:cstheme="minorBidi"/>
                <w:sz w:val="22"/>
                <w:szCs w:val="22"/>
              </w:rPr>
              <w:t>63/</w:t>
            </w:r>
            <w:r w:rsidR="7B74E3A8" w:rsidRPr="63259912">
              <w:rPr>
                <w:rFonts w:cstheme="minorBidi"/>
                <w:sz w:val="22"/>
                <w:szCs w:val="22"/>
              </w:rPr>
              <w:t>21</w:t>
            </w:r>
            <w:r w:rsidR="0050171A" w:rsidRPr="63259912">
              <w:rPr>
                <w:rFonts w:cstheme="minorBidi"/>
                <w:sz w:val="22"/>
                <w:szCs w:val="22"/>
              </w:rPr>
              <w:t>.</w:t>
            </w:r>
            <w:r w:rsidR="7B74E3A8" w:rsidRPr="63259912">
              <w:rPr>
                <w:rFonts w:cstheme="minorBidi"/>
                <w:sz w:val="22"/>
                <w:szCs w:val="22"/>
              </w:rPr>
              <w:t>)</w:t>
            </w:r>
          </w:p>
          <w:p w14:paraId="089D0C13" w14:textId="54EAE9F1" w:rsidR="001E0162" w:rsidRPr="00B255F7" w:rsidRDefault="001E0162" w:rsidP="0B4FAE79">
            <w:pPr>
              <w:pStyle w:val="Default"/>
              <w:jc w:val="both"/>
              <w:rPr>
                <w:rFonts w:cstheme="minorHAnsi"/>
                <w:sz w:val="22"/>
                <w:szCs w:val="22"/>
              </w:rPr>
            </w:pPr>
          </w:p>
          <w:p w14:paraId="69DBD839" w14:textId="3A283F2C" w:rsidR="001E0162" w:rsidRPr="00B255F7" w:rsidRDefault="4B4D507D" w:rsidP="00AE4D7E">
            <w:pPr>
              <w:pStyle w:val="Default"/>
              <w:jc w:val="both"/>
              <w:rPr>
                <w:rFonts w:cstheme="minorHAnsi"/>
                <w:sz w:val="22"/>
                <w:szCs w:val="22"/>
              </w:rPr>
            </w:pPr>
            <w:r w:rsidRPr="00B255F7">
              <w:rPr>
                <w:rFonts w:cstheme="minorHAnsi"/>
                <w:sz w:val="22"/>
                <w:szCs w:val="22"/>
              </w:rPr>
              <w:t>Strategija prilagodbe klimatskim promjenama u Republici Hrvatskoj za razdoblje do 2040. godine s pogledom na 2070. godinu (</w:t>
            </w:r>
            <w:r w:rsidR="006C2A9A">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6C2A9A">
              <w:rPr>
                <w:rFonts w:cstheme="minorHAnsi"/>
                <w:sz w:val="22"/>
                <w:szCs w:val="22"/>
              </w:rPr>
              <w:t>“</w:t>
            </w:r>
            <w:r w:rsidR="00071A4F" w:rsidRPr="00B255F7">
              <w:rPr>
                <w:rFonts w:cstheme="minorHAnsi"/>
                <w:sz w:val="22"/>
                <w:szCs w:val="22"/>
              </w:rPr>
              <w:t xml:space="preserve">, </w:t>
            </w:r>
            <w:r w:rsidR="00326206" w:rsidRPr="00B255F7">
              <w:rPr>
                <w:rFonts w:cstheme="minorHAnsi"/>
                <w:sz w:val="22"/>
                <w:szCs w:val="22"/>
              </w:rPr>
              <w:t>br</w:t>
            </w:r>
            <w:r w:rsidR="00326206">
              <w:rPr>
                <w:rFonts w:cstheme="minorHAnsi"/>
                <w:sz w:val="22"/>
                <w:szCs w:val="22"/>
              </w:rPr>
              <w:t>.</w:t>
            </w:r>
            <w:r w:rsidR="00326206" w:rsidRPr="00B255F7">
              <w:rPr>
                <w:rFonts w:cstheme="minorHAnsi"/>
                <w:sz w:val="22"/>
                <w:szCs w:val="22"/>
              </w:rPr>
              <w:t xml:space="preserve"> </w:t>
            </w:r>
            <w:r w:rsidRPr="00B255F7">
              <w:rPr>
                <w:rFonts w:cstheme="minorHAnsi"/>
                <w:sz w:val="22"/>
                <w:szCs w:val="22"/>
              </w:rPr>
              <w:t>46/20</w:t>
            </w:r>
            <w:r w:rsidR="006C2A9A">
              <w:rPr>
                <w:rFonts w:cstheme="minorHAnsi"/>
                <w:sz w:val="22"/>
                <w:szCs w:val="22"/>
              </w:rPr>
              <w:t>.</w:t>
            </w:r>
            <w:r w:rsidRPr="00B255F7">
              <w:rPr>
                <w:rFonts w:cstheme="minorHAnsi"/>
                <w:sz w:val="22"/>
                <w:szCs w:val="22"/>
              </w:rPr>
              <w:t xml:space="preserve">)  </w:t>
            </w:r>
          </w:p>
        </w:tc>
        <w:tc>
          <w:tcPr>
            <w:tcW w:w="1708" w:type="pct"/>
          </w:tcPr>
          <w:p w14:paraId="573C8989" w14:textId="727D7D32" w:rsidR="001E0162" w:rsidRPr="00B255F7" w:rsidRDefault="008B07AB" w:rsidP="55103C4F">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Sustavi obrade tla presudno utječu na parametre koji su bitni za skladištenje vode u tlu, općenito na vodo-zračne odnose, gubitke vodom evapotranspiracijom, toplinsko stanje tla, a time i na mikrobiološku aktivnost i na disanje tla. Problematika smanjenja emisije CO</w:t>
            </w:r>
            <w:r w:rsidRPr="00B255F7">
              <w:rPr>
                <w:rFonts w:asciiTheme="minorHAnsi" w:hAnsiTheme="minorHAnsi" w:cstheme="minorHAnsi"/>
                <w:sz w:val="22"/>
                <w:szCs w:val="22"/>
                <w:vertAlign w:val="subscript"/>
              </w:rPr>
              <w:t>2</w:t>
            </w:r>
            <w:r w:rsidRPr="00B255F7">
              <w:rPr>
                <w:rFonts w:asciiTheme="minorHAnsi" w:hAnsiTheme="minorHAnsi" w:cstheme="minorHAnsi"/>
                <w:sz w:val="22"/>
                <w:szCs w:val="22"/>
              </w:rPr>
              <w:t xml:space="preserve"> iz poljoprivrednih tala u Hrvatskoj nije dovoljno istražena u lokalnim uvjetima.</w:t>
            </w:r>
          </w:p>
          <w:p w14:paraId="488F9A5B" w14:textId="74A13983" w:rsidR="001E0162" w:rsidRPr="00B255F7" w:rsidRDefault="06DCF644" w:rsidP="63259912">
            <w:pPr>
              <w:spacing w:after="0"/>
              <w:rPr>
                <w:rFonts w:asciiTheme="minorHAnsi" w:hAnsiTheme="minorHAnsi" w:cstheme="minorBidi"/>
                <w:sz w:val="22"/>
                <w:szCs w:val="22"/>
              </w:rPr>
            </w:pPr>
            <w:r w:rsidRPr="63259912">
              <w:rPr>
                <w:rFonts w:asciiTheme="minorHAnsi" w:hAnsiTheme="minorHAnsi" w:cstheme="minorBidi"/>
                <w:sz w:val="22"/>
                <w:szCs w:val="22"/>
              </w:rPr>
              <w:t>Prema Strategiji prilagodbe  potrebno je provesti u cijelosti mjeru P-03 Primjena primjerene obrade tla (npr. konzervacijska obrada tla i ostalih načina reducirane obrade tla među poljoprivrednicima) odvodnju kako bi se adresirala prilagodba klimatskim promjenama</w:t>
            </w:r>
          </w:p>
          <w:p w14:paraId="3202F1C0" w14:textId="15B90B20" w:rsidR="001E0162" w:rsidRPr="00B255F7" w:rsidRDefault="001E0162" w:rsidP="00AE4D7E">
            <w:pPr>
              <w:spacing w:after="0"/>
              <w:rPr>
                <w:rFonts w:asciiTheme="minorHAnsi" w:hAnsiTheme="minorHAnsi" w:cstheme="minorHAnsi"/>
                <w:sz w:val="22"/>
                <w:szCs w:val="22"/>
              </w:rPr>
            </w:pPr>
          </w:p>
        </w:tc>
      </w:tr>
      <w:tr w:rsidR="008B07AB" w:rsidRPr="00B255F7" w14:paraId="1D650930" w14:textId="77777777" w:rsidTr="63259912">
        <w:tc>
          <w:tcPr>
            <w:tcW w:w="1609" w:type="pct"/>
          </w:tcPr>
          <w:p w14:paraId="5F8E7CE8" w14:textId="61336D7E" w:rsidR="008B07AB" w:rsidRPr="00B255F7" w:rsidRDefault="008B07AB" w:rsidP="00AE4D7E">
            <w:pPr>
              <w:pStyle w:val="Default"/>
              <w:jc w:val="both"/>
              <w:rPr>
                <w:rFonts w:cstheme="minorHAnsi"/>
                <w:b/>
                <w:sz w:val="22"/>
                <w:szCs w:val="22"/>
                <w:highlight w:val="yellow"/>
              </w:rPr>
            </w:pPr>
            <w:r w:rsidRPr="00B255F7">
              <w:rPr>
                <w:rFonts w:cstheme="minorHAnsi"/>
                <w:sz w:val="22"/>
                <w:szCs w:val="22"/>
              </w:rPr>
              <w:t>Proširenje plodoreda s većim učešćem leguminoza</w:t>
            </w:r>
          </w:p>
        </w:tc>
        <w:tc>
          <w:tcPr>
            <w:tcW w:w="1683" w:type="pct"/>
          </w:tcPr>
          <w:p w14:paraId="785AAD90" w14:textId="28CC0244" w:rsidR="008B07AB" w:rsidRPr="00B255F7" w:rsidRDefault="008B07AB" w:rsidP="63259912">
            <w:pPr>
              <w:pStyle w:val="Default"/>
              <w:jc w:val="both"/>
              <w:rPr>
                <w:rFonts w:cstheme="minorBidi"/>
                <w:sz w:val="22"/>
                <w:szCs w:val="22"/>
                <w:highlight w:val="yellow"/>
              </w:rPr>
            </w:pPr>
            <w:r w:rsidRPr="63259912">
              <w:rPr>
                <w:rFonts w:cstheme="minorBidi"/>
                <w:sz w:val="22"/>
                <w:szCs w:val="22"/>
              </w:rPr>
              <w:t xml:space="preserve">Strategija niskougljičnog razvoja Republike Hrvatske do 2030. s pogledom na 2050. godinu </w:t>
            </w:r>
            <w:r w:rsidR="00EB08F1" w:rsidRPr="63259912">
              <w:rPr>
                <w:rFonts w:cstheme="minorBidi"/>
                <w:sz w:val="22"/>
                <w:szCs w:val="22"/>
              </w:rPr>
              <w:t xml:space="preserve">(„Narodne novine“, br. </w:t>
            </w:r>
            <w:r w:rsidRPr="63259912">
              <w:rPr>
                <w:rFonts w:cstheme="minorBidi"/>
                <w:sz w:val="22"/>
                <w:szCs w:val="22"/>
              </w:rPr>
              <w:t>63/</w:t>
            </w:r>
            <w:r w:rsidR="7B74E3A8" w:rsidRPr="63259912">
              <w:rPr>
                <w:rFonts w:cstheme="minorBidi"/>
                <w:sz w:val="22"/>
                <w:szCs w:val="22"/>
              </w:rPr>
              <w:t>21</w:t>
            </w:r>
            <w:r w:rsidR="009A5B56" w:rsidRPr="63259912">
              <w:rPr>
                <w:rFonts w:cstheme="minorBidi"/>
                <w:sz w:val="22"/>
                <w:szCs w:val="22"/>
              </w:rPr>
              <w:t>.</w:t>
            </w:r>
            <w:r w:rsidR="7B74E3A8" w:rsidRPr="63259912">
              <w:rPr>
                <w:rFonts w:cstheme="minorBidi"/>
                <w:sz w:val="22"/>
                <w:szCs w:val="22"/>
              </w:rPr>
              <w:t>)</w:t>
            </w:r>
          </w:p>
        </w:tc>
        <w:tc>
          <w:tcPr>
            <w:tcW w:w="1708" w:type="pct"/>
          </w:tcPr>
          <w:p w14:paraId="49C172FC" w14:textId="7C4490A9" w:rsidR="008B07AB" w:rsidRPr="00B255F7" w:rsidRDefault="008B07AB"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Plodored je sustav biljne proizvodnje koji se prakticira na oranicama, a predstavlja pravilnu, prostornu ii vremensku izmjenu usjeva. Sjetva leguminoznih usjeva ima mnogostruke povoljne učinke za poljoprivredna tla; Na ovaj način se veže atmosferski dušik, koji se odmah koristi za sintezu bjelančevina, sprječava se opasnost od onečišćenja podzemnih voda nitratima, tlo se obogaćuje organskom tvari, održava se plodnost te pojedini usjevi (djetelina) mogu biti učinkoviti kod sekvestracij</w:t>
            </w:r>
            <w:r w:rsidR="000E16DF" w:rsidRPr="63259912">
              <w:rPr>
                <w:rFonts w:asciiTheme="minorHAnsi" w:hAnsiTheme="minorHAnsi" w:cstheme="minorBidi"/>
                <w:sz w:val="22"/>
                <w:szCs w:val="22"/>
              </w:rPr>
              <w:t>e</w:t>
            </w:r>
            <w:r w:rsidRPr="63259912">
              <w:rPr>
                <w:rFonts w:asciiTheme="minorHAnsi" w:hAnsiTheme="minorHAnsi" w:cstheme="minorBidi"/>
                <w:sz w:val="22"/>
                <w:szCs w:val="22"/>
              </w:rPr>
              <w:t xml:space="preserve"> ugljik</w:t>
            </w:r>
            <w:r w:rsidR="000E16DF" w:rsidRPr="63259912">
              <w:rPr>
                <w:rFonts w:asciiTheme="minorHAnsi" w:hAnsiTheme="minorHAnsi" w:cstheme="minorBidi"/>
                <w:sz w:val="22"/>
                <w:szCs w:val="22"/>
              </w:rPr>
              <w:t>a</w:t>
            </w:r>
            <w:r w:rsidRPr="63259912">
              <w:rPr>
                <w:rFonts w:asciiTheme="minorHAnsi" w:hAnsiTheme="minorHAnsi" w:cstheme="minorBidi"/>
                <w:sz w:val="22"/>
                <w:szCs w:val="22"/>
              </w:rPr>
              <w:t xml:space="preserve"> u tlu.</w:t>
            </w:r>
          </w:p>
        </w:tc>
      </w:tr>
      <w:tr w:rsidR="0072218D" w:rsidRPr="00B255F7" w14:paraId="0C3A1F18" w14:textId="77777777" w:rsidTr="63259912">
        <w:tc>
          <w:tcPr>
            <w:tcW w:w="1609" w:type="pct"/>
          </w:tcPr>
          <w:p w14:paraId="2FBECDF4" w14:textId="47B95D77" w:rsidR="0072218D" w:rsidRPr="00B255F7" w:rsidRDefault="0072218D" w:rsidP="00AE4D7E">
            <w:pPr>
              <w:pStyle w:val="Default"/>
              <w:jc w:val="both"/>
              <w:rPr>
                <w:rFonts w:cstheme="minorHAnsi"/>
                <w:b/>
                <w:sz w:val="22"/>
                <w:szCs w:val="22"/>
                <w:highlight w:val="yellow"/>
              </w:rPr>
            </w:pPr>
            <w:r w:rsidRPr="00B255F7">
              <w:rPr>
                <w:rFonts w:cstheme="minorHAnsi"/>
                <w:sz w:val="22"/>
                <w:szCs w:val="22"/>
              </w:rPr>
              <w:t>Uvođenje novih kultivara, sorti i vrsta</w:t>
            </w:r>
          </w:p>
        </w:tc>
        <w:tc>
          <w:tcPr>
            <w:tcW w:w="1683" w:type="pct"/>
          </w:tcPr>
          <w:p w14:paraId="2348BED8" w14:textId="0A495FC7" w:rsidR="0072218D" w:rsidRPr="00B255F7" w:rsidRDefault="0072218D" w:rsidP="63259912">
            <w:pPr>
              <w:pStyle w:val="Default"/>
              <w:jc w:val="both"/>
              <w:rPr>
                <w:rFonts w:cstheme="minorBidi"/>
                <w:sz w:val="22"/>
                <w:szCs w:val="22"/>
                <w:highlight w:val="yellow"/>
              </w:rPr>
            </w:pPr>
            <w:r w:rsidRPr="63259912">
              <w:rPr>
                <w:rFonts w:cstheme="minorBidi"/>
                <w:sz w:val="22"/>
                <w:szCs w:val="22"/>
              </w:rPr>
              <w:t>Strategija niskougljičnog razvoja Republike Hrvatske do 2030. s pogledom na 2050. godinu (</w:t>
            </w:r>
            <w:r w:rsidR="009A5B56"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9A5B56" w:rsidRPr="63259912">
              <w:rPr>
                <w:rFonts w:cstheme="minorBidi"/>
                <w:sz w:val="22"/>
                <w:szCs w:val="22"/>
              </w:rPr>
              <w:t>“</w:t>
            </w:r>
            <w:r w:rsidR="00071A4F" w:rsidRPr="63259912">
              <w:rPr>
                <w:rFonts w:cstheme="minorBidi"/>
                <w:sz w:val="22"/>
                <w:szCs w:val="22"/>
              </w:rPr>
              <w:t xml:space="preserve">, </w:t>
            </w:r>
            <w:r w:rsidR="00326206" w:rsidRPr="63259912">
              <w:rPr>
                <w:rFonts w:cstheme="minorBidi"/>
                <w:sz w:val="22"/>
                <w:szCs w:val="22"/>
              </w:rPr>
              <w:t xml:space="preserve">br. </w:t>
            </w:r>
            <w:r w:rsidRPr="63259912">
              <w:rPr>
                <w:rFonts w:cstheme="minorBidi"/>
                <w:sz w:val="22"/>
                <w:szCs w:val="22"/>
              </w:rPr>
              <w:t>63/</w:t>
            </w:r>
            <w:r w:rsidR="1FC28E32" w:rsidRPr="63259912">
              <w:rPr>
                <w:rFonts w:cstheme="minorBidi"/>
                <w:sz w:val="22"/>
                <w:szCs w:val="22"/>
              </w:rPr>
              <w:t>21</w:t>
            </w:r>
            <w:r w:rsidR="009A5B56" w:rsidRPr="63259912">
              <w:rPr>
                <w:rFonts w:cstheme="minorBidi"/>
                <w:sz w:val="22"/>
                <w:szCs w:val="22"/>
              </w:rPr>
              <w:t>.</w:t>
            </w:r>
            <w:r w:rsidR="1FC28E32" w:rsidRPr="63259912">
              <w:rPr>
                <w:rFonts w:cstheme="minorBidi"/>
                <w:sz w:val="22"/>
                <w:szCs w:val="22"/>
              </w:rPr>
              <w:t>)</w:t>
            </w:r>
          </w:p>
          <w:p w14:paraId="5A3FAB69" w14:textId="76404220" w:rsidR="0072218D" w:rsidRPr="00B255F7" w:rsidRDefault="0072218D" w:rsidP="15F8177A">
            <w:pPr>
              <w:pStyle w:val="Default"/>
              <w:jc w:val="both"/>
              <w:rPr>
                <w:rFonts w:cstheme="minorHAnsi"/>
                <w:sz w:val="22"/>
                <w:szCs w:val="22"/>
              </w:rPr>
            </w:pPr>
          </w:p>
          <w:p w14:paraId="619C452A" w14:textId="4599024A" w:rsidR="0072218D" w:rsidRPr="00B255F7" w:rsidRDefault="0072218D" w:rsidP="15F8177A">
            <w:pPr>
              <w:pStyle w:val="Default"/>
              <w:jc w:val="both"/>
              <w:rPr>
                <w:rFonts w:cstheme="minorHAnsi"/>
                <w:sz w:val="22"/>
                <w:szCs w:val="22"/>
              </w:rPr>
            </w:pPr>
          </w:p>
          <w:p w14:paraId="45EFCB0E" w14:textId="2EA3B8FF" w:rsidR="0072218D" w:rsidRPr="00B255F7" w:rsidRDefault="42735E3C" w:rsidP="00D17E83">
            <w:pPr>
              <w:pStyle w:val="Default"/>
              <w:jc w:val="both"/>
              <w:rPr>
                <w:rFonts w:cstheme="minorHAnsi"/>
                <w:sz w:val="22"/>
                <w:szCs w:val="22"/>
              </w:rPr>
            </w:pPr>
            <w:r w:rsidRPr="00B255F7">
              <w:rPr>
                <w:rFonts w:cstheme="minorHAnsi"/>
                <w:sz w:val="22"/>
                <w:szCs w:val="22"/>
              </w:rPr>
              <w:lastRenderedPageBreak/>
              <w:t>Strategija prilagodbe klimatskim promjenama u Republici Hrvatskoj za razdoblje do 2040. godine s pogledom na 2070. godinu (</w:t>
            </w:r>
            <w:r w:rsidR="00E33FA7">
              <w:rPr>
                <w:rFonts w:cstheme="minorHAnsi"/>
                <w:sz w:val="22"/>
                <w:szCs w:val="22"/>
              </w:rPr>
              <w:t>„</w:t>
            </w:r>
            <w:r w:rsidR="00071A4F" w:rsidRPr="00B255F7">
              <w:rPr>
                <w:rFonts w:cstheme="minorHAnsi"/>
                <w:sz w:val="22"/>
                <w:szCs w:val="22"/>
              </w:rPr>
              <w:t xml:space="preserve">Narodne </w:t>
            </w:r>
            <w:r w:rsidR="00A97AE7" w:rsidRPr="00B255F7">
              <w:rPr>
                <w:rFonts w:cstheme="minorHAnsi"/>
                <w:sz w:val="22"/>
                <w:szCs w:val="22"/>
              </w:rPr>
              <w:t>novine</w:t>
            </w:r>
            <w:r w:rsidR="00E33FA7">
              <w:rPr>
                <w:rFonts w:cstheme="minorHAnsi"/>
                <w:sz w:val="22"/>
                <w:szCs w:val="22"/>
              </w:rPr>
              <w:t>“</w:t>
            </w:r>
            <w:r w:rsidR="00071A4F" w:rsidRPr="00B255F7">
              <w:rPr>
                <w:rFonts w:cstheme="minorHAnsi"/>
                <w:sz w:val="22"/>
                <w:szCs w:val="22"/>
              </w:rPr>
              <w:t xml:space="preserve">, </w:t>
            </w:r>
            <w:r w:rsidR="00326206" w:rsidRPr="00B255F7">
              <w:rPr>
                <w:rFonts w:cstheme="minorHAnsi"/>
                <w:sz w:val="22"/>
                <w:szCs w:val="22"/>
              </w:rPr>
              <w:t>br</w:t>
            </w:r>
            <w:r w:rsidR="00326206">
              <w:rPr>
                <w:rFonts w:cstheme="minorHAnsi"/>
                <w:sz w:val="22"/>
                <w:szCs w:val="22"/>
              </w:rPr>
              <w:t>.</w:t>
            </w:r>
            <w:r w:rsidR="00326206" w:rsidRPr="00B255F7">
              <w:rPr>
                <w:rFonts w:cstheme="minorHAnsi"/>
                <w:sz w:val="22"/>
                <w:szCs w:val="22"/>
              </w:rPr>
              <w:t xml:space="preserve"> </w:t>
            </w:r>
            <w:r w:rsidRPr="00B255F7">
              <w:rPr>
                <w:rFonts w:cstheme="minorHAnsi"/>
                <w:sz w:val="22"/>
                <w:szCs w:val="22"/>
              </w:rPr>
              <w:t>46/20</w:t>
            </w:r>
            <w:r w:rsidR="00E33FA7">
              <w:rPr>
                <w:rFonts w:cstheme="minorHAnsi"/>
                <w:sz w:val="22"/>
                <w:szCs w:val="22"/>
              </w:rPr>
              <w:t>.</w:t>
            </w:r>
            <w:r w:rsidRPr="00B255F7">
              <w:rPr>
                <w:rFonts w:cstheme="minorHAnsi"/>
                <w:sz w:val="22"/>
                <w:szCs w:val="22"/>
              </w:rPr>
              <w:t>)</w:t>
            </w:r>
          </w:p>
        </w:tc>
        <w:tc>
          <w:tcPr>
            <w:tcW w:w="1708" w:type="pct"/>
          </w:tcPr>
          <w:p w14:paraId="783FF70F" w14:textId="033F4FD3" w:rsidR="0072218D" w:rsidRPr="00B255F7" w:rsidRDefault="0072218D" w:rsidP="55103C4F">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lastRenderedPageBreak/>
              <w:t xml:space="preserve">Poticanje razvoja, obrazovanja i primjene tehnologija na nacionalnoj i regionalnoj razini, poticanje prijelaza i prilagodbe cijelog proizvodnog lanca za proizvodnju novih usjeva ili omogućavanje i poticanje </w:t>
            </w:r>
            <w:r w:rsidRPr="00B255F7">
              <w:rPr>
                <w:rFonts w:asciiTheme="minorHAnsi" w:hAnsiTheme="minorHAnsi" w:cstheme="minorHAnsi"/>
                <w:sz w:val="22"/>
                <w:szCs w:val="22"/>
              </w:rPr>
              <w:lastRenderedPageBreak/>
              <w:t>primjene kultivara i sorti koje su otpornije na sušu i bolesti te imaju niži ugljični otisak. To je, uz druge prednosti, usmjereno prema smanjenju potrebe za uvođenjem dušika u tlo kroz gnojiva.</w:t>
            </w:r>
          </w:p>
          <w:p w14:paraId="0CE3BB1D" w14:textId="316F5A4D" w:rsidR="0072218D" w:rsidRPr="00B255F7" w:rsidRDefault="3CF77AB0" w:rsidP="55103C4F">
            <w:pPr>
              <w:spacing w:after="0"/>
              <w:rPr>
                <w:rFonts w:asciiTheme="minorHAnsi" w:hAnsiTheme="minorHAnsi" w:cstheme="minorHAnsi"/>
                <w:sz w:val="22"/>
                <w:szCs w:val="22"/>
              </w:rPr>
            </w:pPr>
            <w:r w:rsidRPr="00B255F7">
              <w:rPr>
                <w:rFonts w:asciiTheme="minorHAnsi" w:hAnsiTheme="minorHAnsi" w:cstheme="minorHAnsi"/>
                <w:sz w:val="22"/>
                <w:szCs w:val="22"/>
              </w:rPr>
              <w:t>Prema Strategiji prilagodbe  potrebno je provesti u cijelosti mjeru P-04 Uzgoj vrsta i sorti poljoprivrednih kultura za prehrambeni i neprehrambeni lanac te pasmina domaćih životinja koje su otpornije na klimatske promjene kako bi se adresirala prilagodba klimatskim promjenama</w:t>
            </w:r>
          </w:p>
          <w:p w14:paraId="1B4DA185" w14:textId="64DD5C6E" w:rsidR="0072218D" w:rsidRPr="00B255F7" w:rsidRDefault="0072218D" w:rsidP="00AE4D7E">
            <w:pPr>
              <w:spacing w:after="0"/>
              <w:rPr>
                <w:rFonts w:asciiTheme="minorHAnsi" w:hAnsiTheme="minorHAnsi" w:cstheme="minorHAnsi"/>
                <w:sz w:val="22"/>
                <w:szCs w:val="22"/>
              </w:rPr>
            </w:pPr>
          </w:p>
        </w:tc>
      </w:tr>
      <w:tr w:rsidR="0072218D" w:rsidRPr="00B255F7" w14:paraId="3B1D0B46" w14:textId="77777777" w:rsidTr="63259912">
        <w:tc>
          <w:tcPr>
            <w:tcW w:w="1609" w:type="pct"/>
          </w:tcPr>
          <w:p w14:paraId="6E115C83" w14:textId="53D45E9F" w:rsidR="0072218D" w:rsidRPr="00B255F7" w:rsidRDefault="0072218D" w:rsidP="00AE4D7E">
            <w:pPr>
              <w:pStyle w:val="Default"/>
              <w:jc w:val="both"/>
              <w:rPr>
                <w:rFonts w:cstheme="minorHAnsi"/>
                <w:b/>
                <w:sz w:val="22"/>
                <w:szCs w:val="22"/>
                <w:highlight w:val="yellow"/>
              </w:rPr>
            </w:pPr>
            <w:r w:rsidRPr="00B255F7">
              <w:rPr>
                <w:rFonts w:cstheme="minorHAnsi"/>
                <w:sz w:val="22"/>
                <w:szCs w:val="22"/>
              </w:rPr>
              <w:lastRenderedPageBreak/>
              <w:t>Poboljšanje metoda primjene organskih gnojiva</w:t>
            </w:r>
          </w:p>
        </w:tc>
        <w:tc>
          <w:tcPr>
            <w:tcW w:w="1683" w:type="pct"/>
          </w:tcPr>
          <w:p w14:paraId="2B16F2F8" w14:textId="37A457A1" w:rsidR="0072218D" w:rsidRPr="00B255F7" w:rsidRDefault="0072218D" w:rsidP="63259912">
            <w:pPr>
              <w:pStyle w:val="Default"/>
              <w:jc w:val="both"/>
              <w:rPr>
                <w:rFonts w:cstheme="minorBidi"/>
                <w:sz w:val="22"/>
                <w:szCs w:val="22"/>
                <w:highlight w:val="yellow"/>
              </w:rPr>
            </w:pPr>
            <w:r w:rsidRPr="63259912">
              <w:rPr>
                <w:rFonts w:cstheme="minorBidi"/>
                <w:sz w:val="22"/>
                <w:szCs w:val="22"/>
              </w:rPr>
              <w:t xml:space="preserve">Strategija niskougljičnog razvoja Republike Hrvatske do 2030. s pogledom na 2050. </w:t>
            </w:r>
            <w:r w:rsidR="346B886E" w:rsidRPr="63259912">
              <w:rPr>
                <w:rFonts w:cstheme="minorBidi"/>
                <w:sz w:val="22"/>
                <w:szCs w:val="22"/>
              </w:rPr>
              <w:t xml:space="preserve">godinu </w:t>
            </w:r>
            <w:r w:rsidR="00EB08F1" w:rsidRPr="63259912">
              <w:rPr>
                <w:rFonts w:cstheme="minorBidi"/>
                <w:sz w:val="22"/>
                <w:szCs w:val="22"/>
              </w:rPr>
              <w:t xml:space="preserve">(„Narodne novine“, br. </w:t>
            </w:r>
            <w:r w:rsidR="346B886E" w:rsidRPr="63259912">
              <w:rPr>
                <w:rFonts w:cstheme="minorBidi"/>
                <w:sz w:val="22"/>
                <w:szCs w:val="22"/>
              </w:rPr>
              <w:t>63/21</w:t>
            </w:r>
            <w:r w:rsidR="00FA1C28" w:rsidRPr="63259912">
              <w:rPr>
                <w:rFonts w:cstheme="minorBidi"/>
                <w:sz w:val="22"/>
                <w:szCs w:val="22"/>
              </w:rPr>
              <w:t>.</w:t>
            </w:r>
            <w:r w:rsidR="346B886E" w:rsidRPr="63259912">
              <w:rPr>
                <w:rFonts w:cstheme="minorBidi"/>
                <w:sz w:val="22"/>
                <w:szCs w:val="22"/>
              </w:rPr>
              <w:t>)</w:t>
            </w:r>
          </w:p>
        </w:tc>
        <w:tc>
          <w:tcPr>
            <w:tcW w:w="1708" w:type="pct"/>
          </w:tcPr>
          <w:p w14:paraId="2A73E4CB" w14:textId="6477DA3E" w:rsidR="0072218D" w:rsidRPr="00B255F7" w:rsidRDefault="0072218D"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 xml:space="preserve">Istraživanja povećanja sekvestracije ugljika u tlu </w:t>
            </w:r>
            <w:r w:rsidR="17EC69BE" w:rsidRPr="00B255F7">
              <w:rPr>
                <w:rFonts w:asciiTheme="minorHAnsi" w:hAnsiTheme="minorHAnsi" w:cstheme="minorHAnsi"/>
                <w:sz w:val="22"/>
                <w:szCs w:val="22"/>
              </w:rPr>
              <w:t>unaprjeđenjem</w:t>
            </w:r>
            <w:r w:rsidRPr="00B255F7">
              <w:rPr>
                <w:rFonts w:asciiTheme="minorHAnsi" w:hAnsiTheme="minorHAnsi" w:cstheme="minorHAnsi"/>
                <w:sz w:val="22"/>
                <w:szCs w:val="22"/>
              </w:rPr>
              <w:t xml:space="preserve"> metodologije primjene organskih gnojiva. Organska gnojiva puno jače potiču aktivnost mikroba tla u odnosu na mineralna gnojiva i njima se unosi u tlo mnogo manje soli i kiselina.</w:t>
            </w:r>
          </w:p>
        </w:tc>
      </w:tr>
      <w:tr w:rsidR="001B1631" w:rsidRPr="00B255F7" w14:paraId="1A0A25C2" w14:textId="77777777" w:rsidTr="63259912">
        <w:tc>
          <w:tcPr>
            <w:tcW w:w="1609" w:type="pct"/>
          </w:tcPr>
          <w:p w14:paraId="55DFC88C" w14:textId="010B8C1A" w:rsidR="001B1631" w:rsidRPr="00B255F7" w:rsidRDefault="001B1631" w:rsidP="63259912">
            <w:pPr>
              <w:pStyle w:val="Default"/>
              <w:jc w:val="both"/>
              <w:rPr>
                <w:rFonts w:cstheme="minorBidi"/>
                <w:b/>
                <w:bCs/>
                <w:sz w:val="22"/>
                <w:szCs w:val="22"/>
                <w:highlight w:val="yellow"/>
              </w:rPr>
            </w:pPr>
            <w:r w:rsidRPr="63259912">
              <w:rPr>
                <w:rFonts w:cstheme="minorBidi"/>
                <w:sz w:val="22"/>
                <w:szCs w:val="22"/>
              </w:rPr>
              <w:t>Agrošumarstvo</w:t>
            </w:r>
          </w:p>
        </w:tc>
        <w:tc>
          <w:tcPr>
            <w:tcW w:w="1683" w:type="pct"/>
          </w:tcPr>
          <w:p w14:paraId="25D5DE35" w14:textId="04BECA4D" w:rsidR="001B1631" w:rsidRPr="00B255F7" w:rsidRDefault="001B1631" w:rsidP="63259912">
            <w:pPr>
              <w:pStyle w:val="Default"/>
              <w:jc w:val="both"/>
              <w:rPr>
                <w:rFonts w:cstheme="minorBidi"/>
                <w:sz w:val="22"/>
                <w:szCs w:val="22"/>
                <w:highlight w:val="yellow"/>
              </w:rPr>
            </w:pPr>
            <w:r w:rsidRPr="63259912">
              <w:rPr>
                <w:rFonts w:cstheme="minorBidi"/>
                <w:sz w:val="22"/>
                <w:szCs w:val="22"/>
              </w:rPr>
              <w:t xml:space="preserve">Strategija niskougljičnog razvoja Republike Hrvatske do 2030. s pogledom na 2050. godinu </w:t>
            </w:r>
            <w:r w:rsidR="00EB08F1" w:rsidRPr="63259912">
              <w:rPr>
                <w:rFonts w:cstheme="minorBidi"/>
                <w:sz w:val="22"/>
                <w:szCs w:val="22"/>
              </w:rPr>
              <w:t xml:space="preserve">(„Narodne novine“, br. </w:t>
            </w:r>
            <w:r w:rsidRPr="63259912">
              <w:rPr>
                <w:rFonts w:cstheme="minorBidi"/>
                <w:sz w:val="22"/>
                <w:szCs w:val="22"/>
              </w:rPr>
              <w:t>63/</w:t>
            </w:r>
            <w:r w:rsidR="4DC565E3" w:rsidRPr="63259912">
              <w:rPr>
                <w:rFonts w:cstheme="minorBidi"/>
                <w:sz w:val="22"/>
                <w:szCs w:val="22"/>
              </w:rPr>
              <w:t>21</w:t>
            </w:r>
            <w:r w:rsidR="00FA1C28" w:rsidRPr="63259912">
              <w:rPr>
                <w:rFonts w:cstheme="minorBidi"/>
                <w:sz w:val="22"/>
                <w:szCs w:val="22"/>
              </w:rPr>
              <w:t>.</w:t>
            </w:r>
            <w:r w:rsidR="4DC565E3" w:rsidRPr="63259912">
              <w:rPr>
                <w:rFonts w:cstheme="minorBidi"/>
                <w:sz w:val="22"/>
                <w:szCs w:val="22"/>
              </w:rPr>
              <w:t>)</w:t>
            </w:r>
          </w:p>
          <w:p w14:paraId="404CD5F3" w14:textId="0903E094" w:rsidR="001B1631" w:rsidRPr="00B255F7" w:rsidRDefault="001B1631" w:rsidP="0B4FAE79">
            <w:pPr>
              <w:pStyle w:val="Default"/>
              <w:jc w:val="both"/>
              <w:rPr>
                <w:rFonts w:cstheme="minorHAnsi"/>
                <w:sz w:val="22"/>
                <w:szCs w:val="22"/>
              </w:rPr>
            </w:pPr>
          </w:p>
          <w:p w14:paraId="051D7390" w14:textId="0D87B8B8" w:rsidR="001B1631" w:rsidRPr="00B255F7" w:rsidRDefault="399EF3E8" w:rsidP="00AE4D7E">
            <w:pPr>
              <w:pStyle w:val="Default"/>
              <w:jc w:val="both"/>
              <w:rPr>
                <w:rFonts w:cstheme="minorHAnsi"/>
                <w:sz w:val="22"/>
                <w:szCs w:val="22"/>
              </w:rPr>
            </w:pPr>
            <w:r w:rsidRPr="00B255F7">
              <w:rPr>
                <w:rFonts w:cstheme="minorHAnsi"/>
                <w:sz w:val="22"/>
                <w:szCs w:val="22"/>
              </w:rPr>
              <w:t xml:space="preserve">Strategija prilagodbe klimatskim promjenama u Republici Hrvatskoj za razdoblje do 2040. godine s pogledom na 2070. godinu </w:t>
            </w:r>
            <w:r w:rsidR="00EB08F1">
              <w:rPr>
                <w:rFonts w:cstheme="minorHAnsi"/>
                <w:sz w:val="22"/>
                <w:szCs w:val="22"/>
              </w:rPr>
              <w:t xml:space="preserve">(„Narodne novine“, br. </w:t>
            </w:r>
            <w:r w:rsidRPr="00B255F7">
              <w:rPr>
                <w:rFonts w:cstheme="minorHAnsi"/>
                <w:sz w:val="22"/>
                <w:szCs w:val="22"/>
              </w:rPr>
              <w:t>46/20</w:t>
            </w:r>
            <w:r w:rsidR="00002AD9">
              <w:rPr>
                <w:rFonts w:cstheme="minorHAnsi"/>
                <w:sz w:val="22"/>
                <w:szCs w:val="22"/>
              </w:rPr>
              <w:t>.</w:t>
            </w:r>
            <w:r w:rsidRPr="00B255F7">
              <w:rPr>
                <w:rFonts w:cstheme="minorHAnsi"/>
                <w:sz w:val="22"/>
                <w:szCs w:val="22"/>
              </w:rPr>
              <w:t>)</w:t>
            </w:r>
          </w:p>
        </w:tc>
        <w:tc>
          <w:tcPr>
            <w:tcW w:w="1708" w:type="pct"/>
          </w:tcPr>
          <w:p w14:paraId="4FAEACA3" w14:textId="5B1F2437" w:rsidR="001B1631" w:rsidRPr="00B255F7" w:rsidRDefault="001B1631"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Definiranje potencijala i pogodnosti raznih agrošumarskih tehnologija s ciljem povećanja sekvestracije ugljika u tlu. Agrošumarstvo obuhvaća tehnologije koje se primjenjuju u šumarstvu i poljoprivredi s ciljem stvaranja veće proizvodnosti, ekonomske opravdanosti, ekološke prihvatljivosti i održivog korištenja zemljišta.</w:t>
            </w:r>
          </w:p>
          <w:p w14:paraId="189BC5C0" w14:textId="7982FF52" w:rsidR="001B1631" w:rsidRPr="00B255F7" w:rsidRDefault="001B1631" w:rsidP="55103C4F">
            <w:pPr>
              <w:spacing w:after="0"/>
              <w:rPr>
                <w:rFonts w:asciiTheme="minorHAnsi" w:hAnsiTheme="minorHAnsi" w:cstheme="minorHAnsi"/>
                <w:sz w:val="22"/>
                <w:szCs w:val="22"/>
              </w:rPr>
            </w:pPr>
          </w:p>
          <w:p w14:paraId="55E7007A" w14:textId="22ECCFC3" w:rsidR="001B1631" w:rsidRPr="00B255F7" w:rsidRDefault="16678907" w:rsidP="00AE4D7E">
            <w:pPr>
              <w:spacing w:after="0"/>
              <w:rPr>
                <w:rFonts w:asciiTheme="minorHAnsi" w:hAnsiTheme="minorHAnsi" w:cstheme="minorHAnsi"/>
                <w:sz w:val="22"/>
                <w:szCs w:val="22"/>
              </w:rPr>
            </w:pPr>
            <w:r w:rsidRPr="00B255F7">
              <w:rPr>
                <w:rFonts w:asciiTheme="minorHAnsi" w:hAnsiTheme="minorHAnsi" w:cstheme="minorHAnsi"/>
                <w:sz w:val="22"/>
                <w:szCs w:val="22"/>
              </w:rPr>
              <w:t xml:space="preserve">Prema Strategiji prilagodbe  potrebno je provesti u cijelosti mjere </w:t>
            </w:r>
            <w:r w:rsidR="06E426A2" w:rsidRPr="00B255F7">
              <w:rPr>
                <w:rFonts w:asciiTheme="minorHAnsi" w:hAnsiTheme="minorHAnsi" w:cstheme="minorHAnsi"/>
                <w:sz w:val="22"/>
                <w:szCs w:val="22"/>
              </w:rPr>
              <w:t>ŠU-01,</w:t>
            </w:r>
            <w:r w:rsidRPr="00B255F7">
              <w:rPr>
                <w:rFonts w:asciiTheme="minorHAnsi" w:hAnsiTheme="minorHAnsi" w:cstheme="minorHAnsi"/>
                <w:sz w:val="22"/>
                <w:szCs w:val="22"/>
              </w:rPr>
              <w:t xml:space="preserve"> </w:t>
            </w:r>
            <w:r w:rsidR="4DD0F380" w:rsidRPr="00B255F7">
              <w:rPr>
                <w:rFonts w:asciiTheme="minorHAnsi" w:hAnsiTheme="minorHAnsi" w:cstheme="minorHAnsi"/>
                <w:sz w:val="22"/>
                <w:szCs w:val="22"/>
              </w:rPr>
              <w:t xml:space="preserve">ŠU-02, ŠU-03, ŠU-04, ŠU-05, ŠU-06, ŠU-07, ŠU-08, ŠU-09, ŠU-10, ŠU-11, ŠU-12. </w:t>
            </w:r>
            <w:r w:rsidRPr="00B255F7">
              <w:rPr>
                <w:rFonts w:asciiTheme="minorHAnsi" w:hAnsiTheme="minorHAnsi" w:cstheme="minorHAnsi"/>
                <w:sz w:val="22"/>
                <w:szCs w:val="22"/>
              </w:rPr>
              <w:t>kako bi se adresirala prilagodba klimatskim promjenama</w:t>
            </w:r>
            <w:r w:rsidR="0101C260" w:rsidRPr="00B255F7">
              <w:rPr>
                <w:rFonts w:asciiTheme="minorHAnsi" w:hAnsiTheme="minorHAnsi" w:cstheme="minorHAnsi"/>
                <w:sz w:val="22"/>
                <w:szCs w:val="22"/>
              </w:rPr>
              <w:t xml:space="preserve"> u cijelome sektoru šumarstva. Negativan utjecaj klimatskih </w:t>
            </w:r>
            <w:r w:rsidR="0101C260" w:rsidRPr="00B255F7">
              <w:rPr>
                <w:rFonts w:asciiTheme="minorHAnsi" w:hAnsiTheme="minorHAnsi" w:cstheme="minorHAnsi"/>
                <w:sz w:val="22"/>
                <w:szCs w:val="22"/>
              </w:rPr>
              <w:lastRenderedPageBreak/>
              <w:t>promjena na sektor šumarstva je značajan.</w:t>
            </w:r>
          </w:p>
        </w:tc>
      </w:tr>
      <w:tr w:rsidR="001B1631" w:rsidRPr="00B255F7" w14:paraId="4ECA7870" w14:textId="77777777" w:rsidTr="63259912">
        <w:tc>
          <w:tcPr>
            <w:tcW w:w="1609" w:type="pct"/>
          </w:tcPr>
          <w:p w14:paraId="7574F618" w14:textId="3822CBBA" w:rsidR="001B1631" w:rsidRPr="00B255F7" w:rsidRDefault="001B1631" w:rsidP="00AE4D7E">
            <w:pPr>
              <w:pStyle w:val="Default"/>
              <w:jc w:val="both"/>
              <w:rPr>
                <w:rFonts w:cstheme="minorHAnsi"/>
                <w:b/>
                <w:sz w:val="22"/>
                <w:szCs w:val="22"/>
                <w:highlight w:val="yellow"/>
              </w:rPr>
            </w:pPr>
            <w:r w:rsidRPr="00B255F7">
              <w:rPr>
                <w:rFonts w:cstheme="minorHAnsi"/>
                <w:sz w:val="22"/>
                <w:szCs w:val="22"/>
              </w:rPr>
              <w:lastRenderedPageBreak/>
              <w:t xml:space="preserve">Promjena </w:t>
            </w:r>
            <w:r w:rsidR="00184C08" w:rsidRPr="00B255F7">
              <w:rPr>
                <w:rFonts w:cstheme="minorHAnsi"/>
                <w:sz w:val="22"/>
                <w:szCs w:val="22"/>
              </w:rPr>
              <w:t>životnih navika</w:t>
            </w:r>
          </w:p>
        </w:tc>
        <w:tc>
          <w:tcPr>
            <w:tcW w:w="1683" w:type="pct"/>
          </w:tcPr>
          <w:p w14:paraId="2311FD97" w14:textId="38DBE573" w:rsidR="001B1631" w:rsidRPr="00B255F7" w:rsidRDefault="001B1631" w:rsidP="63259912">
            <w:pPr>
              <w:pStyle w:val="Default"/>
              <w:jc w:val="both"/>
              <w:rPr>
                <w:rFonts w:cstheme="minorBidi"/>
                <w:sz w:val="22"/>
                <w:szCs w:val="22"/>
                <w:highlight w:val="yellow"/>
              </w:rPr>
            </w:pPr>
            <w:r w:rsidRPr="63259912">
              <w:rPr>
                <w:rFonts w:cstheme="minorBidi"/>
                <w:sz w:val="22"/>
                <w:szCs w:val="22"/>
              </w:rPr>
              <w:t xml:space="preserve">Strategija niskougljičnog razvoja Republike Hrvatske do 2030. s pogledom na 2050. godinu </w:t>
            </w:r>
            <w:r w:rsidR="00EB08F1" w:rsidRPr="63259912">
              <w:rPr>
                <w:rFonts w:cstheme="minorBidi"/>
                <w:sz w:val="22"/>
                <w:szCs w:val="22"/>
              </w:rPr>
              <w:t xml:space="preserve">(„Narodne novine“, br. </w:t>
            </w:r>
            <w:r w:rsidRPr="63259912">
              <w:rPr>
                <w:rFonts w:cstheme="minorBidi"/>
                <w:sz w:val="22"/>
                <w:szCs w:val="22"/>
              </w:rPr>
              <w:t>63/</w:t>
            </w:r>
            <w:r w:rsidR="4DC565E3" w:rsidRPr="63259912">
              <w:rPr>
                <w:rFonts w:cstheme="minorBidi"/>
                <w:sz w:val="22"/>
                <w:szCs w:val="22"/>
              </w:rPr>
              <w:t>21</w:t>
            </w:r>
            <w:r w:rsidR="00002AD9" w:rsidRPr="63259912">
              <w:rPr>
                <w:rFonts w:cstheme="minorBidi"/>
                <w:sz w:val="22"/>
                <w:szCs w:val="22"/>
              </w:rPr>
              <w:t>.</w:t>
            </w:r>
            <w:r w:rsidR="4DC565E3" w:rsidRPr="63259912">
              <w:rPr>
                <w:rFonts w:cstheme="minorBidi"/>
                <w:sz w:val="22"/>
                <w:szCs w:val="22"/>
              </w:rPr>
              <w:t>)</w:t>
            </w:r>
          </w:p>
        </w:tc>
        <w:tc>
          <w:tcPr>
            <w:tcW w:w="1708" w:type="pct"/>
          </w:tcPr>
          <w:p w14:paraId="043A61E6" w14:textId="693581E6" w:rsidR="001B1631" w:rsidRPr="00496176" w:rsidRDefault="001B1631" w:rsidP="00AE4D7E">
            <w:pPr>
              <w:spacing w:after="0"/>
              <w:rPr>
                <w:rFonts w:asciiTheme="minorHAnsi" w:hAnsiTheme="minorHAnsi" w:cstheme="minorHAnsi"/>
                <w:sz w:val="22"/>
                <w:szCs w:val="22"/>
              </w:rPr>
            </w:pPr>
            <w:r w:rsidRPr="00B255F7">
              <w:rPr>
                <w:rFonts w:asciiTheme="minorHAnsi" w:hAnsiTheme="minorHAnsi" w:cstheme="minorHAnsi"/>
                <w:sz w:val="22"/>
                <w:szCs w:val="22"/>
              </w:rPr>
              <w:t xml:space="preserve">Značajno smanjenje emisija </w:t>
            </w:r>
            <w:r w:rsidR="00182384" w:rsidRPr="00B255F7">
              <w:rPr>
                <w:rFonts w:asciiTheme="minorHAnsi" w:hAnsiTheme="minorHAnsi" w:cstheme="minorHAnsi"/>
                <w:sz w:val="22"/>
                <w:szCs w:val="22"/>
              </w:rPr>
              <w:t xml:space="preserve">može se </w:t>
            </w:r>
            <w:r w:rsidR="00CC7CF1" w:rsidRPr="00B255F7">
              <w:rPr>
                <w:rFonts w:asciiTheme="minorHAnsi" w:hAnsiTheme="minorHAnsi" w:cstheme="minorHAnsi"/>
                <w:sz w:val="22"/>
                <w:szCs w:val="22"/>
              </w:rPr>
              <w:t>postići p</w:t>
            </w:r>
            <w:r w:rsidR="00182384" w:rsidRPr="00496176">
              <w:rPr>
                <w:rFonts w:asciiTheme="minorHAnsi" w:hAnsiTheme="minorHAnsi" w:cstheme="minorHAnsi"/>
                <w:sz w:val="22"/>
                <w:szCs w:val="22"/>
              </w:rPr>
              <w:t xml:space="preserve">romjenom životnih navika i stilova pojedinaca. </w:t>
            </w:r>
            <w:r w:rsidR="00CC7CF1" w:rsidRPr="00B255F7">
              <w:rPr>
                <w:rFonts w:asciiTheme="minorHAnsi" w:hAnsiTheme="minorHAnsi" w:cstheme="minorHAnsi"/>
                <w:sz w:val="22"/>
                <w:szCs w:val="22"/>
              </w:rPr>
              <w:t>C</w:t>
            </w:r>
            <w:r w:rsidR="00182384" w:rsidRPr="00496176">
              <w:rPr>
                <w:rFonts w:asciiTheme="minorHAnsi" w:hAnsiTheme="minorHAnsi" w:cstheme="minorHAnsi"/>
                <w:sz w:val="22"/>
                <w:szCs w:val="22"/>
              </w:rPr>
              <w:t xml:space="preserve">ilj </w:t>
            </w:r>
            <w:r w:rsidR="00CC7CF1" w:rsidRPr="00B255F7">
              <w:rPr>
                <w:rFonts w:asciiTheme="minorHAnsi" w:hAnsiTheme="minorHAnsi" w:cstheme="minorHAnsi"/>
                <w:sz w:val="22"/>
                <w:szCs w:val="22"/>
              </w:rPr>
              <w:t xml:space="preserve">je </w:t>
            </w:r>
            <w:r w:rsidR="00182384" w:rsidRPr="00496176">
              <w:rPr>
                <w:rFonts w:asciiTheme="minorHAnsi" w:hAnsiTheme="minorHAnsi" w:cstheme="minorHAnsi"/>
                <w:sz w:val="22"/>
                <w:szCs w:val="22"/>
              </w:rPr>
              <w:t>potaknuti promjene potrošačkih navika, prehrambenih navika u smjeru uključivanja/korištenja više hrane biljnog porijekla, navika vezanih za prijevoz i putovanja, načina korištenja i posjedovanja raznih uređaja u kućanstvima itd. što se može izraziti kroz smanjenje ugljičnog otiska pojedinca.</w:t>
            </w:r>
          </w:p>
        </w:tc>
      </w:tr>
      <w:tr w:rsidR="001E0162" w:rsidRPr="00B255F7" w14:paraId="5B4BA141" w14:textId="77777777" w:rsidTr="63259912">
        <w:tc>
          <w:tcPr>
            <w:tcW w:w="1609" w:type="pct"/>
          </w:tcPr>
          <w:p w14:paraId="402CE923" w14:textId="43699858" w:rsidR="001E0162" w:rsidRPr="00B255F7" w:rsidRDefault="001B1631" w:rsidP="00AE4D7E">
            <w:pPr>
              <w:pStyle w:val="Default"/>
              <w:jc w:val="both"/>
              <w:rPr>
                <w:rFonts w:cstheme="minorHAnsi"/>
                <w:b/>
                <w:sz w:val="22"/>
                <w:szCs w:val="22"/>
                <w:highlight w:val="yellow"/>
              </w:rPr>
            </w:pPr>
            <w:r w:rsidRPr="00B255F7">
              <w:rPr>
                <w:rFonts w:cstheme="minorHAnsi"/>
                <w:sz w:val="22"/>
                <w:szCs w:val="22"/>
              </w:rPr>
              <w:t xml:space="preserve">Sakupljanje </w:t>
            </w:r>
            <w:r w:rsidR="00F010E7">
              <w:rPr>
                <w:rFonts w:cstheme="minorHAnsi"/>
                <w:sz w:val="22"/>
                <w:szCs w:val="22"/>
              </w:rPr>
              <w:t xml:space="preserve">i obrada </w:t>
            </w:r>
            <w:r w:rsidR="00DC65CC" w:rsidRPr="00B255F7">
              <w:rPr>
                <w:rFonts w:cstheme="minorHAnsi"/>
                <w:sz w:val="22"/>
                <w:szCs w:val="22"/>
              </w:rPr>
              <w:t>rezidbenih</w:t>
            </w:r>
            <w:r w:rsidR="000D353C">
              <w:rPr>
                <w:rFonts w:cstheme="minorHAnsi"/>
                <w:sz w:val="22"/>
                <w:szCs w:val="22"/>
              </w:rPr>
              <w:t xml:space="preserve"> </w:t>
            </w:r>
            <w:r w:rsidRPr="00B255F7">
              <w:rPr>
                <w:rFonts w:cstheme="minorHAnsi"/>
                <w:sz w:val="22"/>
                <w:szCs w:val="22"/>
              </w:rPr>
              <w:t>ostataka za korištenje u energetske svrhe</w:t>
            </w:r>
          </w:p>
        </w:tc>
        <w:tc>
          <w:tcPr>
            <w:tcW w:w="1683" w:type="pct"/>
          </w:tcPr>
          <w:p w14:paraId="15F8BDA2" w14:textId="083C188C" w:rsidR="001E0162" w:rsidRPr="00B255F7" w:rsidRDefault="001B1631" w:rsidP="63259912">
            <w:pPr>
              <w:pStyle w:val="Default"/>
              <w:jc w:val="both"/>
              <w:rPr>
                <w:rFonts w:cstheme="minorBidi"/>
                <w:sz w:val="22"/>
                <w:szCs w:val="22"/>
                <w:highlight w:val="yellow"/>
              </w:rPr>
            </w:pPr>
            <w:r w:rsidRPr="63259912">
              <w:rPr>
                <w:rFonts w:cstheme="minorBidi"/>
                <w:sz w:val="22"/>
                <w:szCs w:val="22"/>
              </w:rPr>
              <w:t xml:space="preserve">Strategija niskougljičnog razvoja Republike Hrvatske do 2030. s pogledom na 2050. godinu </w:t>
            </w:r>
            <w:r w:rsidR="00EB08F1" w:rsidRPr="63259912">
              <w:rPr>
                <w:rFonts w:cstheme="minorBidi"/>
                <w:sz w:val="22"/>
                <w:szCs w:val="22"/>
              </w:rPr>
              <w:t xml:space="preserve">(„Narodne novine“, br. </w:t>
            </w:r>
            <w:r w:rsidRPr="63259912">
              <w:rPr>
                <w:rFonts w:cstheme="minorBidi"/>
                <w:sz w:val="22"/>
                <w:szCs w:val="22"/>
              </w:rPr>
              <w:t>63/</w:t>
            </w:r>
            <w:r w:rsidR="4DC565E3" w:rsidRPr="63259912">
              <w:rPr>
                <w:rFonts w:cstheme="minorBidi"/>
                <w:sz w:val="22"/>
                <w:szCs w:val="22"/>
              </w:rPr>
              <w:t>21</w:t>
            </w:r>
            <w:r w:rsidR="00F40A47" w:rsidRPr="63259912">
              <w:rPr>
                <w:rFonts w:cstheme="minorBidi"/>
                <w:sz w:val="22"/>
                <w:szCs w:val="22"/>
              </w:rPr>
              <w:t>.</w:t>
            </w:r>
            <w:r w:rsidR="4DC565E3" w:rsidRPr="63259912">
              <w:rPr>
                <w:rFonts w:cstheme="minorBidi"/>
                <w:sz w:val="22"/>
                <w:szCs w:val="22"/>
              </w:rPr>
              <w:t>)</w:t>
            </w:r>
          </w:p>
        </w:tc>
        <w:tc>
          <w:tcPr>
            <w:tcW w:w="1708" w:type="pct"/>
          </w:tcPr>
          <w:p w14:paraId="028FA222" w14:textId="15070829" w:rsidR="001E0162" w:rsidRPr="00B255F7" w:rsidRDefault="001B1631"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Optimizacija prikupljanja orezane biomase trajnih nasada, proizvodnja sigurno dostupne biomase, aktivacija tala lošije kvalitete u Republici Hrvatskoj, osiguranje niskougljičnog energenta tijekom procesa proizvodnje toplinske i/ili električne energije (povećanje udjela OIE, smanjenje emisija CO</w:t>
            </w:r>
            <w:r w:rsidRPr="63259912">
              <w:rPr>
                <w:rFonts w:asciiTheme="minorHAnsi" w:hAnsiTheme="minorHAnsi" w:cstheme="minorBidi"/>
                <w:sz w:val="22"/>
                <w:szCs w:val="22"/>
                <w:vertAlign w:val="subscript"/>
              </w:rPr>
              <w:t>2</w:t>
            </w:r>
            <w:r w:rsidRPr="63259912">
              <w:rPr>
                <w:rFonts w:asciiTheme="minorHAnsi" w:hAnsiTheme="minorHAnsi" w:cstheme="minorBidi"/>
                <w:sz w:val="22"/>
                <w:szCs w:val="22"/>
              </w:rPr>
              <w:t>).</w:t>
            </w:r>
          </w:p>
        </w:tc>
      </w:tr>
      <w:tr w:rsidR="00CE47EE" w:rsidRPr="00B255F7" w14:paraId="17BCF109" w14:textId="77777777" w:rsidTr="63259912">
        <w:tc>
          <w:tcPr>
            <w:tcW w:w="5000" w:type="pct"/>
            <w:gridSpan w:val="3"/>
            <w:shd w:val="clear" w:color="auto" w:fill="D9D9D9" w:themeFill="background1" w:themeFillShade="D9"/>
          </w:tcPr>
          <w:p w14:paraId="1AA06E87" w14:textId="6AB1234B" w:rsidR="00CE47EE" w:rsidRPr="00B255F7" w:rsidRDefault="001E0162" w:rsidP="00AE4D7E">
            <w:pPr>
              <w:spacing w:after="0"/>
              <w:rPr>
                <w:rFonts w:asciiTheme="minorHAnsi" w:hAnsiTheme="minorHAnsi" w:cstheme="minorHAnsi"/>
                <w:sz w:val="22"/>
                <w:szCs w:val="22"/>
              </w:rPr>
            </w:pPr>
            <w:r w:rsidRPr="00B255F7">
              <w:rPr>
                <w:rFonts w:asciiTheme="minorHAnsi" w:hAnsiTheme="minorHAnsi" w:cstheme="minorHAnsi"/>
                <w:sz w:val="22"/>
                <w:szCs w:val="22"/>
              </w:rPr>
              <w:t>LULUCF</w:t>
            </w:r>
          </w:p>
        </w:tc>
      </w:tr>
      <w:tr w:rsidR="0070212E" w:rsidRPr="00B255F7" w14:paraId="1F88E0FB" w14:textId="77777777" w:rsidTr="63259912">
        <w:tc>
          <w:tcPr>
            <w:tcW w:w="1609" w:type="pct"/>
          </w:tcPr>
          <w:p w14:paraId="50C04E08" w14:textId="2E4F84E5" w:rsidR="00682A5F" w:rsidRPr="00B255F7" w:rsidRDefault="005C6362" w:rsidP="00AE4D7E">
            <w:pPr>
              <w:spacing w:after="0"/>
              <w:rPr>
                <w:rFonts w:asciiTheme="minorHAnsi" w:hAnsiTheme="minorHAnsi" w:cstheme="minorHAnsi"/>
                <w:sz w:val="22"/>
                <w:szCs w:val="22"/>
              </w:rPr>
            </w:pPr>
            <w:r w:rsidRPr="00B255F7">
              <w:rPr>
                <w:rFonts w:asciiTheme="minorHAnsi" w:hAnsiTheme="minorHAnsi" w:cstheme="minorHAnsi"/>
                <w:sz w:val="22"/>
                <w:szCs w:val="22"/>
              </w:rPr>
              <w:t xml:space="preserve">Izrada </w:t>
            </w:r>
            <w:r w:rsidR="00B260F1" w:rsidRPr="00B255F7">
              <w:rPr>
                <w:rFonts w:asciiTheme="minorHAnsi" w:hAnsiTheme="minorHAnsi" w:cstheme="minorHAnsi"/>
                <w:sz w:val="22"/>
                <w:szCs w:val="22"/>
              </w:rPr>
              <w:t>Plan</w:t>
            </w:r>
            <w:r w:rsidRPr="00B255F7">
              <w:rPr>
                <w:rFonts w:asciiTheme="minorHAnsi" w:hAnsiTheme="minorHAnsi" w:cstheme="minorHAnsi"/>
                <w:sz w:val="22"/>
                <w:szCs w:val="22"/>
              </w:rPr>
              <w:t>a</w:t>
            </w:r>
            <w:r w:rsidR="00B260F1" w:rsidRPr="00B255F7">
              <w:rPr>
                <w:rFonts w:asciiTheme="minorHAnsi" w:hAnsiTheme="minorHAnsi" w:cstheme="minorHAnsi"/>
                <w:sz w:val="22"/>
                <w:szCs w:val="22"/>
              </w:rPr>
              <w:t xml:space="preserve"> održavanja Nacionalnog informacijskog sustava za zemljište u Republici Hrvatskoj</w:t>
            </w:r>
          </w:p>
          <w:p w14:paraId="46779E64" w14:textId="34FFBB45" w:rsidR="00CE47EE" w:rsidRPr="00B255F7" w:rsidRDefault="00CE47EE" w:rsidP="00AE4D7E">
            <w:pPr>
              <w:pStyle w:val="Default"/>
              <w:jc w:val="both"/>
              <w:rPr>
                <w:rFonts w:cstheme="minorHAnsi"/>
                <w:b/>
                <w:sz w:val="22"/>
                <w:szCs w:val="22"/>
                <w:highlight w:val="yellow"/>
              </w:rPr>
            </w:pPr>
          </w:p>
        </w:tc>
        <w:tc>
          <w:tcPr>
            <w:tcW w:w="1683" w:type="pct"/>
          </w:tcPr>
          <w:p w14:paraId="1A7C0A15" w14:textId="5D201F89" w:rsidR="00682A5F" w:rsidRPr="00B255F7" w:rsidRDefault="00682A5F" w:rsidP="63259912">
            <w:pPr>
              <w:spacing w:after="0"/>
              <w:rPr>
                <w:rFonts w:asciiTheme="minorHAnsi" w:hAnsiTheme="minorHAnsi" w:cstheme="minorBidi"/>
                <w:sz w:val="22"/>
                <w:szCs w:val="22"/>
              </w:rPr>
            </w:pPr>
            <w:r w:rsidRPr="63259912">
              <w:rPr>
                <w:rFonts w:asciiTheme="minorHAnsi" w:hAnsiTheme="minorHAnsi" w:cstheme="minorBidi"/>
                <w:sz w:val="22"/>
                <w:szCs w:val="22"/>
              </w:rPr>
              <w:t xml:space="preserve">Strategija niskougljičnog razvoja Republike Hrvatske do 2030. s pogledom na 2050. godinu </w:t>
            </w:r>
            <w:r w:rsidR="00EB08F1" w:rsidRPr="63259912">
              <w:rPr>
                <w:rFonts w:asciiTheme="minorHAnsi" w:hAnsiTheme="minorHAnsi" w:cstheme="minorBidi"/>
                <w:sz w:val="22"/>
                <w:szCs w:val="22"/>
              </w:rPr>
              <w:t xml:space="preserve">(„Narodne novine“, br. </w:t>
            </w:r>
            <w:r w:rsidRPr="63259912">
              <w:rPr>
                <w:rFonts w:asciiTheme="minorHAnsi" w:hAnsiTheme="minorHAnsi" w:cstheme="minorBidi"/>
                <w:sz w:val="22"/>
                <w:szCs w:val="22"/>
              </w:rPr>
              <w:t>63/21</w:t>
            </w:r>
            <w:r w:rsidR="00F40A47" w:rsidRPr="63259912">
              <w:rPr>
                <w:rFonts w:asciiTheme="minorHAnsi" w:hAnsiTheme="minorHAnsi" w:cstheme="minorBidi"/>
                <w:sz w:val="22"/>
                <w:szCs w:val="22"/>
              </w:rPr>
              <w:t>.</w:t>
            </w:r>
            <w:r w:rsidR="24128A7A" w:rsidRPr="63259912">
              <w:rPr>
                <w:rFonts w:asciiTheme="minorHAnsi" w:hAnsiTheme="minorHAnsi" w:cstheme="minorBidi"/>
                <w:sz w:val="22"/>
                <w:szCs w:val="22"/>
              </w:rPr>
              <w:t>)</w:t>
            </w:r>
          </w:p>
          <w:p w14:paraId="76043E0A" w14:textId="7C7E75D9" w:rsidR="00CE47EE" w:rsidRPr="00B255F7" w:rsidRDefault="00CE47EE" w:rsidP="00AE4D7E">
            <w:pPr>
              <w:spacing w:after="0"/>
              <w:rPr>
                <w:rFonts w:asciiTheme="minorHAnsi" w:hAnsiTheme="minorHAnsi" w:cstheme="minorHAnsi"/>
                <w:sz w:val="22"/>
                <w:szCs w:val="22"/>
              </w:rPr>
            </w:pPr>
          </w:p>
        </w:tc>
        <w:tc>
          <w:tcPr>
            <w:tcW w:w="1708" w:type="pct"/>
          </w:tcPr>
          <w:p w14:paraId="223E24E9" w14:textId="77777777" w:rsidR="00682A5F" w:rsidRPr="00B255F7" w:rsidRDefault="00682A5F" w:rsidP="00AE4D7E">
            <w:pPr>
              <w:spacing w:after="0"/>
              <w:rPr>
                <w:rFonts w:asciiTheme="minorHAnsi" w:hAnsiTheme="minorHAnsi" w:cstheme="minorHAnsi"/>
                <w:sz w:val="22"/>
                <w:szCs w:val="22"/>
              </w:rPr>
            </w:pPr>
            <w:r w:rsidRPr="00B255F7">
              <w:rPr>
                <w:rFonts w:asciiTheme="minorHAnsi" w:hAnsiTheme="minorHAnsi" w:cstheme="minorHAnsi"/>
                <w:sz w:val="22"/>
                <w:szCs w:val="22"/>
              </w:rPr>
              <w:t xml:space="preserve">Radi se na </w:t>
            </w:r>
          </w:p>
          <w:p w14:paraId="451AB69E" w14:textId="77777777" w:rsidR="00682A5F" w:rsidRPr="00B255F7" w:rsidRDefault="00682A5F" w:rsidP="00AE4D7E">
            <w:pPr>
              <w:spacing w:after="0"/>
              <w:rPr>
                <w:rFonts w:asciiTheme="minorHAnsi" w:hAnsiTheme="minorHAnsi" w:cstheme="minorHAnsi"/>
                <w:sz w:val="22"/>
                <w:szCs w:val="22"/>
              </w:rPr>
            </w:pPr>
            <w:r w:rsidRPr="00B255F7">
              <w:rPr>
                <w:rFonts w:asciiTheme="minorHAnsi" w:hAnsiTheme="minorHAnsi" w:cstheme="minorHAnsi"/>
                <w:sz w:val="22"/>
                <w:szCs w:val="22"/>
              </w:rPr>
              <w:t xml:space="preserve">1. Uspostavi jedinstvenog informacijskog sustava zemljišta u Republici Hrvatskoj </w:t>
            </w:r>
          </w:p>
          <w:p w14:paraId="2CDC992D" w14:textId="0B286CA1" w:rsidR="00682A5F" w:rsidRPr="00B255F7" w:rsidRDefault="00682A5F" w:rsidP="63259912">
            <w:pPr>
              <w:spacing w:after="0"/>
              <w:rPr>
                <w:rFonts w:asciiTheme="minorHAnsi" w:hAnsiTheme="minorHAnsi" w:cstheme="minorBidi"/>
                <w:sz w:val="22"/>
                <w:szCs w:val="22"/>
              </w:rPr>
            </w:pPr>
            <w:r w:rsidRPr="63259912">
              <w:rPr>
                <w:rFonts w:asciiTheme="minorHAnsi" w:hAnsiTheme="minorHAnsi" w:cstheme="minorBidi"/>
                <w:sz w:val="22"/>
                <w:szCs w:val="22"/>
              </w:rPr>
              <w:t>2. U provedbi je projekt analiza svih LULUCF kategorija zemljišta u ovisnosti o pokrovu, uporabi zemljišta te praksama gospodarenja koje se na svakom zemljištu koriste i s time povezanim emisijama/</w:t>
            </w:r>
            <w:r w:rsidR="79B6156E" w:rsidRPr="63259912">
              <w:rPr>
                <w:rFonts w:asciiTheme="minorHAnsi" w:hAnsiTheme="minorHAnsi" w:cstheme="minorBidi"/>
                <w:sz w:val="22"/>
                <w:szCs w:val="22"/>
              </w:rPr>
              <w:t>ponorima</w:t>
            </w:r>
            <w:r w:rsidRPr="63259912">
              <w:rPr>
                <w:rFonts w:asciiTheme="minorHAnsi" w:hAnsiTheme="minorHAnsi" w:cstheme="minorBidi"/>
                <w:sz w:val="22"/>
                <w:szCs w:val="22"/>
              </w:rPr>
              <w:t xml:space="preserve"> radi razmatranja potencijala svakog od pohraništa unutar svake LULUCF kategorije zemljišta za smanjenje emisija i povećanje </w:t>
            </w:r>
            <w:r w:rsidR="27C39B95" w:rsidRPr="63259912">
              <w:rPr>
                <w:rFonts w:asciiTheme="minorHAnsi" w:hAnsiTheme="minorHAnsi" w:cstheme="minorBidi"/>
                <w:sz w:val="22"/>
                <w:szCs w:val="22"/>
              </w:rPr>
              <w:t>ponora</w:t>
            </w:r>
            <w:r w:rsidRPr="63259912">
              <w:rPr>
                <w:rFonts w:asciiTheme="minorHAnsi" w:hAnsiTheme="minorHAnsi" w:cstheme="minorBidi"/>
                <w:sz w:val="22"/>
                <w:szCs w:val="22"/>
              </w:rPr>
              <w:t xml:space="preserve"> stakleničkih plinova </w:t>
            </w:r>
          </w:p>
          <w:p w14:paraId="1BCCEC10" w14:textId="242534AA" w:rsidR="00CE47EE" w:rsidRPr="00F23221" w:rsidRDefault="00682A5F" w:rsidP="00AE4D7E">
            <w:pPr>
              <w:spacing w:after="0"/>
              <w:rPr>
                <w:rFonts w:asciiTheme="minorHAnsi" w:hAnsiTheme="minorHAnsi" w:cstheme="minorHAnsi"/>
                <w:sz w:val="22"/>
                <w:szCs w:val="22"/>
              </w:rPr>
            </w:pPr>
            <w:r w:rsidRPr="00B255F7">
              <w:rPr>
                <w:rFonts w:asciiTheme="minorHAnsi" w:hAnsiTheme="minorHAnsi" w:cstheme="minorHAnsi"/>
                <w:sz w:val="22"/>
                <w:szCs w:val="22"/>
              </w:rPr>
              <w:t>3. U provedbi je projekt jačanja projekcija u LULUCF sektoru</w:t>
            </w:r>
          </w:p>
        </w:tc>
      </w:tr>
      <w:tr w:rsidR="00682A5F" w:rsidRPr="00B255F7" w14:paraId="5102F715" w14:textId="77777777" w:rsidTr="63259912">
        <w:tc>
          <w:tcPr>
            <w:tcW w:w="1609" w:type="pct"/>
          </w:tcPr>
          <w:p w14:paraId="16D49AF7" w14:textId="59EB4E17" w:rsidR="00682A5F" w:rsidRPr="00B255F7" w:rsidRDefault="00682A5F" w:rsidP="00AE4D7E">
            <w:pPr>
              <w:pStyle w:val="Default"/>
              <w:jc w:val="both"/>
              <w:rPr>
                <w:rFonts w:cstheme="minorHAnsi"/>
                <w:b/>
                <w:sz w:val="22"/>
                <w:szCs w:val="22"/>
                <w:highlight w:val="yellow"/>
              </w:rPr>
            </w:pPr>
            <w:r w:rsidRPr="00B255F7">
              <w:rPr>
                <w:rFonts w:cstheme="minorHAnsi"/>
                <w:sz w:val="22"/>
                <w:szCs w:val="22"/>
              </w:rPr>
              <w:t xml:space="preserve">Akumulacija ugljika na površinama postojećih šuma </w:t>
            </w:r>
          </w:p>
        </w:tc>
        <w:tc>
          <w:tcPr>
            <w:tcW w:w="1683" w:type="pct"/>
          </w:tcPr>
          <w:p w14:paraId="331FA68B" w14:textId="17C6014A" w:rsidR="00682A5F" w:rsidRPr="00B255F7" w:rsidRDefault="00682A5F" w:rsidP="63259912">
            <w:pPr>
              <w:spacing w:after="0"/>
              <w:rPr>
                <w:rFonts w:asciiTheme="minorHAnsi" w:hAnsiTheme="minorHAnsi" w:cstheme="minorBidi"/>
                <w:sz w:val="22"/>
                <w:szCs w:val="22"/>
              </w:rPr>
            </w:pPr>
            <w:r w:rsidRPr="63259912">
              <w:rPr>
                <w:rFonts w:asciiTheme="minorHAnsi" w:hAnsiTheme="minorHAnsi" w:cstheme="minorBidi"/>
                <w:sz w:val="22"/>
                <w:szCs w:val="22"/>
              </w:rPr>
              <w:t xml:space="preserve">Strategija niskougljičnog razvoja Republike Hrvatske do 2030. s pogledom na 2050. </w:t>
            </w:r>
            <w:r w:rsidRPr="63259912">
              <w:rPr>
                <w:rFonts w:asciiTheme="minorHAnsi" w:hAnsiTheme="minorHAnsi" w:cstheme="minorBidi"/>
                <w:sz w:val="22"/>
                <w:szCs w:val="22"/>
              </w:rPr>
              <w:lastRenderedPageBreak/>
              <w:t xml:space="preserve">godinu </w:t>
            </w:r>
            <w:r w:rsidR="00EB08F1" w:rsidRPr="63259912">
              <w:rPr>
                <w:rFonts w:asciiTheme="minorHAnsi" w:hAnsiTheme="minorHAnsi" w:cstheme="minorBidi"/>
                <w:sz w:val="22"/>
                <w:szCs w:val="22"/>
              </w:rPr>
              <w:t xml:space="preserve">(„Narodne novine“, br. </w:t>
            </w:r>
            <w:r w:rsidRPr="63259912">
              <w:rPr>
                <w:rFonts w:asciiTheme="minorHAnsi" w:hAnsiTheme="minorHAnsi" w:cstheme="minorBidi"/>
                <w:sz w:val="22"/>
                <w:szCs w:val="22"/>
              </w:rPr>
              <w:t>63/21</w:t>
            </w:r>
            <w:r w:rsidR="00F40A47" w:rsidRPr="63259912">
              <w:rPr>
                <w:rFonts w:asciiTheme="minorHAnsi" w:hAnsiTheme="minorHAnsi" w:cstheme="minorBidi"/>
                <w:sz w:val="22"/>
                <w:szCs w:val="22"/>
              </w:rPr>
              <w:t>.</w:t>
            </w:r>
            <w:r w:rsidR="15CB7832" w:rsidRPr="63259912">
              <w:rPr>
                <w:rFonts w:asciiTheme="minorHAnsi" w:hAnsiTheme="minorHAnsi" w:cstheme="minorBidi"/>
                <w:sz w:val="22"/>
                <w:szCs w:val="22"/>
              </w:rPr>
              <w:t>)</w:t>
            </w:r>
          </w:p>
          <w:p w14:paraId="7549B112" w14:textId="2E3E9295" w:rsidR="00682A5F" w:rsidRPr="00B255F7" w:rsidRDefault="00682A5F"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Šumsko gospodarska osnova područja za razdoblje 2016</w:t>
            </w:r>
            <w:r w:rsidR="4402D4D8" w:rsidRPr="00B255F7">
              <w:rPr>
                <w:rFonts w:asciiTheme="minorHAnsi" w:hAnsiTheme="minorHAnsi" w:cstheme="minorHAnsi"/>
                <w:sz w:val="22"/>
                <w:szCs w:val="22"/>
              </w:rPr>
              <w:t xml:space="preserve">. </w:t>
            </w:r>
            <w:r w:rsidR="2AD9AA89" w:rsidRPr="00B255F7">
              <w:rPr>
                <w:rFonts w:asciiTheme="minorHAnsi" w:hAnsiTheme="minorHAnsi" w:cstheme="minorHAnsi"/>
                <w:sz w:val="22"/>
                <w:szCs w:val="22"/>
              </w:rPr>
              <w:t>-</w:t>
            </w:r>
            <w:r w:rsidR="1FEF4ED0" w:rsidRPr="00B255F7">
              <w:rPr>
                <w:rFonts w:asciiTheme="minorHAnsi" w:hAnsiTheme="minorHAnsi" w:cstheme="minorHAnsi"/>
                <w:sz w:val="22"/>
                <w:szCs w:val="22"/>
              </w:rPr>
              <w:t xml:space="preserve"> </w:t>
            </w:r>
            <w:r w:rsidRPr="00B255F7">
              <w:rPr>
                <w:rFonts w:asciiTheme="minorHAnsi" w:hAnsiTheme="minorHAnsi" w:cstheme="minorHAnsi"/>
                <w:sz w:val="22"/>
                <w:szCs w:val="22"/>
              </w:rPr>
              <w:t>2025</w:t>
            </w:r>
            <w:r w:rsidR="5C67F6B4" w:rsidRPr="00B255F7">
              <w:rPr>
                <w:rFonts w:asciiTheme="minorHAnsi" w:hAnsiTheme="minorHAnsi" w:cstheme="minorHAnsi"/>
                <w:sz w:val="22"/>
                <w:szCs w:val="22"/>
              </w:rPr>
              <w:t>.</w:t>
            </w:r>
          </w:p>
        </w:tc>
        <w:tc>
          <w:tcPr>
            <w:tcW w:w="1708" w:type="pct"/>
          </w:tcPr>
          <w:p w14:paraId="4DABCDCA" w14:textId="77777777" w:rsidR="00682A5F" w:rsidRPr="00B255F7" w:rsidRDefault="00682A5F" w:rsidP="63259912">
            <w:pPr>
              <w:spacing w:after="0"/>
              <w:rPr>
                <w:rFonts w:asciiTheme="minorHAnsi" w:hAnsiTheme="minorHAnsi" w:cstheme="minorBidi"/>
                <w:sz w:val="22"/>
                <w:szCs w:val="22"/>
              </w:rPr>
            </w:pPr>
            <w:r w:rsidRPr="63259912">
              <w:rPr>
                <w:rFonts w:asciiTheme="minorHAnsi" w:hAnsiTheme="minorHAnsi" w:cstheme="minorBidi"/>
                <w:sz w:val="22"/>
                <w:szCs w:val="22"/>
              </w:rPr>
              <w:lastRenderedPageBreak/>
              <w:t xml:space="preserve">Provedba aktivnosti kojima se doprinosi povećanju sadržaja zalihe ugljika u šumama </w:t>
            </w:r>
            <w:r w:rsidRPr="63259912">
              <w:rPr>
                <w:rFonts w:asciiTheme="minorHAnsi" w:hAnsiTheme="minorHAnsi" w:cstheme="minorBidi"/>
                <w:sz w:val="22"/>
                <w:szCs w:val="22"/>
              </w:rPr>
              <w:lastRenderedPageBreak/>
              <w:t xml:space="preserve">posebice u pohraništu biomase i provedbom kojih se osiguravaju uklanjanja u pojedinom razdoblju većima od onih definiranih referentnom razinom za šume (FRL). </w:t>
            </w:r>
          </w:p>
          <w:p w14:paraId="271AFA59" w14:textId="62027625" w:rsidR="00682A5F" w:rsidRPr="00B255F7" w:rsidRDefault="00682A5F"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Realizacija se odvija u skladu s Šumsko gospodarska osnova područja za razdoblje 2016</w:t>
            </w:r>
            <w:r w:rsidR="2AD9AA89" w:rsidRPr="00B255F7">
              <w:rPr>
                <w:rFonts w:asciiTheme="minorHAnsi" w:hAnsiTheme="minorHAnsi" w:cstheme="minorHAnsi"/>
                <w:sz w:val="22"/>
                <w:szCs w:val="22"/>
              </w:rPr>
              <w:t>.</w:t>
            </w:r>
            <w:r w:rsidR="686E0942" w:rsidRPr="00B255F7">
              <w:rPr>
                <w:rFonts w:asciiTheme="minorHAnsi" w:hAnsiTheme="minorHAnsi" w:cstheme="minorHAnsi"/>
                <w:sz w:val="22"/>
                <w:szCs w:val="22"/>
              </w:rPr>
              <w:t xml:space="preserve"> </w:t>
            </w:r>
            <w:r w:rsidR="2AD9AA89" w:rsidRPr="00B255F7">
              <w:rPr>
                <w:rFonts w:asciiTheme="minorHAnsi" w:hAnsiTheme="minorHAnsi" w:cstheme="minorHAnsi"/>
                <w:sz w:val="22"/>
                <w:szCs w:val="22"/>
              </w:rPr>
              <w:t>-</w:t>
            </w:r>
            <w:r w:rsidR="7EC3FA38" w:rsidRPr="00B255F7">
              <w:rPr>
                <w:rFonts w:asciiTheme="minorHAnsi" w:hAnsiTheme="minorHAnsi" w:cstheme="minorHAnsi"/>
                <w:sz w:val="22"/>
                <w:szCs w:val="22"/>
              </w:rPr>
              <w:t xml:space="preserve"> </w:t>
            </w:r>
            <w:r w:rsidRPr="00B255F7">
              <w:rPr>
                <w:rFonts w:asciiTheme="minorHAnsi" w:hAnsiTheme="minorHAnsi" w:cstheme="minorHAnsi"/>
                <w:sz w:val="22"/>
                <w:szCs w:val="22"/>
              </w:rPr>
              <w:t>2025.</w:t>
            </w:r>
          </w:p>
        </w:tc>
      </w:tr>
      <w:tr w:rsidR="00682A5F" w:rsidRPr="00B255F7" w14:paraId="025759AD" w14:textId="77777777" w:rsidTr="63259912">
        <w:tc>
          <w:tcPr>
            <w:tcW w:w="1609" w:type="pct"/>
          </w:tcPr>
          <w:p w14:paraId="3DA121DD" w14:textId="271AA2EC" w:rsidR="00682A5F" w:rsidRPr="00B255F7" w:rsidRDefault="00682A5F" w:rsidP="00AE4D7E">
            <w:pPr>
              <w:pStyle w:val="Default"/>
              <w:jc w:val="both"/>
              <w:rPr>
                <w:rFonts w:cstheme="minorHAnsi"/>
                <w:b/>
                <w:sz w:val="22"/>
                <w:szCs w:val="22"/>
                <w:highlight w:val="yellow"/>
              </w:rPr>
            </w:pPr>
            <w:r w:rsidRPr="00B255F7">
              <w:rPr>
                <w:rFonts w:cstheme="minorHAnsi"/>
                <w:sz w:val="22"/>
                <w:szCs w:val="22"/>
              </w:rPr>
              <w:lastRenderedPageBreak/>
              <w:t>Provedba radova pošumljavanja</w:t>
            </w:r>
          </w:p>
        </w:tc>
        <w:tc>
          <w:tcPr>
            <w:tcW w:w="1683" w:type="pct"/>
          </w:tcPr>
          <w:p w14:paraId="43E8FDDE" w14:textId="60F61681" w:rsidR="00682A5F" w:rsidRPr="00B255F7" w:rsidRDefault="00682A5F" w:rsidP="63259912">
            <w:pPr>
              <w:spacing w:after="0"/>
              <w:rPr>
                <w:rFonts w:asciiTheme="minorHAnsi" w:hAnsiTheme="minorHAnsi" w:cstheme="minorBidi"/>
                <w:sz w:val="22"/>
                <w:szCs w:val="22"/>
              </w:rPr>
            </w:pPr>
            <w:r w:rsidRPr="63259912">
              <w:rPr>
                <w:rFonts w:asciiTheme="minorHAnsi" w:hAnsiTheme="minorHAnsi" w:cstheme="minorBidi"/>
                <w:sz w:val="22"/>
                <w:szCs w:val="22"/>
              </w:rPr>
              <w:t xml:space="preserve">Strategija niskougljičnog razvoja Republike Hrvatske do 2030. s pogledom na 2050. godinu </w:t>
            </w:r>
            <w:r w:rsidR="00EB08F1" w:rsidRPr="63259912">
              <w:rPr>
                <w:rFonts w:asciiTheme="minorHAnsi" w:hAnsiTheme="minorHAnsi" w:cstheme="minorBidi"/>
                <w:sz w:val="22"/>
                <w:szCs w:val="22"/>
              </w:rPr>
              <w:t xml:space="preserve">(„Narodne novine“, br. </w:t>
            </w:r>
            <w:r w:rsidRPr="63259912">
              <w:rPr>
                <w:rFonts w:asciiTheme="minorHAnsi" w:hAnsiTheme="minorHAnsi" w:cstheme="minorBidi"/>
                <w:sz w:val="22"/>
                <w:szCs w:val="22"/>
              </w:rPr>
              <w:t>63/21</w:t>
            </w:r>
            <w:r w:rsidR="0053033E" w:rsidRPr="63259912">
              <w:rPr>
                <w:rFonts w:asciiTheme="minorHAnsi" w:hAnsiTheme="minorHAnsi" w:cstheme="minorBidi"/>
                <w:sz w:val="22"/>
                <w:szCs w:val="22"/>
              </w:rPr>
              <w:t>.</w:t>
            </w:r>
            <w:r w:rsidR="66079AA5" w:rsidRPr="63259912">
              <w:rPr>
                <w:rFonts w:asciiTheme="minorHAnsi" w:hAnsiTheme="minorHAnsi" w:cstheme="minorBidi"/>
                <w:sz w:val="22"/>
                <w:szCs w:val="22"/>
              </w:rPr>
              <w:t>)</w:t>
            </w:r>
          </w:p>
          <w:p w14:paraId="6C6D8E35" w14:textId="3A5D3F41" w:rsidR="00682A5F" w:rsidRPr="00B255F7" w:rsidRDefault="00682A5F" w:rsidP="0B4FAE79">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Šumsko gospodarska osnova područja za razdoblje 2016</w:t>
            </w:r>
            <w:r w:rsidR="09BE7952" w:rsidRPr="00B255F7">
              <w:rPr>
                <w:rFonts w:asciiTheme="minorHAnsi" w:hAnsiTheme="minorHAnsi" w:cstheme="minorHAnsi"/>
                <w:sz w:val="22"/>
                <w:szCs w:val="22"/>
              </w:rPr>
              <w:t xml:space="preserve">. </w:t>
            </w:r>
            <w:r w:rsidR="2AD9AA89" w:rsidRPr="00B255F7">
              <w:rPr>
                <w:rFonts w:asciiTheme="minorHAnsi" w:hAnsiTheme="minorHAnsi" w:cstheme="minorHAnsi"/>
                <w:sz w:val="22"/>
                <w:szCs w:val="22"/>
              </w:rPr>
              <w:t>-</w:t>
            </w:r>
            <w:r w:rsidR="787FBF2A" w:rsidRPr="00B255F7">
              <w:rPr>
                <w:rFonts w:asciiTheme="minorHAnsi" w:hAnsiTheme="minorHAnsi" w:cstheme="minorHAnsi"/>
                <w:sz w:val="22"/>
                <w:szCs w:val="22"/>
              </w:rPr>
              <w:t xml:space="preserve"> </w:t>
            </w:r>
            <w:r w:rsidRPr="00B255F7">
              <w:rPr>
                <w:rFonts w:asciiTheme="minorHAnsi" w:hAnsiTheme="minorHAnsi" w:cstheme="minorHAnsi"/>
                <w:sz w:val="22"/>
                <w:szCs w:val="22"/>
              </w:rPr>
              <w:t>2025</w:t>
            </w:r>
            <w:r w:rsidR="56ADDA90" w:rsidRPr="00B255F7">
              <w:rPr>
                <w:rFonts w:asciiTheme="minorHAnsi" w:hAnsiTheme="minorHAnsi" w:cstheme="minorHAnsi"/>
                <w:sz w:val="22"/>
                <w:szCs w:val="22"/>
              </w:rPr>
              <w:t>.</w:t>
            </w:r>
          </w:p>
          <w:p w14:paraId="262D0B8D" w14:textId="0BCE17A2" w:rsidR="00682A5F" w:rsidRPr="00B255F7" w:rsidRDefault="00682A5F" w:rsidP="0B4FAE79">
            <w:pPr>
              <w:spacing w:after="0"/>
              <w:rPr>
                <w:rFonts w:asciiTheme="minorHAnsi" w:hAnsiTheme="minorHAnsi" w:cstheme="minorHAnsi"/>
                <w:sz w:val="22"/>
                <w:szCs w:val="22"/>
              </w:rPr>
            </w:pPr>
          </w:p>
          <w:p w14:paraId="699CFA24" w14:textId="09362AD7" w:rsidR="00682A5F" w:rsidRPr="00B255F7" w:rsidRDefault="18C1F9DC" w:rsidP="00AE4D7E">
            <w:pPr>
              <w:spacing w:after="0"/>
              <w:rPr>
                <w:rFonts w:asciiTheme="minorHAnsi" w:hAnsiTheme="minorHAnsi" w:cstheme="minorHAnsi"/>
                <w:sz w:val="22"/>
                <w:szCs w:val="22"/>
              </w:rPr>
            </w:pPr>
            <w:r w:rsidRPr="00B255F7">
              <w:rPr>
                <w:rFonts w:asciiTheme="minorHAnsi" w:hAnsiTheme="minorHAnsi" w:cstheme="minorHAnsi"/>
                <w:sz w:val="22"/>
                <w:szCs w:val="22"/>
              </w:rPr>
              <w:t xml:space="preserve">Strategija prilagodbe klimatskim promjenama u Republici Hrvatskoj za razdoblje do 2040. godine s pogledom na 2070. godinu </w:t>
            </w:r>
            <w:r w:rsidR="00EB08F1">
              <w:rPr>
                <w:rFonts w:asciiTheme="minorHAnsi" w:hAnsiTheme="minorHAnsi" w:cstheme="minorHAnsi"/>
                <w:sz w:val="22"/>
                <w:szCs w:val="22"/>
              </w:rPr>
              <w:t xml:space="preserve">(„Narodne novine“, br. </w:t>
            </w:r>
            <w:r w:rsidRPr="00B255F7">
              <w:rPr>
                <w:rFonts w:asciiTheme="minorHAnsi" w:hAnsiTheme="minorHAnsi" w:cstheme="minorHAnsi"/>
                <w:sz w:val="22"/>
                <w:szCs w:val="22"/>
              </w:rPr>
              <w:t>46/20</w:t>
            </w:r>
            <w:r w:rsidR="0053033E">
              <w:rPr>
                <w:rFonts w:asciiTheme="minorHAnsi" w:hAnsiTheme="minorHAnsi" w:cstheme="minorHAnsi"/>
                <w:sz w:val="22"/>
                <w:szCs w:val="22"/>
              </w:rPr>
              <w:t>.</w:t>
            </w:r>
            <w:r w:rsidRPr="00B255F7">
              <w:rPr>
                <w:rFonts w:asciiTheme="minorHAnsi" w:hAnsiTheme="minorHAnsi" w:cstheme="minorHAnsi"/>
                <w:sz w:val="22"/>
                <w:szCs w:val="22"/>
              </w:rPr>
              <w:t xml:space="preserve">)     </w:t>
            </w:r>
          </w:p>
        </w:tc>
        <w:tc>
          <w:tcPr>
            <w:tcW w:w="1708" w:type="pct"/>
          </w:tcPr>
          <w:p w14:paraId="45FC45D7" w14:textId="1E525A2A" w:rsidR="00682A5F" w:rsidRPr="00B255F7" w:rsidRDefault="00682A5F" w:rsidP="55103C4F">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 xml:space="preserve">Pošumljavanje na površinama koje nisu šumske (u smislu IPCC metodologije), predstavlja aktivnost koja generira </w:t>
            </w:r>
            <w:r w:rsidR="631385BF" w:rsidRPr="00B255F7">
              <w:rPr>
                <w:rFonts w:asciiTheme="minorHAnsi" w:hAnsiTheme="minorHAnsi" w:cstheme="minorHAnsi"/>
                <w:sz w:val="22"/>
                <w:szCs w:val="22"/>
              </w:rPr>
              <w:t>ponore</w:t>
            </w:r>
            <w:r w:rsidR="2AD9AA89" w:rsidRPr="00B255F7">
              <w:rPr>
                <w:rFonts w:asciiTheme="minorHAnsi" w:hAnsiTheme="minorHAnsi" w:cstheme="minorHAnsi"/>
                <w:sz w:val="22"/>
                <w:szCs w:val="22"/>
              </w:rPr>
              <w:t>.</w:t>
            </w:r>
            <w:r w:rsidRPr="00B255F7">
              <w:rPr>
                <w:rFonts w:asciiTheme="minorHAnsi" w:hAnsiTheme="minorHAnsi" w:cstheme="minorHAnsi"/>
                <w:sz w:val="22"/>
                <w:szCs w:val="22"/>
              </w:rPr>
              <w:t xml:space="preserve"> </w:t>
            </w:r>
            <w:r w:rsidR="003B054A" w:rsidRPr="003B054A">
              <w:rPr>
                <w:rFonts w:asciiTheme="minorHAnsi" w:hAnsiTheme="minorHAnsi" w:cstheme="minorHAnsi"/>
                <w:sz w:val="22"/>
                <w:szCs w:val="22"/>
              </w:rPr>
              <w:t>Republika Hrvatska nije u mogućnosti raspolagati svim površinama travnjaka (prema nacionalnom propisu: neobraslog proizvodnog šumskog zemljišta) za potrebe pošumljavanja zbog preuzetih obaveza vezano uz očuvanje pojedinih stanišnih tipova od interesa za Europsku uniju</w:t>
            </w:r>
            <w:r w:rsidRPr="00B255F7">
              <w:rPr>
                <w:rFonts w:asciiTheme="minorHAnsi" w:hAnsiTheme="minorHAnsi" w:cstheme="minorHAnsi"/>
                <w:sz w:val="22"/>
                <w:szCs w:val="22"/>
              </w:rPr>
              <w:t xml:space="preserve">. S obzirom da u Republici Hrvatskoj postoje poljoprivredne površine na kojima se ne odvija proizvodnja i koje su dugi niz godina zapuštene, prilikom izrade Strategije upravljanja zemljištem problem ovih površina mora biti odgovarajuće adresiran. Potrebno je ocijeniti opravdanost prenamjene ovih površina u šumske površine provedbom pošumljavanja. </w:t>
            </w:r>
            <w:r w:rsidR="2AD9AA89" w:rsidRPr="00B255F7">
              <w:rPr>
                <w:rFonts w:asciiTheme="minorHAnsi" w:hAnsiTheme="minorHAnsi" w:cstheme="minorHAnsi"/>
                <w:sz w:val="22"/>
                <w:szCs w:val="22"/>
              </w:rPr>
              <w:t>Potreb</w:t>
            </w:r>
            <w:r w:rsidR="0087713C" w:rsidRPr="00B255F7">
              <w:rPr>
                <w:rFonts w:asciiTheme="minorHAnsi" w:hAnsiTheme="minorHAnsi" w:cstheme="minorHAnsi"/>
                <w:sz w:val="22"/>
                <w:szCs w:val="22"/>
              </w:rPr>
              <w:t>n</w:t>
            </w:r>
            <w:r w:rsidR="2AD9AA89" w:rsidRPr="00B255F7">
              <w:rPr>
                <w:rFonts w:asciiTheme="minorHAnsi" w:hAnsiTheme="minorHAnsi" w:cstheme="minorHAnsi"/>
                <w:sz w:val="22"/>
                <w:szCs w:val="22"/>
              </w:rPr>
              <w:t>a</w:t>
            </w:r>
            <w:r w:rsidRPr="00B255F7">
              <w:rPr>
                <w:rFonts w:asciiTheme="minorHAnsi" w:hAnsiTheme="minorHAnsi" w:cstheme="minorHAnsi"/>
                <w:sz w:val="22"/>
                <w:szCs w:val="22"/>
              </w:rPr>
              <w:t xml:space="preserve"> je i ocjena učinaka pošumljavanja dodatnog neobraslog, proizvodnog šumskog zemljišta na ispunjavanje obaveza RH povezanih s korištenjem obnovljivih izvora energije. Potrebno je izraditi smjernice daljnjeg razvoja temeljem znanja i iskustava stečenih provedbom aktivnosti pošumljavanja.</w:t>
            </w:r>
          </w:p>
          <w:p w14:paraId="7CEE43E8" w14:textId="3FB2B41D" w:rsidR="00682A5F" w:rsidRPr="00B255F7" w:rsidRDefault="00682A5F" w:rsidP="55103C4F">
            <w:pPr>
              <w:spacing w:after="0"/>
              <w:rPr>
                <w:rFonts w:asciiTheme="minorHAnsi" w:hAnsiTheme="minorHAnsi" w:cstheme="minorHAnsi"/>
                <w:sz w:val="22"/>
                <w:szCs w:val="22"/>
              </w:rPr>
            </w:pPr>
          </w:p>
          <w:p w14:paraId="463535A2" w14:textId="1E3A7EAE" w:rsidR="00682A5F" w:rsidRPr="00B255F7" w:rsidRDefault="119038C5" w:rsidP="00AE4D7E">
            <w:pPr>
              <w:spacing w:after="0"/>
              <w:rPr>
                <w:rFonts w:asciiTheme="minorHAnsi" w:hAnsiTheme="minorHAnsi" w:cstheme="minorHAnsi"/>
                <w:sz w:val="22"/>
                <w:szCs w:val="22"/>
              </w:rPr>
            </w:pPr>
            <w:r w:rsidRPr="00B255F7">
              <w:rPr>
                <w:rFonts w:asciiTheme="minorHAnsi" w:hAnsiTheme="minorHAnsi" w:cstheme="minorHAnsi"/>
                <w:sz w:val="22"/>
                <w:szCs w:val="22"/>
              </w:rPr>
              <w:lastRenderedPageBreak/>
              <w:t>Prema Strategiji prilagodbe  potrebno je provesti u cijelosti mjere  ŠU-07 Pošumljavanje i obnova šuma u svrhu jačanja otpornosti na klimatske promjene kako bi se adresirala prilagodba klimatskim promjenama u cijelome sektoru šumarstva. Negativan utjecaj klimatskih promjena na sektor šumarstva je značajan</w:t>
            </w:r>
            <w:r w:rsidR="5BDAC48A" w:rsidRPr="00B255F7">
              <w:rPr>
                <w:rFonts w:asciiTheme="minorHAnsi" w:hAnsiTheme="minorHAnsi" w:cstheme="minorHAnsi"/>
                <w:sz w:val="22"/>
                <w:szCs w:val="22"/>
              </w:rPr>
              <w:t>.</w:t>
            </w:r>
          </w:p>
        </w:tc>
      </w:tr>
      <w:tr w:rsidR="00682A5F" w:rsidRPr="00B255F7" w14:paraId="47DF1541" w14:textId="77777777" w:rsidTr="63259912">
        <w:tc>
          <w:tcPr>
            <w:tcW w:w="1609" w:type="pct"/>
          </w:tcPr>
          <w:p w14:paraId="330C6EAC" w14:textId="3C380625" w:rsidR="00682A5F" w:rsidRPr="00B255F7" w:rsidRDefault="00682A5F" w:rsidP="00AE4D7E">
            <w:pPr>
              <w:pStyle w:val="Default"/>
              <w:jc w:val="both"/>
              <w:rPr>
                <w:rFonts w:cstheme="minorHAnsi"/>
                <w:b/>
                <w:sz w:val="22"/>
                <w:szCs w:val="22"/>
                <w:highlight w:val="yellow"/>
              </w:rPr>
            </w:pPr>
            <w:r w:rsidRPr="00B255F7">
              <w:rPr>
                <w:rFonts w:cstheme="minorHAnsi"/>
                <w:sz w:val="22"/>
                <w:szCs w:val="22"/>
              </w:rPr>
              <w:lastRenderedPageBreak/>
              <w:t>Proizvodnja i uporaba drva i drvnih proizvoda</w:t>
            </w:r>
          </w:p>
        </w:tc>
        <w:tc>
          <w:tcPr>
            <w:tcW w:w="1683" w:type="pct"/>
          </w:tcPr>
          <w:p w14:paraId="4C508ABD" w14:textId="17A741FC" w:rsidR="00682A5F" w:rsidRPr="00B255F7" w:rsidRDefault="00682A5F" w:rsidP="63259912">
            <w:pPr>
              <w:spacing w:after="0"/>
              <w:rPr>
                <w:rFonts w:asciiTheme="minorHAnsi" w:hAnsiTheme="minorHAnsi" w:cstheme="minorBidi"/>
                <w:sz w:val="22"/>
                <w:szCs w:val="22"/>
              </w:rPr>
            </w:pPr>
            <w:r w:rsidRPr="63259912">
              <w:rPr>
                <w:rFonts w:asciiTheme="minorHAnsi" w:hAnsiTheme="minorHAnsi" w:cstheme="minorBidi"/>
                <w:sz w:val="22"/>
                <w:szCs w:val="22"/>
              </w:rPr>
              <w:t xml:space="preserve">Strategija niskougljičnog razvoja Republike Hrvatske do 2030. s pogledom na 2050. godinu </w:t>
            </w:r>
            <w:r w:rsidR="00EB08F1" w:rsidRPr="63259912">
              <w:rPr>
                <w:rFonts w:asciiTheme="minorHAnsi" w:hAnsiTheme="minorHAnsi" w:cstheme="minorBidi"/>
                <w:sz w:val="22"/>
                <w:szCs w:val="22"/>
              </w:rPr>
              <w:t xml:space="preserve">(„Narodne novine“, br. </w:t>
            </w:r>
            <w:r w:rsidRPr="63259912">
              <w:rPr>
                <w:rFonts w:asciiTheme="minorHAnsi" w:hAnsiTheme="minorHAnsi" w:cstheme="minorBidi"/>
                <w:sz w:val="22"/>
                <w:szCs w:val="22"/>
              </w:rPr>
              <w:t>63/21</w:t>
            </w:r>
            <w:r w:rsidR="009873F6" w:rsidRPr="63259912">
              <w:rPr>
                <w:rFonts w:asciiTheme="minorHAnsi" w:hAnsiTheme="minorHAnsi" w:cstheme="minorBidi"/>
                <w:sz w:val="22"/>
                <w:szCs w:val="22"/>
              </w:rPr>
              <w:t>.</w:t>
            </w:r>
            <w:r w:rsidR="7BBC3681" w:rsidRPr="63259912">
              <w:rPr>
                <w:rFonts w:asciiTheme="minorHAnsi" w:hAnsiTheme="minorHAnsi" w:cstheme="minorBidi"/>
                <w:sz w:val="22"/>
                <w:szCs w:val="22"/>
              </w:rPr>
              <w:t>)</w:t>
            </w:r>
          </w:p>
          <w:p w14:paraId="48E75192" w14:textId="77777777" w:rsidR="00682A5F" w:rsidRPr="00B255F7" w:rsidRDefault="00682A5F" w:rsidP="00AE4D7E">
            <w:pPr>
              <w:spacing w:after="0"/>
              <w:rPr>
                <w:rFonts w:asciiTheme="minorHAnsi" w:hAnsiTheme="minorHAnsi" w:cstheme="minorHAnsi"/>
                <w:sz w:val="22"/>
                <w:szCs w:val="22"/>
              </w:rPr>
            </w:pPr>
          </w:p>
          <w:p w14:paraId="7EFE8C94" w14:textId="4F18639D" w:rsidR="00682A5F" w:rsidRPr="00B255F7" w:rsidRDefault="00682A5F"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Šumsko gospodarska osnova područja za razdoblje 2016</w:t>
            </w:r>
            <w:r w:rsidR="31AAA3CD" w:rsidRPr="00B255F7">
              <w:rPr>
                <w:rFonts w:asciiTheme="minorHAnsi" w:hAnsiTheme="minorHAnsi" w:cstheme="minorHAnsi"/>
                <w:sz w:val="22"/>
                <w:szCs w:val="22"/>
              </w:rPr>
              <w:t xml:space="preserve">. </w:t>
            </w:r>
            <w:r w:rsidR="2AD9AA89" w:rsidRPr="00B255F7">
              <w:rPr>
                <w:rFonts w:asciiTheme="minorHAnsi" w:hAnsiTheme="minorHAnsi" w:cstheme="minorHAnsi"/>
                <w:sz w:val="22"/>
                <w:szCs w:val="22"/>
              </w:rPr>
              <w:t>-</w:t>
            </w:r>
            <w:r w:rsidR="37A89D17" w:rsidRPr="00B255F7">
              <w:rPr>
                <w:rFonts w:asciiTheme="minorHAnsi" w:hAnsiTheme="minorHAnsi" w:cstheme="minorHAnsi"/>
                <w:sz w:val="22"/>
                <w:szCs w:val="22"/>
              </w:rPr>
              <w:t xml:space="preserve"> </w:t>
            </w:r>
            <w:r w:rsidRPr="00B255F7">
              <w:rPr>
                <w:rFonts w:asciiTheme="minorHAnsi" w:hAnsiTheme="minorHAnsi" w:cstheme="minorHAnsi"/>
                <w:sz w:val="22"/>
                <w:szCs w:val="22"/>
              </w:rPr>
              <w:t>2025</w:t>
            </w:r>
            <w:r w:rsidR="1477A822" w:rsidRPr="00B255F7">
              <w:rPr>
                <w:rFonts w:asciiTheme="minorHAnsi" w:hAnsiTheme="minorHAnsi" w:cstheme="minorHAnsi"/>
                <w:sz w:val="22"/>
                <w:szCs w:val="22"/>
              </w:rPr>
              <w:t>.</w:t>
            </w:r>
            <w:r w:rsidR="0007727F">
              <w:rPr>
                <w:rFonts w:asciiTheme="minorHAnsi" w:hAnsiTheme="minorHAnsi" w:cstheme="minorHAnsi"/>
                <w:sz w:val="22"/>
                <w:szCs w:val="22"/>
              </w:rPr>
              <w:t xml:space="preserve"> godine</w:t>
            </w:r>
          </w:p>
        </w:tc>
        <w:tc>
          <w:tcPr>
            <w:tcW w:w="1708" w:type="pct"/>
          </w:tcPr>
          <w:p w14:paraId="066410A4" w14:textId="65F245C2" w:rsidR="00682A5F" w:rsidRPr="00B255F7" w:rsidRDefault="00682A5F"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 xml:space="preserve">Harmonizacijom dostupnih podataka i statističkih izvješća te novim istraživanjima </w:t>
            </w:r>
            <w:r w:rsidR="0087713C" w:rsidRPr="63259912">
              <w:rPr>
                <w:rFonts w:asciiTheme="minorHAnsi" w:hAnsiTheme="minorHAnsi" w:cstheme="minorBidi"/>
                <w:sz w:val="22"/>
                <w:szCs w:val="22"/>
              </w:rPr>
              <w:t xml:space="preserve">treba </w:t>
            </w:r>
            <w:r w:rsidRPr="63259912">
              <w:rPr>
                <w:rFonts w:asciiTheme="minorHAnsi" w:hAnsiTheme="minorHAnsi" w:cstheme="minorBidi"/>
                <w:sz w:val="22"/>
                <w:szCs w:val="22"/>
              </w:rPr>
              <w:t xml:space="preserve">usuglasiti informacije kojima se raspolaže za potrebe različitih izvještavanja prema međunarodnim organizacijama u cilju što točnijeg, transparentnijeg i kvalitetnog izvješćivanja, ali i stvaranja harmoniziranih podloga za donošenje srednjoročnih i dugoročnih strategija u šumarskom i drvoprerađivačkom sektoru. Podrazumijeva se mapiranje šumarske i drvne industrijske proizvodnje. Poticati korištenje drvnih proizvoda u tradicionalnim i novim proizvodima u cilju povećavanja </w:t>
            </w:r>
            <w:r w:rsidR="2DCAA6E8" w:rsidRPr="63259912">
              <w:rPr>
                <w:rFonts w:asciiTheme="minorHAnsi" w:hAnsiTheme="minorHAnsi" w:cstheme="minorBidi"/>
                <w:sz w:val="22"/>
                <w:szCs w:val="22"/>
              </w:rPr>
              <w:t>ponora</w:t>
            </w:r>
            <w:r w:rsidRPr="63259912">
              <w:rPr>
                <w:rFonts w:asciiTheme="minorHAnsi" w:hAnsiTheme="minorHAnsi" w:cstheme="minorBidi"/>
                <w:sz w:val="22"/>
                <w:szCs w:val="22"/>
              </w:rPr>
              <w:t xml:space="preserve"> i smanjenja emisija stakleničkih plinova u pohraništu drvnih proizvoda. Navedeno zahtjeva i regulacija izvoza neobrađenog i poluobrađenog drva što potiče razvoj domaće drvne industrije, a regulacija izvoza energetskog drva povećava udio proizvodnje energije iz obnovljivih izvora čime se ispunjavaju preuzete međunarodne obveze. Potrebno je promovirati aktivnosti kojima se generiraju </w:t>
            </w:r>
            <w:r w:rsidR="67556FC0" w:rsidRPr="63259912">
              <w:rPr>
                <w:rFonts w:asciiTheme="minorHAnsi" w:hAnsiTheme="minorHAnsi" w:cstheme="minorBidi"/>
                <w:sz w:val="22"/>
                <w:szCs w:val="22"/>
              </w:rPr>
              <w:t>ponori</w:t>
            </w:r>
            <w:r w:rsidRPr="63259912">
              <w:rPr>
                <w:rFonts w:asciiTheme="minorHAnsi" w:hAnsiTheme="minorHAnsi" w:cstheme="minorBidi"/>
                <w:sz w:val="22"/>
                <w:szCs w:val="22"/>
              </w:rPr>
              <w:t xml:space="preserve"> te koje osiguravaju da se drvni proizvodi i drvo za energetske svrhe koriste na načine koji doprinose </w:t>
            </w:r>
            <w:r w:rsidRPr="63259912">
              <w:rPr>
                <w:rFonts w:asciiTheme="minorHAnsi" w:hAnsiTheme="minorHAnsi" w:cstheme="minorBidi"/>
                <w:sz w:val="22"/>
                <w:szCs w:val="22"/>
              </w:rPr>
              <w:lastRenderedPageBreak/>
              <w:t>ispunjavanju oba cilja EU do 2030. godine (smanjenju emisija i povećanju udjela obnovljivih izvora u ukupnoj potrošnji energije) te su korisne za klimu i okoliš. Potrebno je izraditi smjernice daljnjeg razvoja temeljem znanja i iskustava stečenih provedbom ove mjere</w:t>
            </w:r>
            <w:r w:rsidR="0005236B" w:rsidRPr="63259912">
              <w:rPr>
                <w:rFonts w:asciiTheme="minorHAnsi" w:hAnsiTheme="minorHAnsi" w:cstheme="minorBidi"/>
                <w:sz w:val="22"/>
                <w:szCs w:val="22"/>
              </w:rPr>
              <w:t>.</w:t>
            </w:r>
          </w:p>
        </w:tc>
      </w:tr>
      <w:tr w:rsidR="00682A5F" w:rsidRPr="00B255F7" w14:paraId="70385049" w14:textId="77777777" w:rsidTr="63259912">
        <w:tc>
          <w:tcPr>
            <w:tcW w:w="1609" w:type="pct"/>
          </w:tcPr>
          <w:p w14:paraId="6F40AAD1" w14:textId="32BE9C91" w:rsidR="00682A5F" w:rsidRPr="00B255F7" w:rsidRDefault="00682A5F" w:rsidP="00AE4D7E">
            <w:pPr>
              <w:pStyle w:val="Default"/>
              <w:jc w:val="both"/>
              <w:rPr>
                <w:rFonts w:cstheme="minorHAnsi"/>
                <w:b/>
                <w:sz w:val="22"/>
                <w:szCs w:val="22"/>
                <w:highlight w:val="yellow"/>
              </w:rPr>
            </w:pPr>
            <w:r w:rsidRPr="00B255F7">
              <w:rPr>
                <w:rFonts w:cstheme="minorHAnsi"/>
                <w:sz w:val="22"/>
                <w:szCs w:val="22"/>
              </w:rPr>
              <w:lastRenderedPageBreak/>
              <w:t>Gospodarenje poljoprivrednim zemljištem</w:t>
            </w:r>
          </w:p>
        </w:tc>
        <w:tc>
          <w:tcPr>
            <w:tcW w:w="1683" w:type="pct"/>
          </w:tcPr>
          <w:p w14:paraId="1EE5FF3A" w14:textId="3FC79419" w:rsidR="00682A5F" w:rsidRPr="00B255F7" w:rsidRDefault="00682A5F"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 xml:space="preserve">Strategija niskougljičnog razvoja Republike Hrvatske do 2030. s pogledom na 2050. godinu </w:t>
            </w:r>
            <w:r w:rsidR="00EB08F1" w:rsidRPr="63259912">
              <w:rPr>
                <w:rFonts w:asciiTheme="minorHAnsi" w:hAnsiTheme="minorHAnsi" w:cstheme="minorBidi"/>
                <w:sz w:val="22"/>
                <w:szCs w:val="22"/>
              </w:rPr>
              <w:t xml:space="preserve">(„Narodne novine“, br. </w:t>
            </w:r>
            <w:r w:rsidRPr="63259912">
              <w:rPr>
                <w:rFonts w:asciiTheme="minorHAnsi" w:hAnsiTheme="minorHAnsi" w:cstheme="minorBidi"/>
                <w:sz w:val="22"/>
                <w:szCs w:val="22"/>
              </w:rPr>
              <w:t>63/21</w:t>
            </w:r>
            <w:r w:rsidR="006F15E0" w:rsidRPr="63259912">
              <w:rPr>
                <w:rFonts w:asciiTheme="minorHAnsi" w:hAnsiTheme="minorHAnsi" w:cstheme="minorBidi"/>
                <w:sz w:val="22"/>
                <w:szCs w:val="22"/>
              </w:rPr>
              <w:t>.</w:t>
            </w:r>
            <w:r w:rsidR="0DA0639E" w:rsidRPr="63259912">
              <w:rPr>
                <w:rFonts w:asciiTheme="minorHAnsi" w:hAnsiTheme="minorHAnsi" w:cstheme="minorBidi"/>
                <w:sz w:val="22"/>
                <w:szCs w:val="22"/>
              </w:rPr>
              <w:t>)</w:t>
            </w:r>
          </w:p>
        </w:tc>
        <w:tc>
          <w:tcPr>
            <w:tcW w:w="1708" w:type="pct"/>
          </w:tcPr>
          <w:p w14:paraId="787D0BBD" w14:textId="45064062" w:rsidR="00682A5F" w:rsidRPr="00B255F7" w:rsidRDefault="5B465C79" w:rsidP="1C9333AB">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Provedba aktivnosti u gospodarenju površinama za poljoprivrednu proizvodnju na način koji doprinosi smanjenju emisija</w:t>
            </w:r>
            <w:r w:rsidR="00C95313" w:rsidRPr="00B255F7">
              <w:rPr>
                <w:rFonts w:asciiTheme="minorHAnsi" w:hAnsiTheme="minorHAnsi" w:cstheme="minorHAnsi"/>
                <w:sz w:val="22"/>
                <w:szCs w:val="22"/>
              </w:rPr>
              <w:t xml:space="preserve"> i povećanju ponora</w:t>
            </w:r>
            <w:r w:rsidRPr="00B255F7">
              <w:rPr>
                <w:rFonts w:asciiTheme="minorHAnsi" w:hAnsiTheme="minorHAnsi" w:cstheme="minorHAnsi"/>
                <w:sz w:val="22"/>
                <w:szCs w:val="22"/>
              </w:rPr>
              <w:t>. Potrebno je promovirati aktivnosti na način koristan za klimu i okoliš te izraditi smjernice daljnjeg razvoja temeljem znanja i iskustava stečenih provedbom ove mjere.</w:t>
            </w:r>
            <w:r w:rsidR="48CA2EC9" w:rsidRPr="00B255F7">
              <w:rPr>
                <w:rFonts w:asciiTheme="minorHAnsi" w:hAnsiTheme="minorHAnsi" w:cstheme="minorHAnsi"/>
                <w:sz w:val="22"/>
                <w:szCs w:val="22"/>
              </w:rPr>
              <w:t xml:space="preserve"> </w:t>
            </w:r>
          </w:p>
        </w:tc>
      </w:tr>
      <w:tr w:rsidR="00682A5F" w:rsidRPr="00B255F7" w14:paraId="7A3CF328" w14:textId="77777777" w:rsidTr="63259912">
        <w:tc>
          <w:tcPr>
            <w:tcW w:w="1609" w:type="pct"/>
          </w:tcPr>
          <w:p w14:paraId="0EAC451A" w14:textId="3F9D197C" w:rsidR="00682A5F" w:rsidRPr="00B255F7" w:rsidRDefault="00682A5F" w:rsidP="00AE4D7E">
            <w:pPr>
              <w:pStyle w:val="Default"/>
              <w:jc w:val="both"/>
              <w:rPr>
                <w:rFonts w:cstheme="minorHAnsi"/>
                <w:b/>
                <w:sz w:val="22"/>
                <w:szCs w:val="22"/>
                <w:highlight w:val="yellow"/>
              </w:rPr>
            </w:pPr>
            <w:r w:rsidRPr="00B255F7">
              <w:rPr>
                <w:rFonts w:cstheme="minorHAnsi"/>
                <w:sz w:val="22"/>
                <w:szCs w:val="22"/>
              </w:rPr>
              <w:t>Gospodarenje pašnjacima</w:t>
            </w:r>
          </w:p>
        </w:tc>
        <w:tc>
          <w:tcPr>
            <w:tcW w:w="1683" w:type="pct"/>
          </w:tcPr>
          <w:p w14:paraId="01E3AE0C" w14:textId="140D47AF" w:rsidR="00682A5F" w:rsidRPr="00B255F7" w:rsidRDefault="00682A5F"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Strategija niskougljičnog razvoja Republike Hrvatske do 2030. s pogledom na 2050. godinu</w:t>
            </w:r>
            <w:r w:rsidR="006F15E0" w:rsidRPr="63259912">
              <w:rPr>
                <w:rFonts w:asciiTheme="minorHAnsi" w:hAnsiTheme="minorHAnsi" w:cstheme="minorBidi"/>
                <w:sz w:val="22"/>
                <w:szCs w:val="22"/>
              </w:rPr>
              <w:t xml:space="preserve"> </w:t>
            </w:r>
            <w:r w:rsidR="00EB08F1" w:rsidRPr="63259912">
              <w:rPr>
                <w:rFonts w:asciiTheme="minorHAnsi" w:hAnsiTheme="minorHAnsi" w:cstheme="minorBidi"/>
                <w:sz w:val="22"/>
                <w:szCs w:val="22"/>
              </w:rPr>
              <w:t xml:space="preserve">(„Narodne novine“, br. </w:t>
            </w:r>
            <w:r w:rsidRPr="63259912">
              <w:rPr>
                <w:rFonts w:asciiTheme="minorHAnsi" w:hAnsiTheme="minorHAnsi" w:cstheme="minorBidi"/>
                <w:sz w:val="22"/>
                <w:szCs w:val="22"/>
              </w:rPr>
              <w:t>63/21</w:t>
            </w:r>
            <w:r w:rsidR="006F15E0" w:rsidRPr="63259912">
              <w:rPr>
                <w:rFonts w:asciiTheme="minorHAnsi" w:hAnsiTheme="minorHAnsi" w:cstheme="minorBidi"/>
                <w:sz w:val="22"/>
                <w:szCs w:val="22"/>
              </w:rPr>
              <w:t>.</w:t>
            </w:r>
            <w:r w:rsidR="6CB8E654" w:rsidRPr="63259912">
              <w:rPr>
                <w:rFonts w:asciiTheme="minorHAnsi" w:hAnsiTheme="minorHAnsi" w:cstheme="minorBidi"/>
                <w:sz w:val="22"/>
                <w:szCs w:val="22"/>
              </w:rPr>
              <w:t>)</w:t>
            </w:r>
          </w:p>
        </w:tc>
        <w:tc>
          <w:tcPr>
            <w:tcW w:w="1708" w:type="pct"/>
          </w:tcPr>
          <w:p w14:paraId="1698AD4C" w14:textId="6F68E6BB" w:rsidR="00682A5F" w:rsidRPr="00B255F7" w:rsidRDefault="00682A5F" w:rsidP="00AE4D7E">
            <w:pPr>
              <w:spacing w:after="0"/>
              <w:rPr>
                <w:rFonts w:asciiTheme="minorHAnsi" w:hAnsiTheme="minorHAnsi" w:cstheme="minorHAnsi"/>
                <w:sz w:val="22"/>
                <w:szCs w:val="22"/>
                <w:highlight w:val="yellow"/>
              </w:rPr>
            </w:pPr>
            <w:r w:rsidRPr="00B255F7">
              <w:rPr>
                <w:rFonts w:asciiTheme="minorHAnsi" w:hAnsiTheme="minorHAnsi" w:cstheme="minorHAnsi"/>
                <w:sz w:val="22"/>
                <w:szCs w:val="22"/>
              </w:rPr>
              <w:t>Provedba aktivnosti u gospodarenju pašnjacima na način koji doprinosi smanjenju emisija</w:t>
            </w:r>
            <w:r w:rsidR="0026277B" w:rsidRPr="00B255F7">
              <w:rPr>
                <w:rFonts w:asciiTheme="minorHAnsi" w:hAnsiTheme="minorHAnsi" w:cstheme="minorHAnsi"/>
                <w:sz w:val="22"/>
                <w:szCs w:val="22"/>
              </w:rPr>
              <w:t xml:space="preserve"> i povećanju ponora</w:t>
            </w:r>
            <w:r w:rsidRPr="00B255F7">
              <w:rPr>
                <w:rFonts w:asciiTheme="minorHAnsi" w:hAnsiTheme="minorHAnsi" w:cstheme="minorHAnsi"/>
                <w:sz w:val="22"/>
                <w:szCs w:val="22"/>
              </w:rPr>
              <w:t>. Potrebno je promovirati aktivnosti na način koristan za klimu i okoliš, te izraditi smjernice daljnjeg razvoja temeljem znanja i iskustava stečenih provedbom ove mjere.</w:t>
            </w:r>
          </w:p>
        </w:tc>
      </w:tr>
      <w:tr w:rsidR="00CE47EE" w:rsidRPr="00B255F7" w14:paraId="351E73AD" w14:textId="77777777" w:rsidTr="63259912">
        <w:tc>
          <w:tcPr>
            <w:tcW w:w="1609" w:type="pct"/>
          </w:tcPr>
          <w:p w14:paraId="612BB561" w14:textId="4C5E986F" w:rsidR="00CE47EE" w:rsidRPr="00B255F7" w:rsidRDefault="00682A5F" w:rsidP="00AE4D7E">
            <w:pPr>
              <w:pStyle w:val="Default"/>
              <w:jc w:val="both"/>
              <w:rPr>
                <w:rFonts w:cstheme="minorHAnsi"/>
                <w:b/>
                <w:sz w:val="22"/>
                <w:szCs w:val="22"/>
                <w:highlight w:val="yellow"/>
              </w:rPr>
            </w:pPr>
            <w:r w:rsidRPr="00B255F7">
              <w:rPr>
                <w:rFonts w:cstheme="minorHAnsi"/>
                <w:sz w:val="22"/>
                <w:szCs w:val="22"/>
              </w:rPr>
              <w:t>Provedba tehničkih projekata i znanstvenih istraživanja u LULUCF sektoru</w:t>
            </w:r>
          </w:p>
        </w:tc>
        <w:tc>
          <w:tcPr>
            <w:tcW w:w="1683" w:type="pct"/>
          </w:tcPr>
          <w:p w14:paraId="7462A555" w14:textId="048BAF2D" w:rsidR="00CE47EE" w:rsidRPr="00B255F7" w:rsidRDefault="00682A5F"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 xml:space="preserve">Strategija niskougljičnog razvoja Republike Hrvatske do 2030. s pogledom na 2050. godinu </w:t>
            </w:r>
            <w:r w:rsidR="00EB08F1" w:rsidRPr="63259912">
              <w:rPr>
                <w:rFonts w:asciiTheme="minorHAnsi" w:hAnsiTheme="minorHAnsi" w:cstheme="minorBidi"/>
                <w:sz w:val="22"/>
                <w:szCs w:val="22"/>
              </w:rPr>
              <w:t xml:space="preserve">(„Narodne novine“, br. </w:t>
            </w:r>
            <w:r w:rsidRPr="63259912">
              <w:rPr>
                <w:rFonts w:asciiTheme="minorHAnsi" w:hAnsiTheme="minorHAnsi" w:cstheme="minorBidi"/>
                <w:sz w:val="22"/>
                <w:szCs w:val="22"/>
              </w:rPr>
              <w:t>63/21</w:t>
            </w:r>
            <w:r w:rsidR="006F15E0" w:rsidRPr="63259912">
              <w:rPr>
                <w:rFonts w:asciiTheme="minorHAnsi" w:hAnsiTheme="minorHAnsi" w:cstheme="minorBidi"/>
                <w:sz w:val="22"/>
                <w:szCs w:val="22"/>
              </w:rPr>
              <w:t>.</w:t>
            </w:r>
            <w:r w:rsidR="35E9EDED" w:rsidRPr="63259912">
              <w:rPr>
                <w:rFonts w:asciiTheme="minorHAnsi" w:hAnsiTheme="minorHAnsi" w:cstheme="minorBidi"/>
                <w:sz w:val="22"/>
                <w:szCs w:val="22"/>
              </w:rPr>
              <w:t>)</w:t>
            </w:r>
          </w:p>
          <w:p w14:paraId="1EF6343E" w14:textId="0DC125A2" w:rsidR="00CE47EE" w:rsidRPr="00B255F7" w:rsidRDefault="00CE47EE" w:rsidP="0B4FAE79">
            <w:pPr>
              <w:spacing w:after="0"/>
              <w:rPr>
                <w:rFonts w:asciiTheme="minorHAnsi" w:hAnsiTheme="minorHAnsi" w:cstheme="minorHAnsi"/>
                <w:sz w:val="22"/>
                <w:szCs w:val="22"/>
              </w:rPr>
            </w:pPr>
          </w:p>
          <w:p w14:paraId="64DA2CEB" w14:textId="716D5C27" w:rsidR="00CE47EE" w:rsidRPr="00B255F7" w:rsidRDefault="0D3AB55F" w:rsidP="00AE4D7E">
            <w:pPr>
              <w:spacing w:after="0"/>
              <w:rPr>
                <w:rFonts w:asciiTheme="minorHAnsi" w:hAnsiTheme="minorHAnsi" w:cstheme="minorHAnsi"/>
                <w:sz w:val="22"/>
                <w:szCs w:val="22"/>
              </w:rPr>
            </w:pPr>
            <w:r w:rsidRPr="00B255F7">
              <w:rPr>
                <w:rFonts w:asciiTheme="minorHAnsi" w:hAnsiTheme="minorHAnsi" w:cstheme="minorHAnsi"/>
                <w:sz w:val="22"/>
                <w:szCs w:val="22"/>
              </w:rPr>
              <w:t xml:space="preserve">Strategija prilagodbe klimatskim promjenama u Republici Hrvatskoj za razdoblje do 2040. godine s pogledom na 2070. godinu </w:t>
            </w:r>
            <w:r w:rsidR="00EB08F1">
              <w:rPr>
                <w:rFonts w:asciiTheme="minorHAnsi" w:hAnsiTheme="minorHAnsi" w:cstheme="minorHAnsi"/>
                <w:sz w:val="22"/>
                <w:szCs w:val="22"/>
              </w:rPr>
              <w:t xml:space="preserve">(„Narodne novine“, br. </w:t>
            </w:r>
            <w:r w:rsidRPr="00B255F7">
              <w:rPr>
                <w:rFonts w:asciiTheme="minorHAnsi" w:hAnsiTheme="minorHAnsi" w:cstheme="minorHAnsi"/>
                <w:sz w:val="22"/>
                <w:szCs w:val="22"/>
              </w:rPr>
              <w:t>46/20</w:t>
            </w:r>
            <w:r w:rsidR="003C3778">
              <w:rPr>
                <w:rFonts w:asciiTheme="minorHAnsi" w:hAnsiTheme="minorHAnsi" w:cstheme="minorHAnsi"/>
                <w:sz w:val="22"/>
                <w:szCs w:val="22"/>
              </w:rPr>
              <w:t>.</w:t>
            </w:r>
            <w:r w:rsidRPr="00B255F7">
              <w:rPr>
                <w:rFonts w:asciiTheme="minorHAnsi" w:hAnsiTheme="minorHAnsi" w:cstheme="minorHAnsi"/>
                <w:sz w:val="22"/>
                <w:szCs w:val="22"/>
              </w:rPr>
              <w:t>)</w:t>
            </w:r>
          </w:p>
        </w:tc>
        <w:tc>
          <w:tcPr>
            <w:tcW w:w="1708" w:type="pct"/>
          </w:tcPr>
          <w:p w14:paraId="6D33EEC7" w14:textId="6A7FBEBF" w:rsidR="00CE47EE" w:rsidRPr="00B255F7" w:rsidRDefault="00682A5F" w:rsidP="63259912">
            <w:pPr>
              <w:spacing w:after="0"/>
              <w:rPr>
                <w:rFonts w:asciiTheme="minorHAnsi" w:hAnsiTheme="minorHAnsi" w:cstheme="minorBidi"/>
                <w:sz w:val="22"/>
                <w:szCs w:val="22"/>
              </w:rPr>
            </w:pPr>
            <w:r w:rsidRPr="63259912">
              <w:rPr>
                <w:rFonts w:asciiTheme="minorHAnsi" w:hAnsiTheme="minorHAnsi" w:cstheme="minorBidi"/>
                <w:sz w:val="22"/>
                <w:szCs w:val="22"/>
              </w:rPr>
              <w:t>U razdoblju do 2030. i 2050. godinu nužno je osigurati financijska sredstva za provedbu tehničkih i znanstvenih projekata u LULUCF sektoru. Znanstvenim projektima treba se omogućiti razvoj različitih modela za potrebe prelaska na višu razinu IPCC metodologije (Tier 3) s ciljem što točnijeg utvrđivanja emisija/</w:t>
            </w:r>
            <w:r w:rsidR="51897536" w:rsidRPr="63259912">
              <w:rPr>
                <w:rFonts w:asciiTheme="minorHAnsi" w:hAnsiTheme="minorHAnsi" w:cstheme="minorBidi"/>
                <w:sz w:val="22"/>
                <w:szCs w:val="22"/>
              </w:rPr>
              <w:t>ponora</w:t>
            </w:r>
            <w:r w:rsidRPr="63259912">
              <w:rPr>
                <w:rFonts w:asciiTheme="minorHAnsi" w:hAnsiTheme="minorHAnsi" w:cstheme="minorBidi"/>
                <w:sz w:val="22"/>
                <w:szCs w:val="22"/>
              </w:rPr>
              <w:t xml:space="preserve"> stakleničkih plinova i posljedično planiranja mjera za smanjenje emisija i povećanje </w:t>
            </w:r>
            <w:r w:rsidR="393C8331" w:rsidRPr="63259912">
              <w:rPr>
                <w:rFonts w:asciiTheme="minorHAnsi" w:hAnsiTheme="minorHAnsi" w:cstheme="minorBidi"/>
                <w:sz w:val="22"/>
                <w:szCs w:val="22"/>
              </w:rPr>
              <w:t>ponora</w:t>
            </w:r>
            <w:r w:rsidRPr="63259912">
              <w:rPr>
                <w:rFonts w:asciiTheme="minorHAnsi" w:hAnsiTheme="minorHAnsi" w:cstheme="minorBidi"/>
                <w:sz w:val="22"/>
                <w:szCs w:val="22"/>
              </w:rPr>
              <w:t>.</w:t>
            </w:r>
          </w:p>
          <w:p w14:paraId="6829C7D4" w14:textId="6AEBA756" w:rsidR="00CE47EE" w:rsidRPr="00B255F7" w:rsidRDefault="0A948769" w:rsidP="55103C4F">
            <w:pPr>
              <w:spacing w:after="0"/>
              <w:rPr>
                <w:rFonts w:asciiTheme="minorHAnsi" w:hAnsiTheme="minorHAnsi" w:cstheme="minorHAnsi"/>
                <w:sz w:val="22"/>
                <w:szCs w:val="22"/>
              </w:rPr>
            </w:pPr>
            <w:r w:rsidRPr="00B255F7">
              <w:rPr>
                <w:rFonts w:asciiTheme="minorHAnsi" w:hAnsiTheme="minorHAnsi" w:cstheme="minorHAnsi"/>
                <w:sz w:val="22"/>
                <w:szCs w:val="22"/>
              </w:rPr>
              <w:t xml:space="preserve">Prema Strategiji prilagodbe  potrebno je provesti u cijelosti mjere  ŠU-03 Jačanje kapaciteta za sustavno praćenje i izvješćivanje stanja šumskih </w:t>
            </w:r>
            <w:r w:rsidRPr="00B255F7">
              <w:rPr>
                <w:rFonts w:asciiTheme="minorHAnsi" w:hAnsiTheme="minorHAnsi" w:cstheme="minorHAnsi"/>
                <w:sz w:val="22"/>
                <w:szCs w:val="22"/>
              </w:rPr>
              <w:lastRenderedPageBreak/>
              <w:t>ekosustava kao preduvjeta za informirano planiranje i provedbu prilagodbe klimatskim promjenama, ŠU-06 Predviđanje (prognoza) promjene rasprostranjenosti štetnih organizama, ŠU</w:t>
            </w:r>
            <w:r w:rsidR="515504B5" w:rsidRPr="00B255F7">
              <w:rPr>
                <w:rFonts w:asciiTheme="minorHAnsi" w:hAnsiTheme="minorHAnsi" w:cstheme="minorHAnsi"/>
                <w:sz w:val="22"/>
                <w:szCs w:val="22"/>
              </w:rPr>
              <w:t xml:space="preserve">-10 Procjena rizika i razvoj alata kojima se osigurava stalna prilagodba gospodarenja poljoprivrednim zemljištem i šumama radi smanjenja šteta od prirodnih i elementarnih nepogoda, ŠU-12 Definirati zajednice i šumska područja koja su najpodložnija mogućim promjenama te definirati mjere kako bi se smanjila ugroženost najranjivijih šumskih područja i zajednica, P-01 </w:t>
            </w:r>
            <w:r w:rsidRPr="00B255F7">
              <w:rPr>
                <w:rFonts w:asciiTheme="minorHAnsi" w:hAnsiTheme="minorHAnsi" w:cstheme="minorHAnsi"/>
                <w:sz w:val="22"/>
                <w:szCs w:val="22"/>
              </w:rPr>
              <w:t xml:space="preserve"> </w:t>
            </w:r>
            <w:r w:rsidR="0FF9E9E7" w:rsidRPr="00B255F7">
              <w:rPr>
                <w:rFonts w:asciiTheme="minorHAnsi" w:hAnsiTheme="minorHAnsi" w:cstheme="minorHAnsi"/>
                <w:sz w:val="22"/>
                <w:szCs w:val="22"/>
              </w:rPr>
              <w:t>Provedba ogledno-istraživačkog programa prilagodbe klimatskim promjenama u poljoprivredi</w:t>
            </w:r>
            <w:r w:rsidR="0FF9E9E7" w:rsidRPr="00B255F7">
              <w:rPr>
                <w:rFonts w:asciiTheme="minorHAnsi" w:eastAsia="Calibri" w:hAnsiTheme="minorHAnsi" w:cstheme="minorHAnsi"/>
                <w:sz w:val="22"/>
                <w:szCs w:val="22"/>
              </w:rPr>
              <w:t xml:space="preserve"> </w:t>
            </w:r>
            <w:r w:rsidRPr="00B255F7">
              <w:rPr>
                <w:rFonts w:asciiTheme="minorHAnsi" w:hAnsiTheme="minorHAnsi" w:cstheme="minorHAnsi"/>
                <w:sz w:val="22"/>
                <w:szCs w:val="22"/>
              </w:rPr>
              <w:t>kako bi se adresirala prilagodba klimatskim promjenama u cijelome sektoru šumarstva</w:t>
            </w:r>
            <w:r w:rsidR="1F35C7D4" w:rsidRPr="00B255F7">
              <w:rPr>
                <w:rFonts w:asciiTheme="minorHAnsi" w:hAnsiTheme="minorHAnsi" w:cstheme="minorHAnsi"/>
                <w:sz w:val="22"/>
                <w:szCs w:val="22"/>
              </w:rPr>
              <w:t xml:space="preserve"> i poljoprivrede</w:t>
            </w:r>
            <w:r w:rsidRPr="00B255F7">
              <w:rPr>
                <w:rFonts w:asciiTheme="minorHAnsi" w:hAnsiTheme="minorHAnsi" w:cstheme="minorHAnsi"/>
                <w:sz w:val="22"/>
                <w:szCs w:val="22"/>
              </w:rPr>
              <w:t xml:space="preserve">. Negativan utjecaj klimatskih promjena na sektor šumarstva </w:t>
            </w:r>
            <w:r w:rsidR="6D1328A6" w:rsidRPr="00B255F7">
              <w:rPr>
                <w:rFonts w:asciiTheme="minorHAnsi" w:hAnsiTheme="minorHAnsi" w:cstheme="minorHAnsi"/>
                <w:sz w:val="22"/>
                <w:szCs w:val="22"/>
              </w:rPr>
              <w:t xml:space="preserve">i poljoprivrede </w:t>
            </w:r>
            <w:r w:rsidRPr="00B255F7">
              <w:rPr>
                <w:rFonts w:asciiTheme="minorHAnsi" w:hAnsiTheme="minorHAnsi" w:cstheme="minorHAnsi"/>
                <w:sz w:val="22"/>
                <w:szCs w:val="22"/>
              </w:rPr>
              <w:t>je značajan</w:t>
            </w:r>
          </w:p>
          <w:p w14:paraId="20FA15AE" w14:textId="6FA2E2D3" w:rsidR="00CE47EE" w:rsidRPr="00B255F7" w:rsidRDefault="00CE47EE" w:rsidP="00AE4D7E">
            <w:pPr>
              <w:spacing w:after="0"/>
              <w:rPr>
                <w:rFonts w:asciiTheme="minorHAnsi" w:hAnsiTheme="minorHAnsi" w:cstheme="minorHAnsi"/>
                <w:sz w:val="22"/>
                <w:szCs w:val="22"/>
              </w:rPr>
            </w:pPr>
          </w:p>
        </w:tc>
      </w:tr>
      <w:tr w:rsidR="00BC3BCA" w:rsidRPr="00B255F7" w14:paraId="263FC41F" w14:textId="77777777" w:rsidTr="63259912">
        <w:tc>
          <w:tcPr>
            <w:tcW w:w="5000" w:type="pct"/>
            <w:gridSpan w:val="3"/>
            <w:shd w:val="clear" w:color="auto" w:fill="D9D9D9" w:themeFill="background1" w:themeFillShade="D9"/>
          </w:tcPr>
          <w:p w14:paraId="03C48C1C" w14:textId="5A1E460C" w:rsidR="00BC3BCA" w:rsidRPr="00B255F7" w:rsidRDefault="00BB3927"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lastRenderedPageBreak/>
              <w:t>Fugitivne emisije</w:t>
            </w:r>
          </w:p>
        </w:tc>
      </w:tr>
      <w:tr w:rsidR="00160378" w:rsidRPr="00B255F7" w14:paraId="562AEA20" w14:textId="77777777" w:rsidTr="63259912">
        <w:tc>
          <w:tcPr>
            <w:tcW w:w="1609" w:type="pct"/>
          </w:tcPr>
          <w:p w14:paraId="1CD47819" w14:textId="19CA775E" w:rsidR="00160378" w:rsidRPr="00B255F7" w:rsidRDefault="00160378" w:rsidP="00AE4D7E">
            <w:pPr>
              <w:pStyle w:val="Default"/>
              <w:jc w:val="both"/>
              <w:rPr>
                <w:rFonts w:cstheme="minorHAnsi"/>
                <w:b/>
                <w:sz w:val="22"/>
                <w:szCs w:val="22"/>
                <w:highlight w:val="yellow"/>
              </w:rPr>
            </w:pPr>
            <w:r w:rsidRPr="00B255F7">
              <w:rPr>
                <w:rFonts w:cstheme="minorHAnsi"/>
                <w:sz w:val="22"/>
                <w:szCs w:val="22"/>
              </w:rPr>
              <w:t>Modernizacija rafinerija</w:t>
            </w:r>
          </w:p>
        </w:tc>
        <w:tc>
          <w:tcPr>
            <w:tcW w:w="1683" w:type="pct"/>
          </w:tcPr>
          <w:p w14:paraId="1E1012CD" w14:textId="132FDC8C" w:rsidR="00160378" w:rsidRPr="00B255F7" w:rsidRDefault="00160378"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 xml:space="preserve">Strategija niskougljičnog razvoja Republike Hrvatske za razdoblje do 2030. godine, s pogledom na 2050. godinu </w:t>
            </w:r>
            <w:r w:rsidR="00EB08F1" w:rsidRPr="63259912">
              <w:rPr>
                <w:rFonts w:asciiTheme="minorHAnsi" w:hAnsiTheme="minorHAnsi" w:cstheme="minorBidi"/>
                <w:sz w:val="22"/>
                <w:szCs w:val="22"/>
              </w:rPr>
              <w:t xml:space="preserve">(„Narodne novine“, br. </w:t>
            </w:r>
            <w:r w:rsidRPr="63259912">
              <w:rPr>
                <w:rFonts w:asciiTheme="minorHAnsi" w:hAnsiTheme="minorHAnsi" w:cstheme="minorBidi"/>
                <w:sz w:val="22"/>
                <w:szCs w:val="22"/>
              </w:rPr>
              <w:t>63/</w:t>
            </w:r>
            <w:r w:rsidR="7184A1C4" w:rsidRPr="63259912">
              <w:rPr>
                <w:rFonts w:asciiTheme="minorHAnsi" w:hAnsiTheme="minorHAnsi" w:cstheme="minorBidi"/>
                <w:sz w:val="22"/>
                <w:szCs w:val="22"/>
              </w:rPr>
              <w:t>21</w:t>
            </w:r>
            <w:r w:rsidR="00F335FA" w:rsidRPr="63259912">
              <w:rPr>
                <w:rFonts w:asciiTheme="minorHAnsi" w:hAnsiTheme="minorHAnsi" w:cstheme="minorBidi"/>
                <w:sz w:val="22"/>
                <w:szCs w:val="22"/>
              </w:rPr>
              <w:t>.</w:t>
            </w:r>
            <w:r w:rsidR="7184A1C4" w:rsidRPr="63259912">
              <w:rPr>
                <w:rFonts w:asciiTheme="minorHAnsi" w:hAnsiTheme="minorHAnsi" w:cstheme="minorBidi"/>
                <w:sz w:val="22"/>
                <w:szCs w:val="22"/>
              </w:rPr>
              <w:t>)</w:t>
            </w:r>
          </w:p>
        </w:tc>
        <w:tc>
          <w:tcPr>
            <w:tcW w:w="1708" w:type="pct"/>
          </w:tcPr>
          <w:p w14:paraId="69AE1365" w14:textId="723D2C23" w:rsidR="00160378" w:rsidRPr="00B255F7" w:rsidRDefault="00160378"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Provedba investicija u modernizaciju i unaprjeđenje proizvodnje kako bi se održala konkurentnost rafinerija i smanjile fugitivne emisije iz rafinerija.</w:t>
            </w:r>
          </w:p>
        </w:tc>
      </w:tr>
      <w:tr w:rsidR="00160378" w:rsidRPr="00B255F7" w14:paraId="306BCDC4" w14:textId="77777777" w:rsidTr="63259912">
        <w:tc>
          <w:tcPr>
            <w:tcW w:w="1609" w:type="pct"/>
          </w:tcPr>
          <w:p w14:paraId="202F25E2" w14:textId="2FD32DE2" w:rsidR="00160378" w:rsidRPr="00B255F7" w:rsidRDefault="00160378" w:rsidP="00AE4D7E">
            <w:pPr>
              <w:pStyle w:val="Default"/>
              <w:jc w:val="both"/>
              <w:rPr>
                <w:rFonts w:cstheme="minorHAnsi"/>
                <w:b/>
                <w:sz w:val="22"/>
                <w:szCs w:val="22"/>
                <w:highlight w:val="yellow"/>
              </w:rPr>
            </w:pPr>
            <w:r w:rsidRPr="00B255F7">
              <w:rPr>
                <w:rFonts w:cstheme="minorHAnsi"/>
                <w:sz w:val="22"/>
                <w:szCs w:val="22"/>
              </w:rPr>
              <w:t>Mjere povećanja energetske učinkovitosti unapređenjem procesa i procesnih jedinica</w:t>
            </w:r>
          </w:p>
        </w:tc>
        <w:tc>
          <w:tcPr>
            <w:tcW w:w="1683" w:type="pct"/>
          </w:tcPr>
          <w:p w14:paraId="4BCD037A" w14:textId="7D0C7B05" w:rsidR="00160378" w:rsidRPr="00B255F7" w:rsidRDefault="00160378"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 xml:space="preserve">Strategija niskougljičnog razvoja Republike Hrvatske za razdoblje do 2030. godine, s pogledom na 2050. godinu </w:t>
            </w:r>
            <w:r w:rsidR="00EB08F1" w:rsidRPr="63259912">
              <w:rPr>
                <w:rFonts w:asciiTheme="minorHAnsi" w:hAnsiTheme="minorHAnsi" w:cstheme="minorBidi"/>
                <w:sz w:val="22"/>
                <w:szCs w:val="22"/>
              </w:rPr>
              <w:t xml:space="preserve">(„Narodne novine“, br. </w:t>
            </w:r>
            <w:r w:rsidRPr="63259912">
              <w:rPr>
                <w:rFonts w:asciiTheme="minorHAnsi" w:hAnsiTheme="minorHAnsi" w:cstheme="minorBidi"/>
                <w:sz w:val="22"/>
                <w:szCs w:val="22"/>
              </w:rPr>
              <w:t>63/</w:t>
            </w:r>
            <w:r w:rsidR="7184A1C4" w:rsidRPr="63259912">
              <w:rPr>
                <w:rFonts w:asciiTheme="minorHAnsi" w:hAnsiTheme="minorHAnsi" w:cstheme="minorBidi"/>
                <w:sz w:val="22"/>
                <w:szCs w:val="22"/>
              </w:rPr>
              <w:t>21</w:t>
            </w:r>
            <w:r w:rsidR="00F335FA" w:rsidRPr="63259912">
              <w:rPr>
                <w:rFonts w:asciiTheme="minorHAnsi" w:hAnsiTheme="minorHAnsi" w:cstheme="minorBidi"/>
                <w:sz w:val="22"/>
                <w:szCs w:val="22"/>
              </w:rPr>
              <w:t>.</w:t>
            </w:r>
            <w:r w:rsidR="7184A1C4" w:rsidRPr="63259912">
              <w:rPr>
                <w:rFonts w:asciiTheme="minorHAnsi" w:hAnsiTheme="minorHAnsi" w:cstheme="minorBidi"/>
                <w:sz w:val="22"/>
                <w:szCs w:val="22"/>
              </w:rPr>
              <w:t>)</w:t>
            </w:r>
          </w:p>
        </w:tc>
        <w:tc>
          <w:tcPr>
            <w:tcW w:w="1708" w:type="pct"/>
          </w:tcPr>
          <w:p w14:paraId="130B37E3" w14:textId="6DA93547" w:rsidR="00160378" w:rsidRPr="00B255F7" w:rsidRDefault="00160378" w:rsidP="63259912">
            <w:pPr>
              <w:spacing w:after="0"/>
              <w:rPr>
                <w:rFonts w:asciiTheme="minorHAnsi" w:hAnsiTheme="minorHAnsi" w:cstheme="minorBidi"/>
                <w:sz w:val="22"/>
                <w:szCs w:val="22"/>
                <w:highlight w:val="yellow"/>
              </w:rPr>
            </w:pPr>
            <w:r w:rsidRPr="63259912">
              <w:rPr>
                <w:rFonts w:asciiTheme="minorHAnsi" w:hAnsiTheme="minorHAnsi" w:cstheme="minorBidi"/>
                <w:sz w:val="22"/>
                <w:szCs w:val="22"/>
              </w:rPr>
              <w:t>Povećanje energetske učinkovitosti postiže se provođenjem mjera koje doprinose smanjenju energetske intenzivnosti putem racionalnijeg korištenja energije i sirovina i izmjenama proizvodnih procesa i opreme na crpnim stanicama i u rafinerijama što doprinosi smanjenju fugitivnih emisija.</w:t>
            </w:r>
          </w:p>
        </w:tc>
      </w:tr>
    </w:tbl>
    <w:p w14:paraId="339C5C7B" w14:textId="3E268717" w:rsidR="5B269282" w:rsidRDefault="5B269282"/>
    <w:p w14:paraId="41098FE5" w14:textId="77777777" w:rsidR="00B22E83" w:rsidRDefault="00BD6130" w:rsidP="00DC4760">
      <w:r w:rsidRPr="63259912">
        <w:lastRenderedPageBreak/>
        <w:t xml:space="preserve">Postojeći zakonodavni okvir će se revidirati, kako bi se uvažili novi ciljevi i nove obveze definirane Paketom o dekarboniziranim plinovima i vodiku (Decarbonised Gases and Hydrogen Package) i Uredbom o uspostavi Socijalnog fonda za klimatsku politiku: </w:t>
      </w:r>
      <w:r>
        <w:br/>
      </w:r>
      <w:r w:rsidRPr="63259912">
        <w:t>DIREKTIVA (EU) 2024/1788 EUROPSKOG PARLAMENTA I VIJEĆA od 13. lipnja 2024. o zajedničkim pravilima za unutarnje tržište plina iz obnovljivih izvora, prirodnog plina i vodika, izmjeni Direktive (EU) 2023/1791 i stavljanju izvan snage Direktive 2009/73/EZ (preinaka)</w:t>
      </w:r>
      <w:r w:rsidR="00DA5747" w:rsidRPr="63259912">
        <w:t>(SL L, 2024/1788, 15.7.2024</w:t>
      </w:r>
      <w:r w:rsidRPr="63259912">
        <w:t>),</w:t>
      </w:r>
    </w:p>
    <w:p w14:paraId="345D8D09" w14:textId="77777777" w:rsidR="006724CC" w:rsidRDefault="00BD6130" w:rsidP="00DC4760">
      <w:r w:rsidRPr="005516A4">
        <w:t>UREDBA (EU) 2024/1789 EUROPSKOG PARLAMENTA I VIJEĆA od 13. lipnja 2024. o unutarnjem tržištu plina iz obnovljivih izvora, prirodnog plina i vodika, o izmjeni uredbi (EU) br.1227/2011, (EU) 2017/1938, (EU) 2019/942 i (EU) 2022/869 i Odluke (EU) 2017/684 te o stavljanju izvan snage Uredbe (EZ) br. 715/2009 (preinaka)</w:t>
      </w:r>
      <w:r w:rsidR="0010071B">
        <w:t>(</w:t>
      </w:r>
      <w:r w:rsidR="00BF6DC7" w:rsidRPr="00BF6DC7">
        <w:t>SL L, 2024/1789, 15.7.2024</w:t>
      </w:r>
      <w:r>
        <w:t>)</w:t>
      </w:r>
      <w:r w:rsidRPr="005516A4">
        <w:t>,</w:t>
      </w:r>
    </w:p>
    <w:p w14:paraId="366A3F41" w14:textId="15CD7277" w:rsidR="006724CC" w:rsidRDefault="00BD6130" w:rsidP="00DC4760">
      <w:r w:rsidRPr="007543F3">
        <w:t>DIREKTIVA (EU) 2023/2413 EUROPSKOG PARLAMENTA I VIJEĆA od 18. listopada 2023. o izmjeni Direktive (EU) 2018/2001, Uredbe (EU) 2018/1999 i Direktive 98/70/EZ u pogledu promicanja energije iz obnovljivih izvora te o stavljanju izvan snage Direktive Vijeća (EU) 2015/652</w:t>
      </w:r>
      <w:r w:rsidR="008277FB">
        <w:t>(</w:t>
      </w:r>
      <w:r w:rsidR="008277FB" w:rsidRPr="008277FB">
        <w:t>SL L, 2023/2413, 31.10.2023</w:t>
      </w:r>
      <w:r w:rsidR="008277FB">
        <w:t>)</w:t>
      </w:r>
      <w:r w:rsidRPr="007543F3">
        <w:t>,</w:t>
      </w:r>
    </w:p>
    <w:p w14:paraId="62D9980F" w14:textId="77777777" w:rsidR="006724CC" w:rsidRDefault="00BD6130" w:rsidP="00DC4760">
      <w:r w:rsidRPr="005516A4">
        <w:t>UREDBA (EU) 2023/955 EUROPSKOG PARLAMENTA I VIJEĆA od 10. svibnja 2023. o uspostavi Socijalnog fonda za klimatsku politiku i o izmjeni Uredbe (EU) 2021/1060</w:t>
      </w:r>
      <w:r w:rsidR="005A5CBF">
        <w:t xml:space="preserve"> (</w:t>
      </w:r>
      <w:r w:rsidR="005A5CBF" w:rsidRPr="005A5CBF">
        <w:t>SL L 130, 16.5.2023, p. 1–51</w:t>
      </w:r>
      <w:r w:rsidR="005A5CBF">
        <w:t>)</w:t>
      </w:r>
      <w:r w:rsidRPr="005516A4">
        <w:t>,</w:t>
      </w:r>
    </w:p>
    <w:p w14:paraId="7CA4791B" w14:textId="5F674114" w:rsidR="006724CC" w:rsidRDefault="00BD6130" w:rsidP="00DC4760">
      <w:r w:rsidRPr="005516A4">
        <w:t>UREDBA (EU) 2024/1679 EUROPSKOG PARLAMENTA I VIJEĆA od 13. lipnja 2024. o smjernicama Unije za razvoj transeuropske prometne mreže, izmjeni Uredbe (EU) 2021/1153 i Uredbe (EU) br. 913/2010 te stavljanju izvan snage Uredbe (EU) br. 1315/2013</w:t>
      </w:r>
      <w:r w:rsidR="00840562">
        <w:t xml:space="preserve"> (</w:t>
      </w:r>
      <w:r w:rsidR="00840562" w:rsidRPr="00840562">
        <w:t>SL L, 2024/1679, 28.6.2024</w:t>
      </w:r>
      <w:r w:rsidR="00DF0142">
        <w:t>)</w:t>
      </w:r>
      <w:r w:rsidRPr="007543F3">
        <w:t>,</w:t>
      </w:r>
    </w:p>
    <w:p w14:paraId="6B67A45E" w14:textId="77777777" w:rsidR="006724CC" w:rsidRDefault="00BD6130" w:rsidP="00DC4760">
      <w:r w:rsidRPr="007543F3">
        <w:t>UREDBA (EU) 2023/1804 EUROPSKOG PARLAMENTA I VIJEĆA od 13. rujna 2023. o uvođenju infrastrukture za alternativna goriva i stavljanju izvan snage Direktive 2014/94/EU</w:t>
      </w:r>
      <w:r w:rsidR="003414A6">
        <w:t xml:space="preserve"> (</w:t>
      </w:r>
      <w:r w:rsidR="003414A6" w:rsidRPr="003414A6">
        <w:t>SL L 234, 22.9.2023, p. 1–47</w:t>
      </w:r>
      <w:r w:rsidR="003414A6">
        <w:t>)</w:t>
      </w:r>
      <w:r w:rsidRPr="007543F3">
        <w:t>,</w:t>
      </w:r>
    </w:p>
    <w:p w14:paraId="323074DF" w14:textId="77777777" w:rsidR="006724CC" w:rsidRDefault="00BD6130" w:rsidP="00DC4760">
      <w:r w:rsidRPr="63259912">
        <w:t>UREDBA (EU) 2023/1805 EUROPSKOG PARLAMENTA I VIJEĆA od 13. rujna 2023. o upotrebi obnovljivih i niskougljičnih goriva u pomorskom prometu i izmjeni Direktive 2009/16/EZ</w:t>
      </w:r>
      <w:r w:rsidR="003E7D58" w:rsidRPr="63259912">
        <w:t xml:space="preserve"> (SL L 234, 22/09/2023, p. 48–100)</w:t>
      </w:r>
      <w:r w:rsidRPr="63259912">
        <w:t>,</w:t>
      </w:r>
    </w:p>
    <w:p w14:paraId="080FE660" w14:textId="77777777" w:rsidR="006724CC" w:rsidRDefault="00BD6130" w:rsidP="00DC4760">
      <w:r w:rsidRPr="63259912">
        <w:t>UREDBA (EU) 2023/2405 EUROPSKOG PARLAMENTA I VIJEĆA od 18. listopada 2023. o osiguravanju jednakih uvjeta tržišnog natjecanja za održiv zračni prijevoz (ReFuelEU Aviation)</w:t>
      </w:r>
      <w:r w:rsidR="00CA6CAC" w:rsidRPr="63259912">
        <w:t>(SL L, 2023/2405, 31.10.2023</w:t>
      </w:r>
      <w:r w:rsidRPr="63259912">
        <w:t>),</w:t>
      </w:r>
    </w:p>
    <w:p w14:paraId="6169CAA0" w14:textId="2A4E1FF0" w:rsidR="00BD6130" w:rsidRPr="00BD6130" w:rsidRDefault="00BD6130" w:rsidP="007543F3">
      <w:r w:rsidRPr="007543F3">
        <w:t>UREDBA VIJEĆA (EU) 2022/2577 od 22. prosinca 2022. o utvrđivanju okvira za ubrzavanje uvođenja energije iz obnovljivih izvora</w:t>
      </w:r>
      <w:r w:rsidR="000B0E48">
        <w:t xml:space="preserve"> (</w:t>
      </w:r>
      <w:r w:rsidR="000B0E48" w:rsidRPr="000B0E48">
        <w:t>SL L 335, 29.12.2022, p. 36–44</w:t>
      </w:r>
      <w:r w:rsidR="000B0E48">
        <w:t>)</w:t>
      </w:r>
      <w:r w:rsidRPr="007543F3">
        <w:t>.</w:t>
      </w:r>
    </w:p>
    <w:p w14:paraId="20AC95CF" w14:textId="77777777" w:rsidR="00BD6130" w:rsidRDefault="00BD6130"/>
    <w:p w14:paraId="315C4FF5" w14:textId="77777777" w:rsidR="00165BDD" w:rsidRPr="00B47BDA" w:rsidRDefault="00165BDD" w:rsidP="004623DD">
      <w:r w:rsidRPr="00B47BDA">
        <w:br w:type="page"/>
      </w:r>
    </w:p>
    <w:p w14:paraId="3659B066" w14:textId="5ADF38C5" w:rsidR="00FF0CF3" w:rsidRPr="00FE4D03" w:rsidRDefault="00FF0CF3" w:rsidP="00557530">
      <w:pPr>
        <w:pStyle w:val="Heading5"/>
        <w:shd w:val="clear" w:color="auto" w:fill="DEEAF6" w:themeFill="accent1" w:themeFillTint="33"/>
      </w:pPr>
      <w:r w:rsidRPr="00FE4D03">
        <w:lastRenderedPageBreak/>
        <w:t>Dimenzija</w:t>
      </w:r>
      <w:r w:rsidR="00206A8F">
        <w:t>: e</w:t>
      </w:r>
      <w:r w:rsidRPr="00FE4D03">
        <w:t>nergetska učinkovitost</w:t>
      </w:r>
    </w:p>
    <w:p w14:paraId="6C903655" w14:textId="77777777" w:rsidR="00E97371" w:rsidRPr="00B47BDA" w:rsidRDefault="00FF0CF3" w:rsidP="004623DD">
      <w:r w:rsidRPr="00B47BDA">
        <w:t>Područje energetske učinkovitosti u Republici Hrvatskoj regulirano je</w:t>
      </w:r>
      <w:r w:rsidR="00E97371" w:rsidRPr="00B47BDA">
        <w:t>:</w:t>
      </w:r>
      <w:r w:rsidRPr="00B47BDA">
        <w:t xml:space="preserve"> </w:t>
      </w:r>
    </w:p>
    <w:p w14:paraId="417C69D0" w14:textId="6B0F9C0D" w:rsidR="00E97371" w:rsidRPr="00B47BDA" w:rsidRDefault="00FF0CF3" w:rsidP="001648A0">
      <w:pPr>
        <w:pStyle w:val="ListParagraph"/>
        <w:numPr>
          <w:ilvl w:val="0"/>
          <w:numId w:val="34"/>
        </w:numPr>
      </w:pPr>
      <w:r w:rsidRPr="00B47BDA">
        <w:t>Zakonom o energetskoj učinkovitosti (</w:t>
      </w:r>
      <w:r w:rsidR="004761E6">
        <w:t>„</w:t>
      </w:r>
      <w:r w:rsidR="00071A4F" w:rsidRPr="00071A4F">
        <w:t xml:space="preserve">Narodne </w:t>
      </w:r>
      <w:r w:rsidR="00A97AE7">
        <w:t>novine</w:t>
      </w:r>
      <w:r w:rsidR="004761E6">
        <w:t>“</w:t>
      </w:r>
      <w:r w:rsidR="00071A4F" w:rsidRPr="00071A4F">
        <w:t>, br</w:t>
      </w:r>
      <w:r w:rsidR="00EC4F82">
        <w:t>.</w:t>
      </w:r>
      <w:r w:rsidRPr="00B47BDA">
        <w:t xml:space="preserve"> 127</w:t>
      </w:r>
      <w:r w:rsidR="005B41DA">
        <w:t>/14</w:t>
      </w:r>
      <w:r w:rsidR="004761E6">
        <w:t>.</w:t>
      </w:r>
      <w:r w:rsidR="00840A3D" w:rsidRPr="00B47BDA">
        <w:t>, 116</w:t>
      </w:r>
      <w:r w:rsidR="005B41DA">
        <w:t>/18</w:t>
      </w:r>
      <w:r w:rsidR="004761E6">
        <w:t>.</w:t>
      </w:r>
      <w:r w:rsidR="004C292A" w:rsidRPr="00B47BDA">
        <w:t>, 25/20</w:t>
      </w:r>
      <w:r w:rsidR="004761E6">
        <w:t>.</w:t>
      </w:r>
      <w:r w:rsidR="004C292A" w:rsidRPr="00B47BDA">
        <w:t>, 32</w:t>
      </w:r>
      <w:r w:rsidR="005B41DA">
        <w:t>/21</w:t>
      </w:r>
      <w:r w:rsidR="004761E6">
        <w:t>.</w:t>
      </w:r>
      <w:r w:rsidR="004C292A" w:rsidRPr="00B47BDA">
        <w:t>, 41</w:t>
      </w:r>
      <w:r w:rsidR="005B41DA">
        <w:t>/21</w:t>
      </w:r>
      <w:r w:rsidR="004761E6">
        <w:t>.</w:t>
      </w:r>
      <w:r w:rsidRPr="00B47BDA">
        <w:t xml:space="preserve">), </w:t>
      </w:r>
    </w:p>
    <w:p w14:paraId="1BC6DD37" w14:textId="718618A2" w:rsidR="00E97371" w:rsidRPr="00B47BDA" w:rsidRDefault="00FF0CF3" w:rsidP="001648A0">
      <w:pPr>
        <w:pStyle w:val="ListParagraph"/>
        <w:numPr>
          <w:ilvl w:val="0"/>
          <w:numId w:val="34"/>
        </w:numPr>
      </w:pPr>
      <w:r w:rsidRPr="00B47BDA">
        <w:t>Zakonom o gradnji (</w:t>
      </w:r>
      <w:r w:rsidR="00F042B1">
        <w:t>„</w:t>
      </w:r>
      <w:r w:rsidR="00071A4F" w:rsidRPr="00071A4F">
        <w:t xml:space="preserve">Narodne </w:t>
      </w:r>
      <w:r w:rsidR="00A97AE7">
        <w:t>novine</w:t>
      </w:r>
      <w:r w:rsidR="00F042B1">
        <w:t>“</w:t>
      </w:r>
      <w:r w:rsidR="00071A4F" w:rsidRPr="00071A4F">
        <w:t>, br</w:t>
      </w:r>
      <w:r w:rsidR="00EC4F82">
        <w:t>.</w:t>
      </w:r>
      <w:r w:rsidRPr="00B47BDA">
        <w:t xml:space="preserve"> 153</w:t>
      </w:r>
      <w:r w:rsidR="005B41DA">
        <w:t>/13</w:t>
      </w:r>
      <w:r w:rsidR="00F042B1">
        <w:t>.</w:t>
      </w:r>
      <w:r w:rsidRPr="00B47BDA">
        <w:t>, 20</w:t>
      </w:r>
      <w:r w:rsidR="005B41DA">
        <w:t>/17</w:t>
      </w:r>
      <w:r w:rsidR="00F042B1">
        <w:t>.</w:t>
      </w:r>
      <w:r w:rsidR="002D715D" w:rsidRPr="00B47BDA">
        <w:t>, 39</w:t>
      </w:r>
      <w:r w:rsidR="005B41DA">
        <w:t>/19</w:t>
      </w:r>
      <w:r w:rsidR="00F042B1">
        <w:t>.</w:t>
      </w:r>
      <w:r w:rsidR="00340AEF" w:rsidRPr="00B47BDA">
        <w:t>, 125</w:t>
      </w:r>
      <w:r w:rsidR="005B41DA">
        <w:t>/19</w:t>
      </w:r>
      <w:r w:rsidR="00F042B1">
        <w:t>.</w:t>
      </w:r>
      <w:r w:rsidRPr="00B47BDA">
        <w:t xml:space="preserve">), </w:t>
      </w:r>
    </w:p>
    <w:p w14:paraId="375D6C8F" w14:textId="136B8575" w:rsidR="002C3B1D" w:rsidRDefault="00FF0CF3" w:rsidP="001648A0">
      <w:pPr>
        <w:pStyle w:val="ListParagraph"/>
        <w:numPr>
          <w:ilvl w:val="0"/>
          <w:numId w:val="34"/>
        </w:numPr>
      </w:pPr>
      <w:r w:rsidRPr="00B47BDA">
        <w:t xml:space="preserve">Zakonom o zaštiti od svjetlosnog onečišćenja </w:t>
      </w:r>
      <w:r w:rsidR="00EB08F1">
        <w:t xml:space="preserve">(„Narodne novine“, br. </w:t>
      </w:r>
      <w:r w:rsidR="002C22A5" w:rsidRPr="00B47BDA">
        <w:t>14</w:t>
      </w:r>
      <w:r w:rsidR="005B41DA">
        <w:t>/19</w:t>
      </w:r>
      <w:r w:rsidR="00F042B1">
        <w:t>.</w:t>
      </w:r>
      <w:r w:rsidRPr="00B47BDA">
        <w:t>)</w:t>
      </w:r>
      <w:r w:rsidR="009519D1" w:rsidRPr="00B47BDA">
        <w:t>,</w:t>
      </w:r>
      <w:r w:rsidRPr="00B47BDA">
        <w:t xml:space="preserve"> </w:t>
      </w:r>
    </w:p>
    <w:p w14:paraId="4DEDC223" w14:textId="1A5F8C2E" w:rsidR="00DA62B3" w:rsidRDefault="007A2D7C" w:rsidP="001648A0">
      <w:pPr>
        <w:pStyle w:val="ListParagraph"/>
        <w:numPr>
          <w:ilvl w:val="0"/>
          <w:numId w:val="34"/>
        </w:numPr>
      </w:pPr>
      <w:r w:rsidRPr="007543F3">
        <w:t>Zakon o fondu za zaštitu okoliša i energetsku učinkovitost (</w:t>
      </w:r>
      <w:r w:rsidR="00F042B1">
        <w:t>„</w:t>
      </w:r>
      <w:r w:rsidRPr="007543F3">
        <w:t>Narodne novine</w:t>
      </w:r>
      <w:r w:rsidR="00F042B1">
        <w:t>“</w:t>
      </w:r>
      <w:r w:rsidRPr="007543F3">
        <w:t>, br. 107/03</w:t>
      </w:r>
      <w:r w:rsidR="00F042B1">
        <w:t>.</w:t>
      </w:r>
      <w:r w:rsidRPr="007543F3">
        <w:t>, 144/12</w:t>
      </w:r>
      <w:r w:rsidR="00F042B1">
        <w:t>.</w:t>
      </w:r>
      <w:r w:rsidRPr="007543F3">
        <w:t xml:space="preserve">), </w:t>
      </w:r>
    </w:p>
    <w:p w14:paraId="7956A3CD" w14:textId="4B0CA175" w:rsidR="00307CBB" w:rsidRDefault="007A2D7C" w:rsidP="001648A0">
      <w:pPr>
        <w:pStyle w:val="ListParagraph"/>
        <w:numPr>
          <w:ilvl w:val="0"/>
          <w:numId w:val="34"/>
        </w:numPr>
      </w:pPr>
      <w:r w:rsidRPr="007543F3">
        <w:t>Zakon o javnoj nabavi (</w:t>
      </w:r>
      <w:r w:rsidR="00F042B1">
        <w:t>„</w:t>
      </w:r>
      <w:r w:rsidRPr="007543F3">
        <w:t>Narodne novine</w:t>
      </w:r>
      <w:r w:rsidR="00F042B1">
        <w:t>“</w:t>
      </w:r>
      <w:r w:rsidRPr="007543F3">
        <w:t>, br. 120/16</w:t>
      </w:r>
      <w:r w:rsidR="00F042B1">
        <w:t>.</w:t>
      </w:r>
      <w:r w:rsidRPr="007543F3">
        <w:t>, 114/22</w:t>
      </w:r>
      <w:r w:rsidR="00F042B1">
        <w:t>.</w:t>
      </w:r>
      <w:r w:rsidRPr="007543F3">
        <w:t>)</w:t>
      </w:r>
      <w:r w:rsidR="00307CBB">
        <w:t>,</w:t>
      </w:r>
    </w:p>
    <w:p w14:paraId="43CD7977" w14:textId="0D652179" w:rsidR="00737981" w:rsidRPr="00B47BDA" w:rsidRDefault="007A2D7C" w:rsidP="001648A0">
      <w:pPr>
        <w:pStyle w:val="ListParagraph"/>
        <w:numPr>
          <w:ilvl w:val="0"/>
          <w:numId w:val="34"/>
        </w:numPr>
      </w:pPr>
      <w:r w:rsidRPr="007543F3">
        <w:t>Zakon o energiji (</w:t>
      </w:r>
      <w:r w:rsidR="00F042B1">
        <w:t>„</w:t>
      </w:r>
      <w:r w:rsidRPr="007543F3">
        <w:t>Narodne novine</w:t>
      </w:r>
      <w:r w:rsidR="00F042B1">
        <w:t>“</w:t>
      </w:r>
      <w:r w:rsidRPr="007543F3">
        <w:t xml:space="preserve"> br. 120/12</w:t>
      </w:r>
      <w:r w:rsidR="00F042B1">
        <w:t>.</w:t>
      </w:r>
      <w:r w:rsidRPr="007543F3">
        <w:t>, 14/14</w:t>
      </w:r>
      <w:r w:rsidR="00F042B1">
        <w:t>.</w:t>
      </w:r>
      <w:r w:rsidRPr="007543F3">
        <w:t>, 102/15</w:t>
      </w:r>
      <w:r w:rsidR="00F042B1">
        <w:t>.</w:t>
      </w:r>
      <w:r w:rsidRPr="007543F3">
        <w:t>, 68/18</w:t>
      </w:r>
      <w:r w:rsidR="00F042B1">
        <w:t>.</w:t>
      </w:r>
      <w:r w:rsidRPr="007543F3">
        <w:t>)</w:t>
      </w:r>
      <w:r w:rsidR="00307CBB">
        <w:t>,</w:t>
      </w:r>
    </w:p>
    <w:p w14:paraId="41CC911D" w14:textId="10AF7D0F" w:rsidR="00FB4E92" w:rsidRPr="00B47BDA" w:rsidRDefault="00FF0CF3" w:rsidP="001648A0">
      <w:pPr>
        <w:pStyle w:val="ListParagraph"/>
        <w:numPr>
          <w:ilvl w:val="0"/>
          <w:numId w:val="34"/>
        </w:numPr>
      </w:pPr>
      <w:r w:rsidRPr="00B47BDA">
        <w:t>podzakonskim aktima koji slijede iz tih Zakona.</w:t>
      </w:r>
    </w:p>
    <w:p w14:paraId="63E5AE1F" w14:textId="45DB3559" w:rsidR="00485E0E" w:rsidRPr="00B47BDA" w:rsidRDefault="00485E0E" w:rsidP="00557530">
      <w:r w:rsidRPr="63259912">
        <w:t xml:space="preserve">Nacionalni ciljevi povećanja energetske učinkovitosti do </w:t>
      </w:r>
      <w:r w:rsidR="006A3389" w:rsidRPr="63259912">
        <w:t>20</w:t>
      </w:r>
      <w:r w:rsidR="00F257C5" w:rsidRPr="63259912">
        <w:t>2</w:t>
      </w:r>
      <w:r w:rsidR="006A3389" w:rsidRPr="63259912">
        <w:t>0</w:t>
      </w:r>
      <w:r w:rsidRPr="63259912">
        <w:t xml:space="preserve">. </w:t>
      </w:r>
      <w:r w:rsidR="00F257C5" w:rsidRPr="63259912">
        <w:t>i do 2030.</w:t>
      </w:r>
      <w:r w:rsidRPr="63259912">
        <w:t xml:space="preserve"> godine definirani su </w:t>
      </w:r>
      <w:r w:rsidR="006136E5" w:rsidRPr="63259912">
        <w:t xml:space="preserve">u </w:t>
      </w:r>
      <w:r w:rsidR="006A3389" w:rsidRPr="63259912">
        <w:t>Zakonu o energ</w:t>
      </w:r>
      <w:r w:rsidR="009F5FB3" w:rsidRPr="63259912">
        <w:t>e</w:t>
      </w:r>
      <w:r w:rsidR="006A3389" w:rsidRPr="63259912">
        <w:t>tskoj</w:t>
      </w:r>
      <w:r w:rsidRPr="63259912">
        <w:t xml:space="preserve"> učinkovitosti</w:t>
      </w:r>
      <w:r w:rsidR="00F257C5" w:rsidRPr="63259912">
        <w:t>. Ciljevi do 2030. godine temelje se na prvoj inačici NECP</w:t>
      </w:r>
      <w:r w:rsidR="009F5FB3" w:rsidRPr="63259912">
        <w:t>-a</w:t>
      </w:r>
      <w:r w:rsidR="008D3310" w:rsidRPr="63259912">
        <w:t xml:space="preserve">, </w:t>
      </w:r>
      <w:r w:rsidR="006136E5" w:rsidRPr="63259912">
        <w:t>a</w:t>
      </w:r>
      <w:r w:rsidR="008D3310" w:rsidRPr="63259912">
        <w:t xml:space="preserve"> dodatno su utvrđeni i u Na</w:t>
      </w:r>
      <w:r w:rsidR="008134AA" w:rsidRPr="63259912">
        <w:t>cionalnom akcijskom planu energetske učinkovitosti (NAPEnU) za razdoblje</w:t>
      </w:r>
      <w:r w:rsidR="006136E5" w:rsidRPr="63259912">
        <w:t xml:space="preserve"> 2022. do 2024. godine</w:t>
      </w:r>
      <w:r w:rsidR="00935B8D" w:rsidRPr="63259912">
        <w:t xml:space="preserve">. Ciljevi su </w:t>
      </w:r>
      <w:r w:rsidRPr="63259912">
        <w:t>izražen</w:t>
      </w:r>
      <w:r w:rsidR="00935B8D" w:rsidRPr="63259912">
        <w:t>i</w:t>
      </w:r>
      <w:r w:rsidRPr="63259912">
        <w:t xml:space="preserve"> kao apsolutni iznos neposredne potrošnje energije u 20</w:t>
      </w:r>
      <w:r w:rsidR="00935B8D" w:rsidRPr="63259912">
        <w:t>3</w:t>
      </w:r>
      <w:r w:rsidRPr="63259912">
        <w:t xml:space="preserve">0. godini </w:t>
      </w:r>
      <w:r w:rsidR="00935B8D" w:rsidRPr="63259912">
        <w:t>koja treba iznositi</w:t>
      </w:r>
      <w:r w:rsidRPr="63259912">
        <w:t xml:space="preserve"> </w:t>
      </w:r>
      <w:r w:rsidR="000B5247" w:rsidRPr="63259912">
        <w:t>286</w:t>
      </w:r>
      <w:r w:rsidRPr="63259912">
        <w:t>,</w:t>
      </w:r>
      <w:r w:rsidR="00544B5B" w:rsidRPr="63259912">
        <w:t>9</w:t>
      </w:r>
      <w:r w:rsidRPr="63259912">
        <w:t xml:space="preserve"> PJ (6,</w:t>
      </w:r>
      <w:r w:rsidR="00617E76" w:rsidRPr="63259912">
        <w:t>85</w:t>
      </w:r>
      <w:r w:rsidRPr="63259912">
        <w:t xml:space="preserve"> Mt</w:t>
      </w:r>
      <w:r w:rsidR="001B3ED7" w:rsidRPr="63259912">
        <w:t>oe</w:t>
      </w:r>
      <w:r w:rsidR="00617E76" w:rsidRPr="63259912">
        <w:t>) odnosno</w:t>
      </w:r>
      <w:r w:rsidRPr="63259912">
        <w:t xml:space="preserve"> primarne energije u 20</w:t>
      </w:r>
      <w:r w:rsidR="00665AE1" w:rsidRPr="63259912">
        <w:t>3</w:t>
      </w:r>
      <w:r w:rsidRPr="63259912">
        <w:t xml:space="preserve">0. godini </w:t>
      </w:r>
      <w:r w:rsidR="009F6545" w:rsidRPr="63259912">
        <w:t>344</w:t>
      </w:r>
      <w:r w:rsidRPr="63259912">
        <w:t>,</w:t>
      </w:r>
      <w:r w:rsidR="009F6545" w:rsidRPr="63259912">
        <w:t>4</w:t>
      </w:r>
      <w:r w:rsidRPr="63259912">
        <w:t xml:space="preserve"> PJ (</w:t>
      </w:r>
      <w:r w:rsidR="00CB3508" w:rsidRPr="63259912">
        <w:t>8</w:t>
      </w:r>
      <w:r w:rsidRPr="63259912">
        <w:t>,</w:t>
      </w:r>
      <w:r w:rsidR="00CB3508" w:rsidRPr="63259912">
        <w:t>23</w:t>
      </w:r>
      <w:r w:rsidRPr="63259912">
        <w:t xml:space="preserve"> Mt</w:t>
      </w:r>
      <w:r w:rsidR="001B3ED7" w:rsidRPr="63259912">
        <w:t>oe</w:t>
      </w:r>
      <w:r w:rsidRPr="63259912">
        <w:t xml:space="preserve">). Ciljevi iskazani kao apsolutni iznos primarne i neposredne potrošnje energije prikazuje </w:t>
      </w:r>
      <w:r w:rsidR="00FD5BCC" w:rsidRPr="63259912">
        <w:t>S</w:t>
      </w:r>
      <w:r w:rsidR="00A55DFD" w:rsidRPr="63259912">
        <w:t xml:space="preserve">lika </w:t>
      </w:r>
      <w:r>
        <w:fldChar w:fldCharType="begin"/>
      </w:r>
      <w:r>
        <w:instrText xml:space="preserve"> REF _Ref134172979 \h  \* MERGEFORMAT </w:instrText>
      </w:r>
      <w:r>
        <w:fldChar w:fldCharType="separate"/>
      </w:r>
      <w:r w:rsidR="00DA7B36" w:rsidRPr="63259912">
        <w:t>15.</w:t>
      </w:r>
      <w:r>
        <w:fldChar w:fldCharType="end"/>
      </w:r>
    </w:p>
    <w:p w14:paraId="327FCB4E" w14:textId="6BA7499F" w:rsidR="00FF5A45" w:rsidRPr="00B47BDA" w:rsidRDefault="00FF5A45" w:rsidP="00CC5B5D">
      <w:pPr>
        <w:jc w:val="center"/>
      </w:pPr>
      <w:r w:rsidRPr="00B47BDA">
        <w:rPr>
          <w:noProof/>
          <w:lang w:eastAsia="hr-HR"/>
        </w:rPr>
        <w:drawing>
          <wp:inline distT="0" distB="0" distL="0" distR="0" wp14:anchorId="0BC0543F" wp14:editId="5213E6AE">
            <wp:extent cx="5355004" cy="3364523"/>
            <wp:effectExtent l="0" t="0" r="0" b="7620"/>
            <wp:docPr id="1537299601" name="Chart 1537299601">
              <a:extLst xmlns:a="http://schemas.openxmlformats.org/drawingml/2006/main">
                <a:ext uri="{FF2B5EF4-FFF2-40B4-BE49-F238E27FC236}">
                  <a16:creationId xmlns:a16="http://schemas.microsoft.com/office/drawing/2014/main" id="{491893F1-9D7C-483B-884D-D08963A4A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3CB915" w14:textId="256D0498" w:rsidR="005914B4" w:rsidRDefault="009E4E70" w:rsidP="004623DD">
      <w:pPr>
        <w:pStyle w:val="Caption"/>
      </w:pPr>
      <w:bookmarkStart w:id="99" w:name="_Toc185605249"/>
      <w:bookmarkStart w:id="100" w:name="_Toc193035877"/>
      <w:r w:rsidRPr="00587267">
        <w:t xml:space="preserve">Slika </w:t>
      </w:r>
      <w:bookmarkStart w:id="101" w:name="_Ref134172979"/>
      <w:r w:rsidR="00432DEF">
        <w:fldChar w:fldCharType="begin"/>
      </w:r>
      <w:r w:rsidR="00432DEF">
        <w:instrText xml:space="preserve"> STYLEREF 1 \s </w:instrText>
      </w:r>
      <w:r w:rsidR="00432DEF">
        <w:fldChar w:fldCharType="separate"/>
      </w:r>
      <w:r w:rsidR="00AD324D">
        <w:rPr>
          <w:noProof/>
        </w:rPr>
        <w:t>1</w:t>
      </w:r>
      <w:r w:rsidR="00432DEF">
        <w:fldChar w:fldCharType="end"/>
      </w:r>
      <w:r w:rsidR="00257B39">
        <w:t>–</w:t>
      </w:r>
      <w:r>
        <w:fldChar w:fldCharType="begin"/>
      </w:r>
      <w:r>
        <w:instrText>SEQ Slika \* ARABIC \s 1</w:instrText>
      </w:r>
      <w:r>
        <w:fldChar w:fldCharType="separate"/>
      </w:r>
      <w:r w:rsidR="00AD324D">
        <w:rPr>
          <w:noProof/>
        </w:rPr>
        <w:t>5</w:t>
      </w:r>
      <w:r>
        <w:fldChar w:fldCharType="end"/>
      </w:r>
      <w:bookmarkEnd w:id="101"/>
      <w:r w:rsidRPr="00587267">
        <w:t xml:space="preserve">. </w:t>
      </w:r>
      <w:r w:rsidR="00B942E5" w:rsidRPr="00587267">
        <w:t>Kretanje ostvarene potrošnje energije u razdoblju od 2014. do 2020. godine te projekcije potrošnje od 2021. do 2030. godine</w:t>
      </w:r>
      <w:r w:rsidR="00D76391" w:rsidRPr="00587267">
        <w:t xml:space="preserve"> s postojećim </w:t>
      </w:r>
      <w:r w:rsidR="005D57B8">
        <w:t>mjerama</w:t>
      </w:r>
      <w:bookmarkEnd w:id="99"/>
      <w:bookmarkEnd w:id="100"/>
    </w:p>
    <w:p w14:paraId="45FD5FCE" w14:textId="58E1CBD0" w:rsidR="009E4E70" w:rsidRPr="005914B4" w:rsidRDefault="00FF5A45" w:rsidP="63259912">
      <w:pPr>
        <w:pStyle w:val="Caption"/>
        <w:rPr>
          <w:b w:val="0"/>
        </w:rPr>
      </w:pPr>
      <w:r w:rsidRPr="63259912">
        <w:rPr>
          <w:b w:val="0"/>
        </w:rPr>
        <w:t>Izvor: NAPEnU za razdoblje od 2022. do 2024.</w:t>
      </w:r>
      <w:r w:rsidR="0007727F" w:rsidRPr="63259912">
        <w:rPr>
          <w:b w:val="0"/>
        </w:rPr>
        <w:t xml:space="preserve"> godine</w:t>
      </w:r>
    </w:p>
    <w:p w14:paraId="29D10722" w14:textId="0385C5CC" w:rsidR="00FF0CF3" w:rsidRPr="00B47BDA" w:rsidRDefault="00FF0CF3" w:rsidP="00557530">
      <w:r w:rsidRPr="00B47BDA">
        <w:lastRenderedPageBreak/>
        <w:t xml:space="preserve">Pregled regulatornih mjera koje su definirane u navedenim </w:t>
      </w:r>
      <w:r w:rsidR="00304702" w:rsidRPr="00B47BDA">
        <w:t xml:space="preserve">zakonima </w:t>
      </w:r>
      <w:r w:rsidRPr="00B47BDA">
        <w:t xml:space="preserve">i relevantnim podzakonskim aktima prikazuje </w:t>
      </w:r>
      <w:r w:rsidR="00DF2D52">
        <w:t>T</w:t>
      </w:r>
      <w:r w:rsidR="00A55DFD">
        <w:t xml:space="preserve">ablica </w:t>
      </w:r>
      <w:r w:rsidRPr="00B47BDA">
        <w:fldChar w:fldCharType="begin"/>
      </w:r>
      <w:r w:rsidRPr="00B47BDA">
        <w:instrText xml:space="preserve"> REF _Ref525127219 \h </w:instrText>
      </w:r>
      <w:r w:rsidR="00FE6ED9" w:rsidRPr="00B47BDA">
        <w:instrText xml:space="preserve"> \* MERGEFORMAT </w:instrText>
      </w:r>
      <w:r w:rsidRPr="00B47BDA">
        <w:fldChar w:fldCharType="separate"/>
      </w:r>
      <w:r w:rsidR="00AD324D">
        <w:t>1</w:t>
      </w:r>
      <w:r w:rsidR="00AD324D" w:rsidRPr="00062AEC">
        <w:noBreakHyphen/>
      </w:r>
      <w:r w:rsidR="00AD324D">
        <w:t>6</w:t>
      </w:r>
      <w:r w:rsidR="00AD324D" w:rsidRPr="00062AEC">
        <w:t>.</w:t>
      </w:r>
      <w:r w:rsidRPr="00B47BDA">
        <w:fldChar w:fldCharType="end"/>
      </w:r>
      <w:r w:rsidRPr="00B47BDA">
        <w:t xml:space="preserve"> Navedenim se zakonima i propisima u Hrvatskoj zadovoljavaju zahtjevi sljedećih EU direktiva:</w:t>
      </w:r>
    </w:p>
    <w:p w14:paraId="530B612B" w14:textId="447FCD41" w:rsidR="00FF0CF3" w:rsidRPr="00B47BDA" w:rsidRDefault="00FF0CF3" w:rsidP="00FC3DF8">
      <w:pPr>
        <w:pStyle w:val="ListParagraph"/>
        <w:numPr>
          <w:ilvl w:val="0"/>
          <w:numId w:val="6"/>
        </w:numPr>
        <w:spacing w:after="60"/>
        <w:ind w:left="357" w:hanging="357"/>
      </w:pPr>
      <w:r w:rsidRPr="00B47BDA">
        <w:t>Direktiva 2012/27/EU Europskog parlamenta i Vijeća od 25. listopada 2012. o energetskoj učinkovitosti kojom se dopunjuju direktive 2009/125/EZ i 2010/30/EU i ukidaju direktive 2004/8/EZ i 2006/32/EZ</w:t>
      </w:r>
      <w:r w:rsidR="003C5665">
        <w:t xml:space="preserve"> </w:t>
      </w:r>
      <w:r w:rsidR="003C5665" w:rsidRPr="003C5665">
        <w:t>(Tekst značajan za EGP) (SL L 315, 14.11.2012.)</w:t>
      </w:r>
      <w:r w:rsidR="00151E23">
        <w:t xml:space="preserve"> </w:t>
      </w:r>
      <w:r w:rsidR="008B5A66">
        <w:t>(</w:t>
      </w:r>
      <w:r w:rsidR="00151E23" w:rsidRPr="00B47BDA">
        <w:t xml:space="preserve">u daljnjem tekstu: Direktiva </w:t>
      </w:r>
      <w:r w:rsidR="00151E23">
        <w:t xml:space="preserve">2012/27/EU </w:t>
      </w:r>
      <w:r w:rsidR="00151E23" w:rsidRPr="00B47BDA">
        <w:t>o energetskoj učinkovitosti</w:t>
      </w:r>
      <w:r w:rsidR="00244E9E">
        <w:t>)</w:t>
      </w:r>
      <w:r w:rsidRPr="00B47BDA">
        <w:t xml:space="preserve">; </w:t>
      </w:r>
    </w:p>
    <w:p w14:paraId="66AFAB79" w14:textId="5859CDCE" w:rsidR="00E55CD0" w:rsidRPr="00B47BDA" w:rsidRDefault="00E55CD0" w:rsidP="00FC3DF8">
      <w:pPr>
        <w:pStyle w:val="ListParagraph"/>
        <w:numPr>
          <w:ilvl w:val="0"/>
          <w:numId w:val="6"/>
        </w:numPr>
        <w:spacing w:after="60"/>
        <w:ind w:left="357" w:hanging="357"/>
      </w:pPr>
      <w:r w:rsidRPr="00B47BDA">
        <w:t>Direktiva (EU) 2018/2002 Europskog parlamenta i Vijeća od 11. prosinca 2018. o izmjeni Direktive 2012/27/EU o energetskoj učinkovitosti (Tekst značajan za EGP) (SL L 328, 21.12.2018.)  (u daljnjem tekstu: Direktiva o energetskoj učinkovitosti);</w:t>
      </w:r>
    </w:p>
    <w:p w14:paraId="769B82D6" w14:textId="6DF7BB53" w:rsidR="00FF0CF3" w:rsidRPr="00B47BDA" w:rsidRDefault="00FF0CF3" w:rsidP="00FC3DF8">
      <w:pPr>
        <w:pStyle w:val="ListParagraph"/>
        <w:numPr>
          <w:ilvl w:val="0"/>
          <w:numId w:val="6"/>
        </w:numPr>
        <w:spacing w:after="60"/>
        <w:ind w:left="357" w:hanging="357"/>
      </w:pPr>
      <w:r w:rsidRPr="00B47BDA">
        <w:t>Direktiva 2010/31/EU Europskog parlamenta i Vijeća od 19. svibnja 2010. o energetskoj učinkovitosti zgrada</w:t>
      </w:r>
      <w:r w:rsidR="00635F5F" w:rsidRPr="00635F5F">
        <w:t xml:space="preserve"> </w:t>
      </w:r>
      <w:r w:rsidR="00635F5F">
        <w:t>(preinaka) (SL L 153, 18.6.2010.</w:t>
      </w:r>
      <w:r w:rsidR="00C96D2C">
        <w:t>)</w:t>
      </w:r>
      <w:r w:rsidRPr="00B47BDA">
        <w:t>;</w:t>
      </w:r>
    </w:p>
    <w:p w14:paraId="1CBE7157" w14:textId="70A31497" w:rsidR="002B4027" w:rsidRPr="00B47BDA" w:rsidRDefault="002B4027" w:rsidP="00FC3DF8">
      <w:pPr>
        <w:pStyle w:val="ListParagraph"/>
        <w:numPr>
          <w:ilvl w:val="0"/>
          <w:numId w:val="6"/>
        </w:numPr>
        <w:spacing w:after="60"/>
        <w:ind w:left="357" w:hanging="357"/>
        <w:rPr>
          <w:rFonts w:cstheme="minorHAnsi"/>
        </w:rPr>
      </w:pPr>
      <w:r w:rsidRPr="00B47BDA">
        <w:t>Direktiva (EU) 2018/844 Europskog parlamenta i Vijeća od 30. svibnja 2018. o izmjeni Direktive 2010/31/EU o energetskim svojstvima zgrada i Direktive 2012/27/EU o energetskoj učinkovitosti (Tekst značajan za EGP) (SL L 156, 19.6.2018.) (u daljnjem tekstu: Direktiva o energetskim svojstvima zgrada)</w:t>
      </w:r>
      <w:r w:rsidR="0000797B">
        <w:t>;</w:t>
      </w:r>
    </w:p>
    <w:p w14:paraId="46F7523D" w14:textId="0091F5FB" w:rsidR="00FF0CF3" w:rsidRPr="00B47BDA" w:rsidRDefault="00FF0CF3" w:rsidP="00FC3DF8">
      <w:pPr>
        <w:pStyle w:val="ListParagraph"/>
        <w:numPr>
          <w:ilvl w:val="0"/>
          <w:numId w:val="6"/>
        </w:numPr>
        <w:spacing w:after="60"/>
        <w:ind w:left="357" w:hanging="357"/>
      </w:pPr>
      <w:r w:rsidRPr="00B47BDA">
        <w:t>Direktiv</w:t>
      </w:r>
      <w:r w:rsidR="0029088D" w:rsidRPr="00B47BDA">
        <w:t>a</w:t>
      </w:r>
      <w:r w:rsidRPr="00B47BDA">
        <w:t xml:space="preserve"> 2010/30/EU o iskazivanju potrošnje energije i ostalih resursa proizvoda, povezanih s energijom, pomoću oznaka i standardiziranih informacija o proizvodu</w:t>
      </w:r>
      <w:r w:rsidR="00CC1F43" w:rsidRPr="00CC1F43">
        <w:t xml:space="preserve"> </w:t>
      </w:r>
      <w:r w:rsidR="00CC1F43">
        <w:t>(preinaka) (Tekst značajan za EGP) (SL L 153, 18.6.2010.)</w:t>
      </w:r>
      <w:r w:rsidRPr="00B47BDA">
        <w:t>, odnosno Uredba 2017/1369 o utvrđivanju okvira za označivanje energetske učinkovitosti i o stavljanju izvan snage Direktive 2010/30/EU</w:t>
      </w:r>
      <w:r w:rsidR="00CD7D28" w:rsidRPr="00CD7D28">
        <w:t xml:space="preserve"> </w:t>
      </w:r>
      <w:r w:rsidR="00CD7D28">
        <w:t>(Tekst značajan za EGP. )</w:t>
      </w:r>
      <w:r w:rsidR="00C81847">
        <w:t xml:space="preserve"> (</w:t>
      </w:r>
      <w:r w:rsidR="00CD7D28">
        <w:t>SL L 198, 28.7.2017.</w:t>
      </w:r>
      <w:r w:rsidR="00C81847">
        <w:t>)</w:t>
      </w:r>
      <w:r w:rsidRPr="00B47BDA">
        <w:t xml:space="preserve">; </w:t>
      </w:r>
    </w:p>
    <w:p w14:paraId="068D5815" w14:textId="07EB9792" w:rsidR="00F82F34" w:rsidRPr="000D16F7" w:rsidRDefault="00F82F34" w:rsidP="00FC3DF8">
      <w:pPr>
        <w:pStyle w:val="ListParagraph"/>
        <w:numPr>
          <w:ilvl w:val="0"/>
          <w:numId w:val="6"/>
        </w:numPr>
        <w:spacing w:after="60"/>
        <w:ind w:left="357" w:hanging="357"/>
        <w:rPr>
          <w:rFonts w:cstheme="minorBidi"/>
        </w:rPr>
      </w:pPr>
      <w:r w:rsidRPr="00B47BDA">
        <w:t xml:space="preserve">Direktiva 2009/125/EZ Europskog parlamenta i Vijeća od 21. listopada 2009. o uspostavi okvira za </w:t>
      </w:r>
      <w:r w:rsidRPr="0094579B">
        <w:rPr>
          <w:rFonts w:cstheme="minorHAnsi"/>
        </w:rPr>
        <w:t xml:space="preserve">utvrđivanje zahtjeva za ekološki dizajn proizvoda </w:t>
      </w:r>
      <w:r w:rsidR="00C53A83" w:rsidRPr="0094579B">
        <w:rPr>
          <w:rFonts w:cstheme="minorHAnsi"/>
        </w:rPr>
        <w:t>koji koriste energiju (preinaka) (Tekst značajan za EGP)</w:t>
      </w:r>
      <w:r w:rsidR="0094579B" w:rsidRPr="0094579B">
        <w:rPr>
          <w:rFonts w:cstheme="minorHAnsi"/>
        </w:rPr>
        <w:t xml:space="preserve"> </w:t>
      </w:r>
      <w:r w:rsidR="0094579B">
        <w:rPr>
          <w:rFonts w:cstheme="minorHAnsi"/>
        </w:rPr>
        <w:t>(</w:t>
      </w:r>
      <w:r w:rsidR="00C53A83" w:rsidRPr="0094579B">
        <w:rPr>
          <w:rFonts w:cstheme="minorHAnsi"/>
        </w:rPr>
        <w:t>SL L 285, 31.10.2009.</w:t>
      </w:r>
      <w:r w:rsidR="0094579B">
        <w:rPr>
          <w:rFonts w:cstheme="minorHAnsi"/>
        </w:rPr>
        <w:t>)</w:t>
      </w:r>
      <w:r w:rsidRPr="0094579B">
        <w:rPr>
          <w:rFonts w:cstheme="minorHAnsi"/>
        </w:rPr>
        <w:t>.</w:t>
      </w:r>
    </w:p>
    <w:p w14:paraId="22E3D432" w14:textId="77777777" w:rsidR="000D16F7" w:rsidRPr="000D16F7" w:rsidRDefault="000D16F7" w:rsidP="000D16F7">
      <w:pPr>
        <w:spacing w:after="60"/>
        <w:rPr>
          <w:rFonts w:cstheme="minorBidi"/>
        </w:rPr>
      </w:pPr>
      <w:r w:rsidRPr="000D16F7">
        <w:rPr>
          <w:rFonts w:cstheme="minorBidi"/>
        </w:rPr>
        <w:t>Postojeći zakonodavni okvir će se revidirati, kako bi se uvažili novi ciljevi i nove obveze definirane u sljedećim EU direktivama:</w:t>
      </w:r>
    </w:p>
    <w:p w14:paraId="41A9F0FB" w14:textId="08393BCB" w:rsidR="000D16F7" w:rsidRPr="000D16F7" w:rsidRDefault="000D16F7" w:rsidP="00E54EB2">
      <w:pPr>
        <w:pStyle w:val="ListParagraph"/>
        <w:numPr>
          <w:ilvl w:val="0"/>
          <w:numId w:val="201"/>
        </w:numPr>
        <w:spacing w:after="60"/>
        <w:rPr>
          <w:rFonts w:cstheme="minorBidi"/>
        </w:rPr>
      </w:pPr>
      <w:r w:rsidRPr="000D16F7">
        <w:rPr>
          <w:rFonts w:cstheme="minorBidi"/>
        </w:rPr>
        <w:t>Direktiva (EU) 2023/1791 Europskog parlamenta i Vijeća od 13. rujna 2023. o energetskoj učinkovitosti i izmjeni Uredbe (EU) 2023/955 (preinaka) (Tekst značajan za EGP)</w:t>
      </w:r>
      <w:r w:rsidR="00E71C99" w:rsidRPr="00E71C99">
        <w:t xml:space="preserve"> </w:t>
      </w:r>
      <w:r w:rsidR="00E71C99">
        <w:t>(</w:t>
      </w:r>
      <w:r w:rsidR="00E71C99" w:rsidRPr="00E71C99">
        <w:rPr>
          <w:rFonts w:cstheme="minorBidi"/>
        </w:rPr>
        <w:t>SL L 231, 20.9.2023</w:t>
      </w:r>
      <w:r w:rsidR="00E71C99">
        <w:rPr>
          <w:rFonts w:cstheme="minorBidi"/>
        </w:rPr>
        <w:t>)</w:t>
      </w:r>
      <w:r w:rsidR="00682724">
        <w:rPr>
          <w:rFonts w:cstheme="minorBidi"/>
        </w:rPr>
        <w:t xml:space="preserve"> </w:t>
      </w:r>
    </w:p>
    <w:p w14:paraId="5F20BFE5" w14:textId="7A689680" w:rsidR="000D16F7" w:rsidRDefault="000D16F7" w:rsidP="00E54EB2">
      <w:pPr>
        <w:pStyle w:val="ListParagraph"/>
        <w:numPr>
          <w:ilvl w:val="0"/>
          <w:numId w:val="201"/>
        </w:numPr>
        <w:spacing w:after="60"/>
        <w:rPr>
          <w:rFonts w:cstheme="minorBidi"/>
        </w:rPr>
      </w:pPr>
      <w:r w:rsidRPr="000D16F7">
        <w:rPr>
          <w:rFonts w:cstheme="minorBidi"/>
        </w:rPr>
        <w:tab/>
        <w:t>Direktiva (EU) 2024/1275 Europskog parlamenta i Vijeća od 24. travnja 2024. o energetskim svojstvima zgrada (Tekst značajan za EGP)</w:t>
      </w:r>
      <w:r w:rsidR="0028785A">
        <w:rPr>
          <w:rFonts w:cstheme="minorBidi"/>
        </w:rPr>
        <w:t xml:space="preserve"> (</w:t>
      </w:r>
      <w:r w:rsidR="0028785A" w:rsidRPr="00E54EB2">
        <w:rPr>
          <w:rFonts w:cstheme="minorBidi"/>
        </w:rPr>
        <w:t>SL L, 2024/1275, 8.5.2024)</w:t>
      </w:r>
      <w:r w:rsidRPr="000D16F7">
        <w:rPr>
          <w:rFonts w:cstheme="minorBidi"/>
        </w:rPr>
        <w:t>.</w:t>
      </w:r>
    </w:p>
    <w:p w14:paraId="78A4CC95" w14:textId="77777777" w:rsidR="00690CE0" w:rsidRDefault="00690CE0" w:rsidP="001D3C67">
      <w:pPr>
        <w:pStyle w:val="Caption"/>
        <w:rPr>
          <w:rFonts w:ascii="Arial" w:hAnsi="Arial" w:cs="Arial"/>
          <w:b w:val="0"/>
          <w:sz w:val="16"/>
          <w:szCs w:val="16"/>
          <w:lang w:eastAsia="ar-SA"/>
        </w:rPr>
      </w:pPr>
    </w:p>
    <w:p w14:paraId="34C5B218" w14:textId="1976ABAD" w:rsidR="00EF73C6" w:rsidRPr="00B47BDA" w:rsidRDefault="00FF0CF3" w:rsidP="001D3C67">
      <w:pPr>
        <w:pStyle w:val="Caption"/>
      </w:pPr>
      <w:bookmarkStart w:id="102" w:name="_Toc193035934"/>
      <w:r w:rsidRPr="00062AEC">
        <w:t xml:space="preserve">Tablica </w:t>
      </w:r>
      <w:bookmarkStart w:id="103" w:name="_Ref525127219"/>
      <w:r w:rsidR="00F56C25">
        <w:fldChar w:fldCharType="begin"/>
      </w:r>
      <w:r w:rsidR="00F56C25">
        <w:instrText xml:space="preserve"> STYLEREF 1 \s </w:instrText>
      </w:r>
      <w:r w:rsidR="00F56C25">
        <w:fldChar w:fldCharType="separate"/>
      </w:r>
      <w:r w:rsidR="00AD324D">
        <w:rPr>
          <w:noProof/>
        </w:rPr>
        <w:t>1</w:t>
      </w:r>
      <w:r w:rsidR="00F56C25">
        <w:fldChar w:fldCharType="end"/>
      </w:r>
      <w:r w:rsidR="000C3EFD" w:rsidRPr="00062AEC">
        <w:noBreakHyphen/>
      </w:r>
      <w:r>
        <w:fldChar w:fldCharType="begin"/>
      </w:r>
      <w:r>
        <w:instrText>SEQ Tablica \* ARABIC \s 1</w:instrText>
      </w:r>
      <w:r>
        <w:fldChar w:fldCharType="separate"/>
      </w:r>
      <w:r w:rsidR="00AD324D">
        <w:rPr>
          <w:noProof/>
        </w:rPr>
        <w:t>6</w:t>
      </w:r>
      <w:r>
        <w:fldChar w:fldCharType="end"/>
      </w:r>
      <w:r w:rsidR="00210967" w:rsidRPr="00062AEC">
        <w:t>.</w:t>
      </w:r>
      <w:bookmarkEnd w:id="103"/>
      <w:r w:rsidR="00A87274" w:rsidRPr="00062AEC">
        <w:t xml:space="preserve"> </w:t>
      </w:r>
      <w:r w:rsidRPr="00062AEC">
        <w:t>Pregled postojećih regulatornih mjera energetske učinkovitosti</w:t>
      </w:r>
      <w:bookmarkEnd w:id="102"/>
      <w:r w:rsidR="00EF73C6" w:rsidRPr="00B47BDA">
        <w:t xml:space="preserve"> </w:t>
      </w:r>
    </w:p>
    <w:tbl>
      <w:tblPr>
        <w:tblStyle w:val="NECP"/>
        <w:tblW w:w="5000" w:type="pct"/>
        <w:tblLook w:val="04A0" w:firstRow="1" w:lastRow="0" w:firstColumn="1" w:lastColumn="0" w:noHBand="0" w:noVBand="1"/>
      </w:tblPr>
      <w:tblGrid>
        <w:gridCol w:w="9050"/>
      </w:tblGrid>
      <w:tr w:rsidR="00B3057F" w:rsidRPr="001D3C67" w14:paraId="440C6B22" w14:textId="77777777" w:rsidTr="63259912">
        <w:trPr>
          <w:cnfStyle w:val="100000000000" w:firstRow="1" w:lastRow="0" w:firstColumn="0" w:lastColumn="0" w:oddVBand="0" w:evenVBand="0" w:oddHBand="0" w:evenHBand="0" w:firstRowFirstColumn="0" w:firstRowLastColumn="0" w:lastRowFirstColumn="0" w:lastRowLastColumn="0"/>
          <w:trHeight w:val="340"/>
        </w:trPr>
        <w:tc>
          <w:tcPr>
            <w:tcW w:w="5000" w:type="pct"/>
            <w:shd w:val="clear" w:color="auto" w:fill="D9E2F3" w:themeFill="accent5" w:themeFillTint="33"/>
          </w:tcPr>
          <w:p w14:paraId="0F7CDBE4" w14:textId="77777777" w:rsidR="00B3057F" w:rsidRPr="00BC2128" w:rsidRDefault="00B3057F" w:rsidP="001D3C67">
            <w:pPr>
              <w:spacing w:after="0"/>
              <w:rPr>
                <w:rFonts w:cstheme="minorHAnsi"/>
                <w:sz w:val="22"/>
                <w:szCs w:val="22"/>
              </w:rPr>
            </w:pPr>
            <w:r w:rsidRPr="00BC2128">
              <w:rPr>
                <w:rFonts w:cstheme="minorHAnsi"/>
                <w:sz w:val="22"/>
                <w:szCs w:val="22"/>
              </w:rPr>
              <w:t>Zakon o energetskoj učinkovitosti</w:t>
            </w:r>
          </w:p>
        </w:tc>
      </w:tr>
      <w:tr w:rsidR="00B3057F" w:rsidRPr="001D3C67" w14:paraId="0580F64A" w14:textId="77777777" w:rsidTr="63259912">
        <w:trPr>
          <w:trHeight w:val="283"/>
        </w:trPr>
        <w:tc>
          <w:tcPr>
            <w:tcW w:w="5000" w:type="pct"/>
          </w:tcPr>
          <w:p w14:paraId="2B76BEC3" w14:textId="23A34A8C" w:rsidR="00B3057F" w:rsidRPr="00BC2128" w:rsidRDefault="00B3057F" w:rsidP="63259912">
            <w:pPr>
              <w:spacing w:after="0"/>
              <w:rPr>
                <w:rFonts w:cstheme="minorBidi"/>
                <w:b/>
                <w:bCs/>
                <w:sz w:val="22"/>
                <w:szCs w:val="22"/>
              </w:rPr>
            </w:pPr>
            <w:r w:rsidRPr="63259912">
              <w:rPr>
                <w:rFonts w:cstheme="minorBidi"/>
                <w:sz w:val="22"/>
                <w:szCs w:val="22"/>
              </w:rPr>
              <w:t>Obveza Vlade da usvoji Nacionalni akcijski plan energetske učinkovitosti (NAPEnU) za trogodišnje razdoblje s mjerama koje će se provoditi na cijelom području Hrvatske u skladu s Integriranim nacionalnim energetskim i klimatskim planom (NE</w:t>
            </w:r>
            <w:r w:rsidR="002F47AA" w:rsidRPr="63259912">
              <w:rPr>
                <w:rFonts w:cstheme="minorBidi"/>
                <w:sz w:val="22"/>
                <w:szCs w:val="22"/>
              </w:rPr>
              <w:t>C</w:t>
            </w:r>
            <w:r w:rsidRPr="63259912">
              <w:rPr>
                <w:rFonts w:cstheme="minorBidi"/>
                <w:sz w:val="22"/>
                <w:szCs w:val="22"/>
              </w:rPr>
              <w:t>P), kojim se definiraju alternativne mjere politike uključujući mjere za osiguranje godišnje obnove 3% ukupne površine poda grijanih i/ili hlađenih zgrada u vlasništvu i uporabi središnje vlasti</w:t>
            </w:r>
          </w:p>
        </w:tc>
      </w:tr>
      <w:tr w:rsidR="00B3057F" w:rsidRPr="001D3C67" w14:paraId="0EFB87AE" w14:textId="77777777" w:rsidTr="63259912">
        <w:trPr>
          <w:trHeight w:val="283"/>
        </w:trPr>
        <w:tc>
          <w:tcPr>
            <w:tcW w:w="5000" w:type="pct"/>
          </w:tcPr>
          <w:p w14:paraId="3F75383E" w14:textId="77777777" w:rsidR="00B3057F" w:rsidRPr="00BC2128" w:rsidRDefault="00B3057F" w:rsidP="001D3C67">
            <w:pPr>
              <w:spacing w:after="0"/>
              <w:rPr>
                <w:rFonts w:cstheme="minorHAnsi"/>
                <w:b/>
                <w:sz w:val="22"/>
                <w:szCs w:val="22"/>
              </w:rPr>
            </w:pPr>
            <w:r w:rsidRPr="00BC2128">
              <w:rPr>
                <w:rFonts w:cstheme="minorHAnsi"/>
                <w:sz w:val="22"/>
                <w:szCs w:val="22"/>
              </w:rPr>
              <w:t xml:space="preserve">Obveza županija i velikih gradova (&gt; 35.000 stanovnika) da donose Akcijske planove (trogodišnje) i godišnje planove energetske učinkovitosti </w:t>
            </w:r>
          </w:p>
        </w:tc>
      </w:tr>
      <w:tr w:rsidR="00B3057F" w:rsidRPr="001D3C67" w14:paraId="6A055062" w14:textId="77777777" w:rsidTr="63259912">
        <w:trPr>
          <w:trHeight w:val="283"/>
        </w:trPr>
        <w:tc>
          <w:tcPr>
            <w:tcW w:w="5000" w:type="pct"/>
          </w:tcPr>
          <w:p w14:paraId="6290D9ED" w14:textId="77777777" w:rsidR="00B3057F" w:rsidRPr="00BC2128" w:rsidRDefault="00B3057F" w:rsidP="001D3C67">
            <w:pPr>
              <w:spacing w:after="0"/>
              <w:rPr>
                <w:rFonts w:cstheme="minorHAnsi"/>
                <w:b/>
                <w:sz w:val="22"/>
                <w:szCs w:val="22"/>
              </w:rPr>
            </w:pPr>
            <w:r w:rsidRPr="00BC2128">
              <w:rPr>
                <w:rFonts w:cstheme="minorHAnsi"/>
                <w:sz w:val="22"/>
                <w:szCs w:val="22"/>
              </w:rPr>
              <w:lastRenderedPageBreak/>
              <w:t>Sustav obveze energetske učinkovitosti za opskrbljivače energije – potiče se provedba mjera energetske učinkovitosti u kućanstvima pogođenima energetskim siromaštvom ili u socijalnim prostorima za stanovanje</w:t>
            </w:r>
          </w:p>
        </w:tc>
      </w:tr>
      <w:tr w:rsidR="00B3057F" w:rsidRPr="001D3C67" w14:paraId="65AD4A57" w14:textId="77777777" w:rsidTr="63259912">
        <w:trPr>
          <w:trHeight w:val="283"/>
        </w:trPr>
        <w:tc>
          <w:tcPr>
            <w:tcW w:w="5000" w:type="pct"/>
          </w:tcPr>
          <w:p w14:paraId="68E9A008" w14:textId="77777777" w:rsidR="00B3057F" w:rsidRPr="00BC2128" w:rsidRDefault="00B3057F" w:rsidP="001D3C67">
            <w:pPr>
              <w:spacing w:after="0"/>
              <w:rPr>
                <w:rFonts w:cstheme="minorHAnsi"/>
                <w:b/>
                <w:sz w:val="22"/>
                <w:szCs w:val="22"/>
              </w:rPr>
            </w:pPr>
            <w:r w:rsidRPr="00BC2128">
              <w:rPr>
                <w:rFonts w:cstheme="minorHAnsi"/>
                <w:sz w:val="22"/>
                <w:szCs w:val="22"/>
              </w:rPr>
              <w:t xml:space="preserve">Obveze opskrbljivača o mjerenju i obračunavanju potrošnje te informiranju kupaca o prethodnoj potrošnji, što obuhvaća usporedbu s prosječnim uobičajenim ili referentnim krajnjim kupcem iz iste kategorije krajnjih kupaca </w:t>
            </w:r>
          </w:p>
        </w:tc>
      </w:tr>
      <w:tr w:rsidR="00B3057F" w:rsidRPr="001D3C67" w14:paraId="48FC14A7" w14:textId="77777777" w:rsidTr="63259912">
        <w:trPr>
          <w:trHeight w:val="283"/>
        </w:trPr>
        <w:tc>
          <w:tcPr>
            <w:tcW w:w="5000" w:type="pct"/>
          </w:tcPr>
          <w:p w14:paraId="4409D9FA" w14:textId="77777777" w:rsidR="00B3057F" w:rsidRPr="00BC2128" w:rsidRDefault="00B3057F" w:rsidP="001D3C67">
            <w:pPr>
              <w:spacing w:after="0"/>
              <w:rPr>
                <w:rFonts w:cstheme="minorHAnsi"/>
                <w:b/>
                <w:sz w:val="22"/>
                <w:szCs w:val="22"/>
              </w:rPr>
            </w:pPr>
            <w:r w:rsidRPr="00BC2128">
              <w:rPr>
                <w:rFonts w:cstheme="minorHAnsi"/>
                <w:sz w:val="22"/>
                <w:szCs w:val="22"/>
              </w:rPr>
              <w:t>Obveze distributera energije da podatke o mjerenju i potrošnji energije u javnom sektoru unose na mjesečnoj razini u nacionalni informacijski sustav za gospodarenje energijom (ISGE) te da osiguraju pojedinačna brojila krajnjim kupcima</w:t>
            </w:r>
          </w:p>
        </w:tc>
      </w:tr>
      <w:tr w:rsidR="00B3057F" w:rsidRPr="001D3C67" w14:paraId="6942FE62" w14:textId="77777777" w:rsidTr="63259912">
        <w:trPr>
          <w:trHeight w:val="283"/>
        </w:trPr>
        <w:tc>
          <w:tcPr>
            <w:tcW w:w="5000" w:type="pct"/>
          </w:tcPr>
          <w:p w14:paraId="09B1136D" w14:textId="77777777" w:rsidR="00B3057F" w:rsidRPr="00BC2128" w:rsidRDefault="00B3057F" w:rsidP="001D3C67">
            <w:pPr>
              <w:spacing w:after="0"/>
              <w:rPr>
                <w:rFonts w:cstheme="minorHAnsi"/>
                <w:b/>
                <w:sz w:val="22"/>
                <w:szCs w:val="22"/>
              </w:rPr>
            </w:pPr>
            <w:r w:rsidRPr="00BC2128">
              <w:rPr>
                <w:rFonts w:cstheme="minorHAnsi"/>
                <w:sz w:val="22"/>
                <w:szCs w:val="22"/>
              </w:rPr>
              <w:t>Obveze regulatornog tijela za energetiku da osigura poticanje energetske učinkovitosti kroz tarife te da osigura poticaje za poboljšanje učinkovitosti u planiranju i radu infrastrukture za prirodni plin i električnu energiju</w:t>
            </w:r>
          </w:p>
        </w:tc>
      </w:tr>
      <w:tr w:rsidR="00B3057F" w:rsidRPr="001D3C67" w14:paraId="2A5713E9" w14:textId="77777777" w:rsidTr="63259912">
        <w:trPr>
          <w:trHeight w:val="283"/>
        </w:trPr>
        <w:tc>
          <w:tcPr>
            <w:tcW w:w="5000" w:type="pct"/>
          </w:tcPr>
          <w:p w14:paraId="4A25E1DF" w14:textId="77777777" w:rsidR="00B3057F" w:rsidRPr="00BC2128" w:rsidRDefault="00B3057F" w:rsidP="001D3C67">
            <w:pPr>
              <w:spacing w:after="0"/>
              <w:rPr>
                <w:rFonts w:cstheme="minorHAnsi"/>
                <w:b/>
                <w:sz w:val="22"/>
                <w:szCs w:val="22"/>
              </w:rPr>
            </w:pPr>
            <w:r w:rsidRPr="00BC2128">
              <w:rPr>
                <w:rFonts w:cstheme="minorHAnsi"/>
                <w:sz w:val="22"/>
                <w:szCs w:val="22"/>
              </w:rPr>
              <w:t xml:space="preserve">Obveze operatora prijenosnog i distribucijskog sustava da omoguće pristup mreži, prijenos i distribuciju električne energije proizvedene iz visokoučinkovite kogeneracije </w:t>
            </w:r>
          </w:p>
        </w:tc>
      </w:tr>
      <w:tr w:rsidR="00B3057F" w:rsidRPr="001D3C67" w14:paraId="4472A2B0" w14:textId="77777777" w:rsidTr="63259912">
        <w:trPr>
          <w:trHeight w:val="283"/>
        </w:trPr>
        <w:tc>
          <w:tcPr>
            <w:tcW w:w="5000" w:type="pct"/>
          </w:tcPr>
          <w:p w14:paraId="69A39AB3" w14:textId="5304A7AA" w:rsidR="00B3057F" w:rsidRPr="000F0A66" w:rsidRDefault="00B3057F" w:rsidP="1C9333AB">
            <w:pPr>
              <w:spacing w:after="0"/>
              <w:rPr>
                <w:rFonts w:cstheme="minorBidi"/>
                <w:b/>
                <w:bCs/>
                <w:sz w:val="22"/>
                <w:szCs w:val="22"/>
              </w:rPr>
            </w:pPr>
            <w:r w:rsidRPr="1C9333AB">
              <w:rPr>
                <w:rFonts w:cstheme="minorBidi"/>
                <w:sz w:val="22"/>
                <w:szCs w:val="22"/>
              </w:rPr>
              <w:t>Obveze velikih poduzeća o provedbi energetskih pregleda svake 4 godine ili uvođenju sustava gospodarenja energijom - Pravilnik o energetskom pregledu za velika poduzeća (</w:t>
            </w:r>
            <w:r w:rsidR="00E70DA3">
              <w:rPr>
                <w:rFonts w:cstheme="minorBidi"/>
                <w:sz w:val="22"/>
                <w:szCs w:val="22"/>
              </w:rPr>
              <w:t>„</w:t>
            </w:r>
            <w:r w:rsidR="00071A4F" w:rsidRPr="00071A4F">
              <w:rPr>
                <w:rFonts w:cstheme="minorBidi"/>
                <w:sz w:val="22"/>
                <w:szCs w:val="22"/>
              </w:rPr>
              <w:t xml:space="preserve">Narodne </w:t>
            </w:r>
            <w:r w:rsidR="00A97AE7">
              <w:rPr>
                <w:rFonts w:cstheme="minorBidi"/>
                <w:sz w:val="22"/>
                <w:szCs w:val="22"/>
              </w:rPr>
              <w:t>novine</w:t>
            </w:r>
            <w:r w:rsidR="00C36324">
              <w:rPr>
                <w:rFonts w:cstheme="minorBidi"/>
                <w:sz w:val="22"/>
                <w:szCs w:val="22"/>
              </w:rPr>
              <w:t>“</w:t>
            </w:r>
            <w:r w:rsidR="00071A4F" w:rsidRPr="00071A4F">
              <w:rPr>
                <w:rFonts w:cstheme="minorBidi"/>
                <w:sz w:val="22"/>
                <w:szCs w:val="22"/>
              </w:rPr>
              <w:t>, br</w:t>
            </w:r>
            <w:r w:rsidR="00344FBF">
              <w:rPr>
                <w:rFonts w:cstheme="minorBidi"/>
                <w:sz w:val="22"/>
                <w:szCs w:val="22"/>
              </w:rPr>
              <w:t>.</w:t>
            </w:r>
            <w:r w:rsidRPr="1C9333AB">
              <w:rPr>
                <w:rFonts w:cstheme="minorBidi"/>
                <w:sz w:val="22"/>
                <w:szCs w:val="22"/>
              </w:rPr>
              <w:t xml:space="preserve"> 123</w:t>
            </w:r>
            <w:r w:rsidR="005B41DA">
              <w:rPr>
                <w:rFonts w:cstheme="minorBidi"/>
                <w:sz w:val="22"/>
                <w:szCs w:val="22"/>
              </w:rPr>
              <w:t>/15</w:t>
            </w:r>
            <w:r w:rsidR="00C36324">
              <w:rPr>
                <w:rFonts w:cstheme="minorBidi"/>
                <w:sz w:val="22"/>
                <w:szCs w:val="22"/>
              </w:rPr>
              <w:t>.</w:t>
            </w:r>
            <w:r w:rsidR="0098429F" w:rsidRPr="1C9333AB">
              <w:rPr>
                <w:rFonts w:cstheme="minorBidi"/>
                <w:sz w:val="22"/>
                <w:szCs w:val="22"/>
              </w:rPr>
              <w:t xml:space="preserve">, </w:t>
            </w:r>
            <w:r w:rsidR="00B67801">
              <w:rPr>
                <w:rFonts w:cstheme="minorBidi"/>
                <w:sz w:val="22"/>
                <w:szCs w:val="22"/>
              </w:rPr>
              <w:t>0</w:t>
            </w:r>
            <w:r w:rsidRPr="1C9333AB">
              <w:rPr>
                <w:rFonts w:cstheme="minorBidi"/>
                <w:sz w:val="22"/>
                <w:szCs w:val="22"/>
              </w:rPr>
              <w:t>5/20</w:t>
            </w:r>
            <w:r w:rsidR="00C36324">
              <w:rPr>
                <w:rFonts w:cstheme="minorBidi"/>
                <w:sz w:val="22"/>
                <w:szCs w:val="22"/>
              </w:rPr>
              <w:t>.</w:t>
            </w:r>
            <w:r w:rsidR="0098429F" w:rsidRPr="1C9333AB">
              <w:rPr>
                <w:rFonts w:cstheme="minorBidi"/>
                <w:sz w:val="22"/>
                <w:szCs w:val="22"/>
              </w:rPr>
              <w:t>, 97</w:t>
            </w:r>
            <w:r w:rsidR="005B41DA">
              <w:rPr>
                <w:rFonts w:cstheme="minorBidi"/>
                <w:sz w:val="22"/>
                <w:szCs w:val="22"/>
              </w:rPr>
              <w:t>/21</w:t>
            </w:r>
            <w:r w:rsidR="00C36324">
              <w:rPr>
                <w:rFonts w:cstheme="minorBidi"/>
                <w:sz w:val="22"/>
                <w:szCs w:val="22"/>
              </w:rPr>
              <w:t>.</w:t>
            </w:r>
            <w:r w:rsidRPr="1C9333AB">
              <w:rPr>
                <w:rFonts w:cstheme="minorBidi"/>
                <w:sz w:val="22"/>
                <w:szCs w:val="22"/>
              </w:rPr>
              <w:t>)</w:t>
            </w:r>
          </w:p>
        </w:tc>
      </w:tr>
      <w:tr w:rsidR="00B3057F" w:rsidRPr="001D3C67" w14:paraId="08C6479B" w14:textId="77777777" w:rsidTr="63259912">
        <w:trPr>
          <w:trHeight w:val="283"/>
        </w:trPr>
        <w:tc>
          <w:tcPr>
            <w:tcW w:w="5000" w:type="pct"/>
          </w:tcPr>
          <w:p w14:paraId="7CD815B9" w14:textId="60BE34F5" w:rsidR="00B3057F" w:rsidRPr="000F0A66" w:rsidRDefault="00B3057F" w:rsidP="001D3C67">
            <w:pPr>
              <w:spacing w:after="0"/>
              <w:rPr>
                <w:rFonts w:cstheme="minorHAnsi"/>
                <w:b/>
                <w:sz w:val="22"/>
                <w:szCs w:val="22"/>
              </w:rPr>
            </w:pPr>
            <w:r w:rsidRPr="000F0A66">
              <w:rPr>
                <w:rFonts w:cstheme="minorHAnsi"/>
                <w:sz w:val="22"/>
                <w:szCs w:val="22"/>
              </w:rPr>
              <w:t>Obveza javnog sektora da provodi energetske preglede sustava javne rasvjete svakih 5 godina te da održava i rekonstruira javnu rasvjetu tako da smanjuje potrošnju električne energije i ispunjava ostale uvjete propisane Zakonom o zaštiti od svjetlosnog onečišćenja (</w:t>
            </w:r>
            <w:r w:rsidR="00235819">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235819">
              <w:rPr>
                <w:rFonts w:cstheme="minorHAnsi"/>
                <w:sz w:val="22"/>
                <w:szCs w:val="22"/>
              </w:rPr>
              <w:t>“</w:t>
            </w:r>
            <w:r w:rsidR="00071A4F" w:rsidRPr="00071A4F">
              <w:rPr>
                <w:rFonts w:cstheme="minorHAnsi"/>
                <w:sz w:val="22"/>
                <w:szCs w:val="22"/>
              </w:rPr>
              <w:t xml:space="preserve">, </w:t>
            </w:r>
            <w:r w:rsidR="00004BB0">
              <w:rPr>
                <w:rFonts w:cstheme="minorHAnsi"/>
                <w:sz w:val="22"/>
                <w:szCs w:val="22"/>
              </w:rPr>
              <w:t>br</w:t>
            </w:r>
            <w:r w:rsidR="00235819">
              <w:rPr>
                <w:rFonts w:cstheme="minorHAnsi"/>
                <w:sz w:val="22"/>
                <w:szCs w:val="22"/>
              </w:rPr>
              <w:t>.</w:t>
            </w:r>
            <w:r w:rsidRPr="000F0A66">
              <w:rPr>
                <w:rFonts w:cstheme="minorHAnsi"/>
                <w:sz w:val="22"/>
                <w:szCs w:val="22"/>
              </w:rPr>
              <w:t xml:space="preserve"> 14</w:t>
            </w:r>
            <w:r w:rsidR="005B41DA">
              <w:rPr>
                <w:rFonts w:cstheme="minorHAnsi"/>
                <w:sz w:val="22"/>
                <w:szCs w:val="22"/>
              </w:rPr>
              <w:t>/19</w:t>
            </w:r>
            <w:r w:rsidR="00235819">
              <w:rPr>
                <w:rFonts w:cstheme="minorHAnsi"/>
                <w:sz w:val="22"/>
                <w:szCs w:val="22"/>
              </w:rPr>
              <w:t>.</w:t>
            </w:r>
            <w:r w:rsidRPr="000F0A66">
              <w:rPr>
                <w:rFonts w:cstheme="minorHAnsi"/>
                <w:sz w:val="22"/>
                <w:szCs w:val="22"/>
              </w:rPr>
              <w:t>) i propisa koji iz njega proizlaze</w:t>
            </w:r>
          </w:p>
        </w:tc>
      </w:tr>
      <w:tr w:rsidR="00B3057F" w:rsidRPr="001D3C67" w14:paraId="0C9E3BC3" w14:textId="77777777" w:rsidTr="63259912">
        <w:trPr>
          <w:trHeight w:val="283"/>
        </w:trPr>
        <w:tc>
          <w:tcPr>
            <w:tcW w:w="5000" w:type="pct"/>
          </w:tcPr>
          <w:p w14:paraId="39B5C047" w14:textId="07E43624" w:rsidR="00B3057F" w:rsidRPr="000F0A66" w:rsidRDefault="00B3057F" w:rsidP="1C9333AB">
            <w:pPr>
              <w:spacing w:after="0"/>
              <w:rPr>
                <w:rFonts w:cstheme="minorBidi"/>
                <w:b/>
                <w:bCs/>
                <w:sz w:val="22"/>
                <w:szCs w:val="22"/>
              </w:rPr>
            </w:pPr>
            <w:r w:rsidRPr="1C9333AB">
              <w:rPr>
                <w:rFonts w:cstheme="minorBidi"/>
                <w:sz w:val="22"/>
                <w:szCs w:val="22"/>
              </w:rPr>
              <w:t>Obveza javnog sektora da sustavno gospodari energijom, što podrazumijeva imenovanje odgovorne osobe za gospodarenje energijom, redovno praćenje potrošnje energije i unošenje podataka o potrošnji energije u nacionalni informacijski sustav za gospodarenje energijom (ISGE)</w:t>
            </w:r>
            <w:r w:rsidRPr="1C9333AB">
              <w:rPr>
                <w:rFonts w:cstheme="minorBidi"/>
                <w:b/>
                <w:bCs/>
                <w:sz w:val="22"/>
                <w:szCs w:val="22"/>
              </w:rPr>
              <w:t xml:space="preserve"> - </w:t>
            </w:r>
            <w:r w:rsidRPr="1C9333AB">
              <w:rPr>
                <w:rStyle w:val="Strong"/>
                <w:rFonts w:cstheme="minorBidi"/>
                <w:b w:val="0"/>
                <w:bCs w:val="0"/>
                <w:sz w:val="22"/>
                <w:szCs w:val="22"/>
              </w:rPr>
              <w:t>Pravilnik o sustavnom gospodarenju energijom u javnom sektoru (</w:t>
            </w:r>
            <w:r w:rsidR="00235819">
              <w:rPr>
                <w:rStyle w:val="Strong"/>
                <w:rFonts w:cstheme="minorBidi"/>
                <w:b w:val="0"/>
                <w:bCs w:val="0"/>
                <w:sz w:val="22"/>
                <w:szCs w:val="22"/>
              </w:rPr>
              <w:t>„</w:t>
            </w:r>
            <w:r w:rsidR="00071A4F" w:rsidRPr="00071A4F">
              <w:rPr>
                <w:sz w:val="22"/>
                <w:szCs w:val="22"/>
              </w:rPr>
              <w:t xml:space="preserve">Narodne </w:t>
            </w:r>
            <w:r w:rsidR="00A97AE7">
              <w:rPr>
                <w:sz w:val="22"/>
                <w:szCs w:val="22"/>
              </w:rPr>
              <w:t>novine</w:t>
            </w:r>
            <w:r w:rsidR="00235819">
              <w:rPr>
                <w:sz w:val="22"/>
                <w:szCs w:val="22"/>
              </w:rPr>
              <w:t>“</w:t>
            </w:r>
            <w:r w:rsidR="00071A4F" w:rsidRPr="00071A4F">
              <w:rPr>
                <w:sz w:val="22"/>
                <w:szCs w:val="22"/>
              </w:rPr>
              <w:t>, br</w:t>
            </w:r>
            <w:r w:rsidR="00344FBF">
              <w:rPr>
                <w:sz w:val="22"/>
                <w:szCs w:val="22"/>
              </w:rPr>
              <w:t>.</w:t>
            </w:r>
            <w:r w:rsidRPr="1C9333AB">
              <w:rPr>
                <w:rStyle w:val="Strong"/>
                <w:rFonts w:cstheme="minorBidi"/>
                <w:b w:val="0"/>
                <w:bCs w:val="0"/>
                <w:sz w:val="22"/>
                <w:szCs w:val="22"/>
              </w:rPr>
              <w:t xml:space="preserve"> </w:t>
            </w:r>
            <w:hyperlink r:id="rId19">
              <w:r w:rsidRPr="1C9333AB">
                <w:rPr>
                  <w:rStyle w:val="Strong"/>
                  <w:rFonts w:cstheme="minorBidi"/>
                  <w:b w:val="0"/>
                  <w:bCs w:val="0"/>
                  <w:sz w:val="22"/>
                  <w:szCs w:val="22"/>
                </w:rPr>
                <w:t>18</w:t>
              </w:r>
              <w:r w:rsidR="005B41DA">
                <w:rPr>
                  <w:rStyle w:val="Strong"/>
                  <w:rFonts w:cstheme="minorBidi"/>
                  <w:b w:val="0"/>
                  <w:bCs w:val="0"/>
                  <w:sz w:val="22"/>
                  <w:szCs w:val="22"/>
                </w:rPr>
                <w:t>/15</w:t>
              </w:r>
            </w:hyperlink>
            <w:r w:rsidR="00235819">
              <w:t>.</w:t>
            </w:r>
            <w:r w:rsidRPr="1C9333AB">
              <w:rPr>
                <w:rStyle w:val="Strong"/>
                <w:rFonts w:cstheme="minorBidi"/>
                <w:b w:val="0"/>
                <w:bCs w:val="0"/>
                <w:sz w:val="22"/>
                <w:szCs w:val="22"/>
              </w:rPr>
              <w:t xml:space="preserve"> i 06</w:t>
            </w:r>
            <w:r w:rsidR="005B41DA">
              <w:rPr>
                <w:rStyle w:val="Strong"/>
                <w:rFonts w:cstheme="minorBidi"/>
                <w:b w:val="0"/>
                <w:bCs w:val="0"/>
                <w:sz w:val="22"/>
                <w:szCs w:val="22"/>
              </w:rPr>
              <w:t>/16</w:t>
            </w:r>
            <w:r w:rsidR="00235819">
              <w:rPr>
                <w:rStyle w:val="Strong"/>
                <w:rFonts w:cstheme="minorBidi"/>
                <w:b w:val="0"/>
                <w:bCs w:val="0"/>
                <w:sz w:val="22"/>
                <w:szCs w:val="22"/>
              </w:rPr>
              <w:t>.</w:t>
            </w:r>
            <w:r w:rsidRPr="1C9333AB">
              <w:rPr>
                <w:rStyle w:val="Strong"/>
                <w:rFonts w:cstheme="minorBidi"/>
                <w:b w:val="0"/>
                <w:bCs w:val="0"/>
                <w:sz w:val="22"/>
                <w:szCs w:val="22"/>
              </w:rPr>
              <w:t>)</w:t>
            </w:r>
          </w:p>
        </w:tc>
      </w:tr>
      <w:tr w:rsidR="00B3057F" w:rsidRPr="001D3C67" w14:paraId="729133CD" w14:textId="77777777" w:rsidTr="63259912">
        <w:trPr>
          <w:trHeight w:val="283"/>
        </w:trPr>
        <w:tc>
          <w:tcPr>
            <w:tcW w:w="5000" w:type="pct"/>
          </w:tcPr>
          <w:p w14:paraId="2D6764C2" w14:textId="18B8B29B" w:rsidR="00B3057F" w:rsidRPr="000F0A66" w:rsidRDefault="00B3057F" w:rsidP="63259912">
            <w:pPr>
              <w:spacing w:after="0"/>
              <w:rPr>
                <w:rFonts w:cstheme="minorBidi"/>
                <w:b/>
                <w:bCs/>
                <w:sz w:val="22"/>
                <w:szCs w:val="22"/>
              </w:rPr>
            </w:pPr>
            <w:r w:rsidRPr="63259912">
              <w:rPr>
                <w:rFonts w:cstheme="minorBidi"/>
                <w:sz w:val="22"/>
                <w:szCs w:val="22"/>
              </w:rPr>
              <w:t>Obveza prijavljivanja svih aktivnosti energetske učinkovitosti i ostvarenih ušteda u nacionalni sustav za praćenje, mjerenje i verifikaciju ušteda (SMiV) za javni sektor, pružatelje energetskih usluga i davatelje subvencija - Pravilnik o sustavu za praćenje, mjerenje i verifikaciju ušteda energije (</w:t>
            </w:r>
            <w:r w:rsidR="00235819" w:rsidRPr="63259912">
              <w:rPr>
                <w:rFonts w:cstheme="minorBidi"/>
                <w:sz w:val="22"/>
                <w:szCs w:val="22"/>
              </w:rPr>
              <w:t>„</w:t>
            </w:r>
            <w:r w:rsidR="00071A4F" w:rsidRPr="63259912">
              <w:rPr>
                <w:rFonts w:cstheme="minorBidi"/>
                <w:sz w:val="22"/>
                <w:szCs w:val="22"/>
              </w:rPr>
              <w:t xml:space="preserve">Narodne </w:t>
            </w:r>
            <w:r w:rsidR="00A97AE7" w:rsidRPr="63259912">
              <w:rPr>
                <w:rFonts w:cstheme="minorBidi"/>
                <w:sz w:val="22"/>
                <w:szCs w:val="22"/>
              </w:rPr>
              <w:t>novine</w:t>
            </w:r>
            <w:r w:rsidR="00235819" w:rsidRPr="63259912">
              <w:rPr>
                <w:rFonts w:cstheme="minorBidi"/>
                <w:sz w:val="22"/>
                <w:szCs w:val="22"/>
              </w:rPr>
              <w:t>“</w:t>
            </w:r>
            <w:r w:rsidR="00071A4F" w:rsidRPr="63259912">
              <w:rPr>
                <w:rFonts w:cstheme="minorBidi"/>
                <w:sz w:val="22"/>
                <w:szCs w:val="22"/>
              </w:rPr>
              <w:t>, br</w:t>
            </w:r>
            <w:r w:rsidR="00344FBF" w:rsidRPr="63259912">
              <w:rPr>
                <w:rFonts w:cstheme="minorBidi"/>
                <w:sz w:val="22"/>
                <w:szCs w:val="22"/>
              </w:rPr>
              <w:t>.</w:t>
            </w:r>
            <w:r w:rsidRPr="63259912">
              <w:rPr>
                <w:rFonts w:cstheme="minorBidi"/>
                <w:sz w:val="22"/>
                <w:szCs w:val="22"/>
              </w:rPr>
              <w:t xml:space="preserve"> 98</w:t>
            </w:r>
            <w:r w:rsidR="005B41DA" w:rsidRPr="63259912">
              <w:rPr>
                <w:rFonts w:cstheme="minorBidi"/>
                <w:sz w:val="22"/>
                <w:szCs w:val="22"/>
              </w:rPr>
              <w:t>/21</w:t>
            </w:r>
            <w:r w:rsidR="00235819" w:rsidRPr="63259912">
              <w:rPr>
                <w:rFonts w:cstheme="minorBidi"/>
                <w:sz w:val="22"/>
                <w:szCs w:val="22"/>
              </w:rPr>
              <w:t>.</w:t>
            </w:r>
            <w:r w:rsidR="00980F1D" w:rsidRPr="63259912">
              <w:rPr>
                <w:rFonts w:cstheme="minorBidi"/>
                <w:sz w:val="22"/>
                <w:szCs w:val="22"/>
              </w:rPr>
              <w:t>, 30</w:t>
            </w:r>
            <w:r w:rsidR="005B41DA" w:rsidRPr="63259912">
              <w:rPr>
                <w:rFonts w:cstheme="minorBidi"/>
                <w:sz w:val="22"/>
                <w:szCs w:val="22"/>
              </w:rPr>
              <w:t>/22</w:t>
            </w:r>
            <w:r w:rsidR="00235819" w:rsidRPr="63259912">
              <w:rPr>
                <w:rFonts w:cstheme="minorBidi"/>
                <w:sz w:val="22"/>
                <w:szCs w:val="22"/>
              </w:rPr>
              <w:t>.</w:t>
            </w:r>
            <w:r w:rsidRPr="63259912">
              <w:rPr>
                <w:rFonts w:cstheme="minorBidi"/>
                <w:sz w:val="22"/>
                <w:szCs w:val="22"/>
              </w:rPr>
              <w:t>)</w:t>
            </w:r>
          </w:p>
        </w:tc>
      </w:tr>
      <w:tr w:rsidR="00B3057F" w:rsidRPr="001D3C67" w14:paraId="27DBC5CF" w14:textId="77777777" w:rsidTr="63259912">
        <w:trPr>
          <w:trHeight w:val="283"/>
        </w:trPr>
        <w:tc>
          <w:tcPr>
            <w:tcW w:w="5000" w:type="pct"/>
          </w:tcPr>
          <w:p w14:paraId="477D2AB2" w14:textId="0EEEFC51" w:rsidR="00B3057F" w:rsidRPr="000F0A66" w:rsidRDefault="00B3057F" w:rsidP="001D3C67">
            <w:pPr>
              <w:spacing w:after="0"/>
              <w:rPr>
                <w:rFonts w:cstheme="minorHAnsi"/>
                <w:b/>
                <w:sz w:val="22"/>
                <w:szCs w:val="22"/>
              </w:rPr>
            </w:pPr>
            <w:r w:rsidRPr="000F0A66">
              <w:rPr>
                <w:rFonts w:cstheme="minorHAnsi"/>
                <w:sz w:val="22"/>
                <w:szCs w:val="22"/>
              </w:rPr>
              <w:t xml:space="preserve">Obveza nadležnih ministarstava i Nacionalnog koordinacijskog tijela (NKT) uspostavljanja i vođenja platforme o energetskoj učinkovitosti - Nacionalni portal energetske učinkovitosti: </w:t>
            </w:r>
            <w:hyperlink r:id="rId20" w:history="1">
              <w:r w:rsidRPr="000F0A66">
                <w:rPr>
                  <w:rStyle w:val="Hyperlink"/>
                  <w:rFonts w:cstheme="minorHAnsi"/>
                  <w:sz w:val="22"/>
                  <w:szCs w:val="22"/>
                </w:rPr>
                <w:t>https://www.enu.hr/</w:t>
              </w:r>
            </w:hyperlink>
          </w:p>
        </w:tc>
      </w:tr>
      <w:tr w:rsidR="00B3057F" w:rsidRPr="001D3C67" w14:paraId="7FC45317" w14:textId="77777777" w:rsidTr="63259912">
        <w:trPr>
          <w:trHeight w:val="283"/>
        </w:trPr>
        <w:tc>
          <w:tcPr>
            <w:tcW w:w="5000" w:type="pct"/>
          </w:tcPr>
          <w:p w14:paraId="35405331" w14:textId="77777777" w:rsidR="00B3057F" w:rsidRPr="000F0A66" w:rsidRDefault="00B3057F" w:rsidP="001D3C67">
            <w:pPr>
              <w:spacing w:after="0"/>
              <w:rPr>
                <w:rFonts w:cstheme="minorHAnsi"/>
                <w:b/>
                <w:sz w:val="22"/>
                <w:szCs w:val="22"/>
              </w:rPr>
            </w:pPr>
            <w:r w:rsidRPr="000F0A66">
              <w:rPr>
                <w:rFonts w:cstheme="minorHAnsi"/>
                <w:sz w:val="22"/>
                <w:szCs w:val="22"/>
              </w:rPr>
              <w:t>Obveza označavanja uređaja povezanih s energijom - relevantne uredbe EU za pojedine grupe uređaja</w:t>
            </w:r>
          </w:p>
        </w:tc>
      </w:tr>
      <w:tr w:rsidR="00B3057F" w:rsidRPr="001D3C67" w14:paraId="12709DBC" w14:textId="77777777" w:rsidTr="63259912">
        <w:trPr>
          <w:trHeight w:val="283"/>
        </w:trPr>
        <w:tc>
          <w:tcPr>
            <w:tcW w:w="5000" w:type="pct"/>
          </w:tcPr>
          <w:p w14:paraId="29B4A6D2" w14:textId="6333B28F" w:rsidR="00B3057F" w:rsidRPr="000F0A66" w:rsidRDefault="00B3057F" w:rsidP="001D3C67">
            <w:pPr>
              <w:spacing w:after="0"/>
              <w:rPr>
                <w:rFonts w:cstheme="minorHAnsi"/>
                <w:b/>
                <w:sz w:val="22"/>
                <w:szCs w:val="22"/>
              </w:rPr>
            </w:pPr>
            <w:r w:rsidRPr="000F0A66">
              <w:rPr>
                <w:rFonts w:cstheme="minorHAnsi"/>
                <w:sz w:val="22"/>
                <w:szCs w:val="22"/>
              </w:rPr>
              <w:t>Reguliranje energetske usluge (ugovora o energetskom učinku) u javnom sektoru - Uredba o ugovaranju i provedbi energetske usluge u javnom sektoru (</w:t>
            </w:r>
            <w:r w:rsidR="00235819">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235819">
              <w:rPr>
                <w:rFonts w:cstheme="minorHAnsi"/>
                <w:sz w:val="22"/>
                <w:szCs w:val="22"/>
              </w:rPr>
              <w:t>“</w:t>
            </w:r>
            <w:r w:rsidR="00071A4F" w:rsidRPr="00071A4F">
              <w:rPr>
                <w:rFonts w:cstheme="minorHAnsi"/>
                <w:sz w:val="22"/>
                <w:szCs w:val="22"/>
              </w:rPr>
              <w:t xml:space="preserve">, </w:t>
            </w:r>
            <w:r w:rsidR="00004BB0">
              <w:rPr>
                <w:rFonts w:cstheme="minorHAnsi"/>
                <w:sz w:val="22"/>
                <w:szCs w:val="22"/>
              </w:rPr>
              <w:t>br</w:t>
            </w:r>
            <w:r w:rsidR="00235819">
              <w:rPr>
                <w:rFonts w:cstheme="minorHAnsi"/>
                <w:sz w:val="22"/>
                <w:szCs w:val="22"/>
              </w:rPr>
              <w:t>.</w:t>
            </w:r>
            <w:r w:rsidRPr="000F0A66">
              <w:rPr>
                <w:rFonts w:cstheme="minorHAnsi"/>
                <w:sz w:val="22"/>
                <w:szCs w:val="22"/>
              </w:rPr>
              <w:t xml:space="preserve"> 11</w:t>
            </w:r>
            <w:r w:rsidR="005B41DA">
              <w:rPr>
                <w:rFonts w:cstheme="minorHAnsi"/>
                <w:sz w:val="22"/>
                <w:szCs w:val="22"/>
              </w:rPr>
              <w:t>/15</w:t>
            </w:r>
            <w:r w:rsidR="00235819">
              <w:rPr>
                <w:rFonts w:cstheme="minorHAnsi"/>
                <w:sz w:val="22"/>
                <w:szCs w:val="22"/>
              </w:rPr>
              <w:t>.</w:t>
            </w:r>
            <w:r w:rsidRPr="000F0A66">
              <w:rPr>
                <w:rFonts w:cstheme="minorHAnsi"/>
                <w:sz w:val="22"/>
                <w:szCs w:val="22"/>
              </w:rPr>
              <w:t>)</w:t>
            </w:r>
          </w:p>
        </w:tc>
      </w:tr>
      <w:tr w:rsidR="00B3057F" w:rsidRPr="001D3C67" w14:paraId="4B4C6748" w14:textId="77777777" w:rsidTr="63259912">
        <w:trPr>
          <w:trHeight w:val="283"/>
        </w:trPr>
        <w:tc>
          <w:tcPr>
            <w:tcW w:w="5000" w:type="pct"/>
          </w:tcPr>
          <w:p w14:paraId="055FE7CD" w14:textId="77777777" w:rsidR="00B3057F" w:rsidRPr="000F0A66" w:rsidRDefault="00B3057F" w:rsidP="001D3C67">
            <w:pPr>
              <w:spacing w:after="0"/>
              <w:rPr>
                <w:rFonts w:cstheme="minorHAnsi"/>
                <w:b/>
                <w:sz w:val="22"/>
                <w:szCs w:val="22"/>
              </w:rPr>
            </w:pPr>
            <w:r w:rsidRPr="000F0A66">
              <w:rPr>
                <w:rFonts w:cstheme="minorHAnsi"/>
                <w:sz w:val="22"/>
                <w:szCs w:val="22"/>
              </w:rPr>
              <w:t xml:space="preserve">Reguliranje ugovaranja energetske usluge i radova energetske obnove višestambenih zgrada te utvrđivanje donošenja odluke o energetskoj obnovi na temelju natpolovične većine glasova suvlasnika koja se računa po suvlasničkim dijelovima </w:t>
            </w:r>
          </w:p>
        </w:tc>
      </w:tr>
      <w:tr w:rsidR="00B3057F" w:rsidRPr="001D3C67" w14:paraId="573964D5" w14:textId="77777777" w:rsidTr="63259912">
        <w:trPr>
          <w:trHeight w:val="283"/>
        </w:trPr>
        <w:tc>
          <w:tcPr>
            <w:tcW w:w="5000" w:type="pct"/>
          </w:tcPr>
          <w:p w14:paraId="4D231DC1" w14:textId="03A02D89" w:rsidR="00B3057F" w:rsidRPr="000F0A66" w:rsidRDefault="00B3057F" w:rsidP="1C9333AB">
            <w:pPr>
              <w:spacing w:after="0"/>
              <w:rPr>
                <w:rFonts w:cstheme="minorBidi"/>
                <w:b/>
                <w:bCs/>
                <w:sz w:val="22"/>
                <w:szCs w:val="22"/>
              </w:rPr>
            </w:pPr>
            <w:r w:rsidRPr="1C9333AB">
              <w:rPr>
                <w:rFonts w:cstheme="minorBidi"/>
                <w:sz w:val="22"/>
                <w:szCs w:val="22"/>
              </w:rPr>
              <w:t>Obveza korištenja kriterija energetske učinkovitosti u postupcima javne nabave proizvoda povezanih s energijom - Pravilnik o zahtjevima energetske učinkovitosti proizvoda povezanih s energijom u postupcima javne nabave (</w:t>
            </w:r>
            <w:r w:rsidR="00071A4F" w:rsidRPr="00071A4F">
              <w:rPr>
                <w:rFonts w:cstheme="minorBidi"/>
                <w:sz w:val="22"/>
                <w:szCs w:val="22"/>
              </w:rPr>
              <w:t xml:space="preserve">Narodne </w:t>
            </w:r>
            <w:r w:rsidR="00A97AE7">
              <w:rPr>
                <w:rFonts w:cstheme="minorBidi"/>
                <w:sz w:val="22"/>
                <w:szCs w:val="22"/>
              </w:rPr>
              <w:t>novine</w:t>
            </w:r>
            <w:r w:rsidR="00071A4F" w:rsidRPr="00071A4F">
              <w:rPr>
                <w:rFonts w:cstheme="minorBidi"/>
                <w:sz w:val="22"/>
                <w:szCs w:val="22"/>
              </w:rPr>
              <w:t xml:space="preserve">, </w:t>
            </w:r>
            <w:r w:rsidR="00004BB0">
              <w:rPr>
                <w:rFonts w:cstheme="minorBidi"/>
                <w:sz w:val="22"/>
                <w:szCs w:val="22"/>
              </w:rPr>
              <w:t>broj</w:t>
            </w:r>
            <w:r w:rsidRPr="1C9333AB">
              <w:rPr>
                <w:rFonts w:cstheme="minorBidi"/>
                <w:sz w:val="22"/>
                <w:szCs w:val="22"/>
              </w:rPr>
              <w:t xml:space="preserve"> 70</w:t>
            </w:r>
            <w:r w:rsidR="005B41DA">
              <w:rPr>
                <w:rFonts w:cstheme="minorBidi"/>
                <w:sz w:val="22"/>
                <w:szCs w:val="22"/>
              </w:rPr>
              <w:t>/2015</w:t>
            </w:r>
            <w:r w:rsidRPr="1C9333AB">
              <w:rPr>
                <w:rFonts w:cstheme="minorBidi"/>
                <w:sz w:val="22"/>
                <w:szCs w:val="22"/>
              </w:rPr>
              <w:t>)</w:t>
            </w:r>
          </w:p>
        </w:tc>
      </w:tr>
      <w:tr w:rsidR="00B3057F" w:rsidRPr="001D3C67" w14:paraId="157A7687" w14:textId="77777777" w:rsidTr="63259912">
        <w:trPr>
          <w:trHeight w:val="283"/>
        </w:trPr>
        <w:tc>
          <w:tcPr>
            <w:tcW w:w="5000" w:type="pct"/>
          </w:tcPr>
          <w:p w14:paraId="4FDE128C" w14:textId="1368353B" w:rsidR="00B3057F" w:rsidRPr="000F0A66" w:rsidRDefault="00B3057F" w:rsidP="001D3C67">
            <w:pPr>
              <w:spacing w:after="0"/>
              <w:rPr>
                <w:rFonts w:cstheme="minorHAnsi"/>
                <w:b/>
                <w:sz w:val="22"/>
                <w:szCs w:val="22"/>
              </w:rPr>
            </w:pPr>
            <w:r w:rsidRPr="000F0A66">
              <w:rPr>
                <w:rFonts w:cstheme="minorHAnsi"/>
                <w:sz w:val="22"/>
                <w:szCs w:val="22"/>
              </w:rPr>
              <w:t>Obveza ispunjavanja zahtjeva za eko-dizajn proizvoda povezanih s energijom prilikom stavljanja na tržište - Pravilnik o utvrđivanju zahtjeva za eko-dizajn proizvoda povezanih s energijom (</w:t>
            </w:r>
            <w:r w:rsidR="00071A4F" w:rsidRPr="00071A4F">
              <w:rPr>
                <w:rFonts w:cstheme="minorHAnsi"/>
                <w:sz w:val="22"/>
                <w:szCs w:val="22"/>
              </w:rPr>
              <w:t xml:space="preserve">Narodne </w:t>
            </w:r>
            <w:r w:rsidR="00A97AE7">
              <w:rPr>
                <w:rFonts w:cstheme="minorHAnsi"/>
                <w:sz w:val="22"/>
                <w:szCs w:val="22"/>
              </w:rPr>
              <w:t>novine</w:t>
            </w:r>
            <w:r w:rsidR="00071A4F" w:rsidRPr="00071A4F">
              <w:rPr>
                <w:rFonts w:cstheme="minorHAnsi"/>
                <w:sz w:val="22"/>
                <w:szCs w:val="22"/>
              </w:rPr>
              <w:t xml:space="preserve">, </w:t>
            </w:r>
            <w:r w:rsidR="00004BB0">
              <w:rPr>
                <w:rFonts w:cstheme="minorHAnsi"/>
                <w:sz w:val="22"/>
                <w:szCs w:val="22"/>
              </w:rPr>
              <w:t>broj</w:t>
            </w:r>
            <w:r w:rsidRPr="000F0A66">
              <w:rPr>
                <w:rFonts w:cstheme="minorHAnsi"/>
                <w:sz w:val="22"/>
                <w:szCs w:val="22"/>
              </w:rPr>
              <w:t xml:space="preserve"> 50</w:t>
            </w:r>
            <w:r w:rsidR="005B41DA">
              <w:rPr>
                <w:rFonts w:cstheme="minorHAnsi"/>
                <w:sz w:val="22"/>
                <w:szCs w:val="22"/>
              </w:rPr>
              <w:t>/2015</w:t>
            </w:r>
            <w:r w:rsidRPr="000F0A66">
              <w:rPr>
                <w:rFonts w:cstheme="minorHAnsi"/>
                <w:sz w:val="22"/>
                <w:szCs w:val="22"/>
              </w:rPr>
              <w:t>)</w:t>
            </w:r>
          </w:p>
        </w:tc>
      </w:tr>
      <w:tr w:rsidR="00B3057F" w:rsidRPr="001D3C67" w14:paraId="2CD797A6" w14:textId="77777777" w:rsidTr="63259912">
        <w:trPr>
          <w:trHeight w:val="283"/>
        </w:trPr>
        <w:tc>
          <w:tcPr>
            <w:tcW w:w="5000" w:type="pct"/>
          </w:tcPr>
          <w:p w14:paraId="1621E194" w14:textId="28CBDA97" w:rsidR="00B3057F" w:rsidRPr="000F0A66" w:rsidRDefault="00B3057F" w:rsidP="001D3C67">
            <w:pPr>
              <w:spacing w:after="0"/>
              <w:rPr>
                <w:rFonts w:cstheme="minorHAnsi"/>
                <w:b/>
                <w:sz w:val="22"/>
                <w:szCs w:val="22"/>
              </w:rPr>
            </w:pPr>
            <w:r w:rsidRPr="000F0A66">
              <w:rPr>
                <w:rFonts w:cstheme="minorHAnsi"/>
                <w:sz w:val="22"/>
                <w:szCs w:val="22"/>
              </w:rPr>
              <w:t>Pravilnici o uvjetima i mjerilima za utvrđivanje sustava kvalitete usluga i radova za certificiranje instalatera obnovljivih izvora energije - fotonaponskih sustava (</w:t>
            </w:r>
            <w:r w:rsidR="00235819">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235819">
              <w:rPr>
                <w:rFonts w:cstheme="minorHAnsi"/>
                <w:sz w:val="22"/>
                <w:szCs w:val="22"/>
              </w:rPr>
              <w:t>“</w:t>
            </w:r>
            <w:r w:rsidR="00071A4F" w:rsidRPr="00071A4F">
              <w:rPr>
                <w:rFonts w:cstheme="minorHAnsi"/>
                <w:sz w:val="22"/>
                <w:szCs w:val="22"/>
              </w:rPr>
              <w:t>, br</w:t>
            </w:r>
            <w:r w:rsidR="00235819">
              <w:rPr>
                <w:rFonts w:cstheme="minorHAnsi"/>
                <w:sz w:val="22"/>
                <w:szCs w:val="22"/>
              </w:rPr>
              <w:t>.</w:t>
            </w:r>
            <w:r w:rsidRPr="000F0A66">
              <w:rPr>
                <w:rFonts w:cstheme="minorHAnsi"/>
                <w:sz w:val="22"/>
                <w:szCs w:val="22"/>
              </w:rPr>
              <w:t xml:space="preserve"> 56</w:t>
            </w:r>
            <w:r w:rsidR="005B41DA">
              <w:rPr>
                <w:rFonts w:cstheme="minorHAnsi"/>
                <w:sz w:val="22"/>
                <w:szCs w:val="22"/>
              </w:rPr>
              <w:t>/15</w:t>
            </w:r>
            <w:r w:rsidR="00235819">
              <w:rPr>
                <w:rFonts w:cstheme="minorHAnsi"/>
                <w:sz w:val="22"/>
                <w:szCs w:val="22"/>
              </w:rPr>
              <w:t>.</w:t>
            </w:r>
            <w:r w:rsidRPr="000F0A66">
              <w:rPr>
                <w:rFonts w:cstheme="minorHAnsi"/>
                <w:sz w:val="22"/>
                <w:szCs w:val="22"/>
              </w:rPr>
              <w:t>); solarnih toplinskih sustava (</w:t>
            </w:r>
            <w:r w:rsidR="00235819">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235819">
              <w:rPr>
                <w:rFonts w:cstheme="minorHAnsi"/>
                <w:sz w:val="22"/>
                <w:szCs w:val="22"/>
              </w:rPr>
              <w:t>“</w:t>
            </w:r>
            <w:r w:rsidR="00071A4F" w:rsidRPr="00071A4F">
              <w:rPr>
                <w:rFonts w:cstheme="minorHAnsi"/>
                <w:sz w:val="22"/>
                <w:szCs w:val="22"/>
              </w:rPr>
              <w:t>, br</w:t>
            </w:r>
            <w:r w:rsidR="00344FBF">
              <w:rPr>
                <w:rFonts w:cstheme="minorHAnsi"/>
                <w:sz w:val="22"/>
                <w:szCs w:val="22"/>
              </w:rPr>
              <w:t>.</w:t>
            </w:r>
            <w:r w:rsidRPr="000F0A66">
              <w:rPr>
                <w:rFonts w:cstheme="minorHAnsi"/>
                <w:sz w:val="22"/>
                <w:szCs w:val="22"/>
              </w:rPr>
              <w:t xml:space="preserve"> 33</w:t>
            </w:r>
            <w:r w:rsidR="005B41DA">
              <w:rPr>
                <w:rFonts w:cstheme="minorHAnsi"/>
                <w:sz w:val="22"/>
                <w:szCs w:val="22"/>
              </w:rPr>
              <w:t>/15</w:t>
            </w:r>
            <w:r w:rsidR="00235819">
              <w:rPr>
                <w:rFonts w:cstheme="minorHAnsi"/>
                <w:sz w:val="22"/>
                <w:szCs w:val="22"/>
              </w:rPr>
              <w:t>.</w:t>
            </w:r>
            <w:r w:rsidRPr="000F0A66">
              <w:rPr>
                <w:rFonts w:cstheme="minorHAnsi"/>
                <w:sz w:val="22"/>
                <w:szCs w:val="22"/>
              </w:rPr>
              <w:t>, 56</w:t>
            </w:r>
            <w:r w:rsidR="005B41DA">
              <w:rPr>
                <w:rFonts w:cstheme="minorHAnsi"/>
                <w:sz w:val="22"/>
                <w:szCs w:val="22"/>
              </w:rPr>
              <w:t>/15</w:t>
            </w:r>
            <w:r w:rsidR="00235819">
              <w:rPr>
                <w:rFonts w:cstheme="minorHAnsi"/>
                <w:sz w:val="22"/>
                <w:szCs w:val="22"/>
              </w:rPr>
              <w:t>.</w:t>
            </w:r>
            <w:r w:rsidRPr="000F0A66">
              <w:rPr>
                <w:rFonts w:cstheme="minorHAnsi"/>
                <w:sz w:val="22"/>
                <w:szCs w:val="22"/>
              </w:rPr>
              <w:t xml:space="preserve"> i 12</w:t>
            </w:r>
            <w:r w:rsidR="005B41DA">
              <w:rPr>
                <w:rFonts w:cstheme="minorHAnsi"/>
                <w:sz w:val="22"/>
                <w:szCs w:val="22"/>
              </w:rPr>
              <w:t>/17</w:t>
            </w:r>
            <w:r w:rsidR="00235819">
              <w:rPr>
                <w:rFonts w:cstheme="minorHAnsi"/>
                <w:sz w:val="22"/>
                <w:szCs w:val="22"/>
              </w:rPr>
              <w:t>.</w:t>
            </w:r>
            <w:r w:rsidRPr="000F0A66">
              <w:rPr>
                <w:rFonts w:cstheme="minorHAnsi"/>
                <w:sz w:val="22"/>
                <w:szCs w:val="22"/>
              </w:rPr>
              <w:t xml:space="preserve">); manjih kotlova i peći na </w:t>
            </w:r>
            <w:r w:rsidRPr="000F0A66">
              <w:rPr>
                <w:rFonts w:cstheme="minorHAnsi"/>
                <w:sz w:val="22"/>
                <w:szCs w:val="22"/>
              </w:rPr>
              <w:lastRenderedPageBreak/>
              <w:t>biomasu (</w:t>
            </w:r>
            <w:r w:rsidR="00235819">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235819">
              <w:rPr>
                <w:rFonts w:cstheme="minorHAnsi"/>
                <w:sz w:val="22"/>
                <w:szCs w:val="22"/>
              </w:rPr>
              <w:t>“</w:t>
            </w:r>
            <w:r w:rsidR="00071A4F" w:rsidRPr="00071A4F">
              <w:rPr>
                <w:rFonts w:cstheme="minorHAnsi"/>
                <w:sz w:val="22"/>
                <w:szCs w:val="22"/>
              </w:rPr>
              <w:t>, br</w:t>
            </w:r>
            <w:r w:rsidR="00344FBF">
              <w:rPr>
                <w:rFonts w:cstheme="minorHAnsi"/>
                <w:sz w:val="22"/>
                <w:szCs w:val="22"/>
              </w:rPr>
              <w:t>.</w:t>
            </w:r>
            <w:r w:rsidRPr="000F0A66">
              <w:rPr>
                <w:rFonts w:cstheme="minorHAnsi"/>
                <w:sz w:val="22"/>
                <w:szCs w:val="22"/>
              </w:rPr>
              <w:t xml:space="preserve"> 39</w:t>
            </w:r>
            <w:r w:rsidR="005B41DA">
              <w:rPr>
                <w:rFonts w:cstheme="minorHAnsi"/>
                <w:sz w:val="22"/>
                <w:szCs w:val="22"/>
              </w:rPr>
              <w:t>/15</w:t>
            </w:r>
            <w:r w:rsidR="00235819">
              <w:rPr>
                <w:rFonts w:cstheme="minorHAnsi"/>
                <w:sz w:val="22"/>
                <w:szCs w:val="22"/>
              </w:rPr>
              <w:t>.</w:t>
            </w:r>
            <w:r w:rsidRPr="000F0A66">
              <w:rPr>
                <w:rFonts w:cstheme="minorHAnsi"/>
                <w:sz w:val="22"/>
                <w:szCs w:val="22"/>
              </w:rPr>
              <w:t>, 56</w:t>
            </w:r>
            <w:r w:rsidR="005B41DA">
              <w:rPr>
                <w:rFonts w:cstheme="minorHAnsi"/>
                <w:sz w:val="22"/>
                <w:szCs w:val="22"/>
              </w:rPr>
              <w:t>/15</w:t>
            </w:r>
            <w:r w:rsidR="00235819">
              <w:rPr>
                <w:rFonts w:cstheme="minorHAnsi"/>
                <w:sz w:val="22"/>
                <w:szCs w:val="22"/>
              </w:rPr>
              <w:t>.</w:t>
            </w:r>
            <w:r w:rsidRPr="000F0A66">
              <w:rPr>
                <w:rFonts w:cstheme="minorHAnsi"/>
                <w:sz w:val="22"/>
                <w:szCs w:val="22"/>
              </w:rPr>
              <w:t xml:space="preserve"> i 12</w:t>
            </w:r>
            <w:r w:rsidR="005B41DA">
              <w:rPr>
                <w:rFonts w:cstheme="minorHAnsi"/>
                <w:sz w:val="22"/>
                <w:szCs w:val="22"/>
              </w:rPr>
              <w:t>/17</w:t>
            </w:r>
            <w:r w:rsidR="00235819">
              <w:rPr>
                <w:rFonts w:cstheme="minorHAnsi"/>
                <w:sz w:val="22"/>
                <w:szCs w:val="22"/>
              </w:rPr>
              <w:t>.</w:t>
            </w:r>
            <w:r w:rsidRPr="000F0A66">
              <w:rPr>
                <w:rFonts w:cstheme="minorHAnsi"/>
                <w:sz w:val="22"/>
                <w:szCs w:val="22"/>
              </w:rPr>
              <w:t>); plitkih geotermalnih sustava i dizalica topline (</w:t>
            </w:r>
            <w:r w:rsidR="00235819">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235819">
              <w:rPr>
                <w:rFonts w:cstheme="minorHAnsi"/>
                <w:sz w:val="22"/>
                <w:szCs w:val="22"/>
              </w:rPr>
              <w:t>“</w:t>
            </w:r>
            <w:r w:rsidR="00071A4F" w:rsidRPr="00071A4F">
              <w:rPr>
                <w:rFonts w:cstheme="minorHAnsi"/>
                <w:sz w:val="22"/>
                <w:szCs w:val="22"/>
              </w:rPr>
              <w:t>, br</w:t>
            </w:r>
            <w:r w:rsidR="00344FBF">
              <w:rPr>
                <w:rFonts w:cstheme="minorHAnsi"/>
                <w:sz w:val="22"/>
                <w:szCs w:val="22"/>
              </w:rPr>
              <w:t>.</w:t>
            </w:r>
            <w:r w:rsidRPr="000F0A66">
              <w:rPr>
                <w:rFonts w:cstheme="minorHAnsi"/>
                <w:sz w:val="22"/>
                <w:szCs w:val="22"/>
              </w:rPr>
              <w:t xml:space="preserve"> 56</w:t>
            </w:r>
            <w:r w:rsidR="005B41DA">
              <w:rPr>
                <w:rFonts w:cstheme="minorHAnsi"/>
                <w:sz w:val="22"/>
                <w:szCs w:val="22"/>
              </w:rPr>
              <w:t>/15</w:t>
            </w:r>
            <w:r w:rsidR="00235819">
              <w:rPr>
                <w:rFonts w:cstheme="minorHAnsi"/>
                <w:sz w:val="22"/>
                <w:szCs w:val="22"/>
              </w:rPr>
              <w:t>.</w:t>
            </w:r>
            <w:r w:rsidRPr="000F0A66">
              <w:rPr>
                <w:rFonts w:cstheme="minorHAnsi"/>
                <w:sz w:val="22"/>
                <w:szCs w:val="22"/>
              </w:rPr>
              <w:t xml:space="preserve"> i 12</w:t>
            </w:r>
            <w:r w:rsidR="005B41DA">
              <w:rPr>
                <w:rFonts w:cstheme="minorHAnsi"/>
                <w:sz w:val="22"/>
                <w:szCs w:val="22"/>
              </w:rPr>
              <w:t>/17</w:t>
            </w:r>
            <w:r w:rsidR="00235819">
              <w:rPr>
                <w:rFonts w:cstheme="minorHAnsi"/>
                <w:sz w:val="22"/>
                <w:szCs w:val="22"/>
              </w:rPr>
              <w:t>.</w:t>
            </w:r>
            <w:r w:rsidRPr="000F0A66">
              <w:rPr>
                <w:rFonts w:cstheme="minorHAnsi"/>
                <w:sz w:val="22"/>
                <w:szCs w:val="22"/>
              </w:rPr>
              <w:t>)</w:t>
            </w:r>
          </w:p>
        </w:tc>
      </w:tr>
      <w:tr w:rsidR="00B3057F" w:rsidRPr="003A2BE0" w14:paraId="19012B2E" w14:textId="77777777" w:rsidTr="63259912">
        <w:trPr>
          <w:trHeight w:val="283"/>
        </w:trPr>
        <w:tc>
          <w:tcPr>
            <w:tcW w:w="0" w:type="pct"/>
            <w:shd w:val="clear" w:color="auto" w:fill="D9E2F3" w:themeFill="accent5" w:themeFillTint="33"/>
          </w:tcPr>
          <w:p w14:paraId="65E18D93" w14:textId="77777777" w:rsidR="00B3057F" w:rsidRPr="000F0A66" w:rsidRDefault="00B3057F" w:rsidP="001D3C67">
            <w:pPr>
              <w:spacing w:after="0"/>
              <w:rPr>
                <w:rFonts w:cstheme="minorHAnsi"/>
                <w:b/>
                <w:bCs/>
                <w:sz w:val="22"/>
                <w:szCs w:val="22"/>
              </w:rPr>
            </w:pPr>
            <w:r w:rsidRPr="000F0A66">
              <w:rPr>
                <w:rFonts w:cstheme="minorHAnsi"/>
                <w:b/>
                <w:bCs/>
                <w:sz w:val="22"/>
                <w:szCs w:val="22"/>
              </w:rPr>
              <w:lastRenderedPageBreak/>
              <w:t>Zakon o gradnji</w:t>
            </w:r>
          </w:p>
        </w:tc>
      </w:tr>
      <w:tr w:rsidR="00B3057F" w:rsidRPr="001D3C67" w14:paraId="0C87CEDD" w14:textId="77777777" w:rsidTr="63259912">
        <w:trPr>
          <w:trHeight w:val="283"/>
        </w:trPr>
        <w:tc>
          <w:tcPr>
            <w:tcW w:w="5000" w:type="pct"/>
          </w:tcPr>
          <w:p w14:paraId="5CE230F7" w14:textId="4FE416D4" w:rsidR="00B3057F" w:rsidRPr="000F0A66" w:rsidRDefault="00B3057F" w:rsidP="001D3C67">
            <w:pPr>
              <w:spacing w:after="0"/>
              <w:rPr>
                <w:rFonts w:cstheme="minorHAnsi"/>
                <w:b/>
                <w:sz w:val="22"/>
                <w:szCs w:val="22"/>
              </w:rPr>
            </w:pPr>
            <w:r w:rsidRPr="000F0A66">
              <w:rPr>
                <w:rFonts w:cstheme="minorHAnsi"/>
                <w:sz w:val="22"/>
                <w:szCs w:val="22"/>
              </w:rPr>
              <w:t>Gospodarenje energijom i očuvanje topline kao jedan od temeljnih zahtjeva za građevine - Tehnički propis o racionalnoj uporabi energije i toplinskoj zaštiti u zgradama (</w:t>
            </w:r>
            <w:r w:rsidR="00235819">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235819">
              <w:rPr>
                <w:rFonts w:cstheme="minorHAnsi"/>
                <w:sz w:val="22"/>
                <w:szCs w:val="22"/>
              </w:rPr>
              <w:t>“</w:t>
            </w:r>
            <w:r w:rsidR="00071A4F" w:rsidRPr="00071A4F">
              <w:rPr>
                <w:rFonts w:cstheme="minorHAnsi"/>
                <w:sz w:val="22"/>
                <w:szCs w:val="22"/>
              </w:rPr>
              <w:t>, br</w:t>
            </w:r>
            <w:r w:rsidR="00E5438F">
              <w:rPr>
                <w:rFonts w:cstheme="minorHAnsi"/>
                <w:sz w:val="22"/>
                <w:szCs w:val="22"/>
              </w:rPr>
              <w:t>.</w:t>
            </w:r>
            <w:r w:rsidRPr="000F0A66">
              <w:rPr>
                <w:rFonts w:cstheme="minorHAnsi"/>
                <w:sz w:val="22"/>
                <w:szCs w:val="22"/>
              </w:rPr>
              <w:t xml:space="preserve"> 128</w:t>
            </w:r>
            <w:r w:rsidR="005B41DA">
              <w:rPr>
                <w:rFonts w:cstheme="minorHAnsi"/>
                <w:sz w:val="22"/>
                <w:szCs w:val="22"/>
              </w:rPr>
              <w:t>/15</w:t>
            </w:r>
            <w:r w:rsidR="00235819">
              <w:rPr>
                <w:rFonts w:cstheme="minorHAnsi"/>
                <w:sz w:val="22"/>
                <w:szCs w:val="22"/>
              </w:rPr>
              <w:t>.</w:t>
            </w:r>
            <w:r w:rsidRPr="000F0A66">
              <w:rPr>
                <w:rFonts w:cstheme="minorHAnsi"/>
                <w:sz w:val="22"/>
                <w:szCs w:val="22"/>
              </w:rPr>
              <w:t>, 70</w:t>
            </w:r>
            <w:r w:rsidR="005B41DA">
              <w:rPr>
                <w:rFonts w:cstheme="minorHAnsi"/>
                <w:sz w:val="22"/>
                <w:szCs w:val="22"/>
              </w:rPr>
              <w:t>/18</w:t>
            </w:r>
            <w:r w:rsidR="00235819">
              <w:rPr>
                <w:rFonts w:cstheme="minorHAnsi"/>
                <w:sz w:val="22"/>
                <w:szCs w:val="22"/>
              </w:rPr>
              <w:t>.</w:t>
            </w:r>
            <w:r w:rsidRPr="000F0A66">
              <w:rPr>
                <w:rFonts w:cstheme="minorHAnsi"/>
                <w:sz w:val="22"/>
                <w:szCs w:val="22"/>
              </w:rPr>
              <w:t>, 73</w:t>
            </w:r>
            <w:r w:rsidR="005B41DA">
              <w:rPr>
                <w:rFonts w:cstheme="minorHAnsi"/>
                <w:sz w:val="22"/>
                <w:szCs w:val="22"/>
              </w:rPr>
              <w:t>/18</w:t>
            </w:r>
            <w:r w:rsidR="00235819">
              <w:rPr>
                <w:rFonts w:cstheme="minorHAnsi"/>
                <w:sz w:val="22"/>
                <w:szCs w:val="22"/>
              </w:rPr>
              <w:t>.</w:t>
            </w:r>
            <w:r w:rsidRPr="000F0A66">
              <w:rPr>
                <w:rFonts w:cstheme="minorHAnsi"/>
                <w:sz w:val="22"/>
                <w:szCs w:val="22"/>
              </w:rPr>
              <w:t>, 86</w:t>
            </w:r>
            <w:r w:rsidR="005B41DA">
              <w:rPr>
                <w:rFonts w:cstheme="minorHAnsi"/>
                <w:sz w:val="22"/>
                <w:szCs w:val="22"/>
              </w:rPr>
              <w:t>/18</w:t>
            </w:r>
            <w:r w:rsidR="00235819">
              <w:rPr>
                <w:rFonts w:cstheme="minorHAnsi"/>
                <w:sz w:val="22"/>
                <w:szCs w:val="22"/>
              </w:rPr>
              <w:t>.</w:t>
            </w:r>
            <w:r w:rsidRPr="000F0A66">
              <w:rPr>
                <w:rFonts w:cstheme="minorHAnsi"/>
                <w:sz w:val="22"/>
                <w:szCs w:val="22"/>
              </w:rPr>
              <w:t xml:space="preserve"> i 102/20</w:t>
            </w:r>
            <w:r w:rsidR="00235819">
              <w:rPr>
                <w:rFonts w:cstheme="minorHAnsi"/>
                <w:sz w:val="22"/>
                <w:szCs w:val="22"/>
              </w:rPr>
              <w:t>.</w:t>
            </w:r>
            <w:r w:rsidRPr="000F0A66">
              <w:rPr>
                <w:rFonts w:cstheme="minorHAnsi"/>
                <w:sz w:val="22"/>
                <w:szCs w:val="22"/>
              </w:rPr>
              <w:t>)</w:t>
            </w:r>
          </w:p>
          <w:p w14:paraId="222BFCA3" w14:textId="230B2CDA" w:rsidR="00B3057F" w:rsidRPr="000F0A66" w:rsidRDefault="00B3057F" w:rsidP="1C9333AB">
            <w:pPr>
              <w:spacing w:after="0"/>
              <w:rPr>
                <w:rFonts w:cstheme="minorBidi"/>
                <w:b/>
                <w:bCs/>
                <w:sz w:val="22"/>
                <w:szCs w:val="22"/>
              </w:rPr>
            </w:pPr>
            <w:r w:rsidRPr="1C9333AB">
              <w:rPr>
                <w:rFonts w:cstheme="minorBidi"/>
                <w:sz w:val="22"/>
                <w:szCs w:val="22"/>
              </w:rPr>
              <w:t>Minimalna energetska svojstva zgrada, način određivanja energetskog svojstva zgrade, prikaz tehničke, okolišne i gospodarske izvedivosti dostupnih visokoučinkovitih alternativnih sustava opskrbe energijom, opremanje zgrada sustavima automatizacije te zahtjevi za zgrade gotovo nulte energije</w:t>
            </w:r>
          </w:p>
        </w:tc>
      </w:tr>
      <w:tr w:rsidR="00B3057F" w:rsidRPr="001D3C67" w14:paraId="11556EFE" w14:textId="77777777" w:rsidTr="63259912">
        <w:trPr>
          <w:trHeight w:val="283"/>
        </w:trPr>
        <w:tc>
          <w:tcPr>
            <w:tcW w:w="5000" w:type="pct"/>
          </w:tcPr>
          <w:p w14:paraId="51179900" w14:textId="77777777" w:rsidR="00B3057F" w:rsidRPr="000F0A66" w:rsidRDefault="00B3057F" w:rsidP="001D3C67">
            <w:pPr>
              <w:spacing w:after="0"/>
              <w:rPr>
                <w:rFonts w:cstheme="minorHAnsi"/>
                <w:b/>
                <w:sz w:val="22"/>
                <w:szCs w:val="22"/>
              </w:rPr>
            </w:pPr>
            <w:r w:rsidRPr="000F0A66">
              <w:rPr>
                <w:rFonts w:cstheme="minorHAnsi"/>
                <w:sz w:val="22"/>
                <w:szCs w:val="22"/>
              </w:rPr>
              <w:t>Obveza Vlade da na prijedlog ministarstva nadležnog za poslove graditeljstva donese Dugoročnu strategiju obnove nacionalnog fonda zgrada Republike Hrvatske te je ažurira svakih pet godina</w:t>
            </w:r>
          </w:p>
        </w:tc>
      </w:tr>
      <w:tr w:rsidR="00B3057F" w:rsidRPr="001D3C67" w14:paraId="46B32277" w14:textId="77777777" w:rsidTr="63259912">
        <w:trPr>
          <w:trHeight w:val="283"/>
        </w:trPr>
        <w:tc>
          <w:tcPr>
            <w:tcW w:w="5000" w:type="pct"/>
          </w:tcPr>
          <w:p w14:paraId="158FBF86" w14:textId="77777777" w:rsidR="00B3057F" w:rsidRPr="000F0A66" w:rsidRDefault="00B3057F" w:rsidP="001D3C67">
            <w:pPr>
              <w:spacing w:after="0"/>
              <w:rPr>
                <w:rFonts w:cstheme="minorHAnsi"/>
                <w:b/>
                <w:sz w:val="22"/>
                <w:szCs w:val="22"/>
              </w:rPr>
            </w:pPr>
            <w:r w:rsidRPr="000F0A66">
              <w:rPr>
                <w:rFonts w:cstheme="minorHAnsi"/>
                <w:sz w:val="22"/>
                <w:szCs w:val="22"/>
              </w:rPr>
              <w:t>Obveza Vlade da na prijedlog ministarstva nadležnog za poslove graditeljstva donese programe energetske obnove zgrada za razdoblje od 2021. do 2030. godine</w:t>
            </w:r>
          </w:p>
        </w:tc>
      </w:tr>
      <w:tr w:rsidR="00B3057F" w:rsidRPr="001D3C67" w14:paraId="224DFBF7" w14:textId="77777777" w:rsidTr="63259912">
        <w:trPr>
          <w:trHeight w:val="283"/>
        </w:trPr>
        <w:tc>
          <w:tcPr>
            <w:tcW w:w="5000" w:type="pct"/>
          </w:tcPr>
          <w:p w14:paraId="613DFE34" w14:textId="77777777" w:rsidR="00B3057F" w:rsidRPr="000F0A66" w:rsidRDefault="00B3057F" w:rsidP="001D3C67">
            <w:pPr>
              <w:spacing w:after="0"/>
              <w:rPr>
                <w:rFonts w:cstheme="minorHAnsi"/>
                <w:b/>
                <w:sz w:val="22"/>
                <w:szCs w:val="22"/>
              </w:rPr>
            </w:pPr>
            <w:r w:rsidRPr="000F0A66">
              <w:rPr>
                <w:rFonts w:cstheme="minorHAnsi"/>
                <w:sz w:val="22"/>
                <w:szCs w:val="22"/>
              </w:rPr>
              <w:t>Obveza Vlade da na prijedlog ministarstva nadležnog za poslove graditeljstva donese Program razvoja zelene infrastrukture za razdoblje od 2021. do 2030. godine</w:t>
            </w:r>
          </w:p>
        </w:tc>
      </w:tr>
      <w:tr w:rsidR="00B3057F" w:rsidRPr="001D3C67" w14:paraId="27160B8D" w14:textId="77777777" w:rsidTr="63259912">
        <w:trPr>
          <w:trHeight w:val="283"/>
        </w:trPr>
        <w:tc>
          <w:tcPr>
            <w:tcW w:w="5000" w:type="pct"/>
          </w:tcPr>
          <w:p w14:paraId="24C7FBDD" w14:textId="77777777" w:rsidR="00B3057F" w:rsidRPr="000F0A66" w:rsidRDefault="00B3057F" w:rsidP="001D3C67">
            <w:pPr>
              <w:spacing w:after="0"/>
              <w:rPr>
                <w:rFonts w:cstheme="minorHAnsi"/>
                <w:b/>
                <w:sz w:val="22"/>
                <w:szCs w:val="22"/>
              </w:rPr>
            </w:pPr>
            <w:r w:rsidRPr="000F0A66">
              <w:rPr>
                <w:rFonts w:cstheme="minorHAnsi"/>
                <w:sz w:val="22"/>
                <w:szCs w:val="22"/>
              </w:rPr>
              <w:t>Obveza Vlade da na prijedlog ministarstva nadležnog za poslove graditeljstva donese Program kružnog gospodarenja prostorom i zgradama za razdoblje od 2021. do 2030. godine</w:t>
            </w:r>
          </w:p>
        </w:tc>
      </w:tr>
      <w:tr w:rsidR="00B3057F" w:rsidRPr="001D3C67" w14:paraId="2CC3AD3C" w14:textId="77777777" w:rsidTr="63259912">
        <w:trPr>
          <w:trHeight w:val="283"/>
        </w:trPr>
        <w:tc>
          <w:tcPr>
            <w:tcW w:w="5000" w:type="pct"/>
          </w:tcPr>
          <w:p w14:paraId="13C5F7E4" w14:textId="77777777" w:rsidR="00B3057F" w:rsidRPr="000F0A66" w:rsidRDefault="00B3057F" w:rsidP="63259912">
            <w:pPr>
              <w:spacing w:after="0"/>
              <w:rPr>
                <w:rFonts w:cstheme="minorBidi"/>
                <w:b/>
                <w:bCs/>
                <w:sz w:val="22"/>
                <w:szCs w:val="22"/>
              </w:rPr>
            </w:pPr>
            <w:r w:rsidRPr="63259912">
              <w:rPr>
                <w:rFonts w:cstheme="minorBidi"/>
                <w:sz w:val="22"/>
                <w:szCs w:val="22"/>
              </w:rPr>
              <w:t>Promicanje elektromobilnosti i uspostava infrastrukture za punjenje u novim zgradama i zgradama koje se podvrgavaju značajnoj obnovi, za stambene i nestambene zgrade</w:t>
            </w:r>
          </w:p>
        </w:tc>
      </w:tr>
      <w:tr w:rsidR="00B3057F" w:rsidRPr="001D3C67" w14:paraId="2E4BAF68" w14:textId="77777777" w:rsidTr="63259912">
        <w:trPr>
          <w:trHeight w:val="283"/>
        </w:trPr>
        <w:tc>
          <w:tcPr>
            <w:tcW w:w="5000" w:type="pct"/>
          </w:tcPr>
          <w:p w14:paraId="69D9B49B" w14:textId="77777777" w:rsidR="00B3057F" w:rsidRPr="000F0A66" w:rsidRDefault="00B3057F" w:rsidP="001D3C67">
            <w:pPr>
              <w:spacing w:after="0"/>
              <w:rPr>
                <w:rFonts w:cstheme="minorHAnsi"/>
                <w:b/>
                <w:sz w:val="22"/>
                <w:szCs w:val="22"/>
              </w:rPr>
            </w:pPr>
            <w:r w:rsidRPr="000F0A66">
              <w:rPr>
                <w:rFonts w:cstheme="minorHAnsi"/>
                <w:sz w:val="22"/>
                <w:szCs w:val="22"/>
              </w:rPr>
              <w:t>Obveza redovnih pregleda sustava grijanja i sustava hlađenja ili klimatizacije u zgradama te energetskog certificiranja zgrada</w:t>
            </w:r>
          </w:p>
          <w:p w14:paraId="5FF28808" w14:textId="4DBF1CEE" w:rsidR="00B3057F" w:rsidRPr="000F0A66" w:rsidRDefault="00B3057F" w:rsidP="001D3C67">
            <w:pPr>
              <w:spacing w:after="0"/>
              <w:rPr>
                <w:rFonts w:cstheme="minorHAnsi"/>
                <w:b/>
                <w:sz w:val="22"/>
                <w:szCs w:val="22"/>
              </w:rPr>
            </w:pPr>
            <w:r w:rsidRPr="000F0A66">
              <w:rPr>
                <w:rFonts w:cstheme="minorHAnsi"/>
                <w:sz w:val="22"/>
                <w:szCs w:val="22"/>
              </w:rPr>
              <w:t>Pravilnik o energetskom pregledu zgrade i energetskom certificiranju (</w:t>
            </w:r>
            <w:r w:rsidR="00235819">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235819">
              <w:rPr>
                <w:rFonts w:cstheme="minorHAnsi"/>
                <w:sz w:val="22"/>
                <w:szCs w:val="22"/>
              </w:rPr>
              <w:t>“</w:t>
            </w:r>
            <w:r w:rsidR="00071A4F" w:rsidRPr="00071A4F">
              <w:rPr>
                <w:rFonts w:cstheme="minorHAnsi"/>
                <w:sz w:val="22"/>
                <w:szCs w:val="22"/>
              </w:rPr>
              <w:t>, br</w:t>
            </w:r>
            <w:r w:rsidR="00E5438F">
              <w:rPr>
                <w:rFonts w:cstheme="minorHAnsi"/>
                <w:sz w:val="22"/>
                <w:szCs w:val="22"/>
              </w:rPr>
              <w:t>.</w:t>
            </w:r>
            <w:r w:rsidRPr="000F0A66">
              <w:rPr>
                <w:rFonts w:cstheme="minorHAnsi"/>
                <w:sz w:val="22"/>
                <w:szCs w:val="22"/>
              </w:rPr>
              <w:t xml:space="preserve"> 88</w:t>
            </w:r>
            <w:r w:rsidR="005B41DA">
              <w:rPr>
                <w:rFonts w:cstheme="minorHAnsi"/>
                <w:sz w:val="22"/>
                <w:szCs w:val="22"/>
              </w:rPr>
              <w:t>/17</w:t>
            </w:r>
            <w:r w:rsidR="00235819">
              <w:rPr>
                <w:rFonts w:cstheme="minorHAnsi"/>
                <w:sz w:val="22"/>
                <w:szCs w:val="22"/>
              </w:rPr>
              <w:t>.</w:t>
            </w:r>
            <w:r w:rsidRPr="000F0A66">
              <w:rPr>
                <w:rFonts w:cstheme="minorHAnsi"/>
                <w:sz w:val="22"/>
                <w:szCs w:val="22"/>
              </w:rPr>
              <w:t>, 90/20</w:t>
            </w:r>
            <w:r w:rsidR="00235819">
              <w:rPr>
                <w:rFonts w:cstheme="minorHAnsi"/>
                <w:sz w:val="22"/>
                <w:szCs w:val="22"/>
              </w:rPr>
              <w:t>.</w:t>
            </w:r>
            <w:r w:rsidRPr="000F0A66">
              <w:rPr>
                <w:rFonts w:cstheme="minorHAnsi"/>
                <w:sz w:val="22"/>
                <w:szCs w:val="22"/>
              </w:rPr>
              <w:t>, 1</w:t>
            </w:r>
            <w:r w:rsidR="005B41DA">
              <w:rPr>
                <w:rFonts w:cstheme="minorHAnsi"/>
                <w:sz w:val="22"/>
                <w:szCs w:val="22"/>
              </w:rPr>
              <w:t>/21</w:t>
            </w:r>
            <w:r w:rsidR="00235819">
              <w:rPr>
                <w:rFonts w:cstheme="minorHAnsi"/>
                <w:sz w:val="22"/>
                <w:szCs w:val="22"/>
              </w:rPr>
              <w:t>.</w:t>
            </w:r>
            <w:r w:rsidRPr="000F0A66">
              <w:rPr>
                <w:rFonts w:cstheme="minorHAnsi"/>
                <w:sz w:val="22"/>
                <w:szCs w:val="22"/>
              </w:rPr>
              <w:t xml:space="preserve"> i 45</w:t>
            </w:r>
            <w:r w:rsidR="005B41DA">
              <w:rPr>
                <w:rFonts w:cstheme="minorHAnsi"/>
                <w:sz w:val="22"/>
                <w:szCs w:val="22"/>
              </w:rPr>
              <w:t>/21</w:t>
            </w:r>
            <w:r w:rsidR="00235819">
              <w:rPr>
                <w:rFonts w:cstheme="minorHAnsi"/>
                <w:sz w:val="22"/>
                <w:szCs w:val="22"/>
              </w:rPr>
              <w:t>.</w:t>
            </w:r>
            <w:r w:rsidRPr="000F0A66">
              <w:rPr>
                <w:rFonts w:cstheme="minorHAnsi"/>
                <w:sz w:val="22"/>
                <w:szCs w:val="22"/>
              </w:rPr>
              <w:t>)</w:t>
            </w:r>
          </w:p>
          <w:p w14:paraId="7659800E" w14:textId="0F5EAD08" w:rsidR="00B3057F" w:rsidRPr="000F0A66" w:rsidRDefault="00B3057F" w:rsidP="001D3C67">
            <w:pPr>
              <w:spacing w:after="0"/>
              <w:rPr>
                <w:rFonts w:cstheme="minorHAnsi"/>
                <w:b/>
                <w:sz w:val="22"/>
                <w:szCs w:val="22"/>
              </w:rPr>
            </w:pPr>
            <w:r w:rsidRPr="000F0A66">
              <w:rPr>
                <w:rFonts w:cstheme="minorHAnsi"/>
                <w:sz w:val="22"/>
                <w:szCs w:val="22"/>
              </w:rPr>
              <w:t>Pravilnik o kontroli energetskog certifikata zgrade i izvješća o redovitom pregledu sustava grijanja i sustava hlađenja ili klimatizacije u zgradi (</w:t>
            </w:r>
            <w:r w:rsidR="00235819">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235819">
              <w:rPr>
                <w:rFonts w:cstheme="minorHAnsi"/>
                <w:sz w:val="22"/>
                <w:szCs w:val="22"/>
              </w:rPr>
              <w:t>“</w:t>
            </w:r>
            <w:r w:rsidR="00071A4F" w:rsidRPr="00071A4F">
              <w:rPr>
                <w:rFonts w:cstheme="minorHAnsi"/>
                <w:sz w:val="22"/>
                <w:szCs w:val="22"/>
              </w:rPr>
              <w:t>, br</w:t>
            </w:r>
            <w:r w:rsidR="00235819">
              <w:rPr>
                <w:rFonts w:cstheme="minorHAnsi"/>
                <w:sz w:val="22"/>
                <w:szCs w:val="22"/>
              </w:rPr>
              <w:t>.</w:t>
            </w:r>
            <w:r w:rsidRPr="000F0A66">
              <w:rPr>
                <w:rFonts w:cstheme="minorHAnsi"/>
                <w:sz w:val="22"/>
                <w:szCs w:val="22"/>
              </w:rPr>
              <w:t xml:space="preserve"> 73</w:t>
            </w:r>
            <w:r w:rsidR="005B41DA">
              <w:rPr>
                <w:rFonts w:cstheme="minorHAnsi"/>
                <w:sz w:val="22"/>
                <w:szCs w:val="22"/>
              </w:rPr>
              <w:t>/15</w:t>
            </w:r>
            <w:r w:rsidR="00235819">
              <w:rPr>
                <w:rFonts w:cstheme="minorHAnsi"/>
                <w:sz w:val="22"/>
                <w:szCs w:val="22"/>
              </w:rPr>
              <w:t>.</w:t>
            </w:r>
            <w:r w:rsidRPr="000F0A66">
              <w:rPr>
                <w:rFonts w:cstheme="minorHAnsi"/>
                <w:sz w:val="22"/>
                <w:szCs w:val="22"/>
              </w:rPr>
              <w:t xml:space="preserve"> i 54/20</w:t>
            </w:r>
            <w:r w:rsidR="00235819">
              <w:rPr>
                <w:rFonts w:cstheme="minorHAnsi"/>
                <w:sz w:val="22"/>
                <w:szCs w:val="22"/>
              </w:rPr>
              <w:t>.</w:t>
            </w:r>
            <w:r w:rsidRPr="000F0A66">
              <w:rPr>
                <w:rFonts w:cstheme="minorHAnsi"/>
                <w:sz w:val="22"/>
                <w:szCs w:val="22"/>
              </w:rPr>
              <w:t>)</w:t>
            </w:r>
          </w:p>
          <w:p w14:paraId="6292A187" w14:textId="7E786E1C" w:rsidR="00B3057F" w:rsidRPr="000F0A66" w:rsidRDefault="00B3057F" w:rsidP="001D3C67">
            <w:pPr>
              <w:spacing w:after="0"/>
              <w:rPr>
                <w:rFonts w:cstheme="minorHAnsi"/>
                <w:b/>
                <w:sz w:val="22"/>
                <w:szCs w:val="22"/>
              </w:rPr>
            </w:pPr>
            <w:r w:rsidRPr="000F0A66">
              <w:rPr>
                <w:rFonts w:cstheme="minorHAnsi"/>
                <w:sz w:val="22"/>
                <w:szCs w:val="22"/>
              </w:rPr>
              <w:t>Pravilnik o osobama ovlaštenim za energetsko certificiranje, energetski pregled zgrade i redoviti pregled sustava grijanja i sustava hlađenja ili klimatizacije u zgradi (</w:t>
            </w:r>
            <w:r w:rsidR="00235819">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235819">
              <w:rPr>
                <w:rFonts w:cstheme="minorHAnsi"/>
                <w:sz w:val="22"/>
                <w:szCs w:val="22"/>
              </w:rPr>
              <w:t>“</w:t>
            </w:r>
            <w:r w:rsidR="00071A4F" w:rsidRPr="00071A4F">
              <w:rPr>
                <w:rFonts w:cstheme="minorHAnsi"/>
                <w:sz w:val="22"/>
                <w:szCs w:val="22"/>
              </w:rPr>
              <w:t>, br</w:t>
            </w:r>
            <w:r w:rsidR="00235819">
              <w:rPr>
                <w:rFonts w:cstheme="minorHAnsi"/>
                <w:sz w:val="22"/>
                <w:szCs w:val="22"/>
              </w:rPr>
              <w:t>.</w:t>
            </w:r>
            <w:r w:rsidRPr="000F0A66">
              <w:rPr>
                <w:rFonts w:cstheme="minorHAnsi"/>
                <w:sz w:val="22"/>
                <w:szCs w:val="22"/>
              </w:rPr>
              <w:t xml:space="preserve"> 73</w:t>
            </w:r>
            <w:r w:rsidR="005B41DA">
              <w:rPr>
                <w:rFonts w:cstheme="minorHAnsi"/>
                <w:sz w:val="22"/>
                <w:szCs w:val="22"/>
              </w:rPr>
              <w:t>/15</w:t>
            </w:r>
            <w:r w:rsidR="00235819">
              <w:rPr>
                <w:rFonts w:cstheme="minorHAnsi"/>
                <w:sz w:val="22"/>
                <w:szCs w:val="22"/>
              </w:rPr>
              <w:t>.</w:t>
            </w:r>
            <w:r w:rsidRPr="000F0A66">
              <w:rPr>
                <w:rFonts w:cstheme="minorHAnsi"/>
                <w:sz w:val="22"/>
                <w:szCs w:val="22"/>
              </w:rPr>
              <w:t>, 133</w:t>
            </w:r>
            <w:r w:rsidR="005B41DA">
              <w:rPr>
                <w:rFonts w:cstheme="minorHAnsi"/>
                <w:sz w:val="22"/>
                <w:szCs w:val="22"/>
              </w:rPr>
              <w:t>/15</w:t>
            </w:r>
            <w:r w:rsidR="00235819">
              <w:rPr>
                <w:rFonts w:cstheme="minorHAnsi"/>
                <w:sz w:val="22"/>
                <w:szCs w:val="22"/>
              </w:rPr>
              <w:t>.</w:t>
            </w:r>
            <w:r w:rsidRPr="000F0A66">
              <w:rPr>
                <w:rFonts w:cstheme="minorHAnsi"/>
                <w:sz w:val="22"/>
                <w:szCs w:val="22"/>
              </w:rPr>
              <w:t>, 60/20</w:t>
            </w:r>
            <w:r w:rsidR="00235819">
              <w:rPr>
                <w:rFonts w:cstheme="minorHAnsi"/>
                <w:sz w:val="22"/>
                <w:szCs w:val="22"/>
              </w:rPr>
              <w:t>.</w:t>
            </w:r>
            <w:r w:rsidRPr="000F0A66">
              <w:rPr>
                <w:rFonts w:cstheme="minorHAnsi"/>
                <w:sz w:val="22"/>
                <w:szCs w:val="22"/>
              </w:rPr>
              <w:t xml:space="preserve"> i 78</w:t>
            </w:r>
            <w:r w:rsidR="005B41DA">
              <w:rPr>
                <w:rFonts w:cstheme="minorHAnsi"/>
                <w:sz w:val="22"/>
                <w:szCs w:val="22"/>
              </w:rPr>
              <w:t>/21</w:t>
            </w:r>
            <w:r w:rsidR="00235819">
              <w:rPr>
                <w:rFonts w:cstheme="minorHAnsi"/>
                <w:sz w:val="22"/>
                <w:szCs w:val="22"/>
              </w:rPr>
              <w:t>.</w:t>
            </w:r>
            <w:r w:rsidRPr="000F0A66">
              <w:rPr>
                <w:rFonts w:cstheme="minorHAnsi"/>
                <w:sz w:val="22"/>
                <w:szCs w:val="22"/>
              </w:rPr>
              <w:t>)</w:t>
            </w:r>
          </w:p>
        </w:tc>
      </w:tr>
      <w:tr w:rsidR="00570962" w:rsidRPr="003A2BE0" w14:paraId="2F944A40" w14:textId="77777777" w:rsidTr="63259912">
        <w:trPr>
          <w:trHeight w:val="283"/>
        </w:trPr>
        <w:tc>
          <w:tcPr>
            <w:tcW w:w="0" w:type="pct"/>
            <w:shd w:val="clear" w:color="auto" w:fill="D9E2F3" w:themeFill="accent5" w:themeFillTint="33"/>
          </w:tcPr>
          <w:p w14:paraId="7A1FC34D" w14:textId="61196C03" w:rsidR="00570962" w:rsidRPr="000F0A66" w:rsidRDefault="00570962" w:rsidP="001D3C67">
            <w:pPr>
              <w:spacing w:after="0"/>
              <w:rPr>
                <w:rFonts w:cstheme="minorHAnsi"/>
                <w:b/>
                <w:bCs/>
                <w:sz w:val="22"/>
                <w:szCs w:val="22"/>
              </w:rPr>
            </w:pPr>
            <w:r w:rsidRPr="000F0A66">
              <w:rPr>
                <w:rFonts w:cstheme="minorHAnsi"/>
                <w:b/>
                <w:bCs/>
                <w:sz w:val="22"/>
                <w:szCs w:val="22"/>
              </w:rPr>
              <w:t>Zakon o zaštiti od svjetlosnog onečišćenja</w:t>
            </w:r>
          </w:p>
        </w:tc>
      </w:tr>
      <w:tr w:rsidR="00570962" w:rsidRPr="001D3C67" w14:paraId="6123D552" w14:textId="77777777" w:rsidTr="63259912">
        <w:trPr>
          <w:trHeight w:val="283"/>
        </w:trPr>
        <w:tc>
          <w:tcPr>
            <w:tcW w:w="5000" w:type="pct"/>
          </w:tcPr>
          <w:p w14:paraId="1138D82E" w14:textId="77777777" w:rsidR="00570962" w:rsidRPr="000F0A66" w:rsidRDefault="00570962" w:rsidP="001D3C67">
            <w:pPr>
              <w:spacing w:after="0"/>
              <w:rPr>
                <w:rFonts w:cstheme="minorHAnsi"/>
                <w:b/>
                <w:sz w:val="22"/>
                <w:szCs w:val="22"/>
              </w:rPr>
            </w:pPr>
            <w:r w:rsidRPr="000F0A66">
              <w:rPr>
                <w:rFonts w:cstheme="minorHAnsi"/>
                <w:sz w:val="22"/>
                <w:szCs w:val="22"/>
              </w:rPr>
              <w:t>Pri planiranju, projektiranju, gradnji, održavanju i rekonstrukciji vanjske rasvjete koja se odobrava prema zakonu kojim se uređuje građenje moraju se projektom rasvjete odabrati takva tehnička rješenja kojima se osigurava energetska učinkovitost; jedinice lokalne samouprave dužne su donijeti plan rasvjete kao i akcijski plan izgradnje/rekonstrukcije rasvjete; kriteriji energetske učinkovitosti za rasvjetu propisuju se pravilnikom</w:t>
            </w:r>
          </w:p>
          <w:p w14:paraId="4E7E5F88" w14:textId="467C31C2" w:rsidR="00570962" w:rsidRPr="000F0A66" w:rsidRDefault="00451846" w:rsidP="001D3C67">
            <w:pPr>
              <w:spacing w:after="0"/>
              <w:rPr>
                <w:rFonts w:cstheme="minorHAnsi"/>
                <w:b/>
                <w:sz w:val="22"/>
                <w:szCs w:val="22"/>
              </w:rPr>
            </w:pPr>
            <w:r w:rsidRPr="000F0A66">
              <w:rPr>
                <w:rFonts w:cstheme="minorHAnsi"/>
                <w:sz w:val="22"/>
                <w:szCs w:val="22"/>
              </w:rPr>
              <w:t>Pravilnik o sadržaju, formatu i načinu izrade plana rasvjete i akcijskog plana gradnje i/ili rekonstrukcije vanjske rasvjete (</w:t>
            </w:r>
            <w:r w:rsidR="00235819">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235819">
              <w:rPr>
                <w:rFonts w:cstheme="minorHAnsi"/>
                <w:sz w:val="22"/>
                <w:szCs w:val="22"/>
              </w:rPr>
              <w:t>“</w:t>
            </w:r>
            <w:r w:rsidR="00071A4F" w:rsidRPr="00071A4F">
              <w:rPr>
                <w:rFonts w:cstheme="minorHAnsi"/>
                <w:sz w:val="22"/>
                <w:szCs w:val="22"/>
              </w:rPr>
              <w:t xml:space="preserve">, </w:t>
            </w:r>
            <w:r w:rsidR="00004BB0">
              <w:rPr>
                <w:rFonts w:cstheme="minorHAnsi"/>
                <w:sz w:val="22"/>
                <w:szCs w:val="22"/>
              </w:rPr>
              <w:t>br</w:t>
            </w:r>
            <w:r w:rsidR="00235819">
              <w:rPr>
                <w:rFonts w:cstheme="minorHAnsi"/>
                <w:sz w:val="22"/>
                <w:szCs w:val="22"/>
              </w:rPr>
              <w:t>.</w:t>
            </w:r>
            <w:r w:rsidRPr="000F0A66">
              <w:rPr>
                <w:rFonts w:cstheme="minorHAnsi"/>
                <w:sz w:val="22"/>
                <w:szCs w:val="22"/>
              </w:rPr>
              <w:t xml:space="preserve"> </w:t>
            </w:r>
            <w:r w:rsidR="00057D69" w:rsidRPr="000F0A66">
              <w:rPr>
                <w:rFonts w:cstheme="minorHAnsi"/>
                <w:sz w:val="22"/>
                <w:szCs w:val="22"/>
              </w:rPr>
              <w:t>22</w:t>
            </w:r>
            <w:r w:rsidR="005B41DA">
              <w:rPr>
                <w:rFonts w:cstheme="minorHAnsi"/>
                <w:sz w:val="22"/>
                <w:szCs w:val="22"/>
              </w:rPr>
              <w:t>/23</w:t>
            </w:r>
            <w:r w:rsidR="00235819">
              <w:rPr>
                <w:rFonts w:cstheme="minorHAnsi"/>
                <w:sz w:val="22"/>
                <w:szCs w:val="22"/>
              </w:rPr>
              <w:t>.</w:t>
            </w:r>
            <w:r w:rsidRPr="000F0A66">
              <w:rPr>
                <w:rFonts w:cstheme="minorHAnsi"/>
                <w:sz w:val="22"/>
                <w:szCs w:val="22"/>
              </w:rPr>
              <w:t>)</w:t>
            </w:r>
          </w:p>
        </w:tc>
      </w:tr>
    </w:tbl>
    <w:p w14:paraId="379CAF0F" w14:textId="77777777" w:rsidR="00B3057F" w:rsidRPr="00B47BDA" w:rsidRDefault="00B3057F" w:rsidP="004623DD">
      <w:pPr>
        <w:rPr>
          <w:highlight w:val="yellow"/>
        </w:rPr>
      </w:pPr>
    </w:p>
    <w:p w14:paraId="26F31CF7" w14:textId="2D625E3A" w:rsidR="00CA3FC6" w:rsidRDefault="00FF0CF3" w:rsidP="00557530">
      <w:r w:rsidRPr="63259912">
        <w:t xml:space="preserve">Osim regulatornih mjera, u Hrvatskoj se provode i druge mjere energetske učinkovitosti i to prema trogodišnjim nacionalnim akcijskim planovima. Posljednji, NAPEnU pripremljen je za razdoblje </w:t>
      </w:r>
      <w:r w:rsidR="007B61BB" w:rsidRPr="63259912">
        <w:t>od 2022</w:t>
      </w:r>
      <w:r w:rsidR="00671200" w:rsidRPr="63259912">
        <w:t>.</w:t>
      </w:r>
      <w:r w:rsidR="007B61BB" w:rsidRPr="63259912">
        <w:t xml:space="preserve"> </w:t>
      </w:r>
      <w:r w:rsidRPr="63259912">
        <w:t xml:space="preserve">do </w:t>
      </w:r>
      <w:r w:rsidR="007B61BB" w:rsidRPr="63259912">
        <w:t>2024</w:t>
      </w:r>
      <w:r w:rsidRPr="63259912">
        <w:t xml:space="preserve">. godine. Mjere iz </w:t>
      </w:r>
      <w:r w:rsidR="00D366ED" w:rsidRPr="63259912">
        <w:t>ovog</w:t>
      </w:r>
      <w:r w:rsidR="009368C3" w:rsidRPr="63259912">
        <w:t xml:space="preserve"> </w:t>
      </w:r>
      <w:r w:rsidRPr="63259912">
        <w:t xml:space="preserve">NAPEnU koje se u trenutku izrade ovog </w:t>
      </w:r>
      <w:r w:rsidR="00D366ED" w:rsidRPr="63259912">
        <w:t>ažuriranog NECP</w:t>
      </w:r>
      <w:r w:rsidRPr="63259912">
        <w:t xml:space="preserve"> provode u Hrvatskoj prikazuje </w:t>
      </w:r>
      <w:r w:rsidR="00F26C81" w:rsidRPr="00B47BDA">
        <w:fldChar w:fldCharType="begin"/>
      </w:r>
      <w:r w:rsidR="00F26C81" w:rsidRPr="00B47BDA">
        <w:instrText xml:space="preserve"> REF _Ref134175922 \h </w:instrText>
      </w:r>
      <w:r w:rsidR="000F1496" w:rsidRPr="00B47BDA">
        <w:instrText xml:space="preserve"> \* MERGEFORMAT </w:instrText>
      </w:r>
      <w:r w:rsidR="00F26C81" w:rsidRPr="00B47BDA">
        <w:fldChar w:fldCharType="separate"/>
      </w:r>
      <w:r w:rsidR="00AD324D" w:rsidRPr="63259912">
        <w:t>Tablica 1</w:t>
      </w:r>
      <w:r w:rsidR="00AD324D" w:rsidRPr="00B47BDA">
        <w:noBreakHyphen/>
      </w:r>
      <w:r w:rsidR="00AD324D" w:rsidRPr="63259912">
        <w:t>7</w:t>
      </w:r>
      <w:r w:rsidR="00F26C81" w:rsidRPr="00B47BDA">
        <w:fldChar w:fldCharType="end"/>
      </w:r>
      <w:r w:rsidR="00EF73C6" w:rsidRPr="63259912">
        <w:t xml:space="preserve">. </w:t>
      </w:r>
      <w:r w:rsidRPr="63259912">
        <w:t xml:space="preserve">Radi se dominantno o mjerama financijskog poticanja </w:t>
      </w:r>
      <w:r w:rsidR="00E15FA0" w:rsidRPr="63259912">
        <w:t xml:space="preserve">mehanizmom </w:t>
      </w:r>
      <w:r w:rsidRPr="63259912">
        <w:t xml:space="preserve">bespovratnih sredstava ili </w:t>
      </w:r>
      <w:r w:rsidR="00E15FA0" w:rsidRPr="63259912">
        <w:t xml:space="preserve">financijskih instrumenata </w:t>
      </w:r>
      <w:r w:rsidRPr="63259912">
        <w:t>iz nacionalnih izvora (Fonda za zaštitu okoliša i energetsku učinkovitost) i EU izvora (</w:t>
      </w:r>
      <w:r w:rsidR="00394D85" w:rsidRPr="63259912">
        <w:t>Mehanizam za oporavak i otpornost (MOO), sredstva se koriste u okviru Nacionalnog plana oporavka i otpornosti (NPOO)</w:t>
      </w:r>
      <w:r w:rsidR="00604360" w:rsidRPr="63259912">
        <w:t xml:space="preserve">); </w:t>
      </w:r>
      <w:r w:rsidRPr="63259912">
        <w:t>Europski fond za regionalni razvoj</w:t>
      </w:r>
      <w:r w:rsidR="00C656F8" w:rsidRPr="63259912">
        <w:t xml:space="preserve"> (</w:t>
      </w:r>
      <w:r w:rsidRPr="63259912">
        <w:t>EFRR</w:t>
      </w:r>
      <w:r w:rsidR="00194566" w:rsidRPr="63259912">
        <w:t>)</w:t>
      </w:r>
      <w:r w:rsidR="008E150B" w:rsidRPr="63259912">
        <w:t>)</w:t>
      </w:r>
      <w:r w:rsidR="00EF5587" w:rsidRPr="63259912">
        <w:t xml:space="preserve">. </w:t>
      </w:r>
    </w:p>
    <w:p w14:paraId="1864F0D8" w14:textId="77777777" w:rsidR="00C8604F" w:rsidRPr="00B47BDA" w:rsidRDefault="00C8604F" w:rsidP="004623DD"/>
    <w:p w14:paraId="4EEB85E8" w14:textId="69CE3B40" w:rsidR="00EF73C6" w:rsidRPr="00B47BDA" w:rsidRDefault="00EF5587" w:rsidP="004623DD">
      <w:pPr>
        <w:pStyle w:val="Caption"/>
      </w:pPr>
      <w:bookmarkStart w:id="104" w:name="_Ref531596836"/>
      <w:bookmarkStart w:id="105" w:name="_Ref134175922"/>
      <w:bookmarkStart w:id="106" w:name="_Toc193035935"/>
      <w:r w:rsidRPr="00B47BDA">
        <w:lastRenderedPageBreak/>
        <w:t xml:space="preserve">Tablica </w:t>
      </w:r>
      <w:r>
        <w:fldChar w:fldCharType="begin"/>
      </w:r>
      <w:r>
        <w:instrText>STYLEREF 1 \s</w:instrText>
      </w:r>
      <w:r>
        <w:fldChar w:fldCharType="separate"/>
      </w:r>
      <w:r w:rsidR="00AD324D">
        <w:rPr>
          <w:noProof/>
        </w:rPr>
        <w:t>1</w:t>
      </w:r>
      <w:r>
        <w:fldChar w:fldCharType="end"/>
      </w:r>
      <w:r w:rsidR="000C3EFD" w:rsidRPr="00B47BDA">
        <w:noBreakHyphen/>
      </w:r>
      <w:r w:rsidR="00473610" w:rsidRPr="00B47BDA">
        <w:fldChar w:fldCharType="begin"/>
      </w:r>
      <w:r w:rsidR="00473610" w:rsidRPr="00FE4D03">
        <w:instrText xml:space="preserve"> SEQ Tablica \* ARABIC \s 1 </w:instrText>
      </w:r>
      <w:r w:rsidR="00473610" w:rsidRPr="00B47BDA">
        <w:fldChar w:fldCharType="separate"/>
      </w:r>
      <w:r w:rsidR="00AD324D">
        <w:rPr>
          <w:noProof/>
        </w:rPr>
        <w:t>7</w:t>
      </w:r>
      <w:r w:rsidR="00473610" w:rsidRPr="00B47BDA">
        <w:fldChar w:fldCharType="end"/>
      </w:r>
      <w:bookmarkEnd w:id="104"/>
      <w:bookmarkEnd w:id="105"/>
      <w:r w:rsidR="00210967" w:rsidRPr="00B47BDA">
        <w:t>.</w:t>
      </w:r>
      <w:r w:rsidR="00A87274" w:rsidRPr="00B47BDA">
        <w:t xml:space="preserve"> </w:t>
      </w:r>
      <w:r w:rsidRPr="00B47BDA">
        <w:t>Pregled postojećih ne-regulatornih mjera energetske učinkovitosti</w:t>
      </w:r>
      <w:r w:rsidR="006639E3" w:rsidRPr="00B47BDA">
        <w:t xml:space="preserve"> po sektorima </w:t>
      </w:r>
      <w:r w:rsidR="005977A5" w:rsidRPr="00B47BDA">
        <w:t>neposredne potrošnje</w:t>
      </w:r>
      <w:r w:rsidR="00A37D74" w:rsidRPr="00B47BDA">
        <w:t xml:space="preserve"> (bez prometa)</w:t>
      </w:r>
      <w:r w:rsidR="0040080D" w:rsidRPr="00B47BDA">
        <w:t>.</w:t>
      </w:r>
      <w:bookmarkEnd w:id="106"/>
    </w:p>
    <w:tbl>
      <w:tblPr>
        <w:tblStyle w:val="NECP"/>
        <w:tblW w:w="5000" w:type="pct"/>
        <w:tblLook w:val="04A0" w:firstRow="1" w:lastRow="0" w:firstColumn="1" w:lastColumn="0" w:noHBand="0" w:noVBand="1"/>
      </w:tblPr>
      <w:tblGrid>
        <w:gridCol w:w="2263"/>
        <w:gridCol w:w="1980"/>
        <w:gridCol w:w="4807"/>
      </w:tblGrid>
      <w:tr w:rsidR="00EF73C6" w:rsidRPr="001D3C67" w14:paraId="1179454F" w14:textId="77777777" w:rsidTr="63259912">
        <w:trPr>
          <w:cnfStyle w:val="100000000000" w:firstRow="1" w:lastRow="0" w:firstColumn="0" w:lastColumn="0" w:oddVBand="0" w:evenVBand="0" w:oddHBand="0" w:evenHBand="0" w:firstRowFirstColumn="0" w:firstRowLastColumn="0" w:lastRowFirstColumn="0" w:lastRowLastColumn="0"/>
          <w:trHeight w:val="340"/>
        </w:trPr>
        <w:tc>
          <w:tcPr>
            <w:tcW w:w="1250" w:type="pct"/>
            <w:shd w:val="clear" w:color="auto" w:fill="D9E2F3" w:themeFill="accent5" w:themeFillTint="33"/>
          </w:tcPr>
          <w:p w14:paraId="3C7CF74A" w14:textId="77777777" w:rsidR="00EF73C6" w:rsidRPr="000F0A66" w:rsidRDefault="00EF73C6" w:rsidP="003D09A5">
            <w:pPr>
              <w:spacing w:after="0"/>
              <w:jc w:val="center"/>
              <w:rPr>
                <w:sz w:val="22"/>
                <w:szCs w:val="22"/>
              </w:rPr>
            </w:pPr>
            <w:r w:rsidRPr="000F0A66">
              <w:rPr>
                <w:sz w:val="22"/>
                <w:szCs w:val="22"/>
              </w:rPr>
              <w:t>Naziv mjere</w:t>
            </w:r>
          </w:p>
        </w:tc>
        <w:tc>
          <w:tcPr>
            <w:tcW w:w="1094" w:type="pct"/>
            <w:shd w:val="clear" w:color="auto" w:fill="D9E2F3" w:themeFill="accent5" w:themeFillTint="33"/>
          </w:tcPr>
          <w:p w14:paraId="21279BD7" w14:textId="18A2AC16" w:rsidR="00EF73C6" w:rsidRPr="000F0A66" w:rsidRDefault="00EF73C6" w:rsidP="003D09A5">
            <w:pPr>
              <w:spacing w:after="0"/>
              <w:jc w:val="center"/>
              <w:rPr>
                <w:sz w:val="22"/>
                <w:szCs w:val="22"/>
              </w:rPr>
            </w:pPr>
            <w:r w:rsidRPr="000F0A66">
              <w:rPr>
                <w:sz w:val="22"/>
                <w:szCs w:val="22"/>
              </w:rPr>
              <w:t>Kategorija</w:t>
            </w:r>
            <w:r w:rsidR="00453E21" w:rsidRPr="000F0A66">
              <w:rPr>
                <w:sz w:val="22"/>
                <w:szCs w:val="22"/>
              </w:rPr>
              <w:t xml:space="preserve"> mjere</w:t>
            </w:r>
          </w:p>
        </w:tc>
        <w:tc>
          <w:tcPr>
            <w:tcW w:w="2656" w:type="pct"/>
            <w:shd w:val="clear" w:color="auto" w:fill="D9E2F3" w:themeFill="accent5" w:themeFillTint="33"/>
          </w:tcPr>
          <w:p w14:paraId="0792454D" w14:textId="77777777" w:rsidR="00EF73C6" w:rsidRPr="000F0A66" w:rsidRDefault="00EF73C6" w:rsidP="003D09A5">
            <w:pPr>
              <w:spacing w:after="0"/>
              <w:jc w:val="center"/>
              <w:rPr>
                <w:sz w:val="22"/>
                <w:szCs w:val="22"/>
              </w:rPr>
            </w:pPr>
            <w:r w:rsidRPr="000F0A66">
              <w:rPr>
                <w:sz w:val="22"/>
                <w:szCs w:val="22"/>
              </w:rPr>
              <w:t>Kratki opis</w:t>
            </w:r>
          </w:p>
        </w:tc>
      </w:tr>
      <w:tr w:rsidR="00EF73C6" w:rsidRPr="001D3C67" w14:paraId="563C9581" w14:textId="77777777" w:rsidTr="63259912">
        <w:tc>
          <w:tcPr>
            <w:tcW w:w="5000" w:type="pct"/>
            <w:gridSpan w:val="3"/>
            <w:shd w:val="clear" w:color="auto" w:fill="D9D9D9" w:themeFill="background1" w:themeFillShade="D9"/>
          </w:tcPr>
          <w:p w14:paraId="7464B339" w14:textId="77777777" w:rsidR="00EF73C6" w:rsidRPr="000F0A66" w:rsidRDefault="00EF73C6" w:rsidP="001D3C67">
            <w:pPr>
              <w:spacing w:after="0"/>
              <w:rPr>
                <w:sz w:val="22"/>
                <w:szCs w:val="22"/>
              </w:rPr>
            </w:pPr>
            <w:r w:rsidRPr="000F0A66">
              <w:rPr>
                <w:sz w:val="22"/>
                <w:szCs w:val="22"/>
              </w:rPr>
              <w:t>Kućanstva</w:t>
            </w:r>
          </w:p>
        </w:tc>
      </w:tr>
      <w:tr w:rsidR="00EF73C6" w:rsidRPr="001D3C67" w14:paraId="31969E94" w14:textId="77777777" w:rsidTr="63259912">
        <w:tc>
          <w:tcPr>
            <w:tcW w:w="1250" w:type="pct"/>
          </w:tcPr>
          <w:p w14:paraId="6D40632E" w14:textId="402A11CD" w:rsidR="00EF73C6" w:rsidRPr="000F0A66" w:rsidRDefault="00AC6613" w:rsidP="001D3C67">
            <w:pPr>
              <w:pStyle w:val="Default"/>
              <w:jc w:val="both"/>
              <w:rPr>
                <w:rFonts w:cstheme="minorHAnsi"/>
                <w:sz w:val="22"/>
                <w:szCs w:val="22"/>
              </w:rPr>
            </w:pPr>
            <w:r w:rsidRPr="000F0A66">
              <w:rPr>
                <w:rFonts w:cstheme="minorHAnsi"/>
                <w:sz w:val="22"/>
                <w:szCs w:val="22"/>
              </w:rPr>
              <w:t>Program energ</w:t>
            </w:r>
            <w:r w:rsidR="00C8077A" w:rsidRPr="000F0A66">
              <w:rPr>
                <w:rFonts w:cstheme="minorHAnsi"/>
                <w:sz w:val="22"/>
                <w:szCs w:val="22"/>
              </w:rPr>
              <w:t>e</w:t>
            </w:r>
            <w:r w:rsidRPr="000F0A66">
              <w:rPr>
                <w:rFonts w:cstheme="minorHAnsi"/>
                <w:sz w:val="22"/>
                <w:szCs w:val="22"/>
              </w:rPr>
              <w:t xml:space="preserve">tske obnove višestambenih zgrada do 2030. godine </w:t>
            </w:r>
          </w:p>
        </w:tc>
        <w:tc>
          <w:tcPr>
            <w:tcW w:w="1094" w:type="pct"/>
          </w:tcPr>
          <w:p w14:paraId="5A29DC70" w14:textId="0D8A306D" w:rsidR="00EF73C6" w:rsidRPr="000F0A66" w:rsidRDefault="00453E21" w:rsidP="001D3C67">
            <w:pPr>
              <w:pStyle w:val="Default"/>
              <w:jc w:val="both"/>
              <w:rPr>
                <w:rFonts w:cstheme="minorHAnsi"/>
                <w:sz w:val="22"/>
                <w:szCs w:val="22"/>
              </w:rPr>
            </w:pPr>
            <w:r w:rsidRPr="000F0A66">
              <w:rPr>
                <w:rFonts w:cstheme="minorHAnsi"/>
                <w:sz w:val="22"/>
                <w:szCs w:val="22"/>
              </w:rPr>
              <w:t xml:space="preserve">Financijska - </w:t>
            </w:r>
            <w:r w:rsidR="00EF73C6" w:rsidRPr="000F0A66">
              <w:rPr>
                <w:rFonts w:cstheme="minorHAnsi"/>
                <w:sz w:val="22"/>
                <w:szCs w:val="22"/>
              </w:rPr>
              <w:t>Bespovratna sredstva</w:t>
            </w:r>
            <w:r w:rsidR="00AC6613" w:rsidRPr="000F0A66">
              <w:rPr>
                <w:rFonts w:cstheme="minorHAnsi"/>
                <w:sz w:val="22"/>
                <w:szCs w:val="22"/>
              </w:rPr>
              <w:t>; financijski instrument</w:t>
            </w:r>
          </w:p>
        </w:tc>
        <w:tc>
          <w:tcPr>
            <w:tcW w:w="2656" w:type="pct"/>
          </w:tcPr>
          <w:p w14:paraId="5497D30D" w14:textId="31C594D0" w:rsidR="00EF73C6" w:rsidRDefault="00594F06" w:rsidP="63259912">
            <w:pPr>
              <w:pStyle w:val="Default"/>
              <w:jc w:val="both"/>
              <w:rPr>
                <w:rFonts w:cstheme="minorBidi"/>
                <w:sz w:val="22"/>
                <w:szCs w:val="22"/>
              </w:rPr>
            </w:pPr>
            <w:r w:rsidRPr="63259912">
              <w:rPr>
                <w:rFonts w:cstheme="minorBidi"/>
                <w:sz w:val="22"/>
                <w:szCs w:val="22"/>
              </w:rPr>
              <w:t xml:space="preserve">Program je usvojila Vlada RH u prosincu 2021. godine, </w:t>
            </w:r>
            <w:r w:rsidR="00671200" w:rsidRPr="63259912">
              <w:rPr>
                <w:rFonts w:cstheme="minorBidi"/>
                <w:sz w:val="22"/>
                <w:szCs w:val="22"/>
              </w:rPr>
              <w:t xml:space="preserve">na </w:t>
            </w:r>
            <w:r w:rsidRPr="63259912">
              <w:rPr>
                <w:rFonts w:cstheme="minorBidi"/>
                <w:sz w:val="22"/>
                <w:szCs w:val="22"/>
              </w:rPr>
              <w:t>temelj</w:t>
            </w:r>
            <w:r w:rsidR="00671200" w:rsidRPr="63259912">
              <w:rPr>
                <w:rFonts w:cstheme="minorBidi"/>
                <w:sz w:val="22"/>
                <w:szCs w:val="22"/>
              </w:rPr>
              <w:t>u</w:t>
            </w:r>
            <w:r w:rsidRPr="63259912">
              <w:rPr>
                <w:rFonts w:cstheme="minorBidi"/>
                <w:sz w:val="22"/>
                <w:szCs w:val="22"/>
              </w:rPr>
              <w:t xml:space="preserve"> Zakona o gradnji</w:t>
            </w:r>
            <w:r w:rsidR="00845D34" w:rsidRPr="63259912">
              <w:rPr>
                <w:rFonts w:cstheme="minorBidi"/>
                <w:sz w:val="22"/>
                <w:szCs w:val="22"/>
              </w:rPr>
              <w:t xml:space="preserve">. </w:t>
            </w:r>
            <w:r w:rsidR="00144389" w:rsidRPr="63259912">
              <w:rPr>
                <w:rFonts w:cstheme="minorBidi"/>
                <w:sz w:val="22"/>
                <w:szCs w:val="22"/>
              </w:rPr>
              <w:t xml:space="preserve">Program obuhvaća energetsku obnovu višestambenih zgrada neoštećenih i višestambenih oštećenih u potresu, u cilju smanjenja potrošnje energije te povećanja sigurnosti i otpornosti postojećih višestambenih zgrada na požar i potres. </w:t>
            </w:r>
            <w:r w:rsidR="00545D32" w:rsidRPr="63259912">
              <w:rPr>
                <w:rFonts w:cstheme="minorBidi"/>
                <w:sz w:val="22"/>
                <w:szCs w:val="22"/>
              </w:rPr>
              <w:t xml:space="preserve">Za energetsku obnovu višestambenih zgrada neoštećenih u potresu u okviru C6. Inicijative NPOO-a: Obnova zgrada, odnosno investicije C6.1. R1-I1 Energetska obnova zgrada, osigurana je alokacija u iznosu od </w:t>
            </w:r>
            <w:r w:rsidR="007E0DEE" w:rsidRPr="63259912">
              <w:rPr>
                <w:rFonts w:cstheme="minorBidi"/>
                <w:sz w:val="22"/>
                <w:szCs w:val="22"/>
              </w:rPr>
              <w:t xml:space="preserve">39,8 milijuna EUR, a u 2022. </w:t>
            </w:r>
            <w:r w:rsidR="005055C5" w:rsidRPr="63259912">
              <w:rPr>
                <w:rFonts w:cstheme="minorBidi"/>
                <w:sz w:val="22"/>
                <w:szCs w:val="22"/>
              </w:rPr>
              <w:t xml:space="preserve">godini </w:t>
            </w:r>
            <w:r w:rsidR="007E0DEE" w:rsidRPr="63259912">
              <w:rPr>
                <w:rFonts w:cstheme="minorBidi"/>
                <w:sz w:val="22"/>
                <w:szCs w:val="22"/>
              </w:rPr>
              <w:t xml:space="preserve">je </w:t>
            </w:r>
            <w:r w:rsidR="00F5621C" w:rsidRPr="63259912">
              <w:rPr>
                <w:rFonts w:cstheme="minorBidi"/>
                <w:sz w:val="22"/>
                <w:szCs w:val="22"/>
              </w:rPr>
              <w:t xml:space="preserve">objavljen i provodi se </w:t>
            </w:r>
            <w:r w:rsidR="007E0DEE" w:rsidRPr="63259912">
              <w:rPr>
                <w:rFonts w:cstheme="minorBidi"/>
                <w:sz w:val="22"/>
                <w:szCs w:val="22"/>
              </w:rPr>
              <w:t xml:space="preserve">poziv </w:t>
            </w:r>
            <w:r w:rsidR="008B21F2" w:rsidRPr="63259912">
              <w:rPr>
                <w:rFonts w:cstheme="minorBidi"/>
                <w:sz w:val="22"/>
                <w:szCs w:val="22"/>
              </w:rPr>
              <w:t>za dodjelu sredstava</w:t>
            </w:r>
            <w:r w:rsidR="00545D32" w:rsidRPr="63259912">
              <w:rPr>
                <w:rFonts w:cstheme="minorBidi"/>
                <w:sz w:val="22"/>
                <w:szCs w:val="22"/>
              </w:rPr>
              <w:t>.</w:t>
            </w:r>
            <w:r w:rsidR="008B21F2" w:rsidRPr="63259912">
              <w:rPr>
                <w:rFonts w:cstheme="minorBidi"/>
                <w:sz w:val="22"/>
                <w:szCs w:val="22"/>
              </w:rPr>
              <w:t xml:space="preserve"> Iz EFRR je za ovaj program osigurano 89 milijuna EUR u obliku financijskog instrumenta. Dodatno će se koristiti sredst</w:t>
            </w:r>
            <w:r w:rsidR="00DB3C37" w:rsidRPr="63259912">
              <w:rPr>
                <w:rFonts w:cstheme="minorBidi"/>
                <w:sz w:val="22"/>
                <w:szCs w:val="22"/>
              </w:rPr>
              <w:t>va</w:t>
            </w:r>
            <w:r w:rsidR="008B21F2" w:rsidRPr="63259912">
              <w:rPr>
                <w:rFonts w:cstheme="minorBidi"/>
                <w:sz w:val="22"/>
                <w:szCs w:val="22"/>
              </w:rPr>
              <w:t xml:space="preserve"> FZOEU-a</w:t>
            </w:r>
            <w:r w:rsidR="00746DA2" w:rsidRPr="63259912">
              <w:rPr>
                <w:rFonts w:cstheme="minorBidi"/>
                <w:sz w:val="22"/>
                <w:szCs w:val="22"/>
              </w:rPr>
              <w:t xml:space="preserve"> temeljem </w:t>
            </w:r>
            <w:r w:rsidR="00D57CC6" w:rsidRPr="63259912">
              <w:rPr>
                <w:rFonts w:cstheme="minorBidi"/>
                <w:sz w:val="22"/>
                <w:szCs w:val="22"/>
              </w:rPr>
              <w:t xml:space="preserve">zaključka Vlade RH o mjerama za ublažavanje energetske </w:t>
            </w:r>
            <w:r w:rsidR="009313F0" w:rsidRPr="63259912">
              <w:rPr>
                <w:rFonts w:cstheme="minorBidi"/>
                <w:sz w:val="22"/>
                <w:szCs w:val="22"/>
              </w:rPr>
              <w:t>krize</w:t>
            </w:r>
            <w:r w:rsidR="008B21F2" w:rsidRPr="63259912">
              <w:rPr>
                <w:rFonts w:cstheme="minorBidi"/>
                <w:sz w:val="22"/>
                <w:szCs w:val="22"/>
              </w:rPr>
              <w:t xml:space="preserve">. </w:t>
            </w:r>
            <w:r w:rsidR="006B1677" w:rsidRPr="63259912">
              <w:rPr>
                <w:rFonts w:cstheme="minorBidi"/>
                <w:sz w:val="22"/>
                <w:szCs w:val="22"/>
              </w:rPr>
              <w:t>Dodatkom NPOO-a (RePowerEU)</w:t>
            </w:r>
            <w:r w:rsidR="00EB58BD" w:rsidRPr="63259912">
              <w:rPr>
                <w:rFonts w:cstheme="minorBidi"/>
                <w:sz w:val="22"/>
                <w:szCs w:val="22"/>
              </w:rPr>
              <w:t xml:space="preserve"> osigurano je dodatnih 120 milijuna EUR za provedbu ovog programa</w:t>
            </w:r>
            <w:r w:rsidR="00726A07" w:rsidRPr="63259912">
              <w:rPr>
                <w:rFonts w:cstheme="minorBidi"/>
                <w:sz w:val="22"/>
                <w:szCs w:val="22"/>
              </w:rPr>
              <w:t xml:space="preserve"> te je novi poziv objavljen u 2024. godini</w:t>
            </w:r>
            <w:r w:rsidR="00EB58BD" w:rsidRPr="63259912">
              <w:rPr>
                <w:rFonts w:cstheme="minorBidi"/>
                <w:sz w:val="22"/>
                <w:szCs w:val="22"/>
              </w:rPr>
              <w:t xml:space="preserve">. </w:t>
            </w:r>
          </w:p>
          <w:p w14:paraId="12FA90ED" w14:textId="77348262" w:rsidR="00440CED" w:rsidRPr="000F0A66" w:rsidRDefault="00440CED" w:rsidP="00C17634">
            <w:pPr>
              <w:pStyle w:val="Default"/>
              <w:jc w:val="both"/>
              <w:rPr>
                <w:rFonts w:cstheme="minorHAnsi"/>
                <w:sz w:val="22"/>
                <w:szCs w:val="22"/>
              </w:rPr>
            </w:pPr>
            <w:r w:rsidRPr="00E54EB2">
              <w:rPr>
                <w:rFonts w:cstheme="minorHAnsi"/>
                <w:sz w:val="22"/>
                <w:szCs w:val="22"/>
              </w:rPr>
              <w:t>Za energetsku obnovu višestambenih zgrada oštećenih u potresima, u</w:t>
            </w:r>
            <w:r w:rsidR="00C17634" w:rsidRPr="00E54EB2">
              <w:rPr>
                <w:rFonts w:cstheme="minorHAnsi"/>
                <w:sz w:val="22"/>
                <w:szCs w:val="22"/>
              </w:rPr>
              <w:t xml:space="preserve"> </w:t>
            </w:r>
            <w:r w:rsidRPr="00E54EB2">
              <w:rPr>
                <w:rFonts w:cstheme="minorHAnsi"/>
                <w:sz w:val="22"/>
                <w:szCs w:val="22"/>
              </w:rPr>
              <w:t>okviru NPOO-a i Dodatka NPOO-u osigurano</w:t>
            </w:r>
            <w:r w:rsidR="00C17634" w:rsidRPr="00E54EB2">
              <w:rPr>
                <w:rFonts w:cstheme="minorHAnsi"/>
                <w:sz w:val="22"/>
                <w:szCs w:val="22"/>
              </w:rPr>
              <w:t xml:space="preserve"> je</w:t>
            </w:r>
            <w:r w:rsidRPr="00E54EB2">
              <w:rPr>
                <w:rFonts w:cstheme="minorHAnsi"/>
                <w:sz w:val="22"/>
                <w:szCs w:val="22"/>
              </w:rPr>
              <w:t xml:space="preserve"> ukupno 54,5 milijuna eura</w:t>
            </w:r>
            <w:r w:rsidR="004720AE" w:rsidRPr="00FF10C7">
              <w:rPr>
                <w:rFonts w:cstheme="minorHAnsi"/>
                <w:sz w:val="22"/>
                <w:szCs w:val="22"/>
              </w:rPr>
              <w:t>.</w:t>
            </w:r>
          </w:p>
        </w:tc>
      </w:tr>
      <w:tr w:rsidR="00EF73C6" w:rsidRPr="001D3C67" w14:paraId="238768FE" w14:textId="77777777" w:rsidTr="63259912">
        <w:tc>
          <w:tcPr>
            <w:tcW w:w="1250" w:type="pct"/>
          </w:tcPr>
          <w:p w14:paraId="7A4E5C5E" w14:textId="7757F718" w:rsidR="00EF73C6" w:rsidRPr="000F0A66" w:rsidRDefault="00EF73C6" w:rsidP="001D3C67">
            <w:pPr>
              <w:pStyle w:val="Default"/>
              <w:jc w:val="both"/>
              <w:rPr>
                <w:rFonts w:cstheme="minorHAnsi"/>
                <w:sz w:val="22"/>
                <w:szCs w:val="22"/>
              </w:rPr>
            </w:pPr>
            <w:r w:rsidRPr="000F0A66">
              <w:rPr>
                <w:rFonts w:cstheme="minorHAnsi"/>
                <w:sz w:val="22"/>
                <w:szCs w:val="22"/>
              </w:rPr>
              <w:t xml:space="preserve">Program energetske obnove obiteljskih kuća </w:t>
            </w:r>
            <w:r w:rsidR="00AC6613" w:rsidRPr="000F0A66">
              <w:rPr>
                <w:rFonts w:cstheme="minorHAnsi"/>
                <w:sz w:val="22"/>
                <w:szCs w:val="22"/>
              </w:rPr>
              <w:t>do 2030</w:t>
            </w:r>
            <w:r w:rsidR="00C8077A" w:rsidRPr="000F0A66">
              <w:rPr>
                <w:rFonts w:cstheme="minorHAnsi"/>
                <w:sz w:val="22"/>
                <w:szCs w:val="22"/>
              </w:rPr>
              <w:t>.</w:t>
            </w:r>
            <w:r w:rsidR="005055C5">
              <w:rPr>
                <w:rFonts w:cstheme="minorHAnsi"/>
                <w:sz w:val="22"/>
                <w:szCs w:val="22"/>
              </w:rPr>
              <w:t xml:space="preserve"> godine</w:t>
            </w:r>
          </w:p>
        </w:tc>
        <w:tc>
          <w:tcPr>
            <w:tcW w:w="1094" w:type="pct"/>
          </w:tcPr>
          <w:p w14:paraId="2B3A82BA" w14:textId="1A219ED0" w:rsidR="00EF73C6" w:rsidRPr="000F0A66" w:rsidRDefault="00453E21" w:rsidP="001D3C67">
            <w:pPr>
              <w:pStyle w:val="Default"/>
              <w:jc w:val="both"/>
              <w:rPr>
                <w:rFonts w:cstheme="minorHAnsi"/>
                <w:sz w:val="22"/>
                <w:szCs w:val="22"/>
              </w:rPr>
            </w:pPr>
            <w:r w:rsidRPr="000F0A66">
              <w:rPr>
                <w:rFonts w:cstheme="minorHAnsi"/>
                <w:sz w:val="22"/>
                <w:szCs w:val="22"/>
              </w:rPr>
              <w:t>Fina</w:t>
            </w:r>
            <w:r w:rsidR="00B479F3" w:rsidRPr="000F0A66">
              <w:rPr>
                <w:rFonts w:cstheme="minorHAnsi"/>
                <w:sz w:val="22"/>
                <w:szCs w:val="22"/>
              </w:rPr>
              <w:t>n</w:t>
            </w:r>
            <w:r w:rsidRPr="000F0A66">
              <w:rPr>
                <w:rFonts w:cstheme="minorHAnsi"/>
                <w:sz w:val="22"/>
                <w:szCs w:val="22"/>
              </w:rPr>
              <w:t xml:space="preserve">cijska - </w:t>
            </w:r>
            <w:r w:rsidR="00EF73C6" w:rsidRPr="000F0A66">
              <w:rPr>
                <w:rFonts w:cstheme="minorHAnsi"/>
                <w:sz w:val="22"/>
                <w:szCs w:val="22"/>
              </w:rPr>
              <w:t>Bespovratna sredstva</w:t>
            </w:r>
          </w:p>
        </w:tc>
        <w:tc>
          <w:tcPr>
            <w:tcW w:w="2656" w:type="pct"/>
          </w:tcPr>
          <w:p w14:paraId="7EB5E7B8" w14:textId="3B3B4D9E" w:rsidR="00EF73C6" w:rsidRPr="000F0A66" w:rsidRDefault="008B21F2" w:rsidP="001D3C67">
            <w:pPr>
              <w:pStyle w:val="Default"/>
              <w:jc w:val="both"/>
              <w:rPr>
                <w:rFonts w:cstheme="minorHAnsi"/>
                <w:sz w:val="22"/>
                <w:szCs w:val="22"/>
              </w:rPr>
            </w:pPr>
            <w:r w:rsidRPr="000F0A66">
              <w:rPr>
                <w:rFonts w:cstheme="minorHAnsi"/>
                <w:sz w:val="22"/>
                <w:szCs w:val="22"/>
              </w:rPr>
              <w:t>Pr</w:t>
            </w:r>
            <w:r w:rsidR="005B00B9" w:rsidRPr="000F0A66">
              <w:rPr>
                <w:rFonts w:cstheme="minorHAnsi"/>
                <w:sz w:val="22"/>
                <w:szCs w:val="22"/>
              </w:rPr>
              <w:t xml:space="preserve">edviđa se korištenje sredstava </w:t>
            </w:r>
            <w:r w:rsidR="00CD0632">
              <w:rPr>
                <w:rFonts w:cstheme="minorHAnsi"/>
                <w:sz w:val="22"/>
                <w:szCs w:val="22"/>
              </w:rPr>
              <w:t xml:space="preserve">iz </w:t>
            </w:r>
            <w:r w:rsidR="00CD0632" w:rsidRPr="00D55ECB">
              <w:rPr>
                <w:rFonts w:cstheme="minorHAnsi"/>
                <w:sz w:val="22"/>
                <w:szCs w:val="22"/>
              </w:rPr>
              <w:t>prihod</w:t>
            </w:r>
            <w:r w:rsidR="00516C33">
              <w:rPr>
                <w:rFonts w:cstheme="minorHAnsi"/>
                <w:sz w:val="22"/>
                <w:szCs w:val="22"/>
              </w:rPr>
              <w:t>a</w:t>
            </w:r>
            <w:r w:rsidR="00CD0632" w:rsidRPr="00D55ECB">
              <w:rPr>
                <w:rFonts w:cstheme="minorHAnsi"/>
                <w:sz w:val="22"/>
                <w:szCs w:val="22"/>
              </w:rPr>
              <w:t xml:space="preserve"> od prodaje emisijskih jedinica iz EU ETS-a</w:t>
            </w:r>
            <w:r w:rsidR="00A930EC" w:rsidRPr="000F0A66">
              <w:rPr>
                <w:rFonts w:cstheme="minorHAnsi"/>
                <w:sz w:val="22"/>
                <w:szCs w:val="22"/>
              </w:rPr>
              <w:t xml:space="preserve"> za dodjelu bespovratnih sredstava vlasnicima obiteljskih kuća</w:t>
            </w:r>
            <w:r w:rsidR="00E921C6" w:rsidRPr="000F0A66">
              <w:rPr>
                <w:rFonts w:cstheme="minorHAnsi"/>
                <w:sz w:val="22"/>
                <w:szCs w:val="22"/>
              </w:rPr>
              <w:t>, što je i potvrđeno zaključkom Vlade RH o mjerama za ublažavanje energetske krize.</w:t>
            </w:r>
          </w:p>
        </w:tc>
      </w:tr>
      <w:tr w:rsidR="00C8077A" w:rsidRPr="001D3C67" w14:paraId="0ED9449E" w14:textId="77777777" w:rsidTr="63259912">
        <w:tc>
          <w:tcPr>
            <w:tcW w:w="1250" w:type="pct"/>
          </w:tcPr>
          <w:p w14:paraId="15624A7C" w14:textId="22B85309" w:rsidR="00C8077A" w:rsidRPr="000F0A66" w:rsidRDefault="00E87BA4" w:rsidP="001D3C67">
            <w:pPr>
              <w:pStyle w:val="Default"/>
              <w:jc w:val="both"/>
              <w:rPr>
                <w:rFonts w:cstheme="minorHAnsi"/>
                <w:b/>
                <w:bCs/>
                <w:sz w:val="22"/>
                <w:szCs w:val="22"/>
              </w:rPr>
            </w:pPr>
            <w:r w:rsidRPr="000F0A66">
              <w:rPr>
                <w:rFonts w:cstheme="minorHAnsi"/>
                <w:sz w:val="22"/>
                <w:szCs w:val="22"/>
              </w:rPr>
              <w:t>Program suzbijanja energetskog siromaštva koji uključuje korištenje obnovljivih izvora energije u stambenim zgradama na potpomognutim područjima i područjima posebne državne skrbi za razdoblje do 2025. godine</w:t>
            </w:r>
          </w:p>
        </w:tc>
        <w:tc>
          <w:tcPr>
            <w:tcW w:w="1094" w:type="pct"/>
          </w:tcPr>
          <w:p w14:paraId="76D0311D" w14:textId="16494C3D" w:rsidR="00C8077A" w:rsidRPr="000F0A66" w:rsidRDefault="00E87BA4" w:rsidP="001D3C67">
            <w:pPr>
              <w:pStyle w:val="Default"/>
              <w:jc w:val="both"/>
              <w:rPr>
                <w:rFonts w:cstheme="minorHAnsi"/>
                <w:sz w:val="22"/>
                <w:szCs w:val="22"/>
              </w:rPr>
            </w:pPr>
            <w:r w:rsidRPr="000F0A66">
              <w:rPr>
                <w:rFonts w:cstheme="minorHAnsi"/>
                <w:sz w:val="22"/>
                <w:szCs w:val="22"/>
              </w:rPr>
              <w:t>Financijska - Bespovratna sredstva</w:t>
            </w:r>
          </w:p>
        </w:tc>
        <w:tc>
          <w:tcPr>
            <w:tcW w:w="2656" w:type="pct"/>
          </w:tcPr>
          <w:p w14:paraId="2BF91CF9" w14:textId="666EDB05" w:rsidR="00C8077A" w:rsidRPr="000F0A66" w:rsidRDefault="009F622B" w:rsidP="63259912">
            <w:pPr>
              <w:pStyle w:val="Default"/>
              <w:jc w:val="both"/>
              <w:rPr>
                <w:rFonts w:cstheme="minorBidi"/>
                <w:sz w:val="22"/>
                <w:szCs w:val="22"/>
              </w:rPr>
            </w:pPr>
            <w:r w:rsidRPr="63259912">
              <w:rPr>
                <w:rFonts w:cstheme="minorBidi"/>
                <w:sz w:val="22"/>
                <w:szCs w:val="22"/>
              </w:rPr>
              <w:t xml:space="preserve">Program je usvojila Vlada RH u prosincu 2021. godine. Cilj Programa je energetska obnova i ugradnja obnovljivih izvora energije u 387 stambenih zgrada kojima raspolaže i upravlja </w:t>
            </w:r>
            <w:r w:rsidR="00372CFD" w:rsidRPr="63259912">
              <w:rPr>
                <w:rFonts w:cstheme="minorBidi"/>
                <w:sz w:val="22"/>
                <w:szCs w:val="22"/>
              </w:rPr>
              <w:t xml:space="preserve">Ministarstvo </w:t>
            </w:r>
            <w:r w:rsidR="00D86ACF" w:rsidRPr="63259912">
              <w:rPr>
                <w:rFonts w:cstheme="minorBidi"/>
                <w:sz w:val="22"/>
                <w:szCs w:val="22"/>
              </w:rPr>
              <w:t>prostornoga uređenja, graditeljstva i državne imovine</w:t>
            </w:r>
            <w:r w:rsidR="00F35FBB" w:rsidRPr="63259912">
              <w:rPr>
                <w:rFonts w:cstheme="minorBidi"/>
                <w:sz w:val="22"/>
                <w:szCs w:val="22"/>
              </w:rPr>
              <w:t xml:space="preserve">. </w:t>
            </w:r>
            <w:r w:rsidR="00C067AF" w:rsidRPr="63259912">
              <w:rPr>
                <w:rFonts w:cstheme="minorBidi"/>
                <w:sz w:val="22"/>
                <w:szCs w:val="22"/>
              </w:rPr>
              <w:t xml:space="preserve">Sredstva za provedbu Programa </w:t>
            </w:r>
            <w:r w:rsidR="00DA2E04" w:rsidRPr="63259912">
              <w:rPr>
                <w:rFonts w:cstheme="minorBidi"/>
                <w:sz w:val="22"/>
                <w:szCs w:val="22"/>
              </w:rPr>
              <w:t>u i</w:t>
            </w:r>
            <w:r w:rsidR="00D0017A" w:rsidRPr="63259912">
              <w:rPr>
                <w:rFonts w:cstheme="minorBidi"/>
                <w:sz w:val="22"/>
                <w:szCs w:val="22"/>
              </w:rPr>
              <w:t>z</w:t>
            </w:r>
            <w:r w:rsidR="00DA2E04" w:rsidRPr="63259912">
              <w:rPr>
                <w:rFonts w:cstheme="minorBidi"/>
                <w:sz w:val="22"/>
                <w:szCs w:val="22"/>
              </w:rPr>
              <w:t>nosu od oko 20 milijuna EUR</w:t>
            </w:r>
            <w:r w:rsidR="00D0017A" w:rsidRPr="63259912">
              <w:rPr>
                <w:rFonts w:cstheme="minorBidi"/>
                <w:sz w:val="22"/>
                <w:szCs w:val="22"/>
              </w:rPr>
              <w:t xml:space="preserve"> </w:t>
            </w:r>
            <w:r w:rsidR="00B16EA5" w:rsidRPr="63259912">
              <w:rPr>
                <w:rFonts w:cstheme="minorBidi"/>
                <w:sz w:val="22"/>
                <w:szCs w:val="22"/>
              </w:rPr>
              <w:t xml:space="preserve">osigurana </w:t>
            </w:r>
            <w:r w:rsidR="00C067AF" w:rsidRPr="63259912">
              <w:rPr>
                <w:rFonts w:cstheme="minorBidi"/>
                <w:sz w:val="22"/>
                <w:szCs w:val="22"/>
              </w:rPr>
              <w:t>su iz NPOO-a</w:t>
            </w:r>
            <w:r w:rsidR="004239D9" w:rsidRPr="63259912">
              <w:rPr>
                <w:rFonts w:cstheme="minorBidi"/>
                <w:sz w:val="22"/>
                <w:szCs w:val="22"/>
              </w:rPr>
              <w:t>, a ostala potrebna sredstva osiguravaju se iz državnog proračuna</w:t>
            </w:r>
            <w:r w:rsidR="00612264" w:rsidRPr="63259912">
              <w:rPr>
                <w:rFonts w:cstheme="minorBidi"/>
                <w:sz w:val="22"/>
                <w:szCs w:val="22"/>
              </w:rPr>
              <w:t xml:space="preserve">. </w:t>
            </w:r>
            <w:r w:rsidR="00DD4B25" w:rsidRPr="63259912">
              <w:rPr>
                <w:rFonts w:cstheme="minorBidi"/>
                <w:sz w:val="22"/>
                <w:szCs w:val="22"/>
              </w:rPr>
              <w:t xml:space="preserve">Program u cijelosti provodi </w:t>
            </w:r>
            <w:r w:rsidR="00D86ACF" w:rsidRPr="63259912">
              <w:rPr>
                <w:rFonts w:cstheme="minorBidi"/>
                <w:sz w:val="22"/>
                <w:szCs w:val="22"/>
              </w:rPr>
              <w:t>Ministarstvo prostornoga uređenja, graditeljstva i državne imovine</w:t>
            </w:r>
            <w:r w:rsidR="00664F61" w:rsidRPr="63259912">
              <w:rPr>
                <w:rFonts w:cstheme="minorBidi"/>
                <w:sz w:val="22"/>
                <w:szCs w:val="22"/>
              </w:rPr>
              <w:t>.</w:t>
            </w:r>
            <w:r w:rsidR="00494B46" w:rsidRPr="63259912">
              <w:rPr>
                <w:rFonts w:cstheme="minorBidi"/>
                <w:sz w:val="22"/>
                <w:szCs w:val="22"/>
              </w:rPr>
              <w:t xml:space="preserve"> Dodatkom NPOO-a (RePowerEU) osigurano je dodatnih 68,41 milijuna EUR za provedbu ovog programa.</w:t>
            </w:r>
          </w:p>
        </w:tc>
      </w:tr>
      <w:tr w:rsidR="00EF73C6" w:rsidRPr="001D3C67" w14:paraId="7EF4E4C2" w14:textId="77777777" w:rsidTr="63259912">
        <w:tc>
          <w:tcPr>
            <w:tcW w:w="5000" w:type="pct"/>
            <w:gridSpan w:val="3"/>
            <w:shd w:val="clear" w:color="auto" w:fill="D9D9D9" w:themeFill="background1" w:themeFillShade="D9"/>
          </w:tcPr>
          <w:p w14:paraId="1CD3A886" w14:textId="77777777" w:rsidR="00EF73C6" w:rsidRPr="000F0A66" w:rsidRDefault="00EF73C6" w:rsidP="001D3C67">
            <w:pPr>
              <w:spacing w:after="0"/>
              <w:rPr>
                <w:sz w:val="22"/>
                <w:szCs w:val="22"/>
              </w:rPr>
            </w:pPr>
            <w:r w:rsidRPr="000F0A66">
              <w:rPr>
                <w:sz w:val="22"/>
                <w:szCs w:val="22"/>
              </w:rPr>
              <w:t>Javni sektor</w:t>
            </w:r>
          </w:p>
        </w:tc>
      </w:tr>
      <w:tr w:rsidR="00EF73C6" w:rsidRPr="001D3C67" w14:paraId="1B343983" w14:textId="77777777" w:rsidTr="63259912">
        <w:tc>
          <w:tcPr>
            <w:tcW w:w="1250" w:type="pct"/>
          </w:tcPr>
          <w:p w14:paraId="13F8DCA4" w14:textId="14829DE0" w:rsidR="00EF73C6" w:rsidRPr="000F0A66" w:rsidRDefault="00EF73C6" w:rsidP="001D3C67">
            <w:pPr>
              <w:pStyle w:val="Default"/>
              <w:jc w:val="both"/>
              <w:rPr>
                <w:rFonts w:cstheme="minorHAnsi"/>
                <w:sz w:val="22"/>
                <w:szCs w:val="22"/>
              </w:rPr>
            </w:pPr>
            <w:r w:rsidRPr="000F0A66">
              <w:rPr>
                <w:rFonts w:cstheme="minorHAnsi"/>
                <w:sz w:val="22"/>
                <w:szCs w:val="22"/>
              </w:rPr>
              <w:t xml:space="preserve">Program energetske obnove zgrada javnog sektora </w:t>
            </w:r>
            <w:r w:rsidR="00AA7527" w:rsidRPr="000F0A66">
              <w:rPr>
                <w:rFonts w:cstheme="minorHAnsi"/>
                <w:sz w:val="22"/>
                <w:szCs w:val="22"/>
              </w:rPr>
              <w:t>d</w:t>
            </w:r>
            <w:r w:rsidR="004239D9" w:rsidRPr="000F0A66">
              <w:rPr>
                <w:rFonts w:cstheme="minorHAnsi"/>
                <w:sz w:val="22"/>
                <w:szCs w:val="22"/>
              </w:rPr>
              <w:t>o 2030.</w:t>
            </w:r>
            <w:r w:rsidRPr="000F0A66">
              <w:rPr>
                <w:rFonts w:cstheme="minorHAnsi"/>
                <w:sz w:val="22"/>
                <w:szCs w:val="22"/>
              </w:rPr>
              <w:t xml:space="preserve"> </w:t>
            </w:r>
          </w:p>
        </w:tc>
        <w:tc>
          <w:tcPr>
            <w:tcW w:w="1094" w:type="pct"/>
          </w:tcPr>
          <w:p w14:paraId="4D354449" w14:textId="260B74B6" w:rsidR="00EF73C6" w:rsidRPr="000F0A66" w:rsidRDefault="00453E21" w:rsidP="001D3C67">
            <w:pPr>
              <w:pStyle w:val="Default"/>
              <w:jc w:val="both"/>
              <w:rPr>
                <w:rFonts w:cstheme="minorHAnsi"/>
                <w:sz w:val="22"/>
                <w:szCs w:val="22"/>
              </w:rPr>
            </w:pPr>
            <w:r w:rsidRPr="000F0A66">
              <w:rPr>
                <w:rFonts w:cstheme="minorHAnsi"/>
                <w:sz w:val="22"/>
                <w:szCs w:val="22"/>
              </w:rPr>
              <w:t>Fina</w:t>
            </w:r>
            <w:r w:rsidR="004C3649" w:rsidRPr="000F0A66">
              <w:rPr>
                <w:rFonts w:cstheme="minorHAnsi"/>
                <w:sz w:val="22"/>
                <w:szCs w:val="22"/>
              </w:rPr>
              <w:t>n</w:t>
            </w:r>
            <w:r w:rsidRPr="000F0A66">
              <w:rPr>
                <w:rFonts w:cstheme="minorHAnsi"/>
                <w:sz w:val="22"/>
                <w:szCs w:val="22"/>
              </w:rPr>
              <w:t xml:space="preserve">cijska - </w:t>
            </w:r>
            <w:r w:rsidR="00EF73C6" w:rsidRPr="000F0A66">
              <w:rPr>
                <w:rFonts w:cstheme="minorHAnsi"/>
                <w:sz w:val="22"/>
                <w:szCs w:val="22"/>
              </w:rPr>
              <w:t>ESCO model</w:t>
            </w:r>
            <w:r w:rsidRPr="000F0A66">
              <w:rPr>
                <w:rFonts w:cstheme="minorHAnsi"/>
                <w:sz w:val="22"/>
                <w:szCs w:val="22"/>
              </w:rPr>
              <w:t xml:space="preserve"> i </w:t>
            </w:r>
          </w:p>
          <w:p w14:paraId="0F899404" w14:textId="592E54C8" w:rsidR="00EF73C6" w:rsidRPr="000F0A66" w:rsidRDefault="00453E21" w:rsidP="001D3C67">
            <w:pPr>
              <w:pStyle w:val="Default"/>
              <w:jc w:val="both"/>
              <w:rPr>
                <w:rFonts w:cstheme="minorHAnsi"/>
                <w:sz w:val="22"/>
                <w:szCs w:val="22"/>
              </w:rPr>
            </w:pPr>
            <w:r w:rsidRPr="000F0A66">
              <w:rPr>
                <w:rFonts w:cstheme="minorHAnsi"/>
                <w:sz w:val="22"/>
                <w:szCs w:val="22"/>
              </w:rPr>
              <w:lastRenderedPageBreak/>
              <w:t>b</w:t>
            </w:r>
            <w:r w:rsidR="00EF73C6" w:rsidRPr="000F0A66">
              <w:rPr>
                <w:rFonts w:cstheme="minorHAnsi"/>
                <w:sz w:val="22"/>
                <w:szCs w:val="22"/>
              </w:rPr>
              <w:t>espovratna sredstva</w:t>
            </w:r>
          </w:p>
        </w:tc>
        <w:tc>
          <w:tcPr>
            <w:tcW w:w="2656" w:type="pct"/>
          </w:tcPr>
          <w:p w14:paraId="2C001BB8" w14:textId="03EABCD1" w:rsidR="00EF73C6" w:rsidRPr="000F0A66" w:rsidRDefault="00114EE6" w:rsidP="63259912">
            <w:pPr>
              <w:pStyle w:val="Default"/>
              <w:jc w:val="both"/>
              <w:rPr>
                <w:rFonts w:cstheme="minorBidi"/>
                <w:sz w:val="22"/>
                <w:szCs w:val="22"/>
              </w:rPr>
            </w:pPr>
            <w:r w:rsidRPr="63259912">
              <w:rPr>
                <w:rFonts w:cstheme="minorBidi"/>
                <w:sz w:val="22"/>
                <w:szCs w:val="22"/>
              </w:rPr>
              <w:lastRenderedPageBreak/>
              <w:t xml:space="preserve">Program je usvojila Vlada RH u travnju 2022. godine, </w:t>
            </w:r>
            <w:r w:rsidR="005664AB" w:rsidRPr="63259912">
              <w:rPr>
                <w:rFonts w:cstheme="minorBidi"/>
                <w:sz w:val="22"/>
                <w:szCs w:val="22"/>
              </w:rPr>
              <w:t xml:space="preserve">na </w:t>
            </w:r>
            <w:r w:rsidRPr="63259912">
              <w:rPr>
                <w:rFonts w:cstheme="minorBidi"/>
                <w:sz w:val="22"/>
                <w:szCs w:val="22"/>
              </w:rPr>
              <w:t>temelj</w:t>
            </w:r>
            <w:r w:rsidR="005664AB" w:rsidRPr="63259912">
              <w:rPr>
                <w:rFonts w:cstheme="minorBidi"/>
                <w:sz w:val="22"/>
                <w:szCs w:val="22"/>
              </w:rPr>
              <w:t>u</w:t>
            </w:r>
            <w:r w:rsidRPr="63259912">
              <w:rPr>
                <w:rFonts w:cstheme="minorBidi"/>
                <w:sz w:val="22"/>
                <w:szCs w:val="22"/>
              </w:rPr>
              <w:t xml:space="preserve"> Zakona o gradnji.</w:t>
            </w:r>
            <w:r w:rsidR="002C7B98" w:rsidRPr="63259912">
              <w:rPr>
                <w:rFonts w:cstheme="minorBidi"/>
                <w:sz w:val="22"/>
                <w:szCs w:val="22"/>
              </w:rPr>
              <w:t xml:space="preserve"> Iz NPOO </w:t>
            </w:r>
            <w:r w:rsidR="000020F3" w:rsidRPr="63259912">
              <w:rPr>
                <w:rFonts w:cstheme="minorBidi"/>
                <w:sz w:val="22"/>
                <w:szCs w:val="22"/>
              </w:rPr>
              <w:t xml:space="preserve">su </w:t>
            </w:r>
            <w:r w:rsidR="00B67028" w:rsidRPr="63259912">
              <w:rPr>
                <w:rFonts w:cstheme="minorBidi"/>
                <w:sz w:val="22"/>
                <w:szCs w:val="22"/>
              </w:rPr>
              <w:t>osigurana</w:t>
            </w:r>
            <w:r w:rsidR="000020F3" w:rsidRPr="63259912">
              <w:rPr>
                <w:rFonts w:cstheme="minorBidi"/>
                <w:sz w:val="22"/>
                <w:szCs w:val="22"/>
              </w:rPr>
              <w:t xml:space="preserve"> bespovratna sredstva u iznosu </w:t>
            </w:r>
            <w:r w:rsidR="00B67028" w:rsidRPr="63259912">
              <w:rPr>
                <w:rFonts w:cstheme="minorBidi"/>
                <w:sz w:val="22"/>
                <w:szCs w:val="22"/>
              </w:rPr>
              <w:t xml:space="preserve">39,8 milijuna EUR, a </w:t>
            </w:r>
            <w:r w:rsidR="006E69F9" w:rsidRPr="63259912">
              <w:rPr>
                <w:rFonts w:cstheme="minorBidi"/>
                <w:sz w:val="22"/>
                <w:szCs w:val="22"/>
              </w:rPr>
              <w:lastRenderedPageBreak/>
              <w:t xml:space="preserve">33,2 milijuna EUR osigurano je za </w:t>
            </w:r>
            <w:r w:rsidR="00FF0C4A" w:rsidRPr="63259912">
              <w:rPr>
                <w:rFonts w:cstheme="minorBidi"/>
                <w:sz w:val="22"/>
                <w:szCs w:val="22"/>
              </w:rPr>
              <w:t>provedbu obnove putem ESCO modela izravnom dodjelom sredstava APN-u.</w:t>
            </w:r>
            <w:r w:rsidR="00E5552A" w:rsidRPr="63259912">
              <w:rPr>
                <w:rFonts w:cstheme="minorBidi"/>
                <w:sz w:val="22"/>
                <w:szCs w:val="22"/>
              </w:rPr>
              <w:t xml:space="preserve"> Iz EFRR će biti dostupno još </w:t>
            </w:r>
            <w:r w:rsidR="00D0181F" w:rsidRPr="63259912">
              <w:rPr>
                <w:rFonts w:cstheme="minorBidi"/>
                <w:sz w:val="22"/>
                <w:szCs w:val="22"/>
              </w:rPr>
              <w:t xml:space="preserve">185 </w:t>
            </w:r>
            <w:r w:rsidR="00E5552A" w:rsidRPr="63259912">
              <w:rPr>
                <w:rFonts w:cstheme="minorBidi"/>
                <w:sz w:val="22"/>
                <w:szCs w:val="22"/>
              </w:rPr>
              <w:t>milijuna EUR</w:t>
            </w:r>
            <w:r w:rsidR="0043219C" w:rsidRPr="63259912">
              <w:rPr>
                <w:rFonts w:cstheme="minorBidi"/>
                <w:sz w:val="22"/>
                <w:szCs w:val="22"/>
              </w:rPr>
              <w:t xml:space="preserve"> u obliku bespovratnih sredstava. </w:t>
            </w:r>
            <w:r w:rsidR="00C7305B" w:rsidRPr="63259912">
              <w:rPr>
                <w:rFonts w:cstheme="minorBidi"/>
                <w:sz w:val="22"/>
                <w:szCs w:val="22"/>
              </w:rPr>
              <w:t>Dodatkom NPOO-a (RePowerEU) osigurano je dodatnih 33,18 milijuna EUR za provedbu ovog programa putem ESCO modela</w:t>
            </w:r>
            <w:r w:rsidR="00565B78" w:rsidRPr="63259912">
              <w:rPr>
                <w:rFonts w:cstheme="minorBidi"/>
                <w:sz w:val="22"/>
                <w:szCs w:val="22"/>
              </w:rPr>
              <w:t xml:space="preserve"> te 60,18 milijuna EUR za energetsku obnovu javnih zgrada</w:t>
            </w:r>
            <w:r w:rsidR="00C7305B" w:rsidRPr="63259912">
              <w:rPr>
                <w:rFonts w:cstheme="minorBidi"/>
                <w:sz w:val="22"/>
                <w:szCs w:val="22"/>
              </w:rPr>
              <w:t>.</w:t>
            </w:r>
          </w:p>
        </w:tc>
      </w:tr>
      <w:tr w:rsidR="004A496B" w:rsidRPr="001D3C67" w14:paraId="0DBE50D0" w14:textId="77777777" w:rsidTr="63259912">
        <w:tc>
          <w:tcPr>
            <w:tcW w:w="1250" w:type="pct"/>
          </w:tcPr>
          <w:p w14:paraId="28A4B468" w14:textId="780B3A2E" w:rsidR="004A496B" w:rsidRPr="000F0A66" w:rsidRDefault="00AA7527" w:rsidP="001D3C67">
            <w:pPr>
              <w:pStyle w:val="Default"/>
              <w:jc w:val="both"/>
              <w:rPr>
                <w:rFonts w:cstheme="minorHAnsi"/>
                <w:sz w:val="22"/>
                <w:szCs w:val="22"/>
              </w:rPr>
            </w:pPr>
            <w:r w:rsidRPr="000F0A66">
              <w:rPr>
                <w:rFonts w:cstheme="minorHAnsi"/>
                <w:sz w:val="22"/>
                <w:szCs w:val="22"/>
              </w:rPr>
              <w:lastRenderedPageBreak/>
              <w:t>Program energetske obnove zgrada koje imaju status kulturnog dobra do 2030.</w:t>
            </w:r>
          </w:p>
        </w:tc>
        <w:tc>
          <w:tcPr>
            <w:tcW w:w="1094" w:type="pct"/>
          </w:tcPr>
          <w:p w14:paraId="51A9BB91" w14:textId="32282105" w:rsidR="004A496B" w:rsidRPr="000F0A66" w:rsidRDefault="004A496B" w:rsidP="001D3C67">
            <w:pPr>
              <w:pStyle w:val="Default"/>
              <w:jc w:val="both"/>
              <w:rPr>
                <w:rFonts w:cstheme="minorHAnsi"/>
                <w:sz w:val="22"/>
                <w:szCs w:val="22"/>
              </w:rPr>
            </w:pPr>
            <w:r w:rsidRPr="000F0A66">
              <w:rPr>
                <w:rFonts w:cstheme="minorHAnsi"/>
                <w:sz w:val="22"/>
                <w:szCs w:val="22"/>
              </w:rPr>
              <w:t>Financijska bespovratna sredstva</w:t>
            </w:r>
          </w:p>
        </w:tc>
        <w:tc>
          <w:tcPr>
            <w:tcW w:w="2656" w:type="pct"/>
          </w:tcPr>
          <w:p w14:paraId="778D95F2" w14:textId="5BC6094C" w:rsidR="004A496B" w:rsidRPr="000F0A66" w:rsidRDefault="00AA7527" w:rsidP="001D3C67">
            <w:pPr>
              <w:pStyle w:val="Default"/>
              <w:jc w:val="both"/>
              <w:rPr>
                <w:rFonts w:cstheme="minorHAnsi"/>
                <w:sz w:val="22"/>
                <w:szCs w:val="22"/>
              </w:rPr>
            </w:pPr>
            <w:r w:rsidRPr="000F0A66">
              <w:rPr>
                <w:rFonts w:cstheme="minorHAnsi"/>
                <w:sz w:val="22"/>
                <w:szCs w:val="22"/>
              </w:rPr>
              <w:t xml:space="preserve">Program je usvojila Vlada RH u prosincu 2021. godine, </w:t>
            </w:r>
            <w:r w:rsidR="005664AB">
              <w:rPr>
                <w:rFonts w:cstheme="minorHAnsi"/>
                <w:sz w:val="22"/>
                <w:szCs w:val="22"/>
              </w:rPr>
              <w:t xml:space="preserve">na </w:t>
            </w:r>
            <w:r w:rsidRPr="000F0A66">
              <w:rPr>
                <w:rFonts w:cstheme="minorHAnsi"/>
                <w:sz w:val="22"/>
                <w:szCs w:val="22"/>
              </w:rPr>
              <w:t>temelj</w:t>
            </w:r>
            <w:r w:rsidR="005664AB">
              <w:rPr>
                <w:rFonts w:cstheme="minorHAnsi"/>
                <w:sz w:val="22"/>
                <w:szCs w:val="22"/>
              </w:rPr>
              <w:t>u</w:t>
            </w:r>
            <w:r w:rsidRPr="000F0A66">
              <w:rPr>
                <w:rFonts w:cstheme="minorHAnsi"/>
                <w:sz w:val="22"/>
                <w:szCs w:val="22"/>
              </w:rPr>
              <w:t xml:space="preserve"> Zakona o gradnji.</w:t>
            </w:r>
            <w:r w:rsidR="001A2788" w:rsidRPr="000F0A66">
              <w:rPr>
                <w:rFonts w:cstheme="minorHAnsi"/>
                <w:sz w:val="22"/>
                <w:szCs w:val="22"/>
              </w:rPr>
              <w:t xml:space="preserve"> Sredstva su osigurana iz NPOO-a u iznosu 39,8 milijuna EUR te se dodjeljuj</w:t>
            </w:r>
            <w:r w:rsidR="009C2976" w:rsidRPr="000F0A66">
              <w:rPr>
                <w:rFonts w:cstheme="minorHAnsi"/>
                <w:sz w:val="22"/>
                <w:szCs w:val="22"/>
              </w:rPr>
              <w:t xml:space="preserve">u kao bespovratna sredstva. </w:t>
            </w:r>
          </w:p>
        </w:tc>
      </w:tr>
      <w:tr w:rsidR="00EF73C6" w:rsidRPr="001D3C67" w14:paraId="31CDCD70" w14:textId="77777777" w:rsidTr="63259912">
        <w:tc>
          <w:tcPr>
            <w:tcW w:w="1250" w:type="pct"/>
          </w:tcPr>
          <w:p w14:paraId="115D7CFF" w14:textId="2B7FF08D" w:rsidR="00EF73C6" w:rsidRPr="000F0A66" w:rsidRDefault="00EF73C6" w:rsidP="001D3C67">
            <w:pPr>
              <w:pStyle w:val="Default"/>
              <w:jc w:val="both"/>
              <w:rPr>
                <w:rFonts w:cstheme="minorHAnsi"/>
                <w:b/>
                <w:sz w:val="22"/>
                <w:szCs w:val="22"/>
              </w:rPr>
            </w:pPr>
            <w:r w:rsidRPr="000F0A66">
              <w:rPr>
                <w:rFonts w:cstheme="minorHAnsi"/>
                <w:sz w:val="22"/>
                <w:szCs w:val="22"/>
              </w:rPr>
              <w:t>Sustavno gospodarenje energijom u javnom sektoru</w:t>
            </w:r>
            <w:r w:rsidRPr="000F0A66">
              <w:rPr>
                <w:rFonts w:cstheme="minorHAnsi"/>
                <w:color w:val="auto"/>
                <w:sz w:val="22"/>
                <w:szCs w:val="22"/>
              </w:rPr>
              <w:t xml:space="preserve"> </w:t>
            </w:r>
          </w:p>
        </w:tc>
        <w:tc>
          <w:tcPr>
            <w:tcW w:w="1094" w:type="pct"/>
          </w:tcPr>
          <w:p w14:paraId="4A90ED58" w14:textId="1F151185" w:rsidR="00EF73C6" w:rsidRPr="000F0A66" w:rsidRDefault="00F425FE" w:rsidP="001D3C67">
            <w:pPr>
              <w:pStyle w:val="Default"/>
              <w:jc w:val="both"/>
              <w:rPr>
                <w:rFonts w:cstheme="minorHAnsi"/>
                <w:sz w:val="22"/>
                <w:szCs w:val="22"/>
              </w:rPr>
            </w:pPr>
            <w:r w:rsidRPr="000F0A66">
              <w:rPr>
                <w:rFonts w:cstheme="minorHAnsi"/>
                <w:sz w:val="22"/>
                <w:szCs w:val="22"/>
              </w:rPr>
              <w:t xml:space="preserve">Informativna </w:t>
            </w:r>
          </w:p>
        </w:tc>
        <w:tc>
          <w:tcPr>
            <w:tcW w:w="2656" w:type="pct"/>
          </w:tcPr>
          <w:p w14:paraId="0CE9CE11" w14:textId="77777777" w:rsidR="00EF73C6" w:rsidRPr="000F0A66" w:rsidRDefault="00EF73C6" w:rsidP="001D3C67">
            <w:pPr>
              <w:pStyle w:val="Default"/>
              <w:jc w:val="both"/>
              <w:rPr>
                <w:rFonts w:cstheme="minorHAnsi"/>
                <w:sz w:val="22"/>
                <w:szCs w:val="22"/>
              </w:rPr>
            </w:pPr>
            <w:r w:rsidRPr="000F0A66">
              <w:rPr>
                <w:rFonts w:cstheme="minorHAnsi"/>
                <w:sz w:val="22"/>
                <w:szCs w:val="22"/>
              </w:rPr>
              <w:t xml:space="preserve">Program provodi APN, a temelji se na obvezi javnog sektora za sustavno gospodarenje energijom; uštede u ovom programu </w:t>
            </w:r>
            <w:r w:rsidR="00E15FA0" w:rsidRPr="000F0A66">
              <w:rPr>
                <w:rFonts w:cstheme="minorHAnsi"/>
                <w:sz w:val="22"/>
                <w:szCs w:val="22"/>
              </w:rPr>
              <w:t xml:space="preserve">rezultat </w:t>
            </w:r>
            <w:r w:rsidRPr="000F0A66">
              <w:rPr>
                <w:rFonts w:cstheme="minorHAnsi"/>
                <w:sz w:val="22"/>
                <w:szCs w:val="22"/>
              </w:rPr>
              <w:t>su organizacijskih i informativnih mjera</w:t>
            </w:r>
          </w:p>
          <w:p w14:paraId="34EE3757" w14:textId="71271E3A" w:rsidR="00EF73C6" w:rsidRPr="000F0A66" w:rsidRDefault="393C4ABE" w:rsidP="1C9333AB">
            <w:pPr>
              <w:pStyle w:val="Default"/>
              <w:jc w:val="both"/>
              <w:rPr>
                <w:rFonts w:cstheme="minorBidi"/>
                <w:sz w:val="22"/>
                <w:szCs w:val="22"/>
              </w:rPr>
            </w:pPr>
            <w:r w:rsidRPr="1C9333AB">
              <w:rPr>
                <w:rFonts w:cstheme="minorBidi"/>
                <w:sz w:val="22"/>
                <w:szCs w:val="22"/>
              </w:rPr>
              <w:t>Dodatno je APN započeo i s provedbom Pilot projekta uspostave i provedbe sustavnog gospodarenja energijom te razvoj novog modela financiranja, kojim dobru praksu ISGE-a proširuje i na stambene zgrade – za ovaj pilot projekt osigurana su sred</w:t>
            </w:r>
            <w:r w:rsidR="4177BFAB" w:rsidRPr="1C9333AB">
              <w:rPr>
                <w:rFonts w:cstheme="minorBidi"/>
                <w:sz w:val="22"/>
                <w:szCs w:val="22"/>
              </w:rPr>
              <w:t>s</w:t>
            </w:r>
            <w:r w:rsidRPr="1C9333AB">
              <w:rPr>
                <w:rFonts w:cstheme="minorBidi"/>
                <w:sz w:val="22"/>
                <w:szCs w:val="22"/>
              </w:rPr>
              <w:t>tva iz NPOO-a</w:t>
            </w:r>
            <w:r w:rsidR="18CBF9BC" w:rsidRPr="1C9333AB">
              <w:rPr>
                <w:rFonts w:cstheme="minorBidi"/>
                <w:sz w:val="22"/>
                <w:szCs w:val="22"/>
              </w:rPr>
              <w:t xml:space="preserve"> u iznosu od </w:t>
            </w:r>
            <w:r w:rsidR="6FF6528F" w:rsidRPr="1C9333AB">
              <w:rPr>
                <w:rFonts w:cstheme="minorBidi"/>
                <w:sz w:val="22"/>
                <w:szCs w:val="22"/>
              </w:rPr>
              <w:t>1,6 milijuna EUR</w:t>
            </w:r>
            <w:r w:rsidR="00F3592A">
              <w:rPr>
                <w:rFonts w:cstheme="minorBidi"/>
                <w:sz w:val="22"/>
                <w:szCs w:val="22"/>
              </w:rPr>
              <w:t>.</w:t>
            </w:r>
          </w:p>
        </w:tc>
      </w:tr>
      <w:tr w:rsidR="00EF73C6" w:rsidRPr="001D3C67" w14:paraId="7487CF01" w14:textId="77777777" w:rsidTr="63259912">
        <w:tc>
          <w:tcPr>
            <w:tcW w:w="1250" w:type="pct"/>
          </w:tcPr>
          <w:p w14:paraId="3F4F0A71" w14:textId="7EBF3B1E" w:rsidR="00EF73C6" w:rsidRPr="000F0A66" w:rsidRDefault="00EF73C6" w:rsidP="001D3C67">
            <w:pPr>
              <w:pStyle w:val="Default"/>
              <w:jc w:val="both"/>
              <w:rPr>
                <w:rFonts w:cstheme="minorHAnsi"/>
                <w:b/>
                <w:sz w:val="22"/>
                <w:szCs w:val="22"/>
              </w:rPr>
            </w:pPr>
            <w:r w:rsidRPr="000F0A66">
              <w:rPr>
                <w:rFonts w:cstheme="minorHAnsi"/>
                <w:sz w:val="22"/>
                <w:szCs w:val="22"/>
              </w:rPr>
              <w:t xml:space="preserve">Program „Energetski učinkovita javna rasvjeta“ </w:t>
            </w:r>
          </w:p>
        </w:tc>
        <w:tc>
          <w:tcPr>
            <w:tcW w:w="1094" w:type="pct"/>
          </w:tcPr>
          <w:p w14:paraId="56507933" w14:textId="39DAB2A6" w:rsidR="00EF73C6" w:rsidRPr="000F0A66" w:rsidRDefault="00F425FE" w:rsidP="001D3C67">
            <w:pPr>
              <w:pStyle w:val="Default"/>
              <w:jc w:val="both"/>
              <w:rPr>
                <w:rFonts w:cstheme="minorHAnsi"/>
                <w:sz w:val="22"/>
                <w:szCs w:val="22"/>
              </w:rPr>
            </w:pPr>
            <w:r w:rsidRPr="000F0A66">
              <w:rPr>
                <w:rFonts w:cstheme="minorHAnsi"/>
                <w:sz w:val="22"/>
                <w:szCs w:val="22"/>
              </w:rPr>
              <w:t xml:space="preserve">Financijska - </w:t>
            </w:r>
            <w:r w:rsidR="00EF73C6" w:rsidRPr="000F0A66">
              <w:rPr>
                <w:rFonts w:cstheme="minorHAnsi"/>
                <w:sz w:val="22"/>
                <w:szCs w:val="22"/>
              </w:rPr>
              <w:t>Povoljni krediti</w:t>
            </w:r>
          </w:p>
        </w:tc>
        <w:tc>
          <w:tcPr>
            <w:tcW w:w="2656" w:type="pct"/>
          </w:tcPr>
          <w:p w14:paraId="684685CC" w14:textId="344FA3D5" w:rsidR="00EF73C6" w:rsidRPr="000F0A66" w:rsidRDefault="00EF73C6" w:rsidP="001D3C67">
            <w:pPr>
              <w:pStyle w:val="Default"/>
              <w:jc w:val="both"/>
              <w:rPr>
                <w:rFonts w:cstheme="minorHAnsi"/>
                <w:sz w:val="22"/>
                <w:szCs w:val="22"/>
              </w:rPr>
            </w:pPr>
            <w:r w:rsidRPr="000F0A66">
              <w:rPr>
                <w:rFonts w:cstheme="minorHAnsi"/>
                <w:sz w:val="22"/>
                <w:szCs w:val="22"/>
              </w:rPr>
              <w:t xml:space="preserve">Raspoloživa sredstva iz EFRR prema OPKK </w:t>
            </w:r>
            <w:r w:rsidR="00651302" w:rsidRPr="000F0A66">
              <w:rPr>
                <w:rFonts w:cstheme="minorHAnsi"/>
                <w:sz w:val="22"/>
                <w:szCs w:val="22"/>
              </w:rPr>
              <w:t>2014.-2020.</w:t>
            </w:r>
            <w:r w:rsidRPr="000F0A66">
              <w:rPr>
                <w:rFonts w:cstheme="minorHAnsi"/>
                <w:sz w:val="22"/>
                <w:szCs w:val="22"/>
              </w:rPr>
              <w:t xml:space="preserve"> </w:t>
            </w:r>
            <w:r w:rsidR="00F11EF2" w:rsidRPr="000F0A66">
              <w:rPr>
                <w:rFonts w:cstheme="minorHAnsi"/>
                <w:sz w:val="22"/>
                <w:szCs w:val="22"/>
              </w:rPr>
              <w:t xml:space="preserve">bila </w:t>
            </w:r>
            <w:r w:rsidRPr="000F0A66">
              <w:rPr>
                <w:rFonts w:cstheme="minorHAnsi"/>
                <w:sz w:val="22"/>
                <w:szCs w:val="22"/>
              </w:rPr>
              <w:t xml:space="preserve">su </w:t>
            </w:r>
            <w:r w:rsidR="008A0B6A" w:rsidRPr="000F0A66">
              <w:rPr>
                <w:rFonts w:cstheme="minorHAnsi"/>
                <w:sz w:val="22"/>
                <w:szCs w:val="22"/>
              </w:rPr>
              <w:t xml:space="preserve">152 </w:t>
            </w:r>
            <w:r w:rsidRPr="000F0A66">
              <w:rPr>
                <w:rFonts w:cstheme="minorHAnsi"/>
                <w:sz w:val="22"/>
                <w:szCs w:val="22"/>
              </w:rPr>
              <w:t>milijuna kn (20 milijuna EUR) za energetsku obnovu sustava javne rasvjete; program se provodi kreditiranjem kojeg osigurava HBOR</w:t>
            </w:r>
            <w:r w:rsidR="00954635">
              <w:rPr>
                <w:rFonts w:cstheme="minorHAnsi"/>
                <w:sz w:val="22"/>
                <w:szCs w:val="22"/>
              </w:rPr>
              <w:t>.</w:t>
            </w:r>
            <w:r w:rsidR="009D3378">
              <w:rPr>
                <w:rFonts w:cstheme="minorHAnsi"/>
                <w:sz w:val="22"/>
                <w:szCs w:val="22"/>
              </w:rPr>
              <w:t xml:space="preserve"> </w:t>
            </w:r>
          </w:p>
        </w:tc>
      </w:tr>
      <w:tr w:rsidR="00EF73C6" w:rsidRPr="001D3C67" w14:paraId="6BBC7FE7" w14:textId="77777777" w:rsidTr="63259912">
        <w:tc>
          <w:tcPr>
            <w:tcW w:w="1250" w:type="pct"/>
          </w:tcPr>
          <w:p w14:paraId="191D48C9" w14:textId="4D743D6E" w:rsidR="00EF73C6" w:rsidRPr="000F0A66" w:rsidRDefault="00EF73C6" w:rsidP="001D3C67">
            <w:pPr>
              <w:pStyle w:val="Default"/>
              <w:jc w:val="both"/>
              <w:rPr>
                <w:rFonts w:cstheme="minorHAnsi"/>
                <w:b/>
                <w:sz w:val="22"/>
                <w:szCs w:val="22"/>
              </w:rPr>
            </w:pPr>
            <w:r w:rsidRPr="000F0A66">
              <w:rPr>
                <w:rFonts w:cstheme="minorHAnsi"/>
                <w:sz w:val="22"/>
                <w:szCs w:val="22"/>
              </w:rPr>
              <w:t xml:space="preserve">“Zelena” javna nabava </w:t>
            </w:r>
          </w:p>
        </w:tc>
        <w:tc>
          <w:tcPr>
            <w:tcW w:w="1094" w:type="pct"/>
          </w:tcPr>
          <w:p w14:paraId="137DFE65" w14:textId="77777777" w:rsidR="00EF73C6" w:rsidRPr="000F0A66" w:rsidRDefault="00EF73C6" w:rsidP="001D3C67">
            <w:pPr>
              <w:pStyle w:val="Default"/>
              <w:jc w:val="both"/>
              <w:rPr>
                <w:rFonts w:cstheme="minorHAnsi"/>
                <w:sz w:val="22"/>
                <w:szCs w:val="22"/>
              </w:rPr>
            </w:pPr>
            <w:r w:rsidRPr="000F0A66">
              <w:rPr>
                <w:rFonts w:cstheme="minorHAnsi"/>
                <w:sz w:val="22"/>
                <w:szCs w:val="22"/>
              </w:rPr>
              <w:t>Dobrovoljni sporazumi i kooperativni instrumenti</w:t>
            </w:r>
          </w:p>
        </w:tc>
        <w:tc>
          <w:tcPr>
            <w:tcW w:w="2656" w:type="pct"/>
          </w:tcPr>
          <w:p w14:paraId="0A39F14D" w14:textId="6A2178F4" w:rsidR="00EF73C6" w:rsidRDefault="00FC235D" w:rsidP="001D3C67">
            <w:pPr>
              <w:pStyle w:val="Default"/>
              <w:jc w:val="both"/>
              <w:rPr>
                <w:rFonts w:cstheme="minorHAnsi"/>
                <w:sz w:val="22"/>
                <w:szCs w:val="22"/>
              </w:rPr>
            </w:pPr>
            <w:r w:rsidRPr="000F0A66">
              <w:rPr>
                <w:rFonts w:cstheme="minorHAnsi"/>
                <w:sz w:val="22"/>
                <w:szCs w:val="22"/>
              </w:rPr>
              <w:t xml:space="preserve">Vlada Republike Hrvatske usvojila je 2021. </w:t>
            </w:r>
            <w:r w:rsidR="00A70C21">
              <w:rPr>
                <w:rFonts w:cstheme="minorHAnsi"/>
                <w:sz w:val="22"/>
                <w:szCs w:val="22"/>
              </w:rPr>
              <w:t xml:space="preserve">godine </w:t>
            </w:r>
            <w:r w:rsidRPr="000F0A66">
              <w:rPr>
                <w:rFonts w:cstheme="minorHAnsi"/>
                <w:sz w:val="22"/>
                <w:szCs w:val="22"/>
              </w:rPr>
              <w:t>Odluku o zelenoj javnoj nabavi u postupcima središnje javne nabave (</w:t>
            </w:r>
            <w:r w:rsidR="00AA2872">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AA2872">
              <w:rPr>
                <w:rFonts w:cstheme="minorHAnsi"/>
                <w:sz w:val="22"/>
                <w:szCs w:val="22"/>
              </w:rPr>
              <w:t>“</w:t>
            </w:r>
            <w:r w:rsidR="00071A4F" w:rsidRPr="00071A4F">
              <w:rPr>
                <w:rFonts w:cstheme="minorHAnsi"/>
                <w:sz w:val="22"/>
                <w:szCs w:val="22"/>
              </w:rPr>
              <w:t xml:space="preserve">, </w:t>
            </w:r>
            <w:r w:rsidR="00004BB0">
              <w:rPr>
                <w:rFonts w:cstheme="minorHAnsi"/>
                <w:sz w:val="22"/>
                <w:szCs w:val="22"/>
              </w:rPr>
              <w:t>br</w:t>
            </w:r>
            <w:r w:rsidR="00AA2872">
              <w:rPr>
                <w:rFonts w:cstheme="minorHAnsi"/>
                <w:sz w:val="22"/>
                <w:szCs w:val="22"/>
              </w:rPr>
              <w:t>.</w:t>
            </w:r>
            <w:r w:rsidRPr="000F0A66">
              <w:rPr>
                <w:rFonts w:cstheme="minorHAnsi"/>
                <w:sz w:val="22"/>
                <w:szCs w:val="22"/>
              </w:rPr>
              <w:t xml:space="preserve"> 49/21</w:t>
            </w:r>
            <w:r w:rsidR="00AA2872">
              <w:rPr>
                <w:rFonts w:cstheme="minorHAnsi"/>
                <w:sz w:val="22"/>
                <w:szCs w:val="22"/>
              </w:rPr>
              <w:t>.</w:t>
            </w:r>
            <w:r w:rsidRPr="000F0A66">
              <w:rPr>
                <w:rFonts w:cstheme="minorHAnsi"/>
                <w:sz w:val="22"/>
                <w:szCs w:val="22"/>
              </w:rPr>
              <w:t>) kojom se postavila obveza Središnjem uredu za središnju javnu nabavu korištenje mjerila zelene javne nabave radi kupovine zelenih proizvoda i usluga.</w:t>
            </w:r>
          </w:p>
          <w:p w14:paraId="63952515" w14:textId="2D979EE3" w:rsidR="00B934AF" w:rsidRPr="000F0A66" w:rsidRDefault="00B934AF" w:rsidP="001D3C67">
            <w:pPr>
              <w:pStyle w:val="Default"/>
              <w:jc w:val="both"/>
              <w:rPr>
                <w:rFonts w:cstheme="minorHAnsi"/>
                <w:sz w:val="22"/>
                <w:szCs w:val="22"/>
              </w:rPr>
            </w:pPr>
          </w:p>
        </w:tc>
      </w:tr>
      <w:tr w:rsidR="00EF73C6" w:rsidRPr="001D3C67" w14:paraId="0640F353" w14:textId="77777777" w:rsidTr="63259912">
        <w:tc>
          <w:tcPr>
            <w:tcW w:w="5000" w:type="pct"/>
            <w:gridSpan w:val="3"/>
            <w:shd w:val="clear" w:color="auto" w:fill="D9D9D9" w:themeFill="background1" w:themeFillShade="D9"/>
          </w:tcPr>
          <w:p w14:paraId="6DEF0934" w14:textId="27924B1B" w:rsidR="00EF73C6" w:rsidRPr="000F0A66" w:rsidRDefault="00EF73C6" w:rsidP="001D3C67">
            <w:pPr>
              <w:spacing w:after="0"/>
              <w:rPr>
                <w:sz w:val="22"/>
                <w:szCs w:val="22"/>
              </w:rPr>
            </w:pPr>
            <w:r w:rsidRPr="000F0A66">
              <w:rPr>
                <w:sz w:val="22"/>
                <w:szCs w:val="22"/>
              </w:rPr>
              <w:t>Industrija</w:t>
            </w:r>
          </w:p>
        </w:tc>
      </w:tr>
      <w:tr w:rsidR="00EF73C6" w:rsidRPr="001D3C67" w14:paraId="4AFF222F" w14:textId="77777777" w:rsidTr="63259912">
        <w:tc>
          <w:tcPr>
            <w:tcW w:w="1250" w:type="pct"/>
          </w:tcPr>
          <w:p w14:paraId="04C36C21" w14:textId="05DBDB73" w:rsidR="00EF73C6" w:rsidRPr="000F0A66" w:rsidRDefault="00EF73C6" w:rsidP="001D3C67">
            <w:pPr>
              <w:pStyle w:val="Default"/>
              <w:jc w:val="both"/>
              <w:rPr>
                <w:rFonts w:cstheme="minorHAnsi"/>
                <w:sz w:val="22"/>
                <w:szCs w:val="22"/>
              </w:rPr>
            </w:pPr>
            <w:r w:rsidRPr="000F0A66">
              <w:rPr>
                <w:rFonts w:cstheme="minorHAnsi"/>
                <w:sz w:val="22"/>
                <w:szCs w:val="22"/>
              </w:rPr>
              <w:t xml:space="preserve">Povećanje energetske učinkovitosti i korištenja OIE u proizvodnim industrijama </w:t>
            </w:r>
          </w:p>
        </w:tc>
        <w:tc>
          <w:tcPr>
            <w:tcW w:w="1094" w:type="pct"/>
          </w:tcPr>
          <w:p w14:paraId="5817F193" w14:textId="0504D826" w:rsidR="00EF73C6" w:rsidRPr="000F0A66" w:rsidRDefault="00F425FE" w:rsidP="001D3C67">
            <w:pPr>
              <w:pStyle w:val="Default"/>
              <w:jc w:val="both"/>
              <w:rPr>
                <w:rFonts w:cstheme="minorHAnsi"/>
                <w:sz w:val="22"/>
                <w:szCs w:val="22"/>
              </w:rPr>
            </w:pPr>
            <w:r w:rsidRPr="000F0A66">
              <w:rPr>
                <w:rFonts w:cstheme="minorHAnsi"/>
                <w:sz w:val="22"/>
                <w:szCs w:val="22"/>
              </w:rPr>
              <w:t xml:space="preserve">Financijska </w:t>
            </w:r>
            <w:r w:rsidR="00E21655" w:rsidRPr="000F0A66">
              <w:rPr>
                <w:rFonts w:cstheme="minorHAnsi"/>
                <w:sz w:val="22"/>
                <w:szCs w:val="22"/>
              </w:rPr>
              <w:t xml:space="preserve">- </w:t>
            </w:r>
            <w:r w:rsidR="00EF73C6" w:rsidRPr="000F0A66">
              <w:rPr>
                <w:rFonts w:cstheme="minorHAnsi"/>
                <w:sz w:val="22"/>
                <w:szCs w:val="22"/>
              </w:rPr>
              <w:t>Bespovratna sredstva</w:t>
            </w:r>
          </w:p>
          <w:p w14:paraId="299B6819" w14:textId="77777777" w:rsidR="00EF73C6" w:rsidRPr="000F0A66" w:rsidRDefault="00EF73C6" w:rsidP="001D3C67">
            <w:pPr>
              <w:pStyle w:val="Default"/>
              <w:jc w:val="both"/>
              <w:rPr>
                <w:rFonts w:cstheme="minorHAnsi"/>
                <w:sz w:val="22"/>
                <w:szCs w:val="22"/>
              </w:rPr>
            </w:pPr>
            <w:r w:rsidRPr="000F0A66">
              <w:rPr>
                <w:rFonts w:cstheme="minorHAnsi"/>
                <w:sz w:val="22"/>
                <w:szCs w:val="22"/>
              </w:rPr>
              <w:t>Povoljni krediti</w:t>
            </w:r>
          </w:p>
          <w:p w14:paraId="49F55CCD" w14:textId="77777777" w:rsidR="00EF73C6" w:rsidRPr="000F0A66" w:rsidRDefault="00EF73C6" w:rsidP="001D3C67">
            <w:pPr>
              <w:spacing w:after="0"/>
              <w:rPr>
                <w:sz w:val="22"/>
                <w:szCs w:val="22"/>
              </w:rPr>
            </w:pPr>
          </w:p>
        </w:tc>
        <w:tc>
          <w:tcPr>
            <w:tcW w:w="2656" w:type="pct"/>
          </w:tcPr>
          <w:p w14:paraId="64F5F684" w14:textId="7E76097D" w:rsidR="00EF73C6" w:rsidRPr="000F0A66" w:rsidRDefault="006A34FE" w:rsidP="001D3C67">
            <w:pPr>
              <w:pStyle w:val="Default"/>
              <w:jc w:val="both"/>
              <w:rPr>
                <w:rFonts w:cstheme="minorHAnsi"/>
                <w:sz w:val="22"/>
                <w:szCs w:val="22"/>
              </w:rPr>
            </w:pPr>
            <w:r w:rsidRPr="000F0A66">
              <w:rPr>
                <w:rFonts w:cstheme="minorHAnsi"/>
                <w:sz w:val="22"/>
                <w:szCs w:val="22"/>
              </w:rPr>
              <w:t>Cilj je poduprijeti provedbu mjera energetske učinkovitosti i/ili mjera za korištenje obnovljivih izvora energije koje će u proizvodnim pogonima dovesti do smanjenja potrošnje isporučene energije od minimalno 20% u odnosu na referentnu isporučenu energiju i to nastavkom sufinanciranja bespovratnim sredstvima koje je započelo u razdoblju OPKK 2014.</w:t>
            </w:r>
            <w:r w:rsidR="00577AEC" w:rsidRPr="000F0A66">
              <w:rPr>
                <w:rFonts w:cstheme="minorHAnsi"/>
                <w:sz w:val="22"/>
                <w:szCs w:val="22"/>
              </w:rPr>
              <w:t>-</w:t>
            </w:r>
            <w:r w:rsidRPr="000F0A66">
              <w:rPr>
                <w:rFonts w:cstheme="minorHAnsi"/>
                <w:sz w:val="22"/>
                <w:szCs w:val="22"/>
              </w:rPr>
              <w:t>2020.</w:t>
            </w:r>
            <w:r w:rsidR="00577AEC" w:rsidRPr="000F0A66">
              <w:rPr>
                <w:rFonts w:cstheme="minorHAnsi"/>
                <w:sz w:val="22"/>
                <w:szCs w:val="22"/>
              </w:rPr>
              <w:t xml:space="preserve"> U tu je svrhu osigurano </w:t>
            </w:r>
            <w:r w:rsidR="003D2716" w:rsidRPr="000F0A66">
              <w:rPr>
                <w:rFonts w:cstheme="minorHAnsi"/>
                <w:sz w:val="22"/>
                <w:szCs w:val="22"/>
              </w:rPr>
              <w:t>60,9</w:t>
            </w:r>
            <w:r w:rsidR="00A749DF" w:rsidRPr="000F0A66">
              <w:rPr>
                <w:rFonts w:cstheme="minorHAnsi"/>
                <w:sz w:val="22"/>
                <w:szCs w:val="22"/>
              </w:rPr>
              <w:t xml:space="preserve"> milijuna EUR</w:t>
            </w:r>
            <w:r w:rsidR="008D5F35" w:rsidRPr="000F0A66">
              <w:rPr>
                <w:rFonts w:cstheme="minorHAnsi"/>
                <w:sz w:val="22"/>
                <w:szCs w:val="22"/>
              </w:rPr>
              <w:t xml:space="preserve"> iz NPOO-a</w:t>
            </w:r>
            <w:r w:rsidR="00F54D81" w:rsidRPr="000F0A66">
              <w:rPr>
                <w:rFonts w:cstheme="minorHAnsi"/>
                <w:sz w:val="22"/>
                <w:szCs w:val="22"/>
              </w:rPr>
              <w:t xml:space="preserve">, a dodatno </w:t>
            </w:r>
            <w:r w:rsidR="001C0334" w:rsidRPr="000F0A66">
              <w:rPr>
                <w:rFonts w:cstheme="minorHAnsi"/>
                <w:sz w:val="22"/>
                <w:szCs w:val="22"/>
              </w:rPr>
              <w:t xml:space="preserve">će na raspolaganju biti i </w:t>
            </w:r>
            <w:r w:rsidR="00ED166D" w:rsidRPr="000F0A66">
              <w:rPr>
                <w:rFonts w:cstheme="minorHAnsi"/>
                <w:sz w:val="22"/>
                <w:szCs w:val="22"/>
              </w:rPr>
              <w:t>150</w:t>
            </w:r>
            <w:r w:rsidR="00A3177D" w:rsidRPr="000F0A66">
              <w:rPr>
                <w:rFonts w:cstheme="minorHAnsi"/>
                <w:sz w:val="22"/>
                <w:szCs w:val="22"/>
              </w:rPr>
              <w:t xml:space="preserve"> milijuna EU</w:t>
            </w:r>
            <w:r w:rsidR="001376CA" w:rsidRPr="000F0A66">
              <w:rPr>
                <w:rFonts w:cstheme="minorHAnsi"/>
                <w:sz w:val="22"/>
                <w:szCs w:val="22"/>
              </w:rPr>
              <w:t>R</w:t>
            </w:r>
            <w:r w:rsidR="00A3177D" w:rsidRPr="000F0A66">
              <w:rPr>
                <w:rFonts w:cstheme="minorHAnsi"/>
                <w:sz w:val="22"/>
                <w:szCs w:val="22"/>
              </w:rPr>
              <w:t xml:space="preserve"> u obliku </w:t>
            </w:r>
            <w:r w:rsidR="001376CA" w:rsidRPr="000F0A66">
              <w:rPr>
                <w:rFonts w:cstheme="minorHAnsi"/>
                <w:sz w:val="22"/>
                <w:szCs w:val="22"/>
              </w:rPr>
              <w:t xml:space="preserve">financijskog instrumenta iz EFRR. Dodatna će sredstva biti osigurana i iz Modernizacijskog fonda. </w:t>
            </w:r>
          </w:p>
        </w:tc>
      </w:tr>
    </w:tbl>
    <w:p w14:paraId="2BC12534" w14:textId="0817EBC7" w:rsidR="00665FB1" w:rsidRDefault="00665FB1">
      <w:pPr>
        <w:spacing w:after="0"/>
      </w:pPr>
      <w:r>
        <w:br w:type="page"/>
      </w:r>
    </w:p>
    <w:p w14:paraId="4BC43CCA" w14:textId="1AAC9357" w:rsidR="001D3C67" w:rsidRPr="00B47BDA" w:rsidRDefault="00F74B73" w:rsidP="002A3891">
      <w:r w:rsidRPr="00B47BDA">
        <w:lastRenderedPageBreak/>
        <w:t>Uz gore navedene mjere, u postojećim dokumentima definiran</w:t>
      </w:r>
      <w:r w:rsidR="006639E3" w:rsidRPr="00B47BDA">
        <w:t xml:space="preserve"> je i niz mjera informativno-</w:t>
      </w:r>
      <w:r w:rsidR="00B4224E" w:rsidRPr="00B47BDA">
        <w:t xml:space="preserve">edukativnog </w:t>
      </w:r>
      <w:r w:rsidR="006639E3" w:rsidRPr="00B47BDA">
        <w:t xml:space="preserve">karaktera, koje </w:t>
      </w:r>
      <w:r w:rsidR="005977A5" w:rsidRPr="00B47BDA">
        <w:t xml:space="preserve">prikazuje </w:t>
      </w:r>
      <w:bookmarkStart w:id="107" w:name="_Ref530993158"/>
      <w:r w:rsidR="002A3891">
        <w:t xml:space="preserve">donja tablica. </w:t>
      </w:r>
    </w:p>
    <w:p w14:paraId="06525AF2" w14:textId="06B8C79E" w:rsidR="005977A5" w:rsidRPr="00B47BDA" w:rsidRDefault="005977A5" w:rsidP="004623DD">
      <w:pPr>
        <w:pStyle w:val="Caption"/>
      </w:pPr>
      <w:bookmarkStart w:id="108" w:name="_Toc193035936"/>
      <w:r w:rsidRPr="00B47BDA">
        <w:t xml:space="preserve">Tablica </w:t>
      </w:r>
      <w:r>
        <w:fldChar w:fldCharType="begin"/>
      </w:r>
      <w:r>
        <w:instrText>STYLEREF 1 \s</w:instrText>
      </w:r>
      <w:r>
        <w:fldChar w:fldCharType="separate"/>
      </w:r>
      <w:r w:rsidR="00AD324D">
        <w:rPr>
          <w:noProof/>
        </w:rPr>
        <w:t>1</w:t>
      </w:r>
      <w:r>
        <w:fldChar w:fldCharType="end"/>
      </w:r>
      <w:r w:rsidR="000C3EFD" w:rsidRPr="00B47BDA">
        <w:noBreakHyphen/>
      </w:r>
      <w:r w:rsidR="00473610" w:rsidRPr="00B47BDA">
        <w:fldChar w:fldCharType="begin"/>
      </w:r>
      <w:r w:rsidR="00473610" w:rsidRPr="002A3891">
        <w:instrText xml:space="preserve"> SEQ Tablica \* ARABIC \s 1 </w:instrText>
      </w:r>
      <w:r w:rsidR="00473610" w:rsidRPr="00B47BDA">
        <w:fldChar w:fldCharType="separate"/>
      </w:r>
      <w:r w:rsidR="00AD324D">
        <w:rPr>
          <w:noProof/>
        </w:rPr>
        <w:t>8</w:t>
      </w:r>
      <w:r w:rsidR="00473610" w:rsidRPr="00B47BDA">
        <w:fldChar w:fldCharType="end"/>
      </w:r>
      <w:bookmarkEnd w:id="107"/>
      <w:r w:rsidR="00210967" w:rsidRPr="00B47BDA">
        <w:t>.</w:t>
      </w:r>
      <w:r w:rsidR="00A87274" w:rsidRPr="00B47BDA">
        <w:t xml:space="preserve"> </w:t>
      </w:r>
      <w:r w:rsidRPr="00B47BDA">
        <w:t>Pregled postojećih međusektorskih mjera energetske učinkovitosti</w:t>
      </w:r>
      <w:bookmarkEnd w:id="108"/>
    </w:p>
    <w:tbl>
      <w:tblPr>
        <w:tblStyle w:val="NECP"/>
        <w:tblW w:w="5000" w:type="pct"/>
        <w:tblLook w:val="04A0" w:firstRow="1" w:lastRow="0" w:firstColumn="1" w:lastColumn="0" w:noHBand="0" w:noVBand="1"/>
      </w:tblPr>
      <w:tblGrid>
        <w:gridCol w:w="2259"/>
        <w:gridCol w:w="2266"/>
        <w:gridCol w:w="4525"/>
      </w:tblGrid>
      <w:tr w:rsidR="00FF5ED3" w:rsidRPr="002D7293" w14:paraId="24E3B562" w14:textId="77777777" w:rsidTr="63259912">
        <w:trPr>
          <w:cnfStyle w:val="100000000000" w:firstRow="1" w:lastRow="0" w:firstColumn="0" w:lastColumn="0" w:oddVBand="0" w:evenVBand="0" w:oddHBand="0" w:evenHBand="0" w:firstRowFirstColumn="0" w:firstRowLastColumn="0" w:lastRowFirstColumn="0" w:lastRowLastColumn="0"/>
          <w:trHeight w:val="340"/>
        </w:trPr>
        <w:tc>
          <w:tcPr>
            <w:tcW w:w="0" w:type="pct"/>
            <w:shd w:val="clear" w:color="auto" w:fill="D9E2F3" w:themeFill="accent5" w:themeFillTint="33"/>
          </w:tcPr>
          <w:p w14:paraId="38BFB0D1" w14:textId="77777777" w:rsidR="00FF5ED3" w:rsidRPr="002D7293" w:rsidRDefault="00FF5ED3" w:rsidP="00ED7A5B">
            <w:pPr>
              <w:spacing w:after="0"/>
              <w:jc w:val="center"/>
              <w:rPr>
                <w:sz w:val="22"/>
                <w:szCs w:val="22"/>
              </w:rPr>
            </w:pPr>
            <w:r w:rsidRPr="002D7293">
              <w:rPr>
                <w:sz w:val="22"/>
                <w:szCs w:val="22"/>
              </w:rPr>
              <w:t>Naziv mjere</w:t>
            </w:r>
          </w:p>
        </w:tc>
        <w:tc>
          <w:tcPr>
            <w:tcW w:w="0" w:type="pct"/>
            <w:shd w:val="clear" w:color="auto" w:fill="D9E2F3" w:themeFill="accent5" w:themeFillTint="33"/>
          </w:tcPr>
          <w:p w14:paraId="2CEF0B95" w14:textId="0CDAB610" w:rsidR="00FF5ED3" w:rsidRPr="002D7293" w:rsidRDefault="00FF5ED3" w:rsidP="00ED7A5B">
            <w:pPr>
              <w:spacing w:after="0"/>
              <w:jc w:val="center"/>
              <w:rPr>
                <w:sz w:val="22"/>
                <w:szCs w:val="22"/>
              </w:rPr>
            </w:pPr>
            <w:r w:rsidRPr="002D7293">
              <w:rPr>
                <w:sz w:val="22"/>
                <w:szCs w:val="22"/>
              </w:rPr>
              <w:t>Kategorija</w:t>
            </w:r>
            <w:r w:rsidR="00E21655" w:rsidRPr="002D7293">
              <w:rPr>
                <w:sz w:val="22"/>
                <w:szCs w:val="22"/>
              </w:rPr>
              <w:t xml:space="preserve"> mjere</w:t>
            </w:r>
          </w:p>
        </w:tc>
        <w:tc>
          <w:tcPr>
            <w:tcW w:w="0" w:type="pct"/>
            <w:shd w:val="clear" w:color="auto" w:fill="D9E2F3" w:themeFill="accent5" w:themeFillTint="33"/>
          </w:tcPr>
          <w:p w14:paraId="699C1BCF" w14:textId="77777777" w:rsidR="00FF5ED3" w:rsidRPr="002D7293" w:rsidRDefault="00FF5ED3" w:rsidP="00ED7A5B">
            <w:pPr>
              <w:spacing w:after="0"/>
              <w:jc w:val="center"/>
              <w:rPr>
                <w:sz w:val="22"/>
                <w:szCs w:val="22"/>
              </w:rPr>
            </w:pPr>
            <w:r w:rsidRPr="002D7293">
              <w:rPr>
                <w:sz w:val="22"/>
                <w:szCs w:val="22"/>
              </w:rPr>
              <w:t>Kratki opis</w:t>
            </w:r>
          </w:p>
        </w:tc>
      </w:tr>
      <w:tr w:rsidR="00FF5ED3" w:rsidRPr="002D7293" w14:paraId="190DDD07" w14:textId="77777777" w:rsidTr="63259912">
        <w:tc>
          <w:tcPr>
            <w:tcW w:w="1248" w:type="pct"/>
          </w:tcPr>
          <w:p w14:paraId="4EB23AA1" w14:textId="160FF345" w:rsidR="00FF5ED3" w:rsidRPr="002D7293" w:rsidRDefault="0028457C" w:rsidP="63259912">
            <w:pPr>
              <w:pStyle w:val="Default"/>
              <w:jc w:val="both"/>
              <w:rPr>
                <w:rFonts w:cstheme="minorBidi"/>
                <w:b/>
                <w:bCs/>
                <w:sz w:val="22"/>
                <w:szCs w:val="22"/>
              </w:rPr>
            </w:pPr>
            <w:r w:rsidRPr="63259912">
              <w:rPr>
                <w:rFonts w:cstheme="minorBidi"/>
                <w:sz w:val="22"/>
                <w:szCs w:val="22"/>
              </w:rPr>
              <w:t>Promoviranje nZEB standarda gradnje i obnove</w:t>
            </w:r>
          </w:p>
        </w:tc>
        <w:tc>
          <w:tcPr>
            <w:tcW w:w="1252" w:type="pct"/>
          </w:tcPr>
          <w:p w14:paraId="26801E03" w14:textId="5CB02DE2" w:rsidR="00FF5ED3" w:rsidRPr="002D7293" w:rsidRDefault="00E21655" w:rsidP="001D3C67">
            <w:pPr>
              <w:pStyle w:val="Default"/>
              <w:jc w:val="both"/>
              <w:rPr>
                <w:rFonts w:cstheme="minorHAnsi"/>
                <w:sz w:val="22"/>
                <w:szCs w:val="22"/>
              </w:rPr>
            </w:pPr>
            <w:r w:rsidRPr="002D7293">
              <w:rPr>
                <w:rFonts w:cstheme="minorHAnsi"/>
                <w:sz w:val="22"/>
                <w:szCs w:val="22"/>
              </w:rPr>
              <w:t xml:space="preserve">Informacijska </w:t>
            </w:r>
          </w:p>
        </w:tc>
        <w:tc>
          <w:tcPr>
            <w:tcW w:w="2500" w:type="pct"/>
          </w:tcPr>
          <w:p w14:paraId="1C0C25AB" w14:textId="77777777" w:rsidR="00FF5ED3" w:rsidRPr="002D7293" w:rsidRDefault="00FF5ED3" w:rsidP="63259912">
            <w:pPr>
              <w:pStyle w:val="Default"/>
              <w:jc w:val="both"/>
              <w:rPr>
                <w:rFonts w:cstheme="minorBidi"/>
                <w:sz w:val="22"/>
                <w:szCs w:val="22"/>
              </w:rPr>
            </w:pPr>
            <w:r w:rsidRPr="63259912">
              <w:rPr>
                <w:rFonts w:cstheme="minorBidi"/>
                <w:sz w:val="22"/>
                <w:szCs w:val="22"/>
              </w:rPr>
              <w:t>Ova mjera podupire zakonsku obvezu te podrazumijeva obrazovanje i informiranje kako sudionika u gradnji tako i opće javnosti o nZEB standardu gradnje i obnove</w:t>
            </w:r>
          </w:p>
        </w:tc>
      </w:tr>
      <w:tr w:rsidR="00FF5ED3" w:rsidRPr="002D7293" w14:paraId="56B28639" w14:textId="77777777" w:rsidTr="63259912">
        <w:tc>
          <w:tcPr>
            <w:tcW w:w="1248" w:type="pct"/>
          </w:tcPr>
          <w:p w14:paraId="43E50918" w14:textId="55FB9324" w:rsidR="00FF5ED3" w:rsidRPr="002D7293" w:rsidRDefault="00FF5ED3" w:rsidP="001D3C67">
            <w:pPr>
              <w:pStyle w:val="Default"/>
              <w:jc w:val="both"/>
              <w:rPr>
                <w:rFonts w:cstheme="minorHAnsi"/>
                <w:b/>
                <w:sz w:val="22"/>
                <w:szCs w:val="22"/>
              </w:rPr>
            </w:pPr>
            <w:r w:rsidRPr="002D7293">
              <w:rPr>
                <w:rFonts w:cstheme="minorHAnsi"/>
                <w:sz w:val="22"/>
                <w:szCs w:val="22"/>
              </w:rPr>
              <w:t xml:space="preserve">Informativni računi </w:t>
            </w:r>
          </w:p>
        </w:tc>
        <w:tc>
          <w:tcPr>
            <w:tcW w:w="1252" w:type="pct"/>
          </w:tcPr>
          <w:p w14:paraId="449AB65C" w14:textId="334B1BD9" w:rsidR="00FF5ED3" w:rsidRPr="002D7293" w:rsidRDefault="00E21655" w:rsidP="001D3C67">
            <w:pPr>
              <w:pStyle w:val="Default"/>
              <w:jc w:val="both"/>
              <w:rPr>
                <w:rFonts w:cstheme="minorHAnsi"/>
                <w:sz w:val="22"/>
                <w:szCs w:val="22"/>
              </w:rPr>
            </w:pPr>
            <w:r w:rsidRPr="002D7293">
              <w:rPr>
                <w:rFonts w:cstheme="minorHAnsi"/>
                <w:sz w:val="22"/>
                <w:szCs w:val="22"/>
              </w:rPr>
              <w:t xml:space="preserve">Regulatorna </w:t>
            </w:r>
          </w:p>
          <w:p w14:paraId="7E52BCB0" w14:textId="125509FD" w:rsidR="00FF5ED3" w:rsidRPr="002D7293" w:rsidRDefault="00E21655" w:rsidP="001D3C67">
            <w:pPr>
              <w:pStyle w:val="Default"/>
              <w:jc w:val="both"/>
              <w:rPr>
                <w:rFonts w:cstheme="minorHAnsi"/>
                <w:sz w:val="22"/>
                <w:szCs w:val="22"/>
              </w:rPr>
            </w:pPr>
            <w:r w:rsidRPr="002D7293">
              <w:rPr>
                <w:rFonts w:cstheme="minorHAnsi"/>
                <w:sz w:val="22"/>
                <w:szCs w:val="22"/>
              </w:rPr>
              <w:t xml:space="preserve">Informacijska </w:t>
            </w:r>
          </w:p>
        </w:tc>
        <w:tc>
          <w:tcPr>
            <w:tcW w:w="2500" w:type="pct"/>
          </w:tcPr>
          <w:p w14:paraId="471DA0E7" w14:textId="77777777" w:rsidR="00FF5ED3" w:rsidRPr="002D7293" w:rsidRDefault="00FF5ED3" w:rsidP="001D3C67">
            <w:pPr>
              <w:pStyle w:val="Default"/>
              <w:jc w:val="both"/>
              <w:rPr>
                <w:rFonts w:cstheme="minorHAnsi"/>
                <w:sz w:val="22"/>
                <w:szCs w:val="22"/>
              </w:rPr>
            </w:pPr>
            <w:r w:rsidRPr="002D7293">
              <w:rPr>
                <w:rFonts w:cstheme="minorHAnsi"/>
                <w:sz w:val="22"/>
                <w:szCs w:val="22"/>
              </w:rPr>
              <w:t>Obveze opskrbljivača o mjerenju i obračunavanju potrošnje te informiranju kupaca o prethodnoj potrošnji, što obuhvaća usporedbu s prosječnim uobičajenim ili referentnim krajnjim kupcem iz iste kategorije krajnjih kupaca opskrbljivača</w:t>
            </w:r>
          </w:p>
        </w:tc>
      </w:tr>
      <w:tr w:rsidR="00FF5ED3" w:rsidRPr="002D7293" w14:paraId="3D6C65E3" w14:textId="77777777" w:rsidTr="63259912">
        <w:tc>
          <w:tcPr>
            <w:tcW w:w="1248" w:type="pct"/>
          </w:tcPr>
          <w:p w14:paraId="19D41D6A" w14:textId="10CD579F" w:rsidR="00FF5ED3" w:rsidRPr="002D7293" w:rsidRDefault="00065E51" w:rsidP="001D3C67">
            <w:pPr>
              <w:pStyle w:val="Default"/>
              <w:jc w:val="both"/>
              <w:rPr>
                <w:rFonts w:cstheme="minorHAnsi"/>
                <w:b/>
                <w:sz w:val="22"/>
                <w:szCs w:val="22"/>
              </w:rPr>
            </w:pPr>
            <w:r w:rsidRPr="002D7293">
              <w:rPr>
                <w:rFonts w:cstheme="minorHAnsi"/>
                <w:sz w:val="22"/>
                <w:szCs w:val="22"/>
              </w:rPr>
              <w:t>Informiranje o energetskoj učinkovitosti</w:t>
            </w:r>
          </w:p>
        </w:tc>
        <w:tc>
          <w:tcPr>
            <w:tcW w:w="1252" w:type="pct"/>
          </w:tcPr>
          <w:p w14:paraId="797923C7" w14:textId="1F5E5F34" w:rsidR="00FF5ED3" w:rsidRPr="002D7293" w:rsidRDefault="00E21655" w:rsidP="001D3C67">
            <w:pPr>
              <w:pStyle w:val="Default"/>
              <w:jc w:val="both"/>
              <w:rPr>
                <w:rFonts w:cstheme="minorHAnsi"/>
                <w:sz w:val="22"/>
                <w:szCs w:val="22"/>
              </w:rPr>
            </w:pPr>
            <w:r w:rsidRPr="002D7293">
              <w:rPr>
                <w:rFonts w:cstheme="minorHAnsi"/>
                <w:sz w:val="22"/>
                <w:szCs w:val="22"/>
              </w:rPr>
              <w:t xml:space="preserve">Informacijska </w:t>
            </w:r>
          </w:p>
        </w:tc>
        <w:tc>
          <w:tcPr>
            <w:tcW w:w="2500" w:type="pct"/>
          </w:tcPr>
          <w:p w14:paraId="375E72F1" w14:textId="66D36524" w:rsidR="00FF5ED3" w:rsidRPr="002D7293" w:rsidRDefault="00FF5ED3" w:rsidP="001D3C67">
            <w:pPr>
              <w:pStyle w:val="Default"/>
              <w:jc w:val="both"/>
              <w:rPr>
                <w:rFonts w:cstheme="minorHAnsi"/>
                <w:sz w:val="22"/>
                <w:szCs w:val="22"/>
              </w:rPr>
            </w:pPr>
            <w:r w:rsidRPr="002D7293">
              <w:rPr>
                <w:rFonts w:cstheme="minorHAnsi"/>
                <w:sz w:val="22"/>
                <w:szCs w:val="22"/>
              </w:rPr>
              <w:t>Provedba ciljanih promotivnih kampanja vezanih dominantno uz programe sufinanciranja energetske obnove zgrada te promocija energetskih usluga putem nacionalnog portala energetske učinkovitosti</w:t>
            </w:r>
            <w:r w:rsidR="00D36F99" w:rsidRPr="002D7293">
              <w:rPr>
                <w:rFonts w:cstheme="minorHAnsi"/>
                <w:sz w:val="22"/>
                <w:szCs w:val="22"/>
              </w:rPr>
              <w:t>; informiranju potrošača o dužnostima opskrbljivača u sklopu sustava obveza</w:t>
            </w:r>
          </w:p>
        </w:tc>
      </w:tr>
      <w:tr w:rsidR="00FF5ED3" w:rsidRPr="002D7293" w14:paraId="2D319E79" w14:textId="77777777" w:rsidTr="63259912">
        <w:tc>
          <w:tcPr>
            <w:tcW w:w="1248" w:type="pct"/>
          </w:tcPr>
          <w:p w14:paraId="028D833F" w14:textId="63E78879" w:rsidR="00FF5ED3" w:rsidRPr="002D7293" w:rsidRDefault="00FF5ED3" w:rsidP="001D3C67">
            <w:pPr>
              <w:pStyle w:val="Default"/>
              <w:jc w:val="both"/>
              <w:rPr>
                <w:rFonts w:cstheme="minorHAnsi"/>
                <w:b/>
                <w:sz w:val="22"/>
                <w:szCs w:val="22"/>
              </w:rPr>
            </w:pPr>
            <w:r w:rsidRPr="002D7293">
              <w:rPr>
                <w:rFonts w:cstheme="minorHAnsi"/>
                <w:sz w:val="22"/>
                <w:szCs w:val="22"/>
              </w:rPr>
              <w:t xml:space="preserve">Obrazovanje u području </w:t>
            </w:r>
            <w:r w:rsidR="007D4484" w:rsidRPr="002D7293">
              <w:rPr>
                <w:rFonts w:cstheme="minorHAnsi"/>
                <w:sz w:val="22"/>
                <w:szCs w:val="22"/>
              </w:rPr>
              <w:t>energetske učinkovitosti</w:t>
            </w:r>
          </w:p>
        </w:tc>
        <w:tc>
          <w:tcPr>
            <w:tcW w:w="1252" w:type="pct"/>
          </w:tcPr>
          <w:p w14:paraId="09F0A9D5" w14:textId="39757D63" w:rsidR="00FF5ED3" w:rsidRPr="002D7293" w:rsidRDefault="00E21655" w:rsidP="001D3C67">
            <w:pPr>
              <w:pStyle w:val="Default"/>
              <w:jc w:val="both"/>
              <w:rPr>
                <w:rFonts w:cstheme="minorHAnsi"/>
                <w:sz w:val="22"/>
                <w:szCs w:val="22"/>
              </w:rPr>
            </w:pPr>
            <w:r w:rsidRPr="002D7293">
              <w:rPr>
                <w:rFonts w:cstheme="minorHAnsi"/>
                <w:sz w:val="22"/>
                <w:szCs w:val="22"/>
              </w:rPr>
              <w:t xml:space="preserve">Obrazovna </w:t>
            </w:r>
          </w:p>
        </w:tc>
        <w:tc>
          <w:tcPr>
            <w:tcW w:w="2500" w:type="pct"/>
          </w:tcPr>
          <w:p w14:paraId="70B00EB8" w14:textId="77777777" w:rsidR="00FF5ED3" w:rsidRPr="002D7293" w:rsidRDefault="00FF5ED3" w:rsidP="001D3C67">
            <w:pPr>
              <w:pStyle w:val="Default"/>
              <w:jc w:val="both"/>
              <w:rPr>
                <w:rFonts w:cstheme="minorHAnsi"/>
                <w:sz w:val="22"/>
                <w:szCs w:val="22"/>
              </w:rPr>
            </w:pPr>
            <w:r w:rsidRPr="002D7293">
              <w:rPr>
                <w:rFonts w:cstheme="minorHAnsi"/>
                <w:sz w:val="22"/>
                <w:szCs w:val="22"/>
              </w:rPr>
              <w:t xml:space="preserve">Uspostava sustava certifikacije i cjeloživotnog učenja građevinskih radnika u području energetske učinkovitosti </w:t>
            </w:r>
          </w:p>
        </w:tc>
      </w:tr>
      <w:tr w:rsidR="00FF5ED3" w:rsidRPr="002D7293" w14:paraId="56546DE0" w14:textId="77777777" w:rsidTr="63259912">
        <w:tc>
          <w:tcPr>
            <w:tcW w:w="1248" w:type="pct"/>
          </w:tcPr>
          <w:p w14:paraId="63995967" w14:textId="2A43922C" w:rsidR="00FF5ED3" w:rsidRPr="002D7293" w:rsidRDefault="00FF5ED3" w:rsidP="001D3C67">
            <w:pPr>
              <w:pStyle w:val="Default"/>
              <w:jc w:val="both"/>
              <w:rPr>
                <w:rFonts w:cstheme="minorHAnsi"/>
                <w:b/>
                <w:sz w:val="22"/>
                <w:szCs w:val="22"/>
              </w:rPr>
            </w:pPr>
            <w:r w:rsidRPr="002D7293">
              <w:rPr>
                <w:rFonts w:cstheme="minorHAnsi"/>
                <w:sz w:val="22"/>
                <w:szCs w:val="22"/>
              </w:rPr>
              <w:t xml:space="preserve">Integrirani informacijski sustav za praćenje </w:t>
            </w:r>
            <w:r w:rsidR="00327E79" w:rsidRPr="002D7293">
              <w:rPr>
                <w:rFonts w:cstheme="minorHAnsi"/>
                <w:sz w:val="22"/>
                <w:szCs w:val="22"/>
              </w:rPr>
              <w:t>energetske učinkovitosti</w:t>
            </w:r>
          </w:p>
        </w:tc>
        <w:tc>
          <w:tcPr>
            <w:tcW w:w="1252" w:type="pct"/>
          </w:tcPr>
          <w:p w14:paraId="0D07AF45" w14:textId="6E1A509E" w:rsidR="00FF5ED3" w:rsidRPr="002D7293" w:rsidRDefault="00F429AF" w:rsidP="001D3C67">
            <w:pPr>
              <w:pStyle w:val="Default"/>
              <w:jc w:val="both"/>
              <w:rPr>
                <w:rFonts w:cstheme="minorHAnsi"/>
                <w:sz w:val="22"/>
                <w:szCs w:val="22"/>
              </w:rPr>
            </w:pPr>
            <w:r w:rsidRPr="002D7293">
              <w:rPr>
                <w:rFonts w:cstheme="minorHAnsi"/>
                <w:sz w:val="22"/>
                <w:szCs w:val="22"/>
              </w:rPr>
              <w:t>Informacijska</w:t>
            </w:r>
            <w:r w:rsidR="00E223DA" w:rsidRPr="002D7293">
              <w:rPr>
                <w:rFonts w:cstheme="minorHAnsi"/>
                <w:sz w:val="22"/>
                <w:szCs w:val="22"/>
              </w:rPr>
              <w:t xml:space="preserve"> </w:t>
            </w:r>
            <w:r w:rsidRPr="002D7293">
              <w:rPr>
                <w:rFonts w:cstheme="minorHAnsi"/>
                <w:sz w:val="22"/>
                <w:szCs w:val="22"/>
              </w:rPr>
              <w:t xml:space="preserve">- </w:t>
            </w:r>
            <w:r w:rsidR="00FF5ED3" w:rsidRPr="002D7293">
              <w:rPr>
                <w:rFonts w:cstheme="minorHAnsi"/>
                <w:sz w:val="22"/>
                <w:szCs w:val="22"/>
              </w:rPr>
              <w:t>Praćenje provedbe i ostvarenih ušteda energije</w:t>
            </w:r>
          </w:p>
        </w:tc>
        <w:tc>
          <w:tcPr>
            <w:tcW w:w="2500" w:type="pct"/>
          </w:tcPr>
          <w:p w14:paraId="7ADB9E4A" w14:textId="77777777" w:rsidR="00FF5ED3" w:rsidRPr="002D7293" w:rsidRDefault="00FF5ED3" w:rsidP="001D3C67">
            <w:pPr>
              <w:pStyle w:val="Default"/>
              <w:jc w:val="both"/>
              <w:rPr>
                <w:rFonts w:cstheme="minorHAnsi"/>
                <w:sz w:val="22"/>
                <w:szCs w:val="22"/>
              </w:rPr>
            </w:pPr>
            <w:r w:rsidRPr="002D7293">
              <w:rPr>
                <w:rFonts w:cstheme="minorHAnsi"/>
                <w:sz w:val="22"/>
                <w:szCs w:val="22"/>
              </w:rPr>
              <w:t>Sveobuhvatni sustav za praćenje provedbe mjera energetske učinkovitosti i verifikaciju ostvarenih ušteda</w:t>
            </w:r>
          </w:p>
        </w:tc>
      </w:tr>
    </w:tbl>
    <w:p w14:paraId="2B76CCDC" w14:textId="77777777" w:rsidR="006F6F03" w:rsidRPr="00B47BDA" w:rsidRDefault="006F6F03" w:rsidP="004623DD"/>
    <w:p w14:paraId="0F80A8F1" w14:textId="4919A636" w:rsidR="00B40E8D" w:rsidRPr="00B47BDA" w:rsidRDefault="006163EC" w:rsidP="00557530">
      <w:pPr>
        <w:rPr>
          <w:rFonts w:cstheme="minorHAnsi"/>
        </w:rPr>
      </w:pPr>
      <w:r w:rsidRPr="00B47BDA">
        <w:t>Uz gore navedene mjere koje su sve usmjerene na sektore neposredne potrošnje energije, u postojećim dokumentima definiran</w:t>
      </w:r>
      <w:r w:rsidR="00857E54" w:rsidRPr="00B47BDA">
        <w:t>e</w:t>
      </w:r>
      <w:r w:rsidRPr="00B47BDA">
        <w:t xml:space="preserve"> </w:t>
      </w:r>
      <w:r w:rsidR="00857E54" w:rsidRPr="00B47BDA">
        <w:t xml:space="preserve">su i </w:t>
      </w:r>
      <w:r w:rsidRPr="00B47BDA">
        <w:t>mjer</w:t>
      </w:r>
      <w:r w:rsidR="00857E54" w:rsidRPr="00B47BDA">
        <w:t>e</w:t>
      </w:r>
      <w:r w:rsidRPr="00B47BDA">
        <w:t xml:space="preserve">, </w:t>
      </w:r>
      <w:r w:rsidR="00857E54" w:rsidRPr="00B47BDA">
        <w:t xml:space="preserve">koje </w:t>
      </w:r>
      <w:r w:rsidR="00E15FA0" w:rsidRPr="00B47BDA">
        <w:t xml:space="preserve">su usmjerene na </w:t>
      </w:r>
      <w:r w:rsidR="00857E54" w:rsidRPr="00B47BDA">
        <w:t>en</w:t>
      </w:r>
      <w:r w:rsidR="00B951D1" w:rsidRPr="00B47BDA">
        <w:t>ergetsk</w:t>
      </w:r>
      <w:r w:rsidR="00DE7AED" w:rsidRPr="00B47BDA">
        <w:t>u</w:t>
      </w:r>
      <w:r w:rsidR="00B951D1" w:rsidRPr="00B47BDA">
        <w:t xml:space="preserve"> </w:t>
      </w:r>
      <w:r w:rsidR="00DE7AED" w:rsidRPr="00B47BDA">
        <w:t>infrastrukturu (proizvodnju, prijenos i distribuciju električne i to</w:t>
      </w:r>
      <w:r w:rsidR="00C651D3" w:rsidRPr="00B47BDA">
        <w:t>p</w:t>
      </w:r>
      <w:r w:rsidR="00DE7AED" w:rsidRPr="00B47BDA">
        <w:t>linske energije)</w:t>
      </w:r>
      <w:r w:rsidR="00B951D1" w:rsidRPr="00B47BDA">
        <w:t>, kako</w:t>
      </w:r>
      <w:r w:rsidR="00CA2F8C" w:rsidRPr="00B47BDA">
        <w:t xml:space="preserve"> prikazuje</w:t>
      </w:r>
      <w:r w:rsidR="00B951D1" w:rsidRPr="00B47BDA">
        <w:t xml:space="preserve"> </w:t>
      </w:r>
      <w:r w:rsidR="00CA2F8C" w:rsidRPr="00B47BDA">
        <w:fldChar w:fldCharType="begin"/>
      </w:r>
      <w:r w:rsidR="00CA2F8C" w:rsidRPr="00B47BDA">
        <w:instrText xml:space="preserve"> REF _Ref531161045 \h </w:instrText>
      </w:r>
      <w:r w:rsidR="00FE6ED9" w:rsidRPr="00B47BDA">
        <w:instrText xml:space="preserve"> \* MERGEFORMAT </w:instrText>
      </w:r>
      <w:r w:rsidR="00CA2F8C" w:rsidRPr="00B47BDA">
        <w:fldChar w:fldCharType="separate"/>
      </w:r>
      <w:r w:rsidR="00AD324D" w:rsidRPr="00B47BDA">
        <w:t xml:space="preserve">Tablica </w:t>
      </w:r>
      <w:r w:rsidR="00AD324D">
        <w:t>1</w:t>
      </w:r>
      <w:r w:rsidR="00AD324D" w:rsidRPr="00B47BDA">
        <w:noBreakHyphen/>
      </w:r>
      <w:r w:rsidR="00AD324D">
        <w:t>9</w:t>
      </w:r>
      <w:r w:rsidR="00CA2F8C" w:rsidRPr="00B47BDA">
        <w:fldChar w:fldCharType="end"/>
      </w:r>
      <w:r w:rsidR="00EA4DB6" w:rsidRPr="00B47BDA">
        <w:t>.</w:t>
      </w:r>
      <w:r w:rsidR="00B40E8D" w:rsidRPr="00B47BDA">
        <w:t xml:space="preserve"> Pri tome je potrebno istaknuti da je </w:t>
      </w:r>
      <w:r w:rsidR="005D5216" w:rsidRPr="00B47BDA">
        <w:t>Hrvatska energetska regulatorna agencija (</w:t>
      </w:r>
      <w:r w:rsidR="00B40E8D" w:rsidRPr="00B47BDA">
        <w:rPr>
          <w:rFonts w:cstheme="minorHAnsi"/>
        </w:rPr>
        <w:t>HERA</w:t>
      </w:r>
      <w:r w:rsidR="005D5216" w:rsidRPr="00B47BDA">
        <w:rPr>
          <w:rFonts w:cstheme="minorHAnsi"/>
        </w:rPr>
        <w:t>)</w:t>
      </w:r>
      <w:r w:rsidR="00B40E8D" w:rsidRPr="00B47BDA">
        <w:rPr>
          <w:rFonts w:cstheme="minorHAnsi"/>
        </w:rPr>
        <w:t>, na temelju Zakona o energetskoj učinkovitosti, dužna pri provedbi regulatornih zadataka sukladno odredbama zakona kojima se uređuje tržište električne energije i tržište plina, voditi računa o energetskoj učinkovitosti u vezi sa svojim odlukama o radu infrastrukture za plin i električnu energiju i to:</w:t>
      </w:r>
    </w:p>
    <w:p w14:paraId="55DDED42" w14:textId="77777777" w:rsidR="00B40E8D" w:rsidRPr="00B47BDA" w:rsidRDefault="00B40E8D" w:rsidP="00557530">
      <w:pPr>
        <w:pStyle w:val="ListParagraph"/>
        <w:numPr>
          <w:ilvl w:val="0"/>
          <w:numId w:val="24"/>
        </w:numPr>
      </w:pPr>
      <w:r w:rsidRPr="63259912">
        <w:t>osigurati provedbu procjene potencijala za povećanje energetske učinkovitosti infrastrukture za plin i električnu energiju, posebno u vezi s prijenosom, odnosno transportom, distribucijom, upravljanjem opterećenjem, interoperabilnošću te priključivanjem postrojenja za proizvodnju energije, uključujući mogućnosti pristupa za mikrogeneratore energije te</w:t>
      </w:r>
    </w:p>
    <w:p w14:paraId="3DE3D04C" w14:textId="77777777" w:rsidR="00B40E8D" w:rsidRPr="00B47BDA" w:rsidRDefault="00B40E8D" w:rsidP="00557530">
      <w:pPr>
        <w:pStyle w:val="ListParagraph"/>
        <w:numPr>
          <w:ilvl w:val="0"/>
          <w:numId w:val="24"/>
        </w:numPr>
      </w:pPr>
      <w:r w:rsidRPr="00B47BDA">
        <w:t>utvrditi konkretne mjere i ulaganja za uvođenje troškovno učinkovitih poboljšanja energetske učinkovitosti u mrežnu infrastrukturu, uključujući rokove njihova uvođenja.</w:t>
      </w:r>
    </w:p>
    <w:p w14:paraId="53FFC357" w14:textId="1279B879" w:rsidR="00CC3757" w:rsidRPr="00B47BDA" w:rsidRDefault="00CC3757" w:rsidP="00557530">
      <w:r w:rsidRPr="00814C24">
        <w:lastRenderedPageBreak/>
        <w:t>S ciljem provedbe propisanih zadaća, HERA je osigurala izradu studije „</w:t>
      </w:r>
      <w:r w:rsidRPr="00CC3757">
        <w:rPr>
          <w:i/>
        </w:rPr>
        <w:t>Procjena potencijala za povećanje energetske učinkovitosti infrastrukture za električnu energiju</w:t>
      </w:r>
      <w:r w:rsidRPr="00814C24">
        <w:t>“</w:t>
      </w:r>
      <w:r w:rsidR="007F4AAA">
        <w:t xml:space="preserve"> </w:t>
      </w:r>
      <w:r w:rsidR="007F4AAA" w:rsidRPr="00B47BDA">
        <w:t>[</w:t>
      </w:r>
      <w:r w:rsidR="007F4AAA">
        <w:t>14</w:t>
      </w:r>
      <w:r w:rsidR="007F4AAA" w:rsidRPr="00B47BDA">
        <w:t>]</w:t>
      </w:r>
      <w:r w:rsidRPr="00814C24">
        <w:t xml:space="preserve">. Studijom su analizirane mjere koje utječu na tehničke gubitke (smanjenje i povećanje), a koje su sadržane u aktualnim desetogodišnjim planovima razvoja prijenosne i </w:t>
      </w:r>
      <w:r w:rsidRPr="00814C24" w:rsidDel="0035497D">
        <w:t>d</w:t>
      </w:r>
      <w:r w:rsidRPr="00814C24">
        <w:t>istribucijske mreže.</w:t>
      </w:r>
    </w:p>
    <w:p w14:paraId="11838243" w14:textId="50858D75" w:rsidR="006163EC" w:rsidRPr="00B47BDA" w:rsidRDefault="00B40E8D" w:rsidP="00557530">
      <w:r w:rsidRPr="00B47BDA">
        <w:t>Navedene mjere proizlaze iz potrebe povećanja sigurnosti pogona i zadovoljenja tehničkih propisa te su njihove investicije previsoke da se mogu opravdati isključivo uštedom koja će se ostvariti smanjenjem gubitaka. Kada se stvore preduvjeti za uvođenje naprednih tehnologija poput upravljanja opterećenjem, HERA će revidirati svoju procjenu potencijala za povećanje energetske učinkovitosti infrastrukture za električnu energiju te utvrditi rokove uvođenja naprednih mjera.</w:t>
      </w:r>
    </w:p>
    <w:p w14:paraId="6D5E413B" w14:textId="7FE2C774" w:rsidR="00CA2F8C" w:rsidRPr="00B47BDA" w:rsidRDefault="00CA2F8C" w:rsidP="004623DD">
      <w:pPr>
        <w:pStyle w:val="Caption"/>
      </w:pPr>
      <w:bookmarkStart w:id="109" w:name="_Ref531161045"/>
      <w:bookmarkStart w:id="110" w:name="_Toc193035937"/>
      <w:r w:rsidRPr="00B47BDA">
        <w:t xml:space="preserve">Tablica </w:t>
      </w:r>
      <w:r>
        <w:fldChar w:fldCharType="begin"/>
      </w:r>
      <w:r>
        <w:instrText>STYLEREF 1 \s</w:instrText>
      </w:r>
      <w:r>
        <w:fldChar w:fldCharType="separate"/>
      </w:r>
      <w:r w:rsidR="00AD324D">
        <w:rPr>
          <w:noProof/>
        </w:rPr>
        <w:t>1</w:t>
      </w:r>
      <w:r>
        <w:fldChar w:fldCharType="end"/>
      </w:r>
      <w:r w:rsidR="000C3EFD" w:rsidRPr="00B47BDA">
        <w:noBreakHyphen/>
      </w:r>
      <w:r>
        <w:fldChar w:fldCharType="begin"/>
      </w:r>
      <w:r>
        <w:instrText>SEQ Tablica \* ARABIC \s 1</w:instrText>
      </w:r>
      <w:r>
        <w:fldChar w:fldCharType="separate"/>
      </w:r>
      <w:r w:rsidR="00AD324D">
        <w:rPr>
          <w:noProof/>
        </w:rPr>
        <w:t>9</w:t>
      </w:r>
      <w:r>
        <w:fldChar w:fldCharType="end"/>
      </w:r>
      <w:bookmarkEnd w:id="109"/>
      <w:r w:rsidR="00210967" w:rsidRPr="00B47BDA">
        <w:t>.</w:t>
      </w:r>
      <w:r w:rsidR="00483D4C" w:rsidRPr="00B47BDA">
        <w:t xml:space="preserve"> </w:t>
      </w:r>
      <w:r w:rsidRPr="00B47BDA">
        <w:t xml:space="preserve">Pregled postojećih mjera energetske učinkovitosti </w:t>
      </w:r>
      <w:r w:rsidR="00DE7AED" w:rsidRPr="00B47BDA">
        <w:t>za ene</w:t>
      </w:r>
      <w:r w:rsidR="00B4224E" w:rsidRPr="00B47BDA">
        <w:t>rgetsku infrastrukturu</w:t>
      </w:r>
      <w:bookmarkEnd w:id="110"/>
    </w:p>
    <w:tbl>
      <w:tblPr>
        <w:tblStyle w:val="NECP"/>
        <w:tblW w:w="5000" w:type="pct"/>
        <w:tblLook w:val="04A0" w:firstRow="1" w:lastRow="0" w:firstColumn="1" w:lastColumn="0" w:noHBand="0" w:noVBand="1"/>
      </w:tblPr>
      <w:tblGrid>
        <w:gridCol w:w="2259"/>
        <w:gridCol w:w="1984"/>
        <w:gridCol w:w="4807"/>
      </w:tblGrid>
      <w:tr w:rsidR="00CA2F8C" w:rsidRPr="001D3C67" w14:paraId="6262DCBD" w14:textId="77777777" w:rsidTr="63259912">
        <w:trPr>
          <w:cnfStyle w:val="100000000000" w:firstRow="1" w:lastRow="0" w:firstColumn="0" w:lastColumn="0" w:oddVBand="0" w:evenVBand="0" w:oddHBand="0" w:evenHBand="0" w:firstRowFirstColumn="0" w:firstRowLastColumn="0" w:lastRowFirstColumn="0" w:lastRowLastColumn="0"/>
          <w:trHeight w:val="340"/>
        </w:trPr>
        <w:tc>
          <w:tcPr>
            <w:tcW w:w="1248" w:type="pct"/>
            <w:shd w:val="clear" w:color="auto" w:fill="D9E2F3" w:themeFill="accent5" w:themeFillTint="33"/>
          </w:tcPr>
          <w:p w14:paraId="53F973F6" w14:textId="77777777" w:rsidR="00CA2F8C" w:rsidRPr="00445486" w:rsidRDefault="00CA2F8C" w:rsidP="00ED7A5B">
            <w:pPr>
              <w:spacing w:after="0"/>
              <w:jc w:val="center"/>
              <w:rPr>
                <w:sz w:val="22"/>
                <w:szCs w:val="22"/>
              </w:rPr>
            </w:pPr>
            <w:r w:rsidRPr="00445486">
              <w:rPr>
                <w:sz w:val="22"/>
                <w:szCs w:val="22"/>
              </w:rPr>
              <w:t>Naziv mjere</w:t>
            </w:r>
          </w:p>
        </w:tc>
        <w:tc>
          <w:tcPr>
            <w:tcW w:w="1096" w:type="pct"/>
            <w:shd w:val="clear" w:color="auto" w:fill="D9E2F3" w:themeFill="accent5" w:themeFillTint="33"/>
          </w:tcPr>
          <w:p w14:paraId="23E28434" w14:textId="7B0AD8A9" w:rsidR="00CA2F8C" w:rsidRPr="00445486" w:rsidRDefault="00CA2F8C" w:rsidP="00ED7A5B">
            <w:pPr>
              <w:spacing w:after="0"/>
              <w:jc w:val="center"/>
              <w:rPr>
                <w:sz w:val="22"/>
                <w:szCs w:val="22"/>
              </w:rPr>
            </w:pPr>
            <w:r w:rsidRPr="00445486">
              <w:rPr>
                <w:sz w:val="22"/>
                <w:szCs w:val="22"/>
              </w:rPr>
              <w:t>Kategorija</w:t>
            </w:r>
            <w:r w:rsidR="000F75C8" w:rsidRPr="00445486">
              <w:rPr>
                <w:sz w:val="22"/>
                <w:szCs w:val="22"/>
              </w:rPr>
              <w:t xml:space="preserve"> mjere</w:t>
            </w:r>
          </w:p>
        </w:tc>
        <w:tc>
          <w:tcPr>
            <w:tcW w:w="2656" w:type="pct"/>
            <w:shd w:val="clear" w:color="auto" w:fill="D9E2F3" w:themeFill="accent5" w:themeFillTint="33"/>
          </w:tcPr>
          <w:p w14:paraId="43F67E94" w14:textId="77777777" w:rsidR="00CA2F8C" w:rsidRPr="00445486" w:rsidRDefault="00CA2F8C" w:rsidP="00ED7A5B">
            <w:pPr>
              <w:spacing w:after="0"/>
              <w:jc w:val="center"/>
              <w:rPr>
                <w:sz w:val="22"/>
                <w:szCs w:val="22"/>
              </w:rPr>
            </w:pPr>
            <w:r w:rsidRPr="00445486">
              <w:rPr>
                <w:sz w:val="22"/>
                <w:szCs w:val="22"/>
              </w:rPr>
              <w:t>Kratki opis</w:t>
            </w:r>
          </w:p>
        </w:tc>
      </w:tr>
      <w:tr w:rsidR="008C34BC" w:rsidRPr="001D3C67" w14:paraId="7D4C6E1E" w14:textId="77777777" w:rsidTr="63259912">
        <w:tc>
          <w:tcPr>
            <w:tcW w:w="1248" w:type="pct"/>
          </w:tcPr>
          <w:p w14:paraId="01208A6A" w14:textId="59C010F3" w:rsidR="008C34BC" w:rsidRPr="00445486" w:rsidRDefault="006761B3" w:rsidP="63259912">
            <w:pPr>
              <w:pStyle w:val="Default"/>
              <w:jc w:val="both"/>
              <w:rPr>
                <w:rFonts w:cstheme="minorBidi"/>
                <w:sz w:val="22"/>
                <w:szCs w:val="22"/>
              </w:rPr>
            </w:pPr>
            <w:r w:rsidRPr="63259912">
              <w:rPr>
                <w:rFonts w:cstheme="minorBidi"/>
                <w:sz w:val="22"/>
                <w:szCs w:val="22"/>
              </w:rPr>
              <w:t>Energetska učinkovitost za dekarbonizaciju energetskog sektora</w:t>
            </w:r>
          </w:p>
        </w:tc>
        <w:tc>
          <w:tcPr>
            <w:tcW w:w="1096" w:type="pct"/>
          </w:tcPr>
          <w:p w14:paraId="586ABE34" w14:textId="74625C04" w:rsidR="008C34BC" w:rsidRPr="00445486" w:rsidRDefault="006761B3" w:rsidP="001D3C67">
            <w:pPr>
              <w:spacing w:after="0"/>
              <w:rPr>
                <w:sz w:val="22"/>
                <w:szCs w:val="22"/>
              </w:rPr>
            </w:pPr>
            <w:r w:rsidRPr="00445486">
              <w:rPr>
                <w:sz w:val="22"/>
                <w:szCs w:val="22"/>
              </w:rPr>
              <w:t>Proizvodnja toplinske energije</w:t>
            </w:r>
          </w:p>
        </w:tc>
        <w:tc>
          <w:tcPr>
            <w:tcW w:w="2656" w:type="pct"/>
          </w:tcPr>
          <w:p w14:paraId="06BC1833" w14:textId="77777777" w:rsidR="008C34BC" w:rsidRPr="00445486" w:rsidRDefault="006761B3" w:rsidP="001D3C67">
            <w:pPr>
              <w:pStyle w:val="Default"/>
              <w:jc w:val="both"/>
              <w:rPr>
                <w:rFonts w:cstheme="minorHAnsi"/>
                <w:sz w:val="22"/>
                <w:szCs w:val="22"/>
              </w:rPr>
            </w:pPr>
            <w:r w:rsidRPr="00445486">
              <w:rPr>
                <w:rFonts w:cstheme="minorHAnsi"/>
                <w:sz w:val="22"/>
                <w:szCs w:val="22"/>
              </w:rPr>
              <w:t xml:space="preserve">Fokus mjere je na modernizaciji proizvodnih postrojenja CTS-ova postizanjem diverzifikacije izvora toplinske energije. Mjere kojima će se ovo postići uključuje zamjene kotlova na prirodni plin i to dizalicama topline voda/voda, visokoučinkovitim kogeneracijama na prirodni plin, iskorištavanje otpadne topline iz industrije, energetsko iskorištavanje otpada, iskorištavanje Sunčeve energije, visokoučinkovitim kogeneracijama na biomasu, kotlovnicama na biomasu i iskorištavanje geotermalne energije. </w:t>
            </w:r>
          </w:p>
          <w:p w14:paraId="120FA57D" w14:textId="2CDAAA39" w:rsidR="008C34BC" w:rsidRPr="00445486" w:rsidRDefault="006761B3" w:rsidP="001D3C67">
            <w:pPr>
              <w:pStyle w:val="Default"/>
              <w:jc w:val="both"/>
              <w:rPr>
                <w:rFonts w:cstheme="minorHAnsi"/>
                <w:sz w:val="22"/>
                <w:szCs w:val="22"/>
              </w:rPr>
            </w:pPr>
            <w:r w:rsidRPr="00445486">
              <w:rPr>
                <w:rFonts w:cstheme="minorHAnsi"/>
                <w:sz w:val="22"/>
                <w:szCs w:val="22"/>
              </w:rPr>
              <w:t>Sveobuhvatna procjena potencijala za učinkovito grijanje i hlađenje u Hrvatskoj pokazala je da mjera koja je po uštedama najznačajnija i zahtjeva javnu potporu, iskorištavanje geotermalne energije. Za mjeru pripreme projekata vezanih za korištenje geotermalne energije u CTS-ovima predviđeno je 29 milijuna EUR kroz Mehanizam oporavka i otpornosti</w:t>
            </w:r>
            <w:r w:rsidR="00877545" w:rsidRPr="00445486">
              <w:rPr>
                <w:rFonts w:cstheme="minorHAnsi"/>
                <w:sz w:val="22"/>
                <w:szCs w:val="22"/>
              </w:rPr>
              <w:t xml:space="preserve">. </w:t>
            </w:r>
          </w:p>
        </w:tc>
      </w:tr>
      <w:tr w:rsidR="00B40E8D" w:rsidRPr="001D3C67" w14:paraId="522E3F9C" w14:textId="77777777" w:rsidTr="63259912">
        <w:tc>
          <w:tcPr>
            <w:tcW w:w="1248" w:type="pct"/>
          </w:tcPr>
          <w:p w14:paraId="3CE2AC58" w14:textId="7861C46D" w:rsidR="00B40E8D" w:rsidRPr="00445486" w:rsidRDefault="002F3DC2" w:rsidP="63259912">
            <w:pPr>
              <w:pStyle w:val="Default"/>
              <w:jc w:val="both"/>
              <w:rPr>
                <w:rFonts w:cstheme="minorBidi"/>
                <w:sz w:val="22"/>
                <w:szCs w:val="22"/>
              </w:rPr>
            </w:pPr>
            <w:r w:rsidRPr="63259912">
              <w:rPr>
                <w:rFonts w:cstheme="minorBidi"/>
                <w:sz w:val="22"/>
                <w:szCs w:val="22"/>
              </w:rPr>
              <w:t xml:space="preserve">Povećanje učinkovitosti sustava toplinarstva </w:t>
            </w:r>
          </w:p>
        </w:tc>
        <w:tc>
          <w:tcPr>
            <w:tcW w:w="1096" w:type="pct"/>
          </w:tcPr>
          <w:p w14:paraId="4AFAB2BC" w14:textId="3BF3158C" w:rsidR="00B40E8D" w:rsidRPr="00445486" w:rsidRDefault="00B40E8D" w:rsidP="001D3C67">
            <w:pPr>
              <w:spacing w:after="0"/>
              <w:rPr>
                <w:sz w:val="22"/>
                <w:szCs w:val="22"/>
              </w:rPr>
            </w:pPr>
            <w:r w:rsidRPr="00445486">
              <w:rPr>
                <w:sz w:val="22"/>
                <w:szCs w:val="22"/>
              </w:rPr>
              <w:t>Distribucija toplinske energije</w:t>
            </w:r>
          </w:p>
        </w:tc>
        <w:tc>
          <w:tcPr>
            <w:tcW w:w="2656" w:type="pct"/>
          </w:tcPr>
          <w:p w14:paraId="78E2295E" w14:textId="78DDD6CB" w:rsidR="00C144FC" w:rsidRPr="00E54EB2" w:rsidRDefault="00C144FC" w:rsidP="63259912">
            <w:pPr>
              <w:pStyle w:val="Default"/>
              <w:jc w:val="both"/>
              <w:rPr>
                <w:rFonts w:cstheme="minorBidi"/>
                <w:color w:val="231F20"/>
                <w:sz w:val="22"/>
                <w:szCs w:val="22"/>
                <w:shd w:val="clear" w:color="auto" w:fill="FFFFFF"/>
              </w:rPr>
            </w:pPr>
            <w:r w:rsidRPr="63259912">
              <w:rPr>
                <w:rFonts w:cstheme="minorBidi"/>
                <w:color w:val="231F20"/>
                <w:sz w:val="22"/>
                <w:szCs w:val="22"/>
                <w:shd w:val="clear" w:color="auto" w:fill="FFFFFF"/>
              </w:rPr>
              <w:t xml:space="preserve">U postojećim velikim centraliziranim toplinskim sustavima veliki izvor gubitaka je dotrajala distribucijska mreža te se ovom mjerom predviđa nastavak zamjene vrelovoda i parovoda s dotrajalom izolacijom čeličnih cjevovoda novim predizoliranim cijevima i tehnološki pomak k četvrtoj generaciji daljinskog grijanja. U manjim sustavima s vlastitim kotlovnicama potrebno je omogućiti rekonstrukciju kotlovnica, poglavito zamjenom visokoučinkovitim kogeneracijskim sustavima ili sustavima koji koriste dizalice topline. Mjera također predviđa i razvoj novih sustava grijanja i hlađenja, koji koriste visokoučinkovitu kogeneraciju ili obnovljive izvore energije. S obzirom na odredbe </w:t>
            </w:r>
            <w:r w:rsidR="00C73390" w:rsidRPr="63259912">
              <w:rPr>
                <w:rFonts w:cstheme="minorBidi"/>
                <w:color w:val="231F20"/>
                <w:sz w:val="22"/>
                <w:szCs w:val="22"/>
                <w:shd w:val="clear" w:color="auto" w:fill="FFFFFF"/>
              </w:rPr>
              <w:t>Direktiv</w:t>
            </w:r>
            <w:r w:rsidR="00246419" w:rsidRPr="63259912">
              <w:rPr>
                <w:rFonts w:cstheme="minorBidi"/>
                <w:color w:val="231F20"/>
                <w:sz w:val="22"/>
                <w:szCs w:val="22"/>
                <w:shd w:val="clear" w:color="auto" w:fill="FFFFFF"/>
              </w:rPr>
              <w:t xml:space="preserve">e o energetskoj učinkovitosti </w:t>
            </w:r>
            <w:r w:rsidRPr="63259912">
              <w:rPr>
                <w:rFonts w:cstheme="minorBidi"/>
                <w:color w:val="231F20"/>
                <w:sz w:val="22"/>
                <w:szCs w:val="22"/>
                <w:shd w:val="clear" w:color="auto" w:fill="FFFFFF"/>
              </w:rPr>
              <w:t xml:space="preserve">a posebice s uvođenjem obaveze </w:t>
            </w:r>
            <w:r w:rsidRPr="63259912">
              <w:rPr>
                <w:rFonts w:cstheme="minorBidi"/>
                <w:color w:val="231F20"/>
                <w:sz w:val="22"/>
                <w:szCs w:val="22"/>
                <w:shd w:val="clear" w:color="auto" w:fill="FFFFFF"/>
              </w:rPr>
              <w:lastRenderedPageBreak/>
              <w:t>individualnog mjerenja na razini krajnjeg potrošača, sustavi daljinskog grijanja su postali sustavi s promjenjivom potražnjom za toplinskom energijom što zahtijeva uvođenje sustava naprednog mjerenja kao dodatan korak integraciji različitih energetskih sustava i povećanju ukupne energetske učinkovitosti.</w:t>
            </w:r>
          </w:p>
          <w:p w14:paraId="0EA7B097" w14:textId="59EB716C" w:rsidR="00B40E8D" w:rsidRPr="00445486" w:rsidRDefault="00B40E8D" w:rsidP="63259912">
            <w:pPr>
              <w:pStyle w:val="Default"/>
              <w:jc w:val="both"/>
              <w:rPr>
                <w:rFonts w:cstheme="minorBidi"/>
                <w:sz w:val="22"/>
                <w:szCs w:val="22"/>
              </w:rPr>
            </w:pPr>
            <w:r w:rsidRPr="63259912">
              <w:rPr>
                <w:rFonts w:cstheme="minorBidi"/>
                <w:sz w:val="22"/>
                <w:szCs w:val="22"/>
              </w:rPr>
              <w:t xml:space="preserve">Ulaganja su osigurana od komunalnih poduzeća i od korištenja </w:t>
            </w:r>
            <w:r w:rsidR="00957EBD" w:rsidRPr="63259912">
              <w:rPr>
                <w:rFonts w:cstheme="minorBidi"/>
                <w:sz w:val="22"/>
                <w:szCs w:val="22"/>
              </w:rPr>
              <w:t xml:space="preserve">EU </w:t>
            </w:r>
            <w:r w:rsidRPr="63259912">
              <w:rPr>
                <w:rFonts w:cstheme="minorBidi"/>
                <w:sz w:val="22"/>
                <w:szCs w:val="22"/>
              </w:rPr>
              <w:t>fondova, prema OPKK</w:t>
            </w:r>
            <w:r w:rsidR="00832989" w:rsidRPr="63259912">
              <w:rPr>
                <w:rFonts w:cstheme="minorBidi"/>
                <w:sz w:val="22"/>
                <w:szCs w:val="22"/>
              </w:rPr>
              <w:t xml:space="preserve"> 2014-2020</w:t>
            </w:r>
            <w:r w:rsidRPr="63259912">
              <w:rPr>
                <w:rFonts w:cstheme="minorBidi"/>
                <w:sz w:val="22"/>
                <w:szCs w:val="22"/>
              </w:rPr>
              <w:t>, u iznosu od 80 milijuna EUR.</w:t>
            </w:r>
            <w:r w:rsidR="006B27C1" w:rsidRPr="63259912">
              <w:rPr>
                <w:rFonts w:cstheme="minorBidi"/>
                <w:sz w:val="22"/>
                <w:szCs w:val="22"/>
              </w:rPr>
              <w:t xml:space="preserve"> Dodatno, kroz  Integrirani teritorijalni program 2021. - 2027. osigurano je dodatnih 12 milijuna EUR za projekt „Revitalizacija vrelovodne mreže grada Zagreba“ (25 km mreže) kao faza II prethodnog projekta u OPKK.</w:t>
            </w:r>
          </w:p>
        </w:tc>
      </w:tr>
      <w:tr w:rsidR="00B40E8D" w:rsidRPr="001D3C67" w14:paraId="61234AD8" w14:textId="77777777" w:rsidTr="63259912">
        <w:tc>
          <w:tcPr>
            <w:tcW w:w="1248" w:type="pct"/>
          </w:tcPr>
          <w:p w14:paraId="534B2AB3" w14:textId="7084DCF4" w:rsidR="00B40E8D" w:rsidRPr="00445486" w:rsidRDefault="00BF392F" w:rsidP="001D3C67">
            <w:pPr>
              <w:pStyle w:val="Default"/>
              <w:jc w:val="both"/>
              <w:rPr>
                <w:rFonts w:cstheme="minorHAnsi"/>
                <w:sz w:val="22"/>
                <w:szCs w:val="22"/>
              </w:rPr>
            </w:pPr>
            <w:r w:rsidRPr="00445486">
              <w:rPr>
                <w:rFonts w:cstheme="minorHAnsi"/>
                <w:sz w:val="22"/>
                <w:szCs w:val="22"/>
              </w:rPr>
              <w:lastRenderedPageBreak/>
              <w:t>Smanjenje gubitaka</w:t>
            </w:r>
            <w:r w:rsidR="00B40E8D" w:rsidRPr="00445486">
              <w:rPr>
                <w:rFonts w:cstheme="minorHAnsi"/>
                <w:sz w:val="22"/>
                <w:szCs w:val="22"/>
              </w:rPr>
              <w:t xml:space="preserve"> i razvoj prijenosne mreže</w:t>
            </w:r>
            <w:r w:rsidR="00B40E8D" w:rsidRPr="00445486" w:rsidDel="007A5245">
              <w:rPr>
                <w:rFonts w:cstheme="minorHAnsi"/>
                <w:sz w:val="22"/>
                <w:szCs w:val="22"/>
              </w:rPr>
              <w:t xml:space="preserve"> </w:t>
            </w:r>
          </w:p>
        </w:tc>
        <w:tc>
          <w:tcPr>
            <w:tcW w:w="1096" w:type="pct"/>
          </w:tcPr>
          <w:p w14:paraId="05B1E581" w14:textId="2D7A3A65" w:rsidR="00B40E8D" w:rsidRPr="00445486" w:rsidRDefault="00B40E8D" w:rsidP="001D3C67">
            <w:pPr>
              <w:spacing w:after="0"/>
              <w:rPr>
                <w:sz w:val="22"/>
                <w:szCs w:val="22"/>
              </w:rPr>
            </w:pPr>
            <w:r w:rsidRPr="00445486">
              <w:rPr>
                <w:sz w:val="22"/>
                <w:szCs w:val="22"/>
              </w:rPr>
              <w:t>Elektroenergetske mreže</w:t>
            </w:r>
          </w:p>
        </w:tc>
        <w:tc>
          <w:tcPr>
            <w:tcW w:w="2656" w:type="pct"/>
          </w:tcPr>
          <w:p w14:paraId="2434D707" w14:textId="47CA3284" w:rsidR="005240E6" w:rsidRPr="00445486" w:rsidRDefault="00BA00B2" w:rsidP="63259912">
            <w:pPr>
              <w:pStyle w:val="Default"/>
              <w:jc w:val="both"/>
              <w:rPr>
                <w:rFonts w:cstheme="minorBidi"/>
                <w:sz w:val="22"/>
                <w:szCs w:val="22"/>
              </w:rPr>
            </w:pPr>
            <w:r w:rsidRPr="63259912">
              <w:rPr>
                <w:rFonts w:cstheme="minorBidi"/>
                <w:sz w:val="22"/>
                <w:szCs w:val="22"/>
              </w:rPr>
              <w:t>Sadašnje stan</w:t>
            </w:r>
            <w:r w:rsidR="00F74150" w:rsidRPr="63259912">
              <w:rPr>
                <w:rFonts w:cstheme="minorBidi"/>
                <w:sz w:val="22"/>
                <w:szCs w:val="22"/>
              </w:rPr>
              <w:t>j</w:t>
            </w:r>
            <w:r w:rsidRPr="63259912">
              <w:rPr>
                <w:rFonts w:cstheme="minorBidi"/>
                <w:sz w:val="22"/>
                <w:szCs w:val="22"/>
              </w:rPr>
              <w:t>e gubitaka u prijenosnoj mreži Republike Hrvatske iznos</w:t>
            </w:r>
            <w:r w:rsidR="005240E6" w:rsidRPr="63259912">
              <w:rPr>
                <w:rFonts w:cstheme="minorBidi"/>
                <w:sz w:val="22"/>
                <w:szCs w:val="22"/>
              </w:rPr>
              <w:t>i</w:t>
            </w:r>
            <w:r w:rsidRPr="63259912">
              <w:rPr>
                <w:rFonts w:cstheme="minorBidi"/>
                <w:sz w:val="22"/>
                <w:szCs w:val="22"/>
              </w:rPr>
              <w:t xml:space="preserve"> oko 2% prenesene električne energije, što je iznos na razini ostalih operatora prijenosnog sustava ENTSO-E. Važna karakteristika hrvatske prijenosne mreže, kako s aspekta sigurnosti pogona i podržavanja tržišnih aktivnosti, tako i s aspekta gubitaka je izuzetno jaka povezanost sa susjednim elektroenergetskim sustavima (interkonekcije). Dok se s jedne strane time značajno povećava sigurnost pogona, s druge strane se zbog tranzita povećavaju gubici u mreži. </w:t>
            </w:r>
            <w:r w:rsidR="005240E6" w:rsidRPr="63259912">
              <w:rPr>
                <w:rFonts w:cstheme="minorBidi"/>
                <w:sz w:val="22"/>
                <w:szCs w:val="22"/>
              </w:rPr>
              <w:t xml:space="preserve">Ova mjera podrazumijeva optimizaciju topologije prijenosne mreže i smanjenje gubitaka te razvoj mrežnih kapaciteta. </w:t>
            </w:r>
          </w:p>
          <w:p w14:paraId="2C0CDF47" w14:textId="462918A5" w:rsidR="00162058" w:rsidRPr="00445486" w:rsidRDefault="00162058" w:rsidP="001D3C67">
            <w:pPr>
              <w:pStyle w:val="Default"/>
              <w:jc w:val="both"/>
              <w:rPr>
                <w:rFonts w:cstheme="minorHAnsi"/>
                <w:sz w:val="22"/>
                <w:szCs w:val="22"/>
              </w:rPr>
            </w:pPr>
            <w:r w:rsidRPr="00445486">
              <w:rPr>
                <w:rFonts w:cstheme="minorHAnsi"/>
                <w:sz w:val="22"/>
                <w:szCs w:val="22"/>
              </w:rPr>
              <w:t xml:space="preserve">Prema usvojenim izmjenama i dopunama Zakona o energetskoj učinkovitosti u rujnu 2021. godine donesen je Pravilnik o sustavu za praćenje, mjerenje i verifikaciju ušteda </w:t>
            </w:r>
            <w:r w:rsidR="00EB08F1">
              <w:rPr>
                <w:rFonts w:cstheme="minorHAnsi"/>
                <w:sz w:val="22"/>
                <w:szCs w:val="22"/>
              </w:rPr>
              <w:t xml:space="preserve">(„Narodne novine“, br. </w:t>
            </w:r>
            <w:r w:rsidRPr="00445486">
              <w:rPr>
                <w:rFonts w:cstheme="minorHAnsi"/>
                <w:sz w:val="22"/>
                <w:szCs w:val="22"/>
              </w:rPr>
              <w:t>41/21</w:t>
            </w:r>
            <w:r w:rsidR="00B12740">
              <w:rPr>
                <w:rFonts w:cstheme="minorHAnsi"/>
                <w:sz w:val="22"/>
                <w:szCs w:val="22"/>
              </w:rPr>
              <w:t>.</w:t>
            </w:r>
            <w:r w:rsidRPr="00445486">
              <w:rPr>
                <w:rFonts w:cstheme="minorHAnsi"/>
                <w:sz w:val="22"/>
                <w:szCs w:val="22"/>
              </w:rPr>
              <w:t>)</w:t>
            </w:r>
            <w:r w:rsidR="00B50EC3">
              <w:rPr>
                <w:rFonts w:cstheme="minorHAnsi"/>
                <w:sz w:val="22"/>
                <w:szCs w:val="22"/>
              </w:rPr>
              <w:t>.</w:t>
            </w:r>
          </w:p>
          <w:p w14:paraId="14BE3C7D" w14:textId="424954E5" w:rsidR="00B40E8D" w:rsidRPr="00445486" w:rsidRDefault="00BA00B2" w:rsidP="001D3C67">
            <w:pPr>
              <w:pStyle w:val="Default"/>
              <w:jc w:val="both"/>
              <w:rPr>
                <w:rFonts w:cstheme="minorHAnsi"/>
                <w:sz w:val="22"/>
                <w:szCs w:val="22"/>
              </w:rPr>
            </w:pPr>
            <w:r w:rsidRPr="00445486">
              <w:rPr>
                <w:rFonts w:cstheme="minorHAnsi"/>
                <w:sz w:val="22"/>
                <w:szCs w:val="22"/>
              </w:rPr>
              <w:t xml:space="preserve">HOPS će u razdoblju do 2030. godine nastaviti provoditi mjere vezane za vođenje pogona EES-a i mjere vezane uz razvoj prijenosne mreže, za optimalno (sigurno i efikasno) vođenje pogona. Za ovu se mjeru predlaže, uz osiguravanje sredstava od strane HOPS-a, programirati korištenje </w:t>
            </w:r>
            <w:r w:rsidR="00575A6C">
              <w:rPr>
                <w:rFonts w:cstheme="minorHAnsi"/>
                <w:sz w:val="22"/>
                <w:szCs w:val="22"/>
              </w:rPr>
              <w:t>EU</w:t>
            </w:r>
            <w:r w:rsidR="00575A6C" w:rsidRPr="00445486">
              <w:rPr>
                <w:rFonts w:cstheme="minorHAnsi"/>
                <w:sz w:val="22"/>
                <w:szCs w:val="22"/>
              </w:rPr>
              <w:t xml:space="preserve"> </w:t>
            </w:r>
            <w:r w:rsidRPr="00445486">
              <w:rPr>
                <w:rFonts w:cstheme="minorHAnsi"/>
                <w:sz w:val="22"/>
                <w:szCs w:val="22"/>
              </w:rPr>
              <w:t xml:space="preserve">sredstava. </w:t>
            </w:r>
          </w:p>
        </w:tc>
      </w:tr>
      <w:tr w:rsidR="007472DA" w:rsidRPr="001D3C67" w14:paraId="3BEC9528" w14:textId="77777777" w:rsidTr="63259912">
        <w:tc>
          <w:tcPr>
            <w:tcW w:w="1248" w:type="pct"/>
          </w:tcPr>
          <w:p w14:paraId="7414B700" w14:textId="77777777" w:rsidR="007472DA" w:rsidRPr="00445486" w:rsidRDefault="007472DA" w:rsidP="001D3C67">
            <w:pPr>
              <w:pStyle w:val="Default"/>
              <w:jc w:val="both"/>
              <w:rPr>
                <w:rFonts w:cstheme="minorHAnsi"/>
                <w:b/>
                <w:bCs/>
                <w:sz w:val="22"/>
                <w:szCs w:val="22"/>
              </w:rPr>
            </w:pPr>
            <w:r w:rsidRPr="00445486">
              <w:rPr>
                <w:rFonts w:cstheme="minorHAnsi"/>
                <w:sz w:val="22"/>
                <w:szCs w:val="22"/>
              </w:rPr>
              <w:t>Smanjenje gubitaka u distribucijskoj elektroenergetskoj mreži</w:t>
            </w:r>
            <w:r w:rsidR="00EF72DE" w:rsidRPr="00445486">
              <w:rPr>
                <w:rFonts w:cstheme="minorHAnsi"/>
                <w:sz w:val="22"/>
                <w:szCs w:val="22"/>
              </w:rPr>
              <w:t xml:space="preserve"> i uvođenje naprednih mreža</w:t>
            </w:r>
            <w:r w:rsidRPr="00445486">
              <w:rPr>
                <w:rFonts w:cstheme="minorHAnsi"/>
                <w:sz w:val="22"/>
                <w:szCs w:val="22"/>
              </w:rPr>
              <w:t xml:space="preserve"> </w:t>
            </w:r>
          </w:p>
          <w:p w14:paraId="34D800CC" w14:textId="341D7B45" w:rsidR="007472DA" w:rsidRPr="00445486" w:rsidRDefault="007472DA" w:rsidP="001D3C67">
            <w:pPr>
              <w:pStyle w:val="Default"/>
              <w:jc w:val="both"/>
              <w:rPr>
                <w:rFonts w:cstheme="minorHAnsi"/>
                <w:sz w:val="22"/>
                <w:szCs w:val="22"/>
              </w:rPr>
            </w:pPr>
          </w:p>
        </w:tc>
        <w:tc>
          <w:tcPr>
            <w:tcW w:w="1096" w:type="pct"/>
          </w:tcPr>
          <w:p w14:paraId="5DA3565E" w14:textId="313E4EF2" w:rsidR="007472DA" w:rsidRPr="00445486" w:rsidRDefault="007472DA" w:rsidP="001D3C67">
            <w:pPr>
              <w:spacing w:after="0"/>
              <w:rPr>
                <w:sz w:val="22"/>
                <w:szCs w:val="22"/>
              </w:rPr>
            </w:pPr>
            <w:r w:rsidRPr="00445486">
              <w:rPr>
                <w:sz w:val="22"/>
                <w:szCs w:val="22"/>
              </w:rPr>
              <w:t>Elektroenergetske mreže</w:t>
            </w:r>
          </w:p>
        </w:tc>
        <w:tc>
          <w:tcPr>
            <w:tcW w:w="2656" w:type="pct"/>
          </w:tcPr>
          <w:p w14:paraId="25F5455A" w14:textId="393B4E35" w:rsidR="008C34BC" w:rsidRPr="00445486" w:rsidRDefault="007472DA" w:rsidP="63259912">
            <w:pPr>
              <w:pStyle w:val="Default"/>
              <w:jc w:val="both"/>
              <w:rPr>
                <w:rFonts w:cstheme="minorBidi"/>
                <w:sz w:val="22"/>
                <w:szCs w:val="22"/>
              </w:rPr>
            </w:pPr>
            <w:r w:rsidRPr="63259912">
              <w:rPr>
                <w:rFonts w:cstheme="minorBidi"/>
                <w:sz w:val="22"/>
                <w:szCs w:val="22"/>
              </w:rPr>
              <w:t>Mjera podrazumijeva smanjenje gubitaka u distribucijskoj mreži i uvođenje naprednih mjerila za krajnje potrošače od strane HEP-</w:t>
            </w:r>
            <w:r w:rsidR="0010204F" w:rsidRPr="63259912">
              <w:rPr>
                <w:rFonts w:cstheme="minorBidi"/>
                <w:sz w:val="22"/>
                <w:szCs w:val="22"/>
              </w:rPr>
              <w:t xml:space="preserve">Operatora distribucijskog sustava (HEP </w:t>
            </w:r>
            <w:r w:rsidRPr="63259912">
              <w:rPr>
                <w:rFonts w:cstheme="minorBidi"/>
                <w:sz w:val="22"/>
                <w:szCs w:val="22"/>
              </w:rPr>
              <w:t>ODS</w:t>
            </w:r>
            <w:r w:rsidR="0010204F" w:rsidRPr="63259912">
              <w:rPr>
                <w:rFonts w:cstheme="minorBidi"/>
                <w:sz w:val="22"/>
                <w:szCs w:val="22"/>
              </w:rPr>
              <w:t>)</w:t>
            </w:r>
            <w:r w:rsidRPr="63259912">
              <w:rPr>
                <w:rFonts w:cstheme="minorBidi"/>
                <w:sz w:val="22"/>
                <w:szCs w:val="22"/>
              </w:rPr>
              <w:t>.</w:t>
            </w:r>
            <w:r w:rsidR="0099315F" w:rsidRPr="63259912">
              <w:rPr>
                <w:rFonts w:cstheme="minorBidi"/>
                <w:sz w:val="22"/>
                <w:szCs w:val="22"/>
              </w:rPr>
              <w:t xml:space="preserve"> HEP-ODS će u razdoblju do 2030. godine nastaviti provoditi aktivnosti za smanjenje tehničkih i netehničkih gubitaka </w:t>
            </w:r>
            <w:r w:rsidR="00BE4774" w:rsidRPr="63259912">
              <w:rPr>
                <w:rFonts w:cstheme="minorBidi"/>
                <w:sz w:val="22"/>
                <w:szCs w:val="22"/>
              </w:rPr>
              <w:t xml:space="preserve">u distribucijskoj </w:t>
            </w:r>
            <w:r w:rsidR="00CD79EA" w:rsidRPr="63259912">
              <w:rPr>
                <w:rFonts w:cstheme="minorBidi"/>
                <w:sz w:val="22"/>
                <w:szCs w:val="22"/>
              </w:rPr>
              <w:t>elektroenergetskoj</w:t>
            </w:r>
            <w:r w:rsidR="00BE4774" w:rsidRPr="63259912">
              <w:rPr>
                <w:rFonts w:cstheme="minorBidi"/>
                <w:sz w:val="22"/>
                <w:szCs w:val="22"/>
              </w:rPr>
              <w:t xml:space="preserve"> mreži. Detaljnom analizom utvrdit će se uzroci povećanih gubitaka u pojedinim dijelovima mreže i pr</w:t>
            </w:r>
            <w:r w:rsidR="00EF72DE" w:rsidRPr="63259912">
              <w:rPr>
                <w:rFonts w:cstheme="minorBidi"/>
                <w:sz w:val="22"/>
                <w:szCs w:val="22"/>
              </w:rPr>
              <w:t>i</w:t>
            </w:r>
            <w:r w:rsidR="00BE4774" w:rsidRPr="63259912">
              <w:rPr>
                <w:rFonts w:cstheme="minorBidi"/>
                <w:sz w:val="22"/>
                <w:szCs w:val="22"/>
              </w:rPr>
              <w:t xml:space="preserve">oriteti za </w:t>
            </w:r>
            <w:r w:rsidR="00BE4774" w:rsidRPr="63259912">
              <w:rPr>
                <w:rFonts w:cstheme="minorBidi"/>
                <w:sz w:val="22"/>
                <w:szCs w:val="22"/>
              </w:rPr>
              <w:lastRenderedPageBreak/>
              <w:t xml:space="preserve">provedbu aktivnosti za smanjenje tehničkih i netehničkih gubitaka. </w:t>
            </w:r>
          </w:p>
          <w:p w14:paraId="4E19868A" w14:textId="7E28534F" w:rsidR="008C34BC" w:rsidRDefault="008C34BC" w:rsidP="001D3C67">
            <w:pPr>
              <w:pStyle w:val="Default"/>
              <w:jc w:val="both"/>
              <w:rPr>
                <w:rFonts w:cstheme="minorHAnsi"/>
                <w:sz w:val="22"/>
                <w:szCs w:val="22"/>
              </w:rPr>
            </w:pPr>
            <w:r w:rsidRPr="00445486">
              <w:rPr>
                <w:rFonts w:cstheme="minorHAnsi"/>
                <w:sz w:val="22"/>
                <w:szCs w:val="22"/>
              </w:rPr>
              <w:t xml:space="preserve">Prema usvojenim izmjenama i dopunama Zakona o energetskoj učinkovitosti u rujnu 2021. godine donesen je Pravilnik o sustavu za praćenje, mjerenje i verifikaciju ušteda </w:t>
            </w:r>
            <w:r w:rsidR="00EB08F1">
              <w:rPr>
                <w:rFonts w:cstheme="minorHAnsi"/>
                <w:sz w:val="22"/>
                <w:szCs w:val="22"/>
              </w:rPr>
              <w:t xml:space="preserve">(„Narodne novine“, br. </w:t>
            </w:r>
            <w:r w:rsidRPr="00445486">
              <w:rPr>
                <w:rFonts w:cstheme="minorHAnsi"/>
                <w:sz w:val="22"/>
                <w:szCs w:val="22"/>
              </w:rPr>
              <w:t>41/21</w:t>
            </w:r>
            <w:r w:rsidR="006F1574">
              <w:rPr>
                <w:rFonts w:cstheme="minorHAnsi"/>
                <w:sz w:val="22"/>
                <w:szCs w:val="22"/>
              </w:rPr>
              <w:t>.</w:t>
            </w:r>
            <w:r w:rsidRPr="00445486">
              <w:rPr>
                <w:rFonts w:cstheme="minorHAnsi"/>
                <w:sz w:val="22"/>
                <w:szCs w:val="22"/>
              </w:rPr>
              <w:t>) prema kojem je ODS obveznik ostvarenja mjera u poboljšanje energetske učinkovitosti u distribucijskoj mreži unositi u sustav za mjerenje, praćenje i verifikaciju ušteda.</w:t>
            </w:r>
            <w:r w:rsidR="00A5520F">
              <w:rPr>
                <w:rFonts w:cstheme="minorHAnsi"/>
                <w:sz w:val="22"/>
                <w:szCs w:val="22"/>
              </w:rPr>
              <w:t xml:space="preserve"> </w:t>
            </w:r>
          </w:p>
          <w:p w14:paraId="28C417F5" w14:textId="02832B2D" w:rsidR="00A5520F" w:rsidRPr="00445486" w:rsidRDefault="00A5520F" w:rsidP="63259912">
            <w:pPr>
              <w:pStyle w:val="Default"/>
              <w:jc w:val="both"/>
              <w:rPr>
                <w:rFonts w:cstheme="minorBidi"/>
                <w:sz w:val="22"/>
                <w:szCs w:val="22"/>
              </w:rPr>
            </w:pPr>
            <w:r w:rsidRPr="63259912">
              <w:rPr>
                <w:rFonts w:cstheme="minorBidi"/>
                <w:sz w:val="22"/>
                <w:szCs w:val="22"/>
              </w:rPr>
              <w:t>Za projekt „Modernizacija hrvatske distribucijske elektroenergetske mreže“ dodijeljeno je 156,3 milijuna EUR bespovratnih EU sredstava (projekt ukupne vrijednosti 285,6 milijuna EUR) za napredna brojila, automatizaciju mreže, bolju povezanost kopna s otocima te u području NATURA 2000 kroz NPOO, kao i dodatnih 70 milijuna EUR iz REPower sredstava za napredna brojila.</w:t>
            </w:r>
          </w:p>
          <w:p w14:paraId="5E354032" w14:textId="7A1874AF" w:rsidR="0099315F" w:rsidRPr="00445486" w:rsidRDefault="0099315F" w:rsidP="001D3C67">
            <w:pPr>
              <w:pStyle w:val="Default"/>
              <w:jc w:val="both"/>
              <w:rPr>
                <w:rFonts w:cstheme="minorHAnsi"/>
                <w:sz w:val="22"/>
                <w:szCs w:val="22"/>
              </w:rPr>
            </w:pPr>
          </w:p>
        </w:tc>
      </w:tr>
    </w:tbl>
    <w:p w14:paraId="2C64287D" w14:textId="47C46612" w:rsidR="000C319A" w:rsidRDefault="000C319A" w:rsidP="004623DD">
      <w:pPr>
        <w:rPr>
          <w:b/>
          <w:bCs/>
        </w:rPr>
      </w:pPr>
    </w:p>
    <w:p w14:paraId="548C8F4A" w14:textId="77777777" w:rsidR="000C319A" w:rsidRDefault="000C319A">
      <w:pPr>
        <w:spacing w:after="0"/>
        <w:rPr>
          <w:b/>
          <w:bCs/>
        </w:rPr>
      </w:pPr>
      <w:r>
        <w:rPr>
          <w:b/>
          <w:bCs/>
        </w:rPr>
        <w:br w:type="page"/>
      </w:r>
    </w:p>
    <w:p w14:paraId="1B216101" w14:textId="6BAA1A7C" w:rsidR="00FF0CF3" w:rsidRPr="00692A6C" w:rsidRDefault="00FF0CF3" w:rsidP="00557530">
      <w:pPr>
        <w:pStyle w:val="Heading5"/>
        <w:shd w:val="clear" w:color="auto" w:fill="DEEAF6" w:themeFill="accent1" w:themeFillTint="33"/>
      </w:pPr>
      <w:r w:rsidRPr="00692A6C">
        <w:lastRenderedPageBreak/>
        <w:t>Dimenzija</w:t>
      </w:r>
      <w:r w:rsidR="00206A8F">
        <w:t>: e</w:t>
      </w:r>
      <w:r w:rsidRPr="00692A6C">
        <w:t>nergetska sigurnost</w:t>
      </w:r>
    </w:p>
    <w:p w14:paraId="3BC4E614" w14:textId="571DDB49" w:rsidR="00AC79AE" w:rsidRPr="00B47BDA" w:rsidRDefault="00AC79AE" w:rsidP="004623DD">
      <w:r w:rsidRPr="00B47BDA">
        <w:t>Ključni zakoni releva</w:t>
      </w:r>
      <w:r w:rsidR="00C651D3" w:rsidRPr="00B47BDA">
        <w:t>n</w:t>
      </w:r>
      <w:r w:rsidRPr="00B47BDA">
        <w:t xml:space="preserve">tni za dimenziju </w:t>
      </w:r>
      <w:r w:rsidR="00FD52A5">
        <w:t>e</w:t>
      </w:r>
      <w:r w:rsidRPr="00B47BDA">
        <w:t>nergetsk</w:t>
      </w:r>
      <w:r w:rsidR="00FD52A5">
        <w:t>a</w:t>
      </w:r>
      <w:r w:rsidRPr="00B47BDA">
        <w:t xml:space="preserve"> sigurnost su:</w:t>
      </w:r>
    </w:p>
    <w:p w14:paraId="1FD317D6" w14:textId="1F5E3948" w:rsidR="005D0CDF" w:rsidRPr="00B47BDA" w:rsidRDefault="00AC79AE" w:rsidP="0036351F">
      <w:pPr>
        <w:pStyle w:val="ListParagraph"/>
        <w:numPr>
          <w:ilvl w:val="0"/>
          <w:numId w:val="12"/>
        </w:numPr>
        <w:spacing w:after="60"/>
        <w:ind w:left="714" w:hanging="357"/>
      </w:pPr>
      <w:r w:rsidRPr="00B47BDA">
        <w:t>Zakon o energiji (</w:t>
      </w:r>
      <w:r w:rsidR="00971939">
        <w:t>„</w:t>
      </w:r>
      <w:r w:rsidR="00071A4F" w:rsidRPr="00071A4F">
        <w:t xml:space="preserve">Narodne </w:t>
      </w:r>
      <w:r w:rsidR="00A97AE7">
        <w:t>novine</w:t>
      </w:r>
      <w:r w:rsidR="00971939">
        <w:t>“</w:t>
      </w:r>
      <w:r w:rsidR="00071A4F" w:rsidRPr="00071A4F">
        <w:t>, br</w:t>
      </w:r>
      <w:r w:rsidR="00E1399C">
        <w:t>.</w:t>
      </w:r>
      <w:r w:rsidR="005D0CDF" w:rsidRPr="00B47BDA">
        <w:t xml:space="preserve"> </w:t>
      </w:r>
      <w:r w:rsidRPr="00B47BDA">
        <w:t>120</w:t>
      </w:r>
      <w:r w:rsidR="005B41DA">
        <w:t>/12</w:t>
      </w:r>
      <w:r w:rsidR="00971939">
        <w:t>.</w:t>
      </w:r>
      <w:r w:rsidRPr="00B47BDA">
        <w:t>, 14</w:t>
      </w:r>
      <w:r w:rsidR="005B41DA">
        <w:t>/14</w:t>
      </w:r>
      <w:r w:rsidR="00971939">
        <w:t>.</w:t>
      </w:r>
      <w:r w:rsidRPr="00B47BDA">
        <w:t>, 102</w:t>
      </w:r>
      <w:r w:rsidR="005B41DA">
        <w:t>/15</w:t>
      </w:r>
      <w:r w:rsidR="00971939">
        <w:t>.</w:t>
      </w:r>
      <w:r w:rsidRPr="00B47BDA">
        <w:t>, 68</w:t>
      </w:r>
      <w:r w:rsidR="005B41DA">
        <w:t>/18</w:t>
      </w:r>
      <w:r w:rsidR="00971939">
        <w:t>.</w:t>
      </w:r>
      <w:r w:rsidR="005D0CDF" w:rsidRPr="00B47BDA">
        <w:t>)</w:t>
      </w:r>
      <w:r w:rsidR="004775D2" w:rsidRPr="00B47BDA">
        <w:t>,</w:t>
      </w:r>
    </w:p>
    <w:p w14:paraId="1B8BC21F" w14:textId="29C685F2" w:rsidR="00BD1437" w:rsidRPr="00B47BDA" w:rsidRDefault="00BD1437" w:rsidP="0036351F">
      <w:pPr>
        <w:pStyle w:val="ListParagraph"/>
        <w:numPr>
          <w:ilvl w:val="0"/>
          <w:numId w:val="12"/>
        </w:numPr>
        <w:spacing w:after="60"/>
        <w:ind w:left="714" w:hanging="357"/>
      </w:pPr>
      <w:r w:rsidRPr="00B47BDA">
        <w:t>Zakon o tržištu električne energije (</w:t>
      </w:r>
      <w:r w:rsidR="00971939">
        <w:t>„</w:t>
      </w:r>
      <w:r w:rsidR="00071A4F" w:rsidRPr="00071A4F">
        <w:t xml:space="preserve">Narodne </w:t>
      </w:r>
      <w:r w:rsidR="00A97AE7">
        <w:t>novine</w:t>
      </w:r>
      <w:r w:rsidR="00971939">
        <w:t>“</w:t>
      </w:r>
      <w:r w:rsidR="00071A4F" w:rsidRPr="00071A4F">
        <w:t xml:space="preserve">, </w:t>
      </w:r>
      <w:r w:rsidR="00004BB0">
        <w:t>br</w:t>
      </w:r>
      <w:r w:rsidR="000377D5">
        <w:t>.</w:t>
      </w:r>
      <w:r w:rsidR="005D0CDF" w:rsidRPr="00B47BDA">
        <w:t xml:space="preserve"> </w:t>
      </w:r>
      <w:r w:rsidR="00FC7C45" w:rsidRPr="00B47BDA">
        <w:t>111</w:t>
      </w:r>
      <w:r w:rsidR="005B41DA">
        <w:t>/21</w:t>
      </w:r>
      <w:r w:rsidR="00971939">
        <w:t>.</w:t>
      </w:r>
      <w:r w:rsidR="000377D5">
        <w:t>, 83/23</w:t>
      </w:r>
      <w:r w:rsidR="00971939">
        <w:t>.</w:t>
      </w:r>
      <w:r w:rsidRPr="00B47BDA">
        <w:t>)</w:t>
      </w:r>
      <w:r w:rsidR="004775D2" w:rsidRPr="00B47BDA">
        <w:t>,</w:t>
      </w:r>
      <w:r w:rsidRPr="00B47BDA">
        <w:t xml:space="preserve"> </w:t>
      </w:r>
    </w:p>
    <w:p w14:paraId="6C1F3098" w14:textId="400D51FB" w:rsidR="00BD1437" w:rsidRPr="00B47BDA" w:rsidRDefault="00BD1437" w:rsidP="0036351F">
      <w:pPr>
        <w:pStyle w:val="ListParagraph"/>
        <w:numPr>
          <w:ilvl w:val="0"/>
          <w:numId w:val="12"/>
        </w:numPr>
        <w:spacing w:after="60"/>
        <w:ind w:left="714" w:hanging="357"/>
      </w:pPr>
      <w:r w:rsidRPr="00B47BDA">
        <w:t>Zakon o tržištu plina (</w:t>
      </w:r>
      <w:r w:rsidR="00971939">
        <w:t>„</w:t>
      </w:r>
      <w:r w:rsidR="00071A4F" w:rsidRPr="00071A4F">
        <w:t xml:space="preserve">Narodne </w:t>
      </w:r>
      <w:r w:rsidR="00A97AE7">
        <w:t>novine</w:t>
      </w:r>
      <w:r w:rsidR="00971939">
        <w:t>“</w:t>
      </w:r>
      <w:r w:rsidR="00071A4F" w:rsidRPr="00071A4F">
        <w:t>, br</w:t>
      </w:r>
      <w:r w:rsidR="00E1399C">
        <w:t>.</w:t>
      </w:r>
      <w:r w:rsidRPr="00B47BDA">
        <w:t xml:space="preserve"> 18</w:t>
      </w:r>
      <w:r w:rsidR="005B41DA">
        <w:t>/18</w:t>
      </w:r>
      <w:r w:rsidR="00971939">
        <w:t>.</w:t>
      </w:r>
      <w:r w:rsidR="00FC7C45" w:rsidRPr="00B47BDA">
        <w:t>, 23/20</w:t>
      </w:r>
      <w:r w:rsidR="00971939">
        <w:t>.</w:t>
      </w:r>
      <w:r w:rsidRPr="00B47BDA">
        <w:t>)</w:t>
      </w:r>
      <w:r w:rsidR="004775D2" w:rsidRPr="00B47BDA">
        <w:t>,</w:t>
      </w:r>
    </w:p>
    <w:p w14:paraId="03982A8A" w14:textId="7791DF81" w:rsidR="00BD1437" w:rsidRDefault="00BD1437" w:rsidP="0036351F">
      <w:pPr>
        <w:pStyle w:val="ListParagraph"/>
        <w:numPr>
          <w:ilvl w:val="0"/>
          <w:numId w:val="12"/>
        </w:numPr>
        <w:spacing w:after="60"/>
        <w:ind w:left="714" w:hanging="357"/>
      </w:pPr>
      <w:r w:rsidRPr="00B47BDA">
        <w:t>Zakon o tržištu nafte i naftnih derivata (</w:t>
      </w:r>
      <w:r w:rsidR="00971939">
        <w:t>„</w:t>
      </w:r>
      <w:r w:rsidR="00071A4F" w:rsidRPr="00071A4F">
        <w:t xml:space="preserve">Narodne </w:t>
      </w:r>
      <w:r w:rsidR="00A97AE7">
        <w:t>novine</w:t>
      </w:r>
      <w:r w:rsidR="00971939">
        <w:t>“</w:t>
      </w:r>
      <w:r w:rsidR="00071A4F" w:rsidRPr="00071A4F">
        <w:t>, br</w:t>
      </w:r>
      <w:r w:rsidR="00E1399C">
        <w:t>.</w:t>
      </w:r>
      <w:r w:rsidR="005D0CDF" w:rsidRPr="00B47BDA">
        <w:t xml:space="preserve"> </w:t>
      </w:r>
      <w:r w:rsidRPr="00B47BDA">
        <w:t>19</w:t>
      </w:r>
      <w:r w:rsidR="005B41DA">
        <w:t>/14</w:t>
      </w:r>
      <w:r w:rsidR="00971939">
        <w:t>.</w:t>
      </w:r>
      <w:r w:rsidRPr="00B47BDA">
        <w:t>, 73</w:t>
      </w:r>
      <w:r w:rsidR="005B41DA">
        <w:t>/17</w:t>
      </w:r>
      <w:r w:rsidR="00971939">
        <w:t>.</w:t>
      </w:r>
      <w:r w:rsidR="00574C7D" w:rsidRPr="00B47BDA">
        <w:t>, 96</w:t>
      </w:r>
      <w:r w:rsidR="005B41DA">
        <w:t>/19</w:t>
      </w:r>
      <w:r w:rsidR="00971939">
        <w:t>.</w:t>
      </w:r>
      <w:r w:rsidRPr="00B47BDA">
        <w:t>)</w:t>
      </w:r>
      <w:r w:rsidR="004775D2" w:rsidRPr="00B47BDA">
        <w:t>,</w:t>
      </w:r>
    </w:p>
    <w:p w14:paraId="30A55CAF" w14:textId="050B847C" w:rsidR="00F922C1" w:rsidRPr="00B47BDA" w:rsidRDefault="00F922C1" w:rsidP="0036351F">
      <w:pPr>
        <w:pStyle w:val="ListParagraph"/>
        <w:numPr>
          <w:ilvl w:val="0"/>
          <w:numId w:val="12"/>
        </w:numPr>
        <w:spacing w:after="60"/>
        <w:ind w:left="714" w:hanging="357"/>
      </w:pPr>
      <w:r>
        <w:t>Zakon o tržištu toplinske energije</w:t>
      </w:r>
      <w:r w:rsidR="00421F91">
        <w:t xml:space="preserve"> („</w:t>
      </w:r>
      <w:r w:rsidR="00421F91" w:rsidRPr="00071A4F">
        <w:t xml:space="preserve">Narodne </w:t>
      </w:r>
      <w:r w:rsidR="00421F91">
        <w:t>novine“</w:t>
      </w:r>
      <w:r w:rsidR="00421F91" w:rsidRPr="00071A4F">
        <w:t>, br</w:t>
      </w:r>
      <w:r w:rsidR="00421F91">
        <w:t>.</w:t>
      </w:r>
      <w:r w:rsidR="00421F91" w:rsidRPr="00B47BDA">
        <w:t xml:space="preserve"> </w:t>
      </w:r>
      <w:r w:rsidR="003A053B">
        <w:t>80</w:t>
      </w:r>
      <w:r w:rsidR="00421F91">
        <w:t>/1</w:t>
      </w:r>
      <w:r w:rsidR="003A053B">
        <w:t>3</w:t>
      </w:r>
      <w:r w:rsidR="00421F91">
        <w:t>.</w:t>
      </w:r>
      <w:r w:rsidR="00421F91" w:rsidRPr="00B47BDA">
        <w:t xml:space="preserve">, </w:t>
      </w:r>
      <w:r w:rsidR="009704AA">
        <w:t>14</w:t>
      </w:r>
      <w:r w:rsidR="00421F91" w:rsidRPr="00B47BDA">
        <w:t>/</w:t>
      </w:r>
      <w:r w:rsidR="009704AA">
        <w:t>14</w:t>
      </w:r>
      <w:r w:rsidR="00421F91">
        <w:t>.</w:t>
      </w:r>
      <w:r w:rsidR="00421F91" w:rsidRPr="00B47BDA">
        <w:t>),</w:t>
      </w:r>
    </w:p>
    <w:p w14:paraId="09BF2FE1" w14:textId="35EADDAF" w:rsidR="005D0CDF" w:rsidRDefault="005D0CDF" w:rsidP="0036351F">
      <w:pPr>
        <w:pStyle w:val="ListParagraph"/>
        <w:numPr>
          <w:ilvl w:val="0"/>
          <w:numId w:val="12"/>
        </w:numPr>
        <w:spacing w:after="60"/>
        <w:ind w:left="714" w:hanging="357"/>
      </w:pPr>
      <w:r w:rsidRPr="00B47BDA">
        <w:t>Zakon o terminalu za ukapljeni prirodni plin (</w:t>
      </w:r>
      <w:r w:rsidR="00971939">
        <w:t>„</w:t>
      </w:r>
      <w:r w:rsidR="00071A4F" w:rsidRPr="00071A4F">
        <w:t xml:space="preserve">Narodne </w:t>
      </w:r>
      <w:r w:rsidR="00A97AE7">
        <w:t>novine</w:t>
      </w:r>
      <w:r w:rsidR="00971939">
        <w:t>“</w:t>
      </w:r>
      <w:r w:rsidR="00071A4F" w:rsidRPr="00071A4F">
        <w:t xml:space="preserve">, </w:t>
      </w:r>
      <w:r w:rsidR="00004BB0">
        <w:t>br</w:t>
      </w:r>
      <w:r w:rsidR="00303BE1">
        <w:t>.</w:t>
      </w:r>
      <w:r w:rsidRPr="00B47BDA">
        <w:t xml:space="preserve"> 57</w:t>
      </w:r>
      <w:r w:rsidR="005B41DA">
        <w:t>/18</w:t>
      </w:r>
      <w:r w:rsidR="00971939">
        <w:t>.</w:t>
      </w:r>
      <w:r w:rsidR="00303BE1">
        <w:t>, 83/23</w:t>
      </w:r>
      <w:r w:rsidR="00971939">
        <w:t>.</w:t>
      </w:r>
      <w:r w:rsidRPr="00B47BDA">
        <w:t>)</w:t>
      </w:r>
      <w:r w:rsidR="004775D2" w:rsidRPr="00B47BDA">
        <w:t>,</w:t>
      </w:r>
    </w:p>
    <w:p w14:paraId="05A77E1F" w14:textId="7681A811" w:rsidR="00773436" w:rsidRDefault="00773436" w:rsidP="0036351F">
      <w:pPr>
        <w:pStyle w:val="ListParagraph"/>
        <w:numPr>
          <w:ilvl w:val="0"/>
          <w:numId w:val="12"/>
        </w:numPr>
        <w:spacing w:after="60"/>
        <w:ind w:left="714" w:hanging="357"/>
      </w:pPr>
      <w:r w:rsidRPr="00044A81">
        <w:t>Zakon o regulaciji energetskih djelatnosti (</w:t>
      </w:r>
      <w:r w:rsidR="007A4FA7">
        <w:t>„</w:t>
      </w:r>
      <w:r w:rsidRPr="00044A81">
        <w:t>Narodne novine</w:t>
      </w:r>
      <w:r w:rsidR="007A4FA7">
        <w:t>“</w:t>
      </w:r>
      <w:r w:rsidRPr="00044A81">
        <w:t xml:space="preserve">, br. </w:t>
      </w:r>
      <w:r w:rsidRPr="007543F3">
        <w:t xml:space="preserve">120/12, 68/18), </w:t>
      </w:r>
    </w:p>
    <w:p w14:paraId="6C5C496D" w14:textId="5CAE79CE" w:rsidR="00773436" w:rsidRDefault="00773436" w:rsidP="0036351F">
      <w:pPr>
        <w:pStyle w:val="ListParagraph"/>
        <w:numPr>
          <w:ilvl w:val="0"/>
          <w:numId w:val="12"/>
        </w:numPr>
        <w:spacing w:after="60"/>
        <w:ind w:left="714" w:hanging="357"/>
      </w:pPr>
      <w:r w:rsidRPr="007543F3">
        <w:t>Zakon o kibernetičkoj sigurnosti (</w:t>
      </w:r>
      <w:r w:rsidR="007A4FA7">
        <w:t>„</w:t>
      </w:r>
      <w:r w:rsidRPr="007543F3">
        <w:t>Narodne novine</w:t>
      </w:r>
      <w:r w:rsidR="007A4FA7">
        <w:t>“</w:t>
      </w:r>
      <w:r w:rsidRPr="007543F3">
        <w:t>, br. 14/24),</w:t>
      </w:r>
    </w:p>
    <w:p w14:paraId="6A16F316" w14:textId="7A139DFC" w:rsidR="00773436" w:rsidRPr="00B47BDA" w:rsidRDefault="00773436" w:rsidP="0036351F">
      <w:pPr>
        <w:pStyle w:val="ListParagraph"/>
        <w:numPr>
          <w:ilvl w:val="0"/>
          <w:numId w:val="12"/>
        </w:numPr>
        <w:spacing w:after="60"/>
        <w:ind w:left="714" w:hanging="357"/>
      </w:pPr>
      <w:r w:rsidRPr="007543F3">
        <w:t>Zakon o kritičnim infrastrukturama (</w:t>
      </w:r>
      <w:r w:rsidR="007A4FA7">
        <w:t>„</w:t>
      </w:r>
      <w:r w:rsidRPr="007543F3">
        <w:t>Narodne novine</w:t>
      </w:r>
      <w:r w:rsidR="007A4FA7">
        <w:t>“</w:t>
      </w:r>
      <w:r w:rsidRPr="007543F3">
        <w:t>, br. 56/13, 114/22)</w:t>
      </w:r>
      <w:r>
        <w:t>,</w:t>
      </w:r>
    </w:p>
    <w:p w14:paraId="034EAAB2" w14:textId="607AD9A8" w:rsidR="005D0CDF" w:rsidRPr="00B47BDA" w:rsidRDefault="005D0CDF" w:rsidP="0036351F">
      <w:pPr>
        <w:pStyle w:val="ListParagraph"/>
        <w:numPr>
          <w:ilvl w:val="0"/>
          <w:numId w:val="12"/>
        </w:numPr>
        <w:spacing w:after="60"/>
        <w:ind w:left="714" w:hanging="357"/>
      </w:pPr>
      <w:r w:rsidRPr="00B47BDA">
        <w:t>Zakon o regulaciji energetskih djelatnosti (</w:t>
      </w:r>
      <w:r w:rsidR="00971939">
        <w:t>„</w:t>
      </w:r>
      <w:r w:rsidR="00071A4F" w:rsidRPr="00071A4F">
        <w:t xml:space="preserve">Narodne </w:t>
      </w:r>
      <w:r w:rsidR="00A97AE7">
        <w:t>novine</w:t>
      </w:r>
      <w:r w:rsidR="00971939">
        <w:t>“</w:t>
      </w:r>
      <w:r w:rsidR="00071A4F" w:rsidRPr="00071A4F">
        <w:t>, br</w:t>
      </w:r>
      <w:r w:rsidR="00E1399C">
        <w:t>.</w:t>
      </w:r>
      <w:r w:rsidRPr="00B47BDA">
        <w:t xml:space="preserve"> 120</w:t>
      </w:r>
      <w:r w:rsidR="005B41DA">
        <w:t>/12</w:t>
      </w:r>
      <w:r w:rsidR="00971939">
        <w:t>.</w:t>
      </w:r>
      <w:r w:rsidRPr="00B47BDA">
        <w:t>, 68</w:t>
      </w:r>
      <w:r w:rsidR="005B41DA">
        <w:t>/18</w:t>
      </w:r>
      <w:r w:rsidR="00971939">
        <w:t>.</w:t>
      </w:r>
      <w:r w:rsidRPr="00B47BDA">
        <w:t>)</w:t>
      </w:r>
      <w:r w:rsidR="004775D2" w:rsidRPr="00B47BDA">
        <w:t>,</w:t>
      </w:r>
    </w:p>
    <w:p w14:paraId="3FB98127" w14:textId="173FAB8C" w:rsidR="00E64D2B" w:rsidRPr="00B47BDA" w:rsidRDefault="00E64D2B" w:rsidP="0036351F">
      <w:pPr>
        <w:pStyle w:val="ListParagraph"/>
        <w:numPr>
          <w:ilvl w:val="0"/>
          <w:numId w:val="12"/>
        </w:numPr>
        <w:spacing w:after="60"/>
        <w:ind w:left="714" w:hanging="357"/>
      </w:pPr>
      <w:r w:rsidRPr="00B47BDA">
        <w:t>Zakon o istraživanju i eksploataciji ugljikovodika (</w:t>
      </w:r>
      <w:r w:rsidR="00971939">
        <w:t>„</w:t>
      </w:r>
      <w:r w:rsidR="00071A4F" w:rsidRPr="00071A4F">
        <w:t xml:space="preserve">Narodne </w:t>
      </w:r>
      <w:r w:rsidR="00A97AE7">
        <w:t>novine</w:t>
      </w:r>
      <w:r w:rsidR="00971939">
        <w:t>“</w:t>
      </w:r>
      <w:r w:rsidR="00071A4F" w:rsidRPr="00071A4F">
        <w:t>, br</w:t>
      </w:r>
      <w:r w:rsidR="00E1399C">
        <w:t>.</w:t>
      </w:r>
      <w:r w:rsidRPr="00B47BDA">
        <w:t xml:space="preserve"> 52</w:t>
      </w:r>
      <w:r w:rsidR="005B41DA">
        <w:t>/18</w:t>
      </w:r>
      <w:r w:rsidR="00971939">
        <w:t>.</w:t>
      </w:r>
      <w:r w:rsidRPr="00B47BDA">
        <w:t>, 52</w:t>
      </w:r>
      <w:r w:rsidR="005B41DA">
        <w:t>/19</w:t>
      </w:r>
      <w:r w:rsidR="00971939">
        <w:t>.</w:t>
      </w:r>
      <w:r w:rsidR="00574C7D" w:rsidRPr="00B47BDA">
        <w:t>, 30</w:t>
      </w:r>
      <w:r w:rsidR="005B41DA">
        <w:t>/21</w:t>
      </w:r>
      <w:r w:rsidR="00971939">
        <w:t>.</w:t>
      </w:r>
      <w:r w:rsidRPr="00B47BDA">
        <w:t>).</w:t>
      </w:r>
    </w:p>
    <w:p w14:paraId="18E2E988" w14:textId="74F54691" w:rsidR="007E6002" w:rsidRPr="00B47BDA" w:rsidRDefault="007E6002" w:rsidP="00557530">
      <w:r w:rsidRPr="00B47BDA">
        <w:t xml:space="preserve">Najvažnije mjere koje se trenutno provode u cilju osiguranja energetske sigurnosti prikazuje </w:t>
      </w:r>
      <w:r w:rsidR="00E1399C">
        <w:t>T</w:t>
      </w:r>
      <w:r w:rsidR="00F65DB2">
        <w:t xml:space="preserve">ablica </w:t>
      </w:r>
      <w:r w:rsidR="00322616" w:rsidRPr="00B47BDA">
        <w:fldChar w:fldCharType="begin"/>
      </w:r>
      <w:r w:rsidR="00322616" w:rsidRPr="00B47BDA">
        <w:instrText xml:space="preserve"> REF _Ref532197409 \h </w:instrText>
      </w:r>
      <w:r w:rsidR="00FE6ED9" w:rsidRPr="00B47BDA">
        <w:instrText xml:space="preserve"> \* MERGEFORMAT </w:instrText>
      </w:r>
      <w:r w:rsidR="00322616" w:rsidRPr="00B47BDA">
        <w:fldChar w:fldCharType="separate"/>
      </w:r>
      <w:r w:rsidR="00AD324D">
        <w:t>1</w:t>
      </w:r>
      <w:r w:rsidR="00AD324D" w:rsidRPr="00B47BDA">
        <w:noBreakHyphen/>
      </w:r>
      <w:r w:rsidR="00AD324D">
        <w:t>10</w:t>
      </w:r>
      <w:r w:rsidR="00AD324D" w:rsidRPr="00B47BDA">
        <w:t>.</w:t>
      </w:r>
      <w:r w:rsidR="00322616" w:rsidRPr="00B47BDA">
        <w:fldChar w:fldCharType="end"/>
      </w:r>
    </w:p>
    <w:p w14:paraId="5425D7B4" w14:textId="60D938FE" w:rsidR="007E6002" w:rsidRPr="00B47BDA" w:rsidRDefault="007E6002" w:rsidP="004623DD">
      <w:pPr>
        <w:pStyle w:val="Caption"/>
      </w:pPr>
      <w:bookmarkStart w:id="111" w:name="_Toc193035938"/>
      <w:r w:rsidRPr="00B47BDA">
        <w:t xml:space="preserve">Tablica </w:t>
      </w:r>
      <w:bookmarkStart w:id="112" w:name="_Ref532197409"/>
      <w:r w:rsidR="00F56C25">
        <w:fldChar w:fldCharType="begin"/>
      </w:r>
      <w:r w:rsidR="00F56C25">
        <w:instrText xml:space="preserve"> STYLEREF 1 \s </w:instrText>
      </w:r>
      <w:r w:rsidR="00F56C25">
        <w:fldChar w:fldCharType="separate"/>
      </w:r>
      <w:r w:rsidR="00AD324D">
        <w:rPr>
          <w:noProof/>
        </w:rPr>
        <w:t>1</w:t>
      </w:r>
      <w:r w:rsidR="00F56C25">
        <w:fldChar w:fldCharType="end"/>
      </w:r>
      <w:r w:rsidR="000C3EFD" w:rsidRPr="00B47BDA">
        <w:noBreakHyphen/>
      </w:r>
      <w:r>
        <w:fldChar w:fldCharType="begin"/>
      </w:r>
      <w:r>
        <w:instrText>SEQ Tablica \* ARABIC \s 1</w:instrText>
      </w:r>
      <w:r>
        <w:fldChar w:fldCharType="separate"/>
      </w:r>
      <w:r w:rsidR="00D5116D">
        <w:rPr>
          <w:noProof/>
        </w:rPr>
        <w:t>10</w:t>
      </w:r>
      <w:r>
        <w:fldChar w:fldCharType="end"/>
      </w:r>
      <w:r w:rsidR="00210967" w:rsidRPr="00B47BDA">
        <w:t>.</w:t>
      </w:r>
      <w:bookmarkEnd w:id="112"/>
      <w:r w:rsidR="00483D4C" w:rsidRPr="00B47BDA">
        <w:t xml:space="preserve"> </w:t>
      </w:r>
      <w:r w:rsidRPr="00B47BDA">
        <w:t>Postojeće mjere osiguranja energetske sigurnosti</w:t>
      </w:r>
      <w:bookmarkEnd w:id="111"/>
    </w:p>
    <w:tbl>
      <w:tblPr>
        <w:tblStyle w:val="NECP"/>
        <w:tblW w:w="5000" w:type="pct"/>
        <w:tblLook w:val="04A0" w:firstRow="1" w:lastRow="0" w:firstColumn="1" w:lastColumn="0" w:noHBand="0" w:noVBand="1"/>
      </w:tblPr>
      <w:tblGrid>
        <w:gridCol w:w="3140"/>
        <w:gridCol w:w="2771"/>
        <w:gridCol w:w="3139"/>
      </w:tblGrid>
      <w:tr w:rsidR="007E6002" w:rsidRPr="00B47BDA" w14:paraId="2C39D311" w14:textId="77777777" w:rsidTr="00ED7A5B">
        <w:trPr>
          <w:cnfStyle w:val="100000000000" w:firstRow="1" w:lastRow="0" w:firstColumn="0" w:lastColumn="0" w:oddVBand="0" w:evenVBand="0" w:oddHBand="0" w:evenHBand="0" w:firstRowFirstColumn="0" w:firstRowLastColumn="0" w:lastRowFirstColumn="0" w:lastRowLastColumn="0"/>
          <w:trHeight w:val="340"/>
        </w:trPr>
        <w:tc>
          <w:tcPr>
            <w:tcW w:w="1735" w:type="pct"/>
            <w:shd w:val="clear" w:color="auto" w:fill="D9E2F3" w:themeFill="accent5" w:themeFillTint="33"/>
          </w:tcPr>
          <w:p w14:paraId="4AD0F14D" w14:textId="77777777" w:rsidR="007E6002" w:rsidRPr="0036351F" w:rsidRDefault="007E6002" w:rsidP="00ED7A5B">
            <w:pPr>
              <w:spacing w:after="0"/>
              <w:jc w:val="center"/>
              <w:rPr>
                <w:sz w:val="22"/>
                <w:szCs w:val="22"/>
              </w:rPr>
            </w:pPr>
            <w:r w:rsidRPr="0036351F">
              <w:rPr>
                <w:sz w:val="22"/>
                <w:szCs w:val="22"/>
              </w:rPr>
              <w:t>Naziv mjere</w:t>
            </w:r>
          </w:p>
        </w:tc>
        <w:tc>
          <w:tcPr>
            <w:tcW w:w="1531" w:type="pct"/>
            <w:shd w:val="clear" w:color="auto" w:fill="D9E2F3" w:themeFill="accent5" w:themeFillTint="33"/>
          </w:tcPr>
          <w:p w14:paraId="4CC5F9CD" w14:textId="77777777" w:rsidR="007E6002" w:rsidRPr="0036351F" w:rsidRDefault="007E6002" w:rsidP="00ED7A5B">
            <w:pPr>
              <w:spacing w:after="0"/>
              <w:jc w:val="center"/>
              <w:rPr>
                <w:sz w:val="22"/>
                <w:szCs w:val="22"/>
              </w:rPr>
            </w:pPr>
            <w:r w:rsidRPr="0036351F">
              <w:rPr>
                <w:sz w:val="22"/>
                <w:szCs w:val="22"/>
              </w:rPr>
              <w:t>Dokumenti</w:t>
            </w:r>
          </w:p>
        </w:tc>
        <w:tc>
          <w:tcPr>
            <w:tcW w:w="1734" w:type="pct"/>
            <w:shd w:val="clear" w:color="auto" w:fill="D9E2F3" w:themeFill="accent5" w:themeFillTint="33"/>
          </w:tcPr>
          <w:p w14:paraId="620D1DB7" w14:textId="77777777" w:rsidR="007E6002" w:rsidRPr="0036351F" w:rsidRDefault="007E6002" w:rsidP="00ED7A5B">
            <w:pPr>
              <w:spacing w:after="0"/>
              <w:jc w:val="center"/>
              <w:rPr>
                <w:sz w:val="22"/>
                <w:szCs w:val="22"/>
              </w:rPr>
            </w:pPr>
            <w:r w:rsidRPr="0036351F">
              <w:rPr>
                <w:sz w:val="22"/>
                <w:szCs w:val="22"/>
              </w:rPr>
              <w:t>Kratki opis</w:t>
            </w:r>
          </w:p>
        </w:tc>
      </w:tr>
      <w:tr w:rsidR="00D03C67" w:rsidRPr="00B47BDA" w14:paraId="76386C13" w14:textId="77777777" w:rsidTr="005217C8">
        <w:tc>
          <w:tcPr>
            <w:tcW w:w="1735" w:type="pct"/>
          </w:tcPr>
          <w:p w14:paraId="65F2B25D" w14:textId="2F4FFFD8" w:rsidR="00D03C67" w:rsidRPr="006E534A" w:rsidRDefault="00B9192C" w:rsidP="005217C8">
            <w:pPr>
              <w:pStyle w:val="Default"/>
              <w:jc w:val="both"/>
              <w:rPr>
                <w:rFonts w:cstheme="minorHAnsi"/>
                <w:b/>
                <w:sz w:val="20"/>
                <w:szCs w:val="20"/>
              </w:rPr>
            </w:pPr>
            <w:r w:rsidRPr="006E534A">
              <w:rPr>
                <w:rFonts w:cstheme="minorHAnsi"/>
                <w:sz w:val="20"/>
                <w:szCs w:val="20"/>
              </w:rPr>
              <w:t>Izrada i o</w:t>
            </w:r>
            <w:r w:rsidR="00D03C67" w:rsidRPr="006E534A">
              <w:rPr>
                <w:rFonts w:cstheme="minorHAnsi"/>
                <w:sz w:val="20"/>
                <w:szCs w:val="20"/>
              </w:rPr>
              <w:t>bjava izvješća o stanju sigurnosti opskrbe električnom energijom</w:t>
            </w:r>
          </w:p>
        </w:tc>
        <w:tc>
          <w:tcPr>
            <w:tcW w:w="1531" w:type="pct"/>
          </w:tcPr>
          <w:p w14:paraId="2BEECAE2" w14:textId="72E88E90" w:rsidR="00D03C67" w:rsidRPr="006E534A" w:rsidRDefault="00D03C67" w:rsidP="0B4FAE79">
            <w:pPr>
              <w:pStyle w:val="Default"/>
              <w:jc w:val="both"/>
              <w:rPr>
                <w:rFonts w:cstheme="minorBidi"/>
                <w:sz w:val="20"/>
                <w:szCs w:val="20"/>
              </w:rPr>
            </w:pPr>
            <w:r w:rsidRPr="0B4FAE79">
              <w:rPr>
                <w:rFonts w:cstheme="minorBidi"/>
                <w:sz w:val="20"/>
                <w:szCs w:val="20"/>
              </w:rPr>
              <w:t>Zakon o tržištu električne energije (</w:t>
            </w:r>
            <w:r w:rsidR="00D1177D">
              <w:rPr>
                <w:rFonts w:cstheme="minorBidi"/>
                <w:sz w:val="20"/>
                <w:szCs w:val="20"/>
              </w:rPr>
              <w:t>„</w:t>
            </w:r>
            <w:r w:rsidR="00071A4F" w:rsidRPr="00071A4F">
              <w:rPr>
                <w:rFonts w:cstheme="minorBidi"/>
                <w:sz w:val="20"/>
                <w:szCs w:val="20"/>
              </w:rPr>
              <w:t xml:space="preserve">Narodne </w:t>
            </w:r>
            <w:r w:rsidR="00A97AE7">
              <w:rPr>
                <w:rFonts w:cstheme="minorBidi"/>
                <w:sz w:val="20"/>
                <w:szCs w:val="20"/>
              </w:rPr>
              <w:t>novine</w:t>
            </w:r>
            <w:r w:rsidR="00D1177D">
              <w:rPr>
                <w:rFonts w:cstheme="minorBidi"/>
                <w:sz w:val="20"/>
                <w:szCs w:val="20"/>
              </w:rPr>
              <w:t>“</w:t>
            </w:r>
            <w:r w:rsidR="00071A4F" w:rsidRPr="00071A4F">
              <w:rPr>
                <w:rFonts w:cstheme="minorBidi"/>
                <w:sz w:val="20"/>
                <w:szCs w:val="20"/>
              </w:rPr>
              <w:t>, br</w:t>
            </w:r>
            <w:r w:rsidR="00035B83">
              <w:rPr>
                <w:rFonts w:cstheme="minorBidi"/>
                <w:sz w:val="20"/>
                <w:szCs w:val="20"/>
              </w:rPr>
              <w:t>.</w:t>
            </w:r>
            <w:r w:rsidRPr="0B4FAE79">
              <w:rPr>
                <w:rFonts w:cstheme="minorBidi"/>
                <w:sz w:val="20"/>
                <w:szCs w:val="20"/>
              </w:rPr>
              <w:t xml:space="preserve"> </w:t>
            </w:r>
            <w:r w:rsidR="00F85D2A" w:rsidRPr="0B4FAE79">
              <w:rPr>
                <w:rFonts w:cstheme="minorBidi"/>
                <w:sz w:val="20"/>
                <w:szCs w:val="20"/>
              </w:rPr>
              <w:t>111</w:t>
            </w:r>
            <w:r w:rsidR="005B41DA">
              <w:rPr>
                <w:rFonts w:cstheme="minorBidi"/>
                <w:sz w:val="20"/>
                <w:szCs w:val="20"/>
              </w:rPr>
              <w:t>/21</w:t>
            </w:r>
            <w:r w:rsidR="00D1177D">
              <w:rPr>
                <w:rFonts w:cstheme="minorBidi"/>
                <w:sz w:val="20"/>
                <w:szCs w:val="20"/>
              </w:rPr>
              <w:t>.</w:t>
            </w:r>
            <w:r w:rsidR="00035B83">
              <w:rPr>
                <w:rFonts w:cstheme="minorBidi"/>
                <w:sz w:val="20"/>
                <w:szCs w:val="20"/>
              </w:rPr>
              <w:t>, 83/23</w:t>
            </w:r>
            <w:r w:rsidR="00D1177D">
              <w:rPr>
                <w:rFonts w:cstheme="minorBidi"/>
                <w:sz w:val="20"/>
                <w:szCs w:val="20"/>
              </w:rPr>
              <w:t>.</w:t>
            </w:r>
            <w:r w:rsidRPr="0B4FAE79">
              <w:rPr>
                <w:rFonts w:cstheme="minorBidi"/>
                <w:sz w:val="20"/>
                <w:szCs w:val="20"/>
              </w:rPr>
              <w:t>)</w:t>
            </w:r>
          </w:p>
          <w:p w14:paraId="056E900A" w14:textId="68F56012" w:rsidR="00D03C67" w:rsidRPr="006E534A" w:rsidRDefault="00D03C67" w:rsidP="0B4FAE79">
            <w:pPr>
              <w:pStyle w:val="Default"/>
              <w:jc w:val="both"/>
              <w:rPr>
                <w:rFonts w:cstheme="minorBidi"/>
                <w:sz w:val="20"/>
                <w:szCs w:val="20"/>
              </w:rPr>
            </w:pPr>
          </w:p>
          <w:p w14:paraId="2AB1957E" w14:textId="779B3BC3" w:rsidR="00D03C67" w:rsidRPr="006E534A" w:rsidRDefault="7F967CF0" w:rsidP="005217C8">
            <w:pPr>
              <w:pStyle w:val="Default"/>
              <w:jc w:val="both"/>
              <w:rPr>
                <w:rFonts w:cstheme="minorBidi"/>
                <w:sz w:val="20"/>
                <w:szCs w:val="20"/>
              </w:rPr>
            </w:pPr>
            <w:r w:rsidRPr="0B4FAE79">
              <w:rPr>
                <w:rFonts w:cstheme="minorBidi"/>
                <w:sz w:val="20"/>
                <w:szCs w:val="20"/>
              </w:rPr>
              <w:t xml:space="preserve">Strategija prilagodbe klimatskim promjenama u Republici Hrvatskoj za razdoblje do 2040. godine s pogledom na 2070. godinu </w:t>
            </w:r>
            <w:r w:rsidR="00EB08F1">
              <w:rPr>
                <w:rFonts w:cstheme="minorBidi"/>
                <w:sz w:val="20"/>
                <w:szCs w:val="20"/>
              </w:rPr>
              <w:t xml:space="preserve">(„Narodne novine“, br. </w:t>
            </w:r>
            <w:r w:rsidRPr="0B4FAE79">
              <w:rPr>
                <w:rFonts w:cstheme="minorBidi"/>
                <w:sz w:val="20"/>
                <w:szCs w:val="20"/>
              </w:rPr>
              <w:t>46/20</w:t>
            </w:r>
            <w:r w:rsidR="00D1177D">
              <w:rPr>
                <w:rFonts w:cstheme="minorBidi"/>
                <w:sz w:val="20"/>
                <w:szCs w:val="20"/>
              </w:rPr>
              <w:t>.</w:t>
            </w:r>
            <w:r w:rsidRPr="0B4FAE79">
              <w:rPr>
                <w:rFonts w:cstheme="minorBidi"/>
                <w:sz w:val="20"/>
                <w:szCs w:val="20"/>
              </w:rPr>
              <w:t xml:space="preserve">)     </w:t>
            </w:r>
          </w:p>
        </w:tc>
        <w:tc>
          <w:tcPr>
            <w:tcW w:w="1734" w:type="pct"/>
          </w:tcPr>
          <w:p w14:paraId="649DAF68" w14:textId="135FE772" w:rsidR="00D03C67" w:rsidRPr="006E534A" w:rsidRDefault="00272581" w:rsidP="55103C4F">
            <w:pPr>
              <w:pStyle w:val="Default"/>
              <w:jc w:val="both"/>
              <w:rPr>
                <w:rFonts w:cstheme="minorBidi"/>
                <w:sz w:val="20"/>
                <w:szCs w:val="20"/>
              </w:rPr>
            </w:pPr>
            <w:r w:rsidRPr="0B4FAE79">
              <w:rPr>
                <w:rFonts w:cstheme="minorBidi"/>
                <w:sz w:val="20"/>
                <w:szCs w:val="20"/>
              </w:rPr>
              <w:t xml:space="preserve">Operator prijenosnog sustava </w:t>
            </w:r>
            <w:r w:rsidR="0072765A" w:rsidRPr="0B4FAE79">
              <w:rPr>
                <w:rFonts w:cstheme="minorBidi"/>
                <w:sz w:val="20"/>
                <w:szCs w:val="20"/>
              </w:rPr>
              <w:t xml:space="preserve">i Operator distribucijskog sustava </w:t>
            </w:r>
            <w:r w:rsidRPr="0B4FAE79">
              <w:rPr>
                <w:rFonts w:cstheme="minorBidi"/>
                <w:sz w:val="20"/>
                <w:szCs w:val="20"/>
              </w:rPr>
              <w:t>obvez</w:t>
            </w:r>
            <w:r w:rsidR="0072765A" w:rsidRPr="0B4FAE79">
              <w:rPr>
                <w:rFonts w:cstheme="minorBidi"/>
                <w:sz w:val="20"/>
                <w:szCs w:val="20"/>
              </w:rPr>
              <w:t>ni</w:t>
            </w:r>
            <w:r w:rsidRPr="0B4FAE79">
              <w:rPr>
                <w:rFonts w:cstheme="minorBidi"/>
                <w:sz w:val="20"/>
                <w:szCs w:val="20"/>
              </w:rPr>
              <w:t xml:space="preserve"> </w:t>
            </w:r>
            <w:r w:rsidR="0072765A" w:rsidRPr="0B4FAE79">
              <w:rPr>
                <w:rFonts w:cstheme="minorBidi"/>
                <w:sz w:val="20"/>
                <w:szCs w:val="20"/>
              </w:rPr>
              <w:t>su</w:t>
            </w:r>
            <w:r w:rsidRPr="0B4FAE79">
              <w:rPr>
                <w:rFonts w:cstheme="minorBidi"/>
                <w:sz w:val="20"/>
                <w:szCs w:val="20"/>
              </w:rPr>
              <w:t>, najkasnije do 3</w:t>
            </w:r>
            <w:r w:rsidR="004473C2" w:rsidRPr="0B4FAE79">
              <w:rPr>
                <w:rFonts w:cstheme="minorBidi"/>
                <w:sz w:val="20"/>
                <w:szCs w:val="20"/>
              </w:rPr>
              <w:t>1</w:t>
            </w:r>
            <w:r w:rsidRPr="0B4FAE79">
              <w:rPr>
                <w:rFonts w:cstheme="minorBidi"/>
                <w:sz w:val="20"/>
                <w:szCs w:val="20"/>
              </w:rPr>
              <w:t xml:space="preserve">. </w:t>
            </w:r>
            <w:r w:rsidR="004473C2" w:rsidRPr="0B4FAE79">
              <w:rPr>
                <w:rFonts w:cstheme="minorBidi"/>
                <w:sz w:val="20"/>
                <w:szCs w:val="20"/>
              </w:rPr>
              <w:t xml:space="preserve">ožujka </w:t>
            </w:r>
            <w:r w:rsidRPr="0B4FAE79">
              <w:rPr>
                <w:rFonts w:cstheme="minorBidi"/>
                <w:sz w:val="20"/>
                <w:szCs w:val="20"/>
              </w:rPr>
              <w:t xml:space="preserve">tekuće godine, </w:t>
            </w:r>
            <w:r w:rsidR="004473C2" w:rsidRPr="0B4FAE79">
              <w:rPr>
                <w:rFonts w:cstheme="minorBidi"/>
                <w:sz w:val="20"/>
                <w:szCs w:val="20"/>
              </w:rPr>
              <w:t xml:space="preserve">dostaviti </w:t>
            </w:r>
            <w:r w:rsidR="00FA6B82">
              <w:rPr>
                <w:rFonts w:cstheme="minorBidi"/>
                <w:sz w:val="20"/>
                <w:szCs w:val="20"/>
              </w:rPr>
              <w:t>Hrvatskoj energetskoj regulatornoj agenciji</w:t>
            </w:r>
            <w:r w:rsidR="00220FD7">
              <w:rPr>
                <w:rFonts w:cstheme="minorBidi"/>
                <w:sz w:val="20"/>
                <w:szCs w:val="20"/>
              </w:rPr>
              <w:t xml:space="preserve"> (HERA)</w:t>
            </w:r>
            <w:r w:rsidR="004473C2" w:rsidRPr="0B4FAE79">
              <w:rPr>
                <w:rFonts w:cstheme="minorBidi"/>
                <w:sz w:val="20"/>
                <w:szCs w:val="20"/>
              </w:rPr>
              <w:t xml:space="preserve"> na mišljenje</w:t>
            </w:r>
            <w:r w:rsidRPr="0B4FAE79">
              <w:rPr>
                <w:rFonts w:cstheme="minorBidi"/>
                <w:sz w:val="20"/>
                <w:szCs w:val="20"/>
              </w:rPr>
              <w:t xml:space="preserve"> </w:t>
            </w:r>
            <w:r w:rsidR="004473C2" w:rsidRPr="0B4FAE79">
              <w:rPr>
                <w:rFonts w:cstheme="minorBidi"/>
                <w:sz w:val="20"/>
                <w:szCs w:val="20"/>
              </w:rPr>
              <w:t xml:space="preserve">godišnje </w:t>
            </w:r>
            <w:r w:rsidRPr="0B4FAE79">
              <w:rPr>
                <w:rFonts w:cstheme="minorBidi"/>
                <w:sz w:val="20"/>
                <w:szCs w:val="20"/>
              </w:rPr>
              <w:t>izvješće o sigurnosti opskrbe u prijenosnom sustavu</w:t>
            </w:r>
            <w:r w:rsidR="0072765A" w:rsidRPr="0B4FAE79">
              <w:rPr>
                <w:rFonts w:cstheme="minorBidi"/>
                <w:sz w:val="20"/>
                <w:szCs w:val="20"/>
              </w:rPr>
              <w:t xml:space="preserve"> odnosno u distribucijskom sustavu</w:t>
            </w:r>
            <w:r w:rsidR="00A77614" w:rsidRPr="0B4FAE79">
              <w:rPr>
                <w:rFonts w:cstheme="minorBidi"/>
                <w:sz w:val="20"/>
                <w:szCs w:val="20"/>
              </w:rPr>
              <w:t xml:space="preserve">, za </w:t>
            </w:r>
            <w:r w:rsidRPr="0B4FAE79">
              <w:rPr>
                <w:rFonts w:cstheme="minorBidi"/>
                <w:sz w:val="20"/>
                <w:szCs w:val="20"/>
              </w:rPr>
              <w:t xml:space="preserve">prethodnu </w:t>
            </w:r>
            <w:r w:rsidR="00EA21B8" w:rsidRPr="0B4FAE79">
              <w:rPr>
                <w:rFonts w:cstheme="minorBidi"/>
                <w:sz w:val="20"/>
                <w:szCs w:val="20"/>
              </w:rPr>
              <w:t>kalendarsku</w:t>
            </w:r>
            <w:r w:rsidRPr="0B4FAE79">
              <w:rPr>
                <w:rFonts w:cstheme="minorBidi"/>
                <w:sz w:val="20"/>
                <w:szCs w:val="20"/>
              </w:rPr>
              <w:t xml:space="preserve"> godinu</w:t>
            </w:r>
            <w:r w:rsidR="00A77614" w:rsidRPr="0B4FAE79">
              <w:rPr>
                <w:rFonts w:cstheme="minorBidi"/>
                <w:sz w:val="20"/>
                <w:szCs w:val="20"/>
              </w:rPr>
              <w:t>. Na</w:t>
            </w:r>
            <w:r w:rsidRPr="0B4FAE79">
              <w:rPr>
                <w:rFonts w:cstheme="minorBidi"/>
                <w:sz w:val="20"/>
                <w:szCs w:val="20"/>
              </w:rPr>
              <w:t xml:space="preserve"> temelju </w:t>
            </w:r>
            <w:r w:rsidR="00A77614" w:rsidRPr="0B4FAE79">
              <w:rPr>
                <w:rFonts w:cstheme="minorBidi"/>
                <w:sz w:val="20"/>
                <w:szCs w:val="20"/>
              </w:rPr>
              <w:t xml:space="preserve">tih izvješća </w:t>
            </w:r>
            <w:r w:rsidRPr="0B4FAE79">
              <w:rPr>
                <w:rFonts w:cstheme="minorBidi"/>
                <w:sz w:val="20"/>
                <w:szCs w:val="20"/>
              </w:rPr>
              <w:t>Ministarstvo izrađuje vlastito godišnje izvješće o stanju sigurnosti opskrbe električnom energijom i očekivanim potrebama za električnom energijom u Republici Hrvatskoj</w:t>
            </w:r>
            <w:r w:rsidR="00EA21B8" w:rsidRPr="0B4FAE79">
              <w:rPr>
                <w:rFonts w:cstheme="minorBidi"/>
                <w:sz w:val="20"/>
                <w:szCs w:val="20"/>
              </w:rPr>
              <w:t xml:space="preserve"> za buduće desetogodišnje razdoblje</w:t>
            </w:r>
            <w:r w:rsidRPr="0B4FAE79">
              <w:rPr>
                <w:rFonts w:cstheme="minorBidi"/>
                <w:sz w:val="20"/>
                <w:szCs w:val="20"/>
              </w:rPr>
              <w:t xml:space="preserve">. </w:t>
            </w:r>
            <w:r w:rsidR="00220FD7">
              <w:rPr>
                <w:rFonts w:cstheme="minorBidi"/>
                <w:sz w:val="20"/>
                <w:szCs w:val="20"/>
              </w:rPr>
              <w:t>HERA</w:t>
            </w:r>
            <w:r w:rsidRPr="0B4FAE79">
              <w:rPr>
                <w:rFonts w:cstheme="minorBidi"/>
                <w:sz w:val="20"/>
                <w:szCs w:val="20"/>
              </w:rPr>
              <w:t>, u suradnji s Ministarstvom, na temelju tih izvješća može zahtijevati od operatora prijenosnog sustava</w:t>
            </w:r>
            <w:r w:rsidR="00A77614" w:rsidRPr="0B4FAE79">
              <w:rPr>
                <w:rFonts w:cstheme="minorBidi"/>
                <w:sz w:val="20"/>
                <w:szCs w:val="20"/>
              </w:rPr>
              <w:t>, operatora distribucijskog sustava</w:t>
            </w:r>
            <w:r w:rsidRPr="0B4FAE79">
              <w:rPr>
                <w:rFonts w:cstheme="minorBidi"/>
                <w:sz w:val="20"/>
                <w:szCs w:val="20"/>
              </w:rPr>
              <w:t xml:space="preserve"> i ostalih elektroenergetskih subjekata provedbu određenih mjera u slučaju potrebe radi poboljšanja sigurnosti opskrbe električnom energijom.</w:t>
            </w:r>
            <w:r w:rsidR="3656E1F9" w:rsidRPr="0B4FAE79">
              <w:rPr>
                <w:rFonts w:cstheme="minorBidi"/>
                <w:sz w:val="20"/>
                <w:szCs w:val="20"/>
              </w:rPr>
              <w:t xml:space="preserve"> Navedeno se odnosi i na cijeli segment prilagodbe energetskog </w:t>
            </w:r>
            <w:r w:rsidR="3656E1F9" w:rsidRPr="0B4FAE79">
              <w:rPr>
                <w:rFonts w:cstheme="minorBidi"/>
                <w:sz w:val="20"/>
                <w:szCs w:val="20"/>
              </w:rPr>
              <w:lastRenderedPageBreak/>
              <w:t>sustava na klimatske promjene sukladno SPKP.</w:t>
            </w:r>
          </w:p>
          <w:p w14:paraId="79C0D857" w14:textId="6CFDD8D9" w:rsidR="00D03C67" w:rsidRPr="006E534A" w:rsidRDefault="46BE2B31" w:rsidP="005217C8">
            <w:pPr>
              <w:pStyle w:val="Default"/>
              <w:jc w:val="both"/>
              <w:rPr>
                <w:rFonts w:cstheme="minorBidi"/>
                <w:sz w:val="20"/>
                <w:szCs w:val="20"/>
              </w:rPr>
            </w:pPr>
            <w:r w:rsidRPr="55103C4F">
              <w:rPr>
                <w:rFonts w:cstheme="minorBidi"/>
                <w:sz w:val="20"/>
                <w:szCs w:val="20"/>
              </w:rPr>
              <w:t>Prema Strategiji prilagodbe potrebno je provesti u cijelosti mjere E-01, E-02, E-03, E-04, E-05, E-06 i E-07  kako bi se adresirala prilagodba klimatskim promjenama u cijelome sektoru energetike i ukazala ranji</w:t>
            </w:r>
            <w:r w:rsidR="43CD0160" w:rsidRPr="55103C4F">
              <w:rPr>
                <w:rFonts w:cstheme="minorBidi"/>
                <w:sz w:val="20"/>
                <w:szCs w:val="20"/>
              </w:rPr>
              <w:t>vost na klimatske promjene kao i predložile mjere prilagodbe klimatskim promjenama.</w:t>
            </w:r>
            <w:r w:rsidRPr="55103C4F">
              <w:rPr>
                <w:rFonts w:cstheme="minorBidi"/>
                <w:sz w:val="20"/>
                <w:szCs w:val="20"/>
              </w:rPr>
              <w:t xml:space="preserve"> Negativan utjecaj klimatskih promjena na sektor </w:t>
            </w:r>
            <w:r w:rsidR="2F686E9F" w:rsidRPr="55103C4F">
              <w:rPr>
                <w:rFonts w:cstheme="minorBidi"/>
                <w:sz w:val="20"/>
                <w:szCs w:val="20"/>
              </w:rPr>
              <w:t>energetike</w:t>
            </w:r>
            <w:r w:rsidRPr="55103C4F">
              <w:rPr>
                <w:rFonts w:cstheme="minorBidi"/>
                <w:sz w:val="20"/>
                <w:szCs w:val="20"/>
              </w:rPr>
              <w:t xml:space="preserve"> je značajan</w:t>
            </w:r>
            <w:r w:rsidR="340D96B4" w:rsidRPr="55103C4F">
              <w:rPr>
                <w:rFonts w:cstheme="minorBidi"/>
                <w:sz w:val="20"/>
                <w:szCs w:val="20"/>
              </w:rPr>
              <w:t xml:space="preserve"> i neprestano raste. Izvješća trebaju sadržavati rezultate  provedbe tih mjera i aktivnosti.</w:t>
            </w:r>
          </w:p>
        </w:tc>
      </w:tr>
      <w:tr w:rsidR="006E380C" w:rsidRPr="00B47BDA" w14:paraId="04E4EB9D" w14:textId="77777777" w:rsidTr="005217C8">
        <w:tc>
          <w:tcPr>
            <w:tcW w:w="1735" w:type="pct"/>
          </w:tcPr>
          <w:p w14:paraId="462A3AB8" w14:textId="509B3C29" w:rsidR="006E380C" w:rsidRPr="006E534A" w:rsidRDefault="006E380C" w:rsidP="005217C8">
            <w:pPr>
              <w:pStyle w:val="Default"/>
              <w:jc w:val="both"/>
              <w:rPr>
                <w:rFonts w:cstheme="minorHAnsi"/>
                <w:sz w:val="20"/>
                <w:szCs w:val="20"/>
              </w:rPr>
            </w:pPr>
            <w:r w:rsidRPr="006E534A">
              <w:rPr>
                <w:rFonts w:cstheme="minorHAnsi"/>
                <w:sz w:val="20"/>
                <w:szCs w:val="20"/>
              </w:rPr>
              <w:lastRenderedPageBreak/>
              <w:t>Propisivanje tehničkih propisa, zahtjeva i uvjeta za sigurnost i korištenje energije</w:t>
            </w:r>
            <w:r w:rsidR="00FC7C45" w:rsidRPr="006E534A">
              <w:rPr>
                <w:rFonts w:cstheme="minorHAnsi"/>
                <w:sz w:val="20"/>
                <w:szCs w:val="20"/>
              </w:rPr>
              <w:t xml:space="preserve"> </w:t>
            </w:r>
          </w:p>
        </w:tc>
        <w:tc>
          <w:tcPr>
            <w:tcW w:w="1531" w:type="pct"/>
          </w:tcPr>
          <w:p w14:paraId="776FE4BD" w14:textId="72C8E479" w:rsidR="006E380C" w:rsidRPr="006E534A" w:rsidRDefault="00FC7C45" w:rsidP="0B4FAE79">
            <w:pPr>
              <w:pStyle w:val="Default"/>
              <w:jc w:val="both"/>
              <w:rPr>
                <w:rFonts w:cstheme="minorBidi"/>
                <w:sz w:val="20"/>
                <w:szCs w:val="20"/>
              </w:rPr>
            </w:pPr>
            <w:r w:rsidRPr="0B4FAE79">
              <w:rPr>
                <w:rFonts w:cstheme="minorBidi"/>
                <w:sz w:val="20"/>
                <w:szCs w:val="20"/>
              </w:rPr>
              <w:t>Zakon o tržištu električne energije (</w:t>
            </w:r>
            <w:r w:rsidR="009512F6">
              <w:rPr>
                <w:rFonts w:cstheme="minorBidi"/>
                <w:sz w:val="20"/>
                <w:szCs w:val="20"/>
              </w:rPr>
              <w:t>„</w:t>
            </w:r>
            <w:r w:rsidR="00071A4F" w:rsidRPr="00071A4F">
              <w:rPr>
                <w:rFonts w:cstheme="minorBidi"/>
                <w:sz w:val="20"/>
                <w:szCs w:val="20"/>
              </w:rPr>
              <w:t xml:space="preserve">Narodne </w:t>
            </w:r>
            <w:r w:rsidR="00A97AE7">
              <w:rPr>
                <w:rFonts w:cstheme="minorBidi"/>
                <w:sz w:val="20"/>
                <w:szCs w:val="20"/>
              </w:rPr>
              <w:t>novine</w:t>
            </w:r>
            <w:r w:rsidR="009512F6">
              <w:rPr>
                <w:rFonts w:cstheme="minorBidi"/>
                <w:sz w:val="20"/>
                <w:szCs w:val="20"/>
              </w:rPr>
              <w:t>“</w:t>
            </w:r>
            <w:r w:rsidR="00071A4F" w:rsidRPr="00071A4F">
              <w:rPr>
                <w:rFonts w:cstheme="minorBidi"/>
                <w:sz w:val="20"/>
                <w:szCs w:val="20"/>
              </w:rPr>
              <w:t xml:space="preserve">, </w:t>
            </w:r>
            <w:r w:rsidR="00004BB0">
              <w:rPr>
                <w:rFonts w:cstheme="minorBidi"/>
                <w:sz w:val="20"/>
                <w:szCs w:val="20"/>
              </w:rPr>
              <w:t>br</w:t>
            </w:r>
            <w:r w:rsidR="00FE042D">
              <w:rPr>
                <w:rFonts w:cstheme="minorBidi"/>
                <w:sz w:val="20"/>
                <w:szCs w:val="20"/>
              </w:rPr>
              <w:t>.</w:t>
            </w:r>
            <w:r w:rsidRPr="0B4FAE79">
              <w:rPr>
                <w:rFonts w:cstheme="minorBidi"/>
                <w:sz w:val="20"/>
                <w:szCs w:val="20"/>
              </w:rPr>
              <w:t xml:space="preserve"> 111</w:t>
            </w:r>
            <w:r w:rsidR="005B41DA">
              <w:rPr>
                <w:rFonts w:cstheme="minorBidi"/>
                <w:sz w:val="20"/>
                <w:szCs w:val="20"/>
              </w:rPr>
              <w:t>/21</w:t>
            </w:r>
            <w:r w:rsidR="009512F6">
              <w:rPr>
                <w:rFonts w:cstheme="minorBidi"/>
                <w:sz w:val="20"/>
                <w:szCs w:val="20"/>
              </w:rPr>
              <w:t>.</w:t>
            </w:r>
            <w:r w:rsidR="00FE042D">
              <w:rPr>
                <w:rFonts w:cstheme="minorBidi"/>
                <w:sz w:val="20"/>
                <w:szCs w:val="20"/>
              </w:rPr>
              <w:t>, 83/23</w:t>
            </w:r>
            <w:r w:rsidR="009512F6">
              <w:rPr>
                <w:rFonts w:cstheme="minorBidi"/>
                <w:sz w:val="20"/>
                <w:szCs w:val="20"/>
              </w:rPr>
              <w:t>.</w:t>
            </w:r>
            <w:r w:rsidRPr="0B4FAE79">
              <w:rPr>
                <w:rFonts w:cstheme="minorBidi"/>
                <w:sz w:val="20"/>
                <w:szCs w:val="20"/>
              </w:rPr>
              <w:t>)</w:t>
            </w:r>
          </w:p>
          <w:p w14:paraId="468533E4" w14:textId="1F19A5CB" w:rsidR="006E380C" w:rsidRPr="006E534A" w:rsidRDefault="006E380C" w:rsidP="0B4FAE79">
            <w:pPr>
              <w:pStyle w:val="Default"/>
              <w:jc w:val="both"/>
              <w:rPr>
                <w:rFonts w:cstheme="minorBidi"/>
                <w:sz w:val="20"/>
                <w:szCs w:val="20"/>
              </w:rPr>
            </w:pPr>
          </w:p>
          <w:p w14:paraId="5D1B880C" w14:textId="2185C8BF" w:rsidR="006E380C" w:rsidRPr="006E534A" w:rsidRDefault="417DA66D" w:rsidP="005217C8">
            <w:pPr>
              <w:pStyle w:val="Default"/>
              <w:jc w:val="both"/>
              <w:rPr>
                <w:rFonts w:cstheme="minorBidi"/>
                <w:sz w:val="20"/>
                <w:szCs w:val="20"/>
              </w:rPr>
            </w:pPr>
            <w:r w:rsidRPr="0B4FAE79">
              <w:rPr>
                <w:rFonts w:cstheme="minorBidi"/>
                <w:sz w:val="20"/>
                <w:szCs w:val="20"/>
              </w:rPr>
              <w:t>Strategija prilagodbe klimatskim promjenama u Republici Hrvatskoj za razdoblje do 2040. godine s pogledom na 2070. godinu (</w:t>
            </w:r>
            <w:r w:rsidR="009512F6">
              <w:rPr>
                <w:rFonts w:cstheme="minorBidi"/>
                <w:sz w:val="20"/>
                <w:szCs w:val="20"/>
              </w:rPr>
              <w:t>„</w:t>
            </w:r>
            <w:r w:rsidR="00071A4F" w:rsidRPr="00071A4F">
              <w:rPr>
                <w:rFonts w:cstheme="minorBidi"/>
                <w:sz w:val="20"/>
                <w:szCs w:val="20"/>
              </w:rPr>
              <w:t xml:space="preserve">Narodne </w:t>
            </w:r>
            <w:r w:rsidR="00A97AE7">
              <w:rPr>
                <w:rFonts w:cstheme="minorBidi"/>
                <w:sz w:val="20"/>
                <w:szCs w:val="20"/>
              </w:rPr>
              <w:t>novine</w:t>
            </w:r>
            <w:r w:rsidR="009512F6">
              <w:rPr>
                <w:rFonts w:cstheme="minorBidi"/>
                <w:sz w:val="20"/>
                <w:szCs w:val="20"/>
              </w:rPr>
              <w:t>“</w:t>
            </w:r>
            <w:r w:rsidR="00071A4F" w:rsidRPr="00071A4F">
              <w:rPr>
                <w:rFonts w:cstheme="minorBidi"/>
                <w:sz w:val="20"/>
                <w:szCs w:val="20"/>
              </w:rPr>
              <w:t xml:space="preserve">, </w:t>
            </w:r>
            <w:r w:rsidR="00004BB0">
              <w:rPr>
                <w:rFonts w:cstheme="minorBidi"/>
                <w:sz w:val="20"/>
                <w:szCs w:val="20"/>
              </w:rPr>
              <w:t>br</w:t>
            </w:r>
            <w:r w:rsidR="009512F6">
              <w:rPr>
                <w:rFonts w:cstheme="minorBidi"/>
                <w:sz w:val="20"/>
                <w:szCs w:val="20"/>
              </w:rPr>
              <w:t>.</w:t>
            </w:r>
            <w:r w:rsidRPr="0B4FAE79">
              <w:rPr>
                <w:rFonts w:cstheme="minorBidi"/>
                <w:sz w:val="20"/>
                <w:szCs w:val="20"/>
              </w:rPr>
              <w:t xml:space="preserve"> 46/20</w:t>
            </w:r>
            <w:r w:rsidR="009512F6">
              <w:rPr>
                <w:rFonts w:cstheme="minorBidi"/>
                <w:sz w:val="20"/>
                <w:szCs w:val="20"/>
              </w:rPr>
              <w:t>.</w:t>
            </w:r>
            <w:r w:rsidRPr="0B4FAE79">
              <w:rPr>
                <w:rFonts w:cstheme="minorBidi"/>
                <w:sz w:val="20"/>
                <w:szCs w:val="20"/>
              </w:rPr>
              <w:t xml:space="preserve">)     </w:t>
            </w:r>
          </w:p>
        </w:tc>
        <w:tc>
          <w:tcPr>
            <w:tcW w:w="1734" w:type="pct"/>
          </w:tcPr>
          <w:p w14:paraId="6C06B60E" w14:textId="5497D3D5" w:rsidR="006E380C" w:rsidRPr="006E534A" w:rsidRDefault="00FC7C45" w:rsidP="55103C4F">
            <w:pPr>
              <w:pStyle w:val="Default"/>
              <w:jc w:val="both"/>
              <w:rPr>
                <w:rFonts w:cstheme="minorBidi"/>
                <w:sz w:val="20"/>
                <w:szCs w:val="20"/>
              </w:rPr>
            </w:pPr>
            <w:r w:rsidRPr="55103C4F">
              <w:rPr>
                <w:rFonts w:cstheme="minorBidi"/>
                <w:sz w:val="20"/>
                <w:szCs w:val="20"/>
              </w:rPr>
              <w:t xml:space="preserve">Ministar uz prethodnu suglasnost ministra za poslove graditeljstva pravilnikom propisuje tehničke propise, zahtjeve i uvjete za sigurnost i korištenje energije za zaštitu niskonaponskih mreža i pripadnih transformatorskih stanica, mjere za pogon i održavanje elektroenergetskih postrojenja, </w:t>
            </w:r>
            <w:r w:rsidR="00D74D7E">
              <w:rPr>
                <w:rFonts w:cstheme="minorBidi"/>
                <w:sz w:val="20"/>
                <w:szCs w:val="20"/>
              </w:rPr>
              <w:t>centara vođenja i upravljanja</w:t>
            </w:r>
            <w:r w:rsidR="00560A9E">
              <w:rPr>
                <w:rFonts w:cstheme="minorBidi"/>
                <w:sz w:val="20"/>
                <w:szCs w:val="20"/>
              </w:rPr>
              <w:t xml:space="preserve">, </w:t>
            </w:r>
            <w:r w:rsidRPr="55103C4F">
              <w:rPr>
                <w:rFonts w:cstheme="minorBidi"/>
                <w:sz w:val="20"/>
                <w:szCs w:val="20"/>
              </w:rPr>
              <w:t>za izgradnju nadzemnih elektroenergetskih vodova nazivnih napona od 1 kV do 400 kV, izgradnju, uporabu i održavanje nadzemnih elektroenergetskih vodova te elektroenergetska postrojenja nazivnih izmjeničnih napona do 1 kV i uporabu i održavanje niskonaponskih instalacija.</w:t>
            </w:r>
          </w:p>
          <w:p w14:paraId="043F2116" w14:textId="53164D54" w:rsidR="006E380C" w:rsidRPr="006E534A" w:rsidRDefault="3DB6F850" w:rsidP="00443C6E">
            <w:pPr>
              <w:pStyle w:val="Default"/>
              <w:spacing w:line="259" w:lineRule="auto"/>
              <w:jc w:val="both"/>
              <w:rPr>
                <w:rFonts w:cstheme="minorBidi"/>
                <w:sz w:val="20"/>
                <w:szCs w:val="20"/>
              </w:rPr>
            </w:pPr>
            <w:r w:rsidRPr="55103C4F">
              <w:rPr>
                <w:rFonts w:cstheme="minorBidi"/>
                <w:sz w:val="20"/>
                <w:szCs w:val="20"/>
              </w:rPr>
              <w:t xml:space="preserve">Prema Strategiji prilagodbe  potrebno je provesti u cijelosti mjere  E-03, E-04, E-05, E-06 i E-07  kako bi se adresirala prilagodba klimatskim promjenama u cijelome sektoru energetike i ukazala ranjivost na klimatske promjene kao i predložile mjere prilagodbe klimatskim promjenama. Negativan utjecaj klimatskih promjena na sektor energetike je značajan i neprestano raste. </w:t>
            </w:r>
            <w:r w:rsidR="2CB23902" w:rsidRPr="55103C4F">
              <w:rPr>
                <w:rFonts w:cstheme="minorBidi"/>
                <w:sz w:val="20"/>
                <w:szCs w:val="20"/>
              </w:rPr>
              <w:t>Tehnički propisi</w:t>
            </w:r>
            <w:r w:rsidRPr="55103C4F">
              <w:rPr>
                <w:rFonts w:cstheme="minorBidi"/>
                <w:sz w:val="20"/>
                <w:szCs w:val="20"/>
              </w:rPr>
              <w:t xml:space="preserve"> trebaju sadržavati rezultate  provedbe tih mjera i aktivnosti.  </w:t>
            </w:r>
          </w:p>
        </w:tc>
      </w:tr>
      <w:tr w:rsidR="001E543C" w:rsidRPr="00B47BDA" w14:paraId="443356C7" w14:textId="77777777" w:rsidTr="005217C8">
        <w:tc>
          <w:tcPr>
            <w:tcW w:w="1735" w:type="pct"/>
          </w:tcPr>
          <w:p w14:paraId="4A51F88D" w14:textId="3BCBFC3B" w:rsidR="001E543C" w:rsidRPr="006E534A" w:rsidRDefault="00EA216F" w:rsidP="005217C8">
            <w:pPr>
              <w:pStyle w:val="Default"/>
              <w:jc w:val="both"/>
              <w:rPr>
                <w:rFonts w:cstheme="minorHAnsi"/>
                <w:b/>
                <w:sz w:val="20"/>
                <w:szCs w:val="20"/>
              </w:rPr>
            </w:pPr>
            <w:r w:rsidRPr="006E534A">
              <w:rPr>
                <w:rFonts w:cstheme="minorHAnsi"/>
                <w:sz w:val="20"/>
                <w:szCs w:val="20"/>
              </w:rPr>
              <w:t>Izrada i objava izvješća</w:t>
            </w:r>
            <w:r w:rsidR="00867C9F" w:rsidRPr="006E534A">
              <w:rPr>
                <w:rFonts w:cstheme="minorHAnsi"/>
                <w:sz w:val="20"/>
                <w:szCs w:val="20"/>
              </w:rPr>
              <w:t xml:space="preserve"> operatora transportnog sustava</w:t>
            </w:r>
          </w:p>
        </w:tc>
        <w:tc>
          <w:tcPr>
            <w:tcW w:w="1531" w:type="pct"/>
          </w:tcPr>
          <w:p w14:paraId="1A5CA2A9" w14:textId="6561D7B9" w:rsidR="001E543C" w:rsidRPr="006E534A" w:rsidRDefault="00A46DD5" w:rsidP="0B4FAE79">
            <w:pPr>
              <w:pStyle w:val="Default"/>
              <w:jc w:val="both"/>
              <w:rPr>
                <w:rFonts w:cstheme="minorBidi"/>
                <w:sz w:val="20"/>
                <w:szCs w:val="20"/>
              </w:rPr>
            </w:pPr>
            <w:r w:rsidRPr="0B4FAE79">
              <w:rPr>
                <w:rFonts w:cstheme="minorBidi"/>
                <w:sz w:val="20"/>
                <w:szCs w:val="20"/>
              </w:rPr>
              <w:t>Zakon o tržištu plina (</w:t>
            </w:r>
            <w:r w:rsidR="004643F9">
              <w:rPr>
                <w:rFonts w:cstheme="minorBidi"/>
                <w:sz w:val="20"/>
                <w:szCs w:val="20"/>
              </w:rPr>
              <w:t>„</w:t>
            </w:r>
            <w:r w:rsidR="00071A4F" w:rsidRPr="00071A4F">
              <w:rPr>
                <w:rFonts w:cstheme="minorBidi"/>
                <w:sz w:val="20"/>
                <w:szCs w:val="20"/>
              </w:rPr>
              <w:t xml:space="preserve">Narodne </w:t>
            </w:r>
            <w:r w:rsidR="00A97AE7">
              <w:rPr>
                <w:rFonts w:cstheme="minorBidi"/>
                <w:sz w:val="20"/>
                <w:szCs w:val="20"/>
              </w:rPr>
              <w:t>novine</w:t>
            </w:r>
            <w:r w:rsidR="004643F9">
              <w:rPr>
                <w:rFonts w:cstheme="minorBidi"/>
                <w:sz w:val="20"/>
                <w:szCs w:val="20"/>
              </w:rPr>
              <w:t>“</w:t>
            </w:r>
            <w:r w:rsidR="00071A4F" w:rsidRPr="00071A4F">
              <w:rPr>
                <w:rFonts w:cstheme="minorBidi"/>
                <w:sz w:val="20"/>
                <w:szCs w:val="20"/>
              </w:rPr>
              <w:t>, br</w:t>
            </w:r>
            <w:r w:rsidR="004C2FB3">
              <w:rPr>
                <w:rFonts w:cstheme="minorBidi"/>
                <w:sz w:val="20"/>
                <w:szCs w:val="20"/>
              </w:rPr>
              <w:t>.</w:t>
            </w:r>
            <w:r w:rsidRPr="0B4FAE79">
              <w:rPr>
                <w:rFonts w:cstheme="minorBidi"/>
                <w:sz w:val="20"/>
                <w:szCs w:val="20"/>
              </w:rPr>
              <w:t xml:space="preserve"> 18</w:t>
            </w:r>
            <w:r w:rsidR="005B41DA">
              <w:rPr>
                <w:rFonts w:cstheme="minorBidi"/>
                <w:sz w:val="20"/>
                <w:szCs w:val="20"/>
              </w:rPr>
              <w:t>/18</w:t>
            </w:r>
            <w:r w:rsidR="004643F9">
              <w:rPr>
                <w:rFonts w:cstheme="minorBidi"/>
                <w:sz w:val="20"/>
                <w:szCs w:val="20"/>
              </w:rPr>
              <w:t>.</w:t>
            </w:r>
            <w:r w:rsidR="003F6CB8" w:rsidRPr="0B4FAE79">
              <w:rPr>
                <w:rFonts w:cstheme="minorBidi"/>
                <w:sz w:val="20"/>
                <w:szCs w:val="20"/>
              </w:rPr>
              <w:t xml:space="preserve">, </w:t>
            </w:r>
            <w:r w:rsidR="00D60BC1" w:rsidRPr="0B4FAE79">
              <w:rPr>
                <w:rFonts w:cstheme="minorBidi"/>
                <w:sz w:val="20"/>
                <w:szCs w:val="20"/>
              </w:rPr>
              <w:t>23/20</w:t>
            </w:r>
            <w:r w:rsidR="004643F9">
              <w:rPr>
                <w:rFonts w:cstheme="minorBidi"/>
                <w:sz w:val="20"/>
                <w:szCs w:val="20"/>
              </w:rPr>
              <w:t>.</w:t>
            </w:r>
            <w:r w:rsidRPr="0B4FAE79">
              <w:rPr>
                <w:rFonts w:cstheme="minorBidi"/>
                <w:sz w:val="20"/>
                <w:szCs w:val="20"/>
              </w:rPr>
              <w:t>)</w:t>
            </w:r>
          </w:p>
          <w:p w14:paraId="6D4815B6" w14:textId="1F74B23E" w:rsidR="001E543C" w:rsidRPr="006E534A" w:rsidRDefault="001E543C" w:rsidP="0B4FAE79">
            <w:pPr>
              <w:pStyle w:val="Default"/>
              <w:jc w:val="both"/>
              <w:rPr>
                <w:rFonts w:cstheme="minorBidi"/>
                <w:sz w:val="20"/>
                <w:szCs w:val="20"/>
              </w:rPr>
            </w:pPr>
          </w:p>
          <w:p w14:paraId="45B90EB7" w14:textId="6B40E9C0" w:rsidR="001E543C" w:rsidRPr="006E534A" w:rsidRDefault="6A5D44D4" w:rsidP="005217C8">
            <w:pPr>
              <w:pStyle w:val="Default"/>
              <w:jc w:val="both"/>
              <w:rPr>
                <w:rFonts w:cstheme="minorBidi"/>
                <w:sz w:val="20"/>
                <w:szCs w:val="20"/>
              </w:rPr>
            </w:pPr>
            <w:r w:rsidRPr="0B4FAE79">
              <w:rPr>
                <w:rFonts w:cstheme="minorBidi"/>
                <w:sz w:val="20"/>
                <w:szCs w:val="20"/>
              </w:rPr>
              <w:lastRenderedPageBreak/>
              <w:t xml:space="preserve">Strategija prilagodbe klimatskim promjenama u Republici Hrvatskoj za razdoblje do 2040. godine s pogledom na 2070. godinu </w:t>
            </w:r>
            <w:r w:rsidR="00EB08F1">
              <w:rPr>
                <w:rFonts w:cstheme="minorBidi"/>
                <w:sz w:val="20"/>
                <w:szCs w:val="20"/>
              </w:rPr>
              <w:t xml:space="preserve">(„Narodne novine“, br. </w:t>
            </w:r>
            <w:r w:rsidRPr="0B4FAE79">
              <w:rPr>
                <w:rFonts w:cstheme="minorBidi"/>
                <w:sz w:val="20"/>
                <w:szCs w:val="20"/>
              </w:rPr>
              <w:t>46/20</w:t>
            </w:r>
            <w:r w:rsidR="004643F9">
              <w:rPr>
                <w:rFonts w:cstheme="minorBidi"/>
                <w:sz w:val="20"/>
                <w:szCs w:val="20"/>
              </w:rPr>
              <w:t>.</w:t>
            </w:r>
            <w:r w:rsidRPr="0B4FAE79">
              <w:rPr>
                <w:rFonts w:cstheme="minorBidi"/>
                <w:sz w:val="20"/>
                <w:szCs w:val="20"/>
              </w:rPr>
              <w:t xml:space="preserve">)     </w:t>
            </w:r>
          </w:p>
        </w:tc>
        <w:tc>
          <w:tcPr>
            <w:tcW w:w="1734" w:type="pct"/>
          </w:tcPr>
          <w:p w14:paraId="7FB25B2D" w14:textId="7F5A80BF" w:rsidR="001E543C" w:rsidRPr="006E534A" w:rsidRDefault="00D60BC1" w:rsidP="55103C4F">
            <w:pPr>
              <w:pStyle w:val="Default"/>
              <w:jc w:val="both"/>
              <w:rPr>
                <w:rFonts w:cstheme="minorBidi"/>
                <w:sz w:val="20"/>
                <w:szCs w:val="20"/>
              </w:rPr>
            </w:pPr>
            <w:r w:rsidRPr="55103C4F">
              <w:rPr>
                <w:rFonts w:cstheme="minorBidi"/>
                <w:sz w:val="20"/>
                <w:szCs w:val="20"/>
              </w:rPr>
              <w:lastRenderedPageBreak/>
              <w:t>Operator transportnog sustava (</w:t>
            </w:r>
            <w:r w:rsidR="001710D9" w:rsidRPr="55103C4F">
              <w:rPr>
                <w:rFonts w:cstheme="minorBidi"/>
                <w:sz w:val="20"/>
                <w:szCs w:val="20"/>
              </w:rPr>
              <w:t>PLINACRO</w:t>
            </w:r>
            <w:r w:rsidRPr="55103C4F">
              <w:rPr>
                <w:rFonts w:cstheme="minorBidi"/>
                <w:sz w:val="20"/>
                <w:szCs w:val="20"/>
              </w:rPr>
              <w:t xml:space="preserve"> d.o.o.)</w:t>
            </w:r>
            <w:r w:rsidR="001710D9" w:rsidRPr="55103C4F" w:rsidDel="00866018">
              <w:rPr>
                <w:rFonts w:cstheme="minorBidi"/>
                <w:sz w:val="20"/>
                <w:szCs w:val="20"/>
              </w:rPr>
              <w:t xml:space="preserve"> </w:t>
            </w:r>
            <w:r w:rsidR="00B0677D" w:rsidRPr="55103C4F">
              <w:rPr>
                <w:rFonts w:cstheme="minorBidi"/>
                <w:sz w:val="20"/>
                <w:szCs w:val="20"/>
              </w:rPr>
              <w:t>dužan</w:t>
            </w:r>
            <w:r w:rsidR="00866018" w:rsidRPr="55103C4F">
              <w:rPr>
                <w:rFonts w:cstheme="minorBidi"/>
                <w:sz w:val="20"/>
                <w:szCs w:val="20"/>
              </w:rPr>
              <w:t xml:space="preserve"> je</w:t>
            </w:r>
            <w:r w:rsidR="00B0677D" w:rsidRPr="55103C4F">
              <w:rPr>
                <w:rFonts w:cstheme="minorBidi"/>
                <w:sz w:val="20"/>
                <w:szCs w:val="20"/>
              </w:rPr>
              <w:t xml:space="preserve"> do 1.</w:t>
            </w:r>
            <w:r w:rsidR="004F6EAB" w:rsidRPr="55103C4F">
              <w:rPr>
                <w:rFonts w:cstheme="minorBidi"/>
                <w:sz w:val="20"/>
                <w:szCs w:val="20"/>
              </w:rPr>
              <w:t> </w:t>
            </w:r>
            <w:r w:rsidR="00871CF1" w:rsidRPr="55103C4F">
              <w:rPr>
                <w:rFonts w:cstheme="minorBidi"/>
                <w:sz w:val="20"/>
                <w:szCs w:val="20"/>
              </w:rPr>
              <w:t>ožujka</w:t>
            </w:r>
            <w:r w:rsidR="00B0677D" w:rsidRPr="55103C4F">
              <w:rPr>
                <w:rFonts w:cstheme="minorBidi"/>
                <w:sz w:val="20"/>
                <w:szCs w:val="20"/>
              </w:rPr>
              <w:t xml:space="preserve"> tekuće godine izraditi i HERA-i dostaviti izvješće</w:t>
            </w:r>
            <w:r w:rsidR="001710D9" w:rsidRPr="55103C4F">
              <w:rPr>
                <w:rFonts w:cstheme="minorBidi"/>
                <w:sz w:val="20"/>
                <w:szCs w:val="20"/>
              </w:rPr>
              <w:t xml:space="preserve"> za </w:t>
            </w:r>
            <w:r w:rsidR="001710D9" w:rsidRPr="55103C4F">
              <w:rPr>
                <w:rFonts w:cstheme="minorBidi"/>
                <w:sz w:val="20"/>
                <w:szCs w:val="20"/>
              </w:rPr>
              <w:lastRenderedPageBreak/>
              <w:t xml:space="preserve">prethodnu godinu, a koje mora sadržavati izvješće </w:t>
            </w:r>
            <w:r w:rsidR="001710D9" w:rsidRPr="55103C4F">
              <w:rPr>
                <w:rFonts w:cstheme="minorBidi"/>
                <w:b/>
                <w:sz w:val="20"/>
                <w:szCs w:val="20"/>
              </w:rPr>
              <w:t>o pouzdanosti, sigurnosti</w:t>
            </w:r>
            <w:r w:rsidR="001710D9" w:rsidRPr="55103C4F">
              <w:rPr>
                <w:rFonts w:cstheme="minorBidi"/>
                <w:sz w:val="20"/>
                <w:szCs w:val="20"/>
              </w:rPr>
              <w:t xml:space="preserve"> i učinkovitosti transportnog sustava, kvaliteti plina, kvaliteti usluge, pouzdanosti isporuke plina, tehničkim karakteristikama sustava, korištenju kapaciteta transportnog sustava, održavanju opreme sustava te ispunjavanju ostalih dužnosti i ostvarivanju prava iz ovoga Zakona</w:t>
            </w:r>
            <w:r w:rsidR="00592C80" w:rsidRPr="55103C4F">
              <w:rPr>
                <w:rFonts w:cstheme="minorBidi"/>
                <w:sz w:val="20"/>
                <w:szCs w:val="20"/>
              </w:rPr>
              <w:t>.</w:t>
            </w:r>
          </w:p>
          <w:p w14:paraId="677665FC" w14:textId="1658DAF0" w:rsidR="001E543C" w:rsidRPr="006E534A" w:rsidRDefault="23DCBEB4" w:rsidP="005217C8">
            <w:pPr>
              <w:pStyle w:val="Default"/>
              <w:jc w:val="both"/>
              <w:rPr>
                <w:rFonts w:cstheme="minorBidi"/>
                <w:sz w:val="20"/>
                <w:szCs w:val="20"/>
              </w:rPr>
            </w:pPr>
            <w:r w:rsidRPr="55103C4F">
              <w:rPr>
                <w:rFonts w:cstheme="minorBidi"/>
                <w:sz w:val="20"/>
                <w:szCs w:val="20"/>
              </w:rPr>
              <w:t xml:space="preserve">Prema Strategiji prilagodbe  potrebno je provesti u cijelosti mjere  E-01, E-02, E-03, E-04, E-05, E-06 i E-07  kako bi se adresirala prilagodba klimatskim promjenama u cijelome sektoru energetike i ukazala ranjivost na klimatske promjene kao i predložile mjere prilagodbe klimatskim promjenama. Negativan utjecaj klimatskih promjena na sektor energetike je značajan i neprestano raste. Izvješća trebaju sadržavati rezultate  provedbe tih mjera i aktivnosti.  </w:t>
            </w:r>
          </w:p>
        </w:tc>
      </w:tr>
      <w:tr w:rsidR="007E6002" w:rsidRPr="00B47BDA" w14:paraId="22D62D3E" w14:textId="77777777" w:rsidTr="005217C8">
        <w:tc>
          <w:tcPr>
            <w:tcW w:w="1735" w:type="pct"/>
          </w:tcPr>
          <w:p w14:paraId="416307FF" w14:textId="6752A4D5" w:rsidR="007E6002" w:rsidRPr="006E534A" w:rsidRDefault="006015A3" w:rsidP="005217C8">
            <w:pPr>
              <w:pStyle w:val="Default"/>
              <w:jc w:val="both"/>
              <w:rPr>
                <w:rFonts w:cstheme="minorHAnsi"/>
                <w:sz w:val="20"/>
                <w:szCs w:val="20"/>
                <w:highlight w:val="yellow"/>
              </w:rPr>
            </w:pPr>
            <w:r w:rsidRPr="006E534A">
              <w:rPr>
                <w:rFonts w:cstheme="minorHAnsi"/>
                <w:sz w:val="20"/>
                <w:szCs w:val="20"/>
              </w:rPr>
              <w:lastRenderedPageBreak/>
              <w:t>Plan obrane elektroenergetskog sustava od velikih poremećaja</w:t>
            </w:r>
          </w:p>
        </w:tc>
        <w:tc>
          <w:tcPr>
            <w:tcW w:w="1531" w:type="pct"/>
          </w:tcPr>
          <w:p w14:paraId="6759441C" w14:textId="6EE3B005" w:rsidR="007E6002" w:rsidRPr="006E534A" w:rsidRDefault="00970081" w:rsidP="0B4FAE79">
            <w:pPr>
              <w:pStyle w:val="Default"/>
              <w:jc w:val="both"/>
              <w:rPr>
                <w:rFonts w:cstheme="minorBidi"/>
                <w:sz w:val="20"/>
                <w:szCs w:val="20"/>
                <w:highlight w:val="yellow"/>
              </w:rPr>
            </w:pPr>
            <w:r>
              <w:rPr>
                <w:rFonts w:cstheme="minorBidi"/>
                <w:sz w:val="20"/>
                <w:szCs w:val="20"/>
              </w:rPr>
              <w:t>M</w:t>
            </w:r>
            <w:r w:rsidR="00FC7C45" w:rsidRPr="0B4FAE79">
              <w:rPr>
                <w:rFonts w:cstheme="minorBidi"/>
                <w:sz w:val="20"/>
                <w:szCs w:val="20"/>
              </w:rPr>
              <w:t>režn</w:t>
            </w:r>
            <w:r w:rsidR="00283FE7">
              <w:rPr>
                <w:rFonts w:cstheme="minorBidi"/>
                <w:sz w:val="20"/>
                <w:szCs w:val="20"/>
              </w:rPr>
              <w:t>a</w:t>
            </w:r>
            <w:r w:rsidR="00FC7C45" w:rsidRPr="0B4FAE79">
              <w:rPr>
                <w:rFonts w:cstheme="minorBidi"/>
                <w:sz w:val="20"/>
                <w:szCs w:val="20"/>
              </w:rPr>
              <w:t xml:space="preserve"> pravila prijenosnog sustava </w:t>
            </w:r>
            <w:r w:rsidR="00EB08F1">
              <w:rPr>
                <w:rFonts w:cstheme="minorBidi"/>
                <w:sz w:val="20"/>
                <w:szCs w:val="20"/>
              </w:rPr>
              <w:t xml:space="preserve">(„Narodne novine“, br. </w:t>
            </w:r>
            <w:r w:rsidR="00FC7C45" w:rsidRPr="0B4FAE79">
              <w:rPr>
                <w:rFonts w:cstheme="minorBidi"/>
                <w:sz w:val="20"/>
                <w:szCs w:val="20"/>
              </w:rPr>
              <w:t>1</w:t>
            </w:r>
            <w:r w:rsidR="00B84191">
              <w:rPr>
                <w:rFonts w:cstheme="minorBidi"/>
                <w:sz w:val="20"/>
                <w:szCs w:val="20"/>
              </w:rPr>
              <w:t>0</w:t>
            </w:r>
            <w:r w:rsidR="00FC7C45" w:rsidRPr="0B4FAE79">
              <w:rPr>
                <w:rFonts w:cstheme="minorBidi"/>
                <w:sz w:val="20"/>
                <w:szCs w:val="20"/>
              </w:rPr>
              <w:t>/2</w:t>
            </w:r>
            <w:r w:rsidR="00B84191">
              <w:rPr>
                <w:rFonts w:cstheme="minorBidi"/>
                <w:sz w:val="20"/>
                <w:szCs w:val="20"/>
              </w:rPr>
              <w:t>4</w:t>
            </w:r>
            <w:r w:rsidR="00F75D91">
              <w:rPr>
                <w:rFonts w:cstheme="minorBidi"/>
                <w:sz w:val="20"/>
                <w:szCs w:val="20"/>
              </w:rPr>
              <w:t>.</w:t>
            </w:r>
            <w:r w:rsidR="00FC7C45" w:rsidRPr="0B4FAE79">
              <w:rPr>
                <w:rFonts w:cstheme="minorBidi"/>
                <w:sz w:val="20"/>
                <w:szCs w:val="20"/>
              </w:rPr>
              <w:t xml:space="preserve">) </w:t>
            </w:r>
          </w:p>
          <w:p w14:paraId="758639D1" w14:textId="4E8B81B4" w:rsidR="007E6002" w:rsidRPr="006E534A" w:rsidRDefault="007E6002" w:rsidP="0B4FAE79">
            <w:pPr>
              <w:pStyle w:val="Default"/>
              <w:jc w:val="both"/>
              <w:rPr>
                <w:rFonts w:cstheme="minorBidi"/>
                <w:sz w:val="20"/>
                <w:szCs w:val="20"/>
              </w:rPr>
            </w:pPr>
          </w:p>
          <w:p w14:paraId="0F368CCB" w14:textId="3634D0A3" w:rsidR="007E6002" w:rsidRPr="006E534A" w:rsidRDefault="29D34A0D" w:rsidP="005217C8">
            <w:pPr>
              <w:pStyle w:val="Default"/>
              <w:jc w:val="both"/>
              <w:rPr>
                <w:rFonts w:cstheme="minorBidi"/>
                <w:sz w:val="20"/>
                <w:szCs w:val="20"/>
              </w:rPr>
            </w:pPr>
            <w:r w:rsidRPr="0B4FAE79">
              <w:rPr>
                <w:rFonts w:cstheme="minorBidi"/>
                <w:sz w:val="20"/>
                <w:szCs w:val="20"/>
              </w:rPr>
              <w:t xml:space="preserve">Strategija prilagodbe klimatskim promjenama u Republici Hrvatskoj za razdoblje do 2040. godine s pogledom na 2070. godinu </w:t>
            </w:r>
            <w:r w:rsidR="00EB08F1">
              <w:rPr>
                <w:rFonts w:cstheme="minorBidi"/>
                <w:sz w:val="20"/>
                <w:szCs w:val="20"/>
              </w:rPr>
              <w:t xml:space="preserve">(„Narodne novine“, br. </w:t>
            </w:r>
            <w:r w:rsidRPr="0B4FAE79">
              <w:rPr>
                <w:rFonts w:cstheme="minorBidi"/>
                <w:sz w:val="20"/>
                <w:szCs w:val="20"/>
              </w:rPr>
              <w:t>46/20</w:t>
            </w:r>
            <w:r w:rsidR="00F75D91">
              <w:rPr>
                <w:rFonts w:cstheme="minorBidi"/>
                <w:sz w:val="20"/>
                <w:szCs w:val="20"/>
              </w:rPr>
              <w:t>.</w:t>
            </w:r>
            <w:r w:rsidRPr="0B4FAE79">
              <w:rPr>
                <w:rFonts w:cstheme="minorBidi"/>
                <w:sz w:val="20"/>
                <w:szCs w:val="20"/>
              </w:rPr>
              <w:t>)</w:t>
            </w:r>
          </w:p>
        </w:tc>
        <w:tc>
          <w:tcPr>
            <w:tcW w:w="1734" w:type="pct"/>
          </w:tcPr>
          <w:p w14:paraId="7B599FC4" w14:textId="283C59EB" w:rsidR="00A131A4" w:rsidRPr="006E534A" w:rsidDel="005B1D98" w:rsidRDefault="00A131A4" w:rsidP="005217C8">
            <w:pPr>
              <w:pStyle w:val="Default"/>
              <w:jc w:val="both"/>
              <w:rPr>
                <w:rFonts w:cstheme="minorHAnsi"/>
                <w:sz w:val="20"/>
                <w:szCs w:val="20"/>
              </w:rPr>
            </w:pPr>
            <w:r w:rsidRPr="006E534A" w:rsidDel="005B1D98">
              <w:rPr>
                <w:rFonts w:cstheme="minorHAnsi"/>
                <w:sz w:val="20"/>
                <w:szCs w:val="20"/>
              </w:rPr>
              <w:t xml:space="preserve">HOPS </w:t>
            </w:r>
            <w:r w:rsidR="00537889" w:rsidRPr="006E534A" w:rsidDel="005B1D98">
              <w:rPr>
                <w:rFonts w:cstheme="minorHAnsi"/>
                <w:sz w:val="20"/>
                <w:szCs w:val="20"/>
              </w:rPr>
              <w:t xml:space="preserve">je </w:t>
            </w:r>
            <w:r w:rsidRPr="006E534A" w:rsidDel="005B1D98">
              <w:rPr>
                <w:rFonts w:cstheme="minorHAnsi"/>
                <w:sz w:val="20"/>
                <w:szCs w:val="20"/>
              </w:rPr>
              <w:t>odgovoran za pouzdanost i raspoloživost sustava opskrbe elektri</w:t>
            </w:r>
            <w:r w:rsidR="00A8751A" w:rsidRPr="006E534A" w:rsidDel="005B1D98">
              <w:rPr>
                <w:rFonts w:cstheme="minorHAnsi"/>
                <w:sz w:val="20"/>
                <w:szCs w:val="20"/>
              </w:rPr>
              <w:t>č</w:t>
            </w:r>
            <w:r w:rsidRPr="006E534A" w:rsidDel="005B1D98">
              <w:rPr>
                <w:rFonts w:cstheme="minorHAnsi"/>
                <w:sz w:val="20"/>
                <w:szCs w:val="20"/>
              </w:rPr>
              <w:t>nom energijom te ispravnu koordinaciju sustava proizvodnje, prijenosa i distribucije uz odgovornost za vođenje elektroenergetskog</w:t>
            </w:r>
          </w:p>
          <w:p w14:paraId="11FC188C" w14:textId="40AEA2EC" w:rsidR="007E6002" w:rsidRPr="006E534A" w:rsidRDefault="00A131A4" w:rsidP="55103C4F">
            <w:pPr>
              <w:pStyle w:val="Default"/>
              <w:jc w:val="both"/>
              <w:rPr>
                <w:rFonts w:cstheme="minorBidi"/>
                <w:sz w:val="20"/>
                <w:szCs w:val="20"/>
                <w:highlight w:val="yellow"/>
              </w:rPr>
            </w:pPr>
            <w:r w:rsidRPr="55103C4F" w:rsidDel="005B1D98">
              <w:rPr>
                <w:rFonts w:cstheme="minorBidi"/>
                <w:sz w:val="20"/>
                <w:szCs w:val="20"/>
              </w:rPr>
              <w:t>sustava na na</w:t>
            </w:r>
            <w:r w:rsidR="006169A8" w:rsidRPr="55103C4F" w:rsidDel="005B1D98">
              <w:rPr>
                <w:rFonts w:cstheme="minorBidi"/>
                <w:sz w:val="20"/>
                <w:szCs w:val="20"/>
              </w:rPr>
              <w:t>č</w:t>
            </w:r>
            <w:r w:rsidRPr="55103C4F" w:rsidDel="005B1D98">
              <w:rPr>
                <w:rFonts w:cstheme="minorBidi"/>
                <w:sz w:val="20"/>
                <w:szCs w:val="20"/>
              </w:rPr>
              <w:t>in kojim se postiže sigurnost isporuke elektri</w:t>
            </w:r>
            <w:r w:rsidR="00A8751A" w:rsidRPr="55103C4F" w:rsidDel="005B1D98">
              <w:rPr>
                <w:rFonts w:cstheme="minorBidi"/>
                <w:sz w:val="20"/>
                <w:szCs w:val="20"/>
              </w:rPr>
              <w:t>č</w:t>
            </w:r>
            <w:r w:rsidRPr="55103C4F" w:rsidDel="005B1D98">
              <w:rPr>
                <w:rFonts w:cstheme="minorBidi"/>
                <w:sz w:val="20"/>
                <w:szCs w:val="20"/>
              </w:rPr>
              <w:t xml:space="preserve">ne energije. </w:t>
            </w:r>
            <w:r w:rsidRPr="55103C4F">
              <w:rPr>
                <w:rFonts w:cstheme="minorBidi"/>
                <w:sz w:val="20"/>
                <w:szCs w:val="20"/>
              </w:rPr>
              <w:t>HOPS izrađuje Godišnje izvješće</w:t>
            </w:r>
            <w:r w:rsidR="006015A3" w:rsidRPr="55103C4F">
              <w:rPr>
                <w:rFonts w:cstheme="minorBidi"/>
                <w:sz w:val="20"/>
                <w:szCs w:val="20"/>
              </w:rPr>
              <w:t xml:space="preserve"> o sigurnosti opskrbe hrvatskog elektroenergetskog sustava</w:t>
            </w:r>
            <w:r w:rsidRPr="55103C4F">
              <w:rPr>
                <w:rFonts w:cstheme="minorBidi"/>
                <w:sz w:val="20"/>
                <w:szCs w:val="20"/>
              </w:rPr>
              <w:t>, a odobrava ga Hrvatska energetska regulatorna agencija.</w:t>
            </w:r>
            <w:r w:rsidR="006015A3" w:rsidRPr="55103C4F">
              <w:rPr>
                <w:rFonts w:cstheme="minorBidi"/>
                <w:sz w:val="20"/>
                <w:szCs w:val="20"/>
              </w:rPr>
              <w:t xml:space="preserve"> Mjere iz Plana obrane provode svi korisnici prijenosnog sustava i za njih su obvezne.</w:t>
            </w:r>
            <w:r w:rsidR="00AE57F6" w:rsidRPr="55103C4F">
              <w:rPr>
                <w:rFonts w:cstheme="minorBidi"/>
                <w:sz w:val="20"/>
                <w:szCs w:val="20"/>
              </w:rPr>
              <w:t xml:space="preserve"> Zbog učinkovite obrane u slučajevima velikih poremećaja,</w:t>
            </w:r>
            <w:r w:rsidR="00574C7D" w:rsidRPr="55103C4F">
              <w:rPr>
                <w:rFonts w:cstheme="minorBidi"/>
                <w:sz w:val="20"/>
                <w:szCs w:val="20"/>
              </w:rPr>
              <w:t xml:space="preserve"> ali i plana ponovne uspostave sustava</w:t>
            </w:r>
            <w:r w:rsidR="00AE57F6" w:rsidRPr="55103C4F">
              <w:rPr>
                <w:rFonts w:cstheme="minorBidi"/>
                <w:sz w:val="20"/>
                <w:szCs w:val="20"/>
              </w:rPr>
              <w:t xml:space="preserve"> operator prijenosnog sustava donosi Plan obrane sustava s tehničkim i organizacijskim mjerama koje treba poduzeti radi sprečavanja širenja ili pogoršavanja poremećaja u prijenosnom sustavu, a u cilju izbjegavanja poremećaja i raspada sustava.</w:t>
            </w:r>
            <w:r w:rsidR="00574C7D" w:rsidRPr="55103C4F">
              <w:rPr>
                <w:rFonts w:cstheme="minorBidi"/>
                <w:sz w:val="20"/>
                <w:szCs w:val="20"/>
              </w:rPr>
              <w:t xml:space="preserve"> </w:t>
            </w:r>
          </w:p>
          <w:p w14:paraId="0C9A9F19" w14:textId="086C56A6" w:rsidR="007E6002" w:rsidRPr="006E534A" w:rsidRDefault="634E6E7B" w:rsidP="005217C8">
            <w:pPr>
              <w:pStyle w:val="Default"/>
              <w:jc w:val="both"/>
              <w:rPr>
                <w:rFonts w:cstheme="minorBidi"/>
                <w:sz w:val="20"/>
                <w:szCs w:val="20"/>
              </w:rPr>
            </w:pPr>
            <w:r w:rsidRPr="55103C4F">
              <w:rPr>
                <w:rFonts w:cstheme="minorBidi"/>
                <w:sz w:val="20"/>
                <w:szCs w:val="20"/>
              </w:rPr>
              <w:t xml:space="preserve">Prema Strategiji prilagodbe  potrebno je provesti u cijelosti </w:t>
            </w:r>
            <w:r w:rsidRPr="55103C4F">
              <w:rPr>
                <w:rFonts w:cstheme="minorBidi"/>
                <w:sz w:val="20"/>
                <w:szCs w:val="20"/>
              </w:rPr>
              <w:lastRenderedPageBreak/>
              <w:t xml:space="preserve">mjere E-01, E-02, E-03, E-04, E-05, E-06 i E-07  kako bi se adresirala prilagodba klimatskim promjenama u cijelome sektoru energetike i ukazala ranjivost na klimatske promjene kao i predložile mjere prilagodbe klimatskim promjenama. Negativan utjecaj klimatskih promjena na sektor energetike je značajan i neprestano raste. Plan treba sadržavati rezultate  provedbe tih mjera i aktivnosti.  </w:t>
            </w:r>
          </w:p>
        </w:tc>
      </w:tr>
      <w:tr w:rsidR="007E6002" w:rsidRPr="00B47BDA" w14:paraId="42652F7C" w14:textId="77777777" w:rsidTr="005217C8">
        <w:tc>
          <w:tcPr>
            <w:tcW w:w="0" w:type="pct"/>
          </w:tcPr>
          <w:p w14:paraId="0D926EFB" w14:textId="310291FD" w:rsidR="007E6002" w:rsidRPr="006E534A" w:rsidRDefault="006015A3" w:rsidP="005217C8">
            <w:pPr>
              <w:pStyle w:val="Default"/>
              <w:jc w:val="both"/>
              <w:rPr>
                <w:rFonts w:cstheme="minorHAnsi"/>
                <w:sz w:val="20"/>
                <w:szCs w:val="20"/>
                <w:highlight w:val="yellow"/>
              </w:rPr>
            </w:pPr>
            <w:r w:rsidRPr="006E534A">
              <w:rPr>
                <w:rFonts w:cstheme="minorHAnsi"/>
                <w:sz w:val="20"/>
                <w:szCs w:val="20"/>
              </w:rPr>
              <w:lastRenderedPageBreak/>
              <w:t>Plan intervencije o mjerama zaštite sigurnosti opskrbe plinom Republike Hrvatske</w:t>
            </w:r>
          </w:p>
        </w:tc>
        <w:tc>
          <w:tcPr>
            <w:tcW w:w="0" w:type="pct"/>
          </w:tcPr>
          <w:p w14:paraId="45B8434A" w14:textId="3319C574" w:rsidR="007E6002" w:rsidRPr="006E534A" w:rsidRDefault="000376C0" w:rsidP="005217C8">
            <w:pPr>
              <w:pStyle w:val="Default"/>
              <w:jc w:val="both"/>
              <w:rPr>
                <w:rFonts w:cstheme="minorHAnsi"/>
                <w:sz w:val="20"/>
                <w:szCs w:val="20"/>
                <w:highlight w:val="yellow"/>
              </w:rPr>
            </w:pPr>
            <w:r w:rsidRPr="006E534A">
              <w:rPr>
                <w:rFonts w:cstheme="minorHAnsi"/>
                <w:sz w:val="20"/>
                <w:szCs w:val="20"/>
              </w:rPr>
              <w:t>Odluka o donošenju Plana intervencije o mjerama zaštite sigurnosti opskrbe plinom Republike Hrvatske</w:t>
            </w:r>
            <w:r w:rsidR="006D641B" w:rsidRPr="006E534A">
              <w:rPr>
                <w:rFonts w:cstheme="minorHAnsi"/>
                <w:sz w:val="20"/>
                <w:szCs w:val="20"/>
              </w:rPr>
              <w:t xml:space="preserve"> </w:t>
            </w:r>
            <w:r w:rsidR="00EB08F1">
              <w:rPr>
                <w:rFonts w:cstheme="minorHAnsi"/>
                <w:sz w:val="20"/>
                <w:szCs w:val="20"/>
              </w:rPr>
              <w:t xml:space="preserve">(„Narodne novine“, br. </w:t>
            </w:r>
            <w:r w:rsidR="006D641B" w:rsidRPr="006E534A">
              <w:rPr>
                <w:rFonts w:cstheme="minorHAnsi"/>
                <w:sz w:val="20"/>
                <w:szCs w:val="20"/>
              </w:rPr>
              <w:t>127</w:t>
            </w:r>
            <w:r w:rsidR="005B41DA">
              <w:rPr>
                <w:rFonts w:cstheme="minorHAnsi"/>
                <w:sz w:val="20"/>
                <w:szCs w:val="20"/>
              </w:rPr>
              <w:t>/22</w:t>
            </w:r>
            <w:r w:rsidR="00DE0BB2">
              <w:rPr>
                <w:rFonts w:cstheme="minorHAnsi"/>
                <w:sz w:val="20"/>
                <w:szCs w:val="20"/>
              </w:rPr>
              <w:t>.</w:t>
            </w:r>
            <w:r w:rsidR="006D641B" w:rsidRPr="006E534A">
              <w:rPr>
                <w:rFonts w:cstheme="minorHAnsi"/>
                <w:sz w:val="20"/>
                <w:szCs w:val="20"/>
              </w:rPr>
              <w:t>)</w:t>
            </w:r>
          </w:p>
        </w:tc>
        <w:tc>
          <w:tcPr>
            <w:tcW w:w="0" w:type="pct"/>
          </w:tcPr>
          <w:p w14:paraId="48FA38E3" w14:textId="3E9531D1" w:rsidR="007E6002" w:rsidRPr="006E534A" w:rsidRDefault="006015A3" w:rsidP="005217C8">
            <w:pPr>
              <w:pStyle w:val="Default"/>
              <w:jc w:val="both"/>
              <w:rPr>
                <w:rFonts w:cstheme="minorHAnsi"/>
                <w:sz w:val="20"/>
                <w:szCs w:val="20"/>
                <w:highlight w:val="yellow"/>
              </w:rPr>
            </w:pPr>
            <w:r w:rsidRPr="006E534A">
              <w:rPr>
                <w:rFonts w:cstheme="minorHAnsi"/>
                <w:sz w:val="20"/>
                <w:szCs w:val="20"/>
              </w:rPr>
              <w:t xml:space="preserve">Planom intervencije </w:t>
            </w:r>
            <w:r w:rsidR="00E42EAE" w:rsidRPr="006E534A">
              <w:rPr>
                <w:rFonts w:cstheme="minorHAnsi"/>
                <w:sz w:val="20"/>
                <w:szCs w:val="20"/>
              </w:rPr>
              <w:t>utvrđuju se postupci, uloga i odgovornosti nadležnih tijela i svih uključenih sudionika na tržištu plina u slučaju poremećaja u opskrbi plinom.</w:t>
            </w:r>
            <w:r w:rsidR="00C44382" w:rsidRPr="006E534A">
              <w:rPr>
                <w:rFonts w:cstheme="minorHAnsi"/>
                <w:sz w:val="20"/>
                <w:szCs w:val="20"/>
              </w:rPr>
              <w:t xml:space="preserve"> Nadalje, Planom intervencije uređuju se mjere za uklanjanje ili ublažavanje utjecaja poremećaja u opskrbi plinom, kojim je uključeno osiguranje pouzdane i učinkovite opskrbe prirodnim plinom, kriteriji i način određivanja dovoljne količine prirodnog plina za osiguranje pouzdane opskrbe prirodnim plinom zaštićenih kupaca, te redoslijed smanjenja ili obustave opskrbe prirodnim plinom pojedinim kategorijama kupaca u slučaju kriznog stanja.</w:t>
            </w:r>
          </w:p>
        </w:tc>
      </w:tr>
      <w:tr w:rsidR="006015A3" w:rsidRPr="00B47BDA" w14:paraId="736277CC" w14:textId="77777777" w:rsidTr="005217C8">
        <w:tc>
          <w:tcPr>
            <w:tcW w:w="1735" w:type="pct"/>
          </w:tcPr>
          <w:p w14:paraId="3EDB8BC7" w14:textId="2A1AE8CA" w:rsidR="006015A3" w:rsidRPr="006E534A" w:rsidRDefault="006015A3" w:rsidP="005217C8">
            <w:pPr>
              <w:pStyle w:val="Default"/>
              <w:jc w:val="both"/>
              <w:rPr>
                <w:rFonts w:cstheme="minorHAnsi"/>
                <w:sz w:val="20"/>
                <w:szCs w:val="20"/>
                <w:highlight w:val="yellow"/>
              </w:rPr>
            </w:pPr>
            <w:r w:rsidRPr="006E534A">
              <w:rPr>
                <w:rFonts w:cstheme="minorHAnsi"/>
                <w:sz w:val="20"/>
                <w:szCs w:val="20"/>
              </w:rPr>
              <w:t>Formiranje i držanje obveznih zaliha nafte i naftnih derivata</w:t>
            </w:r>
          </w:p>
        </w:tc>
        <w:tc>
          <w:tcPr>
            <w:tcW w:w="1531" w:type="pct"/>
          </w:tcPr>
          <w:p w14:paraId="078E2212" w14:textId="57BE4549" w:rsidR="006015A3" w:rsidRPr="006E534A" w:rsidRDefault="006015A3" w:rsidP="005217C8">
            <w:pPr>
              <w:spacing w:after="0"/>
              <w:rPr>
                <w:sz w:val="20"/>
                <w:szCs w:val="20"/>
                <w:highlight w:val="yellow"/>
              </w:rPr>
            </w:pPr>
            <w:r w:rsidRPr="006E534A">
              <w:rPr>
                <w:sz w:val="20"/>
                <w:szCs w:val="20"/>
              </w:rPr>
              <w:t>Zakon o tržištu nafte i naftnih derivata (</w:t>
            </w:r>
            <w:r w:rsidR="00136CB4">
              <w:rPr>
                <w:sz w:val="20"/>
                <w:szCs w:val="20"/>
              </w:rPr>
              <w:t>„</w:t>
            </w:r>
            <w:r w:rsidR="00071A4F" w:rsidRPr="00071A4F">
              <w:rPr>
                <w:sz w:val="20"/>
                <w:szCs w:val="20"/>
              </w:rPr>
              <w:t xml:space="preserve">Narodne </w:t>
            </w:r>
            <w:r w:rsidR="00A97AE7">
              <w:rPr>
                <w:sz w:val="20"/>
                <w:szCs w:val="20"/>
              </w:rPr>
              <w:t>novine</w:t>
            </w:r>
            <w:r w:rsidR="00136CB4">
              <w:rPr>
                <w:sz w:val="20"/>
                <w:szCs w:val="20"/>
              </w:rPr>
              <w:t>“</w:t>
            </w:r>
            <w:r w:rsidR="00071A4F" w:rsidRPr="00071A4F">
              <w:rPr>
                <w:sz w:val="20"/>
                <w:szCs w:val="20"/>
              </w:rPr>
              <w:t>, br</w:t>
            </w:r>
            <w:r w:rsidR="00220FD7">
              <w:rPr>
                <w:sz w:val="20"/>
                <w:szCs w:val="20"/>
              </w:rPr>
              <w:t>.</w:t>
            </w:r>
            <w:r w:rsidRPr="006E534A">
              <w:rPr>
                <w:sz w:val="20"/>
                <w:szCs w:val="20"/>
              </w:rPr>
              <w:t xml:space="preserve"> 19</w:t>
            </w:r>
            <w:r w:rsidR="005B41DA">
              <w:rPr>
                <w:sz w:val="20"/>
                <w:szCs w:val="20"/>
              </w:rPr>
              <w:t>/14</w:t>
            </w:r>
            <w:r w:rsidR="00136CB4">
              <w:rPr>
                <w:sz w:val="20"/>
                <w:szCs w:val="20"/>
              </w:rPr>
              <w:t>.</w:t>
            </w:r>
            <w:r w:rsidRPr="006E534A">
              <w:rPr>
                <w:sz w:val="20"/>
                <w:szCs w:val="20"/>
              </w:rPr>
              <w:t>, 73</w:t>
            </w:r>
            <w:r w:rsidR="005B41DA">
              <w:rPr>
                <w:sz w:val="20"/>
                <w:szCs w:val="20"/>
              </w:rPr>
              <w:t>/17</w:t>
            </w:r>
            <w:r w:rsidR="00136CB4">
              <w:rPr>
                <w:sz w:val="20"/>
                <w:szCs w:val="20"/>
              </w:rPr>
              <w:t>.</w:t>
            </w:r>
            <w:r w:rsidR="0078273D" w:rsidRPr="006E534A">
              <w:rPr>
                <w:sz w:val="20"/>
                <w:szCs w:val="20"/>
              </w:rPr>
              <w:t>, 96</w:t>
            </w:r>
            <w:r w:rsidR="005B41DA">
              <w:rPr>
                <w:sz w:val="20"/>
                <w:szCs w:val="20"/>
              </w:rPr>
              <w:t>/19</w:t>
            </w:r>
            <w:r w:rsidR="00136CB4">
              <w:rPr>
                <w:sz w:val="20"/>
                <w:szCs w:val="20"/>
              </w:rPr>
              <w:t>.</w:t>
            </w:r>
            <w:r w:rsidRPr="006E534A">
              <w:rPr>
                <w:sz w:val="20"/>
                <w:szCs w:val="20"/>
              </w:rPr>
              <w:t>)</w:t>
            </w:r>
          </w:p>
        </w:tc>
        <w:tc>
          <w:tcPr>
            <w:tcW w:w="1734" w:type="pct"/>
          </w:tcPr>
          <w:p w14:paraId="72BDB8AB" w14:textId="6AEBB953" w:rsidR="006015A3" w:rsidRPr="006E534A" w:rsidRDefault="006015A3" w:rsidP="005217C8">
            <w:pPr>
              <w:pStyle w:val="Default"/>
              <w:jc w:val="both"/>
              <w:rPr>
                <w:rFonts w:cstheme="minorHAnsi"/>
                <w:sz w:val="20"/>
                <w:szCs w:val="20"/>
              </w:rPr>
            </w:pPr>
            <w:r w:rsidRPr="006E534A">
              <w:rPr>
                <w:rFonts w:cstheme="minorHAnsi"/>
                <w:sz w:val="20"/>
                <w:szCs w:val="20"/>
              </w:rPr>
              <w:t xml:space="preserve">Agencija </w:t>
            </w:r>
            <w:r w:rsidR="007472DA" w:rsidRPr="006E534A">
              <w:rPr>
                <w:rFonts w:cstheme="minorHAnsi"/>
                <w:sz w:val="20"/>
                <w:szCs w:val="20"/>
              </w:rPr>
              <w:t>z</w:t>
            </w:r>
            <w:r w:rsidRPr="006E534A">
              <w:rPr>
                <w:rFonts w:cstheme="minorHAnsi"/>
                <w:sz w:val="20"/>
                <w:szCs w:val="20"/>
              </w:rPr>
              <w:t xml:space="preserve">a </w:t>
            </w:r>
            <w:r w:rsidR="007472DA" w:rsidRPr="006E534A">
              <w:rPr>
                <w:rFonts w:cstheme="minorHAnsi"/>
                <w:sz w:val="20"/>
                <w:szCs w:val="20"/>
              </w:rPr>
              <w:t xml:space="preserve">ugljikovodike (AZU) </w:t>
            </w:r>
            <w:r w:rsidRPr="006E534A">
              <w:rPr>
                <w:rFonts w:cstheme="minorHAnsi"/>
                <w:sz w:val="20"/>
                <w:szCs w:val="20"/>
              </w:rPr>
              <w:t>kao Središnje tijelo u RH za obvezne zalihe nafte i naftnih derivata obvezno je formirati zalihe najmanje u količini od 90 dana prosječnog dnevnog neto uvoza, odnosno unosa ili 61 dan prosječne dnevne domaće potrošnje naftnih derivata u prethodnoj kalendarskoj godini, ovisno o tome koja je količina veća. Obvezne zalihe nafte i naftnih derivata formiraju se za osiguranje opskrbe naftom i naftnim derivatima u slučaju prijetnje energetskoj sigurnosti države, zbog izvanrednih poremećaja opskrbe tržišta nafte i naftnih derivata.</w:t>
            </w:r>
          </w:p>
        </w:tc>
      </w:tr>
    </w:tbl>
    <w:p w14:paraId="62C89079" w14:textId="496BD696" w:rsidR="5B269282" w:rsidRDefault="5B269282"/>
    <w:p w14:paraId="0EFDAD01" w14:textId="77777777" w:rsidR="00283D59" w:rsidRDefault="007C36A4" w:rsidP="00283D59">
      <w:r w:rsidRPr="63259912">
        <w:t xml:space="preserve">Postojeći zakonodavni okvir će se </w:t>
      </w:r>
      <w:r w:rsidR="00CE2171" w:rsidRPr="63259912">
        <w:t>uskladiti s</w:t>
      </w:r>
      <w:r w:rsidRPr="63259912">
        <w:t xml:space="preserve"> novi</w:t>
      </w:r>
      <w:r w:rsidR="00CE2171" w:rsidRPr="63259912">
        <w:t>m</w:t>
      </w:r>
      <w:r w:rsidRPr="63259912">
        <w:t xml:space="preserve"> ciljevi</w:t>
      </w:r>
      <w:r w:rsidR="00CE2171" w:rsidRPr="63259912">
        <w:t>ma</w:t>
      </w:r>
      <w:r w:rsidRPr="63259912">
        <w:t xml:space="preserve"> i obvez</w:t>
      </w:r>
      <w:r w:rsidR="00CE2171" w:rsidRPr="63259912">
        <w:t>ama</w:t>
      </w:r>
      <w:r w:rsidRPr="63259912">
        <w:t xml:space="preserve"> definiran</w:t>
      </w:r>
      <w:r w:rsidR="00CE2171" w:rsidRPr="63259912">
        <w:t>im</w:t>
      </w:r>
      <w:r w:rsidRPr="63259912">
        <w:t xml:space="preserve"> Paketom o dekarboniziranim plinovima i vodiku (Decarbonised Gases and Hydrogen Package):</w:t>
      </w:r>
    </w:p>
    <w:p w14:paraId="0691E4FF" w14:textId="77777777" w:rsidR="00283D59" w:rsidRDefault="007C36A4" w:rsidP="00283D59">
      <w:r w:rsidRPr="00545B73">
        <w:t xml:space="preserve">DIREKTIVA (EU) 2024/1788 EUROPSKOG PARLAMENTA I VIJEĆA od 13. lipnja 2024. o zajedničkim pravilima za unutarnje tržište plina iz obnovljivih izvora, prirodnog plina i vodika, </w:t>
      </w:r>
      <w:r w:rsidRPr="00545B73">
        <w:lastRenderedPageBreak/>
        <w:t>izmjeni Direktive (EU) 2023/1791 i stavljanju izvan snage Direktive 2009/73/EZ (preinaka)</w:t>
      </w:r>
      <w:r w:rsidR="00BA5CFF">
        <w:t>(</w:t>
      </w:r>
      <w:r w:rsidR="00BA5CFF" w:rsidRPr="00BA5CFF">
        <w:t xml:space="preserve"> SL L, 2024/1788, 15.7.2024</w:t>
      </w:r>
      <w:r>
        <w:t>)</w:t>
      </w:r>
      <w:r w:rsidRPr="00545B73">
        <w:t>,</w:t>
      </w:r>
    </w:p>
    <w:p w14:paraId="6F54BE5C" w14:textId="0595DC8E" w:rsidR="00DA7722" w:rsidRPr="00B47BDA" w:rsidRDefault="007C36A4" w:rsidP="00283D59">
      <w:r w:rsidRPr="00545B73">
        <w:t>UREDBA (EU) 2024/1789 EUROPSKOG PARLAMENTA I VIJEĆA od 13. lipnja 2024. o unutarnjem tržištu plina iz obnovljivih izvora, prirodnog plina i vodika, o izmjeni uredbi (EU) br.1227/2011, (EU) 2017/1938, (EU) 2019/942 i (EU) 2022/869 i Odluke (EU) 2017/684 te o stavljanju izvan snage Uredbe (EZ) br. 715/2009 (preinaka)</w:t>
      </w:r>
      <w:r w:rsidR="004D2C4A">
        <w:t>(</w:t>
      </w:r>
      <w:r w:rsidR="004D2C4A" w:rsidRPr="004D2C4A">
        <w:t>SL L, 2024/1789, 15.7.2024</w:t>
      </w:r>
      <w:r w:rsidR="004D2C4A">
        <w:t>).</w:t>
      </w:r>
      <w:r w:rsidR="00DA7722" w:rsidRPr="00B47BDA">
        <w:br w:type="page"/>
      </w:r>
    </w:p>
    <w:p w14:paraId="30198DE7" w14:textId="44857FA4" w:rsidR="00FF0CF3" w:rsidRPr="00893F4D" w:rsidRDefault="00FF0CF3" w:rsidP="00557530">
      <w:pPr>
        <w:pStyle w:val="Heading5"/>
        <w:shd w:val="clear" w:color="auto" w:fill="DEEAF6" w:themeFill="accent1" w:themeFillTint="33"/>
      </w:pPr>
      <w:r w:rsidRPr="00893F4D">
        <w:lastRenderedPageBreak/>
        <w:t>Dimenzija</w:t>
      </w:r>
      <w:r w:rsidR="004D140C">
        <w:t>: u</w:t>
      </w:r>
      <w:r w:rsidRPr="00893F4D">
        <w:t>nutarnje energetsko tržište</w:t>
      </w:r>
    </w:p>
    <w:p w14:paraId="58406969" w14:textId="2A095EB1" w:rsidR="00634B7C" w:rsidRPr="00B47BDA" w:rsidRDefault="00634B7C" w:rsidP="004623DD">
      <w:r w:rsidRPr="00B47BDA">
        <w:t>Za unutarnje energetsko tržište relevantan je set zakona koji reguliraju energetska tržišta, i to:</w:t>
      </w:r>
    </w:p>
    <w:p w14:paraId="38ECC431" w14:textId="53256C25" w:rsidR="00985E80" w:rsidRPr="00B47BDA" w:rsidRDefault="00985E80" w:rsidP="006E534A">
      <w:pPr>
        <w:pStyle w:val="ListParagraph"/>
        <w:numPr>
          <w:ilvl w:val="0"/>
          <w:numId w:val="12"/>
        </w:numPr>
        <w:spacing w:after="60"/>
        <w:ind w:left="714" w:hanging="357"/>
      </w:pPr>
      <w:r w:rsidRPr="00B47BDA">
        <w:t>Zakon o energiji (</w:t>
      </w:r>
      <w:r w:rsidR="00CD49CE">
        <w:t>„</w:t>
      </w:r>
      <w:r w:rsidR="00071A4F" w:rsidRPr="00071A4F">
        <w:t xml:space="preserve">Narodne </w:t>
      </w:r>
      <w:r w:rsidR="00A97AE7">
        <w:t>novine</w:t>
      </w:r>
      <w:r w:rsidR="00CD49CE">
        <w:t>“</w:t>
      </w:r>
      <w:r w:rsidR="00071A4F" w:rsidRPr="00071A4F">
        <w:t>, br</w:t>
      </w:r>
      <w:r w:rsidR="005B41DA">
        <w:t>.</w:t>
      </w:r>
      <w:r w:rsidRPr="00B47BDA">
        <w:t xml:space="preserve"> 120</w:t>
      </w:r>
      <w:r w:rsidR="005B41DA">
        <w:t>/12</w:t>
      </w:r>
      <w:r w:rsidR="00CD49CE">
        <w:t>.</w:t>
      </w:r>
      <w:r w:rsidRPr="00B47BDA">
        <w:t>, 14</w:t>
      </w:r>
      <w:r w:rsidR="005B41DA">
        <w:t>/14</w:t>
      </w:r>
      <w:r w:rsidR="00CD49CE">
        <w:t>.</w:t>
      </w:r>
      <w:r w:rsidRPr="00B47BDA">
        <w:t>, 102</w:t>
      </w:r>
      <w:r w:rsidR="005B41DA">
        <w:t>/15</w:t>
      </w:r>
      <w:r w:rsidR="00CD49CE">
        <w:t>.</w:t>
      </w:r>
      <w:r w:rsidRPr="00B47BDA">
        <w:t>, 68</w:t>
      </w:r>
      <w:r w:rsidR="005B41DA">
        <w:t>/18</w:t>
      </w:r>
      <w:r w:rsidR="00CD49CE">
        <w:t>.</w:t>
      </w:r>
      <w:r w:rsidRPr="00B47BDA">
        <w:t>)</w:t>
      </w:r>
      <w:r w:rsidR="00355F4D" w:rsidRPr="00B47BDA">
        <w:t>,</w:t>
      </w:r>
    </w:p>
    <w:p w14:paraId="6E2F6351" w14:textId="2B129F9C" w:rsidR="00985E80" w:rsidRPr="00B47BDA" w:rsidRDefault="00985E80" w:rsidP="006E534A">
      <w:pPr>
        <w:pStyle w:val="ListParagraph"/>
        <w:numPr>
          <w:ilvl w:val="0"/>
          <w:numId w:val="12"/>
        </w:numPr>
        <w:spacing w:after="60"/>
        <w:ind w:left="714" w:hanging="357"/>
      </w:pPr>
      <w:r w:rsidRPr="00B47BDA">
        <w:t>Zakon o tržištu električne energije (</w:t>
      </w:r>
      <w:r w:rsidR="00CD49CE">
        <w:t>„</w:t>
      </w:r>
      <w:r w:rsidR="00071A4F" w:rsidRPr="00071A4F">
        <w:t xml:space="preserve">Narodne </w:t>
      </w:r>
      <w:r w:rsidR="00A97AE7">
        <w:t>novine</w:t>
      </w:r>
      <w:r w:rsidR="00CD49CE">
        <w:t>“</w:t>
      </w:r>
      <w:r w:rsidR="00071A4F" w:rsidRPr="00071A4F">
        <w:t>, br</w:t>
      </w:r>
      <w:r w:rsidR="00E967FD">
        <w:t>.</w:t>
      </w:r>
      <w:r w:rsidRPr="00B47BDA">
        <w:t xml:space="preserve"> </w:t>
      </w:r>
      <w:r w:rsidR="007A5730" w:rsidRPr="00B47BDA">
        <w:t>111</w:t>
      </w:r>
      <w:r w:rsidR="005B41DA">
        <w:t>/21</w:t>
      </w:r>
      <w:r w:rsidR="00CD49CE">
        <w:t>.</w:t>
      </w:r>
      <w:r w:rsidR="78CA894F">
        <w:t>, 83</w:t>
      </w:r>
      <w:r w:rsidR="005B41DA">
        <w:t>/23</w:t>
      </w:r>
      <w:r w:rsidR="00CD49CE">
        <w:t>.</w:t>
      </w:r>
      <w:r w:rsidRPr="00B47BDA">
        <w:t>)</w:t>
      </w:r>
      <w:r w:rsidR="00355F4D" w:rsidRPr="00B47BDA">
        <w:t>,</w:t>
      </w:r>
      <w:r w:rsidRPr="00B47BDA">
        <w:t xml:space="preserve"> </w:t>
      </w:r>
    </w:p>
    <w:p w14:paraId="7CCDB940" w14:textId="57011B6A" w:rsidR="009F6715" w:rsidRPr="00B47BDA" w:rsidRDefault="009F6715" w:rsidP="006E534A">
      <w:pPr>
        <w:pStyle w:val="ListParagraph"/>
        <w:numPr>
          <w:ilvl w:val="0"/>
          <w:numId w:val="12"/>
        </w:numPr>
        <w:spacing w:after="60"/>
        <w:ind w:left="714" w:hanging="357"/>
      </w:pPr>
      <w:r w:rsidRPr="00B47BDA">
        <w:t>Zakon o energetskoj učinkovitosti (</w:t>
      </w:r>
      <w:r w:rsidR="00CD49CE">
        <w:t>„</w:t>
      </w:r>
      <w:r w:rsidR="00071A4F" w:rsidRPr="00071A4F">
        <w:t xml:space="preserve">Narodne </w:t>
      </w:r>
      <w:r w:rsidR="00A97AE7">
        <w:t>novine</w:t>
      </w:r>
      <w:r w:rsidR="00CD49CE">
        <w:t>“</w:t>
      </w:r>
      <w:r w:rsidR="00071A4F" w:rsidRPr="00071A4F">
        <w:t>, br</w:t>
      </w:r>
      <w:r w:rsidR="00E967FD">
        <w:t>.</w:t>
      </w:r>
      <w:r w:rsidRPr="00B47BDA">
        <w:t xml:space="preserve"> 127/14</w:t>
      </w:r>
      <w:r w:rsidR="00CD49CE">
        <w:t>.</w:t>
      </w:r>
      <w:r w:rsidRPr="00B47BDA">
        <w:t>, 116/18</w:t>
      </w:r>
      <w:r w:rsidR="00CD49CE">
        <w:t>.</w:t>
      </w:r>
      <w:r w:rsidRPr="00B47BDA">
        <w:t>, 25/20</w:t>
      </w:r>
      <w:r w:rsidR="00CD49CE">
        <w:t>.</w:t>
      </w:r>
      <w:r w:rsidRPr="00B47BDA">
        <w:t>, 41</w:t>
      </w:r>
      <w:r w:rsidR="005B41DA">
        <w:t>/21</w:t>
      </w:r>
      <w:r w:rsidR="00CD49CE">
        <w:t>.</w:t>
      </w:r>
      <w:r w:rsidRPr="00B47BDA">
        <w:t>)</w:t>
      </w:r>
    </w:p>
    <w:p w14:paraId="713D20F4" w14:textId="024D5852" w:rsidR="00683FCB" w:rsidRPr="00B47BDA" w:rsidRDefault="00683FCB" w:rsidP="006E534A">
      <w:pPr>
        <w:pStyle w:val="ListParagraph"/>
        <w:numPr>
          <w:ilvl w:val="0"/>
          <w:numId w:val="12"/>
        </w:numPr>
        <w:spacing w:after="60"/>
        <w:ind w:left="714" w:hanging="357"/>
      </w:pPr>
      <w:r w:rsidRPr="00B47BDA">
        <w:t>Zakon o obnovljivim izvorima energije i visokoučinkovitoj kogeneraciji (</w:t>
      </w:r>
      <w:r w:rsidR="00CD49CE">
        <w:t>„</w:t>
      </w:r>
      <w:r w:rsidR="00071A4F" w:rsidRPr="00071A4F">
        <w:t xml:space="preserve">Narodne </w:t>
      </w:r>
      <w:r w:rsidR="00A97AE7">
        <w:t>novine</w:t>
      </w:r>
      <w:r w:rsidR="00CD49CE">
        <w:t>“</w:t>
      </w:r>
      <w:r w:rsidR="00071A4F" w:rsidRPr="00071A4F">
        <w:t>, br</w:t>
      </w:r>
      <w:r w:rsidR="00E967FD">
        <w:t>.</w:t>
      </w:r>
      <w:r w:rsidRPr="00B47BDA">
        <w:t xml:space="preserve"> 138</w:t>
      </w:r>
      <w:r w:rsidR="005B41DA">
        <w:t>/21</w:t>
      </w:r>
      <w:r w:rsidR="00CD49CE">
        <w:t>.</w:t>
      </w:r>
      <w:r w:rsidR="74B6CD56">
        <w:t>, 83</w:t>
      </w:r>
      <w:r w:rsidR="005B41DA">
        <w:t>/23</w:t>
      </w:r>
      <w:r w:rsidR="00CD49CE">
        <w:t>.</w:t>
      </w:r>
      <w:r w:rsidRPr="00B47BDA">
        <w:t>)</w:t>
      </w:r>
    </w:p>
    <w:p w14:paraId="6BA1C447" w14:textId="3609D9F0" w:rsidR="003C5E5F" w:rsidRPr="00B47BDA" w:rsidRDefault="003C5E5F" w:rsidP="006E534A">
      <w:pPr>
        <w:pStyle w:val="ListParagraph"/>
        <w:numPr>
          <w:ilvl w:val="0"/>
          <w:numId w:val="12"/>
        </w:numPr>
        <w:spacing w:after="60"/>
        <w:ind w:left="714" w:hanging="357"/>
      </w:pPr>
      <w:r w:rsidRPr="00B47BDA">
        <w:t>Zakon o tržištu toplinske energije (</w:t>
      </w:r>
      <w:r w:rsidR="00CD49CE">
        <w:t>„</w:t>
      </w:r>
      <w:r w:rsidR="00071A4F" w:rsidRPr="00071A4F">
        <w:t xml:space="preserve">Narodne </w:t>
      </w:r>
      <w:r w:rsidR="00A97AE7">
        <w:t>novine</w:t>
      </w:r>
      <w:r w:rsidR="00CD49CE">
        <w:t>“</w:t>
      </w:r>
      <w:r w:rsidR="00071A4F" w:rsidRPr="00071A4F">
        <w:t>, br</w:t>
      </w:r>
      <w:r w:rsidR="00E967FD">
        <w:t>.</w:t>
      </w:r>
      <w:r w:rsidRPr="00B47BDA">
        <w:t xml:space="preserve"> 80</w:t>
      </w:r>
      <w:r w:rsidR="005B41DA">
        <w:t>/13</w:t>
      </w:r>
      <w:r w:rsidR="00CD49CE">
        <w:t>.</w:t>
      </w:r>
      <w:r w:rsidRPr="00B47BDA">
        <w:t>,14</w:t>
      </w:r>
      <w:r w:rsidR="005B41DA">
        <w:t>/14</w:t>
      </w:r>
      <w:r w:rsidR="00CD49CE">
        <w:t>.</w:t>
      </w:r>
      <w:r w:rsidR="00824D6F">
        <w:t>, 102/14</w:t>
      </w:r>
      <w:r w:rsidR="00CD49CE">
        <w:t>.</w:t>
      </w:r>
      <w:r w:rsidR="00824D6F">
        <w:t xml:space="preserve">, </w:t>
      </w:r>
      <w:r w:rsidR="00995594">
        <w:t>95/15</w:t>
      </w:r>
      <w:r w:rsidR="00CD49CE">
        <w:t>.</w:t>
      </w:r>
      <w:r w:rsidR="00995594">
        <w:t>, 76/18</w:t>
      </w:r>
      <w:r w:rsidR="00CD49CE">
        <w:t>.</w:t>
      </w:r>
      <w:r w:rsidR="00995594">
        <w:t>, 86/19</w:t>
      </w:r>
      <w:r w:rsidR="00CD49CE">
        <w:t>.</w:t>
      </w:r>
      <w:r w:rsidRPr="00B47BDA">
        <w:t>)</w:t>
      </w:r>
    </w:p>
    <w:p w14:paraId="2B01FA43" w14:textId="54D16B70" w:rsidR="00985E80" w:rsidRPr="00B47BDA" w:rsidRDefault="00985E80" w:rsidP="006E534A">
      <w:pPr>
        <w:pStyle w:val="ListParagraph"/>
        <w:numPr>
          <w:ilvl w:val="0"/>
          <w:numId w:val="12"/>
        </w:numPr>
        <w:spacing w:after="60"/>
        <w:ind w:left="714" w:hanging="357"/>
      </w:pPr>
      <w:r w:rsidRPr="00B47BDA">
        <w:t>Zakon o tržištu plina (</w:t>
      </w:r>
      <w:r w:rsidR="00CD49CE">
        <w:t>„</w:t>
      </w:r>
      <w:r w:rsidR="00071A4F" w:rsidRPr="00071A4F">
        <w:t xml:space="preserve">Narodne </w:t>
      </w:r>
      <w:r w:rsidR="00A97AE7">
        <w:t>novine</w:t>
      </w:r>
      <w:r w:rsidR="00CD49CE">
        <w:t>“</w:t>
      </w:r>
      <w:r w:rsidR="00071A4F" w:rsidRPr="00071A4F">
        <w:t>, br</w:t>
      </w:r>
      <w:r w:rsidR="00E967FD">
        <w:t>.</w:t>
      </w:r>
      <w:r w:rsidRPr="00B47BDA">
        <w:t xml:space="preserve"> 18</w:t>
      </w:r>
      <w:r w:rsidR="005B41DA">
        <w:t>/18</w:t>
      </w:r>
      <w:r w:rsidR="00CD49CE">
        <w:t>.</w:t>
      </w:r>
      <w:r w:rsidR="007A5730" w:rsidRPr="00B47BDA">
        <w:t>, 23/20</w:t>
      </w:r>
      <w:r w:rsidR="00CD49CE">
        <w:t>.</w:t>
      </w:r>
      <w:r w:rsidRPr="00B47BDA">
        <w:t>)</w:t>
      </w:r>
      <w:r w:rsidR="00355F4D" w:rsidRPr="00B47BDA">
        <w:t>,</w:t>
      </w:r>
    </w:p>
    <w:p w14:paraId="05EA9C1C" w14:textId="1F5B5C3A" w:rsidR="00985E80" w:rsidRPr="00B47BDA" w:rsidRDefault="00985E80" w:rsidP="006E534A">
      <w:pPr>
        <w:pStyle w:val="ListParagraph"/>
        <w:numPr>
          <w:ilvl w:val="0"/>
          <w:numId w:val="12"/>
        </w:numPr>
        <w:spacing w:after="60"/>
        <w:ind w:left="714" w:hanging="357"/>
      </w:pPr>
      <w:r w:rsidRPr="00B47BDA">
        <w:t>Zakon o tržištu nafte i naftnih derivata (</w:t>
      </w:r>
      <w:r w:rsidR="00CD49CE">
        <w:t>„</w:t>
      </w:r>
      <w:r w:rsidR="00071A4F" w:rsidRPr="00071A4F">
        <w:t xml:space="preserve">Narodne </w:t>
      </w:r>
      <w:r w:rsidR="00A97AE7">
        <w:t>novine</w:t>
      </w:r>
      <w:r w:rsidR="00CD49CE">
        <w:t>“</w:t>
      </w:r>
      <w:r w:rsidR="00071A4F" w:rsidRPr="00071A4F">
        <w:t>, br</w:t>
      </w:r>
      <w:r w:rsidR="00E967FD">
        <w:t>.</w:t>
      </w:r>
      <w:r w:rsidRPr="00B47BDA">
        <w:t xml:space="preserve"> 19</w:t>
      </w:r>
      <w:r w:rsidR="005B41DA">
        <w:t>/2014</w:t>
      </w:r>
      <w:r w:rsidRPr="00B47BDA">
        <w:t>, 73</w:t>
      </w:r>
      <w:r w:rsidR="005B41DA">
        <w:t>/2017</w:t>
      </w:r>
      <w:r w:rsidR="007A5730" w:rsidRPr="00B47BDA">
        <w:t>, 96</w:t>
      </w:r>
      <w:r w:rsidR="005B41DA">
        <w:t>/2019</w:t>
      </w:r>
      <w:r w:rsidRPr="00B47BDA">
        <w:t>)</w:t>
      </w:r>
      <w:r w:rsidR="00355F4D" w:rsidRPr="00B47BDA">
        <w:t>,</w:t>
      </w:r>
    </w:p>
    <w:p w14:paraId="456AEBA1" w14:textId="15FB68A4" w:rsidR="003C5E5F" w:rsidRPr="00B47BDA" w:rsidRDefault="003C5E5F" w:rsidP="006E534A">
      <w:pPr>
        <w:pStyle w:val="ListParagraph"/>
        <w:numPr>
          <w:ilvl w:val="0"/>
          <w:numId w:val="12"/>
        </w:numPr>
        <w:spacing w:after="60"/>
        <w:ind w:left="714" w:hanging="357"/>
      </w:pPr>
      <w:r w:rsidRPr="00B47BDA">
        <w:t xml:space="preserve">Zakon </w:t>
      </w:r>
      <w:r w:rsidR="004D46E6" w:rsidRPr="00B47BDA">
        <w:t>o</w:t>
      </w:r>
      <w:r w:rsidRPr="00B47BDA">
        <w:t xml:space="preserve"> biogorivima za prijevoz (</w:t>
      </w:r>
      <w:r w:rsidR="00CD49CE">
        <w:t>„</w:t>
      </w:r>
      <w:r w:rsidR="00071A4F" w:rsidRPr="00071A4F">
        <w:t xml:space="preserve">Narodne </w:t>
      </w:r>
      <w:r w:rsidR="00A97AE7">
        <w:t>novine</w:t>
      </w:r>
      <w:r w:rsidR="00CD49CE">
        <w:t>“</w:t>
      </w:r>
      <w:r w:rsidR="00071A4F" w:rsidRPr="00071A4F">
        <w:t>, br</w:t>
      </w:r>
      <w:r w:rsidR="00E967FD">
        <w:t>.</w:t>
      </w:r>
      <w:r w:rsidRPr="00B47BDA">
        <w:t xml:space="preserve"> 65/09</w:t>
      </w:r>
      <w:r w:rsidR="00CD49CE">
        <w:t>.</w:t>
      </w:r>
      <w:r w:rsidRPr="00B47BDA">
        <w:t>, 145/10</w:t>
      </w:r>
      <w:r w:rsidR="00CD49CE">
        <w:t>.</w:t>
      </w:r>
      <w:r w:rsidRPr="00B47BDA">
        <w:t>, 26</w:t>
      </w:r>
      <w:r w:rsidR="005B41DA">
        <w:t>/11</w:t>
      </w:r>
      <w:r w:rsidR="00CD49CE">
        <w:t>.</w:t>
      </w:r>
      <w:r w:rsidRPr="00B47BDA">
        <w:t>, 144/12</w:t>
      </w:r>
      <w:r w:rsidR="00CD49CE">
        <w:t>.</w:t>
      </w:r>
      <w:r w:rsidRPr="00B47BDA">
        <w:t>, 14</w:t>
      </w:r>
      <w:r w:rsidR="005B41DA">
        <w:t>/14</w:t>
      </w:r>
      <w:r w:rsidR="00CD49CE">
        <w:t>.</w:t>
      </w:r>
      <w:r w:rsidRPr="00B47BDA">
        <w:t>, 94</w:t>
      </w:r>
      <w:r w:rsidR="005B41DA">
        <w:t>/18</w:t>
      </w:r>
      <w:r w:rsidR="00CD49CE">
        <w:t>.</w:t>
      </w:r>
      <w:r w:rsidRPr="00B47BDA">
        <w:t>, 52</w:t>
      </w:r>
      <w:r w:rsidR="005B41DA">
        <w:t>/21</w:t>
      </w:r>
      <w:r w:rsidR="00CD49CE">
        <w:t>.</w:t>
      </w:r>
      <w:r w:rsidRPr="00B47BDA">
        <w:t>)</w:t>
      </w:r>
    </w:p>
    <w:p w14:paraId="2E379B0B" w14:textId="76841B6D" w:rsidR="00985E80" w:rsidRPr="00B47BDA" w:rsidRDefault="00985E80" w:rsidP="006E534A">
      <w:pPr>
        <w:pStyle w:val="ListParagraph"/>
        <w:numPr>
          <w:ilvl w:val="0"/>
          <w:numId w:val="12"/>
        </w:numPr>
        <w:spacing w:after="60"/>
        <w:ind w:left="714" w:hanging="357"/>
      </w:pPr>
      <w:r w:rsidRPr="00B47BDA">
        <w:t>Zakon o regulaciji energetskih djelatnosti (</w:t>
      </w:r>
      <w:r w:rsidR="00CD49CE">
        <w:t>„</w:t>
      </w:r>
      <w:r w:rsidR="00071A4F" w:rsidRPr="00071A4F">
        <w:t xml:space="preserve">Narodne </w:t>
      </w:r>
      <w:r w:rsidR="00A97AE7">
        <w:t>novine</w:t>
      </w:r>
      <w:r w:rsidR="00CD49CE">
        <w:t>“</w:t>
      </w:r>
      <w:r w:rsidR="00071A4F" w:rsidRPr="00071A4F">
        <w:t>, br</w:t>
      </w:r>
      <w:r w:rsidR="00E967FD">
        <w:t>.</w:t>
      </w:r>
      <w:r w:rsidRPr="00B47BDA">
        <w:t xml:space="preserve"> 120</w:t>
      </w:r>
      <w:r w:rsidR="005B41DA">
        <w:t>/12</w:t>
      </w:r>
      <w:r w:rsidR="00CD49CE">
        <w:t>.</w:t>
      </w:r>
      <w:r w:rsidRPr="00B47BDA">
        <w:t>, 68</w:t>
      </w:r>
      <w:r w:rsidR="005B41DA">
        <w:t>/18</w:t>
      </w:r>
      <w:r w:rsidR="00CD49CE">
        <w:t>.</w:t>
      </w:r>
      <w:r w:rsidRPr="00B47BDA">
        <w:t>)</w:t>
      </w:r>
      <w:r w:rsidR="00355F4D" w:rsidRPr="00B47BDA">
        <w:t>,</w:t>
      </w:r>
    </w:p>
    <w:p w14:paraId="403CC7C8" w14:textId="238B3FA4" w:rsidR="004E23F6" w:rsidRPr="00B47BDA" w:rsidRDefault="004E23F6" w:rsidP="006E534A">
      <w:pPr>
        <w:pStyle w:val="ListParagraph"/>
        <w:numPr>
          <w:ilvl w:val="0"/>
          <w:numId w:val="12"/>
        </w:numPr>
        <w:spacing w:after="60"/>
        <w:ind w:left="714" w:hanging="357"/>
      </w:pPr>
      <w:r w:rsidRPr="00B47BDA">
        <w:t>Zakon o istraživanju i eksploataciji ugljikovodika (</w:t>
      </w:r>
      <w:r w:rsidR="00CD49CE">
        <w:t>„</w:t>
      </w:r>
      <w:r w:rsidR="00071A4F" w:rsidRPr="00071A4F">
        <w:t xml:space="preserve">Narodne </w:t>
      </w:r>
      <w:r w:rsidR="00A97AE7">
        <w:t>novine</w:t>
      </w:r>
      <w:r w:rsidR="00CD49CE">
        <w:t>“</w:t>
      </w:r>
      <w:r w:rsidR="00071A4F" w:rsidRPr="00071A4F">
        <w:t>, br</w:t>
      </w:r>
      <w:r w:rsidR="00E967FD">
        <w:t>.</w:t>
      </w:r>
      <w:r w:rsidRPr="00B47BDA">
        <w:t xml:space="preserve"> 52</w:t>
      </w:r>
      <w:r w:rsidR="005B41DA">
        <w:t>/18</w:t>
      </w:r>
      <w:r w:rsidR="00CD49CE">
        <w:t>.</w:t>
      </w:r>
      <w:r w:rsidRPr="00B47BDA">
        <w:t>, 52</w:t>
      </w:r>
      <w:r w:rsidR="005B41DA">
        <w:t>/19</w:t>
      </w:r>
      <w:r w:rsidR="00CD49CE">
        <w:t>.</w:t>
      </w:r>
      <w:r w:rsidR="007A5730" w:rsidRPr="00B47BDA">
        <w:t>, 30</w:t>
      </w:r>
      <w:r w:rsidR="005B41DA">
        <w:t>/21</w:t>
      </w:r>
      <w:r w:rsidR="00CD49CE">
        <w:t>.</w:t>
      </w:r>
      <w:r w:rsidRPr="00B47BDA">
        <w:t>).</w:t>
      </w:r>
    </w:p>
    <w:p w14:paraId="5C0B430D" w14:textId="56DDB442" w:rsidR="005A526A" w:rsidRPr="00B47BDA" w:rsidRDefault="005A526A" w:rsidP="00557530">
      <w:r w:rsidRPr="63259912">
        <w:t xml:space="preserve">U pogledu elektroenergetske međusobne povezanosti prije svega je potrebno razmotriti cilj EU prema kojem je željena razina interkonekcijske povezanosti najmanje 15 % u odnosu na instaliranu snagu elektrana u promatranoj državi do 2030. godine. Prijenosni sustav na području RH već sad zadovoljava te višestruko premašuje taj cilj. Isto vrijedi i </w:t>
      </w:r>
      <w:r w:rsidR="004F4102" w:rsidRPr="63259912">
        <w:t>ako</w:t>
      </w:r>
      <w:r w:rsidRPr="63259912">
        <w:t xml:space="preserve"> se postojeći interkonekcijski kapaciteti uspoređuju s vršnim opterećenjem sustava odnosno s instaliranom snagom O</w:t>
      </w:r>
      <w:r w:rsidR="000B3287" w:rsidRPr="63259912">
        <w:t>I</w:t>
      </w:r>
      <w:r w:rsidRPr="63259912">
        <w:t>E na teritoriju RH.</w:t>
      </w:r>
    </w:p>
    <w:p w14:paraId="31504785" w14:textId="1B842F2B" w:rsidR="005A526A" w:rsidRPr="00B47BDA" w:rsidRDefault="005A526A" w:rsidP="004623DD">
      <w:r w:rsidRPr="00B47BDA">
        <w:t xml:space="preserve">Najvažnije mjere u pogledu infrastrukture za prijenos energije prikazuje </w:t>
      </w:r>
      <w:r w:rsidR="00082DE1">
        <w:t>T</w:t>
      </w:r>
      <w:r w:rsidR="005217C8">
        <w:t xml:space="preserve">ablica </w:t>
      </w:r>
      <w:r w:rsidRPr="00B47BDA">
        <w:fldChar w:fldCharType="begin"/>
      </w:r>
      <w:r w:rsidRPr="00B47BDA">
        <w:instrText xml:space="preserve"> REF</w:instrText>
      </w:r>
      <w:r w:rsidRPr="005217C8">
        <w:instrText xml:space="preserve"> _Ref531676813</w:instrText>
      </w:r>
      <w:r w:rsidRPr="00B47BDA">
        <w:instrText xml:space="preserve"> \h </w:instrText>
      </w:r>
      <w:r w:rsidR="00FE6ED9" w:rsidRPr="00B47BDA">
        <w:instrText xml:space="preserve"> \* MERGEFORMAT </w:instrText>
      </w:r>
      <w:r w:rsidRPr="00B47BDA">
        <w:fldChar w:fldCharType="separate"/>
      </w:r>
      <w:r w:rsidR="00AD324D">
        <w:t>1</w:t>
      </w:r>
      <w:r w:rsidR="00AD324D" w:rsidRPr="00B47BDA">
        <w:noBreakHyphen/>
      </w:r>
      <w:r w:rsidR="00AD324D">
        <w:t>11</w:t>
      </w:r>
      <w:r w:rsidR="00AD324D" w:rsidRPr="00B47BDA">
        <w:t>.</w:t>
      </w:r>
      <w:r w:rsidRPr="00B47BDA">
        <w:fldChar w:fldCharType="end"/>
      </w:r>
    </w:p>
    <w:p w14:paraId="2A1D8552" w14:textId="1505B800" w:rsidR="007E6002" w:rsidRPr="00B47BDA" w:rsidRDefault="007E6002" w:rsidP="004623DD">
      <w:pPr>
        <w:pStyle w:val="Caption"/>
      </w:pPr>
      <w:bookmarkStart w:id="113" w:name="_Toc193035939"/>
      <w:r w:rsidRPr="00B47BDA">
        <w:t xml:space="preserve">Tablica </w:t>
      </w:r>
      <w:bookmarkStart w:id="114" w:name="_Ref531676813"/>
      <w:r w:rsidR="00F56C25">
        <w:fldChar w:fldCharType="begin"/>
      </w:r>
      <w:r w:rsidR="00F56C25">
        <w:instrText xml:space="preserve"> STYLEREF 1 \s </w:instrText>
      </w:r>
      <w:r w:rsidR="00F56C25">
        <w:fldChar w:fldCharType="separate"/>
      </w:r>
      <w:r w:rsidR="00AD324D">
        <w:rPr>
          <w:noProof/>
        </w:rPr>
        <w:t>1</w:t>
      </w:r>
      <w:r w:rsidR="00F56C25">
        <w:fldChar w:fldCharType="end"/>
      </w:r>
      <w:r w:rsidR="000C3EFD" w:rsidRPr="00B47BDA">
        <w:noBreakHyphen/>
      </w:r>
      <w:r>
        <w:fldChar w:fldCharType="begin"/>
      </w:r>
      <w:r>
        <w:instrText>SEQ Tablica \* ARABIC \s 1</w:instrText>
      </w:r>
      <w:r>
        <w:fldChar w:fldCharType="separate"/>
      </w:r>
      <w:r w:rsidR="00AD324D">
        <w:rPr>
          <w:noProof/>
        </w:rPr>
        <w:t>11</w:t>
      </w:r>
      <w:r>
        <w:fldChar w:fldCharType="end"/>
      </w:r>
      <w:r w:rsidR="00210967" w:rsidRPr="00B47BDA">
        <w:t>.</w:t>
      </w:r>
      <w:bookmarkEnd w:id="114"/>
      <w:r w:rsidR="00483D4C" w:rsidRPr="00B47BDA">
        <w:t xml:space="preserve"> </w:t>
      </w:r>
      <w:r w:rsidRPr="00B47BDA">
        <w:t xml:space="preserve">Postojeće mjere </w:t>
      </w:r>
      <w:r w:rsidR="005A526A" w:rsidRPr="00B47BDA">
        <w:t>za infrastrukturu za prijenos energije</w:t>
      </w:r>
      <w:bookmarkEnd w:id="113"/>
    </w:p>
    <w:tbl>
      <w:tblPr>
        <w:tblStyle w:val="NECP"/>
        <w:tblW w:w="5000" w:type="pct"/>
        <w:tblLook w:val="04A0" w:firstRow="1" w:lastRow="0" w:firstColumn="1" w:lastColumn="0" w:noHBand="0" w:noVBand="1"/>
      </w:tblPr>
      <w:tblGrid>
        <w:gridCol w:w="3202"/>
        <w:gridCol w:w="2646"/>
        <w:gridCol w:w="3202"/>
      </w:tblGrid>
      <w:tr w:rsidR="007E6002" w:rsidRPr="005217C8" w14:paraId="0D45AF2C" w14:textId="77777777" w:rsidTr="00ED7A5B">
        <w:trPr>
          <w:cnfStyle w:val="100000000000" w:firstRow="1" w:lastRow="0" w:firstColumn="0" w:lastColumn="0" w:oddVBand="0" w:evenVBand="0" w:oddHBand="0" w:evenHBand="0" w:firstRowFirstColumn="0" w:firstRowLastColumn="0" w:lastRowFirstColumn="0" w:lastRowLastColumn="0"/>
          <w:trHeight w:val="340"/>
        </w:trPr>
        <w:tc>
          <w:tcPr>
            <w:tcW w:w="1769" w:type="pct"/>
            <w:shd w:val="clear" w:color="auto" w:fill="D9E2F3" w:themeFill="accent5" w:themeFillTint="33"/>
          </w:tcPr>
          <w:p w14:paraId="49906A70" w14:textId="77777777" w:rsidR="007E6002" w:rsidRPr="006E534A" w:rsidRDefault="007E6002" w:rsidP="00ED7A5B">
            <w:pPr>
              <w:spacing w:after="0"/>
              <w:jc w:val="center"/>
              <w:rPr>
                <w:sz w:val="22"/>
                <w:szCs w:val="22"/>
              </w:rPr>
            </w:pPr>
            <w:r w:rsidRPr="006E534A">
              <w:rPr>
                <w:sz w:val="22"/>
                <w:szCs w:val="22"/>
              </w:rPr>
              <w:t>Naziv mjere</w:t>
            </w:r>
          </w:p>
        </w:tc>
        <w:tc>
          <w:tcPr>
            <w:tcW w:w="1462" w:type="pct"/>
            <w:shd w:val="clear" w:color="auto" w:fill="D9E2F3" w:themeFill="accent5" w:themeFillTint="33"/>
          </w:tcPr>
          <w:p w14:paraId="445027C0" w14:textId="77777777" w:rsidR="007E6002" w:rsidRPr="006E534A" w:rsidRDefault="007E6002" w:rsidP="00ED7A5B">
            <w:pPr>
              <w:spacing w:after="0"/>
              <w:jc w:val="center"/>
              <w:rPr>
                <w:sz w:val="22"/>
                <w:szCs w:val="22"/>
              </w:rPr>
            </w:pPr>
            <w:r w:rsidRPr="006E534A">
              <w:rPr>
                <w:sz w:val="22"/>
                <w:szCs w:val="22"/>
              </w:rPr>
              <w:t>Dokumenti</w:t>
            </w:r>
          </w:p>
        </w:tc>
        <w:tc>
          <w:tcPr>
            <w:tcW w:w="1769" w:type="pct"/>
            <w:shd w:val="clear" w:color="auto" w:fill="D9E2F3" w:themeFill="accent5" w:themeFillTint="33"/>
          </w:tcPr>
          <w:p w14:paraId="5211BB27" w14:textId="77777777" w:rsidR="007E6002" w:rsidRPr="006E534A" w:rsidRDefault="007E6002" w:rsidP="00ED7A5B">
            <w:pPr>
              <w:spacing w:after="0"/>
              <w:jc w:val="center"/>
              <w:rPr>
                <w:sz w:val="22"/>
                <w:szCs w:val="22"/>
              </w:rPr>
            </w:pPr>
            <w:r w:rsidRPr="006E534A">
              <w:rPr>
                <w:sz w:val="22"/>
                <w:szCs w:val="22"/>
              </w:rPr>
              <w:t>Kratki opis</w:t>
            </w:r>
          </w:p>
        </w:tc>
      </w:tr>
      <w:tr w:rsidR="007E6002" w:rsidRPr="005217C8" w14:paraId="2DEAE12D" w14:textId="77777777" w:rsidTr="005217C8">
        <w:tc>
          <w:tcPr>
            <w:tcW w:w="1769" w:type="pct"/>
          </w:tcPr>
          <w:p w14:paraId="455DE2F5" w14:textId="378F01C6" w:rsidR="007E6002" w:rsidRPr="006E534A" w:rsidRDefault="007E6002" w:rsidP="005217C8">
            <w:pPr>
              <w:pStyle w:val="Default"/>
              <w:jc w:val="both"/>
              <w:rPr>
                <w:rFonts w:cstheme="minorBidi"/>
                <w:b/>
                <w:sz w:val="22"/>
                <w:szCs w:val="22"/>
              </w:rPr>
            </w:pPr>
            <w:r w:rsidRPr="0B4FAE79">
              <w:rPr>
                <w:rFonts w:cstheme="minorBidi"/>
                <w:sz w:val="22"/>
                <w:szCs w:val="22"/>
              </w:rPr>
              <w:t>Izrada i provedba planova razvoja prijenosne elektroenergetske mreže</w:t>
            </w:r>
          </w:p>
        </w:tc>
        <w:tc>
          <w:tcPr>
            <w:tcW w:w="1462" w:type="pct"/>
          </w:tcPr>
          <w:p w14:paraId="6D268C6F" w14:textId="7F0CE968" w:rsidR="007E6002" w:rsidRPr="006E534A" w:rsidRDefault="007E6002" w:rsidP="0B4FAE79">
            <w:pPr>
              <w:pStyle w:val="Default"/>
              <w:jc w:val="both"/>
              <w:rPr>
                <w:rFonts w:cstheme="minorBidi"/>
                <w:sz w:val="22"/>
                <w:szCs w:val="22"/>
              </w:rPr>
            </w:pPr>
            <w:r w:rsidRPr="0B4FAE79">
              <w:rPr>
                <w:rFonts w:cstheme="minorBidi"/>
                <w:sz w:val="22"/>
                <w:szCs w:val="22"/>
              </w:rPr>
              <w:t>Zakon o tržištu električne energije (</w:t>
            </w:r>
            <w:r w:rsidR="00E67B46">
              <w:rPr>
                <w:rFonts w:cstheme="minorBidi"/>
                <w:sz w:val="22"/>
                <w:szCs w:val="22"/>
              </w:rPr>
              <w:t>„</w:t>
            </w:r>
            <w:r w:rsidR="00071A4F" w:rsidRPr="00071A4F">
              <w:rPr>
                <w:rFonts w:cstheme="minorBidi"/>
                <w:sz w:val="22"/>
                <w:szCs w:val="22"/>
              </w:rPr>
              <w:t xml:space="preserve">Narodne </w:t>
            </w:r>
            <w:r w:rsidR="00A97AE7">
              <w:rPr>
                <w:rFonts w:cstheme="minorBidi"/>
                <w:sz w:val="22"/>
                <w:szCs w:val="22"/>
              </w:rPr>
              <w:t>novine</w:t>
            </w:r>
            <w:r w:rsidR="00E67B46">
              <w:rPr>
                <w:rFonts w:cstheme="minorBidi"/>
                <w:sz w:val="22"/>
                <w:szCs w:val="22"/>
              </w:rPr>
              <w:t>“</w:t>
            </w:r>
            <w:r w:rsidR="00071A4F" w:rsidRPr="00071A4F">
              <w:rPr>
                <w:rFonts w:cstheme="minorBidi"/>
                <w:sz w:val="22"/>
                <w:szCs w:val="22"/>
              </w:rPr>
              <w:t xml:space="preserve">, </w:t>
            </w:r>
            <w:r w:rsidR="00004BB0">
              <w:rPr>
                <w:rFonts w:cstheme="minorBidi"/>
                <w:sz w:val="22"/>
                <w:szCs w:val="22"/>
              </w:rPr>
              <w:t>br</w:t>
            </w:r>
            <w:r w:rsidR="00995594">
              <w:rPr>
                <w:rFonts w:cstheme="minorBidi"/>
                <w:sz w:val="22"/>
                <w:szCs w:val="22"/>
              </w:rPr>
              <w:t>.</w:t>
            </w:r>
            <w:r w:rsidRPr="0B4FAE79">
              <w:rPr>
                <w:rFonts w:cstheme="minorBidi"/>
                <w:sz w:val="22"/>
                <w:szCs w:val="22"/>
              </w:rPr>
              <w:t xml:space="preserve"> </w:t>
            </w:r>
            <w:r w:rsidR="007A5730" w:rsidRPr="0B4FAE79">
              <w:rPr>
                <w:rFonts w:cstheme="minorBidi"/>
                <w:sz w:val="22"/>
                <w:szCs w:val="22"/>
              </w:rPr>
              <w:t>111</w:t>
            </w:r>
            <w:r w:rsidR="005B41DA">
              <w:rPr>
                <w:rFonts w:cstheme="minorBidi"/>
                <w:sz w:val="22"/>
                <w:szCs w:val="22"/>
              </w:rPr>
              <w:t>/21</w:t>
            </w:r>
            <w:r w:rsidR="00E67B46">
              <w:rPr>
                <w:rFonts w:cstheme="minorBidi"/>
                <w:sz w:val="22"/>
                <w:szCs w:val="22"/>
              </w:rPr>
              <w:t>.</w:t>
            </w:r>
            <w:r w:rsidR="00995594">
              <w:rPr>
                <w:rFonts w:cstheme="minorBidi"/>
                <w:sz w:val="22"/>
                <w:szCs w:val="22"/>
              </w:rPr>
              <w:t>, 83/23</w:t>
            </w:r>
            <w:r w:rsidR="00E67B46">
              <w:rPr>
                <w:rFonts w:cstheme="minorBidi"/>
                <w:sz w:val="22"/>
                <w:szCs w:val="22"/>
              </w:rPr>
              <w:t>.</w:t>
            </w:r>
            <w:r w:rsidRPr="0B4FAE79">
              <w:rPr>
                <w:rFonts w:cstheme="minorBidi"/>
                <w:sz w:val="22"/>
                <w:szCs w:val="22"/>
              </w:rPr>
              <w:t>)</w:t>
            </w:r>
          </w:p>
          <w:p w14:paraId="16C2C581" w14:textId="738269B4" w:rsidR="007E6002" w:rsidRPr="006E534A" w:rsidRDefault="007E6002" w:rsidP="0B4FAE79">
            <w:pPr>
              <w:pStyle w:val="Default"/>
              <w:jc w:val="both"/>
              <w:rPr>
                <w:rFonts w:cstheme="minorBidi"/>
                <w:sz w:val="22"/>
                <w:szCs w:val="22"/>
              </w:rPr>
            </w:pPr>
          </w:p>
          <w:p w14:paraId="3DD89EC8" w14:textId="3A0F24A6" w:rsidR="007E6002" w:rsidRPr="006E534A" w:rsidRDefault="01094489" w:rsidP="005217C8">
            <w:pPr>
              <w:pStyle w:val="Default"/>
              <w:jc w:val="both"/>
              <w:rPr>
                <w:rFonts w:cstheme="minorBidi"/>
                <w:sz w:val="22"/>
                <w:szCs w:val="22"/>
              </w:rPr>
            </w:pPr>
            <w:r w:rsidRPr="0B4FAE79">
              <w:rPr>
                <w:rFonts w:cstheme="minorBidi"/>
                <w:sz w:val="22"/>
                <w:szCs w:val="22"/>
              </w:rPr>
              <w:t xml:space="preserve">Strategija prilagodbe klimatskim promjenama u Republici Hrvatskoj za razdoblje do 2040. godine s pogledom na 2070. godinu </w:t>
            </w:r>
            <w:r w:rsidR="00EB08F1">
              <w:rPr>
                <w:rFonts w:cstheme="minorBidi"/>
                <w:sz w:val="22"/>
                <w:szCs w:val="22"/>
              </w:rPr>
              <w:t xml:space="preserve">(„Narodne novine“, br. </w:t>
            </w:r>
            <w:r w:rsidRPr="0B4FAE79">
              <w:rPr>
                <w:rFonts w:cstheme="minorBidi"/>
                <w:sz w:val="22"/>
                <w:szCs w:val="22"/>
              </w:rPr>
              <w:t>46/20</w:t>
            </w:r>
            <w:r w:rsidR="00E67B46">
              <w:rPr>
                <w:rFonts w:cstheme="minorBidi"/>
                <w:sz w:val="22"/>
                <w:szCs w:val="22"/>
              </w:rPr>
              <w:t>.</w:t>
            </w:r>
            <w:r w:rsidRPr="0B4FAE79">
              <w:rPr>
                <w:rFonts w:cstheme="minorBidi"/>
                <w:sz w:val="22"/>
                <w:szCs w:val="22"/>
              </w:rPr>
              <w:t xml:space="preserve">)     </w:t>
            </w:r>
          </w:p>
        </w:tc>
        <w:tc>
          <w:tcPr>
            <w:tcW w:w="1769" w:type="pct"/>
          </w:tcPr>
          <w:p w14:paraId="3BB4B983" w14:textId="0A450AFD" w:rsidR="007E6002" w:rsidRPr="00E967FD" w:rsidRDefault="007E6002" w:rsidP="55103C4F">
            <w:pPr>
              <w:pStyle w:val="Default"/>
              <w:jc w:val="both"/>
              <w:rPr>
                <w:rFonts w:cstheme="minorHAnsi"/>
                <w:sz w:val="22"/>
                <w:szCs w:val="22"/>
              </w:rPr>
            </w:pPr>
            <w:r w:rsidRPr="006E534A">
              <w:rPr>
                <w:rFonts w:cstheme="minorHAnsi"/>
                <w:sz w:val="22"/>
                <w:szCs w:val="22"/>
              </w:rPr>
              <w:t>HOPS je energetski subjekt odgovoran za upravljanje, pogon i vođenje, održavanje, razvoj i izgradnju prijenosne elektroenergetske mreže. Temeljem Zakona o</w:t>
            </w:r>
            <w:r w:rsidR="00E967FD">
              <w:rPr>
                <w:rFonts w:cstheme="minorHAnsi"/>
                <w:sz w:val="22"/>
                <w:szCs w:val="22"/>
              </w:rPr>
              <w:t xml:space="preserve"> </w:t>
            </w:r>
            <w:r w:rsidRPr="55103C4F">
              <w:rPr>
                <w:rFonts w:cstheme="minorBidi"/>
                <w:sz w:val="22"/>
                <w:szCs w:val="22"/>
              </w:rPr>
              <w:t xml:space="preserve">tržištu električne energije, HOPS je kao vlasnik prijenosne mreže 110 kV do 400 kV, dužan </w:t>
            </w:r>
            <w:r w:rsidR="00DC525A" w:rsidRPr="55103C4F">
              <w:rPr>
                <w:rFonts w:cstheme="minorBidi"/>
                <w:sz w:val="22"/>
                <w:szCs w:val="22"/>
              </w:rPr>
              <w:t xml:space="preserve">svake godine </w:t>
            </w:r>
            <w:r w:rsidRPr="55103C4F">
              <w:rPr>
                <w:rFonts w:cstheme="minorBidi"/>
                <w:sz w:val="22"/>
                <w:szCs w:val="22"/>
              </w:rPr>
              <w:t>izraditi i donijeti, uz prethodnu suglasnost</w:t>
            </w:r>
            <w:r w:rsidR="00DC525A" w:rsidRPr="55103C4F">
              <w:rPr>
                <w:rFonts w:cstheme="minorBidi"/>
                <w:sz w:val="22"/>
                <w:szCs w:val="22"/>
              </w:rPr>
              <w:t xml:space="preserve"> Ministarstva </w:t>
            </w:r>
            <w:r w:rsidR="005110A8" w:rsidRPr="55103C4F">
              <w:rPr>
                <w:rFonts w:cstheme="minorBidi"/>
                <w:sz w:val="22"/>
                <w:szCs w:val="22"/>
              </w:rPr>
              <w:t xml:space="preserve">gospodarstva </w:t>
            </w:r>
            <w:r w:rsidR="00DC525A" w:rsidRPr="55103C4F">
              <w:rPr>
                <w:rFonts w:cstheme="minorBidi"/>
                <w:sz w:val="22"/>
                <w:szCs w:val="22"/>
              </w:rPr>
              <w:t>i odobr</w:t>
            </w:r>
            <w:r w:rsidR="00027C53" w:rsidRPr="55103C4F">
              <w:rPr>
                <w:rFonts w:cstheme="minorBidi"/>
                <w:sz w:val="22"/>
                <w:szCs w:val="22"/>
              </w:rPr>
              <w:t>e</w:t>
            </w:r>
            <w:r w:rsidR="00DC525A" w:rsidRPr="55103C4F">
              <w:rPr>
                <w:rFonts w:cstheme="minorBidi"/>
                <w:sz w:val="22"/>
                <w:szCs w:val="22"/>
              </w:rPr>
              <w:t>nje</w:t>
            </w:r>
            <w:r w:rsidRPr="55103C4F">
              <w:rPr>
                <w:rFonts w:cstheme="minorBidi"/>
                <w:sz w:val="22"/>
                <w:szCs w:val="22"/>
              </w:rPr>
              <w:t xml:space="preserve"> HERA</w:t>
            </w:r>
            <w:r w:rsidR="007472DA" w:rsidRPr="55103C4F">
              <w:rPr>
                <w:rFonts w:cstheme="minorBidi"/>
                <w:sz w:val="22"/>
                <w:szCs w:val="22"/>
              </w:rPr>
              <w:t>-e</w:t>
            </w:r>
            <w:r w:rsidRPr="55103C4F">
              <w:rPr>
                <w:rFonts w:cstheme="minorBidi"/>
                <w:sz w:val="22"/>
                <w:szCs w:val="22"/>
              </w:rPr>
              <w:t xml:space="preserve">, </w:t>
            </w:r>
            <w:r w:rsidR="00466DE1" w:rsidRPr="55103C4F">
              <w:rPr>
                <w:rFonts w:cstheme="minorBidi"/>
                <w:sz w:val="22"/>
                <w:szCs w:val="22"/>
              </w:rPr>
              <w:t>ažurirani desetogodišnji</w:t>
            </w:r>
            <w:r w:rsidR="00722862" w:rsidRPr="55103C4F">
              <w:rPr>
                <w:rFonts w:cstheme="minorBidi"/>
                <w:sz w:val="22"/>
                <w:szCs w:val="22"/>
              </w:rPr>
              <w:t xml:space="preserve"> plan razvoja prijenosne mreže</w:t>
            </w:r>
            <w:r w:rsidRPr="55103C4F">
              <w:rPr>
                <w:rFonts w:cstheme="minorBidi"/>
                <w:sz w:val="22"/>
                <w:szCs w:val="22"/>
              </w:rPr>
              <w:t xml:space="preserve">, </w:t>
            </w:r>
            <w:r w:rsidR="00E718B3" w:rsidRPr="55103C4F">
              <w:rPr>
                <w:rFonts w:cstheme="minorBidi"/>
                <w:sz w:val="22"/>
                <w:szCs w:val="22"/>
              </w:rPr>
              <w:t xml:space="preserve">koji uključuje </w:t>
            </w:r>
            <w:r w:rsidR="001A31B0" w:rsidRPr="55103C4F">
              <w:rPr>
                <w:rFonts w:cstheme="minorBidi"/>
                <w:sz w:val="22"/>
                <w:szCs w:val="22"/>
              </w:rPr>
              <w:t xml:space="preserve">detaljno iskazana </w:t>
            </w:r>
            <w:r w:rsidR="001A31B0" w:rsidRPr="55103C4F">
              <w:rPr>
                <w:rFonts w:cstheme="minorBidi"/>
                <w:sz w:val="22"/>
                <w:szCs w:val="22"/>
              </w:rPr>
              <w:lastRenderedPageBreak/>
              <w:t xml:space="preserve">ulaganja u </w:t>
            </w:r>
            <w:r w:rsidR="00572371" w:rsidRPr="55103C4F">
              <w:rPr>
                <w:rFonts w:cstheme="minorBidi"/>
                <w:sz w:val="22"/>
                <w:szCs w:val="22"/>
              </w:rPr>
              <w:t>sljedećem trogodišnjem i jednogodišnjem razdoblju.</w:t>
            </w:r>
          </w:p>
          <w:p w14:paraId="2FF39012" w14:textId="2A11A63B" w:rsidR="007E6002" w:rsidRPr="006E534A" w:rsidRDefault="3DDC6404" w:rsidP="005217C8">
            <w:pPr>
              <w:pStyle w:val="Default"/>
              <w:jc w:val="both"/>
              <w:rPr>
                <w:rFonts w:cstheme="minorBidi"/>
                <w:sz w:val="22"/>
                <w:szCs w:val="22"/>
              </w:rPr>
            </w:pPr>
            <w:r w:rsidRPr="55103C4F">
              <w:rPr>
                <w:rFonts w:cstheme="minorBidi"/>
                <w:sz w:val="22"/>
                <w:szCs w:val="22"/>
              </w:rPr>
              <w:t xml:space="preserve">Prema Strategiji prilagodbe  potrebno je provesti u cijelosti mjere  E-01, E-02, E-03, E-04, E-05, E-06 i E-07  kako bi se adresirala prilagodba klimatskim promjenama u cijelome sektoru energetike i ukazala ranjivost na klimatske promjene kao i predložile mjere prilagodbe klimatskim promjenama. Negativan utjecaj klimatskih promjena na sektor energetike je značajan i neprestano raste. Planovi trebaju sadržavati rezultate  provedbe tih mjera i aktivnosti.  </w:t>
            </w:r>
          </w:p>
        </w:tc>
      </w:tr>
      <w:tr w:rsidR="007E6002" w:rsidRPr="005217C8" w14:paraId="18931882" w14:textId="77777777" w:rsidTr="005217C8">
        <w:tc>
          <w:tcPr>
            <w:tcW w:w="1769" w:type="pct"/>
          </w:tcPr>
          <w:p w14:paraId="26CD3EA3" w14:textId="7C9B2F6F" w:rsidR="007E6002" w:rsidRPr="006E534A" w:rsidRDefault="007E6002" w:rsidP="005217C8">
            <w:pPr>
              <w:pStyle w:val="Default"/>
              <w:jc w:val="both"/>
              <w:rPr>
                <w:rFonts w:cstheme="minorBidi"/>
                <w:sz w:val="22"/>
                <w:szCs w:val="22"/>
              </w:rPr>
            </w:pPr>
            <w:r w:rsidRPr="0B4FAE79">
              <w:rPr>
                <w:rFonts w:cstheme="minorBidi"/>
                <w:sz w:val="22"/>
                <w:szCs w:val="22"/>
              </w:rPr>
              <w:lastRenderedPageBreak/>
              <w:t xml:space="preserve">Izrada i provedba planova razvoja distribucijske elektroenergetske </w:t>
            </w:r>
            <w:r w:rsidR="5543B185" w:rsidRPr="55103C4F">
              <w:rPr>
                <w:rFonts w:cstheme="minorBidi"/>
                <w:sz w:val="22"/>
                <w:szCs w:val="22"/>
              </w:rPr>
              <w:t>mreže</w:t>
            </w:r>
          </w:p>
        </w:tc>
        <w:tc>
          <w:tcPr>
            <w:tcW w:w="1462" w:type="pct"/>
          </w:tcPr>
          <w:p w14:paraId="25C1A929" w14:textId="3341D26B" w:rsidR="007E6002" w:rsidRPr="006E534A" w:rsidRDefault="007E6002" w:rsidP="0B4FAE79">
            <w:pPr>
              <w:pStyle w:val="Default"/>
              <w:jc w:val="both"/>
              <w:rPr>
                <w:rFonts w:cstheme="minorBidi"/>
                <w:sz w:val="22"/>
                <w:szCs w:val="22"/>
              </w:rPr>
            </w:pPr>
            <w:r w:rsidRPr="0B4FAE79">
              <w:rPr>
                <w:rFonts w:cstheme="minorBidi"/>
                <w:sz w:val="22"/>
                <w:szCs w:val="22"/>
              </w:rPr>
              <w:t>Zakon o tržištu električne energije (</w:t>
            </w:r>
            <w:r w:rsidR="00C9378A">
              <w:rPr>
                <w:rFonts w:cstheme="minorBidi"/>
                <w:sz w:val="22"/>
                <w:szCs w:val="22"/>
              </w:rPr>
              <w:t>„</w:t>
            </w:r>
            <w:r w:rsidR="00071A4F" w:rsidRPr="00071A4F">
              <w:rPr>
                <w:rFonts w:cstheme="minorBidi"/>
                <w:sz w:val="22"/>
                <w:szCs w:val="22"/>
              </w:rPr>
              <w:t xml:space="preserve">Narodne </w:t>
            </w:r>
            <w:r w:rsidR="00A97AE7">
              <w:rPr>
                <w:rFonts w:cstheme="minorBidi"/>
                <w:sz w:val="22"/>
                <w:szCs w:val="22"/>
              </w:rPr>
              <w:t>novine</w:t>
            </w:r>
            <w:r w:rsidR="00C9378A">
              <w:rPr>
                <w:rFonts w:cstheme="minorBidi"/>
                <w:sz w:val="22"/>
                <w:szCs w:val="22"/>
              </w:rPr>
              <w:t>“</w:t>
            </w:r>
            <w:r w:rsidR="00071A4F" w:rsidRPr="00071A4F">
              <w:rPr>
                <w:rFonts w:cstheme="minorBidi"/>
                <w:sz w:val="22"/>
                <w:szCs w:val="22"/>
              </w:rPr>
              <w:t xml:space="preserve">, </w:t>
            </w:r>
            <w:r w:rsidR="00004BB0">
              <w:rPr>
                <w:rFonts w:cstheme="minorBidi"/>
                <w:sz w:val="22"/>
                <w:szCs w:val="22"/>
              </w:rPr>
              <w:t>br</w:t>
            </w:r>
            <w:r w:rsidR="00995594">
              <w:rPr>
                <w:rFonts w:cstheme="minorBidi"/>
                <w:sz w:val="22"/>
                <w:szCs w:val="22"/>
              </w:rPr>
              <w:t>.</w:t>
            </w:r>
            <w:r w:rsidRPr="0B4FAE79">
              <w:rPr>
                <w:rFonts w:cstheme="minorBidi"/>
                <w:sz w:val="22"/>
                <w:szCs w:val="22"/>
              </w:rPr>
              <w:t xml:space="preserve"> </w:t>
            </w:r>
            <w:r w:rsidR="007A5730" w:rsidRPr="0B4FAE79">
              <w:rPr>
                <w:rFonts w:cstheme="minorBidi"/>
                <w:sz w:val="22"/>
                <w:szCs w:val="22"/>
              </w:rPr>
              <w:t>111</w:t>
            </w:r>
            <w:r w:rsidR="005B41DA">
              <w:rPr>
                <w:rFonts w:cstheme="minorBidi"/>
                <w:sz w:val="22"/>
                <w:szCs w:val="22"/>
              </w:rPr>
              <w:t>/21</w:t>
            </w:r>
            <w:r w:rsidR="00C9378A">
              <w:rPr>
                <w:rFonts w:cstheme="minorBidi"/>
                <w:sz w:val="22"/>
                <w:szCs w:val="22"/>
              </w:rPr>
              <w:t>.</w:t>
            </w:r>
            <w:r w:rsidR="00995594">
              <w:rPr>
                <w:rFonts w:cstheme="minorBidi"/>
                <w:sz w:val="22"/>
                <w:szCs w:val="22"/>
              </w:rPr>
              <w:t>, 83/23</w:t>
            </w:r>
            <w:r w:rsidR="00C9378A">
              <w:rPr>
                <w:rFonts w:cstheme="minorBidi"/>
                <w:sz w:val="22"/>
                <w:szCs w:val="22"/>
              </w:rPr>
              <w:t>.</w:t>
            </w:r>
            <w:r w:rsidRPr="0B4FAE79">
              <w:rPr>
                <w:rFonts w:cstheme="minorBidi"/>
                <w:sz w:val="22"/>
                <w:szCs w:val="22"/>
              </w:rPr>
              <w:t>)</w:t>
            </w:r>
          </w:p>
          <w:p w14:paraId="14527FF3" w14:textId="3BFAB330" w:rsidR="007E6002" w:rsidRPr="006E534A" w:rsidRDefault="007E6002" w:rsidP="0B4FAE79">
            <w:pPr>
              <w:pStyle w:val="Default"/>
              <w:jc w:val="both"/>
              <w:rPr>
                <w:rFonts w:cstheme="minorBidi"/>
                <w:sz w:val="22"/>
                <w:szCs w:val="22"/>
              </w:rPr>
            </w:pPr>
          </w:p>
          <w:p w14:paraId="2AE8AB0A" w14:textId="500023ED" w:rsidR="007E6002" w:rsidRPr="006E534A" w:rsidRDefault="3B24660B" w:rsidP="005217C8">
            <w:pPr>
              <w:pStyle w:val="Default"/>
              <w:jc w:val="both"/>
              <w:rPr>
                <w:rFonts w:cstheme="minorBidi"/>
                <w:sz w:val="22"/>
                <w:szCs w:val="22"/>
              </w:rPr>
            </w:pPr>
            <w:r w:rsidRPr="0B4FAE79">
              <w:rPr>
                <w:rFonts w:cstheme="minorBidi"/>
                <w:sz w:val="22"/>
                <w:szCs w:val="22"/>
              </w:rPr>
              <w:t xml:space="preserve">Strategija prilagodbe klimatskim promjenama u Republici Hrvatskoj za razdoblje do 2040. godine s pogledom na 2070. godinu </w:t>
            </w:r>
            <w:r w:rsidR="00EB08F1">
              <w:rPr>
                <w:rFonts w:cstheme="minorBidi"/>
                <w:sz w:val="22"/>
                <w:szCs w:val="22"/>
              </w:rPr>
              <w:t xml:space="preserve">(„Narodne novine“, br. </w:t>
            </w:r>
            <w:r w:rsidRPr="0B4FAE79">
              <w:rPr>
                <w:rFonts w:cstheme="minorBidi"/>
                <w:sz w:val="22"/>
                <w:szCs w:val="22"/>
              </w:rPr>
              <w:t>46/20</w:t>
            </w:r>
            <w:r w:rsidR="00C9378A">
              <w:rPr>
                <w:rFonts w:cstheme="minorBidi"/>
                <w:sz w:val="22"/>
                <w:szCs w:val="22"/>
              </w:rPr>
              <w:t>.</w:t>
            </w:r>
            <w:r w:rsidRPr="0B4FAE79">
              <w:rPr>
                <w:rFonts w:cstheme="minorBidi"/>
                <w:sz w:val="22"/>
                <w:szCs w:val="22"/>
              </w:rPr>
              <w:t>)</w:t>
            </w:r>
          </w:p>
        </w:tc>
        <w:tc>
          <w:tcPr>
            <w:tcW w:w="1769" w:type="pct"/>
          </w:tcPr>
          <w:p w14:paraId="030ED8D0" w14:textId="7BD07DD3" w:rsidR="005E3C07" w:rsidRPr="006E534A" w:rsidRDefault="005E3C07" w:rsidP="55103C4F">
            <w:pPr>
              <w:pStyle w:val="Default"/>
              <w:jc w:val="both"/>
              <w:rPr>
                <w:rFonts w:cstheme="minorBidi"/>
                <w:sz w:val="22"/>
                <w:szCs w:val="22"/>
                <w:highlight w:val="yellow"/>
              </w:rPr>
            </w:pPr>
            <w:r w:rsidRPr="55103C4F">
              <w:rPr>
                <w:rFonts w:cstheme="minorBidi"/>
                <w:sz w:val="22"/>
                <w:szCs w:val="22"/>
              </w:rPr>
              <w:t>HEP</w:t>
            </w:r>
            <w:r w:rsidR="00D938AA" w:rsidRPr="55103C4F">
              <w:rPr>
                <w:rFonts w:cstheme="minorBidi"/>
                <w:sz w:val="22"/>
                <w:szCs w:val="22"/>
              </w:rPr>
              <w:t xml:space="preserve"> ODS</w:t>
            </w:r>
            <w:r w:rsidR="004325EB" w:rsidRPr="55103C4F">
              <w:rPr>
                <w:rFonts w:cstheme="minorBidi"/>
                <w:sz w:val="22"/>
                <w:szCs w:val="22"/>
              </w:rPr>
              <w:t>,</w:t>
            </w:r>
            <w:r w:rsidRPr="55103C4F">
              <w:rPr>
                <w:rFonts w:cstheme="minorBidi"/>
                <w:sz w:val="22"/>
                <w:szCs w:val="22"/>
              </w:rPr>
              <w:t xml:space="preserve"> određ</w:t>
            </w:r>
            <w:r w:rsidR="00A513FB" w:rsidRPr="55103C4F">
              <w:rPr>
                <w:rFonts w:cstheme="minorBidi"/>
                <w:sz w:val="22"/>
                <w:szCs w:val="22"/>
              </w:rPr>
              <w:t>en</w:t>
            </w:r>
            <w:r w:rsidRPr="55103C4F">
              <w:rPr>
                <w:rFonts w:cstheme="minorBidi"/>
                <w:sz w:val="22"/>
                <w:szCs w:val="22"/>
              </w:rPr>
              <w:t xml:space="preserve"> operatorom distribucijskog sustava za područje Republike Hrvatske na vremensko razdoblje od 50 godina</w:t>
            </w:r>
            <w:r w:rsidR="004325EB" w:rsidRPr="55103C4F">
              <w:rPr>
                <w:rFonts w:cstheme="minorBidi"/>
                <w:sz w:val="22"/>
                <w:szCs w:val="22"/>
              </w:rPr>
              <w:t>,</w:t>
            </w:r>
            <w:r w:rsidR="000812F8" w:rsidRPr="55103C4F">
              <w:rPr>
                <w:rFonts w:cstheme="minorBidi"/>
                <w:sz w:val="22"/>
                <w:szCs w:val="22"/>
              </w:rPr>
              <w:t xml:space="preserve"> </w:t>
            </w:r>
            <w:r w:rsidR="005C0D68" w:rsidRPr="55103C4F">
              <w:rPr>
                <w:rFonts w:cstheme="minorBidi"/>
                <w:sz w:val="22"/>
                <w:szCs w:val="22"/>
              </w:rPr>
              <w:t>o</w:t>
            </w:r>
            <w:r w:rsidR="000812F8" w:rsidRPr="55103C4F">
              <w:rPr>
                <w:rFonts w:cstheme="minorBidi"/>
                <w:sz w:val="22"/>
                <w:szCs w:val="22"/>
              </w:rPr>
              <w:t>dgovoran je za pogon i vođenje, održavanje, razvoj i izgradnju distribucijske mreže</w:t>
            </w:r>
            <w:r w:rsidR="00C61DD0" w:rsidRPr="55103C4F">
              <w:rPr>
                <w:rFonts w:cstheme="minorBidi"/>
                <w:sz w:val="22"/>
                <w:szCs w:val="22"/>
              </w:rPr>
              <w:t xml:space="preserve"> </w:t>
            </w:r>
            <w:r w:rsidR="007E35A3" w:rsidRPr="55103C4F">
              <w:rPr>
                <w:rFonts w:cstheme="minorBidi"/>
                <w:sz w:val="22"/>
                <w:szCs w:val="22"/>
              </w:rPr>
              <w:t xml:space="preserve">i </w:t>
            </w:r>
            <w:r w:rsidR="00C61DD0" w:rsidRPr="55103C4F">
              <w:rPr>
                <w:rFonts w:cstheme="minorBidi"/>
                <w:sz w:val="22"/>
                <w:szCs w:val="22"/>
              </w:rPr>
              <w:t>dužan svake godine izraditi i donijeti, uz prethodno odobrenje HERA-e, ažurirani desetogodišnji plan razvoja distribucijske mreže, koji uključuje detaljno iskazana ulaganja u sljedećem trogodišnjem i jednogodišnjem razdoblju.</w:t>
            </w:r>
          </w:p>
          <w:p w14:paraId="3AF65E79" w14:textId="03E4FF35" w:rsidR="005E3C07" w:rsidRPr="006E534A" w:rsidRDefault="655F5079" w:rsidP="00E967FD">
            <w:pPr>
              <w:pStyle w:val="Default"/>
              <w:spacing w:line="259" w:lineRule="auto"/>
              <w:jc w:val="both"/>
              <w:rPr>
                <w:rFonts w:cstheme="minorBidi"/>
                <w:sz w:val="22"/>
                <w:szCs w:val="22"/>
              </w:rPr>
            </w:pPr>
            <w:r w:rsidRPr="55103C4F">
              <w:rPr>
                <w:rFonts w:cstheme="minorBidi"/>
                <w:sz w:val="22"/>
                <w:szCs w:val="22"/>
              </w:rPr>
              <w:t xml:space="preserve">Prema Strategiji prilagodbe  potrebno je provesti u cijelosti mjere  E-01, E-02, E-03, E-04, E-05, E-06 i E-07  kako bi se adresirala prilagodba klimatskim promjenama u cijelome sektoru energetike i ukazala ranjivost na klimatske promjene kao i predložile mjere prilagodbe klimatskim promjenama. Negativan utjecaj klimatskih promjena na sektor energetike je značajan i neprestano raste. Planovi trebaju sadržavati </w:t>
            </w:r>
            <w:r w:rsidRPr="55103C4F">
              <w:rPr>
                <w:rFonts w:cstheme="minorBidi"/>
                <w:sz w:val="22"/>
                <w:szCs w:val="22"/>
              </w:rPr>
              <w:lastRenderedPageBreak/>
              <w:t xml:space="preserve">rezultate  provedbe tih mjera i aktivnosti.  </w:t>
            </w:r>
          </w:p>
        </w:tc>
      </w:tr>
      <w:tr w:rsidR="007E6002" w:rsidRPr="005217C8" w14:paraId="6CA3A87D" w14:textId="77777777" w:rsidTr="005217C8">
        <w:tc>
          <w:tcPr>
            <w:tcW w:w="1769" w:type="pct"/>
          </w:tcPr>
          <w:p w14:paraId="5E1FF0D1" w14:textId="37A50824" w:rsidR="007E6002" w:rsidRPr="00A556B6" w:rsidRDefault="007E6002" w:rsidP="005217C8">
            <w:pPr>
              <w:pStyle w:val="Default"/>
              <w:jc w:val="both"/>
              <w:rPr>
                <w:rFonts w:cstheme="minorBidi"/>
                <w:b/>
                <w:sz w:val="22"/>
                <w:szCs w:val="22"/>
              </w:rPr>
            </w:pPr>
            <w:r w:rsidRPr="0B4FAE79">
              <w:rPr>
                <w:rFonts w:cstheme="minorBidi"/>
                <w:sz w:val="22"/>
                <w:szCs w:val="22"/>
              </w:rPr>
              <w:lastRenderedPageBreak/>
              <w:t>Izrada i provedba planova razvoja plinskog transportnog sustava</w:t>
            </w:r>
          </w:p>
        </w:tc>
        <w:tc>
          <w:tcPr>
            <w:tcW w:w="1462" w:type="pct"/>
          </w:tcPr>
          <w:p w14:paraId="0BEBBC99" w14:textId="16BE519B" w:rsidR="007E6002" w:rsidRPr="00A556B6" w:rsidRDefault="007E6002" w:rsidP="0B4FAE79">
            <w:pPr>
              <w:spacing w:after="0"/>
              <w:rPr>
                <w:sz w:val="22"/>
                <w:szCs w:val="22"/>
              </w:rPr>
            </w:pPr>
            <w:r w:rsidRPr="00A556B6">
              <w:rPr>
                <w:sz w:val="22"/>
                <w:szCs w:val="22"/>
              </w:rPr>
              <w:t>Zakon o tržištu plina (</w:t>
            </w:r>
            <w:r w:rsidR="004C3F7E">
              <w:rPr>
                <w:sz w:val="22"/>
                <w:szCs w:val="22"/>
              </w:rPr>
              <w:t>„</w:t>
            </w:r>
            <w:r w:rsidR="00071A4F" w:rsidRPr="00071A4F">
              <w:rPr>
                <w:sz w:val="22"/>
                <w:szCs w:val="22"/>
              </w:rPr>
              <w:t xml:space="preserve">Narodne </w:t>
            </w:r>
            <w:r w:rsidR="00A97AE7">
              <w:rPr>
                <w:sz w:val="22"/>
                <w:szCs w:val="22"/>
              </w:rPr>
              <w:t>novine</w:t>
            </w:r>
            <w:r w:rsidR="004C3F7E">
              <w:rPr>
                <w:sz w:val="22"/>
                <w:szCs w:val="22"/>
              </w:rPr>
              <w:t>“</w:t>
            </w:r>
            <w:r w:rsidR="00071A4F" w:rsidRPr="00071A4F">
              <w:rPr>
                <w:sz w:val="22"/>
                <w:szCs w:val="22"/>
              </w:rPr>
              <w:t>, br</w:t>
            </w:r>
            <w:r w:rsidR="00E967FD">
              <w:rPr>
                <w:sz w:val="22"/>
                <w:szCs w:val="22"/>
              </w:rPr>
              <w:t>.</w:t>
            </w:r>
            <w:r w:rsidRPr="00A556B6">
              <w:rPr>
                <w:sz w:val="22"/>
                <w:szCs w:val="22"/>
              </w:rPr>
              <w:t xml:space="preserve"> 18</w:t>
            </w:r>
            <w:r w:rsidR="005B41DA">
              <w:rPr>
                <w:sz w:val="22"/>
                <w:szCs w:val="22"/>
              </w:rPr>
              <w:t>/18</w:t>
            </w:r>
            <w:r w:rsidR="004C3F7E">
              <w:rPr>
                <w:sz w:val="22"/>
                <w:szCs w:val="22"/>
              </w:rPr>
              <w:t>.</w:t>
            </w:r>
            <w:r w:rsidR="00FC7CF9" w:rsidRPr="00A556B6">
              <w:rPr>
                <w:sz w:val="22"/>
                <w:szCs w:val="22"/>
              </w:rPr>
              <w:t xml:space="preserve">, </w:t>
            </w:r>
            <w:r w:rsidR="00716A0D" w:rsidRPr="00A556B6">
              <w:rPr>
                <w:sz w:val="22"/>
                <w:szCs w:val="22"/>
              </w:rPr>
              <w:t>23/20</w:t>
            </w:r>
            <w:r w:rsidR="004C3F7E">
              <w:rPr>
                <w:sz w:val="22"/>
                <w:szCs w:val="22"/>
              </w:rPr>
              <w:t>.</w:t>
            </w:r>
            <w:r w:rsidRPr="00A556B6">
              <w:rPr>
                <w:sz w:val="22"/>
                <w:szCs w:val="22"/>
              </w:rPr>
              <w:t>)</w:t>
            </w:r>
          </w:p>
          <w:p w14:paraId="50AF2330" w14:textId="20CA33FF" w:rsidR="007E6002" w:rsidRPr="00A556B6" w:rsidRDefault="007E6002" w:rsidP="0B4FAE79">
            <w:pPr>
              <w:spacing w:after="0"/>
              <w:rPr>
                <w:sz w:val="22"/>
                <w:szCs w:val="22"/>
              </w:rPr>
            </w:pPr>
          </w:p>
          <w:p w14:paraId="0A66679B" w14:textId="02DD3880" w:rsidR="007E6002" w:rsidRPr="00A556B6" w:rsidRDefault="484145B4" w:rsidP="005217C8">
            <w:pPr>
              <w:spacing w:after="0"/>
              <w:rPr>
                <w:sz w:val="22"/>
                <w:szCs w:val="22"/>
              </w:rPr>
            </w:pPr>
            <w:r w:rsidRPr="0B4FAE79">
              <w:rPr>
                <w:sz w:val="22"/>
                <w:szCs w:val="22"/>
              </w:rPr>
              <w:t xml:space="preserve">Strategija prilagodbe klimatskim promjenama u Republici Hrvatskoj za razdoblje do 2040. godine s pogledom na 2070. godinu </w:t>
            </w:r>
            <w:r w:rsidR="00EB08F1">
              <w:rPr>
                <w:sz w:val="22"/>
                <w:szCs w:val="22"/>
              </w:rPr>
              <w:t xml:space="preserve">(„Narodne novine“, br. </w:t>
            </w:r>
            <w:r w:rsidRPr="0B4FAE79">
              <w:rPr>
                <w:sz w:val="22"/>
                <w:szCs w:val="22"/>
              </w:rPr>
              <w:t>46/20</w:t>
            </w:r>
            <w:r w:rsidR="004C3F7E">
              <w:rPr>
                <w:sz w:val="22"/>
                <w:szCs w:val="22"/>
              </w:rPr>
              <w:t>.</w:t>
            </w:r>
            <w:r w:rsidRPr="0B4FAE79">
              <w:rPr>
                <w:sz w:val="22"/>
                <w:szCs w:val="22"/>
              </w:rPr>
              <w:t>)</w:t>
            </w:r>
          </w:p>
        </w:tc>
        <w:tc>
          <w:tcPr>
            <w:tcW w:w="1769" w:type="pct"/>
          </w:tcPr>
          <w:p w14:paraId="20705E54" w14:textId="0AF24BCD" w:rsidR="007E6002" w:rsidRPr="00A556B6" w:rsidRDefault="007E6002" w:rsidP="55103C4F">
            <w:pPr>
              <w:pStyle w:val="Default"/>
              <w:jc w:val="both"/>
              <w:rPr>
                <w:rFonts w:cstheme="minorBidi"/>
                <w:sz w:val="22"/>
                <w:szCs w:val="22"/>
              </w:rPr>
            </w:pPr>
            <w:bookmarkStart w:id="115" w:name="_Hlk131682661"/>
            <w:r w:rsidRPr="55103C4F">
              <w:rPr>
                <w:rFonts w:cstheme="minorBidi"/>
                <w:sz w:val="22"/>
                <w:szCs w:val="22"/>
              </w:rPr>
              <w:t xml:space="preserve">Operator transportnog sustava dužan je izraditi desetogodišnji plan razvoja transportnog sustava </w:t>
            </w:r>
            <w:r w:rsidR="00DD504E" w:rsidRPr="55103C4F">
              <w:rPr>
                <w:rFonts w:cstheme="minorBidi"/>
                <w:sz w:val="22"/>
                <w:szCs w:val="22"/>
              </w:rPr>
              <w:t>u skladu sa Strategijom energetskog razvoja i</w:t>
            </w:r>
            <w:r w:rsidR="0027066E" w:rsidRPr="55103C4F">
              <w:rPr>
                <w:rFonts w:cstheme="minorBidi"/>
                <w:sz w:val="22"/>
                <w:szCs w:val="22"/>
              </w:rPr>
              <w:t xml:space="preserve"> </w:t>
            </w:r>
            <w:r w:rsidR="00DD504E" w:rsidRPr="55103C4F">
              <w:rPr>
                <w:rFonts w:cstheme="minorBidi"/>
                <w:sz w:val="22"/>
                <w:szCs w:val="22"/>
              </w:rPr>
              <w:t>Programom provedbe Strategije</w:t>
            </w:r>
            <w:r w:rsidR="0027066E" w:rsidRPr="55103C4F">
              <w:rPr>
                <w:rFonts w:cstheme="minorBidi"/>
                <w:sz w:val="22"/>
                <w:szCs w:val="22"/>
              </w:rPr>
              <w:t xml:space="preserve"> </w:t>
            </w:r>
            <w:r w:rsidR="00DD504E" w:rsidRPr="55103C4F">
              <w:rPr>
                <w:rFonts w:cstheme="minorBidi"/>
                <w:sz w:val="22"/>
                <w:szCs w:val="22"/>
              </w:rPr>
              <w:t>energetskog razvoja te ga</w:t>
            </w:r>
            <w:r w:rsidR="0027066E" w:rsidRPr="55103C4F">
              <w:rPr>
                <w:rFonts w:cstheme="minorBidi"/>
                <w:sz w:val="22"/>
                <w:szCs w:val="22"/>
              </w:rPr>
              <w:t xml:space="preserve"> </w:t>
            </w:r>
            <w:r w:rsidR="00DD504E" w:rsidRPr="55103C4F">
              <w:rPr>
                <w:rFonts w:cstheme="minorBidi"/>
                <w:sz w:val="22"/>
                <w:szCs w:val="22"/>
              </w:rPr>
              <w:t xml:space="preserve">dostaviti </w:t>
            </w:r>
            <w:r w:rsidR="0027066E" w:rsidRPr="55103C4F">
              <w:rPr>
                <w:rFonts w:cstheme="minorBidi"/>
                <w:sz w:val="22"/>
                <w:szCs w:val="22"/>
              </w:rPr>
              <w:t>HERA</w:t>
            </w:r>
            <w:r w:rsidR="002D0910" w:rsidRPr="55103C4F">
              <w:rPr>
                <w:rFonts w:cstheme="minorBidi"/>
                <w:sz w:val="22"/>
                <w:szCs w:val="22"/>
              </w:rPr>
              <w:t>-i</w:t>
            </w:r>
            <w:r w:rsidR="00DD504E" w:rsidRPr="55103C4F">
              <w:rPr>
                <w:rFonts w:cstheme="minorBidi"/>
                <w:sz w:val="22"/>
                <w:szCs w:val="22"/>
              </w:rPr>
              <w:t xml:space="preserve"> na odobrenje svake dvije</w:t>
            </w:r>
            <w:r w:rsidR="0027066E" w:rsidRPr="55103C4F">
              <w:rPr>
                <w:rFonts w:cstheme="minorBidi"/>
                <w:sz w:val="22"/>
                <w:szCs w:val="22"/>
              </w:rPr>
              <w:t xml:space="preserve"> g</w:t>
            </w:r>
            <w:r w:rsidR="00DD504E" w:rsidRPr="55103C4F">
              <w:rPr>
                <w:rFonts w:cstheme="minorBidi"/>
                <w:sz w:val="22"/>
                <w:szCs w:val="22"/>
              </w:rPr>
              <w:t>odine</w:t>
            </w:r>
            <w:r w:rsidR="0027066E" w:rsidRPr="55103C4F">
              <w:rPr>
                <w:rFonts w:cstheme="minorBidi"/>
                <w:sz w:val="22"/>
                <w:szCs w:val="22"/>
              </w:rPr>
              <w:t>.</w:t>
            </w:r>
            <w:r w:rsidR="002B082B" w:rsidRPr="55103C4F">
              <w:rPr>
                <w:rFonts w:cstheme="minorBidi"/>
                <w:sz w:val="22"/>
                <w:szCs w:val="22"/>
              </w:rPr>
              <w:t xml:space="preserve"> Operator transportnog sustava dužan je </w:t>
            </w:r>
            <w:r w:rsidRPr="55103C4F">
              <w:rPr>
                <w:rFonts w:cstheme="minorBidi"/>
                <w:sz w:val="22"/>
                <w:szCs w:val="22"/>
              </w:rPr>
              <w:t>voditi, održavati i razvijati siguran, pouzdan i učinkovit transportni sustav.</w:t>
            </w:r>
            <w:bookmarkEnd w:id="115"/>
          </w:p>
          <w:p w14:paraId="15A16B72" w14:textId="1EC1DDCA" w:rsidR="007E6002" w:rsidRPr="00A556B6" w:rsidRDefault="503ED97F" w:rsidP="005217C8">
            <w:pPr>
              <w:pStyle w:val="Default"/>
              <w:jc w:val="both"/>
              <w:rPr>
                <w:rFonts w:cstheme="minorBidi"/>
                <w:sz w:val="22"/>
                <w:szCs w:val="22"/>
              </w:rPr>
            </w:pPr>
            <w:r w:rsidRPr="55103C4F">
              <w:rPr>
                <w:rFonts w:cstheme="minorBidi"/>
                <w:sz w:val="22"/>
                <w:szCs w:val="22"/>
              </w:rPr>
              <w:t xml:space="preserve">Prema Strategiji prilagodbe  potrebno je provesti u cijelosti mjere  E-01, E-02, E-03, E-04, E-05, E-06 i E-07  kako bi se adresirala prilagodba klimatskim promjenama u cijelome sektoru energetike i ukazala ranjivost na klimatske promjene kao i predložile mjere prilagodbe klimatskim promjenama. Negativan utjecaj klimatskih promjena na sektor energetike je značajan i neprestano raste. Planovi trebaju sadržavati rezultate  provedbe tih mjera i aktivnosti.  </w:t>
            </w:r>
          </w:p>
        </w:tc>
      </w:tr>
    </w:tbl>
    <w:p w14:paraId="55BC2FAD" w14:textId="77777777" w:rsidR="004854DB" w:rsidRPr="00B47BDA" w:rsidRDefault="004854DB" w:rsidP="004623DD">
      <w:pPr>
        <w:rPr>
          <w:highlight w:val="yellow"/>
        </w:rPr>
      </w:pPr>
    </w:p>
    <w:p w14:paraId="51290454" w14:textId="68E9985F" w:rsidR="009867EA" w:rsidRPr="00B47BDA" w:rsidRDefault="002958AC" w:rsidP="00557530">
      <w:r w:rsidRPr="00B47BDA">
        <w:t xml:space="preserve">Razina rezerve snage u proizvodnom dijelu </w:t>
      </w:r>
      <w:r w:rsidR="00DC6265" w:rsidRPr="00B47BDA">
        <w:t>elektroenergetskog sustava (</w:t>
      </w:r>
      <w:r w:rsidRPr="00B47BDA">
        <w:t>EES</w:t>
      </w:r>
      <w:r w:rsidR="00DC6265" w:rsidRPr="00B47BDA">
        <w:t>)</w:t>
      </w:r>
      <w:r w:rsidRPr="00B47BDA">
        <w:t>,</w:t>
      </w:r>
      <w:r w:rsidR="00DC6265" w:rsidRPr="00B47BDA">
        <w:t xml:space="preserve"> </w:t>
      </w:r>
      <w:r w:rsidRPr="00B47BDA">
        <w:t>u Hrvatskoj i u susjednim sustavima</w:t>
      </w:r>
      <w:r w:rsidR="009867EA" w:rsidRPr="00B47BDA">
        <w:t>,</w:t>
      </w:r>
      <w:r w:rsidRPr="00B47BDA">
        <w:t xml:space="preserve"> s kojima je</w:t>
      </w:r>
      <w:r w:rsidR="007472DA" w:rsidRPr="00B47BDA">
        <w:t xml:space="preserve"> </w:t>
      </w:r>
      <w:r w:rsidRPr="00B47BDA">
        <w:t>EES Hrvatske</w:t>
      </w:r>
      <w:r w:rsidR="009867EA" w:rsidRPr="00B47BDA">
        <w:t>,</w:t>
      </w:r>
      <w:r w:rsidRPr="00B47BDA">
        <w:t xml:space="preserve"> umrežen omogućuje siguran i pouzdan pogon sustava.</w:t>
      </w:r>
      <w:r w:rsidR="004A4659" w:rsidRPr="00B47BDA">
        <w:t xml:space="preserve"> </w:t>
      </w:r>
      <w:r w:rsidR="009867EA" w:rsidRPr="00B47BDA">
        <w:t>Proizvodnja i potrošnja električne energije korisnika u EES-u unutar sinkronog područja kontinentalna Europa kontinuirano se prati u realnom vremenu kako bi se održala stabilna frekvencija EES-a. Svaka pojava neuravnoteženosti korigira se mehanizmima uravnoteženja. Mehanizmi uravnoteženja kojima se aktivira energija iz rezervi snage za održavanje frekvencije sustava nakon pojave neravnoteže u sustavu su:</w:t>
      </w:r>
    </w:p>
    <w:p w14:paraId="356B5C64" w14:textId="35B6C44A" w:rsidR="009867EA" w:rsidRPr="00B47BDA" w:rsidRDefault="009867EA" w:rsidP="00A556B6">
      <w:pPr>
        <w:pStyle w:val="ListParagraph"/>
        <w:numPr>
          <w:ilvl w:val="0"/>
          <w:numId w:val="83"/>
        </w:numPr>
        <w:spacing w:after="60"/>
        <w:ind w:left="714" w:hanging="357"/>
      </w:pPr>
      <w:r w:rsidRPr="63259912">
        <w:t xml:space="preserve">rezerva za održavanje frekvencije (engl. </w:t>
      </w:r>
      <w:r w:rsidRPr="63259912">
        <w:rPr>
          <w:i/>
          <w:iCs/>
        </w:rPr>
        <w:t>Frequency Containment Reserve</w:t>
      </w:r>
      <w:r w:rsidRPr="63259912">
        <w:t>, FCR rezerva snage)</w:t>
      </w:r>
    </w:p>
    <w:p w14:paraId="6A3D2A8E" w14:textId="4D37B1E9" w:rsidR="009867EA" w:rsidRPr="00B47BDA" w:rsidRDefault="009867EA" w:rsidP="00A556B6">
      <w:pPr>
        <w:pStyle w:val="ListParagraph"/>
        <w:numPr>
          <w:ilvl w:val="0"/>
          <w:numId w:val="83"/>
        </w:numPr>
        <w:spacing w:after="60"/>
        <w:ind w:left="714" w:hanging="357"/>
      </w:pPr>
      <w:r w:rsidRPr="63259912">
        <w:t xml:space="preserve">rezerva za ponovnu uspostavu frekvencije s automatskom aktivacijom (engl. </w:t>
      </w:r>
      <w:r w:rsidRPr="63259912">
        <w:rPr>
          <w:i/>
          <w:iCs/>
        </w:rPr>
        <w:t>Frequency</w:t>
      </w:r>
      <w:r w:rsidR="007301E5" w:rsidRPr="63259912">
        <w:rPr>
          <w:i/>
          <w:iCs/>
        </w:rPr>
        <w:t xml:space="preserve"> </w:t>
      </w:r>
      <w:r w:rsidRPr="63259912">
        <w:rPr>
          <w:i/>
          <w:iCs/>
        </w:rPr>
        <w:t>Restoration Reserve with Automatic Activatio</w:t>
      </w:r>
      <w:r w:rsidRPr="63259912">
        <w:t>n, aFRR rezerva snage)</w:t>
      </w:r>
    </w:p>
    <w:p w14:paraId="72CF7778" w14:textId="2A5FAA4C" w:rsidR="009867EA" w:rsidRPr="00B47BDA" w:rsidRDefault="009867EA" w:rsidP="00A556B6">
      <w:pPr>
        <w:pStyle w:val="ListParagraph"/>
        <w:numPr>
          <w:ilvl w:val="0"/>
          <w:numId w:val="83"/>
        </w:numPr>
        <w:spacing w:after="60"/>
        <w:ind w:left="714" w:hanging="357"/>
      </w:pPr>
      <w:r w:rsidRPr="63259912">
        <w:t xml:space="preserve">rezerva za ponovnu uspostavu frekvencije s ručnom aktivacijom (engl. </w:t>
      </w:r>
      <w:r w:rsidRPr="63259912">
        <w:rPr>
          <w:i/>
          <w:iCs/>
        </w:rPr>
        <w:t>Frequency</w:t>
      </w:r>
      <w:r w:rsidR="007301E5" w:rsidRPr="63259912">
        <w:rPr>
          <w:i/>
          <w:iCs/>
        </w:rPr>
        <w:t xml:space="preserve"> </w:t>
      </w:r>
      <w:r w:rsidRPr="63259912">
        <w:rPr>
          <w:i/>
          <w:iCs/>
        </w:rPr>
        <w:t>Restoration Reserve with Manual Activation</w:t>
      </w:r>
      <w:r w:rsidRPr="63259912">
        <w:t>, mFRR rezerva snage)</w:t>
      </w:r>
    </w:p>
    <w:p w14:paraId="26D23BC4" w14:textId="71233FD7" w:rsidR="009867EA" w:rsidRPr="00B47BDA" w:rsidRDefault="009867EA" w:rsidP="00A556B6">
      <w:pPr>
        <w:pStyle w:val="ListParagraph"/>
        <w:numPr>
          <w:ilvl w:val="0"/>
          <w:numId w:val="83"/>
        </w:numPr>
        <w:spacing w:after="60"/>
        <w:ind w:left="714" w:hanging="357"/>
      </w:pPr>
      <w:r w:rsidRPr="63259912">
        <w:t xml:space="preserve">zamjenska rezerva (engl. </w:t>
      </w:r>
      <w:r w:rsidRPr="63259912">
        <w:rPr>
          <w:i/>
          <w:iCs/>
        </w:rPr>
        <w:t>Replacement Reserve</w:t>
      </w:r>
      <w:r w:rsidRPr="63259912">
        <w:t>, RR rezerva snage).</w:t>
      </w:r>
      <w:r w:rsidRPr="00B47BDA">
        <w:cr/>
      </w:r>
    </w:p>
    <w:p w14:paraId="029701A5" w14:textId="3F244570" w:rsidR="00441CE5" w:rsidRPr="00B47BDA" w:rsidRDefault="004854DB" w:rsidP="00557530">
      <w:r w:rsidRPr="00B47BDA">
        <w:lastRenderedPageBreak/>
        <w:t xml:space="preserve">Adekvatnost </w:t>
      </w:r>
      <w:r w:rsidR="007472DA" w:rsidRPr="00B47BDA">
        <w:t xml:space="preserve">EES-a </w:t>
      </w:r>
      <w:r w:rsidRPr="00B47BDA">
        <w:t xml:space="preserve">u postojećem je stanju na zadovoljavajućoj visini </w:t>
      </w:r>
      <w:r w:rsidR="00C62294">
        <w:t>uzimajući u obzir</w:t>
      </w:r>
      <w:r w:rsidRPr="00B47BDA">
        <w:t xml:space="preserve"> raspoloživ</w:t>
      </w:r>
      <w:r w:rsidR="00C62294">
        <w:t>e</w:t>
      </w:r>
      <w:r w:rsidRPr="00B47BDA">
        <w:t xml:space="preserve"> domać</w:t>
      </w:r>
      <w:r w:rsidR="00C62294">
        <w:t>e</w:t>
      </w:r>
      <w:r w:rsidRPr="00B47BDA">
        <w:t xml:space="preserve"> proizvodn</w:t>
      </w:r>
      <w:r w:rsidR="00C62294">
        <w:t>e</w:t>
      </w:r>
      <w:r w:rsidRPr="00B47BDA">
        <w:t xml:space="preserve"> kapacite</w:t>
      </w:r>
      <w:r w:rsidR="00033C0B">
        <w:t>te</w:t>
      </w:r>
      <w:r w:rsidRPr="00B47BDA">
        <w:t xml:space="preserve"> </w:t>
      </w:r>
      <w:r w:rsidR="00A6587F">
        <w:t xml:space="preserve">te </w:t>
      </w:r>
      <w:r w:rsidRPr="00B47BDA">
        <w:t>mogućnost prekograničnih razmjena</w:t>
      </w:r>
      <w:r w:rsidR="00A6587F">
        <w:t>.</w:t>
      </w:r>
    </w:p>
    <w:p w14:paraId="2EF3B307" w14:textId="2B1B2B0A" w:rsidR="004854DB" w:rsidRPr="00B47BDA" w:rsidRDefault="004854DB" w:rsidP="00557530">
      <w:r w:rsidRPr="00B47BDA">
        <w:t xml:space="preserve">Fleksibilnost se može definirati kao promjena obrasca proizvodnje ili potrošnje električne energije odzivom na poticaj (cjenovni signal ili aktivaciju) kako bi se pružila pomoćna usluga </w:t>
      </w:r>
      <w:r w:rsidR="007472DA" w:rsidRPr="00B47BDA">
        <w:t>EES-u</w:t>
      </w:r>
      <w:r w:rsidRPr="00B47BDA">
        <w:t xml:space="preserve">, najčešće operatoru sustava. </w:t>
      </w:r>
      <w:r w:rsidR="00354984">
        <w:t>P</w:t>
      </w:r>
      <w:r w:rsidRPr="00B47BDA">
        <w:t>rovedb</w:t>
      </w:r>
      <w:r w:rsidR="00354984">
        <w:t>om</w:t>
      </w:r>
      <w:r w:rsidRPr="00B47BDA">
        <w:t xml:space="preserve"> pilot projekt</w:t>
      </w:r>
      <w:r w:rsidR="00354984">
        <w:t>a</w:t>
      </w:r>
      <w:r w:rsidRPr="00B47BDA">
        <w:t xml:space="preserve"> ispitivanja tržišta radi osiguravanja rezerve radne snage tercijarne regulacije upravljivom potrošnjom za potrebe HOPS-a</w:t>
      </w:r>
      <w:r w:rsidR="00284447">
        <w:t>, omogućeno je da</w:t>
      </w:r>
      <w:r w:rsidR="000C45BD">
        <w:t xml:space="preserve"> </w:t>
      </w:r>
      <w:r w:rsidRPr="00B47BDA">
        <w:t>sklapanjem ugovornog odnosa s HOPS-om za pružanje pomoćne usluge osiguravanja rezerve radne snage tercijarne regulacije</w:t>
      </w:r>
      <w:r w:rsidR="000C45BD">
        <w:t>,</w:t>
      </w:r>
      <w:r w:rsidRPr="00B47BDA">
        <w:t xml:space="preserve"> krajnji kupac izravno sudjeluje u mehanizmu uravnoteženja sustava i za to prima naknadu definiranu ugovorom. Jedinice s upravljivom potrošnjom mogu biti bilo koji uređaji čiju je potrošnju moguće smanjiti na nalog operatora prijenosnog sustava a dio su postrojenja krajnjeg kupca, kao na primjer električne peći, hladnjače, pumpe, kompresori i sl.</w:t>
      </w:r>
    </w:p>
    <w:p w14:paraId="5627CFEF" w14:textId="363B9A8F" w:rsidR="004854DB" w:rsidRPr="00B47BDA" w:rsidRDefault="004854DB" w:rsidP="00557530">
      <w:r w:rsidRPr="00B47BDA">
        <w:t>Pomoćne usluge i usluge fleksibilnosti koje korisnici distribucijske mreže pružaju operatoru distribucijskog sustava</w:t>
      </w:r>
      <w:r w:rsidR="007472DA" w:rsidRPr="00B47BDA">
        <w:t xml:space="preserve"> </w:t>
      </w:r>
      <w:r w:rsidRPr="00B47BDA">
        <w:t>trenutno se ne koriste u RH. Mrežnima pravilima distribucijskog sustava koja su stupila na snagu</w:t>
      </w:r>
      <w:r w:rsidR="009806D8" w:rsidRPr="00B47BDA">
        <w:t xml:space="preserve"> 2018. godine</w:t>
      </w:r>
      <w:r w:rsidRPr="00B47BDA">
        <w:t xml:space="preserve"> (</w:t>
      </w:r>
      <w:r w:rsidR="005415E9">
        <w:t>„</w:t>
      </w:r>
      <w:r w:rsidR="00071A4F" w:rsidRPr="00071A4F">
        <w:t xml:space="preserve">Narodne </w:t>
      </w:r>
      <w:r w:rsidR="00A97AE7">
        <w:t>novine</w:t>
      </w:r>
      <w:r w:rsidR="005415E9">
        <w:t>“</w:t>
      </w:r>
      <w:r w:rsidR="00071A4F" w:rsidRPr="00071A4F">
        <w:t xml:space="preserve">, </w:t>
      </w:r>
      <w:r w:rsidR="005415E9">
        <w:t>br.</w:t>
      </w:r>
      <w:r w:rsidR="005415E9" w:rsidRPr="00B47BDA">
        <w:t xml:space="preserve"> </w:t>
      </w:r>
      <w:r w:rsidRPr="00B47BDA">
        <w:t>74</w:t>
      </w:r>
      <w:r w:rsidR="005B41DA">
        <w:t>/18</w:t>
      </w:r>
      <w:r w:rsidR="005415E9">
        <w:t>.</w:t>
      </w:r>
      <w:r w:rsidRPr="00B47BDA">
        <w:t xml:space="preserve">) tek su prepoznate usluge koje bi mogle koristiti </w:t>
      </w:r>
      <w:r w:rsidR="00A84B4E" w:rsidRPr="00B47BDA">
        <w:t>operatoru distribucijskog sustava</w:t>
      </w:r>
      <w:r w:rsidRPr="00B47BDA">
        <w:t>.</w:t>
      </w:r>
    </w:p>
    <w:p w14:paraId="17B55988" w14:textId="05B2CE12" w:rsidR="00EB3EAA" w:rsidRPr="00B47BDA" w:rsidRDefault="00EB3EAA" w:rsidP="00557530">
      <w:r w:rsidRPr="00B47BDA">
        <w:t xml:space="preserve">Uspostava EKO bilančne grupe regulirana je Zakonom o </w:t>
      </w:r>
      <w:r w:rsidR="0036793D" w:rsidRPr="00B47BDA">
        <w:t>obnovljivim izvorima energije i visokoučinkovitoj kogeneraciji</w:t>
      </w:r>
      <w:r w:rsidR="00EC7C8F" w:rsidRPr="00B47BDA">
        <w:t xml:space="preserve"> </w:t>
      </w:r>
      <w:r w:rsidRPr="00B47BDA">
        <w:t>(</w:t>
      </w:r>
      <w:r w:rsidR="005415E9">
        <w:t>„</w:t>
      </w:r>
      <w:r w:rsidR="00071A4F" w:rsidRPr="00071A4F">
        <w:t xml:space="preserve">Narodne </w:t>
      </w:r>
      <w:r w:rsidR="00A97AE7">
        <w:t>novine</w:t>
      </w:r>
      <w:r w:rsidR="005415E9">
        <w:t>“</w:t>
      </w:r>
      <w:r w:rsidR="00071A4F" w:rsidRPr="00071A4F">
        <w:t xml:space="preserve">, </w:t>
      </w:r>
      <w:r w:rsidR="00004BB0">
        <w:t>br</w:t>
      </w:r>
      <w:r w:rsidR="005415E9">
        <w:t>.</w:t>
      </w:r>
      <w:r w:rsidR="00CE09FF" w:rsidRPr="00B47BDA">
        <w:t xml:space="preserve"> </w:t>
      </w:r>
      <w:r w:rsidR="00683FCB" w:rsidRPr="00B47BDA">
        <w:t>138</w:t>
      </w:r>
      <w:r w:rsidR="005B41DA">
        <w:t>/21</w:t>
      </w:r>
      <w:r w:rsidR="00123BE5">
        <w:t xml:space="preserve">., </w:t>
      </w:r>
      <w:r w:rsidR="00B33D52">
        <w:t>83/23.</w:t>
      </w:r>
      <w:r w:rsidRPr="00B47BDA">
        <w:t>), a čine je proizvođači električne energije i druge osobe koje obavljaju djelatnost proizvodnje električne energije, a koje imaju pravo na poticajnu cijenu sukladno sklopljenim ugovorima o otkupu električne energije s Hrvatskim operatorom tržišta energij</w:t>
      </w:r>
      <w:r w:rsidR="00DC6265" w:rsidRPr="00B47BDA">
        <w:t>e</w:t>
      </w:r>
      <w:r w:rsidRPr="00B47BDA">
        <w:t xml:space="preserve"> (HROTE).</w:t>
      </w:r>
    </w:p>
    <w:p w14:paraId="7B796537" w14:textId="609B1F99" w:rsidR="00344697" w:rsidRPr="00B47BDA" w:rsidRDefault="00EB3EAA" w:rsidP="00557530">
      <w:r w:rsidRPr="00B47BDA">
        <w:t xml:space="preserve">Zakonom o </w:t>
      </w:r>
      <w:r w:rsidR="0036793D" w:rsidRPr="00B47BDA">
        <w:t>obnovljivim izvorima energije i visokoučinkovitoj kogeneraciji</w:t>
      </w:r>
      <w:r w:rsidR="00CE09FF" w:rsidRPr="00B47BDA">
        <w:t>,</w:t>
      </w:r>
      <w:r w:rsidRPr="00B47BDA">
        <w:t xml:space="preserve"> HROTE je određen za voditelja EKO bilančne grupe s obvezom vođenja EKO bilančne grupe, planiranja proizvodnje električne energije za EKO bilančnu grupu te prodaje električne energije proizvedene od strane članova EKO bilančne grupe, na razvidan i nepristran način, na tržištu električne energije.</w:t>
      </w:r>
    </w:p>
    <w:p w14:paraId="33E2B583" w14:textId="4EE9A27C" w:rsidR="00C704F7" w:rsidRPr="00B47BDA" w:rsidRDefault="005A526A" w:rsidP="00557530">
      <w:r w:rsidRPr="00B47BDA">
        <w:t>U pogledu</w:t>
      </w:r>
      <w:r w:rsidR="00C704F7" w:rsidRPr="00B47BDA">
        <w:t xml:space="preserve"> </w:t>
      </w:r>
      <w:r w:rsidRPr="00B47BDA">
        <w:t>zaštite potrošača</w:t>
      </w:r>
      <w:r w:rsidR="00C704F7" w:rsidRPr="00B47BDA">
        <w:t>, konkurentnosti i razvoja maloprodajnog tržišta električne energije, jedan od ključnih pokazatelja je stopa promjene opskrbljivača krajnjih kupaca. Stopa promjene opskrbljivača kod krajnjih kupaca iz kategorije poduzetništvo veća je nego kod kategorije kućanstva. Utjecaj na to ima regulatorni okvir kojim se propisuje javna nabava, pri čemu se dio krajnjih kupaca iz kategorije poduzetništvo obvezuje na redovito objavljivanje natječaja za odabir najpovoljnijeg opskrbljivača električnom energijom.</w:t>
      </w:r>
    </w:p>
    <w:p w14:paraId="6FC19A26" w14:textId="77777777" w:rsidR="00C704F7" w:rsidRDefault="00C704F7" w:rsidP="00557530">
      <w:r w:rsidRPr="00B47BDA">
        <w:t>Osnovni preduvjet za omogućavanje i razvijanje upravljanja potrošnjom je uvođenje sustava naprednog mjerenja.</w:t>
      </w:r>
    </w:p>
    <w:p w14:paraId="6CC40593" w14:textId="4B5A5A38" w:rsidR="00AA4058" w:rsidRDefault="00AA4058">
      <w:pPr>
        <w:spacing w:after="0"/>
      </w:pPr>
      <w:r>
        <w:br w:type="page"/>
      </w:r>
    </w:p>
    <w:p w14:paraId="6443FB92" w14:textId="77777777" w:rsidR="00AA4058" w:rsidRPr="00B47BDA" w:rsidRDefault="00AA4058" w:rsidP="004623DD"/>
    <w:p w14:paraId="30247F46" w14:textId="3A1D4C0F" w:rsidR="007E6002" w:rsidRPr="00B47BDA" w:rsidRDefault="004B3713" w:rsidP="004623DD">
      <w:r w:rsidRPr="00B47BDA">
        <w:t xml:space="preserve">Mjere u području zaštite potrošača </w:t>
      </w:r>
      <w:r w:rsidR="005A526A" w:rsidRPr="00B47BDA">
        <w:t xml:space="preserve">prikazuje </w:t>
      </w:r>
      <w:r w:rsidR="00AF7C11">
        <w:t>T</w:t>
      </w:r>
      <w:r w:rsidR="005217C8">
        <w:t xml:space="preserve">ablica </w:t>
      </w:r>
      <w:r w:rsidR="00F52C57" w:rsidRPr="00B47BDA">
        <w:fldChar w:fldCharType="begin"/>
      </w:r>
      <w:r w:rsidR="00F52C57" w:rsidRPr="00B47BDA">
        <w:instrText xml:space="preserve"> REF _Ref134180328 \h </w:instrText>
      </w:r>
      <w:r w:rsidR="003405DD">
        <w:instrText xml:space="preserve"> \* MERGEFORMAT </w:instrText>
      </w:r>
      <w:r w:rsidR="00F52C57" w:rsidRPr="00B47BDA">
        <w:fldChar w:fldCharType="separate"/>
      </w:r>
      <w:r w:rsidR="00AD324D">
        <w:t>1</w:t>
      </w:r>
      <w:r w:rsidR="00AD324D" w:rsidRPr="00F870CC">
        <w:noBreakHyphen/>
      </w:r>
      <w:r w:rsidR="00AD324D">
        <w:t>12.</w:t>
      </w:r>
      <w:r w:rsidR="00F52C57" w:rsidRPr="00B47BDA">
        <w:fldChar w:fldCharType="end"/>
      </w:r>
    </w:p>
    <w:p w14:paraId="5B2D21B6" w14:textId="388284BC" w:rsidR="00FD6529" w:rsidRPr="00B47BDA" w:rsidRDefault="00FD6529" w:rsidP="004623DD">
      <w:pPr>
        <w:pStyle w:val="Caption"/>
      </w:pPr>
      <w:bookmarkStart w:id="116" w:name="_Toc193035940"/>
      <w:r w:rsidRPr="00F870CC">
        <w:t xml:space="preserve">Tablica </w:t>
      </w:r>
      <w:bookmarkStart w:id="117" w:name="_Ref134180328"/>
      <w:r w:rsidR="00F56C25">
        <w:fldChar w:fldCharType="begin"/>
      </w:r>
      <w:r w:rsidR="00F56C25">
        <w:instrText xml:space="preserve"> STYLEREF 1 \s </w:instrText>
      </w:r>
      <w:r w:rsidR="00F56C25">
        <w:fldChar w:fldCharType="separate"/>
      </w:r>
      <w:r w:rsidR="00AD324D">
        <w:rPr>
          <w:noProof/>
        </w:rPr>
        <w:t>1</w:t>
      </w:r>
      <w:r w:rsidR="00F56C25">
        <w:fldChar w:fldCharType="end"/>
      </w:r>
      <w:r w:rsidR="000C3EFD" w:rsidRPr="00F870CC">
        <w:noBreakHyphen/>
      </w:r>
      <w:r>
        <w:fldChar w:fldCharType="begin"/>
      </w:r>
      <w:r>
        <w:instrText>SEQ Tablica \* ARABIC \s 1</w:instrText>
      </w:r>
      <w:r>
        <w:fldChar w:fldCharType="separate"/>
      </w:r>
      <w:r w:rsidR="00AD324D">
        <w:rPr>
          <w:noProof/>
        </w:rPr>
        <w:t>12</w:t>
      </w:r>
      <w:r>
        <w:fldChar w:fldCharType="end"/>
      </w:r>
      <w:r w:rsidR="005217C8">
        <w:t>.</w:t>
      </w:r>
      <w:bookmarkEnd w:id="117"/>
      <w:r w:rsidR="00483D4C" w:rsidRPr="00F870CC">
        <w:t xml:space="preserve"> </w:t>
      </w:r>
      <w:r w:rsidRPr="00F870CC">
        <w:t>Postojeće mjere zaštite potrošača</w:t>
      </w:r>
      <w:bookmarkEnd w:id="116"/>
    </w:p>
    <w:tbl>
      <w:tblPr>
        <w:tblStyle w:val="NECP"/>
        <w:tblW w:w="5000" w:type="pct"/>
        <w:tblLook w:val="04A0" w:firstRow="1" w:lastRow="0" w:firstColumn="1" w:lastColumn="0" w:noHBand="0" w:noVBand="1"/>
      </w:tblPr>
      <w:tblGrid>
        <w:gridCol w:w="3025"/>
        <w:gridCol w:w="2901"/>
        <w:gridCol w:w="3124"/>
      </w:tblGrid>
      <w:tr w:rsidR="005A526A" w:rsidRPr="005217C8" w14:paraId="7A1E065C" w14:textId="77777777" w:rsidTr="00ED7A5B">
        <w:trPr>
          <w:cnfStyle w:val="100000000000" w:firstRow="1" w:lastRow="0" w:firstColumn="0" w:lastColumn="0" w:oddVBand="0" w:evenVBand="0" w:oddHBand="0" w:evenHBand="0" w:firstRowFirstColumn="0" w:firstRowLastColumn="0" w:lastRowFirstColumn="0" w:lastRowLastColumn="0"/>
          <w:trHeight w:val="340"/>
        </w:trPr>
        <w:tc>
          <w:tcPr>
            <w:tcW w:w="0" w:type="pct"/>
            <w:shd w:val="clear" w:color="auto" w:fill="D9E2F3" w:themeFill="accent5" w:themeFillTint="33"/>
          </w:tcPr>
          <w:p w14:paraId="17024350" w14:textId="77777777" w:rsidR="005A526A" w:rsidRPr="00A556B6" w:rsidRDefault="005A526A" w:rsidP="00ED7A5B">
            <w:pPr>
              <w:spacing w:after="0"/>
              <w:jc w:val="center"/>
              <w:rPr>
                <w:sz w:val="22"/>
                <w:szCs w:val="22"/>
              </w:rPr>
            </w:pPr>
            <w:r w:rsidRPr="00A556B6">
              <w:rPr>
                <w:sz w:val="22"/>
                <w:szCs w:val="22"/>
              </w:rPr>
              <w:t>Naziv mjere</w:t>
            </w:r>
          </w:p>
        </w:tc>
        <w:tc>
          <w:tcPr>
            <w:tcW w:w="0" w:type="pct"/>
            <w:shd w:val="clear" w:color="auto" w:fill="D9E2F3" w:themeFill="accent5" w:themeFillTint="33"/>
          </w:tcPr>
          <w:p w14:paraId="4CDD201D" w14:textId="77777777" w:rsidR="005A526A" w:rsidRPr="00A556B6" w:rsidRDefault="005A526A" w:rsidP="00ED7A5B">
            <w:pPr>
              <w:spacing w:after="0"/>
              <w:jc w:val="center"/>
              <w:rPr>
                <w:sz w:val="22"/>
                <w:szCs w:val="22"/>
              </w:rPr>
            </w:pPr>
            <w:r w:rsidRPr="00A556B6">
              <w:rPr>
                <w:sz w:val="22"/>
                <w:szCs w:val="22"/>
              </w:rPr>
              <w:t>Dokumenti</w:t>
            </w:r>
          </w:p>
        </w:tc>
        <w:tc>
          <w:tcPr>
            <w:tcW w:w="0" w:type="pct"/>
            <w:shd w:val="clear" w:color="auto" w:fill="D9E2F3" w:themeFill="accent5" w:themeFillTint="33"/>
          </w:tcPr>
          <w:p w14:paraId="5A25E062" w14:textId="77777777" w:rsidR="005A526A" w:rsidRPr="00A556B6" w:rsidRDefault="005A526A" w:rsidP="00ED7A5B">
            <w:pPr>
              <w:spacing w:after="0"/>
              <w:jc w:val="center"/>
              <w:rPr>
                <w:sz w:val="22"/>
                <w:szCs w:val="22"/>
              </w:rPr>
            </w:pPr>
            <w:r w:rsidRPr="00A556B6">
              <w:rPr>
                <w:sz w:val="22"/>
                <w:szCs w:val="22"/>
              </w:rPr>
              <w:t>Kratki opis</w:t>
            </w:r>
          </w:p>
        </w:tc>
      </w:tr>
      <w:tr w:rsidR="005A526A" w:rsidRPr="005217C8" w14:paraId="56C43A44" w14:textId="77777777" w:rsidTr="005217C8">
        <w:tc>
          <w:tcPr>
            <w:tcW w:w="1671" w:type="pct"/>
          </w:tcPr>
          <w:p w14:paraId="6CE6F3CD" w14:textId="49306AAD" w:rsidR="005A526A" w:rsidRPr="00A556B6" w:rsidRDefault="00FD6529" w:rsidP="005217C8">
            <w:pPr>
              <w:pStyle w:val="Default"/>
              <w:jc w:val="both"/>
              <w:rPr>
                <w:rFonts w:cstheme="minorHAnsi"/>
                <w:b/>
                <w:sz w:val="22"/>
                <w:szCs w:val="22"/>
              </w:rPr>
            </w:pPr>
            <w:r w:rsidRPr="00A556B6">
              <w:rPr>
                <w:rFonts w:cstheme="minorHAnsi"/>
                <w:sz w:val="22"/>
                <w:szCs w:val="22"/>
              </w:rPr>
              <w:t>Informativni računi</w:t>
            </w:r>
          </w:p>
        </w:tc>
        <w:tc>
          <w:tcPr>
            <w:tcW w:w="1603" w:type="pct"/>
          </w:tcPr>
          <w:p w14:paraId="7323ED64" w14:textId="4B8077A2" w:rsidR="005A526A" w:rsidRPr="00A556B6" w:rsidRDefault="00FD6529" w:rsidP="005217C8">
            <w:pPr>
              <w:pStyle w:val="Default"/>
              <w:jc w:val="both"/>
              <w:rPr>
                <w:rFonts w:cstheme="minorHAnsi"/>
                <w:sz w:val="22"/>
                <w:szCs w:val="22"/>
              </w:rPr>
            </w:pPr>
            <w:r w:rsidRPr="00A556B6">
              <w:rPr>
                <w:rFonts w:cstheme="minorHAnsi"/>
                <w:sz w:val="22"/>
                <w:szCs w:val="22"/>
              </w:rPr>
              <w:t>Zakon o energetskoj učinkovitosti (</w:t>
            </w:r>
            <w:r w:rsidR="004C3F7E">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4C3F7E">
              <w:rPr>
                <w:rFonts w:cstheme="minorHAnsi"/>
                <w:sz w:val="22"/>
                <w:szCs w:val="22"/>
              </w:rPr>
              <w:t>“</w:t>
            </w:r>
            <w:r w:rsidR="00071A4F" w:rsidRPr="00071A4F">
              <w:rPr>
                <w:rFonts w:cstheme="minorHAnsi"/>
                <w:sz w:val="22"/>
                <w:szCs w:val="22"/>
              </w:rPr>
              <w:t>, br</w:t>
            </w:r>
            <w:r w:rsidR="005B0931">
              <w:rPr>
                <w:rFonts w:cstheme="minorHAnsi"/>
                <w:sz w:val="22"/>
                <w:szCs w:val="22"/>
              </w:rPr>
              <w:t>.</w:t>
            </w:r>
            <w:r w:rsidR="00CE09FF" w:rsidRPr="00A556B6">
              <w:rPr>
                <w:rFonts w:cstheme="minorHAnsi"/>
                <w:sz w:val="22"/>
                <w:szCs w:val="22"/>
              </w:rPr>
              <w:t xml:space="preserve"> 127</w:t>
            </w:r>
            <w:r w:rsidR="005B41DA">
              <w:rPr>
                <w:rFonts w:cstheme="minorHAnsi"/>
                <w:sz w:val="22"/>
                <w:szCs w:val="22"/>
              </w:rPr>
              <w:t>/14</w:t>
            </w:r>
            <w:r w:rsidR="004C3F7E">
              <w:rPr>
                <w:rFonts w:cstheme="minorHAnsi"/>
                <w:sz w:val="22"/>
                <w:szCs w:val="22"/>
              </w:rPr>
              <w:t>.</w:t>
            </w:r>
            <w:r w:rsidR="00CE09FF" w:rsidRPr="00A556B6">
              <w:rPr>
                <w:rFonts w:cstheme="minorHAnsi"/>
                <w:sz w:val="22"/>
                <w:szCs w:val="22"/>
              </w:rPr>
              <w:t>, 116</w:t>
            </w:r>
            <w:r w:rsidR="005B41DA">
              <w:rPr>
                <w:rFonts w:cstheme="minorHAnsi"/>
                <w:sz w:val="22"/>
                <w:szCs w:val="22"/>
              </w:rPr>
              <w:t>/18</w:t>
            </w:r>
            <w:r w:rsidR="004C3F7E">
              <w:rPr>
                <w:rFonts w:cstheme="minorHAnsi"/>
                <w:sz w:val="22"/>
                <w:szCs w:val="22"/>
              </w:rPr>
              <w:t>.</w:t>
            </w:r>
            <w:r w:rsidR="00421306" w:rsidRPr="00A556B6">
              <w:rPr>
                <w:rFonts w:cstheme="minorHAnsi"/>
                <w:sz w:val="22"/>
                <w:szCs w:val="22"/>
              </w:rPr>
              <w:t>, 25/20</w:t>
            </w:r>
            <w:r w:rsidR="004C3F7E">
              <w:rPr>
                <w:rFonts w:cstheme="minorHAnsi"/>
                <w:sz w:val="22"/>
                <w:szCs w:val="22"/>
              </w:rPr>
              <w:t>.</w:t>
            </w:r>
            <w:r w:rsidR="00421306" w:rsidRPr="00A556B6">
              <w:rPr>
                <w:rFonts w:cstheme="minorHAnsi"/>
                <w:sz w:val="22"/>
                <w:szCs w:val="22"/>
              </w:rPr>
              <w:t>, 32</w:t>
            </w:r>
            <w:r w:rsidR="005B41DA">
              <w:rPr>
                <w:rFonts w:cstheme="minorHAnsi"/>
                <w:sz w:val="22"/>
                <w:szCs w:val="22"/>
              </w:rPr>
              <w:t>/21</w:t>
            </w:r>
            <w:r w:rsidR="004C3F7E">
              <w:rPr>
                <w:rFonts w:cstheme="minorHAnsi"/>
                <w:sz w:val="22"/>
                <w:szCs w:val="22"/>
              </w:rPr>
              <w:t>.</w:t>
            </w:r>
            <w:r w:rsidR="00421306" w:rsidRPr="00A556B6">
              <w:rPr>
                <w:rFonts w:cstheme="minorHAnsi"/>
                <w:sz w:val="22"/>
                <w:szCs w:val="22"/>
              </w:rPr>
              <w:t>, 41</w:t>
            </w:r>
            <w:r w:rsidR="005B41DA">
              <w:rPr>
                <w:rFonts w:cstheme="minorHAnsi"/>
                <w:sz w:val="22"/>
                <w:szCs w:val="22"/>
              </w:rPr>
              <w:t>/21</w:t>
            </w:r>
            <w:r w:rsidR="004C3F7E">
              <w:rPr>
                <w:rFonts w:cstheme="minorHAnsi"/>
                <w:sz w:val="22"/>
                <w:szCs w:val="22"/>
              </w:rPr>
              <w:t>.</w:t>
            </w:r>
            <w:r w:rsidRPr="00A556B6">
              <w:rPr>
                <w:rFonts w:cstheme="minorHAnsi"/>
                <w:sz w:val="22"/>
                <w:szCs w:val="22"/>
              </w:rPr>
              <w:t>)</w:t>
            </w:r>
          </w:p>
        </w:tc>
        <w:tc>
          <w:tcPr>
            <w:tcW w:w="1726" w:type="pct"/>
          </w:tcPr>
          <w:p w14:paraId="58D3F754" w14:textId="3297AF2B" w:rsidR="005A526A" w:rsidRPr="00A556B6" w:rsidRDefault="00FD6529" w:rsidP="005217C8">
            <w:pPr>
              <w:pStyle w:val="Default"/>
              <w:jc w:val="both"/>
              <w:rPr>
                <w:rFonts w:cstheme="minorHAnsi"/>
                <w:sz w:val="22"/>
                <w:szCs w:val="22"/>
              </w:rPr>
            </w:pPr>
            <w:r w:rsidRPr="00A556B6">
              <w:rPr>
                <w:rFonts w:cstheme="minorHAnsi"/>
                <w:sz w:val="22"/>
                <w:szCs w:val="22"/>
              </w:rPr>
              <w:t>Obveze opskrbljivača o mjerenju i obračunavanju potrošnje te informiranju kupaca o prethodnoj potrošnji, što obuhvaća usporedbu s prosječnim uobičajenim ili referentnim krajnjim kupcem iz iste kategorije krajnjih kupaca opskrbljivača</w:t>
            </w:r>
          </w:p>
        </w:tc>
      </w:tr>
      <w:tr w:rsidR="005A526A" w:rsidRPr="005217C8" w14:paraId="7CFC8D61" w14:textId="77777777" w:rsidTr="005217C8">
        <w:tc>
          <w:tcPr>
            <w:tcW w:w="1671" w:type="pct"/>
          </w:tcPr>
          <w:p w14:paraId="0DA5FAD5" w14:textId="2E082A22" w:rsidR="005A526A" w:rsidRPr="00A556B6" w:rsidRDefault="003306FB" w:rsidP="005217C8">
            <w:pPr>
              <w:pStyle w:val="Default"/>
              <w:jc w:val="both"/>
              <w:rPr>
                <w:rFonts w:cstheme="minorHAnsi"/>
                <w:sz w:val="22"/>
                <w:szCs w:val="22"/>
              </w:rPr>
            </w:pPr>
            <w:r w:rsidRPr="00A556B6">
              <w:rPr>
                <w:rFonts w:cstheme="minorHAnsi"/>
                <w:sz w:val="22"/>
                <w:szCs w:val="22"/>
              </w:rPr>
              <w:t>Obveze distributera energije da podatke o mjerenju i potrošnji energije u javnom sektoru unose na mjesečnoj razini u nacionalni informacijski sustav z</w:t>
            </w:r>
            <w:r w:rsidR="00CE09FF" w:rsidRPr="00A556B6">
              <w:rPr>
                <w:rFonts w:cstheme="minorHAnsi"/>
                <w:sz w:val="22"/>
                <w:szCs w:val="22"/>
              </w:rPr>
              <w:t>a</w:t>
            </w:r>
            <w:r w:rsidRPr="00A556B6">
              <w:rPr>
                <w:rFonts w:cstheme="minorHAnsi"/>
                <w:sz w:val="22"/>
                <w:szCs w:val="22"/>
              </w:rPr>
              <w:t xml:space="preserve"> gospodarenje energijom (ISGE) te da osiguraju pojedinačna brojila krajnjim kupcima</w:t>
            </w:r>
          </w:p>
        </w:tc>
        <w:tc>
          <w:tcPr>
            <w:tcW w:w="1603" w:type="pct"/>
          </w:tcPr>
          <w:p w14:paraId="33946791" w14:textId="426C5DF4" w:rsidR="005A526A" w:rsidRPr="00A556B6" w:rsidRDefault="003306FB" w:rsidP="005217C8">
            <w:pPr>
              <w:pStyle w:val="Default"/>
              <w:jc w:val="both"/>
              <w:rPr>
                <w:rFonts w:cstheme="minorHAnsi"/>
                <w:sz w:val="22"/>
                <w:szCs w:val="22"/>
              </w:rPr>
            </w:pPr>
            <w:r w:rsidRPr="00A556B6">
              <w:rPr>
                <w:rFonts w:cstheme="minorHAnsi"/>
                <w:sz w:val="22"/>
                <w:szCs w:val="22"/>
              </w:rPr>
              <w:t>Zakon o energetskoj učinkovitosti (</w:t>
            </w:r>
            <w:r w:rsidR="004C3F7E">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4C3F7E">
              <w:rPr>
                <w:rFonts w:cstheme="minorHAnsi"/>
                <w:sz w:val="22"/>
                <w:szCs w:val="22"/>
              </w:rPr>
              <w:t>“</w:t>
            </w:r>
            <w:r w:rsidR="00071A4F" w:rsidRPr="00071A4F">
              <w:rPr>
                <w:rFonts w:cstheme="minorHAnsi"/>
                <w:sz w:val="22"/>
                <w:szCs w:val="22"/>
              </w:rPr>
              <w:t>, br</w:t>
            </w:r>
            <w:r w:rsidR="005B0931">
              <w:rPr>
                <w:rFonts w:cstheme="minorHAnsi"/>
                <w:sz w:val="22"/>
                <w:szCs w:val="22"/>
              </w:rPr>
              <w:t>.</w:t>
            </w:r>
            <w:r w:rsidR="00CE09FF" w:rsidRPr="00A556B6">
              <w:rPr>
                <w:rFonts w:cstheme="minorHAnsi"/>
                <w:sz w:val="22"/>
                <w:szCs w:val="22"/>
              </w:rPr>
              <w:t xml:space="preserve"> 127</w:t>
            </w:r>
            <w:r w:rsidR="005B41DA">
              <w:rPr>
                <w:rFonts w:cstheme="minorHAnsi"/>
                <w:sz w:val="22"/>
                <w:szCs w:val="22"/>
              </w:rPr>
              <w:t>/14</w:t>
            </w:r>
            <w:r w:rsidR="004C3F7E">
              <w:rPr>
                <w:rFonts w:cstheme="minorHAnsi"/>
                <w:sz w:val="22"/>
                <w:szCs w:val="22"/>
              </w:rPr>
              <w:t>.</w:t>
            </w:r>
            <w:r w:rsidR="00CE09FF" w:rsidRPr="00A556B6">
              <w:rPr>
                <w:rFonts w:cstheme="minorHAnsi"/>
                <w:sz w:val="22"/>
                <w:szCs w:val="22"/>
              </w:rPr>
              <w:t>, 116</w:t>
            </w:r>
            <w:r w:rsidR="005B41DA">
              <w:rPr>
                <w:rFonts w:cstheme="minorHAnsi"/>
                <w:sz w:val="22"/>
                <w:szCs w:val="22"/>
              </w:rPr>
              <w:t>/18</w:t>
            </w:r>
            <w:r w:rsidR="004C3F7E">
              <w:rPr>
                <w:rFonts w:cstheme="minorHAnsi"/>
                <w:sz w:val="22"/>
                <w:szCs w:val="22"/>
              </w:rPr>
              <w:t>.</w:t>
            </w:r>
            <w:r w:rsidR="00F52C57" w:rsidRPr="00A556B6">
              <w:rPr>
                <w:rFonts w:cstheme="minorHAnsi"/>
                <w:sz w:val="22"/>
                <w:szCs w:val="22"/>
              </w:rPr>
              <w:t>, 25/20</w:t>
            </w:r>
            <w:r w:rsidR="004C3F7E">
              <w:rPr>
                <w:rFonts w:cstheme="minorHAnsi"/>
                <w:sz w:val="22"/>
                <w:szCs w:val="22"/>
              </w:rPr>
              <w:t>.</w:t>
            </w:r>
            <w:r w:rsidR="00F52C57" w:rsidRPr="00A556B6">
              <w:rPr>
                <w:rFonts w:cstheme="minorHAnsi"/>
                <w:sz w:val="22"/>
                <w:szCs w:val="22"/>
              </w:rPr>
              <w:t>, 32</w:t>
            </w:r>
            <w:r w:rsidR="005B41DA">
              <w:rPr>
                <w:rFonts w:cstheme="minorHAnsi"/>
                <w:sz w:val="22"/>
                <w:szCs w:val="22"/>
              </w:rPr>
              <w:t>/21</w:t>
            </w:r>
            <w:r w:rsidR="004C3F7E">
              <w:rPr>
                <w:rFonts w:cstheme="minorHAnsi"/>
                <w:sz w:val="22"/>
                <w:szCs w:val="22"/>
              </w:rPr>
              <w:t>.</w:t>
            </w:r>
            <w:r w:rsidR="00F52C57" w:rsidRPr="00A556B6">
              <w:rPr>
                <w:rFonts w:cstheme="minorHAnsi"/>
                <w:sz w:val="22"/>
                <w:szCs w:val="22"/>
              </w:rPr>
              <w:t>, 41</w:t>
            </w:r>
            <w:r w:rsidR="005B41DA">
              <w:rPr>
                <w:rFonts w:cstheme="minorHAnsi"/>
                <w:sz w:val="22"/>
                <w:szCs w:val="22"/>
              </w:rPr>
              <w:t>/21</w:t>
            </w:r>
            <w:r w:rsidR="004C3F7E">
              <w:rPr>
                <w:rFonts w:cstheme="minorHAnsi"/>
                <w:sz w:val="22"/>
                <w:szCs w:val="22"/>
              </w:rPr>
              <w:t>.</w:t>
            </w:r>
            <w:r w:rsidRPr="00A556B6">
              <w:rPr>
                <w:rFonts w:cstheme="minorHAnsi"/>
                <w:sz w:val="22"/>
                <w:szCs w:val="22"/>
              </w:rPr>
              <w:t>)</w:t>
            </w:r>
          </w:p>
        </w:tc>
        <w:tc>
          <w:tcPr>
            <w:tcW w:w="1726" w:type="pct"/>
          </w:tcPr>
          <w:p w14:paraId="5F55E344" w14:textId="3616BDFA" w:rsidR="00066B43" w:rsidRPr="00A556B6" w:rsidRDefault="003306FB" w:rsidP="005217C8">
            <w:pPr>
              <w:pStyle w:val="Default"/>
              <w:jc w:val="both"/>
              <w:rPr>
                <w:rFonts w:cstheme="minorHAnsi"/>
                <w:sz w:val="22"/>
                <w:szCs w:val="22"/>
              </w:rPr>
            </w:pPr>
            <w:r w:rsidRPr="00A556B6">
              <w:rPr>
                <w:rFonts w:cstheme="minorHAnsi"/>
                <w:sz w:val="22"/>
                <w:szCs w:val="22"/>
              </w:rPr>
              <w:t>Distributeri energije osiguravaju da, u mjeri u kojoj je to tehnički moguće, financijski opravdano i razmjerno s obzirom na potencijalne uštede energije, krajnjim kupcima energije i tople vode u kućanstvima budu pribavljena pojedinačna brojila po konkurentnim cijenama koja točno odražavaju stvarnu potrošnju energije krajnjih kupaca.</w:t>
            </w:r>
          </w:p>
        </w:tc>
      </w:tr>
    </w:tbl>
    <w:p w14:paraId="0C5D9DA5" w14:textId="77777777" w:rsidR="00A96529" w:rsidRDefault="00A96529" w:rsidP="004623DD">
      <w:pPr>
        <w:rPr>
          <w:rFonts w:cstheme="minorHAnsi"/>
        </w:rPr>
      </w:pPr>
    </w:p>
    <w:p w14:paraId="3D89AEB3" w14:textId="124AACF0" w:rsidR="004F530A" w:rsidRPr="004F530A" w:rsidRDefault="00FD6529" w:rsidP="63259912">
      <w:pPr>
        <w:rPr>
          <w:rFonts w:cstheme="minorBidi"/>
        </w:rPr>
      </w:pPr>
      <w:r w:rsidRPr="63259912">
        <w:rPr>
          <w:rFonts w:cstheme="minorBidi"/>
        </w:rPr>
        <w:t xml:space="preserve">Postojeće mjere suzbijanja energetskog siromaštva prikazuje </w:t>
      </w:r>
      <w:r w:rsidR="00A1555B" w:rsidRPr="63259912">
        <w:rPr>
          <w:rFonts w:cstheme="minorBidi"/>
        </w:rPr>
        <w:t>T</w:t>
      </w:r>
      <w:r w:rsidR="005217C8" w:rsidRPr="63259912">
        <w:rPr>
          <w:rFonts w:cstheme="minorBidi"/>
        </w:rPr>
        <w:t xml:space="preserve">ablica </w:t>
      </w:r>
      <w:r w:rsidRPr="63259912">
        <w:rPr>
          <w:rFonts w:cstheme="minorBidi"/>
        </w:rPr>
        <w:fldChar w:fldCharType="begin"/>
      </w:r>
      <w:r w:rsidRPr="63259912">
        <w:rPr>
          <w:rFonts w:cstheme="minorBidi"/>
          <w:highlight w:val="yellow"/>
        </w:rPr>
        <w:instrText xml:space="preserve"> REF _Ref531686112 \h </w:instrText>
      </w:r>
      <w:r w:rsidR="00FE6ED9" w:rsidRPr="63259912">
        <w:rPr>
          <w:rFonts w:cstheme="minorBidi"/>
          <w:highlight w:val="yellow"/>
        </w:rPr>
        <w:instrText xml:space="preserve"> \* MERGEFORMAT </w:instrText>
      </w:r>
      <w:r w:rsidRPr="63259912">
        <w:rPr>
          <w:rFonts w:cstheme="minorBidi"/>
        </w:rPr>
      </w:r>
      <w:r w:rsidRPr="63259912">
        <w:rPr>
          <w:rFonts w:cstheme="minorBidi"/>
        </w:rPr>
        <w:fldChar w:fldCharType="separate"/>
      </w:r>
      <w:r w:rsidR="00AD324D" w:rsidRPr="63259912">
        <w:rPr>
          <w:rFonts w:cstheme="minorBidi"/>
        </w:rPr>
        <w:t>1</w:t>
      </w:r>
      <w:r w:rsidR="00AD324D" w:rsidRPr="63259912">
        <w:rPr>
          <w:rFonts w:cstheme="minorBidi"/>
        </w:rPr>
        <w:noBreakHyphen/>
        <w:t>13.</w:t>
      </w:r>
      <w:r w:rsidRPr="63259912">
        <w:rPr>
          <w:rFonts w:cstheme="minorBidi"/>
        </w:rPr>
        <w:fldChar w:fldCharType="end"/>
      </w:r>
      <w:r w:rsidR="00EE7BF1" w:rsidRPr="63259912">
        <w:rPr>
          <w:rFonts w:cstheme="minorBidi"/>
        </w:rPr>
        <w:t xml:space="preserve"> </w:t>
      </w:r>
      <w:r w:rsidR="00B841DA" w:rsidRPr="63259912">
        <w:rPr>
          <w:rFonts w:cstheme="minorBidi"/>
        </w:rPr>
        <w:t xml:space="preserve">Tablica prikazuje mjere po kojima je ostvaren određeni napredak, odnosno rezultat. </w:t>
      </w:r>
      <w:r w:rsidR="00DC49A9" w:rsidRPr="63259912">
        <w:rPr>
          <w:rFonts w:cstheme="minorBidi"/>
        </w:rPr>
        <w:t>Ne</w:t>
      </w:r>
      <w:r w:rsidR="004F530A" w:rsidRPr="63259912">
        <w:rPr>
          <w:rFonts w:cstheme="minorBidi"/>
        </w:rPr>
        <w:t xml:space="preserve">regulatorne mjere energetske učinkovitosti uključuju program energetske obnove i ugradnje obnovljivih izvora energije u 387 stambenih zgrada u vlasništvu i upravljanju </w:t>
      </w:r>
      <w:r w:rsidR="008476FD" w:rsidRPr="63259912">
        <w:rPr>
          <w:rFonts w:cstheme="minorBidi"/>
        </w:rPr>
        <w:t>MPGI</w:t>
      </w:r>
      <w:r w:rsidR="004F530A" w:rsidRPr="63259912">
        <w:rPr>
          <w:rFonts w:cstheme="minorBidi"/>
        </w:rPr>
        <w:t xml:space="preserve"> (socijalno stanovanje). Program je usvojila Vlada RH u prosincu 2021. Sredstva za provedbu Programa u iznosu od oko 20 milijuna eura osigurana su iz </w:t>
      </w:r>
      <w:r w:rsidR="00D33451" w:rsidRPr="63259912">
        <w:rPr>
          <w:rFonts w:cstheme="minorBidi"/>
        </w:rPr>
        <w:t>NPOO</w:t>
      </w:r>
      <w:r w:rsidR="004F530A" w:rsidRPr="63259912">
        <w:rPr>
          <w:rFonts w:cstheme="minorBidi"/>
        </w:rPr>
        <w:t xml:space="preserve">, a </w:t>
      </w:r>
      <w:r w:rsidR="00655C04" w:rsidRPr="63259912">
        <w:rPr>
          <w:rFonts w:cstheme="minorBidi"/>
        </w:rPr>
        <w:t xml:space="preserve">dodatkom NPOO-a </w:t>
      </w:r>
      <w:r w:rsidR="004F530A" w:rsidRPr="63259912">
        <w:rPr>
          <w:rFonts w:cstheme="minorBidi"/>
        </w:rPr>
        <w:t>osiguran</w:t>
      </w:r>
      <w:r w:rsidR="00655C04" w:rsidRPr="63259912">
        <w:rPr>
          <w:rFonts w:cstheme="minorBidi"/>
        </w:rPr>
        <w:t xml:space="preserve">o je još </w:t>
      </w:r>
      <w:r w:rsidR="00FD0BA8" w:rsidRPr="63259912">
        <w:rPr>
          <w:rFonts w:cstheme="minorBidi"/>
        </w:rPr>
        <w:t>68,41 milijun EUR</w:t>
      </w:r>
      <w:r w:rsidR="004F530A" w:rsidRPr="63259912">
        <w:rPr>
          <w:rFonts w:cstheme="minorBidi"/>
        </w:rPr>
        <w:t>.</w:t>
      </w:r>
    </w:p>
    <w:p w14:paraId="405D44CE" w14:textId="1239BE16" w:rsidR="00033C0B" w:rsidRDefault="004F530A" w:rsidP="00557530">
      <w:pPr>
        <w:rPr>
          <w:rFonts w:cstheme="minorHAnsi"/>
        </w:rPr>
      </w:pPr>
      <w:r w:rsidRPr="004F530A">
        <w:rPr>
          <w:rFonts w:cstheme="minorHAnsi"/>
        </w:rPr>
        <w:t xml:space="preserve">Dodatno, </w:t>
      </w:r>
      <w:r w:rsidR="00681B25">
        <w:rPr>
          <w:rFonts w:cstheme="minorHAnsi"/>
        </w:rPr>
        <w:t>uvedena je i n</w:t>
      </w:r>
      <w:r w:rsidR="00681B25" w:rsidRPr="00681B25">
        <w:rPr>
          <w:rFonts w:cstheme="minorHAnsi"/>
        </w:rPr>
        <w:t>aknada za ugroženog kupca energenata</w:t>
      </w:r>
      <w:r w:rsidR="00681B25">
        <w:rPr>
          <w:rFonts w:cstheme="minorHAnsi"/>
        </w:rPr>
        <w:t xml:space="preserve">. </w:t>
      </w:r>
      <w:r w:rsidR="00681B25" w:rsidRPr="00681B25">
        <w:rPr>
          <w:rFonts w:cstheme="minorHAnsi"/>
        </w:rPr>
        <w:t xml:space="preserve">Naknada iznosi do najviše 26,54 </w:t>
      </w:r>
      <w:r w:rsidR="0059392D">
        <w:rPr>
          <w:rFonts w:cstheme="minorHAnsi"/>
        </w:rPr>
        <w:t>EUR</w:t>
      </w:r>
      <w:r w:rsidR="00681B25" w:rsidRPr="00681B25">
        <w:rPr>
          <w:rFonts w:cstheme="minorHAnsi"/>
        </w:rPr>
        <w:t xml:space="preserve">, iznimno, do najviše 70 </w:t>
      </w:r>
      <w:r w:rsidR="0059392D">
        <w:rPr>
          <w:rFonts w:cstheme="minorHAnsi"/>
        </w:rPr>
        <w:t>EUR</w:t>
      </w:r>
      <w:r w:rsidR="00681B25" w:rsidRPr="00681B25">
        <w:rPr>
          <w:rFonts w:cstheme="minorHAnsi"/>
        </w:rPr>
        <w:t xml:space="preserve"> mjesečno do 31. ožujka 2024. godine</w:t>
      </w:r>
      <w:r w:rsidR="00681B25">
        <w:rPr>
          <w:rFonts w:cstheme="minorHAnsi"/>
        </w:rPr>
        <w:t>.</w:t>
      </w:r>
      <w:r w:rsidRPr="004F530A">
        <w:rPr>
          <w:rFonts w:cstheme="minorHAnsi"/>
        </w:rPr>
        <w:t xml:space="preserve"> Ugroženi kupci utvrđuju se prema Uredbi o kriterijima za stjecanje statusa ugroženog kupca energije iz umreženih sustava </w:t>
      </w:r>
      <w:r w:rsidR="00EB08F1">
        <w:rPr>
          <w:rFonts w:cstheme="minorHAnsi"/>
        </w:rPr>
        <w:t xml:space="preserve">(„Narodne novine“, br. </w:t>
      </w:r>
      <w:r w:rsidRPr="004F530A">
        <w:rPr>
          <w:rFonts w:cstheme="minorHAnsi"/>
        </w:rPr>
        <w:t>95/15</w:t>
      </w:r>
      <w:r w:rsidR="00DC0495">
        <w:rPr>
          <w:rFonts w:cstheme="minorHAnsi"/>
        </w:rPr>
        <w:t>.</w:t>
      </w:r>
      <w:r w:rsidR="00605669">
        <w:rPr>
          <w:rFonts w:cstheme="minorHAnsi"/>
        </w:rPr>
        <w:t xml:space="preserve">, </w:t>
      </w:r>
      <w:r w:rsidR="000668AC">
        <w:rPr>
          <w:rFonts w:cstheme="minorHAnsi"/>
        </w:rPr>
        <w:t>31/22., 28/24.</w:t>
      </w:r>
      <w:r w:rsidRPr="004F530A">
        <w:rPr>
          <w:rFonts w:cstheme="minorHAnsi"/>
        </w:rPr>
        <w:t xml:space="preserve">). </w:t>
      </w:r>
      <w:r w:rsidR="00B841DA" w:rsidRPr="006B1F80">
        <w:rPr>
          <w:rFonts w:cstheme="minorHAnsi"/>
        </w:rPr>
        <w:t xml:space="preserve">Osim </w:t>
      </w:r>
      <w:r w:rsidRPr="006B1F80">
        <w:rPr>
          <w:rFonts w:cstheme="minorHAnsi"/>
        </w:rPr>
        <w:t>naved</w:t>
      </w:r>
      <w:r>
        <w:rPr>
          <w:rFonts w:cstheme="minorHAnsi"/>
        </w:rPr>
        <w:t>en</w:t>
      </w:r>
      <w:r w:rsidRPr="006B1F80">
        <w:rPr>
          <w:rFonts w:cstheme="minorHAnsi"/>
        </w:rPr>
        <w:t>o</w:t>
      </w:r>
      <w:r>
        <w:rPr>
          <w:rFonts w:cstheme="minorHAnsi"/>
        </w:rPr>
        <w:t>g</w:t>
      </w:r>
      <w:r w:rsidR="00B841DA" w:rsidRPr="006B1F80">
        <w:rPr>
          <w:rFonts w:cstheme="minorHAnsi"/>
        </w:rPr>
        <w:t xml:space="preserve">, postoje i druge mjere, međutim po tim mjerama nije ostvaren napredak i stoga nisu uključene. </w:t>
      </w:r>
    </w:p>
    <w:p w14:paraId="4C3E1F3E" w14:textId="77777777" w:rsidR="00033C0B" w:rsidRDefault="00033C0B">
      <w:pPr>
        <w:spacing w:after="0"/>
        <w:jc w:val="left"/>
        <w:rPr>
          <w:rFonts w:cstheme="minorHAnsi"/>
        </w:rPr>
      </w:pPr>
      <w:r>
        <w:rPr>
          <w:rFonts w:cstheme="minorHAnsi"/>
        </w:rPr>
        <w:br w:type="page"/>
      </w:r>
    </w:p>
    <w:p w14:paraId="18CF6EA0" w14:textId="46862C8F" w:rsidR="00FD6529" w:rsidRPr="00B47BDA" w:rsidRDefault="00FD6529" w:rsidP="004623DD">
      <w:pPr>
        <w:pStyle w:val="Caption"/>
      </w:pPr>
      <w:bookmarkStart w:id="118" w:name="_Toc193035941"/>
      <w:r w:rsidRPr="00B47BDA">
        <w:lastRenderedPageBreak/>
        <w:t xml:space="preserve">Tablica </w:t>
      </w:r>
      <w:bookmarkStart w:id="119" w:name="_Ref531686112"/>
      <w:r w:rsidR="00F56C25">
        <w:fldChar w:fldCharType="begin"/>
      </w:r>
      <w:r w:rsidR="00F56C25">
        <w:instrText xml:space="preserve"> STYLEREF 1 \s </w:instrText>
      </w:r>
      <w:r w:rsidR="00F56C25">
        <w:fldChar w:fldCharType="separate"/>
      </w:r>
      <w:r w:rsidR="00AD324D">
        <w:rPr>
          <w:noProof/>
        </w:rPr>
        <w:t>1</w:t>
      </w:r>
      <w:r w:rsidR="00F56C25">
        <w:fldChar w:fldCharType="end"/>
      </w:r>
      <w:r w:rsidR="000C3EFD" w:rsidRPr="00B47BDA">
        <w:noBreakHyphen/>
      </w:r>
      <w:r>
        <w:fldChar w:fldCharType="begin"/>
      </w:r>
      <w:r>
        <w:instrText>SEQ Tablica \* ARABIC \s 1</w:instrText>
      </w:r>
      <w:r>
        <w:fldChar w:fldCharType="separate"/>
      </w:r>
      <w:r w:rsidR="00AD324D">
        <w:rPr>
          <w:noProof/>
        </w:rPr>
        <w:t>13</w:t>
      </w:r>
      <w:r>
        <w:fldChar w:fldCharType="end"/>
      </w:r>
      <w:r w:rsidR="006E4F13" w:rsidRPr="00B47BDA">
        <w:t>.</w:t>
      </w:r>
      <w:bookmarkEnd w:id="119"/>
      <w:r w:rsidR="00483D4C" w:rsidRPr="00B47BDA">
        <w:t xml:space="preserve"> </w:t>
      </w:r>
      <w:r w:rsidRPr="00B47BDA">
        <w:t>Postojeće mjere suzbijanja energetskog siromaštva</w:t>
      </w:r>
      <w:bookmarkEnd w:id="118"/>
    </w:p>
    <w:tbl>
      <w:tblPr>
        <w:tblStyle w:val="NECP"/>
        <w:tblW w:w="5000" w:type="pct"/>
        <w:tblLook w:val="04A0" w:firstRow="1" w:lastRow="0" w:firstColumn="1" w:lastColumn="0" w:noHBand="0" w:noVBand="1"/>
      </w:tblPr>
      <w:tblGrid>
        <w:gridCol w:w="2541"/>
        <w:gridCol w:w="3403"/>
        <w:gridCol w:w="3106"/>
      </w:tblGrid>
      <w:tr w:rsidR="00672DB0" w:rsidRPr="005217C8" w14:paraId="16C17BB8" w14:textId="77777777" w:rsidTr="00ED7A5B">
        <w:trPr>
          <w:cnfStyle w:val="100000000000" w:firstRow="1" w:lastRow="0" w:firstColumn="0" w:lastColumn="0" w:oddVBand="0" w:evenVBand="0" w:oddHBand="0" w:evenHBand="0" w:firstRowFirstColumn="0" w:firstRowLastColumn="0" w:lastRowFirstColumn="0" w:lastRowLastColumn="0"/>
          <w:trHeight w:val="340"/>
        </w:trPr>
        <w:tc>
          <w:tcPr>
            <w:tcW w:w="1404" w:type="pct"/>
            <w:shd w:val="clear" w:color="auto" w:fill="D9E2F3" w:themeFill="accent5" w:themeFillTint="33"/>
          </w:tcPr>
          <w:p w14:paraId="28B44675" w14:textId="77777777" w:rsidR="00672DB0" w:rsidRPr="00A556B6" w:rsidRDefault="00672DB0" w:rsidP="00ED7A5B">
            <w:pPr>
              <w:spacing w:after="0"/>
              <w:jc w:val="center"/>
              <w:rPr>
                <w:sz w:val="22"/>
                <w:szCs w:val="22"/>
              </w:rPr>
            </w:pPr>
            <w:r w:rsidRPr="00A556B6">
              <w:rPr>
                <w:sz w:val="22"/>
                <w:szCs w:val="22"/>
              </w:rPr>
              <w:t>Naziv mjere</w:t>
            </w:r>
          </w:p>
        </w:tc>
        <w:tc>
          <w:tcPr>
            <w:tcW w:w="1880" w:type="pct"/>
            <w:shd w:val="clear" w:color="auto" w:fill="D9E2F3" w:themeFill="accent5" w:themeFillTint="33"/>
          </w:tcPr>
          <w:p w14:paraId="26FFCF25" w14:textId="77777777" w:rsidR="00672DB0" w:rsidRPr="00A556B6" w:rsidRDefault="00672DB0" w:rsidP="00ED7A5B">
            <w:pPr>
              <w:spacing w:after="0"/>
              <w:jc w:val="center"/>
              <w:rPr>
                <w:sz w:val="22"/>
                <w:szCs w:val="22"/>
              </w:rPr>
            </w:pPr>
            <w:r w:rsidRPr="00A556B6">
              <w:rPr>
                <w:sz w:val="22"/>
                <w:szCs w:val="22"/>
              </w:rPr>
              <w:t>Dokumenti</w:t>
            </w:r>
          </w:p>
        </w:tc>
        <w:tc>
          <w:tcPr>
            <w:tcW w:w="1716" w:type="pct"/>
            <w:shd w:val="clear" w:color="auto" w:fill="D9E2F3" w:themeFill="accent5" w:themeFillTint="33"/>
          </w:tcPr>
          <w:p w14:paraId="3EBA93B6" w14:textId="77777777" w:rsidR="00672DB0" w:rsidRPr="00A556B6" w:rsidRDefault="00672DB0" w:rsidP="00ED7A5B">
            <w:pPr>
              <w:spacing w:after="0"/>
              <w:jc w:val="center"/>
              <w:rPr>
                <w:sz w:val="22"/>
                <w:szCs w:val="22"/>
              </w:rPr>
            </w:pPr>
            <w:r w:rsidRPr="00A556B6">
              <w:rPr>
                <w:sz w:val="22"/>
                <w:szCs w:val="22"/>
              </w:rPr>
              <w:t>Kratki opis</w:t>
            </w:r>
          </w:p>
        </w:tc>
      </w:tr>
      <w:tr w:rsidR="00672DB0" w:rsidRPr="005217C8" w14:paraId="0081DE86" w14:textId="77777777" w:rsidTr="000C319A">
        <w:tc>
          <w:tcPr>
            <w:tcW w:w="1404" w:type="pct"/>
          </w:tcPr>
          <w:p w14:paraId="17B40A14" w14:textId="66EF27D3" w:rsidR="00672DB0" w:rsidRPr="00A556B6" w:rsidRDefault="00D956D5" w:rsidP="005217C8">
            <w:pPr>
              <w:pStyle w:val="Default"/>
              <w:jc w:val="both"/>
              <w:rPr>
                <w:rFonts w:cstheme="minorHAnsi"/>
                <w:b/>
                <w:sz w:val="22"/>
                <w:szCs w:val="22"/>
              </w:rPr>
            </w:pPr>
            <w:r w:rsidRPr="00A556B6">
              <w:rPr>
                <w:rFonts w:cstheme="minorHAnsi"/>
                <w:sz w:val="22"/>
                <w:szCs w:val="22"/>
              </w:rPr>
              <w:t>Naknada troškova energije ugroženih kupaca</w:t>
            </w:r>
          </w:p>
        </w:tc>
        <w:tc>
          <w:tcPr>
            <w:tcW w:w="1880" w:type="pct"/>
          </w:tcPr>
          <w:p w14:paraId="25832362" w14:textId="33EE4199" w:rsidR="006661C5" w:rsidRPr="00A556B6" w:rsidRDefault="00D956D5" w:rsidP="005217C8">
            <w:pPr>
              <w:pStyle w:val="Default"/>
              <w:jc w:val="both"/>
              <w:rPr>
                <w:rFonts w:cstheme="minorHAnsi"/>
                <w:sz w:val="22"/>
                <w:szCs w:val="22"/>
              </w:rPr>
            </w:pPr>
            <w:r w:rsidRPr="00A556B6">
              <w:rPr>
                <w:rFonts w:cstheme="minorHAnsi"/>
                <w:sz w:val="22"/>
                <w:szCs w:val="22"/>
              </w:rPr>
              <w:t xml:space="preserve">Uredba o kriterijima za stjecanje statusa ugroženih kupaca energije iz umreženih sustava </w:t>
            </w:r>
            <w:r w:rsidR="00EB08F1">
              <w:rPr>
                <w:rFonts w:cstheme="minorHAnsi"/>
                <w:sz w:val="22"/>
                <w:szCs w:val="22"/>
              </w:rPr>
              <w:t xml:space="preserve">(„Narodne novine“, br. </w:t>
            </w:r>
            <w:r w:rsidRPr="00A556B6">
              <w:rPr>
                <w:rFonts w:cstheme="minorHAnsi"/>
                <w:sz w:val="22"/>
                <w:szCs w:val="22"/>
              </w:rPr>
              <w:t>95/15</w:t>
            </w:r>
            <w:r w:rsidR="004F727C">
              <w:rPr>
                <w:rFonts w:cstheme="minorHAnsi"/>
                <w:sz w:val="22"/>
                <w:szCs w:val="22"/>
              </w:rPr>
              <w:t>.</w:t>
            </w:r>
            <w:r w:rsidRPr="00A556B6">
              <w:rPr>
                <w:rFonts w:cstheme="minorHAnsi"/>
                <w:sz w:val="22"/>
                <w:szCs w:val="22"/>
              </w:rPr>
              <w:t>)</w:t>
            </w:r>
            <w:r w:rsidR="00F109D1" w:rsidRPr="00A556B6">
              <w:rPr>
                <w:rFonts w:cstheme="minorHAnsi"/>
                <w:sz w:val="22"/>
                <w:szCs w:val="22"/>
              </w:rPr>
              <w:t xml:space="preserve">; </w:t>
            </w:r>
          </w:p>
          <w:p w14:paraId="69DDBC44" w14:textId="77777777" w:rsidR="006661C5" w:rsidRPr="00A556B6" w:rsidRDefault="006661C5" w:rsidP="005217C8">
            <w:pPr>
              <w:pStyle w:val="Default"/>
              <w:jc w:val="both"/>
              <w:rPr>
                <w:rFonts w:cstheme="minorHAnsi"/>
                <w:sz w:val="22"/>
                <w:szCs w:val="22"/>
              </w:rPr>
            </w:pPr>
          </w:p>
          <w:p w14:paraId="3AB3B92D" w14:textId="6FCB7012" w:rsidR="00672DB0" w:rsidRDefault="00F109D1" w:rsidP="005217C8">
            <w:pPr>
              <w:pStyle w:val="Default"/>
              <w:jc w:val="both"/>
              <w:rPr>
                <w:rFonts w:cstheme="minorHAnsi"/>
                <w:sz w:val="22"/>
                <w:szCs w:val="22"/>
              </w:rPr>
            </w:pPr>
            <w:r w:rsidRPr="00A556B6">
              <w:rPr>
                <w:rFonts w:cstheme="minorHAnsi"/>
                <w:sz w:val="22"/>
                <w:szCs w:val="22"/>
              </w:rPr>
              <w:t>Uredba o izmjenama i dopuni Uredbe o kriterijima za stjecanje statusa ugroženih kupaca energije iz umreženih sustava</w:t>
            </w:r>
            <w:r w:rsidR="00EE74E3" w:rsidRPr="00A556B6">
              <w:rPr>
                <w:rFonts w:cstheme="minorHAnsi"/>
                <w:sz w:val="22"/>
                <w:szCs w:val="22"/>
              </w:rPr>
              <w:t xml:space="preserve"> </w:t>
            </w:r>
            <w:r w:rsidR="00EB08F1">
              <w:rPr>
                <w:rFonts w:cstheme="minorHAnsi"/>
                <w:sz w:val="22"/>
                <w:szCs w:val="22"/>
              </w:rPr>
              <w:t xml:space="preserve">(„Narodne novine“, br. </w:t>
            </w:r>
            <w:r w:rsidR="0005738E" w:rsidRPr="00A556B6">
              <w:rPr>
                <w:rFonts w:cstheme="minorHAnsi"/>
                <w:sz w:val="22"/>
                <w:szCs w:val="22"/>
              </w:rPr>
              <w:t>31</w:t>
            </w:r>
            <w:r w:rsidR="005B41DA">
              <w:rPr>
                <w:rFonts w:cstheme="minorHAnsi"/>
                <w:sz w:val="22"/>
                <w:szCs w:val="22"/>
              </w:rPr>
              <w:t>/22</w:t>
            </w:r>
            <w:r w:rsidR="008B5B61">
              <w:rPr>
                <w:rFonts w:cstheme="minorHAnsi"/>
                <w:sz w:val="22"/>
                <w:szCs w:val="22"/>
              </w:rPr>
              <w:t>.</w:t>
            </w:r>
            <w:r w:rsidR="0005738E" w:rsidRPr="00A556B6">
              <w:rPr>
                <w:rFonts w:cstheme="minorHAnsi"/>
                <w:sz w:val="22"/>
                <w:szCs w:val="22"/>
              </w:rPr>
              <w:t>)</w:t>
            </w:r>
            <w:r w:rsidR="006661C5" w:rsidRPr="00A556B6">
              <w:rPr>
                <w:rFonts w:cstheme="minorHAnsi"/>
                <w:sz w:val="22"/>
                <w:szCs w:val="22"/>
              </w:rPr>
              <w:t xml:space="preserve">; </w:t>
            </w:r>
          </w:p>
          <w:p w14:paraId="239E4D6D" w14:textId="47EB5BDD" w:rsidR="00B529BA" w:rsidRPr="00A556B6" w:rsidRDefault="00185C29" w:rsidP="005217C8">
            <w:pPr>
              <w:pStyle w:val="Default"/>
              <w:jc w:val="both"/>
              <w:rPr>
                <w:rFonts w:cstheme="minorHAnsi"/>
                <w:sz w:val="22"/>
                <w:szCs w:val="22"/>
              </w:rPr>
            </w:pPr>
            <w:r>
              <w:rPr>
                <w:rFonts w:cstheme="minorHAnsi"/>
                <w:sz w:val="22"/>
                <w:szCs w:val="22"/>
              </w:rPr>
              <w:t xml:space="preserve">Uredba o izmjeni Uredbe o kriterijima </w:t>
            </w:r>
            <w:r w:rsidRPr="00A556B6">
              <w:rPr>
                <w:rFonts w:cstheme="minorHAnsi"/>
                <w:sz w:val="22"/>
                <w:szCs w:val="22"/>
              </w:rPr>
              <w:t>za stjecanje statusa ugroženih kupaca energije iz umreženih sustava</w:t>
            </w:r>
            <w:r>
              <w:rPr>
                <w:rFonts w:cstheme="minorHAnsi"/>
                <w:sz w:val="22"/>
                <w:szCs w:val="22"/>
              </w:rPr>
              <w:t xml:space="preserve"> </w:t>
            </w:r>
            <w:r w:rsidR="00EB08F1">
              <w:rPr>
                <w:rFonts w:cstheme="minorHAnsi"/>
                <w:sz w:val="22"/>
                <w:szCs w:val="22"/>
              </w:rPr>
              <w:t xml:space="preserve">(„Narodne novine“, br. </w:t>
            </w:r>
            <w:r w:rsidR="002525BF">
              <w:rPr>
                <w:rFonts w:cstheme="minorHAnsi"/>
                <w:sz w:val="22"/>
                <w:szCs w:val="22"/>
              </w:rPr>
              <w:t>28/24</w:t>
            </w:r>
            <w:r w:rsidR="0004031D">
              <w:rPr>
                <w:rFonts w:cstheme="minorHAnsi"/>
                <w:sz w:val="22"/>
                <w:szCs w:val="22"/>
              </w:rPr>
              <w:t>.</w:t>
            </w:r>
            <w:r w:rsidR="00381936">
              <w:rPr>
                <w:rFonts w:cstheme="minorHAnsi"/>
                <w:sz w:val="22"/>
                <w:szCs w:val="22"/>
              </w:rPr>
              <w:t>);</w:t>
            </w:r>
          </w:p>
          <w:p w14:paraId="79E00A9D" w14:textId="77777777" w:rsidR="006661C5" w:rsidRPr="00A556B6" w:rsidRDefault="006661C5" w:rsidP="005217C8">
            <w:pPr>
              <w:pStyle w:val="Default"/>
              <w:jc w:val="both"/>
              <w:rPr>
                <w:rFonts w:cstheme="minorHAnsi"/>
                <w:sz w:val="22"/>
                <w:szCs w:val="22"/>
              </w:rPr>
            </w:pPr>
          </w:p>
          <w:p w14:paraId="27B61BE2" w14:textId="0C5FBBB0" w:rsidR="006661C5" w:rsidRPr="00A556B6" w:rsidRDefault="006661C5" w:rsidP="005217C8">
            <w:pPr>
              <w:pStyle w:val="Default"/>
              <w:jc w:val="both"/>
              <w:rPr>
                <w:rFonts w:cstheme="minorHAnsi"/>
                <w:sz w:val="22"/>
                <w:szCs w:val="22"/>
              </w:rPr>
            </w:pPr>
            <w:r w:rsidRPr="00A556B6">
              <w:rPr>
                <w:rFonts w:cstheme="minorHAnsi"/>
                <w:sz w:val="22"/>
                <w:szCs w:val="22"/>
              </w:rPr>
              <w:t xml:space="preserve">Uredba o mjesečnom iznosu naknade za ugroženog kupca energenata, načinu sudjelovanja u podmirenju troškova energenata korisnika naknade i postupanju nadležnih centara za socijalnu skrb </w:t>
            </w:r>
            <w:r w:rsidR="00EB08F1">
              <w:rPr>
                <w:rFonts w:cstheme="minorHAnsi"/>
                <w:sz w:val="22"/>
                <w:szCs w:val="22"/>
              </w:rPr>
              <w:t xml:space="preserve">(„Narodne novine“, br. </w:t>
            </w:r>
            <w:r w:rsidRPr="00A556B6">
              <w:rPr>
                <w:rFonts w:cstheme="minorHAnsi"/>
                <w:sz w:val="22"/>
                <w:szCs w:val="22"/>
              </w:rPr>
              <w:t>140</w:t>
            </w:r>
            <w:r w:rsidR="005B41DA">
              <w:rPr>
                <w:rFonts w:cstheme="minorHAnsi"/>
                <w:sz w:val="22"/>
                <w:szCs w:val="22"/>
              </w:rPr>
              <w:t>/15</w:t>
            </w:r>
            <w:r w:rsidRPr="00A556B6">
              <w:rPr>
                <w:rFonts w:cstheme="minorHAnsi"/>
                <w:sz w:val="22"/>
                <w:szCs w:val="22"/>
              </w:rPr>
              <w:t xml:space="preserve">.), koju je zamijenila: </w:t>
            </w:r>
          </w:p>
          <w:p w14:paraId="2E9CA477" w14:textId="77777777" w:rsidR="006661C5" w:rsidRPr="00A556B6" w:rsidRDefault="006661C5" w:rsidP="005217C8">
            <w:pPr>
              <w:pStyle w:val="Default"/>
              <w:jc w:val="both"/>
              <w:rPr>
                <w:rFonts w:cstheme="minorHAnsi"/>
                <w:sz w:val="22"/>
                <w:szCs w:val="22"/>
              </w:rPr>
            </w:pPr>
          </w:p>
          <w:p w14:paraId="656FA587" w14:textId="7F33C597" w:rsidR="008D2A99" w:rsidRPr="00A556B6" w:rsidRDefault="008D2A99" w:rsidP="005217C8">
            <w:pPr>
              <w:pStyle w:val="Default"/>
              <w:jc w:val="both"/>
              <w:rPr>
                <w:rFonts w:cstheme="minorHAnsi"/>
                <w:sz w:val="22"/>
                <w:szCs w:val="22"/>
              </w:rPr>
            </w:pPr>
            <w:r w:rsidRPr="00A556B6">
              <w:rPr>
                <w:rFonts w:cstheme="minorHAnsi"/>
                <w:sz w:val="22"/>
                <w:szCs w:val="22"/>
              </w:rPr>
              <w:t>Uredba o mjesečnom iznosu naknade za ugroženog kupca energenata, načinu sudjelovanja u podmirenju troškova energenata korisnika naknade i postupanju Hrvatskog zavoda za socijalni rad (</w:t>
            </w:r>
            <w:r w:rsidR="008B5B61">
              <w:rPr>
                <w:rFonts w:cstheme="minorHAnsi"/>
                <w:sz w:val="22"/>
                <w:szCs w:val="22"/>
              </w:rPr>
              <w:t>„</w:t>
            </w:r>
            <w:r w:rsidR="00071A4F" w:rsidRPr="00071A4F">
              <w:rPr>
                <w:rFonts w:cstheme="minorHAnsi"/>
                <w:sz w:val="22"/>
                <w:szCs w:val="22"/>
              </w:rPr>
              <w:t xml:space="preserve">Narodne </w:t>
            </w:r>
            <w:r w:rsidR="00A97AE7">
              <w:rPr>
                <w:rFonts w:cstheme="minorHAnsi"/>
                <w:sz w:val="22"/>
                <w:szCs w:val="22"/>
              </w:rPr>
              <w:t>novine</w:t>
            </w:r>
            <w:r w:rsidR="008B5B61">
              <w:rPr>
                <w:rFonts w:cstheme="minorHAnsi"/>
                <w:sz w:val="22"/>
                <w:szCs w:val="22"/>
              </w:rPr>
              <w:t>“</w:t>
            </w:r>
            <w:r w:rsidR="00071A4F" w:rsidRPr="00071A4F">
              <w:rPr>
                <w:rFonts w:cstheme="minorHAnsi"/>
                <w:sz w:val="22"/>
                <w:szCs w:val="22"/>
              </w:rPr>
              <w:t>, br</w:t>
            </w:r>
            <w:r w:rsidR="001B663B">
              <w:rPr>
                <w:rFonts w:cstheme="minorHAnsi"/>
                <w:sz w:val="22"/>
                <w:szCs w:val="22"/>
              </w:rPr>
              <w:t>.</w:t>
            </w:r>
            <w:r w:rsidR="003F7EC2" w:rsidRPr="00A556B6">
              <w:rPr>
                <w:rFonts w:cstheme="minorHAnsi"/>
                <w:sz w:val="22"/>
                <w:szCs w:val="22"/>
              </w:rPr>
              <w:t xml:space="preserve"> 31</w:t>
            </w:r>
            <w:r w:rsidR="005B41DA">
              <w:rPr>
                <w:rFonts w:cstheme="minorHAnsi"/>
                <w:sz w:val="22"/>
                <w:szCs w:val="22"/>
              </w:rPr>
              <w:t>/22</w:t>
            </w:r>
            <w:r w:rsidR="008B5B61">
              <w:rPr>
                <w:rFonts w:cstheme="minorHAnsi"/>
                <w:sz w:val="22"/>
                <w:szCs w:val="22"/>
              </w:rPr>
              <w:t>.</w:t>
            </w:r>
            <w:r w:rsidR="003F7EC2" w:rsidRPr="00A556B6">
              <w:rPr>
                <w:rFonts w:cstheme="minorHAnsi"/>
                <w:sz w:val="22"/>
                <w:szCs w:val="22"/>
              </w:rPr>
              <w:t>,</w:t>
            </w:r>
            <w:r w:rsidR="00856EFF" w:rsidRPr="00A556B6">
              <w:rPr>
                <w:rFonts w:cstheme="minorHAnsi"/>
                <w:sz w:val="22"/>
                <w:szCs w:val="22"/>
              </w:rPr>
              <w:t xml:space="preserve"> 104</w:t>
            </w:r>
            <w:r w:rsidR="005B41DA">
              <w:rPr>
                <w:rFonts w:cstheme="minorHAnsi"/>
                <w:sz w:val="22"/>
                <w:szCs w:val="22"/>
              </w:rPr>
              <w:t>/22</w:t>
            </w:r>
            <w:r w:rsidR="008B5B61">
              <w:rPr>
                <w:rFonts w:cstheme="minorHAnsi"/>
                <w:sz w:val="22"/>
                <w:szCs w:val="22"/>
              </w:rPr>
              <w:t>.</w:t>
            </w:r>
            <w:r w:rsidR="00856EFF" w:rsidRPr="00A556B6">
              <w:rPr>
                <w:rFonts w:cstheme="minorHAnsi"/>
                <w:sz w:val="22"/>
                <w:szCs w:val="22"/>
              </w:rPr>
              <w:t>,</w:t>
            </w:r>
            <w:r w:rsidR="003F7EC2" w:rsidRPr="00A556B6">
              <w:rPr>
                <w:rFonts w:cstheme="minorHAnsi"/>
                <w:sz w:val="22"/>
                <w:szCs w:val="22"/>
              </w:rPr>
              <w:t xml:space="preserve"> </w:t>
            </w:r>
            <w:r w:rsidR="00EE6EF2" w:rsidRPr="00A556B6">
              <w:rPr>
                <w:rFonts w:cstheme="minorHAnsi"/>
                <w:sz w:val="22"/>
                <w:szCs w:val="22"/>
              </w:rPr>
              <w:t>31</w:t>
            </w:r>
            <w:r w:rsidR="005B41DA">
              <w:rPr>
                <w:rFonts w:cstheme="minorHAnsi"/>
                <w:sz w:val="22"/>
                <w:szCs w:val="22"/>
              </w:rPr>
              <w:t>/23</w:t>
            </w:r>
            <w:r w:rsidR="008B5B61">
              <w:rPr>
                <w:rFonts w:cstheme="minorHAnsi"/>
                <w:sz w:val="22"/>
                <w:szCs w:val="22"/>
              </w:rPr>
              <w:t>.</w:t>
            </w:r>
            <w:r w:rsidR="00EE6EF2" w:rsidRPr="00A556B6">
              <w:rPr>
                <w:rFonts w:cstheme="minorHAnsi"/>
                <w:sz w:val="22"/>
                <w:szCs w:val="22"/>
              </w:rPr>
              <w:t>)</w:t>
            </w:r>
          </w:p>
          <w:p w14:paraId="70F358A3" w14:textId="0DC29736" w:rsidR="006661C5" w:rsidRPr="00A556B6" w:rsidRDefault="006661C5" w:rsidP="005217C8">
            <w:pPr>
              <w:pStyle w:val="Default"/>
              <w:jc w:val="both"/>
              <w:rPr>
                <w:rFonts w:cstheme="minorHAnsi"/>
                <w:sz w:val="22"/>
                <w:szCs w:val="22"/>
              </w:rPr>
            </w:pPr>
          </w:p>
        </w:tc>
        <w:tc>
          <w:tcPr>
            <w:tcW w:w="1716" w:type="pct"/>
          </w:tcPr>
          <w:p w14:paraId="6BDCC455" w14:textId="77777777" w:rsidR="00672DB0" w:rsidRPr="00A556B6" w:rsidRDefault="00D956D5" w:rsidP="005217C8">
            <w:pPr>
              <w:pStyle w:val="Default"/>
              <w:jc w:val="both"/>
              <w:rPr>
                <w:rFonts w:cstheme="minorHAnsi"/>
                <w:sz w:val="22"/>
                <w:szCs w:val="22"/>
              </w:rPr>
            </w:pPr>
            <w:r w:rsidRPr="00A556B6">
              <w:rPr>
                <w:rFonts w:cstheme="minorHAnsi"/>
                <w:sz w:val="22"/>
                <w:szCs w:val="22"/>
              </w:rPr>
              <w:t>Kupci električne energije iz kategorije kućanstva uplaćuju dodatak na cijenu električne energije. Taj dodatak opskrbljivač naplaćuje kupcima sukladno ugovoru o opskrbi krajnjega kupca te ih uplaćuje u državni proračun. Tako prikupljena sredstva namijenjena su financiranju vaučera za ugrožene kupce.</w:t>
            </w:r>
            <w:r w:rsidR="00E53DDD" w:rsidRPr="00A556B6">
              <w:rPr>
                <w:rFonts w:cstheme="minorHAnsi"/>
                <w:sz w:val="22"/>
                <w:szCs w:val="22"/>
              </w:rPr>
              <w:t xml:space="preserve"> Izmjenama 2022. godine prošireni su kriteriji za </w:t>
            </w:r>
            <w:r w:rsidR="000E02FB" w:rsidRPr="00A556B6">
              <w:rPr>
                <w:rFonts w:cstheme="minorHAnsi"/>
                <w:sz w:val="22"/>
                <w:szCs w:val="22"/>
              </w:rPr>
              <w:t xml:space="preserve">stjecanje statusa ugroženog kupca, čime je povećan obuhvat ove mjere. </w:t>
            </w:r>
          </w:p>
          <w:p w14:paraId="2B906643" w14:textId="77777777" w:rsidR="006173ED" w:rsidRPr="00A556B6" w:rsidRDefault="006173ED" w:rsidP="005217C8">
            <w:pPr>
              <w:pStyle w:val="Default"/>
              <w:jc w:val="both"/>
              <w:rPr>
                <w:rFonts w:cstheme="minorHAnsi"/>
                <w:sz w:val="22"/>
                <w:szCs w:val="22"/>
              </w:rPr>
            </w:pPr>
          </w:p>
          <w:p w14:paraId="429C47F8" w14:textId="3912EB38" w:rsidR="006173ED" w:rsidRPr="00A556B6" w:rsidRDefault="00816A34" w:rsidP="005217C8">
            <w:pPr>
              <w:pStyle w:val="Default"/>
              <w:jc w:val="both"/>
              <w:rPr>
                <w:rFonts w:cstheme="minorHAnsi"/>
                <w:sz w:val="22"/>
                <w:szCs w:val="22"/>
              </w:rPr>
            </w:pPr>
            <w:r w:rsidRPr="00A556B6">
              <w:rPr>
                <w:rFonts w:cstheme="minorHAnsi"/>
                <w:sz w:val="22"/>
                <w:szCs w:val="22"/>
              </w:rPr>
              <w:t>Vaučer za ugrožene kupce iznosio je 200,00 kn</w:t>
            </w:r>
            <w:r w:rsidR="00606FE5" w:rsidRPr="00A556B6">
              <w:rPr>
                <w:rFonts w:cstheme="minorHAnsi"/>
                <w:sz w:val="22"/>
                <w:szCs w:val="22"/>
              </w:rPr>
              <w:t xml:space="preserve"> sve do 2022. godine, kada se kroz izmjene Uredbe o mjesečnom iznosu naknade za ugroženog kupca energenata ovaj iznos povećao na 400,00 kn</w:t>
            </w:r>
            <w:r w:rsidR="00F81571" w:rsidRPr="00A556B6">
              <w:rPr>
                <w:rFonts w:cstheme="minorHAnsi"/>
                <w:sz w:val="22"/>
                <w:szCs w:val="22"/>
              </w:rPr>
              <w:t xml:space="preserve">, a </w:t>
            </w:r>
            <w:r w:rsidR="0054561B" w:rsidRPr="00A556B6">
              <w:rPr>
                <w:rFonts w:cstheme="minorHAnsi"/>
                <w:sz w:val="22"/>
                <w:szCs w:val="22"/>
              </w:rPr>
              <w:t>potom</w:t>
            </w:r>
            <w:r w:rsidR="00F81571" w:rsidRPr="00A556B6">
              <w:rPr>
                <w:rFonts w:cstheme="minorHAnsi"/>
                <w:sz w:val="22"/>
                <w:szCs w:val="22"/>
              </w:rPr>
              <w:t xml:space="preserve"> na 500,00 kn</w:t>
            </w:r>
            <w:r w:rsidR="00041B86" w:rsidRPr="00A556B6">
              <w:rPr>
                <w:rFonts w:cstheme="minorHAnsi"/>
                <w:sz w:val="22"/>
                <w:szCs w:val="22"/>
              </w:rPr>
              <w:t>.</w:t>
            </w:r>
            <w:r w:rsidR="00A96709" w:rsidRPr="00A556B6">
              <w:rPr>
                <w:rFonts w:cstheme="minorHAnsi"/>
                <w:sz w:val="22"/>
                <w:szCs w:val="22"/>
              </w:rPr>
              <w:t xml:space="preserve"> Posljednjim izmjenama Uredbe </w:t>
            </w:r>
            <w:r w:rsidR="00DF4388" w:rsidRPr="00A556B6">
              <w:rPr>
                <w:rFonts w:cstheme="minorHAnsi"/>
                <w:sz w:val="22"/>
                <w:szCs w:val="22"/>
              </w:rPr>
              <w:t xml:space="preserve">u 2023. godini, </w:t>
            </w:r>
            <w:r w:rsidR="00C003BB" w:rsidRPr="00A556B6">
              <w:rPr>
                <w:rFonts w:cstheme="minorHAnsi"/>
                <w:sz w:val="22"/>
                <w:szCs w:val="22"/>
              </w:rPr>
              <w:t xml:space="preserve">utvrđen je </w:t>
            </w:r>
            <w:r w:rsidR="00A96709" w:rsidRPr="00A556B6">
              <w:rPr>
                <w:rFonts w:cstheme="minorHAnsi"/>
                <w:sz w:val="22"/>
                <w:szCs w:val="22"/>
              </w:rPr>
              <w:t xml:space="preserve">iznos vaučera </w:t>
            </w:r>
            <w:r w:rsidR="00E06569" w:rsidRPr="00A556B6">
              <w:rPr>
                <w:rFonts w:cstheme="minorHAnsi"/>
                <w:sz w:val="22"/>
                <w:szCs w:val="22"/>
              </w:rPr>
              <w:t xml:space="preserve">koji se primjenjuje od </w:t>
            </w:r>
            <w:r w:rsidR="00CE48E7" w:rsidRPr="00A556B6">
              <w:rPr>
                <w:rFonts w:cstheme="minorHAnsi"/>
                <w:sz w:val="22"/>
                <w:szCs w:val="22"/>
              </w:rPr>
              <w:t>1.</w:t>
            </w:r>
            <w:r w:rsidR="00C936DB">
              <w:rPr>
                <w:rFonts w:cstheme="minorHAnsi"/>
                <w:sz w:val="22"/>
                <w:szCs w:val="22"/>
              </w:rPr>
              <w:t xml:space="preserve"> travnja </w:t>
            </w:r>
            <w:r w:rsidR="00CE48E7" w:rsidRPr="00A556B6">
              <w:rPr>
                <w:rFonts w:cstheme="minorHAnsi"/>
                <w:sz w:val="22"/>
                <w:szCs w:val="22"/>
              </w:rPr>
              <w:t>2023. do 31.</w:t>
            </w:r>
            <w:r w:rsidR="00DE29D0">
              <w:rPr>
                <w:rFonts w:cstheme="minorHAnsi"/>
                <w:sz w:val="22"/>
                <w:szCs w:val="22"/>
              </w:rPr>
              <w:t xml:space="preserve"> ožujka </w:t>
            </w:r>
            <w:r w:rsidR="00CE48E7" w:rsidRPr="00A556B6">
              <w:rPr>
                <w:rFonts w:cstheme="minorHAnsi"/>
                <w:sz w:val="22"/>
                <w:szCs w:val="22"/>
              </w:rPr>
              <w:t>2024. godine</w:t>
            </w:r>
            <w:r w:rsidR="00C003BB" w:rsidRPr="00A556B6">
              <w:rPr>
                <w:rFonts w:cstheme="minorHAnsi"/>
                <w:sz w:val="22"/>
                <w:szCs w:val="22"/>
              </w:rPr>
              <w:t xml:space="preserve"> te on</w:t>
            </w:r>
            <w:r w:rsidR="00CE48E7" w:rsidRPr="00A556B6">
              <w:rPr>
                <w:rFonts w:cstheme="minorHAnsi"/>
                <w:sz w:val="22"/>
                <w:szCs w:val="22"/>
              </w:rPr>
              <w:t xml:space="preserve"> iznosi 70 </w:t>
            </w:r>
            <w:r w:rsidR="0059392D">
              <w:rPr>
                <w:rFonts w:cstheme="minorHAnsi"/>
                <w:sz w:val="22"/>
                <w:szCs w:val="22"/>
              </w:rPr>
              <w:t>EUR</w:t>
            </w:r>
            <w:r w:rsidR="00CE48E7" w:rsidRPr="00A556B6">
              <w:rPr>
                <w:rFonts w:cstheme="minorHAnsi"/>
                <w:sz w:val="22"/>
                <w:szCs w:val="22"/>
              </w:rPr>
              <w:t>.</w:t>
            </w:r>
          </w:p>
        </w:tc>
      </w:tr>
      <w:tr w:rsidR="004D1B81" w:rsidRPr="005217C8" w14:paraId="41669CF1" w14:textId="77777777" w:rsidTr="000C319A">
        <w:tc>
          <w:tcPr>
            <w:tcW w:w="1404" w:type="pct"/>
          </w:tcPr>
          <w:p w14:paraId="4382C6D0" w14:textId="77777777" w:rsidR="0089297B" w:rsidRPr="00A556B6" w:rsidRDefault="0089297B" w:rsidP="005217C8">
            <w:pPr>
              <w:pStyle w:val="Default"/>
              <w:jc w:val="both"/>
              <w:rPr>
                <w:rFonts w:cstheme="minorHAnsi"/>
                <w:b/>
                <w:sz w:val="22"/>
                <w:szCs w:val="22"/>
              </w:rPr>
            </w:pPr>
            <w:r w:rsidRPr="00A556B6">
              <w:rPr>
                <w:rFonts w:cstheme="minorHAnsi"/>
                <w:sz w:val="22"/>
                <w:szCs w:val="22"/>
              </w:rPr>
              <w:t>Program suzbijanja energetskog siromaštva koji uključuje korištenje</w:t>
            </w:r>
          </w:p>
          <w:p w14:paraId="0B1202B1" w14:textId="77777777" w:rsidR="0089297B" w:rsidRPr="00A556B6" w:rsidRDefault="0089297B" w:rsidP="005217C8">
            <w:pPr>
              <w:pStyle w:val="Default"/>
              <w:jc w:val="both"/>
              <w:rPr>
                <w:rFonts w:cstheme="minorHAnsi"/>
                <w:b/>
                <w:sz w:val="22"/>
                <w:szCs w:val="22"/>
              </w:rPr>
            </w:pPr>
            <w:r w:rsidRPr="00A556B6">
              <w:rPr>
                <w:rFonts w:cstheme="minorHAnsi"/>
                <w:sz w:val="22"/>
                <w:szCs w:val="22"/>
              </w:rPr>
              <w:t>obnovljivih izvora energije u stambenim zgradama na potpomognutim</w:t>
            </w:r>
          </w:p>
          <w:p w14:paraId="3F5ED5D1" w14:textId="036CF401" w:rsidR="004D1B81" w:rsidRPr="00A556B6" w:rsidRDefault="0089297B" w:rsidP="005217C8">
            <w:pPr>
              <w:pStyle w:val="Default"/>
              <w:jc w:val="both"/>
              <w:rPr>
                <w:rFonts w:cstheme="minorHAnsi"/>
                <w:b/>
                <w:bCs/>
                <w:sz w:val="22"/>
                <w:szCs w:val="22"/>
                <w:highlight w:val="yellow"/>
              </w:rPr>
            </w:pPr>
            <w:r w:rsidRPr="00A556B6">
              <w:rPr>
                <w:rFonts w:cstheme="minorHAnsi"/>
                <w:sz w:val="22"/>
                <w:szCs w:val="22"/>
              </w:rPr>
              <w:t xml:space="preserve">područjima i područjima posebne državne skrbi za razdoblje </w:t>
            </w:r>
            <w:r w:rsidR="00805370" w:rsidRPr="00A556B6">
              <w:rPr>
                <w:rFonts w:cstheme="minorHAnsi"/>
                <w:sz w:val="22"/>
                <w:szCs w:val="22"/>
              </w:rPr>
              <w:t>do</w:t>
            </w:r>
            <w:r w:rsidRPr="00A556B6">
              <w:rPr>
                <w:rFonts w:cstheme="minorHAnsi"/>
                <w:sz w:val="22"/>
                <w:szCs w:val="22"/>
              </w:rPr>
              <w:t xml:space="preserve"> 2025.</w:t>
            </w:r>
            <w:r w:rsidR="00A77C17" w:rsidRPr="00A556B6">
              <w:rPr>
                <w:rFonts w:cstheme="minorHAnsi"/>
                <w:sz w:val="22"/>
                <w:szCs w:val="22"/>
              </w:rPr>
              <w:t xml:space="preserve"> </w:t>
            </w:r>
            <w:r w:rsidRPr="00A556B6">
              <w:rPr>
                <w:rFonts w:cstheme="minorHAnsi"/>
                <w:sz w:val="22"/>
                <w:szCs w:val="22"/>
              </w:rPr>
              <w:t>godine</w:t>
            </w:r>
          </w:p>
        </w:tc>
        <w:tc>
          <w:tcPr>
            <w:tcW w:w="1880" w:type="pct"/>
          </w:tcPr>
          <w:p w14:paraId="38861A96" w14:textId="77777777" w:rsidR="00635B67" w:rsidRPr="00A556B6" w:rsidRDefault="00635B67" w:rsidP="00635B67">
            <w:pPr>
              <w:pStyle w:val="Default"/>
              <w:jc w:val="both"/>
              <w:rPr>
                <w:rFonts w:cstheme="minorHAnsi"/>
                <w:b/>
                <w:sz w:val="22"/>
                <w:szCs w:val="22"/>
              </w:rPr>
            </w:pPr>
            <w:r w:rsidRPr="00A556B6">
              <w:rPr>
                <w:rFonts w:cstheme="minorHAnsi"/>
                <w:sz w:val="22"/>
                <w:szCs w:val="22"/>
              </w:rPr>
              <w:t>Program suzbijanja energetskog siromaštva koji uključuje korištenje</w:t>
            </w:r>
          </w:p>
          <w:p w14:paraId="44FED2C0" w14:textId="39BB80AB" w:rsidR="00635B67" w:rsidRPr="00A556B6" w:rsidRDefault="00635B67" w:rsidP="00635B67">
            <w:pPr>
              <w:pStyle w:val="Default"/>
              <w:jc w:val="both"/>
              <w:rPr>
                <w:rFonts w:cstheme="minorHAnsi"/>
                <w:sz w:val="22"/>
                <w:szCs w:val="22"/>
              </w:rPr>
            </w:pPr>
            <w:r w:rsidRPr="00A556B6">
              <w:rPr>
                <w:rFonts w:cstheme="minorHAnsi"/>
                <w:sz w:val="22"/>
                <w:szCs w:val="22"/>
              </w:rPr>
              <w:t>obnovljivih izvora energije u stambenim zgradama na potpomognutim</w:t>
            </w:r>
            <w:r w:rsidR="003C06DA" w:rsidRPr="00A556B6">
              <w:rPr>
                <w:rFonts w:cstheme="minorHAnsi"/>
                <w:sz w:val="22"/>
                <w:szCs w:val="22"/>
              </w:rPr>
              <w:t xml:space="preserve"> </w:t>
            </w:r>
            <w:r w:rsidRPr="00A556B6">
              <w:rPr>
                <w:rFonts w:cstheme="minorHAnsi"/>
                <w:sz w:val="22"/>
                <w:szCs w:val="22"/>
              </w:rPr>
              <w:t>područjima i područjima posebne državne skrbi za razdoblje do 2025. godine</w:t>
            </w:r>
          </w:p>
          <w:p w14:paraId="51560057" w14:textId="77777777" w:rsidR="00635B67" w:rsidRPr="00A556B6" w:rsidRDefault="00635B67" w:rsidP="00635B67">
            <w:pPr>
              <w:pStyle w:val="Default"/>
              <w:jc w:val="both"/>
              <w:rPr>
                <w:rFonts w:cstheme="minorHAnsi"/>
                <w:sz w:val="22"/>
                <w:szCs w:val="22"/>
              </w:rPr>
            </w:pPr>
          </w:p>
          <w:p w14:paraId="343D7816" w14:textId="29F55D08" w:rsidR="004D1B81" w:rsidRPr="00A556B6" w:rsidRDefault="00860F83" w:rsidP="005217C8">
            <w:pPr>
              <w:pStyle w:val="Default"/>
              <w:jc w:val="both"/>
              <w:rPr>
                <w:rFonts w:cstheme="minorHAnsi"/>
                <w:sz w:val="22"/>
                <w:szCs w:val="22"/>
                <w:highlight w:val="yellow"/>
              </w:rPr>
            </w:pPr>
            <w:r w:rsidRPr="00A556B6">
              <w:rPr>
                <w:rFonts w:cstheme="minorHAnsi"/>
                <w:sz w:val="22"/>
                <w:szCs w:val="22"/>
              </w:rPr>
              <w:t>Nacionalni akcijski plan energetske učinkovitosti za razdoblje od 2022. do 2024. godine</w:t>
            </w:r>
          </w:p>
        </w:tc>
        <w:tc>
          <w:tcPr>
            <w:tcW w:w="1716" w:type="pct"/>
          </w:tcPr>
          <w:p w14:paraId="3534B092" w14:textId="68100CC7" w:rsidR="004D1B81" w:rsidRPr="00A556B6" w:rsidRDefault="00F64621" w:rsidP="005217C8">
            <w:pPr>
              <w:pStyle w:val="Default"/>
              <w:jc w:val="both"/>
              <w:rPr>
                <w:rFonts w:cstheme="minorHAnsi"/>
                <w:sz w:val="22"/>
                <w:szCs w:val="22"/>
                <w:highlight w:val="yellow"/>
              </w:rPr>
            </w:pPr>
            <w:r w:rsidRPr="00A556B6">
              <w:rPr>
                <w:rFonts w:cstheme="minorHAnsi"/>
                <w:sz w:val="22"/>
                <w:szCs w:val="22"/>
              </w:rPr>
              <w:t>Kroz navedeni Program planira se obnoviti 387 višestambenih zgrada na potpomognutim područjima i na područjima posebne državne skrbi</w:t>
            </w:r>
          </w:p>
        </w:tc>
      </w:tr>
    </w:tbl>
    <w:p w14:paraId="016CCE2F" w14:textId="7DEB239E" w:rsidR="5B269282" w:rsidRDefault="5B269282"/>
    <w:p w14:paraId="0A620B51" w14:textId="6817AC8B" w:rsidR="00FF0CF3" w:rsidRPr="00B47BDA" w:rsidRDefault="00FF0CF3" w:rsidP="005455F3">
      <w:pPr>
        <w:pStyle w:val="Heading5"/>
        <w:shd w:val="clear" w:color="auto" w:fill="DEEAF6" w:themeFill="accent1" w:themeFillTint="33"/>
        <w:spacing w:before="240"/>
      </w:pPr>
      <w:r w:rsidRPr="00B47BDA">
        <w:lastRenderedPageBreak/>
        <w:t>Dimenzija</w:t>
      </w:r>
      <w:r w:rsidR="004D140C">
        <w:t>: i</w:t>
      </w:r>
      <w:r w:rsidRPr="00B47BDA">
        <w:t>straživanje, inovacije i konkurentnost</w:t>
      </w:r>
    </w:p>
    <w:p w14:paraId="299302E2" w14:textId="073D20F2" w:rsidR="00954ECB" w:rsidRPr="00634D5F" w:rsidRDefault="00954ECB" w:rsidP="005E726C">
      <w:r>
        <w:t>N</w:t>
      </w:r>
      <w:r w:rsidRPr="00634D5F">
        <w:t>acionalni</w:t>
      </w:r>
      <w:r w:rsidRPr="00634D5F">
        <w:rPr>
          <w:spacing w:val="80"/>
        </w:rPr>
        <w:t xml:space="preserve"> </w:t>
      </w:r>
      <w:r w:rsidRPr="00634D5F">
        <w:t>dokumenti</w:t>
      </w:r>
      <w:r w:rsidRPr="00634D5F">
        <w:rPr>
          <w:spacing w:val="80"/>
        </w:rPr>
        <w:t xml:space="preserve"> </w:t>
      </w:r>
      <w:r w:rsidRPr="00634D5F">
        <w:t>koji</w:t>
      </w:r>
      <w:r w:rsidRPr="00634D5F">
        <w:rPr>
          <w:spacing w:val="80"/>
        </w:rPr>
        <w:t xml:space="preserve"> </w:t>
      </w:r>
      <w:r w:rsidRPr="00634D5F">
        <w:t>se</w:t>
      </w:r>
      <w:r w:rsidRPr="00634D5F">
        <w:rPr>
          <w:spacing w:val="80"/>
        </w:rPr>
        <w:t xml:space="preserve"> </w:t>
      </w:r>
      <w:r w:rsidRPr="00634D5F">
        <w:t>odnose</w:t>
      </w:r>
      <w:r w:rsidRPr="00634D5F">
        <w:rPr>
          <w:spacing w:val="80"/>
        </w:rPr>
        <w:t xml:space="preserve"> </w:t>
      </w:r>
      <w:r w:rsidRPr="00634D5F">
        <w:t>na</w:t>
      </w:r>
      <w:r w:rsidRPr="00634D5F">
        <w:rPr>
          <w:spacing w:val="80"/>
        </w:rPr>
        <w:t xml:space="preserve"> </w:t>
      </w:r>
      <w:r w:rsidRPr="00634D5F">
        <w:t>dimenziju</w:t>
      </w:r>
      <w:r w:rsidRPr="00634D5F">
        <w:rPr>
          <w:spacing w:val="80"/>
        </w:rPr>
        <w:t xml:space="preserve"> </w:t>
      </w:r>
      <w:r w:rsidR="00FD52A5">
        <w:t>i</w:t>
      </w:r>
      <w:r w:rsidRPr="00634D5F">
        <w:t>straživanje,</w:t>
      </w:r>
      <w:r w:rsidRPr="00634D5F">
        <w:rPr>
          <w:spacing w:val="80"/>
        </w:rPr>
        <w:t xml:space="preserve"> </w:t>
      </w:r>
      <w:r w:rsidRPr="00634D5F">
        <w:t>inovacije</w:t>
      </w:r>
      <w:r w:rsidRPr="00634D5F">
        <w:rPr>
          <w:spacing w:val="80"/>
        </w:rPr>
        <w:t xml:space="preserve"> </w:t>
      </w:r>
      <w:r w:rsidRPr="00634D5F">
        <w:t>i konkurentnost</w:t>
      </w:r>
      <w:r>
        <w:t>, a koji su uzeti u obzir pri izradi NECP-a 2019.</w:t>
      </w:r>
      <w:r w:rsidRPr="00634D5F">
        <w:t xml:space="preserve"> su:</w:t>
      </w:r>
    </w:p>
    <w:p w14:paraId="07E26CC6" w14:textId="634C1CDB" w:rsidR="00954ECB" w:rsidRPr="00634D5F" w:rsidRDefault="00954ECB" w:rsidP="00A556B6">
      <w:pPr>
        <w:pStyle w:val="ListParagraph"/>
        <w:numPr>
          <w:ilvl w:val="0"/>
          <w:numId w:val="60"/>
        </w:numPr>
        <w:spacing w:after="60"/>
        <w:ind w:left="873" w:hanging="357"/>
      </w:pPr>
      <w:r w:rsidRPr="00634D5F">
        <w:t>Strategija</w:t>
      </w:r>
      <w:r w:rsidRPr="00634D5F">
        <w:rPr>
          <w:spacing w:val="-8"/>
        </w:rPr>
        <w:t xml:space="preserve"> </w:t>
      </w:r>
      <w:r w:rsidRPr="00634D5F">
        <w:t>obrazovanja,</w:t>
      </w:r>
      <w:r w:rsidRPr="00634D5F">
        <w:rPr>
          <w:spacing w:val="-8"/>
        </w:rPr>
        <w:t xml:space="preserve"> </w:t>
      </w:r>
      <w:r w:rsidRPr="00634D5F">
        <w:t>znanosti</w:t>
      </w:r>
      <w:r w:rsidRPr="00634D5F">
        <w:rPr>
          <w:spacing w:val="-7"/>
        </w:rPr>
        <w:t xml:space="preserve"> </w:t>
      </w:r>
      <w:r w:rsidRPr="00634D5F">
        <w:t>i</w:t>
      </w:r>
      <w:r w:rsidRPr="00634D5F">
        <w:rPr>
          <w:spacing w:val="-10"/>
        </w:rPr>
        <w:t xml:space="preserve"> </w:t>
      </w:r>
      <w:r w:rsidRPr="00634D5F">
        <w:t>tehnologije</w:t>
      </w:r>
      <w:r>
        <w:t xml:space="preserve"> </w:t>
      </w:r>
      <w:r w:rsidR="00EB08F1">
        <w:rPr>
          <w:spacing w:val="-2"/>
        </w:rPr>
        <w:t xml:space="preserve">(„Narodne novine“, br. </w:t>
      </w:r>
      <w:r>
        <w:rPr>
          <w:spacing w:val="-2"/>
        </w:rPr>
        <w:t>124/13</w:t>
      </w:r>
      <w:r w:rsidR="003E24E2">
        <w:rPr>
          <w:spacing w:val="-2"/>
        </w:rPr>
        <w:t>.</w:t>
      </w:r>
      <w:r>
        <w:rPr>
          <w:spacing w:val="-2"/>
        </w:rPr>
        <w:t>)</w:t>
      </w:r>
      <w:r w:rsidR="0027337F">
        <w:rPr>
          <w:spacing w:val="-2"/>
        </w:rPr>
        <w:t>,</w:t>
      </w:r>
    </w:p>
    <w:p w14:paraId="1473A526" w14:textId="1BDFCC7A" w:rsidR="00954ECB" w:rsidRPr="00634D5F" w:rsidRDefault="00954ECB" w:rsidP="00A556B6">
      <w:pPr>
        <w:pStyle w:val="ListParagraph"/>
        <w:numPr>
          <w:ilvl w:val="0"/>
          <w:numId w:val="60"/>
        </w:numPr>
        <w:spacing w:after="60"/>
        <w:ind w:left="873" w:hanging="357"/>
      </w:pPr>
      <w:r w:rsidRPr="00634D5F">
        <w:t>Strategija</w:t>
      </w:r>
      <w:r w:rsidRPr="00634D5F">
        <w:rPr>
          <w:spacing w:val="-3"/>
        </w:rPr>
        <w:t xml:space="preserve"> </w:t>
      </w:r>
      <w:r w:rsidRPr="00634D5F">
        <w:t>pametne</w:t>
      </w:r>
      <w:r w:rsidRPr="00634D5F">
        <w:rPr>
          <w:spacing w:val="-5"/>
        </w:rPr>
        <w:t xml:space="preserve"> </w:t>
      </w:r>
      <w:r w:rsidRPr="00634D5F">
        <w:t>specijalizacije</w:t>
      </w:r>
      <w:r w:rsidRPr="00634D5F">
        <w:rPr>
          <w:spacing w:val="-3"/>
        </w:rPr>
        <w:t xml:space="preserve"> </w:t>
      </w:r>
      <w:r w:rsidR="001361E5">
        <w:rPr>
          <w:spacing w:val="-3"/>
        </w:rPr>
        <w:t>do</w:t>
      </w:r>
      <w:r w:rsidRPr="00634D5F">
        <w:rPr>
          <w:spacing w:val="-5"/>
        </w:rPr>
        <w:t xml:space="preserve"> </w:t>
      </w:r>
      <w:r w:rsidRPr="00634D5F">
        <w:t>202</w:t>
      </w:r>
      <w:r w:rsidR="001361E5">
        <w:t>9</w:t>
      </w:r>
      <w:r w:rsidRPr="00634D5F">
        <w:t xml:space="preserve">. </w:t>
      </w:r>
      <w:r w:rsidRPr="00634D5F">
        <w:rPr>
          <w:spacing w:val="-2"/>
        </w:rPr>
        <w:t>godine</w:t>
      </w:r>
      <w:r w:rsidR="0027337F">
        <w:rPr>
          <w:spacing w:val="-2"/>
        </w:rPr>
        <w:t xml:space="preserve"> (2023)</w:t>
      </w:r>
      <w:r>
        <w:rPr>
          <w:spacing w:val="-2"/>
        </w:rPr>
        <w:t>,</w:t>
      </w:r>
    </w:p>
    <w:p w14:paraId="339365A4" w14:textId="786B7CA2" w:rsidR="00954ECB" w:rsidRPr="00634D5F" w:rsidRDefault="00954ECB" w:rsidP="00A556B6">
      <w:pPr>
        <w:pStyle w:val="ListParagraph"/>
        <w:numPr>
          <w:ilvl w:val="0"/>
          <w:numId w:val="60"/>
        </w:numPr>
        <w:spacing w:after="60"/>
        <w:ind w:left="873" w:hanging="357"/>
      </w:pPr>
      <w:r w:rsidRPr="00634D5F">
        <w:t>Strategija</w:t>
      </w:r>
      <w:r w:rsidRPr="00634D5F">
        <w:rPr>
          <w:spacing w:val="-7"/>
        </w:rPr>
        <w:t xml:space="preserve"> </w:t>
      </w:r>
      <w:r w:rsidRPr="00634D5F">
        <w:t>poticanja</w:t>
      </w:r>
      <w:r w:rsidRPr="00634D5F">
        <w:rPr>
          <w:spacing w:val="-9"/>
        </w:rPr>
        <w:t xml:space="preserve"> </w:t>
      </w:r>
      <w:r w:rsidRPr="00634D5F">
        <w:t>inovacija</w:t>
      </w:r>
      <w:r w:rsidRPr="00634D5F">
        <w:rPr>
          <w:spacing w:val="-7"/>
        </w:rPr>
        <w:t xml:space="preserve"> </w:t>
      </w:r>
      <w:r w:rsidRPr="00634D5F">
        <w:t>Republike</w:t>
      </w:r>
      <w:r w:rsidRPr="00634D5F">
        <w:rPr>
          <w:spacing w:val="-6"/>
        </w:rPr>
        <w:t xml:space="preserve"> </w:t>
      </w:r>
      <w:r w:rsidRPr="00634D5F">
        <w:t>Hrvatske</w:t>
      </w:r>
      <w:r w:rsidRPr="00634D5F">
        <w:rPr>
          <w:spacing w:val="-9"/>
        </w:rPr>
        <w:t xml:space="preserve"> </w:t>
      </w:r>
      <w:r w:rsidRPr="00634D5F">
        <w:t>2014.-2020.</w:t>
      </w:r>
      <w:r w:rsidR="00EB08F1">
        <w:t xml:space="preserve">(„Narodne novine“, br. </w:t>
      </w:r>
      <w:r>
        <w:t>153/14</w:t>
      </w:r>
      <w:r w:rsidR="003E24E2">
        <w:t>.</w:t>
      </w:r>
      <w:r>
        <w:t>)</w:t>
      </w:r>
      <w:r w:rsidRPr="00634D5F">
        <w:rPr>
          <w:spacing w:val="-7"/>
        </w:rPr>
        <w:t xml:space="preserve"> </w:t>
      </w:r>
      <w:r w:rsidR="0022531B" w:rsidRPr="00B47BDA">
        <w:t>[</w:t>
      </w:r>
      <w:r w:rsidR="002313E4">
        <w:t>9</w:t>
      </w:r>
      <w:r w:rsidR="00406263" w:rsidRPr="00B47BDA">
        <w:t>]</w:t>
      </w:r>
    </w:p>
    <w:p w14:paraId="34CCEF82" w14:textId="06DE7846" w:rsidR="00954ECB" w:rsidRPr="00634D5F" w:rsidRDefault="00954ECB" w:rsidP="00A556B6">
      <w:pPr>
        <w:pStyle w:val="ListParagraph"/>
        <w:numPr>
          <w:ilvl w:val="0"/>
          <w:numId w:val="60"/>
        </w:numPr>
        <w:spacing w:after="60"/>
        <w:ind w:left="873" w:hanging="357"/>
      </w:pPr>
      <w:r w:rsidRPr="00634D5F">
        <w:t>Plan</w:t>
      </w:r>
      <w:r w:rsidRPr="00634D5F">
        <w:rPr>
          <w:spacing w:val="-9"/>
        </w:rPr>
        <w:t xml:space="preserve"> </w:t>
      </w:r>
      <w:r w:rsidRPr="00634D5F">
        <w:t>razvoja</w:t>
      </w:r>
      <w:r w:rsidRPr="00634D5F">
        <w:rPr>
          <w:spacing w:val="-7"/>
        </w:rPr>
        <w:t xml:space="preserve"> </w:t>
      </w:r>
      <w:r w:rsidRPr="00634D5F">
        <w:t>istraživačke</w:t>
      </w:r>
      <w:r w:rsidRPr="00634D5F">
        <w:rPr>
          <w:spacing w:val="-7"/>
        </w:rPr>
        <w:t xml:space="preserve"> </w:t>
      </w:r>
      <w:r w:rsidRPr="00634D5F">
        <w:t>infrastrukture</w:t>
      </w:r>
      <w:r w:rsidRPr="00634D5F">
        <w:rPr>
          <w:spacing w:val="-7"/>
        </w:rPr>
        <w:t xml:space="preserve"> </w:t>
      </w:r>
      <w:r w:rsidRPr="00634D5F">
        <w:t>u</w:t>
      </w:r>
      <w:r w:rsidRPr="00634D5F">
        <w:rPr>
          <w:spacing w:val="-8"/>
        </w:rPr>
        <w:t xml:space="preserve"> </w:t>
      </w:r>
      <w:r w:rsidRPr="00634D5F">
        <w:t>Republici</w:t>
      </w:r>
      <w:r w:rsidRPr="00634D5F">
        <w:rPr>
          <w:spacing w:val="-7"/>
        </w:rPr>
        <w:t xml:space="preserve"> </w:t>
      </w:r>
      <w:r w:rsidRPr="00634D5F">
        <w:t>Hrvatskoj</w:t>
      </w:r>
      <w:r w:rsidRPr="00634D5F">
        <w:rPr>
          <w:spacing w:val="-3"/>
        </w:rPr>
        <w:t xml:space="preserve"> </w:t>
      </w:r>
      <w:r w:rsidRPr="00634D5F">
        <w:rPr>
          <w:spacing w:val="-2"/>
        </w:rPr>
        <w:t>(2016)</w:t>
      </w:r>
      <w:r w:rsidR="6F26AAC2" w:rsidRPr="00634D5F">
        <w:rPr>
          <w:spacing w:val="-2"/>
        </w:rPr>
        <w:t xml:space="preserve"> i</w:t>
      </w:r>
    </w:p>
    <w:p w14:paraId="38AF1F51" w14:textId="02BCBF7E" w:rsidR="00954ECB" w:rsidRPr="00634D5F" w:rsidRDefault="4A612448" w:rsidP="00A556B6">
      <w:pPr>
        <w:pStyle w:val="ListParagraph"/>
        <w:numPr>
          <w:ilvl w:val="0"/>
          <w:numId w:val="60"/>
        </w:numPr>
        <w:spacing w:after="60"/>
        <w:ind w:left="873" w:hanging="357"/>
      </w:pPr>
      <w:r>
        <w:t xml:space="preserve">Strategija prilagodbe klimatskim promjenama u Republici Hrvatskoj za razdoblje do 2040. godine s pogledom na 2070. godinu </w:t>
      </w:r>
      <w:r w:rsidR="00EB08F1">
        <w:t xml:space="preserve">(„Narodne novine“, br. </w:t>
      </w:r>
      <w:r>
        <w:t>46/20</w:t>
      </w:r>
      <w:r w:rsidR="009566AD">
        <w:t>.</w:t>
      </w:r>
      <w:r>
        <w:t>).</w:t>
      </w:r>
    </w:p>
    <w:p w14:paraId="0DE36FFA" w14:textId="2CC34F07" w:rsidR="4A612448" w:rsidRDefault="4A612448" w:rsidP="0027337F">
      <w:pPr>
        <w:spacing w:after="60"/>
      </w:pPr>
    </w:p>
    <w:p w14:paraId="14EA6494" w14:textId="6839C8AE" w:rsidR="00954ECB" w:rsidRDefault="1056E650" w:rsidP="005E726C">
      <w:r>
        <w:t xml:space="preserve">Razvoj politika relevantnih za ovu dimenziju prati priprema i usvajanje novih dokumenata, među kojima su npr. </w:t>
      </w:r>
    </w:p>
    <w:p w14:paraId="7F212E1F" w14:textId="376F6DD0" w:rsidR="00954ECB" w:rsidRPr="00A556B6" w:rsidRDefault="00954ECB" w:rsidP="00A556B6">
      <w:pPr>
        <w:pStyle w:val="ListParagraph"/>
        <w:numPr>
          <w:ilvl w:val="0"/>
          <w:numId w:val="60"/>
        </w:numPr>
        <w:spacing w:after="60"/>
        <w:ind w:left="873" w:hanging="357"/>
        <w:rPr>
          <w:rFonts w:asciiTheme="minorHAnsi" w:hAnsiTheme="minorHAnsi" w:cstheme="minorHAnsi"/>
        </w:rPr>
      </w:pPr>
      <w:r w:rsidRPr="00683F7B">
        <w:t xml:space="preserve"> </w:t>
      </w:r>
      <w:r w:rsidRPr="00A556B6">
        <w:rPr>
          <w:rFonts w:asciiTheme="minorHAnsi" w:hAnsiTheme="minorHAnsi" w:cstheme="minorHAnsi"/>
        </w:rPr>
        <w:t xml:space="preserve">Nacionalni plan razvoja sustava obrazovanja do 2027. godine </w:t>
      </w:r>
      <w:r w:rsidR="00EB08F1">
        <w:rPr>
          <w:rFonts w:asciiTheme="minorHAnsi" w:hAnsiTheme="minorHAnsi" w:cstheme="minorHAnsi"/>
        </w:rPr>
        <w:t xml:space="preserve">(„Narodne novine“, br. </w:t>
      </w:r>
      <w:r w:rsidRPr="00A556B6">
        <w:rPr>
          <w:rFonts w:asciiTheme="minorHAnsi" w:hAnsiTheme="minorHAnsi" w:cstheme="minorHAnsi"/>
        </w:rPr>
        <w:t>33/23),</w:t>
      </w:r>
    </w:p>
    <w:p w14:paraId="36F3497B" w14:textId="7AC8869F" w:rsidR="00954ECB" w:rsidRPr="002A41A6" w:rsidRDefault="1056E650" w:rsidP="002A41A6">
      <w:pPr>
        <w:pStyle w:val="ListParagraph"/>
        <w:numPr>
          <w:ilvl w:val="0"/>
          <w:numId w:val="60"/>
        </w:numPr>
        <w:spacing w:after="60"/>
        <w:ind w:left="873" w:hanging="357"/>
        <w:rPr>
          <w:rFonts w:asciiTheme="minorHAnsi" w:hAnsiTheme="minorHAnsi" w:cs="Calibri"/>
        </w:rPr>
      </w:pPr>
      <w:r w:rsidRPr="1C9333AB">
        <w:rPr>
          <w:rFonts w:asciiTheme="minorHAnsi" w:hAnsiTheme="minorHAnsi" w:cstheme="minorBidi"/>
        </w:rPr>
        <w:t>Strategij</w:t>
      </w:r>
      <w:r w:rsidR="00D32702">
        <w:rPr>
          <w:rFonts w:asciiTheme="minorHAnsi" w:hAnsiTheme="minorHAnsi" w:cstheme="minorBidi"/>
        </w:rPr>
        <w:t>a</w:t>
      </w:r>
      <w:r w:rsidRPr="1C9333AB">
        <w:rPr>
          <w:rFonts w:asciiTheme="minorHAnsi" w:hAnsiTheme="minorHAnsi" w:cstheme="minorBidi"/>
        </w:rPr>
        <w:t xml:space="preserve"> pamet</w:t>
      </w:r>
      <w:r w:rsidR="50FCEE4E" w:rsidRPr="1C9333AB">
        <w:rPr>
          <w:rFonts w:asciiTheme="minorHAnsi" w:hAnsiTheme="minorHAnsi" w:cstheme="minorBidi"/>
        </w:rPr>
        <w:t>n</w:t>
      </w:r>
      <w:r w:rsidRPr="1C9333AB">
        <w:rPr>
          <w:rFonts w:asciiTheme="minorHAnsi" w:hAnsiTheme="minorHAnsi" w:cstheme="minorBidi"/>
        </w:rPr>
        <w:t>e s</w:t>
      </w:r>
      <w:r w:rsidR="50FCEE4E" w:rsidRPr="1C9333AB">
        <w:rPr>
          <w:rFonts w:asciiTheme="minorHAnsi" w:hAnsiTheme="minorHAnsi" w:cstheme="minorBidi"/>
        </w:rPr>
        <w:t>pecijalizacije</w:t>
      </w:r>
      <w:r w:rsidRPr="1C9333AB">
        <w:rPr>
          <w:rFonts w:asciiTheme="minorHAnsi" w:hAnsiTheme="minorHAnsi" w:cstheme="minorBidi"/>
        </w:rPr>
        <w:t xml:space="preserve"> do 2029.</w:t>
      </w:r>
      <w:r w:rsidR="00954ECB" w:rsidRPr="1C9333AB">
        <w:rPr>
          <w:rStyle w:val="FootnoteReference"/>
          <w:rFonts w:asciiTheme="minorHAnsi" w:hAnsiTheme="minorHAnsi" w:cstheme="minorBidi"/>
          <w:sz w:val="24"/>
        </w:rPr>
        <w:footnoteReference w:id="12"/>
      </w:r>
      <w:r w:rsidR="00FB610F">
        <w:rPr>
          <w:rFonts w:asciiTheme="minorHAnsi" w:hAnsiTheme="minorHAnsi" w:cstheme="minorBidi"/>
        </w:rPr>
        <w:t xml:space="preserve">, </w:t>
      </w:r>
      <w:r w:rsidR="00FB610F" w:rsidRPr="00A556B6">
        <w:rPr>
          <w:rFonts w:asciiTheme="minorHAnsi" w:hAnsiTheme="minorHAnsi" w:cs="Calibri"/>
        </w:rPr>
        <w:t xml:space="preserve">koja je </w:t>
      </w:r>
      <w:r w:rsidR="00FB610F">
        <w:rPr>
          <w:rFonts w:asciiTheme="minorHAnsi" w:hAnsiTheme="minorHAnsi" w:cs="Calibri"/>
        </w:rPr>
        <w:t xml:space="preserve">tijekom izrade NECP-a bila </w:t>
      </w:r>
      <w:r w:rsidR="00FB610F" w:rsidRPr="00A556B6">
        <w:rPr>
          <w:rFonts w:asciiTheme="minorHAnsi" w:hAnsiTheme="minorHAnsi" w:cs="Calibri"/>
        </w:rPr>
        <w:t>u postupku donošenja, javno savjetovanje provedeno je u prosincu 2022</w:t>
      </w:r>
      <w:r w:rsidR="002A41A6">
        <w:rPr>
          <w:rFonts w:asciiTheme="minorHAnsi" w:hAnsiTheme="minorHAnsi" w:cs="Calibri"/>
        </w:rPr>
        <w:t xml:space="preserve">, </w:t>
      </w:r>
      <w:r w:rsidR="002A41A6" w:rsidRPr="002A41A6">
        <w:rPr>
          <w:rFonts w:asciiTheme="minorHAnsi" w:hAnsiTheme="minorHAnsi" w:cs="Calibri"/>
        </w:rPr>
        <w:t>a Vlada RH je na svojoj sjednici održanoj 13. prosinca 2023. godine donijela Odluku o donošenju Strategije pametne specijalizacije do 2029.</w:t>
      </w:r>
    </w:p>
    <w:p w14:paraId="2E56D504" w14:textId="1AB76B05" w:rsidR="00954ECB" w:rsidRPr="00A556B6" w:rsidRDefault="100BE4B6" w:rsidP="40A57B62">
      <w:pPr>
        <w:rPr>
          <w:rFonts w:asciiTheme="minorHAnsi" w:hAnsiTheme="minorHAnsi" w:cstheme="minorBidi"/>
        </w:rPr>
      </w:pPr>
      <w:r w:rsidRPr="40A57B62">
        <w:rPr>
          <w:rFonts w:asciiTheme="minorHAnsi" w:hAnsiTheme="minorHAnsi" w:cstheme="minorBidi"/>
        </w:rPr>
        <w:t>Pravni</w:t>
      </w:r>
      <w:r w:rsidRPr="40A57B62">
        <w:rPr>
          <w:rFonts w:asciiTheme="minorHAnsi" w:hAnsiTheme="minorHAnsi" w:cstheme="minorBidi"/>
          <w:spacing w:val="-13"/>
        </w:rPr>
        <w:t xml:space="preserve"> </w:t>
      </w:r>
      <w:r w:rsidRPr="40A57B62">
        <w:rPr>
          <w:rFonts w:asciiTheme="minorHAnsi" w:hAnsiTheme="minorHAnsi" w:cstheme="minorBidi"/>
        </w:rPr>
        <w:t>okvir</w:t>
      </w:r>
      <w:r w:rsidRPr="40A57B62">
        <w:rPr>
          <w:rFonts w:asciiTheme="minorHAnsi" w:hAnsiTheme="minorHAnsi" w:cstheme="minorBidi"/>
          <w:spacing w:val="-12"/>
        </w:rPr>
        <w:t xml:space="preserve"> </w:t>
      </w:r>
      <w:r w:rsidRPr="40A57B62">
        <w:rPr>
          <w:rFonts w:asciiTheme="minorHAnsi" w:hAnsiTheme="minorHAnsi" w:cstheme="minorBidi"/>
        </w:rPr>
        <w:t>koji</w:t>
      </w:r>
      <w:r w:rsidRPr="40A57B62">
        <w:rPr>
          <w:rFonts w:asciiTheme="minorHAnsi" w:hAnsiTheme="minorHAnsi" w:cstheme="minorBidi"/>
          <w:spacing w:val="-14"/>
        </w:rPr>
        <w:t xml:space="preserve"> </w:t>
      </w:r>
      <w:r w:rsidRPr="40A57B62">
        <w:rPr>
          <w:rFonts w:asciiTheme="minorHAnsi" w:hAnsiTheme="minorHAnsi" w:cstheme="minorBidi"/>
        </w:rPr>
        <w:t>definira</w:t>
      </w:r>
      <w:r w:rsidRPr="40A57B62">
        <w:rPr>
          <w:rFonts w:asciiTheme="minorHAnsi" w:hAnsiTheme="minorHAnsi" w:cstheme="minorBidi"/>
          <w:spacing w:val="-16"/>
        </w:rPr>
        <w:t xml:space="preserve"> </w:t>
      </w:r>
      <w:r w:rsidRPr="40A57B62">
        <w:rPr>
          <w:rFonts w:asciiTheme="minorHAnsi" w:hAnsiTheme="minorHAnsi" w:cstheme="minorBidi"/>
        </w:rPr>
        <w:t>provođenje</w:t>
      </w:r>
      <w:r w:rsidRPr="40A57B62">
        <w:rPr>
          <w:rFonts w:asciiTheme="minorHAnsi" w:hAnsiTheme="minorHAnsi" w:cstheme="minorBidi"/>
          <w:spacing w:val="-13"/>
        </w:rPr>
        <w:t xml:space="preserve"> znanstvenih istraživanja te </w:t>
      </w:r>
      <w:r w:rsidRPr="40A57B62">
        <w:rPr>
          <w:rFonts w:asciiTheme="minorHAnsi" w:hAnsiTheme="minorHAnsi" w:cstheme="minorBidi"/>
        </w:rPr>
        <w:t>privatnih</w:t>
      </w:r>
      <w:r w:rsidRPr="40A57B62">
        <w:rPr>
          <w:rFonts w:asciiTheme="minorHAnsi" w:hAnsiTheme="minorHAnsi" w:cstheme="minorBidi"/>
          <w:spacing w:val="-14"/>
        </w:rPr>
        <w:t xml:space="preserve"> </w:t>
      </w:r>
      <w:r w:rsidRPr="40A57B62">
        <w:rPr>
          <w:rFonts w:asciiTheme="minorHAnsi" w:hAnsiTheme="minorHAnsi" w:cstheme="minorBidi"/>
        </w:rPr>
        <w:t>i</w:t>
      </w:r>
      <w:r w:rsidRPr="40A57B62">
        <w:rPr>
          <w:rFonts w:asciiTheme="minorHAnsi" w:hAnsiTheme="minorHAnsi" w:cstheme="minorBidi"/>
          <w:spacing w:val="-14"/>
        </w:rPr>
        <w:t xml:space="preserve"> </w:t>
      </w:r>
      <w:r w:rsidRPr="40A57B62">
        <w:rPr>
          <w:rFonts w:asciiTheme="minorHAnsi" w:hAnsiTheme="minorHAnsi" w:cstheme="minorBidi"/>
        </w:rPr>
        <w:t>javnih</w:t>
      </w:r>
      <w:r w:rsidRPr="40A57B62">
        <w:rPr>
          <w:rFonts w:asciiTheme="minorHAnsi" w:hAnsiTheme="minorHAnsi" w:cstheme="minorBidi"/>
          <w:spacing w:val="-11"/>
        </w:rPr>
        <w:t xml:space="preserve"> </w:t>
      </w:r>
      <w:r w:rsidRPr="40A57B62">
        <w:rPr>
          <w:rFonts w:asciiTheme="minorHAnsi" w:hAnsiTheme="minorHAnsi" w:cstheme="minorBidi"/>
        </w:rPr>
        <w:t>investicija</w:t>
      </w:r>
      <w:r w:rsidRPr="40A57B62">
        <w:rPr>
          <w:rFonts w:asciiTheme="minorHAnsi" w:hAnsiTheme="minorHAnsi" w:cstheme="minorBidi"/>
          <w:spacing w:val="-14"/>
        </w:rPr>
        <w:t xml:space="preserve"> </w:t>
      </w:r>
      <w:r w:rsidRPr="40A57B62">
        <w:rPr>
          <w:rFonts w:asciiTheme="minorHAnsi" w:hAnsiTheme="minorHAnsi" w:cstheme="minorBidi"/>
        </w:rPr>
        <w:t>u</w:t>
      </w:r>
      <w:r w:rsidRPr="40A57B62">
        <w:rPr>
          <w:rFonts w:asciiTheme="minorHAnsi" w:hAnsiTheme="minorHAnsi" w:cstheme="minorBidi"/>
          <w:spacing w:val="-14"/>
        </w:rPr>
        <w:t xml:space="preserve"> </w:t>
      </w:r>
      <w:r w:rsidRPr="40A57B62">
        <w:rPr>
          <w:rFonts w:asciiTheme="minorHAnsi" w:hAnsiTheme="minorHAnsi" w:cstheme="minorBidi"/>
        </w:rPr>
        <w:t>istraživanje,</w:t>
      </w:r>
      <w:r w:rsidRPr="40A57B62">
        <w:rPr>
          <w:rFonts w:asciiTheme="minorHAnsi" w:hAnsiTheme="minorHAnsi" w:cstheme="minorBidi"/>
          <w:spacing w:val="-15"/>
        </w:rPr>
        <w:t xml:space="preserve"> </w:t>
      </w:r>
      <w:r w:rsidRPr="40A57B62">
        <w:rPr>
          <w:rFonts w:asciiTheme="minorHAnsi" w:hAnsiTheme="minorHAnsi" w:cstheme="minorBidi"/>
        </w:rPr>
        <w:t>razvoj</w:t>
      </w:r>
      <w:r w:rsidRPr="40A57B62">
        <w:rPr>
          <w:rFonts w:asciiTheme="minorHAnsi" w:hAnsiTheme="minorHAnsi" w:cstheme="minorBidi"/>
          <w:spacing w:val="-12"/>
        </w:rPr>
        <w:t xml:space="preserve"> </w:t>
      </w:r>
      <w:r w:rsidRPr="40A57B62">
        <w:rPr>
          <w:rFonts w:asciiTheme="minorHAnsi" w:hAnsiTheme="minorHAnsi" w:cstheme="minorBidi"/>
        </w:rPr>
        <w:t>i</w:t>
      </w:r>
      <w:r w:rsidRPr="40A57B62">
        <w:rPr>
          <w:rFonts w:asciiTheme="minorHAnsi" w:hAnsiTheme="minorHAnsi" w:cstheme="minorBidi"/>
          <w:spacing w:val="-12"/>
        </w:rPr>
        <w:t xml:space="preserve"> </w:t>
      </w:r>
      <w:r w:rsidRPr="40A57B62">
        <w:rPr>
          <w:rFonts w:asciiTheme="minorHAnsi" w:hAnsiTheme="minorHAnsi" w:cstheme="minorBidi"/>
        </w:rPr>
        <w:t>inovacije obuhvaća, između ostaloga, sljedeće zakone:</w:t>
      </w:r>
    </w:p>
    <w:p w14:paraId="12FCAC50" w14:textId="79246C49" w:rsidR="48F521B0" w:rsidRDefault="48F521B0" w:rsidP="40A57B62">
      <w:pPr>
        <w:pStyle w:val="ListParagraph"/>
        <w:numPr>
          <w:ilvl w:val="0"/>
          <w:numId w:val="61"/>
        </w:numPr>
        <w:spacing w:after="60"/>
        <w:ind w:left="873" w:hanging="357"/>
      </w:pPr>
      <w:r>
        <w:t xml:space="preserve">Zakon o klimatskim promjenama i zaštiti ozonskog sloja </w:t>
      </w:r>
      <w:r w:rsidR="00EB08F1">
        <w:t xml:space="preserve">(„Narodne novine“, br. </w:t>
      </w:r>
      <w:r w:rsidR="2A50FB0A">
        <w:t>127</w:t>
      </w:r>
      <w:r w:rsidR="005B41DA">
        <w:t>/2019</w:t>
      </w:r>
      <w:r w:rsidR="2A50FB0A">
        <w:t>)</w:t>
      </w:r>
      <w:r w:rsidR="00235ED2">
        <w:t>,</w:t>
      </w:r>
    </w:p>
    <w:p w14:paraId="5436D26B" w14:textId="16D51B43" w:rsidR="00954ECB" w:rsidRPr="00954ECB" w:rsidRDefault="00954ECB" w:rsidP="00A556B6">
      <w:pPr>
        <w:pStyle w:val="ListParagraph"/>
        <w:numPr>
          <w:ilvl w:val="0"/>
          <w:numId w:val="61"/>
        </w:numPr>
        <w:spacing w:after="60"/>
        <w:ind w:left="873" w:hanging="357"/>
      </w:pPr>
      <w:r w:rsidRPr="00954ECB">
        <w:t xml:space="preserve">Zakon o visokom obrazovanju i znanstvenoj djelatnosti </w:t>
      </w:r>
      <w:r w:rsidR="00EB08F1">
        <w:t xml:space="preserve">(„Narodne novine“, br. </w:t>
      </w:r>
      <w:r w:rsidRPr="00954ECB">
        <w:t>119/2022)</w:t>
      </w:r>
      <w:r w:rsidR="00235ED2">
        <w:t>,</w:t>
      </w:r>
    </w:p>
    <w:p w14:paraId="5D1B8A99" w14:textId="5C276FB7" w:rsidR="00873ABD" w:rsidRPr="00954ECB" w:rsidRDefault="00954ECB" w:rsidP="00A556B6">
      <w:pPr>
        <w:pStyle w:val="ListParagraph"/>
        <w:numPr>
          <w:ilvl w:val="0"/>
          <w:numId w:val="61"/>
        </w:numPr>
        <w:spacing w:after="60"/>
        <w:ind w:left="873" w:hanging="357"/>
      </w:pPr>
      <w:r w:rsidRPr="00954ECB">
        <w:t>Zak</w:t>
      </w:r>
      <w:r w:rsidR="00F256D3">
        <w:t>on</w:t>
      </w:r>
      <w:r w:rsidRPr="00954ECB">
        <w:t xml:space="preserve"> o </w:t>
      </w:r>
      <w:r w:rsidR="00237857">
        <w:t xml:space="preserve">Hrvatskoj zakladi za znanost </w:t>
      </w:r>
      <w:r w:rsidR="00EB08F1">
        <w:t xml:space="preserve">(„Narodne novine“, br. </w:t>
      </w:r>
      <w:r w:rsidR="00237857">
        <w:t>57</w:t>
      </w:r>
      <w:r w:rsidR="005B41DA">
        <w:t>/2022</w:t>
      </w:r>
      <w:r w:rsidR="00237857">
        <w:t>)</w:t>
      </w:r>
      <w:r w:rsidR="00235ED2">
        <w:t>,</w:t>
      </w:r>
    </w:p>
    <w:p w14:paraId="56333626" w14:textId="0F73E80C" w:rsidR="00954ECB" w:rsidRPr="00954ECB" w:rsidRDefault="1056E650" w:rsidP="00A556B6">
      <w:pPr>
        <w:pStyle w:val="ListParagraph"/>
        <w:numPr>
          <w:ilvl w:val="0"/>
          <w:numId w:val="61"/>
        </w:numPr>
        <w:spacing w:after="60"/>
        <w:ind w:left="873" w:hanging="357"/>
      </w:pPr>
      <w:r>
        <w:t>Zak</w:t>
      </w:r>
      <w:r w:rsidR="50FCEE4E">
        <w:t>on</w:t>
      </w:r>
      <w:r>
        <w:t xml:space="preserve"> o osigura</w:t>
      </w:r>
      <w:r w:rsidR="3700AAFC">
        <w:t>va</w:t>
      </w:r>
      <w:r>
        <w:t>nju kvalitete u vis</w:t>
      </w:r>
      <w:r w:rsidR="50FCEE4E">
        <w:t>okom</w:t>
      </w:r>
      <w:r>
        <w:t xml:space="preserve"> obrazovanju i znanosti</w:t>
      </w:r>
      <w:r w:rsidR="418CF9B0">
        <w:t xml:space="preserve"> </w:t>
      </w:r>
      <w:r w:rsidR="00EB08F1">
        <w:t xml:space="preserve">(„Narodne novine“, br. </w:t>
      </w:r>
      <w:r>
        <w:t>151/2022)</w:t>
      </w:r>
      <w:r w:rsidR="00235ED2">
        <w:t>,</w:t>
      </w:r>
    </w:p>
    <w:p w14:paraId="05B1437F" w14:textId="24E51AB5" w:rsidR="00954ECB" w:rsidRPr="00C85947" w:rsidRDefault="00954ECB" w:rsidP="00A556B6">
      <w:pPr>
        <w:pStyle w:val="ListParagraph"/>
        <w:numPr>
          <w:ilvl w:val="0"/>
          <w:numId w:val="61"/>
        </w:numPr>
        <w:spacing w:after="60"/>
        <w:ind w:left="873" w:hanging="357"/>
      </w:pPr>
      <w:r w:rsidRPr="00C85947">
        <w:t xml:space="preserve">Zakon o poticanju ulaganja </w:t>
      </w:r>
      <w:r w:rsidR="00EB08F1">
        <w:t xml:space="preserve">(„Narodne novine“, br. </w:t>
      </w:r>
      <w:r w:rsidRPr="00C85947">
        <w:t>63</w:t>
      </w:r>
      <w:r w:rsidR="005B41DA">
        <w:t>/2022</w:t>
      </w:r>
      <w:r>
        <w:t>)</w:t>
      </w:r>
      <w:r w:rsidR="00235ED2">
        <w:t>,</w:t>
      </w:r>
    </w:p>
    <w:p w14:paraId="7C7723FE" w14:textId="5067348E" w:rsidR="00954ECB" w:rsidRPr="00634D5F" w:rsidRDefault="00954ECB" w:rsidP="00A556B6">
      <w:pPr>
        <w:pStyle w:val="ListParagraph"/>
        <w:numPr>
          <w:ilvl w:val="0"/>
          <w:numId w:val="61"/>
        </w:numPr>
        <w:spacing w:after="60"/>
        <w:ind w:left="873" w:hanging="357"/>
      </w:pPr>
      <w:r w:rsidRPr="00634D5F">
        <w:t>Zakon</w:t>
      </w:r>
      <w:r w:rsidRPr="00634D5F">
        <w:rPr>
          <w:spacing w:val="-7"/>
        </w:rPr>
        <w:t xml:space="preserve"> </w:t>
      </w:r>
      <w:r w:rsidRPr="00634D5F">
        <w:t>o</w:t>
      </w:r>
      <w:r w:rsidRPr="00634D5F">
        <w:rPr>
          <w:spacing w:val="-4"/>
        </w:rPr>
        <w:t xml:space="preserve"> </w:t>
      </w:r>
      <w:r w:rsidRPr="00634D5F">
        <w:t>državnoj</w:t>
      </w:r>
      <w:r w:rsidRPr="00634D5F">
        <w:rPr>
          <w:spacing w:val="-2"/>
        </w:rPr>
        <w:t xml:space="preserve"> </w:t>
      </w:r>
      <w:r w:rsidRPr="00634D5F">
        <w:t>potpori</w:t>
      </w:r>
      <w:r w:rsidRPr="00634D5F">
        <w:rPr>
          <w:spacing w:val="-7"/>
        </w:rPr>
        <w:t xml:space="preserve"> </w:t>
      </w:r>
      <w:r w:rsidRPr="00634D5F">
        <w:t>za</w:t>
      </w:r>
      <w:r w:rsidRPr="00634D5F">
        <w:rPr>
          <w:spacing w:val="-4"/>
        </w:rPr>
        <w:t xml:space="preserve"> </w:t>
      </w:r>
      <w:r w:rsidRPr="00634D5F">
        <w:t>istraživačko</w:t>
      </w:r>
      <w:r w:rsidRPr="00634D5F">
        <w:rPr>
          <w:spacing w:val="-4"/>
        </w:rPr>
        <w:t xml:space="preserve"> </w:t>
      </w:r>
      <w:r w:rsidRPr="00634D5F">
        <w:t>–</w:t>
      </w:r>
      <w:r w:rsidRPr="00634D5F">
        <w:rPr>
          <w:spacing w:val="-6"/>
        </w:rPr>
        <w:t xml:space="preserve"> </w:t>
      </w:r>
      <w:r w:rsidRPr="00634D5F">
        <w:t>razvojne</w:t>
      </w:r>
      <w:r w:rsidRPr="00634D5F">
        <w:rPr>
          <w:spacing w:val="-4"/>
        </w:rPr>
        <w:t xml:space="preserve"> </w:t>
      </w:r>
      <w:r w:rsidRPr="00634D5F">
        <w:t>projekte</w:t>
      </w:r>
      <w:r w:rsidRPr="00634D5F">
        <w:rPr>
          <w:spacing w:val="-6"/>
        </w:rPr>
        <w:t xml:space="preserve"> </w:t>
      </w:r>
      <w:r w:rsidR="00EB08F1">
        <w:t xml:space="preserve">(„Narodne novine“, br. </w:t>
      </w:r>
      <w:r w:rsidRPr="00634D5F">
        <w:rPr>
          <w:spacing w:val="-2"/>
        </w:rPr>
        <w:t>64</w:t>
      </w:r>
      <w:r w:rsidR="005B41DA">
        <w:rPr>
          <w:spacing w:val="-2"/>
        </w:rPr>
        <w:t>/2018</w:t>
      </w:r>
      <w:r w:rsidRPr="00634D5F">
        <w:rPr>
          <w:spacing w:val="-2"/>
        </w:rPr>
        <w:t>),</w:t>
      </w:r>
    </w:p>
    <w:p w14:paraId="01ACC4B5" w14:textId="247A691A" w:rsidR="00954ECB" w:rsidRPr="00634D5F" w:rsidRDefault="00954ECB" w:rsidP="00A556B6">
      <w:pPr>
        <w:pStyle w:val="ListParagraph"/>
        <w:numPr>
          <w:ilvl w:val="0"/>
          <w:numId w:val="61"/>
        </w:numPr>
        <w:spacing w:after="60"/>
        <w:ind w:left="873" w:hanging="357"/>
      </w:pPr>
      <w:r w:rsidRPr="00634D5F">
        <w:t>Zakon</w:t>
      </w:r>
      <w:r w:rsidRPr="00634D5F">
        <w:rPr>
          <w:spacing w:val="-3"/>
        </w:rPr>
        <w:t xml:space="preserve"> </w:t>
      </w:r>
      <w:r w:rsidRPr="00634D5F">
        <w:t>o</w:t>
      </w:r>
      <w:r w:rsidRPr="00634D5F">
        <w:rPr>
          <w:spacing w:val="-5"/>
        </w:rPr>
        <w:t xml:space="preserve"> </w:t>
      </w:r>
      <w:r w:rsidRPr="00634D5F">
        <w:t>javnoj</w:t>
      </w:r>
      <w:r w:rsidRPr="00634D5F">
        <w:rPr>
          <w:spacing w:val="-1"/>
        </w:rPr>
        <w:t xml:space="preserve"> </w:t>
      </w:r>
      <w:r w:rsidRPr="00634D5F">
        <w:t>nabavi</w:t>
      </w:r>
      <w:r w:rsidRPr="00634D5F">
        <w:rPr>
          <w:spacing w:val="-3"/>
        </w:rPr>
        <w:t xml:space="preserve"> </w:t>
      </w:r>
      <w:r w:rsidRPr="00634D5F">
        <w:t>(</w:t>
      </w:r>
      <w:r w:rsidR="004975F6">
        <w:t>„</w:t>
      </w:r>
      <w:r w:rsidR="00071A4F" w:rsidRPr="00071A4F">
        <w:t xml:space="preserve">Narodne </w:t>
      </w:r>
      <w:r w:rsidR="00A97AE7">
        <w:t>novine</w:t>
      </w:r>
      <w:r w:rsidR="004975F6">
        <w:t>“</w:t>
      </w:r>
      <w:r w:rsidR="00071A4F" w:rsidRPr="00071A4F">
        <w:t>, br</w:t>
      </w:r>
      <w:r w:rsidR="00AE6A8C">
        <w:t>.</w:t>
      </w:r>
      <w:r w:rsidRPr="00634D5F">
        <w:rPr>
          <w:spacing w:val="-3"/>
        </w:rPr>
        <w:t xml:space="preserve"> </w:t>
      </w:r>
      <w:r w:rsidRPr="00634D5F">
        <w:t>120</w:t>
      </w:r>
      <w:r w:rsidR="005B41DA">
        <w:t>/2016</w:t>
      </w:r>
      <w:r>
        <w:t>, 114</w:t>
      </w:r>
      <w:r w:rsidR="005B41DA">
        <w:t>/2022</w:t>
      </w:r>
      <w:r>
        <w:t>)</w:t>
      </w:r>
      <w:r w:rsidRPr="00634D5F">
        <w:rPr>
          <w:spacing w:val="-2"/>
        </w:rPr>
        <w:t xml:space="preserve"> </w:t>
      </w:r>
      <w:r w:rsidRPr="00634D5F">
        <w:rPr>
          <w:spacing w:val="-10"/>
        </w:rPr>
        <w:t>i</w:t>
      </w:r>
    </w:p>
    <w:p w14:paraId="5C0309ED" w14:textId="145D01A0" w:rsidR="00954ECB" w:rsidRPr="00683F7B" w:rsidRDefault="100BE4B6" w:rsidP="00A556B6">
      <w:pPr>
        <w:pStyle w:val="ListParagraph"/>
        <w:numPr>
          <w:ilvl w:val="0"/>
          <w:numId w:val="61"/>
        </w:numPr>
        <w:spacing w:after="60"/>
        <w:ind w:left="873" w:hanging="357"/>
      </w:pPr>
      <w:r w:rsidRPr="00634D5F">
        <w:t>Zakon</w:t>
      </w:r>
      <w:r w:rsidRPr="00634D5F">
        <w:rPr>
          <w:spacing w:val="40"/>
        </w:rPr>
        <w:t xml:space="preserve"> </w:t>
      </w:r>
      <w:r w:rsidRPr="00634D5F">
        <w:t>o</w:t>
      </w:r>
      <w:r w:rsidRPr="00634D5F">
        <w:rPr>
          <w:spacing w:val="40"/>
        </w:rPr>
        <w:t xml:space="preserve"> </w:t>
      </w:r>
      <w:r w:rsidRPr="00634D5F">
        <w:t>poticanju</w:t>
      </w:r>
      <w:r w:rsidRPr="00634D5F">
        <w:rPr>
          <w:spacing w:val="40"/>
        </w:rPr>
        <w:t xml:space="preserve"> </w:t>
      </w:r>
      <w:r w:rsidRPr="00634D5F">
        <w:t>razvoja</w:t>
      </w:r>
      <w:r w:rsidRPr="00634D5F">
        <w:rPr>
          <w:spacing w:val="40"/>
        </w:rPr>
        <w:t xml:space="preserve"> </w:t>
      </w:r>
      <w:r w:rsidRPr="00634D5F">
        <w:t>malog</w:t>
      </w:r>
      <w:r w:rsidRPr="00634D5F">
        <w:rPr>
          <w:spacing w:val="40"/>
        </w:rPr>
        <w:t xml:space="preserve"> </w:t>
      </w:r>
      <w:r w:rsidRPr="00634D5F">
        <w:t>gospodarstva</w:t>
      </w:r>
      <w:r w:rsidRPr="00634D5F">
        <w:rPr>
          <w:spacing w:val="40"/>
        </w:rPr>
        <w:t xml:space="preserve"> </w:t>
      </w:r>
      <w:r w:rsidRPr="00634D5F">
        <w:t>(</w:t>
      </w:r>
      <w:r w:rsidR="004975F6">
        <w:t>„</w:t>
      </w:r>
      <w:r w:rsidR="00071A4F" w:rsidRPr="00071A4F">
        <w:t xml:space="preserve">Narodne </w:t>
      </w:r>
      <w:r w:rsidR="00A97AE7">
        <w:t>novine</w:t>
      </w:r>
      <w:r w:rsidR="004975F6">
        <w:t>“</w:t>
      </w:r>
      <w:r w:rsidR="00071A4F" w:rsidRPr="00071A4F">
        <w:t>, br</w:t>
      </w:r>
      <w:r w:rsidR="00AE6A8C">
        <w:t>.</w:t>
      </w:r>
      <w:r w:rsidRPr="00634D5F">
        <w:rPr>
          <w:spacing w:val="40"/>
        </w:rPr>
        <w:t xml:space="preserve"> </w:t>
      </w:r>
      <w:hyperlink r:id="rId21">
        <w:r w:rsidRPr="00634D5F">
          <w:t>29/02</w:t>
        </w:r>
      </w:hyperlink>
      <w:r w:rsidR="004975F6">
        <w:t>.</w:t>
      </w:r>
      <w:r w:rsidRPr="00634D5F">
        <w:t>,</w:t>
      </w:r>
      <w:r w:rsidRPr="00634D5F">
        <w:rPr>
          <w:spacing w:val="40"/>
        </w:rPr>
        <w:t xml:space="preserve"> </w:t>
      </w:r>
      <w:hyperlink r:id="rId22">
        <w:r w:rsidRPr="00634D5F">
          <w:t>63/07</w:t>
        </w:r>
      </w:hyperlink>
      <w:r w:rsidR="004975F6">
        <w:t>.</w:t>
      </w:r>
      <w:r w:rsidRPr="00634D5F">
        <w:t>,</w:t>
      </w:r>
      <w:r w:rsidRPr="00634D5F">
        <w:rPr>
          <w:spacing w:val="40"/>
        </w:rPr>
        <w:t xml:space="preserve"> </w:t>
      </w:r>
      <w:hyperlink r:id="rId23">
        <w:r w:rsidRPr="00634D5F">
          <w:t>53</w:t>
        </w:r>
        <w:r w:rsidR="005B41DA">
          <w:t>/12</w:t>
        </w:r>
      </w:hyperlink>
      <w:r w:rsidR="004975F6">
        <w:t>.</w:t>
      </w:r>
      <w:r w:rsidRPr="00634D5F">
        <w:t>,</w:t>
      </w:r>
      <w:r w:rsidRPr="00634D5F">
        <w:rPr>
          <w:spacing w:val="40"/>
        </w:rPr>
        <w:t xml:space="preserve"> </w:t>
      </w:r>
      <w:hyperlink r:id="rId24">
        <w:r w:rsidRPr="00634D5F">
          <w:t>56</w:t>
        </w:r>
        <w:r w:rsidR="005B41DA">
          <w:t>/13</w:t>
        </w:r>
      </w:hyperlink>
      <w:r w:rsidR="004975F6">
        <w:t>.</w:t>
      </w:r>
      <w:r w:rsidRPr="00634D5F">
        <w:t>,</w:t>
      </w:r>
      <w:r w:rsidRPr="00634D5F">
        <w:rPr>
          <w:spacing w:val="40"/>
        </w:rPr>
        <w:t xml:space="preserve"> </w:t>
      </w:r>
      <w:hyperlink r:id="rId25">
        <w:r w:rsidRPr="00634D5F">
          <w:rPr>
            <w:spacing w:val="-2"/>
          </w:rPr>
          <w:t>121</w:t>
        </w:r>
        <w:r w:rsidR="005B41DA">
          <w:rPr>
            <w:spacing w:val="-2"/>
          </w:rPr>
          <w:t>/16</w:t>
        </w:r>
      </w:hyperlink>
      <w:r w:rsidR="004975F6">
        <w:t>.</w:t>
      </w:r>
      <w:r w:rsidRPr="00634D5F">
        <w:rPr>
          <w:spacing w:val="-2"/>
        </w:rPr>
        <w:t>).</w:t>
      </w:r>
    </w:p>
    <w:p w14:paraId="6B556E60" w14:textId="1829C146" w:rsidR="6A4123D8" w:rsidRDefault="6A4123D8" w:rsidP="000D78E7">
      <w:pPr>
        <w:spacing w:line="259" w:lineRule="auto"/>
      </w:pPr>
      <w:r>
        <w:t xml:space="preserve">Zakon o klimatskim promjenama i zaštiti ozonskog sloja </w:t>
      </w:r>
      <w:r w:rsidR="466E0286">
        <w:t xml:space="preserve">određuje i </w:t>
      </w:r>
      <w:r w:rsidR="48CCE8EB">
        <w:t>uređuje</w:t>
      </w:r>
      <w:r w:rsidR="1F901EEA">
        <w:t xml:space="preserve"> izradu</w:t>
      </w:r>
      <w:r w:rsidR="48CCE8EB">
        <w:t xml:space="preserve"> smjernic</w:t>
      </w:r>
      <w:r w:rsidR="199BD7D2">
        <w:t>a</w:t>
      </w:r>
      <w:r w:rsidR="48CCE8EB">
        <w:t xml:space="preserve"> za znanstvena istraživanja iz područja ublažavanja klimatskih promjena</w:t>
      </w:r>
      <w:r w:rsidR="0988F2BE">
        <w:t xml:space="preserve"> kao i smjernic</w:t>
      </w:r>
      <w:r w:rsidR="5873965A">
        <w:t>a</w:t>
      </w:r>
      <w:r w:rsidR="0988F2BE">
        <w:t xml:space="preserve"> za znanstvena istraživanja iz područja procjene utjecaja i prilagodbe klimatskim promjenama</w:t>
      </w:r>
      <w:r w:rsidR="68E7ABAF">
        <w:t xml:space="preserve"> </w:t>
      </w:r>
      <w:r w:rsidR="68027714">
        <w:lastRenderedPageBreak/>
        <w:t xml:space="preserve">Propisuje se i način financiranja </w:t>
      </w:r>
      <w:r w:rsidR="79DF01CA">
        <w:t>znanstvenih istraživanja iz područja prilagodbe klimatskim promjenama i ublažavanja klimatskih promjena.</w:t>
      </w:r>
    </w:p>
    <w:p w14:paraId="4FC60B20" w14:textId="77777777" w:rsidR="00C801F9" w:rsidRPr="00736E7E" w:rsidRDefault="00C801F9" w:rsidP="005E726C">
      <w:pPr>
        <w:rPr>
          <w:highlight w:val="yellow"/>
        </w:rPr>
      </w:pPr>
      <w:r w:rsidRPr="00736E7E">
        <w:t>Zakon o visokom obrazovanju i znanstvenoj djelatnosti uređuje temeljna načela obavljanja djelatnosti visokog obrazovanja i znanstvene i djelatnosti, osnivanje i djelovanje ustanova, postupak zapošljavanja i napredovanja nastavnika, znanstvenika i suradnika te njihova prava i obveze, osnovna pitanja izvođenja studija, prava i obveze studenata, obavljanje znanstvene, i stručne djelatnosti, potpora i financiranje ovih djelatnosti te nadzor i prekršajne sankcije.</w:t>
      </w:r>
    </w:p>
    <w:p w14:paraId="7BA5B35F" w14:textId="5365C1E6" w:rsidR="00C801F9" w:rsidRPr="00736E7E" w:rsidRDefault="00C801F9" w:rsidP="005E726C">
      <w:r w:rsidRPr="00736E7E">
        <w:t>Zako</w:t>
      </w:r>
      <w:r>
        <w:t>n</w:t>
      </w:r>
      <w:r w:rsidRPr="00736E7E">
        <w:t xml:space="preserve"> o osiguranju kvalitete u visokom obrazovanju i znanosti uređuje unutarnje osiguravanje i unaprjeđivanje kvalitete visokih učilišta i znanstvenih instituta, vanjsko vrednovanje kvalitete visokih učilišta i znanstvenih instituta te ustrojstvo i ovlasti Agencije za znanost i visoko obrazovanje.</w:t>
      </w:r>
    </w:p>
    <w:p w14:paraId="75D3D99F" w14:textId="77777777" w:rsidR="00C801F9" w:rsidRPr="00194796" w:rsidRDefault="00C801F9" w:rsidP="005E726C">
      <w:r w:rsidRPr="00194796">
        <w:t>Zakon o poticanju ulaganja uređuje sustav potpora za ulaganje i pravodobno ostvarenje ulagačkih aktivnosti, s ciljem uspješnog i vremenski određenog ostvarenja održivih i tehnološki naprednih projekata ulaganja visoke dodane vrijednosti na području Republike Hrvatske. Potpore se odnose na održive projekte ulaganja koji imaju za cilj jačanje konkurentske sposobnosti u (i) proizvodno-prerađivačkim aktivnostima, (ii) razvojno-inovacijskim aktivnostima, (iii) aktivnostima poslovne podrške i (iv) aktivnostima usluga visoke dodane vrijednosti.</w:t>
      </w:r>
    </w:p>
    <w:p w14:paraId="6A017250" w14:textId="77777777" w:rsidR="00747837" w:rsidRPr="00194796" w:rsidRDefault="00747837" w:rsidP="005E726C">
      <w:r w:rsidRPr="00194796">
        <w:t>Potpore uređene Zakonom o poticanju ulaganja odnose se na projekte kojima se ostvaruje jedan ili više od sljedećih ciljeva:</w:t>
      </w:r>
    </w:p>
    <w:p w14:paraId="548B4CD0" w14:textId="77777777" w:rsidR="00747837" w:rsidRPr="00194796" w:rsidRDefault="00747837" w:rsidP="002D179C">
      <w:pPr>
        <w:pStyle w:val="ListParagraph"/>
        <w:numPr>
          <w:ilvl w:val="0"/>
          <w:numId w:val="62"/>
        </w:numPr>
        <w:spacing w:after="60"/>
        <w:ind w:left="714" w:hanging="357"/>
      </w:pPr>
      <w:r w:rsidRPr="00194796">
        <w:t>doprinos zelenoj i digitalnoj tranziciji gospodarstva Republike Hrvatske</w:t>
      </w:r>
    </w:p>
    <w:p w14:paraId="7F0EBB06" w14:textId="77777777" w:rsidR="00747837" w:rsidRPr="00194796" w:rsidRDefault="00747837" w:rsidP="002D179C">
      <w:pPr>
        <w:pStyle w:val="ListParagraph"/>
        <w:numPr>
          <w:ilvl w:val="0"/>
          <w:numId w:val="62"/>
        </w:numPr>
        <w:spacing w:after="60"/>
        <w:ind w:left="714" w:hanging="357"/>
      </w:pPr>
      <w:r w:rsidRPr="00194796">
        <w:t>doprinos održivom konceptu industrije i naprednim tehnološkim rješenjima industrije 4.0.</w:t>
      </w:r>
    </w:p>
    <w:p w14:paraId="7329D1DC" w14:textId="77777777" w:rsidR="00747837" w:rsidRPr="00194796" w:rsidRDefault="00747837" w:rsidP="002D179C">
      <w:pPr>
        <w:pStyle w:val="ListParagraph"/>
        <w:numPr>
          <w:ilvl w:val="0"/>
          <w:numId w:val="62"/>
        </w:numPr>
        <w:spacing w:after="60"/>
        <w:ind w:left="714" w:hanging="357"/>
      </w:pPr>
      <w:r w:rsidRPr="00194796">
        <w:t>unos nove opreme i suvremenih tehnologija</w:t>
      </w:r>
    </w:p>
    <w:p w14:paraId="2664C85B" w14:textId="77777777" w:rsidR="00747837" w:rsidRPr="00194796" w:rsidRDefault="00747837" w:rsidP="002D179C">
      <w:pPr>
        <w:pStyle w:val="ListParagraph"/>
        <w:numPr>
          <w:ilvl w:val="0"/>
          <w:numId w:val="62"/>
        </w:numPr>
        <w:spacing w:after="60"/>
        <w:ind w:left="714" w:hanging="357"/>
      </w:pPr>
      <w:r w:rsidRPr="00194796">
        <w:t>veća zaposlenost i izobrazba zaposlenika</w:t>
      </w:r>
    </w:p>
    <w:p w14:paraId="03670009" w14:textId="77777777" w:rsidR="00747837" w:rsidRPr="00194796" w:rsidRDefault="00747837" w:rsidP="002D179C">
      <w:pPr>
        <w:pStyle w:val="ListParagraph"/>
        <w:numPr>
          <w:ilvl w:val="0"/>
          <w:numId w:val="62"/>
        </w:numPr>
        <w:spacing w:after="60"/>
        <w:ind w:left="714" w:hanging="357"/>
      </w:pPr>
      <w:r w:rsidRPr="00194796">
        <w:t>razvoj proizvoda i usluga više dodane vrijednosti</w:t>
      </w:r>
    </w:p>
    <w:p w14:paraId="21791CDB" w14:textId="77777777" w:rsidR="00747837" w:rsidRPr="00194796" w:rsidRDefault="00747837" w:rsidP="002D179C">
      <w:pPr>
        <w:pStyle w:val="ListParagraph"/>
        <w:numPr>
          <w:ilvl w:val="0"/>
          <w:numId w:val="62"/>
        </w:numPr>
        <w:spacing w:after="60"/>
        <w:ind w:left="714" w:hanging="357"/>
      </w:pPr>
      <w:r w:rsidRPr="00194796">
        <w:t>povećanje poduzetničke konkurentnosti</w:t>
      </w:r>
    </w:p>
    <w:p w14:paraId="3E54D141" w14:textId="77777777" w:rsidR="00747837" w:rsidRPr="00194796" w:rsidRDefault="00747837" w:rsidP="002D179C">
      <w:pPr>
        <w:pStyle w:val="ListParagraph"/>
        <w:numPr>
          <w:ilvl w:val="0"/>
          <w:numId w:val="62"/>
        </w:numPr>
        <w:spacing w:after="60"/>
        <w:ind w:left="714" w:hanging="357"/>
      </w:pPr>
      <w:r w:rsidRPr="00194796">
        <w:t>ravnomjerni regionalni razvoj Republike Hrvatske</w:t>
      </w:r>
    </w:p>
    <w:p w14:paraId="56EC8055" w14:textId="77777777" w:rsidR="00747837" w:rsidRPr="00194796" w:rsidRDefault="00747837" w:rsidP="002D179C">
      <w:pPr>
        <w:pStyle w:val="ListParagraph"/>
        <w:numPr>
          <w:ilvl w:val="0"/>
          <w:numId w:val="62"/>
        </w:numPr>
        <w:spacing w:after="60"/>
        <w:ind w:left="714" w:hanging="357"/>
      </w:pPr>
      <w:r w:rsidRPr="00194796">
        <w:t>gospodarsko aktiviranje neaktivne imovine u vlasništvu Republike Hrvatske</w:t>
      </w:r>
    </w:p>
    <w:p w14:paraId="4A040EED" w14:textId="77777777" w:rsidR="00747837" w:rsidRPr="00194796" w:rsidRDefault="00747837" w:rsidP="002D179C">
      <w:pPr>
        <w:pStyle w:val="ListParagraph"/>
        <w:numPr>
          <w:ilvl w:val="0"/>
          <w:numId w:val="62"/>
        </w:numPr>
        <w:spacing w:after="60"/>
        <w:ind w:left="714" w:hanging="357"/>
      </w:pPr>
      <w:r w:rsidRPr="00194796">
        <w:t>rast produktivnosti gospodarskih subjekata u Republici Hrvatskoj.</w:t>
      </w:r>
    </w:p>
    <w:p w14:paraId="367D36B7" w14:textId="2F9A6837" w:rsidR="00747837" w:rsidRPr="00634D5F" w:rsidRDefault="00747837" w:rsidP="005E726C">
      <w:r w:rsidRPr="00634D5F">
        <w:t>Zakonom o državnoj potpori za istraživačko – razvojne projekte uređuju se uvjeti za dodjeljivanje državne potpore za istraživačko-razvojne projekte u kategoriji horizontalne potpore za istraživanje i razvoj, nadležnosti tijela Republike Hrvatske u pogledu dodjele državnih potpora za istraživačko-razvojne projekte, postupak utvrđivanja ispunjenosti uvjeta za ostvarivanje prava, vođenje evidencija i izvještavanje te druga pitanja vezana uz ostvarivanje</w:t>
      </w:r>
      <w:r w:rsidRPr="00634D5F">
        <w:rPr>
          <w:spacing w:val="36"/>
        </w:rPr>
        <w:t xml:space="preserve"> </w:t>
      </w:r>
      <w:r w:rsidRPr="00634D5F">
        <w:t>prava</w:t>
      </w:r>
      <w:r w:rsidRPr="00634D5F">
        <w:rPr>
          <w:spacing w:val="36"/>
        </w:rPr>
        <w:t xml:space="preserve"> </w:t>
      </w:r>
      <w:r w:rsidRPr="00634D5F">
        <w:t>na</w:t>
      </w:r>
      <w:r w:rsidRPr="00634D5F">
        <w:rPr>
          <w:spacing w:val="36"/>
        </w:rPr>
        <w:t xml:space="preserve"> </w:t>
      </w:r>
      <w:r w:rsidRPr="00634D5F">
        <w:t>potpore</w:t>
      </w:r>
      <w:r w:rsidRPr="00634D5F">
        <w:rPr>
          <w:spacing w:val="36"/>
        </w:rPr>
        <w:t xml:space="preserve"> </w:t>
      </w:r>
      <w:r w:rsidRPr="00634D5F">
        <w:t>za</w:t>
      </w:r>
      <w:r w:rsidRPr="00634D5F">
        <w:rPr>
          <w:spacing w:val="36"/>
        </w:rPr>
        <w:t xml:space="preserve"> </w:t>
      </w:r>
      <w:r w:rsidRPr="00634D5F">
        <w:t>istraživačko-razvojne</w:t>
      </w:r>
      <w:r w:rsidRPr="00634D5F">
        <w:rPr>
          <w:spacing w:val="36"/>
        </w:rPr>
        <w:t xml:space="preserve"> </w:t>
      </w:r>
      <w:r w:rsidRPr="00634D5F">
        <w:t>projekte.</w:t>
      </w:r>
      <w:r w:rsidRPr="00634D5F">
        <w:rPr>
          <w:spacing w:val="39"/>
        </w:rPr>
        <w:t xml:space="preserve"> </w:t>
      </w:r>
      <w:r w:rsidRPr="00634D5F">
        <w:t>Cilj</w:t>
      </w:r>
      <w:r w:rsidRPr="00634D5F">
        <w:rPr>
          <w:spacing w:val="38"/>
        </w:rPr>
        <w:t xml:space="preserve"> </w:t>
      </w:r>
      <w:r w:rsidRPr="00634D5F">
        <w:t>Zakona</w:t>
      </w:r>
      <w:r w:rsidRPr="00634D5F">
        <w:rPr>
          <w:spacing w:val="36"/>
        </w:rPr>
        <w:t xml:space="preserve"> </w:t>
      </w:r>
      <w:r w:rsidRPr="00634D5F">
        <w:t>je</w:t>
      </w:r>
      <w:r w:rsidRPr="00634D5F">
        <w:rPr>
          <w:spacing w:val="36"/>
        </w:rPr>
        <w:t xml:space="preserve"> </w:t>
      </w:r>
      <w:r w:rsidRPr="00634D5F">
        <w:t>povećanje</w:t>
      </w:r>
      <w:r>
        <w:t xml:space="preserve"> </w:t>
      </w:r>
      <w:r w:rsidRPr="00634D5F">
        <w:t>ulaganja privatnog sektora u istraživanje i razvoj</w:t>
      </w:r>
      <w:r w:rsidR="00C15788">
        <w:t>,</w:t>
      </w:r>
      <w:r w:rsidRPr="00634D5F">
        <w:t xml:space="preserve"> povećanje broja poduzetnika koji ulažu u istraživanje</w:t>
      </w:r>
      <w:r w:rsidRPr="00634D5F">
        <w:rPr>
          <w:spacing w:val="-14"/>
        </w:rPr>
        <w:t xml:space="preserve"> </w:t>
      </w:r>
      <w:r w:rsidRPr="00634D5F">
        <w:t>i</w:t>
      </w:r>
      <w:r w:rsidRPr="00634D5F">
        <w:rPr>
          <w:spacing w:val="-12"/>
        </w:rPr>
        <w:t xml:space="preserve"> </w:t>
      </w:r>
      <w:r w:rsidRPr="00634D5F">
        <w:t>razvoj</w:t>
      </w:r>
      <w:r w:rsidRPr="00634D5F">
        <w:rPr>
          <w:spacing w:val="-12"/>
        </w:rPr>
        <w:t xml:space="preserve"> </w:t>
      </w:r>
      <w:r w:rsidRPr="00634D5F">
        <w:t>te</w:t>
      </w:r>
      <w:r w:rsidRPr="00634D5F">
        <w:rPr>
          <w:spacing w:val="-11"/>
        </w:rPr>
        <w:t xml:space="preserve"> </w:t>
      </w:r>
      <w:r w:rsidRPr="00634D5F">
        <w:t>poticanje</w:t>
      </w:r>
      <w:r w:rsidRPr="00634D5F">
        <w:rPr>
          <w:spacing w:val="-11"/>
        </w:rPr>
        <w:t xml:space="preserve"> </w:t>
      </w:r>
      <w:r w:rsidRPr="00634D5F">
        <w:t>suradnje</w:t>
      </w:r>
      <w:r w:rsidRPr="00634D5F">
        <w:rPr>
          <w:spacing w:val="-14"/>
        </w:rPr>
        <w:t xml:space="preserve"> </w:t>
      </w:r>
      <w:r w:rsidRPr="00634D5F">
        <w:t>poduzetnika</w:t>
      </w:r>
      <w:r w:rsidRPr="00634D5F">
        <w:rPr>
          <w:spacing w:val="-11"/>
        </w:rPr>
        <w:t xml:space="preserve"> </w:t>
      </w:r>
      <w:r w:rsidRPr="00634D5F">
        <w:t>s</w:t>
      </w:r>
      <w:r w:rsidRPr="00634D5F">
        <w:rPr>
          <w:spacing w:val="-11"/>
        </w:rPr>
        <w:t xml:space="preserve"> </w:t>
      </w:r>
      <w:r w:rsidRPr="00634D5F">
        <w:t>organizacijama</w:t>
      </w:r>
      <w:r w:rsidRPr="00634D5F">
        <w:rPr>
          <w:spacing w:val="-13"/>
        </w:rPr>
        <w:t xml:space="preserve"> </w:t>
      </w:r>
      <w:r w:rsidRPr="00634D5F">
        <w:t>za</w:t>
      </w:r>
      <w:r w:rsidRPr="00634D5F">
        <w:rPr>
          <w:spacing w:val="-11"/>
        </w:rPr>
        <w:t xml:space="preserve"> </w:t>
      </w:r>
      <w:r w:rsidRPr="00634D5F">
        <w:t>istraživanje</w:t>
      </w:r>
      <w:r w:rsidRPr="00634D5F">
        <w:rPr>
          <w:spacing w:val="-11"/>
        </w:rPr>
        <w:t xml:space="preserve"> </w:t>
      </w:r>
      <w:r w:rsidRPr="00634D5F">
        <w:t>i</w:t>
      </w:r>
      <w:r w:rsidRPr="00634D5F">
        <w:rPr>
          <w:spacing w:val="-14"/>
        </w:rPr>
        <w:t xml:space="preserve"> </w:t>
      </w:r>
      <w:r w:rsidRPr="00634D5F">
        <w:t>širenje znanja na istraživačko-razvojnim</w:t>
      </w:r>
      <w:r w:rsidRPr="00634D5F">
        <w:rPr>
          <w:spacing w:val="-2"/>
        </w:rPr>
        <w:t xml:space="preserve"> </w:t>
      </w:r>
      <w:r w:rsidRPr="00634D5F">
        <w:t>projektima</w:t>
      </w:r>
      <w:r w:rsidRPr="00634D5F">
        <w:rPr>
          <w:spacing w:val="-3"/>
        </w:rPr>
        <w:t xml:space="preserve"> </w:t>
      </w:r>
      <w:r w:rsidRPr="00634D5F">
        <w:t>pri</w:t>
      </w:r>
      <w:r w:rsidRPr="00634D5F">
        <w:rPr>
          <w:spacing w:val="-3"/>
        </w:rPr>
        <w:t xml:space="preserve"> </w:t>
      </w:r>
      <w:r w:rsidRPr="00634D5F">
        <w:t>čemu istraživanje i</w:t>
      </w:r>
      <w:r w:rsidRPr="00634D5F">
        <w:rPr>
          <w:spacing w:val="-3"/>
        </w:rPr>
        <w:t xml:space="preserve"> </w:t>
      </w:r>
      <w:r w:rsidRPr="00634D5F">
        <w:t>razvoj</w:t>
      </w:r>
      <w:r w:rsidRPr="00634D5F">
        <w:rPr>
          <w:spacing w:val="-1"/>
        </w:rPr>
        <w:t xml:space="preserve"> </w:t>
      </w:r>
      <w:r w:rsidRPr="00634D5F">
        <w:t xml:space="preserve">obuhvaća kreativan i sistematičan rad poduzet sa svrhom povećanja fonda znanja – uključujući znanje čovječanstva, kulture i društva – te kako bi se osmislile nove primjene postojećeg znanja. Aktivnosti istraživanja i razvoja moraju uključivati pet osnovnih kriterija: </w:t>
      </w:r>
      <w:r w:rsidRPr="00634D5F">
        <w:rPr>
          <w:b/>
        </w:rPr>
        <w:t xml:space="preserve">novo znanje </w:t>
      </w:r>
      <w:r w:rsidRPr="00634D5F">
        <w:t xml:space="preserve">(kao cilj </w:t>
      </w:r>
      <w:r w:rsidRPr="00634D5F">
        <w:lastRenderedPageBreak/>
        <w:t xml:space="preserve">aktivnosti), </w:t>
      </w:r>
      <w:r w:rsidRPr="00634D5F">
        <w:rPr>
          <w:b/>
        </w:rPr>
        <w:t xml:space="preserve">kreativno </w:t>
      </w:r>
      <w:r w:rsidRPr="00634D5F">
        <w:t xml:space="preserve">(novi koncepti, ideje i metode koji unaprjeđuju postojeće znanje), </w:t>
      </w:r>
      <w:r w:rsidRPr="00634D5F">
        <w:rPr>
          <w:b/>
        </w:rPr>
        <w:t>neizvjesno</w:t>
      </w:r>
      <w:r w:rsidRPr="00634D5F">
        <w:rPr>
          <w:b/>
          <w:spacing w:val="-5"/>
        </w:rPr>
        <w:t xml:space="preserve"> </w:t>
      </w:r>
      <w:r w:rsidRPr="00634D5F">
        <w:rPr>
          <w:b/>
        </w:rPr>
        <w:t>u</w:t>
      </w:r>
      <w:r w:rsidRPr="00634D5F">
        <w:rPr>
          <w:b/>
          <w:spacing w:val="-4"/>
        </w:rPr>
        <w:t xml:space="preserve"> </w:t>
      </w:r>
      <w:r w:rsidRPr="00634D5F">
        <w:rPr>
          <w:b/>
        </w:rPr>
        <w:t>smislu</w:t>
      </w:r>
      <w:r w:rsidRPr="00634D5F">
        <w:rPr>
          <w:b/>
          <w:spacing w:val="-4"/>
        </w:rPr>
        <w:t xml:space="preserve"> </w:t>
      </w:r>
      <w:r w:rsidRPr="00634D5F">
        <w:rPr>
          <w:b/>
        </w:rPr>
        <w:t>ishoda</w:t>
      </w:r>
      <w:r w:rsidRPr="00634D5F">
        <w:t xml:space="preserve">, </w:t>
      </w:r>
      <w:r w:rsidRPr="00634D5F">
        <w:rPr>
          <w:b/>
        </w:rPr>
        <w:t>sistematično</w:t>
      </w:r>
      <w:r w:rsidRPr="00634D5F">
        <w:rPr>
          <w:b/>
          <w:spacing w:val="-4"/>
        </w:rPr>
        <w:t xml:space="preserve"> </w:t>
      </w:r>
      <w:r w:rsidRPr="00634D5F">
        <w:t>(planirano</w:t>
      </w:r>
      <w:r w:rsidRPr="00634D5F">
        <w:rPr>
          <w:spacing w:val="-2"/>
        </w:rPr>
        <w:t xml:space="preserve"> </w:t>
      </w:r>
      <w:r w:rsidRPr="00634D5F">
        <w:t>s</w:t>
      </w:r>
      <w:r w:rsidRPr="00634D5F">
        <w:rPr>
          <w:spacing w:val="-3"/>
        </w:rPr>
        <w:t xml:space="preserve"> </w:t>
      </w:r>
      <w:r w:rsidRPr="00634D5F">
        <w:t>osiguranjem</w:t>
      </w:r>
      <w:r w:rsidRPr="00634D5F">
        <w:rPr>
          <w:spacing w:val="-3"/>
        </w:rPr>
        <w:t xml:space="preserve"> </w:t>
      </w:r>
      <w:r w:rsidRPr="00634D5F">
        <w:t>sredstava</w:t>
      </w:r>
      <w:r w:rsidRPr="00634D5F">
        <w:rPr>
          <w:spacing w:val="-4"/>
        </w:rPr>
        <w:t xml:space="preserve"> </w:t>
      </w:r>
      <w:r w:rsidRPr="00634D5F">
        <w:t>i</w:t>
      </w:r>
      <w:r w:rsidRPr="00634D5F">
        <w:rPr>
          <w:spacing w:val="-2"/>
        </w:rPr>
        <w:t xml:space="preserve"> </w:t>
      </w:r>
      <w:r w:rsidRPr="00634D5F">
        <w:t xml:space="preserve">bilježenjem ishoda) i </w:t>
      </w:r>
      <w:r w:rsidRPr="00634D5F">
        <w:rPr>
          <w:b/>
        </w:rPr>
        <w:t xml:space="preserve">prenosivo </w:t>
      </w:r>
      <w:r w:rsidRPr="00634D5F">
        <w:t xml:space="preserve">(ishodi su prenosivi kao nova znanja) i/ili </w:t>
      </w:r>
      <w:r w:rsidRPr="00634D5F">
        <w:rPr>
          <w:b/>
        </w:rPr>
        <w:t xml:space="preserve">ponovljivo </w:t>
      </w:r>
      <w:r w:rsidRPr="00634D5F">
        <w:t xml:space="preserve">(ishode je moguće </w:t>
      </w:r>
      <w:r w:rsidRPr="00634D5F">
        <w:rPr>
          <w:spacing w:val="-2"/>
        </w:rPr>
        <w:t>ponoviti).</w:t>
      </w:r>
    </w:p>
    <w:p w14:paraId="7477648A" w14:textId="77777777" w:rsidR="00747837" w:rsidRDefault="00747837" w:rsidP="005E726C">
      <w:r w:rsidRPr="00634D5F">
        <w:t>Zakonom o javnoj nabavi definiran je jedan od postupaka javne nabave kao „partnerstvo za inovacije“. Javni naručitelj može koristiti partnerstvo za inovacije ako ima potrebu za inovativnom robom, uslugama ili radovima koju ne može zadovoljiti nabavom robe, usluga ili radova već dostupnih na tržištu. Partnerstvo za inovacije teži razvoju inovativne robe, usluga ili radova te njihovoj naknadnoj nabavi, pod uvjetom da su u skladu s razinama izvedbe i maksimalnim</w:t>
      </w:r>
      <w:r w:rsidRPr="00634D5F">
        <w:rPr>
          <w:spacing w:val="-16"/>
        </w:rPr>
        <w:t xml:space="preserve"> </w:t>
      </w:r>
      <w:r w:rsidRPr="00634D5F">
        <w:t>troškovima</w:t>
      </w:r>
      <w:r w:rsidRPr="00634D5F">
        <w:rPr>
          <w:spacing w:val="-15"/>
        </w:rPr>
        <w:t xml:space="preserve"> </w:t>
      </w:r>
      <w:r w:rsidRPr="00634D5F">
        <w:t>dogovorenima</w:t>
      </w:r>
      <w:r w:rsidRPr="00634D5F">
        <w:rPr>
          <w:spacing w:val="-12"/>
        </w:rPr>
        <w:t xml:space="preserve"> </w:t>
      </w:r>
      <w:r w:rsidRPr="00634D5F">
        <w:t>između</w:t>
      </w:r>
      <w:r w:rsidRPr="00634D5F">
        <w:rPr>
          <w:spacing w:val="-16"/>
        </w:rPr>
        <w:t xml:space="preserve"> </w:t>
      </w:r>
      <w:r w:rsidRPr="00634D5F">
        <w:t>javnog</w:t>
      </w:r>
      <w:r w:rsidRPr="00634D5F">
        <w:rPr>
          <w:spacing w:val="-13"/>
        </w:rPr>
        <w:t xml:space="preserve"> </w:t>
      </w:r>
      <w:r w:rsidRPr="00634D5F">
        <w:t>naručitelja</w:t>
      </w:r>
      <w:r w:rsidRPr="00634D5F">
        <w:rPr>
          <w:spacing w:val="-14"/>
        </w:rPr>
        <w:t xml:space="preserve"> </w:t>
      </w:r>
      <w:r w:rsidRPr="00634D5F">
        <w:t>i</w:t>
      </w:r>
      <w:r w:rsidRPr="00634D5F">
        <w:rPr>
          <w:spacing w:val="-14"/>
        </w:rPr>
        <w:t xml:space="preserve"> </w:t>
      </w:r>
      <w:r w:rsidRPr="00634D5F">
        <w:t>sudionika.</w:t>
      </w:r>
      <w:r w:rsidRPr="00634D5F">
        <w:rPr>
          <w:spacing w:val="-15"/>
        </w:rPr>
        <w:t xml:space="preserve"> </w:t>
      </w:r>
      <w:r w:rsidRPr="00634D5F">
        <w:t>Ovaj</w:t>
      </w:r>
      <w:r w:rsidRPr="00634D5F">
        <w:rPr>
          <w:spacing w:val="-15"/>
        </w:rPr>
        <w:t xml:space="preserve"> </w:t>
      </w:r>
      <w:r w:rsidRPr="00634D5F">
        <w:t>instrument predstavlja instrument poticanja inovacija koji utječe na potražnju za inovacijama, dok bespovratne potpore poduzećima utječu na ponudu inovacija.</w:t>
      </w:r>
    </w:p>
    <w:p w14:paraId="2358EF28" w14:textId="55927581" w:rsidR="00747837" w:rsidRPr="00634D5F" w:rsidRDefault="00747837" w:rsidP="005E726C">
      <w:r>
        <w:t xml:space="preserve">Nacionalni plan oporavaka i </w:t>
      </w:r>
      <w:r w:rsidR="002F7659">
        <w:t>otpornosti</w:t>
      </w:r>
      <w:r>
        <w:t xml:space="preserve"> omogućuje </w:t>
      </w:r>
      <w:r w:rsidR="002F7659">
        <w:t>primjenu</w:t>
      </w:r>
      <w:r>
        <w:t xml:space="preserve"> inovativne javne nabave u RH (investicija </w:t>
      </w:r>
      <w:r w:rsidRPr="003F33DA">
        <w:t xml:space="preserve">NPOO-a C2.9. R3 </w:t>
      </w:r>
      <w:r w:rsidRPr="00B439C8">
        <w:rPr>
          <w:b/>
          <w:i/>
        </w:rPr>
        <w:t>Inovativna javna nabava</w:t>
      </w:r>
      <w:r>
        <w:t>). Time</w:t>
      </w:r>
      <w:r w:rsidR="00C04BAB">
        <w:t xml:space="preserve"> će</w:t>
      </w:r>
      <w:r>
        <w:t xml:space="preserve"> se </w:t>
      </w:r>
      <w:r w:rsidR="00C04BAB">
        <w:t>podržati</w:t>
      </w:r>
      <w:r>
        <w:t xml:space="preserve"> provedb</w:t>
      </w:r>
      <w:r w:rsidR="00C04BAB">
        <w:t>a</w:t>
      </w:r>
      <w:r>
        <w:t xml:space="preserve"> nove Strategije </w:t>
      </w:r>
      <w:r w:rsidR="002F7659">
        <w:t>pametne</w:t>
      </w:r>
      <w:r>
        <w:t xml:space="preserve"> specijalizacije</w:t>
      </w:r>
      <w:r w:rsidR="007C494F">
        <w:t xml:space="preserve"> do 2029.</w:t>
      </w:r>
      <w:r>
        <w:t xml:space="preserve"> u području energije i klime</w:t>
      </w:r>
      <w:r w:rsidR="00834FE9" w:rsidRPr="003F40BD">
        <w:rPr>
          <w:rFonts w:cstheme="minorHAnsi"/>
        </w:rPr>
        <w:t xml:space="preserve">, </w:t>
      </w:r>
      <w:r w:rsidR="00834FE9">
        <w:rPr>
          <w:rFonts w:cstheme="minorHAnsi"/>
        </w:rPr>
        <w:t>p</w:t>
      </w:r>
      <w:r w:rsidR="00834FE9" w:rsidRPr="003F40BD">
        <w:rPr>
          <w:rFonts w:cstheme="minorHAnsi"/>
        </w:rPr>
        <w:t>rioritetnih područja pametna i čista energija, pametan i zeleni promet, održiva i kružna hrana i prilagođeni i integrirani proizvodi od drva</w:t>
      </w:r>
      <w:r w:rsidR="00834FE9" w:rsidRPr="003F40BD">
        <w:rPr>
          <w:rStyle w:val="FootnoteReference"/>
          <w:rFonts w:asciiTheme="minorHAnsi" w:hAnsiTheme="minorHAnsi" w:cstheme="minorHAnsi"/>
          <w:sz w:val="24"/>
        </w:rPr>
        <w:footnoteReference w:id="13"/>
      </w:r>
      <w:r>
        <w:t xml:space="preserve"> te povezan</w:t>
      </w:r>
      <w:r w:rsidR="007269DF">
        <w:t>ih</w:t>
      </w:r>
      <w:r>
        <w:t xml:space="preserve"> istraživanja i razvoja. </w:t>
      </w:r>
    </w:p>
    <w:p w14:paraId="7333DC41" w14:textId="77777777" w:rsidR="00747837" w:rsidRPr="00634D5F" w:rsidRDefault="00747837" w:rsidP="005E726C">
      <w:r w:rsidRPr="00634D5F">
        <w:t>Zakonom o poticanju razvoja malog gospodarstva uređuju se osnove za primjenu poticajnih mjera</w:t>
      </w:r>
      <w:r w:rsidRPr="00634D5F">
        <w:rPr>
          <w:spacing w:val="-11"/>
        </w:rPr>
        <w:t xml:space="preserve"> </w:t>
      </w:r>
      <w:r w:rsidRPr="00634D5F">
        <w:t>za</w:t>
      </w:r>
      <w:r w:rsidRPr="00634D5F">
        <w:rPr>
          <w:spacing w:val="-11"/>
        </w:rPr>
        <w:t xml:space="preserve"> </w:t>
      </w:r>
      <w:r w:rsidRPr="00634D5F">
        <w:t>malo</w:t>
      </w:r>
      <w:r w:rsidRPr="00634D5F">
        <w:rPr>
          <w:spacing w:val="-11"/>
        </w:rPr>
        <w:t xml:space="preserve"> </w:t>
      </w:r>
      <w:r w:rsidRPr="00634D5F">
        <w:t>gospodarstvo</w:t>
      </w:r>
      <w:r w:rsidRPr="00634D5F">
        <w:rPr>
          <w:spacing w:val="-9"/>
        </w:rPr>
        <w:t xml:space="preserve"> </w:t>
      </w:r>
      <w:r w:rsidRPr="00634D5F">
        <w:t>koje</w:t>
      </w:r>
      <w:r w:rsidRPr="00634D5F">
        <w:rPr>
          <w:spacing w:val="-11"/>
        </w:rPr>
        <w:t xml:space="preserve"> </w:t>
      </w:r>
      <w:r w:rsidRPr="00634D5F">
        <w:t>obuhvaća</w:t>
      </w:r>
      <w:r w:rsidRPr="00634D5F">
        <w:rPr>
          <w:spacing w:val="-9"/>
        </w:rPr>
        <w:t xml:space="preserve"> </w:t>
      </w:r>
      <w:r w:rsidRPr="00634D5F">
        <w:t>i</w:t>
      </w:r>
      <w:r w:rsidRPr="00634D5F">
        <w:rPr>
          <w:spacing w:val="-12"/>
        </w:rPr>
        <w:t xml:space="preserve"> </w:t>
      </w:r>
      <w:r w:rsidRPr="00634D5F">
        <w:t>davanje</w:t>
      </w:r>
      <w:r w:rsidRPr="00634D5F">
        <w:rPr>
          <w:spacing w:val="-9"/>
        </w:rPr>
        <w:t xml:space="preserve"> </w:t>
      </w:r>
      <w:r w:rsidRPr="00634D5F">
        <w:t>potpora</w:t>
      </w:r>
      <w:r w:rsidRPr="00634D5F">
        <w:rPr>
          <w:spacing w:val="-9"/>
        </w:rPr>
        <w:t xml:space="preserve"> </w:t>
      </w:r>
      <w:r w:rsidRPr="00634D5F">
        <w:t>za</w:t>
      </w:r>
      <w:r w:rsidRPr="00634D5F">
        <w:rPr>
          <w:spacing w:val="-11"/>
        </w:rPr>
        <w:t xml:space="preserve"> </w:t>
      </w:r>
      <w:r w:rsidRPr="00634D5F">
        <w:t>istraživanje,</w:t>
      </w:r>
      <w:r w:rsidRPr="00634D5F">
        <w:rPr>
          <w:spacing w:val="-10"/>
        </w:rPr>
        <w:t xml:space="preserve"> </w:t>
      </w:r>
      <w:r w:rsidRPr="00634D5F">
        <w:t>razvoj</w:t>
      </w:r>
      <w:r w:rsidRPr="00634D5F">
        <w:rPr>
          <w:spacing w:val="-10"/>
        </w:rPr>
        <w:t xml:space="preserve"> </w:t>
      </w:r>
      <w:r w:rsidRPr="00634D5F">
        <w:t>i</w:t>
      </w:r>
      <w:r w:rsidRPr="00634D5F">
        <w:rPr>
          <w:spacing w:val="-10"/>
        </w:rPr>
        <w:t xml:space="preserve"> </w:t>
      </w:r>
      <w:r w:rsidRPr="00634D5F">
        <w:t>primjenu inovacija te uvođenje suvremenih tehnologija.</w:t>
      </w:r>
    </w:p>
    <w:p w14:paraId="2795AD44" w14:textId="70F17177" w:rsidR="00747837" w:rsidRPr="00683F7B" w:rsidRDefault="00747837" w:rsidP="005E726C">
      <w:r w:rsidRPr="00683F7B">
        <w:t>Osim zakona, u prosincu 2022.</w:t>
      </w:r>
      <w:r w:rsidR="00755F8E">
        <w:t xml:space="preserve"> godine</w:t>
      </w:r>
      <w:r w:rsidRPr="00683F7B">
        <w:t xml:space="preserve"> </w:t>
      </w:r>
      <w:r w:rsidR="00F2579E" w:rsidRPr="00B47BDA">
        <w:t>Ministarstvo znanosti</w:t>
      </w:r>
      <w:r w:rsidR="00F2579E">
        <w:t>,</w:t>
      </w:r>
      <w:r w:rsidR="00F2579E" w:rsidRPr="00B47BDA">
        <w:t xml:space="preserve"> obrazovanja</w:t>
      </w:r>
      <w:r w:rsidR="00F2579E">
        <w:t xml:space="preserve"> i mladih</w:t>
      </w:r>
      <w:r w:rsidR="00F2579E" w:rsidRPr="00683F7B">
        <w:t xml:space="preserve"> </w:t>
      </w:r>
      <w:r w:rsidRPr="00683F7B">
        <w:t>je donijelo Nacionalne smjernice za transfer tehnologije i znanja (dalje u tekstu: Smjernice). Smjernice nude preporuke i praktične savjete uredima za transfer tehnologije (UTT-ovima) i upraviteljima u istraživačkim organizacijama za poboljšanje aktivnosti i rezultata transfera tehnologije i znanja. Njihova primjena trebala bi doprinijeti učinkovitom korištenju rezultata javno financiranih istraživanja kroz pravilno upravljanje intelektualnim vlasništvom, kroz povećanu komercijalizaciju, razvoj poduzetničke kulture i povezanih vještina u javnim znanstvenim organizacijama te za uspješniju interakciju između javnog i poslovnog sektora, što je izuzetno važno i za istraživačko-razvojne aktivnosti u područjima povezanima s energijom, klimatskim aktivnostima i sličnim.</w:t>
      </w:r>
    </w:p>
    <w:p w14:paraId="04A85B4A" w14:textId="4165A778" w:rsidR="00785A08" w:rsidRPr="002D179C" w:rsidRDefault="00785A08" w:rsidP="005E726C">
      <w:pPr>
        <w:rPr>
          <w:rFonts w:asciiTheme="minorHAnsi" w:hAnsiTheme="minorHAnsi" w:cstheme="minorHAnsi"/>
        </w:rPr>
      </w:pPr>
      <w:r w:rsidRPr="002D179C">
        <w:rPr>
          <w:rFonts w:asciiTheme="minorHAnsi" w:hAnsiTheme="minorHAnsi" w:cstheme="minorHAnsi"/>
        </w:rPr>
        <w:t>Za provođenje istraživanja i razvoja, uz ljudske resurse, potrebna je učinkovita infrastruktura. U okviru projekta Znanstveno i tehnologijsko predviđanje procijenjen je broj istraživača u području Energija i održivi okoliš Strategije pametne specijalizacije 2016.-2020. na 800 istraživača</w:t>
      </w:r>
      <w:r w:rsidRPr="002D179C">
        <w:rPr>
          <w:rStyle w:val="FootnoteReference"/>
          <w:rFonts w:asciiTheme="minorHAnsi" w:hAnsiTheme="minorHAnsi" w:cstheme="minorHAnsi"/>
          <w:sz w:val="24"/>
        </w:rPr>
        <w:footnoteReference w:id="14"/>
      </w:r>
      <w:r w:rsidRPr="002D179C">
        <w:rPr>
          <w:rFonts w:asciiTheme="minorHAnsi" w:hAnsiTheme="minorHAnsi" w:cstheme="minorHAnsi"/>
        </w:rPr>
        <w:t>.</w:t>
      </w:r>
    </w:p>
    <w:p w14:paraId="49C2E978" w14:textId="4818F922" w:rsidR="00785A08" w:rsidRPr="002D179C" w:rsidRDefault="000B4D38" w:rsidP="005E726C">
      <w:pPr>
        <w:rPr>
          <w:rFonts w:asciiTheme="minorHAnsi" w:hAnsiTheme="minorHAnsi" w:cstheme="minorHAnsi"/>
        </w:rPr>
      </w:pPr>
      <w:r w:rsidRPr="002D179C">
        <w:rPr>
          <w:rFonts w:asciiTheme="minorHAnsi" w:hAnsiTheme="minorHAnsi" w:cstheme="minorHAnsi"/>
        </w:rPr>
        <w:lastRenderedPageBreak/>
        <w:t>Usvojen</w:t>
      </w:r>
      <w:r w:rsidR="00785A08" w:rsidRPr="002D179C">
        <w:rPr>
          <w:rFonts w:asciiTheme="minorHAnsi" w:hAnsiTheme="minorHAnsi" w:cstheme="minorHAnsi"/>
        </w:rPr>
        <w:t xml:space="preserve"> je Plan razvoja istraživačke infrastrukture u Hrvatskoj za razdoblje do 2028.</w:t>
      </w:r>
      <w:r w:rsidR="00785A08" w:rsidRPr="002D179C">
        <w:rPr>
          <w:rStyle w:val="FootnoteReference"/>
          <w:rFonts w:asciiTheme="minorHAnsi" w:hAnsiTheme="minorHAnsi" w:cstheme="minorHAnsi"/>
          <w:sz w:val="24"/>
        </w:rPr>
        <w:footnoteReference w:id="15"/>
      </w:r>
      <w:r w:rsidR="00785A08" w:rsidRPr="002D179C">
        <w:rPr>
          <w:rFonts w:asciiTheme="minorHAnsi" w:hAnsiTheme="minorHAnsi" w:cstheme="minorHAnsi"/>
        </w:rPr>
        <w:t xml:space="preserve"> Plan se nastavlja na dokument iz 2016. godine i daje pregled nacionalne istraživačke infrastrukture, uključujući i sudjelovanje u međunarodnim istraživačkim organizacijama i infrastrukturama, parametre za njezino praćenje i osnovne kriterije za odabir i financiranje budućih istraživanja, infrastrukturnih projekata i članstva.</w:t>
      </w:r>
    </w:p>
    <w:p w14:paraId="5583744A" w14:textId="0FDB2CEA" w:rsidR="00785A08" w:rsidRDefault="00785A08" w:rsidP="005E726C">
      <w:r w:rsidRPr="00634D5F">
        <w:t xml:space="preserve">Institucionalni okvir koji služi kao podrška za provođenje istraživanja, razvoja i inovacija te za omogućavanje potpora i poticaja </w:t>
      </w:r>
      <w:r w:rsidRPr="002A52BC">
        <w:t xml:space="preserve">u ovom području čine </w:t>
      </w:r>
      <w:r w:rsidR="00F2579E" w:rsidRPr="00B47BDA">
        <w:t>Ministarstvo znanosti</w:t>
      </w:r>
      <w:r w:rsidR="00F2579E">
        <w:t>,</w:t>
      </w:r>
      <w:r w:rsidR="00F2579E" w:rsidRPr="00B47BDA">
        <w:t xml:space="preserve"> obrazovanja</w:t>
      </w:r>
      <w:r w:rsidR="00F2579E">
        <w:t xml:space="preserve"> i mladih</w:t>
      </w:r>
      <w:r w:rsidRPr="002A52BC">
        <w:t xml:space="preserve"> i Ministarstvo gospodarstva koji predlažu određene zakonske mjere i poticaje te su nadležni za </w:t>
      </w:r>
      <w:r>
        <w:t xml:space="preserve">kreiranje politika i </w:t>
      </w:r>
      <w:r w:rsidRPr="002A52BC">
        <w:t xml:space="preserve">provođenje </w:t>
      </w:r>
      <w:r>
        <w:t>programa, reformi i mjera definiranih u nacionalnim strateškim dokumentima kao što su Nacionalna razvojna strategija 2030, Nacionalni plan oporavka i otpornosti 20</w:t>
      </w:r>
      <w:r w:rsidR="001256AC">
        <w:t>21</w:t>
      </w:r>
      <w:r>
        <w:t xml:space="preserve">.-2026, </w:t>
      </w:r>
      <w:r w:rsidR="009D4CDF">
        <w:t>s</w:t>
      </w:r>
      <w:r>
        <w:t>trategij</w:t>
      </w:r>
      <w:r w:rsidR="006B5F53">
        <w:t>e</w:t>
      </w:r>
      <w:r>
        <w:t xml:space="preserve"> pametne specijalizacije i slično</w:t>
      </w:r>
      <w:r w:rsidRPr="002A52BC">
        <w:t xml:space="preserve">. </w:t>
      </w:r>
      <w:r>
        <w:t>Navedeno uključuje financiranje iz državnog proračuna te sredstava Europske unije (npr. Europski strukturni i investicijski fondovi, Mehanizam za oporavak i otpornost)</w:t>
      </w:r>
      <w:r w:rsidRPr="002A52BC">
        <w:t xml:space="preserve">. </w:t>
      </w:r>
      <w:r w:rsidR="00032491">
        <w:t>Vlada</w:t>
      </w:r>
      <w:r>
        <w:t xml:space="preserve"> </w:t>
      </w:r>
      <w:r w:rsidRPr="00634D5F">
        <w:t xml:space="preserve">financijskim sredstvima </w:t>
      </w:r>
      <w:r w:rsidR="008A0265">
        <w:t xml:space="preserve">iz </w:t>
      </w:r>
      <w:r w:rsidR="008A0265" w:rsidRPr="002F1EEF">
        <w:t>prihod</w:t>
      </w:r>
      <w:r w:rsidR="00230305">
        <w:t>a</w:t>
      </w:r>
      <w:r w:rsidR="008A0265" w:rsidRPr="002F1EEF">
        <w:t xml:space="preserve"> od prodaje emisijskih jedinica iz EU ETS-a</w:t>
      </w:r>
      <w:r w:rsidR="008A0265" w:rsidRPr="00634D5F" w:rsidDel="008A0265">
        <w:t xml:space="preserve"> </w:t>
      </w:r>
      <w:r>
        <w:t>i putem Fonda za zaštitu okoliša i energetsku učinkovitost</w:t>
      </w:r>
      <w:r w:rsidRPr="00634D5F">
        <w:rPr>
          <w:spacing w:val="-13"/>
        </w:rPr>
        <w:t xml:space="preserve"> </w:t>
      </w:r>
      <w:r w:rsidRPr="00634D5F">
        <w:t>podupire</w:t>
      </w:r>
      <w:r w:rsidRPr="00634D5F">
        <w:rPr>
          <w:spacing w:val="-11"/>
        </w:rPr>
        <w:t xml:space="preserve"> </w:t>
      </w:r>
      <w:r w:rsidRPr="00634D5F">
        <w:t>istraživanja</w:t>
      </w:r>
      <w:r w:rsidRPr="00634D5F">
        <w:rPr>
          <w:spacing w:val="-14"/>
        </w:rPr>
        <w:t xml:space="preserve"> </w:t>
      </w:r>
      <w:r w:rsidRPr="00634D5F">
        <w:t>i</w:t>
      </w:r>
      <w:r w:rsidRPr="00634D5F">
        <w:rPr>
          <w:spacing w:val="-14"/>
        </w:rPr>
        <w:t xml:space="preserve"> </w:t>
      </w:r>
      <w:r w:rsidRPr="00634D5F">
        <w:t>razvoj</w:t>
      </w:r>
      <w:r w:rsidRPr="00634D5F">
        <w:rPr>
          <w:spacing w:val="-12"/>
        </w:rPr>
        <w:t xml:space="preserve"> </w:t>
      </w:r>
      <w:r w:rsidRPr="00634D5F">
        <w:t>u</w:t>
      </w:r>
      <w:r w:rsidRPr="00634D5F">
        <w:rPr>
          <w:spacing w:val="-14"/>
        </w:rPr>
        <w:t xml:space="preserve"> </w:t>
      </w:r>
      <w:r w:rsidRPr="00634D5F">
        <w:t>području</w:t>
      </w:r>
      <w:r w:rsidRPr="00634D5F">
        <w:rPr>
          <w:spacing w:val="-14"/>
        </w:rPr>
        <w:t xml:space="preserve"> </w:t>
      </w:r>
      <w:r w:rsidRPr="00634D5F">
        <w:t>ublaž</w:t>
      </w:r>
      <w:r>
        <w:t>ava</w:t>
      </w:r>
      <w:r w:rsidRPr="00634D5F">
        <w:t>nja</w:t>
      </w:r>
      <w:r>
        <w:t xml:space="preserve"> klimatskih promjena</w:t>
      </w:r>
      <w:r w:rsidRPr="00634D5F">
        <w:t xml:space="preserve"> i prilagodb</w:t>
      </w:r>
      <w:r>
        <w:t xml:space="preserve">i na </w:t>
      </w:r>
      <w:r w:rsidRPr="00634D5F">
        <w:t>klimatsk</w:t>
      </w:r>
      <w:r>
        <w:t>e</w:t>
      </w:r>
      <w:r w:rsidRPr="00634D5F">
        <w:t xml:space="preserve"> promjen</w:t>
      </w:r>
      <w:r>
        <w:t>e</w:t>
      </w:r>
      <w:r w:rsidRPr="00634D5F">
        <w:t xml:space="preserve">. </w:t>
      </w:r>
    </w:p>
    <w:p w14:paraId="2F11109A" w14:textId="14FD7FA8" w:rsidR="00785A08" w:rsidRDefault="00785A08" w:rsidP="005E726C">
      <w:r w:rsidRPr="002A52BC">
        <w:t>Hrvatska</w:t>
      </w:r>
      <w:r w:rsidRPr="002A52BC">
        <w:rPr>
          <w:spacing w:val="34"/>
        </w:rPr>
        <w:t xml:space="preserve"> </w:t>
      </w:r>
      <w:r w:rsidRPr="002A52BC">
        <w:t>zaklada</w:t>
      </w:r>
      <w:r w:rsidRPr="002A52BC">
        <w:rPr>
          <w:spacing w:val="34"/>
        </w:rPr>
        <w:t xml:space="preserve"> </w:t>
      </w:r>
      <w:r w:rsidRPr="002A52BC">
        <w:t>za</w:t>
      </w:r>
      <w:r w:rsidRPr="002A52BC">
        <w:rPr>
          <w:spacing w:val="34"/>
        </w:rPr>
        <w:t xml:space="preserve"> </w:t>
      </w:r>
      <w:r w:rsidRPr="002A52BC">
        <w:t>znanost pruža potporu znanstvenim</w:t>
      </w:r>
      <w:r w:rsidR="000463D7">
        <w:t xml:space="preserve"> programima</w:t>
      </w:r>
      <w:r w:rsidR="00846842">
        <w:t>, studijskim programima</w:t>
      </w:r>
      <w:r w:rsidRPr="002A52BC">
        <w:rPr>
          <w:spacing w:val="35"/>
        </w:rPr>
        <w:t xml:space="preserve"> </w:t>
      </w:r>
      <w:r w:rsidRPr="002A52BC">
        <w:t>i</w:t>
      </w:r>
      <w:r w:rsidRPr="002A52BC">
        <w:rPr>
          <w:spacing w:val="34"/>
        </w:rPr>
        <w:t xml:space="preserve"> </w:t>
      </w:r>
      <w:r w:rsidRPr="002A52BC">
        <w:t>tehnologijskim</w:t>
      </w:r>
      <w:r w:rsidRPr="00634D5F">
        <w:rPr>
          <w:spacing w:val="38"/>
        </w:rPr>
        <w:t xml:space="preserve"> </w:t>
      </w:r>
      <w:r w:rsidR="002F7659" w:rsidRPr="00634D5F">
        <w:t>program</w:t>
      </w:r>
      <w:r w:rsidR="00476A62">
        <w:t>im</w:t>
      </w:r>
      <w:r w:rsidR="002F7659" w:rsidRPr="00634D5F">
        <w:t>a</w:t>
      </w:r>
      <w:r w:rsidRPr="00634D5F">
        <w:rPr>
          <w:spacing w:val="32"/>
        </w:rPr>
        <w:t xml:space="preserve"> </w:t>
      </w:r>
      <w:r w:rsidRPr="00634D5F">
        <w:t>u</w:t>
      </w:r>
      <w:r w:rsidRPr="00634D5F">
        <w:rPr>
          <w:spacing w:val="34"/>
        </w:rPr>
        <w:t xml:space="preserve"> </w:t>
      </w:r>
      <w:r w:rsidRPr="00634D5F">
        <w:t>svrhu</w:t>
      </w:r>
      <w:r w:rsidRPr="00634D5F">
        <w:rPr>
          <w:spacing w:val="34"/>
        </w:rPr>
        <w:t xml:space="preserve"> </w:t>
      </w:r>
      <w:r w:rsidRPr="00634D5F">
        <w:t>razvoja</w:t>
      </w:r>
      <w:r>
        <w:t xml:space="preserve"> z</w:t>
      </w:r>
      <w:r w:rsidRPr="00634D5F">
        <w:t>nanosti, visokog obrazovanja i tehnologijskog razvoja u RH s krajnjim ciljem osiguravanja društvenog i gospodarskog razvoja</w:t>
      </w:r>
      <w:r>
        <w:t>.</w:t>
      </w:r>
      <w:r w:rsidRPr="00B55881">
        <w:t xml:space="preserve"> </w:t>
      </w:r>
      <w:r>
        <w:t>Zakon o Hrvatskoj zakladi za znanost (</w:t>
      </w:r>
      <w:r w:rsidR="004975F6">
        <w:t>„</w:t>
      </w:r>
      <w:r w:rsidR="00071A4F" w:rsidRPr="00071A4F">
        <w:t xml:space="preserve">Narodne </w:t>
      </w:r>
      <w:r w:rsidR="00A97AE7">
        <w:t>novine</w:t>
      </w:r>
      <w:r w:rsidR="004975F6">
        <w:t>“</w:t>
      </w:r>
      <w:r w:rsidR="00071A4F" w:rsidRPr="00071A4F">
        <w:t xml:space="preserve">, </w:t>
      </w:r>
      <w:r w:rsidR="00004BB0">
        <w:t>br</w:t>
      </w:r>
      <w:r w:rsidR="004975F6">
        <w:t>.</w:t>
      </w:r>
      <w:r w:rsidR="000D78E7">
        <w:t xml:space="preserve"> </w:t>
      </w:r>
      <w:r w:rsidRPr="002A23DF">
        <w:t>57</w:t>
      </w:r>
      <w:r w:rsidR="005B41DA">
        <w:t>/22</w:t>
      </w:r>
      <w:r w:rsidR="004975F6">
        <w:t>.</w:t>
      </w:r>
      <w:r>
        <w:t xml:space="preserve">), usvojen 2022. </w:t>
      </w:r>
      <w:r w:rsidR="001256AC">
        <w:t xml:space="preserve">godine </w:t>
      </w:r>
      <w:r>
        <w:t xml:space="preserve">stvara preduvjete za jačanje kapaciteta Zaklade i jasnije </w:t>
      </w:r>
      <w:r w:rsidRPr="002A23DF">
        <w:t>definira</w:t>
      </w:r>
      <w:r>
        <w:t xml:space="preserve">nje njezinih zadaće </w:t>
      </w:r>
      <w:r w:rsidRPr="002A23DF">
        <w:t>u području provedb</w:t>
      </w:r>
      <w:r>
        <w:t xml:space="preserve">e, koordinacije, izrade, praćenja i vrednovanja programa istraživačko-razvojnih projekata, stvarajući tako </w:t>
      </w:r>
      <w:r w:rsidRPr="002A23DF">
        <w:t>snaža</w:t>
      </w:r>
      <w:r>
        <w:t>n i neovisan sustav za odabir</w:t>
      </w:r>
      <w:r w:rsidRPr="002A23DF">
        <w:t xml:space="preserve">, financiranje i </w:t>
      </w:r>
      <w:r>
        <w:t>praćenje projekata istraživanja i razvoja</w:t>
      </w:r>
      <w:r w:rsidRPr="002A23DF">
        <w:t>.</w:t>
      </w:r>
      <w:r>
        <w:t xml:space="preserve"> </w:t>
      </w:r>
    </w:p>
    <w:p w14:paraId="3CB6B5FE" w14:textId="77777777" w:rsidR="00785A08" w:rsidRDefault="00785A08" w:rsidP="005E726C">
      <w:r w:rsidRPr="00634D5F">
        <w:t>Agencij</w:t>
      </w:r>
      <w:r>
        <w:t>a</w:t>
      </w:r>
      <w:r w:rsidRPr="00634D5F">
        <w:t xml:space="preserve"> za mobilnost i programe EU (AMPEU) </w:t>
      </w:r>
      <w:r w:rsidRPr="002A23DF">
        <w:t>promovira i provodi decentralizirane aktivnosti programa Europske unije i druge međunarodne programe u području obrazovanja i osposobljavanja, mladi</w:t>
      </w:r>
      <w:r>
        <w:t xml:space="preserve">h, znanosti i sporta; Erasmus+ te </w:t>
      </w:r>
      <w:r w:rsidRPr="002A23DF">
        <w:t>Eur</w:t>
      </w:r>
      <w:r>
        <w:t>opske snage solidarnosti (ESS) te podupire</w:t>
      </w:r>
      <w:r w:rsidRPr="002A23DF">
        <w:t xml:space="preserve"> provedbu okvirnog EU programa za istraživanje i inovacije Obzor Europa.</w:t>
      </w:r>
    </w:p>
    <w:p w14:paraId="4870A724" w14:textId="46FDAE33" w:rsidR="00785A08" w:rsidRPr="00634D5F" w:rsidRDefault="034E89A3" w:rsidP="005E726C">
      <w:r w:rsidRPr="00F95FAE">
        <w:t>Hrvatska agencija za malo gospodarstvo, inovacije i investicije (HAMAG-BICRO) pruža podršku poduzetnicima u svim razvojnim fazama poslovanja poduzetnika</w:t>
      </w:r>
      <w:r w:rsidRPr="00F95FAE">
        <w:rPr>
          <w:spacing w:val="-2"/>
        </w:rPr>
        <w:t xml:space="preserve"> </w:t>
      </w:r>
      <w:r w:rsidRPr="00F95FAE">
        <w:t>–</w:t>
      </w:r>
      <w:r w:rsidRPr="00F95FAE">
        <w:rPr>
          <w:spacing w:val="-2"/>
        </w:rPr>
        <w:t xml:space="preserve"> </w:t>
      </w:r>
      <w:r w:rsidRPr="00F95FAE">
        <w:t>od</w:t>
      </w:r>
      <w:r w:rsidRPr="00F95FAE">
        <w:rPr>
          <w:spacing w:val="-2"/>
        </w:rPr>
        <w:t xml:space="preserve"> </w:t>
      </w:r>
      <w:r w:rsidRPr="00F95FAE">
        <w:t>istraživanja</w:t>
      </w:r>
      <w:r w:rsidRPr="00F95FAE">
        <w:rPr>
          <w:spacing w:val="-2"/>
        </w:rPr>
        <w:t xml:space="preserve"> </w:t>
      </w:r>
      <w:r w:rsidRPr="00F95FAE">
        <w:t>i</w:t>
      </w:r>
      <w:r w:rsidRPr="00F95FAE">
        <w:rPr>
          <w:spacing w:val="-2"/>
        </w:rPr>
        <w:t xml:space="preserve"> </w:t>
      </w:r>
      <w:r w:rsidRPr="00F95FAE">
        <w:t>razvoja</w:t>
      </w:r>
      <w:r w:rsidRPr="00F95FAE">
        <w:rPr>
          <w:spacing w:val="-3"/>
        </w:rPr>
        <w:t xml:space="preserve"> </w:t>
      </w:r>
      <w:r w:rsidRPr="00F95FAE">
        <w:t>ideje</w:t>
      </w:r>
      <w:r w:rsidRPr="00F95FAE">
        <w:rPr>
          <w:spacing w:val="-2"/>
        </w:rPr>
        <w:t xml:space="preserve"> </w:t>
      </w:r>
      <w:r w:rsidRPr="00F95FAE">
        <w:t>pa</w:t>
      </w:r>
      <w:r w:rsidRPr="00F95FAE">
        <w:rPr>
          <w:spacing w:val="-3"/>
        </w:rPr>
        <w:t xml:space="preserve"> </w:t>
      </w:r>
      <w:r w:rsidRPr="00F95FAE">
        <w:t>sve</w:t>
      </w:r>
      <w:r w:rsidRPr="00F95FAE">
        <w:rPr>
          <w:spacing w:val="-2"/>
        </w:rPr>
        <w:t xml:space="preserve"> </w:t>
      </w:r>
      <w:r w:rsidRPr="00F95FAE">
        <w:t>do</w:t>
      </w:r>
      <w:r w:rsidRPr="00F95FAE">
        <w:rPr>
          <w:spacing w:val="-2"/>
        </w:rPr>
        <w:t xml:space="preserve"> </w:t>
      </w:r>
      <w:r w:rsidRPr="00F95FAE">
        <w:t>komercijalizacije</w:t>
      </w:r>
      <w:r w:rsidRPr="00F95FAE">
        <w:rPr>
          <w:spacing w:val="-2"/>
        </w:rPr>
        <w:t xml:space="preserve"> </w:t>
      </w:r>
      <w:r w:rsidRPr="00F95FAE">
        <w:t>i</w:t>
      </w:r>
      <w:r w:rsidRPr="00F95FAE">
        <w:rPr>
          <w:spacing w:val="-2"/>
        </w:rPr>
        <w:t xml:space="preserve"> </w:t>
      </w:r>
      <w:r w:rsidRPr="00F95FAE">
        <w:t>plasmana</w:t>
      </w:r>
      <w:r w:rsidRPr="00F95FAE">
        <w:rPr>
          <w:spacing w:val="-2"/>
        </w:rPr>
        <w:t xml:space="preserve"> </w:t>
      </w:r>
      <w:r w:rsidRPr="00F95FAE">
        <w:t>na</w:t>
      </w:r>
      <w:r w:rsidRPr="00F95FAE">
        <w:rPr>
          <w:spacing w:val="-3"/>
        </w:rPr>
        <w:t xml:space="preserve"> </w:t>
      </w:r>
      <w:r w:rsidRPr="00F95FAE">
        <w:t>tržište. Dodatnu podršku istraživanju, razvoju i inovacijama pružaju Hrvatska gospodarska komora,</w:t>
      </w:r>
      <w:r w:rsidR="00C30AE2">
        <w:t xml:space="preserve"> </w:t>
      </w:r>
      <w:r>
        <w:t>kao i s</w:t>
      </w:r>
      <w:r w:rsidRPr="0054242B">
        <w:t xml:space="preserve">trukovne komore, obrtnička komora te poduzetničke potporne institucije i </w:t>
      </w:r>
      <w:r w:rsidR="00E41748">
        <w:t xml:space="preserve">digitalni </w:t>
      </w:r>
      <w:r w:rsidRPr="0054242B">
        <w:t>inovacijski centri</w:t>
      </w:r>
      <w:r w:rsidR="00E41748">
        <w:t xml:space="preserve"> (E/DIH)</w:t>
      </w:r>
      <w:r>
        <w:t xml:space="preserve">. </w:t>
      </w:r>
    </w:p>
    <w:p w14:paraId="53054425" w14:textId="77777777" w:rsidR="00BF01A9" w:rsidRPr="00B47BDA" w:rsidRDefault="00BF01A9" w:rsidP="00601BC4">
      <w:pPr>
        <w:pStyle w:val="Heading4"/>
        <w:numPr>
          <w:ilvl w:val="3"/>
          <w:numId w:val="175"/>
        </w:numPr>
        <w:ind w:hanging="580"/>
      </w:pPr>
      <w:bookmarkStart w:id="120" w:name="_Toc531801487"/>
      <w:bookmarkStart w:id="121" w:name="_Toc531801616"/>
      <w:bookmarkStart w:id="122" w:name="_Toc531801742"/>
      <w:bookmarkStart w:id="123" w:name="_Toc531801870"/>
      <w:bookmarkStart w:id="124" w:name="_Toc531801488"/>
      <w:bookmarkStart w:id="125" w:name="_Toc531801617"/>
      <w:bookmarkStart w:id="126" w:name="_Toc531801743"/>
      <w:bookmarkStart w:id="127" w:name="_Toc531801871"/>
      <w:bookmarkStart w:id="128" w:name="_Toc531801489"/>
      <w:bookmarkStart w:id="129" w:name="_Toc531801618"/>
      <w:bookmarkStart w:id="130" w:name="_Toc531801744"/>
      <w:bookmarkStart w:id="131" w:name="_Toc531801872"/>
      <w:bookmarkStart w:id="132" w:name="_Toc531801507"/>
      <w:bookmarkStart w:id="133" w:name="_Toc531801636"/>
      <w:bookmarkStart w:id="134" w:name="_Toc531801762"/>
      <w:bookmarkStart w:id="135" w:name="_Toc531801890"/>
      <w:bookmarkStart w:id="136" w:name="_Toc531934950"/>
      <w:bookmarkStart w:id="137" w:name="_Toc531945076"/>
      <w:bookmarkStart w:id="138" w:name="_Toc6302332"/>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B47BDA">
        <w:t>Ključna pitanja od prekogranične važnosti</w:t>
      </w:r>
    </w:p>
    <w:bookmarkEnd w:id="136"/>
    <w:bookmarkEnd w:id="137"/>
    <w:bookmarkEnd w:id="138"/>
    <w:p w14:paraId="2922E475" w14:textId="3625B813" w:rsidR="00C41478" w:rsidRPr="00B47BDA" w:rsidRDefault="00496D81" w:rsidP="005E726C">
      <w:r w:rsidRPr="00B47BDA">
        <w:t xml:space="preserve">Ključna pitanja od prekogranične važnosti su </w:t>
      </w:r>
      <w:r w:rsidR="00DE6636" w:rsidRPr="00B47BDA">
        <w:t xml:space="preserve">integracija energetskih tržišta, </w:t>
      </w:r>
      <w:r w:rsidR="001144DC" w:rsidRPr="00B47BDA">
        <w:t>veliki infrastrukturni projekti</w:t>
      </w:r>
      <w:r w:rsidR="000C6F83" w:rsidRPr="00B47BDA">
        <w:t xml:space="preserve"> koji se nalaze u blizini državne granice </w:t>
      </w:r>
      <w:r w:rsidR="00BD75BE" w:rsidRPr="00B47BDA">
        <w:t>i</w:t>
      </w:r>
      <w:r w:rsidR="000C6F83" w:rsidRPr="00B47BDA">
        <w:t xml:space="preserve"> </w:t>
      </w:r>
      <w:r w:rsidR="00BD75BE" w:rsidRPr="00B47BDA">
        <w:t xml:space="preserve">prekogranični infrastrukturni projekti, međunarodna znanstveno-istraživačka suradnja </w:t>
      </w:r>
      <w:r w:rsidR="00BB4EA7" w:rsidRPr="00B47BDA">
        <w:t>povezana s dimenzijama e</w:t>
      </w:r>
      <w:r w:rsidR="004865EE" w:rsidRPr="00B47BDA">
        <w:t>nergetske unije te ostale aktivnosti koje mogu utjecati na druge države članice EU.</w:t>
      </w:r>
    </w:p>
    <w:p w14:paraId="673029F2" w14:textId="241E1099" w:rsidR="00FF0CF3" w:rsidRPr="00B47BDA" w:rsidRDefault="00FF0CF3" w:rsidP="00601BC4">
      <w:pPr>
        <w:pStyle w:val="Heading4"/>
        <w:numPr>
          <w:ilvl w:val="3"/>
          <w:numId w:val="175"/>
        </w:numPr>
        <w:ind w:hanging="580"/>
      </w:pPr>
      <w:bookmarkStart w:id="139" w:name="_Toc531801509"/>
      <w:bookmarkStart w:id="140" w:name="_Toc531801638"/>
      <w:bookmarkStart w:id="141" w:name="_Toc531801764"/>
      <w:bookmarkStart w:id="142" w:name="_Toc531801892"/>
      <w:bookmarkStart w:id="143" w:name="_Toc531801510"/>
      <w:bookmarkStart w:id="144" w:name="_Toc531801639"/>
      <w:bookmarkStart w:id="145" w:name="_Toc531801765"/>
      <w:bookmarkStart w:id="146" w:name="_Toc531801893"/>
      <w:bookmarkStart w:id="147" w:name="_Toc531801511"/>
      <w:bookmarkStart w:id="148" w:name="_Toc531801640"/>
      <w:bookmarkStart w:id="149" w:name="_Toc531801766"/>
      <w:bookmarkStart w:id="150" w:name="_Toc531801894"/>
      <w:bookmarkStart w:id="151" w:name="_Toc531801512"/>
      <w:bookmarkStart w:id="152" w:name="_Toc531801641"/>
      <w:bookmarkStart w:id="153" w:name="_Toc531801767"/>
      <w:bookmarkStart w:id="154" w:name="_Toc531801895"/>
      <w:bookmarkStart w:id="155" w:name="_Toc531801513"/>
      <w:bookmarkStart w:id="156" w:name="_Toc531801642"/>
      <w:bookmarkStart w:id="157" w:name="_Toc531801768"/>
      <w:bookmarkStart w:id="158" w:name="_Toc531801896"/>
      <w:bookmarkStart w:id="159" w:name="_Toc531801514"/>
      <w:bookmarkStart w:id="160" w:name="_Toc531801643"/>
      <w:bookmarkStart w:id="161" w:name="_Toc531801769"/>
      <w:bookmarkStart w:id="162" w:name="_Toc531801897"/>
      <w:bookmarkStart w:id="163" w:name="_Toc531801515"/>
      <w:bookmarkStart w:id="164" w:name="_Toc531801644"/>
      <w:bookmarkStart w:id="165" w:name="_Toc531801770"/>
      <w:bookmarkStart w:id="166" w:name="_Toc531801898"/>
      <w:bookmarkStart w:id="167" w:name="_Toc531801516"/>
      <w:bookmarkStart w:id="168" w:name="_Toc531801645"/>
      <w:bookmarkStart w:id="169" w:name="_Toc531801771"/>
      <w:bookmarkStart w:id="170" w:name="_Toc531801899"/>
      <w:bookmarkStart w:id="171" w:name="_Toc531801517"/>
      <w:bookmarkStart w:id="172" w:name="_Toc531801646"/>
      <w:bookmarkStart w:id="173" w:name="_Toc531801772"/>
      <w:bookmarkStart w:id="174" w:name="_Toc531801900"/>
      <w:bookmarkStart w:id="175" w:name="_Toc531801518"/>
      <w:bookmarkStart w:id="176" w:name="_Toc531801647"/>
      <w:bookmarkStart w:id="177" w:name="_Toc531801773"/>
      <w:bookmarkStart w:id="178" w:name="_Toc531801901"/>
      <w:bookmarkStart w:id="179" w:name="_Toc531801519"/>
      <w:bookmarkStart w:id="180" w:name="_Toc531801648"/>
      <w:bookmarkStart w:id="181" w:name="_Toc531801774"/>
      <w:bookmarkStart w:id="182" w:name="_Toc531801902"/>
      <w:bookmarkStart w:id="183" w:name="_Toc531801520"/>
      <w:bookmarkStart w:id="184" w:name="_Toc531801649"/>
      <w:bookmarkStart w:id="185" w:name="_Toc531801775"/>
      <w:bookmarkStart w:id="186" w:name="_Toc531801903"/>
      <w:bookmarkStart w:id="187" w:name="_Toc531934951"/>
      <w:bookmarkStart w:id="188" w:name="_Toc531945077"/>
      <w:bookmarkStart w:id="189" w:name="_Toc6302333"/>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B47BDA">
        <w:lastRenderedPageBreak/>
        <w:t>Administrativne strukture za provedbu nacionalnih energetskih i klimatskih politika</w:t>
      </w:r>
      <w:bookmarkEnd w:id="187"/>
      <w:bookmarkEnd w:id="188"/>
      <w:bookmarkEnd w:id="189"/>
    </w:p>
    <w:p w14:paraId="3368F596" w14:textId="33D6D3D4" w:rsidR="002E4E93" w:rsidRPr="00B47BDA" w:rsidRDefault="002E4E93" w:rsidP="002E4E93">
      <w:pPr>
        <w:rPr>
          <w:highlight w:val="yellow"/>
        </w:rPr>
      </w:pPr>
      <w:r w:rsidRPr="00B47BDA">
        <w:t xml:space="preserve">Krovna institucija za </w:t>
      </w:r>
      <w:r>
        <w:t xml:space="preserve">izradu i praćenje </w:t>
      </w:r>
      <w:r w:rsidRPr="00B47BDA">
        <w:t>provedb</w:t>
      </w:r>
      <w:r>
        <w:t>e</w:t>
      </w:r>
      <w:r w:rsidRPr="00B47BDA">
        <w:t xml:space="preserve"> nacionalnih energetskih i klimatskih politika</w:t>
      </w:r>
      <w:r>
        <w:t xml:space="preserve"> kao i koordinaciju nacionalnog izvješćivanja prema Europskoj komisiji</w:t>
      </w:r>
      <w:r w:rsidRPr="00B47BDA">
        <w:t xml:space="preserve"> je Ministarstvo gospodarstva (MINGO)</w:t>
      </w:r>
      <w:r>
        <w:t xml:space="preserve"> u suradnji s Ministarstvom z</w:t>
      </w:r>
      <w:r w:rsidRPr="0046100B">
        <w:t>aštite okoliša i zelene tranzicije</w:t>
      </w:r>
      <w:r>
        <w:t xml:space="preserve"> (MZOZT).</w:t>
      </w:r>
    </w:p>
    <w:p w14:paraId="65D4CA93" w14:textId="1030BD3A" w:rsidR="00C93A5A" w:rsidRPr="00B47BDA" w:rsidRDefault="002C49DB" w:rsidP="005E726C">
      <w:r w:rsidRPr="00B47BDA">
        <w:t>P</w:t>
      </w:r>
      <w:r w:rsidR="005A1BA8" w:rsidRPr="00B47BDA">
        <w:t>riprem</w:t>
      </w:r>
      <w:r w:rsidRPr="00B47BDA">
        <w:t>a</w:t>
      </w:r>
      <w:r w:rsidR="005A1BA8" w:rsidRPr="00B47BDA">
        <w:t xml:space="preserve"> i upravljanje inventarom </w:t>
      </w:r>
      <w:r w:rsidR="21336C2D">
        <w:t xml:space="preserve">emisija </w:t>
      </w:r>
      <w:r w:rsidR="005A1BA8" w:rsidRPr="00B47BDA">
        <w:t>stakleničkih plinova u Hrvatskoj</w:t>
      </w:r>
      <w:r w:rsidRPr="00B47BDA">
        <w:t xml:space="preserve"> u nadležnosti je </w:t>
      </w:r>
      <w:r w:rsidR="0017358C" w:rsidRPr="0046100B">
        <w:t>Ministarstv</w:t>
      </w:r>
      <w:r w:rsidR="0017358C">
        <w:t>a</w:t>
      </w:r>
      <w:r w:rsidR="0017358C" w:rsidRPr="0046100B">
        <w:t xml:space="preserve"> zaštite okoliša i zelene tranzicije</w:t>
      </w:r>
      <w:r w:rsidR="00224E33" w:rsidRPr="00B47BDA">
        <w:t>, nacionalne kontakt točk</w:t>
      </w:r>
      <w:r w:rsidR="000A5B3E" w:rsidRPr="00B47BDA">
        <w:t>e</w:t>
      </w:r>
      <w:r w:rsidR="00224E33" w:rsidRPr="00B47BDA">
        <w:t xml:space="preserve"> pr</w:t>
      </w:r>
      <w:r w:rsidR="00C65827" w:rsidRPr="00B47BDA">
        <w:t>e</w:t>
      </w:r>
      <w:r w:rsidR="00224E33" w:rsidRPr="00B47BDA">
        <w:t>m</w:t>
      </w:r>
      <w:r w:rsidR="00C65827" w:rsidRPr="00B47BDA">
        <w:t>a</w:t>
      </w:r>
      <w:r w:rsidR="00224E33" w:rsidRPr="00B47BDA">
        <w:t xml:space="preserve"> UNFCCC</w:t>
      </w:r>
      <w:r w:rsidR="0C75EF03">
        <w:t>-u</w:t>
      </w:r>
      <w:r w:rsidR="00224E33" w:rsidRPr="00B47BDA">
        <w:t>.</w:t>
      </w:r>
      <w:r w:rsidR="00C93A5A" w:rsidRPr="00B47BDA">
        <w:t xml:space="preserve"> Zavod za zaštitu okoliša i prirode</w:t>
      </w:r>
      <w:r w:rsidR="000A5B3E" w:rsidRPr="00B47BDA">
        <w:t xml:space="preserve">, u okviru </w:t>
      </w:r>
      <w:r w:rsidR="004D07A5" w:rsidRPr="0046100B">
        <w:t>Ministarstv</w:t>
      </w:r>
      <w:r w:rsidR="004D07A5">
        <w:t>a</w:t>
      </w:r>
      <w:r w:rsidR="004D07A5" w:rsidRPr="0046100B">
        <w:t xml:space="preserve"> zaštite okoliša i zelene tranzicije</w:t>
      </w:r>
      <w:r w:rsidR="000A5B3E" w:rsidRPr="00B47BDA">
        <w:t>,</w:t>
      </w:r>
      <w:r w:rsidR="00C93A5A" w:rsidRPr="00B47BDA">
        <w:t xml:space="preserve"> odgovoran </w:t>
      </w:r>
      <w:r w:rsidR="00EC3B94">
        <w:t xml:space="preserve">je </w:t>
      </w:r>
      <w:r w:rsidR="00C93A5A" w:rsidRPr="00B47BDA">
        <w:t xml:space="preserve">za organizaciju pripreme inventara </w:t>
      </w:r>
      <w:r w:rsidR="464864D5">
        <w:t xml:space="preserve">emisija </w:t>
      </w:r>
      <w:r w:rsidR="00C93A5A" w:rsidRPr="00B47BDA">
        <w:t>stakleničkih plinova,</w:t>
      </w:r>
      <w:r w:rsidR="00DF4EE4">
        <w:t xml:space="preserve"> </w:t>
      </w:r>
      <w:r w:rsidR="00C93A5A" w:rsidRPr="00B47BDA">
        <w:t>prikupljanje</w:t>
      </w:r>
      <w:r w:rsidR="00DF4EE4">
        <w:t xml:space="preserve"> </w:t>
      </w:r>
      <w:r w:rsidR="00795D57">
        <w:t>p</w:t>
      </w:r>
      <w:r w:rsidR="00C93A5A" w:rsidRPr="00B47BDA">
        <w:t>odataka o aktivnostima, izradu plana osiguranja i kontrole kvalitete (QA/QC plan), provedbu postupaka osiguranja kvalitete inventara,</w:t>
      </w:r>
      <w:r w:rsidR="000A5B3E" w:rsidRPr="00B47BDA">
        <w:t xml:space="preserve"> </w:t>
      </w:r>
      <w:r w:rsidR="00C93A5A" w:rsidRPr="00B47BDA">
        <w:t>arhiviranje podataka</w:t>
      </w:r>
      <w:r w:rsidR="007D4437" w:rsidRPr="00B47BDA">
        <w:t xml:space="preserve">, </w:t>
      </w:r>
      <w:r w:rsidR="00C93A5A" w:rsidRPr="00B47BDA">
        <w:t>vođenje evidencije</w:t>
      </w:r>
      <w:r w:rsidR="007D4437" w:rsidRPr="00B47BDA">
        <w:t xml:space="preserve">, </w:t>
      </w:r>
      <w:r w:rsidR="00C93A5A" w:rsidRPr="00B47BDA">
        <w:t xml:space="preserve">odabir </w:t>
      </w:r>
      <w:r w:rsidR="007D4437" w:rsidRPr="00B47BDA">
        <w:t>o</w:t>
      </w:r>
      <w:r w:rsidR="00C93A5A" w:rsidRPr="00B47BDA">
        <w:t>vlaštenik</w:t>
      </w:r>
      <w:r w:rsidR="007D4437" w:rsidRPr="00B47BDA">
        <w:t>a</w:t>
      </w:r>
      <w:r w:rsidR="00C93A5A" w:rsidRPr="00B47BDA">
        <w:t xml:space="preserve"> za pripremu inventara stakleničkih plinova</w:t>
      </w:r>
      <w:r w:rsidR="007D4437" w:rsidRPr="00B47BDA">
        <w:t xml:space="preserve"> te </w:t>
      </w:r>
      <w:r w:rsidR="00C93A5A" w:rsidRPr="00B47BDA">
        <w:t>osigura</w:t>
      </w:r>
      <w:r w:rsidR="007D4437" w:rsidRPr="00B47BDA">
        <w:t>nje</w:t>
      </w:r>
      <w:r w:rsidR="00C93A5A" w:rsidRPr="00B47BDA">
        <w:t xml:space="preserve"> uvid</w:t>
      </w:r>
      <w:r w:rsidR="007D4437" w:rsidRPr="00B47BDA">
        <w:t>a</w:t>
      </w:r>
      <w:r w:rsidR="00C93A5A" w:rsidRPr="00B47BDA">
        <w:t xml:space="preserve"> u podatke i dokumente u svrhu tehničkih pregleda</w:t>
      </w:r>
      <w:r w:rsidR="00E82CBF" w:rsidRPr="00B47BDA">
        <w:t xml:space="preserve"> inventara. Osim navedenog, Zavod za zaštitu okoliša i prirode ima važnu ulogu i u administriranju korisničkih računa hrvatskih sudionika u </w:t>
      </w:r>
      <w:r w:rsidR="000A5B3E" w:rsidRPr="00B47BDA">
        <w:t>EU sustavu trgovanja emisijskim jedinicama stakleničkih plinova (EU ETS)</w:t>
      </w:r>
      <w:r w:rsidR="0099625D" w:rsidRPr="00B47BDA">
        <w:t>.</w:t>
      </w:r>
    </w:p>
    <w:p w14:paraId="75B9DA5A" w14:textId="7BF0B2FC" w:rsidR="00FF0CF3" w:rsidRPr="00B47BDA" w:rsidRDefault="00FF0CF3" w:rsidP="005E726C">
      <w:r w:rsidRPr="63259912">
        <w:t xml:space="preserve">Unutar </w:t>
      </w:r>
      <w:r w:rsidR="003E0FA6" w:rsidRPr="63259912">
        <w:t>MINGO</w:t>
      </w:r>
      <w:r w:rsidRPr="63259912">
        <w:t xml:space="preserve"> djeluje i Nacionalno koordinacijsko tijelo za energetsku učinkovitost, kao posebna ustrojstvena jedinica.</w:t>
      </w:r>
      <w:r w:rsidR="007F5325" w:rsidRPr="63259912">
        <w:t xml:space="preserve"> Zadaća ovog tijela jest koordinacija velikog broja dionika uključenih u definiranje, a posebice u provedbu politike energetske učinkovitosti u Hrvatskoj, sustavno praćenje provedbe kroz sustav za praćenje, mjerenje i verifikaciju ušteda energije (SMiV), izvještavanje te informiranje široke javnosti o planovima, realiziranim mjerama i njihovim učincima.</w:t>
      </w:r>
    </w:p>
    <w:p w14:paraId="36D29FDF" w14:textId="62EA903C" w:rsidR="00713F62" w:rsidRPr="00B47BDA" w:rsidRDefault="5924BBEF" w:rsidP="005E726C">
      <w:r>
        <w:t>Važnu ulogu u provedbi nacionalnih energetskih i klimatskih politika uz M</w:t>
      </w:r>
      <w:r w:rsidR="2A778636">
        <w:t>INGO</w:t>
      </w:r>
      <w:r>
        <w:t xml:space="preserve"> </w:t>
      </w:r>
      <w:r w:rsidR="003C10A0">
        <w:t>i MZOZT</w:t>
      </w:r>
      <w:r>
        <w:t xml:space="preserve"> ima i Ministarstvo prostornog uređenja</w:t>
      </w:r>
      <w:r w:rsidR="41336CDA">
        <w:t>, graditeljstva i</w:t>
      </w:r>
      <w:r w:rsidR="232231CE">
        <w:t xml:space="preserve"> državne imovine</w:t>
      </w:r>
      <w:r>
        <w:t xml:space="preserve"> (</w:t>
      </w:r>
      <w:r w:rsidR="527086D3">
        <w:t>MPGI</w:t>
      </w:r>
      <w:r>
        <w:t>)</w:t>
      </w:r>
      <w:r w:rsidR="37EAFF68">
        <w:t>, koje je odgovorno za</w:t>
      </w:r>
      <w:r w:rsidR="2D13CF9F">
        <w:t xml:space="preserve"> područje prostornog uređenja</w:t>
      </w:r>
      <w:r w:rsidR="03D1D219">
        <w:t>,</w:t>
      </w:r>
      <w:r>
        <w:t xml:space="preserve"> </w:t>
      </w:r>
      <w:r w:rsidR="37EAFF68">
        <w:t xml:space="preserve">kreiranje politike i mjera kojima se ostvaruju postavljeni ciljevi energetskih ušteda u zgradama. </w:t>
      </w:r>
      <w:r w:rsidR="527086D3" w:rsidRPr="40A57B62">
        <w:rPr>
          <w:rFonts w:eastAsia="Calibri"/>
        </w:rPr>
        <w:t>MPGI</w:t>
      </w:r>
      <w:r w:rsidR="330CF508">
        <w:t xml:space="preserve"> </w:t>
      </w:r>
      <w:r w:rsidR="22541A14">
        <w:t>izrađuje nacrte zakona</w:t>
      </w:r>
      <w:r w:rsidR="37EAFF68">
        <w:t xml:space="preserve">, </w:t>
      </w:r>
      <w:r w:rsidR="22541A14">
        <w:t xml:space="preserve">strategija </w:t>
      </w:r>
      <w:r w:rsidR="37EAFF68">
        <w:t xml:space="preserve">i </w:t>
      </w:r>
      <w:r w:rsidR="22541A14">
        <w:t xml:space="preserve">programa </w:t>
      </w:r>
      <w:r w:rsidR="37EAFF68">
        <w:t xml:space="preserve">kojima usmjerava </w:t>
      </w:r>
      <w:r w:rsidR="7974B1C1">
        <w:t xml:space="preserve">razvoj ukupnog sustava prostornog uređenja, </w:t>
      </w:r>
      <w:r w:rsidR="37EAFF68">
        <w:t>dugoročnu integralnu obnovu zgrada: obiteljskih kuća, višestambenih zgrada, komercijalnih nestambenih zgrada i zgrada javnog sektora.</w:t>
      </w:r>
      <w:r w:rsidR="4A1324E6">
        <w:t xml:space="preserve"> </w:t>
      </w:r>
      <w:r w:rsidR="527086D3" w:rsidRPr="40A57B62">
        <w:rPr>
          <w:rFonts w:eastAsia="Calibri"/>
        </w:rPr>
        <w:t>MPGI</w:t>
      </w:r>
      <w:r w:rsidR="330CF508">
        <w:t xml:space="preserve"> </w:t>
      </w:r>
      <w:r w:rsidR="4A1324E6">
        <w:t xml:space="preserve">također obavlja poslove u svojstvu Posredničkog tijela razine 1 za korištenje sredstava </w:t>
      </w:r>
      <w:r w:rsidR="00620652">
        <w:t>EU</w:t>
      </w:r>
      <w:r w:rsidR="4A1324E6">
        <w:t xml:space="preserve"> fondova prema OPKK.</w:t>
      </w:r>
    </w:p>
    <w:p w14:paraId="08A3E464" w14:textId="5BAC3054" w:rsidR="02147FA0" w:rsidRDefault="02147FA0" w:rsidP="40A57B62">
      <w:r w:rsidRPr="63259912">
        <w:t xml:space="preserve">U planu </w:t>
      </w:r>
      <w:r w:rsidR="00CD1ECF" w:rsidRPr="63259912">
        <w:t xml:space="preserve">MZOZT </w:t>
      </w:r>
      <w:r w:rsidRPr="63259912">
        <w:t>je i jačanje institucionalnih kapaciteta za integriranje klimatskih ciljeva u projekte i strateške i planske dokumente (Projekt Razvoj nacionalne mreže službenika za klimu iz PKK 2021</w:t>
      </w:r>
      <w:r w:rsidR="00C846BC" w:rsidRPr="63259912">
        <w:t>.</w:t>
      </w:r>
      <w:r w:rsidRPr="63259912">
        <w:t>-2027</w:t>
      </w:r>
      <w:r w:rsidR="00C846BC" w:rsidRPr="63259912">
        <w:t>.</w:t>
      </w:r>
      <w:r w:rsidRPr="63259912">
        <w:t xml:space="preserve">). Ideja je da se određeni službenici po županijama (novozaposleni ili postojeći) uključe u sustav educiranja o klimatskim politikama i primjenu klimatskog potvrđivanja, dobiju certifikat za to kojeg će povremeno obnavljati. Svrha je </w:t>
      </w:r>
      <w:r w:rsidR="54471CF7" w:rsidRPr="63259912">
        <w:t>povećati kapacit</w:t>
      </w:r>
      <w:r w:rsidRPr="63259912">
        <w:t xml:space="preserve">iranost </w:t>
      </w:r>
      <w:r w:rsidR="01546C43" w:rsidRPr="63259912">
        <w:t>regionalne samouprave</w:t>
      </w:r>
      <w:r w:rsidRPr="63259912">
        <w:t xml:space="preserve"> i bolju vertikalnu koordinaciju radi provedbe Strategije </w:t>
      </w:r>
      <w:r w:rsidR="0348D747" w:rsidRPr="63259912">
        <w:t>prilagodbe</w:t>
      </w:r>
      <w:r w:rsidRPr="63259912">
        <w:t xml:space="preserve"> </w:t>
      </w:r>
      <w:r w:rsidR="275CF243" w:rsidRPr="63259912">
        <w:t xml:space="preserve">klimatskim </w:t>
      </w:r>
      <w:r w:rsidRPr="63259912">
        <w:t>promjenama</w:t>
      </w:r>
      <w:r w:rsidR="78E55B8E" w:rsidRPr="63259912">
        <w:t>,</w:t>
      </w:r>
      <w:r w:rsidRPr="63259912">
        <w:t xml:space="preserve"> Strategije niskougljičnog razvoja i NECP-a.</w:t>
      </w:r>
    </w:p>
    <w:p w14:paraId="38BD3285" w14:textId="3A47ACA4" w:rsidR="77A12A1F" w:rsidRDefault="77A12A1F" w:rsidP="40A57B62">
      <w:r>
        <w:t>Također se planira iz PKK 2021</w:t>
      </w:r>
      <w:r w:rsidR="007405B2">
        <w:t>.</w:t>
      </w:r>
      <w:r>
        <w:t>-2027</w:t>
      </w:r>
      <w:r w:rsidR="007405B2">
        <w:t>.</w:t>
      </w:r>
      <w:r>
        <w:t xml:space="preserve"> uspostava </w:t>
      </w:r>
      <w:r w:rsidR="17F59D22">
        <w:t>N</w:t>
      </w:r>
      <w:r>
        <w:t>acionalnog centra za usklađenu provedbu politike prilagodbe klimatskim promjenama kroz unapređenje i jačanje infrastrukturnih, računalnih, digitalnih, stručno-znanstvenih i ljudskih kapaciteta neophodnih za razvoj visokokvalitetnog, pouzdanog i pravovremenog sustava potpore prilagodbi Republike Hrvatske na klimatske promjene. Planira</w:t>
      </w:r>
      <w:r w:rsidR="0730A763">
        <w:t>ni Centar</w:t>
      </w:r>
      <w:r w:rsidR="4871192B">
        <w:t xml:space="preserve"> bi se bavio analizama</w:t>
      </w:r>
      <w:r w:rsidR="578B0F5A">
        <w:t xml:space="preserve"> i stručnim mišljenima o</w:t>
      </w:r>
      <w:r w:rsidR="4871192B">
        <w:t xml:space="preserve"> klimatski</w:t>
      </w:r>
      <w:r w:rsidR="4F71607C">
        <w:t>m</w:t>
      </w:r>
      <w:r w:rsidR="4871192B">
        <w:t xml:space="preserve"> rizi</w:t>
      </w:r>
      <w:r w:rsidR="557A87FA">
        <w:t>cim</w:t>
      </w:r>
      <w:r w:rsidR="4871192B">
        <w:t>a, pokazateljima i izvješćivanje</w:t>
      </w:r>
      <w:r w:rsidR="402910D6">
        <w:t>m</w:t>
      </w:r>
      <w:r w:rsidR="4871192B">
        <w:t xml:space="preserve">, bio </w:t>
      </w:r>
      <w:r w:rsidR="751527C6">
        <w:t xml:space="preserve">bi </w:t>
      </w:r>
      <w:r w:rsidR="4871192B">
        <w:t xml:space="preserve">podrška </w:t>
      </w:r>
      <w:r w:rsidR="068A35DB">
        <w:t xml:space="preserve">provedbi i implementiranju </w:t>
      </w:r>
      <w:r w:rsidR="4871192B">
        <w:t>politika</w:t>
      </w:r>
      <w:r w:rsidR="1B340F2B">
        <w:t xml:space="preserve"> </w:t>
      </w:r>
      <w:r w:rsidR="7620CB4F">
        <w:t xml:space="preserve">prilagodbe </w:t>
      </w:r>
      <w:r w:rsidR="4871192B">
        <w:t>kli</w:t>
      </w:r>
      <w:r w:rsidR="0F3CFCD9">
        <w:t>m</w:t>
      </w:r>
      <w:r w:rsidR="4871192B">
        <w:t>atski</w:t>
      </w:r>
      <w:r w:rsidR="433BC5AC">
        <w:t>m</w:t>
      </w:r>
      <w:r w:rsidR="4871192B">
        <w:t xml:space="preserve"> promjena</w:t>
      </w:r>
      <w:r w:rsidR="7D31F834">
        <w:t xml:space="preserve">ma te </w:t>
      </w:r>
      <w:r w:rsidR="2623FC03">
        <w:t>središnje mjesto za edukaciju i informiranje.</w:t>
      </w:r>
    </w:p>
    <w:p w14:paraId="2CDDE1AF" w14:textId="16D6EB18" w:rsidR="00FF0CF3" w:rsidRPr="00B47BDA" w:rsidRDefault="00FF0CF3" w:rsidP="005E726C">
      <w:r w:rsidRPr="00B47BDA">
        <w:lastRenderedPageBreak/>
        <w:t xml:space="preserve">Ministarstvo </w:t>
      </w:r>
      <w:r w:rsidR="00BD7D61" w:rsidRPr="00B47BDA">
        <w:t>mora</w:t>
      </w:r>
      <w:r w:rsidR="00C67FD0" w:rsidRPr="00B47BDA">
        <w:t xml:space="preserve">, </w:t>
      </w:r>
      <w:r w:rsidRPr="00B47BDA">
        <w:t>prometa</w:t>
      </w:r>
      <w:r w:rsidR="00C67FD0" w:rsidRPr="00B47BDA">
        <w:t xml:space="preserve"> i infrastrukture</w:t>
      </w:r>
      <w:r w:rsidR="00E35991" w:rsidRPr="00B47BDA">
        <w:t xml:space="preserve"> </w:t>
      </w:r>
      <w:r w:rsidR="00713F62" w:rsidRPr="00B47BDA">
        <w:t xml:space="preserve">odgovorno </w:t>
      </w:r>
      <w:r w:rsidR="00C67FD0" w:rsidRPr="00B47BDA">
        <w:t xml:space="preserve">je </w:t>
      </w:r>
      <w:r w:rsidR="00713F62" w:rsidRPr="00B47BDA">
        <w:t>za nacionalnu politiku, akcijske planove i strategij</w:t>
      </w:r>
      <w:r w:rsidR="00C67FD0" w:rsidRPr="00B47BDA">
        <w:t>e</w:t>
      </w:r>
      <w:r w:rsidR="00713F62" w:rsidRPr="00B47BDA">
        <w:t xml:space="preserve"> </w:t>
      </w:r>
      <w:r w:rsidR="00213605" w:rsidRPr="00B47BDA">
        <w:t>vezane uz razvoj infrastrukture za poticanje korištenja alternativnih goriva u prometu te ostalih mjera za poboljšanje energetske učinkovitosti u prometu</w:t>
      </w:r>
      <w:r w:rsidR="00713F62" w:rsidRPr="00B47BDA">
        <w:t>.</w:t>
      </w:r>
    </w:p>
    <w:p w14:paraId="5727D19C" w14:textId="2DEA9D64" w:rsidR="00FF0CF3" w:rsidRPr="00B47BDA" w:rsidRDefault="00FF0CF3" w:rsidP="005E726C">
      <w:r w:rsidRPr="00B47BDA">
        <w:t xml:space="preserve">Na provedbenoj razini </w:t>
      </w:r>
      <w:r w:rsidR="00213605" w:rsidRPr="00B47BDA">
        <w:t xml:space="preserve">važnu </w:t>
      </w:r>
      <w:r w:rsidRPr="00B47BDA">
        <w:t>ulogu ima Fond za zaštitu okoliša i energetsku učinkovitost (FZOEU). FZOEU je zadužen za sufinanciranje mjera definiranih u nacionalnim energetskim i klimatskim planovima, a djeluje i kao posredničko tijelo razine 2</w:t>
      </w:r>
      <w:r w:rsidR="007475A4">
        <w:t xml:space="preserve"> za operacije koje se provode u fazama</w:t>
      </w:r>
      <w:r w:rsidRPr="00B47BDA">
        <w:t xml:space="preserve"> za korištenje sredstava </w:t>
      </w:r>
      <w:r w:rsidR="007662F7">
        <w:t>EU</w:t>
      </w:r>
      <w:r w:rsidR="007662F7" w:rsidRPr="00B47BDA">
        <w:t xml:space="preserve"> </w:t>
      </w:r>
      <w:r w:rsidRPr="00B47BDA">
        <w:t xml:space="preserve">fondova prema </w:t>
      </w:r>
      <w:r w:rsidR="0062765C" w:rsidRPr="00B47BDA">
        <w:t>P</w:t>
      </w:r>
      <w:r w:rsidRPr="00B47BDA">
        <w:t>rogramu Konkurentnost i kohezija 20</w:t>
      </w:r>
      <w:r w:rsidR="0062765C" w:rsidRPr="00B47BDA">
        <w:t>21</w:t>
      </w:r>
      <w:r w:rsidRPr="00B47BDA">
        <w:t>. – 202</w:t>
      </w:r>
      <w:r w:rsidR="0062765C" w:rsidRPr="00B47BDA">
        <w:t>7</w:t>
      </w:r>
      <w:r w:rsidRPr="00B47BDA">
        <w:t>., u dijelovima relevantnim za energetiku i klimu.</w:t>
      </w:r>
      <w:r w:rsidR="00447CB5" w:rsidRPr="00B47BDA">
        <w:t xml:space="preserve"> FZOEU </w:t>
      </w:r>
      <w:r w:rsidR="003B681A">
        <w:t>je provedbeno tijelo za provedbu poziva za projekte i programe koji se financiraju</w:t>
      </w:r>
      <w:r w:rsidR="003B681A" w:rsidRPr="00B47BDA">
        <w:t xml:space="preserve"> </w:t>
      </w:r>
      <w:r w:rsidR="00447CB5" w:rsidRPr="00B47BDA">
        <w:t>sredstv</w:t>
      </w:r>
      <w:r w:rsidR="00C80826">
        <w:t>ima</w:t>
      </w:r>
      <w:r w:rsidR="00447CB5" w:rsidRPr="00B47BDA">
        <w:t xml:space="preserve"> dobiven</w:t>
      </w:r>
      <w:r w:rsidR="00C80826">
        <w:t>im</w:t>
      </w:r>
      <w:r w:rsidR="00447CB5" w:rsidRPr="00B47BDA">
        <w:t xml:space="preserve"> </w:t>
      </w:r>
      <w:r w:rsidR="008A0265">
        <w:t xml:space="preserve">iz </w:t>
      </w:r>
      <w:r w:rsidR="008A0265" w:rsidRPr="002F1EEF">
        <w:t>prihod</w:t>
      </w:r>
      <w:r w:rsidR="008A0265">
        <w:t>a</w:t>
      </w:r>
      <w:r w:rsidR="008A0265" w:rsidRPr="002F1EEF">
        <w:t xml:space="preserve"> od prodaje emisijskih jedinica iz EU ETS-a</w:t>
      </w:r>
      <w:r w:rsidR="00447CB5" w:rsidRPr="00B47BDA">
        <w:t xml:space="preserve"> na EU tržištu sukladno Planu korištenja financijskih sredstava dobivenih od prodaje emisijskih jedinica putem dražbi u RH</w:t>
      </w:r>
      <w:r w:rsidR="00C80826">
        <w:t xml:space="preserve"> te je provedbeno tijelo za Modernizaci</w:t>
      </w:r>
      <w:r w:rsidR="0084003C">
        <w:t>jski fond</w:t>
      </w:r>
      <w:r w:rsidR="00447CB5" w:rsidRPr="00B47BDA">
        <w:t>.</w:t>
      </w:r>
      <w:r w:rsidRPr="00B47BDA">
        <w:t xml:space="preserve"> </w:t>
      </w:r>
      <w:r w:rsidR="005F4D51" w:rsidRPr="00B47BDA">
        <w:t>FZOEU raspolaže i sredstvima koja uplaćuju opskrbljivači energijom u slučaju neispunjavanja svoje obveze u skladu s člankom 13. Zakona o energetskoj učinkovitosti te ih je dužan</w:t>
      </w:r>
      <w:r w:rsidR="000E462C" w:rsidRPr="00B47BDA">
        <w:t xml:space="preserve"> </w:t>
      </w:r>
      <w:r w:rsidR="005F4D51" w:rsidRPr="00B47BDA">
        <w:t>ulagati u alternativne mjere.</w:t>
      </w:r>
    </w:p>
    <w:p w14:paraId="2DA1421D" w14:textId="2694F2CC" w:rsidR="00FF0CF3" w:rsidRPr="00B47BDA" w:rsidRDefault="00FF0CF3" w:rsidP="005E726C">
      <w:r w:rsidRPr="00B47BDA">
        <w:t>Na polju energetske učinkovitosti važnu ulogu ima i Agencija za pravni promet i posredovanje nekretninama (APN), koja je zadužena za provedbu programa energetske obnove zgrada javnog sektora po modelu energetske usluge i za sustavno gospodarenje energijom u javnom sektoru, sve u skladu s ovlastima definiranim Zakonom o energetskoj učinkovitosti (</w:t>
      </w:r>
      <w:r w:rsidR="00D17022">
        <w:t>„</w:t>
      </w:r>
      <w:r w:rsidR="00071A4F" w:rsidRPr="00071A4F">
        <w:t xml:space="preserve">Narodne </w:t>
      </w:r>
      <w:r w:rsidR="00A97AE7">
        <w:t>novine</w:t>
      </w:r>
      <w:r w:rsidR="00D17022">
        <w:t>“</w:t>
      </w:r>
      <w:r w:rsidR="00071A4F" w:rsidRPr="00071A4F">
        <w:t>, br</w:t>
      </w:r>
      <w:r w:rsidR="00B25874">
        <w:t>.</w:t>
      </w:r>
      <w:r w:rsidRPr="00B47BDA">
        <w:t xml:space="preserve"> 127</w:t>
      </w:r>
      <w:r w:rsidR="005B41DA">
        <w:t>/14</w:t>
      </w:r>
      <w:r w:rsidR="00D17022">
        <w:t>.</w:t>
      </w:r>
      <w:r w:rsidR="000E462C" w:rsidRPr="00B47BDA">
        <w:t>, 116</w:t>
      </w:r>
      <w:r w:rsidR="005B41DA">
        <w:t>/18</w:t>
      </w:r>
      <w:r w:rsidR="00D17022">
        <w:t>.</w:t>
      </w:r>
      <w:r w:rsidR="00EC1501" w:rsidRPr="00B47BDA">
        <w:t>, 25/20</w:t>
      </w:r>
      <w:r w:rsidR="00D17022">
        <w:t>.</w:t>
      </w:r>
      <w:r w:rsidR="00EC1501" w:rsidRPr="00B47BDA">
        <w:t>, 32</w:t>
      </w:r>
      <w:r w:rsidR="005B41DA">
        <w:t>/21</w:t>
      </w:r>
      <w:r w:rsidR="00D17022">
        <w:t>.</w:t>
      </w:r>
      <w:r w:rsidR="00EC1501" w:rsidRPr="00B47BDA">
        <w:t>, 41</w:t>
      </w:r>
      <w:r w:rsidR="005B41DA">
        <w:t>/21</w:t>
      </w:r>
      <w:r w:rsidR="00D17022">
        <w:t>.</w:t>
      </w:r>
      <w:r w:rsidRPr="00B47BDA">
        <w:t>).</w:t>
      </w:r>
    </w:p>
    <w:p w14:paraId="1E72105A" w14:textId="16D6EB18" w:rsidR="00FF0CF3" w:rsidRPr="00B47BDA" w:rsidRDefault="00FF0CF3" w:rsidP="005E726C">
      <w:r w:rsidRPr="00B47BDA">
        <w:t xml:space="preserve">Hrvatska energetska regulatorna agencija (HERA) je regulator energetskih djelatnosti odgovoran za unapređenje i provedbu podzakonskih akata, izdavanje dozvola, </w:t>
      </w:r>
      <w:r w:rsidR="00683FCB" w:rsidRPr="00B47BDA">
        <w:t xml:space="preserve">određivanje i promjenu </w:t>
      </w:r>
      <w:r w:rsidRPr="00B47BDA">
        <w:t>tarif</w:t>
      </w:r>
      <w:r w:rsidR="00683FCB" w:rsidRPr="00B47BDA">
        <w:t>nih stavki</w:t>
      </w:r>
      <w:r w:rsidRPr="00B47BDA">
        <w:t xml:space="preserve">, </w:t>
      </w:r>
      <w:r w:rsidR="00683FCB" w:rsidRPr="00B47BDA">
        <w:t xml:space="preserve">izdavanje </w:t>
      </w:r>
      <w:r w:rsidRPr="00B47BDA">
        <w:t xml:space="preserve">statusa povlaštenog proizvođača, itd. </w:t>
      </w:r>
    </w:p>
    <w:p w14:paraId="10FEBFA9" w14:textId="16D6EB18" w:rsidR="00421516" w:rsidRPr="00B47BDA" w:rsidRDefault="00421516" w:rsidP="005E726C">
      <w:r w:rsidRPr="00B47BDA">
        <w:t>Agencija za ugljikovodike pruža operativnu podršku nadležnim tijelima u poslovima vezanim za istraživanje i eksploataciju ugljikovodika,</w:t>
      </w:r>
      <w:r w:rsidR="00256387" w:rsidRPr="00B47BDA">
        <w:t xml:space="preserve"> geotermalne vode za energetske svrhe,</w:t>
      </w:r>
      <w:r w:rsidRPr="00B47BDA">
        <w:t xml:space="preserve"> podzemno skladištenje prirodnog plina kao i trajno zbrinjavanje </w:t>
      </w:r>
      <w:r w:rsidR="00335B0A" w:rsidRPr="00B47BDA">
        <w:t xml:space="preserve">plinova </w:t>
      </w:r>
      <w:r w:rsidRPr="00B47BDA">
        <w:t>u geološkim strukturama te u poslovima osiguranja obveznih zaliha nafte i naftnih derivata.</w:t>
      </w:r>
    </w:p>
    <w:p w14:paraId="18EA20EB" w14:textId="16D6EB18" w:rsidR="00FF0CF3" w:rsidRPr="00B47BDA" w:rsidRDefault="00FF0CF3" w:rsidP="005E726C">
      <w:r w:rsidRPr="00B47BDA">
        <w:t xml:space="preserve">Hrvatski operator tržišta energije (HROTE) </w:t>
      </w:r>
      <w:r w:rsidR="00724D25" w:rsidRPr="00B47BDA">
        <w:t>obavlja javnu uslugu organiziranja tržišta električne energije i plina te analiziranja i predlaganje mjera za njegovo unapređenje. Ujedno obavlja poslove vezane uz sustav poticanja proizvodnje električne energije iz obnovljivih izvora energije i kogeneracije, što podrazumijeva prikupljanje naknade od opskrbljivača te obračun i raspodjelu novčanih sredstava na temelju sklopljenih ugovora s povlaštenim proizvođačima koji imaju pravo na poticajnu cijenu.</w:t>
      </w:r>
    </w:p>
    <w:p w14:paraId="41EDE353" w14:textId="16D6EB18" w:rsidR="00FF0CF3" w:rsidRPr="00B47BDA" w:rsidRDefault="00FF0CF3" w:rsidP="005E726C">
      <w:r w:rsidRPr="00B47BDA">
        <w:t>Operatori prijenosnog/distribucijskog</w:t>
      </w:r>
      <w:r w:rsidR="00576DF5" w:rsidRPr="00B47BDA">
        <w:t xml:space="preserve"> elektroenergetskog</w:t>
      </w:r>
      <w:r w:rsidRPr="00B47BDA">
        <w:t xml:space="preserve"> sustava (HOPS</w:t>
      </w:r>
      <w:r w:rsidR="00BE2437" w:rsidRPr="00B47BDA">
        <w:t> </w:t>
      </w:r>
      <w:r w:rsidRPr="00B47BDA">
        <w:t>/</w:t>
      </w:r>
      <w:r w:rsidR="00BE2437" w:rsidRPr="00B47BDA">
        <w:t> </w:t>
      </w:r>
      <w:r w:rsidRPr="00B47BDA">
        <w:t>HEP</w:t>
      </w:r>
      <w:r w:rsidR="00BE2437" w:rsidRPr="00B47BDA">
        <w:t> </w:t>
      </w:r>
      <w:r w:rsidRPr="00B47BDA">
        <w:t>ODS) imaju ulogu prijenosa i distribucije električne energije unutar mreže</w:t>
      </w:r>
      <w:r w:rsidR="00C40F37" w:rsidRPr="00B47BDA">
        <w:t>, operator plinske prijenosne mreže</w:t>
      </w:r>
      <w:r w:rsidR="00A47053" w:rsidRPr="00B47BDA">
        <w:t xml:space="preserve"> je</w:t>
      </w:r>
      <w:r w:rsidR="00C40F37" w:rsidRPr="00B47BDA">
        <w:t xml:space="preserve"> tvrtka PLINACRO d.o.o.</w:t>
      </w:r>
      <w:r w:rsidR="00BC2B63" w:rsidRPr="00B47BDA">
        <w:t>, dok operator naftovodno-skladišnog sustava (JANAF) ima ulogu transporta i skladištenja nafte i naftnih derivata.</w:t>
      </w:r>
    </w:p>
    <w:p w14:paraId="62B5EDA4" w14:textId="7803E702" w:rsidR="00FF0CF3" w:rsidRDefault="00FF0CF3" w:rsidP="005E726C">
      <w:r w:rsidRPr="00B47BDA">
        <w:t xml:space="preserve">Također treba istaknuti opskrbljivače energijom kao dionike koji </w:t>
      </w:r>
      <w:r w:rsidR="00C25FAE" w:rsidRPr="00B47BDA">
        <w:t>imaju</w:t>
      </w:r>
      <w:r w:rsidRPr="00B47BDA">
        <w:t xml:space="preserve"> ključnu ulogu u ostvarenju ciljeva politike energetske učinkovitosti. Naime, opskrbljivači </w:t>
      </w:r>
      <w:r w:rsidR="00E10BEB" w:rsidRPr="00B47BDA">
        <w:t>su</w:t>
      </w:r>
      <w:r w:rsidRPr="00B47BDA">
        <w:t xml:space="preserve"> od 2019. godine</w:t>
      </w:r>
      <w:r w:rsidR="00E35991" w:rsidRPr="00B47BDA">
        <w:t xml:space="preserve"> </w:t>
      </w:r>
      <w:r w:rsidRPr="00B47BDA">
        <w:t xml:space="preserve">obvezni ostvarivati uštede energije ulaganjem </w:t>
      </w:r>
      <w:r w:rsidR="00C175B2" w:rsidRPr="00B47BDA">
        <w:t xml:space="preserve">u </w:t>
      </w:r>
      <w:r w:rsidRPr="00B47BDA">
        <w:t>i poticanjem poboljšanj</w:t>
      </w:r>
      <w:r w:rsidR="00C175B2" w:rsidRPr="00B47BDA">
        <w:t>a</w:t>
      </w:r>
      <w:r w:rsidRPr="00B47BDA">
        <w:t xml:space="preserve"> energetske učinkovitosti kod krajnjih kupaca energije ili novčanom uplatom u FZOEU.</w:t>
      </w:r>
      <w:r w:rsidR="00B01302">
        <w:t xml:space="preserve"> </w:t>
      </w:r>
      <w:r w:rsidR="00B01302" w:rsidRPr="00B01302">
        <w:t xml:space="preserve">Sustav obveza energetske učinkovitosti za opskrbljivače energijom </w:t>
      </w:r>
      <w:r w:rsidR="00B01302">
        <w:t>p</w:t>
      </w:r>
      <w:r w:rsidR="00B01302" w:rsidRPr="00B01302">
        <w:t xml:space="preserve">otiče opskrbljivače da povećaju energetsku učinkovitost u kućanstvima koja su u riziku od energetskog siromaštva, tako da se obračunate uštede koje proizlaze iz mjera poboljšanja energetske učinkovitosti </w:t>
      </w:r>
      <w:r w:rsidR="00B01302">
        <w:t xml:space="preserve">takvih </w:t>
      </w:r>
      <w:r w:rsidR="00B01302">
        <w:lastRenderedPageBreak/>
        <w:t xml:space="preserve">potrošača </w:t>
      </w:r>
      <w:r w:rsidR="00B01302" w:rsidRPr="00B01302">
        <w:t>povećaju do 30%. Takve mjere obično se odnose na edukaciju potrošača kroz distribuciju letaka, reklamne kampanje i sl.</w:t>
      </w:r>
    </w:p>
    <w:p w14:paraId="47FBC5DF" w14:textId="20E2CEE3" w:rsidR="002F7659" w:rsidRDefault="002F7659">
      <w:pPr>
        <w:spacing w:after="0"/>
      </w:pPr>
      <w:r>
        <w:br w:type="page"/>
      </w:r>
    </w:p>
    <w:p w14:paraId="2673E5E0" w14:textId="71D71622" w:rsidR="00FF0CF3" w:rsidRPr="00B47BDA" w:rsidRDefault="00FF0CF3" w:rsidP="005C2C7E">
      <w:pPr>
        <w:pStyle w:val="Heading2"/>
        <w:numPr>
          <w:ilvl w:val="1"/>
          <w:numId w:val="175"/>
        </w:numPr>
      </w:pPr>
      <w:bookmarkStart w:id="190" w:name="_Toc531934952"/>
      <w:bookmarkStart w:id="191" w:name="_Toc531945078"/>
      <w:bookmarkStart w:id="192" w:name="_Toc6302334"/>
      <w:bookmarkStart w:id="193" w:name="_Toc187418329"/>
      <w:bookmarkStart w:id="194" w:name="_Toc193043254"/>
      <w:r w:rsidRPr="00B47BDA">
        <w:lastRenderedPageBreak/>
        <w:t xml:space="preserve">Savjetovanja i sudjelovanje nacionalnih subjekata i subjekata </w:t>
      </w:r>
      <w:r w:rsidR="0008667D" w:rsidRPr="00B47BDA">
        <w:t>Unije</w:t>
      </w:r>
      <w:r w:rsidRPr="00B47BDA">
        <w:t xml:space="preserve"> te ishod savjetovanja</w:t>
      </w:r>
      <w:bookmarkEnd w:id="190"/>
      <w:bookmarkEnd w:id="191"/>
      <w:bookmarkEnd w:id="192"/>
      <w:bookmarkEnd w:id="193"/>
      <w:bookmarkEnd w:id="194"/>
    </w:p>
    <w:p w14:paraId="47467E64" w14:textId="1C03E540" w:rsidR="00FF0CF3" w:rsidRPr="00990075" w:rsidRDefault="00FF0CF3" w:rsidP="008C0706">
      <w:pPr>
        <w:pStyle w:val="Heading4"/>
        <w:numPr>
          <w:ilvl w:val="3"/>
          <w:numId w:val="175"/>
        </w:numPr>
        <w:ind w:hanging="580"/>
      </w:pPr>
      <w:bookmarkStart w:id="195" w:name="_Toc531934953"/>
      <w:bookmarkStart w:id="196" w:name="_Toc531945079"/>
      <w:bookmarkStart w:id="197" w:name="_Toc6302335"/>
      <w:r w:rsidRPr="00990075">
        <w:t xml:space="preserve">Sudjelovanje </w:t>
      </w:r>
      <w:r w:rsidR="002D44FB" w:rsidRPr="00990075">
        <w:t>nacionalnog p</w:t>
      </w:r>
      <w:r w:rsidRPr="00990075">
        <w:t>arlamenta</w:t>
      </w:r>
      <w:bookmarkEnd w:id="195"/>
      <w:bookmarkEnd w:id="196"/>
      <w:bookmarkEnd w:id="197"/>
      <w:r w:rsidRPr="00990075">
        <w:t xml:space="preserve"> </w:t>
      </w:r>
    </w:p>
    <w:p w14:paraId="46CC1991" w14:textId="53B937C3" w:rsidR="00CE63E6" w:rsidRPr="00B47BDA" w:rsidRDefault="00CE63E6" w:rsidP="005E726C">
      <w:r w:rsidRPr="63259912">
        <w:t>U Hrvatskom saboru je u listopadu 2019. godine održana radionica u organizaciji Odbora za europske poslove i Europskog foruma za obnovljive izvore energije (EUFORES) s temom: "The Clean Energy Package and the national energy and climate plans - Outlook for Renewable Energies in Croatia" ("Čista energija za sve Europljane te nacionalni energetski i klimatski planovi: perspektive obnovljivih izvora energije u Hrvatskoj") tijekom koje je prezentiran i raspravlj</w:t>
      </w:r>
      <w:r w:rsidR="00811D98" w:rsidRPr="63259912">
        <w:t>e</w:t>
      </w:r>
      <w:r w:rsidRPr="63259912">
        <w:t xml:space="preserve">n Nacrt nacionalnog integriranog energetskog i klimatskog plana. </w:t>
      </w:r>
    </w:p>
    <w:p w14:paraId="5F518DD4" w14:textId="3ECCB1CB" w:rsidR="00D55925" w:rsidRPr="00B47BDA" w:rsidRDefault="36DDBCCA" w:rsidP="005E726C">
      <w:r>
        <w:t>U listopadu 2023. godine održana je</w:t>
      </w:r>
      <w:r w:rsidR="5AA9703B">
        <w:t xml:space="preserve"> tematska</w:t>
      </w:r>
      <w:r>
        <w:t xml:space="preserve"> sjednica </w:t>
      </w:r>
      <w:r w:rsidR="44329F19">
        <w:t>Odbora za zaštitu okoliša i prirode Hrvatskog sabora</w:t>
      </w:r>
      <w:r w:rsidR="5AA9703B">
        <w:t>, na temu „Klimatsko energetske politike u kontekstu ažuriranja Integriranog nacionalnog energetskog i klimatskog plana Republike Hrvatske za razdoblje od 2021. do 2030. (NECP)“</w:t>
      </w:r>
      <w:r w:rsidR="5A4BF85D">
        <w:t xml:space="preserve"> na kojoj je prezentiran i rasp</w:t>
      </w:r>
      <w:r w:rsidR="281568E8">
        <w:t xml:space="preserve">ravljen ažurirani </w:t>
      </w:r>
      <w:r w:rsidR="3613B643">
        <w:t>n</w:t>
      </w:r>
      <w:r w:rsidR="281568E8">
        <w:t xml:space="preserve">acrt </w:t>
      </w:r>
      <w:r w:rsidR="3613B643">
        <w:t>NECP-a dostavljen Europskoj komisiji u lipnju 2023. godine.</w:t>
      </w:r>
    </w:p>
    <w:p w14:paraId="50339B82" w14:textId="601380B3" w:rsidR="00C82A30" w:rsidRPr="00990075" w:rsidRDefault="00484534" w:rsidP="008C0706">
      <w:pPr>
        <w:pStyle w:val="Heading4"/>
        <w:numPr>
          <w:ilvl w:val="3"/>
          <w:numId w:val="175"/>
        </w:numPr>
        <w:ind w:hanging="580"/>
      </w:pPr>
      <w:r w:rsidRPr="00990075">
        <w:t xml:space="preserve">Sudjelovanje lokalnih i regionalnih tijela </w:t>
      </w:r>
    </w:p>
    <w:p w14:paraId="0BA4888B" w14:textId="6AD80D24" w:rsidR="00437AD0" w:rsidRPr="00B47BDA" w:rsidRDefault="00437AD0" w:rsidP="005E726C">
      <w:r w:rsidRPr="00B47BDA">
        <w:t xml:space="preserve">Lokalna i regionalna tijela </w:t>
      </w:r>
      <w:r w:rsidR="005B1BDD" w:rsidRPr="00B47BDA">
        <w:t>sudjelovala su u izradi</w:t>
      </w:r>
      <w:r w:rsidRPr="00B47BDA">
        <w:t xml:space="preserve"> </w:t>
      </w:r>
      <w:r w:rsidR="00CC7E0C" w:rsidRPr="00B47BDA">
        <w:t xml:space="preserve">nacrta </w:t>
      </w:r>
      <w:r w:rsidRPr="00B47BDA">
        <w:t>integriranog</w:t>
      </w:r>
      <w:r w:rsidR="005B1BDD" w:rsidRPr="00B47BDA">
        <w:t xml:space="preserve"> nacionalnog</w:t>
      </w:r>
      <w:r w:rsidRPr="00B47BDA">
        <w:t xml:space="preserve"> energetskog i klimatskog plana, ali i u izrad</w:t>
      </w:r>
      <w:r w:rsidR="00B614AA" w:rsidRPr="00B47BDA">
        <w:t>i</w:t>
      </w:r>
      <w:r w:rsidRPr="00B47BDA">
        <w:t xml:space="preserve"> svih ključnih strateških dokumenata koji su poslužili kao podloga za izradu plana.</w:t>
      </w:r>
    </w:p>
    <w:p w14:paraId="598F957A" w14:textId="6CB6A714" w:rsidR="00F64EC9" w:rsidRPr="00B47BDA" w:rsidRDefault="00437AD0" w:rsidP="005E726C">
      <w:r w:rsidRPr="63259912">
        <w:t>U skladu s tim, lokalna i regionalna tijela sudjelovala su na konzultativnim radionicama organiziranim u okviru izrade Nacrta Strategije niskougljičnog razvoja Republike Hrvatske do 2030. godine s pogledom na 2050.</w:t>
      </w:r>
      <w:r w:rsidR="007E04EB" w:rsidRPr="63259912">
        <w:t xml:space="preserve"> </w:t>
      </w:r>
      <w:r w:rsidR="004B3990" w:rsidRPr="63259912">
        <w:t xml:space="preserve">godinu </w:t>
      </w:r>
      <w:r w:rsidR="007E04EB" w:rsidRPr="63259912">
        <w:t>te putem e-savjetovanja</w:t>
      </w:r>
      <w:r w:rsidRPr="63259912">
        <w:t xml:space="preserve">, na događanjima organiziranim u okviru javnog predstavljanja Zelene i Bijele knjige, te putem e-savjetovanja u procesu izrade same Strategije energetskog razvoja Republike Hrvatske do 2030. godine s pogledom na 2050. godinu. </w:t>
      </w:r>
    </w:p>
    <w:p w14:paraId="07DC45F7" w14:textId="1CA9F3F0" w:rsidR="00F64EC9" w:rsidRPr="00B47BDA" w:rsidRDefault="00F64EC9" w:rsidP="005E726C">
      <w:r w:rsidRPr="00B47BDA">
        <w:t>Također, lokalna i regionalna tijela sudjelovala su i u preliminarnom e-savjetovanju u procesu izrade nacrta integriranog energetskog i klimatskog plana održanih u studenom i prosincu 2018. godine. Drugi krug radionica organiziran je po dovršetku svih dijelova Nacrta Plana, u srpnju 2019. godine, u okviru tematskih međusektorskih radionica otvorenih za sve dionike.</w:t>
      </w:r>
      <w:r w:rsidR="002879BA" w:rsidRPr="00B47BDA">
        <w:t xml:space="preserve"> </w:t>
      </w:r>
      <w:r w:rsidR="00437AD0" w:rsidRPr="00B47BDA">
        <w:t xml:space="preserve">U </w:t>
      </w:r>
      <w:r w:rsidR="00AD5D70" w:rsidRPr="00B47BDA">
        <w:t xml:space="preserve">listopadu </w:t>
      </w:r>
      <w:r w:rsidR="00437AD0" w:rsidRPr="00B47BDA">
        <w:t>2019. godine</w:t>
      </w:r>
      <w:r w:rsidR="00AD5D70" w:rsidRPr="00B47BDA">
        <w:t xml:space="preserve"> organiziran je sastanak s predstavnicima regionalnih energet</w:t>
      </w:r>
      <w:r w:rsidR="005C02B0" w:rsidRPr="00B47BDA">
        <w:t>skih agencija na kojem je predstavljen i dorađen nacrt plana</w:t>
      </w:r>
      <w:r w:rsidRPr="00B47BDA">
        <w:t>, potom upućen na e-savjetovanje</w:t>
      </w:r>
      <w:r w:rsidR="00437AD0" w:rsidRPr="00B47BDA">
        <w:t>.</w:t>
      </w:r>
      <w:r w:rsidRPr="00B47BDA">
        <w:t xml:space="preserve"> Proces e-savjetovanja otvoren je za sve dionike pa tako i za predstavnike lokalnih i regionalnih tijela.</w:t>
      </w:r>
    </w:p>
    <w:p w14:paraId="773F4819" w14:textId="58E450F9" w:rsidR="00571EE1" w:rsidRPr="00B47BDA" w:rsidRDefault="00FD051D" w:rsidP="005E726C">
      <w:r w:rsidRPr="00B47BDA">
        <w:t>U svibnju 2023. godine održana je radionica za jedinice lokalne i</w:t>
      </w:r>
      <w:r w:rsidR="0002747D">
        <w:t xml:space="preserve"> područne</w:t>
      </w:r>
      <w:r w:rsidRPr="00B47BDA">
        <w:t xml:space="preserve"> </w:t>
      </w:r>
      <w:r w:rsidR="0002747D">
        <w:t>(</w:t>
      </w:r>
      <w:r w:rsidRPr="00B47BDA">
        <w:t>regionalne</w:t>
      </w:r>
      <w:r w:rsidR="0002747D">
        <w:t>)</w:t>
      </w:r>
      <w:r w:rsidRPr="00B47BDA">
        <w:t xml:space="preserve"> samouprave, kojima je predstavljen nacrt revidiranog Plana</w:t>
      </w:r>
      <w:r w:rsidR="00D15BD0" w:rsidRPr="00B47BDA">
        <w:t xml:space="preserve"> te su raspravljene mjere relevantne za </w:t>
      </w:r>
      <w:r w:rsidR="001B4B6C" w:rsidRPr="00B47BDA">
        <w:t>JLRS.</w:t>
      </w:r>
    </w:p>
    <w:p w14:paraId="1C2A2E93" w14:textId="152CCEF0" w:rsidR="00FF0CF3" w:rsidRPr="00B47BDA" w:rsidRDefault="615C5A85" w:rsidP="008C0706">
      <w:pPr>
        <w:pStyle w:val="Heading4"/>
        <w:numPr>
          <w:ilvl w:val="3"/>
          <w:numId w:val="175"/>
        </w:numPr>
        <w:ind w:hanging="580"/>
      </w:pPr>
      <w:bookmarkStart w:id="198" w:name="_Toc531934955"/>
      <w:bookmarkStart w:id="199" w:name="_Toc531945081"/>
      <w:bookmarkStart w:id="200" w:name="_Toc6302337"/>
      <w:r>
        <w:t>Savjetovanja s dionicima, uključujući socijalne partnere te uključenost civilnog društva</w:t>
      </w:r>
      <w:bookmarkEnd w:id="198"/>
      <w:bookmarkEnd w:id="199"/>
      <w:bookmarkEnd w:id="200"/>
      <w:r w:rsidR="3F6E9654">
        <w:t xml:space="preserve"> i šire javnosti</w:t>
      </w:r>
    </w:p>
    <w:p w14:paraId="64E3DF42" w14:textId="7DAF3A80" w:rsidR="00A76C83" w:rsidRPr="00B47BDA" w:rsidRDefault="6084BBE1" w:rsidP="005E726C">
      <w:r w:rsidRPr="63259912">
        <w:t xml:space="preserve">Dionici, uključujući socijalne partnere, civilno društvo i širu javnost, su tijekom 2018. i 2019. godine aktivno </w:t>
      </w:r>
      <w:r w:rsidR="5E8DAD57" w:rsidRPr="63259912">
        <w:t>s</w:t>
      </w:r>
      <w:r w:rsidRPr="63259912">
        <w:t xml:space="preserve">udjelovali na nizu konzultativnih radionica organiziranih u okviru rada na </w:t>
      </w:r>
      <w:r w:rsidRPr="63259912">
        <w:lastRenderedPageBreak/>
        <w:t xml:space="preserve">Nacrtu integriranog energetskog i klimatskog plana, </w:t>
      </w:r>
      <w:r w:rsidR="0014926B" w:rsidRPr="63259912">
        <w:t>izrad</w:t>
      </w:r>
      <w:r w:rsidR="5BF7D97B" w:rsidRPr="63259912">
        <w:t>i</w:t>
      </w:r>
      <w:r w:rsidRPr="63259912">
        <w:t xml:space="preserve"> Nacrta Strategije niskougljičnog razvoja Republike Hrvatske do 2030. godine s pogledom na 2050.</w:t>
      </w:r>
      <w:r w:rsidR="004B3990" w:rsidRPr="63259912">
        <w:t xml:space="preserve"> godinu</w:t>
      </w:r>
      <w:r w:rsidRPr="63259912">
        <w:t>, na događanjima organiziranim u okviru javnog predstavljanja Zelene i Bijele knjige koja je poslužila kao podloga za izradu Strategije energetskog razvoja Republike Hrvatske do 2030. godine s pogledom na 2050. godinu te putem e-savjetovanja u proceduri izrade nacrta i konačne verzije integriranog energetskog i klimatskog plana te Strategije energetskog razvoja Republike Hrvatske do 2030. godine s pogledom na 2050. godinu.</w:t>
      </w:r>
    </w:p>
    <w:p w14:paraId="14F8D6FF" w14:textId="4D216850" w:rsidR="00A76C83" w:rsidRPr="00B47BDA" w:rsidRDefault="00A76C83" w:rsidP="005E726C">
      <w:r w:rsidRPr="00B47BDA">
        <w:t>Posebno treba istaknuti kako su dionici bili aktivno uključeni radionice vezane uz izradu nacrta te uz dovršetak procesa izrade konačne verzije integriranog energetskog i klimatskog plana. Prvi krug radionica, vezan uz izradu nacrta plana, organiziran je u studenom 2018. godine. Drugi krug radionica, vezan uz izradu konačne verzije plana, organiziran je u srpnju 2019. godine (u okviru tematskih međusektorskih radionica).</w:t>
      </w:r>
    </w:p>
    <w:p w14:paraId="295CBD52" w14:textId="76F4A1CB" w:rsidR="00A76C83" w:rsidRPr="00B47BDA" w:rsidRDefault="004C1773" w:rsidP="005E726C">
      <w:r w:rsidRPr="00B47BDA">
        <w:t>Prvi n</w:t>
      </w:r>
      <w:r w:rsidR="00A76C83" w:rsidRPr="00B47BDA">
        <w:t xml:space="preserve">acrt </w:t>
      </w:r>
      <w:r w:rsidR="00FE5DD0" w:rsidRPr="00B47BDA">
        <w:t>I</w:t>
      </w:r>
      <w:r w:rsidR="00A76C83" w:rsidRPr="00B47BDA">
        <w:t>ntegriranog</w:t>
      </w:r>
      <w:r w:rsidR="00FE5DD0" w:rsidRPr="00B47BDA">
        <w:t xml:space="preserve"> nacionalnog</w:t>
      </w:r>
      <w:r w:rsidR="00A76C83" w:rsidRPr="00B47BDA">
        <w:t xml:space="preserve"> energetskog i klimatskog plana stavljen je na e-savjetovanje tijekom prosinca 2018. godine,</w:t>
      </w:r>
      <w:r w:rsidR="0022061C" w:rsidRPr="00B47BDA">
        <w:t xml:space="preserve"> kada je zaprimljeno </w:t>
      </w:r>
      <w:r w:rsidR="00EB55B3" w:rsidRPr="00B47BDA">
        <w:t>90 komentara</w:t>
      </w:r>
      <w:r w:rsidR="007C3606" w:rsidRPr="00B47BDA">
        <w:t xml:space="preserve">. </w:t>
      </w:r>
      <w:r w:rsidRPr="00B47BDA">
        <w:t xml:space="preserve">Dorađeni nacrt plana </w:t>
      </w:r>
      <w:r w:rsidR="00A76C83" w:rsidRPr="00B47BDA">
        <w:t xml:space="preserve">stavljen je na e-savjetovanje u </w:t>
      </w:r>
      <w:r w:rsidR="004A375A" w:rsidRPr="00B47BDA">
        <w:t>listopadu</w:t>
      </w:r>
      <w:r w:rsidR="00A76C83" w:rsidRPr="00B47BDA">
        <w:t xml:space="preserve"> 2019. godine.</w:t>
      </w:r>
    </w:p>
    <w:p w14:paraId="2F6B1CC7" w14:textId="34FEF62E" w:rsidR="000702E5" w:rsidRPr="00B47BDA" w:rsidRDefault="000702E5" w:rsidP="005E726C">
      <w:r w:rsidRPr="63259912">
        <w:t>U</w:t>
      </w:r>
      <w:r w:rsidR="00D03FF9" w:rsidRPr="63259912">
        <w:t xml:space="preserve"> okviru projekta</w:t>
      </w:r>
      <w:r w:rsidR="007561D6" w:rsidRPr="63259912">
        <w:t xml:space="preserve"> NECPlatform</w:t>
      </w:r>
      <w:r w:rsidR="00D03FF9" w:rsidRPr="63259912">
        <w:t xml:space="preserve"> financiranog iz programa LIFE, uspostavljena je </w:t>
      </w:r>
      <w:r w:rsidR="00E97504" w:rsidRPr="63259912">
        <w:t>platforma za višerazinski dijalog o klimi i energiji</w:t>
      </w:r>
      <w:r w:rsidR="0017252F" w:rsidRPr="63259912">
        <w:t>. Platforma okuplja predst</w:t>
      </w:r>
      <w:r w:rsidR="000B0703" w:rsidRPr="63259912">
        <w:t xml:space="preserve">avnike ključnih dionika za razvoj </w:t>
      </w:r>
      <w:r w:rsidR="00423A83" w:rsidRPr="63259912">
        <w:t>Integriranog plana</w:t>
      </w:r>
      <w:r w:rsidR="00C76AFD" w:rsidRPr="63259912">
        <w:t xml:space="preserve"> te uključuje relevantna ministarstva, </w:t>
      </w:r>
      <w:r w:rsidR="00103926" w:rsidRPr="63259912">
        <w:t>jedinice lokalne i područne</w:t>
      </w:r>
      <w:r w:rsidR="006404A9" w:rsidRPr="63259912">
        <w:t xml:space="preserve"> (regionalne)</w:t>
      </w:r>
      <w:r w:rsidR="00C76AFD" w:rsidRPr="63259912">
        <w:t xml:space="preserve"> samouprav</w:t>
      </w:r>
      <w:r w:rsidR="006404A9" w:rsidRPr="63259912">
        <w:t>e</w:t>
      </w:r>
      <w:r w:rsidR="00C76AFD" w:rsidRPr="63259912">
        <w:t xml:space="preserve">, </w:t>
      </w:r>
      <w:r w:rsidR="00493122" w:rsidRPr="63259912">
        <w:t>energetske tvrtke</w:t>
      </w:r>
      <w:r w:rsidR="00851522" w:rsidRPr="63259912">
        <w:t>,</w:t>
      </w:r>
      <w:r w:rsidR="00ED040E" w:rsidRPr="63259912">
        <w:t xml:space="preserve"> istraživački i akademski sektor</w:t>
      </w:r>
      <w:r w:rsidR="0019505A" w:rsidRPr="63259912">
        <w:t>, strukovna udruženja</w:t>
      </w:r>
      <w:r w:rsidR="00ED040E" w:rsidRPr="63259912">
        <w:t xml:space="preserve"> te organizacije civilnog društva.</w:t>
      </w:r>
      <w:r w:rsidR="00FB48F6" w:rsidRPr="63259912">
        <w:t xml:space="preserve"> </w:t>
      </w:r>
      <w:r w:rsidR="00FE4DB0" w:rsidRPr="63259912">
        <w:t>Početni sastanak platforme</w:t>
      </w:r>
      <w:r w:rsidR="00ED2180" w:rsidRPr="63259912">
        <w:t xml:space="preserve">, na kojem je sudjelovalo </w:t>
      </w:r>
      <w:r w:rsidR="00EA1319" w:rsidRPr="63259912">
        <w:t>40 dionika,</w:t>
      </w:r>
      <w:r w:rsidR="00FE4DB0" w:rsidRPr="63259912">
        <w:t xml:space="preserve"> održan je </w:t>
      </w:r>
      <w:r w:rsidR="00A772B3" w:rsidRPr="63259912">
        <w:t xml:space="preserve">u </w:t>
      </w:r>
      <w:r w:rsidR="00344542" w:rsidRPr="63259912">
        <w:t>ožujku 2023. godine, dok je drugi sastanak Platforme</w:t>
      </w:r>
      <w:r w:rsidR="00770949" w:rsidRPr="63259912">
        <w:t>, namijenjen prvenstveno predstavnicima lokalne i regionalne (samo)uprave</w:t>
      </w:r>
      <w:r w:rsidR="00753A9A" w:rsidRPr="63259912">
        <w:t xml:space="preserve">, održan u svibnju 2023. godine. Treći sastanak platforme održan je u srpnju 2023. godine, </w:t>
      </w:r>
      <w:r w:rsidR="002B5330" w:rsidRPr="63259912">
        <w:t>a na njemu je</w:t>
      </w:r>
      <w:r w:rsidR="00D22B46" w:rsidRPr="63259912">
        <w:t xml:space="preserve"> predsta</w:t>
      </w:r>
      <w:r w:rsidR="001125F3" w:rsidRPr="63259912">
        <w:t>vljen</w:t>
      </w:r>
      <w:r w:rsidR="005A24F8" w:rsidRPr="63259912">
        <w:t xml:space="preserve"> i raspravljen</w:t>
      </w:r>
      <w:r w:rsidR="002B5330" w:rsidRPr="63259912">
        <w:t xml:space="preserve"> nacrt ažuriranog NECP-a dostavljen Europskoj komisiji</w:t>
      </w:r>
      <w:r w:rsidR="00D22B46" w:rsidRPr="63259912">
        <w:t>.</w:t>
      </w:r>
    </w:p>
    <w:p w14:paraId="41DC4B38" w14:textId="5DFC3E14" w:rsidR="0026396B" w:rsidRPr="00B47BDA" w:rsidRDefault="002F4028" w:rsidP="005E726C">
      <w:r w:rsidRPr="00B47BDA">
        <w:t xml:space="preserve">Također, u </w:t>
      </w:r>
      <w:r w:rsidR="00571EE1" w:rsidRPr="00B47BDA">
        <w:t xml:space="preserve">razdoblju od </w:t>
      </w:r>
      <w:r w:rsidR="0026396B" w:rsidRPr="00B47BDA">
        <w:t>ožujk</w:t>
      </w:r>
      <w:r w:rsidR="00571EE1" w:rsidRPr="00B47BDA">
        <w:t>a</w:t>
      </w:r>
      <w:r w:rsidR="0026396B" w:rsidRPr="00B47BDA">
        <w:t xml:space="preserve"> </w:t>
      </w:r>
      <w:r w:rsidR="00571EE1" w:rsidRPr="00B47BDA">
        <w:t xml:space="preserve">do lipnja </w:t>
      </w:r>
      <w:r w:rsidR="0026396B" w:rsidRPr="00B47BDA">
        <w:t xml:space="preserve">2023. godine održane su tematske radionice vezane za </w:t>
      </w:r>
      <w:r w:rsidR="00AD5F50" w:rsidRPr="00B47BDA">
        <w:t>ažuriranje</w:t>
      </w:r>
      <w:r w:rsidR="0026396B" w:rsidRPr="00B47BDA">
        <w:t xml:space="preserve"> Integriranog plana (energetska učinkovitost, obnovljivi izvori energije i promet, energetsko tržište i energetska sigurnost</w:t>
      </w:r>
      <w:r w:rsidR="003F72E7" w:rsidRPr="00B47BDA">
        <w:t>,</w:t>
      </w:r>
      <w:r w:rsidR="0026396B" w:rsidRPr="00B47BDA">
        <w:t xml:space="preserve"> </w:t>
      </w:r>
      <w:r w:rsidR="003F72E7" w:rsidRPr="00B47BDA">
        <w:t>poljoprivreda, LULUCF i otpad te istraživanje, inovacije i konkurentnost</w:t>
      </w:r>
      <w:r w:rsidR="00302EC6" w:rsidRPr="00B47BDA">
        <w:t xml:space="preserve">). Na </w:t>
      </w:r>
      <w:r w:rsidR="00DD04C1" w:rsidRPr="00B47BDA">
        <w:t xml:space="preserve">radionicama je sudjelovalo </w:t>
      </w:r>
      <w:r w:rsidR="00913B06" w:rsidRPr="00B47BDA">
        <w:t>više od stotinu</w:t>
      </w:r>
      <w:r w:rsidR="00DD04C1" w:rsidRPr="00B47BDA">
        <w:t xml:space="preserve"> dionika</w:t>
      </w:r>
      <w:r w:rsidR="008167B2" w:rsidRPr="00B47BDA">
        <w:t xml:space="preserve"> iz svih relevantnih sektora</w:t>
      </w:r>
      <w:r w:rsidR="009D17BC" w:rsidRPr="00B47BDA">
        <w:t>.</w:t>
      </w:r>
    </w:p>
    <w:p w14:paraId="2CAF7F13" w14:textId="5D1C563E" w:rsidR="001B38FD" w:rsidRDefault="001B38FD" w:rsidP="005E726C">
      <w:r>
        <w:t xml:space="preserve">Nakon predaje </w:t>
      </w:r>
      <w:r w:rsidR="0087467F">
        <w:t>n</w:t>
      </w:r>
      <w:r w:rsidR="00232370">
        <w:t>acrta</w:t>
      </w:r>
      <w:r w:rsidR="0087467F">
        <w:t xml:space="preserve"> ažuriranog</w:t>
      </w:r>
      <w:r w:rsidR="00232370">
        <w:t xml:space="preserve"> NECP-a </w:t>
      </w:r>
      <w:r w:rsidR="00626405">
        <w:t xml:space="preserve">Europskoj komisiji u lipnju 2023. godine, </w:t>
      </w:r>
      <w:r w:rsidR="00F727A1">
        <w:t xml:space="preserve">održan je </w:t>
      </w:r>
      <w:r w:rsidR="00A364E8">
        <w:t xml:space="preserve">niz </w:t>
      </w:r>
      <w:r w:rsidR="00613443">
        <w:t xml:space="preserve">sastanaka s predstavnicima ministarstava relevantnih za pojedine segmente NECP-a: </w:t>
      </w:r>
    </w:p>
    <w:p w14:paraId="57D4F707" w14:textId="5AF45478" w:rsidR="00894854" w:rsidRDefault="00894854" w:rsidP="00684AE3">
      <w:pPr>
        <w:pStyle w:val="ListParagraph"/>
        <w:numPr>
          <w:ilvl w:val="0"/>
          <w:numId w:val="137"/>
        </w:numPr>
        <w:spacing w:after="60"/>
      </w:pPr>
      <w:r w:rsidRPr="63259912">
        <w:t>S predstavnicima Ministarstva financija</w:t>
      </w:r>
      <w:r w:rsidR="00E72A78" w:rsidRPr="63259912">
        <w:t xml:space="preserve"> i dionicima iz financijskog sektora, na temu mobilizacije </w:t>
      </w:r>
      <w:r w:rsidR="00D93007" w:rsidRPr="63259912">
        <w:t>privatnih sredstava u mjerama za dekarbonizaciju (listopad 2023.);</w:t>
      </w:r>
    </w:p>
    <w:p w14:paraId="3FB6BF93" w14:textId="02185271" w:rsidR="00D93007" w:rsidRDefault="004C2D1D" w:rsidP="00684AE3">
      <w:pPr>
        <w:pStyle w:val="ListParagraph"/>
        <w:numPr>
          <w:ilvl w:val="0"/>
          <w:numId w:val="137"/>
        </w:numPr>
        <w:spacing w:after="60"/>
      </w:pPr>
      <w:r>
        <w:t>S pre</w:t>
      </w:r>
      <w:r w:rsidR="004D2407">
        <w:t xml:space="preserve">dstavnicima većeg broja ministarstava, </w:t>
      </w:r>
      <w:r w:rsidR="00C64AEE">
        <w:t xml:space="preserve">vezano za </w:t>
      </w:r>
      <w:r w:rsidR="00A27773">
        <w:t>procjenu financijski učinaka NECP-a (listopad 2023.);</w:t>
      </w:r>
    </w:p>
    <w:p w14:paraId="5973B447" w14:textId="407661B4" w:rsidR="00B8689D" w:rsidRDefault="008C0FFC" w:rsidP="00684AE3">
      <w:pPr>
        <w:pStyle w:val="ListParagraph"/>
        <w:numPr>
          <w:ilvl w:val="0"/>
          <w:numId w:val="137"/>
        </w:numPr>
        <w:spacing w:after="60"/>
      </w:pPr>
      <w:r>
        <w:t>S dionicima relevantnim za istraživanje, inovacije i konkurentnost (</w:t>
      </w:r>
      <w:r w:rsidR="0063107A">
        <w:t>listopad 2023.);</w:t>
      </w:r>
    </w:p>
    <w:p w14:paraId="568E81F8" w14:textId="77777777" w:rsidR="00424E72" w:rsidRPr="00B47BDA" w:rsidRDefault="00424E72" w:rsidP="00684AE3">
      <w:pPr>
        <w:pStyle w:val="ListParagraph"/>
        <w:numPr>
          <w:ilvl w:val="0"/>
          <w:numId w:val="137"/>
        </w:numPr>
        <w:spacing w:after="60"/>
      </w:pPr>
      <w:r>
        <w:t>S predstavnicama ministarstva nadležnog za promet, o poveznicama sektora prometa i NECP-a (listopad 2023.);</w:t>
      </w:r>
    </w:p>
    <w:p w14:paraId="6F654F79" w14:textId="77777777" w:rsidR="008C0706" w:rsidRDefault="007379DA" w:rsidP="008C0706">
      <w:pPr>
        <w:pStyle w:val="ListParagraph"/>
        <w:numPr>
          <w:ilvl w:val="0"/>
          <w:numId w:val="137"/>
        </w:numPr>
        <w:spacing w:after="60"/>
      </w:pPr>
      <w:r>
        <w:t xml:space="preserve">S predstavnicima ministarstva nadležnog za poljoprivredu, </w:t>
      </w:r>
      <w:r w:rsidR="00D174C1">
        <w:t xml:space="preserve">o </w:t>
      </w:r>
      <w:r w:rsidR="00AE1F33">
        <w:t xml:space="preserve">poveznicama poljoprivrede i NECP-a (listopad 2023. i </w:t>
      </w:r>
      <w:r w:rsidR="00DB047D">
        <w:t>veljača</w:t>
      </w:r>
      <w:r w:rsidR="00DE434D">
        <w:t xml:space="preserve"> 2024.)</w:t>
      </w:r>
      <w:r w:rsidR="00424E72">
        <w:t>.</w:t>
      </w:r>
      <w:r w:rsidR="3D439412">
        <w:t xml:space="preserve"> </w:t>
      </w:r>
      <w:bookmarkStart w:id="201" w:name="_Toc531934956"/>
      <w:bookmarkStart w:id="202" w:name="_Toc531945082"/>
      <w:bookmarkStart w:id="203" w:name="_Toc6302338"/>
    </w:p>
    <w:p w14:paraId="39C7D974" w14:textId="078AB598" w:rsidR="00FF0CF3" w:rsidRPr="00B47BDA" w:rsidRDefault="00FF0CF3" w:rsidP="008C0706">
      <w:pPr>
        <w:pStyle w:val="Heading4"/>
        <w:numPr>
          <w:ilvl w:val="3"/>
          <w:numId w:val="175"/>
        </w:numPr>
        <w:ind w:hanging="580"/>
      </w:pPr>
      <w:r w:rsidRPr="00B47BDA">
        <w:lastRenderedPageBreak/>
        <w:t>Savjetovanja s drugim državama članicama</w:t>
      </w:r>
      <w:bookmarkEnd w:id="201"/>
      <w:bookmarkEnd w:id="202"/>
      <w:bookmarkEnd w:id="203"/>
      <w:r w:rsidRPr="00B47BDA">
        <w:t xml:space="preserve"> </w:t>
      </w:r>
    </w:p>
    <w:p w14:paraId="72A6F797" w14:textId="09A75629" w:rsidR="00720D30" w:rsidRPr="00B47BDA" w:rsidRDefault="00720D30" w:rsidP="005E726C">
      <w:r w:rsidRPr="00B47BDA">
        <w:t>Savjetovanje s drugim državama članicama odvijalo se u dvije razine:</w:t>
      </w:r>
    </w:p>
    <w:p w14:paraId="0A75468F" w14:textId="77777777" w:rsidR="00720D30" w:rsidRPr="00B47BDA" w:rsidRDefault="00720D30" w:rsidP="00684AE3">
      <w:pPr>
        <w:pStyle w:val="ListParagraph"/>
        <w:numPr>
          <w:ilvl w:val="0"/>
          <w:numId w:val="35"/>
        </w:numPr>
        <w:spacing w:after="60"/>
        <w:ind w:left="714" w:hanging="357"/>
      </w:pPr>
      <w:r w:rsidRPr="00B47BDA">
        <w:t>indirektna prezentacija nacrta i konačne verzije plana;</w:t>
      </w:r>
    </w:p>
    <w:p w14:paraId="5020823D" w14:textId="77777777" w:rsidR="00720D30" w:rsidRPr="00B47BDA" w:rsidRDefault="00720D30" w:rsidP="00684AE3">
      <w:pPr>
        <w:pStyle w:val="ListParagraph"/>
        <w:numPr>
          <w:ilvl w:val="0"/>
          <w:numId w:val="35"/>
        </w:numPr>
        <w:spacing w:after="60"/>
        <w:ind w:left="714" w:hanging="357"/>
      </w:pPr>
      <w:r w:rsidRPr="00B47BDA">
        <w:t>direktna prezentacija nacrta i konačne verzije integriranog energetskog i klimatskog plana.</w:t>
      </w:r>
    </w:p>
    <w:p w14:paraId="0A313109" w14:textId="1077905B" w:rsidR="00720D30" w:rsidRPr="00B47BDA" w:rsidRDefault="00720D30" w:rsidP="005E726C">
      <w:r w:rsidRPr="00B47BDA">
        <w:t>Tekst Nacrta Integriranog nacionalnog energetskog i klimatskog plana preveden je na engleski jezik, dostavljen Europskoj komisiji i objavljen na internetskim stranicama M</w:t>
      </w:r>
      <w:r w:rsidR="007F51FF" w:rsidRPr="00B47BDA">
        <w:t>INGO-a</w:t>
      </w:r>
      <w:r w:rsidRPr="00B47BDA">
        <w:t xml:space="preserve"> u isto vrijeme kada je dostavljena i hrvatska verzija nacrta plana te je </w:t>
      </w:r>
      <w:r w:rsidR="009B5AD3" w:rsidRPr="00B47BDA">
        <w:t>tako</w:t>
      </w:r>
      <w:r w:rsidRPr="00B47BDA">
        <w:t xml:space="preserve"> postao dostupan svim državama članicama čime je omogućeno indirektno savjetovanje s državama članicama.</w:t>
      </w:r>
    </w:p>
    <w:p w14:paraId="1C32D5B4" w14:textId="77777777" w:rsidR="00720D30" w:rsidRPr="00B47BDA" w:rsidRDefault="00720D30" w:rsidP="005E726C">
      <w:r w:rsidRPr="00B47BDA">
        <w:t>Također, bilo je i aktivnosti vezanih uz direktno predstavljanje nacrta i konačne verzije plana. Proces izrade Nacrta Integriranog energetskog i klimatskog plana predstavljen je predstavnicima zemalja članica Energetske zajednice na sastanku Tehničke radne skupine za energiju i klimu, održanom 9. listopada 2018. godine. Republika Hrvatska jedna je od država članica EU koja je izrazila interes za sudjelovanjem u radu tijela Energetske zajednice te stoji na raspolaganju za prijenos iskustava u izradi Plana državama članicama Energetske zajednice.</w:t>
      </w:r>
    </w:p>
    <w:p w14:paraId="653D0D0A" w14:textId="298BAF34" w:rsidR="00720D30" w:rsidRPr="00B47BDA" w:rsidRDefault="00243E12" w:rsidP="005E726C">
      <w:r>
        <w:t>H</w:t>
      </w:r>
      <w:r w:rsidR="00720D30" w:rsidRPr="00B47BDA">
        <w:t>rvatski predstavnici sudjelovali su na regionalnoj radionici koje se u srpnju 2019. godine održala u Ljubljani. Ovu radionicu organiziralo je Ministarstvo za infrastrukturu Republike Slovenije, a tom prilikom su na radionici aktivno sudjelovali predstavnici iz Slovenije, Austrije, Italije, Ma</w:t>
      </w:r>
      <w:r w:rsidR="00174F72">
        <w:t>đ</w:t>
      </w:r>
      <w:r w:rsidR="00720D30" w:rsidRPr="00B47BDA">
        <w:t xml:space="preserve">arske i Hrvatske. Radionica je imala </w:t>
      </w:r>
      <w:r w:rsidR="00F4138E">
        <w:t>za</w:t>
      </w:r>
      <w:r w:rsidR="00720D30" w:rsidRPr="00B47BDA">
        <w:t xml:space="preserve"> cilj utvrđivanje mogućih područja prekogranične i regionalne suradnje. Više o rezultatima regionalne suradnje predstavljeno je u poglavlju</w:t>
      </w:r>
      <w:r w:rsidR="007B6CD9">
        <w:rPr>
          <w:b/>
        </w:rPr>
        <w:t xml:space="preserve"> „</w:t>
      </w:r>
      <w:r w:rsidR="007B6CD9" w:rsidRPr="00366268">
        <w:rPr>
          <w:b/>
        </w:rPr>
        <w:fldChar w:fldCharType="begin"/>
      </w:r>
      <w:r w:rsidR="007B6CD9" w:rsidRPr="00366268">
        <w:rPr>
          <w:b/>
        </w:rPr>
        <w:instrText xml:space="preserve"> REF _Ref135917090 \h </w:instrText>
      </w:r>
      <w:r w:rsidR="00366268" w:rsidRPr="00366268">
        <w:rPr>
          <w:b/>
        </w:rPr>
        <w:instrText xml:space="preserve"> \* MERGEFORMAT </w:instrText>
      </w:r>
      <w:r w:rsidR="007B6CD9" w:rsidRPr="00366268">
        <w:rPr>
          <w:b/>
        </w:rPr>
      </w:r>
      <w:r w:rsidR="007B6CD9" w:rsidRPr="00366268">
        <w:rPr>
          <w:b/>
        </w:rPr>
        <w:fldChar w:fldCharType="separate"/>
      </w:r>
      <w:r w:rsidR="00AD324D" w:rsidRPr="00AD324D">
        <w:rPr>
          <w:b/>
        </w:rPr>
        <w:t>Regionalna suradnja u izradi plana</w:t>
      </w:r>
      <w:r w:rsidR="007B6CD9" w:rsidRPr="00366268">
        <w:rPr>
          <w:b/>
        </w:rPr>
        <w:fldChar w:fldCharType="end"/>
      </w:r>
      <w:r w:rsidR="007B6CD9" w:rsidRPr="00366268">
        <w:rPr>
          <w:b/>
        </w:rPr>
        <w:t xml:space="preserve"> </w:t>
      </w:r>
      <w:r w:rsidR="007B6CD9">
        <w:rPr>
          <w:b/>
        </w:rPr>
        <w:fldChar w:fldCharType="begin"/>
      </w:r>
      <w:r w:rsidR="007B6CD9">
        <w:rPr>
          <w:b/>
        </w:rPr>
        <w:instrText xml:space="preserve"> REF _Ref135917082 \n \h </w:instrText>
      </w:r>
      <w:r w:rsidR="005E726C">
        <w:rPr>
          <w:b/>
        </w:rPr>
        <w:instrText xml:space="preserve"> \* MERGEFORMAT </w:instrText>
      </w:r>
      <w:r w:rsidR="007B6CD9">
        <w:rPr>
          <w:b/>
        </w:rPr>
      </w:r>
      <w:r w:rsidR="007B6CD9">
        <w:rPr>
          <w:b/>
        </w:rPr>
        <w:fldChar w:fldCharType="separate"/>
      </w:r>
      <w:r w:rsidR="00AD324D">
        <w:rPr>
          <w:b/>
        </w:rPr>
        <w:t>1.4</w:t>
      </w:r>
      <w:r w:rsidR="007B6CD9">
        <w:rPr>
          <w:b/>
        </w:rPr>
        <w:fldChar w:fldCharType="end"/>
      </w:r>
      <w:r w:rsidR="007B6CD9">
        <w:rPr>
          <w:b/>
        </w:rPr>
        <w:t>“</w:t>
      </w:r>
      <w:r w:rsidR="00720D30" w:rsidRPr="00B47BDA">
        <w:t>.</w:t>
      </w:r>
    </w:p>
    <w:p w14:paraId="76A030EE" w14:textId="37DF8145" w:rsidR="00881AF5" w:rsidRPr="00B47BDA" w:rsidRDefault="00881AF5" w:rsidP="005E726C">
      <w:r>
        <w:t>U organizaciji Mini</w:t>
      </w:r>
      <w:r w:rsidR="000164D5">
        <w:t xml:space="preserve">starstva </w:t>
      </w:r>
      <w:r w:rsidR="00D465D7">
        <w:t xml:space="preserve">okoliša, klime i energetike Republike Slovenije </w:t>
      </w:r>
      <w:r w:rsidR="006B0349">
        <w:t xml:space="preserve">u veljači 2024. godine organiziran je regionalni sastanak </w:t>
      </w:r>
      <w:r w:rsidR="00D83FB2">
        <w:t xml:space="preserve">eksperata za </w:t>
      </w:r>
      <w:r w:rsidR="00BC330D">
        <w:t>nacionalne en</w:t>
      </w:r>
      <w:r w:rsidR="00A23F53">
        <w:t xml:space="preserve">ergetske i </w:t>
      </w:r>
      <w:r w:rsidR="00777414">
        <w:t xml:space="preserve">klimatske planove </w:t>
      </w:r>
      <w:r w:rsidR="00881CA4">
        <w:t>Austrije,</w:t>
      </w:r>
      <w:r w:rsidR="0090000A">
        <w:t xml:space="preserve"> </w:t>
      </w:r>
      <w:r w:rsidR="00FA47FD">
        <w:t xml:space="preserve">Italije, </w:t>
      </w:r>
      <w:r w:rsidR="0090000A">
        <w:t>Hrvatske,</w:t>
      </w:r>
      <w:r w:rsidR="00881CA4">
        <w:t xml:space="preserve"> Mađarske</w:t>
      </w:r>
      <w:r w:rsidR="00FA47FD">
        <w:t xml:space="preserve"> i </w:t>
      </w:r>
      <w:r w:rsidR="00881CA4">
        <w:t>Slovenije</w:t>
      </w:r>
      <w:r w:rsidR="00F30CCE">
        <w:t>, s ciljem razmjene iskustava u izradi i provedbi NECP-a te identif</w:t>
      </w:r>
      <w:r w:rsidR="00A33BCA">
        <w:t>iciranja mogućnosti prekogranične i regionalne suradnje.</w:t>
      </w:r>
      <w:r w:rsidR="00A3734F">
        <w:t xml:space="preserve"> </w:t>
      </w:r>
    </w:p>
    <w:p w14:paraId="6AB4F21A" w14:textId="14691B02" w:rsidR="00FF0CF3" w:rsidRPr="00B47BDA" w:rsidRDefault="00FF0CF3" w:rsidP="005C2C7E">
      <w:pPr>
        <w:pStyle w:val="Heading4"/>
        <w:numPr>
          <w:ilvl w:val="3"/>
          <w:numId w:val="175"/>
        </w:numPr>
        <w:ind w:hanging="580"/>
      </w:pPr>
      <w:bookmarkStart w:id="204" w:name="_Toc531702944"/>
      <w:bookmarkStart w:id="205" w:name="_Toc531801527"/>
      <w:bookmarkStart w:id="206" w:name="_Toc531801656"/>
      <w:bookmarkStart w:id="207" w:name="_Toc531801782"/>
      <w:bookmarkStart w:id="208" w:name="_Toc531801910"/>
      <w:bookmarkStart w:id="209" w:name="_Toc531934957"/>
      <w:bookmarkStart w:id="210" w:name="_Toc531945083"/>
      <w:bookmarkStart w:id="211" w:name="_Toc6302339"/>
      <w:bookmarkEnd w:id="204"/>
      <w:bookmarkEnd w:id="205"/>
      <w:bookmarkEnd w:id="206"/>
      <w:bookmarkEnd w:id="207"/>
      <w:bookmarkEnd w:id="208"/>
      <w:r w:rsidRPr="00B47BDA">
        <w:t>Iterativni postupak s Europskom komisijom</w:t>
      </w:r>
      <w:bookmarkEnd w:id="209"/>
      <w:bookmarkEnd w:id="210"/>
      <w:bookmarkEnd w:id="211"/>
      <w:r w:rsidRPr="00B47BDA">
        <w:t xml:space="preserve"> </w:t>
      </w:r>
    </w:p>
    <w:p w14:paraId="2B19B33D" w14:textId="55E9B3A5" w:rsidR="00F7624C" w:rsidRPr="004D4BE1" w:rsidRDefault="00F7624C" w:rsidP="005E726C">
      <w:pPr>
        <w:rPr>
          <w:rFonts w:asciiTheme="minorHAnsi" w:hAnsiTheme="minorHAnsi" w:cstheme="minorHAnsi"/>
        </w:rPr>
      </w:pPr>
      <w:r w:rsidRPr="004D4BE1">
        <w:rPr>
          <w:rFonts w:asciiTheme="minorHAnsi" w:hAnsiTheme="minorHAnsi" w:cstheme="minorHAnsi"/>
        </w:rPr>
        <w:t>Predstavnici M</w:t>
      </w:r>
      <w:r w:rsidR="0086358F" w:rsidRPr="004D4BE1">
        <w:rPr>
          <w:rFonts w:asciiTheme="minorHAnsi" w:hAnsiTheme="minorHAnsi" w:cstheme="minorHAnsi"/>
        </w:rPr>
        <w:t>INGO-a</w:t>
      </w:r>
      <w:r w:rsidRPr="004D4BE1">
        <w:rPr>
          <w:rFonts w:asciiTheme="minorHAnsi" w:hAnsiTheme="minorHAnsi" w:cstheme="minorHAnsi"/>
        </w:rPr>
        <w:t xml:space="preserve"> sudjelovali su u radu i na sastancima Tehničke radne skupine za nacionalne energetske i klimatske planove Europske komisije.</w:t>
      </w:r>
    </w:p>
    <w:p w14:paraId="13FDF03F" w14:textId="77777777" w:rsidR="00F7624C" w:rsidRPr="004D4BE1" w:rsidRDefault="00F7624C" w:rsidP="005E726C">
      <w:pPr>
        <w:rPr>
          <w:rFonts w:asciiTheme="minorHAnsi" w:hAnsiTheme="minorHAnsi" w:cstheme="minorHAnsi"/>
        </w:rPr>
      </w:pPr>
      <w:r w:rsidRPr="004D4BE1">
        <w:rPr>
          <w:rFonts w:asciiTheme="minorHAnsi" w:hAnsiTheme="minorHAnsi" w:cstheme="minorHAnsi"/>
        </w:rPr>
        <w:t>Prvi nacrt teksta Integriranog nacionalnog energetskog i klimatskog plana dostavljen je Europskoj komisiji krajem prosinca 2018. godine.</w:t>
      </w:r>
    </w:p>
    <w:p w14:paraId="0FF66680" w14:textId="6E71A90D" w:rsidR="00F7624C" w:rsidRPr="004D4BE1" w:rsidRDefault="00F7624C" w:rsidP="005E726C">
      <w:pPr>
        <w:rPr>
          <w:rFonts w:asciiTheme="minorHAnsi" w:hAnsiTheme="minorHAnsi" w:cstheme="minorHAnsi"/>
        </w:rPr>
      </w:pPr>
      <w:r w:rsidRPr="004D4BE1">
        <w:rPr>
          <w:rFonts w:asciiTheme="minorHAnsi" w:hAnsiTheme="minorHAnsi" w:cstheme="minorHAnsi"/>
        </w:rPr>
        <w:t>Nakon dostave nacrta plana u Europsku komisiju, aktivno se nastavilo raditi na tekstu i dopun</w:t>
      </w:r>
      <w:r w:rsidR="00903CDF" w:rsidRPr="004D4BE1">
        <w:rPr>
          <w:rFonts w:asciiTheme="minorHAnsi" w:hAnsiTheme="minorHAnsi" w:cstheme="minorHAnsi"/>
        </w:rPr>
        <w:t>j</w:t>
      </w:r>
      <w:r w:rsidRPr="004D4BE1">
        <w:rPr>
          <w:rFonts w:asciiTheme="minorHAnsi" w:hAnsiTheme="minorHAnsi" w:cstheme="minorHAnsi"/>
        </w:rPr>
        <w:t>avalo dijelove vezane za procjenu učinaka mjera te za dimenziju istraživanje, inovacije i konkurentnost koji su u Nacrtu bili slabije zastupljeni.</w:t>
      </w:r>
    </w:p>
    <w:p w14:paraId="715D00EE" w14:textId="1604CFED" w:rsidR="00FE082E" w:rsidRPr="004D4BE1" w:rsidRDefault="00F7624C" w:rsidP="005E726C">
      <w:pPr>
        <w:rPr>
          <w:rFonts w:asciiTheme="minorHAnsi" w:hAnsiTheme="minorHAnsi" w:cstheme="minorHAnsi"/>
        </w:rPr>
      </w:pPr>
      <w:r w:rsidRPr="004D4BE1">
        <w:rPr>
          <w:rFonts w:asciiTheme="minorHAnsi" w:hAnsiTheme="minorHAnsi" w:cstheme="minorHAnsi"/>
        </w:rPr>
        <w:t>Tijekom 2019. godine održano je i nekoliko bilateralnih sastanaka s Europskom komisijom koja je sv</w:t>
      </w:r>
      <w:r w:rsidR="00903CDF" w:rsidRPr="004D4BE1">
        <w:rPr>
          <w:rFonts w:asciiTheme="minorHAnsi" w:hAnsiTheme="minorHAnsi" w:cstheme="minorHAnsi"/>
        </w:rPr>
        <w:t>o</w:t>
      </w:r>
      <w:r w:rsidRPr="004D4BE1">
        <w:rPr>
          <w:rFonts w:asciiTheme="minorHAnsi" w:hAnsiTheme="minorHAnsi" w:cstheme="minorHAnsi"/>
        </w:rPr>
        <w:t>je komentare</w:t>
      </w:r>
      <w:r w:rsidR="00AF5025" w:rsidRPr="004D4BE1">
        <w:rPr>
          <w:rFonts w:asciiTheme="minorHAnsi" w:hAnsiTheme="minorHAnsi" w:cstheme="minorHAnsi"/>
        </w:rPr>
        <w:t xml:space="preserve"> i preporuke</w:t>
      </w:r>
      <w:r w:rsidRPr="004D4BE1">
        <w:rPr>
          <w:rFonts w:asciiTheme="minorHAnsi" w:hAnsiTheme="minorHAnsi" w:cstheme="minorHAnsi"/>
        </w:rPr>
        <w:t xml:space="preserve"> na nacrt integriranog nacionalnog energetskog i klimatskog plana dostavila krajem lipnja 2019. godine</w:t>
      </w:r>
      <w:r w:rsidR="00AE41A4" w:rsidRPr="004D4BE1">
        <w:rPr>
          <w:rStyle w:val="FootnoteReference"/>
          <w:rFonts w:asciiTheme="minorHAnsi" w:hAnsiTheme="minorHAnsi" w:cstheme="minorHAnsi"/>
          <w:sz w:val="24"/>
        </w:rPr>
        <w:footnoteReference w:id="16"/>
      </w:r>
      <w:r w:rsidR="005E2E9C" w:rsidRPr="004D4BE1">
        <w:rPr>
          <w:rFonts w:asciiTheme="minorHAnsi" w:hAnsiTheme="minorHAnsi" w:cstheme="minorHAnsi"/>
        </w:rPr>
        <w:t>.</w:t>
      </w:r>
    </w:p>
    <w:p w14:paraId="34B276BC" w14:textId="6B535C1B" w:rsidR="00AF5025" w:rsidRPr="00B47BDA" w:rsidRDefault="00AE41A4" w:rsidP="005E726C">
      <w:r w:rsidRPr="00B47BDA">
        <w:lastRenderedPageBreak/>
        <w:t>Prep</w:t>
      </w:r>
      <w:r w:rsidR="00143B43" w:rsidRPr="00B47BDA">
        <w:t>oruke i komentari u najvećoj su mjeri usvojeni u konačnom tekstu plana, a</w:t>
      </w:r>
      <w:r w:rsidR="00691961" w:rsidRPr="00B47BDA">
        <w:t xml:space="preserve"> Ministarstvo zaštite okoliša i energetike dostavilo je Europskoj komisiji</w:t>
      </w:r>
      <w:r w:rsidR="00143B43" w:rsidRPr="00B47BDA">
        <w:t xml:space="preserve"> </w:t>
      </w:r>
      <w:r w:rsidR="00D82EED" w:rsidRPr="00B47BDA">
        <w:t>odgovor</w:t>
      </w:r>
      <w:r w:rsidR="008C3C63" w:rsidRPr="00B47BDA">
        <w:t>e</w:t>
      </w:r>
      <w:r w:rsidR="00D82EED" w:rsidRPr="00B47BDA">
        <w:t xml:space="preserve"> na sv</w:t>
      </w:r>
      <w:r w:rsidR="008C3C63" w:rsidRPr="00B47BDA">
        <w:t>e zaprimljene komentare</w:t>
      </w:r>
      <w:r w:rsidR="00691961" w:rsidRPr="00B47BDA">
        <w:t>.</w:t>
      </w:r>
      <w:r w:rsidR="008C3C63" w:rsidRPr="00B47BDA">
        <w:t xml:space="preserve"> </w:t>
      </w:r>
    </w:p>
    <w:p w14:paraId="13B4CF64" w14:textId="7C379BB3" w:rsidR="007F3879" w:rsidRPr="00B47BDA" w:rsidRDefault="00DF7A0E" w:rsidP="005E726C">
      <w:r w:rsidRPr="00B47BDA">
        <w:t xml:space="preserve">Nacrt </w:t>
      </w:r>
      <w:r w:rsidR="009D3827" w:rsidRPr="00B47BDA">
        <w:t>ažuriranog Plana</w:t>
      </w:r>
      <w:r w:rsidRPr="00B47BDA">
        <w:t xml:space="preserve"> dostavljen je Europskoj komisiji u roku predviđenom Uredbom</w:t>
      </w:r>
      <w:r w:rsidR="00820D89">
        <w:t xml:space="preserve"> (EU) 2018/1999</w:t>
      </w:r>
      <w:r w:rsidR="004D00B9" w:rsidRPr="00B47BDA">
        <w:t xml:space="preserve"> </w:t>
      </w:r>
      <w:r w:rsidR="007F3879" w:rsidRPr="007F3879">
        <w:t>o upravljanju energetskom unijom i djelovanjem u području klime</w:t>
      </w:r>
      <w:r w:rsidR="007F3879">
        <w:t>.</w:t>
      </w:r>
    </w:p>
    <w:p w14:paraId="5889699B" w14:textId="77777777" w:rsidR="008746C3" w:rsidRDefault="008746C3" w:rsidP="008746C3">
      <w:pPr>
        <w:rPr>
          <w:rFonts w:asciiTheme="minorHAnsi" w:hAnsiTheme="minorHAnsi" w:cstheme="minorHAnsi"/>
        </w:rPr>
      </w:pPr>
      <w:r>
        <w:rPr>
          <w:rFonts w:asciiTheme="minorHAnsi" w:hAnsiTheme="minorHAnsi" w:cstheme="minorHAnsi"/>
        </w:rPr>
        <w:t>Nakon dostave nacrta revidiranog P</w:t>
      </w:r>
      <w:r w:rsidRPr="004D4BE1">
        <w:rPr>
          <w:rFonts w:asciiTheme="minorHAnsi" w:hAnsiTheme="minorHAnsi" w:cstheme="minorHAnsi"/>
        </w:rPr>
        <w:t>lana u Europsku komisiju</w:t>
      </w:r>
      <w:r>
        <w:rPr>
          <w:rFonts w:asciiTheme="minorHAnsi" w:hAnsiTheme="minorHAnsi" w:cstheme="minorHAnsi"/>
        </w:rPr>
        <w:t xml:space="preserve"> u srpnju 2023. godine</w:t>
      </w:r>
      <w:r w:rsidRPr="004D4BE1">
        <w:rPr>
          <w:rFonts w:asciiTheme="minorHAnsi" w:hAnsiTheme="minorHAnsi" w:cstheme="minorHAnsi"/>
        </w:rPr>
        <w:t>, aktivno se nastavilo raditi na tekstu i dopunjavalo dijelove vezane za dimenziju istraživanje, inovacije i konkurentnost</w:t>
      </w:r>
      <w:r>
        <w:rPr>
          <w:rFonts w:asciiTheme="minorHAnsi" w:hAnsiTheme="minorHAnsi" w:cstheme="minorHAnsi"/>
        </w:rPr>
        <w:t xml:space="preserve"> i praćenje učinaka mjera. </w:t>
      </w:r>
    </w:p>
    <w:p w14:paraId="2AA556C0" w14:textId="0E13631A" w:rsidR="008746C3" w:rsidRDefault="008746C3" w:rsidP="008746C3">
      <w:pPr>
        <w:rPr>
          <w:rFonts w:asciiTheme="minorHAnsi" w:hAnsiTheme="minorHAnsi" w:cstheme="minorBidi"/>
        </w:rPr>
      </w:pPr>
      <w:r w:rsidRPr="55103C4F">
        <w:rPr>
          <w:rFonts w:asciiTheme="minorHAnsi" w:hAnsiTheme="minorHAnsi" w:cstheme="minorBidi"/>
        </w:rPr>
        <w:t xml:space="preserve">Nakon dostave preporuka i komentara Europske komisije u prosincu 2024, Ministarstvo gospodarstva usvojilo je sve preporuke u konačnom tekstu Plana i raspravilo ih sa </w:t>
      </w:r>
      <w:r w:rsidR="637D84F4" w:rsidRPr="55103C4F">
        <w:rPr>
          <w:rFonts w:asciiTheme="minorHAnsi" w:hAnsiTheme="minorHAnsi" w:cstheme="minorBidi"/>
        </w:rPr>
        <w:t>s</w:t>
      </w:r>
      <w:r w:rsidR="42C88D37" w:rsidRPr="55103C4F">
        <w:rPr>
          <w:rFonts w:asciiTheme="minorHAnsi" w:hAnsiTheme="minorHAnsi" w:cstheme="minorBidi"/>
        </w:rPr>
        <w:t>ektorom</w:t>
      </w:r>
      <w:r w:rsidRPr="55103C4F">
        <w:rPr>
          <w:rFonts w:asciiTheme="minorHAnsi" w:hAnsiTheme="minorHAnsi" w:cstheme="minorBidi"/>
        </w:rPr>
        <w:t xml:space="preserve"> cestovnog prometa pred kojim je veliki izazov za postizanje klimatskih i energetskih ciljeva. </w:t>
      </w:r>
    </w:p>
    <w:p w14:paraId="23FDBC66" w14:textId="5A534A9D" w:rsidR="008746C3" w:rsidRPr="00B47BDA" w:rsidRDefault="008746C3" w:rsidP="008746C3">
      <w:r w:rsidRPr="63259912">
        <w:rPr>
          <w:rFonts w:asciiTheme="minorHAnsi" w:hAnsiTheme="minorHAnsi" w:cstheme="minorBidi"/>
        </w:rPr>
        <w:t xml:space="preserve">Odgovore na preporuke i komentare Europske komisije, Ministarstvo je prezentiralo u travnju 2024. godine na događaju </w:t>
      </w:r>
      <w:r w:rsidR="4D471E01" w:rsidRPr="63259912">
        <w:rPr>
          <w:rFonts w:asciiTheme="minorHAnsi" w:hAnsiTheme="minorHAnsi" w:cstheme="minorBidi"/>
        </w:rPr>
        <w:t>koj</w:t>
      </w:r>
      <w:r w:rsidR="24696601" w:rsidRPr="63259912">
        <w:rPr>
          <w:rFonts w:asciiTheme="minorHAnsi" w:hAnsiTheme="minorHAnsi" w:cstheme="minorBidi"/>
        </w:rPr>
        <w:t>i</w:t>
      </w:r>
      <w:r w:rsidR="4D471E01" w:rsidRPr="63259912">
        <w:rPr>
          <w:rFonts w:asciiTheme="minorHAnsi" w:hAnsiTheme="minorHAnsi" w:cstheme="minorBidi"/>
        </w:rPr>
        <w:t xml:space="preserve"> je </w:t>
      </w:r>
      <w:r w:rsidR="42C88D37" w:rsidRPr="63259912">
        <w:rPr>
          <w:rFonts w:asciiTheme="minorHAnsi" w:hAnsiTheme="minorHAnsi" w:cstheme="minorBidi"/>
        </w:rPr>
        <w:t>inicira</w:t>
      </w:r>
      <w:r w:rsidR="43AF5244" w:rsidRPr="63259912">
        <w:rPr>
          <w:rFonts w:asciiTheme="minorHAnsi" w:hAnsiTheme="minorHAnsi" w:cstheme="minorBidi"/>
        </w:rPr>
        <w:t xml:space="preserve">la </w:t>
      </w:r>
      <w:r w:rsidR="7B9FBB57" w:rsidRPr="63259912">
        <w:rPr>
          <w:rFonts w:asciiTheme="minorHAnsi" w:hAnsiTheme="minorHAnsi" w:cstheme="minorBidi"/>
        </w:rPr>
        <w:t>Europska</w:t>
      </w:r>
      <w:r w:rsidR="587CA8F4" w:rsidRPr="63259912">
        <w:rPr>
          <w:rFonts w:asciiTheme="minorHAnsi" w:hAnsiTheme="minorHAnsi" w:cstheme="minorBidi"/>
        </w:rPr>
        <w:t xml:space="preserve"> </w:t>
      </w:r>
      <w:r w:rsidR="7961963C" w:rsidRPr="63259912">
        <w:rPr>
          <w:rFonts w:asciiTheme="minorHAnsi" w:hAnsiTheme="minorHAnsi" w:cstheme="minorBidi"/>
        </w:rPr>
        <w:t>k</w:t>
      </w:r>
      <w:r w:rsidR="42C88D37" w:rsidRPr="63259912">
        <w:rPr>
          <w:rFonts w:asciiTheme="minorHAnsi" w:hAnsiTheme="minorHAnsi" w:cstheme="minorBidi"/>
        </w:rPr>
        <w:t>omisij</w:t>
      </w:r>
      <w:r w:rsidR="4620A594" w:rsidRPr="63259912">
        <w:rPr>
          <w:rFonts w:asciiTheme="minorHAnsi" w:hAnsiTheme="minorHAnsi" w:cstheme="minorBidi"/>
        </w:rPr>
        <w:t>a</w:t>
      </w:r>
      <w:r w:rsidRPr="63259912">
        <w:rPr>
          <w:rFonts w:asciiTheme="minorHAnsi" w:hAnsiTheme="minorHAnsi" w:cstheme="minorBidi"/>
        </w:rPr>
        <w:t xml:space="preserve"> pod nazivom "Roadshow" gdje su se okupili svi relevantni kreatori nacionalnih politika uključenih u klimatsku i energetsku politiku.</w:t>
      </w:r>
    </w:p>
    <w:p w14:paraId="4836CCF1" w14:textId="0E7E70FD" w:rsidR="00FF0CF3" w:rsidRPr="00B47BDA" w:rsidRDefault="00FF0CF3" w:rsidP="005C2C7E">
      <w:pPr>
        <w:pStyle w:val="Heading2"/>
        <w:numPr>
          <w:ilvl w:val="1"/>
          <w:numId w:val="175"/>
        </w:numPr>
      </w:pPr>
      <w:bookmarkStart w:id="212" w:name="_Toc531702946"/>
      <w:bookmarkStart w:id="213" w:name="_Toc531801529"/>
      <w:bookmarkStart w:id="214" w:name="_Toc531801658"/>
      <w:bookmarkStart w:id="215" w:name="_Toc531801784"/>
      <w:bookmarkStart w:id="216" w:name="_Toc531801912"/>
      <w:bookmarkStart w:id="217" w:name="_Toc531702947"/>
      <w:bookmarkStart w:id="218" w:name="_Toc531801530"/>
      <w:bookmarkStart w:id="219" w:name="_Toc531801659"/>
      <w:bookmarkStart w:id="220" w:name="_Toc531801785"/>
      <w:bookmarkStart w:id="221" w:name="_Toc531801913"/>
      <w:bookmarkStart w:id="222" w:name="_Toc531934958"/>
      <w:bookmarkStart w:id="223" w:name="_Toc531945084"/>
      <w:bookmarkStart w:id="224" w:name="_Toc6302340"/>
      <w:bookmarkStart w:id="225" w:name="_Ref135917082"/>
      <w:bookmarkStart w:id="226" w:name="_Ref135917090"/>
      <w:bookmarkStart w:id="227" w:name="_Toc187418330"/>
      <w:bookmarkStart w:id="228" w:name="_Toc193043255"/>
      <w:bookmarkEnd w:id="212"/>
      <w:bookmarkEnd w:id="213"/>
      <w:bookmarkEnd w:id="214"/>
      <w:bookmarkEnd w:id="215"/>
      <w:bookmarkEnd w:id="216"/>
      <w:bookmarkEnd w:id="217"/>
      <w:bookmarkEnd w:id="218"/>
      <w:bookmarkEnd w:id="219"/>
      <w:bookmarkEnd w:id="220"/>
      <w:bookmarkEnd w:id="221"/>
      <w:r w:rsidRPr="00B47BDA">
        <w:t>Regionalna suradnja u izradi plana</w:t>
      </w:r>
      <w:bookmarkEnd w:id="222"/>
      <w:bookmarkEnd w:id="223"/>
      <w:bookmarkEnd w:id="224"/>
      <w:bookmarkEnd w:id="225"/>
      <w:bookmarkEnd w:id="226"/>
      <w:bookmarkEnd w:id="227"/>
      <w:bookmarkEnd w:id="228"/>
    </w:p>
    <w:p w14:paraId="4E393800" w14:textId="1D4C65D3" w:rsidR="00E51A59" w:rsidRPr="00B47BDA" w:rsidRDefault="00E51A59" w:rsidP="005C2C7E">
      <w:pPr>
        <w:pStyle w:val="Heading4"/>
        <w:numPr>
          <w:ilvl w:val="3"/>
          <w:numId w:val="175"/>
        </w:numPr>
        <w:ind w:hanging="580"/>
      </w:pPr>
      <w:bookmarkStart w:id="229" w:name="_Toc530845560"/>
      <w:bookmarkStart w:id="230" w:name="_Toc531934959"/>
      <w:bookmarkStart w:id="231" w:name="_Toc531945085"/>
      <w:bookmarkStart w:id="232" w:name="_Toc6302341"/>
      <w:r w:rsidRPr="00B47BDA">
        <w:t>Elementi koji podliježu zajedničkom ili koordiniranom planiranju s drugim državama članicama</w:t>
      </w:r>
      <w:bookmarkEnd w:id="229"/>
      <w:bookmarkEnd w:id="230"/>
      <w:bookmarkEnd w:id="231"/>
      <w:bookmarkEnd w:id="232"/>
    </w:p>
    <w:p w14:paraId="6E41E172" w14:textId="77777777" w:rsidR="005A678E" w:rsidRPr="00B47BDA" w:rsidRDefault="005A678E" w:rsidP="004623DD">
      <w:r w:rsidRPr="00B47BDA">
        <w:t>Elementi od prekogranične važnosti su:</w:t>
      </w:r>
    </w:p>
    <w:p w14:paraId="7072D2B0" w14:textId="77777777" w:rsidR="005A678E" w:rsidRPr="00B47BDA" w:rsidRDefault="005A678E" w:rsidP="004D4BE1">
      <w:pPr>
        <w:pStyle w:val="ListParagraph"/>
        <w:numPr>
          <w:ilvl w:val="0"/>
          <w:numId w:val="36"/>
        </w:numPr>
        <w:spacing w:after="60"/>
        <w:ind w:left="714" w:hanging="357"/>
      </w:pPr>
      <w:r w:rsidRPr="00B47BDA">
        <w:t>integracija energetskih tržišta,</w:t>
      </w:r>
    </w:p>
    <w:p w14:paraId="0009A8F2" w14:textId="77777777" w:rsidR="005A678E" w:rsidRPr="00B47BDA" w:rsidRDefault="005A678E" w:rsidP="004D4BE1">
      <w:pPr>
        <w:pStyle w:val="ListParagraph"/>
        <w:numPr>
          <w:ilvl w:val="0"/>
          <w:numId w:val="36"/>
        </w:numPr>
        <w:spacing w:after="60"/>
        <w:ind w:left="714" w:hanging="357"/>
      </w:pPr>
      <w:r w:rsidRPr="00B47BDA">
        <w:t>veliki infrastrukturni projekti koji se nalaze u blizini državne granice i prekogranični infrastrukturni projekti,</w:t>
      </w:r>
    </w:p>
    <w:p w14:paraId="0DA2FAE6" w14:textId="12F0D9A6" w:rsidR="005A678E" w:rsidRPr="00B47BDA" w:rsidRDefault="005A678E" w:rsidP="004D4BE1">
      <w:pPr>
        <w:pStyle w:val="ListParagraph"/>
        <w:numPr>
          <w:ilvl w:val="0"/>
          <w:numId w:val="36"/>
        </w:numPr>
        <w:spacing w:after="60"/>
        <w:ind w:left="714" w:hanging="357"/>
      </w:pPr>
      <w:r w:rsidRPr="00B47BDA">
        <w:t xml:space="preserve">međunarodna znanstveno-istraživačka suradnja u nekoj od dimenzija </w:t>
      </w:r>
      <w:r w:rsidR="00215153" w:rsidRPr="00B47BDA">
        <w:t xml:space="preserve">energetske </w:t>
      </w:r>
      <w:r w:rsidRPr="00B47BDA">
        <w:t>unije, te</w:t>
      </w:r>
    </w:p>
    <w:p w14:paraId="407FF8C3" w14:textId="16D6EB18" w:rsidR="005A678E" w:rsidRPr="00B47BDA" w:rsidRDefault="005A678E" w:rsidP="004D4BE1">
      <w:pPr>
        <w:pStyle w:val="ListParagraph"/>
        <w:numPr>
          <w:ilvl w:val="0"/>
          <w:numId w:val="36"/>
        </w:numPr>
        <w:spacing w:after="60"/>
        <w:ind w:left="714" w:hanging="357"/>
      </w:pPr>
      <w:r w:rsidRPr="00B47BDA">
        <w:t>ostale aktivnosti koje mogu utjecati na druge države članice EU.</w:t>
      </w:r>
    </w:p>
    <w:p w14:paraId="0877229C" w14:textId="77777777" w:rsidR="005A678E" w:rsidRPr="00B47BDA" w:rsidRDefault="005A678E" w:rsidP="005E726C">
      <w:r w:rsidRPr="00B47BDA">
        <w:t>Ključne aktivnosti za koje je nužno koordinirano planiranje sa susjednim državama članicama su utvrđene na regionalnoj radionici koja se održala u Ljubljani, u srpnju 2019. godine, u organizaciji Ministarstva za infrastrukturu Republike Slovenije. Na toj radionici su zemlje članice utvrdile potrebu i priliku za daljnju regionalnu suradnju u vezi tema koje podliježu pod integrirani energetski i klimatski plan i pod energetsku uniju. Na radionici su sudjelovali predstavnici nadležnih ministarstava Slovenije, Italije, Austrije, Mađarske i Hrvatske.</w:t>
      </w:r>
    </w:p>
    <w:p w14:paraId="5D776CCC" w14:textId="6500EF88" w:rsidR="005A678E" w:rsidRPr="00B47BDA" w:rsidRDefault="005A678E" w:rsidP="005E726C">
      <w:r w:rsidRPr="63259912">
        <w:t xml:space="preserve">Dio tema koje podliježu zajedničkom ili koordiniranom planiranju s drugim državama članicama već se obrađuju na nivou Europske unije. Tu se prvenstveno misli na integraciju energetskog tržišta i </w:t>
      </w:r>
      <w:r w:rsidR="00DA6909" w:rsidRPr="63259912">
        <w:t>provedb</w:t>
      </w:r>
      <w:r w:rsidR="00C24F62" w:rsidRPr="63259912">
        <w:t>u</w:t>
      </w:r>
      <w:r w:rsidR="00DA6909" w:rsidRPr="63259912">
        <w:t xml:space="preserve"> </w:t>
      </w:r>
      <w:r w:rsidRPr="63259912">
        <w:t>veliki</w:t>
      </w:r>
      <w:r w:rsidR="00DA6909" w:rsidRPr="63259912">
        <w:t>h</w:t>
      </w:r>
      <w:r w:rsidRPr="63259912">
        <w:t xml:space="preserve"> infrastrukturni</w:t>
      </w:r>
      <w:r w:rsidR="00DA6909" w:rsidRPr="63259912">
        <w:t>h</w:t>
      </w:r>
      <w:r w:rsidRPr="63259912">
        <w:t xml:space="preserve"> projek</w:t>
      </w:r>
      <w:r w:rsidR="00DA6909" w:rsidRPr="63259912">
        <w:t>ata</w:t>
      </w:r>
      <w:r w:rsidR="00C24F62" w:rsidRPr="63259912">
        <w:t xml:space="preserve"> </w:t>
      </w:r>
      <w:r w:rsidRPr="63259912">
        <w:t>od zajedničkog interesa</w:t>
      </w:r>
      <w:r w:rsidR="00DA6909" w:rsidRPr="63259912">
        <w:t xml:space="preserve"> (</w:t>
      </w:r>
      <w:r w:rsidR="007940A2" w:rsidRPr="63259912">
        <w:t xml:space="preserve">engl. </w:t>
      </w:r>
      <w:r w:rsidR="0077615F" w:rsidRPr="63259912">
        <w:t>P</w:t>
      </w:r>
      <w:r w:rsidR="007940A2" w:rsidRPr="63259912">
        <w:t>rojects of common interest, PCI)</w:t>
      </w:r>
      <w:r w:rsidR="00FC65FC" w:rsidRPr="63259912">
        <w:t xml:space="preserve"> financiranih iz </w:t>
      </w:r>
      <w:r w:rsidR="00D05A43" w:rsidRPr="63259912">
        <w:t>Instrumenta za povezivanje Europe (</w:t>
      </w:r>
      <w:r w:rsidR="004C374C" w:rsidRPr="63259912">
        <w:t xml:space="preserve">engl. </w:t>
      </w:r>
      <w:r w:rsidR="00ED3DBC" w:rsidRPr="63259912">
        <w:t xml:space="preserve">Connecting Europe </w:t>
      </w:r>
      <w:r w:rsidR="004C374C" w:rsidRPr="63259912">
        <w:t>Facility, CEF)</w:t>
      </w:r>
      <w:r w:rsidRPr="63259912">
        <w:t>.</w:t>
      </w:r>
    </w:p>
    <w:p w14:paraId="4995BBCE" w14:textId="6F9B2BD1" w:rsidR="005A678E" w:rsidRPr="00B47BDA" w:rsidRDefault="005A678E" w:rsidP="005E726C">
      <w:r w:rsidRPr="00B47BDA">
        <w:t xml:space="preserve">S druge strane, znanstveno-istraživačka suradnja puno je šira tema te je ovdje potrebna dodatna uspostava suradnje, mahom na korisničkoj razini. U tom kontekstu posebno je važan </w:t>
      </w:r>
      <w:r w:rsidRPr="00B47BDA">
        <w:lastRenderedPageBreak/>
        <w:t xml:space="preserve">Okvirni program Obzor 2020 koji će se u </w:t>
      </w:r>
      <w:r w:rsidR="00A560B9" w:rsidRPr="00B47BDA">
        <w:t>razdoblj</w:t>
      </w:r>
      <w:r w:rsidRPr="00B47BDA">
        <w:t>u kojeg pokriva plan nastaviti kao Okvirni program Obzor Europa.</w:t>
      </w:r>
    </w:p>
    <w:p w14:paraId="1052A4AE" w14:textId="0E68348E" w:rsidR="005A678E" w:rsidRPr="00B47BDA" w:rsidRDefault="005A678E" w:rsidP="005E726C">
      <w:r w:rsidRPr="00B47BDA">
        <w:t>Osim navedenog, suradnja bitna je i u provedbi projekata i razmjeni iskustava na čemu se treba posebno raditi. Posebno su bitni zajednički projekti koji će zbog relativno malog potencijala</w:t>
      </w:r>
      <w:r w:rsidR="006A509B" w:rsidRPr="00B47BDA">
        <w:t xml:space="preserve"> za</w:t>
      </w:r>
      <w:r w:rsidRPr="00B47BDA">
        <w:t xml:space="preserve"> pojedine države članice imati bolju mogućnost provedbe </w:t>
      </w:r>
      <w:r w:rsidR="00967CD1" w:rsidRPr="00B47BDA">
        <w:t>ako</w:t>
      </w:r>
      <w:r w:rsidRPr="00B47BDA">
        <w:t xml:space="preserve"> se objedine potrebe više zemalja (primjerice energetska obnova javnih ili kulturnih </w:t>
      </w:r>
      <w:r w:rsidR="00D62382" w:rsidRPr="00B47BDA">
        <w:t>d</w:t>
      </w:r>
      <w:r w:rsidRPr="00B47BDA">
        <w:t>obara i sl.).</w:t>
      </w:r>
    </w:p>
    <w:p w14:paraId="4D846EB1" w14:textId="3CDA6A81" w:rsidR="005A678E" w:rsidRPr="00B47BDA" w:rsidRDefault="005A678E" w:rsidP="005E726C">
      <w:r w:rsidRPr="00B47BDA">
        <w:t xml:space="preserve">No, sve navedene teme svakako moraju poslužiti za buduće jačanje zajedničkih aktivnosti koje bi prvenstveno trebalo potencirati kroz regionalne radionice koje bi poslužile za prezentiranje primjera dobre prakse i mjesta upoznavanja pojedinih stručnjaka, institucija i firmi koje bi mogle dogovarati i provoditi buduće zajedničke projekte vezane uz teme koje pokriva integrirani energetski i klimatski plan i područja </w:t>
      </w:r>
      <w:r w:rsidR="00215153" w:rsidRPr="00B47BDA">
        <w:t xml:space="preserve">energetske </w:t>
      </w:r>
      <w:r w:rsidRPr="00B47BDA">
        <w:t>unije.</w:t>
      </w:r>
    </w:p>
    <w:p w14:paraId="35F41517" w14:textId="567EE586" w:rsidR="00063BB2" w:rsidRPr="00B47BDA" w:rsidRDefault="00055166" w:rsidP="005C2C7E">
      <w:pPr>
        <w:pStyle w:val="Heading4"/>
        <w:numPr>
          <w:ilvl w:val="3"/>
          <w:numId w:val="175"/>
        </w:numPr>
        <w:ind w:hanging="580"/>
      </w:pPr>
      <w:r w:rsidRPr="00B47BDA">
        <w:t>Objašnjenje u pogledu toga kako se u planu razmatra regionalna suradnja</w:t>
      </w:r>
      <w:r w:rsidRPr="00B47BDA" w:rsidDel="00055166">
        <w:t xml:space="preserve"> </w:t>
      </w:r>
    </w:p>
    <w:p w14:paraId="4A3E0152" w14:textId="77777777" w:rsidR="003A6631" w:rsidRPr="00B47BDA" w:rsidRDefault="003A6631" w:rsidP="004623DD">
      <w:r w:rsidRPr="00B47BDA">
        <w:t>U cilju uspostave regionalne suradnje u finaliziranju i kasnijoj provedbi plana u Ljubljani u srpnju 2019. godine održana je prva regionalna radionica u organizaciji Ministarstva za infrastrukturu Republike Slovenije. Radionica je poslužila kao osnova za razvoj suradnje među državama članicama u pogledu tema koje obrađuje integrirani energetski i klimatski plan.</w:t>
      </w:r>
    </w:p>
    <w:p w14:paraId="47C581AD" w14:textId="77777777" w:rsidR="003A6631" w:rsidRPr="00B47BDA" w:rsidRDefault="003A6631" w:rsidP="004623DD">
      <w:r w:rsidRPr="00B47BDA">
        <w:t>Regionalna suradnja se u planu razmatra u dva ključna segmenta:</w:t>
      </w:r>
    </w:p>
    <w:p w14:paraId="7F0CB059" w14:textId="77777777" w:rsidR="003A6631" w:rsidRPr="00B47BDA" w:rsidRDefault="003A6631" w:rsidP="004D4BE1">
      <w:pPr>
        <w:pStyle w:val="ListParagraph"/>
        <w:numPr>
          <w:ilvl w:val="0"/>
          <w:numId w:val="37"/>
        </w:numPr>
        <w:spacing w:after="60"/>
        <w:ind w:left="714" w:hanging="357"/>
      </w:pPr>
      <w:r w:rsidRPr="00B47BDA">
        <w:t>dosadašnja suradnja;</w:t>
      </w:r>
    </w:p>
    <w:p w14:paraId="24D632C1" w14:textId="77777777" w:rsidR="003A6631" w:rsidRPr="00B47BDA" w:rsidRDefault="003A6631" w:rsidP="004D4BE1">
      <w:pPr>
        <w:pStyle w:val="ListParagraph"/>
        <w:numPr>
          <w:ilvl w:val="0"/>
          <w:numId w:val="37"/>
        </w:numPr>
        <w:spacing w:after="60"/>
        <w:ind w:left="714" w:hanging="357"/>
      </w:pPr>
      <w:r w:rsidRPr="00B47BDA">
        <w:t>potencijalna buduća suradnja.</w:t>
      </w:r>
    </w:p>
    <w:p w14:paraId="4865E9A8" w14:textId="4EB4F457" w:rsidR="003A6631" w:rsidRPr="00B47BDA" w:rsidRDefault="003A6631" w:rsidP="004623DD">
      <w:r w:rsidRPr="00B47BDA">
        <w:t>Dosadašnja suradnja predstavljena je na radionici u Ljubljani na kojoj je istaknuto kako Republika Hrvatska ima posebno dobru suradnju s Republikom Slovenijom i Ma</w:t>
      </w:r>
      <w:r w:rsidR="0046016A" w:rsidRPr="00B47BDA">
        <w:t>đ</w:t>
      </w:r>
      <w:r w:rsidRPr="00B47BDA">
        <w:t>arskom</w:t>
      </w:r>
      <w:r w:rsidR="003C1A2E" w:rsidRPr="00B47BDA">
        <w:t xml:space="preserve">, i to </w:t>
      </w:r>
      <w:r w:rsidRPr="00B47BDA">
        <w:t>po pitanju uspostave energetske infrastrukture</w:t>
      </w:r>
      <w:r w:rsidR="003C1BCC" w:rsidRPr="00B47BDA">
        <w:t xml:space="preserve">, </w:t>
      </w:r>
      <w:r w:rsidRPr="00B47BDA">
        <w:t>u području sigurnosti opskrbe</w:t>
      </w:r>
      <w:r w:rsidR="007245B1" w:rsidRPr="00B47BDA">
        <w:t xml:space="preserve"> i</w:t>
      </w:r>
      <w:r w:rsidRPr="00B47BDA">
        <w:t xml:space="preserve"> povezivanj</w:t>
      </w:r>
      <w:r w:rsidR="007245B1" w:rsidRPr="00B47BDA">
        <w:t>a</w:t>
      </w:r>
      <w:r w:rsidR="003C1BCC" w:rsidRPr="00B47BDA">
        <w:t xml:space="preserve"> energetskih</w:t>
      </w:r>
      <w:r w:rsidRPr="00B47BDA">
        <w:t xml:space="preserve"> tržišta.</w:t>
      </w:r>
    </w:p>
    <w:p w14:paraId="08C1C02E" w14:textId="074C45B7" w:rsidR="003A6631" w:rsidRPr="00B47BDA" w:rsidRDefault="003A6631" w:rsidP="004623DD">
      <w:r w:rsidRPr="00B47BDA">
        <w:t>Potencijalna buduća suradnja također je naznačena na regionalnoj radionici. Ona je prvenstveno usmjerena na</w:t>
      </w:r>
      <w:r w:rsidR="008F43A7" w:rsidRPr="00B47BDA">
        <w:t xml:space="preserve"> nastavak povezivanja energetskih tržišta i</w:t>
      </w:r>
      <w:r w:rsidR="00022CEB" w:rsidRPr="00B47BDA">
        <w:t xml:space="preserve"> daljnje</w:t>
      </w:r>
      <w:r w:rsidR="008F43A7" w:rsidRPr="00B47BDA">
        <w:t xml:space="preserve"> </w:t>
      </w:r>
      <w:r w:rsidR="004D3CF2" w:rsidRPr="00B47BDA">
        <w:t>jačanje suradnje op</w:t>
      </w:r>
      <w:r w:rsidR="00967CD1" w:rsidRPr="00B47BDA">
        <w:t>e</w:t>
      </w:r>
      <w:r w:rsidR="004D3CF2" w:rsidRPr="00B47BDA">
        <w:t>ratora prijenosnih sustava</w:t>
      </w:r>
      <w:r w:rsidR="001C009D" w:rsidRPr="00B47BDA">
        <w:t xml:space="preserve">. Posebno je </w:t>
      </w:r>
      <w:r w:rsidR="001100E8" w:rsidRPr="00B47BDA">
        <w:t>važno</w:t>
      </w:r>
      <w:r w:rsidR="001C009D" w:rsidRPr="00B47BDA">
        <w:t xml:space="preserve"> istaknuti potrebu za suradn</w:t>
      </w:r>
      <w:r w:rsidR="00224CA4" w:rsidRPr="00B47BDA">
        <w:t>jom na novim,</w:t>
      </w:r>
      <w:r w:rsidRPr="00B47BDA">
        <w:t xml:space="preserve"> još nedovoljno </w:t>
      </w:r>
      <w:r w:rsidR="00224CA4" w:rsidRPr="00B47BDA">
        <w:t xml:space="preserve">istraženim </w:t>
      </w:r>
      <w:r w:rsidRPr="00B47BDA">
        <w:t>područj</w:t>
      </w:r>
      <w:r w:rsidR="00224CA4" w:rsidRPr="00B47BDA">
        <w:t>im</w:t>
      </w:r>
      <w:r w:rsidRPr="00B47BDA">
        <w:t>a i poticanje</w:t>
      </w:r>
      <w:r w:rsidR="009B00EE" w:rsidRPr="00B47BDA">
        <w:t>m</w:t>
      </w:r>
      <w:r w:rsidRPr="00B47BDA">
        <w:t xml:space="preserve"> zajedničkog znanstveno-istraživačkog rada. U tom kontekstu Republika Hrvatska je </w:t>
      </w:r>
      <w:r w:rsidR="00CB19DB" w:rsidRPr="00B47BDA">
        <w:t>kao posebno značajna izdvojila</w:t>
      </w:r>
      <w:r w:rsidRPr="00B47BDA">
        <w:t xml:space="preserve"> polja poput vodika, razvoja baterija te hvatanja i skladištenja CO</w:t>
      </w:r>
      <w:r w:rsidRPr="00B47BDA">
        <w:rPr>
          <w:vertAlign w:val="subscript"/>
        </w:rPr>
        <w:t>2</w:t>
      </w:r>
      <w:r w:rsidR="00040016" w:rsidRPr="00B47BDA">
        <w:t>,</w:t>
      </w:r>
      <w:r w:rsidRPr="00B47BDA">
        <w:t xml:space="preserve"> uz spremnost da se suradnja u budućnosti proširi i na druga područja.</w:t>
      </w:r>
      <w:r w:rsidR="00022CEB" w:rsidRPr="00B47BDA">
        <w:t xml:space="preserve"> Očekuje se i uspostava</w:t>
      </w:r>
      <w:r w:rsidR="004D35C9" w:rsidRPr="00B47BDA">
        <w:t xml:space="preserve"> regionalne</w:t>
      </w:r>
      <w:r w:rsidR="00022CEB" w:rsidRPr="00B47BDA">
        <w:t xml:space="preserve"> suradnje u </w:t>
      </w:r>
      <w:r w:rsidR="00897054" w:rsidRPr="00B47BDA">
        <w:t>okviru</w:t>
      </w:r>
      <w:r w:rsidR="00022CEB" w:rsidRPr="00B47BDA">
        <w:t xml:space="preserve"> </w:t>
      </w:r>
      <w:r w:rsidR="00E4739D" w:rsidRPr="00B47BDA">
        <w:t>i</w:t>
      </w:r>
      <w:r w:rsidR="00AA39EA" w:rsidRPr="00B47BDA">
        <w:t>n</w:t>
      </w:r>
      <w:r w:rsidR="0023069C" w:rsidRPr="00B47BDA">
        <w:t>i</w:t>
      </w:r>
      <w:r w:rsidR="00AA39EA" w:rsidRPr="00B47BDA">
        <w:t xml:space="preserve">cijative </w:t>
      </w:r>
      <w:r w:rsidR="00E4739D" w:rsidRPr="00B47BDA">
        <w:t>„</w:t>
      </w:r>
      <w:r w:rsidR="004D35C9" w:rsidRPr="00B47BDA">
        <w:t>Čista energija za otoke EU</w:t>
      </w:r>
      <w:r w:rsidR="00E4739D" w:rsidRPr="00B47BDA">
        <w:t xml:space="preserve">“, prvenstveno s </w:t>
      </w:r>
      <w:r w:rsidR="00897054" w:rsidRPr="00B47BDA">
        <w:t>Republikom Italijom</w:t>
      </w:r>
      <w:r w:rsidR="000539E1" w:rsidRPr="00B47BDA">
        <w:t xml:space="preserve"> i drugim mediteranskim državama članicama EU</w:t>
      </w:r>
      <w:r w:rsidR="009E5E92" w:rsidRPr="00B47BDA">
        <w:t>.</w:t>
      </w:r>
    </w:p>
    <w:p w14:paraId="0BF658A4" w14:textId="74415881" w:rsidR="003A6631" w:rsidRPr="00B47BDA" w:rsidRDefault="003A6631" w:rsidP="004623DD">
      <w:r w:rsidRPr="00B47BDA">
        <w:t>Također, po dovršetku Integriranog</w:t>
      </w:r>
      <w:r w:rsidR="00897054" w:rsidRPr="00B47BDA">
        <w:t xml:space="preserve"> nacionalnog</w:t>
      </w:r>
      <w:r w:rsidRPr="00B47BDA">
        <w:t xml:space="preserve"> energetskog i klimatskog plana, Republika Hrvatska će svim državama članicama EU staviti na raspolaganje tekst plana na hrvatskom i engleskom jeziku i biti na raspolaganju za konzultacije o sadržaju dokumenta. Na taj način će se dodatno potaknuti regionalna suradnja kako s već identificiranim državama, tako i s </w:t>
      </w:r>
      <w:r w:rsidR="00DE6773" w:rsidRPr="00B47BDA">
        <w:t>ostalim zainteresiranim</w:t>
      </w:r>
      <w:r w:rsidRPr="00B47BDA">
        <w:t xml:space="preserve"> državama članicama.</w:t>
      </w:r>
    </w:p>
    <w:p w14:paraId="405276A9" w14:textId="15867B92" w:rsidR="00461CF2" w:rsidRDefault="1A71C880" w:rsidP="00461CF2">
      <w:r>
        <w:t xml:space="preserve">U veljači 2024. godine održana je druga regionalna radionica u organizaciji Ministarstva za okoliš, klimu i </w:t>
      </w:r>
      <w:r w:rsidR="41B96766">
        <w:t>energetiku</w:t>
      </w:r>
      <w:r>
        <w:t xml:space="preserve"> Republike Slovenije </w:t>
      </w:r>
      <w:r w:rsidR="61C5E126">
        <w:t xml:space="preserve">koja je </w:t>
      </w:r>
      <w:r>
        <w:t>poslužila</w:t>
      </w:r>
      <w:r w:rsidR="007316DF">
        <w:t xml:space="preserve"> </w:t>
      </w:r>
      <w:r w:rsidR="0A1E10C3">
        <w:t>za</w:t>
      </w:r>
      <w:r>
        <w:t xml:space="preserve"> daljnji razvoj suradnje među susjednim državama članicama u pogledu tema mogućnosti regionalne suradnje koje obrađuje integrirani energetski i klimatski plan.</w:t>
      </w:r>
      <w:r w:rsidR="00461CF2">
        <w:br w:type="page"/>
      </w:r>
    </w:p>
    <w:p w14:paraId="1DDEFC18" w14:textId="3C542774" w:rsidR="00FF0CF3" w:rsidRPr="001B6A5D" w:rsidRDefault="00FF0CF3" w:rsidP="001B6A5D">
      <w:pPr>
        <w:pStyle w:val="Heading1"/>
        <w:numPr>
          <w:ilvl w:val="0"/>
          <w:numId w:val="175"/>
        </w:numPr>
      </w:pPr>
      <w:bookmarkStart w:id="233" w:name="_Toc531934961"/>
      <w:bookmarkStart w:id="234" w:name="_Toc531945087"/>
      <w:bookmarkStart w:id="235" w:name="_Toc6302344"/>
      <w:bookmarkStart w:id="236" w:name="_Toc187418331"/>
      <w:bookmarkStart w:id="237" w:name="_Toc193043256"/>
      <w:r w:rsidRPr="001B6A5D">
        <w:lastRenderedPageBreak/>
        <w:t>NACIONALNI CILJEVI</w:t>
      </w:r>
      <w:bookmarkEnd w:id="233"/>
      <w:bookmarkEnd w:id="234"/>
      <w:bookmarkEnd w:id="235"/>
      <w:bookmarkEnd w:id="236"/>
      <w:bookmarkEnd w:id="237"/>
      <w:r w:rsidRPr="001B6A5D">
        <w:t xml:space="preserve"> </w:t>
      </w:r>
    </w:p>
    <w:p w14:paraId="0E79F831" w14:textId="000F27A8" w:rsidR="00FF0CF3" w:rsidRPr="00B47BDA" w:rsidRDefault="00FF0CF3" w:rsidP="63259912">
      <w:pPr>
        <w:pStyle w:val="Heading2"/>
      </w:pPr>
      <w:bookmarkStart w:id="238" w:name="_Toc531934962"/>
      <w:bookmarkStart w:id="239" w:name="_Toc531945088"/>
      <w:bookmarkStart w:id="240" w:name="_Toc6302345"/>
      <w:bookmarkStart w:id="241" w:name="_Toc187418332"/>
      <w:bookmarkStart w:id="242" w:name="_Toc193043257"/>
      <w:r w:rsidRPr="63259912">
        <w:t xml:space="preserve">Dimenzija: </w:t>
      </w:r>
      <w:r w:rsidR="004D140C" w:rsidRPr="63259912">
        <w:t>d</w:t>
      </w:r>
      <w:r w:rsidRPr="63259912">
        <w:t>ekarbonizacija</w:t>
      </w:r>
      <w:bookmarkEnd w:id="238"/>
      <w:bookmarkEnd w:id="239"/>
      <w:bookmarkEnd w:id="240"/>
      <w:bookmarkEnd w:id="241"/>
      <w:bookmarkEnd w:id="242"/>
    </w:p>
    <w:p w14:paraId="7833309C" w14:textId="1B1FB6DE" w:rsidR="00FF0CF3" w:rsidRPr="00B47BDA" w:rsidRDefault="00FF0CF3" w:rsidP="005C2C7E">
      <w:pPr>
        <w:pStyle w:val="Heading3"/>
        <w:numPr>
          <w:ilvl w:val="2"/>
          <w:numId w:val="175"/>
        </w:numPr>
      </w:pPr>
      <w:bookmarkStart w:id="243" w:name="_Toc531934963"/>
      <w:bookmarkStart w:id="244" w:name="_Toc531945089"/>
      <w:bookmarkStart w:id="245" w:name="_Toc6302346"/>
      <w:bookmarkStart w:id="246" w:name="_Toc187418333"/>
      <w:bookmarkStart w:id="247" w:name="_Toc193043258"/>
      <w:r w:rsidRPr="00B47BDA">
        <w:t>Emisije i uklanjanja stakleničkih plinova</w:t>
      </w:r>
      <w:bookmarkEnd w:id="243"/>
      <w:bookmarkEnd w:id="244"/>
      <w:bookmarkEnd w:id="245"/>
      <w:bookmarkEnd w:id="246"/>
      <w:bookmarkEnd w:id="247"/>
      <w:r w:rsidRPr="00B47BDA">
        <w:t xml:space="preserve"> </w:t>
      </w:r>
    </w:p>
    <w:p w14:paraId="0CEA0E70" w14:textId="744C7AD7" w:rsidR="000105F4" w:rsidRPr="00B47BDA" w:rsidRDefault="000105F4" w:rsidP="63259912">
      <w:pPr>
        <w:pStyle w:val="Heading4"/>
        <w:ind w:hanging="580"/>
      </w:pPr>
      <w:r w:rsidRPr="63259912">
        <w:t>Elementi iz članka 4. točke (a) podtočke 1.</w:t>
      </w:r>
      <w:r w:rsidR="423FE17D" w:rsidRPr="63259912">
        <w:t xml:space="preserve"> </w:t>
      </w:r>
    </w:p>
    <w:p w14:paraId="76430F39" w14:textId="700182BC" w:rsidR="00776298" w:rsidRPr="00B47BDA" w:rsidRDefault="0049330E" w:rsidP="004623DD">
      <w:r w:rsidRPr="63259912">
        <w:t xml:space="preserve">Europska unija ratificirala </w:t>
      </w:r>
      <w:r w:rsidR="00350841" w:rsidRPr="63259912">
        <w:t xml:space="preserve">je </w:t>
      </w:r>
      <w:r w:rsidRPr="63259912">
        <w:t>Pariški sporazum i obvezala se smanjiti emisije stakleničkih plinova. Hrvatska je ratificirala Pariški sporazum u svibnju 2017. godine</w:t>
      </w:r>
      <w:r w:rsidR="008B79B9" w:rsidRPr="63259912">
        <w:t xml:space="preserve"> </w:t>
      </w:r>
      <w:r w:rsidR="007002D6" w:rsidRPr="63259912">
        <w:t>(</w:t>
      </w:r>
      <w:r w:rsidR="000E0C1D" w:rsidRPr="63259912">
        <w:t>„</w:t>
      </w:r>
      <w:r w:rsidR="00071A4F" w:rsidRPr="63259912">
        <w:t xml:space="preserve">Narodne </w:t>
      </w:r>
      <w:r w:rsidR="00A97AE7" w:rsidRPr="63259912">
        <w:t>novine</w:t>
      </w:r>
      <w:r w:rsidR="000E0C1D" w:rsidRPr="63259912">
        <w:t>“</w:t>
      </w:r>
      <w:r w:rsidR="00071A4F" w:rsidRPr="63259912">
        <w:t xml:space="preserve">, </w:t>
      </w:r>
      <w:r w:rsidR="001B663B" w:rsidRPr="63259912">
        <w:t>br.</w:t>
      </w:r>
      <w:r w:rsidR="00077350" w:rsidRPr="63259912">
        <w:t xml:space="preserve"> </w:t>
      </w:r>
      <w:r w:rsidR="007002D6" w:rsidRPr="63259912">
        <w:t>MU 3/17</w:t>
      </w:r>
      <w:r w:rsidR="000E0C1D" w:rsidRPr="63259912">
        <w:t>.</w:t>
      </w:r>
      <w:r w:rsidR="007002D6" w:rsidRPr="63259912">
        <w:t xml:space="preserve">) </w:t>
      </w:r>
      <w:r w:rsidR="008B79B9" w:rsidRPr="63259912">
        <w:t>i dijeli zajednički EU cilj</w:t>
      </w:r>
      <w:r w:rsidRPr="63259912">
        <w:t>.</w:t>
      </w:r>
      <w:r w:rsidR="00B87AB9" w:rsidRPr="63259912">
        <w:t xml:space="preserve"> </w:t>
      </w:r>
      <w:r w:rsidR="00412A98" w:rsidRPr="63259912">
        <w:t>Z</w:t>
      </w:r>
      <w:r w:rsidR="00DF728F" w:rsidRPr="63259912">
        <w:t>ajednički EU cilj</w:t>
      </w:r>
      <w:r w:rsidR="00B637DF" w:rsidRPr="63259912">
        <w:t xml:space="preserve">, je </w:t>
      </w:r>
      <w:r w:rsidR="001B1D40" w:rsidRPr="63259912">
        <w:t>kao nacionalno određeni doprinos</w:t>
      </w:r>
      <w:r w:rsidR="00695B23" w:rsidRPr="63259912">
        <w:t xml:space="preserve"> (NDC)</w:t>
      </w:r>
      <w:r w:rsidR="000F0204" w:rsidRPr="63259912">
        <w:t>,</w:t>
      </w:r>
      <w:r w:rsidR="001B1D40" w:rsidRPr="63259912">
        <w:t xml:space="preserve"> </w:t>
      </w:r>
      <w:r w:rsidR="0057654D" w:rsidRPr="63259912">
        <w:t xml:space="preserve">ažuriran i dostavljen u </w:t>
      </w:r>
      <w:r w:rsidR="003567F0" w:rsidRPr="63259912">
        <w:t>T</w:t>
      </w:r>
      <w:r w:rsidR="0057654D" w:rsidRPr="63259912">
        <w:t>ajništvo UNFCCC 2023. godine</w:t>
      </w:r>
      <w:r w:rsidR="00DF728F" w:rsidRPr="63259912">
        <w:t xml:space="preserve"> </w:t>
      </w:r>
      <w:r w:rsidR="006622D6" w:rsidRPr="63259912">
        <w:t>sa zajedničkim ciljem smanjenja emisija EU i njezinih država članica za najmanje 55 % do 2030. godine</w:t>
      </w:r>
      <w:r w:rsidR="00FC1767" w:rsidRPr="63259912">
        <w:t>. Taj cilj je</w:t>
      </w:r>
      <w:r w:rsidR="00DF728F" w:rsidRPr="63259912">
        <w:t xml:space="preserve"> raspodijeljen  u dvije cjeline, od kojih prva obuhvaća velike izvore emisije stakleničkih plinova koji su obveznici europskog sustava trgovanja emisijskim jedinicama (ETS sektor), a druga sektor</w:t>
      </w:r>
      <w:r w:rsidR="00563164" w:rsidRPr="63259912">
        <w:t>e</w:t>
      </w:r>
      <w:r w:rsidR="00913520" w:rsidRPr="63259912">
        <w:t xml:space="preserve"> izvan ETS-a</w:t>
      </w:r>
      <w:r w:rsidR="00DF728F" w:rsidRPr="63259912">
        <w:t>, koji obuhvaća</w:t>
      </w:r>
      <w:r w:rsidR="00AD2955" w:rsidRPr="63259912">
        <w:t>ju</w:t>
      </w:r>
      <w:r w:rsidR="00DF728F" w:rsidRPr="63259912">
        <w:t xml:space="preserve"> ostale, relativno manje izvore emisije, kao što su: cestovni i </w:t>
      </w:r>
      <w:r w:rsidR="00260305" w:rsidRPr="63259912">
        <w:t>iz</w:t>
      </w:r>
      <w:r w:rsidR="00DF728F" w:rsidRPr="63259912">
        <w:t>vancestovni promet (osim zračnog prometa koji je uključen u ETS sektor), mala energetska i industrijska postrojenja koja nisu uključena u ETS sektor, kućanstva, usluge, poljoprivredu, gospodarenje otpadom, promjene u korištenju zemljišta i šumarstvo.</w:t>
      </w:r>
    </w:p>
    <w:p w14:paraId="57FFF0F5" w14:textId="1BD02E59" w:rsidR="006327A0" w:rsidRDefault="1C4DF97B" w:rsidP="000B6608">
      <w:pPr>
        <w:rPr>
          <w:rFonts w:asciiTheme="minorHAnsi" w:hAnsiTheme="minorHAnsi" w:cstheme="minorBidi"/>
        </w:rPr>
      </w:pPr>
      <w:r>
        <w:t xml:space="preserve">Sektor </w:t>
      </w:r>
      <w:r w:rsidR="3A62A8ED">
        <w:t xml:space="preserve">Korištenje zemljišta, </w:t>
      </w:r>
      <w:r w:rsidR="3BC7E955">
        <w:t>prenamjena</w:t>
      </w:r>
      <w:r w:rsidR="3A62A8ED">
        <w:t xml:space="preserve"> zemljišta i šumarstvo (LULUCF) je jedan od najznačajnijih sektora u smislu doprinosa ispunjavanju cilja smanjenja emisija stakleničkih plinova EU</w:t>
      </w:r>
      <w:r w:rsidR="4CDC3126">
        <w:t>-a</w:t>
      </w:r>
      <w:r w:rsidR="3A62A8ED">
        <w:t xml:space="preserve">. </w:t>
      </w:r>
      <w:r w:rsidR="00F95F9B">
        <w:t>O</w:t>
      </w:r>
      <w:r w:rsidR="3A62A8ED">
        <w:t xml:space="preserve">pći cilj na razini EU-a </w:t>
      </w:r>
      <w:r w:rsidR="00B33833">
        <w:t>je</w:t>
      </w:r>
      <w:r w:rsidR="3A62A8ED">
        <w:t xml:space="preserve"> 310 milijuna </w:t>
      </w:r>
      <w:r w:rsidR="3A62A8ED" w:rsidRPr="40A57B62">
        <w:rPr>
          <w:rFonts w:asciiTheme="minorHAnsi" w:hAnsiTheme="minorHAnsi" w:cstheme="minorBidi"/>
        </w:rPr>
        <w:t>tona ekvivalenta CO₂ neto uklanjanja u sektoru LULUCF-a u 2030</w:t>
      </w:r>
      <w:r w:rsidR="43F02036" w:rsidRPr="40A57B62">
        <w:rPr>
          <w:rFonts w:asciiTheme="minorHAnsi" w:hAnsiTheme="minorHAnsi" w:cstheme="minorBidi"/>
        </w:rPr>
        <w:t>.</w:t>
      </w:r>
      <w:r w:rsidR="3A62A8ED" w:rsidRPr="40A57B62">
        <w:rPr>
          <w:rFonts w:asciiTheme="minorHAnsi" w:hAnsiTheme="minorHAnsi" w:cstheme="minorBidi"/>
        </w:rPr>
        <w:t xml:space="preserve"> U razdoblju 2026. – 2030. za svaku državu članicu vrijedit će obvezujući nacionalni cilj,</w:t>
      </w:r>
      <w:r w:rsidR="17667BEE" w:rsidRPr="40A57B62">
        <w:rPr>
          <w:rFonts w:asciiTheme="minorHAnsi" w:hAnsiTheme="minorHAnsi" w:cstheme="minorBidi"/>
        </w:rPr>
        <w:t xml:space="preserve"> </w:t>
      </w:r>
      <w:r w:rsidR="1FC34246" w:rsidRPr="40A57B62">
        <w:rPr>
          <w:rFonts w:asciiTheme="minorHAnsi" w:hAnsiTheme="minorHAnsi" w:cstheme="minorBidi"/>
        </w:rPr>
        <w:t>koj</w:t>
      </w:r>
      <w:r w:rsidR="00877252">
        <w:rPr>
          <w:rFonts w:asciiTheme="minorHAnsi" w:hAnsiTheme="minorHAnsi" w:cstheme="minorBidi"/>
        </w:rPr>
        <w:t>i</w:t>
      </w:r>
      <w:r w:rsidR="5AD35223" w:rsidRPr="40A57B62">
        <w:rPr>
          <w:rFonts w:asciiTheme="minorHAnsi" w:hAnsiTheme="minorHAnsi" w:cstheme="minorBidi"/>
        </w:rPr>
        <w:t xml:space="preserve"> </w:t>
      </w:r>
      <w:r w:rsidR="3A62A8ED" w:rsidRPr="40A57B62">
        <w:rPr>
          <w:rFonts w:asciiTheme="minorHAnsi" w:hAnsiTheme="minorHAnsi" w:cstheme="minorBidi"/>
        </w:rPr>
        <w:t xml:space="preserve">za </w:t>
      </w:r>
      <w:r w:rsidR="1FC34246" w:rsidRPr="40A57B62">
        <w:rPr>
          <w:rFonts w:asciiTheme="minorHAnsi" w:hAnsiTheme="minorHAnsi" w:cstheme="minorBidi"/>
        </w:rPr>
        <w:t>Republiku Hrvatsku iznosi – 5 527kt CO</w:t>
      </w:r>
      <w:r w:rsidR="1FC34246" w:rsidRPr="000E73A4">
        <w:rPr>
          <w:rFonts w:asciiTheme="minorHAnsi" w:hAnsiTheme="minorHAnsi" w:cstheme="minorBidi"/>
          <w:vertAlign w:val="subscript"/>
        </w:rPr>
        <w:t>2</w:t>
      </w:r>
      <w:r w:rsidR="1FC34246" w:rsidRPr="40A57B62">
        <w:rPr>
          <w:rFonts w:asciiTheme="minorHAnsi" w:hAnsiTheme="minorHAnsi" w:cstheme="minorBidi"/>
        </w:rPr>
        <w:t>eq</w:t>
      </w:r>
      <w:r w:rsidR="3A62A8ED" w:rsidRPr="40A57B62">
        <w:rPr>
          <w:rFonts w:asciiTheme="minorHAnsi" w:hAnsiTheme="minorHAnsi" w:cstheme="minorBidi"/>
        </w:rPr>
        <w:t xml:space="preserve">. </w:t>
      </w:r>
      <w:r w:rsidR="00ED32D9" w:rsidRPr="40A57B62">
        <w:rPr>
          <w:rFonts w:asciiTheme="minorHAnsi" w:hAnsiTheme="minorHAnsi" w:cstheme="minorBidi"/>
        </w:rPr>
        <w:t>Uredbom</w:t>
      </w:r>
      <w:r w:rsidR="00CB24CE">
        <w:rPr>
          <w:rFonts w:asciiTheme="minorHAnsi" w:hAnsiTheme="minorHAnsi" w:cstheme="minorBidi"/>
        </w:rPr>
        <w:t xml:space="preserve"> LULUCF</w:t>
      </w:r>
      <w:r w:rsidR="001F3B27">
        <w:rPr>
          <w:rFonts w:asciiTheme="minorHAnsi" w:hAnsiTheme="minorHAnsi" w:cstheme="minorBidi"/>
        </w:rPr>
        <w:t xml:space="preserve"> (</w:t>
      </w:r>
      <w:r w:rsidR="001F3B27" w:rsidRPr="001F3B27">
        <w:rPr>
          <w:rFonts w:asciiTheme="minorHAnsi" w:hAnsiTheme="minorHAnsi" w:cstheme="minorBidi"/>
        </w:rPr>
        <w:t>2023/839</w:t>
      </w:r>
      <w:r w:rsidR="001F3B27">
        <w:rPr>
          <w:rFonts w:asciiTheme="minorHAnsi" w:hAnsiTheme="minorHAnsi" w:cstheme="minorBidi"/>
        </w:rPr>
        <w:t>)</w:t>
      </w:r>
      <w:r w:rsidR="00ED32D9" w:rsidRPr="00E54EB2">
        <w:rPr>
          <w:rStyle w:val="CommentReference"/>
          <w:lang w:eastAsia="ru-RU"/>
        </w:rPr>
        <w:t xml:space="preserve"> </w:t>
      </w:r>
      <w:r w:rsidR="00ED32D9" w:rsidRPr="40A57B62">
        <w:rPr>
          <w:rFonts w:asciiTheme="minorHAnsi" w:hAnsiTheme="minorHAnsi" w:cstheme="minorBidi"/>
        </w:rPr>
        <w:t>se</w:t>
      </w:r>
      <w:r w:rsidR="3A62A8ED" w:rsidRPr="40A57B62">
        <w:rPr>
          <w:rFonts w:asciiTheme="minorHAnsi" w:hAnsiTheme="minorHAnsi" w:cstheme="minorBidi"/>
        </w:rPr>
        <w:t xml:space="preserve"> državama članicama nude fleksibilne mogućnosti koje im mogu pomoći u postizanju tih ciljeva</w:t>
      </w:r>
      <w:r w:rsidR="00883B64">
        <w:rPr>
          <w:rFonts w:asciiTheme="minorHAnsi" w:hAnsiTheme="minorHAnsi" w:cstheme="minorBidi"/>
        </w:rPr>
        <w:t>. Tako na</w:t>
      </w:r>
      <w:r w:rsidR="00B611B5">
        <w:rPr>
          <w:rFonts w:asciiTheme="minorHAnsi" w:hAnsiTheme="minorHAnsi" w:cstheme="minorBidi"/>
        </w:rPr>
        <w:t xml:space="preserve"> </w:t>
      </w:r>
      <w:r w:rsidR="00883B64">
        <w:rPr>
          <w:rFonts w:asciiTheme="minorHAnsi" w:hAnsiTheme="minorHAnsi" w:cstheme="minorBidi"/>
        </w:rPr>
        <w:t>primjer kod korištenja</w:t>
      </w:r>
      <w:r w:rsidR="00F45590">
        <w:rPr>
          <w:rFonts w:asciiTheme="minorHAnsi" w:hAnsiTheme="minorHAnsi" w:cstheme="minorBidi"/>
        </w:rPr>
        <w:t xml:space="preserve"> fleksibilne mogućnosti </w:t>
      </w:r>
      <w:r w:rsidR="00E07B99">
        <w:rPr>
          <w:rFonts w:asciiTheme="minorHAnsi" w:hAnsiTheme="minorHAnsi" w:cstheme="minorBidi"/>
        </w:rPr>
        <w:t>transfer</w:t>
      </w:r>
      <w:r w:rsidR="00F45590">
        <w:rPr>
          <w:rFonts w:asciiTheme="minorHAnsi" w:hAnsiTheme="minorHAnsi" w:cstheme="minorBidi"/>
        </w:rPr>
        <w:t>a</w:t>
      </w:r>
      <w:r w:rsidR="00E07B99">
        <w:rPr>
          <w:rFonts w:asciiTheme="minorHAnsi" w:hAnsiTheme="minorHAnsi" w:cstheme="minorBidi"/>
        </w:rPr>
        <w:t xml:space="preserve"> </w:t>
      </w:r>
      <w:r w:rsidR="0019409C" w:rsidRPr="0019409C">
        <w:rPr>
          <w:rFonts w:asciiTheme="minorHAnsi" w:hAnsiTheme="minorHAnsi" w:cstheme="minorBidi"/>
        </w:rPr>
        <w:t>(kupovine) jedinica nacionalne godišnje emisijske kvote (AEA) od druge države članice</w:t>
      </w:r>
      <w:r w:rsidR="00F45590">
        <w:rPr>
          <w:rFonts w:asciiTheme="minorHAnsi" w:hAnsiTheme="minorHAnsi" w:cstheme="minorBidi"/>
        </w:rPr>
        <w:t xml:space="preserve">, kako bi se </w:t>
      </w:r>
      <w:r w:rsidR="00705B2C" w:rsidRPr="00705B2C">
        <w:rPr>
          <w:rFonts w:asciiTheme="minorHAnsi" w:hAnsiTheme="minorHAnsi" w:cstheme="minorBidi"/>
        </w:rPr>
        <w:t>namiri</w:t>
      </w:r>
      <w:r w:rsidR="00F45590">
        <w:rPr>
          <w:rFonts w:asciiTheme="minorHAnsi" w:hAnsiTheme="minorHAnsi" w:cstheme="minorBidi"/>
        </w:rPr>
        <w:t>o</w:t>
      </w:r>
      <w:r w:rsidR="00705B2C" w:rsidRPr="00705B2C">
        <w:rPr>
          <w:rFonts w:asciiTheme="minorHAnsi" w:hAnsiTheme="minorHAnsi" w:cstheme="minorBidi"/>
        </w:rPr>
        <w:t xml:space="preserve"> višak emisija</w:t>
      </w:r>
      <w:r w:rsidR="00B611B5">
        <w:rPr>
          <w:rFonts w:asciiTheme="minorHAnsi" w:hAnsiTheme="minorHAnsi" w:cstheme="minorBidi"/>
        </w:rPr>
        <w:t xml:space="preserve">, </w:t>
      </w:r>
      <w:r w:rsidR="00705B2C" w:rsidRPr="00705B2C">
        <w:rPr>
          <w:rFonts w:asciiTheme="minorHAnsi" w:hAnsiTheme="minorHAnsi" w:cstheme="minorBidi"/>
        </w:rPr>
        <w:t xml:space="preserve"> iznad utvrđene kvote</w:t>
      </w:r>
      <w:r w:rsidR="0019409C">
        <w:rPr>
          <w:rFonts w:asciiTheme="minorHAnsi" w:hAnsiTheme="minorHAnsi" w:cstheme="minorBidi"/>
        </w:rPr>
        <w:t xml:space="preserve"> </w:t>
      </w:r>
      <w:r w:rsidR="00CD3BB6">
        <w:rPr>
          <w:rFonts w:asciiTheme="minorHAnsi" w:hAnsiTheme="minorHAnsi" w:cstheme="minorBidi"/>
        </w:rPr>
        <w:t>treba</w:t>
      </w:r>
      <w:r w:rsidR="0019409C">
        <w:rPr>
          <w:rFonts w:asciiTheme="minorHAnsi" w:hAnsiTheme="minorHAnsi" w:cstheme="minorBidi"/>
        </w:rPr>
        <w:t xml:space="preserve"> osigurati </w:t>
      </w:r>
      <w:r w:rsidR="001E7577">
        <w:rPr>
          <w:rFonts w:asciiTheme="minorHAnsi" w:hAnsiTheme="minorHAnsi" w:cstheme="minorBidi"/>
        </w:rPr>
        <w:t>financijska sredstva u državnom proračunu</w:t>
      </w:r>
    </w:p>
    <w:p w14:paraId="5BA137FA" w14:textId="65462DB9" w:rsidR="00EE40FC" w:rsidRDefault="00EE40FC" w:rsidP="00EE40FC">
      <w:bookmarkStart w:id="248" w:name="_Hlk531357749"/>
      <w:r w:rsidRPr="00B47BDA">
        <w:t>Za RH zadani su sljedeći ciljevi smanjenja emisija stakleničkih plinova do 2030. godine</w:t>
      </w:r>
      <w:r w:rsidR="00C0496C">
        <w:t>.</w:t>
      </w:r>
    </w:p>
    <w:p w14:paraId="52ED558D" w14:textId="77777777" w:rsidR="00EE40FC" w:rsidRDefault="00EE40FC" w:rsidP="00EE40FC"/>
    <w:tbl>
      <w:tblPr>
        <w:tblW w:w="70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3827"/>
      </w:tblGrid>
      <w:tr w:rsidR="00EE40FC" w:rsidRPr="00776298" w14:paraId="539018BD" w14:textId="77777777" w:rsidTr="63259912">
        <w:trPr>
          <w:trHeight w:val="390"/>
          <w:jc w:val="center"/>
        </w:trPr>
        <w:tc>
          <w:tcPr>
            <w:tcW w:w="3253" w:type="dxa"/>
            <w:tcBorders>
              <w:top w:val="single" w:sz="6" w:space="0" w:color="auto"/>
              <w:left w:val="single" w:sz="6" w:space="0" w:color="auto"/>
              <w:bottom w:val="single" w:sz="6" w:space="0" w:color="auto"/>
              <w:right w:val="single" w:sz="6" w:space="0" w:color="auto"/>
            </w:tcBorders>
            <w:shd w:val="clear" w:color="auto" w:fill="D9E2F3" w:themeFill="accent5" w:themeFillTint="33"/>
            <w:tcMar>
              <w:left w:w="85" w:type="dxa"/>
              <w:right w:w="85" w:type="dxa"/>
            </w:tcMar>
            <w:vAlign w:val="center"/>
            <w:hideMark/>
          </w:tcPr>
          <w:p w14:paraId="75F7D2FE" w14:textId="77777777" w:rsidR="00EE40FC" w:rsidRPr="00776298" w:rsidRDefault="00EE40FC">
            <w:pPr>
              <w:spacing w:after="0"/>
              <w:textAlignment w:val="baseline"/>
              <w:rPr>
                <w:rFonts w:ascii="Segoe UI" w:hAnsi="Segoe UI" w:cs="Segoe UI"/>
                <w:b/>
                <w:bCs/>
                <w:sz w:val="18"/>
                <w:szCs w:val="18"/>
                <w:lang w:eastAsia="zh-TW"/>
              </w:rPr>
            </w:pPr>
            <w:r w:rsidRPr="00776298">
              <w:rPr>
                <w:rFonts w:cs="Calibri"/>
                <w:b/>
                <w:bCs/>
                <w:sz w:val="22"/>
                <w:szCs w:val="22"/>
                <w:lang w:eastAsia="zh-TW"/>
              </w:rPr>
              <w:t> </w:t>
            </w:r>
          </w:p>
        </w:tc>
        <w:tc>
          <w:tcPr>
            <w:tcW w:w="3827" w:type="dxa"/>
            <w:tcBorders>
              <w:top w:val="single" w:sz="6" w:space="0" w:color="auto"/>
              <w:left w:val="single" w:sz="6" w:space="0" w:color="auto"/>
              <w:bottom w:val="single" w:sz="6" w:space="0" w:color="auto"/>
              <w:right w:val="single" w:sz="6" w:space="0" w:color="auto"/>
            </w:tcBorders>
            <w:shd w:val="clear" w:color="auto" w:fill="D9E2F3" w:themeFill="accent5" w:themeFillTint="33"/>
            <w:tcMar>
              <w:left w:w="85" w:type="dxa"/>
              <w:right w:w="85" w:type="dxa"/>
            </w:tcMar>
            <w:vAlign w:val="center"/>
            <w:hideMark/>
          </w:tcPr>
          <w:p w14:paraId="3F665322" w14:textId="77777777" w:rsidR="00EE40FC" w:rsidRPr="00776298" w:rsidRDefault="00EE40FC">
            <w:pPr>
              <w:spacing w:after="0"/>
              <w:jc w:val="center"/>
              <w:textAlignment w:val="baseline"/>
              <w:rPr>
                <w:rFonts w:ascii="Segoe UI" w:hAnsi="Segoe UI" w:cs="Segoe UI"/>
                <w:b/>
                <w:bCs/>
                <w:sz w:val="18"/>
                <w:szCs w:val="18"/>
                <w:lang w:eastAsia="zh-TW"/>
              </w:rPr>
            </w:pPr>
            <w:r w:rsidRPr="00776298">
              <w:rPr>
                <w:rFonts w:cs="Calibri"/>
                <w:b/>
                <w:bCs/>
                <w:sz w:val="22"/>
                <w:szCs w:val="22"/>
                <w:lang w:eastAsia="zh-TW"/>
              </w:rPr>
              <w:t>Ciljevi za 2030. u odnosu na 2005. </w:t>
            </w:r>
          </w:p>
        </w:tc>
      </w:tr>
      <w:tr w:rsidR="00EE40FC" w:rsidRPr="00776298" w14:paraId="01F68AA4" w14:textId="77777777" w:rsidTr="63259912">
        <w:trPr>
          <w:trHeight w:val="390"/>
          <w:jc w:val="center"/>
        </w:trPr>
        <w:tc>
          <w:tcPr>
            <w:tcW w:w="3253" w:type="dxa"/>
            <w:tcBorders>
              <w:top w:val="single" w:sz="6" w:space="0" w:color="auto"/>
              <w:left w:val="single" w:sz="6" w:space="0" w:color="auto"/>
              <w:bottom w:val="single" w:sz="6" w:space="0" w:color="auto"/>
              <w:right w:val="single" w:sz="6" w:space="0" w:color="auto"/>
            </w:tcBorders>
            <w:shd w:val="clear" w:color="auto" w:fill="auto"/>
            <w:tcMar>
              <w:left w:w="85" w:type="dxa"/>
              <w:right w:w="85" w:type="dxa"/>
            </w:tcMar>
            <w:vAlign w:val="center"/>
            <w:hideMark/>
          </w:tcPr>
          <w:p w14:paraId="5A11FF3F" w14:textId="16549918" w:rsidR="00EE40FC" w:rsidRPr="00776298" w:rsidRDefault="007D6454" w:rsidP="00D2722F">
            <w:pPr>
              <w:spacing w:before="60" w:after="60"/>
              <w:textAlignment w:val="baseline"/>
              <w:rPr>
                <w:rFonts w:ascii="Segoe UI" w:hAnsi="Segoe UI" w:cs="Segoe UI"/>
                <w:sz w:val="18"/>
                <w:szCs w:val="18"/>
                <w:lang w:eastAsia="zh-TW"/>
              </w:rPr>
            </w:pPr>
            <w:r>
              <w:rPr>
                <w:rFonts w:cs="Calibri"/>
                <w:b/>
                <w:bCs/>
                <w:sz w:val="22"/>
                <w:szCs w:val="22"/>
                <w:lang w:eastAsia="zh-TW"/>
              </w:rPr>
              <w:t xml:space="preserve">Sektori u EU </w:t>
            </w:r>
            <w:r w:rsidR="00EE40FC" w:rsidRPr="00776298">
              <w:rPr>
                <w:rFonts w:cs="Calibri"/>
                <w:b/>
                <w:bCs/>
                <w:sz w:val="22"/>
                <w:szCs w:val="22"/>
                <w:lang w:eastAsia="zh-TW"/>
              </w:rPr>
              <w:t>ETS</w:t>
            </w:r>
            <w:r>
              <w:rPr>
                <w:rFonts w:cs="Calibri"/>
                <w:b/>
                <w:bCs/>
                <w:sz w:val="22"/>
                <w:szCs w:val="22"/>
                <w:lang w:eastAsia="zh-TW"/>
              </w:rPr>
              <w:t>-u</w:t>
            </w:r>
          </w:p>
        </w:tc>
        <w:tc>
          <w:tcPr>
            <w:tcW w:w="3827" w:type="dxa"/>
            <w:tcBorders>
              <w:top w:val="single" w:sz="6" w:space="0" w:color="auto"/>
              <w:left w:val="single" w:sz="6" w:space="0" w:color="auto"/>
              <w:bottom w:val="single" w:sz="6" w:space="0" w:color="auto"/>
              <w:right w:val="single" w:sz="6" w:space="0" w:color="auto"/>
            </w:tcBorders>
            <w:shd w:val="clear" w:color="auto" w:fill="auto"/>
            <w:tcMar>
              <w:left w:w="85" w:type="dxa"/>
              <w:right w:w="85" w:type="dxa"/>
            </w:tcMar>
            <w:vAlign w:val="center"/>
            <w:hideMark/>
          </w:tcPr>
          <w:p w14:paraId="07452058" w14:textId="3EE2058C" w:rsidR="00EE40FC" w:rsidRPr="00776298" w:rsidRDefault="00EE40FC" w:rsidP="00D2722F">
            <w:pPr>
              <w:spacing w:before="60" w:after="60"/>
              <w:jc w:val="center"/>
              <w:textAlignment w:val="baseline"/>
              <w:rPr>
                <w:rFonts w:ascii="Segoe UI" w:hAnsi="Segoe UI" w:cs="Segoe UI"/>
                <w:sz w:val="18"/>
                <w:szCs w:val="18"/>
                <w:lang w:eastAsia="zh-TW"/>
              </w:rPr>
            </w:pPr>
            <w:r w:rsidRPr="00776298">
              <w:rPr>
                <w:rFonts w:cs="Calibri"/>
                <w:sz w:val="22"/>
                <w:szCs w:val="22"/>
                <w:lang w:eastAsia="zh-TW"/>
              </w:rPr>
              <w:t>-62 % (cilj za cijelu EU) </w:t>
            </w:r>
          </w:p>
        </w:tc>
      </w:tr>
      <w:tr w:rsidR="00EE40FC" w:rsidRPr="00776298" w14:paraId="1F1607FE" w14:textId="77777777" w:rsidTr="63259912">
        <w:trPr>
          <w:trHeight w:val="390"/>
          <w:jc w:val="center"/>
        </w:trPr>
        <w:tc>
          <w:tcPr>
            <w:tcW w:w="3253" w:type="dxa"/>
            <w:tcBorders>
              <w:top w:val="single" w:sz="6" w:space="0" w:color="auto"/>
              <w:left w:val="single" w:sz="6" w:space="0" w:color="auto"/>
              <w:bottom w:val="single" w:sz="6" w:space="0" w:color="auto"/>
              <w:right w:val="single" w:sz="6" w:space="0" w:color="auto"/>
            </w:tcBorders>
            <w:shd w:val="clear" w:color="auto" w:fill="auto"/>
            <w:tcMar>
              <w:left w:w="85" w:type="dxa"/>
              <w:right w:w="85" w:type="dxa"/>
            </w:tcMar>
            <w:vAlign w:val="center"/>
            <w:hideMark/>
          </w:tcPr>
          <w:p w14:paraId="6A3171AB" w14:textId="77777777" w:rsidR="00EE40FC" w:rsidRPr="00776298" w:rsidRDefault="00EE40FC" w:rsidP="00D2722F">
            <w:pPr>
              <w:spacing w:before="60" w:after="60"/>
              <w:textAlignment w:val="baseline"/>
              <w:rPr>
                <w:rFonts w:ascii="Segoe UI" w:hAnsi="Segoe UI" w:cs="Segoe UI"/>
                <w:sz w:val="18"/>
                <w:szCs w:val="18"/>
                <w:lang w:eastAsia="zh-TW"/>
              </w:rPr>
            </w:pPr>
            <w:r w:rsidRPr="00776298">
              <w:rPr>
                <w:rFonts w:cs="Calibri"/>
                <w:b/>
                <w:bCs/>
                <w:sz w:val="22"/>
                <w:szCs w:val="22"/>
                <w:lang w:eastAsia="zh-TW"/>
              </w:rPr>
              <w:t>Sektori izvan</w:t>
            </w:r>
            <w:r w:rsidRPr="00776298">
              <w:rPr>
                <w:rFonts w:cs="Calibri"/>
                <w:sz w:val="22"/>
                <w:szCs w:val="22"/>
                <w:lang w:eastAsia="zh-TW"/>
              </w:rPr>
              <w:t> </w:t>
            </w:r>
          </w:p>
          <w:p w14:paraId="05E2A0E4" w14:textId="2EB1DB53" w:rsidR="00EE40FC" w:rsidRPr="00776298" w:rsidRDefault="007D6454" w:rsidP="00D2722F">
            <w:pPr>
              <w:spacing w:before="60" w:after="60"/>
              <w:textAlignment w:val="baseline"/>
              <w:rPr>
                <w:rFonts w:ascii="Segoe UI" w:hAnsi="Segoe UI" w:cs="Segoe UI"/>
                <w:sz w:val="18"/>
                <w:szCs w:val="18"/>
                <w:lang w:eastAsia="zh-TW"/>
              </w:rPr>
            </w:pPr>
            <w:r>
              <w:rPr>
                <w:rFonts w:cs="Calibri"/>
                <w:b/>
                <w:bCs/>
                <w:sz w:val="22"/>
                <w:szCs w:val="22"/>
                <w:lang w:eastAsia="zh-TW"/>
              </w:rPr>
              <w:t xml:space="preserve">EU </w:t>
            </w:r>
            <w:r w:rsidR="00EE40FC" w:rsidRPr="00776298">
              <w:rPr>
                <w:rFonts w:cs="Calibri"/>
                <w:b/>
                <w:bCs/>
                <w:sz w:val="22"/>
                <w:szCs w:val="22"/>
                <w:lang w:eastAsia="zh-TW"/>
              </w:rPr>
              <w:t>ETS-a</w:t>
            </w:r>
            <w:r w:rsidR="00EE40FC" w:rsidRPr="00776298">
              <w:rPr>
                <w:rFonts w:cs="Calibri"/>
                <w:sz w:val="22"/>
                <w:szCs w:val="22"/>
                <w:lang w:eastAsia="zh-TW"/>
              </w:rPr>
              <w:t> </w:t>
            </w:r>
          </w:p>
        </w:tc>
        <w:tc>
          <w:tcPr>
            <w:tcW w:w="3827" w:type="dxa"/>
            <w:tcBorders>
              <w:top w:val="single" w:sz="6" w:space="0" w:color="auto"/>
              <w:left w:val="single" w:sz="6" w:space="0" w:color="auto"/>
              <w:bottom w:val="single" w:sz="6" w:space="0" w:color="auto"/>
              <w:right w:val="single" w:sz="6" w:space="0" w:color="auto"/>
            </w:tcBorders>
            <w:shd w:val="clear" w:color="auto" w:fill="auto"/>
            <w:tcMar>
              <w:left w:w="85" w:type="dxa"/>
              <w:right w:w="85" w:type="dxa"/>
            </w:tcMar>
            <w:vAlign w:val="center"/>
            <w:hideMark/>
          </w:tcPr>
          <w:p w14:paraId="407BB87D" w14:textId="76DC6FDF" w:rsidR="00EE40FC" w:rsidRPr="00776298" w:rsidRDefault="00EE40FC" w:rsidP="00D2722F">
            <w:pPr>
              <w:spacing w:before="60" w:after="60"/>
              <w:jc w:val="center"/>
              <w:textAlignment w:val="baseline"/>
              <w:rPr>
                <w:rFonts w:ascii="Segoe UI" w:hAnsi="Segoe UI" w:cs="Segoe UI"/>
                <w:sz w:val="18"/>
                <w:szCs w:val="18"/>
                <w:lang w:eastAsia="zh-TW"/>
              </w:rPr>
            </w:pPr>
            <w:r w:rsidRPr="00776298">
              <w:rPr>
                <w:rFonts w:cs="Calibri"/>
                <w:sz w:val="22"/>
                <w:szCs w:val="22"/>
                <w:lang w:eastAsia="zh-TW"/>
              </w:rPr>
              <w:t>-40 % (cilj za cijelu EU) </w:t>
            </w:r>
          </w:p>
          <w:p w14:paraId="656170FE" w14:textId="77777777" w:rsidR="00EE40FC" w:rsidRPr="0033551E" w:rsidRDefault="00EE40FC" w:rsidP="00D2722F">
            <w:pPr>
              <w:spacing w:before="60" w:after="60"/>
              <w:jc w:val="center"/>
              <w:textAlignment w:val="baseline"/>
              <w:rPr>
                <w:rFonts w:ascii="Segoe UI" w:hAnsi="Segoe UI" w:cs="Segoe UI"/>
                <w:sz w:val="12"/>
                <w:szCs w:val="12"/>
                <w:lang w:eastAsia="zh-TW"/>
              </w:rPr>
            </w:pPr>
            <w:r w:rsidRPr="0033551E">
              <w:rPr>
                <w:rFonts w:cs="Calibri"/>
                <w:sz w:val="12"/>
                <w:szCs w:val="12"/>
                <w:lang w:eastAsia="zh-TW"/>
              </w:rPr>
              <w:t> </w:t>
            </w:r>
          </w:p>
          <w:p w14:paraId="297C42A9" w14:textId="19B06A4D" w:rsidR="00EE40FC" w:rsidRPr="00776298" w:rsidRDefault="00EE40FC" w:rsidP="00D2722F">
            <w:pPr>
              <w:spacing w:before="60" w:after="60"/>
              <w:jc w:val="center"/>
              <w:textAlignment w:val="baseline"/>
              <w:rPr>
                <w:rFonts w:ascii="Segoe UI" w:hAnsi="Segoe UI" w:cs="Segoe UI"/>
                <w:sz w:val="18"/>
                <w:szCs w:val="18"/>
                <w:lang w:eastAsia="zh-TW"/>
              </w:rPr>
            </w:pPr>
            <w:r w:rsidRPr="00776298">
              <w:rPr>
                <w:rFonts w:cs="Calibri"/>
                <w:sz w:val="22"/>
                <w:szCs w:val="22"/>
                <w:lang w:eastAsia="zh-TW"/>
              </w:rPr>
              <w:t>-16,7 % (cilj za RH) </w:t>
            </w:r>
          </w:p>
        </w:tc>
      </w:tr>
      <w:tr w:rsidR="00503603" w:rsidRPr="00776298" w14:paraId="3606030A" w14:textId="77777777" w:rsidTr="63259912">
        <w:trPr>
          <w:trHeight w:val="390"/>
          <w:jc w:val="center"/>
        </w:trPr>
        <w:tc>
          <w:tcPr>
            <w:tcW w:w="3253" w:type="dxa"/>
            <w:tcBorders>
              <w:top w:val="single" w:sz="6" w:space="0" w:color="auto"/>
              <w:left w:val="single" w:sz="6" w:space="0" w:color="auto"/>
              <w:bottom w:val="single" w:sz="6" w:space="0" w:color="auto"/>
              <w:right w:val="single" w:sz="6" w:space="0" w:color="auto"/>
            </w:tcBorders>
            <w:shd w:val="clear" w:color="auto" w:fill="auto"/>
            <w:tcMar>
              <w:left w:w="85" w:type="dxa"/>
              <w:right w:w="85" w:type="dxa"/>
            </w:tcMar>
            <w:vAlign w:val="center"/>
          </w:tcPr>
          <w:p w14:paraId="3B225E40" w14:textId="72800875" w:rsidR="00503603" w:rsidRPr="00776298" w:rsidRDefault="00D85E82" w:rsidP="63259912">
            <w:pPr>
              <w:spacing w:before="60" w:after="60"/>
              <w:textAlignment w:val="baseline"/>
              <w:rPr>
                <w:rFonts w:cs="Calibri"/>
                <w:b/>
                <w:bCs/>
                <w:sz w:val="22"/>
                <w:szCs w:val="22"/>
                <w:lang w:eastAsia="zh-TW"/>
              </w:rPr>
            </w:pPr>
            <w:r w:rsidRPr="63259912">
              <w:rPr>
                <w:rFonts w:cs="Calibri"/>
                <w:b/>
                <w:bCs/>
                <w:sz w:val="22"/>
                <w:szCs w:val="22"/>
                <w:lang w:eastAsia="zh-TW"/>
              </w:rPr>
              <w:t>Vrijednost neto uklanjanja u kt ekvivalenta CO</w:t>
            </w:r>
            <w:r w:rsidRPr="63259912">
              <w:rPr>
                <w:rFonts w:cs="Calibri"/>
                <w:b/>
                <w:bCs/>
                <w:sz w:val="22"/>
                <w:szCs w:val="22"/>
                <w:vertAlign w:val="subscript"/>
                <w:lang w:eastAsia="zh-TW"/>
              </w:rPr>
              <w:t>2</w:t>
            </w:r>
            <w:r w:rsidRPr="63259912">
              <w:rPr>
                <w:rFonts w:cs="Calibri"/>
                <w:b/>
                <w:bCs/>
                <w:sz w:val="22"/>
                <w:szCs w:val="22"/>
                <w:lang w:eastAsia="zh-TW"/>
              </w:rPr>
              <w:t xml:space="preserve"> 2030.</w:t>
            </w:r>
          </w:p>
        </w:tc>
        <w:tc>
          <w:tcPr>
            <w:tcW w:w="3827" w:type="dxa"/>
            <w:tcBorders>
              <w:top w:val="single" w:sz="6" w:space="0" w:color="auto"/>
              <w:left w:val="single" w:sz="6" w:space="0" w:color="auto"/>
              <w:bottom w:val="single" w:sz="6" w:space="0" w:color="auto"/>
              <w:right w:val="single" w:sz="6" w:space="0" w:color="auto"/>
            </w:tcBorders>
            <w:shd w:val="clear" w:color="auto" w:fill="auto"/>
            <w:tcMar>
              <w:left w:w="85" w:type="dxa"/>
              <w:right w:w="85" w:type="dxa"/>
            </w:tcMar>
            <w:vAlign w:val="center"/>
          </w:tcPr>
          <w:p w14:paraId="64E79DFD" w14:textId="328B3672" w:rsidR="00BB769B" w:rsidRPr="007D6454" w:rsidRDefault="00BB769B" w:rsidP="63259912">
            <w:pPr>
              <w:spacing w:before="60" w:after="60"/>
              <w:jc w:val="center"/>
              <w:textAlignment w:val="baseline"/>
              <w:rPr>
                <w:rFonts w:cs="Calibri"/>
                <w:sz w:val="22"/>
                <w:szCs w:val="22"/>
                <w:lang w:eastAsia="zh-TW"/>
              </w:rPr>
            </w:pPr>
            <w:r w:rsidRPr="63259912">
              <w:rPr>
                <w:rFonts w:cs="Calibri"/>
                <w:sz w:val="22"/>
                <w:szCs w:val="22"/>
                <w:lang w:eastAsia="zh-TW"/>
              </w:rPr>
              <w:t>-310</w:t>
            </w:r>
            <w:r w:rsidR="00EA6D36" w:rsidRPr="63259912">
              <w:rPr>
                <w:rFonts w:cs="Calibri"/>
                <w:sz w:val="22"/>
                <w:szCs w:val="22"/>
                <w:lang w:eastAsia="zh-TW"/>
              </w:rPr>
              <w:t>.</w:t>
            </w:r>
            <w:r w:rsidR="002C6D92" w:rsidRPr="63259912">
              <w:rPr>
                <w:rFonts w:cs="Calibri"/>
                <w:sz w:val="22"/>
                <w:szCs w:val="22"/>
                <w:lang w:eastAsia="zh-TW"/>
              </w:rPr>
              <w:t>000</w:t>
            </w:r>
            <w:r w:rsidR="007B5E25" w:rsidRPr="63259912">
              <w:rPr>
                <w:rFonts w:cs="Calibri"/>
                <w:sz w:val="22"/>
                <w:szCs w:val="22"/>
                <w:lang w:eastAsia="zh-TW"/>
              </w:rPr>
              <w:t xml:space="preserve"> kt CO</w:t>
            </w:r>
            <w:r w:rsidR="007B5E25" w:rsidRPr="63259912">
              <w:rPr>
                <w:rFonts w:cs="Calibri"/>
                <w:sz w:val="22"/>
                <w:szCs w:val="22"/>
                <w:vertAlign w:val="subscript"/>
                <w:lang w:eastAsia="zh-TW"/>
              </w:rPr>
              <w:t>2</w:t>
            </w:r>
            <w:r w:rsidR="007B5E25" w:rsidRPr="63259912">
              <w:rPr>
                <w:rFonts w:cs="Calibri"/>
                <w:sz w:val="22"/>
                <w:szCs w:val="22"/>
                <w:lang w:eastAsia="zh-TW"/>
              </w:rPr>
              <w:t>eq</w:t>
            </w:r>
            <w:r w:rsidR="00D2722F" w:rsidRPr="63259912">
              <w:rPr>
                <w:rFonts w:cs="Calibri"/>
                <w:sz w:val="22"/>
                <w:szCs w:val="22"/>
                <w:lang w:eastAsia="zh-TW"/>
              </w:rPr>
              <w:t xml:space="preserve"> </w:t>
            </w:r>
            <w:r w:rsidRPr="63259912">
              <w:rPr>
                <w:rFonts w:cs="Calibri"/>
                <w:sz w:val="22"/>
                <w:szCs w:val="22"/>
                <w:lang w:eastAsia="zh-TW"/>
              </w:rPr>
              <w:t>(cilj za cijelu EU) </w:t>
            </w:r>
          </w:p>
          <w:p w14:paraId="04A6E40C" w14:textId="77777777" w:rsidR="00BB769B" w:rsidRPr="0033551E" w:rsidRDefault="00BB769B" w:rsidP="0033551E">
            <w:pPr>
              <w:spacing w:after="0"/>
              <w:textAlignment w:val="baseline"/>
              <w:rPr>
                <w:rFonts w:cs="Calibri"/>
                <w:sz w:val="12"/>
                <w:szCs w:val="12"/>
                <w:lang w:eastAsia="zh-TW"/>
              </w:rPr>
            </w:pPr>
          </w:p>
          <w:p w14:paraId="308694C4" w14:textId="3C7D197C" w:rsidR="003C0154" w:rsidRPr="00776298" w:rsidRDefault="003C0154" w:rsidP="63259912">
            <w:pPr>
              <w:spacing w:before="60" w:after="60"/>
              <w:jc w:val="center"/>
              <w:textAlignment w:val="baseline"/>
              <w:rPr>
                <w:rFonts w:cs="Calibri"/>
                <w:sz w:val="22"/>
                <w:szCs w:val="22"/>
                <w:lang w:eastAsia="zh-TW"/>
              </w:rPr>
            </w:pPr>
            <w:r w:rsidRPr="63259912">
              <w:rPr>
                <w:rFonts w:cs="Calibri"/>
                <w:sz w:val="22"/>
                <w:szCs w:val="22"/>
                <w:lang w:eastAsia="zh-TW"/>
              </w:rPr>
              <w:t>– 5</w:t>
            </w:r>
            <w:r w:rsidR="00EA6D36" w:rsidRPr="63259912">
              <w:rPr>
                <w:rFonts w:cs="Calibri"/>
                <w:sz w:val="22"/>
                <w:szCs w:val="22"/>
                <w:lang w:eastAsia="zh-TW"/>
              </w:rPr>
              <w:t>.</w:t>
            </w:r>
            <w:r w:rsidRPr="63259912">
              <w:rPr>
                <w:rFonts w:cs="Calibri"/>
                <w:sz w:val="22"/>
                <w:szCs w:val="22"/>
                <w:lang w:eastAsia="zh-TW"/>
              </w:rPr>
              <w:t>527</w:t>
            </w:r>
            <w:r w:rsidR="00EA4B1D" w:rsidRPr="63259912">
              <w:rPr>
                <w:rFonts w:cs="Calibri"/>
                <w:sz w:val="22"/>
                <w:szCs w:val="22"/>
                <w:lang w:eastAsia="zh-TW"/>
              </w:rPr>
              <w:t xml:space="preserve"> </w:t>
            </w:r>
            <w:r w:rsidRPr="63259912">
              <w:rPr>
                <w:rFonts w:cs="Calibri"/>
                <w:sz w:val="22"/>
                <w:szCs w:val="22"/>
                <w:lang w:eastAsia="zh-TW"/>
              </w:rPr>
              <w:t>kt CO</w:t>
            </w:r>
            <w:r w:rsidRPr="63259912">
              <w:rPr>
                <w:rFonts w:cs="Calibri"/>
                <w:sz w:val="22"/>
                <w:szCs w:val="22"/>
                <w:vertAlign w:val="subscript"/>
                <w:lang w:eastAsia="zh-TW"/>
              </w:rPr>
              <w:t>2</w:t>
            </w:r>
            <w:r w:rsidRPr="63259912">
              <w:rPr>
                <w:rFonts w:cs="Calibri"/>
                <w:sz w:val="22"/>
                <w:szCs w:val="22"/>
                <w:lang w:eastAsia="zh-TW"/>
              </w:rPr>
              <w:t>eq</w:t>
            </w:r>
            <w:r w:rsidR="00D2722F" w:rsidRPr="63259912">
              <w:rPr>
                <w:rFonts w:cs="Calibri"/>
                <w:sz w:val="22"/>
                <w:szCs w:val="22"/>
                <w:lang w:eastAsia="zh-TW"/>
              </w:rPr>
              <w:t xml:space="preserve"> </w:t>
            </w:r>
            <w:r w:rsidRPr="63259912">
              <w:rPr>
                <w:rFonts w:cs="Calibri"/>
                <w:sz w:val="22"/>
                <w:szCs w:val="22"/>
                <w:lang w:eastAsia="zh-TW"/>
              </w:rPr>
              <w:t>(cilj za RH) </w:t>
            </w:r>
          </w:p>
        </w:tc>
      </w:tr>
    </w:tbl>
    <w:p w14:paraId="1597B5FE" w14:textId="452B4C16" w:rsidR="00642879" w:rsidRDefault="00642879" w:rsidP="00642879"/>
    <w:p w14:paraId="2912C3EE" w14:textId="77777777" w:rsidR="00642879" w:rsidRDefault="00642879">
      <w:pPr>
        <w:spacing w:after="0"/>
        <w:jc w:val="left"/>
      </w:pPr>
      <w:r>
        <w:br w:type="page"/>
      </w:r>
    </w:p>
    <w:p w14:paraId="4F8F3D21" w14:textId="6C4E5ECC" w:rsidR="008E629B" w:rsidRDefault="00D151CC" w:rsidP="005C2C7E">
      <w:pPr>
        <w:pStyle w:val="Heading4"/>
        <w:numPr>
          <w:ilvl w:val="3"/>
          <w:numId w:val="175"/>
        </w:numPr>
        <w:ind w:hanging="580"/>
      </w:pPr>
      <w:r w:rsidRPr="00B47BDA">
        <w:lastRenderedPageBreak/>
        <w:t>Prema potrebi, drugi nacionalni ciljevi koji su u skladu s Pariškim sporazumom i postojećim dugoročnim strategijama; prema potrebi za doprinos dugoročnoj obvezi unije u pogledu smanjenja emisija stakleničkih plinova, drugi ciljevi, uključujući sektorske ciljeve i ciljeve prilagodbe, ako su dostupni</w:t>
      </w:r>
    </w:p>
    <w:p w14:paraId="2482BE6C" w14:textId="77777777" w:rsidR="007D6454" w:rsidRPr="007D6454" w:rsidRDefault="007D6454" w:rsidP="007D6454"/>
    <w:p w14:paraId="58F54B28" w14:textId="48E36E4C" w:rsidR="00FF0CF3" w:rsidRPr="003D5F52" w:rsidRDefault="00EC4B39" w:rsidP="004623DD">
      <w:pPr>
        <w:rPr>
          <w:b/>
          <w:bCs/>
        </w:rPr>
      </w:pPr>
      <w:r w:rsidRPr="003D5F52">
        <w:rPr>
          <w:b/>
          <w:bCs/>
        </w:rPr>
        <w:t>Nacionalni ciljevi u pogledu prilagodbe klimatskim promjenama</w:t>
      </w:r>
    </w:p>
    <w:p w14:paraId="04CE80F6" w14:textId="196DB3E0" w:rsidR="001669A7" w:rsidRPr="00B47BDA" w:rsidRDefault="0042478B" w:rsidP="00DA3657">
      <w:r w:rsidRPr="63259912">
        <w:t>Mjere prilago</w:t>
      </w:r>
      <w:r w:rsidR="006F1053" w:rsidRPr="63259912">
        <w:t>d</w:t>
      </w:r>
      <w:r w:rsidRPr="63259912">
        <w:t>be koje dopr</w:t>
      </w:r>
      <w:r w:rsidR="006F1053" w:rsidRPr="63259912">
        <w:t>i</w:t>
      </w:r>
      <w:r w:rsidRPr="63259912">
        <w:t xml:space="preserve">nose </w:t>
      </w:r>
      <w:r w:rsidR="00EC4B39" w:rsidRPr="63259912">
        <w:t>dimenzij</w:t>
      </w:r>
      <w:r w:rsidRPr="63259912">
        <w:t>i</w:t>
      </w:r>
      <w:r w:rsidR="00EC4B39" w:rsidRPr="63259912">
        <w:t xml:space="preserve"> dekarbonizacije </w:t>
      </w:r>
      <w:r w:rsidR="00B82235" w:rsidRPr="63259912">
        <w:t xml:space="preserve">razrađene su </w:t>
      </w:r>
      <w:r w:rsidR="00D26359" w:rsidRPr="63259912">
        <w:t xml:space="preserve">u </w:t>
      </w:r>
      <w:r w:rsidR="00EC4B39" w:rsidRPr="63259912">
        <w:t>Strategij</w:t>
      </w:r>
      <w:r w:rsidR="00B82235" w:rsidRPr="63259912">
        <w:t>i</w:t>
      </w:r>
      <w:r w:rsidR="00EC4B39" w:rsidRPr="63259912">
        <w:t xml:space="preserve"> prilagodbe klimatskim promjenama u Republici Hrvatskoj za razdoblje do 2040. godine s pogledom na 2070. godinu s akcijskim planom </w:t>
      </w:r>
      <w:r w:rsidR="00EB08F1" w:rsidRPr="63259912">
        <w:t xml:space="preserve">(„Narodne novine“, br. </w:t>
      </w:r>
      <w:r w:rsidR="00ED46A3" w:rsidRPr="63259912">
        <w:t>46/20</w:t>
      </w:r>
      <w:r w:rsidR="00FE31E0" w:rsidRPr="63259912">
        <w:t>.</w:t>
      </w:r>
      <w:r w:rsidR="00ED46A3" w:rsidRPr="63259912">
        <w:t>)</w:t>
      </w:r>
      <w:r w:rsidR="00EC4B39" w:rsidRPr="63259912">
        <w:t xml:space="preserve"> [</w:t>
      </w:r>
      <w:r w:rsidR="00544376" w:rsidRPr="63259912">
        <w:t>6</w:t>
      </w:r>
      <w:r w:rsidR="00EC4B39" w:rsidRPr="63259912">
        <w:t xml:space="preserve">]. </w:t>
      </w:r>
    </w:p>
    <w:p w14:paraId="76CEC1D6" w14:textId="7D48932D" w:rsidR="00350841" w:rsidRPr="00B47BDA" w:rsidRDefault="00EC4B39" w:rsidP="00DA3657">
      <w:r w:rsidRPr="00B47BDA">
        <w:t xml:space="preserve">Povećanje otpornosti ranjivih sustava i smanjenje šteta od elementarnih nepogoda ujedno će doprinijeti ostvarenju dugoročnog održivog razvoja Republike Hrvatske. </w:t>
      </w:r>
    </w:p>
    <w:p w14:paraId="0DC14E54" w14:textId="77777777" w:rsidR="003559F9" w:rsidRDefault="0013785A" w:rsidP="00DA3657">
      <w:r>
        <w:t xml:space="preserve">Strategija prilagodbe </w:t>
      </w:r>
      <w:r w:rsidR="00D96385">
        <w:t xml:space="preserve">prikazuje </w:t>
      </w:r>
      <w:r w:rsidR="00F156BF">
        <w:t xml:space="preserve">utjecaje i izazove </w:t>
      </w:r>
      <w:r w:rsidR="00E34C9C">
        <w:t xml:space="preserve">prilagodbe klimatskim promjenama u </w:t>
      </w:r>
      <w:r w:rsidR="007A3891">
        <w:t xml:space="preserve">sektorima osjetljivim na klimatske promjene, od kojih su za </w:t>
      </w:r>
      <w:r w:rsidR="003559F9">
        <w:t>ovaj plan ključni:</w:t>
      </w:r>
    </w:p>
    <w:p w14:paraId="496F73F9" w14:textId="1F84249C" w:rsidR="003559F9" w:rsidRDefault="4959CFA5" w:rsidP="0037700A">
      <w:pPr>
        <w:pStyle w:val="ListParagraph"/>
        <w:numPr>
          <w:ilvl w:val="0"/>
          <w:numId w:val="154"/>
        </w:numPr>
        <w:spacing w:after="60"/>
        <w:ind w:left="714" w:hanging="357"/>
      </w:pPr>
      <w:r>
        <w:t>Energetika</w:t>
      </w:r>
      <w:r w:rsidR="1E11433A">
        <w:t xml:space="preserve">: smanjenje proizvodnje električne energije u hidroelektranama; </w:t>
      </w:r>
      <w:r w:rsidR="1D5C034C">
        <w:t xml:space="preserve">povećanje potrošnje električne energije za potrebe hlađenja; </w:t>
      </w:r>
      <w:r w:rsidR="01EB868A">
        <w:t xml:space="preserve">smanjenje proizvodnje </w:t>
      </w:r>
      <w:r w:rsidR="340B6910">
        <w:t xml:space="preserve">električne i/ili </w:t>
      </w:r>
      <w:r w:rsidR="1239A94E">
        <w:t>toplinske energije u termoelektranama-toplanama</w:t>
      </w:r>
      <w:r w:rsidR="340B6910">
        <w:t xml:space="preserve">; </w:t>
      </w:r>
      <w:r w:rsidR="10238B14">
        <w:t>oštećenja infrastrukture zbog ekstremnih vremenskih događaja;</w:t>
      </w:r>
    </w:p>
    <w:p w14:paraId="4F70180C" w14:textId="6A0C6967" w:rsidR="008E18AC" w:rsidRDefault="008E18AC" w:rsidP="0037700A">
      <w:pPr>
        <w:pStyle w:val="ListParagraph"/>
        <w:numPr>
          <w:ilvl w:val="0"/>
          <w:numId w:val="154"/>
        </w:numPr>
        <w:spacing w:after="60"/>
        <w:ind w:left="714" w:hanging="357"/>
      </w:pPr>
      <w:r>
        <w:t xml:space="preserve">Prostorno planiranje i uređenje: </w:t>
      </w:r>
      <w:r w:rsidR="00B14D62">
        <w:t xml:space="preserve">toplinski otoci u naseljima; </w:t>
      </w:r>
      <w:r w:rsidR="002716DD">
        <w:t>poplave zbog podizanja razine mora; poplave zbog ekstremno velike količine oborina;</w:t>
      </w:r>
    </w:p>
    <w:p w14:paraId="4563E2E9" w14:textId="67E1784E" w:rsidR="008D48FE" w:rsidRDefault="008D48FE" w:rsidP="0037700A">
      <w:pPr>
        <w:pStyle w:val="ListParagraph"/>
        <w:numPr>
          <w:ilvl w:val="0"/>
          <w:numId w:val="154"/>
        </w:numPr>
        <w:spacing w:after="60"/>
        <w:ind w:left="714" w:hanging="357"/>
      </w:pPr>
      <w:r>
        <w:t>Poljoprivreda</w:t>
      </w:r>
      <w:r w:rsidR="002716DD">
        <w:t xml:space="preserve">: </w:t>
      </w:r>
      <w:r w:rsidR="00556D6B">
        <w:t xml:space="preserve">promjena trajanja </w:t>
      </w:r>
      <w:r w:rsidR="00213086">
        <w:t xml:space="preserve">vegetacijskog razdoblja i niži prinosi; veća potreba za vodom za navodnjavanje; </w:t>
      </w:r>
      <w:r w:rsidR="00CD7AB5">
        <w:t>učestalije poplave i stagnacija površinske vode; smanjenje prirasta</w:t>
      </w:r>
      <w:r w:rsidR="00073BB2">
        <w:t xml:space="preserve"> i kvalitete animalnih proizvoda; </w:t>
      </w:r>
      <w:r w:rsidR="002D0238">
        <w:t>poremećaji u reprodukciji; pojava novih bolesti;</w:t>
      </w:r>
    </w:p>
    <w:p w14:paraId="05B499AD" w14:textId="60265E2F" w:rsidR="0013785A" w:rsidRDefault="05A6B204" w:rsidP="0037700A">
      <w:pPr>
        <w:pStyle w:val="ListParagraph"/>
        <w:numPr>
          <w:ilvl w:val="0"/>
          <w:numId w:val="154"/>
        </w:numPr>
        <w:spacing w:after="60"/>
        <w:ind w:left="714" w:hanging="357"/>
      </w:pPr>
      <w:r w:rsidRPr="63259912">
        <w:t>Šumarstvo</w:t>
      </w:r>
      <w:r w:rsidR="1034D3FC" w:rsidRPr="63259912">
        <w:t xml:space="preserve">: veća učestalost toplinskih otoka; smanjenje produktivnosti nekih šumskih ekosustava; migracija štetnih organizama; </w:t>
      </w:r>
      <w:r w:rsidR="7B14E44A" w:rsidRPr="63259912">
        <w:t>pomicanje fenoloških faza</w:t>
      </w:r>
      <w:r w:rsidR="6309EA89" w:rsidRPr="63259912">
        <w:t xml:space="preserve"> </w:t>
      </w:r>
      <w:r w:rsidR="31F778C2" w:rsidRPr="63259912">
        <w:t>šumskih vrsta drveća;</w:t>
      </w:r>
      <w:r w:rsidR="6309EA89" w:rsidRPr="63259912">
        <w:t xml:space="preserve"> povećanje osjetljivosti ili odumiranja vrsta drveća;</w:t>
      </w:r>
      <w:r w:rsidR="1034D3FC" w:rsidRPr="63259912">
        <w:t xml:space="preserve"> </w:t>
      </w:r>
      <w:r w:rsidR="654926A8" w:rsidRPr="63259912">
        <w:t xml:space="preserve">štete zbog elementarnih nepogoda; </w:t>
      </w:r>
      <w:r w:rsidR="6309EA89" w:rsidRPr="63259912">
        <w:t>smanjenje pojedinih općekorisnih funkcija šuma.</w:t>
      </w:r>
    </w:p>
    <w:p w14:paraId="44433DD1" w14:textId="13DCF0C1" w:rsidR="00F77952" w:rsidRPr="00B47BDA" w:rsidRDefault="00F77952" w:rsidP="009B4782">
      <w:pPr>
        <w:spacing w:before="240"/>
      </w:pPr>
      <w:r w:rsidRPr="00B47BDA">
        <w:t>Utjecaji klimatskih promjena na sigurnost opsk</w:t>
      </w:r>
      <w:r w:rsidR="00821727" w:rsidRPr="00B47BDA">
        <w:t>r</w:t>
      </w:r>
      <w:r w:rsidRPr="00B47BDA">
        <w:t>be energijom</w:t>
      </w:r>
      <w:r w:rsidR="0088374C" w:rsidRPr="00B47BDA">
        <w:t xml:space="preserve"> i mjere prilagodbe</w:t>
      </w:r>
      <w:r w:rsidRPr="00B47BDA">
        <w:t xml:space="preserve"> naznačeni su u </w:t>
      </w:r>
      <w:r w:rsidR="003A3C3A">
        <w:t>točkama</w:t>
      </w:r>
      <w:r w:rsidR="004722CA" w:rsidRPr="00B47BDA">
        <w:t xml:space="preserve"> </w:t>
      </w:r>
      <w:r w:rsidR="003A3C3A">
        <w:t>2</w:t>
      </w:r>
      <w:r w:rsidR="00CE3F32" w:rsidRPr="00B47BDA">
        <w:t xml:space="preserve">.3 </w:t>
      </w:r>
      <w:r w:rsidR="00A81CDB">
        <w:t xml:space="preserve">i </w:t>
      </w:r>
      <w:r w:rsidR="003A3C3A">
        <w:t>3</w:t>
      </w:r>
      <w:r w:rsidR="00A81CDB">
        <w:t xml:space="preserve">.3 </w:t>
      </w:r>
      <w:r w:rsidR="00CE3F32" w:rsidRPr="00B47BDA">
        <w:t>u kojima se obrađuju nacionalni ciljevi u dimenziji energetske sigurnosti i mjere potrebne za ostvarenje tih ciljeva.</w:t>
      </w:r>
      <w:r w:rsidR="00B87714" w:rsidRPr="00B47BDA">
        <w:t xml:space="preserve"> </w:t>
      </w:r>
    </w:p>
    <w:p w14:paraId="3064812E" w14:textId="70EAC2CE" w:rsidR="00D20803" w:rsidRDefault="002B6FB7" w:rsidP="000B6608">
      <w:r w:rsidRPr="00B47BDA">
        <w:rPr>
          <w:b/>
        </w:rPr>
        <w:t xml:space="preserve">Nacionalna razvojna strategija Republike Hrvatske do 2030. godine </w:t>
      </w:r>
      <w:r w:rsidR="00EB08F1" w:rsidRPr="00EA6D36">
        <w:rPr>
          <w:bCs/>
        </w:rPr>
        <w:t xml:space="preserve">(„Narodne novine“, br. </w:t>
      </w:r>
      <w:r w:rsidRPr="00EA6D36">
        <w:rPr>
          <w:bCs/>
        </w:rPr>
        <w:t>13/21</w:t>
      </w:r>
      <w:r w:rsidR="00FE31E0" w:rsidRPr="00EA6D36">
        <w:rPr>
          <w:bCs/>
        </w:rPr>
        <w:t>.</w:t>
      </w:r>
      <w:r w:rsidRPr="00EA6D36">
        <w:rPr>
          <w:bCs/>
        </w:rPr>
        <w:t>)</w:t>
      </w:r>
      <w:r w:rsidRPr="00B47BDA">
        <w:t xml:space="preserve"> kao strateški cilj prepoznaje ekološku i energetsku tranziciju za klimatsku neutralnost (cilj 8.) koji će se ostvariti i kroz smanjenje emisija u gospodarstvu, prometu, zgradarstvu.</w:t>
      </w:r>
      <w:r w:rsidR="005C2126" w:rsidRPr="00B47BDA">
        <w:t xml:space="preserve"> </w:t>
      </w:r>
    </w:p>
    <w:p w14:paraId="6147BDA2" w14:textId="191C626D" w:rsidR="002B6FB7" w:rsidRPr="00B47BDA" w:rsidRDefault="002B6FB7" w:rsidP="000B6608">
      <w:r w:rsidRPr="63259912">
        <w:rPr>
          <w:b/>
          <w:bCs/>
        </w:rPr>
        <w:t xml:space="preserve">Strategija niskougljičnog razvoja Republike Hrvatske do 2030. s pogledom na 2050. godinu </w:t>
      </w:r>
      <w:r w:rsidR="00EB08F1" w:rsidRPr="63259912">
        <w:t xml:space="preserve">(„Narodne novine“, br. </w:t>
      </w:r>
      <w:r w:rsidRPr="63259912">
        <w:t xml:space="preserve">63/21) ima u fokusu smanjiti emisije stakleničkih plinova i spriječiti porast koncentracije istih u atmosferi i posljedično ograničiti globalni porast temperature. Ciljevi Strategije su: postizanje održivog razvoja temeljenog na znanju i konkurentnom niskougljičnom gospodarstvu i učinkovitom korištenju resursa, povećanje sigurnosti opskrbe energijom, održivost energetske opskrbe, povećanje dostupnosti energije i smanjenje energetske ovisnosti, solidarnost izvršavanjem obveza Republike Hrvatske prema međunarodnim sporazumima, u okviru politike EU-a, kao dio naše povijesne odgovornosti i </w:t>
      </w:r>
      <w:r w:rsidRPr="63259912">
        <w:lastRenderedPageBreak/>
        <w:t>doprinos globalnim ciljevima te smanjenje onečišćenja zraka i utjecaja na zdravlje te kvalitetu života građana.</w:t>
      </w:r>
    </w:p>
    <w:p w14:paraId="46681FEF" w14:textId="3BC17B8C" w:rsidR="00E153F7" w:rsidRPr="001B6473" w:rsidRDefault="001B6473" w:rsidP="000B6608">
      <w:pPr>
        <w:rPr>
          <w:b/>
          <w:bCs/>
        </w:rPr>
      </w:pPr>
      <w:r w:rsidRPr="001B6473">
        <w:rPr>
          <w:b/>
          <w:bCs/>
        </w:rPr>
        <w:t>Izdvajanje i geološko skladištenje CO</w:t>
      </w:r>
      <w:r w:rsidRPr="00801014">
        <w:rPr>
          <w:b/>
          <w:bCs/>
          <w:vertAlign w:val="subscript"/>
        </w:rPr>
        <w:t>2</w:t>
      </w:r>
    </w:p>
    <w:p w14:paraId="0F821A69" w14:textId="39F598D9" w:rsidR="001B6473" w:rsidRDefault="001A2E2D" w:rsidP="000B6608">
      <w:r w:rsidRPr="007057C9">
        <w:t>U Hrvatskoj se CO</w:t>
      </w:r>
      <w:r w:rsidRPr="007057C9">
        <w:rPr>
          <w:vertAlign w:val="subscript"/>
        </w:rPr>
        <w:t>2</w:t>
      </w:r>
      <w:r w:rsidRPr="007057C9">
        <w:t xml:space="preserve"> utiskuje u geološke strukture na naftnim poljima Ivanić i Žutica sjever i to prvenstveno kao tercijarna metoda povećanja iscrpka nafte iz ležišta. </w:t>
      </w:r>
      <w:r w:rsidR="007057C9" w:rsidRPr="007057C9">
        <w:t>Pilot projekt utiskivanja CO</w:t>
      </w:r>
      <w:r w:rsidR="007057C9" w:rsidRPr="007057C9">
        <w:rPr>
          <w:vertAlign w:val="subscript"/>
        </w:rPr>
        <w:t>2</w:t>
      </w:r>
      <w:r w:rsidR="007057C9" w:rsidRPr="007057C9">
        <w:t xml:space="preserve"> u bušotine na naftnom polju Ivanić započeo je 2003. godine i trajao je tri godine čime je stečeno neophodno iskustvo te vrlo korisni podaci o utiskivanju ugljikovog dioksida u geološke strukture. Projekat utiskivanja CO</w:t>
      </w:r>
      <w:r w:rsidR="007057C9" w:rsidRPr="007057C9">
        <w:rPr>
          <w:vertAlign w:val="subscript"/>
        </w:rPr>
        <w:t>2</w:t>
      </w:r>
      <w:r w:rsidR="007057C9" w:rsidRPr="007057C9">
        <w:t xml:space="preserve"> na poljima Ivanić i Žutica sjever započeo je 2014. godine te je 2020. godine proširen i na naftno polje Žutica jug s ukupnim kapacitetom utiskivanja CO</w:t>
      </w:r>
      <w:r w:rsidR="007057C9" w:rsidRPr="006E1E44">
        <w:rPr>
          <w:vertAlign w:val="subscript"/>
        </w:rPr>
        <w:t>2</w:t>
      </w:r>
      <w:r w:rsidR="007057C9" w:rsidRPr="007057C9">
        <w:t xml:space="preserve"> od 1,2 milijuna m</w:t>
      </w:r>
      <w:r w:rsidR="007057C9" w:rsidRPr="007057C9">
        <w:rPr>
          <w:vertAlign w:val="superscript"/>
        </w:rPr>
        <w:t>3</w:t>
      </w:r>
      <w:r w:rsidR="007057C9" w:rsidRPr="007057C9">
        <w:t xml:space="preserve">/dan. </w:t>
      </w:r>
      <w:r w:rsidR="006E1E44" w:rsidRPr="006E1E44">
        <w:t>CO</w:t>
      </w:r>
      <w:r w:rsidR="006E1E44" w:rsidRPr="006E1E44">
        <w:rPr>
          <w:vertAlign w:val="subscript"/>
        </w:rPr>
        <w:t>2</w:t>
      </w:r>
      <w:r w:rsidR="006E1E44" w:rsidRPr="006E1E44">
        <w:t xml:space="preserve"> se izdvaja pri proizvodnji plina na plinskom polju Molve te se do bušotina za utiskivanje transportira cjevovodom dužine oko 80 km. </w:t>
      </w:r>
      <w:r w:rsidR="007057C9" w:rsidRPr="007057C9">
        <w:t>CO</w:t>
      </w:r>
      <w:r w:rsidR="007057C9" w:rsidRPr="006E1E44">
        <w:rPr>
          <w:vertAlign w:val="subscript"/>
        </w:rPr>
        <w:t>2</w:t>
      </w:r>
      <w:r w:rsidR="007057C9" w:rsidRPr="007057C9">
        <w:t xml:space="preserve"> se na tim poljima utiskuje putem 26 utisnih bušotina, a proizvodnja se odvija kroz 76 proizvodnih bušotina. Planirani kraj projekta utiskivanja CO</w:t>
      </w:r>
      <w:r w:rsidR="007057C9" w:rsidRPr="006E1E44">
        <w:rPr>
          <w:vertAlign w:val="subscript"/>
        </w:rPr>
        <w:t>2</w:t>
      </w:r>
      <w:r w:rsidR="007057C9" w:rsidRPr="007057C9">
        <w:t xml:space="preserve"> na polju Ivanić je 2038. godine, dok je na poljima Žutica sjever i jug 2050. godine. </w:t>
      </w:r>
    </w:p>
    <w:p w14:paraId="4B659642" w14:textId="1B01A2E1" w:rsidR="00573AE7" w:rsidRDefault="00573AE7" w:rsidP="000B6608">
      <w:r w:rsidRPr="63259912">
        <w:t xml:space="preserve">Do 2028. godine planirana je provedba „KOdeCO net zero“ projekta </w:t>
      </w:r>
      <w:r w:rsidR="00C721A1" w:rsidRPr="63259912">
        <w:t xml:space="preserve">koji </w:t>
      </w:r>
      <w:r w:rsidRPr="63259912">
        <w:t>obuhvaća projektiranje, izgradnju, postavljanje i integraciju jedinica za hvatanje, ukapljivanje i pročišćavanje CO</w:t>
      </w:r>
      <w:r w:rsidRPr="63259912">
        <w:rPr>
          <w:vertAlign w:val="subscript"/>
        </w:rPr>
        <w:t>2</w:t>
      </w:r>
      <w:r w:rsidRPr="63259912">
        <w:t xml:space="preserve"> </w:t>
      </w:r>
      <w:r w:rsidR="00C721A1" w:rsidRPr="63259912">
        <w:t>koji nastaje pri proizvodnji cementa. CO</w:t>
      </w:r>
      <w:r w:rsidR="00C721A1" w:rsidRPr="63259912">
        <w:rPr>
          <w:vertAlign w:val="subscript"/>
        </w:rPr>
        <w:t>2</w:t>
      </w:r>
      <w:r w:rsidRPr="63259912">
        <w:t xml:space="preserve"> će se transportirati </w:t>
      </w:r>
      <w:r w:rsidR="00B540DC" w:rsidRPr="63259912">
        <w:t xml:space="preserve">brodom </w:t>
      </w:r>
      <w:r w:rsidRPr="63259912">
        <w:t>i trajno skladištiti na Mediteranu.</w:t>
      </w:r>
      <w:r w:rsidR="008C2855" w:rsidRPr="63259912">
        <w:t xml:space="preserve"> Tijekom razdoblja od 10 godina planirano je trajno </w:t>
      </w:r>
      <w:r w:rsidR="00CA3503" w:rsidRPr="63259912">
        <w:t>skladištenje 3,67 milijuna tona CO</w:t>
      </w:r>
      <w:r w:rsidR="00CA3503" w:rsidRPr="63259912">
        <w:rPr>
          <w:vertAlign w:val="subscript"/>
        </w:rPr>
        <w:t>2</w:t>
      </w:r>
      <w:r w:rsidR="00CA3503" w:rsidRPr="63259912">
        <w:t>.</w:t>
      </w:r>
    </w:p>
    <w:p w14:paraId="08209719" w14:textId="739E1974" w:rsidR="00CA3503" w:rsidRDefault="0092182A" w:rsidP="000B6608">
      <w:r w:rsidRPr="006565A9">
        <w:t>Hrvatska ima značajan potencijal skladištenja CO</w:t>
      </w:r>
      <w:r w:rsidRPr="006565A9">
        <w:rPr>
          <w:vertAlign w:val="subscript"/>
        </w:rPr>
        <w:t xml:space="preserve">2 </w:t>
      </w:r>
      <w:r w:rsidRPr="006565A9">
        <w:t>u iscrpljenim ležištima nafte i plina, te u okviru projekata za povećanje iscrpka nafte i plina na poljima u poodmakloj fazi iskorištavanja. Najveći potencijal podzemnog skladištenja CO</w:t>
      </w:r>
      <w:r w:rsidRPr="006565A9">
        <w:rPr>
          <w:vertAlign w:val="subscript"/>
        </w:rPr>
        <w:t>2</w:t>
      </w:r>
      <w:r w:rsidRPr="006565A9">
        <w:t xml:space="preserve"> čine regionalni vodonosnici, no za analizu utiskivanja CO</w:t>
      </w:r>
      <w:r w:rsidRPr="006565A9">
        <w:rPr>
          <w:vertAlign w:val="subscript"/>
        </w:rPr>
        <w:t>2</w:t>
      </w:r>
      <w:r w:rsidRPr="006565A9">
        <w:t xml:space="preserve"> u vodonosnik dostupno je daleko manje podataka nego za dobro istražena naftna, plinsko-kondenzatna i plinska polja.</w:t>
      </w:r>
    </w:p>
    <w:p w14:paraId="0E20A0B4" w14:textId="7D039BCE" w:rsidR="0073007D" w:rsidRPr="006565A9" w:rsidRDefault="0073007D" w:rsidP="0073007D">
      <w:r w:rsidRPr="006565A9">
        <w:t>Ukupni kapacitet naftnih i plinskih polja u područjima Savske i Dravske depresije, za koje je ocijenjeno da su pogodna za skladištenje CO</w:t>
      </w:r>
      <w:r w:rsidRPr="006565A9">
        <w:rPr>
          <w:vertAlign w:val="subscript"/>
        </w:rPr>
        <w:t>2</w:t>
      </w:r>
      <w:r w:rsidRPr="006565A9">
        <w:t>, procijenjen je na oko 144 milijuna tona CO</w:t>
      </w:r>
      <w:r w:rsidRPr="006565A9">
        <w:rPr>
          <w:vertAlign w:val="subscript"/>
        </w:rPr>
        <w:t>2</w:t>
      </w:r>
      <w:r w:rsidRPr="006565A9">
        <w:t>.</w:t>
      </w:r>
      <w:r>
        <w:t xml:space="preserve"> </w:t>
      </w:r>
    </w:p>
    <w:p w14:paraId="257B3A6C" w14:textId="1C8ED0D2" w:rsidR="008D4CEE" w:rsidRDefault="5F863885" w:rsidP="0073007D">
      <w:r>
        <w:t>Duboki slani vodonosnici, s obzirom na njihovu mogućnost upijanja CO</w:t>
      </w:r>
      <w:r w:rsidRPr="1C9333AB">
        <w:rPr>
          <w:vertAlign w:val="subscript"/>
        </w:rPr>
        <w:t>2</w:t>
      </w:r>
      <w:r>
        <w:t>, čine najveći potencijal podzemnog skladištenja CO</w:t>
      </w:r>
      <w:r w:rsidRPr="1C9333AB">
        <w:rPr>
          <w:vertAlign w:val="subscript"/>
        </w:rPr>
        <w:t>2</w:t>
      </w:r>
      <w:r>
        <w:t>. Ukupni procijenjeni kapacitet dubokih slanih vodonosnika za geološko skladištenje CO</w:t>
      </w:r>
      <w:r w:rsidRPr="1C9333AB">
        <w:rPr>
          <w:vertAlign w:val="subscript"/>
        </w:rPr>
        <w:t>2</w:t>
      </w:r>
      <w:r>
        <w:t xml:space="preserve"> procijenjen je na oko 2,6 milijardi tona CO</w:t>
      </w:r>
      <w:r w:rsidRPr="1C9333AB">
        <w:rPr>
          <w:vertAlign w:val="subscript"/>
        </w:rPr>
        <w:t>2</w:t>
      </w:r>
      <w:r>
        <w:t xml:space="preserve">, pri čemu su oni najvećeg kapaciteta smješteni u području sjeverne i centralne Hrvatske. </w:t>
      </w:r>
      <w:r w:rsidR="6B14DA02">
        <w:t>Ove procjene napravljene su na osnovu do sada objavljenih radova</w:t>
      </w:r>
      <w:r w:rsidR="5A8D2905">
        <w:t>,</w:t>
      </w:r>
      <w:r w:rsidR="6DC532BB">
        <w:t xml:space="preserve"> </w:t>
      </w:r>
      <w:r w:rsidR="5A8D2905">
        <w:t xml:space="preserve">a detaljna ocjena </w:t>
      </w:r>
      <w:r w:rsidR="4EB4C291">
        <w:t xml:space="preserve">potencijala planira se </w:t>
      </w:r>
      <w:r w:rsidR="027D8D5F">
        <w:t>provedbom mjere MS-</w:t>
      </w:r>
      <w:r w:rsidR="00E02AF2">
        <w:t xml:space="preserve">5 </w:t>
      </w:r>
      <w:r w:rsidR="4EB4C291">
        <w:t xml:space="preserve">kroz </w:t>
      </w:r>
      <w:r w:rsidR="5A8D2905">
        <w:t>izrad</w:t>
      </w:r>
      <w:r w:rsidR="027D8D5F">
        <w:t>u</w:t>
      </w:r>
      <w:r w:rsidR="5A8D2905">
        <w:t xml:space="preserve"> Nacionalne studije izvodljivosti s akcijskim planom za pripremne aktivnosti za projekte prikupljanja i skladištenja ugljika. Ova će studija obuhvatiti faze hvatanja na izvorima emisija, transport, utiskivanje i skladištenje CO</w:t>
      </w:r>
      <w:r w:rsidR="5A8D2905" w:rsidRPr="1C9333AB">
        <w:rPr>
          <w:vertAlign w:val="subscript"/>
        </w:rPr>
        <w:t>2</w:t>
      </w:r>
      <w:r w:rsidR="5A8D2905">
        <w:t xml:space="preserve"> te povezanost sustava transporta CO</w:t>
      </w:r>
      <w:r w:rsidR="5A8D2905" w:rsidRPr="1C9333AB">
        <w:rPr>
          <w:vertAlign w:val="subscript"/>
        </w:rPr>
        <w:t>2</w:t>
      </w:r>
      <w:r w:rsidR="5A8D2905">
        <w:t xml:space="preserve"> s drugim EU zemljama.</w:t>
      </w:r>
    </w:p>
    <w:p w14:paraId="58995ECF" w14:textId="77777777" w:rsidR="008D4CEE" w:rsidRDefault="008D4CEE">
      <w:pPr>
        <w:spacing w:after="0"/>
        <w:jc w:val="left"/>
      </w:pPr>
      <w:r>
        <w:br w:type="page"/>
      </w:r>
    </w:p>
    <w:p w14:paraId="7883E13B" w14:textId="50897D98" w:rsidR="009B53A7" w:rsidRPr="00B47BDA" w:rsidRDefault="009B53A7" w:rsidP="005C2C7E">
      <w:pPr>
        <w:pStyle w:val="Heading3"/>
        <w:numPr>
          <w:ilvl w:val="2"/>
          <w:numId w:val="175"/>
        </w:numPr>
      </w:pPr>
      <w:bookmarkStart w:id="249" w:name="_Toc6302347"/>
      <w:bookmarkStart w:id="250" w:name="_Toc187418334"/>
      <w:bookmarkStart w:id="251" w:name="_Toc193043259"/>
      <w:r w:rsidRPr="00B47BDA">
        <w:lastRenderedPageBreak/>
        <w:t>Energija iz obnovljivih izvora</w:t>
      </w:r>
      <w:bookmarkEnd w:id="249"/>
      <w:bookmarkEnd w:id="250"/>
      <w:bookmarkEnd w:id="251"/>
      <w:r w:rsidRPr="00B47BDA">
        <w:t xml:space="preserve"> </w:t>
      </w:r>
    </w:p>
    <w:p w14:paraId="452956D4" w14:textId="77777777" w:rsidR="0089638F" w:rsidRPr="00B47BDA" w:rsidRDefault="0089638F" w:rsidP="63259912">
      <w:pPr>
        <w:pStyle w:val="Heading4"/>
        <w:ind w:hanging="580"/>
      </w:pPr>
      <w:r w:rsidRPr="63259912">
        <w:t>Elementi iz članka 4. točke (a) podtočke 2.</w:t>
      </w:r>
    </w:p>
    <w:p w14:paraId="76649BD3" w14:textId="0B4DECB8" w:rsidR="009B53A7" w:rsidRDefault="009B53A7" w:rsidP="004623DD">
      <w:r w:rsidRPr="00B47BDA">
        <w:t xml:space="preserve">Indikativni </w:t>
      </w:r>
      <w:r w:rsidR="001B307F">
        <w:t xml:space="preserve">nacionalni ciljevi udjela OIE </w:t>
      </w:r>
      <w:r w:rsidRPr="00B47BDA">
        <w:t>do 2030. godine prikazani</w:t>
      </w:r>
      <w:r w:rsidR="00EC4B39" w:rsidRPr="00B47BDA">
        <w:t xml:space="preserve"> su</w:t>
      </w:r>
      <w:r w:rsidRPr="00B47BDA">
        <w:t xml:space="preserve"> u sljedećo</w:t>
      </w:r>
      <w:r w:rsidR="00EC4B39" w:rsidRPr="00B47BDA">
        <w:t>j</w:t>
      </w:r>
      <w:r w:rsidRPr="00B47BDA">
        <w:t xml:space="preserve"> </w:t>
      </w:r>
      <w:r w:rsidR="00EC4B39" w:rsidRPr="00B47BDA">
        <w:t>tablici</w:t>
      </w:r>
      <w:r w:rsidRPr="00B47BDA">
        <w:t>.</w:t>
      </w:r>
    </w:p>
    <w:p w14:paraId="269A68AC" w14:textId="77777777" w:rsidR="00830365" w:rsidRPr="00B47BDA" w:rsidRDefault="00830365" w:rsidP="004623DD"/>
    <w:p w14:paraId="0CBAF68D" w14:textId="21818CBB" w:rsidR="009B53A7" w:rsidRPr="00B47BDA" w:rsidRDefault="009B53A7" w:rsidP="004623DD">
      <w:pPr>
        <w:pStyle w:val="Caption"/>
      </w:pPr>
      <w:bookmarkStart w:id="252" w:name="_Toc193035942"/>
      <w:r w:rsidRPr="00B47BDA">
        <w:t xml:space="preserve">Tablica </w:t>
      </w:r>
      <w:r>
        <w:fldChar w:fldCharType="begin"/>
      </w:r>
      <w:r>
        <w:instrText>STYLEREF 1 \s</w:instrText>
      </w:r>
      <w:r>
        <w:fldChar w:fldCharType="separate"/>
      </w:r>
      <w:r w:rsidR="00AD324D">
        <w:rPr>
          <w:noProof/>
        </w:rPr>
        <w:t>2</w:t>
      </w:r>
      <w:r>
        <w:fldChar w:fldCharType="end"/>
      </w:r>
      <w:r w:rsidR="000C3EFD" w:rsidRPr="00B47BDA">
        <w:noBreakHyphen/>
      </w:r>
      <w:r>
        <w:fldChar w:fldCharType="begin"/>
      </w:r>
      <w:r>
        <w:instrText>SEQ Tablica \* ARABIC \s 1</w:instrText>
      </w:r>
      <w:r>
        <w:fldChar w:fldCharType="separate"/>
      </w:r>
      <w:r w:rsidR="00AD324D">
        <w:rPr>
          <w:noProof/>
        </w:rPr>
        <w:t>1</w:t>
      </w:r>
      <w:r>
        <w:fldChar w:fldCharType="end"/>
      </w:r>
      <w:r w:rsidRPr="00B47BDA">
        <w:t>. Indikativni nacionalni ciljevi za udjele OIE do 2030. godine</w:t>
      </w:r>
      <w:bookmarkEnd w:id="252"/>
    </w:p>
    <w:tbl>
      <w:tblPr>
        <w:tblStyle w:val="NECP"/>
        <w:tblW w:w="4945" w:type="pct"/>
        <w:tblLook w:val="04A0" w:firstRow="1" w:lastRow="0" w:firstColumn="1" w:lastColumn="0" w:noHBand="0" w:noVBand="1"/>
      </w:tblPr>
      <w:tblGrid>
        <w:gridCol w:w="5602"/>
        <w:gridCol w:w="1214"/>
        <w:gridCol w:w="1067"/>
        <w:gridCol w:w="1067"/>
      </w:tblGrid>
      <w:tr w:rsidR="0085704E" w:rsidRPr="00432DEF" w14:paraId="6FB7423C" w14:textId="77777777" w:rsidTr="0085704E">
        <w:trPr>
          <w:cnfStyle w:val="100000000000" w:firstRow="1" w:lastRow="0" w:firstColumn="0" w:lastColumn="0" w:oddVBand="0" w:evenVBand="0" w:oddHBand="0" w:evenHBand="0" w:firstRowFirstColumn="0" w:firstRowLastColumn="0" w:lastRowFirstColumn="0" w:lastRowLastColumn="0"/>
          <w:trHeight w:val="388"/>
        </w:trPr>
        <w:tc>
          <w:tcPr>
            <w:tcW w:w="3130" w:type="pct"/>
            <w:vMerge w:val="restart"/>
            <w:shd w:val="clear" w:color="auto" w:fill="D9E2F3" w:themeFill="accent5" w:themeFillTint="33"/>
            <w:noWrap/>
            <w:hideMark/>
          </w:tcPr>
          <w:p w14:paraId="7B912D4D" w14:textId="77777777" w:rsidR="0085704E" w:rsidRPr="00830365" w:rsidRDefault="0085704E" w:rsidP="009847BE">
            <w:pPr>
              <w:spacing w:after="0"/>
              <w:jc w:val="center"/>
              <w:rPr>
                <w:rFonts w:ascii="Times New Roman" w:hAnsi="Times New Roman"/>
                <w:sz w:val="22"/>
                <w:szCs w:val="22"/>
              </w:rPr>
            </w:pPr>
            <w:r w:rsidRPr="00830365">
              <w:rPr>
                <w:sz w:val="22"/>
                <w:szCs w:val="22"/>
              </w:rPr>
              <w:t>Udio OIE, %</w:t>
            </w:r>
          </w:p>
        </w:tc>
        <w:tc>
          <w:tcPr>
            <w:tcW w:w="1274" w:type="pct"/>
            <w:gridSpan w:val="2"/>
            <w:shd w:val="clear" w:color="auto" w:fill="D9E2F3" w:themeFill="accent5" w:themeFillTint="33"/>
            <w:noWrap/>
            <w:hideMark/>
          </w:tcPr>
          <w:p w14:paraId="43AF0599" w14:textId="7A39DAA3" w:rsidR="0085704E" w:rsidRPr="00830365" w:rsidRDefault="0085704E" w:rsidP="0085704E">
            <w:pPr>
              <w:spacing w:after="0"/>
              <w:jc w:val="center"/>
              <w:rPr>
                <w:sz w:val="22"/>
                <w:szCs w:val="22"/>
              </w:rPr>
            </w:pPr>
            <w:r w:rsidRPr="00830365">
              <w:rPr>
                <w:sz w:val="22"/>
                <w:szCs w:val="22"/>
              </w:rPr>
              <w:t>Ostvareno</w:t>
            </w:r>
          </w:p>
        </w:tc>
        <w:tc>
          <w:tcPr>
            <w:tcW w:w="596" w:type="pct"/>
            <w:vMerge w:val="restart"/>
            <w:shd w:val="clear" w:color="auto" w:fill="D9E2F3" w:themeFill="accent5" w:themeFillTint="33"/>
          </w:tcPr>
          <w:p w14:paraId="5C02BA70" w14:textId="43698F66" w:rsidR="0085704E" w:rsidRPr="00830365" w:rsidRDefault="0085704E" w:rsidP="009847BE">
            <w:pPr>
              <w:spacing w:after="0"/>
              <w:jc w:val="center"/>
              <w:rPr>
                <w:sz w:val="22"/>
                <w:szCs w:val="22"/>
              </w:rPr>
            </w:pPr>
            <w:r w:rsidRPr="00830365">
              <w:rPr>
                <w:sz w:val="22"/>
                <w:szCs w:val="22"/>
              </w:rPr>
              <w:t>Ciljevi 2030.</w:t>
            </w:r>
          </w:p>
        </w:tc>
      </w:tr>
      <w:tr w:rsidR="0085704E" w:rsidRPr="00432DEF" w14:paraId="72C3A81F" w14:textId="77777777" w:rsidTr="009D5A6D">
        <w:trPr>
          <w:trHeight w:val="387"/>
        </w:trPr>
        <w:tc>
          <w:tcPr>
            <w:tcW w:w="3130" w:type="pct"/>
            <w:vMerge/>
            <w:shd w:val="clear" w:color="auto" w:fill="D9E2F3" w:themeFill="accent5" w:themeFillTint="33"/>
            <w:noWrap/>
          </w:tcPr>
          <w:p w14:paraId="4CB961CB" w14:textId="77777777" w:rsidR="0085704E" w:rsidRPr="00830365" w:rsidRDefault="0085704E" w:rsidP="009847BE">
            <w:pPr>
              <w:spacing w:after="0"/>
              <w:jc w:val="center"/>
              <w:rPr>
                <w:sz w:val="22"/>
                <w:szCs w:val="22"/>
              </w:rPr>
            </w:pPr>
          </w:p>
        </w:tc>
        <w:tc>
          <w:tcPr>
            <w:tcW w:w="678" w:type="pct"/>
            <w:shd w:val="clear" w:color="auto" w:fill="D9E2F3" w:themeFill="accent5" w:themeFillTint="33"/>
            <w:noWrap/>
          </w:tcPr>
          <w:p w14:paraId="7EE99444" w14:textId="6863CDB3" w:rsidR="0085704E" w:rsidRPr="0085704E" w:rsidRDefault="0085704E" w:rsidP="009847BE">
            <w:pPr>
              <w:spacing w:after="0"/>
              <w:jc w:val="center"/>
              <w:rPr>
                <w:b/>
                <w:bCs/>
                <w:sz w:val="22"/>
                <w:szCs w:val="22"/>
              </w:rPr>
            </w:pPr>
            <w:r w:rsidRPr="0085704E">
              <w:rPr>
                <w:b/>
                <w:bCs/>
                <w:sz w:val="22"/>
                <w:szCs w:val="22"/>
              </w:rPr>
              <w:t>2021.</w:t>
            </w:r>
          </w:p>
        </w:tc>
        <w:tc>
          <w:tcPr>
            <w:tcW w:w="596" w:type="pct"/>
            <w:shd w:val="clear" w:color="auto" w:fill="D9E2F3" w:themeFill="accent5" w:themeFillTint="33"/>
          </w:tcPr>
          <w:p w14:paraId="61E9E7A4" w14:textId="02D0C948" w:rsidR="0085704E" w:rsidRPr="0085704E" w:rsidRDefault="0085704E" w:rsidP="009847BE">
            <w:pPr>
              <w:spacing w:after="0"/>
              <w:jc w:val="center"/>
              <w:rPr>
                <w:b/>
                <w:bCs/>
                <w:sz w:val="22"/>
                <w:szCs w:val="22"/>
              </w:rPr>
            </w:pPr>
            <w:r w:rsidRPr="0085704E">
              <w:rPr>
                <w:b/>
                <w:bCs/>
                <w:sz w:val="22"/>
                <w:szCs w:val="22"/>
              </w:rPr>
              <w:t>2022.</w:t>
            </w:r>
          </w:p>
        </w:tc>
        <w:tc>
          <w:tcPr>
            <w:tcW w:w="596" w:type="pct"/>
            <w:vMerge/>
            <w:shd w:val="clear" w:color="auto" w:fill="D9E2F3" w:themeFill="accent5" w:themeFillTint="33"/>
          </w:tcPr>
          <w:p w14:paraId="656870FE" w14:textId="77777777" w:rsidR="0085704E" w:rsidRPr="00830365" w:rsidRDefault="0085704E" w:rsidP="009847BE">
            <w:pPr>
              <w:spacing w:after="0"/>
              <w:jc w:val="center"/>
              <w:rPr>
                <w:sz w:val="22"/>
                <w:szCs w:val="22"/>
              </w:rPr>
            </w:pPr>
          </w:p>
        </w:tc>
      </w:tr>
      <w:tr w:rsidR="0085704E" w:rsidRPr="00432DEF" w14:paraId="4600BA7C" w14:textId="77777777" w:rsidTr="009D5A6D">
        <w:trPr>
          <w:trHeight w:val="262"/>
        </w:trPr>
        <w:tc>
          <w:tcPr>
            <w:tcW w:w="3130" w:type="pct"/>
            <w:noWrap/>
            <w:hideMark/>
          </w:tcPr>
          <w:p w14:paraId="13B2DE12" w14:textId="1331953C" w:rsidR="0085704E" w:rsidRPr="00830365" w:rsidRDefault="0085704E" w:rsidP="0085704E">
            <w:pPr>
              <w:spacing w:before="60" w:after="60"/>
              <w:rPr>
                <w:sz w:val="22"/>
                <w:szCs w:val="22"/>
              </w:rPr>
            </w:pPr>
            <w:r w:rsidRPr="00830365">
              <w:rPr>
                <w:sz w:val="22"/>
                <w:szCs w:val="22"/>
              </w:rPr>
              <w:t>U bruto neposrednoj potrošnji energije</w:t>
            </w:r>
          </w:p>
        </w:tc>
        <w:tc>
          <w:tcPr>
            <w:tcW w:w="678" w:type="pct"/>
            <w:noWrap/>
            <w:hideMark/>
          </w:tcPr>
          <w:p w14:paraId="4FFE0D10" w14:textId="29F9AB49" w:rsidR="0085704E" w:rsidRPr="00830365" w:rsidRDefault="0085704E" w:rsidP="0085704E">
            <w:pPr>
              <w:spacing w:before="60" w:after="60"/>
              <w:jc w:val="right"/>
              <w:rPr>
                <w:sz w:val="22"/>
                <w:szCs w:val="22"/>
              </w:rPr>
            </w:pPr>
            <w:r w:rsidRPr="00830365">
              <w:rPr>
                <w:sz w:val="22"/>
                <w:szCs w:val="22"/>
              </w:rPr>
              <w:t>31,7</w:t>
            </w:r>
          </w:p>
        </w:tc>
        <w:tc>
          <w:tcPr>
            <w:tcW w:w="596" w:type="pct"/>
          </w:tcPr>
          <w:p w14:paraId="17E72ECD" w14:textId="34647A98" w:rsidR="0085704E" w:rsidRPr="00830365" w:rsidRDefault="0085704E" w:rsidP="0085704E">
            <w:pPr>
              <w:spacing w:before="60" w:after="60"/>
              <w:jc w:val="right"/>
              <w:rPr>
                <w:sz w:val="22"/>
                <w:szCs w:val="22"/>
              </w:rPr>
            </w:pPr>
            <w:r>
              <w:rPr>
                <w:sz w:val="22"/>
                <w:szCs w:val="22"/>
              </w:rPr>
              <w:t>29,4</w:t>
            </w:r>
          </w:p>
        </w:tc>
        <w:tc>
          <w:tcPr>
            <w:tcW w:w="596" w:type="pct"/>
          </w:tcPr>
          <w:p w14:paraId="60480550" w14:textId="547D6DA4" w:rsidR="0085704E" w:rsidRPr="00830365" w:rsidRDefault="0085704E" w:rsidP="0085704E">
            <w:pPr>
              <w:spacing w:before="60" w:after="60"/>
              <w:jc w:val="right"/>
              <w:rPr>
                <w:sz w:val="22"/>
                <w:szCs w:val="22"/>
              </w:rPr>
            </w:pPr>
            <w:r w:rsidRPr="00830365">
              <w:rPr>
                <w:sz w:val="22"/>
                <w:szCs w:val="22"/>
              </w:rPr>
              <w:t>4</w:t>
            </w:r>
            <w:r w:rsidR="00CB5733">
              <w:rPr>
                <w:sz w:val="22"/>
                <w:szCs w:val="22"/>
              </w:rPr>
              <w:t>2,5</w:t>
            </w:r>
          </w:p>
        </w:tc>
      </w:tr>
      <w:tr w:rsidR="0085704E" w:rsidRPr="00432DEF" w14:paraId="0E9BF6CD" w14:textId="77777777" w:rsidTr="009D5A6D">
        <w:trPr>
          <w:trHeight w:val="262"/>
        </w:trPr>
        <w:tc>
          <w:tcPr>
            <w:tcW w:w="3130" w:type="pct"/>
            <w:noWrap/>
            <w:hideMark/>
          </w:tcPr>
          <w:p w14:paraId="24FEFA85" w14:textId="00B50A0C" w:rsidR="0085704E" w:rsidRPr="00B3768A" w:rsidRDefault="0085704E" w:rsidP="0085704E">
            <w:pPr>
              <w:spacing w:before="60" w:after="60"/>
              <w:rPr>
                <w:sz w:val="22"/>
                <w:szCs w:val="22"/>
              </w:rPr>
            </w:pPr>
            <w:r w:rsidRPr="00B3768A">
              <w:rPr>
                <w:sz w:val="22"/>
                <w:szCs w:val="22"/>
              </w:rPr>
              <w:t>U bruto neposrednoj potrošnji električne energije</w:t>
            </w:r>
          </w:p>
        </w:tc>
        <w:tc>
          <w:tcPr>
            <w:tcW w:w="678" w:type="pct"/>
            <w:noWrap/>
            <w:hideMark/>
          </w:tcPr>
          <w:p w14:paraId="64DD8121" w14:textId="2511091D" w:rsidR="0085704E" w:rsidRPr="00B3768A" w:rsidRDefault="0085704E" w:rsidP="0085704E">
            <w:pPr>
              <w:spacing w:before="60" w:after="60"/>
              <w:jc w:val="right"/>
              <w:rPr>
                <w:sz w:val="22"/>
                <w:szCs w:val="22"/>
              </w:rPr>
            </w:pPr>
            <w:r w:rsidRPr="00B3768A">
              <w:rPr>
                <w:sz w:val="22"/>
                <w:szCs w:val="22"/>
              </w:rPr>
              <w:t>53,5</w:t>
            </w:r>
          </w:p>
        </w:tc>
        <w:tc>
          <w:tcPr>
            <w:tcW w:w="596" w:type="pct"/>
          </w:tcPr>
          <w:p w14:paraId="7C14FE27" w14:textId="0DBFF156" w:rsidR="0085704E" w:rsidRPr="00B3768A" w:rsidRDefault="0085704E" w:rsidP="0085704E">
            <w:pPr>
              <w:spacing w:before="60" w:after="60"/>
              <w:jc w:val="right"/>
              <w:rPr>
                <w:sz w:val="22"/>
                <w:szCs w:val="22"/>
              </w:rPr>
            </w:pPr>
            <w:r w:rsidRPr="00B3768A">
              <w:rPr>
                <w:sz w:val="22"/>
                <w:szCs w:val="22"/>
              </w:rPr>
              <w:t>55,5</w:t>
            </w:r>
          </w:p>
        </w:tc>
        <w:tc>
          <w:tcPr>
            <w:tcW w:w="596" w:type="pct"/>
          </w:tcPr>
          <w:p w14:paraId="20AFAD66" w14:textId="3979433B" w:rsidR="0085704E" w:rsidRPr="00B3768A" w:rsidRDefault="0085704E" w:rsidP="0085704E">
            <w:pPr>
              <w:spacing w:before="60" w:after="60"/>
              <w:jc w:val="right"/>
              <w:rPr>
                <w:sz w:val="22"/>
                <w:szCs w:val="22"/>
              </w:rPr>
            </w:pPr>
            <w:r w:rsidRPr="00B3768A">
              <w:rPr>
                <w:sz w:val="22"/>
                <w:szCs w:val="22"/>
              </w:rPr>
              <w:t>76,7</w:t>
            </w:r>
          </w:p>
        </w:tc>
      </w:tr>
      <w:tr w:rsidR="0085704E" w:rsidRPr="00432DEF" w14:paraId="746CE28F" w14:textId="77777777" w:rsidTr="009D5A6D">
        <w:trPr>
          <w:trHeight w:val="262"/>
        </w:trPr>
        <w:tc>
          <w:tcPr>
            <w:tcW w:w="3130" w:type="pct"/>
            <w:noWrap/>
            <w:hideMark/>
          </w:tcPr>
          <w:p w14:paraId="1057DAA9" w14:textId="516863DD" w:rsidR="0085704E" w:rsidRPr="00830365" w:rsidRDefault="0085704E" w:rsidP="0085704E">
            <w:pPr>
              <w:spacing w:before="60" w:after="60"/>
              <w:rPr>
                <w:sz w:val="22"/>
                <w:szCs w:val="22"/>
              </w:rPr>
            </w:pPr>
            <w:r w:rsidRPr="00830365">
              <w:rPr>
                <w:sz w:val="22"/>
                <w:szCs w:val="22"/>
              </w:rPr>
              <w:t>U bruto neposrednoj potrošnji energije za grijanje i hlađenje</w:t>
            </w:r>
          </w:p>
        </w:tc>
        <w:tc>
          <w:tcPr>
            <w:tcW w:w="678" w:type="pct"/>
            <w:noWrap/>
            <w:hideMark/>
          </w:tcPr>
          <w:p w14:paraId="156C441D" w14:textId="78DC99D5" w:rsidR="0085704E" w:rsidRPr="00830365" w:rsidRDefault="0085704E" w:rsidP="0085704E">
            <w:pPr>
              <w:spacing w:before="60" w:after="60"/>
              <w:jc w:val="right"/>
              <w:rPr>
                <w:sz w:val="22"/>
                <w:szCs w:val="22"/>
              </w:rPr>
            </w:pPr>
            <w:r w:rsidRPr="00830365">
              <w:rPr>
                <w:sz w:val="22"/>
                <w:szCs w:val="22"/>
              </w:rPr>
              <w:t>38,0</w:t>
            </w:r>
          </w:p>
        </w:tc>
        <w:tc>
          <w:tcPr>
            <w:tcW w:w="596" w:type="pct"/>
          </w:tcPr>
          <w:p w14:paraId="0F0910ED" w14:textId="179A3B19" w:rsidR="0085704E" w:rsidRPr="00830365" w:rsidRDefault="0085704E" w:rsidP="0085704E">
            <w:pPr>
              <w:spacing w:before="60" w:after="60"/>
              <w:jc w:val="right"/>
              <w:rPr>
                <w:sz w:val="22"/>
                <w:szCs w:val="22"/>
              </w:rPr>
            </w:pPr>
            <w:r>
              <w:rPr>
                <w:sz w:val="22"/>
                <w:szCs w:val="22"/>
              </w:rPr>
              <w:t>37,2</w:t>
            </w:r>
          </w:p>
        </w:tc>
        <w:tc>
          <w:tcPr>
            <w:tcW w:w="596" w:type="pct"/>
          </w:tcPr>
          <w:p w14:paraId="757DC148" w14:textId="0D83A978" w:rsidR="0085704E" w:rsidRPr="00830365" w:rsidRDefault="0085704E" w:rsidP="0085704E">
            <w:pPr>
              <w:spacing w:before="60" w:after="60"/>
              <w:jc w:val="right"/>
              <w:rPr>
                <w:sz w:val="22"/>
                <w:szCs w:val="22"/>
              </w:rPr>
            </w:pPr>
            <w:r w:rsidRPr="00830365">
              <w:rPr>
                <w:sz w:val="22"/>
                <w:szCs w:val="22"/>
              </w:rPr>
              <w:t>47,1</w:t>
            </w:r>
          </w:p>
        </w:tc>
      </w:tr>
      <w:tr w:rsidR="0085704E" w:rsidRPr="00432DEF" w14:paraId="01301770" w14:textId="77777777" w:rsidTr="009D5A6D">
        <w:trPr>
          <w:trHeight w:val="262"/>
        </w:trPr>
        <w:tc>
          <w:tcPr>
            <w:tcW w:w="3130" w:type="pct"/>
            <w:noWrap/>
            <w:hideMark/>
          </w:tcPr>
          <w:p w14:paraId="103C8E73" w14:textId="257C3D7D" w:rsidR="0085704E" w:rsidRPr="00830365" w:rsidRDefault="0085704E" w:rsidP="0085704E">
            <w:pPr>
              <w:spacing w:before="60" w:after="60"/>
              <w:rPr>
                <w:sz w:val="22"/>
                <w:szCs w:val="22"/>
              </w:rPr>
            </w:pPr>
            <w:r w:rsidRPr="00830365">
              <w:rPr>
                <w:sz w:val="22"/>
                <w:szCs w:val="22"/>
              </w:rPr>
              <w:t>U neposrednoj potrošnji energije u prometu</w:t>
            </w:r>
          </w:p>
        </w:tc>
        <w:tc>
          <w:tcPr>
            <w:tcW w:w="678" w:type="pct"/>
            <w:noWrap/>
            <w:hideMark/>
          </w:tcPr>
          <w:p w14:paraId="7E31870C" w14:textId="499AAEAB" w:rsidR="0085704E" w:rsidRPr="00830365" w:rsidRDefault="0085704E" w:rsidP="0085704E">
            <w:pPr>
              <w:spacing w:before="60" w:after="60"/>
              <w:jc w:val="right"/>
              <w:rPr>
                <w:sz w:val="22"/>
                <w:szCs w:val="22"/>
              </w:rPr>
            </w:pPr>
            <w:r w:rsidRPr="00830365">
              <w:rPr>
                <w:sz w:val="22"/>
                <w:szCs w:val="22"/>
              </w:rPr>
              <w:t>7,1</w:t>
            </w:r>
          </w:p>
        </w:tc>
        <w:tc>
          <w:tcPr>
            <w:tcW w:w="596" w:type="pct"/>
          </w:tcPr>
          <w:p w14:paraId="32AD99E5" w14:textId="12D9F32B" w:rsidR="0085704E" w:rsidRPr="00830365" w:rsidRDefault="0085704E" w:rsidP="0085704E">
            <w:pPr>
              <w:spacing w:before="60" w:after="60"/>
              <w:jc w:val="right"/>
              <w:rPr>
                <w:sz w:val="22"/>
                <w:szCs w:val="22"/>
              </w:rPr>
            </w:pPr>
            <w:r>
              <w:rPr>
                <w:sz w:val="22"/>
                <w:szCs w:val="22"/>
              </w:rPr>
              <w:t>2,4</w:t>
            </w:r>
          </w:p>
        </w:tc>
        <w:tc>
          <w:tcPr>
            <w:tcW w:w="596" w:type="pct"/>
          </w:tcPr>
          <w:p w14:paraId="4D16DD2E" w14:textId="11598770" w:rsidR="0085704E" w:rsidRPr="00830365" w:rsidRDefault="0085704E" w:rsidP="0085704E">
            <w:pPr>
              <w:spacing w:before="60" w:after="60"/>
              <w:jc w:val="right"/>
              <w:rPr>
                <w:sz w:val="22"/>
                <w:szCs w:val="22"/>
              </w:rPr>
            </w:pPr>
            <w:r w:rsidRPr="00830365">
              <w:rPr>
                <w:sz w:val="22"/>
                <w:szCs w:val="22"/>
              </w:rPr>
              <w:t>24,6</w:t>
            </w:r>
          </w:p>
        </w:tc>
      </w:tr>
    </w:tbl>
    <w:p w14:paraId="2CFFE27B" w14:textId="1E442FC3" w:rsidR="009B53A7" w:rsidRPr="00B47BDA" w:rsidRDefault="009B53A7" w:rsidP="004623DD">
      <w:pPr>
        <w:rPr>
          <w:highlight w:val="yellow"/>
        </w:rPr>
      </w:pPr>
    </w:p>
    <w:p w14:paraId="6FA04466" w14:textId="67315519" w:rsidR="009B53A7" w:rsidRDefault="009B53A7" w:rsidP="00F21039">
      <w:r w:rsidRPr="00B47BDA">
        <w:t>Na sljedećoj slici prikazan</w:t>
      </w:r>
      <w:r w:rsidR="00E26167" w:rsidRPr="00B47BDA">
        <w:t>a</w:t>
      </w:r>
      <w:r w:rsidRPr="00B47BDA">
        <w:t xml:space="preserve"> </w:t>
      </w:r>
      <w:r w:rsidR="00E26167" w:rsidRPr="00B47BDA">
        <w:t xml:space="preserve">je putanja </w:t>
      </w:r>
      <w:r w:rsidRPr="00B47BDA">
        <w:t>udjel</w:t>
      </w:r>
      <w:r w:rsidR="00AB09A4" w:rsidRPr="00B47BDA">
        <w:t>a</w:t>
      </w:r>
      <w:r w:rsidRPr="00B47BDA">
        <w:t xml:space="preserve"> OIE</w:t>
      </w:r>
      <w:r w:rsidR="00AB09A4" w:rsidRPr="00B47BDA">
        <w:t xml:space="preserve"> u bruto neposrednoj potrošnji</w:t>
      </w:r>
      <w:r w:rsidR="00AC6075" w:rsidRPr="00B47BDA">
        <w:t>.</w:t>
      </w:r>
    </w:p>
    <w:p w14:paraId="032211E1" w14:textId="054960FD" w:rsidR="00D209BE" w:rsidRPr="00B47BDA" w:rsidRDefault="00D61C5E" w:rsidP="00295813">
      <w:pPr>
        <w:jc w:val="center"/>
      </w:pPr>
      <w:r w:rsidRPr="00D61C5E">
        <w:rPr>
          <w:noProof/>
        </w:rPr>
        <w:drawing>
          <wp:inline distT="0" distB="0" distL="0" distR="0" wp14:anchorId="561EFDD4" wp14:editId="0DE7DDE8">
            <wp:extent cx="4618697" cy="2789280"/>
            <wp:effectExtent l="0" t="0" r="0" b="0"/>
            <wp:docPr id="1024165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30805" cy="2796592"/>
                    </a:xfrm>
                    <a:prstGeom prst="rect">
                      <a:avLst/>
                    </a:prstGeom>
                    <a:noFill/>
                    <a:ln>
                      <a:noFill/>
                    </a:ln>
                  </pic:spPr>
                </pic:pic>
              </a:graphicData>
            </a:graphic>
          </wp:inline>
        </w:drawing>
      </w:r>
    </w:p>
    <w:p w14:paraId="52AA21C9" w14:textId="5811A42D" w:rsidR="009B53A7" w:rsidRPr="00B47BDA" w:rsidRDefault="009B53A7" w:rsidP="004623DD">
      <w:pPr>
        <w:pStyle w:val="Caption"/>
      </w:pPr>
      <w:bookmarkStart w:id="253" w:name="_Ref11239458"/>
      <w:bookmarkStart w:id="254" w:name="_Toc193035878"/>
      <w:r w:rsidRPr="00B47BDA">
        <w:t xml:space="preserve">Slika </w:t>
      </w:r>
      <w:r>
        <w:fldChar w:fldCharType="begin"/>
      </w:r>
      <w:r>
        <w:instrText>STYLEREF 1 \s</w:instrText>
      </w:r>
      <w:r>
        <w:fldChar w:fldCharType="separate"/>
      </w:r>
      <w:r w:rsidR="00A27F6A">
        <w:rPr>
          <w:noProof/>
        </w:rPr>
        <w:t>2</w:t>
      </w:r>
      <w:r>
        <w:fldChar w:fldCharType="end"/>
      </w:r>
      <w:r w:rsidR="00A27F6A">
        <w:t>–</w:t>
      </w:r>
      <w:r>
        <w:fldChar w:fldCharType="begin"/>
      </w:r>
      <w:r>
        <w:instrText>SEQ Slika \* ARABIC \s 1</w:instrText>
      </w:r>
      <w:r>
        <w:fldChar w:fldCharType="separate"/>
      </w:r>
      <w:r w:rsidR="00A27F6A">
        <w:rPr>
          <w:noProof/>
        </w:rPr>
        <w:t>1</w:t>
      </w:r>
      <w:r>
        <w:fldChar w:fldCharType="end"/>
      </w:r>
      <w:r w:rsidR="00A27F6A">
        <w:t xml:space="preserve">. </w:t>
      </w:r>
      <w:bookmarkEnd w:id="253"/>
      <w:r w:rsidR="00E26167" w:rsidRPr="00B47BDA">
        <w:t xml:space="preserve">Indikativna putanja </w:t>
      </w:r>
      <w:r w:rsidRPr="00B47BDA">
        <w:t>udjela OIE</w:t>
      </w:r>
      <w:r w:rsidR="00E26167" w:rsidRPr="00B47BDA">
        <w:t xml:space="preserve"> u bruto neposrednoj potrošnji energije</w:t>
      </w:r>
      <w:bookmarkEnd w:id="254"/>
    </w:p>
    <w:p w14:paraId="7E69B414" w14:textId="7156C5E9" w:rsidR="008D4CEE" w:rsidRDefault="008D4CEE">
      <w:pPr>
        <w:spacing w:after="0"/>
        <w:jc w:val="left"/>
      </w:pPr>
      <w:r>
        <w:br w:type="page"/>
      </w:r>
    </w:p>
    <w:p w14:paraId="371546DA" w14:textId="77777777" w:rsidR="001B7382" w:rsidRPr="00B47BDA" w:rsidRDefault="001B7382" w:rsidP="005C2C7E">
      <w:pPr>
        <w:pStyle w:val="Heading4"/>
        <w:numPr>
          <w:ilvl w:val="3"/>
          <w:numId w:val="175"/>
        </w:numPr>
        <w:ind w:hanging="580"/>
      </w:pPr>
      <w:r w:rsidRPr="00B47BDA">
        <w:lastRenderedPageBreak/>
        <w:t>Procijenjene putanje za sektorski udio energije iz obnovljivih izvora u konačnoj potrošnji energije od 2021. do 2030. u elektroenergetskom sektoru, sektoru grijanja i hlađenja i prometnom sektoru</w:t>
      </w:r>
    </w:p>
    <w:p w14:paraId="0455C10F" w14:textId="6788F050" w:rsidR="007D4B17" w:rsidRPr="00B47BDA" w:rsidRDefault="007D4B17" w:rsidP="004623DD">
      <w:r w:rsidRPr="00B47BDA">
        <w:t>Iduća slike prikazuju indikativne udjele OIE u električnoj energiji (</w:t>
      </w:r>
      <w:r w:rsidRPr="00B47BDA">
        <w:fldChar w:fldCharType="begin"/>
      </w:r>
      <w:r w:rsidRPr="00B47BDA">
        <w:instrText xml:space="preserve"> REF _Ref22297461 \h </w:instrText>
      </w:r>
      <w:r w:rsidR="00933D8B" w:rsidRPr="00B47BDA">
        <w:instrText xml:space="preserve"> \* MERGEFORMAT </w:instrText>
      </w:r>
      <w:r w:rsidRPr="00B47BDA">
        <w:fldChar w:fldCharType="separate"/>
      </w:r>
      <w:r w:rsidR="00AD324D" w:rsidRPr="00B47BDA">
        <w:t xml:space="preserve">Slika </w:t>
      </w:r>
      <w:r w:rsidR="00AD324D">
        <w:t>2</w:t>
      </w:r>
      <w:r w:rsidR="00AD324D">
        <w:noBreakHyphen/>
        <w:t>2</w:t>
      </w:r>
      <w:r w:rsidRPr="00B47BDA">
        <w:fldChar w:fldCharType="end"/>
      </w:r>
      <w:r w:rsidRPr="00B47BDA">
        <w:t>), u grijanju i hlađenju (</w:t>
      </w:r>
      <w:r w:rsidRPr="00B47BDA">
        <w:fldChar w:fldCharType="begin"/>
      </w:r>
      <w:r w:rsidRPr="00B47BDA">
        <w:instrText xml:space="preserve"> REF _Ref22297503 \h </w:instrText>
      </w:r>
      <w:r w:rsidR="00933D8B" w:rsidRPr="00B47BDA">
        <w:instrText xml:space="preserve"> \* MERGEFORMAT </w:instrText>
      </w:r>
      <w:r w:rsidRPr="00B47BDA">
        <w:fldChar w:fldCharType="separate"/>
      </w:r>
      <w:r w:rsidR="00AD324D" w:rsidRPr="00B47BDA">
        <w:t xml:space="preserve">Slika </w:t>
      </w:r>
      <w:r w:rsidR="00AD324D">
        <w:t>2</w:t>
      </w:r>
      <w:r w:rsidR="00AD324D">
        <w:noBreakHyphen/>
        <w:t>3</w:t>
      </w:r>
      <w:r w:rsidRPr="00B47BDA">
        <w:fldChar w:fldCharType="end"/>
      </w:r>
      <w:r w:rsidRPr="00B47BDA">
        <w:t>) te u prometu (</w:t>
      </w:r>
      <w:r w:rsidRPr="00B47BDA">
        <w:fldChar w:fldCharType="begin"/>
      </w:r>
      <w:r w:rsidRPr="00B47BDA">
        <w:instrText xml:space="preserve"> REF _Ref22297515 \h </w:instrText>
      </w:r>
      <w:r w:rsidR="00933D8B" w:rsidRPr="00B47BDA">
        <w:instrText xml:space="preserve"> \* MERGEFORMAT </w:instrText>
      </w:r>
      <w:r w:rsidRPr="00B47BDA">
        <w:fldChar w:fldCharType="separate"/>
      </w:r>
      <w:r w:rsidR="00AD324D" w:rsidRPr="00B47BDA">
        <w:t xml:space="preserve">Slika </w:t>
      </w:r>
      <w:r w:rsidR="00AD324D">
        <w:t>2</w:t>
      </w:r>
      <w:r w:rsidR="00AD324D">
        <w:noBreakHyphen/>
        <w:t>4</w:t>
      </w:r>
      <w:r w:rsidRPr="00B47BDA">
        <w:fldChar w:fldCharType="end"/>
      </w:r>
      <w:r w:rsidRPr="00B47BDA">
        <w:t>).</w:t>
      </w:r>
    </w:p>
    <w:p w14:paraId="0B280474" w14:textId="44BFE5FF" w:rsidR="004C6986" w:rsidRPr="00B47BDA" w:rsidRDefault="005903D6" w:rsidP="00432DEF">
      <w:pPr>
        <w:jc w:val="center"/>
      </w:pPr>
      <w:r w:rsidRPr="005903D6">
        <w:rPr>
          <w:noProof/>
        </w:rPr>
        <w:drawing>
          <wp:inline distT="0" distB="0" distL="0" distR="0" wp14:anchorId="45750C51" wp14:editId="364BFC5D">
            <wp:extent cx="4351020" cy="2603012"/>
            <wp:effectExtent l="0" t="0" r="0" b="6985"/>
            <wp:docPr id="1359417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7315" cy="2612761"/>
                    </a:xfrm>
                    <a:prstGeom prst="rect">
                      <a:avLst/>
                    </a:prstGeom>
                    <a:noFill/>
                    <a:ln>
                      <a:noFill/>
                    </a:ln>
                  </pic:spPr>
                </pic:pic>
              </a:graphicData>
            </a:graphic>
          </wp:inline>
        </w:drawing>
      </w:r>
    </w:p>
    <w:p w14:paraId="54625B14" w14:textId="06086B14" w:rsidR="00BC0BDE" w:rsidRPr="00B47BDA" w:rsidRDefault="00BC0BDE" w:rsidP="004623DD">
      <w:pPr>
        <w:pStyle w:val="Caption"/>
      </w:pPr>
      <w:bookmarkStart w:id="255" w:name="_Ref22297461"/>
      <w:bookmarkStart w:id="256" w:name="_Toc193035879"/>
      <w:r w:rsidRPr="00B47BDA">
        <w:t xml:space="preserve">Slika </w:t>
      </w:r>
      <w:r>
        <w:fldChar w:fldCharType="begin"/>
      </w:r>
      <w:r>
        <w:instrText>STYLEREF 1 \s</w:instrText>
      </w:r>
      <w:r>
        <w:fldChar w:fldCharType="separate"/>
      </w:r>
      <w:r w:rsidR="00A27F6A">
        <w:rPr>
          <w:noProof/>
        </w:rPr>
        <w:t>2</w:t>
      </w:r>
      <w:r>
        <w:fldChar w:fldCharType="end"/>
      </w:r>
      <w:r w:rsidR="00A27F6A">
        <w:t>–</w:t>
      </w:r>
      <w:r>
        <w:fldChar w:fldCharType="begin"/>
      </w:r>
      <w:r>
        <w:instrText>SEQ Slika \* ARABIC \s 1</w:instrText>
      </w:r>
      <w:r>
        <w:fldChar w:fldCharType="separate"/>
      </w:r>
      <w:r w:rsidR="00A27F6A">
        <w:rPr>
          <w:noProof/>
        </w:rPr>
        <w:t>2</w:t>
      </w:r>
      <w:r>
        <w:fldChar w:fldCharType="end"/>
      </w:r>
      <w:r w:rsidR="00A27F6A">
        <w:t xml:space="preserve">. </w:t>
      </w:r>
      <w:bookmarkEnd w:id="255"/>
      <w:r w:rsidRPr="00B47BDA">
        <w:t>Indikativn</w:t>
      </w:r>
      <w:r w:rsidR="00684DD3">
        <w:t>a</w:t>
      </w:r>
      <w:r w:rsidRPr="00B47BDA">
        <w:t xml:space="preserve"> putanj</w:t>
      </w:r>
      <w:r w:rsidR="00684DD3">
        <w:t>a</w:t>
      </w:r>
      <w:r w:rsidRPr="00B47BDA">
        <w:t xml:space="preserve"> udjela OIE u </w:t>
      </w:r>
      <w:r w:rsidR="003F2157" w:rsidRPr="00B47BDA">
        <w:t>bruto neposrednoj potrošnji električne energije</w:t>
      </w:r>
      <w:bookmarkEnd w:id="256"/>
    </w:p>
    <w:p w14:paraId="031193DE" w14:textId="77777777" w:rsidR="00BC0BDE" w:rsidRPr="00B47BDA" w:rsidRDefault="00BC0BDE" w:rsidP="004623DD"/>
    <w:p w14:paraId="73F89BBB" w14:textId="5CF9EC9B" w:rsidR="004C6986" w:rsidRPr="00B47BDA" w:rsidRDefault="00B00034" w:rsidP="00432DEF">
      <w:pPr>
        <w:jc w:val="center"/>
      </w:pPr>
      <w:r w:rsidRPr="00B00034">
        <w:rPr>
          <w:noProof/>
        </w:rPr>
        <w:drawing>
          <wp:inline distT="0" distB="0" distL="0" distR="0" wp14:anchorId="0C34DA9F" wp14:editId="1110CD77">
            <wp:extent cx="4592782" cy="2740964"/>
            <wp:effectExtent l="0" t="0" r="0" b="2540"/>
            <wp:docPr id="3986969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4041" cy="2753651"/>
                    </a:xfrm>
                    <a:prstGeom prst="rect">
                      <a:avLst/>
                    </a:prstGeom>
                    <a:noFill/>
                    <a:ln>
                      <a:noFill/>
                    </a:ln>
                  </pic:spPr>
                </pic:pic>
              </a:graphicData>
            </a:graphic>
          </wp:inline>
        </w:drawing>
      </w:r>
    </w:p>
    <w:p w14:paraId="43A35364" w14:textId="1958FC27" w:rsidR="004550B7" w:rsidRPr="00B47BDA" w:rsidRDefault="004550B7" w:rsidP="004623DD">
      <w:pPr>
        <w:pStyle w:val="Caption"/>
      </w:pPr>
      <w:bookmarkStart w:id="257" w:name="_Ref22297503"/>
      <w:bookmarkStart w:id="258" w:name="_Toc193035880"/>
      <w:r w:rsidRPr="00B47BDA">
        <w:t xml:space="preserve">Slika </w:t>
      </w:r>
      <w:r>
        <w:fldChar w:fldCharType="begin"/>
      </w:r>
      <w:r>
        <w:instrText>STYLEREF 1 \s</w:instrText>
      </w:r>
      <w:r>
        <w:fldChar w:fldCharType="separate"/>
      </w:r>
      <w:r w:rsidR="0034051B">
        <w:rPr>
          <w:noProof/>
        </w:rPr>
        <w:t>2</w:t>
      </w:r>
      <w:r>
        <w:fldChar w:fldCharType="end"/>
      </w:r>
      <w:r w:rsidR="0034051B">
        <w:t>–</w:t>
      </w:r>
      <w:r>
        <w:fldChar w:fldCharType="begin"/>
      </w:r>
      <w:r>
        <w:instrText>SEQ Slika \* ARABIC \s 1</w:instrText>
      </w:r>
      <w:r>
        <w:fldChar w:fldCharType="separate"/>
      </w:r>
      <w:r w:rsidR="0034051B">
        <w:rPr>
          <w:noProof/>
        </w:rPr>
        <w:t>3</w:t>
      </w:r>
      <w:r>
        <w:fldChar w:fldCharType="end"/>
      </w:r>
      <w:r w:rsidR="0034051B">
        <w:t xml:space="preserve">. </w:t>
      </w:r>
      <w:bookmarkEnd w:id="257"/>
      <w:r w:rsidRPr="00B47BDA">
        <w:t>Indikativn</w:t>
      </w:r>
      <w:r w:rsidR="00684DD3">
        <w:t>a</w:t>
      </w:r>
      <w:r w:rsidRPr="00B47BDA">
        <w:t xml:space="preserve"> putanj</w:t>
      </w:r>
      <w:r w:rsidR="00684DD3">
        <w:t>a</w:t>
      </w:r>
      <w:r w:rsidRPr="00B47BDA">
        <w:t xml:space="preserve"> udjela OIE u grijanju i hlađenju</w:t>
      </w:r>
      <w:bookmarkEnd w:id="258"/>
    </w:p>
    <w:p w14:paraId="08C9E002" w14:textId="4C79688C" w:rsidR="00FC7ABF" w:rsidRDefault="004056B8" w:rsidP="000B6608">
      <w:r w:rsidRPr="00B47BDA">
        <w:t>Napori RH bit će usmjereni ka ostvarivanju cilja u pogledu udjela OIE u grijanju i hlađenju, a može se očekivati kako će doprinosi pojedinih tehnologija biti viši ili niži od projiciranih.</w:t>
      </w:r>
    </w:p>
    <w:p w14:paraId="009D4FA9" w14:textId="77777777" w:rsidR="001677D2" w:rsidRDefault="001677D2" w:rsidP="000B6608"/>
    <w:p w14:paraId="5A3CDBF5" w14:textId="77777777" w:rsidR="001677D2" w:rsidRDefault="001677D2" w:rsidP="000B6608"/>
    <w:p w14:paraId="5917D948" w14:textId="4F5558EF" w:rsidR="001677D2" w:rsidRDefault="001068B3" w:rsidP="001068B3">
      <w:pPr>
        <w:jc w:val="center"/>
      </w:pPr>
      <w:r w:rsidRPr="001068B3">
        <w:rPr>
          <w:noProof/>
        </w:rPr>
        <w:lastRenderedPageBreak/>
        <w:drawing>
          <wp:inline distT="0" distB="0" distL="0" distR="0" wp14:anchorId="6E1A71AB" wp14:editId="125483EA">
            <wp:extent cx="4572000" cy="2743200"/>
            <wp:effectExtent l="0" t="0" r="0" b="0"/>
            <wp:docPr id="478362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152C1F2" w14:textId="3F137A0A" w:rsidR="00E77180" w:rsidRDefault="0034051B" w:rsidP="00E77180">
      <w:pPr>
        <w:pStyle w:val="Caption"/>
      </w:pPr>
      <w:bookmarkStart w:id="259" w:name="_Toc193035881"/>
      <w:r>
        <w:t xml:space="preserve">Slika </w:t>
      </w:r>
      <w:r>
        <w:fldChar w:fldCharType="begin"/>
      </w:r>
      <w:r>
        <w:instrText>STYLEREF 1 \s</w:instrText>
      </w:r>
      <w:r>
        <w:fldChar w:fldCharType="separate"/>
      </w:r>
      <w:r>
        <w:rPr>
          <w:noProof/>
        </w:rPr>
        <w:t>2</w:t>
      </w:r>
      <w:r>
        <w:fldChar w:fldCharType="end"/>
      </w:r>
      <w:r>
        <w:t>–</w:t>
      </w:r>
      <w:r>
        <w:fldChar w:fldCharType="begin"/>
      </w:r>
      <w:r>
        <w:instrText>SEQ Slika \* ARABIC \s 1</w:instrText>
      </w:r>
      <w:r>
        <w:fldChar w:fldCharType="separate"/>
      </w:r>
      <w:r>
        <w:rPr>
          <w:noProof/>
        </w:rPr>
        <w:t>4</w:t>
      </w:r>
      <w:r>
        <w:fldChar w:fldCharType="end"/>
      </w:r>
      <w:r>
        <w:t xml:space="preserve">. </w:t>
      </w:r>
      <w:r w:rsidR="00E77180" w:rsidRPr="00B47BDA">
        <w:t>Indikativn</w:t>
      </w:r>
      <w:r w:rsidR="00E77180">
        <w:t>a</w:t>
      </w:r>
      <w:r w:rsidR="00E77180" w:rsidRPr="00B47BDA">
        <w:t xml:space="preserve"> putanj</w:t>
      </w:r>
      <w:r w:rsidR="00E77180">
        <w:t>a</w:t>
      </w:r>
      <w:r w:rsidR="00E77180" w:rsidRPr="00B47BDA">
        <w:t xml:space="preserve"> udjela OIE u </w:t>
      </w:r>
      <w:r w:rsidR="00785F14">
        <w:t>sustavima centraliziranog grijanja i hlađenja</w:t>
      </w:r>
      <w:bookmarkEnd w:id="259"/>
    </w:p>
    <w:p w14:paraId="5D42384D" w14:textId="0FC4B227" w:rsidR="00EF3852" w:rsidRDefault="00070768" w:rsidP="00EF3852">
      <w:r>
        <w:fldChar w:fldCharType="begin"/>
      </w:r>
      <w:r>
        <w:instrText xml:space="preserve"> REF _Ref185581632 \h </w:instrText>
      </w:r>
      <w:r>
        <w:fldChar w:fldCharType="separate"/>
      </w:r>
      <w:r w:rsidRPr="63259912">
        <w:t xml:space="preserve">Slika </w:t>
      </w:r>
      <w:r w:rsidRPr="63259912">
        <w:rPr>
          <w:noProof/>
        </w:rPr>
        <w:t>2</w:t>
      </w:r>
      <w:r>
        <w:noBreakHyphen/>
      </w:r>
      <w:r w:rsidRPr="63259912">
        <w:rPr>
          <w:noProof/>
        </w:rPr>
        <w:t>4</w:t>
      </w:r>
      <w:r>
        <w:fldChar w:fldCharType="end"/>
      </w:r>
      <w:r w:rsidR="006A31EB" w:rsidRPr="63259912">
        <w:t>.</w:t>
      </w:r>
      <w:r w:rsidRPr="63259912">
        <w:t xml:space="preserve"> prikazuje indikativnu putanju udjela OIE </w:t>
      </w:r>
      <w:r w:rsidR="00F661EB" w:rsidRPr="63259912">
        <w:t>u sustavima centraliziranog grijanja i hlađenja</w:t>
      </w:r>
      <w:r w:rsidR="003D65CF" w:rsidRPr="63259912">
        <w:t xml:space="preserve">. </w:t>
      </w:r>
      <w:r w:rsidR="00950AC5" w:rsidRPr="63259912">
        <w:t xml:space="preserve">Povećanje navedenog udjela doprinijeti će </w:t>
      </w:r>
      <w:r w:rsidR="00641072" w:rsidRPr="63259912">
        <w:t xml:space="preserve">ostvarenju indikativne putanje udjela OIE </w:t>
      </w:r>
      <w:r w:rsidR="00B96C01" w:rsidRPr="63259912">
        <w:t xml:space="preserve">u </w:t>
      </w:r>
      <w:r w:rsidR="00B370B1" w:rsidRPr="63259912">
        <w:t xml:space="preserve">cjelokupnom sektoru grijanja i hlađenja. </w:t>
      </w:r>
      <w:r w:rsidR="005470B0" w:rsidRPr="63259912">
        <w:t xml:space="preserve">Navedeni ciljevi ostvariti će se </w:t>
      </w:r>
      <w:r w:rsidR="000117E6" w:rsidRPr="63259912">
        <w:t xml:space="preserve">primjenom geotermalne energije, </w:t>
      </w:r>
      <w:r w:rsidR="00B12465" w:rsidRPr="63259912">
        <w:t xml:space="preserve">energije Sunca, </w:t>
      </w:r>
      <w:r w:rsidR="00B32543" w:rsidRPr="63259912">
        <w:t xml:space="preserve">dizalica topline, </w:t>
      </w:r>
      <w:r w:rsidR="006E7794" w:rsidRPr="63259912">
        <w:t xml:space="preserve">biometana, a </w:t>
      </w:r>
      <w:r w:rsidR="003C116F" w:rsidRPr="63259912">
        <w:t>periodu nakon 2030. godine i vodika.</w:t>
      </w:r>
    </w:p>
    <w:p w14:paraId="11A03ADC" w14:textId="77777777" w:rsidR="00EF3852" w:rsidRDefault="00EF3852" w:rsidP="00EF3852"/>
    <w:p w14:paraId="429360F2" w14:textId="7E7D3F67" w:rsidR="00EF3852" w:rsidRDefault="003B21BC" w:rsidP="004B0DF3">
      <w:pPr>
        <w:jc w:val="center"/>
      </w:pPr>
      <w:r w:rsidRPr="003B21BC">
        <w:rPr>
          <w:noProof/>
        </w:rPr>
        <w:drawing>
          <wp:inline distT="0" distB="0" distL="0" distR="0" wp14:anchorId="4EB27878" wp14:editId="25426083">
            <wp:extent cx="4686300" cy="2865120"/>
            <wp:effectExtent l="0" t="0" r="0" b="0"/>
            <wp:docPr id="1411498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6300" cy="2865120"/>
                    </a:xfrm>
                    <a:prstGeom prst="rect">
                      <a:avLst/>
                    </a:prstGeom>
                    <a:noFill/>
                    <a:ln>
                      <a:noFill/>
                    </a:ln>
                  </pic:spPr>
                </pic:pic>
              </a:graphicData>
            </a:graphic>
          </wp:inline>
        </w:drawing>
      </w:r>
    </w:p>
    <w:p w14:paraId="68C02923" w14:textId="7FAC3888" w:rsidR="00EF3852" w:rsidRDefault="00EF3852" w:rsidP="00EF3852">
      <w:pPr>
        <w:pStyle w:val="Caption"/>
      </w:pPr>
      <w:bookmarkStart w:id="260" w:name="_Ref185581864"/>
      <w:bookmarkStart w:id="261" w:name="_Toc193035882"/>
      <w:r w:rsidRPr="00B47BDA">
        <w:t xml:space="preserve">Slika </w:t>
      </w:r>
      <w:r>
        <w:fldChar w:fldCharType="begin"/>
      </w:r>
      <w:r>
        <w:instrText>STYLEREF 1 \s</w:instrText>
      </w:r>
      <w:r>
        <w:fldChar w:fldCharType="separate"/>
      </w:r>
      <w:r w:rsidR="0034051B">
        <w:rPr>
          <w:noProof/>
        </w:rPr>
        <w:t>2</w:t>
      </w:r>
      <w:r>
        <w:fldChar w:fldCharType="end"/>
      </w:r>
      <w:r w:rsidR="0034051B">
        <w:t>–</w:t>
      </w:r>
      <w:r>
        <w:fldChar w:fldCharType="begin"/>
      </w:r>
      <w:r>
        <w:instrText>SEQ Slika \* ARABIC \s 1</w:instrText>
      </w:r>
      <w:r>
        <w:fldChar w:fldCharType="separate"/>
      </w:r>
      <w:r w:rsidR="0034051B">
        <w:rPr>
          <w:noProof/>
        </w:rPr>
        <w:t>5</w:t>
      </w:r>
      <w:r>
        <w:fldChar w:fldCharType="end"/>
      </w:r>
      <w:r w:rsidR="0034051B">
        <w:t xml:space="preserve">. </w:t>
      </w:r>
      <w:bookmarkEnd w:id="260"/>
      <w:r w:rsidRPr="00B47BDA">
        <w:t>Indikativn</w:t>
      </w:r>
      <w:r>
        <w:t>a</w:t>
      </w:r>
      <w:r w:rsidRPr="00B47BDA">
        <w:t xml:space="preserve"> putanj</w:t>
      </w:r>
      <w:r>
        <w:t>a</w:t>
      </w:r>
      <w:r w:rsidRPr="00B47BDA">
        <w:t xml:space="preserve"> udjela OIE u </w:t>
      </w:r>
      <w:r w:rsidR="008A707F">
        <w:t>industriji</w:t>
      </w:r>
      <w:bookmarkEnd w:id="261"/>
    </w:p>
    <w:p w14:paraId="63BB4972" w14:textId="66BA1021" w:rsidR="00EF3852" w:rsidRPr="00EF3852" w:rsidRDefault="00D040ED" w:rsidP="00614F88">
      <w:r>
        <w:fldChar w:fldCharType="begin"/>
      </w:r>
      <w:r>
        <w:instrText xml:space="preserve"> REF _Ref185581864 \h </w:instrText>
      </w:r>
      <w:r>
        <w:fldChar w:fldCharType="separate"/>
      </w:r>
      <w:r w:rsidRPr="63259912">
        <w:t xml:space="preserve">Slika </w:t>
      </w:r>
      <w:r w:rsidRPr="63259912">
        <w:rPr>
          <w:noProof/>
        </w:rPr>
        <w:t>2</w:t>
      </w:r>
      <w:r>
        <w:noBreakHyphen/>
      </w:r>
      <w:r w:rsidRPr="63259912">
        <w:rPr>
          <w:noProof/>
        </w:rPr>
        <w:t>5</w:t>
      </w:r>
      <w:r>
        <w:fldChar w:fldCharType="end"/>
      </w:r>
      <w:r w:rsidRPr="63259912">
        <w:t xml:space="preserve">. prikazuje indikativnu putanju </w:t>
      </w:r>
      <w:r w:rsidR="00DB60D0" w:rsidRPr="63259912">
        <w:t xml:space="preserve">udjela OIE u sektoru industrije. </w:t>
      </w:r>
      <w:r w:rsidR="0019589A" w:rsidRPr="63259912">
        <w:t xml:space="preserve">Projicirani porast od oko 2 postotna poena godišnje </w:t>
      </w:r>
      <w:r w:rsidR="007F0F63" w:rsidRPr="63259912">
        <w:t xml:space="preserve">ostvariti će se </w:t>
      </w:r>
      <w:r w:rsidR="00500D13" w:rsidRPr="63259912">
        <w:t xml:space="preserve">supstitucijom fosilne energije </w:t>
      </w:r>
      <w:r w:rsidR="00191618" w:rsidRPr="63259912">
        <w:t xml:space="preserve">s energijom proizvedenom iz obnovljivih izvora </w:t>
      </w:r>
      <w:r w:rsidR="00E45873" w:rsidRPr="63259912">
        <w:t>(</w:t>
      </w:r>
      <w:r w:rsidR="00873C40" w:rsidRPr="63259912">
        <w:t xml:space="preserve">sunčeva energija, geotermalna energija, </w:t>
      </w:r>
      <w:r w:rsidR="00F65F69" w:rsidRPr="63259912">
        <w:t>biometan</w:t>
      </w:r>
      <w:r w:rsidR="005629D3" w:rsidRPr="63259912">
        <w:t>, OIE električna energija).</w:t>
      </w:r>
    </w:p>
    <w:p w14:paraId="2457F2C0" w14:textId="77777777" w:rsidR="008C479A" w:rsidRDefault="008C479A" w:rsidP="000B6608"/>
    <w:p w14:paraId="30F09A53" w14:textId="77777777" w:rsidR="00AF62D8" w:rsidRDefault="00AF62D8" w:rsidP="000B6608"/>
    <w:p w14:paraId="36DAE009" w14:textId="468EC35E" w:rsidR="00AF62D8" w:rsidRDefault="00F6633B" w:rsidP="0099603C">
      <w:pPr>
        <w:jc w:val="center"/>
      </w:pPr>
      <w:r w:rsidRPr="00F6633B">
        <w:rPr>
          <w:noProof/>
        </w:rPr>
        <w:drawing>
          <wp:inline distT="0" distB="0" distL="0" distR="0" wp14:anchorId="16777710" wp14:editId="0371E60B">
            <wp:extent cx="4364183" cy="2618509"/>
            <wp:effectExtent l="0" t="0" r="0" b="0"/>
            <wp:docPr id="47184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5145" cy="2625086"/>
                    </a:xfrm>
                    <a:prstGeom prst="rect">
                      <a:avLst/>
                    </a:prstGeom>
                    <a:noFill/>
                    <a:ln>
                      <a:noFill/>
                    </a:ln>
                  </pic:spPr>
                </pic:pic>
              </a:graphicData>
            </a:graphic>
          </wp:inline>
        </w:drawing>
      </w:r>
    </w:p>
    <w:p w14:paraId="580A0AAE" w14:textId="2C594DFF" w:rsidR="00AF62D8" w:rsidRDefault="00AF62D8" w:rsidP="00AF62D8">
      <w:pPr>
        <w:pStyle w:val="Caption"/>
      </w:pPr>
      <w:bookmarkStart w:id="262" w:name="_Ref185582171"/>
      <w:bookmarkStart w:id="263" w:name="_Toc193035883"/>
      <w:r w:rsidRPr="00B47BDA">
        <w:t xml:space="preserve">Slika </w:t>
      </w:r>
      <w:r>
        <w:fldChar w:fldCharType="begin"/>
      </w:r>
      <w:r>
        <w:instrText>STYLEREF 1 \s</w:instrText>
      </w:r>
      <w:r>
        <w:fldChar w:fldCharType="separate"/>
      </w:r>
      <w:r w:rsidR="0034051B">
        <w:rPr>
          <w:noProof/>
        </w:rPr>
        <w:t>2</w:t>
      </w:r>
      <w:r>
        <w:fldChar w:fldCharType="end"/>
      </w:r>
      <w:r w:rsidR="0034051B">
        <w:t>–</w:t>
      </w:r>
      <w:r>
        <w:fldChar w:fldCharType="begin"/>
      </w:r>
      <w:r>
        <w:instrText>SEQ Slika \* ARABIC \s 1</w:instrText>
      </w:r>
      <w:r>
        <w:fldChar w:fldCharType="separate"/>
      </w:r>
      <w:r w:rsidR="0034051B">
        <w:rPr>
          <w:noProof/>
        </w:rPr>
        <w:t>6</w:t>
      </w:r>
      <w:r>
        <w:fldChar w:fldCharType="end"/>
      </w:r>
      <w:r w:rsidR="0034051B">
        <w:t xml:space="preserve">. </w:t>
      </w:r>
      <w:bookmarkEnd w:id="262"/>
      <w:r w:rsidRPr="00B47BDA">
        <w:t>Indikativn</w:t>
      </w:r>
      <w:r>
        <w:t>a</w:t>
      </w:r>
      <w:r w:rsidRPr="00B47BDA">
        <w:t xml:space="preserve"> putanj</w:t>
      </w:r>
      <w:r>
        <w:t>a</w:t>
      </w:r>
      <w:r w:rsidRPr="00B47BDA">
        <w:t xml:space="preserve"> udjela OIE u </w:t>
      </w:r>
      <w:r w:rsidR="001A6C26">
        <w:t>sektorima kućanstva i usluga (zgradarstvo)</w:t>
      </w:r>
      <w:bookmarkEnd w:id="263"/>
    </w:p>
    <w:p w14:paraId="43A2C49A" w14:textId="65576B49" w:rsidR="00CB079A" w:rsidRPr="005629D3" w:rsidRDefault="00493107" w:rsidP="00CB079A">
      <w:r>
        <w:fldChar w:fldCharType="begin"/>
      </w:r>
      <w:r>
        <w:instrText xml:space="preserve"> REF _Ref185582171 \h </w:instrText>
      </w:r>
      <w:r w:rsidR="00CB079A">
        <w:instrText xml:space="preserve"> \* MERGEFORMAT </w:instrText>
      </w:r>
      <w:r>
        <w:fldChar w:fldCharType="separate"/>
      </w:r>
      <w:r w:rsidRPr="00B47BDA">
        <w:t xml:space="preserve">Slika </w:t>
      </w:r>
      <w:r>
        <w:rPr>
          <w:noProof/>
        </w:rPr>
        <w:t>2</w:t>
      </w:r>
      <w:r>
        <w:noBreakHyphen/>
      </w:r>
      <w:r>
        <w:rPr>
          <w:noProof/>
        </w:rPr>
        <w:t>6</w:t>
      </w:r>
      <w:r>
        <w:fldChar w:fldCharType="end"/>
      </w:r>
      <w:r>
        <w:t xml:space="preserve">. prikazuje indikativnu putanju udjela OIE u sektorima kućanstava i usluga u </w:t>
      </w:r>
      <w:r w:rsidR="00EA3012">
        <w:t xml:space="preserve">kojima </w:t>
      </w:r>
      <w:r w:rsidR="004B71D7">
        <w:t xml:space="preserve">se najveći udio potrošnje energije odnosi na potrošnju u zgradama. </w:t>
      </w:r>
      <w:r w:rsidR="0070718E">
        <w:t xml:space="preserve">Ovim Planom predviđeno </w:t>
      </w:r>
      <w:r w:rsidR="004A53AF">
        <w:t xml:space="preserve">je smanjenje </w:t>
      </w:r>
      <w:r w:rsidR="00CD590E">
        <w:t xml:space="preserve">finalne </w:t>
      </w:r>
      <w:r w:rsidR="004A53AF">
        <w:t>potrošnje energ</w:t>
      </w:r>
      <w:r w:rsidR="00CD590E">
        <w:t xml:space="preserve">ije u ovim sektorima kao posljedica primjene mjera energetske učinkovitosti. S obzirom da </w:t>
      </w:r>
      <w:r w:rsidR="00F77553">
        <w:t xml:space="preserve">u postojećoj strukturi potrošnje energije biomasa </w:t>
      </w:r>
      <w:r w:rsidR="002C510A">
        <w:t>zauzima veliki ud</w:t>
      </w:r>
      <w:r w:rsidR="00AE7BCC">
        <w:t xml:space="preserve">io, </w:t>
      </w:r>
      <w:r w:rsidR="001B3FDC">
        <w:t xml:space="preserve">predviđeno je </w:t>
      </w:r>
      <w:r w:rsidR="009A0170">
        <w:t xml:space="preserve">značajno smanjenje </w:t>
      </w:r>
      <w:r w:rsidR="006773D5">
        <w:t xml:space="preserve">potrošnje biomase do 2030. odnosno 2050. godine. </w:t>
      </w:r>
      <w:r w:rsidR="00490662">
        <w:t xml:space="preserve">To će negativno utjecati na </w:t>
      </w:r>
      <w:r w:rsidR="00ED232C">
        <w:t xml:space="preserve">povećanje </w:t>
      </w:r>
      <w:r w:rsidR="00E2332A">
        <w:t>udjela OIE u ovim sektorima</w:t>
      </w:r>
      <w:r w:rsidR="008A371E">
        <w:t xml:space="preserve">, no kroz povećanje korištenja </w:t>
      </w:r>
      <w:r w:rsidR="00251DAB">
        <w:t xml:space="preserve">dizalica topline, </w:t>
      </w:r>
      <w:r w:rsidR="006A2BBD">
        <w:t>sunčeve energije za toplinske potrebe</w:t>
      </w:r>
      <w:r w:rsidR="00A20C56">
        <w:t xml:space="preserve"> te </w:t>
      </w:r>
      <w:r w:rsidR="008869C2">
        <w:t>povećanje udjela OIE u centraliziran</w:t>
      </w:r>
      <w:r w:rsidR="00BD5EF0">
        <w:t xml:space="preserve">im toplinskim sustavima, procijenjeno je </w:t>
      </w:r>
      <w:r w:rsidR="005D76A6">
        <w:t xml:space="preserve">povećanje udjela </w:t>
      </w:r>
      <w:r w:rsidR="00196B6C">
        <w:t>OIE od oko 1,2 postotna poena godišnje.</w:t>
      </w:r>
      <w:r w:rsidR="00C80321">
        <w:t xml:space="preserve"> </w:t>
      </w:r>
    </w:p>
    <w:p w14:paraId="0E31718C" w14:textId="1AA0C31D" w:rsidR="00930EFC" w:rsidRPr="00996932" w:rsidRDefault="00930EFC" w:rsidP="00F200F4">
      <w:r>
        <w:rPr>
          <w:noProof/>
        </w:rPr>
        <w:drawing>
          <wp:inline distT="0" distB="0" distL="0" distR="0" wp14:anchorId="2469E3E9" wp14:editId="1BF7316C">
            <wp:extent cx="5255358" cy="2954473"/>
            <wp:effectExtent l="0" t="0" r="2540" b="0"/>
            <wp:docPr id="2006985163" name="Picture 1" descr="A graph showing the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85163" name="Picture 1" descr="A graph showing the number of different colored bars&#10;&#10;Description automatically generated with medium confidence"/>
                    <pic:cNvPicPr/>
                  </pic:nvPicPr>
                  <pic:blipFill>
                    <a:blip r:embed="rId32"/>
                    <a:stretch>
                      <a:fillRect/>
                    </a:stretch>
                  </pic:blipFill>
                  <pic:spPr>
                    <a:xfrm>
                      <a:off x="0" y="0"/>
                      <a:ext cx="5267762" cy="2961446"/>
                    </a:xfrm>
                    <a:prstGeom prst="rect">
                      <a:avLst/>
                    </a:prstGeom>
                  </pic:spPr>
                </pic:pic>
              </a:graphicData>
            </a:graphic>
          </wp:inline>
        </w:drawing>
      </w:r>
    </w:p>
    <w:p w14:paraId="3368A494" w14:textId="40721842" w:rsidR="00D21E85" w:rsidRDefault="00D21E85" w:rsidP="00D21E85">
      <w:pPr>
        <w:pStyle w:val="Caption"/>
      </w:pPr>
      <w:bookmarkStart w:id="264" w:name="_Toc193035884"/>
      <w:bookmarkStart w:id="265" w:name="_Ref22297515"/>
      <w:bookmarkStart w:id="266" w:name="_Hlk61535573"/>
      <w:bookmarkStart w:id="267" w:name="_Ref20903057"/>
      <w:r w:rsidRPr="00B47BDA">
        <w:t xml:space="preserve">Slika </w:t>
      </w:r>
      <w:r>
        <w:fldChar w:fldCharType="begin"/>
      </w:r>
      <w:r>
        <w:instrText>STYLEREF 1 \s</w:instrText>
      </w:r>
      <w:r>
        <w:fldChar w:fldCharType="separate"/>
      </w:r>
      <w:r>
        <w:rPr>
          <w:noProof/>
        </w:rPr>
        <w:t>2</w:t>
      </w:r>
      <w:r>
        <w:fldChar w:fldCharType="end"/>
      </w:r>
      <w:r>
        <w:t>–</w:t>
      </w:r>
      <w:r>
        <w:fldChar w:fldCharType="begin"/>
      </w:r>
      <w:r>
        <w:instrText>SEQ Slika \* ARABIC \s 1</w:instrText>
      </w:r>
      <w:r>
        <w:fldChar w:fldCharType="separate"/>
      </w:r>
      <w:r w:rsidR="0099603C">
        <w:rPr>
          <w:noProof/>
        </w:rPr>
        <w:t>7</w:t>
      </w:r>
      <w:r>
        <w:fldChar w:fldCharType="end"/>
      </w:r>
      <w:r>
        <w:t xml:space="preserve">. </w:t>
      </w:r>
      <w:r w:rsidRPr="00B47BDA">
        <w:t>Indikativn</w:t>
      </w:r>
      <w:r>
        <w:t>a</w:t>
      </w:r>
      <w:r w:rsidRPr="00B47BDA">
        <w:t xml:space="preserve"> putanj</w:t>
      </w:r>
      <w:r>
        <w:t>a</w:t>
      </w:r>
      <w:r w:rsidRPr="00B47BDA">
        <w:t xml:space="preserve"> udjela OIE u </w:t>
      </w:r>
      <w:r>
        <w:t>prometu</w:t>
      </w:r>
      <w:bookmarkEnd w:id="264"/>
    </w:p>
    <w:p w14:paraId="6999F383" w14:textId="77777777" w:rsidR="00D21E85" w:rsidRDefault="00D21E85" w:rsidP="004623DD">
      <w:pPr>
        <w:pStyle w:val="Caption"/>
      </w:pPr>
    </w:p>
    <w:bookmarkEnd w:id="265"/>
    <w:bookmarkEnd w:id="266"/>
    <w:bookmarkEnd w:id="267"/>
    <w:p w14:paraId="5D3EA758" w14:textId="77777777" w:rsidR="00120426" w:rsidRDefault="0073201C" w:rsidP="00560C47">
      <w:r w:rsidRPr="00996932">
        <w:lastRenderedPageBreak/>
        <w:t>U pogledu sudjelovanja OIE u prometu</w:t>
      </w:r>
      <w:r w:rsidR="00374737" w:rsidRPr="00996932">
        <w:t xml:space="preserve">, </w:t>
      </w:r>
      <w:r w:rsidR="004440EB" w:rsidRPr="00996932">
        <w:t>prikazan</w:t>
      </w:r>
      <w:r w:rsidR="00495A96" w:rsidRPr="00996932">
        <w:t>i su udjeli</w:t>
      </w:r>
      <w:r w:rsidR="00C8795E" w:rsidRPr="00996932">
        <w:t xml:space="preserve"> električne energije iz</w:t>
      </w:r>
      <w:r w:rsidR="004440EB" w:rsidRPr="00996932">
        <w:t xml:space="preserve"> </w:t>
      </w:r>
      <w:r w:rsidR="00374737" w:rsidRPr="00996932">
        <w:t>OIE</w:t>
      </w:r>
      <w:r w:rsidR="00C8795E" w:rsidRPr="00996932">
        <w:t xml:space="preserve">, </w:t>
      </w:r>
      <w:r w:rsidR="00374737" w:rsidRPr="00996932">
        <w:t>biogoriva</w:t>
      </w:r>
      <w:r w:rsidR="00374737" w:rsidRPr="00B47BDA">
        <w:t xml:space="preserve"> </w:t>
      </w:r>
      <w:r w:rsidR="002A2A10" w:rsidRPr="00B47BDA">
        <w:t xml:space="preserve">i </w:t>
      </w:r>
      <w:r w:rsidR="00261566" w:rsidRPr="00B47BDA">
        <w:t xml:space="preserve">naprednih biogoriva i bioplina proizvedenih iz sirovina navedenih u Prilogu IX. dijelu A </w:t>
      </w:r>
      <w:r w:rsidR="005A5CC8">
        <w:t>Direktive (EU) 2018/2001 Europskog parlamenta i Vijeća od 11. prosinca 2018. o promicanju uporabe energije iz obnovljivih izvora (preinaka) (Tekst značajan za EGP)</w:t>
      </w:r>
      <w:r w:rsidR="00B8178A">
        <w:t xml:space="preserve">, </w:t>
      </w:r>
      <w:r w:rsidR="007A224F">
        <w:t>(</w:t>
      </w:r>
      <w:r w:rsidR="005A5CC8">
        <w:t>SL L 328, 21.12.2018</w:t>
      </w:r>
      <w:r w:rsidR="007A224F">
        <w:t>)</w:t>
      </w:r>
      <w:r w:rsidR="008518E7">
        <w:t xml:space="preserve"> (u daljnjem tekstu:</w:t>
      </w:r>
      <w:r w:rsidR="002866EA">
        <w:t xml:space="preserve"> Direktiva </w:t>
      </w:r>
      <w:r w:rsidR="0030272C">
        <w:t xml:space="preserve">(EU) </w:t>
      </w:r>
      <w:r w:rsidR="00DB349E">
        <w:t>20</w:t>
      </w:r>
      <w:r w:rsidR="00FC3B5C">
        <w:t>18/20</w:t>
      </w:r>
      <w:r w:rsidR="00DB349E">
        <w:t>01 o promicanju uporabe energije iz obnovljivih izvora</w:t>
      </w:r>
      <w:r w:rsidR="00DC66C3">
        <w:t xml:space="preserve">, Direktiva </w:t>
      </w:r>
      <w:r w:rsidR="00EB212E">
        <w:t>RED II</w:t>
      </w:r>
      <w:r w:rsidR="00DB349E">
        <w:t>)</w:t>
      </w:r>
      <w:r w:rsidR="005A5CC8">
        <w:t>.</w:t>
      </w:r>
      <w:r w:rsidR="001B7C39" w:rsidRPr="00B47BDA">
        <w:t xml:space="preserve"> </w:t>
      </w:r>
      <w:r w:rsidR="004011FE" w:rsidRPr="00B47BDA">
        <w:t xml:space="preserve">Potrebno je istaknuti kako su projicirani doprinosi rezultat </w:t>
      </w:r>
      <w:r w:rsidR="00BD13F8" w:rsidRPr="00B47BDA">
        <w:t>simulacijskog</w:t>
      </w:r>
      <w:r w:rsidR="004011FE" w:rsidRPr="00B47BDA">
        <w:t xml:space="preserve"> modela i kako se u provedbi mogu očekivati odstupanja od izračunatih vrijednosti. Napori RH bit će usmjereni k ostvarivanju cilja u pogledu udjela OIE u neposrednoj potrošnji</w:t>
      </w:r>
      <w:r w:rsidR="00A223C8" w:rsidRPr="00B47BDA">
        <w:t xml:space="preserve"> u prometu</w:t>
      </w:r>
      <w:r w:rsidR="004011FE" w:rsidRPr="00B47BDA">
        <w:t xml:space="preserve">, a može se očekivati kako će </w:t>
      </w:r>
      <w:r w:rsidR="00A223C8" w:rsidRPr="00B47BDA">
        <w:t xml:space="preserve">doprinosi pojedinih tehnologija </w:t>
      </w:r>
      <w:r w:rsidR="004011FE" w:rsidRPr="00B47BDA">
        <w:t xml:space="preserve">biti </w:t>
      </w:r>
      <w:r w:rsidR="00A223C8" w:rsidRPr="00B47BDA">
        <w:t xml:space="preserve">viši ili </w:t>
      </w:r>
      <w:r w:rsidR="004011FE" w:rsidRPr="00B47BDA">
        <w:t>niž</w:t>
      </w:r>
      <w:r w:rsidR="00A223C8" w:rsidRPr="00B47BDA">
        <w:t>i</w:t>
      </w:r>
      <w:r w:rsidR="004011FE" w:rsidRPr="00B47BDA">
        <w:t xml:space="preserve"> od</w:t>
      </w:r>
      <w:r w:rsidR="00FF50B5" w:rsidRPr="00B47BDA">
        <w:t xml:space="preserve"> ovdje</w:t>
      </w:r>
      <w:r w:rsidR="004011FE" w:rsidRPr="00B47BDA">
        <w:t xml:space="preserve"> </w:t>
      </w:r>
      <w:r w:rsidR="00FF50B5" w:rsidRPr="00B47BDA">
        <w:t>prikazanih</w:t>
      </w:r>
      <w:r w:rsidR="004011FE" w:rsidRPr="00B47BDA">
        <w:t>.</w:t>
      </w:r>
      <w:r w:rsidR="00943F0C">
        <w:t xml:space="preserve"> </w:t>
      </w:r>
    </w:p>
    <w:p w14:paraId="2FD8195E" w14:textId="544B0654" w:rsidR="003767E3" w:rsidRPr="00B47BDA" w:rsidRDefault="00943F0C" w:rsidP="00560C47">
      <w:r>
        <w:t>Indikativno</w:t>
      </w:r>
      <w:r w:rsidR="001C7272">
        <w:t xml:space="preserve">, </w:t>
      </w:r>
      <w:r w:rsidR="00DF6210">
        <w:t xml:space="preserve">za 2030. godinu postavlja se cilj </w:t>
      </w:r>
      <w:r w:rsidR="00F8066B">
        <w:t>od 24,6</w:t>
      </w:r>
      <w:r w:rsidR="002B7854">
        <w:t> </w:t>
      </w:r>
      <w:r w:rsidR="00F8066B">
        <w:t xml:space="preserve">% udjela OIE u neposrednoj potrošnji u prometu, pri čemu </w:t>
      </w:r>
      <w:r w:rsidR="00AE0DB8">
        <w:t xml:space="preserve">udio </w:t>
      </w:r>
      <w:r w:rsidR="000F02F6">
        <w:t xml:space="preserve">biogoriva </w:t>
      </w:r>
      <w:r w:rsidR="004D5459">
        <w:t>proizvedenih iz kultura za proizvodnju hrane</w:t>
      </w:r>
      <w:r w:rsidR="00F8066B">
        <w:t xml:space="preserve"> </w:t>
      </w:r>
      <w:r w:rsidR="00074F52">
        <w:t xml:space="preserve">i hrane za životinje </w:t>
      </w:r>
      <w:r w:rsidR="00EF2B71">
        <w:t>neće prelaziti 2,6</w:t>
      </w:r>
      <w:r w:rsidR="002B7854">
        <w:t> </w:t>
      </w:r>
      <w:r w:rsidR="00EF2B71">
        <w:t xml:space="preserve">%. Shodno tome, </w:t>
      </w:r>
      <w:r w:rsidR="002B7F8A">
        <w:t xml:space="preserve">te uvažavajući </w:t>
      </w:r>
      <w:r w:rsidR="004938B8">
        <w:t xml:space="preserve">odrednice koje propisuje </w:t>
      </w:r>
      <w:r w:rsidR="00560C47">
        <w:t xml:space="preserve">Direktiva (EU) 2023/2413 Europskog parlamenta i Vijeća od 18. listopada 2023. o izmjeni Direktive (EU) 2018/2001, Uredbe (EU) 2018/1999 i Direktive 98/70/EZ u pogledu promicanja energije iz obnovljivih izvora te o stavljanju izvan snage Direktive Vijeća (EU) 2015/652 </w:t>
      </w:r>
      <w:r w:rsidR="003574AA">
        <w:t xml:space="preserve"> </w:t>
      </w:r>
      <w:r w:rsidR="009756D9">
        <w:t xml:space="preserve">(SL L </w:t>
      </w:r>
      <w:r w:rsidR="009756D9" w:rsidRPr="009756D9">
        <w:t>2023/2413</w:t>
      </w:r>
      <w:r w:rsidR="003574AA">
        <w:t>,</w:t>
      </w:r>
      <w:r w:rsidR="009D2984">
        <w:t xml:space="preserve"> 31.10.2023.) </w:t>
      </w:r>
      <w:r w:rsidR="000A2507">
        <w:t>(</w:t>
      </w:r>
      <w:r w:rsidR="00120E1C">
        <w:t>u daljnjem tek</w:t>
      </w:r>
      <w:r w:rsidR="008F2262">
        <w:t xml:space="preserve">stu: </w:t>
      </w:r>
      <w:r w:rsidR="00BB2E00">
        <w:t>Direktiva 2023/2</w:t>
      </w:r>
      <w:r w:rsidR="00E65C33">
        <w:t xml:space="preserve">413, </w:t>
      </w:r>
      <w:r w:rsidR="008F2262">
        <w:t>Direktiva</w:t>
      </w:r>
      <w:r w:rsidR="00963A11">
        <w:t xml:space="preserve"> RED III</w:t>
      </w:r>
      <w:r w:rsidR="008F2262">
        <w:t xml:space="preserve">) </w:t>
      </w:r>
      <w:r w:rsidR="00ED3AF1">
        <w:t xml:space="preserve">u članku </w:t>
      </w:r>
      <w:r w:rsidR="00D04AE7">
        <w:t xml:space="preserve">26., </w:t>
      </w:r>
      <w:r w:rsidR="00B62B38">
        <w:t xml:space="preserve">Republika Hrvatska </w:t>
      </w:r>
      <w:r w:rsidR="007866A5">
        <w:t xml:space="preserve">definira niži </w:t>
      </w:r>
      <w:r w:rsidR="0064025E">
        <w:t xml:space="preserve">minimalni udio obnovljivih izvora </w:t>
      </w:r>
      <w:r w:rsidR="007D7A3F">
        <w:t>od onoga definiranog člankom 25. stavkom 1</w:t>
      </w:r>
      <w:r w:rsidR="00190AB0">
        <w:t>. prvim podstavkom točke (a)</w:t>
      </w:r>
      <w:r w:rsidR="0064025E">
        <w:t xml:space="preserve"> </w:t>
      </w:r>
      <w:r w:rsidR="00F5294E">
        <w:t xml:space="preserve">spomenute </w:t>
      </w:r>
      <w:r w:rsidR="005457FF">
        <w:t>direktive</w:t>
      </w:r>
      <w:r w:rsidR="00F5294E">
        <w:t>.</w:t>
      </w:r>
      <w:r w:rsidR="0064025E">
        <w:t xml:space="preserve"> </w:t>
      </w:r>
      <w:r w:rsidR="003767E3" w:rsidRPr="00B47BDA">
        <w:t>Kako bi se ispunio</w:t>
      </w:r>
      <w:r w:rsidR="008F319A" w:rsidRPr="00B47BDA">
        <w:t xml:space="preserve"> minimalni</w:t>
      </w:r>
      <w:r w:rsidR="003767E3" w:rsidRPr="00B47BDA">
        <w:t xml:space="preserve"> Nacionalni cilj za obnovljivu energiju u prijevozu, propisuje se </w:t>
      </w:r>
      <w:r w:rsidR="0013557F" w:rsidRPr="00B47BDA">
        <w:t>u</w:t>
      </w:r>
      <w:r w:rsidR="003767E3" w:rsidRPr="00B47BDA">
        <w:t>dio</w:t>
      </w:r>
      <w:r w:rsidR="0013557F" w:rsidRPr="00B47BDA">
        <w:t xml:space="preserve"> obveze</w:t>
      </w:r>
      <w:r w:rsidR="003767E3" w:rsidRPr="00B47BDA">
        <w:t xml:space="preserve"> obveznika stavljanja na tržište obnovljiv</w:t>
      </w:r>
      <w:r w:rsidR="006E5734" w:rsidRPr="00B47BDA">
        <w:t>ih izvora</w:t>
      </w:r>
      <w:r w:rsidR="003767E3" w:rsidRPr="00B47BDA">
        <w:t xml:space="preserve"> energije u prijevozu</w:t>
      </w:r>
      <w:r w:rsidR="0013557F" w:rsidRPr="00B47BDA">
        <w:t xml:space="preserve"> (udio obveznika), odnosno udio koji su distributeri</w:t>
      </w:r>
      <w:r w:rsidR="00FE303B" w:rsidRPr="00B47BDA">
        <w:t xml:space="preserve"> koji stavljaju na tržište dizelsko gorivo ili motorni benzin za pogon motornih vozila, a koji se, po posebnom zakonu kojim se uređuju trošarine, smatra trošarinskim obveznikom,</w:t>
      </w:r>
      <w:r w:rsidR="007B548E" w:rsidRPr="00B47BDA">
        <w:t xml:space="preserve"> dužni staviti na tržište kao dio </w:t>
      </w:r>
      <w:r w:rsidR="003767E3" w:rsidRPr="00B47BDA">
        <w:t>nacionalnog cilja za obnovljivu energiju u prijevozu</w:t>
      </w:r>
      <w:r w:rsidR="007B548E" w:rsidRPr="00B47BDA">
        <w:t>. Obvezni udio obveznika</w:t>
      </w:r>
      <w:r w:rsidR="00894846" w:rsidRPr="00B47BDA">
        <w:t xml:space="preserve"> u ispunjavanju nacionalnog cilja</w:t>
      </w:r>
      <w:r w:rsidR="007B548E" w:rsidRPr="00B47BDA">
        <w:t xml:space="preserve"> </w:t>
      </w:r>
      <w:r w:rsidR="003767E3" w:rsidRPr="00B47BDA">
        <w:t>izražava se kao postotak za svaku plansku godinu</w:t>
      </w:r>
      <w:r w:rsidR="00462015" w:rsidRPr="00B47BDA">
        <w:t xml:space="preserve"> provedbe Plana</w:t>
      </w:r>
      <w:r w:rsidR="003767E3" w:rsidRPr="00B47BDA">
        <w:t xml:space="preserve">. Nacionalni cilj i </w:t>
      </w:r>
      <w:r w:rsidR="00462015" w:rsidRPr="00B47BDA">
        <w:t xml:space="preserve">obvezni </w:t>
      </w:r>
      <w:r w:rsidR="003767E3" w:rsidRPr="00B47BDA">
        <w:t>udio obveznik</w:t>
      </w:r>
      <w:r w:rsidR="00462015" w:rsidRPr="00B47BDA">
        <w:t>a u ispunjavanju cilja</w:t>
      </w:r>
      <w:r w:rsidR="003767E3" w:rsidRPr="00B47BDA">
        <w:t xml:space="preserve"> prikazani su na slici </w:t>
      </w:r>
      <w:r w:rsidR="003979DA" w:rsidRPr="00B47BDA">
        <w:t>u nastavku</w:t>
      </w:r>
      <w:r w:rsidR="003767E3" w:rsidRPr="00B47BDA">
        <w:t xml:space="preserve"> za svaku plansku godinu u razdoblju od 202</w:t>
      </w:r>
      <w:r w:rsidR="00025486" w:rsidRPr="00B47BDA">
        <w:t>3</w:t>
      </w:r>
      <w:r w:rsidR="003767E3" w:rsidRPr="00B47BDA">
        <w:t>. do 2030. godine.</w:t>
      </w:r>
    </w:p>
    <w:p w14:paraId="20869E4E" w14:textId="69AC5B3C" w:rsidR="00C219F0" w:rsidRDefault="00B50748" w:rsidP="000B6608">
      <w:r w:rsidRPr="63259912">
        <w:t>I</w:t>
      </w:r>
      <w:r w:rsidR="00A44544" w:rsidRPr="63259912">
        <w:t>spunjenju Nacionalnog cilja</w:t>
      </w:r>
      <w:r w:rsidR="00C8344A" w:rsidRPr="63259912">
        <w:t xml:space="preserve"> osim obveznika stavljanja biogoriva na tržište,</w:t>
      </w:r>
      <w:r w:rsidR="00A44544" w:rsidRPr="63259912">
        <w:t xml:space="preserve"> </w:t>
      </w:r>
      <w:r w:rsidRPr="63259912">
        <w:t xml:space="preserve">doprinose i korisnici goriva u javnom prijevozu i javnom sektoru </w:t>
      </w:r>
      <w:r w:rsidR="00222EB1" w:rsidRPr="63259912">
        <w:t>putem kupovine</w:t>
      </w:r>
      <w:r w:rsidR="00A669A4" w:rsidRPr="63259912">
        <w:t>, najma ili lizinga određenog broja vozila koja koriste biogoriv</w:t>
      </w:r>
      <w:r w:rsidR="00251543" w:rsidRPr="63259912">
        <w:t xml:space="preserve">o, </w:t>
      </w:r>
      <w:r w:rsidR="00407F4B" w:rsidRPr="63259912">
        <w:t>bioplin (biometan)</w:t>
      </w:r>
      <w:r w:rsidR="00411CBD" w:rsidRPr="63259912">
        <w:t xml:space="preserve">, </w:t>
      </w:r>
      <w:r w:rsidR="00251543" w:rsidRPr="63259912">
        <w:t>električni pogon ili vodik</w:t>
      </w:r>
      <w:r w:rsidR="00EB2F4A" w:rsidRPr="63259912">
        <w:t xml:space="preserve"> iz obnovljivih izvora energije</w:t>
      </w:r>
      <w:r w:rsidR="00251543" w:rsidRPr="63259912">
        <w:t xml:space="preserve">. </w:t>
      </w:r>
      <w:r w:rsidR="00766257" w:rsidRPr="63259912">
        <w:t xml:space="preserve">Također, korisnici električne energije u željezničkom </w:t>
      </w:r>
      <w:r w:rsidR="007D672B" w:rsidRPr="63259912">
        <w:t xml:space="preserve">i javnom cestovnom prijevozu dužni su za potrebe prijevoza </w:t>
      </w:r>
      <w:r w:rsidR="002B0F50" w:rsidRPr="63259912">
        <w:t xml:space="preserve">nabavljati isključivo električnu energiju proizvedenu iz postrojenja </w:t>
      </w:r>
      <w:r w:rsidR="00EF3B0D" w:rsidRPr="63259912">
        <w:t>koja koriste obnovljivi izvor energije, a koja je u sustavu jamstva podrijetla.</w:t>
      </w:r>
    </w:p>
    <w:p w14:paraId="7FDA0B33" w14:textId="67D2E111" w:rsidR="007D4FD2" w:rsidRPr="00B47BDA" w:rsidRDefault="003B6D16" w:rsidP="000B6608">
      <w:r>
        <w:rPr>
          <w:noProof/>
        </w:rPr>
        <w:lastRenderedPageBreak/>
        <w:drawing>
          <wp:inline distT="0" distB="0" distL="0" distR="0" wp14:anchorId="20112C4F" wp14:editId="2FDE02FA">
            <wp:extent cx="5759450" cy="3491230"/>
            <wp:effectExtent l="0" t="0" r="0" b="0"/>
            <wp:docPr id="1144804256" name="Picture 1" descr="A graph with different colored ba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04256" name="Picture 1" descr="A graph with different colored bars and numbers&#10;&#10;Description automatically generated"/>
                    <pic:cNvPicPr/>
                  </pic:nvPicPr>
                  <pic:blipFill>
                    <a:blip r:embed="rId33"/>
                    <a:stretch>
                      <a:fillRect/>
                    </a:stretch>
                  </pic:blipFill>
                  <pic:spPr>
                    <a:xfrm>
                      <a:off x="0" y="0"/>
                      <a:ext cx="5759450" cy="3491230"/>
                    </a:xfrm>
                    <a:prstGeom prst="rect">
                      <a:avLst/>
                    </a:prstGeom>
                  </pic:spPr>
                </pic:pic>
              </a:graphicData>
            </a:graphic>
          </wp:inline>
        </w:drawing>
      </w:r>
    </w:p>
    <w:p w14:paraId="2E00D1DE" w14:textId="5148850C" w:rsidR="009941DE" w:rsidRDefault="00374EC6" w:rsidP="00A165C7">
      <w:pPr>
        <w:pStyle w:val="Caption"/>
      </w:pPr>
      <w:bookmarkStart w:id="268" w:name="_Toc193035885"/>
      <w:r w:rsidRPr="00B47BDA">
        <w:t xml:space="preserve">Slika </w:t>
      </w:r>
      <w:r>
        <w:fldChar w:fldCharType="begin"/>
      </w:r>
      <w:r>
        <w:instrText>STYLEREF 1 \s</w:instrText>
      </w:r>
      <w:r>
        <w:fldChar w:fldCharType="separate"/>
      </w:r>
      <w:r>
        <w:rPr>
          <w:noProof/>
        </w:rPr>
        <w:t>2</w:t>
      </w:r>
      <w:r>
        <w:fldChar w:fldCharType="end"/>
      </w:r>
      <w:r>
        <w:t>–</w:t>
      </w:r>
      <w:r>
        <w:fldChar w:fldCharType="begin"/>
      </w:r>
      <w:r>
        <w:instrText>SEQ Slika \* ARABIC \s 1</w:instrText>
      </w:r>
      <w:r>
        <w:fldChar w:fldCharType="separate"/>
      </w:r>
      <w:r w:rsidR="008973CD">
        <w:rPr>
          <w:noProof/>
        </w:rPr>
        <w:t>8</w:t>
      </w:r>
      <w:r>
        <w:fldChar w:fldCharType="end"/>
      </w:r>
      <w:r>
        <w:t xml:space="preserve">. </w:t>
      </w:r>
      <w:r w:rsidRPr="008E754B">
        <w:t>Nacionalni cilj za obnovljivu energiju u prijevozu i udio obveznika za razdoblje od 2023. do 2030. godine</w:t>
      </w:r>
      <w:bookmarkEnd w:id="268"/>
    </w:p>
    <w:p w14:paraId="6C10651B" w14:textId="3284FF2E" w:rsidR="009941DE" w:rsidRDefault="00390210" w:rsidP="009941DE">
      <w:r>
        <w:t xml:space="preserve">Potrošnja energije u zgradarstvu se značajno smanjuje do 2030. godine </w:t>
      </w:r>
      <w:r w:rsidR="00DE12C7">
        <w:t>uslijed energetske obnove zgrada</w:t>
      </w:r>
      <w:r w:rsidR="00DB17CF">
        <w:t xml:space="preserve"> pri čemu se smanjuje potrošnja fosilnih goriva, a povećav</w:t>
      </w:r>
      <w:r w:rsidR="0029063D">
        <w:t xml:space="preserve">a potrošnja električne energije (iz obnovljivih izvora) te energija </w:t>
      </w:r>
      <w:r w:rsidR="00905FDA">
        <w:t xml:space="preserve">okoliša. </w:t>
      </w:r>
      <w:r w:rsidR="008D649C">
        <w:t xml:space="preserve">Najveće smanjenje potrošnje odnosi se na ogrjevno drvo </w:t>
      </w:r>
      <w:r w:rsidR="008773E3">
        <w:t>i prirodni plin</w:t>
      </w:r>
      <w:r w:rsidR="00603D4A">
        <w:t xml:space="preserve"> </w:t>
      </w:r>
      <w:r w:rsidR="000A2B06">
        <w:t xml:space="preserve">što je </w:t>
      </w:r>
      <w:r w:rsidR="00135AE1">
        <w:t xml:space="preserve">jednim dijelom </w:t>
      </w:r>
      <w:r w:rsidR="000A2B06">
        <w:t xml:space="preserve">posljedica </w:t>
      </w:r>
      <w:r w:rsidR="00135AE1">
        <w:t xml:space="preserve">poboljšanja izolacijskih svojstava zgrada, a drugim dijelom </w:t>
      </w:r>
      <w:r w:rsidR="00C0732F">
        <w:t>zamjene korištenih tehnologija toplinskim pumpama.</w:t>
      </w:r>
    </w:p>
    <w:p w14:paraId="52BC9A71" w14:textId="5B901A12" w:rsidR="009941DE" w:rsidRDefault="00CB5FC2" w:rsidP="009941DE">
      <w:r w:rsidRPr="00CB5FC2">
        <w:rPr>
          <w:noProof/>
        </w:rPr>
        <w:drawing>
          <wp:inline distT="0" distB="0" distL="0" distR="0" wp14:anchorId="5B30CD43" wp14:editId="7CCF8CB6">
            <wp:extent cx="5759450" cy="2825115"/>
            <wp:effectExtent l="0" t="0" r="0" b="0"/>
            <wp:docPr id="378583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825115"/>
                    </a:xfrm>
                    <a:prstGeom prst="rect">
                      <a:avLst/>
                    </a:prstGeom>
                    <a:noFill/>
                    <a:ln>
                      <a:noFill/>
                    </a:ln>
                  </pic:spPr>
                </pic:pic>
              </a:graphicData>
            </a:graphic>
          </wp:inline>
        </w:drawing>
      </w:r>
    </w:p>
    <w:p w14:paraId="56A62598" w14:textId="4E98C0B7" w:rsidR="00551BDF" w:rsidRDefault="00551BDF" w:rsidP="00551BDF">
      <w:pPr>
        <w:pStyle w:val="Caption"/>
      </w:pPr>
      <w:bookmarkStart w:id="269" w:name="_Toc193035886"/>
      <w:r w:rsidRPr="00B47BDA">
        <w:t xml:space="preserve">Slika </w:t>
      </w:r>
      <w:r>
        <w:fldChar w:fldCharType="begin"/>
      </w:r>
      <w:r>
        <w:instrText>STYLEREF 1 \s</w:instrText>
      </w:r>
      <w:r>
        <w:fldChar w:fldCharType="separate"/>
      </w:r>
      <w:r>
        <w:rPr>
          <w:noProof/>
        </w:rPr>
        <w:t>2</w:t>
      </w:r>
      <w:r>
        <w:fldChar w:fldCharType="end"/>
      </w:r>
      <w:r>
        <w:t>–</w:t>
      </w:r>
      <w:r>
        <w:fldChar w:fldCharType="begin"/>
      </w:r>
      <w:r>
        <w:instrText>SEQ Slika \* ARABIC \s 1</w:instrText>
      </w:r>
      <w:r>
        <w:fldChar w:fldCharType="separate"/>
      </w:r>
      <w:r w:rsidR="00A165C7">
        <w:rPr>
          <w:noProof/>
        </w:rPr>
        <w:t>9</w:t>
      </w:r>
      <w:r>
        <w:fldChar w:fldCharType="end"/>
      </w:r>
      <w:r>
        <w:t>. Indikativna putanja korištenja OIE u sektoru zgradarstva</w:t>
      </w:r>
      <w:bookmarkEnd w:id="269"/>
    </w:p>
    <w:p w14:paraId="14AC9196" w14:textId="77777777" w:rsidR="00DC44D7" w:rsidRDefault="00DC44D7" w:rsidP="009941DE"/>
    <w:p w14:paraId="2694A40D" w14:textId="76BB7BD1" w:rsidR="00EC1CB3" w:rsidRDefault="00A82A8C" w:rsidP="009941DE">
      <w:r>
        <w:lastRenderedPageBreak/>
        <w:t xml:space="preserve">Predviđeno smanjenje potrošnje energije u sektoru industrije do 2030. godine iznosi oko 10%. </w:t>
      </w:r>
      <w:r w:rsidR="00B12709">
        <w:t xml:space="preserve">Pri tome </w:t>
      </w:r>
      <w:r w:rsidR="00E65440">
        <w:t xml:space="preserve">će najveće smanjenje potrošnje ostvariti </w:t>
      </w:r>
      <w:r w:rsidR="00201699">
        <w:t>ugljen i prirodni plin dok će električna energija (</w:t>
      </w:r>
      <w:r w:rsidR="00B932EC">
        <w:t xml:space="preserve">s većim udjelom OIE) ostvariti porast potrošnje. </w:t>
      </w:r>
      <w:r w:rsidR="000E56F0">
        <w:t>Korištenje vodika očekuje se već nakon 202</w:t>
      </w:r>
      <w:r w:rsidR="00986D91">
        <w:t>5</w:t>
      </w:r>
      <w:r w:rsidR="000E56F0">
        <w:t>. godine.</w:t>
      </w:r>
    </w:p>
    <w:p w14:paraId="475B43C3" w14:textId="2C792831" w:rsidR="00EC1CB3" w:rsidRDefault="001A2480" w:rsidP="009941DE">
      <w:r w:rsidRPr="001A2480">
        <w:rPr>
          <w:noProof/>
        </w:rPr>
        <w:drawing>
          <wp:inline distT="0" distB="0" distL="0" distR="0" wp14:anchorId="40AEE43D" wp14:editId="152D8B67">
            <wp:extent cx="5759450" cy="2743200"/>
            <wp:effectExtent l="0" t="0" r="0" b="0"/>
            <wp:docPr id="16224254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743200"/>
                    </a:xfrm>
                    <a:prstGeom prst="rect">
                      <a:avLst/>
                    </a:prstGeom>
                    <a:noFill/>
                    <a:ln>
                      <a:noFill/>
                    </a:ln>
                  </pic:spPr>
                </pic:pic>
              </a:graphicData>
            </a:graphic>
          </wp:inline>
        </w:drawing>
      </w:r>
    </w:p>
    <w:p w14:paraId="37E7C83D" w14:textId="2EA95E46" w:rsidR="00551BDF" w:rsidRDefault="00551BDF" w:rsidP="00551BDF">
      <w:pPr>
        <w:pStyle w:val="Caption"/>
      </w:pPr>
      <w:bookmarkStart w:id="270" w:name="_Toc193035887"/>
      <w:r w:rsidRPr="00B47BDA">
        <w:t xml:space="preserve">Slika </w:t>
      </w:r>
      <w:r>
        <w:fldChar w:fldCharType="begin"/>
      </w:r>
      <w:r>
        <w:instrText>STYLEREF 1 \s</w:instrText>
      </w:r>
      <w:r>
        <w:fldChar w:fldCharType="separate"/>
      </w:r>
      <w:r>
        <w:rPr>
          <w:noProof/>
        </w:rPr>
        <w:t>2</w:t>
      </w:r>
      <w:r>
        <w:fldChar w:fldCharType="end"/>
      </w:r>
      <w:r>
        <w:t>–</w:t>
      </w:r>
      <w:r>
        <w:fldChar w:fldCharType="begin"/>
      </w:r>
      <w:r>
        <w:instrText>SEQ Slika \* ARABIC \s 1</w:instrText>
      </w:r>
      <w:r>
        <w:fldChar w:fldCharType="separate"/>
      </w:r>
      <w:r w:rsidR="00A165C7">
        <w:rPr>
          <w:noProof/>
        </w:rPr>
        <w:t>10</w:t>
      </w:r>
      <w:r>
        <w:fldChar w:fldCharType="end"/>
      </w:r>
      <w:r>
        <w:t>. Indikativna putanja korištenja OIE u sektoru industrije</w:t>
      </w:r>
      <w:bookmarkEnd w:id="270"/>
    </w:p>
    <w:p w14:paraId="22BE1B73" w14:textId="77777777" w:rsidR="00551BDF" w:rsidRPr="00551BDF" w:rsidRDefault="00551BDF" w:rsidP="00551BDF"/>
    <w:p w14:paraId="248DA9A1" w14:textId="6A2E63A1" w:rsidR="00E27080" w:rsidRPr="00B47BDA" w:rsidRDefault="00E27080" w:rsidP="63259912">
      <w:pPr>
        <w:pStyle w:val="Heading4"/>
        <w:ind w:hanging="580"/>
      </w:pPr>
      <w:r w:rsidRPr="63259912">
        <w:t>Procijenjene putanje tehnologija za dobivanje energije iz obnovljivih izvora, koju države članice planiraju upotrijebiti kako bi ostvarile ukupne i sektorske putanje za energiju iz obnovljivih izvora od 2021. do 2030.</w:t>
      </w:r>
      <w:r w:rsidR="007747FB" w:rsidRPr="63259912">
        <w:t xml:space="preserve"> </w:t>
      </w:r>
      <w:r w:rsidR="007D32C5" w:rsidRPr="63259912">
        <w:t>godine</w:t>
      </w:r>
      <w:r w:rsidRPr="63259912">
        <w:t>, uključujući očekivanu konačnu bruto potrošnju energije po tehnologiji i sektoru izraženu u Mtoe i ukupni planirani instalirani kapacitet</w:t>
      </w:r>
    </w:p>
    <w:p w14:paraId="63DF0C69" w14:textId="1F0A98C3" w:rsidR="009B53A7" w:rsidRPr="00B47BDA" w:rsidRDefault="348F173B" w:rsidP="004623DD">
      <w:r w:rsidRPr="00B47BDA">
        <w:t>Ocijenjen</w:t>
      </w:r>
      <w:r w:rsidR="07B79676" w:rsidRPr="00B47BDA">
        <w:t>e</w:t>
      </w:r>
      <w:r w:rsidRPr="00B47BDA">
        <w:t xml:space="preserve"> doprinos</w:t>
      </w:r>
      <w:r w:rsidR="07B79676" w:rsidRPr="00B47BDA">
        <w:t>e</w:t>
      </w:r>
      <w:r w:rsidRPr="00B47BDA">
        <w:t xml:space="preserve"> tehnologija za dobivanje energije iz OIE prikazuje</w:t>
      </w:r>
      <w:r w:rsidR="2ED45E79">
        <w:t xml:space="preserve"> </w:t>
      </w:r>
      <w:r w:rsidR="00045BC1">
        <w:t>S</w:t>
      </w:r>
      <w:r w:rsidR="2ED45E79">
        <w:t>lika</w:t>
      </w:r>
      <w:r w:rsidRPr="00B47BDA">
        <w:t xml:space="preserve"> </w:t>
      </w:r>
      <w:r w:rsidR="009B53A7" w:rsidRPr="00B47BDA">
        <w:fldChar w:fldCharType="begin"/>
      </w:r>
      <w:r w:rsidR="009B53A7" w:rsidRPr="00B47BDA">
        <w:instrText xml:space="preserve"> REF _Ref533086970 \h </w:instrText>
      </w:r>
      <w:r w:rsidR="00933D8B" w:rsidRPr="00B47BDA">
        <w:instrText xml:space="preserve"> \* MERGEFORMAT </w:instrText>
      </w:r>
      <w:r w:rsidR="009B53A7" w:rsidRPr="00B47BDA">
        <w:fldChar w:fldCharType="separate"/>
      </w:r>
      <w:r w:rsidR="00AD324D">
        <w:t>2</w:t>
      </w:r>
      <w:bookmarkStart w:id="271" w:name="_Hlt185604809"/>
      <w:r w:rsidR="00AD324D">
        <w:noBreakHyphen/>
      </w:r>
      <w:bookmarkEnd w:id="271"/>
      <w:r w:rsidR="00FC703B">
        <w:t>11</w:t>
      </w:r>
      <w:r w:rsidR="00AD324D" w:rsidRPr="00B47BDA">
        <w:t>.</w:t>
      </w:r>
      <w:r w:rsidR="009B53A7" w:rsidRPr="00B47BDA">
        <w:fldChar w:fldCharType="end"/>
      </w:r>
      <w:r w:rsidRPr="00B47BDA">
        <w:t xml:space="preserve"> te </w:t>
      </w:r>
      <w:r w:rsidR="00102610">
        <w:t>T</w:t>
      </w:r>
      <w:r w:rsidRPr="00B47BDA">
        <w:t xml:space="preserve">ablice </w:t>
      </w:r>
      <w:r w:rsidR="009B53A7" w:rsidRPr="00B47BDA">
        <w:fldChar w:fldCharType="begin"/>
      </w:r>
      <w:r w:rsidR="009B53A7" w:rsidRPr="00B47BDA">
        <w:instrText xml:space="preserve"> REF tbl_S2_Udio_OIE_ukupni \h </w:instrText>
      </w:r>
      <w:r w:rsidR="00933D8B" w:rsidRPr="00B47BDA">
        <w:instrText xml:space="preserve"> \* MERGEFORMAT </w:instrText>
      </w:r>
      <w:r w:rsidR="009B53A7" w:rsidRPr="00B47BDA">
        <w:fldChar w:fldCharType="separate"/>
      </w:r>
      <w:r w:rsidR="00AD324D">
        <w:t>2</w:t>
      </w:r>
      <w:r w:rsidR="00AD324D" w:rsidRPr="00B47BDA">
        <w:noBreakHyphen/>
      </w:r>
      <w:r w:rsidR="00AD324D">
        <w:t>2</w:t>
      </w:r>
      <w:r w:rsidR="009B53A7" w:rsidRPr="00B47BDA">
        <w:fldChar w:fldCharType="end"/>
      </w:r>
      <w:r w:rsidR="32B56D99">
        <w:t>.</w:t>
      </w:r>
      <w:r w:rsidRPr="00B47BDA">
        <w:t xml:space="preserve"> do </w:t>
      </w:r>
      <w:r w:rsidR="009B53A7" w:rsidRPr="00B47BDA">
        <w:fldChar w:fldCharType="begin"/>
      </w:r>
      <w:r w:rsidR="009B53A7" w:rsidRPr="00B47BDA">
        <w:instrText xml:space="preserve"> REF tbl_S2_Udio_OIE_promet \h </w:instrText>
      </w:r>
      <w:r w:rsidR="00933D8B" w:rsidRPr="00B47BDA">
        <w:instrText xml:space="preserve"> \* MERGEFORMAT </w:instrText>
      </w:r>
      <w:r w:rsidR="009B53A7" w:rsidRPr="00B47BDA">
        <w:fldChar w:fldCharType="separate"/>
      </w:r>
      <w:r w:rsidR="00AD324D">
        <w:t>2</w:t>
      </w:r>
      <w:r w:rsidR="00AD324D" w:rsidRPr="00432DEF">
        <w:noBreakHyphen/>
      </w:r>
      <w:r w:rsidR="00AD324D">
        <w:t>5</w:t>
      </w:r>
      <w:r w:rsidR="009B53A7" w:rsidRPr="00B47BDA">
        <w:fldChar w:fldCharType="end"/>
      </w:r>
      <w:r w:rsidR="573DF638" w:rsidRPr="00B47BDA">
        <w:t>.</w:t>
      </w:r>
    </w:p>
    <w:p w14:paraId="7EEC03AA" w14:textId="07248C80" w:rsidR="009B53A7" w:rsidRDefault="009B53A7" w:rsidP="004623DD">
      <w:pPr>
        <w:pStyle w:val="Caption"/>
      </w:pPr>
      <w:bookmarkStart w:id="272" w:name="_Toc193035943"/>
      <w:r w:rsidRPr="00B47BDA">
        <w:t xml:space="preserve">Tablica </w:t>
      </w:r>
      <w:bookmarkStart w:id="273" w:name="tbl_S2_Udio_OIE_ukupni"/>
      <w:r w:rsidR="00DE7F11" w:rsidRPr="00B47BDA">
        <w:fldChar w:fldCharType="begin"/>
      </w:r>
      <w:r w:rsidR="00DE7F11" w:rsidRPr="00B47BDA">
        <w:instrText xml:space="preserve"> STYLEREF 1 \s </w:instrText>
      </w:r>
      <w:r w:rsidR="00DE7F11" w:rsidRPr="00B47BDA">
        <w:fldChar w:fldCharType="separate"/>
      </w:r>
      <w:r w:rsidR="00AD324D">
        <w:rPr>
          <w:noProof/>
        </w:rPr>
        <w:t>2</w:t>
      </w:r>
      <w:r w:rsidR="00DE7F11" w:rsidRPr="00B47BDA">
        <w:fldChar w:fldCharType="end"/>
      </w:r>
      <w:r w:rsidR="00DE7F11" w:rsidRPr="00B47BDA">
        <w:noBreakHyphen/>
      </w:r>
      <w:r>
        <w:fldChar w:fldCharType="begin"/>
      </w:r>
      <w:r>
        <w:instrText>SEQ Tablica \* ARABIC \s 1</w:instrText>
      </w:r>
      <w:r>
        <w:fldChar w:fldCharType="separate"/>
      </w:r>
      <w:r w:rsidR="00AD324D">
        <w:rPr>
          <w:noProof/>
        </w:rPr>
        <w:t>2</w:t>
      </w:r>
      <w:r>
        <w:fldChar w:fldCharType="end"/>
      </w:r>
      <w:bookmarkEnd w:id="273"/>
      <w:r w:rsidRPr="00B47BDA">
        <w:t xml:space="preserve">. Ocijenjeni doprinos tehnologija za OIE </w:t>
      </w:r>
      <w:r w:rsidR="0188AFB7" w:rsidRPr="00B47BDA">
        <w:t>u bruto neposrednoj potrošnji</w:t>
      </w:r>
      <w:bookmarkEnd w:id="272"/>
    </w:p>
    <w:tbl>
      <w:tblPr>
        <w:tblW w:w="9292" w:type="dxa"/>
        <w:tblLook w:val="04A0" w:firstRow="1" w:lastRow="0" w:firstColumn="1" w:lastColumn="0" w:noHBand="0" w:noVBand="1"/>
      </w:tblPr>
      <w:tblGrid>
        <w:gridCol w:w="2547"/>
        <w:gridCol w:w="665"/>
        <w:gridCol w:w="709"/>
        <w:gridCol w:w="671"/>
        <w:gridCol w:w="671"/>
        <w:gridCol w:w="671"/>
        <w:gridCol w:w="680"/>
        <w:gridCol w:w="671"/>
        <w:gridCol w:w="671"/>
        <w:gridCol w:w="671"/>
        <w:gridCol w:w="665"/>
      </w:tblGrid>
      <w:tr w:rsidR="00E46FC8" w:rsidRPr="00E46FC8" w14:paraId="59FAACBF" w14:textId="77777777" w:rsidTr="63259912">
        <w:trPr>
          <w:trHeight w:val="288"/>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7CAE94FE" w14:textId="77777777" w:rsidR="003D1C5E" w:rsidRPr="00E46FC8" w:rsidRDefault="003D1C5E" w:rsidP="63259912">
            <w:pPr>
              <w:spacing w:after="0"/>
              <w:jc w:val="left"/>
              <w:rPr>
                <w:rFonts w:asciiTheme="minorHAnsi" w:eastAsia="Times New Roman" w:hAnsiTheme="minorHAnsi" w:cstheme="minorBidi"/>
                <w:b/>
                <w:bCs/>
                <w:color w:val="000000"/>
                <w:sz w:val="18"/>
                <w:szCs w:val="18"/>
              </w:rPr>
            </w:pPr>
            <w:r w:rsidRPr="63259912">
              <w:rPr>
                <w:rFonts w:asciiTheme="minorHAnsi" w:eastAsia="Times New Roman" w:hAnsiTheme="minorHAnsi" w:cstheme="minorBidi"/>
                <w:b/>
                <w:bCs/>
                <w:color w:val="000000" w:themeColor="text1"/>
                <w:sz w:val="18"/>
                <w:szCs w:val="18"/>
              </w:rPr>
              <w:t>ktoe</w:t>
            </w:r>
          </w:p>
        </w:tc>
        <w:tc>
          <w:tcPr>
            <w:tcW w:w="665"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096CFE8" w14:textId="6C1FFD18" w:rsidR="003D1C5E" w:rsidRPr="00E46FC8" w:rsidRDefault="003D1C5E" w:rsidP="003D1C5E">
            <w:pPr>
              <w:spacing w:after="0"/>
              <w:jc w:val="righ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2021</w:t>
            </w:r>
            <w:r w:rsidR="001A1160">
              <w:rPr>
                <w:rFonts w:asciiTheme="minorHAnsi" w:eastAsia="Times New Roman" w:hAnsiTheme="minorHAnsi" w:cstheme="minorHAnsi"/>
                <w:b/>
                <w:bCs/>
                <w:color w:val="000000"/>
                <w:sz w:val="18"/>
                <w:szCs w:val="18"/>
              </w:rPr>
              <w:t>.</w:t>
            </w:r>
          </w:p>
        </w:tc>
        <w:tc>
          <w:tcPr>
            <w:tcW w:w="709"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4B2C608" w14:textId="7730D6BA" w:rsidR="003D1C5E" w:rsidRPr="00E46FC8" w:rsidRDefault="003D1C5E" w:rsidP="003D1C5E">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2022</w:t>
            </w:r>
            <w:r w:rsidR="001A1160">
              <w:rPr>
                <w:rFonts w:asciiTheme="minorHAnsi" w:eastAsia="Times New Roman" w:hAnsiTheme="minorHAnsi" w:cstheme="minorHAnsi"/>
                <w:color w:val="000000"/>
                <w:sz w:val="18"/>
                <w:szCs w:val="18"/>
              </w:rPr>
              <w:t>.</w:t>
            </w:r>
          </w:p>
        </w:tc>
        <w:tc>
          <w:tcPr>
            <w:tcW w:w="67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963F714" w14:textId="76E3B7E9" w:rsidR="003D1C5E" w:rsidRPr="00E46FC8" w:rsidRDefault="003D1C5E" w:rsidP="003D1C5E">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2023</w:t>
            </w:r>
            <w:r w:rsidR="001A1160">
              <w:rPr>
                <w:rFonts w:asciiTheme="minorHAnsi" w:eastAsia="Times New Roman" w:hAnsiTheme="minorHAnsi" w:cstheme="minorHAnsi"/>
                <w:color w:val="000000"/>
                <w:sz w:val="18"/>
                <w:szCs w:val="18"/>
              </w:rPr>
              <w:t>.</w:t>
            </w:r>
          </w:p>
        </w:tc>
        <w:tc>
          <w:tcPr>
            <w:tcW w:w="67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B0A6966" w14:textId="2509A734" w:rsidR="003D1C5E" w:rsidRPr="00E46FC8" w:rsidRDefault="003D1C5E" w:rsidP="003D1C5E">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2024</w:t>
            </w:r>
            <w:r w:rsidR="001A1160">
              <w:rPr>
                <w:rFonts w:asciiTheme="minorHAnsi" w:eastAsia="Times New Roman" w:hAnsiTheme="minorHAnsi" w:cstheme="minorHAnsi"/>
                <w:color w:val="000000"/>
                <w:sz w:val="18"/>
                <w:szCs w:val="18"/>
              </w:rPr>
              <w:t>.</w:t>
            </w:r>
          </w:p>
        </w:tc>
        <w:tc>
          <w:tcPr>
            <w:tcW w:w="67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97A2B32" w14:textId="287363C4" w:rsidR="003D1C5E" w:rsidRPr="00E46FC8" w:rsidRDefault="003D1C5E" w:rsidP="003D1C5E">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2025</w:t>
            </w:r>
            <w:r w:rsidR="001A1160">
              <w:rPr>
                <w:rFonts w:asciiTheme="minorHAnsi" w:eastAsia="Times New Roman" w:hAnsiTheme="minorHAnsi" w:cstheme="minorHAnsi"/>
                <w:color w:val="000000"/>
                <w:sz w:val="18"/>
                <w:szCs w:val="18"/>
              </w:rPr>
              <w:t>.</w:t>
            </w:r>
          </w:p>
        </w:tc>
        <w:tc>
          <w:tcPr>
            <w:tcW w:w="680"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ED7FF64" w14:textId="0F0AA890" w:rsidR="003D1C5E" w:rsidRPr="00E46FC8" w:rsidRDefault="003D1C5E" w:rsidP="003D1C5E">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2026</w:t>
            </w:r>
            <w:r w:rsidR="001A1160">
              <w:rPr>
                <w:rFonts w:asciiTheme="minorHAnsi" w:eastAsia="Times New Roman" w:hAnsiTheme="minorHAnsi" w:cstheme="minorHAnsi"/>
                <w:color w:val="000000"/>
                <w:sz w:val="18"/>
                <w:szCs w:val="18"/>
              </w:rPr>
              <w:t>.</w:t>
            </w:r>
          </w:p>
        </w:tc>
        <w:tc>
          <w:tcPr>
            <w:tcW w:w="67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F6DA48C" w14:textId="2D2DAF36" w:rsidR="003D1C5E" w:rsidRPr="00E46FC8" w:rsidRDefault="003D1C5E" w:rsidP="003D1C5E">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2027</w:t>
            </w:r>
            <w:r w:rsidR="001A1160">
              <w:rPr>
                <w:rFonts w:asciiTheme="minorHAnsi" w:eastAsia="Times New Roman" w:hAnsiTheme="minorHAnsi" w:cstheme="minorHAnsi"/>
                <w:color w:val="000000"/>
                <w:sz w:val="18"/>
                <w:szCs w:val="18"/>
              </w:rPr>
              <w:t>.</w:t>
            </w:r>
          </w:p>
        </w:tc>
        <w:tc>
          <w:tcPr>
            <w:tcW w:w="67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C4E8D90" w14:textId="51A08E5F" w:rsidR="003D1C5E" w:rsidRPr="00E46FC8" w:rsidRDefault="003D1C5E" w:rsidP="003D1C5E">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2028</w:t>
            </w:r>
            <w:r w:rsidR="001A1160">
              <w:rPr>
                <w:rFonts w:asciiTheme="minorHAnsi" w:eastAsia="Times New Roman" w:hAnsiTheme="minorHAnsi" w:cstheme="minorHAnsi"/>
                <w:color w:val="000000"/>
                <w:sz w:val="18"/>
                <w:szCs w:val="18"/>
              </w:rPr>
              <w:t>.</w:t>
            </w:r>
          </w:p>
        </w:tc>
        <w:tc>
          <w:tcPr>
            <w:tcW w:w="67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C99AD25" w14:textId="33EA1B39" w:rsidR="003D1C5E" w:rsidRPr="00E46FC8" w:rsidRDefault="003D1C5E" w:rsidP="003D1C5E">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2029</w:t>
            </w:r>
            <w:r w:rsidR="001A1160">
              <w:rPr>
                <w:rFonts w:asciiTheme="minorHAnsi" w:eastAsia="Times New Roman" w:hAnsiTheme="minorHAnsi" w:cstheme="minorHAnsi"/>
                <w:color w:val="000000"/>
                <w:sz w:val="18"/>
                <w:szCs w:val="18"/>
              </w:rPr>
              <w:t>.</w:t>
            </w:r>
          </w:p>
        </w:tc>
        <w:tc>
          <w:tcPr>
            <w:tcW w:w="665"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E944A7F" w14:textId="2528462B" w:rsidR="003D1C5E" w:rsidRPr="00E46FC8" w:rsidRDefault="003D1C5E" w:rsidP="003D1C5E">
            <w:pPr>
              <w:spacing w:after="0"/>
              <w:jc w:val="righ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2030</w:t>
            </w:r>
            <w:r w:rsidR="001A1160">
              <w:rPr>
                <w:rFonts w:asciiTheme="minorHAnsi" w:eastAsia="Times New Roman" w:hAnsiTheme="minorHAnsi" w:cstheme="minorHAnsi"/>
                <w:b/>
                <w:bCs/>
                <w:color w:val="000000"/>
                <w:sz w:val="18"/>
                <w:szCs w:val="18"/>
              </w:rPr>
              <w:t>.</w:t>
            </w:r>
          </w:p>
        </w:tc>
      </w:tr>
      <w:tr w:rsidR="004755CE" w:rsidRPr="00E46FC8" w14:paraId="467865DC" w14:textId="77777777" w:rsidTr="63259912">
        <w:trPr>
          <w:trHeight w:val="288"/>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00C20796" w14:textId="77777777" w:rsidR="003D1C5E" w:rsidRPr="00E46FC8" w:rsidRDefault="003D1C5E" w:rsidP="003D1C5E">
            <w:pPr>
              <w:spacing w:after="0"/>
              <w:jc w:val="lef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Bruto neposredna potrošnja OIE</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EA9C40F" w14:textId="1D753B65" w:rsidR="003D1C5E" w:rsidRPr="00DC72ED" w:rsidRDefault="003D1C5E" w:rsidP="003D1C5E">
            <w:pPr>
              <w:spacing w:after="0"/>
              <w:jc w:val="right"/>
              <w:rPr>
                <w:rFonts w:asciiTheme="minorHAnsi" w:eastAsia="Times New Roman" w:hAnsiTheme="minorHAnsi" w:cstheme="minorHAnsi"/>
                <w:b/>
                <w:bCs/>
                <w:color w:val="000000"/>
                <w:sz w:val="18"/>
                <w:szCs w:val="18"/>
              </w:rPr>
            </w:pPr>
            <w:r w:rsidRPr="00DC72ED">
              <w:rPr>
                <w:rFonts w:asciiTheme="minorHAnsi" w:hAnsiTheme="minorHAnsi" w:cstheme="minorHAnsi"/>
                <w:b/>
                <w:color w:val="000000"/>
                <w:sz w:val="18"/>
                <w:szCs w:val="18"/>
              </w:rPr>
              <w:t>2</w:t>
            </w:r>
            <w:r w:rsidR="00A45701" w:rsidRPr="00DC72ED">
              <w:rPr>
                <w:rFonts w:asciiTheme="minorHAnsi" w:hAnsiTheme="minorHAnsi" w:cstheme="minorHAnsi"/>
                <w:b/>
                <w:color w:val="000000"/>
                <w:sz w:val="18"/>
                <w:szCs w:val="18"/>
              </w:rPr>
              <w:t>.</w:t>
            </w:r>
            <w:r w:rsidR="009C4D31" w:rsidRPr="00DC72ED">
              <w:rPr>
                <w:rFonts w:asciiTheme="minorHAnsi" w:hAnsiTheme="minorHAnsi" w:cstheme="minorHAnsi"/>
                <w:b/>
                <w:bCs/>
                <w:color w:val="000000"/>
                <w:sz w:val="18"/>
                <w:szCs w:val="18"/>
              </w:rPr>
              <w:t>302</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1D340A0" w14:textId="28176BD7" w:rsidR="003D1C5E" w:rsidRPr="00DC72ED" w:rsidRDefault="003D1C5E"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w:t>
            </w:r>
            <w:r w:rsidR="00A45701" w:rsidRPr="00DC72ED">
              <w:rPr>
                <w:rFonts w:asciiTheme="minorHAnsi" w:hAnsiTheme="minorHAnsi" w:cstheme="minorHAnsi"/>
                <w:color w:val="000000"/>
                <w:sz w:val="18"/>
                <w:szCs w:val="18"/>
              </w:rPr>
              <w:t>.</w:t>
            </w:r>
            <w:r w:rsidR="009C4D31" w:rsidRPr="00DC72ED">
              <w:rPr>
                <w:rFonts w:asciiTheme="minorHAnsi" w:hAnsiTheme="minorHAnsi" w:cstheme="minorHAnsi"/>
                <w:color w:val="000000"/>
                <w:sz w:val="18"/>
                <w:szCs w:val="18"/>
              </w:rPr>
              <w:t>364</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06322E9" w14:textId="67AB1479" w:rsidR="003D1C5E" w:rsidRPr="00DC72ED" w:rsidRDefault="003D1C5E"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w:t>
            </w:r>
            <w:r w:rsidR="00A45701" w:rsidRPr="00DC72ED">
              <w:rPr>
                <w:rFonts w:asciiTheme="minorHAnsi" w:hAnsiTheme="minorHAnsi" w:cstheme="minorHAnsi"/>
                <w:color w:val="000000"/>
                <w:sz w:val="18"/>
                <w:szCs w:val="18"/>
              </w:rPr>
              <w:t>.</w:t>
            </w:r>
            <w:r w:rsidR="009C4D31" w:rsidRPr="00DC72ED">
              <w:rPr>
                <w:rFonts w:asciiTheme="minorHAnsi" w:hAnsiTheme="minorHAnsi" w:cstheme="minorHAnsi"/>
                <w:color w:val="000000"/>
                <w:sz w:val="18"/>
                <w:szCs w:val="18"/>
              </w:rPr>
              <w:t>426</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63F32A3" w14:textId="1171A118" w:rsidR="003D1C5E" w:rsidRPr="00DC72ED" w:rsidRDefault="003D1C5E"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w:t>
            </w:r>
            <w:r w:rsidR="00A45701" w:rsidRPr="00DC72ED">
              <w:rPr>
                <w:rFonts w:asciiTheme="minorHAnsi" w:hAnsiTheme="minorHAnsi" w:cstheme="minorHAnsi"/>
                <w:color w:val="000000"/>
                <w:sz w:val="18"/>
                <w:szCs w:val="18"/>
              </w:rPr>
              <w:t>.</w:t>
            </w:r>
            <w:r w:rsidR="009C4D31" w:rsidRPr="00DC72ED">
              <w:rPr>
                <w:rFonts w:asciiTheme="minorHAnsi" w:hAnsiTheme="minorHAnsi" w:cstheme="minorHAnsi"/>
                <w:color w:val="000000"/>
                <w:sz w:val="18"/>
                <w:szCs w:val="18"/>
              </w:rPr>
              <w:t>488</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18689EE" w14:textId="4072579B" w:rsidR="003D1C5E" w:rsidRPr="00DC72ED" w:rsidRDefault="003D1C5E"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w:t>
            </w:r>
            <w:r w:rsidR="00A45701" w:rsidRPr="00DC72ED">
              <w:rPr>
                <w:rFonts w:asciiTheme="minorHAnsi" w:hAnsiTheme="minorHAnsi" w:cstheme="minorHAnsi"/>
                <w:color w:val="000000"/>
                <w:sz w:val="18"/>
                <w:szCs w:val="18"/>
              </w:rPr>
              <w:t>.</w:t>
            </w:r>
            <w:r w:rsidR="009C4D31" w:rsidRPr="00DC72ED">
              <w:rPr>
                <w:rFonts w:asciiTheme="minorHAnsi" w:hAnsiTheme="minorHAnsi" w:cstheme="minorHAnsi"/>
                <w:color w:val="000000"/>
                <w:sz w:val="18"/>
                <w:szCs w:val="18"/>
              </w:rPr>
              <w:t>550</w:t>
            </w:r>
          </w:p>
        </w:tc>
        <w:tc>
          <w:tcPr>
            <w:tcW w:w="68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1664CD3" w14:textId="150151ED" w:rsidR="003D1C5E" w:rsidRPr="00DC72ED" w:rsidRDefault="003D1C5E"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w:t>
            </w:r>
            <w:r w:rsidR="00A45701" w:rsidRPr="00DC72ED">
              <w:rPr>
                <w:rFonts w:asciiTheme="minorHAnsi" w:hAnsiTheme="minorHAnsi" w:cstheme="minorHAnsi"/>
                <w:color w:val="000000"/>
                <w:sz w:val="18"/>
                <w:szCs w:val="18"/>
              </w:rPr>
              <w:t>.</w:t>
            </w:r>
            <w:r w:rsidR="009C4D31" w:rsidRPr="00DC72ED">
              <w:rPr>
                <w:rFonts w:asciiTheme="minorHAnsi" w:hAnsiTheme="minorHAnsi" w:cstheme="minorHAnsi"/>
                <w:color w:val="000000"/>
                <w:sz w:val="18"/>
                <w:szCs w:val="18"/>
              </w:rPr>
              <w:t>619</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C9DFA91" w14:textId="1E6C5B3F" w:rsidR="003D1C5E" w:rsidRPr="00DC72ED" w:rsidRDefault="003D1C5E"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w:t>
            </w:r>
            <w:r w:rsidR="00A45701" w:rsidRPr="00DC72ED">
              <w:rPr>
                <w:rFonts w:asciiTheme="minorHAnsi" w:hAnsiTheme="minorHAnsi" w:cstheme="minorHAnsi"/>
                <w:color w:val="000000"/>
                <w:sz w:val="18"/>
                <w:szCs w:val="18"/>
              </w:rPr>
              <w:t>.</w:t>
            </w:r>
            <w:r w:rsidR="009C4D31" w:rsidRPr="00DC72ED">
              <w:rPr>
                <w:rFonts w:asciiTheme="minorHAnsi" w:hAnsiTheme="minorHAnsi" w:cstheme="minorHAnsi"/>
                <w:color w:val="000000"/>
                <w:sz w:val="18"/>
                <w:szCs w:val="18"/>
              </w:rPr>
              <w:t>687</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3A26432" w14:textId="7E40EE38" w:rsidR="003D1C5E" w:rsidRPr="00DC72ED" w:rsidRDefault="003D1C5E"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w:t>
            </w:r>
            <w:r w:rsidR="00A45701" w:rsidRPr="00DC72ED">
              <w:rPr>
                <w:rFonts w:asciiTheme="minorHAnsi" w:hAnsiTheme="minorHAnsi" w:cstheme="minorHAnsi"/>
                <w:color w:val="000000"/>
                <w:sz w:val="18"/>
                <w:szCs w:val="18"/>
              </w:rPr>
              <w:t>.</w:t>
            </w:r>
            <w:r w:rsidR="009C4D31" w:rsidRPr="00DC72ED">
              <w:rPr>
                <w:rFonts w:asciiTheme="minorHAnsi" w:hAnsiTheme="minorHAnsi" w:cstheme="minorHAnsi"/>
                <w:color w:val="000000"/>
                <w:sz w:val="18"/>
                <w:szCs w:val="18"/>
              </w:rPr>
              <w:t>756</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7EA8BA2" w14:textId="55F760EF" w:rsidR="003D1C5E" w:rsidRPr="00DC72ED" w:rsidRDefault="003D1C5E"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w:t>
            </w:r>
            <w:r w:rsidR="00A45701" w:rsidRPr="00DC72ED">
              <w:rPr>
                <w:rFonts w:asciiTheme="minorHAnsi" w:hAnsiTheme="minorHAnsi" w:cstheme="minorHAnsi"/>
                <w:color w:val="000000"/>
                <w:sz w:val="18"/>
                <w:szCs w:val="18"/>
              </w:rPr>
              <w:t>.</w:t>
            </w:r>
            <w:r w:rsidR="009C4D31" w:rsidRPr="00DC72ED">
              <w:rPr>
                <w:rFonts w:asciiTheme="minorHAnsi" w:hAnsiTheme="minorHAnsi" w:cstheme="minorHAnsi"/>
                <w:color w:val="000000"/>
                <w:sz w:val="18"/>
                <w:szCs w:val="18"/>
              </w:rPr>
              <w:t>825</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BFBABE7" w14:textId="1E4EB696" w:rsidR="003D1C5E" w:rsidRPr="00DC72ED" w:rsidRDefault="003D1C5E" w:rsidP="003D1C5E">
            <w:pPr>
              <w:spacing w:after="0"/>
              <w:jc w:val="right"/>
              <w:rPr>
                <w:rFonts w:asciiTheme="minorHAnsi" w:eastAsia="Times New Roman" w:hAnsiTheme="minorHAnsi" w:cstheme="minorHAnsi"/>
                <w:b/>
                <w:bCs/>
                <w:color w:val="000000"/>
                <w:sz w:val="18"/>
                <w:szCs w:val="18"/>
              </w:rPr>
            </w:pPr>
            <w:r w:rsidRPr="00DC72ED">
              <w:rPr>
                <w:rFonts w:asciiTheme="minorHAnsi" w:hAnsiTheme="minorHAnsi" w:cstheme="minorHAnsi"/>
                <w:b/>
                <w:color w:val="000000"/>
                <w:sz w:val="18"/>
                <w:szCs w:val="18"/>
              </w:rPr>
              <w:t>2</w:t>
            </w:r>
            <w:r w:rsidR="00A45701" w:rsidRPr="00DC72ED">
              <w:rPr>
                <w:rFonts w:asciiTheme="minorHAnsi" w:hAnsiTheme="minorHAnsi" w:cstheme="minorHAnsi"/>
                <w:b/>
                <w:color w:val="000000"/>
                <w:sz w:val="18"/>
                <w:szCs w:val="18"/>
              </w:rPr>
              <w:t>.</w:t>
            </w:r>
            <w:r w:rsidR="009C4D31" w:rsidRPr="00DC72ED">
              <w:rPr>
                <w:rFonts w:asciiTheme="minorHAnsi" w:hAnsiTheme="minorHAnsi" w:cstheme="minorHAnsi"/>
                <w:b/>
                <w:bCs/>
                <w:color w:val="000000"/>
                <w:sz w:val="18"/>
                <w:szCs w:val="18"/>
              </w:rPr>
              <w:t>921</w:t>
            </w:r>
          </w:p>
        </w:tc>
      </w:tr>
      <w:tr w:rsidR="004755CE" w:rsidRPr="00E46FC8" w14:paraId="7996AD8A" w14:textId="77777777" w:rsidTr="63259912">
        <w:trPr>
          <w:trHeight w:val="288"/>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242F0807" w14:textId="77777777" w:rsidR="003D1C5E" w:rsidRPr="00E46FC8" w:rsidRDefault="003D1C5E" w:rsidP="003D1C5E">
            <w:pPr>
              <w:spacing w:after="0"/>
              <w:jc w:val="lef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Energija Sunca</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B53B31C" w14:textId="61E659DC" w:rsidR="003D1C5E" w:rsidRPr="00DC72ED" w:rsidRDefault="003D1C5E" w:rsidP="003D1C5E">
            <w:pPr>
              <w:spacing w:after="0"/>
              <w:jc w:val="right"/>
              <w:rPr>
                <w:rFonts w:asciiTheme="minorHAnsi" w:eastAsia="Times New Roman" w:hAnsiTheme="minorHAnsi" w:cstheme="minorHAnsi"/>
                <w:b/>
                <w:bCs/>
                <w:color w:val="000000"/>
                <w:sz w:val="18"/>
                <w:szCs w:val="18"/>
              </w:rPr>
            </w:pPr>
            <w:r w:rsidRPr="00DC72ED">
              <w:rPr>
                <w:rFonts w:asciiTheme="minorHAnsi" w:hAnsiTheme="minorHAnsi" w:cstheme="minorHAnsi"/>
                <w:b/>
                <w:color w:val="000000"/>
                <w:sz w:val="18"/>
                <w:szCs w:val="18"/>
              </w:rPr>
              <w:t>17</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50B065A" w14:textId="1DC1A8DE" w:rsidR="003D1C5E" w:rsidRPr="00DC72ED" w:rsidRDefault="009C4D31"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19</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2FF619E" w14:textId="7B9B3DF1" w:rsidR="003D1C5E" w:rsidRPr="00DC72ED" w:rsidRDefault="003D1C5E"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20</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A50C9B4" w14:textId="6F80AB35" w:rsidR="003D1C5E" w:rsidRPr="00DC72ED" w:rsidRDefault="009C4D31"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22</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8570065" w14:textId="2D4C4440" w:rsidR="003D1C5E" w:rsidRPr="00DC72ED" w:rsidRDefault="003D1C5E"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23</w:t>
            </w:r>
          </w:p>
        </w:tc>
        <w:tc>
          <w:tcPr>
            <w:tcW w:w="68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CB6DBDD" w14:textId="5E108332" w:rsidR="003D1C5E" w:rsidRPr="00DC72ED" w:rsidRDefault="009C4D31"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25</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E1D7776" w14:textId="412014A9" w:rsidR="003D1C5E" w:rsidRPr="00DC72ED" w:rsidRDefault="003D1C5E"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26</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B7CE354" w14:textId="61E8E1B2" w:rsidR="003D1C5E" w:rsidRPr="00DC72ED" w:rsidRDefault="009C4D31" w:rsidP="003D1C5E">
            <w:pPr>
              <w:spacing w:after="0"/>
              <w:jc w:val="right"/>
              <w:rPr>
                <w:rFonts w:asciiTheme="minorHAnsi" w:eastAsia="Times New Roman" w:hAnsiTheme="minorHAnsi" w:cstheme="minorHAnsi"/>
                <w:color w:val="000000"/>
                <w:sz w:val="18"/>
                <w:szCs w:val="18"/>
              </w:rPr>
            </w:pPr>
            <w:r w:rsidRPr="00DC72ED">
              <w:rPr>
                <w:rFonts w:asciiTheme="minorHAnsi" w:hAnsiTheme="minorHAnsi" w:cstheme="minorHAnsi"/>
                <w:color w:val="000000"/>
                <w:sz w:val="18"/>
                <w:szCs w:val="18"/>
              </w:rPr>
              <w:t>28</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129D1D9" w14:textId="07A82BC0"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29</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C6464D8" w14:textId="5EC5F32F" w:rsidR="003D1C5E" w:rsidRPr="00DC72ED" w:rsidRDefault="003D1C5E" w:rsidP="003D1C5E">
            <w:pPr>
              <w:spacing w:after="0"/>
              <w:jc w:val="right"/>
              <w:rPr>
                <w:rFonts w:asciiTheme="minorHAnsi" w:eastAsia="Times New Roman" w:hAnsiTheme="minorHAnsi" w:cstheme="minorHAnsi"/>
                <w:b/>
                <w:bCs/>
                <w:color w:val="000000"/>
                <w:sz w:val="18"/>
                <w:szCs w:val="18"/>
              </w:rPr>
            </w:pPr>
            <w:r w:rsidRPr="00DC72ED">
              <w:rPr>
                <w:rFonts w:asciiTheme="minorHAnsi" w:hAnsiTheme="minorHAnsi" w:cstheme="minorHAnsi"/>
                <w:b/>
                <w:color w:val="000000"/>
                <w:sz w:val="18"/>
                <w:szCs w:val="18"/>
              </w:rPr>
              <w:t>31</w:t>
            </w:r>
          </w:p>
        </w:tc>
      </w:tr>
      <w:tr w:rsidR="004755CE" w:rsidRPr="00E46FC8" w14:paraId="4C25A1B5" w14:textId="77777777" w:rsidTr="63259912">
        <w:trPr>
          <w:trHeight w:val="288"/>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0A33CE22" w14:textId="77777777" w:rsidR="003D1C5E" w:rsidRPr="00E46FC8" w:rsidRDefault="003D1C5E" w:rsidP="003D1C5E">
            <w:pPr>
              <w:spacing w:after="0"/>
              <w:jc w:val="lef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Kruta biomasa</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077A3DB" w14:textId="5D137540" w:rsidR="003D1C5E" w:rsidRPr="00DC72ED" w:rsidRDefault="003D1C5E" w:rsidP="003D1C5E">
            <w:pPr>
              <w:spacing w:after="0"/>
              <w:jc w:val="right"/>
              <w:rPr>
                <w:rFonts w:asciiTheme="minorHAnsi" w:eastAsia="Times New Roman" w:hAnsiTheme="minorHAnsi" w:cstheme="minorHAnsi"/>
                <w:b/>
                <w:bCs/>
                <w:color w:val="000000"/>
                <w:sz w:val="18"/>
                <w:szCs w:val="18"/>
              </w:rPr>
            </w:pPr>
            <w:r w:rsidRPr="00F200F4">
              <w:rPr>
                <w:rFonts w:asciiTheme="minorHAnsi" w:hAnsiTheme="minorHAnsi" w:cstheme="minorHAnsi"/>
                <w:b/>
                <w:color w:val="000000"/>
                <w:sz w:val="18"/>
                <w:szCs w:val="18"/>
              </w:rPr>
              <w:t>1</w:t>
            </w:r>
            <w:r w:rsidR="00A45701" w:rsidRPr="00F200F4">
              <w:rPr>
                <w:rFonts w:asciiTheme="minorHAnsi" w:hAnsiTheme="minorHAnsi" w:cstheme="minorHAnsi"/>
                <w:b/>
                <w:color w:val="000000"/>
                <w:sz w:val="18"/>
                <w:szCs w:val="18"/>
              </w:rPr>
              <w:t>.</w:t>
            </w:r>
            <w:r w:rsidRPr="00F200F4">
              <w:rPr>
                <w:rFonts w:asciiTheme="minorHAnsi" w:hAnsiTheme="minorHAnsi" w:cstheme="minorHAnsi"/>
                <w:b/>
                <w:color w:val="000000"/>
                <w:sz w:val="18"/>
                <w:szCs w:val="18"/>
              </w:rPr>
              <w:t>154</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8D5B033" w14:textId="3841E60D"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1</w:t>
            </w:r>
            <w:r w:rsidR="00A45701" w:rsidRPr="00F200F4">
              <w:rPr>
                <w:rFonts w:asciiTheme="minorHAnsi" w:hAnsiTheme="minorHAnsi" w:cstheme="minorHAnsi"/>
                <w:color w:val="000000"/>
                <w:sz w:val="18"/>
                <w:szCs w:val="18"/>
              </w:rPr>
              <w:t>.</w:t>
            </w:r>
            <w:r w:rsidRPr="00F200F4">
              <w:rPr>
                <w:rFonts w:asciiTheme="minorHAnsi" w:hAnsiTheme="minorHAnsi" w:cstheme="minorHAnsi"/>
                <w:color w:val="000000"/>
                <w:sz w:val="18"/>
                <w:szCs w:val="18"/>
              </w:rPr>
              <w:t>096</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8D54B61" w14:textId="1BB54AEC"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w:t>
            </w:r>
            <w:r w:rsidR="00A45701" w:rsidRPr="009A0F4B">
              <w:rPr>
                <w:rFonts w:asciiTheme="minorHAnsi" w:hAnsiTheme="minorHAnsi" w:cstheme="minorHAnsi"/>
                <w:color w:val="000000"/>
                <w:sz w:val="18"/>
                <w:szCs w:val="18"/>
              </w:rPr>
              <w:t>.</w:t>
            </w:r>
            <w:r w:rsidR="009C4D31" w:rsidRPr="009A0F4B">
              <w:rPr>
                <w:rFonts w:asciiTheme="minorHAnsi" w:hAnsiTheme="minorHAnsi" w:cstheme="minorHAnsi"/>
                <w:color w:val="000000"/>
                <w:sz w:val="18"/>
                <w:szCs w:val="18"/>
              </w:rPr>
              <w:t>038</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9B985B7" w14:textId="6F2697F9"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980</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D4BABE3" w14:textId="5EE411D9"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921</w:t>
            </w:r>
          </w:p>
        </w:tc>
        <w:tc>
          <w:tcPr>
            <w:tcW w:w="68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B0E0300" w14:textId="4A67524C"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863</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395E12E" w14:textId="6ECB7F9E"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805</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7EC74CE" w14:textId="610B1F98"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746</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549ED88" w14:textId="495F86CD"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688</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02A6D6D" w14:textId="0FBD6C43" w:rsidR="003D1C5E" w:rsidRPr="00DC72ED" w:rsidRDefault="009C4D31" w:rsidP="003D1C5E">
            <w:pPr>
              <w:spacing w:after="0"/>
              <w:jc w:val="right"/>
              <w:rPr>
                <w:rFonts w:asciiTheme="minorHAnsi" w:eastAsia="Times New Roman" w:hAnsiTheme="minorHAnsi" w:cstheme="minorHAnsi"/>
                <w:b/>
                <w:bCs/>
                <w:color w:val="000000"/>
                <w:sz w:val="18"/>
                <w:szCs w:val="18"/>
              </w:rPr>
            </w:pPr>
            <w:r w:rsidRPr="009A0F4B">
              <w:rPr>
                <w:rFonts w:asciiTheme="minorHAnsi" w:hAnsiTheme="minorHAnsi" w:cstheme="minorHAnsi"/>
                <w:b/>
                <w:bCs/>
                <w:color w:val="000000"/>
                <w:sz w:val="18"/>
                <w:szCs w:val="18"/>
              </w:rPr>
              <w:t>630</w:t>
            </w:r>
          </w:p>
        </w:tc>
      </w:tr>
      <w:tr w:rsidR="004755CE" w:rsidRPr="00E46FC8" w14:paraId="73965BE4" w14:textId="77777777" w:rsidTr="63259912">
        <w:trPr>
          <w:trHeight w:val="288"/>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19AF309B" w14:textId="77777777" w:rsidR="003D1C5E" w:rsidRPr="00E46FC8" w:rsidRDefault="003D1C5E" w:rsidP="003D1C5E">
            <w:pPr>
              <w:spacing w:after="0"/>
              <w:jc w:val="lef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Plinovita biogoriva</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0E85CF5" w14:textId="1E5C7149" w:rsidR="003D1C5E" w:rsidRPr="00DC72ED" w:rsidRDefault="003D1C5E" w:rsidP="003D1C5E">
            <w:pPr>
              <w:spacing w:after="0"/>
              <w:jc w:val="right"/>
              <w:rPr>
                <w:rFonts w:asciiTheme="minorHAnsi" w:eastAsia="Times New Roman" w:hAnsiTheme="minorHAnsi" w:cstheme="minorHAnsi"/>
                <w:b/>
                <w:bCs/>
                <w:color w:val="000000"/>
                <w:sz w:val="18"/>
                <w:szCs w:val="18"/>
              </w:rPr>
            </w:pPr>
            <w:r w:rsidRPr="009A0F4B">
              <w:rPr>
                <w:rFonts w:asciiTheme="minorHAnsi" w:hAnsiTheme="minorHAnsi" w:cstheme="minorHAnsi"/>
                <w:b/>
                <w:color w:val="000000"/>
                <w:sz w:val="18"/>
                <w:szCs w:val="18"/>
              </w:rPr>
              <w:t>0</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D431B1E" w14:textId="5BEB6210"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2</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27407F8" w14:textId="4724CB75"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3</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862862B" w14:textId="718C08FC"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5</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6C1E7A0" w14:textId="03FF922D"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6</w:t>
            </w:r>
          </w:p>
        </w:tc>
        <w:tc>
          <w:tcPr>
            <w:tcW w:w="68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7DFD452" w14:textId="155EF4DA"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8</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0E1168C" w14:textId="25F0BF05"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9</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62ABAA5" w14:textId="769FC6B5"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10</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0473836" w14:textId="3F080CE0"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12</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7445B97" w14:textId="3D9A61D7" w:rsidR="003D1C5E" w:rsidRPr="00DC72ED" w:rsidRDefault="003D1C5E" w:rsidP="003D1C5E">
            <w:pPr>
              <w:spacing w:after="0"/>
              <w:jc w:val="right"/>
              <w:rPr>
                <w:rFonts w:asciiTheme="minorHAnsi" w:eastAsia="Times New Roman" w:hAnsiTheme="minorHAnsi" w:cstheme="minorHAnsi"/>
                <w:b/>
                <w:bCs/>
                <w:color w:val="000000"/>
                <w:sz w:val="18"/>
                <w:szCs w:val="18"/>
              </w:rPr>
            </w:pPr>
            <w:r w:rsidRPr="009A0F4B">
              <w:rPr>
                <w:rFonts w:asciiTheme="minorHAnsi" w:hAnsiTheme="minorHAnsi" w:cstheme="minorHAnsi"/>
                <w:b/>
                <w:color w:val="000000"/>
                <w:sz w:val="18"/>
                <w:szCs w:val="18"/>
              </w:rPr>
              <w:t>13</w:t>
            </w:r>
          </w:p>
        </w:tc>
      </w:tr>
      <w:tr w:rsidR="004755CE" w:rsidRPr="00E46FC8" w14:paraId="52003FBB" w14:textId="77777777" w:rsidTr="63259912">
        <w:trPr>
          <w:trHeight w:val="288"/>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6A88B446" w14:textId="77777777" w:rsidR="003D1C5E" w:rsidRPr="00E46FC8" w:rsidRDefault="003D1C5E" w:rsidP="003D1C5E">
            <w:pPr>
              <w:spacing w:after="0"/>
              <w:jc w:val="lef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Tekuća biogoriva</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978E3F5" w14:textId="5F402A3C" w:rsidR="003D1C5E" w:rsidRPr="00DC72ED" w:rsidRDefault="009C4D31" w:rsidP="003D1C5E">
            <w:pPr>
              <w:spacing w:after="0"/>
              <w:jc w:val="right"/>
              <w:rPr>
                <w:rFonts w:asciiTheme="minorHAnsi" w:eastAsia="Times New Roman" w:hAnsiTheme="minorHAnsi" w:cstheme="minorHAnsi"/>
                <w:b/>
                <w:bCs/>
                <w:color w:val="000000"/>
                <w:sz w:val="18"/>
                <w:szCs w:val="18"/>
              </w:rPr>
            </w:pPr>
            <w:r w:rsidRPr="009A0F4B">
              <w:rPr>
                <w:rFonts w:asciiTheme="minorHAnsi" w:hAnsiTheme="minorHAnsi" w:cstheme="minorHAnsi"/>
                <w:b/>
                <w:bCs/>
                <w:color w:val="000000"/>
                <w:sz w:val="18"/>
                <w:szCs w:val="18"/>
              </w:rPr>
              <w:t>91</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DCDF184" w14:textId="30F39646"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102</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0B721AD" w14:textId="14F6D238"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112</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C93EA0D" w14:textId="73983E7B"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123</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186C679" w14:textId="06964452"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134</w:t>
            </w:r>
          </w:p>
        </w:tc>
        <w:tc>
          <w:tcPr>
            <w:tcW w:w="68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A78C9F3" w14:textId="026C5DEC"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144</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6E85FC0" w14:textId="65DB1D4D"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155</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BADEE97" w14:textId="7700C19F"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165</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AA6E647" w14:textId="6ACE12ED"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176</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FDD204F" w14:textId="18A09D2D" w:rsidR="003D1C5E" w:rsidRPr="00DC72ED" w:rsidRDefault="009C4D31" w:rsidP="003D1C5E">
            <w:pPr>
              <w:spacing w:after="0"/>
              <w:jc w:val="right"/>
              <w:rPr>
                <w:rFonts w:asciiTheme="minorHAnsi" w:eastAsia="Times New Roman" w:hAnsiTheme="minorHAnsi" w:cstheme="minorHAnsi"/>
                <w:b/>
                <w:bCs/>
                <w:color w:val="000000"/>
                <w:sz w:val="18"/>
                <w:szCs w:val="18"/>
              </w:rPr>
            </w:pPr>
            <w:r w:rsidRPr="009A0F4B">
              <w:rPr>
                <w:rFonts w:asciiTheme="minorHAnsi" w:hAnsiTheme="minorHAnsi" w:cstheme="minorHAnsi"/>
                <w:b/>
                <w:bCs/>
                <w:color w:val="000000"/>
                <w:sz w:val="18"/>
                <w:szCs w:val="18"/>
              </w:rPr>
              <w:t>187</w:t>
            </w:r>
          </w:p>
        </w:tc>
      </w:tr>
      <w:tr w:rsidR="004755CE" w:rsidRPr="00E46FC8" w14:paraId="6D847211" w14:textId="77777777" w:rsidTr="63259912">
        <w:trPr>
          <w:trHeight w:val="288"/>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17C452D7" w14:textId="77777777" w:rsidR="003D1C5E" w:rsidRPr="00E46FC8" w:rsidRDefault="003D1C5E" w:rsidP="003D1C5E">
            <w:pPr>
              <w:spacing w:after="0"/>
              <w:jc w:val="lef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Geotermalna energija</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1AAC77D" w14:textId="628DB0BC" w:rsidR="003D1C5E" w:rsidRPr="00DC72ED" w:rsidRDefault="003D1C5E" w:rsidP="003D1C5E">
            <w:pPr>
              <w:spacing w:after="0"/>
              <w:jc w:val="right"/>
              <w:rPr>
                <w:rFonts w:asciiTheme="minorHAnsi" w:eastAsia="Times New Roman" w:hAnsiTheme="minorHAnsi" w:cstheme="minorHAnsi"/>
                <w:b/>
                <w:bCs/>
                <w:color w:val="000000"/>
                <w:sz w:val="18"/>
                <w:szCs w:val="18"/>
              </w:rPr>
            </w:pPr>
            <w:r w:rsidRPr="009A0F4B">
              <w:rPr>
                <w:rFonts w:asciiTheme="minorHAnsi" w:hAnsiTheme="minorHAnsi" w:cstheme="minorHAnsi"/>
                <w:b/>
                <w:color w:val="000000"/>
                <w:sz w:val="18"/>
                <w:szCs w:val="18"/>
              </w:rPr>
              <w:t>5</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FB3E7E4" w14:textId="5E3A154C"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7</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3D3FBBB" w14:textId="14F029A0"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9</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66D0FF8" w14:textId="3DFCFB00"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12</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10A9189" w14:textId="09C7D6C5"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14</w:t>
            </w:r>
          </w:p>
        </w:tc>
        <w:tc>
          <w:tcPr>
            <w:tcW w:w="68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D7DF295" w14:textId="1D16C5D0"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16</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3D038B6" w14:textId="1DC348CF"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18</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61C7E40" w14:textId="3B161009"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20</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E2438D0" w14:textId="28AEDDB1" w:rsidR="003D1C5E" w:rsidRPr="00DC72ED" w:rsidRDefault="003D1C5E"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22</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EA45C0D" w14:textId="3A5A46B0" w:rsidR="003D1C5E" w:rsidRPr="00DC72ED" w:rsidRDefault="009C4D31" w:rsidP="003D1C5E">
            <w:pPr>
              <w:spacing w:after="0"/>
              <w:jc w:val="right"/>
              <w:rPr>
                <w:rFonts w:asciiTheme="minorHAnsi" w:eastAsia="Times New Roman" w:hAnsiTheme="minorHAnsi" w:cstheme="minorHAnsi"/>
                <w:b/>
                <w:bCs/>
                <w:color w:val="000000"/>
                <w:sz w:val="18"/>
                <w:szCs w:val="18"/>
              </w:rPr>
            </w:pPr>
            <w:r w:rsidRPr="009A0F4B">
              <w:rPr>
                <w:rFonts w:asciiTheme="minorHAnsi" w:hAnsiTheme="minorHAnsi" w:cstheme="minorHAnsi"/>
                <w:b/>
                <w:bCs/>
                <w:color w:val="000000"/>
                <w:sz w:val="18"/>
                <w:szCs w:val="18"/>
              </w:rPr>
              <w:t>25</w:t>
            </w:r>
          </w:p>
        </w:tc>
      </w:tr>
      <w:tr w:rsidR="004755CE" w:rsidRPr="00E46FC8" w14:paraId="006017E7" w14:textId="77777777" w:rsidTr="63259912">
        <w:trPr>
          <w:trHeight w:val="288"/>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6FBC7BB6" w14:textId="77777777" w:rsidR="003D1C5E" w:rsidRPr="00E46FC8" w:rsidRDefault="003D1C5E" w:rsidP="003D1C5E">
            <w:pPr>
              <w:spacing w:after="0"/>
              <w:jc w:val="lef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Toplina OIE</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CE2E2F7" w14:textId="796FA5FB" w:rsidR="003D1C5E" w:rsidRPr="00DC72ED" w:rsidRDefault="009C4D31" w:rsidP="003D1C5E">
            <w:pPr>
              <w:spacing w:after="0"/>
              <w:jc w:val="right"/>
              <w:rPr>
                <w:rFonts w:asciiTheme="minorHAnsi" w:eastAsia="Times New Roman" w:hAnsiTheme="minorHAnsi" w:cstheme="minorHAnsi"/>
                <w:b/>
                <w:bCs/>
                <w:color w:val="000000"/>
                <w:sz w:val="18"/>
                <w:szCs w:val="18"/>
              </w:rPr>
            </w:pPr>
            <w:r w:rsidRPr="009A0F4B">
              <w:rPr>
                <w:rFonts w:asciiTheme="minorHAnsi" w:hAnsiTheme="minorHAnsi" w:cstheme="minorHAnsi"/>
                <w:b/>
                <w:bCs/>
                <w:color w:val="000000"/>
                <w:sz w:val="18"/>
                <w:szCs w:val="18"/>
              </w:rPr>
              <w:t>109</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729DC4C" w14:textId="60E73678"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142</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BF51CC9" w14:textId="1C3950C8"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176</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55E284E" w14:textId="7B0CF4C9"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209</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83D17A5" w14:textId="1619FC87"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242</w:t>
            </w:r>
          </w:p>
        </w:tc>
        <w:tc>
          <w:tcPr>
            <w:tcW w:w="68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AC0F094" w14:textId="69311737"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276</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6DA3D3A" w14:textId="161B420B"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309</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D6B9D47" w14:textId="4CAE77F8"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343</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47DAA60" w14:textId="35C95B4E" w:rsidR="003D1C5E" w:rsidRPr="00DC72ED" w:rsidRDefault="009C4D31" w:rsidP="003D1C5E">
            <w:pPr>
              <w:spacing w:after="0"/>
              <w:jc w:val="right"/>
              <w:rPr>
                <w:rFonts w:asciiTheme="minorHAnsi" w:eastAsia="Times New Roman" w:hAnsiTheme="minorHAnsi" w:cstheme="minorHAnsi"/>
                <w:color w:val="000000"/>
                <w:sz w:val="18"/>
                <w:szCs w:val="18"/>
              </w:rPr>
            </w:pPr>
            <w:r w:rsidRPr="009A0F4B">
              <w:rPr>
                <w:rFonts w:asciiTheme="minorHAnsi" w:hAnsiTheme="minorHAnsi" w:cstheme="minorHAnsi"/>
                <w:color w:val="000000"/>
                <w:sz w:val="18"/>
                <w:szCs w:val="18"/>
              </w:rPr>
              <w:t>376</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3FDE8D7" w14:textId="5FEF22F3" w:rsidR="003D1C5E" w:rsidRPr="00DC72ED" w:rsidRDefault="009C4D31" w:rsidP="003D1C5E">
            <w:pPr>
              <w:spacing w:after="0"/>
              <w:jc w:val="right"/>
              <w:rPr>
                <w:rFonts w:asciiTheme="minorHAnsi" w:eastAsia="Times New Roman" w:hAnsiTheme="minorHAnsi" w:cstheme="minorHAnsi"/>
                <w:b/>
                <w:bCs/>
                <w:color w:val="000000"/>
                <w:sz w:val="18"/>
                <w:szCs w:val="18"/>
              </w:rPr>
            </w:pPr>
            <w:r w:rsidRPr="009A0F4B">
              <w:rPr>
                <w:rFonts w:asciiTheme="minorHAnsi" w:hAnsiTheme="minorHAnsi" w:cstheme="minorHAnsi"/>
                <w:b/>
                <w:bCs/>
                <w:color w:val="000000"/>
                <w:sz w:val="18"/>
                <w:szCs w:val="18"/>
              </w:rPr>
              <w:t>410</w:t>
            </w:r>
          </w:p>
        </w:tc>
      </w:tr>
      <w:tr w:rsidR="004755CE" w:rsidRPr="00E46FC8" w14:paraId="193B0C66" w14:textId="77777777" w:rsidTr="63259912">
        <w:trPr>
          <w:trHeight w:val="288"/>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5286DD7C" w14:textId="77777777" w:rsidR="003D1C5E" w:rsidRPr="00E46FC8" w:rsidRDefault="003D1C5E" w:rsidP="003D1C5E">
            <w:pPr>
              <w:spacing w:after="0"/>
              <w:jc w:val="lef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Električna OIE</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AEBB1F8" w14:textId="0A7764BA" w:rsidR="003D1C5E" w:rsidRPr="00DC72ED" w:rsidRDefault="003D1C5E" w:rsidP="003D1C5E">
            <w:pPr>
              <w:spacing w:after="0"/>
              <w:jc w:val="right"/>
              <w:rPr>
                <w:rFonts w:asciiTheme="minorHAnsi" w:eastAsia="Times New Roman" w:hAnsiTheme="minorHAnsi" w:cstheme="minorHAnsi"/>
                <w:b/>
                <w:bCs/>
                <w:color w:val="000000"/>
                <w:sz w:val="18"/>
                <w:szCs w:val="18"/>
              </w:rPr>
            </w:pPr>
            <w:r w:rsidRPr="00F200F4">
              <w:rPr>
                <w:rFonts w:asciiTheme="minorHAnsi" w:hAnsiTheme="minorHAnsi" w:cstheme="minorHAnsi"/>
                <w:b/>
                <w:color w:val="000000"/>
                <w:sz w:val="18"/>
                <w:szCs w:val="18"/>
              </w:rPr>
              <w:t>925</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F173B5A" w14:textId="7820FE2A"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996</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94CD7BF" w14:textId="76CE0925"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1</w:t>
            </w:r>
            <w:r w:rsidR="00A45701" w:rsidRPr="00F200F4">
              <w:rPr>
                <w:rFonts w:asciiTheme="minorHAnsi" w:hAnsiTheme="minorHAnsi" w:cstheme="minorHAnsi"/>
                <w:color w:val="000000"/>
                <w:sz w:val="18"/>
                <w:szCs w:val="18"/>
              </w:rPr>
              <w:t>.</w:t>
            </w:r>
            <w:r w:rsidRPr="00F200F4">
              <w:rPr>
                <w:rFonts w:asciiTheme="minorHAnsi" w:hAnsiTheme="minorHAnsi" w:cstheme="minorHAnsi"/>
                <w:color w:val="000000"/>
                <w:sz w:val="18"/>
                <w:szCs w:val="18"/>
              </w:rPr>
              <w:t>067</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3FD6B04" w14:textId="6965F167"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1</w:t>
            </w:r>
            <w:r w:rsidR="00A45701" w:rsidRPr="00F200F4">
              <w:rPr>
                <w:rFonts w:asciiTheme="minorHAnsi" w:hAnsiTheme="minorHAnsi" w:cstheme="minorHAnsi"/>
                <w:color w:val="000000"/>
                <w:sz w:val="18"/>
                <w:szCs w:val="18"/>
              </w:rPr>
              <w:t>.</w:t>
            </w:r>
            <w:r w:rsidRPr="00F200F4">
              <w:rPr>
                <w:rFonts w:asciiTheme="minorHAnsi" w:hAnsiTheme="minorHAnsi" w:cstheme="minorHAnsi"/>
                <w:color w:val="000000"/>
                <w:sz w:val="18"/>
                <w:szCs w:val="18"/>
              </w:rPr>
              <w:t>138</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BFF4DE0" w14:textId="5847DD29"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1</w:t>
            </w:r>
            <w:r w:rsidR="00A45701" w:rsidRPr="00F200F4">
              <w:rPr>
                <w:rFonts w:asciiTheme="minorHAnsi" w:hAnsiTheme="minorHAnsi" w:cstheme="minorHAnsi"/>
                <w:color w:val="000000"/>
                <w:sz w:val="18"/>
                <w:szCs w:val="18"/>
              </w:rPr>
              <w:t>.</w:t>
            </w:r>
            <w:r w:rsidRPr="00F200F4">
              <w:rPr>
                <w:rFonts w:asciiTheme="minorHAnsi" w:hAnsiTheme="minorHAnsi" w:cstheme="minorHAnsi"/>
                <w:color w:val="000000"/>
                <w:sz w:val="18"/>
                <w:szCs w:val="18"/>
              </w:rPr>
              <w:t>209</w:t>
            </w:r>
          </w:p>
        </w:tc>
        <w:tc>
          <w:tcPr>
            <w:tcW w:w="68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C5B408D" w14:textId="63605F6A"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1</w:t>
            </w:r>
            <w:r w:rsidR="009F456E" w:rsidRPr="00F200F4">
              <w:rPr>
                <w:rFonts w:asciiTheme="minorHAnsi" w:hAnsiTheme="minorHAnsi" w:cstheme="minorHAnsi"/>
                <w:color w:val="000000"/>
                <w:sz w:val="18"/>
                <w:szCs w:val="18"/>
              </w:rPr>
              <w:t>.</w:t>
            </w:r>
            <w:r w:rsidRPr="00F200F4">
              <w:rPr>
                <w:rFonts w:asciiTheme="minorHAnsi" w:hAnsiTheme="minorHAnsi" w:cstheme="minorHAnsi"/>
                <w:color w:val="000000"/>
                <w:sz w:val="18"/>
                <w:szCs w:val="18"/>
              </w:rPr>
              <w:t>280</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3C82136" w14:textId="1597873C"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1</w:t>
            </w:r>
            <w:r w:rsidR="009F456E" w:rsidRPr="00F200F4">
              <w:rPr>
                <w:rFonts w:asciiTheme="minorHAnsi" w:hAnsiTheme="minorHAnsi" w:cstheme="minorHAnsi"/>
                <w:color w:val="000000"/>
                <w:sz w:val="18"/>
                <w:szCs w:val="18"/>
              </w:rPr>
              <w:t>.</w:t>
            </w:r>
            <w:r w:rsidR="009C4D31" w:rsidRPr="00F200F4">
              <w:rPr>
                <w:rFonts w:asciiTheme="minorHAnsi" w:hAnsiTheme="minorHAnsi" w:cstheme="minorHAnsi"/>
                <w:color w:val="000000"/>
                <w:sz w:val="18"/>
                <w:szCs w:val="18"/>
              </w:rPr>
              <w:t>352</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FAEF319" w14:textId="2EB42090"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1</w:t>
            </w:r>
            <w:r w:rsidR="009F456E" w:rsidRPr="00F200F4">
              <w:rPr>
                <w:rFonts w:asciiTheme="minorHAnsi" w:hAnsiTheme="minorHAnsi" w:cstheme="minorHAnsi"/>
                <w:color w:val="000000"/>
                <w:sz w:val="18"/>
                <w:szCs w:val="18"/>
              </w:rPr>
              <w:t>.</w:t>
            </w:r>
            <w:r w:rsidR="009C4D31" w:rsidRPr="00F200F4">
              <w:rPr>
                <w:rFonts w:asciiTheme="minorHAnsi" w:hAnsiTheme="minorHAnsi" w:cstheme="minorHAnsi"/>
                <w:color w:val="000000"/>
                <w:sz w:val="18"/>
                <w:szCs w:val="18"/>
              </w:rPr>
              <w:t>423</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5B10829" w14:textId="11308410"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1</w:t>
            </w:r>
            <w:r w:rsidR="009F456E" w:rsidRPr="00F200F4">
              <w:rPr>
                <w:rFonts w:asciiTheme="minorHAnsi" w:hAnsiTheme="minorHAnsi" w:cstheme="minorHAnsi"/>
                <w:color w:val="000000"/>
                <w:sz w:val="18"/>
                <w:szCs w:val="18"/>
              </w:rPr>
              <w:t>.</w:t>
            </w:r>
            <w:r w:rsidR="009C4D31" w:rsidRPr="00F200F4">
              <w:rPr>
                <w:rFonts w:asciiTheme="minorHAnsi" w:hAnsiTheme="minorHAnsi" w:cstheme="minorHAnsi"/>
                <w:color w:val="000000"/>
                <w:sz w:val="18"/>
                <w:szCs w:val="18"/>
              </w:rPr>
              <w:t>494</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392CCF6" w14:textId="3FCD1224" w:rsidR="003D1C5E" w:rsidRPr="00DC72ED" w:rsidRDefault="003D1C5E" w:rsidP="003D1C5E">
            <w:pPr>
              <w:spacing w:after="0"/>
              <w:jc w:val="right"/>
              <w:rPr>
                <w:rFonts w:asciiTheme="minorHAnsi" w:eastAsia="Times New Roman" w:hAnsiTheme="minorHAnsi" w:cstheme="minorHAnsi"/>
                <w:b/>
                <w:bCs/>
                <w:color w:val="000000"/>
                <w:sz w:val="18"/>
                <w:szCs w:val="18"/>
              </w:rPr>
            </w:pPr>
            <w:r w:rsidRPr="00F200F4">
              <w:rPr>
                <w:rFonts w:asciiTheme="minorHAnsi" w:hAnsiTheme="minorHAnsi" w:cstheme="minorHAnsi"/>
                <w:b/>
                <w:color w:val="000000"/>
                <w:sz w:val="18"/>
                <w:szCs w:val="18"/>
              </w:rPr>
              <w:t>1</w:t>
            </w:r>
            <w:r w:rsidR="009F456E" w:rsidRPr="00F200F4">
              <w:rPr>
                <w:rFonts w:asciiTheme="minorHAnsi" w:hAnsiTheme="minorHAnsi" w:cstheme="minorHAnsi"/>
                <w:b/>
                <w:color w:val="000000"/>
                <w:sz w:val="18"/>
                <w:szCs w:val="18"/>
              </w:rPr>
              <w:t>.</w:t>
            </w:r>
            <w:r w:rsidR="009C4D31" w:rsidRPr="00F200F4">
              <w:rPr>
                <w:rFonts w:asciiTheme="minorHAnsi" w:hAnsiTheme="minorHAnsi" w:cstheme="minorHAnsi"/>
                <w:b/>
                <w:bCs/>
                <w:color w:val="000000"/>
                <w:sz w:val="18"/>
                <w:szCs w:val="18"/>
              </w:rPr>
              <w:t>565</w:t>
            </w:r>
          </w:p>
        </w:tc>
      </w:tr>
      <w:tr w:rsidR="004755CE" w:rsidRPr="00E46FC8" w14:paraId="0A91EAD5" w14:textId="77777777" w:rsidTr="63259912">
        <w:trPr>
          <w:trHeight w:val="288"/>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4C2A3818" w14:textId="77777777" w:rsidR="003D1C5E" w:rsidRPr="00E46FC8" w:rsidRDefault="003D1C5E" w:rsidP="003D1C5E">
            <w:pPr>
              <w:spacing w:after="0"/>
              <w:jc w:val="lef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Vodik</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AB6D787" w14:textId="0F57F351" w:rsidR="003D1C5E" w:rsidRPr="00DC72ED" w:rsidRDefault="003D1C5E" w:rsidP="003D1C5E">
            <w:pPr>
              <w:spacing w:after="0"/>
              <w:jc w:val="right"/>
              <w:rPr>
                <w:rFonts w:asciiTheme="minorHAnsi" w:eastAsia="Times New Roman" w:hAnsiTheme="minorHAnsi" w:cstheme="minorHAnsi"/>
                <w:b/>
                <w:bCs/>
                <w:color w:val="000000"/>
                <w:sz w:val="18"/>
                <w:szCs w:val="18"/>
              </w:rPr>
            </w:pPr>
            <w:r w:rsidRPr="00F200F4">
              <w:rPr>
                <w:rFonts w:asciiTheme="minorHAnsi" w:hAnsiTheme="minorHAnsi" w:cstheme="minorHAnsi"/>
                <w:b/>
                <w:color w:val="000000"/>
                <w:sz w:val="18"/>
                <w:szCs w:val="18"/>
              </w:rPr>
              <w:t>0</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3770241" w14:textId="6D0BBA74"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0</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79E3189" w14:textId="03FA4883"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0</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ADF17E7" w14:textId="5ED7E0B6"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0</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BA4EF87" w14:textId="67F54C60" w:rsidR="003D1C5E" w:rsidRPr="00DC72ED" w:rsidRDefault="003D1C5E"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0</w:t>
            </w:r>
          </w:p>
        </w:tc>
        <w:tc>
          <w:tcPr>
            <w:tcW w:w="68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185FC8F" w14:textId="715DF474" w:rsidR="003D1C5E" w:rsidRPr="00DC72ED" w:rsidRDefault="009C4D31"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7</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C36F714" w14:textId="603F9641" w:rsidR="003D1C5E" w:rsidRPr="00DC72ED" w:rsidRDefault="009C4D31"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14</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3B1A125" w14:textId="3B7328C9" w:rsidR="003D1C5E" w:rsidRPr="00DC72ED" w:rsidRDefault="009C4D31"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20</w:t>
            </w:r>
          </w:p>
        </w:tc>
        <w:tc>
          <w:tcPr>
            <w:tcW w:w="67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07FCB0E" w14:textId="648980B9" w:rsidR="003D1C5E" w:rsidRPr="00DC72ED" w:rsidRDefault="009C4D31" w:rsidP="003D1C5E">
            <w:pPr>
              <w:spacing w:after="0"/>
              <w:jc w:val="right"/>
              <w:rPr>
                <w:rFonts w:asciiTheme="minorHAnsi" w:eastAsia="Times New Roman" w:hAnsiTheme="minorHAnsi" w:cstheme="minorHAnsi"/>
                <w:color w:val="000000"/>
                <w:sz w:val="18"/>
                <w:szCs w:val="18"/>
              </w:rPr>
            </w:pPr>
            <w:r w:rsidRPr="00F200F4">
              <w:rPr>
                <w:rFonts w:asciiTheme="minorHAnsi" w:hAnsiTheme="minorHAnsi" w:cstheme="minorHAnsi"/>
                <w:color w:val="000000"/>
                <w:sz w:val="18"/>
                <w:szCs w:val="18"/>
              </w:rPr>
              <w:t>27</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19D9DEB" w14:textId="77044C20" w:rsidR="003D1C5E" w:rsidRPr="00DC72ED" w:rsidRDefault="009C4D31" w:rsidP="003D1C5E">
            <w:pPr>
              <w:spacing w:after="0"/>
              <w:jc w:val="right"/>
              <w:rPr>
                <w:rFonts w:asciiTheme="minorHAnsi" w:eastAsia="Times New Roman" w:hAnsiTheme="minorHAnsi" w:cstheme="minorHAnsi"/>
                <w:b/>
                <w:bCs/>
                <w:color w:val="000000"/>
                <w:sz w:val="18"/>
                <w:szCs w:val="18"/>
              </w:rPr>
            </w:pPr>
            <w:r w:rsidRPr="00F200F4">
              <w:rPr>
                <w:rFonts w:asciiTheme="minorHAnsi" w:hAnsiTheme="minorHAnsi" w:cstheme="minorHAnsi"/>
                <w:b/>
                <w:bCs/>
                <w:color w:val="000000"/>
                <w:sz w:val="18"/>
                <w:szCs w:val="18"/>
              </w:rPr>
              <w:t>61</w:t>
            </w:r>
          </w:p>
        </w:tc>
      </w:tr>
    </w:tbl>
    <w:p w14:paraId="00655FCE" w14:textId="77777777" w:rsidR="00C879F8" w:rsidRPr="00C879F8" w:rsidRDefault="00C879F8" w:rsidP="00E46FC8"/>
    <w:p w14:paraId="3F5583B3" w14:textId="56E223EF" w:rsidR="009B53A7" w:rsidRDefault="00AB2A50" w:rsidP="004623DD">
      <w:pPr>
        <w:rPr>
          <w:noProof/>
        </w:rPr>
      </w:pPr>
      <w:r>
        <w:rPr>
          <w:noProof/>
        </w:rPr>
        <w:t>„</w:t>
      </w:r>
      <w:r w:rsidR="006802B0">
        <w:rPr>
          <w:noProof/>
        </w:rPr>
        <w:t>Toplina OIE</w:t>
      </w:r>
      <w:r>
        <w:rPr>
          <w:noProof/>
        </w:rPr>
        <w:t>“</w:t>
      </w:r>
      <w:r w:rsidR="006802B0">
        <w:rPr>
          <w:noProof/>
        </w:rPr>
        <w:t xml:space="preserve"> </w:t>
      </w:r>
      <w:r>
        <w:rPr>
          <w:noProof/>
        </w:rPr>
        <w:t xml:space="preserve">obuhvaća toplinu </w:t>
      </w:r>
      <w:r w:rsidR="002E7B6F">
        <w:rPr>
          <w:noProof/>
        </w:rPr>
        <w:t xml:space="preserve">proizvedenu iz obnovljivih izvora energije u javnim toplanama, kotlovnicama, industrijskim toplanama i dizalicama </w:t>
      </w:r>
      <w:r w:rsidR="0086665B">
        <w:rPr>
          <w:noProof/>
        </w:rPr>
        <w:t>topline.</w:t>
      </w:r>
    </w:p>
    <w:p w14:paraId="003473BB" w14:textId="1121022A" w:rsidR="00FE4839" w:rsidRDefault="00FE4839">
      <w:pPr>
        <w:spacing w:after="0"/>
        <w:jc w:val="left"/>
        <w:rPr>
          <w:highlight w:val="yellow"/>
        </w:rPr>
      </w:pPr>
    </w:p>
    <w:p w14:paraId="4EAA3614" w14:textId="721C0905" w:rsidR="009B53A7" w:rsidRDefault="009B53A7" w:rsidP="004623DD">
      <w:pPr>
        <w:pStyle w:val="Caption"/>
      </w:pPr>
      <w:bookmarkStart w:id="274" w:name="_Toc193035944"/>
      <w:r w:rsidRPr="00B47BDA">
        <w:t xml:space="preserve">Tablica </w:t>
      </w:r>
      <w:r>
        <w:fldChar w:fldCharType="begin"/>
      </w:r>
      <w:r>
        <w:instrText>STYLEREF 1 \s</w:instrText>
      </w:r>
      <w:r>
        <w:fldChar w:fldCharType="separate"/>
      </w:r>
      <w:r w:rsidR="00AD324D">
        <w:rPr>
          <w:noProof/>
        </w:rPr>
        <w:t>2</w:t>
      </w:r>
      <w:r>
        <w:fldChar w:fldCharType="end"/>
      </w:r>
      <w:r w:rsidR="00DE7F11" w:rsidRPr="00B47BDA">
        <w:noBreakHyphen/>
      </w:r>
      <w:r>
        <w:fldChar w:fldCharType="begin"/>
      </w:r>
      <w:r>
        <w:instrText>SEQ Tablica \* ARABIC \s 1</w:instrText>
      </w:r>
      <w:r>
        <w:fldChar w:fldCharType="separate"/>
      </w:r>
      <w:r w:rsidR="00AD324D">
        <w:rPr>
          <w:noProof/>
        </w:rPr>
        <w:t>3</w:t>
      </w:r>
      <w:r>
        <w:fldChar w:fldCharType="end"/>
      </w:r>
      <w:r w:rsidRPr="00B47BDA">
        <w:t>. Ocijenjeni doprinos tehnologija za OIE u električnoj energiji</w:t>
      </w:r>
      <w:bookmarkEnd w:id="274"/>
    </w:p>
    <w:tbl>
      <w:tblPr>
        <w:tblW w:w="9683" w:type="dxa"/>
        <w:tblLook w:val="04A0" w:firstRow="1" w:lastRow="0" w:firstColumn="1" w:lastColumn="0" w:noHBand="0" w:noVBand="1"/>
      </w:tblPr>
      <w:tblGrid>
        <w:gridCol w:w="3256"/>
        <w:gridCol w:w="567"/>
        <w:gridCol w:w="567"/>
        <w:gridCol w:w="661"/>
        <w:gridCol w:w="661"/>
        <w:gridCol w:w="662"/>
        <w:gridCol w:w="661"/>
        <w:gridCol w:w="661"/>
        <w:gridCol w:w="661"/>
        <w:gridCol w:w="661"/>
        <w:gridCol w:w="665"/>
      </w:tblGrid>
      <w:tr w:rsidR="001A1160" w:rsidRPr="000510CC" w14:paraId="7061EC1A" w14:textId="77777777" w:rsidTr="63259912">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63C92B61" w14:textId="77777777" w:rsidR="001A1160" w:rsidRPr="000510CC" w:rsidRDefault="001A1160" w:rsidP="63259912">
            <w:pPr>
              <w:spacing w:after="0"/>
              <w:jc w:val="left"/>
              <w:rPr>
                <w:rFonts w:asciiTheme="minorHAnsi" w:eastAsia="Times New Roman" w:hAnsiTheme="minorHAnsi" w:cstheme="minorBidi"/>
                <w:b/>
                <w:bCs/>
                <w:color w:val="000000"/>
                <w:sz w:val="18"/>
                <w:szCs w:val="18"/>
              </w:rPr>
            </w:pPr>
            <w:r w:rsidRPr="63259912">
              <w:rPr>
                <w:rFonts w:asciiTheme="minorHAnsi" w:eastAsia="Times New Roman" w:hAnsiTheme="minorHAnsi" w:cstheme="minorBidi"/>
                <w:b/>
                <w:bCs/>
                <w:color w:val="000000" w:themeColor="text1"/>
                <w:sz w:val="18"/>
                <w:szCs w:val="18"/>
              </w:rPr>
              <w:t>ktoe</w:t>
            </w:r>
          </w:p>
        </w:tc>
        <w:tc>
          <w:tcPr>
            <w:tcW w:w="567"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7920B72" w14:textId="673A0BF2" w:rsidR="001A1160" w:rsidRPr="000510CC" w:rsidRDefault="001A1160" w:rsidP="001A1160">
            <w:pPr>
              <w:spacing w:after="0"/>
              <w:jc w:val="righ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2021</w:t>
            </w:r>
            <w:r>
              <w:rPr>
                <w:rFonts w:asciiTheme="minorHAnsi" w:eastAsia="Times New Roman" w:hAnsiTheme="minorHAnsi" w:cstheme="minorHAnsi"/>
                <w:b/>
                <w:bCs/>
                <w:color w:val="000000"/>
                <w:sz w:val="18"/>
                <w:szCs w:val="18"/>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8CDDAC5" w14:textId="64CF8974" w:rsidR="001A1160" w:rsidRPr="000510CC"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2022</w:t>
            </w:r>
            <w:r>
              <w:rPr>
                <w:rFonts w:asciiTheme="minorHAnsi" w:eastAsia="Times New Roman" w:hAnsiTheme="minorHAnsi" w:cstheme="minorHAnsi"/>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C4EA6EA" w14:textId="08CAE611" w:rsidR="001A1160" w:rsidRPr="000510CC"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2023</w:t>
            </w:r>
            <w:r>
              <w:rPr>
                <w:rFonts w:asciiTheme="minorHAnsi" w:eastAsia="Times New Roman" w:hAnsiTheme="minorHAnsi" w:cstheme="minorHAnsi"/>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0660F7D" w14:textId="7E54A64A" w:rsidR="001A1160" w:rsidRPr="000510CC"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2024</w:t>
            </w:r>
            <w:r>
              <w:rPr>
                <w:rFonts w:asciiTheme="minorHAnsi" w:eastAsia="Times New Roman" w:hAnsiTheme="minorHAnsi" w:cstheme="minorHAnsi"/>
                <w:color w:val="000000"/>
                <w:sz w:val="18"/>
                <w:szCs w:val="18"/>
              </w:rPr>
              <w:t>.</w:t>
            </w:r>
          </w:p>
        </w:tc>
        <w:tc>
          <w:tcPr>
            <w:tcW w:w="662"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66CF5E5" w14:textId="0BBDF718" w:rsidR="001A1160" w:rsidRPr="000510CC"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2025</w:t>
            </w:r>
            <w:r>
              <w:rPr>
                <w:rFonts w:asciiTheme="minorHAnsi" w:eastAsia="Times New Roman" w:hAnsiTheme="minorHAnsi" w:cstheme="minorHAnsi"/>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D22109B" w14:textId="19FB0FA9" w:rsidR="001A1160" w:rsidRPr="000510CC"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2026</w:t>
            </w:r>
            <w:r>
              <w:rPr>
                <w:rFonts w:asciiTheme="minorHAnsi" w:eastAsia="Times New Roman" w:hAnsiTheme="minorHAnsi" w:cstheme="minorHAnsi"/>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EE3EFE9" w14:textId="0FB4FEEF" w:rsidR="001A1160" w:rsidRPr="000510CC"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2027</w:t>
            </w:r>
            <w:r>
              <w:rPr>
                <w:rFonts w:asciiTheme="minorHAnsi" w:eastAsia="Times New Roman" w:hAnsiTheme="minorHAnsi" w:cstheme="minorHAnsi"/>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977A32C" w14:textId="2850425C" w:rsidR="001A1160" w:rsidRPr="000510CC"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2028</w:t>
            </w:r>
            <w:r>
              <w:rPr>
                <w:rFonts w:asciiTheme="minorHAnsi" w:eastAsia="Times New Roman" w:hAnsiTheme="minorHAnsi" w:cstheme="minorHAnsi"/>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DBBAD8C" w14:textId="09CE71E4" w:rsidR="001A1160" w:rsidRPr="000510CC"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2029</w:t>
            </w:r>
            <w:r>
              <w:rPr>
                <w:rFonts w:asciiTheme="minorHAnsi" w:eastAsia="Times New Roman" w:hAnsiTheme="minorHAnsi" w:cstheme="minorHAnsi"/>
                <w:color w:val="000000"/>
                <w:sz w:val="18"/>
                <w:szCs w:val="18"/>
              </w:rPr>
              <w:t>.</w:t>
            </w:r>
          </w:p>
        </w:tc>
        <w:tc>
          <w:tcPr>
            <w:tcW w:w="665"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3FD902E" w14:textId="5D1AEF8C" w:rsidR="001A1160" w:rsidRPr="000510CC" w:rsidRDefault="001A1160" w:rsidP="001A1160">
            <w:pPr>
              <w:spacing w:after="0"/>
              <w:jc w:val="righ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2030</w:t>
            </w:r>
            <w:r>
              <w:rPr>
                <w:rFonts w:asciiTheme="minorHAnsi" w:eastAsia="Times New Roman" w:hAnsiTheme="minorHAnsi" w:cstheme="minorHAnsi"/>
                <w:b/>
                <w:bCs/>
                <w:color w:val="000000"/>
                <w:sz w:val="18"/>
                <w:szCs w:val="18"/>
              </w:rPr>
              <w:t>.</w:t>
            </w:r>
          </w:p>
        </w:tc>
      </w:tr>
      <w:tr w:rsidR="007127F2" w:rsidRPr="000510CC" w14:paraId="43E8A0C3" w14:textId="77777777" w:rsidTr="63259912">
        <w:trPr>
          <w:trHeight w:val="288"/>
        </w:trPr>
        <w:tc>
          <w:tcPr>
            <w:tcW w:w="3256"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306D1C7F" w14:textId="77777777" w:rsidR="007127F2" w:rsidRPr="000510CC" w:rsidRDefault="007127F2" w:rsidP="007127F2">
            <w:pPr>
              <w:spacing w:after="0"/>
              <w:jc w:val="lef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Bruto neposredna OIE električna energija</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4EB0835" w14:textId="77777777" w:rsidR="007127F2" w:rsidRPr="000510CC" w:rsidRDefault="007127F2" w:rsidP="007127F2">
            <w:pPr>
              <w:spacing w:after="0"/>
              <w:jc w:val="righ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925,1</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7A6B6F4" w14:textId="0C4DBE00"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968,4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1C57AC5" w14:textId="19F75F0F"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1.033,7</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003A005" w14:textId="358E9CE0"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w:t>
            </w:r>
            <w:r w:rsidRPr="00F200F4">
              <w:rPr>
                <w:rFonts w:asciiTheme="minorHAnsi" w:eastAsia="Times New Roman" w:hAnsiTheme="minorHAnsi" w:cstheme="minorHAnsi"/>
                <w:color w:val="000000"/>
                <w:sz w:val="18"/>
                <w:szCs w:val="18"/>
              </w:rPr>
              <w:t>112,8</w:t>
            </w:r>
          </w:p>
        </w:tc>
        <w:tc>
          <w:tcPr>
            <w:tcW w:w="662"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61ED275" w14:textId="63D96C8A"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w:t>
            </w:r>
            <w:r w:rsidRPr="00F200F4">
              <w:rPr>
                <w:rFonts w:asciiTheme="minorHAnsi" w:eastAsia="Times New Roman" w:hAnsiTheme="minorHAnsi" w:cstheme="minorHAnsi"/>
                <w:color w:val="000000"/>
                <w:sz w:val="18"/>
                <w:szCs w:val="18"/>
              </w:rPr>
              <w:t>191,9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77CA8E5" w14:textId="01C01FC3"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w:t>
            </w:r>
            <w:r w:rsidRPr="00F200F4">
              <w:rPr>
                <w:rFonts w:asciiTheme="minorHAnsi" w:eastAsia="Times New Roman" w:hAnsiTheme="minorHAnsi" w:cstheme="minorHAnsi"/>
                <w:color w:val="000000"/>
                <w:sz w:val="18"/>
                <w:szCs w:val="18"/>
              </w:rPr>
              <w:t>271,0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4684396" w14:textId="2E797933"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w:t>
            </w:r>
            <w:r w:rsidRPr="00F200F4">
              <w:rPr>
                <w:rFonts w:asciiTheme="minorHAnsi" w:eastAsia="Times New Roman" w:hAnsiTheme="minorHAnsi" w:cstheme="minorHAnsi"/>
                <w:color w:val="000000"/>
                <w:sz w:val="18"/>
                <w:szCs w:val="18"/>
              </w:rPr>
              <w:t>350,1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EF5CF00" w14:textId="66C8FE72"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w:t>
            </w:r>
            <w:r w:rsidRPr="00F200F4">
              <w:rPr>
                <w:rFonts w:asciiTheme="minorHAnsi" w:eastAsia="Times New Roman" w:hAnsiTheme="minorHAnsi" w:cstheme="minorHAnsi"/>
                <w:color w:val="000000"/>
                <w:sz w:val="18"/>
                <w:szCs w:val="18"/>
              </w:rPr>
              <w:t>429,2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712EFFF" w14:textId="567218AB"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w:t>
            </w:r>
            <w:r w:rsidRPr="00F200F4">
              <w:rPr>
                <w:rFonts w:asciiTheme="minorHAnsi" w:eastAsia="Times New Roman" w:hAnsiTheme="minorHAnsi" w:cstheme="minorHAnsi"/>
                <w:color w:val="000000"/>
                <w:sz w:val="18"/>
                <w:szCs w:val="18"/>
              </w:rPr>
              <w:t>508,3</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C8DB790" w14:textId="77777777" w:rsidR="007127F2" w:rsidRPr="000510CC" w:rsidRDefault="007127F2" w:rsidP="007127F2">
            <w:pPr>
              <w:spacing w:after="0"/>
              <w:jc w:val="righ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1.564,7</w:t>
            </w:r>
          </w:p>
        </w:tc>
      </w:tr>
      <w:tr w:rsidR="007127F2" w:rsidRPr="000510CC" w14:paraId="2CCB5BA5" w14:textId="77777777" w:rsidTr="63259912">
        <w:trPr>
          <w:trHeight w:val="288"/>
        </w:trPr>
        <w:tc>
          <w:tcPr>
            <w:tcW w:w="3256"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0F04D5BD" w14:textId="77777777" w:rsidR="007127F2" w:rsidRPr="000510CC" w:rsidRDefault="007127F2" w:rsidP="007127F2">
            <w:pPr>
              <w:spacing w:after="0"/>
              <w:jc w:val="lef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Hidroelektrane</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7886629" w14:textId="77777777" w:rsidR="007127F2" w:rsidRPr="000510CC" w:rsidRDefault="007127F2" w:rsidP="007127F2">
            <w:pPr>
              <w:spacing w:after="0"/>
              <w:jc w:val="righ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606,5</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6C41D11" w14:textId="3542C6F1"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605,8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C9BFDC7" w14:textId="18E2F6BA"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605,2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76384A6" w14:textId="2315E388"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604,5</w:t>
            </w:r>
          </w:p>
        </w:tc>
        <w:tc>
          <w:tcPr>
            <w:tcW w:w="662"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FE4A779" w14:textId="754C7C98"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603,9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1F9BEA0" w14:textId="574615C3"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603,2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512C8A8" w14:textId="27C53ED3"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602,6</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CA8A847" w14:textId="29C7527B"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601,9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D4C7E10" w14:textId="398B7AA4"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601,3</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A8D1696" w14:textId="77777777" w:rsidR="007127F2" w:rsidRPr="000510CC" w:rsidRDefault="007127F2" w:rsidP="007127F2">
            <w:pPr>
              <w:spacing w:after="0"/>
              <w:jc w:val="righ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600,6</w:t>
            </w:r>
          </w:p>
        </w:tc>
      </w:tr>
      <w:tr w:rsidR="007127F2" w:rsidRPr="000510CC" w14:paraId="06F2DD80" w14:textId="77777777" w:rsidTr="63259912">
        <w:trPr>
          <w:trHeight w:val="288"/>
        </w:trPr>
        <w:tc>
          <w:tcPr>
            <w:tcW w:w="3256"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607CC348" w14:textId="77777777" w:rsidR="007127F2" w:rsidRPr="000510CC" w:rsidRDefault="007127F2" w:rsidP="007127F2">
            <w:pPr>
              <w:spacing w:after="0"/>
              <w:jc w:val="lef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Vjetroelektrane</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D5C9DC3" w14:textId="77777777" w:rsidR="007127F2" w:rsidRPr="000510CC" w:rsidRDefault="007127F2" w:rsidP="007127F2">
            <w:pPr>
              <w:spacing w:after="0"/>
              <w:jc w:val="righ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177,3</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51D1E4D" w14:textId="3421D5EA"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212,0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9204F5B" w14:textId="6A200CA7"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246,6</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79138AA" w14:textId="08672A8C"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281,3</w:t>
            </w:r>
          </w:p>
        </w:tc>
        <w:tc>
          <w:tcPr>
            <w:tcW w:w="662"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937AD19" w14:textId="0F8AC0A6"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315,9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7F85BAB" w14:textId="71E353D7"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350,6</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DE182D0" w14:textId="5AB38CD0"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385,2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F6461A4" w14:textId="3B8365B8"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419,9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902C8FD" w14:textId="11799EA7"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454,5</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AE567DB" w14:textId="77777777" w:rsidR="007127F2" w:rsidRPr="000510CC" w:rsidRDefault="007127F2" w:rsidP="007127F2">
            <w:pPr>
              <w:spacing w:after="0"/>
              <w:jc w:val="righ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489,2</w:t>
            </w:r>
          </w:p>
        </w:tc>
      </w:tr>
      <w:tr w:rsidR="007127F2" w:rsidRPr="000510CC" w14:paraId="0A996A11" w14:textId="77777777" w:rsidTr="63259912">
        <w:trPr>
          <w:trHeight w:val="288"/>
        </w:trPr>
        <w:tc>
          <w:tcPr>
            <w:tcW w:w="3256"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02756450" w14:textId="77777777" w:rsidR="007127F2" w:rsidRPr="000510CC" w:rsidRDefault="007127F2" w:rsidP="007127F2">
            <w:pPr>
              <w:spacing w:after="0"/>
              <w:jc w:val="lef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Sunčane elektrane PV</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C960BCE" w14:textId="77777777" w:rsidR="007127F2" w:rsidRPr="000510CC" w:rsidRDefault="007127F2" w:rsidP="007127F2">
            <w:pPr>
              <w:spacing w:after="0"/>
              <w:jc w:val="righ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12,8</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34FC743" w14:textId="75CDD9E1"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13,1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69C35A0" w14:textId="4525B078"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35,5</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1C1FE43" w14:textId="7819B21D" w:rsidR="007127F2" w:rsidRPr="000510CC" w:rsidRDefault="007127F2" w:rsidP="007127F2">
            <w:pPr>
              <w:spacing w:after="0"/>
              <w:jc w:val="right"/>
              <w:rPr>
                <w:rFonts w:asciiTheme="minorHAnsi" w:eastAsia="Times New Roman" w:hAnsiTheme="minorHAnsi" w:cstheme="minorHAnsi"/>
                <w:color w:val="000000"/>
                <w:sz w:val="18"/>
                <w:szCs w:val="18"/>
              </w:rPr>
            </w:pPr>
            <w:r w:rsidRPr="00F200F4">
              <w:rPr>
                <w:rFonts w:asciiTheme="minorHAnsi" w:eastAsia="Times New Roman" w:hAnsiTheme="minorHAnsi" w:cstheme="minorHAnsi"/>
                <w:color w:val="000000"/>
                <w:sz w:val="18"/>
                <w:szCs w:val="18"/>
              </w:rPr>
              <w:t>71,6</w:t>
            </w:r>
          </w:p>
        </w:tc>
        <w:tc>
          <w:tcPr>
            <w:tcW w:w="662"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A442097" w14:textId="121D8C73" w:rsidR="007127F2" w:rsidRPr="000510CC" w:rsidRDefault="007127F2" w:rsidP="007127F2">
            <w:pPr>
              <w:spacing w:after="0"/>
              <w:jc w:val="right"/>
              <w:rPr>
                <w:rFonts w:asciiTheme="minorHAnsi" w:eastAsia="Times New Roman" w:hAnsiTheme="minorHAnsi" w:cstheme="minorHAnsi"/>
                <w:color w:val="000000"/>
                <w:sz w:val="18"/>
                <w:szCs w:val="18"/>
              </w:rPr>
            </w:pPr>
            <w:r w:rsidRPr="00F200F4">
              <w:rPr>
                <w:rFonts w:asciiTheme="minorHAnsi" w:eastAsia="Times New Roman" w:hAnsiTheme="minorHAnsi" w:cstheme="minorHAnsi"/>
                <w:color w:val="000000"/>
                <w:sz w:val="18"/>
                <w:szCs w:val="18"/>
              </w:rPr>
              <w:t>107,8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2A308F1" w14:textId="665DD2FF" w:rsidR="007127F2" w:rsidRPr="000510CC" w:rsidRDefault="007127F2" w:rsidP="007127F2">
            <w:pPr>
              <w:spacing w:after="0"/>
              <w:jc w:val="right"/>
              <w:rPr>
                <w:rFonts w:asciiTheme="minorHAnsi" w:eastAsia="Times New Roman" w:hAnsiTheme="minorHAnsi" w:cstheme="minorHAnsi"/>
                <w:color w:val="000000"/>
                <w:sz w:val="18"/>
                <w:szCs w:val="18"/>
              </w:rPr>
            </w:pPr>
            <w:r w:rsidRPr="00F200F4">
              <w:rPr>
                <w:rFonts w:asciiTheme="minorHAnsi" w:eastAsia="Times New Roman" w:hAnsiTheme="minorHAnsi" w:cstheme="minorHAnsi"/>
                <w:color w:val="000000"/>
                <w:sz w:val="18"/>
                <w:szCs w:val="18"/>
              </w:rPr>
              <w:t>143,9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39AAEFD" w14:textId="649A16A7" w:rsidR="007127F2" w:rsidRPr="000510CC" w:rsidRDefault="007127F2" w:rsidP="007127F2">
            <w:pPr>
              <w:spacing w:after="0"/>
              <w:jc w:val="right"/>
              <w:rPr>
                <w:rFonts w:asciiTheme="minorHAnsi" w:eastAsia="Times New Roman" w:hAnsiTheme="minorHAnsi" w:cstheme="minorHAnsi"/>
                <w:color w:val="000000"/>
                <w:sz w:val="18"/>
                <w:szCs w:val="18"/>
              </w:rPr>
            </w:pPr>
            <w:r w:rsidRPr="00F200F4">
              <w:rPr>
                <w:rFonts w:asciiTheme="minorHAnsi" w:eastAsia="Times New Roman" w:hAnsiTheme="minorHAnsi" w:cstheme="minorHAnsi"/>
                <w:color w:val="000000"/>
                <w:sz w:val="18"/>
                <w:szCs w:val="18"/>
              </w:rPr>
              <w:t>180,0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037E48C" w14:textId="41E00171" w:rsidR="007127F2" w:rsidRPr="000510CC" w:rsidRDefault="007127F2" w:rsidP="007127F2">
            <w:pPr>
              <w:spacing w:after="0"/>
              <w:jc w:val="right"/>
              <w:rPr>
                <w:rFonts w:asciiTheme="minorHAnsi" w:eastAsia="Times New Roman" w:hAnsiTheme="minorHAnsi" w:cstheme="minorHAnsi"/>
                <w:color w:val="000000"/>
                <w:sz w:val="18"/>
                <w:szCs w:val="18"/>
              </w:rPr>
            </w:pPr>
            <w:r w:rsidRPr="00F200F4">
              <w:rPr>
                <w:rFonts w:asciiTheme="minorHAnsi" w:eastAsia="Times New Roman" w:hAnsiTheme="minorHAnsi" w:cstheme="minorHAnsi"/>
                <w:color w:val="000000"/>
                <w:sz w:val="18"/>
                <w:szCs w:val="18"/>
              </w:rPr>
              <w:t>216,2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B479105" w14:textId="365A6F83" w:rsidR="007127F2" w:rsidRPr="000510CC" w:rsidRDefault="007127F2" w:rsidP="007127F2">
            <w:pPr>
              <w:spacing w:after="0"/>
              <w:jc w:val="right"/>
              <w:rPr>
                <w:rFonts w:asciiTheme="minorHAnsi" w:eastAsia="Times New Roman" w:hAnsiTheme="minorHAnsi" w:cstheme="minorHAnsi"/>
                <w:color w:val="000000"/>
                <w:sz w:val="18"/>
                <w:szCs w:val="18"/>
              </w:rPr>
            </w:pPr>
            <w:r w:rsidRPr="00F200F4">
              <w:rPr>
                <w:rFonts w:asciiTheme="minorHAnsi" w:eastAsia="Times New Roman" w:hAnsiTheme="minorHAnsi" w:cstheme="minorHAnsi"/>
                <w:color w:val="000000"/>
                <w:sz w:val="18"/>
                <w:szCs w:val="18"/>
              </w:rPr>
              <w:t>252,3</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3935591" w14:textId="77777777" w:rsidR="007127F2" w:rsidRPr="000510CC" w:rsidRDefault="007127F2" w:rsidP="007127F2">
            <w:pPr>
              <w:spacing w:after="0"/>
              <w:jc w:val="righ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265,7</w:t>
            </w:r>
          </w:p>
        </w:tc>
      </w:tr>
      <w:tr w:rsidR="007127F2" w:rsidRPr="000510CC" w14:paraId="4E2977D5" w14:textId="77777777" w:rsidTr="63259912">
        <w:trPr>
          <w:trHeight w:val="288"/>
        </w:trPr>
        <w:tc>
          <w:tcPr>
            <w:tcW w:w="3256"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47BB1EC3" w14:textId="77777777" w:rsidR="007127F2" w:rsidRPr="000510CC" w:rsidRDefault="007127F2" w:rsidP="007127F2">
            <w:pPr>
              <w:spacing w:after="0"/>
              <w:jc w:val="lef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Geotermalne elektrane</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0980903" w14:textId="77777777" w:rsidR="007127F2" w:rsidRPr="000510CC" w:rsidRDefault="007127F2" w:rsidP="007127F2">
            <w:pPr>
              <w:spacing w:after="0"/>
              <w:jc w:val="righ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7,7</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39EA0B1" w14:textId="0B81B3BB"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12,4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7876FA8" w14:textId="5A0FBCB0"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17,2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1D35334" w14:textId="64FDFE55"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21,9</w:t>
            </w:r>
          </w:p>
        </w:tc>
        <w:tc>
          <w:tcPr>
            <w:tcW w:w="662"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32BBD32" w14:textId="12C123F9"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26,7</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005EFB3" w14:textId="59908EBB"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31,4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EC952E9" w14:textId="0B05157B"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36,2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C7E86EB" w14:textId="25EFD8F3"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40,9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D0AA9C8" w14:textId="4CA1818F"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45,7</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D203146" w14:textId="77777777" w:rsidR="007127F2" w:rsidRPr="000510CC" w:rsidRDefault="007127F2" w:rsidP="007127F2">
            <w:pPr>
              <w:spacing w:after="0"/>
              <w:jc w:val="righ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50,4</w:t>
            </w:r>
          </w:p>
        </w:tc>
      </w:tr>
      <w:tr w:rsidR="007127F2" w:rsidRPr="000510CC" w14:paraId="3A040DE2" w14:textId="77777777" w:rsidTr="63259912">
        <w:trPr>
          <w:trHeight w:val="288"/>
        </w:trPr>
        <w:tc>
          <w:tcPr>
            <w:tcW w:w="3256"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5F058DA9" w14:textId="77777777" w:rsidR="007127F2" w:rsidRPr="000510CC" w:rsidRDefault="007127F2" w:rsidP="63259912">
            <w:pPr>
              <w:spacing w:after="0"/>
              <w:jc w:val="left"/>
              <w:rPr>
                <w:rFonts w:asciiTheme="minorHAnsi" w:eastAsia="Times New Roman" w:hAnsiTheme="minorHAnsi" w:cstheme="minorBidi"/>
                <w:b/>
                <w:bCs/>
                <w:color w:val="000000"/>
                <w:sz w:val="18"/>
                <w:szCs w:val="18"/>
              </w:rPr>
            </w:pPr>
            <w:r w:rsidRPr="63259912">
              <w:rPr>
                <w:rFonts w:asciiTheme="minorHAnsi" w:eastAsia="Times New Roman" w:hAnsiTheme="minorHAnsi" w:cstheme="minorBidi"/>
                <w:b/>
                <w:bCs/>
                <w:color w:val="000000" w:themeColor="text1"/>
                <w:sz w:val="18"/>
                <w:szCs w:val="18"/>
              </w:rPr>
              <w:t>Termo postr.-kruta i plinovita biomasa</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3188840" w14:textId="77777777" w:rsidR="007127F2" w:rsidRPr="000510CC" w:rsidRDefault="007127F2" w:rsidP="007127F2">
            <w:pPr>
              <w:spacing w:after="0"/>
              <w:jc w:val="righ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120,8</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F2FE2C2" w14:textId="318ABE32"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125,0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B1AE858" w14:textId="0C152548"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129,2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25056D5" w14:textId="232C4E44"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133,4</w:t>
            </w:r>
          </w:p>
        </w:tc>
        <w:tc>
          <w:tcPr>
            <w:tcW w:w="662"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F1FDB35" w14:textId="620E152B"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137,7</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4295213" w14:textId="5E6D1E89"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141,9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03E8A3A" w14:textId="7FDEB8F1"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146,1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A49BF7E" w14:textId="63F4289D"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150,3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A441851" w14:textId="75DD1D22" w:rsidR="007127F2" w:rsidRPr="000510CC" w:rsidRDefault="007127F2" w:rsidP="007127F2">
            <w:pPr>
              <w:spacing w:after="0"/>
              <w:jc w:val="right"/>
              <w:rPr>
                <w:rFonts w:asciiTheme="minorHAnsi" w:eastAsia="Times New Roman" w:hAnsiTheme="minorHAnsi" w:cstheme="minorHAnsi"/>
                <w:color w:val="000000"/>
                <w:sz w:val="18"/>
                <w:szCs w:val="18"/>
              </w:rPr>
            </w:pPr>
            <w:r w:rsidRPr="004B0C2C">
              <w:rPr>
                <w:rFonts w:asciiTheme="minorHAnsi" w:eastAsia="Times New Roman" w:hAnsiTheme="minorHAnsi" w:cstheme="minorHAnsi"/>
                <w:color w:val="000000"/>
                <w:sz w:val="18"/>
                <w:szCs w:val="18"/>
              </w:rPr>
              <w:t>154,5</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165C992" w14:textId="77777777" w:rsidR="007127F2" w:rsidRPr="000510CC" w:rsidRDefault="007127F2" w:rsidP="007127F2">
            <w:pPr>
              <w:spacing w:after="0"/>
              <w:jc w:val="right"/>
              <w:rPr>
                <w:rFonts w:asciiTheme="minorHAnsi" w:eastAsia="Times New Roman" w:hAnsiTheme="minorHAnsi" w:cstheme="minorHAnsi"/>
                <w:b/>
                <w:bCs/>
                <w:color w:val="000000"/>
                <w:sz w:val="18"/>
                <w:szCs w:val="18"/>
              </w:rPr>
            </w:pPr>
            <w:r w:rsidRPr="000510CC">
              <w:rPr>
                <w:rFonts w:asciiTheme="minorHAnsi" w:eastAsia="Times New Roman" w:hAnsiTheme="minorHAnsi" w:cstheme="minorHAnsi"/>
                <w:b/>
                <w:bCs/>
                <w:color w:val="000000"/>
                <w:sz w:val="18"/>
                <w:szCs w:val="18"/>
              </w:rPr>
              <w:t>158,7</w:t>
            </w:r>
          </w:p>
        </w:tc>
      </w:tr>
    </w:tbl>
    <w:p w14:paraId="52BCF7AB" w14:textId="7F4C7B0F" w:rsidR="003C5B72" w:rsidRPr="003C5B72" w:rsidRDefault="003C5B72" w:rsidP="00AF4708"/>
    <w:p w14:paraId="5DA659B3" w14:textId="66A4D7D7" w:rsidR="009B53A7" w:rsidRDefault="009B53A7" w:rsidP="00E85B3F">
      <w:pPr>
        <w:pStyle w:val="Caption"/>
      </w:pPr>
      <w:bookmarkStart w:id="275" w:name="_Toc193035945"/>
      <w:r w:rsidRPr="00B47BDA">
        <w:t xml:space="preserve">Tablica </w:t>
      </w:r>
      <w:r>
        <w:fldChar w:fldCharType="begin"/>
      </w:r>
      <w:r>
        <w:instrText>STYLEREF 1 \s</w:instrText>
      </w:r>
      <w:r>
        <w:fldChar w:fldCharType="separate"/>
      </w:r>
      <w:r w:rsidR="00AD324D">
        <w:rPr>
          <w:noProof/>
        </w:rPr>
        <w:t>2</w:t>
      </w:r>
      <w:r>
        <w:fldChar w:fldCharType="end"/>
      </w:r>
      <w:r w:rsidR="00DE7F11" w:rsidRPr="00B47BDA">
        <w:noBreakHyphen/>
      </w:r>
      <w:r>
        <w:fldChar w:fldCharType="begin"/>
      </w:r>
      <w:r>
        <w:instrText>SEQ Tablica \* ARABIC \s 1</w:instrText>
      </w:r>
      <w:r>
        <w:fldChar w:fldCharType="separate"/>
      </w:r>
      <w:r w:rsidR="00AD324D">
        <w:rPr>
          <w:noProof/>
        </w:rPr>
        <w:t>4</w:t>
      </w:r>
      <w:r>
        <w:fldChar w:fldCharType="end"/>
      </w:r>
      <w:r w:rsidRPr="00B47BDA">
        <w:t>. Ocijenjeni doprinos tehnologija za OIE u grijanju i hlađenju</w:t>
      </w:r>
      <w:bookmarkEnd w:id="275"/>
    </w:p>
    <w:tbl>
      <w:tblPr>
        <w:tblW w:w="9307" w:type="dxa"/>
        <w:tblLook w:val="04A0" w:firstRow="1" w:lastRow="0" w:firstColumn="1" w:lastColumn="0" w:noHBand="0" w:noVBand="1"/>
      </w:tblPr>
      <w:tblGrid>
        <w:gridCol w:w="3113"/>
        <w:gridCol w:w="665"/>
        <w:gridCol w:w="661"/>
        <w:gridCol w:w="661"/>
        <w:gridCol w:w="661"/>
        <w:gridCol w:w="661"/>
        <w:gridCol w:w="661"/>
        <w:gridCol w:w="661"/>
        <w:gridCol w:w="661"/>
        <w:gridCol w:w="661"/>
        <w:gridCol w:w="665"/>
      </w:tblGrid>
      <w:tr w:rsidR="001A1160" w:rsidRPr="008E0F13" w14:paraId="4F1B3F37" w14:textId="77777777" w:rsidTr="007C0B78">
        <w:trPr>
          <w:trHeight w:val="288"/>
        </w:trPr>
        <w:tc>
          <w:tcPr>
            <w:tcW w:w="311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1717E9E4" w14:textId="77777777" w:rsidR="001A1160" w:rsidRPr="008E0F13" w:rsidRDefault="001A1160" w:rsidP="63259912">
            <w:pPr>
              <w:spacing w:after="0"/>
              <w:jc w:val="left"/>
              <w:rPr>
                <w:rFonts w:asciiTheme="minorHAnsi" w:eastAsia="Times New Roman" w:hAnsiTheme="minorHAnsi" w:cstheme="minorBidi"/>
                <w:b/>
                <w:bCs/>
                <w:color w:val="000000"/>
                <w:sz w:val="18"/>
                <w:szCs w:val="18"/>
              </w:rPr>
            </w:pPr>
            <w:r w:rsidRPr="63259912">
              <w:rPr>
                <w:rFonts w:asciiTheme="minorHAnsi" w:eastAsia="Times New Roman" w:hAnsiTheme="minorHAnsi" w:cstheme="minorBidi"/>
                <w:b/>
                <w:bCs/>
                <w:color w:val="000000" w:themeColor="text1"/>
                <w:sz w:val="18"/>
                <w:szCs w:val="18"/>
              </w:rPr>
              <w:t>ktoe</w:t>
            </w:r>
          </w:p>
        </w:tc>
        <w:tc>
          <w:tcPr>
            <w:tcW w:w="24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B748122" w14:textId="58569468" w:rsidR="001A1160" w:rsidRPr="008E0F13" w:rsidRDefault="001A1160" w:rsidP="001A1160">
            <w:pPr>
              <w:spacing w:after="0"/>
              <w:jc w:val="righ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2021</w:t>
            </w:r>
            <w:r>
              <w:rPr>
                <w:rFonts w:asciiTheme="minorHAnsi" w:eastAsia="Times New Roman" w:hAnsiTheme="minorHAnsi" w:cstheme="minorHAnsi"/>
                <w:b/>
                <w:bCs/>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F8ABCC3" w14:textId="61509F80" w:rsidR="001A1160" w:rsidRPr="008E0F13"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2022</w:t>
            </w:r>
            <w:r>
              <w:rPr>
                <w:rFonts w:asciiTheme="minorHAnsi" w:eastAsia="Times New Roman" w:hAnsiTheme="minorHAnsi" w:cstheme="minorHAnsi"/>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8783C49" w14:textId="4706C9FB" w:rsidR="001A1160" w:rsidRPr="008E0F13"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2023</w:t>
            </w:r>
            <w:r>
              <w:rPr>
                <w:rFonts w:asciiTheme="minorHAnsi" w:eastAsia="Times New Roman" w:hAnsiTheme="minorHAnsi" w:cstheme="minorHAnsi"/>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7ADA63F" w14:textId="3A60A5D9" w:rsidR="001A1160" w:rsidRPr="008E0F13"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2024</w:t>
            </w:r>
            <w:r>
              <w:rPr>
                <w:rFonts w:asciiTheme="minorHAnsi" w:eastAsia="Times New Roman" w:hAnsiTheme="minorHAnsi" w:cstheme="minorHAnsi"/>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BCF7DAC" w14:textId="01AA06C3" w:rsidR="001A1160" w:rsidRPr="008E0F13"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2025</w:t>
            </w:r>
            <w:r>
              <w:rPr>
                <w:rFonts w:asciiTheme="minorHAnsi" w:eastAsia="Times New Roman" w:hAnsiTheme="minorHAnsi" w:cstheme="minorHAnsi"/>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21537ED" w14:textId="0336D0DC" w:rsidR="001A1160" w:rsidRPr="008E0F13"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2026</w:t>
            </w:r>
            <w:r>
              <w:rPr>
                <w:rFonts w:asciiTheme="minorHAnsi" w:eastAsia="Times New Roman" w:hAnsiTheme="minorHAnsi" w:cstheme="minorHAnsi"/>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30F7675" w14:textId="6E9A9624" w:rsidR="001A1160" w:rsidRPr="008E0F13"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2027</w:t>
            </w:r>
            <w:r>
              <w:rPr>
                <w:rFonts w:asciiTheme="minorHAnsi" w:eastAsia="Times New Roman" w:hAnsiTheme="minorHAnsi" w:cstheme="minorHAnsi"/>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3404DE7" w14:textId="0D4F796D" w:rsidR="001A1160" w:rsidRPr="008E0F13"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2028</w:t>
            </w:r>
            <w:r>
              <w:rPr>
                <w:rFonts w:asciiTheme="minorHAnsi" w:eastAsia="Times New Roman" w:hAnsiTheme="minorHAnsi" w:cstheme="minorHAnsi"/>
                <w:color w:val="000000"/>
                <w:sz w:val="18"/>
                <w:szCs w:val="18"/>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4F98A3C" w14:textId="2D5BF1AB" w:rsidR="001A1160" w:rsidRPr="008E0F13" w:rsidRDefault="001A1160" w:rsidP="001A1160">
            <w:pPr>
              <w:spacing w:after="0"/>
              <w:jc w:val="right"/>
              <w:rPr>
                <w:rFonts w:asciiTheme="minorHAnsi" w:eastAsia="Times New Roman" w:hAnsiTheme="minorHAnsi" w:cstheme="minorHAnsi"/>
                <w:color w:val="000000"/>
                <w:sz w:val="18"/>
                <w:szCs w:val="18"/>
              </w:rPr>
            </w:pPr>
            <w:r w:rsidRPr="00E46FC8">
              <w:rPr>
                <w:rFonts w:asciiTheme="minorHAnsi" w:eastAsia="Times New Roman" w:hAnsiTheme="minorHAnsi" w:cstheme="minorHAnsi"/>
                <w:color w:val="000000"/>
                <w:sz w:val="18"/>
                <w:szCs w:val="18"/>
              </w:rPr>
              <w:t>2029</w:t>
            </w:r>
            <w:r>
              <w:rPr>
                <w:rFonts w:asciiTheme="minorHAnsi" w:eastAsia="Times New Roman" w:hAnsiTheme="minorHAnsi" w:cstheme="minorHAnsi"/>
                <w:color w:val="000000"/>
                <w:sz w:val="18"/>
                <w:szCs w:val="18"/>
              </w:rPr>
              <w:t>.</w:t>
            </w:r>
          </w:p>
        </w:tc>
        <w:tc>
          <w:tcPr>
            <w:tcW w:w="665"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438E82D" w14:textId="774DEA6E" w:rsidR="001A1160" w:rsidRPr="008E0F13" w:rsidRDefault="001A1160" w:rsidP="001A1160">
            <w:pPr>
              <w:spacing w:after="0"/>
              <w:jc w:val="right"/>
              <w:rPr>
                <w:rFonts w:asciiTheme="minorHAnsi" w:eastAsia="Times New Roman" w:hAnsiTheme="minorHAnsi" w:cstheme="minorHAnsi"/>
                <w:b/>
                <w:bCs/>
                <w:color w:val="000000"/>
                <w:sz w:val="18"/>
                <w:szCs w:val="18"/>
              </w:rPr>
            </w:pPr>
            <w:r w:rsidRPr="00E46FC8">
              <w:rPr>
                <w:rFonts w:asciiTheme="minorHAnsi" w:eastAsia="Times New Roman" w:hAnsiTheme="minorHAnsi" w:cstheme="minorHAnsi"/>
                <w:b/>
                <w:bCs/>
                <w:color w:val="000000"/>
                <w:sz w:val="18"/>
                <w:szCs w:val="18"/>
              </w:rPr>
              <w:t>2030</w:t>
            </w:r>
            <w:r>
              <w:rPr>
                <w:rFonts w:asciiTheme="minorHAnsi" w:eastAsia="Times New Roman" w:hAnsiTheme="minorHAnsi" w:cstheme="minorHAnsi"/>
                <w:b/>
                <w:bCs/>
                <w:color w:val="000000"/>
                <w:sz w:val="18"/>
                <w:szCs w:val="18"/>
              </w:rPr>
              <w:t>.</w:t>
            </w:r>
          </w:p>
        </w:tc>
      </w:tr>
      <w:tr w:rsidR="008E0F13" w:rsidRPr="008E0F13" w14:paraId="4226EE7D" w14:textId="77777777" w:rsidTr="007C0B78">
        <w:trPr>
          <w:trHeight w:val="288"/>
        </w:trPr>
        <w:tc>
          <w:tcPr>
            <w:tcW w:w="3113"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28648455" w14:textId="77777777" w:rsidR="008E0F13" w:rsidRPr="008E0F13" w:rsidRDefault="008E0F13" w:rsidP="63259912">
            <w:pPr>
              <w:spacing w:after="0"/>
              <w:jc w:val="left"/>
              <w:rPr>
                <w:rFonts w:asciiTheme="minorHAnsi" w:eastAsia="Times New Roman" w:hAnsiTheme="minorHAnsi" w:cstheme="minorBidi"/>
                <w:b/>
                <w:bCs/>
                <w:color w:val="000000"/>
                <w:sz w:val="18"/>
                <w:szCs w:val="18"/>
              </w:rPr>
            </w:pPr>
            <w:r w:rsidRPr="63259912">
              <w:rPr>
                <w:rFonts w:asciiTheme="minorHAnsi" w:eastAsia="Times New Roman" w:hAnsiTheme="minorHAnsi" w:cstheme="minorBidi"/>
                <w:b/>
                <w:bCs/>
                <w:color w:val="000000" w:themeColor="text1"/>
                <w:sz w:val="18"/>
                <w:szCs w:val="18"/>
              </w:rPr>
              <w:t>Bruto nep. potr. OIE za grijanje i hlađenje</w:t>
            </w:r>
          </w:p>
        </w:tc>
        <w:tc>
          <w:tcPr>
            <w:tcW w:w="24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335748A"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1.297,0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4C4ACCC"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1.277,7</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825DFB5"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1.258,3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003F52D"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1.239,0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2E191B2"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1.219,6</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29F250A"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1.200,2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E5CE680"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1.192,5</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D036543"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1.184,9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6508DFD"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1.177,2</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B63E3CB"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1.169,5</w:t>
            </w:r>
          </w:p>
        </w:tc>
      </w:tr>
      <w:tr w:rsidR="008E0F13" w:rsidRPr="008E0F13" w14:paraId="407EF2E5" w14:textId="77777777" w:rsidTr="007C0B78">
        <w:trPr>
          <w:trHeight w:val="288"/>
        </w:trPr>
        <w:tc>
          <w:tcPr>
            <w:tcW w:w="3113"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6A98021B" w14:textId="77777777" w:rsidR="008E0F13" w:rsidRPr="008E0F13" w:rsidRDefault="008E0F13" w:rsidP="008E0F13">
            <w:pPr>
              <w:spacing w:after="0"/>
              <w:jc w:val="lef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Energija Sunca</w:t>
            </w:r>
          </w:p>
        </w:tc>
        <w:tc>
          <w:tcPr>
            <w:tcW w:w="24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495B7B3"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17,1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EB52B76"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18,6</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7513B1C"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20,2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2559AEE"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21,7</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9257CAC"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23,2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E2C8EA7"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24,8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E69710A"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26,3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E225457"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27,9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60A60EE"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29,4</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7353D57"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31,0</w:t>
            </w:r>
          </w:p>
        </w:tc>
      </w:tr>
      <w:tr w:rsidR="008E0F13" w:rsidRPr="008E0F13" w14:paraId="3C07AEC3" w14:textId="77777777" w:rsidTr="007C0B78">
        <w:trPr>
          <w:trHeight w:val="288"/>
        </w:trPr>
        <w:tc>
          <w:tcPr>
            <w:tcW w:w="3113"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61390F2F" w14:textId="77777777" w:rsidR="008E0F13" w:rsidRPr="008E0F13" w:rsidRDefault="008E0F13" w:rsidP="008E0F13">
            <w:pPr>
              <w:spacing w:after="0"/>
              <w:jc w:val="lef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Kruta biomasa</w:t>
            </w:r>
          </w:p>
        </w:tc>
        <w:tc>
          <w:tcPr>
            <w:tcW w:w="24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5086FAA"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1.154,4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FB0B4B0"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1.096,1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91074F2"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1.037,8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7631372"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979,5</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EEDEAB6"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921,2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85209FA"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863,0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E55AF0F"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804,7</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829BA3A"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746,4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3DA0C81"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688,1</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F1E64A4"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629,8</w:t>
            </w:r>
          </w:p>
        </w:tc>
      </w:tr>
      <w:tr w:rsidR="008E0F13" w:rsidRPr="008E0F13" w14:paraId="1FC13DF1" w14:textId="77777777" w:rsidTr="007C0B78">
        <w:trPr>
          <w:trHeight w:val="288"/>
        </w:trPr>
        <w:tc>
          <w:tcPr>
            <w:tcW w:w="3113"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0DC837C0" w14:textId="77777777" w:rsidR="008E0F13" w:rsidRPr="008E0F13" w:rsidRDefault="008E0F13" w:rsidP="008E0F13">
            <w:pPr>
              <w:spacing w:after="0"/>
              <w:jc w:val="lef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Plinovita i tekuća biogoriva</w:t>
            </w:r>
          </w:p>
        </w:tc>
        <w:tc>
          <w:tcPr>
            <w:tcW w:w="24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50F6A1C"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0,0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B669833"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3,1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9E9C92D"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6,2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8D7855C"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9,2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F23F53C"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12,3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183DE56"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15,4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AF52D0F"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18,5</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ACE6B8B"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21,6</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C00A9A9"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24,7</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0797D1B"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27,7</w:t>
            </w:r>
          </w:p>
        </w:tc>
      </w:tr>
      <w:tr w:rsidR="008E0F13" w:rsidRPr="008E0F13" w14:paraId="4461C90D" w14:textId="77777777" w:rsidTr="007C0B78">
        <w:trPr>
          <w:trHeight w:val="288"/>
        </w:trPr>
        <w:tc>
          <w:tcPr>
            <w:tcW w:w="3113"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537204D1" w14:textId="77777777" w:rsidR="008E0F13" w:rsidRPr="008E0F13" w:rsidRDefault="008E0F13" w:rsidP="008E0F13">
            <w:pPr>
              <w:spacing w:after="0"/>
              <w:jc w:val="lef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Geotermalna energija</w:t>
            </w:r>
          </w:p>
        </w:tc>
        <w:tc>
          <w:tcPr>
            <w:tcW w:w="24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82F9D97"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5,0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5BD97A0"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7,2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56EB2EF"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9,3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2D3648C"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11,5</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2C53403"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13,7</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269392C"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15,9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9C31DE8"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18,1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D5F2DB8"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20,3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769968E"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22,5</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8C18D98"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24,7</w:t>
            </w:r>
          </w:p>
        </w:tc>
      </w:tr>
      <w:tr w:rsidR="008E0F13" w:rsidRPr="008E0F13" w14:paraId="1E3EDF94" w14:textId="77777777" w:rsidTr="007C0B78">
        <w:trPr>
          <w:trHeight w:val="288"/>
        </w:trPr>
        <w:tc>
          <w:tcPr>
            <w:tcW w:w="3113"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766AC07A" w14:textId="77777777" w:rsidR="008E0F13" w:rsidRPr="008E0F13" w:rsidRDefault="008E0F13" w:rsidP="008E0F13">
            <w:pPr>
              <w:spacing w:after="0"/>
              <w:jc w:val="lef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Toplina OIE</w:t>
            </w:r>
          </w:p>
        </w:tc>
        <w:tc>
          <w:tcPr>
            <w:tcW w:w="24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866F078"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120,6</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0241804"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152,7</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3BA2500"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184,8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72A38C8"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216,9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9D12AF1"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249,1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8695B09"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281,2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CD628EF"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313,3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EED294C"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345,4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B562598"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377,5</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2ED2205"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409,6</w:t>
            </w:r>
          </w:p>
        </w:tc>
      </w:tr>
      <w:tr w:rsidR="008E0F13" w:rsidRPr="008E0F13" w14:paraId="14FEB575" w14:textId="77777777" w:rsidTr="007C0B78">
        <w:trPr>
          <w:trHeight w:val="288"/>
        </w:trPr>
        <w:tc>
          <w:tcPr>
            <w:tcW w:w="3113"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6D13E85C" w14:textId="77777777" w:rsidR="008E0F13" w:rsidRPr="008E0F13" w:rsidRDefault="008E0F13" w:rsidP="008E0F13">
            <w:pPr>
              <w:spacing w:after="0"/>
              <w:jc w:val="lef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Vodik</w:t>
            </w:r>
          </w:p>
        </w:tc>
        <w:tc>
          <w:tcPr>
            <w:tcW w:w="24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FC60915"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B57479D"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E633BD6"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FFB467F"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5CC7A75"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082D250"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5CB31E9"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11,7</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F469262"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23,3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16A922C" w14:textId="77777777" w:rsidR="008E0F13" w:rsidRPr="008E0F13" w:rsidRDefault="008E0F13" w:rsidP="008E0F13">
            <w:pPr>
              <w:spacing w:after="0"/>
              <w:jc w:val="right"/>
              <w:rPr>
                <w:rFonts w:asciiTheme="minorHAnsi" w:eastAsia="Times New Roman" w:hAnsiTheme="minorHAnsi" w:cstheme="minorHAnsi"/>
                <w:color w:val="000000"/>
                <w:sz w:val="18"/>
                <w:szCs w:val="18"/>
              </w:rPr>
            </w:pPr>
            <w:r w:rsidRPr="008E0F13">
              <w:rPr>
                <w:rFonts w:asciiTheme="minorHAnsi" w:eastAsia="Times New Roman" w:hAnsiTheme="minorHAnsi" w:cstheme="minorHAnsi"/>
                <w:color w:val="000000"/>
                <w:sz w:val="18"/>
                <w:szCs w:val="18"/>
              </w:rPr>
              <w:t>35,0</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07649EC" w14:textId="77777777" w:rsidR="008E0F13" w:rsidRPr="008E0F13" w:rsidRDefault="008E0F13" w:rsidP="008E0F13">
            <w:pPr>
              <w:spacing w:after="0"/>
              <w:jc w:val="right"/>
              <w:rPr>
                <w:rFonts w:asciiTheme="minorHAnsi" w:eastAsia="Times New Roman" w:hAnsiTheme="minorHAnsi" w:cstheme="minorHAnsi"/>
                <w:b/>
                <w:bCs/>
                <w:color w:val="000000"/>
                <w:sz w:val="18"/>
                <w:szCs w:val="18"/>
              </w:rPr>
            </w:pPr>
            <w:r w:rsidRPr="008E0F13">
              <w:rPr>
                <w:rFonts w:asciiTheme="minorHAnsi" w:eastAsia="Times New Roman" w:hAnsiTheme="minorHAnsi" w:cstheme="minorHAnsi"/>
                <w:b/>
                <w:bCs/>
                <w:color w:val="000000"/>
                <w:sz w:val="18"/>
                <w:szCs w:val="18"/>
              </w:rPr>
              <w:t>46,6</w:t>
            </w:r>
          </w:p>
        </w:tc>
      </w:tr>
    </w:tbl>
    <w:p w14:paraId="374D7BA7" w14:textId="28160A66" w:rsidR="00642C93" w:rsidRPr="00432DEF" w:rsidRDefault="00642C93" w:rsidP="004623DD"/>
    <w:p w14:paraId="6CD495CB" w14:textId="77777777" w:rsidR="00E85B3F" w:rsidRDefault="00E85B3F" w:rsidP="00E85B3F">
      <w:r>
        <w:rPr>
          <w:noProof/>
        </w:rPr>
        <w:t>„Toplina OIE“ obuhvaća toplinu proizvedenu iz obnovljivih izvora energije u javnim toplanama, kotlovnicama, industrijskim toplanama i dizalicama topline.</w:t>
      </w:r>
    </w:p>
    <w:p w14:paraId="4C4AF446" w14:textId="77777777" w:rsidR="00FC703B" w:rsidRPr="00B47BDA" w:rsidRDefault="00FC703B" w:rsidP="00E85B3F">
      <w:pPr>
        <w:rPr>
          <w:highlight w:val="yellow"/>
        </w:rPr>
      </w:pPr>
    </w:p>
    <w:p w14:paraId="51CC1CEA" w14:textId="529AAD47" w:rsidR="009B53A7" w:rsidRDefault="009B53A7" w:rsidP="004623DD">
      <w:pPr>
        <w:pStyle w:val="Caption"/>
      </w:pPr>
      <w:bookmarkStart w:id="276" w:name="_Toc193035946"/>
      <w:r w:rsidRPr="00432DEF">
        <w:t xml:space="preserve">Tablica </w:t>
      </w:r>
      <w:bookmarkStart w:id="277" w:name="tbl_S2_Udio_OIE_promet"/>
      <w:r w:rsidR="00DE7F11" w:rsidRPr="00432DEF">
        <w:fldChar w:fldCharType="begin"/>
      </w:r>
      <w:r w:rsidR="00DE7F11" w:rsidRPr="00432DEF">
        <w:instrText xml:space="preserve"> STYLEREF 1 \s </w:instrText>
      </w:r>
      <w:r w:rsidR="00DE7F11" w:rsidRPr="00432DEF">
        <w:fldChar w:fldCharType="separate"/>
      </w:r>
      <w:r w:rsidR="00AD324D">
        <w:rPr>
          <w:noProof/>
        </w:rPr>
        <w:t>2</w:t>
      </w:r>
      <w:r w:rsidR="00DE7F11" w:rsidRPr="00432DEF">
        <w:fldChar w:fldCharType="end"/>
      </w:r>
      <w:r w:rsidR="00DE7F11" w:rsidRPr="00432DEF">
        <w:noBreakHyphen/>
      </w:r>
      <w:r>
        <w:fldChar w:fldCharType="begin"/>
      </w:r>
      <w:r>
        <w:instrText>SEQ Tablica \* ARABIC \s 1</w:instrText>
      </w:r>
      <w:r>
        <w:fldChar w:fldCharType="separate"/>
      </w:r>
      <w:r w:rsidR="00AD324D">
        <w:rPr>
          <w:noProof/>
        </w:rPr>
        <w:t>5</w:t>
      </w:r>
      <w:r>
        <w:fldChar w:fldCharType="end"/>
      </w:r>
      <w:bookmarkEnd w:id="277"/>
      <w:r w:rsidRPr="00432DEF">
        <w:t>. Ocijenjeni</w:t>
      </w:r>
      <w:r w:rsidRPr="00B47BDA">
        <w:t xml:space="preserve"> doprinos tehnologija za OIE u prometu</w:t>
      </w:r>
      <w:bookmarkEnd w:id="276"/>
    </w:p>
    <w:tbl>
      <w:tblPr>
        <w:tblW w:w="9261" w:type="dxa"/>
        <w:tblLook w:val="04A0" w:firstRow="1" w:lastRow="0" w:firstColumn="1" w:lastColumn="0" w:noHBand="0" w:noVBand="1"/>
      </w:tblPr>
      <w:tblGrid>
        <w:gridCol w:w="3114"/>
        <w:gridCol w:w="567"/>
        <w:gridCol w:w="620"/>
        <w:gridCol w:w="620"/>
        <w:gridCol w:w="620"/>
        <w:gridCol w:w="620"/>
        <w:gridCol w:w="620"/>
        <w:gridCol w:w="620"/>
        <w:gridCol w:w="620"/>
        <w:gridCol w:w="620"/>
        <w:gridCol w:w="620"/>
      </w:tblGrid>
      <w:tr w:rsidR="001A1160" w:rsidRPr="000F4238" w14:paraId="0441C751" w14:textId="77777777" w:rsidTr="63259912">
        <w:trPr>
          <w:trHeight w:val="288"/>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23D0E7FE" w14:textId="77777777" w:rsidR="001A1160" w:rsidRPr="000F4238" w:rsidRDefault="001A1160" w:rsidP="63259912">
            <w:pPr>
              <w:spacing w:after="0"/>
              <w:jc w:val="left"/>
              <w:rPr>
                <w:rFonts w:eastAsia="Times New Roman" w:cs="Calibri"/>
                <w:b/>
                <w:bCs/>
                <w:color w:val="000000"/>
                <w:sz w:val="18"/>
                <w:szCs w:val="18"/>
              </w:rPr>
            </w:pPr>
            <w:r w:rsidRPr="63259912">
              <w:rPr>
                <w:rFonts w:eastAsia="Times New Roman" w:cs="Calibri"/>
                <w:b/>
                <w:bCs/>
                <w:color w:val="000000" w:themeColor="text1"/>
                <w:sz w:val="18"/>
                <w:szCs w:val="18"/>
              </w:rPr>
              <w:t>ktoe</w:t>
            </w:r>
          </w:p>
        </w:tc>
        <w:tc>
          <w:tcPr>
            <w:tcW w:w="567"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060BF03" w14:textId="2FDBE00D" w:rsidR="001A1160" w:rsidRPr="000F4238" w:rsidRDefault="001A1160" w:rsidP="001A1160">
            <w:pPr>
              <w:spacing w:after="0"/>
              <w:jc w:val="right"/>
              <w:rPr>
                <w:rFonts w:eastAsia="Times New Roman" w:cs="Calibri"/>
                <w:b/>
                <w:bCs/>
                <w:color w:val="000000"/>
                <w:sz w:val="18"/>
                <w:szCs w:val="18"/>
              </w:rPr>
            </w:pPr>
            <w:r w:rsidRPr="00E46FC8">
              <w:rPr>
                <w:rFonts w:asciiTheme="minorHAnsi" w:eastAsia="Times New Roman" w:hAnsiTheme="minorHAnsi" w:cstheme="minorHAnsi"/>
                <w:b/>
                <w:bCs/>
                <w:color w:val="000000"/>
                <w:sz w:val="18"/>
                <w:szCs w:val="18"/>
              </w:rPr>
              <w:t>2021</w:t>
            </w:r>
            <w:r>
              <w:rPr>
                <w:rFonts w:asciiTheme="minorHAnsi" w:eastAsia="Times New Roman" w:hAnsiTheme="minorHAnsi" w:cstheme="minorHAnsi"/>
                <w:b/>
                <w:bCs/>
                <w:color w:val="000000"/>
                <w:sz w:val="18"/>
                <w:szCs w:val="18"/>
              </w:rPr>
              <w:t>.</w:t>
            </w:r>
          </w:p>
        </w:tc>
        <w:tc>
          <w:tcPr>
            <w:tcW w:w="620"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A8C915C" w14:textId="25EDAE9B" w:rsidR="001A1160" w:rsidRPr="000F4238" w:rsidRDefault="001A1160" w:rsidP="001A1160">
            <w:pPr>
              <w:spacing w:after="0"/>
              <w:jc w:val="right"/>
              <w:rPr>
                <w:rFonts w:eastAsia="Times New Roman" w:cs="Calibri"/>
                <w:color w:val="000000"/>
                <w:sz w:val="18"/>
                <w:szCs w:val="18"/>
              </w:rPr>
            </w:pPr>
            <w:r w:rsidRPr="00E46FC8">
              <w:rPr>
                <w:rFonts w:asciiTheme="minorHAnsi" w:eastAsia="Times New Roman" w:hAnsiTheme="minorHAnsi" w:cstheme="minorHAnsi"/>
                <w:color w:val="000000"/>
                <w:sz w:val="18"/>
                <w:szCs w:val="18"/>
              </w:rPr>
              <w:t>2022</w:t>
            </w:r>
            <w:r>
              <w:rPr>
                <w:rFonts w:asciiTheme="minorHAnsi" w:eastAsia="Times New Roman" w:hAnsiTheme="minorHAnsi" w:cstheme="minorHAnsi"/>
                <w:color w:val="000000"/>
                <w:sz w:val="18"/>
                <w:szCs w:val="18"/>
              </w:rPr>
              <w:t>.</w:t>
            </w:r>
          </w:p>
        </w:tc>
        <w:tc>
          <w:tcPr>
            <w:tcW w:w="620"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DB143E6" w14:textId="5FC18475" w:rsidR="001A1160" w:rsidRPr="000F4238" w:rsidRDefault="001A1160" w:rsidP="001A1160">
            <w:pPr>
              <w:spacing w:after="0"/>
              <w:jc w:val="right"/>
              <w:rPr>
                <w:rFonts w:eastAsia="Times New Roman" w:cs="Calibri"/>
                <w:color w:val="000000"/>
                <w:sz w:val="18"/>
                <w:szCs w:val="18"/>
              </w:rPr>
            </w:pPr>
            <w:r w:rsidRPr="00E46FC8">
              <w:rPr>
                <w:rFonts w:asciiTheme="minorHAnsi" w:eastAsia="Times New Roman" w:hAnsiTheme="minorHAnsi" w:cstheme="minorHAnsi"/>
                <w:color w:val="000000"/>
                <w:sz w:val="18"/>
                <w:szCs w:val="18"/>
              </w:rPr>
              <w:t>2023</w:t>
            </w:r>
            <w:r>
              <w:rPr>
                <w:rFonts w:asciiTheme="minorHAnsi" w:eastAsia="Times New Roman" w:hAnsiTheme="minorHAnsi" w:cstheme="minorHAnsi"/>
                <w:color w:val="000000"/>
                <w:sz w:val="18"/>
                <w:szCs w:val="18"/>
              </w:rPr>
              <w:t>.</w:t>
            </w:r>
          </w:p>
        </w:tc>
        <w:tc>
          <w:tcPr>
            <w:tcW w:w="620"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486A159" w14:textId="02D1CB99" w:rsidR="001A1160" w:rsidRPr="000F4238" w:rsidRDefault="001A1160" w:rsidP="001A1160">
            <w:pPr>
              <w:spacing w:after="0"/>
              <w:jc w:val="right"/>
              <w:rPr>
                <w:rFonts w:eastAsia="Times New Roman" w:cs="Calibri"/>
                <w:color w:val="000000"/>
                <w:sz w:val="18"/>
                <w:szCs w:val="18"/>
              </w:rPr>
            </w:pPr>
            <w:r w:rsidRPr="00E46FC8">
              <w:rPr>
                <w:rFonts w:asciiTheme="minorHAnsi" w:eastAsia="Times New Roman" w:hAnsiTheme="minorHAnsi" w:cstheme="minorHAnsi"/>
                <w:color w:val="000000"/>
                <w:sz w:val="18"/>
                <w:szCs w:val="18"/>
              </w:rPr>
              <w:t>2024</w:t>
            </w:r>
            <w:r>
              <w:rPr>
                <w:rFonts w:asciiTheme="minorHAnsi" w:eastAsia="Times New Roman" w:hAnsiTheme="minorHAnsi" w:cstheme="minorHAnsi"/>
                <w:color w:val="000000"/>
                <w:sz w:val="18"/>
                <w:szCs w:val="18"/>
              </w:rPr>
              <w:t>.</w:t>
            </w:r>
          </w:p>
        </w:tc>
        <w:tc>
          <w:tcPr>
            <w:tcW w:w="620"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BE8C885" w14:textId="516F3AC0" w:rsidR="001A1160" w:rsidRPr="000F4238" w:rsidRDefault="001A1160" w:rsidP="001A1160">
            <w:pPr>
              <w:spacing w:after="0"/>
              <w:jc w:val="right"/>
              <w:rPr>
                <w:rFonts w:eastAsia="Times New Roman" w:cs="Calibri"/>
                <w:color w:val="000000"/>
                <w:sz w:val="18"/>
                <w:szCs w:val="18"/>
              </w:rPr>
            </w:pPr>
            <w:r w:rsidRPr="00E46FC8">
              <w:rPr>
                <w:rFonts w:asciiTheme="minorHAnsi" w:eastAsia="Times New Roman" w:hAnsiTheme="minorHAnsi" w:cstheme="minorHAnsi"/>
                <w:color w:val="000000"/>
                <w:sz w:val="18"/>
                <w:szCs w:val="18"/>
              </w:rPr>
              <w:t>2025</w:t>
            </w:r>
            <w:r>
              <w:rPr>
                <w:rFonts w:asciiTheme="minorHAnsi" w:eastAsia="Times New Roman" w:hAnsiTheme="minorHAnsi" w:cstheme="minorHAnsi"/>
                <w:color w:val="000000"/>
                <w:sz w:val="18"/>
                <w:szCs w:val="18"/>
              </w:rPr>
              <w:t>.</w:t>
            </w:r>
          </w:p>
        </w:tc>
        <w:tc>
          <w:tcPr>
            <w:tcW w:w="620"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C617374" w14:textId="7B087F44" w:rsidR="001A1160" w:rsidRPr="000F4238" w:rsidRDefault="001A1160" w:rsidP="001A1160">
            <w:pPr>
              <w:spacing w:after="0"/>
              <w:jc w:val="right"/>
              <w:rPr>
                <w:rFonts w:eastAsia="Times New Roman" w:cs="Calibri"/>
                <w:color w:val="000000"/>
                <w:sz w:val="18"/>
                <w:szCs w:val="18"/>
              </w:rPr>
            </w:pPr>
            <w:r w:rsidRPr="00E46FC8">
              <w:rPr>
                <w:rFonts w:asciiTheme="minorHAnsi" w:eastAsia="Times New Roman" w:hAnsiTheme="minorHAnsi" w:cstheme="minorHAnsi"/>
                <w:color w:val="000000"/>
                <w:sz w:val="18"/>
                <w:szCs w:val="18"/>
              </w:rPr>
              <w:t>2026</w:t>
            </w:r>
            <w:r>
              <w:rPr>
                <w:rFonts w:asciiTheme="minorHAnsi" w:eastAsia="Times New Roman" w:hAnsiTheme="minorHAnsi" w:cstheme="minorHAnsi"/>
                <w:color w:val="000000"/>
                <w:sz w:val="18"/>
                <w:szCs w:val="18"/>
              </w:rPr>
              <w:t>.</w:t>
            </w:r>
          </w:p>
        </w:tc>
        <w:tc>
          <w:tcPr>
            <w:tcW w:w="620"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196FA84" w14:textId="02DD4C09" w:rsidR="001A1160" w:rsidRPr="000F4238" w:rsidRDefault="001A1160" w:rsidP="001A1160">
            <w:pPr>
              <w:spacing w:after="0"/>
              <w:jc w:val="right"/>
              <w:rPr>
                <w:rFonts w:eastAsia="Times New Roman" w:cs="Calibri"/>
                <w:color w:val="000000"/>
                <w:sz w:val="18"/>
                <w:szCs w:val="18"/>
              </w:rPr>
            </w:pPr>
            <w:r w:rsidRPr="00E46FC8">
              <w:rPr>
                <w:rFonts w:asciiTheme="minorHAnsi" w:eastAsia="Times New Roman" w:hAnsiTheme="minorHAnsi" w:cstheme="minorHAnsi"/>
                <w:color w:val="000000"/>
                <w:sz w:val="18"/>
                <w:szCs w:val="18"/>
              </w:rPr>
              <w:t>2027</w:t>
            </w:r>
            <w:r>
              <w:rPr>
                <w:rFonts w:asciiTheme="minorHAnsi" w:eastAsia="Times New Roman" w:hAnsiTheme="minorHAnsi" w:cstheme="minorHAnsi"/>
                <w:color w:val="000000"/>
                <w:sz w:val="18"/>
                <w:szCs w:val="18"/>
              </w:rPr>
              <w:t>.</w:t>
            </w:r>
          </w:p>
        </w:tc>
        <w:tc>
          <w:tcPr>
            <w:tcW w:w="620"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8155779" w14:textId="57C93181" w:rsidR="001A1160" w:rsidRPr="000F4238" w:rsidRDefault="001A1160" w:rsidP="001A1160">
            <w:pPr>
              <w:spacing w:after="0"/>
              <w:jc w:val="right"/>
              <w:rPr>
                <w:rFonts w:eastAsia="Times New Roman" w:cs="Calibri"/>
                <w:color w:val="000000"/>
                <w:sz w:val="18"/>
                <w:szCs w:val="18"/>
              </w:rPr>
            </w:pPr>
            <w:r w:rsidRPr="00E46FC8">
              <w:rPr>
                <w:rFonts w:asciiTheme="minorHAnsi" w:eastAsia="Times New Roman" w:hAnsiTheme="minorHAnsi" w:cstheme="minorHAnsi"/>
                <w:color w:val="000000"/>
                <w:sz w:val="18"/>
                <w:szCs w:val="18"/>
              </w:rPr>
              <w:t>2028</w:t>
            </w:r>
            <w:r>
              <w:rPr>
                <w:rFonts w:asciiTheme="minorHAnsi" w:eastAsia="Times New Roman" w:hAnsiTheme="minorHAnsi" w:cstheme="minorHAnsi"/>
                <w:color w:val="000000"/>
                <w:sz w:val="18"/>
                <w:szCs w:val="18"/>
              </w:rPr>
              <w:t>.</w:t>
            </w:r>
          </w:p>
        </w:tc>
        <w:tc>
          <w:tcPr>
            <w:tcW w:w="620"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5C9754F" w14:textId="4130014E" w:rsidR="001A1160" w:rsidRPr="000F4238" w:rsidRDefault="001A1160" w:rsidP="001A1160">
            <w:pPr>
              <w:spacing w:after="0"/>
              <w:jc w:val="right"/>
              <w:rPr>
                <w:rFonts w:eastAsia="Times New Roman" w:cs="Calibri"/>
                <w:color w:val="000000"/>
                <w:sz w:val="18"/>
                <w:szCs w:val="18"/>
              </w:rPr>
            </w:pPr>
            <w:r w:rsidRPr="00E46FC8">
              <w:rPr>
                <w:rFonts w:asciiTheme="minorHAnsi" w:eastAsia="Times New Roman" w:hAnsiTheme="minorHAnsi" w:cstheme="minorHAnsi"/>
                <w:color w:val="000000"/>
                <w:sz w:val="18"/>
                <w:szCs w:val="18"/>
              </w:rPr>
              <w:t>2029</w:t>
            </w:r>
            <w:r>
              <w:rPr>
                <w:rFonts w:asciiTheme="minorHAnsi" w:eastAsia="Times New Roman" w:hAnsiTheme="minorHAnsi" w:cstheme="minorHAnsi"/>
                <w:color w:val="000000"/>
                <w:sz w:val="18"/>
                <w:szCs w:val="18"/>
              </w:rPr>
              <w:t>.</w:t>
            </w:r>
          </w:p>
        </w:tc>
        <w:tc>
          <w:tcPr>
            <w:tcW w:w="620"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CA60718" w14:textId="75ED3AC2" w:rsidR="001A1160" w:rsidRPr="000F4238" w:rsidRDefault="001A1160" w:rsidP="001A1160">
            <w:pPr>
              <w:spacing w:after="0"/>
              <w:jc w:val="right"/>
              <w:rPr>
                <w:rFonts w:eastAsia="Times New Roman" w:cs="Calibri"/>
                <w:b/>
                <w:bCs/>
                <w:color w:val="000000"/>
                <w:sz w:val="18"/>
                <w:szCs w:val="18"/>
              </w:rPr>
            </w:pPr>
            <w:r w:rsidRPr="00E46FC8">
              <w:rPr>
                <w:rFonts w:asciiTheme="minorHAnsi" w:eastAsia="Times New Roman" w:hAnsiTheme="minorHAnsi" w:cstheme="minorHAnsi"/>
                <w:b/>
                <w:bCs/>
                <w:color w:val="000000"/>
                <w:sz w:val="18"/>
                <w:szCs w:val="18"/>
              </w:rPr>
              <w:t>2030</w:t>
            </w:r>
            <w:r>
              <w:rPr>
                <w:rFonts w:asciiTheme="minorHAnsi" w:eastAsia="Times New Roman" w:hAnsiTheme="minorHAnsi" w:cstheme="minorHAnsi"/>
                <w:b/>
                <w:bCs/>
                <w:color w:val="000000"/>
                <w:sz w:val="18"/>
                <w:szCs w:val="18"/>
              </w:rPr>
              <w:t>.</w:t>
            </w:r>
          </w:p>
        </w:tc>
      </w:tr>
      <w:tr w:rsidR="00A97CD3" w:rsidRPr="000F4238" w14:paraId="2E506C52" w14:textId="77777777" w:rsidTr="63259912">
        <w:trPr>
          <w:trHeight w:val="288"/>
        </w:trPr>
        <w:tc>
          <w:tcPr>
            <w:tcW w:w="3114"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2809012B" w14:textId="77777777" w:rsidR="00A97CD3" w:rsidRPr="000F4238" w:rsidRDefault="00A97CD3" w:rsidP="00A97CD3">
            <w:pPr>
              <w:spacing w:after="0"/>
              <w:jc w:val="left"/>
              <w:rPr>
                <w:rFonts w:eastAsia="Times New Roman" w:cs="Calibri"/>
                <w:b/>
                <w:bCs/>
                <w:color w:val="000000"/>
                <w:sz w:val="18"/>
                <w:szCs w:val="18"/>
              </w:rPr>
            </w:pPr>
            <w:r w:rsidRPr="000F4238">
              <w:rPr>
                <w:rFonts w:eastAsia="Times New Roman" w:cs="Calibri"/>
                <w:b/>
                <w:bCs/>
                <w:color w:val="000000"/>
                <w:sz w:val="18"/>
                <w:szCs w:val="18"/>
              </w:rPr>
              <w:t>Neposredna potrošnja OIE u prometu</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C7E886D" w14:textId="77777777" w:rsidR="00A97CD3" w:rsidRPr="000F4238" w:rsidRDefault="00A97CD3" w:rsidP="00A97CD3">
            <w:pPr>
              <w:spacing w:after="0"/>
              <w:jc w:val="right"/>
              <w:rPr>
                <w:rFonts w:eastAsia="Times New Roman" w:cs="Calibri"/>
                <w:b/>
                <w:bCs/>
                <w:color w:val="000000"/>
                <w:sz w:val="18"/>
                <w:szCs w:val="18"/>
              </w:rPr>
            </w:pPr>
            <w:r w:rsidRPr="000F4238">
              <w:rPr>
                <w:rFonts w:eastAsia="Times New Roman" w:cs="Calibri"/>
                <w:b/>
                <w:bCs/>
                <w:color w:val="000000"/>
                <w:sz w:val="18"/>
                <w:szCs w:val="18"/>
              </w:rPr>
              <w:t>103,4</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D44AFD4"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117,5</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F1A1B60"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123,2</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7991707"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128,9</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71549C7"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136,3</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6BC0FC9"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147,7</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7B69093"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210,9</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1D5294D"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226,6</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99E36E8"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243,9</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5AD2425" w14:textId="77777777" w:rsidR="00A97CD3" w:rsidRPr="000F4238" w:rsidRDefault="00A97CD3" w:rsidP="00A97CD3">
            <w:pPr>
              <w:spacing w:after="0"/>
              <w:jc w:val="right"/>
              <w:rPr>
                <w:rFonts w:eastAsia="Times New Roman" w:cs="Calibri"/>
                <w:b/>
                <w:bCs/>
                <w:color w:val="000000"/>
                <w:sz w:val="18"/>
                <w:szCs w:val="18"/>
              </w:rPr>
            </w:pPr>
            <w:r w:rsidRPr="000F4238">
              <w:rPr>
                <w:rFonts w:eastAsia="Times New Roman" w:cs="Calibri"/>
                <w:b/>
                <w:bCs/>
                <w:color w:val="000000"/>
                <w:sz w:val="18"/>
                <w:szCs w:val="18"/>
              </w:rPr>
              <w:t>263,9</w:t>
            </w:r>
          </w:p>
        </w:tc>
      </w:tr>
      <w:tr w:rsidR="00A97CD3" w:rsidRPr="000F4238" w14:paraId="28D3B131" w14:textId="77777777" w:rsidTr="63259912">
        <w:trPr>
          <w:trHeight w:val="288"/>
        </w:trPr>
        <w:tc>
          <w:tcPr>
            <w:tcW w:w="3114"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5E584733" w14:textId="77777777" w:rsidR="00A97CD3" w:rsidRPr="000F4238" w:rsidRDefault="00A97CD3" w:rsidP="00A97CD3">
            <w:pPr>
              <w:spacing w:after="0"/>
              <w:jc w:val="left"/>
              <w:rPr>
                <w:rFonts w:eastAsia="Times New Roman" w:cs="Calibri"/>
                <w:b/>
                <w:bCs/>
                <w:color w:val="000000"/>
                <w:sz w:val="18"/>
                <w:szCs w:val="18"/>
              </w:rPr>
            </w:pPr>
            <w:r w:rsidRPr="000F4238">
              <w:rPr>
                <w:rFonts w:eastAsia="Times New Roman" w:cs="Calibri"/>
                <w:b/>
                <w:bCs/>
                <w:color w:val="000000"/>
                <w:sz w:val="18"/>
                <w:szCs w:val="18"/>
              </w:rPr>
              <w:t>1. generacija biogoriva</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BB05F51" w14:textId="77777777" w:rsidR="00A97CD3" w:rsidRPr="000F4238" w:rsidRDefault="00A97CD3" w:rsidP="00A97CD3">
            <w:pPr>
              <w:spacing w:after="0"/>
              <w:jc w:val="right"/>
              <w:rPr>
                <w:rFonts w:eastAsia="Times New Roman" w:cs="Calibri"/>
                <w:b/>
                <w:bCs/>
                <w:color w:val="000000"/>
                <w:sz w:val="18"/>
                <w:szCs w:val="18"/>
              </w:rPr>
            </w:pPr>
            <w:r w:rsidRPr="000F4238">
              <w:rPr>
                <w:rFonts w:eastAsia="Times New Roman" w:cs="Calibri"/>
                <w:b/>
                <w:bCs/>
                <w:color w:val="000000"/>
                <w:sz w:val="18"/>
                <w:szCs w:val="18"/>
              </w:rPr>
              <w:t>55,7</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845A6EE"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53,9</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321BFB7"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54,0</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0C4C5B8"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53,7</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7E1EF72"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53,5</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1ABCCD1"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53,5</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6DD570C"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52,8</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4616191"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51,8</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6E8DB55"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51,1</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E3315B0" w14:textId="77777777" w:rsidR="00A97CD3" w:rsidRPr="000F4238" w:rsidRDefault="00A97CD3" w:rsidP="00A97CD3">
            <w:pPr>
              <w:spacing w:after="0"/>
              <w:jc w:val="right"/>
              <w:rPr>
                <w:rFonts w:eastAsia="Times New Roman" w:cs="Calibri"/>
                <w:b/>
                <w:bCs/>
                <w:color w:val="000000"/>
                <w:sz w:val="18"/>
                <w:szCs w:val="18"/>
              </w:rPr>
            </w:pPr>
            <w:r w:rsidRPr="000F4238">
              <w:rPr>
                <w:rFonts w:eastAsia="Times New Roman" w:cs="Calibri"/>
                <w:b/>
                <w:bCs/>
                <w:color w:val="000000"/>
                <w:sz w:val="18"/>
                <w:szCs w:val="18"/>
              </w:rPr>
              <w:t>49,9</w:t>
            </w:r>
          </w:p>
        </w:tc>
      </w:tr>
      <w:tr w:rsidR="00A97CD3" w:rsidRPr="000F4238" w14:paraId="17F86367" w14:textId="77777777" w:rsidTr="63259912">
        <w:trPr>
          <w:trHeight w:val="288"/>
        </w:trPr>
        <w:tc>
          <w:tcPr>
            <w:tcW w:w="3114"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5C417DBD" w14:textId="77777777" w:rsidR="00A97CD3" w:rsidRPr="000F4238" w:rsidRDefault="00A97CD3" w:rsidP="00A97CD3">
            <w:pPr>
              <w:spacing w:after="0"/>
              <w:jc w:val="left"/>
              <w:rPr>
                <w:rFonts w:eastAsia="Times New Roman" w:cs="Calibri"/>
                <w:b/>
                <w:bCs/>
                <w:color w:val="000000"/>
                <w:sz w:val="18"/>
                <w:szCs w:val="18"/>
              </w:rPr>
            </w:pPr>
            <w:r w:rsidRPr="000F4238">
              <w:rPr>
                <w:rFonts w:eastAsia="Times New Roman" w:cs="Calibri"/>
                <w:b/>
                <w:bCs/>
                <w:color w:val="000000"/>
                <w:sz w:val="18"/>
                <w:szCs w:val="18"/>
              </w:rPr>
              <w:t>Biogoriva iz OJU</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781ACCD" w14:textId="77777777" w:rsidR="00A97CD3" w:rsidRPr="000F4238" w:rsidRDefault="00A97CD3" w:rsidP="00A97CD3">
            <w:pPr>
              <w:spacing w:after="0"/>
              <w:jc w:val="right"/>
              <w:rPr>
                <w:rFonts w:eastAsia="Times New Roman" w:cs="Calibri"/>
                <w:b/>
                <w:bCs/>
                <w:color w:val="000000"/>
                <w:sz w:val="18"/>
                <w:szCs w:val="18"/>
              </w:rPr>
            </w:pPr>
            <w:r w:rsidRPr="000F4238">
              <w:rPr>
                <w:rFonts w:eastAsia="Times New Roman" w:cs="Calibri"/>
                <w:b/>
                <w:bCs/>
                <w:color w:val="000000"/>
                <w:sz w:val="18"/>
                <w:szCs w:val="18"/>
              </w:rPr>
              <w:t>35,5</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4CF18F4"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36,6</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7FD125F"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36,8</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2B6962A"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36,8</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1AB7FF5"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36,8</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B58A46A"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36,5</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2A828C9"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36,3</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8317C49"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36,1</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D79F17C"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35,3</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A31EA5A" w14:textId="77777777" w:rsidR="00A97CD3" w:rsidRPr="000F4238" w:rsidRDefault="00A97CD3" w:rsidP="00A97CD3">
            <w:pPr>
              <w:spacing w:after="0"/>
              <w:jc w:val="right"/>
              <w:rPr>
                <w:rFonts w:eastAsia="Times New Roman" w:cs="Calibri"/>
                <w:b/>
                <w:bCs/>
                <w:color w:val="000000"/>
                <w:sz w:val="18"/>
                <w:szCs w:val="18"/>
              </w:rPr>
            </w:pPr>
            <w:r w:rsidRPr="000F4238">
              <w:rPr>
                <w:rFonts w:eastAsia="Times New Roman" w:cs="Calibri"/>
                <w:b/>
                <w:bCs/>
                <w:color w:val="000000"/>
                <w:sz w:val="18"/>
                <w:szCs w:val="18"/>
              </w:rPr>
              <w:t>34,9</w:t>
            </w:r>
          </w:p>
        </w:tc>
      </w:tr>
      <w:tr w:rsidR="00A97CD3" w:rsidRPr="000F4238" w14:paraId="60DC94C0" w14:textId="77777777" w:rsidTr="63259912">
        <w:trPr>
          <w:trHeight w:val="288"/>
        </w:trPr>
        <w:tc>
          <w:tcPr>
            <w:tcW w:w="3114"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2F0A1EB1" w14:textId="77777777" w:rsidR="00A97CD3" w:rsidRPr="000F4238" w:rsidRDefault="00A97CD3" w:rsidP="00A97CD3">
            <w:pPr>
              <w:spacing w:after="0"/>
              <w:jc w:val="left"/>
              <w:rPr>
                <w:rFonts w:eastAsia="Times New Roman" w:cs="Calibri"/>
                <w:b/>
                <w:bCs/>
                <w:color w:val="000000"/>
                <w:sz w:val="18"/>
                <w:szCs w:val="18"/>
              </w:rPr>
            </w:pPr>
            <w:r w:rsidRPr="000F4238">
              <w:rPr>
                <w:rFonts w:eastAsia="Times New Roman" w:cs="Calibri"/>
                <w:b/>
                <w:bCs/>
                <w:color w:val="000000"/>
                <w:sz w:val="18"/>
                <w:szCs w:val="18"/>
              </w:rPr>
              <w:t>Napredna biogoriva (tekuća i plinovita)</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2482F96" w14:textId="77777777" w:rsidR="00A97CD3" w:rsidRPr="000F4238" w:rsidRDefault="00A97CD3" w:rsidP="00A97CD3">
            <w:pPr>
              <w:spacing w:after="0"/>
              <w:jc w:val="right"/>
              <w:rPr>
                <w:rFonts w:eastAsia="Times New Roman" w:cs="Calibri"/>
                <w:b/>
                <w:bCs/>
                <w:color w:val="000000"/>
                <w:sz w:val="18"/>
                <w:szCs w:val="18"/>
              </w:rPr>
            </w:pPr>
            <w:r w:rsidRPr="000F4238">
              <w:rPr>
                <w:rFonts w:eastAsia="Times New Roman" w:cs="Calibri"/>
                <w:b/>
                <w:bCs/>
                <w:color w:val="000000"/>
                <w:sz w:val="18"/>
                <w:szCs w:val="18"/>
              </w:rPr>
              <w:t>0,0</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6566BAE"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3,9</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C6DB20E"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7,8</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7546D45"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11,7</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CF0D406"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15,5</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E02A97F"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20,1</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72D3345"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74,8</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C14B881"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79,8</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1F70FEC"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84,1</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E2A8928" w14:textId="77777777" w:rsidR="00A97CD3" w:rsidRPr="000F4238" w:rsidRDefault="00A97CD3" w:rsidP="00A97CD3">
            <w:pPr>
              <w:spacing w:after="0"/>
              <w:jc w:val="right"/>
              <w:rPr>
                <w:rFonts w:eastAsia="Times New Roman" w:cs="Calibri"/>
                <w:b/>
                <w:bCs/>
                <w:color w:val="000000"/>
                <w:sz w:val="18"/>
                <w:szCs w:val="18"/>
              </w:rPr>
            </w:pPr>
            <w:r w:rsidRPr="000F4238">
              <w:rPr>
                <w:rFonts w:eastAsia="Times New Roman" w:cs="Calibri"/>
                <w:b/>
                <w:bCs/>
                <w:color w:val="000000"/>
                <w:sz w:val="18"/>
                <w:szCs w:val="18"/>
              </w:rPr>
              <w:t>88,1</w:t>
            </w:r>
          </w:p>
        </w:tc>
      </w:tr>
      <w:tr w:rsidR="00A97CD3" w:rsidRPr="000F4238" w14:paraId="0D20AFA8" w14:textId="77777777" w:rsidTr="63259912">
        <w:trPr>
          <w:trHeight w:val="288"/>
        </w:trPr>
        <w:tc>
          <w:tcPr>
            <w:tcW w:w="3114"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0943860F" w14:textId="77777777" w:rsidR="00A97CD3" w:rsidRPr="000F4238" w:rsidRDefault="00A97CD3" w:rsidP="00A97CD3">
            <w:pPr>
              <w:spacing w:after="0"/>
              <w:jc w:val="left"/>
              <w:rPr>
                <w:rFonts w:eastAsia="Times New Roman" w:cs="Calibri"/>
                <w:b/>
                <w:bCs/>
                <w:color w:val="000000"/>
                <w:sz w:val="18"/>
                <w:szCs w:val="18"/>
              </w:rPr>
            </w:pPr>
            <w:r w:rsidRPr="000F4238">
              <w:rPr>
                <w:rFonts w:eastAsia="Times New Roman" w:cs="Calibri"/>
                <w:b/>
                <w:bCs/>
                <w:color w:val="000000"/>
                <w:sz w:val="18"/>
                <w:szCs w:val="18"/>
              </w:rPr>
              <w:t>Vodik</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E7AAE09" w14:textId="77777777" w:rsidR="00A97CD3" w:rsidRPr="000F4238" w:rsidRDefault="00A97CD3" w:rsidP="00A97CD3">
            <w:pPr>
              <w:spacing w:after="0"/>
              <w:jc w:val="right"/>
              <w:rPr>
                <w:rFonts w:eastAsia="Times New Roman" w:cs="Calibri"/>
                <w:b/>
                <w:bCs/>
                <w:color w:val="000000"/>
                <w:sz w:val="18"/>
                <w:szCs w:val="18"/>
              </w:rPr>
            </w:pPr>
            <w:r w:rsidRPr="000F4238">
              <w:rPr>
                <w:rFonts w:eastAsia="Times New Roman" w:cs="Calibri"/>
                <w:b/>
                <w:bCs/>
                <w:color w:val="000000"/>
                <w:sz w:val="18"/>
                <w:szCs w:val="18"/>
              </w:rPr>
              <w:t>0,0</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3737F23"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0,0</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0E142E6"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0,0</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CD03B96"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0,2</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B8AAEA6"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1,2</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25B093F"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4,3</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97E81F0"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8,1</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54BBC0B"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13,1</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5799C09"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19,1</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563B4EC" w14:textId="77777777" w:rsidR="00A97CD3" w:rsidRPr="000F4238" w:rsidRDefault="00A97CD3" w:rsidP="00A97CD3">
            <w:pPr>
              <w:spacing w:after="0"/>
              <w:jc w:val="right"/>
              <w:rPr>
                <w:rFonts w:eastAsia="Times New Roman" w:cs="Calibri"/>
                <w:b/>
                <w:bCs/>
                <w:color w:val="000000"/>
                <w:sz w:val="18"/>
                <w:szCs w:val="18"/>
              </w:rPr>
            </w:pPr>
            <w:r w:rsidRPr="000F4238">
              <w:rPr>
                <w:rFonts w:eastAsia="Times New Roman" w:cs="Calibri"/>
                <w:b/>
                <w:bCs/>
                <w:color w:val="000000"/>
                <w:sz w:val="18"/>
                <w:szCs w:val="18"/>
              </w:rPr>
              <w:t>26,8</w:t>
            </w:r>
          </w:p>
        </w:tc>
      </w:tr>
      <w:tr w:rsidR="00A97CD3" w:rsidRPr="000F4238" w14:paraId="06F20771" w14:textId="77777777" w:rsidTr="63259912">
        <w:trPr>
          <w:trHeight w:val="288"/>
        </w:trPr>
        <w:tc>
          <w:tcPr>
            <w:tcW w:w="3114"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39FF857E" w14:textId="77777777" w:rsidR="00A97CD3" w:rsidRPr="000F4238" w:rsidRDefault="00A97CD3" w:rsidP="00A97CD3">
            <w:pPr>
              <w:spacing w:after="0"/>
              <w:jc w:val="left"/>
              <w:rPr>
                <w:rFonts w:eastAsia="Times New Roman" w:cs="Calibri"/>
                <w:b/>
                <w:bCs/>
                <w:color w:val="000000"/>
                <w:sz w:val="18"/>
                <w:szCs w:val="18"/>
              </w:rPr>
            </w:pPr>
            <w:r w:rsidRPr="000F4238">
              <w:rPr>
                <w:rFonts w:eastAsia="Times New Roman" w:cs="Calibri"/>
                <w:b/>
                <w:bCs/>
                <w:color w:val="000000"/>
                <w:sz w:val="18"/>
                <w:szCs w:val="18"/>
              </w:rPr>
              <w:t>Električna energija iz OIE</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AB0F4DD" w14:textId="77777777" w:rsidR="00A97CD3" w:rsidRPr="000F4238" w:rsidRDefault="00A97CD3" w:rsidP="00A97CD3">
            <w:pPr>
              <w:spacing w:after="0"/>
              <w:jc w:val="right"/>
              <w:rPr>
                <w:rFonts w:eastAsia="Times New Roman" w:cs="Calibri"/>
                <w:b/>
                <w:bCs/>
                <w:color w:val="000000"/>
                <w:sz w:val="18"/>
                <w:szCs w:val="18"/>
              </w:rPr>
            </w:pPr>
            <w:r w:rsidRPr="000F4238">
              <w:rPr>
                <w:rFonts w:eastAsia="Times New Roman" w:cs="Calibri"/>
                <w:b/>
                <w:bCs/>
                <w:color w:val="000000"/>
                <w:sz w:val="18"/>
                <w:szCs w:val="18"/>
              </w:rPr>
              <w:t>12,2</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1AE7DB5"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23,1</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E193DCD"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24,5</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964D263"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26,5</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BE815FB"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29,3</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19FF4E1"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33,3</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0824C81"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39,0</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1BDD8DD"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45,8</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B35749E" w14:textId="77777777" w:rsidR="00A97CD3" w:rsidRPr="000F4238" w:rsidRDefault="00A97CD3" w:rsidP="00A97CD3">
            <w:pPr>
              <w:spacing w:after="0"/>
              <w:jc w:val="right"/>
              <w:rPr>
                <w:rFonts w:eastAsia="Times New Roman" w:cs="Calibri"/>
                <w:color w:val="000000"/>
                <w:sz w:val="18"/>
                <w:szCs w:val="18"/>
              </w:rPr>
            </w:pPr>
            <w:r w:rsidRPr="000F4238">
              <w:rPr>
                <w:rFonts w:eastAsia="Times New Roman" w:cs="Calibri"/>
                <w:color w:val="000000"/>
                <w:sz w:val="18"/>
                <w:szCs w:val="18"/>
              </w:rPr>
              <w:t>54,3</w:t>
            </w:r>
          </w:p>
        </w:tc>
        <w:tc>
          <w:tcPr>
            <w:tcW w:w="620"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CC7C58A" w14:textId="77777777" w:rsidR="00A97CD3" w:rsidRPr="000F4238" w:rsidRDefault="00A97CD3" w:rsidP="00A97CD3">
            <w:pPr>
              <w:spacing w:after="0"/>
              <w:jc w:val="right"/>
              <w:rPr>
                <w:rFonts w:eastAsia="Times New Roman" w:cs="Calibri"/>
                <w:b/>
                <w:bCs/>
                <w:color w:val="000000"/>
                <w:sz w:val="18"/>
                <w:szCs w:val="18"/>
              </w:rPr>
            </w:pPr>
            <w:r w:rsidRPr="000F4238">
              <w:rPr>
                <w:rFonts w:eastAsia="Times New Roman" w:cs="Calibri"/>
                <w:b/>
                <w:bCs/>
                <w:color w:val="000000"/>
                <w:sz w:val="18"/>
                <w:szCs w:val="18"/>
              </w:rPr>
              <w:t>64,3</w:t>
            </w:r>
          </w:p>
        </w:tc>
      </w:tr>
    </w:tbl>
    <w:p w14:paraId="4F8BACF0" w14:textId="77777777" w:rsidR="009B7B6D" w:rsidRPr="009B7B6D" w:rsidRDefault="009B7B6D" w:rsidP="00EB4471"/>
    <w:p w14:paraId="5E15E795" w14:textId="5913F92E" w:rsidR="00432DEF" w:rsidRDefault="00432DEF" w:rsidP="00310463">
      <w:pPr>
        <w:jc w:val="center"/>
        <w:rPr>
          <w:highlight w:val="yellow"/>
        </w:rPr>
      </w:pPr>
    </w:p>
    <w:p w14:paraId="37FBB53C" w14:textId="77777777" w:rsidR="001D743C" w:rsidRPr="00310463" w:rsidRDefault="001D743C" w:rsidP="004623DD">
      <w:pPr>
        <w:rPr>
          <w:sz w:val="16"/>
          <w:szCs w:val="16"/>
          <w:highlight w:val="yellow"/>
        </w:rPr>
      </w:pPr>
    </w:p>
    <w:p w14:paraId="158788A1" w14:textId="0913DE79" w:rsidR="005E6AF5" w:rsidRDefault="00F34FB8" w:rsidP="00A61244">
      <w:pPr>
        <w:spacing w:after="0"/>
      </w:pPr>
      <w:r w:rsidRPr="00F34FB8">
        <w:rPr>
          <w:noProof/>
        </w:rPr>
        <w:lastRenderedPageBreak/>
        <w:drawing>
          <wp:inline distT="0" distB="0" distL="0" distR="0" wp14:anchorId="422C25F0" wp14:editId="11608A25">
            <wp:extent cx="2678723" cy="1758838"/>
            <wp:effectExtent l="0" t="0" r="7620" b="0"/>
            <wp:docPr id="1231997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4645" cy="1782424"/>
                    </a:xfrm>
                    <a:prstGeom prst="rect">
                      <a:avLst/>
                    </a:prstGeom>
                    <a:noFill/>
                    <a:ln>
                      <a:noFill/>
                    </a:ln>
                  </pic:spPr>
                </pic:pic>
              </a:graphicData>
            </a:graphic>
          </wp:inline>
        </w:drawing>
      </w:r>
      <w:r w:rsidR="00DC6C43" w:rsidRPr="00DC6C43">
        <w:rPr>
          <w:noProof/>
        </w:rPr>
        <w:drawing>
          <wp:inline distT="0" distB="0" distL="0" distR="0" wp14:anchorId="39C904B7" wp14:editId="2E841880">
            <wp:extent cx="2552700" cy="1751330"/>
            <wp:effectExtent l="0" t="0" r="0" b="1270"/>
            <wp:docPr id="1616663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6282" cy="1760648"/>
                    </a:xfrm>
                    <a:prstGeom prst="rect">
                      <a:avLst/>
                    </a:prstGeom>
                    <a:noFill/>
                    <a:ln>
                      <a:noFill/>
                    </a:ln>
                  </pic:spPr>
                </pic:pic>
              </a:graphicData>
            </a:graphic>
          </wp:inline>
        </w:drawing>
      </w:r>
    </w:p>
    <w:p w14:paraId="4C1F1E59" w14:textId="35779688" w:rsidR="005E6AF5" w:rsidRDefault="00D51F02" w:rsidP="008D77D1">
      <w:pPr>
        <w:spacing w:after="0"/>
      </w:pPr>
      <w:r w:rsidRPr="00D51F02">
        <w:rPr>
          <w:noProof/>
          <w:lang w:eastAsia="hr-HR"/>
        </w:rPr>
        <w:drawing>
          <wp:inline distT="0" distB="0" distL="0" distR="0" wp14:anchorId="65C4DFB2" wp14:editId="5D846367">
            <wp:extent cx="2678430" cy="1617541"/>
            <wp:effectExtent l="0" t="0" r="7620" b="1905"/>
            <wp:docPr id="128166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8165" cy="1635498"/>
                    </a:xfrm>
                    <a:prstGeom prst="rect">
                      <a:avLst/>
                    </a:prstGeom>
                    <a:noFill/>
                    <a:ln>
                      <a:noFill/>
                    </a:ln>
                  </pic:spPr>
                </pic:pic>
              </a:graphicData>
            </a:graphic>
          </wp:inline>
        </w:drawing>
      </w:r>
      <w:r w:rsidR="008D77D1" w:rsidRPr="008D77D1">
        <w:rPr>
          <w:noProof/>
        </w:rPr>
        <w:drawing>
          <wp:inline distT="0" distB="0" distL="0" distR="0" wp14:anchorId="5E438112" wp14:editId="717714A0">
            <wp:extent cx="2567940" cy="1622425"/>
            <wp:effectExtent l="0" t="0" r="3810" b="0"/>
            <wp:docPr id="1058401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4642" cy="1639295"/>
                    </a:xfrm>
                    <a:prstGeom prst="rect">
                      <a:avLst/>
                    </a:prstGeom>
                    <a:noFill/>
                    <a:ln>
                      <a:noFill/>
                    </a:ln>
                  </pic:spPr>
                </pic:pic>
              </a:graphicData>
            </a:graphic>
          </wp:inline>
        </w:drawing>
      </w:r>
    </w:p>
    <w:p w14:paraId="33B3C4DF" w14:textId="228E378B" w:rsidR="00D94499" w:rsidRDefault="00D94499" w:rsidP="00D94499">
      <w:pPr>
        <w:pStyle w:val="Caption"/>
      </w:pPr>
      <w:bookmarkStart w:id="278" w:name="_Toc193035888"/>
      <w:r w:rsidRPr="00B47BDA">
        <w:t xml:space="preserve">Slika </w:t>
      </w:r>
      <w:r>
        <w:fldChar w:fldCharType="begin"/>
      </w:r>
      <w:r>
        <w:instrText>STYLEREF 1 \s</w:instrText>
      </w:r>
      <w:r>
        <w:fldChar w:fldCharType="separate"/>
      </w:r>
      <w:r>
        <w:rPr>
          <w:noProof/>
        </w:rPr>
        <w:t>2</w:t>
      </w:r>
      <w:r>
        <w:fldChar w:fldCharType="end"/>
      </w:r>
      <w:r>
        <w:t>–</w:t>
      </w:r>
      <w:r>
        <w:fldChar w:fldCharType="begin"/>
      </w:r>
      <w:r>
        <w:instrText>SEQ Slika \* ARABIC \s 1</w:instrText>
      </w:r>
      <w:r>
        <w:fldChar w:fldCharType="separate"/>
      </w:r>
      <w:r w:rsidR="009D349A">
        <w:rPr>
          <w:noProof/>
        </w:rPr>
        <w:t>11</w:t>
      </w:r>
      <w:r>
        <w:fldChar w:fldCharType="end"/>
      </w:r>
      <w:r>
        <w:t xml:space="preserve">. </w:t>
      </w:r>
      <w:r w:rsidRPr="00B47BDA">
        <w:t>Ocijenjeni doprinosi OIE tehnologija po sektorima</w:t>
      </w:r>
      <w:bookmarkEnd w:id="278"/>
    </w:p>
    <w:p w14:paraId="14C234DF" w14:textId="77777777" w:rsidR="00D94499" w:rsidRPr="00D94499" w:rsidRDefault="00D94499" w:rsidP="00A34986"/>
    <w:p w14:paraId="65EA71EB" w14:textId="0A179A4F" w:rsidR="00FC703B" w:rsidRDefault="009B53A7" w:rsidP="000B6608">
      <w:r w:rsidRPr="00B47BDA">
        <w:t>Očekivan</w:t>
      </w:r>
      <w:r w:rsidR="00B73E94" w:rsidRPr="00B47BDA">
        <w:t>a</w:t>
      </w:r>
      <w:r w:rsidRPr="00B47BDA">
        <w:t xml:space="preserve"> </w:t>
      </w:r>
      <w:r w:rsidRPr="00432DEF">
        <w:t>struktur</w:t>
      </w:r>
      <w:r w:rsidR="00B73E94" w:rsidRPr="00432DEF">
        <w:t xml:space="preserve">a kapaciteta za </w:t>
      </w:r>
      <w:r w:rsidRPr="00432DEF">
        <w:t>proizvodnju električne energije prikaz</w:t>
      </w:r>
      <w:r w:rsidR="00B3255A" w:rsidRPr="00432DEF">
        <w:t>uje</w:t>
      </w:r>
      <w:r w:rsidR="00B73E94" w:rsidRPr="00432DEF">
        <w:t xml:space="preserve"> </w:t>
      </w:r>
      <w:r w:rsidR="00102610">
        <w:t>T</w:t>
      </w:r>
      <w:r w:rsidR="00110E46">
        <w:t xml:space="preserve">ablica </w:t>
      </w:r>
      <w:r w:rsidR="00D002D5" w:rsidRPr="00432DEF">
        <w:fldChar w:fldCharType="begin"/>
      </w:r>
      <w:r w:rsidR="00D002D5" w:rsidRPr="00432DEF">
        <w:instrText xml:space="preserve"> REF _Ref20467526 \h </w:instrText>
      </w:r>
      <w:r w:rsidR="001E7B4A" w:rsidRPr="00432DEF">
        <w:instrText xml:space="preserve"> \* MERGEFORMAT </w:instrText>
      </w:r>
      <w:r w:rsidR="00D002D5" w:rsidRPr="00432DEF">
        <w:fldChar w:fldCharType="separate"/>
      </w:r>
      <w:r w:rsidR="00AD324D">
        <w:t>2</w:t>
      </w:r>
      <w:r w:rsidR="00AD324D" w:rsidRPr="00432DEF">
        <w:noBreakHyphen/>
      </w:r>
      <w:r w:rsidR="00AD324D">
        <w:t>6</w:t>
      </w:r>
      <w:r w:rsidR="00AD324D" w:rsidRPr="00432DEF">
        <w:t>.</w:t>
      </w:r>
      <w:r w:rsidR="00D002D5" w:rsidRPr="00432DEF">
        <w:fldChar w:fldCharType="end"/>
      </w:r>
      <w:r w:rsidRPr="00432DEF">
        <w:t xml:space="preserve"> i </w:t>
      </w:r>
      <w:r w:rsidR="00102610">
        <w:t>S</w:t>
      </w:r>
      <w:r w:rsidR="006908AC" w:rsidRPr="00432DEF">
        <w:t>li</w:t>
      </w:r>
      <w:r w:rsidR="00BE29D9">
        <w:t>ka</w:t>
      </w:r>
      <w:r w:rsidR="006908AC" w:rsidRPr="00432DEF">
        <w:t xml:space="preserve"> </w:t>
      </w:r>
      <w:r w:rsidR="00110E46">
        <w:fldChar w:fldCharType="begin"/>
      </w:r>
      <w:r w:rsidR="00110E46">
        <w:instrText xml:space="preserve"> REF _Ref61536231 \h </w:instrText>
      </w:r>
      <w:r w:rsidR="00110E46">
        <w:fldChar w:fldCharType="separate"/>
      </w:r>
      <w:r w:rsidR="00AD324D">
        <w:rPr>
          <w:noProof/>
        </w:rPr>
        <w:t>2</w:t>
      </w:r>
      <w:r w:rsidR="00AD324D">
        <w:noBreakHyphen/>
      </w:r>
      <w:r w:rsidR="00FC703B">
        <w:rPr>
          <w:noProof/>
        </w:rPr>
        <w:t>12</w:t>
      </w:r>
      <w:r w:rsidR="00AD324D">
        <w:t>.</w:t>
      </w:r>
      <w:r w:rsidR="00110E46">
        <w:fldChar w:fldCharType="end"/>
      </w:r>
      <w:r w:rsidR="00312582" w:rsidRPr="00432DEF">
        <w:t xml:space="preserve"> (kapaciteti su indikativni– očekuju se odstupanja između pojedinih tehnologija OIE)</w:t>
      </w:r>
      <w:r w:rsidR="0039320E" w:rsidRPr="00432DEF">
        <w:t>.</w:t>
      </w:r>
      <w:r w:rsidR="00BC40A5">
        <w:t xml:space="preserve"> </w:t>
      </w:r>
      <w:r w:rsidR="004C703F">
        <w:t>Razvoj pojedin</w:t>
      </w:r>
      <w:r w:rsidR="0015023F">
        <w:t>i</w:t>
      </w:r>
      <w:r w:rsidR="004C703F">
        <w:t xml:space="preserve">h tehnologija ovisit će o stanju na tržištu u pojedinom trenutku i moguće je da će se pojedine OIE tehnologije kroz neki period razvijati </w:t>
      </w:r>
      <w:r w:rsidR="00787E61">
        <w:t xml:space="preserve">intenzivnije od </w:t>
      </w:r>
      <w:r w:rsidR="00DE2310">
        <w:t>projiciranih</w:t>
      </w:r>
      <w:r w:rsidR="00AD76BF">
        <w:t xml:space="preserve">, a u nekom drugom periodu sporije. </w:t>
      </w:r>
      <w:r w:rsidR="0015023F">
        <w:t xml:space="preserve">Međutim, neophodno je da </w:t>
      </w:r>
      <w:r w:rsidR="00DD0732">
        <w:t xml:space="preserve">se kapaciteti svih </w:t>
      </w:r>
      <w:r w:rsidR="0006308A">
        <w:t xml:space="preserve">OIE tehnologija </w:t>
      </w:r>
      <w:r w:rsidR="00935523">
        <w:t>razvij</w:t>
      </w:r>
      <w:r w:rsidR="0079543B">
        <w:t>u u dovoljnoj mjeri da se ostvar</w:t>
      </w:r>
      <w:r w:rsidR="00556406">
        <w:t xml:space="preserve">i ciljani udio </w:t>
      </w:r>
      <w:r w:rsidR="00E541FE">
        <w:t>obnovljiv</w:t>
      </w:r>
      <w:r w:rsidR="0033102D">
        <w:t xml:space="preserve">e energije u </w:t>
      </w:r>
      <w:r w:rsidR="00F64EB3">
        <w:t xml:space="preserve">bruto neposrednoj potrošnji električne </w:t>
      </w:r>
      <w:r w:rsidR="00F64EB3" w:rsidRPr="00854141">
        <w:t>energije.</w:t>
      </w:r>
      <w:r w:rsidR="00F722D4" w:rsidRPr="00854141">
        <w:t xml:space="preserve"> </w:t>
      </w:r>
      <w:r w:rsidR="00CE5F85" w:rsidRPr="00854141">
        <w:t>Imajući u v</w:t>
      </w:r>
      <w:r w:rsidR="00854141" w:rsidRPr="00A34986">
        <w:t>i</w:t>
      </w:r>
      <w:r w:rsidR="00CE5F85" w:rsidRPr="00854141">
        <w:t xml:space="preserve">du taj cilj, </w:t>
      </w:r>
      <w:r w:rsidR="00B22329" w:rsidRPr="00854141">
        <w:t>u</w:t>
      </w:r>
      <w:r w:rsidR="00F722D4" w:rsidRPr="00854141">
        <w:t xml:space="preserve"> pogledu</w:t>
      </w:r>
      <w:r w:rsidR="00CE5F85" w:rsidRPr="00854141">
        <w:t xml:space="preserve"> </w:t>
      </w:r>
      <w:r w:rsidR="00B22329" w:rsidRPr="00854141">
        <w:t xml:space="preserve">lokacija </w:t>
      </w:r>
      <w:r w:rsidR="00B9537D" w:rsidRPr="00A34986">
        <w:t xml:space="preserve">i kapaciteta </w:t>
      </w:r>
      <w:r w:rsidR="00B22329" w:rsidRPr="00854141">
        <w:t xml:space="preserve">proizvodnje električne energije </w:t>
      </w:r>
      <w:r w:rsidR="00CE5F85" w:rsidRPr="00854141">
        <w:t xml:space="preserve">ključno je voditi računa o </w:t>
      </w:r>
      <w:r w:rsidR="00B9537D" w:rsidRPr="00854141">
        <w:t>kapacitetima distribucijske i prijenosne elektroenergetske mreže</w:t>
      </w:r>
      <w:r w:rsidR="00564401" w:rsidRPr="00854141">
        <w:t xml:space="preserve">, </w:t>
      </w:r>
      <w:r w:rsidR="00CD0975" w:rsidRPr="00854141">
        <w:t xml:space="preserve">odnosno </w:t>
      </w:r>
      <w:r w:rsidR="00B57BB8" w:rsidRPr="00854141">
        <w:t xml:space="preserve">o </w:t>
      </w:r>
      <w:r w:rsidR="007E5128">
        <w:t xml:space="preserve">značajno povećanim </w:t>
      </w:r>
      <w:r w:rsidR="00F730CB" w:rsidRPr="00854141">
        <w:t xml:space="preserve">iznosima </w:t>
      </w:r>
      <w:r w:rsidR="00564401" w:rsidRPr="00854141">
        <w:t>ulaganj</w:t>
      </w:r>
      <w:r w:rsidR="00B57BB8" w:rsidRPr="00854141">
        <w:t>a</w:t>
      </w:r>
      <w:r w:rsidR="00276E56" w:rsidRPr="00854141">
        <w:t xml:space="preserve"> u izgradnju potrebnih pojačanja mreže</w:t>
      </w:r>
      <w:r w:rsidR="00564401" w:rsidRPr="00854141">
        <w:t xml:space="preserve"> i </w:t>
      </w:r>
      <w:r w:rsidR="009210EA" w:rsidRPr="00854141">
        <w:t>mogućnosti</w:t>
      </w:r>
      <w:r w:rsidR="00F730CB" w:rsidRPr="00854141">
        <w:t>ma</w:t>
      </w:r>
      <w:r w:rsidR="009210EA" w:rsidRPr="00536A23">
        <w:t xml:space="preserve"> </w:t>
      </w:r>
      <w:r w:rsidR="00276E56" w:rsidRPr="00536A23">
        <w:t xml:space="preserve">njihove </w:t>
      </w:r>
      <w:r w:rsidR="00F730CB" w:rsidRPr="00536A23">
        <w:t xml:space="preserve">pravovremene </w:t>
      </w:r>
      <w:r w:rsidR="00103158" w:rsidRPr="008B676B">
        <w:t>realizacije</w:t>
      </w:r>
      <w:r w:rsidR="0000284D" w:rsidRPr="008B676B">
        <w:t>.</w:t>
      </w:r>
      <w:r w:rsidR="00F730CB" w:rsidRPr="008B676B">
        <w:t xml:space="preserve"> </w:t>
      </w:r>
      <w:r w:rsidR="00AB5219" w:rsidRPr="008B676B">
        <w:t xml:space="preserve">Stoga je potrebno maksimalno poticati korištenje već postojeće elektroenergetske infrastrukture </w:t>
      </w:r>
      <w:r w:rsidR="00901808" w:rsidRPr="008B676B">
        <w:t xml:space="preserve">i </w:t>
      </w:r>
      <w:r w:rsidR="00054C8B" w:rsidRPr="008B676B">
        <w:t xml:space="preserve">proizvodnju električne energije integriranu </w:t>
      </w:r>
      <w:r w:rsidR="004C7442" w:rsidRPr="008B676B">
        <w:t>unutar izgrađenih površina</w:t>
      </w:r>
      <w:r w:rsidR="003320A5" w:rsidRPr="008B676B">
        <w:t xml:space="preserve">, </w:t>
      </w:r>
      <w:r w:rsidR="00992D78" w:rsidRPr="008B676B">
        <w:t xml:space="preserve">u kapacitetima primjerenim </w:t>
      </w:r>
      <w:r w:rsidR="00205E63" w:rsidRPr="008B676B">
        <w:t>energetskim potrebama u blizini lokacije proizvodnje</w:t>
      </w:r>
      <w:r w:rsidR="00890C8D" w:rsidRPr="008B676B">
        <w:t>. Na taj način</w:t>
      </w:r>
      <w:r w:rsidR="002930F1" w:rsidRPr="008B676B">
        <w:t xml:space="preserve"> se</w:t>
      </w:r>
      <w:r w:rsidR="00890C8D" w:rsidRPr="008B676B">
        <w:t>,</w:t>
      </w:r>
      <w:r w:rsidR="002930F1" w:rsidRPr="008B676B">
        <w:t xml:space="preserve"> osim smanjenja </w:t>
      </w:r>
      <w:r w:rsidR="00261BAC" w:rsidRPr="008B676B">
        <w:t>dodatnih ulaganja u elektroenergetsku mrežu</w:t>
      </w:r>
      <w:r w:rsidR="00890C8D" w:rsidRPr="008B676B">
        <w:t xml:space="preserve">, </w:t>
      </w:r>
      <w:r w:rsidR="00261BAC" w:rsidRPr="008B676B">
        <w:t xml:space="preserve">povećava i energetska učinkovitost </w:t>
      </w:r>
      <w:r w:rsidR="004A29D6" w:rsidRPr="008B676B">
        <w:t xml:space="preserve">elektroenergetske infrastrukture. </w:t>
      </w:r>
      <w:r w:rsidR="002C62FE" w:rsidRPr="008B676B">
        <w:t>Nasuprot tome, r</w:t>
      </w:r>
      <w:r w:rsidR="00843C6F" w:rsidRPr="008B676B">
        <w:t xml:space="preserve">azvijanje </w:t>
      </w:r>
      <w:r w:rsidR="002C62FE" w:rsidRPr="008B676B">
        <w:t>velikih kapaciteta</w:t>
      </w:r>
      <w:r w:rsidR="00441C23" w:rsidRPr="008B676B">
        <w:t xml:space="preserve"> </w:t>
      </w:r>
      <w:r w:rsidR="00EB27A3" w:rsidRPr="008B676B">
        <w:t>proizvodnje električne energije na lokacijama udaljenim od potrošnje</w:t>
      </w:r>
      <w:r w:rsidR="009B78FE" w:rsidRPr="008B676B">
        <w:t xml:space="preserve"> </w:t>
      </w:r>
      <w:r w:rsidR="00C770B7" w:rsidRPr="008B676B">
        <w:t xml:space="preserve">ili </w:t>
      </w:r>
      <w:r w:rsidR="00AA6AEB" w:rsidRPr="008B676B">
        <w:t>pre</w:t>
      </w:r>
      <w:r w:rsidR="001962EB" w:rsidRPr="008B676B">
        <w:t xml:space="preserve">kapacitiranih u odnosu na lokalne elektroenergetske potrebe </w:t>
      </w:r>
      <w:r w:rsidR="00E03737" w:rsidRPr="008B676B">
        <w:t>u pravilu znači ni</w:t>
      </w:r>
      <w:r w:rsidR="007708C1" w:rsidRPr="008B676B">
        <w:t>žu energetsku učinkovitost</w:t>
      </w:r>
      <w:r w:rsidR="00FA3357" w:rsidRPr="008B676B">
        <w:t xml:space="preserve">, </w:t>
      </w:r>
      <w:r w:rsidR="00F46ED7" w:rsidRPr="008B676B">
        <w:t>zahtijeva</w:t>
      </w:r>
      <w:r w:rsidR="00C77825" w:rsidRPr="008B676B">
        <w:t xml:space="preserve"> </w:t>
      </w:r>
      <w:r w:rsidR="008B676B">
        <w:t>dodatno povećana</w:t>
      </w:r>
      <w:r w:rsidR="00320813" w:rsidRPr="008B676B">
        <w:t xml:space="preserve"> ulaganja u novu i postojeću elektroenergetsku mrežu</w:t>
      </w:r>
      <w:r w:rsidR="00E64B0E" w:rsidRPr="008B676B">
        <w:t xml:space="preserve"> i</w:t>
      </w:r>
      <w:r w:rsidR="0076735C" w:rsidRPr="008B676B">
        <w:t xml:space="preserve"> </w:t>
      </w:r>
      <w:r w:rsidR="00C770B7" w:rsidRPr="008B676B">
        <w:t>zauzimanje novih površina</w:t>
      </w:r>
      <w:r w:rsidR="00F42940" w:rsidRPr="008B676B">
        <w:t xml:space="preserve"> s nepovol</w:t>
      </w:r>
      <w:r w:rsidR="00B64B4D" w:rsidRPr="008B676B">
        <w:t>j</w:t>
      </w:r>
      <w:r w:rsidR="00F42940" w:rsidRPr="008B676B">
        <w:t>nim utjecajem na okoliš</w:t>
      </w:r>
      <w:r w:rsidR="00805DC3" w:rsidRPr="008B676B">
        <w:t xml:space="preserve">, povećavajući time </w:t>
      </w:r>
      <w:r w:rsidR="00BF32DB" w:rsidRPr="008B676B">
        <w:t xml:space="preserve">trošak energetske tranzicije i rizik nepostizanja </w:t>
      </w:r>
      <w:r w:rsidR="009E63E7" w:rsidRPr="008B676B">
        <w:t>ciljeva udjela obnovljive energije u bruto neposrednoj potrošnji električne energije</w:t>
      </w:r>
      <w:r w:rsidR="00844AE2" w:rsidRPr="008B676B">
        <w:t>.</w:t>
      </w:r>
    </w:p>
    <w:p w14:paraId="109C697A" w14:textId="77777777" w:rsidR="00605E78" w:rsidRDefault="00605E78" w:rsidP="000B6608"/>
    <w:p w14:paraId="7EA0403D" w14:textId="77777777" w:rsidR="00605E78" w:rsidRDefault="00605E78" w:rsidP="000B6608"/>
    <w:p w14:paraId="55BDEC22" w14:textId="77777777" w:rsidR="00432DEF" w:rsidRPr="00432DEF" w:rsidRDefault="00432DEF" w:rsidP="004623DD"/>
    <w:p w14:paraId="2B12D2A6" w14:textId="208F7ED2" w:rsidR="009B53A7" w:rsidRDefault="009B53A7" w:rsidP="004623DD">
      <w:pPr>
        <w:pStyle w:val="Caption"/>
      </w:pPr>
      <w:bookmarkStart w:id="279" w:name="_Ref532199857"/>
      <w:bookmarkStart w:id="280" w:name="_Toc193035947"/>
      <w:r w:rsidRPr="00432DEF">
        <w:lastRenderedPageBreak/>
        <w:t xml:space="preserve">Tablica </w:t>
      </w:r>
      <w:bookmarkStart w:id="281" w:name="_Ref20467526"/>
      <w:r w:rsidR="00DE7F11" w:rsidRPr="00432DEF">
        <w:fldChar w:fldCharType="begin"/>
      </w:r>
      <w:r w:rsidR="00DE7F11" w:rsidRPr="00432DEF">
        <w:instrText xml:space="preserve"> STYLEREF 1 \s </w:instrText>
      </w:r>
      <w:r w:rsidR="00DE7F11" w:rsidRPr="00432DEF">
        <w:fldChar w:fldCharType="separate"/>
      </w:r>
      <w:r w:rsidR="00AD324D">
        <w:rPr>
          <w:noProof/>
        </w:rPr>
        <w:t>2</w:t>
      </w:r>
      <w:r w:rsidR="00DE7F11" w:rsidRPr="00432DEF">
        <w:fldChar w:fldCharType="end"/>
      </w:r>
      <w:r w:rsidR="00DE7F11" w:rsidRPr="00432DEF">
        <w:noBreakHyphen/>
      </w:r>
      <w:r>
        <w:fldChar w:fldCharType="begin"/>
      </w:r>
      <w:r>
        <w:instrText>SEQ Tablica \* ARABIC \s 1</w:instrText>
      </w:r>
      <w:r>
        <w:fldChar w:fldCharType="separate"/>
      </w:r>
      <w:r w:rsidR="00AD324D">
        <w:rPr>
          <w:noProof/>
        </w:rPr>
        <w:t>6</w:t>
      </w:r>
      <w:r>
        <w:fldChar w:fldCharType="end"/>
      </w:r>
      <w:r w:rsidRPr="00432DEF">
        <w:t>.</w:t>
      </w:r>
      <w:bookmarkEnd w:id="281"/>
      <w:r w:rsidRPr="00432DEF">
        <w:t xml:space="preserve"> Očekivana snaga elektrana</w:t>
      </w:r>
      <w:bookmarkEnd w:id="279"/>
      <w:r w:rsidRPr="00432DEF">
        <w:t xml:space="preserve"> </w:t>
      </w:r>
      <w:r w:rsidR="00674AE5" w:rsidRPr="00432DEF">
        <w:t>u scenariju s dodatnim (WAM) mjerama</w:t>
      </w:r>
      <w:r w:rsidRPr="00432DEF">
        <w:t xml:space="preserve"> </w:t>
      </w:r>
      <w:r w:rsidR="00BA6DBA" w:rsidRPr="00432DEF">
        <w:t>(MW)</w:t>
      </w:r>
      <w:bookmarkEnd w:id="280"/>
    </w:p>
    <w:tbl>
      <w:tblPr>
        <w:tblW w:w="4772" w:type="pct"/>
        <w:jc w:val="center"/>
        <w:tblLayout w:type="fixed"/>
        <w:tblLook w:val="04A0" w:firstRow="1" w:lastRow="0" w:firstColumn="1" w:lastColumn="0" w:noHBand="0" w:noVBand="1"/>
      </w:tblPr>
      <w:tblGrid>
        <w:gridCol w:w="511"/>
        <w:gridCol w:w="897"/>
        <w:gridCol w:w="515"/>
        <w:gridCol w:w="478"/>
        <w:gridCol w:w="708"/>
        <w:gridCol w:w="567"/>
        <w:gridCol w:w="710"/>
        <w:gridCol w:w="708"/>
        <w:gridCol w:w="1133"/>
        <w:gridCol w:w="708"/>
        <w:gridCol w:w="852"/>
        <w:gridCol w:w="850"/>
      </w:tblGrid>
      <w:tr w:rsidR="00AD56E9" w:rsidRPr="000A21AC" w14:paraId="07E0CE9E" w14:textId="77777777" w:rsidTr="00AD56E9">
        <w:trPr>
          <w:trHeight w:val="777"/>
          <w:jc w:val="center"/>
        </w:trPr>
        <w:tc>
          <w:tcPr>
            <w:tcW w:w="296" w:type="pct"/>
            <w:tcBorders>
              <w:top w:val="single" w:sz="8" w:space="0" w:color="auto"/>
              <w:left w:val="single" w:sz="8" w:space="0" w:color="auto"/>
              <w:bottom w:val="single" w:sz="8" w:space="0" w:color="auto"/>
              <w:right w:val="single" w:sz="8" w:space="0" w:color="auto"/>
            </w:tcBorders>
            <w:shd w:val="clear" w:color="auto" w:fill="D9E2F3" w:themeFill="accent5" w:themeFillTint="33"/>
            <w:tcMar>
              <w:left w:w="0" w:type="dxa"/>
              <w:right w:w="0" w:type="dxa"/>
            </w:tcMar>
            <w:vAlign w:val="center"/>
            <w:hideMark/>
          </w:tcPr>
          <w:p w14:paraId="151693A6" w14:textId="77777777" w:rsidR="003032D8" w:rsidRPr="00B8628D" w:rsidRDefault="003032D8">
            <w:pPr>
              <w:spacing w:after="0"/>
              <w:jc w:val="center"/>
              <w:rPr>
                <w:rFonts w:asciiTheme="minorHAnsi" w:hAnsiTheme="minorHAnsi" w:cstheme="minorHAnsi"/>
                <w:b/>
                <w:color w:val="000000"/>
                <w:sz w:val="18"/>
                <w:szCs w:val="18"/>
                <w:lang w:eastAsia="hr-HR"/>
              </w:rPr>
            </w:pPr>
            <w:r w:rsidRPr="00B8628D">
              <w:rPr>
                <w:rFonts w:asciiTheme="minorHAnsi" w:hAnsiTheme="minorHAnsi" w:cstheme="minorHAnsi"/>
                <w:b/>
                <w:color w:val="000000"/>
                <w:sz w:val="18"/>
                <w:szCs w:val="18"/>
                <w:lang w:eastAsia="hr-HR"/>
              </w:rPr>
              <w:t>MW</w:t>
            </w:r>
          </w:p>
        </w:tc>
        <w:tc>
          <w:tcPr>
            <w:tcW w:w="519" w:type="pct"/>
            <w:tcBorders>
              <w:top w:val="single" w:sz="8" w:space="0" w:color="auto"/>
              <w:left w:val="nil"/>
              <w:bottom w:val="single" w:sz="8" w:space="0" w:color="auto"/>
              <w:right w:val="single" w:sz="8" w:space="0" w:color="auto"/>
            </w:tcBorders>
            <w:shd w:val="clear" w:color="auto" w:fill="D9E2F3" w:themeFill="accent5" w:themeFillTint="33"/>
            <w:tcMar>
              <w:left w:w="0" w:type="dxa"/>
              <w:right w:w="0" w:type="dxa"/>
            </w:tcMar>
            <w:vAlign w:val="center"/>
            <w:hideMark/>
          </w:tcPr>
          <w:p w14:paraId="1E2AF7B6" w14:textId="77777777" w:rsidR="003032D8" w:rsidRPr="00B8628D" w:rsidRDefault="003032D8">
            <w:pPr>
              <w:spacing w:after="0"/>
              <w:jc w:val="center"/>
              <w:rPr>
                <w:rFonts w:asciiTheme="minorHAnsi" w:hAnsiTheme="minorHAnsi" w:cstheme="minorHAnsi"/>
                <w:b/>
                <w:color w:val="000000"/>
                <w:sz w:val="18"/>
                <w:szCs w:val="18"/>
                <w:lang w:eastAsia="hr-HR"/>
              </w:rPr>
            </w:pPr>
            <w:r w:rsidRPr="00B8628D">
              <w:rPr>
                <w:rFonts w:asciiTheme="minorHAnsi" w:hAnsiTheme="minorHAnsi" w:cstheme="minorHAnsi"/>
                <w:b/>
                <w:color w:val="000000"/>
                <w:sz w:val="18"/>
                <w:szCs w:val="18"/>
                <w:lang w:eastAsia="hr-HR"/>
              </w:rPr>
              <w:t>Nuklearna</w:t>
            </w:r>
          </w:p>
        </w:tc>
        <w:tc>
          <w:tcPr>
            <w:tcW w:w="298" w:type="pct"/>
            <w:tcBorders>
              <w:top w:val="single" w:sz="8" w:space="0" w:color="auto"/>
              <w:left w:val="nil"/>
              <w:bottom w:val="single" w:sz="8" w:space="0" w:color="auto"/>
              <w:right w:val="single" w:sz="8" w:space="0" w:color="auto"/>
            </w:tcBorders>
            <w:shd w:val="clear" w:color="auto" w:fill="D9E2F3" w:themeFill="accent5" w:themeFillTint="33"/>
            <w:tcMar>
              <w:left w:w="0" w:type="dxa"/>
              <w:right w:w="0" w:type="dxa"/>
            </w:tcMar>
            <w:vAlign w:val="center"/>
            <w:hideMark/>
          </w:tcPr>
          <w:p w14:paraId="716DC1A1" w14:textId="77777777" w:rsidR="003032D8" w:rsidRPr="00B8628D" w:rsidRDefault="003032D8">
            <w:pPr>
              <w:spacing w:after="0"/>
              <w:jc w:val="center"/>
              <w:rPr>
                <w:rFonts w:asciiTheme="minorHAnsi" w:hAnsiTheme="minorHAnsi" w:cstheme="minorHAnsi"/>
                <w:b/>
                <w:color w:val="000000"/>
                <w:sz w:val="18"/>
                <w:szCs w:val="18"/>
                <w:lang w:eastAsia="hr-HR"/>
              </w:rPr>
            </w:pPr>
            <w:r w:rsidRPr="00B8628D">
              <w:rPr>
                <w:rFonts w:asciiTheme="minorHAnsi" w:hAnsiTheme="minorHAnsi" w:cstheme="minorHAnsi"/>
                <w:b/>
                <w:color w:val="000000"/>
                <w:sz w:val="18"/>
                <w:szCs w:val="18"/>
                <w:lang w:eastAsia="hr-HR"/>
              </w:rPr>
              <w:t>Hidro</w:t>
            </w:r>
          </w:p>
        </w:tc>
        <w:tc>
          <w:tcPr>
            <w:tcW w:w="277" w:type="pct"/>
            <w:tcBorders>
              <w:top w:val="single" w:sz="8" w:space="0" w:color="auto"/>
              <w:left w:val="nil"/>
              <w:bottom w:val="single" w:sz="8" w:space="0" w:color="auto"/>
              <w:right w:val="single" w:sz="8" w:space="0" w:color="auto"/>
            </w:tcBorders>
            <w:shd w:val="clear" w:color="auto" w:fill="D9E2F3" w:themeFill="accent5" w:themeFillTint="33"/>
            <w:tcMar>
              <w:left w:w="0" w:type="dxa"/>
              <w:right w:w="0" w:type="dxa"/>
            </w:tcMar>
            <w:vAlign w:val="center"/>
            <w:hideMark/>
          </w:tcPr>
          <w:p w14:paraId="1AAA2664" w14:textId="6F4A8863" w:rsidR="003032D8" w:rsidRPr="00B8628D" w:rsidRDefault="003032D8">
            <w:pPr>
              <w:spacing w:after="0"/>
              <w:jc w:val="center"/>
              <w:rPr>
                <w:rFonts w:asciiTheme="minorHAnsi" w:hAnsiTheme="minorHAnsi" w:cstheme="minorHAnsi"/>
                <w:b/>
                <w:color w:val="000000"/>
                <w:sz w:val="18"/>
                <w:szCs w:val="18"/>
                <w:vertAlign w:val="superscript"/>
                <w:lang w:eastAsia="hr-HR"/>
              </w:rPr>
            </w:pPr>
            <w:r w:rsidRPr="00B8628D">
              <w:rPr>
                <w:rFonts w:asciiTheme="minorHAnsi" w:hAnsiTheme="minorHAnsi" w:cstheme="minorHAnsi"/>
                <w:b/>
                <w:color w:val="000000"/>
                <w:sz w:val="18"/>
                <w:szCs w:val="18"/>
                <w:lang w:eastAsia="hr-HR"/>
              </w:rPr>
              <w:t>Plin</w:t>
            </w:r>
          </w:p>
        </w:tc>
        <w:tc>
          <w:tcPr>
            <w:tcW w:w="410" w:type="pct"/>
            <w:tcBorders>
              <w:top w:val="single" w:sz="8" w:space="0" w:color="auto"/>
              <w:left w:val="nil"/>
              <w:bottom w:val="single" w:sz="8" w:space="0" w:color="auto"/>
              <w:right w:val="single" w:sz="8" w:space="0" w:color="auto"/>
            </w:tcBorders>
            <w:shd w:val="clear" w:color="auto" w:fill="D9E2F3" w:themeFill="accent5" w:themeFillTint="33"/>
            <w:tcMar>
              <w:left w:w="0" w:type="dxa"/>
              <w:right w:w="0" w:type="dxa"/>
            </w:tcMar>
            <w:vAlign w:val="center"/>
            <w:hideMark/>
          </w:tcPr>
          <w:p w14:paraId="0C8F8932" w14:textId="4F229564" w:rsidR="003032D8" w:rsidRPr="00B8628D" w:rsidRDefault="003032D8">
            <w:pPr>
              <w:spacing w:after="0"/>
              <w:jc w:val="center"/>
              <w:rPr>
                <w:rFonts w:asciiTheme="minorHAnsi" w:hAnsiTheme="minorHAnsi" w:cstheme="minorHAnsi"/>
                <w:b/>
                <w:color w:val="000000"/>
                <w:sz w:val="18"/>
                <w:szCs w:val="18"/>
                <w:vertAlign w:val="superscript"/>
                <w:lang w:eastAsia="hr-HR"/>
              </w:rPr>
            </w:pPr>
            <w:r w:rsidRPr="00B8628D">
              <w:rPr>
                <w:rFonts w:asciiTheme="minorHAnsi" w:hAnsiTheme="minorHAnsi" w:cstheme="minorHAnsi"/>
                <w:b/>
                <w:color w:val="000000"/>
                <w:sz w:val="18"/>
                <w:szCs w:val="18"/>
                <w:lang w:eastAsia="hr-HR"/>
              </w:rPr>
              <w:t>Lož ulje</w:t>
            </w:r>
          </w:p>
        </w:tc>
        <w:tc>
          <w:tcPr>
            <w:tcW w:w="328" w:type="pct"/>
            <w:tcBorders>
              <w:top w:val="single" w:sz="8" w:space="0" w:color="auto"/>
              <w:left w:val="nil"/>
              <w:bottom w:val="single" w:sz="8" w:space="0" w:color="auto"/>
              <w:right w:val="single" w:sz="8" w:space="0" w:color="auto"/>
            </w:tcBorders>
            <w:shd w:val="clear" w:color="auto" w:fill="D9E2F3" w:themeFill="accent5" w:themeFillTint="33"/>
            <w:tcMar>
              <w:left w:w="0" w:type="dxa"/>
              <w:right w:w="0" w:type="dxa"/>
            </w:tcMar>
            <w:vAlign w:val="center"/>
            <w:hideMark/>
          </w:tcPr>
          <w:p w14:paraId="798F05D9" w14:textId="77777777" w:rsidR="003032D8" w:rsidRPr="00B8628D" w:rsidRDefault="003032D8">
            <w:pPr>
              <w:spacing w:after="0"/>
              <w:jc w:val="center"/>
              <w:rPr>
                <w:rFonts w:asciiTheme="minorHAnsi" w:hAnsiTheme="minorHAnsi" w:cstheme="minorHAnsi"/>
                <w:b/>
                <w:color w:val="000000"/>
                <w:sz w:val="18"/>
                <w:szCs w:val="18"/>
                <w:lang w:eastAsia="hr-HR"/>
              </w:rPr>
            </w:pPr>
            <w:r w:rsidRPr="00B8628D">
              <w:rPr>
                <w:rFonts w:asciiTheme="minorHAnsi" w:hAnsiTheme="minorHAnsi" w:cstheme="minorHAnsi"/>
                <w:b/>
                <w:color w:val="000000"/>
                <w:sz w:val="18"/>
                <w:szCs w:val="18"/>
                <w:lang w:eastAsia="hr-HR"/>
              </w:rPr>
              <w:t>Ugljen</w:t>
            </w:r>
          </w:p>
        </w:tc>
        <w:tc>
          <w:tcPr>
            <w:tcW w:w="411" w:type="pct"/>
            <w:tcBorders>
              <w:top w:val="single" w:sz="8" w:space="0" w:color="auto"/>
              <w:left w:val="nil"/>
              <w:bottom w:val="single" w:sz="8" w:space="0" w:color="auto"/>
              <w:right w:val="single" w:sz="8" w:space="0" w:color="auto"/>
            </w:tcBorders>
            <w:shd w:val="clear" w:color="auto" w:fill="D9E2F3" w:themeFill="accent5" w:themeFillTint="33"/>
            <w:tcMar>
              <w:left w:w="0" w:type="dxa"/>
              <w:right w:w="0" w:type="dxa"/>
            </w:tcMar>
            <w:vAlign w:val="center"/>
            <w:hideMark/>
          </w:tcPr>
          <w:p w14:paraId="7EE048FE" w14:textId="77777777" w:rsidR="003032D8" w:rsidRPr="00B8628D" w:rsidRDefault="003032D8">
            <w:pPr>
              <w:spacing w:after="0"/>
              <w:jc w:val="center"/>
              <w:rPr>
                <w:rFonts w:asciiTheme="minorHAnsi" w:hAnsiTheme="minorHAnsi" w:cstheme="minorHAnsi"/>
                <w:b/>
                <w:color w:val="000000"/>
                <w:sz w:val="18"/>
                <w:szCs w:val="18"/>
                <w:lang w:eastAsia="hr-HR"/>
              </w:rPr>
            </w:pPr>
            <w:r w:rsidRPr="00B8628D">
              <w:rPr>
                <w:rFonts w:asciiTheme="minorHAnsi" w:hAnsiTheme="minorHAnsi" w:cstheme="minorHAnsi"/>
                <w:b/>
                <w:color w:val="000000"/>
                <w:sz w:val="18"/>
                <w:szCs w:val="18"/>
                <w:lang w:eastAsia="hr-HR"/>
              </w:rPr>
              <w:t>Biomasa</w:t>
            </w:r>
          </w:p>
        </w:tc>
        <w:tc>
          <w:tcPr>
            <w:tcW w:w="410" w:type="pct"/>
            <w:tcBorders>
              <w:top w:val="single" w:sz="8" w:space="0" w:color="auto"/>
              <w:left w:val="nil"/>
              <w:bottom w:val="single" w:sz="8" w:space="0" w:color="auto"/>
              <w:right w:val="single" w:sz="8" w:space="0" w:color="auto"/>
            </w:tcBorders>
            <w:shd w:val="clear" w:color="auto" w:fill="D9E2F3" w:themeFill="accent5" w:themeFillTint="33"/>
            <w:tcMar>
              <w:left w:w="0" w:type="dxa"/>
              <w:right w:w="0" w:type="dxa"/>
            </w:tcMar>
            <w:vAlign w:val="center"/>
            <w:hideMark/>
          </w:tcPr>
          <w:p w14:paraId="7D5D3F84" w14:textId="77777777" w:rsidR="003032D8" w:rsidRPr="00B8628D" w:rsidRDefault="003032D8">
            <w:pPr>
              <w:spacing w:after="0"/>
              <w:jc w:val="center"/>
              <w:rPr>
                <w:rFonts w:asciiTheme="minorHAnsi" w:hAnsiTheme="minorHAnsi" w:cstheme="minorHAnsi"/>
                <w:b/>
                <w:color w:val="000000"/>
                <w:sz w:val="18"/>
                <w:szCs w:val="18"/>
                <w:lang w:eastAsia="hr-HR"/>
              </w:rPr>
            </w:pPr>
            <w:r w:rsidRPr="00B8628D">
              <w:rPr>
                <w:rFonts w:asciiTheme="minorHAnsi" w:hAnsiTheme="minorHAnsi" w:cstheme="minorHAnsi"/>
                <w:b/>
                <w:color w:val="000000"/>
                <w:sz w:val="18"/>
                <w:szCs w:val="18"/>
                <w:lang w:eastAsia="hr-HR"/>
              </w:rPr>
              <w:t>Bioplin</w:t>
            </w:r>
          </w:p>
        </w:tc>
        <w:tc>
          <w:tcPr>
            <w:tcW w:w="656" w:type="pct"/>
            <w:tcBorders>
              <w:top w:val="single" w:sz="8" w:space="0" w:color="auto"/>
              <w:left w:val="nil"/>
              <w:bottom w:val="single" w:sz="8" w:space="0" w:color="auto"/>
              <w:right w:val="single" w:sz="8" w:space="0" w:color="auto"/>
            </w:tcBorders>
            <w:shd w:val="clear" w:color="auto" w:fill="D9E2F3" w:themeFill="accent5" w:themeFillTint="33"/>
            <w:tcMar>
              <w:left w:w="0" w:type="dxa"/>
              <w:right w:w="0" w:type="dxa"/>
            </w:tcMar>
            <w:vAlign w:val="center"/>
            <w:hideMark/>
          </w:tcPr>
          <w:p w14:paraId="7D5AA5E8" w14:textId="77777777" w:rsidR="003032D8" w:rsidRPr="00B8628D" w:rsidRDefault="003032D8">
            <w:pPr>
              <w:spacing w:after="0"/>
              <w:jc w:val="center"/>
              <w:rPr>
                <w:rFonts w:asciiTheme="minorHAnsi" w:hAnsiTheme="minorHAnsi" w:cstheme="minorHAnsi"/>
                <w:b/>
                <w:color w:val="000000"/>
                <w:sz w:val="18"/>
                <w:szCs w:val="18"/>
                <w:lang w:eastAsia="hr-HR"/>
              </w:rPr>
            </w:pPr>
            <w:r w:rsidRPr="00B8628D">
              <w:rPr>
                <w:rFonts w:asciiTheme="minorHAnsi" w:hAnsiTheme="minorHAnsi" w:cstheme="minorHAnsi"/>
                <w:b/>
                <w:color w:val="000000"/>
                <w:sz w:val="18"/>
                <w:szCs w:val="18"/>
                <w:lang w:eastAsia="hr-HR"/>
              </w:rPr>
              <w:t>Geotermalna</w:t>
            </w:r>
          </w:p>
        </w:tc>
        <w:tc>
          <w:tcPr>
            <w:tcW w:w="410" w:type="pct"/>
            <w:tcBorders>
              <w:top w:val="single" w:sz="8" w:space="0" w:color="auto"/>
              <w:left w:val="nil"/>
              <w:bottom w:val="single" w:sz="8" w:space="0" w:color="auto"/>
              <w:right w:val="single" w:sz="8" w:space="0" w:color="auto"/>
            </w:tcBorders>
            <w:shd w:val="clear" w:color="auto" w:fill="D9E2F3" w:themeFill="accent5" w:themeFillTint="33"/>
            <w:tcMar>
              <w:left w:w="0" w:type="dxa"/>
              <w:right w:w="0" w:type="dxa"/>
            </w:tcMar>
            <w:vAlign w:val="center"/>
            <w:hideMark/>
          </w:tcPr>
          <w:p w14:paraId="199BB855" w14:textId="77777777" w:rsidR="003032D8" w:rsidRPr="00B8628D" w:rsidRDefault="003032D8">
            <w:pPr>
              <w:spacing w:after="0"/>
              <w:jc w:val="center"/>
              <w:rPr>
                <w:rFonts w:asciiTheme="minorHAnsi" w:hAnsiTheme="minorHAnsi" w:cstheme="minorHAnsi"/>
                <w:b/>
                <w:color w:val="000000"/>
                <w:sz w:val="18"/>
                <w:szCs w:val="18"/>
                <w:lang w:eastAsia="hr-HR"/>
              </w:rPr>
            </w:pPr>
            <w:r w:rsidRPr="00B8628D">
              <w:rPr>
                <w:rFonts w:asciiTheme="minorHAnsi" w:hAnsiTheme="minorHAnsi" w:cstheme="minorHAnsi"/>
                <w:b/>
                <w:color w:val="000000"/>
                <w:sz w:val="18"/>
                <w:szCs w:val="18"/>
                <w:lang w:eastAsia="hr-HR"/>
              </w:rPr>
              <w:t>Vjetar</w:t>
            </w:r>
          </w:p>
        </w:tc>
        <w:tc>
          <w:tcPr>
            <w:tcW w:w="493" w:type="pct"/>
            <w:tcBorders>
              <w:top w:val="single" w:sz="8" w:space="0" w:color="auto"/>
              <w:left w:val="nil"/>
              <w:bottom w:val="single" w:sz="8" w:space="0" w:color="auto"/>
              <w:right w:val="single" w:sz="8" w:space="0" w:color="auto"/>
            </w:tcBorders>
            <w:shd w:val="clear" w:color="auto" w:fill="D9E2F3" w:themeFill="accent5" w:themeFillTint="33"/>
            <w:tcMar>
              <w:left w:w="0" w:type="dxa"/>
              <w:right w:w="0" w:type="dxa"/>
            </w:tcMar>
            <w:vAlign w:val="center"/>
            <w:hideMark/>
          </w:tcPr>
          <w:p w14:paraId="05FB62E2" w14:textId="73DA43F2" w:rsidR="003032D8" w:rsidRPr="00B8628D" w:rsidRDefault="003032D8">
            <w:pPr>
              <w:spacing w:after="0"/>
              <w:jc w:val="center"/>
              <w:rPr>
                <w:rFonts w:asciiTheme="minorHAnsi" w:hAnsiTheme="minorHAnsi" w:cstheme="minorHAnsi"/>
                <w:b/>
                <w:color w:val="000000"/>
                <w:sz w:val="18"/>
                <w:szCs w:val="18"/>
                <w:lang w:eastAsia="hr-HR"/>
              </w:rPr>
            </w:pPr>
            <w:r w:rsidRPr="00B8628D">
              <w:rPr>
                <w:rFonts w:asciiTheme="minorHAnsi" w:hAnsiTheme="minorHAnsi" w:cstheme="minorHAnsi"/>
                <w:b/>
                <w:color w:val="000000"/>
                <w:sz w:val="18"/>
                <w:szCs w:val="18"/>
                <w:lang w:eastAsia="hr-HR"/>
              </w:rPr>
              <w:t>Solarne elektrane</w:t>
            </w:r>
          </w:p>
        </w:tc>
        <w:tc>
          <w:tcPr>
            <w:tcW w:w="492" w:type="pct"/>
            <w:tcBorders>
              <w:top w:val="single" w:sz="8" w:space="0" w:color="auto"/>
              <w:left w:val="nil"/>
              <w:bottom w:val="single" w:sz="8" w:space="0" w:color="auto"/>
              <w:right w:val="single" w:sz="8" w:space="0" w:color="auto"/>
            </w:tcBorders>
            <w:shd w:val="clear" w:color="auto" w:fill="D9E2F3" w:themeFill="accent5" w:themeFillTint="33"/>
            <w:tcMar>
              <w:left w:w="0" w:type="dxa"/>
              <w:right w:w="0" w:type="dxa"/>
            </w:tcMar>
            <w:vAlign w:val="center"/>
            <w:hideMark/>
          </w:tcPr>
          <w:p w14:paraId="3B24A528" w14:textId="77777777" w:rsidR="003032D8" w:rsidRPr="00B8628D" w:rsidRDefault="003032D8">
            <w:pPr>
              <w:spacing w:after="0"/>
              <w:jc w:val="center"/>
              <w:rPr>
                <w:rFonts w:asciiTheme="minorHAnsi" w:hAnsiTheme="minorHAnsi" w:cstheme="minorHAnsi"/>
                <w:b/>
                <w:color w:val="000000"/>
                <w:sz w:val="18"/>
                <w:szCs w:val="18"/>
                <w:lang w:eastAsia="hr-HR"/>
              </w:rPr>
            </w:pPr>
            <w:r w:rsidRPr="00B8628D">
              <w:rPr>
                <w:rFonts w:asciiTheme="minorHAnsi" w:hAnsiTheme="minorHAnsi" w:cstheme="minorHAnsi"/>
                <w:b/>
                <w:color w:val="000000"/>
                <w:sz w:val="18"/>
                <w:szCs w:val="18"/>
                <w:lang w:eastAsia="hr-HR"/>
              </w:rPr>
              <w:t>Ukupno</w:t>
            </w:r>
          </w:p>
        </w:tc>
      </w:tr>
      <w:tr w:rsidR="00AD56E9" w:rsidRPr="000A21AC" w14:paraId="6D2C7B08" w14:textId="77777777" w:rsidTr="00AD56E9">
        <w:trPr>
          <w:trHeight w:val="288"/>
          <w:jc w:val="center"/>
        </w:trPr>
        <w:tc>
          <w:tcPr>
            <w:tcW w:w="296"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14:paraId="56634A21" w14:textId="19F8A50E"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lang w:eastAsia="hr-HR"/>
              </w:rPr>
              <w:t>202</w:t>
            </w:r>
            <w:r w:rsidR="00D312BE">
              <w:rPr>
                <w:rFonts w:asciiTheme="minorHAnsi" w:hAnsiTheme="minorHAnsi" w:cstheme="minorHAnsi"/>
                <w:color w:val="000000"/>
                <w:sz w:val="20"/>
                <w:szCs w:val="20"/>
                <w:lang w:eastAsia="hr-HR"/>
              </w:rPr>
              <w:t>2</w:t>
            </w:r>
            <w:r w:rsidRPr="000A21AC">
              <w:rPr>
                <w:rFonts w:asciiTheme="minorHAnsi" w:hAnsiTheme="minorHAnsi" w:cstheme="minorHAnsi"/>
                <w:color w:val="000000"/>
                <w:sz w:val="20"/>
                <w:szCs w:val="20"/>
                <w:lang w:eastAsia="hr-HR"/>
              </w:rPr>
              <w:t>.</w:t>
            </w:r>
          </w:p>
        </w:tc>
        <w:tc>
          <w:tcPr>
            <w:tcW w:w="519"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3A1FBFD0" w14:textId="42F596C2"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348</w:t>
            </w:r>
          </w:p>
        </w:tc>
        <w:tc>
          <w:tcPr>
            <w:tcW w:w="298"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6F0E50A6" w14:textId="7E821BE1"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2.203</w:t>
            </w:r>
          </w:p>
        </w:tc>
        <w:tc>
          <w:tcPr>
            <w:tcW w:w="277"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1338D217" w14:textId="7132FFAD"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822</w:t>
            </w:r>
          </w:p>
        </w:tc>
        <w:tc>
          <w:tcPr>
            <w:tcW w:w="410"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05E0717C" w14:textId="07D9329C"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344</w:t>
            </w:r>
          </w:p>
        </w:tc>
        <w:tc>
          <w:tcPr>
            <w:tcW w:w="328"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0E6E4D35" w14:textId="2219BAAE"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199</w:t>
            </w:r>
          </w:p>
        </w:tc>
        <w:tc>
          <w:tcPr>
            <w:tcW w:w="411"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3894B5B5" w14:textId="45BB7760"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101</w:t>
            </w:r>
          </w:p>
        </w:tc>
        <w:tc>
          <w:tcPr>
            <w:tcW w:w="410"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3C0BB739" w14:textId="6E17A3A0"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59</w:t>
            </w:r>
          </w:p>
        </w:tc>
        <w:tc>
          <w:tcPr>
            <w:tcW w:w="656"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2880D0B6" w14:textId="73C129BF"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10</w:t>
            </w:r>
          </w:p>
        </w:tc>
        <w:tc>
          <w:tcPr>
            <w:tcW w:w="410"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70D3A923" w14:textId="3C2F0227"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987</w:t>
            </w:r>
          </w:p>
        </w:tc>
        <w:tc>
          <w:tcPr>
            <w:tcW w:w="493"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030C8773" w14:textId="7D2BBC32" w:rsidR="003032D8" w:rsidRPr="000A21AC" w:rsidRDefault="003032D8" w:rsidP="00A8503E">
            <w:pPr>
              <w:spacing w:after="0"/>
              <w:jc w:val="center"/>
              <w:rPr>
                <w:rFonts w:asciiTheme="minorHAnsi" w:hAnsiTheme="minorHAnsi" w:cstheme="minorHAnsi"/>
                <w:color w:val="000000"/>
                <w:sz w:val="20"/>
                <w:szCs w:val="20"/>
                <w:lang w:eastAsia="hr-HR"/>
              </w:rPr>
            </w:pPr>
            <w:r>
              <w:rPr>
                <w:rFonts w:asciiTheme="minorHAnsi" w:hAnsiTheme="minorHAnsi" w:cstheme="minorHAnsi"/>
                <w:color w:val="000000"/>
                <w:sz w:val="20"/>
                <w:szCs w:val="20"/>
              </w:rPr>
              <w:t>22</w:t>
            </w:r>
            <w:r w:rsidR="00194EAD">
              <w:rPr>
                <w:rFonts w:asciiTheme="minorHAnsi" w:hAnsiTheme="minorHAnsi" w:cstheme="minorHAnsi"/>
                <w:color w:val="000000"/>
                <w:sz w:val="20"/>
                <w:szCs w:val="20"/>
              </w:rPr>
              <w:t>2</w:t>
            </w:r>
          </w:p>
        </w:tc>
        <w:tc>
          <w:tcPr>
            <w:tcW w:w="492"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429870CF" w14:textId="516BE995" w:rsidR="003032D8" w:rsidRPr="000A21AC" w:rsidRDefault="003032D8" w:rsidP="00A8503E">
            <w:pPr>
              <w:spacing w:after="0"/>
              <w:jc w:val="center"/>
              <w:rPr>
                <w:rFonts w:asciiTheme="minorHAnsi" w:hAnsiTheme="minorHAnsi" w:cstheme="minorHAnsi"/>
                <w:b/>
                <w:bCs/>
                <w:color w:val="000000"/>
                <w:sz w:val="20"/>
                <w:szCs w:val="20"/>
                <w:lang w:eastAsia="hr-HR"/>
              </w:rPr>
            </w:pPr>
            <w:r w:rsidRPr="000A21AC">
              <w:rPr>
                <w:rFonts w:asciiTheme="minorHAnsi" w:hAnsiTheme="minorHAnsi" w:cstheme="minorHAnsi"/>
                <w:b/>
                <w:bCs/>
                <w:color w:val="000000"/>
                <w:sz w:val="20"/>
                <w:szCs w:val="20"/>
              </w:rPr>
              <w:t>5.29</w:t>
            </w:r>
            <w:r w:rsidR="00194EAD">
              <w:rPr>
                <w:rFonts w:asciiTheme="minorHAnsi" w:hAnsiTheme="minorHAnsi" w:cstheme="minorHAnsi"/>
                <w:b/>
                <w:bCs/>
                <w:color w:val="000000"/>
                <w:sz w:val="20"/>
                <w:szCs w:val="20"/>
              </w:rPr>
              <w:t>5</w:t>
            </w:r>
          </w:p>
        </w:tc>
      </w:tr>
      <w:tr w:rsidR="00AD56E9" w:rsidRPr="000A21AC" w14:paraId="775FB0EB" w14:textId="77777777" w:rsidTr="00AD56E9">
        <w:trPr>
          <w:trHeight w:val="288"/>
          <w:jc w:val="center"/>
        </w:trPr>
        <w:tc>
          <w:tcPr>
            <w:tcW w:w="296"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14:paraId="5E78C6D5" w14:textId="77777777"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lang w:eastAsia="hr-HR"/>
              </w:rPr>
              <w:t>2030.</w:t>
            </w:r>
          </w:p>
        </w:tc>
        <w:tc>
          <w:tcPr>
            <w:tcW w:w="519"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5A70CCFE" w14:textId="6041BD8C"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348</w:t>
            </w:r>
          </w:p>
        </w:tc>
        <w:tc>
          <w:tcPr>
            <w:tcW w:w="298"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34751087" w14:textId="1C51FF38"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2.631</w:t>
            </w:r>
          </w:p>
        </w:tc>
        <w:tc>
          <w:tcPr>
            <w:tcW w:w="277"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0A07E63C" w14:textId="19A49ECF"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879</w:t>
            </w:r>
          </w:p>
        </w:tc>
        <w:tc>
          <w:tcPr>
            <w:tcW w:w="410"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6C184171" w14:textId="06440D3F"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0</w:t>
            </w:r>
          </w:p>
        </w:tc>
        <w:tc>
          <w:tcPr>
            <w:tcW w:w="328"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79938E59" w14:textId="1585617B"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199</w:t>
            </w:r>
          </w:p>
        </w:tc>
        <w:tc>
          <w:tcPr>
            <w:tcW w:w="411"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2CC8E7BE" w14:textId="52657253"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135</w:t>
            </w:r>
          </w:p>
        </w:tc>
        <w:tc>
          <w:tcPr>
            <w:tcW w:w="410"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326F1DCB" w14:textId="58E0AAC1"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59</w:t>
            </w:r>
          </w:p>
        </w:tc>
        <w:tc>
          <w:tcPr>
            <w:tcW w:w="656"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6BD6D04E" w14:textId="4193CB85" w:rsidR="003032D8" w:rsidRPr="000A21AC" w:rsidRDefault="006D3BAC" w:rsidP="00A8503E">
            <w:pPr>
              <w:spacing w:after="0"/>
              <w:jc w:val="center"/>
              <w:rPr>
                <w:rFonts w:asciiTheme="minorHAnsi" w:hAnsiTheme="minorHAnsi" w:cstheme="minorHAnsi"/>
                <w:color w:val="000000"/>
                <w:sz w:val="20"/>
                <w:szCs w:val="20"/>
                <w:lang w:eastAsia="hr-HR"/>
              </w:rPr>
            </w:pPr>
            <w:r>
              <w:rPr>
                <w:rFonts w:asciiTheme="minorHAnsi" w:hAnsiTheme="minorHAnsi" w:cstheme="minorHAnsi"/>
                <w:color w:val="000000"/>
                <w:sz w:val="20"/>
                <w:szCs w:val="20"/>
              </w:rPr>
              <w:t>68</w:t>
            </w:r>
          </w:p>
        </w:tc>
        <w:tc>
          <w:tcPr>
            <w:tcW w:w="410"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2B023F31" w14:textId="35C19EA1"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2.</w:t>
            </w:r>
            <w:r w:rsidR="0097540C">
              <w:rPr>
                <w:rFonts w:asciiTheme="minorHAnsi" w:hAnsiTheme="minorHAnsi" w:cstheme="minorHAnsi"/>
                <w:color w:val="000000"/>
                <w:sz w:val="20"/>
                <w:szCs w:val="20"/>
              </w:rPr>
              <w:t>268</w:t>
            </w:r>
          </w:p>
        </w:tc>
        <w:tc>
          <w:tcPr>
            <w:tcW w:w="493"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103F0236" w14:textId="2CA4BBB2" w:rsidR="003032D8" w:rsidRPr="000A21AC" w:rsidRDefault="00776793" w:rsidP="00A8503E">
            <w:pPr>
              <w:spacing w:after="0"/>
              <w:jc w:val="center"/>
              <w:rPr>
                <w:rFonts w:asciiTheme="minorHAnsi" w:hAnsiTheme="minorHAnsi" w:cstheme="minorHAnsi"/>
                <w:color w:val="000000"/>
                <w:sz w:val="20"/>
                <w:szCs w:val="20"/>
                <w:lang w:eastAsia="hr-HR"/>
              </w:rPr>
            </w:pPr>
            <w:r>
              <w:rPr>
                <w:rFonts w:asciiTheme="minorHAnsi" w:hAnsiTheme="minorHAnsi" w:cstheme="minorHAnsi"/>
                <w:color w:val="000000"/>
                <w:sz w:val="20"/>
                <w:szCs w:val="20"/>
              </w:rPr>
              <w:t>2.</w:t>
            </w:r>
            <w:r w:rsidR="00E06619">
              <w:rPr>
                <w:rFonts w:asciiTheme="minorHAnsi" w:hAnsiTheme="minorHAnsi" w:cstheme="minorHAnsi"/>
                <w:color w:val="000000"/>
                <w:sz w:val="20"/>
                <w:szCs w:val="20"/>
              </w:rPr>
              <w:t>3</w:t>
            </w:r>
            <w:r w:rsidR="00E574E4">
              <w:rPr>
                <w:rFonts w:asciiTheme="minorHAnsi" w:hAnsiTheme="minorHAnsi" w:cstheme="minorHAnsi"/>
                <w:color w:val="000000"/>
                <w:sz w:val="20"/>
                <w:szCs w:val="20"/>
              </w:rPr>
              <w:t>8</w:t>
            </w:r>
            <w:r w:rsidR="00E06619">
              <w:rPr>
                <w:rFonts w:asciiTheme="minorHAnsi" w:hAnsiTheme="minorHAnsi" w:cstheme="minorHAnsi"/>
                <w:color w:val="000000"/>
                <w:sz w:val="20"/>
                <w:szCs w:val="20"/>
              </w:rPr>
              <w:t>2</w:t>
            </w:r>
          </w:p>
        </w:tc>
        <w:tc>
          <w:tcPr>
            <w:tcW w:w="492"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4C4B1489" w14:textId="368B214F" w:rsidR="003032D8" w:rsidRPr="000A21AC" w:rsidRDefault="00580D45" w:rsidP="00A8503E">
            <w:pPr>
              <w:spacing w:after="0"/>
              <w:jc w:val="center"/>
              <w:rPr>
                <w:rFonts w:asciiTheme="minorHAnsi" w:hAnsiTheme="minorHAnsi" w:cstheme="minorHAnsi"/>
                <w:b/>
                <w:bCs/>
                <w:color w:val="000000"/>
                <w:sz w:val="20"/>
                <w:szCs w:val="20"/>
                <w:lang w:eastAsia="hr-HR"/>
              </w:rPr>
            </w:pPr>
            <w:r>
              <w:rPr>
                <w:rFonts w:asciiTheme="minorHAnsi" w:hAnsiTheme="minorHAnsi" w:cstheme="minorHAnsi"/>
                <w:b/>
                <w:bCs/>
                <w:color w:val="000000"/>
                <w:sz w:val="20"/>
                <w:szCs w:val="20"/>
              </w:rPr>
              <w:t>8.9</w:t>
            </w:r>
            <w:r w:rsidR="00223859">
              <w:rPr>
                <w:rFonts w:asciiTheme="minorHAnsi" w:hAnsiTheme="minorHAnsi" w:cstheme="minorHAnsi"/>
                <w:b/>
                <w:bCs/>
                <w:color w:val="000000"/>
                <w:sz w:val="20"/>
                <w:szCs w:val="20"/>
              </w:rPr>
              <w:t>6</w:t>
            </w:r>
            <w:r>
              <w:rPr>
                <w:rFonts w:asciiTheme="minorHAnsi" w:hAnsiTheme="minorHAnsi" w:cstheme="minorHAnsi"/>
                <w:b/>
                <w:bCs/>
                <w:color w:val="000000"/>
                <w:sz w:val="20"/>
                <w:szCs w:val="20"/>
              </w:rPr>
              <w:t>9</w:t>
            </w:r>
          </w:p>
        </w:tc>
      </w:tr>
      <w:tr w:rsidR="00AD56E9" w:rsidRPr="000A21AC" w14:paraId="5128E017" w14:textId="77777777" w:rsidTr="00AD56E9">
        <w:trPr>
          <w:trHeight w:val="288"/>
          <w:jc w:val="center"/>
        </w:trPr>
        <w:tc>
          <w:tcPr>
            <w:tcW w:w="296"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14:paraId="2D132FD1" w14:textId="77777777"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lang w:eastAsia="hr-HR"/>
              </w:rPr>
              <w:t>2040.</w:t>
            </w:r>
          </w:p>
        </w:tc>
        <w:tc>
          <w:tcPr>
            <w:tcW w:w="519"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541E35EC" w14:textId="7518B044"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348</w:t>
            </w:r>
          </w:p>
        </w:tc>
        <w:tc>
          <w:tcPr>
            <w:tcW w:w="298"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26078623" w14:textId="1DDA87EF"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2.980</w:t>
            </w:r>
          </w:p>
        </w:tc>
        <w:tc>
          <w:tcPr>
            <w:tcW w:w="277"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09B1B9AB" w14:textId="0140FE31"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831</w:t>
            </w:r>
          </w:p>
        </w:tc>
        <w:tc>
          <w:tcPr>
            <w:tcW w:w="410"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022C9D82" w14:textId="65AB75A9"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0</w:t>
            </w:r>
          </w:p>
        </w:tc>
        <w:tc>
          <w:tcPr>
            <w:tcW w:w="328"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04A3232D" w14:textId="5A621A46"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0</w:t>
            </w:r>
          </w:p>
        </w:tc>
        <w:tc>
          <w:tcPr>
            <w:tcW w:w="411"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01892981" w14:textId="3455267F"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135</w:t>
            </w:r>
          </w:p>
        </w:tc>
        <w:tc>
          <w:tcPr>
            <w:tcW w:w="410"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0609EE28" w14:textId="7EEDA8CD"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59</w:t>
            </w:r>
          </w:p>
        </w:tc>
        <w:tc>
          <w:tcPr>
            <w:tcW w:w="656"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460236DF" w14:textId="783A7AFD" w:rsidR="003032D8" w:rsidRPr="000A21AC" w:rsidRDefault="00084065" w:rsidP="00A8503E">
            <w:pPr>
              <w:spacing w:after="0"/>
              <w:jc w:val="center"/>
              <w:rPr>
                <w:rFonts w:asciiTheme="minorHAnsi" w:hAnsiTheme="minorHAnsi" w:cstheme="minorHAnsi"/>
                <w:color w:val="000000"/>
                <w:sz w:val="20"/>
                <w:szCs w:val="20"/>
                <w:lang w:eastAsia="hr-HR"/>
              </w:rPr>
            </w:pPr>
            <w:r>
              <w:rPr>
                <w:rFonts w:asciiTheme="minorHAnsi" w:hAnsiTheme="minorHAnsi" w:cstheme="minorHAnsi"/>
                <w:color w:val="000000"/>
                <w:sz w:val="20"/>
                <w:szCs w:val="20"/>
              </w:rPr>
              <w:t>318</w:t>
            </w:r>
          </w:p>
        </w:tc>
        <w:tc>
          <w:tcPr>
            <w:tcW w:w="410"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5DFFEC3D" w14:textId="1DB37D87"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3.563</w:t>
            </w:r>
          </w:p>
        </w:tc>
        <w:tc>
          <w:tcPr>
            <w:tcW w:w="493"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3E16CCA8" w14:textId="652391B9" w:rsidR="003032D8" w:rsidRPr="000A21AC" w:rsidRDefault="003032D8" w:rsidP="00A8503E">
            <w:pPr>
              <w:spacing w:after="0"/>
              <w:jc w:val="center"/>
              <w:rPr>
                <w:rFonts w:asciiTheme="minorHAnsi" w:hAnsiTheme="minorHAnsi" w:cstheme="minorHAnsi"/>
                <w:color w:val="000000"/>
                <w:sz w:val="20"/>
                <w:szCs w:val="20"/>
                <w:lang w:eastAsia="hr-HR"/>
              </w:rPr>
            </w:pPr>
            <w:r>
              <w:rPr>
                <w:rFonts w:asciiTheme="minorHAnsi" w:hAnsiTheme="minorHAnsi" w:cstheme="minorHAnsi"/>
                <w:color w:val="000000"/>
                <w:sz w:val="20"/>
                <w:szCs w:val="20"/>
              </w:rPr>
              <w:t>4.860</w:t>
            </w:r>
          </w:p>
        </w:tc>
        <w:tc>
          <w:tcPr>
            <w:tcW w:w="492"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657B95A6" w14:textId="257BAED9" w:rsidR="003032D8" w:rsidRPr="000A21AC" w:rsidRDefault="00CA7D29" w:rsidP="00A8503E">
            <w:pPr>
              <w:spacing w:after="0"/>
              <w:jc w:val="center"/>
              <w:rPr>
                <w:rFonts w:asciiTheme="minorHAnsi" w:hAnsiTheme="minorHAnsi" w:cstheme="minorHAnsi"/>
                <w:b/>
                <w:bCs/>
                <w:color w:val="000000"/>
                <w:sz w:val="20"/>
                <w:szCs w:val="20"/>
                <w:lang w:eastAsia="hr-HR"/>
              </w:rPr>
            </w:pPr>
            <w:r>
              <w:rPr>
                <w:rFonts w:asciiTheme="minorHAnsi" w:hAnsiTheme="minorHAnsi" w:cstheme="minorHAnsi"/>
                <w:b/>
                <w:bCs/>
                <w:color w:val="000000"/>
                <w:sz w:val="20"/>
                <w:szCs w:val="20"/>
              </w:rPr>
              <w:t>13.</w:t>
            </w:r>
            <w:r w:rsidR="00D2447D">
              <w:rPr>
                <w:rFonts w:asciiTheme="minorHAnsi" w:hAnsiTheme="minorHAnsi" w:cstheme="minorHAnsi"/>
                <w:b/>
                <w:bCs/>
                <w:color w:val="000000"/>
                <w:sz w:val="20"/>
                <w:szCs w:val="20"/>
              </w:rPr>
              <w:t>094</w:t>
            </w:r>
          </w:p>
        </w:tc>
      </w:tr>
      <w:tr w:rsidR="00AD56E9" w:rsidRPr="000A21AC" w14:paraId="3A2DE1C0" w14:textId="77777777" w:rsidTr="00AD56E9">
        <w:trPr>
          <w:trHeight w:val="292"/>
          <w:jc w:val="center"/>
        </w:trPr>
        <w:tc>
          <w:tcPr>
            <w:tcW w:w="296"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14:paraId="2829A394" w14:textId="77777777"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lang w:eastAsia="hr-HR"/>
              </w:rPr>
              <w:t>2050.</w:t>
            </w:r>
          </w:p>
        </w:tc>
        <w:tc>
          <w:tcPr>
            <w:tcW w:w="519"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60753AB5" w14:textId="685CC266" w:rsidR="003032D8" w:rsidRPr="000A21AC" w:rsidRDefault="009C7DE3" w:rsidP="00A8503E">
            <w:pPr>
              <w:spacing w:after="0"/>
              <w:jc w:val="center"/>
              <w:rPr>
                <w:rFonts w:asciiTheme="minorHAnsi" w:hAnsiTheme="minorHAnsi" w:cstheme="minorHAnsi"/>
                <w:color w:val="000000"/>
                <w:sz w:val="20"/>
                <w:szCs w:val="20"/>
                <w:lang w:eastAsia="hr-HR"/>
              </w:rPr>
            </w:pPr>
            <w:r>
              <w:rPr>
                <w:rFonts w:asciiTheme="minorHAnsi" w:hAnsiTheme="minorHAnsi" w:cstheme="minorHAnsi"/>
                <w:color w:val="000000"/>
                <w:sz w:val="20"/>
                <w:szCs w:val="20"/>
              </w:rPr>
              <w:t>348</w:t>
            </w:r>
          </w:p>
        </w:tc>
        <w:tc>
          <w:tcPr>
            <w:tcW w:w="298"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0C5A18B5" w14:textId="0B6B2655"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3.200</w:t>
            </w:r>
          </w:p>
        </w:tc>
        <w:tc>
          <w:tcPr>
            <w:tcW w:w="277"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7772A141" w14:textId="2757AD06"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461</w:t>
            </w:r>
          </w:p>
        </w:tc>
        <w:tc>
          <w:tcPr>
            <w:tcW w:w="410"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03A14216" w14:textId="28D1C0DF"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0</w:t>
            </w:r>
          </w:p>
        </w:tc>
        <w:tc>
          <w:tcPr>
            <w:tcW w:w="328"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5C71090D" w14:textId="7FF43754"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0</w:t>
            </w:r>
          </w:p>
        </w:tc>
        <w:tc>
          <w:tcPr>
            <w:tcW w:w="411"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7775275D" w14:textId="0E22F9CC"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135</w:t>
            </w:r>
          </w:p>
        </w:tc>
        <w:tc>
          <w:tcPr>
            <w:tcW w:w="410"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64740D59" w14:textId="1AB6E365"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59</w:t>
            </w:r>
          </w:p>
        </w:tc>
        <w:tc>
          <w:tcPr>
            <w:tcW w:w="656"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53310532" w14:textId="79AC097E" w:rsidR="003032D8" w:rsidRPr="000A21AC" w:rsidRDefault="00084065" w:rsidP="00A8503E">
            <w:pPr>
              <w:spacing w:after="0"/>
              <w:jc w:val="center"/>
              <w:rPr>
                <w:rFonts w:asciiTheme="minorHAnsi" w:hAnsiTheme="minorHAnsi" w:cstheme="minorHAnsi"/>
                <w:color w:val="000000"/>
                <w:sz w:val="20"/>
                <w:szCs w:val="20"/>
                <w:lang w:eastAsia="hr-HR"/>
              </w:rPr>
            </w:pPr>
            <w:r>
              <w:rPr>
                <w:rFonts w:asciiTheme="minorHAnsi" w:hAnsiTheme="minorHAnsi" w:cstheme="minorHAnsi"/>
                <w:color w:val="000000"/>
                <w:sz w:val="20"/>
                <w:szCs w:val="20"/>
              </w:rPr>
              <w:t>405</w:t>
            </w:r>
          </w:p>
        </w:tc>
        <w:tc>
          <w:tcPr>
            <w:tcW w:w="410"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1AA11E4A" w14:textId="643043C8" w:rsidR="003032D8" w:rsidRPr="000A21AC" w:rsidRDefault="003032D8" w:rsidP="00A8503E">
            <w:pPr>
              <w:spacing w:after="0"/>
              <w:jc w:val="center"/>
              <w:rPr>
                <w:rFonts w:asciiTheme="minorHAnsi" w:hAnsiTheme="minorHAnsi" w:cstheme="minorHAnsi"/>
                <w:color w:val="000000"/>
                <w:sz w:val="20"/>
                <w:szCs w:val="20"/>
                <w:lang w:eastAsia="hr-HR"/>
              </w:rPr>
            </w:pPr>
            <w:r w:rsidRPr="000A21AC">
              <w:rPr>
                <w:rFonts w:asciiTheme="minorHAnsi" w:hAnsiTheme="minorHAnsi" w:cstheme="minorHAnsi"/>
                <w:color w:val="000000"/>
                <w:sz w:val="20"/>
                <w:szCs w:val="20"/>
              </w:rPr>
              <w:t>4.353</w:t>
            </w:r>
          </w:p>
        </w:tc>
        <w:tc>
          <w:tcPr>
            <w:tcW w:w="493"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3213CF88" w14:textId="3D44929D" w:rsidR="003032D8" w:rsidRPr="000A21AC" w:rsidRDefault="003032D8" w:rsidP="00A8503E">
            <w:pPr>
              <w:spacing w:after="0"/>
              <w:jc w:val="center"/>
              <w:rPr>
                <w:rFonts w:asciiTheme="minorHAnsi" w:hAnsiTheme="minorHAnsi" w:cstheme="minorHAnsi"/>
                <w:color w:val="000000"/>
                <w:sz w:val="20"/>
                <w:szCs w:val="20"/>
                <w:lang w:eastAsia="hr-HR"/>
              </w:rPr>
            </w:pPr>
            <w:r>
              <w:rPr>
                <w:rFonts w:asciiTheme="minorHAnsi" w:hAnsiTheme="minorHAnsi" w:cstheme="minorHAnsi"/>
                <w:color w:val="000000"/>
                <w:sz w:val="20"/>
                <w:szCs w:val="20"/>
              </w:rPr>
              <w:t>5.770</w:t>
            </w:r>
          </w:p>
        </w:tc>
        <w:tc>
          <w:tcPr>
            <w:tcW w:w="492" w:type="pct"/>
            <w:tcBorders>
              <w:top w:val="nil"/>
              <w:left w:val="nil"/>
              <w:bottom w:val="single" w:sz="8" w:space="0" w:color="auto"/>
              <w:right w:val="single" w:sz="8" w:space="0" w:color="auto"/>
            </w:tcBorders>
            <w:shd w:val="clear" w:color="auto" w:fill="auto"/>
            <w:tcMar>
              <w:left w:w="0" w:type="dxa"/>
              <w:right w:w="0" w:type="dxa"/>
            </w:tcMar>
            <w:vAlign w:val="center"/>
            <w:hideMark/>
          </w:tcPr>
          <w:p w14:paraId="438E03A0" w14:textId="499ABFE3" w:rsidR="003032D8" w:rsidRPr="000A21AC" w:rsidRDefault="00CA7D29" w:rsidP="00A8503E">
            <w:pPr>
              <w:spacing w:after="0"/>
              <w:jc w:val="center"/>
              <w:rPr>
                <w:rFonts w:asciiTheme="minorHAnsi" w:hAnsiTheme="minorHAnsi" w:cstheme="minorHAnsi"/>
                <w:b/>
                <w:bCs/>
                <w:color w:val="000000"/>
                <w:sz w:val="20"/>
                <w:szCs w:val="20"/>
                <w:lang w:eastAsia="hr-HR"/>
              </w:rPr>
            </w:pPr>
            <w:r>
              <w:rPr>
                <w:rFonts w:asciiTheme="minorHAnsi" w:hAnsiTheme="minorHAnsi" w:cstheme="minorHAnsi"/>
                <w:b/>
                <w:bCs/>
                <w:color w:val="000000"/>
                <w:sz w:val="20"/>
                <w:szCs w:val="20"/>
              </w:rPr>
              <w:t>1</w:t>
            </w:r>
            <w:r w:rsidR="00A57712">
              <w:rPr>
                <w:rFonts w:asciiTheme="minorHAnsi" w:hAnsiTheme="minorHAnsi" w:cstheme="minorHAnsi"/>
                <w:b/>
                <w:bCs/>
                <w:color w:val="000000"/>
                <w:sz w:val="20"/>
                <w:szCs w:val="20"/>
              </w:rPr>
              <w:t>4.</w:t>
            </w:r>
            <w:r w:rsidR="009C7DE3">
              <w:rPr>
                <w:rFonts w:asciiTheme="minorHAnsi" w:hAnsiTheme="minorHAnsi" w:cstheme="minorHAnsi"/>
                <w:b/>
                <w:bCs/>
                <w:color w:val="000000"/>
                <w:sz w:val="20"/>
                <w:szCs w:val="20"/>
              </w:rPr>
              <w:t>732</w:t>
            </w:r>
          </w:p>
        </w:tc>
      </w:tr>
    </w:tbl>
    <w:p w14:paraId="44B7A5E2" w14:textId="7E15C43F" w:rsidR="004B2CE3" w:rsidRDefault="004B2CE3" w:rsidP="007B1526">
      <w:bookmarkStart w:id="282" w:name="_Ref532199915"/>
    </w:p>
    <w:p w14:paraId="242F3685" w14:textId="1989F549" w:rsidR="003338C7" w:rsidRDefault="003338C7" w:rsidP="007B1526">
      <w:r w:rsidRPr="003338C7">
        <w:rPr>
          <w:noProof/>
        </w:rPr>
        <w:drawing>
          <wp:inline distT="0" distB="0" distL="0" distR="0" wp14:anchorId="25589858" wp14:editId="21B40928">
            <wp:extent cx="5501030" cy="2920337"/>
            <wp:effectExtent l="0" t="0" r="4445" b="0"/>
            <wp:docPr id="1729726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09864" cy="2925027"/>
                    </a:xfrm>
                    <a:prstGeom prst="rect">
                      <a:avLst/>
                    </a:prstGeom>
                    <a:noFill/>
                    <a:ln>
                      <a:noFill/>
                    </a:ln>
                  </pic:spPr>
                </pic:pic>
              </a:graphicData>
            </a:graphic>
          </wp:inline>
        </w:drawing>
      </w:r>
    </w:p>
    <w:p w14:paraId="1BA8F48A" w14:textId="0459A198" w:rsidR="00324232" w:rsidRDefault="00324232" w:rsidP="00A34986">
      <w:pPr>
        <w:pStyle w:val="Caption"/>
      </w:pPr>
      <w:bookmarkStart w:id="283" w:name="_Toc193035889"/>
      <w:r>
        <w:t xml:space="preserve">Slika </w:t>
      </w:r>
      <w:r>
        <w:fldChar w:fldCharType="begin"/>
      </w:r>
      <w:r>
        <w:instrText>STYLEREF 1 \s</w:instrText>
      </w:r>
      <w:r>
        <w:fldChar w:fldCharType="separate"/>
      </w:r>
      <w:r>
        <w:rPr>
          <w:noProof/>
        </w:rPr>
        <w:t>2</w:t>
      </w:r>
      <w:r>
        <w:fldChar w:fldCharType="end"/>
      </w:r>
      <w:r>
        <w:t>–</w:t>
      </w:r>
      <w:r>
        <w:fldChar w:fldCharType="begin"/>
      </w:r>
      <w:r>
        <w:instrText>SEQ Slika \* ARABIC \s 1</w:instrText>
      </w:r>
      <w:r>
        <w:fldChar w:fldCharType="separate"/>
      </w:r>
      <w:r w:rsidR="0077439E">
        <w:rPr>
          <w:noProof/>
        </w:rPr>
        <w:t>12</w:t>
      </w:r>
      <w:r>
        <w:fldChar w:fldCharType="end"/>
      </w:r>
      <w:r>
        <w:t>. Očekivana snaga elektrana u scenariju s dodatnim (WAM) mjerama</w:t>
      </w:r>
      <w:bookmarkEnd w:id="283"/>
    </w:p>
    <w:bookmarkEnd w:id="282"/>
    <w:p w14:paraId="6A9CC94E" w14:textId="28A4C440" w:rsidR="0017115A" w:rsidRDefault="009F5677" w:rsidP="00E67596">
      <w:r>
        <w:t xml:space="preserve">U Hrvatskoj je </w:t>
      </w:r>
      <w:r w:rsidR="00B67755">
        <w:t>202</w:t>
      </w:r>
      <w:r w:rsidR="00856668">
        <w:t>3</w:t>
      </w:r>
      <w:r w:rsidR="00B67755">
        <w:t xml:space="preserve">. godine </w:t>
      </w:r>
      <w:r>
        <w:t xml:space="preserve">oko </w:t>
      </w:r>
      <w:r w:rsidR="00A83478">
        <w:t>2,2</w:t>
      </w:r>
      <w:r w:rsidR="00DE6DA9">
        <w:t> </w:t>
      </w:r>
      <w:r>
        <w:t xml:space="preserve">% potrošnje električne energije </w:t>
      </w:r>
      <w:r w:rsidR="00A3193A">
        <w:t xml:space="preserve">bilo </w:t>
      </w:r>
      <w:r>
        <w:t xml:space="preserve">pokriveno iz solarnih elektrana što je oko </w:t>
      </w:r>
      <w:r w:rsidR="00384ABA">
        <w:t>475</w:t>
      </w:r>
      <w:r w:rsidR="00DE6DA9">
        <w:t> </w:t>
      </w:r>
      <w:r>
        <w:t>MW instalirane snag</w:t>
      </w:r>
      <w:r w:rsidR="00917B77">
        <w:t xml:space="preserve">e. Prema Uredbi o kvotama za poticanje proizvodnje električne energije iz obnovljivih izvora energije i visokoučinkovitih kogeneracija </w:t>
      </w:r>
      <w:r w:rsidR="00EB08F1">
        <w:t xml:space="preserve">(„Narodne novine“, br. </w:t>
      </w:r>
      <w:r w:rsidR="00917B77">
        <w:t>57/20</w:t>
      </w:r>
      <w:r w:rsidR="00003835">
        <w:t>.</w:t>
      </w:r>
      <w:r w:rsidR="00917B77">
        <w:t>) utvrđene su kvote za poticanje proizvodnje električne energije iz solarnih elektrana ovisno o instalirano</w:t>
      </w:r>
      <w:r w:rsidR="00A353CB">
        <w:t>j</w:t>
      </w:r>
      <w:r w:rsidR="00917B77">
        <w:t xml:space="preserve"> snazi (od 50 kW do uključivo 500</w:t>
      </w:r>
      <w:r w:rsidR="00440900">
        <w:t> </w:t>
      </w:r>
      <w:r w:rsidR="00917B77">
        <w:t xml:space="preserve">kW, veće </w:t>
      </w:r>
      <w:r w:rsidR="00102074">
        <w:t>od</w:t>
      </w:r>
      <w:r w:rsidR="00917B77">
        <w:t xml:space="preserve"> 500</w:t>
      </w:r>
      <w:r w:rsidR="00DE6DA9">
        <w:t> </w:t>
      </w:r>
      <w:r w:rsidR="00917B77">
        <w:t>kW do uključivo 10</w:t>
      </w:r>
      <w:r w:rsidR="00440900">
        <w:t> </w:t>
      </w:r>
      <w:r w:rsidR="00917B77">
        <w:t xml:space="preserve">MW i sunčane elektrane instalirane snage veće od 10 MW). Ukupna kvota za sve tri grupe solarnih elektrana iznosi 1.075 MW. </w:t>
      </w:r>
      <w:r w:rsidR="00480381">
        <w:t xml:space="preserve">Prema </w:t>
      </w:r>
      <w:r w:rsidR="00060853">
        <w:t xml:space="preserve">novoj </w:t>
      </w:r>
      <w:r w:rsidR="00DF0678" w:rsidRPr="00DF0678">
        <w:t>Uredb</w:t>
      </w:r>
      <w:r w:rsidR="00386B9C">
        <w:t>i</w:t>
      </w:r>
      <w:r w:rsidR="00DF0678" w:rsidRPr="00DF0678">
        <w:t xml:space="preserve"> Vijeća (EU) 2022/2577 od 22. prosinca 2022. o utvrđivanju okvira za ubrzavanje uvođenja energije iz obnovljivih izvora</w:t>
      </w:r>
      <w:r w:rsidR="00480381" w:rsidRPr="00B47BDA">
        <w:rPr>
          <w:rStyle w:val="FootnoteReference"/>
          <w:rFonts w:asciiTheme="minorHAnsi" w:hAnsiTheme="minorHAnsi" w:cstheme="minorHAnsi"/>
          <w:sz w:val="24"/>
        </w:rPr>
        <w:footnoteReference w:id="17"/>
      </w:r>
      <w:r w:rsidR="00DF0678">
        <w:t xml:space="preserve"> (</w:t>
      </w:r>
      <w:r w:rsidR="00480381">
        <w:t>SL L 335, 29.12.2022.</w:t>
      </w:r>
      <w:r w:rsidR="00DF0678">
        <w:t>)</w:t>
      </w:r>
      <w:r w:rsidR="00102E9C">
        <w:t xml:space="preserve"> (u daljnjem tekstu: Uredba </w:t>
      </w:r>
      <w:r w:rsidR="00102E9C" w:rsidRPr="00DF0678">
        <w:t>o utvrđivanju okvira za ubrzavanje uvođenja energije iz obnovljivih izvora</w:t>
      </w:r>
      <w:r w:rsidR="00102E9C">
        <w:t>)</w:t>
      </w:r>
      <w:r w:rsidR="00480381">
        <w:t>,</w:t>
      </w:r>
      <w:r w:rsidR="00CF1C37">
        <w:t xml:space="preserve"> </w:t>
      </w:r>
      <w:r w:rsidR="00480381">
        <w:t>predl</w:t>
      </w:r>
      <w:r w:rsidR="00F053D9">
        <w:t>oženo</w:t>
      </w:r>
      <w:r w:rsidR="00480381">
        <w:t xml:space="preserve"> </w:t>
      </w:r>
      <w:r w:rsidR="00F053D9">
        <w:t>j</w:t>
      </w:r>
      <w:r w:rsidR="00102074">
        <w:t>e</w:t>
      </w:r>
      <w:r w:rsidR="00480381">
        <w:t xml:space="preserve"> </w:t>
      </w:r>
      <w:r w:rsidR="00480381" w:rsidRPr="00B47BDA">
        <w:t>ubrzano uvođenje obnovljivih izvora energije s naglaskom na razvoj, instalaciju i ubrzavanje postupaka izdavanja dozvola za projekte malih integriranih</w:t>
      </w:r>
      <w:r w:rsidR="00480381">
        <w:t xml:space="preserve"> solarnih elektrana do 50</w:t>
      </w:r>
      <w:r w:rsidR="000841B4">
        <w:t> </w:t>
      </w:r>
      <w:r w:rsidR="00480381">
        <w:t>kW</w:t>
      </w:r>
      <w:r w:rsidR="00480381" w:rsidRPr="00B47BDA">
        <w:t xml:space="preserve"> </w:t>
      </w:r>
      <w:r w:rsidR="00E41854">
        <w:t>za kućanstva i poduzeća koja se suočavaju s visokim cijenama energije,</w:t>
      </w:r>
      <w:r w:rsidR="00480381" w:rsidRPr="00B47BDA">
        <w:t xml:space="preserve"> kako bi postali potrošači vlastite energije iz obnovljivih izvora</w:t>
      </w:r>
      <w:r w:rsidR="00480381">
        <w:t xml:space="preserve">. </w:t>
      </w:r>
      <w:r w:rsidR="00DD4617">
        <w:t xml:space="preserve">Potrebno je posebno istaknuti </w:t>
      </w:r>
      <w:r w:rsidR="00A54F88">
        <w:t xml:space="preserve">pogodnost integriranih solarnih elektrana u smislu </w:t>
      </w:r>
      <w:r w:rsidR="00A54F88">
        <w:lastRenderedPageBreak/>
        <w:t>najmanje</w:t>
      </w:r>
      <w:r w:rsidR="009F1E9F">
        <w:t>g</w:t>
      </w:r>
      <w:r w:rsidR="00A54F88">
        <w:t xml:space="preserve"> utjecaja na okoliš </w:t>
      </w:r>
      <w:r w:rsidR="00F963E9">
        <w:t xml:space="preserve">i mogućnost višestrukog korištenja već zauzetog prostora. </w:t>
      </w:r>
      <w:r w:rsidR="00126232">
        <w:t xml:space="preserve">Naime, korištenjem prostora za OIE unutar </w:t>
      </w:r>
      <w:r w:rsidR="00126232" w:rsidRPr="00B820AC">
        <w:t xml:space="preserve">izgrađenih površina smanjuje se potreba za </w:t>
      </w:r>
      <w:r w:rsidR="005A412A" w:rsidRPr="00B820AC">
        <w:t>zauzimanjem novih površina te omogućava korištenje postojeće infrastrukture.</w:t>
      </w:r>
      <w:r w:rsidR="001A1034" w:rsidRPr="00B820AC">
        <w:t xml:space="preserve"> Pritom </w:t>
      </w:r>
      <w:r w:rsidR="004B1A39" w:rsidRPr="00B820AC">
        <w:t xml:space="preserve">kapaciteti </w:t>
      </w:r>
      <w:r w:rsidR="0079408F" w:rsidRPr="00B820AC">
        <w:t xml:space="preserve">integriranih solarnih elektrana trebaju </w:t>
      </w:r>
      <w:r w:rsidR="0087739F" w:rsidRPr="00536A23">
        <w:t xml:space="preserve">odražavati potrebe potrošnje električne energije na ili u blizini lokacije proizvodnje, </w:t>
      </w:r>
      <w:r w:rsidR="00A35AF6" w:rsidRPr="00536A23">
        <w:t xml:space="preserve">radi optimiranja </w:t>
      </w:r>
      <w:r w:rsidR="00A35AF6" w:rsidRPr="004F0EF1">
        <w:t>potrebnih ulaganja u distribucijsku elektroenergetsku mrežu.</w:t>
      </w:r>
      <w:r w:rsidR="001A1034">
        <w:t xml:space="preserve"> </w:t>
      </w:r>
    </w:p>
    <w:p w14:paraId="29197EE7" w14:textId="2DDC2E87" w:rsidR="00A47F06" w:rsidRPr="00B47BDA" w:rsidRDefault="00F23526" w:rsidP="00E67596">
      <w:bookmarkStart w:id="284" w:name="_Hlk19871195"/>
      <w:r w:rsidRPr="00B47BDA">
        <w:t>Ukupna snaga hidroelektrana u Hrvatskoj iznosi približno 2.200</w:t>
      </w:r>
      <w:r w:rsidR="00DE6DA9">
        <w:t> </w:t>
      </w:r>
      <w:r w:rsidRPr="00B47BDA">
        <w:t>MW. Od toga je 9 akumulacijskih ukupne snage 1.</w:t>
      </w:r>
      <w:r w:rsidR="00452E64">
        <w:t>48</w:t>
      </w:r>
      <w:r w:rsidR="4CEA8BBA">
        <w:t>7</w:t>
      </w:r>
      <w:r w:rsidR="00DE6DA9">
        <w:t> </w:t>
      </w:r>
      <w:r w:rsidRPr="00B47BDA">
        <w:t xml:space="preserve">MW, 7 protočnih ukupne snage </w:t>
      </w:r>
      <w:r>
        <w:t>40</w:t>
      </w:r>
      <w:r w:rsidR="74C38EA0">
        <w:t>7</w:t>
      </w:r>
      <w:r w:rsidR="00DE6DA9">
        <w:t> </w:t>
      </w:r>
      <w:r w:rsidRPr="00B47BDA">
        <w:t>MW</w:t>
      </w:r>
      <w:r w:rsidR="003C05B7" w:rsidRPr="00B47BDA">
        <w:t>, 36</w:t>
      </w:r>
      <w:r w:rsidR="00506FEB" w:rsidRPr="00B47BDA">
        <w:t xml:space="preserve"> malih hidroelektrana ukupne snage </w:t>
      </w:r>
      <w:r w:rsidR="009206EA" w:rsidRPr="00B47BDA">
        <w:t>34</w:t>
      </w:r>
      <w:r w:rsidR="00DE6DA9">
        <w:t> </w:t>
      </w:r>
      <w:r w:rsidR="00506FEB" w:rsidRPr="00B47BDA">
        <w:t>MW</w:t>
      </w:r>
      <w:r w:rsidRPr="00B47BDA">
        <w:t xml:space="preserve"> te jedna </w:t>
      </w:r>
      <w:r w:rsidR="242C1AF4">
        <w:t xml:space="preserve">velika </w:t>
      </w:r>
      <w:r w:rsidRPr="00B47BDA">
        <w:t xml:space="preserve">crpna hidroelektrana snage </w:t>
      </w:r>
      <w:r>
        <w:t>27</w:t>
      </w:r>
      <w:r w:rsidR="18360878">
        <w:t>0</w:t>
      </w:r>
      <w:r w:rsidR="00DE6DA9">
        <w:t> </w:t>
      </w:r>
      <w:r w:rsidRPr="00B47BDA">
        <w:t>MW u turbinskom radu odnosno 240</w:t>
      </w:r>
      <w:r w:rsidR="00DE6DA9">
        <w:t> </w:t>
      </w:r>
      <w:r w:rsidRPr="00B47BDA">
        <w:t xml:space="preserve">MW u </w:t>
      </w:r>
      <w:r w:rsidR="000D5ECC">
        <w:t>crpnom</w:t>
      </w:r>
      <w:r w:rsidR="000D5ECC" w:rsidRPr="00B47BDA">
        <w:t xml:space="preserve"> </w:t>
      </w:r>
      <w:r w:rsidRPr="00B47BDA">
        <w:t xml:space="preserve">radu. </w:t>
      </w:r>
      <w:r w:rsidR="001D6E21" w:rsidRPr="00B47BDA">
        <w:t xml:space="preserve">Jedan agregat </w:t>
      </w:r>
      <w:r w:rsidR="41A05009">
        <w:t>od ukupno dva instalirana jednakih snaga</w:t>
      </w:r>
      <w:r w:rsidR="001D6E21">
        <w:t xml:space="preserve"> </w:t>
      </w:r>
      <w:r w:rsidR="001D6E21" w:rsidRPr="00B47BDA">
        <w:t>u HE Dubrovnik (126</w:t>
      </w:r>
      <w:r w:rsidR="00DE6DA9">
        <w:t> </w:t>
      </w:r>
      <w:r w:rsidR="001D6E21" w:rsidRPr="00B47BDA">
        <w:t xml:space="preserve">MW) </w:t>
      </w:r>
      <w:r w:rsidR="3D4F3072">
        <w:t>je</w:t>
      </w:r>
      <w:r w:rsidR="001D6E21">
        <w:t xml:space="preserve"> </w:t>
      </w:r>
      <w:r w:rsidR="001D6E21" w:rsidRPr="00B47BDA">
        <w:t>izravno priključen na prijenosnu mrežu elektroenergetskog sustava BiH.</w:t>
      </w:r>
    </w:p>
    <w:p w14:paraId="6144A2C3" w14:textId="7FFC63DE" w:rsidR="00246785" w:rsidRDefault="29674A57" w:rsidP="004623DD">
      <w:r>
        <w:t>D</w:t>
      </w:r>
      <w:r w:rsidR="40618C55">
        <w:t>o 2030. godine očekuje se izgradnja</w:t>
      </w:r>
      <w:r w:rsidR="403983D7">
        <w:t xml:space="preserve"> </w:t>
      </w:r>
      <w:r w:rsidR="10732018">
        <w:t xml:space="preserve">jedne </w:t>
      </w:r>
      <w:r>
        <w:t>velike hidroelektrane</w:t>
      </w:r>
      <w:r w:rsidR="40618C55">
        <w:t xml:space="preserve">, nekoliko </w:t>
      </w:r>
      <w:r>
        <w:t xml:space="preserve">hidroelektrana </w:t>
      </w:r>
      <w:r w:rsidR="40618C55">
        <w:t>malih snaga</w:t>
      </w:r>
      <w:r w:rsidR="2D5DEABD">
        <w:t xml:space="preserve"> (na vodotocima i u vodoopskrbnim sustavima)</w:t>
      </w:r>
      <w:r>
        <w:t xml:space="preserve"> te jedna crpna hidroelektrana. </w:t>
      </w:r>
      <w:r w:rsidR="05A3F9F8">
        <w:t>Revitalizacijom</w:t>
      </w:r>
      <w:r w:rsidR="21A4BB42">
        <w:t xml:space="preserve"> postojeći</w:t>
      </w:r>
      <w:r w:rsidR="05A3F9F8">
        <w:t>h</w:t>
      </w:r>
      <w:r w:rsidR="21A4BB42">
        <w:t xml:space="preserve"> </w:t>
      </w:r>
      <w:r w:rsidR="00B206BF">
        <w:t xml:space="preserve">proizvodnih </w:t>
      </w:r>
      <w:r w:rsidR="21A4BB42">
        <w:t>postrojenja</w:t>
      </w:r>
      <w:r w:rsidR="05A3F9F8">
        <w:t xml:space="preserve"> </w:t>
      </w:r>
      <w:r w:rsidR="21A4BB42">
        <w:t>očekuje</w:t>
      </w:r>
      <w:r w:rsidR="05A3F9F8">
        <w:t xml:space="preserve"> se produljenje njihovog životnog vijeka</w:t>
      </w:r>
      <w:r w:rsidR="11199A63">
        <w:t xml:space="preserve"> uz </w:t>
      </w:r>
      <w:r w:rsidR="3BB65D07">
        <w:t>neznatno</w:t>
      </w:r>
      <w:r w:rsidR="21A4BB42">
        <w:t xml:space="preserve"> poveća</w:t>
      </w:r>
      <w:r w:rsidR="11199A63">
        <w:t xml:space="preserve">nje </w:t>
      </w:r>
      <w:r w:rsidR="21A4BB42">
        <w:t>snag</w:t>
      </w:r>
      <w:r w:rsidR="11199A63">
        <w:t>e</w:t>
      </w:r>
      <w:r w:rsidR="04FE17E8">
        <w:t xml:space="preserve"> hidroelektrana</w:t>
      </w:r>
      <w:r w:rsidR="21A4BB42">
        <w:t>.</w:t>
      </w:r>
      <w:r w:rsidR="4A1FE637">
        <w:t xml:space="preserve"> Prilikom planiranja potrebno je uzeti u obzir i klimatske projekcije kao i rizike od klimatskih promjena jer se</w:t>
      </w:r>
      <w:r w:rsidR="1D6B2903">
        <w:t xml:space="preserve"> pod njihovim utjecajem znatno</w:t>
      </w:r>
      <w:r w:rsidR="4A1FE637">
        <w:t xml:space="preserve"> mijenja vodni režim.</w:t>
      </w:r>
    </w:p>
    <w:p w14:paraId="3D1CB906" w14:textId="5E5AA6F6" w:rsidR="00625796" w:rsidRDefault="00625796" w:rsidP="00625796">
      <w:r w:rsidRPr="63259912">
        <w:t>Imajući u vidu očekivanu ubrzanu integraciju OiE i energetsku tranziciju u cilju smanjenja emisija stakleničkih plinova, predviđen je izlazak iz pogona jedine elektrane na ugljen u Hrvatskoj - TE Plomin 2 i to do kraja 2032. godine. Međutim, nužan preduvjet je prethodno osigurati visoku razinu sigurnosti napajanja područja Istre. Maksimalno opterećenje elektroenergetskog sustava u Istri je oko 350</w:t>
      </w:r>
      <w:r w:rsidR="000841B4" w:rsidRPr="63259912">
        <w:t> </w:t>
      </w:r>
      <w:r w:rsidRPr="63259912">
        <w:t>MW, uz godišnju potrošnju od 450 GWh, dok instalirana snaga TE Plomin 2 iznosi 210</w:t>
      </w:r>
      <w:r w:rsidR="000841B4" w:rsidRPr="63259912">
        <w:t> </w:t>
      </w:r>
      <w:r w:rsidRPr="63259912">
        <w:t>MW, uz ukupnu godišnju proizvodnju i do 1,5</w:t>
      </w:r>
      <w:r w:rsidR="000841B4" w:rsidRPr="63259912">
        <w:t> </w:t>
      </w:r>
      <w:r w:rsidRPr="63259912">
        <w:t xml:space="preserve">TWh/god. </w:t>
      </w:r>
    </w:p>
    <w:p w14:paraId="596D7612" w14:textId="06C16B72" w:rsidR="00C10CC8" w:rsidRDefault="30ED37A8" w:rsidP="005E726C">
      <w:r>
        <w:t xml:space="preserve">Zbog svoje geografske posebnosti, gospodarske razvijenosti i očekivanog porasta potrošnje električne energije, kao i porasta zahtijevane kvalitete opskrbe, nužno je prije izlaska iz pogona TE Plomin 2 kao jedinog velikog i baznog proizvodnog objekta na području Istre osigurati odgovarajuću zamjensku proizvodnu, odnosno mrežnu infrastrukturu. To je posebno važno obzirom na postojeću razinu elektroenergetske mrežne povezanosti Istre s ostatkom sustava Hrvatske i sustavom Slovenije koja je dugoročno nedostatna za željenu razinu sigurnosti napajanja postojećih i očekivanih budućih kupaca električne energije u Istri. Naime, u postojećoj pogonskoj praksi u situaciji bez TE Plomin u pogonu kad je </w:t>
      </w:r>
      <w:r w:rsidR="00DE5D17">
        <w:t>potrošnja</w:t>
      </w:r>
      <w:r>
        <w:t xml:space="preserve"> Istre</w:t>
      </w:r>
      <w:r w:rsidR="00DE5D17">
        <w:t xml:space="preserve"> (opterećenje)</w:t>
      </w:r>
      <w:r>
        <w:t xml:space="preserve"> iznad 220 MW (što je cca 40</w:t>
      </w:r>
      <w:r w:rsidR="00440900">
        <w:t> </w:t>
      </w:r>
      <w:r>
        <w:t>% vremena godišnje), moguća je ugroza sigurnosti opskrbe Istre električnom energijom, što je pojava koja se događa i do par puta godišnje. Štoviše, visoka opterećenja se pojavljuju uglavnom nakon zalaska sunca, pa rješenje problema nije samo integracija SE, već je nužno osigurati odgovarajuće baznu lokalnu proizvodnju, spremnike energije ili bolju povezanost s ostatkom sustava. Ovom je važno dodati da i vodoopskrbni sustav Istre ovisi o napajanju električnom energijom, pa je i s tog aspekta sigurnosti opskrbe Istre potrebno posvetiti maksimalnu pozornost</w:t>
      </w:r>
      <w:r w:rsidR="0E285631">
        <w:t xml:space="preserve"> uzimajući u obzir rizike od klimatskih promjena</w:t>
      </w:r>
      <w:r>
        <w:t xml:space="preserve">. </w:t>
      </w:r>
    </w:p>
    <w:p w14:paraId="2D113EB5" w14:textId="61A2ACA5" w:rsidR="00B60505" w:rsidRDefault="004A4B50" w:rsidP="00110E1B">
      <w:r w:rsidRPr="00D618F9">
        <w:t>Ugovorom između Vlade Republike Slovenije i Vlade Republike Hrvatske o uređenju statusnih i drugih pravnih odnosa vezanih uz ulaganje, iskorištavanje i razgradnju Nuklearne elektrane Krško te Društvenim ugovorom,</w:t>
      </w:r>
      <w:r w:rsidR="00440900">
        <w:t xml:space="preserve"> </w:t>
      </w:r>
      <w:r w:rsidRPr="00D618F9">
        <w:t>koji su stupili na snagu 2003. godine</w:t>
      </w:r>
      <w:r w:rsidR="00127E64">
        <w:t>,</w:t>
      </w:r>
      <w:r w:rsidR="00224ECD" w:rsidRPr="00D618F9">
        <w:t xml:space="preserve"> u</w:t>
      </w:r>
      <w:r w:rsidRPr="00D618F9">
        <w:t>ređ</w:t>
      </w:r>
      <w:r w:rsidR="00224ECD" w:rsidRPr="00D618F9">
        <w:t>eni su</w:t>
      </w:r>
      <w:r w:rsidRPr="00D618F9">
        <w:t xml:space="preserve"> međusobn</w:t>
      </w:r>
      <w:r w:rsidR="001F4A54" w:rsidRPr="00D618F9">
        <w:t>i</w:t>
      </w:r>
      <w:r w:rsidRPr="00D618F9">
        <w:t xml:space="preserve"> </w:t>
      </w:r>
      <w:r w:rsidRPr="00D618F9">
        <w:lastRenderedPageBreak/>
        <w:t>odnos</w:t>
      </w:r>
      <w:r w:rsidR="00E927C9" w:rsidRPr="00D618F9">
        <w:t>i</w:t>
      </w:r>
      <w:r w:rsidRPr="00D618F9">
        <w:t>, prava i obveze na osnovi jednakih vlasničkih udjela članova društva: GEN</w:t>
      </w:r>
      <w:r w:rsidR="002B7854">
        <w:t xml:space="preserve"> </w:t>
      </w:r>
      <w:r w:rsidRPr="00D618F9">
        <w:t>energije</w:t>
      </w:r>
      <w:r w:rsidR="002B7854">
        <w:t xml:space="preserve">, </w:t>
      </w:r>
      <w:r w:rsidRPr="00D618F9">
        <w:t xml:space="preserve">d.o.o., i Hrvatske elektroprivrede, d.d. </w:t>
      </w:r>
      <w:r w:rsidR="00AE32B2" w:rsidRPr="00D618F9">
        <w:t>Prema navedenim ugovorima, Nuklearna elektrana Krško</w:t>
      </w:r>
      <w:r w:rsidR="00943816" w:rsidRPr="00D618F9">
        <w:t>, koja se nalazi na teritoriju Republike Slovenije,</w:t>
      </w:r>
      <w:r w:rsidR="00AE32B2" w:rsidRPr="00D618F9">
        <w:t xml:space="preserve"> </w:t>
      </w:r>
      <w:r w:rsidR="000F70BF" w:rsidRPr="00D618F9">
        <w:t>i</w:t>
      </w:r>
      <w:r w:rsidRPr="00D618F9">
        <w:t xml:space="preserve">sporučuje </w:t>
      </w:r>
      <w:r w:rsidR="001245BB" w:rsidRPr="00D618F9">
        <w:t>50</w:t>
      </w:r>
      <w:r w:rsidR="00C86512">
        <w:t> </w:t>
      </w:r>
      <w:r w:rsidR="001245BB" w:rsidRPr="00D618F9">
        <w:t xml:space="preserve">% </w:t>
      </w:r>
      <w:r w:rsidRPr="00D618F9">
        <w:t>proizveden</w:t>
      </w:r>
      <w:r w:rsidR="001245BB" w:rsidRPr="00D618F9">
        <w:t>e</w:t>
      </w:r>
      <w:r w:rsidRPr="00D618F9">
        <w:t xml:space="preserve"> električn</w:t>
      </w:r>
      <w:r w:rsidR="001245BB" w:rsidRPr="00D618F9">
        <w:t>e</w:t>
      </w:r>
      <w:r w:rsidRPr="00D618F9">
        <w:t xml:space="preserve"> energij</w:t>
      </w:r>
      <w:r w:rsidR="001245BB" w:rsidRPr="00D618F9">
        <w:t>e</w:t>
      </w:r>
      <w:r w:rsidR="00E851E6" w:rsidRPr="00D618F9">
        <w:t xml:space="preserve"> Hrvatskoj elektroprivredi</w:t>
      </w:r>
      <w:r w:rsidR="00AE0783" w:rsidRPr="00D618F9">
        <w:t>.</w:t>
      </w:r>
      <w:r w:rsidR="00872661">
        <w:t xml:space="preserve"> </w:t>
      </w:r>
      <w:r w:rsidR="00FE414F">
        <w:t>Radni vijek elektrane je produljen do 2043. godine, a u</w:t>
      </w:r>
      <w:r w:rsidR="00967F46">
        <w:t xml:space="preserve"> tijeku su pregovori o produljenju </w:t>
      </w:r>
      <w:r w:rsidR="005D1663">
        <w:t xml:space="preserve">životnog </w:t>
      </w:r>
      <w:r w:rsidR="00967F46">
        <w:t xml:space="preserve">vijeka </w:t>
      </w:r>
      <w:r w:rsidR="005D1663">
        <w:t>Nuklearne elektrane Krško</w:t>
      </w:r>
      <w:r w:rsidR="003A7C6E">
        <w:t xml:space="preserve"> </w:t>
      </w:r>
      <w:r w:rsidR="008B5505">
        <w:t xml:space="preserve">i </w:t>
      </w:r>
      <w:r w:rsidR="00D0266E">
        <w:t xml:space="preserve">nakon </w:t>
      </w:r>
      <w:r w:rsidR="00842467">
        <w:t>204</w:t>
      </w:r>
      <w:r w:rsidR="00E250D2">
        <w:t>3</w:t>
      </w:r>
      <w:r w:rsidR="00842467">
        <w:t>. godine</w:t>
      </w:r>
      <w:r w:rsidR="00B60505">
        <w:t>.</w:t>
      </w:r>
      <w:r w:rsidR="008C07BF" w:rsidRPr="008C07BF">
        <w:t xml:space="preserve"> </w:t>
      </w:r>
      <w:r w:rsidR="008C07BF">
        <w:t>Nadalje, prateći tehnološki razvoj i potrebe energetske tranzicije</w:t>
      </w:r>
      <w:r w:rsidR="00025A48">
        <w:t>,</w:t>
      </w:r>
      <w:r w:rsidR="008C07BF">
        <w:t xml:space="preserve"> </w:t>
      </w:r>
      <w:r w:rsidR="00025A48">
        <w:t>razmotriti će se</w:t>
      </w:r>
      <w:r w:rsidR="008C07BF">
        <w:t xml:space="preserve"> i drug</w:t>
      </w:r>
      <w:r w:rsidR="00025A48">
        <w:t>a</w:t>
      </w:r>
      <w:r w:rsidR="008C07BF">
        <w:t xml:space="preserve"> alternativn</w:t>
      </w:r>
      <w:r w:rsidR="00025A48">
        <w:t>a</w:t>
      </w:r>
      <w:r w:rsidR="008C07BF">
        <w:t xml:space="preserve"> rješenja u području korištenja nuklearne energije koj</w:t>
      </w:r>
      <w:r w:rsidR="00025A48">
        <w:t>a</w:t>
      </w:r>
      <w:r w:rsidR="008C07BF">
        <w:t xml:space="preserve"> uključuju male modularne reaktore (SMR) te u kasnijoj fazi fuziju. Bitno je imati u vidu </w:t>
      </w:r>
      <w:r w:rsidR="00CC669E">
        <w:t xml:space="preserve">da </w:t>
      </w:r>
      <w:r w:rsidR="008C07BF">
        <w:t>nuklearne tehnologije, osim proizvodnje električne energije omogućavaju  samodostatnos</w:t>
      </w:r>
      <w:r w:rsidR="00CC669E">
        <w:t>t</w:t>
      </w:r>
      <w:r w:rsidR="008C07BF">
        <w:t xml:space="preserve"> u smislu buduće proizvodnje vodika bez CO</w:t>
      </w:r>
      <w:r w:rsidR="008C07BF" w:rsidRPr="00CC669E">
        <w:rPr>
          <w:vertAlign w:val="subscript"/>
        </w:rPr>
        <w:t>2</w:t>
      </w:r>
      <w:r w:rsidR="008C07BF">
        <w:t xml:space="preserve"> emisija, jer je u protivnom isti cilj moguće postići jedino uvozom. Uvođenjem SMR tehnologije kada bud</w:t>
      </w:r>
      <w:r w:rsidR="009C3F3A">
        <w:t>e</w:t>
      </w:r>
      <w:r w:rsidR="008C07BF">
        <w:t xml:space="preserve"> zrel</w:t>
      </w:r>
      <w:r w:rsidR="009C3F3A">
        <w:t>a</w:t>
      </w:r>
      <w:r w:rsidR="008C07BF">
        <w:t>, također se mogu koristiti određene lokacije na kojima su bile pozicionirane postojeće elektrane na fosilna goriva čime se bitno smanjuje cijena ulaganja u prijenosne sustave.</w:t>
      </w:r>
      <w:r w:rsidR="00B824C9">
        <w:t xml:space="preserve"> U tom smislu je osnovana </w:t>
      </w:r>
      <w:r w:rsidR="00B824C9" w:rsidRPr="003925AF">
        <w:t xml:space="preserve"> Radna skupina za nuklearnu energiju</w:t>
      </w:r>
      <w:r w:rsidR="00B824C9">
        <w:t xml:space="preserve"> pri Ministarstvu gospodarstva.</w:t>
      </w:r>
    </w:p>
    <w:bookmarkEnd w:id="284"/>
    <w:p w14:paraId="51F57F70" w14:textId="0E541EA7" w:rsidR="00404585" w:rsidRDefault="00544F2E" w:rsidP="002174EB">
      <w:r w:rsidRPr="00B47BDA">
        <w:t xml:space="preserve">Potrebno je istaknuti kako su </w:t>
      </w:r>
      <w:r w:rsidR="00857183" w:rsidRPr="00205CE8">
        <w:t>projicirane</w:t>
      </w:r>
      <w:r w:rsidR="00246785" w:rsidRPr="00205CE8">
        <w:t xml:space="preserve"> instalirane</w:t>
      </w:r>
      <w:r w:rsidR="00857183" w:rsidRPr="00205CE8">
        <w:t xml:space="preserve"> snage </w:t>
      </w:r>
      <w:r w:rsidR="00FF30F5">
        <w:t xml:space="preserve">elektrana </w:t>
      </w:r>
      <w:r w:rsidR="00857183" w:rsidRPr="00205CE8">
        <w:t xml:space="preserve">rezultat </w:t>
      </w:r>
      <w:r w:rsidR="0050663D" w:rsidRPr="00205CE8">
        <w:t xml:space="preserve">simulacijskog </w:t>
      </w:r>
      <w:r w:rsidR="00857183" w:rsidRPr="00205CE8">
        <w:t xml:space="preserve">modela i kako se u provedbi </w:t>
      </w:r>
      <w:r w:rsidR="008F5DD6" w:rsidRPr="00205CE8">
        <w:t xml:space="preserve">mogu očekivati odstupanja od izračunatih </w:t>
      </w:r>
      <w:r w:rsidR="00246785" w:rsidRPr="00205CE8">
        <w:t xml:space="preserve">vrijednosti. </w:t>
      </w:r>
      <w:r w:rsidR="001C1508" w:rsidRPr="00205CE8">
        <w:t xml:space="preserve">Napori RH bit će usmjereni ka ostvarivanju cilja u pogledu udjela OIE u bruto neposrednoj potrošnji, </w:t>
      </w:r>
      <w:r w:rsidR="00350E4D" w:rsidRPr="00205CE8">
        <w:t xml:space="preserve">a može se očekivati kako će </w:t>
      </w:r>
      <w:r w:rsidR="00AC4338" w:rsidRPr="00205CE8">
        <w:t>instalirana snaga u nekim teh</w:t>
      </w:r>
      <w:r w:rsidR="000465F6" w:rsidRPr="00205CE8">
        <w:t>n</w:t>
      </w:r>
      <w:r w:rsidR="00AC4338" w:rsidRPr="00205CE8">
        <w:t>ologijama biti niža od projicirane, a u nekima viša.</w:t>
      </w:r>
      <w:r w:rsidR="00A66B82" w:rsidRPr="00205CE8">
        <w:t xml:space="preserve"> </w:t>
      </w:r>
      <w:r w:rsidR="00CE61EB" w:rsidRPr="00205CE8">
        <w:t xml:space="preserve">Na </w:t>
      </w:r>
      <w:r w:rsidR="009461B3" w:rsidRPr="00205CE8">
        <w:t>isto će utjecati dinamika razvoja pojedinih projekata, te se posebice u razvoju geotermalnih projekata, gdje je uzet u obzir minimalni doprinos cilju, očekuje više novih kapaciteta iz stabilne proizvodnje obnovljive električne i toplinske energije, za što su napravljeni novi zakonski preduvjeti te je više projekata u zreloj fazi ispitivanja potencijala.</w:t>
      </w:r>
    </w:p>
    <w:p w14:paraId="455660B7" w14:textId="7353425B" w:rsidR="00E65053" w:rsidRPr="00B47BDA" w:rsidRDefault="00E65053" w:rsidP="005C2C7E">
      <w:pPr>
        <w:pStyle w:val="Heading4"/>
        <w:numPr>
          <w:ilvl w:val="3"/>
          <w:numId w:val="175"/>
        </w:numPr>
        <w:ind w:hanging="580"/>
      </w:pPr>
      <w:r w:rsidRPr="00B47BDA">
        <w:t>Procijenjene putanje potražnje za energijom biomase, raščlanjene na toplinsku i električnu energiju te promet, i putanje opskrbe biomasom po sirovini i podrijetlu (razlikovanje između domaće proizvodnje i uvoza). Za šumsku biomasu, ocjena njezina izvora i utjecaja na ponor u LULUCF</w:t>
      </w:r>
    </w:p>
    <w:p w14:paraId="420D2C98" w14:textId="02E343C6" w:rsidR="00EF4BC6" w:rsidRPr="00B47BDA" w:rsidRDefault="00A13583" w:rsidP="004623DD">
      <w:r w:rsidRPr="00B47BDA">
        <w:t xml:space="preserve">Procijenjenu putanju potražnje za </w:t>
      </w:r>
      <w:r w:rsidR="00A37A0C" w:rsidRPr="00B47BDA">
        <w:t>energijom biomase</w:t>
      </w:r>
      <w:r w:rsidRPr="00B47BDA">
        <w:t xml:space="preserve"> raščlanjen</w:t>
      </w:r>
      <w:r w:rsidR="00EF4BC6" w:rsidRPr="00B47BDA">
        <w:t xml:space="preserve">u na </w:t>
      </w:r>
      <w:r w:rsidR="008A428B" w:rsidRPr="00B47BDA">
        <w:t xml:space="preserve">krutu biomasu, </w:t>
      </w:r>
      <w:r w:rsidR="00EF4BC6" w:rsidRPr="00B47BDA">
        <w:t xml:space="preserve">toplinu i električnu energiju </w:t>
      </w:r>
      <w:r w:rsidR="00E95502" w:rsidRPr="00B47BDA">
        <w:t xml:space="preserve">proizvedene iz biomase </w:t>
      </w:r>
      <w:r w:rsidR="00EF4BC6" w:rsidRPr="00B47BDA">
        <w:t xml:space="preserve">te na </w:t>
      </w:r>
      <w:r w:rsidR="000F4093" w:rsidRPr="00B47BDA">
        <w:t xml:space="preserve">biogoriva u </w:t>
      </w:r>
      <w:r w:rsidR="00EF4BC6" w:rsidRPr="00B47BDA">
        <w:t>promet</w:t>
      </w:r>
      <w:r w:rsidR="000F4093" w:rsidRPr="00B47BDA">
        <w:t>u</w:t>
      </w:r>
      <w:r w:rsidR="00EF4BC6" w:rsidRPr="00B47BDA">
        <w:t xml:space="preserve"> prikazuje</w:t>
      </w:r>
      <w:r w:rsidR="00110E46">
        <w:t xml:space="preserve"> </w:t>
      </w:r>
      <w:r w:rsidR="00125D39">
        <w:t>S</w:t>
      </w:r>
      <w:r w:rsidR="00110E46">
        <w:t>lika</w:t>
      </w:r>
      <w:r w:rsidR="00EF4BC6" w:rsidRPr="00B47BDA">
        <w:t xml:space="preserve"> </w:t>
      </w:r>
      <w:r w:rsidR="00277EFB" w:rsidRPr="00B47BDA">
        <w:fldChar w:fldCharType="begin"/>
      </w:r>
      <w:r w:rsidR="00277EFB" w:rsidRPr="00EB031F">
        <w:rPr>
          <w:b/>
          <w:szCs w:val="32"/>
        </w:rPr>
        <w:instrText xml:space="preserve"> REF _Ref11411223 \h </w:instrText>
      </w:r>
      <w:r w:rsidR="00347580" w:rsidRPr="00EB031F">
        <w:rPr>
          <w:b/>
          <w:szCs w:val="32"/>
        </w:rPr>
        <w:instrText xml:space="preserve"> \* MERGEFORMAT </w:instrText>
      </w:r>
      <w:r w:rsidR="00277EFB" w:rsidRPr="00B47BDA">
        <w:fldChar w:fldCharType="separate"/>
      </w:r>
      <w:r w:rsidR="00AD324D">
        <w:t>2</w:t>
      </w:r>
      <w:r w:rsidR="00AD324D">
        <w:noBreakHyphen/>
        <w:t>1</w:t>
      </w:r>
      <w:r w:rsidR="00FC703B">
        <w:t>3</w:t>
      </w:r>
      <w:r w:rsidR="00AD324D">
        <w:t>.</w:t>
      </w:r>
      <w:r w:rsidR="00277EFB" w:rsidRPr="00B47BDA">
        <w:fldChar w:fldCharType="end"/>
      </w:r>
      <w:r w:rsidR="00E91F17">
        <w:t xml:space="preserve"> </w:t>
      </w:r>
    </w:p>
    <w:p w14:paraId="522B2921" w14:textId="0D1DC0FC" w:rsidR="00EF4BC6" w:rsidRDefault="00EF4BC6" w:rsidP="004623DD"/>
    <w:p w14:paraId="0755104A" w14:textId="5CC8105E" w:rsidR="008B5060" w:rsidRPr="00B47BDA" w:rsidRDefault="00396D15" w:rsidP="00E72265">
      <w:pPr>
        <w:jc w:val="center"/>
      </w:pPr>
      <w:r w:rsidRPr="00396D15">
        <w:rPr>
          <w:noProof/>
        </w:rPr>
        <w:lastRenderedPageBreak/>
        <w:drawing>
          <wp:inline distT="0" distB="0" distL="0" distR="0" wp14:anchorId="430CF4B0" wp14:editId="1242AC52">
            <wp:extent cx="4601405" cy="2771088"/>
            <wp:effectExtent l="0" t="0" r="0" b="0"/>
            <wp:docPr id="2022527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20246" cy="2782434"/>
                    </a:xfrm>
                    <a:prstGeom prst="rect">
                      <a:avLst/>
                    </a:prstGeom>
                    <a:noFill/>
                    <a:ln>
                      <a:noFill/>
                    </a:ln>
                  </pic:spPr>
                </pic:pic>
              </a:graphicData>
            </a:graphic>
          </wp:inline>
        </w:drawing>
      </w:r>
    </w:p>
    <w:p w14:paraId="51335543" w14:textId="57D2F37B" w:rsidR="00EF4BC6" w:rsidRPr="00B47BDA" w:rsidRDefault="00324232" w:rsidP="004623DD">
      <w:pPr>
        <w:pStyle w:val="Caption"/>
      </w:pPr>
      <w:bookmarkStart w:id="285" w:name="_Toc193035890"/>
      <w:r>
        <w:t xml:space="preserve">Slika </w:t>
      </w:r>
      <w:r>
        <w:fldChar w:fldCharType="begin"/>
      </w:r>
      <w:r>
        <w:instrText>STYLEREF 1 \s</w:instrText>
      </w:r>
      <w:r>
        <w:fldChar w:fldCharType="separate"/>
      </w:r>
      <w:r>
        <w:rPr>
          <w:noProof/>
        </w:rPr>
        <w:t>2</w:t>
      </w:r>
      <w:r>
        <w:fldChar w:fldCharType="end"/>
      </w:r>
      <w:r>
        <w:t>–</w:t>
      </w:r>
      <w:r>
        <w:fldChar w:fldCharType="begin"/>
      </w:r>
      <w:r>
        <w:instrText>SEQ Slika \* ARABIC \s 1</w:instrText>
      </w:r>
      <w:r>
        <w:fldChar w:fldCharType="separate"/>
      </w:r>
      <w:r>
        <w:rPr>
          <w:noProof/>
        </w:rPr>
        <w:t>13</w:t>
      </w:r>
      <w:r>
        <w:fldChar w:fldCharType="end"/>
      </w:r>
      <w:r>
        <w:t xml:space="preserve">. </w:t>
      </w:r>
      <w:r w:rsidR="00EF4BC6" w:rsidRPr="00B47BDA">
        <w:t xml:space="preserve">Procijenjena putanja potražnje za </w:t>
      </w:r>
      <w:r w:rsidR="00A37A0C" w:rsidRPr="00B47BDA">
        <w:t>energijom biomase</w:t>
      </w:r>
      <w:bookmarkEnd w:id="285"/>
    </w:p>
    <w:p w14:paraId="50D8E827" w14:textId="77777777" w:rsidR="00073EB0" w:rsidRDefault="00073EB0" w:rsidP="004623DD"/>
    <w:p w14:paraId="25B5517E" w14:textId="4AF4B2BF" w:rsidR="00DE67F8" w:rsidRPr="001711E7" w:rsidRDefault="00F60155" w:rsidP="004623DD">
      <w:r w:rsidRPr="001711E7">
        <w:t xml:space="preserve">Kruta biomasa </w:t>
      </w:r>
      <w:r w:rsidR="00E54F52" w:rsidRPr="001711E7">
        <w:t>sudjeluje s preko 30</w:t>
      </w:r>
      <w:r w:rsidR="00C86512">
        <w:t> </w:t>
      </w:r>
      <w:r w:rsidR="00E54F52" w:rsidRPr="001711E7">
        <w:t>% u neposrednoj potrošnji energije u sektorima kućanstava i usluga</w:t>
      </w:r>
      <w:r w:rsidR="0063718E" w:rsidRPr="001711E7">
        <w:t xml:space="preserve"> pri čemu je od ukupne korištene krute biomase </w:t>
      </w:r>
      <w:r w:rsidR="00910066" w:rsidRPr="001711E7">
        <w:t>manje od 10</w:t>
      </w:r>
      <w:r w:rsidR="00C86512">
        <w:t> </w:t>
      </w:r>
      <w:r w:rsidR="00910066" w:rsidRPr="001711E7">
        <w:t>% tzv. moderne biomase</w:t>
      </w:r>
      <w:r w:rsidR="00727D46" w:rsidRPr="001711E7">
        <w:t xml:space="preserve"> (peleti, briketi i dr.). </w:t>
      </w:r>
      <w:r w:rsidR="00DE4C14" w:rsidRPr="001711E7">
        <w:t xml:space="preserve">Uvoz krute biomase </w:t>
      </w:r>
      <w:r w:rsidR="006E0E65" w:rsidRPr="001711E7">
        <w:t>je relativno mali i iznosi oko 2</w:t>
      </w:r>
      <w:r w:rsidR="00C86512">
        <w:t> </w:t>
      </w:r>
      <w:r w:rsidR="006E0E65" w:rsidRPr="001711E7">
        <w:t>% od ukupnih potreba</w:t>
      </w:r>
      <w:r w:rsidR="005E3902" w:rsidRPr="001711E7">
        <w:t xml:space="preserve">. </w:t>
      </w:r>
    </w:p>
    <w:p w14:paraId="15668ED9" w14:textId="7967B4A0" w:rsidR="00395F4D" w:rsidRPr="001711E7" w:rsidRDefault="00400E78" w:rsidP="004623DD">
      <w:r w:rsidRPr="001711E7">
        <w:t xml:space="preserve">Sukladno obnovi stambenog fonda </w:t>
      </w:r>
      <w:r w:rsidR="00B863A7" w:rsidRPr="001711E7">
        <w:t xml:space="preserve">smanjivati će se potreba za krutom biomasom </w:t>
      </w:r>
      <w:r w:rsidR="005347E4" w:rsidRPr="001711E7">
        <w:t>pri čemu</w:t>
      </w:r>
      <w:r w:rsidR="00B863A7" w:rsidRPr="001711E7">
        <w:t xml:space="preserve"> će </w:t>
      </w:r>
      <w:r w:rsidR="00AD4A1B" w:rsidRPr="001711E7">
        <w:t xml:space="preserve">se </w:t>
      </w:r>
      <w:r w:rsidR="005347E4" w:rsidRPr="001711E7">
        <w:t>potrošnja ogrjevnog drveta</w:t>
      </w:r>
      <w:r w:rsidR="00AD4A1B" w:rsidRPr="001711E7">
        <w:t xml:space="preserve"> do 2030. godine </w:t>
      </w:r>
      <w:r w:rsidR="008E545E" w:rsidRPr="001711E7">
        <w:t>smanjiti za oko 50</w:t>
      </w:r>
      <w:r w:rsidR="00E01DCC">
        <w:t> </w:t>
      </w:r>
      <w:r w:rsidR="008E545E" w:rsidRPr="001711E7">
        <w:t xml:space="preserve">%, dok </w:t>
      </w:r>
      <w:r w:rsidR="00395F4D" w:rsidRPr="001711E7">
        <w:t>će se potrošnja moderne biomase blago povećati (za oko 1</w:t>
      </w:r>
      <w:r w:rsidR="00E01DCC">
        <w:t> </w:t>
      </w:r>
      <w:r w:rsidR="00395F4D" w:rsidRPr="001711E7">
        <w:t>%).</w:t>
      </w:r>
    </w:p>
    <w:p w14:paraId="20C92E24" w14:textId="57C1C79E" w:rsidR="003C604E" w:rsidRDefault="00E42A61" w:rsidP="004623DD">
      <w:r w:rsidRPr="63259912">
        <w:t>Ministarstvo poljoprivrede</w:t>
      </w:r>
      <w:r w:rsidR="006A4A28" w:rsidRPr="63259912">
        <w:rPr>
          <w:lang w:eastAsia="hr-HR"/>
        </w:rPr>
        <w:t>, šumarstva i ribarstva</w:t>
      </w:r>
      <w:r w:rsidR="006A4A28" w:rsidRPr="63259912">
        <w:t xml:space="preserve"> </w:t>
      </w:r>
      <w:r w:rsidRPr="63259912">
        <w:t>osnovalo je</w:t>
      </w:r>
      <w:r w:rsidR="00DC6161" w:rsidRPr="63259912">
        <w:t xml:space="preserve"> Stručnu radnu skupinu s ciljem izrade Strategije biogospodarstva do 2035. godine </w:t>
      </w:r>
      <w:r w:rsidR="00C25C94" w:rsidRPr="63259912">
        <w:t xml:space="preserve">za potrebe koje su također provedene analize vezane uz energiju iz biomase. </w:t>
      </w:r>
    </w:p>
    <w:p w14:paraId="0FF676C6" w14:textId="24C272A0" w:rsidR="003C604E" w:rsidRDefault="00C54EEC" w:rsidP="00D51E25">
      <w:pPr>
        <w:jc w:val="center"/>
      </w:pPr>
      <w:r w:rsidRPr="00C54EEC">
        <w:rPr>
          <w:noProof/>
        </w:rPr>
        <w:drawing>
          <wp:inline distT="0" distB="0" distL="0" distR="0" wp14:anchorId="7293C9FC" wp14:editId="6914D019">
            <wp:extent cx="5280660" cy="2987836"/>
            <wp:effectExtent l="0" t="0" r="0" b="3175"/>
            <wp:docPr id="1434224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87878" cy="2991920"/>
                    </a:xfrm>
                    <a:prstGeom prst="rect">
                      <a:avLst/>
                    </a:prstGeom>
                    <a:noFill/>
                    <a:ln>
                      <a:noFill/>
                    </a:ln>
                  </pic:spPr>
                </pic:pic>
              </a:graphicData>
            </a:graphic>
          </wp:inline>
        </w:drawing>
      </w:r>
    </w:p>
    <w:p w14:paraId="6D6BE246" w14:textId="1348E290" w:rsidR="00250909" w:rsidRPr="00B47BDA" w:rsidRDefault="00250909" w:rsidP="00250909">
      <w:pPr>
        <w:pStyle w:val="Caption"/>
      </w:pPr>
      <w:bookmarkStart w:id="286" w:name="_Toc193035891"/>
      <w:r>
        <w:t xml:space="preserve">Slika </w:t>
      </w:r>
      <w:r>
        <w:fldChar w:fldCharType="begin"/>
      </w:r>
      <w:r>
        <w:instrText>STYLEREF 1 \s</w:instrText>
      </w:r>
      <w:r>
        <w:fldChar w:fldCharType="separate"/>
      </w:r>
      <w:r>
        <w:rPr>
          <w:noProof/>
        </w:rPr>
        <w:t>2</w:t>
      </w:r>
      <w:r>
        <w:fldChar w:fldCharType="end"/>
      </w:r>
      <w:r>
        <w:t>–</w:t>
      </w:r>
      <w:r>
        <w:fldChar w:fldCharType="begin"/>
      </w:r>
      <w:r>
        <w:instrText>SEQ Slika \* ARABIC \s 1</w:instrText>
      </w:r>
      <w:r>
        <w:fldChar w:fldCharType="separate"/>
      </w:r>
      <w:r w:rsidR="00434DAB">
        <w:rPr>
          <w:noProof/>
        </w:rPr>
        <w:t>14</w:t>
      </w:r>
      <w:r>
        <w:fldChar w:fldCharType="end"/>
      </w:r>
      <w:r>
        <w:t xml:space="preserve">. </w:t>
      </w:r>
      <w:r w:rsidRPr="00B47BDA">
        <w:t xml:space="preserve">Procijenjena putanja potražnje za energijom </w:t>
      </w:r>
      <w:r w:rsidR="003F3CDA">
        <w:t>kru</w:t>
      </w:r>
      <w:r w:rsidR="000B1947">
        <w:t xml:space="preserve">te </w:t>
      </w:r>
      <w:r w:rsidRPr="00B47BDA">
        <w:t>biomase</w:t>
      </w:r>
      <w:bookmarkEnd w:id="286"/>
    </w:p>
    <w:p w14:paraId="7D51CE40" w14:textId="712A754F" w:rsidR="00AD2E2E" w:rsidRDefault="00AD2E2E">
      <w:pPr>
        <w:spacing w:after="0"/>
      </w:pPr>
    </w:p>
    <w:p w14:paraId="70729B6C" w14:textId="62B6448A" w:rsidR="00DA21CA" w:rsidRPr="00B47BDA" w:rsidRDefault="00DA21CA" w:rsidP="005C2C7E">
      <w:pPr>
        <w:pStyle w:val="Heading4"/>
        <w:numPr>
          <w:ilvl w:val="3"/>
          <w:numId w:val="175"/>
        </w:numPr>
        <w:ind w:hanging="580"/>
      </w:pPr>
      <w:r w:rsidRPr="00B47BDA">
        <w:t>Ako je primjenjivo, druge nacionalne putanje i ciljeve, uključujući dugoročne i sektorske (npr. udio obnovljive energije u centraliziranom grijanju, upotreba obnovljive energije u zgradama, obnovljiva energija koju su proizveli gradovi, zajednice obnovljive energije i potrošači vlastite obnovljive energije, energija dobivena iz mulja dobivenog obradom otpadnih voda)</w:t>
      </w:r>
    </w:p>
    <w:p w14:paraId="17D2957D" w14:textId="442968E8" w:rsidR="00DF2D43" w:rsidRPr="001711E7" w:rsidRDefault="4B58D168" w:rsidP="00E10120">
      <w:r w:rsidRPr="63259912">
        <w:t>Prema Direktivi</w:t>
      </w:r>
      <w:r w:rsidR="009326E3" w:rsidRPr="63259912">
        <w:t xml:space="preserve"> (EU) 2018/2001 o promicanju </w:t>
      </w:r>
      <w:r w:rsidR="00AC02FA" w:rsidRPr="63259912">
        <w:t xml:space="preserve">uporabe energije iz </w:t>
      </w:r>
      <w:r w:rsidR="009326E3" w:rsidRPr="63259912">
        <w:t xml:space="preserve">obnovljivih izvora energije </w:t>
      </w:r>
      <w:r w:rsidRPr="63259912">
        <w:t>sve države članice se obvezuju povećati udio OIE za grijanje i hlađenje za 1,3 postotna boda godišnje</w:t>
      </w:r>
      <w:r w:rsidR="1F29AE14" w:rsidRPr="63259912">
        <w:t>, odnosno 1,1 postotna boda godišnje ako se</w:t>
      </w:r>
      <w:r w:rsidR="2AEF7C84" w:rsidRPr="63259912">
        <w:t xml:space="preserve"> ne koristi otpadna toplina,</w:t>
      </w:r>
      <w:r w:rsidRPr="63259912">
        <w:t xml:space="preserve"> </w:t>
      </w:r>
      <w:r w:rsidR="601113CC" w:rsidRPr="63259912">
        <w:t xml:space="preserve">kao godišnji prosjek </w:t>
      </w:r>
      <w:r w:rsidR="0C4BFC57" w:rsidRPr="63259912">
        <w:t xml:space="preserve">za razdoblje </w:t>
      </w:r>
      <w:r w:rsidRPr="63259912">
        <w:t xml:space="preserve">od 2021. do 2025. godine i </w:t>
      </w:r>
      <w:r w:rsidR="0C4BFC57" w:rsidRPr="63259912">
        <w:t xml:space="preserve">razdoblje </w:t>
      </w:r>
      <w:r w:rsidRPr="63259912">
        <w:t>od 2026. do 2030. godine, u odnosu na ovaj udio u 2020. godini, izraženo kao udio finalne potrošnje a prema metodologiji propisanoj u istom dokumentu</w:t>
      </w:r>
      <w:r w:rsidR="00D8784D" w:rsidRPr="63259912">
        <w:t>.</w:t>
      </w:r>
      <w:r w:rsidR="2594C51A" w:rsidRPr="63259912">
        <w:t xml:space="preserve"> </w:t>
      </w:r>
      <w:r w:rsidR="001F6119" w:rsidRPr="63259912">
        <w:t>O</w:t>
      </w:r>
      <w:r w:rsidR="5E73EF22" w:rsidRPr="63259912">
        <w:t>vaj uvjet se smatra ispunjenim i ako</w:t>
      </w:r>
      <w:r w:rsidRPr="63259912">
        <w:t xml:space="preserve"> </w:t>
      </w:r>
      <w:r w:rsidR="146389D3" w:rsidRPr="63259912">
        <w:t xml:space="preserve">je udio energije iz obnovljivih izvora i otpadne topline i hladnoće u centraliziranom grijanju i hlađenju </w:t>
      </w:r>
      <w:r w:rsidR="5E73EF22" w:rsidRPr="63259912">
        <w:t>iznosi više</w:t>
      </w:r>
      <w:r w:rsidRPr="63259912">
        <w:t xml:space="preserve"> od 60</w:t>
      </w:r>
      <w:r w:rsidR="00110E46" w:rsidRPr="63259912">
        <w:t xml:space="preserve"> </w:t>
      </w:r>
      <w:r w:rsidRPr="63259912">
        <w:t xml:space="preserve">%. </w:t>
      </w:r>
      <w:r w:rsidR="146389D3" w:rsidRPr="63259912">
        <w:t xml:space="preserve">Međutim, sukladno </w:t>
      </w:r>
      <w:r w:rsidR="39B2BA3A" w:rsidRPr="63259912">
        <w:t xml:space="preserve">Sveobuhvatnoj procjeni potencijala za učinkovito grijanje i hlađenje u Hrvatskoj prema Prilogu VIII. Direktive 2012/27/EU </w:t>
      </w:r>
      <w:r w:rsidR="00F24636" w:rsidRPr="63259912">
        <w:t xml:space="preserve">o energetskoj učinkovitosti, </w:t>
      </w:r>
      <w:r w:rsidR="146389D3" w:rsidRPr="63259912">
        <w:t>toplina proizvedena iz kogeneracijskih postrojenja ne može se smatrati otpadnom u smislu zadovoljavanja uvjeta iz članka 24</w:t>
      </w:r>
      <w:r w:rsidR="00957DE0" w:rsidRPr="63259912">
        <w:t>.</w:t>
      </w:r>
      <w:r w:rsidR="146389D3" w:rsidRPr="63259912">
        <w:t xml:space="preserve"> stavka 4</w:t>
      </w:r>
      <w:r w:rsidR="00957DE0" w:rsidRPr="63259912">
        <w:t>.</w:t>
      </w:r>
      <w:r w:rsidR="146389D3" w:rsidRPr="63259912">
        <w:t xml:space="preserve"> Direktive (EU) 2018/2001 o promicanju </w:t>
      </w:r>
      <w:r w:rsidR="007759BC" w:rsidRPr="63259912">
        <w:t>uporabe</w:t>
      </w:r>
      <w:r w:rsidR="00DC73B1" w:rsidRPr="63259912">
        <w:t xml:space="preserve"> </w:t>
      </w:r>
      <w:r w:rsidR="146389D3" w:rsidRPr="63259912">
        <w:t>energije iz obnovljivih izvora</w:t>
      </w:r>
      <w:r w:rsidR="002A4828" w:rsidRPr="63259912">
        <w:t xml:space="preserve">. </w:t>
      </w:r>
      <w:r w:rsidR="74727F27" w:rsidRPr="63259912">
        <w:t>Sukladno trenutnom stanju i projekcijama povećanja udjela OIE u bruto neposrednoj potrošnji za grijanje i hlađenje, RH ne ispunjava uvjet iz članka 24</w:t>
      </w:r>
      <w:r w:rsidR="2594C51A" w:rsidRPr="63259912">
        <w:t>.</w:t>
      </w:r>
      <w:r w:rsidR="74727F27" w:rsidRPr="63259912">
        <w:t xml:space="preserve"> Direktive o promicanju uporabe energije iz obnovljivih izvora</w:t>
      </w:r>
      <w:r w:rsidR="00D47942" w:rsidRPr="63259912">
        <w:t>.</w:t>
      </w:r>
    </w:p>
    <w:p w14:paraId="5ECA3AB2" w14:textId="6149E22C" w:rsidR="00304807" w:rsidRDefault="0039247B" w:rsidP="00304807">
      <w:r>
        <w:t>Direktiva</w:t>
      </w:r>
      <w:r w:rsidR="00541A26">
        <w:t xml:space="preserve"> (EU)</w:t>
      </w:r>
      <w:r>
        <w:t xml:space="preserve"> </w:t>
      </w:r>
      <w:r w:rsidR="00FC1115">
        <w:t xml:space="preserve">2023/1791 </w:t>
      </w:r>
      <w:r w:rsidR="00541A26">
        <w:t xml:space="preserve">o </w:t>
      </w:r>
      <w:r w:rsidR="00541A26" w:rsidRPr="00A550F7">
        <w:t>energetskoj</w:t>
      </w:r>
      <w:r w:rsidR="00541A26">
        <w:t xml:space="preserve"> učinkovitosti </w:t>
      </w:r>
      <w:r w:rsidR="00FC1115">
        <w:t xml:space="preserve">od 13. rujna 2023. </w:t>
      </w:r>
      <w:r w:rsidR="00624F04">
        <w:t>definira</w:t>
      </w:r>
      <w:r w:rsidR="001B61B5">
        <w:t xml:space="preserve"> kriterije za</w:t>
      </w:r>
      <w:r w:rsidR="00624F04">
        <w:t xml:space="preserve"> </w:t>
      </w:r>
      <w:r w:rsidR="001B61B5">
        <w:t>učinkovit sustav centraliziranog grijanja i hlađenja</w:t>
      </w:r>
      <w:r w:rsidR="00A550F7" w:rsidRPr="00A550F7">
        <w:t xml:space="preserve"> na temelju udjela obnovljivih izvora energije, kogeneracije (i </w:t>
      </w:r>
      <w:r w:rsidR="00A550F7">
        <w:t>visokoučinkovite</w:t>
      </w:r>
      <w:r w:rsidR="00A550F7" w:rsidRPr="00A550F7">
        <w:t xml:space="preserve"> kogeneracije)</w:t>
      </w:r>
      <w:r w:rsidR="001B61B5">
        <w:t xml:space="preserve"> </w:t>
      </w:r>
      <w:r w:rsidR="00227D72">
        <w:t xml:space="preserve">i </w:t>
      </w:r>
      <w:r w:rsidR="00227D72" w:rsidRPr="001248BD">
        <w:t xml:space="preserve">otpadne topline. </w:t>
      </w:r>
      <w:r w:rsidR="0070599C" w:rsidRPr="0042594E">
        <w:rPr>
          <w:lang w:val="pl-PL"/>
        </w:rPr>
        <w:t>Učinkovit sustav centraliziranog grijanja i hlađenja mora ispunjavati sljedeće kriterije</w:t>
      </w:r>
    </w:p>
    <w:p w14:paraId="396901CE" w14:textId="48906800" w:rsidR="009B0E83" w:rsidRPr="001711E7" w:rsidRDefault="00304807" w:rsidP="0042594E">
      <w:pPr>
        <w:pStyle w:val="ListParagraph"/>
        <w:numPr>
          <w:ilvl w:val="0"/>
          <w:numId w:val="60"/>
        </w:numPr>
      </w:pPr>
      <w:r>
        <w:t>do 31. prosinca 2027., sustav koji koristi najmanje 50 % energije iz obnovljivih izvora, 50 % otpadne topline, 75 % topline dobivene kogeneracijom ili 50 % kombinacije takve energije i topline</w:t>
      </w:r>
      <w:r w:rsidR="00EE65CA">
        <w:t>;</w:t>
      </w:r>
    </w:p>
    <w:p w14:paraId="5CF8EE7D" w14:textId="51BEE51F" w:rsidR="00EE65CA" w:rsidRDefault="00EE65CA" w:rsidP="0042594E">
      <w:pPr>
        <w:pStyle w:val="ListParagraph"/>
        <w:numPr>
          <w:ilvl w:val="0"/>
          <w:numId w:val="60"/>
        </w:numPr>
      </w:pPr>
      <w:r>
        <w:t>od 1. siječnja 2028., sustav koji koristi najmanje 50 % energije iz obnovljivih izvora, 50 % otpadne topline, 50 % energije iz obnovljivih izvora i otpadne topline, 80 % topline dobivene visokoučinkovitom kogeneracijom ili barem kombinaciju takve termalne energije koja ulazi u mrežu u kojoj je udio energije iz obnovljivih izvora najmanje 5 %, a ukupni udio energije iz obnovljivih izvora, otpadne topline ili topline dobivene visokoučinkovitom kogeneracijom najmanje 50 %</w:t>
      </w:r>
      <w:r w:rsidR="00005A20">
        <w:t>.</w:t>
      </w:r>
    </w:p>
    <w:p w14:paraId="37335548" w14:textId="59A5EAAA" w:rsidR="00EE43D4" w:rsidRDefault="00005A20" w:rsidP="00005A20">
      <w:r w:rsidRPr="63259912">
        <w:t xml:space="preserve">Kriteriji se dodatno postrožuju nakon 2035. godine, pri čemu se nakon 2050. godine učinkovit sustav smatra samo onaj koji ne koristi fosilna goriva. </w:t>
      </w:r>
      <w:r w:rsidR="0084031E" w:rsidRPr="63259912">
        <w:t>Prema provedenoj analizi proizvodnje većine centraliziranih sustava grijanja i hlađenja za 2021. godinu</w:t>
      </w:r>
      <w:r w:rsidR="008779F5" w:rsidRPr="63259912">
        <w:t xml:space="preserve">, </w:t>
      </w:r>
      <w:r w:rsidR="001438AD" w:rsidRPr="63259912">
        <w:t>udio kogeneracije iznosi 64,3%</w:t>
      </w:r>
      <w:r w:rsidR="009516FF" w:rsidRPr="63259912">
        <w:t>, a udio obnovljivih izvora energije 3,5%.</w:t>
      </w:r>
      <w:r w:rsidR="00D06BBF" w:rsidRPr="63259912">
        <w:t xml:space="preserve"> </w:t>
      </w:r>
    </w:p>
    <w:p w14:paraId="0A85D172" w14:textId="77777777" w:rsidR="00FC1115" w:rsidRPr="001711E7" w:rsidRDefault="00FC1115" w:rsidP="00E10120"/>
    <w:p w14:paraId="5EF672FC" w14:textId="510FD3F5" w:rsidR="00323E49" w:rsidRPr="00B47BDA" w:rsidRDefault="00323E49" w:rsidP="00E10120">
      <w:r w:rsidRPr="00B47BDA">
        <w:t xml:space="preserve">Dana 14. srpnja 2021. Europska komisija </w:t>
      </w:r>
      <w:r w:rsidR="008313A8">
        <w:t>objavi</w:t>
      </w:r>
      <w:r w:rsidR="008313A8" w:rsidRPr="00B47BDA">
        <w:t xml:space="preserve">la je </w:t>
      </w:r>
      <w:r w:rsidR="008313A8">
        <w:t>zakonodavni</w:t>
      </w:r>
      <w:r w:rsidR="008313A8" w:rsidRPr="00B47BDA">
        <w:t xml:space="preserve"> paket „</w:t>
      </w:r>
      <w:r w:rsidR="008313A8">
        <w:t>Spremni za</w:t>
      </w:r>
      <w:r w:rsidR="008313A8" w:rsidRPr="00B47BDA">
        <w:t xml:space="preserve"> 55“, </w:t>
      </w:r>
      <w:r w:rsidR="008313A8">
        <w:t xml:space="preserve">koji je usvojen tijekom 2023. i 2024. godine, a </w:t>
      </w:r>
      <w:r w:rsidRPr="00B47BDA">
        <w:t>kojim se prilagođava postojeće zakonodavstvo o klimi i energiji kako bi se ispunio novi cilj EU-a o smanjenju emisija stakleničkih plinova od najmanje 55 % do 2030. Ključni element u paketu „</w:t>
      </w:r>
      <w:r w:rsidR="001726AB">
        <w:t>Spremni za</w:t>
      </w:r>
      <w:r w:rsidRPr="00B47BDA">
        <w:t xml:space="preserve"> 55“ je revizija Direktive (EU) </w:t>
      </w:r>
      <w:r w:rsidRPr="00B47BDA">
        <w:lastRenderedPageBreak/>
        <w:t xml:space="preserve">2018/2001 o promicanju uporabe energije iz obnovljivih izvora gdje su kroz istu </w:t>
      </w:r>
      <w:r w:rsidR="00AB17F7">
        <w:t>d</w:t>
      </w:r>
      <w:r w:rsidR="00AB17F7" w:rsidRPr="00B47BDA">
        <w:t xml:space="preserve">irektivu </w:t>
      </w:r>
      <w:r w:rsidRPr="00B47BDA">
        <w:t xml:space="preserve">revidirane i pojačane odredbe te postavljen novi cilj EU od najmanje 40 % udjela OIE u finalnoj potrošnji energije do 2030., popraćeno novim sektorskim ciljevima. </w:t>
      </w:r>
    </w:p>
    <w:p w14:paraId="7139AFD7" w14:textId="57E08683" w:rsidR="004F6B02" w:rsidRPr="00B47BDA" w:rsidRDefault="00323E49" w:rsidP="00E10120">
      <w:r w:rsidRPr="63259912">
        <w:t xml:space="preserve">Trenutna rusko-ukrajinska kriza prouzročila je značajno povećanje cijena energije i energenata te dovela do povećane zabrinutosti u pogledu energetske sigurnosti. Temeljem svih kratkoročnih zbivanja na europskoj razini, ali i globalno, donesen je prijedlog novog skupa mjera kroz REPowerEU plan za uštedu energije, diverzifikaciju isporuke, napuštanje ovisnost o ruskim fosilnim gorivima, povećanje ulaganja u obnovljivu, čistu energiju te kombiniranjem ulaganja i reformi. </w:t>
      </w:r>
    </w:p>
    <w:p w14:paraId="0135442E" w14:textId="269A5BFE" w:rsidR="001B2614" w:rsidRPr="001711E7" w:rsidRDefault="004F6B02" w:rsidP="00E10120">
      <w:pPr>
        <w:rPr>
          <w:rStyle w:val="doceo-font-family-base"/>
          <w:rFonts w:cstheme="minorBidi"/>
          <w:color w:val="1E1E1F"/>
          <w:shd w:val="clear" w:color="auto" w:fill="FFFFFF"/>
        </w:rPr>
      </w:pPr>
      <w:r w:rsidRPr="001711E7">
        <w:t xml:space="preserve">Prema </w:t>
      </w:r>
      <w:r w:rsidR="00963A11">
        <w:t xml:space="preserve">Direktivi </w:t>
      </w:r>
      <w:r w:rsidRPr="001711E7">
        <w:t>RED III (</w:t>
      </w:r>
      <w:r w:rsidR="005300AF">
        <w:t>Direktiva EU 2023/2413</w:t>
      </w:r>
      <w:r w:rsidR="00911D97" w:rsidRPr="00911D97">
        <w:t xml:space="preserve"> u pogledu promicanja energije iz obnovljivih izvora</w:t>
      </w:r>
      <w:r w:rsidR="00963A11">
        <w:t xml:space="preserve">) </w:t>
      </w:r>
      <w:r w:rsidRPr="001711E7">
        <w:t>udio energije iz obnovljivih izvora energije, uključujući toplinu dobivenu iz električne energije iz obnovljivih izvora, i otpadne topline u centraliziranom grijanju i hlađenju</w:t>
      </w:r>
      <w:r w:rsidR="00112653" w:rsidRPr="001711E7">
        <w:t>,</w:t>
      </w:r>
      <w:r w:rsidRPr="001711E7">
        <w:t xml:space="preserve"> </w:t>
      </w:r>
      <w:r w:rsidR="008C001A">
        <w:t>države članice nastoje</w:t>
      </w:r>
      <w:r w:rsidR="008C001A" w:rsidRPr="001711E7">
        <w:t xml:space="preserve"> </w:t>
      </w:r>
      <w:r w:rsidR="00CD0068">
        <w:t>uvećati</w:t>
      </w:r>
      <w:r w:rsidR="008C001A" w:rsidRPr="001711E7">
        <w:t xml:space="preserve"> </w:t>
      </w:r>
      <w:r w:rsidR="008C001A">
        <w:t xml:space="preserve">za </w:t>
      </w:r>
      <w:r w:rsidRPr="001711E7">
        <w:t>2,</w:t>
      </w:r>
      <w:r w:rsidR="008C001A">
        <w:t>2</w:t>
      </w:r>
      <w:r w:rsidRPr="001711E7">
        <w:t xml:space="preserve"> postotna boda kao godišnji prosjek izračunat za razdoblje od 2021. do 20</w:t>
      </w:r>
      <w:r w:rsidR="00082CDE">
        <w:t>30</w:t>
      </w:r>
      <w:r w:rsidRPr="001711E7">
        <w:t>.</w:t>
      </w:r>
      <w:r w:rsidR="00481DD2">
        <w:t xml:space="preserve"> godine</w:t>
      </w:r>
      <w:r w:rsidRPr="001711E7">
        <w:t xml:space="preserve"> u odnosu na udio iz 2020. godine</w:t>
      </w:r>
      <w:r w:rsidR="009F4AB0" w:rsidRPr="001711E7">
        <w:t>.</w:t>
      </w:r>
      <w:r w:rsidR="007F0A34" w:rsidRPr="001711E7">
        <w:rPr>
          <w:rStyle w:val="doceo-font-family-base"/>
          <w:rFonts w:cstheme="minorHAnsi"/>
          <w:color w:val="1E1E1F"/>
          <w:shd w:val="clear" w:color="auto" w:fill="FFFFFF"/>
        </w:rPr>
        <w:t xml:space="preserve"> </w:t>
      </w:r>
    </w:p>
    <w:p w14:paraId="3E5C9565" w14:textId="30DB4B2E" w:rsidR="008434A6" w:rsidRPr="003D791F" w:rsidRDefault="0A828A6D" w:rsidP="00E10120">
      <w:r w:rsidRPr="63259912">
        <w:t>Također, povećanje energetske učinkovitosti u sustavima daljinskog grijanja i hlađenja se već provodi u razdoblju do 2020. godine u sklopu Programa dodjele državnih potpora za povećanje učinkovitosti centraliziranih toplinskih sustava, a u okviru Operativnog programa „Konkurentnost i kohezija 2014.-2020.“, prioritetne osi 4 „Promicanje energetske učinkovitosti i obnovljivih izvora energije“, specifičnog cilja 4c3 „Povećanje učinkovitosti sustava toplinarstva“ kroz mehanizam Integralnih teritorijalnih ulaganja. Očekivani učinci su smanjenje gubitaka u distribucijskim sustavima za relativna 4</w:t>
      </w:r>
      <w:r w:rsidR="00481DD2" w:rsidRPr="63259912">
        <w:t xml:space="preserve"> postotna</w:t>
      </w:r>
      <w:r w:rsidRPr="63259912">
        <w:t xml:space="preserve"> boda na razini čitave Hrvatske do kraja 2023. godine te ušteda primarne energije od 1 PJ u istom razdoblju. </w:t>
      </w:r>
      <w:r w:rsidR="7081D16C" w:rsidRPr="63259912">
        <w:t xml:space="preserve">Kako </w:t>
      </w:r>
      <w:r w:rsidRPr="63259912">
        <w:t>je planirano razdoblje nakon 2020. godine, ove uštede će biti relevantne s obzirom na zahtjeve Direktiv</w:t>
      </w:r>
      <w:r w:rsidR="001D3D35" w:rsidRPr="63259912">
        <w:t>e</w:t>
      </w:r>
      <w:r w:rsidRPr="63259912">
        <w:t xml:space="preserve"> o promicanju uporabe energije iz obnovljivih izvora, a očekuje se kako će se na smanjenju gubitaka u sustavima daljinskog grijanja i hlađenja, uz pomoć </w:t>
      </w:r>
      <w:r w:rsidR="007662F7" w:rsidRPr="63259912">
        <w:t xml:space="preserve">EU </w:t>
      </w:r>
      <w:r w:rsidRPr="63259912">
        <w:t>fondova, nastaviti raditi i u razdoblju do 2030. godine.</w:t>
      </w:r>
      <w:r w:rsidR="13B7DD00" w:rsidRPr="63259912">
        <w:t xml:space="preserve"> </w:t>
      </w:r>
      <w:r w:rsidR="003A052F" w:rsidRPr="63259912">
        <w:t>U pogledu proizvodnje električne energije za vlastite potrebe, najveći doprinos se očekuje od fotonaponskih sustava integriranih na građevinama</w:t>
      </w:r>
      <w:r w:rsidR="15CEE532" w:rsidRPr="63259912">
        <w:t xml:space="preserve"> </w:t>
      </w:r>
      <w:r w:rsidR="43FBEF23" w:rsidRPr="63259912">
        <w:t xml:space="preserve">s </w:t>
      </w:r>
      <w:r w:rsidR="15CEE532" w:rsidRPr="63259912">
        <w:t>povezani</w:t>
      </w:r>
      <w:r w:rsidR="43FBEF23" w:rsidRPr="63259912">
        <w:t>m</w:t>
      </w:r>
      <w:r w:rsidR="15CEE532" w:rsidRPr="63259912">
        <w:t xml:space="preserve"> sustav</w:t>
      </w:r>
      <w:r w:rsidR="43FBEF23" w:rsidRPr="63259912">
        <w:t>ima</w:t>
      </w:r>
      <w:r w:rsidR="15CEE532" w:rsidRPr="63259912">
        <w:t xml:space="preserve"> skladištenj</w:t>
      </w:r>
      <w:r w:rsidR="43FBEF23" w:rsidRPr="63259912">
        <w:t xml:space="preserve">a </w:t>
      </w:r>
      <w:r w:rsidR="15CEE532" w:rsidRPr="63259912">
        <w:t xml:space="preserve">energije na istoj lokaciji. </w:t>
      </w:r>
      <w:r w:rsidR="43FBEF23" w:rsidRPr="63259912">
        <w:t xml:space="preserve">U Strategiji EU-a za solarnu energiju </w:t>
      </w:r>
      <w:r w:rsidR="008434A6" w:rsidRPr="63259912">
        <w:rPr>
          <w:vertAlign w:val="superscript"/>
        </w:rPr>
        <w:footnoteReference w:id="18"/>
      </w:r>
      <w:r w:rsidR="43FBEF23" w:rsidRPr="63259912">
        <w:rPr>
          <w:vertAlign w:val="superscript"/>
        </w:rPr>
        <w:t xml:space="preserve"> </w:t>
      </w:r>
      <w:r w:rsidR="43FBEF23" w:rsidRPr="63259912">
        <w:t>iznosi se sveobuhvatna vizija za brzo iskorištavanje prednosti sunčeve energije te se predstavljaju četiri inicijative za savladavanje preostalih izazova u kratkom roku i to: i) promicanjem brzog i masovnog korištenja fotonaponske tehnologije u okviru europske inicijative za solarne krovove; ii) pojednostavljivanjem i skraćivanjem postupaka izdavanja dozvola iii) osiguravanjem dostupnosti velikog broja kvalificirane radne snage za savladavanje izazova proizvodnje i uvođenja sunčeve energije u cijelom EU te iv) uspostavom Saveza EU-a za solarnu fotonaponsku industriju čiji je cilj lakše širenje otpornog industrijskog lanca vrijednosti u području sunčeve energije u EU-u, posebno u sektoru proizvodnje fotonaponskih sustav</w:t>
      </w:r>
      <w:r w:rsidR="127E1B3D" w:rsidRPr="63259912">
        <w:t>a</w:t>
      </w:r>
      <w:r w:rsidR="43FBEF23" w:rsidRPr="63259912">
        <w:t>.</w:t>
      </w:r>
    </w:p>
    <w:p w14:paraId="52B781C2" w14:textId="6A2D6423" w:rsidR="007729C0" w:rsidRPr="00B47BDA" w:rsidRDefault="00A95DE5" w:rsidP="00E10120">
      <w:r w:rsidRPr="00A95DE5">
        <w:lastRenderedPageBreak/>
        <w:t>Uredba o utvrđivanju okvira za ubrzavanje uvođenja energije iz obnovljivih izvora</w:t>
      </w:r>
      <w:r w:rsidRPr="00A95DE5" w:rsidDel="00A95DE5">
        <w:t xml:space="preserve"> </w:t>
      </w:r>
      <w:r w:rsidR="2FD63AA7" w:rsidRPr="00B47BDA">
        <w:t>obvezujuća je i trebala bi se primjenjivati na sve države članice EU-a narednih 18 mjeseci. Donesena je zbog pogoršanog stanja na tržištu uslijed rusko-ukrajinske krize, naglog porasta i nestabilnosti cijena prirodnog plina i električne energije te ugroze samog gospodarstva Unije odnosno sigurnosti opskrbe. Kako bi se ublažili svi nepovoljni efekti, ovom uredbom se predlaže ubrzano uvođenje obnovljivih izvora energije s naglaskom na razvoj, instalaciju i ubrzavanje postupaka izdavanja dozvola za projekte mal</w:t>
      </w:r>
      <w:r w:rsidR="6A2A5245" w:rsidRPr="00B47BDA">
        <w:t>ih integriranih</w:t>
      </w:r>
      <w:r w:rsidR="2FD63AA7" w:rsidRPr="00B47BDA">
        <w:t xml:space="preserve"> instalacija sunčeve energije kako bi postali potrošači vlastite energije iz obnovljivih izvora. Fokus je na lokalnoj zajednici, kućanstvima, obnovi kapaciteta postojećih postrojenja, ugradnji opreme za solarnu energiju i s njom povezanih kapaciteta za skladištenjem energije na istoj lokaciji</w:t>
      </w:r>
      <w:r w:rsidR="6A2A5245" w:rsidRPr="00B47BDA">
        <w:t xml:space="preserve">, </w:t>
      </w:r>
      <w:r w:rsidR="2FD63AA7" w:rsidRPr="00B47BDA">
        <w:t xml:space="preserve">kao i sredstvima potrebnim za njihovo priključenje na mrežu, uključujući dozvole za priključenje na mrežu i procjene utjecaja na okoliš ako su potrebne. Uredba utvrđuje okvir za </w:t>
      </w:r>
      <w:r w:rsidR="008F176A" w:rsidRPr="00B47BDA">
        <w:t>s</w:t>
      </w:r>
      <w:r w:rsidR="008F176A">
        <w:t>kraćivanje</w:t>
      </w:r>
      <w:r w:rsidR="00657265" w:rsidRPr="00B47BDA">
        <w:t xml:space="preserve"> </w:t>
      </w:r>
      <w:r w:rsidR="2FD63AA7" w:rsidRPr="00B47BDA">
        <w:t>rokova za postupak izdavanja dozvola, za one dozvole koje imaju datum početka unutar razdoblja njezine primjene, a odnosi se na ugradnju opreme za solarnu energiju do 50 kW</w:t>
      </w:r>
      <w:r w:rsidR="15CEE532" w:rsidRPr="00B47BDA">
        <w:t xml:space="preserve"> i </w:t>
      </w:r>
      <w:r w:rsidR="2FD63AA7" w:rsidRPr="00B47BDA">
        <w:t>obnovu kapaciteta proizvodnih postrojenja za proizvodnju energije iz obnovljivih izvora</w:t>
      </w:r>
      <w:r w:rsidR="301C791A" w:rsidRPr="00B47BDA">
        <w:t>.</w:t>
      </w:r>
    </w:p>
    <w:p w14:paraId="712C8DD8" w14:textId="6243C0A5" w:rsidR="00E74E9D" w:rsidRPr="00B47BDA" w:rsidRDefault="00FF26DF" w:rsidP="00E10120">
      <w:r w:rsidRPr="63259912">
        <w:t xml:space="preserve">U kontekstu niskougljične tranzicije bit će posebno važno voditi računa o pravednoj energetskoj tranziciji kao i potrebi regionalne dodane vrijednosti u sklopu te tranzicije, posebice kad se radi o specifičnim područjima, poput otoka. Na otocima proizvodnja električne energije na mjestu potrošnje, i to iz OIE, znači manja ulaganja u infrastrukturu i veću sigurnost sustava, dok istovremeno pomaže u ostvarivanju nacionalnih ciljeva vezanih uz udio obnovljivih izvora energije u cjelokupnoj proizvodnji. </w:t>
      </w:r>
      <w:r w:rsidR="00E74E9D" w:rsidRPr="63259912">
        <w:t xml:space="preserve">Sredinom 2020. godine Hrvatska je potpisala Memorandum o razumijevanju za provedbu Deklaracije o čistoj energiji za EU otoke (Memorandum of Split) kao nastavak Deklaracije iz Vallete, kojem je cilj unaprijediti energetsku tranziciju na otocima uz poštivanje specifičnosti svakog otoka te </w:t>
      </w:r>
      <w:r w:rsidR="00E74E9D" w:rsidRPr="63259912">
        <w:rPr>
          <w:color w:val="231F20"/>
          <w:shd w:val="clear" w:color="auto" w:fill="FFFFFF"/>
        </w:rPr>
        <w:t>proširiti i ojačati suradnju između država članica</w:t>
      </w:r>
      <w:r w:rsidR="00594ED2" w:rsidRPr="63259912">
        <w:rPr>
          <w:color w:val="231F20"/>
          <w:shd w:val="clear" w:color="auto" w:fill="FFFFFF"/>
        </w:rPr>
        <w:t>. Memorandumom se osigurava detaljna podrška otocima u pripremi njihovih strategija za proces tranzicije na čistu energiju i suradnja energetskih zajednica na otocima. Njime se prepoznaje važnost provedbe projekata, usmjerenih na povećanje upotrebe obnovljivih izvora energije pomoću korištenja inovativnih tehnologija, razvoja čistog i održivog prometa te integracije elektroenergetskog sustava s drugim sektorima. Memorandum uzima u obzir ciljeve Pariškog sporazuma i Europskog zelenog plana, ciljeve postizanja klimatski neutralne EU do 2050. godine, zakonodavni paket Čista energija za sve Europljane te nacionalne energetske i klimatske planove.</w:t>
      </w:r>
    </w:p>
    <w:p w14:paraId="4ED6C044" w14:textId="1AFF1843" w:rsidR="00452E6F" w:rsidRPr="00B47BDA" w:rsidRDefault="00FF26DF" w:rsidP="63259912">
      <w:pPr>
        <w:rPr>
          <w:color w:val="231F20"/>
          <w:shd w:val="clear" w:color="auto" w:fill="FFFFFF"/>
        </w:rPr>
      </w:pPr>
      <w:r w:rsidRPr="63259912">
        <w:t>Hrvatska je, kao potpisnica ovog dokumenta omogućila usmjerenost na proces dekarbonizacije na otocima.</w:t>
      </w:r>
      <w:r w:rsidR="00B77924" w:rsidRPr="63259912">
        <w:t xml:space="preserve"> Glavni cilj će biti upravo definiranje potreba vezanih uz energetsku tranziciju i prelazak na čistu energiju vodeći pri tom računa da se na otocima promovira samoopskrba (kako kod pojedinaca, tako i kod većih projekata) kao i rješenja koja neće dodatno opterećivati sustav prijenosa i koji će osigurati opskrbu električnom energiju u svakoj situaciji. Osim toga, na otocima treba dodatno promovirati i čisti prijevoz, a povezano s tim i brodske linije koje će omogućiti bolju povezanost otoka i kopna uz smanjenje emisija CO</w:t>
      </w:r>
      <w:r w:rsidR="00B77924" w:rsidRPr="63259912">
        <w:rPr>
          <w:vertAlign w:val="subscript"/>
        </w:rPr>
        <w:t>2</w:t>
      </w:r>
      <w:r w:rsidR="00B77924" w:rsidRPr="63259912">
        <w:t xml:space="preserve"> vezanih uz brodski prijevoz.</w:t>
      </w:r>
      <w:r w:rsidR="00E74E9D" w:rsidRPr="63259912">
        <w:rPr>
          <w:color w:val="231F20"/>
          <w:shd w:val="clear" w:color="auto" w:fill="FFFFFF"/>
        </w:rPr>
        <w:t xml:space="preserve"> </w:t>
      </w:r>
    </w:p>
    <w:p w14:paraId="3BAF59BE" w14:textId="4DC4C217" w:rsidR="006218A6" w:rsidRPr="00B47BDA" w:rsidRDefault="006218A6" w:rsidP="00E10120">
      <w:r w:rsidRPr="63259912">
        <w:t xml:space="preserve">Zbog toga je važno da se mjere predložene planom posebno podrede otocima i potrebama koje otoci imaju po pitanju proizvodnje električne energije, energetske učinkovitosti i dekarbonizacije. Ovo je iznimno važno jer se na taj način potiče samoopskrba i stvaranje </w:t>
      </w:r>
      <w:r w:rsidR="004E63F9" w:rsidRPr="63259912">
        <w:t xml:space="preserve">zajednica obnovljive energije i </w:t>
      </w:r>
      <w:r w:rsidRPr="63259912">
        <w:t>energetskih zajednica u sredinama koje su geografski odvojene od ostatka zemlje, a ujedno se rješava problem povećanj</w:t>
      </w:r>
      <w:r w:rsidR="002A649A" w:rsidRPr="63259912">
        <w:t>a</w:t>
      </w:r>
      <w:r w:rsidRPr="63259912">
        <w:t xml:space="preserve"> potrošnje električne energije </w:t>
      </w:r>
      <w:r w:rsidRPr="63259912">
        <w:lastRenderedPageBreak/>
        <w:t xml:space="preserve">tijekom ljetnih mjeseci. No, najvažnije je da se promoviranjem mjera na otocima smanjuje </w:t>
      </w:r>
      <w:r w:rsidR="003C5EAE" w:rsidRPr="63259912">
        <w:t>pritisak</w:t>
      </w:r>
      <w:r w:rsidRPr="63259912">
        <w:t xml:space="preserve"> na sustav prijenosa energije, a ujedno se stvaraju pilot projekti koji se nakon toga mogu primjenjivati i na druge dijelove Republike Hrvatske. Također, osim navedenih mjera, koje će posebnu pozornost staviti upravo na otoke, potrebno je za potrebe stvaranja čiste energije na otocima i njihove dekarbonizacije </w:t>
      </w:r>
      <w:r w:rsidR="00754BA5" w:rsidRPr="63259912">
        <w:t>pronaći</w:t>
      </w:r>
      <w:r w:rsidRPr="63259912">
        <w:t xml:space="preserve"> dodatn</w:t>
      </w:r>
      <w:r w:rsidR="00754BA5" w:rsidRPr="63259912">
        <w:t>e</w:t>
      </w:r>
      <w:r w:rsidRPr="63259912">
        <w:t xml:space="preserve"> izvor</w:t>
      </w:r>
      <w:r w:rsidR="00754BA5" w:rsidRPr="63259912">
        <w:t>e</w:t>
      </w:r>
      <w:r w:rsidRPr="63259912">
        <w:t xml:space="preserve"> financiranja koji će olakšati tranziciju otoka ka čistoj energiji i ubrzati njihovu dekarbonizaciju vodeći računa pri tome o stanovnicima.</w:t>
      </w:r>
    </w:p>
    <w:p w14:paraId="031A3597" w14:textId="5B2F15C6" w:rsidR="003129B9" w:rsidRDefault="003129B9" w:rsidP="00E10120">
      <w:r w:rsidRPr="63259912">
        <w:t>Osim navedenoga, u Deklaraciji o pametnim otocima ističe se nužnost poticanja otočnih zajednica na prelazak na čistu energiju, a naročito je važno jačanje sinergije između energetike, transporta i informacijsko komunikacijske tehnologije, uz uključivanje tema vezanih uz vodu i otpad. Ovakav način pristupa temelji se na osiguravanju optimalnog korištenja i upravljanja otočnim resursima te doprinosu održivog i ravnomjernog razvoja koji će maksimalno iskoristiti otočne potencijale. Jedna od glavnih odrednica pametnih otoka je smanjenje upotrebe fosilnih goriva, povećanje korištenja značajnih resursa obnovljivih izvora energije i energetske učinkovitosti. Cilj iskorištavanja značajnih potencijala obnovljivih izvora energije, sunca, vjetra, morskih struja i valova je dekarbonizacija, kojoj će doprinijeti i povećanje energetske učinkovitosti zgrada (rasvjete, grijanja i hlađenja u zgradama) i infrastrukture (npr. ulične rasvjete, crpnih stanica). Posebno je naglašen potencijal otoka kao pilot lokacija za razvoj integriranih rješenja kao što su proizvodnja energije iz otpada, korištenja energije proizvedene iz OIE u transportu i električnim vozilima ili pak za potrebe desalinizacije iskorištavanjem sinergije između održive energije, otpada, vode i mobilnosti.</w:t>
      </w:r>
    </w:p>
    <w:p w14:paraId="031714C9" w14:textId="097BFE13" w:rsidR="00A2462C" w:rsidRDefault="00A2462C">
      <w:pPr>
        <w:spacing w:after="0"/>
        <w:jc w:val="left"/>
      </w:pPr>
      <w:r>
        <w:br w:type="page"/>
      </w:r>
    </w:p>
    <w:p w14:paraId="0BF2ACD9" w14:textId="6D9F3735" w:rsidR="00FF0CF3" w:rsidRPr="00B47BDA" w:rsidRDefault="004E40FF" w:rsidP="005C2C7E">
      <w:pPr>
        <w:pStyle w:val="Heading2"/>
        <w:numPr>
          <w:ilvl w:val="1"/>
          <w:numId w:val="175"/>
        </w:numPr>
      </w:pPr>
      <w:bookmarkStart w:id="287" w:name="_Toc531935141"/>
      <w:bookmarkStart w:id="288" w:name="_Toc531945091"/>
      <w:bookmarkStart w:id="289" w:name="_Toc6302348"/>
      <w:r w:rsidRPr="00B47BDA">
        <w:lastRenderedPageBreak/>
        <w:tab/>
      </w:r>
      <w:bookmarkStart w:id="290" w:name="_Toc187418335"/>
      <w:bookmarkStart w:id="291" w:name="_Toc193043260"/>
      <w:r w:rsidR="00FF0CF3" w:rsidRPr="00B47BDA">
        <w:t xml:space="preserve">Dimenzija: </w:t>
      </w:r>
      <w:r w:rsidR="004D140C">
        <w:t>e</w:t>
      </w:r>
      <w:r w:rsidR="00FF0CF3" w:rsidRPr="00B47BDA">
        <w:t>nergetska učinkovitost</w:t>
      </w:r>
      <w:bookmarkEnd w:id="287"/>
      <w:bookmarkEnd w:id="288"/>
      <w:bookmarkEnd w:id="289"/>
      <w:bookmarkEnd w:id="290"/>
      <w:bookmarkEnd w:id="291"/>
      <w:r w:rsidR="00FF0CF3" w:rsidRPr="00B47BDA">
        <w:t xml:space="preserve"> </w:t>
      </w:r>
    </w:p>
    <w:p w14:paraId="79EEE505" w14:textId="77777777" w:rsidR="00441BDE" w:rsidRPr="00B47BDA" w:rsidRDefault="00441BDE" w:rsidP="005C2C7E">
      <w:pPr>
        <w:pStyle w:val="Heading4"/>
        <w:numPr>
          <w:ilvl w:val="3"/>
          <w:numId w:val="175"/>
        </w:numPr>
        <w:ind w:hanging="580"/>
      </w:pPr>
      <w:r w:rsidRPr="00B47BDA">
        <w:t xml:space="preserve">Elementi iz članka 4. točke (b) </w:t>
      </w:r>
    </w:p>
    <w:p w14:paraId="352653E7" w14:textId="69069F27" w:rsidR="00FF0CF3" w:rsidRPr="00E10120" w:rsidRDefault="00FF0CF3" w:rsidP="00E10120">
      <w:pPr>
        <w:shd w:val="clear" w:color="auto" w:fill="DEEAF6" w:themeFill="accent1" w:themeFillTint="33"/>
        <w:rPr>
          <w:i/>
          <w:iCs/>
        </w:rPr>
      </w:pPr>
      <w:r w:rsidRPr="00E10120">
        <w:rPr>
          <w:i/>
          <w:iCs/>
        </w:rPr>
        <w:t xml:space="preserve">Okvirni nacionalni cilj povećanja energetske učinkovitosti </w:t>
      </w:r>
      <w:r w:rsidRPr="00E10120">
        <w:rPr>
          <w:b/>
          <w:i/>
          <w:iCs/>
          <w:u w:val="single"/>
        </w:rPr>
        <w:t>do 2030. godine</w:t>
      </w:r>
      <w:r w:rsidRPr="00E10120">
        <w:rPr>
          <w:i/>
          <w:iCs/>
        </w:rPr>
        <w:t xml:space="preserve"> </w:t>
      </w:r>
    </w:p>
    <w:p w14:paraId="11C2663B" w14:textId="23E8698E" w:rsidR="009E7700" w:rsidRPr="00B47BDA" w:rsidRDefault="00627611" w:rsidP="004623DD">
      <w:r w:rsidRPr="00B47BDA">
        <w:t>Nacionaln</w:t>
      </w:r>
      <w:r w:rsidR="007B1BD9" w:rsidRPr="00B47BDA">
        <w:t>e</w:t>
      </w:r>
      <w:r w:rsidRPr="00B47BDA">
        <w:t xml:space="preserve"> ciljev</w:t>
      </w:r>
      <w:r w:rsidR="00BB714D" w:rsidRPr="00B47BDA">
        <w:t>e</w:t>
      </w:r>
      <w:r w:rsidRPr="00B47BDA">
        <w:t xml:space="preserve"> povećanja energetske učinkovitosti do 2030. godine </w:t>
      </w:r>
      <w:r w:rsidR="009E7700" w:rsidRPr="00B47BDA">
        <w:t xml:space="preserve">prikazuje </w:t>
      </w:r>
      <w:r w:rsidR="00F75400">
        <w:t>T</w:t>
      </w:r>
      <w:r w:rsidR="00110E46">
        <w:t xml:space="preserve">ablica </w:t>
      </w:r>
      <w:r w:rsidR="009E7700" w:rsidRPr="00B47BDA">
        <w:fldChar w:fldCharType="begin"/>
      </w:r>
      <w:r w:rsidR="009E7700" w:rsidRPr="00B47BDA">
        <w:instrText xml:space="preserve"> REF _Ref531090111 \h </w:instrText>
      </w:r>
      <w:r w:rsidR="00B87A30" w:rsidRPr="00B47BDA">
        <w:instrText xml:space="preserve"> \* MERGEFORMAT </w:instrText>
      </w:r>
      <w:r w:rsidR="009E7700" w:rsidRPr="00B47BDA">
        <w:fldChar w:fldCharType="separate"/>
      </w:r>
      <w:r w:rsidR="00AD324D">
        <w:t>2</w:t>
      </w:r>
      <w:r w:rsidR="00AD324D" w:rsidRPr="00B47BDA">
        <w:noBreakHyphen/>
      </w:r>
      <w:r w:rsidR="00AD324D">
        <w:t>7</w:t>
      </w:r>
      <w:r w:rsidR="00AD324D" w:rsidRPr="00B47BDA">
        <w:t>.</w:t>
      </w:r>
      <w:r w:rsidR="009E7700" w:rsidRPr="00B47BDA">
        <w:fldChar w:fldCharType="end"/>
      </w:r>
    </w:p>
    <w:p w14:paraId="436684F1" w14:textId="6AEC41B4" w:rsidR="00483668" w:rsidRPr="00B47BDA" w:rsidRDefault="00483668" w:rsidP="004623DD">
      <w:pPr>
        <w:pStyle w:val="Caption"/>
      </w:pPr>
      <w:bookmarkStart w:id="292" w:name="_Ref57557883"/>
      <w:bookmarkStart w:id="293" w:name="_Toc193035948"/>
      <w:r w:rsidRPr="00B47BDA">
        <w:t xml:space="preserve">Tablica </w:t>
      </w:r>
      <w:bookmarkStart w:id="294" w:name="_Ref531090111"/>
      <w:r w:rsidR="00F56C25">
        <w:fldChar w:fldCharType="begin"/>
      </w:r>
      <w:r w:rsidR="00F56C25">
        <w:instrText xml:space="preserve"> STYLEREF 1 \s </w:instrText>
      </w:r>
      <w:r w:rsidR="00F56C25">
        <w:fldChar w:fldCharType="separate"/>
      </w:r>
      <w:r w:rsidR="00AD324D">
        <w:rPr>
          <w:noProof/>
        </w:rPr>
        <w:t>2</w:t>
      </w:r>
      <w:r w:rsidR="00F56C25">
        <w:fldChar w:fldCharType="end"/>
      </w:r>
      <w:r w:rsidR="00DE7F11" w:rsidRPr="00B47BDA">
        <w:noBreakHyphen/>
      </w:r>
      <w:r>
        <w:fldChar w:fldCharType="begin"/>
      </w:r>
      <w:r>
        <w:instrText>SEQ Tablica \* ARABIC \s 1</w:instrText>
      </w:r>
      <w:r>
        <w:fldChar w:fldCharType="separate"/>
      </w:r>
      <w:r w:rsidR="00C71E5A">
        <w:rPr>
          <w:noProof/>
        </w:rPr>
        <w:t>7</w:t>
      </w:r>
      <w:r>
        <w:fldChar w:fldCharType="end"/>
      </w:r>
      <w:bookmarkEnd w:id="292"/>
      <w:r w:rsidR="00EE7A41" w:rsidRPr="00B47BDA">
        <w:t>.</w:t>
      </w:r>
      <w:bookmarkEnd w:id="294"/>
      <w:r w:rsidRPr="00B47BDA">
        <w:t xml:space="preserve"> </w:t>
      </w:r>
      <w:r w:rsidR="00861C49" w:rsidRPr="00B47BDA">
        <w:t xml:space="preserve">Okvirni nacionalni ciljevi energetske učinkovitosti </w:t>
      </w:r>
      <w:r w:rsidR="0074740C" w:rsidRPr="00B47BDA">
        <w:t>u 2030. godini</w:t>
      </w:r>
      <w:bookmarkEnd w:id="293"/>
    </w:p>
    <w:tbl>
      <w:tblPr>
        <w:tblStyle w:val="NECP"/>
        <w:tblW w:w="3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0"/>
        <w:gridCol w:w="1533"/>
        <w:gridCol w:w="1419"/>
      </w:tblGrid>
      <w:tr w:rsidR="00FD6B3A" w:rsidRPr="00110E46" w14:paraId="75CF1404" w14:textId="5BAE4A40" w:rsidTr="63259912">
        <w:trPr>
          <w:cnfStyle w:val="100000000000" w:firstRow="1" w:lastRow="0" w:firstColumn="0" w:lastColumn="0" w:oddVBand="0" w:evenVBand="0" w:oddHBand="0" w:evenHBand="0" w:firstRowFirstColumn="0" w:firstRowLastColumn="0" w:lastRowFirstColumn="0" w:lastRowLastColumn="0"/>
          <w:trHeight w:val="340"/>
        </w:trPr>
        <w:tc>
          <w:tcPr>
            <w:tcW w:w="2830" w:type="pct"/>
            <w:shd w:val="clear" w:color="auto" w:fill="D9E2F3" w:themeFill="accent5" w:themeFillTint="33"/>
          </w:tcPr>
          <w:p w14:paraId="174E290B" w14:textId="256547CF" w:rsidR="00FD6B3A" w:rsidRPr="00DB3C4E" w:rsidRDefault="00FD6B3A" w:rsidP="00C1083D">
            <w:pPr>
              <w:spacing w:after="0"/>
              <w:jc w:val="center"/>
              <w:rPr>
                <w:sz w:val="22"/>
                <w:szCs w:val="22"/>
              </w:rPr>
            </w:pPr>
            <w:r w:rsidRPr="00DB3C4E">
              <w:rPr>
                <w:sz w:val="22"/>
                <w:szCs w:val="22"/>
              </w:rPr>
              <w:t>Ciljevi 2030.</w:t>
            </w:r>
          </w:p>
        </w:tc>
        <w:tc>
          <w:tcPr>
            <w:tcW w:w="1127" w:type="pct"/>
            <w:shd w:val="clear" w:color="auto" w:fill="D9E2F3" w:themeFill="accent5" w:themeFillTint="33"/>
          </w:tcPr>
          <w:p w14:paraId="4C739A9A" w14:textId="6480A28A" w:rsidR="0082221E" w:rsidRPr="00DB3C4E" w:rsidRDefault="0082221E" w:rsidP="00C1083D">
            <w:pPr>
              <w:spacing w:after="0"/>
              <w:jc w:val="center"/>
              <w:rPr>
                <w:sz w:val="22"/>
                <w:szCs w:val="22"/>
              </w:rPr>
            </w:pPr>
            <w:r w:rsidRPr="00DB3C4E">
              <w:rPr>
                <w:sz w:val="22"/>
                <w:szCs w:val="22"/>
              </w:rPr>
              <w:t>PJ</w:t>
            </w:r>
          </w:p>
        </w:tc>
        <w:tc>
          <w:tcPr>
            <w:tcW w:w="1043" w:type="pct"/>
            <w:shd w:val="clear" w:color="auto" w:fill="D9E2F3" w:themeFill="accent5" w:themeFillTint="33"/>
          </w:tcPr>
          <w:p w14:paraId="48635782" w14:textId="642420E3" w:rsidR="00FD6B3A" w:rsidRPr="00DB3C4E" w:rsidRDefault="0082221E" w:rsidP="63259912">
            <w:pPr>
              <w:spacing w:after="0"/>
              <w:jc w:val="center"/>
              <w:rPr>
                <w:sz w:val="22"/>
                <w:szCs w:val="22"/>
              </w:rPr>
            </w:pPr>
            <w:r w:rsidRPr="63259912">
              <w:rPr>
                <w:sz w:val="22"/>
                <w:szCs w:val="22"/>
              </w:rPr>
              <w:t>M</w:t>
            </w:r>
            <w:r w:rsidR="00C657C3" w:rsidRPr="63259912">
              <w:rPr>
                <w:sz w:val="22"/>
                <w:szCs w:val="22"/>
              </w:rPr>
              <w:t>toe</w:t>
            </w:r>
          </w:p>
        </w:tc>
      </w:tr>
      <w:tr w:rsidR="00485E0E" w:rsidRPr="00110E46" w14:paraId="609FAE9C" w14:textId="77D6F1C1" w:rsidTr="63259912">
        <w:tc>
          <w:tcPr>
            <w:tcW w:w="2830" w:type="pct"/>
          </w:tcPr>
          <w:p w14:paraId="243FCB73" w14:textId="691AD32A" w:rsidR="00485E0E" w:rsidRPr="00DB3C4E" w:rsidRDefault="008A2956" w:rsidP="00110E46">
            <w:pPr>
              <w:spacing w:after="0"/>
              <w:rPr>
                <w:sz w:val="22"/>
                <w:szCs w:val="22"/>
              </w:rPr>
            </w:pPr>
            <w:r w:rsidRPr="00DB3C4E">
              <w:rPr>
                <w:sz w:val="22"/>
                <w:szCs w:val="22"/>
              </w:rPr>
              <w:t>Potrošnja primarne energije</w:t>
            </w:r>
            <w:r w:rsidR="00D17AD4" w:rsidRPr="00DB3C4E">
              <w:rPr>
                <w:rStyle w:val="FootnoteReference"/>
                <w:rFonts w:asciiTheme="minorHAnsi" w:hAnsiTheme="minorHAnsi" w:cstheme="minorHAnsi"/>
                <w:szCs w:val="22"/>
              </w:rPr>
              <w:footnoteReference w:id="19"/>
            </w:r>
          </w:p>
        </w:tc>
        <w:tc>
          <w:tcPr>
            <w:tcW w:w="1127" w:type="pct"/>
          </w:tcPr>
          <w:p w14:paraId="6E201A59" w14:textId="0C9A37AD" w:rsidR="00485E0E" w:rsidRPr="00DB3C4E" w:rsidRDefault="00E57A83" w:rsidP="00AE7563">
            <w:pPr>
              <w:spacing w:after="0"/>
              <w:jc w:val="center"/>
              <w:rPr>
                <w:sz w:val="22"/>
                <w:szCs w:val="22"/>
              </w:rPr>
            </w:pPr>
            <w:r w:rsidRPr="00DB3C4E">
              <w:rPr>
                <w:sz w:val="22"/>
                <w:szCs w:val="22"/>
              </w:rPr>
              <w:t>336,9</w:t>
            </w:r>
          </w:p>
        </w:tc>
        <w:tc>
          <w:tcPr>
            <w:tcW w:w="1043" w:type="pct"/>
          </w:tcPr>
          <w:p w14:paraId="0C0563F7" w14:textId="7467324A" w:rsidR="00485E0E" w:rsidRPr="00DB3C4E" w:rsidRDefault="00790019" w:rsidP="00AE7563">
            <w:pPr>
              <w:spacing w:after="0"/>
              <w:jc w:val="center"/>
              <w:rPr>
                <w:sz w:val="22"/>
                <w:szCs w:val="22"/>
              </w:rPr>
            </w:pPr>
            <w:r w:rsidRPr="00DB3C4E">
              <w:rPr>
                <w:sz w:val="22"/>
                <w:szCs w:val="22"/>
              </w:rPr>
              <w:t>8,</w:t>
            </w:r>
            <w:r w:rsidR="00E57A83" w:rsidRPr="00DB3C4E">
              <w:rPr>
                <w:sz w:val="22"/>
                <w:szCs w:val="22"/>
              </w:rPr>
              <w:t>05</w:t>
            </w:r>
          </w:p>
        </w:tc>
      </w:tr>
      <w:tr w:rsidR="00FD6B3A" w:rsidRPr="00110E46" w14:paraId="07FF6014" w14:textId="536A6C2D" w:rsidTr="63259912">
        <w:tc>
          <w:tcPr>
            <w:tcW w:w="2830" w:type="pct"/>
          </w:tcPr>
          <w:p w14:paraId="68FA6E43" w14:textId="3DB95716" w:rsidR="00FD6B3A" w:rsidRPr="00DB3C4E" w:rsidRDefault="00FD6B3A" w:rsidP="00110E46">
            <w:pPr>
              <w:spacing w:after="0"/>
              <w:rPr>
                <w:sz w:val="22"/>
                <w:szCs w:val="22"/>
              </w:rPr>
            </w:pPr>
            <w:r w:rsidRPr="00DB3C4E">
              <w:rPr>
                <w:sz w:val="22"/>
                <w:szCs w:val="22"/>
              </w:rPr>
              <w:t>Neposredna potrošnja</w:t>
            </w:r>
            <w:r w:rsidR="00A63E46" w:rsidRPr="00DB3C4E">
              <w:rPr>
                <w:sz w:val="22"/>
                <w:szCs w:val="22"/>
              </w:rPr>
              <w:t xml:space="preserve"> energije</w:t>
            </w:r>
          </w:p>
        </w:tc>
        <w:tc>
          <w:tcPr>
            <w:tcW w:w="1127" w:type="pct"/>
          </w:tcPr>
          <w:p w14:paraId="3C043203" w14:textId="55394E69" w:rsidR="00FD6B3A" w:rsidRPr="00DB3C4E" w:rsidRDefault="00D329C4" w:rsidP="00AE7563">
            <w:pPr>
              <w:spacing w:after="0"/>
              <w:jc w:val="center"/>
              <w:rPr>
                <w:sz w:val="22"/>
                <w:szCs w:val="22"/>
              </w:rPr>
            </w:pPr>
            <w:r w:rsidRPr="00DB3C4E">
              <w:rPr>
                <w:sz w:val="22"/>
                <w:szCs w:val="22"/>
              </w:rPr>
              <w:t>2</w:t>
            </w:r>
            <w:r w:rsidR="00E57A83" w:rsidRPr="00DB3C4E">
              <w:rPr>
                <w:sz w:val="22"/>
                <w:szCs w:val="22"/>
              </w:rPr>
              <w:t>46,2</w:t>
            </w:r>
          </w:p>
        </w:tc>
        <w:tc>
          <w:tcPr>
            <w:tcW w:w="1043" w:type="pct"/>
          </w:tcPr>
          <w:p w14:paraId="34C4CD12" w14:textId="6948D3BC" w:rsidR="00FD6B3A" w:rsidRPr="00DB3C4E" w:rsidRDefault="00E57A83" w:rsidP="00AE7563">
            <w:pPr>
              <w:spacing w:after="0"/>
              <w:jc w:val="center"/>
              <w:rPr>
                <w:sz w:val="22"/>
                <w:szCs w:val="22"/>
              </w:rPr>
            </w:pPr>
            <w:r w:rsidRPr="00DB3C4E">
              <w:rPr>
                <w:sz w:val="22"/>
                <w:szCs w:val="22"/>
              </w:rPr>
              <w:t>5,88</w:t>
            </w:r>
          </w:p>
        </w:tc>
      </w:tr>
    </w:tbl>
    <w:p w14:paraId="441DCE6D" w14:textId="77777777" w:rsidR="000A4E71" w:rsidRPr="00B47BDA" w:rsidRDefault="000A4E71" w:rsidP="004623DD"/>
    <w:p w14:paraId="78D867A4" w14:textId="080CB408" w:rsidR="005F7396" w:rsidRPr="00B47BDA" w:rsidRDefault="001071E5" w:rsidP="004623DD">
      <w:r w:rsidRPr="00B47BDA">
        <w:fldChar w:fldCharType="begin"/>
      </w:r>
      <w:r w:rsidRPr="00B87A30">
        <w:rPr>
          <w:highlight w:val="yellow"/>
        </w:rPr>
        <w:instrText xml:space="preserve"> REF _Ref20467578 \h </w:instrText>
      </w:r>
      <w:r w:rsidR="00B87A30">
        <w:rPr>
          <w:highlight w:val="yellow"/>
        </w:rPr>
        <w:instrText xml:space="preserve"> \* MERGEFORMAT </w:instrText>
      </w:r>
      <w:r w:rsidRPr="00B47BDA">
        <w:fldChar w:fldCharType="separate"/>
      </w:r>
      <w:r w:rsidR="00D67B95">
        <w:t>Slika 2–</w:t>
      </w:r>
      <w:r w:rsidR="00D67B95">
        <w:rPr>
          <w:noProof/>
        </w:rPr>
        <w:t>15</w:t>
      </w:r>
      <w:r w:rsidR="00D67B95">
        <w:t xml:space="preserve">. </w:t>
      </w:r>
      <w:r w:rsidRPr="00B47BDA">
        <w:fldChar w:fldCharType="end"/>
      </w:r>
      <w:r w:rsidR="00326826" w:rsidRPr="00B47BDA">
        <w:t xml:space="preserve"> </w:t>
      </w:r>
      <w:r w:rsidR="00791163" w:rsidRPr="00B47BDA">
        <w:t xml:space="preserve">prikazuje </w:t>
      </w:r>
      <w:r w:rsidR="00D95F7A" w:rsidRPr="00B47BDA">
        <w:t xml:space="preserve">kretanje potrošnje </w:t>
      </w:r>
      <w:r w:rsidR="00602693" w:rsidRPr="00B47BDA">
        <w:t xml:space="preserve">energije po godinama </w:t>
      </w:r>
      <w:r w:rsidR="00791163" w:rsidRPr="00B47BDA">
        <w:t>u razdoblju od 202</w:t>
      </w:r>
      <w:r w:rsidR="00B60700" w:rsidRPr="00B47BDA">
        <w:t>1</w:t>
      </w:r>
      <w:r w:rsidR="00791163" w:rsidRPr="00B47BDA">
        <w:t xml:space="preserve">. do 2030. godine. </w:t>
      </w:r>
      <w:bookmarkStart w:id="295" w:name="_Ref531094076"/>
    </w:p>
    <w:p w14:paraId="69C154B7" w14:textId="1F5F9693" w:rsidR="006D4E28" w:rsidRDefault="006D4E28" w:rsidP="00110E46">
      <w:pPr>
        <w:jc w:val="center"/>
      </w:pPr>
      <w:bookmarkStart w:id="296" w:name="_Ref531696238"/>
    </w:p>
    <w:p w14:paraId="25491C46" w14:textId="1E18CECC" w:rsidR="00071FE0" w:rsidRPr="00B47BDA" w:rsidRDefault="00D779C2" w:rsidP="00110E46">
      <w:pPr>
        <w:jc w:val="center"/>
      </w:pPr>
      <w:r w:rsidRPr="00D779C2">
        <w:rPr>
          <w:noProof/>
          <w:lang w:eastAsia="hr-HR"/>
        </w:rPr>
        <w:drawing>
          <wp:inline distT="0" distB="0" distL="0" distR="0" wp14:anchorId="444492EF" wp14:editId="685346D3">
            <wp:extent cx="4230077" cy="2538046"/>
            <wp:effectExtent l="0" t="0" r="0" b="0"/>
            <wp:docPr id="2027010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41490" cy="2544894"/>
                    </a:xfrm>
                    <a:prstGeom prst="rect">
                      <a:avLst/>
                    </a:prstGeom>
                    <a:noFill/>
                    <a:ln>
                      <a:noFill/>
                    </a:ln>
                  </pic:spPr>
                </pic:pic>
              </a:graphicData>
            </a:graphic>
          </wp:inline>
        </w:drawing>
      </w:r>
    </w:p>
    <w:p w14:paraId="3F5920FD" w14:textId="4FBC635E" w:rsidR="00414E40" w:rsidRDefault="00324232" w:rsidP="004623DD">
      <w:pPr>
        <w:pStyle w:val="Caption"/>
      </w:pPr>
      <w:bookmarkStart w:id="297" w:name="_Ref20467578"/>
      <w:bookmarkStart w:id="298" w:name="_Toc193035892"/>
      <w:bookmarkEnd w:id="295"/>
      <w:bookmarkEnd w:id="296"/>
      <w:r>
        <w:t xml:space="preserve">Slika </w:t>
      </w:r>
      <w:r>
        <w:fldChar w:fldCharType="begin"/>
      </w:r>
      <w:r>
        <w:instrText>STYLEREF 1 \s</w:instrText>
      </w:r>
      <w:r>
        <w:fldChar w:fldCharType="separate"/>
      </w:r>
      <w:r>
        <w:rPr>
          <w:noProof/>
        </w:rPr>
        <w:t>2</w:t>
      </w:r>
      <w:r>
        <w:fldChar w:fldCharType="end"/>
      </w:r>
      <w:r>
        <w:t>–</w:t>
      </w:r>
      <w:r>
        <w:fldChar w:fldCharType="begin"/>
      </w:r>
      <w:r>
        <w:instrText>SEQ Slika \* ARABIC \s 1</w:instrText>
      </w:r>
      <w:r>
        <w:fldChar w:fldCharType="separate"/>
      </w:r>
      <w:r w:rsidR="000B1947">
        <w:rPr>
          <w:noProof/>
        </w:rPr>
        <w:t>15</w:t>
      </w:r>
      <w:r>
        <w:fldChar w:fldCharType="end"/>
      </w:r>
      <w:r>
        <w:t xml:space="preserve">. </w:t>
      </w:r>
      <w:bookmarkEnd w:id="297"/>
      <w:r w:rsidR="00414E40" w:rsidRPr="00B47BDA">
        <w:t xml:space="preserve">Kretanje </w:t>
      </w:r>
      <w:r w:rsidR="006E26C6">
        <w:t xml:space="preserve">primarne i neposredne </w:t>
      </w:r>
      <w:r w:rsidR="00414E40" w:rsidRPr="00B47BDA">
        <w:t>potrošnje energije u razdoblju od 202</w:t>
      </w:r>
      <w:r w:rsidR="009E3A45">
        <w:t>1</w:t>
      </w:r>
      <w:r w:rsidR="00414E40" w:rsidRPr="00B47BDA">
        <w:t>. do 2030. godine</w:t>
      </w:r>
      <w:bookmarkEnd w:id="298"/>
    </w:p>
    <w:p w14:paraId="76A83009" w14:textId="77777777" w:rsidR="000B44C8" w:rsidRPr="00166D19" w:rsidRDefault="000B44C8" w:rsidP="63259912">
      <w:pPr>
        <w:rPr>
          <w:rFonts w:asciiTheme="minorHAnsi" w:hAnsiTheme="minorHAnsi" w:cstheme="minorBidi"/>
        </w:rPr>
      </w:pPr>
      <w:r w:rsidRPr="63259912">
        <w:rPr>
          <w:rFonts w:asciiTheme="minorHAnsi" w:hAnsiTheme="minorHAnsi" w:cstheme="minorBidi"/>
        </w:rPr>
        <w:t xml:space="preserve">Projekcija neposredne potrošnje svih oblika energije izrađena je korištenjem pristupa „odozdo prema gore“ (engl. </w:t>
      </w:r>
      <w:r w:rsidRPr="63259912">
        <w:rPr>
          <w:rFonts w:asciiTheme="minorHAnsi" w:hAnsiTheme="minorHAnsi" w:cstheme="minorBidi"/>
          <w:i/>
          <w:iCs/>
        </w:rPr>
        <w:t>bottom-up</w:t>
      </w:r>
      <w:r w:rsidRPr="63259912">
        <w:rPr>
          <w:rFonts w:asciiTheme="minorHAnsi" w:hAnsiTheme="minorHAnsi" w:cstheme="minorBidi"/>
        </w:rPr>
        <w:t>) koji omogućava sagledavanje strukturnih promjena na strani korištenja energije u različitim sektorima (npr. industrija, kućanstva, uslužni sektor, promet), a koje su nužne za ostvarenje ciljeva ublažavanja klimatskih promjena.</w:t>
      </w:r>
    </w:p>
    <w:p w14:paraId="4C258487" w14:textId="02529E9C" w:rsidR="00C32479" w:rsidRPr="00166D19" w:rsidRDefault="00C330B0" w:rsidP="63259912">
      <w:pPr>
        <w:rPr>
          <w:rFonts w:asciiTheme="minorHAnsi" w:hAnsiTheme="minorHAnsi" w:cstheme="minorBidi"/>
        </w:rPr>
      </w:pPr>
      <w:r w:rsidRPr="63259912">
        <w:rPr>
          <w:rFonts w:asciiTheme="minorHAnsi" w:hAnsiTheme="minorHAnsi" w:cstheme="minorBidi"/>
        </w:rPr>
        <w:lastRenderedPageBreak/>
        <w:t>Za analizu neposredne potrošnje energije korišten je softverski alat LEAP (The Low Emissions Analysis Platform</w:t>
      </w:r>
      <w:r w:rsidRPr="63259912">
        <w:rPr>
          <w:rStyle w:val="FootnoteReference"/>
          <w:rFonts w:asciiTheme="minorHAnsi" w:hAnsiTheme="minorHAnsi" w:cstheme="minorBidi"/>
          <w:sz w:val="24"/>
        </w:rPr>
        <w:footnoteReference w:id="20"/>
      </w:r>
      <w:r w:rsidRPr="63259912">
        <w:rPr>
          <w:rFonts w:asciiTheme="minorHAnsi" w:hAnsiTheme="minorHAnsi" w:cstheme="minorBidi"/>
        </w:rPr>
        <w:t>).</w:t>
      </w:r>
      <w:r w:rsidR="00734762" w:rsidRPr="63259912">
        <w:rPr>
          <w:rFonts w:asciiTheme="minorHAnsi" w:hAnsiTheme="minorHAnsi" w:cstheme="minorBidi"/>
        </w:rPr>
        <w:t xml:space="preserve"> Za potrebe modeliranja WEM i WAM scenarija primijenjena je tehnika „</w:t>
      </w:r>
      <w:r w:rsidR="00734762" w:rsidRPr="63259912">
        <w:rPr>
          <w:rFonts w:asciiTheme="minorHAnsi" w:hAnsiTheme="minorHAnsi" w:cstheme="minorBidi"/>
          <w:b/>
          <w:bCs/>
        </w:rPr>
        <w:t>end-use</w:t>
      </w:r>
      <w:r w:rsidR="00734762" w:rsidRPr="63259912">
        <w:rPr>
          <w:rFonts w:asciiTheme="minorHAnsi" w:hAnsiTheme="minorHAnsi" w:cstheme="minorBidi"/>
        </w:rPr>
        <w:t xml:space="preserve">“ modeliranja na način da je za svaki sektor i podsektor određena trenutna i buduća potreba za korisnom energijom prema namjenama, a zatim su uz primjenu odgovarajućih učinkovitosti tehnologija i predviđenih zastupljenosti energenata izračunate neposredne potrošnje energije. </w:t>
      </w:r>
      <w:r w:rsidR="0089651B" w:rsidRPr="63259912">
        <w:rPr>
          <w:rFonts w:asciiTheme="minorHAnsi" w:hAnsiTheme="minorHAnsi" w:cstheme="minorBidi"/>
        </w:rPr>
        <w:t xml:space="preserve">Osim toga, </w:t>
      </w:r>
      <w:r w:rsidR="0035608F" w:rsidRPr="63259912">
        <w:rPr>
          <w:rFonts w:asciiTheme="minorHAnsi" w:hAnsiTheme="minorHAnsi" w:cstheme="minorBidi"/>
        </w:rPr>
        <w:t xml:space="preserve">primijenjen je tzv. „energy efficiency first“ </w:t>
      </w:r>
      <w:r w:rsidR="002B701C" w:rsidRPr="63259912">
        <w:rPr>
          <w:rFonts w:asciiTheme="minorHAnsi" w:hAnsiTheme="minorHAnsi" w:cstheme="minorBidi"/>
        </w:rPr>
        <w:t>princip</w:t>
      </w:r>
      <w:r w:rsidR="006703A4" w:rsidRPr="63259912">
        <w:rPr>
          <w:rFonts w:asciiTheme="minorHAnsi" w:hAnsiTheme="minorHAnsi" w:cstheme="minorBidi"/>
        </w:rPr>
        <w:t xml:space="preserve"> </w:t>
      </w:r>
      <w:r w:rsidR="00D35B7A" w:rsidRPr="63259912">
        <w:rPr>
          <w:rFonts w:asciiTheme="minorHAnsi" w:hAnsiTheme="minorHAnsi" w:cstheme="minorBidi"/>
        </w:rPr>
        <w:t xml:space="preserve">prilikom modeliranja potreba za energijom u svakom pojedinom sektoru potrošnje. </w:t>
      </w:r>
      <w:r w:rsidR="00251937" w:rsidRPr="63259912">
        <w:rPr>
          <w:rFonts w:asciiTheme="minorHAnsi" w:hAnsiTheme="minorHAnsi" w:cstheme="minorBidi"/>
        </w:rPr>
        <w:t xml:space="preserve">Na primjeru zgradarstva, prvo su razmatrane mogućnosti </w:t>
      </w:r>
      <w:r w:rsidR="0089509C" w:rsidRPr="63259912">
        <w:rPr>
          <w:rFonts w:asciiTheme="minorHAnsi" w:hAnsiTheme="minorHAnsi" w:cstheme="minorBidi"/>
        </w:rPr>
        <w:t xml:space="preserve">primjene mjera energetske učinkovitosti, a nakon toga </w:t>
      </w:r>
      <w:r w:rsidR="00740F57" w:rsidRPr="63259912">
        <w:rPr>
          <w:rFonts w:asciiTheme="minorHAnsi" w:hAnsiTheme="minorHAnsi" w:cstheme="minorBidi"/>
        </w:rPr>
        <w:t xml:space="preserve">uvođenje </w:t>
      </w:r>
      <w:r w:rsidR="00B07CF7" w:rsidRPr="63259912">
        <w:rPr>
          <w:rFonts w:asciiTheme="minorHAnsi" w:hAnsiTheme="minorHAnsi" w:cstheme="minorBidi"/>
        </w:rPr>
        <w:t xml:space="preserve">novih tehnologija za grijanje i hlađenje, zamjena energenata i sl. </w:t>
      </w:r>
      <w:r w:rsidR="000D4AF9" w:rsidRPr="63259912">
        <w:rPr>
          <w:rFonts w:asciiTheme="minorHAnsi" w:hAnsiTheme="minorHAnsi" w:cstheme="minorBidi"/>
        </w:rPr>
        <w:t>Isti princip primijenjen je i u ostalim sektorima.</w:t>
      </w:r>
    </w:p>
    <w:p w14:paraId="451091F9" w14:textId="77777777" w:rsidR="00DC6999" w:rsidRPr="00166D19" w:rsidRDefault="00DC6999" w:rsidP="00DC6999">
      <w:pPr>
        <w:rPr>
          <w:rFonts w:asciiTheme="minorHAnsi" w:hAnsiTheme="minorHAnsi" w:cstheme="minorHAnsi"/>
        </w:rPr>
      </w:pPr>
      <w:r w:rsidRPr="00166D19">
        <w:rPr>
          <w:rFonts w:asciiTheme="minorHAnsi" w:hAnsiTheme="minorHAnsi" w:cstheme="minorHAnsi"/>
        </w:rPr>
        <w:t>Glavne odrednice promjena u energetskom sektoru primijenjene u izradi projekcija neposredne potrošnje svih oblika energije su sljedeće:</w:t>
      </w:r>
    </w:p>
    <w:p w14:paraId="27BCD4C0" w14:textId="77777777" w:rsidR="00DC6999" w:rsidRPr="00166D19" w:rsidRDefault="00DC6999" w:rsidP="00166D19">
      <w:pPr>
        <w:pStyle w:val="ListParagraph"/>
        <w:numPr>
          <w:ilvl w:val="0"/>
          <w:numId w:val="38"/>
        </w:numPr>
        <w:spacing w:after="60"/>
        <w:rPr>
          <w:rFonts w:asciiTheme="minorHAnsi" w:hAnsiTheme="minorHAnsi" w:cstheme="minorHAnsi"/>
        </w:rPr>
      </w:pPr>
      <w:r w:rsidRPr="00166D19">
        <w:rPr>
          <w:rFonts w:asciiTheme="minorHAnsi" w:hAnsiTheme="minorHAnsi" w:cstheme="minorHAnsi"/>
        </w:rPr>
        <w:t>povećanje energetske učinkovitosti u svim dijelovima energetskog lanca (proizvodnja, transport/prijenos, distribucija i potrošnja svih oblika energije) te primjena načela energetska učinkovitost na prvom mjestu;</w:t>
      </w:r>
    </w:p>
    <w:p w14:paraId="123A94AE" w14:textId="77777777" w:rsidR="00DC6999" w:rsidRPr="00166D19" w:rsidRDefault="00DC6999" w:rsidP="00166D19">
      <w:pPr>
        <w:pStyle w:val="ListParagraph"/>
        <w:numPr>
          <w:ilvl w:val="0"/>
          <w:numId w:val="38"/>
        </w:numPr>
        <w:spacing w:after="60"/>
        <w:rPr>
          <w:rFonts w:asciiTheme="minorHAnsi" w:hAnsiTheme="minorHAnsi" w:cstheme="minorHAnsi"/>
        </w:rPr>
      </w:pPr>
      <w:r w:rsidRPr="00166D19">
        <w:rPr>
          <w:rFonts w:asciiTheme="minorHAnsi" w:hAnsiTheme="minorHAnsi" w:cstheme="minorHAnsi"/>
        </w:rPr>
        <w:t>prelazak što većeg broja aktivnosti na korištenje električne energije (gdje je to tehnološki moguće i dugoročno troškovno održivo);</w:t>
      </w:r>
    </w:p>
    <w:p w14:paraId="6C66A343" w14:textId="514D4281" w:rsidR="00DC6999" w:rsidRPr="00B47BDA" w:rsidRDefault="00DC6999" w:rsidP="00166D19">
      <w:pPr>
        <w:pStyle w:val="ListParagraph"/>
        <w:numPr>
          <w:ilvl w:val="0"/>
          <w:numId w:val="38"/>
        </w:numPr>
        <w:spacing w:after="60"/>
      </w:pPr>
      <w:r w:rsidRPr="00B47BDA">
        <w:t xml:space="preserve">sve veća isplativost ulaganja u tehnologije korištenja OIE, uslijed očekivanog pada cijena tih tehnologija i porasta cijena emisijskih </w:t>
      </w:r>
      <w:r w:rsidR="4CBC5F12">
        <w:t>jedinica</w:t>
      </w:r>
      <w:r w:rsidRPr="00B47BDA">
        <w:t>.</w:t>
      </w:r>
    </w:p>
    <w:p w14:paraId="7FD5EF68" w14:textId="77777777" w:rsidR="00091A8A" w:rsidRPr="00B47BDA" w:rsidRDefault="00091A8A" w:rsidP="00390A75">
      <w:r w:rsidRPr="63259912">
        <w:t>Dodatno, na strani proizvodnje energije također se očekuje povećanje učinkovitosti transformacije energije izgradnjom novih kogeneracijskih postrojenja i plinskih termoelektrana (TE) s većim stupnjem korisnog djelovanja te povećanje udjela OIE. Na strani prijenosa i distribucije električne i toplinske energije očekuje se daljnje smanjenje gubitaka na razinu razvijenih energetskih sustava do 2030. godine.</w:t>
      </w:r>
    </w:p>
    <w:p w14:paraId="5C97667C" w14:textId="77777777" w:rsidR="00D5381A" w:rsidRPr="00B47BDA" w:rsidRDefault="00D5381A" w:rsidP="00390A75">
      <w:r w:rsidRPr="00B47BDA">
        <w:t>Potrošnja energije i pokretački parametri (npr. broj i struktura stanovnika, struktura BDP- a i dr.) obrađeni su na razini države.</w:t>
      </w:r>
    </w:p>
    <w:p w14:paraId="68CAC5F3" w14:textId="06C79204" w:rsidR="00C32479" w:rsidRDefault="00D5381A" w:rsidP="00390A75">
      <w:r w:rsidRPr="00B47BDA">
        <w:t>Polazeći od raspoloživosti lokalnih resursa i izvora primarnih oblika energije, analizirana je mogućnost zadovoljenja potreba svim oblicima energije (npr. toplinska, električna, prirodni plin, biomasa i dr.). Za umrežene sustave (npr. električna energija, prirodni plin) provedena je analiza i optimizacija rada i razvoja sustava proizvodnje, prijenosa/transporta i distribucije energije do krajnjih korisnika po načelu minimalnog troška sustava, a uzimajući u obzir ograničenja utjecaja na okoliš (uključivo emisije stakleničkih plinova), strateške odrednice u dijelu sigurnosti opskrbe energijom i utjecaj sudjelovanja u radu regionalnog tržišta (moguća suradnja u iskorištenju regionalnog energetskog potencijala i dijeljenje infrastrukture). Uzeti su u obzir raspoloživost i stanje postojeće energetske infrastrukture, potrebna zamjena elemenata i izgradnja novih elemenata sustava (npr. elektrane, dalekovodi, cjevovodi i dr.).</w:t>
      </w:r>
    </w:p>
    <w:p w14:paraId="2E308F6C" w14:textId="2E01F290" w:rsidR="00D259DE" w:rsidRDefault="00511ECE" w:rsidP="006900CB">
      <w:r w:rsidRPr="00511ECE">
        <w:rPr>
          <w:noProof/>
        </w:rPr>
        <w:lastRenderedPageBreak/>
        <w:drawing>
          <wp:inline distT="0" distB="0" distL="0" distR="0" wp14:anchorId="60A0301F" wp14:editId="5C60B2DC">
            <wp:extent cx="5759450" cy="3775075"/>
            <wp:effectExtent l="0" t="0" r="0" b="0"/>
            <wp:docPr id="19819607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3775075"/>
                    </a:xfrm>
                    <a:prstGeom prst="rect">
                      <a:avLst/>
                    </a:prstGeom>
                    <a:noFill/>
                    <a:ln>
                      <a:noFill/>
                    </a:ln>
                  </pic:spPr>
                </pic:pic>
              </a:graphicData>
            </a:graphic>
          </wp:inline>
        </w:drawing>
      </w:r>
    </w:p>
    <w:p w14:paraId="6A11CA71" w14:textId="310F4422" w:rsidR="00944122" w:rsidRDefault="00324232" w:rsidP="00944122">
      <w:pPr>
        <w:pStyle w:val="Caption"/>
      </w:pPr>
      <w:bookmarkStart w:id="299" w:name="_Toc193035893"/>
      <w:r>
        <w:t xml:space="preserve">Slika </w:t>
      </w:r>
      <w:r>
        <w:fldChar w:fldCharType="begin"/>
      </w:r>
      <w:r>
        <w:instrText>STYLEREF 1 \s</w:instrText>
      </w:r>
      <w:r>
        <w:fldChar w:fldCharType="separate"/>
      </w:r>
      <w:r>
        <w:rPr>
          <w:noProof/>
        </w:rPr>
        <w:t>2</w:t>
      </w:r>
      <w:r>
        <w:fldChar w:fldCharType="end"/>
      </w:r>
      <w:r>
        <w:t>–</w:t>
      </w:r>
      <w:r>
        <w:fldChar w:fldCharType="begin"/>
      </w:r>
      <w:r>
        <w:instrText>SEQ Slika \* ARABIC \s 1</w:instrText>
      </w:r>
      <w:r>
        <w:fldChar w:fldCharType="separate"/>
      </w:r>
      <w:r w:rsidR="00D67B95">
        <w:rPr>
          <w:noProof/>
        </w:rPr>
        <w:t>16</w:t>
      </w:r>
      <w:r>
        <w:fldChar w:fldCharType="end"/>
      </w:r>
      <w:r>
        <w:t xml:space="preserve">. </w:t>
      </w:r>
      <w:r w:rsidR="00944122">
        <w:t>Projekcija neposredne</w:t>
      </w:r>
      <w:r w:rsidR="00944122" w:rsidRPr="00B47BDA">
        <w:t xml:space="preserve"> potrošnje energije </w:t>
      </w:r>
      <w:r w:rsidR="00944122">
        <w:t>prema energentima</w:t>
      </w:r>
      <w:bookmarkEnd w:id="299"/>
    </w:p>
    <w:p w14:paraId="1390365A" w14:textId="77777777" w:rsidR="00C32479" w:rsidRDefault="00C32479" w:rsidP="00944122"/>
    <w:p w14:paraId="58BC5DB0" w14:textId="3B6EF8BD" w:rsidR="00944122" w:rsidRDefault="00BB12C2" w:rsidP="00944122">
      <w:r w:rsidRPr="00BB12C2">
        <w:rPr>
          <w:noProof/>
        </w:rPr>
        <w:drawing>
          <wp:inline distT="0" distB="0" distL="0" distR="0" wp14:anchorId="1F66A26B" wp14:editId="5633F973">
            <wp:extent cx="5759450" cy="2644775"/>
            <wp:effectExtent l="0" t="0" r="0" b="3175"/>
            <wp:docPr id="12856427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2644775"/>
                    </a:xfrm>
                    <a:prstGeom prst="rect">
                      <a:avLst/>
                    </a:prstGeom>
                    <a:noFill/>
                    <a:ln>
                      <a:noFill/>
                    </a:ln>
                  </pic:spPr>
                </pic:pic>
              </a:graphicData>
            </a:graphic>
          </wp:inline>
        </w:drawing>
      </w:r>
    </w:p>
    <w:p w14:paraId="1B276B6F" w14:textId="1525A720" w:rsidR="00944122" w:rsidRPr="00C32479" w:rsidRDefault="00324232" w:rsidP="006E03CB">
      <w:pPr>
        <w:pStyle w:val="Caption"/>
      </w:pPr>
      <w:bookmarkStart w:id="300" w:name="_Toc193035894"/>
      <w:r>
        <w:t xml:space="preserve">Slika </w:t>
      </w:r>
      <w:r>
        <w:fldChar w:fldCharType="begin"/>
      </w:r>
      <w:r>
        <w:instrText>STYLEREF 1 \s</w:instrText>
      </w:r>
      <w:r>
        <w:fldChar w:fldCharType="separate"/>
      </w:r>
      <w:r>
        <w:rPr>
          <w:noProof/>
        </w:rPr>
        <w:t>2</w:t>
      </w:r>
      <w:r>
        <w:fldChar w:fldCharType="end"/>
      </w:r>
      <w:r>
        <w:t>–</w:t>
      </w:r>
      <w:r>
        <w:fldChar w:fldCharType="begin"/>
      </w:r>
      <w:r>
        <w:instrText>SEQ Slika \* ARABIC \s 1</w:instrText>
      </w:r>
      <w:r>
        <w:fldChar w:fldCharType="separate"/>
      </w:r>
      <w:r>
        <w:rPr>
          <w:noProof/>
        </w:rPr>
        <w:t>17</w:t>
      </w:r>
      <w:r>
        <w:fldChar w:fldCharType="end"/>
      </w:r>
      <w:r>
        <w:t xml:space="preserve">. </w:t>
      </w:r>
      <w:r w:rsidR="00944122">
        <w:t>Projekcija neposredne potrošnje energije prema sektorima</w:t>
      </w:r>
      <w:bookmarkEnd w:id="300"/>
    </w:p>
    <w:p w14:paraId="19A70A75" w14:textId="7137ED1C" w:rsidR="00E16791" w:rsidRPr="00615F23" w:rsidRDefault="00E16791" w:rsidP="00615F23">
      <w:pPr>
        <w:shd w:val="clear" w:color="auto" w:fill="DEEAF6" w:themeFill="accent1" w:themeFillTint="33"/>
        <w:rPr>
          <w:i/>
          <w:iCs/>
        </w:rPr>
      </w:pPr>
      <w:r w:rsidRPr="00615F23">
        <w:rPr>
          <w:i/>
          <w:iCs/>
        </w:rPr>
        <w:t>Kumulativne uštede energije u razdoblju 2021.-2030. u skladu s člankom 7(1)</w:t>
      </w:r>
      <w:r w:rsidR="006C2EB7" w:rsidRPr="00615F23">
        <w:rPr>
          <w:i/>
          <w:iCs/>
        </w:rPr>
        <w:t xml:space="preserve">, točkom </w:t>
      </w:r>
      <w:r w:rsidRPr="00615F23">
        <w:rPr>
          <w:i/>
          <w:iCs/>
        </w:rPr>
        <w:t>(b)</w:t>
      </w:r>
      <w:r w:rsidR="006C2EB7" w:rsidRPr="00615F23">
        <w:rPr>
          <w:i/>
          <w:iCs/>
        </w:rPr>
        <w:t>.</w:t>
      </w:r>
      <w:r w:rsidRPr="00615F23">
        <w:rPr>
          <w:i/>
          <w:iCs/>
        </w:rPr>
        <w:t xml:space="preserve"> o sustavu obveza energetske učinkovitosti Direktive 2018/2002 o izmjeni Direktive 2012/27/EU o energetskoj učinkovitosti</w:t>
      </w:r>
    </w:p>
    <w:p w14:paraId="37B9C001" w14:textId="7A175E7F" w:rsidR="00EB6C50" w:rsidRPr="00B47BDA" w:rsidRDefault="005C4092" w:rsidP="004623DD">
      <w:bookmarkStart w:id="301" w:name="_Hlk531628646"/>
      <w:r w:rsidRPr="63259912">
        <w:t>Pr</w:t>
      </w:r>
      <w:r w:rsidR="009F62CE" w:rsidRPr="63259912">
        <w:t>ikazani cilj kumulativnih ušteda u iznosu od</w:t>
      </w:r>
      <w:r w:rsidR="009F62CE" w:rsidRPr="63259912">
        <w:rPr>
          <w:b/>
          <w:bCs/>
        </w:rPr>
        <w:t xml:space="preserve"> </w:t>
      </w:r>
      <w:r w:rsidR="004A7E9E" w:rsidRPr="63259912">
        <w:rPr>
          <w:b/>
          <w:bCs/>
        </w:rPr>
        <w:t>2</w:t>
      </w:r>
      <w:r w:rsidR="009F62CE" w:rsidRPr="63259912">
        <w:rPr>
          <w:b/>
          <w:bCs/>
        </w:rPr>
        <w:t>.</w:t>
      </w:r>
      <w:r w:rsidR="004A7E9E" w:rsidRPr="63259912">
        <w:rPr>
          <w:b/>
          <w:bCs/>
        </w:rPr>
        <w:t>993</w:t>
      </w:r>
      <w:r w:rsidR="009F62CE" w:rsidRPr="63259912">
        <w:rPr>
          <w:b/>
          <w:bCs/>
        </w:rPr>
        <w:t>,</w:t>
      </w:r>
      <w:r w:rsidR="004A7E9E" w:rsidRPr="63259912">
        <w:rPr>
          <w:b/>
          <w:bCs/>
        </w:rPr>
        <w:t xml:space="preserve">7 </w:t>
      </w:r>
      <w:r w:rsidR="009F62CE" w:rsidRPr="63259912">
        <w:rPr>
          <w:b/>
          <w:bCs/>
        </w:rPr>
        <w:t>kt</w:t>
      </w:r>
      <w:r w:rsidR="00B730E8" w:rsidRPr="63259912">
        <w:rPr>
          <w:b/>
          <w:bCs/>
        </w:rPr>
        <w:t>oe</w:t>
      </w:r>
      <w:r w:rsidR="009F62CE" w:rsidRPr="63259912">
        <w:rPr>
          <w:b/>
          <w:bCs/>
        </w:rPr>
        <w:t xml:space="preserve"> (</w:t>
      </w:r>
      <w:r w:rsidR="00423979" w:rsidRPr="63259912">
        <w:rPr>
          <w:b/>
          <w:bCs/>
        </w:rPr>
        <w:t>125</w:t>
      </w:r>
      <w:r w:rsidR="009F62CE" w:rsidRPr="63259912">
        <w:rPr>
          <w:b/>
          <w:bCs/>
        </w:rPr>
        <w:t>,</w:t>
      </w:r>
      <w:r w:rsidR="00423979" w:rsidRPr="63259912">
        <w:rPr>
          <w:b/>
          <w:bCs/>
        </w:rPr>
        <w:t>3</w:t>
      </w:r>
      <w:r w:rsidR="009F62CE" w:rsidRPr="63259912">
        <w:rPr>
          <w:b/>
          <w:bCs/>
        </w:rPr>
        <w:t xml:space="preserve"> PJ) </w:t>
      </w:r>
      <w:r w:rsidR="009F62CE" w:rsidRPr="63259912">
        <w:t>izračunat je u skladu s člankom 7.(</w:t>
      </w:r>
      <w:r w:rsidR="00C06A33" w:rsidRPr="63259912">
        <w:t>1</w:t>
      </w:r>
      <w:r w:rsidR="009F62CE" w:rsidRPr="63259912">
        <w:t xml:space="preserve">), točkom (b). Direktive </w:t>
      </w:r>
      <w:r w:rsidR="002E5506" w:rsidRPr="63259912">
        <w:t>2018/2002</w:t>
      </w:r>
      <w:r w:rsidR="000D167A" w:rsidRPr="63259912">
        <w:t xml:space="preserve"> o energetskoj učinkovitosti</w:t>
      </w:r>
      <w:r w:rsidR="00D22995" w:rsidRPr="63259912">
        <w:t xml:space="preserve">, kako prikazuje </w:t>
      </w:r>
      <w:r w:rsidR="00D22995" w:rsidRPr="00B47BDA">
        <w:fldChar w:fldCharType="begin"/>
      </w:r>
      <w:r w:rsidR="00D22995" w:rsidRPr="00B47BDA">
        <w:instrText xml:space="preserve"> REF _Ref20466957 \h </w:instrText>
      </w:r>
      <w:r w:rsidR="00B87A30" w:rsidRPr="00B47BDA">
        <w:instrText xml:space="preserve"> \* MERGEFORMAT </w:instrText>
      </w:r>
      <w:r w:rsidR="00D22995" w:rsidRPr="00B47BDA">
        <w:fldChar w:fldCharType="separate"/>
      </w:r>
      <w:r w:rsidR="002F6C15" w:rsidRPr="63259912">
        <w:t>Tablica 2</w:t>
      </w:r>
      <w:r w:rsidR="002F6C15" w:rsidRPr="00B47BDA">
        <w:noBreakHyphen/>
      </w:r>
      <w:r w:rsidR="002F6C15" w:rsidRPr="63259912">
        <w:t>8</w:t>
      </w:r>
      <w:r w:rsidR="00D22995" w:rsidRPr="00B47BDA">
        <w:fldChar w:fldCharType="end"/>
      </w:r>
      <w:r w:rsidR="009F62CE" w:rsidRPr="63259912">
        <w:t xml:space="preserve">. </w:t>
      </w:r>
      <w:r w:rsidR="00924390" w:rsidRPr="63259912">
        <w:t>Detaljan izračun dan je u Prilogu II</w:t>
      </w:r>
      <w:r w:rsidR="00C51F37" w:rsidRPr="63259912">
        <w:t xml:space="preserve">. </w:t>
      </w:r>
    </w:p>
    <w:p w14:paraId="6101C54F" w14:textId="6C0DB023" w:rsidR="009F62CE" w:rsidRPr="00B47BDA" w:rsidRDefault="001C7734" w:rsidP="004623DD">
      <w:r w:rsidRPr="00B47BDA">
        <w:lastRenderedPageBreak/>
        <w:t xml:space="preserve">S obzirom na </w:t>
      </w:r>
      <w:r w:rsidR="00833C4E">
        <w:t xml:space="preserve">usvojenu </w:t>
      </w:r>
      <w:bookmarkStart w:id="302" w:name="_Hlk179981090"/>
      <w:r w:rsidR="00112A51" w:rsidRPr="00C856ED">
        <w:t>Direktiv</w:t>
      </w:r>
      <w:r w:rsidR="00112A51" w:rsidRPr="00E54EB2">
        <w:t>u</w:t>
      </w:r>
      <w:r w:rsidR="00112A51" w:rsidRPr="00C856ED">
        <w:t xml:space="preserve"> </w:t>
      </w:r>
      <w:r w:rsidR="00F1352C" w:rsidRPr="00C856ED">
        <w:t>2023/1791</w:t>
      </w:r>
      <w:r w:rsidR="002F75B4" w:rsidRPr="00C856ED">
        <w:t xml:space="preserve"> </w:t>
      </w:r>
      <w:bookmarkEnd w:id="302"/>
      <w:r w:rsidR="002F75B4" w:rsidRPr="00C856ED">
        <w:t xml:space="preserve">iz </w:t>
      </w:r>
      <w:r w:rsidR="006D7C2B" w:rsidRPr="00C856ED">
        <w:t>rujna</w:t>
      </w:r>
      <w:r w:rsidR="00833C4E" w:rsidRPr="00C856ED">
        <w:t xml:space="preserve"> </w:t>
      </w:r>
      <w:r w:rsidR="002F75B4" w:rsidRPr="00C856ED">
        <w:t>202</w:t>
      </w:r>
      <w:r w:rsidR="00586C07" w:rsidRPr="00C856ED">
        <w:t>3. godine</w:t>
      </w:r>
      <w:r w:rsidR="00586C07" w:rsidRPr="00B47BDA">
        <w:t xml:space="preserve">, </w:t>
      </w:r>
      <w:r w:rsidR="00FD481D" w:rsidRPr="00B47BDA">
        <w:t xml:space="preserve">izračunat je </w:t>
      </w:r>
      <w:r w:rsidR="0006262C" w:rsidRPr="00B47BDA">
        <w:t>novi povećani cilj</w:t>
      </w:r>
      <w:r w:rsidR="00FD481D" w:rsidRPr="00B47BDA">
        <w:t xml:space="preserve"> te je iskazan u donjoj tablici.</w:t>
      </w:r>
    </w:p>
    <w:p w14:paraId="3744E6B0" w14:textId="5C1DD814" w:rsidR="006562D4" w:rsidRPr="00B47BDA" w:rsidRDefault="006562D4" w:rsidP="004623DD">
      <w:pPr>
        <w:pStyle w:val="Caption"/>
      </w:pPr>
      <w:bookmarkStart w:id="303" w:name="_Ref20466957"/>
      <w:bookmarkStart w:id="304" w:name="_Toc193035949"/>
      <w:bookmarkEnd w:id="301"/>
      <w:r w:rsidRPr="00B47BDA">
        <w:t xml:space="preserve">Tablica </w:t>
      </w:r>
      <w:r>
        <w:fldChar w:fldCharType="begin"/>
      </w:r>
      <w:r>
        <w:instrText>STYLEREF 1 \s</w:instrText>
      </w:r>
      <w:r>
        <w:fldChar w:fldCharType="separate"/>
      </w:r>
      <w:r w:rsidR="00AD324D">
        <w:rPr>
          <w:noProof/>
        </w:rPr>
        <w:t>2</w:t>
      </w:r>
      <w:r>
        <w:fldChar w:fldCharType="end"/>
      </w:r>
      <w:r w:rsidR="00DE7F11" w:rsidRPr="00B47BDA">
        <w:noBreakHyphen/>
      </w:r>
      <w:r>
        <w:fldChar w:fldCharType="begin"/>
      </w:r>
      <w:r>
        <w:instrText>SEQ Tablica \* ARABIC \s 1</w:instrText>
      </w:r>
      <w:r>
        <w:fldChar w:fldCharType="separate"/>
      </w:r>
      <w:r w:rsidR="002F6C15">
        <w:rPr>
          <w:noProof/>
        </w:rPr>
        <w:t>8</w:t>
      </w:r>
      <w:r>
        <w:fldChar w:fldCharType="end"/>
      </w:r>
      <w:bookmarkEnd w:id="303"/>
      <w:r w:rsidR="00EE7A41" w:rsidRPr="00B47BDA">
        <w:t>.</w:t>
      </w:r>
      <w:r w:rsidRPr="00B47BDA">
        <w:t xml:space="preserve"> </w:t>
      </w:r>
      <w:r w:rsidR="00DD23CB" w:rsidRPr="00B47BDA">
        <w:t>Cilj kumulativnih ušteda energije u razdoblju od 2021. do 2030. godine u skladu s člankom 7</w:t>
      </w:r>
      <w:r w:rsidR="0081528C">
        <w:t>.</w:t>
      </w:r>
      <w:r w:rsidR="00DD23CB" w:rsidRPr="00B47BDA">
        <w:t xml:space="preserve"> Direktive </w:t>
      </w:r>
      <w:r w:rsidR="002028B5" w:rsidRPr="00B47BDA">
        <w:t>o energetskoj učinkovitosti</w:t>
      </w:r>
      <w:bookmarkEnd w:id="304"/>
    </w:p>
    <w:tbl>
      <w:tblPr>
        <w:tblStyle w:val="NECP"/>
        <w:tblW w:w="4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984"/>
        <w:gridCol w:w="996"/>
        <w:gridCol w:w="1135"/>
        <w:gridCol w:w="1135"/>
      </w:tblGrid>
      <w:tr w:rsidR="006562D4" w:rsidRPr="00110E46" w14:paraId="2B1D6D12" w14:textId="77777777" w:rsidTr="63259912">
        <w:trPr>
          <w:cnfStyle w:val="100000000000" w:firstRow="1" w:lastRow="0" w:firstColumn="0" w:lastColumn="0" w:oddVBand="0" w:evenVBand="0" w:oddHBand="0" w:evenHBand="0" w:firstRowFirstColumn="0" w:firstRowLastColumn="0" w:lastRowFirstColumn="0" w:lastRowLastColumn="0"/>
          <w:trHeight w:val="340"/>
        </w:trPr>
        <w:tc>
          <w:tcPr>
            <w:tcW w:w="2274" w:type="pct"/>
            <w:shd w:val="clear" w:color="auto" w:fill="D9E2F3" w:themeFill="accent5" w:themeFillTint="33"/>
          </w:tcPr>
          <w:p w14:paraId="6952B6FE" w14:textId="77777777" w:rsidR="006562D4" w:rsidRPr="00166D19" w:rsidRDefault="006562D4" w:rsidP="00C1083D">
            <w:pPr>
              <w:spacing w:after="0"/>
              <w:jc w:val="center"/>
              <w:rPr>
                <w:sz w:val="22"/>
                <w:szCs w:val="22"/>
              </w:rPr>
            </w:pPr>
            <w:r w:rsidRPr="00166D19">
              <w:rPr>
                <w:sz w:val="22"/>
                <w:szCs w:val="22"/>
              </w:rPr>
              <w:t>Ciljevi 2030.</w:t>
            </w:r>
          </w:p>
        </w:tc>
        <w:tc>
          <w:tcPr>
            <w:tcW w:w="1270" w:type="pct"/>
            <w:gridSpan w:val="2"/>
            <w:shd w:val="clear" w:color="auto" w:fill="D9E2F3" w:themeFill="accent5" w:themeFillTint="33"/>
          </w:tcPr>
          <w:p w14:paraId="25430BF0" w14:textId="3ED478D2" w:rsidR="006562D4" w:rsidRPr="00166D19" w:rsidRDefault="003401E6" w:rsidP="00C1083D">
            <w:pPr>
              <w:spacing w:after="0"/>
              <w:jc w:val="center"/>
              <w:rPr>
                <w:sz w:val="22"/>
                <w:szCs w:val="22"/>
              </w:rPr>
            </w:pPr>
            <w:r w:rsidRPr="00166D19">
              <w:rPr>
                <w:sz w:val="22"/>
                <w:szCs w:val="22"/>
              </w:rPr>
              <w:t>Godišnje uštede</w:t>
            </w:r>
            <w:r w:rsidR="0007099E" w:rsidRPr="00166D19">
              <w:rPr>
                <w:sz w:val="22"/>
                <w:szCs w:val="22"/>
              </w:rPr>
              <w:t xml:space="preserve"> (prosjek)</w:t>
            </w:r>
          </w:p>
        </w:tc>
        <w:tc>
          <w:tcPr>
            <w:tcW w:w="1456" w:type="pct"/>
            <w:gridSpan w:val="2"/>
            <w:shd w:val="clear" w:color="auto" w:fill="D9E2F3" w:themeFill="accent5" w:themeFillTint="33"/>
          </w:tcPr>
          <w:p w14:paraId="182DAB9D" w14:textId="25055E58" w:rsidR="006562D4" w:rsidRPr="00166D19" w:rsidRDefault="003401E6" w:rsidP="00C1083D">
            <w:pPr>
              <w:spacing w:after="0"/>
              <w:jc w:val="center"/>
              <w:rPr>
                <w:sz w:val="22"/>
                <w:szCs w:val="22"/>
              </w:rPr>
            </w:pPr>
            <w:r w:rsidRPr="00166D19">
              <w:rPr>
                <w:sz w:val="22"/>
                <w:szCs w:val="22"/>
              </w:rPr>
              <w:t>Kumulativne uštede</w:t>
            </w:r>
          </w:p>
        </w:tc>
      </w:tr>
      <w:tr w:rsidR="006562D4" w:rsidRPr="00110E46" w14:paraId="1BA21E5B" w14:textId="77777777" w:rsidTr="63259912">
        <w:tc>
          <w:tcPr>
            <w:tcW w:w="2274" w:type="pct"/>
          </w:tcPr>
          <w:p w14:paraId="22EE0682" w14:textId="77777777" w:rsidR="006562D4" w:rsidRPr="00166D19" w:rsidRDefault="006562D4" w:rsidP="00110E46">
            <w:pPr>
              <w:spacing w:after="0"/>
              <w:rPr>
                <w:sz w:val="22"/>
                <w:szCs w:val="22"/>
              </w:rPr>
            </w:pPr>
          </w:p>
        </w:tc>
        <w:tc>
          <w:tcPr>
            <w:tcW w:w="631" w:type="pct"/>
          </w:tcPr>
          <w:p w14:paraId="207C8132" w14:textId="77777777" w:rsidR="006562D4" w:rsidRPr="00166D19" w:rsidRDefault="006562D4" w:rsidP="00C1083D">
            <w:pPr>
              <w:spacing w:after="0"/>
              <w:jc w:val="center"/>
              <w:rPr>
                <w:sz w:val="22"/>
                <w:szCs w:val="22"/>
              </w:rPr>
            </w:pPr>
            <w:r w:rsidRPr="00166D19">
              <w:rPr>
                <w:sz w:val="22"/>
                <w:szCs w:val="22"/>
              </w:rPr>
              <w:t>PJ</w:t>
            </w:r>
          </w:p>
        </w:tc>
        <w:tc>
          <w:tcPr>
            <w:tcW w:w="639" w:type="pct"/>
          </w:tcPr>
          <w:p w14:paraId="63751814" w14:textId="4DDFA228" w:rsidR="006562D4" w:rsidRPr="00166D19" w:rsidRDefault="003401E6" w:rsidP="63259912">
            <w:pPr>
              <w:spacing w:after="0"/>
              <w:jc w:val="center"/>
              <w:rPr>
                <w:sz w:val="22"/>
                <w:szCs w:val="22"/>
              </w:rPr>
            </w:pPr>
            <w:r w:rsidRPr="63259912">
              <w:rPr>
                <w:sz w:val="22"/>
                <w:szCs w:val="22"/>
              </w:rPr>
              <w:t>k</w:t>
            </w:r>
            <w:r w:rsidR="006562D4" w:rsidRPr="63259912">
              <w:rPr>
                <w:sz w:val="22"/>
                <w:szCs w:val="22"/>
              </w:rPr>
              <w:t>t</w:t>
            </w:r>
            <w:r w:rsidR="00B730E8" w:rsidRPr="63259912">
              <w:rPr>
                <w:sz w:val="22"/>
                <w:szCs w:val="22"/>
              </w:rPr>
              <w:t>oe</w:t>
            </w:r>
          </w:p>
        </w:tc>
        <w:tc>
          <w:tcPr>
            <w:tcW w:w="728" w:type="pct"/>
          </w:tcPr>
          <w:p w14:paraId="1E29AAF5" w14:textId="77777777" w:rsidR="006562D4" w:rsidRPr="00166D19" w:rsidRDefault="006562D4" w:rsidP="00C1083D">
            <w:pPr>
              <w:spacing w:after="0"/>
              <w:jc w:val="center"/>
              <w:rPr>
                <w:sz w:val="22"/>
                <w:szCs w:val="22"/>
              </w:rPr>
            </w:pPr>
            <w:r w:rsidRPr="00166D19">
              <w:rPr>
                <w:sz w:val="22"/>
                <w:szCs w:val="22"/>
              </w:rPr>
              <w:t>PJ</w:t>
            </w:r>
          </w:p>
        </w:tc>
        <w:tc>
          <w:tcPr>
            <w:tcW w:w="728" w:type="pct"/>
          </w:tcPr>
          <w:p w14:paraId="3F903DDD" w14:textId="175CABEE" w:rsidR="006562D4" w:rsidRPr="00166D19" w:rsidRDefault="003401E6" w:rsidP="63259912">
            <w:pPr>
              <w:spacing w:after="0"/>
              <w:jc w:val="center"/>
              <w:rPr>
                <w:sz w:val="22"/>
                <w:szCs w:val="22"/>
              </w:rPr>
            </w:pPr>
            <w:r w:rsidRPr="63259912">
              <w:rPr>
                <w:sz w:val="22"/>
                <w:szCs w:val="22"/>
              </w:rPr>
              <w:t>k</w:t>
            </w:r>
            <w:r w:rsidR="006562D4" w:rsidRPr="63259912">
              <w:rPr>
                <w:sz w:val="22"/>
                <w:szCs w:val="22"/>
              </w:rPr>
              <w:t>t</w:t>
            </w:r>
            <w:r w:rsidR="00B730E8" w:rsidRPr="63259912">
              <w:rPr>
                <w:sz w:val="22"/>
                <w:szCs w:val="22"/>
              </w:rPr>
              <w:t>oe</w:t>
            </w:r>
          </w:p>
        </w:tc>
      </w:tr>
      <w:tr w:rsidR="006562D4" w:rsidRPr="00110E46" w14:paraId="05327EA9" w14:textId="77777777" w:rsidTr="63259912">
        <w:tc>
          <w:tcPr>
            <w:tcW w:w="2274" w:type="pct"/>
          </w:tcPr>
          <w:p w14:paraId="35733F15" w14:textId="6B7AE0FB" w:rsidR="006562D4" w:rsidRPr="00166D19" w:rsidRDefault="004A6AB3" w:rsidP="00110E46">
            <w:pPr>
              <w:spacing w:after="0"/>
              <w:rPr>
                <w:sz w:val="22"/>
                <w:szCs w:val="22"/>
              </w:rPr>
            </w:pPr>
            <w:r w:rsidRPr="00166D19">
              <w:rPr>
                <w:sz w:val="22"/>
                <w:szCs w:val="22"/>
              </w:rPr>
              <w:t>Prema članku 7(1)(b)</w:t>
            </w:r>
          </w:p>
        </w:tc>
        <w:tc>
          <w:tcPr>
            <w:tcW w:w="631" w:type="pct"/>
          </w:tcPr>
          <w:p w14:paraId="2147E10C" w14:textId="1FA49261" w:rsidR="006562D4" w:rsidRPr="00166D19" w:rsidRDefault="00DB3089" w:rsidP="00C1083D">
            <w:pPr>
              <w:spacing w:after="0"/>
              <w:jc w:val="right"/>
              <w:rPr>
                <w:sz w:val="22"/>
                <w:szCs w:val="22"/>
              </w:rPr>
            </w:pPr>
            <w:r w:rsidRPr="00166D19">
              <w:rPr>
                <w:sz w:val="22"/>
                <w:szCs w:val="22"/>
              </w:rPr>
              <w:t>2,</w:t>
            </w:r>
            <w:r w:rsidR="009D3177" w:rsidRPr="00166D19">
              <w:rPr>
                <w:sz w:val="22"/>
                <w:szCs w:val="22"/>
              </w:rPr>
              <w:t>3</w:t>
            </w:r>
          </w:p>
        </w:tc>
        <w:tc>
          <w:tcPr>
            <w:tcW w:w="639" w:type="pct"/>
          </w:tcPr>
          <w:p w14:paraId="5D9149B9" w14:textId="47E9AA24" w:rsidR="006562D4" w:rsidRPr="00166D19" w:rsidRDefault="009D3177" w:rsidP="00C1083D">
            <w:pPr>
              <w:spacing w:after="0"/>
              <w:jc w:val="right"/>
              <w:rPr>
                <w:sz w:val="22"/>
                <w:szCs w:val="22"/>
              </w:rPr>
            </w:pPr>
            <w:r w:rsidRPr="00166D19">
              <w:rPr>
                <w:sz w:val="22"/>
                <w:szCs w:val="22"/>
              </w:rPr>
              <w:t>54</w:t>
            </w:r>
            <w:r w:rsidR="00DB3089" w:rsidRPr="00166D19">
              <w:rPr>
                <w:sz w:val="22"/>
                <w:szCs w:val="22"/>
              </w:rPr>
              <w:t>,</w:t>
            </w:r>
            <w:r w:rsidRPr="00166D19">
              <w:rPr>
                <w:sz w:val="22"/>
                <w:szCs w:val="22"/>
              </w:rPr>
              <w:t>4</w:t>
            </w:r>
          </w:p>
        </w:tc>
        <w:tc>
          <w:tcPr>
            <w:tcW w:w="728" w:type="pct"/>
          </w:tcPr>
          <w:p w14:paraId="29C6192C" w14:textId="7378FA80" w:rsidR="006562D4" w:rsidRPr="00166D19" w:rsidRDefault="009D3177" w:rsidP="00C1083D">
            <w:pPr>
              <w:spacing w:after="0"/>
              <w:jc w:val="right"/>
              <w:rPr>
                <w:sz w:val="22"/>
                <w:szCs w:val="22"/>
              </w:rPr>
            </w:pPr>
            <w:r w:rsidRPr="00166D19">
              <w:rPr>
                <w:sz w:val="22"/>
                <w:szCs w:val="22"/>
              </w:rPr>
              <w:t>125</w:t>
            </w:r>
            <w:r w:rsidR="002E19A1" w:rsidRPr="00166D19">
              <w:rPr>
                <w:sz w:val="22"/>
                <w:szCs w:val="22"/>
              </w:rPr>
              <w:t>,</w:t>
            </w:r>
            <w:r w:rsidRPr="00166D19">
              <w:rPr>
                <w:sz w:val="22"/>
                <w:szCs w:val="22"/>
              </w:rPr>
              <w:t>3</w:t>
            </w:r>
          </w:p>
        </w:tc>
        <w:tc>
          <w:tcPr>
            <w:tcW w:w="728" w:type="pct"/>
          </w:tcPr>
          <w:p w14:paraId="2FC07418" w14:textId="22C004FB" w:rsidR="006562D4" w:rsidRPr="00166D19" w:rsidRDefault="00DB3089" w:rsidP="00C1083D">
            <w:pPr>
              <w:spacing w:after="0"/>
              <w:jc w:val="right"/>
              <w:rPr>
                <w:sz w:val="22"/>
                <w:szCs w:val="22"/>
              </w:rPr>
            </w:pPr>
            <w:r w:rsidRPr="00166D19">
              <w:rPr>
                <w:sz w:val="22"/>
                <w:szCs w:val="22"/>
              </w:rPr>
              <w:t>2</w:t>
            </w:r>
            <w:r w:rsidR="002E19A1" w:rsidRPr="00166D19">
              <w:rPr>
                <w:sz w:val="22"/>
                <w:szCs w:val="22"/>
              </w:rPr>
              <w:t>.</w:t>
            </w:r>
            <w:r w:rsidR="00C50899" w:rsidRPr="00166D19">
              <w:rPr>
                <w:sz w:val="22"/>
                <w:szCs w:val="22"/>
              </w:rPr>
              <w:t>993</w:t>
            </w:r>
            <w:r w:rsidR="002E19A1" w:rsidRPr="00166D19">
              <w:rPr>
                <w:sz w:val="22"/>
                <w:szCs w:val="22"/>
              </w:rPr>
              <w:t>,</w:t>
            </w:r>
            <w:r w:rsidR="004A7E9E" w:rsidRPr="00166D19">
              <w:rPr>
                <w:sz w:val="22"/>
                <w:szCs w:val="22"/>
              </w:rPr>
              <w:t>7</w:t>
            </w:r>
          </w:p>
        </w:tc>
      </w:tr>
      <w:tr w:rsidR="0006262C" w:rsidRPr="00110E46" w14:paraId="3D4AC16D" w14:textId="77777777" w:rsidTr="63259912">
        <w:tc>
          <w:tcPr>
            <w:tcW w:w="2274" w:type="pct"/>
          </w:tcPr>
          <w:p w14:paraId="48819133" w14:textId="48724077" w:rsidR="0006262C" w:rsidRPr="00166D19" w:rsidRDefault="0006262C" w:rsidP="00110E46">
            <w:pPr>
              <w:spacing w:after="0"/>
              <w:rPr>
                <w:sz w:val="22"/>
                <w:szCs w:val="22"/>
              </w:rPr>
            </w:pPr>
            <w:r w:rsidRPr="00166D19">
              <w:rPr>
                <w:sz w:val="22"/>
                <w:szCs w:val="22"/>
              </w:rPr>
              <w:t xml:space="preserve">Prema </w:t>
            </w:r>
            <w:r w:rsidR="006D7C2B" w:rsidRPr="00166D19">
              <w:rPr>
                <w:sz w:val="22"/>
                <w:szCs w:val="22"/>
              </w:rPr>
              <w:t>čl. 8</w:t>
            </w:r>
            <w:r w:rsidR="00851430" w:rsidRPr="00166D19">
              <w:rPr>
                <w:sz w:val="22"/>
                <w:szCs w:val="22"/>
              </w:rPr>
              <w:t xml:space="preserve"> Direktive</w:t>
            </w:r>
            <w:r w:rsidR="006D7C2B" w:rsidRPr="00166D19">
              <w:rPr>
                <w:sz w:val="22"/>
                <w:szCs w:val="22"/>
              </w:rPr>
              <w:t xml:space="preserve"> 2023/1791</w:t>
            </w:r>
          </w:p>
        </w:tc>
        <w:tc>
          <w:tcPr>
            <w:tcW w:w="631" w:type="pct"/>
          </w:tcPr>
          <w:p w14:paraId="2DAC2A52" w14:textId="15D2888E" w:rsidR="0006262C" w:rsidRPr="00166D19" w:rsidRDefault="0007099E" w:rsidP="00C1083D">
            <w:pPr>
              <w:spacing w:after="0"/>
              <w:jc w:val="right"/>
              <w:rPr>
                <w:sz w:val="22"/>
                <w:szCs w:val="22"/>
              </w:rPr>
            </w:pPr>
            <w:r w:rsidRPr="00166D19">
              <w:rPr>
                <w:sz w:val="22"/>
                <w:szCs w:val="22"/>
              </w:rPr>
              <w:t>3,9</w:t>
            </w:r>
          </w:p>
        </w:tc>
        <w:tc>
          <w:tcPr>
            <w:tcW w:w="639" w:type="pct"/>
          </w:tcPr>
          <w:p w14:paraId="40E048A2" w14:textId="6CA1DD86" w:rsidR="0006262C" w:rsidRPr="00166D19" w:rsidRDefault="002808A9" w:rsidP="00C1083D">
            <w:pPr>
              <w:spacing w:after="0"/>
              <w:jc w:val="right"/>
              <w:rPr>
                <w:sz w:val="22"/>
                <w:szCs w:val="22"/>
              </w:rPr>
            </w:pPr>
            <w:r w:rsidRPr="00166D19">
              <w:rPr>
                <w:sz w:val="22"/>
                <w:szCs w:val="22"/>
              </w:rPr>
              <w:t>93,1</w:t>
            </w:r>
          </w:p>
        </w:tc>
        <w:tc>
          <w:tcPr>
            <w:tcW w:w="728" w:type="pct"/>
          </w:tcPr>
          <w:p w14:paraId="774F3535" w14:textId="5427C706" w:rsidR="0006262C" w:rsidRPr="00166D19" w:rsidRDefault="00A93E89" w:rsidP="00C1083D">
            <w:pPr>
              <w:spacing w:after="0"/>
              <w:jc w:val="right"/>
              <w:rPr>
                <w:sz w:val="22"/>
                <w:szCs w:val="22"/>
              </w:rPr>
            </w:pPr>
            <w:r w:rsidRPr="00166D19">
              <w:rPr>
                <w:sz w:val="22"/>
                <w:szCs w:val="22"/>
              </w:rPr>
              <w:t>180,6</w:t>
            </w:r>
          </w:p>
        </w:tc>
        <w:tc>
          <w:tcPr>
            <w:tcW w:w="728" w:type="pct"/>
          </w:tcPr>
          <w:p w14:paraId="34B92199" w14:textId="710B3E4C" w:rsidR="0006262C" w:rsidRPr="00166D19" w:rsidRDefault="00425DAF" w:rsidP="00C1083D">
            <w:pPr>
              <w:spacing w:after="0"/>
              <w:jc w:val="right"/>
              <w:rPr>
                <w:sz w:val="22"/>
                <w:szCs w:val="22"/>
              </w:rPr>
            </w:pPr>
            <w:r w:rsidRPr="00166D19">
              <w:rPr>
                <w:sz w:val="22"/>
                <w:szCs w:val="22"/>
              </w:rPr>
              <w:t>4.313,6</w:t>
            </w:r>
          </w:p>
        </w:tc>
      </w:tr>
    </w:tbl>
    <w:p w14:paraId="3CA59092" w14:textId="77777777" w:rsidR="00FD481D" w:rsidRPr="00B47BDA" w:rsidRDefault="00FD481D" w:rsidP="004623DD">
      <w:pPr>
        <w:rPr>
          <w:highlight w:val="yellow"/>
        </w:rPr>
      </w:pPr>
    </w:p>
    <w:p w14:paraId="7D9A002E" w14:textId="32EF1056" w:rsidR="00FE1C60" w:rsidRPr="00416D38" w:rsidRDefault="009706CF" w:rsidP="00416D38">
      <w:pPr>
        <w:shd w:val="clear" w:color="auto" w:fill="DEEAF6" w:themeFill="accent1" w:themeFillTint="33"/>
        <w:rPr>
          <w:i/>
          <w:iCs/>
        </w:rPr>
      </w:pPr>
      <w:r w:rsidRPr="00416D38">
        <w:rPr>
          <w:i/>
          <w:iCs/>
        </w:rPr>
        <w:t>Indikativni ciljevi</w:t>
      </w:r>
      <w:r w:rsidR="009B4E57" w:rsidRPr="00416D38">
        <w:rPr>
          <w:i/>
          <w:iCs/>
        </w:rPr>
        <w:t xml:space="preserve"> dugoročne strategije obnove nacionalnog stambenog i nestambenog fonda zgrada</w:t>
      </w:r>
    </w:p>
    <w:p w14:paraId="5AFE31CB" w14:textId="1DD33C09" w:rsidR="00F72C88" w:rsidRPr="00B47BDA" w:rsidRDefault="00BE01BA" w:rsidP="00416D38">
      <w:bookmarkStart w:id="305" w:name="_Hlk133497180"/>
      <w:r>
        <w:t>S</w:t>
      </w:r>
      <w:r w:rsidR="003D4FB7" w:rsidRPr="00B47BDA">
        <w:t>ukladno Tehničkom propis</w:t>
      </w:r>
      <w:r w:rsidR="000E069F" w:rsidRPr="00B47BDA">
        <w:t>u</w:t>
      </w:r>
      <w:r w:rsidR="003D4FB7" w:rsidRPr="00B47BDA">
        <w:t xml:space="preserve"> o racionalnoj uporabi energije i toplinskoj zaštiti u zgradama,</w:t>
      </w:r>
      <w:r w:rsidR="000B2FC9">
        <w:t xml:space="preserve"> ako je zahtjev za izdavanje lokacijske ili građevinske dozvole </w:t>
      </w:r>
      <w:r w:rsidR="00CF1D04">
        <w:t xml:space="preserve">(za koju se ne izdaje lokacijska dozvola), podnesen </w:t>
      </w:r>
      <w:r w:rsidR="00E70608">
        <w:t>od</w:t>
      </w:r>
      <w:r w:rsidR="00CF1D04">
        <w:t xml:space="preserve"> 31. prosinca 2019. </w:t>
      </w:r>
      <w:r w:rsidR="00E70608">
        <w:t>godine</w:t>
      </w:r>
      <w:r w:rsidR="006833DF">
        <w:t>, glavni projekt zgrade mora biti izrađen u skladu sa zahtjevima</w:t>
      </w:r>
      <w:r w:rsidR="00037F4E">
        <w:t xml:space="preserve"> iz tog propisa za zgrade gotovo nulte energije, a za zgrade </w:t>
      </w:r>
      <w:r w:rsidR="000E64F5">
        <w:t>koje kao vlasnici koriste tijela javne vlasti obveza je nastupila od 31. prosinca 20</w:t>
      </w:r>
      <w:r w:rsidR="00DB0CE0">
        <w:t>17. godine</w:t>
      </w:r>
      <w:r w:rsidR="00F72C88" w:rsidRPr="00B47BDA">
        <w:t xml:space="preserve">. </w:t>
      </w:r>
      <w:r w:rsidR="00473B26" w:rsidRPr="00B47BDA">
        <w:t>Očekuje se da će r</w:t>
      </w:r>
      <w:r w:rsidR="00F72C88" w:rsidRPr="00B47BDA">
        <w:t>ast ukupnog stambenog fonda biti po prosječnoj stopi od cca 6</w:t>
      </w:r>
      <w:r w:rsidR="00E16791" w:rsidRPr="00B47BDA">
        <w:t>.</w:t>
      </w:r>
      <w:r w:rsidR="00F72C88" w:rsidRPr="00B47BDA">
        <w:t>600 stambenih jedinica od 2021. do 2030., 6</w:t>
      </w:r>
      <w:r w:rsidR="00E16791" w:rsidRPr="00B47BDA">
        <w:t>.</w:t>
      </w:r>
      <w:r w:rsidR="00F72C88" w:rsidRPr="00B47BDA">
        <w:t>300 od 2031. do 2040. i 6</w:t>
      </w:r>
      <w:r w:rsidR="00E16791" w:rsidRPr="00B47BDA">
        <w:t>.</w:t>
      </w:r>
      <w:r w:rsidR="00F72C88" w:rsidRPr="00B47BDA">
        <w:t xml:space="preserve">050 jedinica od 2041. do 2050. godine. </w:t>
      </w:r>
      <w:r w:rsidR="00D22A92" w:rsidRPr="00B47BDA">
        <w:t>Korisna površina stalno nastanjenih stambenih zgrada u 2020. godini umanjena za površinu novoizgrađenih i obnovljenih zgrada od 2011. godine iznosi 110.143.965 m², te ukupna korisna površina nestambenih zgrada u 2020. godini iznosi 58.722.937</w:t>
      </w:r>
      <w:r w:rsidR="00B83F08">
        <w:t> </w:t>
      </w:r>
      <w:r w:rsidR="00D22A92" w:rsidRPr="00B47BDA">
        <w:t>m². Od 110.143.965</w:t>
      </w:r>
      <w:r w:rsidR="00B83F08">
        <w:t> </w:t>
      </w:r>
      <w:r w:rsidR="00D22A92" w:rsidRPr="00B47BDA">
        <w:t>m² stambenih zgrada, 38,5</w:t>
      </w:r>
      <w:r w:rsidR="00B83F08">
        <w:t> </w:t>
      </w:r>
      <w:r w:rsidR="00D22A92" w:rsidRPr="00B47BDA">
        <w:t>% (42.395.923</w:t>
      </w:r>
      <w:r w:rsidR="00B83F08">
        <w:t> </w:t>
      </w:r>
      <w:r w:rsidR="00D22A92" w:rsidRPr="00B47BDA">
        <w:t>m²) čine višestambene zgrada, a 61,5</w:t>
      </w:r>
      <w:r w:rsidR="000A4E71" w:rsidRPr="00B47BDA">
        <w:t> </w:t>
      </w:r>
      <w:r w:rsidR="00D22A92" w:rsidRPr="00B47BDA">
        <w:t>% (67.748.042</w:t>
      </w:r>
      <w:r w:rsidR="001542F2">
        <w:t> </w:t>
      </w:r>
      <w:r w:rsidR="00D22A92" w:rsidRPr="00B47BDA">
        <w:t>m²) obiteljske kuće. Ukupna korisna površina u nestambenim zgradama iznosi 58.722.937 m², od čega 42.623.410 m² otpada na komercijalne zgrade i 16.099.527 m² na javne zgrada. Prosječna stopa obnove zgrada od 2021. do 2030. godine iznosi 2,0% (rast od 1,0</w:t>
      </w:r>
      <w:r w:rsidR="001542F2">
        <w:t> %</w:t>
      </w:r>
      <w:r w:rsidR="00D22A92" w:rsidRPr="00B47BDA">
        <w:t xml:space="preserve"> u 2021. do 3</w:t>
      </w:r>
      <w:r w:rsidR="001542F2">
        <w:t> </w:t>
      </w:r>
      <w:r w:rsidR="00D22A92" w:rsidRPr="00B47BDA">
        <w:t>% u 2030., od 2031. do 2040. 3,5</w:t>
      </w:r>
      <w:r w:rsidR="000A4E71" w:rsidRPr="00B47BDA">
        <w:t xml:space="preserve"> </w:t>
      </w:r>
      <w:r w:rsidR="00D22A92" w:rsidRPr="00B47BDA">
        <w:t>% te od 2041. do 2050. 4%</w:t>
      </w:r>
      <w:r w:rsidR="00874380">
        <w:t>)</w:t>
      </w:r>
      <w:r w:rsidR="00D22A92" w:rsidRPr="00B47BDA">
        <w:t xml:space="preserve">. </w:t>
      </w:r>
    </w:p>
    <w:p w14:paraId="64C921A5" w14:textId="06A89CEB" w:rsidR="00F72C88" w:rsidRPr="00B47BDA" w:rsidRDefault="0016463B" w:rsidP="00416D38">
      <w:r w:rsidRPr="00B47BDA">
        <w:t xml:space="preserve">Prosječna </w:t>
      </w:r>
      <w:r w:rsidR="005060F8" w:rsidRPr="00B47BDA">
        <w:t>neposredna</w:t>
      </w:r>
      <w:r w:rsidRPr="00B47BDA">
        <w:t xml:space="preserve"> potrošnja energije u stambenom sektoru će iznositi 30 kWh/m²a za </w:t>
      </w:r>
      <w:r w:rsidR="009F62CE" w:rsidRPr="00B47BDA">
        <w:t xml:space="preserve">novoizgrađene </w:t>
      </w:r>
      <w:r w:rsidRPr="00B47BDA">
        <w:t>i rekonstruirane zgrade, a očekuje se da i nestambeni sektor neće bitno odstupati od toga.</w:t>
      </w:r>
      <w:r w:rsidR="00F72C88" w:rsidRPr="00B47BDA">
        <w:t xml:space="preserve"> </w:t>
      </w:r>
    </w:p>
    <w:p w14:paraId="0D98AA42" w14:textId="642B3236" w:rsidR="00CA6EA5" w:rsidRPr="00B47BDA" w:rsidRDefault="00CA6EA5" w:rsidP="00416D38">
      <w:r w:rsidRPr="63259912">
        <w:t>Sukladno članku 2.a Direktive 2018/844 o energetskim svojstvima zgrada, RH je donijela Dugoročnu strategiju obnove nacionalnog fonda zgrada do 2050. godine, s planom mjera i pokazateljima za 2030., 2040. i 2050. godinu.</w:t>
      </w:r>
      <w:r w:rsidR="007C25D9" w:rsidRPr="63259912">
        <w:t xml:space="preserve"> </w:t>
      </w:r>
      <w:r w:rsidR="00AE4894" w:rsidRPr="63259912">
        <w:t xml:space="preserve">Ciljevi definirani u ovoj Strategiji su i dalje relevantni, ali </w:t>
      </w:r>
      <w:r w:rsidR="002A65D7" w:rsidRPr="63259912">
        <w:t>se ciljevi za pojedinačne segmente fonda zgrada dodatno razrađuju kroz pojedinačne programe energetske obnove zgrada</w:t>
      </w:r>
      <w:r w:rsidR="00A918C8" w:rsidRPr="63259912">
        <w:t>, koji su već usvojeni i u provedbi</w:t>
      </w:r>
      <w:r w:rsidR="00D20945" w:rsidRPr="63259912">
        <w:t>. Donošenje takvih programa u skladu je i s izmjenama i dopunama EPBD</w:t>
      </w:r>
      <w:r w:rsidR="00A918C8" w:rsidRPr="63259912">
        <w:t>, koja zahtjeva donošenje planova za pojedine segmente fonda zgrada</w:t>
      </w:r>
      <w:r w:rsidR="00D20945" w:rsidRPr="63259912">
        <w:t>.</w:t>
      </w:r>
      <w:r w:rsidR="00A918C8" w:rsidRPr="63259912">
        <w:t xml:space="preserve"> Treba istaknuti da je Dugoročna strat</w:t>
      </w:r>
      <w:r w:rsidR="0085544E" w:rsidRPr="63259912">
        <w:t>e</w:t>
      </w:r>
      <w:r w:rsidR="00A918C8" w:rsidRPr="63259912">
        <w:t xml:space="preserve">gija koncipirana na način da se do 2050. godine postigne cilj dekarboniziranog fonda zgrada te je time ona već izrazito ambiciozna. </w:t>
      </w:r>
    </w:p>
    <w:bookmarkEnd w:id="305"/>
    <w:p w14:paraId="493DD773" w14:textId="28F06CC1" w:rsidR="00FF0CF3" w:rsidRPr="00416D38" w:rsidRDefault="00AA317F" w:rsidP="00416D38">
      <w:pPr>
        <w:shd w:val="clear" w:color="auto" w:fill="DEEAF6" w:themeFill="accent1" w:themeFillTint="33"/>
        <w:rPr>
          <w:i/>
          <w:iCs/>
        </w:rPr>
      </w:pPr>
      <w:r w:rsidRPr="00416D38">
        <w:rPr>
          <w:i/>
          <w:iCs/>
        </w:rPr>
        <w:t xml:space="preserve">Ukupna površina </w:t>
      </w:r>
      <w:r w:rsidR="003F5FB0" w:rsidRPr="00416D38">
        <w:rPr>
          <w:i/>
          <w:iCs/>
        </w:rPr>
        <w:t>zgrada državne uprave koja se obn</w:t>
      </w:r>
      <w:r w:rsidR="00D43BFD" w:rsidRPr="00416D38">
        <w:rPr>
          <w:i/>
          <w:iCs/>
        </w:rPr>
        <w:t>a</w:t>
      </w:r>
      <w:r w:rsidR="003F5FB0" w:rsidRPr="00416D38">
        <w:rPr>
          <w:i/>
          <w:iCs/>
        </w:rPr>
        <w:t>vlja ili ekvivalentne uštede u razdoblju od 2021. do 2030. godine</w:t>
      </w:r>
      <w:r w:rsidR="001708DE" w:rsidRPr="00416D38">
        <w:rPr>
          <w:i/>
          <w:iCs/>
        </w:rPr>
        <w:t xml:space="preserve"> u skladu s člankom 5. o vodećoj ulozi javnog sektora Direktive </w:t>
      </w:r>
      <w:r w:rsidR="00EC128B" w:rsidRPr="00416D38">
        <w:rPr>
          <w:i/>
          <w:iCs/>
        </w:rPr>
        <w:t>2012/27/EU</w:t>
      </w:r>
      <w:r w:rsidR="00E478B5">
        <w:rPr>
          <w:i/>
          <w:iCs/>
        </w:rPr>
        <w:t xml:space="preserve"> o energetskoj učinkovitosti </w:t>
      </w:r>
    </w:p>
    <w:p w14:paraId="7B082BD4" w14:textId="77777777" w:rsidR="00A11260" w:rsidRDefault="002575AA" w:rsidP="00416D38">
      <w:r w:rsidRPr="00B47BDA">
        <w:lastRenderedPageBreak/>
        <w:t xml:space="preserve">U Republici Hrvatskoj je u 2010. godini evidentirano ukupno 13,8 milijuna </w:t>
      </w:r>
      <w:r w:rsidR="00562367" w:rsidRPr="00B47BDA">
        <w:t>m</w:t>
      </w:r>
      <w:r w:rsidR="00562367" w:rsidRPr="00B47BDA">
        <w:rPr>
          <w:vertAlign w:val="superscript"/>
        </w:rPr>
        <w:t>2</w:t>
      </w:r>
      <w:r w:rsidRPr="00B47BDA">
        <w:t xml:space="preserve"> korisne </w:t>
      </w:r>
      <w:r w:rsidR="00562367" w:rsidRPr="00B47BDA">
        <w:t>grijane</w:t>
      </w:r>
      <w:r w:rsidRPr="00B47BDA">
        <w:t xml:space="preserve"> površine zgrada javnog sektora, prema podacima </w:t>
      </w:r>
      <w:r w:rsidR="00945CCB" w:rsidRPr="00B47BDA">
        <w:t>i</w:t>
      </w:r>
      <w:r w:rsidRPr="00B47BDA">
        <w:t xml:space="preserve">z Nacionalnog informacijskog sustava za gospodarenje energijom. </w:t>
      </w:r>
      <w:r w:rsidR="00945CCB" w:rsidRPr="00B47BDA">
        <w:t>Za ostvarenje obveze obnove 3</w:t>
      </w:r>
      <w:r w:rsidR="00686FD5">
        <w:t xml:space="preserve"> </w:t>
      </w:r>
      <w:r w:rsidR="00945CCB" w:rsidRPr="00B47BDA">
        <w:t>% ukupne površine poda grijanih i/ili hlađenih zgrada u vlasništvu i uporabi središnje vlasti</w:t>
      </w:r>
      <w:r w:rsidR="0065233E" w:rsidRPr="00B47BDA">
        <w:t xml:space="preserve">, RH je u razdoblju do 2020. godine odabrala alternativni pristup, odnosno odredila je </w:t>
      </w:r>
      <w:r w:rsidR="00FC7930" w:rsidRPr="00B47BDA">
        <w:t xml:space="preserve">cilj u ekvivalentnim uštedama </w:t>
      </w:r>
      <w:r w:rsidR="0065233E" w:rsidRPr="00B47BDA">
        <w:t xml:space="preserve">od </w:t>
      </w:r>
      <w:r w:rsidR="006406E1" w:rsidRPr="00B47BDA">
        <w:t>0,</w:t>
      </w:r>
      <w:r w:rsidR="00E16791" w:rsidRPr="00B47BDA">
        <w:t xml:space="preserve">00489 </w:t>
      </w:r>
      <w:r w:rsidR="006406E1" w:rsidRPr="00B47BDA">
        <w:t xml:space="preserve">PJ godišnje. </w:t>
      </w:r>
    </w:p>
    <w:p w14:paraId="4ACAE374" w14:textId="69D1F571" w:rsidR="00F657BE" w:rsidRPr="00166D19" w:rsidRDefault="0DF384B2" w:rsidP="00416D38">
      <w:r w:rsidRPr="63259912">
        <w:t xml:space="preserve">Člankom 6. </w:t>
      </w:r>
      <w:r w:rsidR="009320DD" w:rsidRPr="63259912">
        <w:t>Direktive (EU) 2023/1791 Europskog parlamenta i Vijeća od 13. rujna 2023. o energetskoj učinkovitosti i izmjeni Uredbe (EU) 2023/955 (preinaka)</w:t>
      </w:r>
      <w:r w:rsidR="009B4A84" w:rsidRPr="63259912">
        <w:t xml:space="preserve"> </w:t>
      </w:r>
      <w:r w:rsidR="0007A85A" w:rsidRPr="63259912">
        <w:t xml:space="preserve">ova se obveza proširuje na </w:t>
      </w:r>
      <w:r w:rsidR="72AD8692" w:rsidRPr="63259912">
        <w:t>sve zgrade javnog sektora</w:t>
      </w:r>
      <w:r w:rsidR="31D65D3C" w:rsidRPr="63259912">
        <w:t xml:space="preserve"> veće od 250 m</w:t>
      </w:r>
      <w:r w:rsidR="31D65D3C" w:rsidRPr="63259912">
        <w:rPr>
          <w:vertAlign w:val="superscript"/>
        </w:rPr>
        <w:t>2</w:t>
      </w:r>
      <w:r w:rsidR="31D65D3C" w:rsidRPr="63259912">
        <w:t xml:space="preserve"> koje na </w:t>
      </w:r>
      <w:r w:rsidR="7F4D8C01" w:rsidRPr="63259912">
        <w:t xml:space="preserve">dan </w:t>
      </w:r>
      <w:r w:rsidR="31D65D3C" w:rsidRPr="63259912">
        <w:t>1.</w:t>
      </w:r>
      <w:r w:rsidR="00345AE2" w:rsidRPr="63259912">
        <w:t xml:space="preserve"> siječnja </w:t>
      </w:r>
      <w:r w:rsidR="31D65D3C" w:rsidRPr="63259912">
        <w:t>2024. godine nisu nZEB</w:t>
      </w:r>
      <w:r w:rsidR="7F4D8C01" w:rsidRPr="63259912">
        <w:t>. Obveza je obnoviti 3% tih zgrada</w:t>
      </w:r>
      <w:r w:rsidR="610B3614" w:rsidRPr="63259912">
        <w:t xml:space="preserve"> do nZEB ili ZEB standarda. </w:t>
      </w:r>
      <w:r w:rsidR="071D70B7" w:rsidRPr="63259912">
        <w:t xml:space="preserve">S obzirom da je proces transpozicije Direktive 2023/1791 u tijeku, </w:t>
      </w:r>
      <w:r w:rsidR="05DDAC37" w:rsidRPr="63259912">
        <w:t>izradit će se</w:t>
      </w:r>
      <w:r w:rsidR="071D70B7" w:rsidRPr="63259912">
        <w:t xml:space="preserve"> detaljne analize ove obveze i utvrditi</w:t>
      </w:r>
      <w:r w:rsidR="6E777495" w:rsidRPr="63259912">
        <w:t xml:space="preserve"> veličin</w:t>
      </w:r>
      <w:r w:rsidR="05DDAC37" w:rsidRPr="63259912">
        <w:t>a</w:t>
      </w:r>
      <w:r w:rsidR="6E777495" w:rsidRPr="63259912">
        <w:t xml:space="preserve"> ove obveze</w:t>
      </w:r>
      <w:r w:rsidR="05DDAC37" w:rsidRPr="63259912">
        <w:t xml:space="preserve"> – navedeno će se iskazati kroz novelaciju Programa energetske obnove zgrada javnog sektora</w:t>
      </w:r>
      <w:r w:rsidR="46831F4E" w:rsidRPr="63259912">
        <w:t>, koji je provedbena mjera definirana i u ovom NECP-u (</w:t>
      </w:r>
      <w:r w:rsidR="535CC573" w:rsidRPr="63259912">
        <w:t>ENU-5).</w:t>
      </w:r>
    </w:p>
    <w:p w14:paraId="31510B14" w14:textId="06ED6A7F" w:rsidR="009623EE" w:rsidRPr="00B47BDA" w:rsidRDefault="00BC33B7" w:rsidP="005C2C7E">
      <w:pPr>
        <w:pStyle w:val="Heading4"/>
        <w:numPr>
          <w:ilvl w:val="3"/>
          <w:numId w:val="175"/>
        </w:numPr>
        <w:ind w:hanging="580"/>
      </w:pPr>
      <w:r w:rsidRPr="00B47BDA">
        <w:t>Okvirne ključne etape</w:t>
      </w:r>
      <w:r w:rsidR="009623EE" w:rsidRPr="00B47BDA">
        <w:t xml:space="preserve"> za 2030., 2040. i 2050., mjerljivi pokazatelji napretka utvrđeni na domaćoj razini, procjena očekivanih ušteda i koristi utemeljena na dokazima, i njihovi doprinosi ciljevima energetske učinkovitosti Unije, kako</w:t>
      </w:r>
      <w:r w:rsidR="00E223DA" w:rsidRPr="00B47BDA">
        <w:t xml:space="preserve"> </w:t>
      </w:r>
      <w:r w:rsidR="009623EE" w:rsidRPr="00B47BDA">
        <w:t>su</w:t>
      </w:r>
      <w:r w:rsidR="00E223DA" w:rsidRPr="00B47BDA">
        <w:t xml:space="preserve"> </w:t>
      </w:r>
      <w:r w:rsidR="009623EE" w:rsidRPr="00B47BDA">
        <w:t>uključeni u</w:t>
      </w:r>
      <w:r w:rsidR="00E223DA" w:rsidRPr="00B47BDA">
        <w:t xml:space="preserve"> </w:t>
      </w:r>
      <w:r w:rsidR="009623EE" w:rsidRPr="00B47BDA">
        <w:t>planove</w:t>
      </w:r>
      <w:r w:rsidR="00E223DA" w:rsidRPr="00B47BDA">
        <w:t xml:space="preserve"> </w:t>
      </w:r>
      <w:r w:rsidR="009623EE" w:rsidRPr="00B47BDA">
        <w:t>utvrđene u</w:t>
      </w:r>
      <w:r w:rsidR="00E223DA" w:rsidRPr="00B47BDA">
        <w:t xml:space="preserve"> </w:t>
      </w:r>
      <w:r w:rsidR="009623EE" w:rsidRPr="00B47BDA">
        <w:t>strategijama</w:t>
      </w:r>
      <w:r w:rsidR="00E223DA" w:rsidRPr="00B47BDA">
        <w:t xml:space="preserve"> </w:t>
      </w:r>
      <w:r w:rsidR="009623EE" w:rsidRPr="00B47BDA">
        <w:t>za</w:t>
      </w:r>
      <w:r w:rsidR="00E223DA" w:rsidRPr="00B47BDA">
        <w:t xml:space="preserve"> </w:t>
      </w:r>
      <w:r w:rsidR="009623EE" w:rsidRPr="00B47BDA">
        <w:t>dugoročnu obnovu nacionalnog fonda stambenih i nestambenih zgrada (javnih i privatnih), u skladu s člankom 2.a Direktive 2010/31/EU</w:t>
      </w:r>
    </w:p>
    <w:p w14:paraId="314DBF8B" w14:textId="36C1F101" w:rsidR="000D269F" w:rsidRDefault="42FE604B" w:rsidP="004623DD">
      <w:r w:rsidRPr="63259912">
        <w:t>Sukladno</w:t>
      </w:r>
      <w:r w:rsidR="05F7EAF0" w:rsidRPr="63259912">
        <w:t xml:space="preserve"> članku 2.a Direktive 2018/844 o energetskim svojstvima zgrada, RH </w:t>
      </w:r>
      <w:r w:rsidRPr="63259912">
        <w:t>je donijela</w:t>
      </w:r>
      <w:r w:rsidR="05F7EAF0" w:rsidRPr="63259912">
        <w:t xml:space="preserve"> Dugoročnu strategiju </w:t>
      </w:r>
      <w:r w:rsidRPr="63259912">
        <w:t>obnove</w:t>
      </w:r>
      <w:r w:rsidR="05F7EAF0" w:rsidRPr="63259912">
        <w:t xml:space="preserve"> nacionalnog fonda zgrada</w:t>
      </w:r>
      <w:r w:rsidR="338A3F3F" w:rsidRPr="63259912">
        <w:t xml:space="preserve"> do 2050. godine (29. sjednica VRH, 14. prosinca 2020.)</w:t>
      </w:r>
      <w:r w:rsidR="05F7EAF0" w:rsidRPr="63259912">
        <w:t>, s planom mjera i pokazateljima za 2030., 2040. i 2050. godinu</w:t>
      </w:r>
      <w:r w:rsidR="7E8B5316" w:rsidRPr="63259912">
        <w:t xml:space="preserve">. </w:t>
      </w:r>
      <w:r w:rsidR="0ECE2F5E" w:rsidRPr="63259912">
        <w:t xml:space="preserve">Stopa obnove zgrada </w:t>
      </w:r>
      <w:r w:rsidR="096ACD34" w:rsidRPr="63259912">
        <w:t>prema tekstu</w:t>
      </w:r>
      <w:r w:rsidR="109299A3" w:rsidRPr="63259912">
        <w:t xml:space="preserve"> </w:t>
      </w:r>
      <w:r w:rsidR="096ACD34" w:rsidRPr="63259912">
        <w:t>Dugoročne str</w:t>
      </w:r>
      <w:r w:rsidR="4A94144E" w:rsidRPr="63259912">
        <w:t xml:space="preserve">ategije u razdoblju od 2021. – 2030. godine raste s </w:t>
      </w:r>
      <w:r w:rsidR="04C9EC63" w:rsidRPr="63259912">
        <w:t>aktualnih</w:t>
      </w:r>
      <w:r w:rsidR="4A94144E" w:rsidRPr="63259912">
        <w:t xml:space="preserve"> 1,0</w:t>
      </w:r>
      <w:r w:rsidR="4F726A19" w:rsidRPr="63259912">
        <w:t xml:space="preserve"> </w:t>
      </w:r>
      <w:r w:rsidR="4A94144E" w:rsidRPr="63259912">
        <w:t>% godišnje na 3</w:t>
      </w:r>
      <w:r w:rsidR="4F726A19" w:rsidRPr="63259912">
        <w:t xml:space="preserve"> </w:t>
      </w:r>
      <w:r w:rsidR="4A94144E" w:rsidRPr="63259912">
        <w:t>% godišnje u 2030. godini te se podiže na 3,5</w:t>
      </w:r>
      <w:r w:rsidR="4F726A19" w:rsidRPr="63259912">
        <w:t xml:space="preserve"> </w:t>
      </w:r>
      <w:r w:rsidR="4A94144E" w:rsidRPr="63259912">
        <w:t xml:space="preserve">% u razdoblju do </w:t>
      </w:r>
      <w:r w:rsidR="38253985" w:rsidRPr="63259912">
        <w:t>2040. godine i 4</w:t>
      </w:r>
      <w:r w:rsidR="4F726A19" w:rsidRPr="63259912">
        <w:t xml:space="preserve"> </w:t>
      </w:r>
      <w:r w:rsidR="38253985" w:rsidRPr="63259912">
        <w:t>% do 2050. godine. Povećana stopa obnov</w:t>
      </w:r>
      <w:r w:rsidR="3E520113" w:rsidRPr="63259912">
        <w:t xml:space="preserve">e </w:t>
      </w:r>
      <w:r w:rsidR="584600F0" w:rsidRPr="63259912">
        <w:t xml:space="preserve">iskazana u Dugoročnoj strategiji </w:t>
      </w:r>
      <w:r w:rsidR="13C2291A" w:rsidRPr="63259912">
        <w:t xml:space="preserve">rezultat je znatno </w:t>
      </w:r>
      <w:r w:rsidR="2C68EB8E" w:rsidRPr="63259912">
        <w:t xml:space="preserve">niže </w:t>
      </w:r>
      <w:r w:rsidR="13C2291A" w:rsidRPr="63259912">
        <w:t>stope demolacije zgrada</w:t>
      </w:r>
      <w:r w:rsidR="2C68EB8E" w:rsidRPr="63259912">
        <w:t xml:space="preserve"> koja opisuje količinu zgrada koje </w:t>
      </w:r>
      <w:r w:rsidR="6DDA41EB" w:rsidRPr="63259912">
        <w:t>se napuštaju ili uklanjaju (u pogledu potrošnje energije, zgrade koje se ne koriste ne predstavljaju opterećenje</w:t>
      </w:r>
      <w:r w:rsidR="4AA85B59" w:rsidRPr="63259912">
        <w:t xml:space="preserve"> energetskog</w:t>
      </w:r>
      <w:r w:rsidR="6DDA41EB" w:rsidRPr="63259912">
        <w:t xml:space="preserve"> sustava, ali</w:t>
      </w:r>
      <w:r w:rsidR="53D3388C" w:rsidRPr="63259912">
        <w:t xml:space="preserve"> obaveza dekarbonizacije ukupnog fonda zgrada do 2050. godine proizvodi potrebu obnove</w:t>
      </w:r>
      <w:r w:rsidR="4AA85B59" w:rsidRPr="63259912">
        <w:t xml:space="preserve"> </w:t>
      </w:r>
      <w:r w:rsidR="3FF9DF7B" w:rsidRPr="63259912">
        <w:t xml:space="preserve">i zgrada koje se ne koriste, odnosno potrebu za povećanjem intenziteta obnovu u odnosu na intenzitet novogradnje). </w:t>
      </w:r>
    </w:p>
    <w:p w14:paraId="39B5BA09" w14:textId="68D43910" w:rsidR="00DE7F11" w:rsidRPr="00B47BDA" w:rsidRDefault="00DE7F11" w:rsidP="00746014">
      <w:pPr>
        <w:pStyle w:val="Caption"/>
        <w:spacing w:before="360"/>
      </w:pPr>
      <w:bookmarkStart w:id="306" w:name="_Toc193035950"/>
      <w:r w:rsidRPr="00B47BDA">
        <w:t xml:space="preserve">Tablica </w:t>
      </w:r>
      <w:r>
        <w:fldChar w:fldCharType="begin"/>
      </w:r>
      <w:r>
        <w:instrText>STYLEREF 1 \s</w:instrText>
      </w:r>
      <w:r>
        <w:fldChar w:fldCharType="separate"/>
      </w:r>
      <w:r w:rsidR="00AD324D">
        <w:rPr>
          <w:noProof/>
        </w:rPr>
        <w:t>2</w:t>
      </w:r>
      <w:r>
        <w:fldChar w:fldCharType="end"/>
      </w:r>
      <w:r w:rsidRPr="00B47BDA">
        <w:noBreakHyphen/>
      </w:r>
      <w:r>
        <w:fldChar w:fldCharType="begin"/>
      </w:r>
      <w:r>
        <w:instrText>SEQ Tablica \* ARABIC \s 1</w:instrText>
      </w:r>
      <w:r>
        <w:fldChar w:fldCharType="separate"/>
      </w:r>
      <w:r w:rsidR="00AD324D">
        <w:rPr>
          <w:noProof/>
        </w:rPr>
        <w:t>9</w:t>
      </w:r>
      <w:r>
        <w:fldChar w:fldCharType="end"/>
      </w:r>
      <w:r w:rsidR="00EE7A41" w:rsidRPr="00B47BDA">
        <w:t>.</w:t>
      </w:r>
      <w:r w:rsidRPr="00B47BDA">
        <w:t xml:space="preserve"> Indikativni ciljevi energetske obnove zgrada prema </w:t>
      </w:r>
      <w:r w:rsidR="00DE1C73" w:rsidRPr="00B47BDA">
        <w:t>Dugoročnoj strategiji</w:t>
      </w:r>
      <w:r w:rsidR="00DE1C73" w:rsidRPr="00B47BDA" w:rsidDel="00DE1C73">
        <w:t xml:space="preserve"> </w:t>
      </w:r>
      <w:r w:rsidR="003918CE" w:rsidRPr="00B47BDA">
        <w:t>obnove nacionalnog fonda zgrada do 2050. godine</w:t>
      </w:r>
      <w:bookmarkEnd w:id="306"/>
    </w:p>
    <w:tbl>
      <w:tblPr>
        <w:tblStyle w:val="NEC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1276"/>
        <w:gridCol w:w="1276"/>
        <w:gridCol w:w="1220"/>
      </w:tblGrid>
      <w:tr w:rsidR="00177314" w:rsidRPr="00686FD5" w14:paraId="621727BA" w14:textId="77777777" w:rsidTr="00C5457D">
        <w:trPr>
          <w:cnfStyle w:val="100000000000" w:firstRow="1" w:lastRow="0" w:firstColumn="0" w:lastColumn="0" w:oddVBand="0" w:evenVBand="0" w:oddHBand="0" w:evenHBand="0" w:firstRowFirstColumn="0" w:firstRowLastColumn="0" w:lastRowFirstColumn="0" w:lastRowLastColumn="0"/>
          <w:trHeight w:val="340"/>
        </w:trPr>
        <w:tc>
          <w:tcPr>
            <w:tcW w:w="3959" w:type="dxa"/>
            <w:shd w:val="clear" w:color="auto" w:fill="D9E2F3" w:themeFill="accent5" w:themeFillTint="33"/>
            <w:noWrap/>
            <w:hideMark/>
          </w:tcPr>
          <w:p w14:paraId="3ECCB230" w14:textId="77777777" w:rsidR="00784DCD" w:rsidRPr="00166D19" w:rsidRDefault="00784DCD" w:rsidP="00686FD5">
            <w:pPr>
              <w:spacing w:after="0"/>
              <w:rPr>
                <w:sz w:val="22"/>
                <w:szCs w:val="22"/>
              </w:rPr>
            </w:pPr>
          </w:p>
        </w:tc>
        <w:tc>
          <w:tcPr>
            <w:tcW w:w="1276" w:type="dxa"/>
            <w:shd w:val="clear" w:color="auto" w:fill="D9E2F3" w:themeFill="accent5" w:themeFillTint="33"/>
          </w:tcPr>
          <w:p w14:paraId="39D49C6B" w14:textId="7B0D5C08" w:rsidR="00784DCD" w:rsidRPr="00166D19" w:rsidRDefault="00CE670E" w:rsidP="009E3A45">
            <w:pPr>
              <w:spacing w:after="0"/>
              <w:jc w:val="center"/>
              <w:rPr>
                <w:sz w:val="22"/>
                <w:szCs w:val="22"/>
              </w:rPr>
            </w:pPr>
            <w:r w:rsidRPr="00166D19">
              <w:rPr>
                <w:sz w:val="22"/>
                <w:szCs w:val="22"/>
              </w:rPr>
              <w:t>2030.</w:t>
            </w:r>
          </w:p>
        </w:tc>
        <w:tc>
          <w:tcPr>
            <w:tcW w:w="1276" w:type="dxa"/>
            <w:shd w:val="clear" w:color="auto" w:fill="D9E2F3" w:themeFill="accent5" w:themeFillTint="33"/>
            <w:noWrap/>
            <w:hideMark/>
          </w:tcPr>
          <w:p w14:paraId="4DDCBC78" w14:textId="58972789" w:rsidR="00784DCD" w:rsidRPr="00166D19" w:rsidRDefault="00784DCD" w:rsidP="009E3A45">
            <w:pPr>
              <w:spacing w:after="0"/>
              <w:jc w:val="center"/>
              <w:rPr>
                <w:sz w:val="22"/>
                <w:szCs w:val="22"/>
              </w:rPr>
            </w:pPr>
            <w:r w:rsidRPr="00166D19">
              <w:rPr>
                <w:sz w:val="22"/>
                <w:szCs w:val="22"/>
              </w:rPr>
              <w:t>2040.</w:t>
            </w:r>
          </w:p>
        </w:tc>
        <w:tc>
          <w:tcPr>
            <w:tcW w:w="1220" w:type="dxa"/>
            <w:shd w:val="clear" w:color="auto" w:fill="D9E2F3" w:themeFill="accent5" w:themeFillTint="33"/>
            <w:noWrap/>
            <w:hideMark/>
          </w:tcPr>
          <w:p w14:paraId="28372A0D" w14:textId="77777777" w:rsidR="00784DCD" w:rsidRPr="00166D19" w:rsidRDefault="00784DCD" w:rsidP="009E3A45">
            <w:pPr>
              <w:spacing w:after="0"/>
              <w:jc w:val="center"/>
              <w:rPr>
                <w:sz w:val="22"/>
                <w:szCs w:val="22"/>
              </w:rPr>
            </w:pPr>
            <w:r w:rsidRPr="00166D19">
              <w:rPr>
                <w:sz w:val="22"/>
                <w:szCs w:val="22"/>
              </w:rPr>
              <w:t>2050.</w:t>
            </w:r>
          </w:p>
        </w:tc>
      </w:tr>
      <w:tr w:rsidR="00177314" w:rsidRPr="00686FD5" w14:paraId="03557B29" w14:textId="77777777" w:rsidTr="00C5457D">
        <w:trPr>
          <w:trHeight w:val="300"/>
        </w:trPr>
        <w:tc>
          <w:tcPr>
            <w:tcW w:w="3959" w:type="dxa"/>
            <w:noWrap/>
            <w:hideMark/>
          </w:tcPr>
          <w:p w14:paraId="433F5174" w14:textId="43E9B4EE" w:rsidR="00D812C3" w:rsidRPr="00166D19" w:rsidRDefault="00F745FC" w:rsidP="00686FD5">
            <w:pPr>
              <w:spacing w:after="0"/>
              <w:rPr>
                <w:sz w:val="22"/>
                <w:szCs w:val="22"/>
              </w:rPr>
            </w:pPr>
            <w:r w:rsidRPr="00166D19">
              <w:rPr>
                <w:sz w:val="22"/>
                <w:szCs w:val="22"/>
              </w:rPr>
              <w:t>U</w:t>
            </w:r>
            <w:r w:rsidR="00D812C3" w:rsidRPr="00166D19">
              <w:rPr>
                <w:sz w:val="22"/>
                <w:szCs w:val="22"/>
              </w:rPr>
              <w:t xml:space="preserve">kupno obnovljene zgrade </w:t>
            </w:r>
          </w:p>
        </w:tc>
        <w:tc>
          <w:tcPr>
            <w:tcW w:w="1276" w:type="dxa"/>
          </w:tcPr>
          <w:p w14:paraId="690FF091" w14:textId="4A908E8D" w:rsidR="00D812C3" w:rsidRPr="00166D19" w:rsidRDefault="00D812C3" w:rsidP="003D5F52">
            <w:pPr>
              <w:spacing w:after="0"/>
              <w:jc w:val="right"/>
              <w:rPr>
                <w:sz w:val="22"/>
                <w:szCs w:val="22"/>
              </w:rPr>
            </w:pPr>
            <w:r w:rsidRPr="00166D19">
              <w:rPr>
                <w:sz w:val="22"/>
                <w:szCs w:val="22"/>
              </w:rPr>
              <w:t>30.838.830</w:t>
            </w:r>
          </w:p>
        </w:tc>
        <w:tc>
          <w:tcPr>
            <w:tcW w:w="1276" w:type="dxa"/>
            <w:noWrap/>
            <w:hideMark/>
          </w:tcPr>
          <w:p w14:paraId="6F24A215" w14:textId="2A53B9E9" w:rsidR="00D812C3" w:rsidRPr="00166D19" w:rsidRDefault="00D812C3" w:rsidP="003D5F52">
            <w:pPr>
              <w:spacing w:after="0"/>
              <w:jc w:val="right"/>
              <w:rPr>
                <w:sz w:val="22"/>
                <w:szCs w:val="22"/>
              </w:rPr>
            </w:pPr>
            <w:r w:rsidRPr="00166D19">
              <w:rPr>
                <w:sz w:val="22"/>
                <w:szCs w:val="22"/>
              </w:rPr>
              <w:t>41.063.535</w:t>
            </w:r>
          </w:p>
        </w:tc>
        <w:tc>
          <w:tcPr>
            <w:tcW w:w="1220" w:type="dxa"/>
            <w:noWrap/>
            <w:hideMark/>
          </w:tcPr>
          <w:p w14:paraId="6B6B02C0" w14:textId="77777777" w:rsidR="00D812C3" w:rsidRPr="00166D19" w:rsidRDefault="00D812C3" w:rsidP="003D5F52">
            <w:pPr>
              <w:spacing w:after="0"/>
              <w:jc w:val="right"/>
              <w:rPr>
                <w:sz w:val="22"/>
                <w:szCs w:val="22"/>
              </w:rPr>
            </w:pPr>
            <w:r w:rsidRPr="00166D19">
              <w:rPr>
                <w:sz w:val="22"/>
                <w:szCs w:val="22"/>
              </w:rPr>
              <w:t>32.099.102</w:t>
            </w:r>
          </w:p>
        </w:tc>
      </w:tr>
      <w:tr w:rsidR="00177314" w:rsidRPr="00686FD5" w14:paraId="733374F3" w14:textId="77777777" w:rsidTr="00C5457D">
        <w:trPr>
          <w:trHeight w:val="300"/>
        </w:trPr>
        <w:tc>
          <w:tcPr>
            <w:tcW w:w="3959" w:type="dxa"/>
            <w:noWrap/>
            <w:hideMark/>
          </w:tcPr>
          <w:p w14:paraId="01628DAB" w14:textId="5728A9DA" w:rsidR="00D812C3" w:rsidRPr="00166D19" w:rsidRDefault="00F745FC" w:rsidP="00686FD5">
            <w:pPr>
              <w:spacing w:after="0"/>
              <w:rPr>
                <w:sz w:val="22"/>
                <w:szCs w:val="22"/>
              </w:rPr>
            </w:pPr>
            <w:r w:rsidRPr="00166D19">
              <w:rPr>
                <w:sz w:val="22"/>
                <w:szCs w:val="22"/>
              </w:rPr>
              <w:t>O</w:t>
            </w:r>
            <w:r w:rsidR="00D812C3" w:rsidRPr="00166D19">
              <w:rPr>
                <w:sz w:val="22"/>
                <w:szCs w:val="22"/>
              </w:rPr>
              <w:t>bnovljene stambene zgrade</w:t>
            </w:r>
          </w:p>
        </w:tc>
        <w:tc>
          <w:tcPr>
            <w:tcW w:w="1276" w:type="dxa"/>
          </w:tcPr>
          <w:p w14:paraId="4C7BC419" w14:textId="26B98394" w:rsidR="00D812C3" w:rsidRPr="00166D19" w:rsidRDefault="00D812C3" w:rsidP="003D5F52">
            <w:pPr>
              <w:spacing w:after="0"/>
              <w:jc w:val="right"/>
              <w:rPr>
                <w:sz w:val="22"/>
                <w:szCs w:val="22"/>
              </w:rPr>
            </w:pPr>
            <w:r w:rsidRPr="00166D19">
              <w:rPr>
                <w:sz w:val="22"/>
                <w:szCs w:val="22"/>
              </w:rPr>
              <w:t>20.171.751</w:t>
            </w:r>
          </w:p>
        </w:tc>
        <w:tc>
          <w:tcPr>
            <w:tcW w:w="1276" w:type="dxa"/>
            <w:noWrap/>
            <w:hideMark/>
          </w:tcPr>
          <w:p w14:paraId="3CE18E52" w14:textId="38AF301E" w:rsidR="00D812C3" w:rsidRPr="00166D19" w:rsidRDefault="00D812C3" w:rsidP="003D5F52">
            <w:pPr>
              <w:spacing w:after="0"/>
              <w:jc w:val="right"/>
              <w:rPr>
                <w:sz w:val="22"/>
                <w:szCs w:val="22"/>
              </w:rPr>
            </w:pPr>
            <w:r w:rsidRPr="00166D19">
              <w:rPr>
                <w:sz w:val="22"/>
                <w:szCs w:val="22"/>
              </w:rPr>
              <w:t>26.966.267</w:t>
            </w:r>
          </w:p>
        </w:tc>
        <w:tc>
          <w:tcPr>
            <w:tcW w:w="1220" w:type="dxa"/>
            <w:noWrap/>
            <w:hideMark/>
          </w:tcPr>
          <w:p w14:paraId="341DB848" w14:textId="33D5AF43" w:rsidR="00D812C3" w:rsidRPr="00166D19" w:rsidRDefault="00D812C3" w:rsidP="003D5F52">
            <w:pPr>
              <w:spacing w:after="0"/>
              <w:jc w:val="right"/>
              <w:rPr>
                <w:sz w:val="22"/>
                <w:szCs w:val="22"/>
              </w:rPr>
            </w:pPr>
            <w:r w:rsidRPr="00166D19">
              <w:rPr>
                <w:sz w:val="22"/>
                <w:szCs w:val="22"/>
              </w:rPr>
              <w:t>21.117.537</w:t>
            </w:r>
          </w:p>
        </w:tc>
      </w:tr>
      <w:tr w:rsidR="00177314" w:rsidRPr="00686FD5" w14:paraId="5C910E32" w14:textId="77777777" w:rsidTr="00C5457D">
        <w:trPr>
          <w:trHeight w:val="300"/>
        </w:trPr>
        <w:tc>
          <w:tcPr>
            <w:tcW w:w="3959" w:type="dxa"/>
            <w:noWrap/>
            <w:hideMark/>
          </w:tcPr>
          <w:p w14:paraId="181A8378" w14:textId="47E1A31D" w:rsidR="00D812C3" w:rsidRPr="00166D19" w:rsidRDefault="00F745FC" w:rsidP="00686FD5">
            <w:pPr>
              <w:spacing w:after="0"/>
              <w:rPr>
                <w:sz w:val="22"/>
                <w:szCs w:val="22"/>
              </w:rPr>
            </w:pPr>
            <w:r w:rsidRPr="00166D19">
              <w:rPr>
                <w:sz w:val="22"/>
                <w:szCs w:val="22"/>
              </w:rPr>
              <w:t>C</w:t>
            </w:r>
            <w:r w:rsidR="00D812C3" w:rsidRPr="00166D19">
              <w:rPr>
                <w:sz w:val="22"/>
                <w:szCs w:val="22"/>
              </w:rPr>
              <w:t xml:space="preserve">iljana </w:t>
            </w:r>
            <w:r w:rsidR="00DA3D19" w:rsidRPr="00166D19">
              <w:rPr>
                <w:sz w:val="22"/>
                <w:szCs w:val="22"/>
              </w:rPr>
              <w:t xml:space="preserve">godišnja </w:t>
            </w:r>
            <w:r w:rsidR="00D812C3" w:rsidRPr="00166D19">
              <w:rPr>
                <w:sz w:val="22"/>
                <w:szCs w:val="22"/>
              </w:rPr>
              <w:t>stopa energetske obnove</w:t>
            </w:r>
          </w:p>
        </w:tc>
        <w:tc>
          <w:tcPr>
            <w:tcW w:w="1276" w:type="dxa"/>
          </w:tcPr>
          <w:p w14:paraId="6F2550D5" w14:textId="234C1B53" w:rsidR="00D812C3" w:rsidRPr="00166D19" w:rsidRDefault="00D812C3" w:rsidP="003D5F52">
            <w:pPr>
              <w:spacing w:after="0"/>
              <w:jc w:val="right"/>
              <w:rPr>
                <w:sz w:val="22"/>
                <w:szCs w:val="22"/>
              </w:rPr>
            </w:pPr>
            <w:r w:rsidRPr="00166D19">
              <w:rPr>
                <w:sz w:val="22"/>
                <w:szCs w:val="22"/>
              </w:rPr>
              <w:t>2 %</w:t>
            </w:r>
          </w:p>
        </w:tc>
        <w:tc>
          <w:tcPr>
            <w:tcW w:w="1276" w:type="dxa"/>
            <w:noWrap/>
            <w:hideMark/>
          </w:tcPr>
          <w:p w14:paraId="4C32495E" w14:textId="39C11732" w:rsidR="00D812C3" w:rsidRPr="00166D19" w:rsidRDefault="00D812C3" w:rsidP="003D5F52">
            <w:pPr>
              <w:spacing w:after="0"/>
              <w:jc w:val="right"/>
              <w:rPr>
                <w:sz w:val="22"/>
                <w:szCs w:val="22"/>
              </w:rPr>
            </w:pPr>
            <w:r w:rsidRPr="00166D19">
              <w:rPr>
                <w:sz w:val="22"/>
                <w:szCs w:val="22"/>
              </w:rPr>
              <w:t>3,5 %</w:t>
            </w:r>
          </w:p>
        </w:tc>
        <w:tc>
          <w:tcPr>
            <w:tcW w:w="1220" w:type="dxa"/>
            <w:noWrap/>
            <w:hideMark/>
          </w:tcPr>
          <w:p w14:paraId="40356C85" w14:textId="3FA39D0D" w:rsidR="00D812C3" w:rsidRPr="00166D19" w:rsidRDefault="00D812C3" w:rsidP="003D5F52">
            <w:pPr>
              <w:spacing w:after="0"/>
              <w:jc w:val="right"/>
              <w:rPr>
                <w:sz w:val="22"/>
                <w:szCs w:val="22"/>
              </w:rPr>
            </w:pPr>
            <w:r w:rsidRPr="00166D19">
              <w:rPr>
                <w:sz w:val="22"/>
                <w:szCs w:val="22"/>
              </w:rPr>
              <w:t>4 %</w:t>
            </w:r>
          </w:p>
        </w:tc>
      </w:tr>
      <w:tr w:rsidR="00177314" w:rsidRPr="00686FD5" w14:paraId="5C9586CC" w14:textId="77777777" w:rsidTr="00C5457D">
        <w:trPr>
          <w:trHeight w:val="300"/>
        </w:trPr>
        <w:tc>
          <w:tcPr>
            <w:tcW w:w="3959" w:type="dxa"/>
            <w:noWrap/>
            <w:hideMark/>
          </w:tcPr>
          <w:p w14:paraId="43DA72E0" w14:textId="1F43A530" w:rsidR="00D812C3" w:rsidRPr="00166D19" w:rsidRDefault="00F745FC" w:rsidP="00686FD5">
            <w:pPr>
              <w:spacing w:after="0"/>
              <w:rPr>
                <w:sz w:val="22"/>
                <w:szCs w:val="22"/>
              </w:rPr>
            </w:pPr>
            <w:r w:rsidRPr="00166D19">
              <w:rPr>
                <w:sz w:val="22"/>
                <w:szCs w:val="22"/>
              </w:rPr>
              <w:t>O</w:t>
            </w:r>
            <w:r w:rsidR="00D812C3" w:rsidRPr="00166D19">
              <w:rPr>
                <w:sz w:val="22"/>
                <w:szCs w:val="22"/>
              </w:rPr>
              <w:t>bnovljene nestambene zgrade</w:t>
            </w:r>
          </w:p>
        </w:tc>
        <w:tc>
          <w:tcPr>
            <w:tcW w:w="1276" w:type="dxa"/>
          </w:tcPr>
          <w:p w14:paraId="096FA026" w14:textId="6819BE57" w:rsidR="00D812C3" w:rsidRPr="00166D19" w:rsidRDefault="00D812C3" w:rsidP="003D5F52">
            <w:pPr>
              <w:spacing w:after="0"/>
              <w:jc w:val="right"/>
              <w:rPr>
                <w:sz w:val="22"/>
                <w:szCs w:val="22"/>
              </w:rPr>
            </w:pPr>
            <w:r w:rsidRPr="00166D19">
              <w:rPr>
                <w:sz w:val="22"/>
                <w:szCs w:val="22"/>
              </w:rPr>
              <w:t>10.667.079</w:t>
            </w:r>
          </w:p>
        </w:tc>
        <w:tc>
          <w:tcPr>
            <w:tcW w:w="1276" w:type="dxa"/>
            <w:noWrap/>
            <w:hideMark/>
          </w:tcPr>
          <w:p w14:paraId="2E75C5A1" w14:textId="5EFF7670" w:rsidR="00D812C3" w:rsidRPr="00166D19" w:rsidRDefault="00D812C3" w:rsidP="003D5F52">
            <w:pPr>
              <w:spacing w:after="0"/>
              <w:jc w:val="right"/>
              <w:rPr>
                <w:sz w:val="22"/>
                <w:szCs w:val="22"/>
              </w:rPr>
            </w:pPr>
            <w:r w:rsidRPr="00166D19">
              <w:rPr>
                <w:sz w:val="22"/>
                <w:szCs w:val="22"/>
              </w:rPr>
              <w:t>14.097.268</w:t>
            </w:r>
          </w:p>
        </w:tc>
        <w:tc>
          <w:tcPr>
            <w:tcW w:w="1220" w:type="dxa"/>
            <w:noWrap/>
            <w:hideMark/>
          </w:tcPr>
          <w:p w14:paraId="772B8B8D" w14:textId="77777777" w:rsidR="00D812C3" w:rsidRPr="00166D19" w:rsidRDefault="00D812C3" w:rsidP="003D5F52">
            <w:pPr>
              <w:spacing w:after="0"/>
              <w:jc w:val="right"/>
              <w:rPr>
                <w:sz w:val="22"/>
                <w:szCs w:val="22"/>
              </w:rPr>
            </w:pPr>
            <w:r w:rsidRPr="00166D19">
              <w:rPr>
                <w:sz w:val="22"/>
                <w:szCs w:val="22"/>
              </w:rPr>
              <w:t>10.981.565</w:t>
            </w:r>
          </w:p>
        </w:tc>
      </w:tr>
      <w:tr w:rsidR="00177314" w:rsidRPr="00686FD5" w14:paraId="0E94BAC5" w14:textId="77777777" w:rsidTr="00C5457D">
        <w:trPr>
          <w:trHeight w:val="300"/>
        </w:trPr>
        <w:tc>
          <w:tcPr>
            <w:tcW w:w="3959" w:type="dxa"/>
            <w:noWrap/>
            <w:hideMark/>
          </w:tcPr>
          <w:p w14:paraId="6F613392" w14:textId="00F5183B" w:rsidR="00D812C3" w:rsidRPr="00166D19" w:rsidRDefault="00F745FC" w:rsidP="00686FD5">
            <w:pPr>
              <w:spacing w:after="0"/>
              <w:rPr>
                <w:sz w:val="22"/>
                <w:szCs w:val="22"/>
              </w:rPr>
            </w:pPr>
            <w:r w:rsidRPr="00166D19">
              <w:rPr>
                <w:sz w:val="22"/>
                <w:szCs w:val="22"/>
              </w:rPr>
              <w:t>C</w:t>
            </w:r>
            <w:r w:rsidR="00D812C3" w:rsidRPr="00166D19">
              <w:rPr>
                <w:sz w:val="22"/>
                <w:szCs w:val="22"/>
              </w:rPr>
              <w:t xml:space="preserve">iljana </w:t>
            </w:r>
            <w:r w:rsidR="00DA3D19" w:rsidRPr="00166D19">
              <w:rPr>
                <w:sz w:val="22"/>
                <w:szCs w:val="22"/>
              </w:rPr>
              <w:t xml:space="preserve">godišnja </w:t>
            </w:r>
            <w:r w:rsidR="00D812C3" w:rsidRPr="00166D19">
              <w:rPr>
                <w:sz w:val="22"/>
                <w:szCs w:val="22"/>
              </w:rPr>
              <w:t>stopa energetske obnove</w:t>
            </w:r>
          </w:p>
        </w:tc>
        <w:tc>
          <w:tcPr>
            <w:tcW w:w="1276" w:type="dxa"/>
          </w:tcPr>
          <w:p w14:paraId="1A9593A2" w14:textId="02CCC4EF" w:rsidR="00D812C3" w:rsidRPr="00166D19" w:rsidRDefault="00D812C3" w:rsidP="003D5F52">
            <w:pPr>
              <w:spacing w:after="0"/>
              <w:jc w:val="right"/>
              <w:rPr>
                <w:sz w:val="22"/>
                <w:szCs w:val="22"/>
              </w:rPr>
            </w:pPr>
            <w:r w:rsidRPr="00166D19">
              <w:rPr>
                <w:sz w:val="22"/>
                <w:szCs w:val="22"/>
              </w:rPr>
              <w:t>2 %</w:t>
            </w:r>
          </w:p>
        </w:tc>
        <w:tc>
          <w:tcPr>
            <w:tcW w:w="1276" w:type="dxa"/>
            <w:noWrap/>
            <w:hideMark/>
          </w:tcPr>
          <w:p w14:paraId="7F0464B7" w14:textId="04ABA3B3" w:rsidR="00D812C3" w:rsidRPr="00166D19" w:rsidRDefault="00D812C3" w:rsidP="003D5F52">
            <w:pPr>
              <w:spacing w:after="0"/>
              <w:jc w:val="right"/>
              <w:rPr>
                <w:sz w:val="22"/>
                <w:szCs w:val="22"/>
              </w:rPr>
            </w:pPr>
            <w:r w:rsidRPr="00166D19">
              <w:rPr>
                <w:sz w:val="22"/>
                <w:szCs w:val="22"/>
              </w:rPr>
              <w:t>3,5 %</w:t>
            </w:r>
          </w:p>
        </w:tc>
        <w:tc>
          <w:tcPr>
            <w:tcW w:w="1220" w:type="dxa"/>
            <w:noWrap/>
            <w:hideMark/>
          </w:tcPr>
          <w:p w14:paraId="6698CA46" w14:textId="47B3B736" w:rsidR="00D812C3" w:rsidRPr="00166D19" w:rsidRDefault="00D812C3" w:rsidP="003D5F52">
            <w:pPr>
              <w:spacing w:after="0"/>
              <w:jc w:val="right"/>
              <w:rPr>
                <w:sz w:val="22"/>
                <w:szCs w:val="22"/>
              </w:rPr>
            </w:pPr>
            <w:r w:rsidRPr="00166D19">
              <w:rPr>
                <w:sz w:val="22"/>
                <w:szCs w:val="22"/>
              </w:rPr>
              <w:t>4 %</w:t>
            </w:r>
          </w:p>
        </w:tc>
      </w:tr>
    </w:tbl>
    <w:p w14:paraId="2A0E0B8F" w14:textId="77777777" w:rsidR="005C4BB4" w:rsidRDefault="005C4BB4" w:rsidP="005C4BB4"/>
    <w:p w14:paraId="5C12A72B" w14:textId="28EC92B7" w:rsidR="005C4BB4" w:rsidRPr="00166D19" w:rsidRDefault="005C4BB4" w:rsidP="00D325DE">
      <w:r w:rsidRPr="63259912">
        <w:t xml:space="preserve">Osnovni cilj Dugoročne strategije ostaje nepromijenjen – dekarbonizacija fonda zgrada do 2050. godine. Kako bi se ostvarili ambiciozniji ciljevi već do 2030. godine, dinamika obnove </w:t>
      </w:r>
      <w:r w:rsidRPr="63259912">
        <w:lastRenderedPageBreak/>
        <w:t>iskazana u Dugoročnoj strategiji je ovim NECP-om promijenjena, tj. stopa obnove u razdoblju 202</w:t>
      </w:r>
      <w:r w:rsidR="004C792F" w:rsidRPr="63259912">
        <w:t>2</w:t>
      </w:r>
      <w:r w:rsidRPr="63259912">
        <w:t>. – 2030. godine raste s početnih 1,0</w:t>
      </w:r>
      <w:r w:rsidR="004E00EB" w:rsidRPr="63259912">
        <w:t> </w:t>
      </w:r>
      <w:r w:rsidRPr="63259912">
        <w:t>% godišnje na 3,5</w:t>
      </w:r>
      <w:r w:rsidR="004E00EB" w:rsidRPr="63259912">
        <w:t> </w:t>
      </w:r>
      <w:r w:rsidRPr="63259912">
        <w:t>% godišnje u 2030. godini.</w:t>
      </w:r>
    </w:p>
    <w:p w14:paraId="0240377D" w14:textId="566DDFA8" w:rsidR="00601FAC" w:rsidRDefault="00453ADA" w:rsidP="00AE0BB2">
      <w:pPr>
        <w:jc w:val="center"/>
      </w:pPr>
      <w:r w:rsidRPr="00453ADA">
        <w:rPr>
          <w:noProof/>
        </w:rPr>
        <w:drawing>
          <wp:inline distT="0" distB="0" distL="0" distR="0" wp14:anchorId="4D288180" wp14:editId="11C6214A">
            <wp:extent cx="5337419" cy="3018849"/>
            <wp:effectExtent l="0" t="0" r="0" b="0"/>
            <wp:docPr id="10461445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48857" cy="3025318"/>
                    </a:xfrm>
                    <a:prstGeom prst="rect">
                      <a:avLst/>
                    </a:prstGeom>
                    <a:noFill/>
                    <a:ln>
                      <a:noFill/>
                    </a:ln>
                  </pic:spPr>
                </pic:pic>
              </a:graphicData>
            </a:graphic>
          </wp:inline>
        </w:drawing>
      </w:r>
    </w:p>
    <w:p w14:paraId="553476CE" w14:textId="084A6A6B" w:rsidR="00601FAC" w:rsidRDefault="00324232" w:rsidP="006E03CB">
      <w:pPr>
        <w:pStyle w:val="Caption"/>
      </w:pPr>
      <w:bookmarkStart w:id="307" w:name="_Toc193035895"/>
      <w:r>
        <w:t xml:space="preserve">Slika </w:t>
      </w:r>
      <w:r>
        <w:fldChar w:fldCharType="begin"/>
      </w:r>
      <w:r>
        <w:instrText>STYLEREF 1 \s</w:instrText>
      </w:r>
      <w:r>
        <w:fldChar w:fldCharType="separate"/>
      </w:r>
      <w:r>
        <w:rPr>
          <w:noProof/>
        </w:rPr>
        <w:t>2</w:t>
      </w:r>
      <w:r>
        <w:fldChar w:fldCharType="end"/>
      </w:r>
      <w:r>
        <w:t>–</w:t>
      </w:r>
      <w:r>
        <w:fldChar w:fldCharType="begin"/>
      </w:r>
      <w:r>
        <w:instrText>SEQ Slika \* ARABIC \s 1</w:instrText>
      </w:r>
      <w:r>
        <w:fldChar w:fldCharType="separate"/>
      </w:r>
      <w:r w:rsidR="009F552D">
        <w:rPr>
          <w:noProof/>
        </w:rPr>
        <w:t>18</w:t>
      </w:r>
      <w:r>
        <w:fldChar w:fldCharType="end"/>
      </w:r>
      <w:r>
        <w:t xml:space="preserve">. </w:t>
      </w:r>
      <w:r w:rsidR="00BA4866">
        <w:t>Projekcija stopa obnove zgrada prema scenarijima</w:t>
      </w:r>
      <w:bookmarkEnd w:id="307"/>
    </w:p>
    <w:p w14:paraId="52A40C57" w14:textId="77777777" w:rsidR="005C4BB4" w:rsidRDefault="005C4BB4" w:rsidP="00601FAC">
      <w:r w:rsidRPr="63259912">
        <w:t xml:space="preserve">U skladu s izmjenama i dopunama EPBD-a iz 2024. godine, novelirat će se postojeći programi energetske obnove pojedinih segmenata fonda zgrada te će se uskladi s NECP-om. </w:t>
      </w:r>
    </w:p>
    <w:p w14:paraId="3D50E9FD" w14:textId="3976BCC2" w:rsidR="00553FA2" w:rsidRPr="00B47BDA" w:rsidRDefault="00553FA2" w:rsidP="005C2C7E">
      <w:pPr>
        <w:pStyle w:val="Heading4"/>
        <w:numPr>
          <w:ilvl w:val="3"/>
          <w:numId w:val="175"/>
        </w:numPr>
        <w:ind w:hanging="580"/>
      </w:pPr>
      <w:r w:rsidRPr="00B47BDA">
        <w:t>Ako je primjenjivo, drugi nacionalni ciljevi, uključujući dugoročne ciljeve ili strategije i sektorske ciljeve, i nacionalni ciljevi u područjima kao što su energetska učinkovitost u prometnom sektoru i energetska učinkovitost u odnosu na grijanje i hlađenje</w:t>
      </w:r>
    </w:p>
    <w:p w14:paraId="2961EA22" w14:textId="31370BE1" w:rsidR="00A304F9" w:rsidRDefault="00A304F9" w:rsidP="004623DD">
      <w:r w:rsidRPr="00B47BDA">
        <w:t xml:space="preserve">Nije primjenjivo. </w:t>
      </w:r>
    </w:p>
    <w:p w14:paraId="6C3CFDD0" w14:textId="503D040F" w:rsidR="00B041F4" w:rsidRDefault="00B041F4">
      <w:pPr>
        <w:spacing w:after="0"/>
        <w:jc w:val="left"/>
      </w:pPr>
      <w:r>
        <w:br w:type="page"/>
      </w:r>
    </w:p>
    <w:p w14:paraId="2DEA043C" w14:textId="2F434E1F" w:rsidR="00FF0CF3" w:rsidRPr="00B47BDA" w:rsidRDefault="004E40FF" w:rsidP="005C2C7E">
      <w:pPr>
        <w:pStyle w:val="Heading2"/>
        <w:numPr>
          <w:ilvl w:val="1"/>
          <w:numId w:val="175"/>
        </w:numPr>
      </w:pPr>
      <w:bookmarkStart w:id="308" w:name="_Toc531801539"/>
      <w:bookmarkStart w:id="309" w:name="_Toc531801668"/>
      <w:bookmarkStart w:id="310" w:name="_Toc531801794"/>
      <w:bookmarkStart w:id="311" w:name="_Toc531801922"/>
      <w:bookmarkStart w:id="312" w:name="_Toc531935142"/>
      <w:bookmarkStart w:id="313" w:name="_Toc531945092"/>
      <w:bookmarkStart w:id="314" w:name="_Toc6302349"/>
      <w:bookmarkEnd w:id="308"/>
      <w:bookmarkEnd w:id="309"/>
      <w:bookmarkEnd w:id="310"/>
      <w:bookmarkEnd w:id="311"/>
      <w:r w:rsidRPr="00B47BDA">
        <w:lastRenderedPageBreak/>
        <w:tab/>
      </w:r>
      <w:bookmarkStart w:id="315" w:name="_Toc187418336"/>
      <w:bookmarkStart w:id="316" w:name="_Toc193043261"/>
      <w:r w:rsidR="00FF0CF3" w:rsidRPr="00B47BDA">
        <w:t xml:space="preserve">Dimenzija: </w:t>
      </w:r>
      <w:r w:rsidR="004D140C">
        <w:t>e</w:t>
      </w:r>
      <w:r w:rsidR="00FF0CF3" w:rsidRPr="00B47BDA">
        <w:t>nergetska sigurnost</w:t>
      </w:r>
      <w:bookmarkEnd w:id="312"/>
      <w:bookmarkEnd w:id="313"/>
      <w:bookmarkEnd w:id="314"/>
      <w:bookmarkEnd w:id="315"/>
      <w:bookmarkEnd w:id="316"/>
    </w:p>
    <w:p w14:paraId="5232AE97" w14:textId="669ADE9C" w:rsidR="0007177B" w:rsidRPr="00B47BDA" w:rsidRDefault="0007177B" w:rsidP="005C2C7E">
      <w:pPr>
        <w:pStyle w:val="Heading4"/>
        <w:numPr>
          <w:ilvl w:val="3"/>
          <w:numId w:val="175"/>
        </w:numPr>
        <w:ind w:hanging="580"/>
      </w:pPr>
      <w:r w:rsidRPr="00B47BDA">
        <w:t xml:space="preserve">Nacionalni ciljevi </w:t>
      </w:r>
      <w:r w:rsidR="00053DAD" w:rsidRPr="00B47BDA">
        <w:t>u vezi s povećanjem</w:t>
      </w:r>
      <w:r w:rsidRPr="00B47BDA">
        <w:t xml:space="preserve"> diversifikacije izvora energije i opskrbe iz trećih zemalja</w:t>
      </w:r>
      <w:r w:rsidR="003C4E5A" w:rsidRPr="00B47BDA">
        <w:t xml:space="preserve"> u svrhu povećanja otpornosti regionalnih</w:t>
      </w:r>
      <w:r w:rsidRPr="00B47BDA">
        <w:t xml:space="preserve"> i </w:t>
      </w:r>
      <w:r w:rsidR="003C4E5A" w:rsidRPr="00B47BDA">
        <w:t>nacionalnih energetskih sustava</w:t>
      </w:r>
      <w:r w:rsidRPr="00B47BDA">
        <w:t>;</w:t>
      </w:r>
    </w:p>
    <w:p w14:paraId="49EC5286" w14:textId="77777777" w:rsidR="00D2156A" w:rsidRDefault="00D2156A" w:rsidP="00D2156A">
      <w:r>
        <w:t>U svrhu povećanja otpornosti regionalnih energetskih sustava, kao i hrvatskog energetskog sustava, utvrđeni su sljedeći ciljevi:</w:t>
      </w:r>
    </w:p>
    <w:p w14:paraId="0A26C57C" w14:textId="77777777" w:rsidR="00D2156A" w:rsidRDefault="00D2156A" w:rsidP="00E54EB2">
      <w:pPr>
        <w:pStyle w:val="ListParagraph"/>
        <w:numPr>
          <w:ilvl w:val="0"/>
          <w:numId w:val="205"/>
        </w:numPr>
        <w:ind w:left="851" w:hanging="425"/>
      </w:pPr>
      <w:r>
        <w:t>Povećanje sigurnosti opskrbe prirodnim plinom i</w:t>
      </w:r>
    </w:p>
    <w:p w14:paraId="2E462D63" w14:textId="0910FA69" w:rsidR="00D2156A" w:rsidRDefault="00D2156A" w:rsidP="00D2156A">
      <w:pPr>
        <w:pStyle w:val="ListParagraph"/>
        <w:numPr>
          <w:ilvl w:val="0"/>
          <w:numId w:val="205"/>
        </w:numPr>
        <w:ind w:left="851" w:hanging="425"/>
      </w:pPr>
      <w:r>
        <w:t>Jačanje uloge vodika</w:t>
      </w:r>
    </w:p>
    <w:p w14:paraId="5547F147" w14:textId="0F716844" w:rsidR="00D2156A" w:rsidRDefault="00D2156A" w:rsidP="00D2156A">
      <w:r>
        <w:t xml:space="preserve">Povećanje sigurnosti opskrbe prirodnim plinom u RH ostvarit će se povećanjem kapaciteta terminala za ukapljeni prirodni plin, dok </w:t>
      </w:r>
      <w:r w:rsidR="005C6350">
        <w:t xml:space="preserve">će </w:t>
      </w:r>
      <w:r>
        <w:t>izgradnja novih plinovoda prema zemljama EU i prema zemljama Zapadnog Balkana doprinijeti povećanju regionalne sigurnosti opskrbe plinom.</w:t>
      </w:r>
    </w:p>
    <w:p w14:paraId="4400011E" w14:textId="6E870BC2" w:rsidR="00D2156A" w:rsidRDefault="00D2156A" w:rsidP="00D2156A">
      <w:r>
        <w:t xml:space="preserve">Na nacionalnoj razini, </w:t>
      </w:r>
      <w:r w:rsidRPr="004C202E">
        <w:t xml:space="preserve">očekuje se </w:t>
      </w:r>
      <w:r w:rsidR="00992BD0" w:rsidRPr="004C202E">
        <w:t>povećanje domaće proizvodnje</w:t>
      </w:r>
      <w:r w:rsidRPr="004C202E">
        <w:t xml:space="preserve"> prirodnog plina </w:t>
      </w:r>
      <w:r w:rsidR="00AC0967" w:rsidRPr="004C202E">
        <w:t>sa 745 milijuna m</w:t>
      </w:r>
      <w:r w:rsidR="00AC0967" w:rsidRPr="004C202E">
        <w:rPr>
          <w:vertAlign w:val="superscript"/>
        </w:rPr>
        <w:t>3</w:t>
      </w:r>
      <w:r w:rsidR="00AC0967" w:rsidRPr="004C202E">
        <w:t xml:space="preserve"> </w:t>
      </w:r>
      <w:r w:rsidRPr="004C202E">
        <w:t xml:space="preserve">u </w:t>
      </w:r>
      <w:r w:rsidR="00873384" w:rsidRPr="004C202E">
        <w:t>2022. godini</w:t>
      </w:r>
      <w:r w:rsidRPr="004C202E">
        <w:t xml:space="preserve"> na </w:t>
      </w:r>
      <w:r w:rsidR="00873384" w:rsidRPr="004C202E">
        <w:t>oko 920 milijuna m</w:t>
      </w:r>
      <w:r w:rsidR="00873384" w:rsidRPr="004C202E">
        <w:rPr>
          <w:vertAlign w:val="superscript"/>
        </w:rPr>
        <w:t>3</w:t>
      </w:r>
      <w:r w:rsidR="00873384" w:rsidRPr="004C202E">
        <w:t xml:space="preserve"> do</w:t>
      </w:r>
      <w:r w:rsidRPr="004C202E">
        <w:t xml:space="preserve"> 2030. godine</w:t>
      </w:r>
      <w:r>
        <w:t xml:space="preserve">. Na regionalnoj razini, </w:t>
      </w:r>
      <w:r w:rsidR="004C202E">
        <w:t xml:space="preserve">povećanjem kapaciteta terminala za ukapljeni prirodni plin, </w:t>
      </w:r>
      <w:r>
        <w:t xml:space="preserve">očekuje se </w:t>
      </w:r>
      <w:r w:rsidR="002A51D4">
        <w:t>povećanje tranzit</w:t>
      </w:r>
      <w:r w:rsidR="00F14046">
        <w:t xml:space="preserve">nih količina </w:t>
      </w:r>
      <w:r>
        <w:t>prirodnog plina prema Mađarskoj</w:t>
      </w:r>
      <w:r w:rsidR="00F14046">
        <w:t xml:space="preserve"> i</w:t>
      </w:r>
      <w:r>
        <w:t xml:space="preserve"> Sloveniji </w:t>
      </w:r>
      <w:r w:rsidR="00134A75">
        <w:t>za oko 3 milijarde m</w:t>
      </w:r>
      <w:r w:rsidR="00134A75" w:rsidRPr="004C202E">
        <w:rPr>
          <w:vertAlign w:val="superscript"/>
        </w:rPr>
        <w:t>3</w:t>
      </w:r>
      <w:r w:rsidR="00134A75">
        <w:t xml:space="preserve"> do 2030. godine.</w:t>
      </w:r>
    </w:p>
    <w:p w14:paraId="61BA907F" w14:textId="321936F6" w:rsidR="00206CE7" w:rsidRPr="00B47BDA" w:rsidRDefault="00D2156A" w:rsidP="00BE1B9B">
      <w:r>
        <w:t>Uredit će se institucionalni okvir za korištenje vodika, čime će se steći institucionalni preduvjeti za jačanje uloge vodika u energetskim sustavima. Istovremeno, sva infrastruktura izgrađena s ciljem povećanja sigurnosti opskrbe prirodnim plinom bit će spremna za transport i korištenje vodika te time također doprinijeti ovom strateškom cilju.</w:t>
      </w:r>
    </w:p>
    <w:p w14:paraId="6A1D7812" w14:textId="6A271267" w:rsidR="008A2B2A" w:rsidRPr="00B47BDA" w:rsidRDefault="008A2B2A" w:rsidP="005C2C7E">
      <w:pPr>
        <w:pStyle w:val="Heading4"/>
        <w:numPr>
          <w:ilvl w:val="3"/>
          <w:numId w:val="175"/>
        </w:numPr>
        <w:ind w:hanging="580"/>
      </w:pPr>
      <w:r w:rsidRPr="00B47BDA">
        <w:t>Ako je primjenjivo, nacionalni ciljevi u pogledu smanjenja ovisnosti o energiji uvezenoj iz trećih zemalja</w:t>
      </w:r>
      <w:r w:rsidR="00631A0F" w:rsidRPr="00B47BDA">
        <w:t xml:space="preserve">, u svrhu povećanja </w:t>
      </w:r>
      <w:r w:rsidR="0050524B" w:rsidRPr="00B47BDA">
        <w:t>otpornosti nacionalnih i regionalnih energetskih sustava</w:t>
      </w:r>
    </w:p>
    <w:p w14:paraId="588F807C" w14:textId="1E48D600" w:rsidR="00E60CE6" w:rsidRDefault="00E60CE6" w:rsidP="00E60CE6">
      <w:bookmarkStart w:id="317" w:name="_Hlk531787102"/>
      <w:r>
        <w:t>U svrhu povećanja otpornosti hrvatskog energetskog sustava, utvrđen je sljedeći cilj:</w:t>
      </w:r>
    </w:p>
    <w:p w14:paraId="2615F99F" w14:textId="097E56FC" w:rsidR="003911A1" w:rsidRDefault="007D7FC8" w:rsidP="00E54EB2">
      <w:pPr>
        <w:pStyle w:val="ListParagraph"/>
        <w:numPr>
          <w:ilvl w:val="0"/>
          <w:numId w:val="60"/>
        </w:numPr>
      </w:pPr>
      <w:r>
        <w:t xml:space="preserve">Povećanje udjela </w:t>
      </w:r>
      <w:r w:rsidR="000E3F2D">
        <w:t xml:space="preserve">vlastite proizvodnje </w:t>
      </w:r>
      <w:r w:rsidR="000C527A">
        <w:t xml:space="preserve">u finalnoj potrošnji </w:t>
      </w:r>
      <w:r w:rsidR="00003675">
        <w:t>nafte i prirodnog plina</w:t>
      </w:r>
      <w:r w:rsidR="000E3F2D">
        <w:t xml:space="preserve"> s</w:t>
      </w:r>
      <w:r w:rsidR="008A7CDD">
        <w:t xml:space="preserve"> </w:t>
      </w:r>
      <w:r w:rsidR="00003675">
        <w:t>23</w:t>
      </w:r>
      <w:r w:rsidR="00617214">
        <w:t> </w:t>
      </w:r>
      <w:r w:rsidR="008A7CDD">
        <w:t xml:space="preserve">% u 2022. godini na </w:t>
      </w:r>
      <w:r w:rsidR="00003675">
        <w:t>30</w:t>
      </w:r>
      <w:r w:rsidR="00617214">
        <w:t> </w:t>
      </w:r>
      <w:r w:rsidR="009B58F3">
        <w:t>% u 2030. godini.</w:t>
      </w:r>
    </w:p>
    <w:p w14:paraId="72FB5082" w14:textId="420BD53D" w:rsidR="000B22EA" w:rsidRPr="00B47BDA" w:rsidRDefault="0006728B" w:rsidP="00BE1B9B">
      <w:r>
        <w:t xml:space="preserve">To će se </w:t>
      </w:r>
      <w:r w:rsidR="00180D38">
        <w:t>povećanje</w:t>
      </w:r>
      <w:r>
        <w:t xml:space="preserve"> ostvariti istraživanjem potencijalnih ležišta ugljikovodika te njihovom eksploatacijom. Istovremeno, smanjivat će se i ukupna potrošnja ugljikovodika, prvenstveno povećanjem udjela obnovljivih izvora energije u finalnoj potrošnji energije, ali i ciljanim smanjenjem uporabe fosilnih goriva u individualnim toplinskim sustavima.</w:t>
      </w:r>
    </w:p>
    <w:bookmarkEnd w:id="317"/>
    <w:p w14:paraId="41813C6B" w14:textId="56975255" w:rsidR="000141CE" w:rsidRPr="00B47BDA" w:rsidRDefault="00AB0F87" w:rsidP="005C2C7E">
      <w:pPr>
        <w:pStyle w:val="Heading4"/>
        <w:numPr>
          <w:ilvl w:val="3"/>
          <w:numId w:val="175"/>
        </w:numPr>
        <w:ind w:hanging="580"/>
      </w:pPr>
      <w:r w:rsidRPr="00B47BDA">
        <w:t>Nacionalni ciljevi u vezi s povećanjem fleksibilnosti nacionalnog energetskog sustava, osobito u pogledu uporabe domaćih izvora energije, upravljanjem potražnjom i skladištenjem energije</w:t>
      </w:r>
    </w:p>
    <w:p w14:paraId="3DAC31C8" w14:textId="77777777" w:rsidR="009A17DD" w:rsidRDefault="009A17DD" w:rsidP="009A17DD">
      <w:r>
        <w:t>U ovom kontekstu definiran je sljedeći cilj</w:t>
      </w:r>
    </w:p>
    <w:p w14:paraId="11FE88B8" w14:textId="77777777" w:rsidR="009A17DD" w:rsidRDefault="009A17DD" w:rsidP="00E54EB2">
      <w:pPr>
        <w:pStyle w:val="ListParagraph"/>
        <w:numPr>
          <w:ilvl w:val="0"/>
          <w:numId w:val="204"/>
        </w:numPr>
      </w:pPr>
      <w:r>
        <w:t>Povećanje fleksibilnosti i sigurnosti pogona energetskog sustava</w:t>
      </w:r>
    </w:p>
    <w:p w14:paraId="312AF058" w14:textId="55492534" w:rsidR="008F6119" w:rsidRDefault="009A17DD" w:rsidP="008F6119">
      <w:r>
        <w:t>Ovaj će s</w:t>
      </w:r>
      <w:r w:rsidR="00166C5C">
        <w:t>e</w:t>
      </w:r>
      <w:r>
        <w:t xml:space="preserve"> cilj ostvariti provedbom ciljanih mjera unapređenja vođenja elektroenergetskog, plinskog i toplinskih sustava te izgradnjom i korištenjem spremnika energije. Posebna će se pažnja posvetiti unapređenju kibernetičke sigurnosti energetskog sustava.</w:t>
      </w:r>
      <w:r w:rsidR="008F6119">
        <w:br w:type="page"/>
      </w:r>
    </w:p>
    <w:p w14:paraId="6A604301" w14:textId="0544542F" w:rsidR="00FF0CF3" w:rsidRPr="00B47BDA" w:rsidRDefault="00FF0CF3" w:rsidP="005C2C7E">
      <w:pPr>
        <w:pStyle w:val="Heading2"/>
        <w:numPr>
          <w:ilvl w:val="1"/>
          <w:numId w:val="175"/>
        </w:numPr>
      </w:pPr>
      <w:bookmarkStart w:id="318" w:name="_Toc531702957"/>
      <w:bookmarkStart w:id="319" w:name="_Toc531801541"/>
      <w:bookmarkStart w:id="320" w:name="_Toc531801670"/>
      <w:bookmarkStart w:id="321" w:name="_Toc531801796"/>
      <w:bookmarkStart w:id="322" w:name="_Toc531801924"/>
      <w:bookmarkStart w:id="323" w:name="_Toc531702958"/>
      <w:bookmarkStart w:id="324" w:name="_Toc531801542"/>
      <w:bookmarkStart w:id="325" w:name="_Toc531801671"/>
      <w:bookmarkStart w:id="326" w:name="_Toc531801797"/>
      <w:bookmarkStart w:id="327" w:name="_Toc531801925"/>
      <w:bookmarkStart w:id="328" w:name="_Toc531702959"/>
      <w:bookmarkStart w:id="329" w:name="_Toc531801543"/>
      <w:bookmarkStart w:id="330" w:name="_Toc531801672"/>
      <w:bookmarkStart w:id="331" w:name="_Toc531801798"/>
      <w:bookmarkStart w:id="332" w:name="_Toc531801926"/>
      <w:bookmarkStart w:id="333" w:name="_Toc531702960"/>
      <w:bookmarkStart w:id="334" w:name="_Toc531801544"/>
      <w:bookmarkStart w:id="335" w:name="_Toc531801673"/>
      <w:bookmarkStart w:id="336" w:name="_Toc531801799"/>
      <w:bookmarkStart w:id="337" w:name="_Toc531801927"/>
      <w:bookmarkStart w:id="338" w:name="_Toc531702961"/>
      <w:bookmarkStart w:id="339" w:name="_Toc531801545"/>
      <w:bookmarkStart w:id="340" w:name="_Toc531801674"/>
      <w:bookmarkStart w:id="341" w:name="_Toc531801800"/>
      <w:bookmarkStart w:id="342" w:name="_Toc531801928"/>
      <w:bookmarkStart w:id="343" w:name="_Toc531702962"/>
      <w:bookmarkStart w:id="344" w:name="_Toc531801546"/>
      <w:bookmarkStart w:id="345" w:name="_Toc531801675"/>
      <w:bookmarkStart w:id="346" w:name="_Toc531801801"/>
      <w:bookmarkStart w:id="347" w:name="_Toc531801929"/>
      <w:bookmarkStart w:id="348" w:name="_Toc531935143"/>
      <w:bookmarkStart w:id="349" w:name="_Toc531945093"/>
      <w:bookmarkStart w:id="350" w:name="_Toc6302350"/>
      <w:bookmarkStart w:id="351" w:name="_Toc187418337"/>
      <w:bookmarkStart w:id="352" w:name="_Toc193043262"/>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B47BDA">
        <w:lastRenderedPageBreak/>
        <w:t xml:space="preserve">Dimenzija: </w:t>
      </w:r>
      <w:r w:rsidR="004D140C">
        <w:t>u</w:t>
      </w:r>
      <w:r w:rsidRPr="00B47BDA">
        <w:t>nutarnje energetsko tržište</w:t>
      </w:r>
      <w:bookmarkEnd w:id="348"/>
      <w:bookmarkEnd w:id="349"/>
      <w:bookmarkEnd w:id="350"/>
      <w:bookmarkEnd w:id="351"/>
      <w:bookmarkEnd w:id="352"/>
    </w:p>
    <w:p w14:paraId="59A53269" w14:textId="17948268" w:rsidR="006B26C8" w:rsidRPr="00B47BDA" w:rsidRDefault="006B26C8" w:rsidP="005C2C7E">
      <w:pPr>
        <w:pStyle w:val="Heading3"/>
        <w:numPr>
          <w:ilvl w:val="2"/>
          <w:numId w:val="175"/>
        </w:numPr>
      </w:pPr>
      <w:bookmarkStart w:id="353" w:name="_Toc187418338"/>
      <w:bookmarkStart w:id="354" w:name="_Toc193043263"/>
      <w:bookmarkStart w:id="355" w:name="_Toc531935144"/>
      <w:bookmarkStart w:id="356" w:name="_Toc531945094"/>
      <w:bookmarkStart w:id="357" w:name="_Toc6302351"/>
      <w:r w:rsidRPr="00B47BDA">
        <w:t>Elektroenergetska međupove</w:t>
      </w:r>
      <w:r w:rsidR="00A65360">
        <w:t>zanost</w:t>
      </w:r>
      <w:bookmarkEnd w:id="353"/>
      <w:bookmarkEnd w:id="354"/>
    </w:p>
    <w:p w14:paraId="318BBCC3" w14:textId="04323F21" w:rsidR="006B26C8" w:rsidRPr="00B47BDA" w:rsidRDefault="006B26C8" w:rsidP="005C2C7E">
      <w:pPr>
        <w:pStyle w:val="Heading4"/>
        <w:numPr>
          <w:ilvl w:val="3"/>
          <w:numId w:val="175"/>
        </w:numPr>
        <w:ind w:hanging="580"/>
      </w:pPr>
      <w:r w:rsidRPr="00B47BDA">
        <w:t>Razina elektroenergetske povezanosti</w:t>
      </w:r>
    </w:p>
    <w:bookmarkEnd w:id="355"/>
    <w:bookmarkEnd w:id="356"/>
    <w:bookmarkEnd w:id="357"/>
    <w:p w14:paraId="4DBA6368" w14:textId="77777777" w:rsidR="00FA5D35" w:rsidRPr="00B47BDA" w:rsidRDefault="004D362D" w:rsidP="00C90F8A">
      <w:r w:rsidRPr="63259912">
        <w:t>U pogledu ciljeva EU vezani</w:t>
      </w:r>
      <w:r w:rsidR="00433EE2" w:rsidRPr="63259912">
        <w:t>h</w:t>
      </w:r>
      <w:r w:rsidRPr="63259912">
        <w:t xml:space="preserve"> za željenu razinu interkonekcijske povezanosti od najmanje 15</w:t>
      </w:r>
      <w:r w:rsidR="006549C0" w:rsidRPr="63259912">
        <w:t> </w:t>
      </w:r>
      <w:r w:rsidRPr="63259912">
        <w:t xml:space="preserve">% u odnosu na instaliranu snagu elektrana u promatranoj državi </w:t>
      </w:r>
      <w:r w:rsidR="000A1F2F" w:rsidRPr="63259912">
        <w:t xml:space="preserve">članici </w:t>
      </w:r>
      <w:r w:rsidRPr="63259912">
        <w:t>do 2030. godine</w:t>
      </w:r>
      <w:r w:rsidR="0049141A" w:rsidRPr="63259912">
        <w:t>,</w:t>
      </w:r>
      <w:r w:rsidRPr="63259912">
        <w:t xml:space="preserve"> prijenosni sustav na području RH već sad</w:t>
      </w:r>
      <w:r w:rsidR="00E66169" w:rsidRPr="63259912">
        <w:t>a</w:t>
      </w:r>
      <w:r w:rsidRPr="63259912">
        <w:t xml:space="preserve"> višestruko premašuje taj cilj. Isto vrijedi i </w:t>
      </w:r>
      <w:r w:rsidR="004C3108" w:rsidRPr="63259912">
        <w:t>ako</w:t>
      </w:r>
      <w:r w:rsidRPr="63259912">
        <w:t xml:space="preserve"> se postojeći interkonekcijski kapaciteti uspoređuju s vršnim opterećenjem sustava odnosno s instaliranom snagom O</w:t>
      </w:r>
      <w:r w:rsidR="00A824B2" w:rsidRPr="63259912">
        <w:t>I</w:t>
      </w:r>
      <w:r w:rsidRPr="63259912">
        <w:t>E na teritoriju RH.</w:t>
      </w:r>
      <w:r w:rsidR="008B0323" w:rsidRPr="63259912">
        <w:t xml:space="preserve"> </w:t>
      </w:r>
    </w:p>
    <w:p w14:paraId="028D00BE" w14:textId="5031FEA1" w:rsidR="00F018AE" w:rsidRDefault="00967712" w:rsidP="00C90F8A">
      <w:r w:rsidRPr="63259912">
        <w:t>Naime, s</w:t>
      </w:r>
      <w:r w:rsidR="008B0323" w:rsidRPr="63259912">
        <w:t xml:space="preserve">uma </w:t>
      </w:r>
      <w:r w:rsidR="00541B4C" w:rsidRPr="63259912">
        <w:t>instaliranih</w:t>
      </w:r>
      <w:r w:rsidR="008B0323" w:rsidRPr="63259912">
        <w:t xml:space="preserve"> prijenosnih moći interkonektivnih/međudržavnih dalekovoda u postojećem stanju iznosi</w:t>
      </w:r>
      <w:r w:rsidR="00F1102C" w:rsidRPr="63259912">
        <w:t xml:space="preserve"> oko</w:t>
      </w:r>
      <w:r w:rsidR="008B0323" w:rsidRPr="63259912">
        <w:t xml:space="preserve"> 13</w:t>
      </w:r>
      <w:r w:rsidR="00EC4378" w:rsidRPr="63259912">
        <w:t>.</w:t>
      </w:r>
      <w:r w:rsidR="009A72FE" w:rsidRPr="63259912">
        <w:t>303</w:t>
      </w:r>
      <w:r w:rsidR="008814D3" w:rsidRPr="63259912">
        <w:t>,5</w:t>
      </w:r>
      <w:r w:rsidR="000A1F2F" w:rsidRPr="63259912">
        <w:t> </w:t>
      </w:r>
      <w:r w:rsidR="008B0323" w:rsidRPr="63259912">
        <w:t xml:space="preserve">MVA, što </w:t>
      </w:r>
      <w:r w:rsidR="00721F75" w:rsidRPr="63259912">
        <w:t xml:space="preserve">je gotovo </w:t>
      </w:r>
      <w:r w:rsidR="00E714FD" w:rsidRPr="63259912">
        <w:t>dva i pol</w:t>
      </w:r>
      <w:r w:rsidR="00721F75" w:rsidRPr="63259912">
        <w:t xml:space="preserve"> puta više od </w:t>
      </w:r>
      <w:r w:rsidR="00A2669A" w:rsidRPr="63259912">
        <w:t xml:space="preserve">trenutne </w:t>
      </w:r>
      <w:r w:rsidR="00721F75" w:rsidRPr="63259912">
        <w:t>ukupne instalirane snage</w:t>
      </w:r>
      <w:r w:rsidR="008B0323" w:rsidRPr="63259912">
        <w:t xml:space="preserve"> elektrana od </w:t>
      </w:r>
      <w:r w:rsidR="00721F75" w:rsidRPr="63259912">
        <w:t>5</w:t>
      </w:r>
      <w:r w:rsidR="00A65360" w:rsidRPr="63259912">
        <w:t>.</w:t>
      </w:r>
      <w:r w:rsidR="00721F75" w:rsidRPr="63259912">
        <w:t>444</w:t>
      </w:r>
      <w:r w:rsidR="009A72FE" w:rsidRPr="63259912">
        <w:t> </w:t>
      </w:r>
      <w:r w:rsidR="008B0323" w:rsidRPr="63259912">
        <w:t>MW</w:t>
      </w:r>
      <w:r w:rsidR="00721F75" w:rsidRPr="63259912">
        <w:t>, odnosno preko četiri puta više od vršnog opterećenja</w:t>
      </w:r>
      <w:r w:rsidR="008B0323" w:rsidRPr="63259912">
        <w:t xml:space="preserve"> sustava od oko </w:t>
      </w:r>
      <w:r w:rsidR="00E714FD" w:rsidRPr="63259912">
        <w:t>3</w:t>
      </w:r>
      <w:r w:rsidR="00A65360" w:rsidRPr="63259912">
        <w:t>.</w:t>
      </w:r>
      <w:r w:rsidR="006B15C2" w:rsidRPr="63259912">
        <w:t>361</w:t>
      </w:r>
      <w:r w:rsidR="00C911A3" w:rsidRPr="63259912">
        <w:t> </w:t>
      </w:r>
      <w:r w:rsidR="008B0323" w:rsidRPr="63259912">
        <w:t>MW</w:t>
      </w:r>
      <w:r w:rsidR="006B15C2" w:rsidRPr="63259912">
        <w:t>h</w:t>
      </w:r>
      <w:r w:rsidR="008B0323" w:rsidRPr="63259912">
        <w:t xml:space="preserve">. </w:t>
      </w:r>
      <w:r w:rsidR="003A6E3E" w:rsidRPr="63259912">
        <w:t>Međutim, samo prekogranični dalekovodi ne znače previše u koordiniranim mehanizmima. Pojedinačni dalekovod tj. zagušenje na njemu, daleke zemlje može ograničiti cijeli uvoz/izvoz RH ili ga svesti na neke minimalne vrijednosti</w:t>
      </w:r>
      <w:r w:rsidR="007165F9" w:rsidRPr="63259912">
        <w:t xml:space="preserve">. Stoga je potrebno provoditi detaljne analize </w:t>
      </w:r>
      <w:r w:rsidR="00EF5C63" w:rsidRPr="63259912">
        <w:t xml:space="preserve">s aspekta </w:t>
      </w:r>
      <w:r w:rsidR="00F018AE" w:rsidRPr="63259912">
        <w:t>sposobnosti uvoza/izvoza.</w:t>
      </w:r>
    </w:p>
    <w:p w14:paraId="489DE4B2" w14:textId="158F8FC7" w:rsidR="009525FF" w:rsidRPr="00B47BDA" w:rsidRDefault="00BB2A9F" w:rsidP="00C90F8A">
      <w:r w:rsidRPr="63259912">
        <w:t xml:space="preserve">Ukupna prekogranična razmjena iznosila je </w:t>
      </w:r>
      <w:r w:rsidR="007E4949" w:rsidRPr="63259912">
        <w:t xml:space="preserve">11.504 GWh na ulazu u RH te </w:t>
      </w:r>
      <w:r w:rsidR="00124469" w:rsidRPr="63259912">
        <w:t>7.159 GWh</w:t>
      </w:r>
      <w:r w:rsidR="008B0323" w:rsidRPr="63259912">
        <w:t xml:space="preserve"> na </w:t>
      </w:r>
      <w:r w:rsidR="00124469" w:rsidRPr="63259912">
        <w:t>izlazu iz RH.</w:t>
      </w:r>
      <w:r w:rsidR="00E223DA" w:rsidRPr="63259912">
        <w:t xml:space="preserve"> </w:t>
      </w:r>
      <w:r w:rsidR="00665945" w:rsidRPr="63259912">
        <w:t>Razlik</w:t>
      </w:r>
      <w:r w:rsidR="0076025E" w:rsidRPr="63259912">
        <w:t>a</w:t>
      </w:r>
      <w:r w:rsidR="00665945" w:rsidRPr="63259912">
        <w:t xml:space="preserve"> u cijenama na veleprodajnom tržištu p</w:t>
      </w:r>
      <w:r w:rsidR="0076025E" w:rsidRPr="63259912">
        <w:t>relazila</w:t>
      </w:r>
      <w:r w:rsidR="00665945" w:rsidRPr="63259912">
        <w:t xml:space="preserve"> </w:t>
      </w:r>
      <w:r w:rsidR="00727A57" w:rsidRPr="63259912">
        <w:t xml:space="preserve">je </w:t>
      </w:r>
      <w:r w:rsidR="00665945" w:rsidRPr="63259912">
        <w:t>indikativni prag od 2</w:t>
      </w:r>
      <w:r w:rsidR="0076025E" w:rsidRPr="63259912">
        <w:t> </w:t>
      </w:r>
      <w:r w:rsidR="00665945" w:rsidRPr="63259912">
        <w:t>EUR/MWh između država članica, regija ili zona trgovanja</w:t>
      </w:r>
      <w:r w:rsidR="00C97EA5" w:rsidRPr="63259912">
        <w:t xml:space="preserve">, </w:t>
      </w:r>
      <w:r w:rsidR="00727A57" w:rsidRPr="63259912">
        <w:t>međutim</w:t>
      </w:r>
      <w:r w:rsidR="00527AE8" w:rsidRPr="63259912">
        <w:t xml:space="preserve"> prosječne razlike u cijeni po satu za tržišta dan unaprijed u </w:t>
      </w:r>
      <w:r w:rsidR="00C97EA5" w:rsidRPr="63259912">
        <w:t xml:space="preserve">2021. godini </w:t>
      </w:r>
      <w:r w:rsidR="00527AE8" w:rsidRPr="63259912">
        <w:t>bile</w:t>
      </w:r>
      <w:r w:rsidR="009D0D4C" w:rsidRPr="63259912">
        <w:t xml:space="preserve"> </w:t>
      </w:r>
      <w:r w:rsidR="005715D1" w:rsidRPr="63259912">
        <w:t>su</w:t>
      </w:r>
      <w:r w:rsidR="009D0D4C" w:rsidRPr="63259912">
        <w:t xml:space="preserve"> značajno niž</w:t>
      </w:r>
      <w:r w:rsidR="00527AE8" w:rsidRPr="63259912">
        <w:t>e</w:t>
      </w:r>
      <w:r w:rsidR="002E264D" w:rsidRPr="63259912">
        <w:t xml:space="preserve"> na granici </w:t>
      </w:r>
      <w:r w:rsidR="00527AE8" w:rsidRPr="63259912">
        <w:t xml:space="preserve">Hrvatske i Slovenije </w:t>
      </w:r>
      <w:r w:rsidR="00727A57" w:rsidRPr="63259912">
        <w:t>-</w:t>
      </w:r>
      <w:r w:rsidR="00527AE8" w:rsidRPr="63259912">
        <w:t xml:space="preserve"> 0,</w:t>
      </w:r>
      <w:r w:rsidR="002E264D" w:rsidRPr="63259912">
        <w:t>35</w:t>
      </w:r>
      <w:r w:rsidR="00527AE8" w:rsidRPr="63259912">
        <w:t> EUR/MWh</w:t>
      </w:r>
      <w:r w:rsidR="00727A57" w:rsidRPr="63259912">
        <w:t xml:space="preserve">, </w:t>
      </w:r>
      <w:r w:rsidR="00F46AAA" w:rsidRPr="63259912">
        <w:t>čemu</w:t>
      </w:r>
      <w:r w:rsidR="00313D32" w:rsidRPr="63259912">
        <w:t xml:space="preserve"> je </w:t>
      </w:r>
      <w:r w:rsidR="00F46AAA" w:rsidRPr="63259912">
        <w:t>doprinijela</w:t>
      </w:r>
      <w:r w:rsidR="00313D32" w:rsidRPr="63259912">
        <w:t xml:space="preserve"> integracij</w:t>
      </w:r>
      <w:r w:rsidR="00A80CB1" w:rsidRPr="63259912">
        <w:t>a</w:t>
      </w:r>
      <w:r w:rsidR="00313D32" w:rsidRPr="63259912">
        <w:t xml:space="preserve"> </w:t>
      </w:r>
      <w:r w:rsidR="00F46AAA" w:rsidRPr="63259912">
        <w:t>slovenskog i hrvatskog</w:t>
      </w:r>
      <w:r w:rsidR="00313D32" w:rsidRPr="63259912">
        <w:t xml:space="preserve"> tržišta</w:t>
      </w:r>
      <w:r w:rsidR="00F46AAA" w:rsidRPr="63259912">
        <w:t xml:space="preserve"> električne energije</w:t>
      </w:r>
      <w:r w:rsidR="00A80CB1" w:rsidRPr="63259912">
        <w:t xml:space="preserve"> u 2018. g</w:t>
      </w:r>
      <w:r w:rsidR="00574D05" w:rsidRPr="63259912">
        <w:t>odini.</w:t>
      </w:r>
      <w:r w:rsidR="00313D32" w:rsidRPr="63259912">
        <w:t xml:space="preserve"> Isti napredak je </w:t>
      </w:r>
      <w:r w:rsidR="00F9427C" w:rsidRPr="63259912">
        <w:t xml:space="preserve">zabilježen </w:t>
      </w:r>
      <w:r w:rsidR="00313D32" w:rsidRPr="63259912">
        <w:t>i</w:t>
      </w:r>
      <w:r w:rsidR="00527AE8" w:rsidRPr="63259912">
        <w:t xml:space="preserve"> na granici Hrvatske i Mađarske</w:t>
      </w:r>
      <w:r w:rsidR="00CD6E9D" w:rsidRPr="63259912">
        <w:t xml:space="preserve">, budući da je </w:t>
      </w:r>
      <w:r w:rsidR="00445753" w:rsidRPr="63259912">
        <w:t>u sklopu C</w:t>
      </w:r>
      <w:r w:rsidR="00874B13" w:rsidRPr="63259912">
        <w:t>ORE</w:t>
      </w:r>
      <w:r w:rsidR="005829C2" w:rsidRPr="63259912">
        <w:t xml:space="preserve"> (eng. Core Flow-Based Market Coupling project) </w:t>
      </w:r>
      <w:r w:rsidR="00445753" w:rsidRPr="63259912">
        <w:t>projekta</w:t>
      </w:r>
      <w:r w:rsidR="00E4621C" w:rsidRPr="63259912">
        <w:t xml:space="preserve"> u </w:t>
      </w:r>
      <w:r w:rsidR="00353BCF" w:rsidRPr="63259912">
        <w:t>lipnju</w:t>
      </w:r>
      <w:r w:rsidR="00E4621C" w:rsidRPr="63259912">
        <w:t xml:space="preserve"> 2022. g</w:t>
      </w:r>
      <w:r w:rsidR="00DD174B" w:rsidRPr="63259912">
        <w:t>odine</w:t>
      </w:r>
      <w:r w:rsidR="00E4621C" w:rsidRPr="63259912">
        <w:t xml:space="preserve"> </w:t>
      </w:r>
      <w:r w:rsidR="00F61804" w:rsidRPr="63259912">
        <w:t>došlo do</w:t>
      </w:r>
      <w:r w:rsidR="00445753" w:rsidRPr="63259912">
        <w:t xml:space="preserve"> povezivanj</w:t>
      </w:r>
      <w:r w:rsidR="00F61804" w:rsidRPr="63259912">
        <w:t>a</w:t>
      </w:r>
      <w:r w:rsidR="00445753" w:rsidRPr="63259912">
        <w:t xml:space="preserve"> CROPEX i HUPX dan unaprijed tržišta gdje se dnevni prekogranični kapacitet</w:t>
      </w:r>
      <w:r w:rsidR="00F46AAA" w:rsidRPr="63259912">
        <w:t>i</w:t>
      </w:r>
      <w:r w:rsidR="00445753" w:rsidRPr="63259912">
        <w:t xml:space="preserve"> na hrvatsko-mađarskoj granici više </w:t>
      </w:r>
      <w:r w:rsidR="00F61804" w:rsidRPr="63259912">
        <w:t xml:space="preserve">ne dodjeljuju </w:t>
      </w:r>
      <w:r w:rsidR="00445753" w:rsidRPr="63259912">
        <w:t xml:space="preserve">izravno putem JAO platforme nego neizravnim putem kroz mehanizam povezivanja burzi električne energije. </w:t>
      </w:r>
      <w:r w:rsidR="00601AA8" w:rsidRPr="63259912">
        <w:t xml:space="preserve">Navedeno vrijedi i za unutardnevna tržišta. </w:t>
      </w:r>
      <w:r w:rsidR="00AA1D98" w:rsidRPr="63259912">
        <w:t xml:space="preserve">Međutim, </w:t>
      </w:r>
      <w:r w:rsidR="00CF77A5" w:rsidRPr="63259912">
        <w:t xml:space="preserve">nakon 2021. </w:t>
      </w:r>
      <w:r w:rsidR="001945E7" w:rsidRPr="63259912">
        <w:t>na veleprodajnom tržištu se događa upravo suprotno radi primjene Flow Based metodologije alokacije prijenosnih kapaciteta.</w:t>
      </w:r>
      <w:r w:rsidR="6E7F2CCE" w:rsidRPr="63259912">
        <w:t>U pogledu daljnjih povećanja prekograničnih kapaciteta do 2030. godine ne postavljaju se posebni zahtjevi</w:t>
      </w:r>
      <w:r w:rsidR="462288E7" w:rsidRPr="63259912">
        <w:t xml:space="preserve">. </w:t>
      </w:r>
      <w:r w:rsidR="70B25B65" w:rsidRPr="63259912">
        <w:t>Susjedni operatori prijenosnih sustava (BiH, Srbija) pri tom pokazuju određeni interes za izgradnjom novih 400 kV interkonekcija prema BiH (Lika – Banja Luka) te Srbiji (Ernestinovo – Sombor) te se iste analiziraju kroz izradu desetogodišnjeg plana razvoja prijenosne mreže (TYNDP) u sklopu ENTSO-E.</w:t>
      </w:r>
    </w:p>
    <w:p w14:paraId="43491A2A" w14:textId="1DCC1966" w:rsidR="00076D09" w:rsidRDefault="462288E7" w:rsidP="00C90F8A">
      <w:r w:rsidRPr="63259912">
        <w:t xml:space="preserve">Razvoj novih </w:t>
      </w:r>
      <w:r w:rsidR="3DE8EDB0" w:rsidRPr="63259912">
        <w:t>interkon</w:t>
      </w:r>
      <w:r w:rsidR="3266A564" w:rsidRPr="63259912">
        <w:t>ekcijskih</w:t>
      </w:r>
      <w:r w:rsidRPr="63259912">
        <w:t xml:space="preserve"> projekata bit će zasnovan na tehno-ekonomskim sagledavanjima te temeljen na analizi </w:t>
      </w:r>
      <w:r w:rsidR="5CC1DD3F" w:rsidRPr="63259912">
        <w:t xml:space="preserve">troškova i koristi </w:t>
      </w:r>
      <w:r w:rsidRPr="63259912">
        <w:t xml:space="preserve">u skladu s metodologijom ENTSO-E. </w:t>
      </w:r>
      <w:r w:rsidR="0D75C96C" w:rsidRPr="63259912">
        <w:t xml:space="preserve">U pogledu daljnjih povećanja mogućnosti razmjena postojećim prekograničnim kapacitetima cilj je kontinuirano unaprjeđenje korištenja prekograničnih vodova, prvenstveno kroz otklanjanje zagušenja/ograničenja u internoj mreži. </w:t>
      </w:r>
      <w:r w:rsidR="3DE8EDB0" w:rsidRPr="63259912">
        <w:t>Očekivano je da će najviše utjecaja na plan razvoja prijenosne mreže imati: početak primjene regionalnog izračuna kapaciteta za dan unaprijed temeljenog na tokovima snaga, sklapanje sporazuma C</w:t>
      </w:r>
      <w:r w:rsidR="01AD6777" w:rsidRPr="63259912">
        <w:t>ORE</w:t>
      </w:r>
      <w:r w:rsidR="3DE8EDB0" w:rsidRPr="63259912">
        <w:t xml:space="preserve"> regije s trećim zemljama po pitanju uzimanja u obzir tokova trećih zemalja</w:t>
      </w:r>
      <w:r w:rsidR="3810FB1F" w:rsidRPr="63259912">
        <w:t xml:space="preserve"> </w:t>
      </w:r>
      <w:r w:rsidR="3DE8EDB0" w:rsidRPr="63259912">
        <w:t xml:space="preserve">u procesima regionalnih izračuna kapaciteta, </w:t>
      </w:r>
      <w:r w:rsidR="3DE8EDB0" w:rsidRPr="63259912">
        <w:lastRenderedPageBreak/>
        <w:t>donošenje regionalnih pravila za aktivaciju koordiniranog redispečinga i trgovanja u suprotnom smjeru.</w:t>
      </w:r>
    </w:p>
    <w:p w14:paraId="48B17500" w14:textId="2009DC73" w:rsidR="00862C99" w:rsidRPr="00B47BDA" w:rsidRDefault="00862C99" w:rsidP="005C2C7E">
      <w:pPr>
        <w:pStyle w:val="Heading3"/>
        <w:numPr>
          <w:ilvl w:val="2"/>
          <w:numId w:val="175"/>
        </w:numPr>
      </w:pPr>
      <w:bookmarkStart w:id="358" w:name="_Toc531801550"/>
      <w:bookmarkStart w:id="359" w:name="_Toc531801677"/>
      <w:bookmarkStart w:id="360" w:name="_Toc531801805"/>
      <w:bookmarkStart w:id="361" w:name="_Toc531801933"/>
      <w:bookmarkStart w:id="362" w:name="_Toc531702966"/>
      <w:bookmarkStart w:id="363" w:name="_Toc531801551"/>
      <w:bookmarkStart w:id="364" w:name="_Toc531801678"/>
      <w:bookmarkStart w:id="365" w:name="_Toc531801806"/>
      <w:bookmarkStart w:id="366" w:name="_Toc531801934"/>
      <w:bookmarkStart w:id="367" w:name="_Toc531935145"/>
      <w:bookmarkStart w:id="368" w:name="_Toc531945095"/>
      <w:bookmarkStart w:id="369" w:name="_Toc6302352"/>
      <w:bookmarkEnd w:id="358"/>
      <w:bookmarkEnd w:id="359"/>
      <w:bookmarkEnd w:id="360"/>
      <w:bookmarkEnd w:id="361"/>
      <w:bookmarkEnd w:id="362"/>
      <w:bookmarkEnd w:id="363"/>
      <w:bookmarkEnd w:id="364"/>
      <w:bookmarkEnd w:id="365"/>
      <w:bookmarkEnd w:id="366"/>
      <w:r w:rsidRPr="00B47BDA">
        <w:tab/>
      </w:r>
      <w:bookmarkStart w:id="370" w:name="_Toc187418339"/>
      <w:bookmarkStart w:id="371" w:name="_Toc193043264"/>
      <w:r w:rsidRPr="00B47BDA">
        <w:t>Infrastruktura za prijenos energije</w:t>
      </w:r>
      <w:bookmarkEnd w:id="370"/>
      <w:bookmarkEnd w:id="371"/>
    </w:p>
    <w:p w14:paraId="5AE253F2" w14:textId="1B87DD7A" w:rsidR="00862C99" w:rsidRPr="00B47BDA" w:rsidRDefault="00682B30" w:rsidP="00BA1C69">
      <w:pPr>
        <w:pStyle w:val="Heading4"/>
        <w:numPr>
          <w:ilvl w:val="3"/>
          <w:numId w:val="175"/>
        </w:numPr>
        <w:ind w:left="709" w:hanging="580"/>
      </w:pPr>
      <w:r w:rsidRPr="00B47BDA">
        <w:t xml:space="preserve">Ključni projekti za </w:t>
      </w:r>
      <w:r w:rsidR="00B46D9D">
        <w:t>elektroenergetski sustav</w:t>
      </w:r>
      <w:r w:rsidRPr="00B47BDA">
        <w:t xml:space="preserve"> i, prema potrebi, projekti modernizacije, koji su potrebni za ostvarivanje ciljeva u okviru pet dimenzija Strategije energetske unije</w:t>
      </w:r>
    </w:p>
    <w:bookmarkEnd w:id="367"/>
    <w:bookmarkEnd w:id="368"/>
    <w:bookmarkEnd w:id="369"/>
    <w:p w14:paraId="5B7B438C" w14:textId="5120FD46" w:rsidR="00B004B4" w:rsidRPr="00B47BDA" w:rsidRDefault="00262A38" w:rsidP="004623DD">
      <w:r w:rsidRPr="00B47BDA">
        <w:t>Ključni</w:t>
      </w:r>
      <w:r w:rsidR="00B004B4" w:rsidRPr="00B47BDA">
        <w:t xml:space="preserve"> ciljevi za infrastrukturu za prijenos električne energije</w:t>
      </w:r>
      <w:r w:rsidR="0073740A" w:rsidRPr="00B47BDA">
        <w:t>:</w:t>
      </w:r>
    </w:p>
    <w:p w14:paraId="22DB3B6F" w14:textId="77777777" w:rsidR="00B004B4" w:rsidRPr="00B47BDA" w:rsidRDefault="00B004B4" w:rsidP="004623DD">
      <w:pPr>
        <w:pStyle w:val="ListParagraph"/>
        <w:numPr>
          <w:ilvl w:val="0"/>
          <w:numId w:val="10"/>
        </w:numPr>
      </w:pPr>
      <w:r w:rsidRPr="00B47BDA">
        <w:t>održavanje visoke pouzdanosti prijenosnog sustava i sigurnosti opskrbe kupaca električnom energijom propisane kvalitete,</w:t>
      </w:r>
    </w:p>
    <w:p w14:paraId="4F83E88A" w14:textId="2AAF3689" w:rsidR="00B004B4" w:rsidRDefault="29DF3645" w:rsidP="004623DD">
      <w:pPr>
        <w:pStyle w:val="ListParagraph"/>
        <w:numPr>
          <w:ilvl w:val="0"/>
          <w:numId w:val="10"/>
        </w:numPr>
      </w:pPr>
      <w:r>
        <w:t>ubrzana integracija varijabilnih O</w:t>
      </w:r>
      <w:r w:rsidR="00D42925">
        <w:t>I</w:t>
      </w:r>
      <w:r>
        <w:t>E u elektroenergetski sustav te veća dostupnost regulacijskih rezervi radi uravnoteženja njihove proizvodnje,</w:t>
      </w:r>
    </w:p>
    <w:p w14:paraId="46577878" w14:textId="1B04BD15" w:rsidR="00C056F2" w:rsidRPr="00B47BDA" w:rsidRDefault="00421568" w:rsidP="004623DD">
      <w:pPr>
        <w:pStyle w:val="ListParagraph"/>
        <w:numPr>
          <w:ilvl w:val="0"/>
          <w:numId w:val="10"/>
        </w:numPr>
      </w:pPr>
      <w:r>
        <w:t xml:space="preserve">smanjenje unutarnjih zagušenja </w:t>
      </w:r>
      <w:r w:rsidR="001121BC">
        <w:t>razvojem prijenosne mreže</w:t>
      </w:r>
      <w:r w:rsidR="007E02A1">
        <w:t xml:space="preserve"> između područja proizvodnje i područja potrošnje</w:t>
      </w:r>
      <w:r w:rsidR="00A85D9D">
        <w:t>,</w:t>
      </w:r>
    </w:p>
    <w:p w14:paraId="127CE076" w14:textId="0E1AAEE6" w:rsidR="00B004B4" w:rsidRPr="00B47BDA" w:rsidRDefault="00B004B4" w:rsidP="004623DD">
      <w:pPr>
        <w:pStyle w:val="ListParagraph"/>
        <w:numPr>
          <w:ilvl w:val="0"/>
          <w:numId w:val="10"/>
        </w:numPr>
      </w:pPr>
      <w:r w:rsidRPr="00B47BDA">
        <w:t>pravovremena realizacija investicijskih planova, posebno kapitalnih investicija koje omogućavaju integraciju O</w:t>
      </w:r>
      <w:r w:rsidR="00D42925">
        <w:t>I</w:t>
      </w:r>
      <w:r w:rsidRPr="00B47BDA">
        <w:t>E u EES,</w:t>
      </w:r>
    </w:p>
    <w:p w14:paraId="5BBBB8AD" w14:textId="3690241D" w:rsidR="00B004B4" w:rsidRPr="00B47BDA" w:rsidRDefault="000861E5" w:rsidP="004623DD">
      <w:pPr>
        <w:pStyle w:val="ListParagraph"/>
        <w:numPr>
          <w:ilvl w:val="0"/>
          <w:numId w:val="10"/>
        </w:numPr>
      </w:pPr>
      <w:r w:rsidRPr="00B47BDA">
        <w:t>o</w:t>
      </w:r>
      <w:r w:rsidR="00CE1B59" w:rsidRPr="00B47BDA">
        <w:t>snaživanje tržišta električne energije povećanjem dostupnosti prijenosnih kapaciteta za tržišne sudionike unutar zone trgovanja i regije za koordinirani izračun kapaciteta tako da se otklone ograničenja prijenosne mreže prilikom nadmetanja</w:t>
      </w:r>
      <w:r w:rsidR="00B004B4" w:rsidRPr="00B47BDA">
        <w:t>,</w:t>
      </w:r>
    </w:p>
    <w:p w14:paraId="4BA8AC53" w14:textId="77777777" w:rsidR="00B004B4" w:rsidRPr="00B47BDA" w:rsidRDefault="00B004B4" w:rsidP="004623DD">
      <w:pPr>
        <w:pStyle w:val="ListParagraph"/>
        <w:numPr>
          <w:ilvl w:val="0"/>
          <w:numId w:val="10"/>
        </w:numPr>
      </w:pPr>
      <w:r w:rsidRPr="00B47BDA">
        <w:t>revitalizacija i zamjena starijih/dotrajalih jedinica mreže,</w:t>
      </w:r>
    </w:p>
    <w:p w14:paraId="20E7C013" w14:textId="52C64972" w:rsidR="00B004B4" w:rsidRPr="00B47BDA" w:rsidRDefault="00B004B4" w:rsidP="004623DD">
      <w:pPr>
        <w:pStyle w:val="ListParagraph"/>
        <w:numPr>
          <w:ilvl w:val="0"/>
          <w:numId w:val="10"/>
        </w:numPr>
      </w:pPr>
      <w:r w:rsidRPr="63259912">
        <w:t xml:space="preserve">povećanje prijenosnih moći pojedinih vodova predviđenih za revitalizaciju korištenjem </w:t>
      </w:r>
      <w:r w:rsidR="00A824B2" w:rsidRPr="63259912">
        <w:t xml:space="preserve">visokotemperaturnih niskoprovjesnih vodiča (eng. High Temperature Low Sag, </w:t>
      </w:r>
      <w:r w:rsidRPr="63259912">
        <w:t>HTLS</w:t>
      </w:r>
      <w:r w:rsidR="00A824B2" w:rsidRPr="63259912">
        <w:t>)</w:t>
      </w:r>
      <w:r w:rsidRPr="63259912">
        <w:t xml:space="preserve"> vodiča, </w:t>
      </w:r>
      <w:r w:rsidR="00247821" w:rsidRPr="63259912">
        <w:t xml:space="preserve">uz </w:t>
      </w:r>
      <w:r w:rsidRPr="63259912">
        <w:t>smanjenje gubitaka u prijenosu električne energije,</w:t>
      </w:r>
    </w:p>
    <w:p w14:paraId="549F6B88" w14:textId="3C4F9AC7" w:rsidR="0073740A" w:rsidRPr="00B47BDA" w:rsidRDefault="00B004B4" w:rsidP="002C5384">
      <w:pPr>
        <w:pStyle w:val="ListParagraph"/>
        <w:numPr>
          <w:ilvl w:val="0"/>
          <w:numId w:val="10"/>
        </w:numPr>
      </w:pPr>
      <w:r w:rsidRPr="00B47BDA">
        <w:t>primjen</w:t>
      </w:r>
      <w:r w:rsidR="004F7AA6" w:rsidRPr="00B47BDA">
        <w:t>a</w:t>
      </w:r>
      <w:r w:rsidRPr="00B47BDA">
        <w:t xml:space="preserve"> novih tehnologija u prijenosu, </w:t>
      </w:r>
      <w:r w:rsidR="00D43BFD" w:rsidRPr="00B47BDA">
        <w:t>ako</w:t>
      </w:r>
      <w:r w:rsidRPr="00B47BDA">
        <w:t xml:space="preserve"> </w:t>
      </w:r>
      <w:r w:rsidR="00247821" w:rsidRPr="00B47BDA">
        <w:t>su</w:t>
      </w:r>
      <w:r w:rsidRPr="00B47BDA">
        <w:t xml:space="preserve"> tehno-ekonomski </w:t>
      </w:r>
      <w:r w:rsidR="00247821" w:rsidRPr="00B47BDA">
        <w:t>opravdane</w:t>
      </w:r>
      <w:r w:rsidRPr="00B47BDA">
        <w:t xml:space="preserve">. </w:t>
      </w:r>
    </w:p>
    <w:p w14:paraId="015B3254" w14:textId="2832A938" w:rsidR="00D63255" w:rsidRDefault="00797889" w:rsidP="00107BBF">
      <w:r w:rsidRPr="00E62201">
        <w:t xml:space="preserve">S druge strane, najveće se promjene očekuju u </w:t>
      </w:r>
      <w:r w:rsidR="00D63255" w:rsidRPr="00E62201">
        <w:t>distribucijsk</w:t>
      </w:r>
      <w:r w:rsidRPr="00E62201">
        <w:t>om</w:t>
      </w:r>
      <w:r w:rsidR="00D63255" w:rsidRPr="00E62201">
        <w:t xml:space="preserve"> </w:t>
      </w:r>
      <w:r w:rsidRPr="00E62201">
        <w:t>sustavu</w:t>
      </w:r>
      <w:r w:rsidR="00064B01" w:rsidRPr="00E62201">
        <w:t xml:space="preserve">, koji treba biti podrška </w:t>
      </w:r>
      <w:r w:rsidR="00340643" w:rsidRPr="00E62201">
        <w:t xml:space="preserve">aktivnom sudjelovanju velikog broja korisnika mreže </w:t>
      </w:r>
      <w:r w:rsidR="008F60B5" w:rsidRPr="00E62201">
        <w:t>u</w:t>
      </w:r>
      <w:r w:rsidR="00D63255" w:rsidRPr="00E62201">
        <w:t xml:space="preserve"> </w:t>
      </w:r>
      <w:r w:rsidR="00340643" w:rsidRPr="00E62201">
        <w:t>energetskoj tranziciji</w:t>
      </w:r>
      <w:r w:rsidR="008F60B5" w:rsidRPr="00E62201">
        <w:t xml:space="preserve">, uključujući </w:t>
      </w:r>
      <w:r w:rsidR="00340643" w:rsidRPr="00E62201">
        <w:t xml:space="preserve"> </w:t>
      </w:r>
      <w:r w:rsidR="00D63255" w:rsidRPr="00E62201">
        <w:t xml:space="preserve">prihvat velikog broja distribuiranih izvora </w:t>
      </w:r>
      <w:r w:rsidR="004B2C5A" w:rsidRPr="00E62201">
        <w:t xml:space="preserve">električne </w:t>
      </w:r>
      <w:r w:rsidR="00D63255" w:rsidRPr="00E62201">
        <w:t>energije manje snage, ulogu u priključenju i napajanju punionica</w:t>
      </w:r>
      <w:r w:rsidR="00D2783A" w:rsidRPr="00E62201">
        <w:t xml:space="preserve"> za električna vozila</w:t>
      </w:r>
      <w:r w:rsidR="004B2C5A" w:rsidRPr="00E62201">
        <w:t xml:space="preserve"> i</w:t>
      </w:r>
      <w:r w:rsidR="00D63255" w:rsidRPr="00E62201">
        <w:t xml:space="preserve"> stvaranju preduvjeta za zelenu tranziciju u zgradarstvu.</w:t>
      </w:r>
    </w:p>
    <w:p w14:paraId="1CE3D3A1" w14:textId="02626286" w:rsidR="00107BBF" w:rsidRDefault="00107BBF" w:rsidP="00107BBF">
      <w:r w:rsidRPr="63259912">
        <w:t>Visoka razina integracije OIE u Hrvatskoj podrazumijeva značajnu dogradnju i rekonfiguraciju elektroenergetske mreže koja je inicijalno planirana i izgrađena za sasvim druge pogonske uvjete i potrebe</w:t>
      </w:r>
      <w:r w:rsidR="0081678D" w:rsidRPr="63259912">
        <w:t>, posebno u pogledu distribucijskog sustava</w:t>
      </w:r>
      <w:r w:rsidRPr="63259912">
        <w:t xml:space="preserve">. U međuvremenu je značajan udio elemenata elektroenergetske mreže došao do kraja životnog vijeka, pa je u narednom razdoblju nužno realizirati paralelan proces revitalizacije zastarjele postojeće i dogradnje nove elektroenergetske mreže potrebne za prihvat veće razine OIE. Primjerice, za gotovo 50% duljine postojećih dalekovoda u prijenosnoj mreži životni vijek je već istekao. Iz istog razloga je nužno godišnje revitalizirati prosječno 7 transformatorskih stanica u prijenosnoj mreži. </w:t>
      </w:r>
    </w:p>
    <w:p w14:paraId="3E5DFDF6" w14:textId="0B3665A0" w:rsidR="00107BBF" w:rsidRDefault="58E9C931" w:rsidP="00107BBF">
      <w:r>
        <w:t>S druge strane, trenutno je u Hrvatskoj priključeno ukupno oko 4</w:t>
      </w:r>
      <w:r w:rsidR="0066300A">
        <w:t>.</w:t>
      </w:r>
      <w:r>
        <w:t xml:space="preserve">000 MW instalirane snage OIE, odnosno 66% ukupno instaliranog proizvodnog kapaciteta. </w:t>
      </w:r>
    </w:p>
    <w:p w14:paraId="7CBD5918" w14:textId="3B1EC210" w:rsidR="00107BBF" w:rsidRDefault="00107BBF" w:rsidP="00107BBF">
      <w:r>
        <w:lastRenderedPageBreak/>
        <w:t>Potrebne investicije u prijenosnu mrežu u razdoblju do 2026. realizirat će se uglavnom putem</w:t>
      </w:r>
      <w:r w:rsidRPr="00715E13">
        <w:t xml:space="preserve"> </w:t>
      </w:r>
      <w:r>
        <w:t>Nacionalnog plana oporavka i otpornosti, većinom k</w:t>
      </w:r>
      <w:r w:rsidRPr="00715E13">
        <w:t>roz povećanje prijenosne moći postojećih 110</w:t>
      </w:r>
      <w:r w:rsidR="00AB625A">
        <w:t> </w:t>
      </w:r>
      <w:r w:rsidRPr="00715E13">
        <w:t>kV i 220</w:t>
      </w:r>
      <w:r w:rsidR="00AB625A">
        <w:t> </w:t>
      </w:r>
      <w:r w:rsidRPr="00715E13">
        <w:t xml:space="preserve">kV vodova, čime će </w:t>
      </w:r>
      <w:r w:rsidR="006507CD">
        <w:t xml:space="preserve">u </w:t>
      </w:r>
      <w:r>
        <w:t xml:space="preserve">određenoj mjeri </w:t>
      </w:r>
      <w:r w:rsidRPr="00715E13">
        <w:t xml:space="preserve">biti ispunjeni preduvjeti za ostvarenje </w:t>
      </w:r>
      <w:r>
        <w:t xml:space="preserve">navedenih </w:t>
      </w:r>
      <w:r w:rsidRPr="00715E13">
        <w:t>ciljeva iz NECP</w:t>
      </w:r>
      <w:r>
        <w:t>-a.</w:t>
      </w:r>
      <w:r w:rsidR="00980726">
        <w:t xml:space="preserve"> </w:t>
      </w:r>
    </w:p>
    <w:p w14:paraId="08249420" w14:textId="6D9504B5" w:rsidR="00107BBF" w:rsidRDefault="00107BBF" w:rsidP="00107BBF">
      <w:r>
        <w:t xml:space="preserve">Međutim, interes investitora u OIE značajno prelazi ciljeve NECP-a, odnosno potrebe Hrvatske. Za integraciju OIE iznad ciljeva NECP-a bit će </w:t>
      </w:r>
      <w:r w:rsidRPr="00715E13">
        <w:t>potrebne</w:t>
      </w:r>
      <w:r>
        <w:t>: a)</w:t>
      </w:r>
      <w:r w:rsidRPr="00715E13">
        <w:t xml:space="preserve"> značajne </w:t>
      </w:r>
      <w:r>
        <w:t xml:space="preserve">dodatne </w:t>
      </w:r>
      <w:r w:rsidRPr="00715E13">
        <w:t>investicije u prijenosnu 400 kV mrežu</w:t>
      </w:r>
      <w:r>
        <w:t xml:space="preserve"> i </w:t>
      </w:r>
      <w:r w:rsidR="009873F9">
        <w:t xml:space="preserve">distribucijsku mrežu na svim naponskim razinama </w:t>
      </w:r>
      <w:r w:rsidR="0056556D">
        <w:t xml:space="preserve">te </w:t>
      </w:r>
      <w:r>
        <w:t>b) značajno veća fleksibilnost elektroenergetskog sustava,</w:t>
      </w:r>
      <w:r w:rsidRPr="00715E13">
        <w:t xml:space="preserve"> čija su glavna obilježja vrlo stepenast porast </w:t>
      </w:r>
      <w:r>
        <w:t>potrebnih</w:t>
      </w:r>
      <w:r w:rsidRPr="00715E13">
        <w:t xml:space="preserve"> investicija</w:t>
      </w:r>
      <w:r>
        <w:t>. Prema trenutno sagledivom stanju do kraja 2033.</w:t>
      </w:r>
      <w:r w:rsidR="00064DCF">
        <w:t xml:space="preserve"> godine</w:t>
      </w:r>
      <w:r>
        <w:t xml:space="preserve"> </w:t>
      </w:r>
      <w:r w:rsidRPr="00715E13">
        <w:t xml:space="preserve">na prijenosnu mrežu </w:t>
      </w:r>
      <w:r>
        <w:t xml:space="preserve">se očekuje da će priključak zatražiti ukupno oko </w:t>
      </w:r>
      <w:r w:rsidRPr="00715E13">
        <w:t>4</w:t>
      </w:r>
      <w:r w:rsidR="00041518">
        <w:t>.</w:t>
      </w:r>
      <w:r>
        <w:t xml:space="preserve">800 </w:t>
      </w:r>
      <w:r w:rsidRPr="00715E13">
        <w:t xml:space="preserve">MW novih </w:t>
      </w:r>
      <w:r>
        <w:t>proizvodnih objekata</w:t>
      </w:r>
      <w:r w:rsidR="00FE784D">
        <w:t xml:space="preserve">. </w:t>
      </w:r>
      <w:r>
        <w:t>Za tako visoku integraciju O</w:t>
      </w:r>
      <w:r w:rsidR="00FE784D">
        <w:t>I</w:t>
      </w:r>
      <w:r>
        <w:t>E nužno je osigurati dodatnih 872 mil</w:t>
      </w:r>
      <w:r w:rsidR="004703F8">
        <w:t>ijuna EUR</w:t>
      </w:r>
      <w:r>
        <w:t xml:space="preserve"> investicija u </w:t>
      </w:r>
      <w:r w:rsidR="00F253D9" w:rsidRPr="00412C98">
        <w:t>400 </w:t>
      </w:r>
      <w:r w:rsidRPr="00412C98">
        <w:t>kV prijenosnu mrežu do 2030.</w:t>
      </w:r>
      <w:r w:rsidR="00064DCF" w:rsidRPr="00412C98">
        <w:t xml:space="preserve"> godine</w:t>
      </w:r>
      <w:r w:rsidRPr="00412C98">
        <w:t xml:space="preserve">, povrh očekivanih </w:t>
      </w:r>
      <w:r w:rsidR="00644277" w:rsidRPr="00412C98">
        <w:t>preko</w:t>
      </w:r>
      <w:r w:rsidRPr="00412C98">
        <w:t xml:space="preserve"> 1</w:t>
      </w:r>
      <w:r w:rsidR="00644277" w:rsidRPr="00412C98">
        <w:t>,</w:t>
      </w:r>
      <w:r w:rsidRPr="00412C98">
        <w:t xml:space="preserve">4 </w:t>
      </w:r>
      <w:r w:rsidR="00E01E6E" w:rsidRPr="00412C98">
        <w:t xml:space="preserve">milijarde </w:t>
      </w:r>
      <w:r w:rsidR="002E233B" w:rsidRPr="00412C98">
        <w:t>EUR</w:t>
      </w:r>
      <w:r w:rsidRPr="00412C98">
        <w:t xml:space="preserve"> investicija u distribucijsku mrežu. Drugim riječima, bit će potrebno ukupno</w:t>
      </w:r>
      <w:r>
        <w:t xml:space="preserve"> pokrenuti investicije u mrežu u iznosu od oko 2,3 </w:t>
      </w:r>
      <w:r w:rsidR="002E233B">
        <w:t>milijarde EUR</w:t>
      </w:r>
      <w:r>
        <w:t xml:space="preserve"> u idućih 10 godina, odnosno prosječno oko 230 mil</w:t>
      </w:r>
      <w:r w:rsidR="002E233B">
        <w:t>ijuna EUR</w:t>
      </w:r>
      <w:r>
        <w:t>/god. P</w:t>
      </w:r>
      <w:r w:rsidRPr="00715E13">
        <w:t xml:space="preserve">rocijenjena vrijednost investicija u prijenosne vodove 400 kV iznosi </w:t>
      </w:r>
      <w:r>
        <w:t xml:space="preserve">oko </w:t>
      </w:r>
      <w:r w:rsidRPr="00715E13">
        <w:t>625</w:t>
      </w:r>
      <w:r>
        <w:t xml:space="preserve"> mi</w:t>
      </w:r>
      <w:r w:rsidR="009A10D1">
        <w:t>lijuna EUR</w:t>
      </w:r>
      <w:r>
        <w:t>, u pripadne 400/x kV transformatorske stanice 177 mil</w:t>
      </w:r>
      <w:r w:rsidR="009A10D1">
        <w:t>ijuna EUR</w:t>
      </w:r>
      <w:r>
        <w:t>, dok se dodatne investicije u 110 i 220 kV prijenosnu mrežu očekuju na razini od oko 60 mil</w:t>
      </w:r>
      <w:r w:rsidR="009A10D1">
        <w:t>ijuna EUR</w:t>
      </w:r>
      <w:r>
        <w:t xml:space="preserve">. </w:t>
      </w:r>
    </w:p>
    <w:p w14:paraId="39802662" w14:textId="3DCFD376" w:rsidR="00A758BE" w:rsidRPr="00B47BDA" w:rsidRDefault="4F2B5C2D" w:rsidP="00107BBF">
      <w:r w:rsidRPr="63259912">
        <w:t>Navedene investicije u mrežu nužne su zbog priključenja novih proizvodnih objekata</w:t>
      </w:r>
      <w:r w:rsidR="005608CB" w:rsidRPr="63259912">
        <w:t xml:space="preserve">, </w:t>
      </w:r>
      <w:r w:rsidR="005F3956" w:rsidRPr="63259912">
        <w:t>zahtjeva za povećanjem fleksibilnosti</w:t>
      </w:r>
      <w:r w:rsidR="00AB2561" w:rsidRPr="63259912">
        <w:t>, elektrifikacije</w:t>
      </w:r>
      <w:r w:rsidR="00265D56" w:rsidRPr="63259912">
        <w:t>, izazovima vezanim uz klimatske promjene</w:t>
      </w:r>
      <w:r w:rsidR="00612A7C" w:rsidRPr="63259912">
        <w:t>, starost mreže i dr</w:t>
      </w:r>
      <w:r w:rsidRPr="63259912">
        <w:t>. Sukladno postojećim propisima, alokacija tih troškova treba odražavati stvarne uzroke i podrazumijeva da se trošak izgradnje mreže podijeli između novih korisnika mreže (jednokratne naknade za priključenje) i krajnjih kupaca (mrežarine). Financiranje cjelokupnog navedenog iznosa samo iz mrežarine podrazumijevalo bi njeno značajno povećanje (barem 30%, povrh inicijalnog povećanja troškova poslovanja operatora).</w:t>
      </w:r>
      <w:r w:rsidR="001C34C9" w:rsidRPr="63259912">
        <w:t xml:space="preserve"> </w:t>
      </w:r>
      <w:r w:rsidR="00DA3AFD" w:rsidRPr="63259912">
        <w:t xml:space="preserve">Radi </w:t>
      </w:r>
      <w:r w:rsidR="00D53322" w:rsidRPr="63259912">
        <w:t xml:space="preserve">optimiranja ulaganja u kapacitete </w:t>
      </w:r>
      <w:r w:rsidR="00A446C3" w:rsidRPr="63259912">
        <w:t>prijenosne i distribucijske mreže</w:t>
      </w:r>
      <w:r w:rsidR="005320E6" w:rsidRPr="63259912">
        <w:t xml:space="preserve"> </w:t>
      </w:r>
      <w:r w:rsidR="00A848C2" w:rsidRPr="63259912">
        <w:t>potrebnih za</w:t>
      </w:r>
      <w:r w:rsidR="005320E6" w:rsidRPr="63259912">
        <w:t xml:space="preserve"> priključenja</w:t>
      </w:r>
      <w:r w:rsidR="00DA3AFD" w:rsidRPr="63259912">
        <w:t xml:space="preserve"> </w:t>
      </w:r>
      <w:r w:rsidR="009F60C3" w:rsidRPr="63259912">
        <w:t>novih proizvodnih objekata</w:t>
      </w:r>
      <w:r w:rsidR="00A848C2" w:rsidRPr="63259912">
        <w:t>,</w:t>
      </w:r>
      <w:r w:rsidR="009F60C3" w:rsidRPr="63259912">
        <w:t xml:space="preserve"> </w:t>
      </w:r>
      <w:r w:rsidR="001C34C9" w:rsidRPr="63259912">
        <w:t xml:space="preserve">potrebno </w:t>
      </w:r>
      <w:r w:rsidR="0056341F" w:rsidRPr="63259912">
        <w:t>je</w:t>
      </w:r>
      <w:r w:rsidR="001C34C9" w:rsidRPr="63259912">
        <w:t xml:space="preserve"> maksimalno poticati proizvodnju električne energije integriranu unutar izgrađenih površina </w:t>
      </w:r>
      <w:r w:rsidR="00A848C2" w:rsidRPr="63259912">
        <w:t>s već postojećom elektroenergetskom infrastrukturom</w:t>
      </w:r>
      <w:r w:rsidR="001C34C9" w:rsidRPr="63259912">
        <w:t xml:space="preserve">. </w:t>
      </w:r>
      <w:r w:rsidR="00A6442C" w:rsidRPr="63259912">
        <w:t xml:space="preserve">To posebno vrijedi </w:t>
      </w:r>
      <w:r w:rsidR="00FE397E" w:rsidRPr="63259912">
        <w:t>za distribucijsku mrežu, kod koje r</w:t>
      </w:r>
      <w:r w:rsidR="001C34C9" w:rsidRPr="63259912">
        <w:t xml:space="preserve">azvijanje velikih kapaciteta proizvodnje električne energije na lokacijama udaljenim od potrošnje zahtijeva </w:t>
      </w:r>
      <w:r w:rsidR="00FE397E" w:rsidRPr="63259912">
        <w:t>višestruko</w:t>
      </w:r>
      <w:r w:rsidR="001C34C9" w:rsidRPr="63259912">
        <w:t xml:space="preserve"> povećana ulaganja u novu i postojeću </w:t>
      </w:r>
      <w:r w:rsidR="00FE397E" w:rsidRPr="63259912">
        <w:t>infrastrukturu</w:t>
      </w:r>
      <w:r w:rsidR="002727AC" w:rsidRPr="63259912">
        <w:t xml:space="preserve"> te time </w:t>
      </w:r>
      <w:r w:rsidR="00550365" w:rsidRPr="63259912">
        <w:t>povećava</w:t>
      </w:r>
      <w:r w:rsidR="002727AC" w:rsidRPr="63259912">
        <w:t xml:space="preserve"> rizik nepostizanja ciljeva udjela obnovljive energije u bruto neposrednoj potrošnji električne energije.</w:t>
      </w:r>
    </w:p>
    <w:p w14:paraId="71D4E537" w14:textId="27297EC2" w:rsidR="1D2490EC" w:rsidRDefault="1D2490EC" w:rsidP="40A57B62">
      <w:r>
        <w:t xml:space="preserve">U planiranju i provedbi infrastrukture za prijenos energije nužno je </w:t>
      </w:r>
      <w:r w:rsidR="3FFA7D00">
        <w:t>provesti mjer</w:t>
      </w:r>
      <w:r w:rsidR="5D0B524E">
        <w:t>u</w:t>
      </w:r>
      <w:r w:rsidR="3FFA7D00">
        <w:t xml:space="preserve"> E-06 Jačanje otpornosti distribucijske mreže i </w:t>
      </w:r>
      <w:r w:rsidR="7E67237D">
        <w:t xml:space="preserve">mjeru </w:t>
      </w:r>
      <w:r w:rsidR="3FFA7D00">
        <w:t>E-07 Jačanje otpornosti prijenosne mreže iz Strategije prilagodbe klimatskim promjenama izradom i primjenom svih analiz</w:t>
      </w:r>
      <w:r w:rsidR="29EE7D46">
        <w:t>a ranjivosti i planova razvoja implementirajući mjere prilagodbe klimatskim promjenama.</w:t>
      </w:r>
    </w:p>
    <w:p w14:paraId="45E6B799" w14:textId="7948F38A" w:rsidR="00FF0CF3" w:rsidRPr="00B47BDA" w:rsidRDefault="00FF0CF3" w:rsidP="005C2C7E">
      <w:pPr>
        <w:pStyle w:val="Heading4"/>
        <w:numPr>
          <w:ilvl w:val="3"/>
          <w:numId w:val="175"/>
        </w:numPr>
        <w:ind w:hanging="580"/>
      </w:pPr>
      <w:r w:rsidRPr="00B47BDA">
        <w:t>Ključni ciljevi za infrastrukturu za prijenos plina</w:t>
      </w:r>
    </w:p>
    <w:p w14:paraId="572A83E9" w14:textId="0E218D5B" w:rsidR="00677E9A" w:rsidRPr="00B47BDA" w:rsidRDefault="00B5247E" w:rsidP="004623DD">
      <w:pPr>
        <w:rPr>
          <w:highlight w:val="yellow"/>
        </w:rPr>
      </w:pPr>
      <w:r w:rsidRPr="00B47BDA">
        <w:t>Dogradnjom i rekonstrukcijom postojećeg skladišta plina ostvareni su preduvjeti za povećanje njegovih izlaznih kapaciteta do 20%</w:t>
      </w:r>
      <w:r w:rsidR="003238BF" w:rsidRPr="00B47BDA">
        <w:t>, povećana je sigurnost i pouzdanost rada skladišta</w:t>
      </w:r>
      <w:r w:rsidR="00F23886" w:rsidRPr="00B47BDA">
        <w:t xml:space="preserve"> te su smanjeni troškovi pogonskoga goriva i troškova održavanja.</w:t>
      </w:r>
      <w:r w:rsidR="0087079B" w:rsidRPr="00B47BDA">
        <w:t xml:space="preserve"> </w:t>
      </w:r>
      <w:r w:rsidR="00F62491" w:rsidRPr="00B47BDA">
        <w:t>Plan r</w:t>
      </w:r>
      <w:r w:rsidR="00677E9A" w:rsidRPr="00B47BDA">
        <w:t>azvoj</w:t>
      </w:r>
      <w:r w:rsidR="00F62491" w:rsidRPr="00B47BDA">
        <w:t>a</w:t>
      </w:r>
      <w:r w:rsidR="00677E9A" w:rsidRPr="00B47BDA">
        <w:t xml:space="preserve"> sustava skladišt</w:t>
      </w:r>
      <w:r w:rsidR="00F62491" w:rsidRPr="00B47BDA">
        <w:t>a</w:t>
      </w:r>
      <w:r w:rsidR="00677E9A" w:rsidRPr="00B47BDA">
        <w:t xml:space="preserve"> plina obuhvaća </w:t>
      </w:r>
      <w:r w:rsidR="00EA34A0" w:rsidRPr="00B47BDA">
        <w:t>daljnji razvoj i modernizaciju</w:t>
      </w:r>
      <w:r w:rsidR="00FA46F6" w:rsidRPr="00B47BDA">
        <w:t xml:space="preserve"> postojećih</w:t>
      </w:r>
      <w:r w:rsidR="00677E9A" w:rsidRPr="00B47BDA">
        <w:t>,</w:t>
      </w:r>
      <w:r w:rsidR="00C37D17" w:rsidRPr="00B47BDA">
        <w:t xml:space="preserve"> kao i</w:t>
      </w:r>
      <w:r w:rsidR="00677E9A" w:rsidRPr="00B47BDA" w:rsidDel="00C37D17">
        <w:t xml:space="preserve"> </w:t>
      </w:r>
      <w:r w:rsidR="00677E9A" w:rsidRPr="00B47BDA">
        <w:t>izgradnju</w:t>
      </w:r>
      <w:r w:rsidR="00C37D17" w:rsidRPr="00B47BDA">
        <w:t xml:space="preserve"> novih</w:t>
      </w:r>
      <w:r w:rsidR="00C64D39" w:rsidRPr="00B47BDA">
        <w:t xml:space="preserve"> skladišnih kapaciteta</w:t>
      </w:r>
      <w:r w:rsidR="008C3BF5" w:rsidRPr="00B47BDA">
        <w:t>, što</w:t>
      </w:r>
      <w:r w:rsidR="00686CDD" w:rsidRPr="00B47BDA">
        <w:t xml:space="preserve"> prije svega</w:t>
      </w:r>
      <w:r w:rsidR="008C3BF5" w:rsidRPr="00B47BDA">
        <w:t xml:space="preserve"> </w:t>
      </w:r>
      <w:r w:rsidR="00744826" w:rsidRPr="00B47BDA">
        <w:t>podrazumijeva izgradnju podzemnog skladišta plina na lokaciji eksploatacijskog polja ugljikovodika Grubišno Polje</w:t>
      </w:r>
      <w:r w:rsidR="00686CDD" w:rsidRPr="00B47BDA">
        <w:t xml:space="preserve">, ali i </w:t>
      </w:r>
      <w:r w:rsidR="00677E9A" w:rsidRPr="00B47BDA">
        <w:t>potencijaln</w:t>
      </w:r>
      <w:r w:rsidR="00686CDD" w:rsidRPr="00B47BDA">
        <w:t>u</w:t>
      </w:r>
      <w:r w:rsidR="00677E9A" w:rsidRPr="00B47BDA">
        <w:t xml:space="preserve"> izgradnj</w:t>
      </w:r>
      <w:r w:rsidR="00686CDD" w:rsidRPr="00B47BDA">
        <w:t>u</w:t>
      </w:r>
      <w:r w:rsidR="00677E9A" w:rsidRPr="00B47BDA">
        <w:t xml:space="preserve"> novog sezonskog skladišta plina sukladno mogućnostima i potrebama.</w:t>
      </w:r>
      <w:r w:rsidR="00733F5E" w:rsidRPr="00B47BDA">
        <w:t xml:space="preserve"> Podzemno skladište plina </w:t>
      </w:r>
      <w:r w:rsidR="00733F5E" w:rsidRPr="00B47BDA">
        <w:lastRenderedPageBreak/>
        <w:t>Grubišno Polje planirano je kao skladište relativno</w:t>
      </w:r>
      <w:r w:rsidR="003811F6" w:rsidRPr="00B47BDA">
        <w:t xml:space="preserve"> </w:t>
      </w:r>
      <w:r w:rsidR="00733F5E" w:rsidRPr="00B47BDA">
        <w:t xml:space="preserve">malog radnog volumena (oko 60 milijuna </w:t>
      </w:r>
      <w:r w:rsidR="002A1502" w:rsidRPr="00B47BDA">
        <w:t>m</w:t>
      </w:r>
      <w:r w:rsidR="002A1502" w:rsidRPr="00B47BDA">
        <w:rPr>
          <w:vertAlign w:val="superscript"/>
        </w:rPr>
        <w:t>3</w:t>
      </w:r>
      <w:r w:rsidR="00733F5E" w:rsidRPr="00B47BDA">
        <w:t xml:space="preserve">), ali relativno velikih kapaciteta </w:t>
      </w:r>
      <w:r w:rsidR="003811F6" w:rsidRPr="00B47BDA">
        <w:t xml:space="preserve">utiskivanja </w:t>
      </w:r>
      <w:r w:rsidR="00806938" w:rsidRPr="00B47BDA">
        <w:t>(oko 70 000 m</w:t>
      </w:r>
      <w:r w:rsidR="00806938" w:rsidRPr="00B47BDA">
        <w:rPr>
          <w:vertAlign w:val="superscript"/>
        </w:rPr>
        <w:t>3</w:t>
      </w:r>
      <w:r w:rsidR="00806938" w:rsidRPr="00B47BDA">
        <w:t xml:space="preserve">) </w:t>
      </w:r>
      <w:r w:rsidR="003811F6" w:rsidRPr="00B47BDA">
        <w:t>i povlačenja</w:t>
      </w:r>
      <w:r w:rsidR="00806938" w:rsidRPr="00B47BDA">
        <w:t xml:space="preserve"> (oko 100 000 m</w:t>
      </w:r>
      <w:r w:rsidR="00806938" w:rsidRPr="00B47BDA">
        <w:rPr>
          <w:vertAlign w:val="superscript"/>
        </w:rPr>
        <w:t>3</w:t>
      </w:r>
      <w:r w:rsidR="002A1502" w:rsidRPr="00B47BDA">
        <w:t>)</w:t>
      </w:r>
      <w:r w:rsidR="00733F5E" w:rsidRPr="00B47BDA">
        <w:t xml:space="preserve">. Primarna namjena </w:t>
      </w:r>
      <w:r w:rsidR="000333EF" w:rsidRPr="00B47BDA">
        <w:t>ovog skladišta</w:t>
      </w:r>
      <w:r w:rsidR="00733F5E" w:rsidRPr="00B47BDA">
        <w:t xml:space="preserve"> bit će pokrivanje vršnih potreba za plinom u plinskom sustavu RH, </w:t>
      </w:r>
      <w:r w:rsidR="00380D91" w:rsidRPr="00B47BDA">
        <w:t>što</w:t>
      </w:r>
      <w:r w:rsidR="00733F5E" w:rsidRPr="00B47BDA">
        <w:t xml:space="preserve"> će omogućiti i optimalno iskorištavanje </w:t>
      </w:r>
      <w:r w:rsidR="00380D91" w:rsidRPr="00B47BDA">
        <w:t>postojećeg plinskog skladišta</w:t>
      </w:r>
      <w:r w:rsidR="005F0F20" w:rsidRPr="00B47BDA">
        <w:t xml:space="preserve"> </w:t>
      </w:r>
      <w:r w:rsidR="00733F5E" w:rsidRPr="00B47BDA">
        <w:t xml:space="preserve">te povećati fleksibilnost cijelog plinskog sustava, kao i sigurnost opskrbe plinom </w:t>
      </w:r>
      <w:r w:rsidR="005F0F20" w:rsidRPr="00B47BDA">
        <w:t xml:space="preserve">u </w:t>
      </w:r>
      <w:r w:rsidR="00733F5E" w:rsidRPr="00B47BDA">
        <w:t>R</w:t>
      </w:r>
      <w:r w:rsidR="00303F39" w:rsidRPr="00B47BDA">
        <w:t>H</w:t>
      </w:r>
      <w:r w:rsidR="00733F5E" w:rsidRPr="00B47BDA">
        <w:t>.</w:t>
      </w:r>
    </w:p>
    <w:p w14:paraId="238EF97F" w14:textId="24FFCE12" w:rsidR="00A626AB" w:rsidRPr="00B47BDA" w:rsidRDefault="00A626AB" w:rsidP="004623DD">
      <w:r w:rsidRPr="00B47BDA">
        <w:t>Energetski skladišni prostori i objekti za prihvat, skladištenje i uplinjavanje ili dekompresiju ukapljenog prirodnog plina (UPP) i stlačenog prirodnog plina (SPP) imaju sve značajniju ulogu u europskoj energetskoj infrastrukturi. Proširenje takvih infrastrukturnih objekata sastavni je dio funkcionalne mrežne infrastrukture.</w:t>
      </w:r>
    </w:p>
    <w:p w14:paraId="086AF8D2" w14:textId="1EEED692" w:rsidR="0F14F383" w:rsidRDefault="0F14F383">
      <w:r>
        <w:t xml:space="preserve">Energetska infrastruktura za plin koju treba izgraditi u cilju provedbe prioriteta iz područja energetske infrastrukture od zajedničkog interesa </w:t>
      </w:r>
      <w:r w:rsidR="78FE87E6">
        <w:t xml:space="preserve">definirani </w:t>
      </w:r>
      <w:r w:rsidR="728B34C7">
        <w:t xml:space="preserve">su </w:t>
      </w:r>
      <w:r w:rsidR="78FE87E6">
        <w:t>Desetgod</w:t>
      </w:r>
      <w:r w:rsidR="0FF1BFFF">
        <w:t>i</w:t>
      </w:r>
      <w:r w:rsidR="78FE87E6">
        <w:t xml:space="preserve">šnjim planom </w:t>
      </w:r>
      <w:r w:rsidR="00B4BAD5">
        <w:t>razvoja plinskog transportnog sustava</w:t>
      </w:r>
      <w:r>
        <w:t>.</w:t>
      </w:r>
      <w:r w:rsidR="728B34C7">
        <w:t xml:space="preserve"> </w:t>
      </w:r>
      <w:r>
        <w:t xml:space="preserve">U skladu s Uredbom (EU) </w:t>
      </w:r>
      <w:r w:rsidR="1EE57558">
        <w:t>2022/</w:t>
      </w:r>
      <w:r w:rsidR="558BE3A8">
        <w:t>869</w:t>
      </w:r>
      <w:r w:rsidR="280C3684">
        <w:t xml:space="preserve"> Europskog parlamenta i Vijeća od 30. svibnja 2022. o smjernicama za transeuropsku energetsku infrastrukturu, izmjeni uredaba (EZ) br. 715/2009, (EU) 2019/942 i (EU) 2019/943 i direktiva 2009/73/EZ i (EU) 2019/944 te stavljanju izvan snage Uredbe (EU) br. 347/2013</w:t>
      </w:r>
      <w:r w:rsidR="00062500">
        <w:t xml:space="preserve"> </w:t>
      </w:r>
      <w:r w:rsidR="280C3684">
        <w:t>(SL L 152, 3.6.2022.)</w:t>
      </w:r>
      <w:r>
        <w:t xml:space="preserve">, popis projekata od zajedničkog interesa Unije utvrđuje se svake dvije godine. </w:t>
      </w:r>
    </w:p>
    <w:p w14:paraId="5B8A8E08" w14:textId="7B716C7C" w:rsidR="0041452B" w:rsidRPr="00B47BDA" w:rsidRDefault="006B004D" w:rsidP="005C2C7E">
      <w:pPr>
        <w:pStyle w:val="Heading4"/>
        <w:numPr>
          <w:ilvl w:val="3"/>
          <w:numId w:val="175"/>
        </w:numPr>
        <w:ind w:hanging="580"/>
      </w:pPr>
      <w:r w:rsidRPr="00B47BDA">
        <w:t>Ako je primjenjivo, glavni infrastrukturni projekti koji su predviđeni, osim projekata od zajedničkog interesa</w:t>
      </w:r>
    </w:p>
    <w:p w14:paraId="19DB2DAF" w14:textId="5644040E" w:rsidR="00CB59B5" w:rsidRPr="00B47BDA" w:rsidRDefault="00532700" w:rsidP="004623DD">
      <w:r w:rsidRPr="00B47BDA">
        <w:t xml:space="preserve">Glavni infrastrukturni projekti </w:t>
      </w:r>
      <w:r w:rsidR="00CB59B5" w:rsidRPr="00B47BDA">
        <w:t>su</w:t>
      </w:r>
      <w:r w:rsidR="00C22F9F" w:rsidRPr="00B47BDA">
        <w:t>:</w:t>
      </w:r>
    </w:p>
    <w:p w14:paraId="08744980" w14:textId="5FB6BC2B" w:rsidR="00CB59B5" w:rsidRPr="00B47BDA" w:rsidRDefault="00CB59B5" w:rsidP="004623DD">
      <w:pPr>
        <w:pStyle w:val="ListParagraph"/>
        <w:numPr>
          <w:ilvl w:val="0"/>
          <w:numId w:val="20"/>
        </w:numPr>
      </w:pPr>
      <w:r w:rsidRPr="63259912">
        <w:t>plinovodi za transport prirodnog plina i bio</w:t>
      </w:r>
      <w:r w:rsidR="00D411DC" w:rsidRPr="63259912">
        <w:t>metana</w:t>
      </w:r>
      <w:r w:rsidRPr="63259912">
        <w:t xml:space="preserve"> koji su dio mreže koja uglavnom sadrži visokotlačne plinovode, isključujući visokotlačne plinovode koji se koriste za potrebe proizvodnje ili lokalne distribucije prirodnog plina;</w:t>
      </w:r>
    </w:p>
    <w:p w14:paraId="70346C71" w14:textId="77777777" w:rsidR="00CB59B5" w:rsidRPr="00B47BDA" w:rsidRDefault="00CB59B5" w:rsidP="004623DD">
      <w:pPr>
        <w:pStyle w:val="ListParagraph"/>
        <w:numPr>
          <w:ilvl w:val="0"/>
          <w:numId w:val="20"/>
        </w:numPr>
      </w:pPr>
      <w:r w:rsidRPr="00B47BDA">
        <w:t>podzemna skladišta plina;</w:t>
      </w:r>
    </w:p>
    <w:p w14:paraId="26312D0E" w14:textId="77777777" w:rsidR="00CB59B5" w:rsidRPr="00B47BDA" w:rsidRDefault="00CB59B5" w:rsidP="004623DD">
      <w:pPr>
        <w:pStyle w:val="ListParagraph"/>
        <w:numPr>
          <w:ilvl w:val="0"/>
          <w:numId w:val="20"/>
        </w:numPr>
      </w:pPr>
      <w:r w:rsidRPr="00B47BDA">
        <w:t>objekti za prihvat, skladištenje i uplinjavanje ili dekompresiju UPP i SPP;</w:t>
      </w:r>
    </w:p>
    <w:p w14:paraId="479A2B42" w14:textId="77777777" w:rsidR="00CB59B5" w:rsidRPr="00B47BDA" w:rsidRDefault="00CB59B5" w:rsidP="004623DD">
      <w:pPr>
        <w:pStyle w:val="ListParagraph"/>
        <w:numPr>
          <w:ilvl w:val="0"/>
          <w:numId w:val="20"/>
        </w:numPr>
      </w:pPr>
      <w:r w:rsidRPr="00B47BDA">
        <w:t>sva oprema važna za zaštićen, siguran i učinkovit rad sustava ili omogućavanje dvosmjernog kapaciteta, uključujući kompresorske stanice,</w:t>
      </w:r>
    </w:p>
    <w:p w14:paraId="0788419F" w14:textId="142A19A5" w:rsidR="0077589D" w:rsidRDefault="00CB59B5" w:rsidP="004623DD">
      <w:r w:rsidRPr="00B47BDA">
        <w:t xml:space="preserve">pod uvjetom da je izgradnja tehnički i ekonomski opravdana ili se izgradnjom omogućuje ispunjavanje obveza o sigurnosti opskrbe i prema infrastrukturnom standardu (N-1 kriterij) sukladno </w:t>
      </w:r>
      <w:r w:rsidR="008D3A24" w:rsidRPr="008D3A24">
        <w:t>Uredb</w:t>
      </w:r>
      <w:r w:rsidR="00881471">
        <w:t>i</w:t>
      </w:r>
      <w:r w:rsidR="008D3A24" w:rsidRPr="008D3A24">
        <w:t xml:space="preserve"> (EU) 2017/1938 Europskog parlamenta i Vijeća od 25. listopada 2017. o mjerama zaštite sigurnosti opskrbe plinom i stavljanju izvan snage Uredbe (EU) br. 994/2010 (Tekst značajan za EGP)</w:t>
      </w:r>
      <w:r w:rsidR="008D3A24">
        <w:t xml:space="preserve"> (SL L</w:t>
      </w:r>
      <w:r w:rsidR="005E4993" w:rsidRPr="005E4993">
        <w:t xml:space="preserve"> 280, 28.10.2017</w:t>
      </w:r>
      <w:r w:rsidR="005E4993">
        <w:t>.)</w:t>
      </w:r>
      <w:r w:rsidR="003267B6">
        <w:t xml:space="preserve"> (u daljnjem tekstu: </w:t>
      </w:r>
      <w:r w:rsidR="00D440A3">
        <w:t>Uredba</w:t>
      </w:r>
      <w:r w:rsidR="003267B6">
        <w:t xml:space="preserve"> o</w:t>
      </w:r>
      <w:r w:rsidR="00A20937" w:rsidRPr="00A20937">
        <w:t xml:space="preserve"> </w:t>
      </w:r>
      <w:r w:rsidR="00A20937" w:rsidRPr="008D3A24">
        <w:t xml:space="preserve">mjerama zaštite </w:t>
      </w:r>
      <w:r w:rsidR="003267B6">
        <w:t xml:space="preserve">sigurnosti opskrbe plinom, </w:t>
      </w:r>
      <w:r w:rsidR="00D440A3">
        <w:t>Uredba SOS)</w:t>
      </w:r>
      <w:r w:rsidR="002F35A5">
        <w:t>.</w:t>
      </w:r>
    </w:p>
    <w:p w14:paraId="373596AE" w14:textId="41A6E49E" w:rsidR="00C41946" w:rsidRDefault="78EE5E69">
      <w:pPr>
        <w:spacing w:after="0"/>
      </w:pPr>
      <w:r>
        <w:t xml:space="preserve">Prilikom planiranja svih </w:t>
      </w:r>
      <w:r w:rsidR="4928EF6D">
        <w:t>infrastrukturnih</w:t>
      </w:r>
      <w:r w:rsidR="2D8B02C8">
        <w:t xml:space="preserve"> projekata potrebno</w:t>
      </w:r>
      <w:r>
        <w:t xml:space="preserve"> je napraviti analizu klimatskih rizika i primijeniti odgovarajuće mjere prilagodbe na klimatske promjene.</w:t>
      </w:r>
    </w:p>
    <w:p w14:paraId="64F4D593" w14:textId="76EE8B36" w:rsidR="00950EEE" w:rsidRPr="00B47BDA" w:rsidRDefault="00950EEE" w:rsidP="005C2C7E">
      <w:pPr>
        <w:pStyle w:val="Heading3"/>
        <w:numPr>
          <w:ilvl w:val="2"/>
          <w:numId w:val="175"/>
        </w:numPr>
      </w:pPr>
      <w:bookmarkStart w:id="372" w:name="_Toc531801553"/>
      <w:bookmarkStart w:id="373" w:name="_Toc531801680"/>
      <w:bookmarkStart w:id="374" w:name="_Toc531801808"/>
      <w:bookmarkStart w:id="375" w:name="_Toc531801936"/>
      <w:bookmarkStart w:id="376" w:name="_Toc187418340"/>
      <w:bookmarkStart w:id="377" w:name="_Toc193043265"/>
      <w:bookmarkStart w:id="378" w:name="_Toc531935146"/>
      <w:bookmarkStart w:id="379" w:name="_Toc531945096"/>
      <w:bookmarkStart w:id="380" w:name="_Toc6302353"/>
      <w:bookmarkEnd w:id="372"/>
      <w:bookmarkEnd w:id="373"/>
      <w:bookmarkEnd w:id="374"/>
      <w:bookmarkEnd w:id="375"/>
      <w:r w:rsidRPr="00B47BDA">
        <w:t>Integracija tržišta</w:t>
      </w:r>
      <w:bookmarkEnd w:id="376"/>
      <w:bookmarkEnd w:id="377"/>
    </w:p>
    <w:p w14:paraId="1FB24E15" w14:textId="58001A7E" w:rsidR="00950EEE" w:rsidRPr="00B47BDA" w:rsidRDefault="008C2031" w:rsidP="63259912">
      <w:pPr>
        <w:pStyle w:val="Heading4"/>
        <w:ind w:hanging="580"/>
      </w:pPr>
      <w:r w:rsidRPr="63259912">
        <w:t xml:space="preserve">Nacionalni ciljevi povezani s drugim aspektima unutarnjeg energetskog tržišta, poput povećanja fleksibilnosti sustava, osobito u vezi s promicanjem tržišnih cijena električne energije u skladu s relevantnim sektorskim pravom, integracije tržišta i </w:t>
      </w:r>
      <w:r w:rsidR="007504BA" w:rsidRPr="63259912">
        <w:lastRenderedPageBreak/>
        <w:t xml:space="preserve">povezivanja </w:t>
      </w:r>
      <w:r w:rsidRPr="63259912">
        <w:t xml:space="preserve">s ciljem nastojanja da se poveća utrživi kapacitet postojećih spojnih vodova, pametnih mreža, agregacije, upravljanja potražnjom, skladištenja, distribuirane proizvodnje energije, mehanizama za otpremu, ponovnu otpremu i ograničavanje usluge i cjenovnih signala u stvarnom vremenu, uključujući vremenski okvir za ostvarenje ciljeva. </w:t>
      </w:r>
    </w:p>
    <w:bookmarkEnd w:id="378"/>
    <w:bookmarkEnd w:id="379"/>
    <w:bookmarkEnd w:id="380"/>
    <w:p w14:paraId="7F5C2DED" w14:textId="3FB5FBD7" w:rsidR="00E40223" w:rsidRPr="00B47BDA" w:rsidRDefault="004808FA" w:rsidP="004623DD">
      <w:r w:rsidRPr="00B47BDA">
        <w:t>Povezivanjem dan unaprijed tržišta na granici Republike Hrvatske</w:t>
      </w:r>
      <w:r w:rsidR="009D0E0F">
        <w:t>,</w:t>
      </w:r>
      <w:r w:rsidRPr="00B47BDA">
        <w:t xml:space="preserve"> Republike Slovenije </w:t>
      </w:r>
      <w:r w:rsidR="009D0E0F">
        <w:t>i Mađarske</w:t>
      </w:r>
      <w:r w:rsidR="00DE44AF">
        <w:t xml:space="preserve"> </w:t>
      </w:r>
      <w:r w:rsidRPr="00B47BDA">
        <w:t xml:space="preserve">pokazalo je značajne učinke na povećanje likvidnosti </w:t>
      </w:r>
      <w:r w:rsidR="002A17A3" w:rsidRPr="00B47BDA">
        <w:t xml:space="preserve">hrvatske </w:t>
      </w:r>
      <w:r w:rsidRPr="00B47BDA">
        <w:t>burze električne energije</w:t>
      </w:r>
      <w:r w:rsidR="002A17A3" w:rsidRPr="00B47BDA">
        <w:t xml:space="preserve"> (CROPEX)</w:t>
      </w:r>
      <w:r w:rsidRPr="00B47BDA">
        <w:t xml:space="preserve">, povećanje mogućnosti plasmana energije </w:t>
      </w:r>
      <w:r w:rsidR="009D6F56">
        <w:t>uz tržišne cijene</w:t>
      </w:r>
      <w:r w:rsidRPr="00B47BDA">
        <w:t xml:space="preserve">. Započete aktivnosti u tržišnom povezivanju trebaju se nastaviti </w:t>
      </w:r>
      <w:r w:rsidR="00661ED2">
        <w:t xml:space="preserve">i prema tržištu </w:t>
      </w:r>
      <w:r w:rsidR="00F57A28">
        <w:t>Jugoistočne Europe</w:t>
      </w:r>
      <w:r w:rsidR="001D381F">
        <w:t xml:space="preserve"> </w:t>
      </w:r>
      <w:r w:rsidRPr="00B47BDA">
        <w:t>s ciljem postizanja potpune integracije u unutarnje tržište EU</w:t>
      </w:r>
      <w:r w:rsidR="00B15B70">
        <w:t>.</w:t>
      </w:r>
      <w:r w:rsidRPr="00B47BDA">
        <w:t xml:space="preserve"> </w:t>
      </w:r>
    </w:p>
    <w:p w14:paraId="60E4376C" w14:textId="4FA65CD4" w:rsidR="002C7FE5" w:rsidRPr="00B47BDA" w:rsidRDefault="00F17DFD" w:rsidP="004623DD">
      <w:r w:rsidRPr="00B47BDA">
        <w:t>Povezivanjem</w:t>
      </w:r>
      <w:r w:rsidR="00E40223" w:rsidRPr="00B47BDA">
        <w:t xml:space="preserve"> CROPEX i HUPX dan unaprijed tržišta</w:t>
      </w:r>
      <w:r w:rsidR="00EE6F3B" w:rsidRPr="00B47BDA">
        <w:t>,</w:t>
      </w:r>
      <w:r w:rsidR="00E40223" w:rsidRPr="00B47BDA">
        <w:t xml:space="preserve"> dnevni prekogranični kapacitet na hrvatsko-mađarskoj granici više </w:t>
      </w:r>
      <w:r w:rsidR="00EE6F3B" w:rsidRPr="00B47BDA">
        <w:t xml:space="preserve">se </w:t>
      </w:r>
      <w:r w:rsidR="00E40223" w:rsidRPr="00B47BDA">
        <w:t>ne dodjelj</w:t>
      </w:r>
      <w:r w:rsidR="007D529F">
        <w:t>uje</w:t>
      </w:r>
      <w:r w:rsidR="00E40223" w:rsidRPr="00B47BDA">
        <w:t xml:space="preserve"> izravno putem JAO platforme nego neizravnim putem kroz mehanizam povezivanja burzi električne energije. U okviru implementacije CORE projekta dolazi i do promjene u metodologiji izračuna dostupnih kapaciteta na hrvatsko – slovenskoj </w:t>
      </w:r>
      <w:r w:rsidR="00A74379">
        <w:t xml:space="preserve">i hrvatsko-mađarskoj </w:t>
      </w:r>
      <w:r w:rsidR="00E40223" w:rsidRPr="00B47BDA">
        <w:t>granici gdje se isto prelazi na proračun kapaciteta metodom tokova snaga.</w:t>
      </w:r>
    </w:p>
    <w:p w14:paraId="0AFD093B" w14:textId="2CF95B91" w:rsidR="004808FA" w:rsidRPr="00B47BDA" w:rsidRDefault="004808FA" w:rsidP="004623DD">
      <w:r w:rsidRPr="00B47BDA">
        <w:t xml:space="preserve">Tržišta u jugoistočnom okruženju su vrlo značajna za Hrvatsku s obzirom na dobru prekograničnu povezanost te dostupnost energije, ali je </w:t>
      </w:r>
      <w:r w:rsidR="00AC36D0" w:rsidRPr="00B47BDA">
        <w:t xml:space="preserve">tržišna </w:t>
      </w:r>
      <w:r w:rsidRPr="00B47BDA">
        <w:t xml:space="preserve">integracija ograničena stupnjem razvoja nacionalnih </w:t>
      </w:r>
      <w:r w:rsidR="00613A5F" w:rsidRPr="00B47BDA">
        <w:t xml:space="preserve">elektroenergetskih </w:t>
      </w:r>
      <w:r w:rsidRPr="00B47BDA">
        <w:t>tržišta u tim zemljama. Bosna i Hercegovina još nema uspostavljenu burzu električne energije, dok se povezivanje dan unaprijed tržišta sa Srbijom može postići u relativno kratkom roku.</w:t>
      </w:r>
      <w:r w:rsidR="000C3300" w:rsidRPr="00B47BDA">
        <w:t xml:space="preserve"> </w:t>
      </w:r>
      <w:r w:rsidR="000C3300" w:rsidRPr="00854CB3">
        <w:t xml:space="preserve">Projektom povezivanja dan-unaprijed tržišta na području WB6 zemalja </w:t>
      </w:r>
      <w:r w:rsidR="003A1783" w:rsidRPr="00854CB3">
        <w:t xml:space="preserve">provode se aktivnosti za potpunu </w:t>
      </w:r>
      <w:r w:rsidR="000C3300" w:rsidRPr="00854CB3">
        <w:t>integracij</w:t>
      </w:r>
      <w:r w:rsidR="003A1783" w:rsidRPr="00854CB3">
        <w:t>u</w:t>
      </w:r>
      <w:r w:rsidR="000C3300" w:rsidRPr="00854CB3">
        <w:t xml:space="preserve"> tržišta u regiji u razdoblju </w:t>
      </w:r>
      <w:r w:rsidR="003A1783" w:rsidRPr="00854CB3">
        <w:t>od sljedećih nekoliko godina</w:t>
      </w:r>
      <w:r w:rsidR="000C3300" w:rsidRPr="00854CB3">
        <w:t>.</w:t>
      </w:r>
    </w:p>
    <w:p w14:paraId="31D32F47" w14:textId="33526E04" w:rsidR="00CD48D5" w:rsidRPr="00B47BDA" w:rsidRDefault="00CD48D5" w:rsidP="004623DD">
      <w:r w:rsidRPr="00B47BDA">
        <w:t>Premda je veleprodajno tržište električne energije u Hrvatskoj u potpunosti otvoreno, ono je karakterizirano postojanjem domina</w:t>
      </w:r>
      <w:r w:rsidR="00D27138" w:rsidRPr="00B47BDA">
        <w:t>n</w:t>
      </w:r>
      <w:r w:rsidRPr="00B47BDA">
        <w:t xml:space="preserve">tnog proizvođača električne energije. Potrebno je povećati broj sudionika na veleprodajnom tržištu, a osobito u području proizvodnje električne energije kako bi se bi se povećala konkurentnost na strani ponude. </w:t>
      </w:r>
    </w:p>
    <w:p w14:paraId="383BA8CC" w14:textId="59D836FD" w:rsidR="00271565" w:rsidRPr="00B47BDA" w:rsidRDefault="00271565" w:rsidP="004623DD">
      <w:r w:rsidRPr="63259912">
        <w:t xml:space="preserve">Potrebno je povećati sudjelovanje krajnjih kupaca s vlastitom proizvodnjom na tržištu električne energije, osigurati fleksibilnost i dostatnost </w:t>
      </w:r>
      <w:r w:rsidR="00FC773E" w:rsidRPr="63259912">
        <w:t>te razmotriti mogućnost</w:t>
      </w:r>
      <w:r w:rsidRPr="63259912">
        <w:t xml:space="preserve"> formiranja tržišta kapaciteta (engl. capacity markets).</w:t>
      </w:r>
    </w:p>
    <w:p w14:paraId="63C77213" w14:textId="1D25F32E" w:rsidR="00271565" w:rsidRDefault="0034440B" w:rsidP="004623DD">
      <w:r w:rsidRPr="00B47BDA">
        <w:t xml:space="preserve">Potrebno je omogućiti agregiranje krajnjih kupaca kao i </w:t>
      </w:r>
      <w:r w:rsidR="00271565" w:rsidRPr="00B47BDA">
        <w:t xml:space="preserve">sudjelovanje odziva potrošnje na tržištu električne energije. </w:t>
      </w:r>
    </w:p>
    <w:p w14:paraId="27A623D1" w14:textId="71775AF4" w:rsidR="00ED3F8C" w:rsidRPr="00B47BDA" w:rsidRDefault="00ED3F8C" w:rsidP="004623DD">
      <w:r w:rsidRPr="00B47BDA">
        <w:t>Ciljevi:</w:t>
      </w:r>
    </w:p>
    <w:p w14:paraId="2BB8C013" w14:textId="5D2FAB61" w:rsidR="00ED3F8C" w:rsidRPr="00B47BDA" w:rsidRDefault="00ED3F8C" w:rsidP="004623DD">
      <w:pPr>
        <w:pStyle w:val="ListParagraph"/>
        <w:numPr>
          <w:ilvl w:val="0"/>
          <w:numId w:val="26"/>
        </w:numPr>
      </w:pPr>
      <w:r w:rsidRPr="00B47BDA">
        <w:t>Daljnja integracija tržišta električne energije sa susjednim tržištima i EU tržištem</w:t>
      </w:r>
      <w:r w:rsidR="007370B0">
        <w:t>,</w:t>
      </w:r>
    </w:p>
    <w:p w14:paraId="028FBA5B" w14:textId="4B3BB137" w:rsidR="003D0158" w:rsidRPr="00B47BDA" w:rsidRDefault="00ED3F8C" w:rsidP="003F3802">
      <w:pPr>
        <w:pStyle w:val="ListParagraph"/>
        <w:numPr>
          <w:ilvl w:val="0"/>
          <w:numId w:val="26"/>
        </w:numPr>
      </w:pPr>
      <w:r w:rsidRPr="00B47BDA">
        <w:t>Jačanje konkurentnosti i likvidnosti veleprodajnog tržišta kroz povećanje broja tržišnih sudionika i udjela burzovnog trgovanja</w:t>
      </w:r>
      <w:r w:rsidR="007370B0">
        <w:t>.</w:t>
      </w:r>
    </w:p>
    <w:p w14:paraId="048E4684" w14:textId="61367B9F" w:rsidR="0002323F" w:rsidRPr="009969B2" w:rsidRDefault="0002323F" w:rsidP="003F3802">
      <w:r w:rsidRPr="63259912">
        <w:t xml:space="preserve">Projekt unutardnevnih dražbi IDA (eng. Intraday Auctions) je implementiran 13.06.2024. za dan 14.06.2024 nakon uspješnog operativnog početka ID CCb, zamijenivši NTC proračun unutardnevnog kapaciteta sa unutardnevnim proračunom kapaciteta temeljenom na tokovima snaga. IDA unaprjeđuje jedinstveno unutardnevno povezano tržište (SIDC) uvođenjem mehanizma određivanja cijena za unutardnevne kapacitete, dopunjujući postojeću metodu kontinuirane trgovine. Uvođenjem IDA-e, novi tehnički postav i procesi </w:t>
      </w:r>
      <w:r w:rsidRPr="63259912">
        <w:lastRenderedPageBreak/>
        <w:t>komunikacije povezivanja tržišta koristit će se uz SIDC XBID platformu koja se koristi za kontinuirano trgovanje. U tom smislu IDA i kontinuirani tržišni mehanizmi podržavat će jedno drugo te omogućiti prikupljanje ponuda i učinkovite dodjele prijenosnog kapaciteta. IDA će se provoditi diljem Europe kako bi se omogućilo određivanje cijena prekozonskih kapaciteta u unutardnevnom vremenskom okviru te uskladio izračun i dodjela prekozonskih kapaciteta na unutardnevnom tržištu i povećala ukupna učinkovitost unutardnevnog trgovanja kao i za prilagodbu nove tržišne veze koja omogućuje proizvođačima obnovljive energije da ponude svoju energiju na temelju pouzdanih predviđanja proizvodnje, čime se smanjuje neravnoteža uzrokovana varijabilnim OIE.</w:t>
      </w:r>
    </w:p>
    <w:p w14:paraId="45D6E0C5" w14:textId="1646764C" w:rsidR="00D51772" w:rsidRDefault="00DA0B10" w:rsidP="003F3802">
      <w:r w:rsidRPr="63259912">
        <w:t xml:space="preserve">U skladu s EU paketom čiste energije propisano je pomicanje tržišta dan unaprijed s rezolucije od 60 minuta na 15 minuta što podrazumijeva ponudu proizvoda od 15 minuta. Proizvodi od 15 minuta omogućit će bolju tržišnu integraciju obnovljivih izvora energije što je u Hrvatskoj realizirano početkom 2024. godine." Uvođenje prekograničnih proizvoda niže rezolucije za kontinuirano trgovanje u Hrvatskoj omogućio je sudionicima pristup postojećim 15-minutnim proizvodima i bolju prilagodbu svoje pozicije na tržištu. Tako je moguće zaključiti transakciju 15-minutnog proizvoda u Hrvatskoj s drugim 15-minutnim proizvodom unutar poveznog unutardnevnog tržišta, koji su već implementirali istoimene proizvode na svojim tržištima kao što su Austrija, Njemačka, Nizozemska, Belgija, Bugarska, Mađarska, Rumunjska, Slovačka i Slovenija. </w:t>
      </w:r>
      <w:r w:rsidR="0CC9CA25" w:rsidRPr="63259912">
        <w:t>Općenito, ciljevi daljnje integracije tržišta električne energije sa susjednim tržištima i EU tržištima te jačanje konkurentnosti i likvidnosti veleprodajnog tržišta očekuj</w:t>
      </w:r>
      <w:r w:rsidR="1BCE43EC" w:rsidRPr="63259912">
        <w:t>u</w:t>
      </w:r>
      <w:r w:rsidR="0CC9CA25" w:rsidRPr="63259912">
        <w:t xml:space="preserve"> se </w:t>
      </w:r>
      <w:r w:rsidR="1BCE43EC" w:rsidRPr="63259912">
        <w:t>najviše</w:t>
      </w:r>
      <w:r w:rsidR="0CC9CA25" w:rsidRPr="63259912">
        <w:t xml:space="preserve"> tijekom</w:t>
      </w:r>
      <w:r w:rsidR="30D7A62B" w:rsidRPr="63259912">
        <w:t xml:space="preserve"> </w:t>
      </w:r>
      <w:r w:rsidR="0CC9CA25" w:rsidRPr="63259912">
        <w:t>2025. i 2026. godine</w:t>
      </w:r>
      <w:r w:rsidR="1BCE43EC" w:rsidRPr="63259912">
        <w:t xml:space="preserve"> nakon uspješno provedenih testnih faza i uspješnih prilagodbi operatora sustava i burzi novim uvjetima trgovanja. </w:t>
      </w:r>
    </w:p>
    <w:p w14:paraId="23755733" w14:textId="127E51DD" w:rsidR="00F738A5" w:rsidRPr="00B47BDA" w:rsidRDefault="00215347" w:rsidP="63259912">
      <w:pPr>
        <w:pStyle w:val="Heading4"/>
        <w:ind w:hanging="580"/>
      </w:pPr>
      <w:r w:rsidRPr="63259912">
        <w:t xml:space="preserve">Ako je primjenjivo, nacionalni ciljevi povezani s nediskriminatornim sudjelovanjem obnovljivih izvora energije, upravljanjem potrošnjom i skladištenjem, među ostalim putem agregacije, na svim energetskim tržištima, uključujući vremenski okvir za ostvarenje ciljeva </w:t>
      </w:r>
    </w:p>
    <w:p w14:paraId="13331325" w14:textId="50C496FD" w:rsidR="00A824B2" w:rsidRPr="00B47BDA" w:rsidRDefault="00A824B2" w:rsidP="003F3802">
      <w:r w:rsidRPr="00B47BDA">
        <w:t>U segmentu pomoćnih usluga i uravnoteženja sustava potrebno je uspostaviti tržišne mehanizme koj</w:t>
      </w:r>
      <w:r w:rsidR="00045A68" w:rsidRPr="00B47BDA">
        <w:t>i</w:t>
      </w:r>
      <w:r w:rsidRPr="00B47BDA">
        <w:t xml:space="preserve"> će omogućiti većem broju tržišnih sudionika, ali i krajnjih potrošača</w:t>
      </w:r>
      <w:r w:rsidR="00045A68" w:rsidRPr="00B47BDA">
        <w:t>,</w:t>
      </w:r>
      <w:r w:rsidRPr="00B47BDA">
        <w:t xml:space="preserve"> pružanje takvih usluga.</w:t>
      </w:r>
    </w:p>
    <w:p w14:paraId="58A649DC" w14:textId="77777777" w:rsidR="001F5199" w:rsidRPr="00B47BDA" w:rsidRDefault="00A824B2" w:rsidP="003F3802">
      <w:r w:rsidRPr="00B47BDA">
        <w:t>Cilj</w:t>
      </w:r>
      <w:r w:rsidR="001F5199" w:rsidRPr="00B47BDA">
        <w:t>evi</w:t>
      </w:r>
      <w:r w:rsidR="00ED3F8C" w:rsidRPr="00B47BDA">
        <w:t xml:space="preserve">: </w:t>
      </w:r>
    </w:p>
    <w:p w14:paraId="5BDAFBCA" w14:textId="55968012" w:rsidR="00946BDB" w:rsidRPr="00B47BDA" w:rsidRDefault="00F9366E" w:rsidP="003F3802">
      <w:pPr>
        <w:pStyle w:val="ListParagraph"/>
        <w:numPr>
          <w:ilvl w:val="0"/>
          <w:numId w:val="26"/>
        </w:numPr>
      </w:pPr>
      <w:r w:rsidRPr="00B47BDA">
        <w:t>R</w:t>
      </w:r>
      <w:r w:rsidR="00ED3F8C" w:rsidRPr="00B47BDA">
        <w:t xml:space="preserve">azvoj </w:t>
      </w:r>
      <w:r w:rsidR="0063791D" w:rsidRPr="00B47BDA">
        <w:t>nacionalno</w:t>
      </w:r>
      <w:r w:rsidRPr="00B47BDA">
        <w:t>g</w:t>
      </w:r>
      <w:r w:rsidR="00ED3F8C" w:rsidRPr="00B47BDA">
        <w:t xml:space="preserve"> tržišta uravnoteženja i pomoćnih usluga</w:t>
      </w:r>
      <w:r w:rsidR="00460870">
        <w:t>,</w:t>
      </w:r>
    </w:p>
    <w:p w14:paraId="2687E5B3" w14:textId="629DD3A3" w:rsidR="00F9366E" w:rsidRPr="00B47BDA" w:rsidRDefault="00F9366E" w:rsidP="003F3802">
      <w:pPr>
        <w:pStyle w:val="ListParagraph"/>
        <w:numPr>
          <w:ilvl w:val="0"/>
          <w:numId w:val="26"/>
        </w:numPr>
      </w:pPr>
      <w:r w:rsidRPr="00B47BDA">
        <w:t>Razvoj nacionalnog tržišta električne energije</w:t>
      </w:r>
      <w:r w:rsidR="00460870">
        <w:t>.</w:t>
      </w:r>
    </w:p>
    <w:p w14:paraId="109C2DD6" w14:textId="2D089BCC" w:rsidR="00057F8E" w:rsidRPr="00B47BDA" w:rsidRDefault="00863D04" w:rsidP="003F3802">
      <w:r w:rsidRPr="63259912">
        <w:t>S</w:t>
      </w:r>
      <w:r w:rsidR="00EF51BB" w:rsidRPr="63259912">
        <w:t xml:space="preserve">vi korisnici prijenosne i distribucijske mreže, agregatori i svi drugi sudionici tržišta električne energije koji su za to sposobni mogu sudjelovati na tržištu uravnoteženja. </w:t>
      </w:r>
    </w:p>
    <w:p w14:paraId="52A60D24" w14:textId="083008A5" w:rsidR="00946BDB" w:rsidRPr="00B47BDA" w:rsidRDefault="00946BDB" w:rsidP="005C2C7E">
      <w:pPr>
        <w:pStyle w:val="Heading4"/>
        <w:numPr>
          <w:ilvl w:val="3"/>
          <w:numId w:val="175"/>
        </w:numPr>
        <w:ind w:hanging="580"/>
      </w:pPr>
      <w:r w:rsidRPr="00B47BDA">
        <w:t>Ako je primjenjivo, nacionalni ciljevi u pogledu osiguranja da potrošači sudjeluju u energetskom sustavu te da imaju koristi od vlastite proizvodnje i novih tehnologija, uključujući pametna brojila</w:t>
      </w:r>
    </w:p>
    <w:p w14:paraId="4752FF7C" w14:textId="61D26D3A" w:rsidR="00946BDB" w:rsidRPr="00B47BDA" w:rsidRDefault="00946BDB" w:rsidP="003F3802">
      <w:r w:rsidRPr="00B47BDA">
        <w:t>Analitičke podloge izrađene za potrebe donošenja Strategije energetskog razvoja ([</w:t>
      </w:r>
      <w:r w:rsidRPr="00B47BDA">
        <w:fldChar w:fldCharType="begin"/>
      </w:r>
      <w:r w:rsidRPr="00B47BDA">
        <w:instrText xml:space="preserve"> REF _Ref19885351 \w \h  \* MERGEFORMAT </w:instrText>
      </w:r>
      <w:r w:rsidRPr="00B47BDA">
        <w:fldChar w:fldCharType="separate"/>
      </w:r>
      <w:r w:rsidR="00AD324D">
        <w:t>2</w:t>
      </w:r>
      <w:r w:rsidRPr="00B47BDA">
        <w:fldChar w:fldCharType="end"/>
      </w:r>
      <w:r w:rsidRPr="00B47BDA">
        <w:t>], [</w:t>
      </w:r>
      <w:r w:rsidRPr="00B47BDA">
        <w:fldChar w:fldCharType="begin"/>
      </w:r>
      <w:r w:rsidRPr="00B47BDA">
        <w:instrText xml:space="preserve"> REF _Ref19784013 \w \h  \* MERGEFORMAT </w:instrText>
      </w:r>
      <w:r w:rsidRPr="00B47BDA">
        <w:fldChar w:fldCharType="separate"/>
      </w:r>
      <w:r w:rsidR="00AD324D">
        <w:t>4</w:t>
      </w:r>
      <w:r w:rsidRPr="00B47BDA">
        <w:fldChar w:fldCharType="end"/>
      </w:r>
      <w:r w:rsidRPr="00B47BDA">
        <w:t xml:space="preserve">]) kao prioritete ulaganja u distribucijski sustav definiraju uvođenje naprednih mjernih sustava do 2025. godine. Također, predviđa se provedba pilot projekata naprednih mreža, na temelju </w:t>
      </w:r>
      <w:r w:rsidRPr="00B47BDA">
        <w:lastRenderedPageBreak/>
        <w:t>kojih će se steći dodatni uvidi u karakteristike korisnika mreže i istražiti mogućnosti njihovog aktivnog sudjelovanja u EES-u.</w:t>
      </w:r>
      <w:r w:rsidR="00C47933" w:rsidRPr="00B47BDA">
        <w:t xml:space="preserve"> Udio naprednih brojila porastao je s oko 7</w:t>
      </w:r>
      <w:r w:rsidR="006424B3" w:rsidRPr="00B47BDA">
        <w:t> </w:t>
      </w:r>
      <w:r w:rsidR="00C47933" w:rsidRPr="00B47BDA">
        <w:t>% 2019. godine na oko 13</w:t>
      </w:r>
      <w:r w:rsidR="006424B3" w:rsidRPr="00B47BDA">
        <w:t> </w:t>
      </w:r>
      <w:r w:rsidR="00C47933" w:rsidRPr="00B47BDA">
        <w:t>% 2021. godine. </w:t>
      </w:r>
    </w:p>
    <w:p w14:paraId="5ACA3CC9" w14:textId="54EB18A3" w:rsidR="00430132" w:rsidRPr="00B47BDA" w:rsidRDefault="00430132" w:rsidP="005C2C7E">
      <w:pPr>
        <w:pStyle w:val="Heading4"/>
        <w:numPr>
          <w:ilvl w:val="3"/>
          <w:numId w:val="175"/>
        </w:numPr>
        <w:ind w:hanging="580"/>
      </w:pPr>
      <w:r w:rsidRPr="00B47BDA">
        <w:t>Nacionalni ciljevi u pogledu osiguranja adekvatnosti elektroenergetskog sustava kao i u pogledu fleksibilnosti elektroenergetskog sustava s obzirom na proizvodnju energije iz obnovljivih izvora, uključujući vremenski okvir za ostvarenje ciljeva</w:t>
      </w:r>
    </w:p>
    <w:p w14:paraId="57A727BF" w14:textId="21E143E0" w:rsidR="00E41C01" w:rsidRPr="00B47BDA" w:rsidRDefault="5AF7CC95" w:rsidP="003F3802">
      <w:r>
        <w:t xml:space="preserve">U pogledu buduće adekvatnosti EES-a, potrebno je voditi računa o očekivanim promjenama u EES-u. Prema projekcijama udjela OIE iz </w:t>
      </w:r>
      <w:r w:rsidR="00B26DF1">
        <w:t>točke</w:t>
      </w:r>
      <w:r>
        <w:t xml:space="preserve"> </w:t>
      </w:r>
      <w:r w:rsidR="00B26DF1">
        <w:t>2</w:t>
      </w:r>
      <w:r>
        <w:t>.1.2, potrebno je osigurati odgovarajuća ulaganja u prijenosnu mrežu i sustav vođenja te dostatne (raspoložive) mogućnosti uravnoteženja sustava, kako bi se osigurala zadovoljavajuća adekvatnost EES-a te podržala očekivana fleksibilnost njegovog pogona.</w:t>
      </w:r>
      <w:r w:rsidR="17C5EE73">
        <w:t xml:space="preserve"> </w:t>
      </w:r>
      <w:r>
        <w:t>Također, fleksibilnosti EES-a doprinijet će i aktivno sudjelovanje korisnika mreže u pružanju usluga operatorima sustava.</w:t>
      </w:r>
    </w:p>
    <w:p w14:paraId="559D76E8" w14:textId="39D90F09" w:rsidR="00923059" w:rsidRPr="00B47BDA" w:rsidRDefault="00673CD8" w:rsidP="003F3802">
      <w:r w:rsidRPr="00B47BDA">
        <w:t>Potrebno je izraditi analizu utjecaja klimatskih promjena na adekvatnost EES-a</w:t>
      </w:r>
      <w:r w:rsidR="00827CA2" w:rsidRPr="00B47BDA">
        <w:t>, koja može biti smanjena uslijed ispada ključnih proizvodnih i prijenosnih objekata uzrokovanih ekstremnim vremenskim prilikam</w:t>
      </w:r>
      <w:r w:rsidR="00A84FE6" w:rsidRPr="00B47BDA">
        <w:t>a</w:t>
      </w:r>
      <w:r w:rsidR="00134284" w:rsidRPr="00B47BDA">
        <w:t>,</w:t>
      </w:r>
      <w:r w:rsidR="00EE2F7B" w:rsidRPr="00B47BDA">
        <w:t xml:space="preserve"> uslijed</w:t>
      </w:r>
      <w:r w:rsidR="00134284" w:rsidRPr="00B47BDA">
        <w:t xml:space="preserve"> </w:t>
      </w:r>
      <w:r w:rsidR="00A84FE6" w:rsidRPr="00B47BDA">
        <w:t>smanjenj</w:t>
      </w:r>
      <w:r w:rsidR="00EE2F7B" w:rsidRPr="00B47BDA">
        <w:t>a</w:t>
      </w:r>
      <w:r w:rsidR="00A84FE6" w:rsidRPr="00B47BDA">
        <w:t xml:space="preserve"> proizvodnje električne energije iz hidroelektrana</w:t>
      </w:r>
      <w:r w:rsidR="00134284" w:rsidRPr="00B47BDA">
        <w:t xml:space="preserve"> zbog smanjenja </w:t>
      </w:r>
      <w:r w:rsidR="00A11832" w:rsidRPr="00B47BDA">
        <w:t>raspoložive količ</w:t>
      </w:r>
      <w:r w:rsidR="00B35C77" w:rsidRPr="00B47BDA">
        <w:t>i</w:t>
      </w:r>
      <w:r w:rsidR="00A11832" w:rsidRPr="00B47BDA">
        <w:t>ne vode</w:t>
      </w:r>
      <w:r w:rsidR="00A84FE6" w:rsidRPr="00B47BDA">
        <w:t xml:space="preserve"> te</w:t>
      </w:r>
      <w:r w:rsidR="0065330C" w:rsidRPr="00B47BDA">
        <w:t xml:space="preserve"> uslijed</w:t>
      </w:r>
      <w:r w:rsidR="00A84FE6" w:rsidRPr="00B47BDA">
        <w:t xml:space="preserve"> </w:t>
      </w:r>
      <w:r w:rsidR="0011117D" w:rsidRPr="00B47BDA">
        <w:t>ograničavanj</w:t>
      </w:r>
      <w:r w:rsidR="0065330C" w:rsidRPr="00B47BDA">
        <w:t>a</w:t>
      </w:r>
      <w:r w:rsidR="0011117D" w:rsidRPr="00B47BDA">
        <w:t xml:space="preserve"> pogona termoelektrana zbog smanjenja dostupnosti rashladnog medija</w:t>
      </w:r>
      <w:r w:rsidR="00C85481" w:rsidRPr="00B47BDA">
        <w:t xml:space="preserve"> smanjen</w:t>
      </w:r>
      <w:r w:rsidR="00691C7C" w:rsidRPr="00B47BDA">
        <w:t>og</w:t>
      </w:r>
      <w:r w:rsidR="00C85481" w:rsidRPr="00B47BDA">
        <w:t xml:space="preserve"> </w:t>
      </w:r>
      <w:r w:rsidR="00171B84" w:rsidRPr="00B47BDA">
        <w:t>protoka</w:t>
      </w:r>
      <w:r w:rsidR="002E3ACA">
        <w:t xml:space="preserve"> i </w:t>
      </w:r>
      <w:r w:rsidR="00E70DAC">
        <w:t xml:space="preserve">zbog visokih cijena </w:t>
      </w:r>
      <w:r w:rsidR="00BE2E6A">
        <w:t>CO</w:t>
      </w:r>
      <w:r w:rsidR="00BE2E6A" w:rsidRPr="002374B7">
        <w:rPr>
          <w:vertAlign w:val="subscript"/>
        </w:rPr>
        <w:t>2</w:t>
      </w:r>
      <w:r w:rsidR="00BE2E6A">
        <w:t xml:space="preserve"> emisija</w:t>
      </w:r>
      <w:r w:rsidR="00C85481" w:rsidRPr="00B47BDA">
        <w:t>.</w:t>
      </w:r>
    </w:p>
    <w:p w14:paraId="061B4D48" w14:textId="5DD5797C" w:rsidR="00EF72F7" w:rsidRPr="00B47BDA" w:rsidRDefault="00AE74EB" w:rsidP="003F3802">
      <w:r w:rsidRPr="63259912">
        <w:t xml:space="preserve">U uvjetima rastuće intermitentne proizvodnje električne energije iz OIE </w:t>
      </w:r>
      <w:r w:rsidR="00EF72F7" w:rsidRPr="63259912">
        <w:t xml:space="preserve">očekuje se </w:t>
      </w:r>
      <w:r w:rsidRPr="63259912">
        <w:t>povećanje</w:t>
      </w:r>
      <w:r w:rsidR="00EF72F7" w:rsidRPr="63259912">
        <w:t xml:space="preserve"> prekograničn</w:t>
      </w:r>
      <w:r w:rsidRPr="63259912">
        <w:t>e</w:t>
      </w:r>
      <w:r w:rsidR="00EF72F7" w:rsidRPr="63259912">
        <w:t xml:space="preserve"> razmjen</w:t>
      </w:r>
      <w:r w:rsidRPr="63259912">
        <w:t>e</w:t>
      </w:r>
      <w:r w:rsidR="00EF72F7" w:rsidRPr="63259912">
        <w:t xml:space="preserve"> električne energije</w:t>
      </w:r>
      <w:r w:rsidRPr="63259912">
        <w:t>.</w:t>
      </w:r>
      <w:r w:rsidR="00EF72F7" w:rsidRPr="63259912">
        <w:t>. Bit će neophodno dodatno ojačati prekograničnu i regionalnu suradnju operatora prijenosnih elektroenergetskih sustava, s ciljem osiguranja kvalitete i sigurnosti pogona sustava.</w:t>
      </w:r>
    </w:p>
    <w:p w14:paraId="1A841A70" w14:textId="61A262A6" w:rsidR="00A5487D" w:rsidRPr="00B47BDA" w:rsidRDefault="00A5487D" w:rsidP="63259912">
      <w:r w:rsidRPr="63259912">
        <w:t xml:space="preserve">Jačanje prekogranične suradnje radi osiguranja zadovoljavajuće adekvatnosti EES-a u uvjetima rastuće intermitetne proizvodnje iz OIE očekuje se tijekom 2023. </w:t>
      </w:r>
      <w:r w:rsidR="00183D26" w:rsidRPr="63259912">
        <w:t xml:space="preserve">godine, ali i u godinama koje slijede kada je predviđena izgradnja novih dalekovoda, povećanje prijenosnog kapaciteta postojećih dalekovoda 220 kV i 110 kV te izgradnja transformatorskih </w:t>
      </w:r>
      <w:r w:rsidR="009D6E18" w:rsidRPr="63259912">
        <w:t xml:space="preserve">stanica </w:t>
      </w:r>
      <w:r w:rsidR="00183D26" w:rsidRPr="63259912">
        <w:t>za priključenje mreže 400 kV i 110 kV.</w:t>
      </w:r>
    </w:p>
    <w:p w14:paraId="409506E2" w14:textId="21C84489" w:rsidR="00675D1E" w:rsidRPr="00B47BDA" w:rsidRDefault="00952801" w:rsidP="005C2C7E">
      <w:pPr>
        <w:pStyle w:val="Heading4"/>
        <w:numPr>
          <w:ilvl w:val="3"/>
          <w:numId w:val="175"/>
        </w:numPr>
        <w:ind w:hanging="580"/>
      </w:pPr>
      <w:r w:rsidRPr="00B47BDA">
        <w:t>Ako je primjenjivo, nacionalni ciljevi za zaštitu potrošača energije i poboljšanje konkurentnosti na maloprodajnom tržištu elektroenergetskog sektora</w:t>
      </w:r>
      <w:r w:rsidRPr="00B47BDA" w:rsidDel="00952801">
        <w:t xml:space="preserve"> </w:t>
      </w:r>
    </w:p>
    <w:p w14:paraId="10BA20EE" w14:textId="2D0A66C8" w:rsidR="00066B43" w:rsidRPr="00B47BDA" w:rsidRDefault="00066B43" w:rsidP="003F3802">
      <w:r w:rsidRPr="00B47BDA">
        <w:t>Stopa promjene opskrbljivača krajnjih kupaca električne energije jedan je od ključnih pokazatelja razvoja maloprodajnog tržišta električne energije. Na stopu promjene opskrbljivača kod krajnjih kupaca iz kategorije poduzetništvo znatan utjecaj ima zakonodavni okvir kojim se propisuje javna nabava, pri čemu se dio krajnjih kupaca obvezuje na redovito objavljivanje natječaja za odabir najpovoljnijeg opskrbljivača električnom energijom.</w:t>
      </w:r>
    </w:p>
    <w:p w14:paraId="2E30304D" w14:textId="65A86494" w:rsidR="00B7718F" w:rsidRPr="00B47BDA" w:rsidRDefault="62EF6268" w:rsidP="003F3802">
      <w:r>
        <w:t>Hrvatski cilj u pogledu poboljšanja konkurentnost</w:t>
      </w:r>
      <w:r w:rsidR="00CC5179">
        <w:t>i</w:t>
      </w:r>
      <w:r>
        <w:t xml:space="preserve"> na maloprodajnom tržištu električne energije </w:t>
      </w:r>
      <w:r w:rsidR="25405727">
        <w:t xml:space="preserve">je </w:t>
      </w:r>
      <w:r>
        <w:t>proširenje izbora opskrbljivača (</w:t>
      </w:r>
      <w:r w:rsidR="2C54DE03">
        <w:t xml:space="preserve">smanjenje </w:t>
      </w:r>
      <w:r>
        <w:t>HHI indeksa za obračunska mjerna mjesta iz kategorija kućanstvo i poduzetništvo</w:t>
      </w:r>
      <w:r w:rsidR="5930153D">
        <w:t>) i</w:t>
      </w:r>
      <w:r w:rsidR="267F17A3">
        <w:t xml:space="preserve"> broja proizvoda</w:t>
      </w:r>
      <w:r w:rsidR="1060A44E">
        <w:t xml:space="preserve"> koji bi trebalo provoditi u skladu s trenutnim zakonskim i očekivanim podzakonskim aktima koji bi se trebali donijeti i početi primjenjivati tijekom 2023. godine. Daljnje poboljšanje konkurentnosti na maloprodajnom tržištu električne energije očekuje se i nakon 2023. godine, a sve u skladu s izmjenom i dopunom zakonskih i podzakonskih akata.</w:t>
      </w:r>
    </w:p>
    <w:p w14:paraId="4A1ACC24" w14:textId="02C7C04C" w:rsidR="00E47D84" w:rsidRPr="00B47BDA" w:rsidRDefault="00E47D84" w:rsidP="005C2C7E">
      <w:pPr>
        <w:pStyle w:val="Heading3"/>
        <w:numPr>
          <w:ilvl w:val="2"/>
          <w:numId w:val="175"/>
        </w:numPr>
      </w:pPr>
      <w:bookmarkStart w:id="381" w:name="_Toc187418341"/>
      <w:bookmarkStart w:id="382" w:name="_Toc193043266"/>
      <w:bookmarkStart w:id="383" w:name="_Toc531935147"/>
      <w:bookmarkStart w:id="384" w:name="_Toc531945097"/>
      <w:bookmarkStart w:id="385" w:name="_Toc6302354"/>
      <w:r w:rsidRPr="00B47BDA">
        <w:lastRenderedPageBreak/>
        <w:t xml:space="preserve">Energetsko </w:t>
      </w:r>
      <w:r w:rsidRPr="00641FFB">
        <w:t>siromaštvo</w:t>
      </w:r>
      <w:r w:rsidR="007761BD" w:rsidRPr="00641FFB">
        <w:t xml:space="preserve"> i siromaštvo u pogledu mobilnosti</w:t>
      </w:r>
      <w:bookmarkEnd w:id="381"/>
      <w:bookmarkEnd w:id="382"/>
    </w:p>
    <w:bookmarkEnd w:id="383"/>
    <w:bookmarkEnd w:id="384"/>
    <w:bookmarkEnd w:id="385"/>
    <w:p w14:paraId="04D549F8" w14:textId="77777777" w:rsidR="00FF0CF3" w:rsidRPr="00B47BDA" w:rsidRDefault="00FF0CF3" w:rsidP="005C2C7E">
      <w:pPr>
        <w:pStyle w:val="Heading4"/>
        <w:numPr>
          <w:ilvl w:val="3"/>
          <w:numId w:val="175"/>
        </w:numPr>
        <w:ind w:hanging="580"/>
      </w:pPr>
      <w:r w:rsidRPr="00B47BDA">
        <w:t>Ako je primjenjivo, nacionalni ciljevi u pogledu energetskog siromaštva, uključujući vremenski okvir tijekom kojeg ciljevi trebaju biti ostvareni</w:t>
      </w:r>
    </w:p>
    <w:p w14:paraId="5D61617E" w14:textId="77777777" w:rsidR="005C5052" w:rsidRPr="003859F4" w:rsidRDefault="00BA3E7C" w:rsidP="00641FFB">
      <w:pPr>
        <w:rPr>
          <w:rFonts w:asciiTheme="minorHAnsi" w:hAnsiTheme="minorHAnsi" w:cstheme="minorHAnsi"/>
        </w:rPr>
      </w:pPr>
      <w:r w:rsidRPr="003859F4">
        <w:rPr>
          <w:rFonts w:asciiTheme="minorHAnsi" w:hAnsiTheme="minorHAnsi" w:cstheme="minorHAnsi"/>
        </w:rPr>
        <w:t xml:space="preserve">Prvi problem koji se javlja kod utvrđivanja ciljeva i mjera borbe protiv energetskog siromaštva jest definicija energetskog siromaštva, odnosno koja se kućanstva trebaju smatrati energetski siromašnim. </w:t>
      </w:r>
      <w:r w:rsidR="005C5052" w:rsidRPr="003859F4">
        <w:rPr>
          <w:rFonts w:asciiTheme="minorHAnsi" w:hAnsiTheme="minorHAnsi" w:cstheme="minorHAnsi"/>
        </w:rPr>
        <w:t>U većini zemalja, uključujući Republiku Hrvatsku, energetsko siromaštvo je definirano isključivo dohodovnim cenzusom: kućanstva s razinom dohotka ispod određene razine se smatraju energetski siromašnim.</w:t>
      </w:r>
    </w:p>
    <w:p w14:paraId="7BE5FDB4" w14:textId="6ECFEA0B" w:rsidR="005C5052" w:rsidRPr="003859F4" w:rsidRDefault="5F874CF0" w:rsidP="1C9333AB">
      <w:pPr>
        <w:rPr>
          <w:rFonts w:asciiTheme="minorHAnsi" w:hAnsiTheme="minorHAnsi" w:cstheme="minorBidi"/>
        </w:rPr>
      </w:pPr>
      <w:r w:rsidRPr="1C9333AB">
        <w:rPr>
          <w:rFonts w:asciiTheme="minorHAnsi" w:hAnsiTheme="minorHAnsi" w:cstheme="minorBidi"/>
        </w:rPr>
        <w:t>Iako je neminovno kako su socijalno ugrožena kućanstva ujedno i energetski siromašna, svakako je važno za istaknuti kako niski dohodak nije jedini uzrok energetskog siromaštva. Praksa drugih zemalja pokazuje kako je energetsko siromaštvo, osim niskom razinom dohotka uzrokovano i niskom energetskom učinkovitosti kućanstava što u konačnici rezultira većom potrebom za energijom. Sukladno tome, socijalno ugrožena kućanstva predstavljaju samo podskup energetski ugroženih kućanstava i najčešće predstavljaju kućanstva s najakutnijim problemom energetskog siromaštva. Usredotočivanjem na socijalno ugrožena kućanstva kao jedinu kategoriju energetskih siromašnih kupaca, zanemaruj</w:t>
      </w:r>
      <w:r w:rsidR="00C32821">
        <w:rPr>
          <w:rFonts w:asciiTheme="minorHAnsi" w:hAnsiTheme="minorHAnsi" w:cstheme="minorBidi"/>
        </w:rPr>
        <w:t>u</w:t>
      </w:r>
      <w:r w:rsidRPr="1C9333AB">
        <w:rPr>
          <w:rFonts w:asciiTheme="minorHAnsi" w:hAnsiTheme="minorHAnsi" w:cstheme="minorBidi"/>
        </w:rPr>
        <w:t xml:space="preserve"> se ostale kategorije kućanstava koje također pate od problema energetskog </w:t>
      </w:r>
      <w:r w:rsidRPr="000F5021">
        <w:rPr>
          <w:rFonts w:asciiTheme="minorHAnsi" w:hAnsiTheme="minorHAnsi" w:cstheme="minorBidi"/>
        </w:rPr>
        <w:t>siromaštva.</w:t>
      </w:r>
      <w:r w:rsidR="00D47EF2" w:rsidRPr="000F5021">
        <w:rPr>
          <w:rFonts w:asciiTheme="minorHAnsi" w:hAnsiTheme="minorHAnsi" w:cstheme="minorBidi"/>
        </w:rPr>
        <w:t xml:space="preserve"> </w:t>
      </w:r>
      <w:r w:rsidR="00B92464" w:rsidRPr="000F5021">
        <w:rPr>
          <w:rFonts w:asciiTheme="minorHAnsi" w:hAnsiTheme="minorHAnsi" w:cstheme="minorBidi"/>
        </w:rPr>
        <w:t xml:space="preserve">Zbog negativnog </w:t>
      </w:r>
      <w:r w:rsidR="005323E9" w:rsidRPr="000F5021">
        <w:rPr>
          <w:rFonts w:asciiTheme="minorHAnsi" w:hAnsiTheme="minorHAnsi" w:cstheme="minorBidi"/>
        </w:rPr>
        <w:t xml:space="preserve">učinka klimatskih promjena na </w:t>
      </w:r>
      <w:r w:rsidR="00133170" w:rsidRPr="000F5021">
        <w:rPr>
          <w:rFonts w:asciiTheme="minorHAnsi" w:hAnsiTheme="minorHAnsi" w:cstheme="minorBidi"/>
        </w:rPr>
        <w:t xml:space="preserve">najugroženije kategorije građana, </w:t>
      </w:r>
      <w:r w:rsidR="00BC3D6B" w:rsidRPr="000F5021">
        <w:rPr>
          <w:rFonts w:asciiTheme="minorHAnsi" w:hAnsiTheme="minorHAnsi" w:cstheme="minorBidi"/>
        </w:rPr>
        <w:t xml:space="preserve">kao i smanjene </w:t>
      </w:r>
      <w:r w:rsidR="00332089" w:rsidRPr="000F5021">
        <w:rPr>
          <w:rFonts w:asciiTheme="minorHAnsi" w:hAnsiTheme="minorHAnsi" w:cstheme="minorBidi"/>
        </w:rPr>
        <w:t>mogućnosti da se istima prilagode</w:t>
      </w:r>
      <w:r w:rsidR="006A134E" w:rsidRPr="000F5021">
        <w:rPr>
          <w:rFonts w:asciiTheme="minorHAnsi" w:hAnsiTheme="minorHAnsi" w:cstheme="minorBidi"/>
        </w:rPr>
        <w:t xml:space="preserve">, </w:t>
      </w:r>
      <w:r w:rsidR="00133170" w:rsidRPr="000F5021">
        <w:rPr>
          <w:rFonts w:asciiTheme="minorHAnsi" w:hAnsiTheme="minorHAnsi" w:cstheme="minorBidi"/>
        </w:rPr>
        <w:t>j</w:t>
      </w:r>
      <w:r w:rsidR="00E06FF3" w:rsidRPr="000F5021">
        <w:rPr>
          <w:rFonts w:asciiTheme="minorHAnsi" w:hAnsiTheme="minorHAnsi" w:cstheme="minorBidi"/>
        </w:rPr>
        <w:t xml:space="preserve">edan od ciljeva </w:t>
      </w:r>
      <w:r w:rsidR="00290183" w:rsidRPr="000F5021">
        <w:rPr>
          <w:rFonts w:asciiTheme="minorHAnsi" w:hAnsiTheme="minorHAnsi" w:cstheme="minorBidi"/>
        </w:rPr>
        <w:t xml:space="preserve">u ovom području je osigurati ostvarivanje načela </w:t>
      </w:r>
      <w:r w:rsidR="007D29E1" w:rsidRPr="000F5021">
        <w:rPr>
          <w:rFonts w:asciiTheme="minorHAnsi" w:hAnsiTheme="minorHAnsi" w:cstheme="minorBidi"/>
        </w:rPr>
        <w:t>jednakog postupanja odnosno zaštite od diskriminacije</w:t>
      </w:r>
      <w:r w:rsidR="00B2615F" w:rsidRPr="000F5021">
        <w:rPr>
          <w:rFonts w:asciiTheme="minorHAnsi" w:hAnsiTheme="minorHAnsi" w:cstheme="minorBidi"/>
        </w:rPr>
        <w:t xml:space="preserve"> kroz primjenu načela </w:t>
      </w:r>
      <w:r w:rsidR="00131A8D" w:rsidRPr="000F5021">
        <w:rPr>
          <w:rFonts w:asciiTheme="minorHAnsi" w:hAnsiTheme="minorHAnsi" w:cstheme="minorBidi"/>
        </w:rPr>
        <w:t xml:space="preserve">zabrane diskriminacije </w:t>
      </w:r>
      <w:r w:rsidR="00A90612" w:rsidRPr="000F5021">
        <w:rPr>
          <w:rFonts w:asciiTheme="minorHAnsi" w:hAnsiTheme="minorHAnsi" w:cstheme="minorBidi"/>
        </w:rPr>
        <w:t xml:space="preserve">prilikom primjene </w:t>
      </w:r>
      <w:r w:rsidR="00D01C86" w:rsidRPr="000F5021">
        <w:rPr>
          <w:rFonts w:asciiTheme="minorHAnsi" w:hAnsiTheme="minorHAnsi" w:cstheme="minorBidi"/>
        </w:rPr>
        <w:t xml:space="preserve">NECP-a </w:t>
      </w:r>
      <w:r w:rsidR="00865D2C" w:rsidRPr="000F5021">
        <w:rPr>
          <w:rFonts w:asciiTheme="minorHAnsi" w:hAnsiTheme="minorHAnsi" w:cstheme="minorBidi"/>
        </w:rPr>
        <w:t xml:space="preserve">i razmatranja učinaka njegovih </w:t>
      </w:r>
      <w:r w:rsidR="003B5A32" w:rsidRPr="000F5021">
        <w:rPr>
          <w:rFonts w:asciiTheme="minorHAnsi" w:hAnsiTheme="minorHAnsi" w:cstheme="minorBidi"/>
        </w:rPr>
        <w:t>odredbi.</w:t>
      </w:r>
    </w:p>
    <w:p w14:paraId="4142E7EA" w14:textId="40E461FE" w:rsidR="005C5052" w:rsidRPr="003859F4" w:rsidRDefault="005C5052" w:rsidP="63259912">
      <w:pPr>
        <w:rPr>
          <w:rFonts w:asciiTheme="minorHAnsi" w:hAnsiTheme="minorHAnsi" w:cstheme="minorBidi"/>
        </w:rPr>
      </w:pPr>
      <w:r w:rsidRPr="63259912">
        <w:rPr>
          <w:rFonts w:asciiTheme="minorHAnsi" w:hAnsiTheme="minorHAnsi" w:cstheme="minorBidi"/>
        </w:rPr>
        <w:t>Budući kako sveobuhvatna, odnosno višedimenzionalna definicija energetskog siromaštva još uvijek nije utvrđena za Republiku Hrvatsku</w:t>
      </w:r>
      <w:r w:rsidRPr="63259912">
        <w:rPr>
          <w:rStyle w:val="FootnoteReference"/>
          <w:rFonts w:asciiTheme="minorHAnsi" w:hAnsiTheme="minorHAnsi" w:cstheme="minorBidi"/>
          <w:sz w:val="24"/>
        </w:rPr>
        <w:footnoteReference w:id="21"/>
      </w:r>
      <w:r w:rsidRPr="63259912">
        <w:rPr>
          <w:rFonts w:asciiTheme="minorHAnsi" w:hAnsiTheme="minorHAnsi" w:cstheme="minorBidi"/>
        </w:rPr>
        <w:t xml:space="preserve"> u svrhu određivanja postotka energetski siromašnih građana u Republici Hrvatskoj analiza je provedena korištenjem Ankete o dohotku stanovništva (EU-SILC, engl. Statistics on Income and Living Conditions) i to na način da su po godinama uprosječene iduće varijable, sukladno Direktivi (EU) 2023/1791</w:t>
      </w:r>
      <w:r w:rsidR="00AF5AAD" w:rsidRPr="63259912">
        <w:rPr>
          <w:rFonts w:asciiTheme="minorHAnsi" w:hAnsiTheme="minorHAnsi" w:cstheme="minorBidi"/>
        </w:rPr>
        <w:t xml:space="preserve"> Europskog parlamenta i Vijeća od 13. rujna 2023. o energetskoj učinkovitosti i izmjeni Uredbe (EU) 2023/955 (preinaka))</w:t>
      </w:r>
      <w:r w:rsidRPr="63259912">
        <w:rPr>
          <w:rFonts w:asciiTheme="minorHAnsi" w:hAnsiTheme="minorHAnsi" w:cstheme="minorBidi"/>
        </w:rPr>
        <w:t>:</w:t>
      </w:r>
    </w:p>
    <w:p w14:paraId="3EC7C9DC" w14:textId="11DFE15D" w:rsidR="005C5052" w:rsidRPr="005C6A8E" w:rsidRDefault="005C5052" w:rsidP="005C5052">
      <w:pPr>
        <w:pStyle w:val="ListParagraph"/>
        <w:ind w:left="720"/>
      </w:pPr>
      <w:r w:rsidRPr="005C6A8E">
        <w:t>1. nemogućnost održavanja doma adekvatno toplim i/ili adekvatno hladnim</w:t>
      </w:r>
      <w:r w:rsidRPr="005C6A8E">
        <w:rPr>
          <w:rStyle w:val="FootnoteReference"/>
        </w:rPr>
        <w:footnoteReference w:id="22"/>
      </w:r>
      <w:r w:rsidR="003D0B46" w:rsidRPr="005C6A8E">
        <w:t>,</w:t>
      </w:r>
    </w:p>
    <w:p w14:paraId="1197CC33" w14:textId="6036700C" w:rsidR="005C5052" w:rsidRPr="005C6A8E" w:rsidRDefault="005C5052" w:rsidP="005C5052">
      <w:pPr>
        <w:pStyle w:val="ListParagraph"/>
        <w:ind w:left="720"/>
      </w:pPr>
      <w:r w:rsidRPr="005C6A8E">
        <w:t>2. prisustvo vidljive plijesni i stalnog propuha</w:t>
      </w:r>
      <w:r w:rsidR="003D0B46" w:rsidRPr="005C6A8E">
        <w:t>,</w:t>
      </w:r>
    </w:p>
    <w:p w14:paraId="07817AC0" w14:textId="6EFEC20E" w:rsidR="005C5052" w:rsidRPr="005C6A8E" w:rsidRDefault="005C5052" w:rsidP="005C5052">
      <w:pPr>
        <w:pStyle w:val="ListParagraph"/>
        <w:ind w:left="720"/>
      </w:pPr>
      <w:r w:rsidRPr="005C6A8E">
        <w:t>3. nepodmirene obveze u vezi s računima za komunalne usluge</w:t>
      </w:r>
      <w:r w:rsidR="003D0B46" w:rsidRPr="005C6A8E">
        <w:t>,</w:t>
      </w:r>
    </w:p>
    <w:p w14:paraId="0D4ED066" w14:textId="77777777" w:rsidR="005C5052" w:rsidRPr="005C6A8E" w:rsidRDefault="005C5052" w:rsidP="005C5052">
      <w:pPr>
        <w:pStyle w:val="ListParagraph"/>
        <w:ind w:left="720"/>
      </w:pPr>
      <w:r w:rsidRPr="005C6A8E">
        <w:t>4. stopa rizika od siromaštva.</w:t>
      </w:r>
    </w:p>
    <w:p w14:paraId="26B7E672" w14:textId="6AD53C06" w:rsidR="00BA3E7C" w:rsidRPr="00B47BDA" w:rsidRDefault="005C5052" w:rsidP="005C6A8E">
      <w:r w:rsidRPr="005C6A8E">
        <w:t>Tako je stopa energetskog siromaštva u 2022. godini u Republici Hrvatskoj iznosila 12,2</w:t>
      </w:r>
      <w:r w:rsidR="005A08AF">
        <w:t> </w:t>
      </w:r>
      <w:r w:rsidRPr="005C6A8E">
        <w:t>% ukupnog broja kućanstava, dok je ista u 2021. godini bila neznatno viša te je iznosila 12,4</w:t>
      </w:r>
      <w:r w:rsidR="005A08AF">
        <w:t> </w:t>
      </w:r>
      <w:r w:rsidRPr="005C6A8E">
        <w:t>% ukupnog broja kućanstava.</w:t>
      </w:r>
    </w:p>
    <w:p w14:paraId="04FF005D" w14:textId="1C8A962D" w:rsidR="0030382C" w:rsidRPr="00B47BDA" w:rsidRDefault="00B52177" w:rsidP="005C6A8E">
      <w:r>
        <w:lastRenderedPageBreak/>
        <w:t xml:space="preserve">Kako bi se donijela </w:t>
      </w:r>
      <w:r w:rsidRPr="00B52177">
        <w:t>višedimenzionalna definicija energetskog siromaštva</w:t>
      </w:r>
      <w:r>
        <w:t>, odredile mjere te indikatori za praćenje</w:t>
      </w:r>
      <w:r w:rsidRPr="00B52177">
        <w:t xml:space="preserve"> </w:t>
      </w:r>
      <w:r w:rsidR="001A1498">
        <w:t>potrebno je izraditi</w:t>
      </w:r>
      <w:r w:rsidR="0030382C" w:rsidRPr="00B47BDA">
        <w:t xml:space="preserve"> Program </w:t>
      </w:r>
      <w:r w:rsidR="0072125F" w:rsidRPr="00B47BDA">
        <w:t>za suzbijanje energetskog siromaštva</w:t>
      </w:r>
      <w:r w:rsidR="00A258DA" w:rsidRPr="00B47BDA">
        <w:t xml:space="preserve">. </w:t>
      </w:r>
      <w:r w:rsidR="00E930FB" w:rsidRPr="00B47BDA">
        <w:t xml:space="preserve">U sklopu Programa će se ostvariti sljedeće: </w:t>
      </w:r>
    </w:p>
    <w:p w14:paraId="1772C605" w14:textId="102B9D6B" w:rsidR="00914AB7" w:rsidRPr="00B47BDA" w:rsidRDefault="4E1B694E" w:rsidP="003859F4">
      <w:pPr>
        <w:pStyle w:val="ListParagraph"/>
        <w:numPr>
          <w:ilvl w:val="0"/>
          <w:numId w:val="59"/>
        </w:numPr>
        <w:spacing w:after="60"/>
        <w:ind w:left="714" w:hanging="357"/>
      </w:pPr>
      <w:r>
        <w:t>Utvrditi definiciju energetskog siromaštva</w:t>
      </w:r>
      <w:r w:rsidR="6CF66D04">
        <w:t xml:space="preserve"> i analizirati utjecaj klimatskih promjena</w:t>
      </w:r>
      <w:r w:rsidR="2323185C">
        <w:t>,</w:t>
      </w:r>
      <w:r>
        <w:t xml:space="preserve"> </w:t>
      </w:r>
    </w:p>
    <w:p w14:paraId="0763C201" w14:textId="5AD6EB3A" w:rsidR="00EB258C" w:rsidRPr="00B47BDA" w:rsidRDefault="00E930FB" w:rsidP="003859F4">
      <w:pPr>
        <w:pStyle w:val="ListParagraph"/>
        <w:numPr>
          <w:ilvl w:val="0"/>
          <w:numId w:val="59"/>
        </w:numPr>
        <w:spacing w:after="60"/>
        <w:ind w:left="714" w:hanging="357"/>
      </w:pPr>
      <w:r w:rsidRPr="63259912">
        <w:t>Ocijeniti opseg i socio</w:t>
      </w:r>
      <w:r w:rsidR="00965F95" w:rsidRPr="63259912">
        <w:t>-</w:t>
      </w:r>
      <w:r w:rsidRPr="63259912">
        <w:t>ekonomske karakteristike energetski siromašnih kućanstava</w:t>
      </w:r>
      <w:r w:rsidR="00EB258C" w:rsidRPr="63259912">
        <w:t xml:space="preserve">, </w:t>
      </w:r>
    </w:p>
    <w:p w14:paraId="78E2E48D" w14:textId="4438F8D3" w:rsidR="008708F1" w:rsidRPr="00B47BDA" w:rsidRDefault="008708F1" w:rsidP="003859F4">
      <w:pPr>
        <w:pStyle w:val="ListParagraph"/>
        <w:numPr>
          <w:ilvl w:val="0"/>
          <w:numId w:val="59"/>
        </w:numPr>
        <w:spacing w:after="60"/>
        <w:ind w:left="714" w:hanging="357"/>
      </w:pPr>
      <w:r w:rsidRPr="00B47BDA">
        <w:t xml:space="preserve">Utvrditi ciljeve mjera za suzbijanje energetskog siromaštva, </w:t>
      </w:r>
    </w:p>
    <w:p w14:paraId="3C3C1CFE" w14:textId="0F2DEF34" w:rsidR="00ED2BF6" w:rsidRPr="00B47BDA" w:rsidRDefault="00ED2BF6" w:rsidP="003859F4">
      <w:pPr>
        <w:pStyle w:val="ListParagraph"/>
        <w:numPr>
          <w:ilvl w:val="0"/>
          <w:numId w:val="59"/>
        </w:numPr>
        <w:spacing w:after="60"/>
        <w:ind w:left="714" w:hanging="357"/>
      </w:pPr>
      <w:r w:rsidRPr="00B47BDA">
        <w:t>Utvrditi indikatore za praćenje</w:t>
      </w:r>
      <w:r w:rsidR="00026C73" w:rsidRPr="00B47BDA">
        <w:t xml:space="preserve"> uspješnosti provedbe programa za suzbijanje energetskog siromaštva, </w:t>
      </w:r>
    </w:p>
    <w:p w14:paraId="1648604A" w14:textId="77777777" w:rsidR="00EB258C" w:rsidRPr="00B47BDA" w:rsidRDefault="00EB258C" w:rsidP="003859F4">
      <w:pPr>
        <w:pStyle w:val="ListParagraph"/>
        <w:numPr>
          <w:ilvl w:val="0"/>
          <w:numId w:val="59"/>
        </w:numPr>
        <w:spacing w:after="60"/>
        <w:ind w:left="714" w:hanging="357"/>
      </w:pPr>
      <w:r w:rsidRPr="00B47BDA">
        <w:t>Osigurati energetsko savjetovanje za sve energetski siromašne građane RH,</w:t>
      </w:r>
    </w:p>
    <w:p w14:paraId="2B3F1F9E" w14:textId="72AFC77C" w:rsidR="00EB258C" w:rsidRPr="00B47BDA" w:rsidRDefault="00EB258C" w:rsidP="003859F4">
      <w:pPr>
        <w:pStyle w:val="ListParagraph"/>
        <w:numPr>
          <w:ilvl w:val="0"/>
          <w:numId w:val="59"/>
        </w:numPr>
        <w:spacing w:after="60"/>
        <w:ind w:left="714" w:hanging="357"/>
      </w:pPr>
      <w:r w:rsidRPr="00B47BDA">
        <w:t>Uspostaviti sustav mjerenja i praćenja pokazatelja kojima se opisuje energetsko siromaštvo na nacionalnoj razini</w:t>
      </w:r>
      <w:r w:rsidR="003D0B46">
        <w:t>,</w:t>
      </w:r>
      <w:r w:rsidRPr="00B47BDA">
        <w:t xml:space="preserve"> i </w:t>
      </w:r>
    </w:p>
    <w:p w14:paraId="3F6207FC" w14:textId="2FACC465" w:rsidR="00E930FB" w:rsidRDefault="00EB258C" w:rsidP="003859F4">
      <w:pPr>
        <w:pStyle w:val="ListParagraph"/>
        <w:numPr>
          <w:ilvl w:val="0"/>
          <w:numId w:val="59"/>
        </w:numPr>
        <w:spacing w:after="60"/>
        <w:ind w:left="714" w:hanging="357"/>
      </w:pPr>
      <w:r w:rsidRPr="00B47BDA">
        <w:tab/>
        <w:t>Uspostaviti sustav povećanja energetske učinkovitosti na razini energetski siromašnih kućanstava i kućanstava u riziku od energetskog siromaštva.</w:t>
      </w:r>
    </w:p>
    <w:p w14:paraId="6D930D94" w14:textId="4369B567" w:rsidR="00DB67E7" w:rsidRDefault="00B97D1A" w:rsidP="005C6A8E">
      <w:pPr>
        <w:spacing w:before="240"/>
      </w:pPr>
      <w:r>
        <w:t>Popis</w:t>
      </w:r>
      <w:r w:rsidR="00615BB2" w:rsidRPr="00B47BDA">
        <w:t xml:space="preserve"> prioriteta za provedbu tehničkih mjera, stupanj sufinanciranja i izvori sredstava razradit će se Programom za suzbijanje energetskog siromaštva</w:t>
      </w:r>
      <w:r w:rsidR="00820734">
        <w:t xml:space="preserve"> </w:t>
      </w:r>
      <w:r w:rsidR="00035ECE">
        <w:t>koji će biti donesen do kraja 202</w:t>
      </w:r>
      <w:r w:rsidR="00185C66">
        <w:t>5</w:t>
      </w:r>
      <w:r w:rsidR="00035ECE">
        <w:t>. godine</w:t>
      </w:r>
      <w:r w:rsidR="00443A53" w:rsidRPr="00B47BDA">
        <w:t>.</w:t>
      </w:r>
      <w:r w:rsidR="00615BB2" w:rsidRPr="00B47BDA">
        <w:t xml:space="preserve"> </w:t>
      </w:r>
      <w:r w:rsidR="006D23DF" w:rsidRPr="007735EE">
        <w:t>Planom korištenja financijskih sredstava dobivenih od prodaje emisijskih jedinica putem dražbi u Republici Hrvatskoj za razdoblje do 2020. godine (</w:t>
      </w:r>
      <w:r w:rsidR="00002064">
        <w:t>„</w:t>
      </w:r>
      <w:r w:rsidR="00071A4F" w:rsidRPr="00071A4F">
        <w:t xml:space="preserve">Narodne </w:t>
      </w:r>
      <w:r w:rsidR="00A97AE7">
        <w:t>novine</w:t>
      </w:r>
      <w:r w:rsidR="00002064">
        <w:t>“</w:t>
      </w:r>
      <w:r w:rsidR="00071A4F" w:rsidRPr="00071A4F">
        <w:t xml:space="preserve">, </w:t>
      </w:r>
      <w:r w:rsidR="00004BB0">
        <w:t>br</w:t>
      </w:r>
      <w:r w:rsidR="00541DDA">
        <w:t>.</w:t>
      </w:r>
      <w:r w:rsidR="006D23DF" w:rsidRPr="007735EE">
        <w:t xml:space="preserve"> 19</w:t>
      </w:r>
      <w:r w:rsidR="005B41DA">
        <w:t>/18</w:t>
      </w:r>
      <w:r w:rsidR="00002064">
        <w:t>.</w:t>
      </w:r>
      <w:r w:rsidR="00541DDA">
        <w:t xml:space="preserve"> i</w:t>
      </w:r>
      <w:r w:rsidR="006D23DF" w:rsidRPr="007735EE">
        <w:t xml:space="preserve"> 84/19</w:t>
      </w:r>
      <w:r w:rsidR="00002064">
        <w:t>.</w:t>
      </w:r>
      <w:r w:rsidR="006D23DF" w:rsidRPr="007735EE">
        <w:t>) sufinanciran</w:t>
      </w:r>
      <w:r w:rsidR="00836E48">
        <w:t>e su</w:t>
      </w:r>
      <w:r w:rsidR="006D23DF" w:rsidRPr="007735EE">
        <w:t xml:space="preserve"> </w:t>
      </w:r>
      <w:r w:rsidR="00836E48" w:rsidRPr="007735EE">
        <w:t>mjer</w:t>
      </w:r>
      <w:r w:rsidR="00836E48">
        <w:t>e</w:t>
      </w:r>
      <w:r w:rsidR="006D23DF" w:rsidRPr="007735EE">
        <w:t xml:space="preserve"> za suzbijanje energetskog siromaštva</w:t>
      </w:r>
      <w:r w:rsidR="00651C43">
        <w:t xml:space="preserve"> te će još j</w:t>
      </w:r>
      <w:r w:rsidR="00651C43" w:rsidRPr="00651C43">
        <w:t xml:space="preserve">edan od načina pružanja potpore </w:t>
      </w:r>
      <w:r w:rsidR="00880F70" w:rsidRPr="00880F70">
        <w:t>energetsk</w:t>
      </w:r>
      <w:r w:rsidR="00880F70">
        <w:t>i</w:t>
      </w:r>
      <w:r w:rsidR="00880F70" w:rsidRPr="00880F70">
        <w:t xml:space="preserve"> siromašn</w:t>
      </w:r>
      <w:r w:rsidR="00880F70">
        <w:t>ima</w:t>
      </w:r>
      <w:r w:rsidR="00880F70" w:rsidRPr="00880F70">
        <w:t xml:space="preserve"> </w:t>
      </w:r>
      <w:r w:rsidR="00651C43" w:rsidRPr="00651C43">
        <w:t>u RH biti Socijalni fond za klimatsku politiku</w:t>
      </w:r>
      <w:r w:rsidR="006D23DF" w:rsidRPr="007735EE">
        <w:t>.</w:t>
      </w:r>
      <w:r w:rsidR="006E3BEA">
        <w:t xml:space="preserve"> </w:t>
      </w:r>
    </w:p>
    <w:p w14:paraId="2979D8B3" w14:textId="013B157C" w:rsidR="00264A4C" w:rsidRDefault="00DB67E7" w:rsidP="005C6A8E">
      <w:r w:rsidRPr="63259912">
        <w:t>Nadalje, kako bi osigurao pravednu i uključ</w:t>
      </w:r>
      <w:r w:rsidR="0079410C" w:rsidRPr="63259912">
        <w:t>ujuću</w:t>
      </w:r>
      <w:r w:rsidRPr="63259912">
        <w:t xml:space="preserve"> klimatsku tranziciju, EU je osnovao </w:t>
      </w:r>
      <w:r w:rsidRPr="63259912">
        <w:rPr>
          <w:b/>
          <w:bCs/>
        </w:rPr>
        <w:t>Socijalni fond za klimatsku politiku</w:t>
      </w:r>
      <w:r w:rsidR="00F009B0" w:rsidRPr="63259912">
        <w:t xml:space="preserve"> koji je dio zakonodavnog paketa „Spremni za 55“. Socijalni fond za klimatsku politiku</w:t>
      </w:r>
      <w:r w:rsidR="00B422C1" w:rsidRPr="63259912">
        <w:t xml:space="preserve"> </w:t>
      </w:r>
      <w:r w:rsidR="003D4DFD" w:rsidRPr="63259912">
        <w:t>ima za cilj</w:t>
      </w:r>
      <w:r w:rsidR="00C00090" w:rsidRPr="63259912">
        <w:t xml:space="preserve"> </w:t>
      </w:r>
      <w:r w:rsidRPr="63259912">
        <w:t>pomoć</w:t>
      </w:r>
      <w:r w:rsidR="00CB5DCC" w:rsidRPr="63259912">
        <w:t>i</w:t>
      </w:r>
      <w:r w:rsidRPr="63259912">
        <w:t xml:space="preserve"> ugroženim kućanstvima, malim poduzećima i korisnicima usluga prijevoza u nepovoljnijem financijskom položaju.</w:t>
      </w:r>
      <w:r w:rsidR="00D26CA8" w:rsidRPr="63259912">
        <w:t xml:space="preserve"> </w:t>
      </w:r>
      <w:r w:rsidR="00E5058D" w:rsidRPr="63259912">
        <w:t xml:space="preserve">Cilj novog zakonodavstva je uspostaviti zajedničke definicije </w:t>
      </w:r>
      <w:r w:rsidR="00E5058D" w:rsidRPr="63259912">
        <w:rPr>
          <w:b/>
          <w:bCs/>
        </w:rPr>
        <w:t>energetskog siromaštva</w:t>
      </w:r>
      <w:r w:rsidR="007715E1" w:rsidRPr="63259912">
        <w:t xml:space="preserve">, </w:t>
      </w:r>
      <w:r w:rsidR="00424FD1" w:rsidRPr="63259912">
        <w:t>pomoći u borbi protiv energetskog siromaštva</w:t>
      </w:r>
      <w:r w:rsidR="006E4E92" w:rsidRPr="63259912">
        <w:t xml:space="preserve"> kao i </w:t>
      </w:r>
      <w:r w:rsidR="006E4E92" w:rsidRPr="63259912">
        <w:rPr>
          <w:b/>
          <w:bCs/>
        </w:rPr>
        <w:t>siromaštva u pogledu mobilnosti</w:t>
      </w:r>
      <w:r w:rsidR="006E4E92" w:rsidRPr="63259912">
        <w:t xml:space="preserve"> diljem EU</w:t>
      </w:r>
      <w:r w:rsidR="00F94416" w:rsidRPr="63259912">
        <w:t>-a</w:t>
      </w:r>
      <w:r w:rsidR="00E5058D" w:rsidRPr="63259912">
        <w:t xml:space="preserve"> </w:t>
      </w:r>
      <w:r w:rsidR="00F94416" w:rsidRPr="63259912">
        <w:t>te</w:t>
      </w:r>
      <w:r w:rsidR="00E5058D" w:rsidRPr="63259912">
        <w:t xml:space="preserve"> </w:t>
      </w:r>
      <w:r w:rsidR="001826C6" w:rsidRPr="63259912">
        <w:t xml:space="preserve">poboljšati </w:t>
      </w:r>
      <w:r w:rsidR="002F6836" w:rsidRPr="63259912">
        <w:t xml:space="preserve">pristup mobilnosti </w:t>
      </w:r>
      <w:r w:rsidR="00F55E71" w:rsidRPr="63259912">
        <w:t>i prijevozu s nultom i nis</w:t>
      </w:r>
      <w:r w:rsidR="00535CDA" w:rsidRPr="63259912">
        <w:t xml:space="preserve">kom </w:t>
      </w:r>
      <w:r w:rsidR="00F4186C" w:rsidRPr="63259912">
        <w:t xml:space="preserve">razinom emisija u EU-u. </w:t>
      </w:r>
      <w:r w:rsidR="006A6DB2" w:rsidRPr="63259912">
        <w:t>U</w:t>
      </w:r>
      <w:r w:rsidR="00BE0769" w:rsidRPr="63259912">
        <w:t xml:space="preserve"> okviru paketa „Spremni za 55 “ uvodi </w:t>
      </w:r>
      <w:r w:rsidR="006A6DB2" w:rsidRPr="63259912">
        <w:t xml:space="preserve">se </w:t>
      </w:r>
      <w:r w:rsidR="00BE0769" w:rsidRPr="63259912">
        <w:t xml:space="preserve">novi </w:t>
      </w:r>
      <w:r w:rsidR="00BE0769" w:rsidRPr="63259912">
        <w:rPr>
          <w:b/>
          <w:bCs/>
        </w:rPr>
        <w:t xml:space="preserve">sustav </w:t>
      </w:r>
      <w:r w:rsidR="009D70AA" w:rsidRPr="63259912">
        <w:rPr>
          <w:b/>
          <w:bCs/>
        </w:rPr>
        <w:t>trgovanja emisijama</w:t>
      </w:r>
      <w:r w:rsidR="00D867A9" w:rsidRPr="63259912">
        <w:rPr>
          <w:b/>
          <w:bCs/>
        </w:rPr>
        <w:t xml:space="preserve"> (</w:t>
      </w:r>
      <w:r w:rsidR="00CE20A8" w:rsidRPr="63259912">
        <w:rPr>
          <w:b/>
          <w:bCs/>
        </w:rPr>
        <w:t xml:space="preserve">EU </w:t>
      </w:r>
      <w:r w:rsidR="00D867A9" w:rsidRPr="63259912">
        <w:rPr>
          <w:b/>
          <w:bCs/>
        </w:rPr>
        <w:t>ETS</w:t>
      </w:r>
      <w:r w:rsidR="1AFE5CBA" w:rsidRPr="63259912">
        <w:rPr>
          <w:b/>
          <w:bCs/>
        </w:rPr>
        <w:t>2</w:t>
      </w:r>
      <w:r w:rsidR="00D867A9" w:rsidRPr="63259912">
        <w:rPr>
          <w:b/>
          <w:bCs/>
        </w:rPr>
        <w:t>)</w:t>
      </w:r>
      <w:r w:rsidR="009D70AA" w:rsidRPr="63259912">
        <w:t xml:space="preserve"> u </w:t>
      </w:r>
      <w:r w:rsidR="004E36BF" w:rsidRPr="63259912">
        <w:t xml:space="preserve">sektoru zgradarstva </w:t>
      </w:r>
      <w:r w:rsidR="004843E2" w:rsidRPr="63259912">
        <w:t>te</w:t>
      </w:r>
      <w:r w:rsidR="004E36BF" w:rsidRPr="63259912">
        <w:t xml:space="preserve"> </w:t>
      </w:r>
      <w:r w:rsidR="004843E2" w:rsidRPr="63259912">
        <w:t>za</w:t>
      </w:r>
      <w:r w:rsidR="004E36BF" w:rsidRPr="63259912">
        <w:t xml:space="preserve"> cestovn</w:t>
      </w:r>
      <w:r w:rsidR="004843E2" w:rsidRPr="63259912">
        <w:t>i</w:t>
      </w:r>
      <w:r w:rsidR="004E36BF" w:rsidRPr="63259912">
        <w:t xml:space="preserve"> promet</w:t>
      </w:r>
      <w:r w:rsidR="004843E2" w:rsidRPr="63259912">
        <w:t xml:space="preserve"> </w:t>
      </w:r>
      <w:r w:rsidR="00D867A9" w:rsidRPr="63259912">
        <w:t xml:space="preserve">gdje će se </w:t>
      </w:r>
      <w:r w:rsidR="78F467ED" w:rsidRPr="63259912">
        <w:t xml:space="preserve">dio </w:t>
      </w:r>
      <w:r w:rsidR="00D867A9" w:rsidRPr="63259912">
        <w:t>prihod</w:t>
      </w:r>
      <w:r w:rsidR="5B89DEAC" w:rsidRPr="63259912">
        <w:t>a</w:t>
      </w:r>
      <w:r w:rsidR="00D867A9" w:rsidRPr="63259912">
        <w:t xml:space="preserve"> od prodaje </w:t>
      </w:r>
      <w:r w:rsidR="003C31D9" w:rsidRPr="63259912">
        <w:t xml:space="preserve">emisijskih jedinica </w:t>
      </w:r>
      <w:r w:rsidR="00AE3D64" w:rsidRPr="63259912">
        <w:t xml:space="preserve">uplaćivati u </w:t>
      </w:r>
      <w:r w:rsidR="00180BD6" w:rsidRPr="63259912">
        <w:t>Socijalni fond za klimatsku politiku</w:t>
      </w:r>
      <w:r w:rsidR="00113771" w:rsidRPr="63259912">
        <w:t xml:space="preserve">. </w:t>
      </w:r>
      <w:r w:rsidR="1609349F" w:rsidRPr="63259912">
        <w:t>Sredstva iz Socijalnog fonda za klimatsku politiku</w:t>
      </w:r>
      <w:r w:rsidR="00E5139F" w:rsidRPr="63259912">
        <w:t xml:space="preserve"> će države članice koristiti </w:t>
      </w:r>
      <w:r w:rsidR="003A309C" w:rsidRPr="63259912">
        <w:t xml:space="preserve">u </w:t>
      </w:r>
      <w:r w:rsidR="003A1FB5" w:rsidRPr="63259912">
        <w:t xml:space="preserve">svrhu pomoći </w:t>
      </w:r>
      <w:r w:rsidR="0099511D" w:rsidRPr="63259912">
        <w:rPr>
          <w:b/>
          <w:bCs/>
        </w:rPr>
        <w:t>ranjivim korisnicima</w:t>
      </w:r>
      <w:r w:rsidR="0099511D" w:rsidRPr="63259912">
        <w:t xml:space="preserve"> (</w:t>
      </w:r>
      <w:r w:rsidR="00545D04" w:rsidRPr="63259912">
        <w:rPr>
          <w:b/>
          <w:bCs/>
        </w:rPr>
        <w:t>kućanstvima</w:t>
      </w:r>
      <w:r w:rsidR="00545D04" w:rsidRPr="63259912">
        <w:t>,</w:t>
      </w:r>
      <w:r w:rsidR="00545D04" w:rsidRPr="63259912">
        <w:rPr>
          <w:b/>
          <w:bCs/>
        </w:rPr>
        <w:t xml:space="preserve"> </w:t>
      </w:r>
      <w:r w:rsidR="007C3C4A" w:rsidRPr="63259912">
        <w:rPr>
          <w:b/>
          <w:bCs/>
        </w:rPr>
        <w:t>mikropoduzećima</w:t>
      </w:r>
      <w:r w:rsidR="00545D04" w:rsidRPr="63259912">
        <w:t xml:space="preserve"> i </w:t>
      </w:r>
      <w:r w:rsidR="005A53D1" w:rsidRPr="63259912">
        <w:rPr>
          <w:b/>
          <w:bCs/>
        </w:rPr>
        <w:t>korisnicima prijevoza</w:t>
      </w:r>
      <w:r w:rsidR="00623928" w:rsidRPr="63259912">
        <w:t>)</w:t>
      </w:r>
      <w:r w:rsidR="00835CBC" w:rsidRPr="63259912">
        <w:t xml:space="preserve"> i to</w:t>
      </w:r>
      <w:r w:rsidR="00264A4C" w:rsidRPr="63259912">
        <w:t>:</w:t>
      </w:r>
    </w:p>
    <w:p w14:paraId="43DDE29A" w14:textId="53453914" w:rsidR="00DB67E7" w:rsidRDefault="50A1487C" w:rsidP="00C05AF8">
      <w:pPr>
        <w:pStyle w:val="ListParagraph"/>
        <w:numPr>
          <w:ilvl w:val="0"/>
          <w:numId w:val="176"/>
        </w:numPr>
      </w:pPr>
      <w:r w:rsidRPr="63259912">
        <w:t xml:space="preserve">mjerama i ulaganjima za povećanje </w:t>
      </w:r>
      <w:r w:rsidR="4A2F1B2C" w:rsidRPr="63259912">
        <w:t xml:space="preserve">energetske učinkovitosti </w:t>
      </w:r>
      <w:r w:rsidR="08035D2F" w:rsidRPr="63259912">
        <w:t xml:space="preserve">zgrada, </w:t>
      </w:r>
      <w:r w:rsidR="60061C61" w:rsidRPr="63259912">
        <w:t>obno</w:t>
      </w:r>
      <w:r w:rsidR="5B3A8F05" w:rsidRPr="63259912">
        <w:t xml:space="preserve">vu zgrada, </w:t>
      </w:r>
      <w:r w:rsidR="0C7DA61E" w:rsidRPr="63259912">
        <w:t xml:space="preserve">dekarbonizaciju grijanja i hlađenja u zgradama i </w:t>
      </w:r>
      <w:r w:rsidR="3E618DC3" w:rsidRPr="63259912">
        <w:t>prijevoza s nultim i niskim emisijama</w:t>
      </w:r>
      <w:r w:rsidR="60291692" w:rsidRPr="63259912">
        <w:t>,</w:t>
      </w:r>
    </w:p>
    <w:p w14:paraId="7577A307" w14:textId="77777777" w:rsidR="00D710BD" w:rsidRDefault="00CD13F2" w:rsidP="00C05AF8">
      <w:pPr>
        <w:pStyle w:val="ListParagraph"/>
        <w:numPr>
          <w:ilvl w:val="0"/>
          <w:numId w:val="176"/>
        </w:numPr>
      </w:pPr>
      <w:r>
        <w:t xml:space="preserve">mjerama koje osiguravaju </w:t>
      </w:r>
      <w:r w:rsidR="00A3528C">
        <w:t>privremen</w:t>
      </w:r>
      <w:r w:rsidR="00FD64D2">
        <w:t>e</w:t>
      </w:r>
      <w:r w:rsidR="00A3528C">
        <w:t xml:space="preserve"> i ograničen</w:t>
      </w:r>
      <w:r w:rsidR="00FD64D2">
        <w:t>e</w:t>
      </w:r>
      <w:r w:rsidR="00A3528C">
        <w:t xml:space="preserve"> izravn</w:t>
      </w:r>
      <w:r w:rsidR="00FD64D2">
        <w:t xml:space="preserve">e potpore dohotku. </w:t>
      </w:r>
    </w:p>
    <w:p w14:paraId="2561E0F1" w14:textId="469EA128" w:rsidR="00286EA8" w:rsidRDefault="00997A20" w:rsidP="005C6A8E">
      <w:r>
        <w:t xml:space="preserve">Hrvatska </w:t>
      </w:r>
      <w:r w:rsidR="0082518E">
        <w:t>planira</w:t>
      </w:r>
      <w:r>
        <w:t xml:space="preserve"> </w:t>
      </w:r>
      <w:r w:rsidRPr="00385CE2">
        <w:rPr>
          <w:b/>
          <w:bCs/>
        </w:rPr>
        <w:t xml:space="preserve">do </w:t>
      </w:r>
      <w:r w:rsidR="005E4DC2" w:rsidRPr="00385CE2">
        <w:rPr>
          <w:b/>
          <w:bCs/>
        </w:rPr>
        <w:t>30. lipnja 2025. godine</w:t>
      </w:r>
      <w:r w:rsidR="005E4DC2">
        <w:t xml:space="preserve"> </w:t>
      </w:r>
      <w:r w:rsidR="00104F1C" w:rsidRPr="00104F1C">
        <w:t>izradi</w:t>
      </w:r>
      <w:r w:rsidR="008A32E1">
        <w:t>ti</w:t>
      </w:r>
      <w:r w:rsidR="00104F1C" w:rsidRPr="00104F1C">
        <w:t xml:space="preserve"> </w:t>
      </w:r>
      <w:r w:rsidR="00104F1C" w:rsidRPr="00385CE2">
        <w:rPr>
          <w:b/>
          <w:bCs/>
        </w:rPr>
        <w:t xml:space="preserve">vlastiti </w:t>
      </w:r>
      <w:r w:rsidR="2464AF50" w:rsidRPr="2B547F45">
        <w:rPr>
          <w:b/>
          <w:bCs/>
        </w:rPr>
        <w:t xml:space="preserve">Socijalni plan za klimatsku </w:t>
      </w:r>
      <w:r w:rsidR="2464AF50" w:rsidRPr="68350A43">
        <w:rPr>
          <w:b/>
          <w:bCs/>
        </w:rPr>
        <w:t>polit</w:t>
      </w:r>
      <w:r w:rsidR="1DB9E795" w:rsidRPr="68350A43">
        <w:rPr>
          <w:b/>
          <w:bCs/>
        </w:rPr>
        <w:t>i</w:t>
      </w:r>
      <w:r w:rsidR="2464AF50" w:rsidRPr="68350A43">
        <w:rPr>
          <w:b/>
          <w:bCs/>
        </w:rPr>
        <w:t>ku</w:t>
      </w:r>
      <w:r w:rsidR="0074763D">
        <w:t xml:space="preserve"> </w:t>
      </w:r>
      <w:r w:rsidR="000E2F61">
        <w:t xml:space="preserve">u kojem se donose </w:t>
      </w:r>
      <w:r w:rsidR="4EA0C870">
        <w:t xml:space="preserve">troškovno učinkovite </w:t>
      </w:r>
      <w:r w:rsidR="47949FB0">
        <w:t>mjere</w:t>
      </w:r>
      <w:r w:rsidR="5C3FC71D">
        <w:t xml:space="preserve"> i plan ulaganja s utvrđenim ključnim etapama i ciljevima, te u kojem</w:t>
      </w:r>
      <w:r w:rsidR="00C9607B">
        <w:t xml:space="preserve"> </w:t>
      </w:r>
      <w:r w:rsidR="42F211C0">
        <w:t>se</w:t>
      </w:r>
      <w:r w:rsidR="000E2F61">
        <w:t xml:space="preserve"> raspoređuje predviđeni proračun za razdoblje </w:t>
      </w:r>
      <w:r w:rsidR="0089763C">
        <w:t xml:space="preserve">od </w:t>
      </w:r>
      <w:r w:rsidR="000E2F61">
        <w:t>2026.</w:t>
      </w:r>
      <w:r w:rsidR="0089763C">
        <w:t xml:space="preserve"> do </w:t>
      </w:r>
      <w:r w:rsidR="000E2F61">
        <w:t>2032</w:t>
      </w:r>
      <w:r w:rsidR="0089763C">
        <w:t xml:space="preserve">. godine. </w:t>
      </w:r>
    </w:p>
    <w:p w14:paraId="7E31559F" w14:textId="1714E1B4" w:rsidR="00CD13F2" w:rsidRDefault="001A5AC6" w:rsidP="005C6A8E">
      <w:r>
        <w:t xml:space="preserve">Nužan preduvjet za </w:t>
      </w:r>
      <w:r w:rsidR="005C5320">
        <w:t xml:space="preserve">donošenje te </w:t>
      </w:r>
      <w:r w:rsidR="7ECEEA16">
        <w:t>provedbu</w:t>
      </w:r>
      <w:r w:rsidR="005C5320">
        <w:t xml:space="preserve"> Plana je svakako </w:t>
      </w:r>
      <w:r w:rsidR="00F876AA">
        <w:t xml:space="preserve">definirati </w:t>
      </w:r>
      <w:r w:rsidR="00022700">
        <w:t>pojmove energetskog</w:t>
      </w:r>
      <w:r w:rsidR="00125928">
        <w:t xml:space="preserve"> siromaštva</w:t>
      </w:r>
      <w:r w:rsidR="00022700">
        <w:t xml:space="preserve"> i </w:t>
      </w:r>
      <w:r w:rsidR="00125928" w:rsidRPr="00125928">
        <w:t xml:space="preserve">siromaštva u pogledu mobilnosti </w:t>
      </w:r>
      <w:r w:rsidR="00125928">
        <w:t xml:space="preserve">s </w:t>
      </w:r>
      <w:r w:rsidR="00286EA8" w:rsidRPr="00286EA8">
        <w:t>poseb</w:t>
      </w:r>
      <w:r w:rsidR="00125928">
        <w:t>nim</w:t>
      </w:r>
      <w:r w:rsidR="00286EA8" w:rsidRPr="00286EA8">
        <w:t xml:space="preserve"> fokus</w:t>
      </w:r>
      <w:r w:rsidR="00125928">
        <w:t>om</w:t>
      </w:r>
      <w:r w:rsidR="00286EA8" w:rsidRPr="00286EA8">
        <w:t xml:space="preserve"> na izazove s kojima se suočavaju otoci, planinska područja i </w:t>
      </w:r>
      <w:r w:rsidR="00982012">
        <w:t>manje pristupačn</w:t>
      </w:r>
      <w:r w:rsidR="00EF796A">
        <w:t>i</w:t>
      </w:r>
      <w:r w:rsidR="00982012">
        <w:t>, odnosno slabije razvijen</w:t>
      </w:r>
      <w:r w:rsidR="00EF796A">
        <w:t>a</w:t>
      </w:r>
      <w:r w:rsidR="00982012">
        <w:t xml:space="preserve"> </w:t>
      </w:r>
      <w:r w:rsidR="004671C6">
        <w:t>područja</w:t>
      </w:r>
      <w:r w:rsidR="00982012">
        <w:t xml:space="preserve"> i </w:t>
      </w:r>
      <w:r w:rsidR="00982012">
        <w:lastRenderedPageBreak/>
        <w:t>krajev</w:t>
      </w:r>
      <w:r w:rsidR="00EF796A">
        <w:t>i</w:t>
      </w:r>
      <w:r w:rsidR="00982012">
        <w:t>, uključujući slabije razvijena prigradska</w:t>
      </w:r>
      <w:r w:rsidR="00BA4990">
        <w:t xml:space="preserve"> </w:t>
      </w:r>
      <w:r w:rsidR="00982012">
        <w:t>područja i najudaljenij</w:t>
      </w:r>
      <w:r w:rsidR="4A6CEA79">
        <w:t>i</w:t>
      </w:r>
      <w:r w:rsidR="00982012">
        <w:t xml:space="preserve"> krajev</w:t>
      </w:r>
      <w:r w:rsidR="665B9F0C">
        <w:t>i</w:t>
      </w:r>
      <w:r w:rsidR="00BA4990">
        <w:t xml:space="preserve"> </w:t>
      </w:r>
      <w:r w:rsidR="00125A0E">
        <w:t>u Republici Hrvatskoj</w:t>
      </w:r>
      <w:r w:rsidR="00286EA8" w:rsidRPr="00286EA8">
        <w:t>.</w:t>
      </w:r>
      <w:r w:rsidR="00125A0E">
        <w:t xml:space="preserve"> </w:t>
      </w:r>
    </w:p>
    <w:p w14:paraId="7985D485" w14:textId="692BD691" w:rsidR="0075489F" w:rsidRPr="00B47BDA" w:rsidRDefault="0075489F" w:rsidP="005C6A8E">
      <w:r w:rsidRPr="00B47BDA">
        <w:t>Stoga</w:t>
      </w:r>
      <w:r w:rsidRPr="00B47BDA" w:rsidDel="00BF23EB">
        <w:t xml:space="preserve"> </w:t>
      </w:r>
      <w:r w:rsidRPr="00B47BDA">
        <w:t xml:space="preserve">je potrebno </w:t>
      </w:r>
      <w:r w:rsidR="004D0815">
        <w:t xml:space="preserve">uz prethodno navedeni </w:t>
      </w:r>
      <w:r w:rsidRPr="00B47BDA">
        <w:t>Program za suzbijanje energetskog siromaštva</w:t>
      </w:r>
      <w:r>
        <w:t xml:space="preserve"> </w:t>
      </w:r>
      <w:r w:rsidR="00234CF8">
        <w:t>i</w:t>
      </w:r>
      <w:r w:rsidR="008C4307">
        <w:t>zraditi i</w:t>
      </w:r>
      <w:r w:rsidR="00234CF8">
        <w:t xml:space="preserve"> </w:t>
      </w:r>
      <w:r w:rsidR="0087141D" w:rsidRPr="00385CE2">
        <w:rPr>
          <w:b/>
          <w:bCs/>
        </w:rPr>
        <w:t xml:space="preserve">Program </w:t>
      </w:r>
      <w:r w:rsidR="004D0815" w:rsidRPr="00385CE2">
        <w:rPr>
          <w:b/>
          <w:bCs/>
        </w:rPr>
        <w:t xml:space="preserve">za suzbijanje </w:t>
      </w:r>
      <w:r w:rsidR="00234CF8" w:rsidRPr="00385CE2">
        <w:rPr>
          <w:b/>
          <w:bCs/>
        </w:rPr>
        <w:t>siromaštva u pogledu mobilnosti</w:t>
      </w:r>
      <w:r w:rsidRPr="00B47BDA">
        <w:t xml:space="preserve">. U sklopu Programa će se ostvariti sljedeće: </w:t>
      </w:r>
    </w:p>
    <w:p w14:paraId="1E36E196" w14:textId="35EC0A71" w:rsidR="0075489F" w:rsidRPr="00B47BDA" w:rsidRDefault="0075489F" w:rsidP="00CB5C3C">
      <w:pPr>
        <w:pStyle w:val="ListParagraph"/>
        <w:numPr>
          <w:ilvl w:val="0"/>
          <w:numId w:val="59"/>
        </w:numPr>
        <w:spacing w:after="60"/>
        <w:ind w:left="714" w:hanging="357"/>
      </w:pPr>
      <w:r w:rsidRPr="00B47BDA">
        <w:t xml:space="preserve">Utvrditi definiciju </w:t>
      </w:r>
      <w:r w:rsidR="008C4307" w:rsidRPr="004F530A">
        <w:t>siromaštva</w:t>
      </w:r>
      <w:r w:rsidR="008C4307" w:rsidRPr="00385CE2">
        <w:t xml:space="preserve"> u pogledu mobilnosti</w:t>
      </w:r>
      <w:r>
        <w:t>,</w:t>
      </w:r>
      <w:r w:rsidRPr="00B47BDA">
        <w:t xml:space="preserve"> </w:t>
      </w:r>
    </w:p>
    <w:p w14:paraId="3A79074B" w14:textId="2077B150" w:rsidR="0075489F" w:rsidRPr="00B47BDA" w:rsidRDefault="0075489F" w:rsidP="00CB5C3C">
      <w:pPr>
        <w:pStyle w:val="ListParagraph"/>
        <w:numPr>
          <w:ilvl w:val="0"/>
          <w:numId w:val="59"/>
        </w:numPr>
        <w:spacing w:after="60"/>
        <w:ind w:left="714" w:hanging="357"/>
      </w:pPr>
      <w:r w:rsidRPr="63259912">
        <w:t xml:space="preserve">Ocijeniti opseg i socio-ekonomske karakteristike </w:t>
      </w:r>
      <w:r w:rsidR="004254AA" w:rsidRPr="63259912">
        <w:t>siromaštva u pogledu mobilnosti</w:t>
      </w:r>
      <w:r w:rsidRPr="63259912">
        <w:t xml:space="preserve">, </w:t>
      </w:r>
    </w:p>
    <w:p w14:paraId="50198CE1" w14:textId="39528AFA" w:rsidR="0075489F" w:rsidRPr="00B47BDA" w:rsidRDefault="0075489F" w:rsidP="00CB5C3C">
      <w:pPr>
        <w:pStyle w:val="ListParagraph"/>
        <w:numPr>
          <w:ilvl w:val="0"/>
          <w:numId w:val="59"/>
        </w:numPr>
        <w:spacing w:after="60"/>
        <w:ind w:left="714" w:hanging="357"/>
      </w:pPr>
      <w:r w:rsidRPr="00B47BDA">
        <w:t xml:space="preserve">Utvrditi ciljeve mjera za suzbijanje </w:t>
      </w:r>
      <w:r w:rsidR="00367B12" w:rsidRPr="00367B12">
        <w:t>siromaštva u pogledu mobilnosti</w:t>
      </w:r>
      <w:r w:rsidRPr="00B47BDA">
        <w:t xml:space="preserve">, </w:t>
      </w:r>
    </w:p>
    <w:p w14:paraId="7F3E7C42" w14:textId="401CB286" w:rsidR="0075489F" w:rsidRPr="00B47BDA" w:rsidRDefault="7C90FC7E" w:rsidP="00CB5C3C">
      <w:pPr>
        <w:pStyle w:val="ListParagraph"/>
        <w:numPr>
          <w:ilvl w:val="0"/>
          <w:numId w:val="59"/>
        </w:numPr>
        <w:spacing w:after="60"/>
        <w:ind w:left="714" w:hanging="357"/>
      </w:pPr>
      <w:r>
        <w:t xml:space="preserve">Utvrditi indikatore za praćenje uspješnosti provedbe programa za suzbijanje </w:t>
      </w:r>
      <w:r w:rsidR="393ED17D">
        <w:t>siromaštva u pogledu mobilnosti</w:t>
      </w:r>
      <w:r>
        <w:t>,</w:t>
      </w:r>
      <w:r w:rsidR="4C607EED">
        <w:t xml:space="preserve"> </w:t>
      </w:r>
      <w:r w:rsidR="393ED17D">
        <w:t xml:space="preserve"> </w:t>
      </w:r>
    </w:p>
    <w:p w14:paraId="1B31FF18" w14:textId="7FD2210D" w:rsidR="0075489F" w:rsidRPr="00B47BDA" w:rsidRDefault="0075489F" w:rsidP="00CB5C3C">
      <w:pPr>
        <w:pStyle w:val="ListParagraph"/>
        <w:numPr>
          <w:ilvl w:val="0"/>
          <w:numId w:val="59"/>
        </w:numPr>
        <w:spacing w:after="60"/>
        <w:ind w:left="714" w:hanging="357"/>
      </w:pPr>
      <w:r w:rsidRPr="63259912">
        <w:t xml:space="preserve">Osigurati energetsko savjetovanje za sve </w:t>
      </w:r>
      <w:r w:rsidR="00485CCB" w:rsidRPr="63259912">
        <w:t xml:space="preserve">siromašne </w:t>
      </w:r>
      <w:r w:rsidR="004365C4" w:rsidRPr="63259912">
        <w:t xml:space="preserve">skupine (kućanstva, mikropoduzeća, korisnike prijevoza) </w:t>
      </w:r>
      <w:r w:rsidR="00485CCB" w:rsidRPr="63259912">
        <w:t xml:space="preserve">u pogledu mobilnosti </w:t>
      </w:r>
      <w:r w:rsidR="00816397" w:rsidRPr="63259912">
        <w:t xml:space="preserve">u </w:t>
      </w:r>
      <w:r w:rsidRPr="63259912">
        <w:t>RH,</w:t>
      </w:r>
    </w:p>
    <w:p w14:paraId="74105605" w14:textId="038362E8" w:rsidR="40DEFF5E" w:rsidRDefault="0075489F" w:rsidP="40DEFF5E">
      <w:pPr>
        <w:pStyle w:val="ListParagraph"/>
        <w:numPr>
          <w:ilvl w:val="0"/>
          <w:numId w:val="59"/>
        </w:numPr>
        <w:spacing w:after="60"/>
        <w:ind w:left="714" w:hanging="357"/>
      </w:pPr>
      <w:r w:rsidRPr="00B47BDA">
        <w:t xml:space="preserve">Uspostaviti sustav mjerenja i praćenja pokazatelja kojima se opisuje </w:t>
      </w:r>
      <w:r w:rsidR="00037A42" w:rsidRPr="00037A42">
        <w:t>siromaštv</w:t>
      </w:r>
      <w:r w:rsidR="00037A42">
        <w:t>o</w:t>
      </w:r>
      <w:r w:rsidR="00037A42" w:rsidRPr="00037A42">
        <w:t xml:space="preserve"> u pogledu mobilnosti</w:t>
      </w:r>
      <w:r w:rsidRPr="00B47BDA">
        <w:t xml:space="preserve"> na nacionalnoj razini</w:t>
      </w:r>
      <w:r w:rsidR="002C543E">
        <w:t>,</w:t>
      </w:r>
    </w:p>
    <w:p w14:paraId="375A8DBA" w14:textId="4AFB633D" w:rsidR="00C4711B" w:rsidRDefault="00C4711B" w:rsidP="00CB5C3C">
      <w:pPr>
        <w:pStyle w:val="ListParagraph"/>
        <w:numPr>
          <w:ilvl w:val="0"/>
          <w:numId w:val="59"/>
        </w:numPr>
        <w:spacing w:after="60"/>
        <w:ind w:left="714" w:hanging="357"/>
      </w:pPr>
      <w:r>
        <w:t>Potica</w:t>
      </w:r>
      <w:r w:rsidR="006C1616">
        <w:t>ti</w:t>
      </w:r>
      <w:r>
        <w:t xml:space="preserve"> prelazak s privatnog na javni prijevoz, dijeljenje automobila i biciklizam</w:t>
      </w:r>
      <w:r w:rsidR="0057537E">
        <w:t>,</w:t>
      </w:r>
      <w:r w:rsidR="002C543E">
        <w:t xml:space="preserve"> </w:t>
      </w:r>
      <w:r w:rsidR="0057537E">
        <w:t>te</w:t>
      </w:r>
      <w:r w:rsidR="002C543E">
        <w:t xml:space="preserve"> </w:t>
      </w:r>
    </w:p>
    <w:p w14:paraId="5BF828F8" w14:textId="3F9EBDB1" w:rsidR="00C4711B" w:rsidRDefault="00D25E0E" w:rsidP="00CB5C3C">
      <w:pPr>
        <w:pStyle w:val="ListParagraph"/>
        <w:numPr>
          <w:ilvl w:val="0"/>
          <w:numId w:val="59"/>
        </w:numPr>
        <w:spacing w:after="60"/>
        <w:ind w:left="714" w:hanging="357"/>
      </w:pPr>
      <w:r>
        <w:t>Pružati p</w:t>
      </w:r>
      <w:r w:rsidR="00C4711B">
        <w:t>otpor</w:t>
      </w:r>
      <w:r>
        <w:t>u</w:t>
      </w:r>
      <w:r w:rsidR="00C4711B">
        <w:t xml:space="preserve"> razvoju tržišta rabljenih električnih vozila</w:t>
      </w:r>
      <w:r>
        <w:t>, razvijati dalje mrežu električnih punionica</w:t>
      </w:r>
      <w:r w:rsidR="002C543E">
        <w:t xml:space="preserve">. </w:t>
      </w:r>
    </w:p>
    <w:p w14:paraId="3D9CACBF" w14:textId="3C324869" w:rsidR="009B7956" w:rsidRDefault="0079410C" w:rsidP="005C6A8E">
      <w:r w:rsidRPr="00CC16D4">
        <w:t>Popis</w:t>
      </w:r>
      <w:r w:rsidR="00004ED4" w:rsidRPr="00CC16D4">
        <w:t xml:space="preserve"> prioriteta za provedbu tehničkih mjera, stupanj sufinanciranja i izvori sredstava razradit će se Programom za </w:t>
      </w:r>
      <w:r w:rsidR="007B5085" w:rsidRPr="00CC16D4">
        <w:t xml:space="preserve">suzbijanje siromaštva u pogledu mobilnosti </w:t>
      </w:r>
      <w:r w:rsidR="00004ED4" w:rsidRPr="00CC16D4">
        <w:t xml:space="preserve">koji </w:t>
      </w:r>
      <w:r w:rsidR="00BC7810" w:rsidRPr="00CC16D4">
        <w:t>se planir</w:t>
      </w:r>
      <w:r w:rsidR="00755FEB" w:rsidRPr="00CC16D4">
        <w:t>a donijeti</w:t>
      </w:r>
      <w:r w:rsidR="00004ED4" w:rsidRPr="00CC16D4">
        <w:t xml:space="preserve"> do kraja </w:t>
      </w:r>
      <w:r w:rsidR="00CC16D4" w:rsidRPr="00CC16D4">
        <w:t>trećeg</w:t>
      </w:r>
      <w:r w:rsidR="007735EE" w:rsidRPr="00CC16D4">
        <w:t xml:space="preserve"> kvartala </w:t>
      </w:r>
      <w:r w:rsidR="00004ED4" w:rsidRPr="00CC16D4">
        <w:t>202</w:t>
      </w:r>
      <w:r w:rsidR="007735EE" w:rsidRPr="00CC16D4">
        <w:t>5</w:t>
      </w:r>
      <w:r w:rsidR="00004ED4" w:rsidRPr="00CC16D4">
        <w:t>. godine.</w:t>
      </w:r>
      <w:r w:rsidR="0093609B">
        <w:t xml:space="preserve"> </w:t>
      </w:r>
      <w:r w:rsidR="007600CD">
        <w:t>J</w:t>
      </w:r>
      <w:r w:rsidR="0093609B">
        <w:t xml:space="preserve">edan od načina pružanja potpore najranjivijim skupinama u RH </w:t>
      </w:r>
      <w:r w:rsidR="009E4794">
        <w:t xml:space="preserve">će </w:t>
      </w:r>
      <w:r w:rsidR="0093609B">
        <w:t xml:space="preserve">biti </w:t>
      </w:r>
      <w:r w:rsidR="009E4794">
        <w:t xml:space="preserve">i iz </w:t>
      </w:r>
      <w:r w:rsidR="007600CD" w:rsidRPr="007600CD">
        <w:t>Socijaln</w:t>
      </w:r>
      <w:r w:rsidR="009E4794">
        <w:t>og</w:t>
      </w:r>
      <w:r w:rsidR="007600CD" w:rsidRPr="007600CD">
        <w:t xml:space="preserve"> fond</w:t>
      </w:r>
      <w:r w:rsidR="009E4794">
        <w:t>a</w:t>
      </w:r>
      <w:r w:rsidR="007600CD" w:rsidRPr="007600CD">
        <w:t xml:space="preserve"> za klimatsku politiku</w:t>
      </w:r>
      <w:r w:rsidR="12B944D6">
        <w:t>, kao i iz preostalih prihoda od EU ETS2 sustava</w:t>
      </w:r>
      <w:r w:rsidR="007600CD">
        <w:t xml:space="preserve">. </w:t>
      </w:r>
    </w:p>
    <w:p w14:paraId="76D21DAB" w14:textId="77777777" w:rsidR="009B7956" w:rsidRDefault="009B7956">
      <w:pPr>
        <w:spacing w:after="0"/>
        <w:jc w:val="left"/>
      </w:pPr>
      <w:r>
        <w:br w:type="page"/>
      </w:r>
    </w:p>
    <w:p w14:paraId="1E7A34EB" w14:textId="21E3B91C" w:rsidR="00FF0CF3" w:rsidRPr="00B47BDA" w:rsidRDefault="00FF0CF3" w:rsidP="005C2C7E">
      <w:pPr>
        <w:pStyle w:val="Heading2"/>
        <w:numPr>
          <w:ilvl w:val="1"/>
          <w:numId w:val="175"/>
        </w:numPr>
      </w:pPr>
      <w:bookmarkStart w:id="386" w:name="_Toc531935148"/>
      <w:bookmarkStart w:id="387" w:name="_Toc531945098"/>
      <w:bookmarkStart w:id="388" w:name="_Toc6302355"/>
      <w:bookmarkStart w:id="389" w:name="_Toc187418342"/>
      <w:bookmarkStart w:id="390" w:name="_Toc193043267"/>
      <w:r w:rsidRPr="00B47BDA">
        <w:lastRenderedPageBreak/>
        <w:t xml:space="preserve">Dimenzija: </w:t>
      </w:r>
      <w:r w:rsidR="004D140C">
        <w:t>i</w:t>
      </w:r>
      <w:r w:rsidRPr="00B47BDA">
        <w:t>straživanje, inovacije i konkurentnost</w:t>
      </w:r>
      <w:bookmarkEnd w:id="386"/>
      <w:bookmarkEnd w:id="387"/>
      <w:bookmarkEnd w:id="388"/>
      <w:bookmarkEnd w:id="389"/>
      <w:bookmarkEnd w:id="390"/>
    </w:p>
    <w:p w14:paraId="05426A62" w14:textId="1C645F65" w:rsidR="00841EE9" w:rsidRPr="00B47BDA" w:rsidRDefault="00841EE9" w:rsidP="005C2C7E">
      <w:pPr>
        <w:pStyle w:val="Heading4"/>
        <w:numPr>
          <w:ilvl w:val="3"/>
          <w:numId w:val="175"/>
        </w:numPr>
        <w:ind w:hanging="580"/>
      </w:pPr>
      <w:bookmarkStart w:id="391" w:name="_Toc531935149"/>
      <w:bookmarkStart w:id="392" w:name="_Toc531945099"/>
      <w:bookmarkStart w:id="393" w:name="_Toc6302356"/>
      <w:r w:rsidRPr="00B47BDA">
        <w:t xml:space="preserve">Nacionalni ciljevi i ciljevi za financiranje javnih i privatnih istraživanja i inovacija povezanih s </w:t>
      </w:r>
      <w:r w:rsidR="009A3476" w:rsidRPr="00B47BDA">
        <w:t xml:space="preserve">energetskom </w:t>
      </w:r>
      <w:r w:rsidRPr="00B47BDA">
        <w:t>unijom</w:t>
      </w:r>
    </w:p>
    <w:bookmarkEnd w:id="391"/>
    <w:bookmarkEnd w:id="392"/>
    <w:bookmarkEnd w:id="393"/>
    <w:p w14:paraId="5A749A63" w14:textId="1CDFD951" w:rsidR="00272030" w:rsidRPr="00CB5C3C" w:rsidRDefault="7BBE64AF" w:rsidP="005C6A8E">
      <w:pPr>
        <w:rPr>
          <w:rFonts w:asciiTheme="minorHAnsi" w:hAnsiTheme="minorHAnsi" w:cstheme="minorHAnsi"/>
        </w:rPr>
      </w:pPr>
      <w:r w:rsidRPr="1C9333AB">
        <w:rPr>
          <w:rFonts w:asciiTheme="minorHAnsi" w:hAnsiTheme="minorHAnsi" w:cstheme="minorBidi"/>
        </w:rPr>
        <w:t>Republika Hrvatska je postavila cilj da do 2020. godine dosegne ulaganja u istraživanje, razvoj i inovacije u iznosu od 1,4</w:t>
      </w:r>
      <w:r w:rsidR="00FF3F8A">
        <w:rPr>
          <w:rFonts w:asciiTheme="minorHAnsi" w:hAnsiTheme="minorHAnsi" w:cstheme="minorBidi"/>
        </w:rPr>
        <w:t> </w:t>
      </w:r>
      <w:r w:rsidRPr="1C9333AB">
        <w:rPr>
          <w:rFonts w:asciiTheme="minorHAnsi" w:hAnsiTheme="minorHAnsi" w:cstheme="minorBidi"/>
        </w:rPr>
        <w:t xml:space="preserve">% BPD-a, a 2021. </w:t>
      </w:r>
      <w:r w:rsidR="0F3F8DCC" w:rsidRPr="1C9333AB">
        <w:rPr>
          <w:rFonts w:asciiTheme="minorHAnsi" w:hAnsiTheme="minorHAnsi" w:cstheme="minorBidi"/>
        </w:rPr>
        <w:t>udio je</w:t>
      </w:r>
      <w:r w:rsidRPr="1C9333AB">
        <w:rPr>
          <w:rFonts w:asciiTheme="minorHAnsi" w:hAnsiTheme="minorHAnsi" w:cstheme="minorBidi"/>
        </w:rPr>
        <w:t xml:space="preserve"> iznosio 1,24</w:t>
      </w:r>
      <w:r w:rsidR="00FF3F8A">
        <w:rPr>
          <w:rFonts w:asciiTheme="minorHAnsi" w:hAnsiTheme="minorHAnsi" w:cstheme="minorBidi"/>
        </w:rPr>
        <w:t> </w:t>
      </w:r>
      <w:r w:rsidRPr="1C9333AB">
        <w:rPr>
          <w:rFonts w:asciiTheme="minorHAnsi" w:hAnsiTheme="minorHAnsi" w:cstheme="minorBidi"/>
        </w:rPr>
        <w:t>%</w:t>
      </w:r>
      <w:r w:rsidR="00272030" w:rsidRPr="1C9333AB">
        <w:rPr>
          <w:rStyle w:val="FootnoteReference"/>
          <w:rFonts w:asciiTheme="minorHAnsi" w:hAnsiTheme="minorHAnsi" w:cstheme="minorBidi"/>
          <w:sz w:val="24"/>
        </w:rPr>
        <w:footnoteReference w:id="23"/>
      </w:r>
      <w:r w:rsidRPr="1C9333AB">
        <w:rPr>
          <w:rFonts w:asciiTheme="minorHAnsi" w:hAnsiTheme="minorHAnsi" w:cstheme="minorBidi"/>
        </w:rPr>
        <w:t>. Cilj Hrvatske je dostići razinu od 2,5</w:t>
      </w:r>
      <w:r w:rsidR="00FF3F8A">
        <w:rPr>
          <w:rFonts w:asciiTheme="minorHAnsi" w:hAnsiTheme="minorHAnsi" w:cstheme="minorBidi"/>
        </w:rPr>
        <w:t> </w:t>
      </w:r>
      <w:r w:rsidRPr="1C9333AB">
        <w:rPr>
          <w:rFonts w:asciiTheme="minorHAnsi" w:hAnsiTheme="minorHAnsi" w:cstheme="minorBidi"/>
        </w:rPr>
        <w:t>% do 2025, a 3</w:t>
      </w:r>
      <w:r w:rsidR="00FF3F8A">
        <w:rPr>
          <w:rFonts w:asciiTheme="minorHAnsi" w:hAnsiTheme="minorHAnsi" w:cstheme="minorBidi"/>
        </w:rPr>
        <w:t> </w:t>
      </w:r>
      <w:r w:rsidRPr="1C9333AB">
        <w:rPr>
          <w:rFonts w:asciiTheme="minorHAnsi" w:hAnsiTheme="minorHAnsi" w:cstheme="minorBidi"/>
        </w:rPr>
        <w:t>% do 2030</w:t>
      </w:r>
      <w:r w:rsidR="00272030" w:rsidRPr="1C9333AB">
        <w:rPr>
          <w:rStyle w:val="FootnoteReference"/>
          <w:rFonts w:asciiTheme="minorHAnsi" w:hAnsiTheme="minorHAnsi" w:cstheme="minorBidi"/>
          <w:sz w:val="24"/>
        </w:rPr>
        <w:footnoteReference w:id="24"/>
      </w:r>
      <w:r w:rsidR="2EBB1C69" w:rsidRPr="1C9333AB">
        <w:rPr>
          <w:rFonts w:asciiTheme="minorHAnsi" w:hAnsiTheme="minorHAnsi" w:cstheme="minorBidi"/>
        </w:rPr>
        <w:t>.</w:t>
      </w:r>
      <w:r w:rsidRPr="1C9333AB">
        <w:rPr>
          <w:rFonts w:asciiTheme="minorHAnsi" w:hAnsiTheme="minorHAnsi" w:cstheme="minorBidi"/>
        </w:rPr>
        <w:t xml:space="preserve"> Udio istraživanja i inovacija povezanih s energetskom unijom nije određen. Ukupna proračunska ulaganja za istraživanje i razvoj iznosila su 0,71</w:t>
      </w:r>
      <w:r w:rsidR="00FF3F8A">
        <w:rPr>
          <w:rFonts w:asciiTheme="minorHAnsi" w:hAnsiTheme="minorHAnsi" w:cstheme="minorBidi"/>
        </w:rPr>
        <w:t> </w:t>
      </w:r>
      <w:r w:rsidRPr="1C9333AB">
        <w:rPr>
          <w:rFonts w:asciiTheme="minorHAnsi" w:hAnsiTheme="minorHAnsi" w:cstheme="minorBidi"/>
        </w:rPr>
        <w:t xml:space="preserve">% BDP-a 2021 (tj. 102 </w:t>
      </w:r>
      <w:r w:rsidR="0031467F">
        <w:rPr>
          <w:rFonts w:asciiTheme="minorHAnsi" w:hAnsiTheme="minorHAnsi" w:cstheme="minorBidi"/>
        </w:rPr>
        <w:t>EUR</w:t>
      </w:r>
      <w:r w:rsidRPr="1C9333AB">
        <w:rPr>
          <w:rFonts w:asciiTheme="minorHAnsi" w:hAnsiTheme="minorHAnsi" w:cstheme="minorBidi"/>
        </w:rPr>
        <w:t xml:space="preserve"> po stanovniku, od čega za područje energije 0,7 </w:t>
      </w:r>
      <w:r w:rsidR="0031467F">
        <w:rPr>
          <w:rFonts w:asciiTheme="minorHAnsi" w:hAnsiTheme="minorHAnsi" w:cstheme="minorBidi"/>
        </w:rPr>
        <w:t>EUR</w:t>
      </w:r>
      <w:r w:rsidRPr="1C9333AB">
        <w:rPr>
          <w:rFonts w:asciiTheme="minorHAnsi" w:hAnsiTheme="minorHAnsi" w:cstheme="minorBidi"/>
        </w:rPr>
        <w:t xml:space="preserve"> po stanovniku, a okoliš 1,1 </w:t>
      </w:r>
      <w:r w:rsidR="0031467F">
        <w:rPr>
          <w:rFonts w:asciiTheme="minorHAnsi" w:hAnsiTheme="minorHAnsi" w:cstheme="minorBidi"/>
        </w:rPr>
        <w:t>EUR</w:t>
      </w:r>
      <w:r w:rsidRPr="1C9333AB">
        <w:rPr>
          <w:rFonts w:asciiTheme="minorHAnsi" w:hAnsiTheme="minorHAnsi" w:cstheme="minorBidi"/>
        </w:rPr>
        <w:t xml:space="preserve"> po stanovniku)</w:t>
      </w:r>
      <w:r w:rsidR="00272030" w:rsidRPr="1C9333AB">
        <w:rPr>
          <w:rStyle w:val="FootnoteReference"/>
          <w:rFonts w:asciiTheme="minorHAnsi" w:hAnsiTheme="minorHAnsi" w:cstheme="minorBidi"/>
          <w:sz w:val="24"/>
        </w:rPr>
        <w:footnoteReference w:id="25"/>
      </w:r>
      <w:r w:rsidR="5591BEAB" w:rsidRPr="1C9333AB">
        <w:rPr>
          <w:rFonts w:asciiTheme="minorHAnsi" w:hAnsiTheme="minorHAnsi" w:cstheme="minorBidi"/>
        </w:rPr>
        <w:t>.</w:t>
      </w:r>
      <w:r w:rsidRPr="1C9333AB">
        <w:rPr>
          <w:rFonts w:asciiTheme="minorHAnsi" w:hAnsiTheme="minorHAnsi" w:cstheme="minorBidi"/>
        </w:rPr>
        <w:t xml:space="preserve"> Vezano uz privatno financiranje, prema </w:t>
      </w:r>
      <w:r w:rsidR="1B1FFC10" w:rsidRPr="1C9333AB">
        <w:rPr>
          <w:rFonts w:asciiTheme="minorHAnsi" w:hAnsiTheme="minorHAnsi" w:cstheme="minorBidi"/>
        </w:rPr>
        <w:t xml:space="preserve">Strategiji </w:t>
      </w:r>
      <w:r w:rsidRPr="1C9333AB">
        <w:rPr>
          <w:rFonts w:asciiTheme="minorHAnsi" w:hAnsiTheme="minorHAnsi" w:cstheme="minorBidi"/>
        </w:rPr>
        <w:t>pametne specijalizacije do 2029. predviđa se povećanje poslovnih izdataka za istraživanje i razvoj (BERD) s 0,6</w:t>
      </w:r>
      <w:r w:rsidR="00FF3F8A">
        <w:rPr>
          <w:rFonts w:asciiTheme="minorHAnsi" w:hAnsiTheme="minorHAnsi" w:cstheme="minorBidi"/>
        </w:rPr>
        <w:t> </w:t>
      </w:r>
      <w:r w:rsidRPr="1C9333AB">
        <w:rPr>
          <w:rFonts w:asciiTheme="minorHAnsi" w:hAnsiTheme="minorHAnsi" w:cstheme="minorBidi"/>
        </w:rPr>
        <w:t>% BDP-a na 1</w:t>
      </w:r>
      <w:r w:rsidR="00FF3F8A">
        <w:rPr>
          <w:rFonts w:asciiTheme="minorHAnsi" w:hAnsiTheme="minorHAnsi" w:cstheme="minorBidi"/>
        </w:rPr>
        <w:t> </w:t>
      </w:r>
      <w:r w:rsidRPr="1C9333AB">
        <w:rPr>
          <w:rFonts w:asciiTheme="minorHAnsi" w:hAnsiTheme="minorHAnsi" w:cstheme="minorBidi"/>
        </w:rPr>
        <w:t xml:space="preserve">% BDP-a. Predviđaju se izmjene Zakona o državnim potporama za istraživačko-razvojne projekte i definiranje uvjeta poreznih olakšica za provođenje temeljnih istraživanja, </w:t>
      </w:r>
      <w:r w:rsidR="00AE5D44">
        <w:rPr>
          <w:rFonts w:asciiTheme="minorHAnsi" w:hAnsiTheme="minorHAnsi" w:cstheme="minorBidi"/>
        </w:rPr>
        <w:t>industrijskog</w:t>
      </w:r>
      <w:r w:rsidRPr="1C9333AB">
        <w:rPr>
          <w:rFonts w:asciiTheme="minorHAnsi" w:hAnsiTheme="minorHAnsi" w:cstheme="minorBidi"/>
        </w:rPr>
        <w:t xml:space="preserve"> istraživanja ili eksperimentalnog razvoja. </w:t>
      </w:r>
    </w:p>
    <w:p w14:paraId="4653B5F6" w14:textId="7ED5C864" w:rsidR="001459E4" w:rsidRPr="00CB5C3C" w:rsidRDefault="000775B5" w:rsidP="63259912">
      <w:pPr>
        <w:rPr>
          <w:rFonts w:asciiTheme="minorHAnsi" w:hAnsiTheme="minorHAnsi" w:cstheme="minorBidi"/>
        </w:rPr>
      </w:pPr>
      <w:r w:rsidRPr="63259912">
        <w:rPr>
          <w:rFonts w:asciiTheme="minorHAnsi" w:hAnsiTheme="minorHAnsi" w:cstheme="minorBidi"/>
        </w:rPr>
        <w:t xml:space="preserve">Strategija </w:t>
      </w:r>
      <w:r w:rsidR="00272030" w:rsidRPr="63259912">
        <w:rPr>
          <w:rFonts w:asciiTheme="minorHAnsi" w:hAnsiTheme="minorHAnsi" w:cstheme="minorBidi"/>
        </w:rPr>
        <w:t xml:space="preserve">pametne specijalizacije do 2029. postavlja kao cilj napredak na Europskoj ljestvici uspjeha u inoviranju (eng. </w:t>
      </w:r>
      <w:r w:rsidR="00272030" w:rsidRPr="63259912">
        <w:rPr>
          <w:rFonts w:asciiTheme="minorHAnsi" w:hAnsiTheme="minorHAnsi" w:cstheme="minorBidi"/>
          <w:i/>
          <w:iCs/>
        </w:rPr>
        <w:t>European Innovation Scoreboard</w:t>
      </w:r>
      <w:r w:rsidR="00272030" w:rsidRPr="63259912">
        <w:rPr>
          <w:rFonts w:asciiTheme="minorHAnsi" w:hAnsiTheme="minorHAnsi" w:cstheme="minorBidi"/>
        </w:rPr>
        <w:t>) s 25. na barem 18. mjesto</w:t>
      </w:r>
      <w:r w:rsidR="00F35DB5" w:rsidRPr="63259912">
        <w:rPr>
          <w:rFonts w:asciiTheme="minorHAnsi" w:hAnsiTheme="minorHAnsi" w:cstheme="minorBidi"/>
        </w:rPr>
        <w:t xml:space="preserve"> do 2030. godine</w:t>
      </w:r>
      <w:r w:rsidR="00272030" w:rsidRPr="63259912">
        <w:rPr>
          <w:rFonts w:asciiTheme="minorHAnsi" w:hAnsiTheme="minorHAnsi" w:cstheme="minorBidi"/>
        </w:rPr>
        <w:t xml:space="preserve">. </w:t>
      </w:r>
    </w:p>
    <w:p w14:paraId="4AED0F72" w14:textId="018C4561" w:rsidR="00E6462C" w:rsidRPr="00B47BDA" w:rsidRDefault="000C167F" w:rsidP="63259912">
      <w:pPr>
        <w:pStyle w:val="Heading4"/>
        <w:ind w:hanging="580"/>
      </w:pPr>
      <w:bookmarkStart w:id="394" w:name="_Toc531935150"/>
      <w:bookmarkStart w:id="395" w:name="_Toc531945100"/>
      <w:bookmarkStart w:id="396" w:name="_Toc6302357"/>
      <w:r w:rsidRPr="63259912">
        <w:t xml:space="preserve">Ako je primjenjivo, nacionalni ciljevi za 2050. </w:t>
      </w:r>
      <w:r w:rsidR="00E43C81" w:rsidRPr="63259912">
        <w:t xml:space="preserve">godinu </w:t>
      </w:r>
      <w:r w:rsidRPr="63259912">
        <w:t>povezani s promicanjem tehnologija čiste energije i, prema potrebi, nacionalni ciljevi koji uključuju dugoročne ciljeve (2050.) za korištenje niskougljičnih tehnologija, uključujući ciljeve za dekarbonizaciju energetski intenzivnih industrijskih sektora i industrijskih sektora s visokom razinom emisija ugljika i, ako je primjenjivo, ciljeve u pogledu infrastrukture za skladištenje i transport ugljika</w:t>
      </w:r>
    </w:p>
    <w:bookmarkEnd w:id="394"/>
    <w:bookmarkEnd w:id="395"/>
    <w:bookmarkEnd w:id="396"/>
    <w:p w14:paraId="3DE84EA8" w14:textId="7D4E38BB" w:rsidR="002D122D" w:rsidRPr="00413E69" w:rsidRDefault="002D122D" w:rsidP="005C6A8E">
      <w:r w:rsidRPr="63259912">
        <w:t xml:space="preserve">Republika Hrvatska povećava ulaganje u istraživanje, razvoj i inovacije, ulaganje u transfer znanja i tehnologija te u razvoj </w:t>
      </w:r>
      <w:r w:rsidR="002A36E9" w:rsidRPr="63259912">
        <w:t>tehnologija utemeljenih</w:t>
      </w:r>
      <w:r w:rsidRPr="63259912">
        <w:t xml:space="preserve"> na znanju i inovacijama putem različitih programa </w:t>
      </w:r>
      <w:r w:rsidR="0055630B" w:rsidRPr="63259912">
        <w:t>podrške</w:t>
      </w:r>
      <w:r w:rsidRPr="63259912">
        <w:t xml:space="preserve"> – od</w:t>
      </w:r>
      <w:r w:rsidR="00373D64" w:rsidRPr="63259912">
        <w:t xml:space="preserve"> dodjele</w:t>
      </w:r>
      <w:r w:rsidRPr="63259912">
        <w:t xml:space="preserve"> bespovratnih sredstava</w:t>
      </w:r>
      <w:r w:rsidR="00373D64" w:rsidRPr="63259912">
        <w:t xml:space="preserve"> i vaučera</w:t>
      </w:r>
      <w:r w:rsidRPr="63259912">
        <w:t>, preko zajmova do pr</w:t>
      </w:r>
      <w:r w:rsidR="00792C81" w:rsidRPr="63259912">
        <w:t xml:space="preserve">ovedbe </w:t>
      </w:r>
      <w:r w:rsidR="00AB38F0" w:rsidRPr="63259912">
        <w:t>strateških ili pilot projekata</w:t>
      </w:r>
      <w:r w:rsidRPr="63259912">
        <w:t xml:space="preserve">. U </w:t>
      </w:r>
      <w:r w:rsidR="00AC2D6A" w:rsidRPr="63259912">
        <w:t xml:space="preserve">Strategiji </w:t>
      </w:r>
      <w:r w:rsidRPr="63259912">
        <w:t>pametne specijalizacije do 2029</w:t>
      </w:r>
      <w:r w:rsidR="00E43C81" w:rsidRPr="63259912">
        <w:t>.</w:t>
      </w:r>
      <w:r w:rsidRPr="63259912">
        <w:t xml:space="preserve"> (dalje u tekstu: S3), 4 od ukupno 7 identificiranih tematskih prioritetnih područja (TPP) povezana su </w:t>
      </w:r>
      <w:r w:rsidR="006C6356" w:rsidRPr="63259912">
        <w:t>s</w:t>
      </w:r>
      <w:r w:rsidRPr="63259912">
        <w:t xml:space="preserve"> niskougljičnim ciljevima, energetskom učinkovitošću i </w:t>
      </w:r>
      <w:r w:rsidR="00416144" w:rsidRPr="63259912">
        <w:t xml:space="preserve">prilagodbom </w:t>
      </w:r>
      <w:r w:rsidRPr="63259912">
        <w:t xml:space="preserve">na klimatske promjene: </w:t>
      </w:r>
    </w:p>
    <w:p w14:paraId="141E6172" w14:textId="77777777" w:rsidR="002D122D" w:rsidRPr="00413E69" w:rsidRDefault="002D122D" w:rsidP="00B02AAF">
      <w:pPr>
        <w:pStyle w:val="CommentText"/>
        <w:numPr>
          <w:ilvl w:val="0"/>
          <w:numId w:val="118"/>
        </w:numPr>
        <w:spacing w:after="40"/>
        <w:ind w:left="714" w:hanging="357"/>
        <w:rPr>
          <w:sz w:val="24"/>
          <w:szCs w:val="24"/>
          <w:lang w:val="hr-HR"/>
        </w:rPr>
      </w:pPr>
      <w:r w:rsidRPr="00413E69">
        <w:rPr>
          <w:sz w:val="24"/>
          <w:szCs w:val="24"/>
          <w:lang w:val="hr-HR"/>
        </w:rPr>
        <w:t xml:space="preserve"> Pametna i čista energija</w:t>
      </w:r>
    </w:p>
    <w:p w14:paraId="6C8D00CB" w14:textId="77777777" w:rsidR="002D122D" w:rsidRPr="00413E69" w:rsidRDefault="002D122D" w:rsidP="00B02AAF">
      <w:pPr>
        <w:pStyle w:val="CommentText"/>
        <w:numPr>
          <w:ilvl w:val="0"/>
          <w:numId w:val="118"/>
        </w:numPr>
        <w:spacing w:after="40"/>
        <w:ind w:left="714" w:hanging="357"/>
        <w:rPr>
          <w:sz w:val="24"/>
          <w:szCs w:val="24"/>
          <w:lang w:val="hr-HR"/>
        </w:rPr>
      </w:pPr>
      <w:r w:rsidRPr="00413E69">
        <w:rPr>
          <w:sz w:val="24"/>
          <w:szCs w:val="24"/>
          <w:lang w:val="hr-HR"/>
        </w:rPr>
        <w:t xml:space="preserve"> Pametan i zeleni promet</w:t>
      </w:r>
    </w:p>
    <w:p w14:paraId="7864564B" w14:textId="56B1092D" w:rsidR="002D122D" w:rsidRPr="00413E69" w:rsidRDefault="002D122D" w:rsidP="00B02AAF">
      <w:pPr>
        <w:pStyle w:val="CommentText"/>
        <w:numPr>
          <w:ilvl w:val="0"/>
          <w:numId w:val="118"/>
        </w:numPr>
        <w:spacing w:after="40"/>
        <w:ind w:left="714" w:hanging="357"/>
        <w:rPr>
          <w:sz w:val="24"/>
          <w:szCs w:val="24"/>
          <w:lang w:val="hr-HR"/>
        </w:rPr>
      </w:pPr>
      <w:r w:rsidRPr="00413E69">
        <w:rPr>
          <w:sz w:val="24"/>
          <w:szCs w:val="24"/>
          <w:lang w:val="hr-HR"/>
        </w:rPr>
        <w:t xml:space="preserve"> Održiva i kružna hrana</w:t>
      </w:r>
    </w:p>
    <w:p w14:paraId="3C4F607A" w14:textId="77777777" w:rsidR="002D122D" w:rsidRPr="00413E69" w:rsidRDefault="002D122D" w:rsidP="00B02AAF">
      <w:pPr>
        <w:pStyle w:val="CommentText"/>
        <w:numPr>
          <w:ilvl w:val="0"/>
          <w:numId w:val="118"/>
        </w:numPr>
        <w:spacing w:after="40"/>
        <w:ind w:left="714" w:hanging="357"/>
        <w:rPr>
          <w:sz w:val="24"/>
          <w:szCs w:val="24"/>
          <w:lang w:val="hr-HR"/>
        </w:rPr>
      </w:pPr>
      <w:r w:rsidRPr="00413E69">
        <w:rPr>
          <w:sz w:val="24"/>
          <w:szCs w:val="24"/>
          <w:lang w:val="hr-HR"/>
        </w:rPr>
        <w:t xml:space="preserve"> Prilagođeni i integrirani proizvodi od drva</w:t>
      </w:r>
    </w:p>
    <w:p w14:paraId="4C34EB15" w14:textId="4B671A90" w:rsidR="002D122D" w:rsidRPr="00A056C9" w:rsidRDefault="002D122D" w:rsidP="005C6A8E">
      <w:r w:rsidRPr="63259912">
        <w:lastRenderedPageBreak/>
        <w:t>Također, unutar S3 su po pojedinim TPP-ovima napravljene indikativne liste intervencija, koje uključuju projekte iz područja Pametna i čista energija i Pametan i zeleni promet</w:t>
      </w:r>
      <w:r w:rsidR="00681635" w:rsidRPr="63259912">
        <w:t>, kao što su</w:t>
      </w:r>
      <w:r w:rsidRPr="63259912">
        <w:t>: pilot-</w:t>
      </w:r>
      <w:r w:rsidR="00243AC3" w:rsidRPr="63259912">
        <w:t xml:space="preserve">projekti </w:t>
      </w:r>
      <w:r w:rsidRPr="63259912">
        <w:t>mikromreža, razvoj tehnološkog centra za pametnu i zelenu mobilnost</w:t>
      </w:r>
      <w:r w:rsidR="003C605A" w:rsidRPr="63259912">
        <w:t xml:space="preserve"> i</w:t>
      </w:r>
      <w:r w:rsidR="000C2CEF" w:rsidRPr="63259912">
        <w:t xml:space="preserve"> </w:t>
      </w:r>
      <w:r w:rsidR="003C605A" w:rsidRPr="63259912">
        <w:t>sl</w:t>
      </w:r>
      <w:r w:rsidRPr="63259912">
        <w:t>.</w:t>
      </w:r>
    </w:p>
    <w:p w14:paraId="252B5867" w14:textId="4D72D297" w:rsidR="002D122D" w:rsidRPr="00AD0C11" w:rsidRDefault="29BAB2B2" w:rsidP="63259912">
      <w:pPr>
        <w:rPr>
          <w:rFonts w:eastAsia="Calibri"/>
          <w:lang w:bidi="ar-BH"/>
        </w:rPr>
      </w:pPr>
      <w:r w:rsidRPr="63259912">
        <w:t xml:space="preserve">U </w:t>
      </w:r>
      <w:r w:rsidRPr="63259912">
        <w:rPr>
          <w:b/>
          <w:bCs/>
          <w:i/>
          <w:iCs/>
        </w:rPr>
        <w:t>TPP Pametna i čista energija</w:t>
      </w:r>
      <w:r w:rsidRPr="63259912">
        <w:t xml:space="preserve"> </w:t>
      </w:r>
      <w:r w:rsidR="3CC37599" w:rsidRPr="63259912">
        <w:t>tijekom konzultacija s dionicima sektora iz gospodarstva i istraživačke zajednice dobiveni su prijedlozi za provođenje prim</w:t>
      </w:r>
      <w:r w:rsidR="000C2CEF" w:rsidRPr="63259912">
        <w:t>i</w:t>
      </w:r>
      <w:r w:rsidR="3CC37599" w:rsidRPr="63259912">
        <w:t>jenjenih istraživanja</w:t>
      </w:r>
      <w:r w:rsidRPr="63259912">
        <w:t xml:space="preserve"> u područjima kao što su </w:t>
      </w:r>
      <w:r w:rsidRPr="63259912">
        <w:rPr>
          <w:rFonts w:eastAsia="Calibri"/>
          <w:lang w:bidi="ar-BH"/>
        </w:rPr>
        <w:t xml:space="preserve">tehnologija pametne mreže, </w:t>
      </w:r>
      <w:r w:rsidRPr="63259912">
        <w:t>p</w:t>
      </w:r>
      <w:r w:rsidRPr="63259912">
        <w:rPr>
          <w:rFonts w:eastAsia="Calibri"/>
          <w:lang w:bidi="ar-BH"/>
        </w:rPr>
        <w:t>retvorba otpada u energiju, skladištenje energije, hvatanje ugljika (</w:t>
      </w:r>
      <w:r w:rsidR="383E2FED" w:rsidRPr="63259912">
        <w:rPr>
          <w:rFonts w:eastAsia="Calibri"/>
          <w:lang w:bidi="ar-BH"/>
        </w:rPr>
        <w:t>IRI rješenja za hva</w:t>
      </w:r>
      <w:r w:rsidR="3D5A150B" w:rsidRPr="63259912">
        <w:rPr>
          <w:rFonts w:eastAsia="Calibri"/>
          <w:lang w:bidi="ar-BH"/>
        </w:rPr>
        <w:t>t</w:t>
      </w:r>
      <w:r w:rsidR="383E2FED" w:rsidRPr="63259912">
        <w:rPr>
          <w:rFonts w:eastAsia="Calibri"/>
          <w:lang w:bidi="ar-BH"/>
        </w:rPr>
        <w:t>anje i pohranjivanje CO</w:t>
      </w:r>
      <w:r w:rsidR="383E2FED" w:rsidRPr="63259912">
        <w:rPr>
          <w:rFonts w:eastAsia="Calibri"/>
          <w:vertAlign w:val="subscript"/>
          <w:lang w:bidi="ar-BH"/>
        </w:rPr>
        <w:t>2</w:t>
      </w:r>
      <w:r w:rsidR="383E2FED" w:rsidRPr="63259912">
        <w:rPr>
          <w:rFonts w:eastAsia="Calibri"/>
          <w:lang w:bidi="ar-BH"/>
        </w:rPr>
        <w:t>), zelena termalna energija, vodik (npr. istraživanje rješenja za dekarbonizaciju temeljena na vodiku).</w:t>
      </w:r>
      <w:r w:rsidRPr="63259912">
        <w:rPr>
          <w:rFonts w:eastAsia="Calibri"/>
          <w:lang w:bidi="ar-BH"/>
        </w:rPr>
        <w:t xml:space="preserve"> </w:t>
      </w:r>
      <w:r w:rsidR="40C54A17" w:rsidRPr="63259912">
        <w:rPr>
          <w:rFonts w:eastAsia="Calibri"/>
          <w:lang w:bidi="ar-BH"/>
        </w:rPr>
        <w:t>Nadalje, o</w:t>
      </w:r>
      <w:r w:rsidRPr="63259912">
        <w:rPr>
          <w:rFonts w:eastAsia="Calibri"/>
          <w:lang w:bidi="ar-BH"/>
        </w:rPr>
        <w:t xml:space="preserve">sim već spomenutog pilot-projekta mikromreža, </w:t>
      </w:r>
      <w:r w:rsidR="14DB1A12" w:rsidRPr="63259912">
        <w:rPr>
          <w:rFonts w:eastAsia="Calibri"/>
          <w:lang w:bidi="ar-BH"/>
        </w:rPr>
        <w:t xml:space="preserve">razmatra </w:t>
      </w:r>
      <w:r w:rsidRPr="63259912">
        <w:rPr>
          <w:rFonts w:eastAsia="Calibri"/>
          <w:lang w:bidi="ar-BH"/>
        </w:rPr>
        <w:t>se</w:t>
      </w:r>
      <w:r w:rsidR="14DB1A12" w:rsidRPr="63259912">
        <w:rPr>
          <w:rFonts w:eastAsia="Calibri"/>
          <w:lang w:bidi="ar-BH"/>
        </w:rPr>
        <w:t xml:space="preserve"> i</w:t>
      </w:r>
      <w:r w:rsidRPr="63259912">
        <w:rPr>
          <w:rFonts w:eastAsia="Calibri"/>
          <w:lang w:bidi="ar-BH"/>
        </w:rPr>
        <w:t xml:space="preserve"> javna nabava inovativnih rješenja te procjena postojećeg okvira za regulaciju podataka s ciljem moguće liberalizacije pristupa određenim podacima vezanim uz energiju </w:t>
      </w:r>
      <w:r w:rsidR="47810B29" w:rsidRPr="63259912">
        <w:rPr>
          <w:rFonts w:eastAsia="Calibri"/>
          <w:lang w:bidi="ar-BH"/>
        </w:rPr>
        <w:t>i</w:t>
      </w:r>
      <w:r w:rsidRPr="63259912">
        <w:rPr>
          <w:rFonts w:eastAsia="Calibri"/>
          <w:lang w:bidi="ar-BH"/>
        </w:rPr>
        <w:t xml:space="preserve"> revizija regulative za mikromreže</w:t>
      </w:r>
      <w:r w:rsidR="0FAB41D5" w:rsidRPr="63259912">
        <w:rPr>
          <w:rFonts w:eastAsia="Calibri"/>
          <w:lang w:bidi="ar-BH"/>
        </w:rPr>
        <w:t>. Planira se i</w:t>
      </w:r>
      <w:r w:rsidRPr="63259912">
        <w:rPr>
          <w:rFonts w:eastAsia="Calibri"/>
          <w:lang w:bidi="ar-BH"/>
        </w:rPr>
        <w:t xml:space="preserve"> izgradnja biorafinerije za proizvodnju naprednih biogoriva (investicija NPOO-a (C1.2.R1-I4).</w:t>
      </w:r>
    </w:p>
    <w:p w14:paraId="0AEB1DBF" w14:textId="34C54605" w:rsidR="002D122D" w:rsidRPr="00AD0C11" w:rsidRDefault="002D122D" w:rsidP="63259912">
      <w:pPr>
        <w:rPr>
          <w:rFonts w:eastAsia="Calibri"/>
          <w:lang w:bidi="ar-BH"/>
        </w:rPr>
      </w:pPr>
      <w:r w:rsidRPr="63259912">
        <w:rPr>
          <w:rFonts w:eastAsia="Calibri"/>
          <w:lang w:bidi="ar-BH"/>
        </w:rPr>
        <w:t xml:space="preserve">U TPP-u </w:t>
      </w:r>
      <w:r w:rsidRPr="63259912">
        <w:rPr>
          <w:rFonts w:eastAsia="Calibri"/>
          <w:b/>
          <w:bCs/>
          <w:i/>
          <w:iCs/>
          <w:lang w:bidi="ar-BH"/>
        </w:rPr>
        <w:t>Pametan i zeleni promet</w:t>
      </w:r>
      <w:r w:rsidRPr="63259912">
        <w:rPr>
          <w:rFonts w:eastAsia="Calibri"/>
          <w:lang w:bidi="ar-BH"/>
        </w:rPr>
        <w:t xml:space="preserve"> planira se napraviti zaokret prema ekološki prihvatljivim i digitaliziranim prometnim rješenjima i tehnologijama i poticanjem istraživačkih i inovacijskih aktivnosti povezanih s održivošću, tehnološkom optimizacijom i relevantnom primjenom IKT rješenja vezanih uz promet i mobilnost. Takve bi se aktivnosti </w:t>
      </w:r>
      <w:r w:rsidR="006029AD" w:rsidRPr="63259912">
        <w:rPr>
          <w:rFonts w:eastAsia="Calibri"/>
          <w:lang w:bidi="ar-BH"/>
        </w:rPr>
        <w:t>na primjer</w:t>
      </w:r>
      <w:r w:rsidRPr="63259912">
        <w:rPr>
          <w:rFonts w:eastAsia="Calibri"/>
          <w:lang w:bidi="ar-BH"/>
        </w:rPr>
        <w:t xml:space="preserve"> mogle poduprijeti dekarbonizacijom i razvojem integriranih sustava, korištenjem interneta stvari (IoT) i inovacijama vođenih podataka. </w:t>
      </w:r>
      <w:r w:rsidR="002D400E" w:rsidRPr="63259912">
        <w:rPr>
          <w:rFonts w:eastAsia="Calibri"/>
          <w:lang w:bidi="ar-BH"/>
        </w:rPr>
        <w:t>Identificirana moguća područja istraživanja su na primjer</w:t>
      </w:r>
      <w:r w:rsidRPr="63259912">
        <w:rPr>
          <w:rFonts w:eastAsia="Calibri"/>
          <w:lang w:bidi="ar-BH"/>
        </w:rPr>
        <w:t xml:space="preserve">: </w:t>
      </w:r>
    </w:p>
    <w:p w14:paraId="78E0CFF2" w14:textId="77777777" w:rsidR="002D122D" w:rsidRPr="004E40A7" w:rsidRDefault="002D122D" w:rsidP="005A6D46">
      <w:pPr>
        <w:spacing w:after="60"/>
        <w:rPr>
          <w:rFonts w:eastAsia="Calibri"/>
          <w:lang w:bidi="ar-BH"/>
        </w:rPr>
      </w:pPr>
      <w:r w:rsidRPr="004E40A7">
        <w:rPr>
          <w:rFonts w:eastAsia="Calibri"/>
          <w:lang w:bidi="ar-BH"/>
        </w:rPr>
        <w:t>•</w:t>
      </w:r>
      <w:r w:rsidRPr="004E40A7">
        <w:rPr>
          <w:rFonts w:eastAsia="Calibri"/>
          <w:lang w:bidi="ar-BH"/>
        </w:rPr>
        <w:tab/>
        <w:t>razvoj softvera za testiranje motora,</w:t>
      </w:r>
    </w:p>
    <w:p w14:paraId="63967385" w14:textId="77777777" w:rsidR="002D122D" w:rsidRPr="004E40A7" w:rsidRDefault="002D122D" w:rsidP="005A6D46">
      <w:pPr>
        <w:spacing w:after="60"/>
        <w:rPr>
          <w:rFonts w:eastAsia="Calibri"/>
          <w:lang w:bidi="ar-BH"/>
        </w:rPr>
      </w:pPr>
      <w:r w:rsidRPr="004E40A7">
        <w:rPr>
          <w:rFonts w:eastAsia="Calibri"/>
          <w:lang w:bidi="ar-BH"/>
        </w:rPr>
        <w:t>•</w:t>
      </w:r>
      <w:r w:rsidRPr="004E40A7">
        <w:rPr>
          <w:rFonts w:eastAsia="Calibri"/>
          <w:lang w:bidi="ar-BH"/>
        </w:rPr>
        <w:tab/>
        <w:t>napredne metode proizvodnje (npr. 3D ispis, precizna i/ili robotska proizvodnja),</w:t>
      </w:r>
    </w:p>
    <w:p w14:paraId="651A3E8C" w14:textId="0EA1C2C6" w:rsidR="002D122D" w:rsidRPr="004E40A7" w:rsidRDefault="002D122D" w:rsidP="005A6D46">
      <w:pPr>
        <w:spacing w:after="60"/>
        <w:rPr>
          <w:rFonts w:eastAsia="Calibri"/>
          <w:lang w:bidi="ar-BH"/>
        </w:rPr>
      </w:pPr>
      <w:r w:rsidRPr="004E40A7">
        <w:rPr>
          <w:rFonts w:eastAsia="Calibri"/>
          <w:lang w:bidi="ar-BH"/>
        </w:rPr>
        <w:t>•</w:t>
      </w:r>
      <w:r w:rsidRPr="004E40A7">
        <w:rPr>
          <w:rFonts w:eastAsia="Calibri"/>
          <w:lang w:bidi="ar-BH"/>
        </w:rPr>
        <w:tab/>
        <w:t>umjetna inteligencija i strojno učenje u prometnom sustavu (npr. optimizacija logistike, autonomija plovila, sigurnost u željezničkom prometu, nadzor infrastrukture),</w:t>
      </w:r>
    </w:p>
    <w:p w14:paraId="3ADE5F58" w14:textId="77777777" w:rsidR="002D122D" w:rsidRPr="004E40A7" w:rsidRDefault="002D122D" w:rsidP="005A6D46">
      <w:pPr>
        <w:spacing w:after="60"/>
        <w:rPr>
          <w:rFonts w:eastAsia="Calibri"/>
          <w:lang w:bidi="ar-BH"/>
        </w:rPr>
      </w:pPr>
      <w:r w:rsidRPr="004E40A7">
        <w:rPr>
          <w:rFonts w:eastAsia="Calibri"/>
          <w:lang w:bidi="ar-BH"/>
        </w:rPr>
        <w:t>•</w:t>
      </w:r>
      <w:r w:rsidRPr="004E40A7">
        <w:rPr>
          <w:rFonts w:eastAsia="Calibri"/>
          <w:lang w:bidi="ar-BH"/>
        </w:rPr>
        <w:tab/>
        <w:t>skladištenje goriva i pogon s niskim emisijama stakleničkih plinova za pomorska plovila, cestovna vozila, pokretni strojevi i lokomotive,</w:t>
      </w:r>
    </w:p>
    <w:p w14:paraId="7FFC8EAD" w14:textId="7C1F8C67" w:rsidR="002D122D" w:rsidRPr="004E40A7" w:rsidRDefault="002D122D" w:rsidP="005A6D46">
      <w:pPr>
        <w:spacing w:after="60"/>
        <w:rPr>
          <w:rFonts w:eastAsia="Calibri"/>
          <w:lang w:bidi="ar-BH"/>
        </w:rPr>
      </w:pPr>
      <w:r w:rsidRPr="004E40A7">
        <w:rPr>
          <w:rFonts w:eastAsia="Calibri"/>
          <w:lang w:bidi="ar-BH"/>
        </w:rPr>
        <w:t>•</w:t>
      </w:r>
      <w:r w:rsidRPr="004E40A7">
        <w:rPr>
          <w:rFonts w:eastAsia="Calibri"/>
          <w:lang w:bidi="ar-BH"/>
        </w:rPr>
        <w:tab/>
        <w:t>novi i napredni materijali</w:t>
      </w:r>
      <w:r w:rsidR="00D542DE">
        <w:rPr>
          <w:rFonts w:eastAsia="Calibri"/>
          <w:lang w:bidi="ar-BH"/>
        </w:rPr>
        <w:t>,</w:t>
      </w:r>
    </w:p>
    <w:p w14:paraId="16FA8FA4" w14:textId="615A5908" w:rsidR="002D122D" w:rsidRPr="004E40A7" w:rsidRDefault="002D122D" w:rsidP="005A6D46">
      <w:pPr>
        <w:spacing w:after="60"/>
        <w:rPr>
          <w:rFonts w:eastAsia="Calibri"/>
          <w:lang w:bidi="ar-BH"/>
        </w:rPr>
      </w:pPr>
      <w:r w:rsidRPr="004E40A7">
        <w:rPr>
          <w:rFonts w:eastAsia="Calibri"/>
          <w:lang w:bidi="ar-BH"/>
        </w:rPr>
        <w:t>•</w:t>
      </w:r>
      <w:r w:rsidRPr="004E40A7">
        <w:rPr>
          <w:rFonts w:eastAsia="Calibri"/>
          <w:lang w:bidi="ar-BH"/>
        </w:rPr>
        <w:tab/>
        <w:t>elektronički uređaji, senzori i komponente</w:t>
      </w:r>
      <w:r w:rsidR="006E55F3">
        <w:rPr>
          <w:rFonts w:eastAsia="Calibri"/>
          <w:lang w:bidi="ar-BH"/>
        </w:rPr>
        <w:t>.</w:t>
      </w:r>
    </w:p>
    <w:p w14:paraId="256545BF" w14:textId="43E83BF6" w:rsidR="002D122D" w:rsidRPr="00AD0C11" w:rsidRDefault="00DB0C0A" w:rsidP="63259912">
      <w:pPr>
        <w:rPr>
          <w:rFonts w:eastAsia="Calibri"/>
          <w:lang w:bidi="ar-BH"/>
        </w:rPr>
      </w:pPr>
      <w:r w:rsidRPr="63259912">
        <w:rPr>
          <w:rFonts w:eastAsia="Calibri"/>
          <w:lang w:bidi="ar-BH"/>
        </w:rPr>
        <w:t xml:space="preserve">Predloženo je i ulaganje </w:t>
      </w:r>
      <w:r w:rsidR="002D122D" w:rsidRPr="63259912">
        <w:rPr>
          <w:rFonts w:eastAsia="Calibri"/>
          <w:lang w:bidi="ar-BH"/>
        </w:rPr>
        <w:t>u javnu nabavu inovativnih rješenja, u projekte u sklopu Europske inovacije za baterije (EuBatIn), u infrastrukturu za vozila i plovila na alternativna goriva, u regulatorni pregled i reformske aktivnosti za poticanje zelene tranzicije, u strukovne vještine, u osnivanje centra za inteligentne prometne sustave itd.</w:t>
      </w:r>
    </w:p>
    <w:p w14:paraId="1620BCCE" w14:textId="4341D59C" w:rsidR="00E9652B" w:rsidRPr="00B47BDA" w:rsidRDefault="00E9652B" w:rsidP="004623DD">
      <w:r w:rsidRPr="00B47BDA">
        <w:t xml:space="preserve">Za specifične tehnologije, Strategija za vodik </w:t>
      </w:r>
      <w:r w:rsidR="00903B2C">
        <w:t>do 2050</w:t>
      </w:r>
      <w:r w:rsidR="005B07FA">
        <w:t>. godine</w:t>
      </w:r>
      <w:r w:rsidRPr="00B47BDA">
        <w:t xml:space="preserve"> (</w:t>
      </w:r>
      <w:r w:rsidR="004975F6">
        <w:t>„</w:t>
      </w:r>
      <w:r w:rsidR="00071A4F" w:rsidRPr="00071A4F">
        <w:t xml:space="preserve">Narodne </w:t>
      </w:r>
      <w:r w:rsidR="00A97AE7">
        <w:t>novine</w:t>
      </w:r>
      <w:r w:rsidR="004975F6">
        <w:t>“</w:t>
      </w:r>
      <w:r w:rsidR="00071A4F" w:rsidRPr="00071A4F">
        <w:t>, br</w:t>
      </w:r>
      <w:r w:rsidR="004975F6">
        <w:t xml:space="preserve">. </w:t>
      </w:r>
      <w:r w:rsidRPr="00B47BDA">
        <w:t>40/22</w:t>
      </w:r>
      <w:r w:rsidR="004975F6">
        <w:t>.</w:t>
      </w:r>
      <w:r w:rsidRPr="00B47BDA">
        <w:t>) postavlja sljedeće ciljeve vezane uz poticanje</w:t>
      </w:r>
      <w:r w:rsidRPr="00B47BDA">
        <w:rPr>
          <w:rFonts w:ascii="Times New Roman" w:hAnsi="Times New Roman"/>
        </w:rPr>
        <w:t xml:space="preserve"> </w:t>
      </w:r>
      <w:r w:rsidRPr="00B47BDA">
        <w:t>razvoja znanosti, istraživanja i razvoja vodikovih tehnologija</w:t>
      </w:r>
      <w:r w:rsidR="006424B3" w:rsidRPr="00B47BDA">
        <w:t>.</w:t>
      </w:r>
    </w:p>
    <w:tbl>
      <w:tblPr>
        <w:tblStyle w:val="NECP"/>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246"/>
        <w:gridCol w:w="1229"/>
        <w:gridCol w:w="1038"/>
        <w:gridCol w:w="1140"/>
      </w:tblGrid>
      <w:tr w:rsidR="00BA1C69" w:rsidRPr="0047196B" w14:paraId="11AB9AD1" w14:textId="77777777" w:rsidTr="0080242D">
        <w:trPr>
          <w:cnfStyle w:val="100000000000" w:firstRow="1" w:lastRow="0" w:firstColumn="0" w:lastColumn="0" w:oddVBand="0" w:evenVBand="0" w:oddHBand="0" w:evenHBand="0" w:firstRowFirstColumn="0" w:firstRowLastColumn="0" w:lastRowFirstColumn="0" w:lastRowLastColumn="0"/>
        </w:trPr>
        <w:tc>
          <w:tcPr>
            <w:tcW w:w="1275" w:type="pct"/>
            <w:shd w:val="clear" w:color="auto" w:fill="D9E2F3" w:themeFill="accent5" w:themeFillTint="33"/>
            <w:tcMar>
              <w:left w:w="57" w:type="dxa"/>
              <w:right w:w="57" w:type="dxa"/>
            </w:tcMar>
          </w:tcPr>
          <w:p w14:paraId="0C693774" w14:textId="77777777" w:rsidR="007E4B12" w:rsidRPr="0047196B" w:rsidRDefault="007E4B12">
            <w:pPr>
              <w:spacing w:after="0"/>
              <w:jc w:val="center"/>
              <w:rPr>
                <w:sz w:val="22"/>
                <w:szCs w:val="22"/>
              </w:rPr>
            </w:pPr>
            <w:r w:rsidRPr="0047196B">
              <w:rPr>
                <w:sz w:val="22"/>
                <w:szCs w:val="22"/>
              </w:rPr>
              <w:t>Strateški cilj</w:t>
            </w:r>
          </w:p>
        </w:tc>
        <w:tc>
          <w:tcPr>
            <w:tcW w:w="1817" w:type="pct"/>
            <w:shd w:val="clear" w:color="auto" w:fill="D9E2F3" w:themeFill="accent5" w:themeFillTint="33"/>
            <w:tcMar>
              <w:left w:w="57" w:type="dxa"/>
              <w:right w:w="57" w:type="dxa"/>
            </w:tcMar>
          </w:tcPr>
          <w:p w14:paraId="3B8119FC" w14:textId="61327481" w:rsidR="007E4B12" w:rsidRPr="0047196B" w:rsidRDefault="009B7956">
            <w:pPr>
              <w:pStyle w:val="t-9"/>
              <w:spacing w:after="0" w:afterAutospacing="0"/>
              <w:jc w:val="center"/>
              <w:rPr>
                <w:sz w:val="22"/>
                <w:szCs w:val="22"/>
              </w:rPr>
            </w:pPr>
            <w:r>
              <w:rPr>
                <w:sz w:val="22"/>
                <w:szCs w:val="22"/>
              </w:rPr>
              <w:t>Pokazatelj učinka</w:t>
            </w:r>
          </w:p>
        </w:tc>
        <w:tc>
          <w:tcPr>
            <w:tcW w:w="688" w:type="pct"/>
            <w:shd w:val="clear" w:color="auto" w:fill="D9E2F3" w:themeFill="accent5" w:themeFillTint="33"/>
            <w:tcMar>
              <w:left w:w="57" w:type="dxa"/>
              <w:right w:w="57" w:type="dxa"/>
            </w:tcMar>
          </w:tcPr>
          <w:p w14:paraId="62CE9EE7" w14:textId="77777777" w:rsidR="007E4B12" w:rsidRPr="0047196B" w:rsidRDefault="007E4B12">
            <w:pPr>
              <w:spacing w:after="0"/>
              <w:jc w:val="center"/>
              <w:rPr>
                <w:sz w:val="22"/>
                <w:szCs w:val="22"/>
              </w:rPr>
            </w:pPr>
            <w:r w:rsidRPr="0047196B">
              <w:rPr>
                <w:sz w:val="22"/>
                <w:szCs w:val="22"/>
              </w:rPr>
              <w:t>Početna vrijednost 2021/2022</w:t>
            </w:r>
          </w:p>
        </w:tc>
        <w:tc>
          <w:tcPr>
            <w:tcW w:w="581" w:type="pct"/>
            <w:shd w:val="clear" w:color="auto" w:fill="D9E2F3" w:themeFill="accent5" w:themeFillTint="33"/>
            <w:tcMar>
              <w:left w:w="57" w:type="dxa"/>
              <w:right w:w="57" w:type="dxa"/>
            </w:tcMar>
          </w:tcPr>
          <w:p w14:paraId="2BB2F343" w14:textId="77777777" w:rsidR="007E4B12" w:rsidRPr="0047196B" w:rsidRDefault="007E4B12">
            <w:pPr>
              <w:spacing w:after="0"/>
              <w:jc w:val="center"/>
              <w:rPr>
                <w:sz w:val="22"/>
                <w:szCs w:val="22"/>
              </w:rPr>
            </w:pPr>
            <w:r w:rsidRPr="0047196B">
              <w:rPr>
                <w:sz w:val="22"/>
                <w:szCs w:val="22"/>
              </w:rPr>
              <w:t>Ciljna vrijednost 2030.</w:t>
            </w:r>
          </w:p>
        </w:tc>
        <w:tc>
          <w:tcPr>
            <w:tcW w:w="638" w:type="pct"/>
            <w:shd w:val="clear" w:color="auto" w:fill="D9E2F3" w:themeFill="accent5" w:themeFillTint="33"/>
            <w:tcMar>
              <w:left w:w="57" w:type="dxa"/>
              <w:right w:w="57" w:type="dxa"/>
            </w:tcMar>
          </w:tcPr>
          <w:p w14:paraId="0B2B2809" w14:textId="77777777" w:rsidR="007E4B12" w:rsidRPr="0047196B" w:rsidRDefault="007E4B12">
            <w:pPr>
              <w:spacing w:after="0"/>
              <w:jc w:val="center"/>
              <w:rPr>
                <w:sz w:val="22"/>
                <w:szCs w:val="22"/>
              </w:rPr>
            </w:pPr>
            <w:r w:rsidRPr="0047196B">
              <w:rPr>
                <w:sz w:val="22"/>
                <w:szCs w:val="22"/>
              </w:rPr>
              <w:t>Ciljna vrijednost 2050.</w:t>
            </w:r>
          </w:p>
        </w:tc>
      </w:tr>
      <w:tr w:rsidR="007E4B12" w:rsidRPr="0047196B" w14:paraId="74AD8B59" w14:textId="77777777" w:rsidTr="0080242D">
        <w:tc>
          <w:tcPr>
            <w:tcW w:w="1275" w:type="pct"/>
            <w:tcMar>
              <w:left w:w="57" w:type="dxa"/>
              <w:right w:w="57" w:type="dxa"/>
            </w:tcMar>
            <w:hideMark/>
          </w:tcPr>
          <w:p w14:paraId="7F5F0A94" w14:textId="77777777" w:rsidR="007E4B12" w:rsidRPr="0047196B" w:rsidRDefault="007E4B12">
            <w:pPr>
              <w:spacing w:after="0"/>
              <w:jc w:val="left"/>
              <w:rPr>
                <w:sz w:val="22"/>
                <w:szCs w:val="22"/>
              </w:rPr>
            </w:pPr>
            <w:r w:rsidRPr="0047196B">
              <w:rPr>
                <w:sz w:val="22"/>
                <w:szCs w:val="22"/>
                <w:shd w:val="clear" w:color="auto" w:fill="FFFFFF"/>
              </w:rPr>
              <w:t>Poticanje razvoja znanosti, istraživanja i razvoja vodikovih tehnologija</w:t>
            </w:r>
          </w:p>
        </w:tc>
        <w:tc>
          <w:tcPr>
            <w:tcW w:w="1817" w:type="pct"/>
            <w:tcMar>
              <w:left w:w="57" w:type="dxa"/>
              <w:right w:w="57" w:type="dxa"/>
            </w:tcMar>
            <w:hideMark/>
          </w:tcPr>
          <w:p w14:paraId="7C25DAFB" w14:textId="77777777" w:rsidR="007E4B12" w:rsidRPr="0047196B" w:rsidRDefault="007E4B12">
            <w:pPr>
              <w:spacing w:after="0"/>
              <w:jc w:val="left"/>
              <w:rPr>
                <w:sz w:val="22"/>
                <w:szCs w:val="22"/>
              </w:rPr>
            </w:pPr>
            <w:r w:rsidRPr="0047196B">
              <w:rPr>
                <w:sz w:val="22"/>
                <w:szCs w:val="22"/>
              </w:rPr>
              <w:t>Broj patenata vezanih za gospodarstvo temeljeno na vodiku</w:t>
            </w:r>
          </w:p>
          <w:p w14:paraId="534EBBE7" w14:textId="77777777" w:rsidR="007E4B12" w:rsidRPr="0047196B" w:rsidRDefault="007E4B12">
            <w:pPr>
              <w:spacing w:after="0"/>
              <w:jc w:val="left"/>
              <w:rPr>
                <w:sz w:val="22"/>
                <w:szCs w:val="22"/>
              </w:rPr>
            </w:pPr>
            <w:r w:rsidRPr="0047196B">
              <w:rPr>
                <w:sz w:val="22"/>
                <w:szCs w:val="22"/>
              </w:rPr>
              <w:t>Jedinica mjere: broj</w:t>
            </w:r>
          </w:p>
          <w:p w14:paraId="0E8B7C57" w14:textId="77777777" w:rsidR="007E4B12" w:rsidRPr="0047196B" w:rsidRDefault="007E4B12">
            <w:pPr>
              <w:spacing w:after="0"/>
              <w:jc w:val="left"/>
              <w:rPr>
                <w:sz w:val="22"/>
                <w:szCs w:val="22"/>
              </w:rPr>
            </w:pPr>
            <w:r w:rsidRPr="0047196B">
              <w:rPr>
                <w:sz w:val="22"/>
                <w:szCs w:val="22"/>
              </w:rPr>
              <w:t>Kod: II.02.6.51</w:t>
            </w:r>
          </w:p>
        </w:tc>
        <w:tc>
          <w:tcPr>
            <w:tcW w:w="688" w:type="pct"/>
            <w:tcMar>
              <w:left w:w="57" w:type="dxa"/>
              <w:right w:w="57" w:type="dxa"/>
            </w:tcMar>
            <w:hideMark/>
          </w:tcPr>
          <w:p w14:paraId="182DCCE8" w14:textId="77777777" w:rsidR="007E4B12" w:rsidRPr="0047196B" w:rsidRDefault="007E4B12">
            <w:pPr>
              <w:spacing w:after="0"/>
              <w:jc w:val="center"/>
              <w:rPr>
                <w:sz w:val="22"/>
                <w:szCs w:val="22"/>
              </w:rPr>
            </w:pPr>
            <w:r w:rsidRPr="0047196B">
              <w:rPr>
                <w:sz w:val="22"/>
                <w:szCs w:val="22"/>
              </w:rPr>
              <w:t>0</w:t>
            </w:r>
          </w:p>
        </w:tc>
        <w:tc>
          <w:tcPr>
            <w:tcW w:w="581" w:type="pct"/>
            <w:tcMar>
              <w:left w:w="57" w:type="dxa"/>
              <w:right w:w="57" w:type="dxa"/>
            </w:tcMar>
            <w:hideMark/>
          </w:tcPr>
          <w:p w14:paraId="301A95B5" w14:textId="77777777" w:rsidR="007E4B12" w:rsidRPr="0047196B" w:rsidRDefault="007E4B12">
            <w:pPr>
              <w:spacing w:after="0"/>
              <w:jc w:val="center"/>
              <w:rPr>
                <w:sz w:val="22"/>
                <w:szCs w:val="22"/>
              </w:rPr>
            </w:pPr>
            <w:r w:rsidRPr="0047196B">
              <w:rPr>
                <w:sz w:val="22"/>
                <w:szCs w:val="22"/>
              </w:rPr>
              <w:t>5</w:t>
            </w:r>
          </w:p>
        </w:tc>
        <w:tc>
          <w:tcPr>
            <w:tcW w:w="638" w:type="pct"/>
            <w:tcMar>
              <w:left w:w="57" w:type="dxa"/>
              <w:right w:w="57" w:type="dxa"/>
            </w:tcMar>
          </w:tcPr>
          <w:p w14:paraId="06EE07CA" w14:textId="77777777" w:rsidR="007E4B12" w:rsidRPr="0047196B" w:rsidRDefault="007E4B12">
            <w:pPr>
              <w:spacing w:after="0"/>
              <w:jc w:val="center"/>
              <w:rPr>
                <w:sz w:val="22"/>
                <w:szCs w:val="22"/>
              </w:rPr>
            </w:pPr>
            <w:r w:rsidRPr="0047196B">
              <w:rPr>
                <w:sz w:val="22"/>
                <w:szCs w:val="22"/>
                <w:shd w:val="clear" w:color="auto" w:fill="FFFFFF"/>
              </w:rPr>
              <w:t>50</w:t>
            </w:r>
          </w:p>
        </w:tc>
      </w:tr>
    </w:tbl>
    <w:p w14:paraId="2E40599E" w14:textId="77777777" w:rsidR="00574FC1" w:rsidRDefault="00574FC1" w:rsidP="004623DD"/>
    <w:p w14:paraId="4AEAFEFD" w14:textId="2A2FCCBB" w:rsidR="00C0506A" w:rsidRPr="00B47BDA" w:rsidRDefault="00C46347" w:rsidP="004623DD">
      <w:r w:rsidRPr="63259912">
        <w:lastRenderedPageBreak/>
        <w:t xml:space="preserve">Prihodima od prodaje emisijskih jedinica iz EU ETS-a financiraju se, a što će se </w:t>
      </w:r>
      <w:r w:rsidR="00BD1471" w:rsidRPr="63259912">
        <w:t>n</w:t>
      </w:r>
      <w:r w:rsidRPr="63259912">
        <w:t>astaviti i dalje</w:t>
      </w:r>
      <w:r w:rsidR="00BD1471" w:rsidRPr="63259912">
        <w:t>,</w:t>
      </w:r>
      <w:r w:rsidRPr="63259912">
        <w:t xml:space="preserve"> primjenjena istraživanja ublaženja i prilagodbe klimatskih promjena </w:t>
      </w:r>
    </w:p>
    <w:p w14:paraId="62E89712" w14:textId="77777777" w:rsidR="00A5014F" w:rsidRPr="00B47BDA" w:rsidRDefault="00A5014F" w:rsidP="004623DD"/>
    <w:p w14:paraId="7254DFFC" w14:textId="63B47AB6" w:rsidR="000901AA" w:rsidRPr="00B47BDA" w:rsidRDefault="007A1EAA" w:rsidP="005C2C7E">
      <w:pPr>
        <w:pStyle w:val="Heading4"/>
        <w:numPr>
          <w:ilvl w:val="3"/>
          <w:numId w:val="175"/>
        </w:numPr>
        <w:ind w:hanging="580"/>
      </w:pPr>
      <w:bookmarkStart w:id="397" w:name="_Toc531935151"/>
      <w:bookmarkStart w:id="398" w:name="_Toc531945101"/>
      <w:bookmarkStart w:id="399" w:name="_Toc6302358"/>
      <w:r w:rsidRPr="00B47BDA">
        <w:t>Ako je primjenjivo, nacionalni ciljevi u pogledu konkurentnosti</w:t>
      </w:r>
    </w:p>
    <w:bookmarkEnd w:id="397"/>
    <w:bookmarkEnd w:id="398"/>
    <w:bookmarkEnd w:id="399"/>
    <w:p w14:paraId="437613E2" w14:textId="3A9D2E33" w:rsidR="00091AD7" w:rsidRPr="00634D5F" w:rsidRDefault="00091AD7" w:rsidP="004623DD">
      <w:r w:rsidRPr="00634D5F">
        <w:t xml:space="preserve">Konkurentnost je široko pitanje koje nadmašuje okvir Nacionalnog energetskog i klimatskog plana. Prema podacima za 2019. </w:t>
      </w:r>
      <w:r w:rsidR="003331BD">
        <w:t xml:space="preserve">godinu </w:t>
      </w:r>
      <w:r w:rsidRPr="00634D5F">
        <w:t xml:space="preserve">Hrvatska je bila na 63. mjestu prema globalnom indeksu konkurentnosti, a Nacionalna razvojna strategija za 2030. </w:t>
      </w:r>
      <w:r w:rsidR="003B4816">
        <w:t xml:space="preserve">godinu </w:t>
      </w:r>
      <w:r w:rsidRPr="00634D5F">
        <w:t xml:space="preserve">postavlja cilj da Hrvatska bude među 45 najkonkurentnijih gospodarstava svijeta. U nacrtu S3 strategije, postavljen je cilj </w:t>
      </w:r>
      <w:r>
        <w:t xml:space="preserve">vezan uz regionalnu ljestvicu uspjeha u inoviranju, da do 2030. </w:t>
      </w:r>
      <w:r w:rsidR="003B4816">
        <w:t xml:space="preserve">godine </w:t>
      </w:r>
      <w:r>
        <w:t xml:space="preserve">Hrvatska bude na najmanje 38 mjestu prema Europskim regionalnom indeksu konkurentnosti. </w:t>
      </w:r>
    </w:p>
    <w:p w14:paraId="687EC270" w14:textId="29B3C8E9" w:rsidR="00091AD7" w:rsidRPr="00634D5F" w:rsidRDefault="00091AD7" w:rsidP="004623DD">
      <w:r w:rsidRPr="00634D5F">
        <w:t>Republika Hrvatska trenutno nema definirane nacionalne ciljeve za konkurentnost povezane s energetskom unijom. Nacionalne ciljeve, indikatore potrebne za praćenje ostvarivanja ciljeva i izvore podataka definirat će povjerenstvo za međusektorsku koordinaciju za politike i mjere za ublaživanje i prilagodbu klimatskim promjenama (njegov rad predviđa mjera MS-1). MINGO će uspostaviti sustav za praćenje ostvarivanja ciljeva.</w:t>
      </w:r>
    </w:p>
    <w:p w14:paraId="4A12D94C" w14:textId="38AB849A" w:rsidR="00080E99" w:rsidRPr="00B47BDA" w:rsidRDefault="00080E99" w:rsidP="004623DD"/>
    <w:p w14:paraId="5992C6FD" w14:textId="23E93C27" w:rsidR="00C21988" w:rsidRPr="00CC3E77" w:rsidRDefault="00C21988" w:rsidP="001B6A5D">
      <w:pPr>
        <w:pStyle w:val="Heading1"/>
        <w:numPr>
          <w:ilvl w:val="0"/>
          <w:numId w:val="175"/>
        </w:numPr>
      </w:pPr>
      <w:bookmarkStart w:id="400" w:name="_Toc531935152"/>
      <w:bookmarkStart w:id="401" w:name="_Toc531945102"/>
      <w:bookmarkStart w:id="402" w:name="_Toc6302359"/>
      <w:bookmarkStart w:id="403" w:name="_Toc187418343"/>
      <w:bookmarkStart w:id="404" w:name="_Toc193043268"/>
      <w:r w:rsidRPr="00CC3E77">
        <w:lastRenderedPageBreak/>
        <w:t>POLITIKE I MJERE</w:t>
      </w:r>
      <w:bookmarkEnd w:id="400"/>
      <w:bookmarkEnd w:id="401"/>
      <w:bookmarkEnd w:id="402"/>
      <w:bookmarkEnd w:id="403"/>
      <w:bookmarkEnd w:id="404"/>
    </w:p>
    <w:p w14:paraId="6EE8B9C4" w14:textId="37D59F61" w:rsidR="00C21988" w:rsidRPr="00B47BDA" w:rsidRDefault="00C21988" w:rsidP="63259912">
      <w:pPr>
        <w:pStyle w:val="Heading2"/>
      </w:pPr>
      <w:bookmarkStart w:id="405" w:name="_Toc531935153"/>
      <w:bookmarkStart w:id="406" w:name="_Toc531945103"/>
      <w:bookmarkStart w:id="407" w:name="_Toc6302360"/>
      <w:bookmarkStart w:id="408" w:name="_Toc187418344"/>
      <w:bookmarkStart w:id="409" w:name="_Toc193043269"/>
      <w:r w:rsidRPr="63259912">
        <w:t xml:space="preserve">Dimenzija: </w:t>
      </w:r>
      <w:r w:rsidR="004D140C" w:rsidRPr="63259912">
        <w:t>d</w:t>
      </w:r>
      <w:r w:rsidRPr="63259912">
        <w:t>ekarbonizacija</w:t>
      </w:r>
      <w:bookmarkEnd w:id="405"/>
      <w:bookmarkEnd w:id="406"/>
      <w:bookmarkEnd w:id="407"/>
      <w:bookmarkEnd w:id="408"/>
      <w:bookmarkEnd w:id="409"/>
    </w:p>
    <w:p w14:paraId="712B7695" w14:textId="048DFF8A" w:rsidR="00C21988" w:rsidRPr="00B47BDA" w:rsidRDefault="00C21988" w:rsidP="005C2C7E">
      <w:pPr>
        <w:pStyle w:val="Heading3"/>
        <w:numPr>
          <w:ilvl w:val="2"/>
          <w:numId w:val="175"/>
        </w:numPr>
      </w:pPr>
      <w:bookmarkStart w:id="410" w:name="_Toc531935154"/>
      <w:bookmarkStart w:id="411" w:name="_Toc531945104"/>
      <w:bookmarkStart w:id="412" w:name="_Toc6302361"/>
      <w:bookmarkStart w:id="413" w:name="_Toc187418345"/>
      <w:bookmarkStart w:id="414" w:name="_Toc193043270"/>
      <w:r w:rsidRPr="00B47BDA">
        <w:t>Emisije i uklanjanja stakleničkih plinova</w:t>
      </w:r>
      <w:bookmarkEnd w:id="410"/>
      <w:bookmarkEnd w:id="411"/>
      <w:bookmarkEnd w:id="412"/>
      <w:bookmarkEnd w:id="413"/>
      <w:bookmarkEnd w:id="414"/>
      <w:r w:rsidRPr="00B47BDA">
        <w:t xml:space="preserve"> </w:t>
      </w:r>
    </w:p>
    <w:p w14:paraId="57988A48" w14:textId="2C2181BE" w:rsidR="00DB08C9" w:rsidRPr="00B47BDA" w:rsidRDefault="00EC17F0" w:rsidP="005C2C7E">
      <w:pPr>
        <w:pStyle w:val="Heading4"/>
        <w:numPr>
          <w:ilvl w:val="3"/>
          <w:numId w:val="175"/>
        </w:numPr>
        <w:ind w:hanging="580"/>
      </w:pPr>
      <w:r w:rsidRPr="00B47BDA">
        <w:t xml:space="preserve">Politike i mjere za ostvarivanje cilja utvrđenog na temelju </w:t>
      </w:r>
      <w:r w:rsidR="00AB6B1B" w:rsidRPr="00AB6B1B">
        <w:t>Uredb</w:t>
      </w:r>
      <w:r w:rsidR="00AB6B1B">
        <w:t>e</w:t>
      </w:r>
      <w:r w:rsidR="00AB6B1B" w:rsidRPr="00AB6B1B">
        <w:t xml:space="preserve"> (EU) 2023/857 Europskog parlamenta i Vijeća od 19. travnja 2023. o izmjeni Uredbe (EU) 2018/842 o obvezujućem godišnjem smanjenju emisija stakleničkih plinova u državama članicama od 2021. do 2030. kojim se doprinosi mjerama u području klime za ispunjenje obveza u okviru Pariškog sporazuma i o izmjeni Uredbe (EU) 2018/1999 </w:t>
      </w:r>
      <w:r w:rsidRPr="00B47BDA">
        <w:t xml:space="preserve">kako je navedeno u točki 2.1.1. i politike i mjere radi usklađivanja s </w:t>
      </w:r>
      <w:r w:rsidR="006D19A2" w:rsidRPr="006D19A2">
        <w:t>Uredb</w:t>
      </w:r>
      <w:r w:rsidR="006D19A2">
        <w:t>om</w:t>
      </w:r>
      <w:r w:rsidR="006D19A2" w:rsidRPr="006D19A2">
        <w:t xml:space="preserve"> (EU) 2023/839 Europskog parlamenta i Vijeća od 19. travnja 2023. o izmjeni Uredbe (EU) 2018/841 u pogledu područja primjene, pojednostavnjenja pravila o izvješćivanju i usklađenosti i utvrđivanja ciljeva država članica za 2030. i Uredbe (EU) 2018/1999 u pogledu poboljšanja praćenja, izvješćivanja, praćenja napretka i preispitivanja</w:t>
      </w:r>
      <w:r w:rsidRPr="00B47BDA">
        <w:t>, kojima su obuhvaćeni svi ključni sektori koji proizvode velike emisije i sektori za jačanje uklanjanja emisija, uz izglede u pogledu dugoročne vizije i dugoročnog cilja da se postane gospodarstvo s niskim emisijama i da se ostvari ravnoteža između emisija i uklanjanja u skladu s Pariškim sporazumom</w:t>
      </w:r>
    </w:p>
    <w:p w14:paraId="147890E6" w14:textId="7EBFC24E" w:rsidR="00577FD9" w:rsidRPr="00B47BDA" w:rsidRDefault="00577FD9" w:rsidP="004623DD">
      <w:r w:rsidRPr="00B47BDA">
        <w:t xml:space="preserve">Ovdje su navedene mjere za sljedeće sektore </w:t>
      </w:r>
      <w:r w:rsidR="00504391" w:rsidRPr="00B47BDA">
        <w:t>značajne za emisije stakleničkih plinova</w:t>
      </w:r>
      <w:r w:rsidRPr="00B47BDA">
        <w:t xml:space="preserve">: </w:t>
      </w:r>
      <w:r w:rsidR="00A32225" w:rsidRPr="00B47BDA">
        <w:t xml:space="preserve">međusektorske mjere (MS), </w:t>
      </w:r>
      <w:r w:rsidRPr="00B47BDA">
        <w:t>industrijski procesi (IP), gospodarenje otpadom (OTP), poljoprivreda (POLJ) i LULUCF</w:t>
      </w:r>
      <w:r w:rsidR="003A1EAF" w:rsidRPr="00B47BDA">
        <w:t xml:space="preserve"> (LUF)</w:t>
      </w:r>
      <w:r w:rsidRPr="00B47BDA">
        <w:t>.</w:t>
      </w:r>
    </w:p>
    <w:p w14:paraId="2755C434" w14:textId="45770B44" w:rsidR="00A32225" w:rsidRPr="00B47BDA" w:rsidRDefault="00A32225" w:rsidP="004623DD">
      <w:r w:rsidRPr="00B47BDA">
        <w:t xml:space="preserve">U nastavku su prikazane </w:t>
      </w:r>
      <w:r w:rsidRPr="00B47BDA">
        <w:rPr>
          <w:b/>
        </w:rPr>
        <w:t>međusekto</w:t>
      </w:r>
      <w:r w:rsidR="00E6316B" w:rsidRPr="00B47BDA">
        <w:rPr>
          <w:b/>
        </w:rPr>
        <w:t>r</w:t>
      </w:r>
      <w:r w:rsidRPr="00B47BDA">
        <w:rPr>
          <w:b/>
        </w:rPr>
        <w:t>ske mjere</w:t>
      </w:r>
      <w:r w:rsidRPr="00B47BDA">
        <w:t>.</w:t>
      </w:r>
    </w:p>
    <w:p w14:paraId="084F68DC" w14:textId="1E0745F7" w:rsidR="00FC38FA" w:rsidRPr="00CF06E5" w:rsidRDefault="00FC38FA" w:rsidP="00076D09">
      <w:pPr>
        <w:pStyle w:val="Mjeranaslov"/>
        <w:rPr>
          <w:rStyle w:val="Emphasis"/>
          <w:i w:val="0"/>
          <w:iCs w:val="0"/>
        </w:rPr>
      </w:pPr>
      <w:r w:rsidRPr="00014D47">
        <w:rPr>
          <w:rStyle w:val="Emphasis"/>
          <w:i w:val="0"/>
          <w:iCs w:val="0"/>
        </w:rPr>
        <w:t xml:space="preserve">MS-1 </w:t>
      </w:r>
      <w:r w:rsidR="00B156E3">
        <w:rPr>
          <w:rStyle w:val="Emphasis"/>
          <w:i w:val="0"/>
          <w:iCs w:val="0"/>
        </w:rPr>
        <w:t>J</w:t>
      </w:r>
      <w:r w:rsidR="00265018">
        <w:rPr>
          <w:rStyle w:val="Emphasis"/>
          <w:i w:val="0"/>
          <w:iCs w:val="0"/>
        </w:rPr>
        <w:t xml:space="preserve">ačanje upravljanja </w:t>
      </w:r>
      <w:r w:rsidR="00CB4F76">
        <w:rPr>
          <w:rStyle w:val="Emphasis"/>
          <w:i w:val="0"/>
          <w:iCs w:val="0"/>
        </w:rPr>
        <w:t xml:space="preserve">za postizanje klimatskih ciljeva </w:t>
      </w:r>
    </w:p>
    <w:p w14:paraId="6976732C" w14:textId="77777777" w:rsidR="00FC38FA" w:rsidRPr="00B47BDA" w:rsidRDefault="00FC38FA" w:rsidP="004623DD">
      <w:r w:rsidRPr="00B47BDA">
        <w:t>Regulatorna mjera; provedba 2021.-2030.</w:t>
      </w:r>
    </w:p>
    <w:p w14:paraId="0E5C95CF" w14:textId="66007F46" w:rsidR="0071027F" w:rsidRDefault="00FC38FA" w:rsidP="00FA2E18">
      <w:r w:rsidRPr="00B47BDA">
        <w:rPr>
          <w:b/>
        </w:rPr>
        <w:t>Cilj i opis mjere:</w:t>
      </w:r>
      <w:r w:rsidR="00023D8D">
        <w:rPr>
          <w:u w:val="single"/>
        </w:rPr>
        <w:t xml:space="preserve"> </w:t>
      </w:r>
      <w:r w:rsidRPr="00B47BDA">
        <w:t>Sukladno</w:t>
      </w:r>
      <w:r w:rsidR="0088083E">
        <w:t xml:space="preserve"> </w:t>
      </w:r>
      <w:r w:rsidR="00084939" w:rsidRPr="00B47BDA">
        <w:t>Zakon</w:t>
      </w:r>
      <w:r w:rsidR="0088083E">
        <w:t>u</w:t>
      </w:r>
      <w:r w:rsidR="00084939" w:rsidRPr="00B47BDA">
        <w:t xml:space="preserve"> o klimatskim promjenama i zaštiti ozonskog sloja (</w:t>
      </w:r>
      <w:r w:rsidR="00E11F15">
        <w:t>„</w:t>
      </w:r>
      <w:r w:rsidR="00084939" w:rsidRPr="00071A4F">
        <w:t xml:space="preserve">Narodne </w:t>
      </w:r>
      <w:r w:rsidR="00084939">
        <w:t>novine</w:t>
      </w:r>
      <w:r w:rsidR="00E11F15">
        <w:t>“</w:t>
      </w:r>
      <w:r w:rsidR="00084939" w:rsidRPr="00071A4F">
        <w:t xml:space="preserve">, </w:t>
      </w:r>
      <w:r w:rsidR="00004BB0">
        <w:t>br</w:t>
      </w:r>
      <w:r w:rsidR="00E11F15">
        <w:t>.</w:t>
      </w:r>
      <w:r w:rsidR="00084939" w:rsidRPr="00B47BDA">
        <w:t xml:space="preserve"> 127</w:t>
      </w:r>
      <w:r w:rsidR="00084939">
        <w:t>/19</w:t>
      </w:r>
      <w:r w:rsidR="00E11F15">
        <w:t>.</w:t>
      </w:r>
      <w:r w:rsidR="00D24FBC">
        <w:t xml:space="preserve">) </w:t>
      </w:r>
      <w:r w:rsidRPr="00B47BDA">
        <w:t>Odlukom Vlade RH 201</w:t>
      </w:r>
      <w:r w:rsidR="00BC1761">
        <w:t>8</w:t>
      </w:r>
      <w:r w:rsidRPr="00B47BDA">
        <w:t>. godine osnovano je Povjerenstvo za međusektorsku koordinaciju za politike i mjere za ublažavanje i prilagodbu klimatskim promjenama (</w:t>
      </w:r>
      <w:r w:rsidR="00BA1C69">
        <w:t>„</w:t>
      </w:r>
      <w:r w:rsidR="00071A4F" w:rsidRPr="00071A4F">
        <w:t xml:space="preserve">Narodne </w:t>
      </w:r>
      <w:r w:rsidR="00A97AE7">
        <w:t>novine</w:t>
      </w:r>
      <w:r w:rsidR="00BA1C69">
        <w:t>“</w:t>
      </w:r>
      <w:r w:rsidR="00071A4F" w:rsidRPr="00071A4F">
        <w:t>, br</w:t>
      </w:r>
      <w:r w:rsidR="00BA1C69">
        <w:t>.</w:t>
      </w:r>
      <w:r w:rsidRPr="00B47BDA">
        <w:t xml:space="preserve"> 9</w:t>
      </w:r>
      <w:r w:rsidR="005B41DA">
        <w:t>/18</w:t>
      </w:r>
      <w:r w:rsidR="00F65E76">
        <w:t>.</w:t>
      </w:r>
      <w:r w:rsidRPr="00B47BDA">
        <w:t xml:space="preserve">). Povjerenstvo daje preporuke Vladi Republike Hrvatske o sveukupnoj politici i mjerama za ublažavanje i prilagodbu klimatskim promjenama te osigurava političku podršku u provođenju politike i mjera za ublažavanje i prilagodbu klimatskim promjenama. Sastav, poslove i način rada Povjerenstva određuje Vlada Republike Hrvatske na prijedlog ministarstva nadležnog za zaštitu okoliša. </w:t>
      </w:r>
      <w:r w:rsidR="004B405F" w:rsidRPr="004B405F">
        <w:t xml:space="preserve">U pripremi je odluka kojima će se osnovati novo Povjerenstvo za međusektorsku koordinaciju za politike i mjere za ublažavanje i prilagodbu klimatskim promjenama s dvije tehničke </w:t>
      </w:r>
      <w:r w:rsidR="00FA69E4" w:rsidRPr="004B405F">
        <w:t>radn</w:t>
      </w:r>
      <w:r w:rsidR="00FA69E4">
        <w:t xml:space="preserve">e </w:t>
      </w:r>
      <w:r w:rsidR="00FA69E4" w:rsidRPr="004B405F">
        <w:t>skupin</w:t>
      </w:r>
      <w:r w:rsidR="00FA69E4">
        <w:t>e</w:t>
      </w:r>
      <w:r w:rsidR="00FA69E4" w:rsidRPr="004B405F">
        <w:t xml:space="preserve"> </w:t>
      </w:r>
      <w:r w:rsidR="004B405F" w:rsidRPr="004B405F">
        <w:t>za 1) ublažavanje klimatskih promjena i 2) prilagodbu klimatskim promjenama.</w:t>
      </w:r>
      <w:r w:rsidR="006C4478">
        <w:t xml:space="preserve"> </w:t>
      </w:r>
    </w:p>
    <w:p w14:paraId="5C6D7B49" w14:textId="697FBADB" w:rsidR="00C57E02" w:rsidRDefault="00BF2E7C" w:rsidP="00FA2E18">
      <w:r w:rsidRPr="63259912">
        <w:t>Z</w:t>
      </w:r>
      <w:r w:rsidR="00023B38" w:rsidRPr="63259912">
        <w:t xml:space="preserve">a učinkovitije </w:t>
      </w:r>
      <w:r w:rsidR="00F42830" w:rsidRPr="63259912">
        <w:t>postizanje zelene tranzicije i</w:t>
      </w:r>
      <w:r w:rsidR="004951B7" w:rsidRPr="63259912">
        <w:t xml:space="preserve"> postizanje </w:t>
      </w:r>
      <w:r w:rsidR="008D2D6A" w:rsidRPr="63259912">
        <w:t xml:space="preserve">EU </w:t>
      </w:r>
      <w:r w:rsidR="004951B7" w:rsidRPr="63259912">
        <w:t>klimatskih ciljeva uspostavit će se sustav</w:t>
      </w:r>
      <w:r w:rsidR="00D50FB7" w:rsidRPr="63259912">
        <w:t xml:space="preserve"> za</w:t>
      </w:r>
      <w:r w:rsidR="00FC38FA" w:rsidRPr="63259912">
        <w:t xml:space="preserve"> praćenje provedbe </w:t>
      </w:r>
      <w:r w:rsidR="009C3DF7" w:rsidRPr="63259912">
        <w:t>Integriranog energetskog i klimatskog plana</w:t>
      </w:r>
      <w:r w:rsidR="00FC38FA" w:rsidRPr="63259912">
        <w:t xml:space="preserve">, kako u pogledu smanjenja </w:t>
      </w:r>
      <w:r w:rsidR="00060D44" w:rsidRPr="63259912">
        <w:t xml:space="preserve">nacionalnih i sektorskih </w:t>
      </w:r>
      <w:r w:rsidR="00FC38FA" w:rsidRPr="63259912">
        <w:t xml:space="preserve">emisija stakleničkih plinova tako i ostalih ciljeva po </w:t>
      </w:r>
      <w:r w:rsidR="00FC38FA" w:rsidRPr="63259912">
        <w:lastRenderedPageBreak/>
        <w:t>dimenzijama.</w:t>
      </w:r>
      <w:r w:rsidR="007920BE" w:rsidRPr="63259912">
        <w:t xml:space="preserve"> </w:t>
      </w:r>
      <w:r w:rsidR="00C57E02" w:rsidRPr="63259912">
        <w:t>Adekvatan sustav upravljanja nužan je kako bi se pravovremeno utvrdilo da se mjere iz NECP</w:t>
      </w:r>
      <w:r w:rsidR="005266C7" w:rsidRPr="63259912">
        <w:t>-a</w:t>
      </w:r>
      <w:r w:rsidR="00C57E02" w:rsidRPr="63259912">
        <w:t xml:space="preserve"> ne provode, utvrdile i uklonile barijere te postigla zahtijevana brzina niskougljične tranzicije, s ciljem postizanja ciljeva koje Hrvatska ima u okviru EU zakonodavstva i klimatske neutralnosti do 2050.</w:t>
      </w:r>
    </w:p>
    <w:p w14:paraId="752E7FE0" w14:textId="66993EC9" w:rsidR="00FA2E18" w:rsidRDefault="00FA2E18" w:rsidP="00FA2E18">
      <w:r>
        <w:t>Izradit će se analiza potencijala smanjenja emisija stakleničkih plinova po pojedinim mjerama i dati prijedlog sektorskih ciljeva smanjenja emisija u sektorima izvan ETS-a. Planira se rasporediti teret smanjenja emisija stakleničkih plinova na način da se zakonski uvede odgovornost svakog sektora, što će se postići Izmjenama i dopunama Zakona</w:t>
      </w:r>
      <w:r w:rsidR="00485F3A">
        <w:t xml:space="preserve"> o klimatskim promjenama i zaštiti ozonskog sloja.</w:t>
      </w:r>
    </w:p>
    <w:p w14:paraId="3779FD00" w14:textId="06EACFF7" w:rsidR="00760430" w:rsidRDefault="00207ED4" w:rsidP="006B4D8F">
      <w:r>
        <w:t xml:space="preserve">Izrada </w:t>
      </w:r>
      <w:r w:rsidR="004C2CC3">
        <w:t>NECP</w:t>
      </w:r>
      <w:r w:rsidR="00E11BDE">
        <w:t>-a</w:t>
      </w:r>
      <w:r w:rsidR="009A5925">
        <w:t xml:space="preserve"> je </w:t>
      </w:r>
      <w:r w:rsidR="00F14B61">
        <w:t xml:space="preserve">obveza temeljem </w:t>
      </w:r>
      <w:r w:rsidR="006874EF">
        <w:t>U</w:t>
      </w:r>
      <w:r w:rsidR="008D1E4E">
        <w:t xml:space="preserve">redbe o upravljanju energetskom unijom i djelovanju u području klime </w:t>
      </w:r>
      <w:r>
        <w:t xml:space="preserve">kao i izrada </w:t>
      </w:r>
      <w:r w:rsidR="008A3F72">
        <w:t>I</w:t>
      </w:r>
      <w:r>
        <w:t xml:space="preserve">zvješća o </w:t>
      </w:r>
      <w:r w:rsidR="0015160C">
        <w:t>napretku</w:t>
      </w:r>
      <w:r>
        <w:t xml:space="preserve"> </w:t>
      </w:r>
      <w:r w:rsidR="004C2CC3">
        <w:t>NECP-a</w:t>
      </w:r>
      <w:r w:rsidR="008A3F72">
        <w:t>.</w:t>
      </w:r>
      <w:r w:rsidR="00DF5874">
        <w:t xml:space="preserve"> </w:t>
      </w:r>
    </w:p>
    <w:p w14:paraId="78726843" w14:textId="7F459DE7" w:rsidR="008864EC" w:rsidRDefault="00676982" w:rsidP="006B4D8F">
      <w:r>
        <w:t xml:space="preserve">Prilikom izrade prvog </w:t>
      </w:r>
      <w:r w:rsidR="007103E0">
        <w:t>izvješća o provedbi NECP-a 2023. godine postalo je evidentno da se ne mogu osigurati svi traženi podaci</w:t>
      </w:r>
      <w:r w:rsidR="004D35C1">
        <w:t>, jer se ne prikupljaju ili su fragmentirani te se treba uspostaviti adekvatan sustav praćenja provedbe mjera iz NECP-a.</w:t>
      </w:r>
    </w:p>
    <w:p w14:paraId="24C83063" w14:textId="2CC79896" w:rsidR="009A1244" w:rsidRDefault="009A1A4A" w:rsidP="63259912">
      <w:pPr>
        <w:rPr>
          <w:rFonts w:cs="Calibri"/>
        </w:rPr>
      </w:pPr>
      <w:r w:rsidRPr="63259912">
        <w:rPr>
          <w:rFonts w:cs="Calibri"/>
        </w:rPr>
        <w:t xml:space="preserve">S ciljem povećanja </w:t>
      </w:r>
      <w:r w:rsidR="2E17272B" w:rsidRPr="63259912">
        <w:rPr>
          <w:rFonts w:cs="Calibri"/>
        </w:rPr>
        <w:t>kapacitiranost</w:t>
      </w:r>
      <w:r w:rsidR="57E3B180" w:rsidRPr="63259912">
        <w:rPr>
          <w:rFonts w:cs="Calibri"/>
        </w:rPr>
        <w:t>i</w:t>
      </w:r>
      <w:r w:rsidR="2E17272B" w:rsidRPr="63259912">
        <w:rPr>
          <w:rFonts w:cs="Calibri"/>
        </w:rPr>
        <w:t xml:space="preserve"> region</w:t>
      </w:r>
      <w:r w:rsidR="7DBBD594" w:rsidRPr="63259912">
        <w:rPr>
          <w:rFonts w:cs="Calibri"/>
        </w:rPr>
        <w:t>a</w:t>
      </w:r>
      <w:r w:rsidR="2E17272B" w:rsidRPr="63259912">
        <w:rPr>
          <w:rFonts w:cs="Calibri"/>
        </w:rPr>
        <w:t>lne</w:t>
      </w:r>
      <w:r w:rsidRPr="63259912">
        <w:rPr>
          <w:rFonts w:cs="Calibri"/>
        </w:rPr>
        <w:t xml:space="preserve"> samouprave i bolje vertikalne koordinacije radi provedbe Strategije </w:t>
      </w:r>
      <w:r w:rsidR="2E17272B" w:rsidRPr="63259912">
        <w:rPr>
          <w:rFonts w:cs="Calibri"/>
        </w:rPr>
        <w:t>prila</w:t>
      </w:r>
      <w:r w:rsidR="74702045" w:rsidRPr="63259912">
        <w:rPr>
          <w:rFonts w:cs="Calibri"/>
        </w:rPr>
        <w:t>g</w:t>
      </w:r>
      <w:r w:rsidR="2E17272B" w:rsidRPr="63259912">
        <w:rPr>
          <w:rFonts w:cs="Calibri"/>
        </w:rPr>
        <w:t>odbe</w:t>
      </w:r>
      <w:r w:rsidRPr="63259912">
        <w:rPr>
          <w:rFonts w:cs="Calibri"/>
        </w:rPr>
        <w:t xml:space="preserve"> klimatskim promjenama </w:t>
      </w:r>
      <w:r w:rsidR="00A04535" w:rsidRPr="63259912">
        <w:rPr>
          <w:rFonts w:cs="Calibri"/>
        </w:rPr>
        <w:t>te</w:t>
      </w:r>
      <w:r w:rsidRPr="63259912">
        <w:rPr>
          <w:rFonts w:cs="Calibri"/>
        </w:rPr>
        <w:t xml:space="preserve"> Strategije niskougljičnog razvoja i NECP-a</w:t>
      </w:r>
      <w:r w:rsidR="00A04535" w:rsidRPr="63259912">
        <w:rPr>
          <w:rFonts w:cs="Calibri"/>
        </w:rPr>
        <w:t xml:space="preserve">, </w:t>
      </w:r>
      <w:r w:rsidR="00292E7F" w:rsidRPr="63259912">
        <w:rPr>
          <w:rFonts w:cs="Calibri"/>
        </w:rPr>
        <w:t>uspostaviti će se sustav ed</w:t>
      </w:r>
      <w:r w:rsidR="00F83C62" w:rsidRPr="63259912">
        <w:rPr>
          <w:rFonts w:cs="Calibri"/>
        </w:rPr>
        <w:t xml:space="preserve">uciranja </w:t>
      </w:r>
      <w:r w:rsidR="009E61A2" w:rsidRPr="63259912">
        <w:rPr>
          <w:rFonts w:cs="Calibri"/>
        </w:rPr>
        <w:t xml:space="preserve">službenika </w:t>
      </w:r>
      <w:r w:rsidR="00F83C62" w:rsidRPr="63259912">
        <w:rPr>
          <w:rFonts w:cs="Calibri"/>
        </w:rPr>
        <w:t xml:space="preserve">o klimatskim politikama i primjena klimatskog potvrđivanja </w:t>
      </w:r>
      <w:r w:rsidR="009E61A2" w:rsidRPr="63259912">
        <w:rPr>
          <w:rFonts w:cs="Calibri"/>
        </w:rPr>
        <w:t xml:space="preserve">na razini županija. </w:t>
      </w:r>
    </w:p>
    <w:p w14:paraId="58D7F260" w14:textId="6863522C" w:rsidR="006B1481" w:rsidRDefault="000C151A" w:rsidP="006B4D8F">
      <w:r>
        <w:rPr>
          <w:rFonts w:cs="Calibri"/>
        </w:rPr>
        <w:t>U svrhu provedbe Strategije prilagodbe klimatskim promjenama, a k</w:t>
      </w:r>
      <w:r w:rsidR="00D55B35">
        <w:rPr>
          <w:rFonts w:cs="Calibri"/>
        </w:rPr>
        <w:t>roz unapređenje i jačanje infrastrukturnih, računalnih, digitalnih, stručno-znanstvenih i ljudskih kapaciteta neophodnih za razvoj visokokvalitetnog, pouzdanog i pravovremenog sustava potpore prilagodbi Republike Hrvatske na klimatske promjene</w:t>
      </w:r>
      <w:r w:rsidR="000C078F">
        <w:rPr>
          <w:rFonts w:cs="Calibri"/>
        </w:rPr>
        <w:t>,</w:t>
      </w:r>
      <w:r w:rsidR="00D55B35">
        <w:rPr>
          <w:rFonts w:cs="Calibri"/>
        </w:rPr>
        <w:t xml:space="preserve"> </w:t>
      </w:r>
      <w:r w:rsidR="00936E3C">
        <w:rPr>
          <w:rFonts w:cs="Calibri"/>
        </w:rPr>
        <w:t xml:space="preserve">uspostaviti će se </w:t>
      </w:r>
      <w:r w:rsidR="00674752" w:rsidRPr="00F7699B">
        <w:rPr>
          <w:rFonts w:cs="Calibri"/>
        </w:rPr>
        <w:t>Nacionalni centar za prilagodbu klimatskim promjenama</w:t>
      </w:r>
      <w:r w:rsidR="00545882" w:rsidRPr="00F7699B">
        <w:rPr>
          <w:rFonts w:cs="Calibri"/>
        </w:rPr>
        <w:t>.</w:t>
      </w:r>
      <w:r w:rsidR="00545882">
        <w:rPr>
          <w:rFonts w:ascii="Times New Roman" w:hAnsi="Times New Roman"/>
          <w:lang w:eastAsia="hr-HR"/>
        </w:rPr>
        <w:t xml:space="preserve"> </w:t>
      </w:r>
    </w:p>
    <w:p w14:paraId="4BAD26DA" w14:textId="7EF6AB34" w:rsidR="00EF736D" w:rsidRDefault="00EF736D" w:rsidP="006B4D8F">
      <w:pPr>
        <w:rPr>
          <w:b/>
        </w:rPr>
      </w:pPr>
      <w:r w:rsidRPr="00B47BDA">
        <w:rPr>
          <w:b/>
        </w:rPr>
        <w:t>Aktivnosti:</w:t>
      </w:r>
    </w:p>
    <w:p w14:paraId="727424A5" w14:textId="545BAE3B" w:rsidR="00DB6C4B" w:rsidRDefault="006D60F2" w:rsidP="008E051D">
      <w:pPr>
        <w:pStyle w:val="ListParagraph"/>
        <w:numPr>
          <w:ilvl w:val="0"/>
          <w:numId w:val="26"/>
        </w:numPr>
        <w:spacing w:after="60"/>
        <w:ind w:left="1060" w:hanging="357"/>
      </w:pPr>
      <w:r>
        <w:t>Uspostava</w:t>
      </w:r>
      <w:r w:rsidR="00FE3058">
        <w:t xml:space="preserve"> i vođenje</w:t>
      </w:r>
      <w:r>
        <w:t xml:space="preserve"> </w:t>
      </w:r>
      <w:r w:rsidR="00DB6C4B" w:rsidRPr="00DB6C4B">
        <w:t>Povjerenstv</w:t>
      </w:r>
      <w:r>
        <w:t>a</w:t>
      </w:r>
      <w:r w:rsidR="00DB6C4B" w:rsidRPr="00DB6C4B">
        <w:t xml:space="preserve"> za međusektorsku koordinaciju za politike i mjere za ublažavanje i prilagodbu klimatskim promjenama</w:t>
      </w:r>
      <w:r w:rsidR="000D438D">
        <w:t>;</w:t>
      </w:r>
    </w:p>
    <w:p w14:paraId="50799FEC" w14:textId="42911EE9" w:rsidR="002F09D8" w:rsidRPr="0071027F" w:rsidRDefault="000D438D" w:rsidP="008E051D">
      <w:pPr>
        <w:pStyle w:val="ListParagraph"/>
        <w:numPr>
          <w:ilvl w:val="0"/>
          <w:numId w:val="26"/>
        </w:numPr>
        <w:spacing w:after="60"/>
        <w:ind w:left="1060" w:hanging="357"/>
      </w:pPr>
      <w:r>
        <w:rPr>
          <w:rFonts w:cs="Times New Roman"/>
        </w:rPr>
        <w:t>R</w:t>
      </w:r>
      <w:r w:rsidR="008707B5" w:rsidRPr="00B834FD">
        <w:rPr>
          <w:rFonts w:cs="Times New Roman"/>
        </w:rPr>
        <w:t>eforma upravljanja za provedbu klimatskih politika</w:t>
      </w:r>
      <w:r>
        <w:rPr>
          <w:rFonts w:cs="Times New Roman"/>
        </w:rPr>
        <w:t>;</w:t>
      </w:r>
    </w:p>
    <w:p w14:paraId="2DB40866" w14:textId="0FE0507E" w:rsidR="0071027F" w:rsidRPr="00F31578" w:rsidRDefault="00647F03" w:rsidP="008E051D">
      <w:pPr>
        <w:pStyle w:val="ListParagraph"/>
        <w:numPr>
          <w:ilvl w:val="0"/>
          <w:numId w:val="26"/>
        </w:numPr>
        <w:spacing w:after="60"/>
        <w:ind w:left="1060" w:hanging="357"/>
      </w:pPr>
      <w:r>
        <w:rPr>
          <w:rFonts w:cs="Times New Roman"/>
        </w:rPr>
        <w:t>Utvrđivanje sektorskih ciljeva smanjenja emisija  u sektorima izvan sustava trgovanja</w:t>
      </w:r>
      <w:r w:rsidR="007F63B0">
        <w:rPr>
          <w:rFonts w:cs="Times New Roman"/>
        </w:rPr>
        <w:t>, do 2030.</w:t>
      </w:r>
      <w:r w:rsidR="000D438D">
        <w:rPr>
          <w:rFonts w:cs="Times New Roman"/>
        </w:rPr>
        <w:t>;</w:t>
      </w:r>
    </w:p>
    <w:p w14:paraId="5E7005FA" w14:textId="176399F0" w:rsidR="00F31578" w:rsidRPr="008E051D" w:rsidRDefault="000D438D" w:rsidP="008E051D">
      <w:pPr>
        <w:pStyle w:val="ListParagraph"/>
        <w:numPr>
          <w:ilvl w:val="0"/>
          <w:numId w:val="26"/>
        </w:numPr>
        <w:spacing w:after="60"/>
        <w:ind w:left="1060" w:hanging="357"/>
      </w:pPr>
      <w:r>
        <w:t>U</w:t>
      </w:r>
      <w:r w:rsidR="00F31578" w:rsidRPr="00F31578">
        <w:t>spostav</w:t>
      </w:r>
      <w:r w:rsidR="00F31578">
        <w:t>a</w:t>
      </w:r>
      <w:r w:rsidR="00F31578" w:rsidRPr="00F31578">
        <w:t xml:space="preserve"> sustav</w:t>
      </w:r>
      <w:r w:rsidR="00F31578">
        <w:t>a</w:t>
      </w:r>
      <w:r w:rsidR="00F31578" w:rsidRPr="00F31578">
        <w:t xml:space="preserve"> educiranja službenika o klimatskim politikama i primjena klimatskog potvrđivanja (certificiranja) na razini županija</w:t>
      </w:r>
      <w:r>
        <w:t>;</w:t>
      </w:r>
    </w:p>
    <w:p w14:paraId="107BB971" w14:textId="747714BD" w:rsidR="00012D91" w:rsidRPr="00C52C1A" w:rsidRDefault="009A1244" w:rsidP="000D438D">
      <w:pPr>
        <w:pStyle w:val="ListParagraph"/>
        <w:numPr>
          <w:ilvl w:val="0"/>
          <w:numId w:val="26"/>
        </w:numPr>
        <w:spacing w:after="60"/>
        <w:ind w:left="1060" w:hanging="357"/>
      </w:pPr>
      <w:r w:rsidRPr="008E051D">
        <w:rPr>
          <w:rFonts w:cs="Calibri"/>
        </w:rPr>
        <w:t xml:space="preserve">Uspostava </w:t>
      </w:r>
      <w:r w:rsidR="001F1DDA">
        <w:rPr>
          <w:rFonts w:cs="Calibri"/>
        </w:rPr>
        <w:t>N</w:t>
      </w:r>
      <w:r w:rsidRPr="008E051D">
        <w:rPr>
          <w:rFonts w:cs="Calibri"/>
        </w:rPr>
        <w:t>acionalnog centra za prilagodb</w:t>
      </w:r>
      <w:r w:rsidR="003127AB">
        <w:rPr>
          <w:rFonts w:cs="Calibri"/>
        </w:rPr>
        <w:t>u</w:t>
      </w:r>
      <w:r w:rsidRPr="008E051D">
        <w:rPr>
          <w:rFonts w:cs="Calibri"/>
        </w:rPr>
        <w:t xml:space="preserve"> klimatskim promjenama</w:t>
      </w:r>
      <w:r w:rsidR="001F1DDA">
        <w:rPr>
          <w:rFonts w:cs="Calibri"/>
        </w:rPr>
        <w:t>;</w:t>
      </w:r>
    </w:p>
    <w:p w14:paraId="75B01FD6" w14:textId="0923E402" w:rsidR="00206F40" w:rsidRPr="00C52C1A" w:rsidRDefault="00346111" w:rsidP="000D438D">
      <w:pPr>
        <w:pStyle w:val="ListParagraph"/>
        <w:numPr>
          <w:ilvl w:val="0"/>
          <w:numId w:val="26"/>
        </w:numPr>
        <w:spacing w:after="60"/>
        <w:ind w:left="1060" w:hanging="357"/>
      </w:pPr>
      <w:r>
        <w:rPr>
          <w:rFonts w:cs="Calibri"/>
        </w:rPr>
        <w:t>Izrada i provedba</w:t>
      </w:r>
      <w:r w:rsidR="00206F40">
        <w:rPr>
          <w:rFonts w:cs="Calibri"/>
        </w:rPr>
        <w:t xml:space="preserve"> </w:t>
      </w:r>
      <w:r w:rsidR="0085008E">
        <w:rPr>
          <w:rFonts w:cs="Calibri"/>
        </w:rPr>
        <w:t>akcijskog plana prestanka korištenja ugljena za proizvodnju električne energije do kraja 2032. godine</w:t>
      </w:r>
      <w:r w:rsidR="00931270">
        <w:rPr>
          <w:rFonts w:cs="Calibri"/>
        </w:rPr>
        <w:t>;</w:t>
      </w:r>
    </w:p>
    <w:p w14:paraId="7D7F0285" w14:textId="64B85267" w:rsidR="00A80028" w:rsidRDefault="00B86EE9" w:rsidP="00A80028">
      <w:pPr>
        <w:pStyle w:val="ListParagraph"/>
        <w:numPr>
          <w:ilvl w:val="0"/>
          <w:numId w:val="26"/>
        </w:numPr>
        <w:spacing w:after="60"/>
      </w:pPr>
      <w:r>
        <w:rPr>
          <w:rFonts w:cs="Calibri"/>
        </w:rPr>
        <w:t xml:space="preserve">Uspostava sustava za praćenja </w:t>
      </w:r>
      <w:r w:rsidR="00BE7B9A">
        <w:rPr>
          <w:rFonts w:cs="Calibri"/>
        </w:rPr>
        <w:t xml:space="preserve">provedbe </w:t>
      </w:r>
      <w:r>
        <w:rPr>
          <w:rFonts w:cs="Calibri"/>
        </w:rPr>
        <w:t>NECP-a</w:t>
      </w:r>
      <w:r w:rsidR="00BA7745" w:rsidRPr="00BA7745">
        <w:rPr>
          <w:rFonts w:cs="Calibri"/>
        </w:rPr>
        <w:t xml:space="preserve">: </w:t>
      </w:r>
      <w:r w:rsidR="00BA7745">
        <w:rPr>
          <w:rFonts w:cs="Calibri"/>
        </w:rPr>
        <w:t>u</w:t>
      </w:r>
      <w:r w:rsidR="00A80028">
        <w:t>spostava sustava za izračun potencijala smanjenja emisija stakleničkih plinova po mjerama, praćenje ostvarenja smanjenja te izdavanje upozorenja u slučaju odstupanja od planiranih ciljeva. Sustav također treba bilježiti planirano smanjenje emisija, odgovornu osobu, te ju upozorava ako mjere nisu na planiranoj putanji, što može dovesti do potrebe za kupovinom emisijskih jedinica. Sustav nadalje treba prikazivati smanjenje emisija i investiciju po svakoj mjeri te omogućiti uvid u trošak smanjenja emisija po provedenoj mjeri</w:t>
      </w:r>
      <w:r w:rsidR="00BA7745">
        <w:t>;</w:t>
      </w:r>
      <w:r w:rsidR="00A80028">
        <w:t xml:space="preserve"> </w:t>
      </w:r>
    </w:p>
    <w:p w14:paraId="0C909B56" w14:textId="6D11B4D9" w:rsidR="00A80028" w:rsidRDefault="00A80028" w:rsidP="00A80028">
      <w:pPr>
        <w:pStyle w:val="ListParagraph"/>
        <w:numPr>
          <w:ilvl w:val="0"/>
          <w:numId w:val="26"/>
        </w:numPr>
        <w:spacing w:after="60"/>
      </w:pPr>
      <w:r>
        <w:lastRenderedPageBreak/>
        <w:t>Prikupljanje podataka, izrada plana osiguranja i kontrole kvalitete inventara stakleničkih plinova, odobravanje izvješća o inventaru stakleničkih plinova te razmjena podataka o emisijama stakleničkih plinova s međunarodnim organizacijama i EU</w:t>
      </w:r>
      <w:r w:rsidR="00BA7745">
        <w:t>;</w:t>
      </w:r>
      <w:r>
        <w:t xml:space="preserve"> </w:t>
      </w:r>
    </w:p>
    <w:p w14:paraId="22A3DED4" w14:textId="4450FDFF" w:rsidR="00A80028" w:rsidRDefault="00A80028" w:rsidP="00A80028">
      <w:pPr>
        <w:pStyle w:val="ListParagraph"/>
        <w:numPr>
          <w:ilvl w:val="0"/>
          <w:numId w:val="26"/>
        </w:numPr>
        <w:spacing w:after="60"/>
      </w:pPr>
      <w:r>
        <w:t>Kontrola ispunjenja obveze ograničenja emisija do visine nacionalne godišnje emisijske kvote</w:t>
      </w:r>
      <w:r w:rsidR="00BA7745">
        <w:t>;</w:t>
      </w:r>
      <w:r>
        <w:t xml:space="preserve"> </w:t>
      </w:r>
    </w:p>
    <w:p w14:paraId="22DBF2AA" w14:textId="2B3EECC9" w:rsidR="00A80028" w:rsidRPr="008E051D" w:rsidRDefault="00A80028" w:rsidP="00E54EB2">
      <w:pPr>
        <w:pStyle w:val="ListParagraph"/>
        <w:numPr>
          <w:ilvl w:val="0"/>
          <w:numId w:val="26"/>
        </w:numPr>
        <w:spacing w:after="60"/>
      </w:pPr>
      <w:r>
        <w:t>Izrada plana korektivnih mjera s ostalim tijelima državne uprave nadležnim za pojedine sektorske politike ukoliko Republika Hrvatska ne ostvari dovoljan napredak u ispunjenju klimatskih ciljeva</w:t>
      </w:r>
    </w:p>
    <w:p w14:paraId="7B0CD0E2" w14:textId="4C8C209C" w:rsidR="00FC38FA" w:rsidRDefault="00FC38FA" w:rsidP="004623DD">
      <w:r w:rsidRPr="00B47BDA">
        <w:rPr>
          <w:b/>
        </w:rPr>
        <w:t>Sredstva potrebna za provedbu</w:t>
      </w:r>
      <w:r w:rsidRPr="00B47BDA">
        <w:t xml:space="preserve">: </w:t>
      </w:r>
      <w:r w:rsidR="00F06EED">
        <w:t xml:space="preserve">28 milijuna EUR tijekom </w:t>
      </w:r>
      <w:r w:rsidR="00114A20">
        <w:t>8 godina.</w:t>
      </w:r>
    </w:p>
    <w:p w14:paraId="1507BD84" w14:textId="45BA3EBD" w:rsidR="00E955B1" w:rsidRPr="00B47BDA" w:rsidRDefault="00E955B1" w:rsidP="004623DD">
      <w:r w:rsidRPr="0005002D">
        <w:rPr>
          <w:b/>
          <w:bCs/>
        </w:rPr>
        <w:t>Izvori financiranja</w:t>
      </w:r>
      <w:r w:rsidR="00EB6DEE" w:rsidRPr="0005002D">
        <w:t>:</w:t>
      </w:r>
      <w:r w:rsidR="00510FE2">
        <w:t xml:space="preserve"> </w:t>
      </w:r>
      <w:r w:rsidR="0005002D">
        <w:t>D</w:t>
      </w:r>
      <w:r w:rsidR="0088095E">
        <w:t>ržavni proračun</w:t>
      </w:r>
      <w:r w:rsidR="004F00DF">
        <w:t xml:space="preserve">, </w:t>
      </w:r>
      <w:r w:rsidR="00E93241" w:rsidRPr="00BE4A64">
        <w:t>prihodi od prodaje emisijskih jedinica iz EU ETS-a</w:t>
      </w:r>
      <w:r w:rsidR="004F00DF">
        <w:t xml:space="preserve">, </w:t>
      </w:r>
      <w:r w:rsidR="003164BF">
        <w:t>LIFE program EK</w:t>
      </w:r>
      <w:r w:rsidR="004F2D6F">
        <w:t>.</w:t>
      </w:r>
    </w:p>
    <w:p w14:paraId="2F541EE2" w14:textId="71D254C7" w:rsidR="00FC38FA" w:rsidRPr="00B47BDA" w:rsidRDefault="00FC38FA" w:rsidP="004623DD">
      <w:r w:rsidRPr="003A2A86">
        <w:rPr>
          <w:b/>
          <w:bCs/>
        </w:rPr>
        <w:t>Izvršno tijelo:</w:t>
      </w:r>
      <w:r w:rsidRPr="00B47BDA">
        <w:t xml:space="preserve"> </w:t>
      </w:r>
      <w:r w:rsidR="004D4CD0" w:rsidRPr="00B47BDA">
        <w:t>M</w:t>
      </w:r>
      <w:r w:rsidR="00114A20">
        <w:t xml:space="preserve">inistarstvo </w:t>
      </w:r>
      <w:r w:rsidR="00CD4D64">
        <w:t>zaštite okoliša i zelene tranzicije</w:t>
      </w:r>
      <w:r w:rsidR="003E5B2D">
        <w:t>,</w:t>
      </w:r>
      <w:r w:rsidR="003E5B2D" w:rsidRPr="00B47BDA">
        <w:t xml:space="preserve"> </w:t>
      </w:r>
      <w:r w:rsidR="004D4CD0" w:rsidRPr="00B47BDA">
        <w:t>M</w:t>
      </w:r>
      <w:r w:rsidR="00114A20">
        <w:t>inistarstvo gospodarstva</w:t>
      </w:r>
    </w:p>
    <w:p w14:paraId="493186CA" w14:textId="40EED733" w:rsidR="00FC38FA" w:rsidRPr="00B47BDA" w:rsidRDefault="00FC38FA" w:rsidP="004623DD">
      <w:r w:rsidRPr="003A2A86">
        <w:rPr>
          <w:b/>
          <w:bCs/>
        </w:rPr>
        <w:t>Tijela za praćenje:</w:t>
      </w:r>
      <w:r w:rsidRPr="00B47BDA">
        <w:t xml:space="preserve"> </w:t>
      </w:r>
      <w:r w:rsidR="00E56C0B" w:rsidRPr="00B47BDA">
        <w:t>M</w:t>
      </w:r>
      <w:r w:rsidR="00114A20">
        <w:t xml:space="preserve">inistarstvo </w:t>
      </w:r>
      <w:r w:rsidR="00CD4D64">
        <w:t>zaštite okoliša i zelene tranzicije</w:t>
      </w:r>
      <w:r w:rsidR="003E5B2D">
        <w:t>,</w:t>
      </w:r>
      <w:r w:rsidR="003E5B2D" w:rsidRPr="00B47BDA">
        <w:t xml:space="preserve"> </w:t>
      </w:r>
      <w:r w:rsidR="00E56C0B" w:rsidRPr="00B47BDA">
        <w:t>M</w:t>
      </w:r>
      <w:r w:rsidR="00114A20">
        <w:t>inistarstvo gospodarstva</w:t>
      </w:r>
    </w:p>
    <w:p w14:paraId="0C0CC030" w14:textId="5EBDBDBA" w:rsidR="00FC38FA" w:rsidRPr="00B47BDA" w:rsidRDefault="00FC38FA" w:rsidP="004623DD">
      <w:pPr>
        <w:rPr>
          <w:b/>
        </w:rPr>
      </w:pPr>
      <w:r w:rsidRPr="00B47BDA">
        <w:rPr>
          <w:b/>
        </w:rPr>
        <w:t xml:space="preserve">Učinak: </w:t>
      </w:r>
      <w:r w:rsidRPr="00B47BDA">
        <w:t>Neizravni doprinos smanjenju emisije stakleničkih plinova</w:t>
      </w:r>
      <w:r w:rsidR="00A17CAC" w:rsidRPr="00B47BDA">
        <w:t>.</w:t>
      </w:r>
    </w:p>
    <w:p w14:paraId="6035ABE1" w14:textId="26210AFB" w:rsidR="00FC38FA" w:rsidRPr="00B47BDA" w:rsidRDefault="00FC38FA" w:rsidP="004623DD">
      <w:pPr>
        <w:rPr>
          <w:b/>
        </w:rPr>
      </w:pPr>
      <w:r w:rsidRPr="00B47BDA">
        <w:rPr>
          <w:b/>
        </w:rPr>
        <w:t xml:space="preserve">Metoda praćenja: </w:t>
      </w:r>
      <w:r w:rsidRPr="00B47BDA">
        <w:t xml:space="preserve">Broj </w:t>
      </w:r>
      <w:r w:rsidR="00FA6C63">
        <w:t xml:space="preserve">sjednica </w:t>
      </w:r>
      <w:r w:rsidR="004855C0">
        <w:t>Povjerenstva</w:t>
      </w:r>
      <w:r w:rsidR="009B3532">
        <w:t>,</w:t>
      </w:r>
      <w:r w:rsidR="004855C0">
        <w:t xml:space="preserve"> </w:t>
      </w:r>
      <w:r w:rsidR="005753DE">
        <w:t>uspo</w:t>
      </w:r>
      <w:r w:rsidR="003127AB">
        <w:t>s</w:t>
      </w:r>
      <w:r w:rsidR="005753DE">
        <w:t xml:space="preserve">tavljen </w:t>
      </w:r>
      <w:r w:rsidR="00866E14">
        <w:t>centar za prilagodbu klimatskim promjena</w:t>
      </w:r>
      <w:r w:rsidR="009B3532">
        <w:t>ma</w:t>
      </w:r>
      <w:r w:rsidR="003127AB">
        <w:t xml:space="preserve">, </w:t>
      </w:r>
      <w:r w:rsidR="00FA6C63">
        <w:t>uspostavlj</w:t>
      </w:r>
      <w:r w:rsidR="009B3532">
        <w:t>e</w:t>
      </w:r>
      <w:r w:rsidR="00FA6C63">
        <w:t xml:space="preserve">n </w:t>
      </w:r>
      <w:r w:rsidR="004E3770">
        <w:t>sustav</w:t>
      </w:r>
      <w:r w:rsidR="00FA6C63">
        <w:t xml:space="preserve"> za praćenj</w:t>
      </w:r>
      <w:r w:rsidR="003164BF">
        <w:t xml:space="preserve">e provedbe </w:t>
      </w:r>
      <w:r w:rsidR="004E3770" w:rsidRPr="00B47BDA">
        <w:t>Integriranog energetskog i klimatskog plana</w:t>
      </w:r>
      <w:r w:rsidR="00901494">
        <w:t>, broj educiranih</w:t>
      </w:r>
      <w:r w:rsidR="003772E6">
        <w:t xml:space="preserve"> službenika na župa</w:t>
      </w:r>
      <w:r w:rsidR="00B13954">
        <w:t>nijskoj razini</w:t>
      </w:r>
      <w:r w:rsidR="00A608BB">
        <w:t>.</w:t>
      </w:r>
    </w:p>
    <w:p w14:paraId="060FCAA8" w14:textId="49D72BF2" w:rsidR="00FC38FA" w:rsidRPr="00B47BDA" w:rsidRDefault="00FC38FA" w:rsidP="004623DD">
      <w:pPr>
        <w:rPr>
          <w:b/>
        </w:rPr>
      </w:pPr>
      <w:r w:rsidRPr="00B47BDA">
        <w:rPr>
          <w:b/>
        </w:rPr>
        <w:t xml:space="preserve">Povezanost s drugim dimenzijama: </w:t>
      </w:r>
      <w:r w:rsidR="00D967F3" w:rsidRPr="00B47BDA">
        <w:t>Mjera</w:t>
      </w:r>
      <w:r w:rsidRPr="00B47BDA">
        <w:t xml:space="preserve"> je povezan</w:t>
      </w:r>
      <w:r w:rsidR="00D967F3" w:rsidRPr="00B47BDA">
        <w:t>a</w:t>
      </w:r>
      <w:r w:rsidRPr="00B47BDA">
        <w:t xml:space="preserve"> sa svih pet dimenzija</w:t>
      </w:r>
      <w:r w:rsidR="00A17CAC" w:rsidRPr="00B47BDA">
        <w:t>.</w:t>
      </w:r>
    </w:p>
    <w:p w14:paraId="1A8EFD8A" w14:textId="432171F4" w:rsidR="007F5125" w:rsidRPr="00B47BDA" w:rsidRDefault="00FC38FA" w:rsidP="004623DD">
      <w:r w:rsidRPr="00B47BDA">
        <w:rPr>
          <w:b/>
        </w:rPr>
        <w:t xml:space="preserve">Istraživanje i razvoj: </w:t>
      </w:r>
      <w:r w:rsidR="00C0299D" w:rsidRPr="00B47BDA">
        <w:t>Utječe, u kontekstu praćenja provedbe i ostvarivanja ciljeva</w:t>
      </w:r>
      <w:r w:rsidRPr="00B47BDA">
        <w:t>.</w:t>
      </w:r>
    </w:p>
    <w:p w14:paraId="71F59AC2" w14:textId="7FD461FB" w:rsidR="004D010C" w:rsidRPr="00B47BDA" w:rsidRDefault="004D010C" w:rsidP="00CF06E5">
      <w:pPr>
        <w:pStyle w:val="Mjeranaslov"/>
      </w:pPr>
      <w:r w:rsidRPr="00B47BDA">
        <w:t xml:space="preserve">MS-2 </w:t>
      </w:r>
      <w:r w:rsidR="003946A8">
        <w:t>O</w:t>
      </w:r>
      <w:r w:rsidRPr="00B47BDA">
        <w:t>snivanj</w:t>
      </w:r>
      <w:r w:rsidR="003946A8">
        <w:t>e</w:t>
      </w:r>
      <w:r w:rsidRPr="00B47BDA">
        <w:t xml:space="preserve"> regionalnih energetskih i klimatskih agencija </w:t>
      </w:r>
      <w:r w:rsidR="007050CB" w:rsidRPr="00B47BDA">
        <w:t>i iz</w:t>
      </w:r>
      <w:r w:rsidR="00B35C77" w:rsidRPr="00B47BDA">
        <w:t>g</w:t>
      </w:r>
      <w:r w:rsidR="007050CB" w:rsidRPr="00B47BDA">
        <w:t>radnja kapaciteta</w:t>
      </w:r>
    </w:p>
    <w:p w14:paraId="763F068D" w14:textId="5BD542E5" w:rsidR="004D010C" w:rsidRPr="00B47BDA" w:rsidRDefault="004D010C" w:rsidP="004623DD">
      <w:r w:rsidRPr="00B47BDA">
        <w:t>Organizacijska</w:t>
      </w:r>
      <w:r w:rsidR="000B3166" w:rsidRPr="00B47BDA">
        <w:t xml:space="preserve"> i financijska</w:t>
      </w:r>
      <w:r w:rsidRPr="00B47BDA">
        <w:t xml:space="preserve"> mjera; provedba 2021.-2030.</w:t>
      </w:r>
    </w:p>
    <w:p w14:paraId="6AEB35A6" w14:textId="0B6888BB" w:rsidR="004D010C" w:rsidRPr="00B47BDA" w:rsidRDefault="004D010C" w:rsidP="004623DD">
      <w:pPr>
        <w:rPr>
          <w:highlight w:val="yellow"/>
        </w:rPr>
      </w:pPr>
      <w:r w:rsidRPr="00B47BDA">
        <w:rPr>
          <w:b/>
        </w:rPr>
        <w:t>Cilj i opis mjere</w:t>
      </w:r>
      <w:r w:rsidRPr="00B47BDA">
        <w:t xml:space="preserve">: </w:t>
      </w:r>
      <w:r w:rsidR="00750452" w:rsidRPr="00B47BDA">
        <w:t xml:space="preserve">Regionalne energetske agencije trenutno ne djeluju na području čitave RH, a </w:t>
      </w:r>
      <w:r w:rsidR="00ED0C2A" w:rsidRPr="00B47BDA">
        <w:t xml:space="preserve">potrebna je izgradnja kapaciteta </w:t>
      </w:r>
      <w:r w:rsidR="00750452" w:rsidRPr="00B47BDA">
        <w:t>postojeć</w:t>
      </w:r>
      <w:r w:rsidR="00ED0C2A" w:rsidRPr="00B47BDA">
        <w:t>ih regionalnih energet</w:t>
      </w:r>
      <w:r w:rsidR="00FC21D4" w:rsidRPr="00B47BDA">
        <w:t>s</w:t>
      </w:r>
      <w:r w:rsidR="00ED0C2A" w:rsidRPr="00B47BDA">
        <w:t xml:space="preserve">kih agencija na polju </w:t>
      </w:r>
      <w:r w:rsidR="00AA74CD" w:rsidRPr="00B47BDA">
        <w:t xml:space="preserve">ublažavanja </w:t>
      </w:r>
      <w:r w:rsidR="00ED0C2A" w:rsidRPr="00B47BDA">
        <w:t xml:space="preserve">klimatskih promjena </w:t>
      </w:r>
      <w:r w:rsidR="00AA74CD" w:rsidRPr="00B47BDA">
        <w:t xml:space="preserve">te otpornosti i prilagodbe klimatskim promjenama </w:t>
      </w:r>
      <w:r w:rsidR="00ED0C2A" w:rsidRPr="00B47BDA">
        <w:t xml:space="preserve">i njihova transformacija u energetske i klimatske agencije. </w:t>
      </w:r>
      <w:r w:rsidRPr="00B47BDA">
        <w:t xml:space="preserve">Cilj ove mjere je poticanje uspostave i osnivanja regionalnih energetskih </w:t>
      </w:r>
      <w:r w:rsidR="00AA74CD" w:rsidRPr="00B47BDA">
        <w:t xml:space="preserve">i klimatskih </w:t>
      </w:r>
      <w:r w:rsidRPr="00B47BDA">
        <w:t xml:space="preserve">agencija za područja Republike Hrvatske na kojima one ne djeluju te </w:t>
      </w:r>
      <w:r w:rsidR="00AA74CD" w:rsidRPr="00B47BDA">
        <w:t xml:space="preserve">jačanje kapaciteta s ciljem </w:t>
      </w:r>
      <w:r w:rsidR="003F51D3" w:rsidRPr="00B47BDA">
        <w:t>preoblikovanj</w:t>
      </w:r>
      <w:r w:rsidR="003F51D3">
        <w:t>a</w:t>
      </w:r>
      <w:r w:rsidR="003F51D3" w:rsidRPr="00B47BDA">
        <w:t xml:space="preserve"> </w:t>
      </w:r>
      <w:r w:rsidRPr="00B47BDA">
        <w:t>postojećih</w:t>
      </w:r>
      <w:r w:rsidR="00ED0C2A" w:rsidRPr="00B47BDA">
        <w:t xml:space="preserve"> </w:t>
      </w:r>
      <w:r w:rsidRPr="00B47BDA">
        <w:t>energetskih agencija u energetske i klimatske agencije.</w:t>
      </w:r>
    </w:p>
    <w:p w14:paraId="36F0F804" w14:textId="3DF0186D" w:rsidR="004D010C" w:rsidRPr="00B47BDA" w:rsidRDefault="004D010C" w:rsidP="004623DD">
      <w:r w:rsidRPr="00B47BDA">
        <w:rPr>
          <w:b/>
        </w:rPr>
        <w:t>Izvori financiranja</w:t>
      </w:r>
      <w:r w:rsidRPr="00B47BDA">
        <w:t xml:space="preserve">: EU sredstva, sredstva </w:t>
      </w:r>
      <w:r w:rsidR="00921D31" w:rsidRPr="00921D31">
        <w:t>jedinic</w:t>
      </w:r>
      <w:r w:rsidR="00921D31">
        <w:t>a</w:t>
      </w:r>
      <w:r w:rsidR="00921D31" w:rsidRPr="00921D31">
        <w:t xml:space="preserve"> lokalne i područne (regionalne) samouprave</w:t>
      </w:r>
      <w:r w:rsidR="00A17CAC" w:rsidRPr="00B47BDA">
        <w:t>.</w:t>
      </w:r>
    </w:p>
    <w:p w14:paraId="556774BD" w14:textId="7E172F7E" w:rsidR="004D010C" w:rsidRPr="00B47BDA" w:rsidRDefault="004D010C" w:rsidP="004623DD">
      <w:r w:rsidRPr="003A2A86">
        <w:rPr>
          <w:b/>
          <w:bCs/>
        </w:rPr>
        <w:t>Izvršno tijelo:</w:t>
      </w:r>
      <w:r w:rsidRPr="00B47BDA">
        <w:t xml:space="preserve"> </w:t>
      </w:r>
      <w:r w:rsidR="0021719E">
        <w:t>JL</w:t>
      </w:r>
      <w:r w:rsidR="00F46564">
        <w:t>P(</w:t>
      </w:r>
      <w:r w:rsidR="00A002AA">
        <w:t>R)</w:t>
      </w:r>
      <w:r w:rsidR="00F46564">
        <w:t>S</w:t>
      </w:r>
    </w:p>
    <w:p w14:paraId="7CF654D7" w14:textId="1D9F0D68" w:rsidR="004D010C" w:rsidRPr="00B47BDA" w:rsidRDefault="004D010C" w:rsidP="004623DD">
      <w:r w:rsidRPr="003A2A86">
        <w:rPr>
          <w:b/>
          <w:bCs/>
        </w:rPr>
        <w:t>Tijela za praćenje:</w:t>
      </w:r>
      <w:r w:rsidRPr="00B47BDA">
        <w:t xml:space="preserve"> </w:t>
      </w:r>
      <w:r w:rsidR="00F078B0">
        <w:t>Ministarstvo gospodarstva</w:t>
      </w:r>
    </w:p>
    <w:p w14:paraId="1121C8AD" w14:textId="4168A83A" w:rsidR="004D010C" w:rsidRPr="00B47BDA" w:rsidRDefault="004D010C" w:rsidP="004623DD">
      <w:r w:rsidRPr="00B47BDA">
        <w:rPr>
          <w:b/>
        </w:rPr>
        <w:t>Učinak</w:t>
      </w:r>
      <w:r w:rsidRPr="00B47BDA">
        <w:t xml:space="preserve">: </w:t>
      </w:r>
      <w:r w:rsidR="00B60599" w:rsidRPr="00B47BDA">
        <w:t xml:space="preserve">Osnivanje </w:t>
      </w:r>
      <w:r w:rsidR="00706596" w:rsidRPr="00B47BDA">
        <w:t xml:space="preserve">regionalne </w:t>
      </w:r>
      <w:r w:rsidR="00B60599" w:rsidRPr="00B47BDA">
        <w:t>energetske i klimat</w:t>
      </w:r>
      <w:r w:rsidR="00FC21D4" w:rsidRPr="00B47BDA">
        <w:t>s</w:t>
      </w:r>
      <w:r w:rsidR="00B60599" w:rsidRPr="00B47BDA">
        <w:t>ke agencije i transformacija postojećih regionalnih energetskih agenc</w:t>
      </w:r>
      <w:r w:rsidR="00FC21D4" w:rsidRPr="00B47BDA">
        <w:t>i</w:t>
      </w:r>
      <w:r w:rsidR="00B60599" w:rsidRPr="00B47BDA">
        <w:t>ja u regionalne energe</w:t>
      </w:r>
      <w:r w:rsidR="00FC21D4" w:rsidRPr="00B47BDA">
        <w:t>t</w:t>
      </w:r>
      <w:r w:rsidR="00B60599" w:rsidRPr="00B47BDA">
        <w:t>ske i klimatske agencije</w:t>
      </w:r>
      <w:r w:rsidR="00A17CAC" w:rsidRPr="00B47BDA">
        <w:t>.</w:t>
      </w:r>
    </w:p>
    <w:p w14:paraId="581C3F08" w14:textId="79049F85" w:rsidR="004D010C" w:rsidRPr="00B47BDA" w:rsidRDefault="004D010C" w:rsidP="004623DD">
      <w:r w:rsidRPr="00B47BDA">
        <w:rPr>
          <w:b/>
        </w:rPr>
        <w:t>Metoda praćenja</w:t>
      </w:r>
      <w:r w:rsidRPr="00B47BDA">
        <w:t xml:space="preserve">: Broj </w:t>
      </w:r>
      <w:r w:rsidR="00B60599" w:rsidRPr="00B47BDA">
        <w:t xml:space="preserve">novoosnovanih energetskih i klimatskih agencija, broj </w:t>
      </w:r>
      <w:r w:rsidR="00D73F51" w:rsidRPr="00B47BDA">
        <w:t>preoblikovanih agencija</w:t>
      </w:r>
      <w:r w:rsidR="00A17CAC" w:rsidRPr="00B47BDA">
        <w:t>.</w:t>
      </w:r>
    </w:p>
    <w:p w14:paraId="4EAAF9DC" w14:textId="32BBFA2E" w:rsidR="004D010C" w:rsidRPr="00B47BDA" w:rsidRDefault="004D010C" w:rsidP="004623DD">
      <w:r w:rsidRPr="00B47BDA">
        <w:rPr>
          <w:b/>
        </w:rPr>
        <w:t>Povezanost s drugim dimenzijama</w:t>
      </w:r>
      <w:r w:rsidRPr="00B47BDA">
        <w:t>: Mjera je povezana sa svih pet dimenzija</w:t>
      </w:r>
      <w:r w:rsidR="00966D58">
        <w:t>.</w:t>
      </w:r>
    </w:p>
    <w:p w14:paraId="3C5F0701" w14:textId="02125994" w:rsidR="004B49FC" w:rsidRPr="00B47BDA" w:rsidRDefault="004B49FC" w:rsidP="00CF06E5">
      <w:pPr>
        <w:pStyle w:val="Mjeranaslov"/>
      </w:pPr>
      <w:r w:rsidRPr="00B47BDA">
        <w:lastRenderedPageBreak/>
        <w:t>MS-</w:t>
      </w:r>
      <w:r w:rsidR="00427632">
        <w:t>3</w:t>
      </w:r>
      <w:r w:rsidRPr="00B47BDA">
        <w:t xml:space="preserve"> Europski sustav trgovanja emisijskim jedinicama</w:t>
      </w:r>
    </w:p>
    <w:p w14:paraId="249C75ED" w14:textId="77777777" w:rsidR="004B49FC" w:rsidRPr="00B47BDA" w:rsidRDefault="004B49FC" w:rsidP="004623DD">
      <w:r w:rsidRPr="00B47BDA">
        <w:t>Regulatorna mjera; provedba 2021.-2030.</w:t>
      </w:r>
    </w:p>
    <w:p w14:paraId="3131C3C1" w14:textId="0C071648" w:rsidR="004B49FC" w:rsidRPr="00B47BDA" w:rsidRDefault="004B49FC" w:rsidP="004623DD">
      <w:r w:rsidRPr="63259912">
        <w:rPr>
          <w:b/>
          <w:bCs/>
        </w:rPr>
        <w:t>Cilj i opis mjere:</w:t>
      </w:r>
      <w:r w:rsidRPr="63259912">
        <w:t xml:space="preserve"> Europski sustav trgovanja emisijskim jedinicama (EU ETS) uključuje sve </w:t>
      </w:r>
      <w:r w:rsidR="004B5D91" w:rsidRPr="63259912">
        <w:t>djelatnosti</w:t>
      </w:r>
      <w:r w:rsidRPr="63259912">
        <w:t xml:space="preserve"> navedene u Prilogu I.</w:t>
      </w:r>
      <w:r w:rsidR="00966952" w:rsidRPr="63259912">
        <w:t xml:space="preserve"> </w:t>
      </w:r>
      <w:r w:rsidR="0044094C" w:rsidRPr="63259912">
        <w:t>Direktive 2003/87/EZ Europskog parlamenta i Vijeća od 13. listopada 2003. o uspostavi sustava trgovanja emisijskim jedinicama stakleničkih plinova unutar Zajednice i o izmjeni Direktive Vijeća 96/61/EZ (Tekst značajan za EGP)</w:t>
      </w:r>
      <w:r w:rsidR="00FE080E" w:rsidRPr="63259912">
        <w:t xml:space="preserve"> (</w:t>
      </w:r>
      <w:r w:rsidR="004662E5" w:rsidRPr="63259912">
        <w:t>SL L 275, 25.10.2003)</w:t>
      </w:r>
      <w:r w:rsidR="002F7BFE" w:rsidRPr="63259912">
        <w:t xml:space="preserve">, </w:t>
      </w:r>
      <w:r w:rsidR="00FE080E" w:rsidRPr="63259912">
        <w:t>izmijenjene</w:t>
      </w:r>
      <w:r w:rsidR="002F7BFE" w:rsidRPr="63259912">
        <w:t xml:space="preserve"> </w:t>
      </w:r>
      <w:r w:rsidR="002D32E9" w:rsidRPr="63259912">
        <w:t xml:space="preserve">Direktivom  (EU) 2023/959 Europskog parlamenta i Vijeća od 10. svibnja 2023. o izmjeni Direktive 2003/87/EZ o uspostavi sustava trgovanja emisijskim jedinicama stakleničkih plinova unutar Unije i Odluke (EU) 2015/1814 o uspostavi i funkcioniranju rezerve za stabilnost tržišta za sustav trgovanja emisijama stakleničkih plinova Unije (Tekst značajan za EGP) (SL L </w:t>
      </w:r>
      <w:r w:rsidR="00607F95" w:rsidRPr="63259912">
        <w:t>130</w:t>
      </w:r>
      <w:r w:rsidR="000D2492" w:rsidRPr="63259912">
        <w:t>,</w:t>
      </w:r>
      <w:r w:rsidR="00607F95" w:rsidRPr="63259912">
        <w:t xml:space="preserve"> 16.5.2023.)</w:t>
      </w:r>
      <w:r w:rsidR="002944B0" w:rsidRPr="63259912">
        <w:t>.</w:t>
      </w:r>
      <w:r w:rsidR="00C176F6" w:rsidRPr="63259912">
        <w:t xml:space="preserve"> </w:t>
      </w:r>
      <w:r w:rsidRPr="63259912">
        <w:t xml:space="preserve">Kroz ravnomjernu raspodjelu emisijskih jedinica obveze za smanjenjem podijeljene su sudionicima sustava iz svih država članica s ciljem doprinosa smanjenju emisija za najmanje </w:t>
      </w:r>
      <w:r w:rsidR="002F3EE7" w:rsidRPr="63259912">
        <w:t>62</w:t>
      </w:r>
      <w:r w:rsidR="00DA3013" w:rsidRPr="63259912">
        <w:t> </w:t>
      </w:r>
      <w:r w:rsidRPr="63259912">
        <w:t>% do 2030. godine, u odnosu na razinu iz 2005. godine. Time se može zaključiti kako je smanjenje emisija iz aktivnosti unutar EU ETS-a regulirano na razini EU</w:t>
      </w:r>
      <w:r w:rsidR="009E7596" w:rsidRPr="63259912">
        <w:t xml:space="preserve"> </w:t>
      </w:r>
      <w:r w:rsidR="00EC7BAA" w:rsidRPr="63259912">
        <w:t xml:space="preserve">(Okvir klimatsko-energetske politike do 2030). </w:t>
      </w:r>
      <w:r w:rsidRPr="63259912">
        <w:t>Od 1.</w:t>
      </w:r>
      <w:r w:rsidR="00D875BF" w:rsidRPr="63259912">
        <w:t xml:space="preserve"> siječnja </w:t>
      </w:r>
      <w:r w:rsidRPr="63259912">
        <w:t xml:space="preserve">2013. godine, Republika Hrvatska je integrirana u EU ETS. Operateri postrojenja </w:t>
      </w:r>
      <w:r w:rsidR="00F56992" w:rsidRPr="63259912">
        <w:t>i operat</w:t>
      </w:r>
      <w:r w:rsidR="001D7CE6" w:rsidRPr="63259912">
        <w:t>o</w:t>
      </w:r>
      <w:r w:rsidR="00F56992" w:rsidRPr="63259912">
        <w:t>ri zrakoplova</w:t>
      </w:r>
      <w:r w:rsidRPr="63259912">
        <w:t xml:space="preserve">, sukladno pravilima EU ETS-a, </w:t>
      </w:r>
      <w:r w:rsidR="00F56992" w:rsidRPr="63259912">
        <w:t xml:space="preserve">ishodili </w:t>
      </w:r>
      <w:r w:rsidRPr="63259912">
        <w:t xml:space="preserve">su dozvole za emisije stakleničkih plinova i uspostavili režim praćenja emisija i </w:t>
      </w:r>
      <w:r w:rsidR="00CE4C1E" w:rsidRPr="63259912">
        <w:t xml:space="preserve">dostavljanja verificiranih izvješća </w:t>
      </w:r>
      <w:r w:rsidRPr="63259912">
        <w:t>nadležnom tijelu. Staklenički plinovi obuhvaćeni EU ETS-om su: uglji</w:t>
      </w:r>
      <w:r w:rsidR="00DB0B1D" w:rsidRPr="63259912">
        <w:t>kov</w:t>
      </w:r>
      <w:r w:rsidRPr="63259912">
        <w:t xml:space="preserve"> dioksid (CO</w:t>
      </w:r>
      <w:r w:rsidRPr="63259912">
        <w:rPr>
          <w:vertAlign w:val="subscript"/>
        </w:rPr>
        <w:t>2</w:t>
      </w:r>
      <w:r w:rsidRPr="63259912">
        <w:t>)</w:t>
      </w:r>
      <w:r w:rsidR="006D1605" w:rsidRPr="63259912">
        <w:t>,</w:t>
      </w:r>
      <w:r w:rsidRPr="63259912">
        <w:t xml:space="preserve"> </w:t>
      </w:r>
      <w:r w:rsidR="006D1605" w:rsidRPr="63259912">
        <w:t>metan (CH</w:t>
      </w:r>
      <w:r w:rsidR="006D1605" w:rsidRPr="63259912">
        <w:rPr>
          <w:vertAlign w:val="subscript"/>
        </w:rPr>
        <w:t>4</w:t>
      </w:r>
      <w:r w:rsidR="006D1605" w:rsidRPr="63259912">
        <w:t>)</w:t>
      </w:r>
      <w:r w:rsidRPr="63259912">
        <w:t>, duši</w:t>
      </w:r>
      <w:r w:rsidR="00DB0B1D" w:rsidRPr="63259912">
        <w:t>kov</w:t>
      </w:r>
      <w:r w:rsidRPr="63259912">
        <w:t xml:space="preserve"> oksid (N</w:t>
      </w:r>
      <w:r w:rsidRPr="63259912">
        <w:rPr>
          <w:vertAlign w:val="subscript"/>
        </w:rPr>
        <w:t>2</w:t>
      </w:r>
      <w:r w:rsidRPr="63259912">
        <w:t>O)</w:t>
      </w:r>
      <w:r w:rsidR="002A1B8F" w:rsidRPr="63259912">
        <w:t xml:space="preserve">, </w:t>
      </w:r>
      <w:r w:rsidR="005D1E17" w:rsidRPr="63259912">
        <w:t>f</w:t>
      </w:r>
      <w:r w:rsidR="002A1B8F" w:rsidRPr="63259912">
        <w:t>luorougljikovodici (HFC-i),</w:t>
      </w:r>
      <w:r w:rsidRPr="63259912">
        <w:t xml:space="preserve"> perfluorouglji</w:t>
      </w:r>
      <w:r w:rsidR="003500B0" w:rsidRPr="63259912">
        <w:t>ci</w:t>
      </w:r>
      <w:r w:rsidRPr="63259912">
        <w:t xml:space="preserve"> (PFC</w:t>
      </w:r>
      <w:r w:rsidR="003500B0" w:rsidRPr="63259912">
        <w:t>-i</w:t>
      </w:r>
      <w:r w:rsidRPr="63259912">
        <w:t>)</w:t>
      </w:r>
      <w:r w:rsidR="0018201B" w:rsidRPr="63259912">
        <w:t xml:space="preserve"> i sumporov heksafluorid (SF</w:t>
      </w:r>
      <w:r w:rsidR="00416533" w:rsidRPr="63259912">
        <w:rPr>
          <w:vertAlign w:val="subscript"/>
        </w:rPr>
        <w:t>6</w:t>
      </w:r>
      <w:r w:rsidR="0018201B" w:rsidRPr="63259912">
        <w:t>)</w:t>
      </w:r>
      <w:r w:rsidRPr="63259912">
        <w:t>. Svi operateri, osim proizvođača električne energije, podnijeli su svoje zahtjeve za izdavanje emisijskih jedinica</w:t>
      </w:r>
      <w:r w:rsidR="0023660D" w:rsidRPr="63259912">
        <w:t>, koje se dodjeljuju besplatno</w:t>
      </w:r>
      <w:r w:rsidRPr="63259912">
        <w:t xml:space="preserve">. </w:t>
      </w:r>
      <w:r w:rsidR="00D4635E" w:rsidRPr="63259912">
        <w:t>Emisij</w:t>
      </w:r>
      <w:r w:rsidR="00580EE0" w:rsidRPr="63259912">
        <w:t>s</w:t>
      </w:r>
      <w:r w:rsidR="00D4635E" w:rsidRPr="63259912">
        <w:t xml:space="preserve">ke </w:t>
      </w:r>
      <w:r w:rsidR="003A2981" w:rsidRPr="63259912">
        <w:t>j</w:t>
      </w:r>
      <w:r w:rsidRPr="63259912">
        <w:t xml:space="preserve">edinice se </w:t>
      </w:r>
      <w:r w:rsidR="00AC772A" w:rsidRPr="63259912">
        <w:t>dodjeljuju</w:t>
      </w:r>
      <w:r w:rsidRPr="63259912">
        <w:t xml:space="preserve"> postrojenjima, na osnovi mjerila utvrđenih u skladu s referentnom vrijednosti za 10% najučinkovitijih postrojenja u istom sektoru. Operateri, koji neće imati dovoljan broj </w:t>
      </w:r>
      <w:r w:rsidR="00EB4A5A" w:rsidRPr="63259912">
        <w:t xml:space="preserve">besplatno dodijeljenih </w:t>
      </w:r>
      <w:r w:rsidRPr="63259912">
        <w:t>jedinica za pokrivanje njihovih emisija stakleničkih plinova, imaju mogućnost kupnje emisijskih jedinica putem dražbi ili na sekundarnom ETS tržištu</w:t>
      </w:r>
      <w:r w:rsidR="000F720F" w:rsidRPr="63259912">
        <w:t xml:space="preserve"> </w:t>
      </w:r>
      <w:r w:rsidR="006563EA" w:rsidRPr="63259912">
        <w:t>(</w:t>
      </w:r>
      <w:r w:rsidR="004C77A5" w:rsidRPr="63259912">
        <w:t xml:space="preserve">Pravilnik o načinu besplatne dodjele emisijskih jedinica postrojenjima i o praćenju, izvješćivanju i verifikaciji izvješća o emisijama stakleničkih plinova iz postrojenja i zrakoplova </w:t>
      </w:r>
      <w:r w:rsidR="00BD0013" w:rsidRPr="63259912">
        <w:t>(</w:t>
      </w:r>
      <w:r w:rsidR="00C142DF" w:rsidRPr="63259912">
        <w:t>„</w:t>
      </w:r>
      <w:r w:rsidR="00071A4F" w:rsidRPr="63259912">
        <w:t xml:space="preserve">Narodne </w:t>
      </w:r>
      <w:r w:rsidR="00A97AE7" w:rsidRPr="63259912">
        <w:t>novine</w:t>
      </w:r>
      <w:r w:rsidR="00C142DF" w:rsidRPr="63259912">
        <w:t>“</w:t>
      </w:r>
      <w:r w:rsidR="00071A4F" w:rsidRPr="63259912">
        <w:t xml:space="preserve">, </w:t>
      </w:r>
      <w:r w:rsidR="00004BB0" w:rsidRPr="63259912">
        <w:t>br</w:t>
      </w:r>
      <w:r w:rsidR="00C142DF" w:rsidRPr="63259912">
        <w:t>.</w:t>
      </w:r>
      <w:r w:rsidR="00BA1C69" w:rsidRPr="63259912">
        <w:t xml:space="preserve"> </w:t>
      </w:r>
      <w:r w:rsidR="004C77A5" w:rsidRPr="63259912">
        <w:t>89/20</w:t>
      </w:r>
      <w:r w:rsidR="00C142DF" w:rsidRPr="63259912">
        <w:t>.</w:t>
      </w:r>
      <w:r w:rsidR="004C77A5" w:rsidRPr="63259912">
        <w:t>)</w:t>
      </w:r>
      <w:r w:rsidR="006563EA" w:rsidRPr="63259912">
        <w:t>.</w:t>
      </w:r>
    </w:p>
    <w:p w14:paraId="6D8FA79F" w14:textId="6AE58004" w:rsidR="00343F37" w:rsidRPr="00B47BDA" w:rsidRDefault="00726A9F" w:rsidP="004623DD">
      <w:r w:rsidRPr="00B47BDA">
        <w:t xml:space="preserve">Zakon o klimatskim promjenama i zaštiti ozonskog sloja </w:t>
      </w:r>
      <w:r w:rsidR="00EB08F1">
        <w:t xml:space="preserve">(„Narodne novine“, br. </w:t>
      </w:r>
      <w:r w:rsidRPr="00B47BDA">
        <w:t>127</w:t>
      </w:r>
      <w:r w:rsidR="005B41DA">
        <w:t>/19</w:t>
      </w:r>
      <w:r w:rsidR="00C142DF">
        <w:t>.</w:t>
      </w:r>
      <w:r w:rsidRPr="00B47BDA">
        <w:t xml:space="preserve">), koji u hrvatski pravni sustav prenosi relevantne propise EU za uspostavu i funkcioniranje EU ETS-a, uređuje i praćenje i izvješćivanje o emisijama stakleničkih plinova, sustav trgovanja emisijama stakleničkih plinova, zrakoplovnu djelatnost te sektore izvan sustava trgovanja emisijama stakleničkih plinova. Na temelju tog </w:t>
      </w:r>
      <w:r w:rsidR="004B2FF6">
        <w:t>Z</w:t>
      </w:r>
      <w:r w:rsidRPr="00B47BDA">
        <w:t xml:space="preserve">akona doneseni su i podzakonski propisi (Uredba o načinu trgovanja emisijskim jedinicama stakleničkih plinova i Pravilnik o načinu besplatne dodjele emisijskih jedinica postrojenjima i o praćenju, izvješćivanju i verifikaciji izvješća o emisijama stakleničkih plinova iz postrojenja i zrakoplova </w:t>
      </w:r>
      <w:r w:rsidR="00C142DF">
        <w:t>„</w:t>
      </w:r>
      <w:r w:rsidR="00071A4F" w:rsidRPr="00071A4F">
        <w:t xml:space="preserve">Narodne </w:t>
      </w:r>
      <w:r w:rsidR="00A97AE7">
        <w:t>novine</w:t>
      </w:r>
      <w:r w:rsidR="00C142DF">
        <w:t>“</w:t>
      </w:r>
      <w:r w:rsidR="00071A4F" w:rsidRPr="00071A4F">
        <w:t xml:space="preserve">, </w:t>
      </w:r>
      <w:r w:rsidR="00004BB0">
        <w:t>br</w:t>
      </w:r>
      <w:r w:rsidR="00C142DF">
        <w:t>.</w:t>
      </w:r>
      <w:r w:rsidRPr="00B47BDA">
        <w:t xml:space="preserve"> 89/20</w:t>
      </w:r>
      <w:r w:rsidR="00C142DF">
        <w:t>.</w:t>
      </w:r>
      <w:r w:rsidRPr="00B47BDA">
        <w:t xml:space="preserve">) </w:t>
      </w:r>
      <w:r w:rsidR="003E7286">
        <w:t xml:space="preserve">Provodi se </w:t>
      </w:r>
      <w:r w:rsidRPr="00B47BDA">
        <w:t>reform</w:t>
      </w:r>
      <w:r w:rsidR="003E7286">
        <w:t>a</w:t>
      </w:r>
      <w:r w:rsidRPr="00B47BDA">
        <w:t xml:space="preserve"> postojećeg ETS sustava</w:t>
      </w:r>
      <w:r w:rsidR="003E7286">
        <w:t>, uvodi se u sustav pomorstvo</w:t>
      </w:r>
      <w:r w:rsidRPr="00B47BDA">
        <w:t xml:space="preserve"> te </w:t>
      </w:r>
      <w:r w:rsidR="00EA6F02" w:rsidRPr="00B47BDA">
        <w:t>uspostav</w:t>
      </w:r>
      <w:r w:rsidR="00EA6F02">
        <w:t>a</w:t>
      </w:r>
      <w:r w:rsidR="00EA6F02" w:rsidRPr="00B47BDA">
        <w:t xml:space="preserve"> </w:t>
      </w:r>
      <w:r w:rsidRPr="00B47BDA">
        <w:t>zasebnog ETS sustava za</w:t>
      </w:r>
      <w:r w:rsidR="7E69E815">
        <w:t xml:space="preserve"> cestovni </w:t>
      </w:r>
      <w:r w:rsidRPr="00B47BDA">
        <w:t>promet i zgradarstvo</w:t>
      </w:r>
      <w:r w:rsidR="00B95D2D">
        <w:t xml:space="preserve"> tzv</w:t>
      </w:r>
      <w:r w:rsidR="00F33A3E">
        <w:t>.</w:t>
      </w:r>
      <w:r w:rsidR="000C633E">
        <w:t xml:space="preserve"> EU</w:t>
      </w:r>
      <w:r w:rsidR="00B95D2D">
        <w:t xml:space="preserve"> E</w:t>
      </w:r>
      <w:r w:rsidR="00F33A3E">
        <w:t>TS 2</w:t>
      </w:r>
      <w:r w:rsidRPr="00B47BDA">
        <w:t>.</w:t>
      </w:r>
    </w:p>
    <w:p w14:paraId="0634F35C" w14:textId="77777777" w:rsidR="004B49FC" w:rsidRPr="00B47BDA" w:rsidRDefault="004B49FC" w:rsidP="004623DD">
      <w:r w:rsidRPr="00B47BDA">
        <w:rPr>
          <w:b/>
        </w:rPr>
        <w:t>Aktivnosti:</w:t>
      </w:r>
      <w:r w:rsidRPr="00B47BDA">
        <w:t xml:space="preserve"> U okviru mjere provest će se: </w:t>
      </w:r>
    </w:p>
    <w:p w14:paraId="2735B476" w14:textId="72561DA6" w:rsidR="004B49FC" w:rsidRPr="00B47BDA" w:rsidRDefault="004B49FC" w:rsidP="00A563AA">
      <w:pPr>
        <w:pStyle w:val="ListParagraph"/>
        <w:numPr>
          <w:ilvl w:val="0"/>
          <w:numId w:val="51"/>
        </w:numPr>
      </w:pPr>
      <w:r w:rsidRPr="00B47BDA">
        <w:t xml:space="preserve">nastavak aktivnosti </w:t>
      </w:r>
      <w:r w:rsidR="00072D89">
        <w:t>obvez</w:t>
      </w:r>
      <w:r w:rsidRPr="00B47BDA">
        <w:t xml:space="preserve">nika EU ETS-a (operateri postrojenja i operatori zrakoplova): ažuriranje planova praćenja emisija stakleničkih plinova, izrada izvješća o emisijama stakleničkih plinova, izrada verifikacijskog izvješća, izrada izvješća o poboljšanjima (ako </w:t>
      </w:r>
      <w:r w:rsidRPr="00B47BDA">
        <w:lastRenderedPageBreak/>
        <w:t>je potrebna), trgovanje emisijskim jedinicama na primarnom i sekundarnom tržištu, predaja emisijskih jedinica i dr.;</w:t>
      </w:r>
    </w:p>
    <w:p w14:paraId="5258CE82" w14:textId="2D6195A7" w:rsidR="004B49FC" w:rsidRPr="00B47BDA" w:rsidRDefault="004B49FC" w:rsidP="00A563AA">
      <w:pPr>
        <w:pStyle w:val="ListParagraph"/>
        <w:numPr>
          <w:ilvl w:val="0"/>
          <w:numId w:val="51"/>
        </w:numPr>
      </w:pPr>
      <w:r w:rsidRPr="00B47BDA">
        <w:t>aktivnosti ostalih sudionika EU ETS-a (</w:t>
      </w:r>
      <w:r w:rsidR="005B17A8">
        <w:t>MZOZT</w:t>
      </w:r>
      <w:r w:rsidRPr="00B47BDA">
        <w:t>, verifikatori, brokeri…)</w:t>
      </w:r>
      <w:r w:rsidR="008435BF">
        <w:t>;</w:t>
      </w:r>
    </w:p>
    <w:p w14:paraId="3C1DCBAA" w14:textId="36FD7FC9" w:rsidR="001A3711" w:rsidRPr="00B47BDA" w:rsidRDefault="001A3711" w:rsidP="00A563AA">
      <w:pPr>
        <w:pStyle w:val="ListParagraph"/>
        <w:numPr>
          <w:ilvl w:val="0"/>
          <w:numId w:val="51"/>
        </w:numPr>
      </w:pPr>
      <w:r w:rsidRPr="00B47BDA">
        <w:t>aktivnosti novih sudionika EU ETS-a (operatori brodova): ažuriranje planova praćenja emisija stakleničkih plinova, izrada izvješća o emisijama stakleničkih plinova, izrada verifikacijskog izvješća, izrada izvješća o poboljšanjima (ako je potrebna), trgovanje emisijskim jedinicama na primarnom i sekundarnom tržištu, predaja emisijskih jedinica i dr.</w:t>
      </w:r>
      <w:r w:rsidR="008435BF">
        <w:t>;</w:t>
      </w:r>
    </w:p>
    <w:p w14:paraId="70B3DA91" w14:textId="1353FABE" w:rsidR="00173751" w:rsidRPr="00B47BDA" w:rsidRDefault="001A3711" w:rsidP="00A563AA">
      <w:pPr>
        <w:pStyle w:val="ListParagraph"/>
        <w:numPr>
          <w:ilvl w:val="0"/>
          <w:numId w:val="51"/>
        </w:numPr>
      </w:pPr>
      <w:r w:rsidRPr="00B47BDA">
        <w:t xml:space="preserve">aktivnosti </w:t>
      </w:r>
      <w:r w:rsidR="57D812AD">
        <w:t>reguliranih subjekata</w:t>
      </w:r>
      <w:r w:rsidR="5EAA666A">
        <w:t xml:space="preserve"> </w:t>
      </w:r>
      <w:r w:rsidR="76A39469">
        <w:t>novog</w:t>
      </w:r>
      <w:r w:rsidRPr="00B47BDA">
        <w:t xml:space="preserve"> sustava </w:t>
      </w:r>
      <w:r w:rsidR="5DE2BC1E">
        <w:t xml:space="preserve">trgovanja, </w:t>
      </w:r>
      <w:r w:rsidRPr="00B47BDA">
        <w:t>EU ETS-</w:t>
      </w:r>
      <w:r w:rsidR="283D3C5E">
        <w:t>2</w:t>
      </w:r>
      <w:r w:rsidRPr="00B47BDA">
        <w:t>: izrada planova praćenja emisija stakleničkih plinova, izrada izvješća o emisijama stakleničkih plinova, izrada verifikacijskog izvješća, izrada izvješća o poboljšanjima (ako je potrebna), trgovanje emisijskim jedinicama na primarnom i sekundarnom tržištu, predaja emisijskih jedinica i dr.</w:t>
      </w:r>
    </w:p>
    <w:p w14:paraId="33F7418C" w14:textId="49B81ED1" w:rsidR="004B49FC" w:rsidRPr="00B47BDA" w:rsidRDefault="004B49FC" w:rsidP="004623DD">
      <w:r w:rsidRPr="00B47BDA">
        <w:rPr>
          <w:b/>
        </w:rPr>
        <w:t xml:space="preserve">Sredstva potrebna za provedbu: </w:t>
      </w:r>
      <w:r w:rsidR="00097EF9" w:rsidRPr="00B47BDA">
        <w:t>3</w:t>
      </w:r>
      <w:r w:rsidR="002F1481">
        <w:t>0</w:t>
      </w:r>
      <w:r w:rsidR="00097EF9" w:rsidRPr="00B47BDA">
        <w:t xml:space="preserve">0 milijuna </w:t>
      </w:r>
      <w:r w:rsidR="00CF7DA3">
        <w:t>EUR</w:t>
      </w:r>
      <w:r w:rsidR="00097EF9" w:rsidRPr="00B47BDA">
        <w:t xml:space="preserve"> godišnje</w:t>
      </w:r>
      <w:r w:rsidR="002F1481">
        <w:t>.</w:t>
      </w:r>
    </w:p>
    <w:p w14:paraId="2F9A560D" w14:textId="19B79FEC" w:rsidR="004B49FC" w:rsidRPr="00B47BDA" w:rsidRDefault="004B49FC" w:rsidP="004623DD">
      <w:pPr>
        <w:rPr>
          <w:lang w:eastAsia="hr-HR"/>
        </w:rPr>
      </w:pPr>
      <w:r w:rsidRPr="00B47BDA">
        <w:rPr>
          <w:b/>
        </w:rPr>
        <w:t>Izvori financiranja:</w:t>
      </w:r>
      <w:r w:rsidRPr="00B47BDA">
        <w:t xml:space="preserve"> </w:t>
      </w:r>
      <w:r w:rsidR="008E051D">
        <w:rPr>
          <w:lang w:eastAsia="hr-HR"/>
        </w:rPr>
        <w:t>S</w:t>
      </w:r>
      <w:r w:rsidR="0083063F" w:rsidRPr="00B47BDA">
        <w:rPr>
          <w:lang w:eastAsia="hr-HR"/>
        </w:rPr>
        <w:t xml:space="preserve">redstva </w:t>
      </w:r>
      <w:r w:rsidR="00617916" w:rsidRPr="00B47BDA">
        <w:rPr>
          <w:lang w:eastAsia="hr-HR"/>
        </w:rPr>
        <w:t>obveznika sustava EU ETS-a</w:t>
      </w:r>
      <w:r w:rsidR="008435BF">
        <w:rPr>
          <w:lang w:eastAsia="hr-HR"/>
        </w:rPr>
        <w:t>.</w:t>
      </w:r>
    </w:p>
    <w:p w14:paraId="4EE4016B" w14:textId="54A3B8C6" w:rsidR="004B49FC" w:rsidRPr="00B47BDA" w:rsidRDefault="004B49FC" w:rsidP="004623DD">
      <w:r w:rsidRPr="003A2A86">
        <w:rPr>
          <w:b/>
          <w:bCs/>
        </w:rPr>
        <w:t>Izvršno tijelo:</w:t>
      </w:r>
      <w:r w:rsidRPr="00B47BDA">
        <w:t xml:space="preserve"> </w:t>
      </w:r>
      <w:r w:rsidR="003C53E3" w:rsidRPr="00D223F6">
        <w:t>Ministarstvo zaštite okoliša i zelene tranzicije</w:t>
      </w:r>
    </w:p>
    <w:p w14:paraId="1C1757C4" w14:textId="13B6F213" w:rsidR="004B49FC" w:rsidRPr="00B47BDA" w:rsidRDefault="004B49FC" w:rsidP="004623DD">
      <w:r w:rsidRPr="003A2A86">
        <w:rPr>
          <w:b/>
          <w:bCs/>
        </w:rPr>
        <w:t>Tijela za praćenje:</w:t>
      </w:r>
      <w:r w:rsidRPr="00B47BDA">
        <w:t xml:space="preserve"> </w:t>
      </w:r>
      <w:r w:rsidR="003C53E3" w:rsidRPr="00D223F6">
        <w:t>Ministarstvo zaštite okoliša i zelene tranzicije</w:t>
      </w:r>
    </w:p>
    <w:p w14:paraId="468EB146" w14:textId="58C06FAD" w:rsidR="004B49FC" w:rsidRPr="00B47BDA" w:rsidRDefault="004B49FC" w:rsidP="004623DD">
      <w:r w:rsidRPr="00B47BDA">
        <w:rPr>
          <w:b/>
        </w:rPr>
        <w:t>Učinak:</w:t>
      </w:r>
      <w:r w:rsidRPr="00B47BDA">
        <w:t xml:space="preserve"> Ciljano smanjenje emisije stakleničkih plinova je najmanje 2,2</w:t>
      </w:r>
      <w:r w:rsidR="002F1481">
        <w:t> </w:t>
      </w:r>
      <w:r w:rsidRPr="00B47BDA">
        <w:t>%</w:t>
      </w:r>
      <w:r w:rsidR="005840E8" w:rsidRPr="00B47BDA">
        <w:t xml:space="preserve"> godišnje</w:t>
      </w:r>
      <w:r w:rsidR="00B268FF" w:rsidRPr="00B47BDA">
        <w:t xml:space="preserve"> (</w:t>
      </w:r>
      <w:r w:rsidR="009E4766" w:rsidRPr="00B47BDA">
        <w:t xml:space="preserve">odnosno </w:t>
      </w:r>
      <w:r w:rsidR="005510F1" w:rsidRPr="00B47BDA">
        <w:t xml:space="preserve">novo ciljano smanjenje za </w:t>
      </w:r>
      <w:r w:rsidR="009E4766" w:rsidRPr="00B47BDA">
        <w:t>4,3</w:t>
      </w:r>
      <w:r w:rsidR="002F1481">
        <w:t> </w:t>
      </w:r>
      <w:r w:rsidRPr="00B47BDA">
        <w:t xml:space="preserve">% </w:t>
      </w:r>
      <w:r w:rsidR="005510F1" w:rsidRPr="00B47BDA">
        <w:t>od 2024. i 4,4</w:t>
      </w:r>
      <w:r w:rsidR="002F1481">
        <w:t> </w:t>
      </w:r>
      <w:r w:rsidR="005510F1" w:rsidRPr="00B47BDA">
        <w:t>% od 2028.),</w:t>
      </w:r>
      <w:r w:rsidRPr="00B47BDA">
        <w:t xml:space="preserve"> povećanjem energetske učinkovitosti, korištenjem obnovljivi</w:t>
      </w:r>
      <w:r w:rsidR="006265F7">
        <w:t>h</w:t>
      </w:r>
      <w:r w:rsidRPr="00B47BDA">
        <w:t xml:space="preserve"> izvor</w:t>
      </w:r>
      <w:r w:rsidR="00B82C05">
        <w:t>a</w:t>
      </w:r>
      <w:r w:rsidRPr="00B47BDA">
        <w:t xml:space="preserve"> energije i ostalim mjerama za smanjenje emisije (neželjeno: smanjenje proizvodnje u postrojenjima ili reduciranje broja i dužine letova zrakoplovnih tvrtki).</w:t>
      </w:r>
    </w:p>
    <w:p w14:paraId="6B33B7AC" w14:textId="7FBA9DFC" w:rsidR="004B49FC" w:rsidRPr="00B47BDA" w:rsidRDefault="004B49FC" w:rsidP="004623DD">
      <w:r w:rsidRPr="00B47BDA">
        <w:rPr>
          <w:b/>
        </w:rPr>
        <w:t>Metoda praćenja:</w:t>
      </w:r>
      <w:r w:rsidRPr="00B47BDA">
        <w:t xml:space="preserve"> Izrada i verifikacija izvješća o emisijama stakleničkih plinova</w:t>
      </w:r>
      <w:r w:rsidR="00A17CAC" w:rsidRPr="00B47BDA">
        <w:t>.</w:t>
      </w:r>
    </w:p>
    <w:p w14:paraId="3A1A3B3E" w14:textId="2747A8D8" w:rsidR="004B49FC" w:rsidRPr="00B47BDA" w:rsidRDefault="004B49FC" w:rsidP="004623DD">
      <w:r w:rsidRPr="63259912">
        <w:rPr>
          <w:b/>
          <w:bCs/>
        </w:rPr>
        <w:t>Povezanost s drugim dimenzijama:</w:t>
      </w:r>
      <w:r w:rsidRPr="63259912">
        <w:t xml:space="preserve"> Potiče se primjena obnovljivih izvora energije (dekarbonizacija) i povećanje energetske učinkovitosti, u cilju smanjenja emisije stakleničkih plinova </w:t>
      </w:r>
      <w:r w:rsidR="00D002ED" w:rsidRPr="63259912">
        <w:t>obveznika</w:t>
      </w:r>
      <w:r w:rsidRPr="63259912">
        <w:t xml:space="preserve"> EU ETS.</w:t>
      </w:r>
    </w:p>
    <w:p w14:paraId="7775B5DA" w14:textId="7B11D7FC" w:rsidR="004B49FC" w:rsidRPr="00B47BDA" w:rsidRDefault="004B49FC" w:rsidP="004623DD">
      <w:r w:rsidRPr="63259912">
        <w:rPr>
          <w:b/>
          <w:bCs/>
        </w:rPr>
        <w:t>Istraživanje i razvoj:</w:t>
      </w:r>
      <w:r w:rsidRPr="63259912">
        <w:t xml:space="preserve"> Inovacijski i Modernizacijski fondovi, u okviru EU ETS-a, sufinanciraju istraživanje i razvoj tehnologija bez emisija ili s malim emisijama stakleničkih plinova</w:t>
      </w:r>
      <w:r w:rsidR="00825CA4" w:rsidRPr="63259912">
        <w:t xml:space="preserve"> te primjenu dekarbonizacijskih mjera</w:t>
      </w:r>
      <w:r w:rsidRPr="63259912">
        <w:t>.</w:t>
      </w:r>
    </w:p>
    <w:p w14:paraId="24353F92" w14:textId="16E91E27" w:rsidR="00592986" w:rsidRPr="00B47BDA" w:rsidRDefault="00592986" w:rsidP="00CF06E5">
      <w:pPr>
        <w:pStyle w:val="Mjeranaslov"/>
      </w:pPr>
      <w:r w:rsidRPr="00447851">
        <w:rPr>
          <w:lang w:eastAsia="hr-HR"/>
        </w:rPr>
        <w:t>MS-</w:t>
      </w:r>
      <w:r w:rsidR="005361A2" w:rsidRPr="00447851">
        <w:rPr>
          <w:lang w:eastAsia="hr-HR"/>
        </w:rPr>
        <w:t>4</w:t>
      </w:r>
      <w:r w:rsidRPr="00447851">
        <w:rPr>
          <w:lang w:eastAsia="hr-HR"/>
        </w:rPr>
        <w:t xml:space="preserve"> </w:t>
      </w:r>
      <w:r w:rsidR="009352D3" w:rsidRPr="00B47BDA">
        <w:t>Strateško planiranje na regionalnoj i lokalnoj razini</w:t>
      </w:r>
    </w:p>
    <w:p w14:paraId="29D48EBF" w14:textId="64C86472" w:rsidR="00592986" w:rsidRPr="00B47BDA" w:rsidRDefault="00592986" w:rsidP="004623DD">
      <w:r w:rsidRPr="00B47BDA">
        <w:t>Organizacijska mjera</w:t>
      </w:r>
      <w:r w:rsidR="0055726D">
        <w:t xml:space="preserve"> (planiranje)</w:t>
      </w:r>
      <w:r w:rsidRPr="00B47BDA">
        <w:t>; provedba 202</w:t>
      </w:r>
      <w:r w:rsidR="009352D3" w:rsidRPr="00B47BDA">
        <w:t>4</w:t>
      </w:r>
      <w:r w:rsidRPr="00B47BDA">
        <w:t>.-2030.</w:t>
      </w:r>
    </w:p>
    <w:p w14:paraId="02A19498" w14:textId="77777777" w:rsidR="005852CE" w:rsidRPr="00B47BDA" w:rsidRDefault="00592986" w:rsidP="004623DD">
      <w:r w:rsidRPr="00B47BDA">
        <w:rPr>
          <w:b/>
        </w:rPr>
        <w:t>Cilj i opis mjere:</w:t>
      </w:r>
      <w:r w:rsidRPr="00B47BDA">
        <w:t xml:space="preserve"> </w:t>
      </w:r>
      <w:r w:rsidR="005852CE" w:rsidRPr="00B47BDA">
        <w:t xml:space="preserve">U postizanju klimatskih ciljeva važnu ulogu ima područna (regionalna) i lokalna samouprava (JLP(R)S) koja kroz strateško planiranje definira mjere za ublažavanje klimatskim promjenama i za prilagodbu klimatskim promjenama za svoje teritorijalno područje. </w:t>
      </w:r>
    </w:p>
    <w:p w14:paraId="14075BFF" w14:textId="11BE4DD4" w:rsidR="003F184D" w:rsidRPr="00B47BDA" w:rsidRDefault="005852CE" w:rsidP="004623DD">
      <w:r w:rsidRPr="00B47BDA">
        <w:t xml:space="preserve">Županije, Grad Zagreb i veliki gradovi u obvezi su donijeti programe ublažavanja klimatskih promjena, prilagodbe klimatskim promjenama i zaštite ozonskog sloja koji je sastavni dio krovnog programa zaštite okoliša (Zakon o klimatskim promjenama i zaštiti ozonskog sloja, </w:t>
      </w:r>
      <w:r w:rsidR="00C142DF">
        <w:t>„</w:t>
      </w:r>
      <w:r w:rsidR="00071A4F" w:rsidRPr="00071A4F">
        <w:t xml:space="preserve">Narodne </w:t>
      </w:r>
      <w:r w:rsidR="00A97AE7">
        <w:t>novine</w:t>
      </w:r>
      <w:r w:rsidR="00C142DF">
        <w:t>“</w:t>
      </w:r>
      <w:r w:rsidR="00071A4F" w:rsidRPr="00071A4F">
        <w:t xml:space="preserve">, </w:t>
      </w:r>
      <w:r w:rsidR="00004BB0">
        <w:t>br</w:t>
      </w:r>
      <w:r w:rsidR="00BE7EA3">
        <w:t>.</w:t>
      </w:r>
      <w:r w:rsidRPr="00B47BDA">
        <w:t xml:space="preserve"> 127/19</w:t>
      </w:r>
      <w:r w:rsidR="00C142DF">
        <w:t>.</w:t>
      </w:r>
      <w:r w:rsidRPr="00B47BDA">
        <w:t xml:space="preserve">). Programe zaštite okoliša donosi predstavničko tijelo županije, </w:t>
      </w:r>
      <w:r w:rsidRPr="00B47BDA">
        <w:lastRenderedPageBreak/>
        <w:t xml:space="preserve">grada Zagreba i velikog grada za četverogodišnje </w:t>
      </w:r>
      <w:r w:rsidR="000C59F3" w:rsidRPr="00B47BDA">
        <w:t xml:space="preserve">razdoblje </w:t>
      </w:r>
      <w:r w:rsidRPr="00B47BDA">
        <w:t>nakon čega se izrađuju izvješća o provedbi Programa (Zakon o zaštiti okoliša</w:t>
      </w:r>
      <w:r w:rsidR="006E5D05">
        <w:t>,</w:t>
      </w:r>
      <w:r w:rsidRPr="00B47BDA">
        <w:t xml:space="preserve"> </w:t>
      </w:r>
      <w:r w:rsidR="00C142DF">
        <w:t>„</w:t>
      </w:r>
      <w:r w:rsidR="00071A4F" w:rsidRPr="00071A4F">
        <w:t xml:space="preserve">Narodne </w:t>
      </w:r>
      <w:r w:rsidR="00A97AE7">
        <w:t>novine</w:t>
      </w:r>
      <w:r w:rsidR="00C142DF">
        <w:t>“</w:t>
      </w:r>
      <w:r w:rsidR="00071A4F" w:rsidRPr="00071A4F">
        <w:t>, br</w:t>
      </w:r>
      <w:r w:rsidR="006E5D05">
        <w:t>.</w:t>
      </w:r>
      <w:r w:rsidRPr="00B47BDA">
        <w:t xml:space="preserve"> 80</w:t>
      </w:r>
      <w:r w:rsidR="005B41DA">
        <w:t>/13</w:t>
      </w:r>
      <w:r w:rsidR="00C142DF">
        <w:t>.</w:t>
      </w:r>
      <w:r w:rsidRPr="00B47BDA">
        <w:t>, 153</w:t>
      </w:r>
      <w:r w:rsidR="005B41DA">
        <w:t>/13</w:t>
      </w:r>
      <w:r w:rsidR="00C142DF">
        <w:t>.</w:t>
      </w:r>
      <w:r w:rsidRPr="00B47BDA">
        <w:t>, 78</w:t>
      </w:r>
      <w:r w:rsidR="005B41DA">
        <w:t>/15</w:t>
      </w:r>
      <w:r w:rsidR="00C142DF">
        <w:t>.</w:t>
      </w:r>
      <w:r w:rsidRPr="00B47BDA">
        <w:t>, 12</w:t>
      </w:r>
      <w:r w:rsidR="005B41DA">
        <w:t>/18</w:t>
      </w:r>
      <w:r w:rsidR="00C142DF">
        <w:t>.</w:t>
      </w:r>
      <w:r w:rsidRPr="00B47BDA">
        <w:t xml:space="preserve"> i 118</w:t>
      </w:r>
      <w:r w:rsidR="005B41DA">
        <w:t>/18</w:t>
      </w:r>
      <w:r w:rsidR="00AB12CF">
        <w:t>.</w:t>
      </w:r>
      <w:r w:rsidRPr="00B47BDA">
        <w:t xml:space="preserve">). Od 37 obveznika njih 8 ima usvojene Programe zaštite okoliša s programima ublažavanja klimatskih promjena, prilagodbe klimatskim promjenama i zaštite ozonskog sloja </w:t>
      </w:r>
      <w:r w:rsidR="003F184D" w:rsidRPr="00B47BDA">
        <w:t xml:space="preserve">(http://dokumenti.azo.hr/). </w:t>
      </w:r>
    </w:p>
    <w:p w14:paraId="1B253947" w14:textId="77777777" w:rsidR="00B27C66" w:rsidRPr="00B47BDA" w:rsidRDefault="00B27C66" w:rsidP="004623DD">
      <w:r w:rsidRPr="00B47BDA">
        <w:t xml:space="preserve">Europska komisija pokrenula je 2008. inicijativu pod nazivom Europski sporazum gradonačelnika za klimu i energiju kako bi potakla lokalnu vlast na provedbu klimatskih i energetskih ciljeva i pomogla im u tome. Gradovi i općine se dobrovoljno uključuju pojedinačno ili zajednički na način da se potpisom na Povelju obvežu djelovati i izraditi Akcijski plan održivog energetskog razvoja i prilagodbe klimatskim promjenama (SECAP) te da će o njegovoj provedbi svake dvije godine izvješćivati. </w:t>
      </w:r>
    </w:p>
    <w:p w14:paraId="5A74EC88" w14:textId="091A0C9B" w:rsidR="00592986" w:rsidRPr="00B47BDA" w:rsidRDefault="00B27C66" w:rsidP="004623DD">
      <w:r w:rsidRPr="00B47BDA">
        <w:t xml:space="preserve">Ovu inicijativu je u RH prihvatilo više od </w:t>
      </w:r>
      <w:r w:rsidR="006448D7" w:rsidRPr="00B47BDA">
        <w:t>1</w:t>
      </w:r>
      <w:r w:rsidR="005E348B">
        <w:t>6</w:t>
      </w:r>
      <w:r w:rsidR="006448D7" w:rsidRPr="00B47BDA">
        <w:t>0</w:t>
      </w:r>
      <w:r w:rsidRPr="00B47BDA">
        <w:t xml:space="preserve"> grad</w:t>
      </w:r>
      <w:r w:rsidR="00E15556">
        <w:t>ov</w:t>
      </w:r>
      <w:r w:rsidRPr="00B47BDA">
        <w:t>a i općin</w:t>
      </w:r>
      <w:r w:rsidR="00E15556">
        <w:t>a</w:t>
      </w:r>
      <w:r w:rsidRPr="00B47BDA">
        <w:t xml:space="preserve">, tako da je Sporazumom gradonačelnika obuhvaćeno preko 2 milijuna stanovnika u RH ali ih samo </w:t>
      </w:r>
      <w:r w:rsidR="00081A9A" w:rsidRPr="00B47BDA">
        <w:t>dio</w:t>
      </w:r>
      <w:r w:rsidRPr="00B47BDA">
        <w:t xml:space="preserve"> ima usvojene dokumente </w:t>
      </w:r>
      <w:r w:rsidR="001E3B82" w:rsidRPr="00B47BDA">
        <w:t xml:space="preserve">i izrađena </w:t>
      </w:r>
      <w:r w:rsidRPr="00B47BDA">
        <w:t>izvješća</w:t>
      </w:r>
      <w:r w:rsidR="003F184D" w:rsidRPr="00B47BDA">
        <w:t>.</w:t>
      </w:r>
    </w:p>
    <w:p w14:paraId="53687D29" w14:textId="2910BDE0" w:rsidR="00217D01" w:rsidRPr="00B47BDA" w:rsidRDefault="00217D01" w:rsidP="004623DD">
      <w:r w:rsidRPr="00B47BDA">
        <w:t>Stoga je cilj ove mjere poboljšati strateško planiranje na regionalnoj i lokalnoj razini</w:t>
      </w:r>
      <w:r w:rsidR="00A038C0" w:rsidRPr="00B47BDA">
        <w:t>.</w:t>
      </w:r>
    </w:p>
    <w:p w14:paraId="52A3119F" w14:textId="77777777" w:rsidR="00592986" w:rsidRPr="00B47BDA" w:rsidRDefault="00592986" w:rsidP="004623DD">
      <w:r w:rsidRPr="00B47BDA">
        <w:rPr>
          <w:b/>
        </w:rPr>
        <w:t>Aktivnosti:</w:t>
      </w:r>
      <w:r w:rsidRPr="00B47BDA">
        <w:t xml:space="preserve"> U okviru mjere provest će se: </w:t>
      </w:r>
    </w:p>
    <w:p w14:paraId="72740124" w14:textId="17033835" w:rsidR="006E58F0" w:rsidRPr="00EB031F" w:rsidRDefault="003613E2" w:rsidP="0063371A">
      <w:pPr>
        <w:pStyle w:val="ListParagraph"/>
        <w:numPr>
          <w:ilvl w:val="0"/>
          <w:numId w:val="51"/>
        </w:numPr>
        <w:spacing w:after="80"/>
        <w:ind w:left="714" w:hanging="357"/>
      </w:pPr>
      <w:r w:rsidRPr="63259912">
        <w:t>I</w:t>
      </w:r>
      <w:r w:rsidR="004F390B" w:rsidRPr="63259912">
        <w:t xml:space="preserve">ntegriranje </w:t>
      </w:r>
      <w:r w:rsidR="006E58F0" w:rsidRPr="63259912">
        <w:t xml:space="preserve">niskougljičnih i mjera prilagodbe klimatskih promjena </w:t>
      </w:r>
      <w:r w:rsidR="00773E66" w:rsidRPr="63259912">
        <w:t>u</w:t>
      </w:r>
      <w:r w:rsidR="00FD6B6F" w:rsidRPr="63259912">
        <w:t xml:space="preserve"> financijski plan </w:t>
      </w:r>
      <w:r w:rsidR="00773E66" w:rsidRPr="63259912">
        <w:t>regionalne i lokalne samouprave</w:t>
      </w:r>
      <w:r w:rsidRPr="63259912">
        <w:t>;</w:t>
      </w:r>
    </w:p>
    <w:p w14:paraId="675CC43A" w14:textId="7BBBABE3" w:rsidR="006E58F0" w:rsidRPr="00EB031F" w:rsidRDefault="006E58F0" w:rsidP="0063371A">
      <w:pPr>
        <w:pStyle w:val="ListParagraph"/>
        <w:numPr>
          <w:ilvl w:val="0"/>
          <w:numId w:val="51"/>
        </w:numPr>
        <w:spacing w:after="80"/>
        <w:ind w:left="714" w:hanging="357"/>
      </w:pPr>
      <w:r>
        <w:t>Razvoj sustava za p</w:t>
      </w:r>
      <w:r w:rsidRPr="00EB031F">
        <w:t xml:space="preserve">raćenje </w:t>
      </w:r>
      <w:r>
        <w:t xml:space="preserve">i ocjenjivanje </w:t>
      </w:r>
      <w:r w:rsidRPr="00EB031F">
        <w:t xml:space="preserve">napretka u ostvarivanju </w:t>
      </w:r>
      <w:r>
        <w:t xml:space="preserve">klimatskih i energetskih </w:t>
      </w:r>
      <w:r w:rsidRPr="00EB031F">
        <w:t>cilj</w:t>
      </w:r>
      <w:r>
        <w:t xml:space="preserve">eva </w:t>
      </w:r>
      <w:r w:rsidRPr="00EB031F">
        <w:t>postavljen</w:t>
      </w:r>
      <w:r>
        <w:t>ih</w:t>
      </w:r>
      <w:r w:rsidRPr="00EB031F">
        <w:t xml:space="preserve"> u </w:t>
      </w:r>
      <w:r>
        <w:t>planskim dokumentima regionalne i lokalne samouprave</w:t>
      </w:r>
      <w:r w:rsidRPr="00EB031F">
        <w:t>;</w:t>
      </w:r>
    </w:p>
    <w:p w14:paraId="5FBD72BC" w14:textId="2978E58A" w:rsidR="79F1AA1D" w:rsidRDefault="79F1AA1D" w:rsidP="0063371A">
      <w:pPr>
        <w:pStyle w:val="ListParagraph"/>
        <w:numPr>
          <w:ilvl w:val="0"/>
          <w:numId w:val="51"/>
        </w:numPr>
        <w:spacing w:after="80"/>
        <w:ind w:left="714" w:hanging="357"/>
      </w:pPr>
      <w:r w:rsidRPr="63259912">
        <w:t xml:space="preserve">Izrada smjernica za praćenje i izvješćivanje niskougljičnih i mjera </w:t>
      </w:r>
      <w:r w:rsidR="07DC0008" w:rsidRPr="63259912">
        <w:t>prilagodbe</w:t>
      </w:r>
      <w:r w:rsidRPr="63259912">
        <w:t xml:space="preserve"> klimatskim promjenama iz planski</w:t>
      </w:r>
      <w:r w:rsidR="591142A0" w:rsidRPr="63259912">
        <w:t>h dokumenata regionalne i lokalne samouprave</w:t>
      </w:r>
      <w:r w:rsidR="003613E2" w:rsidRPr="63259912">
        <w:t>.</w:t>
      </w:r>
    </w:p>
    <w:p w14:paraId="02537705" w14:textId="77777777" w:rsidR="00BF24C1" w:rsidRPr="00B47BDA" w:rsidRDefault="00BF24C1" w:rsidP="00BF24C1">
      <w:pPr>
        <w:pStyle w:val="ListParagraph"/>
        <w:ind w:left="720"/>
      </w:pPr>
    </w:p>
    <w:p w14:paraId="7CC863E1" w14:textId="6C71848A" w:rsidR="00E478AE" w:rsidRPr="00B47BDA" w:rsidRDefault="00E478AE" w:rsidP="004623DD">
      <w:r w:rsidRPr="00B47BDA">
        <w:rPr>
          <w:b/>
        </w:rPr>
        <w:t>Izvori financiranja:</w:t>
      </w:r>
      <w:r w:rsidRPr="00B47BDA">
        <w:t xml:space="preserve"> </w:t>
      </w:r>
      <w:r w:rsidR="00C14C96" w:rsidRPr="00B47BDA">
        <w:t>FZOEU</w:t>
      </w:r>
      <w:r w:rsidR="00C14C96">
        <w:t xml:space="preserve"> </w:t>
      </w:r>
      <w:r w:rsidR="0089583E">
        <w:t>- p</w:t>
      </w:r>
      <w:r w:rsidR="00BE4A64" w:rsidRPr="00BE4A64">
        <w:t>rihodi od prodaje emisijskih jedinica iz EU ETS-a.</w:t>
      </w:r>
      <w:r w:rsidRPr="00B47BDA">
        <w:t xml:space="preserve">, </w:t>
      </w:r>
      <w:r w:rsidR="006E58F0">
        <w:t>JLP(R)S</w:t>
      </w:r>
      <w:r w:rsidR="006E58F0" w:rsidRPr="00696712">
        <w:t xml:space="preserve">, EU </w:t>
      </w:r>
      <w:r w:rsidR="006E58F0">
        <w:t>fondovi.</w:t>
      </w:r>
    </w:p>
    <w:p w14:paraId="2EAC9DC9" w14:textId="7ADF75A9" w:rsidR="00E478AE" w:rsidRPr="00B47BDA" w:rsidRDefault="00E478AE" w:rsidP="004623DD">
      <w:r w:rsidRPr="003A2A86">
        <w:rPr>
          <w:b/>
          <w:bCs/>
        </w:rPr>
        <w:t>Izvršno tijelo:</w:t>
      </w:r>
      <w:r w:rsidR="00772F66">
        <w:rPr>
          <w:b/>
          <w:bCs/>
        </w:rPr>
        <w:t xml:space="preserve"> </w:t>
      </w:r>
      <w:r w:rsidR="0089583E">
        <w:t>JLP(R)S</w:t>
      </w:r>
      <w:r w:rsidR="001F37E5">
        <w:t>.</w:t>
      </w:r>
    </w:p>
    <w:p w14:paraId="2F2DE2FD" w14:textId="262D69B1" w:rsidR="00E478AE" w:rsidRPr="00B47BDA" w:rsidRDefault="00E478AE" w:rsidP="004623DD">
      <w:r w:rsidRPr="003A2A86">
        <w:rPr>
          <w:b/>
          <w:bCs/>
        </w:rPr>
        <w:t>Tijela za praćenje:</w:t>
      </w:r>
      <w:r w:rsidRPr="00B47BDA">
        <w:t xml:space="preserve"> </w:t>
      </w:r>
      <w:r w:rsidR="00F60DFD">
        <w:t>MZOZT</w:t>
      </w:r>
      <w:r w:rsidR="001F37E5">
        <w:t>.</w:t>
      </w:r>
    </w:p>
    <w:p w14:paraId="0E69DBE1" w14:textId="4DEA78EF" w:rsidR="00592986" w:rsidRPr="00B47BDA" w:rsidRDefault="00592986" w:rsidP="004623DD">
      <w:r w:rsidRPr="00B47BDA">
        <w:rPr>
          <w:b/>
        </w:rPr>
        <w:t>Učinak:</w:t>
      </w:r>
      <w:r w:rsidRPr="00B47BDA">
        <w:t xml:space="preserve"> Smanjenje energetske potrošnje i emisija stakleničkih plinova</w:t>
      </w:r>
      <w:r w:rsidR="00292263" w:rsidRPr="00B47BDA">
        <w:t>.</w:t>
      </w:r>
    </w:p>
    <w:p w14:paraId="0E2503A9" w14:textId="14A74E2E" w:rsidR="00592986" w:rsidRPr="00B47BDA" w:rsidRDefault="00592986" w:rsidP="004623DD">
      <w:r w:rsidRPr="00B47BDA">
        <w:rPr>
          <w:b/>
        </w:rPr>
        <w:t>Metoda praćenja:</w:t>
      </w:r>
      <w:r w:rsidRPr="00B47BDA">
        <w:t xml:space="preserve"> </w:t>
      </w:r>
      <w:r w:rsidR="000D6477">
        <w:t>I</w:t>
      </w:r>
      <w:r w:rsidR="006E58F0" w:rsidRPr="00EB031F">
        <w:t xml:space="preserve">zvješća o napretku u provedbi </w:t>
      </w:r>
      <w:r w:rsidR="006E58F0" w:rsidRPr="00A64E7B">
        <w:t>planski</w:t>
      </w:r>
      <w:r w:rsidR="006E58F0">
        <w:t>h</w:t>
      </w:r>
      <w:r w:rsidR="006E58F0" w:rsidRPr="00A64E7B">
        <w:t xml:space="preserve"> dokumen</w:t>
      </w:r>
      <w:r w:rsidR="006E58F0">
        <w:t xml:space="preserve">ata </w:t>
      </w:r>
      <w:r w:rsidR="006E58F0" w:rsidRPr="00A64E7B">
        <w:t>regionalne i lokalne samouprave</w:t>
      </w:r>
      <w:r w:rsidR="006E58F0">
        <w:t xml:space="preserve"> za klimu i energiju.</w:t>
      </w:r>
    </w:p>
    <w:p w14:paraId="3D0A115C" w14:textId="493887A6" w:rsidR="00592986" w:rsidRPr="00B47BDA" w:rsidRDefault="00592986" w:rsidP="004623DD">
      <w:r w:rsidRPr="63259912">
        <w:rPr>
          <w:b/>
          <w:bCs/>
        </w:rPr>
        <w:t>Povezanost s drugim dimenzijama:</w:t>
      </w:r>
      <w:r w:rsidRPr="63259912">
        <w:t xml:space="preserve"> </w:t>
      </w:r>
      <w:r w:rsidR="000D6477" w:rsidRPr="63259912">
        <w:t>P</w:t>
      </w:r>
      <w:r w:rsidR="00844B67" w:rsidRPr="63259912">
        <w:t xml:space="preserve">lanski dokumenti regionalne i lokalne samouprave za klimu i energiju potiču primjenu </w:t>
      </w:r>
      <w:r w:rsidRPr="63259912">
        <w:t>obnovljivih izvora energije (dekarbonizacija) i povećanje energetske učinkovitosti, u cilju smanjenja emisije stakleničkih plinova.</w:t>
      </w:r>
    </w:p>
    <w:p w14:paraId="6F459038" w14:textId="6CADC604" w:rsidR="00592986" w:rsidRPr="00B47BDA" w:rsidRDefault="00592986" w:rsidP="004623DD">
      <w:r w:rsidRPr="00B47BDA">
        <w:rPr>
          <w:b/>
        </w:rPr>
        <w:t>Istraživanje i razvoj:</w:t>
      </w:r>
      <w:r w:rsidRPr="00B47BDA">
        <w:t xml:space="preserve"> Mjera je neizravno povezana s istraživanjem i razvojem te inovativnim mjerama za smanjenje emisije stakleničkih plinova.</w:t>
      </w:r>
    </w:p>
    <w:p w14:paraId="021943C6" w14:textId="6A5F7D38" w:rsidR="00534D61" w:rsidRPr="00B47BDA" w:rsidRDefault="004506FD" w:rsidP="00102389">
      <w:pPr>
        <w:pStyle w:val="Mjeranaslov"/>
      </w:pPr>
      <w:r w:rsidRPr="00B47BDA">
        <w:t>MS-</w:t>
      </w:r>
      <w:r w:rsidR="00200970">
        <w:t>5</w:t>
      </w:r>
      <w:r w:rsidR="00534D61" w:rsidRPr="00B47BDA">
        <w:t xml:space="preserve"> </w:t>
      </w:r>
      <w:r w:rsidR="00F45644">
        <w:t>Razvoj i implementacija projekata</w:t>
      </w:r>
      <w:r w:rsidR="00F45644" w:rsidRPr="00B47BDA">
        <w:t xml:space="preserve"> </w:t>
      </w:r>
      <w:r w:rsidR="001F14AC" w:rsidRPr="00B47BDA">
        <w:t>prikupljanj</w:t>
      </w:r>
      <w:r w:rsidR="00F45644">
        <w:t>a</w:t>
      </w:r>
      <w:r w:rsidR="001F14AC" w:rsidRPr="00B47BDA">
        <w:t xml:space="preserve">, </w:t>
      </w:r>
      <w:r w:rsidR="00F45644">
        <w:t>transporta</w:t>
      </w:r>
      <w:r w:rsidR="001F14AC" w:rsidRPr="00B47BDA">
        <w:t xml:space="preserve"> i </w:t>
      </w:r>
      <w:r w:rsidR="00534D61" w:rsidRPr="00B47BDA">
        <w:t>skladištenj</w:t>
      </w:r>
      <w:r w:rsidR="00F45644">
        <w:t>a</w:t>
      </w:r>
      <w:r w:rsidR="00534D61" w:rsidRPr="00B47BDA">
        <w:t xml:space="preserve"> CO</w:t>
      </w:r>
      <w:r w:rsidR="00534D61" w:rsidRPr="00B47BDA">
        <w:rPr>
          <w:vertAlign w:val="subscript"/>
        </w:rPr>
        <w:t>2</w:t>
      </w:r>
      <w:r w:rsidR="006466F4">
        <w:rPr>
          <w:vertAlign w:val="subscript"/>
        </w:rPr>
        <w:t xml:space="preserve"> </w:t>
      </w:r>
      <w:r w:rsidR="00F45644">
        <w:t>(CCS)</w:t>
      </w:r>
      <w:r w:rsidR="004A4CB5">
        <w:t xml:space="preserve"> </w:t>
      </w:r>
    </w:p>
    <w:p w14:paraId="753153EA" w14:textId="77777777" w:rsidR="006665A1" w:rsidRPr="00B47BDA" w:rsidRDefault="006665A1" w:rsidP="004623DD">
      <w:r w:rsidRPr="00B47BDA">
        <w:t>Istraživačko-analitička mjera; Financijska mjera; provedba 2021.-2030.</w:t>
      </w:r>
    </w:p>
    <w:p w14:paraId="42976960" w14:textId="314BC0A6" w:rsidR="00C3207C" w:rsidRDefault="006665A1" w:rsidP="001530D1">
      <w:r w:rsidRPr="00B47BDA">
        <w:rPr>
          <w:b/>
        </w:rPr>
        <w:lastRenderedPageBreak/>
        <w:t>Cilj i opis mjere:</w:t>
      </w:r>
      <w:r w:rsidRPr="00B47BDA">
        <w:t xml:space="preserve"> </w:t>
      </w:r>
      <w:r w:rsidR="00310BC8" w:rsidRPr="00177207">
        <w:t>Tehnologije za hvatanje, skladištenje i korištenje CO</w:t>
      </w:r>
      <w:r w:rsidR="00310BC8" w:rsidRPr="00915E95">
        <w:rPr>
          <w:vertAlign w:val="subscript"/>
        </w:rPr>
        <w:t>2</w:t>
      </w:r>
      <w:r w:rsidR="00310BC8" w:rsidRPr="00177207">
        <w:t xml:space="preserve"> jedno </w:t>
      </w:r>
      <w:r w:rsidR="00310BC8">
        <w:t xml:space="preserve">su </w:t>
      </w:r>
      <w:r w:rsidR="00310BC8" w:rsidRPr="00177207">
        <w:t xml:space="preserve">od </w:t>
      </w:r>
      <w:r w:rsidR="00310BC8">
        <w:t>mogućih</w:t>
      </w:r>
      <w:r w:rsidR="00310BC8" w:rsidRPr="00177207">
        <w:t xml:space="preserve"> rješenja za smanjenje emisija </w:t>
      </w:r>
      <w:r w:rsidR="00310BC8">
        <w:t xml:space="preserve">stakleničkih plinova </w:t>
      </w:r>
      <w:r w:rsidR="00310BC8" w:rsidRPr="00177207">
        <w:t xml:space="preserve">u industriji. Korištenje </w:t>
      </w:r>
      <w:r w:rsidR="006F06EB">
        <w:t>ove tehnologije</w:t>
      </w:r>
      <w:r w:rsidR="00310BC8" w:rsidRPr="00177207">
        <w:t xml:space="preserve"> može smanjiti emisije u </w:t>
      </w:r>
      <w:r w:rsidR="006F06EB">
        <w:t xml:space="preserve">pojedinim industrijskim granama gdje je to </w:t>
      </w:r>
      <w:r w:rsidR="00E01C74">
        <w:t>drugim mjerama teško provedivo</w:t>
      </w:r>
      <w:r w:rsidR="00310BC8" w:rsidRPr="00177207">
        <w:t>, kao što su industrija cementa, čelika, kemijska ili petrokemijska industrija. Investicijske odluke i sudjelovanje operatera u CCS projektima ovisit će o nizu čimbenika, kao što su, između ostalog, troškovi emisijskih jedinica, cijene goriva i električne energije, kao i dostupnost alternativa za smanjenje emisija CO</w:t>
      </w:r>
      <w:r w:rsidR="00310BC8" w:rsidRPr="00915E95">
        <w:rPr>
          <w:vertAlign w:val="subscript"/>
        </w:rPr>
        <w:t>2</w:t>
      </w:r>
      <w:r w:rsidR="00310BC8" w:rsidRPr="00177207">
        <w:t xml:space="preserve">. Izazov za razvoj CCS projekata je visoka cijena izgradnje infrastrukture i potreba za koordinacijom duž cijelog lanca vrijednosti. Konačna procjena potencijala za razvoj CCS tehnologije </w:t>
      </w:r>
      <w:r w:rsidR="00DD2079">
        <w:t xml:space="preserve">u Hrvatskoj </w:t>
      </w:r>
      <w:r w:rsidR="00310BC8" w:rsidRPr="00177207">
        <w:t xml:space="preserve">također ovisi o </w:t>
      </w:r>
      <w:r w:rsidR="00DD2079">
        <w:t>detaljnoj</w:t>
      </w:r>
      <w:r w:rsidR="00310BC8" w:rsidRPr="00177207">
        <w:t xml:space="preserve"> procjen</w:t>
      </w:r>
      <w:r w:rsidR="00DD2079">
        <w:t>i</w:t>
      </w:r>
      <w:r w:rsidR="00310BC8" w:rsidRPr="00177207">
        <w:t xml:space="preserve"> kapaciteta </w:t>
      </w:r>
      <w:r w:rsidR="00DD2079">
        <w:t xml:space="preserve">za </w:t>
      </w:r>
      <w:r w:rsidR="00310BC8" w:rsidRPr="00177207">
        <w:t>skladištenj</w:t>
      </w:r>
      <w:r w:rsidR="00DD2079">
        <w:t>e</w:t>
      </w:r>
      <w:r w:rsidR="00310BC8" w:rsidRPr="00177207">
        <w:t xml:space="preserve"> CO</w:t>
      </w:r>
      <w:r w:rsidR="00310BC8" w:rsidRPr="00915E95">
        <w:rPr>
          <w:vertAlign w:val="subscript"/>
        </w:rPr>
        <w:t>2</w:t>
      </w:r>
      <w:r w:rsidR="00310BC8" w:rsidRPr="00177207">
        <w:t>.</w:t>
      </w:r>
    </w:p>
    <w:p w14:paraId="73296080" w14:textId="22769AF9" w:rsidR="000E3930" w:rsidRDefault="62E120BD" w:rsidP="008E051D">
      <w:r w:rsidRPr="63259912">
        <w:t>Problematika geološkog skladištenja CO</w:t>
      </w:r>
      <w:r w:rsidRPr="63259912">
        <w:rPr>
          <w:vertAlign w:val="subscript"/>
        </w:rPr>
        <w:t>2</w:t>
      </w:r>
      <w:r w:rsidR="013D3152" w:rsidRPr="63259912">
        <w:t xml:space="preserve"> obuhvaćena je</w:t>
      </w:r>
      <w:r w:rsidR="707DD008" w:rsidRPr="63259912">
        <w:t xml:space="preserve"> Zakonom o istraživanju i eksploataciji ugljikovodika (</w:t>
      </w:r>
      <w:r w:rsidR="00E42ADD" w:rsidRPr="63259912">
        <w:t>„</w:t>
      </w:r>
      <w:r w:rsidR="00071A4F" w:rsidRPr="63259912">
        <w:t xml:space="preserve">Narodne </w:t>
      </w:r>
      <w:r w:rsidR="00A97AE7" w:rsidRPr="63259912">
        <w:t>novine</w:t>
      </w:r>
      <w:r w:rsidR="00E42ADD" w:rsidRPr="63259912">
        <w:t>“</w:t>
      </w:r>
      <w:r w:rsidR="00071A4F" w:rsidRPr="63259912">
        <w:t>, br</w:t>
      </w:r>
      <w:r w:rsidR="00DD3E9C" w:rsidRPr="63259912">
        <w:t>.</w:t>
      </w:r>
      <w:r w:rsidR="707DD008" w:rsidRPr="63259912">
        <w:t xml:space="preserve"> 52</w:t>
      </w:r>
      <w:r w:rsidR="005B41DA" w:rsidRPr="63259912">
        <w:t>/18</w:t>
      </w:r>
      <w:r w:rsidR="00E42ADD" w:rsidRPr="63259912">
        <w:t>.</w:t>
      </w:r>
      <w:r w:rsidR="707DD008" w:rsidRPr="63259912">
        <w:t>, 52</w:t>
      </w:r>
      <w:r w:rsidR="005B41DA" w:rsidRPr="63259912">
        <w:t>/19</w:t>
      </w:r>
      <w:r w:rsidR="00E42ADD" w:rsidRPr="63259912">
        <w:t>.</w:t>
      </w:r>
      <w:r w:rsidR="3040574D" w:rsidRPr="63259912">
        <w:t>, 30</w:t>
      </w:r>
      <w:r w:rsidR="005B41DA" w:rsidRPr="63259912">
        <w:t>/21</w:t>
      </w:r>
      <w:r w:rsidR="00E42ADD" w:rsidRPr="63259912">
        <w:t>.</w:t>
      </w:r>
      <w:r w:rsidR="30D13518" w:rsidRPr="63259912">
        <w:t>)</w:t>
      </w:r>
      <w:r w:rsidR="707DD008" w:rsidRPr="63259912">
        <w:t xml:space="preserve"> koji omogućuje skladištenje CO</w:t>
      </w:r>
      <w:r w:rsidR="707DD008" w:rsidRPr="63259912">
        <w:rPr>
          <w:vertAlign w:val="subscript"/>
        </w:rPr>
        <w:t>2</w:t>
      </w:r>
      <w:r w:rsidR="707DD008" w:rsidRPr="63259912">
        <w:t xml:space="preserve"> na prostoru Republike Hrvatske. Ova metoda se treba još dodatno razviti te se trebaju razmotriti potencijali i mogućnosti za ovu tehnologiju na razini države. </w:t>
      </w:r>
      <w:r w:rsidR="42BA5575" w:rsidRPr="63259912">
        <w:t xml:space="preserve">Do kraja 2026. godine provest će se </w:t>
      </w:r>
      <w:r w:rsidR="719C0C8A" w:rsidRPr="63259912">
        <w:t xml:space="preserve">pilot projekt </w:t>
      </w:r>
      <w:r w:rsidR="38D5165F" w:rsidRPr="63259912">
        <w:t xml:space="preserve">kojim će se omogućiti </w:t>
      </w:r>
      <w:r w:rsidR="18575653" w:rsidRPr="63259912">
        <w:t xml:space="preserve">razvoj i komercijalizacija </w:t>
      </w:r>
      <w:r w:rsidR="5DD2286A" w:rsidRPr="63259912">
        <w:t xml:space="preserve">procesa </w:t>
      </w:r>
      <w:r w:rsidR="5D3205EB" w:rsidRPr="63259912">
        <w:t>hvatanja i skladištenja CO</w:t>
      </w:r>
      <w:r w:rsidR="5D3205EB" w:rsidRPr="63259912">
        <w:rPr>
          <w:vertAlign w:val="subscript"/>
        </w:rPr>
        <w:t>2</w:t>
      </w:r>
      <w:r w:rsidR="5D3205EB" w:rsidRPr="63259912">
        <w:t xml:space="preserve"> za koji je </w:t>
      </w:r>
      <w:r w:rsidR="48B8356D" w:rsidRPr="63259912">
        <w:t xml:space="preserve">kroz </w:t>
      </w:r>
      <w:r w:rsidR="180B0085" w:rsidRPr="63259912">
        <w:t xml:space="preserve">NPOO </w:t>
      </w:r>
      <w:r w:rsidR="60554C52" w:rsidRPr="63259912">
        <w:t xml:space="preserve">predviđena </w:t>
      </w:r>
      <w:r w:rsidR="4F8D5A20" w:rsidRPr="63259912">
        <w:t xml:space="preserve">investicija u </w:t>
      </w:r>
      <w:r w:rsidR="380DA750" w:rsidRPr="63259912">
        <w:t xml:space="preserve">iznosu od oko </w:t>
      </w:r>
      <w:r w:rsidR="34CEC0A6" w:rsidRPr="63259912">
        <w:t>14 milijuna EUR</w:t>
      </w:r>
      <w:r w:rsidR="5EFC865B" w:rsidRPr="63259912">
        <w:t>.</w:t>
      </w:r>
      <w:r w:rsidR="3F0028FD" w:rsidRPr="63259912">
        <w:t xml:space="preserve"> </w:t>
      </w:r>
      <w:r w:rsidR="612E3E76" w:rsidRPr="63259912">
        <w:t>Do 2028. godine planiran</w:t>
      </w:r>
      <w:r w:rsidR="0F420860" w:rsidRPr="63259912">
        <w:t xml:space="preserve">a </w:t>
      </w:r>
      <w:r w:rsidR="31F830B9" w:rsidRPr="63259912">
        <w:t xml:space="preserve">je provedba „KOdeCO net zero“ projekta u vrijednosti 237 milijuna EUR. </w:t>
      </w:r>
      <w:r w:rsidR="039A696A" w:rsidRPr="63259912">
        <w:t xml:space="preserve">Projekt obuhvaća projektiranje, izgradnju, postavljanje i integraciju </w:t>
      </w:r>
      <w:r w:rsidR="4D1D8978" w:rsidRPr="63259912">
        <w:t>jedinica za hvatanje</w:t>
      </w:r>
      <w:r w:rsidR="0B70BD9D" w:rsidRPr="63259912">
        <w:t>, ukapljivanje i pročišćavanje CO</w:t>
      </w:r>
      <w:r w:rsidR="0B70BD9D" w:rsidRPr="63259912">
        <w:rPr>
          <w:vertAlign w:val="subscript"/>
        </w:rPr>
        <w:t>2</w:t>
      </w:r>
      <w:r w:rsidR="24D78352" w:rsidRPr="63259912">
        <w:t xml:space="preserve"> koji </w:t>
      </w:r>
      <w:r w:rsidR="420BBA52" w:rsidRPr="63259912">
        <w:t>će se transportirati i trajno skladištiti na Mediteranu.</w:t>
      </w:r>
      <w:r w:rsidR="002C73F9" w:rsidRPr="63259912">
        <w:t xml:space="preserve"> </w:t>
      </w:r>
      <w:r w:rsidR="000E3930" w:rsidRPr="63259912">
        <w:t xml:space="preserve">Od navedenog iznosa iz Inovacijskog fonda odobreno je financiranje za projekt KOdeCO net zero </w:t>
      </w:r>
      <w:r w:rsidR="008A3964" w:rsidRPr="63259912">
        <w:t xml:space="preserve">u cementari </w:t>
      </w:r>
      <w:r w:rsidR="000E3930" w:rsidRPr="63259912">
        <w:t xml:space="preserve">HOLCIM, za koji </w:t>
      </w:r>
      <w:r w:rsidR="008A3964" w:rsidRPr="63259912">
        <w:t xml:space="preserve">je </w:t>
      </w:r>
      <w:r w:rsidR="000E3930" w:rsidRPr="63259912">
        <w:t>dodijeljeno 116,9 milijuna EUR. Navedenim projektom će se izgraditi potrebna infrastruktura za hvatanje ugljika u tvornici cementa u Koromačnu zahvaljujući kojima bi se potpunosti smanjile emisije stakleničkih plinova iz proizvodnje cementa, a koje godišnje iznose oko 400.000 tona CO</w:t>
      </w:r>
      <w:r w:rsidR="000E3930" w:rsidRPr="63259912">
        <w:rPr>
          <w:vertAlign w:val="subscript"/>
        </w:rPr>
        <w:t>2</w:t>
      </w:r>
      <w:r w:rsidR="000E3930" w:rsidRPr="63259912">
        <w:t xml:space="preserve">eq. </w:t>
      </w:r>
    </w:p>
    <w:p w14:paraId="460AB99A" w14:textId="6A01FD6D" w:rsidR="009E0A3A" w:rsidRDefault="00521B1A" w:rsidP="008E051D">
      <w:r>
        <w:t xml:space="preserve">Tvrtke će razvijati projekte i prijavljivati za financiranje </w:t>
      </w:r>
      <w:r w:rsidR="00AE1B57">
        <w:t>s</w:t>
      </w:r>
      <w:r w:rsidR="00F308EA">
        <w:t xml:space="preserve">redstvima Inovacijskog </w:t>
      </w:r>
      <w:r w:rsidR="00AE1B57">
        <w:t>fonda</w:t>
      </w:r>
      <w:r w:rsidR="002270C0">
        <w:t>.</w:t>
      </w:r>
    </w:p>
    <w:p w14:paraId="7754B555" w14:textId="255C469E" w:rsidR="006665A1" w:rsidRPr="00B47BDA" w:rsidRDefault="006665A1" w:rsidP="008E051D">
      <w:r w:rsidRPr="00B47BDA">
        <w:rPr>
          <w:b/>
        </w:rPr>
        <w:t>Aktivnosti:</w:t>
      </w:r>
      <w:r w:rsidRPr="00B47BDA">
        <w:t xml:space="preserve"> U okviru mjere provest će se: </w:t>
      </w:r>
    </w:p>
    <w:p w14:paraId="07BD7039" w14:textId="77777777" w:rsidR="006665A1" w:rsidRPr="00B47BDA" w:rsidRDefault="006665A1" w:rsidP="009A7BDD">
      <w:pPr>
        <w:pStyle w:val="ListParagraph"/>
        <w:numPr>
          <w:ilvl w:val="0"/>
          <w:numId w:val="51"/>
        </w:numPr>
        <w:spacing w:after="60"/>
        <w:ind w:left="714" w:hanging="357"/>
      </w:pPr>
      <w:r w:rsidRPr="00B47BDA">
        <w:t>Provedba istraživanja potencijala za geološko skladištenje CO</w:t>
      </w:r>
      <w:r w:rsidRPr="00B47BDA">
        <w:rPr>
          <w:vertAlign w:val="subscript"/>
        </w:rPr>
        <w:t>2</w:t>
      </w:r>
      <w:r w:rsidRPr="00B47BDA">
        <w:t xml:space="preserve"> u Republici Hrvatskoj;</w:t>
      </w:r>
    </w:p>
    <w:p w14:paraId="1B3532AD" w14:textId="2A1C899E" w:rsidR="006665A1" w:rsidRPr="00B47BDA" w:rsidRDefault="006665A1" w:rsidP="009A7BDD">
      <w:pPr>
        <w:pStyle w:val="ListParagraph"/>
        <w:numPr>
          <w:ilvl w:val="0"/>
          <w:numId w:val="51"/>
        </w:numPr>
        <w:spacing w:after="60"/>
        <w:ind w:left="714" w:hanging="357"/>
      </w:pPr>
      <w:r w:rsidRPr="00B47BDA">
        <w:t>Provedba projekata geološkog skladištenja CO</w:t>
      </w:r>
      <w:r w:rsidRPr="00B47BDA">
        <w:rPr>
          <w:vertAlign w:val="subscript"/>
        </w:rPr>
        <w:t>2</w:t>
      </w:r>
      <w:r w:rsidRPr="00B47BDA">
        <w:t xml:space="preserve"> u Republici Hrvatskoj u skladu s izraženim potencijalima;</w:t>
      </w:r>
    </w:p>
    <w:p w14:paraId="034364D3" w14:textId="07909BAE" w:rsidR="007B1942" w:rsidRPr="00B47BDA" w:rsidRDefault="007B1942" w:rsidP="009A7BDD">
      <w:pPr>
        <w:pStyle w:val="ListParagraph"/>
        <w:numPr>
          <w:ilvl w:val="0"/>
          <w:numId w:val="51"/>
        </w:numPr>
        <w:spacing w:after="60"/>
        <w:ind w:left="714" w:hanging="357"/>
      </w:pPr>
      <w:r w:rsidRPr="00B47BDA">
        <w:t xml:space="preserve">Izrada strateške studije utjecaja </w:t>
      </w:r>
      <w:r w:rsidR="00A37C1F" w:rsidRPr="00B47BDA">
        <w:t>zahvata trajnog zbrinjavanja ugljikova dioksida na okoliš;</w:t>
      </w:r>
    </w:p>
    <w:p w14:paraId="18921B8C" w14:textId="005C4E0A" w:rsidR="00A11703" w:rsidRPr="00B47BDA" w:rsidRDefault="00A11703" w:rsidP="009A7BDD">
      <w:pPr>
        <w:pStyle w:val="ListParagraph"/>
        <w:numPr>
          <w:ilvl w:val="0"/>
          <w:numId w:val="51"/>
        </w:numPr>
        <w:spacing w:after="60"/>
        <w:ind w:left="714" w:hanging="357"/>
      </w:pPr>
      <w:r w:rsidRPr="00B47BDA">
        <w:t>Informiranje</w:t>
      </w:r>
      <w:r w:rsidR="00D559AA" w:rsidRPr="00B47BDA">
        <w:t xml:space="preserve"> zainteresirane</w:t>
      </w:r>
      <w:r w:rsidRPr="00B47BDA">
        <w:t xml:space="preserve"> javnosti </w:t>
      </w:r>
      <w:r w:rsidR="00D559AA" w:rsidRPr="00B47BDA">
        <w:t>o tehnologiji prikupljanja i skladištenja CO</w:t>
      </w:r>
      <w:r w:rsidR="00D559AA" w:rsidRPr="00B47BDA">
        <w:rPr>
          <w:vertAlign w:val="subscript"/>
        </w:rPr>
        <w:t>2</w:t>
      </w:r>
      <w:r w:rsidR="0049569D">
        <w:t>;</w:t>
      </w:r>
    </w:p>
    <w:p w14:paraId="2A4DEF2F" w14:textId="540D1FFA" w:rsidR="0049569D" w:rsidRPr="00B47BDA" w:rsidRDefault="003F6C41" w:rsidP="009A7BDD">
      <w:pPr>
        <w:pStyle w:val="ListParagraph"/>
        <w:numPr>
          <w:ilvl w:val="0"/>
          <w:numId w:val="51"/>
        </w:numPr>
        <w:spacing w:after="60"/>
        <w:ind w:left="714" w:hanging="357"/>
      </w:pPr>
      <w:r>
        <w:t xml:space="preserve">Provedba pilot projekta </w:t>
      </w:r>
      <w:r w:rsidR="004A7C5D">
        <w:t>hvatanja i geološkog skladištenja CO</w:t>
      </w:r>
      <w:r w:rsidR="004A7C5D" w:rsidRPr="004A7C5D">
        <w:rPr>
          <w:vertAlign w:val="subscript"/>
        </w:rPr>
        <w:t>2</w:t>
      </w:r>
      <w:r w:rsidR="004A7C5D">
        <w:t>.</w:t>
      </w:r>
    </w:p>
    <w:p w14:paraId="62E5D7A9" w14:textId="642D2927" w:rsidR="006665A1" w:rsidRPr="00B47BDA" w:rsidRDefault="006665A1" w:rsidP="004623DD">
      <w:r w:rsidRPr="63259912">
        <w:rPr>
          <w:b/>
          <w:bCs/>
        </w:rPr>
        <w:t>Sredstva potrebna za provedbu:</w:t>
      </w:r>
      <w:r w:rsidRPr="63259912">
        <w:t xml:space="preserve"> </w:t>
      </w:r>
      <w:r w:rsidR="00EC2C03" w:rsidRPr="63259912">
        <w:t xml:space="preserve">14 milijuna EUR pilot projekt, </w:t>
      </w:r>
      <w:r w:rsidR="00E745E7" w:rsidRPr="63259912">
        <w:t xml:space="preserve">237 milijuna EUR </w:t>
      </w:r>
      <w:r w:rsidR="00E36E91" w:rsidRPr="63259912">
        <w:t xml:space="preserve">KOdeCO net zero projekt, </w:t>
      </w:r>
      <w:r w:rsidRPr="63259912">
        <w:t xml:space="preserve">a za provedbu </w:t>
      </w:r>
      <w:r w:rsidR="00664F98" w:rsidRPr="63259912">
        <w:t xml:space="preserve">ostalih </w:t>
      </w:r>
      <w:r w:rsidRPr="63259912">
        <w:t>projekata iznos će se odrediti nakon analize potencijala</w:t>
      </w:r>
      <w:r w:rsidR="00F05308" w:rsidRPr="63259912">
        <w:t>.</w:t>
      </w:r>
    </w:p>
    <w:p w14:paraId="268F4CCE" w14:textId="392547BC" w:rsidR="006665A1" w:rsidRPr="00B47BDA" w:rsidRDefault="006665A1" w:rsidP="004623DD">
      <w:r w:rsidRPr="00B47BDA">
        <w:rPr>
          <w:b/>
        </w:rPr>
        <w:t>Izvori financiranja:</w:t>
      </w:r>
      <w:r w:rsidRPr="00B47BDA">
        <w:t xml:space="preserve"> EU sredstva</w:t>
      </w:r>
      <w:r w:rsidR="00162201">
        <w:t xml:space="preserve"> (NPOO, Inovacijski fond)</w:t>
      </w:r>
      <w:r w:rsidR="00900277" w:rsidRPr="00B47BDA">
        <w:t xml:space="preserve">, </w:t>
      </w:r>
      <w:r w:rsidR="002D220E">
        <w:t xml:space="preserve">Modernizacijski fond, </w:t>
      </w:r>
      <w:r w:rsidR="00900277" w:rsidRPr="00B47BDA">
        <w:t>državni proračun</w:t>
      </w:r>
      <w:r w:rsidR="00F05308">
        <w:t>.</w:t>
      </w:r>
    </w:p>
    <w:p w14:paraId="62824F94" w14:textId="65CFABFE" w:rsidR="006665A1" w:rsidRPr="00B47BDA" w:rsidRDefault="006665A1" w:rsidP="004623DD">
      <w:r w:rsidRPr="003A2A86">
        <w:rPr>
          <w:b/>
          <w:bCs/>
        </w:rPr>
        <w:t>Izvršno tijelo:</w:t>
      </w:r>
      <w:r w:rsidRPr="00B47BDA">
        <w:t xml:space="preserve"> AZU</w:t>
      </w:r>
      <w:r w:rsidR="00681220">
        <w:t>, tvrtke</w:t>
      </w:r>
      <w:r w:rsidR="005B5317">
        <w:t>.</w:t>
      </w:r>
    </w:p>
    <w:p w14:paraId="3C33CB50" w14:textId="373C6585" w:rsidR="006665A1" w:rsidRPr="00B47BDA" w:rsidRDefault="006665A1" w:rsidP="004623DD">
      <w:r w:rsidRPr="003A2A86">
        <w:rPr>
          <w:b/>
          <w:bCs/>
        </w:rPr>
        <w:t>Tijela za praćenje:</w:t>
      </w:r>
      <w:r w:rsidRPr="00B47BDA">
        <w:t xml:space="preserve"> </w:t>
      </w:r>
      <w:r w:rsidR="002336B9" w:rsidRPr="00B47BDA">
        <w:t>MINGO</w:t>
      </w:r>
      <w:r w:rsidR="00F05308">
        <w:t>.</w:t>
      </w:r>
    </w:p>
    <w:p w14:paraId="2A0BA124" w14:textId="77777777" w:rsidR="006665A1" w:rsidRPr="00B47BDA" w:rsidRDefault="006665A1" w:rsidP="004623DD">
      <w:r w:rsidRPr="00B47BDA">
        <w:rPr>
          <w:b/>
        </w:rPr>
        <w:t>Učinak:</w:t>
      </w:r>
      <w:r w:rsidRPr="00B47BDA">
        <w:t xml:space="preserve"> Smanjenje emisija stakleničkih plinova.</w:t>
      </w:r>
    </w:p>
    <w:p w14:paraId="1B31BD32" w14:textId="397B52D9" w:rsidR="006665A1" w:rsidRPr="00B47BDA" w:rsidRDefault="006665A1" w:rsidP="004623DD">
      <w:r w:rsidRPr="00B47BDA">
        <w:rPr>
          <w:b/>
        </w:rPr>
        <w:lastRenderedPageBreak/>
        <w:t>Metoda praćenja:</w:t>
      </w:r>
      <w:r w:rsidRPr="00B47BDA">
        <w:t xml:space="preserve"> </w:t>
      </w:r>
      <w:r w:rsidR="00BA5E3D" w:rsidRPr="00B47BDA">
        <w:t>Projekti geološkog skladištenja CO</w:t>
      </w:r>
      <w:r w:rsidR="00BA5E3D" w:rsidRPr="00B47BDA">
        <w:rPr>
          <w:vertAlign w:val="subscript"/>
        </w:rPr>
        <w:t>2</w:t>
      </w:r>
      <w:r w:rsidR="00BA5E3D" w:rsidRPr="00B47BDA">
        <w:t xml:space="preserve"> će se pratiti godišnjim izvještajima koja izvršno tijelo (AZU) dostavlja tijelu za praćenje (MINGO).</w:t>
      </w:r>
    </w:p>
    <w:p w14:paraId="5D0EAF7C" w14:textId="5ED0CD5A" w:rsidR="00404D0D" w:rsidRPr="00B47BDA" w:rsidRDefault="00277675" w:rsidP="004623DD">
      <w:r w:rsidRPr="00B47BDA">
        <w:rPr>
          <w:b/>
          <w:color w:val="000000"/>
        </w:rPr>
        <w:t>Pokazatelj provedbe mjere (indikator):</w:t>
      </w:r>
      <w:r w:rsidR="0053385B" w:rsidRPr="00B47BDA">
        <w:rPr>
          <w:b/>
          <w:color w:val="000000"/>
        </w:rPr>
        <w:t xml:space="preserve"> </w:t>
      </w:r>
      <w:r w:rsidRPr="00B47BDA">
        <w:t>Godišnja količina CO</w:t>
      </w:r>
      <w:r w:rsidRPr="00B47BDA">
        <w:rPr>
          <w:vertAlign w:val="subscript"/>
        </w:rPr>
        <w:t>2</w:t>
      </w:r>
      <w:r w:rsidRPr="00B47BDA">
        <w:t xml:space="preserve"> trajno pohranjena u geološke strukture.</w:t>
      </w:r>
    </w:p>
    <w:p w14:paraId="5E33D5D8" w14:textId="77777777" w:rsidR="006665A1" w:rsidRPr="00B47BDA" w:rsidRDefault="006665A1" w:rsidP="004623DD">
      <w:r w:rsidRPr="00B47BDA">
        <w:rPr>
          <w:b/>
        </w:rPr>
        <w:t xml:space="preserve">Povezanost s drugim dimenzijama: </w:t>
      </w:r>
      <w:r w:rsidRPr="00B47BDA">
        <w:t>Provođenje mjere izravno utječe na istraživanje, inovacije i konkurentnost.</w:t>
      </w:r>
    </w:p>
    <w:p w14:paraId="57B7D2A3" w14:textId="77777777" w:rsidR="006665A1" w:rsidRDefault="006665A1" w:rsidP="004623DD">
      <w:r w:rsidRPr="00B47BDA">
        <w:rPr>
          <w:b/>
        </w:rPr>
        <w:t>Istraživanje i razvoj:</w:t>
      </w:r>
      <w:r w:rsidRPr="00B47BDA">
        <w:t xml:space="preserve"> Mjera je izravno povezana s istraživanjem i razvojem te inovativnim mjerama za smanjenje emisije stakleničkih plinova.</w:t>
      </w:r>
    </w:p>
    <w:p w14:paraId="6355DBDB" w14:textId="3D57A09B" w:rsidR="0063371A" w:rsidRDefault="0063371A">
      <w:pPr>
        <w:spacing w:after="0"/>
        <w:jc w:val="left"/>
      </w:pPr>
      <w:r>
        <w:br w:type="page"/>
      </w:r>
    </w:p>
    <w:p w14:paraId="6D4641E7" w14:textId="6343C41E" w:rsidR="00094D20" w:rsidRPr="00B47BDA" w:rsidRDefault="004506FD" w:rsidP="00102389">
      <w:pPr>
        <w:pStyle w:val="Mjeranaslov"/>
      </w:pPr>
      <w:r w:rsidRPr="00B47BDA">
        <w:lastRenderedPageBreak/>
        <w:t>MS-</w:t>
      </w:r>
      <w:r w:rsidR="007874B8">
        <w:t>6</w:t>
      </w:r>
      <w:r w:rsidR="00094D20" w:rsidRPr="00B47BDA">
        <w:t xml:space="preserve"> Unaprjeđenje održivosti urbanih sredina </w:t>
      </w:r>
    </w:p>
    <w:p w14:paraId="3B5B2BC3" w14:textId="5F853B84" w:rsidR="00094D20" w:rsidRPr="00B47BDA" w:rsidRDefault="00BB6058" w:rsidP="004623DD">
      <w:r w:rsidRPr="00B47BDA">
        <w:t xml:space="preserve">Financijska mjera; </w:t>
      </w:r>
      <w:r w:rsidR="00094D20" w:rsidRPr="00B47BDA">
        <w:t>provedba 202</w:t>
      </w:r>
      <w:r w:rsidR="00EB52A9" w:rsidRPr="00B47BDA">
        <w:t>3</w:t>
      </w:r>
      <w:r w:rsidR="00094D20" w:rsidRPr="00B47BDA">
        <w:t>.-2030.</w:t>
      </w:r>
    </w:p>
    <w:p w14:paraId="33DFCF5F" w14:textId="230F7E54" w:rsidR="00094D20" w:rsidRPr="00B47BDA" w:rsidRDefault="1C0665BB" w:rsidP="006A6E06">
      <w:r w:rsidRPr="1C9333AB">
        <w:rPr>
          <w:b/>
          <w:bCs/>
        </w:rPr>
        <w:t>Cilj i opis mjere:</w:t>
      </w:r>
      <w:r>
        <w:t xml:space="preserve"> </w:t>
      </w:r>
      <w:r w:rsidR="63225A35">
        <w:t xml:space="preserve">Cilj ove mjere je potaknuti gradove i općine da projekte revitalizacije i razvoja novih urbanih sredina temelje na principima održivosti. Prvi korak u ostvarenju ovog cilja bio je izrada </w:t>
      </w:r>
      <w:r>
        <w:t xml:space="preserve">Programa razvoja zelene infrastrukture u urbanim područjima </w:t>
      </w:r>
      <w:r w:rsidR="63225A35">
        <w:t xml:space="preserve">za razdoblje 2021.-2030. </w:t>
      </w:r>
      <w:r>
        <w:t>i Programa razvoja kružnog gospodarenja prostorom i zgradama</w:t>
      </w:r>
      <w:r w:rsidR="63225A35">
        <w:t xml:space="preserve"> za razdoblje 2021.-2030</w:t>
      </w:r>
      <w:r w:rsidR="002459CE">
        <w:t>.</w:t>
      </w:r>
      <w:r w:rsidR="63225A35">
        <w:t>, koji su usvojeni na Vladi Republike Hrvatske u prosincu 2021. godine, a predstavljaju nacionalni okvir za razvoj održivosti u urbanim područjima. Programima</w:t>
      </w:r>
      <w:r>
        <w:t xml:space="preserve"> se </w:t>
      </w:r>
      <w:r w:rsidR="63225A35">
        <w:t>žele unaprijediti</w:t>
      </w:r>
      <w:r>
        <w:t xml:space="preserve"> ekološke, gospodarske i društvene koristi održivog razvoja</w:t>
      </w:r>
      <w:r w:rsidR="63225A35">
        <w:t>, kroz</w:t>
      </w:r>
      <w:r>
        <w:t xml:space="preserve"> povećanje energetske učinkovitosti zgrada</w:t>
      </w:r>
      <w:r w:rsidR="63225A35">
        <w:t xml:space="preserve">, </w:t>
      </w:r>
      <w:r w:rsidR="4FF5A056">
        <w:t xml:space="preserve">razvoj zelene infrastrukture u </w:t>
      </w:r>
      <w:r w:rsidR="63225A35">
        <w:t>urbanim područjima,</w:t>
      </w:r>
      <w:r>
        <w:t xml:space="preserve"> smanjenje temperature u područjima toplinskih otoka</w:t>
      </w:r>
      <w:r w:rsidR="63225A35">
        <w:t xml:space="preserve"> te kroz poticanje mjera</w:t>
      </w:r>
      <w:r>
        <w:t xml:space="preserve"> kružnosti kod planiranja novih zgrada, ponovno korištenje napuštenih i/ili zapuštenih postojećih prostora i zgrada, smanjenje količine građevinskog otpada </w:t>
      </w:r>
      <w:r w:rsidR="63225A35">
        <w:t xml:space="preserve">u urbanim područjima. Sljedeći korak je implementacija usvojenih Programa, koja predviđa razvoj studija, strategija i/ili planova razvoja urbanih područja, u kojima će se na temelju analize postojećeg stanja te izrade studija i strategija definirati razvojni projekti kojima će se unaprijediti razvoj gradova i općina. Za projekte je osigurano sufinanciranje iz Mehanizma za oporavak i otpornost EU, u sklopu inicijative Obnova zgrada, reforme C6.1.R5 „Uvođenje novog modela strategija zelene urbane obnove i provedba pilot projekta razvoja zelene infrastrukture i kružnog gospodarenja prostorom i zgradama“ te iz </w:t>
      </w:r>
      <w:r w:rsidR="007662F7">
        <w:t xml:space="preserve">EU </w:t>
      </w:r>
      <w:r w:rsidR="63225A35">
        <w:t xml:space="preserve">fondova u okviru Programa Konkurentnost i kohezija 2021.-2027., u skladu s ciljem za razdoblje 2021.-2027. </w:t>
      </w:r>
      <w:r>
        <w:t>PO2 „Zelenija</w:t>
      </w:r>
      <w:r w:rsidR="63225A35">
        <w:t>, otporna</w:t>
      </w:r>
      <w:r>
        <w:t xml:space="preserve"> Europa s niskom razinom emisija </w:t>
      </w:r>
      <w:r w:rsidR="63225A35">
        <w:t xml:space="preserve">koja prelazi na gospodarstvo s nultom neto stopom emisija </w:t>
      </w:r>
      <w:r>
        <w:t>ugljika promicanjem prelaska na čistu i pravednu</w:t>
      </w:r>
      <w:r w:rsidR="3C34D899">
        <w:t xml:space="preserve"> </w:t>
      </w:r>
      <w:r>
        <w:t xml:space="preserve">energiju, zelenih i plavih ulaganja, </w:t>
      </w:r>
      <w:r w:rsidR="63225A35">
        <w:t>kružnoga</w:t>
      </w:r>
      <w:r>
        <w:t xml:space="preserve"> gospodarstva, </w:t>
      </w:r>
      <w:r w:rsidR="63225A35">
        <w:t xml:space="preserve">ublažavanja klimatskih promjena i </w:t>
      </w:r>
      <w:r>
        <w:t>prilagodbe klimatskim promjenama</w:t>
      </w:r>
      <w:r w:rsidR="63225A35">
        <w:t>, sprečavanja rizika</w:t>
      </w:r>
      <w:r>
        <w:t xml:space="preserve"> i upravljanja </w:t>
      </w:r>
      <w:r w:rsidR="63225A35">
        <w:t>njime te održive urbane mobilnosti</w:t>
      </w:r>
      <w:r>
        <w:t>“.</w:t>
      </w:r>
    </w:p>
    <w:p w14:paraId="751A5D1E" w14:textId="20D0AEFE" w:rsidR="00302302" w:rsidRPr="00B47BDA" w:rsidRDefault="00302302" w:rsidP="004623DD">
      <w:r w:rsidRPr="00B47BDA">
        <w:rPr>
          <w:b/>
        </w:rPr>
        <w:t>Aktivnosti:</w:t>
      </w:r>
      <w:r w:rsidRPr="00B47BDA">
        <w:t xml:space="preserve"> U okviru mjere provest će se sljedeće aktivnosti: </w:t>
      </w:r>
    </w:p>
    <w:p w14:paraId="4651A43A" w14:textId="382F8E93" w:rsidR="00DF5F01" w:rsidRPr="00B47BDA" w:rsidRDefault="00DF5F01" w:rsidP="0063371A">
      <w:pPr>
        <w:pStyle w:val="ListParagraph"/>
        <w:numPr>
          <w:ilvl w:val="0"/>
          <w:numId w:val="51"/>
        </w:numPr>
        <w:spacing w:after="80"/>
        <w:ind w:left="714" w:hanging="357"/>
      </w:pPr>
      <w:r w:rsidRPr="00B47BDA">
        <w:t>Provedba mjera i aktivnosti određenih Programom razvoja zelene infrastrukture u urbanim područjima za razdoblje 2021.-2030.(</w:t>
      </w:r>
      <w:r w:rsidR="00722DE6">
        <w:t>„</w:t>
      </w:r>
      <w:r w:rsidR="00071A4F" w:rsidRPr="00071A4F">
        <w:t xml:space="preserve">Narodne </w:t>
      </w:r>
      <w:r w:rsidR="00A97AE7">
        <w:t>novine</w:t>
      </w:r>
      <w:r w:rsidR="00722DE6">
        <w:t>“</w:t>
      </w:r>
      <w:r w:rsidR="00071A4F" w:rsidRPr="00071A4F">
        <w:t xml:space="preserve">, </w:t>
      </w:r>
      <w:r w:rsidR="00722DE6">
        <w:t>br.</w:t>
      </w:r>
      <w:r w:rsidR="00722DE6" w:rsidRPr="00B47BDA">
        <w:t xml:space="preserve"> </w:t>
      </w:r>
      <w:r w:rsidRPr="00B47BDA">
        <w:t>147</w:t>
      </w:r>
      <w:r w:rsidR="005B41DA">
        <w:t>/21</w:t>
      </w:r>
      <w:r w:rsidR="00722DE6">
        <w:t>.</w:t>
      </w:r>
      <w:r w:rsidRPr="00B47BDA">
        <w:t>)</w:t>
      </w:r>
      <w:r w:rsidR="00AF40E5" w:rsidRPr="00B47BDA">
        <w:t>.</w:t>
      </w:r>
    </w:p>
    <w:p w14:paraId="45162368" w14:textId="4C57B998" w:rsidR="00DF5F01" w:rsidRPr="00B47BDA" w:rsidRDefault="00DF5F01" w:rsidP="0063371A">
      <w:pPr>
        <w:pStyle w:val="ListParagraph"/>
        <w:numPr>
          <w:ilvl w:val="0"/>
          <w:numId w:val="51"/>
        </w:numPr>
        <w:spacing w:after="80"/>
        <w:ind w:left="714" w:hanging="357"/>
      </w:pPr>
      <w:r w:rsidRPr="63259912">
        <w:t>Provedba mjera i aktivnosti određenih Programom razvoja kružnog gospodarenja prostorom i zgradama za razdoblje 2021.-2030.(</w:t>
      </w:r>
      <w:r w:rsidR="00722DE6" w:rsidRPr="63259912">
        <w:t>„</w:t>
      </w:r>
      <w:r w:rsidR="00071A4F" w:rsidRPr="63259912">
        <w:t xml:space="preserve">Narodne </w:t>
      </w:r>
      <w:r w:rsidR="00A97AE7" w:rsidRPr="63259912">
        <w:t>novine</w:t>
      </w:r>
      <w:r w:rsidR="00722DE6" w:rsidRPr="63259912">
        <w:t>“</w:t>
      </w:r>
      <w:r w:rsidR="00071A4F" w:rsidRPr="63259912">
        <w:t xml:space="preserve">, </w:t>
      </w:r>
      <w:r w:rsidR="00004BB0" w:rsidRPr="63259912">
        <w:t>br</w:t>
      </w:r>
      <w:r w:rsidRPr="63259912">
        <w:t xml:space="preserve"> 143</w:t>
      </w:r>
      <w:r w:rsidR="005B41DA" w:rsidRPr="63259912">
        <w:t>/21</w:t>
      </w:r>
      <w:r w:rsidR="00722DE6" w:rsidRPr="63259912">
        <w:t>.</w:t>
      </w:r>
      <w:r w:rsidRPr="63259912">
        <w:t>)</w:t>
      </w:r>
      <w:r w:rsidR="00AF40E5" w:rsidRPr="63259912">
        <w:t>.</w:t>
      </w:r>
    </w:p>
    <w:p w14:paraId="28D0B2BC" w14:textId="5EE25588" w:rsidR="005E553E" w:rsidRPr="00B47BDA" w:rsidRDefault="005E553E" w:rsidP="004623DD">
      <w:r w:rsidRPr="00B47BDA">
        <w:rPr>
          <w:b/>
        </w:rPr>
        <w:t>Sredstva potrebna za provedbu:</w:t>
      </w:r>
      <w:r w:rsidRPr="00B47BDA">
        <w:t xml:space="preserve"> </w:t>
      </w:r>
      <w:r w:rsidR="002A6E51" w:rsidRPr="00B47BDA">
        <w:t xml:space="preserve">Procijenjeni trošak za provedbu aktivnosti programa u razdoblju 2021.-2030. je 1.142.528.933,57 </w:t>
      </w:r>
      <w:r w:rsidR="00CF7DA3">
        <w:t>EUR</w:t>
      </w:r>
      <w:r w:rsidR="00AF40E5" w:rsidRPr="00B47BDA">
        <w:t>.</w:t>
      </w:r>
    </w:p>
    <w:p w14:paraId="76D2B0CE" w14:textId="4C7EB64B" w:rsidR="00D3201C" w:rsidRPr="00B47BDA" w:rsidRDefault="00D3201C" w:rsidP="004623DD">
      <w:r w:rsidRPr="00B47BDA">
        <w:rPr>
          <w:b/>
        </w:rPr>
        <w:t>Izvori financiranja</w:t>
      </w:r>
      <w:r w:rsidRPr="00B47BDA">
        <w:t xml:space="preserve">: </w:t>
      </w:r>
      <w:r w:rsidR="00482B4B" w:rsidRPr="00B47BDA">
        <w:t>MPGI</w:t>
      </w:r>
      <w:r w:rsidRPr="00B47BDA">
        <w:t>, EU sredstva</w:t>
      </w:r>
      <w:r w:rsidR="00F05308">
        <w:t>.</w:t>
      </w:r>
    </w:p>
    <w:p w14:paraId="0BD5BB8F" w14:textId="66E0FBF7" w:rsidR="00D3201C" w:rsidRPr="00B47BDA" w:rsidRDefault="00D3201C" w:rsidP="004623DD">
      <w:r w:rsidRPr="00B47BDA">
        <w:rPr>
          <w:b/>
        </w:rPr>
        <w:t>Izvršno tijelo:</w:t>
      </w:r>
      <w:r w:rsidRPr="00B47BDA">
        <w:t xml:space="preserve"> </w:t>
      </w:r>
      <w:r w:rsidR="00953E0D" w:rsidRPr="00B47BDA">
        <w:t>MPGI, JLP(R) S i Grad Zagreb</w:t>
      </w:r>
      <w:r w:rsidR="00F05308">
        <w:t>.</w:t>
      </w:r>
    </w:p>
    <w:p w14:paraId="21892602" w14:textId="246E1C48" w:rsidR="00D3201C" w:rsidRPr="00B47BDA" w:rsidRDefault="00D3201C" w:rsidP="004623DD">
      <w:r w:rsidRPr="003A2A86">
        <w:rPr>
          <w:b/>
          <w:bCs/>
        </w:rPr>
        <w:t>Tijela za praćenje:</w:t>
      </w:r>
      <w:r w:rsidRPr="00B47BDA">
        <w:t xml:space="preserve"> </w:t>
      </w:r>
      <w:r w:rsidR="00953E0D" w:rsidRPr="00B47BDA">
        <w:t>MPGI</w:t>
      </w:r>
      <w:r w:rsidR="00F05308">
        <w:t>.</w:t>
      </w:r>
    </w:p>
    <w:p w14:paraId="2583D207" w14:textId="47687159" w:rsidR="00D3201C" w:rsidRPr="00B47BDA" w:rsidRDefault="00D3201C" w:rsidP="004623DD">
      <w:r w:rsidRPr="00B47BDA">
        <w:rPr>
          <w:b/>
        </w:rPr>
        <w:t xml:space="preserve">Učinak: </w:t>
      </w:r>
      <w:r w:rsidRPr="00B47BDA">
        <w:t>Smanjenje toplinskih potreba i potrošnje energije u zgradama javnog i stambenog sektora i povećanje korištenja OIE te posljedično smanjenje emisija CO</w:t>
      </w:r>
      <w:r w:rsidRPr="00B47BDA">
        <w:rPr>
          <w:vertAlign w:val="subscript"/>
        </w:rPr>
        <w:t>2</w:t>
      </w:r>
      <w:r w:rsidR="00F05308">
        <w:t>.</w:t>
      </w:r>
    </w:p>
    <w:p w14:paraId="4D1D0BF7" w14:textId="76F2D0D8" w:rsidR="00D3201C" w:rsidRPr="00B47BDA" w:rsidRDefault="00D3201C" w:rsidP="004623DD">
      <w:r w:rsidRPr="00B47BDA">
        <w:rPr>
          <w:b/>
        </w:rPr>
        <w:t>Metoda praćenja:</w:t>
      </w:r>
      <w:r w:rsidRPr="00B47BDA">
        <w:t xml:space="preserve"> </w:t>
      </w:r>
      <w:r w:rsidR="008F5181" w:rsidRPr="00B47BDA">
        <w:t>Broj JLS s izrađenim strategijama, broj provedenih (pilot) projekata, površina nove i poboljšane zelene infrastrukture, površina kružno obnovljenih zgrada, smanjenje projektirane potrošnje energije u kružno obnovljenim zgradama</w:t>
      </w:r>
      <w:r w:rsidR="00AF40E5" w:rsidRPr="00B47BDA">
        <w:t>.</w:t>
      </w:r>
    </w:p>
    <w:p w14:paraId="6E60F020" w14:textId="77777777" w:rsidR="00D3201C" w:rsidRPr="00B47BDA" w:rsidRDefault="00D3201C" w:rsidP="004623DD">
      <w:r w:rsidRPr="63259912">
        <w:rPr>
          <w:b/>
          <w:bCs/>
        </w:rPr>
        <w:lastRenderedPageBreak/>
        <w:t xml:space="preserve">Povezanost s drugim dimenzijama: </w:t>
      </w:r>
      <w:r w:rsidRPr="63259912">
        <w:t>Mjera je inovativna te omogućava razvoj urbanih sredina koji će doprinijeti i dekarbonizaciji i energetskoj učinkovitosti, ali će imati i brojne druge društvene, ekonomske i ekološke koristi.</w:t>
      </w:r>
    </w:p>
    <w:p w14:paraId="4C64030F" w14:textId="734CA20A" w:rsidR="005E553E" w:rsidRPr="00B47BDA" w:rsidRDefault="00D3201C" w:rsidP="004623DD">
      <w:r w:rsidRPr="00B47BDA">
        <w:rPr>
          <w:b/>
        </w:rPr>
        <w:t xml:space="preserve">Istraživanje i razvoj: </w:t>
      </w:r>
      <w:r w:rsidRPr="00B47BDA">
        <w:t>Mjera je izravno povezana s istraživanjem i razvojem te inovativnim mjerama za unaprjeđenje održivosti urbanih sredina</w:t>
      </w:r>
      <w:r w:rsidR="00AF40E5" w:rsidRPr="00B47BDA">
        <w:t>.</w:t>
      </w:r>
    </w:p>
    <w:p w14:paraId="395FB265" w14:textId="7FAABB83" w:rsidR="00095114" w:rsidRPr="00B47BDA" w:rsidRDefault="004506FD" w:rsidP="00CF06E5">
      <w:pPr>
        <w:pStyle w:val="Mjeranaslov"/>
      </w:pPr>
      <w:r w:rsidRPr="63259912">
        <w:t>MS-</w:t>
      </w:r>
      <w:r w:rsidR="007874B8" w:rsidRPr="63259912">
        <w:t>7</w:t>
      </w:r>
      <w:r w:rsidR="00095114" w:rsidRPr="63259912">
        <w:t xml:space="preserve"> </w:t>
      </w:r>
      <w:r w:rsidR="00661492" w:rsidRPr="63259912">
        <w:t>Ozelenjavanje javnog i privatnog sektora</w:t>
      </w:r>
      <w:r w:rsidR="00095114" w:rsidRPr="63259912">
        <w:t xml:space="preserve"> </w:t>
      </w:r>
    </w:p>
    <w:p w14:paraId="274B978C" w14:textId="5D519201" w:rsidR="00095114" w:rsidRPr="00B47BDA" w:rsidRDefault="00095114" w:rsidP="004623DD">
      <w:r w:rsidRPr="00B47BDA">
        <w:t xml:space="preserve">Regulatorna mjera; provedba </w:t>
      </w:r>
      <w:r w:rsidR="00B0680E" w:rsidRPr="00B47BDA">
        <w:t>2021</w:t>
      </w:r>
      <w:r w:rsidRPr="00B47BDA">
        <w:t>.-2030.</w:t>
      </w:r>
    </w:p>
    <w:p w14:paraId="3B7C0F8A" w14:textId="77777777" w:rsidR="00415C13" w:rsidRDefault="00095114" w:rsidP="00415C13">
      <w:r w:rsidRPr="00B47BDA">
        <w:rPr>
          <w:b/>
        </w:rPr>
        <w:t>Cilj i opis mjere</w:t>
      </w:r>
      <w:r w:rsidRPr="00B47BDA">
        <w:t xml:space="preserve">: </w:t>
      </w:r>
      <w:r w:rsidR="00415C13" w:rsidRPr="003905C6">
        <w:t>Cilj mjere je poboljšanje okolišnih svojstava javne uprave i privatnog sektora, što će omogućiti sustavno djelovanje ka poboljšanju okolišnih svojstava te doprinijeti ozelenjivanju javnog i privatnog sektora. Uvođenje sustava za poboljšanje okolišnih svojstava potaknut će kontinuirano djelovanje ka smanjenju negativnog utjecaja na okoliš, koji proizlazi iz svakodnevnog izravnog i neizravnog djelovanja (smanjiti okolišni otisak, preuzeti odgovornost za svoj utjecaj na okoliš i gospodarstvo, poboljšati svoju okolišnu učinkovitost te informirati javnost i dionike o toj izvedbi).</w:t>
      </w:r>
    </w:p>
    <w:p w14:paraId="216CE745" w14:textId="77777777" w:rsidR="00415C13" w:rsidRDefault="00415C13" w:rsidP="00415C13">
      <w:r w:rsidRPr="63259912">
        <w:t>Republika Hrvatska je u postupku pristupanja u punopravno članstvo u OECD-u. Proces pristupanja podrazumijeva usvajanje pravnih instrumenata OECD-a u okviru nadležnosti pojedinih radnih tijela OECD-a te ocjenu politika i praksi države kandidatkinje. Smjernice o poboljšanju okolišnih svojstava uprave izrađuju se u cilju jasnog usklađivanja s Preporukom OECD-a o poboljšanju okolišnih svojstava javne uprave OECD/LEGAL/0283. Republika Hrvatska je pristupila inicijativi Voditi primjerom: Inicijativa Vlade Net-Zero (eng. Net-Zero Government Initiative, NZGI) i Inicijativa Zelene vlade (eng. Green government initiative, GGI) gdje je obveznica postizanja neto nulte emisije iz poslovnih procesa tijela javne državne uprave najkasnije do 2050. godine te utvrđivanje plana za postizanje obveze tog cilja.</w:t>
      </w:r>
    </w:p>
    <w:p w14:paraId="69F0F624" w14:textId="77777777" w:rsidR="00415C13" w:rsidRDefault="00415C13" w:rsidP="00415C13">
      <w:r w:rsidRPr="63259912">
        <w:t>Program za izračun i smanjenje ugljičnog otiska subjekata izvan ETS sustava (poslovnih subjekata i javnog sektora) ima za cilj smanjenje ukupnih emisija stakleničkih plinova za sve aktivnosti za koje je subjekt odgovoran ili o kojima je ovisan. Potrebno je izračunati izravne emisije i uklanjanje stakleničkih plinova na lokaciji subjekta, bilo zbog izgaranja goriva u termoenergetskom postrojenju, iz proizvodnog procesa, iz voznog parka te fugitivne emisije, zatim neizravne emisije koje nastaju izvan lokacije subjekta, a povezane su s nabavom i potrošnjom električne, toplinske i rashladne energije, ali i ostale neizravne emisije/uklanjanja povezane s tokovima ljudi i materijala.</w:t>
      </w:r>
    </w:p>
    <w:p w14:paraId="4AA1FB86" w14:textId="5C1FA622" w:rsidR="00095114" w:rsidRPr="00B47BDA" w:rsidRDefault="00415C13" w:rsidP="00415C13">
      <w:r>
        <w:t>Izračun ugljičnog otiska omogućit će subjektima upoznavanje sa strukturom emisija stakleničkih plinova te utvrđivanje aktivnosti koje najviše doprinose smanjenju emisija, što je dobar temelj za definiranje i provedbu Akcijskog plana za smanjenje ugljičnog otiska. Provedba Akcijskog plana dovela bi do smanjenja emisija stakleničkih plinova i ublažavanja klimatskih promjena, odnosno lakšeg ostvarivanja obveza preuzetih Pariškim sporazumom te ujedno do održivosti njihova poslovanja.</w:t>
      </w:r>
    </w:p>
    <w:p w14:paraId="4C6FB9EE" w14:textId="77777777" w:rsidR="00095114" w:rsidRPr="00B47BDA" w:rsidRDefault="00095114" w:rsidP="004623DD">
      <w:r w:rsidRPr="00B47BDA">
        <w:rPr>
          <w:b/>
        </w:rPr>
        <w:t>Aktivnosti:</w:t>
      </w:r>
      <w:r w:rsidRPr="00B47BDA">
        <w:t xml:space="preserve"> U okviru mjere provest će se sljedeće aktivnosti: </w:t>
      </w:r>
    </w:p>
    <w:p w14:paraId="1C386B6B" w14:textId="1CA80019" w:rsidR="004A4C7D" w:rsidRPr="004A4C7D" w:rsidRDefault="004A4C7D" w:rsidP="00712D48">
      <w:pPr>
        <w:numPr>
          <w:ilvl w:val="0"/>
          <w:numId w:val="51"/>
        </w:numPr>
        <w:tabs>
          <w:tab w:val="left" w:pos="431"/>
        </w:tabs>
        <w:spacing w:after="60"/>
        <w:ind w:left="714" w:hanging="357"/>
      </w:pPr>
      <w:r w:rsidRPr="004A4C7D">
        <w:t>Izrada smjernica o poboljšanju okolišnih svojstava javne uprave,</w:t>
      </w:r>
    </w:p>
    <w:p w14:paraId="69797ED3" w14:textId="4D09ECAA" w:rsidR="003E4AC5" w:rsidRPr="004A4C7D" w:rsidRDefault="003E4AC5" w:rsidP="004A4C7D">
      <w:pPr>
        <w:numPr>
          <w:ilvl w:val="0"/>
          <w:numId w:val="51"/>
        </w:numPr>
        <w:tabs>
          <w:tab w:val="left" w:pos="431"/>
        </w:tabs>
        <w:spacing w:after="60"/>
        <w:ind w:left="714" w:hanging="357"/>
        <w:contextualSpacing/>
      </w:pPr>
      <w:r w:rsidRPr="003E4AC5">
        <w:t>Podrška uvođenju ekološkog upravljanja u organizacije – Aktivnosti uvođenje sustava ekološkog upravljanja u javnom i privatnom sektoru</w:t>
      </w:r>
      <w:r w:rsidR="00182F78">
        <w:t>,</w:t>
      </w:r>
    </w:p>
    <w:p w14:paraId="3B7DA025" w14:textId="37D21162" w:rsidR="004A4C7D" w:rsidRPr="004A4C7D" w:rsidRDefault="001563DC" w:rsidP="004A4C7D">
      <w:pPr>
        <w:numPr>
          <w:ilvl w:val="0"/>
          <w:numId w:val="51"/>
        </w:numPr>
        <w:tabs>
          <w:tab w:val="left" w:pos="431"/>
        </w:tabs>
        <w:spacing w:after="60"/>
        <w:ind w:left="714" w:hanging="357"/>
      </w:pPr>
      <w:r>
        <w:lastRenderedPageBreak/>
        <w:t>Periodična i</w:t>
      </w:r>
      <w:r w:rsidR="004A4C7D" w:rsidRPr="004A4C7D">
        <w:t>zrada i ažuriranje nacionalne baze faktora emisije stakleničkih plinova (djelomično provedena aktivnost),</w:t>
      </w:r>
    </w:p>
    <w:p w14:paraId="5D756EBA" w14:textId="14A1B25D" w:rsidR="004A4C7D" w:rsidRPr="004A4C7D" w:rsidRDefault="001563DC" w:rsidP="004A4C7D">
      <w:pPr>
        <w:numPr>
          <w:ilvl w:val="0"/>
          <w:numId w:val="51"/>
        </w:numPr>
        <w:tabs>
          <w:tab w:val="left" w:pos="431"/>
        </w:tabs>
        <w:spacing w:after="60"/>
        <w:ind w:left="714" w:hanging="357"/>
      </w:pPr>
      <w:r>
        <w:t>P</w:t>
      </w:r>
      <w:r w:rsidR="004A4C7D" w:rsidRPr="004A4C7D">
        <w:t xml:space="preserve">ilot </w:t>
      </w:r>
      <w:r w:rsidR="006757FB" w:rsidRPr="004A4C7D">
        <w:t>projekt</w:t>
      </w:r>
      <w:r w:rsidR="006757FB">
        <w:t>i</w:t>
      </w:r>
      <w:r w:rsidR="006757FB" w:rsidRPr="004A4C7D">
        <w:t xml:space="preserve"> </w:t>
      </w:r>
      <w:r w:rsidR="004A4C7D" w:rsidRPr="004A4C7D">
        <w:t>izračuna ugljikovog otiska u tijela javne uprave,</w:t>
      </w:r>
    </w:p>
    <w:p w14:paraId="2A6DD951" w14:textId="1B8BB72E" w:rsidR="004A4C7D" w:rsidRPr="004A4C7D" w:rsidRDefault="004A4C7D" w:rsidP="00E70671">
      <w:pPr>
        <w:numPr>
          <w:ilvl w:val="0"/>
          <w:numId w:val="51"/>
        </w:numPr>
        <w:tabs>
          <w:tab w:val="left" w:pos="431"/>
        </w:tabs>
        <w:spacing w:after="60"/>
        <w:ind w:left="714" w:hanging="357"/>
        <w:contextualSpacing/>
      </w:pPr>
      <w:r w:rsidRPr="004A4C7D">
        <w:t>Izrada izračuna ugljičnog otiska i izrada akcijskih planova poslovnih subjekata izvan ETS sustava</w:t>
      </w:r>
      <w:r w:rsidR="00F71A11">
        <w:t>,</w:t>
      </w:r>
    </w:p>
    <w:p w14:paraId="5336C8F9" w14:textId="3A353DBD" w:rsidR="004A4C7D" w:rsidRPr="004A4C7D" w:rsidRDefault="004A4C7D" w:rsidP="004A4C7D">
      <w:pPr>
        <w:numPr>
          <w:ilvl w:val="0"/>
          <w:numId w:val="51"/>
        </w:numPr>
        <w:tabs>
          <w:tab w:val="left" w:pos="431"/>
        </w:tabs>
        <w:spacing w:after="60"/>
        <w:ind w:left="714" w:hanging="357"/>
      </w:pPr>
      <w:r>
        <w:t>P</w:t>
      </w:r>
      <w:r w:rsidRPr="004A4C7D">
        <w:t>raćenje i analiza postignutog smanjenja ugljičnog otiska subjekata</w:t>
      </w:r>
      <w:r w:rsidR="00F71A11">
        <w:t>.</w:t>
      </w:r>
    </w:p>
    <w:p w14:paraId="27C36EAC" w14:textId="16201D82" w:rsidR="00F17535" w:rsidRPr="00E54EB2" w:rsidRDefault="00372CBA" w:rsidP="004623DD">
      <w:pPr>
        <w:rPr>
          <w:bCs/>
        </w:rPr>
      </w:pPr>
      <w:r w:rsidRPr="00372CBA">
        <w:rPr>
          <w:b/>
        </w:rPr>
        <w:t>Sredstva potrebna za provedbu:</w:t>
      </w:r>
      <w:r w:rsidRPr="00E54EB2">
        <w:rPr>
          <w:bCs/>
        </w:rPr>
        <w:t xml:space="preserve"> 376.000 EUR</w:t>
      </w:r>
    </w:p>
    <w:p w14:paraId="0FE65740" w14:textId="4B838804" w:rsidR="00095114" w:rsidRPr="00B47BDA" w:rsidRDefault="00095114" w:rsidP="004623DD">
      <w:r w:rsidRPr="00B47BDA">
        <w:rPr>
          <w:b/>
        </w:rPr>
        <w:t>Izvori financiranja:</w:t>
      </w:r>
      <w:r w:rsidRPr="00B47BDA">
        <w:t xml:space="preserve"> </w:t>
      </w:r>
      <w:r w:rsidR="00B40CDC">
        <w:rPr>
          <w:rStyle w:val="ui-provider"/>
        </w:rPr>
        <w:t>P</w:t>
      </w:r>
      <w:r w:rsidR="00F364E5">
        <w:rPr>
          <w:rStyle w:val="ui-provider"/>
        </w:rPr>
        <w:t>rihodi od prodaje emisijskih jedinica iz EU ETS-a</w:t>
      </w:r>
      <w:r w:rsidR="00F364E5" w:rsidRPr="00B47BDA" w:rsidDel="00F364E5">
        <w:t xml:space="preserve"> </w:t>
      </w:r>
      <w:r w:rsidR="006C1565" w:rsidRPr="00B47BDA">
        <w:t>FZ</w:t>
      </w:r>
      <w:r w:rsidR="007735BC" w:rsidRPr="00B47BDA">
        <w:t>OEU</w:t>
      </w:r>
      <w:r w:rsidR="00E51102">
        <w:t xml:space="preserve">; </w:t>
      </w:r>
      <w:r w:rsidR="726905E2">
        <w:t>P</w:t>
      </w:r>
      <w:r w:rsidR="292B4F18">
        <w:t>rogram</w:t>
      </w:r>
      <w:r w:rsidR="00E51102">
        <w:t xml:space="preserve"> Konkurentnost i kohezija 2021-2027;</w:t>
      </w:r>
      <w:r w:rsidR="00EA274C" w:rsidRPr="00B47BDA">
        <w:t xml:space="preserve"> </w:t>
      </w:r>
      <w:r w:rsidR="00F618B4">
        <w:t>državni proračun</w:t>
      </w:r>
      <w:r w:rsidR="00D366A7">
        <w:t xml:space="preserve"> (</w:t>
      </w:r>
      <w:r w:rsidR="004B6F71">
        <w:t>MZOZT</w:t>
      </w:r>
      <w:r w:rsidR="00D366A7">
        <w:t>)</w:t>
      </w:r>
      <w:r w:rsidR="00F05308">
        <w:t>.</w:t>
      </w:r>
    </w:p>
    <w:p w14:paraId="12ADD9BE" w14:textId="7CFE2643" w:rsidR="00095114" w:rsidRPr="00B47BDA" w:rsidRDefault="00095114" w:rsidP="004623DD">
      <w:r w:rsidRPr="00B47BDA">
        <w:rPr>
          <w:b/>
        </w:rPr>
        <w:t>Izvršno tijelo</w:t>
      </w:r>
      <w:r w:rsidRPr="00B47BDA">
        <w:t xml:space="preserve">: </w:t>
      </w:r>
      <w:r w:rsidR="00F86538" w:rsidRPr="00AE6008">
        <w:t>Ministarstvo zaštite okoliša i zelene tranzicije</w:t>
      </w:r>
      <w:r w:rsidR="00CD7AE6" w:rsidRPr="00B47BDA">
        <w:t>,</w:t>
      </w:r>
      <w:r w:rsidRPr="00B47BDA">
        <w:t xml:space="preserve"> FZOEU</w:t>
      </w:r>
      <w:r w:rsidR="00F05308">
        <w:t>.</w:t>
      </w:r>
    </w:p>
    <w:p w14:paraId="3286F6EF" w14:textId="1005E8C8" w:rsidR="00095114" w:rsidRPr="00B47BDA" w:rsidRDefault="00095114" w:rsidP="004623DD">
      <w:r w:rsidRPr="003A2A86">
        <w:rPr>
          <w:b/>
          <w:bCs/>
        </w:rPr>
        <w:t>Tijela za praćenje:</w:t>
      </w:r>
      <w:r w:rsidRPr="00B47BDA">
        <w:t xml:space="preserve"> </w:t>
      </w:r>
      <w:r w:rsidR="00073605" w:rsidRPr="00AE6008">
        <w:t>Ministarstvo zaštite okoliša i zelene tranzicije</w:t>
      </w:r>
      <w:r w:rsidR="00073605" w:rsidRPr="002D583E">
        <w:t>, M</w:t>
      </w:r>
      <w:r w:rsidR="00594C77">
        <w:t>inistarstvo financija</w:t>
      </w:r>
      <w:r w:rsidR="007B76B3">
        <w:t>, Ministarstvo pravosuđa, uprave i digitalne transformacije</w:t>
      </w:r>
      <w:r w:rsidR="004B3814">
        <w:t>.</w:t>
      </w:r>
    </w:p>
    <w:p w14:paraId="7EBC0F67" w14:textId="20108DFB" w:rsidR="00095114" w:rsidRPr="00B47BDA" w:rsidRDefault="00095114" w:rsidP="004623DD">
      <w:r w:rsidRPr="00B47BDA">
        <w:rPr>
          <w:b/>
        </w:rPr>
        <w:t>Učinak:</w:t>
      </w:r>
      <w:r w:rsidRPr="00B47BDA">
        <w:t xml:space="preserve"> </w:t>
      </w:r>
      <w:r w:rsidR="00187716" w:rsidRPr="00B47BDA">
        <w:t>Povećanje energetske učinkovitosti, povećanje korištenja OIE, poticanje održivog korištenja resursa i kružnog gospodarstva te ublažavanje klimatskih promjena kroz smanjenje emisija stakleničkih plinova poslovnih subjekata.</w:t>
      </w:r>
    </w:p>
    <w:p w14:paraId="0FA7E7CB" w14:textId="504EF259" w:rsidR="00095114" w:rsidRPr="00B47BDA" w:rsidRDefault="00095114" w:rsidP="004623DD">
      <w:r w:rsidRPr="00B47BDA">
        <w:rPr>
          <w:b/>
        </w:rPr>
        <w:t>Metoda praćenja:</w:t>
      </w:r>
      <w:r w:rsidRPr="00B47BDA">
        <w:t xml:space="preserve"> </w:t>
      </w:r>
      <w:r w:rsidR="00D33180" w:rsidRPr="00B47BDA">
        <w:t xml:space="preserve">Broj </w:t>
      </w:r>
      <w:r w:rsidR="00D33180">
        <w:t xml:space="preserve">jedinica javne uprave sa </w:t>
      </w:r>
      <w:r w:rsidR="00D33180" w:rsidRPr="000D1D55">
        <w:t>sustav</w:t>
      </w:r>
      <w:r w:rsidR="00D33180">
        <w:t>om</w:t>
      </w:r>
      <w:r w:rsidR="00D33180" w:rsidRPr="000D1D55">
        <w:t xml:space="preserve"> za poboljšanje okolišnih svojstava</w:t>
      </w:r>
      <w:r w:rsidR="00D33180" w:rsidRPr="00B47BDA">
        <w:t>;</w:t>
      </w:r>
      <w:r w:rsidR="00D33180">
        <w:t xml:space="preserve"> analiza nefinancijskih izvješća </w:t>
      </w:r>
      <w:r w:rsidR="00D33180" w:rsidRPr="002E3728">
        <w:t>u Registru</w:t>
      </w:r>
      <w:r w:rsidR="00D33180">
        <w:t xml:space="preserve"> </w:t>
      </w:r>
      <w:r w:rsidR="00D33180" w:rsidRPr="002E3728">
        <w:t>godišnjih financijskih izvještaja koji vodi Financijska</w:t>
      </w:r>
      <w:r w:rsidR="00D33180">
        <w:t xml:space="preserve"> </w:t>
      </w:r>
      <w:r w:rsidR="00D33180" w:rsidRPr="002E3728">
        <w:t>agencija</w:t>
      </w:r>
      <w:r w:rsidR="00D33180">
        <w:t>;</w:t>
      </w:r>
      <w:r w:rsidR="00D33180" w:rsidRPr="00B47BDA">
        <w:t xml:space="preserve"> izračun godišnjeg smanjenja emisije stakleničkih plinova za sve poslovne subjekte, koji sudjeluju u dobrovoljnom/obveznom programu izračuna i smanjenja uglji</w:t>
      </w:r>
      <w:r w:rsidR="00D33180">
        <w:t>čnog</w:t>
      </w:r>
      <w:r w:rsidR="00D33180" w:rsidRPr="00B47BDA">
        <w:t xml:space="preserve"> otiska.</w:t>
      </w:r>
    </w:p>
    <w:p w14:paraId="37741683" w14:textId="46918025" w:rsidR="00095114" w:rsidRPr="00B47BDA" w:rsidRDefault="00095114" w:rsidP="004623DD">
      <w:r w:rsidRPr="63259912">
        <w:rPr>
          <w:b/>
          <w:bCs/>
        </w:rPr>
        <w:t>Povezanost s drugim dimenzijama:</w:t>
      </w:r>
      <w:r w:rsidRPr="63259912">
        <w:t xml:space="preserve"> </w:t>
      </w:r>
      <w:r w:rsidR="00525724" w:rsidRPr="63259912">
        <w:t>Izračun i smanjenje ugljičnog otiska poslovnih subjekata doprinosi drugim dimenzijama, a naročito povećanju energetske učinkovitosti i većem korištenju OIE (dekarbonizacija). Provođenje mjere utječe i na povećanje energetske sigurnosti te na istraživanje, inovacije i konkurentnost.</w:t>
      </w:r>
    </w:p>
    <w:p w14:paraId="56BD7E04" w14:textId="00A66914" w:rsidR="0013578C" w:rsidRPr="00B47BDA" w:rsidRDefault="00095114" w:rsidP="004623DD">
      <w:r w:rsidRPr="00B47BDA">
        <w:rPr>
          <w:b/>
        </w:rPr>
        <w:t>Istraživanje i razvoj:</w:t>
      </w:r>
      <w:r w:rsidRPr="00B47BDA">
        <w:t xml:space="preserve"> Potiče se primjena inovativnih mjera za smanjenje </w:t>
      </w:r>
      <w:r w:rsidR="00805767" w:rsidRPr="00B47BDA">
        <w:t>uglji</w:t>
      </w:r>
      <w:r w:rsidR="00805767">
        <w:t>čnog</w:t>
      </w:r>
      <w:r w:rsidR="00805767" w:rsidRPr="00B47BDA">
        <w:t xml:space="preserve"> </w:t>
      </w:r>
      <w:r w:rsidRPr="00B47BDA">
        <w:t>otiska, a koje su posljedica istraživanja i razvoja.</w:t>
      </w:r>
    </w:p>
    <w:p w14:paraId="5BE8ACE5" w14:textId="1ECDE3A2" w:rsidR="005122F7" w:rsidRPr="00B47BDA" w:rsidRDefault="005122F7" w:rsidP="00CF06E5">
      <w:pPr>
        <w:pStyle w:val="Mjeranaslov"/>
        <w:rPr>
          <w:lang w:eastAsia="hr-HR"/>
        </w:rPr>
      </w:pPr>
      <w:r w:rsidRPr="00B47BDA">
        <w:rPr>
          <w:lang w:eastAsia="hr-HR"/>
        </w:rPr>
        <w:t>MS-</w:t>
      </w:r>
      <w:r w:rsidR="00AA4496">
        <w:rPr>
          <w:lang w:eastAsia="hr-HR"/>
        </w:rPr>
        <w:t>8</w:t>
      </w:r>
      <w:r w:rsidRPr="00B47BDA">
        <w:rPr>
          <w:lang w:eastAsia="hr-HR"/>
        </w:rPr>
        <w:t xml:space="preserve"> U</w:t>
      </w:r>
      <w:r w:rsidR="00C62CA2">
        <w:rPr>
          <w:lang w:eastAsia="hr-HR"/>
        </w:rPr>
        <w:t>naprjeđenje IT</w:t>
      </w:r>
      <w:r w:rsidRPr="00B47BDA">
        <w:rPr>
          <w:lang w:eastAsia="hr-HR"/>
        </w:rPr>
        <w:t xml:space="preserve"> platforme </w:t>
      </w:r>
      <w:r w:rsidR="00C62CA2">
        <w:rPr>
          <w:lang w:eastAsia="hr-HR"/>
        </w:rPr>
        <w:t>gospodarenj</w:t>
      </w:r>
      <w:r w:rsidR="005D2DC2">
        <w:rPr>
          <w:lang w:eastAsia="hr-HR"/>
        </w:rPr>
        <w:t>a</w:t>
      </w:r>
      <w:r w:rsidR="00C62CA2">
        <w:rPr>
          <w:lang w:eastAsia="hr-HR"/>
        </w:rPr>
        <w:t xml:space="preserve"> otpadom</w:t>
      </w:r>
    </w:p>
    <w:p w14:paraId="083DABC1" w14:textId="5BA281F6" w:rsidR="005122F7" w:rsidRPr="00B47BDA" w:rsidRDefault="005122F7" w:rsidP="004623DD">
      <w:pPr>
        <w:rPr>
          <w:lang w:eastAsia="hr-HR"/>
        </w:rPr>
      </w:pPr>
      <w:r w:rsidRPr="00B47BDA">
        <w:rPr>
          <w:lang w:eastAsia="hr-HR"/>
        </w:rPr>
        <w:t>Informativna, obrazovna, regulatorna mjera; provedba: 202</w:t>
      </w:r>
      <w:r w:rsidR="00C62CA2">
        <w:rPr>
          <w:lang w:eastAsia="hr-HR"/>
        </w:rPr>
        <w:t>4</w:t>
      </w:r>
      <w:r w:rsidRPr="00B47BDA">
        <w:rPr>
          <w:lang w:eastAsia="hr-HR"/>
        </w:rPr>
        <w:t>. - 2030.</w:t>
      </w:r>
    </w:p>
    <w:p w14:paraId="40F2D2E5" w14:textId="082D6C73" w:rsidR="005122F7" w:rsidRPr="00B47BDA" w:rsidRDefault="005122F7" w:rsidP="63259912">
      <w:pPr>
        <w:rPr>
          <w:lang w:eastAsia="hr-HR"/>
        </w:rPr>
      </w:pPr>
      <w:r w:rsidRPr="63259912">
        <w:rPr>
          <w:b/>
          <w:bCs/>
          <w:lang w:eastAsia="hr-HR"/>
        </w:rPr>
        <w:t>Cilj i opis mjere:</w:t>
      </w:r>
      <w:r w:rsidRPr="63259912">
        <w:rPr>
          <w:lang w:eastAsia="hr-HR"/>
        </w:rPr>
        <w:t xml:space="preserve"> U Novom akcijskom planu za kružno gospodarstvo, COM(2020) 98 final, predstavljen je skup međusobno povezanih inicijativa za uspostavu čvrstog i usklađenog okvira politike u kojem održivi proizvodi, usluge i poslovni modeli postaju standard</w:t>
      </w:r>
      <w:r w:rsidR="00D24032" w:rsidRPr="63259912">
        <w:rPr>
          <w:lang w:eastAsia="hr-HR"/>
        </w:rPr>
        <w:t>,</w:t>
      </w:r>
      <w:r w:rsidRPr="63259912">
        <w:rPr>
          <w:lang w:eastAsia="hr-HR"/>
        </w:rPr>
        <w:t xml:space="preserve"> a obrasci potrošnje transformiraju se tako da se otpad niti ne proizvodi. Taj se okvir politike o proizvodima uvodi postupno, pri čemu su prioritet lanci vrijednosti ključnih proizvoda. </w:t>
      </w:r>
    </w:p>
    <w:p w14:paraId="3E91757B" w14:textId="77777777" w:rsidR="005122F7" w:rsidRPr="00B47BDA" w:rsidRDefault="005122F7" w:rsidP="004623DD">
      <w:pPr>
        <w:rPr>
          <w:lang w:eastAsia="hr-HR"/>
        </w:rPr>
      </w:pPr>
      <w:r w:rsidRPr="00B47BDA">
        <w:rPr>
          <w:lang w:eastAsia="hr-HR"/>
        </w:rPr>
        <w:t>Stopa kružnosti hrvatskog gospodarstva je vrlo niska, što znači da se većina materijala koje trošimo ne vraća u gospodarstvo kao sirovina. Potrebno je razraditi sustavni pristup u svim vrijednosnim lancima koji se odnose na hrvatsko gospodarstvo, a uključuju mjere navedene u Novom akcijskom planu za kružno gospodarstvo, na čijem temelju EK integrira načela kružnog gospodarstva u proizvodnju i potrošnju plastike, gospodarenje vodama, prehrambene sustave, gospodarenje posebnim tokovima otpada i dr.</w:t>
      </w:r>
    </w:p>
    <w:p w14:paraId="6D54C4CD" w14:textId="4546C186" w:rsidR="005122F7" w:rsidRDefault="2CDB92E0" w:rsidP="004623DD">
      <w:pPr>
        <w:rPr>
          <w:lang w:eastAsia="hr-HR"/>
        </w:rPr>
      </w:pPr>
      <w:r w:rsidRPr="1C9333AB">
        <w:rPr>
          <w:lang w:eastAsia="hr-HR"/>
        </w:rPr>
        <w:lastRenderedPageBreak/>
        <w:t>Za uspješan prelazak Hrvatske na kružno gospodarstvo potreban je politički i gospodarski odaziv koji zahtijeva blisku suradnju svih dionika: vlade, poduzeća, civilnog društva, akademske zajednice, medija i građana. S tim ciljem, osn</w:t>
      </w:r>
      <w:r w:rsidR="35883CA7" w:rsidRPr="1C9333AB">
        <w:rPr>
          <w:lang w:eastAsia="hr-HR"/>
        </w:rPr>
        <w:t>o</w:t>
      </w:r>
      <w:r w:rsidRPr="1C9333AB">
        <w:rPr>
          <w:lang w:eastAsia="hr-HR"/>
        </w:rPr>
        <w:t>van</w:t>
      </w:r>
      <w:r w:rsidR="35883CA7" w:rsidRPr="1C9333AB">
        <w:rPr>
          <w:lang w:eastAsia="hr-HR"/>
        </w:rPr>
        <w:t xml:space="preserve"> </w:t>
      </w:r>
      <w:r w:rsidRPr="1C9333AB">
        <w:rPr>
          <w:lang w:eastAsia="hr-HR"/>
        </w:rPr>
        <w:t>je Odbor za kružno gospodarstvo, interdisciplinarno savjetodavno tijel</w:t>
      </w:r>
      <w:r w:rsidR="35883CA7" w:rsidRPr="1C9333AB">
        <w:rPr>
          <w:lang w:eastAsia="hr-HR"/>
        </w:rPr>
        <w:t>o</w:t>
      </w:r>
      <w:r w:rsidRPr="1C9333AB">
        <w:rPr>
          <w:lang w:eastAsia="hr-HR"/>
        </w:rPr>
        <w:t xml:space="preserve"> Ministarstva </w:t>
      </w:r>
      <w:r w:rsidR="00631165">
        <w:rPr>
          <w:lang w:eastAsia="hr-HR"/>
        </w:rPr>
        <w:t>zaštite oko</w:t>
      </w:r>
      <w:r w:rsidR="009F20DE">
        <w:rPr>
          <w:lang w:eastAsia="hr-HR"/>
        </w:rPr>
        <w:t>liša i zelene tranzicije</w:t>
      </w:r>
      <w:r w:rsidRPr="1C9333AB">
        <w:rPr>
          <w:lang w:eastAsia="hr-HR"/>
        </w:rPr>
        <w:t>. Članovi odbora dolaze iz 14 organizacija i strukovnih udruženja zastupajući sve ključne sektore - javni, privatni, znanstveno-istraživački i civilni. Zadaća Odbora je razmjenjivati znanja i pružati stručnu podršku za jačanje suradnje među svim sektorima te usmjeravanje načina razmišljanja kako bi se poboljšala dugovječnost proizvoda i njihovo recikliranje. Jedna od inicijativa Odbora je uspostava digitalne platforme za kružno gospodarstvo</w:t>
      </w:r>
      <w:r w:rsidR="52042342" w:rsidRPr="1C9333AB">
        <w:rPr>
          <w:lang w:eastAsia="hr-HR"/>
        </w:rPr>
        <w:t>, sastavnog dijela IT platforme gospodarenja otpadom</w:t>
      </w:r>
      <w:r w:rsidR="25CB433B" w:rsidRPr="1C9333AB">
        <w:rPr>
          <w:lang w:eastAsia="hr-HR"/>
        </w:rPr>
        <w:t xml:space="preserve">, koja predstavlja </w:t>
      </w:r>
      <w:r w:rsidRPr="1C9333AB">
        <w:rPr>
          <w:lang w:eastAsia="hr-HR"/>
        </w:rPr>
        <w:t>prostor za razmjenu znanja, inovacija i najboljih praksi među svim dionicima</w:t>
      </w:r>
      <w:r w:rsidR="52054826" w:rsidRPr="1C9333AB">
        <w:rPr>
          <w:lang w:eastAsia="hr-HR"/>
        </w:rPr>
        <w:t xml:space="preserve">, s ciljem kreiranja </w:t>
      </w:r>
      <w:r w:rsidR="6D5A1BF6" w:rsidRPr="1C9333AB">
        <w:rPr>
          <w:lang w:eastAsia="hr-HR"/>
        </w:rPr>
        <w:t>i prilagođavanja kružnih tehnologija</w:t>
      </w:r>
      <w:r w:rsidRPr="1C9333AB">
        <w:rPr>
          <w:lang w:eastAsia="hr-HR"/>
        </w:rPr>
        <w:t>. Prema dionicima kružnog gospodarstva potrebno je napraviti Nacionalni akcijski plan za tranziciju na kružno gospodarstvo kroz prilagodbu zakonodavnog okvira. Uključivanje predstavnika RH u Europsku platformu dionika kružnog gospodarstva omogućuje izravan pristup inovacijama i najboljim praksama kao i suradnju u istima. Mjera je povezana s MS-</w:t>
      </w:r>
      <w:r w:rsidR="3426504C" w:rsidRPr="1C9333AB">
        <w:rPr>
          <w:lang w:eastAsia="hr-HR"/>
        </w:rPr>
        <w:t>9</w:t>
      </w:r>
      <w:r w:rsidRPr="1C9333AB">
        <w:rPr>
          <w:lang w:eastAsia="hr-HR"/>
        </w:rPr>
        <w:t xml:space="preserve"> i svim mjerama u sektoru Otpad i kružno gospodarstvo.</w:t>
      </w:r>
    </w:p>
    <w:p w14:paraId="680ED37F" w14:textId="77777777" w:rsidR="005122F7" w:rsidRPr="003A2A86" w:rsidRDefault="005122F7" w:rsidP="004623DD">
      <w:pPr>
        <w:rPr>
          <w:b/>
          <w:bCs/>
          <w:lang w:eastAsia="hr-HR"/>
        </w:rPr>
      </w:pPr>
      <w:bookmarkStart w:id="415" w:name="_Hlk133492887"/>
      <w:r w:rsidRPr="003A2A86">
        <w:rPr>
          <w:b/>
          <w:bCs/>
          <w:lang w:eastAsia="hr-HR"/>
        </w:rPr>
        <w:t>Aktivnosti:</w:t>
      </w:r>
    </w:p>
    <w:p w14:paraId="1BD4A60D" w14:textId="3BC75101" w:rsidR="005122F7" w:rsidRPr="008E340C" w:rsidRDefault="00722A48" w:rsidP="00CD0DC7">
      <w:pPr>
        <w:pStyle w:val="ListParagraph"/>
        <w:numPr>
          <w:ilvl w:val="1"/>
          <w:numId w:val="85"/>
        </w:numPr>
        <w:spacing w:after="60"/>
      </w:pPr>
      <w:r w:rsidRPr="008E340C">
        <w:t>Aktivnosti</w:t>
      </w:r>
      <w:r w:rsidR="005122F7" w:rsidRPr="008E340C">
        <w:t xml:space="preserve"> Odbora za kružno gospodarstvo</w:t>
      </w:r>
      <w:r w:rsidR="001D3AC3" w:rsidRPr="008E340C">
        <w:t xml:space="preserve"> – pružanje stručne podrške za jačanje suradnje među svim sektorima</w:t>
      </w:r>
      <w:r w:rsidR="005122F7" w:rsidRPr="008E340C">
        <w:t>;</w:t>
      </w:r>
    </w:p>
    <w:p w14:paraId="47F2FE50" w14:textId="687B55D3" w:rsidR="005122F7" w:rsidRPr="008E340C" w:rsidRDefault="005122F7" w:rsidP="00CD0DC7">
      <w:pPr>
        <w:pStyle w:val="ListParagraph"/>
        <w:numPr>
          <w:ilvl w:val="1"/>
          <w:numId w:val="85"/>
        </w:numPr>
        <w:spacing w:after="60"/>
      </w:pPr>
      <w:r w:rsidRPr="008E340C">
        <w:t>U</w:t>
      </w:r>
      <w:r w:rsidR="001D3AC3" w:rsidRPr="008E340C">
        <w:t>naprjeđenje</w:t>
      </w:r>
      <w:r w:rsidRPr="008E340C">
        <w:t xml:space="preserve"> digitalne platforme za kružno gospodarstvo</w:t>
      </w:r>
      <w:r w:rsidR="001D3AC3" w:rsidRPr="008E340C">
        <w:t xml:space="preserve"> – razmjena znanja</w:t>
      </w:r>
      <w:r w:rsidR="00D56D45" w:rsidRPr="008E340C">
        <w:t>, inovacija i najboljih praksi među svim dionicima</w:t>
      </w:r>
      <w:r w:rsidRPr="008E340C">
        <w:t>;</w:t>
      </w:r>
    </w:p>
    <w:p w14:paraId="501328BD" w14:textId="77777777" w:rsidR="005122F7" w:rsidRPr="008E340C" w:rsidRDefault="005122F7" w:rsidP="00CD0DC7">
      <w:pPr>
        <w:pStyle w:val="ListParagraph"/>
        <w:numPr>
          <w:ilvl w:val="1"/>
          <w:numId w:val="85"/>
        </w:numPr>
        <w:spacing w:after="60"/>
      </w:pPr>
      <w:r w:rsidRPr="008E340C">
        <w:t>Izrada Nacionalnog akcijskog plana za tranziciju na kružno gospodarstvo;</w:t>
      </w:r>
    </w:p>
    <w:p w14:paraId="0A0EC729" w14:textId="77777777" w:rsidR="005122F7" w:rsidRPr="008E340C" w:rsidRDefault="005122F7" w:rsidP="00CD0DC7">
      <w:pPr>
        <w:pStyle w:val="ListParagraph"/>
        <w:numPr>
          <w:ilvl w:val="1"/>
          <w:numId w:val="85"/>
        </w:numPr>
        <w:spacing w:after="60"/>
      </w:pPr>
      <w:r w:rsidRPr="008E340C">
        <w:t>Uključivanje predstavnika RH u Europsku platformu dionika kružnog gospodarstva.</w:t>
      </w:r>
    </w:p>
    <w:p w14:paraId="049FC427" w14:textId="1657A0D1" w:rsidR="005122F7" w:rsidRPr="00B47BDA" w:rsidRDefault="005122F7" w:rsidP="004623DD">
      <w:pPr>
        <w:rPr>
          <w:lang w:eastAsia="hr-HR"/>
        </w:rPr>
      </w:pPr>
      <w:r w:rsidRPr="00B47BDA">
        <w:rPr>
          <w:b/>
          <w:lang w:eastAsia="hr-HR"/>
        </w:rPr>
        <w:t>Izvori financiranja:</w:t>
      </w:r>
      <w:r w:rsidRPr="00B47BDA">
        <w:rPr>
          <w:lang w:eastAsia="hr-HR"/>
        </w:rPr>
        <w:t xml:space="preserve"> </w:t>
      </w:r>
      <w:r w:rsidR="0058212A" w:rsidRPr="008E340C">
        <w:rPr>
          <w:lang w:eastAsia="hr-HR"/>
        </w:rPr>
        <w:t>Državni proračun, Program konkurentnost i kohezija 2021. - 2027., Modernizacijski fond, Fond za zaštitu okoliša i energetsku učinkovitost (FZOEU), Inovacijski fond, Program Obzor Europa.</w:t>
      </w:r>
    </w:p>
    <w:p w14:paraId="0034C4BE" w14:textId="3B207E5F" w:rsidR="005122F7" w:rsidRPr="00B47BDA" w:rsidRDefault="005122F7" w:rsidP="004623DD">
      <w:pPr>
        <w:rPr>
          <w:lang w:eastAsia="hr-HR"/>
        </w:rPr>
      </w:pPr>
      <w:r w:rsidRPr="00B47BDA">
        <w:rPr>
          <w:b/>
          <w:lang w:eastAsia="hr-HR"/>
        </w:rPr>
        <w:t>Izvršno tijelo:</w:t>
      </w:r>
      <w:r w:rsidRPr="00B47BDA">
        <w:rPr>
          <w:lang w:eastAsia="hr-HR"/>
        </w:rPr>
        <w:t xml:space="preserve"> </w:t>
      </w:r>
      <w:r w:rsidR="0058376A">
        <w:rPr>
          <w:lang w:eastAsia="hr-HR"/>
        </w:rPr>
        <w:t>MZOZT</w:t>
      </w:r>
      <w:r w:rsidR="00F05308">
        <w:rPr>
          <w:lang w:eastAsia="hr-HR"/>
        </w:rPr>
        <w:t>.</w:t>
      </w:r>
    </w:p>
    <w:p w14:paraId="036C65D3" w14:textId="689CE5CA" w:rsidR="005122F7" w:rsidRPr="00B47BDA" w:rsidRDefault="005122F7" w:rsidP="004623DD">
      <w:pPr>
        <w:rPr>
          <w:lang w:eastAsia="hr-HR"/>
        </w:rPr>
      </w:pPr>
      <w:r w:rsidRPr="00B47BDA">
        <w:rPr>
          <w:b/>
          <w:lang w:eastAsia="hr-HR"/>
        </w:rPr>
        <w:t>Tijela za praćenje:</w:t>
      </w:r>
      <w:r w:rsidRPr="00B47BDA">
        <w:rPr>
          <w:lang w:eastAsia="hr-HR"/>
        </w:rPr>
        <w:t xml:space="preserve"> Ministarstvo poljoprivrede</w:t>
      </w:r>
      <w:r w:rsidR="002E5E7B">
        <w:rPr>
          <w:lang w:eastAsia="hr-HR"/>
        </w:rPr>
        <w:t>, šumarstva i ribarstva</w:t>
      </w:r>
      <w:r w:rsidRPr="00B47BDA">
        <w:rPr>
          <w:lang w:eastAsia="hr-HR"/>
        </w:rPr>
        <w:t xml:space="preserve"> (MP</w:t>
      </w:r>
      <w:r w:rsidR="002E5E7B">
        <w:rPr>
          <w:lang w:eastAsia="hr-HR"/>
        </w:rPr>
        <w:t>S</w:t>
      </w:r>
      <w:r w:rsidRPr="00B47BDA">
        <w:rPr>
          <w:lang w:eastAsia="hr-HR"/>
        </w:rPr>
        <w:t>), Ministarstvo prostornog uređenja, graditeljstva i državne imovine (</w:t>
      </w:r>
      <w:r w:rsidR="009F1C94">
        <w:rPr>
          <w:rFonts w:eastAsia="Calibri"/>
        </w:rPr>
        <w:t>MPGI</w:t>
      </w:r>
      <w:r w:rsidRPr="00B47BDA">
        <w:rPr>
          <w:lang w:eastAsia="hr-HR"/>
        </w:rPr>
        <w:t>), Ministarstvo znanosti</w:t>
      </w:r>
      <w:r w:rsidR="002E5E7B">
        <w:rPr>
          <w:lang w:eastAsia="hr-HR"/>
        </w:rPr>
        <w:t>,</w:t>
      </w:r>
      <w:r w:rsidRPr="00B47BDA">
        <w:rPr>
          <w:lang w:eastAsia="hr-HR"/>
        </w:rPr>
        <w:t xml:space="preserve"> obrazovanja </w:t>
      </w:r>
      <w:r w:rsidR="002E5E7B">
        <w:rPr>
          <w:lang w:eastAsia="hr-HR"/>
        </w:rPr>
        <w:t xml:space="preserve">i mladih </w:t>
      </w:r>
      <w:r w:rsidRPr="00B47BDA">
        <w:rPr>
          <w:lang w:eastAsia="hr-HR"/>
        </w:rPr>
        <w:t>(MZO</w:t>
      </w:r>
      <w:r w:rsidR="00AD324D">
        <w:rPr>
          <w:lang w:eastAsia="hr-HR"/>
        </w:rPr>
        <w:t>M</w:t>
      </w:r>
      <w:r w:rsidRPr="00B47BDA">
        <w:rPr>
          <w:lang w:eastAsia="hr-HR"/>
        </w:rPr>
        <w:t>), Hrvatska gospodarska komora (HGK)</w:t>
      </w:r>
      <w:r w:rsidR="0010227D">
        <w:rPr>
          <w:lang w:eastAsia="hr-HR"/>
        </w:rPr>
        <w:t xml:space="preserve">, </w:t>
      </w:r>
      <w:r w:rsidR="00094866" w:rsidRPr="008E340C">
        <w:rPr>
          <w:lang w:eastAsia="hr-HR"/>
        </w:rPr>
        <w:t>Ministarstvo regionalnog razvoja i fondova Europske unije</w:t>
      </w:r>
      <w:r w:rsidRPr="00B47BDA">
        <w:rPr>
          <w:lang w:eastAsia="hr-HR"/>
        </w:rPr>
        <w:t>.</w:t>
      </w:r>
    </w:p>
    <w:p w14:paraId="708AF6FD" w14:textId="77777777" w:rsidR="005122F7" w:rsidRPr="003A2A86" w:rsidRDefault="005122F7" w:rsidP="004623DD">
      <w:pPr>
        <w:rPr>
          <w:b/>
          <w:bCs/>
          <w:lang w:eastAsia="hr-HR"/>
        </w:rPr>
      </w:pPr>
      <w:r w:rsidRPr="003A2A86">
        <w:rPr>
          <w:b/>
          <w:bCs/>
          <w:lang w:eastAsia="hr-HR"/>
        </w:rPr>
        <w:t>Učinak:</w:t>
      </w:r>
    </w:p>
    <w:p w14:paraId="1E323DFC" w14:textId="77777777" w:rsidR="005122F7" w:rsidRPr="00B97363" w:rsidRDefault="005122F7" w:rsidP="00CD0DC7">
      <w:pPr>
        <w:pStyle w:val="ListParagraph"/>
        <w:numPr>
          <w:ilvl w:val="1"/>
          <w:numId w:val="85"/>
        </w:numPr>
        <w:spacing w:after="60"/>
        <w:ind w:left="1434" w:hanging="357"/>
      </w:pPr>
      <w:r w:rsidRPr="00B97363">
        <w:t>Poticanje održivog korištenja resursa i kružnog gospodarstva;</w:t>
      </w:r>
    </w:p>
    <w:p w14:paraId="0880B9CD" w14:textId="77777777" w:rsidR="005122F7" w:rsidRPr="00B97363" w:rsidRDefault="005122F7" w:rsidP="00CD0DC7">
      <w:pPr>
        <w:pStyle w:val="ListParagraph"/>
        <w:numPr>
          <w:ilvl w:val="1"/>
          <w:numId w:val="85"/>
        </w:numPr>
        <w:spacing w:after="60"/>
        <w:ind w:left="1434" w:hanging="357"/>
      </w:pPr>
      <w:r w:rsidRPr="00B97363">
        <w:t>Ublažavanje klimatskih promjena kroz smanjenje emisija stakleničkih plinova;</w:t>
      </w:r>
    </w:p>
    <w:p w14:paraId="4D64AB5D" w14:textId="77777777" w:rsidR="005122F7" w:rsidRPr="00B97363" w:rsidRDefault="005122F7" w:rsidP="00CD0DC7">
      <w:pPr>
        <w:pStyle w:val="ListParagraph"/>
        <w:numPr>
          <w:ilvl w:val="1"/>
          <w:numId w:val="85"/>
        </w:numPr>
        <w:spacing w:after="60"/>
        <w:ind w:left="1434" w:hanging="357"/>
      </w:pPr>
      <w:r w:rsidRPr="00B97363">
        <w:t>Izravan pristup inovacijama i najboljim praksama kroz Europsku platformu dionika kružnog gospodarstva;</w:t>
      </w:r>
    </w:p>
    <w:p w14:paraId="2A0EE9F9" w14:textId="77777777" w:rsidR="005122F7" w:rsidRPr="00B97363" w:rsidRDefault="005122F7" w:rsidP="00CD0DC7">
      <w:pPr>
        <w:pStyle w:val="ListParagraph"/>
        <w:numPr>
          <w:ilvl w:val="1"/>
          <w:numId w:val="85"/>
        </w:numPr>
        <w:spacing w:after="60"/>
        <w:ind w:left="1434" w:hanging="357"/>
      </w:pPr>
      <w:r w:rsidRPr="00B97363">
        <w:t>Nacionalni akcijski plan za tranziciju na kružno gospodarstvo kroz prilagodbu zakonodavnog okvira.</w:t>
      </w:r>
    </w:p>
    <w:p w14:paraId="1932D179" w14:textId="77777777" w:rsidR="005122F7" w:rsidRPr="003A2A86" w:rsidRDefault="005122F7" w:rsidP="004623DD">
      <w:pPr>
        <w:rPr>
          <w:b/>
          <w:bCs/>
          <w:lang w:eastAsia="hr-HR"/>
        </w:rPr>
      </w:pPr>
      <w:r w:rsidRPr="003A2A86">
        <w:rPr>
          <w:b/>
          <w:bCs/>
          <w:lang w:eastAsia="hr-HR"/>
        </w:rPr>
        <w:t xml:space="preserve">Metoda praćenja: </w:t>
      </w:r>
    </w:p>
    <w:p w14:paraId="742B875B" w14:textId="591D44C1" w:rsidR="00F26256" w:rsidRPr="00A12BA0" w:rsidRDefault="00A12BA0" w:rsidP="00CD0DC7">
      <w:pPr>
        <w:pStyle w:val="ListParagraph"/>
        <w:numPr>
          <w:ilvl w:val="1"/>
          <w:numId w:val="85"/>
        </w:numPr>
        <w:spacing w:after="60"/>
      </w:pPr>
      <w:r w:rsidRPr="008E340C">
        <w:lastRenderedPageBreak/>
        <w:t>Izvješće o provedbi Plana gospodarenja otpadom Republike Hrvatske za razdoblje 2023. - 2028. godine;</w:t>
      </w:r>
    </w:p>
    <w:p w14:paraId="4D9AC488" w14:textId="3E1985B7" w:rsidR="005122F7" w:rsidRDefault="005122F7" w:rsidP="00CD0DC7">
      <w:pPr>
        <w:pStyle w:val="ListParagraph"/>
        <w:numPr>
          <w:ilvl w:val="1"/>
          <w:numId w:val="85"/>
        </w:numPr>
        <w:spacing w:after="60"/>
      </w:pPr>
      <w:r w:rsidRPr="00B47BDA">
        <w:t>Izvješće o provedbi politika i mjera za smanjenje emisija stakleničkih plinova;</w:t>
      </w:r>
    </w:p>
    <w:p w14:paraId="5167BDF7" w14:textId="77777777" w:rsidR="005122F7" w:rsidRPr="00B47BDA" w:rsidRDefault="005122F7" w:rsidP="00CD0DC7">
      <w:pPr>
        <w:pStyle w:val="ListParagraph"/>
        <w:numPr>
          <w:ilvl w:val="1"/>
          <w:numId w:val="85"/>
        </w:numPr>
        <w:spacing w:after="60"/>
      </w:pPr>
      <w:r w:rsidRPr="00B47BDA">
        <w:t>Uključivanje predstavnika RH u Europsku platformu dionika kružnog gospodarstva.</w:t>
      </w:r>
    </w:p>
    <w:p w14:paraId="13EF8573" w14:textId="77777777" w:rsidR="005122F7" w:rsidRPr="00B47BDA" w:rsidRDefault="005122F7" w:rsidP="004623DD">
      <w:pPr>
        <w:rPr>
          <w:lang w:eastAsia="hr-HR"/>
        </w:rPr>
      </w:pPr>
      <w:r w:rsidRPr="00B47BDA">
        <w:rPr>
          <w:b/>
          <w:lang w:eastAsia="hr-HR"/>
        </w:rPr>
        <w:t>Pokazatelj provedbe mjere (indikator):</w:t>
      </w:r>
      <w:r w:rsidRPr="00B47BDA">
        <w:rPr>
          <w:lang w:eastAsia="hr-HR"/>
        </w:rPr>
        <w:t xml:space="preserve"> Izravan pristup inovacijama i najboljim praksama kroz Europsku platformu dionika kružnog gospodarstva.</w:t>
      </w:r>
    </w:p>
    <w:p w14:paraId="66DF42A6" w14:textId="77777777" w:rsidR="005122F7" w:rsidRPr="00B47BDA" w:rsidRDefault="005122F7" w:rsidP="004623DD">
      <w:pPr>
        <w:rPr>
          <w:lang w:eastAsia="hr-HR"/>
        </w:rPr>
      </w:pPr>
      <w:r w:rsidRPr="00B47BDA">
        <w:rPr>
          <w:b/>
          <w:lang w:eastAsia="hr-HR"/>
        </w:rPr>
        <w:t>Povezanost s drugim dimenzijama:</w:t>
      </w:r>
      <w:r w:rsidRPr="00B47BDA">
        <w:rPr>
          <w:lang w:eastAsia="hr-HR"/>
        </w:rPr>
        <w:t xml:space="preserve"> Istraživanje, inovacije i konkurentnost</w:t>
      </w:r>
    </w:p>
    <w:p w14:paraId="2EFA2286" w14:textId="68364183" w:rsidR="005122F7" w:rsidRPr="00B47BDA" w:rsidRDefault="005122F7" w:rsidP="004623DD">
      <w:pPr>
        <w:rPr>
          <w:lang w:eastAsia="hr-HR"/>
        </w:rPr>
      </w:pPr>
      <w:r w:rsidRPr="00B47BDA">
        <w:rPr>
          <w:b/>
          <w:lang w:eastAsia="hr-HR"/>
        </w:rPr>
        <w:t>Istraživanje i razvoj:</w:t>
      </w:r>
      <w:r w:rsidRPr="00B47BDA">
        <w:rPr>
          <w:lang w:eastAsia="hr-HR"/>
        </w:rPr>
        <w:t xml:space="preserve"> Izravan pristup inovacijama i najboljim praksama kroz Europsku platformu dionika kružnog gospodarstva.</w:t>
      </w:r>
    </w:p>
    <w:bookmarkEnd w:id="415"/>
    <w:p w14:paraId="5E1E6998" w14:textId="4F8D5EE4" w:rsidR="003A6103" w:rsidRPr="00B47BDA" w:rsidRDefault="004506FD" w:rsidP="00CF06E5">
      <w:pPr>
        <w:pStyle w:val="Mjeranaslov"/>
      </w:pPr>
      <w:r w:rsidRPr="63259912">
        <w:t>MS-</w:t>
      </w:r>
      <w:r w:rsidR="00AA4496" w:rsidRPr="63259912">
        <w:t>9</w:t>
      </w:r>
      <w:r w:rsidR="003A6103" w:rsidRPr="63259912">
        <w:t xml:space="preserve"> </w:t>
      </w:r>
      <w:r w:rsidR="00CF4502" w:rsidRPr="63259912">
        <w:t>Transformacija sektora</w:t>
      </w:r>
      <w:r w:rsidR="00C22AE0" w:rsidRPr="63259912">
        <w:t xml:space="preserve"> biogospodarstva </w:t>
      </w:r>
    </w:p>
    <w:p w14:paraId="458CEDCC" w14:textId="758A45B8" w:rsidR="005D0343" w:rsidRPr="00BF7FF2" w:rsidRDefault="00D75E39" w:rsidP="004623DD">
      <w:pPr>
        <w:rPr>
          <w:rFonts w:asciiTheme="minorHAnsi" w:hAnsiTheme="minorHAnsi" w:cstheme="minorHAnsi"/>
        </w:rPr>
      </w:pPr>
      <w:r w:rsidRPr="00BF7FF2">
        <w:rPr>
          <w:rFonts w:asciiTheme="minorHAnsi" w:hAnsiTheme="minorHAnsi" w:cstheme="minorHAnsi"/>
        </w:rPr>
        <w:t>Ekonomska, i</w:t>
      </w:r>
      <w:r w:rsidR="005D0343" w:rsidRPr="00BF7FF2">
        <w:rPr>
          <w:rFonts w:asciiTheme="minorHAnsi" w:hAnsiTheme="minorHAnsi" w:cstheme="minorHAnsi"/>
        </w:rPr>
        <w:t>nforma</w:t>
      </w:r>
      <w:r w:rsidR="00CF4502" w:rsidRPr="00BF7FF2">
        <w:rPr>
          <w:rFonts w:asciiTheme="minorHAnsi" w:hAnsiTheme="minorHAnsi" w:cstheme="minorHAnsi"/>
        </w:rPr>
        <w:t>cijska</w:t>
      </w:r>
      <w:r w:rsidR="005D0343" w:rsidRPr="00BF7FF2">
        <w:rPr>
          <w:rFonts w:asciiTheme="minorHAnsi" w:hAnsiTheme="minorHAnsi" w:cstheme="minorHAnsi"/>
        </w:rPr>
        <w:t>, obrazovna, regulatorna mjera; provedba: 202</w:t>
      </w:r>
      <w:r w:rsidR="00CF4502" w:rsidRPr="00BF7FF2">
        <w:rPr>
          <w:rFonts w:asciiTheme="minorHAnsi" w:hAnsiTheme="minorHAnsi" w:cstheme="minorHAnsi"/>
        </w:rPr>
        <w:t>4</w:t>
      </w:r>
      <w:r w:rsidR="00024A39" w:rsidRPr="00BF7FF2">
        <w:rPr>
          <w:rFonts w:asciiTheme="minorHAnsi" w:hAnsiTheme="minorHAnsi" w:cstheme="minorHAnsi"/>
        </w:rPr>
        <w:t>.</w:t>
      </w:r>
      <w:r w:rsidR="005D0343" w:rsidRPr="00BF7FF2">
        <w:rPr>
          <w:rFonts w:asciiTheme="minorHAnsi" w:hAnsiTheme="minorHAnsi" w:cstheme="minorHAnsi"/>
        </w:rPr>
        <w:t>-2030.</w:t>
      </w:r>
    </w:p>
    <w:p w14:paraId="1F9D0DC8" w14:textId="77777777" w:rsidR="00E95FD3" w:rsidRPr="00BF7FF2" w:rsidRDefault="00AB1044" w:rsidP="00E95FD3">
      <w:pPr>
        <w:rPr>
          <w:rFonts w:asciiTheme="minorHAnsi" w:hAnsiTheme="minorHAnsi" w:cstheme="minorHAnsi"/>
          <w:lang w:eastAsia="hr-HR"/>
        </w:rPr>
      </w:pPr>
      <w:r w:rsidRPr="00BF7FF2">
        <w:rPr>
          <w:rFonts w:asciiTheme="minorHAnsi" w:hAnsiTheme="minorHAnsi" w:cstheme="minorHAnsi"/>
          <w:b/>
        </w:rPr>
        <w:t>Cilj i opis mjere</w:t>
      </w:r>
      <w:r w:rsidR="00F836CA" w:rsidRPr="00BF7FF2">
        <w:rPr>
          <w:rFonts w:asciiTheme="minorHAnsi" w:hAnsiTheme="minorHAnsi" w:cstheme="minorHAnsi"/>
          <w:b/>
        </w:rPr>
        <w:t>:</w:t>
      </w:r>
      <w:r w:rsidRPr="00BF7FF2">
        <w:rPr>
          <w:rFonts w:asciiTheme="minorHAnsi" w:hAnsiTheme="minorHAnsi" w:cstheme="minorHAnsi"/>
        </w:rPr>
        <w:t xml:space="preserve"> </w:t>
      </w:r>
    </w:p>
    <w:p w14:paraId="2F60F266" w14:textId="6E508CAA" w:rsidR="00E95FD3" w:rsidRPr="00BF7FF2" w:rsidRDefault="00E95FD3" w:rsidP="63259912">
      <w:pPr>
        <w:rPr>
          <w:rFonts w:asciiTheme="minorHAnsi" w:hAnsiTheme="minorHAnsi" w:cstheme="minorBidi"/>
          <w:lang w:eastAsia="hr-HR"/>
        </w:rPr>
      </w:pPr>
      <w:r w:rsidRPr="63259912">
        <w:rPr>
          <w:rFonts w:asciiTheme="minorHAnsi" w:hAnsiTheme="minorHAnsi" w:cstheme="minorBidi"/>
          <w:lang w:eastAsia="hr-HR"/>
        </w:rPr>
        <w:t>U Strategiji za biogospodarstvo iz 2018. godine</w:t>
      </w:r>
      <w:r w:rsidRPr="63259912">
        <w:rPr>
          <w:rStyle w:val="FootnoteReference"/>
          <w:rFonts w:asciiTheme="minorHAnsi" w:hAnsiTheme="minorHAnsi" w:cstheme="minorBidi"/>
          <w:sz w:val="24"/>
          <w:lang w:eastAsia="hr-HR"/>
        </w:rPr>
        <w:footnoteReference w:id="26"/>
      </w:r>
      <w:r w:rsidRPr="63259912">
        <w:rPr>
          <w:rFonts w:asciiTheme="minorHAnsi" w:hAnsiTheme="minorHAnsi" w:cstheme="minorBidi"/>
          <w:lang w:eastAsia="hr-HR"/>
        </w:rPr>
        <w:t xml:space="preserve"> Europska komisija je dodatno naglasila značaj biogospodarstva kao sektora koji će, uz povećanje konkurentnost</w:t>
      </w:r>
      <w:r w:rsidR="004414D7" w:rsidRPr="63259912">
        <w:rPr>
          <w:rFonts w:asciiTheme="minorHAnsi" w:hAnsiTheme="minorHAnsi" w:cstheme="minorBidi"/>
          <w:lang w:eastAsia="hr-HR"/>
        </w:rPr>
        <w:t>i</w:t>
      </w:r>
      <w:r w:rsidRPr="63259912">
        <w:rPr>
          <w:rFonts w:asciiTheme="minorHAnsi" w:hAnsiTheme="minorHAnsi" w:cstheme="minorBidi"/>
          <w:lang w:eastAsia="hr-HR"/>
        </w:rPr>
        <w:t xml:space="preserve"> proizvodnje i stvaranje novih radnih mjesta u EU, uvelike doprinijeti ublažavanju klimatskih promjena. Ciljevima iz Strategije za biogospodarstvo iz 2012. godine (postizanje prehrambene sigurnosti, održivo upravljanje prirodnim resursima i ublažavanje klimatskih promjena i prilagodbu na njih) Europska komisija pridodala je smanjenje ovisnosti o neobnovljivim izvorima, jačanje europske konkurentnosti i otvaranje radnih mjesta. </w:t>
      </w:r>
    </w:p>
    <w:p w14:paraId="748D999D" w14:textId="217AC210" w:rsidR="003A6103" w:rsidRPr="00BF7FF2" w:rsidRDefault="51F3E022" w:rsidP="63259912">
      <w:pPr>
        <w:rPr>
          <w:rFonts w:asciiTheme="minorHAnsi" w:hAnsiTheme="minorHAnsi" w:cstheme="minorBidi"/>
        </w:rPr>
      </w:pPr>
      <w:r w:rsidRPr="63259912">
        <w:rPr>
          <w:rFonts w:asciiTheme="minorHAnsi" w:hAnsiTheme="minorHAnsi" w:cstheme="minorBidi"/>
          <w:lang w:eastAsia="hr-HR"/>
        </w:rPr>
        <w:t xml:space="preserve">Kako bi se potaknuo razvoj biogospodarstva u Hrvatskoj, nužno je povezati tri ključna aspekta: razvoj novih tehnologija i procesa; razvoj tržišta i konkurentnost biobaziranih sektora te politička volja za suradnjom politike i dionika. </w:t>
      </w:r>
      <w:r w:rsidR="3808095B" w:rsidRPr="63259912">
        <w:rPr>
          <w:rFonts w:asciiTheme="minorHAnsi" w:hAnsiTheme="minorHAnsi" w:cstheme="minorBidi"/>
          <w:lang w:eastAsia="hr-HR"/>
        </w:rPr>
        <w:t>Time će se osigurati transformacija postojećih „tradicionalnih“ dionika biogospodarstva iz sektora poljoprivrede, šumarstva, ribarstva i akvakulture te industrije hrane, pića, duhana, proizvoda od drva i namještaja, tekstila, odjeće i kože, papira, kemikalija i kemijskih proizvoda, farmaceutskih proizvoda i pripravaka, plastike, gume, biootpada u nove, moderne dionike niskougljičnog biogospodarstva.</w:t>
      </w:r>
      <w:r w:rsidR="365D78B9" w:rsidRPr="63259912">
        <w:rPr>
          <w:rFonts w:asciiTheme="minorHAnsi" w:hAnsiTheme="minorHAnsi" w:cstheme="minorBidi"/>
          <w:lang w:eastAsia="hr-HR"/>
        </w:rPr>
        <w:t xml:space="preserve"> </w:t>
      </w:r>
      <w:r w:rsidRPr="63259912">
        <w:rPr>
          <w:rFonts w:asciiTheme="minorHAnsi" w:hAnsiTheme="minorHAnsi" w:cstheme="minorBidi"/>
          <w:lang w:eastAsia="hr-HR"/>
        </w:rPr>
        <w:t xml:space="preserve">Za prelazak na niskougljično biogospodarstvo neophodno je povezivati dionike (proizvođače, industriju, istraživače s kreatorima politike) </w:t>
      </w:r>
      <w:r w:rsidR="3D10504A" w:rsidRPr="63259912">
        <w:rPr>
          <w:rFonts w:asciiTheme="minorHAnsi" w:hAnsiTheme="minorHAnsi" w:cstheme="minorBidi"/>
          <w:lang w:eastAsia="hr-HR"/>
        </w:rPr>
        <w:t>kako bi razmjenjivali informacije i uspostavili lance vrijednosti u skladu sa zahtjevima tržišta</w:t>
      </w:r>
      <w:r w:rsidRPr="63259912">
        <w:rPr>
          <w:rFonts w:asciiTheme="minorHAnsi" w:hAnsiTheme="minorHAnsi" w:cstheme="minorBidi"/>
          <w:lang w:eastAsia="hr-HR"/>
        </w:rPr>
        <w:t>.</w:t>
      </w:r>
    </w:p>
    <w:p w14:paraId="2666CB37" w14:textId="4A1FB538" w:rsidR="00C46888" w:rsidRPr="00BF7FF2" w:rsidRDefault="00CE3AD9" w:rsidP="63259912">
      <w:pPr>
        <w:rPr>
          <w:rFonts w:asciiTheme="minorHAnsi" w:hAnsiTheme="minorHAnsi" w:cstheme="minorBidi"/>
        </w:rPr>
      </w:pPr>
      <w:r w:rsidRPr="63259912">
        <w:rPr>
          <w:rFonts w:asciiTheme="minorHAnsi" w:hAnsiTheme="minorHAnsi" w:cstheme="minorBidi"/>
          <w:b/>
          <w:bCs/>
        </w:rPr>
        <w:t>Aktivnosti:</w:t>
      </w:r>
      <w:r w:rsidR="001F0CA8" w:rsidRPr="63259912">
        <w:rPr>
          <w:rFonts w:asciiTheme="minorHAnsi" w:hAnsiTheme="minorHAnsi" w:cstheme="minorBidi"/>
          <w:b/>
          <w:bCs/>
        </w:rPr>
        <w:t xml:space="preserve"> </w:t>
      </w:r>
      <w:r w:rsidR="001F0CA8" w:rsidRPr="63259912">
        <w:rPr>
          <w:rFonts w:asciiTheme="minorHAnsi" w:hAnsiTheme="minorHAnsi" w:cstheme="minorBidi"/>
        </w:rPr>
        <w:t xml:space="preserve">U okviru ove mjere </w:t>
      </w:r>
      <w:r w:rsidR="00304005" w:rsidRPr="63259912">
        <w:rPr>
          <w:rFonts w:asciiTheme="minorHAnsi" w:hAnsiTheme="minorHAnsi" w:cstheme="minorBidi"/>
        </w:rPr>
        <w:t>potrebno je</w:t>
      </w:r>
      <w:r w:rsidR="000D3B39" w:rsidRPr="63259912">
        <w:rPr>
          <w:rFonts w:asciiTheme="minorHAnsi" w:hAnsiTheme="minorHAnsi" w:cstheme="minorBidi"/>
        </w:rPr>
        <w:t xml:space="preserve"> </w:t>
      </w:r>
      <w:r w:rsidR="005C5E44" w:rsidRPr="63259912">
        <w:rPr>
          <w:rFonts w:asciiTheme="minorHAnsi" w:hAnsiTheme="minorHAnsi" w:cstheme="minorBidi"/>
        </w:rPr>
        <w:t xml:space="preserve">provesti različite aktivnosti koje će pridonijeti osnaživanju </w:t>
      </w:r>
      <w:r w:rsidR="00B97E62" w:rsidRPr="63259912">
        <w:rPr>
          <w:rFonts w:asciiTheme="minorHAnsi" w:hAnsiTheme="minorHAnsi" w:cstheme="minorBidi"/>
        </w:rPr>
        <w:t>hrvatskog biogospodarstva, a to uključuje</w:t>
      </w:r>
      <w:r w:rsidR="000345BD" w:rsidRPr="63259912">
        <w:rPr>
          <w:rFonts w:asciiTheme="minorHAnsi" w:hAnsiTheme="minorHAnsi" w:cstheme="minorBidi"/>
        </w:rPr>
        <w:t>:</w:t>
      </w:r>
    </w:p>
    <w:p w14:paraId="35EC2F88" w14:textId="41EB3518" w:rsidR="00E249F7" w:rsidRPr="00BF7FF2" w:rsidRDefault="00E249F7" w:rsidP="00FD2D0A">
      <w:pPr>
        <w:numPr>
          <w:ilvl w:val="1"/>
          <w:numId w:val="85"/>
        </w:numPr>
        <w:tabs>
          <w:tab w:val="left" w:pos="431"/>
        </w:tabs>
        <w:spacing w:after="60"/>
        <w:ind w:left="992" w:hanging="357"/>
        <w:rPr>
          <w:rFonts w:asciiTheme="minorHAnsi" w:hAnsiTheme="minorHAnsi" w:cstheme="minorHAnsi"/>
          <w:lang w:eastAsia="ar-SA"/>
        </w:rPr>
      </w:pPr>
      <w:r w:rsidRPr="00BF7FF2">
        <w:rPr>
          <w:rFonts w:asciiTheme="minorHAnsi" w:hAnsiTheme="minorHAnsi" w:cstheme="minorHAnsi"/>
          <w:lang w:eastAsia="ar-SA"/>
        </w:rPr>
        <w:t>Osnivanje Koordinacijskog tijela</w:t>
      </w:r>
      <w:r w:rsidR="00E8037C">
        <w:rPr>
          <w:rFonts w:asciiTheme="minorHAnsi" w:hAnsiTheme="minorHAnsi" w:cstheme="minorHAnsi"/>
          <w:lang w:eastAsia="ar-SA"/>
        </w:rPr>
        <w:t>;</w:t>
      </w:r>
    </w:p>
    <w:p w14:paraId="6058E9D8" w14:textId="1544CD4C" w:rsidR="00656928" w:rsidRPr="00BF7FF2" w:rsidRDefault="00656928" w:rsidP="00FD2D0A">
      <w:pPr>
        <w:numPr>
          <w:ilvl w:val="1"/>
          <w:numId w:val="85"/>
        </w:numPr>
        <w:tabs>
          <w:tab w:val="left" w:pos="431"/>
        </w:tabs>
        <w:spacing w:after="60"/>
        <w:ind w:left="992" w:hanging="357"/>
        <w:rPr>
          <w:rFonts w:asciiTheme="minorHAnsi" w:hAnsiTheme="minorHAnsi" w:cstheme="minorHAnsi"/>
          <w:lang w:eastAsia="ar-SA"/>
        </w:rPr>
      </w:pPr>
      <w:r w:rsidRPr="00BF7FF2">
        <w:rPr>
          <w:rFonts w:asciiTheme="minorHAnsi" w:hAnsiTheme="minorHAnsi" w:cstheme="minorHAnsi"/>
          <w:lang w:eastAsia="ar-SA"/>
        </w:rPr>
        <w:t>Razvoj digitalnih platformi za umrežavanje i razmjenu informacija</w:t>
      </w:r>
      <w:r w:rsidR="00E8037C">
        <w:rPr>
          <w:rFonts w:asciiTheme="minorHAnsi" w:hAnsiTheme="minorHAnsi" w:cstheme="minorHAnsi"/>
          <w:lang w:eastAsia="ar-SA"/>
        </w:rPr>
        <w:t>;</w:t>
      </w:r>
    </w:p>
    <w:p w14:paraId="4E0FE241" w14:textId="4AC52530" w:rsidR="00656928" w:rsidRPr="00656928" w:rsidRDefault="00656928" w:rsidP="00FD2D0A">
      <w:pPr>
        <w:numPr>
          <w:ilvl w:val="1"/>
          <w:numId w:val="85"/>
        </w:numPr>
        <w:tabs>
          <w:tab w:val="left" w:pos="431"/>
        </w:tabs>
        <w:spacing w:after="60"/>
        <w:ind w:left="992" w:hanging="357"/>
        <w:rPr>
          <w:rFonts w:cs="Tahoma"/>
          <w:lang w:eastAsia="ar-SA"/>
        </w:rPr>
      </w:pPr>
      <w:r w:rsidRPr="00BF7FF2">
        <w:rPr>
          <w:rFonts w:asciiTheme="minorHAnsi" w:hAnsiTheme="minorHAnsi" w:cstheme="minorHAnsi"/>
          <w:lang w:eastAsia="ar-SA"/>
        </w:rPr>
        <w:lastRenderedPageBreak/>
        <w:t>Planiranje i izgradnja distribucijskih centara za biomasu</w:t>
      </w:r>
      <w:r w:rsidR="00E8037C">
        <w:rPr>
          <w:rFonts w:asciiTheme="minorHAnsi" w:hAnsiTheme="minorHAnsi" w:cstheme="minorHAnsi"/>
          <w:lang w:eastAsia="ar-SA"/>
        </w:rPr>
        <w:t>;</w:t>
      </w:r>
    </w:p>
    <w:p w14:paraId="5267A8D6" w14:textId="40FB2DB7" w:rsidR="00656928" w:rsidRPr="00656928" w:rsidRDefault="00656928" w:rsidP="00FD2D0A">
      <w:pPr>
        <w:numPr>
          <w:ilvl w:val="1"/>
          <w:numId w:val="85"/>
        </w:numPr>
        <w:tabs>
          <w:tab w:val="left" w:pos="431"/>
        </w:tabs>
        <w:spacing w:after="60"/>
        <w:ind w:left="992" w:hanging="357"/>
        <w:rPr>
          <w:rFonts w:cs="Tahoma"/>
          <w:lang w:eastAsia="ar-SA"/>
        </w:rPr>
      </w:pPr>
      <w:r w:rsidRPr="00656928">
        <w:rPr>
          <w:rFonts w:cs="Tahoma"/>
          <w:lang w:eastAsia="ar-SA"/>
        </w:rPr>
        <w:t>Uređivanje korištenja otpadnog mulja</w:t>
      </w:r>
      <w:r w:rsidR="00E8037C">
        <w:rPr>
          <w:rFonts w:cs="Tahoma"/>
          <w:lang w:eastAsia="ar-SA"/>
        </w:rPr>
        <w:t>;</w:t>
      </w:r>
      <w:r w:rsidRPr="00656928">
        <w:rPr>
          <w:rFonts w:cs="Tahoma"/>
          <w:lang w:eastAsia="ar-SA"/>
        </w:rPr>
        <w:t xml:space="preserve"> </w:t>
      </w:r>
    </w:p>
    <w:p w14:paraId="6DC4EFAF" w14:textId="4E1BAFDA" w:rsidR="00656928" w:rsidRPr="00656928" w:rsidRDefault="00656928" w:rsidP="63259912">
      <w:pPr>
        <w:numPr>
          <w:ilvl w:val="1"/>
          <w:numId w:val="85"/>
        </w:numPr>
        <w:tabs>
          <w:tab w:val="left" w:pos="431"/>
        </w:tabs>
        <w:spacing w:after="60"/>
        <w:ind w:left="992" w:hanging="357"/>
        <w:rPr>
          <w:rFonts w:cs="Tahoma"/>
          <w:lang w:eastAsia="ar-SA"/>
        </w:rPr>
      </w:pPr>
      <w:r w:rsidRPr="63259912">
        <w:rPr>
          <w:rFonts w:cs="Tahoma"/>
          <w:lang w:eastAsia="ar-SA"/>
        </w:rPr>
        <w:t>Poticanje izgradnje i modernizacije kapaciteta u sektorima biogospodarstva</w:t>
      </w:r>
      <w:r w:rsidR="00E8037C" w:rsidRPr="63259912">
        <w:rPr>
          <w:rFonts w:cs="Tahoma"/>
          <w:lang w:eastAsia="ar-SA"/>
        </w:rPr>
        <w:t>;</w:t>
      </w:r>
    </w:p>
    <w:p w14:paraId="372BF387" w14:textId="0CD36B3F" w:rsidR="00656928" w:rsidRPr="00656928" w:rsidRDefault="00656928" w:rsidP="63259912">
      <w:pPr>
        <w:numPr>
          <w:ilvl w:val="1"/>
          <w:numId w:val="85"/>
        </w:numPr>
        <w:tabs>
          <w:tab w:val="left" w:pos="431"/>
        </w:tabs>
        <w:spacing w:after="60"/>
        <w:ind w:left="992" w:hanging="357"/>
        <w:rPr>
          <w:rFonts w:cs="Tahoma"/>
          <w:lang w:eastAsia="ar-SA"/>
        </w:rPr>
      </w:pPr>
      <w:r w:rsidRPr="63259912">
        <w:rPr>
          <w:rFonts w:cs="Tahoma"/>
          <w:lang w:eastAsia="ar-SA"/>
        </w:rPr>
        <w:t>Poticanje proizvodnje ambalaže od recikliranog materijala, biobazirane te biorazgradive plastike</w:t>
      </w:r>
      <w:r w:rsidR="00E8037C" w:rsidRPr="63259912">
        <w:rPr>
          <w:rFonts w:cs="Tahoma"/>
          <w:lang w:eastAsia="ar-SA"/>
        </w:rPr>
        <w:t>;</w:t>
      </w:r>
    </w:p>
    <w:p w14:paraId="2C2A4BB3" w14:textId="02FD4432" w:rsidR="00656928" w:rsidRPr="00656928" w:rsidRDefault="00656928" w:rsidP="63259912">
      <w:pPr>
        <w:numPr>
          <w:ilvl w:val="1"/>
          <w:numId w:val="85"/>
        </w:numPr>
        <w:tabs>
          <w:tab w:val="left" w:pos="431"/>
        </w:tabs>
        <w:spacing w:after="60"/>
        <w:ind w:left="992" w:hanging="357"/>
        <w:rPr>
          <w:rFonts w:cs="Tahoma"/>
          <w:lang w:eastAsia="ar-SA"/>
        </w:rPr>
      </w:pPr>
      <w:r w:rsidRPr="63259912">
        <w:rPr>
          <w:rFonts w:cs="Tahoma"/>
          <w:lang w:eastAsia="ar-SA"/>
        </w:rPr>
        <w:t>Provedba zelene javne nabave u funkciji razvoja biogospodarstva</w:t>
      </w:r>
      <w:r w:rsidR="00E8037C" w:rsidRPr="63259912">
        <w:rPr>
          <w:rFonts w:cs="Tahoma"/>
          <w:lang w:eastAsia="ar-SA"/>
        </w:rPr>
        <w:t>;</w:t>
      </w:r>
    </w:p>
    <w:p w14:paraId="37424799" w14:textId="03E022D1" w:rsidR="00F34654" w:rsidRPr="00656928" w:rsidRDefault="00656928" w:rsidP="63259912">
      <w:pPr>
        <w:numPr>
          <w:ilvl w:val="1"/>
          <w:numId w:val="85"/>
        </w:numPr>
        <w:tabs>
          <w:tab w:val="left" w:pos="431"/>
        </w:tabs>
        <w:spacing w:after="60"/>
        <w:ind w:left="992" w:hanging="357"/>
        <w:rPr>
          <w:rFonts w:cs="Tahoma"/>
          <w:lang w:eastAsia="ar-SA"/>
        </w:rPr>
      </w:pPr>
      <w:r w:rsidRPr="63259912">
        <w:rPr>
          <w:rFonts w:cs="Tahoma"/>
          <w:lang w:eastAsia="ar-SA"/>
        </w:rPr>
        <w:t>Provedba istraživanja i inovacija povezanih s biogospodarstvom</w:t>
      </w:r>
      <w:r w:rsidR="00E8037C" w:rsidRPr="63259912">
        <w:rPr>
          <w:rFonts w:cs="Tahoma"/>
          <w:lang w:eastAsia="ar-SA"/>
        </w:rPr>
        <w:t>.</w:t>
      </w:r>
    </w:p>
    <w:p w14:paraId="57EF4035" w14:textId="77777777" w:rsidR="00672F23" w:rsidRDefault="00CE3AD9" w:rsidP="004623DD">
      <w:r w:rsidRPr="00B47BDA">
        <w:rPr>
          <w:b/>
        </w:rPr>
        <w:t xml:space="preserve">Izvori financiranja: </w:t>
      </w:r>
      <w:r w:rsidRPr="00B47BDA">
        <w:t xml:space="preserve">Državni proračun, </w:t>
      </w:r>
      <w:r w:rsidR="003437EA" w:rsidRPr="00181141">
        <w:t>Program konkurentnost i kohezija 2021. – 2027.</w:t>
      </w:r>
      <w:r w:rsidR="003437EA">
        <w:t xml:space="preserve">, </w:t>
      </w:r>
      <w:r w:rsidR="003437EA" w:rsidRPr="00181141">
        <w:t>Integrirani teritorijalni program</w:t>
      </w:r>
      <w:r w:rsidR="003437EA">
        <w:t xml:space="preserve">, Strateški plan </w:t>
      </w:r>
      <w:r w:rsidR="003437EA" w:rsidRPr="00B66A38">
        <w:t>zajedničke poljoprivredne politike Republike Hrvatske za razdoblje 2023.-2027.</w:t>
      </w:r>
      <w:r w:rsidR="003437EA">
        <w:t xml:space="preserve">, </w:t>
      </w:r>
      <w:r w:rsidR="003437EA" w:rsidRPr="00181141">
        <w:t>Modernizacijsk</w:t>
      </w:r>
      <w:r w:rsidR="003437EA">
        <w:t>i</w:t>
      </w:r>
      <w:r w:rsidR="003437EA" w:rsidRPr="00181141">
        <w:t xml:space="preserve"> fond</w:t>
      </w:r>
      <w:r w:rsidR="003437EA">
        <w:t>,</w:t>
      </w:r>
      <w:r w:rsidR="003437EA" w:rsidRPr="00181141" w:rsidDel="00181141">
        <w:t xml:space="preserve"> </w:t>
      </w:r>
      <w:r w:rsidR="003437EA" w:rsidRPr="00B47BDA">
        <w:t>Fond za zaštitu okoliša i energetsku učinkovitost</w:t>
      </w:r>
      <w:r w:rsidR="00672F23">
        <w:t xml:space="preserve"> (FZOEU)</w:t>
      </w:r>
      <w:r w:rsidR="003437EA" w:rsidRPr="00B47BDA">
        <w:t>,</w:t>
      </w:r>
      <w:r w:rsidR="003437EA">
        <w:t xml:space="preserve"> Inovacijski fond, Program Obzor Europa</w:t>
      </w:r>
      <w:r w:rsidR="003437EA" w:rsidRPr="00B47BDA">
        <w:t>.</w:t>
      </w:r>
      <w:r w:rsidR="009969B2">
        <w:t xml:space="preserve"> </w:t>
      </w:r>
    </w:p>
    <w:p w14:paraId="03B57935" w14:textId="39548B68" w:rsidR="00CE3AD9" w:rsidRPr="00B47BDA" w:rsidRDefault="00CE3AD9" w:rsidP="004623DD">
      <w:r w:rsidRPr="00B47BDA">
        <w:rPr>
          <w:b/>
        </w:rPr>
        <w:t>Izvršno tijelo:</w:t>
      </w:r>
      <w:r w:rsidRPr="00B47BDA">
        <w:t xml:space="preserve"> </w:t>
      </w:r>
      <w:r w:rsidR="001D1D2F">
        <w:t>Ministarstvo poljoprivrede</w:t>
      </w:r>
      <w:r w:rsidR="001D1D2F" w:rsidRPr="00AE6008">
        <w:rPr>
          <w:lang w:eastAsia="hr-HR"/>
        </w:rPr>
        <w:t>, šumarstva i ribarstva</w:t>
      </w:r>
      <w:r w:rsidR="001D1D2F">
        <w:t xml:space="preserve"> </w:t>
      </w:r>
      <w:r w:rsidR="004C2F58" w:rsidRPr="00B47BDA">
        <w:t>(</w:t>
      </w:r>
      <w:r w:rsidRPr="00B47BDA">
        <w:t>M</w:t>
      </w:r>
      <w:r w:rsidR="00B23ECF" w:rsidRPr="00B47BDA">
        <w:t>PS</w:t>
      </w:r>
      <w:r w:rsidR="004C2F58" w:rsidRPr="00B47BDA">
        <w:t>)</w:t>
      </w:r>
      <w:r w:rsidR="001B4DAC">
        <w:t xml:space="preserve">, Ministarstvo zaštite okoliša i zelene tranzicije (MZOZT), </w:t>
      </w:r>
      <w:r w:rsidR="001B4DAC" w:rsidRPr="00B47BDA">
        <w:t>Ministarstvo gospodarstva (MINGO), Ministarstvo znanosti</w:t>
      </w:r>
      <w:r w:rsidR="001B4DAC">
        <w:t>,</w:t>
      </w:r>
      <w:r w:rsidR="001B4DAC" w:rsidRPr="00B47BDA">
        <w:t xml:space="preserve"> obrazovanja</w:t>
      </w:r>
      <w:r w:rsidR="001B4DAC">
        <w:t xml:space="preserve"> i mladih</w:t>
      </w:r>
      <w:r w:rsidR="001B4DAC" w:rsidRPr="00B47BDA">
        <w:t xml:space="preserve"> (MZO</w:t>
      </w:r>
      <w:r w:rsidR="001B4DAC">
        <w:t>M</w:t>
      </w:r>
      <w:r w:rsidR="001B4DAC" w:rsidRPr="00B47BDA">
        <w:t>)</w:t>
      </w:r>
      <w:r w:rsidR="00A73033">
        <w:t>, Ministarstvo regionalnog razvoja i fondova Europske unije (MRRFEU)</w:t>
      </w:r>
      <w:r w:rsidR="00E8037C">
        <w:t>.</w:t>
      </w:r>
    </w:p>
    <w:p w14:paraId="30AC350C" w14:textId="66286A12" w:rsidR="00B23ECF" w:rsidRPr="00B47BDA" w:rsidRDefault="00CE3AD9" w:rsidP="004623DD">
      <w:pPr>
        <w:rPr>
          <w:b/>
        </w:rPr>
      </w:pPr>
      <w:r w:rsidRPr="00B47BDA">
        <w:rPr>
          <w:b/>
        </w:rPr>
        <w:t>Tijela za praćenje:</w:t>
      </w:r>
      <w:r w:rsidR="00B23ECF" w:rsidRPr="00B47BDA">
        <w:rPr>
          <w:b/>
        </w:rPr>
        <w:t xml:space="preserve"> </w:t>
      </w:r>
      <w:r w:rsidR="00A73033">
        <w:t>Ministarstvo poljoprivrede</w:t>
      </w:r>
      <w:r w:rsidR="00A73033" w:rsidRPr="00AE6008">
        <w:rPr>
          <w:lang w:eastAsia="hr-HR"/>
        </w:rPr>
        <w:t>, šumarstva i ribarstva</w:t>
      </w:r>
      <w:r w:rsidR="00A73033">
        <w:t xml:space="preserve"> </w:t>
      </w:r>
      <w:r w:rsidR="00A73033" w:rsidRPr="00B47BDA">
        <w:t>(MPS)</w:t>
      </w:r>
      <w:r w:rsidR="00A73033">
        <w:t xml:space="preserve">, Ministarstvo zaštite okoliša i zelene tranzicije (MZOZT), </w:t>
      </w:r>
      <w:r w:rsidR="003E0EEE" w:rsidRPr="00B47BDA">
        <w:t xml:space="preserve">Ministarstvo gospodarstva (MINGO), </w:t>
      </w:r>
      <w:r w:rsidR="00F2579E" w:rsidRPr="00B47BDA">
        <w:t>Ministarstvo znanosti</w:t>
      </w:r>
      <w:r w:rsidR="00F2579E">
        <w:t>,</w:t>
      </w:r>
      <w:r w:rsidR="00F2579E" w:rsidRPr="00B47BDA">
        <w:t xml:space="preserve"> obrazovanja</w:t>
      </w:r>
      <w:r w:rsidR="00F2579E">
        <w:t xml:space="preserve"> i mladih</w:t>
      </w:r>
      <w:r w:rsidR="00F2579E" w:rsidRPr="00B47BDA">
        <w:t xml:space="preserve"> </w:t>
      </w:r>
      <w:r w:rsidR="003E0EEE" w:rsidRPr="00B47BDA">
        <w:t>(MZO</w:t>
      </w:r>
      <w:r w:rsidR="00AD324D">
        <w:t>M</w:t>
      </w:r>
      <w:r w:rsidR="003E0EEE" w:rsidRPr="00B47BDA">
        <w:t xml:space="preserve">), </w:t>
      </w:r>
      <w:r w:rsidR="00B10B23">
        <w:t>Ministarstvo regionalnog razvoja i fondova Europske unije</w:t>
      </w:r>
      <w:r w:rsidR="00A73033">
        <w:t xml:space="preserve"> (MRRFEU)</w:t>
      </w:r>
      <w:r w:rsidR="00B10B23" w:rsidRPr="00B47BDA">
        <w:t>.</w:t>
      </w:r>
    </w:p>
    <w:p w14:paraId="43228AAC" w14:textId="48694DC3" w:rsidR="00B23ECF" w:rsidRPr="003A2A86" w:rsidRDefault="00B23ECF" w:rsidP="004623DD">
      <w:pPr>
        <w:rPr>
          <w:b/>
          <w:bCs/>
        </w:rPr>
      </w:pPr>
      <w:r w:rsidRPr="003A2A86">
        <w:rPr>
          <w:b/>
          <w:bCs/>
        </w:rPr>
        <w:t>Učinak:</w:t>
      </w:r>
      <w:r w:rsidR="00654A1E" w:rsidRPr="003A2A86">
        <w:rPr>
          <w:b/>
          <w:bCs/>
        </w:rPr>
        <w:t xml:space="preserve"> </w:t>
      </w:r>
    </w:p>
    <w:p w14:paraId="7798F2FA" w14:textId="77777777" w:rsidR="004A59A5" w:rsidRPr="0047196B" w:rsidRDefault="004A59A5" w:rsidP="0047196B">
      <w:pPr>
        <w:pStyle w:val="ListParagraph"/>
        <w:numPr>
          <w:ilvl w:val="1"/>
          <w:numId w:val="85"/>
        </w:numPr>
        <w:spacing w:after="60"/>
        <w:ind w:left="1434" w:hanging="357"/>
      </w:pPr>
      <w:r w:rsidRPr="0047196B">
        <w:t>Razvoj novih tehnologija i procesa;</w:t>
      </w:r>
    </w:p>
    <w:p w14:paraId="41AE5CD4" w14:textId="77777777" w:rsidR="004A59A5" w:rsidRPr="0047196B" w:rsidRDefault="004A59A5" w:rsidP="0047196B">
      <w:pPr>
        <w:pStyle w:val="ListParagraph"/>
        <w:numPr>
          <w:ilvl w:val="1"/>
          <w:numId w:val="85"/>
        </w:numPr>
        <w:spacing w:after="60"/>
        <w:ind w:left="1434" w:hanging="357"/>
      </w:pPr>
      <w:r w:rsidRPr="63259912">
        <w:t>Razvoj tržišta i konkurentnost sektora temeljenih na načelima kružnog biogospodarstva;</w:t>
      </w:r>
    </w:p>
    <w:p w14:paraId="592BFC2B" w14:textId="77777777" w:rsidR="004A59A5" w:rsidRPr="0047196B" w:rsidRDefault="004A59A5" w:rsidP="0047196B">
      <w:pPr>
        <w:pStyle w:val="ListParagraph"/>
        <w:numPr>
          <w:ilvl w:val="1"/>
          <w:numId w:val="85"/>
        </w:numPr>
        <w:spacing w:after="60"/>
        <w:ind w:left="1434" w:hanging="357"/>
      </w:pPr>
      <w:r w:rsidRPr="0047196B">
        <w:t>Postizanje ciljeva razvoja temeljenog na niskim razinama emisija ugljikovog dioksida i ostalih stakleničkih plinova;</w:t>
      </w:r>
    </w:p>
    <w:p w14:paraId="0775DE95" w14:textId="7CEE0092" w:rsidR="004A59A5" w:rsidRPr="0047196B" w:rsidRDefault="007A3CAC" w:rsidP="0047196B">
      <w:pPr>
        <w:pStyle w:val="ListParagraph"/>
        <w:numPr>
          <w:ilvl w:val="1"/>
          <w:numId w:val="85"/>
        </w:numPr>
        <w:spacing w:after="60"/>
        <w:ind w:left="1434" w:hanging="357"/>
      </w:pPr>
      <w:r w:rsidRPr="0047196B">
        <w:t>O</w:t>
      </w:r>
      <w:r w:rsidR="004A59A5" w:rsidRPr="0047196B">
        <w:t>drživo korištenj</w:t>
      </w:r>
      <w:r w:rsidRPr="0047196B">
        <w:t>e</w:t>
      </w:r>
      <w:r w:rsidR="004A59A5" w:rsidRPr="0047196B">
        <w:t xml:space="preserve"> resursa;</w:t>
      </w:r>
    </w:p>
    <w:p w14:paraId="4FE8AF41" w14:textId="77777777" w:rsidR="004A59A5" w:rsidRPr="0047196B" w:rsidRDefault="004A59A5" w:rsidP="0047196B">
      <w:pPr>
        <w:pStyle w:val="ListParagraph"/>
        <w:numPr>
          <w:ilvl w:val="1"/>
          <w:numId w:val="85"/>
        </w:numPr>
        <w:spacing w:after="60"/>
        <w:ind w:left="1434" w:hanging="357"/>
      </w:pPr>
      <w:r w:rsidRPr="0047196B">
        <w:t>Razvoj ruralnih područja;</w:t>
      </w:r>
    </w:p>
    <w:p w14:paraId="4262D23D" w14:textId="057CC20D" w:rsidR="004A59A5" w:rsidRPr="0047196B" w:rsidRDefault="004A59A5" w:rsidP="0047196B">
      <w:pPr>
        <w:pStyle w:val="ListParagraph"/>
        <w:numPr>
          <w:ilvl w:val="1"/>
          <w:numId w:val="85"/>
        </w:numPr>
        <w:spacing w:after="60"/>
        <w:ind w:left="1434" w:hanging="357"/>
      </w:pPr>
      <w:r w:rsidRPr="0047196B">
        <w:t>Poticanje ulaganja u tehnologije i inovacije.</w:t>
      </w:r>
    </w:p>
    <w:p w14:paraId="17B29A04" w14:textId="2B281701" w:rsidR="00B23ECF" w:rsidRPr="003A2A86" w:rsidRDefault="00B23ECF" w:rsidP="004623DD">
      <w:pPr>
        <w:rPr>
          <w:b/>
          <w:bCs/>
        </w:rPr>
      </w:pPr>
      <w:r w:rsidRPr="003A2A86">
        <w:rPr>
          <w:b/>
          <w:bCs/>
        </w:rPr>
        <w:t xml:space="preserve">Metoda praćenja: </w:t>
      </w:r>
    </w:p>
    <w:p w14:paraId="78967BEA" w14:textId="2FC911CF" w:rsidR="00AA4ECA" w:rsidRDefault="007E280A" w:rsidP="00A563AA">
      <w:pPr>
        <w:pStyle w:val="ListParagraph"/>
        <w:numPr>
          <w:ilvl w:val="1"/>
          <w:numId w:val="85"/>
        </w:numPr>
      </w:pPr>
      <w:r w:rsidRPr="63259912">
        <w:t>Godišnje i</w:t>
      </w:r>
      <w:r w:rsidR="00AA4ECA" w:rsidRPr="63259912">
        <w:t xml:space="preserve">zvješće o provedbi </w:t>
      </w:r>
      <w:r w:rsidR="00B00737" w:rsidRPr="63259912">
        <w:t>Strategije biogospodarstva do 2035.</w:t>
      </w:r>
      <w:r w:rsidR="00076AD4" w:rsidRPr="63259912">
        <w:t xml:space="preserve"> godine</w:t>
      </w:r>
    </w:p>
    <w:p w14:paraId="329012B5" w14:textId="0340EB66" w:rsidR="00605E53" w:rsidRPr="00B47BDA" w:rsidRDefault="00605E53" w:rsidP="00E54EB2">
      <w:r w:rsidRPr="63259912">
        <w:t>Napomena: Strategija biogospodarstva do 2035. još nije donesena te će se Godišnje izvješće o provedbi Strategije biogospodarstva do 2035. moći koristiti kao metoda za praćenje tek nakon njenog donošenja</w:t>
      </w:r>
      <w:r w:rsidR="00E8037C" w:rsidRPr="63259912">
        <w:t>.</w:t>
      </w:r>
    </w:p>
    <w:p w14:paraId="7BDD3083" w14:textId="77777777" w:rsidR="002959D1" w:rsidRDefault="004327C7" w:rsidP="004623DD">
      <w:pPr>
        <w:rPr>
          <w:lang w:eastAsia="hr-HR"/>
        </w:rPr>
      </w:pPr>
      <w:r w:rsidRPr="00B47BDA">
        <w:rPr>
          <w:b/>
          <w:lang w:eastAsia="hr-HR"/>
        </w:rPr>
        <w:t>Pokazatelj provedbe mjere (indikator):</w:t>
      </w:r>
      <w:r w:rsidRPr="00B47BDA">
        <w:rPr>
          <w:lang w:eastAsia="hr-HR"/>
        </w:rPr>
        <w:t xml:space="preserve"> </w:t>
      </w:r>
    </w:p>
    <w:p w14:paraId="58EE563A" w14:textId="225B8765" w:rsidR="00C21072" w:rsidRPr="00C21072" w:rsidRDefault="00C21072" w:rsidP="63259912">
      <w:pPr>
        <w:numPr>
          <w:ilvl w:val="0"/>
          <w:numId w:val="150"/>
        </w:numPr>
        <w:tabs>
          <w:tab w:val="left" w:pos="431"/>
        </w:tabs>
        <w:spacing w:after="60"/>
        <w:ind w:left="1418" w:hanging="425"/>
        <w:rPr>
          <w:rFonts w:cs="Tahoma"/>
          <w:lang w:eastAsia="hr-HR"/>
        </w:rPr>
      </w:pPr>
      <w:r w:rsidRPr="63259912">
        <w:rPr>
          <w:rFonts w:cs="Tahoma"/>
          <w:lang w:eastAsia="hr-HR"/>
        </w:rPr>
        <w:t>Godišnje izvješće o napretku biogospodarstva (broj)</w:t>
      </w:r>
      <w:r w:rsidR="004E6E77" w:rsidRPr="63259912">
        <w:rPr>
          <w:rFonts w:cs="Tahoma"/>
          <w:lang w:eastAsia="hr-HR"/>
        </w:rPr>
        <w:t>;</w:t>
      </w:r>
    </w:p>
    <w:p w14:paraId="4A6ED426" w14:textId="27CDF390" w:rsidR="00C21072" w:rsidRPr="00C21072" w:rsidRDefault="00C21072" w:rsidP="00021820">
      <w:pPr>
        <w:numPr>
          <w:ilvl w:val="0"/>
          <w:numId w:val="150"/>
        </w:numPr>
        <w:tabs>
          <w:tab w:val="left" w:pos="431"/>
        </w:tabs>
        <w:spacing w:after="60"/>
        <w:ind w:left="1418" w:hanging="425"/>
        <w:rPr>
          <w:rFonts w:cs="Tahoma"/>
          <w:lang w:eastAsia="hr-HR"/>
        </w:rPr>
      </w:pPr>
      <w:r w:rsidRPr="00C21072">
        <w:rPr>
          <w:rFonts w:cs="Tahoma"/>
          <w:lang w:eastAsia="ar-SA"/>
        </w:rPr>
        <w:t>Uspostavljeni distribucijski centri za biomasu (broj)</w:t>
      </w:r>
      <w:r w:rsidR="004E6E77">
        <w:rPr>
          <w:rFonts w:cs="Tahoma"/>
          <w:lang w:eastAsia="ar-SA"/>
        </w:rPr>
        <w:t>;</w:t>
      </w:r>
    </w:p>
    <w:p w14:paraId="18CD90EC" w14:textId="77777777" w:rsidR="00C21072" w:rsidRPr="00C21072" w:rsidRDefault="00C21072" w:rsidP="63259912">
      <w:pPr>
        <w:numPr>
          <w:ilvl w:val="0"/>
          <w:numId w:val="150"/>
        </w:numPr>
        <w:tabs>
          <w:tab w:val="left" w:pos="431"/>
        </w:tabs>
        <w:spacing w:after="60"/>
        <w:ind w:left="1418" w:hanging="425"/>
        <w:rPr>
          <w:rFonts w:cs="Tahoma"/>
          <w:lang w:eastAsia="hr-HR"/>
        </w:rPr>
      </w:pPr>
      <w:r w:rsidRPr="63259912">
        <w:rPr>
          <w:rFonts w:cs="Tahoma"/>
          <w:lang w:eastAsia="ar-SA"/>
        </w:rPr>
        <w:t>Dodana vrijednost hrvatskog biogospodarstva (milijuna EUR)</w:t>
      </w:r>
      <w:r w:rsidRPr="63259912">
        <w:rPr>
          <w:rFonts w:cs="Tahoma"/>
          <w:lang w:eastAsia="hr-HR"/>
        </w:rPr>
        <w:t>.</w:t>
      </w:r>
    </w:p>
    <w:p w14:paraId="539C6DAD" w14:textId="2B1F8E54" w:rsidR="004327C7" w:rsidRPr="00B47BDA" w:rsidRDefault="004327C7" w:rsidP="004623DD">
      <w:pPr>
        <w:rPr>
          <w:lang w:eastAsia="hr-HR"/>
        </w:rPr>
      </w:pPr>
      <w:r w:rsidRPr="00B47BDA">
        <w:rPr>
          <w:b/>
          <w:lang w:eastAsia="hr-HR"/>
        </w:rPr>
        <w:t>Povezanost s drugim dimenzijama:</w:t>
      </w:r>
      <w:r w:rsidRPr="00B47BDA">
        <w:rPr>
          <w:lang w:eastAsia="hr-HR"/>
        </w:rPr>
        <w:t xml:space="preserve"> Istraživanje, inovacije i konkurentnost</w:t>
      </w:r>
      <w:r w:rsidR="00F05308">
        <w:rPr>
          <w:lang w:eastAsia="hr-HR"/>
        </w:rPr>
        <w:t>.</w:t>
      </w:r>
    </w:p>
    <w:p w14:paraId="66FC9F96" w14:textId="1D71A469" w:rsidR="00B23ECF" w:rsidRPr="00B47BDA" w:rsidRDefault="004327C7" w:rsidP="004623DD">
      <w:pPr>
        <w:rPr>
          <w:lang w:eastAsia="hr-HR"/>
        </w:rPr>
      </w:pPr>
      <w:r w:rsidRPr="00B47BDA">
        <w:rPr>
          <w:b/>
          <w:lang w:eastAsia="hr-HR"/>
        </w:rPr>
        <w:lastRenderedPageBreak/>
        <w:t>Istraživanje i razvoj:</w:t>
      </w:r>
      <w:r w:rsidRPr="00B47BDA">
        <w:rPr>
          <w:lang w:eastAsia="hr-HR"/>
        </w:rPr>
        <w:t xml:space="preserve"> Izravan pristup inovacijama i najboljim praksama kroz povezivanje </w:t>
      </w:r>
      <w:r w:rsidR="00950CC8">
        <w:rPr>
          <w:lang w:eastAsia="hr-HR"/>
        </w:rPr>
        <w:t>proizvođača, industrije i istraživanja</w:t>
      </w:r>
      <w:r w:rsidRPr="00B47BDA">
        <w:rPr>
          <w:lang w:eastAsia="hr-HR"/>
        </w:rPr>
        <w:t>.</w:t>
      </w:r>
    </w:p>
    <w:p w14:paraId="5132429B" w14:textId="6E4CF682" w:rsidR="00564265" w:rsidRPr="00B47BDA" w:rsidRDefault="004506FD" w:rsidP="00CF06E5">
      <w:pPr>
        <w:pStyle w:val="Mjeranaslov"/>
      </w:pPr>
      <w:r w:rsidRPr="00B47BDA">
        <w:t>MS-1</w:t>
      </w:r>
      <w:r w:rsidR="00AA4496">
        <w:t>0</w:t>
      </w:r>
      <w:r w:rsidR="00564265" w:rsidRPr="00B47BDA">
        <w:t xml:space="preserve"> </w:t>
      </w:r>
      <w:r w:rsidR="003F2969" w:rsidRPr="00B47BDA">
        <w:t>Zakonske prilagodbe i tehničke podloge za uvođenje vodika u energetski sustav</w:t>
      </w:r>
      <w:r w:rsidR="009C3BDF" w:rsidRPr="00B47BDA" w:rsidDel="009C3BDF">
        <w:t xml:space="preserve"> </w:t>
      </w:r>
    </w:p>
    <w:p w14:paraId="4A8B8B04" w14:textId="4FCCBA16" w:rsidR="005D0343" w:rsidRPr="00B47BDA" w:rsidRDefault="004337D0" w:rsidP="004623DD">
      <w:r w:rsidRPr="00B47BDA">
        <w:t>R</w:t>
      </w:r>
      <w:r w:rsidR="005D0343" w:rsidRPr="00B47BDA">
        <w:t xml:space="preserve">egulatorna </w:t>
      </w:r>
      <w:r w:rsidRPr="00B47BDA">
        <w:t>i financijska</w:t>
      </w:r>
      <w:r w:rsidR="005D0343" w:rsidRPr="00B47BDA">
        <w:t xml:space="preserve"> mjera; provedba: 202</w:t>
      </w:r>
      <w:r w:rsidR="00384D30" w:rsidRPr="00B47BDA">
        <w:t>4</w:t>
      </w:r>
      <w:r w:rsidR="00024A39" w:rsidRPr="00B47BDA">
        <w:t>.</w:t>
      </w:r>
      <w:r w:rsidR="005D0343" w:rsidRPr="00B47BDA">
        <w:t>-2030.</w:t>
      </w:r>
    </w:p>
    <w:p w14:paraId="2872A50A" w14:textId="22545609" w:rsidR="00564265" w:rsidRPr="00B47BDA" w:rsidRDefault="00005D35" w:rsidP="004623DD">
      <w:r w:rsidRPr="00B47BDA">
        <w:t>Očekuje se kako će uloga vodika u energetskim</w:t>
      </w:r>
      <w:r w:rsidR="004B4A73" w:rsidRPr="00B47BDA">
        <w:t xml:space="preserve"> i prometnim</w:t>
      </w:r>
      <w:r w:rsidRPr="00B47BDA">
        <w:t xml:space="preserve"> sustavima </w:t>
      </w:r>
      <w:r w:rsidR="00384D30" w:rsidRPr="00B47BDA">
        <w:t xml:space="preserve">u </w:t>
      </w:r>
      <w:r w:rsidRPr="00B47BDA">
        <w:t xml:space="preserve">budućnosti biti značajnija, tim više što će ciljevi u pogledu smanjenja emisija stakleničkih plinova biti ambiciozniji. </w:t>
      </w:r>
      <w:r w:rsidR="008245A1" w:rsidRPr="00B47BDA">
        <w:t>Zato je potrebno pr</w:t>
      </w:r>
      <w:r w:rsidR="0084604C" w:rsidRPr="00B47BDA">
        <w:t>a</w:t>
      </w:r>
      <w:r w:rsidR="008245A1" w:rsidRPr="00B47BDA">
        <w:t>vovremeno identificirati prilike povezane s korištenjem vodika</w:t>
      </w:r>
      <w:r w:rsidR="0092668D" w:rsidRPr="00B47BDA">
        <w:t>,</w:t>
      </w:r>
      <w:r w:rsidR="008245A1" w:rsidRPr="00B47BDA">
        <w:t xml:space="preserve"> razmotriti </w:t>
      </w:r>
      <w:r w:rsidR="001D3D72" w:rsidRPr="00B47BDA">
        <w:t>njegovu primjenu u narednom desetljeću</w:t>
      </w:r>
      <w:r w:rsidR="00D87F5B" w:rsidRPr="00B47BDA">
        <w:t xml:space="preserve"> i istražiti mogućnosti financijskog poticanja proizvodnje i potrošnje vodika</w:t>
      </w:r>
      <w:r w:rsidR="001D3D72" w:rsidRPr="00B47BDA">
        <w:t>. U tu svrhu će se formirati platforma za tehnologiju vodika koja će povezati nacionalne dionike relevantne za istraživanje i primjenu tehnologije vodika</w:t>
      </w:r>
      <w:r w:rsidR="003A5F68" w:rsidRPr="00B47BDA">
        <w:t xml:space="preserve">, </w:t>
      </w:r>
      <w:r w:rsidR="000E05A8" w:rsidRPr="00B47BDA">
        <w:t>pratiti razvoj teh</w:t>
      </w:r>
      <w:r w:rsidR="00677E7D" w:rsidRPr="00B47BDA">
        <w:t>n</w:t>
      </w:r>
      <w:r w:rsidR="000E05A8" w:rsidRPr="00B47BDA">
        <w:t>ologija vodika na EU i međunarodnoj razini</w:t>
      </w:r>
      <w:r w:rsidR="003A5F68" w:rsidRPr="00B47BDA">
        <w:t xml:space="preserve"> te služiti kao poveznica između nacionalne, EU i međunarodne razine</w:t>
      </w:r>
      <w:r w:rsidR="000E05A8" w:rsidRPr="00B47BDA">
        <w:t xml:space="preserve">. </w:t>
      </w:r>
      <w:r w:rsidR="0040382A" w:rsidRPr="00B47BDA">
        <w:rPr>
          <w:rStyle w:val="ui-provider"/>
        </w:rPr>
        <w:t>Cilj mjere je prikaz mogućih područja razvoja, financiranja i</w:t>
      </w:r>
      <w:r w:rsidR="0040382A" w:rsidRPr="00B47BDA">
        <w:t xml:space="preserve"> </w:t>
      </w:r>
      <w:r w:rsidR="0040382A" w:rsidRPr="00B47BDA">
        <w:rPr>
          <w:rStyle w:val="ui-provider"/>
        </w:rPr>
        <w:t>potpore pri implementaciji strategije te konkretnih projekata za razvoj tehnologije korištenja vodika</w:t>
      </w:r>
      <w:r w:rsidR="0040382A" w:rsidRPr="00B47BDA">
        <w:t xml:space="preserve"> </w:t>
      </w:r>
      <w:r w:rsidR="0040382A" w:rsidRPr="00B47BDA">
        <w:rPr>
          <w:rStyle w:val="ui-provider"/>
        </w:rPr>
        <w:t>s ciljem postizanja ciljeva definiranih u Strategiji. Osim toga, potrebno je donijeti relevantan zakonodavni okvir koji će omogućiti implementaciju vodika u energetski sustav.</w:t>
      </w:r>
    </w:p>
    <w:p w14:paraId="15D52037" w14:textId="77777777" w:rsidR="005308B8" w:rsidRPr="003A2A86" w:rsidRDefault="005308B8" w:rsidP="004623DD">
      <w:pPr>
        <w:rPr>
          <w:b/>
          <w:bCs/>
        </w:rPr>
      </w:pPr>
      <w:r w:rsidRPr="003A2A86">
        <w:rPr>
          <w:b/>
          <w:bCs/>
        </w:rPr>
        <w:t>Aktivnosti:</w:t>
      </w:r>
    </w:p>
    <w:p w14:paraId="2C419DE5" w14:textId="349819B7" w:rsidR="005308B8" w:rsidRPr="00B47BDA" w:rsidRDefault="005308B8" w:rsidP="00A563AA">
      <w:pPr>
        <w:pStyle w:val="ListParagraph"/>
        <w:numPr>
          <w:ilvl w:val="0"/>
          <w:numId w:val="64"/>
        </w:numPr>
      </w:pPr>
      <w:r w:rsidRPr="00B47BDA">
        <w:t>Tehnička podloga za donošenje Akcijskog plana za implementaciju Hrvatske strategije za vodik od 2021. do 2050. godine</w:t>
      </w:r>
      <w:r w:rsidR="004E6E77">
        <w:t>;</w:t>
      </w:r>
    </w:p>
    <w:p w14:paraId="6C5331B5" w14:textId="13DDC582" w:rsidR="005308B8" w:rsidRPr="00B47BDA" w:rsidRDefault="005308B8" w:rsidP="00A563AA">
      <w:pPr>
        <w:pStyle w:val="ListParagraph"/>
        <w:numPr>
          <w:ilvl w:val="0"/>
          <w:numId w:val="64"/>
        </w:numPr>
      </w:pPr>
      <w:r w:rsidRPr="00B47BDA">
        <w:t>Prilagodba zakonodavnog okvira za uvođenje vodika u energetski sustav</w:t>
      </w:r>
      <w:r w:rsidR="00AF40E5" w:rsidRPr="00B47BDA">
        <w:t>.</w:t>
      </w:r>
    </w:p>
    <w:p w14:paraId="4EA6CC96" w14:textId="3ED3AC89" w:rsidR="005308B8" w:rsidRPr="00B47BDA" w:rsidRDefault="005308B8" w:rsidP="004623DD">
      <w:r w:rsidRPr="00B47BDA">
        <w:rPr>
          <w:b/>
          <w:color w:val="000000" w:themeColor="text1"/>
        </w:rPr>
        <w:t xml:space="preserve">Sredstva potrebna za provedbu: </w:t>
      </w:r>
      <w:r w:rsidRPr="00B47BDA">
        <w:t>500.000 EUR za izradu tehničkih podloga</w:t>
      </w:r>
      <w:r w:rsidR="00AF40E5" w:rsidRPr="00B47BDA">
        <w:t>.</w:t>
      </w:r>
    </w:p>
    <w:p w14:paraId="70037C9E" w14:textId="582CBD2E" w:rsidR="005308B8" w:rsidRPr="00B47BDA" w:rsidRDefault="005308B8" w:rsidP="004623DD">
      <w:r w:rsidRPr="003A2A86">
        <w:rPr>
          <w:b/>
          <w:bCs/>
        </w:rPr>
        <w:t>Izvori financiranja:</w:t>
      </w:r>
      <w:r w:rsidRPr="00B47BDA">
        <w:t xml:space="preserve"> Državni proračun</w:t>
      </w:r>
      <w:r w:rsidR="0088095E">
        <w:t>.</w:t>
      </w:r>
    </w:p>
    <w:p w14:paraId="50D0A957" w14:textId="4E605813" w:rsidR="005308B8" w:rsidRPr="00B47BDA" w:rsidRDefault="005308B8" w:rsidP="004623DD">
      <w:r w:rsidRPr="00B47BDA">
        <w:rPr>
          <w:b/>
        </w:rPr>
        <w:t xml:space="preserve">Izvršno tijelo: </w:t>
      </w:r>
      <w:r w:rsidRPr="00B47BDA">
        <w:t>AZU u području izrade tehničkih podloga, M</w:t>
      </w:r>
      <w:r w:rsidR="00C3639F" w:rsidRPr="00B47BDA">
        <w:t>IN</w:t>
      </w:r>
      <w:r w:rsidRPr="00B47BDA">
        <w:t>GO u području prilagodbe zakonodavnog okvira</w:t>
      </w:r>
      <w:r w:rsidR="00AF40E5" w:rsidRPr="00B47BDA">
        <w:t>.</w:t>
      </w:r>
    </w:p>
    <w:p w14:paraId="6FFD56D4" w14:textId="377A1FC3" w:rsidR="005308B8" w:rsidRPr="00B47BDA" w:rsidRDefault="005308B8" w:rsidP="004623DD">
      <w:r w:rsidRPr="003A2A86">
        <w:rPr>
          <w:b/>
          <w:bCs/>
        </w:rPr>
        <w:t>Tijela za praćenje:</w:t>
      </w:r>
      <w:r w:rsidRPr="00B47BDA">
        <w:t xml:space="preserve"> M</w:t>
      </w:r>
      <w:r w:rsidR="00B94C54" w:rsidRPr="00B47BDA">
        <w:t>IN</w:t>
      </w:r>
      <w:r w:rsidRPr="00B47BDA">
        <w:t>GO</w:t>
      </w:r>
    </w:p>
    <w:p w14:paraId="64F8F641" w14:textId="39DAF6B7" w:rsidR="005308B8" w:rsidRPr="00B47BDA" w:rsidRDefault="005308B8" w:rsidP="004623DD">
      <w:r w:rsidRPr="00B47BDA">
        <w:rPr>
          <w:b/>
        </w:rPr>
        <w:t xml:space="preserve">Učinak: </w:t>
      </w:r>
      <w:r w:rsidRPr="00B47BDA">
        <w:t xml:space="preserve">Izvršno tijelo dostavlja tijelu za praćenju izrađenu Tehničku podlogu za donošenje akcijskog plana. </w:t>
      </w:r>
    </w:p>
    <w:p w14:paraId="3E0C038A" w14:textId="117ABBCF" w:rsidR="005308B8" w:rsidRPr="00B47BDA" w:rsidRDefault="005308B8" w:rsidP="004623DD">
      <w:r w:rsidRPr="003A2A86">
        <w:rPr>
          <w:b/>
          <w:bCs/>
        </w:rPr>
        <w:t>Metoda praćenja:</w:t>
      </w:r>
      <w:r w:rsidRPr="00B47BDA">
        <w:t xml:space="preserve"> Izvješća</w:t>
      </w:r>
      <w:r w:rsidR="0088095E">
        <w:t>.</w:t>
      </w:r>
    </w:p>
    <w:p w14:paraId="6DF09C7F" w14:textId="77777777" w:rsidR="005308B8" w:rsidRPr="00B47BDA" w:rsidRDefault="005308B8" w:rsidP="004623DD">
      <w:r w:rsidRPr="00B47BDA">
        <w:rPr>
          <w:b/>
        </w:rPr>
        <w:t xml:space="preserve">Pokazatelj provedbe mjere (indikator): </w:t>
      </w:r>
      <w:r w:rsidRPr="00B47BDA">
        <w:t>Za razvoj gospodarstva zasnovanog na vodiku, neizostavna je nacionalna, regionalna i međunarodna suradnja u području vodikovih tehnologija. Mjera će osigurati i stvoriti uvjete za napredak i konkurentnost korištenja vodikovih tehnologija.</w:t>
      </w:r>
    </w:p>
    <w:p w14:paraId="0ED28D10" w14:textId="22FAA2B7" w:rsidR="005308B8" w:rsidRPr="00B47BDA" w:rsidRDefault="005308B8" w:rsidP="004623DD">
      <w:r w:rsidRPr="63259912">
        <w:rPr>
          <w:b/>
          <w:bCs/>
        </w:rPr>
        <w:t>Povezanost s drugim dimenzijama:</w:t>
      </w:r>
      <w:r w:rsidRPr="63259912">
        <w:t xml:space="preserve"> Mjera je povezana s dimenzijom dekarbonizacije i energetske učinkovitosti i Istraživanje, inovacije i konkurentnost</w:t>
      </w:r>
      <w:r w:rsidR="00A55C0A" w:rsidRPr="63259912">
        <w:t>.</w:t>
      </w:r>
    </w:p>
    <w:p w14:paraId="78E6EDB2" w14:textId="2F361EE1" w:rsidR="005308B8" w:rsidRPr="00B47BDA" w:rsidRDefault="005308B8" w:rsidP="004623DD">
      <w:r w:rsidRPr="00B47BDA">
        <w:rPr>
          <w:b/>
        </w:rPr>
        <w:t>Istraživanje i razvoj</w:t>
      </w:r>
      <w:r w:rsidRPr="00B47BDA">
        <w:t>: Mjera je povezana s istraživanjem i razvojem tehnologija OIE i integracijom energetskih sustava uz pomoć vodika</w:t>
      </w:r>
      <w:r w:rsidR="00A55C0A" w:rsidRPr="00B47BDA">
        <w:t>.</w:t>
      </w:r>
    </w:p>
    <w:p w14:paraId="160B65EE" w14:textId="68003277" w:rsidR="001E2D95" w:rsidRPr="00B47BDA" w:rsidRDefault="001E2D95" w:rsidP="00CF06E5">
      <w:pPr>
        <w:pStyle w:val="Mjeranaslov"/>
        <w:rPr>
          <w:lang w:eastAsia="hr-HR"/>
        </w:rPr>
      </w:pPr>
      <w:r w:rsidRPr="00B47BDA">
        <w:rPr>
          <w:lang w:eastAsia="hr-HR"/>
        </w:rPr>
        <w:t>MS-1</w:t>
      </w:r>
      <w:r w:rsidR="00AA4496">
        <w:rPr>
          <w:lang w:eastAsia="hr-HR"/>
        </w:rPr>
        <w:t>1</w:t>
      </w:r>
      <w:r w:rsidRPr="00B47BDA">
        <w:rPr>
          <w:lang w:eastAsia="hr-HR"/>
        </w:rPr>
        <w:t xml:space="preserve"> </w:t>
      </w:r>
      <w:r w:rsidR="001E0605" w:rsidRPr="001E0605">
        <w:rPr>
          <w:lang w:eastAsia="hr-HR"/>
        </w:rPr>
        <w:t xml:space="preserve">Smanjenje </w:t>
      </w:r>
      <w:r w:rsidR="005B4A5A" w:rsidRPr="001E0605">
        <w:rPr>
          <w:lang w:eastAsia="hr-HR"/>
        </w:rPr>
        <w:t>uglji</w:t>
      </w:r>
      <w:r w:rsidR="005B4A5A">
        <w:rPr>
          <w:lang w:eastAsia="hr-HR"/>
        </w:rPr>
        <w:t>čnog</w:t>
      </w:r>
      <w:r w:rsidR="005B4A5A" w:rsidRPr="001E0605">
        <w:rPr>
          <w:lang w:eastAsia="hr-HR"/>
        </w:rPr>
        <w:t xml:space="preserve"> </w:t>
      </w:r>
      <w:r w:rsidR="001E0605" w:rsidRPr="001E0605">
        <w:rPr>
          <w:lang w:eastAsia="hr-HR"/>
        </w:rPr>
        <w:t>otiska pojedinca promjenom životnih navika</w:t>
      </w:r>
    </w:p>
    <w:p w14:paraId="4E522ABC" w14:textId="77777777" w:rsidR="001E2D95" w:rsidRPr="00B47BDA" w:rsidRDefault="001E2D95" w:rsidP="004623DD">
      <w:pPr>
        <w:rPr>
          <w:lang w:eastAsia="hr-HR"/>
        </w:rPr>
      </w:pPr>
      <w:r w:rsidRPr="00B47BDA">
        <w:rPr>
          <w:lang w:eastAsia="hr-HR"/>
        </w:rPr>
        <w:lastRenderedPageBreak/>
        <w:t>Informacijska mjera; provedba 2024.-2030.</w:t>
      </w:r>
    </w:p>
    <w:p w14:paraId="4832DB64" w14:textId="62180C33" w:rsidR="0031554F" w:rsidRDefault="002D4A29" w:rsidP="00A646FF">
      <w:r w:rsidRPr="002D4A29">
        <w:rPr>
          <w:b/>
          <w:lang w:eastAsia="hr-HR"/>
        </w:rPr>
        <w:t xml:space="preserve">Cilj i opis mjere: </w:t>
      </w:r>
      <w:r w:rsidR="00294A3F" w:rsidRPr="00A646FF">
        <w:t>Promjenom životnih navika i stilova pojedinaca i društva može se ostvariti značajno smanjenje potrošnje resursa i emisije stakleničkih plinova. Stoga je cilj ove mjere potaknuti</w:t>
      </w:r>
      <w:r w:rsidR="00294A3F">
        <w:t xml:space="preserve"> </w:t>
      </w:r>
      <w:r w:rsidR="00294A3F" w:rsidRPr="00A646FF">
        <w:t xml:space="preserve">promjene potrošačkih navika, </w:t>
      </w:r>
      <w:r w:rsidR="00294A3F" w:rsidRPr="00FA4FD0">
        <w:t xml:space="preserve">prehrambenih navika u smjeru uključivanja/korištenja više hrane biljnog porijekla, navika vezanih za prijevoz i putovanja, načina korištenja i posjedovanja raznih uređaja u kućanstvima itd. što se može izraziti </w:t>
      </w:r>
      <w:r w:rsidR="00294A3F" w:rsidRPr="00A646FF">
        <w:t xml:space="preserve">kroz smanjenje ugljičnog otiska pojedinca. Međutim, kako bismo promijenili svoje navike, moramo biti svjesni utjecaja našeg vlastitog ugljičnog otiska i znati kako ga smanjiti. </w:t>
      </w:r>
      <w:r w:rsidR="00294A3F" w:rsidRPr="00971E8C">
        <w:t xml:space="preserve">Uzgoj žitarica za hranu za životinje proizvodi puno više stakleničkih plinova nego proizvodnja žitarica za ljudsku prehranu. Povećanjem utroška namirnica biljnog porijekla u prehrani </w:t>
      </w:r>
      <w:r w:rsidR="00294A3F">
        <w:t xml:space="preserve">doprinosi se boljem zdravlju te se </w:t>
      </w:r>
      <w:r w:rsidR="00294A3F" w:rsidRPr="00971E8C">
        <w:t>mogu ostvariti značajna smanjenja emisija, kao i ušteda vode</w:t>
      </w:r>
      <w:r w:rsidR="00294A3F">
        <w:t xml:space="preserve"> i energije</w:t>
      </w:r>
      <w:r w:rsidR="00294A3F" w:rsidRPr="00971E8C">
        <w:t>.</w:t>
      </w:r>
      <w:r w:rsidR="00294A3F">
        <w:t xml:space="preserve"> </w:t>
      </w:r>
      <w:r w:rsidR="00294A3F" w:rsidRPr="00A646FF">
        <w:t xml:space="preserve">Stoga se predlaže provođenje aktivnosti koje će educirati i potaknuti građane na promjenu životnih </w:t>
      </w:r>
      <w:r w:rsidR="00294A3F">
        <w:t xml:space="preserve">i prehrambenih </w:t>
      </w:r>
      <w:r w:rsidR="00294A3F" w:rsidRPr="00A646FF">
        <w:t>navika i usvajanje energetski učinkovitih praksi.</w:t>
      </w:r>
    </w:p>
    <w:p w14:paraId="13EF670F" w14:textId="61BB774E" w:rsidR="00555B73" w:rsidRPr="00555B73" w:rsidRDefault="00555B73" w:rsidP="00A646FF">
      <w:pPr>
        <w:rPr>
          <w:b/>
          <w:bCs/>
        </w:rPr>
      </w:pPr>
      <w:r w:rsidRPr="00555B73">
        <w:rPr>
          <w:b/>
          <w:bCs/>
        </w:rPr>
        <w:t xml:space="preserve">Aktivnosti: </w:t>
      </w:r>
    </w:p>
    <w:p w14:paraId="4F18FFF4" w14:textId="26DBD5F1" w:rsidR="00294A3F" w:rsidRPr="0047196B" w:rsidRDefault="00294A3F" w:rsidP="00880B9B">
      <w:pPr>
        <w:numPr>
          <w:ilvl w:val="0"/>
          <w:numId w:val="129"/>
        </w:numPr>
        <w:tabs>
          <w:tab w:val="left" w:pos="431"/>
        </w:tabs>
        <w:spacing w:after="60"/>
        <w:ind w:left="714" w:hanging="357"/>
        <w:rPr>
          <w:rFonts w:cs="Tahoma"/>
          <w:lang w:eastAsia="ar-SA"/>
        </w:rPr>
      </w:pPr>
      <w:r w:rsidRPr="0047196B">
        <w:rPr>
          <w:rFonts w:cs="Tahoma"/>
          <w:lang w:eastAsia="ar-SA"/>
        </w:rPr>
        <w:t>Izrada Smjernica za pravilnu prehranu (HZJZ)</w:t>
      </w:r>
      <w:r w:rsidR="004E6E77">
        <w:rPr>
          <w:rFonts w:cs="Tahoma"/>
          <w:lang w:eastAsia="ar-SA"/>
        </w:rPr>
        <w:t>;</w:t>
      </w:r>
    </w:p>
    <w:p w14:paraId="0D200A30" w14:textId="6201C92A" w:rsidR="00294A3F" w:rsidRPr="0047196B" w:rsidRDefault="00294A3F" w:rsidP="00880B9B">
      <w:pPr>
        <w:numPr>
          <w:ilvl w:val="0"/>
          <w:numId w:val="129"/>
        </w:numPr>
        <w:tabs>
          <w:tab w:val="left" w:pos="431"/>
        </w:tabs>
        <w:spacing w:after="60"/>
        <w:ind w:left="714" w:hanging="357"/>
        <w:rPr>
          <w:rFonts w:cs="Tahoma"/>
          <w:lang w:eastAsia="ar-SA"/>
        </w:rPr>
      </w:pPr>
      <w:r w:rsidRPr="0047196B">
        <w:rPr>
          <w:rFonts w:cs="Tahoma"/>
          <w:lang w:eastAsia="ar-SA"/>
        </w:rPr>
        <w:t>Izrada Smjernica za tjelesnu aktivnost (HZJZ)</w:t>
      </w:r>
      <w:r w:rsidR="004E6E77">
        <w:rPr>
          <w:rFonts w:cs="Tahoma"/>
          <w:lang w:eastAsia="ar-SA"/>
        </w:rPr>
        <w:t>;</w:t>
      </w:r>
    </w:p>
    <w:p w14:paraId="21337F0C" w14:textId="5EE60344" w:rsidR="00294A3F" w:rsidRPr="0047196B" w:rsidRDefault="00294A3F" w:rsidP="00880B9B">
      <w:pPr>
        <w:numPr>
          <w:ilvl w:val="0"/>
          <w:numId w:val="129"/>
        </w:numPr>
        <w:tabs>
          <w:tab w:val="left" w:pos="431"/>
        </w:tabs>
        <w:spacing w:after="60"/>
        <w:ind w:left="714" w:hanging="357"/>
        <w:rPr>
          <w:rFonts w:cs="Tahoma"/>
          <w:lang w:eastAsia="ar-SA"/>
        </w:rPr>
      </w:pPr>
      <w:r w:rsidRPr="0047196B">
        <w:rPr>
          <w:rFonts w:cs="Tahoma"/>
          <w:lang w:eastAsia="ar-SA"/>
        </w:rPr>
        <w:t>Izrada i provedba kampanja, javnozdravstvenih akcija, videa, plakata i letaka na temu promjena životnih i prehrambenih navika s ciljem smanjenja ugljičnog otiska (HZJZ, MZ, FZOEU)</w:t>
      </w:r>
      <w:r w:rsidR="004E6E77">
        <w:rPr>
          <w:rFonts w:cs="Tahoma"/>
          <w:lang w:eastAsia="ar-SA"/>
        </w:rPr>
        <w:t>;</w:t>
      </w:r>
    </w:p>
    <w:p w14:paraId="4F9DBE42" w14:textId="743ECD31" w:rsidR="00294A3F" w:rsidRPr="0047196B" w:rsidRDefault="00294A3F" w:rsidP="00880B9B">
      <w:pPr>
        <w:numPr>
          <w:ilvl w:val="0"/>
          <w:numId w:val="129"/>
        </w:numPr>
        <w:tabs>
          <w:tab w:val="left" w:pos="431"/>
        </w:tabs>
        <w:spacing w:after="60"/>
        <w:ind w:left="714" w:hanging="357"/>
        <w:rPr>
          <w:rFonts w:cs="Tahoma"/>
          <w:lang w:eastAsia="ar-SA"/>
        </w:rPr>
      </w:pPr>
      <w:r w:rsidRPr="0047196B">
        <w:rPr>
          <w:rFonts w:cs="Tahoma"/>
          <w:lang w:eastAsia="ar-SA"/>
        </w:rPr>
        <w:t>Izvještaj o provedbi istraživanja Europsk</w:t>
      </w:r>
      <w:r w:rsidR="00015F64">
        <w:rPr>
          <w:rFonts w:cs="Tahoma"/>
          <w:lang w:eastAsia="ar-SA"/>
        </w:rPr>
        <w:t>e</w:t>
      </w:r>
      <w:r w:rsidRPr="0047196B">
        <w:rPr>
          <w:rFonts w:cs="Tahoma"/>
          <w:lang w:eastAsia="ar-SA"/>
        </w:rPr>
        <w:t xml:space="preserve"> zdravstven</w:t>
      </w:r>
      <w:r w:rsidR="00015F64">
        <w:rPr>
          <w:rFonts w:cs="Tahoma"/>
          <w:lang w:eastAsia="ar-SA"/>
        </w:rPr>
        <w:t>e</w:t>
      </w:r>
      <w:r w:rsidRPr="0047196B">
        <w:rPr>
          <w:rFonts w:cs="Tahoma"/>
          <w:lang w:eastAsia="ar-SA"/>
        </w:rPr>
        <w:t xml:space="preserve"> anket</w:t>
      </w:r>
      <w:r w:rsidR="00015F64">
        <w:rPr>
          <w:rFonts w:cs="Tahoma"/>
          <w:lang w:eastAsia="ar-SA"/>
        </w:rPr>
        <w:t>e</w:t>
      </w:r>
      <w:r w:rsidRPr="0047196B">
        <w:rPr>
          <w:rFonts w:cs="Tahoma"/>
          <w:lang w:eastAsia="ar-SA"/>
        </w:rPr>
        <w:t xml:space="preserve"> (HZJZ)</w:t>
      </w:r>
      <w:r w:rsidR="004E6E77">
        <w:rPr>
          <w:rFonts w:cs="Tahoma"/>
          <w:lang w:eastAsia="ar-SA"/>
        </w:rPr>
        <w:t>;</w:t>
      </w:r>
    </w:p>
    <w:p w14:paraId="7198CE14" w14:textId="56833153" w:rsidR="00294A3F" w:rsidRPr="0047196B" w:rsidRDefault="00294A3F" w:rsidP="00880B9B">
      <w:pPr>
        <w:numPr>
          <w:ilvl w:val="0"/>
          <w:numId w:val="129"/>
        </w:numPr>
        <w:tabs>
          <w:tab w:val="left" w:pos="431"/>
        </w:tabs>
        <w:autoSpaceDN w:val="0"/>
        <w:spacing w:after="60" w:line="360" w:lineRule="auto"/>
        <w:ind w:left="714" w:hanging="357"/>
        <w:rPr>
          <w:rFonts w:cs="Tahoma"/>
          <w:lang w:eastAsia="ar-SA"/>
        </w:rPr>
      </w:pPr>
      <w:r w:rsidRPr="0047196B">
        <w:rPr>
          <w:rFonts w:cs="Tahoma"/>
          <w:lang w:eastAsia="ar-SA"/>
        </w:rPr>
        <w:t>Deklariranje hrane koj</w:t>
      </w:r>
      <w:r w:rsidR="0012040A">
        <w:rPr>
          <w:rFonts w:cs="Tahoma"/>
          <w:lang w:eastAsia="ar-SA"/>
        </w:rPr>
        <w:t>a</w:t>
      </w:r>
      <w:r w:rsidRPr="0047196B">
        <w:rPr>
          <w:rFonts w:cs="Tahoma"/>
          <w:lang w:eastAsia="ar-SA"/>
        </w:rPr>
        <w:t xml:space="preserve"> omogućuje potrošačima „zdraviji izbor“ (MZ, HZJZ)</w:t>
      </w:r>
      <w:r w:rsidR="0088095E" w:rsidRPr="0047196B">
        <w:rPr>
          <w:rFonts w:cs="Tahoma"/>
          <w:lang w:eastAsia="ar-SA"/>
        </w:rPr>
        <w:t>.</w:t>
      </w:r>
    </w:p>
    <w:p w14:paraId="51675389" w14:textId="1474E382" w:rsidR="00023031" w:rsidRPr="00880B9B" w:rsidRDefault="00023031" w:rsidP="00023031">
      <w:pPr>
        <w:rPr>
          <w:rFonts w:asciiTheme="minorHAnsi" w:hAnsiTheme="minorHAnsi" w:cstheme="minorHAnsi"/>
          <w:b/>
        </w:rPr>
      </w:pPr>
      <w:r w:rsidRPr="00880B9B">
        <w:rPr>
          <w:rFonts w:asciiTheme="minorHAnsi" w:hAnsiTheme="minorHAnsi" w:cstheme="minorHAnsi"/>
          <w:b/>
        </w:rPr>
        <w:t xml:space="preserve">Sredstva potrebna za provedbu: </w:t>
      </w:r>
      <w:r w:rsidRPr="00880B9B">
        <w:rPr>
          <w:rFonts w:asciiTheme="minorHAnsi" w:hAnsiTheme="minorHAnsi" w:cstheme="minorHAnsi"/>
        </w:rPr>
        <w:t xml:space="preserve">500.000 </w:t>
      </w:r>
      <w:r w:rsidR="00A56758" w:rsidRPr="00880B9B">
        <w:rPr>
          <w:rFonts w:asciiTheme="minorHAnsi" w:hAnsiTheme="minorHAnsi" w:cstheme="minorHAnsi"/>
        </w:rPr>
        <w:t xml:space="preserve">EUR </w:t>
      </w:r>
      <w:r w:rsidRPr="00880B9B">
        <w:rPr>
          <w:rFonts w:asciiTheme="minorHAnsi" w:hAnsiTheme="minorHAnsi" w:cstheme="minorHAnsi"/>
        </w:rPr>
        <w:t>godišnje</w:t>
      </w:r>
      <w:r w:rsidR="0088095E" w:rsidRPr="00880B9B">
        <w:rPr>
          <w:rFonts w:asciiTheme="minorHAnsi" w:hAnsiTheme="minorHAnsi" w:cstheme="minorHAnsi"/>
        </w:rPr>
        <w:t>.</w:t>
      </w:r>
    </w:p>
    <w:p w14:paraId="71722F7B" w14:textId="04690C9C" w:rsidR="002D4A29" w:rsidRPr="00880B9B" w:rsidRDefault="002D4A29" w:rsidP="00A646FF">
      <w:pPr>
        <w:rPr>
          <w:rFonts w:asciiTheme="minorHAnsi" w:hAnsiTheme="minorHAnsi" w:cstheme="minorHAnsi"/>
          <w:lang w:eastAsia="hr-HR"/>
        </w:rPr>
      </w:pPr>
      <w:r w:rsidRPr="00880B9B">
        <w:rPr>
          <w:rFonts w:asciiTheme="minorHAnsi" w:hAnsiTheme="minorHAnsi" w:cstheme="minorHAnsi"/>
          <w:b/>
          <w:lang w:eastAsia="hr-HR"/>
        </w:rPr>
        <w:t>Izvori financiranja:</w:t>
      </w:r>
      <w:r w:rsidRPr="00880B9B">
        <w:rPr>
          <w:rFonts w:asciiTheme="minorHAnsi" w:hAnsiTheme="minorHAnsi" w:cstheme="minorHAnsi"/>
          <w:i/>
          <w:lang w:eastAsia="hr-HR"/>
        </w:rPr>
        <w:t xml:space="preserve"> </w:t>
      </w:r>
      <w:r w:rsidR="006E1E6B" w:rsidRPr="00880B9B">
        <w:rPr>
          <w:rFonts w:asciiTheme="minorHAnsi" w:hAnsiTheme="minorHAnsi" w:cstheme="minorHAnsi"/>
          <w:lang w:eastAsia="hr-HR"/>
        </w:rPr>
        <w:t>EU fondovi, ostali dostupni izvori</w:t>
      </w:r>
      <w:r w:rsidR="00B44EE4">
        <w:rPr>
          <w:rFonts w:asciiTheme="minorHAnsi" w:hAnsiTheme="minorHAnsi" w:cstheme="minorHAnsi"/>
          <w:lang w:eastAsia="hr-HR"/>
        </w:rPr>
        <w:t>,</w:t>
      </w:r>
      <w:r w:rsidR="00B44EE4" w:rsidRPr="00B44EE4">
        <w:rPr>
          <w:rFonts w:asciiTheme="minorHAnsi" w:hAnsiTheme="minorHAnsi" w:cstheme="minorHAnsi"/>
          <w:lang w:eastAsia="hr-HR"/>
        </w:rPr>
        <w:t xml:space="preserve"> </w:t>
      </w:r>
      <w:r w:rsidR="00B44EE4" w:rsidRPr="00880B9B">
        <w:rPr>
          <w:rFonts w:asciiTheme="minorHAnsi" w:hAnsiTheme="minorHAnsi" w:cstheme="minorHAnsi"/>
          <w:lang w:eastAsia="hr-HR"/>
        </w:rPr>
        <w:t>MZ, HZJZ</w:t>
      </w:r>
      <w:r w:rsidR="0088095E" w:rsidRPr="00880B9B">
        <w:rPr>
          <w:rFonts w:asciiTheme="minorHAnsi" w:hAnsiTheme="minorHAnsi" w:cstheme="minorHAnsi"/>
          <w:lang w:eastAsia="hr-HR"/>
        </w:rPr>
        <w:t>.</w:t>
      </w:r>
    </w:p>
    <w:p w14:paraId="44947586" w14:textId="54CDAFB6" w:rsidR="002D4A29" w:rsidRPr="00880B9B" w:rsidRDefault="002D4A29" w:rsidP="004623DD">
      <w:pPr>
        <w:rPr>
          <w:rFonts w:asciiTheme="minorHAnsi" w:hAnsiTheme="minorHAnsi" w:cstheme="minorHAnsi"/>
          <w:lang w:eastAsia="hr-HR"/>
        </w:rPr>
      </w:pPr>
      <w:r w:rsidRPr="00880B9B">
        <w:rPr>
          <w:rFonts w:asciiTheme="minorHAnsi" w:hAnsiTheme="minorHAnsi" w:cstheme="minorHAnsi"/>
          <w:b/>
          <w:lang w:eastAsia="hr-HR"/>
        </w:rPr>
        <w:t>Izvršno tijelo:</w:t>
      </w:r>
      <w:r w:rsidRPr="00880B9B">
        <w:rPr>
          <w:rFonts w:asciiTheme="minorHAnsi" w:hAnsiTheme="minorHAnsi" w:cstheme="minorHAnsi"/>
          <w:i/>
          <w:lang w:eastAsia="hr-HR"/>
        </w:rPr>
        <w:t xml:space="preserve"> </w:t>
      </w:r>
      <w:r w:rsidR="00832B3A" w:rsidRPr="00880B9B">
        <w:rPr>
          <w:rFonts w:asciiTheme="minorHAnsi" w:hAnsiTheme="minorHAnsi" w:cstheme="minorHAnsi"/>
          <w:lang w:eastAsia="hr-HR"/>
        </w:rPr>
        <w:t>FZOEU</w:t>
      </w:r>
      <w:r w:rsidR="00294A3F" w:rsidRPr="00880B9B">
        <w:rPr>
          <w:rFonts w:asciiTheme="minorHAnsi" w:hAnsiTheme="minorHAnsi" w:cstheme="minorHAnsi"/>
          <w:lang w:eastAsia="hr-HR"/>
        </w:rPr>
        <w:t>, MZ, HZJZ</w:t>
      </w:r>
      <w:r w:rsidR="0088095E" w:rsidRPr="00880B9B">
        <w:rPr>
          <w:rFonts w:asciiTheme="minorHAnsi" w:hAnsiTheme="minorHAnsi" w:cstheme="minorHAnsi"/>
          <w:lang w:eastAsia="hr-HR"/>
        </w:rPr>
        <w:t>.</w:t>
      </w:r>
    </w:p>
    <w:p w14:paraId="56CC27BF" w14:textId="632152E8" w:rsidR="000E3489" w:rsidRPr="00880B9B" w:rsidRDefault="000E3489" w:rsidP="000E3489">
      <w:pPr>
        <w:rPr>
          <w:rFonts w:asciiTheme="minorHAnsi" w:hAnsiTheme="minorHAnsi" w:cstheme="minorHAnsi"/>
        </w:rPr>
      </w:pPr>
      <w:r w:rsidRPr="00880B9B">
        <w:rPr>
          <w:rFonts w:asciiTheme="minorHAnsi" w:hAnsiTheme="minorHAnsi" w:cstheme="minorHAnsi"/>
          <w:b/>
        </w:rPr>
        <w:t>Tijelo za praćenje</w:t>
      </w:r>
      <w:r w:rsidRPr="00880B9B">
        <w:rPr>
          <w:rFonts w:asciiTheme="minorHAnsi" w:hAnsiTheme="minorHAnsi" w:cstheme="minorHAnsi"/>
        </w:rPr>
        <w:t xml:space="preserve">: </w:t>
      </w:r>
      <w:r w:rsidR="000F5D1F" w:rsidRPr="000F5D1F">
        <w:rPr>
          <w:rFonts w:asciiTheme="minorHAnsi" w:hAnsiTheme="minorHAnsi" w:cstheme="minorHAnsi"/>
        </w:rPr>
        <w:t>MZ, HZJZ</w:t>
      </w:r>
      <w:r w:rsidR="0088095E" w:rsidRPr="00880B9B">
        <w:rPr>
          <w:rFonts w:asciiTheme="minorHAnsi" w:hAnsiTheme="minorHAnsi" w:cstheme="minorHAnsi"/>
        </w:rPr>
        <w:t>.</w:t>
      </w:r>
    </w:p>
    <w:p w14:paraId="19F2D3FA" w14:textId="737FB119" w:rsidR="000E3489" w:rsidRPr="00880B9B" w:rsidRDefault="000E3489" w:rsidP="000E3489">
      <w:pPr>
        <w:rPr>
          <w:rFonts w:asciiTheme="minorHAnsi" w:hAnsiTheme="minorHAnsi" w:cstheme="minorHAnsi"/>
        </w:rPr>
      </w:pPr>
      <w:r w:rsidRPr="00880B9B">
        <w:rPr>
          <w:rFonts w:asciiTheme="minorHAnsi" w:hAnsiTheme="minorHAnsi" w:cstheme="minorHAnsi"/>
          <w:b/>
        </w:rPr>
        <w:t>Učinak:</w:t>
      </w:r>
      <w:r w:rsidRPr="00880B9B">
        <w:rPr>
          <w:rFonts w:asciiTheme="minorHAnsi" w:hAnsiTheme="minorHAnsi" w:cstheme="minorHAnsi"/>
        </w:rPr>
        <w:t xml:space="preserve"> Promjena navika u smjeru povećanj</w:t>
      </w:r>
      <w:r w:rsidR="00294A3F" w:rsidRPr="00880B9B">
        <w:rPr>
          <w:rFonts w:asciiTheme="minorHAnsi" w:hAnsiTheme="minorHAnsi" w:cstheme="minorHAnsi"/>
        </w:rPr>
        <w:t>a</w:t>
      </w:r>
      <w:r w:rsidRPr="00880B9B">
        <w:rPr>
          <w:rFonts w:asciiTheme="minorHAnsi" w:hAnsiTheme="minorHAnsi" w:cstheme="minorHAnsi"/>
        </w:rPr>
        <w:t xml:space="preserve"> (energetske) učinkovitosti, održivog/ kružnog korištenj</w:t>
      </w:r>
      <w:r w:rsidR="00294A3F" w:rsidRPr="00880B9B">
        <w:rPr>
          <w:rFonts w:asciiTheme="minorHAnsi" w:hAnsiTheme="minorHAnsi" w:cstheme="minorHAnsi"/>
        </w:rPr>
        <w:t>a</w:t>
      </w:r>
      <w:r w:rsidRPr="00880B9B">
        <w:rPr>
          <w:rFonts w:asciiTheme="minorHAnsi" w:hAnsiTheme="minorHAnsi" w:cstheme="minorHAnsi"/>
        </w:rPr>
        <w:t xml:space="preserve"> resursa, materijala i proizvoda</w:t>
      </w:r>
      <w:r w:rsidR="00294A3F" w:rsidRPr="00880B9B">
        <w:rPr>
          <w:rFonts w:asciiTheme="minorHAnsi" w:hAnsiTheme="minorHAnsi" w:cstheme="minorHAnsi"/>
        </w:rPr>
        <w:t>;</w:t>
      </w:r>
      <w:r w:rsidR="00494979">
        <w:rPr>
          <w:rFonts w:asciiTheme="minorHAnsi" w:hAnsiTheme="minorHAnsi" w:cstheme="minorHAnsi"/>
        </w:rPr>
        <w:t xml:space="preserve"> </w:t>
      </w:r>
      <w:r w:rsidR="00294A3F" w:rsidRPr="00880B9B">
        <w:rPr>
          <w:rFonts w:asciiTheme="minorHAnsi" w:hAnsiTheme="minorHAnsi" w:cstheme="minorHAnsi"/>
        </w:rPr>
        <w:t>P</w:t>
      </w:r>
      <w:r w:rsidRPr="00880B9B">
        <w:rPr>
          <w:rFonts w:asciiTheme="minorHAnsi" w:hAnsiTheme="minorHAnsi" w:cstheme="minorHAnsi"/>
        </w:rPr>
        <w:t xml:space="preserve">ozitivni učinci na zdravlje ljudi; </w:t>
      </w:r>
      <w:r w:rsidR="00294A3F" w:rsidRPr="00880B9B">
        <w:rPr>
          <w:rFonts w:asciiTheme="minorHAnsi" w:hAnsiTheme="minorHAnsi" w:cstheme="minorHAnsi"/>
        </w:rPr>
        <w:t>O</w:t>
      </w:r>
      <w:r w:rsidRPr="00880B9B">
        <w:rPr>
          <w:rFonts w:asciiTheme="minorHAnsi" w:hAnsiTheme="minorHAnsi" w:cstheme="minorHAnsi"/>
        </w:rPr>
        <w:t>svještavanje osobne uloge u promjeni te prelijevanje u druge aspekte profesionalnog života i donošenja odluka te u konačnici ublažavanje klimatskih promjena kroz smanjenje emisija stakleničkih plinova osobnog ugljičnog otiska.</w:t>
      </w:r>
    </w:p>
    <w:p w14:paraId="07F26D50" w14:textId="5758E05B" w:rsidR="000E3489" w:rsidRPr="00880B9B" w:rsidRDefault="000E3489" w:rsidP="000E3489">
      <w:pPr>
        <w:rPr>
          <w:rFonts w:asciiTheme="minorHAnsi" w:hAnsiTheme="minorHAnsi" w:cstheme="minorHAnsi"/>
          <w:lang w:eastAsia="hr-HR"/>
        </w:rPr>
      </w:pPr>
      <w:r w:rsidRPr="00880B9B">
        <w:rPr>
          <w:rFonts w:asciiTheme="minorHAnsi" w:hAnsiTheme="minorHAnsi" w:cstheme="minorHAnsi"/>
          <w:b/>
        </w:rPr>
        <w:t>Metoda praćenja</w:t>
      </w:r>
      <w:r w:rsidRPr="00880B9B">
        <w:rPr>
          <w:rFonts w:asciiTheme="minorHAnsi" w:hAnsiTheme="minorHAnsi" w:cstheme="minorHAnsi"/>
        </w:rPr>
        <w:t xml:space="preserve">: </w:t>
      </w:r>
      <w:r w:rsidR="00294A3F" w:rsidRPr="00880B9B">
        <w:rPr>
          <w:rFonts w:asciiTheme="minorHAnsi" w:hAnsiTheme="minorHAnsi" w:cstheme="minorHAnsi"/>
        </w:rPr>
        <w:t>Broj obavljenih kampanja, akcija, članaka edukacija, javnih natječaja, utrošena sredstva, broj novih prehrambenih proizvoda s prepoznatljivim oznakama</w:t>
      </w:r>
      <w:r w:rsidR="0088095E" w:rsidRPr="00880B9B">
        <w:rPr>
          <w:rFonts w:asciiTheme="minorHAnsi" w:hAnsiTheme="minorHAnsi" w:cstheme="minorHAnsi"/>
        </w:rPr>
        <w:t>.</w:t>
      </w:r>
    </w:p>
    <w:p w14:paraId="26DF1242" w14:textId="07A3D509" w:rsidR="000E3489" w:rsidRPr="00880B9B" w:rsidRDefault="0051361D" w:rsidP="63259912">
      <w:pPr>
        <w:rPr>
          <w:rFonts w:asciiTheme="minorHAnsi" w:hAnsiTheme="minorHAnsi" w:cstheme="minorBidi"/>
          <w:lang w:eastAsia="hr-HR"/>
        </w:rPr>
      </w:pPr>
      <w:r w:rsidRPr="63259912">
        <w:rPr>
          <w:rFonts w:asciiTheme="minorHAnsi" w:hAnsiTheme="minorHAnsi" w:cstheme="minorBidi"/>
          <w:b/>
          <w:bCs/>
        </w:rPr>
        <w:t>Povezanost s drugim dimenzijama</w:t>
      </w:r>
      <w:r w:rsidRPr="63259912">
        <w:rPr>
          <w:rFonts w:asciiTheme="minorHAnsi" w:hAnsiTheme="minorHAnsi" w:cstheme="minorBidi"/>
        </w:rPr>
        <w:t xml:space="preserve">: </w:t>
      </w:r>
      <w:r w:rsidR="00B14C00" w:rsidRPr="63259912">
        <w:rPr>
          <w:rFonts w:asciiTheme="minorHAnsi" w:hAnsiTheme="minorHAnsi" w:cstheme="minorBidi"/>
          <w:lang w:eastAsia="hr-HR"/>
        </w:rPr>
        <w:t>Energetska učinkovitost</w:t>
      </w:r>
      <w:r w:rsidRPr="63259912">
        <w:rPr>
          <w:rFonts w:asciiTheme="minorHAnsi" w:hAnsiTheme="minorHAnsi" w:cstheme="minorBidi"/>
          <w:lang w:eastAsia="hr-HR"/>
        </w:rPr>
        <w:t xml:space="preserve">, </w:t>
      </w:r>
      <w:r w:rsidR="00B14C00" w:rsidRPr="63259912">
        <w:rPr>
          <w:rFonts w:asciiTheme="minorHAnsi" w:hAnsiTheme="minorHAnsi" w:cstheme="minorBidi"/>
          <w:lang w:eastAsia="hr-HR"/>
        </w:rPr>
        <w:t>Energetska sigurnost</w:t>
      </w:r>
      <w:r w:rsidR="00294A3F" w:rsidRPr="63259912">
        <w:rPr>
          <w:rFonts w:asciiTheme="minorHAnsi" w:hAnsiTheme="minorHAnsi" w:cstheme="minorBidi"/>
          <w:lang w:eastAsia="hr-HR"/>
        </w:rPr>
        <w:t>, Dekarbonizacija</w:t>
      </w:r>
      <w:r w:rsidR="0088095E" w:rsidRPr="63259912">
        <w:rPr>
          <w:rFonts w:asciiTheme="minorHAnsi" w:hAnsiTheme="minorHAnsi" w:cstheme="minorBidi"/>
          <w:lang w:eastAsia="hr-HR"/>
        </w:rPr>
        <w:t>.</w:t>
      </w:r>
    </w:p>
    <w:p w14:paraId="2337D3BE" w14:textId="25104178" w:rsidR="002D4A29" w:rsidRDefault="002D4A29" w:rsidP="004623DD">
      <w:pPr>
        <w:rPr>
          <w:rFonts w:asciiTheme="minorHAnsi" w:hAnsiTheme="minorHAnsi" w:cstheme="minorHAnsi"/>
          <w:lang w:eastAsia="hr-HR"/>
        </w:rPr>
      </w:pPr>
      <w:r w:rsidRPr="00880B9B">
        <w:rPr>
          <w:rFonts w:asciiTheme="minorHAnsi" w:hAnsiTheme="minorHAnsi" w:cstheme="minorHAnsi"/>
          <w:b/>
          <w:lang w:eastAsia="hr-HR"/>
        </w:rPr>
        <w:t xml:space="preserve">Istraživanje i razvoj: </w:t>
      </w:r>
      <w:r w:rsidR="00294A3F" w:rsidRPr="00880B9B">
        <w:rPr>
          <w:rFonts w:asciiTheme="minorHAnsi" w:hAnsiTheme="minorHAnsi" w:cstheme="minorHAnsi"/>
          <w:lang w:eastAsia="hr-HR"/>
        </w:rPr>
        <w:t>Istraživanja EHIS u svrhu prikupljanja usporedivih podataka o zdravstvenom stanju i navikama</w:t>
      </w:r>
      <w:r w:rsidR="0088095E" w:rsidRPr="00880B9B">
        <w:rPr>
          <w:rFonts w:asciiTheme="minorHAnsi" w:hAnsiTheme="minorHAnsi" w:cstheme="minorHAnsi"/>
          <w:lang w:eastAsia="hr-HR"/>
        </w:rPr>
        <w:t>.</w:t>
      </w:r>
    </w:p>
    <w:p w14:paraId="4AB382D6" w14:textId="51C5F847" w:rsidR="001E2D95" w:rsidRPr="00880B9B" w:rsidRDefault="001E2D95" w:rsidP="00CF06E5">
      <w:pPr>
        <w:pStyle w:val="Mjeranaslov"/>
        <w:rPr>
          <w:rFonts w:asciiTheme="minorHAnsi" w:hAnsiTheme="minorHAnsi" w:cstheme="minorHAnsi"/>
          <w:lang w:eastAsia="hr-HR"/>
        </w:rPr>
      </w:pPr>
      <w:r w:rsidRPr="00880B9B">
        <w:rPr>
          <w:rFonts w:asciiTheme="minorHAnsi" w:hAnsiTheme="minorHAnsi" w:cstheme="minorHAnsi"/>
          <w:lang w:eastAsia="hr-HR"/>
        </w:rPr>
        <w:t>MS-1</w:t>
      </w:r>
      <w:r w:rsidR="002D4A29" w:rsidRPr="00880B9B">
        <w:rPr>
          <w:rFonts w:asciiTheme="minorHAnsi" w:hAnsiTheme="minorHAnsi" w:cstheme="minorHAnsi"/>
          <w:lang w:eastAsia="hr-HR"/>
        </w:rPr>
        <w:t>2</w:t>
      </w:r>
      <w:r w:rsidRPr="00880B9B">
        <w:rPr>
          <w:rFonts w:asciiTheme="minorHAnsi" w:hAnsiTheme="minorHAnsi" w:cstheme="minorHAnsi"/>
          <w:lang w:eastAsia="hr-HR"/>
        </w:rPr>
        <w:t xml:space="preserve"> </w:t>
      </w:r>
      <w:r w:rsidR="00E77063" w:rsidRPr="00880B9B">
        <w:rPr>
          <w:rFonts w:asciiTheme="minorHAnsi" w:hAnsiTheme="minorHAnsi" w:cstheme="minorHAnsi"/>
          <w:lang w:eastAsia="hr-HR"/>
        </w:rPr>
        <w:t>Prikupljanje i korištenje biomase iz poljoprivrede, šumarstva, ribarstva i akvakulture</w:t>
      </w:r>
      <w:r w:rsidRPr="00880B9B" w:rsidDel="00C45766">
        <w:rPr>
          <w:rFonts w:asciiTheme="minorHAnsi" w:hAnsiTheme="minorHAnsi" w:cstheme="minorHAnsi"/>
          <w:lang w:eastAsia="hr-HR"/>
        </w:rPr>
        <w:t xml:space="preserve"> </w:t>
      </w:r>
    </w:p>
    <w:p w14:paraId="63AF2222" w14:textId="0B042C76" w:rsidR="001E2D95" w:rsidRPr="00880B9B" w:rsidRDefault="001E2D95" w:rsidP="004623DD">
      <w:pPr>
        <w:rPr>
          <w:rFonts w:asciiTheme="minorHAnsi" w:hAnsiTheme="minorHAnsi" w:cstheme="minorHAnsi"/>
          <w:lang w:eastAsia="hr-HR"/>
        </w:rPr>
      </w:pPr>
      <w:r w:rsidRPr="00880B9B">
        <w:rPr>
          <w:rFonts w:asciiTheme="minorHAnsi" w:hAnsiTheme="minorHAnsi" w:cstheme="minorHAnsi"/>
          <w:lang w:eastAsia="hr-HR"/>
        </w:rPr>
        <w:t>Informacijska</w:t>
      </w:r>
      <w:r w:rsidR="00C9382E" w:rsidRPr="00880B9B">
        <w:rPr>
          <w:rFonts w:asciiTheme="minorHAnsi" w:hAnsiTheme="minorHAnsi" w:cstheme="minorHAnsi"/>
          <w:lang w:eastAsia="hr-HR"/>
        </w:rPr>
        <w:t>, financijska</w:t>
      </w:r>
      <w:r w:rsidRPr="00880B9B">
        <w:rPr>
          <w:rFonts w:asciiTheme="minorHAnsi" w:hAnsiTheme="minorHAnsi" w:cstheme="minorHAnsi"/>
          <w:lang w:eastAsia="hr-HR"/>
        </w:rPr>
        <w:t xml:space="preserve"> mjera; provedba 2024.-2030.</w:t>
      </w:r>
    </w:p>
    <w:p w14:paraId="358FD57C" w14:textId="77777777" w:rsidR="005D0392" w:rsidRPr="00880B9B" w:rsidRDefault="00627DD7" w:rsidP="005D0392">
      <w:pPr>
        <w:rPr>
          <w:rFonts w:asciiTheme="minorHAnsi" w:hAnsiTheme="minorHAnsi" w:cstheme="minorHAnsi"/>
        </w:rPr>
      </w:pPr>
      <w:r w:rsidRPr="00880B9B">
        <w:rPr>
          <w:rFonts w:asciiTheme="minorHAnsi" w:hAnsiTheme="minorHAnsi" w:cstheme="minorHAnsi"/>
          <w:b/>
          <w:lang w:eastAsia="hr-HR"/>
        </w:rPr>
        <w:lastRenderedPageBreak/>
        <w:t xml:space="preserve">Cilj i opis mjere: </w:t>
      </w:r>
    </w:p>
    <w:p w14:paraId="535FAE4F" w14:textId="1F7A1B41" w:rsidR="005D0392" w:rsidRPr="00880B9B" w:rsidRDefault="005D0392" w:rsidP="63259912">
      <w:pPr>
        <w:rPr>
          <w:rFonts w:asciiTheme="minorHAnsi" w:hAnsiTheme="minorHAnsi" w:cstheme="minorBidi"/>
        </w:rPr>
      </w:pPr>
      <w:r w:rsidRPr="63259912">
        <w:rPr>
          <w:rFonts w:asciiTheme="minorHAnsi" w:hAnsiTheme="minorHAnsi" w:cstheme="minorBidi"/>
        </w:rPr>
        <w:t>Prema procjeni Europske komisije</w:t>
      </w:r>
      <w:r w:rsidRPr="63259912">
        <w:rPr>
          <w:rStyle w:val="FootnoteReference"/>
          <w:rFonts w:asciiTheme="minorHAnsi" w:hAnsiTheme="minorHAnsi" w:cstheme="minorBidi"/>
          <w:sz w:val="24"/>
        </w:rPr>
        <w:footnoteReference w:id="27"/>
      </w:r>
      <w:r w:rsidRPr="63259912">
        <w:rPr>
          <w:rFonts w:asciiTheme="minorHAnsi" w:hAnsiTheme="minorHAnsi" w:cstheme="minorBidi"/>
        </w:rPr>
        <w:t xml:space="preserve"> godišnja proizvodnja biomase u Hrvatskoj iznosi 9,3 milijuna tona, od čega 70% dolazi iz poljoprivrede, a 30% iz šumarstva što su relativno velike količine biomase koje bi se, osim za proizvodnju bioenergije, mogle koristiti za proizvodnju biobaziranih proizvoda </w:t>
      </w:r>
      <w:r w:rsidR="00A9213B" w:rsidRPr="63259912">
        <w:rPr>
          <w:rFonts w:asciiTheme="minorHAnsi" w:hAnsiTheme="minorHAnsi" w:cstheme="minorBidi"/>
        </w:rPr>
        <w:t>(prehrambeni proizvodi, piće i duhanski proizvodi, tekstil, odjeća i koža, proizvodi od drva i namještaj, papir, kemikalije i kemijski proizvodi, farmaceutski proizvodi i pripravci, plastika, guma i dr.)</w:t>
      </w:r>
      <w:r w:rsidRPr="63259912">
        <w:rPr>
          <w:rFonts w:asciiTheme="minorHAnsi" w:hAnsiTheme="minorHAnsi" w:cstheme="minorBidi"/>
        </w:rPr>
        <w:t>.</w:t>
      </w:r>
    </w:p>
    <w:p w14:paraId="18AEFDCE" w14:textId="77777777" w:rsidR="005D0392" w:rsidRDefault="005D0392" w:rsidP="005D0392">
      <w:r w:rsidRPr="00880B9B">
        <w:rPr>
          <w:rFonts w:asciiTheme="minorHAnsi" w:hAnsiTheme="minorHAnsi" w:cstheme="minorHAnsi"/>
        </w:rPr>
        <w:t>Proizvodnja biomase iz poljoprivrede, prema podacima iz 2019. godine, iznosila je 6,7 milijuna tona, uz dodatni neto uvoz od 3,1 milijuna tona. Od ukupno raspoložive poljoprivredne biomase, 49% bilo je namijenjeno za domaću potrošnju hrane, 10% je otišlo u izvoz, a 41% su bili ostaci ili nusproizvodi. Količina otpada od hrane iznosila je 298 tisuća tona suhe tvari.</w:t>
      </w:r>
      <w:r>
        <w:t xml:space="preserve"> Potrošnja poljoprivredne biomase za proizvodnju bioenergije procijenjena je na 1.000 tona suhe tvari.</w:t>
      </w:r>
    </w:p>
    <w:p w14:paraId="0C4B959D" w14:textId="553CABB6" w:rsidR="005D0392" w:rsidRDefault="005D0392" w:rsidP="005D0392">
      <w:r>
        <w:t>Proizvodnja šumske biomase iznosila je 2.785 tisuća tona suhe tvari prema podacima iz 2019. godine, a procjenjuje se da je na raspolaganju bilo još 819 tisuća tona šumske biomase koja nije bila prijavljena. Od ukupne raspoložive šumske biomase, 478 tisuća tona izvezeno je u obliku trupaca, 1.594 tisuća tona je završilo u preradi, a ostatak je korišten za dobivanje energije. Iz Hrvatske su izvezene 704 tisuće tona piljene građe, 325 tisuća tona peleta i 353 tisuće tona nusproizvoda obrade drva. Navedene</w:t>
      </w:r>
      <w:r w:rsidRPr="00153156">
        <w:t xml:space="preserve"> </w:t>
      </w:r>
      <w:r>
        <w:t xml:space="preserve">količine </w:t>
      </w:r>
      <w:r w:rsidRPr="00153156">
        <w:t xml:space="preserve">se mogu </w:t>
      </w:r>
      <w:r>
        <w:t>dodatno</w:t>
      </w:r>
      <w:r w:rsidRPr="00153156">
        <w:t xml:space="preserve"> povećati, unaprjeđenjem sustava obrade otpada. </w:t>
      </w:r>
      <w:r w:rsidR="009B06A8" w:rsidRPr="00555227">
        <w:t>Vezano uz biomasu iz šumarstva prvenstveno treba koristiti „primarne ostatke iz šumarstva“ koji ne smiju obuhvaćati npr. mrtvo drvo, panjeve, ostatke od sječe i sl. što u pravilu treba ostati u sastojini, kao niti drvnu masu koja nije uzgojena u tu svrhu već se drvna sirovina treba koristiti cirkularno odnosno  drvnu masu treba koristiti  učinkovito na način da se temelji na višestrukoj upotrebi drvne sirovine u različitim kaskadnim fazama životnog vijeka drvnih proizvoda.</w:t>
      </w:r>
    </w:p>
    <w:p w14:paraId="4AB77057" w14:textId="77777777" w:rsidR="005D0392" w:rsidRDefault="005D0392" w:rsidP="63259912">
      <w:pPr>
        <w:rPr>
          <w:lang w:eastAsia="hr-HR"/>
        </w:rPr>
      </w:pPr>
      <w:r w:rsidRPr="63259912">
        <w:t>Zapreku u korištenju biomase iz poljoprivrede predstavlja raspršenost u proizvodnji, što povećava troškove prikupljanja. Hrvatska ne raspolaže adekvatnim kapacitetima za prikupljanje i doradu biomase te će se o</w:t>
      </w:r>
      <w:r w:rsidRPr="63259912">
        <w:rPr>
          <w:lang w:eastAsia="hr-HR"/>
        </w:rPr>
        <w:t>rganiziranjem centara za prikupljanje i obradu biomase, stvoriti mogućnosti za povećanje konkurentnosti proizvođača kroz valorizaciju biomase u inovativnim lancima vrijednosti u biogospodarstvu. Dodatno, vraćanje biomase u proizvodni ciklus doprinosi u smanjenju CO</w:t>
      </w:r>
      <w:r w:rsidRPr="63259912">
        <w:rPr>
          <w:vertAlign w:val="subscript"/>
          <w:lang w:eastAsia="hr-HR"/>
        </w:rPr>
        <w:t>2</w:t>
      </w:r>
      <w:r w:rsidRPr="63259912">
        <w:rPr>
          <w:lang w:eastAsia="hr-HR"/>
        </w:rPr>
        <w:t xml:space="preserve"> otiska gospodarstva i učinkovitom korištenju postojećih prirodnih resursa. </w:t>
      </w:r>
    </w:p>
    <w:p w14:paraId="0E4059A6" w14:textId="3B407DC0" w:rsidR="00627DD7" w:rsidRPr="00627DD7" w:rsidRDefault="005D0392" w:rsidP="005D0392">
      <w:pPr>
        <w:rPr>
          <w:lang w:eastAsia="hr-HR"/>
        </w:rPr>
      </w:pPr>
      <w:r>
        <w:rPr>
          <w:lang w:eastAsia="hr-HR"/>
        </w:rPr>
        <w:t>C</w:t>
      </w:r>
      <w:r w:rsidRPr="00422550">
        <w:rPr>
          <w:lang w:eastAsia="hr-HR"/>
        </w:rPr>
        <w:t xml:space="preserve">entri </w:t>
      </w:r>
      <w:r>
        <w:rPr>
          <w:lang w:eastAsia="hr-HR"/>
        </w:rPr>
        <w:t xml:space="preserve">za prikupljanje i obradu biomase </w:t>
      </w:r>
      <w:r w:rsidRPr="00422550">
        <w:rPr>
          <w:lang w:eastAsia="hr-HR"/>
        </w:rPr>
        <w:t>predstavljaju mjesta na kojima se prikuplja, razvrstava</w:t>
      </w:r>
      <w:r>
        <w:rPr>
          <w:lang w:eastAsia="hr-HR"/>
        </w:rPr>
        <w:t xml:space="preserve"> i</w:t>
      </w:r>
      <w:r w:rsidRPr="00422550">
        <w:rPr>
          <w:lang w:eastAsia="hr-HR"/>
        </w:rPr>
        <w:t xml:space="preserve"> priprema </w:t>
      </w:r>
      <w:r>
        <w:rPr>
          <w:lang w:eastAsia="hr-HR"/>
        </w:rPr>
        <w:t>z</w:t>
      </w:r>
      <w:r w:rsidRPr="00422550">
        <w:rPr>
          <w:lang w:eastAsia="hr-HR"/>
        </w:rPr>
        <w:t xml:space="preserve">a tržište biomasa nastala u </w:t>
      </w:r>
      <w:r>
        <w:rPr>
          <w:lang w:eastAsia="hr-HR"/>
        </w:rPr>
        <w:t xml:space="preserve">procesu </w:t>
      </w:r>
      <w:r w:rsidRPr="00422550">
        <w:rPr>
          <w:lang w:eastAsia="hr-HR"/>
        </w:rPr>
        <w:t>proizvodnj</w:t>
      </w:r>
      <w:r>
        <w:rPr>
          <w:lang w:eastAsia="hr-HR"/>
        </w:rPr>
        <w:t>e</w:t>
      </w:r>
      <w:r w:rsidRPr="00422550">
        <w:rPr>
          <w:lang w:eastAsia="hr-HR"/>
        </w:rPr>
        <w:t xml:space="preserve"> i prerad</w:t>
      </w:r>
      <w:r>
        <w:rPr>
          <w:lang w:eastAsia="hr-HR"/>
        </w:rPr>
        <w:t xml:space="preserve">e u </w:t>
      </w:r>
      <w:r w:rsidRPr="00422550">
        <w:rPr>
          <w:lang w:eastAsia="hr-HR"/>
        </w:rPr>
        <w:t>poljoprivred</w:t>
      </w:r>
      <w:r>
        <w:rPr>
          <w:lang w:eastAsia="hr-HR"/>
        </w:rPr>
        <w:t>i</w:t>
      </w:r>
      <w:r w:rsidRPr="00422550">
        <w:rPr>
          <w:lang w:eastAsia="hr-HR"/>
        </w:rPr>
        <w:t xml:space="preserve">, </w:t>
      </w:r>
      <w:r>
        <w:rPr>
          <w:lang w:eastAsia="hr-HR"/>
        </w:rPr>
        <w:t xml:space="preserve">šumarstvu, </w:t>
      </w:r>
      <w:r w:rsidRPr="00422550">
        <w:rPr>
          <w:lang w:eastAsia="hr-HR"/>
        </w:rPr>
        <w:t>ribarstv</w:t>
      </w:r>
      <w:r>
        <w:rPr>
          <w:lang w:eastAsia="hr-HR"/>
        </w:rPr>
        <w:t>u</w:t>
      </w:r>
      <w:r w:rsidRPr="00422550">
        <w:rPr>
          <w:lang w:eastAsia="hr-HR"/>
        </w:rPr>
        <w:t xml:space="preserve"> i akvakultur</w:t>
      </w:r>
      <w:r>
        <w:rPr>
          <w:lang w:eastAsia="hr-HR"/>
        </w:rPr>
        <w:t>i.</w:t>
      </w:r>
      <w:r w:rsidRPr="00627DD7">
        <w:rPr>
          <w:lang w:eastAsia="hr-HR"/>
        </w:rPr>
        <w:t xml:space="preserve"> </w:t>
      </w:r>
      <w:r>
        <w:rPr>
          <w:lang w:eastAsia="hr-HR"/>
        </w:rPr>
        <w:t xml:space="preserve">Budući je biomasa izvor obnovljivog ugljika, njeno korištenje u novim lancima vrijednosti višestruko će doprinijeti smanjenju </w:t>
      </w:r>
      <w:r w:rsidRPr="009C6240">
        <w:rPr>
          <w:lang w:eastAsia="hr-HR"/>
        </w:rPr>
        <w:t>CO</w:t>
      </w:r>
      <w:r w:rsidRPr="009E62B1">
        <w:rPr>
          <w:vertAlign w:val="subscript"/>
          <w:lang w:eastAsia="hr-HR"/>
        </w:rPr>
        <w:t>2</w:t>
      </w:r>
      <w:r w:rsidR="009E62B1">
        <w:rPr>
          <w:lang w:eastAsia="hr-HR"/>
        </w:rPr>
        <w:t xml:space="preserve">. </w:t>
      </w:r>
    </w:p>
    <w:p w14:paraId="55BBF0DF" w14:textId="34251241" w:rsidR="00627DD7" w:rsidRDefault="00627DD7" w:rsidP="004623DD">
      <w:pPr>
        <w:rPr>
          <w:lang w:eastAsia="hr-HR"/>
        </w:rPr>
      </w:pPr>
      <w:r w:rsidRPr="00627DD7">
        <w:rPr>
          <w:b/>
          <w:lang w:eastAsia="hr-HR"/>
        </w:rPr>
        <w:t>Aktivnosti:</w:t>
      </w:r>
      <w:r w:rsidRPr="00627DD7">
        <w:rPr>
          <w:lang w:eastAsia="hr-HR"/>
        </w:rPr>
        <w:t xml:space="preserve"> U okviru mjere će se: </w:t>
      </w:r>
    </w:p>
    <w:p w14:paraId="7F1834F2" w14:textId="1D428CED" w:rsidR="0012398C" w:rsidRPr="0012398C" w:rsidRDefault="0012398C" w:rsidP="00EA6ED6">
      <w:pPr>
        <w:numPr>
          <w:ilvl w:val="0"/>
          <w:numId w:val="210"/>
        </w:numPr>
        <w:tabs>
          <w:tab w:val="left" w:pos="431"/>
        </w:tabs>
        <w:spacing w:after="60"/>
        <w:rPr>
          <w:rFonts w:cs="Tahoma"/>
          <w:lang w:eastAsia="ar-SA"/>
        </w:rPr>
      </w:pPr>
      <w:r w:rsidRPr="0012398C">
        <w:rPr>
          <w:rFonts w:cs="Tahoma"/>
          <w:lang w:eastAsia="ar-SA"/>
        </w:rPr>
        <w:t xml:space="preserve">Prikupljati </w:t>
      </w:r>
      <w:r w:rsidR="00FF3195">
        <w:rPr>
          <w:rFonts w:cs="Tahoma"/>
          <w:lang w:eastAsia="ar-SA"/>
        </w:rPr>
        <w:t xml:space="preserve">i koristiti </w:t>
      </w:r>
      <w:r w:rsidRPr="0012398C">
        <w:rPr>
          <w:rFonts w:cs="Tahoma"/>
          <w:lang w:eastAsia="ar-SA"/>
        </w:rPr>
        <w:t>biomasa</w:t>
      </w:r>
      <w:r w:rsidR="0088095E">
        <w:rPr>
          <w:rFonts w:cs="Tahoma"/>
          <w:lang w:eastAsia="ar-SA"/>
        </w:rPr>
        <w:t>,</w:t>
      </w:r>
      <w:r w:rsidRPr="0012398C">
        <w:rPr>
          <w:rFonts w:cs="Tahoma"/>
          <w:lang w:eastAsia="ar-SA"/>
        </w:rPr>
        <w:t xml:space="preserve"> </w:t>
      </w:r>
    </w:p>
    <w:p w14:paraId="5EB42F3C" w14:textId="49452DC6" w:rsidR="0012398C" w:rsidRPr="0012398C" w:rsidRDefault="0012398C" w:rsidP="00EA6ED6">
      <w:pPr>
        <w:numPr>
          <w:ilvl w:val="0"/>
          <w:numId w:val="210"/>
        </w:numPr>
        <w:tabs>
          <w:tab w:val="left" w:pos="431"/>
        </w:tabs>
        <w:spacing w:after="60"/>
        <w:rPr>
          <w:rFonts w:cs="Tahoma"/>
          <w:lang w:eastAsia="ar-SA"/>
        </w:rPr>
      </w:pPr>
      <w:r w:rsidRPr="0012398C">
        <w:rPr>
          <w:rFonts w:cs="Tahoma"/>
          <w:lang w:eastAsia="ar-SA"/>
        </w:rPr>
        <w:lastRenderedPageBreak/>
        <w:t>Organizirati centri za prikupljanje i pripremu biomase za tržište</w:t>
      </w:r>
      <w:r w:rsidR="0088095E">
        <w:rPr>
          <w:rFonts w:cs="Tahoma"/>
          <w:lang w:eastAsia="ar-SA"/>
        </w:rPr>
        <w:t>,</w:t>
      </w:r>
      <w:r w:rsidRPr="0012398C">
        <w:rPr>
          <w:rFonts w:cs="Tahoma"/>
          <w:lang w:eastAsia="ar-SA"/>
        </w:rPr>
        <w:t xml:space="preserve"> </w:t>
      </w:r>
    </w:p>
    <w:p w14:paraId="4184EC6F" w14:textId="4B168674" w:rsidR="0012398C" w:rsidRPr="0012398C" w:rsidRDefault="0012398C" w:rsidP="00EA6ED6">
      <w:pPr>
        <w:numPr>
          <w:ilvl w:val="0"/>
          <w:numId w:val="210"/>
        </w:numPr>
        <w:tabs>
          <w:tab w:val="left" w:pos="431"/>
        </w:tabs>
        <w:spacing w:after="60"/>
        <w:rPr>
          <w:rFonts w:cs="Tahoma"/>
          <w:lang w:eastAsia="ar-SA"/>
        </w:rPr>
      </w:pPr>
      <w:r w:rsidRPr="0012398C">
        <w:rPr>
          <w:rFonts w:cs="Tahoma"/>
          <w:lang w:eastAsia="ar-SA"/>
        </w:rPr>
        <w:t>Pokrenuti tržište biomase</w:t>
      </w:r>
      <w:r w:rsidR="0088095E">
        <w:rPr>
          <w:rFonts w:cs="Tahoma"/>
          <w:lang w:eastAsia="ar-SA"/>
        </w:rPr>
        <w:t>,</w:t>
      </w:r>
      <w:r w:rsidRPr="0012398C">
        <w:rPr>
          <w:rFonts w:cs="Tahoma"/>
          <w:lang w:eastAsia="ar-SA"/>
        </w:rPr>
        <w:t xml:space="preserve"> </w:t>
      </w:r>
    </w:p>
    <w:p w14:paraId="7DA20B3A" w14:textId="42B91C81" w:rsidR="0012398C" w:rsidRPr="00010DBB" w:rsidRDefault="0012398C" w:rsidP="00EA6ED6">
      <w:pPr>
        <w:numPr>
          <w:ilvl w:val="0"/>
          <w:numId w:val="210"/>
        </w:numPr>
        <w:tabs>
          <w:tab w:val="left" w:pos="431"/>
        </w:tabs>
        <w:spacing w:after="60"/>
        <w:rPr>
          <w:rFonts w:cs="Tahoma"/>
          <w:lang w:eastAsia="ar-SA"/>
        </w:rPr>
      </w:pPr>
      <w:r w:rsidRPr="0012398C">
        <w:rPr>
          <w:rFonts w:cs="Tahoma"/>
          <w:lang w:eastAsia="ar-SA"/>
        </w:rPr>
        <w:t>Stvara</w:t>
      </w:r>
      <w:r w:rsidR="00FF3195">
        <w:rPr>
          <w:rFonts w:cs="Tahoma"/>
          <w:lang w:eastAsia="ar-SA"/>
        </w:rPr>
        <w:t>ti</w:t>
      </w:r>
      <w:r w:rsidRPr="0012398C">
        <w:rPr>
          <w:rFonts w:cs="Tahoma"/>
          <w:lang w:eastAsia="ar-SA"/>
        </w:rPr>
        <w:t xml:space="preserve"> novi lan</w:t>
      </w:r>
      <w:r w:rsidR="00FF3195">
        <w:rPr>
          <w:rFonts w:cs="Tahoma"/>
          <w:lang w:eastAsia="ar-SA"/>
        </w:rPr>
        <w:t>ci</w:t>
      </w:r>
      <w:r w:rsidRPr="0012398C">
        <w:rPr>
          <w:rFonts w:cs="Tahoma"/>
          <w:lang w:eastAsia="ar-SA"/>
        </w:rPr>
        <w:t xml:space="preserve"> vrijednosti</w:t>
      </w:r>
      <w:r w:rsidR="0088095E">
        <w:rPr>
          <w:rFonts w:cs="Tahoma"/>
          <w:lang w:eastAsia="ar-SA"/>
        </w:rPr>
        <w:t>.</w:t>
      </w:r>
      <w:r w:rsidRPr="0012398C">
        <w:rPr>
          <w:rFonts w:cs="Tahoma"/>
          <w:lang w:eastAsia="ar-SA"/>
        </w:rPr>
        <w:t xml:space="preserve"> </w:t>
      </w:r>
    </w:p>
    <w:p w14:paraId="4E482EE1" w14:textId="486E13F0" w:rsidR="00627DD7" w:rsidRPr="00010DBB" w:rsidRDefault="0012398C" w:rsidP="004623DD">
      <w:pPr>
        <w:rPr>
          <w:lang w:eastAsia="hr-HR"/>
        </w:rPr>
      </w:pPr>
      <w:r w:rsidRPr="0012398C">
        <w:rPr>
          <w:b/>
          <w:bCs/>
        </w:rPr>
        <w:t>Izvori financiranja:</w:t>
      </w:r>
      <w:r w:rsidRPr="0012398C">
        <w:t xml:space="preserve"> </w:t>
      </w:r>
      <w:r w:rsidRPr="0012398C">
        <w:rPr>
          <w:lang w:eastAsia="hr-HR"/>
        </w:rPr>
        <w:t>Državni proračun Republike Hrvatske, Program konkurentnost i kohezija 2021. – 2027., Integrirani teritorijalni program, Strateški plan zajedničke poljoprivredne politike Republike Hrvatske za razdoblje 2023.-2027., Modernizacijski fond, Fond za zaštitu okoliša i energetsku učinkovitost, Inovacijski fond</w:t>
      </w:r>
      <w:r w:rsidR="0088095E">
        <w:rPr>
          <w:lang w:eastAsia="hr-HR"/>
        </w:rPr>
        <w:t>.</w:t>
      </w:r>
    </w:p>
    <w:p w14:paraId="51E46CCC" w14:textId="1E9345A2" w:rsidR="00627DD7" w:rsidRDefault="00627DD7" w:rsidP="004623DD">
      <w:pPr>
        <w:rPr>
          <w:lang w:eastAsia="hr-HR"/>
        </w:rPr>
      </w:pPr>
      <w:r w:rsidRPr="00627DD7">
        <w:rPr>
          <w:b/>
          <w:lang w:eastAsia="hr-HR"/>
        </w:rPr>
        <w:t>Izvršno tijelo:</w:t>
      </w:r>
      <w:r w:rsidRPr="00627DD7">
        <w:rPr>
          <w:i/>
          <w:lang w:eastAsia="hr-HR"/>
        </w:rPr>
        <w:t xml:space="preserve"> </w:t>
      </w:r>
      <w:r w:rsidR="0036078C">
        <w:t>Ministarstvo poljoprivrede</w:t>
      </w:r>
      <w:r w:rsidR="0036078C" w:rsidRPr="00AE6008">
        <w:rPr>
          <w:lang w:eastAsia="hr-HR"/>
        </w:rPr>
        <w:t>, šumarstva i ribarstva</w:t>
      </w:r>
      <w:r w:rsidR="0036078C">
        <w:t xml:space="preserve"> (MPS)</w:t>
      </w:r>
      <w:r w:rsidR="00A62E55">
        <w:t xml:space="preserve">, </w:t>
      </w:r>
      <w:r w:rsidR="00D62F7C">
        <w:t>Ministarstvo regionalnog razvoja i fondova Europske unije (MRRFEU)</w:t>
      </w:r>
      <w:r w:rsidR="00E50D40">
        <w:t xml:space="preserve"> i </w:t>
      </w:r>
      <w:r w:rsidR="00366CF5">
        <w:t>Ministarstvo zaštite okoliša i zelene tranzicije (MZOZT)</w:t>
      </w:r>
      <w:r w:rsidR="0036078C">
        <w:t>.</w:t>
      </w:r>
    </w:p>
    <w:p w14:paraId="6A180510" w14:textId="77777777" w:rsidR="00A034EE" w:rsidRDefault="00627DD7" w:rsidP="004623DD">
      <w:pPr>
        <w:rPr>
          <w:b/>
          <w:lang w:eastAsia="hr-HR"/>
        </w:rPr>
      </w:pPr>
      <w:r w:rsidRPr="00627DD7">
        <w:rPr>
          <w:b/>
          <w:lang w:eastAsia="hr-HR"/>
        </w:rPr>
        <w:t xml:space="preserve">Učinak: </w:t>
      </w:r>
    </w:p>
    <w:p w14:paraId="7711D88E" w14:textId="77777777" w:rsidR="008E11A1" w:rsidRPr="008E11A1" w:rsidRDefault="008E11A1" w:rsidP="009E5703">
      <w:pPr>
        <w:numPr>
          <w:ilvl w:val="0"/>
          <w:numId w:val="130"/>
        </w:numPr>
        <w:tabs>
          <w:tab w:val="left" w:pos="431"/>
        </w:tabs>
        <w:spacing w:after="60"/>
        <w:rPr>
          <w:rFonts w:cs="Tahoma"/>
          <w:lang w:eastAsia="ar-SA"/>
        </w:rPr>
      </w:pPr>
      <w:r w:rsidRPr="008E11A1">
        <w:rPr>
          <w:rFonts w:cs="Tahoma"/>
          <w:lang w:eastAsia="ar-SA"/>
        </w:rPr>
        <w:t>Smanjenje troškova proizvodnje</w:t>
      </w:r>
    </w:p>
    <w:p w14:paraId="02ADB35B" w14:textId="77777777" w:rsidR="008E11A1" w:rsidRPr="008E11A1" w:rsidRDefault="008E11A1" w:rsidP="009E5703">
      <w:pPr>
        <w:numPr>
          <w:ilvl w:val="0"/>
          <w:numId w:val="130"/>
        </w:numPr>
        <w:tabs>
          <w:tab w:val="left" w:pos="431"/>
        </w:tabs>
        <w:spacing w:after="60"/>
        <w:rPr>
          <w:rFonts w:cs="Tahoma"/>
          <w:lang w:eastAsia="ar-SA"/>
        </w:rPr>
      </w:pPr>
      <w:r w:rsidRPr="008E11A1">
        <w:rPr>
          <w:rFonts w:cs="Tahoma"/>
          <w:lang w:eastAsia="ar-SA"/>
        </w:rPr>
        <w:t xml:space="preserve">Razvoj tržišta biomase </w:t>
      </w:r>
    </w:p>
    <w:p w14:paraId="5CC64F99" w14:textId="77777777" w:rsidR="008E11A1" w:rsidRPr="008E11A1" w:rsidRDefault="008E11A1" w:rsidP="009E5703">
      <w:pPr>
        <w:numPr>
          <w:ilvl w:val="0"/>
          <w:numId w:val="130"/>
        </w:numPr>
        <w:tabs>
          <w:tab w:val="left" w:pos="431"/>
        </w:tabs>
        <w:spacing w:after="60"/>
        <w:rPr>
          <w:rFonts w:cs="Tahoma"/>
          <w:lang w:eastAsia="ar-SA"/>
        </w:rPr>
      </w:pPr>
      <w:r w:rsidRPr="008E11A1">
        <w:rPr>
          <w:rFonts w:cs="Tahoma"/>
          <w:lang w:eastAsia="ar-SA"/>
        </w:rPr>
        <w:t xml:space="preserve">Stvaranje novih lanaca vrijednosti kroz organizirano prikupljanje biomase </w:t>
      </w:r>
    </w:p>
    <w:p w14:paraId="184253AD" w14:textId="724E92FF" w:rsidR="00A034EE" w:rsidRPr="00A034EE" w:rsidRDefault="00A034EE" w:rsidP="63259912">
      <w:pPr>
        <w:numPr>
          <w:ilvl w:val="1"/>
          <w:numId w:val="85"/>
        </w:numPr>
        <w:tabs>
          <w:tab w:val="left" w:pos="431"/>
        </w:tabs>
        <w:spacing w:after="60"/>
        <w:ind w:left="1389"/>
        <w:rPr>
          <w:rFonts w:cs="Tahoma"/>
          <w:lang w:eastAsia="ar-SA"/>
        </w:rPr>
      </w:pPr>
      <w:r w:rsidRPr="63259912">
        <w:rPr>
          <w:rFonts w:cs="Tahoma"/>
          <w:lang w:eastAsia="ar-SA"/>
        </w:rPr>
        <w:t>Tranzicija u niskougljično biogospodarstvo</w:t>
      </w:r>
      <w:r w:rsidR="0088095E" w:rsidRPr="63259912">
        <w:rPr>
          <w:rFonts w:cs="Tahoma"/>
          <w:lang w:eastAsia="ar-SA"/>
        </w:rPr>
        <w:t>,</w:t>
      </w:r>
    </w:p>
    <w:p w14:paraId="4390C7A0" w14:textId="1E1B7238" w:rsidR="00A034EE" w:rsidRPr="00A034EE" w:rsidRDefault="00A034EE" w:rsidP="63259912">
      <w:pPr>
        <w:numPr>
          <w:ilvl w:val="1"/>
          <w:numId w:val="85"/>
        </w:numPr>
        <w:tabs>
          <w:tab w:val="left" w:pos="431"/>
        </w:tabs>
        <w:spacing w:after="60"/>
        <w:ind w:left="1389"/>
        <w:rPr>
          <w:rFonts w:cs="Tahoma"/>
          <w:lang w:eastAsia="ar-SA"/>
        </w:rPr>
      </w:pPr>
      <w:r w:rsidRPr="63259912">
        <w:rPr>
          <w:rFonts w:cs="Tahoma"/>
          <w:lang w:eastAsia="ar-SA"/>
        </w:rPr>
        <w:t>Poticanje razvoja kružnog biogospodarstva</w:t>
      </w:r>
      <w:r w:rsidR="0088095E" w:rsidRPr="63259912">
        <w:rPr>
          <w:rFonts w:cs="Tahoma"/>
          <w:lang w:eastAsia="ar-SA"/>
        </w:rPr>
        <w:t>,</w:t>
      </w:r>
    </w:p>
    <w:p w14:paraId="6FE26777" w14:textId="5C19FD9C" w:rsidR="00627DD7" w:rsidRPr="00010DBB" w:rsidRDefault="00A034EE" w:rsidP="009E5703">
      <w:pPr>
        <w:numPr>
          <w:ilvl w:val="1"/>
          <w:numId w:val="85"/>
        </w:numPr>
        <w:tabs>
          <w:tab w:val="left" w:pos="431"/>
        </w:tabs>
        <w:spacing w:after="60"/>
        <w:ind w:left="1389"/>
        <w:rPr>
          <w:rFonts w:cs="Tahoma"/>
          <w:lang w:eastAsia="ar-SA"/>
        </w:rPr>
      </w:pPr>
      <w:r w:rsidRPr="00A034EE">
        <w:rPr>
          <w:rFonts w:cs="Tahoma"/>
          <w:lang w:eastAsia="ar-SA"/>
        </w:rPr>
        <w:t>Ulaganja u nove tehnologije i inovativna rješenja</w:t>
      </w:r>
      <w:r w:rsidR="0088095E">
        <w:rPr>
          <w:rFonts w:cs="Tahoma"/>
          <w:lang w:eastAsia="ar-SA"/>
        </w:rPr>
        <w:t>.</w:t>
      </w:r>
    </w:p>
    <w:p w14:paraId="36FF27F9" w14:textId="3BED856E" w:rsidR="008B7012" w:rsidRDefault="00627DD7" w:rsidP="63259912">
      <w:pPr>
        <w:rPr>
          <w:lang w:eastAsia="hr-HR"/>
        </w:rPr>
      </w:pPr>
      <w:r w:rsidRPr="63259912">
        <w:rPr>
          <w:b/>
          <w:bCs/>
          <w:lang w:eastAsia="hr-HR"/>
        </w:rPr>
        <w:t>Metoda praćenja:</w:t>
      </w:r>
      <w:r w:rsidRPr="63259912">
        <w:rPr>
          <w:i/>
          <w:iCs/>
          <w:lang w:eastAsia="hr-HR"/>
        </w:rPr>
        <w:t xml:space="preserve"> </w:t>
      </w:r>
      <w:r w:rsidR="008B7012" w:rsidRPr="63259912">
        <w:rPr>
          <w:lang w:eastAsia="hr-HR"/>
        </w:rPr>
        <w:t>Izvješće o provedbi Strategije biogospodarstva do 2035.</w:t>
      </w:r>
    </w:p>
    <w:p w14:paraId="1874BA88" w14:textId="78C17CB5" w:rsidR="00D8788E" w:rsidRPr="00C441F7" w:rsidRDefault="00294190" w:rsidP="008B7012">
      <w:r w:rsidRPr="63259912">
        <w:t>Napomena: Strategija biogospodarstva do 2035. još nije donesena te će se Godišnje izvješće o provedbi Strategije biogospodarstva do 2035. moći koristiti kao metoda za praćenje tek nakon njenog donošenja.</w:t>
      </w:r>
    </w:p>
    <w:p w14:paraId="7CC97423" w14:textId="77777777" w:rsidR="00741B1B" w:rsidRDefault="00741B1B" w:rsidP="008B7012">
      <w:pPr>
        <w:rPr>
          <w:b/>
          <w:lang w:eastAsia="hr-HR"/>
        </w:rPr>
      </w:pPr>
    </w:p>
    <w:p w14:paraId="34BF15B4" w14:textId="26288D82" w:rsidR="008E11A1" w:rsidRDefault="008B7012" w:rsidP="008B7012">
      <w:pPr>
        <w:rPr>
          <w:b/>
          <w:lang w:eastAsia="hr-HR"/>
        </w:rPr>
      </w:pPr>
      <w:r w:rsidRPr="00C441F7">
        <w:rPr>
          <w:b/>
          <w:lang w:eastAsia="hr-HR"/>
        </w:rPr>
        <w:t xml:space="preserve">Pokazatelj provedbe mjere (indikator): </w:t>
      </w:r>
    </w:p>
    <w:p w14:paraId="09B629BE" w14:textId="77777777" w:rsidR="00D65CC9" w:rsidRPr="00D65CC9" w:rsidRDefault="00D65CC9" w:rsidP="009E5703">
      <w:pPr>
        <w:numPr>
          <w:ilvl w:val="0"/>
          <w:numId w:val="151"/>
        </w:numPr>
        <w:tabs>
          <w:tab w:val="left" w:pos="431"/>
        </w:tabs>
        <w:spacing w:after="60"/>
        <w:rPr>
          <w:rFonts w:cs="Tahoma"/>
          <w:b/>
          <w:lang w:eastAsia="hr-HR"/>
        </w:rPr>
      </w:pPr>
      <w:r w:rsidRPr="00D65CC9">
        <w:rPr>
          <w:rFonts w:cs="Tahoma"/>
          <w:lang w:eastAsia="hr-HR"/>
        </w:rPr>
        <w:t>Uspostavljeni centri za prikupljanje i obradu biomase</w:t>
      </w:r>
    </w:p>
    <w:p w14:paraId="2C6C0B82" w14:textId="77777777" w:rsidR="00D65CC9" w:rsidRPr="00D65CC9" w:rsidRDefault="00D65CC9" w:rsidP="63259912">
      <w:pPr>
        <w:numPr>
          <w:ilvl w:val="0"/>
          <w:numId w:val="151"/>
        </w:numPr>
        <w:tabs>
          <w:tab w:val="left" w:pos="431"/>
        </w:tabs>
        <w:spacing w:after="60"/>
        <w:rPr>
          <w:rFonts w:cs="Tahoma"/>
          <w:lang w:eastAsia="hr-HR"/>
        </w:rPr>
      </w:pPr>
      <w:r w:rsidRPr="63259912">
        <w:rPr>
          <w:rFonts w:cs="Tahoma"/>
          <w:lang w:eastAsia="ar-SA"/>
        </w:rPr>
        <w:t>Dodana vrijednost hrvatskog biogospodarstva</w:t>
      </w:r>
    </w:p>
    <w:p w14:paraId="162C9098" w14:textId="5E3EA1A6" w:rsidR="008B7012" w:rsidRPr="00C441F7" w:rsidRDefault="008B7012" w:rsidP="008B7012">
      <w:pPr>
        <w:rPr>
          <w:b/>
          <w:lang w:eastAsia="hr-HR"/>
        </w:rPr>
      </w:pPr>
      <w:r w:rsidRPr="00C441F7">
        <w:rPr>
          <w:b/>
          <w:lang w:eastAsia="hr-HR"/>
        </w:rPr>
        <w:t xml:space="preserve">Povezanost s drugim dimenzijama: </w:t>
      </w:r>
      <w:r>
        <w:rPr>
          <w:lang w:eastAsia="hr-HR"/>
        </w:rPr>
        <w:t>Istraživanje, inovacije, konkurentnost</w:t>
      </w:r>
      <w:r w:rsidR="00275B18">
        <w:rPr>
          <w:lang w:eastAsia="hr-HR"/>
        </w:rPr>
        <w:t>; gospodarenje otpadom.</w:t>
      </w:r>
    </w:p>
    <w:p w14:paraId="7F0F6C0B" w14:textId="5F42CD1B" w:rsidR="00FF5C70" w:rsidRPr="00FD2D0A" w:rsidRDefault="008B7012" w:rsidP="004623DD">
      <w:pPr>
        <w:rPr>
          <w:b/>
          <w:lang w:eastAsia="hr-HR"/>
        </w:rPr>
      </w:pPr>
      <w:r w:rsidRPr="00C441F7">
        <w:rPr>
          <w:b/>
          <w:lang w:eastAsia="hr-HR"/>
        </w:rPr>
        <w:t xml:space="preserve">Istraživanje i razvoj: </w:t>
      </w:r>
      <w:r w:rsidRPr="004678AC">
        <w:rPr>
          <w:lang w:eastAsia="hr-HR"/>
        </w:rPr>
        <w:t xml:space="preserve">Izravan pristup najboljim praksama </w:t>
      </w:r>
      <w:r>
        <w:rPr>
          <w:lang w:eastAsia="hr-HR"/>
        </w:rPr>
        <w:t xml:space="preserve">u upravljanju biomasom </w:t>
      </w:r>
      <w:r w:rsidRPr="004678AC">
        <w:rPr>
          <w:lang w:eastAsia="hr-HR"/>
        </w:rPr>
        <w:t xml:space="preserve">kroz povezivanje </w:t>
      </w:r>
      <w:r>
        <w:rPr>
          <w:lang w:eastAsia="hr-HR"/>
        </w:rPr>
        <w:t>proizvođača i istraživanja</w:t>
      </w:r>
      <w:r w:rsidRPr="004678AC">
        <w:rPr>
          <w:lang w:eastAsia="hr-HR"/>
        </w:rPr>
        <w:t>.</w:t>
      </w:r>
    </w:p>
    <w:p w14:paraId="73466116" w14:textId="14F5940F" w:rsidR="00AC344D" w:rsidRPr="00B47BDA" w:rsidRDefault="008E432A" w:rsidP="00CF06E5">
      <w:pPr>
        <w:pStyle w:val="Mjeranaslov"/>
      </w:pPr>
      <w:r w:rsidRPr="00B47BDA">
        <w:t>MS</w:t>
      </w:r>
      <w:r w:rsidR="00AC344D" w:rsidRPr="00B47BDA">
        <w:t>-</w:t>
      </w:r>
      <w:r w:rsidRPr="00B47BDA">
        <w:t>1</w:t>
      </w:r>
      <w:r w:rsidR="00627DD7">
        <w:t>3</w:t>
      </w:r>
      <w:r w:rsidR="00AC344D" w:rsidRPr="00B47BDA">
        <w:t xml:space="preserve"> Ukidanje subvencija za fosilna goriva</w:t>
      </w:r>
    </w:p>
    <w:p w14:paraId="6E077676" w14:textId="0EE74EFD" w:rsidR="00AC344D" w:rsidRPr="00B47BDA" w:rsidRDefault="00AC344D" w:rsidP="004623DD">
      <w:pPr>
        <w:pStyle w:val="NormalWeb"/>
      </w:pPr>
      <w:r w:rsidRPr="00B47BDA">
        <w:t>Financijska mjera; provedba 202</w:t>
      </w:r>
      <w:r w:rsidR="00CB686D">
        <w:t>4</w:t>
      </w:r>
      <w:r w:rsidRPr="00B47BDA">
        <w:t>. -2030.</w:t>
      </w:r>
    </w:p>
    <w:p w14:paraId="2F58753E" w14:textId="3F450016" w:rsidR="00AC344D" w:rsidRPr="00B47BDA" w:rsidRDefault="00AC344D" w:rsidP="004623DD">
      <w:r w:rsidRPr="00B47BDA">
        <w:rPr>
          <w:b/>
        </w:rPr>
        <w:t xml:space="preserve">Cilj i opis mjere: </w:t>
      </w:r>
      <w:r w:rsidRPr="00B47BDA">
        <w:t xml:space="preserve">Kako bi se utvrdila dinamika ukidanja subvencija </w:t>
      </w:r>
      <w:r w:rsidR="00212AA9">
        <w:t>na sva fosilna goriva</w:t>
      </w:r>
      <w:r w:rsidR="007470D4">
        <w:t>,</w:t>
      </w:r>
      <w:r w:rsidR="008C4FE4">
        <w:t xml:space="preserve"> </w:t>
      </w:r>
      <w:r w:rsidRPr="00B47BDA">
        <w:t>prvenstveno izuzeća od trošarina u prometu</w:t>
      </w:r>
      <w:r w:rsidR="007C6550">
        <w:t>,</w:t>
      </w:r>
      <w:r w:rsidRPr="00B47BDA">
        <w:t xml:space="preserve"> poljoprivredi</w:t>
      </w:r>
      <w:r w:rsidR="007C6550">
        <w:t xml:space="preserve"> i ribarstvu</w:t>
      </w:r>
      <w:r w:rsidRPr="00B47BDA">
        <w:t xml:space="preserve"> na fosilna goriva, nužno je provesti analizu trenutačnog sustava subvencija, utvrditi popratne socijalne programe koji će smanjiti utjecaj na najsiromašnije građane te definirati plan njihovog ukidanja.</w:t>
      </w:r>
    </w:p>
    <w:p w14:paraId="6F96A669" w14:textId="28962B2C" w:rsidR="00AC344D" w:rsidRPr="00B47BDA" w:rsidRDefault="00AC344D" w:rsidP="004623DD">
      <w:r w:rsidRPr="00B47BDA">
        <w:rPr>
          <w:b/>
          <w:color w:val="000000"/>
        </w:rPr>
        <w:lastRenderedPageBreak/>
        <w:t xml:space="preserve">Aktivnosti: </w:t>
      </w:r>
      <w:r w:rsidRPr="00B47BDA">
        <w:t xml:space="preserve">Provedba analize trenutačnog sustava subvencija, utvrditi popratne socijalne programe koji će smanjiti utjecaj na najsiromašnije građane te definirati plan njihovog ukidanja. </w:t>
      </w:r>
      <w:r w:rsidR="00FE1ECA" w:rsidRPr="00FE1ECA">
        <w:t>Izrada plana ukidanja sustava dodjele subvencija za fosilna goriva s prijedlogom alternativnih mjera za trajno smanjenje potreba korištenja fosilnih goriva</w:t>
      </w:r>
      <w:r w:rsidR="00CC5C2B">
        <w:t>.</w:t>
      </w:r>
      <w:r w:rsidR="00CC5C2B" w:rsidRPr="00B47BDA">
        <w:t xml:space="preserve"> </w:t>
      </w:r>
      <w:r w:rsidRPr="00B47BDA">
        <w:t>Također je potrebno analizirati gospodarski učinak ukidanja subvencija za fosilna goriva te definirati indikatore uspješnosti provedbe mjere.</w:t>
      </w:r>
    </w:p>
    <w:p w14:paraId="017AF0A7" w14:textId="21448918" w:rsidR="00AC344D" w:rsidRPr="00B47BDA" w:rsidRDefault="00AC344D" w:rsidP="004623DD">
      <w:pPr>
        <w:rPr>
          <w:rFonts w:eastAsia="Calibri"/>
        </w:rPr>
      </w:pPr>
      <w:r w:rsidRPr="003A2A86">
        <w:rPr>
          <w:b/>
          <w:bCs/>
        </w:rPr>
        <w:t>Sredstva potrebna za provedbu:</w:t>
      </w:r>
      <w:r w:rsidRPr="00B47BDA">
        <w:t xml:space="preserve"> Redovni rad ministarstava</w:t>
      </w:r>
      <w:r w:rsidR="002E0015">
        <w:t>.</w:t>
      </w:r>
    </w:p>
    <w:p w14:paraId="646ED65C" w14:textId="5D4C1431" w:rsidR="00AC344D" w:rsidRDefault="00AC344D" w:rsidP="004623DD">
      <w:r w:rsidRPr="003A2A86">
        <w:rPr>
          <w:b/>
          <w:bCs/>
        </w:rPr>
        <w:t>Izvori financiranja:</w:t>
      </w:r>
      <w:r w:rsidRPr="00B47BDA">
        <w:t xml:space="preserve"> Državni proračun</w:t>
      </w:r>
      <w:r w:rsidR="002E0015">
        <w:t>.</w:t>
      </w:r>
    </w:p>
    <w:p w14:paraId="63CE7640" w14:textId="78FD1FD5" w:rsidR="007A6A55" w:rsidRPr="00B47BDA" w:rsidRDefault="007A6A55" w:rsidP="004623DD">
      <w:r w:rsidRPr="00627DD7">
        <w:rPr>
          <w:b/>
          <w:lang w:eastAsia="hr-HR"/>
        </w:rPr>
        <w:t>Izvršno tijelo:</w:t>
      </w:r>
      <w:r w:rsidRPr="00627DD7">
        <w:rPr>
          <w:i/>
          <w:lang w:eastAsia="hr-HR"/>
        </w:rPr>
        <w:t xml:space="preserve"> </w:t>
      </w:r>
      <w:r>
        <w:t>Ministarstvo</w:t>
      </w:r>
      <w:r w:rsidRPr="007A6A55">
        <w:t xml:space="preserve"> </w:t>
      </w:r>
      <w:r w:rsidRPr="00B47BDA">
        <w:t>gospodarstva</w:t>
      </w:r>
      <w:r>
        <w:t>,</w:t>
      </w:r>
      <w:r w:rsidRPr="00B47BDA">
        <w:t xml:space="preserve"> Ministarstvo financija</w:t>
      </w:r>
      <w:r w:rsidRPr="002B6040">
        <w:rPr>
          <w:bCs/>
        </w:rPr>
        <w:t>.</w:t>
      </w:r>
    </w:p>
    <w:p w14:paraId="0B228143" w14:textId="4B183D02" w:rsidR="00AC344D" w:rsidRPr="00B47BDA" w:rsidRDefault="00AC344D" w:rsidP="004623DD">
      <w:pPr>
        <w:rPr>
          <w:b/>
        </w:rPr>
      </w:pPr>
      <w:r w:rsidRPr="00B47BDA">
        <w:rPr>
          <w:b/>
          <w:color w:val="000000"/>
        </w:rPr>
        <w:t>Tijela za praćenje:</w:t>
      </w:r>
      <w:r w:rsidRPr="00B47BDA">
        <w:rPr>
          <w:color w:val="000000"/>
        </w:rPr>
        <w:t xml:space="preserve"> </w:t>
      </w:r>
      <w:r w:rsidRPr="00B47BDA">
        <w:t>Ministarstvo gospodarstva</w:t>
      </w:r>
      <w:r w:rsidR="007A6A55">
        <w:t xml:space="preserve">, </w:t>
      </w:r>
      <w:r w:rsidRPr="00B47BDA">
        <w:t>Ministarstvo financija</w:t>
      </w:r>
      <w:r w:rsidRPr="002B6040">
        <w:rPr>
          <w:bCs/>
        </w:rPr>
        <w:t>.</w:t>
      </w:r>
    </w:p>
    <w:p w14:paraId="45C58D41" w14:textId="77777777" w:rsidR="00AC344D" w:rsidRPr="00B47BDA" w:rsidRDefault="00AC344D" w:rsidP="004623DD">
      <w:pPr>
        <w:rPr>
          <w:b/>
          <w:color w:val="000000"/>
        </w:rPr>
      </w:pPr>
      <w:r w:rsidRPr="00B47BDA">
        <w:rPr>
          <w:b/>
          <w:color w:val="000000"/>
        </w:rPr>
        <w:t xml:space="preserve">Pokazatelj provedbe mjere (indikator): </w:t>
      </w:r>
      <w:r w:rsidRPr="00B47BDA">
        <w:t>Analiza trenutnog sustava mjera morala bi biti provedena do kraja drugog kvartala 2026. godine.</w:t>
      </w:r>
    </w:p>
    <w:p w14:paraId="0B78A583" w14:textId="426EB857" w:rsidR="003E69D5" w:rsidRDefault="003E69D5" w:rsidP="00CF06E5">
      <w:pPr>
        <w:pStyle w:val="Mjeranaslov"/>
        <w:rPr>
          <w:lang w:eastAsia="hr-HR"/>
        </w:rPr>
      </w:pPr>
      <w:r w:rsidRPr="003E69D5">
        <w:t>MS-</w:t>
      </w:r>
      <w:r w:rsidR="00BA25BA">
        <w:t>14</w:t>
      </w:r>
      <w:r w:rsidRPr="003E69D5">
        <w:rPr>
          <w:lang w:eastAsia="hr-HR"/>
        </w:rPr>
        <w:t xml:space="preserve"> Certifikacija uklanjanja ugljika</w:t>
      </w:r>
    </w:p>
    <w:p w14:paraId="792A4FDA" w14:textId="6D20B826" w:rsidR="00BE7897" w:rsidRPr="00BE7897" w:rsidRDefault="00BE7897" w:rsidP="00CF06E5">
      <w:pPr>
        <w:pStyle w:val="Mjeranaslov"/>
        <w:rPr>
          <w:b w:val="0"/>
          <w:bCs w:val="0"/>
          <w:color w:val="auto"/>
          <w:lang w:eastAsia="hr-HR"/>
        </w:rPr>
      </w:pPr>
      <w:r>
        <w:rPr>
          <w:b w:val="0"/>
          <w:bCs w:val="0"/>
          <w:color w:val="auto"/>
          <w:lang w:eastAsia="hr-HR"/>
        </w:rPr>
        <w:t>Financijska</w:t>
      </w:r>
      <w:r w:rsidRPr="00BE7897">
        <w:rPr>
          <w:b w:val="0"/>
          <w:bCs w:val="0"/>
          <w:color w:val="auto"/>
          <w:lang w:eastAsia="hr-HR"/>
        </w:rPr>
        <w:t>, okolišna i regulatorna mjera, provedba 202</w:t>
      </w:r>
      <w:r w:rsidR="0078723F">
        <w:rPr>
          <w:b w:val="0"/>
          <w:bCs w:val="0"/>
          <w:color w:val="auto"/>
          <w:lang w:eastAsia="hr-HR"/>
        </w:rPr>
        <w:t>3</w:t>
      </w:r>
      <w:r w:rsidRPr="00BE7897">
        <w:rPr>
          <w:b w:val="0"/>
          <w:bCs w:val="0"/>
          <w:color w:val="auto"/>
          <w:lang w:eastAsia="hr-HR"/>
        </w:rPr>
        <w:t>.-2030.</w:t>
      </w:r>
    </w:p>
    <w:p w14:paraId="1A431662" w14:textId="7E7B3D71" w:rsidR="003E69D5" w:rsidRPr="003E69D5" w:rsidRDefault="003E69D5" w:rsidP="0078723F">
      <w:pPr>
        <w:rPr>
          <w:lang w:eastAsia="hr-HR"/>
        </w:rPr>
      </w:pPr>
      <w:r w:rsidRPr="003E69D5">
        <w:rPr>
          <w:b/>
          <w:lang w:eastAsia="hr-HR"/>
        </w:rPr>
        <w:t>Cil</w:t>
      </w:r>
      <w:r w:rsidR="006070CB">
        <w:rPr>
          <w:b/>
          <w:lang w:eastAsia="hr-HR"/>
        </w:rPr>
        <w:t>j</w:t>
      </w:r>
      <w:r w:rsidRPr="003E69D5">
        <w:rPr>
          <w:b/>
          <w:lang w:eastAsia="hr-HR"/>
        </w:rPr>
        <w:t xml:space="preserve"> i opis mjere</w:t>
      </w:r>
      <w:r w:rsidRPr="003E69D5">
        <w:rPr>
          <w:lang w:eastAsia="hr-HR"/>
        </w:rPr>
        <w:t xml:space="preserve">: </w:t>
      </w:r>
    </w:p>
    <w:p w14:paraId="598638EF" w14:textId="6B624690" w:rsidR="0078723F" w:rsidRDefault="0078723F" w:rsidP="63259912">
      <w:pPr>
        <w:rPr>
          <w:lang w:eastAsia="hr-HR"/>
        </w:rPr>
      </w:pPr>
      <w:r w:rsidRPr="63259912">
        <w:rPr>
          <w:lang w:eastAsia="hr-HR"/>
        </w:rPr>
        <w:t xml:space="preserve">Certifikacija uklanjanja ugljika treba omogućiti značajno povećanje uklanjanja ugljika kako bi se postigao cilj klimatski neutralne Unije do 2050. </w:t>
      </w:r>
      <w:r w:rsidR="006070CB" w:rsidRPr="63259912">
        <w:rPr>
          <w:lang w:eastAsia="hr-HR"/>
        </w:rPr>
        <w:t xml:space="preserve">godine </w:t>
      </w:r>
      <w:r w:rsidRPr="63259912">
        <w:rPr>
          <w:lang w:eastAsia="hr-HR"/>
        </w:rPr>
        <w:t xml:space="preserve">te će pomoći u postizanju ambicioznog klimatskog cilja EU-a. Sustav certifikacije uklanjanja ugljika je dobrovoljan, te se potiču aktivnosti uklanjanja ugljika, a posebno se prepoznaje važnost nagrađivanja </w:t>
      </w:r>
      <w:r w:rsidR="00EB48C1" w:rsidRPr="63259912">
        <w:rPr>
          <w:lang w:eastAsia="hr-HR"/>
        </w:rPr>
        <w:t xml:space="preserve">šumoposjednika, </w:t>
      </w:r>
      <w:r w:rsidRPr="63259912">
        <w:rPr>
          <w:lang w:eastAsia="hr-HR"/>
        </w:rPr>
        <w:t xml:space="preserve">poljoprivrednika i upravitelja zemljišta za njihove ekološke ambicije na razini </w:t>
      </w:r>
      <w:r w:rsidR="00BB0438" w:rsidRPr="63259912">
        <w:rPr>
          <w:lang w:eastAsia="hr-HR"/>
        </w:rPr>
        <w:t xml:space="preserve">njihovog </w:t>
      </w:r>
      <w:r w:rsidRPr="63259912">
        <w:rPr>
          <w:lang w:eastAsia="hr-HR"/>
        </w:rPr>
        <w:t xml:space="preserve">gospodarstva. Prijedlog uredbe će pomoći i poduzećima u izvješćivanju u pogledu korporativnog izvješćivanja o održivosti te pružiti veću transparentnost tvrdnjama javnih i privatnih organizacija o klimatskoj neutralnosti kako bi se izbjegao manipulativni zeleni marketing. </w:t>
      </w:r>
    </w:p>
    <w:p w14:paraId="5115C4AC" w14:textId="59457AD6" w:rsidR="0078723F" w:rsidRPr="0078723F" w:rsidRDefault="0078723F" w:rsidP="00B943E9">
      <w:pPr>
        <w:rPr>
          <w:lang w:eastAsia="hr-HR"/>
        </w:rPr>
      </w:pPr>
      <w:r w:rsidRPr="0078723F">
        <w:rPr>
          <w:lang w:eastAsia="hr-HR"/>
        </w:rPr>
        <w:t xml:space="preserve">Republika Hrvatska će razvijati ovu mjeru u skladu s napretkom okvira koji priprema Europska komisija. </w:t>
      </w:r>
    </w:p>
    <w:p w14:paraId="4B26ECF9" w14:textId="1495A615" w:rsidR="0078723F" w:rsidRPr="0078723F" w:rsidRDefault="0078723F" w:rsidP="00B943E9">
      <w:pPr>
        <w:rPr>
          <w:lang w:eastAsia="hr-HR"/>
        </w:rPr>
      </w:pPr>
      <w:r w:rsidRPr="0078723F">
        <w:rPr>
          <w:lang w:eastAsia="hr-HR"/>
        </w:rPr>
        <w:t>Certifikacija uklanjanja ugljika odnosi se na aktivnosti:</w:t>
      </w:r>
    </w:p>
    <w:p w14:paraId="2F5DFB47" w14:textId="601C8F03" w:rsidR="0078723F" w:rsidRPr="0078723F" w:rsidRDefault="00EA6ED6" w:rsidP="00B943E9">
      <w:pPr>
        <w:pStyle w:val="ListParagraph"/>
        <w:numPr>
          <w:ilvl w:val="1"/>
          <w:numId w:val="133"/>
        </w:numPr>
        <w:ind w:left="1134"/>
      </w:pPr>
      <w:r>
        <w:t>T</w:t>
      </w:r>
      <w:r w:rsidR="0078723F" w:rsidRPr="0078723F">
        <w:t>rajno uklanjanje ugljika (pohranjivanje atmosferskog ili biogenog ugljika nekoliko stoljeća)</w:t>
      </w:r>
      <w:r>
        <w:t>;</w:t>
      </w:r>
    </w:p>
    <w:p w14:paraId="437D9F12" w14:textId="40B541FE" w:rsidR="0078723F" w:rsidRPr="0078723F" w:rsidRDefault="00EA6ED6" w:rsidP="00B943E9">
      <w:pPr>
        <w:pStyle w:val="ListParagraph"/>
        <w:numPr>
          <w:ilvl w:val="1"/>
          <w:numId w:val="133"/>
        </w:numPr>
        <w:ind w:left="1134"/>
      </w:pPr>
      <w:r>
        <w:t>P</w:t>
      </w:r>
      <w:r w:rsidR="0078723F" w:rsidRPr="0078723F">
        <w:t>rivremeno skladištenje ugljika u dugotrajnim proizvodima (kao što je konstrukcija na bazi drva) u trajanju od najmanje 35 godina i koje se može pratiti na licu mjesta tijekom cijelog razdoblja praćenja</w:t>
      </w:r>
      <w:r>
        <w:t>;</w:t>
      </w:r>
    </w:p>
    <w:p w14:paraId="454C4BEE" w14:textId="16C48106" w:rsidR="0078723F" w:rsidRPr="0078723F" w:rsidRDefault="00EA6ED6" w:rsidP="00B943E9">
      <w:pPr>
        <w:pStyle w:val="ListParagraph"/>
        <w:numPr>
          <w:ilvl w:val="1"/>
          <w:numId w:val="133"/>
        </w:numPr>
        <w:ind w:left="1134"/>
      </w:pPr>
      <w:r>
        <w:t>P</w:t>
      </w:r>
      <w:r w:rsidR="0078723F" w:rsidRPr="0078723F">
        <w:t>rivremeno skladištenje ugljika npr. obnova šuma i tla, upravljanje močvarama, livade morske trave u trajanju od najmanje 5 godina</w:t>
      </w:r>
      <w:r>
        <w:t>;</w:t>
      </w:r>
    </w:p>
    <w:p w14:paraId="007A4612" w14:textId="71BF4A58" w:rsidR="0078723F" w:rsidRPr="00FD2D0A" w:rsidRDefault="00EA6ED6" w:rsidP="004623DD">
      <w:pPr>
        <w:pStyle w:val="ListParagraph"/>
        <w:numPr>
          <w:ilvl w:val="1"/>
          <w:numId w:val="133"/>
        </w:numPr>
        <w:ind w:left="1134"/>
      </w:pPr>
      <w:r>
        <w:t>S</w:t>
      </w:r>
      <w:r w:rsidR="0078723F" w:rsidRPr="0078723F">
        <w:t>manjenje emisije u tlu koje uključuje smanjenje ugljika i dušikovog oksida iz upravljanja tlom i općenito, poboljšanjem ravnoteže ugljika u tlu, upravljanjem močvarama, zabranom oranja i praksama pokrovnih usjeva u kombinaciji s smanjena upotreba gnojiva itd</w:t>
      </w:r>
      <w:r w:rsidR="006070CB">
        <w:t>.</w:t>
      </w:r>
      <w:r w:rsidR="0078723F" w:rsidRPr="0078723F">
        <w:t>, u trajanju od najmanje 5 godina</w:t>
      </w:r>
      <w:r>
        <w:t>.</w:t>
      </w:r>
    </w:p>
    <w:p w14:paraId="621E08FE" w14:textId="77777777" w:rsidR="0078723F" w:rsidRPr="00330ABC" w:rsidRDefault="003E69D5" w:rsidP="0078723F">
      <w:pPr>
        <w:rPr>
          <w:bCs/>
          <w:lang w:eastAsia="hr-HR"/>
        </w:rPr>
      </w:pPr>
      <w:r w:rsidRPr="00BA25BA">
        <w:rPr>
          <w:b/>
          <w:lang w:eastAsia="hr-HR"/>
        </w:rPr>
        <w:lastRenderedPageBreak/>
        <w:t>Aktivnosti:</w:t>
      </w:r>
      <w:r w:rsidR="001B7E69">
        <w:rPr>
          <w:b/>
          <w:lang w:eastAsia="hr-HR"/>
        </w:rPr>
        <w:t xml:space="preserve"> </w:t>
      </w:r>
    </w:p>
    <w:p w14:paraId="15EA608D" w14:textId="77777777" w:rsidR="0078723F" w:rsidRDefault="0078723F" w:rsidP="0078723F">
      <w:pPr>
        <w:rPr>
          <w:b/>
          <w:lang w:eastAsia="hr-HR"/>
        </w:rPr>
      </w:pPr>
      <w:r w:rsidRPr="00330ABC">
        <w:rPr>
          <w:bCs/>
          <w:lang w:eastAsia="hr-HR"/>
        </w:rPr>
        <w:t>U okviru mjere provest će se sljedeće aktivnosti</w:t>
      </w:r>
      <w:r>
        <w:rPr>
          <w:b/>
          <w:lang w:eastAsia="hr-HR"/>
        </w:rPr>
        <w:t>:</w:t>
      </w:r>
    </w:p>
    <w:p w14:paraId="5C728A4E" w14:textId="787CAC41" w:rsidR="0078723F" w:rsidRPr="00330ABC" w:rsidRDefault="0078723F" w:rsidP="00460417">
      <w:pPr>
        <w:pStyle w:val="ListParagraph"/>
        <w:numPr>
          <w:ilvl w:val="0"/>
          <w:numId w:val="134"/>
        </w:numPr>
        <w:spacing w:after="60"/>
        <w:rPr>
          <w:b/>
          <w:lang w:eastAsia="hr-HR"/>
        </w:rPr>
      </w:pPr>
      <w:r>
        <w:rPr>
          <w:lang w:eastAsia="hr-HR"/>
        </w:rPr>
        <w:t>Razvoj javne certifikacijske sheme (nacionalne certifikacijske sheme)</w:t>
      </w:r>
      <w:r w:rsidR="00EA6ED6">
        <w:rPr>
          <w:lang w:eastAsia="hr-HR"/>
        </w:rPr>
        <w:t>;</w:t>
      </w:r>
    </w:p>
    <w:p w14:paraId="3130C8B9" w14:textId="63B3C209" w:rsidR="0078723F" w:rsidRPr="00330ABC" w:rsidRDefault="0078723F" w:rsidP="00460417">
      <w:pPr>
        <w:pStyle w:val="ListParagraph"/>
        <w:numPr>
          <w:ilvl w:val="0"/>
          <w:numId w:val="134"/>
        </w:numPr>
        <w:spacing w:after="60"/>
        <w:rPr>
          <w:b/>
          <w:lang w:eastAsia="hr-HR"/>
        </w:rPr>
      </w:pPr>
      <w:r w:rsidRPr="003E69D5">
        <w:rPr>
          <w:lang w:eastAsia="hr-HR"/>
        </w:rPr>
        <w:t>Uspostav</w:t>
      </w:r>
      <w:r>
        <w:rPr>
          <w:lang w:eastAsia="hr-HR"/>
        </w:rPr>
        <w:t>a</w:t>
      </w:r>
      <w:r w:rsidRPr="003E69D5">
        <w:rPr>
          <w:lang w:eastAsia="hr-HR"/>
        </w:rPr>
        <w:t xml:space="preserve"> nacionaln</w:t>
      </w:r>
      <w:r>
        <w:rPr>
          <w:lang w:eastAsia="hr-HR"/>
        </w:rPr>
        <w:t>og</w:t>
      </w:r>
      <w:r w:rsidRPr="003E69D5">
        <w:rPr>
          <w:lang w:eastAsia="hr-HR"/>
        </w:rPr>
        <w:t xml:space="preserve"> okvir</w:t>
      </w:r>
      <w:r>
        <w:rPr>
          <w:lang w:eastAsia="hr-HR"/>
        </w:rPr>
        <w:t>a</w:t>
      </w:r>
      <w:r w:rsidRPr="003E69D5">
        <w:rPr>
          <w:lang w:eastAsia="hr-HR"/>
        </w:rPr>
        <w:t xml:space="preserve"> za certificiranje i verifikaciju</w:t>
      </w:r>
      <w:r>
        <w:rPr>
          <w:lang w:eastAsia="hr-HR"/>
        </w:rPr>
        <w:t xml:space="preserve"> uklanjanja ugljika</w:t>
      </w:r>
      <w:r w:rsidR="00EA6ED6">
        <w:rPr>
          <w:lang w:eastAsia="hr-HR"/>
        </w:rPr>
        <w:t>;</w:t>
      </w:r>
    </w:p>
    <w:p w14:paraId="37913ABF" w14:textId="41479E04" w:rsidR="0078723F" w:rsidRPr="00330ABC" w:rsidRDefault="0078723F" w:rsidP="00460417">
      <w:pPr>
        <w:pStyle w:val="ListParagraph"/>
        <w:numPr>
          <w:ilvl w:val="0"/>
          <w:numId w:val="134"/>
        </w:numPr>
        <w:spacing w:after="60"/>
        <w:rPr>
          <w:b/>
          <w:lang w:eastAsia="hr-HR"/>
        </w:rPr>
      </w:pPr>
      <w:r>
        <w:rPr>
          <w:lang w:eastAsia="hr-HR"/>
        </w:rPr>
        <w:t>Uspostava registara za javnu certifikacijsku shemu uklanjanja ugljika</w:t>
      </w:r>
      <w:r w:rsidR="00EA6ED6">
        <w:rPr>
          <w:lang w:eastAsia="hr-HR"/>
        </w:rPr>
        <w:t>.</w:t>
      </w:r>
    </w:p>
    <w:p w14:paraId="72683304" w14:textId="543AF859" w:rsidR="003E69D5" w:rsidRPr="003E69D5" w:rsidRDefault="003E69D5" w:rsidP="004623DD">
      <w:pPr>
        <w:rPr>
          <w:lang w:eastAsia="hr-HR"/>
        </w:rPr>
      </w:pPr>
      <w:r w:rsidRPr="003E69D5">
        <w:rPr>
          <w:b/>
          <w:lang w:eastAsia="hr-HR"/>
        </w:rPr>
        <w:t>Sredstva potrebna za provedbu</w:t>
      </w:r>
      <w:r w:rsidRPr="003E69D5">
        <w:rPr>
          <w:lang w:eastAsia="hr-HR"/>
        </w:rPr>
        <w:t xml:space="preserve">: </w:t>
      </w:r>
      <w:r w:rsidR="0078723F" w:rsidRPr="003E69D5">
        <w:rPr>
          <w:lang w:eastAsia="hr-HR"/>
        </w:rPr>
        <w:t xml:space="preserve">Sredstva će biti potrebna za istraživanja u cilju utvrđivanja </w:t>
      </w:r>
      <w:r w:rsidR="0078723F">
        <w:rPr>
          <w:lang w:eastAsia="hr-HR"/>
        </w:rPr>
        <w:t>nacionalno specifičnih polaznih vrijednosti i razvoja javnih certifikacijskih shema.</w:t>
      </w:r>
    </w:p>
    <w:p w14:paraId="227A199D" w14:textId="545A16EB" w:rsidR="003E69D5" w:rsidRPr="003E69D5" w:rsidRDefault="003E69D5" w:rsidP="004623DD">
      <w:pPr>
        <w:rPr>
          <w:lang w:eastAsia="hr-HR"/>
        </w:rPr>
      </w:pPr>
      <w:r w:rsidRPr="003E69D5">
        <w:rPr>
          <w:b/>
          <w:lang w:eastAsia="hr-HR"/>
        </w:rPr>
        <w:t>Izvori financiranja</w:t>
      </w:r>
      <w:r w:rsidRPr="003E69D5">
        <w:rPr>
          <w:lang w:eastAsia="hr-HR"/>
        </w:rPr>
        <w:t xml:space="preserve">: </w:t>
      </w:r>
      <w:r w:rsidR="0064637B">
        <w:t>P</w:t>
      </w:r>
      <w:r w:rsidR="00D85E1F" w:rsidRPr="002F1EEF">
        <w:t>rihodi od prodaje emisijskih jedinica iz EU ETS-a</w:t>
      </w:r>
      <w:r w:rsidR="004904E0">
        <w:t xml:space="preserve"> za </w:t>
      </w:r>
      <w:r w:rsidR="0078723F">
        <w:rPr>
          <w:lang w:eastAsia="hr-HR"/>
        </w:rPr>
        <w:t xml:space="preserve"> istraživanja i razvoj</w:t>
      </w:r>
      <w:r w:rsidR="0078723F" w:rsidRPr="003E69D5">
        <w:rPr>
          <w:lang w:eastAsia="hr-HR"/>
        </w:rPr>
        <w:t>, a nakon uvođenja sustava</w:t>
      </w:r>
      <w:r w:rsidR="0078723F">
        <w:rPr>
          <w:lang w:eastAsia="hr-HR"/>
        </w:rPr>
        <w:t>.</w:t>
      </w:r>
    </w:p>
    <w:p w14:paraId="41356AEF" w14:textId="77F01B91" w:rsidR="003E69D5" w:rsidRPr="003E69D5" w:rsidRDefault="003E69D5" w:rsidP="004623DD">
      <w:pPr>
        <w:rPr>
          <w:lang w:eastAsia="hr-HR"/>
        </w:rPr>
      </w:pPr>
      <w:r w:rsidRPr="003A2A86">
        <w:rPr>
          <w:b/>
          <w:bCs/>
          <w:lang w:eastAsia="hr-HR"/>
        </w:rPr>
        <w:t>Izvršno tijelo:</w:t>
      </w:r>
      <w:r w:rsidRPr="003E69D5">
        <w:rPr>
          <w:lang w:eastAsia="hr-HR"/>
        </w:rPr>
        <w:t xml:space="preserve"> </w:t>
      </w:r>
      <w:r w:rsidR="006B5206" w:rsidRPr="004E559C">
        <w:rPr>
          <w:lang w:eastAsia="hr-HR"/>
        </w:rPr>
        <w:t>Ministarstvo zaštite okoliša i zelene tranzicije</w:t>
      </w:r>
      <w:r w:rsidR="006B5206">
        <w:rPr>
          <w:lang w:eastAsia="hr-HR"/>
        </w:rPr>
        <w:t>.</w:t>
      </w:r>
    </w:p>
    <w:p w14:paraId="395436EE" w14:textId="45E0D38C" w:rsidR="003E69D5" w:rsidRPr="003E69D5" w:rsidRDefault="003E69D5" w:rsidP="004623DD">
      <w:pPr>
        <w:rPr>
          <w:lang w:eastAsia="hr-HR"/>
        </w:rPr>
      </w:pPr>
      <w:r w:rsidRPr="003E69D5">
        <w:rPr>
          <w:b/>
          <w:lang w:eastAsia="hr-HR"/>
        </w:rPr>
        <w:t>Tijela za praćenje:</w:t>
      </w:r>
      <w:r w:rsidRPr="003E69D5">
        <w:rPr>
          <w:lang w:eastAsia="hr-HR"/>
        </w:rPr>
        <w:t xml:space="preserve"> </w:t>
      </w:r>
      <w:r w:rsidR="006B5206" w:rsidRPr="004E559C">
        <w:rPr>
          <w:lang w:eastAsia="hr-HR"/>
        </w:rPr>
        <w:t>Ministarstvo zaštite okoliša i zelene tranzicije</w:t>
      </w:r>
      <w:r w:rsidRPr="003E69D5">
        <w:rPr>
          <w:lang w:eastAsia="hr-HR"/>
        </w:rPr>
        <w:t>, Hrvatska akreditacijska agencija</w:t>
      </w:r>
      <w:r w:rsidR="006D3DB4">
        <w:rPr>
          <w:lang w:eastAsia="hr-HR"/>
        </w:rPr>
        <w:t>.</w:t>
      </w:r>
    </w:p>
    <w:p w14:paraId="6ECC15B6" w14:textId="515E85C2" w:rsidR="003E69D5" w:rsidRPr="003E69D5" w:rsidRDefault="003E69D5" w:rsidP="004623DD">
      <w:pPr>
        <w:rPr>
          <w:b/>
          <w:lang w:eastAsia="hr-HR"/>
        </w:rPr>
      </w:pPr>
      <w:r w:rsidRPr="003E69D5">
        <w:rPr>
          <w:b/>
          <w:lang w:eastAsia="hr-HR"/>
        </w:rPr>
        <w:t xml:space="preserve">Učinak: </w:t>
      </w:r>
      <w:r w:rsidR="0078723F">
        <w:rPr>
          <w:bCs/>
          <w:lang w:eastAsia="hr-HR"/>
        </w:rPr>
        <w:t>Certificirane jedinice za aktivnosti uklanjanja ugljika</w:t>
      </w:r>
      <w:r w:rsidR="001403E0">
        <w:rPr>
          <w:bCs/>
          <w:lang w:eastAsia="hr-HR"/>
        </w:rPr>
        <w:t xml:space="preserve"> </w:t>
      </w:r>
      <w:r w:rsidR="001B4F03">
        <w:rPr>
          <w:bCs/>
          <w:lang w:eastAsia="hr-HR"/>
        </w:rPr>
        <w:t>i smanjenja emisija</w:t>
      </w:r>
      <w:r w:rsidR="006B5206">
        <w:rPr>
          <w:bCs/>
          <w:lang w:eastAsia="hr-HR"/>
        </w:rPr>
        <w:t>.</w:t>
      </w:r>
    </w:p>
    <w:p w14:paraId="2669CB60" w14:textId="04F20571" w:rsidR="003E69D5" w:rsidRPr="003E69D5" w:rsidRDefault="003E69D5" w:rsidP="004623DD">
      <w:pPr>
        <w:rPr>
          <w:b/>
          <w:iCs/>
          <w:lang w:eastAsia="hr-HR"/>
        </w:rPr>
      </w:pPr>
      <w:r w:rsidRPr="003E69D5">
        <w:rPr>
          <w:b/>
          <w:lang w:eastAsia="hr-HR"/>
        </w:rPr>
        <w:t>Metoda praćenja:</w:t>
      </w:r>
      <w:r w:rsidRPr="003E69D5">
        <w:rPr>
          <w:i/>
          <w:lang w:eastAsia="hr-HR"/>
        </w:rPr>
        <w:t xml:space="preserve"> </w:t>
      </w:r>
      <w:r w:rsidR="0078723F" w:rsidRPr="00B943E9">
        <w:rPr>
          <w:lang w:eastAsia="hr-HR"/>
        </w:rPr>
        <w:t>Certificirane jedinice evidentirane u javnim registrima odnosno u EU regist</w:t>
      </w:r>
      <w:r w:rsidR="00B26618">
        <w:rPr>
          <w:lang w:eastAsia="hr-HR"/>
        </w:rPr>
        <w:t>r</w:t>
      </w:r>
      <w:r w:rsidR="00E624F6">
        <w:rPr>
          <w:lang w:eastAsia="hr-HR"/>
        </w:rPr>
        <w:t>u</w:t>
      </w:r>
      <w:r w:rsidR="0078723F" w:rsidRPr="00B943E9">
        <w:rPr>
          <w:lang w:eastAsia="hr-HR"/>
        </w:rPr>
        <w:t xml:space="preserve"> kada se razvije</w:t>
      </w:r>
      <w:r w:rsidR="0064637B">
        <w:rPr>
          <w:lang w:eastAsia="hr-HR"/>
        </w:rPr>
        <w:t>.</w:t>
      </w:r>
    </w:p>
    <w:p w14:paraId="43ABD6D9" w14:textId="77777777" w:rsidR="003E69D5" w:rsidRPr="003E69D5" w:rsidRDefault="003E69D5" w:rsidP="004623DD">
      <w:pPr>
        <w:rPr>
          <w:lang w:eastAsia="hr-HR"/>
        </w:rPr>
      </w:pPr>
      <w:r w:rsidRPr="003E69D5">
        <w:rPr>
          <w:b/>
          <w:lang w:eastAsia="hr-HR"/>
        </w:rPr>
        <w:t>Povezanost s drugim dimenzijama</w:t>
      </w:r>
      <w:r w:rsidRPr="003E69D5">
        <w:rPr>
          <w:lang w:eastAsia="hr-HR"/>
        </w:rPr>
        <w:t xml:space="preserve">: Mjera je interdisciplinarna. </w:t>
      </w:r>
    </w:p>
    <w:p w14:paraId="1F0B4D34" w14:textId="110685D7" w:rsidR="00627DD7" w:rsidRPr="00C94AE2" w:rsidRDefault="003E69D5" w:rsidP="63259912">
      <w:pPr>
        <w:rPr>
          <w:lang w:eastAsia="hr-HR"/>
        </w:rPr>
      </w:pPr>
      <w:r w:rsidRPr="63259912">
        <w:rPr>
          <w:b/>
          <w:bCs/>
          <w:lang w:eastAsia="hr-HR"/>
        </w:rPr>
        <w:t>Istraživanje i razvoj</w:t>
      </w:r>
      <w:r w:rsidRPr="63259912">
        <w:rPr>
          <w:lang w:eastAsia="hr-HR"/>
        </w:rPr>
        <w:t>: Potrebno je istraživati na tehnikama praćenja promjene zalihe ugljika, posebice moguće primjene suvremenih tehnoloških rješenja kao što su satelitske snimke, tehnike primjene dronova i ostalo. Potrebno je podupirati projekte kariranja ugljika u tlu, za šumsko zemljište i poljoprivredno zemljište. Potrebno je podupirati istraživanja vezan</w:t>
      </w:r>
      <w:r w:rsidR="0078723F" w:rsidRPr="63259912">
        <w:rPr>
          <w:lang w:eastAsia="hr-HR"/>
        </w:rPr>
        <w:t>a</w:t>
      </w:r>
      <w:r w:rsidRPr="63259912">
        <w:rPr>
          <w:lang w:eastAsia="hr-HR"/>
        </w:rPr>
        <w:t xml:space="preserve"> za tehnike hvatanja, transporta, skladištenja i korištenja ugljika. Potreb</w:t>
      </w:r>
      <w:r w:rsidR="0078723F" w:rsidRPr="63259912">
        <w:rPr>
          <w:lang w:eastAsia="hr-HR"/>
        </w:rPr>
        <w:t>n</w:t>
      </w:r>
      <w:r w:rsidRPr="63259912">
        <w:rPr>
          <w:lang w:eastAsia="hr-HR"/>
        </w:rPr>
        <w:t>a su istraživanja za unaprjeđenja inventara emisija, u smislu geo-eksplicitnih prikaza i primjenu nacionalnih podataka.</w:t>
      </w:r>
    </w:p>
    <w:p w14:paraId="7BCA9CC9" w14:textId="77777777" w:rsidR="00C94AE2" w:rsidRDefault="00C94AE2" w:rsidP="00C94AE2">
      <w:pPr>
        <w:pStyle w:val="Mjeranaslov"/>
      </w:pPr>
      <w:r>
        <w:t xml:space="preserve">MS-15 </w:t>
      </w:r>
      <w:r w:rsidRPr="00B06ACF">
        <w:t>Izrada i provedba Socijalnog plana za klimatsku politiku</w:t>
      </w:r>
    </w:p>
    <w:p w14:paraId="26EDD69D" w14:textId="77777777" w:rsidR="00C94AE2" w:rsidRPr="002E679A" w:rsidRDefault="00C94AE2" w:rsidP="00C94AE2">
      <w:pPr>
        <w:pStyle w:val="NormalWeb"/>
        <w:spacing w:before="120" w:beforeAutospacing="0"/>
      </w:pPr>
      <w:r>
        <w:t>Ekonomska</w:t>
      </w:r>
      <w:r w:rsidRPr="002E679A">
        <w:t xml:space="preserve"> mjera; provedba 202</w:t>
      </w:r>
      <w:r>
        <w:t>6</w:t>
      </w:r>
      <w:r w:rsidRPr="002E679A">
        <w:t>. - 2030.</w:t>
      </w:r>
    </w:p>
    <w:p w14:paraId="0D4F07CD" w14:textId="020290C4" w:rsidR="00C94AE2" w:rsidRPr="00493D94" w:rsidRDefault="00C94AE2" w:rsidP="00C94AE2">
      <w:pPr>
        <w:contextualSpacing/>
        <w:rPr>
          <w:rFonts w:ascii="Times New Roman" w:hAnsi="Times New Roman"/>
        </w:rPr>
      </w:pPr>
      <w:r w:rsidRPr="00493D94">
        <w:rPr>
          <w:b/>
        </w:rPr>
        <w:t>Cilj i opis mjere:</w:t>
      </w:r>
      <w:r w:rsidR="00230071">
        <w:rPr>
          <w:rFonts w:eastAsia="Calibri"/>
        </w:rPr>
        <w:t xml:space="preserve"> </w:t>
      </w:r>
      <w:r w:rsidR="00230071">
        <w:t>S</w:t>
      </w:r>
      <w:r w:rsidR="00230071" w:rsidRPr="00741348">
        <w:t>ocijalni plan za</w:t>
      </w:r>
      <w:r w:rsidR="00230071">
        <w:t xml:space="preserve"> </w:t>
      </w:r>
      <w:r w:rsidR="00230071" w:rsidRPr="00741348">
        <w:t>klimatsku politiku je dokument koji</w:t>
      </w:r>
      <w:r w:rsidR="00230071">
        <w:t xml:space="preserve"> </w:t>
      </w:r>
      <w:r w:rsidR="00230071" w:rsidRPr="0043324A">
        <w:t>se podnosi Europskoj ko</w:t>
      </w:r>
      <w:r w:rsidR="00230071">
        <w:t>m</w:t>
      </w:r>
      <w:r w:rsidR="00230071" w:rsidRPr="0043324A">
        <w:t>isiji do 30. lipnja 2025. kako bi se mogla koristiti</w:t>
      </w:r>
      <w:r w:rsidR="00230071">
        <w:t xml:space="preserve"> </w:t>
      </w:r>
      <w:r w:rsidR="00230071" w:rsidRPr="0043324A">
        <w:t>sredstva iz Socijalnog fonda za kli</w:t>
      </w:r>
      <w:r w:rsidR="00230071">
        <w:t>m</w:t>
      </w:r>
      <w:r w:rsidR="00230071" w:rsidRPr="0043324A">
        <w:t>atsku politiku i koji mora sadržavati</w:t>
      </w:r>
      <w:r w:rsidR="00230071">
        <w:t xml:space="preserve"> </w:t>
      </w:r>
      <w:r w:rsidR="00230071" w:rsidRPr="0043324A">
        <w:t>međusobno usklađen skup postojećih ili novih nacionalnih mjera i ulaganja kao</w:t>
      </w:r>
      <w:r w:rsidR="00230071">
        <w:t xml:space="preserve"> </w:t>
      </w:r>
      <w:r w:rsidR="00230071" w:rsidRPr="0043324A">
        <w:t xml:space="preserve">odgovor za </w:t>
      </w:r>
      <w:r w:rsidR="00230071" w:rsidRPr="00741348">
        <w:t>ublažavanje</w:t>
      </w:r>
      <w:r w:rsidR="00230071" w:rsidRPr="0043324A">
        <w:t xml:space="preserve"> negativnih učinaka EU ETS2 sustava na ranjiva</w:t>
      </w:r>
      <w:r w:rsidR="00230071">
        <w:t xml:space="preserve"> </w:t>
      </w:r>
      <w:r w:rsidR="00230071" w:rsidRPr="0043324A">
        <w:t>kućanstva, ranjiva mikro poduzeća i ranjive korisnike usluga prijevoza, a kako</w:t>
      </w:r>
      <w:r w:rsidR="00230071">
        <w:t xml:space="preserve"> </w:t>
      </w:r>
      <w:r w:rsidR="00230071" w:rsidRPr="0043324A">
        <w:t>bi se osigurali cjenovno pristupačno grijanje, hlađenje i mobilnost, uz istodobno</w:t>
      </w:r>
      <w:r w:rsidR="00230071">
        <w:t xml:space="preserve"> </w:t>
      </w:r>
      <w:r w:rsidR="00230071" w:rsidRPr="0043324A">
        <w:t>praćenje i ubrzavanje mjera potrebnih za postizanje klimatskih ciljeva Unije.</w:t>
      </w:r>
      <w:r w:rsidR="00230071">
        <w:t xml:space="preserve"> S</w:t>
      </w:r>
      <w:r w:rsidR="00230071" w:rsidRPr="00741348">
        <w:t>ocijalni plan za</w:t>
      </w:r>
      <w:r w:rsidR="00230071">
        <w:t xml:space="preserve"> </w:t>
      </w:r>
      <w:r w:rsidR="00230071" w:rsidRPr="00741348">
        <w:t xml:space="preserve">klimatsku politiku </w:t>
      </w:r>
      <w:r w:rsidR="00230071" w:rsidRPr="0043324A">
        <w:t>mora sadržavati</w:t>
      </w:r>
      <w:r w:rsidR="00230071">
        <w:t xml:space="preserve"> </w:t>
      </w:r>
      <w:r w:rsidR="00230071" w:rsidRPr="0043324A">
        <w:t>međusobno usklađen skup postojećih ili novih nacionalnih mjera i ulaganja kao</w:t>
      </w:r>
      <w:r w:rsidR="00230071">
        <w:t xml:space="preserve"> </w:t>
      </w:r>
      <w:r w:rsidR="00230071" w:rsidRPr="0043324A">
        <w:t xml:space="preserve">odgovor za </w:t>
      </w:r>
      <w:r w:rsidR="00230071" w:rsidRPr="00741348">
        <w:t>ublažavanje</w:t>
      </w:r>
      <w:r w:rsidR="00230071" w:rsidRPr="0043324A">
        <w:t xml:space="preserve"> negativnih učinaka EU ETS2 sustava na ranjiva</w:t>
      </w:r>
      <w:r w:rsidR="00230071">
        <w:t xml:space="preserve"> </w:t>
      </w:r>
      <w:r w:rsidR="00230071" w:rsidRPr="0043324A">
        <w:t>kućanstva, ranjiva mikro poduzeća i ranjive korisnike usluga prijevoza, a kako</w:t>
      </w:r>
      <w:r w:rsidR="00230071">
        <w:t xml:space="preserve"> </w:t>
      </w:r>
      <w:r w:rsidR="00230071" w:rsidRPr="0043324A">
        <w:t>bi se osigurali cjenovno pristupačno grijanje, hlađenje i mobilnost, uz istodobno</w:t>
      </w:r>
      <w:r w:rsidR="00230071">
        <w:t xml:space="preserve"> </w:t>
      </w:r>
      <w:r w:rsidR="00230071" w:rsidRPr="0043324A">
        <w:t>praćenje i ubrzavanje mjera potrebnih za postizanje klimatskih ciljeva Unije.</w:t>
      </w:r>
      <w:r w:rsidR="00230071">
        <w:t xml:space="preserve"> </w:t>
      </w:r>
      <w:r w:rsidR="00230071" w:rsidRPr="0043324A">
        <w:t>Mjere iz Socijalnog plana za klimatsku politiku bit će namijenjene ranjivim</w:t>
      </w:r>
      <w:r w:rsidR="00230071">
        <w:t xml:space="preserve"> </w:t>
      </w:r>
      <w:r w:rsidR="00230071" w:rsidRPr="0043324A">
        <w:t>kućanstvima, ranjivim korisnicima prijevoza i ranjivim mikro</w:t>
      </w:r>
      <w:r w:rsidR="00230071">
        <w:t xml:space="preserve"> </w:t>
      </w:r>
      <w:r w:rsidR="00230071" w:rsidRPr="0043324A">
        <w:lastRenderedPageBreak/>
        <w:t>poduzećima. U</w:t>
      </w:r>
      <w:r w:rsidR="00230071">
        <w:t xml:space="preserve"> </w:t>
      </w:r>
      <w:r w:rsidR="00230071" w:rsidRPr="0043324A">
        <w:t>procijenjene troškove plana uključiti će se i potpora dana javnim i privatnim</w:t>
      </w:r>
      <w:r w:rsidR="00230071">
        <w:t xml:space="preserve"> </w:t>
      </w:r>
      <w:r w:rsidR="00230071" w:rsidRPr="0043324A">
        <w:t>subjektima koji provode mjere i ulaganja koje donose koristi ovim ranjivim</w:t>
      </w:r>
      <w:r w:rsidR="00230071">
        <w:t xml:space="preserve"> </w:t>
      </w:r>
      <w:r w:rsidR="00230071" w:rsidRPr="0043324A">
        <w:t>skupinama.</w:t>
      </w:r>
    </w:p>
    <w:p w14:paraId="2BEAF0E1" w14:textId="77777777" w:rsidR="00C94AE2" w:rsidRDefault="00C94AE2" w:rsidP="00C94AE2">
      <w:pPr>
        <w:pStyle w:val="ListParagraph"/>
        <w:autoSpaceDE w:val="0"/>
        <w:autoSpaceDN w:val="0"/>
        <w:adjustRightInd w:val="0"/>
        <w:spacing w:before="120"/>
        <w:rPr>
          <w:rFonts w:ascii="Times New Roman" w:hAnsi="Times New Roman" w:cs="Times New Roman"/>
          <w:lang w:bidi="hr-HR"/>
        </w:rPr>
      </w:pPr>
    </w:p>
    <w:p w14:paraId="6F27C46C" w14:textId="5D206B5D" w:rsidR="00C94AE2" w:rsidRPr="00B51660" w:rsidRDefault="00C94AE2" w:rsidP="00C94AE2">
      <w:pPr>
        <w:pStyle w:val="ListParagraph"/>
        <w:autoSpaceDE w:val="0"/>
        <w:autoSpaceDN w:val="0"/>
        <w:adjustRightInd w:val="0"/>
        <w:spacing w:before="120"/>
        <w:rPr>
          <w:rFonts w:eastAsia="Calibri" w:cs="Times New Roman"/>
          <w:lang w:eastAsia="en-GB"/>
        </w:rPr>
      </w:pPr>
      <w:r>
        <w:rPr>
          <w:rFonts w:eastAsia="Calibri" w:cs="Times New Roman"/>
          <w:lang w:eastAsia="en-GB"/>
        </w:rPr>
        <w:t>Mjere</w:t>
      </w:r>
      <w:r w:rsidRPr="00B51660">
        <w:rPr>
          <w:rFonts w:eastAsia="Calibri" w:cs="Times New Roman"/>
          <w:lang w:eastAsia="en-GB"/>
        </w:rPr>
        <w:t xml:space="preserve"> koje se mogu financirati iz </w:t>
      </w:r>
      <w:r w:rsidR="00074F5D" w:rsidRPr="618F6E8F">
        <w:rPr>
          <w:rFonts w:eastAsia="Calibri" w:cs="Times New Roman"/>
          <w:lang w:eastAsia="en-GB"/>
        </w:rPr>
        <w:t>Socijalnog fonda za klimatsku politiku</w:t>
      </w:r>
      <w:r w:rsidRPr="00B51660">
        <w:rPr>
          <w:rFonts w:eastAsia="Calibri" w:cs="Times New Roman"/>
          <w:lang w:eastAsia="en-GB"/>
        </w:rPr>
        <w:t>:</w:t>
      </w:r>
    </w:p>
    <w:p w14:paraId="58F2DAC7" w14:textId="49C820E7" w:rsidR="007945E8" w:rsidRPr="007945E8" w:rsidRDefault="007945E8" w:rsidP="007945E8">
      <w:pPr>
        <w:pStyle w:val="ListParagraph"/>
        <w:numPr>
          <w:ilvl w:val="0"/>
          <w:numId w:val="173"/>
        </w:numPr>
        <w:autoSpaceDE w:val="0"/>
        <w:autoSpaceDN w:val="0"/>
        <w:adjustRightInd w:val="0"/>
        <w:spacing w:before="120" w:line="256" w:lineRule="auto"/>
        <w:contextualSpacing/>
        <w:rPr>
          <w:rFonts w:eastAsia="Calibri" w:cs="Times New Roman"/>
          <w:lang w:eastAsia="en-GB"/>
        </w:rPr>
      </w:pPr>
      <w:r w:rsidRPr="007945E8">
        <w:rPr>
          <w:rFonts w:eastAsia="Calibri" w:cs="Times New Roman"/>
          <w:lang w:eastAsia="en-GB"/>
        </w:rPr>
        <w:t>Energetska obnova zgrada s najlošijim energetskim svojstvima;</w:t>
      </w:r>
    </w:p>
    <w:p w14:paraId="77BFD836" w14:textId="75723110" w:rsidR="007945E8" w:rsidRPr="007945E8" w:rsidRDefault="00502A47" w:rsidP="63259912">
      <w:pPr>
        <w:pStyle w:val="ListParagraph"/>
        <w:numPr>
          <w:ilvl w:val="0"/>
          <w:numId w:val="173"/>
        </w:numPr>
        <w:autoSpaceDE w:val="0"/>
        <w:autoSpaceDN w:val="0"/>
        <w:adjustRightInd w:val="0"/>
        <w:spacing w:before="120" w:line="256" w:lineRule="auto"/>
        <w:contextualSpacing/>
        <w:rPr>
          <w:rFonts w:eastAsia="Calibri" w:cs="Times New Roman"/>
          <w:lang w:eastAsia="en-GB"/>
        </w:rPr>
      </w:pPr>
      <w:r w:rsidRPr="63259912">
        <w:rPr>
          <w:rFonts w:eastAsia="Calibri" w:cs="Times New Roman"/>
          <w:lang w:eastAsia="en-GB"/>
        </w:rPr>
        <w:t>O</w:t>
      </w:r>
      <w:r w:rsidR="007945E8" w:rsidRPr="63259912">
        <w:rPr>
          <w:rFonts w:eastAsia="Calibri" w:cs="Times New Roman"/>
          <w:lang w:eastAsia="en-GB"/>
        </w:rPr>
        <w:t>mogućavanje pristupa priuštivom i energetski učinkovitom stanovanju;</w:t>
      </w:r>
    </w:p>
    <w:p w14:paraId="15D67A3E" w14:textId="77777777" w:rsidR="007945E8" w:rsidRPr="007945E8" w:rsidRDefault="007945E8" w:rsidP="007945E8">
      <w:pPr>
        <w:pStyle w:val="ListParagraph"/>
        <w:numPr>
          <w:ilvl w:val="0"/>
          <w:numId w:val="173"/>
        </w:numPr>
        <w:autoSpaceDE w:val="0"/>
        <w:autoSpaceDN w:val="0"/>
        <w:adjustRightInd w:val="0"/>
        <w:spacing w:before="120" w:line="256" w:lineRule="auto"/>
        <w:contextualSpacing/>
        <w:rPr>
          <w:rFonts w:eastAsia="Calibri" w:cs="Times New Roman"/>
          <w:lang w:eastAsia="en-GB"/>
        </w:rPr>
      </w:pPr>
      <w:r w:rsidRPr="007945E8">
        <w:rPr>
          <w:rFonts w:eastAsia="Calibri" w:cs="Times New Roman"/>
          <w:lang w:eastAsia="en-GB"/>
        </w:rPr>
        <w:t>Zamjene sustava za grijanje i hlađenje u objektima stanovanja ranjivih kućanstava;</w:t>
      </w:r>
    </w:p>
    <w:p w14:paraId="601C6248" w14:textId="77777777" w:rsidR="007945E8" w:rsidRPr="007945E8" w:rsidRDefault="007945E8" w:rsidP="007945E8">
      <w:pPr>
        <w:pStyle w:val="ListParagraph"/>
        <w:numPr>
          <w:ilvl w:val="0"/>
          <w:numId w:val="173"/>
        </w:numPr>
        <w:autoSpaceDE w:val="0"/>
        <w:autoSpaceDN w:val="0"/>
        <w:adjustRightInd w:val="0"/>
        <w:spacing w:before="120" w:line="256" w:lineRule="auto"/>
        <w:contextualSpacing/>
        <w:rPr>
          <w:rFonts w:eastAsia="Calibri" w:cs="Times New Roman"/>
          <w:lang w:eastAsia="en-GB"/>
        </w:rPr>
      </w:pPr>
      <w:r w:rsidRPr="007945E8">
        <w:rPr>
          <w:rFonts w:eastAsia="Calibri" w:cs="Times New Roman"/>
          <w:lang w:eastAsia="en-GB"/>
        </w:rPr>
        <w:t>Uspostave one-stop-shopova na regionalnim i lokalnim razinama u svrhu davanja informacija o mogućim mjerama i ulaganjima namijenjenih ranjivim skupinama;</w:t>
      </w:r>
    </w:p>
    <w:p w14:paraId="3BF3421E" w14:textId="77777777" w:rsidR="007945E8" w:rsidRPr="007945E8" w:rsidRDefault="007945E8" w:rsidP="007945E8">
      <w:pPr>
        <w:pStyle w:val="ListParagraph"/>
        <w:numPr>
          <w:ilvl w:val="0"/>
          <w:numId w:val="173"/>
        </w:numPr>
        <w:autoSpaceDE w:val="0"/>
        <w:autoSpaceDN w:val="0"/>
        <w:adjustRightInd w:val="0"/>
        <w:spacing w:before="120" w:line="256" w:lineRule="auto"/>
        <w:contextualSpacing/>
        <w:rPr>
          <w:rFonts w:eastAsia="Calibri" w:cs="Times New Roman"/>
          <w:lang w:eastAsia="en-GB"/>
        </w:rPr>
      </w:pPr>
      <w:r w:rsidRPr="007945E8">
        <w:rPr>
          <w:rFonts w:eastAsia="Calibri" w:cs="Times New Roman"/>
          <w:lang w:eastAsia="en-GB"/>
        </w:rPr>
        <w:t>Podupiranje ranjivih kućanstava u nabavi kućanskih uređaja s najvišim energetski učinkovitim svojstvima;</w:t>
      </w:r>
    </w:p>
    <w:p w14:paraId="7E3C4A31" w14:textId="77777777" w:rsidR="007945E8" w:rsidRPr="007945E8" w:rsidRDefault="007945E8" w:rsidP="007945E8">
      <w:pPr>
        <w:pStyle w:val="ListParagraph"/>
        <w:numPr>
          <w:ilvl w:val="0"/>
          <w:numId w:val="173"/>
        </w:numPr>
        <w:autoSpaceDE w:val="0"/>
        <w:autoSpaceDN w:val="0"/>
        <w:adjustRightInd w:val="0"/>
        <w:spacing w:before="120" w:line="256" w:lineRule="auto"/>
        <w:contextualSpacing/>
        <w:rPr>
          <w:rFonts w:eastAsia="Calibri" w:cs="Times New Roman"/>
          <w:lang w:eastAsia="en-GB"/>
        </w:rPr>
      </w:pPr>
      <w:r w:rsidRPr="007945E8">
        <w:rPr>
          <w:rFonts w:eastAsia="Calibri" w:cs="Times New Roman"/>
          <w:lang w:eastAsia="en-GB"/>
        </w:rPr>
        <w:t>Davanja potpore javnim i privatnim subjektima u razvoju i pružanju pristupačnih rješenja energetske učinkovitosti uključujući podupiranje rada zajednica obnovljive energije i energetskih zajednica ;</w:t>
      </w:r>
    </w:p>
    <w:p w14:paraId="5477CC1F" w14:textId="77777777" w:rsidR="00CB2E6A" w:rsidRPr="00B51660" w:rsidRDefault="00CB2E6A" w:rsidP="00CB2E6A">
      <w:pPr>
        <w:pStyle w:val="ListParagraph"/>
        <w:numPr>
          <w:ilvl w:val="0"/>
          <w:numId w:val="173"/>
        </w:numPr>
        <w:tabs>
          <w:tab w:val="clear" w:pos="431"/>
        </w:tabs>
        <w:autoSpaceDE w:val="0"/>
        <w:autoSpaceDN w:val="0"/>
        <w:adjustRightInd w:val="0"/>
        <w:spacing w:before="120" w:line="256" w:lineRule="auto"/>
        <w:contextualSpacing/>
        <w:rPr>
          <w:rFonts w:eastAsia="Calibri" w:cs="Times New Roman"/>
          <w:lang w:eastAsia="en-GB"/>
        </w:rPr>
      </w:pPr>
      <w:r w:rsidRPr="00B51660">
        <w:rPr>
          <w:rFonts w:eastAsia="Calibri" w:cs="Times New Roman"/>
          <w:lang w:eastAsia="en-GB"/>
        </w:rPr>
        <w:t>Potpora javnim i privatnim subjektima u razvoju i pružanju pristupačnih rješenja energetske učinkovitosti i odgovarajućih instrumenata financiranja;</w:t>
      </w:r>
    </w:p>
    <w:p w14:paraId="69F73D13" w14:textId="77777777" w:rsidR="007945E8" w:rsidRPr="007945E8" w:rsidRDefault="007945E8" w:rsidP="007945E8">
      <w:pPr>
        <w:pStyle w:val="ListParagraph"/>
        <w:numPr>
          <w:ilvl w:val="0"/>
          <w:numId w:val="173"/>
        </w:numPr>
        <w:autoSpaceDE w:val="0"/>
        <w:autoSpaceDN w:val="0"/>
        <w:adjustRightInd w:val="0"/>
        <w:spacing w:before="120" w:line="256" w:lineRule="auto"/>
        <w:contextualSpacing/>
        <w:rPr>
          <w:rFonts w:eastAsia="Calibri" w:cs="Times New Roman"/>
          <w:lang w:eastAsia="en-GB"/>
        </w:rPr>
      </w:pPr>
      <w:r w:rsidRPr="007945E8">
        <w:rPr>
          <w:rFonts w:eastAsia="Calibri" w:cs="Times New Roman"/>
          <w:lang w:eastAsia="en-GB"/>
        </w:rPr>
        <w:t>Razvoja i primjene odgovarajućih i komplementarnih instrumenata financiranja;</w:t>
      </w:r>
    </w:p>
    <w:p w14:paraId="4CEEE4BB" w14:textId="32742EBA" w:rsidR="007945E8" w:rsidRPr="007945E8" w:rsidRDefault="00CB2E6A" w:rsidP="007945E8">
      <w:pPr>
        <w:pStyle w:val="ListParagraph"/>
        <w:numPr>
          <w:ilvl w:val="0"/>
          <w:numId w:val="173"/>
        </w:numPr>
        <w:autoSpaceDE w:val="0"/>
        <w:autoSpaceDN w:val="0"/>
        <w:adjustRightInd w:val="0"/>
        <w:spacing w:before="120" w:line="256" w:lineRule="auto"/>
        <w:contextualSpacing/>
        <w:rPr>
          <w:rFonts w:eastAsia="Calibri" w:cs="Times New Roman"/>
          <w:lang w:eastAsia="en-GB"/>
        </w:rPr>
      </w:pPr>
      <w:r w:rsidRPr="00B51660">
        <w:rPr>
          <w:rFonts w:eastAsia="Calibri" w:cs="Times New Roman"/>
          <w:lang w:eastAsia="en-GB"/>
        </w:rPr>
        <w:t>Omogućavanje pristupa vozilima i biciklima s nultom i niskom emisijom;</w:t>
      </w:r>
    </w:p>
    <w:p w14:paraId="03C9CA2E" w14:textId="77777777" w:rsidR="007945E8" w:rsidRPr="007945E8" w:rsidRDefault="007945E8" w:rsidP="007945E8">
      <w:pPr>
        <w:pStyle w:val="ListParagraph"/>
        <w:numPr>
          <w:ilvl w:val="0"/>
          <w:numId w:val="173"/>
        </w:numPr>
        <w:autoSpaceDE w:val="0"/>
        <w:autoSpaceDN w:val="0"/>
        <w:adjustRightInd w:val="0"/>
        <w:spacing w:before="120" w:line="256" w:lineRule="auto"/>
        <w:contextualSpacing/>
        <w:rPr>
          <w:rFonts w:eastAsia="Calibri" w:cs="Times New Roman"/>
          <w:lang w:eastAsia="en-GB"/>
        </w:rPr>
      </w:pPr>
      <w:r w:rsidRPr="007945E8">
        <w:rPr>
          <w:rFonts w:eastAsia="Calibri" w:cs="Times New Roman"/>
          <w:lang w:eastAsia="en-GB"/>
        </w:rPr>
        <w:t>Razvoja infrastrukture za korištenje vozila i bicikala s nultom i niskom emisijom;</w:t>
      </w:r>
    </w:p>
    <w:p w14:paraId="0D7336FE" w14:textId="77777777" w:rsidR="003138B0" w:rsidRPr="00B51660" w:rsidRDefault="003138B0" w:rsidP="63259912">
      <w:pPr>
        <w:pStyle w:val="ListParagraph"/>
        <w:numPr>
          <w:ilvl w:val="0"/>
          <w:numId w:val="173"/>
        </w:numPr>
        <w:tabs>
          <w:tab w:val="clear" w:pos="431"/>
        </w:tabs>
        <w:autoSpaceDE w:val="0"/>
        <w:autoSpaceDN w:val="0"/>
        <w:adjustRightInd w:val="0"/>
        <w:spacing w:before="120" w:line="256" w:lineRule="auto"/>
        <w:contextualSpacing/>
        <w:rPr>
          <w:rFonts w:eastAsia="Calibri" w:cs="Times New Roman"/>
          <w:lang w:eastAsia="en-GB"/>
        </w:rPr>
      </w:pPr>
      <w:r w:rsidRPr="63259912">
        <w:rPr>
          <w:rFonts w:eastAsia="Calibri" w:cs="Times New Roman"/>
          <w:lang w:eastAsia="en-GB"/>
        </w:rPr>
        <w:t>Poticanje korištenja priuštivog i pristupačnog javnog prijevoza;</w:t>
      </w:r>
    </w:p>
    <w:p w14:paraId="4B2E724B" w14:textId="59993C1F" w:rsidR="001E18D8" w:rsidRPr="001E18D8" w:rsidRDefault="003138B0" w:rsidP="001E18D8">
      <w:pPr>
        <w:pStyle w:val="ListParagraph"/>
        <w:numPr>
          <w:ilvl w:val="0"/>
          <w:numId w:val="173"/>
        </w:numPr>
        <w:autoSpaceDE w:val="0"/>
        <w:autoSpaceDN w:val="0"/>
        <w:adjustRightInd w:val="0"/>
        <w:spacing w:before="120" w:line="256" w:lineRule="auto"/>
        <w:contextualSpacing/>
        <w:rPr>
          <w:rFonts w:eastAsia="Calibri"/>
        </w:rPr>
      </w:pPr>
      <w:r w:rsidRPr="00B51660">
        <w:rPr>
          <w:rFonts w:eastAsia="Calibri" w:cs="Times New Roman"/>
          <w:lang w:eastAsia="en-GB"/>
        </w:rPr>
        <w:t>Privremena i ograničena izravna potpora dohotku (do 35 % iznosa SCP)</w:t>
      </w:r>
      <w:r w:rsidR="001E18D8" w:rsidRPr="001E18D8">
        <w:rPr>
          <w:rFonts w:eastAsia="Calibri"/>
        </w:rPr>
        <w:t>Razvoj IT rješenja, što uključuje i poticanje razvoja mobilnih aplikacija, za poboljšanje pristupa prijevozu;</w:t>
      </w:r>
    </w:p>
    <w:p w14:paraId="4FE37373" w14:textId="7603BFEA" w:rsidR="001E18D8" w:rsidRPr="001E18D8" w:rsidRDefault="001E18D8" w:rsidP="63259912">
      <w:pPr>
        <w:pStyle w:val="ListParagraph"/>
        <w:numPr>
          <w:ilvl w:val="0"/>
          <w:numId w:val="173"/>
        </w:numPr>
        <w:autoSpaceDE w:val="0"/>
        <w:autoSpaceDN w:val="0"/>
        <w:adjustRightInd w:val="0"/>
        <w:spacing w:before="120" w:line="256" w:lineRule="auto"/>
        <w:contextualSpacing/>
        <w:rPr>
          <w:rFonts w:eastAsia="Calibri"/>
        </w:rPr>
      </w:pPr>
      <w:r w:rsidRPr="63259912">
        <w:rPr>
          <w:rFonts w:eastAsia="Calibri"/>
        </w:rPr>
        <w:t>Omogućavanje razvoja alternativnih sustava prijevoza, kao što su car shareing i car-pooling shema na regionalnim i lokalnim razinama</w:t>
      </w:r>
    </w:p>
    <w:p w14:paraId="63D0D233" w14:textId="77777777" w:rsidR="001E18D8" w:rsidRPr="001E18D8" w:rsidRDefault="001E18D8" w:rsidP="001E18D8">
      <w:pPr>
        <w:pStyle w:val="ListParagraph"/>
        <w:numPr>
          <w:ilvl w:val="0"/>
          <w:numId w:val="173"/>
        </w:numPr>
        <w:autoSpaceDE w:val="0"/>
        <w:autoSpaceDN w:val="0"/>
        <w:adjustRightInd w:val="0"/>
        <w:spacing w:before="120" w:line="256" w:lineRule="auto"/>
        <w:contextualSpacing/>
        <w:rPr>
          <w:rFonts w:eastAsia="Calibri"/>
        </w:rPr>
      </w:pPr>
      <w:r w:rsidRPr="001E18D8">
        <w:rPr>
          <w:rFonts w:eastAsia="Calibri"/>
        </w:rPr>
        <w:t xml:space="preserve">Dodjele izravne potpore dohotku ranjivim skupinama u svrhu lakšeg podmirenja povećanih troškova energije. </w:t>
      </w:r>
    </w:p>
    <w:p w14:paraId="56741402" w14:textId="77777777" w:rsidR="00C94AE2" w:rsidRPr="002761DC" w:rsidRDefault="00C94AE2" w:rsidP="00C94AE2">
      <w:pPr>
        <w:pStyle w:val="ListParagraph"/>
        <w:autoSpaceDE w:val="0"/>
        <w:autoSpaceDN w:val="0"/>
        <w:adjustRightInd w:val="0"/>
        <w:spacing w:before="120"/>
        <w:rPr>
          <w:rFonts w:ascii="Times New Roman" w:hAnsi="Times New Roman" w:cs="Times New Roman"/>
          <w:lang w:bidi="hr-HR"/>
        </w:rPr>
      </w:pPr>
    </w:p>
    <w:p w14:paraId="3E3062C6" w14:textId="77777777" w:rsidR="00C94AE2" w:rsidRPr="00EE67E0" w:rsidRDefault="00C94AE2" w:rsidP="00C94AE2">
      <w:pPr>
        <w:rPr>
          <w:rFonts w:eastAsia="Calibri"/>
          <w:b/>
          <w:bCs/>
        </w:rPr>
      </w:pPr>
      <w:r w:rsidRPr="00EE67E0">
        <w:rPr>
          <w:b/>
          <w:bCs/>
        </w:rPr>
        <w:t xml:space="preserve">Aktivnosti: </w:t>
      </w:r>
    </w:p>
    <w:p w14:paraId="6FDB4527" w14:textId="0208A2B8" w:rsidR="00772CBF" w:rsidRPr="00772CBF" w:rsidRDefault="00772CBF" w:rsidP="00772CBF">
      <w:pPr>
        <w:pStyle w:val="ListParagraph"/>
        <w:numPr>
          <w:ilvl w:val="0"/>
          <w:numId w:val="173"/>
        </w:numPr>
        <w:spacing w:after="60"/>
        <w:rPr>
          <w:rFonts w:eastAsia="Calibri"/>
        </w:rPr>
      </w:pPr>
      <w:r w:rsidRPr="00772CBF">
        <w:rPr>
          <w:rFonts w:eastAsia="Calibri"/>
        </w:rPr>
        <w:t>Izrada socijalnog plana za klimatsku politiku</w:t>
      </w:r>
      <w:r w:rsidR="00675E7F">
        <w:rPr>
          <w:rFonts w:eastAsia="Calibri"/>
        </w:rPr>
        <w:t>;</w:t>
      </w:r>
    </w:p>
    <w:p w14:paraId="49F8CCE6" w14:textId="07B5F5DF" w:rsidR="00772CBF" w:rsidRPr="00772CBF" w:rsidRDefault="00772CBF" w:rsidP="00772CBF">
      <w:pPr>
        <w:pStyle w:val="ListParagraph"/>
        <w:numPr>
          <w:ilvl w:val="0"/>
          <w:numId w:val="173"/>
        </w:numPr>
        <w:spacing w:after="60"/>
        <w:rPr>
          <w:rFonts w:eastAsia="Calibri"/>
        </w:rPr>
      </w:pPr>
      <w:r w:rsidRPr="00772CBF">
        <w:rPr>
          <w:rFonts w:eastAsia="Calibri"/>
        </w:rPr>
        <w:t>Izrada analiza i studija u svrhu dobivanja podloga za Socijalni plan za klimatsku politiku</w:t>
      </w:r>
      <w:r w:rsidR="00675E7F">
        <w:rPr>
          <w:rFonts w:eastAsia="Calibri"/>
        </w:rPr>
        <w:t>;</w:t>
      </w:r>
    </w:p>
    <w:p w14:paraId="68D96466" w14:textId="395C68DF" w:rsidR="00772CBF" w:rsidRPr="00772CBF" w:rsidRDefault="00772CBF" w:rsidP="00772CBF">
      <w:pPr>
        <w:pStyle w:val="ListParagraph"/>
        <w:numPr>
          <w:ilvl w:val="0"/>
          <w:numId w:val="173"/>
        </w:numPr>
        <w:spacing w:after="60"/>
        <w:rPr>
          <w:rFonts w:eastAsia="Calibri"/>
        </w:rPr>
      </w:pPr>
      <w:r w:rsidRPr="00772CBF">
        <w:rPr>
          <w:rFonts w:eastAsia="Calibri"/>
        </w:rPr>
        <w:t>Provedba javnog savjetovanja i uključivanje širokog kruga dionika u raspravu o izradi socijalnog plana za klimatsku politiku</w:t>
      </w:r>
      <w:r w:rsidR="00675E7F">
        <w:rPr>
          <w:rFonts w:eastAsia="Calibri"/>
        </w:rPr>
        <w:t>;</w:t>
      </w:r>
    </w:p>
    <w:p w14:paraId="76ED9CE1" w14:textId="12BC699F" w:rsidR="00772CBF" w:rsidRPr="00772CBF" w:rsidRDefault="00772CBF" w:rsidP="00772CBF">
      <w:pPr>
        <w:pStyle w:val="ListParagraph"/>
        <w:numPr>
          <w:ilvl w:val="0"/>
          <w:numId w:val="173"/>
        </w:numPr>
        <w:spacing w:after="60"/>
        <w:rPr>
          <w:rFonts w:eastAsia="Calibri"/>
        </w:rPr>
      </w:pPr>
      <w:r w:rsidRPr="00772CBF">
        <w:rPr>
          <w:rFonts w:eastAsia="Calibri"/>
        </w:rPr>
        <w:t>Suradnja s primarnim dionicima (potencijalnim korisnicima SCF) kako bi se osigurala održivost provedbe mjera</w:t>
      </w:r>
      <w:r w:rsidR="00675E7F">
        <w:rPr>
          <w:rFonts w:eastAsia="Calibri"/>
        </w:rPr>
        <w:t>;</w:t>
      </w:r>
    </w:p>
    <w:p w14:paraId="14A85F4C" w14:textId="0822DDDB" w:rsidR="00772CBF" w:rsidRPr="00772CBF" w:rsidRDefault="00772CBF" w:rsidP="00772CBF">
      <w:pPr>
        <w:pStyle w:val="ListParagraph"/>
        <w:numPr>
          <w:ilvl w:val="0"/>
          <w:numId w:val="173"/>
        </w:numPr>
        <w:spacing w:after="60"/>
        <w:rPr>
          <w:rFonts w:eastAsia="Calibri"/>
        </w:rPr>
      </w:pPr>
      <w:r w:rsidRPr="00772CBF">
        <w:rPr>
          <w:rFonts w:eastAsia="Calibri"/>
        </w:rPr>
        <w:t>Kreiranje paketa rješenja odnosno mjera i ulaganja koji su prilagođeni specifičnim potrebama određenih područja RH</w:t>
      </w:r>
      <w:r w:rsidR="00675E7F">
        <w:rPr>
          <w:rFonts w:eastAsia="Calibri"/>
        </w:rPr>
        <w:t>;</w:t>
      </w:r>
    </w:p>
    <w:p w14:paraId="1A5CAE52" w14:textId="4E540DFB" w:rsidR="00772CBF" w:rsidRPr="00772CBF" w:rsidRDefault="00772CBF" w:rsidP="00772CBF">
      <w:pPr>
        <w:pStyle w:val="ListParagraph"/>
        <w:numPr>
          <w:ilvl w:val="0"/>
          <w:numId w:val="173"/>
        </w:numPr>
        <w:spacing w:after="60"/>
        <w:rPr>
          <w:rFonts w:eastAsia="Calibri"/>
        </w:rPr>
      </w:pPr>
      <w:r w:rsidRPr="00772CBF">
        <w:rPr>
          <w:rFonts w:eastAsia="Calibri"/>
        </w:rPr>
        <w:t>Prilagodba nacionalnog zakonodavstva s ciljem osiguranja daljnjih provedbi ovakvih mjera, a s konačnim ciljem oslobađanja ranjivih skupina od energetskog siromaštva</w:t>
      </w:r>
      <w:r w:rsidR="00675E7F">
        <w:rPr>
          <w:rFonts w:eastAsia="Calibri"/>
        </w:rPr>
        <w:t>;</w:t>
      </w:r>
    </w:p>
    <w:p w14:paraId="5164CC63" w14:textId="488F7138" w:rsidR="00772CBF" w:rsidRDefault="00BB0B01" w:rsidP="00772CBF">
      <w:pPr>
        <w:pStyle w:val="ListParagraph"/>
        <w:numPr>
          <w:ilvl w:val="0"/>
          <w:numId w:val="173"/>
        </w:numPr>
        <w:spacing w:after="60"/>
        <w:rPr>
          <w:rFonts w:eastAsia="Calibri"/>
        </w:rPr>
      </w:pPr>
      <w:r>
        <w:rPr>
          <w:rFonts w:eastAsia="Calibri"/>
        </w:rPr>
        <w:t>O</w:t>
      </w:r>
      <w:r w:rsidR="00772CBF" w:rsidRPr="00772CBF">
        <w:rPr>
          <w:rFonts w:eastAsia="Calibri"/>
        </w:rPr>
        <w:t>perativni poslovi na pripremi i provedbi poziva i natječaja iz SCF</w:t>
      </w:r>
      <w:r w:rsidR="00675E7F">
        <w:rPr>
          <w:rFonts w:eastAsia="Calibri"/>
        </w:rPr>
        <w:t>;</w:t>
      </w:r>
    </w:p>
    <w:p w14:paraId="614A1BCC" w14:textId="09FBED4F" w:rsidR="00C94AE2" w:rsidRPr="006D3DB4" w:rsidRDefault="00C94AE2" w:rsidP="006D3DB4">
      <w:pPr>
        <w:pStyle w:val="ListParagraph"/>
        <w:numPr>
          <w:ilvl w:val="0"/>
          <w:numId w:val="173"/>
        </w:numPr>
        <w:spacing w:after="60"/>
        <w:rPr>
          <w:rFonts w:eastAsia="Calibri"/>
        </w:rPr>
      </w:pPr>
      <w:r w:rsidRPr="006D3DB4">
        <w:rPr>
          <w:rFonts w:eastAsia="Calibri"/>
        </w:rPr>
        <w:t>Izrada i raspisivanje poziva</w:t>
      </w:r>
      <w:r w:rsidR="00675E7F">
        <w:rPr>
          <w:rFonts w:eastAsia="Calibri"/>
        </w:rPr>
        <w:t>.</w:t>
      </w:r>
    </w:p>
    <w:p w14:paraId="73194117" w14:textId="7E609513" w:rsidR="00C94AE2" w:rsidRPr="008721A0" w:rsidRDefault="00C94AE2" w:rsidP="00C94AE2">
      <w:r w:rsidRPr="63259912">
        <w:rPr>
          <w:b/>
          <w:bCs/>
        </w:rPr>
        <w:lastRenderedPageBreak/>
        <w:t>Sredstva potrebna za provedbu:</w:t>
      </w:r>
      <w:r w:rsidRPr="63259912">
        <w:t xml:space="preserve"> 1,68 mlrd EUR</w:t>
      </w:r>
    </w:p>
    <w:p w14:paraId="2AE30359" w14:textId="5A43EB92" w:rsidR="00C94AE2" w:rsidRPr="00993F94" w:rsidRDefault="00C94AE2" w:rsidP="00C94AE2">
      <w:r w:rsidRPr="008721A0">
        <w:rPr>
          <w:b/>
        </w:rPr>
        <w:t xml:space="preserve">Izvori financiranja: </w:t>
      </w:r>
      <w:r>
        <w:t>Socijalni fond za klimatsku politiku, prihodi od prodaje emisijskih jedinica iz EU ETS2 sustava</w:t>
      </w:r>
      <w:r w:rsidR="006D3DB4">
        <w:t>.</w:t>
      </w:r>
    </w:p>
    <w:p w14:paraId="620427B3" w14:textId="54AF98A4" w:rsidR="00C94AE2" w:rsidRPr="00993F94" w:rsidRDefault="00C94AE2" w:rsidP="00C94AE2">
      <w:r w:rsidRPr="00EE67E0">
        <w:rPr>
          <w:b/>
          <w:bCs/>
        </w:rPr>
        <w:t>Izvršno tijelo:</w:t>
      </w:r>
      <w:r w:rsidRPr="00993F94">
        <w:t xml:space="preserve"> </w:t>
      </w:r>
      <w:r w:rsidR="00EF0900">
        <w:t>FZOEU,</w:t>
      </w:r>
      <w:r w:rsidRPr="00993F94">
        <w:t xml:space="preserve"> </w:t>
      </w:r>
      <w:r w:rsidR="00CC1A2B">
        <w:t xml:space="preserve">Ministarstvo </w:t>
      </w:r>
      <w:r>
        <w:t>zaštit</w:t>
      </w:r>
      <w:r w:rsidR="00CC1A2B">
        <w:t>e</w:t>
      </w:r>
      <w:r>
        <w:t xml:space="preserve"> okoliša </w:t>
      </w:r>
      <w:r w:rsidR="00CC1A2B">
        <w:t xml:space="preserve">i zelene tranzicije </w:t>
      </w:r>
      <w:r>
        <w:t xml:space="preserve">u suradnji s </w:t>
      </w:r>
      <w:r w:rsidR="00DC41E5">
        <w:t>Ministarstvom gospodarstva</w:t>
      </w:r>
      <w:r>
        <w:t xml:space="preserve">, </w:t>
      </w:r>
      <w:r w:rsidR="00DC41E5">
        <w:t xml:space="preserve">Ministarstvom </w:t>
      </w:r>
      <w:r>
        <w:t>financij</w:t>
      </w:r>
      <w:r w:rsidR="00DC41E5">
        <w:t>a</w:t>
      </w:r>
      <w:r>
        <w:t xml:space="preserve">, </w:t>
      </w:r>
      <w:r w:rsidR="00E72A54">
        <w:t>Ministarstvom prostornog uređenja, graditeljstva i državne imovine</w:t>
      </w:r>
      <w:r>
        <w:t xml:space="preserve">, </w:t>
      </w:r>
      <w:r w:rsidR="00C26DB1">
        <w:t xml:space="preserve">Ministarstvom </w:t>
      </w:r>
      <w:r w:rsidR="00E721BF">
        <w:t xml:space="preserve">mora, prometa i infrastrukture </w:t>
      </w:r>
      <w:r w:rsidR="009C3A33">
        <w:t>i Ministarstvom rada, mirovinskog sustava, obitelji i socijalne politike</w:t>
      </w:r>
      <w:r w:rsidR="006D3DB4">
        <w:t>.</w:t>
      </w:r>
    </w:p>
    <w:p w14:paraId="34078E48" w14:textId="66A45032" w:rsidR="009C575A" w:rsidRDefault="00C94AE2" w:rsidP="00C94AE2">
      <w:r w:rsidRPr="00EE67E0">
        <w:rPr>
          <w:b/>
          <w:bCs/>
        </w:rPr>
        <w:t>Tijela za praćenje:</w:t>
      </w:r>
      <w:r w:rsidRPr="00993F94">
        <w:t xml:space="preserve"> </w:t>
      </w:r>
      <w:r w:rsidR="00C927DC">
        <w:t>Ministarstvo zaštite okoliša i zelene tranzicije u suradnji s Ministarstvom gospodarstva, Ministarstvom financija, Ministarstvom prostornog uređenja, graditeljstva i državne imovine, Ministarstvom mora, prometa i infrastrukture i Ministarstvom rada, mirovinskog sustava, obitelji i socijalne politike</w:t>
      </w:r>
      <w:r w:rsidR="006D3DB4">
        <w:t>.</w:t>
      </w:r>
    </w:p>
    <w:p w14:paraId="5473EAF9" w14:textId="6AD29007" w:rsidR="00C94AE2" w:rsidRPr="00993F94" w:rsidRDefault="00C94AE2" w:rsidP="00C94AE2">
      <w:r w:rsidRPr="1C9333AB">
        <w:rPr>
          <w:b/>
          <w:bCs/>
        </w:rPr>
        <w:t xml:space="preserve">Učinak: </w:t>
      </w:r>
      <w:r w:rsidR="007E3E31">
        <w:t>S</w:t>
      </w:r>
      <w:r w:rsidRPr="00B51660">
        <w:t>manjen</w:t>
      </w:r>
      <w:r>
        <w:t>je</w:t>
      </w:r>
      <w:r w:rsidRPr="00B51660">
        <w:t xml:space="preserve"> energetskog siromaštva i siromaštva u pogledu mobilnosti</w:t>
      </w:r>
      <w:r w:rsidR="00EE262E">
        <w:t>;</w:t>
      </w:r>
      <w:r>
        <w:t xml:space="preserve"> smanjenje rizika od energetskog siromaštva i siromaštva u pogledu mobilnosti</w:t>
      </w:r>
      <w:r w:rsidR="00DF702C">
        <w:t xml:space="preserve">; </w:t>
      </w:r>
      <w:r w:rsidR="00DF702C" w:rsidRPr="00DF702C">
        <w:t>smanjenje emisija stakleničkih plinova u sektoru zgradarstva i cestovnog prometa</w:t>
      </w:r>
      <w:r w:rsidR="00675E7F">
        <w:t>.</w:t>
      </w:r>
    </w:p>
    <w:p w14:paraId="7E0A3057" w14:textId="72FB1438" w:rsidR="00C94AE2" w:rsidRPr="00993F94" w:rsidRDefault="00C94AE2" w:rsidP="00C94AE2">
      <w:r w:rsidRPr="00993F94">
        <w:rPr>
          <w:b/>
        </w:rPr>
        <w:t>Metoda praćenja:</w:t>
      </w:r>
      <w:r w:rsidRPr="00993F94">
        <w:t xml:space="preserve"> </w:t>
      </w:r>
      <w:r>
        <w:t xml:space="preserve">Izvješće o provedbi </w:t>
      </w:r>
      <w:r w:rsidRPr="00BD0473">
        <w:t>Socijalnog plana za klimatsku politiku</w:t>
      </w:r>
      <w:r w:rsidR="006D3DB4">
        <w:t>.</w:t>
      </w:r>
    </w:p>
    <w:p w14:paraId="1A13C6A5" w14:textId="6B7259B6" w:rsidR="00C94AE2" w:rsidRPr="00993F94" w:rsidRDefault="00C94AE2" w:rsidP="63259912">
      <w:pPr>
        <w:rPr>
          <w:b/>
          <w:bCs/>
        </w:rPr>
      </w:pPr>
      <w:r w:rsidRPr="63259912">
        <w:rPr>
          <w:b/>
          <w:bCs/>
        </w:rPr>
        <w:t>Pokazatelj provedbe mjere (indikator):</w:t>
      </w:r>
      <w:r w:rsidRPr="63259912">
        <w:t xml:space="preserve"> </w:t>
      </w:r>
      <w:r w:rsidR="007E3E31" w:rsidRPr="63259912">
        <w:t>O</w:t>
      </w:r>
      <w:r w:rsidRPr="63259912">
        <w:t xml:space="preserve">dobren Socijalni plan za klimatsku politiku, broj kućanstava na kojima je provedena mjera, broj </w:t>
      </w:r>
      <w:r w:rsidR="00B445C6" w:rsidRPr="63259912">
        <w:t xml:space="preserve">ranjivih </w:t>
      </w:r>
      <w:r w:rsidRPr="63259912">
        <w:t xml:space="preserve">kućanstava i </w:t>
      </w:r>
      <w:r w:rsidR="00B445C6" w:rsidRPr="63259912">
        <w:t>osoba</w:t>
      </w:r>
      <w:r w:rsidRPr="63259912">
        <w:t xml:space="preserve"> pogođenih siromaštvom u pogledu mobilnosti, broj zgrada na kojima je provedena temeljita obnova, broj zgrada na kojima su provedene druge energetske obnove, broj  zamijenjenih jedinica postrojenja za grijanje na fosilna goriva, broj u MW ili jedinicama ugrađenih dodatnih operativnih kapaciteta za energiju iz obnovljivih izvora, broj </w:t>
      </w:r>
      <w:r w:rsidR="00B445C6" w:rsidRPr="63259912">
        <w:t>zamijenjenih velikih kućanskih uređaja najviše energetske klase,</w:t>
      </w:r>
      <w:r w:rsidRPr="63259912">
        <w:t xml:space="preserve"> broj kupljenih vozila s nultim ili niskim emisijama, broj kupljenih bicikala i </w:t>
      </w:r>
      <w:r w:rsidR="00B445C6" w:rsidRPr="63259912">
        <w:t xml:space="preserve">drugih </w:t>
      </w:r>
      <w:r w:rsidRPr="63259912">
        <w:t>vozila za elektromobilnost, broj izgrađenih mjesta za opskrbu i punjenje na alternativna goriva, broj korisnika karata za javni prijevoz s popustom ili besplatnih karata za javni prijevoz, broj korisnika dodatnih rješenja za dijeljenu mobilnost ili mobilnost na zahtjev, broj km izgrađene biciklističke infrastrukture</w:t>
      </w:r>
      <w:r w:rsidR="00B87D05" w:rsidRPr="63259912">
        <w:t>, broj korisnika primatelja izravne potpore dohotku</w:t>
      </w:r>
      <w:r w:rsidR="007E3E31" w:rsidRPr="63259912">
        <w:t>.</w:t>
      </w:r>
    </w:p>
    <w:p w14:paraId="03B8640A" w14:textId="302A41CD" w:rsidR="00C94AE2" w:rsidRPr="00B47BDA" w:rsidRDefault="00C94AE2" w:rsidP="63259912">
      <w:pPr>
        <w:rPr>
          <w:rFonts w:eastAsia="Calibri"/>
        </w:rPr>
      </w:pPr>
      <w:r w:rsidRPr="63259912">
        <w:rPr>
          <w:b/>
          <w:bCs/>
        </w:rPr>
        <w:t xml:space="preserve">Povezanost s drugim dimenzijama: </w:t>
      </w:r>
      <w:r w:rsidR="004F0E6B" w:rsidRPr="63259912">
        <w:t>D</w:t>
      </w:r>
      <w:r w:rsidRPr="63259912">
        <w:t>ekarbonizacija – emisije; dekarbonizacija – OIE; energetska učinkovitost; OIE u prometu; alternativna goriva i infrastruktura za alternativna goriva.</w:t>
      </w:r>
    </w:p>
    <w:p w14:paraId="53E27AAB" w14:textId="602B1D54" w:rsidR="00C94AE2" w:rsidRPr="00B47BDA" w:rsidRDefault="00C94AE2" w:rsidP="00C94AE2">
      <w:pPr>
        <w:rPr>
          <w:rFonts w:eastAsia="Calibri"/>
          <w:b/>
        </w:rPr>
      </w:pPr>
      <w:r w:rsidRPr="00993F94">
        <w:rPr>
          <w:rFonts w:eastAsia="Calibri"/>
          <w:b/>
        </w:rPr>
        <w:t xml:space="preserve">Istraživanje i razvoj: </w:t>
      </w:r>
      <w:r w:rsidR="004F0E6B">
        <w:t>E</w:t>
      </w:r>
      <w:r w:rsidRPr="00B47BDA">
        <w:t>nergetska učinkovitost u zgradarstvu; energetska učinkovitost u grijanju i hlađenju; pametni gradovi i zajednice</w:t>
      </w:r>
      <w:r>
        <w:t xml:space="preserve">; </w:t>
      </w:r>
      <w:r w:rsidRPr="0003486E">
        <w:t>razvoj tržišta rabljenih električnih vozila</w:t>
      </w:r>
      <w:r>
        <w:t xml:space="preserve">; </w:t>
      </w:r>
      <w:r w:rsidRPr="004E0025">
        <w:t>prelazak s privatnog na javni prijevoz, dijeljenje automobila i biciklizam</w:t>
      </w:r>
      <w:r>
        <w:t>.</w:t>
      </w:r>
    </w:p>
    <w:p w14:paraId="4E701377" w14:textId="32A114D1" w:rsidR="00E5579A" w:rsidRPr="00E5579A" w:rsidRDefault="00E5579A" w:rsidP="00E5579A">
      <w:pPr>
        <w:spacing w:before="360"/>
        <w:rPr>
          <w:b/>
          <w:bCs/>
          <w:color w:val="C00000"/>
        </w:rPr>
      </w:pPr>
      <w:r w:rsidRPr="00E5579A">
        <w:rPr>
          <w:b/>
          <w:bCs/>
          <w:color w:val="C00000"/>
        </w:rPr>
        <w:t>MS-16 – Planiranje zelenog proračuna</w:t>
      </w:r>
    </w:p>
    <w:p w14:paraId="25FF99A7" w14:textId="708DD144" w:rsidR="009833D5" w:rsidRPr="00BE7897" w:rsidRDefault="009833D5" w:rsidP="009833D5">
      <w:pPr>
        <w:pStyle w:val="Mjeranaslov"/>
        <w:rPr>
          <w:b w:val="0"/>
          <w:bCs w:val="0"/>
          <w:color w:val="auto"/>
          <w:lang w:eastAsia="hr-HR"/>
        </w:rPr>
      </w:pPr>
      <w:r>
        <w:rPr>
          <w:b w:val="0"/>
          <w:bCs w:val="0"/>
          <w:color w:val="auto"/>
          <w:lang w:eastAsia="hr-HR"/>
        </w:rPr>
        <w:t>Financijska</w:t>
      </w:r>
      <w:r w:rsidRPr="00BE7897">
        <w:rPr>
          <w:b w:val="0"/>
          <w:bCs w:val="0"/>
          <w:color w:val="auto"/>
          <w:lang w:eastAsia="hr-HR"/>
        </w:rPr>
        <w:t>, okolišna i regulatorna mjera, provedba 202</w:t>
      </w:r>
      <w:r>
        <w:rPr>
          <w:b w:val="0"/>
          <w:bCs w:val="0"/>
          <w:color w:val="auto"/>
          <w:lang w:eastAsia="hr-HR"/>
        </w:rPr>
        <w:t>3</w:t>
      </w:r>
      <w:r w:rsidRPr="00BE7897">
        <w:rPr>
          <w:b w:val="0"/>
          <w:bCs w:val="0"/>
          <w:color w:val="auto"/>
          <w:lang w:eastAsia="hr-HR"/>
        </w:rPr>
        <w:t>.-2030.</w:t>
      </w:r>
    </w:p>
    <w:p w14:paraId="0420E31F" w14:textId="66F37C97" w:rsidR="00E5579A" w:rsidRPr="00E5579A" w:rsidRDefault="00E5579A" w:rsidP="00E5579A">
      <w:r w:rsidRPr="00E5579A">
        <w:rPr>
          <w:b/>
          <w:bCs/>
        </w:rPr>
        <w:t>Cilj i opis mjere</w:t>
      </w:r>
      <w:r w:rsidRPr="00E5579A">
        <w:t xml:space="preserve">: Cilj mjere je izrada institucionalnog okvira za provedbu zelenog državnog proračuna. Zeleni proračun pomaže u postizanju ciljeva zaštite okoliša te se sastoji od mjera i pravila fiskalne politike za sprječavanje ekoloških problema i poboljšanje postojećih šteta. Zeleni proračun podrazumijeva korištenje alata proračunskog planiranja za postizanje klimatskih i ekoloških ciljeva. </w:t>
      </w:r>
    </w:p>
    <w:p w14:paraId="7CB5C5C5" w14:textId="77777777" w:rsidR="00E5579A" w:rsidRPr="00E5579A" w:rsidRDefault="00E5579A" w:rsidP="00E5579A">
      <w:r w:rsidRPr="00E5579A">
        <w:rPr>
          <w:b/>
          <w:bCs/>
        </w:rPr>
        <w:lastRenderedPageBreak/>
        <w:t>Aktivnosti:</w:t>
      </w:r>
      <w:r w:rsidRPr="00E5579A">
        <w:t xml:space="preserve"> U okviru mjere provest će se sljedeće aktivnosti: </w:t>
      </w:r>
    </w:p>
    <w:p w14:paraId="64710888" w14:textId="73C365F4" w:rsidR="00E5579A" w:rsidRPr="00E5579A" w:rsidRDefault="00E5579A" w:rsidP="00E5579A">
      <w:pPr>
        <w:numPr>
          <w:ilvl w:val="0"/>
          <w:numId w:val="51"/>
        </w:numPr>
        <w:tabs>
          <w:tab w:val="left" w:pos="431"/>
        </w:tabs>
        <w:spacing w:after="60"/>
        <w:ind w:left="714" w:hanging="357"/>
        <w:contextualSpacing/>
      </w:pPr>
      <w:r w:rsidRPr="00E5579A">
        <w:t>Uspostava institucionalnog okvira</w:t>
      </w:r>
      <w:r w:rsidR="00675E7F">
        <w:t>;</w:t>
      </w:r>
    </w:p>
    <w:p w14:paraId="5F612DE2" w14:textId="289D18CA" w:rsidR="00E5579A" w:rsidRPr="00E5579A" w:rsidRDefault="00E5579A" w:rsidP="00E5579A">
      <w:pPr>
        <w:numPr>
          <w:ilvl w:val="0"/>
          <w:numId w:val="51"/>
        </w:numPr>
        <w:tabs>
          <w:tab w:val="left" w:pos="431"/>
        </w:tabs>
        <w:spacing w:after="60"/>
        <w:ind w:left="714" w:hanging="357"/>
        <w:contextualSpacing/>
      </w:pPr>
      <w:r w:rsidRPr="00E5579A">
        <w:t>Usvajanje metodologije</w:t>
      </w:r>
      <w:r w:rsidR="00675E7F">
        <w:t>;</w:t>
      </w:r>
    </w:p>
    <w:p w14:paraId="2E2A2732" w14:textId="5A0A2CB9" w:rsidR="00E5579A" w:rsidRPr="00E5579A" w:rsidRDefault="00E5579A" w:rsidP="00E5579A">
      <w:pPr>
        <w:numPr>
          <w:ilvl w:val="0"/>
          <w:numId w:val="51"/>
        </w:numPr>
        <w:tabs>
          <w:tab w:val="left" w:pos="431"/>
        </w:tabs>
        <w:spacing w:after="60"/>
        <w:ind w:left="714" w:hanging="357"/>
        <w:contextualSpacing/>
      </w:pPr>
      <w:r w:rsidRPr="63259912">
        <w:t xml:space="preserve">Osnivanje međusektorske radne skupine za rad na </w:t>
      </w:r>
      <w:r w:rsidRPr="63259912">
        <w:rPr>
          <w:i/>
          <w:iCs/>
        </w:rPr>
        <w:t>taggiranju</w:t>
      </w:r>
      <w:r w:rsidRPr="63259912">
        <w:t xml:space="preserve"> funkcijske klasifikacije aktivnosti proračuna</w:t>
      </w:r>
      <w:r w:rsidR="00675E7F" w:rsidRPr="63259912">
        <w:t>;</w:t>
      </w:r>
      <w:r w:rsidRPr="63259912">
        <w:t xml:space="preserve"> </w:t>
      </w:r>
    </w:p>
    <w:p w14:paraId="222E78D1" w14:textId="261163D4" w:rsidR="00E5579A" w:rsidRPr="00E5579A" w:rsidRDefault="00E5579A" w:rsidP="00E5579A">
      <w:pPr>
        <w:numPr>
          <w:ilvl w:val="0"/>
          <w:numId w:val="51"/>
        </w:numPr>
        <w:tabs>
          <w:tab w:val="left" w:pos="431"/>
        </w:tabs>
        <w:spacing w:after="60"/>
        <w:ind w:left="714" w:hanging="357"/>
        <w:contextualSpacing/>
      </w:pPr>
      <w:r w:rsidRPr="00E5579A">
        <w:t>Razvoj alata i metodologija za procjenu učinaka</w:t>
      </w:r>
      <w:r w:rsidR="00675E7F">
        <w:t>.</w:t>
      </w:r>
    </w:p>
    <w:p w14:paraId="6BDDA09F" w14:textId="77777777" w:rsidR="00E5579A" w:rsidRPr="00E5579A" w:rsidRDefault="00E5579A" w:rsidP="00E5579A">
      <w:pPr>
        <w:tabs>
          <w:tab w:val="left" w:pos="431"/>
        </w:tabs>
        <w:spacing w:after="60"/>
        <w:ind w:left="708"/>
        <w:rPr>
          <w:b/>
          <w:bCs/>
        </w:rPr>
      </w:pPr>
    </w:p>
    <w:p w14:paraId="3067E488" w14:textId="77777777" w:rsidR="00E5579A" w:rsidRPr="00E5579A" w:rsidRDefault="00E5579A" w:rsidP="00E5579A">
      <w:pPr>
        <w:tabs>
          <w:tab w:val="left" w:pos="431"/>
        </w:tabs>
        <w:spacing w:after="60"/>
      </w:pPr>
      <w:r w:rsidRPr="00E5579A">
        <w:rPr>
          <w:b/>
          <w:bCs/>
        </w:rPr>
        <w:t>Izvori financiranja:</w:t>
      </w:r>
      <w:r w:rsidRPr="00E5579A">
        <w:t xml:space="preserve"> Državni proračun</w:t>
      </w:r>
    </w:p>
    <w:p w14:paraId="1CB6F71F" w14:textId="292E82D4" w:rsidR="00E5579A" w:rsidRPr="00E5579A" w:rsidRDefault="00E5579A" w:rsidP="00E5579A">
      <w:r w:rsidRPr="00E5579A">
        <w:rPr>
          <w:b/>
          <w:bCs/>
        </w:rPr>
        <w:t>Izvršno tijelo</w:t>
      </w:r>
      <w:r w:rsidRPr="00E5579A">
        <w:t xml:space="preserve">: </w:t>
      </w:r>
      <w:r w:rsidR="00FD6FB3">
        <w:t>Ministarstvo financija (</w:t>
      </w:r>
      <w:r w:rsidRPr="00E5579A">
        <w:t>MFIN</w:t>
      </w:r>
      <w:r w:rsidR="00FD6FB3">
        <w:t>)</w:t>
      </w:r>
    </w:p>
    <w:p w14:paraId="32331F34" w14:textId="02E87F8F" w:rsidR="00E5579A" w:rsidRPr="00E5579A" w:rsidRDefault="00E5579A" w:rsidP="00E5579A">
      <w:r w:rsidRPr="00E5579A">
        <w:rPr>
          <w:b/>
          <w:bCs/>
        </w:rPr>
        <w:t>Tijela za praćenje:</w:t>
      </w:r>
      <w:r w:rsidRPr="00E5579A">
        <w:t xml:space="preserve"> MFIN, drugi relevantni TDU-ovi</w:t>
      </w:r>
      <w:r w:rsidR="00675E7F">
        <w:t>.</w:t>
      </w:r>
    </w:p>
    <w:p w14:paraId="6E40D78B" w14:textId="68D89C5D" w:rsidR="00E5579A" w:rsidRPr="00E5579A" w:rsidRDefault="00E5579A" w:rsidP="00E5579A">
      <w:r w:rsidRPr="00E5579A">
        <w:rPr>
          <w:b/>
          <w:bCs/>
        </w:rPr>
        <w:t>Učinak:</w:t>
      </w:r>
      <w:r w:rsidRPr="00E5579A">
        <w:t xml:space="preserve"> Provedba zelenog proračuna i izračun učinaka sredstava državnog proračuna na okoliš i klimatske ciljeve</w:t>
      </w:r>
      <w:r w:rsidR="00675E7F">
        <w:t>.</w:t>
      </w:r>
    </w:p>
    <w:p w14:paraId="51FB3577" w14:textId="4572308F" w:rsidR="00E5579A" w:rsidRPr="00E5579A" w:rsidRDefault="00E5579A" w:rsidP="00E5579A">
      <w:r w:rsidRPr="00E5579A">
        <w:rPr>
          <w:b/>
          <w:bCs/>
        </w:rPr>
        <w:t>Povezanost s drugim dimenzijama:</w:t>
      </w:r>
      <w:r w:rsidRPr="00E5579A">
        <w:t xml:space="preserve"> </w:t>
      </w:r>
      <w:r w:rsidR="00DD601D">
        <w:t>A</w:t>
      </w:r>
      <w:r w:rsidRPr="00E5579A">
        <w:t>ktivnost je povezana sa svim dimenzijama</w:t>
      </w:r>
      <w:r w:rsidR="00DD601D">
        <w:t>.</w:t>
      </w:r>
    </w:p>
    <w:p w14:paraId="6244D771" w14:textId="48BDAB5A" w:rsidR="00E5579A" w:rsidRPr="00E5579A" w:rsidRDefault="00E5579A" w:rsidP="00E5579A">
      <w:r w:rsidRPr="63259912">
        <w:rPr>
          <w:b/>
          <w:bCs/>
        </w:rPr>
        <w:t>Istraživanje i razvoj:</w:t>
      </w:r>
      <w:r w:rsidRPr="63259912">
        <w:t xml:space="preserve"> Potiče se primjena inovativnih mjera vezanih za metodologiju taggiranja aktivnosti proračuna, kao i praćenje učinaka</w:t>
      </w:r>
      <w:r w:rsidR="00DD601D" w:rsidRPr="63259912">
        <w:t>.</w:t>
      </w:r>
    </w:p>
    <w:p w14:paraId="613CFD34" w14:textId="77777777" w:rsidR="00C94AE2" w:rsidRPr="00B47BDA" w:rsidRDefault="00C94AE2" w:rsidP="004623DD">
      <w:pPr>
        <w:rPr>
          <w:highlight w:val="yellow"/>
        </w:rPr>
      </w:pPr>
    </w:p>
    <w:p w14:paraId="2F5151AD" w14:textId="05C623C1" w:rsidR="00BB65F8" w:rsidRPr="00B47BDA" w:rsidRDefault="008459C5" w:rsidP="003E0550">
      <w:pPr>
        <w:shd w:val="clear" w:color="auto" w:fill="DEEAF6" w:themeFill="accent1" w:themeFillTint="33"/>
        <w:rPr>
          <w:lang w:eastAsia="hr-HR"/>
        </w:rPr>
      </w:pPr>
      <w:r w:rsidRPr="00B47BDA">
        <w:rPr>
          <w:lang w:eastAsia="hr-HR"/>
        </w:rPr>
        <w:t xml:space="preserve">U nastavku su prikazane mjere vezane za </w:t>
      </w:r>
      <w:r w:rsidRPr="00B47BDA">
        <w:rPr>
          <w:b/>
          <w:lang w:eastAsia="hr-HR"/>
        </w:rPr>
        <w:t>industrijske procese i upotrebu proizvoda</w:t>
      </w:r>
      <w:r w:rsidRPr="00B47BDA">
        <w:rPr>
          <w:lang w:eastAsia="hr-HR"/>
        </w:rPr>
        <w:t xml:space="preserve">. </w:t>
      </w:r>
    </w:p>
    <w:p w14:paraId="4B3B3B0B" w14:textId="77777777" w:rsidR="00750343" w:rsidRPr="00B47BDA" w:rsidRDefault="00750343" w:rsidP="63259912">
      <w:pPr>
        <w:pStyle w:val="Mjeranaslov"/>
        <w:rPr>
          <w:lang w:eastAsia="hr-HR"/>
        </w:rPr>
      </w:pPr>
      <w:r w:rsidRPr="63259912">
        <w:rPr>
          <w:lang w:eastAsia="hr-HR"/>
        </w:rPr>
        <w:t>IP-1 Smanjenje udjela klinkera u proizvodnji cementa</w:t>
      </w:r>
    </w:p>
    <w:p w14:paraId="3A54E89E" w14:textId="77777777" w:rsidR="00750343" w:rsidRPr="00B47BDA" w:rsidRDefault="00750343" w:rsidP="00750343">
      <w:pPr>
        <w:rPr>
          <w:u w:val="single"/>
          <w:lang w:eastAsia="hr-HR"/>
        </w:rPr>
      </w:pPr>
      <w:r w:rsidRPr="00B47BDA">
        <w:rPr>
          <w:lang w:eastAsia="hr-HR"/>
        </w:rPr>
        <w:t>Ekonomska i okolišna mjera; provedba: 2025. - 2030. (2050.)</w:t>
      </w:r>
    </w:p>
    <w:p w14:paraId="666CDB26" w14:textId="77777777" w:rsidR="00750343" w:rsidRPr="00B47BDA" w:rsidRDefault="00750343" w:rsidP="63259912">
      <w:pPr>
        <w:rPr>
          <w:lang w:eastAsia="hr-HR"/>
        </w:rPr>
      </w:pPr>
      <w:r w:rsidRPr="63259912">
        <w:rPr>
          <w:b/>
          <w:bCs/>
          <w:lang w:eastAsia="hr-HR"/>
        </w:rPr>
        <w:t>Cilj i opis mjere:</w:t>
      </w:r>
      <w:r w:rsidRPr="63259912">
        <w:rPr>
          <w:lang w:eastAsia="hr-HR"/>
        </w:rPr>
        <w:t xml:space="preserve"> Od ukupne direktne emisije ugljikovog dioksida (CO</w:t>
      </w:r>
      <w:r w:rsidRPr="63259912">
        <w:rPr>
          <w:vertAlign w:val="subscript"/>
          <w:lang w:eastAsia="hr-HR"/>
        </w:rPr>
        <w:t>2</w:t>
      </w:r>
      <w:r w:rsidRPr="63259912">
        <w:rPr>
          <w:lang w:eastAsia="hr-HR"/>
        </w:rPr>
        <w:t>) iz proizvodnje cementa, oko 60 posto se odnosi na proces proizvodnje klinkera, a ostalih 40 posto čine emisije uslijed izgaranja goriva u rotacijskoj peći i za druge potrebe u procesu proizvodnje cementa. Smanjenjem udjela klinkera, odnosno povećanjem udjela mineralnih dodataka u proizvodnji cementa, smanjuje se potrebna količina proizvedenog klinkera, što doprinosi smanjenju ukupne emisije CO</w:t>
      </w:r>
      <w:r w:rsidRPr="63259912">
        <w:rPr>
          <w:vertAlign w:val="subscript"/>
          <w:lang w:eastAsia="hr-HR"/>
        </w:rPr>
        <w:t>2</w:t>
      </w:r>
      <w:r w:rsidRPr="63259912">
        <w:rPr>
          <w:lang w:eastAsia="hr-HR"/>
        </w:rPr>
        <w:t xml:space="preserve"> u proizvodnji cementa. Udio klinkera u cementu definiran je normom HRN EN 197-1. Povećanje udjela mineralnih dodataka u cementu ovisno je o sastavu sirovine, raspoloživosti dodataka odgovarajućeg sastava na tržištu te o zahtjevima tržišta za pojedinim vrstama cementa s većim udjelom dodataka, a manjim udjelom klinkera.</w:t>
      </w:r>
    </w:p>
    <w:p w14:paraId="79203444" w14:textId="77777777" w:rsidR="00750343" w:rsidRPr="00B47BDA" w:rsidRDefault="00750343" w:rsidP="00750343">
      <w:pPr>
        <w:rPr>
          <w:lang w:eastAsia="hr-HR"/>
        </w:rPr>
      </w:pPr>
      <w:r w:rsidRPr="00B47BDA">
        <w:rPr>
          <w:b/>
          <w:lang w:eastAsia="hr-HR"/>
        </w:rPr>
        <w:t>Aktivnosti:</w:t>
      </w:r>
      <w:r w:rsidRPr="00B47BDA">
        <w:rPr>
          <w:lang w:eastAsia="hr-HR"/>
        </w:rPr>
        <w:t xml:space="preserve"> U okviru mjere provest će se: </w:t>
      </w:r>
    </w:p>
    <w:p w14:paraId="63821162" w14:textId="77777777" w:rsidR="00750343" w:rsidRPr="00B47BDA" w:rsidRDefault="00750343" w:rsidP="00750343">
      <w:pPr>
        <w:pStyle w:val="ListParagraph"/>
        <w:numPr>
          <w:ilvl w:val="0"/>
          <w:numId w:val="51"/>
        </w:numPr>
        <w:spacing w:after="60"/>
        <w:ind w:left="714" w:hanging="357"/>
      </w:pPr>
      <w:r w:rsidRPr="00B47BDA">
        <w:t>definiranje raspoloživosti sirovine i potrebnih mineralnih dodataka;</w:t>
      </w:r>
    </w:p>
    <w:p w14:paraId="0FE1C009" w14:textId="77777777" w:rsidR="00750343" w:rsidRPr="00B47BDA" w:rsidRDefault="00750343" w:rsidP="00750343">
      <w:pPr>
        <w:pStyle w:val="ListParagraph"/>
        <w:numPr>
          <w:ilvl w:val="0"/>
          <w:numId w:val="51"/>
        </w:numPr>
        <w:spacing w:after="60"/>
        <w:ind w:left="714" w:hanging="357"/>
      </w:pPr>
      <w:r w:rsidRPr="00B47BDA">
        <w:t>definiranje sastava osnovnih minerala;</w:t>
      </w:r>
    </w:p>
    <w:p w14:paraId="6290CE2B" w14:textId="77777777" w:rsidR="00750343" w:rsidRPr="00B47BDA" w:rsidRDefault="00750343" w:rsidP="00750343">
      <w:pPr>
        <w:pStyle w:val="ListParagraph"/>
        <w:numPr>
          <w:ilvl w:val="0"/>
          <w:numId w:val="51"/>
        </w:numPr>
        <w:spacing w:after="60"/>
        <w:ind w:left="714" w:hanging="357"/>
      </w:pPr>
      <w:r w:rsidRPr="63259912">
        <w:t>definiranje kvalitete proizvedenog klinkera;</w:t>
      </w:r>
    </w:p>
    <w:p w14:paraId="68422A99" w14:textId="77777777" w:rsidR="00750343" w:rsidRPr="00B47BDA" w:rsidRDefault="00750343" w:rsidP="00750343">
      <w:pPr>
        <w:pStyle w:val="ListParagraph"/>
        <w:numPr>
          <w:ilvl w:val="0"/>
          <w:numId w:val="51"/>
        </w:numPr>
        <w:spacing w:after="60"/>
        <w:ind w:left="714" w:hanging="357"/>
      </w:pPr>
      <w:r w:rsidRPr="00B47BDA">
        <w:t>definiranje cijene mineralnih dodataka;</w:t>
      </w:r>
    </w:p>
    <w:p w14:paraId="4D692DC3" w14:textId="77777777" w:rsidR="00750343" w:rsidRPr="00B47BDA" w:rsidRDefault="00750343" w:rsidP="00750343">
      <w:pPr>
        <w:pStyle w:val="ListParagraph"/>
        <w:numPr>
          <w:ilvl w:val="0"/>
          <w:numId w:val="51"/>
        </w:numPr>
        <w:spacing w:after="60"/>
        <w:ind w:left="714" w:hanging="357"/>
      </w:pPr>
      <w:r w:rsidRPr="00B47BDA">
        <w:t>definiranje zahtjeva tržišta;</w:t>
      </w:r>
    </w:p>
    <w:p w14:paraId="570D672F" w14:textId="77777777" w:rsidR="00750343" w:rsidRPr="00B47BDA" w:rsidRDefault="00750343" w:rsidP="00750343">
      <w:pPr>
        <w:pStyle w:val="ListParagraph"/>
        <w:numPr>
          <w:ilvl w:val="0"/>
          <w:numId w:val="51"/>
        </w:numPr>
        <w:spacing w:after="60"/>
        <w:ind w:left="714" w:hanging="357"/>
      </w:pPr>
      <w:r w:rsidRPr="00B47BDA">
        <w:t>utvrđivanje smanjenja emisije CO</w:t>
      </w:r>
      <w:r w:rsidRPr="00B47BDA">
        <w:rPr>
          <w:vertAlign w:val="subscript"/>
        </w:rPr>
        <w:t>2</w:t>
      </w:r>
      <w:r w:rsidRPr="00B47BDA">
        <w:t>, smanjenja utroška energije i smanjenja financijskih izdataka za sirovinu.</w:t>
      </w:r>
    </w:p>
    <w:p w14:paraId="383C4BA5" w14:textId="77777777" w:rsidR="00750343" w:rsidRPr="00B47BDA" w:rsidRDefault="00750343" w:rsidP="00750343">
      <w:pPr>
        <w:rPr>
          <w:color w:val="000000"/>
          <w:lang w:eastAsia="hr-HR"/>
        </w:rPr>
      </w:pPr>
      <w:r w:rsidRPr="00555227">
        <w:rPr>
          <w:b/>
          <w:bCs/>
          <w:lang w:eastAsia="hr-HR"/>
        </w:rPr>
        <w:t>Sredstva potrebna za provedbu:</w:t>
      </w:r>
      <w:r w:rsidRPr="00B47BDA">
        <w:rPr>
          <w:lang w:eastAsia="hr-HR"/>
        </w:rPr>
        <w:t xml:space="preserve"> 1.000.000 EUR</w:t>
      </w:r>
    </w:p>
    <w:p w14:paraId="7C2EBD0C" w14:textId="77777777" w:rsidR="00750343" w:rsidRPr="00B47BDA" w:rsidRDefault="00750343" w:rsidP="00750343">
      <w:pPr>
        <w:rPr>
          <w:lang w:eastAsia="hr-HR"/>
        </w:rPr>
      </w:pPr>
      <w:r w:rsidRPr="00B47BDA">
        <w:rPr>
          <w:b/>
          <w:lang w:eastAsia="hr-HR"/>
        </w:rPr>
        <w:lastRenderedPageBreak/>
        <w:t>Izvori financiranja:</w:t>
      </w:r>
      <w:r w:rsidRPr="00B47BDA">
        <w:rPr>
          <w:lang w:eastAsia="hr-HR"/>
        </w:rPr>
        <w:t xml:space="preserve"> Prihodi od prodaje emisijskih jedinica, korištenje sredstava Fonda za zaštitu okoliša i energetsku učinkovitost, Modernizacijskog fonda te strukturnih fondova EU.</w:t>
      </w:r>
    </w:p>
    <w:p w14:paraId="281779D6" w14:textId="77777777" w:rsidR="00750343" w:rsidRPr="00B47BDA" w:rsidRDefault="00750343" w:rsidP="00750343">
      <w:pPr>
        <w:rPr>
          <w:lang w:eastAsia="hr-HR"/>
        </w:rPr>
      </w:pPr>
      <w:r w:rsidRPr="00B47BDA">
        <w:rPr>
          <w:b/>
          <w:lang w:eastAsia="hr-HR"/>
        </w:rPr>
        <w:t>Izvršno tijelo:</w:t>
      </w:r>
      <w:r w:rsidRPr="00B47BDA">
        <w:rPr>
          <w:lang w:eastAsia="hr-HR"/>
        </w:rPr>
        <w:t xml:space="preserve"> Operateri za proizvodnju cementa, Croatia Cement (Udruženje hrvatskih tvornica cementa), Hrvatska gospodarska komora.</w:t>
      </w:r>
    </w:p>
    <w:p w14:paraId="27A9BF9D" w14:textId="63DE93B0" w:rsidR="00750343" w:rsidRPr="00B47BDA" w:rsidRDefault="00750343" w:rsidP="00750343">
      <w:pPr>
        <w:rPr>
          <w:lang w:eastAsia="hr-HR"/>
        </w:rPr>
      </w:pPr>
      <w:r w:rsidRPr="003A2A86">
        <w:rPr>
          <w:b/>
          <w:bCs/>
          <w:lang w:eastAsia="hr-HR"/>
        </w:rPr>
        <w:t>Tijela za praćenje (nadzor):</w:t>
      </w:r>
      <w:r w:rsidRPr="00B47BDA">
        <w:rPr>
          <w:lang w:eastAsia="hr-HR"/>
        </w:rPr>
        <w:t xml:space="preserve"> MINGO</w:t>
      </w:r>
    </w:p>
    <w:p w14:paraId="3628BEB4" w14:textId="77777777" w:rsidR="00750343" w:rsidRPr="00B47BDA" w:rsidRDefault="00750343" w:rsidP="63259912">
      <w:pPr>
        <w:rPr>
          <w:lang w:eastAsia="hr-HR"/>
        </w:rPr>
      </w:pPr>
      <w:r w:rsidRPr="63259912">
        <w:rPr>
          <w:b/>
          <w:bCs/>
          <w:lang w:eastAsia="hr-HR"/>
        </w:rPr>
        <w:t>Učinak:</w:t>
      </w:r>
      <w:r w:rsidRPr="63259912">
        <w:rPr>
          <w:lang w:eastAsia="hr-HR"/>
        </w:rPr>
        <w:t xml:space="preserve"> Smanjenje emisije CO</w:t>
      </w:r>
      <w:r w:rsidRPr="63259912">
        <w:rPr>
          <w:vertAlign w:val="subscript"/>
          <w:lang w:eastAsia="hr-HR"/>
        </w:rPr>
        <w:t>2</w:t>
      </w:r>
      <w:r w:rsidRPr="63259912">
        <w:rPr>
          <w:lang w:eastAsia="hr-HR"/>
        </w:rPr>
        <w:t xml:space="preserve">, povećanje energetske učinkovitosti (smanjenje specifične potrošnje topline) uslijed smanjene proizvodnje klinkera, smanjeni financijski izdaci za sirovinu zbog niže cijene mineralnih dodataka.  </w:t>
      </w:r>
    </w:p>
    <w:p w14:paraId="5428E2F8" w14:textId="77777777" w:rsidR="00750343" w:rsidRPr="00B47BDA" w:rsidRDefault="00750343" w:rsidP="00750343">
      <w:pPr>
        <w:rPr>
          <w:lang w:eastAsia="hr-HR"/>
        </w:rPr>
      </w:pPr>
      <w:r w:rsidRPr="00B47BDA">
        <w:rPr>
          <w:b/>
          <w:lang w:eastAsia="hr-HR"/>
        </w:rPr>
        <w:t>Metoda praćenja:</w:t>
      </w:r>
      <w:r w:rsidRPr="00B47BDA">
        <w:rPr>
          <w:lang w:eastAsia="hr-HR"/>
        </w:rPr>
        <w:t xml:space="preserve"> </w:t>
      </w:r>
      <w:bookmarkStart w:id="416" w:name="_Hlk132703661"/>
      <w:r w:rsidRPr="00B47BDA">
        <w:rPr>
          <w:lang w:eastAsia="hr-HR"/>
        </w:rPr>
        <w:t>Praćenje emisija stakleničkih plinova i praćenje ispunjenja nacionalne godišnje kvote ostvaruje se kroz sljedeće sastavnice:</w:t>
      </w:r>
    </w:p>
    <w:p w14:paraId="3F982D4B" w14:textId="77777777" w:rsidR="00750343" w:rsidRPr="00B47BDA" w:rsidRDefault="00750343" w:rsidP="00750343">
      <w:pPr>
        <w:pStyle w:val="ListParagraph"/>
        <w:numPr>
          <w:ilvl w:val="0"/>
          <w:numId w:val="89"/>
        </w:numPr>
      </w:pPr>
      <w:r w:rsidRPr="00B47BDA">
        <w:t>Nacionalni sustav za izračun i izvješćivanje o antropogenim emisijama iz izvora i uklanjanja pomoću odliva stakleničkih plinova,</w:t>
      </w:r>
    </w:p>
    <w:p w14:paraId="4C0E70FC" w14:textId="77777777" w:rsidR="00750343" w:rsidRPr="00B47BDA" w:rsidRDefault="00750343" w:rsidP="00750343">
      <w:pPr>
        <w:pStyle w:val="ListParagraph"/>
        <w:numPr>
          <w:ilvl w:val="0"/>
          <w:numId w:val="89"/>
        </w:numPr>
      </w:pPr>
      <w:r w:rsidRPr="00B47BDA">
        <w:t>Nacionalni sustav za praćenje politike i mjera smanjenja emisija i projekcije,</w:t>
      </w:r>
    </w:p>
    <w:p w14:paraId="61114C1C" w14:textId="77777777" w:rsidR="00750343" w:rsidRPr="00B47BDA" w:rsidRDefault="00750343" w:rsidP="00750343">
      <w:pPr>
        <w:pStyle w:val="ListParagraph"/>
        <w:numPr>
          <w:ilvl w:val="0"/>
          <w:numId w:val="89"/>
        </w:numPr>
      </w:pPr>
      <w:r w:rsidRPr="00B47BDA">
        <w:t>Registar Unije.</w:t>
      </w:r>
      <w:bookmarkEnd w:id="416"/>
    </w:p>
    <w:p w14:paraId="6FA1C2D5" w14:textId="77777777" w:rsidR="00750343" w:rsidRPr="00B47BDA" w:rsidRDefault="00750343" w:rsidP="00750343">
      <w:pPr>
        <w:rPr>
          <w:lang w:eastAsia="hr-HR"/>
        </w:rPr>
      </w:pPr>
      <w:r w:rsidRPr="00B47BDA">
        <w:rPr>
          <w:b/>
          <w:lang w:eastAsia="hr-HR"/>
        </w:rPr>
        <w:t>Povezanost s drugim dimenzijama:</w:t>
      </w:r>
      <w:r w:rsidRPr="00B47BDA">
        <w:rPr>
          <w:lang w:eastAsia="hr-HR"/>
        </w:rPr>
        <w:t xml:space="preserve"> Potiče se povećanje energetske učinkovitosti, u cilju smanjenja emisije stakleničkih plinova postrojenja uključenih u EU ETS.</w:t>
      </w:r>
    </w:p>
    <w:p w14:paraId="2FF41717" w14:textId="77F12428" w:rsidR="00B13B9F" w:rsidRDefault="00750343" w:rsidP="00750343">
      <w:pPr>
        <w:rPr>
          <w:lang w:eastAsia="hr-HR"/>
        </w:rPr>
      </w:pPr>
      <w:r w:rsidRPr="00555227">
        <w:rPr>
          <w:b/>
          <w:bCs/>
          <w:lang w:eastAsia="hr-HR"/>
        </w:rPr>
        <w:t>Istraživanje i razvoj:</w:t>
      </w:r>
      <w:r w:rsidRPr="00750343">
        <w:rPr>
          <w:lang w:eastAsia="hr-HR"/>
        </w:rPr>
        <w:t xml:space="preserve"> Inovacijski i Modernizacijski fondovi, u okviru EU ETS-a, sufinanciraju istraživanje i razvoj tehnologija bez emisija ili s malim emisijama stakleničkih plinova.</w:t>
      </w:r>
    </w:p>
    <w:p w14:paraId="428231C9" w14:textId="4ED5F377" w:rsidR="00706DCB" w:rsidRPr="00B47BDA" w:rsidRDefault="00706DCB" w:rsidP="63259912">
      <w:pPr>
        <w:pStyle w:val="Mjeranaslov"/>
        <w:rPr>
          <w:lang w:eastAsia="hr-HR"/>
        </w:rPr>
      </w:pPr>
      <w:r w:rsidRPr="63259912">
        <w:rPr>
          <w:lang w:eastAsia="hr-HR"/>
        </w:rPr>
        <w:t>IP-</w:t>
      </w:r>
      <w:r w:rsidR="00284420" w:rsidRPr="63259912">
        <w:rPr>
          <w:lang w:eastAsia="hr-HR"/>
        </w:rPr>
        <w:t>2</w:t>
      </w:r>
      <w:r w:rsidR="000A21E4" w:rsidRPr="63259912">
        <w:rPr>
          <w:lang w:eastAsia="hr-HR"/>
        </w:rPr>
        <w:t xml:space="preserve"> </w:t>
      </w:r>
      <w:r w:rsidR="000C04C6" w:rsidRPr="63259912">
        <w:rPr>
          <w:lang w:eastAsia="hr-HR"/>
        </w:rPr>
        <w:t xml:space="preserve">Ograničenja i zabrana stavljanja na tržište i isključivanje proizvoda i opreme </w:t>
      </w:r>
      <w:r w:rsidR="007E692E" w:rsidRPr="63259912">
        <w:rPr>
          <w:lang w:eastAsia="hr-HR"/>
        </w:rPr>
        <w:t xml:space="preserve">koji sadrže </w:t>
      </w:r>
      <w:r w:rsidR="00B352A8" w:rsidRPr="63259912">
        <w:rPr>
          <w:lang w:eastAsia="hr-HR"/>
        </w:rPr>
        <w:t>fluorirane stakleničke plinov</w:t>
      </w:r>
      <w:r w:rsidR="007E692E" w:rsidRPr="63259912">
        <w:rPr>
          <w:lang w:eastAsia="hr-HR"/>
        </w:rPr>
        <w:t>e</w:t>
      </w:r>
      <w:r w:rsidR="006C544C" w:rsidRPr="63259912">
        <w:rPr>
          <w:lang w:eastAsia="hr-HR"/>
        </w:rPr>
        <w:t xml:space="preserve"> </w:t>
      </w:r>
    </w:p>
    <w:p w14:paraId="17BCB634" w14:textId="7BA6D7F9" w:rsidR="00024A39" w:rsidRPr="00B47BDA" w:rsidRDefault="00E6244A" w:rsidP="004623DD">
      <w:pPr>
        <w:rPr>
          <w:u w:val="single"/>
          <w:lang w:eastAsia="hr-HR"/>
        </w:rPr>
      </w:pPr>
      <w:r w:rsidRPr="007E692E">
        <w:rPr>
          <w:lang w:eastAsia="hr-HR"/>
        </w:rPr>
        <w:t>E</w:t>
      </w:r>
      <w:r w:rsidR="00024A39" w:rsidRPr="007E692E">
        <w:rPr>
          <w:lang w:eastAsia="hr-HR"/>
        </w:rPr>
        <w:t xml:space="preserve">konomska, obrazovna mjera; provedba: </w:t>
      </w:r>
      <w:bookmarkStart w:id="417" w:name="_Hlk132197719"/>
      <w:r w:rsidR="00024A39" w:rsidRPr="007E692E">
        <w:rPr>
          <w:lang w:eastAsia="hr-HR"/>
        </w:rPr>
        <w:t>202</w:t>
      </w:r>
      <w:r w:rsidRPr="007E692E">
        <w:rPr>
          <w:lang w:eastAsia="hr-HR"/>
        </w:rPr>
        <w:t>4</w:t>
      </w:r>
      <w:r w:rsidR="008459C5" w:rsidRPr="007E692E">
        <w:rPr>
          <w:lang w:eastAsia="hr-HR"/>
        </w:rPr>
        <w:t>. - 2030.</w:t>
      </w:r>
      <w:bookmarkEnd w:id="417"/>
    </w:p>
    <w:p w14:paraId="3DA695A0" w14:textId="25352A97" w:rsidR="008459C5" w:rsidRPr="00A76389" w:rsidRDefault="008459C5" w:rsidP="63259912">
      <w:pPr>
        <w:rPr>
          <w:lang w:eastAsia="hr-HR"/>
        </w:rPr>
      </w:pPr>
      <w:r w:rsidRPr="63259912">
        <w:rPr>
          <w:b/>
          <w:bCs/>
          <w:lang w:eastAsia="hr-HR"/>
        </w:rPr>
        <w:t>Cilj i opis mjere:</w:t>
      </w:r>
      <w:r w:rsidRPr="63259912">
        <w:rPr>
          <w:lang w:eastAsia="hr-HR"/>
        </w:rPr>
        <w:t xml:space="preserve"> </w:t>
      </w:r>
      <w:r w:rsidR="006229E3" w:rsidRPr="63259912">
        <w:rPr>
          <w:lang w:eastAsia="hr-HR"/>
        </w:rPr>
        <w:t>Uredb</w:t>
      </w:r>
      <w:r w:rsidR="00296F37" w:rsidRPr="63259912">
        <w:rPr>
          <w:lang w:eastAsia="hr-HR"/>
        </w:rPr>
        <w:t>om</w:t>
      </w:r>
      <w:r w:rsidR="006229E3" w:rsidRPr="63259912">
        <w:rPr>
          <w:lang w:eastAsia="hr-HR"/>
        </w:rPr>
        <w:t xml:space="preserve"> (EU) 2024/573 Europskog parlamenta i Vijeća od 7. veljače 2024. o fluoriranim stakleničkim plinovima, izmjeni Direktive (EU) 2019/1937 i stavljanju izvan snage Uredbe (EU) br. 517/2014 (Tekst značajan za EGP)</w:t>
      </w:r>
      <w:r w:rsidR="00196C6A" w:rsidRPr="63259912">
        <w:rPr>
          <w:lang w:eastAsia="hr-HR"/>
        </w:rPr>
        <w:t xml:space="preserve"> (</w:t>
      </w:r>
      <w:r w:rsidR="006229E3" w:rsidRPr="63259912">
        <w:rPr>
          <w:lang w:eastAsia="hr-HR"/>
        </w:rPr>
        <w:t>SL L, 2024/573</w:t>
      </w:r>
      <w:r w:rsidR="00196C6A" w:rsidRPr="63259912">
        <w:rPr>
          <w:lang w:eastAsia="hr-HR"/>
        </w:rPr>
        <w:t>,</w:t>
      </w:r>
      <w:r w:rsidR="006229E3" w:rsidRPr="63259912">
        <w:rPr>
          <w:lang w:eastAsia="hr-HR"/>
        </w:rPr>
        <w:t xml:space="preserve"> 20.2.2024</w:t>
      </w:r>
      <w:r w:rsidR="00196C6A" w:rsidRPr="63259912">
        <w:rPr>
          <w:lang w:eastAsia="hr-HR"/>
        </w:rPr>
        <w:t>.)</w:t>
      </w:r>
      <w:r w:rsidR="006229E3" w:rsidRPr="63259912">
        <w:rPr>
          <w:lang w:eastAsia="hr-HR"/>
        </w:rPr>
        <w:t>,</w:t>
      </w:r>
      <w:r w:rsidR="00196C6A" w:rsidRPr="63259912">
        <w:rPr>
          <w:lang w:eastAsia="hr-HR"/>
        </w:rPr>
        <w:t xml:space="preserve"> </w:t>
      </w:r>
      <w:r w:rsidR="00B43D77" w:rsidRPr="63259912">
        <w:rPr>
          <w:lang w:eastAsia="hr-HR"/>
        </w:rPr>
        <w:t>utvrđeno je postupno smanjenje emisije F plinova. Mjerom su definirane aktivnosti i postupci za smanjenje emisija fluoriranih stakleničkih plinova, provođenje provjere propuštanja opreme, korištenje opreme sa sustavima za otkrivanje propuštanja, vođenje evidencije o opremi na kojoj je potrebno obavljati provjere propuštanja, prikupljanje fluoriranih stakleničkih plinova kako bi se osiguralo njihovo obnavljanje, oporaba ili uništavanje, razvoj sustava odgovornosti proizvođača za prikupljanje fluoriranih stakleničkih plinova i njihovo obnavljanje, oporabu ili uništavanje te primjena programa za osposobljavanje i certifikaciju.</w:t>
      </w:r>
    </w:p>
    <w:p w14:paraId="3AC6DF76" w14:textId="77777777" w:rsidR="008459C5" w:rsidRPr="00B47BDA" w:rsidRDefault="008459C5" w:rsidP="004623DD">
      <w:pPr>
        <w:rPr>
          <w:lang w:eastAsia="hr-HR"/>
        </w:rPr>
      </w:pPr>
      <w:r w:rsidRPr="00B47BDA">
        <w:rPr>
          <w:b/>
          <w:lang w:eastAsia="hr-HR"/>
        </w:rPr>
        <w:t>Aktivnosti:</w:t>
      </w:r>
      <w:r w:rsidRPr="00B47BDA">
        <w:rPr>
          <w:lang w:eastAsia="hr-HR"/>
        </w:rPr>
        <w:t xml:space="preserve"> U okviru mjere provest će se: </w:t>
      </w:r>
    </w:p>
    <w:p w14:paraId="42CAEA8F" w14:textId="793A982B" w:rsidR="005D58DD" w:rsidRDefault="00675E7F" w:rsidP="63259912">
      <w:pPr>
        <w:pStyle w:val="ListParagraph"/>
        <w:numPr>
          <w:ilvl w:val="0"/>
          <w:numId w:val="51"/>
        </w:numPr>
        <w:tabs>
          <w:tab w:val="clear" w:pos="431"/>
        </w:tabs>
        <w:spacing w:after="60"/>
        <w:ind w:left="714" w:hanging="357"/>
        <w:rPr>
          <w:sz w:val="20"/>
          <w:szCs w:val="20"/>
        </w:rPr>
      </w:pPr>
      <w:r w:rsidRPr="63259912">
        <w:t>Z</w:t>
      </w:r>
      <w:r w:rsidR="005D58DD" w:rsidRPr="63259912">
        <w:t>amjena opreme i uređaja u kojima se koriste fluorirani staklenički plinovi sa opremom i uređajima u kojima se koristi prirodne radne tvari;</w:t>
      </w:r>
    </w:p>
    <w:p w14:paraId="7D955121" w14:textId="54D5F5DA" w:rsidR="005D58DD" w:rsidRDefault="00675E7F" w:rsidP="005D58DD">
      <w:pPr>
        <w:pStyle w:val="ListParagraph"/>
        <w:numPr>
          <w:ilvl w:val="0"/>
          <w:numId w:val="51"/>
        </w:numPr>
        <w:tabs>
          <w:tab w:val="clear" w:pos="431"/>
        </w:tabs>
        <w:spacing w:after="60"/>
        <w:ind w:left="714" w:hanging="357"/>
      </w:pPr>
      <w:r w:rsidRPr="63259912">
        <w:t>S</w:t>
      </w:r>
      <w:r w:rsidR="005D58DD" w:rsidRPr="63259912">
        <w:t>prječavanje ili otklanjanje propuštanja fluoriranih stakleničkih plinova u atmosferu;</w:t>
      </w:r>
    </w:p>
    <w:p w14:paraId="64564F61" w14:textId="3E01490F" w:rsidR="005D58DD" w:rsidRDefault="00675E7F" w:rsidP="005D58DD">
      <w:pPr>
        <w:pStyle w:val="ListParagraph"/>
        <w:numPr>
          <w:ilvl w:val="0"/>
          <w:numId w:val="51"/>
        </w:numPr>
        <w:tabs>
          <w:tab w:val="clear" w:pos="431"/>
        </w:tabs>
        <w:spacing w:after="60"/>
        <w:ind w:left="714" w:hanging="357"/>
      </w:pPr>
      <w:r w:rsidRPr="63259912">
        <w:t>P</w:t>
      </w:r>
      <w:r w:rsidR="005D58DD" w:rsidRPr="63259912">
        <w:t>rikupljanje, obnavljanje i oporaba fluoriranih stakleničkih plinova.</w:t>
      </w:r>
    </w:p>
    <w:p w14:paraId="4C3BF34E" w14:textId="5A148200" w:rsidR="008459C5" w:rsidRPr="00B47BDA" w:rsidRDefault="008459C5" w:rsidP="004623DD">
      <w:pPr>
        <w:rPr>
          <w:color w:val="000000"/>
          <w:lang w:eastAsia="hr-HR"/>
        </w:rPr>
      </w:pPr>
      <w:r w:rsidRPr="003A2A86">
        <w:rPr>
          <w:b/>
          <w:bCs/>
          <w:lang w:eastAsia="hr-HR"/>
        </w:rPr>
        <w:t>Sredstva potrebna za provedbu:</w:t>
      </w:r>
      <w:r w:rsidRPr="00B47BDA">
        <w:rPr>
          <w:lang w:eastAsia="hr-HR"/>
        </w:rPr>
        <w:t xml:space="preserve"> </w:t>
      </w:r>
      <w:r w:rsidR="003A141E">
        <w:rPr>
          <w:lang w:eastAsia="hr-HR"/>
        </w:rPr>
        <w:t>80</w:t>
      </w:r>
      <w:r w:rsidRPr="00B47BDA">
        <w:rPr>
          <w:lang w:eastAsia="hr-HR"/>
        </w:rPr>
        <w:t>.000.000 EUR</w:t>
      </w:r>
    </w:p>
    <w:p w14:paraId="32F1D885" w14:textId="45988FB9" w:rsidR="008459C5" w:rsidRPr="00B47BDA" w:rsidRDefault="008459C5" w:rsidP="004623DD">
      <w:pPr>
        <w:rPr>
          <w:lang w:eastAsia="hr-HR"/>
        </w:rPr>
      </w:pPr>
      <w:r w:rsidRPr="00B47BDA">
        <w:rPr>
          <w:b/>
          <w:lang w:eastAsia="hr-HR"/>
        </w:rPr>
        <w:t>Izvori financiranja:</w:t>
      </w:r>
      <w:r w:rsidRPr="00B47BDA">
        <w:rPr>
          <w:lang w:eastAsia="hr-HR"/>
        </w:rPr>
        <w:t xml:space="preserve"> </w:t>
      </w:r>
      <w:r w:rsidR="00AB2DFC">
        <w:rPr>
          <w:lang w:eastAsia="hr-HR"/>
        </w:rPr>
        <w:t>P</w:t>
      </w:r>
      <w:r w:rsidR="00A21DF1">
        <w:rPr>
          <w:lang w:eastAsia="hr-HR"/>
        </w:rPr>
        <w:t>rihodi od prodaje emisijskih jedinica iz EU ETS</w:t>
      </w:r>
      <w:r w:rsidR="0010402D">
        <w:rPr>
          <w:lang w:eastAsia="hr-HR"/>
        </w:rPr>
        <w:t>-a</w:t>
      </w:r>
      <w:r w:rsidRPr="00B47BDA">
        <w:rPr>
          <w:lang w:eastAsia="hr-HR"/>
        </w:rPr>
        <w:t>, Modernizacijsk</w:t>
      </w:r>
      <w:r w:rsidR="0010402D">
        <w:rPr>
          <w:lang w:eastAsia="hr-HR"/>
        </w:rPr>
        <w:t>i</w:t>
      </w:r>
      <w:r w:rsidRPr="00B47BDA">
        <w:rPr>
          <w:lang w:eastAsia="hr-HR"/>
        </w:rPr>
        <w:t xml:space="preserve"> fond.</w:t>
      </w:r>
    </w:p>
    <w:p w14:paraId="030C3059" w14:textId="0F662DA4" w:rsidR="008459C5" w:rsidRPr="00B47BDA" w:rsidRDefault="008459C5" w:rsidP="004623DD">
      <w:pPr>
        <w:rPr>
          <w:kern w:val="2"/>
          <w:lang w:eastAsia="hr-HR"/>
        </w:rPr>
      </w:pPr>
      <w:r w:rsidRPr="003A2A86">
        <w:rPr>
          <w:b/>
          <w:bCs/>
          <w:lang w:eastAsia="hr-HR"/>
        </w:rPr>
        <w:lastRenderedPageBreak/>
        <w:t>Izvršno tijelo:</w:t>
      </w:r>
      <w:r w:rsidRPr="00B47BDA">
        <w:rPr>
          <w:lang w:eastAsia="hr-HR"/>
        </w:rPr>
        <w:t xml:space="preserve"> </w:t>
      </w:r>
      <w:r w:rsidR="00FF2C86" w:rsidRPr="004E559C">
        <w:rPr>
          <w:lang w:eastAsia="hr-HR"/>
        </w:rPr>
        <w:t>Ministarstvo zaštite okoliša i zelene tranzicije</w:t>
      </w:r>
      <w:r w:rsidR="00246290">
        <w:rPr>
          <w:lang w:eastAsia="hr-HR"/>
        </w:rPr>
        <w:t>, FZOEU</w:t>
      </w:r>
      <w:r w:rsidR="00FF2C86">
        <w:rPr>
          <w:lang w:eastAsia="hr-HR"/>
        </w:rPr>
        <w:t>.</w:t>
      </w:r>
    </w:p>
    <w:p w14:paraId="05A78B7F" w14:textId="03AFBB20" w:rsidR="008459C5" w:rsidRPr="00B47BDA" w:rsidRDefault="008459C5" w:rsidP="004623DD">
      <w:pPr>
        <w:rPr>
          <w:lang w:eastAsia="hr-HR"/>
        </w:rPr>
      </w:pPr>
      <w:r w:rsidRPr="003A2A86">
        <w:rPr>
          <w:b/>
          <w:bCs/>
          <w:lang w:eastAsia="hr-HR"/>
        </w:rPr>
        <w:t>Tijela za praćenje:</w:t>
      </w:r>
      <w:r w:rsidRPr="00B47BDA">
        <w:rPr>
          <w:lang w:eastAsia="hr-HR"/>
        </w:rPr>
        <w:t xml:space="preserve"> </w:t>
      </w:r>
      <w:r w:rsidR="00FF2C86" w:rsidRPr="004E559C">
        <w:rPr>
          <w:lang w:eastAsia="hr-HR"/>
        </w:rPr>
        <w:t>Ministarstvo zaštite okoliša i zelene tranzicije</w:t>
      </w:r>
      <w:r w:rsidR="00FF2C86">
        <w:rPr>
          <w:lang w:eastAsia="hr-HR"/>
        </w:rPr>
        <w:t>.</w:t>
      </w:r>
    </w:p>
    <w:p w14:paraId="079F2D5B" w14:textId="77B6D7FC" w:rsidR="008459C5" w:rsidRPr="00B47BDA" w:rsidRDefault="2EED4B6D" w:rsidP="63259912">
      <w:pPr>
        <w:rPr>
          <w:lang w:eastAsia="hr-HR"/>
        </w:rPr>
      </w:pPr>
      <w:r w:rsidRPr="63259912">
        <w:rPr>
          <w:b/>
          <w:bCs/>
          <w:lang w:eastAsia="hr-HR"/>
        </w:rPr>
        <w:t>Učinak:</w:t>
      </w:r>
      <w:r w:rsidRPr="63259912">
        <w:rPr>
          <w:lang w:eastAsia="hr-HR"/>
        </w:rPr>
        <w:t xml:space="preserve"> </w:t>
      </w:r>
      <w:r w:rsidR="00DD317F" w:rsidRPr="63259912">
        <w:rPr>
          <w:lang w:eastAsia="hr-HR"/>
        </w:rPr>
        <w:t>Smanjenje emisije stakleničkih plinova, prelazak na prirodne radne tvari te povećanje energetske učinkovitosti rashladnih sustava, ispravno prikupljanje i rukovanje fluoriranim stakleničkim plinovima tijekom servisiranja uređaja i opreme, sprječavanje ili otklanjanje propuštanja u atmosferu, razvoj sustava odgovornosti proizvođača za prikupljanje fluoriranih stakleničkih plinova i njihovo obnavljanje, oporabu ili uništavanje te primjena programa za osposobljavanje i certifikaciju osoba koje obavljaju djelatnost prikupljanja, provjere propuštanja, ugradnje i servisiranja opreme i uređaja koji sadrže fluorirane stakleničke plinove.</w:t>
      </w:r>
    </w:p>
    <w:p w14:paraId="009BB898" w14:textId="3C88C559" w:rsidR="008459C5" w:rsidRPr="00B47BDA" w:rsidRDefault="008459C5" w:rsidP="004623DD">
      <w:pPr>
        <w:rPr>
          <w:b/>
          <w:lang w:eastAsia="hr-HR"/>
        </w:rPr>
      </w:pPr>
      <w:r w:rsidRPr="00B47BDA">
        <w:rPr>
          <w:b/>
          <w:lang w:eastAsia="hr-HR"/>
        </w:rPr>
        <w:t>Metoda praćenja:</w:t>
      </w:r>
      <w:r w:rsidRPr="00B47BDA">
        <w:rPr>
          <w:lang w:eastAsia="hr-HR"/>
        </w:rPr>
        <w:t xml:space="preserve"> Nacionalni sustav za izračun i izvješćivanje o antropogenim emisijama iz izvora i uklanjanja pomoću odliva stakleničkih plinova i nacionalni sustav za praćenje politike i mjera smanjenja emisija i projekcije.</w:t>
      </w:r>
    </w:p>
    <w:p w14:paraId="04D1F88D" w14:textId="79F91381" w:rsidR="00042845" w:rsidRPr="000E1BA8" w:rsidRDefault="008459C5" w:rsidP="004623DD">
      <w:pPr>
        <w:rPr>
          <w:lang w:eastAsia="hr-HR"/>
        </w:rPr>
      </w:pPr>
      <w:r w:rsidRPr="00B47BDA">
        <w:rPr>
          <w:b/>
          <w:lang w:eastAsia="hr-HR"/>
        </w:rPr>
        <w:t>Istraživanje i razvoj:</w:t>
      </w:r>
      <w:r w:rsidRPr="00B47BDA">
        <w:rPr>
          <w:lang w:eastAsia="hr-HR"/>
        </w:rPr>
        <w:t xml:space="preserve"> Mjera je neizravno povezana s istraživanjem i razvojem te inovativnim mjerama za smanjenje emisije stakleničkih plinova.</w:t>
      </w:r>
    </w:p>
    <w:p w14:paraId="33667F46" w14:textId="77777777" w:rsidR="00805CE6" w:rsidRPr="00B47BDA" w:rsidRDefault="00805CE6" w:rsidP="004623DD">
      <w:pPr>
        <w:rPr>
          <w:lang w:eastAsia="hr-HR"/>
        </w:rPr>
      </w:pPr>
    </w:p>
    <w:p w14:paraId="7E2D5C85" w14:textId="77777777" w:rsidR="00805CE6" w:rsidRPr="00A13E5D" w:rsidRDefault="00805CE6" w:rsidP="00874D21">
      <w:pPr>
        <w:shd w:val="clear" w:color="auto" w:fill="D9E2F3" w:themeFill="accent5" w:themeFillTint="33"/>
        <w:rPr>
          <w:rFonts w:asciiTheme="minorHAnsi" w:hAnsiTheme="minorHAnsi" w:cstheme="minorHAnsi"/>
          <w:lang w:eastAsia="hr-HR"/>
        </w:rPr>
      </w:pPr>
      <w:r w:rsidRPr="00A13E5D">
        <w:rPr>
          <w:rFonts w:asciiTheme="minorHAnsi" w:hAnsiTheme="minorHAnsi" w:cstheme="minorHAnsi"/>
          <w:lang w:eastAsia="hr-HR"/>
        </w:rPr>
        <w:t xml:space="preserve">U nastavku su prikazane mjere vezane za </w:t>
      </w:r>
      <w:r w:rsidRPr="00A13E5D">
        <w:rPr>
          <w:rFonts w:asciiTheme="minorHAnsi" w:hAnsiTheme="minorHAnsi" w:cstheme="minorHAnsi"/>
          <w:b/>
          <w:lang w:eastAsia="hr-HR"/>
        </w:rPr>
        <w:t>otpad i kružno gospodarstvo</w:t>
      </w:r>
      <w:r w:rsidRPr="00A13E5D">
        <w:rPr>
          <w:rFonts w:asciiTheme="minorHAnsi" w:hAnsiTheme="minorHAnsi" w:cstheme="minorHAnsi"/>
          <w:lang w:eastAsia="hr-HR"/>
        </w:rPr>
        <w:t>.</w:t>
      </w:r>
    </w:p>
    <w:p w14:paraId="2D434E15" w14:textId="57D44B85" w:rsidR="00805CE6" w:rsidRPr="00A13E5D" w:rsidRDefault="00805CE6" w:rsidP="004623DD">
      <w:pPr>
        <w:rPr>
          <w:rFonts w:asciiTheme="minorHAnsi" w:hAnsiTheme="minorHAnsi" w:cstheme="minorHAnsi"/>
          <w:lang w:eastAsia="hr-HR"/>
        </w:rPr>
      </w:pPr>
      <w:r w:rsidRPr="00A13E5D">
        <w:rPr>
          <w:rFonts w:asciiTheme="minorHAnsi" w:hAnsiTheme="minorHAnsi" w:cstheme="minorHAnsi"/>
          <w:lang w:eastAsia="hr-HR"/>
        </w:rPr>
        <w:t>Potrebno je promatrati zajednički učinak mjera, budući se mjere međusobno nadopunjuju. U mjere su ugrađeni ciljevi iz Plana gospodarenja otpadom Republike Hrvatske za razdoblje 20</w:t>
      </w:r>
      <w:r w:rsidR="00C87485" w:rsidRPr="00A13E5D">
        <w:rPr>
          <w:rFonts w:asciiTheme="minorHAnsi" w:hAnsiTheme="minorHAnsi" w:cstheme="minorHAnsi"/>
          <w:lang w:eastAsia="hr-HR"/>
        </w:rPr>
        <w:t>23</w:t>
      </w:r>
      <w:r w:rsidRPr="00A13E5D">
        <w:rPr>
          <w:rFonts w:asciiTheme="minorHAnsi" w:hAnsiTheme="minorHAnsi" w:cstheme="minorHAnsi"/>
          <w:lang w:eastAsia="hr-HR"/>
        </w:rPr>
        <w:t>. - 202</w:t>
      </w:r>
      <w:r w:rsidR="00C87485" w:rsidRPr="00A13E5D">
        <w:rPr>
          <w:rFonts w:asciiTheme="minorHAnsi" w:hAnsiTheme="minorHAnsi" w:cstheme="minorHAnsi"/>
          <w:lang w:eastAsia="hr-HR"/>
        </w:rPr>
        <w:t>8</w:t>
      </w:r>
      <w:r w:rsidRPr="00A13E5D">
        <w:rPr>
          <w:rFonts w:asciiTheme="minorHAnsi" w:hAnsiTheme="minorHAnsi" w:cstheme="minorHAnsi"/>
          <w:lang w:eastAsia="hr-HR"/>
        </w:rPr>
        <w:t xml:space="preserve">. godine </w:t>
      </w:r>
      <w:r w:rsidR="00EB08F1">
        <w:rPr>
          <w:rFonts w:asciiTheme="minorHAnsi" w:hAnsiTheme="minorHAnsi" w:cstheme="minorHAnsi"/>
          <w:lang w:eastAsia="hr-HR"/>
        </w:rPr>
        <w:t xml:space="preserve">(„Narodne novine“, br. </w:t>
      </w:r>
      <w:r w:rsidR="00C87485" w:rsidRPr="00A13E5D">
        <w:rPr>
          <w:rFonts w:asciiTheme="minorHAnsi" w:hAnsiTheme="minorHAnsi" w:cstheme="minorHAnsi"/>
          <w:lang w:eastAsia="hr-HR"/>
        </w:rPr>
        <w:t>84</w:t>
      </w:r>
      <w:r w:rsidR="005B41DA">
        <w:rPr>
          <w:rFonts w:asciiTheme="minorHAnsi" w:hAnsiTheme="minorHAnsi" w:cstheme="minorHAnsi"/>
          <w:lang w:eastAsia="hr-HR"/>
        </w:rPr>
        <w:t>/23</w:t>
      </w:r>
      <w:r w:rsidR="00896EA5">
        <w:rPr>
          <w:rFonts w:asciiTheme="minorHAnsi" w:hAnsiTheme="minorHAnsi" w:cstheme="minorHAnsi"/>
          <w:lang w:eastAsia="hr-HR"/>
        </w:rPr>
        <w:t>.</w:t>
      </w:r>
      <w:r w:rsidRPr="00A13E5D">
        <w:rPr>
          <w:rFonts w:asciiTheme="minorHAnsi" w:hAnsiTheme="minorHAnsi" w:cstheme="minorHAnsi"/>
          <w:lang w:eastAsia="hr-HR"/>
        </w:rPr>
        <w:t>)</w:t>
      </w:r>
      <w:r w:rsidR="009D2830" w:rsidRPr="00A13E5D">
        <w:rPr>
          <w:rFonts w:asciiTheme="minorHAnsi" w:hAnsiTheme="minorHAnsi" w:cstheme="minorHAnsi"/>
          <w:lang w:eastAsia="hr-HR"/>
        </w:rPr>
        <w:t xml:space="preserve"> (u daljnjem tekstu PGO), prema </w:t>
      </w:r>
      <w:r w:rsidR="008C55FD" w:rsidRPr="00A13E5D">
        <w:rPr>
          <w:rFonts w:asciiTheme="minorHAnsi" w:hAnsiTheme="minorHAnsi" w:cstheme="minorHAnsi"/>
          <w:lang w:eastAsia="hr-HR"/>
        </w:rPr>
        <w:t>obvezama koje proizlaze iz Zakona o gospodarenju otpadom (</w:t>
      </w:r>
      <w:r w:rsidR="00896EA5">
        <w:rPr>
          <w:rFonts w:asciiTheme="minorHAnsi" w:hAnsiTheme="minorHAnsi" w:cstheme="minorHAnsi"/>
          <w:lang w:eastAsia="hr-HR"/>
        </w:rPr>
        <w:t>„</w:t>
      </w:r>
      <w:r w:rsidR="00071A4F" w:rsidRPr="00071A4F">
        <w:rPr>
          <w:rFonts w:asciiTheme="minorHAnsi" w:hAnsiTheme="minorHAnsi" w:cstheme="minorHAnsi"/>
          <w:lang w:eastAsia="hr-HR"/>
        </w:rPr>
        <w:t xml:space="preserve">Narodne </w:t>
      </w:r>
      <w:r w:rsidR="00A97AE7">
        <w:rPr>
          <w:rFonts w:asciiTheme="minorHAnsi" w:hAnsiTheme="minorHAnsi" w:cstheme="minorHAnsi"/>
          <w:lang w:eastAsia="hr-HR"/>
        </w:rPr>
        <w:t>novine</w:t>
      </w:r>
      <w:r w:rsidR="00896EA5">
        <w:rPr>
          <w:rFonts w:asciiTheme="minorHAnsi" w:hAnsiTheme="minorHAnsi" w:cstheme="minorHAnsi"/>
          <w:lang w:eastAsia="hr-HR"/>
        </w:rPr>
        <w:t>“</w:t>
      </w:r>
      <w:r w:rsidR="00071A4F" w:rsidRPr="00071A4F">
        <w:rPr>
          <w:rFonts w:asciiTheme="minorHAnsi" w:hAnsiTheme="minorHAnsi" w:cstheme="minorHAnsi"/>
          <w:lang w:eastAsia="hr-HR"/>
        </w:rPr>
        <w:t>, br</w:t>
      </w:r>
      <w:r w:rsidR="00001AAA">
        <w:rPr>
          <w:rFonts w:asciiTheme="minorHAnsi" w:hAnsiTheme="minorHAnsi" w:cstheme="minorHAnsi"/>
          <w:lang w:eastAsia="hr-HR"/>
        </w:rPr>
        <w:t>.</w:t>
      </w:r>
      <w:r w:rsidR="008C55FD" w:rsidRPr="00A13E5D">
        <w:rPr>
          <w:rFonts w:asciiTheme="minorHAnsi" w:hAnsiTheme="minorHAnsi" w:cstheme="minorHAnsi"/>
          <w:lang w:eastAsia="hr-HR"/>
        </w:rPr>
        <w:t xml:space="preserve"> 84</w:t>
      </w:r>
      <w:r w:rsidR="005B41DA">
        <w:rPr>
          <w:rFonts w:asciiTheme="minorHAnsi" w:hAnsiTheme="minorHAnsi" w:cstheme="minorHAnsi"/>
          <w:lang w:eastAsia="hr-HR"/>
        </w:rPr>
        <w:t>/21</w:t>
      </w:r>
      <w:r w:rsidR="00896EA5">
        <w:rPr>
          <w:rFonts w:asciiTheme="minorHAnsi" w:hAnsiTheme="minorHAnsi" w:cstheme="minorHAnsi"/>
          <w:lang w:eastAsia="hr-HR"/>
        </w:rPr>
        <w:t>.</w:t>
      </w:r>
      <w:r w:rsidR="008C55FD" w:rsidRPr="00A13E5D">
        <w:rPr>
          <w:rFonts w:asciiTheme="minorHAnsi" w:hAnsiTheme="minorHAnsi" w:cstheme="minorHAnsi"/>
          <w:lang w:eastAsia="hr-HR"/>
        </w:rPr>
        <w:t>, 142</w:t>
      </w:r>
      <w:r w:rsidR="005B41DA">
        <w:rPr>
          <w:rFonts w:asciiTheme="minorHAnsi" w:hAnsiTheme="minorHAnsi" w:cstheme="minorHAnsi"/>
          <w:lang w:eastAsia="hr-HR"/>
        </w:rPr>
        <w:t>/23</w:t>
      </w:r>
      <w:r w:rsidR="001F208A">
        <w:rPr>
          <w:rFonts w:asciiTheme="minorHAnsi" w:hAnsiTheme="minorHAnsi" w:cstheme="minorHAnsi"/>
          <w:lang w:eastAsia="hr-HR"/>
        </w:rPr>
        <w:t>.</w:t>
      </w:r>
      <w:r w:rsidR="008C55FD" w:rsidRPr="00A13E5D">
        <w:rPr>
          <w:rFonts w:asciiTheme="minorHAnsi" w:hAnsiTheme="minorHAnsi" w:cstheme="minorHAnsi"/>
          <w:lang w:eastAsia="hr-HR"/>
        </w:rPr>
        <w:t>)</w:t>
      </w:r>
      <w:r w:rsidR="005148D2" w:rsidRPr="00A13E5D">
        <w:rPr>
          <w:rFonts w:asciiTheme="minorHAnsi" w:hAnsiTheme="minorHAnsi" w:cstheme="minorHAnsi"/>
          <w:lang w:eastAsia="hr-HR"/>
        </w:rPr>
        <w:t xml:space="preserve"> (u daljnjem tekstu ZGO) odnosno EU zakonodavstva.</w:t>
      </w:r>
    </w:p>
    <w:p w14:paraId="5207D8A5" w14:textId="77777777" w:rsidR="00057576" w:rsidRPr="00057576" w:rsidRDefault="00057576" w:rsidP="00057576">
      <w:r w:rsidRPr="63259912">
        <w:rPr>
          <w:rFonts w:asciiTheme="minorHAnsi" w:hAnsiTheme="minorHAnsi" w:cstheme="minorBidi"/>
          <w:lang w:eastAsia="hr-HR"/>
        </w:rPr>
        <w:t>U skladu s Novim akcijski planom za kružno gospodarstvo - Za čišću i konkurentniju Europu (COM(2020) 98 final)</w:t>
      </w:r>
      <w:r w:rsidRPr="63259912">
        <w:rPr>
          <w:rStyle w:val="FootnoteReference"/>
          <w:rFonts w:asciiTheme="minorHAnsi" w:hAnsiTheme="minorHAnsi" w:cstheme="minorBidi"/>
          <w:sz w:val="24"/>
          <w:lang w:eastAsia="hr-HR"/>
        </w:rPr>
        <w:footnoteReference w:id="28"/>
      </w:r>
      <w:r w:rsidRPr="63259912">
        <w:rPr>
          <w:rFonts w:asciiTheme="minorHAnsi" w:hAnsiTheme="minorHAnsi" w:cstheme="minorBidi"/>
          <w:lang w:eastAsia="hr-HR"/>
        </w:rPr>
        <w:t>, mjere i aktivnosti PGO-a osiguravaju jačanje kružnosti i smanjenje nastanka otpada primjenom načela održivosti u cijelom lancu vrijednosti, od dizajna održivih proizvoda, jačanja položaja potrošača i javnih naručitelja (zelena javna nabava, eko - oznake i dr.), prema učinkovitijim modelima odvojenog sakupljanja otpada, njegove ponovne uporabe i visokokvalitetnog recikliranja. Skupina mjera i aktivnosti usmjerene su na proizvode koji su u</w:t>
      </w:r>
      <w:r w:rsidRPr="63259912">
        <w:rPr>
          <w:lang w:eastAsia="hr-HR"/>
        </w:rPr>
        <w:t xml:space="preserve"> kontekstu lanaca vrijednosti prepoznati kao ključni za uklanjanje p</w:t>
      </w:r>
      <w:r w:rsidRPr="63259912">
        <w:t>r</w:t>
      </w:r>
      <w:r w:rsidRPr="63259912">
        <w:rPr>
          <w:lang w:eastAsia="hr-HR"/>
        </w:rPr>
        <w:t>epreka širenju tržišta za kružne proizvode: elektronički uređaji, baterije i vozila, ambalaža, plastika, tekstilni proizvodi, građevinski proizvodi i hrana.</w:t>
      </w:r>
    </w:p>
    <w:p w14:paraId="52EEE26C" w14:textId="4EF31667" w:rsidR="004E20DE" w:rsidRDefault="00057576" w:rsidP="00A13E5D">
      <w:pPr>
        <w:spacing w:after="60"/>
      </w:pPr>
      <w:r w:rsidRPr="00F83CCA">
        <w:rPr>
          <w:lang w:eastAsia="hr-HR"/>
        </w:rPr>
        <w:t xml:space="preserve">Mjere i aktivnosti definirane Programom sprječavanja nastanka otpada (u daljnjem tekstu: PSNO), kao sastavnog dijela PGO-a, relevantne su za postizanje ciljeva gospodarenja otpadom. Provedba mjera sprječavanja nastanka otpada u najvećoj mjeri doprinijet će održivom gospodarenju i jačanju kružnosti sljedećih tokova otpada: komunalni otpad i glavne sastavnice komunalnog otpada (biootpad, papir i karton, otpadni tekstil i odjeća, plastični otpad), plastični otpad, morski otpad, otpad od papira i kartona, tekstila i obuće, plastičnih proizvoda </w:t>
      </w:r>
      <w:r w:rsidRPr="00F83CCA">
        <w:rPr>
          <w:lang w:eastAsia="hr-HR"/>
        </w:rPr>
        <w:lastRenderedPageBreak/>
        <w:t>za jednokratnu uporabu, električnog i elektroničkog otpada, građevnog otpada. Sprječavanjem nastanka komunalnog otpada doprinijet će se povećanju ponovne uporabe otpada, smanjiti će se količine ukupnog komunalnog otpada i biorazgradivog komunalnog otpada odloženog na odlagališta otpada te doprinijeti ostvarenju ciljeva iz Direktive 1999/31/EZ</w:t>
      </w:r>
      <w:r w:rsidRPr="00F83CCA">
        <w:rPr>
          <w:rStyle w:val="FootnoteReference"/>
          <w:lang w:eastAsia="hr-HR"/>
        </w:rPr>
        <w:footnoteReference w:id="29"/>
      </w:r>
      <w:r w:rsidRPr="00F83CCA">
        <w:rPr>
          <w:lang w:eastAsia="hr-HR"/>
        </w:rPr>
        <w:t>. Provedbom mjera za sprječavanje nastanka posebnih kategorija otpada, osobito u dijelu promicanja ponovne uporabe i primjene eko-modulacije u sustavu proširene odgovornost proizvođača, osim smanjenju nastajanja, doprinijet će unaprjeđenju sustava gospodarenja tim posebnim kategorijama otpada. Ujedno, doprinijet će dostizanju ciljeva vezanih za odvojeno sakupljanje, ponovnu uporabu, recikliranje i oporabu propisanih EU direktivama o posebnim kategorijama otpada, kao i ciljeva vezanih za ponovnu uporabu i recikliranje komunalnog otpada propisanih Direktivom 2008/98/EZ</w:t>
      </w:r>
      <w:r w:rsidR="007939AC">
        <w:rPr>
          <w:rStyle w:val="FootnoteReference"/>
          <w:lang w:eastAsia="hr-HR"/>
        </w:rPr>
        <w:footnoteReference w:id="30"/>
      </w:r>
      <w:r w:rsidRPr="00F83CCA">
        <w:rPr>
          <w:lang w:eastAsia="hr-HR"/>
        </w:rPr>
        <w:t>.</w:t>
      </w:r>
    </w:p>
    <w:p w14:paraId="007C1CED" w14:textId="77777777" w:rsidR="004E20DE" w:rsidRDefault="00057576" w:rsidP="00A13E5D">
      <w:pPr>
        <w:spacing w:after="60"/>
        <w:rPr>
          <w:lang w:eastAsia="hr-HR"/>
        </w:rPr>
      </w:pPr>
      <w:r w:rsidRPr="00F83CCA">
        <w:rPr>
          <w:lang w:eastAsia="hr-HR"/>
        </w:rPr>
        <w:t>U nastavku slijede mjere za ostvarenje ciljeva PGO-a:</w:t>
      </w:r>
    </w:p>
    <w:p w14:paraId="2EB292BC" w14:textId="77777777" w:rsidR="00F83CCA" w:rsidRDefault="00057576" w:rsidP="00A13E5D">
      <w:pPr>
        <w:spacing w:after="60"/>
      </w:pPr>
      <w:r w:rsidRPr="00F83CCA">
        <w:rPr>
          <w:b/>
          <w:bCs/>
          <w:i/>
          <w:iCs/>
          <w:lang w:eastAsia="hr-HR"/>
        </w:rPr>
        <w:t>Mjere za ostvarenje Cilja 1. PGO - Komunalni otpad</w:t>
      </w:r>
      <w:r w:rsidR="00F83CCA">
        <w:t xml:space="preserve"> </w:t>
      </w:r>
    </w:p>
    <w:p w14:paraId="1594251E" w14:textId="13B4159C" w:rsidR="00057576" w:rsidRPr="00F83CCA" w:rsidRDefault="00057576" w:rsidP="00F83CCA">
      <w:pPr>
        <w:numPr>
          <w:ilvl w:val="0"/>
          <w:numId w:val="140"/>
        </w:numPr>
        <w:tabs>
          <w:tab w:val="left" w:pos="431"/>
        </w:tabs>
        <w:spacing w:after="60"/>
        <w:rPr>
          <w:rFonts w:cs="Tahoma"/>
          <w:lang w:eastAsia="hr-HR"/>
        </w:rPr>
      </w:pPr>
      <w:r w:rsidRPr="00F83CCA">
        <w:rPr>
          <w:rFonts w:cs="Tahoma"/>
          <w:lang w:eastAsia="hr-HR"/>
        </w:rPr>
        <w:t>PGO Mjera 1. Unaprjeđenje sustava za odvojeno sakupljanje komunalnog otpada i infrastrukture (kapaciteta i tehnologije) za recikliranje i druge postupke oporabe komunalnog otpada</w:t>
      </w:r>
    </w:p>
    <w:p w14:paraId="26A43C8F" w14:textId="77777777" w:rsidR="00057576" w:rsidRPr="00F83CCA" w:rsidRDefault="00057576" w:rsidP="00A13E5D">
      <w:pPr>
        <w:numPr>
          <w:ilvl w:val="0"/>
          <w:numId w:val="140"/>
        </w:numPr>
        <w:tabs>
          <w:tab w:val="left" w:pos="431"/>
        </w:tabs>
        <w:spacing w:after="60"/>
        <w:rPr>
          <w:rFonts w:cs="Tahoma"/>
          <w:lang w:eastAsia="hr-HR"/>
        </w:rPr>
      </w:pPr>
      <w:r w:rsidRPr="00F83CCA">
        <w:rPr>
          <w:rFonts w:cs="Tahoma"/>
          <w:lang w:eastAsia="hr-HR"/>
        </w:rPr>
        <w:t>PGO Mjera 2. Jačanje svijesti, informiranja i edukacije o gospodarenju otpadom i proizvodima</w:t>
      </w:r>
    </w:p>
    <w:p w14:paraId="05B40C60" w14:textId="77777777" w:rsidR="00057576" w:rsidRPr="00F83CCA" w:rsidRDefault="00057576" w:rsidP="00A13E5D">
      <w:pPr>
        <w:numPr>
          <w:ilvl w:val="0"/>
          <w:numId w:val="140"/>
        </w:numPr>
        <w:tabs>
          <w:tab w:val="left" w:pos="431"/>
        </w:tabs>
        <w:spacing w:after="60"/>
        <w:rPr>
          <w:rFonts w:cs="Tahoma"/>
          <w:lang w:eastAsia="hr-HR"/>
        </w:rPr>
      </w:pPr>
      <w:r w:rsidRPr="00F83CCA">
        <w:rPr>
          <w:rFonts w:cs="Tahoma"/>
          <w:lang w:eastAsia="hr-HR"/>
        </w:rPr>
        <w:t>PGO Mjera 3. Određivanje nacionalnog sastava komunalnog otpada</w:t>
      </w:r>
    </w:p>
    <w:p w14:paraId="674B6ADB" w14:textId="77777777" w:rsidR="00057576" w:rsidRPr="00F83CCA" w:rsidRDefault="00057576" w:rsidP="00A13E5D">
      <w:pPr>
        <w:numPr>
          <w:ilvl w:val="0"/>
          <w:numId w:val="140"/>
        </w:numPr>
        <w:tabs>
          <w:tab w:val="left" w:pos="431"/>
        </w:tabs>
        <w:spacing w:after="60"/>
        <w:rPr>
          <w:rFonts w:cs="Tahoma"/>
          <w:lang w:eastAsia="hr-HR"/>
        </w:rPr>
      </w:pPr>
      <w:r w:rsidRPr="00F83CCA">
        <w:rPr>
          <w:rFonts w:cs="Tahoma"/>
          <w:lang w:eastAsia="hr-HR"/>
        </w:rPr>
        <w:t>PGO Mjera 4. Uvođenje naknade za odlaganje</w:t>
      </w:r>
    </w:p>
    <w:p w14:paraId="534F454D" w14:textId="77777777" w:rsidR="00057576" w:rsidRPr="00F83CCA" w:rsidRDefault="00057576" w:rsidP="00A13E5D">
      <w:pPr>
        <w:numPr>
          <w:ilvl w:val="0"/>
          <w:numId w:val="140"/>
        </w:numPr>
        <w:tabs>
          <w:tab w:val="left" w:pos="431"/>
        </w:tabs>
        <w:spacing w:after="60"/>
        <w:rPr>
          <w:rFonts w:cs="Tahoma"/>
          <w:lang w:eastAsia="hr-HR"/>
        </w:rPr>
      </w:pPr>
      <w:r w:rsidRPr="00F83CCA">
        <w:rPr>
          <w:rFonts w:cs="Tahoma"/>
          <w:lang w:eastAsia="hr-HR"/>
        </w:rPr>
        <w:t>PGO Mjera 5. Izgradnja centara za gospodarenje otpadom</w:t>
      </w:r>
    </w:p>
    <w:p w14:paraId="23226A79" w14:textId="77777777" w:rsidR="00057576" w:rsidRPr="00F83CCA" w:rsidRDefault="00057576" w:rsidP="00057576">
      <w:pPr>
        <w:rPr>
          <w:b/>
          <w:bCs/>
          <w:i/>
          <w:iCs/>
          <w:lang w:eastAsia="hr-HR"/>
        </w:rPr>
      </w:pPr>
      <w:r w:rsidRPr="00F83CCA">
        <w:rPr>
          <w:b/>
          <w:bCs/>
          <w:i/>
          <w:iCs/>
          <w:lang w:eastAsia="hr-HR"/>
        </w:rPr>
        <w:t>Mjere za ostvarenje Cilja 2. PGO - Otpadna ambalaža, Cilja 3. PGO - Otpadni plastični proizvodi za jednokratnu upotrebu, Cilja 4. PGO - Građevni otpad, Cilja 5. PGO - Otpadna vozila, Cilja 6. PGO - Otpadne baterije i akumulatori, Cilja 7. PGO - Otpadna električna i elektronička oprema, Cilja 8. PGO - Otpadne gume i Cilja 9. PGO - Ostale posebne kategorije otpada</w:t>
      </w:r>
    </w:p>
    <w:p w14:paraId="7A5B7314"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PGO Mjera 6. Analiza učinkovitosti sustava za gospodarenje posebnim kategorijama otpada s prijedlozima za unaprjeđenje</w:t>
      </w:r>
    </w:p>
    <w:p w14:paraId="215ABF47"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PGO Mjera 7. Unaprjeđenje sustava za gospodarenjem otpadnom ambalažom i uspostava sustava za gospodarenje otpadnim plastičnim proizvodima za jednokratnu uporabu i ribolovnim alatima koji sadrže plastiku</w:t>
      </w:r>
    </w:p>
    <w:p w14:paraId="3168C7C2"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PGO Mjera 8. Unaprjeđenje sustava za gospodarenjem građevnim otpadom i otpadom koji sadrži azbest</w:t>
      </w:r>
    </w:p>
    <w:p w14:paraId="1BC42376"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lastRenderedPageBreak/>
        <w:t>PGO Mjera 9. Unaprjeđenje sustava za gospodarenjem otpadnim vozilima, otpadnim baterijama i akumulatorima, otpadnom električnom i elektroničkom opremom i otpadnim gumama</w:t>
      </w:r>
    </w:p>
    <w:p w14:paraId="4E91325E" w14:textId="77777777" w:rsidR="00057576" w:rsidRPr="00F83CCA" w:rsidRDefault="00057576" w:rsidP="00057576">
      <w:pPr>
        <w:tabs>
          <w:tab w:val="left" w:pos="431"/>
        </w:tabs>
        <w:rPr>
          <w:rFonts w:cs="Tahoma"/>
          <w:lang w:eastAsia="hr-HR"/>
        </w:rPr>
      </w:pPr>
      <w:r w:rsidRPr="00F83CCA">
        <w:rPr>
          <w:rFonts w:cs="Tahoma"/>
          <w:b/>
          <w:bCs/>
          <w:i/>
          <w:iCs/>
          <w:lang w:eastAsia="hr-HR"/>
        </w:rPr>
        <w:t>Mjere za ostvarenje Cilja 10. PGO - Unaprijediti sustav gospodarenja opasnim otpadom</w:t>
      </w:r>
    </w:p>
    <w:p w14:paraId="33462B72" w14:textId="77777777" w:rsidR="00057576" w:rsidRPr="00F83CCA" w:rsidRDefault="00057576" w:rsidP="00057576">
      <w:pPr>
        <w:numPr>
          <w:ilvl w:val="0"/>
          <w:numId w:val="140"/>
        </w:numPr>
        <w:tabs>
          <w:tab w:val="left" w:pos="431"/>
        </w:tabs>
        <w:rPr>
          <w:rFonts w:cs="Tahoma"/>
          <w:lang w:eastAsia="hr-HR"/>
        </w:rPr>
      </w:pPr>
      <w:r w:rsidRPr="00F83CCA">
        <w:rPr>
          <w:rFonts w:cs="Tahoma"/>
          <w:lang w:eastAsia="hr-HR"/>
        </w:rPr>
        <w:t>PGO Mjera 10. Provedba projekta „Studija izvedivosti postojećih i potrebnih kapaciteta za obradu opasnog otpada i studija za identifikaciju novih lokacija onečišćenih opasnim otpadom („crne točke“)</w:t>
      </w:r>
    </w:p>
    <w:p w14:paraId="25FD9273" w14:textId="77777777" w:rsidR="00057576" w:rsidRPr="00F83CCA" w:rsidRDefault="00057576" w:rsidP="00057576">
      <w:pPr>
        <w:tabs>
          <w:tab w:val="left" w:pos="431"/>
        </w:tabs>
        <w:rPr>
          <w:rFonts w:cs="Tahoma"/>
          <w:lang w:eastAsia="hr-HR"/>
        </w:rPr>
      </w:pPr>
      <w:r w:rsidRPr="00F83CCA">
        <w:rPr>
          <w:rFonts w:cs="Tahoma"/>
          <w:b/>
          <w:bCs/>
          <w:i/>
          <w:iCs/>
          <w:lang w:eastAsia="hr-HR"/>
        </w:rPr>
        <w:t>Mjere za ostvarenje Cilja 11. PGO - Sanirati lokacije onečišćene otpadom</w:t>
      </w:r>
    </w:p>
    <w:p w14:paraId="0BE81E0C" w14:textId="77777777" w:rsidR="00057576" w:rsidRPr="00F83CCA" w:rsidRDefault="00057576" w:rsidP="00A13E5D">
      <w:pPr>
        <w:numPr>
          <w:ilvl w:val="0"/>
          <w:numId w:val="140"/>
        </w:numPr>
        <w:tabs>
          <w:tab w:val="left" w:pos="431"/>
        </w:tabs>
        <w:spacing w:after="60"/>
        <w:rPr>
          <w:rFonts w:cs="Tahoma"/>
          <w:lang w:eastAsia="hr-HR"/>
        </w:rPr>
      </w:pPr>
      <w:r w:rsidRPr="00F83CCA">
        <w:rPr>
          <w:rFonts w:cs="Tahoma"/>
          <w:lang w:eastAsia="hr-HR"/>
        </w:rPr>
        <w:t>PGO Mjera 11. Sanacija i zatvaranje odlagališta neopasnog otpada</w:t>
      </w:r>
    </w:p>
    <w:p w14:paraId="62D564C9" w14:textId="77777777" w:rsidR="00057576" w:rsidRPr="00F83CCA" w:rsidRDefault="00057576" w:rsidP="00A13E5D">
      <w:pPr>
        <w:numPr>
          <w:ilvl w:val="0"/>
          <w:numId w:val="140"/>
        </w:numPr>
        <w:tabs>
          <w:tab w:val="left" w:pos="431"/>
        </w:tabs>
        <w:spacing w:after="60"/>
        <w:rPr>
          <w:rFonts w:cs="Tahoma"/>
          <w:lang w:eastAsia="hr-HR"/>
        </w:rPr>
      </w:pPr>
      <w:r w:rsidRPr="00F83CCA">
        <w:rPr>
          <w:rFonts w:cs="Tahoma"/>
          <w:lang w:eastAsia="hr-HR"/>
        </w:rPr>
        <w:t>PGO Mjera 12. Sanacija lokacija onečišćenih opasnim otpadom („crne točke“)</w:t>
      </w:r>
    </w:p>
    <w:p w14:paraId="2F88563A" w14:textId="77777777" w:rsidR="00057576" w:rsidRPr="00F83CCA" w:rsidRDefault="00057576" w:rsidP="00A13E5D">
      <w:pPr>
        <w:numPr>
          <w:ilvl w:val="0"/>
          <w:numId w:val="140"/>
        </w:numPr>
        <w:tabs>
          <w:tab w:val="left" w:pos="431"/>
        </w:tabs>
        <w:spacing w:after="60"/>
        <w:rPr>
          <w:rFonts w:cs="Tahoma"/>
          <w:lang w:eastAsia="hr-HR"/>
        </w:rPr>
      </w:pPr>
      <w:r w:rsidRPr="00F83CCA">
        <w:rPr>
          <w:rFonts w:cs="Tahoma"/>
          <w:lang w:eastAsia="hr-HR"/>
        </w:rPr>
        <w:t>PGO Mjera 13. Sanacija lokacija onečišćenih otpadom odbačenim u okoliš</w:t>
      </w:r>
    </w:p>
    <w:p w14:paraId="1C60B56E" w14:textId="77777777" w:rsidR="00057576" w:rsidRPr="00F83CCA" w:rsidRDefault="00057576" w:rsidP="00057576">
      <w:pPr>
        <w:tabs>
          <w:tab w:val="left" w:pos="431"/>
        </w:tabs>
        <w:rPr>
          <w:rFonts w:cs="Tahoma"/>
          <w:lang w:eastAsia="hr-HR"/>
        </w:rPr>
      </w:pPr>
      <w:r w:rsidRPr="00F83CCA">
        <w:rPr>
          <w:rFonts w:cs="Tahoma"/>
          <w:b/>
          <w:bCs/>
          <w:i/>
          <w:iCs/>
          <w:lang w:eastAsia="hr-HR"/>
        </w:rPr>
        <w:t>Mjere za ostvarenje Cilja 12. PGO - Unaprijediti informacijski sustav i praćenje gospodarenja otpadom</w:t>
      </w:r>
    </w:p>
    <w:p w14:paraId="451D05F1" w14:textId="77777777" w:rsidR="00057576" w:rsidRPr="00F83CCA" w:rsidRDefault="00057576" w:rsidP="00057576">
      <w:pPr>
        <w:numPr>
          <w:ilvl w:val="0"/>
          <w:numId w:val="140"/>
        </w:numPr>
        <w:tabs>
          <w:tab w:val="left" w:pos="431"/>
        </w:tabs>
        <w:rPr>
          <w:rFonts w:cs="Tahoma"/>
          <w:lang w:eastAsia="hr-HR"/>
        </w:rPr>
      </w:pPr>
      <w:r w:rsidRPr="00F83CCA">
        <w:rPr>
          <w:rFonts w:cs="Tahoma"/>
          <w:lang w:eastAsia="hr-HR"/>
        </w:rPr>
        <w:t>PGO Mjera 14. Izrada i/ili unaprjeđenje aplikacija koje su dio informacijskog sustava gospodarenja otpadom</w:t>
      </w:r>
    </w:p>
    <w:p w14:paraId="0579C53F" w14:textId="77777777" w:rsidR="00057576" w:rsidRPr="00F83CCA" w:rsidRDefault="00057576" w:rsidP="00057576">
      <w:pPr>
        <w:numPr>
          <w:ilvl w:val="0"/>
          <w:numId w:val="140"/>
        </w:numPr>
        <w:tabs>
          <w:tab w:val="left" w:pos="431"/>
        </w:tabs>
        <w:rPr>
          <w:rFonts w:cs="Tahoma"/>
          <w:lang w:eastAsia="hr-HR"/>
        </w:rPr>
      </w:pPr>
      <w:r w:rsidRPr="00F83CCA">
        <w:rPr>
          <w:rFonts w:cs="Tahoma"/>
          <w:lang w:eastAsia="hr-HR"/>
        </w:rPr>
        <w:t>PGO Mjera 16. Izrada plana praćenja provedbe PGO-a</w:t>
      </w:r>
    </w:p>
    <w:p w14:paraId="2B90BB6F" w14:textId="77777777" w:rsidR="00057576" w:rsidRPr="00F83CCA" w:rsidRDefault="00057576" w:rsidP="00057576">
      <w:pPr>
        <w:tabs>
          <w:tab w:val="left" w:pos="431"/>
        </w:tabs>
        <w:rPr>
          <w:rFonts w:cs="Tahoma"/>
          <w:lang w:eastAsia="hr-HR"/>
        </w:rPr>
      </w:pPr>
      <w:r w:rsidRPr="00F83CCA">
        <w:rPr>
          <w:rFonts w:cs="Tahoma"/>
          <w:b/>
          <w:bCs/>
          <w:i/>
          <w:iCs/>
          <w:lang w:eastAsia="hr-HR"/>
        </w:rPr>
        <w:t>Mjere za ostvarenje Cilja 13. PGO - Unaprijediti nadzor nad gospodarenjem otpadom</w:t>
      </w:r>
    </w:p>
    <w:p w14:paraId="6A7357FB" w14:textId="77777777" w:rsidR="00057576" w:rsidRPr="00F83CCA" w:rsidRDefault="00057576" w:rsidP="00057576">
      <w:pPr>
        <w:numPr>
          <w:ilvl w:val="0"/>
          <w:numId w:val="140"/>
        </w:numPr>
        <w:tabs>
          <w:tab w:val="left" w:pos="431"/>
        </w:tabs>
        <w:rPr>
          <w:rFonts w:cs="Tahoma"/>
          <w:lang w:eastAsia="hr-HR"/>
        </w:rPr>
      </w:pPr>
      <w:r w:rsidRPr="00F83CCA">
        <w:rPr>
          <w:rFonts w:cs="Tahoma"/>
          <w:lang w:eastAsia="hr-HR"/>
        </w:rPr>
        <w:t>PGO Mjera 17. Izobrazba sudionika uključenih u nadzor gospodarenja otpadom</w:t>
      </w:r>
    </w:p>
    <w:p w14:paraId="66031D09" w14:textId="77777777" w:rsidR="00057576" w:rsidRPr="00F83CCA" w:rsidRDefault="00057576" w:rsidP="00057576">
      <w:pPr>
        <w:rPr>
          <w:rFonts w:eastAsia="Calibri"/>
          <w:b/>
          <w:bCs/>
          <w:i/>
          <w:iCs/>
          <w:kern w:val="2"/>
          <w14:ligatures w14:val="standardContextual"/>
        </w:rPr>
      </w:pPr>
      <w:r w:rsidRPr="00F83CCA">
        <w:rPr>
          <w:rFonts w:eastAsia="Calibri"/>
          <w:b/>
          <w:bCs/>
          <w:i/>
          <w:iCs/>
          <w:kern w:val="2"/>
          <w14:ligatures w14:val="standardContextual"/>
        </w:rPr>
        <w:t>Mjere PSNO</w:t>
      </w:r>
    </w:p>
    <w:p w14:paraId="207DCED8"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 xml:space="preserve">PSNO Mjera 1. Jačanje okvira politika za prijelaz na kružno gospodarstvo u građevinskom sektoru </w:t>
      </w:r>
    </w:p>
    <w:p w14:paraId="1574EF84"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 xml:space="preserve">PSNO Mjera 2. Jačanje okvira politika za sprječavanje nastanka otpada od hrane </w:t>
      </w:r>
    </w:p>
    <w:p w14:paraId="42155386"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 xml:space="preserve">PSNO Mjera 3. Unaprjeđenje sustava praćenja podataka o biootpadu </w:t>
      </w:r>
    </w:p>
    <w:p w14:paraId="47321AD7"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 xml:space="preserve">PSNO Mjera 4. Promicanje kućnog kompostiranja </w:t>
      </w:r>
    </w:p>
    <w:p w14:paraId="683C77CE"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 xml:space="preserve">PSNO Mjera 5. Poticanje smanjenja potrošnje plastičnih proizvoda za jednokratnu uporabu </w:t>
      </w:r>
    </w:p>
    <w:p w14:paraId="72CD0189"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 xml:space="preserve">PSNO Mjera 6. Poticanje kupovine ‘zelenih’ proizvoda i usluga </w:t>
      </w:r>
    </w:p>
    <w:p w14:paraId="3DC0CD98"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 xml:space="preserve">PSNO Mjera 7. Jačanje svijesti, edukacija o sprječavanju nastanka otpada i razmjena dobre prakse </w:t>
      </w:r>
    </w:p>
    <w:p w14:paraId="289C1E8E"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 xml:space="preserve">PSNO Mjera 8. Promicanje eko-dizajna (sustavne integracije aspekata zaštite okoliša u dizajn proizvoda s ciljem unapređenja ponašanja proizvoda s obzirom na zaštitu okoliša u cijelom životnom vijeku proizvoda) </w:t>
      </w:r>
    </w:p>
    <w:p w14:paraId="084CFB5D"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 xml:space="preserve">PSNO Mjera 9. Promicanje provjerenih sustava za gospodarenje okolišem, uključujući sustave EMAS i ISO 14001 </w:t>
      </w:r>
    </w:p>
    <w:p w14:paraId="0C53E718" w14:textId="77777777" w:rsidR="00057576" w:rsidRPr="00F83CCA"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 xml:space="preserve">PSNO Mjera 10. Izrada Plana sprječavanja nastanka otpada </w:t>
      </w:r>
    </w:p>
    <w:p w14:paraId="09D54210" w14:textId="77777777" w:rsidR="00057576" w:rsidRDefault="00057576" w:rsidP="000E1BA8">
      <w:pPr>
        <w:numPr>
          <w:ilvl w:val="0"/>
          <w:numId w:val="140"/>
        </w:numPr>
        <w:tabs>
          <w:tab w:val="left" w:pos="431"/>
        </w:tabs>
        <w:spacing w:after="60"/>
        <w:ind w:left="714" w:hanging="357"/>
        <w:rPr>
          <w:rFonts w:cs="Tahoma"/>
          <w:lang w:eastAsia="hr-HR"/>
        </w:rPr>
      </w:pPr>
      <w:r w:rsidRPr="00F83CCA">
        <w:rPr>
          <w:rFonts w:cs="Tahoma"/>
          <w:lang w:eastAsia="hr-HR"/>
        </w:rPr>
        <w:t xml:space="preserve">PSNO Mjera 11. Poticanje razmjene i ponovne uporabe isluženih proizvoda </w:t>
      </w:r>
    </w:p>
    <w:p w14:paraId="1630AD34" w14:textId="536A6DED" w:rsidR="0087340E" w:rsidRPr="00CB70BF" w:rsidRDefault="0087340E" w:rsidP="00CB70BF">
      <w:pPr>
        <w:rPr>
          <w:lang w:eastAsia="hr-HR"/>
        </w:rPr>
      </w:pPr>
      <w:r w:rsidRPr="0087340E">
        <w:rPr>
          <w:b/>
          <w:lang w:eastAsia="hr-HR"/>
        </w:rPr>
        <w:t>Povezanost s drugim dimenzijama:</w:t>
      </w:r>
      <w:r w:rsidRPr="00B47BDA">
        <w:rPr>
          <w:lang w:eastAsia="hr-HR"/>
        </w:rPr>
        <w:t xml:space="preserve"> Istraživanje, inovacije i konkurentnost</w:t>
      </w:r>
      <w:r>
        <w:rPr>
          <w:lang w:eastAsia="hr-HR"/>
        </w:rPr>
        <w:t>.</w:t>
      </w:r>
    </w:p>
    <w:p w14:paraId="70D75920" w14:textId="2E54F01A" w:rsidR="00805CE6" w:rsidRPr="00B47BDA" w:rsidRDefault="00805CE6" w:rsidP="004B34C2">
      <w:pPr>
        <w:pStyle w:val="Mjeranaslov"/>
        <w:rPr>
          <w:lang w:eastAsia="hr-HR"/>
        </w:rPr>
      </w:pPr>
      <w:r w:rsidRPr="00B47BDA">
        <w:rPr>
          <w:lang w:eastAsia="hr-HR"/>
        </w:rPr>
        <w:lastRenderedPageBreak/>
        <w:t>GO-1 Sprječavanje i smanjenje nastajanja otpada</w:t>
      </w:r>
    </w:p>
    <w:p w14:paraId="10831AD6" w14:textId="35CD46AA" w:rsidR="00805CE6" w:rsidRPr="00B47BDA" w:rsidRDefault="00805CE6" w:rsidP="004623DD">
      <w:pPr>
        <w:rPr>
          <w:lang w:eastAsia="hr-HR"/>
        </w:rPr>
      </w:pPr>
      <w:r w:rsidRPr="00B47BDA">
        <w:rPr>
          <w:lang w:eastAsia="hr-HR"/>
        </w:rPr>
        <w:t>Regulatorna, okolišna, ekonomska, obrazovna mjera; provedba: 202</w:t>
      </w:r>
      <w:r w:rsidR="00057576">
        <w:rPr>
          <w:lang w:eastAsia="hr-HR"/>
        </w:rPr>
        <w:t>4</w:t>
      </w:r>
      <w:r w:rsidRPr="00B47BDA">
        <w:rPr>
          <w:lang w:eastAsia="hr-HR"/>
        </w:rPr>
        <w:t>. - 2030.</w:t>
      </w:r>
    </w:p>
    <w:p w14:paraId="10A9411D" w14:textId="41A110A2" w:rsidR="00805CE6" w:rsidRPr="00B47BDA" w:rsidRDefault="00805CE6" w:rsidP="63259912">
      <w:pPr>
        <w:rPr>
          <w:lang w:eastAsia="hr-HR"/>
        </w:rPr>
      </w:pPr>
      <w:r w:rsidRPr="63259912">
        <w:rPr>
          <w:b/>
          <w:bCs/>
          <w:lang w:eastAsia="hr-HR"/>
        </w:rPr>
        <w:t>Cilj i opis mjere:</w:t>
      </w:r>
      <w:r w:rsidRPr="63259912">
        <w:rPr>
          <w:lang w:eastAsia="hr-HR"/>
        </w:rPr>
        <w:t xml:space="preserve"> Sprječavanje nastanka otpada prioritet je u redu prvenstva gospodarenja otpadom. Sprječavanje i smanjenje nastajanja otpada postiže se postupcima ponovne uporabe, </w:t>
      </w:r>
      <w:r w:rsidR="00EE4B5D" w:rsidRPr="63259912">
        <w:rPr>
          <w:lang w:eastAsia="hr-HR"/>
        </w:rPr>
        <w:t>uspostavom centara za ponovnu uporabu,</w:t>
      </w:r>
      <w:r w:rsidRPr="63259912">
        <w:rPr>
          <w:lang w:eastAsia="hr-HR"/>
        </w:rPr>
        <w:t xml:space="preserve"> primjenom instrumenata nusproizvoda i ukidanja statusa otpada te ograničavanjem stavljanja određenih proizvoda na tržište. Mjera se treba postići čistijom proizvodnjom, izobrazbom, informiranjem i projektima podizanja svijesti o održivom gospodarenju otpadom, ekonomskim instrumentima, primjenom propisa koji uređuju gospodarenje otpadom i ulaganjima u suvremene tehnologije kojima se sprječava nastajanje i/ili se smanjuje nastanak otpada.</w:t>
      </w:r>
    </w:p>
    <w:p w14:paraId="5562A911" w14:textId="77777777" w:rsidR="00AC6D07" w:rsidRPr="00BF31AD" w:rsidRDefault="00AC6D07" w:rsidP="00AC6D07">
      <w:r w:rsidRPr="00BF31AD">
        <w:t>Specifični ciljevi PSNO-a su:</w:t>
      </w:r>
    </w:p>
    <w:p w14:paraId="44FCD67B" w14:textId="77777777" w:rsidR="00AC6D07" w:rsidRPr="00BF31AD" w:rsidRDefault="00AC6D07" w:rsidP="00A13E5D">
      <w:pPr>
        <w:pStyle w:val="ListParagraph"/>
        <w:numPr>
          <w:ilvl w:val="0"/>
          <w:numId w:val="141"/>
        </w:numPr>
        <w:spacing w:after="60"/>
      </w:pPr>
      <w:r w:rsidRPr="00BF31AD">
        <w:t>Sprječavanje nastanka komunalnog otpada;</w:t>
      </w:r>
    </w:p>
    <w:p w14:paraId="32BCF657" w14:textId="77777777" w:rsidR="00AC6D07" w:rsidRPr="00BF31AD" w:rsidRDefault="00AC6D07" w:rsidP="00A13E5D">
      <w:pPr>
        <w:pStyle w:val="ListParagraph"/>
        <w:numPr>
          <w:ilvl w:val="0"/>
          <w:numId w:val="141"/>
        </w:numPr>
        <w:spacing w:after="60"/>
      </w:pPr>
      <w:r w:rsidRPr="00BF31AD">
        <w:t>Sprječavanje nastanka biootpada;</w:t>
      </w:r>
    </w:p>
    <w:p w14:paraId="1643304A" w14:textId="77777777" w:rsidR="00AC6D07" w:rsidRPr="00BF31AD" w:rsidRDefault="00AC6D07" w:rsidP="00A13E5D">
      <w:pPr>
        <w:pStyle w:val="ListParagraph"/>
        <w:numPr>
          <w:ilvl w:val="0"/>
          <w:numId w:val="141"/>
        </w:numPr>
        <w:spacing w:after="60"/>
      </w:pPr>
      <w:r w:rsidRPr="00BF31AD">
        <w:t>Sprječavanje nastanka električnog i elektroničkog otpada;</w:t>
      </w:r>
    </w:p>
    <w:p w14:paraId="2AA041B4" w14:textId="77777777" w:rsidR="00AC6D07" w:rsidRPr="00BF31AD" w:rsidRDefault="00AC6D07" w:rsidP="00A13E5D">
      <w:pPr>
        <w:pStyle w:val="ListParagraph"/>
        <w:numPr>
          <w:ilvl w:val="0"/>
          <w:numId w:val="141"/>
        </w:numPr>
        <w:spacing w:after="60"/>
      </w:pPr>
      <w:r w:rsidRPr="00BF31AD">
        <w:t>Sprječavanje nastanka otpadnog papira i kartona;</w:t>
      </w:r>
    </w:p>
    <w:p w14:paraId="6105606B" w14:textId="77777777" w:rsidR="00AC6D07" w:rsidRPr="00BF31AD" w:rsidRDefault="00AC6D07" w:rsidP="00A13E5D">
      <w:pPr>
        <w:pStyle w:val="ListParagraph"/>
        <w:numPr>
          <w:ilvl w:val="0"/>
          <w:numId w:val="141"/>
        </w:numPr>
        <w:spacing w:after="60"/>
      </w:pPr>
      <w:r w:rsidRPr="00BF31AD">
        <w:t>Sprječavanje nastanka plastičnog otpada;</w:t>
      </w:r>
    </w:p>
    <w:p w14:paraId="2650D465" w14:textId="77777777" w:rsidR="00AC6D07" w:rsidRPr="00BF31AD" w:rsidRDefault="00AC6D07" w:rsidP="00A13E5D">
      <w:pPr>
        <w:pStyle w:val="ListParagraph"/>
        <w:numPr>
          <w:ilvl w:val="0"/>
          <w:numId w:val="141"/>
        </w:numPr>
        <w:spacing w:after="60"/>
      </w:pPr>
      <w:r w:rsidRPr="00BF31AD">
        <w:t>Sprječavanje nastanka građevnog otpada;</w:t>
      </w:r>
    </w:p>
    <w:p w14:paraId="05F0F346" w14:textId="77777777" w:rsidR="00AC6D07" w:rsidRPr="00BF31AD" w:rsidRDefault="00AC6D07" w:rsidP="00A13E5D">
      <w:pPr>
        <w:pStyle w:val="ListParagraph"/>
        <w:numPr>
          <w:ilvl w:val="0"/>
          <w:numId w:val="141"/>
        </w:numPr>
        <w:spacing w:after="60"/>
      </w:pPr>
      <w:r w:rsidRPr="00BF31AD">
        <w:t>Sprječavanje nastanka otpadnog tekstila i obuće;</w:t>
      </w:r>
    </w:p>
    <w:p w14:paraId="07B169F9" w14:textId="77777777" w:rsidR="00AC6D07" w:rsidRPr="00BF31AD" w:rsidRDefault="00AC6D07" w:rsidP="00A13E5D">
      <w:pPr>
        <w:pStyle w:val="ListParagraph"/>
        <w:numPr>
          <w:ilvl w:val="0"/>
          <w:numId w:val="141"/>
        </w:numPr>
        <w:spacing w:after="60"/>
      </w:pPr>
      <w:r w:rsidRPr="00BF31AD">
        <w:t>Sprječavanje nastanka morskog otpada.</w:t>
      </w:r>
    </w:p>
    <w:p w14:paraId="3C3B2902" w14:textId="77777777" w:rsidR="00AC6D07" w:rsidRPr="00BF31AD" w:rsidRDefault="00AC6D07" w:rsidP="00AC6D07">
      <w:pPr>
        <w:rPr>
          <w:lang w:eastAsia="hr-HR"/>
        </w:rPr>
      </w:pPr>
      <w:r w:rsidRPr="00BF31AD">
        <w:rPr>
          <w:lang w:eastAsia="hr-HR"/>
        </w:rPr>
        <w:t>U mjeru GO-1 su ugrađeni ciljevi PGO-a, prema obvezama koje proizlaze iz ZGO-a odnosno EU zakonodavstva. Mjera GO-1 objedinjuje učinke sljedećih mjera iz PGO-a i PSNO-a:</w:t>
      </w:r>
    </w:p>
    <w:p w14:paraId="44A10A5E" w14:textId="77777777" w:rsidR="00AC6D07" w:rsidRPr="00BF31AD" w:rsidRDefault="00AC6D07" w:rsidP="00AC6D07">
      <w:pPr>
        <w:pStyle w:val="ListParagraph"/>
        <w:numPr>
          <w:ilvl w:val="0"/>
          <w:numId w:val="142"/>
        </w:numPr>
        <w:rPr>
          <w:lang w:eastAsia="hr-HR"/>
        </w:rPr>
      </w:pPr>
      <w:r w:rsidRPr="00BF31AD">
        <w:rPr>
          <w:lang w:eastAsia="hr-HR"/>
        </w:rPr>
        <w:t>PGO -</w:t>
      </w:r>
      <w:bookmarkStart w:id="418" w:name="_Hlk161139482"/>
      <w:r w:rsidRPr="00BF31AD">
        <w:rPr>
          <w:lang w:eastAsia="hr-HR"/>
        </w:rPr>
        <w:t xml:space="preserve"> Mjera 1, Mjera 2, </w:t>
      </w:r>
      <w:bookmarkStart w:id="419" w:name="_Hlk161402122"/>
      <w:bookmarkEnd w:id="418"/>
      <w:r w:rsidRPr="00BF31AD">
        <w:rPr>
          <w:lang w:eastAsia="hr-HR"/>
        </w:rPr>
        <w:t xml:space="preserve">Mjera 5, </w:t>
      </w:r>
      <w:bookmarkEnd w:id="419"/>
      <w:r w:rsidRPr="00BF31AD">
        <w:rPr>
          <w:lang w:eastAsia="hr-HR"/>
        </w:rPr>
        <w:t xml:space="preserve">Mjera 6, Mjera 7, Mjera 8, Mjera 9, </w:t>
      </w:r>
      <w:bookmarkStart w:id="420" w:name="_Hlk161402320"/>
      <w:r w:rsidRPr="00BF31AD">
        <w:rPr>
          <w:lang w:eastAsia="hr-HR"/>
        </w:rPr>
        <w:t>Mjera 10,</w:t>
      </w:r>
      <w:bookmarkEnd w:id="420"/>
      <w:r w:rsidRPr="00BF31AD">
        <w:rPr>
          <w:lang w:eastAsia="hr-HR"/>
        </w:rPr>
        <w:t xml:space="preserve"> Mjera 14, Mjera 15, Mjera 16, Mjera 17</w:t>
      </w:r>
    </w:p>
    <w:p w14:paraId="0C3D8D21" w14:textId="77777777" w:rsidR="00AC6D07" w:rsidRDefault="00AC6D07" w:rsidP="004E0459">
      <w:pPr>
        <w:pStyle w:val="ListParagraph"/>
        <w:numPr>
          <w:ilvl w:val="0"/>
          <w:numId w:val="142"/>
        </w:numPr>
        <w:rPr>
          <w:lang w:eastAsia="hr-HR"/>
        </w:rPr>
      </w:pPr>
      <w:r w:rsidRPr="00BF31AD">
        <w:rPr>
          <w:lang w:eastAsia="hr-HR"/>
        </w:rPr>
        <w:t>PSNO - Mjera 1, Mjera 2, Mjera 3, Mjera 4, Mjera 5, Mjera 6, Mjera 7, Mjera 8, Mjera 9, Mjera 10, Mjera 11</w:t>
      </w:r>
    </w:p>
    <w:p w14:paraId="418F0F4B" w14:textId="73C7FADA" w:rsidR="0087340E" w:rsidRDefault="0087340E" w:rsidP="0087340E">
      <w:pPr>
        <w:rPr>
          <w:lang w:eastAsia="hr-HR"/>
        </w:rPr>
      </w:pPr>
      <w:r w:rsidRPr="0087340E">
        <w:rPr>
          <w:b/>
          <w:lang w:eastAsia="hr-HR"/>
        </w:rPr>
        <w:t>Povezanost s drugim dimenzijama:</w:t>
      </w:r>
      <w:r w:rsidRPr="00B47BDA">
        <w:rPr>
          <w:lang w:eastAsia="hr-HR"/>
        </w:rPr>
        <w:t xml:space="preserve"> Istraživanje, inovacije i konkurentnost</w:t>
      </w:r>
      <w:r>
        <w:rPr>
          <w:lang w:eastAsia="hr-HR"/>
        </w:rPr>
        <w:t>.</w:t>
      </w:r>
    </w:p>
    <w:p w14:paraId="7F8BD968" w14:textId="7191023A" w:rsidR="00805CE6" w:rsidRPr="00B47BDA" w:rsidRDefault="00805CE6" w:rsidP="004B34C2">
      <w:pPr>
        <w:pStyle w:val="Mjeranaslov"/>
        <w:rPr>
          <w:lang w:eastAsia="hr-HR"/>
        </w:rPr>
      </w:pPr>
      <w:r w:rsidRPr="00B47BDA">
        <w:rPr>
          <w:lang w:eastAsia="hr-HR"/>
        </w:rPr>
        <w:t>GO-2 Povećanje mase odvojeno skupljenog i recikliranog otpada</w:t>
      </w:r>
    </w:p>
    <w:p w14:paraId="33206A76" w14:textId="4DA1619C" w:rsidR="00805CE6" w:rsidRPr="00B47BDA" w:rsidRDefault="00805CE6" w:rsidP="004623DD">
      <w:pPr>
        <w:rPr>
          <w:lang w:eastAsia="hr-HR"/>
        </w:rPr>
      </w:pPr>
      <w:r w:rsidRPr="00B47BDA">
        <w:rPr>
          <w:lang w:eastAsia="hr-HR"/>
        </w:rPr>
        <w:t>Regulatorna, okolišna, ekonomska, obrazovna mjera; provedba: 202</w:t>
      </w:r>
      <w:r w:rsidR="00AC6D07">
        <w:rPr>
          <w:lang w:eastAsia="hr-HR"/>
        </w:rPr>
        <w:t>4</w:t>
      </w:r>
      <w:r w:rsidRPr="00B47BDA">
        <w:rPr>
          <w:lang w:eastAsia="hr-HR"/>
        </w:rPr>
        <w:t>. - 2030.</w:t>
      </w:r>
    </w:p>
    <w:p w14:paraId="5B47E56B" w14:textId="5489C971" w:rsidR="00E029B9" w:rsidRPr="00BF31AD" w:rsidRDefault="00805CE6" w:rsidP="00E029B9">
      <w:r w:rsidRPr="00B47BDA">
        <w:rPr>
          <w:b/>
          <w:lang w:eastAsia="hr-HR"/>
        </w:rPr>
        <w:t>Cilj i opis mjere:</w:t>
      </w:r>
      <w:r w:rsidRPr="00B47BDA">
        <w:rPr>
          <w:lang w:eastAsia="hr-HR"/>
        </w:rPr>
        <w:t xml:space="preserve"> </w:t>
      </w:r>
      <w:r w:rsidR="00E029B9" w:rsidRPr="00BF31AD">
        <w:t>Gospodarenje komunalnim otpadom, kao jednom od prioritetnih kategorija otpada po pitanju količina i sastava, uvjetovano je zakonodavnim okvirom</w:t>
      </w:r>
      <w:r w:rsidR="00E029B9" w:rsidRPr="00BF31AD">
        <w:rPr>
          <w:lang w:eastAsia="hr-HR"/>
        </w:rPr>
        <w:t>. U mjeru su ugrađeni kvantitativni ciljevi i rokovi za povećanje mase odvojeno skupljenog i recikliranog otpada:</w:t>
      </w:r>
    </w:p>
    <w:p w14:paraId="70392B89" w14:textId="77777777" w:rsidR="00E029B9" w:rsidRPr="00BF31AD" w:rsidRDefault="00E029B9" w:rsidP="00A13E5D">
      <w:pPr>
        <w:pStyle w:val="ListParagraph"/>
        <w:numPr>
          <w:ilvl w:val="0"/>
          <w:numId w:val="143"/>
        </w:numPr>
        <w:spacing w:after="60"/>
      </w:pPr>
      <w:r w:rsidRPr="00BF31AD">
        <w:t>odvojeno prikupljanje problematičnog otpada, papira i kartona, stakla, plastike, biootpada, metala, tekstila i glomaznog otpada;</w:t>
      </w:r>
    </w:p>
    <w:p w14:paraId="5C4815A9" w14:textId="77777777" w:rsidR="00E029B9" w:rsidRPr="00BF31AD" w:rsidRDefault="00E029B9" w:rsidP="00A13E5D">
      <w:pPr>
        <w:pStyle w:val="ListParagraph"/>
        <w:numPr>
          <w:ilvl w:val="0"/>
          <w:numId w:val="143"/>
        </w:numPr>
        <w:spacing w:after="60"/>
      </w:pPr>
      <w:r w:rsidRPr="00BF31AD">
        <w:t xml:space="preserve">ispunjavanje ciljeva pripreme za ponovnu uporabu uključujući popravak i recikliranje kroz odvojeno prikupljanje papira i kartona, metala, plastike, stakla, biootpada i glomaznog otpada u minimalnom udjelu od: </w:t>
      </w:r>
    </w:p>
    <w:p w14:paraId="5473EE01" w14:textId="77777777" w:rsidR="00E029B9" w:rsidRPr="00BF31AD" w:rsidRDefault="00E029B9" w:rsidP="00A13E5D">
      <w:pPr>
        <w:pStyle w:val="ListParagraph"/>
        <w:numPr>
          <w:ilvl w:val="0"/>
          <w:numId w:val="144"/>
        </w:numPr>
        <w:spacing w:after="60"/>
        <w:ind w:left="1134" w:hanging="425"/>
      </w:pPr>
      <w:r w:rsidRPr="00BF31AD">
        <w:rPr>
          <w:b/>
          <w:bCs/>
          <w:i/>
          <w:iCs/>
        </w:rPr>
        <w:lastRenderedPageBreak/>
        <w:t>Scenarij 1 PGO-a</w:t>
      </w:r>
      <w:r w:rsidRPr="00BF31AD">
        <w:rPr>
          <w:rFonts w:cs="Calibri"/>
        </w:rPr>
        <w:t xml:space="preserve"> -</w:t>
      </w:r>
      <w:r w:rsidRPr="00BF31AD">
        <w:t xml:space="preserve"> 55%, 60%, 65% mase komunalnog otpada do 2025., 2030., 2035. godine. Scenarij 1 predviđa ispunjenje ciljeva određenih člankom 11., stavkom 2. Direktive 2008/98/EZ;</w:t>
      </w:r>
    </w:p>
    <w:p w14:paraId="7E7E6EA2" w14:textId="77777777" w:rsidR="00E029B9" w:rsidRPr="00BF31AD" w:rsidRDefault="00E029B9" w:rsidP="00A13E5D">
      <w:pPr>
        <w:pStyle w:val="ListParagraph"/>
        <w:numPr>
          <w:ilvl w:val="0"/>
          <w:numId w:val="144"/>
        </w:numPr>
        <w:spacing w:after="60"/>
        <w:ind w:left="1134" w:hanging="425"/>
      </w:pPr>
      <w:r w:rsidRPr="00BF31AD">
        <w:rPr>
          <w:b/>
          <w:bCs/>
          <w:i/>
          <w:iCs/>
        </w:rPr>
        <w:t>Scenarij 2 PGO-a</w:t>
      </w:r>
      <w:r w:rsidRPr="00BF31AD">
        <w:rPr>
          <w:rFonts w:cs="Calibri"/>
        </w:rPr>
        <w:t xml:space="preserve"> -</w:t>
      </w:r>
      <w:r w:rsidRPr="00BF31AD">
        <w:t xml:space="preserve"> 50%, 55%, 60% mase komunalnog otpada do 2025., 2030., 2035. godine. Scenarij 2 predviđa odgodu ispunjenja ciljeva određenih člankom 11., stavkom 2. za 5 godina sukladno članku 11. stavcima 3. i 5. Direktive 2008/98/EZ;</w:t>
      </w:r>
    </w:p>
    <w:p w14:paraId="536727A0" w14:textId="77777777" w:rsidR="00E029B9" w:rsidRPr="00BF31AD" w:rsidRDefault="00E029B9" w:rsidP="00A13E5D">
      <w:pPr>
        <w:pStyle w:val="ListParagraph"/>
        <w:numPr>
          <w:ilvl w:val="0"/>
          <w:numId w:val="145"/>
        </w:numPr>
        <w:spacing w:after="60"/>
      </w:pPr>
      <w:r w:rsidRPr="00BF31AD">
        <w:t>ograničenje za odlaganje za sav otpad koji je pogodan za recikliranje i druge postupke materijalne i energetske oporabe do 2030. godine;</w:t>
      </w:r>
    </w:p>
    <w:p w14:paraId="3767F8D2" w14:textId="77777777" w:rsidR="00E029B9" w:rsidRPr="00BF31AD" w:rsidRDefault="00E029B9" w:rsidP="00A13E5D">
      <w:pPr>
        <w:pStyle w:val="ListParagraph"/>
        <w:numPr>
          <w:ilvl w:val="0"/>
          <w:numId w:val="145"/>
        </w:numPr>
        <w:spacing w:after="60"/>
      </w:pPr>
      <w:r w:rsidRPr="00BF31AD">
        <w:t>ograničenje količine komunalnog otpada koji se odlaže:</w:t>
      </w:r>
    </w:p>
    <w:p w14:paraId="2AC16602" w14:textId="77777777" w:rsidR="00E029B9" w:rsidRPr="00BF31AD" w:rsidRDefault="00E029B9" w:rsidP="00E029B9">
      <w:pPr>
        <w:pStyle w:val="ListParagraph"/>
        <w:numPr>
          <w:ilvl w:val="0"/>
          <w:numId w:val="144"/>
        </w:numPr>
        <w:ind w:left="1134" w:hanging="425"/>
      </w:pPr>
      <w:r w:rsidRPr="00BF31AD">
        <w:rPr>
          <w:b/>
          <w:bCs/>
          <w:i/>
          <w:iCs/>
        </w:rPr>
        <w:t>Scenarij 1 PGO-a</w:t>
      </w:r>
      <w:r w:rsidRPr="00BF31AD">
        <w:rPr>
          <w:i/>
          <w:iCs/>
        </w:rPr>
        <w:t xml:space="preserve"> </w:t>
      </w:r>
      <w:r w:rsidRPr="00BF31AD">
        <w:t>- na najviše 10% ukupne količine (po masi) nastalog komunalnog otpada do 2035. godine. Scenarij 1 predviđa ispunjenje ciljeva određenih člankom 5., stavkom 5. Direktive 1999/31/EZ;</w:t>
      </w:r>
    </w:p>
    <w:p w14:paraId="58732CC6" w14:textId="77777777" w:rsidR="00E029B9" w:rsidRPr="00BF31AD" w:rsidRDefault="00E029B9" w:rsidP="00E029B9">
      <w:pPr>
        <w:pStyle w:val="ListParagraph"/>
        <w:numPr>
          <w:ilvl w:val="0"/>
          <w:numId w:val="144"/>
        </w:numPr>
        <w:ind w:left="1134" w:hanging="425"/>
      </w:pPr>
      <w:bookmarkStart w:id="421" w:name="_Hlk161322405"/>
      <w:r w:rsidRPr="00BF31AD">
        <w:rPr>
          <w:b/>
          <w:bCs/>
          <w:i/>
          <w:iCs/>
        </w:rPr>
        <w:t>Scenarij 2 PGO-a</w:t>
      </w:r>
      <w:bookmarkEnd w:id="421"/>
      <w:r w:rsidRPr="00BF31AD">
        <w:rPr>
          <w:i/>
          <w:iCs/>
        </w:rPr>
        <w:t xml:space="preserve"> </w:t>
      </w:r>
      <w:r w:rsidRPr="00BF31AD">
        <w:t>- na najviše 10% ukupne količine (po masi) nastalog komunalnog otpada do 2040. i na najviše 25% ukupne količine (po masi) nastalog komunalnog otpada do 2035. godine. Scenarij 2 predviđa ispunjenje ciljeva određenih člankom 5., stavcima 6. i 8. Direktive 1999/31/EZ;</w:t>
      </w:r>
    </w:p>
    <w:p w14:paraId="55897DCC" w14:textId="77777777" w:rsidR="00E029B9" w:rsidRPr="00BF31AD" w:rsidRDefault="00E029B9" w:rsidP="00166AB5">
      <w:pPr>
        <w:pStyle w:val="ListParagraph"/>
        <w:numPr>
          <w:ilvl w:val="0"/>
          <w:numId w:val="145"/>
        </w:numPr>
        <w:spacing w:after="60"/>
      </w:pPr>
      <w:r w:rsidRPr="00BF31AD">
        <w:t>obavezna obrada otpada prije odlaganja;</w:t>
      </w:r>
    </w:p>
    <w:p w14:paraId="16ABDB18" w14:textId="77777777" w:rsidR="00E029B9" w:rsidRPr="00BF31AD" w:rsidRDefault="00E029B9" w:rsidP="00166AB5">
      <w:pPr>
        <w:pStyle w:val="ListParagraph"/>
        <w:numPr>
          <w:ilvl w:val="0"/>
          <w:numId w:val="145"/>
        </w:numPr>
        <w:spacing w:after="60"/>
      </w:pPr>
      <w:r w:rsidRPr="00BF31AD">
        <w:t>smanjenje količina biorazgradivog komunalnog otpada koji se odlaže na odlagališta.</w:t>
      </w:r>
    </w:p>
    <w:p w14:paraId="5A00F558" w14:textId="23AF79F4" w:rsidR="00E029B9" w:rsidRPr="00BF31AD" w:rsidRDefault="00E029B9" w:rsidP="00E029B9">
      <w:r w:rsidRPr="00BF31AD">
        <w:t xml:space="preserve">Ciljevi PGO-a obuhvaćeni su Scenarijem 1, dok će se produljenje roka do 2030. godine uključeno u Scenarij 2 zatražiti kao zaštitna mjera za izbjegavanje situacije kršenja Direktive 2008/98/EZ u slučaju da se tijekom provedbe PGO-a pokaže da postizanje cilja od najmanje 55% za recikliranje, razvrstavanje, ponovnu upotrebu i popravak otpada do 2025. godine nije moguće. </w:t>
      </w:r>
    </w:p>
    <w:p w14:paraId="3509FEC7" w14:textId="77777777" w:rsidR="00340FE9" w:rsidRDefault="00E029B9" w:rsidP="00E029B9">
      <w:bookmarkStart w:id="422" w:name="_Hlk161406778"/>
      <w:r w:rsidRPr="00BF31AD">
        <w:rPr>
          <w:lang w:eastAsia="hr-HR"/>
        </w:rPr>
        <w:t>U mjeru GO-2 su ugrađeni ciljevi PGO-a, prema obvezama koje proizlaze iz ZGO-a odnosno EU zakonodavstva. Mjera GO-2 objedinjuje učinke sljedećih mjera iz PGO-a i PSNO-a:</w:t>
      </w:r>
    </w:p>
    <w:p w14:paraId="6F60ACAA" w14:textId="79D9D695" w:rsidR="00E029B9" w:rsidRPr="00340FE9" w:rsidRDefault="00E029B9" w:rsidP="00340FE9">
      <w:pPr>
        <w:pStyle w:val="ListParagraph"/>
        <w:numPr>
          <w:ilvl w:val="0"/>
          <w:numId w:val="140"/>
        </w:numPr>
        <w:rPr>
          <w:rFonts w:cs="Times New Roman"/>
          <w:lang w:eastAsia="hr-HR"/>
        </w:rPr>
      </w:pPr>
      <w:r w:rsidRPr="00340FE9">
        <w:rPr>
          <w:rFonts w:cs="Times New Roman"/>
          <w:lang w:eastAsia="hr-HR"/>
        </w:rPr>
        <w:t xml:space="preserve">PGO - Mjera 1, </w:t>
      </w:r>
      <w:bookmarkStart w:id="423" w:name="_Hlk161402689"/>
      <w:r w:rsidRPr="00340FE9">
        <w:rPr>
          <w:rFonts w:cs="Times New Roman"/>
          <w:lang w:eastAsia="hr-HR"/>
        </w:rPr>
        <w:t xml:space="preserve">Mjera 2, </w:t>
      </w:r>
      <w:bookmarkEnd w:id="423"/>
      <w:r w:rsidRPr="00340FE9">
        <w:rPr>
          <w:rFonts w:cs="Times New Roman"/>
          <w:lang w:eastAsia="hr-HR"/>
        </w:rPr>
        <w:t>Mjera 3, Mjera 4, Mjera 5, Mjera 6, Mjera 7, Mjera 8, Mjera 9, Mjera 11, Mjera 12, Mjera 13, Mjera 14</w:t>
      </w:r>
      <w:bookmarkStart w:id="424" w:name="_Hlk161406949"/>
      <w:bookmarkEnd w:id="422"/>
    </w:p>
    <w:bookmarkEnd w:id="424"/>
    <w:p w14:paraId="44AFEA7E" w14:textId="77777777" w:rsidR="00E029B9" w:rsidRPr="0087340E" w:rsidRDefault="00E029B9" w:rsidP="00E029B9">
      <w:pPr>
        <w:pStyle w:val="ListParagraph"/>
        <w:numPr>
          <w:ilvl w:val="0"/>
          <w:numId w:val="140"/>
        </w:numPr>
        <w:rPr>
          <w:lang w:eastAsia="hr-HR"/>
        </w:rPr>
      </w:pPr>
      <w:r w:rsidRPr="00340FE9">
        <w:rPr>
          <w:rFonts w:cs="Times New Roman"/>
          <w:lang w:eastAsia="hr-HR"/>
        </w:rPr>
        <w:t>PSNO - Mjera 1, Mjera 2, Mjera 3, Mjera 4, Mjera 5, Mjera 8, Mjera 9, Mjera 11</w:t>
      </w:r>
    </w:p>
    <w:p w14:paraId="17B2F007" w14:textId="2F08A548" w:rsidR="0087340E" w:rsidRPr="00340FE9" w:rsidRDefault="0087340E" w:rsidP="0087340E">
      <w:pPr>
        <w:rPr>
          <w:lang w:eastAsia="hr-HR"/>
        </w:rPr>
      </w:pPr>
      <w:r w:rsidRPr="0087340E">
        <w:rPr>
          <w:b/>
          <w:lang w:eastAsia="hr-HR"/>
        </w:rPr>
        <w:t>Povezanost s drugim dimenzijama:</w:t>
      </w:r>
      <w:r w:rsidRPr="00B47BDA">
        <w:rPr>
          <w:lang w:eastAsia="hr-HR"/>
        </w:rPr>
        <w:t xml:space="preserve"> Istraživanje, inovacije i konkurentnost</w:t>
      </w:r>
      <w:r>
        <w:rPr>
          <w:lang w:eastAsia="hr-HR"/>
        </w:rPr>
        <w:t>.</w:t>
      </w:r>
    </w:p>
    <w:p w14:paraId="44B474A3" w14:textId="281992EF" w:rsidR="004F0DC8" w:rsidRPr="00AF40E5" w:rsidRDefault="004F0DC8" w:rsidP="004B34C2">
      <w:pPr>
        <w:pStyle w:val="Mjeranaslov"/>
        <w:rPr>
          <w:lang w:eastAsia="hr-HR"/>
        </w:rPr>
      </w:pPr>
      <w:r w:rsidRPr="00AF40E5">
        <w:rPr>
          <w:lang w:eastAsia="hr-HR"/>
        </w:rPr>
        <w:t>GO-3 Smanjenje mase odloženog biorazgradivog otpada</w:t>
      </w:r>
    </w:p>
    <w:p w14:paraId="59EB60DD" w14:textId="42559DF2" w:rsidR="004F0DC8" w:rsidRPr="00AF40E5" w:rsidRDefault="004F0DC8" w:rsidP="004623DD">
      <w:pPr>
        <w:rPr>
          <w:lang w:eastAsia="hr-HR"/>
        </w:rPr>
      </w:pPr>
      <w:r w:rsidRPr="00AF40E5">
        <w:rPr>
          <w:lang w:eastAsia="hr-HR"/>
        </w:rPr>
        <w:t>Regulatorna, okolišna, ekonomska, obrazovna mjera; provedba: 202</w:t>
      </w:r>
      <w:r w:rsidR="00315900">
        <w:rPr>
          <w:lang w:eastAsia="hr-HR"/>
        </w:rPr>
        <w:t>4</w:t>
      </w:r>
      <w:r w:rsidRPr="00AF40E5">
        <w:rPr>
          <w:lang w:eastAsia="hr-HR"/>
        </w:rPr>
        <w:t>. - 2030.</w:t>
      </w:r>
    </w:p>
    <w:p w14:paraId="728D2B08" w14:textId="77777777" w:rsidR="00C42C7D" w:rsidRPr="00DD6E21" w:rsidRDefault="004F0DC8" w:rsidP="00C42C7D">
      <w:pPr>
        <w:rPr>
          <w:rFonts w:cs="Tahoma"/>
          <w:lang w:eastAsia="hr-HR"/>
        </w:rPr>
      </w:pPr>
      <w:r w:rsidRPr="00805CE6">
        <w:rPr>
          <w:b/>
          <w:lang w:eastAsia="hr-HR"/>
        </w:rPr>
        <w:t>Cilj i opis mjere:</w:t>
      </w:r>
      <w:r w:rsidRPr="00805CE6">
        <w:rPr>
          <w:lang w:eastAsia="hr-HR"/>
        </w:rPr>
        <w:t xml:space="preserve"> Cilj mjere je smanjiti masu biorazgradive frakcije otpada koja se odlaže na odlagališta, čime se smanjuje emisija metana nastalog anaerobnim procesima razgradnje otpada</w:t>
      </w:r>
      <w:r w:rsidRPr="00C42C7D">
        <w:rPr>
          <w:lang w:eastAsia="hr-HR"/>
        </w:rPr>
        <w:t xml:space="preserve">. </w:t>
      </w:r>
      <w:r w:rsidR="00C42C7D" w:rsidRPr="00DD6E21">
        <w:rPr>
          <w:lang w:eastAsia="hr-HR"/>
        </w:rPr>
        <w:t xml:space="preserve">U mjeru GO-3 su ugrađeni ciljevi PGO-a, prema obvezama koje proizlaze iz ZGO-a odnosno EU zakonodavstva: </w:t>
      </w:r>
    </w:p>
    <w:p w14:paraId="2CB8D15C" w14:textId="77777777" w:rsidR="00C42C7D" w:rsidRPr="00DD6E21" w:rsidRDefault="00C42C7D" w:rsidP="00166AB5">
      <w:pPr>
        <w:pStyle w:val="ListParagraph"/>
        <w:numPr>
          <w:ilvl w:val="0"/>
          <w:numId w:val="147"/>
        </w:numPr>
        <w:spacing w:after="60"/>
        <w:rPr>
          <w:lang w:eastAsia="hr-HR"/>
        </w:rPr>
      </w:pPr>
      <w:r w:rsidRPr="00DD6E21">
        <w:t>svim dozvolama za gospodarenje otpadom u RH dopustiti, u jednoj kalendarskoj godini može se dopustiti odlaganje najviše 264.661 tone mase biorazgradivog komunalnog otpada (35 % mase biorazgradivog komunalnog otpada proizvedenog u 1997. godini);</w:t>
      </w:r>
    </w:p>
    <w:p w14:paraId="49448F36" w14:textId="77777777" w:rsidR="00C42C7D" w:rsidRPr="00DD6E21" w:rsidRDefault="00C42C7D" w:rsidP="00166AB5">
      <w:pPr>
        <w:pStyle w:val="ListParagraph"/>
        <w:numPr>
          <w:ilvl w:val="0"/>
          <w:numId w:val="146"/>
        </w:numPr>
        <w:spacing w:after="60"/>
        <w:rPr>
          <w:lang w:eastAsia="hr-HR"/>
        </w:rPr>
      </w:pPr>
      <w:r w:rsidRPr="00DD6E21">
        <w:lastRenderedPageBreak/>
        <w:t>unaprijediti sustav za skupljanje i oporabu biootpada kako bi se odvojeno sakupilo i recikliralo 36 % biootpada iz komunalnog otpada.</w:t>
      </w:r>
    </w:p>
    <w:p w14:paraId="6636EDD2" w14:textId="77777777" w:rsidR="00C42C7D" w:rsidRPr="00DD6E21" w:rsidRDefault="00C42C7D" w:rsidP="00C42C7D">
      <w:pPr>
        <w:rPr>
          <w:lang w:eastAsia="hr-HR"/>
        </w:rPr>
      </w:pPr>
      <w:r w:rsidRPr="00DD6E21">
        <w:rPr>
          <w:lang w:eastAsia="hr-HR"/>
        </w:rPr>
        <w:t>Primjena obvezujućih ciljeva vezanih uz odlaganje i recikliranje otpada opisanih u mjeri GO-2 pozitivno utječe na smanjenje mase odloženog biorazgradivog otpada.</w:t>
      </w:r>
    </w:p>
    <w:p w14:paraId="644E7E02" w14:textId="77777777" w:rsidR="00C42C7D" w:rsidRPr="00DD6E21" w:rsidRDefault="00C42C7D" w:rsidP="00C42C7D">
      <w:pPr>
        <w:rPr>
          <w:lang w:eastAsia="hr-HR"/>
        </w:rPr>
      </w:pPr>
      <w:r w:rsidRPr="00DD6E21">
        <w:rPr>
          <w:lang w:eastAsia="hr-HR"/>
        </w:rPr>
        <w:t>Mjera GO-3 objedinjuje učinke sljedećih mjera iz PGO-a i PSNO-a:</w:t>
      </w:r>
    </w:p>
    <w:p w14:paraId="32450212" w14:textId="77777777" w:rsidR="00C42C7D" w:rsidRPr="00DD6E21" w:rsidRDefault="00C42C7D" w:rsidP="00166AB5">
      <w:pPr>
        <w:pStyle w:val="ListParagraph"/>
        <w:numPr>
          <w:ilvl w:val="0"/>
          <w:numId w:val="140"/>
        </w:numPr>
        <w:spacing w:after="60"/>
        <w:rPr>
          <w:lang w:eastAsia="hr-HR"/>
        </w:rPr>
      </w:pPr>
      <w:r w:rsidRPr="00DD6E21">
        <w:rPr>
          <w:rFonts w:cs="Times New Roman"/>
          <w:lang w:eastAsia="hr-HR"/>
        </w:rPr>
        <w:t>PGO - Mjera 1, Mjera 2, Mjera 3, Mjera 4, Mjera 5, Mjera 7, Mjera 8, Mjera 9, Mjera 11, Mjera 14</w:t>
      </w:r>
    </w:p>
    <w:p w14:paraId="46F1D43A" w14:textId="7D561C12" w:rsidR="004F0DC8" w:rsidRPr="00DD1F68" w:rsidRDefault="00C42C7D" w:rsidP="004623DD">
      <w:pPr>
        <w:pStyle w:val="ListParagraph"/>
        <w:numPr>
          <w:ilvl w:val="0"/>
          <w:numId w:val="140"/>
        </w:numPr>
        <w:spacing w:after="60"/>
        <w:rPr>
          <w:b/>
          <w:bCs/>
          <w:i/>
          <w:iCs/>
          <w:lang w:eastAsia="hr-HR"/>
        </w:rPr>
      </w:pPr>
      <w:r w:rsidRPr="00DD6E21">
        <w:rPr>
          <w:rFonts w:cs="Times New Roman"/>
          <w:lang w:eastAsia="hr-HR"/>
        </w:rPr>
        <w:t>PSNO - Mjera 1, Mjera 2, Mjera 3, Mjera 4, Mjera 6, Mjera 8, Mjera 9</w:t>
      </w:r>
    </w:p>
    <w:p w14:paraId="5049E204" w14:textId="6CD6499C" w:rsidR="00D51441" w:rsidRDefault="00DD1F68" w:rsidP="00DD1F68">
      <w:pPr>
        <w:rPr>
          <w:lang w:eastAsia="hr-HR"/>
        </w:rPr>
      </w:pPr>
      <w:r w:rsidRPr="00DD1F68">
        <w:rPr>
          <w:b/>
          <w:lang w:eastAsia="hr-HR"/>
        </w:rPr>
        <w:t>Povezanost s drugim dimenzijama:</w:t>
      </w:r>
      <w:r w:rsidRPr="00B47BDA">
        <w:rPr>
          <w:lang w:eastAsia="hr-HR"/>
        </w:rPr>
        <w:t xml:space="preserve"> Istraživanje, inovacije i konkurentnost</w:t>
      </w:r>
      <w:r>
        <w:rPr>
          <w:lang w:eastAsia="hr-HR"/>
        </w:rPr>
        <w:t>.</w:t>
      </w:r>
    </w:p>
    <w:p w14:paraId="58D10380" w14:textId="0C0BCDF5" w:rsidR="0043182B" w:rsidRPr="008B4BCB" w:rsidRDefault="008B4BCB" w:rsidP="004B34C2">
      <w:pPr>
        <w:pStyle w:val="Mjeranaslov"/>
        <w:rPr>
          <w:lang w:eastAsia="hr-HR"/>
        </w:rPr>
      </w:pPr>
      <w:r w:rsidRPr="008B4BCB">
        <w:rPr>
          <w:lang w:eastAsia="hr-HR"/>
        </w:rPr>
        <w:t>GO-4</w:t>
      </w:r>
      <w:r w:rsidR="0043182B" w:rsidRPr="008B4BCB">
        <w:rPr>
          <w:lang w:eastAsia="hr-HR"/>
        </w:rPr>
        <w:t xml:space="preserve"> Osiguravanje sustava obrade i korištenja odlagališnog plina</w:t>
      </w:r>
    </w:p>
    <w:p w14:paraId="658021A9" w14:textId="7275A50F" w:rsidR="0043182B" w:rsidRPr="00F60180" w:rsidRDefault="0043182B" w:rsidP="008B4BCB">
      <w:pPr>
        <w:keepNext/>
        <w:rPr>
          <w:bCs/>
          <w:lang w:eastAsia="hr-HR"/>
        </w:rPr>
      </w:pPr>
      <w:r w:rsidRPr="00F60180">
        <w:rPr>
          <w:bCs/>
          <w:lang w:eastAsia="hr-HR"/>
        </w:rPr>
        <w:t>Regulatorna, okolišna, ekonomska, obrazovna mjera; provedba: 202</w:t>
      </w:r>
      <w:r w:rsidR="00410E26" w:rsidRPr="00F60180">
        <w:rPr>
          <w:bCs/>
          <w:lang w:eastAsia="hr-HR"/>
        </w:rPr>
        <w:t>4</w:t>
      </w:r>
      <w:r w:rsidRPr="00F60180">
        <w:rPr>
          <w:bCs/>
          <w:lang w:eastAsia="hr-HR"/>
        </w:rPr>
        <w:t>. - 2030.</w:t>
      </w:r>
    </w:p>
    <w:p w14:paraId="7F983A44" w14:textId="2E949A23" w:rsidR="0043182B" w:rsidRPr="00B47BDA" w:rsidRDefault="00422DFB" w:rsidP="004623DD">
      <w:pPr>
        <w:rPr>
          <w:lang w:eastAsia="hr-HR"/>
        </w:rPr>
      </w:pPr>
      <w:r w:rsidRPr="00805CE6">
        <w:rPr>
          <w:b/>
          <w:lang w:eastAsia="hr-HR"/>
        </w:rPr>
        <w:t>Cilj i opis mjere:</w:t>
      </w:r>
      <w:r w:rsidRPr="00805CE6">
        <w:rPr>
          <w:lang w:eastAsia="hr-HR"/>
        </w:rPr>
        <w:t xml:space="preserve"> </w:t>
      </w:r>
      <w:r w:rsidR="0043182B" w:rsidRPr="00B47BDA">
        <w:rPr>
          <w:lang w:eastAsia="hr-HR"/>
        </w:rPr>
        <w:t>Pravilnik o odlagalištima otpada (</w:t>
      </w:r>
      <w:r w:rsidR="000869C7">
        <w:rPr>
          <w:lang w:eastAsia="hr-HR"/>
        </w:rPr>
        <w:t>„</w:t>
      </w:r>
      <w:r w:rsidR="00071A4F" w:rsidRPr="00071A4F">
        <w:rPr>
          <w:lang w:eastAsia="hr-HR"/>
        </w:rPr>
        <w:t xml:space="preserve">Narodne </w:t>
      </w:r>
      <w:r w:rsidR="00A97AE7">
        <w:rPr>
          <w:lang w:eastAsia="hr-HR"/>
        </w:rPr>
        <w:t>novine</w:t>
      </w:r>
      <w:r w:rsidR="000869C7">
        <w:rPr>
          <w:lang w:eastAsia="hr-HR"/>
        </w:rPr>
        <w:t>“</w:t>
      </w:r>
      <w:r w:rsidR="00071A4F" w:rsidRPr="00071A4F">
        <w:rPr>
          <w:lang w:eastAsia="hr-HR"/>
        </w:rPr>
        <w:t xml:space="preserve">, </w:t>
      </w:r>
      <w:r w:rsidR="00004BB0">
        <w:rPr>
          <w:lang w:eastAsia="hr-HR"/>
        </w:rPr>
        <w:t>br</w:t>
      </w:r>
      <w:r w:rsidR="00484A11">
        <w:rPr>
          <w:lang w:eastAsia="hr-HR"/>
        </w:rPr>
        <w:t>.</w:t>
      </w:r>
      <w:r w:rsidR="0043182B" w:rsidRPr="00B47BDA">
        <w:rPr>
          <w:lang w:eastAsia="hr-HR"/>
        </w:rPr>
        <w:t xml:space="preserve"> 4</w:t>
      </w:r>
      <w:r w:rsidR="005B41DA">
        <w:rPr>
          <w:lang w:eastAsia="hr-HR"/>
        </w:rPr>
        <w:t>/23</w:t>
      </w:r>
      <w:r w:rsidR="00484A11">
        <w:rPr>
          <w:lang w:eastAsia="hr-HR"/>
        </w:rPr>
        <w:t>.</w:t>
      </w:r>
      <w:r w:rsidR="0043182B" w:rsidRPr="00B47BDA">
        <w:rPr>
          <w:lang w:eastAsia="hr-HR"/>
        </w:rPr>
        <w:t>) određuje uvjete rada odlagališta otpada kojima se smanjuju moguće štetne posljedice odlagališta na okoliš. Odlagališni plin se sakuplja sa svih odlagališta koja primaju biorazgradivi otpad. Sakupljeni odlagališni plin treba obraditi i koristiti. Ako se sakupljeni plin ne može upotrijebiti za dobivanje energije, treba ga spaliti i spriječiti emisiju metana u atmosferu.</w:t>
      </w:r>
    </w:p>
    <w:p w14:paraId="0E0035CC" w14:textId="2DBCD04B" w:rsidR="0043182B" w:rsidRPr="00B47BDA" w:rsidRDefault="0043182B" w:rsidP="004623DD">
      <w:pPr>
        <w:rPr>
          <w:lang w:eastAsia="hr-HR"/>
        </w:rPr>
      </w:pPr>
      <w:r w:rsidRPr="00B47BDA">
        <w:rPr>
          <w:lang w:eastAsia="hr-HR"/>
        </w:rPr>
        <w:t>Primjena obvezujućih ciljeva vezanih uz odlaganj</w:t>
      </w:r>
      <w:r w:rsidR="00194BF3">
        <w:rPr>
          <w:lang w:eastAsia="hr-HR"/>
        </w:rPr>
        <w:t>e</w:t>
      </w:r>
      <w:r w:rsidRPr="00B47BDA">
        <w:rPr>
          <w:lang w:eastAsia="hr-HR"/>
        </w:rPr>
        <w:t xml:space="preserve"> i recikliranje otpada opisanih u mjer</w:t>
      </w:r>
      <w:r w:rsidR="00194BF3">
        <w:rPr>
          <w:lang w:eastAsia="hr-HR"/>
        </w:rPr>
        <w:t xml:space="preserve">i GO-2 </w:t>
      </w:r>
      <w:r w:rsidRPr="00B47BDA">
        <w:rPr>
          <w:lang w:eastAsia="hr-HR"/>
        </w:rPr>
        <w:t>pozitivno utječ</w:t>
      </w:r>
      <w:r w:rsidR="00194BF3">
        <w:rPr>
          <w:lang w:eastAsia="hr-HR"/>
        </w:rPr>
        <w:t>e</w:t>
      </w:r>
      <w:r w:rsidRPr="00B47BDA">
        <w:rPr>
          <w:lang w:eastAsia="hr-HR"/>
        </w:rPr>
        <w:t xml:space="preserve"> na smanjenje količine nastalog odlagališnog plina.</w:t>
      </w:r>
    </w:p>
    <w:p w14:paraId="24BD8444" w14:textId="77777777" w:rsidR="00F05907" w:rsidRPr="00DD6E21" w:rsidRDefault="00F05907" w:rsidP="00F05907">
      <w:pPr>
        <w:rPr>
          <w:lang w:eastAsia="hr-HR"/>
        </w:rPr>
      </w:pPr>
      <w:r w:rsidRPr="00DD6E21">
        <w:rPr>
          <w:lang w:eastAsia="hr-HR"/>
        </w:rPr>
        <w:t>Mjera GO-4 objedinjuje učinke sljedećih mjera iz PGO-a i PSNO-a:</w:t>
      </w:r>
    </w:p>
    <w:p w14:paraId="1587EEF6" w14:textId="77777777" w:rsidR="00F05907" w:rsidRPr="00DD6E21" w:rsidRDefault="00F05907" w:rsidP="00166AB5">
      <w:pPr>
        <w:pStyle w:val="ListParagraph"/>
        <w:numPr>
          <w:ilvl w:val="0"/>
          <w:numId w:val="140"/>
        </w:numPr>
        <w:spacing w:after="60"/>
        <w:rPr>
          <w:lang w:eastAsia="hr-HR"/>
        </w:rPr>
      </w:pPr>
      <w:r w:rsidRPr="00DD6E21">
        <w:rPr>
          <w:rFonts w:cs="Times New Roman"/>
          <w:lang w:eastAsia="hr-HR"/>
        </w:rPr>
        <w:t>PGO - Mjera 1, Mjera 5, Mjera 7, Mjera 8, Mjera 9, Mjera 11, Mjera 14</w:t>
      </w:r>
    </w:p>
    <w:p w14:paraId="1AE70712" w14:textId="77777777" w:rsidR="00F05907" w:rsidRPr="00DD6E21" w:rsidRDefault="00F05907" w:rsidP="00166AB5">
      <w:pPr>
        <w:pStyle w:val="ListParagraph"/>
        <w:numPr>
          <w:ilvl w:val="0"/>
          <w:numId w:val="140"/>
        </w:numPr>
        <w:spacing w:after="60"/>
        <w:rPr>
          <w:b/>
          <w:bCs/>
          <w:i/>
          <w:iCs/>
          <w:lang w:eastAsia="hr-HR"/>
        </w:rPr>
      </w:pPr>
      <w:r w:rsidRPr="00DD6E21">
        <w:rPr>
          <w:rFonts w:cs="Times New Roman"/>
          <w:lang w:eastAsia="hr-HR"/>
        </w:rPr>
        <w:t>PSNO - Mjera 1, Mjera 2, Mjera 3, Mjera 4, Mjera 8, Mjera 9</w:t>
      </w:r>
    </w:p>
    <w:p w14:paraId="2C06FDC1" w14:textId="77777777" w:rsidR="00F05907" w:rsidRPr="00DD6E21" w:rsidRDefault="00F05907" w:rsidP="00F05907">
      <w:pPr>
        <w:rPr>
          <w:i/>
          <w:iCs/>
          <w:lang w:eastAsia="hr-HR"/>
        </w:rPr>
      </w:pPr>
      <w:r w:rsidRPr="00DD6E21">
        <w:rPr>
          <w:i/>
          <w:iCs/>
          <w:lang w:eastAsia="hr-HR"/>
        </w:rPr>
        <w:t>Kako je u uvodnom poglavlju istaknuto, potrebno je promatrati zajednički učinak mjera, budući se mjere međusobno nadopunjuju. Iz tog razloga se daljnja razrada mjera GO-1, GO-2, GO-3 i GO-4 prikazuje zajedno.</w:t>
      </w:r>
    </w:p>
    <w:p w14:paraId="2341A224" w14:textId="77777777" w:rsidR="00F05907" w:rsidRPr="00DD6E21" w:rsidRDefault="00F05907" w:rsidP="00F05907">
      <w:pPr>
        <w:rPr>
          <w:b/>
          <w:lang w:eastAsia="hr-HR"/>
        </w:rPr>
      </w:pPr>
      <w:r w:rsidRPr="00DD6E21">
        <w:rPr>
          <w:b/>
          <w:lang w:eastAsia="hr-HR"/>
        </w:rPr>
        <w:t>Aktivnosti mjera GO-1, GO-2, GO-3, GO-4:</w:t>
      </w:r>
    </w:p>
    <w:p w14:paraId="27F60E6E" w14:textId="77777777" w:rsidR="00F05907" w:rsidRPr="00DD6E21" w:rsidRDefault="00F05907" w:rsidP="00166AB5">
      <w:pPr>
        <w:pStyle w:val="ListParagraph"/>
        <w:numPr>
          <w:ilvl w:val="1"/>
          <w:numId w:val="85"/>
        </w:numPr>
        <w:spacing w:after="60"/>
      </w:pPr>
      <w:r w:rsidRPr="00DD6E21">
        <w:t>Primjena reda prvenstva gospodarenja otpadom;</w:t>
      </w:r>
    </w:p>
    <w:p w14:paraId="25945327" w14:textId="77777777" w:rsidR="00F05907" w:rsidRPr="00DD6E21" w:rsidRDefault="00F05907" w:rsidP="00166AB5">
      <w:pPr>
        <w:pStyle w:val="ListParagraph"/>
        <w:numPr>
          <w:ilvl w:val="1"/>
          <w:numId w:val="85"/>
        </w:numPr>
        <w:spacing w:after="60"/>
      </w:pPr>
      <w:r w:rsidRPr="00DD6E21">
        <w:t>Smanjenje mase otpada za odlaganje;</w:t>
      </w:r>
    </w:p>
    <w:p w14:paraId="4646B3B1" w14:textId="77777777" w:rsidR="00F05907" w:rsidRPr="00DD6E21" w:rsidRDefault="00F05907" w:rsidP="00166AB5">
      <w:pPr>
        <w:pStyle w:val="ListParagraph"/>
        <w:numPr>
          <w:ilvl w:val="1"/>
          <w:numId w:val="85"/>
        </w:numPr>
        <w:spacing w:after="60"/>
      </w:pPr>
      <w:r w:rsidRPr="00DD6E21">
        <w:t>Povećanje mase odvojeno skupljenog i recikliranog otpada;</w:t>
      </w:r>
    </w:p>
    <w:p w14:paraId="216873CE" w14:textId="77777777" w:rsidR="00F05907" w:rsidRPr="00DD6E21" w:rsidRDefault="00F05907" w:rsidP="00166AB5">
      <w:pPr>
        <w:pStyle w:val="ListParagraph"/>
        <w:numPr>
          <w:ilvl w:val="1"/>
          <w:numId w:val="85"/>
        </w:numPr>
        <w:spacing w:after="60"/>
      </w:pPr>
      <w:r w:rsidRPr="00DD6E21">
        <w:t>Smanjenje odloženog biorazgradivog otpada;</w:t>
      </w:r>
    </w:p>
    <w:p w14:paraId="3F2F6BE5" w14:textId="77777777" w:rsidR="00F05907" w:rsidRPr="00DD6E21" w:rsidRDefault="00F05907" w:rsidP="00166AB5">
      <w:pPr>
        <w:pStyle w:val="ListParagraph"/>
        <w:numPr>
          <w:ilvl w:val="1"/>
          <w:numId w:val="85"/>
        </w:numPr>
        <w:spacing w:after="60"/>
      </w:pPr>
      <w:r w:rsidRPr="00DD6E21">
        <w:t>Spaljivanje odlagališnog plina na baklji ukoliko odlagalište nema instalirano postrojenje za proizvodnju električne energije te ukoliko odlagališni plin nije odgovarajućeg sastava i količine za proizvodnju električne energije.</w:t>
      </w:r>
    </w:p>
    <w:p w14:paraId="27CF81B6" w14:textId="472AF39A" w:rsidR="0043182B" w:rsidRPr="00B47BDA" w:rsidRDefault="0043182B" w:rsidP="004623DD">
      <w:pPr>
        <w:rPr>
          <w:lang w:eastAsia="hr-HR"/>
        </w:rPr>
      </w:pPr>
      <w:r w:rsidRPr="00B47BDA">
        <w:rPr>
          <w:b/>
          <w:lang w:eastAsia="hr-HR"/>
        </w:rPr>
        <w:t>Sredstva potrebna za provedbu:</w:t>
      </w:r>
      <w:r w:rsidRPr="00B47BDA">
        <w:rPr>
          <w:lang w:eastAsia="hr-HR"/>
        </w:rPr>
        <w:t xml:space="preserve"> </w:t>
      </w:r>
      <w:r w:rsidR="000D65EA" w:rsidRPr="00DD6E21">
        <w:rPr>
          <w:lang w:eastAsia="hr-HR"/>
        </w:rPr>
        <w:t xml:space="preserve">Za procjenu financijskih sredstava za provedbu mjera u razdoblju 2024. - 2030. godine korištena je procjena financijskih sredstava za provedbu mjera PGO-a u iznosu od ukupno 2.181.070.900 </w:t>
      </w:r>
      <w:r w:rsidR="00CF7DA3">
        <w:rPr>
          <w:lang w:eastAsia="hr-HR"/>
        </w:rPr>
        <w:t>EUR</w:t>
      </w:r>
      <w:r w:rsidR="000E1BA8">
        <w:rPr>
          <w:lang w:eastAsia="hr-HR"/>
        </w:rPr>
        <w:t>.</w:t>
      </w:r>
    </w:p>
    <w:p w14:paraId="4849A7BF" w14:textId="48A1EBE2" w:rsidR="001C741A" w:rsidRPr="002361D0" w:rsidRDefault="0043182B" w:rsidP="001C741A">
      <w:pPr>
        <w:rPr>
          <w:lang w:eastAsia="hr-HR"/>
        </w:rPr>
      </w:pPr>
      <w:r w:rsidRPr="00B47BDA">
        <w:rPr>
          <w:b/>
          <w:lang w:eastAsia="hr-HR"/>
        </w:rPr>
        <w:t>Izvori financiranja:</w:t>
      </w:r>
      <w:r w:rsidRPr="00B47BDA">
        <w:rPr>
          <w:lang w:eastAsia="hr-HR"/>
        </w:rPr>
        <w:t xml:space="preserve"> </w:t>
      </w:r>
    </w:p>
    <w:p w14:paraId="6ACCDB82" w14:textId="427BA1D3" w:rsidR="001C741A" w:rsidRPr="00BF31AD" w:rsidRDefault="001C741A" w:rsidP="001C741A">
      <w:pPr>
        <w:rPr>
          <w:lang w:eastAsia="hr-HR"/>
        </w:rPr>
      </w:pPr>
      <w:r w:rsidRPr="00DD6E21">
        <w:rPr>
          <w:lang w:eastAsia="hr-HR"/>
        </w:rPr>
        <w:t xml:space="preserve">Operativni program Konkurentnost i kohezija 2014. - 2020., Nacionalni plan oporavka i otpornosti 2021. - 2026., Program Konkurentnost i kohezija 2021. - 2027. (očekivani ukupni </w:t>
      </w:r>
      <w:r w:rsidRPr="00DD6E21">
        <w:rPr>
          <w:lang w:eastAsia="hr-HR"/>
        </w:rPr>
        <w:lastRenderedPageBreak/>
        <w:t xml:space="preserve">iznos EU financiranja je 602.026.274 </w:t>
      </w:r>
      <w:r w:rsidR="00CF7DA3">
        <w:rPr>
          <w:lang w:eastAsia="hr-HR"/>
        </w:rPr>
        <w:t>EUR</w:t>
      </w:r>
      <w:r w:rsidRPr="00DD6E21">
        <w:rPr>
          <w:lang w:eastAsia="hr-HR"/>
        </w:rPr>
        <w:t xml:space="preserve">); nacionalna sredstva (državni proračun 8.800.310 </w:t>
      </w:r>
      <w:r w:rsidR="00CF7DA3">
        <w:rPr>
          <w:lang w:eastAsia="hr-HR"/>
        </w:rPr>
        <w:t>EUR</w:t>
      </w:r>
      <w:r w:rsidRPr="00DD6E21">
        <w:rPr>
          <w:lang w:eastAsia="hr-HR"/>
        </w:rPr>
        <w:t xml:space="preserve">, jedinice lokalne i područne (regionalne) samouprave JL(R)S 282.009.462 </w:t>
      </w:r>
      <w:r w:rsidR="00CF7DA3">
        <w:rPr>
          <w:lang w:eastAsia="hr-HR"/>
        </w:rPr>
        <w:t>EUR</w:t>
      </w:r>
      <w:r w:rsidRPr="00DD6E21">
        <w:rPr>
          <w:lang w:eastAsia="hr-HR"/>
        </w:rPr>
        <w:t xml:space="preserve">, Fond za zaštitu okoliša i energetsku učinkovitost (FZOEU) 311.227.472 </w:t>
      </w:r>
      <w:r w:rsidR="00CF7DA3">
        <w:rPr>
          <w:lang w:eastAsia="hr-HR"/>
        </w:rPr>
        <w:t>EUR</w:t>
      </w:r>
      <w:r w:rsidRPr="00DD6E21">
        <w:rPr>
          <w:lang w:eastAsia="hr-HR"/>
        </w:rPr>
        <w:t xml:space="preserve">), javno-privatno partnerstvo (150.507.665 </w:t>
      </w:r>
      <w:r w:rsidR="00CF7DA3">
        <w:rPr>
          <w:lang w:eastAsia="hr-HR"/>
        </w:rPr>
        <w:t>EUR</w:t>
      </w:r>
      <w:r w:rsidRPr="00DD6E21">
        <w:rPr>
          <w:lang w:eastAsia="hr-HR"/>
        </w:rPr>
        <w:t xml:space="preserve">), civilni sektor (164.917 </w:t>
      </w:r>
      <w:r w:rsidR="00CF7DA3">
        <w:rPr>
          <w:lang w:eastAsia="hr-HR"/>
        </w:rPr>
        <w:t>EUR</w:t>
      </w:r>
      <w:r w:rsidRPr="00DD6E21">
        <w:rPr>
          <w:lang w:eastAsia="hr-HR"/>
        </w:rPr>
        <w:t xml:space="preserve">) i privatna ulaganja (826.334.800 </w:t>
      </w:r>
      <w:r w:rsidR="00CF7DA3">
        <w:rPr>
          <w:lang w:eastAsia="hr-HR"/>
        </w:rPr>
        <w:t>EUR</w:t>
      </w:r>
      <w:r w:rsidRPr="00DD6E21">
        <w:rPr>
          <w:lang w:eastAsia="hr-HR"/>
        </w:rPr>
        <w:t xml:space="preserve">). Sredstva za provedbu PGO-a za razdoblje 2026. - 2028. </w:t>
      </w:r>
      <w:r w:rsidR="00CF7DA3">
        <w:rPr>
          <w:lang w:eastAsia="hr-HR"/>
        </w:rPr>
        <w:t>godine</w:t>
      </w:r>
      <w:r w:rsidRPr="00DD6E21">
        <w:rPr>
          <w:lang w:eastAsia="hr-HR"/>
        </w:rPr>
        <w:t xml:space="preserve">, u ukupnom iznosu od 365.473.651 </w:t>
      </w:r>
      <w:r w:rsidR="00CF7DA3">
        <w:rPr>
          <w:lang w:eastAsia="hr-HR"/>
        </w:rPr>
        <w:t>EUR</w:t>
      </w:r>
      <w:r w:rsidRPr="00DD6E21">
        <w:rPr>
          <w:lang w:eastAsia="hr-HR"/>
        </w:rPr>
        <w:t xml:space="preserve"> uzeti će se u obzir kod planiranja proračuna za navedeno razdoblje unutar danih limita.</w:t>
      </w:r>
    </w:p>
    <w:p w14:paraId="1FE71BEC" w14:textId="543FEFC1" w:rsidR="0043182B" w:rsidRPr="00B47BDA" w:rsidRDefault="0043182B" w:rsidP="004623DD">
      <w:pPr>
        <w:rPr>
          <w:lang w:eastAsia="hr-HR"/>
        </w:rPr>
      </w:pPr>
      <w:r w:rsidRPr="00B47BDA">
        <w:rPr>
          <w:b/>
          <w:lang w:eastAsia="hr-HR"/>
        </w:rPr>
        <w:t>Izvršno tijelo:</w:t>
      </w:r>
      <w:r w:rsidRPr="00B47BDA">
        <w:rPr>
          <w:lang w:eastAsia="hr-HR"/>
        </w:rPr>
        <w:t xml:space="preserve"> </w:t>
      </w:r>
      <w:r w:rsidR="000904E0" w:rsidRPr="004E559C">
        <w:rPr>
          <w:lang w:eastAsia="hr-HR"/>
        </w:rPr>
        <w:t>Ministarstvo zaštite okoliša i zelene tranzicije</w:t>
      </w:r>
      <w:r w:rsidR="000904E0">
        <w:rPr>
          <w:lang w:eastAsia="hr-HR"/>
        </w:rPr>
        <w:t>.</w:t>
      </w:r>
    </w:p>
    <w:p w14:paraId="0026E05D" w14:textId="4D7A66D1" w:rsidR="0043182B" w:rsidRPr="00B47BDA" w:rsidRDefault="0043182B" w:rsidP="004623DD">
      <w:pPr>
        <w:rPr>
          <w:lang w:eastAsia="hr-HR"/>
        </w:rPr>
      </w:pPr>
      <w:r w:rsidRPr="00B47BDA">
        <w:rPr>
          <w:b/>
          <w:lang w:eastAsia="hr-HR"/>
        </w:rPr>
        <w:t>Tijela za praćenje:</w:t>
      </w:r>
      <w:r w:rsidRPr="00B47BDA">
        <w:rPr>
          <w:lang w:eastAsia="hr-HR"/>
        </w:rPr>
        <w:t xml:space="preserve"> </w:t>
      </w:r>
      <w:r w:rsidR="001C741A">
        <w:rPr>
          <w:lang w:eastAsia="hr-HR"/>
        </w:rPr>
        <w:t xml:space="preserve">EU, </w:t>
      </w:r>
      <w:r w:rsidR="00EF6EF3">
        <w:rPr>
          <w:lang w:eastAsia="hr-HR"/>
        </w:rPr>
        <w:t xml:space="preserve">MINGO, </w:t>
      </w:r>
      <w:r w:rsidR="00EF6EF3" w:rsidRPr="004E559C">
        <w:rPr>
          <w:lang w:eastAsia="hr-HR"/>
        </w:rPr>
        <w:t>Ministarstvo zaštite okoliša i zelene tranzicije</w:t>
      </w:r>
      <w:r w:rsidR="00EF6EF3">
        <w:rPr>
          <w:lang w:eastAsia="hr-HR"/>
        </w:rPr>
        <w:t xml:space="preserve">, </w:t>
      </w:r>
      <w:r w:rsidRPr="00B47BDA">
        <w:rPr>
          <w:lang w:eastAsia="hr-HR"/>
        </w:rPr>
        <w:t>Jedinice lokalne i područne (regionalne) samouprave</w:t>
      </w:r>
      <w:r w:rsidR="001C741A">
        <w:rPr>
          <w:lang w:eastAsia="hr-HR"/>
        </w:rPr>
        <w:t xml:space="preserve">, </w:t>
      </w:r>
      <w:r w:rsidR="005C56DE" w:rsidRPr="00BF31AD">
        <w:rPr>
          <w:lang w:eastAsia="hr-HR"/>
        </w:rPr>
        <w:t>Fond za zaštitu okoliša i energetsku učinkovitost (FZOEU).</w:t>
      </w:r>
    </w:p>
    <w:p w14:paraId="6E7A0907" w14:textId="77777777" w:rsidR="0043182B" w:rsidRPr="008B4BCB" w:rsidRDefault="0043182B" w:rsidP="00166AB5">
      <w:pPr>
        <w:spacing w:after="60"/>
        <w:rPr>
          <w:b/>
          <w:lang w:eastAsia="hr-HR"/>
        </w:rPr>
      </w:pPr>
      <w:r w:rsidRPr="008B4BCB">
        <w:rPr>
          <w:b/>
          <w:lang w:eastAsia="hr-HR"/>
        </w:rPr>
        <w:t>Učinak:</w:t>
      </w:r>
    </w:p>
    <w:p w14:paraId="5AB9490E" w14:textId="77777777" w:rsidR="0043182B" w:rsidRPr="00B47BDA" w:rsidRDefault="0043182B" w:rsidP="00166AB5">
      <w:pPr>
        <w:pStyle w:val="ListParagraph"/>
        <w:numPr>
          <w:ilvl w:val="1"/>
          <w:numId w:val="85"/>
        </w:numPr>
        <w:spacing w:after="60"/>
      </w:pPr>
      <w:r w:rsidRPr="63259912">
        <w:t>Smanjenje emisije stakleničkih plinova (kt CO</w:t>
      </w:r>
      <w:r w:rsidRPr="63259912">
        <w:rPr>
          <w:vertAlign w:val="subscript"/>
        </w:rPr>
        <w:t>2</w:t>
      </w:r>
      <w:r w:rsidRPr="63259912">
        <w:t>-eq);</w:t>
      </w:r>
    </w:p>
    <w:p w14:paraId="279BA1EA" w14:textId="77777777" w:rsidR="0043182B" w:rsidRPr="00534FB2" w:rsidRDefault="0043182B" w:rsidP="00166AB5">
      <w:pPr>
        <w:numPr>
          <w:ilvl w:val="1"/>
          <w:numId w:val="85"/>
        </w:numPr>
        <w:tabs>
          <w:tab w:val="left" w:pos="431"/>
        </w:tabs>
        <w:spacing w:after="60"/>
        <w:rPr>
          <w:rFonts w:cs="Tahoma"/>
          <w:lang w:eastAsia="ar-SA"/>
        </w:rPr>
      </w:pPr>
      <w:r w:rsidRPr="00534FB2">
        <w:rPr>
          <w:rFonts w:cs="Tahoma"/>
          <w:lang w:eastAsia="ar-SA"/>
        </w:rPr>
        <w:t>Smanjenje mase odloženog otpada;</w:t>
      </w:r>
    </w:p>
    <w:p w14:paraId="189F52A5" w14:textId="77777777" w:rsidR="0043182B" w:rsidRPr="00534FB2" w:rsidRDefault="0043182B" w:rsidP="00166AB5">
      <w:pPr>
        <w:numPr>
          <w:ilvl w:val="1"/>
          <w:numId w:val="85"/>
        </w:numPr>
        <w:tabs>
          <w:tab w:val="left" w:pos="431"/>
        </w:tabs>
        <w:spacing w:after="60"/>
        <w:rPr>
          <w:rFonts w:cs="Tahoma"/>
          <w:lang w:eastAsia="ar-SA"/>
        </w:rPr>
      </w:pPr>
      <w:r w:rsidRPr="00534FB2">
        <w:rPr>
          <w:rFonts w:cs="Tahoma"/>
          <w:lang w:eastAsia="ar-SA"/>
        </w:rPr>
        <w:t>Smanjenje mase odloženog biorazgradivog otpada;</w:t>
      </w:r>
    </w:p>
    <w:p w14:paraId="3332461B" w14:textId="45E91312" w:rsidR="0043182B" w:rsidRPr="00534FB2" w:rsidRDefault="6DB8202E" w:rsidP="00166AB5">
      <w:pPr>
        <w:numPr>
          <w:ilvl w:val="1"/>
          <w:numId w:val="85"/>
        </w:numPr>
        <w:tabs>
          <w:tab w:val="left" w:pos="431"/>
        </w:tabs>
        <w:spacing w:after="60"/>
        <w:rPr>
          <w:rFonts w:cs="Tahoma"/>
          <w:lang w:eastAsia="ar-SA"/>
        </w:rPr>
      </w:pPr>
      <w:r w:rsidRPr="1C9333AB">
        <w:rPr>
          <w:rFonts w:cs="Tahoma"/>
          <w:lang w:eastAsia="ar-SA"/>
        </w:rPr>
        <w:t>Uspostava cjelovitog sustava gospodarenja otpadom prema redu prvenstva koji se provodi u skladu s ciljevima nacionalnog i EU zakonodavstva;</w:t>
      </w:r>
    </w:p>
    <w:p w14:paraId="2AB83C32" w14:textId="77777777" w:rsidR="00534FB2" w:rsidRPr="00534FB2" w:rsidRDefault="00534FB2" w:rsidP="00166AB5">
      <w:pPr>
        <w:numPr>
          <w:ilvl w:val="1"/>
          <w:numId w:val="85"/>
        </w:numPr>
        <w:tabs>
          <w:tab w:val="left" w:pos="431"/>
        </w:tabs>
        <w:spacing w:after="60"/>
        <w:rPr>
          <w:rFonts w:cs="Tahoma"/>
          <w:lang w:eastAsia="ar-SA"/>
        </w:rPr>
      </w:pPr>
      <w:r w:rsidRPr="00534FB2">
        <w:rPr>
          <w:rFonts w:cs="Tahoma"/>
          <w:lang w:eastAsia="ar-SA"/>
        </w:rPr>
        <w:t>Učinkovita oporaba otpada - gospodarenje otpadom potrebno je usmjeriti ka učinkovitoj primjeni načela kružnog gospodarstva;</w:t>
      </w:r>
    </w:p>
    <w:p w14:paraId="78EA2174" w14:textId="77777777" w:rsidR="00534FB2" w:rsidRPr="00534FB2" w:rsidRDefault="00534FB2" w:rsidP="00166AB5">
      <w:pPr>
        <w:numPr>
          <w:ilvl w:val="1"/>
          <w:numId w:val="127"/>
        </w:numPr>
        <w:tabs>
          <w:tab w:val="left" w:pos="431"/>
        </w:tabs>
        <w:spacing w:after="60"/>
        <w:ind w:left="1843" w:hanging="425"/>
        <w:rPr>
          <w:rFonts w:cs="Tahoma"/>
          <w:lang w:eastAsia="ar-SA"/>
        </w:rPr>
      </w:pPr>
      <w:r w:rsidRPr="00534FB2">
        <w:rPr>
          <w:rFonts w:cs="Tahoma"/>
          <w:lang w:eastAsia="ar-SA"/>
        </w:rPr>
        <w:t>okosnicu sustava gospodarenja otpadom Republike Hrvatske čine centri za gospodarenje otpadom;</w:t>
      </w:r>
    </w:p>
    <w:p w14:paraId="4912506F" w14:textId="77777777" w:rsidR="00534FB2" w:rsidRPr="00534FB2" w:rsidRDefault="00534FB2" w:rsidP="63259912">
      <w:pPr>
        <w:numPr>
          <w:ilvl w:val="1"/>
          <w:numId w:val="127"/>
        </w:numPr>
        <w:tabs>
          <w:tab w:val="left" w:pos="431"/>
        </w:tabs>
        <w:spacing w:after="60"/>
        <w:ind w:left="1843" w:hanging="425"/>
        <w:rPr>
          <w:rFonts w:cs="Tahoma"/>
          <w:lang w:eastAsia="ar-SA"/>
        </w:rPr>
      </w:pPr>
      <w:r w:rsidRPr="63259912">
        <w:rPr>
          <w:rFonts w:cs="Tahoma"/>
          <w:lang w:eastAsia="ar-SA"/>
        </w:rPr>
        <w:t>uspostavom reciklažnih dvorišta osigurava se dostupnost usluge odvojenog sakupljanja komunalnoga otpada;</w:t>
      </w:r>
    </w:p>
    <w:p w14:paraId="164392ED" w14:textId="5EA47E60" w:rsidR="0043182B" w:rsidRPr="00B47BDA" w:rsidRDefault="0043182B" w:rsidP="00166AB5">
      <w:pPr>
        <w:pStyle w:val="ListParagraph"/>
        <w:numPr>
          <w:ilvl w:val="1"/>
          <w:numId w:val="85"/>
        </w:numPr>
        <w:spacing w:after="60"/>
      </w:pPr>
      <w:r w:rsidRPr="00534FB2">
        <w:rPr>
          <w:rFonts w:cs="Times New Roman"/>
          <w:lang w:eastAsia="en-GB"/>
        </w:rPr>
        <w:t>Prijenos znanja i iskustava zemalja EU u primjeni najboljih raspoloživih tehnika za obradu i oporabu otpada</w:t>
      </w:r>
      <w:r w:rsidRPr="00B47BDA">
        <w:t>;</w:t>
      </w:r>
    </w:p>
    <w:p w14:paraId="396855CE" w14:textId="77777777" w:rsidR="0043182B" w:rsidRPr="00B47BDA" w:rsidRDefault="0043182B" w:rsidP="00166AB5">
      <w:pPr>
        <w:pStyle w:val="ListParagraph"/>
        <w:numPr>
          <w:ilvl w:val="1"/>
          <w:numId w:val="85"/>
        </w:numPr>
        <w:spacing w:after="60"/>
      </w:pPr>
      <w:r w:rsidRPr="00B47BDA">
        <w:t>Osiguravanje potpora za investicijske projekte.</w:t>
      </w:r>
    </w:p>
    <w:p w14:paraId="72B09327" w14:textId="77777777" w:rsidR="0043182B" w:rsidRPr="008B4BCB" w:rsidRDefault="0043182B" w:rsidP="004623DD">
      <w:pPr>
        <w:rPr>
          <w:b/>
          <w:lang w:eastAsia="hr-HR"/>
        </w:rPr>
      </w:pPr>
      <w:r w:rsidRPr="008B4BCB">
        <w:rPr>
          <w:b/>
          <w:lang w:eastAsia="hr-HR"/>
        </w:rPr>
        <w:t xml:space="preserve">Metoda praćenja: </w:t>
      </w:r>
    </w:p>
    <w:p w14:paraId="57CC3EED" w14:textId="7AEA3498" w:rsidR="00946A5E" w:rsidRPr="00BF31AD" w:rsidRDefault="00D37587" w:rsidP="00BE1241">
      <w:pPr>
        <w:numPr>
          <w:ilvl w:val="1"/>
          <w:numId w:val="85"/>
        </w:numPr>
        <w:tabs>
          <w:tab w:val="left" w:pos="431"/>
        </w:tabs>
        <w:spacing w:after="60"/>
        <w:rPr>
          <w:color w:val="000000" w:themeColor="text1"/>
        </w:rPr>
      </w:pPr>
      <w:r w:rsidRPr="00BF31AD">
        <w:rPr>
          <w:rFonts w:cs="Tahoma"/>
          <w:color w:val="000000" w:themeColor="text1"/>
          <w:lang w:eastAsia="ar-SA"/>
        </w:rPr>
        <w:t>Izvješće o provedbi Plana gospodarenja otpadom Republike Hrvatske za razdoblje 2023. - 2028. godine;</w:t>
      </w:r>
    </w:p>
    <w:p w14:paraId="7B0A3EC4" w14:textId="46697C24" w:rsidR="0043182B" w:rsidRPr="00B47BDA" w:rsidRDefault="0043182B" w:rsidP="00BE1241">
      <w:pPr>
        <w:pStyle w:val="ListParagraph"/>
        <w:numPr>
          <w:ilvl w:val="1"/>
          <w:numId w:val="85"/>
        </w:numPr>
        <w:spacing w:after="60"/>
      </w:pPr>
      <w:r w:rsidRPr="00B47BDA">
        <w:t>Izvješće o provedbi politika i mjera za smanjenje emisija stakleničkih plinova;</w:t>
      </w:r>
    </w:p>
    <w:p w14:paraId="1B68DF0A" w14:textId="65435EB2" w:rsidR="008B4BCB" w:rsidRPr="008B4BCB" w:rsidRDefault="008B4BCB" w:rsidP="63259912">
      <w:pPr>
        <w:rPr>
          <w:lang w:eastAsia="hr-HR"/>
        </w:rPr>
      </w:pPr>
      <w:r w:rsidRPr="63259912">
        <w:rPr>
          <w:b/>
          <w:bCs/>
          <w:lang w:eastAsia="hr-HR"/>
        </w:rPr>
        <w:t>Pokazatelj provedbe mjere (indikator):</w:t>
      </w:r>
      <w:r w:rsidRPr="63259912">
        <w:rPr>
          <w:lang w:eastAsia="hr-HR"/>
        </w:rPr>
        <w:t xml:space="preserve"> </w:t>
      </w:r>
      <w:r w:rsidR="00087FE2" w:rsidRPr="63259912">
        <w:rPr>
          <w:lang w:eastAsia="hr-HR"/>
        </w:rPr>
        <w:t>Uspostavljanje i unaprjeđenje sustava za gospodarenje komunalnim otpadom i posebnim kategorijama otpada</w:t>
      </w:r>
      <w:r w:rsidRPr="63259912">
        <w:rPr>
          <w:lang w:eastAsia="hr-HR"/>
        </w:rPr>
        <w:t>, potencijal smanjenja emisije stakleničkih plinova (kt CO</w:t>
      </w:r>
      <w:r w:rsidRPr="63259912">
        <w:rPr>
          <w:vertAlign w:val="subscript"/>
          <w:lang w:eastAsia="hr-HR"/>
        </w:rPr>
        <w:t>2</w:t>
      </w:r>
      <w:r w:rsidRPr="63259912">
        <w:rPr>
          <w:lang w:eastAsia="hr-HR"/>
        </w:rPr>
        <w:t>-eq).</w:t>
      </w:r>
    </w:p>
    <w:p w14:paraId="731D4365" w14:textId="247BDBED" w:rsidR="0043182B" w:rsidRPr="00B47BDA" w:rsidRDefault="0043182B" w:rsidP="004623DD">
      <w:pPr>
        <w:rPr>
          <w:lang w:eastAsia="hr-HR"/>
        </w:rPr>
      </w:pPr>
      <w:r w:rsidRPr="00B47BDA">
        <w:rPr>
          <w:b/>
          <w:lang w:eastAsia="hr-HR"/>
        </w:rPr>
        <w:t>Povezanost s drugim dimenzijama:</w:t>
      </w:r>
      <w:r w:rsidRPr="00B47BDA">
        <w:rPr>
          <w:lang w:eastAsia="hr-HR"/>
        </w:rPr>
        <w:t xml:space="preserve"> Istraživanje, inovacije i konkurentnost</w:t>
      </w:r>
      <w:r w:rsidR="00087FE2">
        <w:rPr>
          <w:lang w:eastAsia="hr-HR"/>
        </w:rPr>
        <w:t>.</w:t>
      </w:r>
    </w:p>
    <w:p w14:paraId="1E18585F" w14:textId="403706F9" w:rsidR="00D51441" w:rsidRDefault="0043182B" w:rsidP="004623DD">
      <w:pPr>
        <w:rPr>
          <w:lang w:eastAsia="hr-HR"/>
        </w:rPr>
      </w:pPr>
      <w:r w:rsidRPr="00B47BDA">
        <w:rPr>
          <w:b/>
          <w:lang w:eastAsia="hr-HR"/>
        </w:rPr>
        <w:t>Istraživanje i razvoj:</w:t>
      </w:r>
      <w:r w:rsidRPr="00B47BDA">
        <w:rPr>
          <w:lang w:eastAsia="hr-HR"/>
        </w:rPr>
        <w:t xml:space="preserve"> Primjena najboljih raspoloživih tehnika za obradu i oporabu otpada.</w:t>
      </w:r>
    </w:p>
    <w:p w14:paraId="545502F2" w14:textId="77777777" w:rsidR="00631DF7" w:rsidRPr="00D51441" w:rsidRDefault="00631DF7" w:rsidP="004623DD">
      <w:pPr>
        <w:rPr>
          <w:lang w:eastAsia="hr-HR"/>
        </w:rPr>
      </w:pPr>
    </w:p>
    <w:p w14:paraId="2F030E50" w14:textId="1673972C" w:rsidR="008B4BCB" w:rsidRPr="008B4BCB" w:rsidRDefault="008B4BCB" w:rsidP="004B34C2">
      <w:pPr>
        <w:pStyle w:val="Mjeranaslov"/>
        <w:rPr>
          <w:lang w:eastAsia="hr-HR"/>
        </w:rPr>
      </w:pPr>
      <w:r w:rsidRPr="008B4BCB">
        <w:rPr>
          <w:lang w:eastAsia="hr-HR"/>
        </w:rPr>
        <w:t xml:space="preserve">GO-5 Smanjenje </w:t>
      </w:r>
      <w:r w:rsidR="00A754FA">
        <w:rPr>
          <w:lang w:eastAsia="hr-HR"/>
        </w:rPr>
        <w:t xml:space="preserve">nastajanja </w:t>
      </w:r>
      <w:r w:rsidRPr="008B4BCB">
        <w:rPr>
          <w:lang w:eastAsia="hr-HR"/>
        </w:rPr>
        <w:t>otpada od hrane</w:t>
      </w:r>
    </w:p>
    <w:p w14:paraId="2348D91F" w14:textId="2B0B0A92" w:rsidR="008B4BCB" w:rsidRPr="00BE7897" w:rsidRDefault="008B4BCB" w:rsidP="008B4BCB">
      <w:pPr>
        <w:keepNext/>
        <w:rPr>
          <w:bCs/>
          <w:lang w:eastAsia="hr-HR"/>
        </w:rPr>
      </w:pPr>
      <w:r w:rsidRPr="00BE7897">
        <w:rPr>
          <w:bCs/>
          <w:lang w:eastAsia="hr-HR"/>
        </w:rPr>
        <w:lastRenderedPageBreak/>
        <w:t>Regulatorna, okolišna, ekonomska, obrazovna mjera; provedba: 202</w:t>
      </w:r>
      <w:r w:rsidR="006B69D8">
        <w:rPr>
          <w:bCs/>
          <w:lang w:eastAsia="hr-HR"/>
        </w:rPr>
        <w:t>3</w:t>
      </w:r>
      <w:r w:rsidRPr="00BE7897">
        <w:rPr>
          <w:bCs/>
          <w:lang w:eastAsia="hr-HR"/>
        </w:rPr>
        <w:t>. - 2030.</w:t>
      </w:r>
    </w:p>
    <w:p w14:paraId="1A2B88D7" w14:textId="77777777" w:rsidR="00EE67B7" w:rsidRPr="003C6CBE" w:rsidRDefault="008B4BCB" w:rsidP="00EE67B7">
      <w:pPr>
        <w:rPr>
          <w:lang w:eastAsia="hr-HR"/>
        </w:rPr>
      </w:pPr>
      <w:r w:rsidRPr="008B4BCB">
        <w:rPr>
          <w:b/>
          <w:lang w:eastAsia="hr-HR"/>
        </w:rPr>
        <w:t>Cilj i opis mjere:</w:t>
      </w:r>
      <w:r w:rsidRPr="008B4BCB">
        <w:rPr>
          <w:lang w:eastAsia="hr-HR"/>
        </w:rPr>
        <w:t xml:space="preserve"> </w:t>
      </w:r>
    </w:p>
    <w:p w14:paraId="60988AF5" w14:textId="77777777" w:rsidR="00EE67B7" w:rsidRPr="003C6CBE" w:rsidRDefault="00EE67B7" w:rsidP="00EE67B7">
      <w:pPr>
        <w:rPr>
          <w:lang w:eastAsia="hr-HR"/>
        </w:rPr>
      </w:pPr>
      <w:r w:rsidRPr="003C6CBE">
        <w:rPr>
          <w:lang w:eastAsia="hr-HR"/>
        </w:rPr>
        <w:t xml:space="preserve">Sprječavanje otpada od hrane se provodi provedbom Plana sprječavanja i smanjenja nastajanja otpada od hrane za razdoblje od 2023. do 2028. godine, čime je nastavljeno plansko djelovanje u cilju povećanja količina donirane hrane, smanjenja otpada od hrane te povećanja prehrambene sigurnosti siromašnijih skupina stanovništva. </w:t>
      </w:r>
    </w:p>
    <w:p w14:paraId="5717C726" w14:textId="77777777" w:rsidR="00EE67B7" w:rsidRPr="003C6CBE" w:rsidRDefault="00EE67B7" w:rsidP="00EE67B7">
      <w:pPr>
        <w:rPr>
          <w:lang w:eastAsia="hr-HR"/>
        </w:rPr>
      </w:pPr>
      <w:r w:rsidRPr="003C6CBE">
        <w:rPr>
          <w:lang w:eastAsia="hr-HR"/>
        </w:rPr>
        <w:t>Plan uključuje nastavak mjera i aktivnosti koje će doprinijeti daljnjem napretku u sprječavanju i smanjenju nastajanja otpada od hrane u svim fazama prehrambenog lanca, od primarne proizvodnje, preko prerade i proizvodnje, trgovine, ugostiteljstva, institucionalnih kuhinja do kućanstava, ali i ostvarenju cilja održivog razvoja Ujedinjenih naroda da se otpad od hrane po glavi stanovnika na maloprodajnoj i potrošačkoj razini smanji za 50 % i da se smanji gubitak hrane u proizvodnim i opskrbnim lancima do 2030. godine.</w:t>
      </w:r>
    </w:p>
    <w:p w14:paraId="75412CAD" w14:textId="61941E7B" w:rsidR="002C2415" w:rsidRPr="008B4BCB" w:rsidRDefault="00EE67B7" w:rsidP="00EE67B7">
      <w:pPr>
        <w:rPr>
          <w:lang w:eastAsia="hr-HR"/>
        </w:rPr>
      </w:pPr>
      <w:r w:rsidRPr="003C6CBE">
        <w:rPr>
          <w:lang w:eastAsia="hr-HR"/>
        </w:rPr>
        <w:t>Mjere uključuju: poticanje i daljnje unaprjeđenje sustava doniranja hrane u Republici Hrvatskoj; poticanje smanjenja nastajanja otpada od hrane; promicanje društvene odgovornosti prehrambenog sektora; podizanje svijesti i informiranosti potrošača o sprječavanju i smanjenju nastajanja otpada od hrane; praćenje količina otpada od hrane te ulaganje u istraživački rad i inovativna rješenja koja doprinose sprječavanju i smanjenju nastajanja otpada od hrane.</w:t>
      </w:r>
    </w:p>
    <w:p w14:paraId="4A5C91A8" w14:textId="77777777" w:rsidR="008B4BCB" w:rsidRPr="008B4BCB" w:rsidRDefault="008B4BCB" w:rsidP="008B4BCB">
      <w:pPr>
        <w:rPr>
          <w:b/>
          <w:lang w:eastAsia="hr-HR"/>
        </w:rPr>
      </w:pPr>
      <w:r w:rsidRPr="008B4BCB">
        <w:rPr>
          <w:b/>
          <w:lang w:eastAsia="hr-HR"/>
        </w:rPr>
        <w:t>Aktivnosti mjere:</w:t>
      </w:r>
    </w:p>
    <w:p w14:paraId="323A3E68" w14:textId="77777777" w:rsidR="00A878CC" w:rsidRPr="00A878CC" w:rsidRDefault="00A878CC" w:rsidP="00A878CC">
      <w:pPr>
        <w:numPr>
          <w:ilvl w:val="1"/>
          <w:numId w:val="85"/>
        </w:numPr>
        <w:tabs>
          <w:tab w:val="left" w:pos="431"/>
        </w:tabs>
        <w:ind w:left="993"/>
        <w:rPr>
          <w:rFonts w:cs="Tahoma"/>
          <w:lang w:eastAsia="ar-SA"/>
        </w:rPr>
      </w:pPr>
      <w:r w:rsidRPr="00A878CC">
        <w:rPr>
          <w:rFonts w:cs="Tahoma"/>
          <w:lang w:eastAsia="ar-SA"/>
        </w:rPr>
        <w:t>Provedba Plana sprječavanja i smanjenja nastajanja otpada od hrane za razdoblje od 2023. do 2028. godine</w:t>
      </w:r>
    </w:p>
    <w:p w14:paraId="2B1B40FB" w14:textId="7460768E" w:rsidR="008B4BCB" w:rsidRPr="008B4BCB" w:rsidRDefault="008B4BCB" w:rsidP="008B4BCB">
      <w:pPr>
        <w:rPr>
          <w:lang w:eastAsia="hr-HR"/>
        </w:rPr>
      </w:pPr>
      <w:r w:rsidRPr="008B4BCB">
        <w:rPr>
          <w:b/>
          <w:lang w:eastAsia="hr-HR"/>
        </w:rPr>
        <w:t>Sredstva potrebna za provedbu:</w:t>
      </w:r>
      <w:r w:rsidRPr="008B4BCB">
        <w:rPr>
          <w:lang w:eastAsia="hr-HR"/>
        </w:rPr>
        <w:t xml:space="preserve"> </w:t>
      </w:r>
      <w:r w:rsidR="008A4EA9" w:rsidRPr="003C6CBE">
        <w:rPr>
          <w:lang w:eastAsia="hr-HR"/>
        </w:rPr>
        <w:t xml:space="preserve">Sredstva za provedbu Plana sprječavanja i smanjenja nastajanja otpada od hrane za razdoblje od 2023. do 2028. godine iznose 5.734.953 </w:t>
      </w:r>
      <w:r w:rsidR="00CF7DA3">
        <w:rPr>
          <w:lang w:eastAsia="hr-HR"/>
        </w:rPr>
        <w:t>EUR</w:t>
      </w:r>
      <w:r w:rsidR="008A4EA9" w:rsidRPr="003C6CBE">
        <w:rPr>
          <w:lang w:eastAsia="hr-HR"/>
        </w:rPr>
        <w:t>.</w:t>
      </w:r>
    </w:p>
    <w:p w14:paraId="4F98AFD4" w14:textId="02E2D411" w:rsidR="008B4BCB" w:rsidRPr="008B4BCB" w:rsidRDefault="008B4BCB" w:rsidP="008B4BCB">
      <w:pPr>
        <w:rPr>
          <w:lang w:eastAsia="hr-HR"/>
        </w:rPr>
      </w:pPr>
      <w:r w:rsidRPr="008B4BCB">
        <w:rPr>
          <w:b/>
          <w:lang w:eastAsia="hr-HR"/>
        </w:rPr>
        <w:t>Izvori financiranja:</w:t>
      </w:r>
      <w:r w:rsidRPr="008B4BCB">
        <w:rPr>
          <w:lang w:eastAsia="hr-HR"/>
        </w:rPr>
        <w:t xml:space="preserve"> </w:t>
      </w:r>
      <w:r w:rsidR="00372D87" w:rsidRPr="00BF31AD">
        <w:rPr>
          <w:lang w:eastAsia="hr-HR"/>
        </w:rPr>
        <w:t>Državni proračun</w:t>
      </w:r>
      <w:r w:rsidR="0036044C">
        <w:rPr>
          <w:lang w:eastAsia="hr-HR"/>
        </w:rPr>
        <w:t xml:space="preserve"> RH</w:t>
      </w:r>
      <w:r w:rsidR="00372D87" w:rsidRPr="00BF31AD">
        <w:rPr>
          <w:lang w:eastAsia="hr-HR"/>
        </w:rPr>
        <w:t xml:space="preserve">, </w:t>
      </w:r>
      <w:r w:rsidR="00EA372E">
        <w:rPr>
          <w:lang w:eastAsia="hr-HR"/>
        </w:rPr>
        <w:t>Nacionalni plan oporavka i otpornosti</w:t>
      </w:r>
      <w:r w:rsidR="004D28D7">
        <w:rPr>
          <w:lang w:eastAsia="hr-HR"/>
        </w:rPr>
        <w:t>.</w:t>
      </w:r>
    </w:p>
    <w:p w14:paraId="2F9E3F45" w14:textId="23AA818E" w:rsidR="008B4BCB" w:rsidRPr="008B4BCB" w:rsidRDefault="008B4BCB" w:rsidP="008B4BCB">
      <w:pPr>
        <w:rPr>
          <w:lang w:eastAsia="hr-HR"/>
        </w:rPr>
      </w:pPr>
      <w:r w:rsidRPr="008B4BCB">
        <w:rPr>
          <w:b/>
          <w:lang w:eastAsia="hr-HR"/>
        </w:rPr>
        <w:t>Izvršno tijelo:</w:t>
      </w:r>
      <w:r w:rsidRPr="008B4BCB">
        <w:rPr>
          <w:lang w:eastAsia="hr-HR"/>
        </w:rPr>
        <w:t xml:space="preserve"> </w:t>
      </w:r>
      <w:r w:rsidR="001D1D2F">
        <w:t>Ministarstvo poljoprivrede</w:t>
      </w:r>
      <w:r w:rsidR="001D1D2F" w:rsidRPr="00AE6008">
        <w:rPr>
          <w:lang w:eastAsia="hr-HR"/>
        </w:rPr>
        <w:t>, šumarstva i ribarstva</w:t>
      </w:r>
      <w:r w:rsidR="001D1D2F">
        <w:t xml:space="preserve"> </w:t>
      </w:r>
      <w:r w:rsidR="0042670F" w:rsidRPr="003C6CBE">
        <w:rPr>
          <w:lang w:eastAsia="hr-HR"/>
        </w:rPr>
        <w:t>(MP</w:t>
      </w:r>
      <w:r w:rsidR="001D1D2F">
        <w:rPr>
          <w:lang w:eastAsia="hr-HR"/>
        </w:rPr>
        <w:t>S</w:t>
      </w:r>
      <w:r w:rsidR="0042670F" w:rsidRPr="003C6CBE">
        <w:rPr>
          <w:lang w:eastAsia="hr-HR"/>
        </w:rPr>
        <w:t>)</w:t>
      </w:r>
      <w:r w:rsidR="004D28D7">
        <w:rPr>
          <w:lang w:eastAsia="hr-HR"/>
        </w:rPr>
        <w:t>.</w:t>
      </w:r>
    </w:p>
    <w:p w14:paraId="18796B41" w14:textId="6D1AFF4D" w:rsidR="008B4BCB" w:rsidRPr="008B4BCB" w:rsidRDefault="008B4BCB" w:rsidP="63259912">
      <w:pPr>
        <w:rPr>
          <w:b/>
          <w:bCs/>
          <w:lang w:eastAsia="hr-HR"/>
        </w:rPr>
      </w:pPr>
      <w:r w:rsidRPr="63259912">
        <w:rPr>
          <w:b/>
          <w:bCs/>
          <w:lang w:eastAsia="hr-HR"/>
        </w:rPr>
        <w:t>Učinak:</w:t>
      </w:r>
      <w:r w:rsidR="005D7834" w:rsidRPr="63259912">
        <w:rPr>
          <w:b/>
          <w:bCs/>
          <w:lang w:eastAsia="hr-HR"/>
        </w:rPr>
        <w:t xml:space="preserve"> </w:t>
      </w:r>
      <w:r w:rsidR="00DA3529" w:rsidRPr="63259912">
        <w:rPr>
          <w:lang w:eastAsia="hr-HR"/>
        </w:rPr>
        <w:t>Smanjenje količine otpada od hrane (tona i %), potencijal smanjenja emisije stakleničkih plinova (kt CO</w:t>
      </w:r>
      <w:r w:rsidR="00DA3529" w:rsidRPr="63259912">
        <w:rPr>
          <w:vertAlign w:val="subscript"/>
          <w:lang w:eastAsia="hr-HR"/>
        </w:rPr>
        <w:t>2</w:t>
      </w:r>
      <w:r w:rsidR="00DA3529" w:rsidRPr="63259912">
        <w:rPr>
          <w:lang w:eastAsia="hr-HR"/>
        </w:rPr>
        <w:t>-eq).</w:t>
      </w:r>
    </w:p>
    <w:p w14:paraId="387FAAFF" w14:textId="03A73A1C" w:rsidR="00DA3529" w:rsidRPr="000465E3" w:rsidRDefault="008B4BCB" w:rsidP="008B4BCB">
      <w:pPr>
        <w:rPr>
          <w:b/>
          <w:lang w:eastAsia="hr-HR"/>
        </w:rPr>
      </w:pPr>
      <w:r w:rsidRPr="008B4BCB">
        <w:rPr>
          <w:b/>
          <w:lang w:eastAsia="hr-HR"/>
        </w:rPr>
        <w:t xml:space="preserve">Metoda praćenja: </w:t>
      </w:r>
      <w:r w:rsidR="0048356B" w:rsidRPr="0048356B">
        <w:t>Mjerenje količine otpada od hrane</w:t>
      </w:r>
    </w:p>
    <w:p w14:paraId="60B7D513" w14:textId="4661503E" w:rsidR="008B4BCB" w:rsidRPr="008B4BCB" w:rsidRDefault="008B4BCB" w:rsidP="63259912">
      <w:pPr>
        <w:rPr>
          <w:lang w:eastAsia="hr-HR"/>
        </w:rPr>
      </w:pPr>
      <w:r w:rsidRPr="63259912">
        <w:rPr>
          <w:b/>
          <w:bCs/>
          <w:lang w:eastAsia="hr-HR"/>
        </w:rPr>
        <w:t>Pokazatelj provedbe mjere (indikator):</w:t>
      </w:r>
      <w:r w:rsidRPr="63259912">
        <w:rPr>
          <w:lang w:eastAsia="hr-HR"/>
        </w:rPr>
        <w:t xml:space="preserve"> </w:t>
      </w:r>
      <w:r w:rsidR="005D3F65" w:rsidRPr="63259912">
        <w:rPr>
          <w:lang w:eastAsia="hr-HR"/>
        </w:rPr>
        <w:t>Smanjenje količine otpada od hrane (tona i %), potencijal smanjenja emisije stakleničkih plinova (kt CO</w:t>
      </w:r>
      <w:r w:rsidR="005D3F65" w:rsidRPr="63259912">
        <w:rPr>
          <w:vertAlign w:val="subscript"/>
          <w:lang w:eastAsia="hr-HR"/>
        </w:rPr>
        <w:t>2</w:t>
      </w:r>
      <w:r w:rsidR="005D3F65" w:rsidRPr="63259912">
        <w:rPr>
          <w:lang w:eastAsia="hr-HR"/>
        </w:rPr>
        <w:t>-eq).</w:t>
      </w:r>
    </w:p>
    <w:p w14:paraId="077622CE" w14:textId="3179907C" w:rsidR="008B4BCB" w:rsidRPr="008B4BCB" w:rsidRDefault="008B4BCB" w:rsidP="008B4BCB">
      <w:pPr>
        <w:rPr>
          <w:lang w:eastAsia="hr-HR"/>
        </w:rPr>
      </w:pPr>
      <w:r w:rsidRPr="008B4BCB">
        <w:rPr>
          <w:b/>
          <w:lang w:eastAsia="hr-HR"/>
        </w:rPr>
        <w:t>Povezanost s drugim dimenzijama:</w:t>
      </w:r>
      <w:r w:rsidRPr="008B4BCB">
        <w:rPr>
          <w:lang w:eastAsia="hr-HR"/>
        </w:rPr>
        <w:t xml:space="preserve"> Istraživanje, inovacije i konkurentnost</w:t>
      </w:r>
      <w:r w:rsidR="00B3235C">
        <w:rPr>
          <w:lang w:eastAsia="hr-HR"/>
        </w:rPr>
        <w:t>.</w:t>
      </w:r>
    </w:p>
    <w:p w14:paraId="351D6B7F" w14:textId="5F4A873A" w:rsidR="00D51441" w:rsidRDefault="008B4BCB" w:rsidP="008B4BCB">
      <w:pPr>
        <w:rPr>
          <w:lang w:eastAsia="hr-HR"/>
        </w:rPr>
      </w:pPr>
      <w:r w:rsidRPr="008B4BCB">
        <w:rPr>
          <w:b/>
          <w:lang w:eastAsia="hr-HR"/>
        </w:rPr>
        <w:t>Istraživanje i razvoj:</w:t>
      </w:r>
      <w:r w:rsidRPr="008B4BCB">
        <w:rPr>
          <w:lang w:eastAsia="hr-HR"/>
        </w:rPr>
        <w:t xml:space="preserve"> Razmjena iskustava te primjera najbolje prakse, savjeta i preporuka za subjekte u poslovanju s hranom, znanstvenu zajednicu i potrošače. </w:t>
      </w:r>
    </w:p>
    <w:p w14:paraId="5F147DAB" w14:textId="4AF1E0B5" w:rsidR="003225D2" w:rsidRDefault="003225D2">
      <w:pPr>
        <w:spacing w:after="0"/>
        <w:jc w:val="left"/>
        <w:rPr>
          <w:lang w:eastAsia="hr-HR"/>
        </w:rPr>
      </w:pPr>
      <w:r>
        <w:rPr>
          <w:lang w:eastAsia="hr-HR"/>
        </w:rPr>
        <w:br w:type="page"/>
      </w:r>
    </w:p>
    <w:p w14:paraId="76B8005F" w14:textId="65FF06A8" w:rsidR="00990724" w:rsidRPr="008B4BCB" w:rsidRDefault="00990724" w:rsidP="004B34C2">
      <w:pPr>
        <w:pStyle w:val="Mjeranaslov"/>
        <w:rPr>
          <w:lang w:eastAsia="hr-HR"/>
        </w:rPr>
      </w:pPr>
      <w:r w:rsidRPr="008B4BCB">
        <w:rPr>
          <w:lang w:eastAsia="hr-HR"/>
        </w:rPr>
        <w:lastRenderedPageBreak/>
        <w:t>GO-6 Mjere kružnog gospodarstva za povećanje resursne učinkovitosti i primjenu poslovnih modela temeljenih na popravljanju, recikliranju i oporabi</w:t>
      </w:r>
    </w:p>
    <w:p w14:paraId="0BF33599" w14:textId="5358C1AF" w:rsidR="00990724" w:rsidRPr="00AC21CC" w:rsidRDefault="00990724" w:rsidP="008B4BCB">
      <w:pPr>
        <w:keepNext/>
        <w:rPr>
          <w:bCs/>
          <w:lang w:eastAsia="hr-HR"/>
        </w:rPr>
      </w:pPr>
      <w:r w:rsidRPr="00AC21CC">
        <w:rPr>
          <w:bCs/>
          <w:lang w:eastAsia="hr-HR"/>
        </w:rPr>
        <w:t>Regulatorn</w:t>
      </w:r>
      <w:r w:rsidR="00AC21CC" w:rsidRPr="00AC21CC">
        <w:rPr>
          <w:bCs/>
          <w:lang w:eastAsia="hr-HR"/>
        </w:rPr>
        <w:t>a</w:t>
      </w:r>
      <w:r w:rsidRPr="00AC21CC">
        <w:rPr>
          <w:bCs/>
          <w:lang w:eastAsia="hr-HR"/>
        </w:rPr>
        <w:t>, okolišn</w:t>
      </w:r>
      <w:r w:rsidR="00AC21CC" w:rsidRPr="00AC21CC">
        <w:rPr>
          <w:bCs/>
          <w:lang w:eastAsia="hr-HR"/>
        </w:rPr>
        <w:t>a</w:t>
      </w:r>
      <w:r w:rsidRPr="00AC21CC">
        <w:rPr>
          <w:bCs/>
          <w:lang w:eastAsia="hr-HR"/>
        </w:rPr>
        <w:t>, ekonomsk</w:t>
      </w:r>
      <w:r w:rsidR="00AC21CC" w:rsidRPr="00AC21CC">
        <w:rPr>
          <w:bCs/>
          <w:lang w:eastAsia="hr-HR"/>
        </w:rPr>
        <w:t>a</w:t>
      </w:r>
      <w:r w:rsidRPr="00AC21CC">
        <w:rPr>
          <w:bCs/>
          <w:lang w:eastAsia="hr-HR"/>
        </w:rPr>
        <w:t>, obrazovn</w:t>
      </w:r>
      <w:r w:rsidR="00AC21CC" w:rsidRPr="00AC21CC">
        <w:rPr>
          <w:bCs/>
          <w:lang w:eastAsia="hr-HR"/>
        </w:rPr>
        <w:t>a</w:t>
      </w:r>
      <w:r w:rsidRPr="00AC21CC">
        <w:rPr>
          <w:bCs/>
          <w:lang w:eastAsia="hr-HR"/>
        </w:rPr>
        <w:t xml:space="preserve"> mjera; provedba: 2024. - 2030.</w:t>
      </w:r>
    </w:p>
    <w:p w14:paraId="0C5BF671" w14:textId="77777777" w:rsidR="00990724" w:rsidRPr="00CA0C0D" w:rsidRDefault="00990724" w:rsidP="63259912">
      <w:pPr>
        <w:rPr>
          <w:lang w:eastAsia="hr-HR"/>
        </w:rPr>
      </w:pPr>
      <w:r w:rsidRPr="63259912">
        <w:rPr>
          <w:b/>
          <w:bCs/>
          <w:lang w:eastAsia="hr-HR"/>
        </w:rPr>
        <w:t>Cilj i opis mjera:</w:t>
      </w:r>
      <w:r w:rsidRPr="63259912">
        <w:rPr>
          <w:lang w:eastAsia="hr-HR"/>
        </w:rPr>
        <w:t xml:space="preserve"> Novim akcijskim planom za kružno gospodarstvo (COM(2020) 98 final) uvode se mjere kojima će se osigurati smanjenje proizvodnje otpada te dobro funkcioniranje unutarnjeg tržišta EU-a za visokokvalitetne sekundarne sirovine. Akcijski plan za kružno gospodarstvo EU usmjeren je na promjenu načina proizvodnje i osnaživanje potrošača kako bi u poslovanju i svakodnevnim odabirima donosili održive odluke te primjenjivali model proizvodnje i potrošnje koji uključuje dijeljenje, ponovno korištenje, popravljanje i reciklažu postojećih proizvoda i materijala što je dulje moguće. Tako se istovremeno produljuje životni vijek proizvoda i sirovina te se smanjuje masa otpada. Prema tome, uvođenje principa kružnog gospodarstva smanjuje pritisak na okoliš, povećava sigurnost nabave sirovina, konkurentnost i inovacije, stvara nova radna mjesta, a potrošači imaju dugotrajnije, otpornije i vrjednije proizvode.</w:t>
      </w:r>
    </w:p>
    <w:p w14:paraId="3F0A07F2" w14:textId="77777777" w:rsidR="00990724" w:rsidRPr="00CA0C0D" w:rsidRDefault="00990724" w:rsidP="004623DD">
      <w:pPr>
        <w:rPr>
          <w:lang w:eastAsia="hr-HR"/>
        </w:rPr>
      </w:pPr>
      <w:r w:rsidRPr="00CA0C0D">
        <w:rPr>
          <w:lang w:eastAsia="hr-HR"/>
        </w:rPr>
        <w:t>Cilj koncepta kružnog gospodarstva je razdvajanje gospodarskog rasta od korištenja prirodnih resursa, što se može postići tako da se otpad i onečišćenje uklone već u fazi osmišljavanja/dizajna proizvoda i materijala, njihovim što dužim zadržavanjem u uporabi. Za stvarnu kružnost potrebni su proizvodi koji se mogu ponovno upotrijebiti, popraviti, obnoviti, preraditi i prenamijeniti, čime se sprječava pad vrijednosti proizvoda, a mogu čak i dobiti na kvaliteti što duže kruže sustavom.</w:t>
      </w:r>
    </w:p>
    <w:p w14:paraId="7EDF9FE8" w14:textId="2B8B30B2" w:rsidR="00990724" w:rsidRPr="00CA0C0D" w:rsidRDefault="00990724" w:rsidP="004623DD">
      <w:pPr>
        <w:rPr>
          <w:lang w:eastAsia="hr-HR"/>
        </w:rPr>
      </w:pPr>
      <w:r w:rsidRPr="00CA0C0D">
        <w:rPr>
          <w:lang w:eastAsia="hr-HR"/>
        </w:rPr>
        <w:t>Gospodarenje otpadom, uključujući prikupljanje i obradu otpada, ključno je za povećanje kružnosti hrvatskog gospodarstva te smanjenje negativnih utjecaja odlagališta otpada na okoliš, zdravlje ljudi i emisije stakleničkih plinova. Najveći udio u ukupnom otpadu u Hrvatskoj zauzima komunalni otpad; stopa recikliranja komunalnog otpada u 202</w:t>
      </w:r>
      <w:r w:rsidR="0007353C">
        <w:rPr>
          <w:lang w:eastAsia="hr-HR"/>
        </w:rPr>
        <w:t>2</w:t>
      </w:r>
      <w:r w:rsidRPr="00CA0C0D">
        <w:rPr>
          <w:lang w:eastAsia="hr-HR"/>
        </w:rPr>
        <w:t>. godini je bila tek 34%, u usporedbi s prosjekom EU-a koji je 202</w:t>
      </w:r>
      <w:r w:rsidR="00F07859">
        <w:rPr>
          <w:lang w:eastAsia="hr-HR"/>
        </w:rPr>
        <w:t>2</w:t>
      </w:r>
      <w:r w:rsidRPr="00CA0C0D">
        <w:rPr>
          <w:lang w:eastAsia="hr-HR"/>
        </w:rPr>
        <w:t>. godine iznosio 4</w:t>
      </w:r>
      <w:r w:rsidR="00F07859">
        <w:rPr>
          <w:lang w:eastAsia="hr-HR"/>
        </w:rPr>
        <w:t>9</w:t>
      </w:r>
      <w:r w:rsidRPr="00CA0C0D">
        <w:rPr>
          <w:lang w:eastAsia="hr-HR"/>
        </w:rPr>
        <w:t>%.</w:t>
      </w:r>
    </w:p>
    <w:p w14:paraId="6406950B" w14:textId="4729D12C" w:rsidR="00990724" w:rsidRPr="00CA0C0D" w:rsidRDefault="009A5158" w:rsidP="004623DD">
      <w:pPr>
        <w:rPr>
          <w:lang w:eastAsia="hr-HR"/>
        </w:rPr>
      </w:pPr>
      <w:r w:rsidRPr="00BF31AD">
        <w:rPr>
          <w:lang w:eastAsia="hr-HR"/>
        </w:rPr>
        <w:t xml:space="preserve">Tijekom 2022. godine Svjetska banka je u okviru projekta „Tehnička pomoć za održivo gospodarenje otpadom – prijelaz na kružno gospodarstvo“ izradila </w:t>
      </w:r>
      <w:r w:rsidR="00493726">
        <w:rPr>
          <w:lang w:eastAsia="hr-HR"/>
        </w:rPr>
        <w:t xml:space="preserve">Prijedlog </w:t>
      </w:r>
      <w:r w:rsidRPr="00BF31AD">
        <w:rPr>
          <w:lang w:eastAsia="hr-HR"/>
        </w:rPr>
        <w:t>Akcijsk</w:t>
      </w:r>
      <w:r w:rsidR="00493726">
        <w:rPr>
          <w:lang w:eastAsia="hr-HR"/>
        </w:rPr>
        <w:t>og</w:t>
      </w:r>
      <w:r w:rsidRPr="00BF31AD">
        <w:rPr>
          <w:lang w:eastAsia="hr-HR"/>
        </w:rPr>
        <w:t xml:space="preserve"> plan</w:t>
      </w:r>
      <w:r w:rsidR="00493726">
        <w:rPr>
          <w:lang w:eastAsia="hr-HR"/>
        </w:rPr>
        <w:t>a</w:t>
      </w:r>
      <w:r w:rsidRPr="00BF31AD">
        <w:rPr>
          <w:lang w:eastAsia="hr-HR"/>
        </w:rPr>
        <w:t xml:space="preserve"> za implementaciju kružnog gospodarstva u sektor gospodarenja građevnim otpadom u Hrvatskoj. Sektor građevinarstva u Hrvatskoj identificiran je kao sektor u kojem postoji značajan potencijal za primjenu načela kružnog gospodarstva jer građevinski sektor uključuje mnoge gospodarske subjekte duž cijelog lanca opskrbe i lanca vrijednosti. U konačnici </w:t>
      </w:r>
      <w:r w:rsidR="00493726">
        <w:rPr>
          <w:lang w:eastAsia="hr-HR"/>
        </w:rPr>
        <w:t xml:space="preserve">Prijedlog </w:t>
      </w:r>
      <w:r w:rsidRPr="00BF31AD">
        <w:rPr>
          <w:lang w:eastAsia="hr-HR"/>
        </w:rPr>
        <w:t>Akcijsk</w:t>
      </w:r>
      <w:r w:rsidR="00493726">
        <w:rPr>
          <w:lang w:eastAsia="hr-HR"/>
        </w:rPr>
        <w:t>og</w:t>
      </w:r>
      <w:r w:rsidRPr="00BF31AD">
        <w:rPr>
          <w:lang w:eastAsia="hr-HR"/>
        </w:rPr>
        <w:t xml:space="preserve"> plan</w:t>
      </w:r>
      <w:r w:rsidR="00493726">
        <w:rPr>
          <w:lang w:eastAsia="hr-HR"/>
        </w:rPr>
        <w:t>a</w:t>
      </w:r>
      <w:r w:rsidRPr="00BF31AD">
        <w:rPr>
          <w:lang w:eastAsia="hr-HR"/>
        </w:rPr>
        <w:t xml:space="preserve"> za implementaciju kružnog gospodarstva u sektor gospodarenja građevnim otpadom u Hrvatskoj rezultirao je s popisom ciljeva, iz kojih proizlaze mjere i aktivnosti</w:t>
      </w:r>
      <w:r w:rsidR="00A06230">
        <w:rPr>
          <w:lang w:eastAsia="hr-HR"/>
        </w:rPr>
        <w:t xml:space="preserve"> koje su uključene u </w:t>
      </w:r>
      <w:r w:rsidR="00A06230" w:rsidRPr="00A06230">
        <w:rPr>
          <w:lang w:eastAsia="hr-HR"/>
        </w:rPr>
        <w:t>Plan gospodarenja otpadom Republike Hrvatske za razdoblje 2023. - 2028. godine (</w:t>
      </w:r>
      <w:r w:rsidR="00484A11">
        <w:rPr>
          <w:lang w:eastAsia="hr-HR"/>
        </w:rPr>
        <w:t>„</w:t>
      </w:r>
      <w:r w:rsidR="00A06230" w:rsidRPr="00A06230">
        <w:rPr>
          <w:lang w:eastAsia="hr-HR"/>
        </w:rPr>
        <w:t>N</w:t>
      </w:r>
      <w:r w:rsidR="00A06230">
        <w:rPr>
          <w:lang w:eastAsia="hr-HR"/>
        </w:rPr>
        <w:t>arodne novine</w:t>
      </w:r>
      <w:r w:rsidR="00484A11">
        <w:rPr>
          <w:lang w:eastAsia="hr-HR"/>
        </w:rPr>
        <w:t>“, br.</w:t>
      </w:r>
      <w:r w:rsidR="00A06230" w:rsidRPr="00A06230">
        <w:rPr>
          <w:lang w:eastAsia="hr-HR"/>
        </w:rPr>
        <w:t xml:space="preserve"> 84/23</w:t>
      </w:r>
      <w:r w:rsidR="00484A11">
        <w:rPr>
          <w:lang w:eastAsia="hr-HR"/>
        </w:rPr>
        <w:t>.</w:t>
      </w:r>
      <w:r w:rsidR="00A06230" w:rsidRPr="00A06230">
        <w:rPr>
          <w:lang w:eastAsia="hr-HR"/>
        </w:rPr>
        <w:t>)</w:t>
      </w:r>
      <w:r w:rsidR="00A06230" w:rsidRPr="00BF31AD">
        <w:rPr>
          <w:lang w:eastAsia="hr-HR"/>
        </w:rPr>
        <w:t>.</w:t>
      </w:r>
    </w:p>
    <w:p w14:paraId="6B90BA4F" w14:textId="15DF5212" w:rsidR="00990724" w:rsidRDefault="00990724" w:rsidP="004623DD">
      <w:pPr>
        <w:rPr>
          <w:lang w:eastAsia="hr-HR"/>
        </w:rPr>
      </w:pPr>
      <w:r w:rsidRPr="00CA0C0D">
        <w:rPr>
          <w:lang w:eastAsia="hr-HR"/>
        </w:rPr>
        <w:t xml:space="preserve">Zatvaranje kruga upravljanja materijalima zahtijeva preispitivanje načina na koji osmišljavamo/dizajniramo proizvode, kako ih proizvodimo, konzumiramo, kao i načina na koji ponovno koristimo materijale na kraju životnog vijeka proizvoda. Hrvatskom gospodarstvu otvaraju se mogućnosti koje iziskuju strateški pristup usmjeren na mjere navedene u Novom akcijskom planu za kružno gospodarstvo, na čijem temelju EK integrira načela kružnog gospodarstva u proizvodnju i potrošnju plastike, gospodarenje vodama, prehrambene sustave, gospodarenje posebnim tokovima otpada i dr. U Hrvatskoj su definirana četiri </w:t>
      </w:r>
      <w:r w:rsidRPr="00CA0C0D">
        <w:rPr>
          <w:lang w:eastAsia="hr-HR"/>
        </w:rPr>
        <w:lastRenderedPageBreak/>
        <w:t xml:space="preserve">prioritetna sektora: hrana, građevinski sektor, plastika i tekstilna proizvodnja, s obzirom na njihove značajne ekološke i socioekonomske aspekte. </w:t>
      </w:r>
    </w:p>
    <w:p w14:paraId="2DD0A98C" w14:textId="43C21D6A" w:rsidR="000B114D" w:rsidRPr="00CA0C0D" w:rsidRDefault="000B114D" w:rsidP="004623DD">
      <w:pPr>
        <w:rPr>
          <w:lang w:eastAsia="hr-HR"/>
        </w:rPr>
      </w:pPr>
      <w:r w:rsidRPr="00BF31AD">
        <w:rPr>
          <w:lang w:eastAsia="hr-HR"/>
        </w:rPr>
        <w:t>Mjera GO-6 objedinjuje učinke mjera iz PGO-a i PSNO-a koje su prethodno navedene, a koje imaju utjecaj na sveobuhvatnu primjenu mjera kružnog gospodarstva</w:t>
      </w:r>
      <w:r w:rsidRPr="00BF31AD">
        <w:t xml:space="preserve"> kojima se može </w:t>
      </w:r>
      <w:r w:rsidRPr="00BF31AD">
        <w:rPr>
          <w:lang w:eastAsia="hr-HR"/>
        </w:rPr>
        <w:t>ostvariti veća stopa kružnosti hrvatskog gospodarstva.</w:t>
      </w:r>
    </w:p>
    <w:p w14:paraId="2A485772" w14:textId="53D8AF1B" w:rsidR="00990724" w:rsidRPr="008B4BCB" w:rsidRDefault="00990724" w:rsidP="004623DD">
      <w:pPr>
        <w:rPr>
          <w:b/>
          <w:lang w:eastAsia="hr-HR"/>
        </w:rPr>
      </w:pPr>
      <w:bookmarkStart w:id="425" w:name="_Hlk133490975"/>
      <w:r w:rsidRPr="008B4BCB">
        <w:rPr>
          <w:b/>
          <w:lang w:eastAsia="hr-HR"/>
        </w:rPr>
        <w:t>Aktivnosti mjere:</w:t>
      </w:r>
    </w:p>
    <w:p w14:paraId="344F75E0" w14:textId="77777777" w:rsidR="00990724" w:rsidRPr="00CA0C0D" w:rsidRDefault="00990724" w:rsidP="00BE1241">
      <w:pPr>
        <w:pStyle w:val="ListParagraph"/>
        <w:numPr>
          <w:ilvl w:val="1"/>
          <w:numId w:val="85"/>
        </w:numPr>
        <w:spacing w:after="60"/>
        <w:ind w:left="1434" w:hanging="357"/>
      </w:pPr>
      <w:r w:rsidRPr="00CA0C0D">
        <w:t>Provedba uspostave održivog i učinkovitog sustava gospodarenja otpadom - uvođenje principa kružnog gospodarstva;</w:t>
      </w:r>
    </w:p>
    <w:p w14:paraId="6769D476" w14:textId="77777777" w:rsidR="00990724" w:rsidRPr="00CA0C0D" w:rsidRDefault="00990724" w:rsidP="00BE1241">
      <w:pPr>
        <w:pStyle w:val="ListParagraph"/>
        <w:numPr>
          <w:ilvl w:val="1"/>
          <w:numId w:val="85"/>
        </w:numPr>
        <w:spacing w:after="60"/>
        <w:ind w:left="1434" w:hanging="357"/>
      </w:pPr>
      <w:r w:rsidRPr="00CA0C0D">
        <w:t>Primjena modela proizvodnje i potrošnje koji uključuju dijeljenje, ponovno korištenje, popravljanje i reciklažu postojećih proizvoda i materijala;</w:t>
      </w:r>
    </w:p>
    <w:p w14:paraId="620894A6" w14:textId="77777777" w:rsidR="00990724" w:rsidRPr="00CA0C0D" w:rsidRDefault="00990724" w:rsidP="00BE1241">
      <w:pPr>
        <w:pStyle w:val="ListParagraph"/>
        <w:numPr>
          <w:ilvl w:val="1"/>
          <w:numId w:val="85"/>
        </w:numPr>
        <w:spacing w:after="60"/>
        <w:ind w:left="1434" w:hanging="357"/>
      </w:pPr>
      <w:r w:rsidRPr="00CA0C0D">
        <w:t>Produljenje životnog vijeka proizvoda i sirovina;</w:t>
      </w:r>
    </w:p>
    <w:p w14:paraId="7E3B7FB7" w14:textId="77777777" w:rsidR="00990724" w:rsidRDefault="00990724" w:rsidP="00BE1241">
      <w:pPr>
        <w:pStyle w:val="ListParagraph"/>
        <w:numPr>
          <w:ilvl w:val="1"/>
          <w:numId w:val="85"/>
        </w:numPr>
        <w:spacing w:after="60"/>
        <w:ind w:left="1434" w:hanging="357"/>
      </w:pPr>
      <w:r w:rsidRPr="00CA0C0D">
        <w:t>Razrada sustavnog pristupa u svim vrijednosnim lancima koji se odnose na hrvatsko gospodarstvo, a uključuju mjere navedene u Novom akcijskom planu za kružno gospodarstvo - integriranje načela kružnog gospodarstva u proizvodnju i potrošnju plastike, gospodarenje vodama, prehrambene sustave, gospodarenje posebnim tokovima otpada i dr.</w:t>
      </w:r>
    </w:p>
    <w:p w14:paraId="18592BCE" w14:textId="68CF84D1" w:rsidR="000B114D" w:rsidRPr="003B36FD" w:rsidRDefault="003B36FD" w:rsidP="00BE1241">
      <w:pPr>
        <w:pStyle w:val="ListParagraph"/>
        <w:numPr>
          <w:ilvl w:val="1"/>
          <w:numId w:val="85"/>
        </w:numPr>
        <w:spacing w:after="60"/>
        <w:ind w:left="1434" w:hanging="357"/>
      </w:pPr>
      <w:r w:rsidRPr="00BF31AD">
        <w:t xml:space="preserve">Implementacija </w:t>
      </w:r>
      <w:r w:rsidR="004211DC">
        <w:t xml:space="preserve">Prijedloga </w:t>
      </w:r>
      <w:r w:rsidRPr="00BF31AD">
        <w:t>Akcijskog plana za sektor gospodarenja građevnim otpadom;</w:t>
      </w:r>
    </w:p>
    <w:p w14:paraId="41A80E74" w14:textId="77777777" w:rsidR="00990724" w:rsidRPr="00CA0C0D" w:rsidRDefault="00990724" w:rsidP="00BE1241">
      <w:pPr>
        <w:pStyle w:val="ListParagraph"/>
        <w:numPr>
          <w:ilvl w:val="1"/>
          <w:numId w:val="85"/>
        </w:numPr>
        <w:spacing w:after="60"/>
        <w:ind w:left="1434" w:hanging="357"/>
      </w:pPr>
      <w:r w:rsidRPr="00CA0C0D">
        <w:t>Poticanje drugih sektora u Hrvatskoj ka učinkovitoj primjeni načela kružnog gospodarstva, usmjerenih na smanjenje nastanka otpada i iskorištavanje njegove gospodarske vrijednosti, uz izbjegavanje negativnih utjecaja na okoliš i klimatske promjene - strateški pristup usmjeren na četiri prioritetna sektora: hranu, građevinski sektor, plastiku i tekstilnu proizvodnju, s obzirom na njihove značajne ekološke i socioekonomske aspekte;</w:t>
      </w:r>
    </w:p>
    <w:p w14:paraId="00E8B680" w14:textId="6E830C3D" w:rsidR="00990724" w:rsidRPr="00CA0C0D" w:rsidRDefault="004211DC" w:rsidP="00BE1241">
      <w:pPr>
        <w:pStyle w:val="ListParagraph"/>
        <w:numPr>
          <w:ilvl w:val="1"/>
          <w:numId w:val="85"/>
        </w:numPr>
        <w:spacing w:after="60"/>
        <w:ind w:left="1434" w:hanging="357"/>
      </w:pPr>
      <w:r>
        <w:t>Osnivanje</w:t>
      </w:r>
      <w:r w:rsidR="001C5C12" w:rsidRPr="00BF31AD">
        <w:t xml:space="preserve"> Odbora za kružno gospodarstvo </w:t>
      </w:r>
      <w:r w:rsidR="001C5C12">
        <w:t>- r</w:t>
      </w:r>
      <w:r w:rsidR="00990724" w:rsidRPr="00CA0C0D">
        <w:t>azmjenjivanje znanja i pružanje stručne podrške za jačanje suradnje među svim sektorima te usmjeravanje načina razmišljanja kako bi se poboljšala dugovječnost proizvoda i njihovo recikliranje;</w:t>
      </w:r>
    </w:p>
    <w:p w14:paraId="00EE63BD" w14:textId="77777777" w:rsidR="00990724" w:rsidRPr="00CA0C0D" w:rsidRDefault="00990724" w:rsidP="00BE1241">
      <w:pPr>
        <w:pStyle w:val="ListParagraph"/>
        <w:numPr>
          <w:ilvl w:val="1"/>
          <w:numId w:val="85"/>
        </w:numPr>
        <w:spacing w:after="60"/>
        <w:ind w:left="1434" w:hanging="357"/>
      </w:pPr>
      <w:r w:rsidRPr="00CA0C0D">
        <w:t>Izrada Nacionalnog akcijskog plana za tranziciju na kružno gospodarstvo kroz prilagodbu zakonodavnog okvira.</w:t>
      </w:r>
    </w:p>
    <w:p w14:paraId="5474F724" w14:textId="5838E0C2" w:rsidR="00990724" w:rsidRPr="00CA0C0D" w:rsidRDefault="00990724" w:rsidP="004623DD">
      <w:pPr>
        <w:rPr>
          <w:lang w:eastAsia="hr-HR"/>
        </w:rPr>
      </w:pPr>
      <w:r w:rsidRPr="00CA0C0D">
        <w:rPr>
          <w:b/>
          <w:lang w:eastAsia="hr-HR"/>
        </w:rPr>
        <w:t>Sredstva potrebna za provedbu:</w:t>
      </w:r>
      <w:r w:rsidRPr="00CA0C0D">
        <w:rPr>
          <w:lang w:eastAsia="hr-HR"/>
        </w:rPr>
        <w:t xml:space="preserve"> </w:t>
      </w:r>
      <w:r w:rsidR="00B67E26" w:rsidRPr="00BF31AD">
        <w:rPr>
          <w:lang w:eastAsia="hr-HR"/>
        </w:rPr>
        <w:t xml:space="preserve">Procijenjena financijska sredstva </w:t>
      </w:r>
      <w:r w:rsidR="00B67E26" w:rsidRPr="00BF31AD">
        <w:rPr>
          <w:rFonts w:eastAsia="Calibri"/>
          <w:kern w:val="2"/>
          <w14:ligatures w14:val="standardContextual"/>
        </w:rPr>
        <w:t>za provedbu mjera PGO-a.</w:t>
      </w:r>
    </w:p>
    <w:p w14:paraId="263A03BC" w14:textId="19135276" w:rsidR="00990724" w:rsidRPr="00CA0C0D" w:rsidRDefault="00990724" w:rsidP="004623DD">
      <w:pPr>
        <w:rPr>
          <w:lang w:eastAsia="hr-HR"/>
        </w:rPr>
      </w:pPr>
      <w:r w:rsidRPr="00CA0C0D">
        <w:rPr>
          <w:b/>
          <w:lang w:eastAsia="hr-HR"/>
        </w:rPr>
        <w:t>Izvori financiranja:</w:t>
      </w:r>
      <w:r w:rsidRPr="00CA0C0D">
        <w:rPr>
          <w:lang w:eastAsia="hr-HR"/>
        </w:rPr>
        <w:t xml:space="preserve"> </w:t>
      </w:r>
      <w:r w:rsidR="00F81B9E" w:rsidRPr="00BF31AD">
        <w:rPr>
          <w:lang w:eastAsia="hr-HR"/>
        </w:rPr>
        <w:t>Izvori financiranja za provedbu mjera PGO-a.</w:t>
      </w:r>
    </w:p>
    <w:p w14:paraId="1AAE1891" w14:textId="65FE79CF" w:rsidR="00990724" w:rsidRPr="00CA0C0D" w:rsidRDefault="00990724" w:rsidP="004623DD">
      <w:pPr>
        <w:rPr>
          <w:lang w:eastAsia="hr-HR"/>
        </w:rPr>
      </w:pPr>
      <w:r w:rsidRPr="00CA0C0D">
        <w:rPr>
          <w:b/>
          <w:lang w:eastAsia="hr-HR"/>
        </w:rPr>
        <w:t>Izvršno tijelo:</w:t>
      </w:r>
      <w:r w:rsidRPr="00CA0C0D">
        <w:rPr>
          <w:lang w:eastAsia="hr-HR"/>
        </w:rPr>
        <w:t xml:space="preserve"> </w:t>
      </w:r>
      <w:r w:rsidR="00EF6EF3" w:rsidRPr="004E559C">
        <w:rPr>
          <w:lang w:eastAsia="hr-HR"/>
        </w:rPr>
        <w:t>Ministarstvo zaštite okoliša i zelene tranzicije</w:t>
      </w:r>
      <w:r w:rsidR="00F81B9E">
        <w:rPr>
          <w:lang w:eastAsia="hr-HR"/>
        </w:rPr>
        <w:t>.</w:t>
      </w:r>
    </w:p>
    <w:p w14:paraId="20459D84" w14:textId="154F467F" w:rsidR="00A96BEC" w:rsidRPr="002167A3" w:rsidRDefault="00990724" w:rsidP="00A96BEC">
      <w:pPr>
        <w:rPr>
          <w:lang w:eastAsia="hr-HR"/>
        </w:rPr>
      </w:pPr>
      <w:r w:rsidRPr="00CA0C0D">
        <w:rPr>
          <w:b/>
          <w:lang w:eastAsia="hr-HR"/>
        </w:rPr>
        <w:t>Tijela za praćenje:</w:t>
      </w:r>
      <w:r w:rsidRPr="00CA0C0D">
        <w:rPr>
          <w:lang w:eastAsia="hr-HR"/>
        </w:rPr>
        <w:t xml:space="preserve"> </w:t>
      </w:r>
      <w:r w:rsidR="00F81B9E">
        <w:rPr>
          <w:lang w:eastAsia="hr-HR"/>
        </w:rPr>
        <w:t>EU, j</w:t>
      </w:r>
      <w:r w:rsidRPr="00CA0C0D">
        <w:rPr>
          <w:lang w:eastAsia="hr-HR"/>
        </w:rPr>
        <w:t xml:space="preserve">edinice lokalne i područne (regionalne) samouprave, </w:t>
      </w:r>
    </w:p>
    <w:p w14:paraId="23F14147" w14:textId="10C71847" w:rsidR="00990724" w:rsidRPr="00CA0C0D" w:rsidRDefault="00A96BEC" w:rsidP="004623DD">
      <w:pPr>
        <w:rPr>
          <w:lang w:eastAsia="hr-HR"/>
        </w:rPr>
      </w:pPr>
      <w:r w:rsidRPr="00BF31AD">
        <w:rPr>
          <w:lang w:eastAsia="hr-HR"/>
        </w:rPr>
        <w:t>Fond za zaštitu okoliša i energetsku učinkovitost (FZOEU).</w:t>
      </w:r>
    </w:p>
    <w:p w14:paraId="79620905" w14:textId="77777777" w:rsidR="00990724" w:rsidRPr="008B4BCB" w:rsidRDefault="00990724" w:rsidP="004623DD">
      <w:pPr>
        <w:rPr>
          <w:b/>
          <w:lang w:eastAsia="hr-HR"/>
        </w:rPr>
      </w:pPr>
      <w:r w:rsidRPr="008B4BCB">
        <w:rPr>
          <w:b/>
          <w:lang w:eastAsia="hr-HR"/>
        </w:rPr>
        <w:t>Učinak:</w:t>
      </w:r>
    </w:p>
    <w:p w14:paraId="410108EA" w14:textId="77777777" w:rsidR="00990724" w:rsidRPr="00CA0C0D" w:rsidRDefault="00990724" w:rsidP="00BE1241">
      <w:pPr>
        <w:pStyle w:val="ListParagraph"/>
        <w:numPr>
          <w:ilvl w:val="1"/>
          <w:numId w:val="85"/>
        </w:numPr>
        <w:spacing w:after="60"/>
        <w:ind w:left="1434" w:hanging="357"/>
      </w:pPr>
      <w:r w:rsidRPr="00CA0C0D">
        <w:t>Razdvajanje gospodarskog rasta od korištenja prirodnih resursa;</w:t>
      </w:r>
    </w:p>
    <w:p w14:paraId="5FBFDBD6" w14:textId="77777777" w:rsidR="00990724" w:rsidRPr="00CA0C0D" w:rsidRDefault="00990724" w:rsidP="00BE1241">
      <w:pPr>
        <w:pStyle w:val="ListParagraph"/>
        <w:numPr>
          <w:ilvl w:val="1"/>
          <w:numId w:val="85"/>
        </w:numPr>
        <w:spacing w:after="60"/>
        <w:ind w:left="1434" w:hanging="357"/>
      </w:pPr>
      <w:r w:rsidRPr="00CA0C0D">
        <w:t>Jačanje okvira politika kako bi se ubrzao prijelaz na kružno gospodarstvo od strane svih gospodarskih sektora;</w:t>
      </w:r>
    </w:p>
    <w:p w14:paraId="5E6190FC" w14:textId="77777777" w:rsidR="00990724" w:rsidRPr="00CA0C0D" w:rsidRDefault="00990724" w:rsidP="00BE1241">
      <w:pPr>
        <w:pStyle w:val="ListParagraph"/>
        <w:numPr>
          <w:ilvl w:val="1"/>
          <w:numId w:val="85"/>
        </w:numPr>
        <w:spacing w:after="60"/>
        <w:ind w:left="1434" w:hanging="357"/>
      </w:pPr>
      <w:r w:rsidRPr="00CA0C0D">
        <w:lastRenderedPageBreak/>
        <w:t xml:space="preserve">Smanjivanje pritisaka na okoliš, povećanje sigurnosti nabave sirovina, konkurentnost i inovacije, </w:t>
      </w:r>
      <w:bookmarkStart w:id="426" w:name="_Hlk133488785"/>
      <w:r w:rsidRPr="00CA0C0D">
        <w:t>stvaranje novih radnih mjesta</w:t>
      </w:r>
      <w:bookmarkEnd w:id="426"/>
      <w:r w:rsidRPr="00CA0C0D">
        <w:t>;</w:t>
      </w:r>
    </w:p>
    <w:p w14:paraId="6003F121" w14:textId="77777777" w:rsidR="00990724" w:rsidRPr="00CA0C0D" w:rsidRDefault="00990724" w:rsidP="00BE1241">
      <w:pPr>
        <w:pStyle w:val="ListParagraph"/>
        <w:numPr>
          <w:ilvl w:val="1"/>
          <w:numId w:val="85"/>
        </w:numPr>
        <w:spacing w:after="60"/>
        <w:ind w:left="1434" w:hanging="357"/>
      </w:pPr>
      <w:r w:rsidRPr="63259912">
        <w:t>Smanjenje emisije stakleničkih plinova (kt CO</w:t>
      </w:r>
      <w:r w:rsidRPr="63259912">
        <w:rPr>
          <w:vertAlign w:val="subscript"/>
        </w:rPr>
        <w:t>2</w:t>
      </w:r>
      <w:r w:rsidRPr="63259912">
        <w:t>-eq)</w:t>
      </w:r>
    </w:p>
    <w:p w14:paraId="12467A2C" w14:textId="77777777" w:rsidR="00990724" w:rsidRPr="00CA0C0D" w:rsidRDefault="00990724" w:rsidP="00BE1241">
      <w:pPr>
        <w:pStyle w:val="ListParagraph"/>
        <w:numPr>
          <w:ilvl w:val="1"/>
          <w:numId w:val="85"/>
        </w:numPr>
        <w:spacing w:after="60"/>
        <w:ind w:left="1434" w:hanging="357"/>
      </w:pPr>
      <w:r w:rsidRPr="00CA0C0D">
        <w:t>Razvoj svijesti o potrebi upravljanja otpadom - kružno gospodarstvo, poticanje međusektorske suradnje;</w:t>
      </w:r>
    </w:p>
    <w:p w14:paraId="34C9B523" w14:textId="77777777" w:rsidR="00990724" w:rsidRPr="00CA0C0D" w:rsidRDefault="00990724" w:rsidP="00BE1241">
      <w:pPr>
        <w:pStyle w:val="ListParagraph"/>
        <w:numPr>
          <w:ilvl w:val="1"/>
          <w:numId w:val="85"/>
        </w:numPr>
        <w:spacing w:after="60"/>
        <w:ind w:left="1434" w:hanging="357"/>
      </w:pPr>
      <w:r w:rsidRPr="00CA0C0D">
        <w:t>Osiguravanje potpora za investicijske projekte.</w:t>
      </w:r>
    </w:p>
    <w:p w14:paraId="3936E0AC" w14:textId="77777777" w:rsidR="00990724" w:rsidRPr="008B4BCB" w:rsidRDefault="00990724" w:rsidP="004623DD">
      <w:pPr>
        <w:rPr>
          <w:b/>
          <w:lang w:eastAsia="hr-HR"/>
        </w:rPr>
      </w:pPr>
      <w:r w:rsidRPr="008B4BCB">
        <w:rPr>
          <w:b/>
          <w:lang w:eastAsia="hr-HR"/>
        </w:rPr>
        <w:t xml:space="preserve">Metoda praćenja: </w:t>
      </w:r>
    </w:p>
    <w:p w14:paraId="7E25CF74" w14:textId="469B3DD3" w:rsidR="00CE2115" w:rsidRDefault="00A27929" w:rsidP="00BE1241">
      <w:pPr>
        <w:pStyle w:val="ListParagraph"/>
        <w:numPr>
          <w:ilvl w:val="1"/>
          <w:numId w:val="85"/>
        </w:numPr>
        <w:spacing w:after="60"/>
      </w:pPr>
      <w:r w:rsidRPr="00BF31AD">
        <w:t>Izvješće o provedbi Plana gospodarenja otpadom Republike Hrvatske za razdoblje 2023. - 2028. godine;</w:t>
      </w:r>
    </w:p>
    <w:p w14:paraId="095601FA" w14:textId="6A70A2E3" w:rsidR="00990724" w:rsidRPr="00CA0C0D" w:rsidRDefault="00990724" w:rsidP="00BE1241">
      <w:pPr>
        <w:pStyle w:val="ListParagraph"/>
        <w:numPr>
          <w:ilvl w:val="1"/>
          <w:numId w:val="85"/>
        </w:numPr>
        <w:spacing w:after="60"/>
      </w:pPr>
      <w:r w:rsidRPr="00CA0C0D">
        <w:t>Izvješće o provedbi politika i mjera za smanjenje emisija stakleničkih plinova;</w:t>
      </w:r>
    </w:p>
    <w:p w14:paraId="7F922EA2" w14:textId="77777777" w:rsidR="00990724" w:rsidRPr="00CA0C0D" w:rsidRDefault="00990724" w:rsidP="00BE1241">
      <w:pPr>
        <w:pStyle w:val="ListParagraph"/>
        <w:numPr>
          <w:ilvl w:val="1"/>
          <w:numId w:val="85"/>
        </w:numPr>
        <w:spacing w:after="60"/>
      </w:pPr>
      <w:r w:rsidRPr="00CA0C0D">
        <w:t>Uključivanje predstavnika RH u Europsku platformu dionika kružnog gospodarstva omogućuje izravan pristup inovacijama i najboljim praksama kao i suradnju u istima.</w:t>
      </w:r>
    </w:p>
    <w:p w14:paraId="2613F9AF" w14:textId="77777777" w:rsidR="00990724" w:rsidRPr="00CA0C0D" w:rsidRDefault="00990724" w:rsidP="004623DD">
      <w:pPr>
        <w:rPr>
          <w:lang w:eastAsia="hr-HR"/>
        </w:rPr>
      </w:pPr>
      <w:r w:rsidRPr="00CA0C0D">
        <w:rPr>
          <w:b/>
          <w:lang w:eastAsia="hr-HR"/>
        </w:rPr>
        <w:t>Pokazatelj provedbe mjere (indikator):</w:t>
      </w:r>
      <w:r w:rsidRPr="00CA0C0D">
        <w:rPr>
          <w:lang w:eastAsia="hr-HR"/>
        </w:rPr>
        <w:t xml:space="preserve"> Smanjivanje pritisaka na okoliš, povećanje sigurnosti nabave sirovina, stvaranje novih radnih mjesta.</w:t>
      </w:r>
    </w:p>
    <w:p w14:paraId="675E79BA" w14:textId="668EC770" w:rsidR="00990724" w:rsidRPr="00CA0C0D" w:rsidRDefault="00990724" w:rsidP="004623DD">
      <w:pPr>
        <w:rPr>
          <w:lang w:eastAsia="hr-HR"/>
        </w:rPr>
      </w:pPr>
      <w:r w:rsidRPr="00CA0C0D">
        <w:rPr>
          <w:b/>
          <w:lang w:eastAsia="hr-HR"/>
        </w:rPr>
        <w:t>Povezanost s drugim dimenzijama:</w:t>
      </w:r>
      <w:r w:rsidRPr="00CA0C0D">
        <w:rPr>
          <w:lang w:eastAsia="hr-HR"/>
        </w:rPr>
        <w:t xml:space="preserve"> Istraživanje, inovacije i konkurentnost</w:t>
      </w:r>
      <w:r w:rsidR="00D83F2D">
        <w:rPr>
          <w:lang w:eastAsia="hr-HR"/>
        </w:rPr>
        <w:t>.</w:t>
      </w:r>
    </w:p>
    <w:p w14:paraId="34F0D788" w14:textId="77777777" w:rsidR="00990724" w:rsidRPr="00805CE6" w:rsidRDefault="00990724" w:rsidP="004623DD">
      <w:pPr>
        <w:rPr>
          <w:lang w:eastAsia="hr-HR"/>
        </w:rPr>
      </w:pPr>
      <w:r w:rsidRPr="00CA0C0D">
        <w:rPr>
          <w:b/>
          <w:lang w:eastAsia="hr-HR"/>
        </w:rPr>
        <w:t>Istraživanje i razvoj:</w:t>
      </w:r>
      <w:r w:rsidRPr="00CA0C0D">
        <w:rPr>
          <w:lang w:eastAsia="hr-HR"/>
        </w:rPr>
        <w:t xml:space="preserve"> Primjena najboljih raspoloživih tehnika za recikliranje i oporabu otpada.</w:t>
      </w:r>
    </w:p>
    <w:bookmarkEnd w:id="425"/>
    <w:p w14:paraId="7141AF7F" w14:textId="77777777" w:rsidR="00990724" w:rsidRPr="00B47BDA" w:rsidRDefault="00990724" w:rsidP="004623DD">
      <w:pPr>
        <w:rPr>
          <w:lang w:eastAsia="hr-HR"/>
        </w:rPr>
      </w:pPr>
    </w:p>
    <w:p w14:paraId="2C7F6EEA" w14:textId="77777777" w:rsidR="00805CE6" w:rsidRPr="00B47BDA" w:rsidRDefault="00805CE6" w:rsidP="00F60180">
      <w:pPr>
        <w:shd w:val="clear" w:color="auto" w:fill="D9E2F3" w:themeFill="accent5" w:themeFillTint="33"/>
        <w:rPr>
          <w:lang w:eastAsia="hr-HR"/>
        </w:rPr>
      </w:pPr>
      <w:r w:rsidRPr="00B47BDA">
        <w:rPr>
          <w:lang w:eastAsia="hr-HR"/>
        </w:rPr>
        <w:t xml:space="preserve">U nastavku su prikazane mjere vezane za </w:t>
      </w:r>
      <w:r w:rsidRPr="00B47BDA">
        <w:rPr>
          <w:b/>
          <w:lang w:eastAsia="hr-HR"/>
        </w:rPr>
        <w:t>sektor poljoprivrede</w:t>
      </w:r>
      <w:r w:rsidRPr="00B47BDA">
        <w:rPr>
          <w:lang w:eastAsia="hr-HR"/>
        </w:rPr>
        <w:t xml:space="preserve">. </w:t>
      </w:r>
    </w:p>
    <w:p w14:paraId="2FCEDD7A" w14:textId="4868407D" w:rsidR="00805CE6" w:rsidRDefault="00805CE6" w:rsidP="63259912">
      <w:pPr>
        <w:rPr>
          <w:lang w:eastAsia="hr-HR"/>
        </w:rPr>
      </w:pPr>
      <w:r w:rsidRPr="63259912">
        <w:rPr>
          <w:lang w:eastAsia="hr-HR"/>
        </w:rPr>
        <w:t xml:space="preserve">Prema IPCC metodologiji u sektoru poljoprivrede promatraju se emisije CH4 i N2O do kojih dolazi zbog uzgoja stoke, upotrebe gnojiva i procesa povezanih s degradacijom tla, dok se u LULUCF sektoru promatraju </w:t>
      </w:r>
      <w:r w:rsidR="06868A36" w:rsidRPr="63259912">
        <w:rPr>
          <w:lang w:eastAsia="hr-HR"/>
        </w:rPr>
        <w:t>ponori</w:t>
      </w:r>
      <w:r w:rsidRPr="63259912">
        <w:rPr>
          <w:lang w:eastAsia="hr-HR"/>
        </w:rPr>
        <w:t>/emisija ugljika u šest pohraništa i koji su usko povezani s načinima gospodarenja pojedinom kategorijom zemljišta (npr. obradom tla). U budućnoj EU politici predviđa se povezivanje ciljeva o smanjenju emisija iz sektora LULUCF i sektora poljoprivrede u ciljeve za jedan sektor. U Republici Hrvatskoj u nadležnosti Ministarstva poljoprivrede</w:t>
      </w:r>
      <w:r w:rsidR="0078164F" w:rsidRPr="63259912">
        <w:rPr>
          <w:lang w:eastAsia="hr-HR"/>
        </w:rPr>
        <w:t>, šumarstva i ribarstva</w:t>
      </w:r>
      <w:r w:rsidRPr="63259912">
        <w:rPr>
          <w:lang w:eastAsia="hr-HR"/>
        </w:rPr>
        <w:t xml:space="preserve"> je stočarstvo i biljna proizvodnja, dakle i sektor poljoprivrede i LULUCF prema definiciji IPCC-a, što je prednost za planiranje i provedbu mjera. </w:t>
      </w:r>
    </w:p>
    <w:p w14:paraId="15ACF28E" w14:textId="77777777" w:rsidR="00631DF7" w:rsidRPr="00B47BDA" w:rsidRDefault="00631DF7" w:rsidP="004623DD">
      <w:pPr>
        <w:rPr>
          <w:lang w:eastAsia="hr-HR"/>
        </w:rPr>
      </w:pPr>
    </w:p>
    <w:p w14:paraId="73BE50A7" w14:textId="426067FC" w:rsidR="00805CE6" w:rsidRPr="00B47BDA" w:rsidRDefault="00805CE6" w:rsidP="004B34C2">
      <w:pPr>
        <w:pStyle w:val="Mjeranaslov"/>
        <w:rPr>
          <w:lang w:eastAsia="hr-HR"/>
        </w:rPr>
      </w:pPr>
      <w:r w:rsidRPr="00B47BDA">
        <w:rPr>
          <w:lang w:eastAsia="hr-HR"/>
        </w:rPr>
        <w:t>POLJ-</w:t>
      </w:r>
      <w:r w:rsidR="004F32C4">
        <w:rPr>
          <w:lang w:eastAsia="hr-HR"/>
        </w:rPr>
        <w:t>1</w:t>
      </w:r>
      <w:r w:rsidRPr="00B47BDA">
        <w:rPr>
          <w:lang w:eastAsia="hr-HR"/>
        </w:rPr>
        <w:t xml:space="preserve"> Poboljšanje kapaciteta za skladištenje i praks</w:t>
      </w:r>
      <w:r w:rsidR="00114C21">
        <w:rPr>
          <w:lang w:eastAsia="hr-HR"/>
        </w:rPr>
        <w:t>e</w:t>
      </w:r>
      <w:r w:rsidRPr="00B47BDA">
        <w:rPr>
          <w:lang w:eastAsia="hr-HR"/>
        </w:rPr>
        <w:t xml:space="preserve"> manipulacije stajskim gnojem</w:t>
      </w:r>
    </w:p>
    <w:p w14:paraId="67290C74" w14:textId="01E78F68" w:rsidR="00B910B6" w:rsidRPr="00AF19F5" w:rsidRDefault="00F334F1" w:rsidP="004623DD">
      <w:r>
        <w:t xml:space="preserve">Ekonomska, </w:t>
      </w:r>
      <w:r w:rsidR="00235AA6">
        <w:t xml:space="preserve">okolišna, </w:t>
      </w:r>
      <w:r w:rsidR="00B910B6" w:rsidRPr="00AF19F5">
        <w:t>obrazovna</w:t>
      </w:r>
      <w:r w:rsidR="000C6964" w:rsidRPr="00AF19F5">
        <w:t xml:space="preserve"> </w:t>
      </w:r>
      <w:r w:rsidR="00B910B6" w:rsidRPr="00AF19F5">
        <w:t>mjera; provedba 202</w:t>
      </w:r>
      <w:r w:rsidR="001109F5">
        <w:t>3</w:t>
      </w:r>
      <w:r w:rsidR="00B910B6" w:rsidRPr="00AF19F5">
        <w:t>.-</w:t>
      </w:r>
      <w:r w:rsidR="00E06C9E" w:rsidRPr="00AF19F5">
        <w:t>2030</w:t>
      </w:r>
      <w:r w:rsidR="00B910B6" w:rsidRPr="00AF19F5">
        <w:t>.</w:t>
      </w:r>
    </w:p>
    <w:p w14:paraId="2CCFACA9" w14:textId="4D89AB26" w:rsidR="00805CE6" w:rsidRPr="00B47BDA" w:rsidRDefault="00805CE6" w:rsidP="004623DD">
      <w:r w:rsidRPr="63259912">
        <w:rPr>
          <w:b/>
          <w:bCs/>
        </w:rPr>
        <w:t>Cilj i opis mjere:</w:t>
      </w:r>
      <w:r w:rsidRPr="63259912">
        <w:t xml:space="preserve"> Cilj mjere je smanjenje emisija metana, dušika i amonijaka kroz sustav prikupljanja i skladištenja stajskog gnoja. Kategorija gospodarenje stajskim gnojivom je izvor emisije dušikovih spojeva, amonijaka i čestica. Do emisije dolazi iz izlučevina životinjskog gnojiva odloženog u i oko nastambi i prikupljen</w:t>
      </w:r>
      <w:r w:rsidR="00F66C6F" w:rsidRPr="63259912">
        <w:t>ih</w:t>
      </w:r>
      <w:r w:rsidRPr="63259912">
        <w:t xml:space="preserve"> kao tekuća gnojovka, čvrsto gnojivo ili gnojivo u jami na dvorištu s tim da se posljednja dva promatraju zajedno kao čvrsta gnojiva. Emisije potječu iz nastambi životinja i iz dvoriš</w:t>
      </w:r>
      <w:r w:rsidR="00F66C6F" w:rsidRPr="63259912">
        <w:t>ta</w:t>
      </w:r>
      <w:r w:rsidRPr="63259912">
        <w:t xml:space="preserve">, iz skladišnih prostora i od </w:t>
      </w:r>
      <w:r w:rsidR="001109F5" w:rsidRPr="63259912">
        <w:t xml:space="preserve">aplikacije </w:t>
      </w:r>
      <w:r w:rsidRPr="63259912">
        <w:t>gnojiva na tlo. U praksi se najčešće primjenjuje više mjera istovremeno, pri čemu postoje različite mjere kojima se može u značajnoj mjeri utjecati na smanjenje emisija kao što su:</w:t>
      </w:r>
    </w:p>
    <w:p w14:paraId="49838315" w14:textId="77777777" w:rsidR="00447A73" w:rsidRPr="003C6CBE" w:rsidRDefault="00447A73" w:rsidP="63259912">
      <w:pPr>
        <w:numPr>
          <w:ilvl w:val="0"/>
          <w:numId w:val="94"/>
        </w:numPr>
        <w:tabs>
          <w:tab w:val="left" w:pos="431"/>
        </w:tabs>
        <w:rPr>
          <w:rFonts w:cs="Tahoma"/>
          <w:lang w:eastAsia="ar-SA"/>
        </w:rPr>
      </w:pPr>
      <w:r w:rsidRPr="63259912">
        <w:rPr>
          <w:rFonts w:cs="Tahoma"/>
          <w:lang w:eastAsia="ar-SA"/>
        </w:rPr>
        <w:t>Promjene sustava izgnojavanja (tip gnoja) i izgradnja objekata za skladištenje gnoja,</w:t>
      </w:r>
    </w:p>
    <w:p w14:paraId="55488768" w14:textId="77777777" w:rsidR="00447A73" w:rsidRPr="003C6CBE" w:rsidRDefault="00447A73" w:rsidP="00447A73">
      <w:pPr>
        <w:numPr>
          <w:ilvl w:val="0"/>
          <w:numId w:val="94"/>
        </w:numPr>
        <w:tabs>
          <w:tab w:val="left" w:pos="431"/>
        </w:tabs>
        <w:rPr>
          <w:rFonts w:cs="Tahoma"/>
          <w:lang w:eastAsia="ar-SA"/>
        </w:rPr>
      </w:pPr>
      <w:r w:rsidRPr="003C6CBE">
        <w:rPr>
          <w:rFonts w:cs="Tahoma"/>
          <w:lang w:eastAsia="ar-SA"/>
        </w:rPr>
        <w:lastRenderedPageBreak/>
        <w:t>Općenite mjere unaprjeđenja kojima se potiče primjena provedbi praksi u stočarstvu kao što je držanje životinja na ispaši. Time se uvelike utječe na smanjenje emisija jer se značajno umanjuje deponiranje i manipulacija stajskog gnoja unutar i izvan objekta uzgoja životinja. Dodatno, kroz boravak životinja na ispaši omogućuje se deponiranje stajskog gnoja na pašnjak gdje ga biljke izravno usvajaju te se provodi njegova apsorpcija od strane tla,</w:t>
      </w:r>
    </w:p>
    <w:p w14:paraId="5A7F8542" w14:textId="77777777" w:rsidR="00447A73" w:rsidRPr="003C6CBE" w:rsidRDefault="00447A73" w:rsidP="00447A73">
      <w:pPr>
        <w:numPr>
          <w:ilvl w:val="0"/>
          <w:numId w:val="94"/>
        </w:numPr>
        <w:tabs>
          <w:tab w:val="left" w:pos="431"/>
        </w:tabs>
        <w:rPr>
          <w:rFonts w:cs="Tahoma"/>
          <w:lang w:eastAsia="ar-SA"/>
        </w:rPr>
      </w:pPr>
      <w:r w:rsidRPr="003C6CBE">
        <w:rPr>
          <w:rFonts w:cs="Tahoma"/>
          <w:lang w:eastAsia="ar-SA"/>
        </w:rPr>
        <w:t>Edukacije poljoprivrednika o praksama koje doprinose smanjenju emisija stakleničkih plinova</w:t>
      </w:r>
    </w:p>
    <w:p w14:paraId="68CCDB00" w14:textId="77777777" w:rsidR="002276E7" w:rsidRPr="002276E7" w:rsidRDefault="002276E7" w:rsidP="00BF31AD">
      <w:pPr>
        <w:ind w:left="360"/>
      </w:pPr>
      <w:r w:rsidRPr="002276E7">
        <w:t>Ova mjera povezana je sa Zajedničkom poljoprivrednom politikom (ZPP) i Strateškim planom Zajedničke poljoprivredne politike Republike Hrvatske za razdoblje 2023.-2027. (dalje u tekstu: Strateški plan) u sklopu sljedećih intervencija:</w:t>
      </w:r>
    </w:p>
    <w:p w14:paraId="15FA6EFC" w14:textId="77777777" w:rsidR="002276E7" w:rsidRPr="002276E7" w:rsidRDefault="002276E7" w:rsidP="00BE1241">
      <w:pPr>
        <w:pStyle w:val="ListParagraph"/>
        <w:numPr>
          <w:ilvl w:val="0"/>
          <w:numId w:val="94"/>
        </w:numPr>
        <w:spacing w:after="60"/>
        <w:rPr>
          <w:rFonts w:cs="Times New Roman"/>
          <w:lang w:eastAsia="en-GB"/>
        </w:rPr>
      </w:pPr>
      <w:r w:rsidRPr="002276E7">
        <w:rPr>
          <w:rFonts w:cs="Times New Roman"/>
          <w:lang w:eastAsia="en-GB"/>
        </w:rPr>
        <w:t>73.10 - Potpora za ulaganja u primarnu poljoprivrednu proizvodnju</w:t>
      </w:r>
    </w:p>
    <w:p w14:paraId="4380872C" w14:textId="77777777" w:rsidR="002276E7" w:rsidRPr="002276E7" w:rsidRDefault="002276E7" w:rsidP="00BE1241">
      <w:pPr>
        <w:pStyle w:val="ListParagraph"/>
        <w:numPr>
          <w:ilvl w:val="0"/>
          <w:numId w:val="94"/>
        </w:numPr>
        <w:spacing w:after="60"/>
        <w:rPr>
          <w:rFonts w:cs="Times New Roman"/>
          <w:lang w:eastAsia="en-GB"/>
        </w:rPr>
      </w:pPr>
      <w:r w:rsidRPr="002276E7">
        <w:rPr>
          <w:rFonts w:cs="Times New Roman"/>
          <w:lang w:eastAsia="en-GB"/>
        </w:rPr>
        <w:t>31.02. - Ekstenzivno gospodarenje pašnjacima</w:t>
      </w:r>
    </w:p>
    <w:p w14:paraId="34CE83B8" w14:textId="77777777" w:rsidR="002276E7" w:rsidRPr="002276E7" w:rsidRDefault="002276E7" w:rsidP="00BE1241">
      <w:pPr>
        <w:pStyle w:val="ListParagraph"/>
        <w:numPr>
          <w:ilvl w:val="0"/>
          <w:numId w:val="94"/>
        </w:numPr>
        <w:spacing w:after="60"/>
        <w:rPr>
          <w:rFonts w:cs="Times New Roman"/>
          <w:lang w:eastAsia="en-GB"/>
        </w:rPr>
      </w:pPr>
      <w:r w:rsidRPr="002276E7">
        <w:rPr>
          <w:rFonts w:cs="Times New Roman"/>
          <w:lang w:eastAsia="en-GB"/>
        </w:rPr>
        <w:t>31.04. - Uporaba stajskog gnoja na oraničnim površinama</w:t>
      </w:r>
    </w:p>
    <w:p w14:paraId="719FF06C" w14:textId="77777777" w:rsidR="002276E7" w:rsidRPr="002276E7" w:rsidRDefault="002276E7" w:rsidP="00BE1241">
      <w:pPr>
        <w:pStyle w:val="ListParagraph"/>
        <w:numPr>
          <w:ilvl w:val="0"/>
          <w:numId w:val="94"/>
        </w:numPr>
        <w:spacing w:after="60"/>
        <w:rPr>
          <w:rFonts w:cs="Times New Roman"/>
          <w:lang w:eastAsia="en-GB"/>
        </w:rPr>
      </w:pPr>
      <w:r w:rsidRPr="002276E7">
        <w:rPr>
          <w:rFonts w:cs="Times New Roman"/>
          <w:lang w:eastAsia="en-GB"/>
        </w:rPr>
        <w:t>70.06. - Plaćanja za dobrobit životinja (kroz zahtjev držanja životinja na ispaši)</w:t>
      </w:r>
    </w:p>
    <w:p w14:paraId="1FD7637C" w14:textId="77777777" w:rsidR="002276E7" w:rsidRPr="002276E7" w:rsidRDefault="002276E7" w:rsidP="00BE1241">
      <w:pPr>
        <w:pStyle w:val="ListParagraph"/>
        <w:numPr>
          <w:ilvl w:val="0"/>
          <w:numId w:val="94"/>
        </w:numPr>
        <w:spacing w:after="60"/>
        <w:rPr>
          <w:rFonts w:cs="Times New Roman"/>
          <w:lang w:eastAsia="en-GB"/>
        </w:rPr>
      </w:pPr>
      <w:r w:rsidRPr="002276E7">
        <w:rPr>
          <w:rFonts w:cs="Times New Roman"/>
          <w:lang w:eastAsia="en-GB"/>
        </w:rPr>
        <w:t>78.01. - Potpora prenošenju znanja</w:t>
      </w:r>
    </w:p>
    <w:p w14:paraId="25512ADD" w14:textId="77777777" w:rsidR="002276E7" w:rsidRDefault="00805CE6" w:rsidP="004623DD">
      <w:pPr>
        <w:rPr>
          <w:b/>
        </w:rPr>
      </w:pPr>
      <w:r w:rsidRPr="00B47BDA">
        <w:rPr>
          <w:b/>
        </w:rPr>
        <w:t>Aktivnosti:</w:t>
      </w:r>
    </w:p>
    <w:p w14:paraId="21B3632D" w14:textId="0DF76E44" w:rsidR="00F13112" w:rsidRPr="003C6CBE" w:rsidRDefault="00F13112" w:rsidP="00F13112">
      <w:pPr>
        <w:numPr>
          <w:ilvl w:val="0"/>
          <w:numId w:val="85"/>
        </w:numPr>
        <w:tabs>
          <w:tab w:val="left" w:pos="431"/>
        </w:tabs>
        <w:ind w:left="360"/>
        <w:rPr>
          <w:rFonts w:cs="Tahoma"/>
          <w:lang w:eastAsia="ar-SA"/>
        </w:rPr>
      </w:pPr>
      <w:r w:rsidRPr="003C6CBE">
        <w:rPr>
          <w:rFonts w:cs="Tahoma"/>
          <w:lang w:eastAsia="ar-SA"/>
        </w:rPr>
        <w:t xml:space="preserve">Poticanje poljoprivrednika na ulaganje u izgradnju </w:t>
      </w:r>
      <w:r w:rsidRPr="003C6CBE">
        <w:rPr>
          <w:rFonts w:cs="Tahoma"/>
          <w:lang w:eastAsia="hr-HR"/>
        </w:rPr>
        <w:t>kapaciteta za skladištenje (</w:t>
      </w:r>
      <w:r w:rsidRPr="003C6CBE">
        <w:rPr>
          <w:rFonts w:cs="Tahoma"/>
          <w:lang w:eastAsia="ar-SA"/>
        </w:rPr>
        <w:t>vodonepropusni spremnici koji veličinom zadovoljavaju prikupljanje stajskog gnoja za šestomjesečno razdoblje)</w:t>
      </w:r>
      <w:r w:rsidRPr="003C6CBE">
        <w:rPr>
          <w:rFonts w:cs="Tahoma"/>
          <w:lang w:eastAsia="hr-HR"/>
        </w:rPr>
        <w:t xml:space="preserve"> i manipulaciju stajskim gnojem te nabavu opreme i mehanizacije koja doprinosi smanjenju emisija</w:t>
      </w:r>
      <w:r w:rsidR="00BF3861">
        <w:rPr>
          <w:rFonts w:cs="Tahoma"/>
          <w:lang w:eastAsia="hr-HR"/>
        </w:rPr>
        <w:t>;</w:t>
      </w:r>
    </w:p>
    <w:p w14:paraId="79F089CA" w14:textId="754A9860" w:rsidR="00F13112" w:rsidRPr="003C6CBE" w:rsidRDefault="00F13112" w:rsidP="63259912">
      <w:pPr>
        <w:numPr>
          <w:ilvl w:val="0"/>
          <w:numId w:val="85"/>
        </w:numPr>
        <w:tabs>
          <w:tab w:val="left" w:pos="431"/>
        </w:tabs>
        <w:ind w:left="360"/>
        <w:rPr>
          <w:rFonts w:cs="Tahoma"/>
          <w:lang w:eastAsia="ar-SA"/>
        </w:rPr>
      </w:pPr>
      <w:r w:rsidRPr="63259912">
        <w:rPr>
          <w:rFonts w:cs="Tahoma"/>
          <w:lang w:eastAsia="ar-SA"/>
        </w:rPr>
        <w:t>Poticanje poljoprivrednika na pokrivanje stajskog gnoja u spremištima, dodavanje anorganskih tvari (adsorbensa) za vezanje amonijaka</w:t>
      </w:r>
      <w:r w:rsidR="00BF3861" w:rsidRPr="63259912">
        <w:rPr>
          <w:rFonts w:cs="Tahoma"/>
          <w:lang w:eastAsia="ar-SA"/>
        </w:rPr>
        <w:t>;</w:t>
      </w:r>
    </w:p>
    <w:p w14:paraId="1BE2FF6C" w14:textId="6A2298E3" w:rsidR="00F13112" w:rsidRPr="003C6CBE" w:rsidRDefault="00F13112" w:rsidP="00F13112">
      <w:pPr>
        <w:numPr>
          <w:ilvl w:val="0"/>
          <w:numId w:val="85"/>
        </w:numPr>
        <w:tabs>
          <w:tab w:val="left" w:pos="431"/>
        </w:tabs>
        <w:ind w:left="360"/>
        <w:rPr>
          <w:rFonts w:cs="Tahoma"/>
          <w:lang w:eastAsia="ar-SA"/>
        </w:rPr>
      </w:pPr>
      <w:r w:rsidRPr="003C6CBE">
        <w:rPr>
          <w:rFonts w:cs="Tahoma"/>
          <w:lang w:eastAsia="ar-SA"/>
        </w:rPr>
        <w:t>Poticanje poljoprivrednika na skraćivanje vremena manipulacije stajskim gnojem od farme do inkorporacije stajskog gnoja u tlo</w:t>
      </w:r>
      <w:r w:rsidR="00BF3861">
        <w:rPr>
          <w:rFonts w:cs="Tahoma"/>
          <w:lang w:eastAsia="ar-SA"/>
        </w:rPr>
        <w:t>;</w:t>
      </w:r>
    </w:p>
    <w:p w14:paraId="6E6DA195" w14:textId="4BCF3DF2" w:rsidR="00F13112" w:rsidRPr="003C6CBE" w:rsidRDefault="00F13112" w:rsidP="63259912">
      <w:pPr>
        <w:numPr>
          <w:ilvl w:val="0"/>
          <w:numId w:val="85"/>
        </w:numPr>
        <w:tabs>
          <w:tab w:val="left" w:pos="431"/>
        </w:tabs>
        <w:ind w:left="360"/>
        <w:rPr>
          <w:rFonts w:cs="Tahoma"/>
          <w:lang w:eastAsia="ar-SA"/>
        </w:rPr>
      </w:pPr>
      <w:r w:rsidRPr="63259912">
        <w:rPr>
          <w:rFonts w:cs="Tahoma"/>
          <w:lang w:eastAsia="ar-SA"/>
        </w:rPr>
        <w:t>Poticanje poljoprivrednika na promjenu sustava držanja životinja kojim se smanjuje deponiranje stajskog gnoja te potrebe za manipulacijom stajskim gnojem kao što je ekstenzivno držanje stoke na pašnjacima s malim pašnim pritiskom</w:t>
      </w:r>
      <w:r w:rsidR="00BF3861" w:rsidRPr="63259912">
        <w:rPr>
          <w:rFonts w:cs="Tahoma"/>
          <w:lang w:eastAsia="ar-SA"/>
        </w:rPr>
        <w:t>;</w:t>
      </w:r>
    </w:p>
    <w:p w14:paraId="7EDCB8AD" w14:textId="7B28C9BF" w:rsidR="00F13112" w:rsidRPr="003C6CBE" w:rsidRDefault="00F13112" w:rsidP="00F13112">
      <w:pPr>
        <w:numPr>
          <w:ilvl w:val="0"/>
          <w:numId w:val="85"/>
        </w:numPr>
        <w:tabs>
          <w:tab w:val="left" w:pos="431"/>
        </w:tabs>
        <w:ind w:left="360"/>
        <w:rPr>
          <w:rFonts w:cs="Tahoma"/>
          <w:lang w:eastAsia="ar-SA"/>
        </w:rPr>
      </w:pPr>
      <w:r w:rsidRPr="003C6CBE">
        <w:rPr>
          <w:rFonts w:cs="Tahoma"/>
          <w:lang w:eastAsia="ar-SA"/>
        </w:rPr>
        <w:t>Obvezne edukacije poljoprivrednika o praksama koje doprinose smanjenju emisija stakleničkih plinova u okviru intervencija iz Strateškog plana</w:t>
      </w:r>
      <w:r w:rsidR="00C56FDB">
        <w:rPr>
          <w:rFonts w:cs="Tahoma"/>
          <w:lang w:eastAsia="ar-SA"/>
        </w:rPr>
        <w:t>.</w:t>
      </w:r>
    </w:p>
    <w:p w14:paraId="67AE6FF7" w14:textId="77777777" w:rsidR="00355B8C" w:rsidRDefault="00805CE6" w:rsidP="004623DD">
      <w:r w:rsidRPr="003A2A86">
        <w:rPr>
          <w:b/>
          <w:bCs/>
        </w:rPr>
        <w:t>Sredstva potrebna za provedbu:</w:t>
      </w:r>
      <w:r w:rsidRPr="00B47BDA">
        <w:t xml:space="preserve"> </w:t>
      </w:r>
    </w:p>
    <w:p w14:paraId="4208D7D5" w14:textId="226B79AC" w:rsidR="000870BD" w:rsidRPr="00BE1241" w:rsidRDefault="1FE8177B" w:rsidP="000870BD">
      <w:r>
        <w:t>U okviru Strateškog plana osigurana su sredstva za provedbu intervencija koje doprinose navedenim aktivnostima:</w:t>
      </w:r>
    </w:p>
    <w:p w14:paraId="684CD6DA" w14:textId="77777777" w:rsidR="000870BD" w:rsidRPr="00BE1241" w:rsidRDefault="000870BD" w:rsidP="63259912">
      <w:pPr>
        <w:numPr>
          <w:ilvl w:val="0"/>
          <w:numId w:val="85"/>
        </w:numPr>
        <w:tabs>
          <w:tab w:val="left" w:pos="431"/>
        </w:tabs>
        <w:ind w:left="360"/>
        <w:rPr>
          <w:rFonts w:cs="Tahoma"/>
          <w:lang w:eastAsia="ar-SA"/>
        </w:rPr>
      </w:pPr>
      <w:r w:rsidRPr="63259912">
        <w:rPr>
          <w:rFonts w:cs="Tahoma"/>
          <w:lang w:eastAsia="ar-SA"/>
        </w:rPr>
        <w:t>73.10. – Potpora za ulaganja u primarnu poljoprivrednu proizvodnju - 223.663.407,50 EUR (iznos predstavlja ukupna raspoloživa sredstva za provedbu intervencije u sklopu koje su, između ostalih, prihvatljiva ulaganja u skladišne kapacitete za stajski gnoj i digestate, uključujući opremu za rukovanje i korištenje stajskog gnoja i digestata isključivo za vlastite potrebe)</w:t>
      </w:r>
    </w:p>
    <w:p w14:paraId="66DB462E" w14:textId="77777777" w:rsidR="000870BD" w:rsidRPr="00BE1241" w:rsidRDefault="000870BD" w:rsidP="000870BD">
      <w:pPr>
        <w:numPr>
          <w:ilvl w:val="0"/>
          <w:numId w:val="85"/>
        </w:numPr>
        <w:tabs>
          <w:tab w:val="left" w:pos="431"/>
        </w:tabs>
        <w:ind w:left="360"/>
        <w:rPr>
          <w:rFonts w:cs="Tahoma"/>
          <w:lang w:eastAsia="ar-SA"/>
        </w:rPr>
      </w:pPr>
      <w:r w:rsidRPr="00BE1241">
        <w:rPr>
          <w:rFonts w:cs="Tahoma"/>
          <w:lang w:eastAsia="ar-SA"/>
        </w:rPr>
        <w:t>31.02. - Ekstenzivno gospodarenje pašnjacima - 48.420.000,00 EUR</w:t>
      </w:r>
    </w:p>
    <w:p w14:paraId="05203C83" w14:textId="77777777" w:rsidR="000870BD" w:rsidRPr="00BE1241" w:rsidRDefault="000870BD" w:rsidP="000870BD">
      <w:pPr>
        <w:numPr>
          <w:ilvl w:val="0"/>
          <w:numId w:val="85"/>
        </w:numPr>
        <w:tabs>
          <w:tab w:val="left" w:pos="431"/>
        </w:tabs>
        <w:ind w:left="360"/>
        <w:rPr>
          <w:rFonts w:cs="Tahoma"/>
          <w:lang w:eastAsia="ar-SA"/>
        </w:rPr>
      </w:pPr>
      <w:r w:rsidRPr="00BE1241">
        <w:rPr>
          <w:rFonts w:cs="Tahoma"/>
          <w:lang w:eastAsia="ar-SA"/>
        </w:rPr>
        <w:lastRenderedPageBreak/>
        <w:t>31.04. - Uporaba stajskog gnoja na oraničnim površinama - 74.330.000,00 EUR</w:t>
      </w:r>
    </w:p>
    <w:p w14:paraId="40BE3359" w14:textId="77777777" w:rsidR="000870BD" w:rsidRPr="00BE1241" w:rsidRDefault="000870BD" w:rsidP="000870BD">
      <w:pPr>
        <w:numPr>
          <w:ilvl w:val="0"/>
          <w:numId w:val="85"/>
        </w:numPr>
        <w:tabs>
          <w:tab w:val="left" w:pos="431"/>
        </w:tabs>
        <w:ind w:left="360"/>
        <w:rPr>
          <w:rFonts w:cs="Tahoma"/>
          <w:lang w:eastAsia="ar-SA"/>
        </w:rPr>
      </w:pPr>
      <w:r w:rsidRPr="00BE1241">
        <w:rPr>
          <w:rFonts w:cs="Tahoma"/>
          <w:lang w:eastAsia="ar-SA"/>
        </w:rPr>
        <w:t>70.06. - Plaćanja za dobrobit životinja - 155.476.470,00 EUR</w:t>
      </w:r>
    </w:p>
    <w:p w14:paraId="108B661F" w14:textId="16477DF6" w:rsidR="00805CE6" w:rsidRPr="00BA6EF6" w:rsidRDefault="00805CE6" w:rsidP="004623DD">
      <w:pPr>
        <w:rPr>
          <w:b/>
          <w:i/>
        </w:rPr>
      </w:pPr>
      <w:r w:rsidRPr="00B47BDA">
        <w:rPr>
          <w:b/>
        </w:rPr>
        <w:t xml:space="preserve">Izvori financiranja: </w:t>
      </w:r>
      <w:r w:rsidRPr="00BA6EF6">
        <w:t xml:space="preserve">Europski poljoprivredni fond za ruralni razvoj (EPFRR), </w:t>
      </w:r>
      <w:r w:rsidR="00D62DD1" w:rsidRPr="00BE1241">
        <w:t xml:space="preserve">Europski fond za jamstva u poljoprivredi (EFJP), </w:t>
      </w:r>
      <w:r w:rsidRPr="00BA6EF6">
        <w:t>Državni proračun Republike Hrvatske</w:t>
      </w:r>
      <w:r w:rsidR="00C56FDB">
        <w:t>.</w:t>
      </w:r>
    </w:p>
    <w:p w14:paraId="4ED95A60" w14:textId="2FCBC984" w:rsidR="00805CE6" w:rsidRPr="00BA6EF6" w:rsidRDefault="00805CE6" w:rsidP="004623DD">
      <w:pPr>
        <w:rPr>
          <w:b/>
        </w:rPr>
      </w:pPr>
      <w:r w:rsidRPr="00BA6EF6">
        <w:rPr>
          <w:b/>
        </w:rPr>
        <w:t xml:space="preserve">Izvršno tijelo: </w:t>
      </w:r>
      <w:r w:rsidRPr="00BA6EF6">
        <w:t>Ministars</w:t>
      </w:r>
      <w:r w:rsidR="003632DA">
        <w:t>t</w:t>
      </w:r>
      <w:r w:rsidRPr="00BA6EF6">
        <w:t>vo poljoprivrede</w:t>
      </w:r>
      <w:r w:rsidR="003632DA">
        <w:t>, šumarstva i ribarstva</w:t>
      </w:r>
      <w:r w:rsidR="007E56D0" w:rsidRPr="00BA6EF6">
        <w:t xml:space="preserve"> </w:t>
      </w:r>
      <w:r w:rsidR="007E56D0" w:rsidRPr="00BE1241">
        <w:t>(MP</w:t>
      </w:r>
      <w:r w:rsidR="003632DA">
        <w:t>S</w:t>
      </w:r>
      <w:r w:rsidR="007E56D0" w:rsidRPr="00BE1241">
        <w:t>)</w:t>
      </w:r>
      <w:r w:rsidR="00CC169B">
        <w:t>.</w:t>
      </w:r>
    </w:p>
    <w:p w14:paraId="04008050" w14:textId="083579AC" w:rsidR="00805CE6" w:rsidRPr="00B47BDA" w:rsidRDefault="00805CE6" w:rsidP="63259912">
      <w:pPr>
        <w:rPr>
          <w:b/>
          <w:bCs/>
        </w:rPr>
      </w:pPr>
      <w:r w:rsidRPr="63259912">
        <w:rPr>
          <w:b/>
          <w:bCs/>
        </w:rPr>
        <w:t xml:space="preserve">Učinak: </w:t>
      </w:r>
      <w:r w:rsidRPr="63259912">
        <w:t>Smanjenje emisije (kt CO</w:t>
      </w:r>
      <w:r w:rsidRPr="63259912">
        <w:rPr>
          <w:vertAlign w:val="subscript"/>
        </w:rPr>
        <w:t>2</w:t>
      </w:r>
      <w:r w:rsidRPr="63259912">
        <w:t xml:space="preserve">), </w:t>
      </w:r>
      <w:r w:rsidR="00CE5570" w:rsidRPr="63259912">
        <w:t>p</w:t>
      </w:r>
      <w:r w:rsidRPr="63259912">
        <w:t>oboljšanje konkurentnosti i učinkovitosti stočarske proizvodnje</w:t>
      </w:r>
      <w:r w:rsidR="00CE5570" w:rsidRPr="63259912">
        <w:t xml:space="preserve">, </w:t>
      </w:r>
      <w:r w:rsidR="00FB6CC8" w:rsidRPr="63259912">
        <w:rPr>
          <w:rFonts w:asciiTheme="minorHAnsi" w:hAnsiTheme="minorHAnsi" w:cs="Arial"/>
          <w:lang w:eastAsia="en-US"/>
        </w:rPr>
        <w:t>povećanje svijesti i znanja poljoprivrednika o potrebi smanjenja emisija</w:t>
      </w:r>
      <w:r w:rsidR="00F60F54" w:rsidRPr="63259912">
        <w:t>.</w:t>
      </w:r>
    </w:p>
    <w:p w14:paraId="224733D6" w14:textId="7E6EE5BB" w:rsidR="00805CE6" w:rsidRDefault="00805CE6" w:rsidP="004623DD">
      <w:pPr>
        <w:rPr>
          <w:rFonts w:asciiTheme="minorHAnsi" w:hAnsiTheme="minorHAnsi" w:cs="Arial"/>
          <w:lang w:eastAsia="en-US"/>
        </w:rPr>
      </w:pPr>
      <w:r w:rsidRPr="00B47BDA">
        <w:rPr>
          <w:b/>
        </w:rPr>
        <w:t xml:space="preserve">Metoda praćenja: </w:t>
      </w:r>
      <w:r w:rsidR="004244A1" w:rsidRPr="00BE1241">
        <w:rPr>
          <w:rFonts w:asciiTheme="minorHAnsi" w:hAnsiTheme="minorHAnsi" w:cs="Arial"/>
          <w:lang w:eastAsia="en-US"/>
        </w:rPr>
        <w:t xml:space="preserve">Kontrola provedbe intervencija od strane Agencije za plaćanja u poljoprivredi, ribarstvu i ruralnom razvoju (APPRRR), Inspekcijski nadzor objekata za gospodarenje stajskim gnojem, Mjerenje smanjenja emisija stakleničkih plinova od strane </w:t>
      </w:r>
      <w:r w:rsidR="00911EF4" w:rsidRPr="004E559C">
        <w:rPr>
          <w:lang w:eastAsia="hr-HR"/>
        </w:rPr>
        <w:t>Ministarstv</w:t>
      </w:r>
      <w:r w:rsidR="00926302">
        <w:rPr>
          <w:lang w:eastAsia="hr-HR"/>
        </w:rPr>
        <w:t>a</w:t>
      </w:r>
      <w:r w:rsidR="00911EF4" w:rsidRPr="004E559C">
        <w:rPr>
          <w:lang w:eastAsia="hr-HR"/>
        </w:rPr>
        <w:t xml:space="preserve"> zaštite okoliša i zelene tranzicije</w:t>
      </w:r>
      <w:r w:rsidR="00C56FDB">
        <w:rPr>
          <w:rFonts w:asciiTheme="minorHAnsi" w:hAnsiTheme="minorHAnsi" w:cs="Arial"/>
          <w:lang w:eastAsia="en-US"/>
        </w:rPr>
        <w:t>.</w:t>
      </w:r>
    </w:p>
    <w:p w14:paraId="0AF3CA81" w14:textId="65A1E367" w:rsidR="001F382A" w:rsidRPr="001F382A" w:rsidRDefault="001F382A" w:rsidP="004623DD">
      <w:pPr>
        <w:rPr>
          <w:lang w:eastAsia="hr-HR"/>
        </w:rPr>
      </w:pPr>
      <w:r w:rsidRPr="00B47BDA">
        <w:rPr>
          <w:b/>
          <w:lang w:eastAsia="hr-HR"/>
        </w:rPr>
        <w:t>Povezanost s drugim dimenzijama:</w:t>
      </w:r>
      <w:r w:rsidRPr="00B47BDA">
        <w:rPr>
          <w:lang w:eastAsia="hr-HR"/>
        </w:rPr>
        <w:t xml:space="preserve"> Istraživanje, inovacije i konkurentnost</w:t>
      </w:r>
      <w:r>
        <w:rPr>
          <w:lang w:eastAsia="hr-HR"/>
        </w:rPr>
        <w:t>.</w:t>
      </w:r>
    </w:p>
    <w:p w14:paraId="69DAA52E" w14:textId="77777777" w:rsidR="00631DF7" w:rsidRPr="00BE1241" w:rsidRDefault="00631DF7" w:rsidP="71589035">
      <w:pPr>
        <w:rPr>
          <w:rFonts w:asciiTheme="minorHAnsi" w:hAnsiTheme="minorHAnsi" w:cstheme="minorBidi"/>
        </w:rPr>
      </w:pPr>
    </w:p>
    <w:p w14:paraId="23052B54" w14:textId="5F6B4DF9" w:rsidR="00AC35EC" w:rsidRPr="00B47BDA" w:rsidRDefault="3D48D4A9" w:rsidP="004B34C2">
      <w:pPr>
        <w:pStyle w:val="Mjeranaslov"/>
        <w:rPr>
          <w:lang w:eastAsia="hr-HR"/>
        </w:rPr>
      </w:pPr>
      <w:r w:rsidRPr="71589035">
        <w:rPr>
          <w:lang w:eastAsia="hr-HR"/>
        </w:rPr>
        <w:t>POLJ-</w:t>
      </w:r>
      <w:r w:rsidR="356AA093" w:rsidRPr="71589035">
        <w:rPr>
          <w:lang w:eastAsia="hr-HR"/>
        </w:rPr>
        <w:t>2</w:t>
      </w:r>
      <w:r w:rsidRPr="71589035">
        <w:rPr>
          <w:lang w:eastAsia="hr-HR"/>
        </w:rPr>
        <w:t xml:space="preserve"> </w:t>
      </w:r>
      <w:r w:rsidR="3DF5FC53" w:rsidRPr="71589035">
        <w:rPr>
          <w:lang w:eastAsia="hr-HR"/>
        </w:rPr>
        <w:t>Anaerobna razgradnja stajskog gnoja i proizvodnja bioplina</w:t>
      </w:r>
      <w:r w:rsidRPr="71589035">
        <w:rPr>
          <w:lang w:eastAsia="hr-HR"/>
        </w:rPr>
        <w:t xml:space="preserve"> </w:t>
      </w:r>
    </w:p>
    <w:p w14:paraId="185BF043" w14:textId="7CDB32D2" w:rsidR="00AC35EC" w:rsidRPr="00AF19F5" w:rsidRDefault="009D295F" w:rsidP="004623DD">
      <w:r>
        <w:t>E</w:t>
      </w:r>
      <w:r w:rsidR="00AC35EC" w:rsidRPr="00AF19F5">
        <w:t>konomska mjera; provedba 202</w:t>
      </w:r>
      <w:r>
        <w:t>3</w:t>
      </w:r>
      <w:r w:rsidR="00AC35EC" w:rsidRPr="00AF19F5">
        <w:t>.-</w:t>
      </w:r>
      <w:r w:rsidR="00E06C9E" w:rsidRPr="00AF19F5">
        <w:t>2030</w:t>
      </w:r>
      <w:r w:rsidR="00AC35EC" w:rsidRPr="00AF19F5">
        <w:t>.</w:t>
      </w:r>
    </w:p>
    <w:p w14:paraId="08B9D037" w14:textId="5EBA9C97" w:rsidR="00AC35EC" w:rsidRPr="00AF19F5" w:rsidRDefault="00AC35EC" w:rsidP="004623DD">
      <w:r w:rsidRPr="00AF19F5">
        <w:rPr>
          <w:b/>
        </w:rPr>
        <w:t>Cilj i opis mjere:</w:t>
      </w:r>
      <w:r w:rsidRPr="00AF19F5">
        <w:t xml:space="preserve"> </w:t>
      </w:r>
      <w:r w:rsidR="00032462" w:rsidRPr="00C97F79">
        <w:t xml:space="preserve">Cilj mjere je smanjenje </w:t>
      </w:r>
      <w:r w:rsidR="00032462" w:rsidRPr="00314034">
        <w:rPr>
          <w:rFonts w:asciiTheme="minorHAnsi" w:hAnsiTheme="minorHAnsi" w:cs="Arial"/>
          <w:lang w:eastAsia="en-US"/>
        </w:rPr>
        <w:t xml:space="preserve">ovisnosti poljoprivrednih gospodarstava o fosilnim gorivima, smanjenje </w:t>
      </w:r>
      <w:r w:rsidR="00032462" w:rsidRPr="00C97F79">
        <w:t>emisije metana iz sustava gospodarenja stajskim gnojem goveda i svinja povećanjem udjela bioplinskih postrojenja.</w:t>
      </w:r>
    </w:p>
    <w:p w14:paraId="5B7594DC" w14:textId="77777777" w:rsidR="00423D88" w:rsidRPr="00423D88" w:rsidRDefault="00423D88" w:rsidP="00423D88">
      <w:r w:rsidRPr="63259912">
        <w:t>Uvođenjem bioplinskih postrojenja ostvaruje se smanjenje emisije stakleničkih plinova uslijed odlaganja iskorištene stelje te se proizvodi električna energija iz obnovljivog izvora. Dodatno, osim što se anaerobnom razgradnjom u bioplinskim postrojenjima smanjuje izvor lako razgradivog ugljika u stajskom gnoju koji se primjenjuje na poljoprivredne površine, potencijalno se smanjuje i proces nitrifikacije (emisija N</w:t>
      </w:r>
      <w:r w:rsidRPr="63259912">
        <w:rPr>
          <w:vertAlign w:val="subscript"/>
        </w:rPr>
        <w:t>2</w:t>
      </w:r>
      <w:r w:rsidRPr="63259912">
        <w:t>O).</w:t>
      </w:r>
    </w:p>
    <w:p w14:paraId="72404F66" w14:textId="398EEB1E" w:rsidR="00423D88" w:rsidRPr="00C56FDB" w:rsidRDefault="0065122C" w:rsidP="63259912">
      <w:pPr>
        <w:rPr>
          <w:rFonts w:cs="Arial"/>
        </w:rPr>
      </w:pPr>
      <w:r w:rsidRPr="63259912">
        <w:t xml:space="preserve">Digestor </w:t>
      </w:r>
      <w:r w:rsidR="00423D88" w:rsidRPr="63259912">
        <w:t xml:space="preserve">ili fermentator je centralni dio bioplinskog postrojenja, te </w:t>
      </w:r>
      <w:r w:rsidRPr="63259912">
        <w:t>nosi najviše investicijske troškove kod bioplinskog postrojenja</w:t>
      </w:r>
      <w:r w:rsidR="00423D88" w:rsidRPr="63259912">
        <w:t>. Također ima najveće operativne</w:t>
      </w:r>
      <w:r w:rsidRPr="63259912">
        <w:t xml:space="preserve"> troškove koji proizlaze iz potrošnje energije za </w:t>
      </w:r>
      <w:r w:rsidR="00423D88" w:rsidRPr="63259912">
        <w:t>zagrijavanje.</w:t>
      </w:r>
      <w:r w:rsidRPr="63259912">
        <w:t xml:space="preserve"> </w:t>
      </w:r>
    </w:p>
    <w:p w14:paraId="545411A7" w14:textId="0DD3AF9E" w:rsidR="00805CE6" w:rsidRPr="00B47BDA" w:rsidRDefault="00805CE6" w:rsidP="004623DD">
      <w:r w:rsidRPr="00B47BDA">
        <w:t>Ova mjera povezana je sa Zajedničkom poljoprivrednom politikom (ZPP) u sklopu intervencija 73.03. – Korištenje obnovljivih izvora energije i 73.10. – Potpora za ulaganja u primarnu poljoprivrednu proizvodnju</w:t>
      </w:r>
      <w:r w:rsidR="0079519B">
        <w:t xml:space="preserve"> </w:t>
      </w:r>
      <w:r w:rsidR="0079519B" w:rsidRPr="00314034">
        <w:rPr>
          <w:rFonts w:asciiTheme="minorHAnsi" w:hAnsiTheme="minorHAnsi" w:cs="Arial"/>
          <w:lang w:eastAsia="en-US"/>
        </w:rPr>
        <w:t>(između ostalih, prihvatljiva su ulaganja i u bioplinska postrojenja)</w:t>
      </w:r>
      <w:r w:rsidRPr="00B47BDA">
        <w:t>.</w:t>
      </w:r>
    </w:p>
    <w:p w14:paraId="38361873" w14:textId="1A00CF13" w:rsidR="00805CE6" w:rsidRPr="00B47BDA" w:rsidRDefault="00805CE6" w:rsidP="004623DD">
      <w:r w:rsidRPr="00B47BDA">
        <w:rPr>
          <w:b/>
        </w:rPr>
        <w:t xml:space="preserve">Aktivnosti: </w:t>
      </w:r>
      <w:r w:rsidR="00394B1F" w:rsidRPr="00314034">
        <w:rPr>
          <w:rFonts w:asciiTheme="minorHAnsi" w:hAnsiTheme="minorHAnsi" w:cs="Arial"/>
          <w:lang w:eastAsia="en-US"/>
        </w:rPr>
        <w:t>Izgradnja bioplinskih postrojenja</w:t>
      </w:r>
      <w:r w:rsidRPr="00B47BDA">
        <w:t>.</w:t>
      </w:r>
    </w:p>
    <w:p w14:paraId="0E54B305" w14:textId="58079FBC" w:rsidR="00805CE6" w:rsidRDefault="00805CE6" w:rsidP="004623DD">
      <w:r w:rsidRPr="00B47BDA">
        <w:rPr>
          <w:b/>
        </w:rPr>
        <w:t>Sredstva potrebna za provedbu:</w:t>
      </w:r>
      <w:r w:rsidRPr="00B47BDA">
        <w:t xml:space="preserve"> ZPP predviđa alokaciju </w:t>
      </w:r>
      <w:r w:rsidR="0947590F">
        <w:t>od</w:t>
      </w:r>
      <w:r w:rsidR="7EFEE1B4">
        <w:t xml:space="preserve"> </w:t>
      </w:r>
      <w:r w:rsidR="3FF5F965">
        <w:t>30</w:t>
      </w:r>
      <w:r w:rsidRPr="00B47BDA">
        <w:t xml:space="preserve">.000.000,00 EUR kroz </w:t>
      </w:r>
      <w:r w:rsidR="00E1742C">
        <w:t>intervenciju</w:t>
      </w:r>
      <w:r w:rsidRPr="00B47BDA">
        <w:t xml:space="preserve"> 73.03. – Korištenje obnovljivih izvora energije </w:t>
      </w:r>
      <w:r w:rsidR="0030795C" w:rsidRPr="00314034">
        <w:rPr>
          <w:rFonts w:asciiTheme="minorHAnsi" w:hAnsiTheme="minorHAnsi" w:cs="Arial"/>
          <w:lang w:eastAsia="en-US"/>
        </w:rPr>
        <w:t>za ulaganja u korištenje obnovljivih izvora energije (koja uključuju i bioplinska postrojenja)</w:t>
      </w:r>
      <w:r w:rsidR="0030795C">
        <w:t>.</w:t>
      </w:r>
    </w:p>
    <w:p w14:paraId="17C46FBF" w14:textId="2B894887" w:rsidR="0030795C" w:rsidRPr="00B47BDA" w:rsidRDefault="007D58BC" w:rsidP="004623DD">
      <w:r w:rsidRPr="00314034">
        <w:rPr>
          <w:rFonts w:asciiTheme="minorHAnsi" w:hAnsiTheme="minorHAnsi" w:cs="Arial"/>
          <w:lang w:eastAsia="en-US"/>
        </w:rPr>
        <w:t xml:space="preserve">U sklopu intervencije 73.10. – Potpora za ulaganja u primarnu poljoprivrednu proizvodnju, dostupno je 223.663.407,50 EUR (iznos predstavlja ukupna raspoloživa sredstva za provedbu intervencije u sklopu koje su, između ostalih, prihvatljiva ulaganja u bioplinska postrojenja kao dio ulaganja u izgradnju objekata za proizvodnju, odnosno povećanja postojećih kapaciteta rekonstrukcijom objekata). </w:t>
      </w:r>
    </w:p>
    <w:p w14:paraId="626485FB" w14:textId="5841FE25" w:rsidR="00805CE6" w:rsidRPr="009F1CA1" w:rsidRDefault="00805CE6" w:rsidP="009F1CA1">
      <w:pPr>
        <w:rPr>
          <w:b/>
          <w:i/>
        </w:rPr>
      </w:pPr>
      <w:r w:rsidRPr="00B47BDA">
        <w:rPr>
          <w:b/>
        </w:rPr>
        <w:lastRenderedPageBreak/>
        <w:t xml:space="preserve">Izvori financiranja: </w:t>
      </w:r>
      <w:r w:rsidRPr="00B47BDA">
        <w:t>Europski poljoprivredni fond za ruralni razvoj (EPFRR), Državni proračun Republike Hrvatske</w:t>
      </w:r>
      <w:r w:rsidR="007D58BC">
        <w:t xml:space="preserve">, </w:t>
      </w:r>
      <w:r w:rsidR="00047E3F" w:rsidRPr="00314034">
        <w:rPr>
          <w:rFonts w:asciiTheme="minorHAnsi" w:hAnsiTheme="minorHAnsi" w:cs="Arial"/>
          <w:lang w:eastAsia="en-US"/>
        </w:rPr>
        <w:t>Modernizacijski fond</w:t>
      </w:r>
      <w:r w:rsidR="00C56FDB">
        <w:rPr>
          <w:rFonts w:asciiTheme="minorHAnsi" w:hAnsiTheme="minorHAnsi" w:cs="Arial"/>
          <w:lang w:eastAsia="en-US"/>
        </w:rPr>
        <w:t>.</w:t>
      </w:r>
    </w:p>
    <w:p w14:paraId="4574CCBE" w14:textId="2E5CF7DC" w:rsidR="00805CE6" w:rsidRPr="00B47BDA" w:rsidRDefault="00805CE6" w:rsidP="004623DD">
      <w:pPr>
        <w:rPr>
          <w:b/>
        </w:rPr>
      </w:pPr>
      <w:r w:rsidRPr="00B47BDA">
        <w:rPr>
          <w:b/>
        </w:rPr>
        <w:t xml:space="preserve">Izvršno tijelo: </w:t>
      </w:r>
      <w:r w:rsidR="00917C74">
        <w:t>Ministarstvo poljoprivrede</w:t>
      </w:r>
      <w:r w:rsidR="00917C74" w:rsidRPr="00AE6008">
        <w:rPr>
          <w:lang w:eastAsia="hr-HR"/>
        </w:rPr>
        <w:t>, šumarstva i ribarstva</w:t>
      </w:r>
      <w:r w:rsidR="00047E3F">
        <w:t xml:space="preserve"> (MP</w:t>
      </w:r>
      <w:r w:rsidR="00917C74">
        <w:t>S</w:t>
      </w:r>
      <w:r w:rsidR="00047E3F">
        <w:t>)</w:t>
      </w:r>
      <w:r w:rsidR="00C56FDB">
        <w:t>.</w:t>
      </w:r>
    </w:p>
    <w:p w14:paraId="140016B3" w14:textId="39AE7BA8" w:rsidR="00805CE6" w:rsidRPr="00B47BDA" w:rsidRDefault="00805CE6" w:rsidP="004623DD">
      <w:r w:rsidRPr="63259912">
        <w:rPr>
          <w:b/>
          <w:bCs/>
        </w:rPr>
        <w:t xml:space="preserve">Učinak: </w:t>
      </w:r>
      <w:r w:rsidRPr="63259912">
        <w:t>Smanjenje emisije (kt CO</w:t>
      </w:r>
      <w:r w:rsidRPr="63259912">
        <w:rPr>
          <w:vertAlign w:val="subscript"/>
        </w:rPr>
        <w:t>2</w:t>
      </w:r>
      <w:r w:rsidRPr="63259912">
        <w:t>), proizvodnja električne energije</w:t>
      </w:r>
      <w:r w:rsidR="0041253B" w:rsidRPr="63259912">
        <w:t xml:space="preserve"> </w:t>
      </w:r>
      <w:r w:rsidR="00BD6244" w:rsidRPr="63259912">
        <w:t>za vlastite potrebe poljoprivrednih gospodarstava.</w:t>
      </w:r>
    </w:p>
    <w:p w14:paraId="5BCF9973" w14:textId="188BC0F4" w:rsidR="0011739A" w:rsidRPr="00C56FDB" w:rsidRDefault="6EC71807" w:rsidP="004623DD">
      <w:r w:rsidRPr="71589035">
        <w:rPr>
          <w:b/>
          <w:bCs/>
        </w:rPr>
        <w:t xml:space="preserve">Metoda praćenja: </w:t>
      </w:r>
      <w:r w:rsidR="2CC59B31" w:rsidRPr="71589035">
        <w:rPr>
          <w:rFonts w:asciiTheme="minorHAnsi" w:hAnsiTheme="minorHAnsi" w:cs="Arial"/>
          <w:lang w:eastAsia="en-US"/>
        </w:rPr>
        <w:t xml:space="preserve">Kontrola provedbe intervencija od strane Agencije za plaćanja u poljoprivredi, ribarstvu i ruralnom razvoju (APPRRR), Mjerenje smanjenja emisija stakleničkih plinova od strane </w:t>
      </w:r>
      <w:r w:rsidR="00926302" w:rsidRPr="004E559C">
        <w:rPr>
          <w:lang w:eastAsia="hr-HR"/>
        </w:rPr>
        <w:t>Ministarstv</w:t>
      </w:r>
      <w:r w:rsidR="00926302">
        <w:rPr>
          <w:lang w:eastAsia="hr-HR"/>
        </w:rPr>
        <w:t>a</w:t>
      </w:r>
      <w:r w:rsidR="00926302" w:rsidRPr="004E559C">
        <w:rPr>
          <w:lang w:eastAsia="hr-HR"/>
        </w:rPr>
        <w:t xml:space="preserve"> zaštite okoliša i zelene tranzicije</w:t>
      </w:r>
      <w:r w:rsidR="2CC59B31">
        <w:t>.</w:t>
      </w:r>
    </w:p>
    <w:p w14:paraId="25498BB7" w14:textId="77777777" w:rsidR="00631DF7" w:rsidRDefault="00631DF7" w:rsidP="71589035">
      <w:pPr>
        <w:rPr>
          <w:rFonts w:asciiTheme="minorHAnsi" w:hAnsiTheme="minorHAnsi" w:cstheme="minorBidi"/>
        </w:rPr>
      </w:pPr>
    </w:p>
    <w:p w14:paraId="3CC2E925" w14:textId="5E4B7C77" w:rsidR="0004673D" w:rsidRPr="00777FC2" w:rsidRDefault="1104F086" w:rsidP="004B34C2">
      <w:pPr>
        <w:pStyle w:val="Mjeranaslov"/>
        <w:rPr>
          <w:lang w:eastAsia="hr-HR"/>
        </w:rPr>
      </w:pPr>
      <w:r w:rsidRPr="71589035">
        <w:rPr>
          <w:lang w:eastAsia="hr-HR"/>
        </w:rPr>
        <w:t>POLJ-</w:t>
      </w:r>
      <w:r w:rsidR="42F6C3A3" w:rsidRPr="71589035">
        <w:rPr>
          <w:lang w:eastAsia="hr-HR"/>
        </w:rPr>
        <w:t>3</w:t>
      </w:r>
      <w:r w:rsidRPr="71589035">
        <w:rPr>
          <w:lang w:eastAsia="hr-HR"/>
        </w:rPr>
        <w:t xml:space="preserve"> </w:t>
      </w:r>
      <w:r w:rsidR="501253C2" w:rsidRPr="71589035">
        <w:rPr>
          <w:lang w:eastAsia="hr-HR"/>
        </w:rPr>
        <w:t>Unaprjeđivanje i promjena sustava obrade tla (reducirana obrada)</w:t>
      </w:r>
    </w:p>
    <w:p w14:paraId="1C76FD05" w14:textId="3B2A4E2B" w:rsidR="0004673D" w:rsidRPr="008944BA" w:rsidRDefault="004F43C0" w:rsidP="004623DD">
      <w:pPr>
        <w:rPr>
          <w:rFonts w:asciiTheme="minorHAnsi" w:hAnsiTheme="minorHAnsi" w:cstheme="minorHAnsi"/>
          <w:color w:val="000000"/>
        </w:rPr>
      </w:pPr>
      <w:r w:rsidRPr="008944BA">
        <w:rPr>
          <w:rFonts w:asciiTheme="minorHAnsi" w:hAnsiTheme="minorHAnsi" w:cstheme="minorHAnsi"/>
          <w:lang w:eastAsia="en-US"/>
        </w:rPr>
        <w:t>Ekonomska, okolišna</w:t>
      </w:r>
      <w:r w:rsidR="00805CE6" w:rsidRPr="008944BA">
        <w:rPr>
          <w:rFonts w:asciiTheme="minorHAnsi" w:hAnsiTheme="minorHAnsi" w:cstheme="minorHAnsi"/>
        </w:rPr>
        <w:t xml:space="preserve">, </w:t>
      </w:r>
      <w:r w:rsidR="0004673D" w:rsidRPr="008944BA">
        <w:rPr>
          <w:rFonts w:asciiTheme="minorHAnsi" w:hAnsiTheme="minorHAnsi" w:cstheme="minorHAnsi"/>
        </w:rPr>
        <w:t>obrazovna</w:t>
      </w:r>
      <w:r w:rsidR="004A1D0F" w:rsidRPr="008944BA">
        <w:rPr>
          <w:rFonts w:asciiTheme="minorHAnsi" w:hAnsiTheme="minorHAnsi" w:cstheme="minorHAnsi"/>
        </w:rPr>
        <w:t xml:space="preserve"> </w:t>
      </w:r>
      <w:r w:rsidR="0004673D" w:rsidRPr="008944BA">
        <w:rPr>
          <w:rFonts w:asciiTheme="minorHAnsi" w:hAnsiTheme="minorHAnsi" w:cstheme="minorHAnsi"/>
        </w:rPr>
        <w:t xml:space="preserve">mjera; provedba </w:t>
      </w:r>
      <w:r w:rsidR="00805CE6" w:rsidRPr="008944BA">
        <w:rPr>
          <w:rFonts w:asciiTheme="minorHAnsi" w:hAnsiTheme="minorHAnsi" w:cstheme="minorHAnsi"/>
        </w:rPr>
        <w:t>202</w:t>
      </w:r>
      <w:r w:rsidRPr="008944BA">
        <w:rPr>
          <w:rFonts w:asciiTheme="minorHAnsi" w:hAnsiTheme="minorHAnsi" w:cstheme="minorHAnsi"/>
        </w:rPr>
        <w:t>3</w:t>
      </w:r>
      <w:r w:rsidR="00805CE6" w:rsidRPr="008944BA">
        <w:rPr>
          <w:rFonts w:asciiTheme="minorHAnsi" w:hAnsiTheme="minorHAnsi" w:cstheme="minorHAnsi"/>
        </w:rPr>
        <w:t>.-</w:t>
      </w:r>
      <w:r w:rsidR="00E06C9E" w:rsidRPr="008944BA">
        <w:rPr>
          <w:rFonts w:asciiTheme="minorHAnsi" w:hAnsiTheme="minorHAnsi" w:cstheme="minorHAnsi"/>
        </w:rPr>
        <w:t>2030</w:t>
      </w:r>
      <w:r w:rsidR="0004673D" w:rsidRPr="008944BA">
        <w:rPr>
          <w:rFonts w:asciiTheme="minorHAnsi" w:hAnsiTheme="minorHAnsi" w:cstheme="minorHAnsi"/>
          <w:color w:val="000000"/>
        </w:rPr>
        <w:t>.</w:t>
      </w:r>
    </w:p>
    <w:p w14:paraId="1BD574B9" w14:textId="77777777" w:rsidR="0004673D" w:rsidRPr="008944BA" w:rsidRDefault="0004673D" w:rsidP="004623DD">
      <w:pPr>
        <w:rPr>
          <w:rFonts w:asciiTheme="minorHAnsi" w:hAnsiTheme="minorHAnsi" w:cstheme="minorHAnsi"/>
        </w:rPr>
      </w:pPr>
      <w:r w:rsidRPr="008944BA">
        <w:rPr>
          <w:rFonts w:asciiTheme="minorHAnsi" w:hAnsiTheme="minorHAnsi" w:cstheme="minorHAnsi"/>
          <w:b/>
        </w:rPr>
        <w:t>Cilj i opis mjere:</w:t>
      </w:r>
      <w:r w:rsidRPr="008944BA">
        <w:rPr>
          <w:rFonts w:asciiTheme="minorHAnsi" w:hAnsiTheme="minorHAnsi" w:cstheme="minorHAnsi"/>
        </w:rPr>
        <w:t xml:space="preserve"> </w:t>
      </w:r>
      <w:r w:rsidR="00985332" w:rsidRPr="008944BA">
        <w:rPr>
          <w:rFonts w:asciiTheme="minorHAnsi" w:hAnsiTheme="minorHAnsi" w:cstheme="minorHAnsi"/>
        </w:rPr>
        <w:t>Povećanje sekvestracije ugljika u tlu kroz unaprjeđenja i izmjene sustava obrade tla</w:t>
      </w:r>
      <w:r w:rsidRPr="008944BA">
        <w:rPr>
          <w:rFonts w:asciiTheme="minorHAnsi" w:hAnsiTheme="minorHAnsi" w:cstheme="minorHAnsi"/>
        </w:rPr>
        <w:t>.</w:t>
      </w:r>
    </w:p>
    <w:p w14:paraId="66EB90C1" w14:textId="11CC7E77" w:rsidR="00E97DEC" w:rsidRPr="008944BA" w:rsidRDefault="00E97DEC" w:rsidP="004623DD">
      <w:pPr>
        <w:rPr>
          <w:rFonts w:asciiTheme="minorHAnsi" w:hAnsiTheme="minorHAnsi" w:cstheme="minorHAnsi"/>
        </w:rPr>
      </w:pPr>
      <w:r w:rsidRPr="008944BA">
        <w:rPr>
          <w:rFonts w:asciiTheme="minorHAnsi" w:hAnsiTheme="minorHAnsi" w:cstheme="minorHAnsi"/>
        </w:rPr>
        <w:t>Sustavi obrade tla presudno utječu na parametre koji su bitni za skladištenje vode u tlu, općenito na vodo-zračne odnose, gubitke vodom evapotranspiracijom, toplinsko stanje tla, a time i na mikrobiološku aktivnost i na disanje tla.</w:t>
      </w:r>
    </w:p>
    <w:p w14:paraId="761D3B1D" w14:textId="77777777" w:rsidR="00E97DEC" w:rsidRPr="008944BA" w:rsidRDefault="00E97DEC" w:rsidP="004623DD">
      <w:pPr>
        <w:rPr>
          <w:rFonts w:asciiTheme="minorHAnsi" w:hAnsiTheme="minorHAnsi" w:cstheme="minorHAnsi"/>
        </w:rPr>
      </w:pPr>
      <w:r w:rsidRPr="008944BA">
        <w:rPr>
          <w:rFonts w:asciiTheme="minorHAnsi" w:hAnsiTheme="minorHAnsi" w:cstheme="minorHAnsi"/>
        </w:rPr>
        <w:t xml:space="preserve">Reducirana obrada tla predstavlja primjenu rezultata znanstvenih istraživanja i praktičnih provjera koji rezultiraju promjenom konvencionalnog sustava obrade tla kroz reduciranje dubine osnovne i dopunske obrade tla, izostavljanje jednog ili više radnih zahvata, reduciranja frekvencije obrade ili potpunog izostavljanja obrade tla. </w:t>
      </w:r>
    </w:p>
    <w:p w14:paraId="5A71C32A" w14:textId="64D4F0EA" w:rsidR="00E97DEC" w:rsidRPr="00B47BDA" w:rsidRDefault="00E97DEC" w:rsidP="004623DD">
      <w:r w:rsidRPr="00B47BDA">
        <w:t>Tako se reducirana obrad</w:t>
      </w:r>
      <w:r w:rsidR="008C3FED">
        <w:t>a</w:t>
      </w:r>
      <w:r w:rsidRPr="00B47BDA">
        <w:t xml:space="preserve"> tla može podijeliti na osnovn</w:t>
      </w:r>
      <w:r w:rsidR="008C3FED">
        <w:t>e</w:t>
      </w:r>
      <w:r w:rsidRPr="00B47BDA">
        <w:t xml:space="preserve"> koncepte:</w:t>
      </w:r>
    </w:p>
    <w:p w14:paraId="5959175F" w14:textId="120D14E7" w:rsidR="00E97DEC" w:rsidRPr="00107FAC" w:rsidRDefault="00E97DEC" w:rsidP="008944BA">
      <w:pPr>
        <w:pStyle w:val="ListParagraph"/>
        <w:numPr>
          <w:ilvl w:val="0"/>
          <w:numId w:val="57"/>
        </w:numPr>
        <w:spacing w:after="60"/>
        <w:ind w:left="714" w:hanging="357"/>
      </w:pPr>
      <w:r w:rsidRPr="00107FAC">
        <w:t>Reduciranje klasičnih sustava obrade</w:t>
      </w:r>
      <w:r w:rsidR="00A6223D" w:rsidRPr="00107FAC">
        <w:t>,</w:t>
      </w:r>
    </w:p>
    <w:p w14:paraId="49E26DAE" w14:textId="6D1C658F" w:rsidR="00E97DEC" w:rsidRPr="00107FAC" w:rsidRDefault="00E97DEC" w:rsidP="008944BA">
      <w:pPr>
        <w:pStyle w:val="ListParagraph"/>
        <w:numPr>
          <w:ilvl w:val="0"/>
          <w:numId w:val="57"/>
        </w:numPr>
        <w:spacing w:after="60"/>
        <w:ind w:left="714" w:hanging="357"/>
      </w:pPr>
      <w:r w:rsidRPr="63259912">
        <w:t>Minimalna obrad</w:t>
      </w:r>
      <w:r w:rsidR="00A74EAB" w:rsidRPr="63259912">
        <w:t>a</w:t>
      </w:r>
      <w:r w:rsidRPr="63259912">
        <w:t xml:space="preserve"> (minimum tillage</w:t>
      </w:r>
      <w:r w:rsidR="00805CE6" w:rsidRPr="63259912">
        <w:t>)</w:t>
      </w:r>
      <w:r w:rsidR="00A6223D" w:rsidRPr="63259912">
        <w:t>,</w:t>
      </w:r>
    </w:p>
    <w:p w14:paraId="0E9681B5" w14:textId="4177D412" w:rsidR="00E97DEC" w:rsidRPr="00107FAC" w:rsidRDefault="00E97DEC" w:rsidP="008944BA">
      <w:pPr>
        <w:pStyle w:val="ListParagraph"/>
        <w:numPr>
          <w:ilvl w:val="0"/>
          <w:numId w:val="57"/>
        </w:numPr>
        <w:spacing w:after="60"/>
        <w:ind w:left="714" w:hanging="357"/>
      </w:pPr>
      <w:r w:rsidRPr="63259912">
        <w:t>Izostavljanje obrade (no-till</w:t>
      </w:r>
      <w:r w:rsidR="00805CE6" w:rsidRPr="63259912">
        <w:t>)</w:t>
      </w:r>
      <w:r w:rsidR="00A6223D" w:rsidRPr="63259912">
        <w:t>,</w:t>
      </w:r>
    </w:p>
    <w:p w14:paraId="3EFAB9E5" w14:textId="2D0F8D15" w:rsidR="00E97DEC" w:rsidRPr="00107FAC" w:rsidRDefault="00E97DEC" w:rsidP="008944BA">
      <w:pPr>
        <w:pStyle w:val="ListParagraph"/>
        <w:numPr>
          <w:ilvl w:val="0"/>
          <w:numId w:val="57"/>
        </w:numPr>
        <w:spacing w:after="60"/>
        <w:ind w:left="714" w:hanging="357"/>
      </w:pPr>
      <w:r w:rsidRPr="63259912">
        <w:t>Konzervacijska obrada</w:t>
      </w:r>
      <w:r w:rsidR="00A6223D" w:rsidRPr="63259912">
        <w:t>,</w:t>
      </w:r>
    </w:p>
    <w:p w14:paraId="33BA686C" w14:textId="48A4309A" w:rsidR="00E97DEC" w:rsidRPr="00107FAC" w:rsidRDefault="00E97DEC" w:rsidP="008944BA">
      <w:pPr>
        <w:pStyle w:val="ListParagraph"/>
        <w:numPr>
          <w:ilvl w:val="0"/>
          <w:numId w:val="57"/>
        </w:numPr>
        <w:spacing w:after="60"/>
        <w:ind w:left="714" w:hanging="357"/>
      </w:pPr>
      <w:r w:rsidRPr="00107FAC">
        <w:t>Racionalna obrada</w:t>
      </w:r>
      <w:r w:rsidR="00A6223D" w:rsidRPr="00107FAC">
        <w:t>.</w:t>
      </w:r>
    </w:p>
    <w:p w14:paraId="18D62EE9" w14:textId="71727138" w:rsidR="00E97DEC" w:rsidRPr="00B47BDA" w:rsidRDefault="00E97DEC" w:rsidP="009F1CA1">
      <w:r w:rsidRPr="63259912">
        <w:t>U uvjetima globalnih klimatskih promjena i sve češćih i intenzivnijih sušnih razdoblja (prema IPCC-u, u regijama južne, jugoistočne i istočne Europe, pa tako i Republici Hrvatskoj u toploj polovini godine može se očekivati smanjivanje vlažnosti tla za 15-25%) možda najvažnijom zadaćom reducirane obrade tla postaje akumulacija i skladištenje vode u tlu. Istovremeno, u godinama bogatim oborinama, koje se u posljednje vrijeme također javljaju, često je prekomjerno zasićenje tla vodom, što čini problematiku obrade tla još teže rješivom. Drugi razlozi primjene ovih sustava obrade tla su vezani za poboljšanja biološk</w:t>
      </w:r>
      <w:r w:rsidR="008141C8" w:rsidRPr="63259912">
        <w:t>ih</w:t>
      </w:r>
      <w:r w:rsidRPr="63259912">
        <w:t>, kemijsk</w:t>
      </w:r>
      <w:r w:rsidR="008141C8" w:rsidRPr="63259912">
        <w:t>ih</w:t>
      </w:r>
      <w:r w:rsidRPr="63259912">
        <w:t xml:space="preserve"> i fizikaln</w:t>
      </w:r>
      <w:r w:rsidR="008141C8" w:rsidRPr="63259912">
        <w:t>ih</w:t>
      </w:r>
      <w:r w:rsidRPr="63259912">
        <w:t xml:space="preserve"> svojst</w:t>
      </w:r>
      <w:r w:rsidR="008141C8" w:rsidRPr="63259912">
        <w:t>a</w:t>
      </w:r>
      <w:r w:rsidRPr="63259912">
        <w:t>va tla te sprečavanje i ublažavanje erozije. Sustavi gospodarenja koji uključuju zahvate konzervacijske obrade tla, organske gnojidbe, zadržavanje dijela površine pod travnjacima, odgovarajuću strukturu plodoreda, i sl. imaju pozitivan utjecaj na podizanje organske tvari u tl</w:t>
      </w:r>
      <w:r w:rsidR="007A57C0" w:rsidRPr="63259912">
        <w:t>u</w:t>
      </w:r>
      <w:r w:rsidRPr="63259912">
        <w:t xml:space="preserve">, koja ima ključnu ulogu u održavanju svih uloga tla. Izravni utjecaj na emisiju stakleničkih plinova kod reduciranog sustava obrade tla prvenstveno se odnosi na značajni utjecaj na sadržaj organskog ugljika (povećanje akumulacije organske tvari u tlu, </w:t>
      </w:r>
      <w:r w:rsidRPr="63259912">
        <w:lastRenderedPageBreak/>
        <w:t>posebno kod kombinacija sustava minimalne obrade i pokrovnih međuusjeva kod uzgoja žitarica) te</w:t>
      </w:r>
      <w:r w:rsidR="00622DB1" w:rsidRPr="63259912">
        <w:t xml:space="preserve"> </w:t>
      </w:r>
      <w:r w:rsidRPr="63259912">
        <w:t>s aspekta smanjenog utroška energije (fosilnih goriva) zbog manjeg broja radnih sati strojeva. Reducirana obrada tla je povoljna i sa stajališta suzbijanja korova, uspostav</w:t>
      </w:r>
      <w:r w:rsidR="007A57C0" w:rsidRPr="63259912">
        <w:t>e</w:t>
      </w:r>
      <w:r w:rsidRPr="63259912">
        <w:t xml:space="preserve"> optimalnog funkcioniranja tla i optimalne visine uroda po jedinici proizvodne površine – odnosno ukupno</w:t>
      </w:r>
      <w:r w:rsidR="0096442A" w:rsidRPr="63259912">
        <w:t>g</w:t>
      </w:r>
      <w:r w:rsidRPr="63259912">
        <w:t xml:space="preserve"> smanjenj</w:t>
      </w:r>
      <w:r w:rsidR="0096442A" w:rsidRPr="63259912">
        <w:t>a</w:t>
      </w:r>
      <w:r w:rsidRPr="63259912">
        <w:t xml:space="preserve"> proizvodnih troškova. </w:t>
      </w:r>
    </w:p>
    <w:p w14:paraId="6BD27277" w14:textId="189DCE70" w:rsidR="00E97DEC" w:rsidRPr="00B47BDA" w:rsidRDefault="00E97DEC" w:rsidP="004623DD">
      <w:r w:rsidRPr="00B47BDA">
        <w:t>Problemi smanjenj</w:t>
      </w:r>
      <w:r w:rsidR="00297105">
        <w:t>a</w:t>
      </w:r>
      <w:r w:rsidRPr="00B47BDA">
        <w:t xml:space="preserve"> plodnosti tla uvjetuju izgledan pad prinosa uzgajanih kultura, kao i otežanu obrad</w:t>
      </w:r>
      <w:r w:rsidR="003201F2">
        <w:t>u</w:t>
      </w:r>
      <w:r w:rsidRPr="00B47BDA">
        <w:t xml:space="preserve"> tla, smanjeno iskorištenje primijenjenih gnojiva, te u cjelini smanjen</w:t>
      </w:r>
      <w:r w:rsidR="003201F2">
        <w:t>u</w:t>
      </w:r>
      <w:r w:rsidRPr="00B47BDA">
        <w:t xml:space="preserve"> učinkovitost proizvodnje.</w:t>
      </w:r>
    </w:p>
    <w:p w14:paraId="199A0203" w14:textId="22A500D1" w:rsidR="00805CE6" w:rsidRPr="00B47BDA" w:rsidRDefault="00823083" w:rsidP="004623DD">
      <w:r w:rsidRPr="63259912">
        <w:rPr>
          <w:lang w:eastAsia="hr-HR"/>
        </w:rPr>
        <w:t>Ova mjera povezana je sa Zajedničkom poljoprivrednom politikom (ZPP) i Strateškim planom u sklopu intervencija 31.06.</w:t>
      </w:r>
      <w:r w:rsidR="00345887" w:rsidRPr="63259912">
        <w:rPr>
          <w:lang w:eastAsia="hr-HR"/>
        </w:rPr>
        <w:t xml:space="preserve"> </w:t>
      </w:r>
      <w:r w:rsidR="00E4160D" w:rsidRPr="63259912">
        <w:rPr>
          <w:lang w:eastAsia="hr-HR"/>
        </w:rPr>
        <w:t>-</w:t>
      </w:r>
      <w:r w:rsidRPr="63259912">
        <w:rPr>
          <w:lang w:eastAsia="hr-HR"/>
        </w:rPr>
        <w:t xml:space="preserve"> Konzervacijska poljoprivreda i </w:t>
      </w:r>
      <w:r w:rsidRPr="63259912">
        <w:t>78.01. – Potpora prenošenju znanja</w:t>
      </w:r>
      <w:r w:rsidRPr="63259912">
        <w:rPr>
          <w:lang w:eastAsia="hr-HR"/>
        </w:rPr>
        <w:t>.</w:t>
      </w:r>
    </w:p>
    <w:p w14:paraId="444BDA32" w14:textId="77777777" w:rsidR="00805CE6" w:rsidRPr="0077328B" w:rsidRDefault="00805CE6" w:rsidP="004623DD">
      <w:pPr>
        <w:rPr>
          <w:rFonts w:ascii="Times New Roman" w:hAnsi="Times New Roman"/>
          <w:b/>
          <w:bCs/>
        </w:rPr>
      </w:pPr>
      <w:r w:rsidRPr="0077328B">
        <w:rPr>
          <w:b/>
          <w:bCs/>
        </w:rPr>
        <w:t>Aktivnosti:</w:t>
      </w:r>
    </w:p>
    <w:p w14:paraId="65F5AE96" w14:textId="1E7C6F18" w:rsidR="00107FAC" w:rsidRPr="00722A6A" w:rsidRDefault="00107FAC" w:rsidP="0013072C">
      <w:pPr>
        <w:numPr>
          <w:ilvl w:val="0"/>
          <w:numId w:val="211"/>
        </w:numPr>
        <w:tabs>
          <w:tab w:val="left" w:pos="431"/>
        </w:tabs>
        <w:rPr>
          <w:rFonts w:cs="Tahoma"/>
          <w:lang w:eastAsia="ar-SA"/>
        </w:rPr>
      </w:pPr>
      <w:r w:rsidRPr="00722A6A">
        <w:rPr>
          <w:rFonts w:cs="Tahoma"/>
          <w:lang w:eastAsia="ar-SA"/>
        </w:rPr>
        <w:t>Poticanje poljoprivrednih proizvođača na primjenu konverzacijske obrade tla, uz provedbu plodoreda, osiguranja pokrivenosti tla poljoprivrednih površina biljnim ostacima ili zelenim pokrovom</w:t>
      </w:r>
      <w:r w:rsidR="0013072C">
        <w:rPr>
          <w:rFonts w:cs="Tahoma"/>
          <w:lang w:eastAsia="ar-SA"/>
        </w:rPr>
        <w:t>;</w:t>
      </w:r>
    </w:p>
    <w:p w14:paraId="1D378B4F" w14:textId="485607D9" w:rsidR="00107FAC" w:rsidRPr="00722A6A" w:rsidRDefault="00107FAC" w:rsidP="63259912">
      <w:pPr>
        <w:numPr>
          <w:ilvl w:val="0"/>
          <w:numId w:val="211"/>
        </w:numPr>
        <w:tabs>
          <w:tab w:val="left" w:pos="431"/>
        </w:tabs>
        <w:rPr>
          <w:rFonts w:cs="Tahoma"/>
          <w:lang w:eastAsia="ar-SA"/>
        </w:rPr>
      </w:pPr>
      <w:r w:rsidRPr="63259912">
        <w:rPr>
          <w:rFonts w:cs="Tahoma"/>
          <w:lang w:eastAsia="ar-SA"/>
        </w:rPr>
        <w:t>Obvezne edukacije poljoprivrednika o praksama koje doprinose smanjenju emisija stakleničkih plinova u okviru intervencija iz Strateškog plana, očuvanju organske tvari u tlu, značajkama reducirane obrade tla, integriranoj zaštititi oraničnih kultura od korova, mehaničkom uklanjanju korova te pokrivenosti tla u konzervacijskoj poljoprivredi</w:t>
      </w:r>
      <w:r w:rsidR="0013072C" w:rsidRPr="63259912">
        <w:rPr>
          <w:rFonts w:cs="Tahoma"/>
          <w:lang w:eastAsia="ar-SA"/>
        </w:rPr>
        <w:t>.</w:t>
      </w:r>
    </w:p>
    <w:p w14:paraId="52DBD78E" w14:textId="77777777" w:rsidR="00843422" w:rsidRPr="00722A6A" w:rsidRDefault="00805CE6" w:rsidP="00843422">
      <w:r w:rsidRPr="00B47BDA">
        <w:rPr>
          <w:b/>
        </w:rPr>
        <w:t xml:space="preserve">Sredstva potrebna za provedbu: </w:t>
      </w:r>
    </w:p>
    <w:p w14:paraId="3AD99630" w14:textId="7E7E5104" w:rsidR="00843422" w:rsidRPr="00722A6A" w:rsidRDefault="1556B84B" w:rsidP="00843422">
      <w:pPr>
        <w:rPr>
          <w:lang w:eastAsia="hr-HR"/>
        </w:rPr>
      </w:pPr>
      <w:r>
        <w:t>U okviru</w:t>
      </w:r>
      <w:r w:rsidR="2F391C81">
        <w:t xml:space="preserve"> </w:t>
      </w:r>
      <w:r>
        <w:t>Strateškog plana osigurana su sredstva za provedbu intervencije koja doprinosi navedenim aktivnostima:</w:t>
      </w:r>
      <w:r w:rsidRPr="1C9333AB">
        <w:rPr>
          <w:lang w:eastAsia="hr-HR"/>
        </w:rPr>
        <w:t xml:space="preserve"> </w:t>
      </w:r>
    </w:p>
    <w:p w14:paraId="48638814" w14:textId="77777777" w:rsidR="00843422" w:rsidRPr="00722A6A" w:rsidRDefault="00843422" w:rsidP="63259912">
      <w:pPr>
        <w:numPr>
          <w:ilvl w:val="0"/>
          <w:numId w:val="153"/>
        </w:numPr>
        <w:tabs>
          <w:tab w:val="left" w:pos="431"/>
        </w:tabs>
        <w:rPr>
          <w:rFonts w:cs="Tahoma"/>
          <w:lang w:eastAsia="ar-SA"/>
        </w:rPr>
      </w:pPr>
      <w:r w:rsidRPr="63259912">
        <w:rPr>
          <w:rFonts w:cs="Tahoma"/>
          <w:lang w:eastAsia="hr-HR"/>
        </w:rPr>
        <w:t>31.06. - Konzervacijska poljoprivreda - 3</w:t>
      </w:r>
      <w:r w:rsidRPr="63259912">
        <w:rPr>
          <w:rFonts w:cs="Tahoma"/>
          <w:lang w:eastAsia="ar-SA"/>
        </w:rPr>
        <w:t>7.500.000,00 EUR</w:t>
      </w:r>
    </w:p>
    <w:p w14:paraId="3E6B7F88" w14:textId="77777777" w:rsidR="00677C56" w:rsidRDefault="00805CE6" w:rsidP="004623DD">
      <w:r w:rsidRPr="00B47BDA">
        <w:rPr>
          <w:b/>
        </w:rPr>
        <w:t xml:space="preserve">Izvori financiranja: </w:t>
      </w:r>
      <w:r w:rsidR="003E2A84" w:rsidRPr="00722A6A">
        <w:t>Europski fond za jamstva u poljoprivredi (EFJP)</w:t>
      </w:r>
    </w:p>
    <w:p w14:paraId="73C1EDD5" w14:textId="1B8137DF" w:rsidR="00805CE6" w:rsidRPr="00B47BDA" w:rsidRDefault="00805CE6" w:rsidP="004623DD">
      <w:pPr>
        <w:rPr>
          <w:b/>
        </w:rPr>
      </w:pPr>
      <w:r w:rsidRPr="00B47BDA">
        <w:rPr>
          <w:b/>
        </w:rPr>
        <w:t xml:space="preserve">Izvršno tijelo: </w:t>
      </w:r>
      <w:r w:rsidR="00917C74">
        <w:t>Ministarstvo poljoprivrede</w:t>
      </w:r>
      <w:r w:rsidR="00917C74" w:rsidRPr="00AE6008">
        <w:rPr>
          <w:lang w:eastAsia="hr-HR"/>
        </w:rPr>
        <w:t>, šumarstva i ribarstva</w:t>
      </w:r>
      <w:r w:rsidR="00917C74">
        <w:t xml:space="preserve"> (MPS).</w:t>
      </w:r>
    </w:p>
    <w:p w14:paraId="08812F38" w14:textId="7F4B5694" w:rsidR="00805CE6" w:rsidRPr="00B47BDA" w:rsidRDefault="00805CE6" w:rsidP="63259912">
      <w:pPr>
        <w:rPr>
          <w:b/>
          <w:bCs/>
        </w:rPr>
      </w:pPr>
      <w:r w:rsidRPr="63259912">
        <w:rPr>
          <w:b/>
          <w:bCs/>
        </w:rPr>
        <w:t xml:space="preserve">Učinak: </w:t>
      </w:r>
      <w:r w:rsidR="00706D6A" w:rsidRPr="63259912">
        <w:t>Smanjenje emisije (kt CO</w:t>
      </w:r>
      <w:r w:rsidR="00706D6A" w:rsidRPr="63259912">
        <w:rPr>
          <w:vertAlign w:val="subscript"/>
        </w:rPr>
        <w:t>2</w:t>
      </w:r>
      <w:r w:rsidR="00706D6A" w:rsidRPr="63259912">
        <w:t xml:space="preserve">), očuvanje zdravlja i plodnosti tla, smanjenje rizika od erozije tla, </w:t>
      </w:r>
      <w:r w:rsidR="00706D6A" w:rsidRPr="63259912">
        <w:rPr>
          <w:rFonts w:cs="Calibri"/>
        </w:rPr>
        <w:t>povećanje svijesti i znanja poljoprivrednika o potrebi smanjenja emisija iz tla i učinkovitom upravljanju tlom.</w:t>
      </w:r>
    </w:p>
    <w:p w14:paraId="5EFD3B9A" w14:textId="4702A17A" w:rsidR="00805CE6" w:rsidRDefault="6EC71807" w:rsidP="71589035">
      <w:r w:rsidRPr="71589035">
        <w:rPr>
          <w:b/>
          <w:bCs/>
        </w:rPr>
        <w:t xml:space="preserve">Metoda praćenja: </w:t>
      </w:r>
      <w:r w:rsidR="579982C4" w:rsidRPr="71589035">
        <w:rPr>
          <w:rFonts w:cs="Calibri"/>
        </w:rPr>
        <w:t xml:space="preserve">Kontrola provedbe intervencija od strane Agencije za plaćanja u poljoprivredi, ribarstvu i ruralnom razvoju (APPRRR), Inspekcijski nadzor nad provedbom intervencija, </w:t>
      </w:r>
      <w:r w:rsidR="579982C4">
        <w:t xml:space="preserve">Mjerenje smanjenja emisija stakleničkih plinova od strane </w:t>
      </w:r>
      <w:r w:rsidR="00642F67" w:rsidRPr="004E559C">
        <w:rPr>
          <w:lang w:eastAsia="hr-HR"/>
        </w:rPr>
        <w:t>Ministarstv</w:t>
      </w:r>
      <w:r w:rsidR="00642F67">
        <w:rPr>
          <w:lang w:eastAsia="hr-HR"/>
        </w:rPr>
        <w:t>a</w:t>
      </w:r>
      <w:r w:rsidR="00642F67" w:rsidRPr="004E559C">
        <w:rPr>
          <w:lang w:eastAsia="hr-HR"/>
        </w:rPr>
        <w:t xml:space="preserve"> zaštite okoliša i zelene tranzicije</w:t>
      </w:r>
      <w:r w:rsidR="58EDDCFF">
        <w:t>.</w:t>
      </w:r>
    </w:p>
    <w:p w14:paraId="7AD82488" w14:textId="004D4FC6" w:rsidR="00755731" w:rsidRPr="00755731" w:rsidRDefault="00755731" w:rsidP="71589035">
      <w:pPr>
        <w:rPr>
          <w:lang w:eastAsia="hr-HR"/>
        </w:rPr>
      </w:pPr>
      <w:r w:rsidRPr="00B47BDA">
        <w:rPr>
          <w:b/>
          <w:lang w:eastAsia="hr-HR"/>
        </w:rPr>
        <w:t>Povezanost s drugim dimenzijama:</w:t>
      </w:r>
      <w:r w:rsidRPr="00B47BDA">
        <w:rPr>
          <w:lang w:eastAsia="hr-HR"/>
        </w:rPr>
        <w:t xml:space="preserve"> Istraživanje, inovacije i konkurentnost</w:t>
      </w:r>
      <w:r>
        <w:rPr>
          <w:lang w:eastAsia="hr-HR"/>
        </w:rPr>
        <w:t>.</w:t>
      </w:r>
    </w:p>
    <w:p w14:paraId="15248762" w14:textId="2D804520" w:rsidR="002F7960" w:rsidRDefault="002F7960">
      <w:pPr>
        <w:spacing w:after="0"/>
        <w:jc w:val="left"/>
        <w:rPr>
          <w:rFonts w:asciiTheme="minorHAnsi" w:hAnsiTheme="minorHAnsi" w:cstheme="minorBidi"/>
          <w:lang w:eastAsia="en-US"/>
        </w:rPr>
      </w:pPr>
      <w:r>
        <w:rPr>
          <w:rFonts w:asciiTheme="minorHAnsi" w:hAnsiTheme="minorHAnsi" w:cstheme="minorBidi"/>
          <w:lang w:eastAsia="en-US"/>
        </w:rPr>
        <w:br w:type="page"/>
      </w:r>
    </w:p>
    <w:p w14:paraId="493B34CC" w14:textId="74415277" w:rsidR="00036D1D" w:rsidRPr="00AF19F5" w:rsidRDefault="322D1C89" w:rsidP="004B34C2">
      <w:pPr>
        <w:pStyle w:val="Mjeranaslov"/>
        <w:rPr>
          <w:lang w:eastAsia="hr-HR"/>
        </w:rPr>
      </w:pPr>
      <w:r w:rsidRPr="71589035">
        <w:rPr>
          <w:lang w:eastAsia="hr-HR"/>
        </w:rPr>
        <w:lastRenderedPageBreak/>
        <w:t>POLJ-</w:t>
      </w:r>
      <w:r w:rsidR="152DB828" w:rsidRPr="71589035">
        <w:rPr>
          <w:lang w:eastAsia="hr-HR"/>
        </w:rPr>
        <w:t>4</w:t>
      </w:r>
      <w:r w:rsidRPr="71589035">
        <w:rPr>
          <w:lang w:eastAsia="hr-HR"/>
        </w:rPr>
        <w:t xml:space="preserve"> </w:t>
      </w:r>
      <w:r w:rsidR="20360F23" w:rsidRPr="71589035">
        <w:rPr>
          <w:lang w:eastAsia="hr-HR"/>
        </w:rPr>
        <w:t xml:space="preserve">Proširenje plodoreda s većim učešćem leguminoza </w:t>
      </w:r>
    </w:p>
    <w:p w14:paraId="6939AEC2" w14:textId="6C2600A8" w:rsidR="004F3344" w:rsidRPr="002F7960" w:rsidRDefault="006E56BE" w:rsidP="005557C8">
      <w:pPr>
        <w:rPr>
          <w:rFonts w:asciiTheme="minorHAnsi" w:hAnsiTheme="minorHAnsi" w:cstheme="minorHAnsi"/>
          <w:color w:val="000000"/>
        </w:rPr>
      </w:pPr>
      <w:r w:rsidRPr="008944BA">
        <w:rPr>
          <w:rFonts w:asciiTheme="minorHAnsi" w:hAnsiTheme="minorHAnsi" w:cstheme="minorHAnsi"/>
          <w:lang w:eastAsia="hr-HR"/>
        </w:rPr>
        <w:t>Ekonomska mjera,</w:t>
      </w:r>
      <w:r w:rsidRPr="008944BA">
        <w:rPr>
          <w:rFonts w:asciiTheme="minorHAnsi" w:hAnsiTheme="minorHAnsi" w:cstheme="minorHAnsi"/>
        </w:rPr>
        <w:t xml:space="preserve"> okolišna, </w:t>
      </w:r>
      <w:r w:rsidR="00036D1D" w:rsidRPr="008944BA">
        <w:rPr>
          <w:rFonts w:asciiTheme="minorHAnsi" w:hAnsiTheme="minorHAnsi" w:cstheme="minorHAnsi"/>
        </w:rPr>
        <w:t xml:space="preserve">obrazovna mjera; provedba </w:t>
      </w:r>
      <w:r w:rsidR="00805CE6" w:rsidRPr="008944BA">
        <w:rPr>
          <w:rFonts w:asciiTheme="minorHAnsi" w:hAnsiTheme="minorHAnsi" w:cstheme="minorHAnsi"/>
        </w:rPr>
        <w:t>202</w:t>
      </w:r>
      <w:r w:rsidR="002D706A" w:rsidRPr="008944BA">
        <w:rPr>
          <w:rFonts w:asciiTheme="minorHAnsi" w:hAnsiTheme="minorHAnsi" w:cstheme="minorHAnsi"/>
        </w:rPr>
        <w:t>3</w:t>
      </w:r>
      <w:r w:rsidR="00805CE6" w:rsidRPr="008944BA">
        <w:rPr>
          <w:rFonts w:asciiTheme="minorHAnsi" w:hAnsiTheme="minorHAnsi" w:cstheme="minorHAnsi"/>
        </w:rPr>
        <w:t>.-</w:t>
      </w:r>
      <w:r w:rsidR="00E06C9E" w:rsidRPr="008944BA">
        <w:rPr>
          <w:rFonts w:asciiTheme="minorHAnsi" w:hAnsiTheme="minorHAnsi" w:cstheme="minorHAnsi"/>
        </w:rPr>
        <w:t>2030</w:t>
      </w:r>
      <w:r w:rsidR="00036D1D" w:rsidRPr="008944BA">
        <w:rPr>
          <w:rFonts w:asciiTheme="minorHAnsi" w:hAnsiTheme="minorHAnsi" w:cstheme="minorHAnsi"/>
          <w:color w:val="000000"/>
        </w:rPr>
        <w:t>.</w:t>
      </w:r>
    </w:p>
    <w:p w14:paraId="2858316E" w14:textId="7F15EA17" w:rsidR="005557C8" w:rsidRPr="008944BA" w:rsidRDefault="00036D1D" w:rsidP="63259912">
      <w:pPr>
        <w:rPr>
          <w:rFonts w:asciiTheme="minorHAnsi" w:hAnsiTheme="minorHAnsi" w:cstheme="minorBidi"/>
        </w:rPr>
      </w:pPr>
      <w:r w:rsidRPr="63259912">
        <w:rPr>
          <w:rFonts w:asciiTheme="minorHAnsi" w:hAnsiTheme="minorHAnsi" w:cstheme="minorBidi"/>
          <w:b/>
          <w:bCs/>
        </w:rPr>
        <w:t>Cilj i opis mjere:</w:t>
      </w:r>
      <w:r w:rsidRPr="63259912">
        <w:rPr>
          <w:rFonts w:asciiTheme="minorHAnsi" w:hAnsiTheme="minorHAnsi" w:cstheme="minorBidi"/>
        </w:rPr>
        <w:t xml:space="preserve"> </w:t>
      </w:r>
      <w:r w:rsidR="005557C8" w:rsidRPr="63259912">
        <w:rPr>
          <w:rFonts w:asciiTheme="minorHAnsi" w:hAnsiTheme="minorHAnsi" w:cstheme="minorBidi"/>
        </w:rPr>
        <w:t xml:space="preserve">Zadržavanje ugljika u tlu osiguravanjem optimalnog odnosa ugljika i dušika, zaštita tla i voda od onečišćenja nitratima uzgojem leguminoza kako bi se smanjila ili u potpunosti izostavila uporaba dušičnih gnojiva. Uzgoj leguminoza potiče biogenost i plodnost tla, popravlja strukturu tla te sprječava eroziju. </w:t>
      </w:r>
    </w:p>
    <w:p w14:paraId="6E9904D0" w14:textId="0B392CF7" w:rsidR="00036D1D" w:rsidRPr="008944BA" w:rsidRDefault="005557C8" w:rsidP="004623DD">
      <w:pPr>
        <w:rPr>
          <w:rFonts w:asciiTheme="minorHAnsi" w:hAnsiTheme="minorHAnsi" w:cstheme="minorHAnsi"/>
        </w:rPr>
      </w:pPr>
      <w:r w:rsidRPr="008944BA">
        <w:rPr>
          <w:rFonts w:asciiTheme="minorHAnsi" w:hAnsiTheme="minorHAnsi" w:cstheme="minorHAnsi"/>
        </w:rPr>
        <w:t>Povećanje sekvestracije ugljika u tlu izmjenama plodoreda.</w:t>
      </w:r>
    </w:p>
    <w:p w14:paraId="7F5A99C4" w14:textId="03E96E94" w:rsidR="002E20FF" w:rsidRPr="008944BA" w:rsidRDefault="002E20FF" w:rsidP="63259912">
      <w:pPr>
        <w:rPr>
          <w:rFonts w:asciiTheme="minorHAnsi" w:hAnsiTheme="minorHAnsi" w:cstheme="minorBidi"/>
        </w:rPr>
      </w:pPr>
      <w:r w:rsidRPr="63259912">
        <w:rPr>
          <w:rFonts w:asciiTheme="minorHAnsi" w:hAnsiTheme="minorHAnsi" w:cstheme="minorBidi"/>
        </w:rPr>
        <w:t>Plodored je sustav biljne proizvodnje koji se prakticira na oranicama, a predstavlja pravilnu, prostornu i vremensku izmjenu usjeva</w:t>
      </w:r>
      <w:r w:rsidR="00AF4F70" w:rsidRPr="63259912">
        <w:rPr>
          <w:rFonts w:asciiTheme="minorHAnsi" w:hAnsiTheme="minorHAnsi" w:cstheme="minorBidi"/>
        </w:rPr>
        <w:t xml:space="preserve"> (plodosmjena)</w:t>
      </w:r>
      <w:r w:rsidRPr="63259912">
        <w:rPr>
          <w:rFonts w:asciiTheme="minorHAnsi" w:hAnsiTheme="minorHAnsi" w:cstheme="minorBidi"/>
        </w:rPr>
        <w:t>. Pri određivanju plodoreda potrebno je voditi brigu o vrsti i plodnosti tla, pH vrijednosti, klimatskim uvjetima te utjecaju kulture na plodnost tla, struktur</w:t>
      </w:r>
      <w:r w:rsidR="00DB4DB5" w:rsidRPr="63259912">
        <w:rPr>
          <w:rFonts w:asciiTheme="minorHAnsi" w:hAnsiTheme="minorHAnsi" w:cstheme="minorBidi"/>
        </w:rPr>
        <w:t>i</w:t>
      </w:r>
      <w:r w:rsidRPr="63259912">
        <w:rPr>
          <w:rFonts w:asciiTheme="minorHAnsi" w:hAnsiTheme="minorHAnsi" w:cstheme="minorBidi"/>
        </w:rPr>
        <w:t xml:space="preserve"> i opskrbljenost</w:t>
      </w:r>
      <w:r w:rsidR="00DB4DB5" w:rsidRPr="63259912">
        <w:rPr>
          <w:rFonts w:asciiTheme="minorHAnsi" w:hAnsiTheme="minorHAnsi" w:cstheme="minorBidi"/>
        </w:rPr>
        <w:t>i</w:t>
      </w:r>
      <w:r w:rsidRPr="63259912">
        <w:rPr>
          <w:rFonts w:asciiTheme="minorHAnsi" w:hAnsiTheme="minorHAnsi" w:cstheme="minorBidi"/>
        </w:rPr>
        <w:t xml:space="preserve"> hran</w:t>
      </w:r>
      <w:r w:rsidR="00DB4DB5" w:rsidRPr="63259912">
        <w:rPr>
          <w:rFonts w:asciiTheme="minorHAnsi" w:hAnsiTheme="minorHAnsi" w:cstheme="minorBidi"/>
        </w:rPr>
        <w:t>j</w:t>
      </w:r>
      <w:r w:rsidRPr="63259912">
        <w:rPr>
          <w:rFonts w:asciiTheme="minorHAnsi" w:hAnsiTheme="minorHAnsi" w:cstheme="minorBidi"/>
        </w:rPr>
        <w:t>ivima. Plodored se planira pojedinačno za svako gospodarstvo prema zahtjevima proizvodnje, pri čemu je bitno pridržavanje preporučenog slijeda kultura. Plodoredom je potrebno obuhvatiti tri osnovne skupine biljaka- okopavine, žitarice i leguminoze.</w:t>
      </w:r>
    </w:p>
    <w:p w14:paraId="51C9FE4C" w14:textId="658BD0B7" w:rsidR="002E20FF" w:rsidRPr="008944BA" w:rsidRDefault="622986EE" w:rsidP="63259912">
      <w:pPr>
        <w:rPr>
          <w:rFonts w:asciiTheme="minorHAnsi" w:hAnsiTheme="minorHAnsi" w:cstheme="minorBidi"/>
        </w:rPr>
      </w:pPr>
      <w:r w:rsidRPr="63259912">
        <w:rPr>
          <w:rFonts w:asciiTheme="minorHAnsi" w:hAnsiTheme="minorHAnsi" w:cstheme="minorBidi"/>
        </w:rPr>
        <w:t xml:space="preserve">Prakticirani plodoredi i danas snažno, zajedno sa sustavima obrade tla, utječu na promjene sadržaja organske tvari u tlu. </w:t>
      </w:r>
      <w:r w:rsidR="72730ECC" w:rsidRPr="63259912">
        <w:rPr>
          <w:rFonts w:asciiTheme="minorHAnsi" w:hAnsiTheme="minorHAnsi" w:cstheme="minorBidi"/>
        </w:rPr>
        <w:t>U p</w:t>
      </w:r>
      <w:r w:rsidRPr="63259912">
        <w:rPr>
          <w:rFonts w:asciiTheme="minorHAnsi" w:hAnsiTheme="minorHAnsi" w:cstheme="minorBidi"/>
        </w:rPr>
        <w:t xml:space="preserve">lodored koji ima za cilj dugoročno utjecati na zadržavanje iste razine humusa, treba uključiti i leguminozne usjeve, djeteline, djetelinsko travne smjese, a trebao bi, kad je moguće uključivati i sjetvu postrnih usjeva za zelenu gnojidbu. </w:t>
      </w:r>
    </w:p>
    <w:p w14:paraId="4D2D7A75" w14:textId="56E3CCBA" w:rsidR="00036D1D" w:rsidRPr="008944BA" w:rsidRDefault="002E20FF" w:rsidP="63259912">
      <w:pPr>
        <w:rPr>
          <w:rFonts w:asciiTheme="minorHAnsi" w:hAnsiTheme="minorHAnsi" w:cstheme="minorBidi"/>
          <w:lang w:eastAsia="hr-HR"/>
        </w:rPr>
      </w:pPr>
      <w:r w:rsidRPr="63259912">
        <w:rPr>
          <w:rFonts w:asciiTheme="minorHAnsi" w:hAnsiTheme="minorHAnsi" w:cstheme="minorBidi"/>
        </w:rPr>
        <w:t>Sjetva leguminoznih usjeva ima mnogostruke povoljne učinke za poljoprivredna tla. Na ovaj način se veže atmosferski dušik, koji se odmah koristi za sintezu bjelančevina i sprječava se opasnost od onečišćenja podzemnih voda nitratima koji se inače javljaju kod intenzivne primjene mineralnih dušičnih gnojiva. Tlo se obogaćuje organskom tvari što ima višestruke pozitivne učinke na poboljšanje i održanje povoljnih fizikalnih, kemijskih i bioloških svojstava tla. Održava se plodnost tla i omogućuje kulturama koje slijede u plodoredu korištenje biološki vezanog atmosferskog dušika. Pojedini usjevi (djetelina) mogu biti učinkoviti kod sekvestracija ugljik</w:t>
      </w:r>
      <w:r w:rsidR="00B74FA4" w:rsidRPr="63259912">
        <w:rPr>
          <w:rFonts w:asciiTheme="minorHAnsi" w:hAnsiTheme="minorHAnsi" w:cstheme="minorBidi"/>
        </w:rPr>
        <w:t>a</w:t>
      </w:r>
      <w:r w:rsidRPr="63259912">
        <w:rPr>
          <w:rFonts w:asciiTheme="minorHAnsi" w:hAnsiTheme="minorHAnsi" w:cstheme="minorBidi"/>
        </w:rPr>
        <w:t xml:space="preserve"> u tlu. Nadalje, uzgojem leguminoznih usjeva smanjuje se količina organskih gnojiva bogatih dušikom koje treba aplicirati. U pravilu njih nije potrebno gnojiti izuzev samo manjim količinama na početku njihove vegetacije za početni rast i razvoj sve dok one ne formiraju korjenove kvržice i dok ne počne proces fiksacije dušika.</w:t>
      </w:r>
      <w:r w:rsidR="00805CE6" w:rsidRPr="63259912">
        <w:rPr>
          <w:rFonts w:asciiTheme="minorHAnsi" w:hAnsiTheme="minorHAnsi" w:cstheme="minorBidi"/>
          <w:lang w:eastAsia="hr-HR"/>
        </w:rPr>
        <w:t xml:space="preserve"> </w:t>
      </w:r>
    </w:p>
    <w:p w14:paraId="3F00A322" w14:textId="77777777" w:rsidR="004B3C23" w:rsidRDefault="00805CE6" w:rsidP="004623DD">
      <w:r w:rsidRPr="00B47BDA">
        <w:t xml:space="preserve">Ova mjera povezana je sa Zajedničkom poljoprivrednom politikom (ZPP) </w:t>
      </w:r>
      <w:r w:rsidR="002427A0">
        <w:t xml:space="preserve">i Strateškim planom </w:t>
      </w:r>
      <w:r w:rsidRPr="00B47BDA">
        <w:t>u sklopu intervencija</w:t>
      </w:r>
      <w:r w:rsidR="004B3C23">
        <w:t>:</w:t>
      </w:r>
    </w:p>
    <w:p w14:paraId="64BFB3F7" w14:textId="1D82B5E8" w:rsidR="00805CE6" w:rsidRDefault="00805CE6" w:rsidP="004623DD">
      <w:r w:rsidRPr="00B47BDA">
        <w:t>31.05. - Minimalni udio leguminoza od 20% unutar poljoprivrednih površina.</w:t>
      </w:r>
    </w:p>
    <w:p w14:paraId="060FC349" w14:textId="0C86D98A" w:rsidR="004B3C23" w:rsidRPr="009F1CA1" w:rsidRDefault="004B3C23" w:rsidP="009F1CA1">
      <w:r w:rsidRPr="004B3C23">
        <w:t>78.01. - Potpora prenošenju znanja</w:t>
      </w:r>
    </w:p>
    <w:p w14:paraId="2968064A" w14:textId="77777777" w:rsidR="00805CE6" w:rsidRPr="0077328B" w:rsidRDefault="00805CE6" w:rsidP="004623DD">
      <w:pPr>
        <w:rPr>
          <w:b/>
          <w:bCs/>
        </w:rPr>
      </w:pPr>
      <w:r w:rsidRPr="0077328B">
        <w:rPr>
          <w:b/>
          <w:bCs/>
        </w:rPr>
        <w:t xml:space="preserve">Aktivnosti: </w:t>
      </w:r>
    </w:p>
    <w:p w14:paraId="12CFF93E" w14:textId="16A7A42E" w:rsidR="00985205" w:rsidRPr="0013072C" w:rsidRDefault="00985205" w:rsidP="0013072C">
      <w:pPr>
        <w:pStyle w:val="ListParagraph"/>
        <w:numPr>
          <w:ilvl w:val="0"/>
          <w:numId w:val="212"/>
        </w:numPr>
        <w:tabs>
          <w:tab w:val="left" w:pos="709"/>
        </w:tabs>
      </w:pPr>
      <w:r w:rsidRPr="63259912">
        <w:t>Poticanje proizvođača na povećanje udjela leguminoznih usjeva prilikom kreiranja plodoreda</w:t>
      </w:r>
      <w:r w:rsidR="0013072C" w:rsidRPr="63259912">
        <w:t>;</w:t>
      </w:r>
    </w:p>
    <w:p w14:paraId="4F9986DB" w14:textId="149BA7A4" w:rsidR="00985205" w:rsidRPr="0013072C" w:rsidRDefault="00985205" w:rsidP="0013072C">
      <w:pPr>
        <w:pStyle w:val="ListParagraph"/>
        <w:numPr>
          <w:ilvl w:val="0"/>
          <w:numId w:val="212"/>
        </w:numPr>
        <w:tabs>
          <w:tab w:val="left" w:pos="709"/>
        </w:tabs>
      </w:pPr>
      <w:bookmarkStart w:id="427" w:name="_Hlk149905055"/>
      <w:r w:rsidRPr="63259912">
        <w:t>Obvezne edukacije poljoprivrednika o praksama koje doprinose povećanju udjela leguminoza u plodoredu, integriranoj zaštiti bilja u uzgoju leguminoza, organskoj gnojidbi te gnojivima i poboljšivačima tla koji se koriste u ekološkoj proizvodnji</w:t>
      </w:r>
      <w:r w:rsidR="0013072C" w:rsidRPr="63259912">
        <w:t>.</w:t>
      </w:r>
    </w:p>
    <w:bookmarkEnd w:id="427"/>
    <w:p w14:paraId="5DB55D79" w14:textId="77777777" w:rsidR="004F3344" w:rsidRDefault="004F3344" w:rsidP="004623DD">
      <w:pPr>
        <w:rPr>
          <w:b/>
        </w:rPr>
      </w:pPr>
    </w:p>
    <w:p w14:paraId="5811292E" w14:textId="6553DF96" w:rsidR="00AA73BC" w:rsidRDefault="00805CE6" w:rsidP="004623DD">
      <w:pPr>
        <w:rPr>
          <w:b/>
        </w:rPr>
      </w:pPr>
      <w:r w:rsidRPr="00B47BDA">
        <w:rPr>
          <w:b/>
        </w:rPr>
        <w:lastRenderedPageBreak/>
        <w:t xml:space="preserve">Sredstva potrebna za provedbu: </w:t>
      </w:r>
    </w:p>
    <w:p w14:paraId="38B4B5AF" w14:textId="77777777" w:rsidR="00AA73BC" w:rsidRPr="005824F0" w:rsidRDefault="00AA73BC" w:rsidP="00AA73BC">
      <w:pPr>
        <w:rPr>
          <w:rFonts w:asciiTheme="minorHAnsi" w:hAnsiTheme="minorHAnsi" w:cstheme="minorHAnsi"/>
          <w:lang w:eastAsia="hr-HR"/>
        </w:rPr>
      </w:pPr>
      <w:r w:rsidRPr="005824F0">
        <w:rPr>
          <w:rFonts w:asciiTheme="minorHAnsi" w:hAnsiTheme="minorHAnsi" w:cstheme="minorHAnsi"/>
        </w:rPr>
        <w:t>U okviru Strateškog plana osigurana su sredstva za provedbu intervencije koja doprinosi navedenim aktivnostima:</w:t>
      </w:r>
      <w:r w:rsidRPr="005824F0">
        <w:rPr>
          <w:rFonts w:asciiTheme="minorHAnsi" w:hAnsiTheme="minorHAnsi" w:cstheme="minorHAnsi"/>
          <w:lang w:eastAsia="hr-HR"/>
        </w:rPr>
        <w:t xml:space="preserve"> </w:t>
      </w:r>
    </w:p>
    <w:p w14:paraId="07AAC25C" w14:textId="77777777" w:rsidR="00AA73BC" w:rsidRPr="005824F0" w:rsidRDefault="00AA73BC" w:rsidP="00AA73BC">
      <w:pPr>
        <w:rPr>
          <w:rFonts w:asciiTheme="minorHAnsi" w:hAnsiTheme="minorHAnsi" w:cstheme="minorHAnsi"/>
        </w:rPr>
      </w:pPr>
      <w:r w:rsidRPr="005824F0">
        <w:rPr>
          <w:rFonts w:asciiTheme="minorHAnsi" w:hAnsiTheme="minorHAnsi" w:cstheme="minorHAnsi"/>
        </w:rPr>
        <w:t xml:space="preserve">31.05. - Minimalni udio leguminoza od 20% unutar poljoprivrednih površina – 67.411.750,00 EUR </w:t>
      </w:r>
    </w:p>
    <w:p w14:paraId="6D173BF0" w14:textId="6CBAB75E" w:rsidR="00805CE6" w:rsidRPr="005824F0" w:rsidRDefault="00805CE6" w:rsidP="004623DD">
      <w:pPr>
        <w:rPr>
          <w:rFonts w:asciiTheme="minorHAnsi" w:hAnsiTheme="minorHAnsi" w:cstheme="minorHAnsi"/>
          <w:b/>
          <w:i/>
        </w:rPr>
      </w:pPr>
      <w:r w:rsidRPr="005824F0">
        <w:rPr>
          <w:rFonts w:asciiTheme="minorHAnsi" w:hAnsiTheme="minorHAnsi" w:cstheme="minorHAnsi"/>
          <w:b/>
        </w:rPr>
        <w:t xml:space="preserve">Izvori financiranja: </w:t>
      </w:r>
      <w:r w:rsidR="00E17AE9" w:rsidRPr="005824F0">
        <w:rPr>
          <w:rFonts w:asciiTheme="minorHAnsi" w:hAnsiTheme="minorHAnsi" w:cstheme="minorHAnsi"/>
        </w:rPr>
        <w:t>Europski fond za jamstva u poljoprivredi (EFJP)</w:t>
      </w:r>
    </w:p>
    <w:p w14:paraId="2F636412" w14:textId="5DEA3979" w:rsidR="00805CE6" w:rsidRPr="005824F0" w:rsidRDefault="00805CE6" w:rsidP="004623DD">
      <w:pPr>
        <w:rPr>
          <w:rFonts w:asciiTheme="minorHAnsi" w:hAnsiTheme="minorHAnsi" w:cstheme="minorHAnsi"/>
          <w:b/>
        </w:rPr>
      </w:pPr>
      <w:r w:rsidRPr="005824F0">
        <w:rPr>
          <w:rFonts w:asciiTheme="minorHAnsi" w:hAnsiTheme="minorHAnsi" w:cstheme="minorHAnsi"/>
          <w:b/>
        </w:rPr>
        <w:t xml:space="preserve">Izvršno tijelo: </w:t>
      </w:r>
      <w:r w:rsidR="00917C74">
        <w:t>Ministarstvo poljoprivrede</w:t>
      </w:r>
      <w:r w:rsidR="00917C74" w:rsidRPr="00AE6008">
        <w:rPr>
          <w:lang w:eastAsia="hr-HR"/>
        </w:rPr>
        <w:t>, šumarstva i ribarstva</w:t>
      </w:r>
      <w:r w:rsidR="00917C74">
        <w:t xml:space="preserve"> (MPS).</w:t>
      </w:r>
    </w:p>
    <w:p w14:paraId="6B8CF2C7" w14:textId="4D164410" w:rsidR="00805CE6" w:rsidRPr="005824F0" w:rsidRDefault="00805CE6" w:rsidP="63259912">
      <w:pPr>
        <w:rPr>
          <w:rFonts w:asciiTheme="minorHAnsi" w:hAnsiTheme="minorHAnsi" w:cstheme="minorBidi"/>
          <w:b/>
          <w:bCs/>
        </w:rPr>
      </w:pPr>
      <w:r w:rsidRPr="63259912">
        <w:rPr>
          <w:rFonts w:asciiTheme="minorHAnsi" w:hAnsiTheme="minorHAnsi" w:cstheme="minorBidi"/>
          <w:b/>
          <w:bCs/>
        </w:rPr>
        <w:t xml:space="preserve">Učinak: </w:t>
      </w:r>
      <w:r w:rsidRPr="63259912">
        <w:rPr>
          <w:rFonts w:asciiTheme="minorHAnsi" w:hAnsiTheme="minorHAnsi" w:cstheme="minorBidi"/>
        </w:rPr>
        <w:t>Smanjenje emisije (kt CO</w:t>
      </w:r>
      <w:r w:rsidRPr="63259912">
        <w:rPr>
          <w:rFonts w:asciiTheme="minorHAnsi" w:hAnsiTheme="minorHAnsi" w:cstheme="minorBidi"/>
          <w:vertAlign w:val="subscript"/>
        </w:rPr>
        <w:t>2</w:t>
      </w:r>
      <w:r w:rsidRPr="63259912">
        <w:rPr>
          <w:rFonts w:asciiTheme="minorHAnsi" w:hAnsiTheme="minorHAnsi" w:cstheme="minorBidi"/>
        </w:rPr>
        <w:t>)</w:t>
      </w:r>
      <w:r w:rsidR="001D1033" w:rsidRPr="63259912">
        <w:rPr>
          <w:rFonts w:asciiTheme="minorHAnsi" w:hAnsiTheme="minorHAnsi" w:cstheme="minorBidi"/>
        </w:rPr>
        <w:t>, očuvanje zdravlja i plodnosti tla, smanjenje rizika od erozije tla, povećanje svijesti i znanja poljoprivrednika o potrebi smanjenja emisija iz tla i učinkovitom upravljanju tlom</w:t>
      </w:r>
    </w:p>
    <w:p w14:paraId="194AA545" w14:textId="71E3EDC5" w:rsidR="00805CE6" w:rsidRDefault="6EC71807" w:rsidP="71589035">
      <w:pPr>
        <w:rPr>
          <w:lang w:eastAsia="hr-HR"/>
        </w:rPr>
      </w:pPr>
      <w:r w:rsidRPr="71589035">
        <w:rPr>
          <w:rFonts w:asciiTheme="minorHAnsi" w:hAnsiTheme="minorHAnsi" w:cstheme="minorBidi"/>
          <w:b/>
          <w:bCs/>
        </w:rPr>
        <w:t>Metoda praćenja:</w:t>
      </w:r>
      <w:r w:rsidRPr="71589035">
        <w:rPr>
          <w:rFonts w:asciiTheme="minorHAnsi" w:eastAsia="MS Mincho" w:hAnsiTheme="minorHAnsi" w:cstheme="minorBidi"/>
          <w:i/>
          <w:iCs/>
          <w:lang w:eastAsia="ja-JP"/>
        </w:rPr>
        <w:t xml:space="preserve"> </w:t>
      </w:r>
      <w:r w:rsidR="112A881E" w:rsidRPr="71589035">
        <w:rPr>
          <w:rFonts w:asciiTheme="minorHAnsi" w:hAnsiTheme="minorHAnsi" w:cstheme="minorBidi"/>
        </w:rPr>
        <w:t xml:space="preserve">Kontrola provedbe intervencija od strane Agencije za plaćanja u poljoprivredi, ribarstvu i ruralnom razvoju (APPRRR), Inspekcijski nadzor nad provedbom intervencija, Mjerenje smanjenja emisija stakleničkih plinova od strane </w:t>
      </w:r>
      <w:r w:rsidR="00A441DE" w:rsidRPr="004E559C">
        <w:rPr>
          <w:lang w:eastAsia="hr-HR"/>
        </w:rPr>
        <w:t>Ministarstv</w:t>
      </w:r>
      <w:r w:rsidR="00A441DE">
        <w:rPr>
          <w:lang w:eastAsia="hr-HR"/>
        </w:rPr>
        <w:t>a</w:t>
      </w:r>
      <w:r w:rsidR="00A441DE" w:rsidRPr="004E559C">
        <w:rPr>
          <w:lang w:eastAsia="hr-HR"/>
        </w:rPr>
        <w:t xml:space="preserve"> zaštite okoliša i zelene tranzicije</w:t>
      </w:r>
      <w:r w:rsidR="00A441DE">
        <w:rPr>
          <w:lang w:eastAsia="hr-HR"/>
        </w:rPr>
        <w:t>.</w:t>
      </w:r>
    </w:p>
    <w:p w14:paraId="5CA4E9B4" w14:textId="0792C128" w:rsidR="007E48E7" w:rsidRPr="007E48E7" w:rsidRDefault="007E48E7" w:rsidP="71589035">
      <w:pPr>
        <w:rPr>
          <w:lang w:eastAsia="hr-HR"/>
        </w:rPr>
      </w:pPr>
      <w:r w:rsidRPr="007E48E7">
        <w:rPr>
          <w:b/>
          <w:lang w:eastAsia="hr-HR"/>
        </w:rPr>
        <w:t>Povezanost s drugim dimenzijama:</w:t>
      </w:r>
      <w:r w:rsidRPr="007E48E7">
        <w:rPr>
          <w:lang w:eastAsia="hr-HR"/>
        </w:rPr>
        <w:t xml:space="preserve"> Istraživanje, inovacije i konkurentnost.</w:t>
      </w:r>
    </w:p>
    <w:p w14:paraId="612B2204" w14:textId="77777777" w:rsidR="002F7960" w:rsidRDefault="002F7960" w:rsidP="71589035">
      <w:pPr>
        <w:rPr>
          <w:rFonts w:asciiTheme="minorHAnsi" w:hAnsiTheme="minorHAnsi" w:cstheme="minorBidi"/>
        </w:rPr>
      </w:pPr>
    </w:p>
    <w:p w14:paraId="0C16CF46" w14:textId="4B976E8B" w:rsidR="002B4539" w:rsidRPr="00B47BDA" w:rsidRDefault="5BDF9788" w:rsidP="63259912">
      <w:pPr>
        <w:pStyle w:val="Mjeranaslov"/>
        <w:rPr>
          <w:lang w:eastAsia="hr-HR"/>
        </w:rPr>
      </w:pPr>
      <w:r w:rsidRPr="63259912">
        <w:rPr>
          <w:lang w:eastAsia="hr-HR"/>
        </w:rPr>
        <w:t>POLJ-</w:t>
      </w:r>
      <w:r w:rsidR="152DB828" w:rsidRPr="63259912">
        <w:rPr>
          <w:lang w:eastAsia="hr-HR"/>
        </w:rPr>
        <w:t>5</w:t>
      </w:r>
      <w:r w:rsidRPr="63259912">
        <w:rPr>
          <w:lang w:eastAsia="hr-HR"/>
        </w:rPr>
        <w:t xml:space="preserve"> </w:t>
      </w:r>
      <w:r w:rsidR="3F4E82E6" w:rsidRPr="63259912">
        <w:rPr>
          <w:lang w:eastAsia="hr-HR"/>
        </w:rPr>
        <w:t>Intenziviranje plodoreda korištenjem međuusjeva</w:t>
      </w:r>
      <w:r w:rsidR="61A2E8B7" w:rsidRPr="63259912">
        <w:rPr>
          <w:lang w:eastAsia="hr-HR"/>
        </w:rPr>
        <w:t xml:space="preserve"> </w:t>
      </w:r>
    </w:p>
    <w:p w14:paraId="621A6CE5" w14:textId="3255A033" w:rsidR="002B4539" w:rsidRPr="005824F0" w:rsidRDefault="00226AB5" w:rsidP="004623DD">
      <w:pPr>
        <w:rPr>
          <w:rFonts w:asciiTheme="minorHAnsi" w:hAnsiTheme="minorHAnsi" w:cstheme="minorHAnsi"/>
          <w:color w:val="000000"/>
        </w:rPr>
      </w:pPr>
      <w:r w:rsidRPr="005824F0">
        <w:rPr>
          <w:rFonts w:asciiTheme="minorHAnsi" w:hAnsiTheme="minorHAnsi" w:cstheme="minorHAnsi"/>
          <w:lang w:eastAsia="hr-HR"/>
        </w:rPr>
        <w:t>Ekonomska mjera,</w:t>
      </w:r>
      <w:r w:rsidRPr="005824F0">
        <w:rPr>
          <w:rFonts w:asciiTheme="minorHAnsi" w:hAnsiTheme="minorHAnsi" w:cstheme="minorHAnsi"/>
        </w:rPr>
        <w:t xml:space="preserve"> okolišna,</w:t>
      </w:r>
      <w:r w:rsidR="00805CE6" w:rsidRPr="005824F0">
        <w:rPr>
          <w:rFonts w:asciiTheme="minorHAnsi" w:hAnsiTheme="minorHAnsi" w:cstheme="minorHAnsi"/>
        </w:rPr>
        <w:t xml:space="preserve"> </w:t>
      </w:r>
      <w:r w:rsidR="002B4539" w:rsidRPr="005824F0">
        <w:rPr>
          <w:rFonts w:asciiTheme="minorHAnsi" w:hAnsiTheme="minorHAnsi" w:cstheme="minorHAnsi"/>
        </w:rPr>
        <w:t xml:space="preserve">obrazovna; provedba </w:t>
      </w:r>
      <w:r w:rsidR="00805CE6" w:rsidRPr="005824F0">
        <w:rPr>
          <w:rFonts w:asciiTheme="minorHAnsi" w:hAnsiTheme="minorHAnsi" w:cstheme="minorHAnsi"/>
        </w:rPr>
        <w:t>202</w:t>
      </w:r>
      <w:r w:rsidRPr="005824F0">
        <w:rPr>
          <w:rFonts w:asciiTheme="minorHAnsi" w:hAnsiTheme="minorHAnsi" w:cstheme="minorHAnsi"/>
        </w:rPr>
        <w:t>3</w:t>
      </w:r>
      <w:r w:rsidR="00805CE6" w:rsidRPr="005824F0">
        <w:rPr>
          <w:rFonts w:asciiTheme="minorHAnsi" w:hAnsiTheme="minorHAnsi" w:cstheme="minorHAnsi"/>
        </w:rPr>
        <w:t>.-</w:t>
      </w:r>
      <w:r w:rsidR="00E06C9E" w:rsidRPr="005824F0">
        <w:rPr>
          <w:rFonts w:asciiTheme="minorHAnsi" w:hAnsiTheme="minorHAnsi" w:cstheme="minorHAnsi"/>
        </w:rPr>
        <w:t>2030</w:t>
      </w:r>
      <w:r w:rsidR="002B4539" w:rsidRPr="005824F0">
        <w:rPr>
          <w:rFonts w:asciiTheme="minorHAnsi" w:hAnsiTheme="minorHAnsi" w:cstheme="minorHAnsi"/>
          <w:color w:val="000000"/>
        </w:rPr>
        <w:t>.</w:t>
      </w:r>
    </w:p>
    <w:p w14:paraId="2AD07D70" w14:textId="77777777" w:rsidR="002B4539" w:rsidRPr="005824F0" w:rsidRDefault="002B4539" w:rsidP="63259912">
      <w:pPr>
        <w:rPr>
          <w:rFonts w:asciiTheme="minorHAnsi" w:hAnsiTheme="minorHAnsi" w:cstheme="minorBidi"/>
        </w:rPr>
      </w:pPr>
      <w:r w:rsidRPr="63259912">
        <w:rPr>
          <w:rFonts w:asciiTheme="minorHAnsi" w:hAnsiTheme="minorHAnsi" w:cstheme="minorBidi"/>
          <w:b/>
          <w:bCs/>
        </w:rPr>
        <w:t>Cilj i opis mjere:</w:t>
      </w:r>
      <w:r w:rsidRPr="63259912">
        <w:rPr>
          <w:rFonts w:asciiTheme="minorHAnsi" w:hAnsiTheme="minorHAnsi" w:cstheme="minorBidi"/>
        </w:rPr>
        <w:t xml:space="preserve"> </w:t>
      </w:r>
      <w:r w:rsidR="00496736" w:rsidRPr="63259912">
        <w:rPr>
          <w:rFonts w:asciiTheme="minorHAnsi" w:hAnsiTheme="minorHAnsi" w:cstheme="minorBidi"/>
        </w:rPr>
        <w:t>Izmjene sadržaja organske tvari / povećanje sekvestracije ugljika u tlu te smanjenje procjeđivanja nitrata sjetvom međuusjeva</w:t>
      </w:r>
      <w:r w:rsidRPr="63259912">
        <w:rPr>
          <w:rFonts w:asciiTheme="minorHAnsi" w:hAnsiTheme="minorHAnsi" w:cstheme="minorBidi"/>
        </w:rPr>
        <w:t>.</w:t>
      </w:r>
    </w:p>
    <w:p w14:paraId="1B68E8EA" w14:textId="19EFA0D7" w:rsidR="002B4539" w:rsidRPr="005824F0" w:rsidRDefault="00E228CC" w:rsidP="63259912">
      <w:pPr>
        <w:rPr>
          <w:rFonts w:asciiTheme="minorHAnsi" w:hAnsiTheme="minorHAnsi" w:cstheme="minorBidi"/>
          <w:lang w:eastAsia="hr-HR"/>
        </w:rPr>
      </w:pPr>
      <w:r w:rsidRPr="63259912">
        <w:rPr>
          <w:rFonts w:asciiTheme="minorHAnsi" w:hAnsiTheme="minorHAnsi" w:cstheme="minorBidi"/>
        </w:rPr>
        <w:t>Načela dobre poljoprivredne prakse u zaštiti tla i voda od nitrata preporučuju uvođenje međuusjeva (</w:t>
      </w:r>
      <w:r w:rsidR="004F3626" w:rsidRPr="63259912">
        <w:rPr>
          <w:rFonts w:asciiTheme="minorHAnsi" w:hAnsiTheme="minorHAnsi" w:cstheme="minorBidi"/>
        </w:rPr>
        <w:t>sekundarnih usjeva, koji uključuju postrne i pokrovne usjeve</w:t>
      </w:r>
      <w:r w:rsidRPr="63259912">
        <w:rPr>
          <w:rFonts w:asciiTheme="minorHAnsi" w:hAnsiTheme="minorHAnsi" w:cstheme="minorBidi"/>
        </w:rPr>
        <w:t>)</w:t>
      </w:r>
      <w:r w:rsidR="00622DB1" w:rsidRPr="63259912">
        <w:rPr>
          <w:rFonts w:asciiTheme="minorHAnsi" w:hAnsiTheme="minorHAnsi" w:cstheme="minorBidi"/>
        </w:rPr>
        <w:t xml:space="preserve"> </w:t>
      </w:r>
      <w:r w:rsidRPr="63259912">
        <w:rPr>
          <w:rFonts w:asciiTheme="minorHAnsi" w:hAnsiTheme="minorHAnsi" w:cstheme="minorBidi"/>
        </w:rPr>
        <w:t xml:space="preserve">između žetve </w:t>
      </w:r>
      <w:r w:rsidR="0061725C" w:rsidRPr="63259912">
        <w:rPr>
          <w:rFonts w:asciiTheme="minorHAnsi" w:hAnsiTheme="minorHAnsi" w:cstheme="minorBidi"/>
        </w:rPr>
        <w:t xml:space="preserve">ili berbe </w:t>
      </w:r>
      <w:r w:rsidRPr="63259912">
        <w:rPr>
          <w:rFonts w:asciiTheme="minorHAnsi" w:hAnsiTheme="minorHAnsi" w:cstheme="minorBidi"/>
        </w:rPr>
        <w:t>glavnih kultura. Sjetvom međuusjeva koji se mogu</w:t>
      </w:r>
      <w:r w:rsidR="00622DB1" w:rsidRPr="63259912">
        <w:rPr>
          <w:rFonts w:asciiTheme="minorHAnsi" w:hAnsiTheme="minorHAnsi" w:cstheme="minorBidi"/>
        </w:rPr>
        <w:t xml:space="preserve"> </w:t>
      </w:r>
      <w:r w:rsidRPr="63259912">
        <w:rPr>
          <w:rFonts w:asciiTheme="minorHAnsi" w:hAnsiTheme="minorHAnsi" w:cstheme="minorBidi"/>
        </w:rPr>
        <w:t>koristiti za hranidbu stoke ili zaorati za zelenu gnojidbu, iskoristit će se preostala hraniva, spriječiti daljnje isp</w:t>
      </w:r>
      <w:r w:rsidR="001920F4" w:rsidRPr="63259912">
        <w:rPr>
          <w:rFonts w:asciiTheme="minorHAnsi" w:hAnsiTheme="minorHAnsi" w:cstheme="minorBidi"/>
        </w:rPr>
        <w:t>a</w:t>
      </w:r>
      <w:r w:rsidRPr="63259912">
        <w:rPr>
          <w:rFonts w:asciiTheme="minorHAnsi" w:hAnsiTheme="minorHAnsi" w:cstheme="minorBidi"/>
        </w:rPr>
        <w:t>r</w:t>
      </w:r>
      <w:r w:rsidR="0048538F" w:rsidRPr="63259912">
        <w:rPr>
          <w:rFonts w:asciiTheme="minorHAnsi" w:hAnsiTheme="minorHAnsi" w:cstheme="minorBidi"/>
        </w:rPr>
        <w:t>a</w:t>
      </w:r>
      <w:r w:rsidRPr="63259912">
        <w:rPr>
          <w:rFonts w:asciiTheme="minorHAnsi" w:hAnsiTheme="minorHAnsi" w:cstheme="minorBidi"/>
        </w:rPr>
        <w:t xml:space="preserve">vanje vode iz tla, smanjiti gubitak ugljika iz tla (uklanjanje negativnog efekta „golog tla“), spriječiti ispiranje dušika u podzemne vode (pogotovo na lakšim tlima) te povećati organsku masu na poljoprivrednim gospodarstvima koja na svojim oranicama imaju uzak plodored. Usjevi iz porodice leguminoza vežu dušik iz zraka i tako obogaćuju tlo, čuvaju i potiču mikrobiološku aktivnost u tlu te sprečavaju eroziju tla. Povećana cijena poljoprivredne proizvodnje po hektaru obično se kompenzira kroz uštedu u pripremi hrane </w:t>
      </w:r>
      <w:r w:rsidR="0048538F" w:rsidRPr="63259912">
        <w:rPr>
          <w:rFonts w:asciiTheme="minorHAnsi" w:hAnsiTheme="minorHAnsi" w:cstheme="minorBidi"/>
        </w:rPr>
        <w:t xml:space="preserve">za životinje </w:t>
      </w:r>
      <w:r w:rsidRPr="63259912">
        <w:rPr>
          <w:rFonts w:asciiTheme="minorHAnsi" w:hAnsiTheme="minorHAnsi" w:cstheme="minorBidi"/>
        </w:rPr>
        <w:t>ili smanjenje potrebe za primjenom mineralni</w:t>
      </w:r>
      <w:r w:rsidR="006D31B3" w:rsidRPr="63259912">
        <w:rPr>
          <w:rFonts w:asciiTheme="minorHAnsi" w:hAnsiTheme="minorHAnsi" w:cstheme="minorBidi"/>
        </w:rPr>
        <w:t>h</w:t>
      </w:r>
      <w:r w:rsidRPr="63259912">
        <w:rPr>
          <w:rFonts w:asciiTheme="minorHAnsi" w:hAnsiTheme="minorHAnsi" w:cstheme="minorBidi"/>
        </w:rPr>
        <w:t xml:space="preserve"> gnojiva. Problemi koji se javljaju u tom postupku tiču se vremena i organizacije rada na gospodarstvu, ali su oni rješivi, što se samo uvjetno može reći za sušu koja se može javiti u vrijeme nakon žetve strnih žitarica, pri čemu je sjetva postrnih usjeva upitna</w:t>
      </w:r>
      <w:r w:rsidR="00805CE6" w:rsidRPr="63259912">
        <w:rPr>
          <w:rFonts w:asciiTheme="minorHAnsi" w:hAnsiTheme="minorHAnsi" w:cstheme="minorBidi"/>
        </w:rPr>
        <w:t>.</w:t>
      </w:r>
      <w:r w:rsidR="00805CE6" w:rsidRPr="63259912">
        <w:rPr>
          <w:rFonts w:asciiTheme="minorHAnsi" w:hAnsiTheme="minorHAnsi" w:cstheme="minorBidi"/>
          <w:lang w:eastAsia="hr-HR"/>
        </w:rPr>
        <w:t xml:space="preserve"> </w:t>
      </w:r>
    </w:p>
    <w:p w14:paraId="452DBBF5" w14:textId="4C7215BD" w:rsidR="003151C6" w:rsidRPr="0001094D" w:rsidRDefault="00805CE6" w:rsidP="003151C6">
      <w:r w:rsidRPr="00B47BDA">
        <w:t xml:space="preserve">Ova mjera povezana je sa Zajedničkom poljoprivrednom politikom (ZPP) </w:t>
      </w:r>
      <w:r w:rsidR="003151C6" w:rsidRPr="0001094D">
        <w:t>i Strateškim planom u sklopu intervencija:</w:t>
      </w:r>
    </w:p>
    <w:p w14:paraId="06906FAA" w14:textId="77777777" w:rsidR="003151C6" w:rsidRPr="0001094D" w:rsidRDefault="003151C6" w:rsidP="003151C6">
      <w:r w:rsidRPr="0001094D">
        <w:t xml:space="preserve">31.01. - Intenzivirana raznolikost poljoprivrednih površina </w:t>
      </w:r>
    </w:p>
    <w:p w14:paraId="6E186F13" w14:textId="77777777" w:rsidR="003151C6" w:rsidRPr="0001094D" w:rsidRDefault="003151C6" w:rsidP="003151C6">
      <w:r w:rsidRPr="0001094D">
        <w:t>31.05. - Minimalni udio leguminoza od 20% unutar poljoprivrednih površina</w:t>
      </w:r>
    </w:p>
    <w:p w14:paraId="3A6A0D16" w14:textId="77777777" w:rsidR="003151C6" w:rsidRPr="0001094D" w:rsidRDefault="003151C6" w:rsidP="003151C6">
      <w:r w:rsidRPr="63259912">
        <w:rPr>
          <w:lang w:eastAsia="hr-HR"/>
        </w:rPr>
        <w:t xml:space="preserve">31.06. - Konzervacijska poljoprivreda </w:t>
      </w:r>
    </w:p>
    <w:p w14:paraId="22BC0777" w14:textId="012F9035" w:rsidR="00805CE6" w:rsidRPr="00B47BDA" w:rsidRDefault="003151C6" w:rsidP="003151C6">
      <w:r w:rsidRPr="0001094D">
        <w:lastRenderedPageBreak/>
        <w:t>78.01. - Potpora prenošenju znanja</w:t>
      </w:r>
    </w:p>
    <w:p w14:paraId="22772B63" w14:textId="77777777" w:rsidR="00805CE6" w:rsidRPr="0077328B" w:rsidRDefault="00805CE6" w:rsidP="004623DD">
      <w:pPr>
        <w:rPr>
          <w:rFonts w:ascii="Times New Roman" w:hAnsi="Times New Roman"/>
          <w:b/>
          <w:bCs/>
        </w:rPr>
      </w:pPr>
      <w:r w:rsidRPr="0077328B">
        <w:rPr>
          <w:b/>
          <w:bCs/>
        </w:rPr>
        <w:t xml:space="preserve">Aktivnosti: </w:t>
      </w:r>
    </w:p>
    <w:p w14:paraId="705BD0A3" w14:textId="0ABE5101" w:rsidR="00131D67" w:rsidRPr="00131D67" w:rsidRDefault="00131D67" w:rsidP="63259912">
      <w:pPr>
        <w:numPr>
          <w:ilvl w:val="0"/>
          <w:numId w:val="101"/>
        </w:numPr>
        <w:tabs>
          <w:tab w:val="left" w:pos="431"/>
        </w:tabs>
        <w:spacing w:after="60"/>
        <w:ind w:left="357" w:hanging="357"/>
        <w:rPr>
          <w:rFonts w:cs="Tahoma"/>
          <w:lang w:eastAsia="ar-SA"/>
        </w:rPr>
      </w:pPr>
      <w:r w:rsidRPr="63259912">
        <w:rPr>
          <w:rFonts w:cs="Tahoma"/>
          <w:lang w:eastAsia="ar-SA"/>
        </w:rPr>
        <w:t>Poticanje poljoprivrednih proizvođača na raznolikost vrsta uporabe poljoprivrednog zemljišta i raznolikost biljnih vrsta (usjeva) na poljoprivrednom zemljištu te plodoreda koji uključuje i sjetvu međuusjeva</w:t>
      </w:r>
      <w:r w:rsidR="00A05760" w:rsidRPr="63259912">
        <w:rPr>
          <w:rFonts w:cs="Tahoma"/>
          <w:lang w:eastAsia="ar-SA"/>
        </w:rPr>
        <w:t>;</w:t>
      </w:r>
    </w:p>
    <w:p w14:paraId="0D5FE046" w14:textId="5EF394EE" w:rsidR="00131D67" w:rsidRPr="00131D67" w:rsidRDefault="00131D67" w:rsidP="63259912">
      <w:pPr>
        <w:numPr>
          <w:ilvl w:val="0"/>
          <w:numId w:val="101"/>
        </w:numPr>
        <w:tabs>
          <w:tab w:val="left" w:pos="431"/>
        </w:tabs>
        <w:spacing w:after="60"/>
        <w:ind w:left="357" w:hanging="357"/>
        <w:rPr>
          <w:rFonts w:cs="Tahoma"/>
          <w:lang w:eastAsia="ar-SA"/>
        </w:rPr>
      </w:pPr>
      <w:r w:rsidRPr="63259912">
        <w:rPr>
          <w:rFonts w:cs="Tahoma"/>
          <w:lang w:eastAsia="ar-SA"/>
        </w:rPr>
        <w:t>Poticanje uzgoja leguminoza kao međuusjeva na poljoprivrednim površinama</w:t>
      </w:r>
      <w:r w:rsidR="00A05760" w:rsidRPr="63259912">
        <w:rPr>
          <w:rFonts w:cs="Tahoma"/>
          <w:lang w:eastAsia="ar-SA"/>
        </w:rPr>
        <w:t>;</w:t>
      </w:r>
    </w:p>
    <w:p w14:paraId="322B9600" w14:textId="22518A05" w:rsidR="00131D67" w:rsidRPr="00131D67" w:rsidRDefault="00131D67" w:rsidP="63259912">
      <w:pPr>
        <w:numPr>
          <w:ilvl w:val="0"/>
          <w:numId w:val="101"/>
        </w:numPr>
        <w:tabs>
          <w:tab w:val="left" w:pos="431"/>
        </w:tabs>
        <w:spacing w:after="60"/>
        <w:ind w:left="357" w:hanging="357"/>
        <w:rPr>
          <w:rFonts w:cs="Tahoma"/>
          <w:lang w:eastAsia="ar-SA"/>
        </w:rPr>
      </w:pPr>
      <w:r w:rsidRPr="63259912">
        <w:rPr>
          <w:rFonts w:cs="Tahoma"/>
          <w:lang w:eastAsia="ar-SA"/>
        </w:rPr>
        <w:t>Obvezne edukacije poljoprivrednika o povoljnom utjecaju raznolikosti poljoprivrednih površina na: kontrolu bolesti i štetnika, bolje usvajanje biljnih hraniva i plodnost tla, sprečavanje erozije, sekvestraciju ugljika</w:t>
      </w:r>
      <w:r w:rsidR="00A05760" w:rsidRPr="63259912">
        <w:rPr>
          <w:rFonts w:cs="Tahoma"/>
          <w:lang w:eastAsia="ar-SA"/>
        </w:rPr>
        <w:t>.</w:t>
      </w:r>
    </w:p>
    <w:p w14:paraId="56480635" w14:textId="02D6677F" w:rsidR="00805CE6" w:rsidRPr="00B47BDA" w:rsidRDefault="00805CE6" w:rsidP="004623DD">
      <w:r w:rsidRPr="00BF31AD">
        <w:rPr>
          <w:b/>
          <w:bCs/>
        </w:rPr>
        <w:t>Sredstva potrebna za provedbu:</w:t>
      </w:r>
      <w:r w:rsidRPr="00B47BDA">
        <w:t xml:space="preserve"> </w:t>
      </w:r>
    </w:p>
    <w:p w14:paraId="40E331EB" w14:textId="3499BC7F" w:rsidR="002D156F" w:rsidRPr="002D156F" w:rsidRDefault="3399A05F" w:rsidP="002D156F">
      <w:pPr>
        <w:rPr>
          <w:lang w:eastAsia="hr-HR"/>
        </w:rPr>
      </w:pPr>
      <w:r>
        <w:t>U okviru Strateškog plana osigurana su sredstva za provedbu intervencija koje doprinose navedenim aktivnostima:</w:t>
      </w:r>
      <w:r w:rsidRPr="1C9333AB">
        <w:rPr>
          <w:lang w:eastAsia="hr-HR"/>
        </w:rPr>
        <w:t xml:space="preserve"> </w:t>
      </w:r>
    </w:p>
    <w:p w14:paraId="66FEED92" w14:textId="0DF4EE68" w:rsidR="002D156F" w:rsidRPr="002D156F" w:rsidRDefault="002D156F" w:rsidP="00BF31AD">
      <w:pPr>
        <w:numPr>
          <w:ilvl w:val="0"/>
          <w:numId w:val="156"/>
        </w:numPr>
        <w:tabs>
          <w:tab w:val="left" w:pos="431"/>
        </w:tabs>
        <w:spacing w:after="60"/>
        <w:ind w:left="357" w:hanging="357"/>
        <w:rPr>
          <w:rFonts w:cs="Tahoma"/>
          <w:lang w:eastAsia="ar-SA"/>
        </w:rPr>
      </w:pPr>
      <w:r w:rsidRPr="002D156F">
        <w:rPr>
          <w:rFonts w:cs="Tahoma"/>
          <w:lang w:eastAsia="ar-SA"/>
        </w:rPr>
        <w:t xml:space="preserve">31.01. - Intenzivirana raznolikost poljoprivrednih površina - </w:t>
      </w:r>
      <w:r w:rsidR="00571489" w:rsidRPr="00571489">
        <w:rPr>
          <w:rFonts w:cs="Tahoma"/>
          <w:lang w:eastAsia="ar-SA"/>
        </w:rPr>
        <w:t>198.193.309</w:t>
      </w:r>
      <w:r w:rsidRPr="002D156F">
        <w:rPr>
          <w:rFonts w:cs="Tahoma"/>
          <w:lang w:eastAsia="ar-SA"/>
        </w:rPr>
        <w:t>,25 EUR</w:t>
      </w:r>
    </w:p>
    <w:p w14:paraId="5CECD4C7" w14:textId="1DB1789A" w:rsidR="002D156F" w:rsidRPr="002D156F" w:rsidRDefault="002D156F" w:rsidP="00BF31AD">
      <w:pPr>
        <w:numPr>
          <w:ilvl w:val="0"/>
          <w:numId w:val="156"/>
        </w:numPr>
        <w:tabs>
          <w:tab w:val="left" w:pos="431"/>
        </w:tabs>
        <w:spacing w:after="60"/>
        <w:ind w:left="357" w:hanging="357"/>
        <w:rPr>
          <w:rFonts w:cs="Tahoma"/>
          <w:lang w:eastAsia="ar-SA"/>
        </w:rPr>
      </w:pPr>
      <w:r w:rsidRPr="002D156F">
        <w:rPr>
          <w:rFonts w:cs="Tahoma"/>
          <w:lang w:eastAsia="ar-SA"/>
        </w:rPr>
        <w:t>31.05. - Minimalni udio leguminoza od 20% unutar poljoprivrednih površina - 67.411.750,00 EUR</w:t>
      </w:r>
    </w:p>
    <w:p w14:paraId="04ABAEDD" w14:textId="77777777" w:rsidR="002D156F" w:rsidRPr="002D156F" w:rsidRDefault="002D156F" w:rsidP="63259912">
      <w:pPr>
        <w:numPr>
          <w:ilvl w:val="0"/>
          <w:numId w:val="156"/>
        </w:numPr>
        <w:tabs>
          <w:tab w:val="left" w:pos="431"/>
        </w:tabs>
        <w:spacing w:after="60"/>
        <w:ind w:left="357" w:hanging="357"/>
        <w:rPr>
          <w:rFonts w:cs="Tahoma"/>
          <w:lang w:eastAsia="ar-SA"/>
        </w:rPr>
      </w:pPr>
      <w:r w:rsidRPr="63259912">
        <w:rPr>
          <w:rFonts w:cs="Tahoma"/>
          <w:lang w:eastAsia="ar-SA"/>
        </w:rPr>
        <w:t>31.06. - Konzervacijska poljoprivreda - 37.500.000,00 EUR</w:t>
      </w:r>
    </w:p>
    <w:p w14:paraId="7052B601" w14:textId="565AF851" w:rsidR="00805CE6" w:rsidRPr="00D2202D" w:rsidRDefault="00805CE6" w:rsidP="004623DD">
      <w:pPr>
        <w:rPr>
          <w:rFonts w:asciiTheme="minorHAnsi" w:hAnsiTheme="minorHAnsi" w:cstheme="minorHAnsi"/>
          <w:b/>
          <w:i/>
        </w:rPr>
      </w:pPr>
      <w:r w:rsidRPr="00D2202D">
        <w:rPr>
          <w:rFonts w:asciiTheme="minorHAnsi" w:hAnsiTheme="minorHAnsi" w:cstheme="minorHAnsi"/>
          <w:b/>
        </w:rPr>
        <w:t>Izvori financiranja:</w:t>
      </w:r>
      <w:r w:rsidRPr="00D2202D">
        <w:rPr>
          <w:rFonts w:asciiTheme="minorHAnsi" w:eastAsia="MS Mincho" w:hAnsiTheme="minorHAnsi" w:cstheme="minorHAnsi"/>
          <w:i/>
          <w:lang w:eastAsia="ja-JP"/>
        </w:rPr>
        <w:t xml:space="preserve"> </w:t>
      </w:r>
      <w:r w:rsidR="00952838" w:rsidRPr="00D2202D">
        <w:rPr>
          <w:rFonts w:asciiTheme="minorHAnsi" w:hAnsiTheme="minorHAnsi" w:cstheme="minorHAnsi"/>
        </w:rPr>
        <w:t>Europski fond za jamstva u poljoprivredi (EFJP)</w:t>
      </w:r>
    </w:p>
    <w:p w14:paraId="301D35BB" w14:textId="4025C2B6" w:rsidR="00805CE6" w:rsidRPr="00D2202D" w:rsidRDefault="00805CE6" w:rsidP="004623DD">
      <w:pPr>
        <w:rPr>
          <w:rFonts w:asciiTheme="minorHAnsi" w:hAnsiTheme="minorHAnsi" w:cstheme="minorHAnsi"/>
          <w:b/>
        </w:rPr>
      </w:pPr>
      <w:r w:rsidRPr="00D2202D">
        <w:rPr>
          <w:rFonts w:asciiTheme="minorHAnsi" w:hAnsiTheme="minorHAnsi" w:cstheme="minorHAnsi"/>
          <w:b/>
        </w:rPr>
        <w:t xml:space="preserve">Izvršno tijelo: </w:t>
      </w:r>
      <w:r w:rsidR="00917C74">
        <w:t>Ministarstvo poljoprivrede</w:t>
      </w:r>
      <w:r w:rsidR="00917C74" w:rsidRPr="00AE6008">
        <w:rPr>
          <w:lang w:eastAsia="hr-HR"/>
        </w:rPr>
        <w:t>, šumarstva i ribarstva</w:t>
      </w:r>
      <w:r w:rsidR="00917C74">
        <w:t xml:space="preserve"> (MPS).</w:t>
      </w:r>
    </w:p>
    <w:p w14:paraId="6B2A693D" w14:textId="6386388E" w:rsidR="00805CE6" w:rsidRPr="00D2202D" w:rsidRDefault="00805CE6" w:rsidP="63259912">
      <w:pPr>
        <w:rPr>
          <w:rFonts w:asciiTheme="minorHAnsi" w:hAnsiTheme="minorHAnsi" w:cstheme="minorBidi"/>
        </w:rPr>
      </w:pPr>
      <w:r w:rsidRPr="63259912">
        <w:rPr>
          <w:rFonts w:asciiTheme="minorHAnsi" w:hAnsiTheme="minorHAnsi" w:cstheme="minorBidi"/>
          <w:b/>
          <w:bCs/>
        </w:rPr>
        <w:t xml:space="preserve">Učinak: </w:t>
      </w:r>
      <w:r w:rsidRPr="63259912">
        <w:rPr>
          <w:rFonts w:asciiTheme="minorHAnsi" w:hAnsiTheme="minorHAnsi" w:cstheme="minorBidi"/>
        </w:rPr>
        <w:t>Smanjenje emisije (kt CO</w:t>
      </w:r>
      <w:r w:rsidRPr="63259912">
        <w:rPr>
          <w:rFonts w:asciiTheme="minorHAnsi" w:hAnsiTheme="minorHAnsi" w:cstheme="minorBidi"/>
          <w:vertAlign w:val="subscript"/>
        </w:rPr>
        <w:t>2</w:t>
      </w:r>
      <w:r w:rsidRPr="63259912">
        <w:rPr>
          <w:rFonts w:asciiTheme="minorHAnsi" w:hAnsiTheme="minorHAnsi" w:cstheme="minorBidi"/>
        </w:rPr>
        <w:t>)</w:t>
      </w:r>
      <w:r w:rsidR="003D44F4" w:rsidRPr="63259912">
        <w:rPr>
          <w:rFonts w:asciiTheme="minorHAnsi" w:hAnsiTheme="minorHAnsi" w:cstheme="minorBidi"/>
        </w:rPr>
        <w:t>, očuvanje zdravlja i plodnosti tla, smanjenje rizika od erozije tla, povećanje svijesti i znanja poljoprivrednika o potrebi smanjenja emisija iz tla i učinkovitom upravljanju tlom.</w:t>
      </w:r>
    </w:p>
    <w:p w14:paraId="55143C2D" w14:textId="0087BBC2" w:rsidR="00805CE6" w:rsidRDefault="00805CE6" w:rsidP="004623DD">
      <w:pPr>
        <w:rPr>
          <w:rFonts w:asciiTheme="minorHAnsi" w:hAnsiTheme="minorHAnsi" w:cstheme="minorHAnsi"/>
        </w:rPr>
      </w:pPr>
      <w:r w:rsidRPr="00D2202D">
        <w:rPr>
          <w:rFonts w:asciiTheme="minorHAnsi" w:hAnsiTheme="minorHAnsi" w:cstheme="minorHAnsi"/>
          <w:b/>
        </w:rPr>
        <w:t>Metoda praćenja:</w:t>
      </w:r>
      <w:r w:rsidRPr="00D2202D">
        <w:rPr>
          <w:rFonts w:asciiTheme="minorHAnsi" w:eastAsia="MS Mincho" w:hAnsiTheme="minorHAnsi" w:cstheme="minorHAnsi"/>
          <w:i/>
          <w:lang w:eastAsia="ja-JP"/>
        </w:rPr>
        <w:t xml:space="preserve"> </w:t>
      </w:r>
      <w:r w:rsidR="003D44F4" w:rsidRPr="00D2202D">
        <w:rPr>
          <w:rFonts w:asciiTheme="minorHAnsi" w:hAnsiTheme="minorHAnsi" w:cstheme="minorHAnsi"/>
        </w:rPr>
        <w:t xml:space="preserve">Kontrola provedbe intervencija od strane Agencije za plaćanja u poljoprivredi, ribarstvu i ruralnom razvoju (APPRRR), Inspekcijski nadzor nad provedbom intervencija, Mjerenje smanjenja emisija stakleničkih plinova od strane </w:t>
      </w:r>
      <w:r w:rsidR="009D7A64" w:rsidRPr="004E559C">
        <w:rPr>
          <w:lang w:eastAsia="hr-HR"/>
        </w:rPr>
        <w:t>Ministarstv</w:t>
      </w:r>
      <w:r w:rsidR="009D7A64">
        <w:rPr>
          <w:lang w:eastAsia="hr-HR"/>
        </w:rPr>
        <w:t>a</w:t>
      </w:r>
      <w:r w:rsidR="009D7A64" w:rsidRPr="004E559C">
        <w:rPr>
          <w:lang w:eastAsia="hr-HR"/>
        </w:rPr>
        <w:t xml:space="preserve"> zaštite okoliša i zelene tranzicije</w:t>
      </w:r>
      <w:r w:rsidR="003D44F4" w:rsidRPr="00D2202D">
        <w:rPr>
          <w:rFonts w:asciiTheme="minorHAnsi" w:hAnsiTheme="minorHAnsi" w:cstheme="minorHAnsi"/>
        </w:rPr>
        <w:t>.</w:t>
      </w:r>
    </w:p>
    <w:p w14:paraId="067049C0" w14:textId="38B60F25" w:rsidR="007E48E7" w:rsidRPr="007E48E7" w:rsidRDefault="007E48E7" w:rsidP="004623DD">
      <w:pPr>
        <w:rPr>
          <w:lang w:eastAsia="hr-HR"/>
        </w:rPr>
      </w:pPr>
      <w:r w:rsidRPr="00B47BDA">
        <w:rPr>
          <w:b/>
          <w:lang w:eastAsia="hr-HR"/>
        </w:rPr>
        <w:t>Povezanost s drugim dimenzijama:</w:t>
      </w:r>
      <w:r w:rsidRPr="00B47BDA">
        <w:rPr>
          <w:lang w:eastAsia="hr-HR"/>
        </w:rPr>
        <w:t xml:space="preserve"> Istraživanje, inovacije i konkurentnost</w:t>
      </w:r>
      <w:r>
        <w:rPr>
          <w:lang w:eastAsia="hr-HR"/>
        </w:rPr>
        <w:t>.</w:t>
      </w:r>
    </w:p>
    <w:p w14:paraId="1510A927" w14:textId="23518E18" w:rsidR="00D663BE" w:rsidRDefault="00D663BE">
      <w:pPr>
        <w:spacing w:after="0"/>
        <w:jc w:val="left"/>
        <w:rPr>
          <w:rFonts w:asciiTheme="minorHAnsi" w:hAnsiTheme="minorHAnsi" w:cstheme="minorBidi"/>
        </w:rPr>
      </w:pPr>
      <w:r>
        <w:rPr>
          <w:rFonts w:asciiTheme="minorHAnsi" w:hAnsiTheme="minorHAnsi" w:cstheme="minorBidi"/>
        </w:rPr>
        <w:br w:type="page"/>
      </w:r>
    </w:p>
    <w:p w14:paraId="56D72630" w14:textId="0BC8E6BA" w:rsidR="00BA27EB" w:rsidRPr="00B47BDA" w:rsidRDefault="00BA27EB" w:rsidP="004B34C2">
      <w:pPr>
        <w:pStyle w:val="Mjeranaslov"/>
        <w:rPr>
          <w:lang w:eastAsia="hr-HR"/>
        </w:rPr>
      </w:pPr>
      <w:r w:rsidRPr="00B47BDA">
        <w:rPr>
          <w:lang w:eastAsia="hr-HR"/>
        </w:rPr>
        <w:lastRenderedPageBreak/>
        <w:t>POLJ-</w:t>
      </w:r>
      <w:r w:rsidR="000763CD">
        <w:rPr>
          <w:lang w:eastAsia="hr-HR"/>
        </w:rPr>
        <w:t>6</w:t>
      </w:r>
      <w:r w:rsidRPr="00B47BDA">
        <w:rPr>
          <w:lang w:eastAsia="hr-HR"/>
        </w:rPr>
        <w:t xml:space="preserve"> </w:t>
      </w:r>
      <w:r w:rsidR="00FB6C8C" w:rsidRPr="00B47BDA">
        <w:rPr>
          <w:lang w:eastAsia="hr-HR"/>
        </w:rPr>
        <w:t>Poboljšanje metoda primjene organskih gnojiva</w:t>
      </w:r>
      <w:r w:rsidR="00622DB1" w:rsidRPr="00B47BDA">
        <w:rPr>
          <w:lang w:eastAsia="hr-HR"/>
        </w:rPr>
        <w:t xml:space="preserve"> </w:t>
      </w:r>
    </w:p>
    <w:p w14:paraId="16E0E03F" w14:textId="260F49D0" w:rsidR="00BA27EB" w:rsidRPr="00A20A3C" w:rsidRDefault="00B5533C" w:rsidP="004623DD">
      <w:pPr>
        <w:rPr>
          <w:rFonts w:cstheme="minorHAnsi"/>
          <w:color w:val="000000"/>
        </w:rPr>
      </w:pPr>
      <w:r>
        <w:rPr>
          <w:rFonts w:cstheme="minorHAnsi"/>
        </w:rPr>
        <w:t>Ekonomska</w:t>
      </w:r>
      <w:r w:rsidR="00BA27EB" w:rsidRPr="00A20A3C">
        <w:rPr>
          <w:rFonts w:cstheme="minorHAnsi"/>
        </w:rPr>
        <w:t xml:space="preserve"> mjera; provedba </w:t>
      </w:r>
      <w:r w:rsidR="00805CE6" w:rsidRPr="00A20A3C">
        <w:rPr>
          <w:rFonts w:cstheme="minorHAnsi"/>
        </w:rPr>
        <w:t>202</w:t>
      </w:r>
      <w:r>
        <w:rPr>
          <w:rFonts w:cstheme="minorHAnsi"/>
        </w:rPr>
        <w:t>3</w:t>
      </w:r>
      <w:r w:rsidR="00805CE6" w:rsidRPr="00A20A3C">
        <w:rPr>
          <w:rFonts w:cstheme="minorHAnsi"/>
        </w:rPr>
        <w:t>.-</w:t>
      </w:r>
      <w:r w:rsidR="00E06C9E" w:rsidRPr="00A20A3C">
        <w:rPr>
          <w:rFonts w:cstheme="minorHAnsi"/>
        </w:rPr>
        <w:t>2030</w:t>
      </w:r>
      <w:r w:rsidR="00BA27EB" w:rsidRPr="00A20A3C">
        <w:rPr>
          <w:rFonts w:cstheme="minorHAnsi"/>
          <w:color w:val="000000"/>
        </w:rPr>
        <w:t>.</w:t>
      </w:r>
    </w:p>
    <w:p w14:paraId="4C079E70" w14:textId="3FD2FB42" w:rsidR="00BA27EB" w:rsidRPr="00A20A3C" w:rsidRDefault="00BA27EB" w:rsidP="004623DD">
      <w:pPr>
        <w:rPr>
          <w:rFonts w:cstheme="minorHAnsi"/>
        </w:rPr>
      </w:pPr>
      <w:r w:rsidRPr="00A20A3C">
        <w:rPr>
          <w:rFonts w:cstheme="minorHAnsi"/>
          <w:b/>
        </w:rPr>
        <w:t>Cilj i opis mjere</w:t>
      </w:r>
      <w:r w:rsidRPr="00A20A3C">
        <w:rPr>
          <w:rFonts w:cstheme="minorHAnsi"/>
        </w:rPr>
        <w:t xml:space="preserve">: </w:t>
      </w:r>
      <w:bookmarkStart w:id="428" w:name="_Hlk164195525"/>
      <w:r w:rsidR="00B5533C">
        <w:rPr>
          <w:rFonts w:cs="Calibri"/>
        </w:rPr>
        <w:t>P</w:t>
      </w:r>
      <w:r w:rsidR="00B5533C" w:rsidRPr="0001094D">
        <w:rPr>
          <w:rFonts w:cs="Calibri"/>
        </w:rPr>
        <w:t>ovećanj</w:t>
      </w:r>
      <w:r w:rsidR="000B2D10">
        <w:rPr>
          <w:rFonts w:cs="Calibri"/>
        </w:rPr>
        <w:t>e</w:t>
      </w:r>
      <w:r w:rsidR="00B5533C" w:rsidRPr="0001094D">
        <w:rPr>
          <w:rFonts w:cs="Calibri"/>
        </w:rPr>
        <w:t xml:space="preserve"> sekvestracije ugljika u tlu unaprjeđenjem metodologije primjene organskih gnojiva</w:t>
      </w:r>
      <w:bookmarkEnd w:id="428"/>
      <w:r w:rsidR="00350FC1">
        <w:rPr>
          <w:rFonts w:cs="Calibri"/>
        </w:rPr>
        <w:t>.</w:t>
      </w:r>
    </w:p>
    <w:p w14:paraId="5B560873" w14:textId="2FF2055D" w:rsidR="00B05260" w:rsidRPr="00A20A3C" w:rsidRDefault="00B05260" w:rsidP="004623DD">
      <w:pPr>
        <w:rPr>
          <w:rFonts w:cstheme="minorHAnsi"/>
          <w:color w:val="000000"/>
        </w:rPr>
      </w:pPr>
      <w:r w:rsidRPr="00A20A3C">
        <w:rPr>
          <w:rFonts w:cstheme="minorHAnsi"/>
        </w:rPr>
        <w:t>Primjena organskih gnojiva važna je za promet organske tvari u tlu, o čemu postoji razmjerno velika baza podataka na globalnoj</w:t>
      </w:r>
      <w:r w:rsidR="00350FC1">
        <w:rPr>
          <w:rFonts w:cstheme="minorHAnsi"/>
        </w:rPr>
        <w:t xml:space="preserve"> razini.</w:t>
      </w:r>
      <w:r w:rsidRPr="00A20A3C">
        <w:rPr>
          <w:rFonts w:cstheme="minorHAnsi"/>
        </w:rPr>
        <w:t xml:space="preserve"> </w:t>
      </w:r>
    </w:p>
    <w:p w14:paraId="0E8F14D9" w14:textId="1971E02C" w:rsidR="00B05260" w:rsidRPr="00A20A3C" w:rsidRDefault="00B05260" w:rsidP="63259912">
      <w:pPr>
        <w:rPr>
          <w:rFonts w:cstheme="minorBidi"/>
          <w:color w:val="000000"/>
        </w:rPr>
      </w:pPr>
      <w:r w:rsidRPr="63259912">
        <w:rPr>
          <w:rFonts w:cstheme="minorBidi"/>
        </w:rPr>
        <w:t>Organska gnojiva puno jače potiču aktivnost mikroba tla u odnosu na mineralna gnojiva i njima se unosi u tlo mnogo manje soli i kiselina. Učinkovitost o</w:t>
      </w:r>
      <w:r w:rsidRPr="63259912">
        <w:rPr>
          <w:rFonts w:cstheme="minorBidi"/>
          <w:color w:val="000000" w:themeColor="text1"/>
        </w:rPr>
        <w:t>visi o mikrobiološkoj aktivnosti u tlu, odnosno kojom brzinom se razgrađuju i transformiraju do hraniva pogodnih za usvajanje. Organska gnojiva imaju puno dulj</w:t>
      </w:r>
      <w:r w:rsidR="00214F36" w:rsidRPr="63259912">
        <w:rPr>
          <w:rFonts w:cstheme="minorBidi"/>
          <w:color w:val="000000" w:themeColor="text1"/>
        </w:rPr>
        <w:t>e</w:t>
      </w:r>
      <w:r w:rsidRPr="63259912">
        <w:rPr>
          <w:rFonts w:cstheme="minorBidi"/>
          <w:color w:val="000000" w:themeColor="text1"/>
        </w:rPr>
        <w:t xml:space="preserve"> vrijeme ra</w:t>
      </w:r>
      <w:r w:rsidR="00214F36" w:rsidRPr="63259912">
        <w:rPr>
          <w:rFonts w:cstheme="minorBidi"/>
          <w:color w:val="000000" w:themeColor="text1"/>
        </w:rPr>
        <w:t>z</w:t>
      </w:r>
      <w:r w:rsidRPr="63259912">
        <w:rPr>
          <w:rFonts w:cstheme="minorBidi"/>
          <w:color w:val="000000" w:themeColor="text1"/>
        </w:rPr>
        <w:t>gradnje pa se njihov učinak proteže na više godina. Redovita primjena organskih gnojiva, povećava količinu humusa u tlu, poboljšava svojstva tla, posebice strukturu što ima za posljedicu bolji vodnozračni odnos, veću retenciju vode, veću raspoloživost svih hraniva te jača otpornost na eroziju na nagnutim površinama.</w:t>
      </w:r>
    </w:p>
    <w:p w14:paraId="221F7FFB" w14:textId="77777777" w:rsidR="00B05260" w:rsidRPr="00A20A3C" w:rsidRDefault="00B05260" w:rsidP="63259912">
      <w:pPr>
        <w:rPr>
          <w:rFonts w:cstheme="minorBidi"/>
        </w:rPr>
      </w:pPr>
      <w:r w:rsidRPr="63259912">
        <w:rPr>
          <w:rFonts w:cstheme="minorBidi"/>
        </w:rPr>
        <w:t>Podzemnom primjenom - direktnim ubrizgavanje u tlo korištenjem injektora se sprječava gubitak amonijaka te smanjuje ili u potpunosti uklanja širenje neugodnog mirisa. Metoda je primjenjiva kod aplikacije tekućeg oblika goveđeg i svinjskog gnoja, pri čemu je emisija NH3 niža do 30%.</w:t>
      </w:r>
      <w:r w:rsidR="00622DB1" w:rsidRPr="63259912">
        <w:rPr>
          <w:rFonts w:cstheme="minorBidi"/>
        </w:rPr>
        <w:t xml:space="preserve"> </w:t>
      </w:r>
    </w:p>
    <w:p w14:paraId="2D7D8E09" w14:textId="77777777" w:rsidR="00B05260" w:rsidRPr="00A20A3C" w:rsidRDefault="00B05260" w:rsidP="63259912">
      <w:pPr>
        <w:rPr>
          <w:rFonts w:cstheme="minorBidi"/>
        </w:rPr>
      </w:pPr>
      <w:r w:rsidRPr="63259912">
        <w:rPr>
          <w:rFonts w:cstheme="minorBidi"/>
        </w:rPr>
        <w:t>Prilikom korištenja injektora, iako se smanjuje gubitak uslijed volatizacije odnosno povećava količina biljki dostupnog dušika, moguće je i povećanje gubitka didušikovog oksida iz tla. Stoga se dodatno povećava važnost pravilnog doziranja i primjene gnojiva (organskih i mineralnih).</w:t>
      </w:r>
    </w:p>
    <w:p w14:paraId="44BEBE8B" w14:textId="77777777" w:rsidR="00BA27EB" w:rsidRPr="00A20A3C" w:rsidRDefault="00B05260" w:rsidP="63259912">
      <w:pPr>
        <w:rPr>
          <w:rFonts w:cstheme="minorBidi"/>
        </w:rPr>
      </w:pPr>
      <w:r w:rsidRPr="63259912">
        <w:rPr>
          <w:rFonts w:cstheme="minorBidi"/>
        </w:rPr>
        <w:t xml:space="preserve">Ograničavajući faktor povećanja korištenja specijalizirane opreme za injektiranje organskog gnojiva je relativno visoka cijena same opreme, te je stoga takva investicija indicirana za veća (ili okrupnjena) gospodarstva s potrebama za velikim kapacitetima pognojavanja. </w:t>
      </w:r>
    </w:p>
    <w:p w14:paraId="64A0BB14" w14:textId="4B13863A" w:rsidR="00805CE6" w:rsidRPr="00A20A3C" w:rsidRDefault="00474AD4" w:rsidP="004623DD">
      <w:pPr>
        <w:rPr>
          <w:rFonts w:cstheme="minorHAnsi"/>
        </w:rPr>
      </w:pPr>
      <w:r w:rsidRPr="0001094D">
        <w:rPr>
          <w:rFonts w:cs="Calibri"/>
        </w:rPr>
        <w:t>Ova mjera povezana je sa Zajedničkom poljoprivrednom politikom (ZPP) i Strateškim planom u sklopu intervencije 73.10. – Potpora za ulaganja u primarnu poljoprivrednu proizvodnju.</w:t>
      </w:r>
    </w:p>
    <w:p w14:paraId="0535CD47" w14:textId="77777777" w:rsidR="00805CE6" w:rsidRPr="00A20A3C" w:rsidRDefault="00805CE6" w:rsidP="004623DD">
      <w:pPr>
        <w:rPr>
          <w:rFonts w:cstheme="minorHAnsi"/>
          <w:b/>
          <w:bCs/>
        </w:rPr>
      </w:pPr>
      <w:r w:rsidRPr="00A20A3C">
        <w:rPr>
          <w:rFonts w:cstheme="minorHAnsi"/>
          <w:b/>
          <w:bCs/>
        </w:rPr>
        <w:t xml:space="preserve">Aktivnosti: </w:t>
      </w:r>
    </w:p>
    <w:p w14:paraId="7CE0A1FA" w14:textId="77777777" w:rsidR="009C27A5" w:rsidRPr="009C27A5" w:rsidRDefault="009C27A5" w:rsidP="009C27A5">
      <w:pPr>
        <w:numPr>
          <w:ilvl w:val="0"/>
          <w:numId w:val="103"/>
        </w:numPr>
        <w:tabs>
          <w:tab w:val="left" w:pos="431"/>
        </w:tabs>
        <w:ind w:left="791"/>
        <w:rPr>
          <w:rFonts w:cs="Tahoma"/>
          <w:lang w:eastAsia="ar-SA"/>
        </w:rPr>
      </w:pPr>
      <w:bookmarkStart w:id="429" w:name="_Hlk164195659"/>
      <w:r w:rsidRPr="009C27A5">
        <w:rPr>
          <w:rFonts w:cs="Tahoma"/>
          <w:lang w:eastAsia="ar-SA"/>
        </w:rPr>
        <w:t>Poticanje investiranja u strojeve za primjenu organskog gnojiva</w:t>
      </w:r>
      <w:bookmarkEnd w:id="429"/>
    </w:p>
    <w:p w14:paraId="6C90E653" w14:textId="478FED60" w:rsidR="00805CE6" w:rsidRPr="00B47BDA" w:rsidRDefault="00805CE6" w:rsidP="004623DD">
      <w:r w:rsidRPr="0077328B">
        <w:rPr>
          <w:b/>
          <w:bCs/>
        </w:rPr>
        <w:t>Sredstva potrebna za provedbu:</w:t>
      </w:r>
      <w:r w:rsidRPr="00B47BDA">
        <w:t xml:space="preserve"> </w:t>
      </w:r>
    </w:p>
    <w:p w14:paraId="15531BB8" w14:textId="77777777" w:rsidR="003A24E4" w:rsidRPr="003A24E4" w:rsidRDefault="003A24E4" w:rsidP="003A24E4">
      <w:bookmarkStart w:id="430" w:name="_Hlk164195701"/>
      <w:r w:rsidRPr="003A24E4">
        <w:t>U okviru Strateškog plana osigurana su sredstva za provedbu intervencija koje doprinose navedenim aktivnostima:</w:t>
      </w:r>
    </w:p>
    <w:p w14:paraId="305B1B51" w14:textId="77777777" w:rsidR="003A24E4" w:rsidRPr="003A24E4" w:rsidRDefault="003A24E4" w:rsidP="003A24E4">
      <w:r w:rsidRPr="003A24E4">
        <w:t>73.10. – Potpora za ulaganja u primarnu poljoprivrednu proizvodnju - 223.663.407,50 EUR (iznos predstavlja ukupna raspoloživa sredstva za provedbu intervencije u sklopu koje su, između ostalih, prihvatljiva ulaganja u poljoprivredna gospodarstva koja uključuju i trošak kupnje strojeva za primjenu organskog gnoja isključivo za vlastite potrebe).</w:t>
      </w:r>
    </w:p>
    <w:bookmarkEnd w:id="430"/>
    <w:p w14:paraId="0915370E" w14:textId="77777777" w:rsidR="00805CE6" w:rsidRPr="00B47BDA" w:rsidRDefault="00805CE6" w:rsidP="004623DD">
      <w:r w:rsidRPr="00B47BDA">
        <w:rPr>
          <w:b/>
        </w:rPr>
        <w:t xml:space="preserve">Izvori financiranja: </w:t>
      </w:r>
      <w:r w:rsidRPr="00B47BDA">
        <w:t>Europski poljoprivredni fond za ruralni razvoj (EPFRR), Državni proračun Republike Hrvatske</w:t>
      </w:r>
    </w:p>
    <w:p w14:paraId="0DEDDB45" w14:textId="682A2A17" w:rsidR="00805CE6" w:rsidRPr="00B47BDA" w:rsidRDefault="00805CE6" w:rsidP="004623DD">
      <w:r w:rsidRPr="00B47BDA">
        <w:rPr>
          <w:b/>
        </w:rPr>
        <w:t xml:space="preserve">Izvršno tijelo: </w:t>
      </w:r>
      <w:r w:rsidR="00917C74">
        <w:t>Ministarstvo poljoprivrede</w:t>
      </w:r>
      <w:r w:rsidR="00917C74" w:rsidRPr="00AE6008">
        <w:rPr>
          <w:lang w:eastAsia="hr-HR"/>
        </w:rPr>
        <w:t>, šumarstva i ribarstva</w:t>
      </w:r>
      <w:r w:rsidR="00917C74">
        <w:t xml:space="preserve"> (MPS).</w:t>
      </w:r>
    </w:p>
    <w:p w14:paraId="50A2562E" w14:textId="6C85C67E" w:rsidR="00805CE6" w:rsidRPr="00212B49" w:rsidRDefault="00805CE6" w:rsidP="63259912">
      <w:pPr>
        <w:rPr>
          <w:rFonts w:asciiTheme="minorHAnsi" w:hAnsiTheme="minorHAnsi" w:cstheme="minorBidi"/>
          <w:b/>
          <w:bCs/>
        </w:rPr>
      </w:pPr>
      <w:r w:rsidRPr="63259912">
        <w:rPr>
          <w:rFonts w:asciiTheme="minorHAnsi" w:hAnsiTheme="minorHAnsi" w:cstheme="minorBidi"/>
          <w:b/>
          <w:bCs/>
        </w:rPr>
        <w:t xml:space="preserve">Učinak: </w:t>
      </w:r>
      <w:r w:rsidRPr="63259912">
        <w:rPr>
          <w:rFonts w:asciiTheme="minorHAnsi" w:hAnsiTheme="minorHAnsi" w:cstheme="minorBidi"/>
        </w:rPr>
        <w:t>Smanjenje emisije (kt CO</w:t>
      </w:r>
      <w:r w:rsidRPr="63259912">
        <w:rPr>
          <w:rFonts w:asciiTheme="minorHAnsi" w:hAnsiTheme="minorHAnsi" w:cstheme="minorBidi"/>
          <w:vertAlign w:val="subscript"/>
        </w:rPr>
        <w:t>2</w:t>
      </w:r>
      <w:r w:rsidRPr="63259912">
        <w:rPr>
          <w:rFonts w:asciiTheme="minorHAnsi" w:hAnsiTheme="minorHAnsi" w:cstheme="minorBidi"/>
        </w:rPr>
        <w:t xml:space="preserve">), </w:t>
      </w:r>
      <w:r w:rsidR="00390C51" w:rsidRPr="63259912">
        <w:rPr>
          <w:rFonts w:asciiTheme="minorHAnsi" w:hAnsiTheme="minorHAnsi" w:cstheme="minorBidi"/>
        </w:rPr>
        <w:t>poboljšanje konkurentnosti i učinkovitosti stočarske proizvodnje.</w:t>
      </w:r>
    </w:p>
    <w:p w14:paraId="7ED106BD" w14:textId="57AC5816" w:rsidR="00805CE6" w:rsidRDefault="6EC71807" w:rsidP="71589035">
      <w:pPr>
        <w:rPr>
          <w:rFonts w:asciiTheme="minorHAnsi" w:hAnsiTheme="minorHAnsi" w:cstheme="minorBidi"/>
        </w:rPr>
      </w:pPr>
      <w:r w:rsidRPr="71589035">
        <w:rPr>
          <w:rFonts w:asciiTheme="minorHAnsi" w:hAnsiTheme="minorHAnsi" w:cstheme="minorBidi"/>
          <w:b/>
          <w:bCs/>
        </w:rPr>
        <w:lastRenderedPageBreak/>
        <w:t xml:space="preserve">Metoda praćenja: </w:t>
      </w:r>
      <w:r w:rsidR="69467A64" w:rsidRPr="71589035">
        <w:rPr>
          <w:rFonts w:asciiTheme="minorHAnsi" w:hAnsiTheme="minorHAnsi" w:cstheme="minorBidi"/>
        </w:rPr>
        <w:t xml:space="preserve">Kontrola provedbe intervencija od strane Agencije za plaćanja u poljoprivredi, ribarstvu i ruralnom razvoju (APPRRR), Mjerenje smanjenja emisija stakleničkih plinova od strane </w:t>
      </w:r>
      <w:r w:rsidR="00112E29" w:rsidRPr="004E559C">
        <w:rPr>
          <w:lang w:eastAsia="hr-HR"/>
        </w:rPr>
        <w:t>Ministarstv</w:t>
      </w:r>
      <w:r w:rsidR="00112E29">
        <w:rPr>
          <w:lang w:eastAsia="hr-HR"/>
        </w:rPr>
        <w:t>a</w:t>
      </w:r>
      <w:r w:rsidR="00112E29" w:rsidRPr="004E559C">
        <w:rPr>
          <w:lang w:eastAsia="hr-HR"/>
        </w:rPr>
        <w:t xml:space="preserve"> zaštite okoliša i zelene tranzicije</w:t>
      </w:r>
      <w:r w:rsidR="69467A64" w:rsidRPr="71589035">
        <w:rPr>
          <w:rFonts w:asciiTheme="minorHAnsi" w:hAnsiTheme="minorHAnsi" w:cstheme="minorBidi"/>
        </w:rPr>
        <w:t>.</w:t>
      </w:r>
    </w:p>
    <w:p w14:paraId="74F19994" w14:textId="4969FF06" w:rsidR="007E48E7" w:rsidRPr="007E48E7" w:rsidRDefault="007E48E7" w:rsidP="71589035">
      <w:pPr>
        <w:rPr>
          <w:lang w:eastAsia="hr-HR"/>
        </w:rPr>
      </w:pPr>
      <w:r w:rsidRPr="00B47BDA">
        <w:rPr>
          <w:b/>
          <w:lang w:eastAsia="hr-HR"/>
        </w:rPr>
        <w:t>Povezanost s drugim dimenzijama:</w:t>
      </w:r>
      <w:r w:rsidRPr="00B47BDA">
        <w:rPr>
          <w:lang w:eastAsia="hr-HR"/>
        </w:rPr>
        <w:t xml:space="preserve"> Istraživanje, inovacije i konkurentnost</w:t>
      </w:r>
      <w:r>
        <w:rPr>
          <w:lang w:eastAsia="hr-HR"/>
        </w:rPr>
        <w:t>.</w:t>
      </w:r>
    </w:p>
    <w:p w14:paraId="14C1FFAD" w14:textId="77777777" w:rsidR="00D663BE" w:rsidRDefault="00D663BE" w:rsidP="71589035">
      <w:pPr>
        <w:rPr>
          <w:rFonts w:asciiTheme="minorHAnsi" w:hAnsiTheme="minorHAnsi" w:cstheme="minorBidi"/>
        </w:rPr>
      </w:pPr>
    </w:p>
    <w:p w14:paraId="30AE76ED" w14:textId="0101A4C9" w:rsidR="00B05260" w:rsidRPr="00212B49" w:rsidRDefault="02A5E4AE" w:rsidP="63259912">
      <w:pPr>
        <w:pStyle w:val="Mjeranaslov"/>
        <w:rPr>
          <w:rFonts w:asciiTheme="minorHAnsi" w:hAnsiTheme="minorHAnsi" w:cstheme="minorBidi"/>
          <w:lang w:eastAsia="hr-HR"/>
        </w:rPr>
      </w:pPr>
      <w:r w:rsidRPr="63259912">
        <w:rPr>
          <w:rFonts w:asciiTheme="minorHAnsi" w:hAnsiTheme="minorHAnsi" w:cstheme="minorBidi"/>
          <w:lang w:eastAsia="hr-HR"/>
        </w:rPr>
        <w:t>POLJ-</w:t>
      </w:r>
      <w:r w:rsidR="2F436BF1" w:rsidRPr="63259912">
        <w:rPr>
          <w:rFonts w:asciiTheme="minorHAnsi" w:hAnsiTheme="minorHAnsi" w:cstheme="minorBidi"/>
          <w:lang w:eastAsia="hr-HR"/>
        </w:rPr>
        <w:t>7</w:t>
      </w:r>
      <w:r w:rsidRPr="63259912">
        <w:rPr>
          <w:rFonts w:asciiTheme="minorHAnsi" w:hAnsiTheme="minorHAnsi" w:cstheme="minorBidi"/>
          <w:lang w:eastAsia="hr-HR"/>
        </w:rPr>
        <w:t xml:space="preserve"> </w:t>
      </w:r>
      <w:r w:rsidR="673B66B8" w:rsidRPr="63259912">
        <w:rPr>
          <w:rFonts w:asciiTheme="minorHAnsi" w:hAnsiTheme="minorHAnsi" w:cstheme="minorBidi"/>
          <w:lang w:eastAsia="hr-HR"/>
        </w:rPr>
        <w:t xml:space="preserve">Agrošumarstvo </w:t>
      </w:r>
    </w:p>
    <w:p w14:paraId="30153AF7" w14:textId="2E386A57" w:rsidR="00B05260" w:rsidRPr="00212B49" w:rsidRDefault="00EC1537" w:rsidP="004623DD">
      <w:pPr>
        <w:rPr>
          <w:rFonts w:asciiTheme="minorHAnsi" w:hAnsiTheme="minorHAnsi" w:cstheme="minorHAnsi"/>
          <w:color w:val="000000"/>
        </w:rPr>
      </w:pPr>
      <w:r w:rsidRPr="00212B49">
        <w:rPr>
          <w:rFonts w:asciiTheme="minorHAnsi" w:hAnsiTheme="minorHAnsi" w:cstheme="minorHAnsi"/>
          <w:lang w:eastAsia="hr-HR"/>
        </w:rPr>
        <w:t>Ekonomska mjera,</w:t>
      </w:r>
      <w:r w:rsidRPr="00212B49">
        <w:rPr>
          <w:rFonts w:asciiTheme="minorHAnsi" w:hAnsiTheme="minorHAnsi" w:cstheme="minorHAnsi"/>
        </w:rPr>
        <w:t xml:space="preserve"> okolišna, </w:t>
      </w:r>
      <w:r w:rsidR="00B05260" w:rsidRPr="00212B49">
        <w:rPr>
          <w:rFonts w:asciiTheme="minorHAnsi" w:hAnsiTheme="minorHAnsi" w:cstheme="minorHAnsi"/>
        </w:rPr>
        <w:t xml:space="preserve">obrazovna mjera; provedba </w:t>
      </w:r>
      <w:r w:rsidR="00805CE6" w:rsidRPr="00212B49">
        <w:rPr>
          <w:rFonts w:asciiTheme="minorHAnsi" w:hAnsiTheme="minorHAnsi" w:cstheme="minorHAnsi"/>
        </w:rPr>
        <w:t>202</w:t>
      </w:r>
      <w:r w:rsidRPr="00212B49">
        <w:rPr>
          <w:rFonts w:asciiTheme="minorHAnsi" w:hAnsiTheme="minorHAnsi" w:cstheme="minorHAnsi"/>
        </w:rPr>
        <w:t>3</w:t>
      </w:r>
      <w:r w:rsidR="00805CE6" w:rsidRPr="00212B49">
        <w:rPr>
          <w:rFonts w:asciiTheme="minorHAnsi" w:hAnsiTheme="minorHAnsi" w:cstheme="minorHAnsi"/>
        </w:rPr>
        <w:t>.-</w:t>
      </w:r>
      <w:r w:rsidR="00E06C9E" w:rsidRPr="00212B49">
        <w:rPr>
          <w:rFonts w:asciiTheme="minorHAnsi" w:hAnsiTheme="minorHAnsi" w:cstheme="minorHAnsi"/>
        </w:rPr>
        <w:t>2030</w:t>
      </w:r>
      <w:r w:rsidR="00B05260" w:rsidRPr="00212B49">
        <w:rPr>
          <w:rFonts w:asciiTheme="minorHAnsi" w:hAnsiTheme="minorHAnsi" w:cstheme="minorHAnsi"/>
          <w:color w:val="000000"/>
        </w:rPr>
        <w:t>.</w:t>
      </w:r>
    </w:p>
    <w:p w14:paraId="3983D98B" w14:textId="4554643F" w:rsidR="00B05260" w:rsidRPr="00212B49" w:rsidRDefault="00B05260" w:rsidP="63259912">
      <w:pPr>
        <w:rPr>
          <w:rFonts w:asciiTheme="minorHAnsi" w:hAnsiTheme="minorHAnsi" w:cstheme="minorBidi"/>
        </w:rPr>
      </w:pPr>
      <w:r w:rsidRPr="63259912">
        <w:rPr>
          <w:rFonts w:asciiTheme="minorHAnsi" w:hAnsiTheme="minorHAnsi" w:cstheme="minorBidi"/>
          <w:b/>
          <w:bCs/>
        </w:rPr>
        <w:t>Cilj i opis mjere:</w:t>
      </w:r>
      <w:r w:rsidRPr="63259912">
        <w:rPr>
          <w:rFonts w:asciiTheme="minorHAnsi" w:hAnsiTheme="minorHAnsi" w:cstheme="minorBidi"/>
        </w:rPr>
        <w:t xml:space="preserve"> </w:t>
      </w:r>
      <w:r w:rsidR="000E796B" w:rsidRPr="63259912">
        <w:rPr>
          <w:rFonts w:asciiTheme="minorHAnsi" w:hAnsiTheme="minorHAnsi" w:cstheme="minorBidi"/>
        </w:rPr>
        <w:t>Primjena agrošumarskih tehnologija s ciljem povećanja sekvestracije ugljika u tlu te definiranje potencijala za razvoj agrošumarskih sustava na pogodnim područjima.</w:t>
      </w:r>
    </w:p>
    <w:p w14:paraId="123D6BBC" w14:textId="0E9E62A0" w:rsidR="005013F3" w:rsidRPr="008315B6" w:rsidRDefault="005013F3" w:rsidP="63259912">
      <w:pPr>
        <w:rPr>
          <w:rFonts w:cstheme="minorBidi"/>
          <w:color w:val="000000"/>
        </w:rPr>
      </w:pPr>
      <w:r w:rsidRPr="63259912">
        <w:rPr>
          <w:rFonts w:asciiTheme="minorHAnsi" w:hAnsiTheme="minorHAnsi" w:cstheme="minorBidi"/>
        </w:rPr>
        <w:t>Agrošumarstvo ili šumsko poljodjelstvo (eng. "agroforestry") obuhvaća tehnologije koje se primjenjuju u šumarstvu i poljoprivredi s ciljem stvaranja veće proizvodnosti, ekonomske opravdanosti, ekološke prihvatljivosti i održivog korištenja zemljišta.</w:t>
      </w:r>
      <w:r w:rsidR="00622DB1" w:rsidRPr="63259912">
        <w:rPr>
          <w:rFonts w:asciiTheme="minorHAnsi" w:hAnsiTheme="minorHAnsi" w:cstheme="minorBidi"/>
          <w:color w:val="000000" w:themeColor="text1"/>
        </w:rPr>
        <w:t xml:space="preserve"> </w:t>
      </w:r>
      <w:r w:rsidRPr="63259912">
        <w:rPr>
          <w:rFonts w:asciiTheme="minorHAnsi" w:hAnsiTheme="minorHAnsi" w:cstheme="minorBidi"/>
          <w:color w:val="000000" w:themeColor="text1"/>
        </w:rPr>
        <w:t>Agrošumarstvo je zajednički naziv za sustave gospodarenja zemljištem pri kojem se trajne drvenaste vrste integriraju s uzgojem usjeva i/ili životinja na istoj površinskoj jedinici. Integracija može biti prostornog karaktera ili u vremenskoj sekvenci. Uobičajena je ekološko-ekonomska interakcija između šumarske i poljoprivredne komponente. Cilj je stvaranje raznovrsnih, produktivnih, profitabilnih, zdravih i održivih sustava gospodarenja zemljištem. U većoj mjeri se iskorištava proizvodna sposobnost zemljišta, ali istovremeno postiže i ravnoteža između ekonomske</w:t>
      </w:r>
      <w:r w:rsidRPr="63259912">
        <w:rPr>
          <w:rFonts w:cstheme="minorBidi"/>
          <w:color w:val="000000" w:themeColor="text1"/>
        </w:rPr>
        <w:t xml:space="preserve"> opravdanosti i zaštite staništa na temeljima potrajnosti ili održivog razvoja. Istraživanja pokazuju da su, uz sve ostale prednosti, neki agrošumarski sustavi (npr. agrosilvakultura) značajni ponori ugljika. </w:t>
      </w:r>
    </w:p>
    <w:p w14:paraId="595AD4A7" w14:textId="4B513A54" w:rsidR="005013F3" w:rsidRPr="00AF19F5" w:rsidRDefault="005013F3" w:rsidP="004623DD">
      <w:r w:rsidRPr="63259912">
        <w:t xml:space="preserve">Agrošumarstvo </w:t>
      </w:r>
      <w:r w:rsidR="00867747" w:rsidRPr="63259912">
        <w:t xml:space="preserve">se </w:t>
      </w:r>
      <w:r w:rsidRPr="63259912">
        <w:t>primjenjuje na poljoprivrednom i šumskom zemljištu; uključujući područja s narušenim stanišnim uvjetima (erodibilna područja, ekonomski slabo vrednovana devastirana i degradirana područja</w:t>
      </w:r>
      <w:r w:rsidR="00867747" w:rsidRPr="63259912">
        <w:t>)</w:t>
      </w:r>
      <w:r w:rsidRPr="63259912">
        <w:t xml:space="preserve">. Putem pokusa agrošumarstvo treba pokazati svoju primjenjivost u našim uvjetima s obzirom na različite oblike i podjele, ali i na različite potrebe. Bitno je istaknuti kako su neki elementi iz agrošumarstva zabilježeni kroz povijest na obalnom i priobalnom području naše zemlje. Prije svega obrada i kultiviranje zemljišta na terasama koje su korištene za podizanje višegodišnjih nasada; maslinika, vinograda, različitih voćaka i mogle su se ograničeno koristiti za stočarstvo. </w:t>
      </w:r>
    </w:p>
    <w:p w14:paraId="0EB13EB6" w14:textId="5DAE0211" w:rsidR="00E52958" w:rsidRPr="0001094D" w:rsidRDefault="00805CE6" w:rsidP="00E52958">
      <w:r w:rsidRPr="00AF19F5">
        <w:t xml:space="preserve">Ova mjera povezana je sa Zajedničkom poljoprivrednom politikom (ZPP) </w:t>
      </w:r>
      <w:r w:rsidR="00E52958" w:rsidRPr="0001094D">
        <w:t>i Strateškim planom u sklopu intervencija:</w:t>
      </w:r>
    </w:p>
    <w:p w14:paraId="40BF9519" w14:textId="77777777" w:rsidR="00E52958" w:rsidRPr="0001094D" w:rsidRDefault="00E52958" w:rsidP="00E52958">
      <w:r w:rsidRPr="0001094D">
        <w:t>70.08 – Očuvanje ekstenzivnih voćnjaka i maslinika, unutar koje se ekstenzivni voćnjaci i maslinici kao trajne drvenaste vrste održavaju pokrivenim travom i korištenjem domaćih životinja čime doprinose ponoru ugljika.</w:t>
      </w:r>
    </w:p>
    <w:p w14:paraId="70F44C3E" w14:textId="06F7EF0D" w:rsidR="00E83992" w:rsidRPr="000F7881" w:rsidRDefault="00E52958" w:rsidP="004623DD">
      <w:r w:rsidRPr="0001094D">
        <w:t>78.01. – Potpora prenošenju znanja</w:t>
      </w:r>
    </w:p>
    <w:p w14:paraId="78F74C68" w14:textId="65F7DD5E" w:rsidR="00805CE6" w:rsidRPr="0077328B" w:rsidRDefault="00805CE6" w:rsidP="004623DD">
      <w:pPr>
        <w:rPr>
          <w:b/>
          <w:bCs/>
        </w:rPr>
      </w:pPr>
      <w:r w:rsidRPr="0077328B">
        <w:rPr>
          <w:b/>
          <w:bCs/>
        </w:rPr>
        <w:t xml:space="preserve">Aktivnosti: </w:t>
      </w:r>
    </w:p>
    <w:p w14:paraId="5ABE315F" w14:textId="21CDD212" w:rsidR="00B50A37" w:rsidRPr="00B50A37" w:rsidRDefault="00B50A37" w:rsidP="63259912">
      <w:pPr>
        <w:numPr>
          <w:ilvl w:val="0"/>
          <w:numId w:val="104"/>
        </w:numPr>
        <w:tabs>
          <w:tab w:val="left" w:pos="431"/>
        </w:tabs>
        <w:spacing w:after="60"/>
        <w:rPr>
          <w:rFonts w:cs="Tahoma"/>
          <w:lang w:eastAsia="ar-SA"/>
        </w:rPr>
      </w:pPr>
      <w:r w:rsidRPr="63259912">
        <w:rPr>
          <w:rFonts w:cs="Tahoma"/>
          <w:lang w:eastAsia="ar-SA"/>
        </w:rPr>
        <w:t>Poticanje poljoprivrednika na primjenu agrošumarskih praksi</w:t>
      </w:r>
      <w:r w:rsidR="005A4368" w:rsidRPr="63259912">
        <w:rPr>
          <w:rFonts w:cs="Tahoma"/>
          <w:lang w:eastAsia="ar-SA"/>
        </w:rPr>
        <w:t>;</w:t>
      </w:r>
    </w:p>
    <w:p w14:paraId="4D78E78C" w14:textId="2D864809" w:rsidR="00B50A37" w:rsidRPr="00B50A37" w:rsidRDefault="00B50A37" w:rsidP="63259912">
      <w:pPr>
        <w:numPr>
          <w:ilvl w:val="0"/>
          <w:numId w:val="104"/>
        </w:numPr>
        <w:tabs>
          <w:tab w:val="left" w:pos="431"/>
        </w:tabs>
        <w:spacing w:after="60"/>
        <w:rPr>
          <w:rFonts w:cs="Tahoma"/>
          <w:lang w:eastAsia="ar-SA"/>
        </w:rPr>
      </w:pPr>
      <w:r w:rsidRPr="63259912">
        <w:rPr>
          <w:rFonts w:cs="Tahoma"/>
          <w:lang w:eastAsia="ar-SA"/>
        </w:rPr>
        <w:t>Obvezne edukacije poljoprivrednika o povoljnom utjecaju primjene agrookolišnih praksi koje uključuju i agrošumarske sustave</w:t>
      </w:r>
      <w:r w:rsidR="005A4368" w:rsidRPr="63259912">
        <w:rPr>
          <w:rFonts w:cs="Tahoma"/>
          <w:lang w:eastAsia="ar-SA"/>
        </w:rPr>
        <w:t>.</w:t>
      </w:r>
    </w:p>
    <w:p w14:paraId="71616017" w14:textId="4782C618" w:rsidR="00805CE6" w:rsidRPr="00B47BDA" w:rsidRDefault="00805CE6" w:rsidP="004623DD">
      <w:r w:rsidRPr="00BF31AD">
        <w:rPr>
          <w:b/>
          <w:bCs/>
        </w:rPr>
        <w:t>Sredstva potrebna za provedbu:</w:t>
      </w:r>
      <w:r w:rsidRPr="00B47BDA">
        <w:t xml:space="preserve"> </w:t>
      </w:r>
    </w:p>
    <w:p w14:paraId="0B731316" w14:textId="55D2AB3B" w:rsidR="00D14052" w:rsidRPr="00D14052" w:rsidRDefault="185CE94B" w:rsidP="00D14052">
      <w:pPr>
        <w:rPr>
          <w:lang w:eastAsia="hr-HR"/>
        </w:rPr>
      </w:pPr>
      <w:r>
        <w:lastRenderedPageBreak/>
        <w:t>U okviru</w:t>
      </w:r>
      <w:r w:rsidR="35785B6F">
        <w:t xml:space="preserve"> </w:t>
      </w:r>
      <w:r>
        <w:t>Strateškog plana osigurana su sredstva za provedbu intervencija koje doprinose navedenim aktivnostima:</w:t>
      </w:r>
      <w:r w:rsidRPr="1C9333AB">
        <w:rPr>
          <w:lang w:eastAsia="hr-HR"/>
        </w:rPr>
        <w:t xml:space="preserve"> </w:t>
      </w:r>
    </w:p>
    <w:p w14:paraId="58AFDAC7" w14:textId="77777777" w:rsidR="00D14052" w:rsidRPr="00D14052" w:rsidRDefault="00D14052" w:rsidP="00D14052">
      <w:pPr>
        <w:numPr>
          <w:ilvl w:val="0"/>
          <w:numId w:val="156"/>
        </w:numPr>
        <w:tabs>
          <w:tab w:val="left" w:pos="431"/>
        </w:tabs>
        <w:rPr>
          <w:rFonts w:cs="Tahoma"/>
          <w:lang w:eastAsia="ar-SA"/>
        </w:rPr>
      </w:pPr>
      <w:r w:rsidRPr="00D14052">
        <w:rPr>
          <w:rFonts w:cs="Tahoma"/>
          <w:lang w:eastAsia="ar-SA"/>
        </w:rPr>
        <w:t>70.08 – Očuvanje ekstenzivnih voćnjaka i maslinika - 2.700.958,75 EUR</w:t>
      </w:r>
    </w:p>
    <w:p w14:paraId="6939B6D5" w14:textId="77777777" w:rsidR="00805CE6" w:rsidRPr="00B47BDA" w:rsidRDefault="00805CE6" w:rsidP="004623DD">
      <w:pPr>
        <w:rPr>
          <w:b/>
          <w:i/>
        </w:rPr>
      </w:pPr>
      <w:r w:rsidRPr="00B47BDA">
        <w:rPr>
          <w:b/>
        </w:rPr>
        <w:t>Izvori financiranja:</w:t>
      </w:r>
      <w:r w:rsidRPr="00B47BDA">
        <w:rPr>
          <w:rFonts w:eastAsia="MS Mincho"/>
          <w:i/>
          <w:lang w:eastAsia="ja-JP"/>
        </w:rPr>
        <w:t xml:space="preserve"> </w:t>
      </w:r>
      <w:r w:rsidRPr="00B47BDA">
        <w:t>Europski poljoprivredni fond za ruralni razvoj (EPFRR), Državni proračun Republike Hrvatske</w:t>
      </w:r>
    </w:p>
    <w:p w14:paraId="6627EAEF" w14:textId="1D1F91EC" w:rsidR="00805CE6" w:rsidRPr="00B47BDA" w:rsidRDefault="00805CE6" w:rsidP="004623DD">
      <w:pPr>
        <w:rPr>
          <w:b/>
        </w:rPr>
      </w:pPr>
      <w:r w:rsidRPr="00B47BDA">
        <w:rPr>
          <w:b/>
        </w:rPr>
        <w:t xml:space="preserve">Izvršno tijelo: </w:t>
      </w:r>
      <w:r w:rsidR="00917C74">
        <w:t>Ministarstvo poljoprivrede</w:t>
      </w:r>
      <w:r w:rsidR="00917C74" w:rsidRPr="00AE6008">
        <w:rPr>
          <w:lang w:eastAsia="hr-HR"/>
        </w:rPr>
        <w:t>, šumarstva i ribarstva</w:t>
      </w:r>
      <w:r w:rsidR="00917C74">
        <w:t xml:space="preserve"> (MPS).</w:t>
      </w:r>
    </w:p>
    <w:p w14:paraId="7B02E694" w14:textId="2E4E3E17" w:rsidR="00805CE6" w:rsidRPr="00B47BDA" w:rsidRDefault="00805CE6" w:rsidP="63259912">
      <w:pPr>
        <w:rPr>
          <w:b/>
          <w:bCs/>
        </w:rPr>
      </w:pPr>
      <w:r w:rsidRPr="63259912">
        <w:rPr>
          <w:b/>
          <w:bCs/>
        </w:rPr>
        <w:t xml:space="preserve">Učinak: </w:t>
      </w:r>
      <w:r w:rsidRPr="63259912">
        <w:t>Smanjenje emisije (kt CO</w:t>
      </w:r>
      <w:r w:rsidRPr="63259912">
        <w:rPr>
          <w:vertAlign w:val="subscript"/>
        </w:rPr>
        <w:t>2</w:t>
      </w:r>
      <w:r w:rsidRPr="63259912">
        <w:t xml:space="preserve">), </w:t>
      </w:r>
      <w:r w:rsidR="00D14052" w:rsidRPr="63259912">
        <w:t>v</w:t>
      </w:r>
      <w:r w:rsidRPr="63259912">
        <w:t>eća proizvodnost, ekološka prihvatljivost i održivo korištenje zemljišt</w:t>
      </w:r>
      <w:r w:rsidR="00D14052" w:rsidRPr="63259912">
        <w:t>a</w:t>
      </w:r>
      <w:r w:rsidR="001F4571" w:rsidRPr="63259912">
        <w:rPr>
          <w:rFonts w:cs="Calibri"/>
        </w:rPr>
        <w:t>.</w:t>
      </w:r>
    </w:p>
    <w:p w14:paraId="3D7B6D8B" w14:textId="2161CF0C" w:rsidR="00677DA3" w:rsidRDefault="6EC71807" w:rsidP="71589035">
      <w:pPr>
        <w:rPr>
          <w:rFonts w:cs="Calibri"/>
        </w:rPr>
      </w:pPr>
      <w:r w:rsidRPr="71589035">
        <w:rPr>
          <w:b/>
          <w:bCs/>
        </w:rPr>
        <w:t xml:space="preserve">Metoda praćenja: </w:t>
      </w:r>
      <w:r w:rsidR="3F513392" w:rsidRPr="71589035">
        <w:rPr>
          <w:rFonts w:cs="Calibri"/>
        </w:rPr>
        <w:t xml:space="preserve">Kontrola provedbe intervencija od strane Agencije za plaćanja u poljoprivredi, ribarstvu i ruralnom razvoju (APPRRR), Inspekcijski nadzor nad provedbom intervencija, Mjerenje smanjenja emisija stakleničkih plinova od strane </w:t>
      </w:r>
      <w:r w:rsidR="00A30EAE" w:rsidRPr="004E559C">
        <w:rPr>
          <w:lang w:eastAsia="hr-HR"/>
        </w:rPr>
        <w:t>Ministarstv</w:t>
      </w:r>
      <w:r w:rsidR="00A30EAE">
        <w:rPr>
          <w:lang w:eastAsia="hr-HR"/>
        </w:rPr>
        <w:t>a</w:t>
      </w:r>
      <w:r w:rsidR="00A30EAE" w:rsidRPr="004E559C">
        <w:rPr>
          <w:lang w:eastAsia="hr-HR"/>
        </w:rPr>
        <w:t xml:space="preserve"> zaštite okoliša i zelene tranzicije</w:t>
      </w:r>
      <w:r w:rsidR="3F513392" w:rsidRPr="71589035">
        <w:rPr>
          <w:rFonts w:cs="Calibri"/>
        </w:rPr>
        <w:t>.</w:t>
      </w:r>
    </w:p>
    <w:p w14:paraId="3950BB7C" w14:textId="3DDFC02A" w:rsidR="00C456E6" w:rsidRPr="00C456E6" w:rsidRDefault="00C456E6" w:rsidP="71589035">
      <w:pPr>
        <w:rPr>
          <w:lang w:eastAsia="hr-HR"/>
        </w:rPr>
      </w:pPr>
      <w:r w:rsidRPr="00B47BDA">
        <w:rPr>
          <w:b/>
          <w:lang w:eastAsia="hr-HR"/>
        </w:rPr>
        <w:t>Povezanost s drugim dimenzijama:</w:t>
      </w:r>
      <w:r w:rsidRPr="00B47BDA">
        <w:rPr>
          <w:lang w:eastAsia="hr-HR"/>
        </w:rPr>
        <w:t xml:space="preserve"> Istraživanje, inovacije i konkurentnost</w:t>
      </w:r>
      <w:r>
        <w:rPr>
          <w:lang w:eastAsia="hr-HR"/>
        </w:rPr>
        <w:t>.</w:t>
      </w:r>
    </w:p>
    <w:p w14:paraId="4EF261B8" w14:textId="77777777" w:rsidR="001353DB" w:rsidRPr="00D51441" w:rsidRDefault="001353DB" w:rsidP="71589035">
      <w:pPr>
        <w:rPr>
          <w:rFonts w:asciiTheme="minorHAnsi" w:hAnsiTheme="minorHAnsi" w:cstheme="minorBidi"/>
        </w:rPr>
      </w:pPr>
    </w:p>
    <w:p w14:paraId="54EF07C7" w14:textId="4316585C" w:rsidR="00B66FD3" w:rsidRPr="00B47BDA" w:rsidRDefault="00B66FD3" w:rsidP="63259912">
      <w:pPr>
        <w:pStyle w:val="Mjeranaslov"/>
        <w:rPr>
          <w:lang w:eastAsia="hr-HR"/>
        </w:rPr>
      </w:pPr>
      <w:r w:rsidRPr="63259912">
        <w:rPr>
          <w:lang w:eastAsia="hr-HR"/>
        </w:rPr>
        <w:t>POLJ-</w:t>
      </w:r>
      <w:r w:rsidR="00CC23B9" w:rsidRPr="63259912">
        <w:rPr>
          <w:lang w:eastAsia="hr-HR"/>
        </w:rPr>
        <w:t>8</w:t>
      </w:r>
      <w:r w:rsidRPr="63259912">
        <w:rPr>
          <w:lang w:eastAsia="hr-HR"/>
        </w:rPr>
        <w:t xml:space="preserve"> </w:t>
      </w:r>
      <w:r w:rsidR="00FD528A" w:rsidRPr="63259912">
        <w:rPr>
          <w:lang w:eastAsia="hr-HR"/>
        </w:rPr>
        <w:t xml:space="preserve">Hidromelioracijski zahvati i sustavi zaštite od nepogoda </w:t>
      </w:r>
    </w:p>
    <w:p w14:paraId="710A4554" w14:textId="77777777" w:rsidR="00B66FD3" w:rsidRPr="0077259A" w:rsidRDefault="00805CE6" w:rsidP="004623DD">
      <w:pPr>
        <w:rPr>
          <w:rFonts w:cs="Calibri"/>
          <w:color w:val="000000"/>
        </w:rPr>
      </w:pPr>
      <w:r w:rsidRPr="00AF19F5">
        <w:t>Informacijska, obrazovna mjera, ekonomska mjera; provedba 2021.-</w:t>
      </w:r>
      <w:r w:rsidR="00E06C9E" w:rsidRPr="00AF19F5">
        <w:t>2030</w:t>
      </w:r>
      <w:r w:rsidR="00B66FD3" w:rsidRPr="0077259A">
        <w:rPr>
          <w:rFonts w:cs="Calibri"/>
          <w:color w:val="000000"/>
        </w:rPr>
        <w:t>.</w:t>
      </w:r>
    </w:p>
    <w:p w14:paraId="32129C8E" w14:textId="4B48956B" w:rsidR="005013F3" w:rsidRPr="00AF19F5" w:rsidRDefault="00CD0CCF" w:rsidP="004623DD">
      <w:r w:rsidRPr="00AF19F5">
        <w:rPr>
          <w:b/>
        </w:rPr>
        <w:t>Cilj i opis mjere</w:t>
      </w:r>
      <w:r w:rsidRPr="00AF19F5">
        <w:t xml:space="preserve">: Povećanje udjela poljoprivrednih </w:t>
      </w:r>
      <w:r w:rsidR="00543741">
        <w:t>površina</w:t>
      </w:r>
      <w:r w:rsidRPr="00AF19F5">
        <w:t xml:space="preserve"> pod navodnjavanjem i posljedično smanjenje procjeđivanja nitrata iz poljoprivrednih tala</w:t>
      </w:r>
      <w:r w:rsidR="00797786" w:rsidRPr="00AF19F5">
        <w:t>.</w:t>
      </w:r>
    </w:p>
    <w:p w14:paraId="0F0CC2F0" w14:textId="77777777" w:rsidR="00797786" w:rsidRPr="00AF19F5" w:rsidRDefault="00797786" w:rsidP="004623DD">
      <w:r w:rsidRPr="00AF19F5">
        <w:t>Poljoprivreda više negoli ijedna druga djelatnost vodu onečišćuje dušikom (nitratima), fosfatima i sredstvima za zaštitu bilja (pesticidima). Intenziviranje poljoprivrede dovelo je do intenziviranja agrokemijskog onečišćenja. Poljoprivreda prihvatljiva po okoliš po</w:t>
      </w:r>
      <w:r w:rsidR="00C25487" w:rsidRPr="00AF19F5">
        <w:t>d</w:t>
      </w:r>
      <w:r w:rsidRPr="00AF19F5">
        <w:t xml:space="preserve">razumijeva kontroliranu primjenu mineralnih gnojiva, kontroliranu odvodnju, ponovno korištenje drenirane vode te korištenje vode odgovarajuće kvalitete. </w:t>
      </w:r>
    </w:p>
    <w:p w14:paraId="779F325F" w14:textId="094B99B8" w:rsidR="00797786" w:rsidRPr="00AF19F5" w:rsidRDefault="00797786" w:rsidP="63259912">
      <w:pPr>
        <w:rPr>
          <w:color w:val="000000"/>
        </w:rPr>
      </w:pPr>
      <w:r w:rsidRPr="63259912">
        <w:t>Navodnjavanjem većim obrocima nego što je to potrebno može se utjecati na povećano ispiranje hraniva iz obradivog horizonta, posebice dušika u dublje horizonte, što rezultira potrebom za dodatnom gnojidbom a time i povećanom emisijom i povećanim troškovima. Drenaža ima funkciju odvodnje suvišne količine vode s</w:t>
      </w:r>
      <w:r w:rsidR="0028162D" w:rsidRPr="63259912">
        <w:t xml:space="preserve"> </w:t>
      </w:r>
      <w:r w:rsidR="00917423" w:rsidRPr="63259912">
        <w:t>poljoprivredne</w:t>
      </w:r>
      <w:r w:rsidRPr="63259912">
        <w:t xml:space="preserve"> površine, koja najčešće nastaje nakon obilne kiše. Također, promjena vodozračnih odnosa tla utječe i na aktivnost korisnih mikroorganizama</w:t>
      </w:r>
      <w:r w:rsidR="00677DA3" w:rsidRPr="63259912">
        <w:t>.</w:t>
      </w:r>
    </w:p>
    <w:p w14:paraId="315C67C4" w14:textId="77777777" w:rsidR="00797786" w:rsidRPr="0077259A" w:rsidRDefault="00797786" w:rsidP="004623DD">
      <w:pPr>
        <w:rPr>
          <w:rFonts w:cs="Calibri"/>
          <w:color w:val="000000"/>
        </w:rPr>
      </w:pPr>
      <w:r w:rsidRPr="00AF19F5">
        <w:t>Mikroorganizmi kod pravilnog navodnjavanja i odvodnje suvišne vode imaju pojačanu aktivnost koja smanjuje degradaciju tla, a time i gubitke CO</w:t>
      </w:r>
      <w:r w:rsidRPr="00465CEB">
        <w:rPr>
          <w:vertAlign w:val="subscript"/>
        </w:rPr>
        <w:t>2</w:t>
      </w:r>
      <w:r w:rsidRPr="00465CEB">
        <w:t>. Također je povećana aktivnost glista koje prenose ugljik u dublje slojeve gdje je dugotrajniji.</w:t>
      </w:r>
    </w:p>
    <w:p w14:paraId="41058A6B" w14:textId="4A734E22" w:rsidR="00797786" w:rsidRPr="00AF19F5" w:rsidRDefault="00797786" w:rsidP="004623DD">
      <w:r w:rsidRPr="00AF19F5">
        <w:t>U Hrvatskoj su izgrađeni sustavi površinske odvodnje na oko 1</w:t>
      </w:r>
      <w:r w:rsidR="00465CEB">
        <w:t>.</w:t>
      </w:r>
      <w:r w:rsidR="001F5984" w:rsidRPr="001F5984">
        <w:t xml:space="preserve"> 5</w:t>
      </w:r>
      <w:r w:rsidR="001F5984">
        <w:t>1</w:t>
      </w:r>
      <w:r w:rsidR="001F5984" w:rsidRPr="001F5984">
        <w:t>9</w:t>
      </w:r>
      <w:r w:rsidR="00465CEB">
        <w:t>.</w:t>
      </w:r>
      <w:r w:rsidRPr="00AF19F5">
        <w:t xml:space="preserve">000ha, a sustavi podzemne odvodnje na oko </w:t>
      </w:r>
      <w:r w:rsidR="00B4775C" w:rsidRPr="00AF19F5">
        <w:t>1</w:t>
      </w:r>
      <w:r w:rsidR="00B4775C">
        <w:t>66</w:t>
      </w:r>
      <w:r w:rsidR="00465CEB">
        <w:t>.</w:t>
      </w:r>
      <w:r w:rsidR="00DB05EC">
        <w:t>542</w:t>
      </w:r>
      <w:r w:rsidR="00DB05EC" w:rsidRPr="00AF19F5">
        <w:t xml:space="preserve"> </w:t>
      </w:r>
      <w:r w:rsidRPr="00AF19F5">
        <w:t>ha. Starost većeg djela sustava pri tome iznosi preko 25 godina.</w:t>
      </w:r>
    </w:p>
    <w:p w14:paraId="0C9BF7E7" w14:textId="2C555C4D" w:rsidR="00797786" w:rsidRPr="00AF19F5" w:rsidRDefault="00797786" w:rsidP="004623DD">
      <w:r w:rsidRPr="63259912">
        <w:t>Hidromelioracijski sustavi imaju veliku ulogu u održivom razvoju. Potrebno značajno poboljšati osobine postojećih hidromelioracijskih sustava. Ljudske intervencije u kontroli vode sadrže primjenu tehnologija i novo upravljanje za osiguranje odgovarajućih količina vode za biljke; sprječavanje prevlaživanja i zaslanjivanja tla; zaštita tla od poplavljivanja i maksim</w:t>
      </w:r>
      <w:r w:rsidR="00010DBB" w:rsidRPr="63259912">
        <w:t>izacija</w:t>
      </w:r>
      <w:r w:rsidRPr="63259912">
        <w:t xml:space="preserve"> dobiti </w:t>
      </w:r>
      <w:r w:rsidRPr="63259912">
        <w:lastRenderedPageBreak/>
        <w:t>korištenjem vode. Ove intervencije se ostvaruju u okviru ekonomskih, društvenih i okolišnih ograničenja.</w:t>
      </w:r>
    </w:p>
    <w:p w14:paraId="568201E7" w14:textId="77777777" w:rsidR="00797786" w:rsidRPr="00B47BDA" w:rsidRDefault="00797786" w:rsidP="004623DD">
      <w:pPr>
        <w:rPr>
          <w:lang w:eastAsia="hr-HR"/>
        </w:rPr>
      </w:pPr>
      <w:r w:rsidRPr="00AF19F5">
        <w:t>Hrvatska je u dobroj poziciji jer ima dovoljne količine vode, no u</w:t>
      </w:r>
      <w:r w:rsidR="00A23C89" w:rsidRPr="00AF19F5">
        <w:t>s</w:t>
      </w:r>
      <w:r w:rsidRPr="00AF19F5">
        <w:t>pješne tehnološke inovacije u sustavima odvodnje i navodnjavanja ovise u znatnoj mjeri o istraživačkim programima i</w:t>
      </w:r>
      <w:r w:rsidRPr="00B47BDA">
        <w:t xml:space="preserve"> obrazovanju kadra u sektoru. Glavni su ciljevi dakle rast poljoprivredne proizvodnje i održivost sustava.</w:t>
      </w:r>
      <w:r w:rsidR="00805CE6" w:rsidRPr="00B47BDA">
        <w:rPr>
          <w:lang w:eastAsia="hr-HR"/>
        </w:rPr>
        <w:t xml:space="preserve"> </w:t>
      </w:r>
    </w:p>
    <w:p w14:paraId="2EEFF07C" w14:textId="77777777" w:rsidR="00805CE6" w:rsidRPr="0077328B" w:rsidRDefault="00805CE6" w:rsidP="004623DD">
      <w:pPr>
        <w:rPr>
          <w:rFonts w:ascii="Times New Roman" w:hAnsi="Times New Roman"/>
          <w:b/>
          <w:bCs/>
        </w:rPr>
      </w:pPr>
      <w:r w:rsidRPr="0077328B">
        <w:rPr>
          <w:b/>
          <w:bCs/>
        </w:rPr>
        <w:t>Aktivnosti:</w:t>
      </w:r>
    </w:p>
    <w:p w14:paraId="45E9852F" w14:textId="67705985" w:rsidR="00805CE6" w:rsidRPr="00B47BDA" w:rsidRDefault="00805CE6" w:rsidP="00A563AA">
      <w:pPr>
        <w:pStyle w:val="ListParagraph"/>
        <w:numPr>
          <w:ilvl w:val="0"/>
          <w:numId w:val="105"/>
        </w:numPr>
      </w:pPr>
      <w:r w:rsidRPr="63259912">
        <w:t>Istraživački programi poboljšanja osobine postojećih hidromelioracijskih sustava</w:t>
      </w:r>
      <w:r w:rsidR="005A4368" w:rsidRPr="63259912">
        <w:rPr>
          <w:rFonts w:cs="Calibri"/>
        </w:rPr>
        <w:t>;</w:t>
      </w:r>
    </w:p>
    <w:p w14:paraId="2AA7487F" w14:textId="61B74B43" w:rsidR="00805CE6" w:rsidRPr="00B47BDA" w:rsidRDefault="00805CE6" w:rsidP="00A563AA">
      <w:pPr>
        <w:pStyle w:val="ListParagraph"/>
        <w:numPr>
          <w:ilvl w:val="0"/>
          <w:numId w:val="105"/>
        </w:numPr>
      </w:pPr>
      <w:r w:rsidRPr="00B47BDA">
        <w:t>Izgradnja sustava za navodnjavanje i obrazovanje kadra</w:t>
      </w:r>
      <w:r w:rsidR="001F4571" w:rsidRPr="00B47BDA">
        <w:rPr>
          <w:rFonts w:ascii="Arial" w:hAnsi="Arial" w:cs="Arial"/>
        </w:rPr>
        <w:t>.</w:t>
      </w:r>
    </w:p>
    <w:p w14:paraId="6E95039B" w14:textId="77777777" w:rsidR="00805CE6" w:rsidRPr="00B47BDA" w:rsidRDefault="00805CE6" w:rsidP="004623DD">
      <w:r w:rsidRPr="000A01FF">
        <w:rPr>
          <w:b/>
          <w:bCs/>
        </w:rPr>
        <w:t>Sredstva potrebna za provedbu:</w:t>
      </w:r>
      <w:r w:rsidRPr="00B47BDA">
        <w:t xml:space="preserve"> 15.000.000,00 EUR</w:t>
      </w:r>
    </w:p>
    <w:p w14:paraId="675BCB88" w14:textId="1E5CFCBB" w:rsidR="00805CE6" w:rsidRPr="00B47BDA" w:rsidRDefault="00805CE6" w:rsidP="004623DD">
      <w:pPr>
        <w:rPr>
          <w:b/>
          <w:i/>
        </w:rPr>
      </w:pPr>
      <w:r w:rsidRPr="00B47BDA">
        <w:rPr>
          <w:b/>
        </w:rPr>
        <w:t>Izvori financiranja:</w:t>
      </w:r>
      <w:r w:rsidRPr="00B47BDA">
        <w:rPr>
          <w:rFonts w:eastAsia="MS Mincho"/>
          <w:i/>
          <w:lang w:eastAsia="ja-JP"/>
        </w:rPr>
        <w:t xml:space="preserve"> </w:t>
      </w:r>
      <w:r w:rsidRPr="00B47BDA">
        <w:t>Državni proračun Republike Hrvatske</w:t>
      </w:r>
      <w:r w:rsidR="001F4571" w:rsidRPr="00B47BDA">
        <w:rPr>
          <w:rFonts w:ascii="Arial" w:hAnsi="Arial"/>
        </w:rPr>
        <w:t>.</w:t>
      </w:r>
    </w:p>
    <w:p w14:paraId="479BFC1E" w14:textId="7B7651CD" w:rsidR="00805CE6" w:rsidRPr="00B47BDA" w:rsidRDefault="00805CE6" w:rsidP="004623DD">
      <w:pPr>
        <w:rPr>
          <w:b/>
        </w:rPr>
      </w:pPr>
      <w:r w:rsidRPr="00B47BDA">
        <w:rPr>
          <w:b/>
        </w:rPr>
        <w:t xml:space="preserve">Izvršno tijelo: </w:t>
      </w:r>
      <w:r w:rsidR="00917C74">
        <w:t>Ministarstvo poljoprivrede</w:t>
      </w:r>
      <w:r w:rsidR="00917C74" w:rsidRPr="00AE6008">
        <w:rPr>
          <w:lang w:eastAsia="hr-HR"/>
        </w:rPr>
        <w:t>, šumarstva i ribarstva</w:t>
      </w:r>
      <w:r w:rsidR="00917C74">
        <w:t xml:space="preserve"> (MPS).</w:t>
      </w:r>
    </w:p>
    <w:p w14:paraId="6BEDE29A" w14:textId="61C2B9B5" w:rsidR="00805CE6" w:rsidRPr="00B47BDA" w:rsidRDefault="00805CE6" w:rsidP="63259912">
      <w:pPr>
        <w:rPr>
          <w:b/>
          <w:bCs/>
        </w:rPr>
      </w:pPr>
      <w:r w:rsidRPr="63259912">
        <w:rPr>
          <w:b/>
          <w:bCs/>
        </w:rPr>
        <w:t xml:space="preserve">Učinak: </w:t>
      </w:r>
      <w:r w:rsidRPr="63259912">
        <w:t>Smanjenje emisije (kt CO</w:t>
      </w:r>
      <w:r w:rsidRPr="63259912">
        <w:rPr>
          <w:vertAlign w:val="subscript"/>
        </w:rPr>
        <w:t>2</w:t>
      </w:r>
      <w:r w:rsidRPr="63259912">
        <w:t>), smanjeni gubici i optimiranje proizvodnje, veća konkurentnost, ekološka prihvatljivost uz smanjenje agrokemijskog onečišćenja, i održivo korištenje zemljišta, prilagodba klimatskim promjenama</w:t>
      </w:r>
      <w:r w:rsidR="001F4571" w:rsidRPr="63259912">
        <w:rPr>
          <w:rFonts w:cs="Calibri"/>
        </w:rPr>
        <w:t>.</w:t>
      </w:r>
    </w:p>
    <w:p w14:paraId="201B2BE7" w14:textId="2970E408" w:rsidR="00805CE6" w:rsidRDefault="00805CE6" w:rsidP="004623DD">
      <w:pPr>
        <w:rPr>
          <w:rFonts w:cs="Calibri"/>
        </w:rPr>
      </w:pPr>
      <w:r w:rsidRPr="00B47BDA">
        <w:rPr>
          <w:b/>
        </w:rPr>
        <w:t xml:space="preserve">Metoda praćenja: </w:t>
      </w:r>
      <w:r w:rsidRPr="00B47BDA">
        <w:t>Rezultati istraživačkih programa, rezultati edukacijskih programa, statistički podaci o poljoprivrednim površinama pod navodnjavanjem</w:t>
      </w:r>
      <w:r w:rsidR="001F4571" w:rsidRPr="0077259A">
        <w:rPr>
          <w:rFonts w:cs="Calibri"/>
        </w:rPr>
        <w:t>.</w:t>
      </w:r>
    </w:p>
    <w:p w14:paraId="18F09836" w14:textId="1C26D517" w:rsidR="00A960DF" w:rsidRPr="00A960DF" w:rsidRDefault="00A960DF" w:rsidP="004623DD">
      <w:pPr>
        <w:rPr>
          <w:lang w:eastAsia="hr-HR"/>
        </w:rPr>
      </w:pPr>
      <w:r w:rsidRPr="00B47BDA">
        <w:rPr>
          <w:b/>
          <w:lang w:eastAsia="hr-HR"/>
        </w:rPr>
        <w:t>Povezanost s drugim dimenzijama:</w:t>
      </w:r>
      <w:r w:rsidRPr="00B47BDA">
        <w:rPr>
          <w:lang w:eastAsia="hr-HR"/>
        </w:rPr>
        <w:t xml:space="preserve"> Istraživanje, inovacije i konkurentnost</w:t>
      </w:r>
      <w:r>
        <w:rPr>
          <w:lang w:eastAsia="hr-HR"/>
        </w:rPr>
        <w:t>.</w:t>
      </w:r>
    </w:p>
    <w:p w14:paraId="4B4D7111" w14:textId="77777777" w:rsidR="001353DB" w:rsidRDefault="001353DB" w:rsidP="71589035"/>
    <w:p w14:paraId="6A4958DA" w14:textId="7F9FBCDD" w:rsidR="00B928F1" w:rsidRPr="00AF19F5" w:rsidRDefault="00B928F1" w:rsidP="0077328B">
      <w:pPr>
        <w:pStyle w:val="Mjeranaslov"/>
        <w:rPr>
          <w:lang w:eastAsia="hr-HR"/>
        </w:rPr>
      </w:pPr>
      <w:r w:rsidRPr="00AF19F5">
        <w:rPr>
          <w:lang w:eastAsia="hr-HR"/>
        </w:rPr>
        <w:t>POLJ-</w:t>
      </w:r>
      <w:r w:rsidR="005B1E59">
        <w:rPr>
          <w:lang w:eastAsia="hr-HR"/>
        </w:rPr>
        <w:t>9</w:t>
      </w:r>
      <w:r w:rsidRPr="00AF19F5">
        <w:rPr>
          <w:lang w:eastAsia="hr-HR"/>
        </w:rPr>
        <w:t xml:space="preserve"> </w:t>
      </w:r>
      <w:r w:rsidR="00151387" w:rsidRPr="00AF19F5">
        <w:rPr>
          <w:lang w:eastAsia="hr-HR"/>
        </w:rPr>
        <w:t>Uvođenje novih kultivara, sorti i kultura</w:t>
      </w:r>
      <w:r w:rsidR="00151387" w:rsidRPr="00AF19F5" w:rsidDel="00151387">
        <w:rPr>
          <w:lang w:eastAsia="hr-HR"/>
        </w:rPr>
        <w:t xml:space="preserve"> </w:t>
      </w:r>
    </w:p>
    <w:p w14:paraId="1AE2965D" w14:textId="2E1D7581" w:rsidR="00B928F1" w:rsidRPr="00DD34A2" w:rsidRDefault="00805CE6" w:rsidP="004623DD">
      <w:pPr>
        <w:rPr>
          <w:rFonts w:cstheme="minorHAnsi"/>
          <w:color w:val="000000"/>
        </w:rPr>
      </w:pPr>
      <w:r w:rsidRPr="00CC3E46">
        <w:rPr>
          <w:rFonts w:cstheme="minorHAnsi"/>
        </w:rPr>
        <w:t xml:space="preserve">Informacijska, </w:t>
      </w:r>
      <w:r w:rsidR="00B928F1" w:rsidRPr="00CC3E46">
        <w:rPr>
          <w:rFonts w:cstheme="minorHAnsi"/>
        </w:rPr>
        <w:t>obrazo</w:t>
      </w:r>
      <w:r w:rsidR="00B928F1" w:rsidRPr="00DD34A2">
        <w:rPr>
          <w:rFonts w:cstheme="minorHAnsi"/>
          <w:color w:val="000000"/>
        </w:rPr>
        <w:t>vna mjera; provedba 202</w:t>
      </w:r>
      <w:r w:rsidR="005B1E59">
        <w:rPr>
          <w:rFonts w:cstheme="minorHAnsi"/>
          <w:color w:val="000000"/>
        </w:rPr>
        <w:t>4</w:t>
      </w:r>
      <w:r w:rsidR="00B928F1" w:rsidRPr="00DD34A2">
        <w:rPr>
          <w:rFonts w:cstheme="minorHAnsi"/>
          <w:color w:val="000000"/>
        </w:rPr>
        <w:t>.-</w:t>
      </w:r>
      <w:r w:rsidR="00E06C9E" w:rsidRPr="00DD34A2">
        <w:rPr>
          <w:rFonts w:cstheme="minorHAnsi"/>
          <w:color w:val="000000"/>
        </w:rPr>
        <w:t>2030</w:t>
      </w:r>
      <w:r w:rsidR="00B928F1" w:rsidRPr="00DD34A2">
        <w:rPr>
          <w:rFonts w:cstheme="minorHAnsi"/>
          <w:color w:val="000000"/>
        </w:rPr>
        <w:t>.</w:t>
      </w:r>
    </w:p>
    <w:p w14:paraId="01AF283C" w14:textId="15870929" w:rsidR="00B928F1" w:rsidRPr="006D0A3E" w:rsidRDefault="00B928F1" w:rsidP="004623DD">
      <w:pPr>
        <w:rPr>
          <w:rFonts w:cstheme="minorHAnsi"/>
          <w:b/>
        </w:rPr>
      </w:pPr>
      <w:r w:rsidRPr="006D0A3E">
        <w:rPr>
          <w:rFonts w:cstheme="minorHAnsi"/>
          <w:b/>
        </w:rPr>
        <w:t>Cilj i opis mjere</w:t>
      </w:r>
      <w:r w:rsidR="00507A1C" w:rsidRPr="006D0A3E">
        <w:rPr>
          <w:rFonts w:cstheme="minorHAnsi"/>
          <w:b/>
        </w:rPr>
        <w:t xml:space="preserve">: </w:t>
      </w:r>
      <w:r w:rsidR="004D0189" w:rsidRPr="006D0A3E">
        <w:rPr>
          <w:rFonts w:cstheme="minorHAnsi"/>
        </w:rPr>
        <w:t>Određivanje potencijala novih kultivara, sorti i kultura za povećanje sekvestracije ugljika u tlu</w:t>
      </w:r>
      <w:r w:rsidR="00B55F6D">
        <w:rPr>
          <w:rFonts w:cstheme="minorHAnsi"/>
        </w:rPr>
        <w:t>.</w:t>
      </w:r>
      <w:r w:rsidR="004D0189" w:rsidRPr="006D0A3E" w:rsidDel="004D0189">
        <w:rPr>
          <w:rFonts w:cstheme="minorHAnsi"/>
          <w:b/>
        </w:rPr>
        <w:t xml:space="preserve"> </w:t>
      </w:r>
    </w:p>
    <w:p w14:paraId="37A72CFC" w14:textId="77777777" w:rsidR="00E50B3A" w:rsidRPr="006D0A3E" w:rsidRDefault="00E50B3A" w:rsidP="63259912">
      <w:pPr>
        <w:rPr>
          <w:rFonts w:cstheme="minorBidi"/>
        </w:rPr>
      </w:pPr>
      <w:r w:rsidRPr="63259912">
        <w:rPr>
          <w:rFonts w:cstheme="minorBidi"/>
        </w:rPr>
        <w:t>Introdukcija novih kultivara, sorti i kultura načelno spada pod mjere hitne adaptacije (po UNDPu) – odnosno vremenski kritične mjere koje podrazumijevaju i implementaciju sustava kao obrambenu mjeru od utjecaja klimatskih promjena na proizvodnju hrane odnosno postizanja manjih emisija.</w:t>
      </w:r>
    </w:p>
    <w:p w14:paraId="23759951" w14:textId="77777777" w:rsidR="00E50B3A" w:rsidRPr="006D0A3E" w:rsidRDefault="00E50B3A" w:rsidP="63259912">
      <w:pPr>
        <w:rPr>
          <w:rFonts w:cstheme="minorBidi"/>
        </w:rPr>
      </w:pPr>
      <w:r w:rsidRPr="63259912">
        <w:rPr>
          <w:rFonts w:cstheme="minorBidi"/>
        </w:rPr>
        <w:t>U tom kontekstu, bitno je poticanje razvoja, edukacije i implementacije tehnologija na državnoj i regionalnoj razini, uključujući i i poticanje prelaska i adaptacije proizvođača (ali i potrošača, dakle cijelog proizvodnog lanca) na proizvodnju novih poljoprivrednih kultura, ili omogućavanjem i poticanjem primjene kultivara i sorti koji su otporniji na sušu ili bolesti, imaju manji ugljični otisak ili imaju drugi benefit.</w:t>
      </w:r>
    </w:p>
    <w:p w14:paraId="718773C4" w14:textId="3D8CECAE" w:rsidR="00E50B3A" w:rsidRPr="006D0A3E" w:rsidRDefault="00E50B3A" w:rsidP="63259912">
      <w:pPr>
        <w:rPr>
          <w:rFonts w:cstheme="minorBidi"/>
        </w:rPr>
      </w:pPr>
      <w:r w:rsidRPr="63259912">
        <w:rPr>
          <w:rFonts w:cstheme="minorBidi"/>
        </w:rPr>
        <w:t>Primjer moguće strategij</w:t>
      </w:r>
      <w:r w:rsidR="00055C8C" w:rsidRPr="63259912">
        <w:rPr>
          <w:rFonts w:cstheme="minorBidi"/>
        </w:rPr>
        <w:t>e</w:t>
      </w:r>
      <w:r w:rsidRPr="63259912">
        <w:rPr>
          <w:rFonts w:cstheme="minorBidi"/>
        </w:rPr>
        <w:t xml:space="preserve"> je i racionalnija proizvodnja i uporaba novih leguminoznih kultura kao odgovor na manjak proteina u hrani</w:t>
      </w:r>
      <w:r w:rsidR="00BC660C" w:rsidRPr="63259912">
        <w:rPr>
          <w:rFonts w:cstheme="minorBidi"/>
        </w:rPr>
        <w:t xml:space="preserve"> za životinje</w:t>
      </w:r>
      <w:r w:rsidRPr="63259912">
        <w:rPr>
          <w:rFonts w:cstheme="minorBidi"/>
        </w:rPr>
        <w:t>, potrebu za smanjenjem primjene mineralnih gnojiva te na opadanje plodnosti tla.</w:t>
      </w:r>
    </w:p>
    <w:p w14:paraId="74712102" w14:textId="77777777" w:rsidR="00E50B3A" w:rsidRPr="006D0A3E" w:rsidRDefault="00E50B3A" w:rsidP="63259912">
      <w:pPr>
        <w:rPr>
          <w:rFonts w:cstheme="minorBidi"/>
          <w:color w:val="000000"/>
        </w:rPr>
      </w:pPr>
      <w:r w:rsidRPr="63259912">
        <w:rPr>
          <w:rFonts w:cstheme="minorBidi"/>
        </w:rPr>
        <w:t>Leguminoze zbog znatnih količina proteina u svojim prirodima trebaju i veću količinu N, mogu veliki dio (ili kompletnu potrebu) tog hraniva osigurati iz atmosfere putem biološke fiksacije, pod uvje</w:t>
      </w:r>
      <w:r w:rsidRPr="63259912">
        <w:rPr>
          <w:rFonts w:cstheme="minorBidi"/>
          <w:color w:val="000000" w:themeColor="text1"/>
        </w:rPr>
        <w:t xml:space="preserve">tom da žive u simbiozi s efektivnim sojevima kvržičnih bakterija. Upravo iz navedenih </w:t>
      </w:r>
      <w:r w:rsidRPr="63259912">
        <w:rPr>
          <w:rFonts w:cstheme="minorBidi"/>
          <w:color w:val="000000" w:themeColor="text1"/>
        </w:rPr>
        <w:lastRenderedPageBreak/>
        <w:t>razloga u posljednje vrijeme se istražuju do sada malo proučene biljne vrste koje imaju sposobnost simbiotskog odnosa s kvržičnim bakterijama, kao što je Galega orientalis Lam., nova višegodišnja krmna leguminoza koja živi u efektivnoj simbiozi s Rhizobium galegae.</w:t>
      </w:r>
    </w:p>
    <w:p w14:paraId="330C3ED7" w14:textId="398D7E90" w:rsidR="004D0189" w:rsidRDefault="00E50B3A" w:rsidP="63259912">
      <w:pPr>
        <w:rPr>
          <w:rFonts w:cstheme="minorBidi"/>
          <w:lang w:eastAsia="hr-HR"/>
        </w:rPr>
      </w:pPr>
      <w:r w:rsidRPr="63259912">
        <w:rPr>
          <w:rFonts w:cstheme="minorBidi"/>
        </w:rPr>
        <w:t>Glavna prednost uzgoja Galega orientalis Lam. je gotovo isključivo korištenje simbiotski vezanog elementarnog dušika, a ne N iz mineralnih gnojiva ili malih doza «početnog» mineralnog N do 40 kg/ha. Galega kao nova leguminoza je interesantna zbog dugovječnosti (7-15 god), otpornosti (tip tla, suša, temperatura); jedna je od najranijih leguminoza, sadrži visokovrijedne proteine (1,5-2 t/ha); predstavlja izvrstan izbor hrane</w:t>
      </w:r>
      <w:r w:rsidR="00697350" w:rsidRPr="63259912">
        <w:rPr>
          <w:rFonts w:cstheme="minorBidi"/>
        </w:rPr>
        <w:t xml:space="preserve"> za životinje</w:t>
      </w:r>
      <w:r w:rsidRPr="63259912">
        <w:rPr>
          <w:rFonts w:cstheme="minorBidi"/>
        </w:rPr>
        <w:t xml:space="preserve"> (u zelenom obliku, peletiranom, sjeniranom ili silirana), prinos zrna 3-6 puta veći negoli u lucerne; cijena gnojidbe i sjemena je niska.</w:t>
      </w:r>
      <w:r w:rsidR="00805CE6" w:rsidRPr="63259912">
        <w:rPr>
          <w:rFonts w:cstheme="minorBidi"/>
          <w:lang w:eastAsia="hr-HR"/>
        </w:rPr>
        <w:t xml:space="preserve"> </w:t>
      </w:r>
    </w:p>
    <w:p w14:paraId="30FBCF27" w14:textId="39A45B14" w:rsidR="000D0D5E" w:rsidRPr="006D0A3E" w:rsidRDefault="006D7AA7" w:rsidP="004623DD">
      <w:pPr>
        <w:rPr>
          <w:rFonts w:cstheme="minorHAnsi"/>
        </w:rPr>
      </w:pPr>
      <w:r w:rsidRPr="006D7AA7">
        <w:rPr>
          <w:rFonts w:cstheme="minorHAnsi"/>
        </w:rPr>
        <w:t>Ova mjera povezana je sa Zajedničkom poljoprivrednom politikom (ZPP) i Strateškim planom u sklopu intervencije 77.03. - Potpora za EIP operativne skupine. U okviru intervencije financiraju se projekti suradnje, povezivanje istraživanja i ostalih stručnih znanja i poljoprivredne prakse.</w:t>
      </w:r>
    </w:p>
    <w:p w14:paraId="77D39458" w14:textId="77777777" w:rsidR="00805CE6" w:rsidRPr="006D0A3E" w:rsidRDefault="00805CE6" w:rsidP="004623DD">
      <w:pPr>
        <w:rPr>
          <w:rFonts w:cstheme="minorHAnsi"/>
          <w:b/>
          <w:bCs/>
        </w:rPr>
      </w:pPr>
      <w:r w:rsidRPr="006D0A3E">
        <w:rPr>
          <w:rFonts w:cstheme="minorHAnsi"/>
          <w:b/>
          <w:bCs/>
        </w:rPr>
        <w:t>Aktivnosti:</w:t>
      </w:r>
    </w:p>
    <w:p w14:paraId="394387EF" w14:textId="77777777" w:rsidR="009D21A4" w:rsidRPr="009D21A4" w:rsidRDefault="009D21A4" w:rsidP="009D21A4">
      <w:pPr>
        <w:numPr>
          <w:ilvl w:val="0"/>
          <w:numId w:val="106"/>
        </w:numPr>
        <w:tabs>
          <w:tab w:val="left" w:pos="431"/>
        </w:tabs>
        <w:rPr>
          <w:rFonts w:cs="Calibri"/>
          <w:lang w:eastAsia="ar-SA"/>
        </w:rPr>
      </w:pPr>
      <w:r w:rsidRPr="009D21A4">
        <w:rPr>
          <w:rFonts w:cs="Calibri"/>
          <w:lang w:eastAsia="ar-SA"/>
        </w:rPr>
        <w:t>Istraživački projekti primjene novih kultura otpornih na klimatske promjene.</w:t>
      </w:r>
    </w:p>
    <w:p w14:paraId="0C7EA948" w14:textId="19442F8D" w:rsidR="00805CE6" w:rsidRDefault="00805CE6" w:rsidP="004623DD">
      <w:pPr>
        <w:rPr>
          <w:rFonts w:cstheme="minorHAnsi"/>
        </w:rPr>
      </w:pPr>
      <w:r w:rsidRPr="006D0A3E">
        <w:rPr>
          <w:rFonts w:cstheme="minorHAnsi"/>
          <w:b/>
          <w:bCs/>
        </w:rPr>
        <w:t>Sredstva potrebna za provedbu:</w:t>
      </w:r>
      <w:r w:rsidRPr="006D0A3E">
        <w:rPr>
          <w:rFonts w:cstheme="minorHAnsi"/>
        </w:rPr>
        <w:t xml:space="preserve"> </w:t>
      </w:r>
    </w:p>
    <w:p w14:paraId="1AA474B7" w14:textId="77777777" w:rsidR="00636799" w:rsidRPr="00636799" w:rsidRDefault="00636799" w:rsidP="00636799">
      <w:pPr>
        <w:rPr>
          <w:lang w:eastAsia="hr-HR"/>
        </w:rPr>
      </w:pPr>
      <w:r w:rsidRPr="00636799">
        <w:t>U okviru Strateškog plana osigurana su sredstva za provedbu intervencije koja doprinosi navedenoj aktivnosti:</w:t>
      </w:r>
      <w:r w:rsidRPr="00636799">
        <w:rPr>
          <w:lang w:eastAsia="hr-HR"/>
        </w:rPr>
        <w:t xml:space="preserve"> </w:t>
      </w:r>
    </w:p>
    <w:p w14:paraId="6A28A3F2" w14:textId="1D972BE7" w:rsidR="009D21A4" w:rsidRPr="000F7881" w:rsidRDefault="00636799" w:rsidP="004623DD">
      <w:pPr>
        <w:numPr>
          <w:ilvl w:val="0"/>
          <w:numId w:val="156"/>
        </w:numPr>
        <w:tabs>
          <w:tab w:val="left" w:pos="431"/>
        </w:tabs>
        <w:rPr>
          <w:rFonts w:cs="Tahoma"/>
          <w:lang w:eastAsia="ar-SA"/>
        </w:rPr>
      </w:pPr>
      <w:r w:rsidRPr="00636799">
        <w:rPr>
          <w:rFonts w:cs="Tahoma"/>
          <w:lang w:eastAsia="ar-SA"/>
        </w:rPr>
        <w:t>77.03. - Potpora za EIP operativne skupine - 5.100.000,00 EUR</w:t>
      </w:r>
    </w:p>
    <w:p w14:paraId="7230F955" w14:textId="169E5EF4" w:rsidR="00805CE6" w:rsidRPr="006D0A3E" w:rsidRDefault="00805CE6" w:rsidP="004623DD">
      <w:pPr>
        <w:rPr>
          <w:rFonts w:cstheme="minorHAnsi"/>
          <w:b/>
          <w:i/>
        </w:rPr>
      </w:pPr>
      <w:r w:rsidRPr="006D0A3E">
        <w:rPr>
          <w:rFonts w:cstheme="minorHAnsi"/>
          <w:b/>
        </w:rPr>
        <w:t>Izvori financiranja:</w:t>
      </w:r>
      <w:r w:rsidRPr="006D0A3E">
        <w:rPr>
          <w:rFonts w:eastAsia="MS Mincho" w:cstheme="minorHAnsi"/>
          <w:i/>
          <w:lang w:eastAsia="ja-JP"/>
        </w:rPr>
        <w:t xml:space="preserve"> </w:t>
      </w:r>
      <w:r w:rsidRPr="006D0A3E">
        <w:rPr>
          <w:rFonts w:cstheme="minorHAnsi"/>
        </w:rPr>
        <w:t>Europski poljoprivredni fond za ruralni razvoj (EPFRR), Državni proračun Republike Hrvatske</w:t>
      </w:r>
      <w:r w:rsidR="001F4571" w:rsidRPr="006D0A3E">
        <w:rPr>
          <w:rFonts w:cstheme="minorHAnsi"/>
        </w:rPr>
        <w:t>.</w:t>
      </w:r>
    </w:p>
    <w:p w14:paraId="5BDA2B56" w14:textId="2D2590F6" w:rsidR="00805CE6" w:rsidRPr="006D0A3E" w:rsidRDefault="00805CE6" w:rsidP="004623DD">
      <w:pPr>
        <w:rPr>
          <w:rFonts w:cstheme="minorHAnsi"/>
          <w:b/>
        </w:rPr>
      </w:pPr>
      <w:r w:rsidRPr="006D0A3E">
        <w:rPr>
          <w:rFonts w:cstheme="minorHAnsi"/>
          <w:b/>
        </w:rPr>
        <w:t xml:space="preserve">Izvršno tijelo: </w:t>
      </w:r>
      <w:r w:rsidR="00917C74">
        <w:t>Ministarstvo poljoprivrede</w:t>
      </w:r>
      <w:r w:rsidR="00917C74" w:rsidRPr="00AE6008">
        <w:rPr>
          <w:lang w:eastAsia="hr-HR"/>
        </w:rPr>
        <w:t>, šumarstva i ribarstva</w:t>
      </w:r>
      <w:r w:rsidR="00917C74">
        <w:t xml:space="preserve"> (MPS).</w:t>
      </w:r>
    </w:p>
    <w:p w14:paraId="0D0C0614" w14:textId="5A4CC5EA" w:rsidR="00805CE6" w:rsidRPr="000F7881" w:rsidRDefault="00805CE6" w:rsidP="004623DD">
      <w:pPr>
        <w:rPr>
          <w:rFonts w:cs="Calibri"/>
        </w:rPr>
      </w:pPr>
      <w:r w:rsidRPr="006D0A3E">
        <w:rPr>
          <w:rFonts w:cstheme="minorHAnsi"/>
          <w:b/>
        </w:rPr>
        <w:t xml:space="preserve">Učinak: </w:t>
      </w:r>
      <w:r w:rsidR="00E312B9" w:rsidRPr="0001094D">
        <w:rPr>
          <w:rFonts w:cs="Calibri"/>
        </w:rPr>
        <w:t>Definiranje otpornih vrsta i sorti na klimatske promjene, veća proizvodnost, ekološka prihvatljivost i održivo korištenje zemljišta.</w:t>
      </w:r>
    </w:p>
    <w:p w14:paraId="2151D5A7" w14:textId="79692AEC" w:rsidR="00805CE6" w:rsidRPr="006D0A3E" w:rsidRDefault="00805CE6" w:rsidP="004623DD">
      <w:pPr>
        <w:rPr>
          <w:rFonts w:cstheme="minorHAnsi"/>
          <w:b/>
        </w:rPr>
      </w:pPr>
      <w:r w:rsidRPr="006D0A3E">
        <w:rPr>
          <w:rFonts w:cstheme="minorHAnsi"/>
          <w:b/>
        </w:rPr>
        <w:t xml:space="preserve">Metoda praćenja: </w:t>
      </w:r>
      <w:r w:rsidR="00E312B9" w:rsidRPr="0001094D">
        <w:rPr>
          <w:rFonts w:cs="Calibri"/>
        </w:rPr>
        <w:t>Rezultati istraživačkih projekata operativnih skupina i kontrola provedbe intervencije od strane Agencije za plaćanja u poljoprivredi, ribarstvu i ruralnom razvoju.</w:t>
      </w:r>
    </w:p>
    <w:p w14:paraId="5B7E3DD6" w14:textId="6813CED7" w:rsidR="00805CE6" w:rsidRPr="006D0A3E" w:rsidRDefault="00805CE6" w:rsidP="004623DD">
      <w:pPr>
        <w:rPr>
          <w:rFonts w:cstheme="minorHAnsi"/>
          <w:b/>
        </w:rPr>
      </w:pPr>
      <w:r w:rsidRPr="006D0A3E">
        <w:rPr>
          <w:rFonts w:cstheme="minorHAnsi"/>
          <w:b/>
        </w:rPr>
        <w:t xml:space="preserve">Povezanost s drugim dimenzijama: </w:t>
      </w:r>
      <w:r w:rsidRPr="006D0A3E">
        <w:rPr>
          <w:rFonts w:cstheme="minorHAnsi"/>
        </w:rPr>
        <w:t>Istraživanje, inovacije i konkurentnost</w:t>
      </w:r>
      <w:r w:rsidR="001F4571" w:rsidRPr="006D0A3E">
        <w:rPr>
          <w:rFonts w:cstheme="minorHAnsi"/>
        </w:rPr>
        <w:t>.</w:t>
      </w:r>
    </w:p>
    <w:p w14:paraId="2325AAD0" w14:textId="3CF60C65" w:rsidR="00EA790A" w:rsidRDefault="00805CE6" w:rsidP="00402305">
      <w:pPr>
        <w:rPr>
          <w:rFonts w:cstheme="minorHAnsi"/>
        </w:rPr>
      </w:pPr>
      <w:r w:rsidRPr="006D0A3E">
        <w:rPr>
          <w:rFonts w:cstheme="minorHAnsi"/>
          <w:b/>
        </w:rPr>
        <w:t>Istraživanje i razvoj:</w:t>
      </w:r>
      <w:r w:rsidRPr="006D0A3E">
        <w:rPr>
          <w:rFonts w:eastAsia="MS Mincho" w:cstheme="minorHAnsi"/>
          <w:i/>
          <w:lang w:eastAsia="ja-JP"/>
        </w:rPr>
        <w:t xml:space="preserve"> </w:t>
      </w:r>
      <w:r w:rsidRPr="006D0A3E">
        <w:rPr>
          <w:rFonts w:cstheme="minorHAnsi"/>
        </w:rPr>
        <w:t>Za procjenu potencijalnog smanjenja emisije potrebna su sustavna istraživanja</w:t>
      </w:r>
      <w:r w:rsidR="001F4571" w:rsidRPr="006D0A3E">
        <w:rPr>
          <w:rFonts w:cstheme="minorHAnsi"/>
        </w:rPr>
        <w:t>.</w:t>
      </w:r>
    </w:p>
    <w:p w14:paraId="43D98EEA" w14:textId="77777777" w:rsidR="007D02B0" w:rsidRDefault="007D02B0" w:rsidP="00402305">
      <w:pPr>
        <w:rPr>
          <w:rFonts w:cstheme="minorHAnsi"/>
        </w:rPr>
      </w:pPr>
    </w:p>
    <w:p w14:paraId="77B25860" w14:textId="77777777" w:rsidR="00BA1DC9" w:rsidRPr="00B47BDA" w:rsidRDefault="00E6316B" w:rsidP="00BF31AD">
      <w:pPr>
        <w:shd w:val="clear" w:color="auto" w:fill="D9E2F3" w:themeFill="accent5" w:themeFillTint="33"/>
        <w:rPr>
          <w:lang w:eastAsia="hr-HR"/>
        </w:rPr>
      </w:pPr>
      <w:r w:rsidRPr="00BF31AD">
        <w:rPr>
          <w:lang w:eastAsia="hr-HR"/>
        </w:rPr>
        <w:t>U nastavku su prikazane mjere vezane za sektor korištenja zemljišta, prenamjene zemljišta i šumarstvo (LULUCF).</w:t>
      </w:r>
      <w:r w:rsidR="00BA1DC9" w:rsidRPr="00B47BDA">
        <w:rPr>
          <w:lang w:eastAsia="hr-HR"/>
        </w:rPr>
        <w:t xml:space="preserve"> </w:t>
      </w:r>
    </w:p>
    <w:p w14:paraId="0FF56353" w14:textId="36F4A69C" w:rsidR="00BA1DC9" w:rsidRPr="00B47BDA" w:rsidRDefault="00BA1DC9" w:rsidP="63259912">
      <w:pPr>
        <w:rPr>
          <w:lang w:eastAsia="hr-HR"/>
        </w:rPr>
      </w:pPr>
      <w:r w:rsidRPr="63259912">
        <w:rPr>
          <w:lang w:eastAsia="hr-HR"/>
        </w:rPr>
        <w:t xml:space="preserve">Sektorom LULUCF ostvaruju se uklanjanja ponorima, najviše u drvnoj masi šuma. Prate se promjene u šest kategorija prema metodologiji Međunarodnog tijela za klimatske promjene (IPCC): šumsko zemljište, zemljište usjeva/nasada, travnjaci, močvarno zemljište, naseljena područja i ostalo zemljište. Promatraju se pohraništa ugljika: nadzemna biomasa, podzemna biomasa, listinac (O horizont tla), mrtvo drvo, tlo i drvni proizvodi. Premda su zalihe ugljika u tlu na razini onih u živoj biomasi, praćenje promjena zalihe ugljika u tlu u kategorijama </w:t>
      </w:r>
      <w:r w:rsidRPr="63259912">
        <w:rPr>
          <w:lang w:eastAsia="hr-HR"/>
        </w:rPr>
        <w:lastRenderedPageBreak/>
        <w:t>zemljišta bez prenamjene (najveće površine pojedine kategorije zemljišta) nije moguće jer ne postoje dostatni podaci. U kategorijama zemljišta usjeva/nasada i travnjaka (tzv. poljoprivredne kategorije zemljišta), najveći doprinos uklanjanju ugljika iz atmosfere moguće je ostvariti provedbom praksi gospodarenja kojima se povećava zaliha ugljika prvenstveno u pohraništu tla (mjere ugljične poljoprivrede).Tek uspostavom cjelovitog sustava praćenja i izvještavanja bit će moguće pratiti stvarne doprinose pojedinih mjera u pohraništu tla na poljoprivrednim kategorijama zemljišta na razini države.</w:t>
      </w:r>
    </w:p>
    <w:p w14:paraId="53F011C9" w14:textId="2F034E0F" w:rsidR="00BA1DC9" w:rsidRPr="00B47BDA" w:rsidRDefault="00BA1DC9" w:rsidP="004623DD">
      <w:pPr>
        <w:rPr>
          <w:lang w:eastAsia="hr-HR"/>
        </w:rPr>
      </w:pPr>
      <w:r w:rsidRPr="00B47BDA">
        <w:rPr>
          <w:lang w:eastAsia="hr-HR"/>
        </w:rPr>
        <w:t>LULUCF sektor postaje presudan za tranziciju prema klimatski neutralnom gospodarstvu jer emisije stakleničkih plinova iz drugih IPCC sektora neće biti moguće smanjiti na nulu provedbom definiranih mjera. Ostatak koji nije moguće više smanjivati pokrit će se uklanjanjem ponorima (sekvestracija ugljika). Mjere u LULUCF sektoru treba pažljivo birati jer su utjecajni čimbenici mnogobrojni. Održivim gospodarenjem šumom, gospodarenjem poljoprivrednim zemljištem na način da ono doprinosi akumulaciji ugljika (ugljična poljoprivreda), održivim gospodarenjem pašnjacima ostvaruju se višestruke koristi. Doprinosi se bioraznolikost</w:t>
      </w:r>
      <w:r w:rsidR="00CB6BD8">
        <w:rPr>
          <w:lang w:eastAsia="hr-HR"/>
        </w:rPr>
        <w:t>i</w:t>
      </w:r>
      <w:r w:rsidRPr="00B47BDA">
        <w:rPr>
          <w:lang w:eastAsia="hr-HR"/>
        </w:rPr>
        <w:t xml:space="preserve">, povećava se otpornost i produktivnost tla, otpornost na klimatske promjene, sprječava </w:t>
      </w:r>
      <w:r w:rsidR="005162C6">
        <w:rPr>
          <w:lang w:eastAsia="hr-HR"/>
        </w:rPr>
        <w:t xml:space="preserve">se </w:t>
      </w:r>
      <w:r w:rsidR="005A4368">
        <w:rPr>
          <w:lang w:eastAsia="hr-HR"/>
        </w:rPr>
        <w:t>i</w:t>
      </w:r>
      <w:r w:rsidRPr="00B47BDA">
        <w:rPr>
          <w:lang w:eastAsia="hr-HR"/>
        </w:rPr>
        <w:t xml:space="preserve">sušivanje tla i erozija, osiguravaju </w:t>
      </w:r>
      <w:r w:rsidR="00A55E8B">
        <w:rPr>
          <w:lang w:eastAsia="hr-HR"/>
        </w:rPr>
        <w:t xml:space="preserve">se </w:t>
      </w:r>
      <w:r w:rsidRPr="00B47BDA">
        <w:rPr>
          <w:lang w:eastAsia="hr-HR"/>
        </w:rPr>
        <w:t xml:space="preserve">uvjeti za trajnu produktivnost u proizvodnji hrane i korištenje biomase. </w:t>
      </w:r>
    </w:p>
    <w:p w14:paraId="3BE7336C" w14:textId="2CD65810" w:rsidR="00BA1DC9" w:rsidRPr="00B47BDA" w:rsidRDefault="00BA1DC9" w:rsidP="004623DD">
      <w:pPr>
        <w:rPr>
          <w:highlight w:val="yellow"/>
          <w:lang w:eastAsia="hr-HR"/>
        </w:rPr>
      </w:pPr>
      <w:r w:rsidRPr="00B47BDA">
        <w:rPr>
          <w:lang w:eastAsia="hr-HR"/>
        </w:rPr>
        <w:t xml:space="preserve">Na razini </w:t>
      </w:r>
      <w:r w:rsidR="00D22665">
        <w:rPr>
          <w:lang w:eastAsia="hr-HR"/>
        </w:rPr>
        <w:t xml:space="preserve">Europske unije, </w:t>
      </w:r>
      <w:r w:rsidRPr="00B47BDA">
        <w:rPr>
          <w:lang w:eastAsia="hr-HR"/>
        </w:rPr>
        <w:t xml:space="preserve">za postizanje ciljeva o smanjenju emisija u LULUCF sektoru relevantan je velik broj </w:t>
      </w:r>
      <w:r w:rsidR="002B7F7F">
        <w:rPr>
          <w:lang w:eastAsia="hr-HR"/>
        </w:rPr>
        <w:t xml:space="preserve">dokumenata </w:t>
      </w:r>
      <w:r w:rsidR="002E68BF">
        <w:rPr>
          <w:lang w:eastAsia="hr-HR"/>
        </w:rPr>
        <w:t>vezan</w:t>
      </w:r>
      <w:r w:rsidR="00D22665">
        <w:rPr>
          <w:lang w:eastAsia="hr-HR"/>
        </w:rPr>
        <w:t>o</w:t>
      </w:r>
      <w:r w:rsidR="002E68BF">
        <w:rPr>
          <w:lang w:eastAsia="hr-HR"/>
        </w:rPr>
        <w:t xml:space="preserve"> uz upravljanje klimatskim promjenama, </w:t>
      </w:r>
      <w:r w:rsidR="00D22665">
        <w:rPr>
          <w:lang w:eastAsia="hr-HR"/>
        </w:rPr>
        <w:t xml:space="preserve">smanjenje emisija stakleničkih plinova, </w:t>
      </w:r>
      <w:r w:rsidR="002E68BF">
        <w:rPr>
          <w:lang w:eastAsia="hr-HR"/>
        </w:rPr>
        <w:t>upravljanje šumama i tlom,</w:t>
      </w:r>
      <w:r w:rsidR="002B7F7F">
        <w:rPr>
          <w:lang w:eastAsia="hr-HR"/>
        </w:rPr>
        <w:t xml:space="preserve"> </w:t>
      </w:r>
      <w:r w:rsidR="0045477A">
        <w:rPr>
          <w:lang w:eastAsia="hr-HR"/>
        </w:rPr>
        <w:t>bio</w:t>
      </w:r>
      <w:r w:rsidR="002B7F7F">
        <w:rPr>
          <w:lang w:eastAsia="hr-HR"/>
        </w:rPr>
        <w:t xml:space="preserve">raznolikost, kružno gospodarstvo, obnovu prirode i dr. od kojih </w:t>
      </w:r>
      <w:r w:rsidR="00D86033">
        <w:rPr>
          <w:lang w:eastAsia="hr-HR"/>
        </w:rPr>
        <w:t>je</w:t>
      </w:r>
      <w:r w:rsidR="002B7F7F">
        <w:rPr>
          <w:lang w:eastAsia="hr-HR"/>
        </w:rPr>
        <w:t xml:space="preserve"> najvažnij</w:t>
      </w:r>
      <w:r w:rsidR="00D86033">
        <w:rPr>
          <w:lang w:eastAsia="hr-HR"/>
        </w:rPr>
        <w:t>a</w:t>
      </w:r>
      <w:r w:rsidR="002B7F7F">
        <w:rPr>
          <w:lang w:eastAsia="hr-HR"/>
        </w:rPr>
        <w:t xml:space="preserve"> Uredba LULUCF</w:t>
      </w:r>
      <w:r w:rsidR="004403DD">
        <w:rPr>
          <w:lang w:eastAsia="hr-HR"/>
        </w:rPr>
        <w:t>.</w:t>
      </w:r>
      <w:r w:rsidRPr="00B47BDA">
        <w:rPr>
          <w:lang w:eastAsia="hr-HR"/>
        </w:rPr>
        <w:t xml:space="preserve"> </w:t>
      </w:r>
    </w:p>
    <w:p w14:paraId="2FAC8330" w14:textId="269BA6BB" w:rsidR="00BA1DC9" w:rsidRDefault="6C902C82" w:rsidP="63259912">
      <w:pPr>
        <w:rPr>
          <w:lang w:eastAsia="hr-HR"/>
        </w:rPr>
      </w:pPr>
      <w:r w:rsidRPr="63259912">
        <w:rPr>
          <w:lang w:eastAsia="hr-HR"/>
        </w:rPr>
        <w:t xml:space="preserve">Uredba </w:t>
      </w:r>
      <w:r w:rsidR="007D0B0E" w:rsidRPr="63259912">
        <w:rPr>
          <w:lang w:eastAsia="hr-HR"/>
        </w:rPr>
        <w:t xml:space="preserve">LULUCF </w:t>
      </w:r>
      <w:r w:rsidRPr="63259912">
        <w:rPr>
          <w:lang w:eastAsia="hr-HR"/>
        </w:rPr>
        <w:t xml:space="preserve">koja </w:t>
      </w:r>
      <w:r w:rsidR="0FB86584" w:rsidRPr="63259912">
        <w:rPr>
          <w:lang w:eastAsia="hr-HR"/>
        </w:rPr>
        <w:t xml:space="preserve">je </w:t>
      </w:r>
      <w:r w:rsidRPr="63259912">
        <w:rPr>
          <w:lang w:eastAsia="hr-HR"/>
        </w:rPr>
        <w:t xml:space="preserve">stupila na snagu 2018. godine imala je </w:t>
      </w:r>
      <w:r w:rsidR="0FB86584" w:rsidRPr="63259912">
        <w:rPr>
          <w:lang w:eastAsia="hr-HR"/>
        </w:rPr>
        <w:t xml:space="preserve">za </w:t>
      </w:r>
      <w:r w:rsidRPr="63259912">
        <w:rPr>
          <w:lang w:eastAsia="hr-HR"/>
        </w:rPr>
        <w:t>cilj poveća</w:t>
      </w:r>
      <w:r w:rsidR="0FB86584" w:rsidRPr="63259912">
        <w:rPr>
          <w:lang w:eastAsia="hr-HR"/>
        </w:rPr>
        <w:t>ti</w:t>
      </w:r>
      <w:r w:rsidRPr="63259912">
        <w:rPr>
          <w:lang w:eastAsia="hr-HR"/>
        </w:rPr>
        <w:t xml:space="preserve"> uklanjanja ponorima i smanji</w:t>
      </w:r>
      <w:r w:rsidR="0FB86584" w:rsidRPr="63259912">
        <w:rPr>
          <w:lang w:eastAsia="hr-HR"/>
        </w:rPr>
        <w:t>ti</w:t>
      </w:r>
      <w:r w:rsidRPr="63259912">
        <w:rPr>
          <w:lang w:eastAsia="hr-HR"/>
        </w:rPr>
        <w:t xml:space="preserve"> emisije stakleničkih plinova u LULUCF sektoru. Kada je donesena</w:t>
      </w:r>
      <w:r w:rsidR="2C61F0FD" w:rsidRPr="63259912">
        <w:rPr>
          <w:lang w:eastAsia="hr-HR"/>
        </w:rPr>
        <w:t>,</w:t>
      </w:r>
      <w:r w:rsidRPr="63259912">
        <w:rPr>
          <w:lang w:eastAsia="hr-HR"/>
        </w:rPr>
        <w:t xml:space="preserve"> nije postavljala kvantitativne ciljeve, postavila je pravilo 'bez neto emisije', što znači da emisije i ponori u obračunskim kategorijama zemljišta LULUCF-a trebaju biti u ravnoteži. Revizija uredbe iz 2018. </w:t>
      </w:r>
      <w:r w:rsidR="3F5F6833" w:rsidRPr="63259912">
        <w:rPr>
          <w:lang w:eastAsia="hr-HR"/>
        </w:rPr>
        <w:t>s</w:t>
      </w:r>
      <w:r w:rsidR="43555976" w:rsidRPr="63259912">
        <w:rPr>
          <w:lang w:eastAsia="hr-HR"/>
        </w:rPr>
        <w:t>t</w:t>
      </w:r>
      <w:r w:rsidR="56B0797B" w:rsidRPr="63259912">
        <w:rPr>
          <w:lang w:eastAsia="hr-HR"/>
        </w:rPr>
        <w:t>u</w:t>
      </w:r>
      <w:r w:rsidR="43555976" w:rsidRPr="63259912">
        <w:rPr>
          <w:lang w:eastAsia="hr-HR"/>
        </w:rPr>
        <w:t>p</w:t>
      </w:r>
      <w:r w:rsidR="3F2B5601" w:rsidRPr="63259912">
        <w:rPr>
          <w:lang w:eastAsia="hr-HR"/>
        </w:rPr>
        <w:t xml:space="preserve">ila je </w:t>
      </w:r>
      <w:r w:rsidRPr="63259912">
        <w:rPr>
          <w:lang w:eastAsia="hr-HR"/>
        </w:rPr>
        <w:t xml:space="preserve">na snagu </w:t>
      </w:r>
      <w:r w:rsidR="1FE04DDC" w:rsidRPr="63259912">
        <w:rPr>
          <w:lang w:eastAsia="hr-HR"/>
        </w:rPr>
        <w:t xml:space="preserve">u svibnju </w:t>
      </w:r>
      <w:r w:rsidRPr="63259912">
        <w:rPr>
          <w:lang w:eastAsia="hr-HR"/>
        </w:rPr>
        <w:t>2023.</w:t>
      </w:r>
      <w:r w:rsidR="2C61F0FD" w:rsidRPr="63259912">
        <w:rPr>
          <w:lang w:eastAsia="hr-HR"/>
        </w:rPr>
        <w:t xml:space="preserve"> </w:t>
      </w:r>
      <w:r w:rsidR="5474A653" w:rsidRPr="63259912">
        <w:rPr>
          <w:lang w:eastAsia="hr-HR"/>
        </w:rPr>
        <w:t xml:space="preserve">i </w:t>
      </w:r>
      <w:r w:rsidR="43555976" w:rsidRPr="63259912">
        <w:rPr>
          <w:lang w:eastAsia="hr-HR"/>
        </w:rPr>
        <w:t>postav</w:t>
      </w:r>
      <w:r w:rsidR="1FF5E49D" w:rsidRPr="63259912">
        <w:rPr>
          <w:lang w:eastAsia="hr-HR"/>
        </w:rPr>
        <w:t>il</w:t>
      </w:r>
      <w:r w:rsidR="43555976" w:rsidRPr="63259912">
        <w:rPr>
          <w:lang w:eastAsia="hr-HR"/>
        </w:rPr>
        <w:t>a</w:t>
      </w:r>
      <w:r w:rsidRPr="63259912">
        <w:rPr>
          <w:lang w:eastAsia="hr-HR"/>
        </w:rPr>
        <w:t xml:space="preserve"> novi cilj </w:t>
      </w:r>
      <w:r w:rsidR="546C1EED" w:rsidRPr="63259912">
        <w:rPr>
          <w:lang w:eastAsia="hr-HR"/>
        </w:rPr>
        <w:t xml:space="preserve">osiguranja </w:t>
      </w:r>
      <w:r w:rsidRPr="63259912">
        <w:rPr>
          <w:lang w:eastAsia="hr-HR"/>
        </w:rPr>
        <w:t>ponora od -</w:t>
      </w:r>
      <w:r w:rsidR="002D3DC6" w:rsidRPr="63259912">
        <w:rPr>
          <w:lang w:eastAsia="hr-HR"/>
        </w:rPr>
        <w:t> </w:t>
      </w:r>
      <w:r w:rsidRPr="63259912">
        <w:rPr>
          <w:lang w:eastAsia="hr-HR"/>
        </w:rPr>
        <w:t>310 milijuna tCO</w:t>
      </w:r>
      <w:r w:rsidRPr="63259912">
        <w:rPr>
          <w:vertAlign w:val="subscript"/>
          <w:lang w:eastAsia="hr-HR"/>
        </w:rPr>
        <w:t>2</w:t>
      </w:r>
      <w:r w:rsidRPr="63259912">
        <w:rPr>
          <w:lang w:eastAsia="hr-HR"/>
        </w:rPr>
        <w:t>eq u 2030. godini na razini EU</w:t>
      </w:r>
      <w:r w:rsidR="43555976" w:rsidRPr="63259912">
        <w:rPr>
          <w:lang w:eastAsia="hr-HR"/>
        </w:rPr>
        <w:t xml:space="preserve"> </w:t>
      </w:r>
      <w:r w:rsidR="17945BD0" w:rsidRPr="63259912">
        <w:rPr>
          <w:lang w:eastAsia="hr-HR"/>
        </w:rPr>
        <w:t>kao</w:t>
      </w:r>
      <w:r w:rsidRPr="63259912">
        <w:rPr>
          <w:lang w:eastAsia="hr-HR"/>
        </w:rPr>
        <w:t xml:space="preserve"> i ciljeve </w:t>
      </w:r>
      <w:r w:rsidR="579834D4" w:rsidRPr="63259912">
        <w:rPr>
          <w:lang w:eastAsia="hr-HR"/>
        </w:rPr>
        <w:t>neto</w:t>
      </w:r>
      <w:r w:rsidRPr="63259912">
        <w:rPr>
          <w:lang w:eastAsia="hr-HR"/>
        </w:rPr>
        <w:t xml:space="preserve"> uklanjanj</w:t>
      </w:r>
      <w:r w:rsidR="55769B5F" w:rsidRPr="63259912">
        <w:rPr>
          <w:lang w:eastAsia="hr-HR"/>
        </w:rPr>
        <w:t>a</w:t>
      </w:r>
      <w:r w:rsidRPr="63259912">
        <w:rPr>
          <w:lang w:eastAsia="hr-HR"/>
        </w:rPr>
        <w:t xml:space="preserve"> za države članice od 2026. do 2030. godine</w:t>
      </w:r>
      <w:r w:rsidR="4722F715" w:rsidRPr="63259912">
        <w:rPr>
          <w:lang w:eastAsia="hr-HR"/>
        </w:rPr>
        <w:t xml:space="preserve">. </w:t>
      </w:r>
      <w:r w:rsidR="6FD427CC" w:rsidRPr="63259912">
        <w:rPr>
          <w:lang w:eastAsia="hr-HR"/>
        </w:rPr>
        <w:t>Z</w:t>
      </w:r>
      <w:r w:rsidRPr="63259912">
        <w:rPr>
          <w:lang w:eastAsia="hr-HR"/>
        </w:rPr>
        <w:t xml:space="preserve">a Republiku Hrvatsku </w:t>
      </w:r>
      <w:r w:rsidR="74E94425" w:rsidRPr="63259912">
        <w:rPr>
          <w:lang w:eastAsia="hr-HR"/>
        </w:rPr>
        <w:t xml:space="preserve">je tako </w:t>
      </w:r>
      <w:r w:rsidR="2E6E7D59" w:rsidRPr="63259912">
        <w:rPr>
          <w:lang w:eastAsia="hr-HR"/>
        </w:rPr>
        <w:t xml:space="preserve">određena </w:t>
      </w:r>
      <w:r w:rsidR="62A91F66" w:rsidRPr="63259912">
        <w:rPr>
          <w:lang w:eastAsia="hr-HR"/>
        </w:rPr>
        <w:t>cilj</w:t>
      </w:r>
      <w:r w:rsidR="2E6E7D59" w:rsidRPr="63259912">
        <w:rPr>
          <w:lang w:eastAsia="hr-HR"/>
        </w:rPr>
        <w:t>na vrijednost neto uklanjanja stakleničkih plinova u 2030</w:t>
      </w:r>
      <w:r w:rsidR="4225F082" w:rsidRPr="63259912">
        <w:rPr>
          <w:lang w:eastAsia="hr-HR"/>
        </w:rPr>
        <w:t>.</w:t>
      </w:r>
      <w:r w:rsidR="2E6E7D59" w:rsidRPr="63259912">
        <w:rPr>
          <w:lang w:eastAsia="hr-HR"/>
        </w:rPr>
        <w:t xml:space="preserve"> </w:t>
      </w:r>
      <w:r w:rsidR="5D6DE8AD" w:rsidRPr="63259912">
        <w:rPr>
          <w:lang w:eastAsia="hr-HR"/>
        </w:rPr>
        <w:t xml:space="preserve">od </w:t>
      </w:r>
      <w:r w:rsidR="2E6E7D59" w:rsidRPr="63259912">
        <w:rPr>
          <w:lang w:eastAsia="hr-HR"/>
        </w:rPr>
        <w:t>–5</w:t>
      </w:r>
      <w:r w:rsidR="007D02B0" w:rsidRPr="63259912">
        <w:rPr>
          <w:lang w:eastAsia="hr-HR"/>
        </w:rPr>
        <w:t>.</w:t>
      </w:r>
      <w:r w:rsidR="2E6E7D59" w:rsidRPr="63259912">
        <w:rPr>
          <w:lang w:eastAsia="hr-HR"/>
        </w:rPr>
        <w:t>527</w:t>
      </w:r>
      <w:r w:rsidR="23C0B142" w:rsidRPr="63259912">
        <w:rPr>
          <w:lang w:eastAsia="hr-HR"/>
        </w:rPr>
        <w:t xml:space="preserve"> kt CO</w:t>
      </w:r>
      <w:r w:rsidR="23C0B142" w:rsidRPr="63259912">
        <w:rPr>
          <w:vertAlign w:val="subscript"/>
          <w:lang w:eastAsia="hr-HR"/>
        </w:rPr>
        <w:t>2</w:t>
      </w:r>
      <w:r w:rsidR="23C0B142" w:rsidRPr="63259912">
        <w:rPr>
          <w:lang w:eastAsia="hr-HR"/>
        </w:rPr>
        <w:t>eq</w:t>
      </w:r>
      <w:r w:rsidR="009163A5" w:rsidRPr="63259912">
        <w:rPr>
          <w:lang w:eastAsia="hr-HR"/>
        </w:rPr>
        <w:t>.</w:t>
      </w:r>
      <w:r w:rsidR="003275A1" w:rsidRPr="63259912">
        <w:rPr>
          <w:lang w:eastAsia="hr-HR"/>
        </w:rPr>
        <w:t xml:space="preserve"> </w:t>
      </w:r>
      <w:r w:rsidR="638D3216" w:rsidRPr="63259912">
        <w:rPr>
          <w:lang w:eastAsia="hr-HR"/>
        </w:rPr>
        <w:t>Također se</w:t>
      </w:r>
      <w:r w:rsidRPr="63259912">
        <w:rPr>
          <w:lang w:eastAsia="hr-HR"/>
        </w:rPr>
        <w:t xml:space="preserve"> postavlja i obvezujuća trajektorija smanjenja od 2026. do 2030. godine. </w:t>
      </w:r>
    </w:p>
    <w:p w14:paraId="1C2A9114" w14:textId="6521D959" w:rsidR="005018D0" w:rsidRPr="00B47BDA" w:rsidRDefault="005F4168" w:rsidP="63259912">
      <w:pPr>
        <w:rPr>
          <w:highlight w:val="yellow"/>
          <w:lang w:eastAsia="hr-HR"/>
        </w:rPr>
      </w:pPr>
      <w:r w:rsidRPr="63259912">
        <w:rPr>
          <w:lang w:eastAsia="hr-HR"/>
        </w:rPr>
        <w:t>Sljedeća ŠGOP za razdoblje 2026. – 2035. će sadržavati cilj neto uklanjanja  stakleničkih plinova u 2030. od – 5</w:t>
      </w:r>
      <w:r w:rsidR="007D02B0" w:rsidRPr="63259912">
        <w:rPr>
          <w:lang w:eastAsia="hr-HR"/>
        </w:rPr>
        <w:t>.</w:t>
      </w:r>
      <w:r w:rsidRPr="63259912">
        <w:rPr>
          <w:lang w:eastAsia="hr-HR"/>
        </w:rPr>
        <w:t>527 kt CO</w:t>
      </w:r>
      <w:r w:rsidRPr="63259912">
        <w:rPr>
          <w:vertAlign w:val="subscript"/>
          <w:lang w:eastAsia="hr-HR"/>
        </w:rPr>
        <w:t>2</w:t>
      </w:r>
      <w:r w:rsidRPr="63259912">
        <w:rPr>
          <w:lang w:eastAsia="hr-HR"/>
        </w:rPr>
        <w:t>eq.</w:t>
      </w:r>
    </w:p>
    <w:p w14:paraId="083190D2" w14:textId="01080AC8" w:rsidR="00BA1DC9" w:rsidRPr="00B47BDA" w:rsidRDefault="00BA1DC9" w:rsidP="63259912">
      <w:pPr>
        <w:rPr>
          <w:lang w:eastAsia="hr-HR"/>
        </w:rPr>
      </w:pPr>
      <w:r w:rsidRPr="63259912">
        <w:rPr>
          <w:lang w:eastAsia="hr-HR"/>
        </w:rPr>
        <w:t xml:space="preserve">S obzirom na udio pojedine kategorije zemljišta u ukupnoj kopnenoj površini RH, okosnice za provedbu mjera u LULUCF sektoru su za </w:t>
      </w:r>
      <w:r w:rsidR="7CF833D5" w:rsidRPr="63259912">
        <w:rPr>
          <w:lang w:eastAsia="hr-HR"/>
        </w:rPr>
        <w:t>š</w:t>
      </w:r>
      <w:r w:rsidRPr="63259912">
        <w:rPr>
          <w:lang w:eastAsia="hr-HR"/>
        </w:rPr>
        <w:t>umsko zemljište Šumsko gospodarske osnove područja (ŠGOP) koje se izrađuju za desetogodišnja razdoblja s pogledima na sljedećih deset godina, i provedba mjera iz Strateškog plana Zajedničke poljoprivredne politike (SP ZPP) Republike Hrvatske za razdoblje 2023</w:t>
      </w:r>
      <w:r w:rsidR="7BFD34A6" w:rsidRPr="63259912">
        <w:rPr>
          <w:lang w:eastAsia="hr-HR"/>
        </w:rPr>
        <w:t xml:space="preserve">. </w:t>
      </w:r>
      <w:r w:rsidR="79565B02" w:rsidRPr="63259912">
        <w:rPr>
          <w:lang w:eastAsia="hr-HR"/>
        </w:rPr>
        <w:t>-</w:t>
      </w:r>
      <w:r w:rsidR="643BB3AC" w:rsidRPr="63259912">
        <w:rPr>
          <w:lang w:eastAsia="hr-HR"/>
        </w:rPr>
        <w:t xml:space="preserve"> </w:t>
      </w:r>
      <w:r w:rsidRPr="63259912">
        <w:rPr>
          <w:lang w:eastAsia="hr-HR"/>
        </w:rPr>
        <w:t xml:space="preserve">2027. </w:t>
      </w:r>
      <w:r w:rsidR="00CC5401" w:rsidRPr="63259912">
        <w:rPr>
          <w:lang w:eastAsia="hr-HR"/>
        </w:rPr>
        <w:t xml:space="preserve">godine. </w:t>
      </w:r>
      <w:r w:rsidRPr="63259912">
        <w:rPr>
          <w:lang w:eastAsia="hr-HR"/>
        </w:rPr>
        <w:t xml:space="preserve">SP ZPP se alocira potpora iz europskih poljoprivrednih fondova za pojedinu mjeru, a usklađen je sa Strategijom poljoprivrede do 2030. godine, odnosno Nacionalnom razvojnom strategijom Republike Hrvatske do 2030. godine. Provedbom SP ZPP osigurat će se doprinos ciljevima Europskog zelenog plana uključujući Strategiju za bioraznolikost te </w:t>
      </w:r>
      <w:r w:rsidR="4E1D04A5" w:rsidRPr="63259912">
        <w:rPr>
          <w:lang w:eastAsia="hr-HR"/>
        </w:rPr>
        <w:t>S</w:t>
      </w:r>
      <w:r w:rsidRPr="63259912">
        <w:rPr>
          <w:lang w:eastAsia="hr-HR"/>
        </w:rPr>
        <w:t xml:space="preserve">trategiju za šume, a doprinosi </w:t>
      </w:r>
      <w:r w:rsidR="02435A60" w:rsidRPr="63259912">
        <w:rPr>
          <w:lang w:eastAsia="hr-HR"/>
        </w:rPr>
        <w:t xml:space="preserve">i </w:t>
      </w:r>
      <w:r w:rsidRPr="63259912">
        <w:rPr>
          <w:lang w:eastAsia="hr-HR"/>
        </w:rPr>
        <w:t>ciljevima Niskougljične strategije RH, Integriranog nacionalnog energetsko klimatskog plana i novom okviru regulative iz paketa '</w:t>
      </w:r>
      <w:r w:rsidR="130DF0B0" w:rsidRPr="63259912">
        <w:rPr>
          <w:lang w:eastAsia="hr-HR"/>
        </w:rPr>
        <w:t xml:space="preserve">Spremni </w:t>
      </w:r>
      <w:r w:rsidR="44BF7B7E" w:rsidRPr="63259912">
        <w:rPr>
          <w:lang w:eastAsia="hr-HR"/>
        </w:rPr>
        <w:t>za</w:t>
      </w:r>
      <w:r w:rsidRPr="63259912">
        <w:rPr>
          <w:lang w:eastAsia="hr-HR"/>
        </w:rPr>
        <w:t xml:space="preserve"> 55'. </w:t>
      </w:r>
    </w:p>
    <w:p w14:paraId="708D8D98" w14:textId="0DF553BC" w:rsidR="00BA1DC9" w:rsidRPr="00B47BDA" w:rsidRDefault="00BA1DC9" w:rsidP="63259912">
      <w:pPr>
        <w:rPr>
          <w:lang w:eastAsia="hr-HR"/>
        </w:rPr>
      </w:pPr>
      <w:r w:rsidRPr="63259912">
        <w:rPr>
          <w:lang w:eastAsia="hr-HR"/>
        </w:rPr>
        <w:lastRenderedPageBreak/>
        <w:t>SP ZPP doprinosi održivom gospodarenju šumom i šumskim zemljištem s bogatom bioraznolikošću flore i faune. U tome doprinose intervencija za rekonstrukciju (konverziju) šuma, ali i intervencije vezane uz pašnjake, travnjake kao i oranične kulture. Za brojne intervencije vezane uz klimu i okoliš osigurana je nadoknada troškova poljoprivrednicima i šumoposjednicima koji mijenjaju uobičajene proizvodne procese s ciljem očuvanja bioraznolikosti i okoliša u skladu s održivim korištenjem resursa, što podrazumijeva ekološki odgovorno, ekonomski isplativo i društveno odgovorno gospodarenje.</w:t>
      </w:r>
    </w:p>
    <w:p w14:paraId="017E0119" w14:textId="77777777" w:rsidR="00BA1DC9" w:rsidRPr="00B47BDA" w:rsidRDefault="00BA1DC9" w:rsidP="004623DD">
      <w:pPr>
        <w:rPr>
          <w:lang w:eastAsia="hr-HR"/>
        </w:rPr>
      </w:pPr>
      <w:r w:rsidRPr="00B47BDA">
        <w:rPr>
          <w:lang w:eastAsia="hr-HR"/>
        </w:rPr>
        <w:t xml:space="preserve">U SP ZPP, vezano za LULUCF aktivnosti su uglavnom definirane u Potrebi 7 „Poboljšati prakse koje doprinose prilagodbi i ublažavanju klimatskih promjena“ uključuje sljedeće intervencije: </w:t>
      </w:r>
    </w:p>
    <w:p w14:paraId="59FCDFBE" w14:textId="63B7C2D8" w:rsidR="00BA1DC9" w:rsidRPr="00B47BDA" w:rsidRDefault="0077259A" w:rsidP="003F657C">
      <w:pPr>
        <w:pStyle w:val="ListParagraph"/>
        <w:numPr>
          <w:ilvl w:val="0"/>
          <w:numId w:val="107"/>
        </w:numPr>
        <w:spacing w:after="60"/>
        <w:ind w:left="714" w:hanging="357"/>
      </w:pPr>
      <w:r>
        <w:t xml:space="preserve"> </w:t>
      </w:r>
      <w:r w:rsidR="00BA1DC9" w:rsidRPr="00B47BDA">
        <w:t xml:space="preserve">31.02. - Ekstenzivno gospodarenje pašnjacima, </w:t>
      </w:r>
    </w:p>
    <w:p w14:paraId="552056B0" w14:textId="2DB3FEA5" w:rsidR="00BA1DC9" w:rsidRPr="00B47BDA" w:rsidRDefault="0077259A" w:rsidP="003F657C">
      <w:pPr>
        <w:pStyle w:val="ListParagraph"/>
        <w:numPr>
          <w:ilvl w:val="0"/>
          <w:numId w:val="107"/>
        </w:numPr>
        <w:spacing w:after="60"/>
        <w:ind w:left="714" w:hanging="357"/>
      </w:pPr>
      <w:r>
        <w:t xml:space="preserve"> </w:t>
      </w:r>
      <w:r w:rsidR="00BA1DC9" w:rsidRPr="00B47BDA">
        <w:t xml:space="preserve">31.04. - Uporaba stajskog gnoja na oraničnim površinama, </w:t>
      </w:r>
    </w:p>
    <w:p w14:paraId="54AA7AFF" w14:textId="588F4A20" w:rsidR="00BA1DC9" w:rsidRPr="00B47BDA" w:rsidRDefault="0077259A" w:rsidP="003F657C">
      <w:pPr>
        <w:pStyle w:val="ListParagraph"/>
        <w:numPr>
          <w:ilvl w:val="0"/>
          <w:numId w:val="107"/>
        </w:numPr>
        <w:spacing w:after="60"/>
        <w:ind w:left="714" w:hanging="357"/>
      </w:pPr>
      <w:r>
        <w:t xml:space="preserve"> </w:t>
      </w:r>
      <w:r w:rsidR="00BA1DC9" w:rsidRPr="00B47BDA">
        <w:t xml:space="preserve">31.05. - Minimalni udio leguminoza od 20% unutar poljoprivrednih površina, </w:t>
      </w:r>
    </w:p>
    <w:p w14:paraId="2B3D7968" w14:textId="41DE4E63" w:rsidR="00BA1DC9" w:rsidRPr="00B47BDA" w:rsidRDefault="0077259A" w:rsidP="003F657C">
      <w:pPr>
        <w:pStyle w:val="ListParagraph"/>
        <w:numPr>
          <w:ilvl w:val="0"/>
          <w:numId w:val="107"/>
        </w:numPr>
        <w:spacing w:after="60"/>
        <w:ind w:left="714" w:hanging="357"/>
      </w:pPr>
      <w:r w:rsidRPr="63259912">
        <w:t xml:space="preserve"> </w:t>
      </w:r>
      <w:r w:rsidR="00BA1DC9" w:rsidRPr="63259912">
        <w:t xml:space="preserve">31.06. - Konzervacijska poljoprivreda, </w:t>
      </w:r>
    </w:p>
    <w:p w14:paraId="70674C6A" w14:textId="013A4301" w:rsidR="00BA1DC9" w:rsidRDefault="003F657C" w:rsidP="003F657C">
      <w:pPr>
        <w:pStyle w:val="ListParagraph"/>
        <w:numPr>
          <w:ilvl w:val="0"/>
          <w:numId w:val="107"/>
        </w:numPr>
        <w:spacing w:after="60"/>
        <w:ind w:left="714" w:hanging="357"/>
      </w:pPr>
      <w:r>
        <w:t xml:space="preserve"> </w:t>
      </w:r>
      <w:r w:rsidR="00BA1DC9" w:rsidRPr="00B47BDA">
        <w:t>31.07. - Očuvanje travnjaka velike prirodne vrijednosti (TVPV),</w:t>
      </w:r>
    </w:p>
    <w:p w14:paraId="09825EB9" w14:textId="452AC8D4" w:rsidR="0059218C" w:rsidRPr="00B47BDA" w:rsidRDefault="0059218C" w:rsidP="003F657C">
      <w:pPr>
        <w:pStyle w:val="ListParagraph"/>
        <w:numPr>
          <w:ilvl w:val="0"/>
          <w:numId w:val="107"/>
        </w:numPr>
        <w:spacing w:after="60"/>
        <w:ind w:left="714" w:hanging="357"/>
      </w:pPr>
      <w:r>
        <w:t xml:space="preserve"> </w:t>
      </w:r>
      <w:r w:rsidRPr="0059218C">
        <w:t>31.08. - Primjena ekoloških gnojiva u trajnim nasadima</w:t>
      </w:r>
    </w:p>
    <w:p w14:paraId="45EB8335" w14:textId="70A894FD" w:rsidR="00BA1DC9" w:rsidRPr="00B47BDA" w:rsidRDefault="003F657C" w:rsidP="003F657C">
      <w:pPr>
        <w:pStyle w:val="ListParagraph"/>
        <w:numPr>
          <w:ilvl w:val="0"/>
          <w:numId w:val="107"/>
        </w:numPr>
        <w:spacing w:after="60"/>
        <w:ind w:left="714" w:hanging="357"/>
      </w:pPr>
      <w:r>
        <w:t xml:space="preserve"> </w:t>
      </w:r>
      <w:r w:rsidR="00BA1DC9" w:rsidRPr="00B47BDA">
        <w:t xml:space="preserve">70.02. - Očuvanje bioraznolikosti i okoliša na trajnim travnjacima, </w:t>
      </w:r>
    </w:p>
    <w:p w14:paraId="7715561A" w14:textId="2C517706" w:rsidR="00BA1DC9" w:rsidRPr="00B47BDA" w:rsidRDefault="003F657C" w:rsidP="003F657C">
      <w:pPr>
        <w:pStyle w:val="ListParagraph"/>
        <w:numPr>
          <w:ilvl w:val="0"/>
          <w:numId w:val="107"/>
        </w:numPr>
        <w:spacing w:after="60"/>
        <w:ind w:left="714" w:hanging="357"/>
      </w:pPr>
      <w:r>
        <w:t xml:space="preserve"> </w:t>
      </w:r>
      <w:r w:rsidR="00BA1DC9" w:rsidRPr="00B47BDA">
        <w:t xml:space="preserve">70.04. - Ekološki uzgoj, </w:t>
      </w:r>
    </w:p>
    <w:p w14:paraId="08951916" w14:textId="22E0B831" w:rsidR="00BA1DC9" w:rsidRPr="00B47BDA" w:rsidRDefault="003F657C" w:rsidP="003F657C">
      <w:pPr>
        <w:pStyle w:val="ListParagraph"/>
        <w:numPr>
          <w:ilvl w:val="0"/>
          <w:numId w:val="107"/>
        </w:numPr>
        <w:spacing w:after="60"/>
        <w:ind w:left="714" w:hanging="357"/>
      </w:pPr>
      <w:r>
        <w:t xml:space="preserve"> </w:t>
      </w:r>
      <w:r w:rsidR="00BA1DC9" w:rsidRPr="00B47BDA">
        <w:t xml:space="preserve">70.08. - Očuvanje ekstenzivnih voćnjaka i maslinika, </w:t>
      </w:r>
    </w:p>
    <w:p w14:paraId="5AF01B5C" w14:textId="26FCC4C8" w:rsidR="00BA1DC9" w:rsidRPr="00B47BDA" w:rsidRDefault="003F657C" w:rsidP="003F657C">
      <w:pPr>
        <w:pStyle w:val="ListParagraph"/>
        <w:numPr>
          <w:ilvl w:val="0"/>
          <w:numId w:val="107"/>
        </w:numPr>
        <w:spacing w:after="60"/>
        <w:ind w:left="714" w:hanging="357"/>
      </w:pPr>
      <w:r>
        <w:t xml:space="preserve"> </w:t>
      </w:r>
      <w:r w:rsidR="00BA1DC9" w:rsidRPr="00B47BDA">
        <w:t>73.05. - Rekonstrukcija (konverzija) degradiranih šuma</w:t>
      </w:r>
      <w:r w:rsidR="00CC1244" w:rsidRPr="00B47BDA">
        <w:t>,</w:t>
      </w:r>
    </w:p>
    <w:p w14:paraId="4856855E" w14:textId="46325576" w:rsidR="00BA1DC9" w:rsidRPr="00B47BDA" w:rsidRDefault="003F657C" w:rsidP="003F657C">
      <w:pPr>
        <w:pStyle w:val="ListParagraph"/>
        <w:numPr>
          <w:ilvl w:val="0"/>
          <w:numId w:val="107"/>
        </w:numPr>
        <w:spacing w:after="60"/>
        <w:ind w:left="714" w:hanging="357"/>
      </w:pPr>
      <w:r>
        <w:t xml:space="preserve"> </w:t>
      </w:r>
      <w:r w:rsidR="00BA1DC9" w:rsidRPr="00B47BDA">
        <w:t>78.01. - Potpora prenošenju znanja</w:t>
      </w:r>
      <w:r w:rsidR="00CC1244" w:rsidRPr="00B47BDA">
        <w:t>.</w:t>
      </w:r>
    </w:p>
    <w:p w14:paraId="3A474509" w14:textId="163C3C41" w:rsidR="00BA1DC9" w:rsidRPr="00B47BDA" w:rsidRDefault="003531BD" w:rsidP="004623DD">
      <w:pPr>
        <w:rPr>
          <w:lang w:eastAsia="hr-HR"/>
        </w:rPr>
      </w:pPr>
      <w:r w:rsidRPr="003531BD">
        <w:rPr>
          <w:lang w:eastAsia="hr-HR"/>
        </w:rPr>
        <w:t>Osim propisanih zahtjeva o upravljanju, poljoprivrednici koji primaju potporu u okviru ZPP-a moraju poštovati uvjete višestruke sukladnosti sukladno Pravilniku o uvjetovanosti (</w:t>
      </w:r>
      <w:r w:rsidR="004D497C">
        <w:rPr>
          <w:lang w:eastAsia="hr-HR"/>
        </w:rPr>
        <w:t>“Narodne novine“</w:t>
      </w:r>
      <w:r w:rsidRPr="003531BD">
        <w:rPr>
          <w:lang w:eastAsia="hr-HR"/>
        </w:rPr>
        <w:t>, br</w:t>
      </w:r>
      <w:r w:rsidR="00736DB5">
        <w:rPr>
          <w:lang w:eastAsia="hr-HR"/>
        </w:rPr>
        <w:t xml:space="preserve">. </w:t>
      </w:r>
      <w:r w:rsidRPr="003531BD">
        <w:rPr>
          <w:lang w:eastAsia="hr-HR"/>
        </w:rPr>
        <w:t xml:space="preserve">26/23) a u pogledu dobrih poljoprivrednih i okolišnih uvjeta (GAEC). Ciljevi GAEC standarda: spriječiti eroziju tla definiranjem minimalnog pokrova tla i minimalne prakse upravljanja zemljištem, održavati razinu organske tvari u tlu i strukturu tla, održavati trajne travnjake, štititi </w:t>
      </w:r>
      <w:r w:rsidR="0045477A">
        <w:rPr>
          <w:lang w:eastAsia="hr-HR"/>
        </w:rPr>
        <w:t>bio</w:t>
      </w:r>
      <w:r w:rsidRPr="003531BD">
        <w:rPr>
          <w:lang w:eastAsia="hr-HR"/>
        </w:rPr>
        <w:t>raznolikost i očuvati obilježja krajobraza, štititi vode i upravljati njima uspostavom graničnih pojaseva duž vodotokova, odobravanjem upotrebe vode za navodnjavanje i zaštitom podzemnih voda od onečišćenja</w:t>
      </w:r>
      <w:r w:rsidR="00E70CD5">
        <w:rPr>
          <w:lang w:eastAsia="hr-HR"/>
        </w:rPr>
        <w:t>.</w:t>
      </w:r>
    </w:p>
    <w:p w14:paraId="5B303499" w14:textId="77777777" w:rsidR="00BA1DC9" w:rsidRPr="00B47BDA" w:rsidRDefault="00BA1DC9" w:rsidP="63259912">
      <w:pPr>
        <w:rPr>
          <w:lang w:eastAsia="hr-HR"/>
        </w:rPr>
      </w:pPr>
      <w:r w:rsidRPr="63259912">
        <w:rPr>
          <w:lang w:eastAsia="hr-HR"/>
        </w:rPr>
        <w:t xml:space="preserve">Mjerama u sektoru LULUCF i sektoru Poljoprivrede snažno se doprinosi dekarbonizaciji. Dometi nekih mjera za sada nisu sasvim mjerljivi jer sustav praćenja nije uspostavljen i na tome treba raditi (recimo ugljik u tlu, drvni proizvodi, mrtvo drvo, listinac), što je i obveza prema UNFCCC konvenciji i LULUCF regulativi. </w:t>
      </w:r>
    </w:p>
    <w:p w14:paraId="635EB29D" w14:textId="1F5E4650" w:rsidR="00BA1DC9" w:rsidRPr="00B47BDA" w:rsidRDefault="00BA1DC9" w:rsidP="004623DD">
      <w:pPr>
        <w:rPr>
          <w:lang w:eastAsia="hr-HR"/>
        </w:rPr>
      </w:pPr>
      <w:r w:rsidRPr="00B47BDA">
        <w:rPr>
          <w:lang w:eastAsia="hr-HR"/>
        </w:rPr>
        <w:t xml:space="preserve">U nastavku se opisuju mjere koje su dio Scenarija za postojećim mjerama (WEM). Kako je pojašnjeno u nastavku, Republika </w:t>
      </w:r>
      <w:r w:rsidR="79565B02" w:rsidRPr="5B269282">
        <w:rPr>
          <w:lang w:eastAsia="hr-HR"/>
        </w:rPr>
        <w:t>Hrvatsk</w:t>
      </w:r>
      <w:r w:rsidR="127B89F7" w:rsidRPr="5B269282">
        <w:rPr>
          <w:lang w:eastAsia="hr-HR"/>
        </w:rPr>
        <w:t>a</w:t>
      </w:r>
      <w:r w:rsidRPr="00B47BDA">
        <w:rPr>
          <w:lang w:eastAsia="hr-HR"/>
        </w:rPr>
        <w:t xml:space="preserve"> scenarijem WEM ne može postići ciljeve iz </w:t>
      </w:r>
      <w:r w:rsidR="003A00A4">
        <w:rPr>
          <w:lang w:eastAsia="hr-HR"/>
        </w:rPr>
        <w:t xml:space="preserve">Uredbe </w:t>
      </w:r>
      <w:r w:rsidRPr="00B47BDA">
        <w:rPr>
          <w:lang w:eastAsia="hr-HR"/>
        </w:rPr>
        <w:t>LULUCF za razdoblje 2026</w:t>
      </w:r>
      <w:r w:rsidR="7BA96669" w:rsidRPr="0B9D7D8B">
        <w:rPr>
          <w:lang w:eastAsia="hr-HR"/>
        </w:rPr>
        <w:t>.</w:t>
      </w:r>
      <w:r w:rsidR="673DEF66" w:rsidRPr="0B9D7D8B">
        <w:rPr>
          <w:lang w:eastAsia="hr-HR"/>
        </w:rPr>
        <w:t xml:space="preserve"> </w:t>
      </w:r>
      <w:r w:rsidR="7BA96669" w:rsidRPr="0B9D7D8B">
        <w:rPr>
          <w:lang w:eastAsia="hr-HR"/>
        </w:rPr>
        <w:t>-</w:t>
      </w:r>
      <w:r w:rsidR="0EFB1DB0" w:rsidRPr="0B9D7D8B">
        <w:rPr>
          <w:lang w:eastAsia="hr-HR"/>
        </w:rPr>
        <w:t xml:space="preserve"> </w:t>
      </w:r>
      <w:r w:rsidRPr="00B47BDA">
        <w:rPr>
          <w:lang w:eastAsia="hr-HR"/>
        </w:rPr>
        <w:t>2030. godine. Potrebna su istraživanja, analize i intenzivne javne konzultacije kako bi se definirale dodatne mjere (scenarij s Dodatnim mjerama (WAM)). Pri tome postoje neizvjesnosti, zbog prirodnih nepogoda kao što su požari, nametnici i bolesti, učinci klimatskih promjena i organskog tla na emisije.</w:t>
      </w:r>
    </w:p>
    <w:p w14:paraId="1BB3962D" w14:textId="37B54E7B" w:rsidR="00E6316B" w:rsidRPr="00BF24C1" w:rsidRDefault="43A856A9" w:rsidP="63259912">
      <w:pPr>
        <w:rPr>
          <w:lang w:eastAsia="hr-HR"/>
        </w:rPr>
      </w:pPr>
      <w:r w:rsidRPr="63259912">
        <w:rPr>
          <w:lang w:eastAsia="hr-HR"/>
        </w:rPr>
        <w:t>Mjere u LULUCF sektoru relativno su troškovno učinkovite, mobilizacija sredstava za provođenje bi</w:t>
      </w:r>
      <w:r w:rsidR="486117FE" w:rsidRPr="63259912">
        <w:rPr>
          <w:lang w:eastAsia="hr-HR"/>
        </w:rPr>
        <w:t>t</w:t>
      </w:r>
      <w:r w:rsidRPr="63259912">
        <w:rPr>
          <w:lang w:eastAsia="hr-HR"/>
        </w:rPr>
        <w:t xml:space="preserve"> će ključna (ZPP, LIFE, privatna sredstva). LULUCF sektoru potrebna je snažnija podrška politike i daleko snažnija edukacija svih segmenata društva, s obzirom da se radi o novom i interdisciplinarnom području koje do sada nije bilo percipirano dovoljno u </w:t>
      </w:r>
      <w:r w:rsidRPr="63259912">
        <w:rPr>
          <w:lang w:eastAsia="hr-HR"/>
        </w:rPr>
        <w:lastRenderedPageBreak/>
        <w:t xml:space="preserve">dekarbonizaciji. To podrazumijeva i uvođenje novih mehanizama i poslovnih modela i inicijativa EU-a kao što je to </w:t>
      </w:r>
      <w:r w:rsidRPr="63259912">
        <w:rPr>
          <w:b/>
          <w:bCs/>
          <w:lang w:eastAsia="hr-HR"/>
        </w:rPr>
        <w:t>ugljična poljoprivreda i proizvodi pohraništa ugljika</w:t>
      </w:r>
      <w:r w:rsidRPr="63259912">
        <w:rPr>
          <w:lang w:eastAsia="hr-HR"/>
        </w:rPr>
        <w:t xml:space="preserve">. U tome bi trebala pomoći uspostava shema certifikacije za </w:t>
      </w:r>
      <w:r w:rsidR="00A020A6" w:rsidRPr="63259912">
        <w:rPr>
          <w:lang w:eastAsia="hr-HR"/>
        </w:rPr>
        <w:t xml:space="preserve">uklanjanje </w:t>
      </w:r>
      <w:r w:rsidRPr="63259912">
        <w:rPr>
          <w:lang w:eastAsia="hr-HR"/>
        </w:rPr>
        <w:t>ugljika te uredba Europsk</w:t>
      </w:r>
      <w:r w:rsidR="007D4355" w:rsidRPr="63259912">
        <w:rPr>
          <w:lang w:eastAsia="hr-HR"/>
        </w:rPr>
        <w:t>e</w:t>
      </w:r>
      <w:r w:rsidRPr="63259912">
        <w:rPr>
          <w:lang w:eastAsia="hr-HR"/>
        </w:rPr>
        <w:t xml:space="preserve"> komisij</w:t>
      </w:r>
      <w:r w:rsidR="007D4355" w:rsidRPr="63259912">
        <w:rPr>
          <w:lang w:eastAsia="hr-HR"/>
        </w:rPr>
        <w:t xml:space="preserve">e o </w:t>
      </w:r>
      <w:r w:rsidR="00D83376" w:rsidRPr="63259912">
        <w:rPr>
          <w:lang w:eastAsia="hr-HR"/>
        </w:rPr>
        <w:t>Uredbi 2023/839 koja je stupila na snagu u svibnju 2023. godine</w:t>
      </w:r>
      <w:r w:rsidRPr="63259912">
        <w:rPr>
          <w:lang w:eastAsia="hr-HR"/>
        </w:rPr>
        <w:t xml:space="preserve">. </w:t>
      </w:r>
    </w:p>
    <w:p w14:paraId="5395082D" w14:textId="1014A637" w:rsidR="00E6316B" w:rsidRPr="00B47BDA" w:rsidRDefault="00E6316B" w:rsidP="0077328B">
      <w:pPr>
        <w:pStyle w:val="Mjeranaslov"/>
        <w:rPr>
          <w:lang w:eastAsia="hr-HR"/>
        </w:rPr>
      </w:pPr>
      <w:r w:rsidRPr="00B47BDA">
        <w:rPr>
          <w:lang w:eastAsia="hr-HR"/>
        </w:rPr>
        <w:t>LUF-</w:t>
      </w:r>
      <w:r w:rsidR="009B56A3">
        <w:rPr>
          <w:lang w:eastAsia="hr-HR"/>
        </w:rPr>
        <w:t>1</w:t>
      </w:r>
      <w:r w:rsidRPr="00B47BDA">
        <w:rPr>
          <w:lang w:eastAsia="hr-HR"/>
        </w:rPr>
        <w:t xml:space="preserve"> </w:t>
      </w:r>
      <w:r w:rsidR="00BB3936">
        <w:rPr>
          <w:lang w:eastAsia="hr-HR"/>
        </w:rPr>
        <w:t>Uspostava</w:t>
      </w:r>
      <w:r w:rsidR="000A4AD4">
        <w:rPr>
          <w:lang w:eastAsia="hr-HR"/>
        </w:rPr>
        <w:t xml:space="preserve">, </w:t>
      </w:r>
      <w:r w:rsidR="0054513E" w:rsidRPr="0054513E">
        <w:rPr>
          <w:lang w:eastAsia="hr-HR"/>
        </w:rPr>
        <w:t>održavanj</w:t>
      </w:r>
      <w:r w:rsidR="00940E42">
        <w:rPr>
          <w:lang w:eastAsia="hr-HR"/>
        </w:rPr>
        <w:t>e</w:t>
      </w:r>
      <w:r w:rsidR="0054513E" w:rsidRPr="0054513E">
        <w:rPr>
          <w:lang w:eastAsia="hr-HR"/>
        </w:rPr>
        <w:t xml:space="preserve"> </w:t>
      </w:r>
      <w:r w:rsidR="000A4AD4">
        <w:rPr>
          <w:lang w:eastAsia="hr-HR"/>
        </w:rPr>
        <w:t xml:space="preserve">i nadogradnja </w:t>
      </w:r>
      <w:r w:rsidR="0054513E" w:rsidRPr="0054513E">
        <w:rPr>
          <w:lang w:eastAsia="hr-HR"/>
        </w:rPr>
        <w:t>Nacionalnog informacijskog sustava za zemljište u Republici Hrvatskoj</w:t>
      </w:r>
    </w:p>
    <w:p w14:paraId="1767794C" w14:textId="77777777" w:rsidR="005C7694" w:rsidRPr="008432B2" w:rsidRDefault="005C7694" w:rsidP="004623DD">
      <w:pPr>
        <w:rPr>
          <w:rFonts w:cs="Calibri"/>
          <w:lang w:eastAsia="hr-HR"/>
        </w:rPr>
      </w:pPr>
      <w:r w:rsidRPr="008432B2">
        <w:rPr>
          <w:rFonts w:cs="Calibri"/>
          <w:lang w:eastAsia="hr-HR"/>
        </w:rPr>
        <w:t>Regulatorna, ekonomska, informacijska mjera; provedba: 2021.-2030.</w:t>
      </w:r>
    </w:p>
    <w:p w14:paraId="77A50F01" w14:textId="603A314F" w:rsidR="00BA1DC9" w:rsidRPr="008432B2" w:rsidRDefault="00BA1DC9" w:rsidP="004623DD">
      <w:pPr>
        <w:rPr>
          <w:rFonts w:cs="Calibri"/>
          <w:lang w:eastAsia="hr-HR"/>
        </w:rPr>
      </w:pPr>
      <w:r w:rsidRPr="008432B2">
        <w:rPr>
          <w:rFonts w:cs="Calibri"/>
          <w:b/>
        </w:rPr>
        <w:t xml:space="preserve">Cilj i opis mjere: </w:t>
      </w:r>
      <w:r w:rsidRPr="008432B2">
        <w:rPr>
          <w:rFonts w:cs="Calibri"/>
          <w:lang w:eastAsia="hr-HR"/>
        </w:rPr>
        <w:t>Do 202</w:t>
      </w:r>
      <w:r w:rsidR="00FC26B9" w:rsidRPr="008432B2">
        <w:rPr>
          <w:rFonts w:cs="Calibri"/>
          <w:lang w:eastAsia="hr-HR"/>
        </w:rPr>
        <w:t>5</w:t>
      </w:r>
      <w:r w:rsidRPr="008432B2">
        <w:rPr>
          <w:rFonts w:cs="Calibri"/>
          <w:lang w:eastAsia="hr-HR"/>
        </w:rPr>
        <w:t xml:space="preserve">. godine potrebno je izraditi </w:t>
      </w:r>
      <w:r w:rsidR="00FC26B9" w:rsidRPr="008432B2">
        <w:rPr>
          <w:rFonts w:cs="Calibri"/>
          <w:lang w:eastAsia="hr-HR"/>
        </w:rPr>
        <w:t>Plan održavanja Nacionalnog informacijskog sustava za zemljište u Republici Hrvatskoj</w:t>
      </w:r>
      <w:r w:rsidR="00697041" w:rsidRPr="008432B2">
        <w:rPr>
          <w:rFonts w:cs="Calibri"/>
          <w:lang w:eastAsia="hr-HR"/>
        </w:rPr>
        <w:t>.</w:t>
      </w:r>
      <w:r w:rsidRPr="008432B2">
        <w:rPr>
          <w:rFonts w:cs="Calibri"/>
          <w:lang w:eastAsia="hr-HR"/>
        </w:rPr>
        <w:t xml:space="preserve"> Za razvoj iste nužno je provesti projekte kojima se:</w:t>
      </w:r>
    </w:p>
    <w:p w14:paraId="123D94A0" w14:textId="60E56207" w:rsidR="00BA1DC9" w:rsidRPr="008432B2" w:rsidRDefault="0029238A" w:rsidP="00A563AA">
      <w:pPr>
        <w:pStyle w:val="ListParagraph"/>
        <w:numPr>
          <w:ilvl w:val="0"/>
          <w:numId w:val="58"/>
        </w:numPr>
        <w:rPr>
          <w:rFonts w:cs="Calibri"/>
        </w:rPr>
      </w:pPr>
      <w:r>
        <w:rPr>
          <w:rFonts w:cs="Calibri"/>
        </w:rPr>
        <w:t>U</w:t>
      </w:r>
      <w:r w:rsidR="00BA1DC9" w:rsidRPr="008432B2">
        <w:rPr>
          <w:rFonts w:cs="Calibri"/>
        </w:rPr>
        <w:t>spostavlja jedinstveni informacijski sustav zemljišta u Republici Hrvatskoj ili utvrditi površine pojedine LULUCF kategorije zemljišta upotrebom prostorno točno utvrđenih podataka, za svaku kategoriju zemljišta te za svaku vrste prenamjene zemljišta iz jedne kategorije zemljišta u drugu.</w:t>
      </w:r>
    </w:p>
    <w:p w14:paraId="5F7B69F5" w14:textId="51E2E24C" w:rsidR="00BA1DC9" w:rsidRPr="000F7881" w:rsidRDefault="00BA1DC9" w:rsidP="004623DD">
      <w:pPr>
        <w:rPr>
          <w:rFonts w:cs="Calibri"/>
          <w:lang w:eastAsia="ar-SA"/>
        </w:rPr>
      </w:pPr>
      <w:r w:rsidRPr="008432B2">
        <w:rPr>
          <w:rFonts w:cs="Calibri"/>
          <w:b/>
          <w:lang w:eastAsia="ar-SA"/>
        </w:rPr>
        <w:t>Aktivnost:</w:t>
      </w:r>
      <w:r w:rsidRPr="008432B2">
        <w:rPr>
          <w:rFonts w:cs="Calibri"/>
          <w:lang w:eastAsia="ar-SA"/>
        </w:rPr>
        <w:t xml:space="preserve"> M</w:t>
      </w:r>
      <w:r w:rsidR="00D90B74">
        <w:rPr>
          <w:rFonts w:cs="Calibri"/>
          <w:lang w:eastAsia="ar-SA"/>
        </w:rPr>
        <w:t>inistarstvo zaštite okoliša i zelene tranzicije</w:t>
      </w:r>
      <w:r w:rsidRPr="008432B2">
        <w:rPr>
          <w:rFonts w:cs="Calibri"/>
          <w:lang w:eastAsia="ar-SA"/>
        </w:rPr>
        <w:t xml:space="preserve"> </w:t>
      </w:r>
      <w:r w:rsidR="00442F5F" w:rsidRPr="008432B2">
        <w:rPr>
          <w:rFonts w:cs="Calibri"/>
          <w:lang w:eastAsia="ar-SA"/>
        </w:rPr>
        <w:t xml:space="preserve">je </w:t>
      </w:r>
      <w:r w:rsidRPr="008432B2">
        <w:rPr>
          <w:rFonts w:cs="Calibri"/>
          <w:lang w:eastAsia="ar-SA"/>
        </w:rPr>
        <w:t>pokrenu</w:t>
      </w:r>
      <w:r w:rsidR="00B554BE">
        <w:rPr>
          <w:rFonts w:cs="Calibri"/>
          <w:lang w:eastAsia="ar-SA"/>
        </w:rPr>
        <w:t>l</w:t>
      </w:r>
      <w:r w:rsidRPr="008432B2">
        <w:rPr>
          <w:rFonts w:cs="Calibri"/>
          <w:lang w:eastAsia="ar-SA"/>
        </w:rPr>
        <w:t>o projekt LIFE CROLIS (LIFE19 GIC/HR/001270) s ciljem uspostavljanja jedinstvenog informacijskog zemljišnog sustava za praćenje podataka o pokrovu (LC) i načinu korištenja zemljišta (LU) u Republici Hrvatskoj. Zadatak projekta je izraditi novi podatkovni model koristeći prostorne podatke prikupljene na nacionalnoj razini kao i one raspoložive na europskoj razini (npr. u sklopu COPERNICUS programa). Za odabrane godine iz niza 1970-2020 bi</w:t>
      </w:r>
      <w:r w:rsidR="006B65AD" w:rsidRPr="008432B2">
        <w:rPr>
          <w:rFonts w:cs="Calibri"/>
          <w:lang w:eastAsia="ar-SA"/>
        </w:rPr>
        <w:t>t</w:t>
      </w:r>
      <w:r w:rsidRPr="008432B2">
        <w:rPr>
          <w:rFonts w:cs="Calibri"/>
          <w:lang w:eastAsia="ar-SA"/>
        </w:rPr>
        <w:t xml:space="preserve"> će izrađeni LC i LU slojevi koji će uz primjenu EAGLE koncepta služiti kao osnova za izradu slojeva za različite namjene, primjerice LULUCF sektora za koji ukupna površina RH treba biti prikazana u šest kategorija zemljišta. Projekt financira LIFE program, FZOEU, partneri na projektu. Projektom se ujedno nadograđuje ARKOD sustav </w:t>
      </w:r>
      <w:r w:rsidR="00E207B8" w:rsidRPr="008432B2">
        <w:rPr>
          <w:lang w:eastAsia="ar-SA"/>
        </w:rPr>
        <w:t>koji sada pokriva površine poljoprivrednog zemljišta koje su u poticaju, nadograđuje se modulom (ARCOD+) koji sadrži sve ostale površine poljoprivrednog zemljišta.</w:t>
      </w:r>
    </w:p>
    <w:p w14:paraId="1C9CBFD0" w14:textId="7AA0BFA4" w:rsidR="00BA1DC9" w:rsidRPr="000F7881" w:rsidRDefault="004552D5" w:rsidP="63259912">
      <w:pPr>
        <w:pStyle w:val="ListParagraph"/>
        <w:numPr>
          <w:ilvl w:val="0"/>
          <w:numId w:val="58"/>
        </w:numPr>
        <w:rPr>
          <w:rFonts w:cs="Calibri"/>
        </w:rPr>
      </w:pPr>
      <w:r>
        <w:rPr>
          <w:rFonts w:cs="Calibri"/>
        </w:rPr>
        <w:t>P</w:t>
      </w:r>
      <w:r w:rsidR="00BA1DC9" w:rsidRPr="63259912">
        <w:rPr>
          <w:rFonts w:cs="Calibri"/>
        </w:rPr>
        <w:t>rovodi analiza svih LULUCF kategorija zemljišta u ovisnosti o pokrovu, uporabi zemljišta te praksama gospodarenja koje se na svakom zemljištu koriste i s time povezanim emisijama/</w:t>
      </w:r>
      <w:r w:rsidR="544D41F6" w:rsidRPr="63259912">
        <w:rPr>
          <w:rFonts w:cs="Calibri"/>
        </w:rPr>
        <w:t>ponorima</w:t>
      </w:r>
      <w:r w:rsidR="00BA1DC9" w:rsidRPr="63259912">
        <w:rPr>
          <w:rFonts w:cs="Calibri"/>
        </w:rPr>
        <w:t xml:space="preserve"> radi razmatranja potencijala svakog od pohraništa unutar svake LULUCF kategorije zemljišta za smanjenje emisija i povećanje </w:t>
      </w:r>
      <w:r w:rsidR="5E69C6E3" w:rsidRPr="63259912">
        <w:rPr>
          <w:rFonts w:cs="Calibri"/>
        </w:rPr>
        <w:t>ponora</w:t>
      </w:r>
      <w:r w:rsidR="00BA1DC9" w:rsidRPr="63259912">
        <w:rPr>
          <w:rFonts w:cs="Calibri"/>
        </w:rPr>
        <w:t xml:space="preserve"> stakleničkih plinova</w:t>
      </w:r>
      <w:r w:rsidR="00A301FD" w:rsidRPr="63259912">
        <w:rPr>
          <w:rFonts w:cs="Calibri"/>
        </w:rPr>
        <w:t>.</w:t>
      </w:r>
    </w:p>
    <w:p w14:paraId="44773FF1" w14:textId="13CF5015" w:rsidR="00BA1DC9" w:rsidRPr="000F7881" w:rsidRDefault="005C249B" w:rsidP="63259912">
      <w:pPr>
        <w:rPr>
          <w:rFonts w:cs="Calibri"/>
          <w:lang w:eastAsia="ar-SA"/>
        </w:rPr>
      </w:pPr>
      <w:r w:rsidRPr="63259912">
        <w:rPr>
          <w:rFonts w:cs="Calibri"/>
          <w:b/>
          <w:bCs/>
          <w:lang w:eastAsia="ar-SA"/>
        </w:rPr>
        <w:t>Aktivnost:</w:t>
      </w:r>
      <w:r w:rsidRPr="63259912">
        <w:rPr>
          <w:rFonts w:cs="Calibri"/>
          <w:lang w:eastAsia="ar-SA"/>
        </w:rPr>
        <w:t xml:space="preserve"> Proveden</w:t>
      </w:r>
      <w:r w:rsidR="00BA1DC9" w:rsidRPr="63259912">
        <w:rPr>
          <w:rFonts w:cs="Calibri"/>
          <w:lang w:eastAsia="ar-SA"/>
        </w:rPr>
        <w:t xml:space="preserve"> je projekt Definiranje aktivnosti za povećanje upijanja u pohraništima ugljika sukladno odredbama </w:t>
      </w:r>
      <w:r w:rsidR="00A34D27" w:rsidRPr="63259912">
        <w:rPr>
          <w:rFonts w:cs="Calibri"/>
          <w:lang w:eastAsia="ar-SA"/>
        </w:rPr>
        <w:t>U</w:t>
      </w:r>
      <w:r w:rsidR="00BA1DC9" w:rsidRPr="63259912">
        <w:rPr>
          <w:rFonts w:cs="Calibri"/>
          <w:lang w:eastAsia="ar-SA"/>
        </w:rPr>
        <w:t xml:space="preserve">redbe </w:t>
      </w:r>
      <w:r w:rsidR="002B31ED" w:rsidRPr="63259912">
        <w:t xml:space="preserve"> </w:t>
      </w:r>
      <w:r w:rsidR="002B31ED" w:rsidRPr="63259912">
        <w:rPr>
          <w:rFonts w:cs="Calibri"/>
          <w:lang w:eastAsia="ar-SA"/>
        </w:rPr>
        <w:t xml:space="preserve">LULUCF </w:t>
      </w:r>
      <w:r w:rsidR="00BA1DC9" w:rsidRPr="63259912">
        <w:rPr>
          <w:rFonts w:cs="Calibri"/>
          <w:lang w:eastAsia="ar-SA"/>
        </w:rPr>
        <w:t xml:space="preserve"> u svezi trgovanja ponorima do kojih dolazi u obračunskim kategorijama zemljišta. </w:t>
      </w:r>
      <w:r w:rsidR="006D1363" w:rsidRPr="63259912">
        <w:rPr>
          <w:lang w:eastAsia="ar-SA"/>
        </w:rPr>
        <w:t>Projekt je predložio neke od mogućih mjera i odredio troškove. Za izradu WAM scenarija potrebne su dodatne analize i aktivnosti navedene u mjeri LUF-8.</w:t>
      </w:r>
    </w:p>
    <w:p w14:paraId="2DDCCEED" w14:textId="21B09739" w:rsidR="00BA1DC9" w:rsidRPr="000F7881" w:rsidRDefault="0009177A" w:rsidP="00A563AA">
      <w:pPr>
        <w:pStyle w:val="ListParagraph"/>
        <w:numPr>
          <w:ilvl w:val="0"/>
          <w:numId w:val="58"/>
        </w:numPr>
        <w:rPr>
          <w:rFonts w:cs="Calibri"/>
        </w:rPr>
      </w:pPr>
      <w:r w:rsidRPr="000F7881">
        <w:rPr>
          <w:rFonts w:cs="Calibri"/>
        </w:rPr>
        <w:t>Izraditi detaljne projekcije razvoja budućih emisija/</w:t>
      </w:r>
      <w:r w:rsidR="4B1F3FEE" w:rsidRPr="5B269282">
        <w:rPr>
          <w:rFonts w:cs="Calibri"/>
        </w:rPr>
        <w:t>ponora</w:t>
      </w:r>
      <w:r w:rsidRPr="000F7881">
        <w:rPr>
          <w:rFonts w:cs="Calibri"/>
        </w:rPr>
        <w:t xml:space="preserve"> u LULUCF sektoru po provedbi više navedene analize</w:t>
      </w:r>
      <w:r w:rsidR="00A301FD" w:rsidRPr="000F7881">
        <w:rPr>
          <w:rFonts w:cs="Calibri"/>
        </w:rPr>
        <w:t>.</w:t>
      </w:r>
    </w:p>
    <w:p w14:paraId="0AFB33CA" w14:textId="79E7356C" w:rsidR="0009177A" w:rsidRPr="008432B2" w:rsidRDefault="002C3AF9" w:rsidP="004623DD">
      <w:pPr>
        <w:rPr>
          <w:rFonts w:cs="Calibri"/>
          <w:lang w:eastAsia="ar-SA"/>
        </w:rPr>
      </w:pPr>
      <w:r w:rsidRPr="00F200F4">
        <w:rPr>
          <w:rFonts w:cs="Calibri"/>
          <w:b/>
          <w:bCs/>
          <w:lang w:eastAsia="ar-SA"/>
        </w:rPr>
        <w:t>Aktivnost:</w:t>
      </w:r>
      <w:r w:rsidRPr="008432B2">
        <w:rPr>
          <w:rFonts w:cs="Calibri"/>
          <w:lang w:eastAsia="ar-SA"/>
        </w:rPr>
        <w:t xml:space="preserve"> Proveden</w:t>
      </w:r>
      <w:r w:rsidR="00BA1DC9" w:rsidRPr="008432B2">
        <w:rPr>
          <w:rFonts w:cs="Calibri"/>
          <w:lang w:eastAsia="ar-SA"/>
        </w:rPr>
        <w:t xml:space="preserve"> je Projekt jačanje kapaciteta za LULUCF projekcije. </w:t>
      </w:r>
      <w:r w:rsidR="00B631AF" w:rsidRPr="008432B2">
        <w:rPr>
          <w:lang w:eastAsia="ar-SA"/>
        </w:rPr>
        <w:t xml:space="preserve">Projektom je određen WEM scenarij koji se prezentira ovdje u NECP-u i hipotetski WAM scenarij. U tijeku je </w:t>
      </w:r>
      <w:r w:rsidR="00B631AF" w:rsidRPr="008432B2">
        <w:rPr>
          <w:lang w:eastAsia="ar-SA"/>
        </w:rPr>
        <w:lastRenderedPageBreak/>
        <w:t>provođenje projekta CROWOODS – Projekt uspostave sustava izvještavanja za drvne proizvode.</w:t>
      </w:r>
    </w:p>
    <w:p w14:paraId="61FE901E" w14:textId="168561B6" w:rsidR="00E6316B" w:rsidRPr="008432B2" w:rsidRDefault="0009177A" w:rsidP="63259912">
      <w:pPr>
        <w:rPr>
          <w:rFonts w:cs="Calibri"/>
          <w:lang w:eastAsia="hr-HR"/>
        </w:rPr>
      </w:pPr>
      <w:r w:rsidRPr="63259912">
        <w:rPr>
          <w:rFonts w:cs="Calibri"/>
          <w:lang w:eastAsia="hr-HR"/>
        </w:rPr>
        <w:t>Izračun emisija/</w:t>
      </w:r>
      <w:r w:rsidR="6C5A89F0" w:rsidRPr="63259912">
        <w:rPr>
          <w:rFonts w:cs="Calibri"/>
          <w:lang w:eastAsia="hr-HR"/>
        </w:rPr>
        <w:t>ponora</w:t>
      </w:r>
      <w:r w:rsidRPr="63259912">
        <w:rPr>
          <w:rFonts w:cs="Calibri"/>
          <w:lang w:eastAsia="hr-HR"/>
        </w:rPr>
        <w:t xml:space="preserve"> u LULUCF sektoru, te navedeni projekti trebaju činiti osnovu za planiranje pokrova, uporabe i načina gospodarenja LULUCF kategorijama zemljišta za svako od pohraništa</w:t>
      </w:r>
      <w:r w:rsidR="00CE0857" w:rsidRPr="63259912">
        <w:rPr>
          <w:rFonts w:cs="Calibri"/>
          <w:lang w:eastAsia="hr-HR"/>
        </w:rPr>
        <w:t>, dugoročno</w:t>
      </w:r>
      <w:r w:rsidRPr="63259912">
        <w:rPr>
          <w:rFonts w:cs="Calibri"/>
          <w:lang w:eastAsia="hr-HR"/>
        </w:rPr>
        <w:t xml:space="preserve"> radi razvoja Strategije upravljanja zemljištem te kako bi se pravilno definirale mjere koje će se na pojedinoj kategoriji zemljišta provoditi a kojima će se smanjivati emisije, a povećavati </w:t>
      </w:r>
      <w:r w:rsidR="4848644A" w:rsidRPr="63259912">
        <w:rPr>
          <w:rFonts w:cs="Calibri"/>
          <w:lang w:eastAsia="hr-HR"/>
        </w:rPr>
        <w:t>ponori</w:t>
      </w:r>
      <w:r w:rsidRPr="63259912">
        <w:rPr>
          <w:rFonts w:cs="Calibri"/>
          <w:lang w:eastAsia="hr-HR"/>
        </w:rPr>
        <w:t xml:space="preserve"> stakleničkih plinova u RH. Unaprjeđenje i definiranje mjera zaštite šuma od požara treba činiti sastavni dio ove strategije. </w:t>
      </w:r>
    </w:p>
    <w:p w14:paraId="7DEBB087" w14:textId="3C39A2B7" w:rsidR="00BA1DC9" w:rsidRPr="008432B2" w:rsidRDefault="00BA1DC9" w:rsidP="004623DD">
      <w:pPr>
        <w:rPr>
          <w:rFonts w:cs="Calibri"/>
        </w:rPr>
      </w:pPr>
      <w:bookmarkStart w:id="431" w:name="_Hlk133409011"/>
      <w:r w:rsidRPr="008432B2">
        <w:rPr>
          <w:rFonts w:cs="Calibri"/>
          <w:b/>
        </w:rPr>
        <w:t>Izvršno tijelo:</w:t>
      </w:r>
      <w:r w:rsidRPr="008432B2">
        <w:rPr>
          <w:rFonts w:cs="Calibri"/>
        </w:rPr>
        <w:t xml:space="preserve"> </w:t>
      </w:r>
      <w:r w:rsidR="00E9711C" w:rsidRPr="004E559C">
        <w:rPr>
          <w:lang w:eastAsia="hr-HR"/>
        </w:rPr>
        <w:t>Ministarstvo zaštite okoliša i zelene tranzicije</w:t>
      </w:r>
      <w:r w:rsidR="00E9711C">
        <w:rPr>
          <w:lang w:eastAsia="hr-HR"/>
        </w:rPr>
        <w:t>.</w:t>
      </w:r>
    </w:p>
    <w:p w14:paraId="55E01EE2" w14:textId="133FE702" w:rsidR="00BA1DC9" w:rsidRPr="008432B2" w:rsidRDefault="00BA1DC9" w:rsidP="004623DD">
      <w:pPr>
        <w:rPr>
          <w:rFonts w:cs="Calibri"/>
        </w:rPr>
      </w:pPr>
      <w:r w:rsidRPr="008432B2">
        <w:rPr>
          <w:rFonts w:cs="Calibri"/>
          <w:b/>
        </w:rPr>
        <w:t>Tijelo za praćenje:</w:t>
      </w:r>
      <w:r w:rsidRPr="008432B2">
        <w:rPr>
          <w:rFonts w:cs="Calibri"/>
        </w:rPr>
        <w:t xml:space="preserve"> </w:t>
      </w:r>
      <w:r w:rsidR="008205BD" w:rsidRPr="008432B2">
        <w:rPr>
          <w:rFonts w:cs="Calibri"/>
        </w:rPr>
        <w:t>Agencija za plaćanja u poljoprivredi i ruralnom razvoju (APPRRR)</w:t>
      </w:r>
    </w:p>
    <w:p w14:paraId="120D970D" w14:textId="7149BF9B" w:rsidR="00BA1DC9" w:rsidRPr="008432B2" w:rsidRDefault="00BA1DC9" w:rsidP="004623DD">
      <w:pPr>
        <w:rPr>
          <w:rFonts w:cs="Calibri"/>
        </w:rPr>
      </w:pPr>
      <w:r w:rsidRPr="008432B2">
        <w:rPr>
          <w:rFonts w:cs="Calibri"/>
          <w:b/>
        </w:rPr>
        <w:t>Učinak:</w:t>
      </w:r>
      <w:r w:rsidRPr="008432B2">
        <w:rPr>
          <w:rFonts w:cs="Calibri"/>
        </w:rPr>
        <w:t xml:space="preserve"> Osigurani uvjeti za dugoročno održivo gospodarenje zemljištem</w:t>
      </w:r>
      <w:r w:rsidR="00B60732" w:rsidRPr="008432B2">
        <w:rPr>
          <w:rFonts w:cs="Calibri"/>
          <w:color w:val="000000"/>
        </w:rPr>
        <w:t>.</w:t>
      </w:r>
    </w:p>
    <w:p w14:paraId="2E68841F" w14:textId="68970E73" w:rsidR="00BA1DC9" w:rsidRPr="008432B2" w:rsidRDefault="00BA1DC9" w:rsidP="004623DD">
      <w:pPr>
        <w:rPr>
          <w:rFonts w:cs="Calibri"/>
          <w:b/>
        </w:rPr>
      </w:pPr>
      <w:r w:rsidRPr="008432B2">
        <w:rPr>
          <w:rFonts w:cs="Calibri"/>
          <w:b/>
        </w:rPr>
        <w:t xml:space="preserve">Metoda praćenja: </w:t>
      </w:r>
      <w:r w:rsidRPr="008432B2">
        <w:rPr>
          <w:rFonts w:cs="Calibri"/>
        </w:rPr>
        <w:t xml:space="preserve">Izvršenje projekata potrebnih za izradu </w:t>
      </w:r>
      <w:r w:rsidR="00815913" w:rsidRPr="008432B2">
        <w:rPr>
          <w:rFonts w:cs="Calibri"/>
        </w:rPr>
        <w:t>Plana</w:t>
      </w:r>
      <w:r w:rsidR="00B60732" w:rsidRPr="008432B2">
        <w:rPr>
          <w:rFonts w:cs="Calibri"/>
          <w:color w:val="000000"/>
        </w:rPr>
        <w:t>.</w:t>
      </w:r>
    </w:p>
    <w:p w14:paraId="7AA16E27" w14:textId="74347275" w:rsidR="00BA1DC9" w:rsidRPr="008432B2" w:rsidRDefault="00BA1DC9" w:rsidP="004623DD">
      <w:pPr>
        <w:rPr>
          <w:rFonts w:cs="Calibri"/>
        </w:rPr>
      </w:pPr>
      <w:r w:rsidRPr="008432B2">
        <w:rPr>
          <w:rFonts w:cs="Calibri"/>
          <w:b/>
        </w:rPr>
        <w:t>Povezanost s drugim dimenzijama:</w:t>
      </w:r>
      <w:r w:rsidRPr="008432B2">
        <w:rPr>
          <w:rFonts w:cs="Calibri"/>
        </w:rPr>
        <w:t xml:space="preserve"> Obnovljivi izvori, energetska sigurnost, energetsko tržište</w:t>
      </w:r>
      <w:r w:rsidR="00B60732" w:rsidRPr="008432B2">
        <w:rPr>
          <w:rFonts w:cs="Calibri"/>
          <w:color w:val="000000"/>
        </w:rPr>
        <w:t>.</w:t>
      </w:r>
    </w:p>
    <w:bookmarkEnd w:id="431"/>
    <w:p w14:paraId="1A021DBA" w14:textId="2ACBC816" w:rsidR="00E6316B" w:rsidRPr="00B47BDA" w:rsidRDefault="00E6316B" w:rsidP="00442F5F">
      <w:pPr>
        <w:pStyle w:val="Mjeranaslov"/>
        <w:rPr>
          <w:lang w:eastAsia="hr-HR"/>
        </w:rPr>
      </w:pPr>
      <w:r w:rsidRPr="00B47BDA">
        <w:rPr>
          <w:lang w:eastAsia="hr-HR"/>
        </w:rPr>
        <w:t xml:space="preserve">LUF-2 </w:t>
      </w:r>
      <w:r w:rsidR="00C608A6" w:rsidRPr="00B47BDA">
        <w:rPr>
          <w:lang w:eastAsia="hr-HR"/>
        </w:rPr>
        <w:t>Akumulacija ugljika na površinama postojećih šuma</w:t>
      </w:r>
      <w:r w:rsidR="00C608A6" w:rsidRPr="00B47BDA" w:rsidDel="00C608A6">
        <w:rPr>
          <w:lang w:eastAsia="hr-HR"/>
        </w:rPr>
        <w:t xml:space="preserve"> </w:t>
      </w:r>
    </w:p>
    <w:p w14:paraId="5E3B3692" w14:textId="77777777" w:rsidR="00F90664" w:rsidRPr="00B47BDA" w:rsidRDefault="00E6009B" w:rsidP="004623DD">
      <w:pPr>
        <w:rPr>
          <w:lang w:eastAsia="hr-HR"/>
        </w:rPr>
      </w:pPr>
      <w:r w:rsidRPr="00B47BDA">
        <w:rPr>
          <w:lang w:eastAsia="hr-HR"/>
        </w:rPr>
        <w:t>E</w:t>
      </w:r>
      <w:r w:rsidR="00F90664" w:rsidRPr="00B47BDA">
        <w:rPr>
          <w:lang w:eastAsia="hr-HR"/>
        </w:rPr>
        <w:t>konomska</w:t>
      </w:r>
      <w:r w:rsidRPr="00B47BDA">
        <w:rPr>
          <w:lang w:eastAsia="hr-HR"/>
        </w:rPr>
        <w:t xml:space="preserve"> </w:t>
      </w:r>
      <w:r w:rsidR="00F90664" w:rsidRPr="00B47BDA">
        <w:rPr>
          <w:lang w:eastAsia="hr-HR"/>
        </w:rPr>
        <w:t>mjera; provedba: 2021.-2030.</w:t>
      </w:r>
    </w:p>
    <w:p w14:paraId="20A95C41" w14:textId="531B10B5" w:rsidR="00BA1DC9" w:rsidRPr="00B47BDA" w:rsidRDefault="00BA1DC9" w:rsidP="63259912">
      <w:pPr>
        <w:rPr>
          <w:highlight w:val="green"/>
          <w:lang w:eastAsia="hr-HR"/>
        </w:rPr>
      </w:pPr>
      <w:r w:rsidRPr="63259912">
        <w:rPr>
          <w:b/>
          <w:bCs/>
        </w:rPr>
        <w:t xml:space="preserve">Cilj i opis mjere: </w:t>
      </w:r>
      <w:r w:rsidRPr="63259912">
        <w:rPr>
          <w:lang w:eastAsia="hr-HR"/>
        </w:rPr>
        <w:t>Provedba aktivnosti kojima se doprinosi povećanju sadržaja zalihe ugljika u šumama posebice u pohraništu biomase i provedbom kojih se osiguravaju uklanjanja u pojedinom razdoblju. Prema Uredb</w:t>
      </w:r>
      <w:r w:rsidR="00A80C50" w:rsidRPr="63259912">
        <w:rPr>
          <w:lang w:eastAsia="hr-HR"/>
        </w:rPr>
        <w:t>i</w:t>
      </w:r>
      <w:r w:rsidRPr="63259912">
        <w:rPr>
          <w:lang w:eastAsia="hr-HR"/>
        </w:rPr>
        <w:t xml:space="preserve"> </w:t>
      </w:r>
      <w:r w:rsidR="00A80C50" w:rsidRPr="63259912">
        <w:rPr>
          <w:lang w:eastAsia="hr-HR"/>
        </w:rPr>
        <w:t>2023/</w:t>
      </w:r>
      <w:r w:rsidR="3CE9A037" w:rsidRPr="63259912">
        <w:rPr>
          <w:lang w:eastAsia="hr-HR"/>
        </w:rPr>
        <w:t>839</w:t>
      </w:r>
      <w:r w:rsidR="5CE0D72F" w:rsidRPr="63259912">
        <w:rPr>
          <w:lang w:eastAsia="hr-HR"/>
        </w:rPr>
        <w:t xml:space="preserve"> </w:t>
      </w:r>
      <w:r w:rsidR="79565B02" w:rsidRPr="63259912">
        <w:rPr>
          <w:lang w:eastAsia="hr-HR"/>
        </w:rPr>
        <w:t>koja</w:t>
      </w:r>
      <w:r w:rsidR="00A80C50" w:rsidRPr="63259912">
        <w:rPr>
          <w:lang w:eastAsia="hr-HR"/>
        </w:rPr>
        <w:t xml:space="preserve"> je</w:t>
      </w:r>
      <w:r w:rsidRPr="63259912">
        <w:rPr>
          <w:lang w:eastAsia="hr-HR"/>
        </w:rPr>
        <w:t xml:space="preserve"> stup</w:t>
      </w:r>
      <w:r w:rsidR="00A80C50" w:rsidRPr="63259912">
        <w:rPr>
          <w:lang w:eastAsia="hr-HR"/>
        </w:rPr>
        <w:t>il</w:t>
      </w:r>
      <w:r w:rsidRPr="63259912">
        <w:rPr>
          <w:lang w:eastAsia="hr-HR"/>
        </w:rPr>
        <w:t xml:space="preserve">a na snagu </w:t>
      </w:r>
      <w:r w:rsidR="618D98BF" w:rsidRPr="63259912">
        <w:rPr>
          <w:lang w:eastAsia="hr-HR"/>
        </w:rPr>
        <w:t xml:space="preserve">u svibnju </w:t>
      </w:r>
      <w:r w:rsidR="79565B02" w:rsidRPr="63259912">
        <w:rPr>
          <w:lang w:eastAsia="hr-HR"/>
        </w:rPr>
        <w:t>2023.</w:t>
      </w:r>
      <w:r w:rsidR="003B61CF" w:rsidRPr="63259912">
        <w:rPr>
          <w:lang w:eastAsia="hr-HR"/>
        </w:rPr>
        <w:t xml:space="preserve"> godine</w:t>
      </w:r>
      <w:r w:rsidRPr="63259912">
        <w:rPr>
          <w:lang w:eastAsia="hr-HR"/>
        </w:rPr>
        <w:t>, utvrđeni su ciljevi do 2030. godine za dva razdoblja: od 2021.</w:t>
      </w:r>
      <w:r w:rsidR="11171029" w:rsidRPr="63259912">
        <w:rPr>
          <w:lang w:eastAsia="hr-HR"/>
        </w:rPr>
        <w:t xml:space="preserve"> </w:t>
      </w:r>
      <w:r w:rsidRPr="63259912">
        <w:rPr>
          <w:lang w:eastAsia="hr-HR"/>
        </w:rPr>
        <w:t>do 2025. godin</w:t>
      </w:r>
      <w:r w:rsidR="0BE8C5A6" w:rsidRPr="63259912">
        <w:rPr>
          <w:lang w:eastAsia="hr-HR"/>
        </w:rPr>
        <w:t>e</w:t>
      </w:r>
      <w:r w:rsidRPr="63259912">
        <w:rPr>
          <w:lang w:eastAsia="hr-HR"/>
        </w:rPr>
        <w:t xml:space="preserve"> i razdoblje od 2026. do 2030. godine. Za razdoblje 2021</w:t>
      </w:r>
      <w:r w:rsidR="79565B02" w:rsidRPr="63259912">
        <w:rPr>
          <w:lang w:eastAsia="hr-HR"/>
        </w:rPr>
        <w:t>.</w:t>
      </w:r>
      <w:r w:rsidR="04780A37" w:rsidRPr="63259912">
        <w:rPr>
          <w:lang w:eastAsia="hr-HR"/>
        </w:rPr>
        <w:t xml:space="preserve"> </w:t>
      </w:r>
      <w:r w:rsidR="79565B02" w:rsidRPr="63259912">
        <w:rPr>
          <w:lang w:eastAsia="hr-HR"/>
        </w:rPr>
        <w:t>-</w:t>
      </w:r>
      <w:r w:rsidR="6682988F" w:rsidRPr="63259912">
        <w:rPr>
          <w:lang w:eastAsia="hr-HR"/>
        </w:rPr>
        <w:t xml:space="preserve"> </w:t>
      </w:r>
      <w:r w:rsidRPr="63259912">
        <w:rPr>
          <w:lang w:eastAsia="hr-HR"/>
        </w:rPr>
        <w:t xml:space="preserve">2025. </w:t>
      </w:r>
      <w:r w:rsidR="007071B3" w:rsidRPr="63259912">
        <w:rPr>
          <w:lang w:eastAsia="hr-HR"/>
        </w:rPr>
        <w:t xml:space="preserve">godine </w:t>
      </w:r>
      <w:r w:rsidRPr="63259912">
        <w:rPr>
          <w:lang w:eastAsia="hr-HR"/>
        </w:rPr>
        <w:t>pravila obračuna ponora metodološki se temelje na usporedbi s Referentnom razinom za šume</w:t>
      </w:r>
      <w:r w:rsidR="3014D4DC" w:rsidRPr="63259912">
        <w:rPr>
          <w:lang w:eastAsia="hr-HR"/>
        </w:rPr>
        <w:t xml:space="preserve"> (FRL)</w:t>
      </w:r>
      <w:r w:rsidR="79565B02" w:rsidRPr="63259912">
        <w:rPr>
          <w:lang w:eastAsia="hr-HR"/>
        </w:rPr>
        <w:t>,</w:t>
      </w:r>
      <w:r w:rsidRPr="63259912">
        <w:rPr>
          <w:lang w:eastAsia="hr-HR"/>
        </w:rPr>
        <w:t xml:space="preserve"> i referentnim razinama za zemljište pod usjevima, travnjacima kojima se gospodari i močvarnim zemljištem kojim se gospodari (prosjek godina 2005</w:t>
      </w:r>
      <w:r w:rsidR="79565B02" w:rsidRPr="63259912">
        <w:rPr>
          <w:lang w:eastAsia="hr-HR"/>
        </w:rPr>
        <w:t>.</w:t>
      </w:r>
      <w:r w:rsidR="41BE0E38" w:rsidRPr="63259912">
        <w:rPr>
          <w:lang w:eastAsia="hr-HR"/>
        </w:rPr>
        <w:t xml:space="preserve"> </w:t>
      </w:r>
      <w:r w:rsidR="79565B02" w:rsidRPr="63259912">
        <w:rPr>
          <w:lang w:eastAsia="hr-HR"/>
        </w:rPr>
        <w:t>-</w:t>
      </w:r>
      <w:r w:rsidR="00BA2A03" w:rsidRPr="63259912">
        <w:rPr>
          <w:lang w:eastAsia="hr-HR"/>
        </w:rPr>
        <w:t xml:space="preserve"> </w:t>
      </w:r>
      <w:r w:rsidRPr="63259912">
        <w:rPr>
          <w:lang w:eastAsia="hr-HR"/>
        </w:rPr>
        <w:t xml:space="preserve">2009.). </w:t>
      </w:r>
    </w:p>
    <w:p w14:paraId="1C44DB98" w14:textId="158E061B" w:rsidR="00BA1DC9" w:rsidRPr="00B47BDA" w:rsidRDefault="00BA1DC9" w:rsidP="63259912">
      <w:pPr>
        <w:rPr>
          <w:lang w:eastAsia="hr-HR"/>
        </w:rPr>
      </w:pPr>
      <w:r w:rsidRPr="63259912">
        <w:rPr>
          <w:b/>
          <w:bCs/>
          <w:lang w:eastAsia="hr-HR"/>
        </w:rPr>
        <w:t>Za razdoblje 2021</w:t>
      </w:r>
      <w:r w:rsidR="79565B02" w:rsidRPr="63259912">
        <w:rPr>
          <w:b/>
          <w:bCs/>
          <w:lang w:eastAsia="hr-HR"/>
        </w:rPr>
        <w:t>.</w:t>
      </w:r>
      <w:r w:rsidR="13FB00E9" w:rsidRPr="63259912">
        <w:rPr>
          <w:b/>
          <w:bCs/>
          <w:lang w:eastAsia="hr-HR"/>
        </w:rPr>
        <w:t xml:space="preserve"> </w:t>
      </w:r>
      <w:r w:rsidR="79565B02" w:rsidRPr="63259912">
        <w:rPr>
          <w:b/>
          <w:bCs/>
          <w:lang w:eastAsia="hr-HR"/>
        </w:rPr>
        <w:t>-</w:t>
      </w:r>
      <w:r w:rsidR="0F3F7CC7" w:rsidRPr="63259912">
        <w:rPr>
          <w:b/>
          <w:bCs/>
          <w:lang w:eastAsia="hr-HR"/>
        </w:rPr>
        <w:t xml:space="preserve"> </w:t>
      </w:r>
      <w:r w:rsidRPr="63259912">
        <w:rPr>
          <w:b/>
          <w:bCs/>
          <w:lang w:eastAsia="hr-HR"/>
        </w:rPr>
        <w:t>2025.</w:t>
      </w:r>
      <w:r w:rsidRPr="63259912">
        <w:rPr>
          <w:lang w:eastAsia="hr-HR"/>
        </w:rPr>
        <w:t xml:space="preserve"> Republika Hrvatska postavlja cilj uklanjanja veći od definiranog referentnom razinom za šume čime je ispunjen uvjet tzv. 'no debit rule' u LULUCF sektoru, koji postavlja Uredba </w:t>
      </w:r>
      <w:r w:rsidR="002B31ED" w:rsidRPr="63259912">
        <w:t xml:space="preserve"> </w:t>
      </w:r>
      <w:r w:rsidR="002B31ED" w:rsidRPr="63259912">
        <w:rPr>
          <w:lang w:eastAsia="hr-HR"/>
        </w:rPr>
        <w:t>LULUCF</w:t>
      </w:r>
      <w:r w:rsidR="11B883AB" w:rsidRPr="63259912">
        <w:rPr>
          <w:lang w:eastAsia="hr-HR"/>
        </w:rPr>
        <w:t>.</w:t>
      </w:r>
    </w:p>
    <w:p w14:paraId="18A90F9E" w14:textId="194A2954" w:rsidR="00BA1DC9" w:rsidRPr="00B47BDA" w:rsidRDefault="00BA1DC9" w:rsidP="004623DD">
      <w:pPr>
        <w:rPr>
          <w:lang w:eastAsia="hr-HR"/>
        </w:rPr>
      </w:pPr>
      <w:r w:rsidRPr="00B47BDA">
        <w:rPr>
          <w:lang w:eastAsia="hr-HR"/>
        </w:rPr>
        <w:t xml:space="preserve">Održavanjem ponora većeg od onoga definiranog po FRL-u osigurava se i povećanje jedinica </w:t>
      </w:r>
      <w:r w:rsidR="2CE43C2E" w:rsidRPr="5B269282">
        <w:rPr>
          <w:lang w:eastAsia="hr-HR"/>
        </w:rPr>
        <w:t>ponora</w:t>
      </w:r>
      <w:r w:rsidRPr="00B47BDA">
        <w:rPr>
          <w:lang w:eastAsia="hr-HR"/>
        </w:rPr>
        <w:t xml:space="preserve"> koje je moguće prenijeti u sektore izvan ETS-a, kao i korištenje fleksibilnih mehanizama, odnosno prodaja državama članicama.</w:t>
      </w:r>
    </w:p>
    <w:p w14:paraId="28C8D91F" w14:textId="1200F477" w:rsidR="00BA1DC9" w:rsidRPr="00B47BDA" w:rsidRDefault="00BA1DC9" w:rsidP="004623DD">
      <w:pPr>
        <w:rPr>
          <w:lang w:eastAsia="hr-HR"/>
        </w:rPr>
      </w:pPr>
      <w:r w:rsidRPr="00B47BDA">
        <w:rPr>
          <w:lang w:eastAsia="hr-HR"/>
        </w:rPr>
        <w:t>U razdoblju 2021</w:t>
      </w:r>
      <w:r w:rsidR="79565B02" w:rsidRPr="5B269282">
        <w:rPr>
          <w:lang w:eastAsia="hr-HR"/>
        </w:rPr>
        <w:t>.</w:t>
      </w:r>
      <w:r w:rsidR="43A55945" w:rsidRPr="5B269282">
        <w:rPr>
          <w:lang w:eastAsia="hr-HR"/>
        </w:rPr>
        <w:t xml:space="preserve"> </w:t>
      </w:r>
      <w:r w:rsidR="79565B02" w:rsidRPr="5B269282">
        <w:rPr>
          <w:lang w:eastAsia="hr-HR"/>
        </w:rPr>
        <w:t>-</w:t>
      </w:r>
      <w:r w:rsidR="574A1172" w:rsidRPr="5B269282">
        <w:rPr>
          <w:lang w:eastAsia="hr-HR"/>
        </w:rPr>
        <w:t xml:space="preserve"> </w:t>
      </w:r>
      <w:r w:rsidRPr="00B47BDA">
        <w:rPr>
          <w:lang w:eastAsia="hr-HR"/>
        </w:rPr>
        <w:t>2025. provodit će se aktivnosti koje su zacrtane Šumsko gospodarskom osnovom područja Republike Hrvatske za razdoblje 2016</w:t>
      </w:r>
      <w:r w:rsidR="79565B02" w:rsidRPr="5B269282">
        <w:rPr>
          <w:lang w:eastAsia="hr-HR"/>
        </w:rPr>
        <w:t>.</w:t>
      </w:r>
      <w:r w:rsidR="1D1502C0" w:rsidRPr="5B269282">
        <w:rPr>
          <w:lang w:eastAsia="hr-HR"/>
        </w:rPr>
        <w:t xml:space="preserve"> </w:t>
      </w:r>
      <w:r w:rsidR="79565B02" w:rsidRPr="5B269282">
        <w:rPr>
          <w:lang w:eastAsia="hr-HR"/>
        </w:rPr>
        <w:t>-</w:t>
      </w:r>
      <w:r w:rsidR="0AB99E8B" w:rsidRPr="5B269282">
        <w:rPr>
          <w:lang w:eastAsia="hr-HR"/>
        </w:rPr>
        <w:t xml:space="preserve"> </w:t>
      </w:r>
      <w:r w:rsidRPr="00B47BDA">
        <w:rPr>
          <w:lang w:eastAsia="hr-HR"/>
        </w:rPr>
        <w:t>2025. (ŠGOP).</w:t>
      </w:r>
      <w:r w:rsidR="00BC3468">
        <w:rPr>
          <w:lang w:eastAsia="hr-HR"/>
        </w:rPr>
        <w:t xml:space="preserve"> </w:t>
      </w:r>
      <w:r w:rsidRPr="00B47BDA">
        <w:rPr>
          <w:lang w:eastAsia="hr-HR"/>
        </w:rPr>
        <w:t xml:space="preserve">ŠGOP obuhvaća šume u državnom vlasništvu i privatne šume. </w:t>
      </w:r>
    </w:p>
    <w:p w14:paraId="3C3E40FF" w14:textId="048CED23" w:rsidR="00BA1DC9" w:rsidRPr="00B47BDA" w:rsidRDefault="43A856A9" w:rsidP="63259912">
      <w:pPr>
        <w:rPr>
          <w:lang w:eastAsia="hr-HR"/>
        </w:rPr>
      </w:pPr>
      <w:r w:rsidRPr="63259912">
        <w:rPr>
          <w:lang w:eastAsia="hr-HR"/>
        </w:rPr>
        <w:t>Na gospodarenje šuma u Hrvatskoj u velikoj mjeri utječu posljedice Domovinskog rata. U Hrvatskoj u razdoblju od 1991</w:t>
      </w:r>
      <w:r w:rsidR="3AC2C29E" w:rsidRPr="63259912">
        <w:rPr>
          <w:lang w:eastAsia="hr-HR"/>
        </w:rPr>
        <w:t>.</w:t>
      </w:r>
      <w:r w:rsidR="00BA2A03" w:rsidRPr="63259912">
        <w:rPr>
          <w:lang w:eastAsia="hr-HR"/>
        </w:rPr>
        <w:t> </w:t>
      </w:r>
      <w:r w:rsidR="3AC2C29E" w:rsidRPr="63259912">
        <w:rPr>
          <w:lang w:eastAsia="hr-HR"/>
        </w:rPr>
        <w:t>-</w:t>
      </w:r>
      <w:r w:rsidR="00BA2A03" w:rsidRPr="63259912">
        <w:rPr>
          <w:lang w:eastAsia="hr-HR"/>
        </w:rPr>
        <w:t> </w:t>
      </w:r>
      <w:r w:rsidRPr="63259912">
        <w:rPr>
          <w:lang w:eastAsia="hr-HR"/>
        </w:rPr>
        <w:t xml:space="preserve">1995. godine nisu se provodile redovne aktivnosti gospodarenja šumama na područjima nedostupnim zbog okupacije teritorija. Po okončanju rata dijelovi područja su postepeno uključivani u redovne aktivnosti gospodarenja, a dijelom područja se zbog miniranosti zemljišta ne može gospodariti ni danas. U nekoliko sljedećih godina do potpunog dovršetka procesa razminiranja Republika Hrvatska neće biti u mogućnosti provoditi redovne aktivnosti gospodarenja jednim dijelom svojih šuma na minama onečišćenim područjima. Temeljem navedenog obrazloženja Hrvatska je člankom 8., stavkom </w:t>
      </w:r>
      <w:r w:rsidRPr="63259912">
        <w:rPr>
          <w:lang w:eastAsia="hr-HR"/>
        </w:rPr>
        <w:lastRenderedPageBreak/>
        <w:t>4. Uredbe (EU) 841/2018 imala mogućnost da u FRL-u za 2021</w:t>
      </w:r>
      <w:r w:rsidR="3AC2C29E" w:rsidRPr="63259912">
        <w:rPr>
          <w:lang w:eastAsia="hr-HR"/>
        </w:rPr>
        <w:t>.</w:t>
      </w:r>
      <w:r w:rsidR="0CA98E49" w:rsidRPr="63259912">
        <w:rPr>
          <w:lang w:eastAsia="hr-HR"/>
        </w:rPr>
        <w:t xml:space="preserve"> </w:t>
      </w:r>
      <w:r w:rsidR="3AC2C29E" w:rsidRPr="63259912">
        <w:rPr>
          <w:lang w:eastAsia="hr-HR"/>
        </w:rPr>
        <w:t>-</w:t>
      </w:r>
      <w:r w:rsidR="316DB0ED" w:rsidRPr="63259912">
        <w:rPr>
          <w:lang w:eastAsia="hr-HR"/>
        </w:rPr>
        <w:t xml:space="preserve"> </w:t>
      </w:r>
      <w:r w:rsidRPr="63259912">
        <w:rPr>
          <w:lang w:eastAsia="hr-HR"/>
        </w:rPr>
        <w:t>2025. uz kriterije navedene u odjeljku A Priloga IV. može uzeti u obzir i okupaciju državnog područja, ratne i poslijeratne okolnosti koje su imale utjecaja na gospodarenje šumama tijekom referentnog razdoblja. Tu mogućnost RH je realizirala predloživši FRL za razdoblje 2021</w:t>
      </w:r>
      <w:r w:rsidR="4338BC76" w:rsidRPr="63259912">
        <w:rPr>
          <w:lang w:eastAsia="hr-HR"/>
        </w:rPr>
        <w:t xml:space="preserve">. </w:t>
      </w:r>
      <w:r w:rsidR="3AC2C29E" w:rsidRPr="63259912">
        <w:rPr>
          <w:lang w:eastAsia="hr-HR"/>
        </w:rPr>
        <w:t>-</w:t>
      </w:r>
      <w:r w:rsidR="262C50B2" w:rsidRPr="63259912">
        <w:rPr>
          <w:lang w:eastAsia="hr-HR"/>
        </w:rPr>
        <w:t xml:space="preserve"> </w:t>
      </w:r>
      <w:r w:rsidRPr="63259912">
        <w:rPr>
          <w:lang w:eastAsia="hr-HR"/>
        </w:rPr>
        <w:t>2025</w:t>
      </w:r>
      <w:r w:rsidR="4248FE50" w:rsidRPr="63259912">
        <w:rPr>
          <w:lang w:eastAsia="hr-HR"/>
        </w:rPr>
        <w:t>.</w:t>
      </w:r>
      <w:r w:rsidR="3AC2C29E" w:rsidRPr="63259912">
        <w:rPr>
          <w:lang w:eastAsia="hr-HR"/>
        </w:rPr>
        <w:t>,</w:t>
      </w:r>
      <w:r w:rsidRPr="63259912">
        <w:rPr>
          <w:lang w:eastAsia="hr-HR"/>
        </w:rPr>
        <w:t xml:space="preserve"> što je prihvaćeno Delegiranim aktom. U skladu s Prilogom IV Uredbe </w:t>
      </w:r>
      <w:r w:rsidR="002B31ED" w:rsidRPr="63259912">
        <w:t xml:space="preserve"> </w:t>
      </w:r>
      <w:r w:rsidR="002B31ED" w:rsidRPr="63259912">
        <w:rPr>
          <w:lang w:eastAsia="hr-HR"/>
        </w:rPr>
        <w:t xml:space="preserve">LULUCF </w:t>
      </w:r>
      <w:r w:rsidRPr="63259912">
        <w:rPr>
          <w:lang w:eastAsia="hr-HR"/>
        </w:rPr>
        <w:t xml:space="preserve"> utvrđen je FRL za Hrvatsku -3,906 GgCO</w:t>
      </w:r>
      <w:r w:rsidRPr="63259912">
        <w:rPr>
          <w:vertAlign w:val="subscript"/>
          <w:lang w:eastAsia="hr-HR"/>
        </w:rPr>
        <w:t>2</w:t>
      </w:r>
      <w:r w:rsidRPr="63259912">
        <w:rPr>
          <w:lang w:eastAsia="hr-HR"/>
        </w:rPr>
        <w:t>eq godišnje za razdoblje 2021</w:t>
      </w:r>
      <w:r w:rsidR="3AC2C29E" w:rsidRPr="63259912">
        <w:rPr>
          <w:lang w:eastAsia="hr-HR"/>
        </w:rPr>
        <w:t>.</w:t>
      </w:r>
      <w:r w:rsidR="3F0AD06E" w:rsidRPr="63259912">
        <w:rPr>
          <w:lang w:eastAsia="hr-HR"/>
        </w:rPr>
        <w:t xml:space="preserve"> </w:t>
      </w:r>
      <w:r w:rsidR="3AC2C29E" w:rsidRPr="63259912">
        <w:rPr>
          <w:lang w:eastAsia="hr-HR"/>
        </w:rPr>
        <w:t>-</w:t>
      </w:r>
      <w:r w:rsidR="4021E2AC" w:rsidRPr="63259912">
        <w:rPr>
          <w:lang w:eastAsia="hr-HR"/>
        </w:rPr>
        <w:t xml:space="preserve"> </w:t>
      </w:r>
      <w:r w:rsidRPr="63259912">
        <w:rPr>
          <w:lang w:eastAsia="hr-HR"/>
        </w:rPr>
        <w:t xml:space="preserve">2025. U ovom izračunu korištena je metoda koja pretpostavlja momentalnu oksidaciju pri procjeni emisije/ponora u pohraništu drvnih proizvoda s dodavanjem emisije požara. FRL iznosi -4,368 </w:t>
      </w:r>
      <w:r w:rsidR="3B0D9C71" w:rsidRPr="63259912">
        <w:rPr>
          <w:lang w:eastAsia="hr-HR"/>
        </w:rPr>
        <w:t>Gg</w:t>
      </w:r>
      <w:r w:rsidRPr="63259912">
        <w:rPr>
          <w:lang w:eastAsia="hr-HR"/>
        </w:rPr>
        <w:t>CO</w:t>
      </w:r>
      <w:r w:rsidRPr="63259912">
        <w:rPr>
          <w:vertAlign w:val="subscript"/>
          <w:lang w:eastAsia="hr-HR"/>
        </w:rPr>
        <w:t>2</w:t>
      </w:r>
      <w:r w:rsidRPr="63259912">
        <w:rPr>
          <w:lang w:eastAsia="hr-HR"/>
        </w:rPr>
        <w:t xml:space="preserve">eq godišnje korištenjem formule raspadanja prvog reda za ocjenu ugljika u pohraništu mrtvog drva. </w:t>
      </w:r>
    </w:p>
    <w:p w14:paraId="3B503C19" w14:textId="337B2EC0" w:rsidR="00BA1DC9" w:rsidRPr="00B47BDA" w:rsidRDefault="43A856A9" w:rsidP="63259912">
      <w:pPr>
        <w:rPr>
          <w:lang w:eastAsia="hr-HR"/>
        </w:rPr>
      </w:pPr>
      <w:r w:rsidRPr="63259912">
        <w:rPr>
          <w:lang w:eastAsia="hr-HR"/>
        </w:rPr>
        <w:t>Republika Hrvatska je u pregovorima o Uredb</w:t>
      </w:r>
      <w:r w:rsidR="3E3408FF" w:rsidRPr="63259912">
        <w:rPr>
          <w:lang w:eastAsia="hr-HR"/>
        </w:rPr>
        <w:t>i</w:t>
      </w:r>
      <w:r w:rsidRPr="63259912">
        <w:rPr>
          <w:lang w:eastAsia="hr-HR"/>
        </w:rPr>
        <w:t xml:space="preserve"> </w:t>
      </w:r>
      <w:r w:rsidR="3E3408FF" w:rsidRPr="63259912">
        <w:rPr>
          <w:lang w:eastAsia="hr-HR"/>
        </w:rPr>
        <w:t xml:space="preserve">2023/839 </w:t>
      </w:r>
      <w:r w:rsidRPr="63259912">
        <w:rPr>
          <w:lang w:eastAsia="hr-HR"/>
        </w:rPr>
        <w:t>uzastopno ukazivala na činjenicu da u novoj uredbi nije prepoznata specifičnost Republike Hrvatske te da je cilj za razdoblje 2026</w:t>
      </w:r>
      <w:r w:rsidR="3AC2C29E" w:rsidRPr="63259912">
        <w:rPr>
          <w:lang w:eastAsia="hr-HR"/>
        </w:rPr>
        <w:t>.</w:t>
      </w:r>
      <w:r w:rsidR="4A9000BE" w:rsidRPr="63259912">
        <w:rPr>
          <w:lang w:eastAsia="hr-HR"/>
        </w:rPr>
        <w:t xml:space="preserve"> </w:t>
      </w:r>
      <w:r w:rsidR="3AC2C29E" w:rsidRPr="63259912">
        <w:rPr>
          <w:lang w:eastAsia="hr-HR"/>
        </w:rPr>
        <w:t>-</w:t>
      </w:r>
      <w:r w:rsidR="7D47823A" w:rsidRPr="63259912">
        <w:rPr>
          <w:lang w:eastAsia="hr-HR"/>
        </w:rPr>
        <w:t xml:space="preserve"> </w:t>
      </w:r>
      <w:r w:rsidRPr="63259912">
        <w:rPr>
          <w:lang w:eastAsia="hr-HR"/>
        </w:rPr>
        <w:t xml:space="preserve">2030. u diskontinuitetu s ciljem iz prethodnog razdoblja. Postavljeni cilj </w:t>
      </w:r>
      <w:r w:rsidR="1457993A" w:rsidRPr="63259912">
        <w:rPr>
          <w:lang w:eastAsia="hr-HR"/>
        </w:rPr>
        <w:t>Republike Hrvatske</w:t>
      </w:r>
      <w:r w:rsidR="3AC2C29E" w:rsidRPr="63259912">
        <w:rPr>
          <w:lang w:eastAsia="hr-HR"/>
        </w:rPr>
        <w:t xml:space="preserve"> za</w:t>
      </w:r>
      <w:r w:rsidRPr="63259912">
        <w:rPr>
          <w:lang w:eastAsia="hr-HR"/>
        </w:rPr>
        <w:t xml:space="preserve"> LULUCF sektor u </w:t>
      </w:r>
      <w:r w:rsidR="4E87814F" w:rsidRPr="63259912">
        <w:rPr>
          <w:lang w:eastAsia="hr-HR"/>
        </w:rPr>
        <w:t>U</w:t>
      </w:r>
      <w:r w:rsidRPr="63259912">
        <w:rPr>
          <w:lang w:eastAsia="hr-HR"/>
        </w:rPr>
        <w:t>redb</w:t>
      </w:r>
      <w:r w:rsidR="4E87814F" w:rsidRPr="63259912">
        <w:rPr>
          <w:lang w:eastAsia="hr-HR"/>
        </w:rPr>
        <w:t>i</w:t>
      </w:r>
      <w:r w:rsidRPr="63259912">
        <w:rPr>
          <w:lang w:eastAsia="hr-HR"/>
        </w:rPr>
        <w:t xml:space="preserve"> </w:t>
      </w:r>
      <w:r w:rsidR="4E87814F" w:rsidRPr="63259912">
        <w:rPr>
          <w:lang w:eastAsia="hr-HR"/>
        </w:rPr>
        <w:t>2023/</w:t>
      </w:r>
      <w:r w:rsidR="64C4D162" w:rsidRPr="63259912">
        <w:rPr>
          <w:lang w:eastAsia="hr-HR"/>
        </w:rPr>
        <w:t>839</w:t>
      </w:r>
      <w:r w:rsidR="3831D3B4" w:rsidRPr="63259912">
        <w:rPr>
          <w:lang w:eastAsia="hr-HR"/>
        </w:rPr>
        <w:t xml:space="preserve"> </w:t>
      </w:r>
      <w:r w:rsidR="3AC2C29E" w:rsidRPr="63259912">
        <w:rPr>
          <w:lang w:eastAsia="hr-HR"/>
        </w:rPr>
        <w:t>za</w:t>
      </w:r>
      <w:r w:rsidRPr="63259912">
        <w:rPr>
          <w:lang w:eastAsia="hr-HR"/>
        </w:rPr>
        <w:t xml:space="preserve"> razdoblje 2026</w:t>
      </w:r>
      <w:r w:rsidR="3AC2C29E" w:rsidRPr="63259912">
        <w:rPr>
          <w:lang w:eastAsia="hr-HR"/>
        </w:rPr>
        <w:t>.</w:t>
      </w:r>
      <w:r w:rsidR="566901F0" w:rsidRPr="63259912">
        <w:rPr>
          <w:lang w:eastAsia="hr-HR"/>
        </w:rPr>
        <w:t xml:space="preserve"> </w:t>
      </w:r>
      <w:r w:rsidR="3AC2C29E" w:rsidRPr="63259912">
        <w:rPr>
          <w:lang w:eastAsia="hr-HR"/>
        </w:rPr>
        <w:t>-</w:t>
      </w:r>
      <w:r w:rsidR="566901F0" w:rsidRPr="63259912">
        <w:rPr>
          <w:lang w:eastAsia="hr-HR"/>
        </w:rPr>
        <w:t xml:space="preserve"> </w:t>
      </w:r>
      <w:r w:rsidRPr="63259912">
        <w:rPr>
          <w:lang w:eastAsia="hr-HR"/>
        </w:rPr>
        <w:t>2030. temelji se na prosje</w:t>
      </w:r>
      <w:r w:rsidR="15483F6D" w:rsidRPr="63259912">
        <w:rPr>
          <w:lang w:eastAsia="hr-HR"/>
        </w:rPr>
        <w:t>čnim podacima</w:t>
      </w:r>
      <w:r w:rsidR="3AC2C29E" w:rsidRPr="63259912">
        <w:rPr>
          <w:lang w:eastAsia="hr-HR"/>
        </w:rPr>
        <w:t xml:space="preserve"> </w:t>
      </w:r>
      <w:r w:rsidR="677E522B" w:rsidRPr="63259912">
        <w:rPr>
          <w:lang w:eastAsia="hr-HR"/>
        </w:rPr>
        <w:t xml:space="preserve">o </w:t>
      </w:r>
      <w:r w:rsidR="3AC2C29E" w:rsidRPr="63259912">
        <w:rPr>
          <w:lang w:eastAsia="hr-HR"/>
        </w:rPr>
        <w:t>ponor</w:t>
      </w:r>
      <w:r w:rsidR="14881FE0" w:rsidRPr="63259912">
        <w:rPr>
          <w:lang w:eastAsia="hr-HR"/>
        </w:rPr>
        <w:t>ima iz inventara</w:t>
      </w:r>
      <w:r w:rsidR="3AC2C29E" w:rsidRPr="63259912">
        <w:rPr>
          <w:lang w:eastAsia="hr-HR"/>
        </w:rPr>
        <w:t xml:space="preserve"> </w:t>
      </w:r>
      <w:r w:rsidR="1C20983C" w:rsidRPr="63259912">
        <w:rPr>
          <w:lang w:eastAsia="hr-HR"/>
        </w:rPr>
        <w:t>staklenič</w:t>
      </w:r>
      <w:r w:rsidR="6793BBA3" w:rsidRPr="63259912">
        <w:rPr>
          <w:lang w:eastAsia="hr-HR"/>
        </w:rPr>
        <w:t>k</w:t>
      </w:r>
      <w:r w:rsidR="1C20983C" w:rsidRPr="63259912">
        <w:rPr>
          <w:lang w:eastAsia="hr-HR"/>
        </w:rPr>
        <w:t>ih plinova</w:t>
      </w:r>
      <w:r w:rsidR="3AC2C29E" w:rsidRPr="63259912">
        <w:rPr>
          <w:lang w:eastAsia="hr-HR"/>
        </w:rPr>
        <w:t xml:space="preserve"> </w:t>
      </w:r>
      <w:r w:rsidR="47C8E83F" w:rsidRPr="63259912">
        <w:rPr>
          <w:lang w:eastAsia="hr-HR"/>
        </w:rPr>
        <w:t>za</w:t>
      </w:r>
      <w:r w:rsidRPr="63259912">
        <w:rPr>
          <w:lang w:eastAsia="hr-HR"/>
        </w:rPr>
        <w:t xml:space="preserve"> 2016</w:t>
      </w:r>
      <w:r w:rsidR="387E69FD" w:rsidRPr="63259912">
        <w:rPr>
          <w:lang w:eastAsia="hr-HR"/>
        </w:rPr>
        <w:t xml:space="preserve">., 2017. </w:t>
      </w:r>
      <w:r w:rsidR="08B74213" w:rsidRPr="63259912">
        <w:rPr>
          <w:lang w:eastAsia="hr-HR"/>
        </w:rPr>
        <w:t>i</w:t>
      </w:r>
      <w:r w:rsidR="7B1D7356" w:rsidRPr="63259912">
        <w:rPr>
          <w:lang w:eastAsia="hr-HR"/>
        </w:rPr>
        <w:t xml:space="preserve"> </w:t>
      </w:r>
      <w:r w:rsidRPr="63259912">
        <w:rPr>
          <w:lang w:eastAsia="hr-HR"/>
        </w:rPr>
        <w:t>2018</w:t>
      </w:r>
      <w:r w:rsidR="7B1D7356" w:rsidRPr="63259912">
        <w:rPr>
          <w:lang w:eastAsia="hr-HR"/>
        </w:rPr>
        <w:t>.</w:t>
      </w:r>
      <w:r w:rsidR="3AC2C29E" w:rsidRPr="63259912">
        <w:rPr>
          <w:lang w:eastAsia="hr-HR"/>
        </w:rPr>
        <w:t xml:space="preserve"> </w:t>
      </w:r>
      <w:r w:rsidR="00C75C98" w:rsidRPr="63259912">
        <w:rPr>
          <w:lang w:eastAsia="hr-HR"/>
        </w:rPr>
        <w:t>g</w:t>
      </w:r>
      <w:r w:rsidR="3AC2C29E" w:rsidRPr="63259912">
        <w:rPr>
          <w:lang w:eastAsia="hr-HR"/>
        </w:rPr>
        <w:t>odi</w:t>
      </w:r>
      <w:r w:rsidR="00C75C98" w:rsidRPr="63259912">
        <w:rPr>
          <w:lang w:eastAsia="hr-HR"/>
        </w:rPr>
        <w:t>nu</w:t>
      </w:r>
      <w:r w:rsidR="485F5AAC" w:rsidRPr="63259912">
        <w:rPr>
          <w:lang w:eastAsia="hr-HR"/>
        </w:rPr>
        <w:t xml:space="preserve"> (podaci dostavljeni 2020.)</w:t>
      </w:r>
      <w:r w:rsidR="7CC6D7D3" w:rsidRPr="63259912">
        <w:rPr>
          <w:lang w:eastAsia="hr-HR"/>
        </w:rPr>
        <w:t xml:space="preserve"> na koji se dodaje vrijednost (cilj) od –593 kt CO</w:t>
      </w:r>
      <w:r w:rsidR="7CC6D7D3" w:rsidRPr="63259912">
        <w:rPr>
          <w:vertAlign w:val="subscript"/>
          <w:lang w:eastAsia="hr-HR"/>
        </w:rPr>
        <w:t>2</w:t>
      </w:r>
      <w:r w:rsidR="7CC6D7D3" w:rsidRPr="63259912">
        <w:rPr>
          <w:lang w:eastAsia="hr-HR"/>
        </w:rPr>
        <w:t>eq</w:t>
      </w:r>
      <w:r w:rsidR="3AC2C29E" w:rsidRPr="63259912">
        <w:rPr>
          <w:lang w:eastAsia="hr-HR"/>
        </w:rPr>
        <w:t xml:space="preserve">, </w:t>
      </w:r>
      <w:r w:rsidR="448D3C2B" w:rsidRPr="63259912">
        <w:rPr>
          <w:lang w:eastAsia="hr-HR"/>
        </w:rPr>
        <w:t xml:space="preserve">kako bi se </w:t>
      </w:r>
      <w:r w:rsidR="4F8D28D7" w:rsidRPr="63259912">
        <w:rPr>
          <w:lang w:eastAsia="hr-HR"/>
        </w:rPr>
        <w:t xml:space="preserve">u 2030. </w:t>
      </w:r>
      <w:r w:rsidR="0FBC2882" w:rsidRPr="63259912">
        <w:rPr>
          <w:lang w:eastAsia="hr-HR"/>
        </w:rPr>
        <w:t>g</w:t>
      </w:r>
      <w:r w:rsidR="4F8D28D7" w:rsidRPr="63259912">
        <w:rPr>
          <w:lang w:eastAsia="hr-HR"/>
        </w:rPr>
        <w:t xml:space="preserve">odini </w:t>
      </w:r>
      <w:r w:rsidR="448D3C2B" w:rsidRPr="63259912">
        <w:rPr>
          <w:lang w:eastAsia="hr-HR"/>
        </w:rPr>
        <w:t xml:space="preserve">postigla vrijednost neto </w:t>
      </w:r>
      <w:r w:rsidR="0BAFACAF" w:rsidRPr="63259912">
        <w:rPr>
          <w:lang w:eastAsia="hr-HR"/>
        </w:rPr>
        <w:t>uklanjanja stakleničkih plinova od –5 527 kt CO</w:t>
      </w:r>
      <w:r w:rsidR="0BAFACAF" w:rsidRPr="63259912">
        <w:rPr>
          <w:vertAlign w:val="subscript"/>
          <w:lang w:eastAsia="hr-HR"/>
        </w:rPr>
        <w:t>2</w:t>
      </w:r>
      <w:r w:rsidR="0BAFACAF" w:rsidRPr="63259912">
        <w:rPr>
          <w:lang w:eastAsia="hr-HR"/>
        </w:rPr>
        <w:t>eq</w:t>
      </w:r>
      <w:r w:rsidRPr="63259912">
        <w:rPr>
          <w:lang w:eastAsia="hr-HR"/>
        </w:rPr>
        <w:t xml:space="preserve"> što ograničava povećanje etata kako je predviđeno postojećim planovima. </w:t>
      </w:r>
    </w:p>
    <w:p w14:paraId="101E4D2C" w14:textId="1B877610" w:rsidR="00BA1DC9" w:rsidRPr="00B47BDA" w:rsidRDefault="43A856A9" w:rsidP="63259912">
      <w:pPr>
        <w:rPr>
          <w:lang w:eastAsia="hr-HR"/>
        </w:rPr>
      </w:pPr>
      <w:r w:rsidRPr="63259912">
        <w:rPr>
          <w:lang w:eastAsia="hr-HR"/>
        </w:rPr>
        <w:t>Vezano za povećanje etata, odnosno sječe, treba naglasiti da su šumsko-uzgojni zahvati sječe u funkciji njege pojedine sastojine te njene obnove. U raznodobnim sastojinama ti se zahvati događaju u isto vrijeme na istoj površini (sastojini), a u jednodobnim sastojinama su oni prostorno i vremenski odvojeni. Stabla iz uređenih, njegovanih sastojina postižu ciljane dimenzije u optimalnom vremenu i osiguravaju veći udio kvalitetnije sirovine, puno veće ekonomske vrijednosti</w:t>
      </w:r>
      <w:r w:rsidR="0C5FA347" w:rsidRPr="63259912">
        <w:rPr>
          <w:lang w:eastAsia="hr-HR"/>
        </w:rPr>
        <w:t xml:space="preserve">, </w:t>
      </w:r>
      <w:r w:rsidR="13FF8602" w:rsidRPr="63259912">
        <w:rPr>
          <w:lang w:eastAsia="hr-HR"/>
        </w:rPr>
        <w:t>a da ujedno osiguraju kvalitetan pomladak</w:t>
      </w:r>
      <w:r w:rsidRPr="63259912">
        <w:rPr>
          <w:lang w:eastAsia="hr-HR"/>
        </w:rPr>
        <w:t>.</w:t>
      </w:r>
    </w:p>
    <w:p w14:paraId="75834C66" w14:textId="1C4A3E1F" w:rsidR="00BA1DC9" w:rsidRPr="00B47BDA" w:rsidRDefault="00BA1DC9" w:rsidP="63259912">
      <w:pPr>
        <w:rPr>
          <w:lang w:eastAsia="hr-HR"/>
        </w:rPr>
      </w:pPr>
      <w:r w:rsidRPr="63259912">
        <w:rPr>
          <w:lang w:eastAsia="hr-HR"/>
        </w:rPr>
        <w:t xml:space="preserve">Vezano za postojeći način gospodarenja šumom treba spomenuti da je Republika Hrvatska 2015. godine proslavila 250-u obljetnicu organiziranog šumarstva. Termin održivi razvoj, u RH svoje korijene vuče iz šumarskog termina </w:t>
      </w:r>
      <w:r w:rsidRPr="63259912">
        <w:rPr>
          <w:b/>
          <w:bCs/>
          <w:lang w:eastAsia="hr-HR"/>
        </w:rPr>
        <w:t>potrajno gospodarenje</w:t>
      </w:r>
      <w:r w:rsidRPr="63259912">
        <w:rPr>
          <w:lang w:eastAsia="hr-HR"/>
        </w:rPr>
        <w:t>, koji se prvi puta spominje davne 1713. godine, a u Hrvatskoj je uvedeno 1769. godine.</w:t>
      </w:r>
    </w:p>
    <w:p w14:paraId="4916E6D5" w14:textId="77777777" w:rsidR="00BA1DC9" w:rsidRPr="00B47BDA" w:rsidRDefault="00BA1DC9" w:rsidP="004623DD">
      <w:pPr>
        <w:rPr>
          <w:lang w:eastAsia="hr-HR"/>
        </w:rPr>
      </w:pPr>
      <w:r w:rsidRPr="00B47BDA">
        <w:rPr>
          <w:lang w:eastAsia="hr-HR"/>
        </w:rPr>
        <w:t>LULUCF sektor Republike Hrvatske ostvario je 1,8% ukupnih uklanjanja EU LULUCF sektora za razdoblje 2016.-2018. Predloženim izmjenama i dopunama Uredbe predviđen je udio uklanjanja LULUCF sektora Republike Hrvatske u LULUCF sektoru EU u iznosu od 1,35 t CO</w:t>
      </w:r>
      <w:r w:rsidRPr="00B47BDA">
        <w:rPr>
          <w:vertAlign w:val="subscript"/>
          <w:lang w:eastAsia="hr-HR"/>
        </w:rPr>
        <w:t>2</w:t>
      </w:r>
      <w:r w:rsidRPr="00B47BDA">
        <w:rPr>
          <w:lang w:eastAsia="hr-HR"/>
        </w:rPr>
        <w:t>eq po stanovniku, što je dvostruko više od prosjeka EU koji iznosi 0,69 t CO</w:t>
      </w:r>
      <w:r w:rsidRPr="00B47BDA">
        <w:rPr>
          <w:vertAlign w:val="subscript"/>
          <w:lang w:eastAsia="hr-HR"/>
        </w:rPr>
        <w:t>2</w:t>
      </w:r>
      <w:r w:rsidRPr="00B47BDA">
        <w:rPr>
          <w:lang w:eastAsia="hr-HR"/>
        </w:rPr>
        <w:t>eq po stanovniku.</w:t>
      </w:r>
    </w:p>
    <w:p w14:paraId="0EA243F0" w14:textId="57BD921A" w:rsidR="00BA1DC9" w:rsidRPr="00B47BDA" w:rsidRDefault="43A856A9" w:rsidP="63259912">
      <w:pPr>
        <w:rPr>
          <w:lang w:eastAsia="hr-HR"/>
        </w:rPr>
      </w:pPr>
      <w:r w:rsidRPr="63259912">
        <w:rPr>
          <w:lang w:eastAsia="hr-HR"/>
        </w:rPr>
        <w:t>Za razliku od projekcija izrađenih za potrebe izračuna referentne razine za šume (FRL), kada su korišteni parametri dobiveni na temelju gospodarskih praksi tijekom referentnog razdoblja 2000</w:t>
      </w:r>
      <w:r w:rsidR="3AC2C29E" w:rsidRPr="63259912">
        <w:rPr>
          <w:lang w:eastAsia="hr-HR"/>
        </w:rPr>
        <w:t>.</w:t>
      </w:r>
      <w:r w:rsidR="5327C79A" w:rsidRPr="63259912">
        <w:rPr>
          <w:lang w:eastAsia="hr-HR"/>
        </w:rPr>
        <w:t xml:space="preserve"> </w:t>
      </w:r>
      <w:r w:rsidR="009502F5" w:rsidRPr="63259912">
        <w:rPr>
          <w:lang w:eastAsia="hr-HR"/>
        </w:rPr>
        <w:t>–</w:t>
      </w:r>
      <w:r w:rsidR="362A0B6D" w:rsidRPr="63259912">
        <w:rPr>
          <w:lang w:eastAsia="hr-HR"/>
        </w:rPr>
        <w:t xml:space="preserve"> </w:t>
      </w:r>
      <w:r w:rsidRPr="63259912">
        <w:rPr>
          <w:lang w:eastAsia="hr-HR"/>
        </w:rPr>
        <w:t>2009</w:t>
      </w:r>
      <w:r w:rsidR="009502F5" w:rsidRPr="63259912">
        <w:rPr>
          <w:lang w:eastAsia="hr-HR"/>
        </w:rPr>
        <w:t>.</w:t>
      </w:r>
      <w:r w:rsidRPr="63259912">
        <w:rPr>
          <w:lang w:eastAsia="hr-HR"/>
        </w:rPr>
        <w:t>, za posljednje raspoložive projekcije WEM (novi WEM) korišteni su propisi etata u važećim šumskogospodarskim planovima, onakvi kakvi su zatečeni u 2020. godini (temeljem ŠGOP-a). Novi WEM scenariji izrađen za potrebe ovog NECP-a, preuzet je iz projekta Jačanje kapaciteta za LULUCF projekcije, projekta koji još traje i nije finalizirao proračune. Projekcije pokazuju da bi RH mogla imati višak ponora u razdoblju do 2021</w:t>
      </w:r>
      <w:r w:rsidR="3AC2C29E" w:rsidRPr="63259912">
        <w:rPr>
          <w:lang w:eastAsia="hr-HR"/>
        </w:rPr>
        <w:t>.</w:t>
      </w:r>
      <w:r w:rsidR="3E9FB295" w:rsidRPr="63259912">
        <w:rPr>
          <w:lang w:eastAsia="hr-HR"/>
        </w:rPr>
        <w:t xml:space="preserve"> </w:t>
      </w:r>
      <w:r w:rsidR="3AC2C29E" w:rsidRPr="63259912">
        <w:rPr>
          <w:lang w:eastAsia="hr-HR"/>
        </w:rPr>
        <w:t>-</w:t>
      </w:r>
      <w:r w:rsidR="5D8870AA" w:rsidRPr="63259912">
        <w:rPr>
          <w:lang w:eastAsia="hr-HR"/>
        </w:rPr>
        <w:t xml:space="preserve"> </w:t>
      </w:r>
      <w:r w:rsidRPr="63259912">
        <w:rPr>
          <w:lang w:eastAsia="hr-HR"/>
        </w:rPr>
        <w:t xml:space="preserve">2026. godine. Taj višak može koristiti u okviru pravila Uredbe </w:t>
      </w:r>
      <w:r w:rsidR="705711DE" w:rsidRPr="63259912">
        <w:rPr>
          <w:lang w:eastAsia="hr-HR"/>
        </w:rPr>
        <w:t xml:space="preserve">2023/857 </w:t>
      </w:r>
      <w:r w:rsidRPr="63259912">
        <w:rPr>
          <w:lang w:eastAsia="hr-HR"/>
        </w:rPr>
        <w:t xml:space="preserve">vezano za ograničenje emisije u </w:t>
      </w:r>
      <w:r w:rsidR="3AC2C29E" w:rsidRPr="63259912">
        <w:rPr>
          <w:lang w:eastAsia="hr-HR"/>
        </w:rPr>
        <w:t>n</w:t>
      </w:r>
      <w:r w:rsidR="0A94F9D3" w:rsidRPr="63259912">
        <w:rPr>
          <w:lang w:eastAsia="hr-HR"/>
        </w:rPr>
        <w:t>on</w:t>
      </w:r>
      <w:r w:rsidRPr="63259912">
        <w:rPr>
          <w:lang w:eastAsia="hr-HR"/>
        </w:rPr>
        <w:t xml:space="preserve">-ETS sektoru, ili se s istim može trgovati. Republika Hrvatska ne može višak prenesti iz prvog u drugo razdoblje obveze. </w:t>
      </w:r>
      <w:r w:rsidRPr="63259912">
        <w:rPr>
          <w:lang w:eastAsia="ja-JP"/>
        </w:rPr>
        <w:t>Na odstupanja od ove projekcije mogu najviše utjecati prirodne nepogode ako budu značajno pojačane u budućem razdoblju.</w:t>
      </w:r>
    </w:p>
    <w:p w14:paraId="3AD3D8FA" w14:textId="00DA83C6" w:rsidR="00587F8D" w:rsidRPr="00B47BDA" w:rsidRDefault="00587F8D" w:rsidP="63259912">
      <w:pPr>
        <w:rPr>
          <w:lang w:eastAsia="hr-HR"/>
        </w:rPr>
      </w:pPr>
      <w:r w:rsidRPr="63259912">
        <w:rPr>
          <w:lang w:eastAsia="hr-HR"/>
        </w:rPr>
        <w:lastRenderedPageBreak/>
        <w:t>U razdoblju 2026.-2030. prema novom WEM scenariju akumulacija ugljika će se nastaviti. U cilju dugoročno održivog korištenja potrebno je provesti aktivnosti kako bi se uravnotežila dobna struktura šuma i time osigurala optimalna ravnoteža ekonomske produktivnosti šume uz</w:t>
      </w:r>
      <w:r w:rsidR="00B04CFA" w:rsidRPr="63259912">
        <w:rPr>
          <w:lang w:eastAsia="hr-HR"/>
        </w:rPr>
        <w:t xml:space="preserve"> </w:t>
      </w:r>
      <w:r w:rsidRPr="63259912">
        <w:rPr>
          <w:lang w:eastAsia="hr-HR"/>
        </w:rPr>
        <w:t>sve postojeće i nove ciljeve zaštite bioraznolikosti, što može uključivati i prilagodbu etata. Međutim, prema ovom scenariju za razdoblje 2026.-2030. ne postižu se LULUCF ciljevi ponora utvrđeni iz Uredbom 2023/839. Potrebno je utvrditi dodatne mjere u šumarstvu i svim</w:t>
      </w:r>
      <w:r w:rsidR="00B04CFA" w:rsidRPr="63259912">
        <w:rPr>
          <w:lang w:eastAsia="hr-HR"/>
        </w:rPr>
        <w:t xml:space="preserve"> </w:t>
      </w:r>
      <w:r w:rsidRPr="63259912">
        <w:rPr>
          <w:lang w:eastAsia="hr-HR"/>
        </w:rPr>
        <w:t>ostalim kategorijama LULUCF, što uključuje moguće prilagodbe etata pri čemu ostaje izazov kako i u kojem razdoblju će se uravnotežiti dobna struktura šuma</w:t>
      </w:r>
      <w:r w:rsidR="00BA1DC9" w:rsidRPr="63259912">
        <w:rPr>
          <w:lang w:eastAsia="hr-HR"/>
        </w:rPr>
        <w:t xml:space="preserve">. Manjak ponora može se nadoknaditi mehanizmima fleksibilnosti iz Uredbe </w:t>
      </w:r>
      <w:r w:rsidR="00090889" w:rsidRPr="63259912">
        <w:rPr>
          <w:lang w:eastAsia="hr-HR"/>
        </w:rPr>
        <w:t>2023/839</w:t>
      </w:r>
      <w:r w:rsidR="00BA1DC9" w:rsidRPr="63259912">
        <w:rPr>
          <w:lang w:eastAsia="hr-HR"/>
        </w:rPr>
        <w:t xml:space="preserve">: </w:t>
      </w:r>
      <w:r w:rsidR="79565B02" w:rsidRPr="63259912">
        <w:rPr>
          <w:lang w:eastAsia="hr-HR"/>
        </w:rPr>
        <w:t>transferom</w:t>
      </w:r>
      <w:r w:rsidR="00BA1DC9" w:rsidRPr="63259912">
        <w:rPr>
          <w:lang w:eastAsia="hr-HR"/>
        </w:rPr>
        <w:t xml:space="preserve"> emisijskim jedinica iz non-ETS sustava, kupnjom emisijskih jedinica od drugih država i/ili kompenzacijom temeljem članka 13b Uredbe </w:t>
      </w:r>
      <w:r w:rsidR="00090889" w:rsidRPr="63259912">
        <w:rPr>
          <w:lang w:eastAsia="hr-HR"/>
        </w:rPr>
        <w:t xml:space="preserve">2023/839 </w:t>
      </w:r>
      <w:r w:rsidR="00BA1DC9" w:rsidRPr="63259912">
        <w:rPr>
          <w:lang w:eastAsia="hr-HR"/>
        </w:rPr>
        <w:t>/EU (ukoliko se ostvare uvjeti na razini EU)</w:t>
      </w:r>
      <w:r w:rsidR="002B08E1" w:rsidRPr="63259912">
        <w:rPr>
          <w:lang w:eastAsia="hr-HR"/>
        </w:rPr>
        <w:t>, ali to bi trebala biti krajnja iznimka samo u slučaju da se svim drugim raspoloživim mjerama ne može osigurati ciljevi ponora utvrđeni Uredbom 2023/839</w:t>
      </w:r>
      <w:r w:rsidR="00BA1DC9" w:rsidRPr="63259912">
        <w:rPr>
          <w:lang w:eastAsia="hr-HR"/>
        </w:rPr>
        <w:t xml:space="preserve">. Republika Hrvatska treba utvrditi mjere kojima se postižu ciljevi do 2030. godine. Potrebno je u analizama WAM scenarija uzeti u obzir pitanje utjecaja klimatskih promjena, za što sada nisu raspoloživi pouzdani podaci. U obzir treba uzeti i dodatne ciljeve koji proizlaze iz Strategije </w:t>
      </w:r>
      <w:r w:rsidR="009C1DFB" w:rsidRPr="63259912">
        <w:rPr>
          <w:lang w:eastAsia="hr-HR"/>
        </w:rPr>
        <w:t xml:space="preserve">EU za </w:t>
      </w:r>
      <w:r w:rsidR="009D175B" w:rsidRPr="63259912">
        <w:rPr>
          <w:lang w:eastAsia="hr-HR"/>
        </w:rPr>
        <w:t>bio</w:t>
      </w:r>
      <w:r w:rsidR="00BA1DC9" w:rsidRPr="63259912">
        <w:rPr>
          <w:lang w:eastAsia="hr-HR"/>
        </w:rPr>
        <w:t xml:space="preserve">raznolikost, mjera za obnovu prirode i Europske strategije za šume, mjere cirkularne ekonomije i bioekonomije. Za povećanje odliva u kategoriji </w:t>
      </w:r>
      <w:r w:rsidR="00BA1DC9" w:rsidRPr="63259912">
        <w:rPr>
          <w:i/>
          <w:iCs/>
          <w:lang w:eastAsia="hr-HR"/>
        </w:rPr>
        <w:t>Šumskog zemljišta kojim se gospodari</w:t>
      </w:r>
      <w:r w:rsidR="00BA1DC9" w:rsidRPr="63259912">
        <w:rPr>
          <w:lang w:eastAsia="hr-HR"/>
        </w:rPr>
        <w:t xml:space="preserve"> potrebno je utvrditi površine šuma panjača i šuma makija i šikara koje je opravdano prevesti u šume višeg uzgojnog oblika, te intenzivirati aktivnosti na zaštiti šuma od požara.</w:t>
      </w:r>
    </w:p>
    <w:p w14:paraId="1B502A74" w14:textId="1FB0A357" w:rsidR="00A6155A" w:rsidRDefault="00A6155A" w:rsidP="004623DD">
      <w:pPr>
        <w:rPr>
          <w:b/>
          <w:lang w:eastAsia="hr-HR"/>
        </w:rPr>
      </w:pPr>
      <w:r w:rsidRPr="006D0A3E">
        <w:rPr>
          <w:rFonts w:cstheme="minorHAnsi"/>
          <w:b/>
          <w:bCs/>
        </w:rPr>
        <w:t>Aktivnosti</w:t>
      </w:r>
      <w:r>
        <w:rPr>
          <w:rFonts w:cstheme="minorHAnsi"/>
          <w:b/>
          <w:bCs/>
        </w:rPr>
        <w:t>:</w:t>
      </w:r>
      <w:r w:rsidR="00BA71D5">
        <w:rPr>
          <w:rFonts w:cstheme="minorHAnsi"/>
          <w:b/>
          <w:bCs/>
        </w:rPr>
        <w:t xml:space="preserve"> </w:t>
      </w:r>
      <w:r w:rsidR="006D6C74">
        <w:rPr>
          <w:rFonts w:cs="Calibri"/>
        </w:rPr>
        <w:t>P</w:t>
      </w:r>
      <w:r w:rsidR="006D6C74" w:rsidRPr="008D1E9D">
        <w:rPr>
          <w:rFonts w:cs="Calibri"/>
        </w:rPr>
        <w:t>rov</w:t>
      </w:r>
      <w:r w:rsidR="006D6C74">
        <w:rPr>
          <w:rFonts w:cs="Calibri"/>
        </w:rPr>
        <w:t>e</w:t>
      </w:r>
      <w:r w:rsidR="006D6C74" w:rsidRPr="008D1E9D">
        <w:rPr>
          <w:rFonts w:cs="Calibri"/>
        </w:rPr>
        <w:t>d</w:t>
      </w:r>
      <w:r w:rsidR="006D6C74">
        <w:rPr>
          <w:rFonts w:cs="Calibri"/>
        </w:rPr>
        <w:t>ba</w:t>
      </w:r>
      <w:r w:rsidR="006D6C74" w:rsidRPr="008D1E9D">
        <w:rPr>
          <w:rFonts w:cs="Calibri"/>
        </w:rPr>
        <w:t xml:space="preserve"> će </w:t>
      </w:r>
      <w:r w:rsidR="006D6C74">
        <w:rPr>
          <w:rFonts w:cs="Calibri"/>
        </w:rPr>
        <w:t>biti</w:t>
      </w:r>
      <w:r w:rsidR="006D6C74" w:rsidRPr="008D1E9D">
        <w:rPr>
          <w:rFonts w:cs="Calibri"/>
        </w:rPr>
        <w:t xml:space="preserve"> prema postojećoj Šumsko gospodarskoj osnovi područja </w:t>
      </w:r>
      <w:r w:rsidR="006D6C74">
        <w:rPr>
          <w:rFonts w:cs="Calibri"/>
        </w:rPr>
        <w:t xml:space="preserve">Republike Hrvatske </w:t>
      </w:r>
      <w:r w:rsidR="006D6C74" w:rsidRPr="008D1E9D">
        <w:rPr>
          <w:rFonts w:cs="Calibri"/>
        </w:rPr>
        <w:t xml:space="preserve">2016.-2025. i novoj Šumsko gospodarskoj osnovi područja </w:t>
      </w:r>
      <w:r w:rsidR="006D6C74">
        <w:rPr>
          <w:rFonts w:cs="Calibri"/>
        </w:rPr>
        <w:t xml:space="preserve">Republike Hrvatske </w:t>
      </w:r>
      <w:r w:rsidR="006D6C74" w:rsidRPr="008D1E9D">
        <w:rPr>
          <w:rFonts w:cs="Calibri"/>
        </w:rPr>
        <w:t>2026.-2035. koja je u pripremi.</w:t>
      </w:r>
    </w:p>
    <w:p w14:paraId="06B4B256" w14:textId="1421B99F" w:rsidR="00BA1DC9" w:rsidRPr="00B47BDA" w:rsidRDefault="00BA1DC9" w:rsidP="63259912">
      <w:pPr>
        <w:rPr>
          <w:highlight w:val="yellow"/>
          <w:lang w:eastAsia="hr-HR"/>
        </w:rPr>
      </w:pPr>
      <w:r w:rsidRPr="63259912">
        <w:rPr>
          <w:b/>
          <w:bCs/>
          <w:lang w:eastAsia="hr-HR"/>
        </w:rPr>
        <w:t>Sredstva potrebna za provedbu:</w:t>
      </w:r>
      <w:r w:rsidRPr="63259912">
        <w:rPr>
          <w:lang w:eastAsia="hr-HR"/>
        </w:rPr>
        <w:t xml:space="preserve"> </w:t>
      </w:r>
      <w:r w:rsidR="005B0F49" w:rsidRPr="63259912">
        <w:rPr>
          <w:lang w:eastAsia="hr-HR"/>
        </w:rPr>
        <w:t>T</w:t>
      </w:r>
      <w:r w:rsidRPr="63259912">
        <w:rPr>
          <w:lang w:eastAsia="hr-HR"/>
        </w:rPr>
        <w:t>rgovačko poduzeće Hrvatske šume d.o.o. koje upravlja šumama u državnom vlasništvu posluje temeljem ostvarenog prihoda na tržištu uz kontrolirani nadzor cijena. Za šume u državnom vlasništvu, a koje nisu u sustavu gospodarenja Hrvatskih šuma nadležne su instancije vlasnici (npr. ustanove zaštite prirode, Ministarstvo obrane, Šumarski fakultet, itd</w:t>
      </w:r>
      <w:r w:rsidR="00E20982" w:rsidRPr="63259912">
        <w:rPr>
          <w:lang w:eastAsia="hr-HR"/>
        </w:rPr>
        <w:t>.</w:t>
      </w:r>
      <w:r w:rsidRPr="63259912">
        <w:rPr>
          <w:lang w:eastAsia="hr-HR"/>
        </w:rPr>
        <w:t xml:space="preserve">). Značajan dugoročni prihod ostvaruje se kroz </w:t>
      </w:r>
      <w:r w:rsidR="00C34319" w:rsidRPr="63259912">
        <w:rPr>
          <w:rFonts w:asciiTheme="minorHAnsi" w:hAnsiTheme="minorHAnsi" w:cs="Arial"/>
          <w:lang w:eastAsia="hr-HR"/>
        </w:rPr>
        <w:t>sredstva naknade za korištenje opće korisnih</w:t>
      </w:r>
      <w:r w:rsidR="00C34319" w:rsidRPr="63259912">
        <w:rPr>
          <w:lang w:eastAsia="hr-HR"/>
        </w:rPr>
        <w:t xml:space="preserve"> funkcija šume </w:t>
      </w:r>
      <w:r w:rsidRPr="63259912">
        <w:rPr>
          <w:lang w:eastAsia="hr-HR"/>
        </w:rPr>
        <w:t>(OKFŠ), kroz naknadu koju plaćaju svi gospodarski subjekti u RH iznad određenog praga prihoda. Izvori financiranja su i privatna sredstva šumoposjednika, p</w:t>
      </w:r>
      <w:r w:rsidR="00E20982" w:rsidRPr="63259912">
        <w:rPr>
          <w:lang w:eastAsia="hr-HR"/>
        </w:rPr>
        <w:t>r</w:t>
      </w:r>
      <w:r w:rsidRPr="63259912">
        <w:rPr>
          <w:lang w:eastAsia="hr-HR"/>
        </w:rPr>
        <w:t>ogram ruralnog razvoja, ZPP-a. Navodi se za orijentaciju, sredstva potrebna za provedu postojećih politika na razini su 270 mil</w:t>
      </w:r>
      <w:r w:rsidR="00010DBB" w:rsidRPr="63259912">
        <w:rPr>
          <w:lang w:eastAsia="hr-HR"/>
        </w:rPr>
        <w:t>ijuna</w:t>
      </w:r>
      <w:r w:rsidRPr="63259912">
        <w:rPr>
          <w:lang w:eastAsia="hr-HR"/>
        </w:rPr>
        <w:t xml:space="preserve"> EUR godišnje, za državne šume (proračun Hrvatskih šuma d.o.o.</w:t>
      </w:r>
      <w:r w:rsidR="00CB7F35" w:rsidRPr="63259912">
        <w:rPr>
          <w:lang w:eastAsia="hr-HR"/>
        </w:rPr>
        <w:t>, prosjek pet godina</w:t>
      </w:r>
      <w:r w:rsidRPr="63259912">
        <w:rPr>
          <w:lang w:eastAsia="hr-HR"/>
        </w:rPr>
        <w:t>). Smanjenje</w:t>
      </w:r>
      <w:r w:rsidR="000E75FF" w:rsidRPr="63259912">
        <w:rPr>
          <w:lang w:eastAsia="hr-HR"/>
        </w:rPr>
        <w:t>m</w:t>
      </w:r>
      <w:r w:rsidRPr="63259912">
        <w:rPr>
          <w:lang w:eastAsia="hr-HR"/>
        </w:rPr>
        <w:t xml:space="preserve"> volumena sječe smanjuje se prihod i dovodi u rizik održivost dugoročnog postojećeg sustava gospodarenja šumama,</w:t>
      </w:r>
      <w:r w:rsidR="00DE3D5C" w:rsidRPr="63259912">
        <w:rPr>
          <w:lang w:eastAsia="hr-HR"/>
        </w:rPr>
        <w:t xml:space="preserve"> a</w:t>
      </w:r>
      <w:r w:rsidRPr="63259912">
        <w:rPr>
          <w:lang w:eastAsia="hr-HR"/>
        </w:rPr>
        <w:t xml:space="preserve"> utjecaj klimatskih promjena tražit će sve veću njegu i preventivno djelovanje. </w:t>
      </w:r>
    </w:p>
    <w:p w14:paraId="7AD7DD9F" w14:textId="77777777" w:rsidR="00B838DA" w:rsidRPr="009E7E16" w:rsidRDefault="00B838DA" w:rsidP="00B838DA">
      <w:pPr>
        <w:rPr>
          <w:lang w:eastAsia="hr-HR"/>
        </w:rPr>
      </w:pPr>
      <w:r w:rsidRPr="009E7E16">
        <w:rPr>
          <w:lang w:eastAsia="hr-HR"/>
        </w:rPr>
        <w:t>Navode se intervencije iz ZPP-a koje direktno doprinose mjeri LUF2, u razdoblju 2023.-2027.:</w:t>
      </w:r>
    </w:p>
    <w:p w14:paraId="465E109A" w14:textId="77777777" w:rsidR="00B838DA" w:rsidRPr="009E7E16" w:rsidRDefault="00B838DA" w:rsidP="00B838DA">
      <w:pPr>
        <w:rPr>
          <w:lang w:eastAsia="hr-HR"/>
        </w:rPr>
      </w:pPr>
      <w:r w:rsidRPr="009E7E16">
        <w:rPr>
          <w:lang w:eastAsia="hr-HR"/>
        </w:rPr>
        <w:t xml:space="preserve">73.05. Rekonstrukcija (konverzija) degradiranih šuma - </w:t>
      </w:r>
      <w:bookmarkStart w:id="432" w:name="_Hlk147915546"/>
      <w:r w:rsidRPr="009E7E16">
        <w:rPr>
          <w:lang w:eastAsia="hr-HR"/>
        </w:rPr>
        <w:t xml:space="preserve">11.764.706,25 </w:t>
      </w:r>
      <w:bookmarkEnd w:id="432"/>
      <w:r w:rsidRPr="009E7E16">
        <w:rPr>
          <w:lang w:eastAsia="hr-HR"/>
        </w:rPr>
        <w:t xml:space="preserve">EUR (1176 ha) i </w:t>
      </w:r>
    </w:p>
    <w:p w14:paraId="21AFB6E5" w14:textId="77777777" w:rsidR="00B838DA" w:rsidRPr="009E7E16" w:rsidRDefault="00B838DA" w:rsidP="00B838DA">
      <w:pPr>
        <w:rPr>
          <w:lang w:eastAsia="hr-HR"/>
        </w:rPr>
      </w:pPr>
      <w:r w:rsidRPr="009E7E16">
        <w:rPr>
          <w:lang w:eastAsia="hr-HR"/>
        </w:rPr>
        <w:t xml:space="preserve">72.01. Potpora za ograničenje u gospodarenju šumama (NATURA 2000, NKS) – 8.823.530,00 EUR. </w:t>
      </w:r>
    </w:p>
    <w:p w14:paraId="6B1B11FD" w14:textId="77777777" w:rsidR="00FB0D2E" w:rsidRDefault="00B838DA" w:rsidP="004623DD">
      <w:pPr>
        <w:rPr>
          <w:lang w:eastAsia="hr-HR"/>
        </w:rPr>
      </w:pPr>
      <w:r w:rsidRPr="009E7E16">
        <w:rPr>
          <w:lang w:eastAsia="hr-HR"/>
        </w:rPr>
        <w:t>Ukupno iz ZPP-a za razdoblje 2023-2027.: 20.588.236,25 EUR.</w:t>
      </w:r>
      <w:r w:rsidR="00EB5713">
        <w:rPr>
          <w:lang w:eastAsia="hr-HR"/>
        </w:rPr>
        <w:t xml:space="preserve"> </w:t>
      </w:r>
    </w:p>
    <w:p w14:paraId="6041FB23" w14:textId="2D09C6C4" w:rsidR="00BA1DC9" w:rsidRPr="009E7E16" w:rsidRDefault="00BA1DC9" w:rsidP="004623DD">
      <w:pPr>
        <w:rPr>
          <w:rFonts w:cs="Calibri"/>
          <w:lang w:eastAsia="hr-HR"/>
        </w:rPr>
      </w:pPr>
      <w:r w:rsidRPr="009E7E16">
        <w:rPr>
          <w:rFonts w:cs="Calibri"/>
          <w:lang w:eastAsia="hr-HR"/>
        </w:rPr>
        <w:t xml:space="preserve">Mjere i predviđena sredstva su nedostatne za WAM scenarij koji bi trebao osigurati ispunjenje cilja za LULUCF do 2030. godine. </w:t>
      </w:r>
    </w:p>
    <w:p w14:paraId="3213C539" w14:textId="24C834AE" w:rsidR="00BA1DC9" w:rsidRPr="009E7E16" w:rsidRDefault="00BA1DC9" w:rsidP="004623DD">
      <w:pPr>
        <w:rPr>
          <w:rFonts w:cs="Calibri"/>
          <w:lang w:eastAsia="hr-HR"/>
        </w:rPr>
      </w:pPr>
      <w:r w:rsidRPr="009E7E16">
        <w:rPr>
          <w:rFonts w:cs="Calibri"/>
          <w:b/>
          <w:lang w:eastAsia="hr-HR"/>
        </w:rPr>
        <w:lastRenderedPageBreak/>
        <w:t>Izvršno tijelo:</w:t>
      </w:r>
      <w:r w:rsidRPr="009E7E16">
        <w:rPr>
          <w:rFonts w:cs="Calibri"/>
          <w:lang w:eastAsia="hr-HR"/>
        </w:rPr>
        <w:t xml:space="preserve"> </w:t>
      </w:r>
      <w:r w:rsidR="00917C74">
        <w:t>Ministarstvo poljoprivrede</w:t>
      </w:r>
      <w:r w:rsidR="00917C74" w:rsidRPr="00AE6008">
        <w:rPr>
          <w:lang w:eastAsia="hr-HR"/>
        </w:rPr>
        <w:t>, šumarstva i ribarstva</w:t>
      </w:r>
      <w:r w:rsidR="00917C74">
        <w:t xml:space="preserve"> (MPS).</w:t>
      </w:r>
      <w:r w:rsidR="004160E2" w:rsidRPr="009E7E16">
        <w:rPr>
          <w:rFonts w:cs="Calibri"/>
          <w:lang w:eastAsia="hr-HR"/>
        </w:rPr>
        <w:t xml:space="preserve">, HŠ d.o.o., </w:t>
      </w:r>
      <w:r w:rsidR="00E9711C" w:rsidRPr="004E559C">
        <w:rPr>
          <w:lang w:eastAsia="hr-HR"/>
        </w:rPr>
        <w:t>Ministarstvo zaštite okoliša i zelene tranzicije</w:t>
      </w:r>
      <w:r w:rsidR="004160E2" w:rsidRPr="009E7E16">
        <w:rPr>
          <w:rFonts w:cs="Calibri"/>
          <w:lang w:eastAsia="hr-HR"/>
        </w:rPr>
        <w:t>, Javne ustanove zaštite prirode</w:t>
      </w:r>
    </w:p>
    <w:p w14:paraId="7F26C209" w14:textId="0C0479AD" w:rsidR="00BA1DC9" w:rsidRPr="009E7E16" w:rsidRDefault="00BA1DC9" w:rsidP="004623DD">
      <w:pPr>
        <w:rPr>
          <w:rFonts w:cs="Calibri"/>
          <w:lang w:eastAsia="hr-HR"/>
        </w:rPr>
      </w:pPr>
      <w:r w:rsidRPr="009E7E16">
        <w:rPr>
          <w:rFonts w:cs="Calibri"/>
          <w:b/>
          <w:lang w:eastAsia="hr-HR"/>
        </w:rPr>
        <w:t>Tijelo za praćenje:</w:t>
      </w:r>
      <w:r w:rsidRPr="009E7E16">
        <w:rPr>
          <w:rFonts w:cs="Calibri"/>
          <w:lang w:eastAsia="hr-HR"/>
        </w:rPr>
        <w:t xml:space="preserve"> </w:t>
      </w:r>
      <w:r w:rsidR="00E9711C" w:rsidRPr="004E559C">
        <w:rPr>
          <w:lang w:eastAsia="hr-HR"/>
        </w:rPr>
        <w:t>Ministarstvo zaštite okoliša i zelene tranzicije</w:t>
      </w:r>
      <w:r w:rsidRPr="009E7E16">
        <w:rPr>
          <w:rFonts w:cs="Calibri"/>
          <w:lang w:eastAsia="hr-HR"/>
        </w:rPr>
        <w:t xml:space="preserve">, </w:t>
      </w:r>
      <w:r w:rsidR="00917C74">
        <w:t>Ministarstvo poljoprivrede</w:t>
      </w:r>
      <w:r w:rsidR="00917C74" w:rsidRPr="00AE6008">
        <w:rPr>
          <w:lang w:eastAsia="hr-HR"/>
        </w:rPr>
        <w:t>, šumarstva i ribarstva</w:t>
      </w:r>
      <w:r w:rsidR="00917C74">
        <w:t xml:space="preserve"> (MPS).</w:t>
      </w:r>
    </w:p>
    <w:p w14:paraId="3EE93516" w14:textId="709FE2CA" w:rsidR="00BA1DC9" w:rsidRPr="009E7E16" w:rsidRDefault="00BA1DC9" w:rsidP="004623DD">
      <w:pPr>
        <w:rPr>
          <w:rFonts w:cs="Calibri"/>
          <w:lang w:eastAsia="hr-HR"/>
        </w:rPr>
      </w:pPr>
      <w:r w:rsidRPr="009E7E16">
        <w:rPr>
          <w:rFonts w:cs="Calibri"/>
          <w:b/>
          <w:lang w:eastAsia="hr-HR"/>
        </w:rPr>
        <w:t>Učinak:</w:t>
      </w:r>
      <w:r w:rsidRPr="009E7E16">
        <w:rPr>
          <w:rFonts w:cs="Calibri"/>
          <w:lang w:eastAsia="hr-HR"/>
        </w:rPr>
        <w:t xml:space="preserve"> Osigurani uvjeti za dugoročno održivo gospodarenje zemljištem</w:t>
      </w:r>
      <w:r w:rsidR="00732825" w:rsidRPr="009E7E16">
        <w:rPr>
          <w:rFonts w:cs="Calibri"/>
          <w:lang w:eastAsia="hr-HR"/>
        </w:rPr>
        <w:t>.</w:t>
      </w:r>
    </w:p>
    <w:p w14:paraId="20263BA2" w14:textId="541E4741" w:rsidR="00542610" w:rsidRPr="009E7E16" w:rsidRDefault="00BA1DC9" w:rsidP="00542610">
      <w:pPr>
        <w:rPr>
          <w:rFonts w:cs="Calibri"/>
          <w:lang w:eastAsia="hr-HR"/>
        </w:rPr>
      </w:pPr>
      <w:r w:rsidRPr="009E7E16">
        <w:rPr>
          <w:rFonts w:cs="Calibri"/>
          <w:b/>
          <w:lang w:eastAsia="hr-HR"/>
        </w:rPr>
        <w:t>Metoda praćenja:</w:t>
      </w:r>
      <w:r w:rsidRPr="009E7E16">
        <w:rPr>
          <w:rFonts w:cs="Calibri"/>
          <w:lang w:eastAsia="hr-HR"/>
        </w:rPr>
        <w:t xml:space="preserve"> </w:t>
      </w:r>
      <w:r w:rsidR="00542610" w:rsidRPr="009E7E16">
        <w:rPr>
          <w:rFonts w:cs="Calibri"/>
          <w:lang w:eastAsia="hr-HR"/>
        </w:rPr>
        <w:t>Utvrđivanje površina šuma koje su prevedene u viši uzgojni oblik (ŠGOP, NIR) i površina koje su pod mjerama ograničenja gospodarenja vezano za Natura 2000 područja (kontrola provedbe intervencija od strane Agencije za plaćanja u poljoprivredi, ribarstvu i ruralnom razvoju).</w:t>
      </w:r>
    </w:p>
    <w:p w14:paraId="04241E7C" w14:textId="274DE2CA" w:rsidR="00BA1DC9" w:rsidRPr="009E7E16" w:rsidRDefault="00BA1DC9" w:rsidP="004623DD">
      <w:pPr>
        <w:rPr>
          <w:rFonts w:cs="Calibri"/>
          <w:lang w:eastAsia="hr-HR"/>
        </w:rPr>
      </w:pPr>
      <w:r w:rsidRPr="009E7E16">
        <w:rPr>
          <w:rFonts w:cs="Calibri"/>
          <w:b/>
          <w:lang w:eastAsia="hr-HR"/>
        </w:rPr>
        <w:t>Povezanost s drugim dimenzijama:</w:t>
      </w:r>
      <w:r w:rsidRPr="009E7E16">
        <w:rPr>
          <w:rFonts w:cs="Calibri"/>
          <w:lang w:eastAsia="hr-HR"/>
        </w:rPr>
        <w:t xml:space="preserve"> Obnovljivi izvori, energetska sigurnost, energetsko tržište</w:t>
      </w:r>
      <w:r w:rsidR="00732825" w:rsidRPr="009E7E16">
        <w:rPr>
          <w:rFonts w:cs="Calibri"/>
          <w:lang w:eastAsia="hr-HR"/>
        </w:rPr>
        <w:t>.</w:t>
      </w:r>
    </w:p>
    <w:p w14:paraId="64E0D12C" w14:textId="0BFDBCBE" w:rsidR="00E6316B" w:rsidRPr="00B47BDA" w:rsidRDefault="00E6316B" w:rsidP="00442F5F">
      <w:pPr>
        <w:pStyle w:val="Mjeranaslov"/>
        <w:rPr>
          <w:lang w:eastAsia="hr-HR"/>
        </w:rPr>
      </w:pPr>
      <w:r w:rsidRPr="00B47BDA">
        <w:rPr>
          <w:lang w:eastAsia="hr-HR"/>
        </w:rPr>
        <w:t xml:space="preserve">LUF-3 </w:t>
      </w:r>
      <w:r w:rsidR="00B8103F" w:rsidRPr="00B47BDA">
        <w:rPr>
          <w:lang w:eastAsia="hr-HR"/>
        </w:rPr>
        <w:t>Provedba radova pošumljavanja</w:t>
      </w:r>
      <w:r w:rsidR="00B8103F" w:rsidRPr="00B47BDA" w:rsidDel="00B8103F">
        <w:rPr>
          <w:lang w:eastAsia="hr-HR"/>
        </w:rPr>
        <w:t xml:space="preserve"> </w:t>
      </w:r>
    </w:p>
    <w:p w14:paraId="1FC569C4" w14:textId="77777777" w:rsidR="00DA1D06" w:rsidRPr="00B47BDA" w:rsidRDefault="00DA1D06" w:rsidP="004623DD">
      <w:pPr>
        <w:rPr>
          <w:lang w:eastAsia="hr-HR"/>
        </w:rPr>
      </w:pPr>
      <w:r w:rsidRPr="00B47BDA">
        <w:rPr>
          <w:lang w:eastAsia="hr-HR"/>
        </w:rPr>
        <w:t>Ekonomska mjera; provedba: 2021.-2030.</w:t>
      </w:r>
    </w:p>
    <w:p w14:paraId="231BC538" w14:textId="556EF65D" w:rsidR="00B55D6F" w:rsidRPr="009F66A6" w:rsidRDefault="43A856A9" w:rsidP="1C9333AB">
      <w:pPr>
        <w:spacing w:after="160" w:line="259" w:lineRule="auto"/>
        <w:rPr>
          <w:rFonts w:asciiTheme="minorHAnsi" w:hAnsiTheme="minorHAnsi" w:cs="Arial"/>
          <w:lang w:eastAsia="ja-JP"/>
        </w:rPr>
      </w:pPr>
      <w:r w:rsidRPr="1C9333AB">
        <w:rPr>
          <w:b/>
          <w:bCs/>
        </w:rPr>
        <w:t xml:space="preserve">Cilj i opis mjere: </w:t>
      </w:r>
      <w:r w:rsidRPr="1C9333AB">
        <w:rPr>
          <w:lang w:eastAsia="ja-JP"/>
        </w:rPr>
        <w:t xml:space="preserve">Pošumljavanje na površinama koje nisu šumske (u smislu IPCC metodologije), predstavlja aktivnost koja generira ponore. </w:t>
      </w:r>
      <w:r w:rsidR="003F1351" w:rsidRPr="003F1351">
        <w:rPr>
          <w:lang w:eastAsia="ja-JP"/>
        </w:rPr>
        <w:t>Republika Hrvatska nije u mogućnosti raspolagati svim površinama travnjaka (prema nacionalnom propisu: neobraslog proizvodnog šumskog zemljišta) za potrebe pošumljavanja zbog preuzetih obaveza vezano uz očuvanje pojedinih stanišnih tipova od interesa za Europsku uniju</w:t>
      </w:r>
      <w:r w:rsidRPr="1C9333AB">
        <w:rPr>
          <w:lang w:eastAsia="ja-JP"/>
        </w:rPr>
        <w:t xml:space="preserve">. S obzirom da u Republici Hrvatskoj postoje poljoprivredne površine na kojima se ne odvija </w:t>
      </w:r>
      <w:r w:rsidR="4F8F4A5C" w:rsidRPr="1C9333AB">
        <w:rPr>
          <w:lang w:eastAsia="ja-JP"/>
        </w:rPr>
        <w:t xml:space="preserve">poljoprivredna </w:t>
      </w:r>
      <w:r w:rsidRPr="1C9333AB">
        <w:rPr>
          <w:lang w:eastAsia="ja-JP"/>
        </w:rPr>
        <w:t xml:space="preserve">proizvodnja i koje su dugi niz godina zapuštene, prilikom izrade Strategije upravljanja zemljištem problem ovih površina mora biti odgovarajuće adresiran. Potrebno je ocijeniti opravdanost prenamjene ovih površina u šumske površine </w:t>
      </w:r>
      <w:r w:rsidR="0292FE19" w:rsidRPr="1C9333AB">
        <w:rPr>
          <w:lang w:eastAsia="ja-JP"/>
        </w:rPr>
        <w:t xml:space="preserve">s obzirom na obraslost ili </w:t>
      </w:r>
      <w:r w:rsidRPr="1C9333AB">
        <w:rPr>
          <w:lang w:eastAsia="ja-JP"/>
        </w:rPr>
        <w:t xml:space="preserve">provedbom pošumljavanja. Potrebno je izraditi smjernice daljnjeg razvoja temeljem znanja i iskustava stečenih provedbom aktivnosti pošumljavanja. </w:t>
      </w:r>
      <w:r w:rsidR="331FA3A1" w:rsidRPr="1C9333AB">
        <w:rPr>
          <w:lang w:eastAsia="ja-JP"/>
        </w:rPr>
        <w:t xml:space="preserve">U slučaju uvođenja mjere pošumljavanja na zemljištu koje neće biti privedeno poljoprivrednoj proizvodnji, mjera će zahtijevati jačanje sjemenarstva i rasadničarske službe u šumarskom sektoru i osiguranje šumskog reprodukcijskog materijala potrebnog za provedbu ovih radova. </w:t>
      </w:r>
    </w:p>
    <w:p w14:paraId="7B69C18B" w14:textId="77777777" w:rsidR="00B55D6F" w:rsidRPr="00151618" w:rsidRDefault="00B55D6F" w:rsidP="63259912">
      <w:pPr>
        <w:rPr>
          <w:highlight w:val="yellow"/>
          <w:lang w:eastAsia="hr-HR"/>
        </w:rPr>
      </w:pPr>
      <w:r w:rsidRPr="63259912">
        <w:rPr>
          <w:lang w:eastAsia="hr-HR"/>
        </w:rPr>
        <w:t xml:space="preserve">Određeni potencijal ponora ostvarit će se inicijativom milijun posađenih stabala godišnje, (šumske površine, urbana sadnja, agrošumarstvo, inundacijsko područje) urbana sadnja, agrošumarstvo, vodni putevi) međutim ovo će imati zamjetljive učinke za dvadeset do trideset godina. </w:t>
      </w:r>
    </w:p>
    <w:p w14:paraId="148BAB67" w14:textId="7CD70FA8" w:rsidR="00BA1DC9" w:rsidRPr="00B47BDA" w:rsidRDefault="00BA1DC9" w:rsidP="63259912">
      <w:pPr>
        <w:rPr>
          <w:lang w:eastAsia="hr-HR"/>
        </w:rPr>
      </w:pPr>
      <w:r w:rsidRPr="63259912">
        <w:rPr>
          <w:lang w:eastAsia="hr-HR"/>
        </w:rPr>
        <w:t xml:space="preserve">Dodatno, konverzija šibljaka i gariga nastalih na </w:t>
      </w:r>
      <w:r w:rsidR="006B00F7" w:rsidRPr="63259912">
        <w:rPr>
          <w:lang w:eastAsia="hr-HR"/>
        </w:rPr>
        <w:t xml:space="preserve">zapuštenom </w:t>
      </w:r>
      <w:r w:rsidRPr="63259912">
        <w:rPr>
          <w:lang w:eastAsia="hr-HR"/>
        </w:rPr>
        <w:t xml:space="preserve">poljoprivrednom tlu u više uzgojne oblike, koje bi se potom uveli u ŠGOP, mogla bi dati značajne količine novih ponora. Površine na kojima su mogući ovakvi zahvati treba odrediti, ako se radi o zemljištu koje je poljoprivredno, prenamjena treba biti u šumsko zemljište i uključivanje u ŠGOP. </w:t>
      </w:r>
    </w:p>
    <w:p w14:paraId="4FEB1428" w14:textId="77777777" w:rsidR="00604DAC" w:rsidRPr="00151618" w:rsidRDefault="00604DAC" w:rsidP="00604DAC">
      <w:pPr>
        <w:rPr>
          <w:lang w:eastAsia="hr-HR"/>
        </w:rPr>
      </w:pPr>
      <w:r w:rsidRPr="00151618">
        <w:rPr>
          <w:lang w:eastAsia="hr-HR"/>
        </w:rPr>
        <w:t xml:space="preserve">Navedene posljednje dvije aktivnosti pomoći će u povećanju ponora, ali ne rješava niti približno problem ostvarenja cilja do 2030. godine. </w:t>
      </w:r>
    </w:p>
    <w:p w14:paraId="07EDFE1F" w14:textId="6C44483C" w:rsidR="007A7454" w:rsidRDefault="007A7454" w:rsidP="009F1CA1">
      <w:pPr>
        <w:rPr>
          <w:b/>
          <w:lang w:eastAsia="hr-HR"/>
        </w:rPr>
      </w:pPr>
      <w:r w:rsidRPr="006D0A3E">
        <w:rPr>
          <w:rFonts w:cstheme="minorHAnsi"/>
          <w:b/>
          <w:bCs/>
        </w:rPr>
        <w:t>Aktivnosti</w:t>
      </w:r>
      <w:r w:rsidR="006D6C74">
        <w:rPr>
          <w:rFonts w:cstheme="minorHAnsi"/>
          <w:b/>
          <w:bCs/>
        </w:rPr>
        <w:t xml:space="preserve">: </w:t>
      </w:r>
      <w:r w:rsidR="001A7562">
        <w:rPr>
          <w:rFonts w:cs="Calibri"/>
        </w:rPr>
        <w:t xml:space="preserve">Provedba će biti </w:t>
      </w:r>
      <w:r w:rsidR="001A7562" w:rsidRPr="008D1E9D">
        <w:rPr>
          <w:rFonts w:cs="Calibri"/>
        </w:rPr>
        <w:t xml:space="preserve">prema postojećoj Šumsko gospodarskoj osnovi područja </w:t>
      </w:r>
      <w:r w:rsidR="001A7562">
        <w:rPr>
          <w:rFonts w:cs="Calibri"/>
        </w:rPr>
        <w:t xml:space="preserve">Republike Hrvatske </w:t>
      </w:r>
      <w:r w:rsidR="001A7562" w:rsidRPr="008D1E9D">
        <w:rPr>
          <w:rFonts w:cs="Calibri"/>
        </w:rPr>
        <w:t xml:space="preserve">2016.-2025. i novoj Šumsko gospodarskoj osnovi područja </w:t>
      </w:r>
      <w:r w:rsidR="001A7562">
        <w:rPr>
          <w:rFonts w:cs="Calibri"/>
        </w:rPr>
        <w:t xml:space="preserve">Republike Hrvatske </w:t>
      </w:r>
      <w:r w:rsidR="001A7562" w:rsidRPr="008D1E9D">
        <w:rPr>
          <w:rFonts w:cs="Calibri"/>
        </w:rPr>
        <w:t>2026.-2035. koja je u pripremi.</w:t>
      </w:r>
    </w:p>
    <w:p w14:paraId="77BA4493" w14:textId="7A14B844" w:rsidR="00BA1DC9" w:rsidRPr="00B47BDA" w:rsidRDefault="00BA1DC9" w:rsidP="63259912">
      <w:pPr>
        <w:rPr>
          <w:lang w:eastAsia="hr-HR"/>
        </w:rPr>
      </w:pPr>
      <w:r w:rsidRPr="63259912">
        <w:rPr>
          <w:b/>
          <w:bCs/>
          <w:lang w:eastAsia="hr-HR"/>
        </w:rPr>
        <w:lastRenderedPageBreak/>
        <w:t>Sredstva potrebna za provedbu</w:t>
      </w:r>
      <w:r w:rsidRPr="63259912">
        <w:rPr>
          <w:lang w:eastAsia="hr-HR"/>
        </w:rPr>
        <w:t xml:space="preserve">: </w:t>
      </w:r>
      <w:r w:rsidR="0030703E" w:rsidRPr="63259912">
        <w:rPr>
          <w:lang w:eastAsia="hr-HR"/>
        </w:rPr>
        <w:t>ZPP-om je predviđeno financiranje intervencije: 73.05. Rekonstrukcija (konverzija) degradiranih šuma - 11.764.706,25 EUR (1176 ha), što je daleko manje od mogućeg potencijala koji je gotovo trideset puta veći. Prema operativnom godišnjem planu za šume privatnih šumoposjednika za 2023. planirani su radovi pošumljavanja neobraslog šumskog zemljišta na površini od 8,30 ha ukupne vrijednosti 36.968,85 EUR.</w:t>
      </w:r>
    </w:p>
    <w:p w14:paraId="677587DB" w14:textId="686041DE" w:rsidR="00BA1DC9" w:rsidRPr="00B47BDA" w:rsidRDefault="00BA1DC9" w:rsidP="004623DD">
      <w:pPr>
        <w:rPr>
          <w:lang w:eastAsia="hr-HR"/>
        </w:rPr>
      </w:pPr>
      <w:r w:rsidRPr="00B47BDA">
        <w:rPr>
          <w:b/>
          <w:lang w:eastAsia="hr-HR"/>
        </w:rPr>
        <w:t xml:space="preserve">Učinak: </w:t>
      </w:r>
      <w:r w:rsidRPr="00B47BDA">
        <w:rPr>
          <w:lang w:eastAsia="hr-HR"/>
        </w:rPr>
        <w:t>Učinak će se utvrditi kad se utvrde površine i lokacije. Učinak ne može biti značajan do 2030. godine jer se radi o sadnicama čiji će prirast postati značaja</w:t>
      </w:r>
      <w:r w:rsidR="00BB429B">
        <w:rPr>
          <w:lang w:eastAsia="hr-HR"/>
        </w:rPr>
        <w:t>n</w:t>
      </w:r>
      <w:r w:rsidRPr="00B47BDA">
        <w:rPr>
          <w:lang w:eastAsia="hr-HR"/>
        </w:rPr>
        <w:t xml:space="preserve"> nakon dvadesetak godina.</w:t>
      </w:r>
    </w:p>
    <w:p w14:paraId="48B6F87E" w14:textId="15948483" w:rsidR="00BA1DC9" w:rsidRDefault="00BA1DC9" w:rsidP="17F04830">
      <w:pPr>
        <w:rPr>
          <w:b/>
          <w:bCs/>
          <w:lang w:eastAsia="hr-HR"/>
        </w:rPr>
      </w:pPr>
      <w:r w:rsidRPr="00806596">
        <w:rPr>
          <w:b/>
          <w:bCs/>
          <w:lang w:eastAsia="hr-HR"/>
        </w:rPr>
        <w:t>Metoda praćenja:</w:t>
      </w:r>
      <w:r w:rsidRPr="00B47BDA">
        <w:rPr>
          <w:lang w:eastAsia="hr-HR"/>
        </w:rPr>
        <w:t xml:space="preserve"> </w:t>
      </w:r>
      <w:r w:rsidR="00844878" w:rsidRPr="00151618">
        <w:rPr>
          <w:lang w:eastAsia="hr-HR"/>
        </w:rPr>
        <w:t>ŠGOP, NIR, Kontrola provedbe intervencija od strane Agencije za plaćanja u poljoprivredi, ribarstvu i ruralnom razvoju (APPRRR)</w:t>
      </w:r>
      <w:r w:rsidR="00844878">
        <w:rPr>
          <w:lang w:eastAsia="hr-HR"/>
        </w:rPr>
        <w:t>.</w:t>
      </w:r>
    </w:p>
    <w:p w14:paraId="7C8B4744" w14:textId="7299F55F" w:rsidR="00BA1DC9" w:rsidRDefault="00BA1DC9" w:rsidP="004623DD">
      <w:pPr>
        <w:rPr>
          <w:b/>
          <w:lang w:eastAsia="hr-HR"/>
        </w:rPr>
      </w:pPr>
      <w:r w:rsidRPr="00B47BDA">
        <w:rPr>
          <w:b/>
          <w:lang w:eastAsia="hr-HR"/>
        </w:rPr>
        <w:t xml:space="preserve">Izvršno tijelo: </w:t>
      </w:r>
      <w:r w:rsidRPr="00B47BDA">
        <w:rPr>
          <w:lang w:eastAsia="hr-HR"/>
        </w:rPr>
        <w:t>Hrvatske šume d.o.o.</w:t>
      </w:r>
      <w:r w:rsidR="00CA62A6">
        <w:rPr>
          <w:lang w:eastAsia="hr-HR"/>
        </w:rPr>
        <w:t xml:space="preserve">, </w:t>
      </w:r>
      <w:r w:rsidR="00917C74">
        <w:t>Ministarstvo poljoprivrede</w:t>
      </w:r>
      <w:r w:rsidR="00917C74" w:rsidRPr="00AE6008">
        <w:rPr>
          <w:lang w:eastAsia="hr-HR"/>
        </w:rPr>
        <w:t>, šumarstva i ribarstva</w:t>
      </w:r>
      <w:r w:rsidR="00917C74">
        <w:t xml:space="preserve"> (MPS).</w:t>
      </w:r>
    </w:p>
    <w:p w14:paraId="585133E9" w14:textId="3809DF34" w:rsidR="00F64ADE" w:rsidRPr="009F66A6" w:rsidRDefault="00F64ADE" w:rsidP="004623DD">
      <w:pPr>
        <w:rPr>
          <w:lang w:eastAsia="hr-HR"/>
        </w:rPr>
      </w:pPr>
      <w:r w:rsidRPr="00057CE4">
        <w:rPr>
          <w:b/>
          <w:bCs/>
          <w:lang w:eastAsia="hr-HR"/>
        </w:rPr>
        <w:t>Tijela za praćenje:</w:t>
      </w:r>
      <w:r w:rsidRPr="00B47BDA">
        <w:rPr>
          <w:lang w:eastAsia="hr-HR"/>
        </w:rPr>
        <w:t xml:space="preserve"> </w:t>
      </w:r>
      <w:r w:rsidR="00917C74">
        <w:t>Ministarstvo poljoprivrede</w:t>
      </w:r>
      <w:r w:rsidR="00917C74" w:rsidRPr="00AE6008">
        <w:rPr>
          <w:lang w:eastAsia="hr-HR"/>
        </w:rPr>
        <w:t>, šumarstva i ribarstva</w:t>
      </w:r>
      <w:r w:rsidR="00917C74">
        <w:t xml:space="preserve"> (MPS).</w:t>
      </w:r>
    </w:p>
    <w:p w14:paraId="0639E834" w14:textId="6958B953" w:rsidR="00BA1DC9" w:rsidRPr="00B47BDA" w:rsidRDefault="43A856A9" w:rsidP="1C9333AB">
      <w:pPr>
        <w:rPr>
          <w:b/>
          <w:bCs/>
          <w:lang w:eastAsia="hr-HR"/>
        </w:rPr>
      </w:pPr>
      <w:r w:rsidRPr="1C9333AB">
        <w:rPr>
          <w:b/>
          <w:bCs/>
          <w:lang w:eastAsia="hr-HR"/>
        </w:rPr>
        <w:t xml:space="preserve">Povezanost s drugim dimenzijama: </w:t>
      </w:r>
      <w:r w:rsidR="00A05EF1" w:rsidRPr="00A05EF1">
        <w:rPr>
          <w:lang w:eastAsia="hr-HR"/>
        </w:rPr>
        <w:t>Istraživanje, inovacije i konkurentnost.</w:t>
      </w:r>
      <w:r w:rsidR="00A05EF1">
        <w:rPr>
          <w:b/>
          <w:bCs/>
          <w:lang w:eastAsia="hr-HR"/>
        </w:rPr>
        <w:t xml:space="preserve"> </w:t>
      </w:r>
      <w:r w:rsidRPr="1C9333AB">
        <w:rPr>
          <w:lang w:eastAsia="hr-HR"/>
        </w:rPr>
        <w:t xml:space="preserve">Povezanost je s obnovljivim izvorima energije, ovisno </w:t>
      </w:r>
      <w:r w:rsidR="1E283AC5" w:rsidRPr="1C9333AB">
        <w:rPr>
          <w:lang w:eastAsia="hr-HR"/>
        </w:rPr>
        <w:t>o</w:t>
      </w:r>
      <w:r w:rsidRPr="1C9333AB">
        <w:rPr>
          <w:lang w:eastAsia="hr-HR"/>
        </w:rPr>
        <w:t xml:space="preserve"> vrsti sastojina, u njihovoj zreloj dobi kada počinje ophodnja dio (ostaci) će se koristiti za ogrjev.</w:t>
      </w:r>
      <w:r w:rsidRPr="1C9333AB">
        <w:rPr>
          <w:b/>
          <w:bCs/>
          <w:lang w:eastAsia="hr-HR"/>
        </w:rPr>
        <w:t xml:space="preserve"> </w:t>
      </w:r>
    </w:p>
    <w:p w14:paraId="5EEE01F4" w14:textId="5DA5B08E" w:rsidR="00BA1DC9" w:rsidRPr="006732F9" w:rsidRDefault="00BA1DC9" w:rsidP="004623DD">
      <w:pPr>
        <w:rPr>
          <w:b/>
          <w:bCs/>
          <w:lang w:eastAsia="hr-HR"/>
        </w:rPr>
      </w:pPr>
      <w:r w:rsidRPr="00442F5F">
        <w:rPr>
          <w:b/>
          <w:bCs/>
          <w:lang w:eastAsia="hr-HR"/>
        </w:rPr>
        <w:t>Istraživanje i razvoj:</w:t>
      </w:r>
      <w:r w:rsidR="006732F9">
        <w:rPr>
          <w:b/>
          <w:bCs/>
          <w:lang w:eastAsia="hr-HR"/>
        </w:rPr>
        <w:t xml:space="preserve"> </w:t>
      </w:r>
      <w:r w:rsidRPr="00B47BDA">
        <w:rPr>
          <w:lang w:eastAsia="hr-HR"/>
        </w:rPr>
        <w:t xml:space="preserve">Potrebno je utvrditi površine na kojima će se provesti pošumljavanje i potrebno je na vrijeme osigurati potrebne rasadničke kapacitete. </w:t>
      </w:r>
    </w:p>
    <w:p w14:paraId="6BCDCCCC" w14:textId="441C509E" w:rsidR="002F17E0" w:rsidRPr="00B47BDA" w:rsidRDefault="002F17E0" w:rsidP="0087751D">
      <w:pPr>
        <w:pStyle w:val="Mjeranaslov"/>
        <w:rPr>
          <w:lang w:eastAsia="hr-HR"/>
        </w:rPr>
      </w:pPr>
      <w:r w:rsidRPr="00B47BDA">
        <w:rPr>
          <w:lang w:eastAsia="hr-HR"/>
        </w:rPr>
        <w:t>LUF-</w:t>
      </w:r>
      <w:r w:rsidR="00D5149B" w:rsidRPr="00B47BDA">
        <w:rPr>
          <w:lang w:eastAsia="hr-HR"/>
        </w:rPr>
        <w:t>4</w:t>
      </w:r>
      <w:r w:rsidRPr="00B47BDA">
        <w:rPr>
          <w:lang w:eastAsia="hr-HR"/>
        </w:rPr>
        <w:t xml:space="preserve"> </w:t>
      </w:r>
      <w:r w:rsidR="005D6F10" w:rsidRPr="00B47BDA">
        <w:rPr>
          <w:lang w:eastAsia="hr-HR"/>
        </w:rPr>
        <w:t>Proizvodnja i uporaba drva i drvnih proizvoda</w:t>
      </w:r>
      <w:r w:rsidR="00622DB1" w:rsidRPr="00B47BDA">
        <w:rPr>
          <w:lang w:eastAsia="hr-HR"/>
        </w:rPr>
        <w:t xml:space="preserve"> </w:t>
      </w:r>
    </w:p>
    <w:p w14:paraId="5136A22C" w14:textId="77777777" w:rsidR="00227422" w:rsidRPr="00B47BDA" w:rsidRDefault="00227422" w:rsidP="004623DD">
      <w:pPr>
        <w:rPr>
          <w:lang w:eastAsia="hr-HR"/>
        </w:rPr>
      </w:pPr>
      <w:r w:rsidRPr="00B47BDA">
        <w:rPr>
          <w:lang w:eastAsia="hr-HR"/>
        </w:rPr>
        <w:t>Regulatorna, ekonomska,</w:t>
      </w:r>
      <w:r w:rsidR="00536364" w:rsidRPr="00B47BDA">
        <w:rPr>
          <w:lang w:eastAsia="hr-HR"/>
        </w:rPr>
        <w:t xml:space="preserve"> obrazovna,</w:t>
      </w:r>
      <w:r w:rsidRPr="00B47BDA">
        <w:rPr>
          <w:lang w:eastAsia="hr-HR"/>
        </w:rPr>
        <w:t xml:space="preserve"> informacijska mjera; provedba: 2021.-2030.</w:t>
      </w:r>
    </w:p>
    <w:p w14:paraId="37F859C3" w14:textId="77777777" w:rsidR="00BA1DC9" w:rsidRPr="00B47BDA" w:rsidRDefault="00BA1DC9" w:rsidP="63259912">
      <w:pPr>
        <w:rPr>
          <w:lang w:eastAsia="hr-HR"/>
        </w:rPr>
      </w:pPr>
      <w:r w:rsidRPr="63259912">
        <w:rPr>
          <w:b/>
          <w:bCs/>
        </w:rPr>
        <w:t xml:space="preserve">Cilj i opis mjere: </w:t>
      </w:r>
      <w:r w:rsidRPr="63259912">
        <w:rPr>
          <w:lang w:eastAsia="hr-HR"/>
        </w:rPr>
        <w:t>Potrebno je harmonizacijom dostupnih podataka i statističkih izvješća, te novim istraživanjima usuglasiti informacije kojima se raspolaže za potrebe različitih izvještavanja prema međunarodnim organizacijama u cilju što točnijeg, transparentnijeg i kvalitetnog izvješćivanja, ali i stvaranja harmoniziranih podloga za donošenje srednjoročnih i dugoročnih strategija u šumarskom i drvoprerađivačkom sektoru. Podrazumijeva se mapiranje šumarske i drvne industrijske proizvodnje. Poticati korištenje drvnih proizvoda u tradicionalnim i novim proizvodima u cilju povećavanja odliva i smanjenja emisija stakleničkih plinova u pohraništu drvnih proizvoda. Navedeno zahtjeva i regulacija izvoza neobrađenog i poluobrađenog drva što potiče razvoj domaće drvne industrije, a regulacija izvoza energetskog drva povećava udio proizvodnje energije iz obnovljivih izvora čime se ispunjavaju preuzete međunarodne obveze. Potrebno je promovirati aktivnosti kojima se generiraju odlivi te koje osiguravaju da se drvni proizvodi i drvo za energetske svrhe koriste na načine koji doprinose ispunjavanju oba cilja EU do 2030. godine (smanjenju emisija i povećanju udjela obnovljivih izvora u ukupnoj potrošnji energije) te su korisne za klimu i okoliš. Potrebno je izraditi smjernice daljnjeg razvoja temeljem znanja i iskustava stečenih provedbom ove mjere.</w:t>
      </w:r>
    </w:p>
    <w:p w14:paraId="4D985745" w14:textId="41BCEFF0" w:rsidR="00BA1DC9" w:rsidRPr="00B47BDA" w:rsidRDefault="00BA1DC9" w:rsidP="63259912">
      <w:pPr>
        <w:rPr>
          <w:b/>
          <w:bCs/>
          <w:lang w:eastAsia="ja-JP"/>
        </w:rPr>
      </w:pPr>
      <w:r w:rsidRPr="63259912">
        <w:rPr>
          <w:lang w:eastAsia="hr-HR"/>
        </w:rPr>
        <w:t>Ugljik vezan u drvne proizvode emitirat će se u atmosferu postupno, kroz nekoliko godina do nekoliko desetaka godina (ovisno o vrsti proizvoda), dok korištenje biomase za ogrjev predstavlja trenutnu emisiju. Supstitucija drugih materijala koji imaju velik ugljični otisak kao što su proizvodi od metala, plastike, betona drvom, smanjuje se emisije. Republika Hrvatska ima značajni ponor u sektoru Drvnih proizvoda na razini uklanjanja -700 ktCO</w:t>
      </w:r>
      <w:r w:rsidRPr="63259912">
        <w:rPr>
          <w:vertAlign w:val="subscript"/>
          <w:lang w:eastAsia="hr-HR"/>
        </w:rPr>
        <w:t>2</w:t>
      </w:r>
      <w:r w:rsidRPr="63259912">
        <w:rPr>
          <w:lang w:eastAsia="hr-HR"/>
        </w:rPr>
        <w:t xml:space="preserve">-eq/god u posljednjim godinama, što čini 12% uklanjanja ponorima. Potrebno je povećavati udio drvnih </w:t>
      </w:r>
      <w:r w:rsidRPr="63259912">
        <w:rPr>
          <w:lang w:eastAsia="hr-HR"/>
        </w:rPr>
        <w:lastRenderedPageBreak/>
        <w:t xml:space="preserve">proizvoda, smanjivati udio drvne mase koja se koristi kao gorivo. U </w:t>
      </w:r>
      <w:r w:rsidRPr="63259912">
        <w:rPr>
          <w:lang w:eastAsia="ja-JP"/>
        </w:rPr>
        <w:t>cilju povećanja kategorije proizvoda višeg stupnja finalizacije i proizvoda više dodane vrijednosti, navode se ovdje glavni čimbenici, raspoznati za Republiku Hrvatsku: Ljudski resursi/'know-how', potražnja za proizvodima od drva, dostupnost/raspoloživost sirovine, tehnološka ulaganja u sektor prerade drva i proizvodnje proizvoda od drva, podizanje tehnološke razine, povećanje produktivnosti i profitabilnosti.</w:t>
      </w:r>
      <w:r w:rsidRPr="63259912">
        <w:rPr>
          <w:b/>
          <w:bCs/>
          <w:lang w:eastAsia="ja-JP"/>
        </w:rPr>
        <w:t xml:space="preserve"> </w:t>
      </w:r>
    </w:p>
    <w:p w14:paraId="432446F6" w14:textId="77777777" w:rsidR="002F164E" w:rsidRPr="00151618" w:rsidRDefault="002F164E" w:rsidP="002F164E">
      <w:pPr>
        <w:rPr>
          <w:lang w:eastAsia="hr-HR"/>
        </w:rPr>
      </w:pPr>
      <w:r w:rsidRPr="00151618">
        <w:rPr>
          <w:lang w:eastAsia="hr-HR"/>
        </w:rPr>
        <w:t>Ova mjera povezana je sa Zajedničkom poljoprivrednom politikom (ZPP) i Strateškim planom u sklopu intervencije:</w:t>
      </w:r>
    </w:p>
    <w:p w14:paraId="61C331A4" w14:textId="55B08070" w:rsidR="002F164E" w:rsidRPr="00151618" w:rsidRDefault="002F164E" w:rsidP="002F164E">
      <w:pPr>
        <w:rPr>
          <w:lang w:eastAsia="hr-HR"/>
        </w:rPr>
      </w:pPr>
      <w:r w:rsidRPr="00151618">
        <w:rPr>
          <w:lang w:eastAsia="hr-HR"/>
        </w:rPr>
        <w:t>73.07. Modernizacija tehnologija u predindustrijskoj preradi drva (26.888.032,50 EUR)</w:t>
      </w:r>
    </w:p>
    <w:p w14:paraId="18545E76" w14:textId="77777777" w:rsidR="002F164E" w:rsidRPr="00151618" w:rsidRDefault="002F164E" w:rsidP="002F164E">
      <w:pPr>
        <w:rPr>
          <w:lang w:eastAsia="hr-HR"/>
        </w:rPr>
      </w:pPr>
      <w:r w:rsidRPr="00151618">
        <w:rPr>
          <w:lang w:eastAsia="hr-HR"/>
        </w:rPr>
        <w:t>73.09. Promocija šumskih proizvoda i usluga (1.176.470,00 EUR).</w:t>
      </w:r>
    </w:p>
    <w:p w14:paraId="6858CC34" w14:textId="28A7D492" w:rsidR="00BA1DC9" w:rsidRPr="00B47BDA" w:rsidRDefault="002F164E" w:rsidP="63259912">
      <w:pPr>
        <w:rPr>
          <w:lang w:eastAsia="hr-HR"/>
        </w:rPr>
      </w:pPr>
      <w:r w:rsidRPr="63259912">
        <w:rPr>
          <w:lang w:eastAsia="hr-HR"/>
        </w:rPr>
        <w:t>Strateški plan ZPP-a utvrđuje da je potrebno povećati marketing šumskih drvnih i nedrvnih proizvoda čime će se i stvoriti i preduvjeti za nova radna mjesta u ruralnim područjima.</w:t>
      </w:r>
    </w:p>
    <w:p w14:paraId="232CA57B" w14:textId="7E189123" w:rsidR="007A7454" w:rsidRDefault="007A7454" w:rsidP="004623DD">
      <w:pPr>
        <w:rPr>
          <w:b/>
        </w:rPr>
      </w:pPr>
      <w:r w:rsidRPr="006D0A3E">
        <w:rPr>
          <w:rFonts w:cstheme="minorHAnsi"/>
          <w:b/>
          <w:bCs/>
        </w:rPr>
        <w:t>Aktivnosti</w:t>
      </w:r>
      <w:r w:rsidR="00F71231">
        <w:rPr>
          <w:rFonts w:cstheme="minorHAnsi"/>
          <w:b/>
          <w:bCs/>
        </w:rPr>
        <w:t xml:space="preserve">: </w:t>
      </w:r>
      <w:r w:rsidR="006E778F" w:rsidRPr="00D90258">
        <w:rPr>
          <w:rFonts w:cs="Calibri"/>
        </w:rPr>
        <w:t xml:space="preserve">Aktivnosti vezano za proizvodnju drva prema postojećoj Šumsko gospodarskoj osnovi područja </w:t>
      </w:r>
      <w:r w:rsidR="006E778F">
        <w:rPr>
          <w:rFonts w:cs="Calibri"/>
        </w:rPr>
        <w:t xml:space="preserve">Republike Hrvatske </w:t>
      </w:r>
      <w:r w:rsidR="006E778F" w:rsidRPr="00D90258">
        <w:rPr>
          <w:rFonts w:cs="Calibri"/>
        </w:rPr>
        <w:t xml:space="preserve">2016.-2025.  i novoj Šumsko gospodarskoj osnovi područja </w:t>
      </w:r>
      <w:r w:rsidR="006E778F">
        <w:rPr>
          <w:rFonts w:cs="Calibri"/>
        </w:rPr>
        <w:t xml:space="preserve">Republike Hrvatske </w:t>
      </w:r>
      <w:r w:rsidR="006E778F" w:rsidRPr="00D90258">
        <w:rPr>
          <w:rFonts w:cs="Calibri"/>
        </w:rPr>
        <w:t>2026.-2035. koja je u pripremi. Upotreba drva prema Nacionalnom planu razvoja prerade drva i proizvodnje namještaja Republike Hrvatske za razdoblje od 2023. do 2030. godine i akcijskog plana provedbe nacionalnog plana razvoja prerade drva i proizvodnje namještaja Republike Hrvatske za razdoblje od 2023. do 2024. godine (</w:t>
      </w:r>
      <w:r w:rsidR="00654BFE">
        <w:rPr>
          <w:rFonts w:cs="Calibri"/>
        </w:rPr>
        <w:t>„</w:t>
      </w:r>
      <w:r w:rsidR="006E778F" w:rsidRPr="00D90258">
        <w:rPr>
          <w:rFonts w:cs="Calibri"/>
        </w:rPr>
        <w:t>N</w:t>
      </w:r>
      <w:r w:rsidR="006E778F">
        <w:rPr>
          <w:rFonts w:cs="Calibri"/>
        </w:rPr>
        <w:t>arodne novine</w:t>
      </w:r>
      <w:r w:rsidR="00654BFE">
        <w:rPr>
          <w:rFonts w:cs="Calibri"/>
        </w:rPr>
        <w:t>“, br.</w:t>
      </w:r>
      <w:r w:rsidR="006E778F" w:rsidRPr="00D90258">
        <w:rPr>
          <w:rFonts w:cs="Calibri"/>
        </w:rPr>
        <w:t xml:space="preserve"> 122/2023).</w:t>
      </w:r>
    </w:p>
    <w:p w14:paraId="319ED470" w14:textId="74F795D3" w:rsidR="00BA1DC9" w:rsidRPr="00B47BDA" w:rsidRDefault="00BA1DC9" w:rsidP="004623DD">
      <w:r w:rsidRPr="00B47BDA">
        <w:rPr>
          <w:b/>
        </w:rPr>
        <w:t>Izvori financiranja:</w:t>
      </w:r>
      <w:r w:rsidRPr="00B47BDA">
        <w:t xml:space="preserve"> </w:t>
      </w:r>
      <w:r w:rsidR="008D5FC2" w:rsidRPr="00151618">
        <w:t xml:space="preserve">Europski poljoprivredni fond za ruralni razvoj (EPFRR), EU fondovi za regionalni razvoj, </w:t>
      </w:r>
      <w:r w:rsidR="002F1EEF" w:rsidRPr="002F1EEF">
        <w:t>prihodi od prodaje emisijskih jedinica iz EU ETS-a</w:t>
      </w:r>
      <w:r w:rsidR="008D5FC2">
        <w:t>.</w:t>
      </w:r>
      <w:r w:rsidRPr="00B47BDA">
        <w:t xml:space="preserve"> </w:t>
      </w:r>
    </w:p>
    <w:p w14:paraId="5FD0D9F7" w14:textId="6CCCB1F6" w:rsidR="00C2443C" w:rsidRDefault="00C2443C" w:rsidP="004623DD">
      <w:pPr>
        <w:rPr>
          <w:b/>
          <w:lang w:eastAsia="hr-HR"/>
        </w:rPr>
      </w:pPr>
      <w:r w:rsidRPr="00B47BDA">
        <w:rPr>
          <w:b/>
          <w:lang w:eastAsia="hr-HR"/>
        </w:rPr>
        <w:t xml:space="preserve">Izvršno tijelo: </w:t>
      </w:r>
      <w:r w:rsidRPr="00B47BDA">
        <w:rPr>
          <w:lang w:eastAsia="hr-HR"/>
        </w:rPr>
        <w:t>Hrvatske šume d.o.o.</w:t>
      </w:r>
      <w:r>
        <w:rPr>
          <w:lang w:eastAsia="hr-HR"/>
        </w:rPr>
        <w:t xml:space="preserve">, </w:t>
      </w:r>
      <w:r w:rsidR="00917C74">
        <w:t>Ministarstvo poljoprivrede</w:t>
      </w:r>
      <w:r w:rsidR="00917C74" w:rsidRPr="00AE6008">
        <w:rPr>
          <w:lang w:eastAsia="hr-HR"/>
        </w:rPr>
        <w:t>, šumarstva i ribarstva</w:t>
      </w:r>
      <w:r w:rsidR="00917C74">
        <w:t xml:space="preserve"> (MPS).</w:t>
      </w:r>
    </w:p>
    <w:p w14:paraId="35489598" w14:textId="2C46C3E6" w:rsidR="00BA1DC9" w:rsidRPr="00B47BDA" w:rsidRDefault="00BA1DC9" w:rsidP="004623DD">
      <w:pPr>
        <w:rPr>
          <w:lang w:eastAsia="hr-HR"/>
        </w:rPr>
      </w:pPr>
      <w:r w:rsidRPr="00B47BDA">
        <w:rPr>
          <w:b/>
        </w:rPr>
        <w:t>Tijela za praćenje</w:t>
      </w:r>
      <w:r w:rsidRPr="00B47BDA">
        <w:t xml:space="preserve">: </w:t>
      </w:r>
      <w:r w:rsidR="00DE1155" w:rsidRPr="004E559C">
        <w:rPr>
          <w:lang w:eastAsia="hr-HR"/>
        </w:rPr>
        <w:t>Ministarstvo zaštite okoliša i zelene tranzicije</w:t>
      </w:r>
      <w:r w:rsidRPr="00B47BDA">
        <w:t xml:space="preserve">, </w:t>
      </w:r>
      <w:r w:rsidR="00917C74">
        <w:t>Ministarstvo poljoprivrede</w:t>
      </w:r>
      <w:r w:rsidR="00917C74" w:rsidRPr="00AE6008">
        <w:rPr>
          <w:lang w:eastAsia="hr-HR"/>
        </w:rPr>
        <w:t>, šumarstva i ribarstva</w:t>
      </w:r>
      <w:r w:rsidR="00917C74">
        <w:t xml:space="preserve"> (MPS).</w:t>
      </w:r>
    </w:p>
    <w:p w14:paraId="3C9FB7F1" w14:textId="593BA960" w:rsidR="00BA1DC9" w:rsidRPr="00B47BDA" w:rsidRDefault="00BA1DC9" w:rsidP="004623DD">
      <w:r w:rsidRPr="00B47BDA">
        <w:rPr>
          <w:b/>
        </w:rPr>
        <w:t>Učinak:</w:t>
      </w:r>
      <w:r w:rsidRPr="00B47BDA">
        <w:t xml:space="preserve"> Količina drvnih proizvoda između ostalog ovisi o intenzitetu sječe, cilj je povećati udio volumena drva koji ugrađuje u drvne proizvode, smanjivati korištenje biomase za energetske potrebe. Provedbom mjera energetske učinkovitosti potrebe u kućanstvima za ogrjevnom biomasom će se smanjivati. </w:t>
      </w:r>
      <w:r w:rsidR="3DC4C8A8">
        <w:t>Ponor</w:t>
      </w:r>
      <w:r w:rsidRPr="00B47BDA">
        <w:t xml:space="preserve"> koji se ostvaruje drvnim proizvodima je povijesno u posljednjih deset godina varirao od 250 – 850 ktCO</w:t>
      </w:r>
      <w:r w:rsidRPr="00B47BDA">
        <w:rPr>
          <w:vertAlign w:val="subscript"/>
        </w:rPr>
        <w:t>2</w:t>
      </w:r>
      <w:r w:rsidRPr="00B47BDA">
        <w:t xml:space="preserve">-eq. </w:t>
      </w:r>
    </w:p>
    <w:p w14:paraId="56607C94" w14:textId="77777777" w:rsidR="00BA1DC9" w:rsidRPr="00B47BDA" w:rsidRDefault="00BA1DC9" w:rsidP="004623DD">
      <w:pPr>
        <w:rPr>
          <w:lang w:eastAsia="hr-HR"/>
        </w:rPr>
      </w:pPr>
      <w:r w:rsidRPr="00B47BDA">
        <w:rPr>
          <w:b/>
        </w:rPr>
        <w:t>Metoda praćenja:</w:t>
      </w:r>
      <w:r w:rsidRPr="00B47BDA">
        <w:t xml:space="preserve"> Podaci Hrvatskih šuma o sječi i volumenu sortimenta, statistički podaci praćenje drvnih proizvoda. </w:t>
      </w:r>
    </w:p>
    <w:p w14:paraId="4E982669" w14:textId="77777777" w:rsidR="00BA1DC9" w:rsidRPr="00B47BDA" w:rsidRDefault="00BA1DC9" w:rsidP="004623DD">
      <w:pPr>
        <w:rPr>
          <w:lang w:eastAsia="hr-HR"/>
        </w:rPr>
      </w:pPr>
      <w:r w:rsidRPr="00B47BDA">
        <w:rPr>
          <w:b/>
        </w:rPr>
        <w:t>Povezanost s drugim dimenzijama:</w:t>
      </w:r>
      <w:r w:rsidRPr="00B47BDA">
        <w:t xml:space="preserve"> Povezanost s obnovljivim izvorima energije i sigurnosti opskrbe energijom. Ukoliko dođe do poremećaja u opskrbi, može se očekivati povećanje potrošnje biomase za energetske potrebe. </w:t>
      </w:r>
    </w:p>
    <w:p w14:paraId="69A30D78" w14:textId="3E2C25E5" w:rsidR="007C0F4E" w:rsidRPr="0027355E" w:rsidRDefault="00BA1DC9" w:rsidP="004623DD">
      <w:pPr>
        <w:rPr>
          <w:rFonts w:cs="Calibri"/>
          <w:lang w:eastAsia="hr-HR"/>
        </w:rPr>
      </w:pPr>
      <w:r w:rsidRPr="00455D82">
        <w:rPr>
          <w:rFonts w:cs="Calibri"/>
          <w:b/>
        </w:rPr>
        <w:t>Istraživanje i razvoj:</w:t>
      </w:r>
      <w:r w:rsidRPr="00455D82">
        <w:rPr>
          <w:rFonts w:cs="Calibri"/>
        </w:rPr>
        <w:t xml:space="preserve"> Potrebno je utvrditi tokove masa u kaskadnom pristupu korištenja drva od proizvodnje do konačnih proizvoda, poboljšati statistiku praćenja. Projekt CROWOODS je početni projekt za unaprjeđenje praćenja, definiranje pravaca djelovanja i mogućih mjera. </w:t>
      </w:r>
    </w:p>
    <w:p w14:paraId="570A5885" w14:textId="5DD53EAD" w:rsidR="00BA1DC9" w:rsidRPr="00B47BDA" w:rsidRDefault="5AE4E7D2" w:rsidP="00442F5F">
      <w:pPr>
        <w:pStyle w:val="Mjeranaslov"/>
        <w:rPr>
          <w:highlight w:val="yellow"/>
          <w:lang w:eastAsia="hr-HR"/>
        </w:rPr>
      </w:pPr>
      <w:r w:rsidRPr="71589035">
        <w:rPr>
          <w:lang w:eastAsia="hr-HR"/>
        </w:rPr>
        <w:t xml:space="preserve">LUF-5 </w:t>
      </w:r>
      <w:r w:rsidR="31306AA5" w:rsidRPr="71589035">
        <w:rPr>
          <w:lang w:eastAsia="hr-HR"/>
        </w:rPr>
        <w:t>Gospodarenje poljoprivrednim zemljištem</w:t>
      </w:r>
    </w:p>
    <w:p w14:paraId="42F2D6DC" w14:textId="77777777" w:rsidR="00AE75B1" w:rsidRPr="00B47BDA" w:rsidRDefault="00AE75B1" w:rsidP="004623DD">
      <w:pPr>
        <w:rPr>
          <w:lang w:eastAsia="hr-HR"/>
        </w:rPr>
      </w:pPr>
      <w:r w:rsidRPr="00B47BDA">
        <w:rPr>
          <w:lang w:eastAsia="hr-HR"/>
        </w:rPr>
        <w:t>Ekonomska mjera; provedba: 2021.-2030.</w:t>
      </w:r>
    </w:p>
    <w:p w14:paraId="79298904" w14:textId="60DDAD1A" w:rsidR="00BA1DC9" w:rsidRPr="00B47BDA" w:rsidRDefault="051CED8C" w:rsidP="63259912">
      <w:pPr>
        <w:rPr>
          <w:lang w:eastAsia="hr-HR"/>
        </w:rPr>
      </w:pPr>
      <w:r w:rsidRPr="63259912">
        <w:rPr>
          <w:b/>
          <w:bCs/>
        </w:rPr>
        <w:lastRenderedPageBreak/>
        <w:t xml:space="preserve">Cilj i opis mjere: </w:t>
      </w:r>
      <w:r w:rsidR="43A856A9" w:rsidRPr="63259912">
        <w:rPr>
          <w:lang w:eastAsia="hr-HR"/>
        </w:rPr>
        <w:t>Provedb</w:t>
      </w:r>
      <w:r w:rsidR="1052A299" w:rsidRPr="63259912">
        <w:rPr>
          <w:lang w:eastAsia="hr-HR"/>
        </w:rPr>
        <w:t>a</w:t>
      </w:r>
      <w:r w:rsidR="43A856A9" w:rsidRPr="63259912">
        <w:rPr>
          <w:lang w:eastAsia="hr-HR"/>
        </w:rPr>
        <w:t xml:space="preserve"> aktivnosti u gospodarenju površinama za poljoprivrednu proizvodnju na način koji doprinosi smanjenju emisij</w:t>
      </w:r>
      <w:r w:rsidR="55104A25" w:rsidRPr="63259912">
        <w:rPr>
          <w:lang w:eastAsia="hr-HR"/>
        </w:rPr>
        <w:t xml:space="preserve">a. </w:t>
      </w:r>
      <w:r w:rsidR="43A856A9" w:rsidRPr="63259912">
        <w:rPr>
          <w:lang w:eastAsia="hr-HR"/>
        </w:rPr>
        <w:t xml:space="preserve">Prakse gospodarenja ovim površinama koje mogu imati utjecaja na emisije i </w:t>
      </w:r>
      <w:r w:rsidR="006C6D42" w:rsidRPr="63259912">
        <w:rPr>
          <w:lang w:eastAsia="hr-HR"/>
        </w:rPr>
        <w:t xml:space="preserve">ponore </w:t>
      </w:r>
      <w:r w:rsidR="43A856A9" w:rsidRPr="63259912">
        <w:rPr>
          <w:lang w:eastAsia="hr-HR"/>
        </w:rPr>
        <w:t>u primjerice u pohraništu tla su: načini obrade tla, životni vijek nasada/usjeva (rotacijsko razdoblje) i tip usjeva/nasada, primjena gnojiva, gospodarenje ostacima, kontrola erozije, primjena sustava navodnjavanja i dr. Potrebno je promovirati način gospodarenja ovim površinama koj</w:t>
      </w:r>
      <w:r w:rsidR="442B8827" w:rsidRPr="63259912">
        <w:rPr>
          <w:lang w:eastAsia="hr-HR"/>
        </w:rPr>
        <w:t>i</w:t>
      </w:r>
      <w:r w:rsidR="43A856A9" w:rsidRPr="63259912">
        <w:rPr>
          <w:lang w:eastAsia="hr-HR"/>
        </w:rPr>
        <w:t xml:space="preserve"> je koristan za klimu i okoliš te izraditi smjernice daljnjeg razvoja temeljem znanja i iskustava stečenih provedbom ove mjere. </w:t>
      </w:r>
    </w:p>
    <w:p w14:paraId="497A4927" w14:textId="458487C4" w:rsidR="00BA1DC9" w:rsidRPr="00B47BDA" w:rsidRDefault="00BA1DC9" w:rsidP="009F1CA1">
      <w:pPr>
        <w:rPr>
          <w:lang w:eastAsia="hr-HR"/>
        </w:rPr>
      </w:pPr>
      <w:r w:rsidRPr="00B47BDA">
        <w:rPr>
          <w:lang w:eastAsia="hr-HR"/>
        </w:rPr>
        <w:t xml:space="preserve">Način gospodarenja poljoprivrednim kategorijama zemljišta koji primjenjuje mjere smanjenja emisija, kojim se čuva i povećava sadržaj ugljika u tlu zovemo 'ugljičnom poljoprivredom'. Ugljična poljoprivreda je premisa razvoja poljoprivrede na putu prema klimatski neutralnom gospodarstvu. </w:t>
      </w:r>
      <w:r w:rsidR="009B4C06" w:rsidRPr="00151618">
        <w:rPr>
          <w:lang w:eastAsia="hr-HR"/>
        </w:rPr>
        <w:t>Trenutno, prepreka je što nisu napravljene karte ugljika u poljoprivrednom tlu. EU uvodi certifikaciju odliva, čime se namjeravaju osigurati dodatna financijska sredstva za ugljičnu poljoprivredu.</w:t>
      </w:r>
    </w:p>
    <w:p w14:paraId="735529D1" w14:textId="0859397B" w:rsidR="00BA1DC9" w:rsidRPr="00B47BDA" w:rsidRDefault="003509C8" w:rsidP="004623DD">
      <w:pPr>
        <w:rPr>
          <w:lang w:eastAsia="hr-HR"/>
        </w:rPr>
      </w:pPr>
      <w:r w:rsidRPr="00151618">
        <w:rPr>
          <w:lang w:eastAsia="hr-HR"/>
        </w:rPr>
        <w:t>U nastavku opisuju se mjere koje se potencijalno mogu smatrati ugljičnom poljoprivredom, a koje se financiraju kroz Strateški plan:</w:t>
      </w:r>
      <w:r w:rsidR="00BA1DC9" w:rsidRPr="00B47BDA">
        <w:rPr>
          <w:lang w:eastAsia="hr-HR"/>
        </w:rPr>
        <w:t xml:space="preserve"> </w:t>
      </w:r>
    </w:p>
    <w:p w14:paraId="25323029" w14:textId="61FEDDE7" w:rsidR="00BA1DC9" w:rsidRPr="00B47BDA" w:rsidRDefault="00BA1DC9" w:rsidP="004623DD">
      <w:pPr>
        <w:rPr>
          <w:lang w:eastAsia="hr-HR"/>
        </w:rPr>
      </w:pPr>
      <w:r w:rsidRPr="00B47BDA">
        <w:rPr>
          <w:lang w:eastAsia="hr-HR"/>
        </w:rPr>
        <w:t>31.03.</w:t>
      </w:r>
      <w:r w:rsidRPr="00B47BDA">
        <w:rPr>
          <w:lang w:eastAsia="hr-HR"/>
        </w:rPr>
        <w:tab/>
      </w:r>
      <w:r w:rsidRPr="00B47BDA">
        <w:rPr>
          <w:u w:val="single"/>
          <w:lang w:eastAsia="hr-HR"/>
        </w:rPr>
        <w:t>Intenzivirano održavanje ekološki značajnih površina</w:t>
      </w:r>
      <w:r w:rsidRPr="00B47BDA">
        <w:rPr>
          <w:lang w:eastAsia="hr-HR"/>
        </w:rPr>
        <w:t>: Intervencija predstavlja modifikaciju zelene prakse ekološki značajne površine, prema kojem se ona</w:t>
      </w:r>
      <w:r w:rsidRPr="00B47BDA">
        <w:rPr>
          <w:spacing w:val="1"/>
          <w:lang w:eastAsia="hr-HR"/>
        </w:rPr>
        <w:t xml:space="preserve"> </w:t>
      </w:r>
      <w:r w:rsidRPr="00B47BDA">
        <w:rPr>
          <w:lang w:eastAsia="hr-HR"/>
        </w:rPr>
        <w:t xml:space="preserve">provodi na svim vrstama uporabe poljoprivrednog zemljišta, te na gospodarstvima, bez obzira na veličinu njihove poljoprivredne površine. </w:t>
      </w:r>
      <w:r w:rsidR="00D11D2F" w:rsidRPr="00151618">
        <w:rPr>
          <w:lang w:eastAsia="hr-HR"/>
        </w:rPr>
        <w:t>Ukupna alokacija iznosi 5.200.000,00 EUR.</w:t>
      </w:r>
    </w:p>
    <w:p w14:paraId="54057AB1" w14:textId="4F224754" w:rsidR="00BA1DC9" w:rsidRDefault="00BA1DC9" w:rsidP="63259912">
      <w:pPr>
        <w:rPr>
          <w:lang w:eastAsia="hr-HR"/>
        </w:rPr>
      </w:pPr>
      <w:r w:rsidRPr="63259912">
        <w:rPr>
          <w:lang w:eastAsia="hr-HR"/>
        </w:rPr>
        <w:t>31.0</w:t>
      </w:r>
      <w:r w:rsidR="00D11D2F" w:rsidRPr="63259912">
        <w:rPr>
          <w:lang w:eastAsia="hr-HR"/>
        </w:rPr>
        <w:t>6</w:t>
      </w:r>
      <w:r w:rsidRPr="63259912">
        <w:rPr>
          <w:lang w:eastAsia="hr-HR"/>
        </w:rPr>
        <w:t xml:space="preserve"> </w:t>
      </w:r>
      <w:r w:rsidRPr="63259912">
        <w:rPr>
          <w:u w:val="single"/>
          <w:lang w:eastAsia="hr-HR"/>
        </w:rPr>
        <w:t>Konzervacijska poljoprivreda</w:t>
      </w:r>
      <w:r w:rsidRPr="63259912">
        <w:rPr>
          <w:lang w:eastAsia="hr-HR"/>
        </w:rPr>
        <w:t>: Cilj</w:t>
      </w:r>
      <w:r w:rsidRPr="63259912">
        <w:rPr>
          <w:spacing w:val="1"/>
          <w:lang w:eastAsia="hr-HR"/>
        </w:rPr>
        <w:t xml:space="preserve"> konzervacijske poljoprivrede je </w:t>
      </w:r>
      <w:r w:rsidRPr="63259912">
        <w:rPr>
          <w:spacing w:val="-1"/>
          <w:lang w:eastAsia="hr-HR"/>
        </w:rPr>
        <w:t>ostvarivanje</w:t>
      </w:r>
      <w:r w:rsidRPr="63259912">
        <w:rPr>
          <w:spacing w:val="-11"/>
          <w:lang w:eastAsia="hr-HR"/>
        </w:rPr>
        <w:t xml:space="preserve"> </w:t>
      </w:r>
      <w:r w:rsidRPr="63259912">
        <w:rPr>
          <w:spacing w:val="-1"/>
          <w:lang w:eastAsia="hr-HR"/>
        </w:rPr>
        <w:t>visoke</w:t>
      </w:r>
      <w:r w:rsidRPr="63259912">
        <w:rPr>
          <w:spacing w:val="-11"/>
          <w:lang w:eastAsia="hr-HR"/>
        </w:rPr>
        <w:t xml:space="preserve"> </w:t>
      </w:r>
      <w:r w:rsidRPr="63259912">
        <w:rPr>
          <w:spacing w:val="-1"/>
          <w:lang w:eastAsia="hr-HR"/>
        </w:rPr>
        <w:t>i</w:t>
      </w:r>
      <w:r w:rsidRPr="63259912">
        <w:rPr>
          <w:spacing w:val="-12"/>
          <w:lang w:eastAsia="hr-HR"/>
        </w:rPr>
        <w:t xml:space="preserve"> </w:t>
      </w:r>
      <w:r w:rsidRPr="63259912">
        <w:rPr>
          <w:spacing w:val="-1"/>
          <w:lang w:eastAsia="hr-HR"/>
        </w:rPr>
        <w:t>održive</w:t>
      </w:r>
      <w:r w:rsidRPr="63259912">
        <w:rPr>
          <w:spacing w:val="-8"/>
          <w:lang w:eastAsia="hr-HR"/>
        </w:rPr>
        <w:t xml:space="preserve"> </w:t>
      </w:r>
      <w:r w:rsidRPr="63259912">
        <w:rPr>
          <w:lang w:eastAsia="hr-HR"/>
        </w:rPr>
        <w:t>razine</w:t>
      </w:r>
      <w:r w:rsidRPr="63259912">
        <w:rPr>
          <w:spacing w:val="-9"/>
          <w:lang w:eastAsia="hr-HR"/>
        </w:rPr>
        <w:t xml:space="preserve"> </w:t>
      </w:r>
      <w:r w:rsidRPr="63259912">
        <w:rPr>
          <w:lang w:eastAsia="hr-HR"/>
        </w:rPr>
        <w:t>proizvodnje</w:t>
      </w:r>
      <w:r w:rsidRPr="63259912">
        <w:rPr>
          <w:spacing w:val="-8"/>
          <w:lang w:eastAsia="hr-HR"/>
        </w:rPr>
        <w:t xml:space="preserve"> </w:t>
      </w:r>
      <w:r w:rsidRPr="63259912">
        <w:rPr>
          <w:lang w:eastAsia="hr-HR"/>
        </w:rPr>
        <w:t>uz</w:t>
      </w:r>
      <w:r w:rsidRPr="63259912">
        <w:rPr>
          <w:spacing w:val="-13"/>
          <w:lang w:eastAsia="hr-HR"/>
        </w:rPr>
        <w:t xml:space="preserve"> </w:t>
      </w:r>
      <w:r w:rsidRPr="63259912">
        <w:rPr>
          <w:lang w:eastAsia="hr-HR"/>
        </w:rPr>
        <w:t>očuvanje</w:t>
      </w:r>
      <w:r w:rsidRPr="63259912">
        <w:rPr>
          <w:spacing w:val="-9"/>
          <w:lang w:eastAsia="hr-HR"/>
        </w:rPr>
        <w:t xml:space="preserve"> </w:t>
      </w:r>
      <w:r w:rsidRPr="63259912">
        <w:rPr>
          <w:lang w:eastAsia="hr-HR"/>
        </w:rPr>
        <w:t>prirodnih</w:t>
      </w:r>
      <w:r w:rsidRPr="63259912">
        <w:rPr>
          <w:spacing w:val="-10"/>
          <w:lang w:eastAsia="hr-HR"/>
        </w:rPr>
        <w:t xml:space="preserve"> </w:t>
      </w:r>
      <w:r w:rsidRPr="63259912">
        <w:rPr>
          <w:lang w:eastAsia="hr-HR"/>
        </w:rPr>
        <w:t>resursa</w:t>
      </w:r>
      <w:r w:rsidRPr="63259912">
        <w:rPr>
          <w:spacing w:val="-11"/>
          <w:lang w:eastAsia="hr-HR"/>
        </w:rPr>
        <w:t xml:space="preserve"> </w:t>
      </w:r>
      <w:r w:rsidRPr="63259912">
        <w:rPr>
          <w:lang w:eastAsia="hr-HR"/>
        </w:rPr>
        <w:t>i</w:t>
      </w:r>
      <w:r w:rsidRPr="63259912">
        <w:rPr>
          <w:spacing w:val="-12"/>
          <w:lang w:eastAsia="hr-HR"/>
        </w:rPr>
        <w:t xml:space="preserve"> </w:t>
      </w:r>
      <w:r w:rsidRPr="63259912">
        <w:rPr>
          <w:lang w:eastAsia="hr-HR"/>
        </w:rPr>
        <w:t>ostvarivanje</w:t>
      </w:r>
      <w:r w:rsidRPr="63259912">
        <w:rPr>
          <w:spacing w:val="-9"/>
          <w:lang w:eastAsia="hr-HR"/>
        </w:rPr>
        <w:t xml:space="preserve"> </w:t>
      </w:r>
      <w:r w:rsidRPr="63259912">
        <w:rPr>
          <w:lang w:eastAsia="hr-HR"/>
        </w:rPr>
        <w:t>prihvatljive</w:t>
      </w:r>
      <w:r w:rsidRPr="63259912">
        <w:rPr>
          <w:spacing w:val="-47"/>
          <w:lang w:eastAsia="hr-HR"/>
        </w:rPr>
        <w:t xml:space="preserve"> </w:t>
      </w:r>
      <w:r w:rsidRPr="63259912">
        <w:rPr>
          <w:lang w:eastAsia="hr-HR"/>
        </w:rPr>
        <w:t>dobiti, a temelji se na tri međuovisna principa: minimalnom setu zahvata obrade tla, permanentnoj</w:t>
      </w:r>
      <w:r w:rsidRPr="63259912">
        <w:rPr>
          <w:spacing w:val="1"/>
          <w:lang w:eastAsia="hr-HR"/>
        </w:rPr>
        <w:t xml:space="preserve"> </w:t>
      </w:r>
      <w:r w:rsidRPr="63259912">
        <w:rPr>
          <w:lang w:eastAsia="hr-HR"/>
        </w:rPr>
        <w:t>pokrivenosti</w:t>
      </w:r>
      <w:r w:rsidRPr="63259912">
        <w:rPr>
          <w:spacing w:val="-3"/>
          <w:lang w:eastAsia="hr-HR"/>
        </w:rPr>
        <w:t xml:space="preserve"> </w:t>
      </w:r>
      <w:r w:rsidRPr="63259912">
        <w:rPr>
          <w:lang w:eastAsia="hr-HR"/>
        </w:rPr>
        <w:t>proizvodne</w:t>
      </w:r>
      <w:r w:rsidRPr="63259912">
        <w:rPr>
          <w:spacing w:val="-1"/>
          <w:lang w:eastAsia="hr-HR"/>
        </w:rPr>
        <w:t xml:space="preserve"> </w:t>
      </w:r>
      <w:r w:rsidRPr="63259912">
        <w:rPr>
          <w:lang w:eastAsia="hr-HR"/>
        </w:rPr>
        <w:t>površine</w:t>
      </w:r>
      <w:r w:rsidRPr="63259912">
        <w:rPr>
          <w:spacing w:val="-2"/>
          <w:lang w:eastAsia="hr-HR"/>
        </w:rPr>
        <w:t xml:space="preserve"> </w:t>
      </w:r>
      <w:r w:rsidRPr="63259912">
        <w:rPr>
          <w:lang w:eastAsia="hr-HR"/>
        </w:rPr>
        <w:t>biljkama</w:t>
      </w:r>
      <w:r w:rsidRPr="63259912">
        <w:rPr>
          <w:spacing w:val="-5"/>
          <w:lang w:eastAsia="hr-HR"/>
        </w:rPr>
        <w:t xml:space="preserve"> </w:t>
      </w:r>
      <w:r w:rsidRPr="63259912">
        <w:rPr>
          <w:lang w:eastAsia="hr-HR"/>
        </w:rPr>
        <w:t>ili</w:t>
      </w:r>
      <w:r w:rsidRPr="63259912">
        <w:rPr>
          <w:spacing w:val="-2"/>
          <w:lang w:eastAsia="hr-HR"/>
        </w:rPr>
        <w:t xml:space="preserve"> </w:t>
      </w:r>
      <w:r w:rsidRPr="63259912">
        <w:rPr>
          <w:lang w:eastAsia="hr-HR"/>
        </w:rPr>
        <w:t>biljnim</w:t>
      </w:r>
      <w:r w:rsidRPr="63259912">
        <w:rPr>
          <w:spacing w:val="-4"/>
          <w:lang w:eastAsia="hr-HR"/>
        </w:rPr>
        <w:t xml:space="preserve"> </w:t>
      </w:r>
      <w:r w:rsidRPr="63259912">
        <w:rPr>
          <w:lang w:eastAsia="hr-HR"/>
        </w:rPr>
        <w:t>ostatcima</w:t>
      </w:r>
      <w:r w:rsidRPr="63259912">
        <w:rPr>
          <w:spacing w:val="-3"/>
          <w:lang w:eastAsia="hr-HR"/>
        </w:rPr>
        <w:t xml:space="preserve"> </w:t>
      </w:r>
      <w:r w:rsidRPr="63259912">
        <w:rPr>
          <w:lang w:eastAsia="hr-HR"/>
        </w:rPr>
        <w:t>i</w:t>
      </w:r>
      <w:r w:rsidRPr="63259912">
        <w:rPr>
          <w:spacing w:val="-2"/>
          <w:lang w:eastAsia="hr-HR"/>
        </w:rPr>
        <w:t xml:space="preserve"> </w:t>
      </w:r>
      <w:r w:rsidRPr="63259912">
        <w:rPr>
          <w:lang w:eastAsia="hr-HR"/>
        </w:rPr>
        <w:t>pravilnoj</w:t>
      </w:r>
      <w:r w:rsidRPr="63259912">
        <w:rPr>
          <w:spacing w:val="-5"/>
          <w:lang w:eastAsia="hr-HR"/>
        </w:rPr>
        <w:t xml:space="preserve"> </w:t>
      </w:r>
      <w:r w:rsidRPr="63259912">
        <w:rPr>
          <w:lang w:eastAsia="hr-HR"/>
        </w:rPr>
        <w:t>izmjeni</w:t>
      </w:r>
      <w:r w:rsidRPr="63259912">
        <w:rPr>
          <w:spacing w:val="-5"/>
          <w:lang w:eastAsia="hr-HR"/>
        </w:rPr>
        <w:t xml:space="preserve"> </w:t>
      </w:r>
      <w:r w:rsidRPr="63259912">
        <w:rPr>
          <w:lang w:eastAsia="hr-HR"/>
        </w:rPr>
        <w:t>usjeva</w:t>
      </w:r>
      <w:r w:rsidRPr="63259912">
        <w:rPr>
          <w:spacing w:val="-4"/>
          <w:lang w:eastAsia="hr-HR"/>
        </w:rPr>
        <w:t xml:space="preserve"> </w:t>
      </w:r>
      <w:r w:rsidRPr="63259912">
        <w:rPr>
          <w:lang w:eastAsia="hr-HR"/>
        </w:rPr>
        <w:t>(plodoredu). Cilj je u razdoblju 2023.-2029 primjena na 150.000 ha</w:t>
      </w:r>
      <w:r w:rsidR="00824005" w:rsidRPr="63259912">
        <w:rPr>
          <w:lang w:eastAsia="hr-HR"/>
        </w:rPr>
        <w:t>. Ukupna alokacija iznosi 37.500.000 EUR.</w:t>
      </w:r>
      <w:r w:rsidRPr="63259912">
        <w:rPr>
          <w:lang w:eastAsia="hr-HR"/>
        </w:rPr>
        <w:t xml:space="preserve">70.01. </w:t>
      </w:r>
      <w:r w:rsidRPr="63259912">
        <w:rPr>
          <w:u w:val="single"/>
          <w:lang w:eastAsia="hr-HR"/>
        </w:rPr>
        <w:t>Smanjenje korištenja zemljišnih sredstava u višegodišnjim nasadima</w:t>
      </w:r>
      <w:r w:rsidRPr="63259912">
        <w:rPr>
          <w:lang w:eastAsia="hr-HR"/>
        </w:rPr>
        <w:t xml:space="preserve"> Intervencija ima za cilj smanjiti pritisak intenzivne poljoprivrede na okoliš kroz smanjenje onečišćenja tla, vode i zraka reduciranom i pravovremenom primjenom zaštitnih sredstava. </w:t>
      </w:r>
      <w:r w:rsidR="00E445F3" w:rsidRPr="63259912">
        <w:rPr>
          <w:lang w:eastAsia="hr-HR"/>
        </w:rPr>
        <w:t>Cilj je u razdoblju 2023.-2027. primjena na 120.745 ha. Ukupna alokacija iznosi 41.834.630,00</w:t>
      </w:r>
      <w:r w:rsidR="0091536B" w:rsidRPr="63259912">
        <w:rPr>
          <w:lang w:eastAsia="hr-HR"/>
        </w:rPr>
        <w:t> </w:t>
      </w:r>
      <w:r w:rsidR="00E445F3" w:rsidRPr="63259912">
        <w:rPr>
          <w:lang w:eastAsia="hr-HR"/>
        </w:rPr>
        <w:t>EUR.</w:t>
      </w:r>
    </w:p>
    <w:p w14:paraId="6382AEF3" w14:textId="20F73F43" w:rsidR="008A5891" w:rsidRPr="00B47BDA" w:rsidRDefault="005B4804" w:rsidP="004623DD">
      <w:pPr>
        <w:rPr>
          <w:lang w:eastAsia="hr-HR"/>
        </w:rPr>
      </w:pPr>
      <w:r w:rsidRPr="005B4804">
        <w:rPr>
          <w:lang w:eastAsia="hr-HR"/>
        </w:rPr>
        <w:t>31.08. Primjena ekoloških gnojiva u trajnim nasadima: Cilj uporabe ekoloških gnojiva je da se sadržaj i količinu hranjiva u tlu i u biljci održava u optimalnim vrijednostima, čime se potiče bolji vegetativni i generativni razvoj biljaka i bolja kvaliteta plodova. Upotreba ekoloških gnojiva u gnojidbi trajnih nasada smanjuje negativne učinke poljoprivrede na okoliš, prvenstveno na tlo i vodu te doprinosi proizvodnji kvalitetnog i zdravstveno ispravnijeg proizvoda. Planira se primjena u razdoblju 2023.-2027. na 7.600,00 ha. Ukupna alokacija iznosi 7.600.000,00 EUR.</w:t>
      </w:r>
    </w:p>
    <w:p w14:paraId="7140C82B" w14:textId="195E362C" w:rsidR="00BA1DC9" w:rsidRPr="00B47BDA" w:rsidRDefault="00BA1DC9" w:rsidP="004623DD">
      <w:pPr>
        <w:rPr>
          <w:lang w:eastAsia="hr-HR"/>
        </w:rPr>
      </w:pPr>
      <w:r w:rsidRPr="00B47BDA">
        <w:rPr>
          <w:lang w:eastAsia="hr-HR"/>
        </w:rPr>
        <w:t xml:space="preserve">70.04. </w:t>
      </w:r>
      <w:r w:rsidRPr="00B47BDA">
        <w:rPr>
          <w:u w:val="single"/>
          <w:lang w:eastAsia="hr-HR"/>
        </w:rPr>
        <w:t>Ekološki uzgoj</w:t>
      </w:r>
      <w:r w:rsidR="00E445F3">
        <w:rPr>
          <w:u w:val="single"/>
          <w:lang w:eastAsia="hr-HR"/>
        </w:rPr>
        <w:t>:</w:t>
      </w:r>
      <w:r w:rsidRPr="00B47BDA">
        <w:rPr>
          <w:u w:val="single"/>
          <w:lang w:eastAsia="hr-HR"/>
        </w:rPr>
        <w:t xml:space="preserve"> </w:t>
      </w:r>
      <w:r w:rsidRPr="00B47BDA">
        <w:rPr>
          <w:lang w:eastAsia="hr-HR"/>
        </w:rPr>
        <w:t>Plan je Republike Hrvatske do 2030. godine dostići cilj od 14% poljoprivrednih površina u ekološkom uzgoju. Kako bi se potaknulo nove poljoprivrednike na uključenje u ekološki sustav proizvodnje te zadržalo one koji već jesu u tom sustavu, nastavlja se financiranje potpore za ekološki uzgoj. Jednako tako nastavljaju se kontinuirane edukacije poljoprivrednika i podizanje svijesti o koristima proizvodnje po principima ekološkog uzgoja što dodatno doprinosi postizanju navedenog cilja. Planira se primjena u razdoblju 2023.-202</w:t>
      </w:r>
      <w:r w:rsidR="00E445F3">
        <w:rPr>
          <w:lang w:eastAsia="hr-HR"/>
        </w:rPr>
        <w:t>7</w:t>
      </w:r>
      <w:r w:rsidRPr="00B47BDA">
        <w:rPr>
          <w:lang w:eastAsia="hr-HR"/>
        </w:rPr>
        <w:t xml:space="preserve">. na 841.359 ha, </w:t>
      </w:r>
      <w:r w:rsidR="00B43673" w:rsidRPr="00151618">
        <w:rPr>
          <w:lang w:eastAsia="hr-HR"/>
        </w:rPr>
        <w:t>s ukupnom alokacijom od 237.784.815,00 EUR</w:t>
      </w:r>
      <w:r w:rsidR="00B43673">
        <w:rPr>
          <w:lang w:eastAsia="hr-HR"/>
        </w:rPr>
        <w:t>.</w:t>
      </w:r>
    </w:p>
    <w:p w14:paraId="46DE9AFF" w14:textId="158FB411" w:rsidR="00BA1DC9" w:rsidRPr="00B47BDA" w:rsidRDefault="00BA1DC9" w:rsidP="004623DD">
      <w:pPr>
        <w:rPr>
          <w:lang w:eastAsia="ja-JP"/>
        </w:rPr>
      </w:pPr>
      <w:r w:rsidRPr="00B47BDA">
        <w:rPr>
          <w:u w:val="single"/>
          <w:lang w:eastAsia="ja-JP"/>
        </w:rPr>
        <w:lastRenderedPageBreak/>
        <w:t>Prema standardima GAEC 3</w:t>
      </w:r>
      <w:r w:rsidRPr="00B47BDA">
        <w:rPr>
          <w:lang w:eastAsia="ja-JP"/>
        </w:rPr>
        <w:t xml:space="preserve"> prema kojem je zabranjeno spaljivanje žetvenih ostataka osim u svrhu sprečavanja širenja ili suzbijanja organizama štetnih za bilje, osigurava se održavanje organske tvari u tlu, što osigurava prilagodbu na klimatske promjene.</w:t>
      </w:r>
    </w:p>
    <w:p w14:paraId="08C9B800" w14:textId="36665CA8" w:rsidR="007A7454" w:rsidRDefault="007A7454" w:rsidP="004623DD">
      <w:pPr>
        <w:rPr>
          <w:b/>
          <w:lang w:eastAsia="hr-HR"/>
        </w:rPr>
      </w:pPr>
      <w:r w:rsidRPr="006D0A3E">
        <w:rPr>
          <w:rFonts w:cstheme="minorHAnsi"/>
          <w:b/>
          <w:bCs/>
        </w:rPr>
        <w:t>Aktivnosti</w:t>
      </w:r>
      <w:r w:rsidR="006E778F">
        <w:rPr>
          <w:rFonts w:cstheme="minorHAnsi"/>
          <w:b/>
          <w:bCs/>
        </w:rPr>
        <w:t xml:space="preserve">: </w:t>
      </w:r>
      <w:r w:rsidR="00804CD8" w:rsidRPr="00D90258">
        <w:rPr>
          <w:rFonts w:cs="Calibri"/>
        </w:rPr>
        <w:t>Prema ZPP-u.</w:t>
      </w:r>
    </w:p>
    <w:p w14:paraId="64ECF1EA" w14:textId="3346A77F" w:rsidR="00BA1DC9" w:rsidRPr="00B47BDA" w:rsidRDefault="00BA1DC9" w:rsidP="004623DD">
      <w:pPr>
        <w:rPr>
          <w:lang w:eastAsia="hr-HR"/>
        </w:rPr>
      </w:pPr>
      <w:r w:rsidRPr="00B47BDA">
        <w:rPr>
          <w:b/>
          <w:lang w:eastAsia="hr-HR"/>
        </w:rPr>
        <w:t>Izvori financiranja:</w:t>
      </w:r>
      <w:r w:rsidRPr="00B47BDA">
        <w:rPr>
          <w:lang w:eastAsia="hr-HR"/>
        </w:rPr>
        <w:t xml:space="preserve"> Privatna ulaganja, ZPP, EU fondovi za regionalni razvoj, </w:t>
      </w:r>
      <w:r w:rsidR="002F1EEF" w:rsidRPr="002F1EEF">
        <w:t>prihodi od prodaje emisijskih jedinica iz EU ETS-a</w:t>
      </w:r>
      <w:r w:rsidRPr="00B47BDA">
        <w:rPr>
          <w:lang w:eastAsia="hr-HR"/>
        </w:rPr>
        <w:t xml:space="preserve">. Dio financiranja mogao bi se ostvariti kroz sustav certifikacije ponora, na tržištu koje će biti dobrovoljno. </w:t>
      </w:r>
    </w:p>
    <w:p w14:paraId="0BC07A98" w14:textId="41253BE1" w:rsidR="00B43673" w:rsidRPr="009F66A6" w:rsidRDefault="00986247" w:rsidP="004623DD">
      <w:pPr>
        <w:rPr>
          <w:bCs/>
          <w:lang w:eastAsia="hr-HR"/>
        </w:rPr>
      </w:pPr>
      <w:r w:rsidRPr="00B47BDA">
        <w:rPr>
          <w:b/>
          <w:lang w:eastAsia="hr-HR"/>
        </w:rPr>
        <w:t>Izvršno tijelo:</w:t>
      </w:r>
      <w:r>
        <w:rPr>
          <w:b/>
          <w:lang w:eastAsia="hr-HR"/>
        </w:rPr>
        <w:t xml:space="preserve"> </w:t>
      </w:r>
      <w:r w:rsidR="00917C74">
        <w:t>Ministarstvo poljoprivrede</w:t>
      </w:r>
      <w:r w:rsidR="00917C74" w:rsidRPr="00AE6008">
        <w:rPr>
          <w:lang w:eastAsia="hr-HR"/>
        </w:rPr>
        <w:t>, šumarstva i ribarstva</w:t>
      </w:r>
      <w:r w:rsidR="00917C74">
        <w:t xml:space="preserve"> (MPS)</w:t>
      </w:r>
      <w:r w:rsidR="000D7629">
        <w:t>, Ministarstvo zaštite okoliša i zelene tranzicije (MZOZT)</w:t>
      </w:r>
      <w:r w:rsidR="00917C74">
        <w:t>.</w:t>
      </w:r>
    </w:p>
    <w:p w14:paraId="71099092" w14:textId="31D62ACB" w:rsidR="00BA1DC9" w:rsidRPr="00B47BDA" w:rsidRDefault="00BA1DC9" w:rsidP="004623DD">
      <w:pPr>
        <w:rPr>
          <w:lang w:eastAsia="hr-HR"/>
        </w:rPr>
      </w:pPr>
      <w:r w:rsidRPr="00B47BDA">
        <w:rPr>
          <w:b/>
          <w:lang w:eastAsia="hr-HR"/>
        </w:rPr>
        <w:t>Tijela za praćenje:</w:t>
      </w:r>
      <w:r w:rsidRPr="00B47BDA">
        <w:rPr>
          <w:lang w:eastAsia="hr-HR"/>
        </w:rPr>
        <w:t xml:space="preserve"> </w:t>
      </w:r>
      <w:r w:rsidR="0099460F" w:rsidRPr="004E559C">
        <w:rPr>
          <w:lang w:eastAsia="hr-HR"/>
        </w:rPr>
        <w:t>Ministarstvo zaštite okoliša i zelene tranzicije</w:t>
      </w:r>
      <w:r w:rsidR="00526913" w:rsidRPr="00151618">
        <w:rPr>
          <w:lang w:eastAsia="hr-HR"/>
        </w:rPr>
        <w:t>, Agencija za plaćanja u poljoprivredi, ribarstvu i ruralnom razvoju (APPRRR), Hrvatska agencija za poljoprivredu i hranu (HAPIH)</w:t>
      </w:r>
      <w:r w:rsidR="0027355E">
        <w:rPr>
          <w:lang w:eastAsia="hr-HR"/>
        </w:rPr>
        <w:t>.</w:t>
      </w:r>
    </w:p>
    <w:p w14:paraId="16FC26D4" w14:textId="77F511AC" w:rsidR="00BA1DC9" w:rsidRPr="00B47BDA" w:rsidRDefault="00BA1DC9" w:rsidP="004623DD">
      <w:pPr>
        <w:rPr>
          <w:lang w:eastAsia="hr-HR"/>
        </w:rPr>
      </w:pPr>
      <w:r w:rsidRPr="00B47BDA">
        <w:rPr>
          <w:b/>
          <w:lang w:eastAsia="hr-HR"/>
        </w:rPr>
        <w:t xml:space="preserve">Učinak: </w:t>
      </w:r>
      <w:r w:rsidRPr="00B47BDA">
        <w:rPr>
          <w:lang w:eastAsia="hr-HR"/>
        </w:rPr>
        <w:t xml:space="preserve">Učinak ove mjere mogao bi biti presudan na izvršenje ciljeva iz </w:t>
      </w:r>
      <w:r w:rsidR="00CC30E1">
        <w:rPr>
          <w:lang w:eastAsia="hr-HR"/>
        </w:rPr>
        <w:t>U</w:t>
      </w:r>
      <w:r w:rsidRPr="00B47BDA">
        <w:rPr>
          <w:lang w:eastAsia="hr-HR"/>
        </w:rPr>
        <w:t xml:space="preserve">redbe </w:t>
      </w:r>
      <w:r w:rsidR="002B31ED" w:rsidRPr="002B31ED">
        <w:t xml:space="preserve"> </w:t>
      </w:r>
      <w:r w:rsidR="002B31ED" w:rsidRPr="002B31ED">
        <w:rPr>
          <w:lang w:eastAsia="hr-HR"/>
        </w:rPr>
        <w:t>LULUCF</w:t>
      </w:r>
      <w:r w:rsidRPr="00B47BDA">
        <w:rPr>
          <w:lang w:eastAsia="hr-HR"/>
        </w:rPr>
        <w:t xml:space="preserve">. S obzirom na moguće ograničenje u porastu sječe, odlivi se mogu najviše povećavati kroz ovu mjeru, povećanjem sadržaj ugljika u tlu. </w:t>
      </w:r>
    </w:p>
    <w:p w14:paraId="626A5B2B" w14:textId="1DE67E98" w:rsidR="00BA1DC9" w:rsidRPr="00B47BDA" w:rsidRDefault="00BA1DC9" w:rsidP="63259912">
      <w:pPr>
        <w:rPr>
          <w:lang w:eastAsia="hr-HR"/>
        </w:rPr>
      </w:pPr>
      <w:r w:rsidRPr="63259912">
        <w:rPr>
          <w:b/>
          <w:bCs/>
          <w:lang w:eastAsia="hr-HR"/>
        </w:rPr>
        <w:t xml:space="preserve">Metoda praćenja: </w:t>
      </w:r>
      <w:r w:rsidRPr="63259912">
        <w:rPr>
          <w:lang w:eastAsia="hr-HR"/>
        </w:rPr>
        <w:t xml:space="preserve">Potrebno </w:t>
      </w:r>
      <w:r w:rsidR="00EB6DF8" w:rsidRPr="63259912">
        <w:rPr>
          <w:lang w:eastAsia="hr-HR"/>
        </w:rPr>
        <w:t xml:space="preserve">je </w:t>
      </w:r>
      <w:r w:rsidRPr="63259912">
        <w:rPr>
          <w:lang w:eastAsia="hr-HR"/>
        </w:rPr>
        <w:t>hitno uspostaviti sustav praćenja sadržaja ugljika u tlu, prema IPCC metodologiji, za kategoriju 'zemljište pod usjevima koje ostaje zemljište pod usjevima' Danas se za ovu kategoriju koristi Tier 1 pristup, potrebno je prijeći na Tier 2 do 2028. godine i potom na Tier 3 razinu izvještavanja nakon 2030. godine. Parcijalno na razini projekata, promjene zaliha ugljika u tlu bi</w:t>
      </w:r>
      <w:r w:rsidR="006B65AD" w:rsidRPr="63259912">
        <w:rPr>
          <w:lang w:eastAsia="hr-HR"/>
        </w:rPr>
        <w:t>t</w:t>
      </w:r>
      <w:r w:rsidRPr="63259912">
        <w:rPr>
          <w:lang w:eastAsia="hr-HR"/>
        </w:rPr>
        <w:t xml:space="preserve"> će registrirane kroz sustav verifikacije ponora, uklapanje tih podataka u nacionalni sustav treba razraditi, posebice s obzirom da će se vjerojatno raditi o dobrovoljnim shemama verifikacije.</w:t>
      </w:r>
      <w:r w:rsidRPr="63259912">
        <w:rPr>
          <w:b/>
          <w:bCs/>
          <w:lang w:eastAsia="hr-HR"/>
        </w:rPr>
        <w:t xml:space="preserve"> </w:t>
      </w:r>
      <w:r w:rsidRPr="63259912">
        <w:rPr>
          <w:lang w:eastAsia="hr-HR"/>
        </w:rPr>
        <w:t>Također, pratit će se putem registra certifikata o održivosti biogoriva, kojeg bi trebalo uspostaviti. Konačni, zbirni podaci bi</w:t>
      </w:r>
      <w:r w:rsidR="006B65AD" w:rsidRPr="63259912">
        <w:rPr>
          <w:lang w:eastAsia="hr-HR"/>
        </w:rPr>
        <w:t>t</w:t>
      </w:r>
      <w:r w:rsidRPr="63259912">
        <w:rPr>
          <w:lang w:eastAsia="hr-HR"/>
        </w:rPr>
        <w:t xml:space="preserve"> će u NIR-u. Površine zemljišta pod usjevima i konverzije pratit će se CROLIS sustavom.</w:t>
      </w:r>
    </w:p>
    <w:p w14:paraId="63A7AB5F" w14:textId="0FB3F411" w:rsidR="007C0F4E" w:rsidRDefault="1C7C9BBA" w:rsidP="004623DD">
      <w:pPr>
        <w:rPr>
          <w:lang w:eastAsia="hr-HR"/>
        </w:rPr>
      </w:pPr>
      <w:r w:rsidRPr="71589035">
        <w:rPr>
          <w:b/>
          <w:bCs/>
          <w:lang w:eastAsia="hr-HR"/>
        </w:rPr>
        <w:t xml:space="preserve">Povezanost s drugim dimenzijama: </w:t>
      </w:r>
      <w:r w:rsidRPr="71589035">
        <w:rPr>
          <w:lang w:eastAsia="hr-HR"/>
        </w:rPr>
        <w:t xml:space="preserve">Ovo je povezano dimenzijom OIE s obzirom na korištenje biomase iz poljoprivrede. Za sada </w:t>
      </w:r>
      <w:r w:rsidR="00EB212E">
        <w:rPr>
          <w:lang w:eastAsia="hr-HR"/>
        </w:rPr>
        <w:t>D</w:t>
      </w:r>
      <w:r w:rsidRPr="71589035">
        <w:rPr>
          <w:lang w:eastAsia="hr-HR"/>
        </w:rPr>
        <w:t xml:space="preserve">irektivom RED II utvrđena je obveza određivanja s postrojenja veća od 20 MW ulazne snage, a za bioplinska postrojenja, za ona veća od 2 MW ulazne snage. </w:t>
      </w:r>
    </w:p>
    <w:p w14:paraId="033D15A1" w14:textId="032E33B2" w:rsidR="00BA1DC9" w:rsidRPr="00B47BDA" w:rsidRDefault="00BA1DC9" w:rsidP="00442F5F">
      <w:pPr>
        <w:pStyle w:val="Mjeranaslov"/>
        <w:rPr>
          <w:lang w:eastAsia="hr-HR"/>
        </w:rPr>
      </w:pPr>
      <w:r w:rsidRPr="00B47BDA">
        <w:rPr>
          <w:lang w:eastAsia="hr-HR"/>
        </w:rPr>
        <w:t xml:space="preserve">LUF-6 </w:t>
      </w:r>
      <w:r w:rsidR="00720C73">
        <w:rPr>
          <w:lang w:eastAsia="hr-HR"/>
        </w:rPr>
        <w:t>G</w:t>
      </w:r>
      <w:r w:rsidRPr="00B47BDA">
        <w:rPr>
          <w:lang w:eastAsia="hr-HR"/>
        </w:rPr>
        <w:t>ospodar</w:t>
      </w:r>
      <w:r w:rsidR="00720C73">
        <w:rPr>
          <w:lang w:eastAsia="hr-HR"/>
        </w:rPr>
        <w:t>enje pašnjacima</w:t>
      </w:r>
    </w:p>
    <w:p w14:paraId="59738406" w14:textId="77777777" w:rsidR="00406113" w:rsidRPr="00B47BDA" w:rsidRDefault="00406113" w:rsidP="004623DD">
      <w:pPr>
        <w:rPr>
          <w:lang w:eastAsia="hr-HR"/>
        </w:rPr>
      </w:pPr>
      <w:r w:rsidRPr="00B47BDA">
        <w:rPr>
          <w:lang w:eastAsia="hr-HR"/>
        </w:rPr>
        <w:t>Ekonomska mjera; provedba: 2021.-2030.</w:t>
      </w:r>
    </w:p>
    <w:p w14:paraId="3F9CBF69" w14:textId="39BB6D87" w:rsidR="00BA1DC9" w:rsidRPr="00B47BDA" w:rsidRDefault="43A856A9" w:rsidP="009F1CA1">
      <w:pPr>
        <w:rPr>
          <w:lang w:eastAsia="hr-HR"/>
        </w:rPr>
      </w:pPr>
      <w:r w:rsidRPr="1C9333AB">
        <w:rPr>
          <w:b/>
          <w:bCs/>
        </w:rPr>
        <w:t xml:space="preserve">Cilj i opis mjere: </w:t>
      </w:r>
      <w:r w:rsidRPr="1C9333AB">
        <w:rPr>
          <w:lang w:eastAsia="hr-HR"/>
        </w:rPr>
        <w:t>Provedb</w:t>
      </w:r>
      <w:r w:rsidR="504CC528" w:rsidRPr="1C9333AB">
        <w:rPr>
          <w:lang w:eastAsia="hr-HR"/>
        </w:rPr>
        <w:t>a</w:t>
      </w:r>
      <w:r w:rsidRPr="1C9333AB">
        <w:rPr>
          <w:lang w:eastAsia="hr-HR"/>
        </w:rPr>
        <w:t xml:space="preserve"> aktivnosti u gospodarenju pašnjacima na način koji doprinosi smanjenju emisij</w:t>
      </w:r>
      <w:r w:rsidR="504CC528" w:rsidRPr="1C9333AB">
        <w:rPr>
          <w:lang w:eastAsia="hr-HR"/>
        </w:rPr>
        <w:t>a.</w:t>
      </w:r>
      <w:r w:rsidRPr="1C9333AB">
        <w:rPr>
          <w:lang w:eastAsia="hr-HR"/>
        </w:rPr>
        <w:t xml:space="preserve"> Potrebno je promovirati način gospodarenja ovim površinama koji je koristan za klimu i okoliš te izraditi smjernice daljnjeg razvoja temeljem znanja i iskustava stečenih provedbom ove mjere.</w:t>
      </w:r>
    </w:p>
    <w:p w14:paraId="3F7D0CF5" w14:textId="77777777" w:rsidR="004B54A7" w:rsidRPr="004B54A7" w:rsidRDefault="004B54A7" w:rsidP="004B54A7">
      <w:pPr>
        <w:rPr>
          <w:lang w:eastAsia="hr-HR"/>
        </w:rPr>
      </w:pPr>
      <w:r w:rsidRPr="004B54A7">
        <w:rPr>
          <w:lang w:eastAsia="hr-HR"/>
        </w:rPr>
        <w:t>U okviru Strateškog plana sljedeće intervencije doprinose mjeri LUF-6:</w:t>
      </w:r>
    </w:p>
    <w:p w14:paraId="50C042F4" w14:textId="71174F48" w:rsidR="00BA1DC9" w:rsidRPr="00B47BDA" w:rsidRDefault="43A856A9" w:rsidP="009F1CA1">
      <w:pPr>
        <w:rPr>
          <w:lang w:eastAsia="hr-HR"/>
        </w:rPr>
      </w:pPr>
      <w:r w:rsidRPr="1C9333AB">
        <w:rPr>
          <w:lang w:eastAsia="hr-HR"/>
        </w:rPr>
        <w:t>31.02.</w:t>
      </w:r>
      <w:r w:rsidR="00BA1DC9">
        <w:tab/>
      </w:r>
      <w:r w:rsidRPr="1C9333AB">
        <w:rPr>
          <w:u w:val="single"/>
          <w:lang w:eastAsia="hr-HR"/>
        </w:rPr>
        <w:t>Ekstenzivno gospodarenje pašnjacima</w:t>
      </w:r>
      <w:r w:rsidRPr="1C9333AB">
        <w:rPr>
          <w:lang w:eastAsia="hr-HR"/>
        </w:rPr>
        <w:t>: Održavanje pašnjaka ispašom doprinijet će opstanku karakterističnih krajobraza, očuvanju pašnjačke vegetacije, karakterističnih biljnih i životinjskih vrsta te vrijednih staništa. Ispaša životinja na pašnjacima kroz dulji period pruža doprinos dobrobiti životinja. Planira se u razdoblju 2023-202</w:t>
      </w:r>
      <w:r w:rsidR="046311ED" w:rsidRPr="1C9333AB">
        <w:rPr>
          <w:lang w:eastAsia="hr-HR"/>
        </w:rPr>
        <w:t>7</w:t>
      </w:r>
      <w:r w:rsidRPr="1C9333AB">
        <w:rPr>
          <w:lang w:eastAsia="hr-HR"/>
        </w:rPr>
        <w:t xml:space="preserve"> primjena na 122.500 ha</w:t>
      </w:r>
      <w:r w:rsidR="16A2EBDE" w:rsidRPr="1C9333AB">
        <w:rPr>
          <w:lang w:eastAsia="hr-HR"/>
        </w:rPr>
        <w:t xml:space="preserve"> s ukupnom alokacijom koja iznosi 48.420.000,00</w:t>
      </w:r>
      <w:r w:rsidR="0091536B">
        <w:rPr>
          <w:lang w:eastAsia="hr-HR"/>
        </w:rPr>
        <w:t xml:space="preserve"> </w:t>
      </w:r>
      <w:r w:rsidR="16A2EBDE" w:rsidRPr="1C9333AB">
        <w:rPr>
          <w:lang w:eastAsia="hr-HR"/>
        </w:rPr>
        <w:t>EUR.</w:t>
      </w:r>
    </w:p>
    <w:p w14:paraId="7AD5581D" w14:textId="61C8C5D2" w:rsidR="00BA1DC9" w:rsidRPr="00B47BDA" w:rsidRDefault="43A856A9" w:rsidP="009F1CA1">
      <w:pPr>
        <w:rPr>
          <w:lang w:eastAsia="hr-HR"/>
        </w:rPr>
      </w:pPr>
      <w:r w:rsidRPr="1C9333AB">
        <w:rPr>
          <w:lang w:eastAsia="hr-HR"/>
        </w:rPr>
        <w:lastRenderedPageBreak/>
        <w:t>31.07.</w:t>
      </w:r>
      <w:r w:rsidR="00BA1DC9">
        <w:tab/>
      </w:r>
      <w:r w:rsidRPr="1C9333AB">
        <w:rPr>
          <w:u w:val="single"/>
          <w:lang w:eastAsia="hr-HR"/>
        </w:rPr>
        <w:t>Očuvanje travnjaka velike prirodne vrijednosti</w:t>
      </w:r>
      <w:r w:rsidR="16A2EBDE" w:rsidRPr="1C9333AB">
        <w:rPr>
          <w:u w:val="single"/>
          <w:lang w:eastAsia="hr-HR"/>
        </w:rPr>
        <w:t>:</w:t>
      </w:r>
      <w:r w:rsidRPr="1C9333AB">
        <w:rPr>
          <w:u w:val="single"/>
          <w:lang w:eastAsia="hr-HR"/>
        </w:rPr>
        <w:t xml:space="preserve"> </w:t>
      </w:r>
      <w:r w:rsidRPr="1C9333AB">
        <w:rPr>
          <w:lang w:eastAsia="hr-HR"/>
        </w:rPr>
        <w:t>Intervencija uključuje obveze koje su do sada unutar Programa ruralnog razvoja Republike Hrvatske za razdoblje 2014.-2020. provodili korisnici tipa operacije 10.1.3. Očuvanje travnjaka velike prirodne vrijednosti, a razlikuje se u tome što za eko shemu Očuvanje travnjaka velike prirodne vrijednosti korisnici preuzimaju jednogodišnju obvezu. Ukupno u razdoblju 2023.-202</w:t>
      </w:r>
      <w:r w:rsidR="16A2EBDE" w:rsidRPr="1C9333AB">
        <w:rPr>
          <w:lang w:eastAsia="hr-HR"/>
        </w:rPr>
        <w:t>7</w:t>
      </w:r>
      <w:r w:rsidRPr="1C9333AB">
        <w:rPr>
          <w:lang w:eastAsia="hr-HR"/>
        </w:rPr>
        <w:t>. planirano je</w:t>
      </w:r>
      <w:r w:rsidR="00BA1DC9">
        <w:tab/>
      </w:r>
      <w:r w:rsidRPr="1C9333AB">
        <w:rPr>
          <w:lang w:eastAsia="hr-HR"/>
        </w:rPr>
        <w:t xml:space="preserve"> 22.500 ha, </w:t>
      </w:r>
      <w:r w:rsidR="2972DBD8" w:rsidRPr="1C9333AB">
        <w:rPr>
          <w:lang w:eastAsia="hr-HR"/>
        </w:rPr>
        <w:t>s ukupnom alokacijom koja iznosi 29.807.500,00 EUR.</w:t>
      </w:r>
    </w:p>
    <w:p w14:paraId="65A249B1" w14:textId="363021D5" w:rsidR="00BA1DC9" w:rsidRPr="00B47BDA" w:rsidRDefault="43A856A9" w:rsidP="009F1CA1">
      <w:pPr>
        <w:rPr>
          <w:lang w:eastAsia="hr-HR"/>
        </w:rPr>
      </w:pPr>
      <w:r w:rsidRPr="1C9333AB">
        <w:rPr>
          <w:lang w:eastAsia="hr-HR"/>
        </w:rPr>
        <w:t xml:space="preserve">70.02. - </w:t>
      </w:r>
      <w:r w:rsidRPr="1C9333AB">
        <w:rPr>
          <w:u w:val="single"/>
          <w:lang w:eastAsia="hr-HR"/>
        </w:rPr>
        <w:t>Očuvanje bioraznolikosti i okoliša na trajnim travnjacima i oranicama</w:t>
      </w:r>
      <w:r w:rsidR="2972DBD8" w:rsidRPr="1C9333AB">
        <w:rPr>
          <w:u w:val="single"/>
          <w:lang w:eastAsia="hr-HR"/>
        </w:rPr>
        <w:t>:</w:t>
      </w:r>
      <w:r w:rsidRPr="1C9333AB">
        <w:rPr>
          <w:u w:val="single"/>
          <w:lang w:eastAsia="hr-HR"/>
        </w:rPr>
        <w:t xml:space="preserve"> </w:t>
      </w:r>
      <w:r w:rsidRPr="1C9333AB">
        <w:rPr>
          <w:lang w:eastAsia="hr-HR"/>
        </w:rPr>
        <w:t>Intervencija se provodi na travnjacima velike prirodne vrijednosti i oranicama gdje se uspostavljaju travne i cvjetne poljske trake. Navedene travnate površine imaju značajnu ulogu u skladištenju ugljika u tlu i biomasi. Planirana je provedba u razdoblju 2023.-2029. na 3</w:t>
      </w:r>
      <w:r w:rsidR="53E29D70" w:rsidRPr="1C9333AB">
        <w:rPr>
          <w:lang w:eastAsia="hr-HR"/>
        </w:rPr>
        <w:t>.</w:t>
      </w:r>
      <w:r w:rsidRPr="1C9333AB">
        <w:rPr>
          <w:lang w:eastAsia="hr-HR"/>
        </w:rPr>
        <w:t>548 ha</w:t>
      </w:r>
      <w:r w:rsidR="567099D5" w:rsidRPr="1C9333AB">
        <w:rPr>
          <w:lang w:eastAsia="hr-HR"/>
        </w:rPr>
        <w:t xml:space="preserve"> , a ukupna alokacija iznosi 2.933.321,25 EUR.</w:t>
      </w:r>
    </w:p>
    <w:p w14:paraId="298F92CB" w14:textId="4D56D437" w:rsidR="006261FE" w:rsidRDefault="006261FE" w:rsidP="004623DD">
      <w:pPr>
        <w:rPr>
          <w:b/>
          <w:lang w:eastAsia="hr-HR"/>
        </w:rPr>
      </w:pPr>
      <w:r w:rsidRPr="006D0A3E">
        <w:rPr>
          <w:rFonts w:cstheme="minorHAnsi"/>
          <w:b/>
          <w:bCs/>
        </w:rPr>
        <w:t>Aktivnosti</w:t>
      </w:r>
      <w:r w:rsidR="00804CD8">
        <w:rPr>
          <w:rFonts w:cstheme="minorHAnsi"/>
          <w:b/>
          <w:bCs/>
        </w:rPr>
        <w:t xml:space="preserve">: </w:t>
      </w:r>
      <w:r w:rsidR="0018118D" w:rsidRPr="0018118D">
        <w:rPr>
          <w:rFonts w:cs="Calibri"/>
        </w:rPr>
        <w:t xml:space="preserve">Prema ZPP-u, prema Šumsko gospodarskoj osnovi područja Republike Hrvatske 2016.- 2025. i važećoj regulativi za očuvanje </w:t>
      </w:r>
      <w:r w:rsidR="009D175B">
        <w:rPr>
          <w:rFonts w:cs="Calibri"/>
        </w:rPr>
        <w:t>bio</w:t>
      </w:r>
      <w:r w:rsidR="0018118D" w:rsidRPr="0018118D">
        <w:rPr>
          <w:rFonts w:cs="Calibri"/>
        </w:rPr>
        <w:t>raznolikosti.</w:t>
      </w:r>
    </w:p>
    <w:p w14:paraId="1DF20091" w14:textId="3BDF9AE3" w:rsidR="00BA1DC9" w:rsidRPr="00B47BDA" w:rsidRDefault="00BA1DC9" w:rsidP="004623DD">
      <w:pPr>
        <w:rPr>
          <w:lang w:eastAsia="hr-HR"/>
        </w:rPr>
      </w:pPr>
      <w:r w:rsidRPr="00B47BDA">
        <w:rPr>
          <w:b/>
          <w:lang w:eastAsia="hr-HR"/>
        </w:rPr>
        <w:t>Izvori financiranja:</w:t>
      </w:r>
      <w:r w:rsidRPr="00B47BDA">
        <w:rPr>
          <w:lang w:eastAsia="hr-HR"/>
        </w:rPr>
        <w:t xml:space="preserve"> ZPP, EU fondovi za regionalni razvoj, </w:t>
      </w:r>
      <w:r w:rsidR="00FC4283" w:rsidRPr="002F1EEF">
        <w:t>prihodi od prodaje emisijskih jedinica iz EU ETS-a</w:t>
      </w:r>
      <w:r w:rsidRPr="00B47BDA">
        <w:rPr>
          <w:lang w:eastAsia="hr-HR"/>
        </w:rPr>
        <w:t xml:space="preserve">, </w:t>
      </w:r>
      <w:r w:rsidR="00463326">
        <w:rPr>
          <w:lang w:eastAsia="hr-HR"/>
        </w:rPr>
        <w:t>p</w:t>
      </w:r>
      <w:r w:rsidRPr="00B47BDA">
        <w:rPr>
          <w:lang w:eastAsia="hr-HR"/>
        </w:rPr>
        <w:t>rivatna ulaganja</w:t>
      </w:r>
      <w:r w:rsidR="008502E4">
        <w:rPr>
          <w:lang w:eastAsia="hr-HR"/>
        </w:rPr>
        <w:t>.</w:t>
      </w:r>
    </w:p>
    <w:p w14:paraId="4C4FA19A" w14:textId="4E39BEE5" w:rsidR="00504B3D" w:rsidRPr="009F66A6" w:rsidRDefault="00504B3D" w:rsidP="004623DD">
      <w:pPr>
        <w:rPr>
          <w:bCs/>
          <w:lang w:eastAsia="hr-HR"/>
        </w:rPr>
      </w:pPr>
      <w:r w:rsidRPr="00B47BDA">
        <w:rPr>
          <w:b/>
          <w:lang w:eastAsia="hr-HR"/>
        </w:rPr>
        <w:t>Izvršno tijelo:</w:t>
      </w:r>
      <w:r>
        <w:rPr>
          <w:b/>
          <w:lang w:eastAsia="hr-HR"/>
        </w:rPr>
        <w:t xml:space="preserve"> </w:t>
      </w:r>
      <w:r w:rsidR="00917C74">
        <w:t>Ministarstvo poljoprivrede</w:t>
      </w:r>
      <w:r w:rsidR="00917C74" w:rsidRPr="00AE6008">
        <w:rPr>
          <w:lang w:eastAsia="hr-HR"/>
        </w:rPr>
        <w:t>, šumarstva i ribarstva</w:t>
      </w:r>
      <w:r w:rsidR="00917C74">
        <w:t xml:space="preserve"> (MPS)</w:t>
      </w:r>
      <w:r w:rsidR="00EA5C50">
        <w:t>, Ministarstvo zaštite okoliša i zelene tranzicije (MZOZT)</w:t>
      </w:r>
      <w:r w:rsidR="00917C74">
        <w:t>.</w:t>
      </w:r>
    </w:p>
    <w:p w14:paraId="680C786A" w14:textId="05A6E65A" w:rsidR="00BA1DC9" w:rsidRPr="00B47BDA" w:rsidRDefault="00BA1DC9" w:rsidP="004623DD">
      <w:pPr>
        <w:rPr>
          <w:lang w:eastAsia="hr-HR"/>
        </w:rPr>
      </w:pPr>
      <w:r w:rsidRPr="00B47BDA">
        <w:rPr>
          <w:b/>
          <w:lang w:eastAsia="hr-HR"/>
        </w:rPr>
        <w:t>Tijela za praćenje:</w:t>
      </w:r>
      <w:r w:rsidRPr="00B47BDA">
        <w:rPr>
          <w:lang w:eastAsia="hr-HR"/>
        </w:rPr>
        <w:t xml:space="preserve"> </w:t>
      </w:r>
      <w:r w:rsidR="009637AB" w:rsidRPr="004E559C">
        <w:rPr>
          <w:lang w:eastAsia="hr-HR"/>
        </w:rPr>
        <w:t>Ministarstvo zaštite okoliša i zelene tranzicije</w:t>
      </w:r>
      <w:r w:rsidR="001C4F4B" w:rsidRPr="00151618">
        <w:rPr>
          <w:lang w:eastAsia="hr-HR"/>
        </w:rPr>
        <w:t>, Agencija za plaćanja u poljoprivredi, ribarstvu i ruralnom razvoju (APPRRR), Hrvatska agencija za poljoprivredu i hranu (HAPIH)</w:t>
      </w:r>
      <w:r w:rsidR="0027355E">
        <w:rPr>
          <w:lang w:eastAsia="hr-HR"/>
        </w:rPr>
        <w:t>.</w:t>
      </w:r>
    </w:p>
    <w:p w14:paraId="41746E1F" w14:textId="5914267A" w:rsidR="00BA1DC9" w:rsidRPr="00B47BDA" w:rsidRDefault="00BA1DC9" w:rsidP="63259912">
      <w:pPr>
        <w:rPr>
          <w:lang w:eastAsia="hr-HR"/>
        </w:rPr>
      </w:pPr>
      <w:r w:rsidRPr="63259912">
        <w:rPr>
          <w:b/>
          <w:bCs/>
          <w:lang w:eastAsia="hr-HR"/>
        </w:rPr>
        <w:t xml:space="preserve">Učinak: </w:t>
      </w:r>
      <w:r w:rsidRPr="63259912">
        <w:rPr>
          <w:lang w:eastAsia="hr-HR"/>
        </w:rPr>
        <w:t xml:space="preserve">Travnjaci imaju u tlu veći sadržaj ugljika od zemljišta pod usjevima, dok je zaliha ugljika u pohraništu biomase veća u kategoriji usjeva nego u kategoriji travnjaka stoga pretvorbu travnjaka u neku drugu kategoriju zemljišta treba posebno analizirati s obzirom da konačni rezultat (kada se uzmu u obzir sva pohraništa) može biti ili emisija ili </w:t>
      </w:r>
      <w:r w:rsidR="00BE4A50" w:rsidRPr="63259912">
        <w:rPr>
          <w:lang w:eastAsia="hr-HR"/>
        </w:rPr>
        <w:t>ponor</w:t>
      </w:r>
      <w:r w:rsidRPr="63259912">
        <w:rPr>
          <w:lang w:eastAsia="hr-HR"/>
        </w:rPr>
        <w:t xml:space="preserve">. </w:t>
      </w:r>
    </w:p>
    <w:p w14:paraId="2AB17F84" w14:textId="63BEB6D7" w:rsidR="00BA1DC9" w:rsidRPr="00B47BDA" w:rsidRDefault="00BA1DC9" w:rsidP="004623DD">
      <w:pPr>
        <w:rPr>
          <w:lang w:eastAsia="hr-HR"/>
        </w:rPr>
      </w:pPr>
      <w:r w:rsidRPr="00B47BDA">
        <w:rPr>
          <w:b/>
          <w:lang w:eastAsia="hr-HR"/>
        </w:rPr>
        <w:t xml:space="preserve">Metoda praćenja: </w:t>
      </w:r>
      <w:r w:rsidRPr="00B47BDA">
        <w:rPr>
          <w:lang w:eastAsia="hr-HR"/>
        </w:rPr>
        <w:t>Učin</w:t>
      </w:r>
      <w:r w:rsidR="00F33583">
        <w:rPr>
          <w:lang w:eastAsia="hr-HR"/>
        </w:rPr>
        <w:t>ak</w:t>
      </w:r>
      <w:r w:rsidRPr="00B47BDA">
        <w:rPr>
          <w:lang w:eastAsia="hr-HR"/>
        </w:rPr>
        <w:t xml:space="preserve"> mjere pratit će se u okviru ZPP-a i u NIR-u.</w:t>
      </w:r>
    </w:p>
    <w:p w14:paraId="7675C623" w14:textId="27CBFD62" w:rsidR="00BA1DC9" w:rsidRPr="00B47BDA" w:rsidRDefault="00BA1DC9" w:rsidP="004623DD">
      <w:pPr>
        <w:rPr>
          <w:lang w:eastAsia="hr-HR"/>
        </w:rPr>
      </w:pPr>
      <w:r w:rsidRPr="00B47BDA">
        <w:rPr>
          <w:b/>
          <w:lang w:eastAsia="hr-HR"/>
        </w:rPr>
        <w:t xml:space="preserve">Povezanost s drugim dimenzijama: </w:t>
      </w:r>
      <w:r w:rsidRPr="00B47BDA">
        <w:rPr>
          <w:lang w:eastAsia="hr-HR"/>
        </w:rPr>
        <w:t>Poveznica je sa OIE, relativno manjeg intenziteta</w:t>
      </w:r>
      <w:r w:rsidR="00732825" w:rsidRPr="00B47BDA">
        <w:rPr>
          <w:rFonts w:ascii="Arial" w:hAnsi="Arial"/>
          <w:lang w:eastAsia="hr-HR"/>
        </w:rPr>
        <w:t>.</w:t>
      </w:r>
    </w:p>
    <w:p w14:paraId="68F8BA51" w14:textId="15DC68E8" w:rsidR="007C0F4E" w:rsidRPr="00B47BDA" w:rsidRDefault="5AE4E7D2" w:rsidP="63259912">
      <w:pPr>
        <w:rPr>
          <w:lang w:eastAsia="hr-HR"/>
        </w:rPr>
      </w:pPr>
      <w:r w:rsidRPr="63259912">
        <w:rPr>
          <w:b/>
          <w:bCs/>
          <w:lang w:eastAsia="hr-HR"/>
        </w:rPr>
        <w:t>Istraživanje i razvoj</w:t>
      </w:r>
      <w:r w:rsidRPr="63259912">
        <w:rPr>
          <w:lang w:eastAsia="hr-HR"/>
        </w:rPr>
        <w:t xml:space="preserve">: U gospodarenju ovom obračunskom kategorijom zemljišta ključno je pitanje zaštite prirode i </w:t>
      </w:r>
      <w:r w:rsidR="009D175B" w:rsidRPr="63259912">
        <w:rPr>
          <w:lang w:eastAsia="hr-HR"/>
        </w:rPr>
        <w:t>bio</w:t>
      </w:r>
      <w:r w:rsidRPr="63259912">
        <w:rPr>
          <w:lang w:eastAsia="hr-HR"/>
        </w:rPr>
        <w:t xml:space="preserve">raznolikosti. Svaka prenamjena treba se pomno analizirati, i opravdati. Potrebno je u okviru mjera za pošumljavanje i zašumljavanje utvrditi potencijalne površine koje bi bile pogodne za prenamjenu. </w:t>
      </w:r>
    </w:p>
    <w:p w14:paraId="1AE74F38" w14:textId="683A5160" w:rsidR="00D5149B" w:rsidRPr="00B47BDA" w:rsidRDefault="4A202479" w:rsidP="00442F5F">
      <w:pPr>
        <w:pStyle w:val="Mjeranaslov"/>
        <w:rPr>
          <w:lang w:eastAsia="hr-HR"/>
        </w:rPr>
      </w:pPr>
      <w:r w:rsidRPr="71589035">
        <w:rPr>
          <w:lang w:eastAsia="hr-HR"/>
        </w:rPr>
        <w:t>LUF-</w:t>
      </w:r>
      <w:r w:rsidR="526CD16E" w:rsidRPr="71589035">
        <w:rPr>
          <w:lang w:eastAsia="hr-HR"/>
        </w:rPr>
        <w:t>7</w:t>
      </w:r>
      <w:r w:rsidRPr="71589035">
        <w:rPr>
          <w:lang w:eastAsia="hr-HR"/>
        </w:rPr>
        <w:t xml:space="preserve"> </w:t>
      </w:r>
      <w:r w:rsidR="526CD16E" w:rsidRPr="71589035">
        <w:rPr>
          <w:lang w:eastAsia="hr-HR"/>
        </w:rPr>
        <w:t xml:space="preserve">Provedba tehničkih projekata i znanstvenih istraživanja u </w:t>
      </w:r>
      <w:r w:rsidR="00183F76" w:rsidRPr="00B47BDA">
        <w:rPr>
          <w:lang w:eastAsia="hr-HR"/>
        </w:rPr>
        <w:t xml:space="preserve">sektoru </w:t>
      </w:r>
      <w:r w:rsidR="526CD16E" w:rsidRPr="71589035">
        <w:rPr>
          <w:lang w:eastAsia="hr-HR"/>
        </w:rPr>
        <w:t xml:space="preserve">LULUCF </w:t>
      </w:r>
    </w:p>
    <w:p w14:paraId="36D6CA12" w14:textId="77777777" w:rsidR="00BA1DC9" w:rsidRPr="00B47BDA" w:rsidRDefault="00BA1DC9" w:rsidP="004623DD">
      <w:pPr>
        <w:rPr>
          <w:lang w:eastAsia="hr-HR"/>
        </w:rPr>
      </w:pPr>
      <w:r w:rsidRPr="00B47BDA">
        <w:rPr>
          <w:lang w:eastAsia="hr-HR"/>
        </w:rPr>
        <w:t>Istraživačka mjera; provedba: 2021.-2030.</w:t>
      </w:r>
    </w:p>
    <w:p w14:paraId="6912ED41" w14:textId="152B6E67" w:rsidR="00BA1DC9" w:rsidRPr="00B47BDA" w:rsidRDefault="00BA1DC9" w:rsidP="63259912">
      <w:pPr>
        <w:rPr>
          <w:lang w:eastAsia="hr-HR"/>
        </w:rPr>
      </w:pPr>
      <w:r w:rsidRPr="63259912">
        <w:rPr>
          <w:b/>
          <w:bCs/>
        </w:rPr>
        <w:t xml:space="preserve">Cilj i opis mjere: </w:t>
      </w:r>
      <w:r w:rsidR="000A0149" w:rsidRPr="63259912">
        <w:rPr>
          <w:lang w:eastAsia="hr-HR"/>
        </w:rPr>
        <w:t>U</w:t>
      </w:r>
      <w:r w:rsidR="00622DB1" w:rsidRPr="63259912">
        <w:rPr>
          <w:lang w:eastAsia="hr-HR"/>
        </w:rPr>
        <w:t xml:space="preserve"> </w:t>
      </w:r>
      <w:r w:rsidR="000A0149" w:rsidRPr="63259912">
        <w:rPr>
          <w:lang w:eastAsia="hr-HR"/>
        </w:rPr>
        <w:t xml:space="preserve">razdoblju do 2030. </w:t>
      </w:r>
      <w:r w:rsidRPr="63259912">
        <w:rPr>
          <w:lang w:eastAsia="hr-HR"/>
        </w:rPr>
        <w:t>godine</w:t>
      </w:r>
      <w:r w:rsidR="000A0149" w:rsidRPr="63259912">
        <w:rPr>
          <w:lang w:eastAsia="hr-HR"/>
        </w:rPr>
        <w:t xml:space="preserve"> nužno je osigurati financijska sredstva za provedbu tehničkih i znanstvenih projekata u LULUCF sektoru. </w:t>
      </w:r>
      <w:r w:rsidRPr="63259912">
        <w:rPr>
          <w:lang w:eastAsia="hr-HR"/>
        </w:rPr>
        <w:t xml:space="preserve">S obzirom na troškovnu učinkovitost mjera u sektoru LULUCF i poljoprivrede te s tim u vezi mnogostruke pozitivne indirektne učinke ovih mjera, a imajući u vidu stanje raspoloživih podataka i nesigurnosti, istraživanja u projekte LULUCF trebaju imati prioritetan status. </w:t>
      </w:r>
      <w:r w:rsidR="000A0149" w:rsidRPr="63259912">
        <w:rPr>
          <w:lang w:eastAsia="hr-HR"/>
        </w:rPr>
        <w:t>Znanstvenim projektima treba se omogućiti razvoj različitih modela za potrebe prelaska na višu razinu IPCC metodologije (</w:t>
      </w:r>
      <w:r w:rsidRPr="63259912">
        <w:rPr>
          <w:lang w:eastAsia="hr-HR"/>
        </w:rPr>
        <w:t xml:space="preserve">Tier </w:t>
      </w:r>
      <w:r w:rsidR="000A0149" w:rsidRPr="63259912">
        <w:rPr>
          <w:lang w:eastAsia="hr-HR"/>
        </w:rPr>
        <w:t>3) s ciljem što točnijeg utvrđivanja emisija/</w:t>
      </w:r>
      <w:r w:rsidR="3DEFCB65" w:rsidRPr="63259912">
        <w:rPr>
          <w:lang w:eastAsia="hr-HR"/>
        </w:rPr>
        <w:t>ponora</w:t>
      </w:r>
      <w:r w:rsidR="000A0149" w:rsidRPr="63259912">
        <w:rPr>
          <w:lang w:eastAsia="hr-HR"/>
        </w:rPr>
        <w:t xml:space="preserve"> stakleničkih plinova i posljedično planiranja mjera za smanjenje emisija i povećanje </w:t>
      </w:r>
      <w:r w:rsidR="45F8BFBD" w:rsidRPr="63259912">
        <w:rPr>
          <w:lang w:eastAsia="hr-HR"/>
        </w:rPr>
        <w:t>ponora</w:t>
      </w:r>
      <w:r w:rsidR="000A0149" w:rsidRPr="63259912">
        <w:rPr>
          <w:lang w:eastAsia="hr-HR"/>
        </w:rPr>
        <w:t>.</w:t>
      </w:r>
      <w:r w:rsidR="00283B60" w:rsidRPr="63259912">
        <w:rPr>
          <w:lang w:eastAsia="hr-HR"/>
        </w:rPr>
        <w:t xml:space="preserve"> Pri tome treba uzeti u obzir </w:t>
      </w:r>
      <w:r w:rsidR="00283B60" w:rsidRPr="63259912">
        <w:rPr>
          <w:lang w:eastAsia="hr-HR"/>
        </w:rPr>
        <w:lastRenderedPageBreak/>
        <w:t>projekcije klimatskih promjena, i procjene rizika i ranjivost na klimatske promjene i njihov negativan ili pozitivan utjecaj na emisije/ponore stakleničkih plinova u LULUCF sektoru.</w:t>
      </w:r>
    </w:p>
    <w:p w14:paraId="1624B2DA" w14:textId="5A8A4434" w:rsidR="00BA1DC9" w:rsidRPr="00C67BF7" w:rsidRDefault="00C67BF7" w:rsidP="004623DD">
      <w:pPr>
        <w:rPr>
          <w:b/>
          <w:bCs/>
          <w:lang w:eastAsia="hr-HR"/>
        </w:rPr>
      </w:pPr>
      <w:r w:rsidRPr="00C67BF7">
        <w:rPr>
          <w:b/>
          <w:bCs/>
          <w:lang w:eastAsia="hr-HR"/>
        </w:rPr>
        <w:t>Aktivnosti</w:t>
      </w:r>
      <w:r w:rsidR="00BA1DC9" w:rsidRPr="00C67BF7">
        <w:rPr>
          <w:b/>
          <w:bCs/>
          <w:lang w:eastAsia="hr-HR"/>
        </w:rPr>
        <w:t>:</w:t>
      </w:r>
    </w:p>
    <w:p w14:paraId="0241F875" w14:textId="77777777" w:rsidR="00BA1DC9" w:rsidRPr="00B47BDA" w:rsidRDefault="00BA1DC9" w:rsidP="00455D82">
      <w:pPr>
        <w:pStyle w:val="ListParagraph"/>
        <w:numPr>
          <w:ilvl w:val="0"/>
          <w:numId w:val="108"/>
        </w:numPr>
        <w:spacing w:after="60"/>
        <w:ind w:left="714" w:hanging="357"/>
      </w:pPr>
      <w:r w:rsidRPr="00B47BDA">
        <w:t>Mapiranje zemljišta pogodnog za konverziju iz nižih uzgojnih oblika u više</w:t>
      </w:r>
    </w:p>
    <w:p w14:paraId="37E5545B" w14:textId="77777777" w:rsidR="00BA1DC9" w:rsidRPr="00B47BDA" w:rsidRDefault="00BA1DC9" w:rsidP="00455D82">
      <w:pPr>
        <w:pStyle w:val="ListParagraph"/>
        <w:numPr>
          <w:ilvl w:val="0"/>
          <w:numId w:val="108"/>
        </w:numPr>
        <w:spacing w:after="60"/>
        <w:ind w:left="714" w:hanging="357"/>
      </w:pPr>
      <w:r w:rsidRPr="00B47BDA">
        <w:t>Dovršiti projekt LIFE CROLIS i osigurati njegovu punu implementaciju te nadogradnju</w:t>
      </w:r>
    </w:p>
    <w:p w14:paraId="73E1F535" w14:textId="45A0F93C" w:rsidR="00BA1DC9" w:rsidRPr="00B47BDA" w:rsidRDefault="003E300B" w:rsidP="00455D82">
      <w:pPr>
        <w:pStyle w:val="ListParagraph"/>
        <w:numPr>
          <w:ilvl w:val="0"/>
          <w:numId w:val="108"/>
        </w:numPr>
        <w:spacing w:after="60"/>
        <w:ind w:left="714" w:hanging="357"/>
      </w:pPr>
      <w:r>
        <w:t>Dovršiti</w:t>
      </w:r>
      <w:r w:rsidR="00BA1DC9" w:rsidRPr="00B47BDA">
        <w:t xml:space="preserve"> projekt CROWOODS radi izgradnje sustava izvještavanja za drvne proizvode</w:t>
      </w:r>
    </w:p>
    <w:p w14:paraId="3E88F468" w14:textId="77777777" w:rsidR="00BA1DC9" w:rsidRPr="00B47BDA" w:rsidRDefault="00BA1DC9" w:rsidP="00455D82">
      <w:pPr>
        <w:pStyle w:val="ListParagraph"/>
        <w:numPr>
          <w:ilvl w:val="0"/>
          <w:numId w:val="108"/>
        </w:numPr>
        <w:spacing w:after="60"/>
        <w:ind w:left="714" w:hanging="357"/>
      </w:pPr>
      <w:r w:rsidRPr="63259912">
        <w:t>Znanstveni projekti analize utjecaja klimatskih promjena na pohraništa ugljika i LULUCF sektor</w:t>
      </w:r>
    </w:p>
    <w:p w14:paraId="3A5835ED" w14:textId="77777777" w:rsidR="00FE789B" w:rsidRPr="00151618" w:rsidRDefault="00FE789B" w:rsidP="00455D82">
      <w:pPr>
        <w:numPr>
          <w:ilvl w:val="0"/>
          <w:numId w:val="108"/>
        </w:numPr>
        <w:tabs>
          <w:tab w:val="left" w:pos="431"/>
        </w:tabs>
        <w:spacing w:after="60"/>
        <w:ind w:left="714" w:hanging="357"/>
        <w:rPr>
          <w:rFonts w:cs="Tahoma"/>
          <w:lang w:eastAsia="ar-SA"/>
        </w:rPr>
      </w:pPr>
      <w:r w:rsidRPr="00151618">
        <w:rPr>
          <w:rFonts w:cs="Tahoma"/>
          <w:lang w:eastAsia="ar-SA"/>
        </w:rPr>
        <w:t>Dovršenje projekta CRONFI II – inventarizacija šuma RH koja će utvrditi sadržaj ugljika u stelji, humusu i tlu te krupnom i sitnom drvnom otpadu</w:t>
      </w:r>
    </w:p>
    <w:p w14:paraId="6BCFECC3" w14:textId="24DE6796" w:rsidR="00BA1DC9" w:rsidRPr="00B47BDA" w:rsidRDefault="00BA1DC9" w:rsidP="00455D82">
      <w:pPr>
        <w:pStyle w:val="ListParagraph"/>
        <w:numPr>
          <w:ilvl w:val="0"/>
          <w:numId w:val="108"/>
        </w:numPr>
        <w:spacing w:after="60"/>
        <w:ind w:left="714" w:hanging="357"/>
      </w:pPr>
      <w:r w:rsidRPr="63259912">
        <w:t xml:space="preserve">Provesti kartiranje </w:t>
      </w:r>
      <w:r w:rsidR="00C21139" w:rsidRPr="63259912">
        <w:t>prašumskih ekosustava</w:t>
      </w:r>
      <w:r w:rsidR="00652468" w:rsidRPr="63259912">
        <w:t xml:space="preserve"> (primary and old-growth forests)</w:t>
      </w:r>
      <w:r w:rsidRPr="63259912">
        <w:t xml:space="preserve"> RH s obzirom na nove ciljeve 10% stroge zaštite iz Strategije </w:t>
      </w:r>
      <w:r w:rsidR="00E96DF5" w:rsidRPr="63259912">
        <w:t xml:space="preserve">EU za </w:t>
      </w:r>
      <w:r w:rsidR="009D175B" w:rsidRPr="63259912">
        <w:t>bio</w:t>
      </w:r>
      <w:r w:rsidRPr="63259912">
        <w:t>raznolikost</w:t>
      </w:r>
      <w:r w:rsidR="00E96DF5" w:rsidRPr="63259912">
        <w:t xml:space="preserve"> do 2030</w:t>
      </w:r>
      <w:r w:rsidRPr="63259912">
        <w:t>. Kartiranje šuma po starosnim razredima kako je definirano Strategijom za šume</w:t>
      </w:r>
    </w:p>
    <w:p w14:paraId="22BAEF0D" w14:textId="77777777" w:rsidR="00BA1DC9" w:rsidRPr="00B47BDA" w:rsidRDefault="00BA1DC9" w:rsidP="00455D82">
      <w:pPr>
        <w:pStyle w:val="ListParagraph"/>
        <w:numPr>
          <w:ilvl w:val="0"/>
          <w:numId w:val="108"/>
        </w:numPr>
        <w:spacing w:after="60"/>
        <w:ind w:left="714" w:hanging="357"/>
      </w:pPr>
      <w:r w:rsidRPr="00B47BDA">
        <w:t>Izrada registra za praćenje učinka inicijative milijun stabala godišnje</w:t>
      </w:r>
    </w:p>
    <w:p w14:paraId="78718316" w14:textId="0B35D631" w:rsidR="00BA1DC9" w:rsidRPr="00B47BDA" w:rsidRDefault="00BA1DC9" w:rsidP="00455D82">
      <w:pPr>
        <w:pStyle w:val="ListParagraph"/>
        <w:numPr>
          <w:ilvl w:val="0"/>
          <w:numId w:val="108"/>
        </w:numPr>
        <w:spacing w:after="60"/>
        <w:ind w:left="714" w:hanging="357"/>
      </w:pPr>
      <w:r w:rsidRPr="00B47BDA">
        <w:t xml:space="preserve">Izraditi kartu ugljika u tlu </w:t>
      </w:r>
      <w:r w:rsidR="67BE76D6">
        <w:t>R</w:t>
      </w:r>
      <w:r w:rsidRPr="00B47BDA">
        <w:t xml:space="preserve">epublike Hrvatske, za šumska tla i poljoprivredna tla. Koristiti međunarodne baze podataka </w:t>
      </w:r>
    </w:p>
    <w:p w14:paraId="35BEDA21" w14:textId="77777777" w:rsidR="00BA1DC9" w:rsidRPr="00B47BDA" w:rsidRDefault="00BA1DC9" w:rsidP="00455D82">
      <w:pPr>
        <w:pStyle w:val="ListParagraph"/>
        <w:numPr>
          <w:ilvl w:val="0"/>
          <w:numId w:val="108"/>
        </w:numPr>
        <w:spacing w:after="60"/>
        <w:ind w:left="714" w:hanging="357"/>
      </w:pPr>
      <w:r w:rsidRPr="00B47BDA">
        <w:t>Izraditi sustav praćenja doprinosa mjera ZPP smanjenju emisije stakleničkih plinova</w:t>
      </w:r>
    </w:p>
    <w:p w14:paraId="75C2F6A2" w14:textId="2BEACABA" w:rsidR="00BA1DC9" w:rsidRDefault="1C7C9BBA" w:rsidP="00455D82">
      <w:pPr>
        <w:pStyle w:val="ListParagraph"/>
        <w:numPr>
          <w:ilvl w:val="0"/>
          <w:numId w:val="108"/>
        </w:numPr>
        <w:spacing w:after="60"/>
        <w:ind w:left="714" w:hanging="357"/>
      </w:pPr>
      <w:r>
        <w:t xml:space="preserve">Unaprijediti sustav praćenja korištenja drvnih proizvoda i povezati s benefitima supstitucije drugih materijala. </w:t>
      </w:r>
    </w:p>
    <w:p w14:paraId="206DE54E" w14:textId="77777777" w:rsidR="00333C56" w:rsidRPr="00333C56" w:rsidRDefault="00333C56" w:rsidP="00333C56">
      <w:pPr>
        <w:numPr>
          <w:ilvl w:val="0"/>
          <w:numId w:val="108"/>
        </w:numPr>
        <w:spacing w:after="60"/>
        <w:contextualSpacing/>
      </w:pPr>
      <w:r w:rsidRPr="00333C56">
        <w:t xml:space="preserve">Projekti tehničkih poboljšanja za podizanje razine izvještavanja na metodološku razinu 3 prema IPCC-u i ostalo što će se utvrditi prilikom provedbe mjere LUF-8 </w:t>
      </w:r>
    </w:p>
    <w:p w14:paraId="0247336C" w14:textId="77777777" w:rsidR="00333C56" w:rsidRDefault="00333C56" w:rsidP="00333C56">
      <w:pPr>
        <w:spacing w:after="60"/>
      </w:pPr>
    </w:p>
    <w:p w14:paraId="4A464F67" w14:textId="67352D21" w:rsidR="00B86B4F" w:rsidRPr="00B86B4F" w:rsidRDefault="00B86B4F" w:rsidP="00B86B4F">
      <w:pPr>
        <w:spacing w:after="60"/>
      </w:pPr>
      <w:r w:rsidRPr="00B86B4F">
        <w:rPr>
          <w:b/>
          <w:bCs/>
        </w:rPr>
        <w:t>Izori financiranja:</w:t>
      </w:r>
      <w:r w:rsidR="00D06EA4">
        <w:t xml:space="preserve"> </w:t>
      </w:r>
      <w:r w:rsidRPr="00B86B4F">
        <w:t>prihodi od prodaje emisijskih jedinica iz EU ETS-a, državni proračun, zaklada za znanost, EU sredstva (HORISON, LIFE)</w:t>
      </w:r>
      <w:r>
        <w:t>.</w:t>
      </w:r>
    </w:p>
    <w:p w14:paraId="0660F405" w14:textId="77777777" w:rsidR="00B86B4F" w:rsidRPr="00B86B4F" w:rsidRDefault="00B86B4F" w:rsidP="00B86B4F">
      <w:pPr>
        <w:spacing w:after="60"/>
        <w:rPr>
          <w:b/>
          <w:bCs/>
        </w:rPr>
      </w:pPr>
      <w:r w:rsidRPr="00B86B4F">
        <w:rPr>
          <w:b/>
          <w:bCs/>
        </w:rPr>
        <w:t xml:space="preserve">Izvršno tijelo: </w:t>
      </w:r>
    </w:p>
    <w:p w14:paraId="507E0FE0" w14:textId="7E114950" w:rsidR="00B86B4F" w:rsidRPr="00B86B4F" w:rsidRDefault="00B86B4F" w:rsidP="00B86B4F">
      <w:pPr>
        <w:spacing w:after="60"/>
      </w:pPr>
      <w:r w:rsidRPr="00B86B4F">
        <w:t xml:space="preserve">Ministarstvo </w:t>
      </w:r>
      <w:r w:rsidR="005B4C32">
        <w:t>zaštite okoliša i zelene tranzicije</w:t>
      </w:r>
      <w:r w:rsidRPr="00B86B4F">
        <w:t xml:space="preserve"> (aktivnosti ad 2, 3, 6,</w:t>
      </w:r>
      <w:r w:rsidR="00994CA8">
        <w:t xml:space="preserve"> 8, </w:t>
      </w:r>
      <w:r w:rsidRPr="00B86B4F">
        <w:t>10 i 11)</w:t>
      </w:r>
    </w:p>
    <w:p w14:paraId="0F33D6B9" w14:textId="78368BB4" w:rsidR="00B86B4F" w:rsidRPr="00B86B4F" w:rsidRDefault="00B86B4F" w:rsidP="00B86B4F">
      <w:pPr>
        <w:spacing w:after="60"/>
      </w:pPr>
      <w:r w:rsidRPr="00B86B4F">
        <w:t>Ministarstvo poljoprivrede</w:t>
      </w:r>
      <w:r w:rsidR="008937E5">
        <w:t>,</w:t>
      </w:r>
      <w:r w:rsidR="00F03309">
        <w:t xml:space="preserve"> šumarstva </w:t>
      </w:r>
      <w:r w:rsidR="008937E5">
        <w:t xml:space="preserve">i ribarstva </w:t>
      </w:r>
      <w:r w:rsidRPr="00B86B4F">
        <w:t>(</w:t>
      </w:r>
      <w:r w:rsidR="00BD17D6" w:rsidRPr="00B86B4F">
        <w:t>aktivnosti ad</w:t>
      </w:r>
      <w:r w:rsidRPr="00B86B4F">
        <w:t xml:space="preserve"> 1, 5,  7, 9 i 10)</w:t>
      </w:r>
    </w:p>
    <w:p w14:paraId="5B2443FD" w14:textId="00490F61" w:rsidR="00B86B4F" w:rsidRPr="00B86B4F" w:rsidRDefault="00B86B4F" w:rsidP="00B86B4F">
      <w:pPr>
        <w:spacing w:after="60"/>
      </w:pPr>
      <w:r w:rsidRPr="00B86B4F">
        <w:t>Ministarstvo znanosti</w:t>
      </w:r>
      <w:r w:rsidR="00F03309">
        <w:t>,</w:t>
      </w:r>
      <w:r w:rsidRPr="00B86B4F">
        <w:t xml:space="preserve"> obrazovanja </w:t>
      </w:r>
      <w:r w:rsidR="00F03309">
        <w:t xml:space="preserve">i mladih </w:t>
      </w:r>
      <w:r w:rsidRPr="00B86B4F">
        <w:t>( ad 4)</w:t>
      </w:r>
    </w:p>
    <w:p w14:paraId="19513667" w14:textId="5F9A6C27" w:rsidR="00B86B4F" w:rsidRPr="00B86B4F" w:rsidRDefault="00B86B4F" w:rsidP="00B86B4F">
      <w:pPr>
        <w:rPr>
          <w:lang w:eastAsia="hr-HR"/>
        </w:rPr>
      </w:pPr>
      <w:r w:rsidRPr="00B86B4F">
        <w:rPr>
          <w:b/>
          <w:lang w:eastAsia="hr-HR"/>
        </w:rPr>
        <w:t>Tijela za praćenje:</w:t>
      </w:r>
      <w:r w:rsidRPr="00B86B4F">
        <w:rPr>
          <w:lang w:eastAsia="hr-HR"/>
        </w:rPr>
        <w:t xml:space="preserve"> Ministarstvo </w:t>
      </w:r>
      <w:r w:rsidR="005B4C32">
        <w:rPr>
          <w:lang w:eastAsia="hr-HR"/>
        </w:rPr>
        <w:t>zaštite okoliša i zelene tranzicije</w:t>
      </w:r>
      <w:r w:rsidRPr="00B86B4F">
        <w:rPr>
          <w:lang w:eastAsia="hr-HR"/>
        </w:rPr>
        <w:t>, Ministarstvo poljoprivrede</w:t>
      </w:r>
      <w:r w:rsidR="00196535">
        <w:rPr>
          <w:lang w:eastAsia="hr-HR"/>
        </w:rPr>
        <w:t>,</w:t>
      </w:r>
      <w:r w:rsidR="00F03309">
        <w:rPr>
          <w:lang w:eastAsia="hr-HR"/>
        </w:rPr>
        <w:t xml:space="preserve"> šumarstva </w:t>
      </w:r>
      <w:r w:rsidR="00196535">
        <w:rPr>
          <w:lang w:eastAsia="hr-HR"/>
        </w:rPr>
        <w:t xml:space="preserve">i ribarstva </w:t>
      </w:r>
      <w:r w:rsidRPr="00B86B4F">
        <w:rPr>
          <w:lang w:eastAsia="hr-HR"/>
        </w:rPr>
        <w:t>(MP</w:t>
      </w:r>
      <w:r w:rsidR="005B4C32">
        <w:rPr>
          <w:lang w:eastAsia="hr-HR"/>
        </w:rPr>
        <w:t>S</w:t>
      </w:r>
      <w:r w:rsidRPr="00B86B4F">
        <w:rPr>
          <w:lang w:eastAsia="hr-HR"/>
        </w:rPr>
        <w:t xml:space="preserve">) i Ministarstvo </w:t>
      </w:r>
      <w:r w:rsidR="00D545DC">
        <w:rPr>
          <w:lang w:eastAsia="hr-HR"/>
        </w:rPr>
        <w:t xml:space="preserve">znanosti, </w:t>
      </w:r>
      <w:r w:rsidRPr="00B86B4F">
        <w:rPr>
          <w:lang w:eastAsia="hr-HR"/>
        </w:rPr>
        <w:t xml:space="preserve">obrazovanja i </w:t>
      </w:r>
      <w:r w:rsidR="00D545DC">
        <w:rPr>
          <w:lang w:eastAsia="hr-HR"/>
        </w:rPr>
        <w:t>mladih</w:t>
      </w:r>
      <w:r w:rsidR="00BD17D6">
        <w:rPr>
          <w:lang w:eastAsia="hr-HR"/>
        </w:rPr>
        <w:t>.</w:t>
      </w:r>
    </w:p>
    <w:p w14:paraId="5BA0B9B3" w14:textId="1312414E" w:rsidR="00B86B4F" w:rsidRPr="00B86B4F" w:rsidRDefault="00B86B4F" w:rsidP="00B86B4F">
      <w:pPr>
        <w:rPr>
          <w:lang w:eastAsia="hr-HR"/>
        </w:rPr>
      </w:pPr>
      <w:r w:rsidRPr="00B86B4F">
        <w:rPr>
          <w:b/>
          <w:lang w:eastAsia="hr-HR"/>
        </w:rPr>
        <w:t xml:space="preserve">Učinak: </w:t>
      </w:r>
      <w:r w:rsidRPr="00B86B4F">
        <w:rPr>
          <w:lang w:eastAsia="hr-HR"/>
        </w:rPr>
        <w:t>Doprinos povećanju ponora u sektoru LULUCF i pojačanje otpornosti na klimatske promjene</w:t>
      </w:r>
      <w:r w:rsidR="0086513A">
        <w:rPr>
          <w:lang w:eastAsia="hr-HR"/>
        </w:rPr>
        <w:t>.</w:t>
      </w:r>
    </w:p>
    <w:p w14:paraId="4000EF47" w14:textId="3E5FFE31" w:rsidR="00B86B4F" w:rsidRPr="00B86B4F" w:rsidRDefault="00B86B4F" w:rsidP="00B86B4F">
      <w:pPr>
        <w:rPr>
          <w:lang w:eastAsia="hr-HR"/>
        </w:rPr>
      </w:pPr>
      <w:r w:rsidRPr="00B86B4F">
        <w:rPr>
          <w:b/>
          <w:lang w:eastAsia="hr-HR"/>
        </w:rPr>
        <w:t xml:space="preserve">Metoda praćenja: </w:t>
      </w:r>
      <w:r w:rsidRPr="00B86B4F">
        <w:rPr>
          <w:lang w:eastAsia="hr-HR"/>
        </w:rPr>
        <w:t>Utvrdit će nadležna ministarstva</w:t>
      </w:r>
      <w:r w:rsidR="0086513A">
        <w:rPr>
          <w:lang w:eastAsia="hr-HR"/>
        </w:rPr>
        <w:t>.</w:t>
      </w:r>
    </w:p>
    <w:p w14:paraId="7EE85C2B" w14:textId="79DF0254" w:rsidR="00B86B4F" w:rsidRPr="00B86B4F" w:rsidRDefault="00B86B4F" w:rsidP="00B86B4F">
      <w:pPr>
        <w:rPr>
          <w:lang w:eastAsia="hr-HR"/>
        </w:rPr>
      </w:pPr>
      <w:r w:rsidRPr="00B86B4F">
        <w:rPr>
          <w:b/>
          <w:lang w:eastAsia="hr-HR"/>
        </w:rPr>
        <w:t xml:space="preserve">Povezanost s drugim dimenzijama: </w:t>
      </w:r>
      <w:r w:rsidR="004D67F1">
        <w:rPr>
          <w:lang w:eastAsia="hr-HR"/>
        </w:rPr>
        <w:t>Istraživanje, inovacije i konkurentnost</w:t>
      </w:r>
      <w:r w:rsidR="0086513A">
        <w:rPr>
          <w:lang w:eastAsia="hr-HR"/>
        </w:rPr>
        <w:t>.</w:t>
      </w:r>
    </w:p>
    <w:p w14:paraId="3305C93E" w14:textId="68272DF9" w:rsidR="00C40AD7" w:rsidRDefault="00C40AD7">
      <w:pPr>
        <w:spacing w:after="0"/>
        <w:jc w:val="left"/>
        <w:rPr>
          <w:lang w:eastAsia="hr-HR"/>
        </w:rPr>
      </w:pPr>
      <w:r>
        <w:rPr>
          <w:lang w:eastAsia="hr-HR"/>
        </w:rPr>
        <w:br w:type="page"/>
      </w:r>
    </w:p>
    <w:p w14:paraId="0A9276F4" w14:textId="60E7AA3D" w:rsidR="0063573B" w:rsidRPr="0063573B" w:rsidRDefault="1AEDF3A2" w:rsidP="0063573B">
      <w:pPr>
        <w:rPr>
          <w:b/>
          <w:bCs/>
          <w:color w:val="C00000"/>
        </w:rPr>
      </w:pPr>
      <w:r w:rsidRPr="71589035">
        <w:rPr>
          <w:b/>
          <w:bCs/>
          <w:color w:val="C00000"/>
        </w:rPr>
        <w:lastRenderedPageBreak/>
        <w:t xml:space="preserve">LUF-8 Aktivnosti za izgradnju scenarija </w:t>
      </w:r>
      <w:r w:rsidR="00AE59E3">
        <w:rPr>
          <w:b/>
          <w:bCs/>
          <w:color w:val="C00000"/>
        </w:rPr>
        <w:t>WAM</w:t>
      </w:r>
    </w:p>
    <w:p w14:paraId="47A27146" w14:textId="2151CA66" w:rsidR="004B3E13" w:rsidRPr="004B3E13" w:rsidRDefault="004B3E13" w:rsidP="1C9333AB">
      <w:pPr>
        <w:rPr>
          <w:lang w:eastAsia="hr-HR"/>
        </w:rPr>
      </w:pPr>
      <w:r w:rsidRPr="00B47BDA">
        <w:rPr>
          <w:lang w:eastAsia="hr-HR"/>
        </w:rPr>
        <w:t>Istraživačka mjera; provedba: 202</w:t>
      </w:r>
      <w:r>
        <w:rPr>
          <w:lang w:eastAsia="hr-HR"/>
        </w:rPr>
        <w:t>5</w:t>
      </w:r>
      <w:r w:rsidRPr="00B47BDA">
        <w:rPr>
          <w:lang w:eastAsia="hr-HR"/>
        </w:rPr>
        <w:t>.-20</w:t>
      </w:r>
      <w:r w:rsidR="00C160B9">
        <w:rPr>
          <w:lang w:eastAsia="hr-HR"/>
        </w:rPr>
        <w:t>30</w:t>
      </w:r>
      <w:r w:rsidRPr="00B47BDA">
        <w:rPr>
          <w:lang w:eastAsia="hr-HR"/>
        </w:rPr>
        <w:t>.</w:t>
      </w:r>
    </w:p>
    <w:p w14:paraId="2FEA12C2" w14:textId="33470BF4" w:rsidR="0063573B" w:rsidRPr="0063573B" w:rsidRDefault="78A84B12" w:rsidP="1C9333AB">
      <w:pPr>
        <w:rPr>
          <w:rFonts w:cs="Arial"/>
          <w:b/>
          <w:bCs/>
        </w:rPr>
      </w:pPr>
      <w:r w:rsidRPr="1C9333AB">
        <w:rPr>
          <w:rFonts w:cs="Arial"/>
          <w:b/>
          <w:bCs/>
        </w:rPr>
        <w:t>Cilj i opis mjere:</w:t>
      </w:r>
      <w:r w:rsidR="63B24B58" w:rsidRPr="1C9333AB">
        <w:rPr>
          <w:rFonts w:cs="Arial"/>
          <w:b/>
          <w:bCs/>
        </w:rPr>
        <w:t xml:space="preserve"> </w:t>
      </w:r>
      <w:r w:rsidRPr="1C9333AB">
        <w:rPr>
          <w:rFonts w:cs="Arial"/>
        </w:rPr>
        <w:t>Cilj je izrada WAM scenarija kojim se postiže cilj povećanja ponora do 2030. godine.</w:t>
      </w:r>
    </w:p>
    <w:p w14:paraId="41DE6515" w14:textId="77777777" w:rsidR="0063573B" w:rsidRPr="0063573B" w:rsidRDefault="0063573B" w:rsidP="0063573B">
      <w:r w:rsidRPr="0063573B">
        <w:t xml:space="preserve">Sve aktivnosti vezano za šume i šumarski sektor obavljaju se prema važećim šumskogospodarskim planovima, a glavni smjer određuje glavni šumskogospodarski plan - Šumskogospodarska osnova područja Republike Hrvatske (ŠGOP). To je strateški dokument za koji se izrađuje i strateška procjena utjecaja na okoliš te je isključivo iz važećeg ŠGOP-a moguće derivirati, procjenjivati i planirati preporukom tražen hodogram aktivnosti za postizanje nacionalnog cilja LULUCF-a i njima planiranih mjera te kvantificiranje istih. WEM scenarij prezentiran u NECP-u, odražava postojeći ŠGOP, a to znači postojeće gospodarske prakse, postojeće planove sječa i ograničenja u gospodarenju šumama obzirom na druge propise kakva su zatečena 2020. godine. Također, uzima u obzir i utjecaje prirodnih nepogoda koje su se dešavale u proteklih deset godina. </w:t>
      </w:r>
    </w:p>
    <w:p w14:paraId="0BD8B0D9" w14:textId="079C5FC3" w:rsidR="0063573B" w:rsidRDefault="0063573B" w:rsidP="0063573B">
      <w:r w:rsidRPr="63259912">
        <w:t xml:space="preserve">Za definiranje scenarija WAM i postizanje cilja do 2030. godine relevantan je idući ŠGOP, koji se izrađuje za razdoblje 2026. - 2035. U njemu će se nalaziti i projekcije etata za idućih 40 godina, odnosno do 2065., što je izuzetno važno za projekciju budućih emisija i </w:t>
      </w:r>
      <w:r w:rsidR="0739BBBD" w:rsidRPr="63259912">
        <w:t>ponora</w:t>
      </w:r>
      <w:r w:rsidRPr="63259912">
        <w:t xml:space="preserve"> CO₂. Svi ostali radovi gospodarenja šumama koji su također bitni za ublažavanje klimatskih promjena, planiraju se za razdoblje od 10 godina, odnosno do 2035. </w:t>
      </w:r>
      <w:r w:rsidR="00A12A5A" w:rsidRPr="63259912">
        <w:t>godine.</w:t>
      </w:r>
      <w:r w:rsidR="005A05D9" w:rsidRPr="63259912">
        <w:t xml:space="preserve"> Idući ŠGOP za razdoblje 2026. - 2035. u sebi treba sadržavati postizanje cilja </w:t>
      </w:r>
      <w:r w:rsidR="00BC5263" w:rsidRPr="63259912">
        <w:t>neto uklanjanja od -5</w:t>
      </w:r>
      <w:r w:rsidR="00C40AD7" w:rsidRPr="63259912">
        <w:t>.</w:t>
      </w:r>
      <w:r w:rsidR="00BC5263" w:rsidRPr="63259912">
        <w:t>527 kt CO</w:t>
      </w:r>
      <w:r w:rsidR="00BC5263" w:rsidRPr="63259912">
        <w:rPr>
          <w:vertAlign w:val="subscript"/>
        </w:rPr>
        <w:t>2</w:t>
      </w:r>
      <w:r w:rsidR="00BC5263" w:rsidRPr="63259912">
        <w:t xml:space="preserve"> eq, </w:t>
      </w:r>
      <w:r w:rsidR="005A05D9" w:rsidRPr="63259912">
        <w:t>koji do 2030. godine Republika Hrvatska ima prema Uredbi (EU) 2023/839.</w:t>
      </w:r>
    </w:p>
    <w:p w14:paraId="1DA9A6EF" w14:textId="7BE71AC5" w:rsidR="000A0B61" w:rsidRPr="0063573B" w:rsidRDefault="00683A7C" w:rsidP="0063573B">
      <w:r>
        <w:t xml:space="preserve">U tijeku je na razini EU rasprava o cilju smanjenja emisija do 2040. godine, koji se provodi temeljem </w:t>
      </w:r>
      <w:r w:rsidRPr="00A54253">
        <w:t>Komunikacij</w:t>
      </w:r>
      <w:r>
        <w:t>e</w:t>
      </w:r>
      <w:r w:rsidRPr="00A54253">
        <w:t xml:space="preserve"> “Osiguravanje naše budućnosti - Klimatski cilj EU-a za 2040. i put prema klimatskoj neutralnosti do 2050. uz izgradnju održivog, pravednog i prosperitetnog društva“</w:t>
      </w:r>
      <w:r>
        <w:t xml:space="preserve"> u kojoj se</w:t>
      </w:r>
      <w:r w:rsidRPr="00A54253">
        <w:t xml:space="preserve"> predlaže novi prijelazni klimatski cilj neto smanjenja emisija za 90 % do 2040.</w:t>
      </w:r>
      <w:r>
        <w:t xml:space="preserve"> godine. Ujedno se predlaže i novi cilj </w:t>
      </w:r>
      <w:r w:rsidRPr="00C5680C">
        <w:t>uklanjanj</w:t>
      </w:r>
      <w:r>
        <w:t>a</w:t>
      </w:r>
      <w:r w:rsidRPr="00C5680C">
        <w:t xml:space="preserve"> ugljika</w:t>
      </w:r>
      <w:r>
        <w:t xml:space="preserve">, </w:t>
      </w:r>
      <w:r w:rsidRPr="00C5680C">
        <w:t xml:space="preserve">iz atmosfere preko </w:t>
      </w:r>
      <w:r>
        <w:t xml:space="preserve"> prirodnih sustava i </w:t>
      </w:r>
      <w:r w:rsidRPr="00C5680C">
        <w:t>industrijsko</w:t>
      </w:r>
      <w:r>
        <w:t>g</w:t>
      </w:r>
      <w:r w:rsidRPr="00C5680C">
        <w:t xml:space="preserve"> uklanjanj</w:t>
      </w:r>
      <w:r>
        <w:t>a</w:t>
      </w:r>
      <w:r w:rsidRPr="00C5680C">
        <w:t xml:space="preserve"> ugljika</w:t>
      </w:r>
      <w:r>
        <w:t xml:space="preserve">, </w:t>
      </w:r>
      <w:r w:rsidRPr="00C5680C">
        <w:t>o</w:t>
      </w:r>
      <w:r>
        <w:t>d</w:t>
      </w:r>
      <w:r w:rsidRPr="00C5680C">
        <w:t xml:space="preserve"> 400 Mt  CO</w:t>
      </w:r>
      <w:r w:rsidRPr="00C40AD7">
        <w:rPr>
          <w:vertAlign w:val="subscript"/>
        </w:rPr>
        <w:t>2</w:t>
      </w:r>
      <w:r w:rsidRPr="00C5680C">
        <w:t xml:space="preserve">eq </w:t>
      </w:r>
      <w:r>
        <w:t>koji bi se</w:t>
      </w:r>
      <w:r w:rsidRPr="00C5680C">
        <w:t xml:space="preserve"> trebalo dos</w:t>
      </w:r>
      <w:r>
        <w:t>tić</w:t>
      </w:r>
      <w:r w:rsidRPr="00C5680C">
        <w:t xml:space="preserve">i </w:t>
      </w:r>
      <w:r>
        <w:t>na razini EU</w:t>
      </w:r>
      <w:r w:rsidRPr="00C5680C">
        <w:t>.</w:t>
      </w:r>
      <w:r>
        <w:t xml:space="preserve"> Prilikom izrade </w:t>
      </w:r>
      <w:r w:rsidRPr="0034051F">
        <w:t>ŠGOP za razdoblje 2026. - 2035.</w:t>
      </w:r>
      <w:r>
        <w:t xml:space="preserve"> će se i o tome voditi računa.</w:t>
      </w:r>
    </w:p>
    <w:p w14:paraId="13051C9F" w14:textId="39D37501" w:rsidR="0063573B" w:rsidRPr="0063573B" w:rsidRDefault="0063573B" w:rsidP="0063573B">
      <w:r w:rsidRPr="63259912">
        <w:t>Hrvatske šume d.o.o. izrađuju ŠGOP za sve šume u RH u suradnji s Ministarstvom poljoprivrede</w:t>
      </w:r>
      <w:r w:rsidR="00A12A5A" w:rsidRPr="63259912">
        <w:t>, šumarstva i ribarstva</w:t>
      </w:r>
      <w:r w:rsidRPr="63259912">
        <w:t xml:space="preserve"> te s privatnim šumoposjednicima. S obzirom da se radi o strateškom dokumentu iz sektora šumarstva, </w:t>
      </w:r>
      <w:r w:rsidR="00917C74" w:rsidRPr="63259912">
        <w:t>Ministarstvo poljoprivrede</w:t>
      </w:r>
      <w:r w:rsidR="00917C74" w:rsidRPr="63259912">
        <w:rPr>
          <w:lang w:eastAsia="hr-HR"/>
        </w:rPr>
        <w:t>, šumarstva i ribarstva</w:t>
      </w:r>
      <w:r w:rsidRPr="63259912">
        <w:t>, zajedno s cijelim šumarskim sektorom će organizirati raspravu tijekom 2025. godine, svih dionika vezanih za šumu i šumske proizvode (privatni šumoposjednici, drvoprerađivači, zaštita prirode, klima itd.). Cilj rasprave treba biti usklađivanje budućih ciljeva gospodarenja šumama i radova gospodarenja šumama s postavljenim ciljevima vezano za Uredbu LULUCF kao i s drugim ciljevima vezano za očuvanje bioraznolikosti ali i potrebama za drvnim šumskim proizvodima od strane prerađivačke industrije te drva za proizvodnju energije.</w:t>
      </w:r>
    </w:p>
    <w:p w14:paraId="4627C48C" w14:textId="146AF4B4" w:rsidR="0063573B" w:rsidRPr="0063573B" w:rsidRDefault="78A84B12" w:rsidP="0063573B">
      <w:r>
        <w:t>U zadnjem kvartalu 2025. godine očekuju se preliminarni rezultati druge Nacionalne inventure šumskih resursa Republike Hrvatske s podacima koji svojom vjerodostojnošću i kvalitetom mogu pridonijeti definiranju i oblikovanju šumarskih aktivnosti/radova za</w:t>
      </w:r>
      <w:r w:rsidR="72B35114">
        <w:t xml:space="preserve"> </w:t>
      </w:r>
      <w:r w:rsidR="57025EE6">
        <w:t>ponore</w:t>
      </w:r>
      <w:r>
        <w:t xml:space="preserve"> CO₂ sukladno obvezi održivog gospodarenja šumama, NECP-a, LULUCF-a i ostalih legislativnih obveza.</w:t>
      </w:r>
    </w:p>
    <w:p w14:paraId="7EABFEF4" w14:textId="3A2C8C48" w:rsidR="0063573B" w:rsidRPr="0063573B" w:rsidRDefault="78A84B12" w:rsidP="0063573B">
      <w:r>
        <w:lastRenderedPageBreak/>
        <w:t>Uz novi ŠGOP i II. Nacionalnu inventuru šumskih resursa RH, ažuriranju NECP-a doprinijet će namjenske stručne studije i projekti od kojih je najrecentniji elaborat "Prakse gospodarenja površinama šuma kojima se povećavaju ponori i/ili smanjuju emisije".</w:t>
      </w:r>
    </w:p>
    <w:p w14:paraId="2760DD83" w14:textId="49A0F358" w:rsidR="0063573B" w:rsidRPr="0063573B" w:rsidRDefault="78A84B12" w:rsidP="0063573B">
      <w:r w:rsidRPr="63259912">
        <w:t xml:space="preserve">Republika Hrvatska ima velike površinu šuma, no još uvijek postoji izvjesni potencijal za pošumljavanje, osobito potencijal za konverziju degradiranih sastojina u visoke šume. Prakse koje se provode uz propise o zaštiti prirode stvaraju izazove/granice za provedbu tih aktivnosti. Potrebna su daljnja istraživanja kako bi se izvršilo mapiranje površina za konverziju, velik dio se teritorijalno odnosi na mediteranski pojas i regiju krša, ekološki, pedološki i klimatski osjetljiva područja. Dio površina ovih degradiranih šuma u mediteranskom dijelu (npr. površine šibljaka i gariga) mogao bi biti korišten za provedbu radova pošumljavanja što zahtijeva značajna financijska sredstva, a uključuje i potrebu dodatnih sredstava radi jačanja protupožarne zaštite. U kontinentalnom dijelu Hrvatske prepoznato je oko 33.000 ha potencijalnog zemljišta za konverzijske radove (zapušteno poljoprivredno zemljište obraslo šumskom vegetacijom i uvršteno u ŠGOP), a procjene pokazuju da provedba i ovih radova također iziskuje značajna sredstva koja nadilaze postojeće financijske izvore. Također, dio površina šikara u mediteranskom dijelu potencijalno bi bio pogodan za konverziju u šume visokog uzgojnog oblika. Financijskom analizom potrebnih radova za potencijalnu mjeru WAM scenarija, pošumljavanje na 10 kha neobraslog proizvodnog zemljišta i konverzija 33 kha šikara na kontinentu, dobiven je iznos od 580 milijuna </w:t>
      </w:r>
      <w:r w:rsidR="009A10D1" w:rsidRPr="63259912">
        <w:t>EUR</w:t>
      </w:r>
      <w:r w:rsidRPr="63259912">
        <w:t xml:space="preserve"> u desetgodišnjem periodu.</w:t>
      </w:r>
    </w:p>
    <w:p w14:paraId="4A1EC2A1" w14:textId="688D4BAD" w:rsidR="0063573B" w:rsidRPr="0063573B" w:rsidRDefault="0063573B" w:rsidP="0063573B">
      <w:r w:rsidRPr="0063573B">
        <w:t xml:space="preserve">Usmjerenje je smanjiti udio ogrjevnog drva usmjeravanjem u drvne proizvode i time poduprijeti drvnu industriju od velikog značaja za regionalni razvoj. </w:t>
      </w:r>
    </w:p>
    <w:p w14:paraId="191D84BD" w14:textId="58EEBF7B" w:rsidR="0063573B" w:rsidRPr="0063573B" w:rsidRDefault="78A84B12" w:rsidP="0063573B">
      <w:r>
        <w:t>U sklopu postojeće mjere LUF-1 iz NECP-a uspostavlja se jedinstveni informacijski sustav zemljišta, objedinjavanjem i harmonizacijom GIS podataka različitih institucija. U tu svrhu pokrenuti je projekt LIFE19 GIC/HR/001270 kojim se uspostavljaju temelji takvog sustava koji treba služiti i za planiranje i praćenje u LULUCF sektoru.</w:t>
      </w:r>
      <w:r w:rsidR="4611345C">
        <w:t xml:space="preserve"> </w:t>
      </w:r>
      <w:r>
        <w:t xml:space="preserve"> </w:t>
      </w:r>
    </w:p>
    <w:p w14:paraId="1C7A0FDE" w14:textId="0F9D26A9" w:rsidR="0063573B" w:rsidRPr="0063573B" w:rsidRDefault="1AEDF3A2" w:rsidP="0063573B">
      <w:r>
        <w:t xml:space="preserve">Na osnovi elaboriranog, bitnom se može smatrati godina 2025. zbog pridobivanja recentnih i kvalitetnih podataka o kvalitativnom i kvantitativnom stanju nacionalnih šumskih resursa temeljem kojih će se precizno propisati svi šumski radovi i aktivnosti do 2035., među njim i za NECP, odnosno dinamiku povećanja </w:t>
      </w:r>
      <w:r w:rsidR="779FF02C">
        <w:t>ponora</w:t>
      </w:r>
      <w:r>
        <w:t xml:space="preserve"> CO₂ sukladno međunarodno preuzetim obvezama i financijskim mogućnostima svih dionika/obveznika provedbe nacionalnog NECP-a.</w:t>
      </w:r>
    </w:p>
    <w:p w14:paraId="3DFA8990" w14:textId="77777777" w:rsidR="00666E47" w:rsidRPr="00666E47" w:rsidRDefault="00666E47" w:rsidP="00666E47">
      <w:pPr>
        <w:rPr>
          <w:lang w:eastAsia="hr-HR"/>
        </w:rPr>
      </w:pPr>
      <w:r w:rsidRPr="00666E47">
        <w:rPr>
          <w:lang w:eastAsia="hr-HR"/>
        </w:rPr>
        <w:t xml:space="preserve">Pri tome treba uzeti u obzir projekcije klimatskih promjena i procjenu rizika na klimatske promjene  i njihov negativan ili pozitivan utjecaj na WAM scenarij. </w:t>
      </w:r>
    </w:p>
    <w:p w14:paraId="7A26BDA5" w14:textId="5C91A06B" w:rsidR="0063573B" w:rsidRPr="0063573B" w:rsidRDefault="0063573B" w:rsidP="0063573B">
      <w:r w:rsidRPr="63259912">
        <w:rPr>
          <w:b/>
          <w:bCs/>
        </w:rPr>
        <w:t>Aktivnosti:</w:t>
      </w:r>
      <w:r w:rsidRPr="63259912">
        <w:t xml:space="preserve"> U </w:t>
      </w:r>
      <w:r w:rsidR="00C735E5" w:rsidRPr="63259912">
        <w:t>nastavku</w:t>
      </w:r>
      <w:r w:rsidRPr="63259912">
        <w:t xml:space="preserve"> su navedene nužne aktivnosti (gantogram) za izradu WAM scenarija:</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6138"/>
        <w:gridCol w:w="1701"/>
      </w:tblGrid>
      <w:tr w:rsidR="0063573B" w:rsidRPr="007A4EC8" w14:paraId="3136663D" w14:textId="77777777" w:rsidTr="009221EC">
        <w:trPr>
          <w:trHeight w:val="300"/>
        </w:trPr>
        <w:tc>
          <w:tcPr>
            <w:tcW w:w="520" w:type="dxa"/>
            <w:shd w:val="clear" w:color="auto" w:fill="BDD6EE" w:themeFill="accent1" w:themeFillTint="66"/>
            <w:noWrap/>
            <w:vAlign w:val="bottom"/>
            <w:hideMark/>
          </w:tcPr>
          <w:p w14:paraId="3B465116" w14:textId="77777777" w:rsidR="0063573B" w:rsidRPr="007A4EC8" w:rsidRDefault="0063573B" w:rsidP="0063573B">
            <w:pPr>
              <w:spacing w:after="0"/>
              <w:jc w:val="left"/>
              <w:rPr>
                <w:rFonts w:ascii="Aptos Narrow" w:hAnsi="Aptos Narrow"/>
                <w:color w:val="000000"/>
                <w:sz w:val="22"/>
                <w:szCs w:val="22"/>
              </w:rPr>
            </w:pPr>
            <w:r w:rsidRPr="007A4EC8">
              <w:rPr>
                <w:rFonts w:ascii="Aptos Narrow" w:hAnsi="Aptos Narrow"/>
                <w:color w:val="000000"/>
                <w:sz w:val="22"/>
                <w:szCs w:val="22"/>
              </w:rPr>
              <w:t> </w:t>
            </w:r>
          </w:p>
        </w:tc>
        <w:tc>
          <w:tcPr>
            <w:tcW w:w="6138" w:type="dxa"/>
            <w:shd w:val="clear" w:color="auto" w:fill="BDD6EE" w:themeFill="accent1" w:themeFillTint="66"/>
            <w:noWrap/>
            <w:vAlign w:val="bottom"/>
            <w:hideMark/>
          </w:tcPr>
          <w:p w14:paraId="13A1936F" w14:textId="77777777" w:rsidR="0063573B" w:rsidRPr="007A4EC8" w:rsidRDefault="0063573B" w:rsidP="0063573B">
            <w:pPr>
              <w:spacing w:after="0"/>
              <w:jc w:val="left"/>
              <w:rPr>
                <w:rFonts w:ascii="Aptos Narrow" w:hAnsi="Aptos Narrow"/>
                <w:b/>
                <w:bCs/>
                <w:color w:val="000000"/>
                <w:sz w:val="22"/>
                <w:szCs w:val="22"/>
              </w:rPr>
            </w:pPr>
            <w:r w:rsidRPr="007A4EC8">
              <w:rPr>
                <w:rFonts w:ascii="Aptos Narrow" w:hAnsi="Aptos Narrow"/>
                <w:b/>
                <w:bCs/>
                <w:color w:val="000000"/>
                <w:sz w:val="22"/>
                <w:szCs w:val="22"/>
              </w:rPr>
              <w:t xml:space="preserve">Aktivnost </w:t>
            </w:r>
          </w:p>
        </w:tc>
        <w:tc>
          <w:tcPr>
            <w:tcW w:w="1701" w:type="dxa"/>
            <w:shd w:val="clear" w:color="auto" w:fill="BDD6EE" w:themeFill="accent1" w:themeFillTint="66"/>
            <w:noWrap/>
            <w:vAlign w:val="bottom"/>
            <w:hideMark/>
          </w:tcPr>
          <w:p w14:paraId="38A1C604" w14:textId="77777777" w:rsidR="0063573B" w:rsidRPr="007A4EC8" w:rsidRDefault="0063573B" w:rsidP="0063573B">
            <w:pPr>
              <w:spacing w:after="0"/>
              <w:jc w:val="center"/>
              <w:rPr>
                <w:rFonts w:ascii="Aptos Narrow" w:hAnsi="Aptos Narrow"/>
                <w:b/>
                <w:bCs/>
                <w:color w:val="000000"/>
                <w:sz w:val="22"/>
                <w:szCs w:val="22"/>
              </w:rPr>
            </w:pPr>
            <w:r w:rsidRPr="007A4EC8">
              <w:rPr>
                <w:rFonts w:ascii="Aptos Narrow" w:hAnsi="Aptos Narrow"/>
                <w:b/>
                <w:bCs/>
                <w:color w:val="000000"/>
                <w:sz w:val="22"/>
                <w:szCs w:val="22"/>
              </w:rPr>
              <w:t>Dovršenje</w:t>
            </w:r>
          </w:p>
        </w:tc>
      </w:tr>
      <w:tr w:rsidR="0063573B" w:rsidRPr="007A4EC8" w14:paraId="3B367048" w14:textId="77777777" w:rsidTr="00C47F66">
        <w:trPr>
          <w:trHeight w:val="288"/>
        </w:trPr>
        <w:tc>
          <w:tcPr>
            <w:tcW w:w="520" w:type="dxa"/>
            <w:noWrap/>
            <w:vAlign w:val="bottom"/>
            <w:hideMark/>
          </w:tcPr>
          <w:p w14:paraId="0EFD0363" w14:textId="77777777" w:rsidR="0063573B" w:rsidRPr="007A4EC8" w:rsidRDefault="0063573B" w:rsidP="0063573B">
            <w:pPr>
              <w:spacing w:after="0"/>
              <w:jc w:val="right"/>
              <w:rPr>
                <w:rFonts w:ascii="Aptos Narrow" w:hAnsi="Aptos Narrow"/>
                <w:color w:val="000000"/>
                <w:sz w:val="22"/>
                <w:szCs w:val="22"/>
              </w:rPr>
            </w:pPr>
            <w:r w:rsidRPr="007A4EC8">
              <w:rPr>
                <w:rFonts w:ascii="Aptos Narrow" w:hAnsi="Aptos Narrow"/>
                <w:color w:val="000000"/>
                <w:sz w:val="22"/>
                <w:szCs w:val="22"/>
              </w:rPr>
              <w:t>1</w:t>
            </w:r>
          </w:p>
        </w:tc>
        <w:tc>
          <w:tcPr>
            <w:tcW w:w="6138" w:type="dxa"/>
            <w:noWrap/>
            <w:vAlign w:val="bottom"/>
            <w:hideMark/>
          </w:tcPr>
          <w:p w14:paraId="1B779C8C" w14:textId="77777777" w:rsidR="0063573B" w:rsidRPr="007A4EC8" w:rsidRDefault="0063573B" w:rsidP="0063573B">
            <w:pPr>
              <w:spacing w:after="0"/>
              <w:jc w:val="left"/>
              <w:rPr>
                <w:rFonts w:ascii="Aptos Narrow" w:hAnsi="Aptos Narrow"/>
                <w:color w:val="000000"/>
                <w:sz w:val="22"/>
                <w:szCs w:val="22"/>
              </w:rPr>
            </w:pPr>
            <w:r w:rsidRPr="007A4EC8">
              <w:rPr>
                <w:rFonts w:ascii="Aptos Narrow" w:hAnsi="Aptos Narrow"/>
                <w:color w:val="000000"/>
                <w:sz w:val="22"/>
                <w:szCs w:val="22"/>
              </w:rPr>
              <w:t xml:space="preserve">Izrada i usvajanje ŠGOP-a </w:t>
            </w:r>
          </w:p>
        </w:tc>
        <w:tc>
          <w:tcPr>
            <w:tcW w:w="1701" w:type="dxa"/>
            <w:noWrap/>
            <w:vAlign w:val="bottom"/>
            <w:hideMark/>
          </w:tcPr>
          <w:p w14:paraId="56BD6772" w14:textId="77777777" w:rsidR="0063573B" w:rsidRPr="007A4EC8" w:rsidRDefault="0063573B" w:rsidP="0063573B">
            <w:pPr>
              <w:spacing w:after="0"/>
              <w:jc w:val="center"/>
              <w:rPr>
                <w:rFonts w:ascii="Aptos Narrow" w:hAnsi="Aptos Narrow"/>
                <w:color w:val="000000"/>
                <w:sz w:val="22"/>
                <w:szCs w:val="22"/>
              </w:rPr>
            </w:pPr>
            <w:r w:rsidRPr="007A4EC8">
              <w:rPr>
                <w:rFonts w:ascii="Aptos Narrow" w:hAnsi="Aptos Narrow"/>
                <w:color w:val="000000"/>
                <w:sz w:val="22"/>
                <w:szCs w:val="22"/>
              </w:rPr>
              <w:t>2025.</w:t>
            </w:r>
          </w:p>
        </w:tc>
      </w:tr>
      <w:tr w:rsidR="0063573B" w:rsidRPr="007A4EC8" w14:paraId="735B7B3F" w14:textId="77777777" w:rsidTr="00C47F66">
        <w:trPr>
          <w:trHeight w:val="288"/>
        </w:trPr>
        <w:tc>
          <w:tcPr>
            <w:tcW w:w="520" w:type="dxa"/>
            <w:noWrap/>
            <w:vAlign w:val="bottom"/>
            <w:hideMark/>
          </w:tcPr>
          <w:p w14:paraId="327E5B44" w14:textId="77777777" w:rsidR="0063573B" w:rsidRPr="007A4EC8" w:rsidRDefault="0063573B" w:rsidP="0063573B">
            <w:pPr>
              <w:spacing w:after="0"/>
              <w:jc w:val="right"/>
              <w:rPr>
                <w:rFonts w:ascii="Aptos Narrow" w:hAnsi="Aptos Narrow"/>
                <w:color w:val="000000"/>
                <w:sz w:val="22"/>
                <w:szCs w:val="22"/>
              </w:rPr>
            </w:pPr>
            <w:r w:rsidRPr="007A4EC8">
              <w:rPr>
                <w:rFonts w:ascii="Aptos Narrow" w:hAnsi="Aptos Narrow"/>
                <w:color w:val="000000"/>
                <w:sz w:val="22"/>
                <w:szCs w:val="22"/>
              </w:rPr>
              <w:t>2</w:t>
            </w:r>
          </w:p>
        </w:tc>
        <w:tc>
          <w:tcPr>
            <w:tcW w:w="6138" w:type="dxa"/>
            <w:noWrap/>
            <w:vAlign w:val="bottom"/>
            <w:hideMark/>
          </w:tcPr>
          <w:p w14:paraId="348002C4" w14:textId="77777777" w:rsidR="0063573B" w:rsidRPr="007A4EC8" w:rsidRDefault="0063573B" w:rsidP="0063573B">
            <w:pPr>
              <w:spacing w:after="0"/>
              <w:jc w:val="left"/>
              <w:rPr>
                <w:rFonts w:ascii="Aptos Narrow" w:hAnsi="Aptos Narrow"/>
                <w:color w:val="000000"/>
                <w:sz w:val="22"/>
                <w:szCs w:val="22"/>
              </w:rPr>
            </w:pPr>
            <w:r w:rsidRPr="007A4EC8">
              <w:rPr>
                <w:rFonts w:ascii="Aptos Narrow" w:hAnsi="Aptos Narrow"/>
                <w:color w:val="000000"/>
                <w:sz w:val="22"/>
                <w:szCs w:val="22"/>
              </w:rPr>
              <w:t>Postupak strateške procjene utjecaja na okoliš ŠGOP-a</w:t>
            </w:r>
          </w:p>
        </w:tc>
        <w:tc>
          <w:tcPr>
            <w:tcW w:w="1701" w:type="dxa"/>
            <w:noWrap/>
            <w:vAlign w:val="bottom"/>
            <w:hideMark/>
          </w:tcPr>
          <w:p w14:paraId="2DF6E27C" w14:textId="77777777" w:rsidR="0063573B" w:rsidRPr="007A4EC8" w:rsidRDefault="0063573B" w:rsidP="0063573B">
            <w:pPr>
              <w:spacing w:after="0"/>
              <w:jc w:val="center"/>
              <w:rPr>
                <w:rFonts w:ascii="Aptos Narrow" w:hAnsi="Aptos Narrow"/>
                <w:color w:val="000000"/>
                <w:sz w:val="22"/>
                <w:szCs w:val="22"/>
              </w:rPr>
            </w:pPr>
            <w:r w:rsidRPr="007A4EC8">
              <w:rPr>
                <w:rFonts w:ascii="Aptos Narrow" w:hAnsi="Aptos Narrow"/>
                <w:color w:val="000000"/>
                <w:sz w:val="22"/>
                <w:szCs w:val="22"/>
              </w:rPr>
              <w:t>2025.</w:t>
            </w:r>
          </w:p>
        </w:tc>
      </w:tr>
      <w:tr w:rsidR="0063573B" w:rsidRPr="007A4EC8" w14:paraId="41A947DD" w14:textId="77777777" w:rsidTr="00C47F66">
        <w:trPr>
          <w:trHeight w:val="288"/>
        </w:trPr>
        <w:tc>
          <w:tcPr>
            <w:tcW w:w="520" w:type="dxa"/>
            <w:noWrap/>
            <w:vAlign w:val="bottom"/>
            <w:hideMark/>
          </w:tcPr>
          <w:p w14:paraId="179415AD" w14:textId="77777777" w:rsidR="0063573B" w:rsidRPr="007A4EC8" w:rsidRDefault="0063573B" w:rsidP="0063573B">
            <w:pPr>
              <w:spacing w:after="0"/>
              <w:jc w:val="right"/>
              <w:rPr>
                <w:rFonts w:ascii="Aptos Narrow" w:hAnsi="Aptos Narrow"/>
                <w:color w:val="000000"/>
                <w:sz w:val="22"/>
                <w:szCs w:val="22"/>
              </w:rPr>
            </w:pPr>
            <w:r w:rsidRPr="007A4EC8">
              <w:rPr>
                <w:rFonts w:ascii="Aptos Narrow" w:hAnsi="Aptos Narrow"/>
                <w:color w:val="000000"/>
                <w:sz w:val="22"/>
                <w:szCs w:val="22"/>
              </w:rPr>
              <w:t>3</w:t>
            </w:r>
          </w:p>
        </w:tc>
        <w:tc>
          <w:tcPr>
            <w:tcW w:w="6138" w:type="dxa"/>
            <w:noWrap/>
            <w:vAlign w:val="bottom"/>
            <w:hideMark/>
          </w:tcPr>
          <w:p w14:paraId="27105601" w14:textId="77777777" w:rsidR="0063573B" w:rsidRPr="007A4EC8" w:rsidRDefault="0063573B" w:rsidP="0063573B">
            <w:pPr>
              <w:spacing w:after="0"/>
              <w:jc w:val="left"/>
              <w:rPr>
                <w:rFonts w:ascii="Aptos Narrow" w:hAnsi="Aptos Narrow"/>
                <w:color w:val="000000"/>
                <w:sz w:val="22"/>
                <w:szCs w:val="22"/>
              </w:rPr>
            </w:pPr>
            <w:r w:rsidRPr="007A4EC8">
              <w:rPr>
                <w:rFonts w:ascii="Aptos Narrow" w:hAnsi="Aptos Narrow"/>
                <w:color w:val="000000"/>
                <w:sz w:val="22"/>
                <w:szCs w:val="22"/>
              </w:rPr>
              <w:t>2. nacionalna inventura šumskih resursa Republike Hrvatske</w:t>
            </w:r>
          </w:p>
        </w:tc>
        <w:tc>
          <w:tcPr>
            <w:tcW w:w="1701" w:type="dxa"/>
            <w:noWrap/>
            <w:vAlign w:val="bottom"/>
            <w:hideMark/>
          </w:tcPr>
          <w:p w14:paraId="38C03B22" w14:textId="7A42BCE6" w:rsidR="0063573B" w:rsidRPr="007A4EC8" w:rsidRDefault="0063573B" w:rsidP="0063573B">
            <w:pPr>
              <w:spacing w:after="0"/>
              <w:jc w:val="center"/>
              <w:rPr>
                <w:rFonts w:ascii="Aptos Narrow" w:hAnsi="Aptos Narrow"/>
                <w:color w:val="000000"/>
                <w:sz w:val="22"/>
                <w:szCs w:val="22"/>
              </w:rPr>
            </w:pPr>
            <w:r w:rsidRPr="007A4EC8">
              <w:rPr>
                <w:rFonts w:ascii="Aptos Narrow" w:hAnsi="Aptos Narrow"/>
                <w:color w:val="000000"/>
                <w:sz w:val="22"/>
                <w:szCs w:val="22"/>
              </w:rPr>
              <w:t>2025.</w:t>
            </w:r>
          </w:p>
        </w:tc>
      </w:tr>
      <w:tr w:rsidR="0063573B" w:rsidRPr="007A4EC8" w14:paraId="77FB03FA" w14:textId="77777777" w:rsidTr="00C47F66">
        <w:trPr>
          <w:trHeight w:val="288"/>
        </w:trPr>
        <w:tc>
          <w:tcPr>
            <w:tcW w:w="520" w:type="dxa"/>
            <w:noWrap/>
            <w:vAlign w:val="bottom"/>
            <w:hideMark/>
          </w:tcPr>
          <w:p w14:paraId="1636D230" w14:textId="77777777" w:rsidR="0063573B" w:rsidRPr="007A4EC8" w:rsidRDefault="0063573B" w:rsidP="0063573B">
            <w:pPr>
              <w:spacing w:after="0"/>
              <w:jc w:val="right"/>
              <w:rPr>
                <w:rFonts w:ascii="Aptos Narrow" w:hAnsi="Aptos Narrow"/>
                <w:color w:val="000000"/>
                <w:sz w:val="22"/>
                <w:szCs w:val="22"/>
              </w:rPr>
            </w:pPr>
            <w:r w:rsidRPr="007A4EC8">
              <w:rPr>
                <w:rFonts w:ascii="Aptos Narrow" w:hAnsi="Aptos Narrow"/>
                <w:color w:val="000000"/>
                <w:sz w:val="22"/>
                <w:szCs w:val="22"/>
              </w:rPr>
              <w:t>4</w:t>
            </w:r>
          </w:p>
        </w:tc>
        <w:tc>
          <w:tcPr>
            <w:tcW w:w="6138" w:type="dxa"/>
            <w:noWrap/>
            <w:vAlign w:val="bottom"/>
            <w:hideMark/>
          </w:tcPr>
          <w:p w14:paraId="502A3A4D" w14:textId="77777777" w:rsidR="0063573B" w:rsidRPr="007A4EC8" w:rsidRDefault="0063573B" w:rsidP="0063573B">
            <w:pPr>
              <w:spacing w:after="0"/>
              <w:jc w:val="left"/>
              <w:rPr>
                <w:rFonts w:ascii="Aptos Narrow" w:hAnsi="Aptos Narrow"/>
                <w:color w:val="000000"/>
                <w:sz w:val="22"/>
                <w:szCs w:val="22"/>
              </w:rPr>
            </w:pPr>
            <w:r w:rsidRPr="007A4EC8">
              <w:rPr>
                <w:rFonts w:ascii="Aptos Narrow" w:hAnsi="Aptos Narrow"/>
                <w:color w:val="000000"/>
                <w:sz w:val="22"/>
                <w:szCs w:val="22"/>
              </w:rPr>
              <w:t>Uspostava CROLIS sustava - informacijski sustav zemljišta Republike Hrvatske (u mjeri LUF-1)</w:t>
            </w:r>
          </w:p>
        </w:tc>
        <w:tc>
          <w:tcPr>
            <w:tcW w:w="1701" w:type="dxa"/>
            <w:noWrap/>
            <w:vAlign w:val="bottom"/>
            <w:hideMark/>
          </w:tcPr>
          <w:p w14:paraId="7F0B8505" w14:textId="77777777" w:rsidR="0063573B" w:rsidRPr="007A4EC8" w:rsidRDefault="0063573B" w:rsidP="0063573B">
            <w:pPr>
              <w:spacing w:after="0"/>
              <w:jc w:val="center"/>
              <w:rPr>
                <w:rFonts w:ascii="Aptos Narrow" w:hAnsi="Aptos Narrow"/>
                <w:color w:val="000000"/>
                <w:sz w:val="22"/>
                <w:szCs w:val="22"/>
              </w:rPr>
            </w:pPr>
            <w:r w:rsidRPr="007A4EC8">
              <w:rPr>
                <w:rFonts w:ascii="Aptos Narrow" w:hAnsi="Aptos Narrow"/>
                <w:color w:val="000000"/>
                <w:sz w:val="22"/>
                <w:szCs w:val="22"/>
              </w:rPr>
              <w:t>2026.</w:t>
            </w:r>
          </w:p>
        </w:tc>
      </w:tr>
      <w:tr w:rsidR="0063573B" w:rsidRPr="007A4EC8" w14:paraId="23896E8A" w14:textId="77777777" w:rsidTr="00C47F66">
        <w:trPr>
          <w:trHeight w:val="288"/>
        </w:trPr>
        <w:tc>
          <w:tcPr>
            <w:tcW w:w="520" w:type="dxa"/>
            <w:noWrap/>
            <w:vAlign w:val="bottom"/>
            <w:hideMark/>
          </w:tcPr>
          <w:p w14:paraId="73D49510" w14:textId="77777777" w:rsidR="0063573B" w:rsidRPr="007A4EC8" w:rsidRDefault="0063573B" w:rsidP="0063573B">
            <w:pPr>
              <w:spacing w:after="0"/>
              <w:jc w:val="right"/>
              <w:rPr>
                <w:rFonts w:ascii="Aptos Narrow" w:hAnsi="Aptos Narrow"/>
                <w:color w:val="000000"/>
                <w:sz w:val="22"/>
                <w:szCs w:val="22"/>
              </w:rPr>
            </w:pPr>
            <w:r w:rsidRPr="007A4EC8">
              <w:rPr>
                <w:rFonts w:ascii="Aptos Narrow" w:hAnsi="Aptos Narrow"/>
                <w:color w:val="000000"/>
                <w:sz w:val="22"/>
                <w:szCs w:val="22"/>
              </w:rPr>
              <w:t>5</w:t>
            </w:r>
          </w:p>
        </w:tc>
        <w:tc>
          <w:tcPr>
            <w:tcW w:w="6138" w:type="dxa"/>
            <w:noWrap/>
            <w:vAlign w:val="bottom"/>
            <w:hideMark/>
          </w:tcPr>
          <w:p w14:paraId="3D6781C5" w14:textId="77777777" w:rsidR="0063573B" w:rsidRPr="007A4EC8" w:rsidRDefault="0063573B" w:rsidP="0063573B">
            <w:pPr>
              <w:spacing w:after="0"/>
              <w:jc w:val="left"/>
              <w:rPr>
                <w:rFonts w:ascii="Aptos Narrow" w:hAnsi="Aptos Narrow"/>
                <w:color w:val="000000"/>
                <w:sz w:val="22"/>
                <w:szCs w:val="22"/>
              </w:rPr>
            </w:pPr>
            <w:r w:rsidRPr="007A4EC8">
              <w:rPr>
                <w:rFonts w:ascii="Aptos Narrow" w:hAnsi="Aptos Narrow"/>
                <w:color w:val="000000"/>
                <w:sz w:val="22"/>
                <w:szCs w:val="22"/>
              </w:rPr>
              <w:t>Korištenje i održavanje CROLIS-a (u mjeri LUF-1)</w:t>
            </w:r>
          </w:p>
        </w:tc>
        <w:tc>
          <w:tcPr>
            <w:tcW w:w="1701" w:type="dxa"/>
            <w:noWrap/>
            <w:vAlign w:val="bottom"/>
            <w:hideMark/>
          </w:tcPr>
          <w:p w14:paraId="46EA3F41" w14:textId="77777777" w:rsidR="0063573B" w:rsidRPr="007A4EC8" w:rsidRDefault="0063573B" w:rsidP="0063573B">
            <w:pPr>
              <w:spacing w:after="0"/>
              <w:jc w:val="center"/>
              <w:rPr>
                <w:rFonts w:ascii="Aptos Narrow" w:hAnsi="Aptos Narrow"/>
                <w:color w:val="000000"/>
                <w:sz w:val="22"/>
                <w:szCs w:val="22"/>
              </w:rPr>
            </w:pPr>
            <w:r w:rsidRPr="007A4EC8">
              <w:rPr>
                <w:rFonts w:ascii="Aptos Narrow" w:hAnsi="Aptos Narrow"/>
                <w:color w:val="000000"/>
                <w:sz w:val="22"/>
                <w:szCs w:val="22"/>
              </w:rPr>
              <w:t>2030.</w:t>
            </w:r>
          </w:p>
        </w:tc>
      </w:tr>
      <w:tr w:rsidR="0063573B" w:rsidRPr="007A4EC8" w14:paraId="3E702FBB" w14:textId="77777777" w:rsidTr="007A4EC8">
        <w:trPr>
          <w:trHeight w:val="798"/>
        </w:trPr>
        <w:tc>
          <w:tcPr>
            <w:tcW w:w="520" w:type="dxa"/>
            <w:vAlign w:val="center"/>
            <w:hideMark/>
          </w:tcPr>
          <w:p w14:paraId="6A627A5F" w14:textId="77777777" w:rsidR="0063573B" w:rsidRPr="007A4EC8" w:rsidRDefault="0063573B" w:rsidP="0063573B">
            <w:pPr>
              <w:spacing w:after="0"/>
              <w:jc w:val="right"/>
              <w:rPr>
                <w:rFonts w:ascii="Aptos Narrow" w:hAnsi="Aptos Narrow"/>
                <w:color w:val="000000"/>
                <w:sz w:val="22"/>
                <w:szCs w:val="22"/>
              </w:rPr>
            </w:pPr>
            <w:r w:rsidRPr="007A4EC8">
              <w:rPr>
                <w:rFonts w:ascii="Aptos Narrow" w:hAnsi="Aptos Narrow"/>
                <w:color w:val="000000"/>
                <w:sz w:val="22"/>
                <w:szCs w:val="22"/>
              </w:rPr>
              <w:t>6</w:t>
            </w:r>
          </w:p>
        </w:tc>
        <w:tc>
          <w:tcPr>
            <w:tcW w:w="6138" w:type="dxa"/>
            <w:vAlign w:val="bottom"/>
            <w:hideMark/>
          </w:tcPr>
          <w:p w14:paraId="5EFD9156" w14:textId="77777777" w:rsidR="0063573B" w:rsidRPr="007A4EC8" w:rsidRDefault="0063573B" w:rsidP="0063573B">
            <w:pPr>
              <w:spacing w:after="0"/>
              <w:jc w:val="left"/>
              <w:rPr>
                <w:rFonts w:ascii="Aptos Narrow" w:hAnsi="Aptos Narrow"/>
                <w:color w:val="000000"/>
                <w:sz w:val="22"/>
                <w:szCs w:val="22"/>
              </w:rPr>
            </w:pPr>
            <w:r w:rsidRPr="007A4EC8">
              <w:rPr>
                <w:rFonts w:ascii="Aptos Narrow" w:hAnsi="Aptos Narrow"/>
                <w:color w:val="000000"/>
                <w:sz w:val="22"/>
                <w:szCs w:val="22"/>
              </w:rPr>
              <w:t>Nužne aktivnosti za kompletiranje sustava praćenja, izvještavanja i verifikacije (MRV prema EU 2023/839). Istraživanja potrebna za definiranje politike i mjera te za projekcije (u mjeri LUF-7)</w:t>
            </w:r>
          </w:p>
        </w:tc>
        <w:tc>
          <w:tcPr>
            <w:tcW w:w="1701" w:type="dxa"/>
            <w:noWrap/>
            <w:vAlign w:val="bottom"/>
            <w:hideMark/>
          </w:tcPr>
          <w:p w14:paraId="40BD6FA0" w14:textId="77777777" w:rsidR="0063573B" w:rsidRPr="007A4EC8" w:rsidRDefault="0063573B" w:rsidP="0063573B">
            <w:pPr>
              <w:spacing w:after="0"/>
              <w:jc w:val="center"/>
              <w:rPr>
                <w:rFonts w:ascii="Aptos Narrow" w:hAnsi="Aptos Narrow"/>
                <w:color w:val="000000"/>
                <w:sz w:val="22"/>
                <w:szCs w:val="22"/>
              </w:rPr>
            </w:pPr>
            <w:r w:rsidRPr="007A4EC8">
              <w:rPr>
                <w:rFonts w:ascii="Aptos Narrow" w:hAnsi="Aptos Narrow"/>
                <w:color w:val="000000"/>
                <w:sz w:val="22"/>
                <w:szCs w:val="22"/>
              </w:rPr>
              <w:t>2027.</w:t>
            </w:r>
          </w:p>
        </w:tc>
      </w:tr>
      <w:tr w:rsidR="0063573B" w:rsidRPr="007A4EC8" w14:paraId="4379AD57" w14:textId="77777777" w:rsidTr="00C47F66">
        <w:trPr>
          <w:trHeight w:val="288"/>
        </w:trPr>
        <w:tc>
          <w:tcPr>
            <w:tcW w:w="520" w:type="dxa"/>
            <w:noWrap/>
            <w:vAlign w:val="bottom"/>
            <w:hideMark/>
          </w:tcPr>
          <w:p w14:paraId="70E3F445" w14:textId="77777777" w:rsidR="0063573B" w:rsidRPr="007A4EC8" w:rsidRDefault="0063573B" w:rsidP="0063573B">
            <w:pPr>
              <w:spacing w:after="0"/>
              <w:jc w:val="right"/>
              <w:rPr>
                <w:rFonts w:ascii="Aptos Narrow" w:hAnsi="Aptos Narrow"/>
                <w:color w:val="000000"/>
                <w:sz w:val="22"/>
                <w:szCs w:val="22"/>
              </w:rPr>
            </w:pPr>
            <w:r w:rsidRPr="007A4EC8">
              <w:rPr>
                <w:rFonts w:ascii="Aptos Narrow" w:hAnsi="Aptos Narrow"/>
                <w:color w:val="000000"/>
                <w:sz w:val="22"/>
                <w:szCs w:val="22"/>
              </w:rPr>
              <w:lastRenderedPageBreak/>
              <w:t>7</w:t>
            </w:r>
          </w:p>
        </w:tc>
        <w:tc>
          <w:tcPr>
            <w:tcW w:w="6138" w:type="dxa"/>
            <w:noWrap/>
            <w:vAlign w:val="bottom"/>
            <w:hideMark/>
          </w:tcPr>
          <w:p w14:paraId="741EE503" w14:textId="77777777" w:rsidR="0063573B" w:rsidRPr="007A4EC8" w:rsidRDefault="0063573B" w:rsidP="0063573B">
            <w:pPr>
              <w:spacing w:after="0"/>
              <w:jc w:val="left"/>
              <w:rPr>
                <w:rFonts w:ascii="Aptos Narrow" w:hAnsi="Aptos Narrow"/>
                <w:color w:val="000000"/>
                <w:sz w:val="22"/>
                <w:szCs w:val="22"/>
              </w:rPr>
            </w:pPr>
            <w:r w:rsidRPr="007A4EC8">
              <w:rPr>
                <w:rFonts w:ascii="Aptos Narrow" w:hAnsi="Aptos Narrow"/>
                <w:color w:val="000000"/>
                <w:sz w:val="22"/>
                <w:szCs w:val="22"/>
              </w:rPr>
              <w:t>Revizija politika i mjera LULUCF sektora (konačni WAM scenarij)</w:t>
            </w:r>
          </w:p>
        </w:tc>
        <w:tc>
          <w:tcPr>
            <w:tcW w:w="1701" w:type="dxa"/>
            <w:noWrap/>
            <w:vAlign w:val="bottom"/>
            <w:hideMark/>
          </w:tcPr>
          <w:p w14:paraId="60449E4C" w14:textId="77777777" w:rsidR="0063573B" w:rsidRPr="007A4EC8" w:rsidRDefault="0063573B" w:rsidP="0063573B">
            <w:pPr>
              <w:spacing w:after="0"/>
              <w:jc w:val="center"/>
              <w:rPr>
                <w:rFonts w:ascii="Aptos Narrow" w:hAnsi="Aptos Narrow"/>
                <w:color w:val="000000"/>
                <w:sz w:val="22"/>
                <w:szCs w:val="22"/>
              </w:rPr>
            </w:pPr>
            <w:r w:rsidRPr="007A4EC8">
              <w:rPr>
                <w:rFonts w:ascii="Aptos Narrow" w:hAnsi="Aptos Narrow"/>
                <w:color w:val="000000"/>
                <w:sz w:val="22"/>
                <w:szCs w:val="22"/>
              </w:rPr>
              <w:t>2026.</w:t>
            </w:r>
          </w:p>
        </w:tc>
      </w:tr>
    </w:tbl>
    <w:p w14:paraId="2DFBB361" w14:textId="77777777" w:rsidR="0063573B" w:rsidRPr="0063573B" w:rsidRDefault="0063573B" w:rsidP="0063573B"/>
    <w:p w14:paraId="2C1D62BC" w14:textId="792D0087" w:rsidR="0063573B" w:rsidRPr="0063573B" w:rsidRDefault="0063573B" w:rsidP="0063573B">
      <w:r w:rsidRPr="63259912">
        <w:t>Troškovi za izvršenje gore navedenih aktivnosti su oko 15 mil. EUR (bez ŠGOP-a), od toga je osigurano 9 mil. EUR (2,6 mil. EUR iz LIFE programa), a ostatak od 6 mil. EUR treba osigurati iz</w:t>
      </w:r>
      <w:r w:rsidR="00C619D0" w:rsidRPr="63259912">
        <w:t xml:space="preserve"> </w:t>
      </w:r>
      <w:r w:rsidRPr="63259912">
        <w:t xml:space="preserve">sredstava </w:t>
      </w:r>
      <w:r w:rsidR="00FC4283" w:rsidRPr="63259912">
        <w:t xml:space="preserve">od prodaje emisijskih jedinica iz EU ETS-a </w:t>
      </w:r>
      <w:r w:rsidRPr="63259912">
        <w:t xml:space="preserve">i iz državnog proračuna. </w:t>
      </w:r>
    </w:p>
    <w:p w14:paraId="7E619F9C" w14:textId="2FA4CDB0" w:rsidR="0063573B" w:rsidRPr="0063573B" w:rsidRDefault="78A84B12" w:rsidP="0063573B">
      <w:r>
        <w:t>Aktivnost ad 6 obuhvaća sljedeće:</w:t>
      </w:r>
      <w:r w:rsidR="11A9710C">
        <w:t xml:space="preserve"> </w:t>
      </w:r>
    </w:p>
    <w:p w14:paraId="0235114C" w14:textId="6A841531" w:rsidR="0063573B" w:rsidRPr="0063573B" w:rsidRDefault="0063573B" w:rsidP="0027355E">
      <w:pPr>
        <w:numPr>
          <w:ilvl w:val="0"/>
          <w:numId w:val="148"/>
        </w:numPr>
        <w:tabs>
          <w:tab w:val="left" w:pos="431"/>
        </w:tabs>
        <w:spacing w:after="60"/>
        <w:ind w:left="1077" w:hanging="357"/>
      </w:pPr>
      <w:r w:rsidRPr="0063573B">
        <w:t>Utvrđivanje površina za konverziju degradiranih sastojina i visoke šume</w:t>
      </w:r>
      <w:r w:rsidR="0027355E">
        <w:t>,</w:t>
      </w:r>
    </w:p>
    <w:p w14:paraId="48E53A32" w14:textId="2C6541AC" w:rsidR="0063573B" w:rsidRPr="0063573B" w:rsidRDefault="0063573B" w:rsidP="0027355E">
      <w:pPr>
        <w:numPr>
          <w:ilvl w:val="0"/>
          <w:numId w:val="148"/>
        </w:numPr>
        <w:tabs>
          <w:tab w:val="left" w:pos="431"/>
        </w:tabs>
        <w:spacing w:after="60"/>
        <w:ind w:left="1077" w:hanging="357"/>
        <w:rPr>
          <w:rFonts w:ascii="Arial" w:hAnsi="Arial" w:cs="Tahoma"/>
          <w:sz w:val="22"/>
          <w:szCs w:val="22"/>
          <w:lang w:eastAsia="hr-HR"/>
        </w:rPr>
      </w:pPr>
      <w:r w:rsidRPr="0063573B">
        <w:rPr>
          <w:rFonts w:cs="Tahoma"/>
          <w:lang w:eastAsia="ar-SA"/>
        </w:rPr>
        <w:t>Revizij</w:t>
      </w:r>
      <w:r w:rsidR="0027355E">
        <w:rPr>
          <w:rFonts w:cs="Tahoma"/>
          <w:lang w:eastAsia="ar-SA"/>
        </w:rPr>
        <w:t>u</w:t>
      </w:r>
      <w:r w:rsidRPr="0063573B">
        <w:rPr>
          <w:rFonts w:cs="Tahoma"/>
          <w:lang w:eastAsia="ar-SA"/>
        </w:rPr>
        <w:t xml:space="preserve"> FRL vrijednosti</w:t>
      </w:r>
      <w:r w:rsidR="0027355E">
        <w:rPr>
          <w:rFonts w:cs="Tahoma"/>
          <w:lang w:eastAsia="ar-SA"/>
        </w:rPr>
        <w:t>,</w:t>
      </w:r>
    </w:p>
    <w:p w14:paraId="1CF662BD" w14:textId="7D83C091" w:rsidR="0063573B" w:rsidRPr="0063573B" w:rsidRDefault="78A84B12" w:rsidP="0027355E">
      <w:pPr>
        <w:numPr>
          <w:ilvl w:val="0"/>
          <w:numId w:val="148"/>
        </w:numPr>
        <w:tabs>
          <w:tab w:val="left" w:pos="431"/>
        </w:tabs>
        <w:spacing w:after="60"/>
        <w:ind w:left="1077" w:hanging="357"/>
        <w:rPr>
          <w:rFonts w:cs="Tahoma"/>
          <w:lang w:eastAsia="ar-SA"/>
        </w:rPr>
      </w:pPr>
      <w:r w:rsidRPr="1C9333AB">
        <w:rPr>
          <w:rFonts w:cs="Tahoma"/>
          <w:lang w:eastAsia="ar-SA"/>
        </w:rPr>
        <w:t>Povezivanje CROLIS sa GIS bazama ekološki osjetljivih područja,</w:t>
      </w:r>
      <w:r w:rsidR="430156DE" w:rsidRPr="1C9333AB">
        <w:rPr>
          <w:rFonts w:cs="Tahoma"/>
          <w:lang w:eastAsia="ar-SA"/>
        </w:rPr>
        <w:t xml:space="preserve"> </w:t>
      </w:r>
      <w:r w:rsidRPr="1C9333AB">
        <w:rPr>
          <w:rFonts w:cs="Tahoma"/>
          <w:lang w:eastAsia="ar-SA"/>
        </w:rPr>
        <w:t>područja zaštite prirode, vodno osjetljiva područja,</w:t>
      </w:r>
      <w:r w:rsidR="0FBEDD99" w:rsidRPr="1C9333AB">
        <w:rPr>
          <w:rFonts w:cs="Tahoma"/>
          <w:lang w:eastAsia="ar-SA"/>
        </w:rPr>
        <w:t xml:space="preserve"> </w:t>
      </w:r>
      <w:r w:rsidRPr="1C9333AB">
        <w:rPr>
          <w:rFonts w:cs="Tahoma"/>
          <w:lang w:eastAsia="ar-SA"/>
        </w:rPr>
        <w:t>područja obnove prirode i područja s visokim klimatskim rizikom</w:t>
      </w:r>
      <w:r w:rsidR="1740C609" w:rsidRPr="1C9333AB">
        <w:rPr>
          <w:rFonts w:cs="Tahoma"/>
          <w:lang w:eastAsia="ar-SA"/>
        </w:rPr>
        <w:t>,</w:t>
      </w:r>
    </w:p>
    <w:p w14:paraId="5613DD90" w14:textId="6BE9B141" w:rsidR="0063573B" w:rsidRPr="0027355E" w:rsidRDefault="0063573B" w:rsidP="0063573B">
      <w:pPr>
        <w:numPr>
          <w:ilvl w:val="0"/>
          <w:numId w:val="148"/>
        </w:numPr>
        <w:tabs>
          <w:tab w:val="left" w:pos="431"/>
        </w:tabs>
        <w:spacing w:after="60"/>
        <w:ind w:left="1077" w:hanging="357"/>
        <w:rPr>
          <w:rFonts w:cs="Tahoma"/>
          <w:lang w:eastAsia="ar-SA"/>
        </w:rPr>
      </w:pPr>
      <w:r w:rsidRPr="0063573B">
        <w:rPr>
          <w:rFonts w:cs="Tahoma"/>
          <w:lang w:eastAsia="ar-SA"/>
        </w:rPr>
        <w:t xml:space="preserve">Analize i praćenje </w:t>
      </w:r>
      <w:r w:rsidR="1EF22BCE" w:rsidRPr="17F04830">
        <w:rPr>
          <w:rFonts w:cs="Tahoma"/>
          <w:lang w:eastAsia="ar-SA"/>
        </w:rPr>
        <w:t>ponora</w:t>
      </w:r>
      <w:r w:rsidRPr="0063573B">
        <w:rPr>
          <w:rFonts w:cs="Tahoma"/>
          <w:lang w:eastAsia="ar-SA"/>
        </w:rPr>
        <w:t xml:space="preserve"> po odabranim kategorijama zemljišta (mjere ZPP-a, drvni proizvodi, odlivi emisije u naseljima)</w:t>
      </w:r>
      <w:r w:rsidR="0027355E">
        <w:rPr>
          <w:rFonts w:cs="Tahoma"/>
          <w:lang w:eastAsia="ar-SA"/>
        </w:rPr>
        <w:t>.</w:t>
      </w:r>
    </w:p>
    <w:p w14:paraId="5327AE62" w14:textId="3060ADE7" w:rsidR="0063573B" w:rsidRPr="006F7EA2" w:rsidRDefault="0063573B" w:rsidP="0063573B">
      <w:r w:rsidRPr="63259912">
        <w:rPr>
          <w:b/>
          <w:bCs/>
        </w:rPr>
        <w:t>Sredstva potrebna za provedbu</w:t>
      </w:r>
      <w:r w:rsidRPr="63259912">
        <w:t>: Troškovi za izvršenje gore navedenih aktivnosti su 15,55 mil. EUR (bez ŠGOP-a), od toga je osigurano 8,4 mil. EUR (2,6 mil. EUR iz LIFE programa), a ostatak od 7,15 mil. EUR treba osigurati</w:t>
      </w:r>
      <w:r w:rsidR="003F7BF2" w:rsidRPr="63259912">
        <w:t xml:space="preserve"> iz</w:t>
      </w:r>
      <w:r w:rsidRPr="63259912">
        <w:t xml:space="preserve"> </w:t>
      </w:r>
      <w:r w:rsidR="00536AD0" w:rsidRPr="63259912">
        <w:t>prihod</w:t>
      </w:r>
      <w:r w:rsidR="003F7BF2" w:rsidRPr="63259912">
        <w:t>a</w:t>
      </w:r>
      <w:r w:rsidR="00536AD0" w:rsidRPr="63259912">
        <w:t xml:space="preserve"> od prodaje emisijskih jedinica iz EU ETS-a </w:t>
      </w:r>
      <w:r w:rsidRPr="63259912">
        <w:t>i iz državnog proračuna.</w:t>
      </w:r>
    </w:p>
    <w:p w14:paraId="3459D3F9" w14:textId="29F693BE" w:rsidR="0063573B" w:rsidRPr="006F7EA2" w:rsidRDefault="0063573B" w:rsidP="0063573B">
      <w:r w:rsidRPr="006F7EA2">
        <w:rPr>
          <w:b/>
          <w:bCs/>
        </w:rPr>
        <w:t>Tijela za praćenje</w:t>
      </w:r>
      <w:r w:rsidRPr="006F7EA2">
        <w:t xml:space="preserve">: </w:t>
      </w:r>
      <w:r w:rsidR="00B52240" w:rsidRPr="004E559C">
        <w:rPr>
          <w:lang w:eastAsia="hr-HR"/>
        </w:rPr>
        <w:t>Ministarstvo zaštite okoliša i zelene tranzicije</w:t>
      </w:r>
      <w:r w:rsidRPr="006F7EA2">
        <w:t xml:space="preserve">, za aktivnost </w:t>
      </w:r>
      <w:r w:rsidR="001710F4">
        <w:t>4</w:t>
      </w:r>
      <w:r w:rsidRPr="006F7EA2">
        <w:t xml:space="preserve">) i </w:t>
      </w:r>
      <w:r w:rsidR="001710F4">
        <w:t>5</w:t>
      </w:r>
      <w:r w:rsidRPr="006F7EA2">
        <w:t xml:space="preserve">) </w:t>
      </w:r>
      <w:r w:rsidR="00917C74">
        <w:t>Ministarstvo poljoprivrede</w:t>
      </w:r>
      <w:r w:rsidR="00917C74" w:rsidRPr="00AE6008">
        <w:rPr>
          <w:lang w:eastAsia="hr-HR"/>
        </w:rPr>
        <w:t>, šumarstva i ribarstva</w:t>
      </w:r>
      <w:r w:rsidR="00917C74">
        <w:t xml:space="preserve"> (MPS).</w:t>
      </w:r>
    </w:p>
    <w:p w14:paraId="7525C049" w14:textId="7A59C3C7" w:rsidR="0063573B" w:rsidRPr="006F7EA2" w:rsidRDefault="0063573B" w:rsidP="0063573B">
      <w:r w:rsidRPr="63259912">
        <w:rPr>
          <w:b/>
          <w:bCs/>
        </w:rPr>
        <w:t>Metoda praćenja:</w:t>
      </w:r>
      <w:r w:rsidRPr="63259912">
        <w:t xml:space="preserve"> </w:t>
      </w:r>
      <w:r w:rsidR="00046AA4" w:rsidRPr="63259912">
        <w:t>I</w:t>
      </w:r>
      <w:r w:rsidRPr="63259912">
        <w:t>sporuke izvješća prema gantogramu</w:t>
      </w:r>
      <w:r w:rsidR="0027355E" w:rsidRPr="63259912">
        <w:t>.</w:t>
      </w:r>
    </w:p>
    <w:p w14:paraId="444E9FA3" w14:textId="716DD0C4" w:rsidR="0063573B" w:rsidRPr="006F7EA2" w:rsidRDefault="0063573B" w:rsidP="0063573B">
      <w:pPr>
        <w:rPr>
          <w:bCs/>
          <w:lang w:eastAsia="hr-HR"/>
        </w:rPr>
      </w:pPr>
      <w:r w:rsidRPr="006F7EA2">
        <w:rPr>
          <w:b/>
          <w:lang w:eastAsia="hr-HR"/>
        </w:rPr>
        <w:t xml:space="preserve">Povezanost s drugim dimenzijama: </w:t>
      </w:r>
      <w:r w:rsidRPr="006F7EA2">
        <w:rPr>
          <w:bCs/>
          <w:lang w:eastAsia="hr-HR"/>
        </w:rPr>
        <w:t>WAM scenarij utječe na obnovljive izvore energije (korištenje biomase) i sigurnost opskrbe</w:t>
      </w:r>
      <w:r w:rsidR="0027355E">
        <w:rPr>
          <w:bCs/>
          <w:lang w:eastAsia="hr-HR"/>
        </w:rPr>
        <w:t>.</w:t>
      </w:r>
    </w:p>
    <w:p w14:paraId="174F1871" w14:textId="4A6F6CB3" w:rsidR="0063573B" w:rsidRDefault="0063573B" w:rsidP="0063573B">
      <w:pPr>
        <w:rPr>
          <w:bCs/>
          <w:lang w:eastAsia="hr-HR"/>
        </w:rPr>
      </w:pPr>
      <w:r w:rsidRPr="006F7EA2">
        <w:rPr>
          <w:b/>
          <w:lang w:eastAsia="hr-HR"/>
        </w:rPr>
        <w:t>Istraživanja:</w:t>
      </w:r>
      <w:r w:rsidRPr="006F7EA2">
        <w:rPr>
          <w:bCs/>
          <w:lang w:eastAsia="hr-HR"/>
        </w:rPr>
        <w:t xml:space="preserve"> Utjecaj klimatskih promjena </w:t>
      </w:r>
      <w:r w:rsidR="006B55BA">
        <w:rPr>
          <w:bCs/>
          <w:lang w:eastAsia="hr-HR"/>
        </w:rPr>
        <w:t xml:space="preserve">na </w:t>
      </w:r>
      <w:r w:rsidRPr="006F7EA2">
        <w:rPr>
          <w:bCs/>
          <w:lang w:eastAsia="hr-HR"/>
        </w:rPr>
        <w:t>šumarski sektor i povezivanje mjera prilagodbe i ublažavanja klimatskih promjena u LULUCF sektoru Aktivnosti ad 6) su unutar mjere LUF-7, ovdje u mjeri LUF-8 navedene su nužne za izradu WAM scenarija.</w:t>
      </w:r>
    </w:p>
    <w:p w14:paraId="7D7A5B8F" w14:textId="77777777" w:rsidR="001C6B53" w:rsidRPr="0063573B" w:rsidRDefault="001C6B53" w:rsidP="0063573B">
      <w:pPr>
        <w:rPr>
          <w:bCs/>
        </w:rPr>
      </w:pPr>
    </w:p>
    <w:p w14:paraId="281A0C32" w14:textId="31CC3305" w:rsidR="008C64D1" w:rsidRPr="00B47BDA" w:rsidRDefault="008C64D1" w:rsidP="0027355E">
      <w:pPr>
        <w:shd w:val="clear" w:color="auto" w:fill="DEEAF6" w:themeFill="accent1" w:themeFillTint="33"/>
      </w:pPr>
      <w:r w:rsidRPr="63259912">
        <w:t xml:space="preserve">U nastavku su prikazane mjere vezane za </w:t>
      </w:r>
      <w:r w:rsidR="00815FD4" w:rsidRPr="63259912">
        <w:rPr>
          <w:b/>
          <w:bCs/>
        </w:rPr>
        <w:t>smanjenje f</w:t>
      </w:r>
      <w:r w:rsidRPr="63259912">
        <w:rPr>
          <w:b/>
          <w:bCs/>
        </w:rPr>
        <w:t>ugitivn</w:t>
      </w:r>
      <w:r w:rsidR="00815FD4" w:rsidRPr="63259912">
        <w:rPr>
          <w:b/>
          <w:bCs/>
        </w:rPr>
        <w:t>ih</w:t>
      </w:r>
      <w:r w:rsidRPr="63259912">
        <w:rPr>
          <w:b/>
          <w:bCs/>
        </w:rPr>
        <w:t xml:space="preserve"> emisij</w:t>
      </w:r>
      <w:r w:rsidR="00815FD4" w:rsidRPr="63259912">
        <w:rPr>
          <w:b/>
          <w:bCs/>
        </w:rPr>
        <w:t>a</w:t>
      </w:r>
      <w:r w:rsidRPr="63259912">
        <w:t>.</w:t>
      </w:r>
    </w:p>
    <w:p w14:paraId="0CD6BB89" w14:textId="56409B0D" w:rsidR="00221C6B" w:rsidRPr="00221C6B" w:rsidRDefault="00221C6B" w:rsidP="00EE67E0">
      <w:pPr>
        <w:pStyle w:val="Mjeranaslov"/>
      </w:pPr>
      <w:r w:rsidRPr="00221C6B">
        <w:t>FUG-1 Modernizacija i transformacija rafinerija</w:t>
      </w:r>
      <w:r w:rsidRPr="00221C6B" w:rsidDel="00F918E8">
        <w:t xml:space="preserve"> </w:t>
      </w:r>
    </w:p>
    <w:p w14:paraId="24E51C50" w14:textId="77777777" w:rsidR="00221C6B" w:rsidRPr="00221C6B" w:rsidRDefault="00221C6B" w:rsidP="004623DD">
      <w:pPr>
        <w:rPr>
          <w:lang w:eastAsia="hr-HR"/>
        </w:rPr>
      </w:pPr>
      <w:r w:rsidRPr="00221C6B">
        <w:rPr>
          <w:lang w:eastAsia="hr-HR"/>
        </w:rPr>
        <w:t>Ekonomska mjera; provedba: 2026.-2027.</w:t>
      </w:r>
    </w:p>
    <w:p w14:paraId="047BDC9E" w14:textId="77777777" w:rsidR="00221C6B" w:rsidRPr="00221C6B" w:rsidRDefault="00221C6B" w:rsidP="63259912">
      <w:pPr>
        <w:rPr>
          <w:b/>
          <w:bCs/>
        </w:rPr>
      </w:pPr>
      <w:r w:rsidRPr="63259912">
        <w:rPr>
          <w:b/>
          <w:bCs/>
        </w:rPr>
        <w:t xml:space="preserve">Cilj i opis mjere: </w:t>
      </w:r>
      <w:r w:rsidRPr="63259912">
        <w:t>Provedba investicija u modernizaciju i unaprjeđenje proizvodnje kako bi se održala konkurentnost rafinerija i smanjile fugitivne emisije iz rafinerija.</w:t>
      </w:r>
      <w:r w:rsidRPr="63259912">
        <w:rPr>
          <w:b/>
          <w:bCs/>
        </w:rPr>
        <w:t xml:space="preserve"> </w:t>
      </w:r>
    </w:p>
    <w:p w14:paraId="1ECB4BAD" w14:textId="77777777" w:rsidR="00221C6B" w:rsidRPr="00221C6B" w:rsidRDefault="00221C6B" w:rsidP="004623DD">
      <w:pPr>
        <w:rPr>
          <w:bCs/>
        </w:rPr>
      </w:pPr>
      <w:r w:rsidRPr="00221C6B">
        <w:rPr>
          <w:bCs/>
        </w:rPr>
        <w:t>Mjera uključuje provedbu projekata proizvodnje biogoriva i održivog goriva ne-biološkog porijekla.</w:t>
      </w:r>
    </w:p>
    <w:p w14:paraId="7823011D" w14:textId="77777777" w:rsidR="00221C6B" w:rsidRPr="00221C6B" w:rsidRDefault="00221C6B" w:rsidP="004623DD">
      <w:pPr>
        <w:rPr>
          <w:bCs/>
        </w:rPr>
      </w:pPr>
      <w:r w:rsidRPr="00221C6B">
        <w:rPr>
          <w:bCs/>
        </w:rPr>
        <w:t>Mjerom se postiže smanjenje korištenja fosilnih goriva te se doprinosi povećanju udjela OIE u transportnom sektoru. Očekivana zamjena oko 415.000 GJ godišnje energije u transportu koja tradicionalno dolazi iz fosilnih izvora.</w:t>
      </w:r>
    </w:p>
    <w:p w14:paraId="71EEAA7F" w14:textId="07FC3FAE" w:rsidR="00221C6B" w:rsidRPr="00221C6B" w:rsidRDefault="00221C6B" w:rsidP="004623DD">
      <w:pPr>
        <w:rPr>
          <w:b/>
        </w:rPr>
      </w:pPr>
      <w:r w:rsidRPr="00221C6B">
        <w:rPr>
          <w:b/>
        </w:rPr>
        <w:t xml:space="preserve">Aktivnosti: </w:t>
      </w:r>
      <w:r w:rsidRPr="00221C6B">
        <w:rPr>
          <w:bCs/>
        </w:rPr>
        <w:t>Proizvodnja tekućeg i plinovitog biogoriva kao i obnovljivog tekućeg i plinovit</w:t>
      </w:r>
      <w:r w:rsidR="003A6AF5">
        <w:rPr>
          <w:bCs/>
        </w:rPr>
        <w:t>og</w:t>
      </w:r>
      <w:r w:rsidRPr="00221C6B">
        <w:rPr>
          <w:bCs/>
        </w:rPr>
        <w:t xml:space="preserve"> goriva ne-biološkog podrijetla (RFNBO), a namijenjenih uporabi u prometu.</w:t>
      </w:r>
    </w:p>
    <w:p w14:paraId="6C0FB8CE" w14:textId="77777777" w:rsidR="00221C6B" w:rsidRPr="00221C6B" w:rsidRDefault="00221C6B" w:rsidP="004623DD">
      <w:pPr>
        <w:rPr>
          <w:lang w:eastAsia="hr-HR"/>
        </w:rPr>
      </w:pPr>
      <w:r w:rsidRPr="00EE67E0">
        <w:rPr>
          <w:b/>
          <w:bCs/>
          <w:lang w:eastAsia="hr-HR"/>
        </w:rPr>
        <w:lastRenderedPageBreak/>
        <w:t>Sredstva potrebna za provedbu:</w:t>
      </w:r>
      <w:r w:rsidRPr="00221C6B">
        <w:rPr>
          <w:lang w:eastAsia="hr-HR"/>
        </w:rPr>
        <w:t xml:space="preserve"> 133.000.000 EUR </w:t>
      </w:r>
    </w:p>
    <w:p w14:paraId="32319B9E" w14:textId="738EAE9F" w:rsidR="00221C6B" w:rsidRPr="00221C6B" w:rsidRDefault="00221C6B" w:rsidP="004623DD">
      <w:pPr>
        <w:rPr>
          <w:lang w:eastAsia="hr-HR"/>
        </w:rPr>
      </w:pPr>
      <w:r w:rsidRPr="00EE67E0">
        <w:rPr>
          <w:b/>
          <w:bCs/>
          <w:lang w:eastAsia="hr-HR"/>
        </w:rPr>
        <w:t>Tijela za praćenje:</w:t>
      </w:r>
      <w:r w:rsidRPr="00221C6B">
        <w:rPr>
          <w:lang w:eastAsia="hr-HR"/>
        </w:rPr>
        <w:t xml:space="preserve"> MINGO</w:t>
      </w:r>
    </w:p>
    <w:p w14:paraId="342BBBB7" w14:textId="77777777" w:rsidR="00221C6B" w:rsidRPr="00221C6B" w:rsidRDefault="00221C6B" w:rsidP="004623DD">
      <w:pPr>
        <w:rPr>
          <w:bCs/>
          <w:lang w:eastAsia="hr-HR"/>
        </w:rPr>
      </w:pPr>
      <w:r w:rsidRPr="00221C6B">
        <w:rPr>
          <w:b/>
          <w:lang w:eastAsia="hr-HR"/>
        </w:rPr>
        <w:t xml:space="preserve">Učinak: </w:t>
      </w:r>
      <w:r w:rsidRPr="00221C6B">
        <w:rPr>
          <w:bCs/>
          <w:lang w:eastAsia="hr-HR"/>
        </w:rPr>
        <w:t>Potreba za energijom na lokaciji se ne smanjuje nego povećava radi instalacije novih postrojenja. Smanjenje emisije CO</w:t>
      </w:r>
      <w:r w:rsidRPr="00B52240">
        <w:rPr>
          <w:bCs/>
          <w:vertAlign w:val="subscript"/>
          <w:lang w:eastAsia="hr-HR"/>
        </w:rPr>
        <w:t>2</w:t>
      </w:r>
      <w:r w:rsidRPr="00221C6B">
        <w:rPr>
          <w:bCs/>
          <w:lang w:eastAsia="hr-HR"/>
        </w:rPr>
        <w:t>: 50.000 t/god.</w:t>
      </w:r>
    </w:p>
    <w:p w14:paraId="0CCD219E" w14:textId="517E0105" w:rsidR="00221C6B" w:rsidRPr="00221C6B" w:rsidRDefault="14BB7514" w:rsidP="004623DD">
      <w:pPr>
        <w:rPr>
          <w:lang w:eastAsia="hr-HR"/>
        </w:rPr>
      </w:pPr>
      <w:r w:rsidRPr="1C9333AB">
        <w:rPr>
          <w:b/>
          <w:bCs/>
          <w:lang w:eastAsia="hr-HR"/>
        </w:rPr>
        <w:t>Metoda praćenja</w:t>
      </w:r>
      <w:r w:rsidRPr="1C9333AB">
        <w:rPr>
          <w:lang w:eastAsia="hr-HR"/>
        </w:rPr>
        <w:t>: Praćenje učinaka ove mjere ostvaruje se na temelju podataka INA d.d. prije i poslije primjene mjera.</w:t>
      </w:r>
      <w:r w:rsidR="4DB385A3" w:rsidRPr="1C9333AB">
        <w:rPr>
          <w:lang w:eastAsia="hr-HR"/>
        </w:rPr>
        <w:t xml:space="preserve"> </w:t>
      </w:r>
    </w:p>
    <w:p w14:paraId="348F5E7A" w14:textId="73DFCC1F" w:rsidR="00221C6B" w:rsidRPr="00221C6B" w:rsidRDefault="00221C6B" w:rsidP="004623DD">
      <w:pPr>
        <w:rPr>
          <w:lang w:eastAsia="hr-HR"/>
        </w:rPr>
      </w:pPr>
      <w:r w:rsidRPr="00EE67E0">
        <w:rPr>
          <w:b/>
          <w:bCs/>
          <w:lang w:eastAsia="hr-HR"/>
        </w:rPr>
        <w:t>Izvršno</w:t>
      </w:r>
      <w:r w:rsidR="00EE67E0">
        <w:rPr>
          <w:b/>
          <w:bCs/>
          <w:lang w:eastAsia="hr-HR"/>
        </w:rPr>
        <w:t xml:space="preserve"> </w:t>
      </w:r>
      <w:r w:rsidRPr="00EE67E0">
        <w:rPr>
          <w:b/>
          <w:bCs/>
          <w:lang w:eastAsia="hr-HR"/>
        </w:rPr>
        <w:t>tijelo:</w:t>
      </w:r>
      <w:r w:rsidRPr="00221C6B">
        <w:rPr>
          <w:lang w:eastAsia="hr-HR"/>
        </w:rPr>
        <w:t xml:space="preserve"> </w:t>
      </w:r>
      <w:r w:rsidRPr="00221C6B">
        <w:rPr>
          <w:bCs/>
          <w:lang w:eastAsia="hr-HR"/>
        </w:rPr>
        <w:t>INA d.d.</w:t>
      </w:r>
      <w:r w:rsidRPr="00221C6B">
        <w:rPr>
          <w:lang w:eastAsia="hr-HR"/>
        </w:rPr>
        <w:t xml:space="preserve"> </w:t>
      </w:r>
    </w:p>
    <w:p w14:paraId="192EAD66" w14:textId="7070B14B" w:rsidR="00221C6B" w:rsidRPr="00221C6B" w:rsidRDefault="5F8A14D9" w:rsidP="63259912">
      <w:pPr>
        <w:rPr>
          <w:lang w:eastAsia="hr-HR"/>
        </w:rPr>
      </w:pPr>
      <w:r w:rsidRPr="63259912">
        <w:rPr>
          <w:b/>
          <w:bCs/>
          <w:lang w:eastAsia="hr-HR"/>
        </w:rPr>
        <w:t xml:space="preserve">Povezanost s drugim dimenzijama: </w:t>
      </w:r>
      <w:r w:rsidRPr="63259912">
        <w:rPr>
          <w:lang w:eastAsia="hr-HR"/>
        </w:rPr>
        <w:t xml:space="preserve">Ulaganjem u modernizaciju i unaprjeđenje proizvodnje ostvaruju se ciljevi dekarbonizacije. </w:t>
      </w:r>
    </w:p>
    <w:p w14:paraId="2EBEDE86" w14:textId="492BB88B" w:rsidR="00221C6B" w:rsidRPr="00221C6B" w:rsidRDefault="00221C6B" w:rsidP="00EE67E0">
      <w:pPr>
        <w:pStyle w:val="Mjeranaslov"/>
      </w:pPr>
      <w:r w:rsidRPr="00221C6B">
        <w:t xml:space="preserve">FUG-2 Mjere povećanja energetske učinkovitosti unapređenjem procesa i procesnih jedinica </w:t>
      </w:r>
    </w:p>
    <w:p w14:paraId="6B6B848F" w14:textId="77777777" w:rsidR="00221C6B" w:rsidRPr="00221C6B" w:rsidRDefault="00221C6B" w:rsidP="004623DD">
      <w:pPr>
        <w:rPr>
          <w:lang w:eastAsia="hr-HR"/>
        </w:rPr>
      </w:pPr>
      <w:r w:rsidRPr="00221C6B">
        <w:rPr>
          <w:lang w:eastAsia="hr-HR"/>
        </w:rPr>
        <w:t>Ekonomska mjera; provedba: 2024.-2026.</w:t>
      </w:r>
    </w:p>
    <w:p w14:paraId="16C93F8A" w14:textId="77777777" w:rsidR="00221C6B" w:rsidRPr="00221C6B" w:rsidRDefault="00221C6B" w:rsidP="004623DD">
      <w:r w:rsidRPr="63259912">
        <w:rPr>
          <w:b/>
          <w:bCs/>
        </w:rPr>
        <w:t xml:space="preserve">Cilj i opis mjere: </w:t>
      </w:r>
      <w:r w:rsidRPr="63259912">
        <w:t xml:space="preserve">Povećanje energetske učinkovitosti postiže se provođenjem mjera koje doprinose smanjenju energetske intenzivnosti putem racionalnijeg korištenja energije i sirovina i izmjenama proizvodnih procesa i opreme na crpnim stanicama i u rafinerijama što doprinosi smanjenju fugitivnih emisija. </w:t>
      </w:r>
    </w:p>
    <w:p w14:paraId="41973FAA" w14:textId="77777777" w:rsidR="00221C6B" w:rsidRPr="00221C6B" w:rsidRDefault="00221C6B" w:rsidP="004623DD">
      <w:r w:rsidRPr="00221C6B">
        <w:rPr>
          <w:b/>
          <w:bCs/>
        </w:rPr>
        <w:t>Aktivnosti:</w:t>
      </w:r>
      <w:r w:rsidRPr="00221C6B">
        <w:t xml:space="preserve"> Projekti povećanja energetske učinkovitosti u Rafineriji nafte Rijeka uključuju zamjenu postojeće opreme u Rafineriji nafte Rijeka u cilju značajnog poboljšanja energetskih performansi.</w:t>
      </w:r>
    </w:p>
    <w:p w14:paraId="62722EE1" w14:textId="6952E281" w:rsidR="00221C6B" w:rsidRDefault="00221C6B" w:rsidP="004623DD">
      <w:pPr>
        <w:rPr>
          <w:lang w:eastAsia="hr-HR"/>
        </w:rPr>
      </w:pPr>
      <w:r w:rsidRPr="00EE67E0">
        <w:rPr>
          <w:b/>
          <w:bCs/>
          <w:lang w:eastAsia="hr-HR"/>
        </w:rPr>
        <w:t>Sredstva potrebna za provedbu:</w:t>
      </w:r>
      <w:r w:rsidRPr="00221C6B">
        <w:rPr>
          <w:lang w:eastAsia="hr-HR"/>
        </w:rPr>
        <w:t xml:space="preserve"> 46.000.000 EUR</w:t>
      </w:r>
    </w:p>
    <w:p w14:paraId="783381F8" w14:textId="5A2F72C5" w:rsidR="0004737C" w:rsidRPr="00B212D5" w:rsidRDefault="0004737C" w:rsidP="004623DD">
      <w:pPr>
        <w:rPr>
          <w:b/>
          <w:bCs/>
          <w:lang w:eastAsia="hr-HR"/>
        </w:rPr>
      </w:pPr>
      <w:r w:rsidRPr="00B212D5">
        <w:rPr>
          <w:b/>
          <w:bCs/>
          <w:lang w:eastAsia="hr-HR"/>
        </w:rPr>
        <w:t>Izvor</w:t>
      </w:r>
      <w:r w:rsidR="00807729" w:rsidRPr="00B212D5">
        <w:rPr>
          <w:b/>
          <w:bCs/>
          <w:lang w:eastAsia="hr-HR"/>
        </w:rPr>
        <w:t xml:space="preserve">i financiranja: </w:t>
      </w:r>
      <w:r w:rsidR="00F1415A" w:rsidRPr="00F1415A">
        <w:rPr>
          <w:lang w:eastAsia="hr-HR"/>
        </w:rPr>
        <w:t>INA d.d.</w:t>
      </w:r>
    </w:p>
    <w:p w14:paraId="517D4A93" w14:textId="43CDF85B" w:rsidR="00221C6B" w:rsidRPr="00221C6B" w:rsidRDefault="00221C6B" w:rsidP="004623DD">
      <w:pPr>
        <w:rPr>
          <w:lang w:eastAsia="hr-HR"/>
        </w:rPr>
      </w:pPr>
      <w:r w:rsidRPr="00EE67E0">
        <w:rPr>
          <w:b/>
          <w:bCs/>
          <w:lang w:eastAsia="hr-HR"/>
        </w:rPr>
        <w:t>Tijela za praćenje:</w:t>
      </w:r>
      <w:r w:rsidRPr="00221C6B">
        <w:rPr>
          <w:lang w:eastAsia="hr-HR"/>
        </w:rPr>
        <w:t xml:space="preserve"> MINGO</w:t>
      </w:r>
      <w:r w:rsidR="0073340D">
        <w:rPr>
          <w:lang w:eastAsia="hr-HR"/>
        </w:rPr>
        <w:t>.</w:t>
      </w:r>
    </w:p>
    <w:p w14:paraId="4EA2C544" w14:textId="77777777" w:rsidR="00221C6B" w:rsidRPr="00221C6B" w:rsidRDefault="00221C6B" w:rsidP="004623DD">
      <w:pPr>
        <w:rPr>
          <w:lang w:eastAsia="hr-HR"/>
        </w:rPr>
      </w:pPr>
      <w:r w:rsidRPr="00221C6B">
        <w:rPr>
          <w:b/>
          <w:lang w:eastAsia="hr-HR"/>
        </w:rPr>
        <w:t xml:space="preserve">Učinak: </w:t>
      </w:r>
      <w:r w:rsidRPr="00221C6B">
        <w:rPr>
          <w:bCs/>
          <w:lang w:eastAsia="hr-HR"/>
        </w:rPr>
        <w:t>Ukupno smanjenje potrošnje energije: 550.000 MWh/god, smanjenje potrošnje prirodnog plina: 653.000 MWh/god, povećanje potrošnje električne energije: 103.000 MWh/god, smanjenje emisije CO</w:t>
      </w:r>
      <w:r w:rsidRPr="0027355E">
        <w:rPr>
          <w:bCs/>
          <w:vertAlign w:val="subscript"/>
          <w:lang w:eastAsia="hr-HR"/>
        </w:rPr>
        <w:t>2</w:t>
      </w:r>
      <w:r w:rsidRPr="00221C6B">
        <w:rPr>
          <w:bCs/>
          <w:lang w:eastAsia="hr-HR"/>
        </w:rPr>
        <w:t>:</w:t>
      </w:r>
      <w:r w:rsidRPr="00221C6B">
        <w:t xml:space="preserve"> </w:t>
      </w:r>
      <w:r w:rsidRPr="00221C6B">
        <w:rPr>
          <w:bCs/>
          <w:lang w:eastAsia="hr-HR"/>
        </w:rPr>
        <w:t>115.000 t/god.</w:t>
      </w:r>
    </w:p>
    <w:p w14:paraId="55768FB4" w14:textId="6F311EF6" w:rsidR="00221C6B" w:rsidRPr="00221C6B" w:rsidRDefault="14BB7514" w:rsidP="004623DD">
      <w:pPr>
        <w:rPr>
          <w:lang w:eastAsia="hr-HR"/>
        </w:rPr>
      </w:pPr>
      <w:r w:rsidRPr="1C9333AB">
        <w:rPr>
          <w:b/>
          <w:bCs/>
          <w:lang w:eastAsia="hr-HR"/>
        </w:rPr>
        <w:t>Metoda praćenja</w:t>
      </w:r>
      <w:r w:rsidRPr="1C9333AB">
        <w:rPr>
          <w:lang w:eastAsia="hr-HR"/>
        </w:rPr>
        <w:t>: Praćenje učinaka ove mjere ostvaruje se na temelju podataka INA d.d. prije i poslije primjene mjera.</w:t>
      </w:r>
      <w:r w:rsidR="4DB385A3" w:rsidRPr="1C9333AB">
        <w:rPr>
          <w:lang w:eastAsia="hr-HR"/>
        </w:rPr>
        <w:t xml:space="preserve"> </w:t>
      </w:r>
    </w:p>
    <w:p w14:paraId="4073C99A" w14:textId="050FB4A2" w:rsidR="00221C6B" w:rsidRPr="00221C6B" w:rsidRDefault="00221C6B" w:rsidP="004623DD">
      <w:pPr>
        <w:rPr>
          <w:lang w:eastAsia="hr-HR"/>
        </w:rPr>
      </w:pPr>
      <w:r w:rsidRPr="00EE67E0">
        <w:rPr>
          <w:b/>
          <w:bCs/>
          <w:lang w:eastAsia="hr-HR"/>
        </w:rPr>
        <w:t>Izvršno</w:t>
      </w:r>
      <w:r w:rsidR="00EE67E0">
        <w:rPr>
          <w:b/>
          <w:bCs/>
          <w:lang w:eastAsia="hr-HR"/>
        </w:rPr>
        <w:t xml:space="preserve"> </w:t>
      </w:r>
      <w:r w:rsidRPr="00EE67E0">
        <w:rPr>
          <w:b/>
          <w:bCs/>
          <w:lang w:eastAsia="hr-HR"/>
        </w:rPr>
        <w:t>tijelo:</w:t>
      </w:r>
      <w:r w:rsidRPr="00221C6B">
        <w:rPr>
          <w:lang w:eastAsia="hr-HR"/>
        </w:rPr>
        <w:t xml:space="preserve"> </w:t>
      </w:r>
      <w:r w:rsidRPr="00221C6B">
        <w:rPr>
          <w:bCs/>
          <w:lang w:eastAsia="hr-HR"/>
        </w:rPr>
        <w:t>INA d.d.</w:t>
      </w:r>
      <w:r w:rsidRPr="00221C6B">
        <w:rPr>
          <w:lang w:eastAsia="hr-HR"/>
        </w:rPr>
        <w:t xml:space="preserve"> </w:t>
      </w:r>
    </w:p>
    <w:p w14:paraId="3509F149" w14:textId="77777777" w:rsidR="00221C6B" w:rsidRPr="00221C6B" w:rsidRDefault="5F8A14D9" w:rsidP="63259912">
      <w:pPr>
        <w:rPr>
          <w:lang w:eastAsia="hr-HR"/>
        </w:rPr>
      </w:pPr>
      <w:r w:rsidRPr="63259912">
        <w:rPr>
          <w:b/>
          <w:bCs/>
          <w:lang w:eastAsia="hr-HR"/>
        </w:rPr>
        <w:t xml:space="preserve">Povezanost s drugim dimenzijama: </w:t>
      </w:r>
      <w:r w:rsidRPr="63259912">
        <w:rPr>
          <w:lang w:eastAsia="hr-HR"/>
        </w:rPr>
        <w:t xml:space="preserve">Ulaganjem u povećanje energetske učinkovitosti ostvaruju se ciljevi dekarbonizacije. </w:t>
      </w:r>
    </w:p>
    <w:p w14:paraId="645C5E29" w14:textId="2DD3B6ED" w:rsidR="00F918E8" w:rsidRPr="00B47BDA" w:rsidRDefault="00F918E8" w:rsidP="71589035">
      <w:pPr>
        <w:rPr>
          <w:rFonts w:cs="Calibri"/>
          <w:lang w:eastAsia="hr-HR"/>
        </w:rPr>
      </w:pPr>
    </w:p>
    <w:p w14:paraId="47E880A3" w14:textId="411306B7" w:rsidR="00D32E4E" w:rsidRPr="00B47BDA" w:rsidRDefault="005F37C4" w:rsidP="005C2C7E">
      <w:pPr>
        <w:pStyle w:val="Heading4"/>
        <w:numPr>
          <w:ilvl w:val="3"/>
          <w:numId w:val="175"/>
        </w:numPr>
        <w:ind w:hanging="580"/>
      </w:pPr>
      <w:r w:rsidRPr="00B47BDA">
        <w:t xml:space="preserve">Ako je relevantno, regionalna </w:t>
      </w:r>
      <w:r w:rsidR="00D32E4E" w:rsidRPr="00B47BDA">
        <w:t>suradnja u ovom području</w:t>
      </w:r>
    </w:p>
    <w:p w14:paraId="548ECEA8" w14:textId="4A89E673" w:rsidR="00704213" w:rsidRPr="00B47BDA" w:rsidRDefault="00704213" w:rsidP="004623DD">
      <w:r w:rsidRPr="63259912">
        <w:t>Na regionalnoj radionici održanoj u Ljubljani u srpnju 2019. godine, kao teme za regionalnu suradnju u okviru dimenzije dekarbonizacija</w:t>
      </w:r>
      <w:r w:rsidR="00710C1A" w:rsidRPr="63259912">
        <w:t>/emisije i uklanjanja stakleničkih plinova</w:t>
      </w:r>
      <w:r w:rsidRPr="63259912">
        <w:t xml:space="preserve"> predloženo je</w:t>
      </w:r>
    </w:p>
    <w:p w14:paraId="2789188B" w14:textId="6835AC1F" w:rsidR="00704213" w:rsidRPr="00B47BDA" w:rsidRDefault="00C35B1A" w:rsidP="00A07072">
      <w:pPr>
        <w:pStyle w:val="ListParagraph"/>
        <w:numPr>
          <w:ilvl w:val="0"/>
          <w:numId w:val="49"/>
        </w:numPr>
        <w:spacing w:after="60"/>
        <w:ind w:left="714" w:hanging="357"/>
      </w:pPr>
      <w:r>
        <w:t>Z</w:t>
      </w:r>
      <w:r w:rsidR="00704213" w:rsidRPr="00B47BDA">
        <w:t>ajednički razvoj dijelova nacionalnih strategija prilagodbi klimatskim promjenama (primjerice, za jadransku regiju)</w:t>
      </w:r>
      <w:r>
        <w:t>;</w:t>
      </w:r>
    </w:p>
    <w:p w14:paraId="38841FA8" w14:textId="2C3F63F5" w:rsidR="00704213" w:rsidRPr="00B47BDA" w:rsidRDefault="00C35B1A" w:rsidP="00A07072">
      <w:pPr>
        <w:pStyle w:val="ListParagraph"/>
        <w:numPr>
          <w:ilvl w:val="0"/>
          <w:numId w:val="49"/>
        </w:numPr>
        <w:spacing w:after="60"/>
        <w:ind w:left="714" w:hanging="357"/>
      </w:pPr>
      <w:r>
        <w:lastRenderedPageBreak/>
        <w:t>Z</w:t>
      </w:r>
      <w:r w:rsidR="00704213" w:rsidRPr="00B47BDA">
        <w:t>ajedničko upravljanje vodenim tokovima</w:t>
      </w:r>
      <w:r>
        <w:t>;</w:t>
      </w:r>
    </w:p>
    <w:p w14:paraId="2B29B150" w14:textId="67051BEC" w:rsidR="00704213" w:rsidRPr="00B47BDA" w:rsidRDefault="00C35B1A" w:rsidP="00A07072">
      <w:pPr>
        <w:pStyle w:val="ListParagraph"/>
        <w:numPr>
          <w:ilvl w:val="0"/>
          <w:numId w:val="49"/>
        </w:numPr>
        <w:spacing w:after="60"/>
        <w:ind w:left="714" w:hanging="357"/>
      </w:pPr>
      <w:r>
        <w:t>Z</w:t>
      </w:r>
      <w:r w:rsidR="00704213" w:rsidRPr="00B47BDA">
        <w:t>ajednička izrada karte tla</w:t>
      </w:r>
      <w:r w:rsidR="00A851EE" w:rsidRPr="00B47BDA">
        <w:t xml:space="preserve"> (relevantno za uzgoj biomase u nepreh</w:t>
      </w:r>
      <w:r w:rsidR="00E0566D" w:rsidRPr="00B47BDA">
        <w:t>r</w:t>
      </w:r>
      <w:r w:rsidR="00A851EE" w:rsidRPr="00B47BDA">
        <w:t>ambene svrhe i za praćenje sadržaja ugljika u tlu)</w:t>
      </w:r>
      <w:r>
        <w:t>;</w:t>
      </w:r>
    </w:p>
    <w:p w14:paraId="49341FB9" w14:textId="1A4A69D2" w:rsidR="003523B2" w:rsidRPr="00B47BDA" w:rsidRDefault="00C35B1A" w:rsidP="00A07072">
      <w:pPr>
        <w:pStyle w:val="ListParagraph"/>
        <w:numPr>
          <w:ilvl w:val="0"/>
          <w:numId w:val="49"/>
        </w:numPr>
        <w:spacing w:after="60"/>
        <w:ind w:left="714" w:hanging="357"/>
      </w:pPr>
      <w:r>
        <w:t>Z</w:t>
      </w:r>
      <w:r w:rsidR="003523B2" w:rsidRPr="00B47BDA">
        <w:t>nanstvena suradnja u istraživanu vodika, uklanjanju i skladištenju stakleničkih plinova</w:t>
      </w:r>
      <w:r>
        <w:t>;</w:t>
      </w:r>
    </w:p>
    <w:p w14:paraId="4DCDF38C" w14:textId="63712926" w:rsidR="007C54FB" w:rsidRPr="00B47BDA" w:rsidRDefault="00C35B1A" w:rsidP="00A07072">
      <w:pPr>
        <w:pStyle w:val="ListParagraph"/>
        <w:numPr>
          <w:ilvl w:val="0"/>
          <w:numId w:val="49"/>
        </w:numPr>
        <w:spacing w:after="60"/>
        <w:ind w:left="714" w:hanging="357"/>
      </w:pPr>
      <w:r>
        <w:t>R</w:t>
      </w:r>
      <w:r w:rsidR="007C54FB" w:rsidRPr="00B47BDA">
        <w:t xml:space="preserve">azmjena iskustava </w:t>
      </w:r>
      <w:r w:rsidR="007A544F" w:rsidRPr="00B47BDA">
        <w:t>povezanih za emisije i uklanjanja stakleničkih plinova te prilagodbu klimatskim promjenama.</w:t>
      </w:r>
    </w:p>
    <w:p w14:paraId="610F4CEB" w14:textId="7E3FC196" w:rsidR="00C03567" w:rsidRPr="00B47BDA" w:rsidRDefault="38D44164" w:rsidP="63259912">
      <w:pPr>
        <w:rPr>
          <w:lang w:eastAsia="hr-HR"/>
        </w:rPr>
      </w:pPr>
      <w:r w:rsidRPr="63259912">
        <w:rPr>
          <w:lang w:eastAsia="hr-HR"/>
        </w:rPr>
        <w:t>Dodatno, š</w:t>
      </w:r>
      <w:r w:rsidR="648DD40B" w:rsidRPr="63259912">
        <w:rPr>
          <w:lang w:eastAsia="hr-HR"/>
        </w:rPr>
        <w:t>irenje informacija i umrežavanje predviđeno je projektom LIFE-CROLIS o korištenju geo</w:t>
      </w:r>
      <w:r w:rsidR="650CFCCF" w:rsidRPr="63259912">
        <w:rPr>
          <w:lang w:eastAsia="hr-HR"/>
        </w:rPr>
        <w:t>-</w:t>
      </w:r>
      <w:r w:rsidR="648DD40B" w:rsidRPr="63259912">
        <w:rPr>
          <w:lang w:eastAsia="hr-HR"/>
        </w:rPr>
        <w:t>i</w:t>
      </w:r>
      <w:r w:rsidR="650CFCCF" w:rsidRPr="63259912">
        <w:rPr>
          <w:lang w:eastAsia="hr-HR"/>
        </w:rPr>
        <w:t>n</w:t>
      </w:r>
      <w:r w:rsidR="648DD40B" w:rsidRPr="63259912">
        <w:rPr>
          <w:lang w:eastAsia="hr-HR"/>
        </w:rPr>
        <w:t xml:space="preserve">formacijskog sustava i suvremenih tehnologija satelitskog snimanja u harmonizaciji podataka o zemljištu za LULUCF, u kojem </w:t>
      </w:r>
      <w:r w:rsidR="2C515B6C" w:rsidRPr="63259912">
        <w:rPr>
          <w:lang w:eastAsia="hr-HR"/>
        </w:rPr>
        <w:t>su</w:t>
      </w:r>
      <w:r w:rsidR="648DD40B" w:rsidRPr="63259912">
        <w:rPr>
          <w:lang w:eastAsia="hr-HR"/>
        </w:rPr>
        <w:t xml:space="preserve"> predviđene radionice s pozivom susjednim državama. </w:t>
      </w:r>
    </w:p>
    <w:p w14:paraId="2306C4AA" w14:textId="314457AC" w:rsidR="00C03567" w:rsidRPr="00B47BDA" w:rsidRDefault="00C03567" w:rsidP="63259912">
      <w:pPr>
        <w:rPr>
          <w:lang w:eastAsia="hr-HR"/>
        </w:rPr>
      </w:pPr>
      <w:r w:rsidRPr="63259912">
        <w:rPr>
          <w:lang w:eastAsia="hr-HR"/>
        </w:rPr>
        <w:t>Dobra prilika su Interreg programi sa susjednim državama s kojima se dijeli klimatsko</w:t>
      </w:r>
      <w:r w:rsidR="00392EE6" w:rsidRPr="63259912">
        <w:rPr>
          <w:lang w:eastAsia="hr-HR"/>
        </w:rPr>
        <w:t>-</w:t>
      </w:r>
      <w:r w:rsidRPr="63259912">
        <w:rPr>
          <w:lang w:eastAsia="hr-HR"/>
        </w:rPr>
        <w:t xml:space="preserve">ekološki prostor i zajednički projekti mogu dati sinergiju. </w:t>
      </w:r>
    </w:p>
    <w:p w14:paraId="57EA9D83" w14:textId="38501C46" w:rsidR="00A11876" w:rsidRPr="00B47BDA" w:rsidRDefault="00C03567" w:rsidP="004623DD">
      <w:pPr>
        <w:rPr>
          <w:rFonts w:eastAsia="Arial"/>
        </w:rPr>
      </w:pPr>
      <w:r w:rsidRPr="00B47BDA">
        <w:rPr>
          <w:lang w:eastAsia="hr-HR"/>
        </w:rPr>
        <w:t xml:space="preserve">Prema Članku 9.1 Pariškog sporazuma razvijene države stranke sporazuma trebaju osigurati financijska sredstva za pomoć strankama zemljama u razvoju u pogledu ublažavanja i prilagodbe, dodatno na svoje postojeće obveze prema Konvenciji. Izvještavanje o provedbi dostavlja se svake dvije godine. U okviru aktivnosti Fonda za zaštitu okoliša i energetsku učinkovitost treba razraditi programe potpore i predvidjeti sredstva iz prihoda </w:t>
      </w:r>
      <w:r w:rsidR="003F7BF2" w:rsidRPr="002F1EEF">
        <w:t>od prodaje emisijskih jedinica iz EU ETS-a</w:t>
      </w:r>
      <w:r w:rsidRPr="00B47BDA">
        <w:rPr>
          <w:lang w:eastAsia="hr-HR"/>
        </w:rPr>
        <w:t>, i budućeg sustava trgovanja u sektoru prometa i zgradarstva.</w:t>
      </w:r>
    </w:p>
    <w:p w14:paraId="512A375C" w14:textId="2008B8B5" w:rsidR="000915D2" w:rsidRPr="00B47BDA" w:rsidRDefault="0018612B" w:rsidP="005C2C7E">
      <w:pPr>
        <w:pStyle w:val="Heading4"/>
        <w:numPr>
          <w:ilvl w:val="3"/>
          <w:numId w:val="175"/>
        </w:numPr>
        <w:ind w:hanging="580"/>
      </w:pPr>
      <w:r w:rsidRPr="00B47BDA">
        <w:t>Ne dovodeći u pitanje primjenjivost pravila o državnoj potpori, financijske mjere u ovom području na nacionalnoj razini, uključujući potporu Unije-a i upotrebu sredstava Unije, ako je primjenjivo</w:t>
      </w:r>
    </w:p>
    <w:p w14:paraId="5D19133E" w14:textId="2616E1E2" w:rsidR="00876E2E" w:rsidRPr="00B47BDA" w:rsidRDefault="00876E2E" w:rsidP="63259912">
      <w:pPr>
        <w:rPr>
          <w:lang w:eastAsia="hr-HR"/>
        </w:rPr>
      </w:pPr>
      <w:r w:rsidRPr="63259912">
        <w:rPr>
          <w:lang w:eastAsia="hr-HR"/>
        </w:rPr>
        <w:t xml:space="preserve">Dio troškova provedbe mjera predviđenih u okviru dimenzije dekarbonizacija – emisije i uklanjanja stakleničkih plinova financirat će se iz državnog proračuna, </w:t>
      </w:r>
      <w:r w:rsidR="00C4741E" w:rsidRPr="63259912">
        <w:t>prihod</w:t>
      </w:r>
      <w:r w:rsidR="0065150F" w:rsidRPr="63259912">
        <w:t>a</w:t>
      </w:r>
      <w:r w:rsidR="00C4741E" w:rsidRPr="63259912">
        <w:t xml:space="preserve"> od prodaje emisijskih jedinica iz EU ETS-a</w:t>
      </w:r>
      <w:r w:rsidRPr="63259912">
        <w:rPr>
          <w:lang w:eastAsia="hr-HR"/>
        </w:rPr>
        <w:t>, Modernizacijskog fonda i vanproračunskih sredstava, a očekuje se i upotreba sredstava EU, i to sredstava kohezijske politike putem tehničke pomoći tijelima državne uprave te izravna potpora iz budućih operativnih programa. Glavnina potpore za poljoprivredu i sektor LULUCF za sada se ostvaruje kroz mjere SP ZPP-a.</w:t>
      </w:r>
    </w:p>
    <w:p w14:paraId="260414CE" w14:textId="11ACBE29" w:rsidR="00876E2E" w:rsidRPr="00B47BDA" w:rsidRDefault="00C56A33" w:rsidP="004623DD">
      <w:pPr>
        <w:rPr>
          <w:lang w:eastAsia="hr-HR"/>
        </w:rPr>
      </w:pPr>
      <w:r w:rsidRPr="00B47BDA">
        <w:rPr>
          <w:lang w:eastAsia="hr-HR"/>
        </w:rPr>
        <w:t>F</w:t>
      </w:r>
      <w:r w:rsidR="00FA1087" w:rsidRPr="00B47BDA">
        <w:rPr>
          <w:lang w:eastAsia="hr-HR"/>
        </w:rPr>
        <w:t>inanciranje</w:t>
      </w:r>
      <w:r w:rsidR="00A0365E" w:rsidRPr="00B47BDA">
        <w:rPr>
          <w:lang w:eastAsia="hr-HR"/>
        </w:rPr>
        <w:t xml:space="preserve"> predviđenih mjera očekuje se i</w:t>
      </w:r>
      <w:r w:rsidR="00FA1087" w:rsidRPr="00B47BDA">
        <w:rPr>
          <w:lang w:eastAsia="hr-HR"/>
        </w:rPr>
        <w:t xml:space="preserve"> putem programa Europske investicijske banke</w:t>
      </w:r>
      <w:r w:rsidR="00724C9B" w:rsidRPr="00B47BDA">
        <w:rPr>
          <w:lang w:eastAsia="hr-HR"/>
        </w:rPr>
        <w:t>,</w:t>
      </w:r>
      <w:r w:rsidR="00D75205" w:rsidRPr="00B47BDA">
        <w:rPr>
          <w:lang w:eastAsia="hr-HR"/>
        </w:rPr>
        <w:t xml:space="preserve"> Europske banke za obnovu i </w:t>
      </w:r>
      <w:r w:rsidR="006C5EFF" w:rsidRPr="00B47BDA">
        <w:rPr>
          <w:lang w:eastAsia="hr-HR"/>
        </w:rPr>
        <w:t>razvoj i drugih financijskih institucija</w:t>
      </w:r>
      <w:r w:rsidR="00724C9B" w:rsidRPr="00B47BDA">
        <w:rPr>
          <w:lang w:eastAsia="hr-HR"/>
        </w:rPr>
        <w:t xml:space="preserve"> te iz </w:t>
      </w:r>
      <w:r w:rsidR="5D59AA63" w:rsidRPr="5B269282">
        <w:rPr>
          <w:lang w:eastAsia="hr-HR"/>
        </w:rPr>
        <w:t xml:space="preserve">Modernizacijskog </w:t>
      </w:r>
      <w:r w:rsidR="00724C9B" w:rsidRPr="00B47BDA">
        <w:rPr>
          <w:lang w:eastAsia="hr-HR"/>
        </w:rPr>
        <w:t>Fonda.</w:t>
      </w:r>
      <w:r w:rsidR="00B21482" w:rsidRPr="00B47BDA">
        <w:rPr>
          <w:lang w:eastAsia="hr-HR"/>
        </w:rPr>
        <w:t xml:space="preserve"> </w:t>
      </w:r>
      <w:r w:rsidR="001918CF" w:rsidRPr="00B47BDA">
        <w:rPr>
          <w:lang w:eastAsia="hr-HR"/>
        </w:rPr>
        <w:t xml:space="preserve">Poticat će se razvoj </w:t>
      </w:r>
      <w:r w:rsidR="00B846FB" w:rsidRPr="00B47BDA">
        <w:rPr>
          <w:lang w:eastAsia="hr-HR"/>
        </w:rPr>
        <w:t>inovativnih projekata</w:t>
      </w:r>
      <w:r w:rsidR="002461E8" w:rsidRPr="00B47BDA">
        <w:rPr>
          <w:lang w:eastAsia="hr-HR"/>
        </w:rPr>
        <w:t xml:space="preserve"> za financiranje</w:t>
      </w:r>
      <w:r w:rsidR="00B846FB" w:rsidRPr="00B47BDA">
        <w:rPr>
          <w:lang w:eastAsia="hr-HR"/>
        </w:rPr>
        <w:t xml:space="preserve"> iz Inovacijskog fonda.</w:t>
      </w:r>
      <w:r w:rsidR="0042318F" w:rsidRPr="00B47BDA">
        <w:rPr>
          <w:lang w:eastAsia="hr-HR"/>
        </w:rPr>
        <w:t xml:space="preserve"> Nije se razmatralo korištenje financijskih sredstava od prodaje dijela nacionalne kvote u sektorima izvan ETS-a, jer se ne raspolaže informacijom kako će se provodi</w:t>
      </w:r>
      <w:r w:rsidR="00EB7890" w:rsidRPr="00B47BDA">
        <w:rPr>
          <w:lang w:eastAsia="hr-HR"/>
        </w:rPr>
        <w:t>t</w:t>
      </w:r>
      <w:r w:rsidR="0042318F" w:rsidRPr="00B47BDA">
        <w:rPr>
          <w:lang w:eastAsia="hr-HR"/>
        </w:rPr>
        <w:t>i transferi između država članica, a do sada postoje ograničena iskustva na tom području i ne raspolaže se s informacijom o cijeni tih jedinica emisije.</w:t>
      </w:r>
    </w:p>
    <w:p w14:paraId="69CBA5BC" w14:textId="379B8681" w:rsidR="00EE68A0" w:rsidRPr="00B47BDA" w:rsidRDefault="00876E2E" w:rsidP="004623DD">
      <w:r w:rsidRPr="00B47BDA">
        <w:rPr>
          <w:lang w:eastAsia="hr-HR"/>
        </w:rPr>
        <w:t xml:space="preserve">U skladu s izmjenama i dopunama Uredbe </w:t>
      </w:r>
      <w:r w:rsidR="002B31ED" w:rsidRPr="002B31ED">
        <w:t xml:space="preserve"> </w:t>
      </w:r>
      <w:r w:rsidR="002B31ED" w:rsidRPr="002B31ED">
        <w:rPr>
          <w:lang w:eastAsia="hr-HR"/>
        </w:rPr>
        <w:t xml:space="preserve">LULUCF </w:t>
      </w:r>
      <w:r w:rsidRPr="00B47BDA">
        <w:rPr>
          <w:lang w:eastAsia="hr-HR"/>
        </w:rPr>
        <w:t xml:space="preserve">iz </w:t>
      </w:r>
      <w:r w:rsidR="0065150F" w:rsidRPr="002F1EEF">
        <w:t>prihod</w:t>
      </w:r>
      <w:r w:rsidR="0065150F">
        <w:t>a</w:t>
      </w:r>
      <w:r w:rsidR="0065150F" w:rsidRPr="002F1EEF">
        <w:t xml:space="preserve"> od prodaje emisijskih jedinica iz EU</w:t>
      </w:r>
      <w:r w:rsidR="0065150F" w:rsidRPr="00B47BDA" w:rsidDel="0065150F">
        <w:rPr>
          <w:lang w:eastAsia="hr-HR"/>
        </w:rPr>
        <w:t xml:space="preserve"> </w:t>
      </w:r>
      <w:r w:rsidRPr="00B47BDA">
        <w:rPr>
          <w:lang w:eastAsia="hr-HR"/>
        </w:rPr>
        <w:t>ETS-a razmotrit će se mogućnosti financiranje ostvarenih smanjenja emisija u LULUCF sektoru, dodatno u odnosu na SP ZPP, a imajući u vidu i budući sustav certifikacije spremišta ugljika. U sektoru šumarstva bi</w:t>
      </w:r>
      <w:r w:rsidR="006B65AD" w:rsidRPr="00B47BDA">
        <w:rPr>
          <w:lang w:eastAsia="hr-HR"/>
        </w:rPr>
        <w:t>t</w:t>
      </w:r>
      <w:r w:rsidRPr="00B47BDA">
        <w:rPr>
          <w:lang w:eastAsia="hr-HR"/>
        </w:rPr>
        <w:t xml:space="preserve"> će potrebne promjene s obzirom na postojeće planove koje bi mogle imati ekonomske i sociološke posljedice. LULUCF sektor je povezan s ruralnim razvojem i ovi poticaji imaju snažno horizontalno djelovanje.</w:t>
      </w:r>
    </w:p>
    <w:p w14:paraId="322234D7" w14:textId="736C00E5" w:rsidR="00C21988" w:rsidRPr="00B47BDA" w:rsidRDefault="00BA4CD9" w:rsidP="005C2C7E">
      <w:pPr>
        <w:pStyle w:val="Heading3"/>
        <w:numPr>
          <w:ilvl w:val="2"/>
          <w:numId w:val="175"/>
        </w:numPr>
      </w:pPr>
      <w:bookmarkStart w:id="433" w:name="_Toc531935155"/>
      <w:bookmarkStart w:id="434" w:name="_Toc531945105"/>
      <w:bookmarkStart w:id="435" w:name="_Toc6302362"/>
      <w:r w:rsidRPr="00B47BDA">
        <w:lastRenderedPageBreak/>
        <w:tab/>
      </w:r>
      <w:bookmarkStart w:id="436" w:name="_Toc187418346"/>
      <w:bookmarkStart w:id="437" w:name="_Toc193043271"/>
      <w:r w:rsidR="00C21988" w:rsidRPr="00B47BDA">
        <w:t>Energija iz obnovljivih izvora</w:t>
      </w:r>
      <w:bookmarkEnd w:id="433"/>
      <w:bookmarkEnd w:id="434"/>
      <w:bookmarkEnd w:id="435"/>
      <w:bookmarkEnd w:id="436"/>
      <w:bookmarkEnd w:id="437"/>
      <w:r w:rsidR="00C21988" w:rsidRPr="00B47BDA">
        <w:t xml:space="preserve"> </w:t>
      </w:r>
    </w:p>
    <w:p w14:paraId="1246FFA8" w14:textId="432995E7" w:rsidR="00C27D38" w:rsidRPr="00B47BDA" w:rsidRDefault="008E5A75" w:rsidP="63259912">
      <w:pPr>
        <w:pStyle w:val="Heading4"/>
        <w:ind w:hanging="580"/>
      </w:pPr>
      <w:r w:rsidRPr="63259912">
        <w:t>Politike i mjere za ostvarivanje nacionalnog doprinosa obvezujućem cilju na razini Unije za 2030. u pogledu energije iz obnovljivih izvora i putanja iz članka 4. točke (a) podtočke 2. i, ako je primjenjivo i dostupno, elemenata iz točke 2.1.2., uključujući mjere specifične za sektor i mjere specifične za tehnologiju</w:t>
      </w:r>
      <w:r w:rsidR="00C27D38" w:rsidRPr="63259912">
        <w:t xml:space="preserve"> </w:t>
      </w:r>
    </w:p>
    <w:p w14:paraId="24E6F5E8" w14:textId="3F149A62" w:rsidR="00AB538B" w:rsidRPr="00B47BDA" w:rsidRDefault="00AB538B" w:rsidP="00EE67E0">
      <w:pPr>
        <w:pStyle w:val="Mjeranaslov"/>
      </w:pPr>
      <w:r w:rsidRPr="00B47BDA">
        <w:t>OIE-1</w:t>
      </w:r>
      <w:r w:rsidR="00813BD2">
        <w:t xml:space="preserve"> </w:t>
      </w:r>
      <w:r w:rsidRPr="00B47BDA">
        <w:t>Informiranje, edukacija i povećanje kapaciteta za korištenje OIE</w:t>
      </w:r>
    </w:p>
    <w:p w14:paraId="4B749CF2" w14:textId="17D567C7" w:rsidR="00AB538B" w:rsidRPr="00B47BDA" w:rsidRDefault="00AB538B" w:rsidP="004623DD">
      <w:pPr>
        <w:pStyle w:val="NormalWeb"/>
      </w:pPr>
      <w:r w:rsidRPr="00B47BDA">
        <w:t>Informacijska mjera; provedba 2021.-2030.</w:t>
      </w:r>
    </w:p>
    <w:p w14:paraId="03066063" w14:textId="06D36CCC" w:rsidR="00AB538B" w:rsidRPr="00B47BDA" w:rsidRDefault="00AB538B" w:rsidP="004623DD">
      <w:pPr>
        <w:pStyle w:val="NormalWeb"/>
      </w:pPr>
      <w:r w:rsidRPr="00B47BDA">
        <w:rPr>
          <w:b/>
        </w:rPr>
        <w:t>Cilj i opis mjere:</w:t>
      </w:r>
      <w:r w:rsidRPr="00B47BDA">
        <w:t xml:space="preserve"> Informiranje </w:t>
      </w:r>
      <w:r w:rsidR="004820AD" w:rsidRPr="00B47BDA">
        <w:t xml:space="preserve">svih relevantnih dionika </w:t>
      </w:r>
      <w:r w:rsidRPr="00B47BDA">
        <w:t>provodit će se organizacijom ciljanih info-kampanja vezanih uz investiranje u sustave koji koriste obnovljive izvore energije, posebice u sustave namijenjene za vlastite potrebe. Informiranje, edukacija i povećanje kapaciteta za korištenje OIE će se provoditi na nacionalnoj razini, a ciljani sektori su energetski sektor (NACE kod D), primarni sektor (NACE kod A), prerađivačka industrija (NACE kod C), građevinska industrija (NACE kod F) te stanovništvo RH (opća populacija).</w:t>
      </w:r>
      <w:r w:rsidR="00CC6367" w:rsidRPr="00B47BDA">
        <w:t xml:space="preserve"> </w:t>
      </w:r>
    </w:p>
    <w:p w14:paraId="26AC7954" w14:textId="77777777" w:rsidR="00AB538B" w:rsidRPr="00B47BDA" w:rsidRDefault="00AB538B" w:rsidP="004623DD">
      <w:pPr>
        <w:pStyle w:val="NormalWeb"/>
      </w:pPr>
      <w:r w:rsidRPr="00B47BDA">
        <w:rPr>
          <w:b/>
        </w:rPr>
        <w:t>Aktivnosti:</w:t>
      </w:r>
      <w:r w:rsidRPr="00B47BDA">
        <w:t xml:space="preserve"> U okviru mjere provest će se sljedeće aktivnosti: </w:t>
      </w:r>
    </w:p>
    <w:p w14:paraId="41B74A4F" w14:textId="6C14FEB9" w:rsidR="00AB538B" w:rsidRPr="00B47BDA" w:rsidRDefault="00C35B1A" w:rsidP="00A07072">
      <w:pPr>
        <w:pStyle w:val="ListParagraph"/>
        <w:numPr>
          <w:ilvl w:val="0"/>
          <w:numId w:val="51"/>
        </w:numPr>
        <w:spacing w:after="60"/>
        <w:ind w:left="714" w:hanging="357"/>
      </w:pPr>
      <w:r>
        <w:t>I</w:t>
      </w:r>
      <w:r w:rsidR="00392501" w:rsidRPr="00B47BDA">
        <w:t xml:space="preserve">nformativne kampanje </w:t>
      </w:r>
      <w:r w:rsidR="007D25F1" w:rsidRPr="00B47BDA">
        <w:t>(</w:t>
      </w:r>
      <w:r w:rsidR="00F53632" w:rsidRPr="00B47BDA">
        <w:t xml:space="preserve">podizanje razine svijesti </w:t>
      </w:r>
      <w:r w:rsidR="00D358D6" w:rsidRPr="00B47BDA">
        <w:t>o dobrobitima OIE tehnologij</w:t>
      </w:r>
      <w:r w:rsidR="009F26B1" w:rsidRPr="00B47BDA">
        <w:t xml:space="preserve">a kroz edukaciju i </w:t>
      </w:r>
      <w:r w:rsidR="00392501" w:rsidRPr="00B47BDA">
        <w:t>promociju</w:t>
      </w:r>
      <w:r w:rsidR="00AB538B" w:rsidRPr="00B47BDA">
        <w:t xml:space="preserve"> </w:t>
      </w:r>
      <w:r w:rsidR="00392501" w:rsidRPr="00B47BDA">
        <w:t>primjera dobrih</w:t>
      </w:r>
      <w:r w:rsidR="00AB538B" w:rsidRPr="00B47BDA">
        <w:t xml:space="preserve"> praks</w:t>
      </w:r>
      <w:r w:rsidR="00392501" w:rsidRPr="00B47BDA">
        <w:t>i s naglaskom na</w:t>
      </w:r>
      <w:r w:rsidR="00AB538B" w:rsidRPr="00B47BDA">
        <w:t xml:space="preserve"> male projekte do 500 kW);</w:t>
      </w:r>
    </w:p>
    <w:p w14:paraId="2FAA8B6C" w14:textId="11568FB5" w:rsidR="00AB538B" w:rsidRPr="00B47BDA" w:rsidRDefault="00C35B1A" w:rsidP="00A07072">
      <w:pPr>
        <w:pStyle w:val="ListParagraph"/>
        <w:numPr>
          <w:ilvl w:val="0"/>
          <w:numId w:val="51"/>
        </w:numPr>
        <w:spacing w:after="60"/>
        <w:ind w:left="714" w:hanging="357"/>
      </w:pPr>
      <w:r>
        <w:t>I</w:t>
      </w:r>
      <w:r w:rsidR="00AB538B" w:rsidRPr="00B47BDA">
        <w:t>mplementacija odgojnih i obrazovnih programa o korištenju OIE u vrtićima i školama;</w:t>
      </w:r>
    </w:p>
    <w:p w14:paraId="6B5EA147" w14:textId="22D6E10E" w:rsidR="0057215B" w:rsidRPr="00B47BDA" w:rsidRDefault="00C35B1A" w:rsidP="00A07072">
      <w:pPr>
        <w:pStyle w:val="ListParagraph"/>
        <w:numPr>
          <w:ilvl w:val="0"/>
          <w:numId w:val="51"/>
        </w:numPr>
        <w:spacing w:after="60"/>
        <w:ind w:left="714" w:hanging="357"/>
      </w:pPr>
      <w:r w:rsidRPr="63259912">
        <w:t>P</w:t>
      </w:r>
      <w:r w:rsidR="000E41F5" w:rsidRPr="63259912">
        <w:t xml:space="preserve">romocija akreditiranih studijskih programa iz područja </w:t>
      </w:r>
      <w:r w:rsidR="00E62975" w:rsidRPr="63259912">
        <w:t>obnovljivih izvora energije (</w:t>
      </w:r>
      <w:r w:rsidR="00982F30" w:rsidRPr="63259912">
        <w:t xml:space="preserve">uz </w:t>
      </w:r>
      <w:r w:rsidR="0089472A" w:rsidRPr="63259912">
        <w:t>opće energetske/OIE studije naglasak je i na specifičnim st</w:t>
      </w:r>
      <w:r w:rsidR="00010DBB" w:rsidRPr="63259912">
        <w:t>r</w:t>
      </w:r>
      <w:r w:rsidR="0089472A" w:rsidRPr="63259912">
        <w:t xml:space="preserve">ukama kao što su primjerice </w:t>
      </w:r>
      <w:r w:rsidR="000E41F5" w:rsidRPr="63259912">
        <w:t>geoenergij</w:t>
      </w:r>
      <w:r w:rsidR="0089472A" w:rsidRPr="63259912">
        <w:t>a</w:t>
      </w:r>
      <w:r w:rsidR="00AE45EF" w:rsidRPr="63259912">
        <w:t>,</w:t>
      </w:r>
      <w:r w:rsidR="000E41F5" w:rsidRPr="63259912">
        <w:t xml:space="preserve"> geoinženjerstv</w:t>
      </w:r>
      <w:r w:rsidR="0089472A" w:rsidRPr="63259912">
        <w:t>o</w:t>
      </w:r>
      <w:r w:rsidR="00AE45EF" w:rsidRPr="63259912">
        <w:t>, bioekonomija i sl.</w:t>
      </w:r>
      <w:r w:rsidR="0089472A" w:rsidRPr="63259912">
        <w:t>)</w:t>
      </w:r>
      <w:r w:rsidR="006132CE" w:rsidRPr="63259912">
        <w:t>;</w:t>
      </w:r>
    </w:p>
    <w:p w14:paraId="6121CAE5" w14:textId="2CA19902" w:rsidR="007D25F1" w:rsidRPr="00B47BDA" w:rsidRDefault="00C35B1A" w:rsidP="00A07072">
      <w:pPr>
        <w:pStyle w:val="ListParagraph"/>
        <w:numPr>
          <w:ilvl w:val="0"/>
          <w:numId w:val="51"/>
        </w:numPr>
        <w:spacing w:after="60"/>
        <w:ind w:left="714" w:hanging="357"/>
      </w:pPr>
      <w:r w:rsidRPr="63259912">
        <w:t>T</w:t>
      </w:r>
      <w:r w:rsidR="007D25F1" w:rsidRPr="63259912">
        <w:t xml:space="preserve">rening programi </w:t>
      </w:r>
      <w:r w:rsidR="00FB07AF" w:rsidRPr="63259912">
        <w:t>kojima se promi</w:t>
      </w:r>
      <w:r w:rsidR="006D2CB1" w:rsidRPr="63259912">
        <w:t xml:space="preserve">če </w:t>
      </w:r>
      <w:r w:rsidR="00720DF3" w:rsidRPr="63259912">
        <w:t xml:space="preserve">projektiranje, izvođenje i </w:t>
      </w:r>
      <w:r w:rsidR="006D2CB1" w:rsidRPr="63259912">
        <w:t>korištenje OIE sustava u građevinama (fotonaponski sustavi, sunčani toplinski sustavi, dizalice topline, peći i kotlovi na biomasu</w:t>
      </w:r>
      <w:r w:rsidR="00EA5419" w:rsidRPr="63259912">
        <w:t>, bioplin/biometan</w:t>
      </w:r>
      <w:r w:rsidR="00641564" w:rsidRPr="63259912">
        <w:t>, biopropan</w:t>
      </w:r>
      <w:r w:rsidR="007E6723" w:rsidRPr="63259912">
        <w:t>, bio</w:t>
      </w:r>
      <w:r w:rsidR="00641564" w:rsidRPr="63259912">
        <w:t>butan</w:t>
      </w:r>
      <w:r w:rsidR="006D2CB1" w:rsidRPr="63259912">
        <w:t>);</w:t>
      </w:r>
    </w:p>
    <w:p w14:paraId="022ADDAD" w14:textId="545601F0" w:rsidR="00C82FC1" w:rsidRPr="00B47BDA" w:rsidRDefault="00C35B1A" w:rsidP="00A07072">
      <w:pPr>
        <w:pStyle w:val="ListParagraph"/>
        <w:numPr>
          <w:ilvl w:val="0"/>
          <w:numId w:val="51"/>
        </w:numPr>
        <w:spacing w:after="60"/>
        <w:ind w:left="714" w:hanging="357"/>
      </w:pPr>
      <w:r>
        <w:t>E</w:t>
      </w:r>
      <w:r w:rsidR="00784A0D" w:rsidRPr="00B47BDA">
        <w:t>dukacija i promocija upotrebe geotermalne energije za toplinske potrebe;</w:t>
      </w:r>
    </w:p>
    <w:p w14:paraId="7594EBB0" w14:textId="5CBCACBE" w:rsidR="00A412B5" w:rsidRPr="00B47BDA" w:rsidRDefault="00C35B1A" w:rsidP="00A07072">
      <w:pPr>
        <w:pStyle w:val="ListParagraph"/>
        <w:numPr>
          <w:ilvl w:val="0"/>
          <w:numId w:val="51"/>
        </w:numPr>
        <w:spacing w:after="60"/>
        <w:ind w:left="714" w:hanging="357"/>
      </w:pPr>
      <w:r>
        <w:t>U</w:t>
      </w:r>
      <w:r w:rsidR="00A412B5" w:rsidRPr="00B47BDA">
        <w:t>spostava i organizacija savjetodavne službe s uključenim iskusnim stručnjacima iz prakse, posebno za male projekte (do 500 kW);</w:t>
      </w:r>
    </w:p>
    <w:p w14:paraId="4BC6319D" w14:textId="6C19D8E5" w:rsidR="00AB538B" w:rsidRPr="00B47BDA" w:rsidRDefault="00C35B1A" w:rsidP="00A07072">
      <w:pPr>
        <w:pStyle w:val="ListParagraph"/>
        <w:numPr>
          <w:ilvl w:val="0"/>
          <w:numId w:val="51"/>
        </w:numPr>
        <w:spacing w:after="60"/>
        <w:ind w:left="714" w:hanging="357"/>
      </w:pPr>
      <w:r>
        <w:t>I</w:t>
      </w:r>
      <w:r w:rsidR="00803F97" w:rsidRPr="00B47BDA">
        <w:t>zrada internetskog alata</w:t>
      </w:r>
      <w:r w:rsidR="00911954" w:rsidRPr="00B47BDA">
        <w:t xml:space="preserve">, </w:t>
      </w:r>
      <w:r w:rsidR="004A3559" w:rsidRPr="00B47BDA">
        <w:t>publikacija</w:t>
      </w:r>
      <w:r w:rsidR="00803F97" w:rsidRPr="00B47BDA">
        <w:t xml:space="preserve"> </w:t>
      </w:r>
      <w:r w:rsidR="00A35740" w:rsidRPr="00B47BDA">
        <w:t xml:space="preserve">i </w:t>
      </w:r>
      <w:r w:rsidR="004A3559" w:rsidRPr="00B47BDA">
        <w:t>drugih</w:t>
      </w:r>
      <w:r w:rsidR="00A35740" w:rsidRPr="00B47BDA">
        <w:t xml:space="preserve"> suvremenih komunikacijskih alata</w:t>
      </w:r>
      <w:r w:rsidR="00803F97" w:rsidRPr="00B47BDA">
        <w:t xml:space="preserve"> kojim</w:t>
      </w:r>
      <w:r w:rsidR="00A35740" w:rsidRPr="00B47BDA">
        <w:t>a</w:t>
      </w:r>
      <w:r w:rsidR="00803F97" w:rsidRPr="00B47BDA">
        <w:t xml:space="preserve"> bi bile dostupne sve relevantne </w:t>
      </w:r>
      <w:r w:rsidR="00AB538B" w:rsidRPr="00B47BDA">
        <w:t>informacije o administrativnoj proceduri, akreditiranoj opremi i certificiranim instalaterima;</w:t>
      </w:r>
    </w:p>
    <w:p w14:paraId="6E945BED" w14:textId="5C7BEC58" w:rsidR="00AB538B" w:rsidRPr="00B47BDA" w:rsidRDefault="00C35B1A" w:rsidP="00A07072">
      <w:pPr>
        <w:pStyle w:val="ListParagraph"/>
        <w:numPr>
          <w:ilvl w:val="0"/>
          <w:numId w:val="51"/>
        </w:numPr>
        <w:spacing w:after="60"/>
        <w:ind w:left="714" w:hanging="357"/>
      </w:pPr>
      <w:r w:rsidRPr="63259912">
        <w:t>I</w:t>
      </w:r>
      <w:r w:rsidR="00AB538B" w:rsidRPr="63259912">
        <w:t>zgradnj</w:t>
      </w:r>
      <w:r w:rsidR="0035758B" w:rsidRPr="63259912">
        <w:t>a</w:t>
      </w:r>
      <w:r w:rsidR="00AB538B" w:rsidRPr="63259912">
        <w:t xml:space="preserve"> i povećanje kapaciteta kod svih dionika tržišta (</w:t>
      </w:r>
      <w:r w:rsidR="00591613" w:rsidRPr="63259912">
        <w:t>aktivni kupci</w:t>
      </w:r>
      <w:r w:rsidR="00AB538B" w:rsidRPr="63259912">
        <w:t>,</w:t>
      </w:r>
      <w:r w:rsidR="002559BC" w:rsidRPr="63259912">
        <w:t xml:space="preserve"> energetske zajednice, zajednice obnovljive energije,</w:t>
      </w:r>
      <w:r w:rsidR="00AB538B" w:rsidRPr="63259912">
        <w:t xml:space="preserve"> opskrbljivači energijom, agregatori, operatori sustava, instalateri);</w:t>
      </w:r>
    </w:p>
    <w:p w14:paraId="0109CF84" w14:textId="50ABEB38" w:rsidR="00AB669C" w:rsidRPr="00B47BDA" w:rsidRDefault="00C35B1A" w:rsidP="00A07072">
      <w:pPr>
        <w:pStyle w:val="ListParagraph"/>
        <w:numPr>
          <w:ilvl w:val="0"/>
          <w:numId w:val="51"/>
        </w:numPr>
        <w:spacing w:after="60"/>
        <w:ind w:left="714" w:hanging="357"/>
      </w:pPr>
      <w:r>
        <w:t>P</w:t>
      </w:r>
      <w:r w:rsidR="00AB669C" w:rsidRPr="00B47BDA">
        <w:t xml:space="preserve">romocija </w:t>
      </w:r>
      <w:r w:rsidR="00241C1F" w:rsidRPr="00B47BDA">
        <w:t>novih financijskih mehanizama k</w:t>
      </w:r>
      <w:r w:rsidR="00AB669C" w:rsidRPr="00B47BDA">
        <w:t>ojima</w:t>
      </w:r>
      <w:r w:rsidR="00241C1F" w:rsidRPr="00B47BDA">
        <w:t xml:space="preserve"> se </w:t>
      </w:r>
      <w:r w:rsidR="00AB669C" w:rsidRPr="00B47BDA">
        <w:t xml:space="preserve">povećavaju OIE kapaciteti </w:t>
      </w:r>
    </w:p>
    <w:p w14:paraId="4C979207" w14:textId="631C96EA" w:rsidR="00AB538B" w:rsidRPr="00B47BDA" w:rsidRDefault="00C35B1A" w:rsidP="00A07072">
      <w:pPr>
        <w:pStyle w:val="ListParagraph"/>
        <w:numPr>
          <w:ilvl w:val="0"/>
          <w:numId w:val="51"/>
        </w:numPr>
        <w:spacing w:after="60"/>
        <w:ind w:left="714" w:hanging="357"/>
      </w:pPr>
      <w:r>
        <w:t>P</w:t>
      </w:r>
      <w:r w:rsidR="00AB538B" w:rsidRPr="00B47BDA">
        <w:t>romocija korporativnih ugovora o otkupu za veće projekte koji su cijenom vezani uz tržište;</w:t>
      </w:r>
    </w:p>
    <w:p w14:paraId="6DC9E4FE" w14:textId="535162B5" w:rsidR="00AB538B" w:rsidRPr="00B47BDA" w:rsidRDefault="00C35B1A" w:rsidP="00A07072">
      <w:pPr>
        <w:pStyle w:val="ListParagraph"/>
        <w:numPr>
          <w:ilvl w:val="0"/>
          <w:numId w:val="51"/>
        </w:numPr>
        <w:spacing w:after="60"/>
        <w:ind w:left="714" w:hanging="357"/>
      </w:pPr>
      <w:r>
        <w:t>S</w:t>
      </w:r>
      <w:r w:rsidR="00AB538B" w:rsidRPr="00B47BDA">
        <w:t>avjetovanje s financijskim sektorom, promocija dobre prakse i edukacija, za veće projekte.</w:t>
      </w:r>
    </w:p>
    <w:p w14:paraId="7562C4EE" w14:textId="053CDF64" w:rsidR="00AB538B" w:rsidRPr="00B47BDA" w:rsidRDefault="00AB538B" w:rsidP="004623DD">
      <w:pPr>
        <w:pStyle w:val="NormalWeb"/>
      </w:pPr>
      <w:r w:rsidRPr="00EE67E0">
        <w:rPr>
          <w:b/>
          <w:bCs/>
        </w:rPr>
        <w:lastRenderedPageBreak/>
        <w:t>Sredstva potrebna za provedbu:</w:t>
      </w:r>
      <w:r w:rsidRPr="00B47BDA">
        <w:t xml:space="preserve"> oko </w:t>
      </w:r>
      <w:r w:rsidR="001879C4" w:rsidRPr="00B47BDA">
        <w:t>1</w:t>
      </w:r>
      <w:r w:rsidRPr="00B47BDA">
        <w:t xml:space="preserve"> milijun </w:t>
      </w:r>
      <w:r w:rsidR="001879C4" w:rsidRPr="00B47BDA">
        <w:t>EUR</w:t>
      </w:r>
      <w:r w:rsidRPr="00B47BDA">
        <w:t xml:space="preserve"> godišnje</w:t>
      </w:r>
    </w:p>
    <w:p w14:paraId="6929C496" w14:textId="646C832F" w:rsidR="00AB538B" w:rsidRPr="00B47BDA" w:rsidRDefault="00AB538B" w:rsidP="004623DD">
      <w:pPr>
        <w:pStyle w:val="NormalWeb"/>
      </w:pPr>
      <w:r w:rsidRPr="00B47BDA">
        <w:rPr>
          <w:b/>
        </w:rPr>
        <w:t xml:space="preserve">Izvori financiranja: </w:t>
      </w:r>
      <w:r w:rsidR="00413278">
        <w:t>P</w:t>
      </w:r>
      <w:r w:rsidR="0065150F" w:rsidRPr="002F1EEF">
        <w:t>rihodi od prodaje emisijskih jedinica iz EU ETS-a</w:t>
      </w:r>
      <w:r w:rsidR="0065150F">
        <w:t xml:space="preserve"> </w:t>
      </w:r>
      <w:r w:rsidRPr="00B47BDA">
        <w:t xml:space="preserve"> i sredstva EU.</w:t>
      </w:r>
    </w:p>
    <w:p w14:paraId="5C38D045" w14:textId="666560CE" w:rsidR="00AB538B" w:rsidRPr="00B47BDA" w:rsidRDefault="00AB538B" w:rsidP="004623DD">
      <w:pPr>
        <w:pStyle w:val="NormalWeb"/>
      </w:pPr>
      <w:r w:rsidRPr="63259912">
        <w:rPr>
          <w:b/>
          <w:bCs/>
        </w:rPr>
        <w:t>Izvršno</w:t>
      </w:r>
      <w:r w:rsidR="0086358F" w:rsidRPr="63259912">
        <w:rPr>
          <w:b/>
          <w:bCs/>
        </w:rPr>
        <w:t xml:space="preserve"> </w:t>
      </w:r>
      <w:r w:rsidRPr="63259912">
        <w:rPr>
          <w:b/>
          <w:bCs/>
        </w:rPr>
        <w:t>tijelo:</w:t>
      </w:r>
      <w:r w:rsidRPr="63259912">
        <w:t xml:space="preserve"> </w:t>
      </w:r>
      <w:r w:rsidR="00BB0462" w:rsidRPr="63259912">
        <w:rPr>
          <w:lang w:eastAsia="hr-HR"/>
        </w:rPr>
        <w:t>Ministarstvo zaštite okoliša i zelene tranzicije</w:t>
      </w:r>
      <w:r w:rsidRPr="63259912">
        <w:t xml:space="preserve"> – provedba i pokroviteljstvo nad programima edukacije i promocije, organizacija savjetodavne službe, osmišljavanje novih poslovnih modela za realizaciju bioplinskih postrojenja i kogeneracija na biomasu; FZOEU – osiguravanje dijela sredstava, sudjelovanje na aktivnostima promocije i edukacije</w:t>
      </w:r>
      <w:r w:rsidR="005D6121" w:rsidRPr="63259912">
        <w:t xml:space="preserve"> te promocija novih financijskih mehanizama kojima se povećavaju OIE kapaciteti, namijenjenih skupinama građana u riziku od energetskog siromaštva</w:t>
      </w:r>
      <w:r w:rsidRPr="63259912">
        <w:t xml:space="preserve">; </w:t>
      </w:r>
      <w:r w:rsidR="009F1C94" w:rsidRPr="63259912">
        <w:rPr>
          <w:rFonts w:eastAsia="Calibri"/>
        </w:rPr>
        <w:t>MPGI</w:t>
      </w:r>
      <w:r w:rsidR="00A429ED" w:rsidRPr="63259912">
        <w:t xml:space="preserve"> </w:t>
      </w:r>
      <w:r w:rsidRPr="63259912">
        <w:t>– promocija korištenja sustava OIE u građevinama</w:t>
      </w:r>
      <w:r w:rsidR="00400C6D" w:rsidRPr="63259912">
        <w:t xml:space="preserve">; </w:t>
      </w:r>
      <w:r w:rsidR="00650C55" w:rsidRPr="63259912">
        <w:t xml:space="preserve">AZU: </w:t>
      </w:r>
      <w:r w:rsidR="00034044" w:rsidRPr="63259912">
        <w:t>promocija uporabe geotermalne energije</w:t>
      </w:r>
      <w:r w:rsidR="00400C6D" w:rsidRPr="63259912">
        <w:t>; HGK – promocija korištenja sustava OIE poduzetnicima</w:t>
      </w:r>
      <w:r w:rsidR="0090439A" w:rsidRPr="63259912">
        <w:t xml:space="preserve">; HEP ODS – promocija dosada izgrađenih </w:t>
      </w:r>
      <w:r w:rsidR="002F02CC" w:rsidRPr="63259912">
        <w:t xml:space="preserve">malih OIE </w:t>
      </w:r>
      <w:r w:rsidR="0090439A" w:rsidRPr="63259912">
        <w:t>kapaciteta s naglaskom na pozitivan utjecaj istih na mrežu</w:t>
      </w:r>
      <w:r w:rsidR="00D75CA6" w:rsidRPr="63259912">
        <w:t xml:space="preserve"> (smanjenje vršnih opterećenja, i sl.)</w:t>
      </w:r>
      <w:r w:rsidR="0079138C" w:rsidRPr="63259912">
        <w:t xml:space="preserve">; </w:t>
      </w:r>
      <w:r w:rsidRPr="63259912">
        <w:t>MP</w:t>
      </w:r>
      <w:r w:rsidR="009A093F">
        <w:t>S</w:t>
      </w:r>
      <w:r w:rsidRPr="63259912">
        <w:t xml:space="preserve"> u suradnji s JLS – promocija i opskrba biomase za potrebe biogospodarstva, dekarbonizacija stočarstva, razvoj biogospodarstva; Opskrbljivači – promocija korporativnih ugovora; JLS – </w:t>
      </w:r>
      <w:r w:rsidR="0029543D" w:rsidRPr="63259912">
        <w:t xml:space="preserve">promocija </w:t>
      </w:r>
      <w:r w:rsidRPr="63259912">
        <w:t>OIE u vrtićima i školama</w:t>
      </w:r>
      <w:r w:rsidR="0027355E" w:rsidRPr="63259912">
        <w:t>.</w:t>
      </w:r>
    </w:p>
    <w:p w14:paraId="0A9AC841" w14:textId="6483C5C6" w:rsidR="00AB538B" w:rsidRPr="00B47BDA" w:rsidRDefault="00AB538B" w:rsidP="004623DD">
      <w:pPr>
        <w:pStyle w:val="NormalWeb"/>
      </w:pPr>
      <w:r w:rsidRPr="00EE67E0">
        <w:rPr>
          <w:b/>
          <w:bCs/>
        </w:rPr>
        <w:t>Tijela za praćenje:</w:t>
      </w:r>
      <w:r w:rsidRPr="00B47BDA">
        <w:t xml:space="preserve"> M</w:t>
      </w:r>
      <w:r w:rsidR="0086358F" w:rsidRPr="00B47BDA">
        <w:t>INGO</w:t>
      </w:r>
    </w:p>
    <w:p w14:paraId="6F012048" w14:textId="77777777" w:rsidR="00AB538B" w:rsidRPr="00B47BDA" w:rsidRDefault="00AB538B" w:rsidP="004623DD">
      <w:pPr>
        <w:pStyle w:val="NormalWeb"/>
      </w:pPr>
      <w:r w:rsidRPr="00B47BDA">
        <w:rPr>
          <w:b/>
        </w:rPr>
        <w:t xml:space="preserve">Učinak: </w:t>
      </w:r>
      <w:r w:rsidRPr="00B47BDA">
        <w:t>Povećanje proizvodnje energije i udjela OIE u ukupnoj potrošnji energije te smanjenje emisija stakleničkih plinova iz energetike i navedenih ciljanih sektora. Povećanje broja zainteresiranih građana za korištenje OIE.</w:t>
      </w:r>
    </w:p>
    <w:p w14:paraId="19404C9D" w14:textId="4330791A" w:rsidR="00AB538B" w:rsidRPr="00B47BDA" w:rsidRDefault="00AB538B" w:rsidP="004623DD">
      <w:pPr>
        <w:pStyle w:val="NormalWeb"/>
      </w:pPr>
      <w:r w:rsidRPr="00B47BDA">
        <w:rPr>
          <w:b/>
        </w:rPr>
        <w:t>Metoda praćenja:</w:t>
      </w:r>
      <w:r w:rsidRPr="00B47BDA">
        <w:t xml:space="preserve"> </w:t>
      </w:r>
      <w:r w:rsidR="000C19EE" w:rsidRPr="00B47BDA">
        <w:t>Broj događanja, broj korisnika</w:t>
      </w:r>
      <w:r w:rsidR="00C35B1A">
        <w:t>.</w:t>
      </w:r>
    </w:p>
    <w:p w14:paraId="52C7F096" w14:textId="77777777" w:rsidR="00AB538B" w:rsidRPr="00B47BDA" w:rsidRDefault="00AB538B" w:rsidP="004623DD">
      <w:pPr>
        <w:pStyle w:val="NormalWeb"/>
        <w:rPr>
          <w:b/>
        </w:rPr>
      </w:pPr>
      <w:r w:rsidRPr="00B47BDA">
        <w:rPr>
          <w:b/>
        </w:rPr>
        <w:t xml:space="preserve">Povezanost s drugim dimenzijama: </w:t>
      </w:r>
      <w:r w:rsidRPr="00B47BDA">
        <w:t>Mjera je povezana s dimenzijom povećanja energetske sigurnosti i razvoja unutarnjeg energetskog tržišta. Mjeru je moguće povezati i s dimenzijom energetske učinkovitosti kroz promociju korištenja OIE na građevinama, uz mjere energetske učinkovitosti.</w:t>
      </w:r>
    </w:p>
    <w:p w14:paraId="7658FBB2" w14:textId="32D2DEDB" w:rsidR="008856C1" w:rsidRPr="00BF24C1" w:rsidRDefault="00AB538B" w:rsidP="004623DD">
      <w:pPr>
        <w:pStyle w:val="NormalWeb"/>
      </w:pPr>
      <w:r w:rsidRPr="00B47BDA">
        <w:rPr>
          <w:b/>
        </w:rPr>
        <w:t>Istraživanje i razvoj</w:t>
      </w:r>
      <w:r w:rsidRPr="00B47BDA">
        <w:t xml:space="preserve">: </w:t>
      </w:r>
      <w:r w:rsidR="003C53F6" w:rsidRPr="00B47BDA">
        <w:t>Informiranje, edukacija i povećanje kapaciteta za korištenje OIE nije izravno povezano s istraživanjem i razvojem.</w:t>
      </w:r>
    </w:p>
    <w:p w14:paraId="76B866E0" w14:textId="448DC299" w:rsidR="006326BF" w:rsidRPr="00B47BDA" w:rsidRDefault="00AB538B" w:rsidP="00EE67E0">
      <w:pPr>
        <w:pStyle w:val="Mjeranaslov"/>
      </w:pPr>
      <w:bookmarkStart w:id="438" w:name="_Hlk132970059"/>
      <w:r w:rsidRPr="00B47BDA">
        <w:t xml:space="preserve">OIE-2 </w:t>
      </w:r>
      <w:r w:rsidR="006326BF" w:rsidRPr="00B47BDA">
        <w:t>Prostorno-planski preduvjeti za korištenje OIE</w:t>
      </w:r>
    </w:p>
    <w:p w14:paraId="1B4FA25A" w14:textId="77777777" w:rsidR="006326BF" w:rsidRPr="00A07072" w:rsidRDefault="006326BF" w:rsidP="004623DD">
      <w:pPr>
        <w:pStyle w:val="NormalWeb"/>
        <w:rPr>
          <w:rFonts w:cs="Calibri"/>
        </w:rPr>
      </w:pPr>
      <w:r w:rsidRPr="00A07072">
        <w:rPr>
          <w:rFonts w:cs="Calibri"/>
        </w:rPr>
        <w:t>Regulatorna mjera; provedba 2021.-2026.</w:t>
      </w:r>
    </w:p>
    <w:p w14:paraId="59141DA7" w14:textId="67F28D79" w:rsidR="006326BF" w:rsidRPr="00A07072" w:rsidRDefault="006326BF" w:rsidP="004623DD">
      <w:pPr>
        <w:pStyle w:val="NormalWeb"/>
        <w:rPr>
          <w:rFonts w:cs="Calibri"/>
        </w:rPr>
      </w:pPr>
      <w:r w:rsidRPr="00A07072">
        <w:rPr>
          <w:rFonts w:cs="Calibri"/>
          <w:b/>
        </w:rPr>
        <w:t>Cilj i opis mjere:</w:t>
      </w:r>
      <w:r w:rsidRPr="00A07072">
        <w:rPr>
          <w:rFonts w:cs="Calibri"/>
        </w:rPr>
        <w:t xml:space="preserve"> Analiza postojećeg stanja prostornih kapaciteta, definiranje smjernica i kriterija specifičnih prostorno-planskih elemenata za planiranje OIE na državnoj, županijskoj i lokalnoj razini</w:t>
      </w:r>
      <w:r w:rsidR="006F4068" w:rsidRPr="00A07072">
        <w:rPr>
          <w:rFonts w:cs="Calibri"/>
        </w:rPr>
        <w:t xml:space="preserve">, nastavno na </w:t>
      </w:r>
      <w:r w:rsidR="00260590" w:rsidRPr="00A07072">
        <w:rPr>
          <w:rFonts w:cs="Calibri"/>
        </w:rPr>
        <w:t xml:space="preserve">provedene aktivnosti stručne podloge „Analiza prostornih </w:t>
      </w:r>
      <w:r w:rsidR="00260590" w:rsidRPr="00A07072">
        <w:rPr>
          <w:rFonts w:cs="Calibri"/>
        </w:rPr>
        <w:lastRenderedPageBreak/>
        <w:t>kapaciteta i uvjeta za korištenje potencijala obnovljivih izvora energije u Republici Hrvatskoj“</w:t>
      </w:r>
      <w:r w:rsidR="00ED62C4" w:rsidRPr="00A07072">
        <w:rPr>
          <w:rFonts w:cs="Calibri"/>
        </w:rPr>
        <w:t xml:space="preserve"> izrađene za potrebe Državnog plana prostornog razvoja</w:t>
      </w:r>
      <w:r w:rsidR="007C65DC" w:rsidRPr="00A07072">
        <w:rPr>
          <w:rStyle w:val="FootnoteReference"/>
          <w:rFonts w:ascii="Calibri" w:hAnsi="Calibri" w:cs="Calibri"/>
        </w:rPr>
        <w:footnoteReference w:id="31"/>
      </w:r>
      <w:r w:rsidRPr="00A07072">
        <w:rPr>
          <w:rFonts w:cs="Calibri"/>
        </w:rPr>
        <w:t>.</w:t>
      </w:r>
    </w:p>
    <w:p w14:paraId="73C26A07" w14:textId="77777777" w:rsidR="006326BF" w:rsidRPr="00A07072" w:rsidRDefault="006326BF" w:rsidP="004623DD">
      <w:pPr>
        <w:pStyle w:val="NormalWeb"/>
        <w:rPr>
          <w:rFonts w:cs="Calibri"/>
        </w:rPr>
      </w:pPr>
      <w:r w:rsidRPr="00A07072">
        <w:rPr>
          <w:rFonts w:cs="Calibri"/>
          <w:b/>
        </w:rPr>
        <w:t>Aktivnosti:</w:t>
      </w:r>
      <w:r w:rsidRPr="00A07072">
        <w:rPr>
          <w:rFonts w:cs="Calibri"/>
        </w:rPr>
        <w:t xml:space="preserve"> U okviru mjere provest će se sljedeće aktivnosti: </w:t>
      </w:r>
    </w:p>
    <w:p w14:paraId="046A90FF" w14:textId="6807DA2A" w:rsidR="006326BF" w:rsidRDefault="00C35B1A" w:rsidP="00A563AA">
      <w:pPr>
        <w:pStyle w:val="ListParagraph"/>
        <w:numPr>
          <w:ilvl w:val="0"/>
          <w:numId w:val="51"/>
        </w:numPr>
      </w:pPr>
      <w:r w:rsidRPr="63259912">
        <w:rPr>
          <w:rFonts w:cs="Calibri"/>
        </w:rPr>
        <w:t>A</w:t>
      </w:r>
      <w:r w:rsidR="006326BF" w:rsidRPr="63259912">
        <w:rPr>
          <w:rFonts w:cs="Calibri"/>
        </w:rPr>
        <w:t>naliza prostornih planova uz preispitivanje planiranih lokacija, kartiranje potencijala resursa za pojedine obnovljive izvore (vjetar, sunčevo zračenje, hidropotencijal, geotermalne vode za energetske svrhe</w:t>
      </w:r>
      <w:r w:rsidR="0061261F" w:rsidRPr="63259912">
        <w:rPr>
          <w:rFonts w:cs="Calibri"/>
        </w:rPr>
        <w:t>, SMR</w:t>
      </w:r>
      <w:r w:rsidR="006326BF" w:rsidRPr="63259912">
        <w:rPr>
          <w:rFonts w:cs="Calibri"/>
        </w:rPr>
        <w:t>) s obzirom na postojeće i napredne tehnologije energetske pretvorbe i prilagodbe na klimatske promjene temeljene na karakteristikama ekosustava unutar specifičnih prostora za iskorištavanje OIE</w:t>
      </w:r>
      <w:r w:rsidR="006326BF" w:rsidRPr="63259912">
        <w:t xml:space="preserve"> (planirani i potencijalni prostor), mogućnosti skladištenja energije iz OIE te uklapanja u postojeći </w:t>
      </w:r>
      <w:r w:rsidR="00042751" w:rsidRPr="63259912">
        <w:t xml:space="preserve">prijenosni i </w:t>
      </w:r>
      <w:r w:rsidR="006326BF" w:rsidRPr="63259912">
        <w:t xml:space="preserve">distribucijski sustav; </w:t>
      </w:r>
    </w:p>
    <w:p w14:paraId="754BDD91" w14:textId="239D9279" w:rsidR="00C860CD" w:rsidRPr="00531030" w:rsidRDefault="00C35B1A" w:rsidP="63259912">
      <w:pPr>
        <w:pStyle w:val="ListParagraph"/>
        <w:numPr>
          <w:ilvl w:val="0"/>
          <w:numId w:val="51"/>
        </w:numPr>
        <w:rPr>
          <w:rFonts w:cs="Calibri"/>
        </w:rPr>
      </w:pPr>
      <w:r w:rsidRPr="63259912">
        <w:rPr>
          <w:rFonts w:cs="Calibri"/>
        </w:rPr>
        <w:t>N</w:t>
      </w:r>
      <w:r w:rsidR="00C860CD" w:rsidRPr="63259912">
        <w:rPr>
          <w:rFonts w:cs="Calibri"/>
        </w:rPr>
        <w:t>adopuna Strategije prostornog planiranja i Zakona o prostornom planiranju definiranjem okvira za smještaj pučinskih/odobal</w:t>
      </w:r>
      <w:r w:rsidR="00025AC7">
        <w:rPr>
          <w:rFonts w:cs="Calibri"/>
        </w:rPr>
        <w:t>n</w:t>
      </w:r>
      <w:r w:rsidR="00C860CD" w:rsidRPr="63259912">
        <w:rPr>
          <w:rFonts w:cs="Calibri"/>
        </w:rPr>
        <w:t>ih vjetroelektrana u prostorne planove, te nadopuna Prostornog plana isključivoga gospodarskog pojasa Republike Hrvatske u Jadranskom moru  i pros</w:t>
      </w:r>
      <w:r w:rsidR="00531030" w:rsidRPr="63259912">
        <w:rPr>
          <w:rFonts w:cs="Calibri"/>
        </w:rPr>
        <w:t>to</w:t>
      </w:r>
      <w:r w:rsidR="00C860CD" w:rsidRPr="63259912">
        <w:rPr>
          <w:rFonts w:cs="Calibri"/>
        </w:rPr>
        <w:t>rnih planova primorskih županija odredbama i lokacijama za istraživanje i smještaj pučinskih vjetroelektrana</w:t>
      </w:r>
      <w:r w:rsidR="00531030" w:rsidRPr="63259912">
        <w:rPr>
          <w:rFonts w:cs="Calibri"/>
        </w:rPr>
        <w:t>;</w:t>
      </w:r>
    </w:p>
    <w:p w14:paraId="07494342" w14:textId="788AC8AA" w:rsidR="006326BF" w:rsidRPr="00B47BDA" w:rsidRDefault="00FA727D" w:rsidP="00A563AA">
      <w:pPr>
        <w:pStyle w:val="ListParagraph"/>
        <w:numPr>
          <w:ilvl w:val="0"/>
          <w:numId w:val="51"/>
        </w:numPr>
      </w:pPr>
      <w:r>
        <w:t>U</w:t>
      </w:r>
      <w:r w:rsidR="006326BF" w:rsidRPr="00B47BDA">
        <w:t>tvrđivanje i kartiranje prostornih, okolišnih (bio-ekoloških, krajobraznih, geoloških) i socijalnih (korištenje prostora) i infrastrukturnih ograničenja te osjetljivost prostora za izgradnju i rad postrojenja, s obzirom na karakteristike postojećih i naprednih tehnologija za iskorištavanje OIE</w:t>
      </w:r>
      <w:r w:rsidR="00042751">
        <w:t xml:space="preserve"> </w:t>
      </w:r>
      <w:r w:rsidR="00661514">
        <w:t>te smještaj baterijskih sustava</w:t>
      </w:r>
      <w:r w:rsidR="006326BF" w:rsidRPr="00B47BDA">
        <w:t xml:space="preserve">; </w:t>
      </w:r>
    </w:p>
    <w:p w14:paraId="20A5EC6E" w14:textId="21F578EB" w:rsidR="006326BF" w:rsidRPr="00B47BDA" w:rsidRDefault="00FA727D" w:rsidP="00A563AA">
      <w:pPr>
        <w:pStyle w:val="ListParagraph"/>
        <w:numPr>
          <w:ilvl w:val="0"/>
          <w:numId w:val="51"/>
        </w:numPr>
      </w:pPr>
      <w:r w:rsidRPr="63259912">
        <w:t>I</w:t>
      </w:r>
      <w:r w:rsidR="006326BF" w:rsidRPr="63259912">
        <w:t>zrada karata osjetljivosti za smještaj OIE</w:t>
      </w:r>
      <w:r w:rsidR="0062001C" w:rsidRPr="63259912">
        <w:t xml:space="preserve"> i sustava za skladištenje energije</w:t>
      </w:r>
      <w:r w:rsidR="006326BF" w:rsidRPr="63259912">
        <w:t xml:space="preserve">, s fokusom na vjetroelektrane i sunčane elektrane, za područje cijele Republike Hrvatske, odnosno definiranje tzv. </w:t>
      </w:r>
      <w:r w:rsidR="006326BF" w:rsidRPr="63259912">
        <w:rPr>
          <w:i/>
          <w:iCs/>
        </w:rPr>
        <w:t>Go-to</w:t>
      </w:r>
      <w:r w:rsidR="006326BF" w:rsidRPr="63259912">
        <w:t xml:space="preserve"> područja prema komunikaciji Europske komisije „</w:t>
      </w:r>
      <w:r w:rsidR="006326BF" w:rsidRPr="63259912">
        <w:rPr>
          <w:i/>
          <w:iCs/>
        </w:rPr>
        <w:t>REPowerEU: Joint European Action for more affordable, secure and sustainable energy</w:t>
      </w:r>
      <w:r w:rsidR="006326BF" w:rsidRPr="63259912">
        <w:t xml:space="preserve">“ </w:t>
      </w:r>
    </w:p>
    <w:p w14:paraId="186C0D4F" w14:textId="6A336FCC" w:rsidR="006326BF" w:rsidRPr="00B47BDA" w:rsidRDefault="00FA727D" w:rsidP="00A563AA">
      <w:pPr>
        <w:pStyle w:val="ListParagraph"/>
        <w:numPr>
          <w:ilvl w:val="0"/>
          <w:numId w:val="51"/>
        </w:numPr>
      </w:pPr>
      <w:r>
        <w:t>D</w:t>
      </w:r>
      <w:r w:rsidR="006326BF" w:rsidRPr="00B47BDA">
        <w:t xml:space="preserve">efiniranje smjernica i kriterija za odabir prostora pogodnih za iskorištavanje OIE, prostorno-planskih uvjeta te mjera zaštite u postupcima prema posebnim zakonima; </w:t>
      </w:r>
    </w:p>
    <w:p w14:paraId="04473EE8" w14:textId="295BF3D3" w:rsidR="006326BF" w:rsidRPr="00B47BDA" w:rsidRDefault="00FA727D" w:rsidP="00A563AA">
      <w:pPr>
        <w:pStyle w:val="ListParagraph"/>
        <w:numPr>
          <w:ilvl w:val="0"/>
          <w:numId w:val="51"/>
        </w:numPr>
      </w:pPr>
      <w:r>
        <w:t>U</w:t>
      </w:r>
      <w:r w:rsidR="006326BF" w:rsidRPr="00B47BDA">
        <w:t xml:space="preserve">svajanje smjernica i kriterija za uređenje specifičnih prostorno-planskih elemenata u prostoru za iskorištavanje OIE na državnoj razini i njihova implementacija u prostorno planske dokumente na državnoj, regionalnoj i lokalnoj razini uz primjenu mjera zaštite u postupcima prema posebnim zakonima; </w:t>
      </w:r>
    </w:p>
    <w:p w14:paraId="3C450E64" w14:textId="7743ABA9" w:rsidR="006326BF" w:rsidRPr="00B47BDA" w:rsidRDefault="00FA727D" w:rsidP="00A563AA">
      <w:pPr>
        <w:pStyle w:val="ListParagraph"/>
        <w:numPr>
          <w:ilvl w:val="0"/>
          <w:numId w:val="51"/>
        </w:numPr>
      </w:pPr>
      <w:r>
        <w:t>S</w:t>
      </w:r>
      <w:r w:rsidR="006326BF" w:rsidRPr="00B47BDA">
        <w:t>tručno obrazovanje i poticanje međusektorske suradnje stručnjaka iz područja prostornog planiranja, zaštite prirode i okoliša, energetike i ostalih stručnjaka relevantnih za prostorno planiranje i razvoj projekata OIE;</w:t>
      </w:r>
    </w:p>
    <w:p w14:paraId="4045F070" w14:textId="6C69F404" w:rsidR="006326BF" w:rsidRPr="00B47BDA" w:rsidRDefault="00FA727D" w:rsidP="00A563AA">
      <w:pPr>
        <w:pStyle w:val="ListParagraph"/>
        <w:numPr>
          <w:ilvl w:val="0"/>
          <w:numId w:val="51"/>
        </w:numPr>
      </w:pPr>
      <w:r>
        <w:t>N</w:t>
      </w:r>
      <w:r w:rsidR="006326BF" w:rsidRPr="00B47BDA">
        <w:t xml:space="preserve">adogradnja postojećih informacijskih sustava podacima neophodnim za prepoznavanje potencijalnih ograničenja te osjetljivosti prostora na izgradnju OIE objekata (proizvodnih postrojenja koja koriste OIE s pratećom infrastrukturom). </w:t>
      </w:r>
    </w:p>
    <w:p w14:paraId="5625D7EC" w14:textId="2047123A" w:rsidR="006326BF" w:rsidRPr="00A07072" w:rsidRDefault="006326BF" w:rsidP="004623DD">
      <w:pPr>
        <w:pStyle w:val="NormalWeb"/>
        <w:rPr>
          <w:rFonts w:cs="Calibri"/>
        </w:rPr>
      </w:pPr>
      <w:r w:rsidRPr="00A07072">
        <w:rPr>
          <w:rFonts w:cs="Calibri"/>
          <w:b/>
        </w:rPr>
        <w:lastRenderedPageBreak/>
        <w:t xml:space="preserve">Sredstva potrebna za provedbu: </w:t>
      </w:r>
      <w:r w:rsidR="00594AB1">
        <w:rPr>
          <w:rFonts w:cs="Calibri"/>
        </w:rPr>
        <w:t>P</w:t>
      </w:r>
      <w:r w:rsidRPr="00A07072">
        <w:rPr>
          <w:rFonts w:cs="Calibri"/>
        </w:rPr>
        <w:t>očetna sredstva</w:t>
      </w:r>
      <w:r w:rsidRPr="00A07072">
        <w:rPr>
          <w:rFonts w:cs="Calibri"/>
          <w:b/>
        </w:rPr>
        <w:t xml:space="preserve"> </w:t>
      </w:r>
      <w:r w:rsidRPr="00A07072">
        <w:rPr>
          <w:rFonts w:cs="Calibri"/>
        </w:rPr>
        <w:t>300</w:t>
      </w:r>
      <w:r w:rsidR="00F46C7D">
        <w:rPr>
          <w:rFonts w:cs="Calibri"/>
        </w:rPr>
        <w:t>.</w:t>
      </w:r>
      <w:r w:rsidRPr="00A07072">
        <w:rPr>
          <w:rFonts w:cs="Calibri"/>
        </w:rPr>
        <w:t>000</w:t>
      </w:r>
      <w:r w:rsidRPr="00A07072" w:rsidDel="00A87893">
        <w:rPr>
          <w:rFonts w:cs="Calibri"/>
        </w:rPr>
        <w:t xml:space="preserve"> </w:t>
      </w:r>
      <w:r w:rsidR="009A10D1">
        <w:rPr>
          <w:rFonts w:cs="Calibri"/>
        </w:rPr>
        <w:t>EUR</w:t>
      </w:r>
      <w:r w:rsidR="00AB4526" w:rsidRPr="00A07072">
        <w:rPr>
          <w:rFonts w:cs="Calibri"/>
        </w:rPr>
        <w:t>,</w:t>
      </w:r>
      <w:r w:rsidRPr="00A07072">
        <w:rPr>
          <w:rFonts w:cs="Calibri"/>
        </w:rPr>
        <w:t xml:space="preserve"> sredstva namijenjena za implementaciju strategije i akcijskog plana primjene mjera zaštite u postupcima prema posebnim zakonima</w:t>
      </w:r>
      <w:r w:rsidR="00AB4526" w:rsidRPr="00A07072">
        <w:rPr>
          <w:rFonts w:cs="Calibri"/>
        </w:rPr>
        <w:t>,</w:t>
      </w:r>
      <w:r w:rsidRPr="00A07072">
        <w:rPr>
          <w:rFonts w:cs="Calibri"/>
        </w:rPr>
        <w:t xml:space="preserve"> </w:t>
      </w:r>
      <w:r w:rsidR="00D366A7">
        <w:rPr>
          <w:rFonts w:cs="Calibri"/>
        </w:rPr>
        <w:t>državni proračun</w:t>
      </w:r>
      <w:r w:rsidRPr="00A07072">
        <w:rPr>
          <w:rFonts w:cs="Calibri"/>
          <w:color w:val="000000"/>
        </w:rPr>
        <w:t>.</w:t>
      </w:r>
    </w:p>
    <w:p w14:paraId="04D94D68" w14:textId="77777777" w:rsidR="006326BF" w:rsidRPr="00A07072" w:rsidRDefault="006326BF" w:rsidP="004623DD">
      <w:pPr>
        <w:pStyle w:val="NormalWeb"/>
        <w:rPr>
          <w:rFonts w:cs="Calibri"/>
        </w:rPr>
      </w:pPr>
      <w:r w:rsidRPr="00A07072">
        <w:rPr>
          <w:rFonts w:cs="Calibri"/>
          <w:b/>
        </w:rPr>
        <w:t xml:space="preserve">Izvori financiranja: </w:t>
      </w:r>
      <w:r w:rsidRPr="00A07072">
        <w:rPr>
          <w:rFonts w:cs="Calibri"/>
        </w:rPr>
        <w:t>EU sredstva, Svjetska banka (za mapiranje i analize); proračun države, županija, gradova i općina (za primjenu mjera zaštite u postupcima prema posebnim zakonima i novu generaciju prostornih planova</w:t>
      </w:r>
      <w:r w:rsidRPr="00A07072">
        <w:rPr>
          <w:rFonts w:cs="Calibri"/>
          <w:color w:val="000000"/>
        </w:rPr>
        <w:t>).</w:t>
      </w:r>
    </w:p>
    <w:p w14:paraId="1F7B4C00" w14:textId="17DEA84F" w:rsidR="006326BF" w:rsidRPr="00A07072" w:rsidRDefault="006326BF" w:rsidP="63259912">
      <w:pPr>
        <w:pStyle w:val="NormalWeb"/>
        <w:rPr>
          <w:rFonts w:cs="Calibri"/>
        </w:rPr>
      </w:pPr>
      <w:r w:rsidRPr="63259912">
        <w:rPr>
          <w:rFonts w:cs="Calibri"/>
          <w:b/>
          <w:bCs/>
        </w:rPr>
        <w:t>Izvršno tijelo:</w:t>
      </w:r>
      <w:r w:rsidRPr="63259912">
        <w:rPr>
          <w:rFonts w:cs="Calibri"/>
        </w:rPr>
        <w:t xml:space="preserve"> </w:t>
      </w:r>
      <w:r w:rsidR="009F1C94" w:rsidRPr="63259912">
        <w:rPr>
          <w:rFonts w:cs="Calibri"/>
        </w:rPr>
        <w:t>MPGI</w:t>
      </w:r>
      <w:r w:rsidRPr="63259912">
        <w:rPr>
          <w:rFonts w:cs="Calibri"/>
        </w:rPr>
        <w:t xml:space="preserve"> </w:t>
      </w:r>
      <w:r w:rsidR="0089333F" w:rsidRPr="63259912">
        <w:rPr>
          <w:rFonts w:cs="Calibri"/>
        </w:rPr>
        <w:t>u suradnji s</w:t>
      </w:r>
      <w:r w:rsidRPr="63259912">
        <w:rPr>
          <w:rFonts w:cs="Calibri"/>
        </w:rPr>
        <w:t xml:space="preserve"> MINGO, </w:t>
      </w:r>
      <w:r w:rsidR="00D67584" w:rsidRPr="63259912">
        <w:rPr>
          <w:lang w:eastAsia="hr-HR"/>
        </w:rPr>
        <w:t>Ministarstvom zaštite okoliša i zelene tranzicije,</w:t>
      </w:r>
      <w:r w:rsidR="00D67584" w:rsidRPr="63259912">
        <w:rPr>
          <w:rFonts w:cs="Calibri"/>
        </w:rPr>
        <w:t xml:space="preserve"> MPS</w:t>
      </w:r>
      <w:r w:rsidR="000870D2" w:rsidRPr="63259912">
        <w:rPr>
          <w:rFonts w:cs="Calibri"/>
        </w:rPr>
        <w:t>, Ministarstvom kulture</w:t>
      </w:r>
      <w:r w:rsidR="00087DCE" w:rsidRPr="63259912">
        <w:rPr>
          <w:rFonts w:cs="Calibri"/>
        </w:rPr>
        <w:t xml:space="preserve"> i medija, Ministarstvom turizma i sporta te Ministarstvom mora, prometa i infastrukture</w:t>
      </w:r>
      <w:r w:rsidRPr="63259912">
        <w:rPr>
          <w:rFonts w:cs="Calibri"/>
        </w:rPr>
        <w:t>; županije, gradovi i općine</w:t>
      </w:r>
      <w:r w:rsidRPr="63259912">
        <w:rPr>
          <w:rFonts w:cs="Calibri"/>
          <w:color w:val="000000" w:themeColor="text1"/>
        </w:rPr>
        <w:t>.</w:t>
      </w:r>
    </w:p>
    <w:p w14:paraId="581F5ED6" w14:textId="796F27A8" w:rsidR="006326BF" w:rsidRPr="00A07072" w:rsidRDefault="006326BF" w:rsidP="004623DD">
      <w:pPr>
        <w:pStyle w:val="NormalWeb"/>
        <w:rPr>
          <w:rFonts w:cs="Calibri"/>
        </w:rPr>
      </w:pPr>
      <w:r w:rsidRPr="00A07072">
        <w:rPr>
          <w:rFonts w:cs="Calibri"/>
          <w:b/>
        </w:rPr>
        <w:t>Tijela za praćenje:</w:t>
      </w:r>
      <w:r w:rsidRPr="00A07072">
        <w:rPr>
          <w:rFonts w:cs="Calibri"/>
        </w:rPr>
        <w:t xml:space="preserve"> </w:t>
      </w:r>
      <w:r w:rsidR="009F1C94" w:rsidRPr="00A07072">
        <w:rPr>
          <w:rFonts w:cs="Calibri"/>
        </w:rPr>
        <w:t>MPGI</w:t>
      </w:r>
      <w:r w:rsidRPr="00A07072">
        <w:rPr>
          <w:rFonts w:cs="Calibri"/>
        </w:rPr>
        <w:t xml:space="preserve"> i MINGO</w:t>
      </w:r>
      <w:r w:rsidR="00A33374" w:rsidRPr="00A07072">
        <w:rPr>
          <w:rFonts w:cs="Calibri"/>
        </w:rPr>
        <w:t>.</w:t>
      </w:r>
    </w:p>
    <w:p w14:paraId="4686127B" w14:textId="77777777" w:rsidR="006326BF" w:rsidRPr="00A07072" w:rsidRDefault="006326BF" w:rsidP="004623DD">
      <w:pPr>
        <w:pStyle w:val="NormalWeb"/>
        <w:rPr>
          <w:rFonts w:cs="Calibri"/>
        </w:rPr>
      </w:pPr>
      <w:r w:rsidRPr="00A07072">
        <w:rPr>
          <w:rFonts w:cs="Calibri"/>
          <w:b/>
        </w:rPr>
        <w:t xml:space="preserve">Učinak: </w:t>
      </w:r>
      <w:r w:rsidRPr="00A07072">
        <w:rPr>
          <w:rFonts w:cs="Calibri"/>
        </w:rPr>
        <w:t>Povećanje broja lokacija i površine za OIE u PP nove generacije, uz održivo korištenje prostora i prirodnih dobara (prihvatljive utjecaje na okoliš i prirodu) i smanjenje emisije stakleničkih plinova, ubrzanje trajanja razvoja projekata OIE.</w:t>
      </w:r>
    </w:p>
    <w:p w14:paraId="207FD140" w14:textId="77777777" w:rsidR="006326BF" w:rsidRPr="00B47BDA" w:rsidRDefault="006326BF" w:rsidP="004623DD">
      <w:pPr>
        <w:pStyle w:val="NormalWeb"/>
      </w:pPr>
      <w:r w:rsidRPr="00A07072">
        <w:rPr>
          <w:rFonts w:cs="Calibri"/>
          <w:b/>
        </w:rPr>
        <w:t>Metoda praćenja:</w:t>
      </w:r>
      <w:r w:rsidRPr="00A07072">
        <w:rPr>
          <w:rFonts w:cs="Calibri"/>
        </w:rPr>
        <w:t xml:space="preserve"> Broj županija koje su definirale uvjete lokacije i izgradnje postrojenja za OIE, na temelju propisanih smjernica, a uz uvažanje osjetljivosti prostora na svom području uz primjenu mjera zaštite u postupcima prema posebnim zakonima; trajanje upravnih postupaka</w:t>
      </w:r>
      <w:r w:rsidRPr="00B47BDA">
        <w:t xml:space="preserve"> u okviru razvoja projekata OIE; broj lokacija i površine za OIE(proizvodnih postrojenja koja koriste OIE s pratećom infrastrukturom).</w:t>
      </w:r>
    </w:p>
    <w:p w14:paraId="628B528C" w14:textId="77777777" w:rsidR="006326BF" w:rsidRPr="00B47BDA" w:rsidRDefault="006326BF" w:rsidP="004623DD">
      <w:pPr>
        <w:pStyle w:val="NormalWeb"/>
        <w:rPr>
          <w:b/>
        </w:rPr>
      </w:pPr>
      <w:r w:rsidRPr="00B47BDA">
        <w:rPr>
          <w:b/>
        </w:rPr>
        <w:t xml:space="preserve">Povezanost s drugim dimenzijama: </w:t>
      </w:r>
      <w:r w:rsidRPr="00B47BDA">
        <w:t>Mjera je povezana s dimenzijom povećanja energetske sigurnosti (uvjeti za povećanje proizvodnje energije) i razvoja unutarnjeg energetskog tržišta. Unutar ove mjere potrebno je provesti određena istraživanja, pa je mjera povezana i s dimenzijom istraživanja i razvoja.</w:t>
      </w:r>
    </w:p>
    <w:p w14:paraId="6985B4C5" w14:textId="77777777" w:rsidR="006326BF" w:rsidRDefault="006326BF" w:rsidP="004623DD">
      <w:pPr>
        <w:pStyle w:val="NormalWeb"/>
      </w:pPr>
      <w:r w:rsidRPr="00B47BDA">
        <w:rPr>
          <w:b/>
        </w:rPr>
        <w:t>Istraživanje i razvoj</w:t>
      </w:r>
      <w:r w:rsidRPr="00B47BDA">
        <w:t xml:space="preserve">: Poveznica kroz istraživanje potencijala resursa te kartiranje prostornih, okolišnih i infrastrukturnih ograničenja te osjetljivost prostora za izgradnju i rad postrojenja. </w:t>
      </w:r>
    </w:p>
    <w:p w14:paraId="593F4A69" w14:textId="7A719C9A" w:rsidR="00C4150A" w:rsidRPr="00B47BDA" w:rsidRDefault="00AB538B" w:rsidP="00EE67E0">
      <w:pPr>
        <w:pStyle w:val="Mjeranaslov"/>
      </w:pPr>
      <w:r w:rsidRPr="00B47BDA">
        <w:t>OIE-</w:t>
      </w:r>
      <w:r w:rsidR="00251316">
        <w:t>3</w:t>
      </w:r>
      <w:r w:rsidRPr="00B47BDA">
        <w:t xml:space="preserve"> </w:t>
      </w:r>
      <w:r w:rsidR="00C4150A" w:rsidRPr="00B47BDA">
        <w:t>Razrada regulatornog okvira za korištenje OIE</w:t>
      </w:r>
    </w:p>
    <w:p w14:paraId="6C16889E" w14:textId="77777777" w:rsidR="00C4150A" w:rsidRPr="00B47BDA" w:rsidRDefault="00C4150A" w:rsidP="004623DD">
      <w:pPr>
        <w:pStyle w:val="NormalWeb"/>
        <w:rPr>
          <w:highlight w:val="yellow"/>
        </w:rPr>
      </w:pPr>
      <w:r w:rsidRPr="00B47BDA">
        <w:t>Regulatorna mjera; provedba 2023.-2026.</w:t>
      </w:r>
    </w:p>
    <w:p w14:paraId="3783F382" w14:textId="77777777" w:rsidR="00C4150A" w:rsidRPr="00B47BDA" w:rsidRDefault="00C4150A" w:rsidP="004623DD">
      <w:pPr>
        <w:pStyle w:val="NormalWeb"/>
      </w:pPr>
      <w:r w:rsidRPr="00B47BDA">
        <w:rPr>
          <w:b/>
        </w:rPr>
        <w:t>Cilj i opis mjere</w:t>
      </w:r>
      <w:r w:rsidRPr="00B47BDA">
        <w:t>: Potrebno je doraditi (dovršiti i doraditi) postojeći zakonski okvir te unaprijediti procedure i praksu. Cilj je uspostaviti zaokruženi i funkcionalni regulatorni okvir i utvrditi uhodane procedure za planiranje i realizaciju OIE projekta na državnoj i lokalnoj razini.</w:t>
      </w:r>
    </w:p>
    <w:p w14:paraId="5C21A176" w14:textId="3DA09B14" w:rsidR="00C4150A" w:rsidRPr="00B47BDA" w:rsidRDefault="00C4150A" w:rsidP="004623DD">
      <w:pPr>
        <w:pStyle w:val="NormalWeb"/>
      </w:pPr>
      <w:r w:rsidRPr="00B47BDA">
        <w:t>Regulatorni okvir za korištenje obnovljivih izvora energije čini više zakona i podzakonskih propisa čije se odredbe međusobno nadopunjuju i isprepleću. To su u bitnome Zakon o energiji (</w:t>
      </w:r>
      <w:r w:rsidR="00C453C2">
        <w:t>„</w:t>
      </w:r>
      <w:r w:rsidR="00071A4F" w:rsidRPr="00071A4F">
        <w:t xml:space="preserve">Narodne </w:t>
      </w:r>
      <w:r w:rsidR="00A97AE7">
        <w:t>novine</w:t>
      </w:r>
      <w:r w:rsidR="00C453C2">
        <w:t>“</w:t>
      </w:r>
      <w:r w:rsidR="00071A4F" w:rsidRPr="00071A4F">
        <w:t>, br</w:t>
      </w:r>
      <w:r w:rsidR="00B96C38">
        <w:t>.</w:t>
      </w:r>
      <w:r w:rsidRPr="00B47BDA">
        <w:t xml:space="preserve"> 120</w:t>
      </w:r>
      <w:r w:rsidR="005B41DA">
        <w:t>/12</w:t>
      </w:r>
      <w:r w:rsidR="00C453C2">
        <w:t>.</w:t>
      </w:r>
      <w:r w:rsidRPr="00B47BDA">
        <w:t>, 14</w:t>
      </w:r>
      <w:r w:rsidR="005B41DA">
        <w:t>/14</w:t>
      </w:r>
      <w:r w:rsidR="00113551">
        <w:t>.</w:t>
      </w:r>
      <w:r w:rsidRPr="00B47BDA">
        <w:t>, 95</w:t>
      </w:r>
      <w:r w:rsidR="005B41DA">
        <w:t>/15</w:t>
      </w:r>
      <w:r w:rsidR="00113551">
        <w:t>.</w:t>
      </w:r>
      <w:r w:rsidRPr="00B47BDA">
        <w:t>, 102</w:t>
      </w:r>
      <w:r w:rsidR="005B41DA">
        <w:t>/15</w:t>
      </w:r>
      <w:r w:rsidR="00113551">
        <w:t>.</w:t>
      </w:r>
      <w:r w:rsidRPr="00B47BDA">
        <w:t xml:space="preserve"> i 68</w:t>
      </w:r>
      <w:r w:rsidR="005B41DA">
        <w:t>/18</w:t>
      </w:r>
      <w:r w:rsidR="00113551">
        <w:t>.</w:t>
      </w:r>
      <w:r w:rsidRPr="00B47BDA">
        <w:t>), Zakon o tržištu električne energije (</w:t>
      </w:r>
      <w:r w:rsidR="00113551">
        <w:t>„</w:t>
      </w:r>
      <w:r w:rsidR="00071A4F" w:rsidRPr="00071A4F">
        <w:t xml:space="preserve">Narodne </w:t>
      </w:r>
      <w:r w:rsidR="00A97AE7">
        <w:t>novine</w:t>
      </w:r>
      <w:r w:rsidR="00113551">
        <w:t>“</w:t>
      </w:r>
      <w:r w:rsidR="00071A4F" w:rsidRPr="00071A4F">
        <w:t xml:space="preserve">, </w:t>
      </w:r>
      <w:r w:rsidR="00004BB0">
        <w:t>br</w:t>
      </w:r>
      <w:r w:rsidR="00113551">
        <w:t>.</w:t>
      </w:r>
      <w:r w:rsidRPr="00B47BDA">
        <w:t xml:space="preserve"> 121</w:t>
      </w:r>
      <w:r w:rsidR="005B41DA">
        <w:t>/21</w:t>
      </w:r>
      <w:r w:rsidR="00113551">
        <w:t>.</w:t>
      </w:r>
      <w:r w:rsidR="00A01886">
        <w:t>, 83/223</w:t>
      </w:r>
      <w:r w:rsidR="00113551">
        <w:t>.</w:t>
      </w:r>
      <w:r w:rsidRPr="00B47BDA">
        <w:t xml:space="preserve">), </w:t>
      </w:r>
      <w:r w:rsidRPr="00310722">
        <w:t>Zakon o tržištu toplinske energije (</w:t>
      </w:r>
      <w:r w:rsidR="00113551">
        <w:t>„</w:t>
      </w:r>
      <w:r w:rsidR="00071A4F" w:rsidRPr="00071A4F">
        <w:t xml:space="preserve">Narodne </w:t>
      </w:r>
      <w:r w:rsidR="00A97AE7">
        <w:t>novine</w:t>
      </w:r>
      <w:r w:rsidR="00113551">
        <w:t>“</w:t>
      </w:r>
      <w:r w:rsidR="00071A4F" w:rsidRPr="00071A4F">
        <w:t>, br</w:t>
      </w:r>
      <w:r w:rsidR="00113551">
        <w:t>.</w:t>
      </w:r>
      <w:r w:rsidRPr="00310722">
        <w:t xml:space="preserve"> </w:t>
      </w:r>
      <w:r w:rsidR="00D037D6" w:rsidRPr="00D037D6">
        <w:t>80</w:t>
      </w:r>
      <w:r w:rsidR="005B41DA">
        <w:t>/13</w:t>
      </w:r>
      <w:r w:rsidR="00113551">
        <w:t>.</w:t>
      </w:r>
      <w:r w:rsidR="00EA1E53">
        <w:t>,</w:t>
      </w:r>
      <w:r w:rsidR="00D037D6">
        <w:t xml:space="preserve"> </w:t>
      </w:r>
      <w:r w:rsidR="00D037D6" w:rsidRPr="00D037D6">
        <w:t>14</w:t>
      </w:r>
      <w:r w:rsidR="005B41DA">
        <w:t>/14</w:t>
      </w:r>
      <w:r w:rsidR="00113551">
        <w:t>.</w:t>
      </w:r>
      <w:r w:rsidR="00EA1E53">
        <w:t xml:space="preserve">, </w:t>
      </w:r>
      <w:r w:rsidR="00EA1E53" w:rsidRPr="00464E9A">
        <w:t>102/14</w:t>
      </w:r>
      <w:r w:rsidR="00113551">
        <w:t>.</w:t>
      </w:r>
      <w:r w:rsidR="00EA1E53" w:rsidRPr="00464E9A">
        <w:t>, 95/15</w:t>
      </w:r>
      <w:r w:rsidR="00113551">
        <w:t>.</w:t>
      </w:r>
      <w:r w:rsidR="00EA1E53" w:rsidRPr="00464E9A">
        <w:t>, 76/18</w:t>
      </w:r>
      <w:r w:rsidR="00113551">
        <w:t>.</w:t>
      </w:r>
      <w:r w:rsidR="00EA1E53" w:rsidRPr="00464E9A">
        <w:t>, 86/19</w:t>
      </w:r>
      <w:r w:rsidR="00113551">
        <w:t>.</w:t>
      </w:r>
      <w:r w:rsidRPr="00310722">
        <w:t xml:space="preserve">) </w:t>
      </w:r>
      <w:r w:rsidRPr="00B47BDA">
        <w:t xml:space="preserve">te Zakon o obnovljivim izvorima energije i visokoučinkovitoj kogeneraciji </w:t>
      </w:r>
      <w:r w:rsidR="00EB08F1">
        <w:t xml:space="preserve">(„Narodne novine“, br. </w:t>
      </w:r>
      <w:r w:rsidRPr="00B47BDA">
        <w:t>138/21</w:t>
      </w:r>
      <w:r w:rsidR="005D6C84">
        <w:t>., 83/23.</w:t>
      </w:r>
      <w:r w:rsidRPr="00B47BDA">
        <w:t xml:space="preserve">) kao </w:t>
      </w:r>
      <w:r w:rsidRPr="00B47BDA">
        <w:lastRenderedPageBreak/>
        <w:t>posebni zakon za područje obnovljivih izvora, s pratećim podzakonskim aktima. Istraživanje i eksploatacija geotermalne energije uređeni su Zakonom o istraživanju i eksploataciji ugljikovodika (</w:t>
      </w:r>
      <w:r w:rsidR="00CA4E98">
        <w:t>„</w:t>
      </w:r>
      <w:r w:rsidR="00071A4F" w:rsidRPr="00071A4F">
        <w:t xml:space="preserve">Narodne </w:t>
      </w:r>
      <w:r w:rsidR="00A97AE7">
        <w:t>novine</w:t>
      </w:r>
      <w:r w:rsidR="00CA4E98">
        <w:t>“</w:t>
      </w:r>
      <w:r w:rsidR="00071A4F" w:rsidRPr="00071A4F">
        <w:t>, br</w:t>
      </w:r>
      <w:r w:rsidR="00B96C38">
        <w:t>.</w:t>
      </w:r>
      <w:r w:rsidRPr="00B47BDA">
        <w:t xml:space="preserve"> 52</w:t>
      </w:r>
      <w:r w:rsidR="005B41DA">
        <w:t>/18</w:t>
      </w:r>
      <w:r w:rsidR="00CA4E98">
        <w:t>.</w:t>
      </w:r>
      <w:r w:rsidRPr="00B47BDA">
        <w:t>, 52</w:t>
      </w:r>
      <w:r w:rsidR="005B41DA">
        <w:t>/19</w:t>
      </w:r>
      <w:r w:rsidR="00CA4E98">
        <w:t>.</w:t>
      </w:r>
      <w:r w:rsidRPr="00B47BDA">
        <w:t xml:space="preserve"> i 30</w:t>
      </w:r>
      <w:r w:rsidR="005B41DA">
        <w:t>/21</w:t>
      </w:r>
      <w:r w:rsidR="00CA4E98">
        <w:t>.</w:t>
      </w:r>
      <w:r w:rsidRPr="00B47BDA">
        <w:t>). Zakon o biogorivima za prijevoz (</w:t>
      </w:r>
      <w:r w:rsidR="00CA4E98">
        <w:t>„</w:t>
      </w:r>
      <w:r w:rsidR="00071A4F" w:rsidRPr="00071A4F">
        <w:t xml:space="preserve">Narodne </w:t>
      </w:r>
      <w:r w:rsidR="00A97AE7">
        <w:t>novine</w:t>
      </w:r>
      <w:r w:rsidR="00CA4E98">
        <w:t>“</w:t>
      </w:r>
      <w:r w:rsidR="00071A4F" w:rsidRPr="00071A4F">
        <w:t>, br</w:t>
      </w:r>
      <w:r w:rsidR="00B96C38">
        <w:t xml:space="preserve">. </w:t>
      </w:r>
      <w:r w:rsidRPr="00B47BDA">
        <w:t>145/10</w:t>
      </w:r>
      <w:r w:rsidR="00CA4E98">
        <w:t>.</w:t>
      </w:r>
      <w:r w:rsidRPr="00B47BDA">
        <w:t>, 26</w:t>
      </w:r>
      <w:r w:rsidR="005B41DA">
        <w:t>/11</w:t>
      </w:r>
      <w:r w:rsidR="00CA4E98">
        <w:t>.</w:t>
      </w:r>
      <w:r w:rsidRPr="00B47BDA">
        <w:t>, 144</w:t>
      </w:r>
      <w:r w:rsidR="005B41DA">
        <w:t>/12</w:t>
      </w:r>
      <w:r w:rsidR="00CA4E98">
        <w:t>.</w:t>
      </w:r>
      <w:r w:rsidRPr="00B47BDA">
        <w:t>, 14</w:t>
      </w:r>
      <w:r w:rsidR="005B41DA">
        <w:t>/14</w:t>
      </w:r>
      <w:r w:rsidR="00CA4E98">
        <w:t>.</w:t>
      </w:r>
      <w:r w:rsidRPr="00B47BDA">
        <w:t>, 94</w:t>
      </w:r>
      <w:r w:rsidR="005B41DA">
        <w:t>/18</w:t>
      </w:r>
      <w:r w:rsidR="00CA4E98">
        <w:t>.</w:t>
      </w:r>
      <w:r w:rsidRPr="00B47BDA">
        <w:t xml:space="preserve"> i 52</w:t>
      </w:r>
      <w:r w:rsidR="005B41DA">
        <w:t>/21</w:t>
      </w:r>
      <w:r w:rsidR="00CA4E98">
        <w:t>.</w:t>
      </w:r>
      <w:r w:rsidRPr="00B47BDA">
        <w:t>) uređuje korištenje obnovljivih izvora energije u prijevozu. Uz energetske zakone, od ključnog utjecaja na administrativne postupke nužne za ishođenje potrebnih dozvola su propisi i dokumenti mjerodavni za prostorno planiranje i gradnju (Zakon o prostornom uređenju (</w:t>
      </w:r>
      <w:r w:rsidR="00147FF1">
        <w:t>„</w:t>
      </w:r>
      <w:r w:rsidR="00071A4F" w:rsidRPr="00071A4F">
        <w:t xml:space="preserve">Narodne </w:t>
      </w:r>
      <w:r w:rsidR="00A97AE7">
        <w:t>novine</w:t>
      </w:r>
      <w:r w:rsidR="00147FF1">
        <w:t>“</w:t>
      </w:r>
      <w:r w:rsidR="00071A4F" w:rsidRPr="00071A4F">
        <w:t>, br</w:t>
      </w:r>
      <w:r w:rsidR="00B96C38">
        <w:t>.</w:t>
      </w:r>
      <w:r w:rsidRPr="00B47BDA">
        <w:t xml:space="preserve"> 153</w:t>
      </w:r>
      <w:r w:rsidR="005B41DA">
        <w:t>/13</w:t>
      </w:r>
      <w:r w:rsidR="00147FF1">
        <w:t>.</w:t>
      </w:r>
      <w:r w:rsidRPr="00B47BDA">
        <w:t>, 65</w:t>
      </w:r>
      <w:r w:rsidR="005B41DA">
        <w:t>/17</w:t>
      </w:r>
      <w:r w:rsidR="00147FF1">
        <w:t>.</w:t>
      </w:r>
      <w:r w:rsidRPr="00B47BDA">
        <w:t>, 114</w:t>
      </w:r>
      <w:r w:rsidR="005B41DA">
        <w:t>/18</w:t>
      </w:r>
      <w:r w:rsidR="00147FF1">
        <w:t>.</w:t>
      </w:r>
      <w:r w:rsidRPr="00B47BDA">
        <w:t>, 39/</w:t>
      </w:r>
      <w:r w:rsidR="00A01F53">
        <w:t>19</w:t>
      </w:r>
      <w:r w:rsidR="00147FF1">
        <w:t>.</w:t>
      </w:r>
      <w:r w:rsidR="003B5DE1">
        <w:t>,</w:t>
      </w:r>
      <w:r w:rsidRPr="00B47BDA">
        <w:t xml:space="preserve"> 98</w:t>
      </w:r>
      <w:r w:rsidR="005B41DA">
        <w:t>/19</w:t>
      </w:r>
      <w:r w:rsidR="00147FF1">
        <w:t>.</w:t>
      </w:r>
      <w:r w:rsidR="003B5DE1">
        <w:t xml:space="preserve"> i </w:t>
      </w:r>
      <w:r w:rsidR="007A3011">
        <w:t>67/23</w:t>
      </w:r>
      <w:r w:rsidR="00147FF1">
        <w:t>.</w:t>
      </w:r>
      <w:r w:rsidRPr="00B47BDA">
        <w:t>), Zakon o gradnji (</w:t>
      </w:r>
      <w:r w:rsidR="00147FF1">
        <w:t>„</w:t>
      </w:r>
      <w:r w:rsidR="00071A4F" w:rsidRPr="00071A4F">
        <w:t xml:space="preserve">Narodne </w:t>
      </w:r>
      <w:r w:rsidR="00A97AE7">
        <w:t>novine</w:t>
      </w:r>
      <w:r w:rsidR="00147FF1">
        <w:t>“</w:t>
      </w:r>
      <w:r w:rsidR="00071A4F" w:rsidRPr="00071A4F">
        <w:t>, br</w:t>
      </w:r>
      <w:r w:rsidR="00A01F53">
        <w:t>.</w:t>
      </w:r>
      <w:r w:rsidRPr="00B47BDA">
        <w:t xml:space="preserve"> 153</w:t>
      </w:r>
      <w:r w:rsidR="005B41DA">
        <w:t>/13</w:t>
      </w:r>
      <w:r w:rsidR="00147FF1">
        <w:t>.</w:t>
      </w:r>
      <w:r w:rsidRPr="00B47BDA">
        <w:t>, 20</w:t>
      </w:r>
      <w:r w:rsidR="005B41DA">
        <w:t>/17</w:t>
      </w:r>
      <w:r w:rsidR="00147FF1">
        <w:t>.</w:t>
      </w:r>
      <w:r w:rsidRPr="00B47BDA">
        <w:t>, 39</w:t>
      </w:r>
      <w:r w:rsidR="005B41DA">
        <w:t>/19</w:t>
      </w:r>
      <w:r w:rsidR="00147FF1">
        <w:t>.</w:t>
      </w:r>
      <w:r w:rsidRPr="00B47BDA">
        <w:t xml:space="preserve"> i 125</w:t>
      </w:r>
      <w:r w:rsidR="005B41DA">
        <w:t>/19</w:t>
      </w:r>
      <w:r w:rsidR="00147FF1">
        <w:t>.</w:t>
      </w:r>
      <w:r w:rsidRPr="00B47BDA">
        <w:t>) kao i prostorni planovi na državnoj i nižoj razini) te propisi iz područja zaštite okoliše (Zakon o zaštiti okoliša (</w:t>
      </w:r>
      <w:r w:rsidR="00147FF1">
        <w:t>„</w:t>
      </w:r>
      <w:r w:rsidR="00071A4F" w:rsidRPr="00071A4F">
        <w:t xml:space="preserve">Narodne </w:t>
      </w:r>
      <w:r w:rsidR="00A97AE7">
        <w:t>novine</w:t>
      </w:r>
      <w:r w:rsidR="00147FF1">
        <w:t>“</w:t>
      </w:r>
      <w:r w:rsidR="00071A4F" w:rsidRPr="00071A4F">
        <w:t>, br</w:t>
      </w:r>
      <w:r w:rsidR="00A01F53">
        <w:t>.</w:t>
      </w:r>
      <w:r w:rsidRPr="00B47BDA">
        <w:t xml:space="preserve"> 80</w:t>
      </w:r>
      <w:r w:rsidR="005B41DA">
        <w:t>/13</w:t>
      </w:r>
      <w:r w:rsidR="00147FF1">
        <w:t>.</w:t>
      </w:r>
      <w:r w:rsidRPr="00B47BDA">
        <w:t>, 153</w:t>
      </w:r>
      <w:r w:rsidR="005B41DA">
        <w:t>/13</w:t>
      </w:r>
      <w:r w:rsidR="00147FF1">
        <w:t>.</w:t>
      </w:r>
      <w:r w:rsidRPr="00B47BDA">
        <w:t>, 78</w:t>
      </w:r>
      <w:r w:rsidR="005B41DA">
        <w:t>/15</w:t>
      </w:r>
      <w:r w:rsidR="00147FF1">
        <w:t>.</w:t>
      </w:r>
      <w:r w:rsidRPr="00B47BDA">
        <w:t>, 12</w:t>
      </w:r>
      <w:r w:rsidR="005B41DA">
        <w:t>/18</w:t>
      </w:r>
      <w:r w:rsidR="00147FF1">
        <w:t>.</w:t>
      </w:r>
      <w:r w:rsidRPr="00B47BDA">
        <w:t xml:space="preserve"> i 118</w:t>
      </w:r>
      <w:r w:rsidR="005B41DA">
        <w:t>/18</w:t>
      </w:r>
      <w:r w:rsidR="00147FF1">
        <w:t>.</w:t>
      </w:r>
      <w:r w:rsidRPr="00B47BDA">
        <w:t>) i Zakon o zaštiti prirode (</w:t>
      </w:r>
      <w:r w:rsidR="00147FF1">
        <w:t>„</w:t>
      </w:r>
      <w:r w:rsidR="00071A4F" w:rsidRPr="00071A4F">
        <w:t xml:space="preserve">Narodne </w:t>
      </w:r>
      <w:r w:rsidR="00A97AE7">
        <w:t>novine</w:t>
      </w:r>
      <w:r w:rsidR="00147FF1">
        <w:t>“</w:t>
      </w:r>
      <w:r w:rsidR="00071A4F" w:rsidRPr="00071A4F">
        <w:t>, br</w:t>
      </w:r>
      <w:r w:rsidR="00A01F53">
        <w:t>.</w:t>
      </w:r>
      <w:r w:rsidRPr="00B47BDA">
        <w:t xml:space="preserve"> 80</w:t>
      </w:r>
      <w:r w:rsidR="005B41DA">
        <w:t>/13</w:t>
      </w:r>
      <w:r w:rsidR="00147FF1">
        <w:t>.</w:t>
      </w:r>
      <w:r w:rsidRPr="00B47BDA">
        <w:t>, 15</w:t>
      </w:r>
      <w:r w:rsidR="005B41DA">
        <w:t>/18</w:t>
      </w:r>
      <w:r w:rsidR="00147FF1">
        <w:t>.</w:t>
      </w:r>
      <w:r w:rsidRPr="00B47BDA">
        <w:t>, 14</w:t>
      </w:r>
      <w:r w:rsidR="005B41DA">
        <w:t>/19</w:t>
      </w:r>
      <w:r w:rsidR="00147FF1">
        <w:t>.</w:t>
      </w:r>
      <w:r w:rsidRPr="00B47BDA">
        <w:t xml:space="preserve"> i 127</w:t>
      </w:r>
      <w:r w:rsidR="005B41DA">
        <w:t>/19</w:t>
      </w:r>
      <w:r w:rsidR="00147FF1">
        <w:t>.</w:t>
      </w:r>
      <w:r w:rsidRPr="00B47BDA">
        <w:t xml:space="preserve">) s uredbama o potrebama i procjeni utjecaja projekata na okoliš). </w:t>
      </w:r>
    </w:p>
    <w:p w14:paraId="113C008A" w14:textId="5B2F03E6" w:rsidR="00C4150A" w:rsidRPr="00B47BDA" w:rsidRDefault="00C4150A" w:rsidP="004623DD">
      <w:pPr>
        <w:pStyle w:val="NormalWeb"/>
      </w:pPr>
      <w:r w:rsidRPr="00B47BDA">
        <w:t>Zakon o energiji, kao osnovni akt kojim se uređuje energetski sektor, definira temeljne strateške dokumente energetskog sektora i proglašava korištenje obnovljivih izvora energije od interesa za RH. Temeljem Zakona o energiji donesen je Pravilnik o dozvolama za obavljanje energetskih djelatnosti i vođenju registra izdanih i oduzetih dozvola za obavljanje energetskih djelatnosti (</w:t>
      </w:r>
      <w:r w:rsidR="00147FF1">
        <w:t>„</w:t>
      </w:r>
      <w:r w:rsidR="00071A4F" w:rsidRPr="00071A4F">
        <w:t xml:space="preserve">Narodne </w:t>
      </w:r>
      <w:r w:rsidR="00A97AE7">
        <w:t>novine</w:t>
      </w:r>
      <w:r w:rsidR="00147FF1">
        <w:t>“</w:t>
      </w:r>
      <w:r w:rsidR="00071A4F" w:rsidRPr="00071A4F">
        <w:t xml:space="preserve">, </w:t>
      </w:r>
      <w:r w:rsidR="00004BB0">
        <w:t>br</w:t>
      </w:r>
      <w:r w:rsidR="00147FF1">
        <w:t>.</w:t>
      </w:r>
      <w:r w:rsidRPr="00B47BDA">
        <w:t xml:space="preserve"> 44</w:t>
      </w:r>
      <w:r w:rsidR="005B41DA">
        <w:t>/22</w:t>
      </w:r>
      <w:r w:rsidR="00147FF1">
        <w:t>.</w:t>
      </w:r>
      <w:r w:rsidRPr="00B47BDA">
        <w:t>) koji prepoznaje nove djelatnosti u energetskom sektoru (agregiranje, skladištenje energije i organiziranje energetske zajednice građana). Na temelju Zakona je uspostavljen sustav jamstva podrijetla energije detaljnije razrađen novom Uredbom o sustavu jamstva podrijetla energije (</w:t>
      </w:r>
      <w:r w:rsidR="00147FF1">
        <w:t>„</w:t>
      </w:r>
      <w:r w:rsidR="00071A4F" w:rsidRPr="00071A4F">
        <w:t xml:space="preserve">Narodne </w:t>
      </w:r>
      <w:r w:rsidR="00A97AE7">
        <w:t>novine</w:t>
      </w:r>
      <w:r w:rsidR="00147FF1">
        <w:t>“</w:t>
      </w:r>
      <w:r w:rsidR="00071A4F" w:rsidRPr="00071A4F">
        <w:t xml:space="preserve">, </w:t>
      </w:r>
      <w:r w:rsidR="00004BB0">
        <w:t>br</w:t>
      </w:r>
      <w:r w:rsidR="00147FF1">
        <w:t>.</w:t>
      </w:r>
      <w:r w:rsidRPr="00B47BDA">
        <w:t xml:space="preserve"> 28</w:t>
      </w:r>
      <w:r w:rsidR="005B41DA">
        <w:t>/23</w:t>
      </w:r>
      <w:r w:rsidR="00147FF1">
        <w:t>.</w:t>
      </w:r>
      <w:r w:rsidRPr="00B47BDA">
        <w:t xml:space="preserve">) koja, između ostalog, proširuje oblike energije za koje HROTE izdaje jamstvo podrijetla energije. </w:t>
      </w:r>
    </w:p>
    <w:p w14:paraId="45ED6B59" w14:textId="50448701" w:rsidR="00C4150A" w:rsidRPr="00B47BDA" w:rsidRDefault="00C4150A" w:rsidP="004623DD">
      <w:pPr>
        <w:pStyle w:val="NormalWeb"/>
      </w:pPr>
      <w:r w:rsidRPr="63259912">
        <w:t xml:space="preserve">Zakon o tržištu električne energije preuzeo je u hrvatsko zakonodavstvo Direktivu (EU) 2019/944 </w:t>
      </w:r>
      <w:r w:rsidR="00165CEA" w:rsidRPr="63259912">
        <w:t>Europskog parlamenta i Vijeća od 5. lipnja 2019. o zajedničkim pravilima za unutarnje tržište električne energije i izmjeni Direktive 2012/27/EU (Tekst značajan za EGP)</w:t>
      </w:r>
      <w:r w:rsidR="00B3277E" w:rsidRPr="63259912">
        <w:t xml:space="preserve"> </w:t>
      </w:r>
      <w:r w:rsidR="00E96B83" w:rsidRPr="63259912">
        <w:t>(</w:t>
      </w:r>
      <w:r w:rsidR="00B3277E" w:rsidRPr="63259912">
        <w:t>SL L 158, 14. 6. 2019.)</w:t>
      </w:r>
      <w:r w:rsidRPr="63259912">
        <w:t xml:space="preserve"> i time i novine i institute koje ta direktiva donosi u okvir za tržište električne energije. Temeljem Zakona donesene su metodologije za određivanje iznosa tarifnih stavki za prijenos i distribuciju električne energije te zajamčenu opskrbu, Pravilnik o općim uvjetima za korištenje mreže i opskrbu električnom energijom (</w:t>
      </w:r>
      <w:r w:rsidR="00147FF1" w:rsidRPr="63259912">
        <w:t>„</w:t>
      </w:r>
      <w:r w:rsidR="00071A4F" w:rsidRPr="63259912">
        <w:t xml:space="preserve">Narodne </w:t>
      </w:r>
      <w:r w:rsidR="00A97AE7" w:rsidRPr="63259912">
        <w:t>novine</w:t>
      </w:r>
      <w:r w:rsidR="00147FF1" w:rsidRPr="63259912">
        <w:t>“</w:t>
      </w:r>
      <w:r w:rsidR="00071A4F" w:rsidRPr="63259912">
        <w:t xml:space="preserve">, </w:t>
      </w:r>
      <w:r w:rsidR="00004BB0" w:rsidRPr="63259912">
        <w:t>br</w:t>
      </w:r>
      <w:r w:rsidR="00147FF1" w:rsidRPr="63259912">
        <w:t>.</w:t>
      </w:r>
      <w:r w:rsidRPr="63259912">
        <w:t xml:space="preserve"> 100</w:t>
      </w:r>
      <w:r w:rsidR="005B41DA" w:rsidRPr="63259912">
        <w:t>/22</w:t>
      </w:r>
      <w:r w:rsidR="00147FF1" w:rsidRPr="63259912">
        <w:t>.</w:t>
      </w:r>
      <w:r w:rsidR="008A41EB" w:rsidRPr="63259912">
        <w:t>, 134/24.</w:t>
      </w:r>
      <w:r w:rsidRPr="63259912">
        <w:t>), Metodologija za utvrđivanje naknade za priključenje na elektroenergetsku mrežu (</w:t>
      </w:r>
      <w:r w:rsidR="00147FF1" w:rsidRPr="63259912">
        <w:t>„</w:t>
      </w:r>
      <w:r w:rsidR="00071A4F" w:rsidRPr="63259912">
        <w:t xml:space="preserve">Narodne </w:t>
      </w:r>
      <w:r w:rsidR="00A97AE7" w:rsidRPr="63259912">
        <w:t>novine</w:t>
      </w:r>
      <w:r w:rsidR="00147FF1" w:rsidRPr="63259912">
        <w:t>“</w:t>
      </w:r>
      <w:r w:rsidR="00071A4F" w:rsidRPr="63259912">
        <w:t xml:space="preserve">, </w:t>
      </w:r>
      <w:r w:rsidR="00004BB0" w:rsidRPr="63259912">
        <w:t>br</w:t>
      </w:r>
      <w:r w:rsidR="00147FF1" w:rsidRPr="63259912">
        <w:t>.</w:t>
      </w:r>
      <w:r w:rsidRPr="63259912">
        <w:t xml:space="preserve"> 84</w:t>
      </w:r>
      <w:r w:rsidR="005B41DA" w:rsidRPr="63259912">
        <w:t>/22</w:t>
      </w:r>
      <w:r w:rsidR="00147FF1" w:rsidRPr="63259912">
        <w:t>.</w:t>
      </w:r>
      <w:r w:rsidRPr="63259912">
        <w:t>), Pravila o promjeni opskrbljivača i agregatora (</w:t>
      </w:r>
      <w:r w:rsidR="00147FF1" w:rsidRPr="63259912">
        <w:t>„</w:t>
      </w:r>
      <w:r w:rsidR="00071A4F" w:rsidRPr="63259912">
        <w:t xml:space="preserve">Narodne </w:t>
      </w:r>
      <w:r w:rsidR="00A97AE7" w:rsidRPr="63259912">
        <w:t>novine</w:t>
      </w:r>
      <w:r w:rsidR="00147FF1" w:rsidRPr="63259912">
        <w:t>“</w:t>
      </w:r>
      <w:r w:rsidR="00071A4F" w:rsidRPr="63259912">
        <w:t xml:space="preserve">, </w:t>
      </w:r>
      <w:r w:rsidR="00004BB0" w:rsidRPr="63259912">
        <w:t>br</w:t>
      </w:r>
      <w:r w:rsidR="00147FF1" w:rsidRPr="63259912">
        <w:t>.</w:t>
      </w:r>
      <w:r w:rsidRPr="63259912">
        <w:t xml:space="preserve"> 84</w:t>
      </w:r>
      <w:r w:rsidR="005B41DA" w:rsidRPr="63259912">
        <w:t>/22</w:t>
      </w:r>
      <w:r w:rsidR="00147FF1" w:rsidRPr="63259912">
        <w:t>.</w:t>
      </w:r>
      <w:r w:rsidRPr="63259912">
        <w:t xml:space="preserve">) i Pravilnik o uvjetima kvalitete opskrbe električnom energijom </w:t>
      </w:r>
      <w:r w:rsidR="00EB08F1" w:rsidRPr="63259912">
        <w:t xml:space="preserve">(„Narodne novine“, br. </w:t>
      </w:r>
      <w:r w:rsidRPr="63259912">
        <w:t>84</w:t>
      </w:r>
      <w:r w:rsidR="005B41DA" w:rsidRPr="63259912">
        <w:t>/22</w:t>
      </w:r>
      <w:r w:rsidR="00147FF1" w:rsidRPr="63259912">
        <w:t>.</w:t>
      </w:r>
      <w:r w:rsidRPr="63259912">
        <w:t>)</w:t>
      </w:r>
      <w:r w:rsidR="00B11570" w:rsidRPr="63259912">
        <w:t xml:space="preserve">, </w:t>
      </w:r>
      <w:r w:rsidR="00B351FC" w:rsidRPr="63259912">
        <w:t>Pravila o priključenju na distribucijsku mrežu (HEP-ODS, 7/2023), Pravila o priključenju na prijenosnu mrežu (HOPS, 7/2023)</w:t>
      </w:r>
      <w:r w:rsidRPr="63259912">
        <w:t>. Međutim, još ni</w:t>
      </w:r>
      <w:r w:rsidR="006C3C91" w:rsidRPr="63259912">
        <w:t>je</w:t>
      </w:r>
      <w:r w:rsidRPr="63259912">
        <w:t xml:space="preserve"> usvojena odluka o iznosu jedinične naknade za priključenje na elektroenergetsku mrežu (HERA) </w:t>
      </w:r>
    </w:p>
    <w:p w14:paraId="403C1E88" w14:textId="14452CB1" w:rsidR="00C4150A" w:rsidRPr="00B47BDA" w:rsidRDefault="00C4150A" w:rsidP="004623DD">
      <w:pPr>
        <w:pStyle w:val="NormalWeb"/>
      </w:pPr>
      <w:r w:rsidRPr="63259912">
        <w:t xml:space="preserve">Zakon o obnovljivim izvorima energije i visokoučinkovitoj kogeneraciji stupio je na snagu u prosincu 2021. godine i njime se preuzimaju odredbe preinačene Direktive </w:t>
      </w:r>
      <w:r w:rsidR="00864204" w:rsidRPr="63259912">
        <w:t xml:space="preserve">(EU) </w:t>
      </w:r>
      <w:r w:rsidRPr="63259912">
        <w:t xml:space="preserve">2018/2001 o promicanju uporabe energije iz obnovljivih izvora te osigurava provedba </w:t>
      </w:r>
      <w:r w:rsidR="00DF7886" w:rsidRPr="63259912">
        <w:t xml:space="preserve">Uredbe </w:t>
      </w:r>
      <w:r w:rsidRPr="63259912">
        <w:t xml:space="preserve">(EU) 2018/1999 o upravljanju energetskom unijom i djelovanjem u području klime i </w:t>
      </w:r>
      <w:r w:rsidR="00C12A26" w:rsidRPr="63259912">
        <w:t>Uredbe (EZ) br. 1099/2008 Europskog parlamenta i Vijeća od 22. listopada 2008. o energetskoj statistici (Tekst značajan za EGP) (SL L 304, 14. 11. 2008.)</w:t>
      </w:r>
      <w:r w:rsidRPr="63259912">
        <w:t xml:space="preserve">. Zakonom je uređena izrada NECP-a, mjere za poticanje obnovljivih izvora energije i visokoučinkovite kogeneracije, sustav poticanja, preuzimanje električne energije od krajnjih kupaca s vlastitom proizvodnjom ili korisnika postrojenja za samoopskrbu, uključivanje obnovljive energije za grijanje i hlađenje i </w:t>
      </w:r>
      <w:r w:rsidRPr="63259912">
        <w:lastRenderedPageBreak/>
        <w:t xml:space="preserve">centralizirano grijanje i hlađenje i dr. pitanja značajna za funkcioniranje svih segmenata sektora OIE. Temeljem Zakona su usvojeni Program energetske učinkovitosti za dekarbonizaciju energetskog sektora </w:t>
      </w:r>
      <w:r w:rsidR="00413994" w:rsidRPr="63259912">
        <w:t>[</w:t>
      </w:r>
      <w:r w:rsidR="007862E4" w:rsidRPr="63259912">
        <w:t>17</w:t>
      </w:r>
      <w:r w:rsidR="00413994" w:rsidRPr="63259912">
        <w:t xml:space="preserve">] </w:t>
      </w:r>
      <w:r w:rsidRPr="63259912">
        <w:t>(</w:t>
      </w:r>
      <w:r w:rsidR="00147FF1" w:rsidRPr="63259912">
        <w:t>„</w:t>
      </w:r>
      <w:r w:rsidR="00071A4F" w:rsidRPr="63259912">
        <w:t xml:space="preserve">Narodne </w:t>
      </w:r>
      <w:r w:rsidR="00A97AE7" w:rsidRPr="63259912">
        <w:t>novine</w:t>
      </w:r>
      <w:r w:rsidR="00147FF1" w:rsidRPr="63259912">
        <w:t>“</w:t>
      </w:r>
      <w:r w:rsidR="00071A4F" w:rsidRPr="63259912">
        <w:t xml:space="preserve">, </w:t>
      </w:r>
      <w:r w:rsidR="00004BB0" w:rsidRPr="63259912">
        <w:t>br</w:t>
      </w:r>
      <w:r w:rsidR="00147FF1" w:rsidRPr="63259912">
        <w:t>.</w:t>
      </w:r>
      <w:r w:rsidRPr="63259912">
        <w:t xml:space="preserve"> 143</w:t>
      </w:r>
      <w:r w:rsidR="005B41DA" w:rsidRPr="63259912">
        <w:t>/21</w:t>
      </w:r>
      <w:r w:rsidR="00147FF1" w:rsidRPr="63259912">
        <w:t>.</w:t>
      </w:r>
      <w:r w:rsidRPr="63259912">
        <w:t>), Uredba o udjelu u neto isporučenoj električnoj energiji povlaštenih proizvođača kojeg su opskrbljivači električne energije dužni preuzeti od operatora tržišta električne energije za 2023. godinu (</w:t>
      </w:r>
      <w:r w:rsidR="00147FF1" w:rsidRPr="63259912">
        <w:t>„</w:t>
      </w:r>
      <w:r w:rsidR="00071A4F" w:rsidRPr="63259912">
        <w:t xml:space="preserve">Narodne </w:t>
      </w:r>
      <w:r w:rsidR="00A97AE7" w:rsidRPr="63259912">
        <w:t>novine</w:t>
      </w:r>
      <w:r w:rsidR="00147FF1" w:rsidRPr="63259912">
        <w:t>“</w:t>
      </w:r>
      <w:r w:rsidR="00071A4F" w:rsidRPr="63259912">
        <w:t xml:space="preserve">, </w:t>
      </w:r>
      <w:r w:rsidR="00004BB0" w:rsidRPr="63259912">
        <w:t>br</w:t>
      </w:r>
      <w:r w:rsidR="00147FF1" w:rsidRPr="63259912">
        <w:t>.</w:t>
      </w:r>
      <w:r w:rsidRPr="63259912">
        <w:t xml:space="preserve"> 156</w:t>
      </w:r>
      <w:r w:rsidR="005B41DA" w:rsidRPr="63259912">
        <w:t>/22</w:t>
      </w:r>
      <w:r w:rsidR="00147FF1" w:rsidRPr="63259912">
        <w:t>.</w:t>
      </w:r>
      <w:r w:rsidRPr="63259912">
        <w:t>), Uredba o korištenju obnovljivih izvora energije i visokoučinkovitih kogeneracija (</w:t>
      </w:r>
      <w:r w:rsidR="00147FF1" w:rsidRPr="63259912">
        <w:t>„</w:t>
      </w:r>
      <w:r w:rsidR="00071A4F" w:rsidRPr="63259912">
        <w:t xml:space="preserve">Narodne </w:t>
      </w:r>
      <w:r w:rsidR="00A97AE7" w:rsidRPr="63259912">
        <w:t>novine</w:t>
      </w:r>
      <w:r w:rsidR="00147FF1" w:rsidRPr="63259912">
        <w:t>“</w:t>
      </w:r>
      <w:r w:rsidR="00071A4F" w:rsidRPr="63259912">
        <w:t xml:space="preserve">, </w:t>
      </w:r>
      <w:r w:rsidR="00004BB0" w:rsidRPr="63259912">
        <w:t>br</w:t>
      </w:r>
      <w:r w:rsidR="00147FF1" w:rsidRPr="63259912">
        <w:t>.</w:t>
      </w:r>
      <w:r w:rsidRPr="63259912">
        <w:t xml:space="preserve"> 28/</w:t>
      </w:r>
      <w:r w:rsidR="00146DB0" w:rsidRPr="63259912">
        <w:t>2</w:t>
      </w:r>
      <w:r w:rsidRPr="63259912">
        <w:t>3), Odluka o naknadi za obnovljive izvore energije i visokoučinkovitu kogeneraciju (</w:t>
      </w:r>
      <w:r w:rsidR="00C05135" w:rsidRPr="63259912">
        <w:t>„</w:t>
      </w:r>
      <w:r w:rsidR="00071A4F" w:rsidRPr="63259912">
        <w:t xml:space="preserve">Narodne </w:t>
      </w:r>
      <w:r w:rsidR="00A97AE7" w:rsidRPr="63259912">
        <w:t>novine</w:t>
      </w:r>
      <w:r w:rsidR="00C05135" w:rsidRPr="63259912">
        <w:t>“</w:t>
      </w:r>
      <w:r w:rsidR="00071A4F" w:rsidRPr="63259912">
        <w:t xml:space="preserve">, </w:t>
      </w:r>
      <w:r w:rsidR="00004BB0" w:rsidRPr="63259912">
        <w:t>br</w:t>
      </w:r>
      <w:r w:rsidR="00C05135" w:rsidRPr="63259912">
        <w:t>.</w:t>
      </w:r>
      <w:r w:rsidRPr="63259912">
        <w:t xml:space="preserve"> 31</w:t>
      </w:r>
      <w:r w:rsidR="005B41DA" w:rsidRPr="63259912">
        <w:t>/23</w:t>
      </w:r>
      <w:r w:rsidR="00C05135" w:rsidRPr="63259912">
        <w:t>.</w:t>
      </w:r>
      <w:r w:rsidRPr="63259912">
        <w:t>) te Uredba o kriterijima za plaćanje umanjene naknade za obnovljive izvore energije i visokoučinkovitu kogeneraciju (</w:t>
      </w:r>
      <w:r w:rsidR="00C05135" w:rsidRPr="63259912">
        <w:t>„</w:t>
      </w:r>
      <w:r w:rsidR="00071A4F" w:rsidRPr="63259912">
        <w:t xml:space="preserve">Narodne </w:t>
      </w:r>
      <w:r w:rsidR="00A97AE7" w:rsidRPr="63259912">
        <w:t>novine</w:t>
      </w:r>
      <w:r w:rsidR="00C05135" w:rsidRPr="63259912">
        <w:t>“</w:t>
      </w:r>
      <w:r w:rsidR="00071A4F" w:rsidRPr="63259912">
        <w:t xml:space="preserve">, </w:t>
      </w:r>
      <w:r w:rsidR="00004BB0" w:rsidRPr="63259912">
        <w:t>br</w:t>
      </w:r>
      <w:r w:rsidR="00C05135" w:rsidRPr="63259912">
        <w:t>.</w:t>
      </w:r>
      <w:r w:rsidRPr="63259912">
        <w:t xml:space="preserve"> 31</w:t>
      </w:r>
      <w:r w:rsidR="005B41DA" w:rsidRPr="63259912">
        <w:t>/23</w:t>
      </w:r>
      <w:r w:rsidR="00C05135" w:rsidRPr="63259912">
        <w:t>.</w:t>
      </w:r>
      <w:r w:rsidRPr="63259912">
        <w:t>). Upravo Uredba o korištenju obnovljivih izvora energije i visokoučinkovitih kogeneracija utvrđuje metodologiju utvrđivanja udjela energije iz OIE u konačnoj bruto potrošnji energije, kriterije održivosti i uštede emisija stakleničkih plinova za biogoriva, tekuća biogoriva i goriva iz biomase i njihovu provjeru. Zajedno s Uredbom o sustavu jamstva podrijetla energije predstavlja akte potrebne za potpuni prijenos Direktive 2018/2001 o promicanju uporabe energije iz obnovljivih izvora u zakonodavstvo RH. Vezano za plutajuće sunčane elektrane i njihovo postavljanje na vodne površine koje su javno dobro izmjenom zakona u području vodnog gospodarstva (Zakon o vodama (</w:t>
      </w:r>
      <w:r w:rsidR="00C05135" w:rsidRPr="63259912">
        <w:t>„</w:t>
      </w:r>
      <w:r w:rsidR="00071A4F" w:rsidRPr="63259912">
        <w:t xml:space="preserve">Narodne </w:t>
      </w:r>
      <w:r w:rsidR="00A97AE7" w:rsidRPr="63259912">
        <w:t>novine</w:t>
      </w:r>
      <w:r w:rsidR="00C05135" w:rsidRPr="63259912">
        <w:t>“</w:t>
      </w:r>
      <w:r w:rsidR="00071A4F" w:rsidRPr="63259912">
        <w:t>, br</w:t>
      </w:r>
      <w:r w:rsidR="00CE5BE7" w:rsidRPr="63259912">
        <w:t>.</w:t>
      </w:r>
      <w:r w:rsidRPr="63259912">
        <w:t xml:space="preserve"> 66</w:t>
      </w:r>
      <w:r w:rsidR="005B41DA" w:rsidRPr="63259912">
        <w:t>/19</w:t>
      </w:r>
      <w:r w:rsidR="00C05135" w:rsidRPr="63259912">
        <w:t>.</w:t>
      </w:r>
      <w:r w:rsidRPr="63259912">
        <w:t xml:space="preserve"> i 84</w:t>
      </w:r>
      <w:r w:rsidR="005B41DA" w:rsidRPr="63259912">
        <w:t>/21</w:t>
      </w:r>
      <w:r w:rsidR="00C05135" w:rsidRPr="63259912">
        <w:t>.</w:t>
      </w:r>
      <w:r w:rsidRPr="63259912">
        <w:t>) te Pravilnik o izdavanju vodopravnih akata (</w:t>
      </w:r>
      <w:r w:rsidR="00C05135" w:rsidRPr="63259912">
        <w:t>„</w:t>
      </w:r>
      <w:r w:rsidR="00071A4F" w:rsidRPr="63259912">
        <w:t xml:space="preserve">Narodne </w:t>
      </w:r>
      <w:r w:rsidR="00A97AE7" w:rsidRPr="63259912">
        <w:t>novine</w:t>
      </w:r>
      <w:r w:rsidR="00C05135" w:rsidRPr="63259912">
        <w:t>“</w:t>
      </w:r>
      <w:r w:rsidR="00071A4F" w:rsidRPr="63259912">
        <w:t xml:space="preserve">, </w:t>
      </w:r>
      <w:r w:rsidR="00004BB0" w:rsidRPr="63259912">
        <w:t>br</w:t>
      </w:r>
      <w:r w:rsidR="00C05135" w:rsidRPr="63259912">
        <w:t>.</w:t>
      </w:r>
      <w:r w:rsidRPr="63259912">
        <w:t xml:space="preserve"> 9/20</w:t>
      </w:r>
      <w:r w:rsidR="00C05135" w:rsidRPr="63259912">
        <w:t>.</w:t>
      </w:r>
      <w:r w:rsidRPr="63259912">
        <w:t>)) omogućeno je ishođenje vodopravne dozvole za korištenje vodenih površina za postavljanje plutajućih objekata.</w:t>
      </w:r>
    </w:p>
    <w:p w14:paraId="5D6C2225" w14:textId="530F7B3E" w:rsidR="00C4150A" w:rsidRPr="00B47BDA" w:rsidRDefault="00C4150A" w:rsidP="004623DD">
      <w:pPr>
        <w:pStyle w:val="NormalWeb"/>
      </w:pPr>
      <w:r w:rsidRPr="00B47BDA">
        <w:t>Shodno tome, nadležnost za kreiranje i unaprjeđenje regulatornog okvira za sektor OIE podijeljena je između M</w:t>
      </w:r>
      <w:r w:rsidR="00356E32" w:rsidRPr="00B47BDA">
        <w:t>IN</w:t>
      </w:r>
      <w:r w:rsidRPr="00B47BDA">
        <w:t xml:space="preserve">GO-a (energetika, zaštita okoliša i prirode), </w:t>
      </w:r>
      <w:r w:rsidR="009F1C94">
        <w:t>MPGI</w:t>
      </w:r>
      <w:r w:rsidRPr="00B47BDA">
        <w:t xml:space="preserve"> (prostorno planiranje, gradnja), AZU-a (geotermalna energija), HERA-e, HROTE-a, HOPS-a i ODS-a kao i druga nadležna javna tijela za pojedina upravna područja (poljoprivredno zemljište, šume, vodno gospodarstvo). </w:t>
      </w:r>
    </w:p>
    <w:p w14:paraId="47BE752B" w14:textId="2D8BA534" w:rsidR="00707272" w:rsidRPr="00B47BDA" w:rsidRDefault="00C4150A" w:rsidP="004623DD">
      <w:pPr>
        <w:pStyle w:val="NormalWeb"/>
      </w:pPr>
      <w:r w:rsidRPr="00B47BDA">
        <w:t>Također, za očekivati je i dodatne dorade okvira za OIE, sljedeći aktualnu reviziju EU klimatskog i energetskog zakonodavstva te novopredloženu reformu modela tržišta električne energije EU, koje između ostalog ima za cilj povećano korištenje OIE.</w:t>
      </w:r>
    </w:p>
    <w:p w14:paraId="38942107" w14:textId="77777777" w:rsidR="00C4150A" w:rsidRPr="00B47BDA" w:rsidRDefault="00C4150A" w:rsidP="004623DD">
      <w:pPr>
        <w:pStyle w:val="NormalWeb"/>
      </w:pPr>
      <w:r w:rsidRPr="00B47BDA">
        <w:rPr>
          <w:b/>
        </w:rPr>
        <w:t>Aktivnosti:</w:t>
      </w:r>
      <w:r w:rsidRPr="00B47BDA">
        <w:t xml:space="preserve"> U okviru mjere provest će se sljedeće aktivnosti: </w:t>
      </w:r>
    </w:p>
    <w:p w14:paraId="25C3DC44" w14:textId="77777777" w:rsidR="00C4150A" w:rsidRPr="00B47BDA" w:rsidRDefault="00C4150A" w:rsidP="004623DD">
      <w:pPr>
        <w:pStyle w:val="NormalWeb"/>
        <w:rPr>
          <w:color w:val="000000"/>
        </w:rPr>
      </w:pPr>
      <w:r w:rsidRPr="00B47BDA">
        <w:rPr>
          <w:b/>
        </w:rPr>
        <w:t>Svi sudionici:</w:t>
      </w:r>
      <w:r w:rsidRPr="00B47BDA">
        <w:t xml:space="preserve"> i) kontinuirano uklanjanje prepreka i rasterećenje administrativnih postupaka koji ograničavaju veće korištenje energije iz OI, ii) uklanjanje međusektorske neusklađenosti propisa koja onemogućavaju realizaciju projekata OIE projekata.</w:t>
      </w:r>
    </w:p>
    <w:p w14:paraId="3189CC85" w14:textId="3F6E9C3F" w:rsidR="008B4366" w:rsidRPr="00B47BDA" w:rsidRDefault="00C4150A" w:rsidP="004623DD">
      <w:pPr>
        <w:pStyle w:val="NormalWeb"/>
      </w:pPr>
      <w:r w:rsidRPr="00B47BDA">
        <w:rPr>
          <w:b/>
        </w:rPr>
        <w:t>M</w:t>
      </w:r>
      <w:r w:rsidR="00356E32" w:rsidRPr="00B47BDA">
        <w:rPr>
          <w:b/>
        </w:rPr>
        <w:t>IN</w:t>
      </w:r>
      <w:r w:rsidRPr="00B47BDA">
        <w:rPr>
          <w:b/>
        </w:rPr>
        <w:t xml:space="preserve">GO </w:t>
      </w:r>
      <w:r w:rsidR="00072176">
        <w:rPr>
          <w:b/>
        </w:rPr>
        <w:t xml:space="preserve">i </w:t>
      </w:r>
      <w:r w:rsidR="00CF5410" w:rsidRPr="008F513D">
        <w:rPr>
          <w:b/>
        </w:rPr>
        <w:t>Ministarstv</w:t>
      </w:r>
      <w:r w:rsidR="00CF5410">
        <w:rPr>
          <w:b/>
        </w:rPr>
        <w:t>o</w:t>
      </w:r>
      <w:r w:rsidR="00CF5410" w:rsidRPr="008F513D">
        <w:rPr>
          <w:b/>
        </w:rPr>
        <w:t xml:space="preserve"> zaštite okoliša i zelene tranzicije</w:t>
      </w:r>
      <w:r w:rsidRPr="00B47BDA">
        <w:rPr>
          <w:b/>
        </w:rPr>
        <w:t>:</w:t>
      </w:r>
      <w:r w:rsidRPr="00B47BDA">
        <w:t xml:space="preserve"> i) pripremiti za Vladu RH prijedlog uredbe o uvjetima natječaja za energetsko odobrenje ii) osigurati donošenje nedostajućih podzakonskih akata te proaktivno surađivati s nadležnim subjektima u postupku njihove izrade i usklađivanja ii</w:t>
      </w:r>
      <w:r w:rsidR="00913877">
        <w:t>i</w:t>
      </w:r>
      <w:r w:rsidRPr="00B47BDA">
        <w:t>) ojačati kapacitete za pružanje smjernica investitorima tijekom cjelokupnog postupka izdavanja dozvola, i</w:t>
      </w:r>
      <w:r w:rsidR="00913877">
        <w:t>v</w:t>
      </w:r>
      <w:r w:rsidRPr="00B47BDA">
        <w:t>) izraditi analizu pokretača, prepreka i alternativa te mogućnosti potpore za sklapanje i realizaciju korporativnih ugovora za kupnju obnovljive energije, kako bi se utvrdio njihov potencijal u ostvarenju nacionalnih ciljeva i stvorilo povoljno i stabilno regulatorno okruženje v) pratiti usvajanje zakonodavnih akata EU i usklađivati propise iz svoje nadležnosti sukladno usvojenim direktivama i uredbama</w:t>
      </w:r>
      <w:r w:rsidR="0043144C">
        <w:t>, v</w:t>
      </w:r>
      <w:r w:rsidR="00913877">
        <w:t>i</w:t>
      </w:r>
      <w:r w:rsidR="0043144C">
        <w:t xml:space="preserve">) </w:t>
      </w:r>
      <w:r w:rsidR="00F3337C">
        <w:t xml:space="preserve">pojednostavljenje procedura za </w:t>
      </w:r>
      <w:r w:rsidR="00F3337C">
        <w:lastRenderedPageBreak/>
        <w:t>razvoj OIE projekata</w:t>
      </w:r>
      <w:r w:rsidR="006E67D7">
        <w:t>, vii</w:t>
      </w:r>
      <w:r w:rsidR="006E67D7" w:rsidRPr="006E67D7">
        <w:t xml:space="preserve">) </w:t>
      </w:r>
      <w:r w:rsidR="006E67D7" w:rsidRPr="0092041D">
        <w:t>definirati cjeloviti regulatorni okvir</w:t>
      </w:r>
      <w:r w:rsidR="006E67D7" w:rsidRPr="005554E5">
        <w:t xml:space="preserve"> za izgradnju i pogon spremnika energije</w:t>
      </w:r>
      <w:r w:rsidRPr="006E67D7">
        <w:t>.</w:t>
      </w:r>
      <w:r w:rsidRPr="00B47BDA">
        <w:t xml:space="preserve"> </w:t>
      </w:r>
    </w:p>
    <w:p w14:paraId="65197940" w14:textId="7B9F104D" w:rsidR="00C4150A" w:rsidRPr="00B47BDA" w:rsidRDefault="00C4150A" w:rsidP="004623DD">
      <w:pPr>
        <w:pStyle w:val="NormalWeb"/>
      </w:pPr>
      <w:r w:rsidRPr="00B47BDA">
        <w:rPr>
          <w:b/>
        </w:rPr>
        <w:t>HERA:</w:t>
      </w:r>
      <w:r w:rsidRPr="00B47BDA">
        <w:t xml:space="preserve"> </w:t>
      </w:r>
      <w:r w:rsidR="00CC5C40">
        <w:t>U</w:t>
      </w:r>
      <w:r w:rsidRPr="00B47BDA">
        <w:t>tvrditi jedinični iznos naknade za priključenje na elektroenergetsku mrežu</w:t>
      </w:r>
      <w:r w:rsidR="00CC5C40">
        <w:t>.</w:t>
      </w:r>
    </w:p>
    <w:p w14:paraId="1D4D73A7" w14:textId="7857DE10" w:rsidR="00C4150A" w:rsidRPr="00B47BDA" w:rsidRDefault="00D46DDF" w:rsidP="004623DD">
      <w:pPr>
        <w:pStyle w:val="NormalWeb"/>
      </w:pPr>
      <w:r w:rsidRPr="008F513D">
        <w:rPr>
          <w:b/>
        </w:rPr>
        <w:t>Ministarstv</w:t>
      </w:r>
      <w:r>
        <w:rPr>
          <w:b/>
        </w:rPr>
        <w:t>o</w:t>
      </w:r>
      <w:r w:rsidRPr="008F513D">
        <w:rPr>
          <w:b/>
        </w:rPr>
        <w:t xml:space="preserve"> zaštite okoliša i zelene tranzicije</w:t>
      </w:r>
      <w:r w:rsidR="00C4150A" w:rsidRPr="00B47BDA">
        <w:rPr>
          <w:b/>
        </w:rPr>
        <w:t>:</w:t>
      </w:r>
      <w:r w:rsidR="00C4150A" w:rsidRPr="00B47BDA">
        <w:t xml:space="preserve"> i) razmotriti potrebu podizanja granice za potrebe provođenja postupka ocjene utjecaja projekta na okoliš i prirodu</w:t>
      </w:r>
      <w:r w:rsidR="00EB1B32">
        <w:t>,</w:t>
      </w:r>
      <w:r w:rsidR="00C4150A" w:rsidRPr="00B47BDA">
        <w:t xml:space="preserve"> ii) zakonski definirati slučajeve u kojima kod primjene novije tehnologije nije potrebno provoditi nove postupke vezane uz procjenu utjecaja na okoliš.</w:t>
      </w:r>
    </w:p>
    <w:p w14:paraId="3F5A9A9F" w14:textId="7649F8D6" w:rsidR="00C4150A" w:rsidRDefault="00C4150A" w:rsidP="004623DD">
      <w:pPr>
        <w:pStyle w:val="NormalWeb"/>
      </w:pPr>
      <w:r w:rsidRPr="00B47BDA">
        <w:rPr>
          <w:b/>
        </w:rPr>
        <w:t xml:space="preserve">MINGO i </w:t>
      </w:r>
      <w:r w:rsidR="009F1C94">
        <w:rPr>
          <w:b/>
        </w:rPr>
        <w:t>MPGI</w:t>
      </w:r>
      <w:r w:rsidRPr="00B47BDA">
        <w:rPr>
          <w:b/>
        </w:rPr>
        <w:t>:</w:t>
      </w:r>
      <w:r w:rsidRPr="00B47BDA">
        <w:t xml:space="preserve"> i) osigurati usklađenost energetskih propisa s propisima za prostorno planiranje i gradnju, ii) osigurati ujednačenu primjenu od strane nadležnih tijela kroz edukaciju, informiranja, nadzor i sl. </w:t>
      </w:r>
    </w:p>
    <w:p w14:paraId="037A9343" w14:textId="5D3472E6" w:rsidR="00960AA3" w:rsidRPr="00B47BDA" w:rsidRDefault="00CE3A63" w:rsidP="004623DD">
      <w:pPr>
        <w:pStyle w:val="NormalWeb"/>
      </w:pPr>
      <w:r w:rsidRPr="00CE3A63">
        <w:rPr>
          <w:b/>
          <w:bCs/>
        </w:rPr>
        <w:t>MMPI:</w:t>
      </w:r>
      <w:r>
        <w:t xml:space="preserve"> </w:t>
      </w:r>
      <w:r w:rsidRPr="00CE3A63">
        <w:t>Dopuniti Zakon o koncesijama na pomorskom dobru za prepoz</w:t>
      </w:r>
      <w:r w:rsidR="00FC5B14">
        <w:t>n</w:t>
      </w:r>
      <w:r w:rsidRPr="00CE3A63">
        <w:t>avanje kor</w:t>
      </w:r>
      <w:r w:rsidR="00FC5B14">
        <w:t>i</w:t>
      </w:r>
      <w:r w:rsidRPr="00CE3A63">
        <w:t>štenja morskog područja za proizvodnju energije iz obnovljivih izvora energije kako bi se omogućio razvoj obnovljivih izvora na moru, prvenstveno pučinskih vjetroelektrana te dizalica topline.</w:t>
      </w:r>
    </w:p>
    <w:p w14:paraId="11EA8E25" w14:textId="2B6C3E00" w:rsidR="00C4150A" w:rsidRPr="00A07072" w:rsidRDefault="009F1C94" w:rsidP="63259912">
      <w:pPr>
        <w:pStyle w:val="NormalWeb"/>
        <w:rPr>
          <w:rFonts w:cs="Calibri"/>
        </w:rPr>
      </w:pPr>
      <w:r w:rsidRPr="63259912">
        <w:rPr>
          <w:rFonts w:cs="Calibri"/>
          <w:b/>
          <w:bCs/>
        </w:rPr>
        <w:t>MPGI</w:t>
      </w:r>
      <w:r w:rsidR="00C4150A" w:rsidRPr="63259912">
        <w:rPr>
          <w:rFonts w:cs="Calibri"/>
          <w:b/>
          <w:bCs/>
        </w:rPr>
        <w:t>:</w:t>
      </w:r>
      <w:r w:rsidR="00C4150A" w:rsidRPr="63259912">
        <w:rPr>
          <w:rFonts w:cs="Calibri"/>
        </w:rPr>
        <w:t xml:space="preserve"> i) Pravilnikom o jednostavnim građevinama urediti status sunčanih elektrane koje se koriste za samoopskrbu kako bi ih se izuzelo od obveze ishođenja energetskog odobrenja ii) urediti status agrosolarnih elektrana i geotermalnih bušotina za poljoprivredne svrhe u Zakonu o prostornom planiranju iii) osigurati nastavak funkcioniranja sustava certificiranih instalatera za male OIE sustave iv) osigurati provedbu obveze za korištenje sustava OIE na novim zgradama (regulativa vezana za zgradarstvo)</w:t>
      </w:r>
      <w:r w:rsidR="006E6182" w:rsidRPr="63259912">
        <w:rPr>
          <w:rFonts w:cs="Calibri"/>
        </w:rPr>
        <w:t>.</w:t>
      </w:r>
    </w:p>
    <w:p w14:paraId="6E5BE6BF" w14:textId="234509AE" w:rsidR="00C4150A" w:rsidRPr="00A07072" w:rsidRDefault="00C4150A" w:rsidP="004623DD">
      <w:pPr>
        <w:pStyle w:val="NormalWeb"/>
        <w:rPr>
          <w:rFonts w:cs="Calibri"/>
        </w:rPr>
      </w:pPr>
      <w:r w:rsidRPr="00A07072">
        <w:rPr>
          <w:rFonts w:cs="Calibri"/>
          <w:b/>
        </w:rPr>
        <w:t xml:space="preserve">HROTE, MINGO, </w:t>
      </w:r>
      <w:r w:rsidR="009F1C94" w:rsidRPr="00A07072">
        <w:rPr>
          <w:rFonts w:cs="Calibri"/>
          <w:b/>
        </w:rPr>
        <w:t>MPGI</w:t>
      </w:r>
      <w:r w:rsidRPr="00A07072">
        <w:rPr>
          <w:rFonts w:cs="Calibri"/>
          <w:b/>
        </w:rPr>
        <w:t>, HERA, HOPS, ODS:</w:t>
      </w:r>
      <w:r w:rsidRPr="00A07072">
        <w:rPr>
          <w:rFonts w:cs="Calibri"/>
        </w:rPr>
        <w:t xml:space="preserve"> </w:t>
      </w:r>
      <w:r w:rsidR="00852E01">
        <w:rPr>
          <w:rFonts w:cs="Calibri"/>
        </w:rPr>
        <w:t>I</w:t>
      </w:r>
      <w:r w:rsidRPr="00A07072">
        <w:rPr>
          <w:rFonts w:cs="Calibri"/>
        </w:rPr>
        <w:t>zraditi i objaviti priručnik - vodič kojim se daje cjelovita informacija o postupcima ishođenja dozvola za izgradnju proizvodnog postrojenja iz obnovljive energije, posebno vodeći računa o malim projektima i projektima potrošača vlastite energije iz obnovljivih izvora (obveza iz Zakona o obnovljivim izvorima energije i visokoučinkovitoj kogeneraciji)</w:t>
      </w:r>
      <w:r w:rsidR="00C30ACA">
        <w:rPr>
          <w:rFonts w:cs="Calibri"/>
        </w:rPr>
        <w:t>.</w:t>
      </w:r>
    </w:p>
    <w:p w14:paraId="3FEBAA5D" w14:textId="242BD944" w:rsidR="00C4150A" w:rsidRPr="00A07072" w:rsidRDefault="009F1C94" w:rsidP="004623DD">
      <w:pPr>
        <w:pStyle w:val="NormalWeb"/>
        <w:rPr>
          <w:rFonts w:cs="Calibri"/>
        </w:rPr>
      </w:pPr>
      <w:r w:rsidRPr="00A07072">
        <w:rPr>
          <w:rFonts w:cs="Calibri"/>
          <w:b/>
        </w:rPr>
        <w:t>MPGI</w:t>
      </w:r>
      <w:r w:rsidR="00C4150A" w:rsidRPr="00A07072">
        <w:rPr>
          <w:rFonts w:cs="Calibri"/>
          <w:b/>
        </w:rPr>
        <w:t>:</w:t>
      </w:r>
      <w:r w:rsidR="00C4150A" w:rsidRPr="00A07072">
        <w:rPr>
          <w:rFonts w:cs="Calibri"/>
        </w:rPr>
        <w:t xml:space="preserve"> </w:t>
      </w:r>
      <w:r w:rsidR="00852E01">
        <w:rPr>
          <w:rFonts w:cs="Calibri"/>
        </w:rPr>
        <w:t>U</w:t>
      </w:r>
      <w:r w:rsidR="00C4150A" w:rsidRPr="00A07072">
        <w:rPr>
          <w:rFonts w:cs="Calibri"/>
        </w:rPr>
        <w:t>ređuje i uvodi obaveze za korištenje sustava OIE na novim zgradama (regulativa vezana za zgradarstvo)</w:t>
      </w:r>
      <w:r w:rsidR="006E6182">
        <w:rPr>
          <w:rFonts w:cs="Calibri"/>
        </w:rPr>
        <w:t>.</w:t>
      </w:r>
    </w:p>
    <w:p w14:paraId="4EF38C73" w14:textId="71FB63A4" w:rsidR="00C4150A" w:rsidRPr="00A07072" w:rsidRDefault="009F1C94" w:rsidP="004623DD">
      <w:pPr>
        <w:pStyle w:val="NormalWeb"/>
        <w:rPr>
          <w:rFonts w:cs="Calibri"/>
        </w:rPr>
      </w:pPr>
      <w:r w:rsidRPr="00A07072">
        <w:rPr>
          <w:rFonts w:cs="Calibri"/>
          <w:b/>
        </w:rPr>
        <w:t>MPGI</w:t>
      </w:r>
      <w:r w:rsidR="00C4150A" w:rsidRPr="00A07072">
        <w:rPr>
          <w:rFonts w:cs="Calibri"/>
          <w:b/>
        </w:rPr>
        <w:t>:</w:t>
      </w:r>
      <w:r w:rsidR="00C4150A" w:rsidRPr="00A07072">
        <w:rPr>
          <w:rFonts w:cs="Calibri"/>
        </w:rPr>
        <w:t xml:space="preserve"> </w:t>
      </w:r>
      <w:r w:rsidR="00852E01">
        <w:rPr>
          <w:rFonts w:cs="Calibri"/>
        </w:rPr>
        <w:t>O</w:t>
      </w:r>
      <w:r w:rsidR="00C4150A" w:rsidRPr="00A07072">
        <w:rPr>
          <w:rFonts w:cs="Calibri"/>
        </w:rPr>
        <w:t>sigurati nastavak funkcioniranja sustava certificiranih instalatera za male OIE sustave</w:t>
      </w:r>
      <w:r w:rsidR="006E6182">
        <w:rPr>
          <w:rFonts w:cs="Calibri"/>
        </w:rPr>
        <w:t>.</w:t>
      </w:r>
    </w:p>
    <w:p w14:paraId="2A88DA4C" w14:textId="36CFE810" w:rsidR="00C4150A" w:rsidRPr="00A07072" w:rsidRDefault="00C4150A" w:rsidP="004623DD">
      <w:pPr>
        <w:pStyle w:val="NormalWeb"/>
        <w:rPr>
          <w:rFonts w:cs="Calibri"/>
        </w:rPr>
      </w:pPr>
      <w:r w:rsidRPr="00A07072">
        <w:rPr>
          <w:rFonts w:cs="Calibri"/>
          <w:b/>
        </w:rPr>
        <w:t>Izvori financiranja</w:t>
      </w:r>
      <w:r w:rsidRPr="00A07072">
        <w:rPr>
          <w:rFonts w:cs="Calibri"/>
        </w:rPr>
        <w:t>: Proračunska sredstva</w:t>
      </w:r>
      <w:r w:rsidR="00A33374" w:rsidRPr="00A07072">
        <w:rPr>
          <w:rFonts w:cs="Calibri"/>
        </w:rPr>
        <w:t>.</w:t>
      </w:r>
    </w:p>
    <w:p w14:paraId="5F2B67F4" w14:textId="31A3795F" w:rsidR="00C4150A" w:rsidRPr="00A07072" w:rsidRDefault="00C4150A" w:rsidP="63259912">
      <w:pPr>
        <w:pStyle w:val="NormalWeb"/>
        <w:rPr>
          <w:rFonts w:cs="Calibri"/>
        </w:rPr>
      </w:pPr>
      <w:r w:rsidRPr="63259912">
        <w:rPr>
          <w:rFonts w:cs="Calibri"/>
          <w:b/>
          <w:bCs/>
        </w:rPr>
        <w:t>Izvršno tijelo</w:t>
      </w:r>
      <w:r w:rsidRPr="63259912">
        <w:rPr>
          <w:rFonts w:cs="Calibri"/>
        </w:rPr>
        <w:t>: M</w:t>
      </w:r>
      <w:r w:rsidR="00356E32" w:rsidRPr="63259912">
        <w:rPr>
          <w:rFonts w:cs="Calibri"/>
        </w:rPr>
        <w:t>IN</w:t>
      </w:r>
      <w:r w:rsidRPr="63259912">
        <w:rPr>
          <w:rFonts w:cs="Calibri"/>
        </w:rPr>
        <w:t>GO</w:t>
      </w:r>
      <w:r w:rsidR="00B47B5F" w:rsidRPr="63259912">
        <w:rPr>
          <w:rFonts w:cs="Calibri"/>
        </w:rPr>
        <w:t xml:space="preserve"> i </w:t>
      </w:r>
      <w:r w:rsidR="00B47B5F" w:rsidRPr="63259912">
        <w:t>Ministarstvo zaštite okoliša i zelene tranzicije</w:t>
      </w:r>
      <w:r w:rsidRPr="63259912">
        <w:rPr>
          <w:rFonts w:cs="Calibri"/>
        </w:rPr>
        <w:t xml:space="preserve"> – općenito uređenje zakonodavnog okvira (donošenje nedostajućih propisa, dorada postojećih propisa, praćenje revizije EU zakonodavstva i usklađivanje); </w:t>
      </w:r>
      <w:r w:rsidR="009F1C94" w:rsidRPr="63259912">
        <w:rPr>
          <w:rFonts w:cs="Calibri"/>
        </w:rPr>
        <w:t>MPGI</w:t>
      </w:r>
      <w:r w:rsidRPr="63259912">
        <w:rPr>
          <w:rFonts w:cs="Calibri"/>
        </w:rPr>
        <w:t xml:space="preserve"> – dorada propisa za prostorno planiranje i gradnju s obzirom na OIE projekte, nastavak funkcioniranja sustava certificiranih instalatera; HERA – metodologija i naknada za priključenje, dozvola energetske djelatnosti; HROTE – pravila organiziranja tržišta energije, izrada sveobuhvatnog priručnika u suradnji s drugim dionicima; HOPS i ODS- planiranje razvoja prijenosnog i distribucijskog sustava; MP</w:t>
      </w:r>
      <w:r w:rsidR="00460C44">
        <w:rPr>
          <w:rFonts w:cs="Calibri"/>
        </w:rPr>
        <w:t>S</w:t>
      </w:r>
      <w:r w:rsidRPr="63259912">
        <w:rPr>
          <w:rFonts w:cs="Calibri"/>
        </w:rPr>
        <w:t xml:space="preserve"> – izgradnja agrosolara; AZU - nastavak provedbe geotermalnih projekata</w:t>
      </w:r>
      <w:r w:rsidRPr="63259912">
        <w:rPr>
          <w:rFonts w:cs="Calibri"/>
          <w:color w:val="000000" w:themeColor="text1"/>
        </w:rPr>
        <w:t>.</w:t>
      </w:r>
    </w:p>
    <w:p w14:paraId="1F3FED62" w14:textId="5E7CA3B3" w:rsidR="00C4150A" w:rsidRPr="00A07072" w:rsidRDefault="00C4150A" w:rsidP="004623DD">
      <w:pPr>
        <w:pStyle w:val="NormalWeb"/>
        <w:rPr>
          <w:rFonts w:cs="Calibri"/>
        </w:rPr>
      </w:pPr>
      <w:r w:rsidRPr="00A07072">
        <w:rPr>
          <w:rFonts w:cs="Calibri"/>
          <w:b/>
        </w:rPr>
        <w:lastRenderedPageBreak/>
        <w:t>Tijela za praćenje:</w:t>
      </w:r>
      <w:r w:rsidRPr="00A07072">
        <w:rPr>
          <w:rFonts w:cs="Calibri"/>
        </w:rPr>
        <w:t xml:space="preserve"> MINGO</w:t>
      </w:r>
      <w:r w:rsidR="00A33374" w:rsidRPr="00A07072">
        <w:rPr>
          <w:rFonts w:cs="Calibri"/>
        </w:rPr>
        <w:t>.</w:t>
      </w:r>
    </w:p>
    <w:p w14:paraId="72829819" w14:textId="77777777" w:rsidR="00C4150A" w:rsidRPr="00A07072" w:rsidRDefault="00C4150A" w:rsidP="004623DD">
      <w:pPr>
        <w:pStyle w:val="NormalWeb"/>
        <w:rPr>
          <w:rFonts w:cs="Calibri"/>
          <w:b/>
        </w:rPr>
      </w:pPr>
      <w:r w:rsidRPr="00A07072">
        <w:rPr>
          <w:rFonts w:cs="Calibri"/>
          <w:b/>
        </w:rPr>
        <w:t xml:space="preserve">Učinak: </w:t>
      </w:r>
      <w:r w:rsidRPr="00A07072">
        <w:rPr>
          <w:rFonts w:cs="Calibri"/>
        </w:rPr>
        <w:t>Rezultat primjene mjere je funkcionalno tržište OIE te povećanje proizvodnje energije i udjela OIE u ukupnoj potrošnji energije.</w:t>
      </w:r>
      <w:r w:rsidRPr="00A07072">
        <w:rPr>
          <w:rFonts w:cs="Calibri"/>
          <w:b/>
        </w:rPr>
        <w:t xml:space="preserve"> </w:t>
      </w:r>
    </w:p>
    <w:p w14:paraId="1711EC93" w14:textId="77777777" w:rsidR="00C4150A" w:rsidRPr="00A07072" w:rsidRDefault="00C4150A" w:rsidP="004623DD">
      <w:pPr>
        <w:pStyle w:val="NormalWeb"/>
        <w:rPr>
          <w:rFonts w:cs="Calibri"/>
        </w:rPr>
      </w:pPr>
      <w:r w:rsidRPr="00A07072">
        <w:rPr>
          <w:rFonts w:cs="Calibri"/>
          <w:b/>
        </w:rPr>
        <w:t>Metoda praćenja:</w:t>
      </w:r>
      <w:r w:rsidRPr="00A07072">
        <w:rPr>
          <w:rFonts w:cs="Calibri"/>
        </w:rPr>
        <w:t xml:space="preserve"> Energetska bilanca, plan i provedba donošenja zakonodavnih akata</w:t>
      </w:r>
      <w:r w:rsidRPr="00A07072">
        <w:rPr>
          <w:rFonts w:cs="Calibri"/>
          <w:color w:val="000000"/>
        </w:rPr>
        <w:t>.</w:t>
      </w:r>
    </w:p>
    <w:p w14:paraId="25AD6FB0" w14:textId="77777777" w:rsidR="00C4150A" w:rsidRPr="00A07072" w:rsidRDefault="00C4150A" w:rsidP="004623DD">
      <w:pPr>
        <w:pStyle w:val="NormalWeb"/>
        <w:rPr>
          <w:rFonts w:cs="Calibri"/>
          <w:b/>
        </w:rPr>
      </w:pPr>
      <w:r w:rsidRPr="00A07072">
        <w:rPr>
          <w:rFonts w:cs="Calibri"/>
          <w:b/>
        </w:rPr>
        <w:t xml:space="preserve">Povezanost s drugim dimenzijama: </w:t>
      </w:r>
      <w:r w:rsidRPr="00A07072">
        <w:rPr>
          <w:rFonts w:cs="Calibri"/>
        </w:rPr>
        <w:t>Mjera je povezana s dimenzijom povećanja energetske sigurnosti i razvoja unutarnjeg energetskog tržišta (legislativno uređenje sektora).</w:t>
      </w:r>
    </w:p>
    <w:bookmarkEnd w:id="438"/>
    <w:p w14:paraId="07E57EE4" w14:textId="4364AFF2" w:rsidR="00AB538B" w:rsidRPr="00B47BDA" w:rsidRDefault="00AB538B" w:rsidP="00EE67E0">
      <w:pPr>
        <w:pStyle w:val="Mjeranaslov"/>
      </w:pPr>
      <w:r w:rsidRPr="00B47BDA">
        <w:t>OIE-</w:t>
      </w:r>
      <w:r w:rsidR="00BA114A">
        <w:t>4</w:t>
      </w:r>
      <w:r w:rsidRPr="00B47BDA">
        <w:t xml:space="preserve"> </w:t>
      </w:r>
      <w:r w:rsidR="00294BE4" w:rsidRPr="00B47BDA">
        <w:t>K</w:t>
      </w:r>
      <w:r w:rsidRPr="00B47BDA">
        <w:t>orištenj</w:t>
      </w:r>
      <w:r w:rsidR="00F421A6" w:rsidRPr="00B47BDA">
        <w:t>e</w:t>
      </w:r>
      <w:r w:rsidRPr="00B47BDA">
        <w:t xml:space="preserve"> OIE za proizvodnju električne energije</w:t>
      </w:r>
    </w:p>
    <w:p w14:paraId="0A41AAE7" w14:textId="77777777" w:rsidR="00AB538B" w:rsidRPr="00B47BDA" w:rsidRDefault="00AB538B" w:rsidP="004623DD">
      <w:pPr>
        <w:pStyle w:val="NormalWeb"/>
      </w:pPr>
      <w:r w:rsidRPr="00B47BDA">
        <w:t>Financijska mjera; provedba 2021.-2030.</w:t>
      </w:r>
    </w:p>
    <w:p w14:paraId="5E128A7E" w14:textId="7A214E5C" w:rsidR="00AB538B" w:rsidRPr="00B47BDA" w:rsidRDefault="00AB538B" w:rsidP="004623DD">
      <w:pPr>
        <w:pStyle w:val="NormalWeb"/>
      </w:pPr>
      <w:r w:rsidRPr="00B47BDA">
        <w:rPr>
          <w:b/>
        </w:rPr>
        <w:t>Cilj i opis mjere:</w:t>
      </w:r>
      <w:r w:rsidRPr="00B47BDA">
        <w:t xml:space="preserve"> Osiguravanje financijskih poticaja za razvoj projekata korištenja OIE za proizvodnju električne energije. Poticanje korištenja OIE za proizvodnju električne energije će se provoditi na nacionalnoj razini.</w:t>
      </w:r>
    </w:p>
    <w:p w14:paraId="0857F2F9" w14:textId="77777777" w:rsidR="00AB538B" w:rsidRPr="00B47BDA" w:rsidRDefault="00AB538B" w:rsidP="004623DD">
      <w:pPr>
        <w:pStyle w:val="NormalWeb"/>
      </w:pPr>
      <w:r w:rsidRPr="00B47BDA">
        <w:rPr>
          <w:b/>
        </w:rPr>
        <w:t>Aktivnosti:</w:t>
      </w:r>
      <w:r w:rsidRPr="00B47BDA">
        <w:t xml:space="preserve"> U okviru mjere provest će se sljedeće aktivnosti: </w:t>
      </w:r>
    </w:p>
    <w:p w14:paraId="3110DCDA" w14:textId="6E82F784" w:rsidR="00AB538B" w:rsidRPr="00B47BDA" w:rsidRDefault="00AB538B" w:rsidP="00A76627">
      <w:pPr>
        <w:pStyle w:val="ListParagraph"/>
        <w:numPr>
          <w:ilvl w:val="0"/>
          <w:numId w:val="51"/>
        </w:numPr>
        <w:spacing w:after="60"/>
        <w:ind w:left="714" w:hanging="357"/>
      </w:pPr>
      <w:r w:rsidRPr="00B47BDA">
        <w:t>HROTE nastavlja isplatu poticaja za proizvodnju električne energije elektranama koja koriste OIE u razdoblju trajanja ugovora o otkupu</w:t>
      </w:r>
      <w:r w:rsidR="00966FDC" w:rsidRPr="00B47BDA">
        <w:t xml:space="preserve"> (sustav poticanja, premijski sustav)</w:t>
      </w:r>
      <w:r w:rsidRPr="00B47BDA">
        <w:t>;</w:t>
      </w:r>
    </w:p>
    <w:p w14:paraId="6EF558FB" w14:textId="41083B9A" w:rsidR="00AB538B" w:rsidRPr="00B47BDA" w:rsidRDefault="00AB538B" w:rsidP="00A76627">
      <w:pPr>
        <w:pStyle w:val="ListParagraph"/>
        <w:numPr>
          <w:ilvl w:val="0"/>
          <w:numId w:val="51"/>
        </w:numPr>
        <w:spacing w:after="60"/>
        <w:ind w:left="714" w:hanging="357"/>
      </w:pPr>
      <w:r w:rsidRPr="00B47BDA">
        <w:t>HROTE izrađuje trogodišnje planove za OIE i raspisuje natječaje za dodjelu tržišne premije</w:t>
      </w:r>
      <w:r w:rsidR="006062D9" w:rsidRPr="00B47BDA">
        <w:t xml:space="preserve"> i zajamčene otkupne cijene</w:t>
      </w:r>
      <w:r w:rsidRPr="00B47BDA">
        <w:t>;</w:t>
      </w:r>
    </w:p>
    <w:p w14:paraId="55638174" w14:textId="09CB9227" w:rsidR="00AB538B" w:rsidRPr="00B47BDA" w:rsidRDefault="00A27AE8" w:rsidP="00A76627">
      <w:pPr>
        <w:pStyle w:val="ListParagraph"/>
        <w:numPr>
          <w:ilvl w:val="0"/>
          <w:numId w:val="51"/>
        </w:numPr>
        <w:spacing w:after="60"/>
        <w:ind w:left="714" w:hanging="357"/>
      </w:pPr>
      <w:r w:rsidRPr="00B47BDA">
        <w:t>Nastavi</w:t>
      </w:r>
      <w:r w:rsidR="006B65AD" w:rsidRPr="00B47BDA">
        <w:t>t</w:t>
      </w:r>
      <w:r w:rsidRPr="00B47BDA">
        <w:t xml:space="preserve"> će se poticanje proizvodnje el. energije putem</w:t>
      </w:r>
      <w:r w:rsidR="00AB538B" w:rsidRPr="00B47BDA">
        <w:t xml:space="preserve"> premijskog sustava prema Zakonu o </w:t>
      </w:r>
      <w:r w:rsidR="0036793D" w:rsidRPr="00B47BDA">
        <w:t>obnovljivim izvorima energije i visokoučinkovitoj kogeneraciji</w:t>
      </w:r>
      <w:r w:rsidR="00AB538B" w:rsidRPr="00B47BDA">
        <w:t xml:space="preserve"> uz modifikacije sustava koje su omogućene promjenom tržnog statusa pojedinih OIE tehnologija te razvojem</w:t>
      </w:r>
      <w:r w:rsidR="0002513F" w:rsidRPr="00B47BDA">
        <w:t xml:space="preserve"> dan unaprijed i </w:t>
      </w:r>
      <w:r w:rsidR="0002513F">
        <w:t>unutar</w:t>
      </w:r>
      <w:r w:rsidR="2FA6F481">
        <w:t xml:space="preserve"> </w:t>
      </w:r>
      <w:r w:rsidR="0002513F">
        <w:t>dnevnog</w:t>
      </w:r>
      <w:r w:rsidR="00AB538B" w:rsidRPr="00B47BDA">
        <w:t xml:space="preserve"> tržišta električne energije, a isključivo radi ublažavanja tržnih rizika novih OIE projekata; premijski sustav se implementira u minimalnom opsegu</w:t>
      </w:r>
      <w:r w:rsidR="007B1CB0" w:rsidRPr="00B47BDA">
        <w:t xml:space="preserve">, uključujući i provedbu hibridnog modela </w:t>
      </w:r>
      <w:r w:rsidR="00DC2CCD" w:rsidRPr="00B47BDA">
        <w:t xml:space="preserve">poticanja </w:t>
      </w:r>
      <w:r w:rsidR="00D94D67" w:rsidRPr="00B47BDA">
        <w:t>premija/tržište,</w:t>
      </w:r>
      <w:r w:rsidR="00AB538B" w:rsidRPr="00B47BDA">
        <w:t xml:space="preserve"> kao tranzicijska mjera do pune trž</w:t>
      </w:r>
      <w:r w:rsidR="003478C5" w:rsidRPr="00B47BDA">
        <w:t>iš</w:t>
      </w:r>
      <w:r w:rsidR="00AB538B" w:rsidRPr="00B47BDA">
        <w:t>ne integracije OIE;</w:t>
      </w:r>
    </w:p>
    <w:p w14:paraId="6ED91069" w14:textId="273E39A5" w:rsidR="00886A76" w:rsidRDefault="00C868FD" w:rsidP="00A76627">
      <w:pPr>
        <w:pStyle w:val="ListParagraph"/>
        <w:numPr>
          <w:ilvl w:val="0"/>
          <w:numId w:val="51"/>
        </w:numPr>
        <w:spacing w:after="60"/>
        <w:ind w:left="714" w:hanging="357"/>
      </w:pPr>
      <w:r>
        <w:t>P</w:t>
      </w:r>
      <w:r w:rsidR="00886A76" w:rsidRPr="00886A76">
        <w:t>utem FZOEU</w:t>
      </w:r>
      <w:r>
        <w:t>,</w:t>
      </w:r>
      <w:r w:rsidR="00886A76" w:rsidRPr="00886A76">
        <w:t xml:space="preserve"> nastavlja</w:t>
      </w:r>
      <w:r>
        <w:t xml:space="preserve"> se</w:t>
      </w:r>
      <w:r w:rsidR="00886A76" w:rsidRPr="00886A76">
        <w:t xml:space="preserve"> poticanje korištenja OIE za proizvodnju električne energije i sustava za skladištenje energije za samoopskrbu i za kupce s vlastitom proizvodnjom kroz dodjele bespovratnih sredstava</w:t>
      </w:r>
      <w:r>
        <w:t>;</w:t>
      </w:r>
    </w:p>
    <w:p w14:paraId="0E29A9D5" w14:textId="05B53729" w:rsidR="00CD763F" w:rsidRPr="00B47BDA" w:rsidRDefault="00CD763F" w:rsidP="00A76627">
      <w:pPr>
        <w:pStyle w:val="ListParagraph"/>
        <w:numPr>
          <w:ilvl w:val="0"/>
          <w:numId w:val="51"/>
        </w:numPr>
        <w:spacing w:after="60"/>
        <w:ind w:left="714" w:hanging="357"/>
      </w:pPr>
      <w:r w:rsidRPr="00B47BDA">
        <w:t xml:space="preserve">Revizija kvota za sve </w:t>
      </w:r>
      <w:r w:rsidR="00C26BF5" w:rsidRPr="00B47BDA">
        <w:t>vrste</w:t>
      </w:r>
      <w:r w:rsidRPr="00B47BDA">
        <w:t xml:space="preserve"> obnovljivih izvora energije</w:t>
      </w:r>
      <w:r w:rsidR="0031629D">
        <w:t>;</w:t>
      </w:r>
    </w:p>
    <w:p w14:paraId="34D22830" w14:textId="4B5F8B28" w:rsidR="00F75854" w:rsidRDefault="00F75854" w:rsidP="00A76627">
      <w:pPr>
        <w:pStyle w:val="ListParagraph"/>
        <w:numPr>
          <w:ilvl w:val="0"/>
          <w:numId w:val="51"/>
        </w:numPr>
        <w:spacing w:after="60"/>
        <w:ind w:left="714" w:hanging="357"/>
      </w:pPr>
      <w:r w:rsidRPr="00B47BDA">
        <w:t xml:space="preserve">Razrada novog modela poticanja </w:t>
      </w:r>
      <w:r w:rsidR="00A27AE8" w:rsidRPr="00B47BDA">
        <w:t>postrojenja</w:t>
      </w:r>
      <w:r w:rsidRPr="00B47BDA">
        <w:t xml:space="preserve"> koja koriste goriva iz biomase</w:t>
      </w:r>
      <w:r w:rsidR="00243844" w:rsidRPr="00B47BDA">
        <w:t xml:space="preserve"> uz osiguranje maksimalnog ispunjanja ciljeva održiv</w:t>
      </w:r>
      <w:r w:rsidR="005600EE" w:rsidRPr="00B47BDA">
        <w:t>osti</w:t>
      </w:r>
      <w:r w:rsidR="00243844" w:rsidRPr="00B47BDA">
        <w:t xml:space="preserve"> </w:t>
      </w:r>
      <w:r w:rsidR="00213C90" w:rsidRPr="00B47BDA">
        <w:t>i kriterija ušteda stakleničkih plinova</w:t>
      </w:r>
      <w:r w:rsidR="0031629D">
        <w:t>;</w:t>
      </w:r>
    </w:p>
    <w:p w14:paraId="7D720F99" w14:textId="40DD8124" w:rsidR="00E775D5" w:rsidRPr="00B47BDA" w:rsidRDefault="008B5B14" w:rsidP="00A76627">
      <w:pPr>
        <w:pStyle w:val="ListParagraph"/>
        <w:numPr>
          <w:ilvl w:val="0"/>
          <w:numId w:val="51"/>
        </w:numPr>
        <w:spacing w:after="60"/>
        <w:ind w:left="714" w:hanging="357"/>
      </w:pPr>
      <w:r>
        <w:t>Razrada modela korištenja postojećih priključaka za nove OIE unutar</w:t>
      </w:r>
      <w:r w:rsidR="0031629D">
        <w:t xml:space="preserve"> obuhvata izgrađenih elektrana;</w:t>
      </w:r>
    </w:p>
    <w:p w14:paraId="6C6C174D" w14:textId="7EF719F8" w:rsidR="004C6299" w:rsidRPr="00B47BDA" w:rsidRDefault="00F214B0" w:rsidP="00A76627">
      <w:pPr>
        <w:pStyle w:val="ListParagraph"/>
        <w:numPr>
          <w:ilvl w:val="0"/>
          <w:numId w:val="51"/>
        </w:numPr>
        <w:spacing w:after="60"/>
        <w:ind w:left="714" w:hanging="357"/>
      </w:pPr>
      <w:r w:rsidRPr="00B47BDA">
        <w:t>Nastavit će se</w:t>
      </w:r>
      <w:r w:rsidR="003478C5" w:rsidRPr="00B47BDA">
        <w:t xml:space="preserve"> s aktivnostima pregleda i analize mogućih geotermalnih potencijala te inicirati pokretanje postupaka nadmetanja radi odabira najpovoljnijeg ponuditelja za istraživanje geotermalnih voda u energetske svrhe</w:t>
      </w:r>
      <w:r w:rsidR="00141484" w:rsidRPr="00B47BDA">
        <w:t xml:space="preserve"> kako bi se povećao udio </w:t>
      </w:r>
      <w:r w:rsidR="005F1F41" w:rsidRPr="00B47BDA">
        <w:t>OIE u proizvodnji električne energije</w:t>
      </w:r>
      <w:r w:rsidR="003478C5" w:rsidRPr="00B47BDA">
        <w:t>;</w:t>
      </w:r>
    </w:p>
    <w:p w14:paraId="656A2B1C" w14:textId="1FE7AB60" w:rsidR="00AB538B" w:rsidRPr="00B47BDA" w:rsidRDefault="00AB538B" w:rsidP="00A76627">
      <w:pPr>
        <w:pStyle w:val="ListParagraph"/>
        <w:numPr>
          <w:ilvl w:val="0"/>
          <w:numId w:val="51"/>
        </w:numPr>
        <w:spacing w:after="60"/>
        <w:ind w:left="714" w:hanging="357"/>
      </w:pPr>
      <w:r w:rsidRPr="00B47BDA">
        <w:lastRenderedPageBreak/>
        <w:t>Nastavlja se primjena modela preuzimanja viškova energije iz postrojenja za samoopskrbu i krajnjih kupaca s vlastitom proizvodnjom uz eventualnu investicijsku potporu</w:t>
      </w:r>
      <w:r w:rsidR="001C4CB1">
        <w:t>,</w:t>
      </w:r>
      <w:r w:rsidRPr="00B47BDA">
        <w:t xml:space="preserve"> i obvezu opskrbljivača da preuzme viškove energije;</w:t>
      </w:r>
    </w:p>
    <w:p w14:paraId="1368927E" w14:textId="240EED34" w:rsidR="00AB538B" w:rsidRPr="00B47BDA" w:rsidRDefault="00AB538B" w:rsidP="00A76627">
      <w:pPr>
        <w:pStyle w:val="ListParagraph"/>
        <w:numPr>
          <w:ilvl w:val="0"/>
          <w:numId w:val="51"/>
        </w:numPr>
        <w:spacing w:after="60"/>
        <w:ind w:left="714" w:hanging="357"/>
      </w:pPr>
      <w:r w:rsidRPr="00B47BDA">
        <w:t xml:space="preserve">FZOEU alocira dio sredstava dobivenih </w:t>
      </w:r>
      <w:r w:rsidR="0065150F" w:rsidRPr="002F1EEF">
        <w:t>prihod</w:t>
      </w:r>
      <w:r w:rsidR="0065150F">
        <w:t>a</w:t>
      </w:r>
      <w:r w:rsidR="0065150F" w:rsidRPr="002F1EEF">
        <w:t xml:space="preserve"> od prodaje emisijskih jedinica iz EU ETS-a</w:t>
      </w:r>
      <w:r w:rsidRPr="00B47BDA">
        <w:t xml:space="preserve"> za mjere poticanja OIE na investicijskoj strani i za rasterećenje krajnjih kupaca od rasta naknade za poticanje OIE</w:t>
      </w:r>
      <w:r w:rsidR="001B201D">
        <w:t xml:space="preserve">, </w:t>
      </w:r>
      <w:r w:rsidR="001B201D" w:rsidRPr="001B201D">
        <w:t>sukladno Zakonu o klimatskim promjenama i zaštiti ozonskog sloja</w:t>
      </w:r>
      <w:r w:rsidRPr="00B47BDA">
        <w:t>;</w:t>
      </w:r>
    </w:p>
    <w:p w14:paraId="4AA44F8B" w14:textId="356E5302" w:rsidR="000B3145" w:rsidRPr="00B47BDA" w:rsidRDefault="00D41BC1" w:rsidP="00A76627">
      <w:pPr>
        <w:pStyle w:val="ListParagraph"/>
        <w:numPr>
          <w:ilvl w:val="0"/>
          <w:numId w:val="51"/>
        </w:numPr>
        <w:spacing w:after="60"/>
        <w:ind w:left="714" w:hanging="357"/>
      </w:pPr>
      <w:r w:rsidRPr="63259912">
        <w:t xml:space="preserve">Certifikacija </w:t>
      </w:r>
      <w:r w:rsidR="00822024" w:rsidRPr="63259912">
        <w:t xml:space="preserve">podrijetla obnovljivih izvora energije, zelenog vodika, biometana </w:t>
      </w:r>
      <w:r w:rsidR="00CA2B4F" w:rsidRPr="63259912">
        <w:t>te ostalih biogoriva</w:t>
      </w:r>
      <w:r w:rsidR="0031629D" w:rsidRPr="63259912">
        <w:t>;</w:t>
      </w:r>
    </w:p>
    <w:p w14:paraId="2DC8A193" w14:textId="30F6DBEC" w:rsidR="00AB538B" w:rsidRDefault="00ED27AF" w:rsidP="00A76627">
      <w:pPr>
        <w:pStyle w:val="ListParagraph"/>
        <w:numPr>
          <w:ilvl w:val="0"/>
          <w:numId w:val="51"/>
        </w:numPr>
        <w:spacing w:after="60"/>
        <w:ind w:left="714" w:hanging="357"/>
      </w:pPr>
      <w:r>
        <w:t>Ministarstvo poljoprivrede</w:t>
      </w:r>
      <w:r w:rsidRPr="00AE6008">
        <w:rPr>
          <w:lang w:eastAsia="hr-HR"/>
        </w:rPr>
        <w:t>, šumarstva i ribarstva</w:t>
      </w:r>
      <w:r>
        <w:t xml:space="preserve"> </w:t>
      </w:r>
      <w:r w:rsidR="00AB538B" w:rsidRPr="00B47BDA">
        <w:t xml:space="preserve">kroz </w:t>
      </w:r>
      <w:r w:rsidR="00A271DE">
        <w:t>Strategiju poljoprivrede</w:t>
      </w:r>
      <w:r w:rsidR="00AB538B" w:rsidRPr="00B47BDA">
        <w:t xml:space="preserve"> osigurava financiranje investicijskih potpora za projekte biomase i drugih OIE</w:t>
      </w:r>
      <w:r w:rsidR="0031629D">
        <w:t>;</w:t>
      </w:r>
    </w:p>
    <w:p w14:paraId="539B6B9F" w14:textId="3941EF00" w:rsidR="00A76627" w:rsidRPr="00B47BDA" w:rsidRDefault="00A76627" w:rsidP="00A76627">
      <w:pPr>
        <w:pStyle w:val="ListParagraph"/>
        <w:numPr>
          <w:ilvl w:val="0"/>
          <w:numId w:val="51"/>
        </w:numPr>
        <w:spacing w:after="60"/>
        <w:ind w:left="714" w:hanging="357"/>
      </w:pPr>
      <w:r w:rsidRPr="00A76627">
        <w:rPr>
          <w:rFonts w:cs="Times New Roman"/>
          <w:lang w:eastAsia="en-GB"/>
        </w:rPr>
        <w:t>Razradit će se modeli poticanja energetskih zajednica građana i zajednica obnovljive energije kao prijavitelja na natječaje na kojima se sufinanciraju OIE sustavi</w:t>
      </w:r>
      <w:r>
        <w:rPr>
          <w:rFonts w:cs="Times New Roman"/>
          <w:lang w:eastAsia="en-GB"/>
        </w:rPr>
        <w:t>.</w:t>
      </w:r>
    </w:p>
    <w:p w14:paraId="04EB47EB" w14:textId="48FA9434" w:rsidR="00AB538B" w:rsidRPr="00B47BDA" w:rsidRDefault="00AB538B" w:rsidP="004623DD">
      <w:pPr>
        <w:pStyle w:val="NormalWeb"/>
        <w:rPr>
          <w:b/>
        </w:rPr>
      </w:pPr>
      <w:r w:rsidRPr="00B47BDA">
        <w:rPr>
          <w:b/>
        </w:rPr>
        <w:t xml:space="preserve">Sredstva potrebna za provedbu: </w:t>
      </w:r>
      <w:r w:rsidR="00310722">
        <w:t xml:space="preserve">oko 1 milijarde </w:t>
      </w:r>
      <w:r w:rsidR="00C01103">
        <w:t>EUR</w:t>
      </w:r>
      <w:r w:rsidRPr="00B47BDA">
        <w:t xml:space="preserve"> za čitavo promatrano razdoblje</w:t>
      </w:r>
      <w:r w:rsidR="00732825" w:rsidRPr="00B47BDA">
        <w:rPr>
          <w:rFonts w:cstheme="minorHAnsi"/>
          <w:color w:val="000000"/>
        </w:rPr>
        <w:t>.</w:t>
      </w:r>
    </w:p>
    <w:p w14:paraId="5132A8BC" w14:textId="1A4B5D7B" w:rsidR="00AB538B" w:rsidRPr="00B47BDA" w:rsidRDefault="263EF9BF" w:rsidP="004623DD">
      <w:pPr>
        <w:pStyle w:val="NormalWeb"/>
      </w:pPr>
      <w:r>
        <w:t>Nivelirani</w:t>
      </w:r>
      <w:r w:rsidR="4FFB8C03">
        <w:t xml:space="preserve"> </w:t>
      </w:r>
      <w:r>
        <w:t xml:space="preserve">troškovi </w:t>
      </w:r>
      <w:r w:rsidR="4FFB8C03">
        <w:t xml:space="preserve">proizvodnje električne energije iz sunčanih i vjetroelektrana </w:t>
      </w:r>
      <w:r>
        <w:t xml:space="preserve">dostigli su </w:t>
      </w:r>
      <w:r w:rsidR="4FFB8C03">
        <w:t xml:space="preserve">razine tržišne cijene, </w:t>
      </w:r>
      <w:r w:rsidR="1AF98B34">
        <w:t xml:space="preserve">posebice nakon značajnijeg rasta cijena </w:t>
      </w:r>
      <w:r w:rsidR="2CCD2E24">
        <w:t>električne</w:t>
      </w:r>
      <w:r w:rsidR="1AF98B34">
        <w:t xml:space="preserve"> energije</w:t>
      </w:r>
      <w:r w:rsidR="608DB568">
        <w:t xml:space="preserve"> u prethodnom </w:t>
      </w:r>
      <w:r w:rsidR="3AF4B374">
        <w:t>razdoblju</w:t>
      </w:r>
      <w:r w:rsidR="1AF98B34">
        <w:t xml:space="preserve"> te su tržišno konku</w:t>
      </w:r>
      <w:r w:rsidR="46ECA378">
        <w:t>rentni</w:t>
      </w:r>
      <w:r w:rsidR="16A263B0">
        <w:t xml:space="preserve">. Reakcija na rast cijena električne </w:t>
      </w:r>
      <w:r w:rsidR="2CCD2E24">
        <w:t>energije</w:t>
      </w:r>
      <w:r w:rsidR="16A263B0">
        <w:t xml:space="preserve"> vidljiva je</w:t>
      </w:r>
      <w:r w:rsidR="1A08BC75">
        <w:t xml:space="preserve"> i</w:t>
      </w:r>
      <w:r w:rsidR="16A263B0">
        <w:t xml:space="preserve"> u samo</w:t>
      </w:r>
      <w:r w:rsidR="1A08BC75">
        <w:t>m</w:t>
      </w:r>
      <w:r w:rsidR="16A263B0">
        <w:t xml:space="preserve"> sustavu poticanja</w:t>
      </w:r>
      <w:r w:rsidR="1E5BFC76">
        <w:t xml:space="preserve">, gdje je </w:t>
      </w:r>
      <w:r w:rsidR="2E15BA00">
        <w:t xml:space="preserve">jedan dio projekata u sustavu poticanja raskinuo dugoročne ugovore i okrenuo se tržištu. </w:t>
      </w:r>
      <w:r w:rsidR="6BA54F4E">
        <w:t>Uzimajući sve navedeno u obzir, za veće projekt</w:t>
      </w:r>
      <w:r w:rsidR="41A4DB80">
        <w:t>e</w:t>
      </w:r>
      <w:r w:rsidR="6BA54F4E">
        <w:t xml:space="preserve"> sunčanih i vjetroelektrana nije potrebno planirati značajnije </w:t>
      </w:r>
      <w:r w:rsidR="41A4DB80">
        <w:t xml:space="preserve">financijske </w:t>
      </w:r>
      <w:r w:rsidR="6BA54F4E">
        <w:t>poticaje, već omogućiti njihov nastup na tržištu (mjera)</w:t>
      </w:r>
      <w:r w:rsidR="2CCD2E24">
        <w:t xml:space="preserve">. </w:t>
      </w:r>
      <w:r w:rsidR="431C1BAA">
        <w:t>Međutim,</w:t>
      </w:r>
      <w:r w:rsidR="4FFB8C03">
        <w:t xml:space="preserve"> očekuje </w:t>
      </w:r>
      <w:r w:rsidR="431C1BAA">
        <w:t xml:space="preserve">se </w:t>
      </w:r>
      <w:r w:rsidR="4FFB8C03">
        <w:t>nastavak poticanja korištenja biomase, bioplina, hidroenergije i geotermalne energije</w:t>
      </w:r>
      <w:r w:rsidR="431C1BAA">
        <w:t>, kako kroz sustav poticanja proizvodnje električne energije, tako i kroz druge sektorske mjere</w:t>
      </w:r>
      <w:r w:rsidR="6AB05AA7">
        <w:t xml:space="preserve"> (mjere )</w:t>
      </w:r>
      <w:r w:rsidR="4FFB8C03">
        <w:t>.</w:t>
      </w:r>
      <w:r w:rsidR="4D80A94B">
        <w:t xml:space="preserve"> Nadalje, potrebno je poticati iskorištavanje geotermalne energije kroz smanjenje istražnog rizika, a što je moguće realizirati sredstvima iz EU fondova </w:t>
      </w:r>
      <w:r w:rsidR="22B1B4E4">
        <w:t xml:space="preserve">te kroz druge financijske mehanizme </w:t>
      </w:r>
      <w:r w:rsidR="5613B3A6">
        <w:t xml:space="preserve">kao i kroz programe smanjenja geološkog rizika provođenjem preliminarnih istražnih aktivnosti od strane AZU, </w:t>
      </w:r>
      <w:r w:rsidR="4D80A94B">
        <w:t>a u cilju ujednačavanja cijene energije dobivene iz geotermalne vode s ostalim OIE.</w:t>
      </w:r>
    </w:p>
    <w:p w14:paraId="1F800E23" w14:textId="78F47AF2" w:rsidR="00AB538B" w:rsidRPr="00B47BDA" w:rsidRDefault="00AB538B" w:rsidP="004623DD">
      <w:pPr>
        <w:pStyle w:val="NormalWeb"/>
      </w:pPr>
      <w:r w:rsidRPr="00B47BDA">
        <w:rPr>
          <w:b/>
        </w:rPr>
        <w:t xml:space="preserve">Izvori financiranja: </w:t>
      </w:r>
      <w:r w:rsidRPr="00B47BDA">
        <w:t xml:space="preserve">Naknada za OIE (HROTE); sredstava od prodaje obnovljive energije na tržištu; prihodi od trgovine jamstvima podrijetla; </w:t>
      </w:r>
      <w:r w:rsidR="0065150F" w:rsidRPr="002F1EEF">
        <w:t>prihodi od prodaje emisijskih jedinica iz EU ETS-a</w:t>
      </w:r>
      <w:r w:rsidRPr="00B47BDA">
        <w:t xml:space="preserve"> za investicijske potpore OIE i kao dodatni prihod FZOEU za operativno poticanje OIE kojim upravlja HROTE; sredstava iz EU fondova; sredstva iz posebnih fondova (Europski poljoprivredni fond za ruralni razvoj, i dr.) kao potpora za projekte biomase.</w:t>
      </w:r>
    </w:p>
    <w:p w14:paraId="0EAB2664" w14:textId="3F08500F" w:rsidR="00AB538B" w:rsidRPr="00B47BDA" w:rsidRDefault="00AB538B" w:rsidP="004623DD">
      <w:pPr>
        <w:pStyle w:val="NormalWeb"/>
      </w:pPr>
      <w:r w:rsidRPr="63259912">
        <w:rPr>
          <w:b/>
          <w:bCs/>
        </w:rPr>
        <w:t>Izvršno tijelo:</w:t>
      </w:r>
      <w:r w:rsidRPr="63259912">
        <w:t xml:space="preserve"> HROTE – isplata poticaja, uspostavljanje </w:t>
      </w:r>
      <w:r w:rsidR="00EC19FF" w:rsidRPr="63259912">
        <w:t>hibridno-</w:t>
      </w:r>
      <w:r w:rsidRPr="63259912">
        <w:t xml:space="preserve">premijskog modela sa zaštitnom cijenom i skraćenim trajanjem ugovora o premiji, raspis natječaja; </w:t>
      </w:r>
      <w:r w:rsidR="00450C82" w:rsidRPr="63259912">
        <w:t>MINGO</w:t>
      </w:r>
      <w:r w:rsidRPr="63259912">
        <w:t xml:space="preserve"> – izrada planova; FZOEU – sudjelovanje u investicijskim potporama OIE te kao podrška sustava operativnog poticanja; MP</w:t>
      </w:r>
      <w:r w:rsidR="00894E77" w:rsidRPr="63259912">
        <w:t>S</w:t>
      </w:r>
      <w:r w:rsidRPr="63259912">
        <w:t xml:space="preserve"> – provodi </w:t>
      </w:r>
      <w:r w:rsidR="0032760D" w:rsidRPr="63259912">
        <w:t>Strategiju poljoprivrede</w:t>
      </w:r>
      <w:r w:rsidRPr="63259912">
        <w:t xml:space="preserve"> te sudjeluje u investicijskim potporama OIE</w:t>
      </w:r>
      <w:r w:rsidR="001E32D5" w:rsidRPr="63259912">
        <w:t xml:space="preserve">; </w:t>
      </w:r>
      <w:r w:rsidR="00283BBE" w:rsidRPr="63259912">
        <w:t>AZU (Agencija za ugljikovodike) - definiranje istražnih radnji, određivanje pravila i uvjeta prilikom istraživanja i eksploatacije geotermalnih voda u energetske svrhe kao i pružanje stručne podrške prilikom provođenja javnih nadmetanja</w:t>
      </w:r>
      <w:r w:rsidR="00BF3EE4" w:rsidRPr="63259912">
        <w:t xml:space="preserve">, provođenje </w:t>
      </w:r>
      <w:r w:rsidR="0049712F" w:rsidRPr="63259912">
        <w:t xml:space="preserve">predistražnih radnji </w:t>
      </w:r>
      <w:r w:rsidR="00734D45" w:rsidRPr="63259912">
        <w:t>za smanjivanje geološkog rizika</w:t>
      </w:r>
      <w:r w:rsidR="008A7226" w:rsidRPr="63259912">
        <w:t xml:space="preserve"> prilikom istraživanja i eksploatacije geotermalnih voda</w:t>
      </w:r>
      <w:r w:rsidRPr="63259912">
        <w:t>.</w:t>
      </w:r>
    </w:p>
    <w:p w14:paraId="56EC7D5A" w14:textId="6EA0ED01" w:rsidR="00AB538B" w:rsidRPr="00B47BDA" w:rsidRDefault="00AB538B" w:rsidP="004623DD">
      <w:pPr>
        <w:pStyle w:val="NormalWeb"/>
      </w:pPr>
      <w:r w:rsidRPr="00EE67E0">
        <w:rPr>
          <w:b/>
          <w:bCs/>
        </w:rPr>
        <w:lastRenderedPageBreak/>
        <w:t>Tijela za praćenje:</w:t>
      </w:r>
      <w:r w:rsidRPr="00B47BDA">
        <w:t xml:space="preserve"> M</w:t>
      </w:r>
      <w:r w:rsidR="008A7226" w:rsidRPr="00B47BDA">
        <w:t>INGO</w:t>
      </w:r>
      <w:r w:rsidR="006A390F">
        <w:t>.</w:t>
      </w:r>
    </w:p>
    <w:p w14:paraId="4991DA49" w14:textId="77777777" w:rsidR="00AB538B" w:rsidRPr="00B47BDA" w:rsidRDefault="00AB538B" w:rsidP="004623DD">
      <w:pPr>
        <w:pStyle w:val="NormalWeb"/>
      </w:pPr>
      <w:r w:rsidRPr="00B47BDA">
        <w:rPr>
          <w:b/>
        </w:rPr>
        <w:t xml:space="preserve">Učinak: </w:t>
      </w:r>
      <w:r w:rsidRPr="00B47BDA">
        <w:t>Mjera će osigurati povećanje proizvodnje energije i udjela OIE u ukupnoj potrošnji energije te posljedično smanjenje emisije stakleničkih plinova. Također se stvaraju preduvjeti za uspostavu sustava monitoringa za ispunjavanje kriterija održivosti i očekivanih smanjenja emisija stakleničkih plinova kod postrojenja koja koriste biomasu.</w:t>
      </w:r>
    </w:p>
    <w:p w14:paraId="7B6FEE45" w14:textId="3C1308E8" w:rsidR="00AB538B" w:rsidRPr="00B47BDA" w:rsidRDefault="00AB538B" w:rsidP="004623DD">
      <w:pPr>
        <w:pStyle w:val="NormalWeb"/>
      </w:pPr>
      <w:r w:rsidRPr="00B47BDA">
        <w:rPr>
          <w:b/>
        </w:rPr>
        <w:t>Metoda praćenja:</w:t>
      </w:r>
      <w:r w:rsidRPr="00B47BDA">
        <w:t xml:space="preserve"> Energetska bilanca</w:t>
      </w:r>
      <w:r w:rsidR="00CF0A58" w:rsidRPr="00B47BDA">
        <w:t>, prema količini proizvedene električne energije iz OIE, prema izvješćima HROTE-a i operatora sustava.</w:t>
      </w:r>
    </w:p>
    <w:p w14:paraId="1014BF69" w14:textId="77777777" w:rsidR="00AB538B" w:rsidRPr="00B47BDA" w:rsidRDefault="00AB538B" w:rsidP="004623DD">
      <w:pPr>
        <w:pStyle w:val="NormalWeb"/>
        <w:rPr>
          <w:b/>
        </w:rPr>
      </w:pPr>
      <w:r w:rsidRPr="00B47BDA">
        <w:rPr>
          <w:b/>
        </w:rPr>
        <w:t xml:space="preserve">Povezanost s drugim dimenzijama: </w:t>
      </w:r>
      <w:r w:rsidRPr="00B47BDA">
        <w:t xml:space="preserve">Mjera je povezana s dimenzijom povećanja energetske sigurnosti, budući da je očekivani rezultat mjere povećanje proizvodnje energije iz lokalno dostupnih izvora i razvoja unutarnjeg energetskog tržišta. </w:t>
      </w:r>
    </w:p>
    <w:p w14:paraId="69632046" w14:textId="701E3C29" w:rsidR="00AA0D1F" w:rsidRDefault="00AB538B" w:rsidP="004623DD">
      <w:pPr>
        <w:pStyle w:val="NormalWeb"/>
      </w:pPr>
      <w:r w:rsidRPr="00B47BDA">
        <w:rPr>
          <w:b/>
        </w:rPr>
        <w:t>Istraživanje i razvoj</w:t>
      </w:r>
      <w:r w:rsidRPr="00B47BDA">
        <w:t>:</w:t>
      </w:r>
      <w:r w:rsidR="00EB4B2D" w:rsidRPr="00B47BDA">
        <w:t xml:space="preserve"> </w:t>
      </w:r>
      <w:r w:rsidR="00BB17D1" w:rsidRPr="00B47BDA">
        <w:t>Mjera je povezana s istraživanje i razvoje tehnologija OIE i i</w:t>
      </w:r>
      <w:r w:rsidR="00EB4B2D" w:rsidRPr="00B47BDA">
        <w:t>ntegracij</w:t>
      </w:r>
      <w:r w:rsidR="00BB17D1" w:rsidRPr="00B47BDA">
        <w:t>om</w:t>
      </w:r>
      <w:r w:rsidR="00EB4B2D" w:rsidRPr="00B47BDA">
        <w:t xml:space="preserve"> OIE u ene</w:t>
      </w:r>
      <w:r w:rsidR="005A751B" w:rsidRPr="00B47BDA">
        <w:t>r</w:t>
      </w:r>
      <w:r w:rsidR="00EB4B2D" w:rsidRPr="00B47BDA">
        <w:t>getske sustave</w:t>
      </w:r>
      <w:r w:rsidR="00BB17D1" w:rsidRPr="00B47BDA">
        <w:t>.</w:t>
      </w:r>
    </w:p>
    <w:p w14:paraId="76075177" w14:textId="170B483A" w:rsidR="0032611E" w:rsidRPr="00B47BDA" w:rsidRDefault="0032611E" w:rsidP="00EE67E0">
      <w:pPr>
        <w:pStyle w:val="Mjeranaslov"/>
        <w:rPr>
          <w:color w:val="000000"/>
        </w:rPr>
      </w:pPr>
      <w:r w:rsidRPr="00B47BDA">
        <w:t>OIE-</w:t>
      </w:r>
      <w:r w:rsidR="00BA114A">
        <w:t>5</w:t>
      </w:r>
      <w:r w:rsidRPr="00B47BDA">
        <w:t xml:space="preserve"> </w:t>
      </w:r>
      <w:r w:rsidR="0021436C" w:rsidRPr="00B47BDA">
        <w:t>K</w:t>
      </w:r>
      <w:r w:rsidRPr="00B47BDA">
        <w:t>orištenj</w:t>
      </w:r>
      <w:r w:rsidR="0021436C" w:rsidRPr="00B47BDA">
        <w:t>e</w:t>
      </w:r>
      <w:r w:rsidRPr="00B47BDA">
        <w:t xml:space="preserve"> OIE za toplinske potrebe</w:t>
      </w:r>
    </w:p>
    <w:p w14:paraId="11CD3CAB" w14:textId="77777777" w:rsidR="0032611E" w:rsidRPr="00B47BDA" w:rsidRDefault="0032611E" w:rsidP="004623DD">
      <w:r w:rsidRPr="00B47BDA">
        <w:t>Financijska mjera; provedba 2023.-2026.</w:t>
      </w:r>
    </w:p>
    <w:p w14:paraId="099D181C" w14:textId="77777777" w:rsidR="0032611E" w:rsidRPr="00B47BDA" w:rsidRDefault="0032611E" w:rsidP="004623DD">
      <w:r w:rsidRPr="00B47BDA">
        <w:rPr>
          <w:b/>
        </w:rPr>
        <w:t>Cilj i opis mjere:</w:t>
      </w:r>
      <w:r w:rsidRPr="00B47BDA">
        <w:t xml:space="preserve"> Osiguravanje financijskih poticaja za razvoj projekata korištenja OIE za toplinske potrebe. </w:t>
      </w:r>
    </w:p>
    <w:p w14:paraId="229D1954" w14:textId="77777777" w:rsidR="00C82213" w:rsidRPr="00B47BDA" w:rsidRDefault="00C82213" w:rsidP="004623DD">
      <w:r w:rsidRPr="00B47BDA">
        <w:rPr>
          <w:b/>
        </w:rPr>
        <w:t>Aktivnosti:</w:t>
      </w:r>
      <w:r w:rsidRPr="00B47BDA">
        <w:t xml:space="preserve"> U okviru mjere provest će se sljedeće aktivnosti: </w:t>
      </w:r>
    </w:p>
    <w:p w14:paraId="5F2BF3EF" w14:textId="650F1369" w:rsidR="0032611E" w:rsidRPr="00B47BDA" w:rsidRDefault="0032611E" w:rsidP="00A07072">
      <w:pPr>
        <w:pStyle w:val="ListParagraph"/>
        <w:numPr>
          <w:ilvl w:val="0"/>
          <w:numId w:val="51"/>
        </w:numPr>
        <w:spacing w:after="60"/>
        <w:ind w:left="714" w:hanging="357"/>
        <w:rPr>
          <w:color w:val="000000"/>
        </w:rPr>
      </w:pPr>
      <w:r w:rsidRPr="00B47BDA">
        <w:t>FZOEU sudjeluje s financijskim poticajima na strani investicije za projekte korištenja OIE za toplinske potrebe</w:t>
      </w:r>
      <w:r w:rsidR="002F742D">
        <w:t>;</w:t>
      </w:r>
      <w:r w:rsidRPr="00B47BDA">
        <w:t xml:space="preserve"> </w:t>
      </w:r>
    </w:p>
    <w:p w14:paraId="343A0D50" w14:textId="01A75309" w:rsidR="0032611E" w:rsidRPr="00B47BDA" w:rsidRDefault="0032611E" w:rsidP="00A07072">
      <w:pPr>
        <w:pStyle w:val="ListParagraph"/>
        <w:numPr>
          <w:ilvl w:val="0"/>
          <w:numId w:val="51"/>
        </w:numPr>
        <w:spacing w:after="60"/>
        <w:ind w:left="714" w:hanging="357"/>
        <w:rPr>
          <w:color w:val="000000"/>
        </w:rPr>
      </w:pPr>
      <w:r w:rsidRPr="00B47BDA">
        <w:t>AZU će nastaviti s aktivnostima pregleda i analize geotermalnog potencijala na području Panonskog dijela Hrvatske, inicirati pokretanje postupaka nadmetanja radi odabira najpovoljnijeg ponuditelja za istraživanje geotermalnih voda u energetske svrhe te osigurati njihovo uključivanje u prostorne planove (povezano s mjerom OIE – 2)</w:t>
      </w:r>
      <w:r w:rsidR="002F742D">
        <w:t>;</w:t>
      </w:r>
    </w:p>
    <w:p w14:paraId="321D88B6" w14:textId="6111ADEE" w:rsidR="0032611E" w:rsidRPr="007965EC" w:rsidRDefault="0032611E" w:rsidP="00A07072">
      <w:pPr>
        <w:pStyle w:val="ListParagraph"/>
        <w:numPr>
          <w:ilvl w:val="0"/>
          <w:numId w:val="51"/>
        </w:numPr>
        <w:spacing w:after="60"/>
        <w:ind w:left="714" w:hanging="357"/>
        <w:rPr>
          <w:color w:val="000000"/>
        </w:rPr>
      </w:pPr>
      <w:r w:rsidRPr="00B47BDA">
        <w:t>AZU i FZOEU će pružati podršku razvoju projekata korištenja geotermalne energije</w:t>
      </w:r>
      <w:r w:rsidR="002F742D">
        <w:t>;</w:t>
      </w:r>
    </w:p>
    <w:p w14:paraId="41D01FFC" w14:textId="7E4A6B9C" w:rsidR="003C0CBE" w:rsidRPr="001A1034" w:rsidRDefault="002F742D" w:rsidP="002F742D">
      <w:pPr>
        <w:pStyle w:val="ListParagraph"/>
        <w:numPr>
          <w:ilvl w:val="0"/>
          <w:numId w:val="51"/>
        </w:numPr>
        <w:spacing w:after="60"/>
        <w:ind w:left="714" w:hanging="357"/>
        <w:rPr>
          <w:color w:val="000000"/>
        </w:rPr>
      </w:pPr>
      <w:r>
        <w:t>MINGO će razmotriti definiranje administrativno-poticajnog okvira za korištenje dizalica topline, uključujući smanjenje trajanja postupka ishođenja potrebnih dozvola te u suradnji s HERA-om razmotriti uspostavljanje dinamičkih tarifa za električnu energiju za potrebe grijanja;</w:t>
      </w:r>
    </w:p>
    <w:p w14:paraId="6BF76832" w14:textId="30990159" w:rsidR="00C82213" w:rsidRPr="00B47BDA" w:rsidRDefault="00ED27AF" w:rsidP="00A07072">
      <w:pPr>
        <w:pStyle w:val="ListParagraph"/>
        <w:numPr>
          <w:ilvl w:val="0"/>
          <w:numId w:val="51"/>
        </w:numPr>
        <w:spacing w:after="60"/>
        <w:ind w:left="714" w:hanging="357"/>
        <w:rPr>
          <w:color w:val="000000"/>
        </w:rPr>
      </w:pPr>
      <w:r>
        <w:t>Ministarstvo poljoprivrede</w:t>
      </w:r>
      <w:r w:rsidRPr="00AE6008">
        <w:rPr>
          <w:lang w:eastAsia="hr-HR"/>
        </w:rPr>
        <w:t>, šumarstva i ribarstva</w:t>
      </w:r>
      <w:r>
        <w:t xml:space="preserve"> </w:t>
      </w:r>
      <w:r w:rsidR="00C82213" w:rsidRPr="00B47BDA">
        <w:t xml:space="preserve">kroz </w:t>
      </w:r>
      <w:r w:rsidR="0032760D">
        <w:t>Strategiju poljoprivrede</w:t>
      </w:r>
      <w:r w:rsidR="00C82213" w:rsidRPr="00B47BDA">
        <w:t xml:space="preserve"> osigurava financiranje investicijskih potpora za projekte biomase i drugih OIE. </w:t>
      </w:r>
    </w:p>
    <w:p w14:paraId="0D6547DE" w14:textId="0CC30E1A" w:rsidR="00C82213" w:rsidRPr="00B47BDA" w:rsidRDefault="00C82213" w:rsidP="004623DD">
      <w:pPr>
        <w:rPr>
          <w:b/>
          <w:color w:val="000000"/>
        </w:rPr>
      </w:pPr>
      <w:r w:rsidRPr="00B47BDA">
        <w:rPr>
          <w:b/>
        </w:rPr>
        <w:t xml:space="preserve">Sredstva potrebna za provedbu: </w:t>
      </w:r>
      <w:r w:rsidR="00467F49" w:rsidRPr="00B47BDA">
        <w:t>1</w:t>
      </w:r>
      <w:r w:rsidRPr="00B47BDA">
        <w:t xml:space="preserve"> milijard</w:t>
      </w:r>
      <w:r w:rsidR="00467F49" w:rsidRPr="00B47BDA">
        <w:t>a</w:t>
      </w:r>
      <w:r w:rsidRPr="00B47BDA">
        <w:t xml:space="preserve"> </w:t>
      </w:r>
      <w:r w:rsidR="00467F49" w:rsidRPr="00B47BDA">
        <w:t>EUR</w:t>
      </w:r>
      <w:r w:rsidRPr="00B47BDA">
        <w:t xml:space="preserve"> za čitavo promatrano razdoblje</w:t>
      </w:r>
    </w:p>
    <w:p w14:paraId="0182D350" w14:textId="7DF97151" w:rsidR="00C82213" w:rsidRPr="00B47BDA" w:rsidRDefault="00C82213" w:rsidP="004623DD">
      <w:r w:rsidRPr="00B47BDA">
        <w:t>Očekuje se nastavak poticanja korištenja biomase, bioplina, geotermalne energije</w:t>
      </w:r>
      <w:r w:rsidR="0032611E" w:rsidRPr="00B47BDA">
        <w:t xml:space="preserve"> te dizalica topline. Iskorištavanje geotermalne energije poticat će se kroz sufinanciranje istraživanja geotermalnog potencijala.</w:t>
      </w:r>
    </w:p>
    <w:p w14:paraId="0B6BF7DE" w14:textId="0132056D" w:rsidR="0032611E" w:rsidRPr="00B47BDA" w:rsidRDefault="0032611E" w:rsidP="004623DD">
      <w:r w:rsidRPr="00B47BDA">
        <w:rPr>
          <w:b/>
        </w:rPr>
        <w:lastRenderedPageBreak/>
        <w:t>Izvori financiranja:</w:t>
      </w:r>
      <w:r w:rsidRPr="00B47BDA">
        <w:t xml:space="preserve"> </w:t>
      </w:r>
      <w:r w:rsidR="00DC38EA" w:rsidRPr="002F1EEF">
        <w:t>prihodi od prodaje emisijskih jedinica iz EU ETS-a</w:t>
      </w:r>
      <w:r w:rsidRPr="00B47BDA">
        <w:t xml:space="preserve"> za investicijske potpore OIE; sredstava iz EU fondova, iz EGP financijskog mehanizma i Norveškog financijskog mehanizma.</w:t>
      </w:r>
    </w:p>
    <w:p w14:paraId="4810BAD7" w14:textId="0030DA7C" w:rsidR="0032611E" w:rsidRPr="00B47BDA" w:rsidRDefault="0032611E" w:rsidP="004623DD">
      <w:pPr>
        <w:rPr>
          <w:color w:val="000000"/>
        </w:rPr>
      </w:pPr>
      <w:r w:rsidRPr="00B47BDA">
        <w:rPr>
          <w:b/>
        </w:rPr>
        <w:t>Izvršno tijelo:</w:t>
      </w:r>
      <w:r w:rsidRPr="00B47BDA">
        <w:t xml:space="preserve"> M</w:t>
      </w:r>
      <w:r w:rsidR="00356E32" w:rsidRPr="00B47BDA">
        <w:t>IN</w:t>
      </w:r>
      <w:r w:rsidRPr="00B47BDA">
        <w:t>GO; FZOEU – sudjelovanje u investicijskim potporama OIE; MP</w:t>
      </w:r>
      <w:r w:rsidR="006A390F">
        <w:t>S</w:t>
      </w:r>
      <w:r w:rsidRPr="00B47BDA">
        <w:t xml:space="preserve"> – provodi </w:t>
      </w:r>
      <w:r w:rsidR="0032760D">
        <w:t>Strategiju poljoprivrede</w:t>
      </w:r>
      <w:r w:rsidRPr="00B47BDA">
        <w:t xml:space="preserve"> te sudjeluje u investicijskim potporama OIE; AZU – definiranje istražnih radnji, određivanje pravila i uvjeta prilikom istraživanja i eksploatacije geotermalnih voda u energetske svrhe kao i pružanje stručne podrške prilikom provođenja javnih nadmetanja; izvođenje istražnih aktivnosti kako bi se smanji geološki rizik istraživanja i eksploatacije geotermalnih voda; MRRFEU – provodi programe financiranja iz europskih i ostalih fondova</w:t>
      </w:r>
      <w:r w:rsidR="00AB6CE3">
        <w:t>; HERA – omogućuje dinamičke tarife za el. energiju</w:t>
      </w:r>
      <w:r w:rsidR="00046C0D">
        <w:t>.</w:t>
      </w:r>
    </w:p>
    <w:p w14:paraId="44DCB6FA" w14:textId="2EB13D8B" w:rsidR="0032611E" w:rsidRPr="00B47BDA" w:rsidRDefault="0032611E" w:rsidP="004623DD">
      <w:pPr>
        <w:rPr>
          <w:color w:val="000000"/>
        </w:rPr>
      </w:pPr>
      <w:r w:rsidRPr="00EE67E0">
        <w:rPr>
          <w:b/>
          <w:bCs/>
        </w:rPr>
        <w:t>Tijelo za praćenje:</w:t>
      </w:r>
      <w:r w:rsidRPr="00B47BDA">
        <w:t xml:space="preserve"> MINGO</w:t>
      </w:r>
      <w:r w:rsidR="00AA425B">
        <w:t>.</w:t>
      </w:r>
    </w:p>
    <w:p w14:paraId="62646BBC" w14:textId="77777777" w:rsidR="0032611E" w:rsidRPr="00B47BDA" w:rsidRDefault="0032611E" w:rsidP="004623DD">
      <w:r w:rsidRPr="00B47BDA">
        <w:rPr>
          <w:b/>
        </w:rPr>
        <w:t xml:space="preserve">Učinak: </w:t>
      </w:r>
      <w:r w:rsidRPr="00B47BDA">
        <w:t>Mjera će osigurati povećanje udjela OIE u proizvodnji toplinske energije te posljedično smanjenje emisije stakleničkih plinova. Također se stvaraju preduvjeti za uspostavu sustava monitoringa za ispunjavanje kriterija održivosti i očekivanih smanjenja emisija stakleničkih plinova kod postrojenja koja koriste biomasu.</w:t>
      </w:r>
    </w:p>
    <w:p w14:paraId="4186001C" w14:textId="1B2F2223" w:rsidR="0032611E" w:rsidRPr="00B47BDA" w:rsidRDefault="0032611E" w:rsidP="004623DD">
      <w:r w:rsidRPr="00B47BDA">
        <w:rPr>
          <w:b/>
        </w:rPr>
        <w:t xml:space="preserve">Metoda praćenja: </w:t>
      </w:r>
      <w:r w:rsidRPr="00B47BDA">
        <w:t>Broj sufinanciranih projekata korištenja OIE za toplinske potrebe; količina energije za grijanje i hlađenje koja je rezultat tih projekata; broj istraženih ležišta geotermalne vode</w:t>
      </w:r>
      <w:r w:rsidR="0046261F">
        <w:t>.</w:t>
      </w:r>
    </w:p>
    <w:p w14:paraId="4CBF12D4" w14:textId="77777777" w:rsidR="0032611E" w:rsidRPr="00B47BDA" w:rsidRDefault="0032611E" w:rsidP="004623DD">
      <w:pPr>
        <w:rPr>
          <w:color w:val="000000"/>
        </w:rPr>
      </w:pPr>
      <w:r w:rsidRPr="00B47BDA">
        <w:rPr>
          <w:b/>
        </w:rPr>
        <w:t xml:space="preserve">Povezanost s drugim dimenzijama: </w:t>
      </w:r>
      <w:r w:rsidRPr="00B47BDA">
        <w:t>Mjera je povezana s dimenzijom povećanja energetske sigurnosti, budući da je očekivani rezultat mjere povećanje proizvodnje energije iz lokalno dostupnih izvora te s energetskom učinkovitosti u zgradarstvu</w:t>
      </w:r>
      <w:r w:rsidRPr="00B47BDA">
        <w:rPr>
          <w:color w:val="000000" w:themeColor="text1"/>
        </w:rPr>
        <w:t>.</w:t>
      </w:r>
    </w:p>
    <w:p w14:paraId="482077A3" w14:textId="3AF662B5" w:rsidR="00C40008" w:rsidRDefault="00C82213" w:rsidP="00BF24C1">
      <w:r w:rsidRPr="00B47BDA">
        <w:rPr>
          <w:b/>
        </w:rPr>
        <w:t>Istraživanje i razvoj</w:t>
      </w:r>
      <w:r w:rsidRPr="00B47BDA">
        <w:t>: Mjera je povezana s istraživanjem i razvojem tehnologija OIE i integracijom OIE u energetske sustave.</w:t>
      </w:r>
    </w:p>
    <w:p w14:paraId="68077390" w14:textId="0332A5BC" w:rsidR="007545FB" w:rsidRPr="00B47BDA" w:rsidRDefault="007545FB" w:rsidP="00EE67E0">
      <w:pPr>
        <w:pStyle w:val="Mjeranaslov"/>
      </w:pPr>
      <w:r w:rsidRPr="00B47BDA">
        <w:t>OIE-</w:t>
      </w:r>
      <w:r w:rsidR="00BA114A">
        <w:t>6</w:t>
      </w:r>
      <w:r w:rsidRPr="00B47BDA">
        <w:t xml:space="preserve"> </w:t>
      </w:r>
      <w:r w:rsidR="00D06044" w:rsidRPr="00B47BDA">
        <w:t>Korištenje OIE u centraliziranim i zatvorenim toplinskim sustavima</w:t>
      </w:r>
    </w:p>
    <w:p w14:paraId="00E93B26" w14:textId="6C865AC3" w:rsidR="007545FB" w:rsidRPr="00B47BDA" w:rsidRDefault="007545FB" w:rsidP="004623DD">
      <w:r w:rsidRPr="00B47BDA">
        <w:t>Financijska mjera, regulatorna mjera; provedba 202</w:t>
      </w:r>
      <w:r w:rsidR="008151A4">
        <w:t>5</w:t>
      </w:r>
      <w:r w:rsidRPr="00B47BDA">
        <w:t>.-2030.</w:t>
      </w:r>
    </w:p>
    <w:p w14:paraId="0E8EE07F" w14:textId="3AFB441C" w:rsidR="007545FB" w:rsidRPr="00B47BDA" w:rsidRDefault="007545FB" w:rsidP="004623DD">
      <w:r w:rsidRPr="63259912">
        <w:rPr>
          <w:b/>
          <w:bCs/>
        </w:rPr>
        <w:t>Cilj i opis mjere</w:t>
      </w:r>
      <w:r w:rsidRPr="63259912">
        <w:t xml:space="preserve">: </w:t>
      </w:r>
      <w:r w:rsidR="00767702" w:rsidRPr="63259912">
        <w:t>O</w:t>
      </w:r>
      <w:r w:rsidRPr="63259912">
        <w:t xml:space="preserve">mogućiti povećanje udjela OIE u CTS-ima korištenjem dostupnih izvora poput plitke i duboke geotermalne, sunčeve energije, energije voda te omogućiti postizanje statusa učinkovitog centraliziranog grijanja i hlađenja za sve toplinarske sustave u RH. </w:t>
      </w:r>
      <w:r w:rsidR="004425B5" w:rsidRPr="63259912">
        <w:t xml:space="preserve">Ključne tehnologije su dizalice topline u kombinaciji s toplinskim spremnicima. Osim što </w:t>
      </w:r>
      <w:r w:rsidR="00744B7D" w:rsidRPr="63259912">
        <w:t>pospješuju</w:t>
      </w:r>
      <w:r w:rsidR="004425B5" w:rsidRPr="63259912">
        <w:t xml:space="preserve"> </w:t>
      </w:r>
      <w:r w:rsidR="008F3BA9" w:rsidRPr="63259912">
        <w:t>korištenje nisko-temperaturnih OIE</w:t>
      </w:r>
      <w:r w:rsidR="00543A21" w:rsidRPr="63259912">
        <w:t>, omogućuju integraciju sektora električne energije i toplinarstva</w:t>
      </w:r>
      <w:r w:rsidR="00CD3648" w:rsidRPr="63259912">
        <w:t xml:space="preserve"> te </w:t>
      </w:r>
      <w:r w:rsidR="00744B7D" w:rsidRPr="63259912">
        <w:t>usluge balansiranja električne mreže</w:t>
      </w:r>
      <w:r w:rsidR="00543A21" w:rsidRPr="63259912">
        <w:t xml:space="preserve">. </w:t>
      </w:r>
    </w:p>
    <w:p w14:paraId="1A472AC0" w14:textId="77777777" w:rsidR="00AB538B" w:rsidRPr="00B47BDA" w:rsidRDefault="00AB538B" w:rsidP="004623DD">
      <w:r w:rsidRPr="00B47BDA">
        <w:rPr>
          <w:b/>
        </w:rPr>
        <w:t>Aktivnosti:</w:t>
      </w:r>
      <w:r w:rsidRPr="00B47BDA">
        <w:t xml:space="preserve"> U okviru mjere provest će se sljedeće aktivnosti: </w:t>
      </w:r>
    </w:p>
    <w:p w14:paraId="26D1F9D3" w14:textId="77777777" w:rsidR="00DD6F61" w:rsidRDefault="000B670C" w:rsidP="009B595A">
      <w:pPr>
        <w:pStyle w:val="ListParagraph"/>
        <w:numPr>
          <w:ilvl w:val="0"/>
          <w:numId w:val="51"/>
        </w:numPr>
        <w:spacing w:after="60"/>
        <w:ind w:left="714" w:hanging="357"/>
      </w:pPr>
      <w:r w:rsidRPr="63259912">
        <w:t>Dorade</w:t>
      </w:r>
      <w:r w:rsidR="00F17D21" w:rsidRPr="63259912">
        <w:t xml:space="preserve"> Zakona o tržištu toplinske energije </w:t>
      </w:r>
      <w:r w:rsidRPr="63259912">
        <w:t>k</w:t>
      </w:r>
      <w:r w:rsidR="00F17D21" w:rsidRPr="63259912">
        <w:t>oji bi prepoznao ključne tehnologije za dekarbonizaciju sustava toplinarstva</w:t>
      </w:r>
      <w:r w:rsidRPr="63259912">
        <w:t xml:space="preserve"> i skladištenja toplinske energije te</w:t>
      </w:r>
      <w:r w:rsidR="00F17D21" w:rsidRPr="63259912">
        <w:t xml:space="preserve"> identificirao korake za njihovo planiranje, gradnju, priključenje i korištenje</w:t>
      </w:r>
      <w:r w:rsidR="00DD6F61" w:rsidRPr="63259912">
        <w:t>;</w:t>
      </w:r>
    </w:p>
    <w:p w14:paraId="720CD2CA" w14:textId="0199DF76" w:rsidR="00F17D21" w:rsidRPr="00EB031F" w:rsidRDefault="00B7233E" w:rsidP="00B7233E">
      <w:pPr>
        <w:pStyle w:val="ListParagraph"/>
        <w:numPr>
          <w:ilvl w:val="0"/>
          <w:numId w:val="51"/>
        </w:numPr>
        <w:spacing w:after="60"/>
        <w:ind w:left="714" w:hanging="357"/>
      </w:pPr>
      <w:r>
        <w:t>Izrada zakonsk</w:t>
      </w:r>
      <w:r w:rsidR="002D4637">
        <w:t>e</w:t>
      </w:r>
      <w:r>
        <w:t xml:space="preserve"> podlog</w:t>
      </w:r>
      <w:r w:rsidR="002D4637">
        <w:t>e</w:t>
      </w:r>
      <w:r>
        <w:t xml:space="preserve"> za ostvarenje </w:t>
      </w:r>
      <w:r w:rsidR="008C4E60">
        <w:t>ciljanog</w:t>
      </w:r>
      <w:r>
        <w:t xml:space="preserve"> udjela obnovljive energije i otpadne topline u centraliziranim toplinskim sustavima;</w:t>
      </w:r>
      <w:r w:rsidR="00F17D21" w:rsidRPr="00EB031F">
        <w:t xml:space="preserve"> </w:t>
      </w:r>
    </w:p>
    <w:p w14:paraId="183CB358" w14:textId="21A2A0B9" w:rsidR="00F17D21" w:rsidRPr="00EB031F" w:rsidRDefault="00F17D21" w:rsidP="009B595A">
      <w:pPr>
        <w:pStyle w:val="ListParagraph"/>
        <w:numPr>
          <w:ilvl w:val="0"/>
          <w:numId w:val="51"/>
        </w:numPr>
        <w:spacing w:after="60"/>
        <w:ind w:left="714" w:hanging="357"/>
      </w:pPr>
      <w:r w:rsidRPr="00EB031F">
        <w:t>Nadogradnja Uredbe o procjeni utjecaja zahvata na okoliš - dnevni i sezonski spremnici toplinske energije nisu direktno prepoznati kao vrsta zahvata prema važećoj Uredbi o procjeni utjecaja zahvata na okoliš</w:t>
      </w:r>
      <w:r w:rsidR="00B7233E">
        <w:t>;</w:t>
      </w:r>
    </w:p>
    <w:p w14:paraId="6BB8F588" w14:textId="2DB1F9B8" w:rsidR="00F17D21" w:rsidRPr="00EB031F" w:rsidRDefault="00F17D21" w:rsidP="009B595A">
      <w:pPr>
        <w:pStyle w:val="ListParagraph"/>
        <w:numPr>
          <w:ilvl w:val="0"/>
          <w:numId w:val="51"/>
        </w:numPr>
        <w:spacing w:after="60"/>
        <w:ind w:left="714" w:hanging="357"/>
      </w:pPr>
      <w:r w:rsidRPr="00EB031F">
        <w:lastRenderedPageBreak/>
        <w:t>Nadogradnja Zakona o gradnji i Zakona o prostornom uređenju – u važećem Zakonu o gradnji i Zakonu o prostornom uređenju prepoznati su tipovi građevina, no nejasno su definirani integrirani sustavi građevina kao što je npr. gradnja geotermalne bušotine, sezonskog spremnika i dizalice topline kao jednog integriranog sustava. Trenutno Zakon o prostornom uređenju prepoznaje pojam etapnog građenja i faznog građenja kod složene građevine, s jednom lokacijskom dozvolom za koju se izdaje jedna ili više građevinskih dozvola. Potrebno je definirati kako pristupiti fazama građenja u takvom slučaju oko utjecaja na okoliš, ishođenja prostorno-planske dokumentacije i ishođenja potrebnih dozvola</w:t>
      </w:r>
      <w:r w:rsidR="00B7233E">
        <w:t>;</w:t>
      </w:r>
    </w:p>
    <w:p w14:paraId="31B055F2" w14:textId="11BA9111" w:rsidR="00F17D21" w:rsidRPr="00EB031F" w:rsidRDefault="00F17D21" w:rsidP="009B595A">
      <w:pPr>
        <w:pStyle w:val="ListParagraph"/>
        <w:numPr>
          <w:ilvl w:val="0"/>
          <w:numId w:val="51"/>
        </w:numPr>
        <w:spacing w:after="60"/>
        <w:ind w:left="714" w:hanging="357"/>
      </w:pPr>
      <w:r w:rsidRPr="00EB031F">
        <w:t>Definiranje uvjeta za izgradnju sezonskih toplinskih spremnika - Za skladištenje toplinske energije nisu definirani geološki odnosno pedološki uvjeti koje je potrebno zadovoljiti kod npr. gradnje sezonskih spremnika toplinske energije (dubine za iskop, sastav tla i sl.)</w:t>
      </w:r>
      <w:r w:rsidR="003279D5">
        <w:t>;</w:t>
      </w:r>
    </w:p>
    <w:p w14:paraId="373FD916" w14:textId="2DCDD3E8" w:rsidR="007545FB" w:rsidRPr="00B47BDA" w:rsidRDefault="007545FB" w:rsidP="009B595A">
      <w:pPr>
        <w:pStyle w:val="ListParagraph"/>
        <w:numPr>
          <w:ilvl w:val="0"/>
          <w:numId w:val="51"/>
        </w:numPr>
        <w:spacing w:after="60"/>
        <w:ind w:left="714" w:hanging="357"/>
      </w:pPr>
      <w:r w:rsidRPr="00B47BDA">
        <w:t>Određivanje urbanih zona potencijalne toplifikacije – analiza prostornih planova, mapiranje potrošnje toplinske energije te određivanje zona u urbanim sredinama u kojima se korisnici potencijalno mogu spojiti na toplinsku mrežu</w:t>
      </w:r>
      <w:r w:rsidR="003279D5">
        <w:t>;</w:t>
      </w:r>
      <w:r w:rsidRPr="00B47BDA">
        <w:t xml:space="preserve"> </w:t>
      </w:r>
    </w:p>
    <w:p w14:paraId="2777EE35" w14:textId="15C9CFB7" w:rsidR="007545FB" w:rsidRPr="00B47BDA" w:rsidRDefault="007545FB" w:rsidP="009B595A">
      <w:pPr>
        <w:pStyle w:val="ListParagraph"/>
        <w:numPr>
          <w:ilvl w:val="0"/>
          <w:numId w:val="51"/>
        </w:numPr>
        <w:spacing w:after="60"/>
        <w:ind w:left="714" w:hanging="357"/>
      </w:pPr>
      <w:r w:rsidRPr="00B47BDA">
        <w:t>Sufinanciranje izrade planova za povećanje OIE u centraliziranim odnosno zatvorenim toplinskim sustavima</w:t>
      </w:r>
      <w:r w:rsidR="003279D5">
        <w:t>;</w:t>
      </w:r>
    </w:p>
    <w:p w14:paraId="3EFA34E1" w14:textId="3FE704ED" w:rsidR="007545FB" w:rsidRPr="00B47BDA" w:rsidRDefault="007545FB" w:rsidP="009B595A">
      <w:pPr>
        <w:pStyle w:val="ListParagraph"/>
        <w:numPr>
          <w:ilvl w:val="0"/>
          <w:numId w:val="51"/>
        </w:numPr>
        <w:spacing w:after="60"/>
        <w:ind w:left="714" w:hanging="357"/>
      </w:pPr>
      <w:r w:rsidRPr="00B47BDA">
        <w:t>Sufinanciranje investicija u tehnologije za korištenje OIE, identificiranih u planu za povećanje udjela OIE u CTS/ZTS</w:t>
      </w:r>
      <w:r w:rsidR="003279D5">
        <w:t>;</w:t>
      </w:r>
    </w:p>
    <w:p w14:paraId="054B6277" w14:textId="50565F53" w:rsidR="00F634BD" w:rsidRPr="00B47BDA" w:rsidRDefault="00744B7D" w:rsidP="00F634BD">
      <w:pPr>
        <w:pStyle w:val="ListParagraph"/>
        <w:numPr>
          <w:ilvl w:val="0"/>
          <w:numId w:val="51"/>
        </w:numPr>
        <w:spacing w:after="60"/>
        <w:ind w:left="714" w:hanging="357"/>
      </w:pPr>
      <w:r>
        <w:t xml:space="preserve">Sufinanciranje </w:t>
      </w:r>
      <w:r w:rsidR="00E40F80">
        <w:t>investicija u tehnologije skladištenja toplinske energije (dnevni, tjedni i sezonski toplinski spremnici)</w:t>
      </w:r>
      <w:r w:rsidR="00F634BD">
        <w:t xml:space="preserve">. </w:t>
      </w:r>
    </w:p>
    <w:p w14:paraId="1FCB7C79" w14:textId="03EDEB60" w:rsidR="007545FB" w:rsidRPr="00B47BDA" w:rsidRDefault="007545FB" w:rsidP="004623DD">
      <w:pPr>
        <w:rPr>
          <w:b/>
          <w:color w:val="000000"/>
        </w:rPr>
      </w:pPr>
      <w:r w:rsidRPr="00B47BDA">
        <w:rPr>
          <w:b/>
        </w:rPr>
        <w:t xml:space="preserve">Sredstva potrebna za provedbu: </w:t>
      </w:r>
      <w:r w:rsidRPr="00B47BDA">
        <w:t>750 mil</w:t>
      </w:r>
      <w:r w:rsidR="00010DBB">
        <w:t>ijuna</w:t>
      </w:r>
      <w:r w:rsidRPr="00B47BDA">
        <w:t xml:space="preserve"> EUR za čitavo promatrano razdoblje</w:t>
      </w:r>
    </w:p>
    <w:p w14:paraId="5C72F48A" w14:textId="6092D2D6" w:rsidR="007545FB" w:rsidRPr="00B47BDA" w:rsidRDefault="007545FB" w:rsidP="004623DD">
      <w:r w:rsidRPr="00B47BDA">
        <w:rPr>
          <w:b/>
        </w:rPr>
        <w:t>Izvori financiranja:</w:t>
      </w:r>
      <w:r w:rsidRPr="00B47BDA">
        <w:t xml:space="preserve"> Fond za zaštitu okoliša i energetsku učinkovitost </w:t>
      </w:r>
      <w:r w:rsidR="00842E4B">
        <w:t>od</w:t>
      </w:r>
      <w:r w:rsidRPr="00B47BDA">
        <w:t xml:space="preserve"> </w:t>
      </w:r>
      <w:r w:rsidR="00E06D8D" w:rsidRPr="00E06D8D">
        <w:t>prihod</w:t>
      </w:r>
      <w:r w:rsidR="00842E4B">
        <w:t>a</w:t>
      </w:r>
      <w:r w:rsidR="00E06D8D" w:rsidRPr="00E06D8D">
        <w:t xml:space="preserve"> od prodaje emisijskih jedinica iz EU ETS, Modernizacijsk</w:t>
      </w:r>
      <w:r w:rsidR="00842E4B">
        <w:t>og</w:t>
      </w:r>
      <w:r w:rsidR="00E06D8D" w:rsidRPr="00E06D8D">
        <w:t xml:space="preserve"> fond</w:t>
      </w:r>
      <w:r w:rsidR="00842E4B">
        <w:t xml:space="preserve">a i drugih raspoloživih izvora sukladno </w:t>
      </w:r>
      <w:r w:rsidR="00052B00" w:rsidRPr="00052B00">
        <w:t>Zakonu o klimatskim promjenama i zaštiti ozonskog sloja</w:t>
      </w:r>
      <w:r w:rsidRPr="00B47BDA">
        <w:t>, EU fondovi</w:t>
      </w:r>
    </w:p>
    <w:p w14:paraId="411C3005" w14:textId="0C142491" w:rsidR="007545FB" w:rsidRPr="00B47BDA" w:rsidRDefault="007545FB" w:rsidP="004623DD">
      <w:pPr>
        <w:rPr>
          <w:color w:val="000000"/>
        </w:rPr>
      </w:pPr>
      <w:r w:rsidRPr="00EE67E0">
        <w:rPr>
          <w:b/>
          <w:bCs/>
        </w:rPr>
        <w:t>Izvršno</w:t>
      </w:r>
      <w:r w:rsidR="00EE67E0">
        <w:rPr>
          <w:b/>
          <w:bCs/>
        </w:rPr>
        <w:t xml:space="preserve"> </w:t>
      </w:r>
      <w:r w:rsidRPr="00EE67E0">
        <w:rPr>
          <w:b/>
          <w:bCs/>
        </w:rPr>
        <w:t>tijelo:</w:t>
      </w:r>
      <w:r w:rsidRPr="00B47BDA">
        <w:t xml:space="preserve"> FZOEU</w:t>
      </w:r>
      <w:r w:rsidR="00212702">
        <w:t>, MINGO</w:t>
      </w:r>
      <w:r w:rsidR="00F41D9E">
        <w:t>, MPGI.</w:t>
      </w:r>
      <w:r w:rsidRPr="00B47BDA">
        <w:t xml:space="preserve"> </w:t>
      </w:r>
    </w:p>
    <w:p w14:paraId="716AFA25" w14:textId="7BAF57AC" w:rsidR="00AB538B" w:rsidRPr="00B47BDA" w:rsidRDefault="00AB538B" w:rsidP="004623DD">
      <w:pPr>
        <w:rPr>
          <w:color w:val="000000"/>
        </w:rPr>
      </w:pPr>
      <w:r w:rsidRPr="00EE67E0">
        <w:rPr>
          <w:b/>
          <w:bCs/>
        </w:rPr>
        <w:t xml:space="preserve">Tijela za praćenje: </w:t>
      </w:r>
      <w:r w:rsidR="00DE45E7" w:rsidRPr="00B47BDA">
        <w:t>M</w:t>
      </w:r>
      <w:r w:rsidR="00B6235C" w:rsidRPr="00B47BDA">
        <w:t>IN</w:t>
      </w:r>
      <w:r w:rsidR="00DE45E7" w:rsidRPr="00B47BDA">
        <w:t>GO</w:t>
      </w:r>
      <w:r w:rsidR="00DE7DBD">
        <w:t>.</w:t>
      </w:r>
    </w:p>
    <w:p w14:paraId="300B3E7A" w14:textId="77777777" w:rsidR="007545FB" w:rsidRPr="00B47BDA" w:rsidRDefault="007545FB" w:rsidP="004623DD">
      <w:r w:rsidRPr="63259912">
        <w:rPr>
          <w:b/>
          <w:bCs/>
        </w:rPr>
        <w:t xml:space="preserve">Učinak: </w:t>
      </w:r>
      <w:r w:rsidRPr="63259912">
        <w:t>Povećanje udjela obnovljivih izvora energije, smanjenje CO</w:t>
      </w:r>
      <w:r w:rsidRPr="63259912">
        <w:rPr>
          <w:vertAlign w:val="subscript"/>
        </w:rPr>
        <w:t>2</w:t>
      </w:r>
      <w:r w:rsidRPr="63259912">
        <w:t xml:space="preserve"> emisija te povećanje energetske učinkovitosti u sustavima toplinarstva.</w:t>
      </w:r>
    </w:p>
    <w:p w14:paraId="3A688A7D" w14:textId="77777777" w:rsidR="007545FB" w:rsidRPr="00B47BDA" w:rsidRDefault="007545FB" w:rsidP="004623DD">
      <w:r w:rsidRPr="63259912">
        <w:rPr>
          <w:b/>
          <w:bCs/>
        </w:rPr>
        <w:t>Metoda praćenja:</w:t>
      </w:r>
      <w:r w:rsidRPr="63259912">
        <w:t xml:space="preserve"> Proizvedena energija iz obnovljivih izvora energije u sustavima toplinarstva te energija predana u toplinsku mrežu. Mjerenje električne energije za pogon kompresora dizalice topline kako bi se dobio uvid u preuzetu energiju iz okoliša. </w:t>
      </w:r>
    </w:p>
    <w:p w14:paraId="5795B1C7" w14:textId="77777777" w:rsidR="007545FB" w:rsidRPr="00B47BDA" w:rsidRDefault="007545FB" w:rsidP="004623DD">
      <w:pPr>
        <w:rPr>
          <w:color w:val="000000"/>
        </w:rPr>
      </w:pPr>
      <w:r w:rsidRPr="00B47BDA">
        <w:rPr>
          <w:b/>
        </w:rPr>
        <w:t xml:space="preserve">Povezanost s drugim dimenzijama: </w:t>
      </w:r>
      <w:r w:rsidRPr="00B47BDA">
        <w:t>Mjera je povezana sa svim dimenzijama</w:t>
      </w:r>
    </w:p>
    <w:p w14:paraId="1C1E5E48" w14:textId="33CC8FFA" w:rsidR="00025BAD" w:rsidRDefault="007545FB" w:rsidP="00BF24C1">
      <w:r w:rsidRPr="63259912">
        <w:rPr>
          <w:b/>
          <w:bCs/>
        </w:rPr>
        <w:t>Istraživanje i razvoj</w:t>
      </w:r>
      <w:r w:rsidRPr="63259912">
        <w:t xml:space="preserve">: Mjera je povezana s istraživanjem i razvojem tehnologija OIE i integracijom OIE u energetske sustave. Najveći se naglasak treba staviti na istraživanje korištenja otpadne topline u toplinarskim sustavima. Potrebno je mapirati izvore otpadne topline u gradovima s postojećim centraliziranim toplinskim sustavima i napraviti preliminarne studije tehničke izvedivosti. Centralizirani toplinski sustavi se također mogu koristiti i za hlađenje putem apsorpcijskih dizalica topline. U tu svrhu je potrebno provesti preliminarnu studiju izvodljivosti u gradu s postojećim toplinarskim sustavom. </w:t>
      </w:r>
    </w:p>
    <w:p w14:paraId="7E7812F4" w14:textId="77777777" w:rsidR="00025BAD" w:rsidRPr="00B47BDA" w:rsidRDefault="00025BAD" w:rsidP="00025BAD">
      <w:pPr>
        <w:pStyle w:val="Mjeranaslov"/>
        <w:rPr>
          <w:color w:val="000000"/>
        </w:rPr>
      </w:pPr>
      <w:r w:rsidRPr="00B47BDA">
        <w:lastRenderedPageBreak/>
        <w:t>OIE-</w:t>
      </w:r>
      <w:r>
        <w:t>7</w:t>
      </w:r>
      <w:r w:rsidRPr="00B47BDA">
        <w:t xml:space="preserve"> Dijeljenje energije</w:t>
      </w:r>
      <w:r w:rsidRPr="00B47BDA">
        <w:rPr>
          <w:color w:val="000000"/>
        </w:rPr>
        <w:t xml:space="preserve"> </w:t>
      </w:r>
      <w:r w:rsidRPr="00AD6A03">
        <w:t>i energetske zajednice</w:t>
      </w:r>
    </w:p>
    <w:p w14:paraId="443EA17E" w14:textId="0D0675C5" w:rsidR="00025BAD" w:rsidRPr="00B47BDA" w:rsidRDefault="00025BAD" w:rsidP="00025BAD">
      <w:r w:rsidRPr="00B47BDA">
        <w:t>Regulatorna</w:t>
      </w:r>
      <w:r>
        <w:t xml:space="preserve"> i financijska</w:t>
      </w:r>
      <w:r w:rsidRPr="00B47BDA">
        <w:t xml:space="preserve"> mjera; provedba 202</w:t>
      </w:r>
      <w:r w:rsidR="00227FF4">
        <w:t>5</w:t>
      </w:r>
      <w:r w:rsidRPr="00B47BDA">
        <w:t>. -2030.</w:t>
      </w:r>
    </w:p>
    <w:p w14:paraId="31C63145" w14:textId="7DDF41CA" w:rsidR="00025BAD" w:rsidRDefault="00025BAD" w:rsidP="00025BAD">
      <w:pPr>
        <w:rPr>
          <w:b/>
        </w:rPr>
      </w:pPr>
      <w:r w:rsidRPr="00B47BDA">
        <w:rPr>
          <w:b/>
        </w:rPr>
        <w:t xml:space="preserve">Cilj </w:t>
      </w:r>
      <w:r>
        <w:rPr>
          <w:b/>
        </w:rPr>
        <w:t xml:space="preserve">mjere: </w:t>
      </w:r>
      <w:r w:rsidR="000A6C56">
        <w:t>P</w:t>
      </w:r>
      <w:r w:rsidRPr="008A4AF5">
        <w:t>otaknuti dijeljen</w:t>
      </w:r>
      <w:r>
        <w:t>j</w:t>
      </w:r>
      <w:r w:rsidRPr="008A4AF5">
        <w:t>e energije</w:t>
      </w:r>
      <w:r>
        <w:t xml:space="preserve"> i</w:t>
      </w:r>
      <w:r w:rsidRPr="008A4AF5">
        <w:t xml:space="preserve"> uspostavu energetskih zajednica</w:t>
      </w:r>
      <w:r>
        <w:t>; povećati udio OIE u neposrednoj potrošnji; unaprijediti pristup i dijeljenje podataka</w:t>
      </w:r>
      <w:r w:rsidR="00D57FD1">
        <w:t>.</w:t>
      </w:r>
    </w:p>
    <w:p w14:paraId="1B5CFD62" w14:textId="0258EEE1" w:rsidR="00025BAD" w:rsidRPr="00B47BDA" w:rsidRDefault="00025BAD" w:rsidP="00025BAD">
      <w:r>
        <w:rPr>
          <w:b/>
        </w:rPr>
        <w:t>O</w:t>
      </w:r>
      <w:r w:rsidRPr="00B47BDA">
        <w:rPr>
          <w:b/>
        </w:rPr>
        <w:t xml:space="preserve">pis mjere: </w:t>
      </w:r>
      <w:r w:rsidRPr="00B47BDA">
        <w:t>Potrebno je dopuniti postojeća pravila pristupa elektroenergetskoj mreži, razraditi procedure i praksu razmjene informacija između operatora sustava i korisnika te unaprijediti mogućnosti obračuna razmjene energije</w:t>
      </w:r>
      <w:r w:rsidR="00EC2A7F">
        <w:t xml:space="preserve"> za </w:t>
      </w:r>
      <w:r w:rsidR="00EC2A7F" w:rsidRPr="006E3DAF">
        <w:t>energetske zajednice (energetske zajednice građana i zajednice obnovljive energije)</w:t>
      </w:r>
      <w:r w:rsidRPr="00B47BDA">
        <w:t xml:space="preserve">. </w:t>
      </w:r>
      <w:r>
        <w:t>Pružit će se potpora osnivanju energetskih zajednica.</w:t>
      </w:r>
    </w:p>
    <w:p w14:paraId="59715FDB" w14:textId="0CF21B20" w:rsidR="00025BAD" w:rsidRDefault="00025BAD" w:rsidP="00025BAD">
      <w:r w:rsidRPr="00B47BDA">
        <w:t xml:space="preserve">Trenutačni regulatorni okvir za korištenje obnovljivih izvora energije pokriven je s nekoliko zakona, a ključni zakoni u tom smislu su Zakon o obnovljivim izvorima energije i visokoučinkovitoj kogeneraciji i Zakon o tržištu električne energije s nizom podzakonskih akata. Kako bi se potaknula šira upotreba obnovljivih izvora energije u neposrednoj potrošnji te u cilju ispunjenja zadanih klimatskih ciljeva i usklađivanja nacionalnog regulatornog okvira s direktivama EU potrebno je nadopuniti </w:t>
      </w:r>
      <w:r w:rsidR="00EC2A7F">
        <w:t>i unaprijediti</w:t>
      </w:r>
      <w:r w:rsidRPr="00B47BDA">
        <w:t xml:space="preserve"> spomenute zakone</w:t>
      </w:r>
      <w:r w:rsidR="00EC2A7F">
        <w:t xml:space="preserve"> i</w:t>
      </w:r>
      <w:r w:rsidR="00EC2A7F" w:rsidRPr="00B47BDA">
        <w:t xml:space="preserve"> </w:t>
      </w:r>
      <w:r w:rsidRPr="00B47BDA">
        <w:t>odgovarajuće podzakonske akte. Potrebno je dopuniti podzakonske akte</w:t>
      </w:r>
      <w:r w:rsidR="005329D5">
        <w:t xml:space="preserve"> i razviti dobru praksu</w:t>
      </w:r>
      <w:r w:rsidRPr="00B47BDA">
        <w:t xml:space="preserve"> s ciljem omogućavanja dijeljenja energije, unaprijediti tarife za efikasnije korištenje </w:t>
      </w:r>
      <w:r w:rsidR="0040778C">
        <w:t xml:space="preserve">prijenosne i </w:t>
      </w:r>
      <w:r w:rsidRPr="00B47BDA">
        <w:t xml:space="preserve">distribucijske mreže, unaprijediti pravila </w:t>
      </w:r>
      <w:r w:rsidR="005329D5">
        <w:t>i mogućnost</w:t>
      </w:r>
      <w:r w:rsidRPr="00B47BDA">
        <w:t xml:space="preserve"> pristupa </w:t>
      </w:r>
      <w:r w:rsidR="00507440">
        <w:t xml:space="preserve">mjernim odnosno obračunskim </w:t>
      </w:r>
      <w:r w:rsidRPr="00B47BDA">
        <w:t xml:space="preserve">podacima </w:t>
      </w:r>
      <w:r w:rsidR="009C49E8">
        <w:t xml:space="preserve">s ciljem unaprjeđenja efikasnosti obavljanja energetskih djelatnosti, </w:t>
      </w:r>
      <w:r w:rsidR="009C49E8" w:rsidRPr="00B47BDA">
        <w:t>pružanja usluga i dijeljenja energije</w:t>
      </w:r>
      <w:r w:rsidRPr="00B47BDA">
        <w:t>.</w:t>
      </w:r>
    </w:p>
    <w:p w14:paraId="7981F478" w14:textId="381CB4E8" w:rsidR="003369C7" w:rsidRPr="0046261F" w:rsidRDefault="00025BAD" w:rsidP="00025BAD">
      <w:r>
        <w:t xml:space="preserve">Uspostava i rad energetskih zajednica potaknut će se izgradnjom kapaciteta </w:t>
      </w:r>
      <w:r w:rsidR="009C49E8">
        <w:t>dionika</w:t>
      </w:r>
      <w:r>
        <w:t xml:space="preserve"> (izradit će se upute za osnivanje i rad energetskih zajednica – vezano na mjeru OIE-1), sufinancirat će se </w:t>
      </w:r>
      <w:r w:rsidR="00015795">
        <w:t>izrada tehničke</w:t>
      </w:r>
      <w:r>
        <w:t xml:space="preserve"> </w:t>
      </w:r>
      <w:r w:rsidR="00015795">
        <w:t xml:space="preserve">dokumentacije </w:t>
      </w:r>
      <w:r>
        <w:t xml:space="preserve">i </w:t>
      </w:r>
      <w:r w:rsidR="00015795" w:rsidRPr="00C2351C">
        <w:t>investicijski troškovi za projekte u vlasništvu energetskih zajednica (vezano na mjere OIE-4 i OIE-5)</w:t>
      </w:r>
      <w:r w:rsidR="00015795">
        <w:t xml:space="preserve"> te će se, u skladu s okvirom za dodjelu državnih potpora, omogućiti davanje operativne potpore za projekte u vlasništvu energetskih zajednica</w:t>
      </w:r>
      <w:r w:rsidR="00015795" w:rsidRPr="00C2351C">
        <w:t>.</w:t>
      </w:r>
    </w:p>
    <w:p w14:paraId="147D3FB7" w14:textId="3153DE3F" w:rsidR="00025BAD" w:rsidRPr="00B47BDA" w:rsidRDefault="00025BAD" w:rsidP="00025BAD">
      <w:r w:rsidRPr="00B47BDA">
        <w:rPr>
          <w:b/>
        </w:rPr>
        <w:t>Aktivnosti</w:t>
      </w:r>
      <w:r w:rsidRPr="00B47BDA">
        <w:t xml:space="preserve">: </w:t>
      </w:r>
    </w:p>
    <w:p w14:paraId="1C45C55C" w14:textId="2145E6DA" w:rsidR="00332A5C" w:rsidRPr="00B47BDA" w:rsidRDefault="00544D5B" w:rsidP="00332A5C">
      <w:pPr>
        <w:pStyle w:val="ListParagraph"/>
        <w:numPr>
          <w:ilvl w:val="0"/>
          <w:numId w:val="160"/>
        </w:numPr>
      </w:pPr>
      <w:r>
        <w:t>U</w:t>
      </w:r>
      <w:r w:rsidR="00852CC8" w:rsidRPr="00B47BDA">
        <w:t>re</w:t>
      </w:r>
      <w:r w:rsidR="00332A5C">
        <w:t>diti</w:t>
      </w:r>
      <w:r w:rsidR="00852CC8" w:rsidRPr="00B47BDA">
        <w:t xml:space="preserve"> </w:t>
      </w:r>
      <w:r w:rsidR="00025BAD" w:rsidRPr="00B47BDA">
        <w:t xml:space="preserve">regulatorni okvir </w:t>
      </w:r>
      <w:r w:rsidR="00332A5C">
        <w:t>koji će potaknuti osnivanje i rad</w:t>
      </w:r>
      <w:r w:rsidR="00332A5C" w:rsidRPr="00B47BDA">
        <w:t xml:space="preserve"> </w:t>
      </w:r>
      <w:r w:rsidR="00332A5C">
        <w:t>energetskih zajednica;</w:t>
      </w:r>
    </w:p>
    <w:p w14:paraId="1DAB3A26" w14:textId="0CB5439B" w:rsidR="00852CC8" w:rsidRPr="00B47BDA" w:rsidRDefault="00544D5B" w:rsidP="00852CC8">
      <w:pPr>
        <w:pStyle w:val="ListParagraph"/>
        <w:numPr>
          <w:ilvl w:val="0"/>
          <w:numId w:val="160"/>
        </w:numPr>
      </w:pPr>
      <w:r>
        <w:t>U</w:t>
      </w:r>
      <w:r w:rsidR="00332A5C">
        <w:t>naprijediti</w:t>
      </w:r>
      <w:r w:rsidR="00332A5C" w:rsidRPr="00B47BDA">
        <w:t xml:space="preserve"> </w:t>
      </w:r>
      <w:r w:rsidR="00852CC8" w:rsidRPr="00B47BDA">
        <w:t xml:space="preserve">pravila pristupa mreži za sve sudionike, </w:t>
      </w:r>
      <w:r w:rsidR="00332A5C" w:rsidRPr="00B47BDA">
        <w:t>omoguć</w:t>
      </w:r>
      <w:r w:rsidR="00332A5C">
        <w:t>iti</w:t>
      </w:r>
      <w:r w:rsidR="00332A5C" w:rsidRPr="00B47BDA">
        <w:t xml:space="preserve"> </w:t>
      </w:r>
      <w:r w:rsidR="00852CC8" w:rsidRPr="00B47BDA">
        <w:t>pristup i jednostavniju razmjenu informacija o mjernim i obračunskim podacima</w:t>
      </w:r>
    </w:p>
    <w:p w14:paraId="40717CB6" w14:textId="178D54EB" w:rsidR="00025BAD" w:rsidRPr="00B47BDA" w:rsidRDefault="00544D5B" w:rsidP="00025BAD">
      <w:pPr>
        <w:pStyle w:val="ListParagraph"/>
        <w:numPr>
          <w:ilvl w:val="0"/>
          <w:numId w:val="160"/>
        </w:numPr>
      </w:pPr>
      <w:r>
        <w:t>O</w:t>
      </w:r>
      <w:r w:rsidR="00852CC8" w:rsidRPr="00B47BDA">
        <w:t>sigurati općenito pojednostavljenje, uređenje i uhodavanje administrativnih procedura te uklanjanje barijera za provođenje potrebnih aktivnosti</w:t>
      </w:r>
      <w:r w:rsidR="00852CC8">
        <w:t>.</w:t>
      </w:r>
    </w:p>
    <w:p w14:paraId="5CCA2F40" w14:textId="3738EEDF" w:rsidR="00025BAD" w:rsidRPr="0027355E" w:rsidRDefault="00025BAD" w:rsidP="00025BAD">
      <w:r w:rsidRPr="00B47BDA">
        <w:rPr>
          <w:b/>
        </w:rPr>
        <w:t xml:space="preserve">Izvori financiranja: </w:t>
      </w:r>
      <w:r w:rsidRPr="00B47BDA">
        <w:t xml:space="preserve">Proračunska sredstva, </w:t>
      </w:r>
      <w:r w:rsidR="00852CC8">
        <w:t>FZOEU, HROTE</w:t>
      </w:r>
      <w:r>
        <w:t xml:space="preserve">, </w:t>
      </w:r>
      <w:r w:rsidRPr="00BD1AFB">
        <w:t>Kohezijsk</w:t>
      </w:r>
      <w:r>
        <w:t>i</w:t>
      </w:r>
      <w:r w:rsidRPr="00BD1AFB">
        <w:t xml:space="preserve"> fond, Modernizacijsk</w:t>
      </w:r>
      <w:r>
        <w:t>i</w:t>
      </w:r>
      <w:r w:rsidRPr="00BD1AFB">
        <w:t xml:space="preserve"> fond</w:t>
      </w:r>
      <w:r>
        <w:t>,</w:t>
      </w:r>
      <w:r w:rsidRPr="00BD1AFB">
        <w:t xml:space="preserve"> Plan oporavka i otpornosti</w:t>
      </w:r>
      <w:r>
        <w:t xml:space="preserve">, </w:t>
      </w:r>
      <w:r w:rsidRPr="00B47BDA">
        <w:t>EGP financijsk</w:t>
      </w:r>
      <w:r>
        <w:t>i</w:t>
      </w:r>
      <w:r w:rsidRPr="00B47BDA">
        <w:t xml:space="preserve"> mehaniz</w:t>
      </w:r>
      <w:r>
        <w:t>am,</w:t>
      </w:r>
      <w:r w:rsidRPr="00B47BDA">
        <w:t xml:space="preserve"> Norvešk</w:t>
      </w:r>
      <w:r>
        <w:t>i</w:t>
      </w:r>
      <w:r w:rsidRPr="00B47BDA">
        <w:t xml:space="preserve"> financijsk</w:t>
      </w:r>
      <w:r>
        <w:t>i</w:t>
      </w:r>
      <w:r w:rsidRPr="00B47BDA">
        <w:t xml:space="preserve"> mehaniz</w:t>
      </w:r>
      <w:r>
        <w:t>am,</w:t>
      </w:r>
      <w:r w:rsidRPr="00574C19">
        <w:t xml:space="preserve"> ostali izvori financiranja</w:t>
      </w:r>
      <w:r w:rsidR="0027355E">
        <w:t>.</w:t>
      </w:r>
    </w:p>
    <w:p w14:paraId="2375931D" w14:textId="77777777" w:rsidR="00852CC8" w:rsidRDefault="00025BAD" w:rsidP="00025BAD">
      <w:pPr>
        <w:rPr>
          <w:b/>
        </w:rPr>
      </w:pPr>
      <w:r w:rsidRPr="00B47BDA">
        <w:rPr>
          <w:b/>
        </w:rPr>
        <w:t xml:space="preserve">Izvršno tijelo: </w:t>
      </w:r>
    </w:p>
    <w:p w14:paraId="73C38D77" w14:textId="26FF63AC" w:rsidR="00852CC8" w:rsidRPr="0027355E" w:rsidRDefault="00852CC8" w:rsidP="00852CC8">
      <w:pPr>
        <w:pStyle w:val="ListParagraph"/>
        <w:numPr>
          <w:ilvl w:val="0"/>
          <w:numId w:val="161"/>
        </w:numPr>
        <w:rPr>
          <w:bCs/>
        </w:rPr>
      </w:pPr>
      <w:r w:rsidRPr="0027355E">
        <w:rPr>
          <w:bCs/>
        </w:rPr>
        <w:t>MINGO</w:t>
      </w:r>
      <w:r w:rsidR="00DE7DBD">
        <w:rPr>
          <w:bCs/>
        </w:rPr>
        <w:t xml:space="preserve"> </w:t>
      </w:r>
      <w:r w:rsidRPr="0027355E">
        <w:rPr>
          <w:bCs/>
        </w:rPr>
        <w:t>– općenito uređenje i unaprjeđenje zakonodavnog okvira</w:t>
      </w:r>
      <w:r w:rsidR="0046261F">
        <w:rPr>
          <w:bCs/>
        </w:rPr>
        <w:t>;</w:t>
      </w:r>
    </w:p>
    <w:p w14:paraId="301704EB" w14:textId="77777777" w:rsidR="00852CC8" w:rsidRPr="00EF443C" w:rsidRDefault="00852CC8" w:rsidP="00852CC8">
      <w:pPr>
        <w:pStyle w:val="ListParagraph"/>
        <w:numPr>
          <w:ilvl w:val="0"/>
          <w:numId w:val="161"/>
        </w:numPr>
      </w:pPr>
      <w:r w:rsidRPr="0027355E">
        <w:rPr>
          <w:bCs/>
        </w:rPr>
        <w:t>HERA –</w:t>
      </w:r>
      <w:r>
        <w:t xml:space="preserve"> unaprjeđenje regulatornog okvira; izrada ocjene </w:t>
      </w:r>
      <w:r w:rsidRPr="00C01687">
        <w:t>postojećih prepreka i potencijala za razvoj zajednica obnovljive energije</w:t>
      </w:r>
      <w:r>
        <w:t>;</w:t>
      </w:r>
    </w:p>
    <w:p w14:paraId="7E247A6B" w14:textId="5DDBF2D3" w:rsidR="00852CC8" w:rsidRDefault="00852CC8" w:rsidP="00852CC8">
      <w:pPr>
        <w:numPr>
          <w:ilvl w:val="0"/>
          <w:numId w:val="161"/>
        </w:numPr>
        <w:pBdr>
          <w:top w:val="nil"/>
          <w:left w:val="nil"/>
          <w:bottom w:val="nil"/>
          <w:right w:val="nil"/>
          <w:between w:val="nil"/>
        </w:pBdr>
        <w:spacing w:after="160" w:line="259" w:lineRule="auto"/>
        <w:jc w:val="left"/>
      </w:pPr>
      <w:r>
        <w:lastRenderedPageBreak/>
        <w:t>HEP-</w:t>
      </w:r>
      <w:r w:rsidRPr="00B47BDA">
        <w:t xml:space="preserve">ODS – unaprjeđenje </w:t>
      </w:r>
      <w:r>
        <w:t>podzakonskih akata i prakse za funkcioniranje energetskih zajednica i dijeljenja energije</w:t>
      </w:r>
      <w:r w:rsidR="0046261F">
        <w:t>;</w:t>
      </w:r>
    </w:p>
    <w:p w14:paraId="58794CE9" w14:textId="1107F72B" w:rsidR="00852CC8" w:rsidRPr="00E468BE" w:rsidRDefault="00852CC8" w:rsidP="00852CC8">
      <w:pPr>
        <w:numPr>
          <w:ilvl w:val="0"/>
          <w:numId w:val="161"/>
        </w:numPr>
        <w:pBdr>
          <w:top w:val="nil"/>
          <w:left w:val="nil"/>
          <w:bottom w:val="nil"/>
          <w:right w:val="nil"/>
          <w:between w:val="nil"/>
        </w:pBdr>
        <w:spacing w:after="160" w:line="259" w:lineRule="auto"/>
        <w:jc w:val="left"/>
      </w:pPr>
      <w:r w:rsidRPr="00E468BE">
        <w:rPr>
          <w:color w:val="000000"/>
        </w:rPr>
        <w:t xml:space="preserve">FZOEU - priprema i </w:t>
      </w:r>
      <w:r>
        <w:rPr>
          <w:color w:val="000000"/>
        </w:rPr>
        <w:t xml:space="preserve">provedba </w:t>
      </w:r>
      <w:r w:rsidRPr="00E468BE">
        <w:rPr>
          <w:color w:val="000000"/>
        </w:rPr>
        <w:t>potpornih financijskih mehanizama za energetske zajednice</w:t>
      </w:r>
      <w:r w:rsidR="0046261F">
        <w:rPr>
          <w:color w:val="000000"/>
        </w:rPr>
        <w:t>;</w:t>
      </w:r>
    </w:p>
    <w:p w14:paraId="4A519938" w14:textId="77777777" w:rsidR="0027355E" w:rsidRPr="0027355E" w:rsidRDefault="00852CC8" w:rsidP="0027355E">
      <w:pPr>
        <w:numPr>
          <w:ilvl w:val="0"/>
          <w:numId w:val="161"/>
        </w:numPr>
        <w:pBdr>
          <w:top w:val="nil"/>
          <w:left w:val="nil"/>
          <w:bottom w:val="nil"/>
          <w:right w:val="nil"/>
          <w:between w:val="nil"/>
        </w:pBdr>
        <w:spacing w:after="160" w:line="259" w:lineRule="auto"/>
        <w:jc w:val="left"/>
        <w:rPr>
          <w:rFonts w:cs="Arial"/>
          <w:color w:val="000000"/>
        </w:rPr>
      </w:pPr>
      <w:r w:rsidRPr="00852CC8">
        <w:rPr>
          <w:color w:val="000000"/>
        </w:rPr>
        <w:t>HROTE – priprema i provedba dodjele operativnih potpora za projekte energetskih zajednica.</w:t>
      </w:r>
    </w:p>
    <w:p w14:paraId="7BEA246C" w14:textId="10C34BF6" w:rsidR="00025BAD" w:rsidRPr="0027355E" w:rsidRDefault="00025BAD" w:rsidP="0027355E">
      <w:pPr>
        <w:pBdr>
          <w:top w:val="nil"/>
          <w:left w:val="nil"/>
          <w:bottom w:val="nil"/>
          <w:right w:val="nil"/>
          <w:between w:val="nil"/>
        </w:pBdr>
        <w:spacing w:after="160" w:line="259" w:lineRule="auto"/>
        <w:jc w:val="left"/>
        <w:rPr>
          <w:rFonts w:cs="Arial"/>
          <w:color w:val="000000"/>
        </w:rPr>
      </w:pPr>
      <w:r w:rsidRPr="0027355E">
        <w:rPr>
          <w:b/>
          <w:bCs/>
        </w:rPr>
        <w:t>Tijela za praćenje:</w:t>
      </w:r>
      <w:r w:rsidRPr="00B47BDA">
        <w:t xml:space="preserve"> </w:t>
      </w:r>
      <w:r w:rsidRPr="0027355E">
        <w:rPr>
          <w:rFonts w:cs="Arial"/>
          <w:color w:val="000000"/>
        </w:rPr>
        <w:t>MINGO, HERA</w:t>
      </w:r>
      <w:r w:rsidR="0027355E">
        <w:rPr>
          <w:rFonts w:cs="Arial"/>
          <w:color w:val="000000"/>
        </w:rPr>
        <w:t>.</w:t>
      </w:r>
    </w:p>
    <w:p w14:paraId="6084484E" w14:textId="4A1FB8DF" w:rsidR="00025BAD" w:rsidRPr="00B47BDA" w:rsidRDefault="00025BAD" w:rsidP="00025BAD">
      <w:r w:rsidRPr="00B47BDA">
        <w:rPr>
          <w:b/>
        </w:rPr>
        <w:t xml:space="preserve">Učinak: </w:t>
      </w:r>
      <w:r w:rsidRPr="00B47BDA">
        <w:t xml:space="preserve">Rezultat primjene mjere je funkcionalno dijeljenje </w:t>
      </w:r>
      <w:r w:rsidR="0005213E">
        <w:t>električne energije</w:t>
      </w:r>
      <w:r w:rsidR="0005213E" w:rsidRPr="00B47BDA">
        <w:t xml:space="preserve"> </w:t>
      </w:r>
      <w:r w:rsidRPr="00B47BDA">
        <w:t xml:space="preserve">te povećanje proizvodnje energije </w:t>
      </w:r>
      <w:r w:rsidR="0005213E">
        <w:t>iz</w:t>
      </w:r>
      <w:r w:rsidRPr="00B47BDA">
        <w:t xml:space="preserve"> OIE</w:t>
      </w:r>
      <w:r w:rsidRPr="00B47BDA">
        <w:rPr>
          <w:rFonts w:cs="Arial"/>
          <w:color w:val="000000"/>
        </w:rPr>
        <w:t>.</w:t>
      </w:r>
    </w:p>
    <w:p w14:paraId="4DD6C8F4" w14:textId="344FF8DD" w:rsidR="00025BAD" w:rsidRPr="00B47BDA" w:rsidRDefault="00025BAD" w:rsidP="00025BAD">
      <w:r w:rsidRPr="00B47BDA">
        <w:rPr>
          <w:b/>
        </w:rPr>
        <w:t xml:space="preserve">Metoda praćenja: </w:t>
      </w:r>
      <w:r w:rsidRPr="00B47BDA">
        <w:t>Energetska bilanca, plan i provedba donošenja zakonodavnih akata</w:t>
      </w:r>
      <w:r w:rsidR="0005213E">
        <w:t>, ocjena postojećih prepreka i potencijala za razvoj energetskih zajednica</w:t>
      </w:r>
      <w:r w:rsidR="0005213E">
        <w:rPr>
          <w:color w:val="000000"/>
        </w:rPr>
        <w:t xml:space="preserve"> obnovljive energije</w:t>
      </w:r>
      <w:r w:rsidRPr="00B47BDA">
        <w:rPr>
          <w:rFonts w:cs="Arial"/>
          <w:color w:val="000000"/>
        </w:rPr>
        <w:t>.</w:t>
      </w:r>
    </w:p>
    <w:p w14:paraId="14BB7822" w14:textId="77777777" w:rsidR="0005213E" w:rsidRPr="00F200F4" w:rsidRDefault="0005213E" w:rsidP="0005213E">
      <w:pPr>
        <w:rPr>
          <w:b/>
        </w:rPr>
      </w:pPr>
      <w:r w:rsidRPr="00F200F4">
        <w:rPr>
          <w:b/>
        </w:rPr>
        <w:t>Pokazatelj provedbe mjere (indikator):</w:t>
      </w:r>
    </w:p>
    <w:p w14:paraId="76FC73EF" w14:textId="6B6483D8" w:rsidR="0005213E" w:rsidRPr="00C9204B" w:rsidRDefault="0005213E" w:rsidP="0005213E">
      <w:pPr>
        <w:pStyle w:val="ListParagraph"/>
        <w:numPr>
          <w:ilvl w:val="0"/>
          <w:numId w:val="163"/>
        </w:numPr>
      </w:pPr>
      <w:r w:rsidRPr="00C9204B">
        <w:t>Broj važećih dozvola izdanih energetskim zajednicama</w:t>
      </w:r>
      <w:r w:rsidR="0076781B">
        <w:t>;</w:t>
      </w:r>
    </w:p>
    <w:p w14:paraId="4DF891E2" w14:textId="245C0A01" w:rsidR="0005213E" w:rsidRPr="00C9204B" w:rsidRDefault="0005213E" w:rsidP="0005213E">
      <w:pPr>
        <w:pStyle w:val="ListParagraph"/>
        <w:numPr>
          <w:ilvl w:val="0"/>
          <w:numId w:val="163"/>
        </w:numPr>
      </w:pPr>
      <w:r w:rsidRPr="00C9204B">
        <w:t>Broj aktivnih shema dijeljenja energije</w:t>
      </w:r>
      <w:r w:rsidR="0076781B">
        <w:t>;</w:t>
      </w:r>
    </w:p>
    <w:p w14:paraId="540160E5" w14:textId="29924BF6" w:rsidR="0005213E" w:rsidRPr="00C9204B" w:rsidRDefault="0005213E" w:rsidP="0005213E">
      <w:pPr>
        <w:pStyle w:val="ListParagraph"/>
        <w:numPr>
          <w:ilvl w:val="0"/>
          <w:numId w:val="163"/>
        </w:numPr>
      </w:pPr>
      <w:r w:rsidRPr="00C9204B">
        <w:t>Broj OMM uključenih u sheme dijeljenja električne energije</w:t>
      </w:r>
      <w:r w:rsidR="0076781B">
        <w:t>;</w:t>
      </w:r>
    </w:p>
    <w:p w14:paraId="53EF0A35" w14:textId="69D5F0CA" w:rsidR="0005213E" w:rsidRPr="00C9204B" w:rsidRDefault="0005213E" w:rsidP="0005213E">
      <w:pPr>
        <w:pStyle w:val="ListParagraph"/>
        <w:numPr>
          <w:ilvl w:val="0"/>
          <w:numId w:val="163"/>
        </w:numPr>
      </w:pPr>
      <w:r w:rsidRPr="00C9204B">
        <w:t>Broj OMM uključenih u sheme dijeljenja električne energije, na kojima postoji proizvodnja električne energije</w:t>
      </w:r>
      <w:r w:rsidR="0076781B">
        <w:t>;</w:t>
      </w:r>
    </w:p>
    <w:p w14:paraId="14676501" w14:textId="2469EA7D" w:rsidR="0005213E" w:rsidRPr="00C9204B" w:rsidRDefault="0005213E" w:rsidP="0005213E">
      <w:pPr>
        <w:pStyle w:val="ListParagraph"/>
        <w:numPr>
          <w:ilvl w:val="0"/>
          <w:numId w:val="163"/>
        </w:numPr>
      </w:pPr>
      <w:r w:rsidRPr="00C9204B">
        <w:t>Ukupna priključna snaga u smjeru preuzimanja električne energije iz mreže na svim OMM uključenim u sheme dijeljenja</w:t>
      </w:r>
      <w:r w:rsidR="0076781B">
        <w:t>;</w:t>
      </w:r>
    </w:p>
    <w:p w14:paraId="5D9A915B" w14:textId="7FF7F933" w:rsidR="0005213E" w:rsidRPr="00C9204B" w:rsidRDefault="0005213E" w:rsidP="0005213E">
      <w:pPr>
        <w:pStyle w:val="ListParagraph"/>
        <w:numPr>
          <w:ilvl w:val="0"/>
          <w:numId w:val="163"/>
        </w:numPr>
      </w:pPr>
      <w:r w:rsidRPr="00C9204B">
        <w:t>Ukupna priključna snaga u smjeru isporuke električne energije u mrežu na svim OMM uključenim u sheme dijeljenja</w:t>
      </w:r>
      <w:r w:rsidR="0076781B">
        <w:t>.</w:t>
      </w:r>
    </w:p>
    <w:p w14:paraId="392269F8" w14:textId="77777777" w:rsidR="00025BAD" w:rsidRPr="00B47BDA" w:rsidRDefault="00025BAD" w:rsidP="00025BAD">
      <w:r w:rsidRPr="00B47BDA">
        <w:rPr>
          <w:b/>
        </w:rPr>
        <w:t xml:space="preserve">Povezanost s drugim dimenzijama: </w:t>
      </w:r>
      <w:r>
        <w:t>Mjera je povezana s dimenzijom povećanja energetske sigurnosti i razvoja unutarnjeg energetskog tržišta (legislativno uređenje sektora).</w:t>
      </w:r>
    </w:p>
    <w:p w14:paraId="3402A745" w14:textId="0CF9C748" w:rsidR="00E42B26" w:rsidRPr="00B47BDA" w:rsidRDefault="00757154" w:rsidP="00E42B26">
      <w:pPr>
        <w:pStyle w:val="Mjeranaslov"/>
      </w:pPr>
      <w:r>
        <w:rPr>
          <w:rFonts w:eastAsia="Calibri"/>
        </w:rPr>
        <w:t>OIE-8</w:t>
      </w:r>
      <w:r w:rsidR="00E42B26">
        <w:rPr>
          <w:rFonts w:eastAsia="Calibri"/>
        </w:rPr>
        <w:t xml:space="preserve"> </w:t>
      </w:r>
      <w:r w:rsidR="00E42B26">
        <w:t>Korištenje vodika i novih tehnologija</w:t>
      </w:r>
    </w:p>
    <w:p w14:paraId="64D7CF64" w14:textId="06190AEE" w:rsidR="00E42B26" w:rsidRPr="007E33A8" w:rsidRDefault="003E4872" w:rsidP="00E42B26">
      <w:pPr>
        <w:pStyle w:val="NormalWeb"/>
      </w:pPr>
      <w:r w:rsidRPr="003E4872">
        <w:t>Organizacijska</w:t>
      </w:r>
      <w:r w:rsidR="00690006">
        <w:t>, tehnička</w:t>
      </w:r>
      <w:r w:rsidRPr="003E4872">
        <w:t xml:space="preserve"> i financijska mjera; provedba 202</w:t>
      </w:r>
      <w:r w:rsidR="000C19B5">
        <w:t>5</w:t>
      </w:r>
      <w:r w:rsidRPr="003E4872">
        <w:t>. -2030</w:t>
      </w:r>
      <w:r w:rsidR="00E42B26" w:rsidRPr="007E33A8">
        <w:t>.</w:t>
      </w:r>
    </w:p>
    <w:p w14:paraId="463C1A8D" w14:textId="23AF8D5E" w:rsidR="00E42B26" w:rsidRPr="007E33A8" w:rsidRDefault="00E42B26" w:rsidP="00E42B26">
      <w:pPr>
        <w:pStyle w:val="NormalWeb"/>
        <w:rPr>
          <w:color w:val="000000"/>
        </w:rPr>
      </w:pPr>
      <w:r w:rsidRPr="007E33A8">
        <w:rPr>
          <w:b/>
          <w:color w:val="000000" w:themeColor="text1"/>
        </w:rPr>
        <w:t>Cilj i opis mjere:</w:t>
      </w:r>
      <w:r w:rsidRPr="007E33A8">
        <w:rPr>
          <w:color w:val="000000" w:themeColor="text1"/>
        </w:rPr>
        <w:t xml:space="preserve"> </w:t>
      </w:r>
      <w:r w:rsidR="009522FC">
        <w:t>P</w:t>
      </w:r>
      <w:r w:rsidR="00404F30" w:rsidRPr="007E33A8">
        <w:t>oboljšat</w:t>
      </w:r>
      <w:r w:rsidR="007E33A8">
        <w:t xml:space="preserve"> će se</w:t>
      </w:r>
      <w:r w:rsidR="00404F30" w:rsidRPr="00404F30">
        <w:t xml:space="preserve"> korištenje vodika i</w:t>
      </w:r>
      <w:r w:rsidR="00404F30">
        <w:t xml:space="preserve"> </w:t>
      </w:r>
      <w:r w:rsidR="00404F30" w:rsidRPr="00404F30">
        <w:t>novih tehnologija u Hrvatskoj kako bi se</w:t>
      </w:r>
      <w:r w:rsidR="00404F30">
        <w:t xml:space="preserve"> </w:t>
      </w:r>
      <w:r w:rsidR="00404F30" w:rsidRPr="00404F30">
        <w:t>smanjile emisije stakleničkih plinova u</w:t>
      </w:r>
      <w:r w:rsidR="007E33A8" w:rsidRPr="007E33A8">
        <w:t xml:space="preserve"> </w:t>
      </w:r>
      <w:r w:rsidR="00404F30" w:rsidRPr="00404F30">
        <w:t>prometnom sektoru i industriji</w:t>
      </w:r>
      <w:r w:rsidR="00404F30" w:rsidRPr="007E33A8">
        <w:t>.</w:t>
      </w:r>
    </w:p>
    <w:p w14:paraId="0AD36A4B" w14:textId="77777777" w:rsidR="00E42B26" w:rsidRPr="005F5261" w:rsidRDefault="00E42B26" w:rsidP="00E42B26">
      <w:pPr>
        <w:rPr>
          <w:rFonts w:eastAsia="Calibri"/>
          <w:b/>
        </w:rPr>
      </w:pPr>
      <w:r w:rsidRPr="005F5261">
        <w:rPr>
          <w:b/>
        </w:rPr>
        <w:t xml:space="preserve">Aktivnosti: </w:t>
      </w:r>
    </w:p>
    <w:p w14:paraId="2265E918" w14:textId="79143281" w:rsidR="00E42B26" w:rsidRDefault="00315914" w:rsidP="63259912">
      <w:pPr>
        <w:pStyle w:val="ListParagraph"/>
        <w:numPr>
          <w:ilvl w:val="0"/>
          <w:numId w:val="159"/>
        </w:numPr>
        <w:spacing w:after="60"/>
        <w:rPr>
          <w:rFonts w:eastAsia="Calibri"/>
        </w:rPr>
      </w:pPr>
      <w:r w:rsidRPr="63259912">
        <w:rPr>
          <w:rFonts w:eastAsia="Calibri"/>
        </w:rPr>
        <w:t>Proizvodnja vodika iz obnovljivih izvora izgradnjom kapaciteta elektrolizatora od najmanje 10 MW</w:t>
      </w:r>
      <w:r w:rsidR="0046261F" w:rsidRPr="63259912">
        <w:rPr>
          <w:rFonts w:eastAsia="Calibri"/>
        </w:rPr>
        <w:t>;</w:t>
      </w:r>
    </w:p>
    <w:p w14:paraId="2B3E7B05" w14:textId="49CEE44D" w:rsidR="00315914" w:rsidRPr="005F5261" w:rsidRDefault="005F5261" w:rsidP="00B66568">
      <w:pPr>
        <w:pStyle w:val="ListParagraph"/>
        <w:numPr>
          <w:ilvl w:val="0"/>
          <w:numId w:val="159"/>
        </w:numPr>
        <w:spacing w:after="60"/>
        <w:rPr>
          <w:rFonts w:eastAsia="Calibri"/>
        </w:rPr>
      </w:pPr>
      <w:r w:rsidRPr="005F5261">
        <w:rPr>
          <w:rFonts w:eastAsia="Calibri"/>
        </w:rPr>
        <w:t>Uvođenje infrastrukture za obnovljivu energiju u prometnom sektoru izgradnjom šest punionica vodika</w:t>
      </w:r>
      <w:r>
        <w:rPr>
          <w:rFonts w:eastAsia="Calibri"/>
        </w:rPr>
        <w:t xml:space="preserve"> (povezano s mjerom TR-7)</w:t>
      </w:r>
      <w:r w:rsidR="0046261F">
        <w:rPr>
          <w:rFonts w:eastAsia="Calibri"/>
        </w:rPr>
        <w:t>.</w:t>
      </w:r>
    </w:p>
    <w:p w14:paraId="3AAC1190" w14:textId="0F538C57" w:rsidR="00E42B26" w:rsidRPr="00295446" w:rsidRDefault="00E42B26" w:rsidP="00E42B26">
      <w:pPr>
        <w:rPr>
          <w:rFonts w:eastAsia="Calibri" w:cstheme="minorBidi"/>
        </w:rPr>
      </w:pPr>
      <w:r w:rsidRPr="00295446">
        <w:rPr>
          <w:rFonts w:cstheme="minorBidi"/>
          <w:b/>
        </w:rPr>
        <w:t>Sredstva potrebna za provedbu:</w:t>
      </w:r>
      <w:r w:rsidRPr="002509D6">
        <w:rPr>
          <w:rFonts w:cstheme="minorBidi"/>
          <w:bCs/>
        </w:rPr>
        <w:t xml:space="preserve"> </w:t>
      </w:r>
      <w:r w:rsidR="00295446" w:rsidRPr="002509D6">
        <w:rPr>
          <w:rFonts w:cstheme="minorBidi"/>
          <w:bCs/>
        </w:rPr>
        <w:t xml:space="preserve">42,6 </w:t>
      </w:r>
      <w:r w:rsidR="002509D6">
        <w:rPr>
          <w:rFonts w:cstheme="minorBidi"/>
          <w:bCs/>
        </w:rPr>
        <w:t xml:space="preserve">milijuna </w:t>
      </w:r>
      <w:r w:rsidR="00295446" w:rsidRPr="002509D6">
        <w:rPr>
          <w:rFonts w:cstheme="minorBidi"/>
          <w:bCs/>
        </w:rPr>
        <w:t>E</w:t>
      </w:r>
      <w:r w:rsidR="002509D6" w:rsidRPr="002509D6">
        <w:rPr>
          <w:rFonts w:cstheme="minorBidi"/>
          <w:bCs/>
        </w:rPr>
        <w:t>UR</w:t>
      </w:r>
    </w:p>
    <w:p w14:paraId="762AA4F7" w14:textId="4929486A" w:rsidR="00E42B26" w:rsidRPr="00295446" w:rsidRDefault="00E42B26" w:rsidP="00E42B26">
      <w:pPr>
        <w:rPr>
          <w:rFonts w:eastAsia="Calibri"/>
        </w:rPr>
      </w:pPr>
      <w:r w:rsidRPr="00295446">
        <w:rPr>
          <w:b/>
        </w:rPr>
        <w:t>Izvori financiranja:</w:t>
      </w:r>
      <w:r w:rsidRPr="00295446">
        <w:t xml:space="preserve"> NPOO</w:t>
      </w:r>
    </w:p>
    <w:p w14:paraId="06B7616D" w14:textId="4F131ABA" w:rsidR="00295446" w:rsidRPr="009F66A6" w:rsidRDefault="00E42B26" w:rsidP="00295446">
      <w:pPr>
        <w:rPr>
          <w:color w:val="000000" w:themeColor="text1"/>
        </w:rPr>
      </w:pPr>
      <w:r w:rsidRPr="00FC1AC5">
        <w:rPr>
          <w:rFonts w:cstheme="minorBidi"/>
          <w:b/>
          <w:color w:val="000000" w:themeColor="text1"/>
        </w:rPr>
        <w:lastRenderedPageBreak/>
        <w:t>Izvršno tijelo:</w:t>
      </w:r>
      <w:r w:rsidRPr="00FC1AC5">
        <w:rPr>
          <w:rFonts w:cstheme="minorBidi"/>
          <w:color w:val="000000" w:themeColor="text1"/>
        </w:rPr>
        <w:t xml:space="preserve"> </w:t>
      </w:r>
      <w:r w:rsidR="00522ADD">
        <w:rPr>
          <w:color w:val="000000" w:themeColor="text1"/>
        </w:rPr>
        <w:t>MINGO</w:t>
      </w:r>
    </w:p>
    <w:p w14:paraId="4DEF777E" w14:textId="2AF528DD" w:rsidR="00E42B26" w:rsidRPr="00FC1AC5" w:rsidRDefault="00E42B26" w:rsidP="00E42B26">
      <w:pPr>
        <w:rPr>
          <w:rFonts w:eastAsia="Calibri" w:cstheme="minorBidi"/>
        </w:rPr>
      </w:pPr>
      <w:r w:rsidRPr="00FC1AC5">
        <w:rPr>
          <w:rFonts w:cstheme="minorBidi"/>
          <w:b/>
        </w:rPr>
        <w:t xml:space="preserve">Tijela za praćenje: </w:t>
      </w:r>
      <w:r w:rsidR="00FC1AC5" w:rsidRPr="009F66A6">
        <w:t>MINGO</w:t>
      </w:r>
      <w:r w:rsidR="00053118">
        <w:t>, AZU</w:t>
      </w:r>
    </w:p>
    <w:p w14:paraId="76C7F7CF" w14:textId="1A2D7137" w:rsidR="00E42B26" w:rsidRPr="00FB65E2" w:rsidRDefault="00E42B26" w:rsidP="00E42B26">
      <w:r w:rsidRPr="00FB65E2">
        <w:rPr>
          <w:b/>
        </w:rPr>
        <w:t xml:space="preserve">Učinak: </w:t>
      </w:r>
      <w:r w:rsidR="00053118">
        <w:t>K</w:t>
      </w:r>
      <w:r w:rsidR="00FB65E2" w:rsidRPr="009F66A6">
        <w:t>orištenje obnovljivih izvora energije za proizvodnju vodika; povećano korištenje obnovljivih izvora energije</w:t>
      </w:r>
      <w:r w:rsidR="00053118">
        <w:t>.</w:t>
      </w:r>
    </w:p>
    <w:p w14:paraId="707AB4A3" w14:textId="77777777" w:rsidR="00E42B26" w:rsidRPr="00060422" w:rsidRDefault="00E42B26" w:rsidP="00E42B26">
      <w:pPr>
        <w:rPr>
          <w:b/>
        </w:rPr>
      </w:pPr>
      <w:r w:rsidRPr="00060422">
        <w:rPr>
          <w:b/>
        </w:rPr>
        <w:t xml:space="preserve">Metode praćenja: </w:t>
      </w:r>
    </w:p>
    <w:p w14:paraId="095A073D" w14:textId="451A8378" w:rsidR="00E42B26" w:rsidRPr="009F66A6" w:rsidRDefault="00773B10" w:rsidP="00E42B26">
      <w:pPr>
        <w:pStyle w:val="ListParagraph"/>
        <w:numPr>
          <w:ilvl w:val="0"/>
          <w:numId w:val="65"/>
        </w:numPr>
      </w:pPr>
      <w:r w:rsidRPr="009F66A6">
        <w:t>Količina vodika proizvedenog iz obnovljivih izvora energije</w:t>
      </w:r>
      <w:r w:rsidR="0046261F">
        <w:t>;</w:t>
      </w:r>
    </w:p>
    <w:p w14:paraId="62C4D6D7" w14:textId="2371D13E" w:rsidR="00773B10" w:rsidRPr="00060422" w:rsidRDefault="00773B10" w:rsidP="00E42B26">
      <w:pPr>
        <w:pStyle w:val="ListParagraph"/>
        <w:numPr>
          <w:ilvl w:val="0"/>
          <w:numId w:val="65"/>
        </w:numPr>
      </w:pPr>
      <w:r w:rsidRPr="009F66A6">
        <w:t xml:space="preserve">Broj punionica </w:t>
      </w:r>
      <w:r w:rsidR="00060422" w:rsidRPr="009F66A6">
        <w:t>vodika</w:t>
      </w:r>
      <w:r w:rsidR="0046261F">
        <w:t>.</w:t>
      </w:r>
    </w:p>
    <w:p w14:paraId="5DD47524" w14:textId="4D254998" w:rsidR="00E42B26" w:rsidRPr="00D6546D" w:rsidRDefault="00E42B26" w:rsidP="00E42B26">
      <w:r w:rsidRPr="00D6546D">
        <w:rPr>
          <w:b/>
        </w:rPr>
        <w:t xml:space="preserve">Povezanost s drugim dimenzijama: </w:t>
      </w:r>
      <w:r w:rsidRPr="00D6546D">
        <w:t>Energetska sigurnost</w:t>
      </w:r>
    </w:p>
    <w:p w14:paraId="7AF580D8" w14:textId="64135AE9" w:rsidR="00E42B26" w:rsidRPr="007B3810" w:rsidRDefault="00E42B26" w:rsidP="00E42B26">
      <w:pPr>
        <w:rPr>
          <w:rFonts w:eastAsia="Calibri"/>
        </w:rPr>
      </w:pPr>
      <w:r w:rsidRPr="00967B25">
        <w:rPr>
          <w:rFonts w:eastAsia="Calibri" w:cstheme="minorBidi"/>
          <w:b/>
        </w:rPr>
        <w:t>Istraživanje i razvoj:</w:t>
      </w:r>
      <w:r w:rsidRPr="00967B25">
        <w:rPr>
          <w:rFonts w:eastAsia="Calibri"/>
          <w:b/>
        </w:rPr>
        <w:t xml:space="preserve"> </w:t>
      </w:r>
      <w:r w:rsidRPr="00967B25">
        <w:rPr>
          <w:rFonts w:eastAsia="Calibri"/>
        </w:rPr>
        <w:t>Da.</w:t>
      </w:r>
      <w:r w:rsidR="009A34FC">
        <w:rPr>
          <w:rFonts w:eastAsia="Calibri"/>
        </w:rPr>
        <w:t xml:space="preserve"> Povezano s ES-</w:t>
      </w:r>
      <w:r w:rsidR="002A2E8D">
        <w:rPr>
          <w:rFonts w:eastAsia="Calibri"/>
        </w:rPr>
        <w:t>11.</w:t>
      </w:r>
    </w:p>
    <w:p w14:paraId="50ADDAF6" w14:textId="375CE2DE" w:rsidR="00E42B26" w:rsidRPr="00B47BDA" w:rsidRDefault="00E42B26" w:rsidP="004623DD">
      <w:pPr>
        <w:rPr>
          <w:rFonts w:eastAsia="Calibri"/>
        </w:rPr>
      </w:pPr>
    </w:p>
    <w:p w14:paraId="0359A257" w14:textId="1FA3EDDF" w:rsidR="00FC69FE" w:rsidRPr="00B47BDA" w:rsidRDefault="000C7682" w:rsidP="005C2C7E">
      <w:pPr>
        <w:pStyle w:val="Heading4"/>
        <w:numPr>
          <w:ilvl w:val="3"/>
          <w:numId w:val="175"/>
        </w:numPr>
        <w:ind w:hanging="580"/>
      </w:pPr>
      <w:r w:rsidRPr="00B47BDA">
        <w:t>Ako je relevantno, posebne mjere za regionalnu suradnju, te, kao mogućnost, procijenjeni višak proizvodnje energije iz obnovljivih izvora koji bi se mogao prenijeti na druge države članice kako bi se ostvario nacionalni doprinos i putanje iz točke 2.1.2</w:t>
      </w:r>
      <w:r w:rsidR="00FC69FE" w:rsidRPr="00B47BDA">
        <w:t>.</w:t>
      </w:r>
    </w:p>
    <w:p w14:paraId="60438BC8" w14:textId="04F2C0E3" w:rsidR="00AB538B" w:rsidRPr="00B47BDA" w:rsidRDefault="00AB538B" w:rsidP="004623DD">
      <w:r w:rsidRPr="63259912">
        <w:t>Na regionalnoj radionici održanoj u Ljubljani u srpnju 2019. godine, kao teme za regionalnu suradnju u okviru dimenzije dekarbonizacija/</w:t>
      </w:r>
      <w:r w:rsidR="003E3D6B" w:rsidRPr="63259912">
        <w:t xml:space="preserve">obnovljivi izvori energije </w:t>
      </w:r>
      <w:r w:rsidRPr="63259912">
        <w:t>predloženo je</w:t>
      </w:r>
    </w:p>
    <w:p w14:paraId="1A565A31" w14:textId="6FDE71A5" w:rsidR="00AB538B" w:rsidRPr="00B47BDA" w:rsidRDefault="00AB538B" w:rsidP="00B66568">
      <w:pPr>
        <w:pStyle w:val="ListParagraph"/>
        <w:numPr>
          <w:ilvl w:val="0"/>
          <w:numId w:val="49"/>
        </w:numPr>
        <w:spacing w:after="60"/>
        <w:ind w:left="714" w:hanging="357"/>
      </w:pPr>
      <w:r w:rsidRPr="00B47BDA">
        <w:t xml:space="preserve">zajednički razvoj </w:t>
      </w:r>
      <w:r w:rsidR="00980035" w:rsidRPr="00B47BDA">
        <w:t>projekata OIE</w:t>
      </w:r>
      <w:r w:rsidR="007C54FB" w:rsidRPr="00B47BDA">
        <w:t>, analiza mogućnosti statističkih t</w:t>
      </w:r>
      <w:r w:rsidR="007A544F" w:rsidRPr="00B47BDA">
        <w:t>r</w:t>
      </w:r>
      <w:r w:rsidR="007C54FB" w:rsidRPr="00B47BDA">
        <w:t>ansfera</w:t>
      </w:r>
      <w:r w:rsidRPr="00B47BDA">
        <w:t>,</w:t>
      </w:r>
    </w:p>
    <w:p w14:paraId="7AD0535B" w14:textId="33BDB774" w:rsidR="004E712D" w:rsidRPr="00B47BDA" w:rsidRDefault="004E712D" w:rsidP="00B66568">
      <w:pPr>
        <w:pStyle w:val="ListParagraph"/>
        <w:numPr>
          <w:ilvl w:val="0"/>
          <w:numId w:val="49"/>
        </w:numPr>
        <w:spacing w:after="60"/>
        <w:ind w:left="714" w:hanging="357"/>
      </w:pPr>
      <w:r w:rsidRPr="00B47BDA">
        <w:t>suradnja u kontekstu inicijative „Čista energija za otoke EU“,</w:t>
      </w:r>
    </w:p>
    <w:p w14:paraId="7DCEB7CE" w14:textId="65D84A04" w:rsidR="00AB538B" w:rsidRPr="00B47BDA" w:rsidRDefault="000F7064" w:rsidP="00B66568">
      <w:pPr>
        <w:pStyle w:val="ListParagraph"/>
        <w:numPr>
          <w:ilvl w:val="0"/>
          <w:numId w:val="49"/>
        </w:numPr>
        <w:spacing w:after="60"/>
        <w:ind w:left="714" w:hanging="357"/>
      </w:pPr>
      <w:r w:rsidRPr="00B47BDA">
        <w:t>razmjena iskustava vezani</w:t>
      </w:r>
      <w:r w:rsidR="004D5C4D" w:rsidRPr="00B47BDA">
        <w:t>h</w:t>
      </w:r>
      <w:r w:rsidRPr="00B47BDA">
        <w:t xml:space="preserve"> za energetske zajednice i proizvodnju energije</w:t>
      </w:r>
      <w:r w:rsidR="00345DCF" w:rsidRPr="00B47BDA">
        <w:t xml:space="preserve"> iz OIE</w:t>
      </w:r>
      <w:r w:rsidRPr="00B47BDA">
        <w:t xml:space="preserve"> za vlastite potrebe</w:t>
      </w:r>
      <w:r w:rsidR="00AB538B" w:rsidRPr="00B47BDA">
        <w:t>,</w:t>
      </w:r>
    </w:p>
    <w:p w14:paraId="46005945" w14:textId="5C86CE49" w:rsidR="004E712D" w:rsidRPr="00B47BDA" w:rsidRDefault="004E712D" w:rsidP="00B66568">
      <w:pPr>
        <w:pStyle w:val="ListParagraph"/>
        <w:numPr>
          <w:ilvl w:val="0"/>
          <w:numId w:val="49"/>
        </w:numPr>
        <w:spacing w:after="60"/>
        <w:ind w:left="714" w:hanging="357"/>
      </w:pPr>
      <w:r w:rsidRPr="00B47BDA">
        <w:t xml:space="preserve">razmjena iskustava vezanih za energetski pozitivne četvrti i zajednički razvoj projektnih prijedloga za </w:t>
      </w:r>
      <w:r w:rsidR="00290314" w:rsidRPr="00B47BDA">
        <w:t>Zajedničku programsku inicijativu Urbana Europa</w:t>
      </w:r>
      <w:r w:rsidRPr="00B47BDA">
        <w:t>,</w:t>
      </w:r>
    </w:p>
    <w:p w14:paraId="3D0E3683" w14:textId="35F3CBDB" w:rsidR="004D5C4D" w:rsidRPr="00B47BDA" w:rsidRDefault="004D5C4D" w:rsidP="00B66568">
      <w:pPr>
        <w:pStyle w:val="ListParagraph"/>
        <w:numPr>
          <w:ilvl w:val="0"/>
          <w:numId w:val="49"/>
        </w:numPr>
        <w:spacing w:after="60"/>
        <w:ind w:left="714" w:hanging="357"/>
      </w:pPr>
      <w:r w:rsidRPr="00B47BDA">
        <w:t xml:space="preserve">razmjena iskustava vezanih za </w:t>
      </w:r>
      <w:r w:rsidR="00B31085" w:rsidRPr="00B47BDA">
        <w:t>integriranje OIE u prostor</w:t>
      </w:r>
      <w:r w:rsidR="00766D60" w:rsidRPr="00B47BDA">
        <w:t xml:space="preserve"> i društveno prihvaćanje OIE</w:t>
      </w:r>
      <w:r w:rsidR="00883141" w:rsidRPr="00B47BDA">
        <w:t>.</w:t>
      </w:r>
    </w:p>
    <w:p w14:paraId="67C962AD" w14:textId="0E02BCAC" w:rsidR="00AB538B" w:rsidRPr="00B47BDA" w:rsidRDefault="00AB538B" w:rsidP="004623DD">
      <w:r w:rsidRPr="00B47BDA">
        <w:t>Države koje sudjeluju u</w:t>
      </w:r>
      <w:r w:rsidR="00702F6E" w:rsidRPr="00B47BDA">
        <w:t xml:space="preserve"> neformalnoj</w:t>
      </w:r>
      <w:r w:rsidRPr="00B47BDA">
        <w:t xml:space="preserve"> regionalnoj koordinaciji razmatraju iznesene prijedloge te će dogovoriti naredne korake.</w:t>
      </w:r>
    </w:p>
    <w:p w14:paraId="71C24EAD" w14:textId="22471C33" w:rsidR="00FC69FE" w:rsidRPr="00B47BDA" w:rsidRDefault="00CE1873" w:rsidP="005C2C7E">
      <w:pPr>
        <w:pStyle w:val="Heading4"/>
        <w:numPr>
          <w:ilvl w:val="3"/>
          <w:numId w:val="175"/>
        </w:numPr>
        <w:ind w:hanging="580"/>
      </w:pPr>
      <w:r w:rsidRPr="00B47BDA">
        <w:t>Posebne mjere za financijsku potporu, ako je primjenjivo, uključujući potporu Unije i uporabu sredstava Unije, za promicanje proizvodnje i uporabe energije iz obnovljivih izvora u elektroenergetici, grijanju, hlađenju i prometu</w:t>
      </w:r>
    </w:p>
    <w:p w14:paraId="4651424D" w14:textId="77777777" w:rsidR="00FC69FE" w:rsidRPr="00B47BDA" w:rsidRDefault="00FC69FE" w:rsidP="004623DD">
      <w:r w:rsidRPr="00B47BDA">
        <w:t>Potreban iznos potpore za električnu energiju iz OIE procijenjen je u narednom odlomku.</w:t>
      </w:r>
    </w:p>
    <w:p w14:paraId="0318880D" w14:textId="77777777" w:rsidR="00FC69FE" w:rsidRPr="00B47BDA" w:rsidRDefault="00FC69FE" w:rsidP="005C2C7E">
      <w:pPr>
        <w:pStyle w:val="Heading4"/>
        <w:numPr>
          <w:ilvl w:val="3"/>
          <w:numId w:val="175"/>
        </w:numPr>
        <w:ind w:hanging="580"/>
      </w:pPr>
      <w:r w:rsidRPr="00B47BDA">
        <w:t>Ako je primjenjivo, procjena potpore za električnu energiju iz obnovljivih izvora koju države članice trebaju provesti u skladu s člankom 6. stavkom 4. Direktive (EU) 2018/2001</w:t>
      </w:r>
    </w:p>
    <w:p w14:paraId="659CC04A" w14:textId="7360B37B" w:rsidR="009C5759" w:rsidRPr="00B47BDA" w:rsidRDefault="009C5759" w:rsidP="004623DD">
      <w:r w:rsidRPr="00B47BDA">
        <w:t xml:space="preserve">Procjenjuje se da je u promatranom razdoblju </w:t>
      </w:r>
      <w:r w:rsidR="009E300F" w:rsidRPr="00B47BDA">
        <w:t xml:space="preserve">potrebna potpora od </w:t>
      </w:r>
      <w:r w:rsidR="00293061" w:rsidRPr="00B47BDA">
        <w:t>0,8</w:t>
      </w:r>
      <w:r w:rsidR="009E300F" w:rsidRPr="00B47BDA">
        <w:t xml:space="preserve"> do </w:t>
      </w:r>
      <w:r w:rsidR="00392077" w:rsidRPr="00B47BDA">
        <w:t>1,1</w:t>
      </w:r>
      <w:r w:rsidR="009E300F" w:rsidRPr="00B47BDA">
        <w:t xml:space="preserve"> milijardi </w:t>
      </w:r>
      <w:r w:rsidR="00281613">
        <w:t>EUR</w:t>
      </w:r>
      <w:r w:rsidR="009E300F" w:rsidRPr="00B47BDA">
        <w:t>.</w:t>
      </w:r>
    </w:p>
    <w:p w14:paraId="444654FC" w14:textId="1111AC33" w:rsidR="009E300F" w:rsidRPr="00B47BDA" w:rsidRDefault="00F60FCF" w:rsidP="004623DD">
      <w:r w:rsidRPr="00B47BDA">
        <w:t xml:space="preserve">Navedeni je iznos potpora izračunat na temelju subvencije na investiciju </w:t>
      </w:r>
      <w:r w:rsidR="00220578" w:rsidRPr="00B47BDA">
        <w:t xml:space="preserve">koja je potrebna da bi nivelirani trošak električne energije iznosio 55 </w:t>
      </w:r>
      <w:r w:rsidR="00281613">
        <w:t>EUR</w:t>
      </w:r>
      <w:r w:rsidR="00220578" w:rsidRPr="00B47BDA">
        <w:t>/</w:t>
      </w:r>
      <w:r w:rsidR="00073932" w:rsidRPr="00B47BDA">
        <w:t>MWh</w:t>
      </w:r>
      <w:r w:rsidR="00220578" w:rsidRPr="00B47BDA">
        <w:t>.</w:t>
      </w:r>
      <w:r w:rsidR="00685ADC" w:rsidRPr="00B47BDA">
        <w:t xml:space="preserve"> Na taj način izračunat iznos </w:t>
      </w:r>
      <w:r w:rsidR="00AF4FAE" w:rsidRPr="00B47BDA">
        <w:lastRenderedPageBreak/>
        <w:t xml:space="preserve">potrebne </w:t>
      </w:r>
      <w:r w:rsidR="00685ADC" w:rsidRPr="00B47BDA">
        <w:t>subvencije</w:t>
      </w:r>
      <w:r w:rsidR="00AF4FAE" w:rsidRPr="00B47BDA">
        <w:t xml:space="preserve"> za sve predviđene tehnologije</w:t>
      </w:r>
      <w:r w:rsidR="00E60A67" w:rsidRPr="00B47BDA">
        <w:t xml:space="preserve"> po MW instalirane snage. Taj je</w:t>
      </w:r>
      <w:r w:rsidR="00AF4FAE" w:rsidRPr="00B47BDA">
        <w:t xml:space="preserve"> iznos pomnožen</w:t>
      </w:r>
      <w:r w:rsidR="00685ADC" w:rsidRPr="00B47BDA">
        <w:t xml:space="preserve"> s projicir</w:t>
      </w:r>
      <w:r w:rsidR="00E907F2" w:rsidRPr="00B47BDA">
        <w:t>anom snagom instaliranom u elektranama,</w:t>
      </w:r>
      <w:r w:rsidR="00A6476C" w:rsidRPr="00B47BDA">
        <w:t xml:space="preserve"> </w:t>
      </w:r>
      <w:r w:rsidR="000D33FE" w:rsidRPr="00B47BDA">
        <w:t>po tehnologijama.</w:t>
      </w:r>
    </w:p>
    <w:p w14:paraId="10E0E0C3" w14:textId="42F297F8" w:rsidR="00C61862" w:rsidRDefault="00C61862" w:rsidP="004623DD">
      <w:r w:rsidRPr="00B47BDA">
        <w:t>Konačan iznos potrebne potpore ovisit će prvenstveno o razvoju tehnologije.</w:t>
      </w:r>
    </w:p>
    <w:p w14:paraId="320502ED" w14:textId="470BDA1B" w:rsidR="00FD38A0" w:rsidRPr="00B47BDA" w:rsidRDefault="00C2409A" w:rsidP="005C2C7E">
      <w:pPr>
        <w:pStyle w:val="Heading4"/>
        <w:numPr>
          <w:ilvl w:val="3"/>
          <w:numId w:val="175"/>
        </w:numPr>
        <w:ind w:hanging="580"/>
      </w:pPr>
      <w:r w:rsidRPr="00B47BDA">
        <w:t>Posebne mjere za uvođenje jedne ili više kontaktnih točaka, racionalizaciju administrativnih postupaka, davanje informacija i osposobljavanje te lakše prihvaćanje ugovora o kupnji energije</w:t>
      </w:r>
    </w:p>
    <w:p w14:paraId="4E03E6EB" w14:textId="6208D39C" w:rsidR="00F60BD1" w:rsidRPr="00B47BDA" w:rsidRDefault="00F60BD1" w:rsidP="004623DD">
      <w:r w:rsidRPr="00B47BDA">
        <w:t xml:space="preserve">Kako se navodi u Direktivi (EU) 2018/2001 </w:t>
      </w:r>
      <w:r w:rsidR="00527927">
        <w:t>E</w:t>
      </w:r>
      <w:r w:rsidR="00527927" w:rsidRPr="00B47BDA">
        <w:t>uropskog parlamenta</w:t>
      </w:r>
      <w:r w:rsidRPr="00B47BDA">
        <w:t xml:space="preserve"> </w:t>
      </w:r>
      <w:r w:rsidR="00844C66" w:rsidRPr="00B47BDA">
        <w:t>i</w:t>
      </w:r>
      <w:r w:rsidRPr="00B47BDA">
        <w:t xml:space="preserve"> </w:t>
      </w:r>
      <w:r w:rsidR="00527927">
        <w:t>V</w:t>
      </w:r>
      <w:r w:rsidR="00527927" w:rsidRPr="00B47BDA">
        <w:t>ijeća</w:t>
      </w:r>
      <w:r w:rsidRPr="00B47BDA">
        <w:t xml:space="preserve"> od 11. prosinca 2018. o promicanju uporabe energije iz obnovljivih </w:t>
      </w:r>
      <w:r w:rsidR="0071668E" w:rsidRPr="00B47BDA">
        <w:t>izvor</w:t>
      </w:r>
      <w:r w:rsidR="00AC40EB">
        <w:t>a</w:t>
      </w:r>
      <w:r w:rsidRPr="00B47BDA">
        <w:t>, a odnosi se na postupke izdavanja odobrenja, certificiranja i izdavanja dozvola, a koji se primjenjuju na pogone za proizvodnju električne energije te pripadajuće prijenosne i distribucijske mreže za proizvodnju elektri</w:t>
      </w:r>
      <w:r w:rsidR="00844C66" w:rsidRPr="00B47BDA">
        <w:t>č</w:t>
      </w:r>
      <w:r w:rsidRPr="00B47BDA">
        <w:t>ne energije, grijanje ili hlađenje iz obnovljivih izvora, na postupak pretvorbe biomase u biogoriva, tekuća biogoriva, goriva iz biomase ili druge energetske proizvode, kao i na obnovljiva tekuća i plinovita goriva ne</w:t>
      </w:r>
      <w:r w:rsidR="008A62C8">
        <w:t>-</w:t>
      </w:r>
      <w:r w:rsidRPr="00B47BDA">
        <w:t>biološkog podrijetla namijenjena uporabi u prometu, razmjerni i potrebni te da doprinose provedbi načela energetske učinkovitosti na prvom mjestu, potrebno je poduzeti potrebne mjere</w:t>
      </w:r>
      <w:r w:rsidR="00844C66" w:rsidRPr="00B47BDA">
        <w:t xml:space="preserve"> kako bi se osigurale</w:t>
      </w:r>
      <w:r w:rsidRPr="00B47BDA">
        <w:t xml:space="preserve">: </w:t>
      </w:r>
    </w:p>
    <w:p w14:paraId="66D2A75E" w14:textId="637BEBBA" w:rsidR="00F60BD1" w:rsidRPr="00B47BDA" w:rsidRDefault="00F60BD1" w:rsidP="004623DD">
      <w:r w:rsidRPr="00B47BDA">
        <w:t>(a) pojednostav</w:t>
      </w:r>
      <w:r w:rsidR="00844C66" w:rsidRPr="00B47BDA">
        <w:t>ljen</w:t>
      </w:r>
      <w:r w:rsidRPr="00B47BDA">
        <w:t xml:space="preserve">e i ubrzane administrativne postupke na odgovarajućoj administrativnoj razini i uspostavu predvidljivih vremenskih okvira; </w:t>
      </w:r>
    </w:p>
    <w:p w14:paraId="13C8AAFC" w14:textId="14D16362" w:rsidR="00D16021" w:rsidRPr="00B47BDA" w:rsidRDefault="3DAE0246" w:rsidP="004623DD">
      <w:r>
        <w:t xml:space="preserve">(b) objektivnost, transparentnost i razmjernost propisa kojima se uređuje izdavanje odobrenja, certificiranje i izdavanje dozvola te da ne diskriminiraju podnositelje zahtjeva i da u cijelosti uzimaju u obzir posebnosti pojedinih tehnologija obnovljive energije; </w:t>
      </w:r>
    </w:p>
    <w:p w14:paraId="21BAC53E" w14:textId="42B06106" w:rsidR="00D16021" w:rsidRPr="00B47BDA" w:rsidRDefault="00F60BD1" w:rsidP="004623DD">
      <w:r w:rsidRPr="00B47BDA">
        <w:t>(c) transparentnost i ovisnost o tro</w:t>
      </w:r>
      <w:r w:rsidR="00D16021" w:rsidRPr="00B47BDA">
        <w:t>š</w:t>
      </w:r>
      <w:r w:rsidRPr="00B47BDA">
        <w:t>kovima administrativnih naknada koje plaćaju potro</w:t>
      </w:r>
      <w:r w:rsidR="00D16021" w:rsidRPr="00B47BDA">
        <w:t>ša</w:t>
      </w:r>
      <w:r w:rsidR="00BF336D" w:rsidRPr="00B47BDA">
        <w:t>č</w:t>
      </w:r>
      <w:r w:rsidR="00D16021" w:rsidRPr="00B47BDA">
        <w:t>i</w:t>
      </w:r>
      <w:r w:rsidRPr="00B47BDA">
        <w:t>, planeri, arhitekti, građevinari te instalateri i opskrbljiva</w:t>
      </w:r>
      <w:r w:rsidR="00D16021" w:rsidRPr="00B47BDA">
        <w:t>č</w:t>
      </w:r>
      <w:r w:rsidRPr="00B47BDA">
        <w:t xml:space="preserve">i opreme i sustava; </w:t>
      </w:r>
    </w:p>
    <w:p w14:paraId="59C9657E" w14:textId="0317B103" w:rsidR="00F60BD1" w:rsidRPr="00B47BDA" w:rsidRDefault="00F60BD1" w:rsidP="004623DD">
      <w:r w:rsidRPr="00B47BDA">
        <w:t>i (d) uspostavu pojednostavnjenih i manje optere</w:t>
      </w:r>
      <w:r w:rsidR="00D16021" w:rsidRPr="00B47BDA">
        <w:t>ć</w:t>
      </w:r>
      <w:r w:rsidRPr="00B47BDA">
        <w:t>ujućih postupaka za izdavanje odobrenja, uklju</w:t>
      </w:r>
      <w:r w:rsidR="00D16021" w:rsidRPr="00B47BDA">
        <w:t>č</w:t>
      </w:r>
      <w:r w:rsidRPr="00B47BDA">
        <w:t>ujući putem postupka jednostavne obavijesti, za decentralizirane uređaje, te za proizvodnju i skladi</w:t>
      </w:r>
      <w:r w:rsidR="00D16021" w:rsidRPr="00B47BDA">
        <w:t>š</w:t>
      </w:r>
      <w:r w:rsidRPr="00B47BDA">
        <w:t>tenje energije iz obnovljivih izvora</w:t>
      </w:r>
      <w:r w:rsidR="00D16021" w:rsidRPr="00B47BDA">
        <w:t xml:space="preserve">. </w:t>
      </w:r>
    </w:p>
    <w:p w14:paraId="07B31158" w14:textId="01F0D27B" w:rsidR="007301F1" w:rsidRPr="00B47BDA" w:rsidRDefault="003628EF" w:rsidP="005C2C7E">
      <w:pPr>
        <w:pStyle w:val="Heading4"/>
        <w:numPr>
          <w:ilvl w:val="3"/>
          <w:numId w:val="175"/>
        </w:numPr>
        <w:ind w:hanging="580"/>
      </w:pPr>
      <w:r w:rsidRPr="00B47BDA">
        <w:t>O</w:t>
      </w:r>
      <w:r w:rsidR="007301F1" w:rsidRPr="00B47BDA">
        <w:t>cjena potrebe za izgradnjom nove infrastrukture za centralizirano grijanje i hlađenje proizvedeno iz obnovljivih izvora energije</w:t>
      </w:r>
    </w:p>
    <w:p w14:paraId="34F5A558" w14:textId="5298DE6D" w:rsidR="00794C49" w:rsidRDefault="008161FE" w:rsidP="004623DD">
      <w:r w:rsidRPr="63259912">
        <w:t>U smislu veće integracije OIE u sustave daljinskog grijanja i eventualni razvoj sustava daljinskog hlađenja nužno je stvoriti uvjete priključka i pogona proizvodnih postrojenja za proizvodnju ogrjevne i rashladne topline iz OIE. Potrebno je dodatno razmotriti aspekte procedure i troška priključka takvih postrojenja na način da se maksimalizira tehnologija električnih kotlova i dizalica topline velikih kapaciteta kao proizvodnih postrojenja za sustave daljinskog grijanja i hlađenja. Također se procjenjuje da će se većom integracijom OIE u sustave daljinskog grijanja i izgradnjom sustava daljinskog hlađenja na tržištu ponuditi toplinska energija izrazito konkure</w:t>
      </w:r>
      <w:r w:rsidR="00607076" w:rsidRPr="63259912">
        <w:t>n</w:t>
      </w:r>
      <w:r w:rsidRPr="63259912">
        <w:t>tne cijene čime će se posljedično stvoriti i potreba za izgradnjom nove i proširenje postojeće distribucijske infrastrukture.</w:t>
      </w:r>
      <w:r w:rsidR="007E7370" w:rsidRPr="63259912">
        <w:t xml:space="preserve"> </w:t>
      </w:r>
      <w:r w:rsidR="00C11F25" w:rsidRPr="63259912">
        <w:t xml:space="preserve">Posebno su zanimljive geotermalne elektrane/energane koje su uglavnom baznog tipa što znači da su u pogonu čitavu godinu s vrlo kratkim </w:t>
      </w:r>
      <w:r w:rsidR="00A560B9" w:rsidRPr="63259912">
        <w:t>razdoblj</w:t>
      </w:r>
      <w:r w:rsidR="00C11F25" w:rsidRPr="63259912">
        <w:t xml:space="preserve">ima zaustavljanja. U projektima geotermalnih elektrana, uz proizvodnju električne energije postoji i mogućnost kaskadnog korištenja preostale toplinske energije geotermalne vode u različite svrhe (toplinarstvo, grijanje prostora, sušare, akvakultura i dr.). </w:t>
      </w:r>
      <w:r w:rsidR="00C11F25" w:rsidRPr="63259912">
        <w:lastRenderedPageBreak/>
        <w:t xml:space="preserve">Ovakvi sustavi povećavaju učinkovitost geotermalnih postrojenja, a time i ekonomičnost cjelokupnog geotermalnog projekta. Korištenjem geotermalne energije smanjuje se potrošnja konvencionalnih energenata (pr. fosilnih goriva) što rezultira pozitivnim utjecajem na okoliš. </w:t>
      </w:r>
      <w:r w:rsidR="000B17A2" w:rsidRPr="63259912">
        <w:t xml:space="preserve">Korištenje OIE u sustavima toplinarstva </w:t>
      </w:r>
      <w:r w:rsidR="00DB4521" w:rsidRPr="63259912">
        <w:t xml:space="preserve">podržat će se provedbom mjere </w:t>
      </w:r>
      <w:r w:rsidR="00184324" w:rsidRPr="63259912">
        <w:t>ENU-1</w:t>
      </w:r>
      <w:r w:rsidR="006813FF" w:rsidRPr="63259912">
        <w:t>5</w:t>
      </w:r>
      <w:r w:rsidR="00DB4521" w:rsidRPr="63259912">
        <w:t xml:space="preserve"> Povećanje učinkovitosti sustava toplinarstva.</w:t>
      </w:r>
    </w:p>
    <w:p w14:paraId="2152BE57" w14:textId="77777777" w:rsidR="00064442" w:rsidRPr="00B47BDA" w:rsidRDefault="00064442" w:rsidP="005C2C7E">
      <w:pPr>
        <w:pStyle w:val="Heading4"/>
        <w:numPr>
          <w:ilvl w:val="3"/>
          <w:numId w:val="175"/>
        </w:numPr>
        <w:ind w:hanging="580"/>
      </w:pPr>
      <w:r w:rsidRPr="00B47BDA">
        <w:t>Ako je primjenjivo, posebne mjere za poticanje uporabe energije iz biomase, posebno za dobivanje nove biomase pritom uzimajući u obzir dostupnost biomase: domaći potencijal i uvoz iz trećih zemalja te druge uporabe biomase u drugim sektorima (sektori poljoprivrede i šumarstva); kao i mjere za održivost proizvodnje i uporabe biomase</w:t>
      </w:r>
    </w:p>
    <w:p w14:paraId="5963BDB2" w14:textId="4693A080" w:rsidR="00AF271F" w:rsidRPr="00B47BDA" w:rsidRDefault="0093288E" w:rsidP="004623DD">
      <w:r w:rsidRPr="63259912">
        <w:t>Najvažnij</w:t>
      </w:r>
      <w:r w:rsidR="007E5D93" w:rsidRPr="63259912">
        <w:t>e</w:t>
      </w:r>
      <w:r w:rsidRPr="63259912">
        <w:t xml:space="preserve"> </w:t>
      </w:r>
      <w:r w:rsidR="007E5D93" w:rsidRPr="63259912">
        <w:t xml:space="preserve">mjere </w:t>
      </w:r>
      <w:r w:rsidR="00F022A0" w:rsidRPr="63259912">
        <w:t>za poticanje uporabe energije iz biomase</w:t>
      </w:r>
      <w:r w:rsidRPr="63259912">
        <w:t xml:space="preserve"> </w:t>
      </w:r>
      <w:r w:rsidR="00447D91" w:rsidRPr="63259912">
        <w:t xml:space="preserve">su mjere </w:t>
      </w:r>
      <w:r w:rsidR="00443AC7" w:rsidRPr="63259912">
        <w:t>POLJ</w:t>
      </w:r>
      <w:r w:rsidR="00447D91" w:rsidRPr="63259912">
        <w:t>-</w:t>
      </w:r>
      <w:r w:rsidR="00443AC7" w:rsidRPr="63259912">
        <w:t xml:space="preserve">4 </w:t>
      </w:r>
      <w:r w:rsidR="009256A9" w:rsidRPr="63259912">
        <w:t>Anaerobna razgradnja stajskog gnoja i proizvodnja bioplina</w:t>
      </w:r>
      <w:r w:rsidR="004A5097" w:rsidRPr="63259912">
        <w:t xml:space="preserve"> </w:t>
      </w:r>
      <w:r w:rsidR="009256A9" w:rsidRPr="63259912">
        <w:t xml:space="preserve">i </w:t>
      </w:r>
      <w:r w:rsidRPr="63259912">
        <w:t>TR-</w:t>
      </w:r>
      <w:r w:rsidR="00961F6C" w:rsidRPr="63259912">
        <w:t>7</w:t>
      </w:r>
      <w:r w:rsidRPr="63259912">
        <w:t xml:space="preserve"> </w:t>
      </w:r>
      <w:r w:rsidR="00D2264E" w:rsidRPr="63259912">
        <w:t>Razvoj tržišta niskougljičnih goriva</w:t>
      </w:r>
      <w:r w:rsidRPr="63259912">
        <w:t>. Održivost proizvodnje i uporabe biomase</w:t>
      </w:r>
      <w:r w:rsidR="00C8471F" w:rsidRPr="63259912">
        <w:t xml:space="preserve"> poticat će se u okviru mjere </w:t>
      </w:r>
      <w:r w:rsidR="004506FD" w:rsidRPr="63259912">
        <w:t>MS-</w:t>
      </w:r>
      <w:r w:rsidR="006813FF" w:rsidRPr="63259912">
        <w:t>9</w:t>
      </w:r>
      <w:r w:rsidR="006F2AE4" w:rsidRPr="63259912">
        <w:t xml:space="preserve"> </w:t>
      </w:r>
      <w:r w:rsidR="003444C9" w:rsidRPr="63259912">
        <w:t>Osnaživanje aktivnosti za razvoj biogospodarstva</w:t>
      </w:r>
      <w:r w:rsidR="009737D3" w:rsidRPr="63259912">
        <w:t>.</w:t>
      </w:r>
    </w:p>
    <w:p w14:paraId="3FDB6FE5" w14:textId="174617AD" w:rsidR="00C21988" w:rsidRPr="00B47BDA" w:rsidRDefault="00C21988" w:rsidP="005C2C7E">
      <w:pPr>
        <w:pStyle w:val="Heading3"/>
        <w:numPr>
          <w:ilvl w:val="2"/>
          <w:numId w:val="175"/>
        </w:numPr>
      </w:pPr>
      <w:bookmarkStart w:id="439" w:name="_Toc531935156"/>
      <w:bookmarkStart w:id="440" w:name="_Toc531945106"/>
      <w:bookmarkStart w:id="441" w:name="_Toc6302363"/>
      <w:bookmarkStart w:id="442" w:name="_Toc187418347"/>
      <w:bookmarkStart w:id="443" w:name="_Toc193043272"/>
      <w:r w:rsidRPr="00B47BDA">
        <w:t>Ostali elementi dimenzije</w:t>
      </w:r>
      <w:bookmarkEnd w:id="439"/>
      <w:bookmarkEnd w:id="440"/>
      <w:bookmarkEnd w:id="441"/>
      <w:bookmarkEnd w:id="442"/>
      <w:bookmarkEnd w:id="443"/>
    </w:p>
    <w:p w14:paraId="3DEDF1CF" w14:textId="73BC74F6" w:rsidR="00194CAA" w:rsidRPr="00B47BDA" w:rsidRDefault="00625F28" w:rsidP="005C2C7E">
      <w:pPr>
        <w:pStyle w:val="Heading4"/>
        <w:numPr>
          <w:ilvl w:val="3"/>
          <w:numId w:val="175"/>
        </w:numPr>
        <w:ind w:hanging="580"/>
      </w:pPr>
      <w:r w:rsidRPr="00B47BDA">
        <w:t>Nacionalne politike i mjere koje utječu na sektor EU sustava trgovanja emisijama (EU ETS) i ocjena komplementarnosti s EU sustavom trgovanja emisijama (EU ETS) i utjecaja na njega, ako je primjenjivo</w:t>
      </w:r>
    </w:p>
    <w:p w14:paraId="22F21C42" w14:textId="36F2A954" w:rsidR="00353336" w:rsidRPr="00B47BDA" w:rsidRDefault="00353336" w:rsidP="004623DD">
      <w:pPr>
        <w:rPr>
          <w:lang w:eastAsia="hr-HR"/>
        </w:rPr>
      </w:pPr>
      <w:r w:rsidRPr="00B47BDA">
        <w:rPr>
          <w:lang w:eastAsia="hr-HR"/>
        </w:rPr>
        <w:t>Na temelju Uredbe o kriterijima za plaćanje umanjene naknade za obnovljive izvore energije i visokoučinkovitu kogeneraciju (</w:t>
      </w:r>
      <w:r w:rsidR="005F4749">
        <w:rPr>
          <w:lang w:eastAsia="hr-HR"/>
        </w:rPr>
        <w:t>„</w:t>
      </w:r>
      <w:r w:rsidR="00071A4F" w:rsidRPr="00071A4F">
        <w:rPr>
          <w:lang w:eastAsia="hr-HR"/>
        </w:rPr>
        <w:t xml:space="preserve">Narodne </w:t>
      </w:r>
      <w:r w:rsidR="00A97AE7">
        <w:rPr>
          <w:lang w:eastAsia="hr-HR"/>
        </w:rPr>
        <w:t>novine</w:t>
      </w:r>
      <w:r w:rsidR="005F4749">
        <w:rPr>
          <w:lang w:eastAsia="hr-HR"/>
        </w:rPr>
        <w:t>“</w:t>
      </w:r>
      <w:r w:rsidR="00071A4F" w:rsidRPr="00071A4F">
        <w:rPr>
          <w:lang w:eastAsia="hr-HR"/>
        </w:rPr>
        <w:t xml:space="preserve">, </w:t>
      </w:r>
      <w:r w:rsidR="00004BB0">
        <w:rPr>
          <w:lang w:eastAsia="hr-HR"/>
        </w:rPr>
        <w:t>br</w:t>
      </w:r>
      <w:r w:rsidR="005F4749">
        <w:rPr>
          <w:lang w:eastAsia="hr-HR"/>
        </w:rPr>
        <w:t>.</w:t>
      </w:r>
      <w:r w:rsidRPr="00B47BDA">
        <w:rPr>
          <w:lang w:eastAsia="hr-HR"/>
        </w:rPr>
        <w:t xml:space="preserve"> 31</w:t>
      </w:r>
      <w:r w:rsidR="005B41DA">
        <w:rPr>
          <w:lang w:eastAsia="hr-HR"/>
        </w:rPr>
        <w:t>/23</w:t>
      </w:r>
      <w:r w:rsidR="005F4749">
        <w:rPr>
          <w:lang w:eastAsia="hr-HR"/>
        </w:rPr>
        <w:t>.</w:t>
      </w:r>
      <w:r w:rsidRPr="00B47BDA">
        <w:rPr>
          <w:lang w:eastAsia="hr-HR"/>
        </w:rPr>
        <w:t>) i Odluke o naknadi za obnovljive izvore energije i visokoučinkovitu kogeneraciju (</w:t>
      </w:r>
      <w:r w:rsidR="005F4749">
        <w:rPr>
          <w:lang w:eastAsia="hr-HR"/>
        </w:rPr>
        <w:t>„</w:t>
      </w:r>
      <w:r w:rsidR="00071A4F" w:rsidRPr="00071A4F">
        <w:rPr>
          <w:lang w:eastAsia="hr-HR"/>
        </w:rPr>
        <w:t xml:space="preserve">Narodne </w:t>
      </w:r>
      <w:r w:rsidR="00A97AE7">
        <w:rPr>
          <w:lang w:eastAsia="hr-HR"/>
        </w:rPr>
        <w:t>novine</w:t>
      </w:r>
      <w:r w:rsidR="005F4749">
        <w:rPr>
          <w:lang w:eastAsia="hr-HR"/>
        </w:rPr>
        <w:t>“</w:t>
      </w:r>
      <w:r w:rsidR="00071A4F" w:rsidRPr="00071A4F">
        <w:rPr>
          <w:lang w:eastAsia="hr-HR"/>
        </w:rPr>
        <w:t xml:space="preserve">, </w:t>
      </w:r>
      <w:r w:rsidR="00004BB0">
        <w:rPr>
          <w:lang w:eastAsia="hr-HR"/>
        </w:rPr>
        <w:t>br</w:t>
      </w:r>
      <w:r w:rsidR="005F4749">
        <w:rPr>
          <w:lang w:eastAsia="hr-HR"/>
        </w:rPr>
        <w:t>.</w:t>
      </w:r>
      <w:r w:rsidRPr="00B47BDA">
        <w:rPr>
          <w:lang w:eastAsia="hr-HR"/>
        </w:rPr>
        <w:t xml:space="preserve"> 31</w:t>
      </w:r>
      <w:r w:rsidR="005B41DA">
        <w:rPr>
          <w:lang w:eastAsia="hr-HR"/>
        </w:rPr>
        <w:t>/23</w:t>
      </w:r>
      <w:r w:rsidR="005F4749">
        <w:rPr>
          <w:lang w:eastAsia="hr-HR"/>
        </w:rPr>
        <w:t>.</w:t>
      </w:r>
      <w:r w:rsidRPr="00B47BDA">
        <w:rPr>
          <w:lang w:eastAsia="hr-HR"/>
        </w:rPr>
        <w:t xml:space="preserve">) obveznici sustava EU ETS-a plaćaju nižu naknadu za obnovljive izvore energije i visokoučinkovitu kogeneraciju u odnosu na naknadu za ostale krajnje kupce električne energije. </w:t>
      </w:r>
    </w:p>
    <w:p w14:paraId="2FCA5F42" w14:textId="28060CFA" w:rsidR="00257922" w:rsidRPr="00B47BDA" w:rsidRDefault="00353336" w:rsidP="004623DD">
      <w:pPr>
        <w:rPr>
          <w:lang w:eastAsia="hr-HR"/>
        </w:rPr>
      </w:pPr>
      <w:r w:rsidRPr="00B47BDA">
        <w:rPr>
          <w:lang w:eastAsia="hr-HR"/>
        </w:rPr>
        <w:t>U RH je od 2007.</w:t>
      </w:r>
      <w:r w:rsidR="0072664C" w:rsidRPr="00B47BDA">
        <w:rPr>
          <w:lang w:eastAsia="hr-HR"/>
        </w:rPr>
        <w:t xml:space="preserve"> godine uvedena naknada na emisiju CO</w:t>
      </w:r>
      <w:r w:rsidR="0072664C" w:rsidRPr="00B47BDA">
        <w:rPr>
          <w:vertAlign w:val="subscript"/>
          <w:lang w:eastAsia="hr-HR"/>
        </w:rPr>
        <w:t>2</w:t>
      </w:r>
      <w:r w:rsidR="00F94823" w:rsidRPr="00B47BDA">
        <w:rPr>
          <w:lang w:eastAsia="hr-HR"/>
        </w:rPr>
        <w:t xml:space="preserve"> </w:t>
      </w:r>
      <w:r w:rsidR="00F67BB7" w:rsidRPr="00B47BDA">
        <w:rPr>
          <w:lang w:eastAsia="hr-HR"/>
        </w:rPr>
        <w:t xml:space="preserve">na temelju </w:t>
      </w:r>
      <w:r w:rsidR="00EA7C03" w:rsidRPr="00B47BDA">
        <w:rPr>
          <w:lang w:eastAsia="hr-HR"/>
        </w:rPr>
        <w:t xml:space="preserve">Uredbe o jediničnim naknadama, korektivnim koeficijentima i pobližim kriterijima i mjerilima za utvrđivanje naknade na emisiju u okoliš ugljikovog dioksida </w:t>
      </w:r>
      <w:r w:rsidR="00F94823" w:rsidRPr="00B47BDA">
        <w:rPr>
          <w:lang w:eastAsia="hr-HR"/>
        </w:rPr>
        <w:t>(</w:t>
      </w:r>
      <w:r w:rsidR="005F4749">
        <w:rPr>
          <w:lang w:eastAsia="hr-HR"/>
        </w:rPr>
        <w:t>„</w:t>
      </w:r>
      <w:r w:rsidR="00071A4F" w:rsidRPr="00071A4F">
        <w:rPr>
          <w:lang w:eastAsia="hr-HR"/>
        </w:rPr>
        <w:t xml:space="preserve">Narodne </w:t>
      </w:r>
      <w:r w:rsidR="00A97AE7">
        <w:rPr>
          <w:lang w:eastAsia="hr-HR"/>
        </w:rPr>
        <w:t>novine</w:t>
      </w:r>
      <w:r w:rsidR="005F4749">
        <w:rPr>
          <w:lang w:eastAsia="hr-HR"/>
        </w:rPr>
        <w:t>“</w:t>
      </w:r>
      <w:r w:rsidR="00071A4F" w:rsidRPr="00071A4F">
        <w:rPr>
          <w:lang w:eastAsia="hr-HR"/>
        </w:rPr>
        <w:t>, br</w:t>
      </w:r>
      <w:r w:rsidR="004C2966">
        <w:rPr>
          <w:lang w:eastAsia="hr-HR"/>
        </w:rPr>
        <w:t>.</w:t>
      </w:r>
      <w:r w:rsidR="005269D7" w:rsidRPr="00B47BDA">
        <w:rPr>
          <w:lang w:eastAsia="hr-HR"/>
        </w:rPr>
        <w:t xml:space="preserve"> 73/07</w:t>
      </w:r>
      <w:r w:rsidR="005F4749">
        <w:rPr>
          <w:lang w:eastAsia="hr-HR"/>
        </w:rPr>
        <w:t>.</w:t>
      </w:r>
      <w:r w:rsidR="005269D7" w:rsidRPr="00B47BDA">
        <w:rPr>
          <w:lang w:eastAsia="hr-HR"/>
        </w:rPr>
        <w:t>, 48/09</w:t>
      </w:r>
      <w:r w:rsidR="005F4749">
        <w:rPr>
          <w:lang w:eastAsia="hr-HR"/>
        </w:rPr>
        <w:t>.</w:t>
      </w:r>
      <w:r w:rsidR="00C47C34" w:rsidRPr="00B47BDA">
        <w:rPr>
          <w:lang w:eastAsia="hr-HR"/>
        </w:rPr>
        <w:t>, 2</w:t>
      </w:r>
      <w:r w:rsidR="005B41DA">
        <w:rPr>
          <w:lang w:eastAsia="hr-HR"/>
        </w:rPr>
        <w:t>/18</w:t>
      </w:r>
      <w:r w:rsidR="005F4749">
        <w:rPr>
          <w:lang w:eastAsia="hr-HR"/>
        </w:rPr>
        <w:t>.</w:t>
      </w:r>
      <w:r w:rsidRPr="00B47BDA">
        <w:rPr>
          <w:lang w:eastAsia="hr-HR"/>
        </w:rPr>
        <w:t>, 46</w:t>
      </w:r>
      <w:r w:rsidR="005B41DA">
        <w:rPr>
          <w:lang w:eastAsia="hr-HR"/>
        </w:rPr>
        <w:t>/21</w:t>
      </w:r>
      <w:r w:rsidR="005F4749">
        <w:rPr>
          <w:lang w:eastAsia="hr-HR"/>
        </w:rPr>
        <w:t>.</w:t>
      </w:r>
      <w:r w:rsidRPr="00B47BDA">
        <w:rPr>
          <w:lang w:eastAsia="hr-HR"/>
        </w:rPr>
        <w:t>).</w:t>
      </w:r>
      <w:r w:rsidR="008C2AF7" w:rsidRPr="00B47BDA">
        <w:rPr>
          <w:lang w:eastAsia="hr-HR"/>
        </w:rPr>
        <w:t xml:space="preserve"> </w:t>
      </w:r>
      <w:r w:rsidR="00E174AB" w:rsidRPr="00B47BDA">
        <w:rPr>
          <w:lang w:eastAsia="hr-HR"/>
        </w:rPr>
        <w:t>O</w:t>
      </w:r>
      <w:r w:rsidR="006B7E80" w:rsidRPr="00B47BDA">
        <w:rPr>
          <w:lang w:eastAsia="hr-HR"/>
        </w:rPr>
        <w:t xml:space="preserve">bveznici plaćanja naknade </w:t>
      </w:r>
      <w:r w:rsidR="00E174AB" w:rsidRPr="00B47BDA">
        <w:rPr>
          <w:lang w:eastAsia="hr-HR"/>
        </w:rPr>
        <w:t xml:space="preserve">su </w:t>
      </w:r>
      <w:r w:rsidR="006B7E80" w:rsidRPr="00B47BDA">
        <w:rPr>
          <w:lang w:eastAsia="hr-HR"/>
        </w:rPr>
        <w:t>pojedinačni stacionarni izvori, koji emitiraju CO</w:t>
      </w:r>
      <w:r w:rsidR="006B7E80" w:rsidRPr="00B47BDA">
        <w:rPr>
          <w:vertAlign w:val="subscript"/>
          <w:lang w:eastAsia="hr-HR"/>
        </w:rPr>
        <w:t>2</w:t>
      </w:r>
      <w:r w:rsidR="006B7E80" w:rsidRPr="00B47BDA">
        <w:rPr>
          <w:lang w:eastAsia="hr-HR"/>
        </w:rPr>
        <w:t xml:space="preserve"> u količini većoj od 450 tona godišnje</w:t>
      </w:r>
      <w:r w:rsidR="00391D3C" w:rsidRPr="00B47BDA">
        <w:rPr>
          <w:lang w:eastAsia="hr-HR"/>
        </w:rPr>
        <w:t xml:space="preserve">, a jedinična naknada je </w:t>
      </w:r>
      <w:r w:rsidR="006F4B82">
        <w:rPr>
          <w:lang w:eastAsia="hr-HR"/>
        </w:rPr>
        <w:t xml:space="preserve">1,49 </w:t>
      </w:r>
      <w:r w:rsidR="0091536B">
        <w:rPr>
          <w:lang w:eastAsia="hr-HR"/>
        </w:rPr>
        <w:t>EUR</w:t>
      </w:r>
      <w:r w:rsidR="006F4B82">
        <w:rPr>
          <w:lang w:eastAsia="hr-HR"/>
        </w:rPr>
        <w:t>/</w:t>
      </w:r>
      <w:r w:rsidR="006F4B82" w:rsidRPr="00B47BDA">
        <w:rPr>
          <w:lang w:eastAsia="hr-HR"/>
        </w:rPr>
        <w:t>tCO</w:t>
      </w:r>
      <w:r w:rsidR="006F4B82" w:rsidRPr="00B47BDA">
        <w:rPr>
          <w:vertAlign w:val="subscript"/>
          <w:lang w:eastAsia="hr-HR"/>
        </w:rPr>
        <w:t>2</w:t>
      </w:r>
      <w:r w:rsidR="006F4B82">
        <w:rPr>
          <w:lang w:eastAsia="hr-HR"/>
        </w:rPr>
        <w:t xml:space="preserve"> (</w:t>
      </w:r>
      <w:r w:rsidRPr="00B47BDA">
        <w:rPr>
          <w:lang w:eastAsia="hr-HR"/>
        </w:rPr>
        <w:t>11,20 kn/tCO</w:t>
      </w:r>
      <w:r w:rsidRPr="00B47BDA">
        <w:rPr>
          <w:vertAlign w:val="subscript"/>
          <w:lang w:eastAsia="hr-HR"/>
        </w:rPr>
        <w:t>2</w:t>
      </w:r>
      <w:r w:rsidR="006F4B82">
        <w:rPr>
          <w:lang w:eastAsia="hr-HR"/>
        </w:rPr>
        <w:t>).</w:t>
      </w:r>
      <w:r w:rsidR="004A73FA" w:rsidRPr="00B47BDA">
        <w:rPr>
          <w:lang w:eastAsia="hr-HR"/>
        </w:rPr>
        <w:t xml:space="preserve"> </w:t>
      </w:r>
      <w:r w:rsidR="004A4DB8" w:rsidRPr="00B47BDA">
        <w:rPr>
          <w:lang w:eastAsia="hr-HR"/>
        </w:rPr>
        <w:t>Sudionici</w:t>
      </w:r>
      <w:r w:rsidR="00B22A4A" w:rsidRPr="00B47BDA">
        <w:rPr>
          <w:lang w:eastAsia="hr-HR"/>
        </w:rPr>
        <w:t xml:space="preserve"> </w:t>
      </w:r>
      <w:r w:rsidR="00C917EB" w:rsidRPr="00B47BDA">
        <w:rPr>
          <w:lang w:eastAsia="hr-HR"/>
        </w:rPr>
        <w:t>ETS-a su oslobođeni</w:t>
      </w:r>
      <w:r w:rsidR="004A4DB8" w:rsidRPr="00B47BDA">
        <w:rPr>
          <w:lang w:eastAsia="hr-HR"/>
        </w:rPr>
        <w:t xml:space="preserve"> obveze </w:t>
      </w:r>
      <w:r w:rsidR="005425C2" w:rsidRPr="00B47BDA">
        <w:rPr>
          <w:lang w:eastAsia="hr-HR"/>
        </w:rPr>
        <w:t>plaćanja naknada na emisiju CO</w:t>
      </w:r>
      <w:r w:rsidR="005425C2" w:rsidRPr="00B47BDA">
        <w:rPr>
          <w:vertAlign w:val="subscript"/>
          <w:lang w:eastAsia="hr-HR"/>
        </w:rPr>
        <w:t>2</w:t>
      </w:r>
      <w:r w:rsidR="00E16CE0" w:rsidRPr="00B47BDA">
        <w:rPr>
          <w:lang w:eastAsia="hr-HR"/>
        </w:rPr>
        <w:t xml:space="preserve">, kako bi se </w:t>
      </w:r>
      <w:r w:rsidR="00F80041" w:rsidRPr="00B47BDA">
        <w:rPr>
          <w:lang w:eastAsia="hr-HR"/>
        </w:rPr>
        <w:t xml:space="preserve">izbjeglo dvostruko </w:t>
      </w:r>
      <w:r w:rsidR="00F7162A" w:rsidRPr="00B47BDA">
        <w:rPr>
          <w:lang w:eastAsia="hr-HR"/>
        </w:rPr>
        <w:t xml:space="preserve">financijsko opterećenje </w:t>
      </w:r>
      <w:r w:rsidR="00B93553" w:rsidRPr="00B47BDA">
        <w:rPr>
          <w:lang w:eastAsia="hr-HR"/>
        </w:rPr>
        <w:t>zbog emi</w:t>
      </w:r>
      <w:r w:rsidR="009819E5" w:rsidRPr="00B47BDA">
        <w:rPr>
          <w:lang w:eastAsia="hr-HR"/>
        </w:rPr>
        <w:t>tiranja stakleničkih plinova.</w:t>
      </w:r>
      <w:r w:rsidR="00257922" w:rsidRPr="00B47BDA">
        <w:rPr>
          <w:lang w:eastAsia="hr-HR"/>
        </w:rPr>
        <w:t xml:space="preserve"> </w:t>
      </w:r>
    </w:p>
    <w:p w14:paraId="51046266" w14:textId="2861C68E" w:rsidR="00687622" w:rsidRPr="00B47BDA" w:rsidRDefault="005267C2" w:rsidP="004623DD">
      <w:r w:rsidRPr="00B47BDA">
        <w:rPr>
          <w:lang w:eastAsia="hr-HR"/>
        </w:rPr>
        <w:t xml:space="preserve">Smanjenje </w:t>
      </w:r>
      <w:r w:rsidR="008D7381" w:rsidRPr="00B47BDA">
        <w:rPr>
          <w:lang w:eastAsia="hr-HR"/>
        </w:rPr>
        <w:t xml:space="preserve">iznosa </w:t>
      </w:r>
      <w:r w:rsidRPr="00B47BDA">
        <w:rPr>
          <w:lang w:eastAsia="hr-HR"/>
        </w:rPr>
        <w:t>naknade</w:t>
      </w:r>
      <w:r w:rsidR="00C917EB" w:rsidRPr="00B47BDA">
        <w:rPr>
          <w:lang w:eastAsia="hr-HR"/>
        </w:rPr>
        <w:t xml:space="preserve"> </w:t>
      </w:r>
      <w:r w:rsidR="008D7381" w:rsidRPr="00B47BDA">
        <w:rPr>
          <w:lang w:eastAsia="hr-HR"/>
        </w:rPr>
        <w:t xml:space="preserve">za obnovljive izvore energije i visokoučinkovitu kogeneraciju te oslobađanje </w:t>
      </w:r>
      <w:r w:rsidR="0056501D" w:rsidRPr="00B47BDA">
        <w:rPr>
          <w:lang w:eastAsia="hr-HR"/>
        </w:rPr>
        <w:t>obveza plaćanja naknade na emisiju CO</w:t>
      </w:r>
      <w:r w:rsidR="0056501D" w:rsidRPr="00B47BDA">
        <w:rPr>
          <w:vertAlign w:val="subscript"/>
          <w:lang w:eastAsia="hr-HR"/>
        </w:rPr>
        <w:t>2</w:t>
      </w:r>
      <w:r w:rsidR="00230DD5" w:rsidRPr="00B47BDA">
        <w:rPr>
          <w:lang w:eastAsia="hr-HR"/>
        </w:rPr>
        <w:t xml:space="preserve"> </w:t>
      </w:r>
      <w:r w:rsidR="00CE03A6" w:rsidRPr="00B47BDA">
        <w:rPr>
          <w:lang w:eastAsia="hr-HR"/>
        </w:rPr>
        <w:t xml:space="preserve">olakšava </w:t>
      </w:r>
      <w:r w:rsidR="007B0EA9" w:rsidRPr="00B47BDA">
        <w:rPr>
          <w:lang w:eastAsia="hr-HR"/>
        </w:rPr>
        <w:t>poslovanje sudionicima ETS-a</w:t>
      </w:r>
      <w:r w:rsidR="00DE27CD" w:rsidRPr="00B47BDA">
        <w:rPr>
          <w:lang w:eastAsia="hr-HR"/>
        </w:rPr>
        <w:t xml:space="preserve"> iz </w:t>
      </w:r>
      <w:r w:rsidR="00353336" w:rsidRPr="00B47BDA">
        <w:rPr>
          <w:lang w:eastAsia="hr-HR"/>
        </w:rPr>
        <w:t>RH</w:t>
      </w:r>
      <w:r w:rsidR="00FE651D" w:rsidRPr="00B47BDA">
        <w:rPr>
          <w:lang w:eastAsia="hr-HR"/>
        </w:rPr>
        <w:t xml:space="preserve">, a s druge strane </w:t>
      </w:r>
      <w:r w:rsidR="009C5483" w:rsidRPr="00B47BDA">
        <w:rPr>
          <w:lang w:eastAsia="hr-HR"/>
        </w:rPr>
        <w:t xml:space="preserve">relativno visoka cijena emisijskih jedinica </w:t>
      </w:r>
      <w:r w:rsidR="001E0C8E" w:rsidRPr="00B47BDA">
        <w:rPr>
          <w:lang w:eastAsia="hr-HR"/>
        </w:rPr>
        <w:t xml:space="preserve">na ETS tržištu </w:t>
      </w:r>
      <w:r w:rsidR="00A63EBC" w:rsidRPr="00B47BDA">
        <w:rPr>
          <w:lang w:eastAsia="hr-HR"/>
        </w:rPr>
        <w:t xml:space="preserve">stimulira </w:t>
      </w:r>
      <w:r w:rsidR="00EC4406" w:rsidRPr="00B47BDA">
        <w:rPr>
          <w:lang w:eastAsia="hr-HR"/>
        </w:rPr>
        <w:t xml:space="preserve">provedbu mjera za smanjenje emisija </w:t>
      </w:r>
      <w:r w:rsidR="00E24550" w:rsidRPr="00B47BDA">
        <w:rPr>
          <w:lang w:eastAsia="hr-HR"/>
        </w:rPr>
        <w:t>stakleničkih plinova.</w:t>
      </w:r>
      <w:r w:rsidR="00E223DA" w:rsidRPr="00B47BDA">
        <w:t xml:space="preserve"> </w:t>
      </w:r>
    </w:p>
    <w:p w14:paraId="26FFE978" w14:textId="77777777" w:rsidR="00062017" w:rsidRPr="00B47BDA" w:rsidRDefault="00062017" w:rsidP="00A42EB0">
      <w:pPr>
        <w:pStyle w:val="Heading4"/>
        <w:numPr>
          <w:ilvl w:val="3"/>
          <w:numId w:val="175"/>
        </w:numPr>
        <w:spacing w:before="240"/>
        <w:ind w:left="862" w:hanging="578"/>
      </w:pPr>
      <w:r w:rsidRPr="00B47BDA">
        <w:t>Politike i mjere za ostvarivanje drugih nacionalnih ciljeva, ako je primjenjivo</w:t>
      </w:r>
    </w:p>
    <w:p w14:paraId="20420FD9" w14:textId="41CC030B" w:rsidR="00BC7B89" w:rsidRPr="00B47BDA" w:rsidRDefault="00AB1FEF" w:rsidP="004623DD">
      <w:r w:rsidRPr="00B47BDA">
        <w:t>Nije primjenjivo.</w:t>
      </w:r>
    </w:p>
    <w:p w14:paraId="708FEE99" w14:textId="1720987D" w:rsidR="00DD7CAC" w:rsidRPr="00B47BDA" w:rsidRDefault="00DD7CAC" w:rsidP="00BE02E4">
      <w:pPr>
        <w:pStyle w:val="Heading4"/>
        <w:numPr>
          <w:ilvl w:val="3"/>
          <w:numId w:val="175"/>
        </w:numPr>
        <w:spacing w:before="240"/>
        <w:ind w:left="862" w:hanging="578"/>
      </w:pPr>
      <w:r w:rsidRPr="00B47BDA">
        <w:lastRenderedPageBreak/>
        <w:t xml:space="preserve">Politike i mjere za postizanje mobilnosti s niskom razinom emisije (uključujući elektrifikaciju prometa) </w:t>
      </w:r>
    </w:p>
    <w:p w14:paraId="1F54E37D" w14:textId="77777777" w:rsidR="00E434AC" w:rsidRPr="00B47BDA" w:rsidRDefault="00E434AC" w:rsidP="004623DD">
      <w:r w:rsidRPr="00B47BDA">
        <w:t>Očekivani učinci grupe mjera za poticanje mobilnosti s niskom razinom emisije su:</w:t>
      </w:r>
    </w:p>
    <w:p w14:paraId="16A7FF4A" w14:textId="59F08931" w:rsidR="00E434AC" w:rsidRPr="00B47BDA" w:rsidRDefault="00E434AC" w:rsidP="00BE02E4">
      <w:pPr>
        <w:pStyle w:val="ListParagraph"/>
        <w:numPr>
          <w:ilvl w:val="0"/>
          <w:numId w:val="53"/>
        </w:numPr>
        <w:spacing w:after="40"/>
        <w:ind w:left="714" w:hanging="357"/>
      </w:pPr>
      <w:r w:rsidRPr="00B47BDA">
        <w:t xml:space="preserve">smanjenje neposredne potrošnje energije u prometu u projekcijama za scenarij s dodatnim mjerama u odnosu na scenarij s postojećim mjerama, koje iznosi </w:t>
      </w:r>
      <w:r w:rsidR="009C5146">
        <w:t>5,2</w:t>
      </w:r>
      <w:r w:rsidRPr="00B47BDA">
        <w:t xml:space="preserve"> PJ u 2030. godin</w:t>
      </w:r>
      <w:r w:rsidR="00BE02E4">
        <w:t>i</w:t>
      </w:r>
      <w:r w:rsidRPr="00B47BDA">
        <w:t>;</w:t>
      </w:r>
    </w:p>
    <w:p w14:paraId="3AAD0EE2" w14:textId="33B563B5" w:rsidR="00A42EB0" w:rsidRDefault="00E434AC" w:rsidP="00BC3CC2">
      <w:pPr>
        <w:pStyle w:val="ListParagraph"/>
        <w:numPr>
          <w:ilvl w:val="0"/>
          <w:numId w:val="53"/>
        </w:numPr>
        <w:spacing w:after="0"/>
        <w:ind w:left="714" w:hanging="357"/>
        <w:jc w:val="left"/>
      </w:pPr>
      <w:r w:rsidRPr="00B47BDA">
        <w:t>udio OIE u</w:t>
      </w:r>
      <w:r w:rsidR="00D66D48" w:rsidRPr="00B47BDA">
        <w:t xml:space="preserve"> </w:t>
      </w:r>
      <w:r w:rsidRPr="00B47BDA">
        <w:t xml:space="preserve">prometu od </w:t>
      </w:r>
      <w:r w:rsidR="00BA6934" w:rsidRPr="00B47BDA">
        <w:t>2</w:t>
      </w:r>
      <w:r w:rsidR="00E824BA">
        <w:t>4</w:t>
      </w:r>
      <w:r w:rsidR="00BA6934" w:rsidRPr="00B47BDA">
        <w:t xml:space="preserve">,6 </w:t>
      </w:r>
      <w:r w:rsidRPr="00B47BDA">
        <w:t>%</w:t>
      </w:r>
      <w:r w:rsidR="00BE02E4">
        <w:t xml:space="preserve"> u 2030</w:t>
      </w:r>
      <w:r w:rsidR="00243731" w:rsidRPr="00B47BDA">
        <w:t>.</w:t>
      </w:r>
    </w:p>
    <w:p w14:paraId="159F907B" w14:textId="77777777" w:rsidR="000A1EF7" w:rsidRPr="00A42EB0" w:rsidRDefault="000A1EF7" w:rsidP="000A1EF7">
      <w:pPr>
        <w:spacing w:after="0"/>
        <w:jc w:val="left"/>
      </w:pPr>
    </w:p>
    <w:p w14:paraId="055B87C2" w14:textId="1B216EF5" w:rsidR="00FD6DC2" w:rsidRPr="00B47BDA" w:rsidRDefault="00FD6DC2" w:rsidP="00EE67E0">
      <w:pPr>
        <w:pStyle w:val="Mjeranaslov"/>
      </w:pPr>
      <w:r w:rsidRPr="00B47BDA">
        <w:t>TR-1 Regulatorni instrumenti za poticanje čišćeg prometnog sustava</w:t>
      </w:r>
    </w:p>
    <w:p w14:paraId="2373C112" w14:textId="77777777" w:rsidR="00FD6DC2" w:rsidRPr="00B47BDA" w:rsidRDefault="00FD6DC2" w:rsidP="004623DD">
      <w:pPr>
        <w:pStyle w:val="NormalWeb"/>
      </w:pPr>
      <w:r w:rsidRPr="00B47BDA">
        <w:t>Regulatorna mjera, parafiskalna mjera; provedba 2021. - 2030.</w:t>
      </w:r>
    </w:p>
    <w:p w14:paraId="2AC28DBB" w14:textId="77777777" w:rsidR="00FD6DC2" w:rsidRPr="00B47BDA" w:rsidRDefault="00FD6DC2" w:rsidP="004623DD">
      <w:pPr>
        <w:pStyle w:val="NormalWeb"/>
      </w:pPr>
      <w:r w:rsidRPr="00B47BDA">
        <w:rPr>
          <w:b/>
        </w:rPr>
        <w:t>Cilj i opis mjere:</w:t>
      </w:r>
      <w:r w:rsidRPr="00B47BDA">
        <w:t xml:space="preserve"> Cilj mjere je potaknuti promjene u prometnom sustavu kojima će se smanjiti zagađenje okoliša i postići održiviji prometni sustav. Ova mjera uključuje primjenu regulatornih instrumenata kao što su propisi, standardi i porezi koji će potaknuti upotrebu vozila s manjim emisijama i povećati korištenje javnog prijevoza, pješačkih i biciklističkih staza. </w:t>
      </w:r>
    </w:p>
    <w:p w14:paraId="04C40FA3" w14:textId="77777777" w:rsidR="00FD6DC2" w:rsidRPr="00B47BDA" w:rsidRDefault="00FD6DC2" w:rsidP="004623DD">
      <w:r w:rsidRPr="00B47BDA">
        <w:rPr>
          <w:b/>
        </w:rPr>
        <w:t>Aktivnosti:</w:t>
      </w:r>
      <w:r w:rsidRPr="00B47BDA">
        <w:t xml:space="preserve"> Mjera obuhvaća sljedeće aktivnosti:</w:t>
      </w:r>
    </w:p>
    <w:p w14:paraId="70988560" w14:textId="4A6F5C19" w:rsidR="00FD6DC2" w:rsidRPr="00B47BDA" w:rsidRDefault="00FD6DC2" w:rsidP="00A563AA">
      <w:pPr>
        <w:pStyle w:val="ListParagraph"/>
        <w:numPr>
          <w:ilvl w:val="0"/>
          <w:numId w:val="84"/>
        </w:numPr>
      </w:pPr>
      <w:r w:rsidRPr="00B47BDA">
        <w:t>Informiranje potrošača o ekonomičnosti potrošnje goriva i emisiji CO</w:t>
      </w:r>
      <w:r w:rsidRPr="00B47BDA">
        <w:rPr>
          <w:vertAlign w:val="subscript"/>
        </w:rPr>
        <w:t>2</w:t>
      </w:r>
      <w:r w:rsidRPr="00B47BDA">
        <w:t xml:space="preserve"> novih osobnih automobila, sukladno Pravilniku o dostupnosti podataka potrošačima o službenoj potrošnji goriva i službenim specifičnim emisijama CO</w:t>
      </w:r>
      <w:r w:rsidRPr="00B47BDA">
        <w:rPr>
          <w:vertAlign w:val="subscript"/>
        </w:rPr>
        <w:t xml:space="preserve">2 </w:t>
      </w:r>
      <w:r w:rsidRPr="00B47BDA">
        <w:t>novih osobnih vozila (</w:t>
      </w:r>
      <w:r w:rsidR="00B77B67">
        <w:t>„</w:t>
      </w:r>
      <w:r w:rsidR="00071A4F" w:rsidRPr="00071A4F">
        <w:t xml:space="preserve">Narodne </w:t>
      </w:r>
      <w:r w:rsidR="00A97AE7">
        <w:t>novine</w:t>
      </w:r>
      <w:r w:rsidR="00B77B67">
        <w:t>“</w:t>
      </w:r>
      <w:r w:rsidR="00071A4F" w:rsidRPr="00071A4F">
        <w:t xml:space="preserve">, </w:t>
      </w:r>
      <w:r w:rsidR="00B77B67">
        <w:t>br.</w:t>
      </w:r>
      <w:r w:rsidR="00B77B67" w:rsidRPr="00B47BDA">
        <w:t xml:space="preserve"> </w:t>
      </w:r>
      <w:r w:rsidRPr="00B47BDA">
        <w:t>113/21</w:t>
      </w:r>
      <w:r w:rsidR="00B77B67">
        <w:t>.</w:t>
      </w:r>
      <w:r w:rsidRPr="00B47BDA">
        <w:t>). Svrha ovog Pravilnika je potrošačima osigurati dostupnost podataka o službenoj potrošnji goriva i službenim specifičnim emisijama ugljikova dioksida novih osobnih vozila koja su namijenjena prodaji ili leasingu, kako bi im se omogućio izbor na temelju informiranosti.</w:t>
      </w:r>
    </w:p>
    <w:p w14:paraId="2641B7AD" w14:textId="781E9958" w:rsidR="00FD6DC2" w:rsidRPr="00B47BDA" w:rsidRDefault="1D49F788" w:rsidP="00A563AA">
      <w:pPr>
        <w:pStyle w:val="ListParagraph"/>
        <w:numPr>
          <w:ilvl w:val="0"/>
          <w:numId w:val="84"/>
        </w:numPr>
      </w:pPr>
      <w:r>
        <w:t>Naplata posebne naknade za okoliš za vozila na motorni pogon, sukladno Uredbi o izmjenama Uredbe o jediničnim naknadama, korektivnim koeficijentima i pobližim kriterijima i mjerilima za utvrđivanje posebne naknade za okoliš na vozila na motorni pogon (</w:t>
      </w:r>
      <w:r w:rsidR="003E7869">
        <w:t>„</w:t>
      </w:r>
      <w:r w:rsidR="00071A4F" w:rsidRPr="00071A4F">
        <w:t xml:space="preserve">Narodne </w:t>
      </w:r>
      <w:r w:rsidR="00A97AE7">
        <w:t>novine</w:t>
      </w:r>
      <w:r w:rsidR="003E7869">
        <w:t>“</w:t>
      </w:r>
      <w:r w:rsidR="00071A4F" w:rsidRPr="00071A4F">
        <w:t xml:space="preserve">, </w:t>
      </w:r>
      <w:r w:rsidR="003E7869">
        <w:t xml:space="preserve">br. </w:t>
      </w:r>
      <w:r>
        <w:t>2/21</w:t>
      </w:r>
      <w:r w:rsidR="003E7869">
        <w:t>.</w:t>
      </w:r>
      <w:r>
        <w:t>). Ovom se Uredbom propisuju jedinične naknade i korektivni koeficijenti na temelju kojih se obavlja izračun posebne naknade za okoliš na vozila na motorni pogon te pobliži kriteriji i mjerila za utvrđivanje posebne naknade. Posebna naknada naplaćuje se uzimajući u obzir vrstu motora i goriva, radni volumen motora, vrstu vozila, emisiju CO</w:t>
      </w:r>
      <w:r w:rsidRPr="1C9333AB">
        <w:rPr>
          <w:vertAlign w:val="subscript"/>
        </w:rPr>
        <w:t>2</w:t>
      </w:r>
      <w:r>
        <w:t xml:space="preserve"> i starost vozila.</w:t>
      </w:r>
    </w:p>
    <w:p w14:paraId="42302ECE" w14:textId="3F82985B" w:rsidR="00FD6DC2" w:rsidRPr="00B47BDA" w:rsidRDefault="00FD6DC2" w:rsidP="00A563AA">
      <w:pPr>
        <w:pStyle w:val="ListParagraph"/>
        <w:numPr>
          <w:ilvl w:val="0"/>
          <w:numId w:val="84"/>
        </w:numPr>
      </w:pPr>
      <w:r w:rsidRPr="00B47BDA">
        <w:t>Naplata posebnog poreza na motorna vozila namijenjenih za uporabu na cestama sukladno Zakonu o posebnom porezu na motorna vozila (</w:t>
      </w:r>
      <w:r w:rsidR="0052459C">
        <w:t>„</w:t>
      </w:r>
      <w:r w:rsidR="00071A4F" w:rsidRPr="00071A4F">
        <w:t xml:space="preserve">Narodne </w:t>
      </w:r>
      <w:r w:rsidR="00A97AE7">
        <w:t>novine</w:t>
      </w:r>
      <w:r w:rsidR="0052459C">
        <w:t>“</w:t>
      </w:r>
      <w:r w:rsidR="00071A4F" w:rsidRPr="00071A4F">
        <w:t xml:space="preserve">, </w:t>
      </w:r>
      <w:r w:rsidR="00004BB0">
        <w:t>br</w:t>
      </w:r>
      <w:r w:rsidR="0024195A">
        <w:t>.</w:t>
      </w:r>
      <w:r w:rsidRPr="00B47BDA">
        <w:t xml:space="preserve"> 15</w:t>
      </w:r>
      <w:r w:rsidR="005B41DA">
        <w:t>/13</w:t>
      </w:r>
      <w:r w:rsidR="0052459C">
        <w:t>.</w:t>
      </w:r>
      <w:r w:rsidRPr="00B47BDA">
        <w:t>, 108</w:t>
      </w:r>
      <w:r w:rsidR="005B41DA">
        <w:t>/13</w:t>
      </w:r>
      <w:r w:rsidR="0052459C">
        <w:t>.</w:t>
      </w:r>
      <w:r w:rsidRPr="00B47BDA">
        <w:t>, 115</w:t>
      </w:r>
      <w:r w:rsidR="005B41DA">
        <w:t>/16</w:t>
      </w:r>
      <w:r w:rsidR="0052459C">
        <w:t>.</w:t>
      </w:r>
      <w:r w:rsidRPr="00B47BDA">
        <w:t>, 127</w:t>
      </w:r>
      <w:r w:rsidR="005B41DA">
        <w:t>/17</w:t>
      </w:r>
      <w:r w:rsidR="0052459C">
        <w:t>.</w:t>
      </w:r>
      <w:r w:rsidRPr="00B47BDA">
        <w:t>, 121</w:t>
      </w:r>
      <w:r w:rsidR="005B41DA">
        <w:t>/19</w:t>
      </w:r>
      <w:r w:rsidR="0052459C">
        <w:t>.</w:t>
      </w:r>
      <w:r w:rsidRPr="00B47BDA">
        <w:t>). Bazirajući se na načelu „onečišćivač plaća“, model obračuna temelji se na emisiji CO</w:t>
      </w:r>
      <w:r w:rsidRPr="00B47BDA">
        <w:rPr>
          <w:vertAlign w:val="subscript"/>
        </w:rPr>
        <w:t>2</w:t>
      </w:r>
      <w:r w:rsidRPr="00B47BDA">
        <w:t xml:space="preserve"> u zrak iz motornih vozila. Posebni porez utvrđuje se na temelju prodajne, odnosno tržišne cijene motornog vozila, emisije CO</w:t>
      </w:r>
      <w:r w:rsidRPr="00B47BDA">
        <w:rPr>
          <w:vertAlign w:val="subscript"/>
        </w:rPr>
        <w:t>2</w:t>
      </w:r>
      <w:r w:rsidRPr="00B47BDA">
        <w:t xml:space="preserve"> izražene u gramima po kilometru, obujmu motora u kubičnim centimetrima i razini emisije stakleničkih plinova. Ovim posebnim porezom potiče se kupovina učinkovitih vozila i vozila s manjim emisijama stakleničkih plinova.</w:t>
      </w:r>
    </w:p>
    <w:p w14:paraId="4D806F33" w14:textId="4403A37D" w:rsidR="00FD6DC2" w:rsidRPr="00B47BDA" w:rsidRDefault="00FD6DC2" w:rsidP="00A563AA">
      <w:pPr>
        <w:pStyle w:val="ListParagraph"/>
        <w:numPr>
          <w:ilvl w:val="0"/>
          <w:numId w:val="84"/>
        </w:numPr>
      </w:pPr>
      <w:r w:rsidRPr="63259912">
        <w:lastRenderedPageBreak/>
        <w:t>Praćenje, izvještavanje i verifikacija emisija stakleničkih plinova u životnom vijeku goriva i energije, sukladno Pravilniku o načinu praćenja i izvješćivanja te metodologiji izračuna emisija stakleničkih plinova u životnom vijeku isporučenih goriva i energije i načinu provođenja projekata smanjenja emisija nastalih istraživanjem i proizvodnjom nafte i plina (</w:t>
      </w:r>
      <w:r w:rsidR="0052459C" w:rsidRPr="63259912">
        <w:t>„</w:t>
      </w:r>
      <w:r w:rsidR="00071A4F" w:rsidRPr="63259912">
        <w:t xml:space="preserve">Narodne </w:t>
      </w:r>
      <w:r w:rsidR="00A97AE7" w:rsidRPr="63259912">
        <w:t>novine</w:t>
      </w:r>
      <w:r w:rsidR="0052459C" w:rsidRPr="63259912">
        <w:t>“</w:t>
      </w:r>
      <w:r w:rsidR="00071A4F" w:rsidRPr="63259912">
        <w:t xml:space="preserve">, </w:t>
      </w:r>
      <w:r w:rsidR="0052459C" w:rsidRPr="63259912">
        <w:t xml:space="preserve">br. </w:t>
      </w:r>
      <w:r w:rsidRPr="63259912">
        <w:t>131/21</w:t>
      </w:r>
      <w:r w:rsidR="0052459C" w:rsidRPr="63259912">
        <w:t>.</w:t>
      </w:r>
      <w:r w:rsidRPr="63259912">
        <w:t>). Praćenje emisija stakleničkih plinova primjenjuje se na goriva koja se upotrebljavaju za pogon cestovnih vozila, izvancestovnih pokretnih strojeva (uključujući plovila za promet unutarnjim plovnim putovima kada ne plove morem), traktora za poljoprivredu i šumarstvo, rekreacijskih plovila kada ne plove morem i električnu energiju za uporabu u cestovnim vozilima.</w:t>
      </w:r>
    </w:p>
    <w:p w14:paraId="5336D39D" w14:textId="57015538" w:rsidR="00FD6DC2" w:rsidRPr="00B47BDA" w:rsidRDefault="1D49F788" w:rsidP="00A563AA">
      <w:pPr>
        <w:pStyle w:val="ListParagraph"/>
        <w:numPr>
          <w:ilvl w:val="0"/>
          <w:numId w:val="84"/>
        </w:numPr>
      </w:pPr>
      <w:r>
        <w:t xml:space="preserve">Poticanje integriranog teretnog prometa sukladno </w:t>
      </w:r>
      <w:r w:rsidR="008876AC">
        <w:t>uvjetima</w:t>
      </w:r>
      <w:r>
        <w:t xml:space="preserve"> </w:t>
      </w:r>
      <w:r w:rsidR="003C4146">
        <w:t xml:space="preserve"> koje će definirati </w:t>
      </w:r>
      <w:r w:rsidR="00241E64">
        <w:t>novi p</w:t>
      </w:r>
      <w:r>
        <w:t>r</w:t>
      </w:r>
      <w:r w:rsidR="00870B03">
        <w:t>ogram</w:t>
      </w:r>
      <w:r>
        <w:t xml:space="preserve"> o poticajima u kombiniranom prijevozu tereta. </w:t>
      </w:r>
      <w:r w:rsidR="00870B03">
        <w:t>Novim će se</w:t>
      </w:r>
      <w:r w:rsidR="00A96D6D">
        <w:t xml:space="preserve"> programom </w:t>
      </w:r>
      <w:r>
        <w:t>propisa</w:t>
      </w:r>
      <w:r w:rsidR="001C4318">
        <w:t>t</w:t>
      </w:r>
      <w:r>
        <w:t>i poticaji u kombiniranom prijevozu tereta željeznicom, unutarnjim vodama ili morem te poticaji u kombiniranom prijevozu tereta cestovnom dionicom</w:t>
      </w:r>
      <w:r w:rsidR="001C4318">
        <w:t>, a sve u skladu s</w:t>
      </w:r>
      <w:r w:rsidR="00A324B0">
        <w:t xml:space="preserve"> očekivanim</w:t>
      </w:r>
      <w:r w:rsidR="006A686F">
        <w:t xml:space="preserve"> izmjenama </w:t>
      </w:r>
      <w:r w:rsidR="009A3D20">
        <w:t>Direktive Vijeća 92/106/EEZ o utvrđivanju zajedničkih pravila za određene vrste kombiniranog prijevoza robe između država članica</w:t>
      </w:r>
      <w:r w:rsidR="00A324B0">
        <w:t xml:space="preserve"> </w:t>
      </w:r>
      <w:r w:rsidR="003412F1">
        <w:t>te</w:t>
      </w:r>
      <w:r w:rsidR="00A324B0">
        <w:t xml:space="preserve"> </w:t>
      </w:r>
      <w:r w:rsidR="00B27E05" w:rsidRPr="00B27E05">
        <w:t>Uredb</w:t>
      </w:r>
      <w:r w:rsidR="00B27E05">
        <w:t>om</w:t>
      </w:r>
      <w:r w:rsidR="00B27E05" w:rsidRPr="00B27E05">
        <w:t xml:space="preserve"> </w:t>
      </w:r>
      <w:r w:rsidR="00680E9B">
        <w:t>(</w:t>
      </w:r>
      <w:r w:rsidR="00B27E05" w:rsidRPr="00B27E05">
        <w:t>EU</w:t>
      </w:r>
      <w:r w:rsidR="00680E9B">
        <w:t>)</w:t>
      </w:r>
      <w:r w:rsidR="00B27E05" w:rsidRPr="00B27E05">
        <w:t>2020/1056 Europskog parlamenta i Vijeća</w:t>
      </w:r>
      <w:r w:rsidR="00680E9B">
        <w:t xml:space="preserve"> u pogledu izračuna vanjskih troškova i generiranja objedinjenih podataka.</w:t>
      </w:r>
    </w:p>
    <w:p w14:paraId="796110F0" w14:textId="77777777" w:rsidR="00FD6DC2" w:rsidRPr="00B47BDA" w:rsidRDefault="00FD6DC2" w:rsidP="00A563AA">
      <w:pPr>
        <w:pStyle w:val="ListParagraph"/>
        <w:numPr>
          <w:ilvl w:val="0"/>
          <w:numId w:val="84"/>
        </w:numPr>
      </w:pPr>
      <w:r w:rsidRPr="00B47BDA">
        <w:t xml:space="preserve">Zakonodavne prilagodbe za čišći promet kojima će se kroz izmjene i dopune zakona i podzakonskih akata osigurati razvoj infrastrukture za alternativna goriva, podizanje udjela obnovljivih izvora u neposrednoj potrošnji energije u prometu te promicanje čistih i energetski učinkovitih vozila u cestovnom prijevozu. </w:t>
      </w:r>
    </w:p>
    <w:p w14:paraId="1BD3BE67" w14:textId="62F6ECA2" w:rsidR="00FD6DC2" w:rsidRPr="00B47BDA" w:rsidRDefault="00FD6DC2" w:rsidP="004623DD">
      <w:pPr>
        <w:pStyle w:val="ListParagraph"/>
      </w:pPr>
      <w:r w:rsidRPr="63259912">
        <w:t>Hrvatska će u tom pogledu u potpunosti transponirati obveze iz Direktive o promicanju uporabe energije iz obnovljivih izvora koja je usvojena u prosincu 2018. godine, a isto tako i obveze koje će nastupiti usvajanjem Prijedloga Direktive Europskog parlamenta i Vijeća o izmjeni Direktive (EU) 2018/2001 o promicanju uporabe energije iz obnovljivih izvora. Bit</w:t>
      </w:r>
      <w:r w:rsidR="00041B6F" w:rsidRPr="63259912">
        <w:t>i</w:t>
      </w:r>
      <w:r w:rsidRPr="63259912">
        <w:t xml:space="preserve"> će potrebno ostvariti ambiciozni cilj u kontekstu obnovljivih izvora energije u sektoru prometa u 2030. godini te posebno stimulirati korištenje </w:t>
      </w:r>
      <w:r w:rsidR="00A56218" w:rsidRPr="63259912">
        <w:t>alternativnih oblika energije</w:t>
      </w:r>
      <w:r w:rsidRPr="63259912">
        <w:t xml:space="preserve"> u prometu</w:t>
      </w:r>
      <w:r w:rsidR="00A56218" w:rsidRPr="63259912">
        <w:t xml:space="preserve"> (električne energije, vodika</w:t>
      </w:r>
      <w:r w:rsidR="00D077AA" w:rsidRPr="63259912">
        <w:t>, biometana)</w:t>
      </w:r>
      <w:r w:rsidRPr="63259912">
        <w:t>. U tom vidu izmijenit će se Zakon o biogorivima za prijevoz (</w:t>
      </w:r>
      <w:r w:rsidR="00DC430D" w:rsidRPr="63259912">
        <w:t>„</w:t>
      </w:r>
      <w:r w:rsidR="00071A4F" w:rsidRPr="63259912">
        <w:t xml:space="preserve">Narodne </w:t>
      </w:r>
      <w:r w:rsidR="00A97AE7" w:rsidRPr="63259912">
        <w:t>novine</w:t>
      </w:r>
      <w:r w:rsidR="00DC430D" w:rsidRPr="63259912">
        <w:t>“</w:t>
      </w:r>
      <w:r w:rsidR="00071A4F" w:rsidRPr="63259912">
        <w:t>, br</w:t>
      </w:r>
      <w:r w:rsidR="00BF2B9A" w:rsidRPr="63259912">
        <w:t>.</w:t>
      </w:r>
      <w:r w:rsidRPr="63259912">
        <w:t xml:space="preserve"> 65/09</w:t>
      </w:r>
      <w:r w:rsidR="00DC430D" w:rsidRPr="63259912">
        <w:t>.</w:t>
      </w:r>
      <w:r w:rsidRPr="63259912">
        <w:t>, 145/10</w:t>
      </w:r>
      <w:r w:rsidR="00DC430D" w:rsidRPr="63259912">
        <w:t>.</w:t>
      </w:r>
      <w:r w:rsidRPr="63259912">
        <w:t>, 26</w:t>
      </w:r>
      <w:r w:rsidR="005B41DA" w:rsidRPr="63259912">
        <w:t>/11</w:t>
      </w:r>
      <w:r w:rsidR="00DC430D" w:rsidRPr="63259912">
        <w:t>.</w:t>
      </w:r>
      <w:r w:rsidRPr="63259912">
        <w:t>, 144</w:t>
      </w:r>
      <w:r w:rsidR="005B41DA" w:rsidRPr="63259912">
        <w:t>/12</w:t>
      </w:r>
      <w:r w:rsidR="00DC430D" w:rsidRPr="63259912">
        <w:t>.</w:t>
      </w:r>
      <w:r w:rsidRPr="63259912">
        <w:t>, 14</w:t>
      </w:r>
      <w:r w:rsidR="005B41DA" w:rsidRPr="63259912">
        <w:t>/14</w:t>
      </w:r>
      <w:r w:rsidR="00DC430D" w:rsidRPr="63259912">
        <w:t>.</w:t>
      </w:r>
      <w:r w:rsidRPr="63259912">
        <w:t>, 94</w:t>
      </w:r>
      <w:r w:rsidR="005B41DA" w:rsidRPr="63259912">
        <w:t>/18</w:t>
      </w:r>
      <w:r w:rsidR="00DC430D" w:rsidRPr="63259912">
        <w:t>.</w:t>
      </w:r>
      <w:r w:rsidRPr="63259912">
        <w:t>, 52</w:t>
      </w:r>
      <w:r w:rsidR="005B41DA" w:rsidRPr="63259912">
        <w:t>/21</w:t>
      </w:r>
      <w:r w:rsidR="00DC430D" w:rsidRPr="63259912">
        <w:t>.</w:t>
      </w:r>
      <w:r w:rsidRPr="63259912">
        <w:t>).</w:t>
      </w:r>
    </w:p>
    <w:p w14:paraId="253C2899" w14:textId="3615C56A" w:rsidR="00FD6DC2" w:rsidRPr="00B47BDA" w:rsidRDefault="1D49F788" w:rsidP="004623DD">
      <w:pPr>
        <w:pStyle w:val="ListParagraph"/>
      </w:pPr>
      <w:r w:rsidRPr="63259912">
        <w:t>Aktivnost predviđa i provođenje obveza definiranih Zakonom o gradnji (</w:t>
      </w:r>
      <w:r w:rsidR="00DC430D" w:rsidRPr="63259912">
        <w:t>„</w:t>
      </w:r>
      <w:r w:rsidR="00071A4F" w:rsidRPr="63259912">
        <w:t xml:space="preserve">Narodne </w:t>
      </w:r>
      <w:r w:rsidR="00A97AE7" w:rsidRPr="63259912">
        <w:t>novine</w:t>
      </w:r>
      <w:r w:rsidR="00DC430D" w:rsidRPr="63259912">
        <w:t>“</w:t>
      </w:r>
      <w:r w:rsidR="00071A4F" w:rsidRPr="63259912">
        <w:t>, br</w:t>
      </w:r>
      <w:r w:rsidR="00BF2B9A" w:rsidRPr="63259912">
        <w:t>.</w:t>
      </w:r>
      <w:r w:rsidRPr="63259912">
        <w:t xml:space="preserve"> 153</w:t>
      </w:r>
      <w:r w:rsidR="005B41DA" w:rsidRPr="63259912">
        <w:t>/13</w:t>
      </w:r>
      <w:r w:rsidR="00DC430D" w:rsidRPr="63259912">
        <w:t>.</w:t>
      </w:r>
      <w:r w:rsidRPr="63259912">
        <w:t>, 20</w:t>
      </w:r>
      <w:r w:rsidR="005B41DA" w:rsidRPr="63259912">
        <w:t>/17</w:t>
      </w:r>
      <w:r w:rsidR="00DC430D" w:rsidRPr="63259912">
        <w:t>.</w:t>
      </w:r>
      <w:r w:rsidRPr="63259912">
        <w:t>, 39</w:t>
      </w:r>
      <w:r w:rsidR="005B41DA" w:rsidRPr="63259912">
        <w:t>/19</w:t>
      </w:r>
      <w:r w:rsidR="00DC430D" w:rsidRPr="63259912">
        <w:t>.</w:t>
      </w:r>
      <w:r w:rsidRPr="63259912">
        <w:t>, 125</w:t>
      </w:r>
      <w:r w:rsidR="005B41DA" w:rsidRPr="63259912">
        <w:t>/19</w:t>
      </w:r>
      <w:r w:rsidR="00DC430D" w:rsidRPr="63259912">
        <w:t>.</w:t>
      </w:r>
      <w:r w:rsidRPr="63259912">
        <w:t>), u pogledu promicanja elektromobilnosti i uspostave infrastrukture za punjenje u zgradama te Zakona o uspostavi infrastrukture za alternativna goriva (</w:t>
      </w:r>
      <w:r w:rsidR="00DC430D" w:rsidRPr="63259912">
        <w:t>„</w:t>
      </w:r>
      <w:r w:rsidR="00071A4F" w:rsidRPr="63259912">
        <w:t xml:space="preserve">Narodne </w:t>
      </w:r>
      <w:r w:rsidR="00A97AE7" w:rsidRPr="63259912">
        <w:t>novine</w:t>
      </w:r>
      <w:r w:rsidR="00DC430D" w:rsidRPr="63259912">
        <w:t>“</w:t>
      </w:r>
      <w:r w:rsidR="00071A4F" w:rsidRPr="63259912">
        <w:t>, br</w:t>
      </w:r>
      <w:r w:rsidR="00BF2B9A" w:rsidRPr="63259912">
        <w:t>.</w:t>
      </w:r>
      <w:r w:rsidRPr="63259912">
        <w:t xml:space="preserve"> 120</w:t>
      </w:r>
      <w:r w:rsidR="005B41DA" w:rsidRPr="63259912">
        <w:t>/16</w:t>
      </w:r>
      <w:r w:rsidR="00DC430D" w:rsidRPr="63259912">
        <w:t>.</w:t>
      </w:r>
      <w:r w:rsidRPr="63259912">
        <w:t>, 63</w:t>
      </w:r>
      <w:r w:rsidR="005B41DA" w:rsidRPr="63259912">
        <w:t>/22</w:t>
      </w:r>
      <w:r w:rsidR="00DC430D" w:rsidRPr="63259912">
        <w:t>.</w:t>
      </w:r>
      <w:r w:rsidRPr="63259912">
        <w:t>), kojim se utvrđuje zajednički okvir mjera za uspostavljanje infrastrukture za alternativna goriva, kako bi se na najmanju moguću mjeru smanjila ovisnost o nafti te ublažio negativni utjecaj prometa na okoliš i kojim su utvrđeni minimalni zahtjevi za izgradnju infrastrukture za alternativna goriva, uključujući mjesta za punjenje.</w:t>
      </w:r>
    </w:p>
    <w:p w14:paraId="67494D69" w14:textId="7DDE0328" w:rsidR="00DF4CE2" w:rsidRPr="00B47BDA" w:rsidRDefault="00DF4CE2" w:rsidP="004623DD">
      <w:pPr>
        <w:pStyle w:val="ListParagraph"/>
      </w:pPr>
      <w:r>
        <w:t xml:space="preserve">Aktivnost </w:t>
      </w:r>
      <w:r w:rsidR="00F63DB7">
        <w:t xml:space="preserve">uključuje i </w:t>
      </w:r>
      <w:r w:rsidR="00126094" w:rsidRPr="00126094">
        <w:t>prov</w:t>
      </w:r>
      <w:r w:rsidR="00126094">
        <w:t>ođenje</w:t>
      </w:r>
      <w:r w:rsidR="00126094" w:rsidRPr="00126094">
        <w:t xml:space="preserve"> analize </w:t>
      </w:r>
      <w:r w:rsidR="00E7776E">
        <w:t>postojećeg</w:t>
      </w:r>
      <w:r w:rsidR="00126094" w:rsidRPr="00126094">
        <w:t xml:space="preserve"> tarifnog sustava </w:t>
      </w:r>
      <w:r w:rsidR="00E7776E">
        <w:t xml:space="preserve">te </w:t>
      </w:r>
      <w:r w:rsidR="00126094" w:rsidRPr="00126094">
        <w:t>ispitivanj</w:t>
      </w:r>
      <w:r w:rsidR="00E7776E">
        <w:t>a</w:t>
      </w:r>
      <w:r w:rsidR="00126094" w:rsidRPr="00126094">
        <w:t xml:space="preserve"> mogućnosti uvođenja novih tarifnih modela </w:t>
      </w:r>
      <w:r w:rsidR="00E7776E">
        <w:t>iskl</w:t>
      </w:r>
      <w:r w:rsidR="00885827">
        <w:t>jučivo</w:t>
      </w:r>
      <w:r w:rsidR="00126094" w:rsidRPr="00126094">
        <w:t xml:space="preserve"> za e</w:t>
      </w:r>
      <w:r w:rsidR="00885827">
        <w:t>lektričnu</w:t>
      </w:r>
      <w:r w:rsidR="00126094" w:rsidRPr="00126094">
        <w:t xml:space="preserve"> mobilnost. Ključna odrednica novog tarifnog modela treba biti omogućavanje komercijalizacije infrastrukture za punjenje električnih vozila u ranoj fazi razvoja e-mobilnosti kada je na tržištu prisutan </w:t>
      </w:r>
      <w:r w:rsidR="00885827">
        <w:t xml:space="preserve">relativno </w:t>
      </w:r>
      <w:r w:rsidR="00126094" w:rsidRPr="00126094">
        <w:t>mali broj korisnika električnih vozila.</w:t>
      </w:r>
    </w:p>
    <w:p w14:paraId="0FEE2B62" w14:textId="202881E7" w:rsidR="00FD6DC2" w:rsidRPr="00B47BDA" w:rsidRDefault="00FD6DC2" w:rsidP="00A563AA">
      <w:pPr>
        <w:pStyle w:val="ListParagraph"/>
        <w:numPr>
          <w:ilvl w:val="0"/>
          <w:numId w:val="84"/>
        </w:numPr>
      </w:pPr>
      <w:r w:rsidRPr="00B47BDA">
        <w:lastRenderedPageBreak/>
        <w:t xml:space="preserve">Promicanje javne nabave čistih vozila u cestovnom prijevozu sukladno Zakonu o promicanju čistih vozila u cestovnom prijevozu </w:t>
      </w:r>
      <w:r w:rsidR="00EB08F1">
        <w:t xml:space="preserve">(„Narodne novine“, br. </w:t>
      </w:r>
      <w:r w:rsidRPr="00B47BDA">
        <w:t>52</w:t>
      </w:r>
      <w:r w:rsidR="005B41DA">
        <w:t>/21</w:t>
      </w:r>
      <w:r w:rsidR="004975F6">
        <w:t>.</w:t>
      </w:r>
      <w:r w:rsidRPr="00B47BDA">
        <w:t>). Ovim se Zakonom utvrđuju obveze javnih naručitelja i naručitelja da pri javnoj nabavi određenih vozila za cestovni prijevoz radi promicanja i poticanja tržišta za čista i energetski učinkovita vozila i povećanja doprinosa prometnog sektora politikama Unije koje se odnose na zaštitu okoliša, klimu i energetiku u obzir uzmu energetske učinke i učinke na okoliš za trajanja cijelog radnog vijeka vozila, uključujući potrošnju energije te emisije CO</w:t>
      </w:r>
      <w:r w:rsidRPr="00B47BDA">
        <w:rPr>
          <w:vertAlign w:val="subscript"/>
        </w:rPr>
        <w:t>2</w:t>
      </w:r>
      <w:r w:rsidRPr="00B47BDA">
        <w:t xml:space="preserve"> i emisije određenih onečišćujućih tvari. Temeljem predmetnog zakona usvojen je Pravilnik o obvezi izvješćivanja Europskoj komisiji i minimalnim ciljevima u postupcima javne nabave vozila za cestovni prijevoz (</w:t>
      </w:r>
      <w:r w:rsidR="007402A3">
        <w:t>„</w:t>
      </w:r>
      <w:r w:rsidR="00071A4F" w:rsidRPr="00071A4F">
        <w:t xml:space="preserve">Narodne </w:t>
      </w:r>
      <w:r w:rsidR="00A97AE7">
        <w:t>novine</w:t>
      </w:r>
      <w:r w:rsidR="007402A3">
        <w:t>“</w:t>
      </w:r>
      <w:r w:rsidR="00071A4F" w:rsidRPr="00071A4F">
        <w:t xml:space="preserve">, </w:t>
      </w:r>
      <w:r w:rsidR="0024195A">
        <w:t>br</w:t>
      </w:r>
      <w:r w:rsidR="007402A3">
        <w:t>.</w:t>
      </w:r>
      <w:r w:rsidRPr="00B47BDA">
        <w:t xml:space="preserve"> 86/21</w:t>
      </w:r>
      <w:r w:rsidR="007402A3">
        <w:t>.</w:t>
      </w:r>
      <w:r w:rsidRPr="00B47BDA">
        <w:t>) koji definira minimalni ciljevi javne nabave za udio čistih lakih i teških vozila.</w:t>
      </w:r>
    </w:p>
    <w:p w14:paraId="73DAAF42" w14:textId="0F266117" w:rsidR="00FD6DC2" w:rsidRPr="00B47BDA" w:rsidRDefault="00FD6DC2" w:rsidP="004623DD">
      <w:r w:rsidRPr="00B47BDA">
        <w:rPr>
          <w:b/>
        </w:rPr>
        <w:t xml:space="preserve">Sredstva potrebna za provedbu: </w:t>
      </w:r>
      <w:r w:rsidRPr="00B47BDA">
        <w:t>Financijska sredstva za provedbu ovih aktivnosti planiraju nadležna ministarstva u okviru svojih godišnjih proračuna, kao sastavni dio svojih redovnih aktivnosti.</w:t>
      </w:r>
    </w:p>
    <w:p w14:paraId="5322F175" w14:textId="564CA63F" w:rsidR="00FD6DC2" w:rsidRPr="00B47BDA" w:rsidRDefault="00FD6DC2" w:rsidP="004623DD">
      <w:r w:rsidRPr="00B47BDA">
        <w:rPr>
          <w:b/>
        </w:rPr>
        <w:t>Izvori financiranja</w:t>
      </w:r>
      <w:r w:rsidRPr="00B47BDA">
        <w:t>: Državni proračun</w:t>
      </w:r>
    </w:p>
    <w:p w14:paraId="5A05E963" w14:textId="2B68481A" w:rsidR="00FD6DC2" w:rsidRPr="00B47BDA" w:rsidRDefault="00FD6DC2" w:rsidP="004623DD">
      <w:r w:rsidRPr="00B47BDA">
        <w:rPr>
          <w:b/>
        </w:rPr>
        <w:t>Izvršna tijela:</w:t>
      </w:r>
      <w:r w:rsidRPr="00B47BDA">
        <w:t xml:space="preserve"> MINGO, MMPI, MUP, MPGI, FZOEU</w:t>
      </w:r>
      <w:r w:rsidR="00390608">
        <w:t>, HERA</w:t>
      </w:r>
    </w:p>
    <w:p w14:paraId="7691C9D4" w14:textId="692F2254" w:rsidR="00FD6DC2" w:rsidRPr="00B47BDA" w:rsidRDefault="00FD6DC2" w:rsidP="004623DD">
      <w:r w:rsidRPr="00B47BDA">
        <w:rPr>
          <w:b/>
        </w:rPr>
        <w:t xml:space="preserve">Tijela za praćenje: </w:t>
      </w:r>
      <w:r w:rsidRPr="00B47BDA">
        <w:t>MINGO, MMPI, tijelo državne uprave nadležno za politiku javne nabave, MPGI</w:t>
      </w:r>
    </w:p>
    <w:p w14:paraId="4DCC369C" w14:textId="0F266117" w:rsidR="00FD6DC2" w:rsidRPr="00B47BDA" w:rsidRDefault="00FD6DC2" w:rsidP="004623DD">
      <w:pPr>
        <w:pStyle w:val="NormalWeb"/>
        <w:rPr>
          <w:highlight w:val="yellow"/>
        </w:rPr>
      </w:pPr>
      <w:r w:rsidRPr="00B47BDA">
        <w:rPr>
          <w:b/>
        </w:rPr>
        <w:t xml:space="preserve">Učinak: </w:t>
      </w:r>
      <w:r w:rsidRPr="00B47BDA">
        <w:t>Ušteda energije, smanjenje emisije CO</w:t>
      </w:r>
      <w:r w:rsidRPr="00B47BDA">
        <w:rPr>
          <w:vertAlign w:val="subscript"/>
        </w:rPr>
        <w:t>2</w:t>
      </w:r>
      <w:r w:rsidRPr="00B47BDA">
        <w:t>, smanjenje emisija onečišćujućih tvari, ubrzanje razvoja tržišta alternativnih energenata, povećanje udjela OIE u neposrednoj potrošnji energije u prometu te povećanje udjela vozila s pogonom na alternativne izvore energije u cestovnom prijevozu.</w:t>
      </w:r>
    </w:p>
    <w:p w14:paraId="7E1968BA" w14:textId="0F266117" w:rsidR="00FD6DC2" w:rsidRPr="00B47BDA" w:rsidRDefault="00FD6DC2" w:rsidP="004623DD">
      <w:r w:rsidRPr="00B47BDA">
        <w:rPr>
          <w:b/>
        </w:rPr>
        <w:t>Metoda praćenja:</w:t>
      </w:r>
      <w:r w:rsidRPr="00B47BDA">
        <w:t xml:space="preserve"> Registar vozila, izvješća o ostvarenim putničkim i tonskim kilometrima bilanca neposredne potrošnje energije, verificirana izvješća o emisijama stakleničkih plinova u životnom vijeku goriva, dokumentacija o provedenim postupcima javne nabave.</w:t>
      </w:r>
    </w:p>
    <w:p w14:paraId="679B744C" w14:textId="0F266117" w:rsidR="00FD6DC2" w:rsidRPr="00B47BDA" w:rsidRDefault="00FD6DC2" w:rsidP="004623DD">
      <w:r w:rsidRPr="00B47BDA">
        <w:rPr>
          <w:b/>
        </w:rPr>
        <w:t xml:space="preserve">Pokazatelj provedbe mjere (indikator): </w:t>
      </w:r>
      <w:r w:rsidRPr="00B47BDA">
        <w:t>Udio registriranih vozila s pogonom na alternativne izvore energije, udjeli putničkih i tonskih kilometara ostvarenih u pojedinoj vrsti prometa, udjeli obnovljivih izvora energije u neposrednoj potrošnji energije, smanjenje emisija stakleničkih plinova, udio čistih lakih i teških vozila a u ukupnom broju vozila obuhvaćenih ugovorima javne nabave.</w:t>
      </w:r>
    </w:p>
    <w:p w14:paraId="3661624D" w14:textId="0F266117" w:rsidR="00FD6DC2" w:rsidRPr="00B47BDA" w:rsidRDefault="00FD6DC2" w:rsidP="004623DD">
      <w:pPr>
        <w:pStyle w:val="NormalWeb"/>
      </w:pPr>
      <w:r w:rsidRPr="00B47BDA">
        <w:rPr>
          <w:b/>
        </w:rPr>
        <w:t xml:space="preserve">Povezanost s drugim dimenzijama: </w:t>
      </w:r>
      <w:r w:rsidRPr="00B47BDA">
        <w:t>Izravna povezanost s dimenzijom energetske učinkovitosti (aktivnostima se djeluje na tržište na način da se isto usmjerava prema energetski učinkovitijim vozilima).</w:t>
      </w:r>
    </w:p>
    <w:p w14:paraId="51E336FF" w14:textId="2718E525" w:rsidR="00FD6DC2" w:rsidRPr="002509D6" w:rsidRDefault="00FD6DC2" w:rsidP="002509D6">
      <w:pPr>
        <w:rPr>
          <w:rFonts w:eastAsia="Calibri"/>
        </w:rPr>
      </w:pPr>
      <w:r w:rsidRPr="00B47BDA">
        <w:rPr>
          <w:rFonts w:eastAsia="Calibri"/>
          <w:b/>
        </w:rPr>
        <w:t xml:space="preserve">Istraživanje i razvoj: </w:t>
      </w:r>
      <w:r w:rsidRPr="00B47BDA">
        <w:rPr>
          <w:rFonts w:eastAsia="Calibri"/>
        </w:rPr>
        <w:t>Održiva mobilnost i alternativna goriva u prijevozu zahtijevaju razvoj novih tehnologija i to u domeni vozila, infrastrukture i naprednih sustava upravljanja temeljenim na informacijsko-komunikacijskim tehnologijama.</w:t>
      </w:r>
    </w:p>
    <w:p w14:paraId="14C1A304" w14:textId="09FC0D4E" w:rsidR="00FD6DC2" w:rsidRPr="00B47BDA" w:rsidRDefault="00FD6DC2" w:rsidP="00EE67E0">
      <w:pPr>
        <w:pStyle w:val="Mjeranaslov"/>
      </w:pPr>
      <w:r w:rsidRPr="00B47BDA">
        <w:t>TR-2 Program sufinanciranja kupnje novih vozila na alternativna goriva i razvoja infrastrukture za alternativna goriva u cestovnom prometu</w:t>
      </w:r>
    </w:p>
    <w:p w14:paraId="76D9B770" w14:textId="77777777" w:rsidR="00E525F5" w:rsidRPr="00B47BDA" w:rsidRDefault="00E525F5" w:rsidP="004623DD">
      <w:pPr>
        <w:pStyle w:val="NormalWeb"/>
      </w:pPr>
      <w:r w:rsidRPr="00B47BDA">
        <w:lastRenderedPageBreak/>
        <w:t>Financijska mjera; provedba 2021. - 2030.</w:t>
      </w:r>
    </w:p>
    <w:p w14:paraId="73A3806A" w14:textId="397E4565" w:rsidR="006F7B5C" w:rsidRPr="009B5E68" w:rsidRDefault="00E525F5" w:rsidP="006F7B5C">
      <w:pPr>
        <w:spacing w:after="160" w:line="257" w:lineRule="auto"/>
        <w:rPr>
          <w:rFonts w:eastAsia="Times New Roman" w:cs="Calibri"/>
        </w:rPr>
      </w:pPr>
      <w:r w:rsidRPr="00B47BDA">
        <w:rPr>
          <w:b/>
        </w:rPr>
        <w:t>Cilj i opis mjere:</w:t>
      </w:r>
      <w:r w:rsidRPr="00B47BDA">
        <w:t xml:space="preserve"> U kontekstu sufinanciranja projekata čišćeg prometa, definirat će se posebne linije sufinanciranja za specifične namjene i to za kupnju vozila svih kategorija s pogonom na alternativne izvore energije. Poticajne mjere sufinanciranja nabave vozila provodit će se konzistentno, transparentno i kontinuirano</w:t>
      </w:r>
      <w:r w:rsidR="004C4977" w:rsidRPr="009B5E68">
        <w:t xml:space="preserve">. </w:t>
      </w:r>
      <w:r w:rsidR="006F7B5C" w:rsidRPr="009B5E68">
        <w:rPr>
          <w:rFonts w:eastAsia="Times New Roman" w:cs="Calibri"/>
        </w:rPr>
        <w:t xml:space="preserve">Jedna od aktivnosti biti će razrada financijskih instrumenata kao što je subvencija kamata koja se temelji na subvencioniranju troškova financiranja po kreditnim programima te </w:t>
      </w:r>
      <w:r w:rsidR="00277122" w:rsidRPr="009B5E68">
        <w:rPr>
          <w:rFonts w:eastAsia="Times New Roman" w:cs="Calibri"/>
        </w:rPr>
        <w:t>osiguranje</w:t>
      </w:r>
      <w:r w:rsidR="006F7B5C" w:rsidRPr="009B5E68">
        <w:rPr>
          <w:rFonts w:eastAsia="Times New Roman" w:cs="Calibri"/>
        </w:rPr>
        <w:t xml:space="preserve"> povoljnijih uvjeta financiranja ciljanih projekata ulaganja u nova vozila s nultom emisijom CO</w:t>
      </w:r>
      <w:r w:rsidR="006F7B5C" w:rsidRPr="009B5E68">
        <w:rPr>
          <w:rFonts w:eastAsia="Times New Roman" w:cs="Calibri"/>
          <w:vertAlign w:val="subscript"/>
        </w:rPr>
        <w:t>2</w:t>
      </w:r>
      <w:r w:rsidR="006F7B5C" w:rsidRPr="009B5E68">
        <w:rPr>
          <w:rFonts w:eastAsia="Times New Roman" w:cs="Calibri"/>
        </w:rPr>
        <w:t>.</w:t>
      </w:r>
    </w:p>
    <w:p w14:paraId="62825E4A" w14:textId="77777777" w:rsidR="006F7B5C" w:rsidRPr="009B5E68" w:rsidRDefault="006F7B5C" w:rsidP="63259912">
      <w:pPr>
        <w:spacing w:after="160" w:line="257" w:lineRule="auto"/>
        <w:rPr>
          <w:rFonts w:asciiTheme="minorHAnsi" w:hAnsiTheme="minorHAnsi" w:cs="Arial"/>
        </w:rPr>
      </w:pPr>
      <w:r w:rsidRPr="63259912">
        <w:rPr>
          <w:rFonts w:asciiTheme="minorHAnsi" w:hAnsiTheme="minorHAnsi" w:cs="Arial"/>
        </w:rPr>
        <w:t>Provedba ovakvog financijskog instrumenta subvencije kamata provoditi će se putem Hrvatske banke za obnovu i razvoj (HBOR), a temelji se na provedbi redovnih kreditnih programa HBOR-a koji se provode izravno ili u suradnji s poslovnim bankama, odnosno okvirnih kredita bankama i leasing društvima za financiranje njihovih prihvatljivih klijenata i projekata, čime se ostvaruje ''</w:t>
      </w:r>
      <w:r w:rsidRPr="63259912">
        <w:rPr>
          <w:rFonts w:asciiTheme="minorHAnsi" w:hAnsiTheme="minorHAnsi" w:cs="Arial"/>
          <w:i/>
          <w:iCs/>
        </w:rPr>
        <w:t>crowding in private sector</w:t>
      </w:r>
      <w:r w:rsidRPr="63259912">
        <w:rPr>
          <w:rFonts w:asciiTheme="minorHAnsi" w:hAnsiTheme="minorHAnsi" w:cs="Arial"/>
        </w:rPr>
        <w:t xml:space="preserve">'' efekt. Mjera će biti usmjerena na poslovne subjekte i zamjenu njihovih postojećih flota vozila. </w:t>
      </w:r>
    </w:p>
    <w:p w14:paraId="195F362E" w14:textId="5148CE2E" w:rsidR="00E525F5" w:rsidRPr="00B47BDA" w:rsidRDefault="006F7B5C" w:rsidP="006F7B5C">
      <w:pPr>
        <w:pStyle w:val="NormalWeb"/>
      </w:pPr>
      <w:r w:rsidRPr="009B5E68">
        <w:rPr>
          <w:rFonts w:eastAsia="Times New Roman" w:cs="Calibri"/>
        </w:rPr>
        <w:t>Ove aktivnosti će prvenstveno biti orijentirane na alternativna goriva za koja je procjena postojećeg stanja pokazala neznatnu zastupljenost vozila u ukupnom broju vozila,</w:t>
      </w:r>
      <w:r w:rsidR="00E525F5" w:rsidRPr="00B47BDA">
        <w:t xml:space="preserve"> te će biti vremenski ograničene do trenutka kad praćenje stanja pokaže minimalnu zastupljenost vozila. Minimalnim stupnjem pokrenutosti tržišta definirat će se revizijom Nacionalnog okvira politike za uspostavu infrastrukture i razvoj tržišta alternativnih goriva u prometu </w:t>
      </w:r>
      <w:r w:rsidR="002F0460">
        <w:t>(NOP)</w:t>
      </w:r>
      <w:r w:rsidR="00E525F5" w:rsidRPr="00B47BDA">
        <w:t xml:space="preserve"> </w:t>
      </w:r>
      <w:r w:rsidR="00E525F5" w:rsidRPr="00073021">
        <w:t>do 1. siječnja 202</w:t>
      </w:r>
      <w:r w:rsidR="004E346B" w:rsidRPr="009F66A6">
        <w:t>5</w:t>
      </w:r>
      <w:r w:rsidR="00E525F5" w:rsidRPr="00073021">
        <w:t>. godine.</w:t>
      </w:r>
      <w:r w:rsidR="00E525F5" w:rsidRPr="00B47BDA">
        <w:t xml:space="preserve"> </w:t>
      </w:r>
      <w:r w:rsidR="00953F3C">
        <w:t xml:space="preserve">Revizijom NOP-a </w:t>
      </w:r>
      <w:r w:rsidR="0091464E" w:rsidRPr="0091464E">
        <w:t>utvr</w:t>
      </w:r>
      <w:r w:rsidR="0091464E">
        <w:t>dit će se</w:t>
      </w:r>
      <w:r w:rsidR="0091464E" w:rsidRPr="0091464E">
        <w:t xml:space="preserve"> obvezni nacionalni ciljevi koji vode do uvođenja dostatne infrastrukture za alternativna goriva</w:t>
      </w:r>
      <w:r w:rsidR="000B16DF">
        <w:t xml:space="preserve"> shodno </w:t>
      </w:r>
      <w:r w:rsidR="00C80EFD" w:rsidRPr="00C80EFD">
        <w:t>Uredb</w:t>
      </w:r>
      <w:r w:rsidR="00C80EFD">
        <w:t>i</w:t>
      </w:r>
      <w:r w:rsidR="00C80EFD" w:rsidRPr="00C80EFD">
        <w:t xml:space="preserve"> (EU) 2023/1804 Europskog parlamenta i Vijeća od 13. rujna 2023. o uvođenju infrastrukture za alternativna goriva</w:t>
      </w:r>
      <w:r w:rsidR="00C80EFD">
        <w:t>.</w:t>
      </w:r>
    </w:p>
    <w:p w14:paraId="74AE4B2A" w14:textId="77777777" w:rsidR="00E525F5" w:rsidRPr="00B47BDA" w:rsidRDefault="00E525F5" w:rsidP="004623DD">
      <w:pPr>
        <w:pStyle w:val="NormalWeb"/>
      </w:pPr>
      <w:r w:rsidRPr="00B47BDA">
        <w:t xml:space="preserve">Kako bi se ostvarila odgovarajuća modalna integracija hrvatskih prometnih tokova s prometnom mrežom Europske unije, Republika Hrvatska dužna je provesti aktivnosti koje će rezultirati izgradnjom infrastrukture za alternativna goriva na transeuropskoj prometnoj mreži koja se geografski nalazi na području RH. U tom vidu, RH je dužna provesti inicijativu tranzicije prema korištenju alternativnih izvora energije u sektoru prometa, na način da potiče izgradnju javno dostupne infrastrukture za alternativna goriva. Donošenjem i provođenjem </w:t>
      </w:r>
      <w:r w:rsidRPr="00B47BDA">
        <w:rPr>
          <w:i/>
        </w:rPr>
        <w:t>Programa poticanja izgradnje infrastrukture za alternativna goriva u Republici Hrvatskoj</w:t>
      </w:r>
      <w:r w:rsidRPr="00B47BDA">
        <w:t>, RH će nastojati osigurati dostatnu infrastrukturu za opskrbu alternativnim gorivima lakih i teških vozila za cestovni prijevoz.</w:t>
      </w:r>
    </w:p>
    <w:p w14:paraId="1C9A1744" w14:textId="77777777" w:rsidR="00FD6DC2" w:rsidRPr="00B47BDA" w:rsidRDefault="00FD6DC2" w:rsidP="004623DD">
      <w:pPr>
        <w:pStyle w:val="NormalWeb"/>
      </w:pPr>
      <w:r w:rsidRPr="00B47BDA">
        <w:rPr>
          <w:b/>
        </w:rPr>
        <w:t>Aktivnosti:</w:t>
      </w:r>
      <w:r w:rsidRPr="00B47BDA">
        <w:t xml:space="preserve"> Mjera obuhvaća sljedeće aktivnosti:</w:t>
      </w:r>
    </w:p>
    <w:p w14:paraId="0B725A1A" w14:textId="0614A6A9" w:rsidR="00E525F5" w:rsidRPr="00B47BDA" w:rsidRDefault="00E525F5" w:rsidP="009835CE">
      <w:pPr>
        <w:pStyle w:val="ListParagraph"/>
        <w:numPr>
          <w:ilvl w:val="0"/>
          <w:numId w:val="84"/>
        </w:numPr>
        <w:spacing w:after="60"/>
        <w:ind w:left="714" w:hanging="357"/>
      </w:pPr>
      <w:r w:rsidRPr="00B47BDA">
        <w:t>Provođenje aktivnosti sufinanciranja energetski učinkovitih vozila s niskom razinom emisije stakleničkih plinova putem javnih poziva</w:t>
      </w:r>
      <w:r w:rsidR="00026F91">
        <w:t>;</w:t>
      </w:r>
    </w:p>
    <w:p w14:paraId="3CF7430E" w14:textId="2C026F59" w:rsidR="00E525F5" w:rsidRPr="00B47BDA" w:rsidRDefault="00E525F5" w:rsidP="009835CE">
      <w:pPr>
        <w:pStyle w:val="ListParagraph"/>
        <w:numPr>
          <w:ilvl w:val="0"/>
          <w:numId w:val="84"/>
        </w:numPr>
        <w:spacing w:after="60"/>
        <w:ind w:left="714" w:hanging="357"/>
      </w:pPr>
      <w:r w:rsidRPr="00B47BDA">
        <w:t>Provođenje aktivnosti sufinanciranja infrastrukture za opskrbu alternativnim gorivima putem javnih poziva</w:t>
      </w:r>
      <w:r w:rsidR="00026F91">
        <w:t>;</w:t>
      </w:r>
    </w:p>
    <w:p w14:paraId="74D43EFC" w14:textId="0F266117" w:rsidR="00E525F5" w:rsidRPr="00B47BDA" w:rsidRDefault="00E525F5" w:rsidP="009835CE">
      <w:pPr>
        <w:pStyle w:val="ListParagraph"/>
        <w:numPr>
          <w:ilvl w:val="0"/>
          <w:numId w:val="84"/>
        </w:numPr>
        <w:spacing w:after="60"/>
        <w:ind w:left="714" w:hanging="357"/>
      </w:pPr>
      <w:r w:rsidRPr="00B47BDA">
        <w:t>Uspostava centralnog registra infrastrukture za alternativna goriva koji će olakšati korisničko iskustvo vozačima te u konačnici omogućiti realan uvid u potrošnju energije za analitičke potrebe.</w:t>
      </w:r>
    </w:p>
    <w:p w14:paraId="197176F0" w14:textId="77777777" w:rsidR="00FD6DC2" w:rsidRPr="00EE67E0" w:rsidRDefault="00FD6DC2" w:rsidP="004623DD">
      <w:pPr>
        <w:rPr>
          <w:b/>
          <w:bCs/>
        </w:rPr>
      </w:pPr>
      <w:r w:rsidRPr="00EE67E0">
        <w:rPr>
          <w:b/>
          <w:bCs/>
        </w:rPr>
        <w:lastRenderedPageBreak/>
        <w:t xml:space="preserve">Sredstva potrebna za provedbu: </w:t>
      </w:r>
    </w:p>
    <w:p w14:paraId="20E517A1" w14:textId="60FFE78A" w:rsidR="00E525F5" w:rsidRPr="00B47BDA" w:rsidRDefault="00482274" w:rsidP="00A563AA">
      <w:pPr>
        <w:pStyle w:val="ListParagraph"/>
        <w:numPr>
          <w:ilvl w:val="0"/>
          <w:numId w:val="110"/>
        </w:numPr>
      </w:pPr>
      <w:r w:rsidRPr="00B47BDA">
        <w:t>1</w:t>
      </w:r>
      <w:r>
        <w:t>20</w:t>
      </w:r>
      <w:r w:rsidR="00E525F5" w:rsidRPr="00B47BDA">
        <w:t>,</w:t>
      </w:r>
      <w:r>
        <w:t>8</w:t>
      </w:r>
      <w:r w:rsidR="00E525F5" w:rsidRPr="00B47BDA">
        <w:t xml:space="preserve"> milijuna EUR za izgradnju infrastrukture za opskrbu alternativnim gorivima</w:t>
      </w:r>
      <w:r w:rsidR="007A60AE">
        <w:t>,</w:t>
      </w:r>
    </w:p>
    <w:p w14:paraId="0FC83051" w14:textId="1C76BD5A" w:rsidR="00E525F5" w:rsidRPr="00B47BDA" w:rsidRDefault="00E525F5" w:rsidP="00A563AA">
      <w:pPr>
        <w:pStyle w:val="ListParagraph"/>
        <w:numPr>
          <w:ilvl w:val="0"/>
          <w:numId w:val="110"/>
        </w:numPr>
      </w:pPr>
      <w:r w:rsidRPr="00B47BDA">
        <w:t>319,5 milijuna EUR za energetski učinkovitih vozila s niskom razinom emisije stakleničkih plinova</w:t>
      </w:r>
      <w:r w:rsidR="007A60AE">
        <w:t>.</w:t>
      </w:r>
    </w:p>
    <w:p w14:paraId="22EA39D7" w14:textId="639F62C3" w:rsidR="00E525F5" w:rsidRPr="00B47BDA" w:rsidRDefault="00E525F5" w:rsidP="004623DD">
      <w:r w:rsidRPr="63259912">
        <w:rPr>
          <w:b/>
          <w:bCs/>
        </w:rPr>
        <w:t xml:space="preserve">Izvori financiranja: </w:t>
      </w:r>
      <w:r w:rsidR="009767A6" w:rsidRPr="63259912">
        <w:t xml:space="preserve">Nacionalni plan oporavka i otpornosti (53,2 </w:t>
      </w:r>
      <w:r w:rsidR="00BD4065" w:rsidRPr="63259912">
        <w:t>milijuna EUR),</w:t>
      </w:r>
      <w:r w:rsidR="009767A6" w:rsidRPr="63259912">
        <w:t xml:space="preserve"> </w:t>
      </w:r>
      <w:r w:rsidR="00DC38EA" w:rsidRPr="63259912">
        <w:t>prihodi od prodaje emisijskih jedinica iz EU ETS-a</w:t>
      </w:r>
      <w:r w:rsidRPr="63259912">
        <w:t>, iz sredstava prikupljenih od posebne naknade za vozila te od posebne naknade za okoliš radi nestavljanja biogoriva na tržište,</w:t>
      </w:r>
      <w:r w:rsidR="00BD4065" w:rsidRPr="63259912">
        <w:t xml:space="preserve"> </w:t>
      </w:r>
      <w:r w:rsidRPr="63259912">
        <w:t>Instrument za povezivanje Europe - Connecting Europe Facility, Europski fond za regionalni razvoj, Kohezijski fond, InvestEU, Inovacijski fond, Modernizacijski fond.</w:t>
      </w:r>
    </w:p>
    <w:p w14:paraId="07572BFF" w14:textId="77750126" w:rsidR="00E525F5" w:rsidRPr="00B47BDA" w:rsidRDefault="00E525F5" w:rsidP="004623DD">
      <w:r w:rsidRPr="00B47BDA">
        <w:rPr>
          <w:b/>
        </w:rPr>
        <w:t>Izvršn</w:t>
      </w:r>
      <w:r w:rsidR="009A4215" w:rsidRPr="00B47BDA">
        <w:rPr>
          <w:b/>
        </w:rPr>
        <w:t>a</w:t>
      </w:r>
      <w:r w:rsidRPr="00B47BDA">
        <w:rPr>
          <w:b/>
        </w:rPr>
        <w:t> tijel</w:t>
      </w:r>
      <w:r w:rsidR="009A4215" w:rsidRPr="00B47BDA">
        <w:rPr>
          <w:b/>
        </w:rPr>
        <w:t>a</w:t>
      </w:r>
      <w:r w:rsidRPr="00B47BDA">
        <w:rPr>
          <w:b/>
        </w:rPr>
        <w:t>:</w:t>
      </w:r>
      <w:r w:rsidRPr="00B47BDA">
        <w:t xml:space="preserve"> MINGO, MMPI</w:t>
      </w:r>
      <w:r w:rsidR="00A4333D" w:rsidRPr="00B47BDA">
        <w:t>, FZOEU</w:t>
      </w:r>
    </w:p>
    <w:p w14:paraId="3E50D126" w14:textId="5044DA50" w:rsidR="00E525F5" w:rsidRPr="00EE67E0" w:rsidRDefault="00E525F5" w:rsidP="004623DD">
      <w:pPr>
        <w:rPr>
          <w:b/>
          <w:bCs/>
        </w:rPr>
      </w:pPr>
      <w:r w:rsidRPr="00EE67E0">
        <w:rPr>
          <w:b/>
          <w:bCs/>
        </w:rPr>
        <w:t>Tijel</w:t>
      </w:r>
      <w:r w:rsidR="009A4215" w:rsidRPr="00EE67E0">
        <w:rPr>
          <w:b/>
          <w:bCs/>
        </w:rPr>
        <w:t>o</w:t>
      </w:r>
      <w:r w:rsidRPr="00EE67E0">
        <w:rPr>
          <w:b/>
          <w:bCs/>
        </w:rPr>
        <w:t xml:space="preserve"> za praćenje: </w:t>
      </w:r>
      <w:r w:rsidRPr="00ED5171">
        <w:t>MINGO</w:t>
      </w:r>
    </w:p>
    <w:p w14:paraId="4764B909" w14:textId="77777777" w:rsidR="00FD6DC2" w:rsidRPr="00EE67E0" w:rsidRDefault="00FD6DC2" w:rsidP="004623DD">
      <w:pPr>
        <w:rPr>
          <w:b/>
          <w:bCs/>
        </w:rPr>
      </w:pPr>
      <w:r w:rsidRPr="00EE67E0">
        <w:rPr>
          <w:b/>
          <w:bCs/>
        </w:rPr>
        <w:t xml:space="preserve">Učinak: </w:t>
      </w:r>
    </w:p>
    <w:p w14:paraId="01114BD8" w14:textId="77777777" w:rsidR="00E525F5" w:rsidRPr="00B47BDA" w:rsidRDefault="00E525F5" w:rsidP="009F66A6">
      <w:pPr>
        <w:pStyle w:val="ListParagraph"/>
        <w:numPr>
          <w:ilvl w:val="0"/>
          <w:numId w:val="109"/>
        </w:numPr>
        <w:spacing w:after="60"/>
        <w:ind w:left="714" w:hanging="357"/>
      </w:pPr>
      <w:r w:rsidRPr="00B47BDA">
        <w:t>povećanje broja mjesta za opskrbu lakih vozila električnom energijom u rezidencijalnim područjima,</w:t>
      </w:r>
    </w:p>
    <w:p w14:paraId="0F974542" w14:textId="77777777" w:rsidR="00E525F5" w:rsidRPr="00B47BDA" w:rsidRDefault="00E525F5" w:rsidP="009F66A6">
      <w:pPr>
        <w:pStyle w:val="ListParagraph"/>
        <w:numPr>
          <w:ilvl w:val="0"/>
          <w:numId w:val="109"/>
        </w:numPr>
        <w:spacing w:after="60"/>
        <w:ind w:left="714" w:hanging="357"/>
      </w:pPr>
      <w:r w:rsidRPr="00B47BDA">
        <w:t>povećanje instalirane snage za opskrbu lakih vozila električnom energijom duž osnovne i sveobuhvatne TEN-T mreže,</w:t>
      </w:r>
    </w:p>
    <w:p w14:paraId="3948B9C3" w14:textId="77777777" w:rsidR="00E525F5" w:rsidRPr="00B47BDA" w:rsidRDefault="00E525F5" w:rsidP="009F66A6">
      <w:pPr>
        <w:pStyle w:val="ListParagraph"/>
        <w:numPr>
          <w:ilvl w:val="0"/>
          <w:numId w:val="109"/>
        </w:numPr>
        <w:spacing w:after="60"/>
        <w:ind w:left="714" w:hanging="357"/>
      </w:pPr>
      <w:r w:rsidRPr="00B47BDA">
        <w:t>povećanje Instalirane snage za opskrbu teških vozila električnom energijom duž osnovne i sveobuhvatne TEN-T mreže,</w:t>
      </w:r>
    </w:p>
    <w:p w14:paraId="360B4971" w14:textId="77777777" w:rsidR="00E525F5" w:rsidRPr="00B47BDA" w:rsidRDefault="00E525F5" w:rsidP="009F66A6">
      <w:pPr>
        <w:pStyle w:val="ListParagraph"/>
        <w:numPr>
          <w:ilvl w:val="0"/>
          <w:numId w:val="109"/>
        </w:numPr>
        <w:spacing w:after="60"/>
        <w:ind w:left="714" w:hanging="357"/>
      </w:pPr>
      <w:r w:rsidRPr="00B47BDA">
        <w:t>povećanje instalirane snage za opskrbu električnom energijom na sigurnim i zaštićenim parkiralištima,</w:t>
      </w:r>
    </w:p>
    <w:p w14:paraId="6A0D3CE1" w14:textId="77777777" w:rsidR="00E525F5" w:rsidRPr="00B47BDA" w:rsidRDefault="00E525F5" w:rsidP="009F66A6">
      <w:pPr>
        <w:pStyle w:val="ListParagraph"/>
        <w:numPr>
          <w:ilvl w:val="0"/>
          <w:numId w:val="109"/>
        </w:numPr>
        <w:spacing w:after="60"/>
        <w:ind w:left="714" w:hanging="357"/>
      </w:pPr>
      <w:r w:rsidRPr="00B47BDA">
        <w:t>povećanje instalirane snage za opskrbu teških vozila električnom energijom u gradskim čvorištima,</w:t>
      </w:r>
    </w:p>
    <w:p w14:paraId="18E572DC" w14:textId="77777777" w:rsidR="00E525F5" w:rsidRPr="00B47BDA" w:rsidRDefault="00E525F5" w:rsidP="009F66A6">
      <w:pPr>
        <w:pStyle w:val="ListParagraph"/>
        <w:numPr>
          <w:ilvl w:val="0"/>
          <w:numId w:val="109"/>
        </w:numPr>
        <w:spacing w:after="60"/>
        <w:ind w:left="714" w:hanging="357"/>
      </w:pPr>
      <w:r w:rsidRPr="00B47BDA">
        <w:t>povećanje broja postaja za opskrbu vodikom,</w:t>
      </w:r>
    </w:p>
    <w:p w14:paraId="357423B6" w14:textId="77777777" w:rsidR="00E525F5" w:rsidRPr="00B47BDA" w:rsidRDefault="00E525F5" w:rsidP="009F66A6">
      <w:pPr>
        <w:pStyle w:val="ListParagraph"/>
        <w:numPr>
          <w:ilvl w:val="0"/>
          <w:numId w:val="109"/>
        </w:numPr>
        <w:spacing w:after="60"/>
        <w:ind w:left="714" w:hanging="357"/>
      </w:pPr>
      <w:r w:rsidRPr="00B47BDA">
        <w:t>povećanje udjela vozila s pogonom na alternativne izvore energije u ukupnom broju registriranih vozila,</w:t>
      </w:r>
    </w:p>
    <w:p w14:paraId="438AC307" w14:textId="77777777" w:rsidR="00E525F5" w:rsidRPr="00B47BDA" w:rsidRDefault="00E525F5" w:rsidP="009F66A6">
      <w:pPr>
        <w:pStyle w:val="ListParagraph"/>
        <w:numPr>
          <w:ilvl w:val="0"/>
          <w:numId w:val="109"/>
        </w:numPr>
        <w:spacing w:after="60"/>
        <w:ind w:left="714" w:hanging="357"/>
      </w:pPr>
      <w:r w:rsidRPr="00B47BDA">
        <w:t>ušteda energije, smanjenje emisije CO</w:t>
      </w:r>
      <w:r w:rsidRPr="00B47BDA">
        <w:rPr>
          <w:vertAlign w:val="subscript"/>
        </w:rPr>
        <w:t>2e</w:t>
      </w:r>
      <w:r w:rsidRPr="00B47BDA">
        <w:t xml:space="preserve"> te smanjenje emisija onečišćujućih tvari,</w:t>
      </w:r>
    </w:p>
    <w:p w14:paraId="3D68A914" w14:textId="77777777" w:rsidR="00E525F5" w:rsidRPr="00B47BDA" w:rsidRDefault="00E525F5" w:rsidP="009F66A6">
      <w:pPr>
        <w:pStyle w:val="ListParagraph"/>
        <w:numPr>
          <w:ilvl w:val="0"/>
          <w:numId w:val="109"/>
        </w:numPr>
        <w:spacing w:after="60"/>
        <w:ind w:left="714" w:hanging="357"/>
      </w:pPr>
      <w:r w:rsidRPr="00B47BDA">
        <w:t>procijenjene uštede u 2030. 0,74 PJ; procijenjeno smanjenje emisija CO</w:t>
      </w:r>
      <w:r w:rsidRPr="00B47BDA">
        <w:rPr>
          <w:vertAlign w:val="subscript"/>
        </w:rPr>
        <w:t>2</w:t>
      </w:r>
      <w:r w:rsidRPr="00B47BDA">
        <w:t xml:space="preserve"> u 2030. 361,7 ktCO</w:t>
      </w:r>
      <w:r w:rsidRPr="00B47BDA">
        <w:rPr>
          <w:vertAlign w:val="subscript"/>
        </w:rPr>
        <w:t>2e</w:t>
      </w:r>
      <w:r w:rsidRPr="00B47BDA">
        <w:t>; kumulativne uštede energije u razdoblju 2021.-2030. 2,76 PJ; kumulativno smanjenje emisija CO</w:t>
      </w:r>
      <w:r w:rsidRPr="00B47BDA">
        <w:rPr>
          <w:vertAlign w:val="subscript"/>
        </w:rPr>
        <w:t>2e</w:t>
      </w:r>
      <w:r w:rsidRPr="00B47BDA">
        <w:t xml:space="preserve"> u razdoblju 2021.-2030. 1532,9 ktCO</w:t>
      </w:r>
      <w:r w:rsidRPr="00B47BDA">
        <w:rPr>
          <w:vertAlign w:val="subscript"/>
        </w:rPr>
        <w:t>2e</w:t>
      </w:r>
      <w:r w:rsidRPr="00B47BDA">
        <w:t>.</w:t>
      </w:r>
    </w:p>
    <w:p w14:paraId="732B2D51" w14:textId="4297B349" w:rsidR="00E525F5" w:rsidRPr="00B47BDA" w:rsidRDefault="00E525F5" w:rsidP="004623DD">
      <w:pPr>
        <w:pStyle w:val="ListParagraph"/>
      </w:pPr>
      <w:r w:rsidRPr="00EE67E0">
        <w:rPr>
          <w:b/>
          <w:bCs/>
        </w:rPr>
        <w:t>Napomena:</w:t>
      </w:r>
      <w:r w:rsidRPr="00B47BDA">
        <w:t xml:space="preserve"> procijenjene uštede kumulativ su provedbe mjera TR-2, TR-</w:t>
      </w:r>
      <w:r w:rsidR="00032ACA">
        <w:t>3</w:t>
      </w:r>
      <w:r w:rsidRPr="00B47BDA">
        <w:t xml:space="preserve"> i TR-7.</w:t>
      </w:r>
    </w:p>
    <w:p w14:paraId="0F2A97B8" w14:textId="7A34DEA3" w:rsidR="00E525F5" w:rsidRPr="00B47BDA" w:rsidRDefault="00E525F5" w:rsidP="004623DD">
      <w:r w:rsidRPr="00B47BDA">
        <w:rPr>
          <w:b/>
        </w:rPr>
        <w:t>Metoda praćenja:</w:t>
      </w:r>
      <w:r w:rsidRPr="00B47BDA">
        <w:t xml:space="preserve"> Ova mjera će se pratiti metodom procijene pomoću Sustava za praćenje, mjerenje i verifikaciju ušteda energije (SMIV). Kumulativni kapaciteti infrastrukture za opskrbu alternativnim gorivima pratiti će se putem centralnog registra infrastrukture za alternativna goriva.</w:t>
      </w:r>
    </w:p>
    <w:p w14:paraId="754F40DD" w14:textId="29305C4F" w:rsidR="00E525F5" w:rsidRPr="00B47BDA" w:rsidRDefault="00E525F5" w:rsidP="004623DD">
      <w:pPr>
        <w:rPr>
          <w:b/>
        </w:rPr>
      </w:pPr>
      <w:r w:rsidRPr="00B47BDA">
        <w:rPr>
          <w:b/>
        </w:rPr>
        <w:t xml:space="preserve">Pokazatelj provedbe mjere (indikator): </w:t>
      </w:r>
      <w:r w:rsidR="00E81EE3">
        <w:t>B</w:t>
      </w:r>
      <w:r w:rsidRPr="00B47BDA">
        <w:t>roj registriranih vozila s pogonom na alternativne izvore energije, instalirani kapaciteti i geografska raspodjela infrastrukture za opskrbu alternativnim energentima</w:t>
      </w:r>
      <w:r w:rsidR="00E258DC">
        <w:t>.</w:t>
      </w:r>
    </w:p>
    <w:p w14:paraId="30A574F8" w14:textId="01BDB653" w:rsidR="00E525F5" w:rsidRPr="00B47BDA" w:rsidRDefault="00E525F5" w:rsidP="004623DD">
      <w:r w:rsidRPr="00B47BDA">
        <w:rPr>
          <w:b/>
        </w:rPr>
        <w:t xml:space="preserve">Povezanost s drugim dimenzijama: </w:t>
      </w:r>
      <w:r w:rsidR="00E81EE3">
        <w:t>I</w:t>
      </w:r>
      <w:r w:rsidRPr="00B47BDA">
        <w:t>zravna povezanost s dimenzijom energetske učinkovitosti.</w:t>
      </w:r>
    </w:p>
    <w:p w14:paraId="4164A63C" w14:textId="00899F02" w:rsidR="50AC7E63" w:rsidRPr="001D1657" w:rsidRDefault="00E525F5" w:rsidP="50AC7E63">
      <w:pPr>
        <w:rPr>
          <w:rFonts w:eastAsia="Calibri" w:cstheme="minorBidi"/>
          <w:b/>
          <w:bCs/>
          <w:highlight w:val="yellow"/>
        </w:rPr>
      </w:pPr>
      <w:r w:rsidRPr="50AC7E63">
        <w:rPr>
          <w:rFonts w:eastAsia="Calibri"/>
          <w:b/>
          <w:bCs/>
        </w:rPr>
        <w:lastRenderedPageBreak/>
        <w:t xml:space="preserve">Istraživanje i razvoj: </w:t>
      </w:r>
      <w:r w:rsidRPr="50AC7E63">
        <w:rPr>
          <w:rFonts w:eastAsia="Calibri"/>
        </w:rPr>
        <w:t>Održiva mobilnost i alternativna goriva u prijevozu zahtijevaju razvoj novih tehnologija i to u domeni vozila, infrastrukture i naprednih sustava upravljanja temeljenim na informacijsko-komunikacijskim tehnologijama.</w:t>
      </w:r>
    </w:p>
    <w:p w14:paraId="783C8835" w14:textId="47EE9DE3" w:rsidR="00211B2D" w:rsidRPr="00B47BDA" w:rsidRDefault="00211B2D" w:rsidP="00EE67E0">
      <w:pPr>
        <w:pStyle w:val="Mjeranaslov"/>
      </w:pPr>
      <w:r>
        <w:t>TR-3 Unaprjeđenje sustava javnog prijevoza i promicanje održivog integriranog prometa</w:t>
      </w:r>
    </w:p>
    <w:p w14:paraId="45424F57" w14:textId="77777777" w:rsidR="00211B2D" w:rsidRPr="00B47BDA" w:rsidRDefault="00211B2D" w:rsidP="004623DD">
      <w:pPr>
        <w:pStyle w:val="NormalWeb"/>
        <w:rPr>
          <w:color w:val="000000"/>
        </w:rPr>
      </w:pPr>
      <w:r w:rsidRPr="00B47BDA">
        <w:t>Financijska mjera, informacijska i organizacijska mjera; provedba 2021. - 2030.</w:t>
      </w:r>
    </w:p>
    <w:p w14:paraId="1BEAA0A3" w14:textId="16B48F4A" w:rsidR="00211B2D" w:rsidRPr="00B47BDA" w:rsidRDefault="3BE27396" w:rsidP="63259912">
      <w:pPr>
        <w:pStyle w:val="NormalWeb"/>
        <w:rPr>
          <w:color w:val="000000"/>
        </w:rPr>
      </w:pPr>
      <w:r w:rsidRPr="63259912">
        <w:rPr>
          <w:b/>
          <w:bCs/>
        </w:rPr>
        <w:t>Cilj i opis mjere:</w:t>
      </w:r>
      <w:r w:rsidRPr="63259912">
        <w:t xml:space="preserve"> Cilj mjere je promoviranje održivog razvoja gradskih prometnih sustava i to kroz optimiranje logistike prijevoza tereta te inteligentno upravljanje javnim parkirnim površinama, uvođenje platforma za integrirani prijevoz putnika, uvođenje car-sharing sustava u gradovima, uvođenje nisko-emisijskih zona u gradovima, uvođenje sustava javnih gradskih bicikala i izgradnje pripadajuće biciklističke infrastrukture, inteligentno upravljanje u prometu (nadogradnja, prilagodba i zamjena zastarjelih signalnih uređaja i opreme, ugradnje napredne prometne opreme i inteligentnih semafora opremljenih autonomnim sustavom napajanja iz obnovljivih izvora, izgradnje i opremanja središnjih operativnih centara za nadzor i upravljanje raskrižjima s postavljenim semaforima). Na lokalnim razinama, nužna je kontinuirana izrada i provedba Planova održive mobilnosti u gradovima, odnosno strateških planova koji se nadovezuju na postojeću praksu u planiranju, a uzimaju u obzir integracijske, participacijske i evaluacijske principe kako bi se zadovoljile potrebe stanovnika gradova za mobilnošću, sada i u budućnosti te osigurala bolja kvaliteta života u gradovima i njihovoj okolini. Aktivnosti će pratiti odgovarajuće informativno-edukativne kampanje. Cilj je ovim mjerama obuhvatiti sve županije, velike gradove (s više od 35.000 stanovnika) te općine i gradove koje zajednički čine geografsku cjelinu s više od 35.000 stanovnika. </w:t>
      </w:r>
    </w:p>
    <w:p w14:paraId="13215380" w14:textId="77777777" w:rsidR="00211B2D" w:rsidRPr="00B47BDA" w:rsidRDefault="00211B2D" w:rsidP="004623DD">
      <w:pPr>
        <w:pStyle w:val="NormalWeb"/>
        <w:rPr>
          <w:color w:val="000000"/>
        </w:rPr>
      </w:pPr>
      <w:r w:rsidRPr="00B47BDA">
        <w:t>Osim toga, cilj mjere je modernizacija javnog gradskog i prigradskog linijskog autobusnog prometa putnika kroz nabavu novih vozila s električnim ili pogonom na vodik, te izgradnju potrebne infrastrukture za promicanje uporabe vozila sa smanjenom emisijom CO</w:t>
      </w:r>
      <w:r w:rsidRPr="00B47BDA">
        <w:rPr>
          <w:vertAlign w:val="subscript"/>
        </w:rPr>
        <w:t>2</w:t>
      </w:r>
      <w:r w:rsidRPr="00B47BDA">
        <w:t>. Cilj je ujedno i modernizirati tramvajski vozni park u Osijeku i Zagrebu, a kako bi se pružila kvalitetnija i brža usluga javnog gradskog prijevoza te povećao broj putnika koji koriste javni gradski prijevoz, što će u konačnici rezultirati smanjenjem emisija CO</w:t>
      </w:r>
      <w:r w:rsidRPr="00B47BDA">
        <w:rPr>
          <w:vertAlign w:val="subscript"/>
        </w:rPr>
        <w:t>2</w:t>
      </w:r>
      <w:r w:rsidRPr="00B47BDA">
        <w:t xml:space="preserve"> u prometu.</w:t>
      </w:r>
    </w:p>
    <w:p w14:paraId="008D1784" w14:textId="77777777" w:rsidR="00211B2D" w:rsidRPr="00B47BDA" w:rsidRDefault="00211B2D" w:rsidP="63259912">
      <w:pPr>
        <w:pStyle w:val="NormalWeb"/>
        <w:rPr>
          <w:color w:val="000000"/>
        </w:rPr>
      </w:pPr>
      <w:r w:rsidRPr="63259912">
        <w:t xml:space="preserve">U sklopu mjere poticat će se i projekti razvoja i implementacije ekosustava urbane mobilnosti (odnosno tzv. </w:t>
      </w:r>
      <w:r w:rsidRPr="63259912">
        <w:rPr>
          <w:i/>
          <w:iCs/>
        </w:rPr>
        <w:t>MaaS</w:t>
      </w:r>
      <w:r w:rsidRPr="63259912">
        <w:t xml:space="preserve"> – mobilnost kao usluga), usko integriranih s javnim gradskim prijevozom koji će se sastojati od tri ključne komponente nužne da bi potpuno autonomna vozila mogla funkcionirati i sudjelovati u prometu. One su redom: (i) potpuno autonomna električna vozila pete razine autonomije, (ii) razvoj i izgradnja specijalizirane infrastrukture za autonomna i električna vozila integrirane s javnim gradskim prijevozom, (iii) razvoj softverske platforme za upravljanje kompletnim sustavom.</w:t>
      </w:r>
    </w:p>
    <w:p w14:paraId="3FCBD767" w14:textId="77777777" w:rsidR="00211B2D" w:rsidRPr="00EE67E0" w:rsidRDefault="00211B2D" w:rsidP="004623DD">
      <w:pPr>
        <w:rPr>
          <w:rFonts w:eastAsia="Calibri"/>
          <w:b/>
          <w:bCs/>
          <w:color w:val="000000"/>
        </w:rPr>
      </w:pPr>
      <w:r w:rsidRPr="00EE67E0">
        <w:rPr>
          <w:b/>
          <w:bCs/>
        </w:rPr>
        <w:t xml:space="preserve">Aktivnosti: </w:t>
      </w:r>
    </w:p>
    <w:p w14:paraId="0A1369F5" w14:textId="633FFE6E" w:rsidR="00211B2D" w:rsidRPr="00B47BDA" w:rsidRDefault="00211B2D" w:rsidP="009835CE">
      <w:pPr>
        <w:pStyle w:val="ListParagraph"/>
        <w:numPr>
          <w:ilvl w:val="0"/>
          <w:numId w:val="84"/>
        </w:numPr>
        <w:spacing w:after="60"/>
        <w:ind w:left="714" w:hanging="357"/>
        <w:rPr>
          <w:rFonts w:eastAsia="Calibri"/>
          <w:color w:val="000000"/>
        </w:rPr>
      </w:pPr>
      <w:r w:rsidRPr="00B47BDA">
        <w:rPr>
          <w:rFonts w:eastAsia="Calibri"/>
        </w:rPr>
        <w:t>U okviru mjere provest će se aktivnosti sufinanciranja putem javnih poziva FZOEU-a kao i aktivnosti koje JLP(R)S-e samostalno poduzimaju u skladu sa svojim planovima održivog razvoja prometnih sustava</w:t>
      </w:r>
      <w:r w:rsidR="003D1220">
        <w:rPr>
          <w:rFonts w:eastAsia="Calibri"/>
        </w:rPr>
        <w:t>;</w:t>
      </w:r>
    </w:p>
    <w:p w14:paraId="25D48B49" w14:textId="616408F4" w:rsidR="00211B2D" w:rsidRPr="00B47BDA" w:rsidRDefault="00211B2D" w:rsidP="009835CE">
      <w:pPr>
        <w:pStyle w:val="ListParagraph"/>
        <w:numPr>
          <w:ilvl w:val="0"/>
          <w:numId w:val="84"/>
        </w:numPr>
        <w:spacing w:after="60"/>
        <w:ind w:left="714" w:hanging="357"/>
        <w:rPr>
          <w:rFonts w:eastAsia="Calibri"/>
          <w:color w:val="000000"/>
        </w:rPr>
      </w:pPr>
      <w:r w:rsidRPr="00B47BDA">
        <w:rPr>
          <w:rFonts w:eastAsia="Calibri"/>
        </w:rPr>
        <w:t>Nabava autobusa na alternativni pogon i izgradnja pripadajuće infrastrukture</w:t>
      </w:r>
      <w:r w:rsidR="003D1220">
        <w:rPr>
          <w:rFonts w:eastAsia="Calibri"/>
        </w:rPr>
        <w:t>;</w:t>
      </w:r>
    </w:p>
    <w:p w14:paraId="65F03A98" w14:textId="6CC4133C" w:rsidR="00211B2D" w:rsidRPr="00B47BDA" w:rsidRDefault="00211B2D" w:rsidP="63259912">
      <w:pPr>
        <w:pStyle w:val="ListParagraph"/>
        <w:numPr>
          <w:ilvl w:val="0"/>
          <w:numId w:val="84"/>
        </w:numPr>
        <w:spacing w:after="60"/>
        <w:ind w:left="714" w:hanging="357"/>
        <w:rPr>
          <w:rFonts w:eastAsia="Calibri"/>
          <w:color w:val="000000"/>
        </w:rPr>
      </w:pPr>
      <w:r w:rsidRPr="63259912">
        <w:rPr>
          <w:rFonts w:eastAsia="Calibri"/>
        </w:rPr>
        <w:lastRenderedPageBreak/>
        <w:t>Modernizacija tramvajskog prometa kroz nabavu suvremenih niskopodnih</w:t>
      </w:r>
      <w:r w:rsidR="003D1220" w:rsidRPr="63259912">
        <w:rPr>
          <w:rFonts w:eastAsia="Calibri"/>
        </w:rPr>
        <w:t> </w:t>
      </w:r>
      <w:r w:rsidRPr="63259912">
        <w:rPr>
          <w:rFonts w:eastAsia="Calibri"/>
        </w:rPr>
        <w:t>/</w:t>
      </w:r>
      <w:r w:rsidR="003D1220" w:rsidRPr="63259912">
        <w:rPr>
          <w:rFonts w:eastAsia="Calibri"/>
        </w:rPr>
        <w:t> </w:t>
      </w:r>
      <w:r w:rsidRPr="63259912">
        <w:rPr>
          <w:rFonts w:eastAsia="Calibri"/>
        </w:rPr>
        <w:t>poluniskopodnih tramvaja</w:t>
      </w:r>
      <w:r w:rsidR="003D1220" w:rsidRPr="63259912">
        <w:rPr>
          <w:rFonts w:eastAsia="Calibri"/>
        </w:rPr>
        <w:t>;</w:t>
      </w:r>
    </w:p>
    <w:p w14:paraId="711B95A5" w14:textId="47ED8F76" w:rsidR="00211B2D" w:rsidRPr="009835CE" w:rsidRDefault="00211B2D" w:rsidP="63259912">
      <w:pPr>
        <w:pStyle w:val="ListParagraph"/>
        <w:numPr>
          <w:ilvl w:val="0"/>
          <w:numId w:val="84"/>
        </w:numPr>
        <w:spacing w:after="60"/>
        <w:ind w:left="714" w:hanging="357"/>
        <w:rPr>
          <w:rFonts w:eastAsia="Calibri"/>
          <w:color w:val="000000"/>
        </w:rPr>
      </w:pPr>
      <w:r w:rsidRPr="63259912">
        <w:rPr>
          <w:rFonts w:eastAsia="Calibri"/>
        </w:rPr>
        <w:t>Implementacija digitaliziranog sustava samovozećih vozila</w:t>
      </w:r>
      <w:r w:rsidR="003D1220" w:rsidRPr="63259912">
        <w:rPr>
          <w:rFonts w:eastAsia="Calibri"/>
        </w:rPr>
        <w:t>;</w:t>
      </w:r>
    </w:p>
    <w:p w14:paraId="1FFCC263" w14:textId="30627B77" w:rsidR="00F22540" w:rsidRPr="009835CE" w:rsidRDefault="00F22540" w:rsidP="009835CE">
      <w:pPr>
        <w:pStyle w:val="ListParagraph"/>
        <w:numPr>
          <w:ilvl w:val="0"/>
          <w:numId w:val="84"/>
        </w:numPr>
        <w:spacing w:after="60"/>
        <w:ind w:left="714" w:hanging="357"/>
        <w:rPr>
          <w:rFonts w:cs="Times New Roman"/>
          <w:lang w:eastAsia="en-GB"/>
        </w:rPr>
      </w:pPr>
      <w:r w:rsidRPr="00351880">
        <w:rPr>
          <w:rFonts w:cs="Times New Roman"/>
          <w:lang w:eastAsia="en-GB"/>
        </w:rPr>
        <w:t xml:space="preserve">Minimalno </w:t>
      </w:r>
      <w:r w:rsidRPr="009835CE">
        <w:rPr>
          <w:rFonts w:cs="Times New Roman"/>
          <w:lang w:eastAsia="en-GB"/>
        </w:rPr>
        <w:t>15 izrađenih planova održive urbane mobilnosti</w:t>
      </w:r>
      <w:r w:rsidR="00351880" w:rsidRPr="00351880">
        <w:rPr>
          <w:rFonts w:cs="Times New Roman"/>
          <w:lang w:eastAsia="en-GB"/>
        </w:rPr>
        <w:t>.</w:t>
      </w:r>
      <w:r w:rsidR="00351880">
        <w:rPr>
          <w:rFonts w:cs="Times New Roman"/>
          <w:lang w:eastAsia="en-GB"/>
        </w:rPr>
        <w:t xml:space="preserve"> </w:t>
      </w:r>
      <w:r w:rsidRPr="009835CE">
        <w:rPr>
          <w:rFonts w:cs="Times New Roman"/>
          <w:lang w:eastAsia="en-GB"/>
        </w:rPr>
        <w:t>Uspostava i provođenje specijaliziranih programa sufinanciranja mjera identificiranih planovima održive mobilnosti u gradovima. Specijalizirani programi obuhvatit će minimalno sljedeće:</w:t>
      </w:r>
    </w:p>
    <w:p w14:paraId="3EBA1A12" w14:textId="77777777" w:rsidR="00F22540" w:rsidRPr="009835CE" w:rsidRDefault="00F22540" w:rsidP="008F0332">
      <w:pPr>
        <w:pStyle w:val="ListParagraph"/>
        <w:numPr>
          <w:ilvl w:val="1"/>
          <w:numId w:val="84"/>
        </w:numPr>
        <w:spacing w:after="0"/>
        <w:rPr>
          <w:rFonts w:cs="Times New Roman"/>
          <w:lang w:eastAsia="en-GB"/>
        </w:rPr>
      </w:pPr>
      <w:r w:rsidRPr="009835CE">
        <w:rPr>
          <w:rFonts w:cs="Times New Roman"/>
          <w:lang w:eastAsia="en-GB"/>
        </w:rPr>
        <w:t>optimiranje logistike prijevoza tereta,</w:t>
      </w:r>
    </w:p>
    <w:p w14:paraId="0486F0AC" w14:textId="77777777" w:rsidR="00F22540" w:rsidRPr="009835CE" w:rsidRDefault="00F22540" w:rsidP="008F0332">
      <w:pPr>
        <w:pStyle w:val="ListParagraph"/>
        <w:numPr>
          <w:ilvl w:val="1"/>
          <w:numId w:val="84"/>
        </w:numPr>
        <w:spacing w:after="0"/>
        <w:rPr>
          <w:rFonts w:cs="Times New Roman"/>
          <w:lang w:eastAsia="en-GB"/>
        </w:rPr>
      </w:pPr>
      <w:r w:rsidRPr="009835CE">
        <w:rPr>
          <w:rFonts w:cs="Times New Roman"/>
          <w:lang w:eastAsia="en-GB"/>
        </w:rPr>
        <w:t xml:space="preserve">inteligentno upravljanje javnim parkirnim površinama, </w:t>
      </w:r>
    </w:p>
    <w:p w14:paraId="47CB9894" w14:textId="77777777" w:rsidR="00F22540" w:rsidRPr="009835CE" w:rsidRDefault="00F22540" w:rsidP="008F0332">
      <w:pPr>
        <w:pStyle w:val="ListParagraph"/>
        <w:numPr>
          <w:ilvl w:val="1"/>
          <w:numId w:val="84"/>
        </w:numPr>
        <w:spacing w:after="0"/>
        <w:rPr>
          <w:rFonts w:cs="Times New Roman"/>
          <w:lang w:eastAsia="en-GB"/>
        </w:rPr>
      </w:pPr>
      <w:r w:rsidRPr="009835CE">
        <w:rPr>
          <w:rFonts w:cs="Times New Roman"/>
          <w:lang w:eastAsia="en-GB"/>
        </w:rPr>
        <w:t>uvođenje platforma za integrirani prijevoz putnika,</w:t>
      </w:r>
    </w:p>
    <w:p w14:paraId="68A9320A" w14:textId="77777777" w:rsidR="00F22540" w:rsidRPr="009835CE" w:rsidRDefault="00F22540" w:rsidP="63259912">
      <w:pPr>
        <w:pStyle w:val="ListParagraph"/>
        <w:numPr>
          <w:ilvl w:val="1"/>
          <w:numId w:val="84"/>
        </w:numPr>
        <w:spacing w:after="0"/>
        <w:rPr>
          <w:rFonts w:cs="Times New Roman"/>
          <w:lang w:eastAsia="en-GB"/>
        </w:rPr>
      </w:pPr>
      <w:r w:rsidRPr="63259912">
        <w:rPr>
          <w:rFonts w:cs="Times New Roman"/>
          <w:lang w:eastAsia="en-GB"/>
        </w:rPr>
        <w:t>uvođenje car-sharing sustava,</w:t>
      </w:r>
    </w:p>
    <w:p w14:paraId="3DF1A664" w14:textId="77777777" w:rsidR="00F22540" w:rsidRPr="009835CE" w:rsidRDefault="00F22540" w:rsidP="008F0332">
      <w:pPr>
        <w:pStyle w:val="ListParagraph"/>
        <w:numPr>
          <w:ilvl w:val="1"/>
          <w:numId w:val="84"/>
        </w:numPr>
        <w:spacing w:after="0"/>
        <w:rPr>
          <w:rFonts w:cs="Times New Roman"/>
          <w:lang w:eastAsia="en-GB"/>
        </w:rPr>
      </w:pPr>
      <w:r w:rsidRPr="009835CE">
        <w:rPr>
          <w:rFonts w:cs="Times New Roman"/>
          <w:lang w:eastAsia="en-GB"/>
        </w:rPr>
        <w:t>uvođenje nisko-emisijskih zona u gradovima,</w:t>
      </w:r>
    </w:p>
    <w:p w14:paraId="7A890E5C" w14:textId="77777777" w:rsidR="00F22540" w:rsidRPr="009835CE" w:rsidRDefault="00F22540" w:rsidP="008F0332">
      <w:pPr>
        <w:pStyle w:val="ListParagraph"/>
        <w:numPr>
          <w:ilvl w:val="1"/>
          <w:numId w:val="84"/>
        </w:numPr>
        <w:spacing w:after="0"/>
        <w:rPr>
          <w:rFonts w:cs="Times New Roman"/>
          <w:lang w:eastAsia="en-GB"/>
        </w:rPr>
      </w:pPr>
      <w:r w:rsidRPr="009835CE">
        <w:rPr>
          <w:rFonts w:cs="Times New Roman"/>
          <w:lang w:eastAsia="en-GB"/>
        </w:rPr>
        <w:t>uvođenje sustava javnih gradskih bicikala i izgradnje pripadajuće biciklističke infrastrukture,</w:t>
      </w:r>
    </w:p>
    <w:p w14:paraId="76F8DCEC" w14:textId="60F125CC" w:rsidR="00F22540" w:rsidRPr="009835CE" w:rsidRDefault="00F22540" w:rsidP="008F0332">
      <w:pPr>
        <w:pStyle w:val="ListParagraph"/>
        <w:numPr>
          <w:ilvl w:val="1"/>
          <w:numId w:val="84"/>
        </w:numPr>
        <w:spacing w:after="0"/>
        <w:rPr>
          <w:rFonts w:cs="Times New Roman"/>
          <w:lang w:eastAsia="en-GB"/>
        </w:rPr>
      </w:pPr>
      <w:r w:rsidRPr="009835CE">
        <w:rPr>
          <w:rFonts w:cs="Times New Roman"/>
          <w:lang w:eastAsia="en-GB"/>
        </w:rPr>
        <w:t>uvođenje sustava za automatizirano, inteligentno upravljanje u prometu</w:t>
      </w:r>
      <w:r w:rsidR="009E1212">
        <w:rPr>
          <w:rFonts w:cs="Times New Roman"/>
          <w:lang w:eastAsia="en-GB"/>
        </w:rPr>
        <w:t>,</w:t>
      </w:r>
      <w:r w:rsidRPr="009835CE">
        <w:rPr>
          <w:rFonts w:cs="Times New Roman"/>
          <w:lang w:eastAsia="en-GB"/>
        </w:rPr>
        <w:t xml:space="preserve"> </w:t>
      </w:r>
    </w:p>
    <w:p w14:paraId="44405387" w14:textId="77777777" w:rsidR="00F22540" w:rsidRPr="009835CE" w:rsidRDefault="00F22540" w:rsidP="008F0332">
      <w:pPr>
        <w:pStyle w:val="ListParagraph"/>
        <w:numPr>
          <w:ilvl w:val="1"/>
          <w:numId w:val="84"/>
        </w:numPr>
        <w:spacing w:after="0"/>
        <w:rPr>
          <w:rFonts w:cs="Times New Roman"/>
          <w:lang w:eastAsia="en-GB"/>
        </w:rPr>
      </w:pPr>
      <w:r w:rsidRPr="009835CE">
        <w:rPr>
          <w:rFonts w:cs="Times New Roman"/>
          <w:lang w:eastAsia="en-GB"/>
        </w:rPr>
        <w:t>nadogradnja, prilagodba i zamjena zastarjelih signalnih uređaja i opreme,</w:t>
      </w:r>
    </w:p>
    <w:p w14:paraId="518D916B" w14:textId="77777777" w:rsidR="00351880" w:rsidRDefault="00F22540" w:rsidP="008F0332">
      <w:pPr>
        <w:pStyle w:val="ListParagraph"/>
        <w:numPr>
          <w:ilvl w:val="1"/>
          <w:numId w:val="84"/>
        </w:numPr>
        <w:spacing w:after="0"/>
        <w:rPr>
          <w:rFonts w:cs="Times New Roman"/>
          <w:lang w:eastAsia="en-GB"/>
        </w:rPr>
      </w:pPr>
      <w:r w:rsidRPr="009835CE">
        <w:rPr>
          <w:rFonts w:cs="Times New Roman"/>
          <w:lang w:eastAsia="en-GB"/>
        </w:rPr>
        <w:t>ugradnja napredne prometne opreme i inteligentnih semafora opremljenih autonomnim sustavom napajanja iz obnovljivih izvora,</w:t>
      </w:r>
    </w:p>
    <w:p w14:paraId="4E529F49" w14:textId="44281A81" w:rsidR="00DC5DFE" w:rsidRPr="009835CE" w:rsidRDefault="00F22540" w:rsidP="008F0332">
      <w:pPr>
        <w:pStyle w:val="ListParagraph"/>
        <w:numPr>
          <w:ilvl w:val="1"/>
          <w:numId w:val="84"/>
        </w:numPr>
        <w:spacing w:after="0"/>
        <w:rPr>
          <w:rFonts w:cs="Times New Roman"/>
          <w:lang w:eastAsia="en-GB"/>
        </w:rPr>
      </w:pPr>
      <w:r w:rsidRPr="009835CE">
        <w:t>izgradnja i opremanja središnjih operativnih centara za nadzor i upravljanje raskrižjima s postavljenim semaforima.</w:t>
      </w:r>
    </w:p>
    <w:p w14:paraId="77DC3C81" w14:textId="77777777" w:rsidR="00351880" w:rsidRPr="009835CE" w:rsidRDefault="00351880" w:rsidP="009835CE">
      <w:pPr>
        <w:pStyle w:val="ListParagraph"/>
        <w:spacing w:after="0"/>
        <w:ind w:left="1440"/>
        <w:rPr>
          <w:rFonts w:cs="Times New Roman"/>
          <w:lang w:eastAsia="en-GB"/>
        </w:rPr>
      </w:pPr>
    </w:p>
    <w:p w14:paraId="4A48D274" w14:textId="0CEB3245" w:rsidR="00211B2D" w:rsidRPr="00B47BDA" w:rsidRDefault="00211B2D" w:rsidP="004623DD">
      <w:pPr>
        <w:rPr>
          <w:color w:val="000000"/>
        </w:rPr>
      </w:pPr>
      <w:r w:rsidRPr="00EE67E0">
        <w:rPr>
          <w:b/>
          <w:bCs/>
        </w:rPr>
        <w:t>Sredstva potrebna za provedbu:</w:t>
      </w:r>
      <w:r w:rsidRPr="00B47BDA">
        <w:t xml:space="preserve"> </w:t>
      </w:r>
      <w:r w:rsidR="0015094B">
        <w:t>470</w:t>
      </w:r>
      <w:r w:rsidR="00C6385E">
        <w:t xml:space="preserve">,2 </w:t>
      </w:r>
      <w:r w:rsidRPr="00B47BDA">
        <w:t>milijuna EUR</w:t>
      </w:r>
      <w:r w:rsidR="00E258DC">
        <w:t>.</w:t>
      </w:r>
    </w:p>
    <w:p w14:paraId="66BE7B30" w14:textId="171F3628" w:rsidR="00211B2D" w:rsidRPr="00B47BDA" w:rsidRDefault="00211B2D" w:rsidP="004623DD">
      <w:pPr>
        <w:rPr>
          <w:color w:val="000000"/>
        </w:rPr>
      </w:pPr>
      <w:r w:rsidRPr="00B47BDA">
        <w:rPr>
          <w:b/>
        </w:rPr>
        <w:t xml:space="preserve">Izvori financiranja: </w:t>
      </w:r>
      <w:r w:rsidRPr="00B47BDA">
        <w:t>Nacionalni plan oporavka i otpornosti</w:t>
      </w:r>
      <w:r w:rsidR="009E2D85">
        <w:t xml:space="preserve"> (37</w:t>
      </w:r>
      <w:r w:rsidR="00871CE8">
        <w:t>6,6 milijuna EUR)</w:t>
      </w:r>
      <w:r w:rsidRPr="00B47BDA">
        <w:t>,</w:t>
      </w:r>
      <w:r w:rsidR="00B02861">
        <w:t xml:space="preserve"> OP Konkurentnost i kohezija (29,8 milijuna EUR), Program Konk</w:t>
      </w:r>
      <w:r w:rsidR="008D57E2">
        <w:t>urentnost i kohezija (</w:t>
      </w:r>
      <w:r w:rsidR="009342CF">
        <w:t>63,8 milijuna</w:t>
      </w:r>
      <w:r w:rsidR="0091536B">
        <w:t> </w:t>
      </w:r>
      <w:r w:rsidR="009342CF">
        <w:t>EUR)</w:t>
      </w:r>
      <w:r w:rsidR="00731082">
        <w:t>, prihodi od prodaje emisijskih jedinica iz EU ETS</w:t>
      </w:r>
      <w:r w:rsidR="009342CF">
        <w:t>.</w:t>
      </w:r>
      <w:r w:rsidRPr="00B47BDA">
        <w:t xml:space="preserve"> </w:t>
      </w:r>
    </w:p>
    <w:p w14:paraId="3488D27B" w14:textId="2112A62B" w:rsidR="00211B2D" w:rsidRPr="00B47BDA" w:rsidRDefault="00211B2D" w:rsidP="004623DD">
      <w:pPr>
        <w:rPr>
          <w:color w:val="000000"/>
        </w:rPr>
      </w:pPr>
      <w:r w:rsidRPr="00EE67E0">
        <w:rPr>
          <w:b/>
          <w:bCs/>
        </w:rPr>
        <w:t>Izvršno tijelo:</w:t>
      </w:r>
      <w:r w:rsidRPr="00B47BDA">
        <w:t xml:space="preserve"> MMPI, FZOEU</w:t>
      </w:r>
    </w:p>
    <w:p w14:paraId="7FFF7DB0" w14:textId="7C781B2E" w:rsidR="00211B2D" w:rsidRPr="00B47BDA" w:rsidRDefault="00211B2D" w:rsidP="004623DD">
      <w:pPr>
        <w:rPr>
          <w:color w:val="000000"/>
        </w:rPr>
      </w:pPr>
      <w:r w:rsidRPr="00EE67E0">
        <w:rPr>
          <w:b/>
          <w:bCs/>
        </w:rPr>
        <w:t>Tijela za praćenje:</w:t>
      </w:r>
      <w:r w:rsidRPr="00B47BDA">
        <w:t xml:space="preserve"> MPPI, MINGO</w:t>
      </w:r>
    </w:p>
    <w:p w14:paraId="0785D44F" w14:textId="77777777" w:rsidR="00211B2D" w:rsidRPr="00EE67E0" w:rsidRDefault="00211B2D" w:rsidP="004623DD">
      <w:pPr>
        <w:rPr>
          <w:b/>
          <w:bCs/>
          <w:color w:val="000000"/>
        </w:rPr>
      </w:pPr>
      <w:r w:rsidRPr="00EE67E0">
        <w:rPr>
          <w:b/>
          <w:bCs/>
        </w:rPr>
        <w:t xml:space="preserve">Učinak: </w:t>
      </w:r>
    </w:p>
    <w:p w14:paraId="342E887B" w14:textId="133BBDA5" w:rsidR="00211B2D" w:rsidRPr="00B47BDA" w:rsidRDefault="009835CE" w:rsidP="009835CE">
      <w:pPr>
        <w:pStyle w:val="ListParagraph"/>
        <w:numPr>
          <w:ilvl w:val="0"/>
          <w:numId w:val="112"/>
        </w:numPr>
        <w:spacing w:after="60"/>
        <w:ind w:left="714" w:hanging="357"/>
        <w:rPr>
          <w:color w:val="000000"/>
        </w:rPr>
      </w:pPr>
      <w:r>
        <w:t xml:space="preserve"> </w:t>
      </w:r>
      <w:r w:rsidR="00211B2D" w:rsidRPr="00B47BDA">
        <w:t>potpuno funkcionalna komercijalna usluga autonomnog sustava vožnje,</w:t>
      </w:r>
    </w:p>
    <w:p w14:paraId="7836AFD8" w14:textId="4807BC5B" w:rsidR="00211B2D" w:rsidRPr="00B47BDA" w:rsidRDefault="009835CE" w:rsidP="009835CE">
      <w:pPr>
        <w:pStyle w:val="ListParagraph"/>
        <w:numPr>
          <w:ilvl w:val="0"/>
          <w:numId w:val="112"/>
        </w:numPr>
        <w:spacing w:after="60"/>
        <w:ind w:left="714" w:hanging="357"/>
        <w:rPr>
          <w:color w:val="000000"/>
        </w:rPr>
      </w:pPr>
      <w:r>
        <w:t xml:space="preserve"> </w:t>
      </w:r>
      <w:r w:rsidR="00211B2D" w:rsidRPr="00B47BDA">
        <w:t>minimalno 70 autobusa s pogonom na alternativna goriva,</w:t>
      </w:r>
    </w:p>
    <w:p w14:paraId="6504F783" w14:textId="205E486A" w:rsidR="00211B2D" w:rsidRPr="00B47BDA" w:rsidRDefault="009835CE" w:rsidP="009835CE">
      <w:pPr>
        <w:pStyle w:val="ListParagraph"/>
        <w:numPr>
          <w:ilvl w:val="0"/>
          <w:numId w:val="112"/>
        </w:numPr>
        <w:spacing w:after="60"/>
        <w:ind w:left="714" w:hanging="357"/>
        <w:rPr>
          <w:color w:val="000000"/>
        </w:rPr>
      </w:pPr>
      <w:r>
        <w:t xml:space="preserve"> </w:t>
      </w:r>
      <w:r w:rsidR="00211B2D" w:rsidRPr="00B47BDA">
        <w:t>minimalno 30 suvremenih tramvaja,</w:t>
      </w:r>
    </w:p>
    <w:p w14:paraId="0A985B26" w14:textId="3AFE22EE" w:rsidR="00211B2D" w:rsidRPr="00B47BDA" w:rsidRDefault="009835CE" w:rsidP="009835CE">
      <w:pPr>
        <w:pStyle w:val="ListParagraph"/>
        <w:numPr>
          <w:ilvl w:val="0"/>
          <w:numId w:val="112"/>
        </w:numPr>
        <w:spacing w:after="60"/>
        <w:ind w:left="714" w:hanging="357"/>
        <w:rPr>
          <w:color w:val="000000"/>
        </w:rPr>
      </w:pPr>
      <w:r>
        <w:t xml:space="preserve"> </w:t>
      </w:r>
      <w:r w:rsidR="00211B2D" w:rsidRPr="00B47BDA">
        <w:t>ušteda energije, smanjenje emisije CO</w:t>
      </w:r>
      <w:r w:rsidR="00211B2D" w:rsidRPr="00B47BDA">
        <w:rPr>
          <w:vertAlign w:val="subscript"/>
        </w:rPr>
        <w:t>2</w:t>
      </w:r>
      <w:r w:rsidR="00211B2D" w:rsidRPr="00F200F4">
        <w:t>e</w:t>
      </w:r>
      <w:r w:rsidR="00211B2D" w:rsidRPr="00B47BDA">
        <w:t xml:space="preserve"> te smanjenje emisija onečišćujućih tvari,</w:t>
      </w:r>
    </w:p>
    <w:p w14:paraId="11ED6C44" w14:textId="1A22AC4E" w:rsidR="00211B2D" w:rsidRPr="00EE29A1" w:rsidRDefault="009835CE" w:rsidP="00EE29A1">
      <w:pPr>
        <w:pStyle w:val="ListParagraph"/>
        <w:numPr>
          <w:ilvl w:val="0"/>
          <w:numId w:val="112"/>
        </w:numPr>
        <w:tabs>
          <w:tab w:val="clear" w:pos="431"/>
          <w:tab w:val="left" w:pos="357"/>
        </w:tabs>
        <w:spacing w:after="60"/>
        <w:ind w:left="426" w:hanging="142"/>
      </w:pPr>
      <w:r>
        <w:t xml:space="preserve"> </w:t>
      </w:r>
      <w:r w:rsidR="00211B2D" w:rsidRPr="00B47BDA">
        <w:t>procijenjene uštede u 2030. 0,74 PJ; procijenjeno smanjenje emisija CO</w:t>
      </w:r>
      <w:r w:rsidR="00211B2D" w:rsidRPr="001D4E37">
        <w:rPr>
          <w:vertAlign w:val="subscript"/>
        </w:rPr>
        <w:t>2</w:t>
      </w:r>
      <w:r w:rsidR="00211B2D" w:rsidRPr="00B47BDA">
        <w:t xml:space="preserve"> u 2030. 361,7 ktCO</w:t>
      </w:r>
      <w:r w:rsidR="00211B2D" w:rsidRPr="001D4E37">
        <w:rPr>
          <w:vertAlign w:val="subscript"/>
        </w:rPr>
        <w:t>2</w:t>
      </w:r>
      <w:r w:rsidR="00211B2D" w:rsidRPr="00EE29A1">
        <w:t>e</w:t>
      </w:r>
      <w:r w:rsidR="00211B2D" w:rsidRPr="00B47BDA">
        <w:t>; kumulativne uštede energije u razdoblju 2021.-2030. 2,76 PJ; kumulativno smanjenje emisija CO</w:t>
      </w:r>
      <w:r w:rsidR="00211B2D" w:rsidRPr="001D4E37">
        <w:rPr>
          <w:vertAlign w:val="subscript"/>
        </w:rPr>
        <w:t>2</w:t>
      </w:r>
      <w:r w:rsidR="00211B2D" w:rsidRPr="00EE29A1">
        <w:t>e</w:t>
      </w:r>
      <w:r w:rsidR="00211B2D" w:rsidRPr="00B47BDA">
        <w:t xml:space="preserve"> u razdoblju 2021.-2030. 1532,9 ktCO</w:t>
      </w:r>
      <w:r w:rsidR="00211B2D" w:rsidRPr="001D4E37">
        <w:rPr>
          <w:vertAlign w:val="subscript"/>
        </w:rPr>
        <w:t>2</w:t>
      </w:r>
      <w:r w:rsidR="00211B2D" w:rsidRPr="00EE29A1">
        <w:t>e</w:t>
      </w:r>
      <w:r w:rsidR="00211B2D" w:rsidRPr="00B47BDA">
        <w:t>.</w:t>
      </w:r>
    </w:p>
    <w:p w14:paraId="5C5F2DAA" w14:textId="268B2E61" w:rsidR="00211B2D" w:rsidRPr="00B47BDA" w:rsidRDefault="00211B2D" w:rsidP="004623DD">
      <w:pPr>
        <w:pStyle w:val="ListParagraph"/>
        <w:rPr>
          <w:color w:val="000000"/>
        </w:rPr>
      </w:pPr>
      <w:r w:rsidRPr="00EE67E0">
        <w:rPr>
          <w:b/>
          <w:bCs/>
        </w:rPr>
        <w:t>Napomena:</w:t>
      </w:r>
      <w:r w:rsidRPr="00B47BDA">
        <w:t xml:space="preserve"> </w:t>
      </w:r>
      <w:r w:rsidR="003D1220">
        <w:t>P</w:t>
      </w:r>
      <w:r w:rsidRPr="00B47BDA">
        <w:t>rocijenjene uštede kumulativ su provedbe mjera TR-2, TR-</w:t>
      </w:r>
      <w:r w:rsidR="00032ACA">
        <w:t>3</w:t>
      </w:r>
      <w:r w:rsidRPr="00B47BDA">
        <w:t xml:space="preserve"> i TR-7.</w:t>
      </w:r>
    </w:p>
    <w:p w14:paraId="4A67BF1B" w14:textId="77777777" w:rsidR="00211B2D" w:rsidRPr="00B47BDA" w:rsidRDefault="00211B2D" w:rsidP="004623DD">
      <w:pPr>
        <w:rPr>
          <w:rFonts w:cs="Calibri"/>
          <w:color w:val="000000"/>
        </w:rPr>
      </w:pPr>
      <w:r w:rsidRPr="00B47BDA">
        <w:rPr>
          <w:rFonts w:cs="Calibri"/>
          <w:b/>
        </w:rPr>
        <w:t>Metoda praćenja:</w:t>
      </w:r>
      <w:r w:rsidRPr="00B47BDA">
        <w:rPr>
          <w:rFonts w:cs="Calibri"/>
        </w:rPr>
        <w:t xml:space="preserve"> </w:t>
      </w:r>
      <w:r w:rsidRPr="00B47BDA">
        <w:t>Učinci ove mjere evidentirat će se zasebno po projektima, propisanom TD metodologijom, uz eventualnu nadopunu/razradu nove BU metodologije</w:t>
      </w:r>
    </w:p>
    <w:p w14:paraId="091B3B50" w14:textId="77777777" w:rsidR="00211B2D" w:rsidRPr="00B47BDA" w:rsidRDefault="00211B2D" w:rsidP="004623DD">
      <w:pPr>
        <w:rPr>
          <w:rFonts w:cs="Calibri"/>
          <w:b/>
          <w:color w:val="000000"/>
        </w:rPr>
      </w:pPr>
      <w:r w:rsidRPr="00B47BDA">
        <w:rPr>
          <w:rFonts w:cs="Calibri"/>
          <w:b/>
        </w:rPr>
        <w:t xml:space="preserve">Pokazatelj provedbe mjere (indikator): </w:t>
      </w:r>
      <w:r w:rsidRPr="00B47BDA">
        <w:t>Broj u potpunosti implementiranih projekata.</w:t>
      </w:r>
    </w:p>
    <w:p w14:paraId="74BF30FE" w14:textId="77777777" w:rsidR="00211B2D" w:rsidRPr="00B47BDA" w:rsidRDefault="00211B2D" w:rsidP="004623DD">
      <w:pPr>
        <w:rPr>
          <w:rFonts w:cs="Calibri"/>
          <w:color w:val="000000"/>
        </w:rPr>
      </w:pPr>
      <w:r w:rsidRPr="00B47BDA">
        <w:rPr>
          <w:rFonts w:cs="Calibri"/>
          <w:b/>
        </w:rPr>
        <w:t xml:space="preserve">Povezanost s drugim dimenzijama: </w:t>
      </w:r>
      <w:r w:rsidRPr="00B47BDA">
        <w:t>Izravna povezanost s dimenzijom energetske učinkovitosti</w:t>
      </w:r>
    </w:p>
    <w:p w14:paraId="177D3A44" w14:textId="32C60926" w:rsidR="50AC7E63" w:rsidRDefault="00211B2D" w:rsidP="50AC7E63">
      <w:pPr>
        <w:rPr>
          <w:rFonts w:eastAsia="Calibri"/>
        </w:rPr>
      </w:pPr>
      <w:r w:rsidRPr="50AC7E63">
        <w:rPr>
          <w:rFonts w:eastAsia="Calibri" w:cs="Calibri"/>
          <w:b/>
          <w:bCs/>
        </w:rPr>
        <w:lastRenderedPageBreak/>
        <w:t xml:space="preserve">Istraživanje i razvoj: </w:t>
      </w:r>
      <w:r w:rsidRPr="50AC7E63">
        <w:rPr>
          <w:rFonts w:eastAsia="Calibri"/>
        </w:rPr>
        <w:t>Održiva mobilnost i alternativna goriva u prijevozu zahtijevaju razvoj novih tehnologija i to u domeni vozila, infrastrukture i naprednih sustava upravljanja temeljenim na informacijsko-komunikacijskim tehnologijama.</w:t>
      </w:r>
    </w:p>
    <w:p w14:paraId="5F8CD295" w14:textId="0701D4B7" w:rsidR="00165FD9" w:rsidRPr="00B47BDA" w:rsidRDefault="00165FD9" w:rsidP="00EE67E0">
      <w:pPr>
        <w:pStyle w:val="Mjeranaslov"/>
      </w:pPr>
      <w:r w:rsidRPr="00B47BDA">
        <w:t xml:space="preserve">TR-4 </w:t>
      </w:r>
      <w:r w:rsidR="00831699">
        <w:t>R</w:t>
      </w:r>
      <w:r w:rsidRPr="00B47BDA">
        <w:t>azvoj energetski učinkovitog pomorskog prometa i prometa unutarnje plovidbe</w:t>
      </w:r>
    </w:p>
    <w:p w14:paraId="38778E5F" w14:textId="77777777" w:rsidR="00165FD9" w:rsidRPr="00B47BDA" w:rsidRDefault="00165FD9" w:rsidP="004623DD">
      <w:pPr>
        <w:pStyle w:val="NormalWeb"/>
      </w:pPr>
      <w:r w:rsidRPr="00B47BDA">
        <w:t>Financijska mjera; provedba 2021. - 2030.</w:t>
      </w:r>
    </w:p>
    <w:p w14:paraId="5D9DB018" w14:textId="7E1CA830" w:rsidR="00165FD9" w:rsidRPr="00B47BDA" w:rsidRDefault="00165FD9" w:rsidP="004623DD">
      <w:pPr>
        <w:pStyle w:val="NormalWeb"/>
      </w:pPr>
      <w:r w:rsidRPr="63259912">
        <w:rPr>
          <w:b/>
          <w:bCs/>
        </w:rPr>
        <w:t>Cilj i opis mjere:</w:t>
      </w:r>
      <w:r w:rsidRPr="63259912">
        <w:t xml:space="preserve"> </w:t>
      </w:r>
      <w:r w:rsidR="003D1220" w:rsidRPr="63259912">
        <w:t>M</w:t>
      </w:r>
      <w:r w:rsidRPr="63259912">
        <w:t xml:space="preserve">jera podrazumijeva poticanje izgradnje sustava za opskrbu električnom energijom s kopna za brodove za plovidbu morem i za plovila unutarnje plovidbe. Opskrba električnom energijom s kopna za brodove i plovila, engl. </w:t>
      </w:r>
      <w:r w:rsidRPr="63259912">
        <w:rPr>
          <w:i/>
          <w:iCs/>
        </w:rPr>
        <w:t>On-Shore Power Supply (OPS)</w:t>
      </w:r>
      <w:r w:rsidRPr="63259912">
        <w:t xml:space="preserve"> oblik je distribuiranog sustava energije koji smanjuje potrebu brodova i plovila za korištenjem ugrađenih generatora te pomaže u smanjenju onečišćenja zraka i buke u lukama. Osim toga, mjerom se predviđa i poticanje izgradnje javno dostupnih postaja za opskrbu vodikom, amonijakom i / ili ukapljenim prirodnim plinom pomorskih brodova i / ili plovila unutarnje plovidbe s pogonom na vodik, amonijak ili ukapljeni prirodni plin. Isto tako, mjera podrazumijeva sufinanciranje nabave</w:t>
      </w:r>
      <w:r w:rsidR="000040DF" w:rsidRPr="63259912">
        <w:t xml:space="preserve"> brodova i</w:t>
      </w:r>
      <w:r w:rsidRPr="63259912">
        <w:t xml:space="preserve"> plovila s pogonom na alternativna goriva.</w:t>
      </w:r>
    </w:p>
    <w:p w14:paraId="057983E8" w14:textId="77777777" w:rsidR="00165FD9" w:rsidRPr="00EE67E0" w:rsidRDefault="00165FD9" w:rsidP="004623DD">
      <w:pPr>
        <w:rPr>
          <w:rFonts w:eastAsia="Calibri"/>
          <w:b/>
          <w:bCs/>
        </w:rPr>
      </w:pPr>
      <w:r w:rsidRPr="00EE67E0">
        <w:rPr>
          <w:b/>
          <w:bCs/>
        </w:rPr>
        <w:t xml:space="preserve">Aktivnosti: </w:t>
      </w:r>
    </w:p>
    <w:p w14:paraId="21C60013" w14:textId="1E4071B0" w:rsidR="00165FD9" w:rsidRPr="00B47BDA" w:rsidRDefault="392B0D8B" w:rsidP="00A563AA">
      <w:pPr>
        <w:pStyle w:val="ListParagraph"/>
        <w:numPr>
          <w:ilvl w:val="0"/>
          <w:numId w:val="111"/>
        </w:numPr>
        <w:rPr>
          <w:rFonts w:eastAsia="Calibri"/>
        </w:rPr>
      </w:pPr>
      <w:r>
        <w:t>Poticanje izgradnje infrastrukture namijenjene opskrbi u pomorskom prometu (sustava opskrbe električnom energijom s kopna na kontejnerske i putničke brodove za plovidbu morem te infrastrukturu za opskrbu vodikom, ukapljenim prirodnim plinom i amonijakom u morskim lukama),</w:t>
      </w:r>
    </w:p>
    <w:p w14:paraId="43FD937F" w14:textId="77777777" w:rsidR="00165FD9" w:rsidRPr="00B47BDA" w:rsidRDefault="00165FD9" w:rsidP="00A563AA">
      <w:pPr>
        <w:pStyle w:val="ListParagraph"/>
        <w:numPr>
          <w:ilvl w:val="0"/>
          <w:numId w:val="111"/>
        </w:numPr>
        <w:rPr>
          <w:rFonts w:eastAsia="Calibri"/>
        </w:rPr>
      </w:pPr>
      <w:r w:rsidRPr="00B47BDA">
        <w:rPr>
          <w:rFonts w:eastAsia="Calibri"/>
        </w:rPr>
        <w:t xml:space="preserve">Poticanje nabave brodova / </w:t>
      </w:r>
      <w:r w:rsidRPr="00B47BDA">
        <w:t>plovila s pogonom na alternativna goriva.</w:t>
      </w:r>
    </w:p>
    <w:p w14:paraId="72104A9F" w14:textId="00E76A36" w:rsidR="00165FD9" w:rsidRPr="00B47BDA" w:rsidRDefault="00165FD9" w:rsidP="004623DD">
      <w:r w:rsidRPr="00EE67E0">
        <w:rPr>
          <w:b/>
          <w:bCs/>
        </w:rPr>
        <w:t>Sredstva potrebna za provedbu:</w:t>
      </w:r>
      <w:r w:rsidRPr="00B47BDA">
        <w:t xml:space="preserve"> </w:t>
      </w:r>
      <w:r w:rsidR="00D71556">
        <w:t>204,7</w:t>
      </w:r>
      <w:r w:rsidRPr="00B47BDA">
        <w:t xml:space="preserve"> milijuna EUR</w:t>
      </w:r>
    </w:p>
    <w:p w14:paraId="760BADA5" w14:textId="4740968D" w:rsidR="00165FD9" w:rsidRPr="00B47BDA" w:rsidRDefault="00165FD9" w:rsidP="004623DD">
      <w:r w:rsidRPr="00B47BDA">
        <w:rPr>
          <w:b/>
        </w:rPr>
        <w:t xml:space="preserve">Izvori financiranja: </w:t>
      </w:r>
      <w:r w:rsidR="00C2650E" w:rsidRPr="00B47BDA">
        <w:t>Nacionalni plan oporavka i otpornosti</w:t>
      </w:r>
      <w:r w:rsidR="00C2650E">
        <w:t xml:space="preserve"> (</w:t>
      </w:r>
      <w:r w:rsidR="00AC1EB5">
        <w:t>45,2</w:t>
      </w:r>
      <w:r w:rsidR="00C2650E">
        <w:t xml:space="preserve"> milijuna EUR)</w:t>
      </w:r>
      <w:r w:rsidR="00C2650E" w:rsidRPr="00B47BDA">
        <w:t>,</w:t>
      </w:r>
      <w:r w:rsidR="00C2650E">
        <w:t xml:space="preserve"> OP Konkurentnost i kohezija (</w:t>
      </w:r>
      <w:r w:rsidR="00E4156B">
        <w:t>47,8</w:t>
      </w:r>
      <w:r w:rsidR="00C2650E">
        <w:t xml:space="preserve"> milijuna EUR), Program Konkurentnost i kohezija (</w:t>
      </w:r>
      <w:r w:rsidR="003274BC">
        <w:t>111,8</w:t>
      </w:r>
      <w:r w:rsidR="00C2650E">
        <w:t xml:space="preserve"> milijuna EUR)</w:t>
      </w:r>
      <w:r w:rsidR="00C16304">
        <w:t xml:space="preserve">, </w:t>
      </w:r>
      <w:r w:rsidR="00C16304" w:rsidRPr="00C16304">
        <w:t>prihod</w:t>
      </w:r>
      <w:r w:rsidR="00C16304">
        <w:t>i</w:t>
      </w:r>
      <w:r w:rsidR="00C16304" w:rsidRPr="00C16304">
        <w:t xml:space="preserve"> od prodaje emisijskih jedinica iz EU ETS</w:t>
      </w:r>
      <w:r w:rsidR="00C2650E">
        <w:t>.</w:t>
      </w:r>
      <w:r w:rsidR="00C2650E" w:rsidRPr="00B47BDA">
        <w:t xml:space="preserve"> </w:t>
      </w:r>
    </w:p>
    <w:p w14:paraId="391184C2" w14:textId="639BB8D2" w:rsidR="00165FD9" w:rsidRPr="00B47BDA" w:rsidRDefault="00165FD9" w:rsidP="004623DD">
      <w:r w:rsidRPr="00B47BDA">
        <w:rPr>
          <w:b/>
        </w:rPr>
        <w:t>Izvršno tijelo:</w:t>
      </w:r>
      <w:r w:rsidRPr="00B47BDA">
        <w:t xml:space="preserve"> MINGO, MMPI, FZOEU</w:t>
      </w:r>
    </w:p>
    <w:p w14:paraId="701EDD04" w14:textId="26B7B809" w:rsidR="00165FD9" w:rsidRPr="00B47BDA" w:rsidRDefault="00165FD9" w:rsidP="004623DD">
      <w:r w:rsidRPr="00EE67E0">
        <w:rPr>
          <w:b/>
          <w:bCs/>
        </w:rPr>
        <w:t>Tijela za praćenje:</w:t>
      </w:r>
      <w:r w:rsidRPr="00B47BDA">
        <w:t xml:space="preserve"> MINGO, MMPI</w:t>
      </w:r>
    </w:p>
    <w:p w14:paraId="6B11DAC9" w14:textId="4FED2919" w:rsidR="00165FD9" w:rsidRPr="00B47BDA" w:rsidRDefault="00165FD9" w:rsidP="004623DD">
      <w:r w:rsidRPr="00B47BDA">
        <w:rPr>
          <w:b/>
        </w:rPr>
        <w:t xml:space="preserve">Učinak: </w:t>
      </w:r>
      <w:r w:rsidRPr="00B47BDA">
        <w:t>Indikativni cilj u razdoblju do 2030. godine iznosi 80 MVA instalirane OPS snage, te instaliranu infrastrukturu u 7 morskih luka i 4 luke unutarnjih plovnih putova</w:t>
      </w:r>
      <w:r w:rsidR="00D92D44">
        <w:t>.</w:t>
      </w:r>
    </w:p>
    <w:p w14:paraId="2703466F" w14:textId="77777777" w:rsidR="00165FD9" w:rsidRPr="00B47BDA" w:rsidRDefault="00165FD9" w:rsidP="004623DD">
      <w:r w:rsidRPr="00B47BDA">
        <w:rPr>
          <w:b/>
        </w:rPr>
        <w:t>Metoda praćenja:</w:t>
      </w:r>
      <w:r w:rsidRPr="00B47BDA">
        <w:t xml:space="preserve"> Centralni registar infrastrukture za alternativna goriva.</w:t>
      </w:r>
    </w:p>
    <w:p w14:paraId="43B1DC14" w14:textId="354CA1EC" w:rsidR="00165FD9" w:rsidRPr="00B47BDA" w:rsidRDefault="00165FD9" w:rsidP="004623DD">
      <w:pPr>
        <w:rPr>
          <w:b/>
        </w:rPr>
      </w:pPr>
      <w:r w:rsidRPr="00B47BDA">
        <w:rPr>
          <w:b/>
        </w:rPr>
        <w:t xml:space="preserve">Pokazatelj provedbe mjere (indikator): </w:t>
      </w:r>
      <w:r w:rsidRPr="00B47BDA">
        <w:t xml:space="preserve">Instalirana snaga OPS </w:t>
      </w:r>
      <w:r>
        <w:t>su</w:t>
      </w:r>
      <w:r w:rsidR="31F48265">
        <w:t>s</w:t>
      </w:r>
      <w:r>
        <w:t>tava</w:t>
      </w:r>
      <w:r w:rsidRPr="00B47BDA">
        <w:t>, broj luka u kojima je instalirana infrastruktura za opskrbu alternativnim gorivima, kapaciteti instalirane infrastrukture, broj brodova / plovila s pogonom na alternativna goriva.</w:t>
      </w:r>
    </w:p>
    <w:p w14:paraId="4F65B755" w14:textId="3086BADB" w:rsidR="006E0A1B" w:rsidRDefault="006E0A1B" w:rsidP="63259912">
      <w:pPr>
        <w:rPr>
          <w:rFonts w:eastAsia="Calibri"/>
          <w:b/>
          <w:bCs/>
        </w:rPr>
      </w:pPr>
      <w:r w:rsidRPr="63259912">
        <w:rPr>
          <w:b/>
          <w:bCs/>
        </w:rPr>
        <w:t>Povezanost s drugim dimenzijama</w:t>
      </w:r>
      <w:r w:rsidRPr="63259912">
        <w:t xml:space="preserve">: </w:t>
      </w:r>
      <w:r w:rsidR="00E770B2" w:rsidRPr="63259912">
        <w:t>I</w:t>
      </w:r>
      <w:r w:rsidRPr="63259912">
        <w:t>zravna povezanost s dimenzijom dekarbonizacije</w:t>
      </w:r>
      <w:r w:rsidR="00E770B2" w:rsidRPr="63259912">
        <w:t>.</w:t>
      </w:r>
    </w:p>
    <w:p w14:paraId="342AB84D" w14:textId="34A5C4E9" w:rsidR="00165FD9" w:rsidRPr="00B47BDA" w:rsidRDefault="00165FD9" w:rsidP="004623DD">
      <w:pPr>
        <w:rPr>
          <w:rFonts w:eastAsia="Calibri"/>
          <w:b/>
        </w:rPr>
      </w:pPr>
      <w:r w:rsidRPr="00B47BDA">
        <w:rPr>
          <w:rFonts w:eastAsia="Calibri"/>
          <w:b/>
        </w:rPr>
        <w:t xml:space="preserve">Istraživanje i razvoj: </w:t>
      </w:r>
      <w:r w:rsidRPr="00B47BDA">
        <w:rPr>
          <w:rFonts w:eastAsia="Calibri"/>
        </w:rPr>
        <w:t>Održiva mobilnost i alternativna goriva u vodnom prijevozu zahtijevaju razvoj novih tehnologija i to u domeni brodova / plovila, infrastrukture i naprednih sustava upravljanja temeljenim na informacijsko-komunikacijskim tehnologijama.</w:t>
      </w:r>
    </w:p>
    <w:p w14:paraId="2915671D" w14:textId="712EA61F" w:rsidR="004F4FD3" w:rsidRPr="00B47BDA" w:rsidRDefault="004F4FD3" w:rsidP="00EE67E0">
      <w:pPr>
        <w:pStyle w:val="Mjeranaslov"/>
      </w:pPr>
      <w:r>
        <w:lastRenderedPageBreak/>
        <w:t xml:space="preserve">TR-5 </w:t>
      </w:r>
      <w:r w:rsidR="00831699">
        <w:t>R</w:t>
      </w:r>
      <w:r>
        <w:t>azvoj energetski učinkovitog željezničkog prometa</w:t>
      </w:r>
    </w:p>
    <w:p w14:paraId="35219548" w14:textId="77777777" w:rsidR="004F4FD3" w:rsidRPr="00B47BDA" w:rsidRDefault="004F4FD3" w:rsidP="004623DD">
      <w:pPr>
        <w:pStyle w:val="NormalWeb"/>
      </w:pPr>
      <w:r w:rsidRPr="00B47BDA">
        <w:t>Financijska mjera; provedba 2021. - 2030.</w:t>
      </w:r>
    </w:p>
    <w:p w14:paraId="6468CB83" w14:textId="021F244A" w:rsidR="004F4FD3" w:rsidRPr="009F66A6" w:rsidRDefault="004F4FD3" w:rsidP="004623DD">
      <w:pPr>
        <w:pStyle w:val="NormalWeb"/>
      </w:pPr>
      <w:r w:rsidRPr="00B47BDA">
        <w:rPr>
          <w:b/>
        </w:rPr>
        <w:t xml:space="preserve">Cilj i opis mjere: </w:t>
      </w:r>
      <w:r w:rsidR="003D1220">
        <w:t>O</w:t>
      </w:r>
      <w:r w:rsidRPr="00B47BDA">
        <w:t>vom mjerom se utvrđuje cilj da se na dionicama željezničkih pruga osnovne i sveobuhvatne TEN-T mreže čija elektrifikacija nije moguća iz tehničkih ili troškovnih razloga, izgradi primjeren broj postaja za opskrbu električnom energijom ili vodikom elektromotornih vlakova s baterijskim sustavom pohrane i vlakova s pogonom na vodik.</w:t>
      </w:r>
      <w:r w:rsidR="00E6620B">
        <w:t xml:space="preserve"> </w:t>
      </w:r>
      <w:r w:rsidR="0004164D">
        <w:t xml:space="preserve">Osim toga, </w:t>
      </w:r>
      <w:r w:rsidR="0004164D" w:rsidRPr="0004164D">
        <w:t>u razdoblju do 2030. godine provest</w:t>
      </w:r>
      <w:r w:rsidR="0004164D">
        <w:t xml:space="preserve"> će se</w:t>
      </w:r>
      <w:r w:rsidR="0004164D" w:rsidRPr="0004164D">
        <w:t xml:space="preserve"> dodatna ulaganja u obnovu, osuvremenjivanje, izgradnju i održavanje željezničke infrastrukture kako bi se omogućile kvalitetnije usluge željezničkog prijevoza, povećao broj korisnika usluga, a samim time povećao i udio željezničkog prijevoza u ukupnom prometu. Nacionalnim planom razvoja željezničke infrastrukture do 2030. godine utvrđen je provedbeni okvir te akcijski plan kojim su utvrđene konkretne mjer</w:t>
      </w:r>
      <w:r w:rsidR="009F596E">
        <w:t>e</w:t>
      </w:r>
      <w:r w:rsidR="0004164D" w:rsidRPr="0004164D">
        <w:t xml:space="preserve"> koje će se provesti radi ostvarenja posebnih ciljeva Nacionalnog plana.</w:t>
      </w:r>
    </w:p>
    <w:p w14:paraId="2354510F" w14:textId="2A76275B" w:rsidR="004F4FD3" w:rsidRDefault="0BB2E83B" w:rsidP="004623DD">
      <w:pPr>
        <w:pStyle w:val="NormalWeb"/>
      </w:pPr>
      <w:r w:rsidRPr="1C9333AB">
        <w:rPr>
          <w:b/>
          <w:bCs/>
        </w:rPr>
        <w:t>Aktivnosti:</w:t>
      </w:r>
      <w:r>
        <w:t xml:space="preserve"> Uvođenje novih baterijskih vlakova za prijevoz putnika željeznicom na neelektrificiranim pruga</w:t>
      </w:r>
      <w:r w:rsidR="009C3674">
        <w:t>ma</w:t>
      </w:r>
      <w:r>
        <w:t xml:space="preserve"> i izgradnja stabilnih energetskih priključaka za punjenje baterija sukladno </w:t>
      </w:r>
      <w:r w:rsidRPr="1C9333AB">
        <w:rPr>
          <w:i/>
          <w:iCs/>
        </w:rPr>
        <w:t>Programu poticanja izgradnje infrastrukture za alternativna goriva u Republici Hrvatskoj</w:t>
      </w:r>
      <w:r>
        <w:t>.</w:t>
      </w:r>
      <w:r w:rsidR="6F1CF770">
        <w:t xml:space="preserve"> </w:t>
      </w:r>
    </w:p>
    <w:p w14:paraId="4A27A06F" w14:textId="4875EDFA" w:rsidR="009F596E" w:rsidRDefault="00690679" w:rsidP="009F66A6">
      <w:pPr>
        <w:pStyle w:val="NormalWeb"/>
        <w:spacing w:before="0" w:beforeAutospacing="0" w:after="0" w:afterAutospacing="0"/>
        <w:rPr>
          <w:rFonts w:eastAsia="Calibri"/>
        </w:rPr>
      </w:pPr>
      <w:r>
        <w:rPr>
          <w:rFonts w:eastAsia="Calibri"/>
        </w:rPr>
        <w:t xml:space="preserve">Provedbene aktivnosti utvrđene </w:t>
      </w:r>
      <w:r w:rsidRPr="00690679">
        <w:rPr>
          <w:rFonts w:eastAsia="Calibri"/>
        </w:rPr>
        <w:t>Nacionalnim planom razvoja željezničke infrastrukture</w:t>
      </w:r>
      <w:r>
        <w:rPr>
          <w:rFonts w:eastAsia="Calibri"/>
        </w:rPr>
        <w:t>:</w:t>
      </w:r>
    </w:p>
    <w:p w14:paraId="31D13B30" w14:textId="49641AD3" w:rsidR="00654B43" w:rsidRDefault="00E80FAC" w:rsidP="009F66A6">
      <w:pPr>
        <w:pStyle w:val="NormalWeb"/>
        <w:numPr>
          <w:ilvl w:val="0"/>
          <w:numId w:val="139"/>
        </w:numPr>
        <w:spacing w:before="0" w:beforeAutospacing="0" w:after="0" w:afterAutospacing="0"/>
        <w:rPr>
          <w:rFonts w:eastAsia="Calibri"/>
        </w:rPr>
      </w:pPr>
      <w:r>
        <w:rPr>
          <w:rFonts w:eastAsia="Calibri"/>
        </w:rPr>
        <w:t>u</w:t>
      </w:r>
      <w:r w:rsidR="00654B43" w:rsidRPr="00654B43">
        <w:rPr>
          <w:rFonts w:eastAsia="Calibri"/>
        </w:rPr>
        <w:t>naprjeđenje sustava za upravljanje željezničkom infrastrukturom</w:t>
      </w:r>
      <w:r>
        <w:rPr>
          <w:rFonts w:eastAsia="Calibri"/>
        </w:rPr>
        <w:t>,</w:t>
      </w:r>
    </w:p>
    <w:p w14:paraId="30F7650B" w14:textId="334E0692" w:rsidR="00654B43" w:rsidRPr="00654B43" w:rsidRDefault="00E80FAC" w:rsidP="009F66A6">
      <w:pPr>
        <w:pStyle w:val="NormalWeb"/>
        <w:numPr>
          <w:ilvl w:val="0"/>
          <w:numId w:val="139"/>
        </w:numPr>
        <w:spacing w:before="0" w:beforeAutospacing="0" w:after="0" w:afterAutospacing="0"/>
        <w:rPr>
          <w:rFonts w:eastAsia="Calibri"/>
        </w:rPr>
      </w:pPr>
      <w:r>
        <w:rPr>
          <w:rFonts w:eastAsia="Calibri"/>
        </w:rPr>
        <w:t>u</w:t>
      </w:r>
      <w:r w:rsidR="00654B43" w:rsidRPr="00654B43">
        <w:rPr>
          <w:rFonts w:eastAsia="Calibri"/>
        </w:rPr>
        <w:t>naprjeđenje sustava održavanja željezničke infrastrukture</w:t>
      </w:r>
      <w:r>
        <w:rPr>
          <w:rFonts w:eastAsia="Calibri"/>
        </w:rPr>
        <w:t>,</w:t>
      </w:r>
    </w:p>
    <w:p w14:paraId="1DEC26A6" w14:textId="62F97487" w:rsidR="00654B43" w:rsidRPr="00654B43" w:rsidRDefault="00E80FAC" w:rsidP="009F66A6">
      <w:pPr>
        <w:pStyle w:val="NormalWeb"/>
        <w:numPr>
          <w:ilvl w:val="0"/>
          <w:numId w:val="139"/>
        </w:numPr>
        <w:spacing w:before="0" w:beforeAutospacing="0" w:after="0" w:afterAutospacing="0"/>
        <w:rPr>
          <w:rFonts w:eastAsia="Calibri"/>
        </w:rPr>
      </w:pPr>
      <w:r>
        <w:rPr>
          <w:rFonts w:eastAsia="Calibri"/>
        </w:rPr>
        <w:t>p</w:t>
      </w:r>
      <w:r w:rsidR="00654B43" w:rsidRPr="00654B43">
        <w:rPr>
          <w:rFonts w:eastAsia="Calibri"/>
        </w:rPr>
        <w:t>riprema i provedba programa obnove i modernizacije željezničke infrastrukture</w:t>
      </w:r>
      <w:r>
        <w:rPr>
          <w:rFonts w:eastAsia="Calibri"/>
        </w:rPr>
        <w:t>,</w:t>
      </w:r>
    </w:p>
    <w:p w14:paraId="07936502" w14:textId="715CBABD" w:rsidR="00654B43" w:rsidRPr="00654B43" w:rsidRDefault="00E80FAC" w:rsidP="009F66A6">
      <w:pPr>
        <w:pStyle w:val="NormalWeb"/>
        <w:numPr>
          <w:ilvl w:val="0"/>
          <w:numId w:val="139"/>
        </w:numPr>
        <w:spacing w:before="0" w:beforeAutospacing="0" w:after="0" w:afterAutospacing="0"/>
        <w:rPr>
          <w:rFonts w:eastAsia="Calibri"/>
        </w:rPr>
      </w:pPr>
      <w:r>
        <w:rPr>
          <w:rFonts w:eastAsia="Calibri"/>
        </w:rPr>
        <w:t>e</w:t>
      </w:r>
      <w:r w:rsidR="00654B43" w:rsidRPr="00654B43">
        <w:rPr>
          <w:rFonts w:eastAsia="Calibri"/>
        </w:rPr>
        <w:t>nergetska obnova lokacija pod upravljanjem i u vlasništvu javnih željezničkih društava</w:t>
      </w:r>
      <w:r>
        <w:rPr>
          <w:rFonts w:eastAsia="Calibri"/>
        </w:rPr>
        <w:t>,</w:t>
      </w:r>
    </w:p>
    <w:p w14:paraId="3C96A1C5" w14:textId="081C9877" w:rsidR="00654B43" w:rsidRPr="00654B43" w:rsidRDefault="00E80FAC" w:rsidP="009F66A6">
      <w:pPr>
        <w:pStyle w:val="NormalWeb"/>
        <w:numPr>
          <w:ilvl w:val="0"/>
          <w:numId w:val="139"/>
        </w:numPr>
        <w:spacing w:before="0" w:beforeAutospacing="0" w:after="0" w:afterAutospacing="0"/>
        <w:rPr>
          <w:rFonts w:eastAsia="Calibri"/>
        </w:rPr>
      </w:pPr>
      <w:r>
        <w:rPr>
          <w:rFonts w:eastAsia="Calibri"/>
        </w:rPr>
        <w:t>u</w:t>
      </w:r>
      <w:r w:rsidR="00654B43" w:rsidRPr="00654B43">
        <w:rPr>
          <w:rFonts w:eastAsia="Calibri"/>
        </w:rPr>
        <w:t>gradnja infrastrukture za korištenje obnovljivih i alternativnih izvora energije</w:t>
      </w:r>
      <w:r>
        <w:rPr>
          <w:rFonts w:eastAsia="Calibri"/>
        </w:rPr>
        <w:t>,</w:t>
      </w:r>
    </w:p>
    <w:p w14:paraId="79C8C433" w14:textId="4F5E0B9D" w:rsidR="00654B43" w:rsidRPr="00654B43" w:rsidRDefault="00E80FAC" w:rsidP="009F66A6">
      <w:pPr>
        <w:pStyle w:val="NormalWeb"/>
        <w:numPr>
          <w:ilvl w:val="0"/>
          <w:numId w:val="139"/>
        </w:numPr>
        <w:spacing w:before="0" w:beforeAutospacing="0" w:after="0" w:afterAutospacing="0"/>
        <w:rPr>
          <w:rFonts w:eastAsia="Calibri"/>
        </w:rPr>
      </w:pPr>
      <w:r>
        <w:rPr>
          <w:rFonts w:eastAsia="Calibri"/>
        </w:rPr>
        <w:t>i</w:t>
      </w:r>
      <w:r w:rsidR="00654B43" w:rsidRPr="00654B43">
        <w:rPr>
          <w:rFonts w:eastAsia="Calibri"/>
        </w:rPr>
        <w:t>zgradnja infrastrukture za integraciju željeznice u javni prijevoz putnika na glavnim prometnim čvorištima</w:t>
      </w:r>
      <w:r>
        <w:rPr>
          <w:rFonts w:eastAsia="Calibri"/>
        </w:rPr>
        <w:t>,</w:t>
      </w:r>
    </w:p>
    <w:p w14:paraId="261BDD3A" w14:textId="09D860B1" w:rsidR="00654B43" w:rsidRPr="00654B43" w:rsidRDefault="00E80FAC" w:rsidP="63259912">
      <w:pPr>
        <w:pStyle w:val="NormalWeb"/>
        <w:numPr>
          <w:ilvl w:val="0"/>
          <w:numId w:val="139"/>
        </w:numPr>
        <w:spacing w:before="0" w:beforeAutospacing="0" w:after="0" w:afterAutospacing="0"/>
        <w:rPr>
          <w:rFonts w:eastAsia="Calibri"/>
        </w:rPr>
      </w:pPr>
      <w:r w:rsidRPr="63259912">
        <w:rPr>
          <w:rFonts w:eastAsia="Calibri"/>
        </w:rPr>
        <w:t>m</w:t>
      </w:r>
      <w:r w:rsidR="00654B43" w:rsidRPr="63259912">
        <w:rPr>
          <w:rFonts w:eastAsia="Calibri"/>
        </w:rPr>
        <w:t>odernizacija postojeće i izgradnja nove željezničke infrastrukture za intermodalni prijevoz</w:t>
      </w:r>
      <w:r w:rsidRPr="63259912">
        <w:rPr>
          <w:rFonts w:eastAsia="Calibri"/>
        </w:rPr>
        <w:t>,</w:t>
      </w:r>
    </w:p>
    <w:p w14:paraId="1602C7EC" w14:textId="3DA1CE7B" w:rsidR="00654B43" w:rsidRDefault="00E80FAC" w:rsidP="009F66A6">
      <w:pPr>
        <w:pStyle w:val="NormalWeb"/>
        <w:numPr>
          <w:ilvl w:val="0"/>
          <w:numId w:val="139"/>
        </w:numPr>
        <w:spacing w:before="0" w:beforeAutospacing="0" w:after="0" w:afterAutospacing="0"/>
        <w:rPr>
          <w:rFonts w:eastAsia="Calibri"/>
        </w:rPr>
      </w:pPr>
      <w:r>
        <w:rPr>
          <w:rFonts w:eastAsia="Calibri"/>
        </w:rPr>
        <w:t>u</w:t>
      </w:r>
      <w:r w:rsidR="00654B43" w:rsidRPr="00654B43">
        <w:rPr>
          <w:rFonts w:eastAsia="Calibri"/>
        </w:rPr>
        <w:t>naprjeđenje kapaciteta željezničke infrastrukture na području luka (u pomorskom i riječnom prometu)</w:t>
      </w:r>
      <w:r>
        <w:rPr>
          <w:rFonts w:eastAsia="Calibri"/>
        </w:rPr>
        <w:t>,</w:t>
      </w:r>
    </w:p>
    <w:p w14:paraId="03BC7803" w14:textId="6841A2F5" w:rsidR="00654B43" w:rsidRPr="00C36B1C" w:rsidRDefault="00E80FAC" w:rsidP="00F200F4">
      <w:pPr>
        <w:pStyle w:val="NormalWeb"/>
        <w:numPr>
          <w:ilvl w:val="0"/>
          <w:numId w:val="139"/>
        </w:numPr>
        <w:spacing w:before="0" w:beforeAutospacing="0" w:after="0" w:afterAutospacing="0"/>
        <w:rPr>
          <w:rFonts w:eastAsia="Calibri"/>
        </w:rPr>
      </w:pPr>
      <w:r w:rsidRPr="00C36B1C">
        <w:rPr>
          <w:rFonts w:eastAsia="Calibri"/>
        </w:rPr>
        <w:t>i</w:t>
      </w:r>
      <w:r w:rsidR="00654B43" w:rsidRPr="00C36B1C">
        <w:rPr>
          <w:rFonts w:eastAsia="Calibri"/>
        </w:rPr>
        <w:t>zgradnja željezničke infrastrukture u svrhu pristupa zračnim terminalima</w:t>
      </w:r>
      <w:r w:rsidRPr="00C36B1C">
        <w:rPr>
          <w:rFonts w:eastAsia="Calibri"/>
        </w:rPr>
        <w:t>,</w:t>
      </w:r>
    </w:p>
    <w:p w14:paraId="7054C54E" w14:textId="6A3E723E" w:rsidR="00654B43" w:rsidRPr="00654B43" w:rsidRDefault="00E80FAC" w:rsidP="009F66A6">
      <w:pPr>
        <w:pStyle w:val="NormalWeb"/>
        <w:numPr>
          <w:ilvl w:val="0"/>
          <w:numId w:val="139"/>
        </w:numPr>
        <w:spacing w:before="0" w:beforeAutospacing="0" w:after="0" w:afterAutospacing="0"/>
        <w:rPr>
          <w:rFonts w:eastAsia="Calibri"/>
        </w:rPr>
      </w:pPr>
      <w:r>
        <w:rPr>
          <w:rFonts w:eastAsia="Calibri"/>
        </w:rPr>
        <w:t>u</w:t>
      </w:r>
      <w:r w:rsidR="00654B43" w:rsidRPr="00654B43">
        <w:rPr>
          <w:rFonts w:eastAsia="Calibri"/>
        </w:rPr>
        <w:t>naprjeđenje prometno – upravljačkog i signalno – sigurnosnog infrastrukturnog podsustava</w:t>
      </w:r>
      <w:r>
        <w:rPr>
          <w:rFonts w:eastAsia="Calibri"/>
        </w:rPr>
        <w:t>,</w:t>
      </w:r>
    </w:p>
    <w:p w14:paraId="7F2246B4" w14:textId="68A32FC4" w:rsidR="00654B43" w:rsidRPr="00654B43" w:rsidRDefault="00E80FAC" w:rsidP="009F66A6">
      <w:pPr>
        <w:pStyle w:val="NormalWeb"/>
        <w:numPr>
          <w:ilvl w:val="0"/>
          <w:numId w:val="139"/>
        </w:numPr>
        <w:spacing w:before="0" w:beforeAutospacing="0" w:after="0" w:afterAutospacing="0"/>
        <w:rPr>
          <w:rFonts w:eastAsia="Calibri"/>
        </w:rPr>
      </w:pPr>
      <w:r>
        <w:rPr>
          <w:rFonts w:eastAsia="Calibri"/>
        </w:rPr>
        <w:t>u</w:t>
      </w:r>
      <w:r w:rsidR="00654B43" w:rsidRPr="00654B43">
        <w:rPr>
          <w:rFonts w:eastAsia="Calibri"/>
        </w:rPr>
        <w:t>naprjeđenje i modernizacija križanja sa željezničkom prugom</w:t>
      </w:r>
      <w:r>
        <w:rPr>
          <w:rFonts w:eastAsia="Calibri"/>
        </w:rPr>
        <w:t>,</w:t>
      </w:r>
    </w:p>
    <w:p w14:paraId="60FF73E1" w14:textId="04850A41" w:rsidR="00654B43" w:rsidRPr="00654B43" w:rsidRDefault="00E80FAC" w:rsidP="009F66A6">
      <w:pPr>
        <w:pStyle w:val="NormalWeb"/>
        <w:numPr>
          <w:ilvl w:val="0"/>
          <w:numId w:val="139"/>
        </w:numPr>
        <w:spacing w:before="0" w:beforeAutospacing="0" w:after="0" w:afterAutospacing="0"/>
        <w:rPr>
          <w:rFonts w:eastAsia="Calibri"/>
        </w:rPr>
      </w:pPr>
      <w:r>
        <w:rPr>
          <w:rFonts w:eastAsia="Calibri"/>
        </w:rPr>
        <w:t>u</w:t>
      </w:r>
      <w:r w:rsidR="00654B43" w:rsidRPr="00654B43">
        <w:rPr>
          <w:rFonts w:eastAsia="Calibri"/>
        </w:rPr>
        <w:t>naprjeđenje infrastrukture za sigurnosne i tehničke kontrole</w:t>
      </w:r>
      <w:r>
        <w:rPr>
          <w:rFonts w:eastAsia="Calibri"/>
        </w:rPr>
        <w:t>,</w:t>
      </w:r>
    </w:p>
    <w:p w14:paraId="3C30A651" w14:textId="0124D2EC" w:rsidR="00690679" w:rsidRDefault="00E80FAC" w:rsidP="63259912">
      <w:pPr>
        <w:pStyle w:val="NormalWeb"/>
        <w:numPr>
          <w:ilvl w:val="0"/>
          <w:numId w:val="139"/>
        </w:numPr>
        <w:spacing w:before="0" w:beforeAutospacing="0" w:after="0" w:afterAutospacing="0"/>
        <w:rPr>
          <w:rFonts w:eastAsia="Calibri"/>
        </w:rPr>
      </w:pPr>
      <w:r w:rsidRPr="63259912">
        <w:rPr>
          <w:rFonts w:eastAsia="Calibri"/>
        </w:rPr>
        <w:t>p</w:t>
      </w:r>
      <w:r w:rsidR="00654B43" w:rsidRPr="63259912">
        <w:rPr>
          <w:rFonts w:eastAsia="Calibri"/>
        </w:rPr>
        <w:t>rilagodba željezničke infrastrukture zahtjevima Schengenskog prostora.</w:t>
      </w:r>
    </w:p>
    <w:p w14:paraId="5E63568D" w14:textId="77777777" w:rsidR="00E80FAC" w:rsidRPr="00B47BDA" w:rsidRDefault="00E80FAC" w:rsidP="009F66A6">
      <w:pPr>
        <w:pStyle w:val="NormalWeb"/>
        <w:spacing w:before="0" w:beforeAutospacing="0" w:after="0" w:afterAutospacing="0"/>
        <w:rPr>
          <w:rFonts w:eastAsia="Calibri"/>
        </w:rPr>
      </w:pPr>
    </w:p>
    <w:p w14:paraId="74B67893" w14:textId="03A697D4" w:rsidR="004F4FD3" w:rsidRPr="00B47BDA" w:rsidRDefault="004F4FD3" w:rsidP="004623DD">
      <w:r w:rsidRPr="00EE67E0">
        <w:rPr>
          <w:b/>
          <w:bCs/>
        </w:rPr>
        <w:t>Sredstva potrebna za provedbu:</w:t>
      </w:r>
      <w:r w:rsidRPr="00B47BDA">
        <w:t xml:space="preserve"> </w:t>
      </w:r>
      <w:r w:rsidR="0067173B">
        <w:t>4.040</w:t>
      </w:r>
      <w:r w:rsidRPr="00B47BDA">
        <w:t>,3 milijuna EUR</w:t>
      </w:r>
    </w:p>
    <w:p w14:paraId="173C8E39" w14:textId="708EC399" w:rsidR="004F4FD3" w:rsidRPr="00B47BDA" w:rsidRDefault="004F4FD3" w:rsidP="004623DD">
      <w:r w:rsidRPr="00B47BDA">
        <w:rPr>
          <w:b/>
        </w:rPr>
        <w:t xml:space="preserve">Izvori financiranja: </w:t>
      </w:r>
      <w:r w:rsidR="00671126" w:rsidRPr="00B47BDA">
        <w:t>Nacionalni plan oporavka i otpornosti</w:t>
      </w:r>
      <w:r w:rsidR="00671126">
        <w:t xml:space="preserve"> (</w:t>
      </w:r>
      <w:r w:rsidR="00A51075">
        <w:t>256,7</w:t>
      </w:r>
      <w:r w:rsidR="00671126">
        <w:t xml:space="preserve"> milijuna EUR)</w:t>
      </w:r>
      <w:r w:rsidR="00671126" w:rsidRPr="00B47BDA">
        <w:t>,</w:t>
      </w:r>
      <w:r w:rsidR="00671126">
        <w:t xml:space="preserve"> OP Konkurentnost i kohezija (</w:t>
      </w:r>
      <w:r w:rsidR="00A51075">
        <w:t>102.5</w:t>
      </w:r>
      <w:r w:rsidR="00671126">
        <w:t xml:space="preserve"> milijuna EUR), Program Konkurentnost i kohezija (</w:t>
      </w:r>
      <w:r w:rsidR="00A51075">
        <w:t>619,9</w:t>
      </w:r>
      <w:r w:rsidR="00671126">
        <w:t xml:space="preserve"> milijuna EUR)</w:t>
      </w:r>
      <w:r w:rsidR="004E52CD">
        <w:t xml:space="preserve">, CEF, </w:t>
      </w:r>
      <w:r w:rsidR="008820DC">
        <w:t>nacionalna sredstva, krediti i ostala sredstva upravitelja infrastrukture.</w:t>
      </w:r>
    </w:p>
    <w:p w14:paraId="0928ED10" w14:textId="291B4016" w:rsidR="004F4FD3" w:rsidRPr="00B47BDA" w:rsidRDefault="004F4FD3" w:rsidP="004623DD">
      <w:r w:rsidRPr="00B47BDA">
        <w:rPr>
          <w:b/>
        </w:rPr>
        <w:t>Izvršno tijelo</w:t>
      </w:r>
      <w:r w:rsidRPr="00B47BDA">
        <w:t>: MINGO, MMPI</w:t>
      </w:r>
    </w:p>
    <w:p w14:paraId="021B35D0" w14:textId="711C02B7" w:rsidR="004F4FD3" w:rsidRPr="00B47BDA" w:rsidRDefault="004F4FD3" w:rsidP="004623DD">
      <w:r w:rsidRPr="00EE67E0">
        <w:rPr>
          <w:b/>
          <w:bCs/>
        </w:rPr>
        <w:lastRenderedPageBreak/>
        <w:t>Tijela za praćenje:</w:t>
      </w:r>
      <w:r w:rsidRPr="00B47BDA">
        <w:t xml:space="preserve"> MINGO, MMPI</w:t>
      </w:r>
    </w:p>
    <w:p w14:paraId="68EC2C79" w14:textId="712A307A" w:rsidR="004F4FD3" w:rsidRPr="00B47BDA" w:rsidRDefault="004F4FD3" w:rsidP="004623DD">
      <w:r w:rsidRPr="63259912">
        <w:rPr>
          <w:b/>
          <w:bCs/>
        </w:rPr>
        <w:t xml:space="preserve">Učinak: </w:t>
      </w:r>
      <w:r w:rsidRPr="63259912">
        <w:t>Indikativni cilj u razdoblju do 2030. godine iznosi 6 operativnih lokacija s priključkom visoke snage za punjenje baterija</w:t>
      </w:r>
      <w:r w:rsidR="002A7558" w:rsidRPr="63259912">
        <w:t>.</w:t>
      </w:r>
      <w:r w:rsidR="00335B07" w:rsidRPr="63259912">
        <w:t xml:space="preserve"> </w:t>
      </w:r>
      <w:r w:rsidR="00CC3C61" w:rsidRPr="63259912">
        <w:t>Poboljšanje ekonomske i financijske održivosti javne željezničke infrastrukture. Obnova i modernizacija željezničke infrastrukture. Smanjenje negativnog utjecaja željezničkog sustava (prometa) na okoliš.</w:t>
      </w:r>
      <w:r w:rsidR="00241FB1" w:rsidRPr="63259912">
        <w:t xml:space="preserve"> Poboljšanje uvjeta za intermodalni teretni i integrirani urbani prijevoz. Poboljšanje sigurnosti željezničkog sustava.</w:t>
      </w:r>
    </w:p>
    <w:p w14:paraId="47731BD7" w14:textId="77777777" w:rsidR="004F4FD3" w:rsidRPr="00B47BDA" w:rsidRDefault="004F4FD3" w:rsidP="004623DD">
      <w:r w:rsidRPr="00B47BDA">
        <w:rPr>
          <w:b/>
        </w:rPr>
        <w:t>Metoda praćenja:</w:t>
      </w:r>
      <w:r w:rsidRPr="00B47BDA">
        <w:t xml:space="preserve"> Centralni registar infrastrukture za alternativna goriva.</w:t>
      </w:r>
    </w:p>
    <w:p w14:paraId="25FFD795" w14:textId="1C2A7B19" w:rsidR="004F4FD3" w:rsidRPr="00B47BDA" w:rsidRDefault="004F4FD3" w:rsidP="004623DD">
      <w:r w:rsidRPr="00B47BDA">
        <w:rPr>
          <w:b/>
        </w:rPr>
        <w:t xml:space="preserve">Pokazatelj provedbe mjere (indikator): </w:t>
      </w:r>
      <w:r w:rsidRPr="00B47BDA">
        <w:t>Broj lokacija s priključkom visoke snage za punjenje baterija, broj vlakova s pogonom na električnu energiju ili vodik.</w:t>
      </w:r>
      <w:r w:rsidR="0076267D">
        <w:t xml:space="preserve"> Izvrše</w:t>
      </w:r>
      <w:r w:rsidR="00E7370E">
        <w:t>ne proje</w:t>
      </w:r>
      <w:r w:rsidR="00465E28">
        <w:t xml:space="preserve">ktne aktivnosti definirane </w:t>
      </w:r>
      <w:r w:rsidR="00465E28" w:rsidRPr="00690679">
        <w:rPr>
          <w:rFonts w:eastAsia="Calibri"/>
        </w:rPr>
        <w:t>Nacionalnim planom razvoja željezničke infrastrukture</w:t>
      </w:r>
      <w:r w:rsidR="00671126">
        <w:rPr>
          <w:rFonts w:eastAsia="Calibri"/>
        </w:rPr>
        <w:t>.</w:t>
      </w:r>
    </w:p>
    <w:p w14:paraId="62FE25C0" w14:textId="78CC3106" w:rsidR="004F4FD3" w:rsidRPr="00B47BDA" w:rsidRDefault="004F4FD3" w:rsidP="004623DD">
      <w:r w:rsidRPr="00B47BDA">
        <w:rPr>
          <w:b/>
        </w:rPr>
        <w:t xml:space="preserve">Povezanost s drugim dimenzijama: </w:t>
      </w:r>
      <w:r w:rsidR="006E656E">
        <w:t>I</w:t>
      </w:r>
      <w:r w:rsidRPr="00B47BDA">
        <w:t>zravna povezanost s dimenzijom energetske učinkovitosti.</w:t>
      </w:r>
    </w:p>
    <w:p w14:paraId="2497CCAF" w14:textId="714DB549" w:rsidR="00925122" w:rsidRPr="00E770B2" w:rsidRDefault="004F4FD3" w:rsidP="50AC7E63">
      <w:pPr>
        <w:rPr>
          <w:rFonts w:eastAsia="Calibri"/>
        </w:rPr>
      </w:pPr>
      <w:r w:rsidRPr="50AC7E63">
        <w:rPr>
          <w:rFonts w:eastAsia="Calibri"/>
          <w:b/>
          <w:bCs/>
        </w:rPr>
        <w:t xml:space="preserve">Istraživanje i razvoj: </w:t>
      </w:r>
      <w:r w:rsidRPr="50AC7E63">
        <w:rPr>
          <w:rFonts w:eastAsia="Calibri"/>
        </w:rPr>
        <w:t>Održiva mobilnost i alternativna goriva u željezničkom prijevozu zahtijevaju razvoj novih tehnologija i to u domeni vlakova, infrastrukture i naprednih sustava upravljanja temeljenim na informacijsko-komunikacijskim tehnologijama.</w:t>
      </w:r>
    </w:p>
    <w:p w14:paraId="19FB487A" w14:textId="498DDFE1" w:rsidR="00925122" w:rsidRDefault="00925122" w:rsidP="63259912">
      <w:pPr>
        <w:rPr>
          <w:rFonts w:eastAsia="Calibri" w:cstheme="minorBidi"/>
          <w:b/>
          <w:bCs/>
        </w:rPr>
      </w:pPr>
      <w:r w:rsidRPr="63259912">
        <w:rPr>
          <w:b/>
          <w:bCs/>
        </w:rPr>
        <w:t>Povezanost s drugim dimenzijama</w:t>
      </w:r>
      <w:r w:rsidRPr="63259912">
        <w:t xml:space="preserve">: </w:t>
      </w:r>
      <w:r w:rsidR="008D5DCB" w:rsidRPr="63259912">
        <w:t>I</w:t>
      </w:r>
      <w:r w:rsidRPr="63259912">
        <w:t>zravna povezanost s dimenzijom dekarbonizacije</w:t>
      </w:r>
      <w:r w:rsidR="008D5DCB" w:rsidRPr="63259912">
        <w:t>.</w:t>
      </w:r>
    </w:p>
    <w:p w14:paraId="652CCC92" w14:textId="313945B8" w:rsidR="004F4FD3" w:rsidRPr="00B47BDA" w:rsidRDefault="004F4FD3" w:rsidP="00EE67E0">
      <w:pPr>
        <w:pStyle w:val="Mjeranaslov"/>
      </w:pPr>
      <w:r>
        <w:t>TR-</w:t>
      </w:r>
      <w:r w:rsidR="00420C08">
        <w:t>6</w:t>
      </w:r>
      <w:r>
        <w:t xml:space="preserve"> </w:t>
      </w:r>
      <w:r w:rsidR="00977503">
        <w:t>R</w:t>
      </w:r>
      <w:r>
        <w:t xml:space="preserve">azvoj energetski učinkovitog zračnog prometa </w:t>
      </w:r>
    </w:p>
    <w:p w14:paraId="02B0DFE0" w14:textId="77777777" w:rsidR="004F4FD3" w:rsidRPr="00B47BDA" w:rsidRDefault="004F4FD3" w:rsidP="004623DD">
      <w:pPr>
        <w:pStyle w:val="NormalWeb"/>
      </w:pPr>
      <w:r w:rsidRPr="00B47BDA">
        <w:t>Financijska mjera; provedba 2021. - 2030.</w:t>
      </w:r>
    </w:p>
    <w:p w14:paraId="568937E4" w14:textId="77777777" w:rsidR="004F4FD3" w:rsidRPr="00B47BDA" w:rsidRDefault="004F4FD3" w:rsidP="004623DD">
      <w:pPr>
        <w:pStyle w:val="NormalWeb"/>
      </w:pPr>
      <w:r w:rsidRPr="63259912">
        <w:rPr>
          <w:b/>
          <w:bCs/>
        </w:rPr>
        <w:t>Cilj i opis mjere:</w:t>
      </w:r>
      <w:r w:rsidRPr="63259912">
        <w:t xml:space="preserve"> Kako bi se smanjile emisije stakleničkih plinova i onečišćujućih tvari, opskrba električnom energijom trebala bi zamijeniti potrošnju tekućeg goriva u zračnim lukama. Svi zrakoplovi u funkciji komercijalnog prijevoza trebali bi moći koristiti vanjsku opskrbu električnom energijom dok su parkirani na izlazima ili na položajima udaljenima od terminala u zračnim lukama mreže TEN-T. U tom pogledu potrebno je izgraditi infrastrukturu za opskrbu električnom energijom zrakoplova u mirovanju te infrastrukturu za opskrbu pretkondicioniranim zrakom (fiksnim ili mobilnim sustavima kojima se omogućuje vanjska opskrba kondicioniranim zrakom za hlađenje, ventilaciju ili grijanje kabina zrakoplova u mirovanju).</w:t>
      </w:r>
    </w:p>
    <w:p w14:paraId="6932036A" w14:textId="77777777" w:rsidR="004F4FD3" w:rsidRPr="00EE67E0" w:rsidRDefault="004F4FD3" w:rsidP="004623DD">
      <w:pPr>
        <w:rPr>
          <w:b/>
          <w:bCs/>
        </w:rPr>
      </w:pPr>
      <w:r w:rsidRPr="00EE67E0">
        <w:rPr>
          <w:b/>
          <w:bCs/>
        </w:rPr>
        <w:t xml:space="preserve">Aktivnosti: </w:t>
      </w:r>
    </w:p>
    <w:p w14:paraId="3EB9E554" w14:textId="77777777" w:rsidR="004F4FD3" w:rsidRPr="00B47BDA" w:rsidRDefault="004F4FD3" w:rsidP="004623DD">
      <w:r w:rsidRPr="63259912">
        <w:t xml:space="preserve">Donošenjem Programa poticanja izgradnje infrastrukture za alternativna goriva u Republici Hrvatskoj definirat će se ciljevi za izgradnju infrastrukture namijenjene opskrbi u zračnom prometu. U načelu, u zračnim lukama osnovne i sveobuhvatne mreže TEN-T utvrđuje se cilj da se do 1. siječnja 2025. godine na svim terminalima koji se upotrebljavaju za komercijalni zračni prijevoz osigura opskrba električnom energijom (zrakoplovnim fiksnim ili mobilnim jedinicama napajanja, </w:t>
      </w:r>
      <w:r w:rsidRPr="63259912">
        <w:rPr>
          <w:i/>
          <w:iCs/>
        </w:rPr>
        <w:t>engl. Ground Power Unit (GPU</w:t>
      </w:r>
      <w:r w:rsidRPr="63259912">
        <w:t xml:space="preserve">)) i pretkondicioniranim zrakom zrakoplova u mirovanju (fiksnim ili mobilnim jedinicama za opskrbu zrakoplova pretkondicioniranim zrakom, </w:t>
      </w:r>
      <w:r w:rsidRPr="63259912">
        <w:rPr>
          <w:i/>
          <w:iCs/>
        </w:rPr>
        <w:t>engl. Pre-Conditioned Air Unit (PCA)</w:t>
      </w:r>
      <w:r w:rsidRPr="63259912">
        <w:t>).</w:t>
      </w:r>
    </w:p>
    <w:p w14:paraId="7C9FAFF6" w14:textId="77777777" w:rsidR="004F4FD3" w:rsidRPr="00B47BDA" w:rsidRDefault="004F4FD3" w:rsidP="004623DD">
      <w:r w:rsidRPr="00B47BDA">
        <w:t>U razdoblju do 1. siječnja 2030. godine, predmetni cilj utvrđuje se i za sve položaje udaljene od terminala, a koji se upotrebljavaju za komercijalni zračni prijevoz.</w:t>
      </w:r>
    </w:p>
    <w:p w14:paraId="152E7884" w14:textId="77777777" w:rsidR="004F4FD3" w:rsidRPr="00B47BDA" w:rsidRDefault="004F4FD3" w:rsidP="004623DD">
      <w:r w:rsidRPr="00B47BDA">
        <w:lastRenderedPageBreak/>
        <w:t>Utvrđuje se cilj da električna energija koja se isporučuje dolazi iz električne mreže ili se proizvodi na lokaciji kao energija iz obnovljivih izvora, najkasnije do 1. siječnja 2030. godine.</w:t>
      </w:r>
    </w:p>
    <w:p w14:paraId="32D21514" w14:textId="77777777" w:rsidR="004F4FD3" w:rsidRPr="00B47BDA" w:rsidRDefault="004F4FD3" w:rsidP="004623DD">
      <w:r w:rsidRPr="00B47BDA">
        <w:t>Utvrđeni ciljevi ne primjenjuju se na kratkoročna parkirna mjesta, za odmrzavanje aviona, parkirna mjesta u vojnim zonama i parkirna mjesta za opći zračni promet (najveće dopuštene uzletne mase manje od 5,7 t).</w:t>
      </w:r>
    </w:p>
    <w:p w14:paraId="407F71CA" w14:textId="43E06CB1" w:rsidR="004F4FD3" w:rsidRPr="00B47BDA" w:rsidRDefault="004F4FD3" w:rsidP="004623DD">
      <w:pPr>
        <w:rPr>
          <w:rFonts w:eastAsia="Calibri"/>
        </w:rPr>
      </w:pPr>
      <w:r w:rsidRPr="00B47BDA">
        <w:t>Donošenjem novog nacionalnog okvira politike za razvoj tržišta u pogledu alternativnih goriva u prometnom sektoru i za uvođenje odgovarajuće infrastrukture, definirat će se plan uvođenja infrastrukture za alternativna goriva u zračnim lukama koje nisu namijenjene opskrbi aviona u mirovanju električnom energijom, posebno za opskrbu aviona vodikom i punjenje aviona električnom energijom.</w:t>
      </w:r>
    </w:p>
    <w:p w14:paraId="743D1DD5" w14:textId="5F95288B" w:rsidR="004F4FD3" w:rsidRPr="00B47BDA" w:rsidRDefault="004F4FD3" w:rsidP="004623DD">
      <w:r w:rsidRPr="00EE67E0">
        <w:rPr>
          <w:b/>
          <w:bCs/>
        </w:rPr>
        <w:t>Sredstva potrebna za provedbu:</w:t>
      </w:r>
      <w:r w:rsidRPr="00B47BDA">
        <w:t xml:space="preserve"> 52 milijuna EUR</w:t>
      </w:r>
    </w:p>
    <w:p w14:paraId="67AE7135" w14:textId="78414611" w:rsidR="004F4FD3" w:rsidRPr="00B47BDA" w:rsidRDefault="004F4FD3" w:rsidP="004623DD">
      <w:r w:rsidRPr="00B47BDA">
        <w:rPr>
          <w:b/>
        </w:rPr>
        <w:t>Izvori financiranja</w:t>
      </w:r>
      <w:r w:rsidRPr="00B47BDA">
        <w:t>: Nacionalni plan oporavka i otpornosti</w:t>
      </w:r>
    </w:p>
    <w:p w14:paraId="2A39EFC6" w14:textId="78B1FF1E" w:rsidR="004F4FD3" w:rsidRPr="00B47BDA" w:rsidRDefault="004F4FD3" w:rsidP="004623DD">
      <w:r w:rsidRPr="00EE67E0">
        <w:rPr>
          <w:b/>
          <w:bCs/>
        </w:rPr>
        <w:t>Izvršno tijelo:</w:t>
      </w:r>
      <w:r w:rsidRPr="00B47BDA">
        <w:t xml:space="preserve"> MINGO</w:t>
      </w:r>
    </w:p>
    <w:p w14:paraId="0BB03987" w14:textId="5AA11154" w:rsidR="004F4FD3" w:rsidRPr="00B47BDA" w:rsidRDefault="004F4FD3" w:rsidP="004623DD">
      <w:r w:rsidRPr="00EE67E0">
        <w:rPr>
          <w:b/>
          <w:bCs/>
        </w:rPr>
        <w:t>Tijela za praćenje:</w:t>
      </w:r>
      <w:r w:rsidRPr="00B47BDA">
        <w:t xml:space="preserve"> MINGO</w:t>
      </w:r>
    </w:p>
    <w:p w14:paraId="029BA52C" w14:textId="1BBA8D61" w:rsidR="004F4FD3" w:rsidRPr="00B47BDA" w:rsidRDefault="004F4FD3" w:rsidP="004623DD">
      <w:r w:rsidRPr="00B47BDA">
        <w:rPr>
          <w:b/>
        </w:rPr>
        <w:t xml:space="preserve">Učinak: </w:t>
      </w:r>
      <w:r w:rsidRPr="00B47BDA">
        <w:t>Indikativni cilj za 2030. godinu - infrastruktura dostupna u 7 zračnih luka (ukupno 40 GPU sustava te ukupno 50 PCA sustava)</w:t>
      </w:r>
      <w:r w:rsidR="00D92D44">
        <w:t>.</w:t>
      </w:r>
    </w:p>
    <w:p w14:paraId="281C3425" w14:textId="76F81E82" w:rsidR="004F4FD3" w:rsidRPr="00B47BDA" w:rsidRDefault="004F4FD3" w:rsidP="004623DD">
      <w:r w:rsidRPr="00B47BDA">
        <w:rPr>
          <w:b/>
        </w:rPr>
        <w:t>Metoda praćenja:</w:t>
      </w:r>
      <w:r w:rsidRPr="00B47BDA">
        <w:t xml:space="preserve"> Izvješće o instaliranoj infrastrukturi od strane zračnih luka</w:t>
      </w:r>
      <w:r w:rsidR="00D92D44">
        <w:t>.</w:t>
      </w:r>
    </w:p>
    <w:p w14:paraId="5D093AE5" w14:textId="77777777" w:rsidR="004F4FD3" w:rsidRPr="00B47BDA" w:rsidRDefault="004F4FD3" w:rsidP="004623DD">
      <w:r w:rsidRPr="00B47BDA">
        <w:rPr>
          <w:b/>
        </w:rPr>
        <w:t>Pokazatelj provedbe mjere (indikator):</w:t>
      </w:r>
      <w:r w:rsidRPr="00B47BDA">
        <w:t xml:space="preserve"> Broj zračnih luka u kojima je dostupna infrastruktura, broj GPU i PCA sustava namijenjenih opskrbi u zračnom prometu.</w:t>
      </w:r>
    </w:p>
    <w:p w14:paraId="5A47C1E1" w14:textId="6525A98A" w:rsidR="004F4FD3" w:rsidRPr="00BF24C1" w:rsidRDefault="004F4FD3" w:rsidP="004623DD">
      <w:r w:rsidRPr="63259912">
        <w:rPr>
          <w:b/>
          <w:bCs/>
        </w:rPr>
        <w:t>Povezanost s drugim dimenzijama</w:t>
      </w:r>
      <w:r w:rsidRPr="63259912">
        <w:t xml:space="preserve">: </w:t>
      </w:r>
      <w:r w:rsidR="00E770B2" w:rsidRPr="63259912">
        <w:t>I</w:t>
      </w:r>
      <w:r w:rsidRPr="63259912">
        <w:t xml:space="preserve">zravna povezanost s dimenzijom </w:t>
      </w:r>
      <w:r w:rsidR="00BF3FEB" w:rsidRPr="63259912">
        <w:t>dekarbonizacije</w:t>
      </w:r>
      <w:r w:rsidRPr="63259912">
        <w:t>.</w:t>
      </w:r>
    </w:p>
    <w:p w14:paraId="786F27E3" w14:textId="1DA9659E" w:rsidR="50AC7E63" w:rsidRDefault="50AC7E63" w:rsidP="50AC7E63"/>
    <w:p w14:paraId="47384444" w14:textId="13B4EE4B" w:rsidR="00943B32" w:rsidRPr="002E679A" w:rsidRDefault="00943B32" w:rsidP="00EE67E0">
      <w:pPr>
        <w:pStyle w:val="Mjeranaslov"/>
      </w:pPr>
      <w:r w:rsidRPr="63259912">
        <w:t>TR-</w:t>
      </w:r>
      <w:r w:rsidR="00420C08" w:rsidRPr="63259912">
        <w:t>7</w:t>
      </w:r>
      <w:r w:rsidRPr="63259912">
        <w:t xml:space="preserve"> Razvoj tržišta niskougljičnih goriva</w:t>
      </w:r>
    </w:p>
    <w:p w14:paraId="549FB5D9" w14:textId="77777777" w:rsidR="00943B32" w:rsidRPr="002E679A" w:rsidRDefault="00943B32" w:rsidP="00142650">
      <w:pPr>
        <w:pStyle w:val="NormalWeb"/>
        <w:spacing w:before="120" w:beforeAutospacing="0"/>
      </w:pPr>
      <w:r w:rsidRPr="002E679A">
        <w:t>Financijska mjera, regulatorna mjera; provedba 2021. - 2030.</w:t>
      </w:r>
    </w:p>
    <w:p w14:paraId="0E103B2C" w14:textId="1DE6C3F1" w:rsidR="00943B32" w:rsidRPr="008721A0" w:rsidRDefault="00943B32" w:rsidP="004623DD">
      <w:pPr>
        <w:pStyle w:val="NormalWeb"/>
      </w:pPr>
      <w:r w:rsidRPr="63259912">
        <w:rPr>
          <w:b/>
          <w:bCs/>
        </w:rPr>
        <w:t>Cilj i opis mjere:</w:t>
      </w:r>
      <w:r w:rsidRPr="63259912">
        <w:t xml:space="preserve"> </w:t>
      </w:r>
      <w:r w:rsidR="00583C66" w:rsidRPr="63259912">
        <w:t>P</w:t>
      </w:r>
      <w:r w:rsidRPr="63259912">
        <w:t>ovećanje udjela OIE u prometu do 2030. godine kroz razvoj tržišta niskougljičnih goriva i postizanje planiranog udjela goriva proizvedenih iz obnovljivih izvora energije u neposrednoj potrošnji energije u prometu. Provedba mjere zasniva se na izmjenama i dopunama relevantnih zakona i podzakonskih akata na temelju Direktive o promicanju uporabe energije iz obnovljivih izvora. Mjera ujedno podrazumijeva stvaranje dugoročno održivog lanca opskrbe biomasom i izgradnju bio industrijskog kompleksa dizajniranog za proizvodnju naprednog biogoriva s negativnim neto emisijama stakleničkih plinova. Isto tako, mjera podrazumijeva stvaranje preduvjeta kako bi se omogućili održivi poslovni modeli za ulaganja u izgradnju postrojenja za proizvodnju sintetičkih goriva.</w:t>
      </w:r>
    </w:p>
    <w:p w14:paraId="4AE66C24" w14:textId="47E3D813" w:rsidR="00883C6A" w:rsidRDefault="008A592D" w:rsidP="004623DD">
      <w:pPr>
        <w:pStyle w:val="NormalWeb"/>
      </w:pPr>
      <w:r>
        <w:t>Osim smanjen</w:t>
      </w:r>
      <w:r w:rsidR="009167AB">
        <w:t xml:space="preserve">ja stakleničkih plinova i diversifikacije izvora energije, cilj </w:t>
      </w:r>
      <w:r w:rsidR="009D100F">
        <w:t xml:space="preserve">je </w:t>
      </w:r>
      <w:r w:rsidR="009167AB">
        <w:t>pot</w:t>
      </w:r>
      <w:r w:rsidR="009D100F">
        <w:t>aknuti</w:t>
      </w:r>
      <w:r w:rsidR="009167AB">
        <w:t xml:space="preserve"> </w:t>
      </w:r>
      <w:r w:rsidR="00883C6A" w:rsidRPr="00883C6A">
        <w:t>razvoj novih poslovnih modela za proizvodnju i korištenje biogoriva</w:t>
      </w:r>
      <w:r w:rsidR="00883C6A">
        <w:t>,</w:t>
      </w:r>
      <w:r w:rsidR="00540828">
        <w:t xml:space="preserve"> </w:t>
      </w:r>
      <w:r w:rsidR="00540828" w:rsidRPr="00540828">
        <w:t>pokre</w:t>
      </w:r>
      <w:r w:rsidR="009D100F">
        <w:t>nuti</w:t>
      </w:r>
      <w:r w:rsidR="00540828" w:rsidRPr="00540828">
        <w:t xml:space="preserve"> pilot projekt</w:t>
      </w:r>
      <w:r w:rsidR="009D100F">
        <w:t>e</w:t>
      </w:r>
      <w:r w:rsidR="00540828" w:rsidRPr="00540828">
        <w:t xml:space="preserve"> za proizvodnju i korištenje biogoriva</w:t>
      </w:r>
      <w:r w:rsidR="009D100F">
        <w:t>,</w:t>
      </w:r>
      <w:r w:rsidR="00A93545" w:rsidRPr="00A93545">
        <w:t xml:space="preserve"> potaknuti rast i inovacije te stvoriti nova radna mjesta.</w:t>
      </w:r>
      <w:r w:rsidR="006223C5">
        <w:t xml:space="preserve"> </w:t>
      </w:r>
      <w:r w:rsidR="006223C5" w:rsidRPr="006223C5">
        <w:t>Mjera će se fokusirati na održiva i ekološki prihvatljiva biogoriva</w:t>
      </w:r>
      <w:r w:rsidR="00DB2759">
        <w:t xml:space="preserve">, a cilj je </w:t>
      </w:r>
      <w:r w:rsidR="00267C42">
        <w:t>p</w:t>
      </w:r>
      <w:r w:rsidR="00267C42" w:rsidRPr="00267C42">
        <w:t>otaknuti razvoj i implementaciju novih tehnologija za proizvodnju i</w:t>
      </w:r>
      <w:r w:rsidR="00267C42">
        <w:t xml:space="preserve"> korištenje </w:t>
      </w:r>
      <w:r w:rsidR="00A9420B">
        <w:t xml:space="preserve">biogoriva financiranje pilot projekata, </w:t>
      </w:r>
      <w:r w:rsidR="0059198E">
        <w:t>obrazovanje i osposobljavanje.</w:t>
      </w:r>
    </w:p>
    <w:p w14:paraId="25300E78" w14:textId="7DFF6C30" w:rsidR="00E141A7" w:rsidRPr="008721A0" w:rsidRDefault="00AC5972" w:rsidP="004623DD">
      <w:pPr>
        <w:pStyle w:val="NormalWeb"/>
      </w:pPr>
      <w:r w:rsidRPr="63259912">
        <w:lastRenderedPageBreak/>
        <w:t>Osim toga, cilj ove mjere je</w:t>
      </w:r>
      <w:r w:rsidR="003C3EBF" w:rsidRPr="63259912">
        <w:t xml:space="preserve"> i</w:t>
      </w:r>
      <w:r w:rsidRPr="63259912">
        <w:t xml:space="preserve"> postupno </w:t>
      </w:r>
      <w:r w:rsidR="003C3EBF" w:rsidRPr="63259912">
        <w:t xml:space="preserve">uvođenje </w:t>
      </w:r>
      <w:r w:rsidR="009D73AF" w:rsidRPr="63259912">
        <w:t>održivih zrakoplovnih goriva („SAF“-ova) na tržište civilnog zrakoplovstva u Hrvatskoj, u skladu s od</w:t>
      </w:r>
      <w:r w:rsidR="00D0138E" w:rsidRPr="63259912">
        <w:t>redbama Uredbe o</w:t>
      </w:r>
      <w:r w:rsidR="00451ADA" w:rsidRPr="63259912">
        <w:t xml:space="preserve"> osiguravanju jednakih uvjeta tržišnog natjecanja za održiv zračni prijevoz (ReFuelEU Aviation)</w:t>
      </w:r>
      <w:r w:rsidR="00E11662" w:rsidRPr="63259912">
        <w:t>. Cilj je potaknuti smanjenje emisija stakleničkih plinova iz zrakoplovstva i promicanje održivih praksi u sektoru zračnog prijevoza.</w:t>
      </w:r>
    </w:p>
    <w:p w14:paraId="1FBACBB2" w14:textId="77777777" w:rsidR="00943B32" w:rsidRPr="00EE67E0" w:rsidRDefault="00943B32" w:rsidP="004623DD">
      <w:pPr>
        <w:rPr>
          <w:rFonts w:eastAsia="Calibri"/>
          <w:b/>
          <w:bCs/>
        </w:rPr>
      </w:pPr>
      <w:r w:rsidRPr="00EE67E0">
        <w:rPr>
          <w:b/>
          <w:bCs/>
        </w:rPr>
        <w:t xml:space="preserve">Aktivnosti: </w:t>
      </w:r>
    </w:p>
    <w:p w14:paraId="5C2534CB" w14:textId="1213C51B" w:rsidR="00943B32" w:rsidRPr="00583C66" w:rsidRDefault="00583C66" w:rsidP="63259912">
      <w:pPr>
        <w:pStyle w:val="ListParagraph"/>
        <w:numPr>
          <w:ilvl w:val="0"/>
          <w:numId w:val="213"/>
        </w:numPr>
        <w:spacing w:after="60"/>
        <w:rPr>
          <w:rFonts w:eastAsia="Calibri"/>
        </w:rPr>
      </w:pPr>
      <w:r w:rsidRPr="63259912">
        <w:rPr>
          <w:rFonts w:eastAsia="Calibri"/>
        </w:rPr>
        <w:t>I</w:t>
      </w:r>
      <w:r w:rsidR="00943B32" w:rsidRPr="63259912">
        <w:rPr>
          <w:rFonts w:eastAsia="Calibri"/>
        </w:rPr>
        <w:t>zgradnja energetski samoodrživog bioindustrijskog kompleksa namijenjenog proizvodnji naprednog biogoriva</w:t>
      </w:r>
      <w:r w:rsidR="00052882" w:rsidRPr="63259912">
        <w:rPr>
          <w:rFonts w:eastAsia="Calibri"/>
        </w:rPr>
        <w:t>,</w:t>
      </w:r>
    </w:p>
    <w:p w14:paraId="1A673461" w14:textId="105C4C66" w:rsidR="00943B32" w:rsidRPr="008721A0" w:rsidRDefault="00583C66" w:rsidP="00583C66">
      <w:pPr>
        <w:pStyle w:val="ListParagraph"/>
        <w:numPr>
          <w:ilvl w:val="0"/>
          <w:numId w:val="213"/>
        </w:numPr>
        <w:spacing w:after="60"/>
        <w:rPr>
          <w:rFonts w:eastAsia="Calibri"/>
        </w:rPr>
      </w:pPr>
      <w:r>
        <w:rPr>
          <w:rFonts w:eastAsia="Calibri"/>
        </w:rPr>
        <w:t>I</w:t>
      </w:r>
      <w:r w:rsidR="00943B32" w:rsidRPr="008721A0">
        <w:rPr>
          <w:rFonts w:eastAsia="Calibri"/>
        </w:rPr>
        <w:t>zrada, usvajanje i provođenje Plana i Programa proizvodnje i korištenja naprednih biogoriva u prometu</w:t>
      </w:r>
      <w:r w:rsidR="00052882">
        <w:rPr>
          <w:rFonts w:eastAsia="Calibri"/>
        </w:rPr>
        <w:t>,</w:t>
      </w:r>
    </w:p>
    <w:p w14:paraId="370D81E7" w14:textId="28F8277F" w:rsidR="00943B32" w:rsidRPr="00142650" w:rsidRDefault="00583C66" w:rsidP="00583C66">
      <w:pPr>
        <w:pStyle w:val="ListParagraph"/>
        <w:numPr>
          <w:ilvl w:val="0"/>
          <w:numId w:val="213"/>
        </w:numPr>
        <w:spacing w:after="60"/>
        <w:rPr>
          <w:rFonts w:eastAsia="Calibri"/>
        </w:rPr>
      </w:pPr>
      <w:r>
        <w:rPr>
          <w:rFonts w:eastAsia="Calibri"/>
        </w:rPr>
        <w:t>I</w:t>
      </w:r>
      <w:r w:rsidR="00943B32" w:rsidRPr="008721A0">
        <w:rPr>
          <w:rFonts w:eastAsia="Calibri"/>
        </w:rPr>
        <w:t>zrada, usvajanje i provođenje Plana i Programa proizvodnje i korištenja sintetičkih goriva</w:t>
      </w:r>
      <w:r w:rsidR="00052882">
        <w:rPr>
          <w:rFonts w:eastAsia="Calibri"/>
        </w:rPr>
        <w:t>,</w:t>
      </w:r>
    </w:p>
    <w:p w14:paraId="7E4A6FEB" w14:textId="00969B5A" w:rsidR="00763114" w:rsidRDefault="00583C66" w:rsidP="00583C66">
      <w:pPr>
        <w:pStyle w:val="ListParagraph"/>
        <w:numPr>
          <w:ilvl w:val="0"/>
          <w:numId w:val="213"/>
        </w:numPr>
        <w:spacing w:after="60"/>
        <w:rPr>
          <w:rFonts w:eastAsia="Calibri"/>
        </w:rPr>
      </w:pPr>
      <w:r>
        <w:rPr>
          <w:rFonts w:eastAsia="Calibri"/>
        </w:rPr>
        <w:t>I</w:t>
      </w:r>
      <w:r w:rsidR="00763114" w:rsidRPr="008721A0">
        <w:rPr>
          <w:rFonts w:eastAsia="Calibri"/>
        </w:rPr>
        <w:t xml:space="preserve">zrada, usvajanje i provođenje Plana i Programa proizvodnje i korištenja </w:t>
      </w:r>
      <w:r w:rsidR="00763114">
        <w:rPr>
          <w:rFonts w:eastAsia="Calibri"/>
        </w:rPr>
        <w:t>održivih</w:t>
      </w:r>
      <w:r w:rsidR="00222C14">
        <w:rPr>
          <w:rFonts w:eastAsia="Calibri"/>
        </w:rPr>
        <w:t xml:space="preserve"> zrakoplovnih goriva</w:t>
      </w:r>
      <w:r w:rsidR="00052882">
        <w:rPr>
          <w:rFonts w:eastAsia="Calibri"/>
        </w:rPr>
        <w:t>,</w:t>
      </w:r>
    </w:p>
    <w:p w14:paraId="72F6219C" w14:textId="0BBBE915" w:rsidR="00365104" w:rsidRDefault="00583C66" w:rsidP="00583C66">
      <w:pPr>
        <w:pStyle w:val="ListParagraph"/>
        <w:numPr>
          <w:ilvl w:val="0"/>
          <w:numId w:val="213"/>
        </w:numPr>
        <w:spacing w:after="60"/>
        <w:rPr>
          <w:rFonts w:eastAsia="Calibri"/>
        </w:rPr>
      </w:pPr>
      <w:r>
        <w:rPr>
          <w:rFonts w:eastAsia="Calibri"/>
        </w:rPr>
        <w:t>P</w:t>
      </w:r>
      <w:r w:rsidR="00052882" w:rsidRPr="00052882">
        <w:rPr>
          <w:rFonts w:eastAsia="Calibri"/>
        </w:rPr>
        <w:t>odrška pilot projektima za testiranje i demonstraciju novih poslovnih modela u sektoru biogoriva</w:t>
      </w:r>
      <w:r w:rsidR="00052882">
        <w:rPr>
          <w:rFonts w:eastAsia="Calibri"/>
        </w:rPr>
        <w:t>,</w:t>
      </w:r>
    </w:p>
    <w:p w14:paraId="49E75A6C" w14:textId="7CC578A4" w:rsidR="000539B3" w:rsidRDefault="00583C66" w:rsidP="00583C66">
      <w:pPr>
        <w:pStyle w:val="ListParagraph"/>
        <w:numPr>
          <w:ilvl w:val="0"/>
          <w:numId w:val="213"/>
        </w:numPr>
        <w:spacing w:after="60"/>
        <w:rPr>
          <w:rFonts w:eastAsia="Calibri"/>
        </w:rPr>
      </w:pPr>
      <w:r>
        <w:rPr>
          <w:rFonts w:eastAsia="Calibri"/>
        </w:rPr>
        <w:t>P</w:t>
      </w:r>
      <w:r w:rsidR="005859FF">
        <w:rPr>
          <w:rFonts w:eastAsia="Calibri"/>
        </w:rPr>
        <w:t xml:space="preserve">onuda različitih financijskih instrumenata za </w:t>
      </w:r>
      <w:r w:rsidR="004373A7">
        <w:rPr>
          <w:rFonts w:eastAsia="Calibri"/>
        </w:rPr>
        <w:t xml:space="preserve">tvrtke koje se bave </w:t>
      </w:r>
      <w:r w:rsidR="000539B3">
        <w:rPr>
          <w:rFonts w:eastAsia="Calibri"/>
        </w:rPr>
        <w:t>održivim biogorivima, poput</w:t>
      </w:r>
      <w:r w:rsidR="005859FF">
        <w:rPr>
          <w:rFonts w:eastAsia="Calibri"/>
        </w:rPr>
        <w:t xml:space="preserve"> </w:t>
      </w:r>
      <w:r w:rsidR="00CB7879">
        <w:rPr>
          <w:rFonts w:eastAsia="Calibri"/>
        </w:rPr>
        <w:t>poticaj</w:t>
      </w:r>
      <w:r w:rsidR="000539B3">
        <w:rPr>
          <w:rFonts w:eastAsia="Calibri"/>
        </w:rPr>
        <w:t>a</w:t>
      </w:r>
      <w:r w:rsidR="00CB7879">
        <w:rPr>
          <w:rFonts w:eastAsia="Calibri"/>
        </w:rPr>
        <w:t xml:space="preserve"> i</w:t>
      </w:r>
      <w:r w:rsidR="000539B3">
        <w:rPr>
          <w:rFonts w:eastAsia="Calibri"/>
        </w:rPr>
        <w:t>li</w:t>
      </w:r>
      <w:r w:rsidR="00CB7879">
        <w:rPr>
          <w:rFonts w:eastAsia="Calibri"/>
        </w:rPr>
        <w:t xml:space="preserve"> subvencij</w:t>
      </w:r>
      <w:r w:rsidR="000539B3">
        <w:rPr>
          <w:rFonts w:eastAsia="Calibri"/>
        </w:rPr>
        <w:t>a,</w:t>
      </w:r>
    </w:p>
    <w:p w14:paraId="76FD4702" w14:textId="49C14B49" w:rsidR="00052882" w:rsidRPr="00583C66" w:rsidRDefault="00583C66" w:rsidP="00583C66">
      <w:pPr>
        <w:pStyle w:val="ListParagraph"/>
        <w:numPr>
          <w:ilvl w:val="0"/>
          <w:numId w:val="213"/>
        </w:numPr>
        <w:spacing w:after="60"/>
        <w:rPr>
          <w:rFonts w:eastAsia="Calibri"/>
        </w:rPr>
      </w:pPr>
      <w:r>
        <w:rPr>
          <w:rFonts w:eastAsia="Calibri"/>
        </w:rPr>
        <w:t>R</w:t>
      </w:r>
      <w:r w:rsidR="00D36952">
        <w:rPr>
          <w:rFonts w:eastAsia="Calibri"/>
        </w:rPr>
        <w:t xml:space="preserve">azvijanje edukativnih programa za osposobljavanje radne snage u </w:t>
      </w:r>
      <w:r w:rsidR="000D64C9">
        <w:rPr>
          <w:rFonts w:eastAsia="Calibri"/>
        </w:rPr>
        <w:t>predmetnom području te jačanje suradnje sa znanstvenom zajedni</w:t>
      </w:r>
      <w:r w:rsidR="00405EB0">
        <w:rPr>
          <w:rFonts w:eastAsia="Calibri"/>
        </w:rPr>
        <w:t>com</w:t>
      </w:r>
      <w:r w:rsidR="000A1295">
        <w:rPr>
          <w:rFonts w:eastAsia="Calibri"/>
        </w:rPr>
        <w:t>.</w:t>
      </w:r>
    </w:p>
    <w:p w14:paraId="1C3D58BB" w14:textId="05D54FF1" w:rsidR="00943B32" w:rsidRPr="008721A0" w:rsidRDefault="00943B32" w:rsidP="004623DD">
      <w:r w:rsidRPr="00EE67E0">
        <w:rPr>
          <w:b/>
          <w:bCs/>
        </w:rPr>
        <w:t>Sredstva potrebna za provedbu:</w:t>
      </w:r>
      <w:r w:rsidRPr="008721A0">
        <w:t xml:space="preserve"> </w:t>
      </w:r>
      <w:r w:rsidR="005C4DBE" w:rsidRPr="008721A0">
        <w:t>3</w:t>
      </w:r>
      <w:r w:rsidR="005C4DBE">
        <w:t>55</w:t>
      </w:r>
      <w:r w:rsidR="005C4DBE" w:rsidRPr="008721A0">
        <w:t xml:space="preserve"> </w:t>
      </w:r>
      <w:r w:rsidRPr="008721A0">
        <w:t>milijuna EUR</w:t>
      </w:r>
      <w:r w:rsidR="003F5797">
        <w:t>.</w:t>
      </w:r>
    </w:p>
    <w:p w14:paraId="7881C14A" w14:textId="1F9AFF14" w:rsidR="00943B32" w:rsidRPr="00993F94" w:rsidRDefault="00943B32" w:rsidP="004623DD">
      <w:r w:rsidRPr="63259912">
        <w:rPr>
          <w:b/>
          <w:bCs/>
        </w:rPr>
        <w:t xml:space="preserve">Izvori financiranja: </w:t>
      </w:r>
      <w:r w:rsidRPr="63259912">
        <w:t>Nacionalni plan oporavka i otpornosti</w:t>
      </w:r>
      <w:r w:rsidR="0029538E" w:rsidRPr="63259912">
        <w:t xml:space="preserve"> </w:t>
      </w:r>
      <w:r w:rsidR="001372AC" w:rsidRPr="63259912">
        <w:t>–</w:t>
      </w:r>
      <w:r w:rsidR="0029538E" w:rsidRPr="63259912">
        <w:t xml:space="preserve"> </w:t>
      </w:r>
      <w:r w:rsidR="001372AC" w:rsidRPr="63259912">
        <w:t>REPowerEU (</w:t>
      </w:r>
      <w:r w:rsidR="00BF1A65" w:rsidRPr="63259912">
        <w:t>C7.1. R1-I5</w:t>
      </w:r>
      <w:r w:rsidR="00F663FE" w:rsidRPr="63259912">
        <w:t xml:space="preserve"> / C1.2 R1-I4) </w:t>
      </w:r>
      <w:r w:rsidR="003C7E45" w:rsidRPr="63259912">
        <w:t>–</w:t>
      </w:r>
      <w:r w:rsidR="00F663FE" w:rsidRPr="63259912">
        <w:t xml:space="preserve"> </w:t>
      </w:r>
      <w:r w:rsidR="003C7E45" w:rsidRPr="63259912">
        <w:t>99.542.106 EUR</w:t>
      </w:r>
      <w:r w:rsidRPr="63259912">
        <w:t>,</w:t>
      </w:r>
      <w:r w:rsidR="003C7E45" w:rsidRPr="63259912">
        <w:t xml:space="preserve"> INA </w:t>
      </w:r>
      <w:r w:rsidR="001B293F" w:rsidRPr="63259912">
        <w:t>–</w:t>
      </w:r>
      <w:r w:rsidR="00777C5B" w:rsidRPr="63259912">
        <w:t xml:space="preserve"> </w:t>
      </w:r>
      <w:r w:rsidR="001B293F" w:rsidRPr="63259912">
        <w:t>225 milijuna EUR,</w:t>
      </w:r>
      <w:r w:rsidRPr="63259912">
        <w:t xml:space="preserve"> državni proračun</w:t>
      </w:r>
      <w:r w:rsidR="005C4DBE" w:rsidRPr="63259912">
        <w:t xml:space="preserve"> </w:t>
      </w:r>
      <w:r w:rsidR="00F17CD6" w:rsidRPr="63259912">
        <w:t xml:space="preserve">i ostali </w:t>
      </w:r>
      <w:r w:rsidR="00634D32" w:rsidRPr="63259912">
        <w:t>raspoloživi fondovi</w:t>
      </w:r>
      <w:r w:rsidR="005C4DBE" w:rsidRPr="63259912">
        <w:t xml:space="preserve"> (5 milijuna EUR godišnje)</w:t>
      </w:r>
      <w:r w:rsidR="000A1295" w:rsidRPr="63259912">
        <w:t>.</w:t>
      </w:r>
    </w:p>
    <w:p w14:paraId="24E13F67" w14:textId="7DE48ED2" w:rsidR="00943B32" w:rsidRPr="00993F94" w:rsidRDefault="00943B32" w:rsidP="004623DD">
      <w:r w:rsidRPr="00EE67E0">
        <w:rPr>
          <w:b/>
          <w:bCs/>
        </w:rPr>
        <w:t>Izvršno tijelo:</w:t>
      </w:r>
      <w:r w:rsidRPr="00993F94">
        <w:t xml:space="preserve"> MINGO, INA</w:t>
      </w:r>
    </w:p>
    <w:p w14:paraId="704A0E48" w14:textId="70229E40" w:rsidR="00943B32" w:rsidRPr="00993F94" w:rsidRDefault="00943B32" w:rsidP="004623DD">
      <w:r w:rsidRPr="00EE67E0">
        <w:rPr>
          <w:b/>
          <w:bCs/>
        </w:rPr>
        <w:t>Tijela za praćenje:</w:t>
      </w:r>
      <w:r w:rsidRPr="00993F94">
        <w:t xml:space="preserve"> MINGO</w:t>
      </w:r>
    </w:p>
    <w:p w14:paraId="6412E560" w14:textId="3FE585F0" w:rsidR="00943B32" w:rsidRPr="00993F94" w:rsidRDefault="33BBDD17" w:rsidP="004623DD">
      <w:r w:rsidRPr="63259912">
        <w:rPr>
          <w:b/>
          <w:bCs/>
        </w:rPr>
        <w:t xml:space="preserve">Učinak: </w:t>
      </w:r>
      <w:r w:rsidRPr="63259912">
        <w:t>Ispunjavanje preduvjeta za opskrbu tržišta niskougljičnim gorivima, ispunjenje zadanih ciljeva u pogledu udjela obnovljivih izvora energije u sektoru prometa</w:t>
      </w:r>
      <w:r w:rsidR="7DE4C763" w:rsidRPr="63259912">
        <w:t xml:space="preserve">, ispunjenje zadanih ciljeva u pogledu udjela održivih zrakoplovnih </w:t>
      </w:r>
      <w:r w:rsidR="49EA0E0D" w:rsidRPr="63259912">
        <w:t>goriva</w:t>
      </w:r>
      <w:r w:rsidR="06A0BBA9" w:rsidRPr="63259912">
        <w:t xml:space="preserve"> (od 2025. godine, svake godine minimalni udio SAF-ova od 2 % te od 2030. godine, svake godine minimalni udio SAF-ova od 6 %).</w:t>
      </w:r>
    </w:p>
    <w:p w14:paraId="43F69294" w14:textId="24A11BAD" w:rsidR="00943B32" w:rsidRPr="00993F94" w:rsidRDefault="00943B32" w:rsidP="004623DD">
      <w:r w:rsidRPr="00993F94">
        <w:rPr>
          <w:b/>
        </w:rPr>
        <w:t>Metoda praćenja:</w:t>
      </w:r>
      <w:r w:rsidRPr="00993F94">
        <w:t xml:space="preserve"> Izvješća o količini OIE stavljenih na tržište u prometnom sektoru</w:t>
      </w:r>
      <w:r w:rsidR="001D4911">
        <w:t xml:space="preserve">, </w:t>
      </w:r>
      <w:r w:rsidR="0090416D">
        <w:t xml:space="preserve">izvješća opskrbljivača gorivima, </w:t>
      </w:r>
      <w:r w:rsidR="00CB4C2B">
        <w:t xml:space="preserve">izvješća operatora </w:t>
      </w:r>
      <w:r w:rsidR="00AC5CE9">
        <w:t>zrakoplova</w:t>
      </w:r>
      <w:r w:rsidR="00D63B0A">
        <w:t>.</w:t>
      </w:r>
    </w:p>
    <w:p w14:paraId="65621786" w14:textId="53AF6F79" w:rsidR="00943B32" w:rsidRPr="00993F94" w:rsidRDefault="00943B32" w:rsidP="004623DD">
      <w:pPr>
        <w:rPr>
          <w:b/>
        </w:rPr>
      </w:pPr>
      <w:r w:rsidRPr="00993F94">
        <w:rPr>
          <w:b/>
        </w:rPr>
        <w:t>Pokazatelj provedbe mjere (indikator):</w:t>
      </w:r>
      <w:r w:rsidRPr="00993F94">
        <w:t xml:space="preserve"> Udio OIE u neposrednoj potrošnji energije u sektoru prometa</w:t>
      </w:r>
      <w:r w:rsidR="00D63B0A">
        <w:t>, udio SAF-ova u zrakoplovnom gorivu.</w:t>
      </w:r>
    </w:p>
    <w:p w14:paraId="7F2D4EC3" w14:textId="0C545492" w:rsidR="00943B32" w:rsidRPr="00993F94" w:rsidRDefault="00943B32" w:rsidP="004623DD">
      <w:r w:rsidRPr="00993F94">
        <w:rPr>
          <w:b/>
        </w:rPr>
        <w:t xml:space="preserve">Povezanost s drugim dimenzijama: </w:t>
      </w:r>
      <w:r w:rsidRPr="00993F94">
        <w:t>Povezanost s dimenzijama energetske učinkovitosti, sigurnosti, i istraživanja, inovacija i konkurentnosti.</w:t>
      </w:r>
    </w:p>
    <w:p w14:paraId="3A266BA6" w14:textId="77777777" w:rsidR="00943B32" w:rsidRPr="00B47BDA" w:rsidRDefault="00943B32" w:rsidP="63259912">
      <w:pPr>
        <w:rPr>
          <w:rFonts w:eastAsia="Calibri"/>
          <w:b/>
          <w:bCs/>
        </w:rPr>
      </w:pPr>
      <w:r w:rsidRPr="63259912">
        <w:rPr>
          <w:rFonts w:eastAsia="Calibri"/>
          <w:b/>
          <w:bCs/>
        </w:rPr>
        <w:lastRenderedPageBreak/>
        <w:t xml:space="preserve">Istraživanje i razvoj: </w:t>
      </w:r>
      <w:r w:rsidRPr="63259912">
        <w:rPr>
          <w:rFonts w:eastAsia="Calibri"/>
        </w:rPr>
        <w:t>Za postizanje cilja neophodno je usavršavanje postojećih i razvoj novih tehnologija za proizvodnju niskougljičnih goriva, kao i novih poslovnih modela za povećanje korištenja naprednih biogoriva i sintetičkih goriva.</w:t>
      </w:r>
    </w:p>
    <w:p w14:paraId="6343E01D" w14:textId="18657AEA" w:rsidR="002E335A" w:rsidRPr="00AA67A3" w:rsidRDefault="002E335A" w:rsidP="00AA67A3">
      <w:pPr>
        <w:pStyle w:val="Mjeranaslov"/>
      </w:pPr>
    </w:p>
    <w:p w14:paraId="45317EA3" w14:textId="5802D0F7" w:rsidR="00B81BFD" w:rsidRPr="00B47BDA" w:rsidRDefault="00FF026C" w:rsidP="005C2C7E">
      <w:pPr>
        <w:pStyle w:val="Heading4"/>
        <w:numPr>
          <w:ilvl w:val="3"/>
          <w:numId w:val="175"/>
        </w:numPr>
        <w:ind w:hanging="580"/>
      </w:pPr>
      <w:r w:rsidRPr="00B47BDA">
        <w:t>Ako je primjenjivo, nacionalne politike, rokovi i mjere planirane radi postupnog ukidanja energetskih subvencija, posebno za fosilna goriva</w:t>
      </w:r>
    </w:p>
    <w:p w14:paraId="49C1B84D" w14:textId="33221638" w:rsidR="00891322" w:rsidRPr="00B47BDA" w:rsidRDefault="00891322" w:rsidP="004623DD">
      <w:pPr>
        <w:rPr>
          <w:lang w:eastAsia="hr-HR"/>
        </w:rPr>
      </w:pPr>
      <w:r w:rsidRPr="00B47BDA">
        <w:rPr>
          <w:lang w:eastAsia="hr-HR"/>
        </w:rPr>
        <w:t>Ublažavanje klimatskih promjena i prilagodba istima smatraju se stupovima provedbe klimatske politike</w:t>
      </w:r>
      <w:r w:rsidRPr="00B47BDA">
        <w:rPr>
          <w:shd w:val="clear" w:color="auto" w:fill="FFFFFF"/>
          <w:lang w:eastAsia="hr-HR"/>
        </w:rPr>
        <w:t xml:space="preserve">. U pogledu prilagodbe klimatskim promjenama izrađena je </w:t>
      </w:r>
      <w:r w:rsidRPr="00B47BDA">
        <w:rPr>
          <w:i/>
          <w:lang w:eastAsia="hr-HR"/>
        </w:rPr>
        <w:t>Strategija prilagodbe klimatskim promjenama u Republici Hrvatskoj za razdoblje do 2040. godine s pogledom na 2070.</w:t>
      </w:r>
      <w:r w:rsidRPr="00B47BDA">
        <w:rPr>
          <w:lang w:eastAsia="hr-HR"/>
        </w:rPr>
        <w:t xml:space="preserve"> </w:t>
      </w:r>
      <w:r w:rsidR="00EB08F1">
        <w:rPr>
          <w:lang w:eastAsia="hr-HR"/>
        </w:rPr>
        <w:t xml:space="preserve">(„Narodne novine“, br. </w:t>
      </w:r>
      <w:r w:rsidRPr="00B47BDA">
        <w:rPr>
          <w:lang w:eastAsia="hr-HR"/>
        </w:rPr>
        <w:t>46/20</w:t>
      </w:r>
      <w:r w:rsidR="004975F6">
        <w:rPr>
          <w:lang w:eastAsia="hr-HR"/>
        </w:rPr>
        <w:t>.</w:t>
      </w:r>
      <w:r w:rsidRPr="00B47BDA">
        <w:rPr>
          <w:lang w:eastAsia="hr-HR"/>
        </w:rPr>
        <w:t xml:space="preserve">). </w:t>
      </w:r>
      <w:r w:rsidRPr="00B47BDA">
        <w:rPr>
          <w:shd w:val="clear" w:color="auto" w:fill="FFFFFF"/>
          <w:lang w:eastAsia="hr-HR"/>
        </w:rPr>
        <w:t>Izrada Strategije prilagodbe klimatskim promjenama</w:t>
      </w:r>
      <w:r w:rsidRPr="00B47BDA" w:rsidDel="00B25DEF">
        <w:rPr>
          <w:shd w:val="clear" w:color="auto" w:fill="FFFFFF"/>
          <w:lang w:eastAsia="hr-HR"/>
        </w:rPr>
        <w:t xml:space="preserve"> </w:t>
      </w:r>
      <w:r w:rsidRPr="00B47BDA">
        <w:rPr>
          <w:shd w:val="clear" w:color="auto" w:fill="FFFFFF"/>
          <w:lang w:eastAsia="hr-HR"/>
        </w:rPr>
        <w:t xml:space="preserve">temeljni je preduvjet i odgovarajući instrument uspješne provedbe procesa procjene ranjivosti, </w:t>
      </w:r>
      <w:r w:rsidRPr="00B47BDA">
        <w:rPr>
          <w:color w:val="222222"/>
          <w:shd w:val="clear" w:color="auto" w:fill="FFFFFF"/>
          <w:lang w:eastAsia="hr-HR"/>
        </w:rPr>
        <w:t>provedbe mjera prilagodbe te s tim u vezi povećanja otpornosti pojedinih sektora te cjelokupnog gospodarstva i društva na klimatske promjene.</w:t>
      </w:r>
    </w:p>
    <w:p w14:paraId="27C850F1" w14:textId="77777777" w:rsidR="00B81BFD" w:rsidRPr="00B47BDA" w:rsidRDefault="00B81BFD" w:rsidP="004623DD">
      <w:pPr>
        <w:rPr>
          <w:lang w:eastAsia="hr-HR"/>
        </w:rPr>
      </w:pPr>
      <w:r w:rsidRPr="00B47BDA">
        <w:rPr>
          <w:lang w:eastAsia="hr-HR"/>
        </w:rPr>
        <w:t xml:space="preserve">Prema </w:t>
      </w:r>
      <w:r w:rsidR="00891322" w:rsidRPr="00B47BDA">
        <w:rPr>
          <w:lang w:eastAsia="hr-HR"/>
        </w:rPr>
        <w:t>Strategiji</w:t>
      </w:r>
      <w:r w:rsidRPr="00B47BDA">
        <w:rPr>
          <w:lang w:eastAsia="hr-HR"/>
        </w:rPr>
        <w:t xml:space="preserve"> prilagodbe, ranjivost Republike Hrvatske na učinke klimatskih promjena je velika, posebno sektora</w:t>
      </w:r>
      <w:r w:rsidRPr="00B47BDA">
        <w:rPr>
          <w:shd w:val="clear" w:color="auto" w:fill="FFFFFF"/>
          <w:lang w:eastAsia="hr-HR"/>
        </w:rPr>
        <w:t xml:space="preserve"> poljoprivrede, šumarstva, ribarstva, energetike i turizma, jer uspješnost svih tih sektora u velikoj mjeri ovisi o klimatskim čimbenicima. </w:t>
      </w:r>
    </w:p>
    <w:p w14:paraId="4AD607C4" w14:textId="77777777" w:rsidR="00B81BFD" w:rsidRPr="00B47BDA" w:rsidRDefault="00B81BFD" w:rsidP="004623DD">
      <w:pPr>
        <w:rPr>
          <w:lang w:eastAsia="hr-HR"/>
        </w:rPr>
      </w:pPr>
      <w:r w:rsidRPr="00B47BDA">
        <w:rPr>
          <w:lang w:eastAsia="hr-HR"/>
        </w:rPr>
        <w:t>Identificirano je pet nacionalnih prioriteta u okviru kojih je potrebno provoditi mjere prilagodbe klimatskim promjenama. To su:</w:t>
      </w:r>
    </w:p>
    <w:p w14:paraId="0FF4B85B" w14:textId="77777777" w:rsidR="00B81BFD" w:rsidRPr="00B47BDA" w:rsidRDefault="00B81BFD" w:rsidP="009835CE">
      <w:pPr>
        <w:pStyle w:val="ListParagraph"/>
        <w:numPr>
          <w:ilvl w:val="0"/>
          <w:numId w:val="27"/>
        </w:numPr>
        <w:spacing w:after="60"/>
        <w:ind w:left="714" w:hanging="357"/>
      </w:pPr>
      <w:r w:rsidRPr="00B47BDA">
        <w:t xml:space="preserve">osiguranje održivog regionalnog i urbanog razvoja </w:t>
      </w:r>
    </w:p>
    <w:p w14:paraId="3A513FD8" w14:textId="77777777" w:rsidR="00B81BFD" w:rsidRPr="00B47BDA" w:rsidRDefault="00B81BFD" w:rsidP="009835CE">
      <w:pPr>
        <w:pStyle w:val="ListParagraph"/>
        <w:numPr>
          <w:ilvl w:val="0"/>
          <w:numId w:val="27"/>
        </w:numPr>
        <w:spacing w:after="60"/>
        <w:ind w:left="714" w:hanging="357"/>
      </w:pPr>
      <w:r w:rsidRPr="00B47BDA">
        <w:t>osiguranje preduvjeta za gospodarski razvoj ruralnih područja, priobalja i otoka</w:t>
      </w:r>
    </w:p>
    <w:p w14:paraId="5A0B1191" w14:textId="77777777" w:rsidR="00B81BFD" w:rsidRPr="00B47BDA" w:rsidRDefault="00B81BFD" w:rsidP="009835CE">
      <w:pPr>
        <w:pStyle w:val="ListParagraph"/>
        <w:numPr>
          <w:ilvl w:val="0"/>
          <w:numId w:val="27"/>
        </w:numPr>
        <w:spacing w:after="60"/>
        <w:ind w:left="714" w:hanging="357"/>
      </w:pPr>
      <w:r w:rsidRPr="00B47BDA">
        <w:t>osiguranje održivog energetskog razvitka</w:t>
      </w:r>
    </w:p>
    <w:p w14:paraId="75ADC82E" w14:textId="77777777" w:rsidR="00B81BFD" w:rsidRPr="00B47BDA" w:rsidRDefault="00B81BFD" w:rsidP="009835CE">
      <w:pPr>
        <w:pStyle w:val="ListParagraph"/>
        <w:numPr>
          <w:ilvl w:val="0"/>
          <w:numId w:val="27"/>
        </w:numPr>
        <w:spacing w:after="60"/>
        <w:ind w:left="714" w:hanging="357"/>
      </w:pPr>
      <w:r w:rsidRPr="00B47BDA">
        <w:t xml:space="preserve">jačanje upravljačkih kapaciteta umreženim sustavom praćenja i ranog upozoravanja </w:t>
      </w:r>
    </w:p>
    <w:p w14:paraId="26E58B1E" w14:textId="77777777" w:rsidR="00B81BFD" w:rsidRPr="00B47BDA" w:rsidRDefault="00B81BFD" w:rsidP="009835CE">
      <w:pPr>
        <w:pStyle w:val="ListParagraph"/>
        <w:numPr>
          <w:ilvl w:val="0"/>
          <w:numId w:val="27"/>
        </w:numPr>
        <w:spacing w:after="60"/>
        <w:ind w:left="714" w:hanging="357"/>
      </w:pPr>
      <w:r w:rsidRPr="00B47BDA">
        <w:t>osiguranje kontinuiteta istraživačkih aktivnosti.</w:t>
      </w:r>
    </w:p>
    <w:p w14:paraId="4F16C1DC" w14:textId="2919335B" w:rsidR="00B81BFD" w:rsidRPr="00B47BDA" w:rsidRDefault="00B81BFD" w:rsidP="63259912">
      <w:pPr>
        <w:rPr>
          <w:shd w:val="clear" w:color="auto" w:fill="FFFFFF"/>
          <w:lang w:eastAsia="hr-HR"/>
        </w:rPr>
      </w:pPr>
      <w:r w:rsidRPr="63259912">
        <w:rPr>
          <w:shd w:val="clear" w:color="auto" w:fill="FFFFFF"/>
          <w:lang w:eastAsia="hr-HR"/>
        </w:rPr>
        <w:t xml:space="preserve">Na temelju općih načela za definiranje mjera, analize postojećeg stanja po sektorima i procjene stupnja ranjivosti </w:t>
      </w:r>
      <w:r w:rsidR="00891322" w:rsidRPr="63259912">
        <w:rPr>
          <w:shd w:val="clear" w:color="auto" w:fill="FFFFFF"/>
          <w:lang w:eastAsia="hr-HR"/>
        </w:rPr>
        <w:t>te</w:t>
      </w:r>
      <w:r w:rsidRPr="63259912">
        <w:rPr>
          <w:shd w:val="clear" w:color="auto" w:fill="FFFFFF"/>
          <w:lang w:eastAsia="hr-HR"/>
        </w:rPr>
        <w:t xml:space="preserve"> mogućih odgovora na izazove prilagodbe klimatskim promjenama </w:t>
      </w:r>
      <w:r w:rsidR="00891322" w:rsidRPr="63259912">
        <w:rPr>
          <w:shd w:val="clear" w:color="auto" w:fill="FFFFFF"/>
          <w:lang w:eastAsia="hr-HR"/>
        </w:rPr>
        <w:t>Strategijom</w:t>
      </w:r>
      <w:r w:rsidRPr="63259912">
        <w:rPr>
          <w:shd w:val="clear" w:color="auto" w:fill="FFFFFF"/>
          <w:lang w:eastAsia="hr-HR"/>
        </w:rPr>
        <w:t xml:space="preserve"> prilagodbe utvrđen je skup mjera za svaki sektor kao i međusektorske mjere. Po svom karakteru, mjere su regulatorne i administrativne, provedbene, mjere edukacije i osvješćivanja javnosti te istraživačko razvojne mjere. Osim po karakteru, mjere su i prioritizirane (mjere vrlo visoke važnosti, visoke važnosti i srednje važnosti). </w:t>
      </w:r>
    </w:p>
    <w:p w14:paraId="5D74F080" w14:textId="4CC22706" w:rsidR="00B81BFD" w:rsidRPr="00B47BDA" w:rsidRDefault="00B81BFD" w:rsidP="004623DD">
      <w:pPr>
        <w:rPr>
          <w:rFonts w:cstheme="minorBidi"/>
          <w:shd w:val="clear" w:color="auto" w:fill="FFFFFF"/>
        </w:rPr>
      </w:pPr>
      <w:r w:rsidRPr="00B47BDA">
        <w:rPr>
          <w:shd w:val="clear" w:color="auto" w:fill="FFFFFF"/>
          <w:lang w:eastAsia="hr-HR"/>
        </w:rPr>
        <w:t>Strategija prilagodbe provodit će se putem provedbenih akcijskih planova, koji će sadržavati razradu konkretnih mjera i aktivnosti za određeno petogodišnje razdoblje.</w:t>
      </w:r>
    </w:p>
    <w:p w14:paraId="0FAF7407" w14:textId="4923FB78" w:rsidR="00C21988" w:rsidRPr="00B47BDA" w:rsidRDefault="00BA4CD9" w:rsidP="005C2C7E">
      <w:pPr>
        <w:pStyle w:val="Heading2"/>
        <w:numPr>
          <w:ilvl w:val="1"/>
          <w:numId w:val="175"/>
        </w:numPr>
      </w:pPr>
      <w:bookmarkStart w:id="444" w:name="_Toc531935157"/>
      <w:bookmarkStart w:id="445" w:name="_Toc531945107"/>
      <w:bookmarkStart w:id="446" w:name="_Toc6302364"/>
      <w:r w:rsidRPr="00B47BDA">
        <w:tab/>
      </w:r>
      <w:bookmarkStart w:id="447" w:name="_Toc187418348"/>
      <w:bookmarkStart w:id="448" w:name="_Toc193043273"/>
      <w:r w:rsidR="00C21988" w:rsidRPr="00B47BDA">
        <w:t xml:space="preserve">Dimenzija: </w:t>
      </w:r>
      <w:r w:rsidR="007E1352">
        <w:t>e</w:t>
      </w:r>
      <w:r w:rsidR="00C21988" w:rsidRPr="00B47BDA">
        <w:t>nergetska učinkovitost</w:t>
      </w:r>
      <w:bookmarkEnd w:id="444"/>
      <w:bookmarkEnd w:id="445"/>
      <w:bookmarkEnd w:id="446"/>
      <w:bookmarkEnd w:id="447"/>
      <w:bookmarkEnd w:id="448"/>
      <w:r w:rsidR="00C21988" w:rsidRPr="00B47BDA">
        <w:t xml:space="preserve"> </w:t>
      </w:r>
    </w:p>
    <w:p w14:paraId="184824AD" w14:textId="77EA36A0" w:rsidR="002508D0" w:rsidRPr="00B47BDA" w:rsidRDefault="002508D0" w:rsidP="004623DD">
      <w:r w:rsidRPr="00B47BDA">
        <w:t>Očekivani učinak grupe mjera za poticanje energetske učinkovitosti i prometa jednak je smanjenju neposredne potrošnje energije u projekcijama za scenarij s dodatnim mjerama u odnosu na scenarij s postojećim mjerama, koje iznosi</w:t>
      </w:r>
      <w:r w:rsidR="00E9760F" w:rsidRPr="00B47BDA">
        <w:t xml:space="preserve"> </w:t>
      </w:r>
      <w:r w:rsidR="0048399D" w:rsidRPr="00B47BDA">
        <w:t>17,61</w:t>
      </w:r>
      <w:r w:rsidRPr="00B47BDA">
        <w:t xml:space="preserve"> PJ u 2030. godini.</w:t>
      </w:r>
    </w:p>
    <w:p w14:paraId="5902D927" w14:textId="334AC883" w:rsidR="00C21988" w:rsidRPr="00B47BDA" w:rsidRDefault="00C21988" w:rsidP="004623DD">
      <w:r w:rsidRPr="00B47BDA">
        <w:lastRenderedPageBreak/>
        <w:t xml:space="preserve">Planirane politike, mjere i programi za ostvarivanje okvirnog nacionalnog cilja povećanja energetske učinkovitosti za 2030. kao i drugih ciljeva predstavljenih u </w:t>
      </w:r>
      <w:r w:rsidR="005B7ACF">
        <w:t>točki</w:t>
      </w:r>
      <w:r w:rsidRPr="00B47BDA">
        <w:t xml:space="preserve"> </w:t>
      </w:r>
      <w:r w:rsidR="005B7ACF">
        <w:t>2</w:t>
      </w:r>
      <w:r w:rsidRPr="00B47BDA">
        <w:t xml:space="preserve">.2, uključujući planirane mjere i instrumente (i one financijske prirode) za promicanje energetskih svojstava zgrada, </w:t>
      </w:r>
      <w:r w:rsidR="00790677" w:rsidRPr="00B47BDA">
        <w:t>navedene su u nastavku, prema specifičnim područjima</w:t>
      </w:r>
      <w:r w:rsidR="00C059F5" w:rsidRPr="00B47BDA">
        <w:t>:</w:t>
      </w:r>
      <w:r w:rsidR="00790677" w:rsidRPr="00B47BDA">
        <w:t xml:space="preserve"> </w:t>
      </w:r>
    </w:p>
    <w:p w14:paraId="249CB0B8" w14:textId="762752DE" w:rsidR="003224D3" w:rsidRPr="00B47BDA" w:rsidRDefault="00CE001B" w:rsidP="005C2C7E">
      <w:pPr>
        <w:pStyle w:val="Heading4"/>
        <w:numPr>
          <w:ilvl w:val="3"/>
          <w:numId w:val="175"/>
        </w:numPr>
        <w:ind w:hanging="580"/>
        <w:rPr>
          <w:strike/>
        </w:rPr>
      </w:pPr>
      <w:r w:rsidRPr="00B47BDA">
        <w:t>Sustavi obveze energetske učinkovitosti i alternativnih mjera politika iz članaka 7.a i 7.b i članka 20. stavka 6. Direktive 2012/27/EU</w:t>
      </w:r>
    </w:p>
    <w:p w14:paraId="5AA5B6F5" w14:textId="4F4F1E90" w:rsidR="00F55479" w:rsidRPr="00B47BDA" w:rsidRDefault="00F55479" w:rsidP="00EE67E0">
      <w:pPr>
        <w:pStyle w:val="Mjeranaslov"/>
      </w:pPr>
      <w:r w:rsidRPr="00B47BDA">
        <w:t>ENU-1 Sustav obveze energetske učinkovitosti za opskrbljivače</w:t>
      </w:r>
    </w:p>
    <w:p w14:paraId="512C7130" w14:textId="19156EEF" w:rsidR="0061167F" w:rsidRPr="00B47BDA" w:rsidRDefault="0061167F" w:rsidP="004623DD">
      <w:pPr>
        <w:pStyle w:val="NormalWeb"/>
      </w:pPr>
      <w:r w:rsidRPr="00B47BDA">
        <w:t>Regulatorna mjera</w:t>
      </w:r>
      <w:r w:rsidR="00B24183">
        <w:t>;</w:t>
      </w:r>
      <w:r w:rsidRPr="00B47BDA">
        <w:t xml:space="preserve"> provedba 2019. – 2030. </w:t>
      </w:r>
    </w:p>
    <w:p w14:paraId="1CA75CCD" w14:textId="506A8A93" w:rsidR="000820BA" w:rsidRPr="00B47BDA" w:rsidRDefault="2D1BAA3F" w:rsidP="004623DD">
      <w:pPr>
        <w:pStyle w:val="NormalWeb"/>
      </w:pPr>
      <w:r w:rsidRPr="63259912">
        <w:rPr>
          <w:b/>
          <w:bCs/>
          <w:color w:val="000000" w:themeColor="text1"/>
        </w:rPr>
        <w:t>Cilj i opis mjere:</w:t>
      </w:r>
      <w:r w:rsidRPr="63259912">
        <w:rPr>
          <w:color w:val="000000" w:themeColor="text1"/>
        </w:rPr>
        <w:t xml:space="preserve"> </w:t>
      </w:r>
      <w:r w:rsidRPr="63259912">
        <w:t>Sustav obveza energetske učinkovitosti uspostavljen je Zakonom o energetskoj učinkovitosti (</w:t>
      </w:r>
      <w:r w:rsidR="004975F6" w:rsidRPr="63259912">
        <w:t>„</w:t>
      </w:r>
      <w:r w:rsidR="00071A4F" w:rsidRPr="63259912">
        <w:t xml:space="preserve">Narodne </w:t>
      </w:r>
      <w:r w:rsidR="00A97AE7" w:rsidRPr="63259912">
        <w:t>novine</w:t>
      </w:r>
      <w:r w:rsidR="004975F6" w:rsidRPr="63259912">
        <w:t>“</w:t>
      </w:r>
      <w:r w:rsidR="00071A4F" w:rsidRPr="63259912">
        <w:t>, br</w:t>
      </w:r>
      <w:r w:rsidR="00BE36EF" w:rsidRPr="63259912">
        <w:t>.</w:t>
      </w:r>
      <w:r w:rsidRPr="63259912">
        <w:t xml:space="preserve"> 127</w:t>
      </w:r>
      <w:r w:rsidR="005B41DA" w:rsidRPr="63259912">
        <w:t>/14</w:t>
      </w:r>
      <w:r w:rsidR="004975F6" w:rsidRPr="63259912">
        <w:t>.</w:t>
      </w:r>
      <w:r w:rsidRPr="63259912">
        <w:t>, 116</w:t>
      </w:r>
      <w:r w:rsidR="005B41DA" w:rsidRPr="63259912">
        <w:t>/18</w:t>
      </w:r>
      <w:r w:rsidR="004975F6" w:rsidRPr="63259912">
        <w:t>.</w:t>
      </w:r>
      <w:r w:rsidR="573D6835" w:rsidRPr="63259912">
        <w:t>, 25/20</w:t>
      </w:r>
      <w:r w:rsidR="004975F6" w:rsidRPr="63259912">
        <w:t>.</w:t>
      </w:r>
      <w:r w:rsidRPr="63259912">
        <w:t>), a njegovo funkcioniranje se pobliže utvrđuje</w:t>
      </w:r>
      <w:r w:rsidR="10CEDDC1" w:rsidRPr="63259912">
        <w:t xml:space="preserve"> </w:t>
      </w:r>
      <w:r w:rsidRPr="63259912">
        <w:t>Pravilnikom o sustavu obveza energetske učinkovitosti (</w:t>
      </w:r>
      <w:r w:rsidR="004975F6" w:rsidRPr="63259912">
        <w:t>„</w:t>
      </w:r>
      <w:r w:rsidR="00071A4F" w:rsidRPr="63259912">
        <w:t xml:space="preserve">Narodne </w:t>
      </w:r>
      <w:r w:rsidR="00A97AE7" w:rsidRPr="63259912">
        <w:t>novine</w:t>
      </w:r>
      <w:r w:rsidR="004975F6" w:rsidRPr="63259912">
        <w:t>“</w:t>
      </w:r>
      <w:r w:rsidR="00071A4F" w:rsidRPr="63259912">
        <w:t xml:space="preserve">, </w:t>
      </w:r>
      <w:r w:rsidR="0024195A" w:rsidRPr="63259912">
        <w:t>br</w:t>
      </w:r>
      <w:r w:rsidR="004975F6" w:rsidRPr="63259912">
        <w:t>.</w:t>
      </w:r>
      <w:r w:rsidRPr="63259912">
        <w:t xml:space="preserve"> 41</w:t>
      </w:r>
      <w:r w:rsidR="005B41DA" w:rsidRPr="63259912">
        <w:t>/19</w:t>
      </w:r>
      <w:r w:rsidR="004975F6" w:rsidRPr="63259912">
        <w:t>.</w:t>
      </w:r>
      <w:r w:rsidRPr="63259912">
        <w:t>)</w:t>
      </w:r>
      <w:r w:rsidR="7DF0ACA5" w:rsidRPr="63259912">
        <w:t xml:space="preserve">. </w:t>
      </w:r>
      <w:r w:rsidR="02C3AACE" w:rsidRPr="63259912">
        <w:t xml:space="preserve">Stupanjem na snagu </w:t>
      </w:r>
      <w:r w:rsidR="362FBBB1" w:rsidRPr="63259912">
        <w:t>Zakona o energetskoj učinkovitosti (</w:t>
      </w:r>
      <w:r w:rsidR="004975F6" w:rsidRPr="63259912">
        <w:t>„</w:t>
      </w:r>
      <w:r w:rsidR="00071A4F" w:rsidRPr="63259912">
        <w:t xml:space="preserve">Narodne </w:t>
      </w:r>
      <w:r w:rsidR="00A97AE7" w:rsidRPr="63259912">
        <w:t>novine</w:t>
      </w:r>
      <w:r w:rsidR="004975F6" w:rsidRPr="63259912">
        <w:t>“</w:t>
      </w:r>
      <w:r w:rsidR="00071A4F" w:rsidRPr="63259912">
        <w:t xml:space="preserve">, </w:t>
      </w:r>
      <w:r w:rsidR="0024195A" w:rsidRPr="63259912">
        <w:t>br</w:t>
      </w:r>
      <w:r w:rsidR="004975F6" w:rsidRPr="63259912">
        <w:t>.</w:t>
      </w:r>
      <w:r w:rsidR="362FBBB1" w:rsidRPr="63259912">
        <w:t xml:space="preserve"> 41</w:t>
      </w:r>
      <w:r w:rsidR="005B41DA" w:rsidRPr="63259912">
        <w:t>/21</w:t>
      </w:r>
      <w:r w:rsidR="004975F6" w:rsidRPr="63259912">
        <w:t>.</w:t>
      </w:r>
      <w:r w:rsidR="362FBBB1" w:rsidRPr="63259912">
        <w:t>) Pravilnik</w:t>
      </w:r>
      <w:r w:rsidR="03C40EB4" w:rsidRPr="63259912">
        <w:t xml:space="preserve"> o sustavu obveza energetske učinkovitosti </w:t>
      </w:r>
      <w:r w:rsidR="167CB0A4" w:rsidRPr="63259912">
        <w:t>(</w:t>
      </w:r>
      <w:r w:rsidR="004975F6" w:rsidRPr="63259912">
        <w:t>„</w:t>
      </w:r>
      <w:r w:rsidR="00071A4F" w:rsidRPr="63259912">
        <w:t xml:space="preserve">Narodne </w:t>
      </w:r>
      <w:r w:rsidR="00A97AE7" w:rsidRPr="63259912">
        <w:t>novine</w:t>
      </w:r>
      <w:r w:rsidR="004975F6" w:rsidRPr="63259912">
        <w:t>“</w:t>
      </w:r>
      <w:r w:rsidR="00071A4F" w:rsidRPr="63259912">
        <w:t xml:space="preserve">, </w:t>
      </w:r>
      <w:r w:rsidR="0024195A" w:rsidRPr="63259912">
        <w:t>br</w:t>
      </w:r>
      <w:r w:rsidR="004975F6" w:rsidRPr="63259912">
        <w:t>.</w:t>
      </w:r>
      <w:r w:rsidR="167CB0A4" w:rsidRPr="63259912">
        <w:t xml:space="preserve"> 41</w:t>
      </w:r>
      <w:r w:rsidR="005B41DA" w:rsidRPr="63259912">
        <w:t>/19</w:t>
      </w:r>
      <w:r w:rsidR="004975F6" w:rsidRPr="63259912">
        <w:t>.</w:t>
      </w:r>
      <w:r w:rsidR="167CB0A4" w:rsidRPr="63259912">
        <w:t>) prestaje važiti</w:t>
      </w:r>
      <w:r w:rsidR="15455831" w:rsidRPr="63259912">
        <w:t xml:space="preserve"> te se </w:t>
      </w:r>
      <w:r w:rsidR="5820F7FD" w:rsidRPr="63259912">
        <w:t xml:space="preserve">elementi sustava obveza energetskih ušteda i način njegova provođenja </w:t>
      </w:r>
      <w:r w:rsidR="44D567C1" w:rsidRPr="63259912">
        <w:t>prenos</w:t>
      </w:r>
      <w:r w:rsidR="5FE11EC9" w:rsidRPr="63259912">
        <w:t>e</w:t>
      </w:r>
      <w:r w:rsidR="5820F7FD" w:rsidRPr="63259912">
        <w:t xml:space="preserve"> u</w:t>
      </w:r>
      <w:r w:rsidR="185067B9" w:rsidRPr="63259912">
        <w:t xml:space="preserve"> Pravilnik o</w:t>
      </w:r>
      <w:r w:rsidR="79821EC7" w:rsidRPr="63259912">
        <w:t xml:space="preserve"> sustavu za praćenje, mjerenje i verifikaciju ušteda energijom (</w:t>
      </w:r>
      <w:r w:rsidR="004975F6" w:rsidRPr="63259912">
        <w:t>„</w:t>
      </w:r>
      <w:r w:rsidR="00071A4F" w:rsidRPr="63259912">
        <w:t xml:space="preserve">Narodne </w:t>
      </w:r>
      <w:r w:rsidR="00A97AE7" w:rsidRPr="63259912">
        <w:t>novine</w:t>
      </w:r>
      <w:r w:rsidR="004975F6" w:rsidRPr="63259912">
        <w:t>“</w:t>
      </w:r>
      <w:r w:rsidR="00071A4F" w:rsidRPr="63259912">
        <w:t>, br</w:t>
      </w:r>
      <w:r w:rsidR="00BE36EF" w:rsidRPr="63259912">
        <w:t>.</w:t>
      </w:r>
      <w:r w:rsidR="46B88296" w:rsidRPr="63259912">
        <w:t xml:space="preserve"> 98</w:t>
      </w:r>
      <w:r w:rsidR="005B41DA" w:rsidRPr="63259912">
        <w:t>/21</w:t>
      </w:r>
      <w:r w:rsidR="004975F6" w:rsidRPr="63259912">
        <w:t>.</w:t>
      </w:r>
      <w:r w:rsidR="46B88296" w:rsidRPr="63259912">
        <w:t>, 30</w:t>
      </w:r>
      <w:r w:rsidR="005B41DA" w:rsidRPr="63259912">
        <w:t>/22</w:t>
      </w:r>
      <w:r w:rsidR="004975F6" w:rsidRPr="63259912">
        <w:t>.</w:t>
      </w:r>
      <w:r w:rsidR="46B88296" w:rsidRPr="63259912">
        <w:t>)</w:t>
      </w:r>
      <w:r w:rsidR="167CB0A4" w:rsidRPr="63259912">
        <w:t>.</w:t>
      </w:r>
      <w:r w:rsidRPr="63259912">
        <w:t xml:space="preserve"> Obveznici sustava obveze energetske učinkovitosti su opskrbljivači energijom. Sustav je funkcionalan od 2019. godine, kada u njega ulaze opskrbljivači koji su na tržište isporučili više od 300 GWh energije tijekom 2017. godine. U 2020. godini u sustav obveze ulaze opskrbljivači koji su na tržište isporučili više od 100 GWh energije tijekom 2018. godine, a od 2021. godine pa nadalje obveznici su svi oni opskrbljivači koji su na tržište isporučili više od 50 GWh energije tijekom pretprošle godine u odnosu na relevantnu godinu. </w:t>
      </w:r>
      <w:r w:rsidR="7FA3A98F" w:rsidRPr="63259912">
        <w:t>O</w:t>
      </w:r>
      <w:r w:rsidR="04E9FBC8" w:rsidRPr="63259912">
        <w:t xml:space="preserve">d </w:t>
      </w:r>
      <w:r w:rsidR="6E7EA640" w:rsidRPr="63259912">
        <w:t xml:space="preserve">2021. do 2030. godine </w:t>
      </w:r>
      <w:r w:rsidR="6B9CECEB" w:rsidRPr="63259912">
        <w:t xml:space="preserve">cilj je ostvariti </w:t>
      </w:r>
      <w:r w:rsidR="149CFD0E" w:rsidRPr="63259912">
        <w:t xml:space="preserve">kumulativnu uštedu energije u krajnjoj potrošnji </w:t>
      </w:r>
      <w:r w:rsidR="317FDFD4" w:rsidRPr="63259912">
        <w:t xml:space="preserve">na način da se </w:t>
      </w:r>
      <w:r w:rsidR="2A7FFD5A" w:rsidRPr="63259912">
        <w:t>svake godine</w:t>
      </w:r>
      <w:r w:rsidR="67F7DE01" w:rsidRPr="63259912">
        <w:t xml:space="preserve"> </w:t>
      </w:r>
      <w:r w:rsidR="3DC490C9" w:rsidRPr="63259912">
        <w:t>ostvaruju nove godišnje uštede</w:t>
      </w:r>
      <w:r w:rsidR="48F9ABA8" w:rsidRPr="63259912">
        <w:t xml:space="preserve">. </w:t>
      </w:r>
      <w:r w:rsidR="3C49241A" w:rsidRPr="63259912">
        <w:t>Pre</w:t>
      </w:r>
      <w:r w:rsidR="1B4A7B50" w:rsidRPr="63259912">
        <w:t>ma Direktivi 2018/2002</w:t>
      </w:r>
      <w:r w:rsidR="342E2946" w:rsidRPr="63259912">
        <w:t xml:space="preserve"> kojom se izmjenjuje Direktiva 2012/27/EU o energetskoj učinkovitosti, sustav je postavljen tako da je s</w:t>
      </w:r>
      <w:r w:rsidR="797B93D1" w:rsidRPr="63259912">
        <w:t>vake godine potrebno ostvarit</w:t>
      </w:r>
      <w:r w:rsidR="0CD5F7FA" w:rsidRPr="63259912">
        <w:t>i uštede od 0,8</w:t>
      </w:r>
      <w:r w:rsidR="008852B0" w:rsidRPr="63259912">
        <w:t> </w:t>
      </w:r>
      <w:r w:rsidR="0CD5F7FA" w:rsidRPr="63259912">
        <w:t xml:space="preserve">% </w:t>
      </w:r>
      <w:r w:rsidR="4EDF1300" w:rsidRPr="63259912">
        <w:t xml:space="preserve">godišnje krajnje potrošnje. </w:t>
      </w:r>
      <w:r w:rsidR="4E2B32BE" w:rsidRPr="63259912">
        <w:t>Prema usuglašenim izmjenama i dopunama Direktive o energetskoj učinkovitosti iz 2023 godine, ovi se ciljevi mijenjaju i iznose kako slijedi: u</w:t>
      </w:r>
      <w:r w:rsidR="48F9ABA8" w:rsidRPr="63259912">
        <w:t xml:space="preserve"> periodu</w:t>
      </w:r>
      <w:r w:rsidR="04D9BF45" w:rsidRPr="63259912">
        <w:t xml:space="preserve"> </w:t>
      </w:r>
      <w:r w:rsidR="155E23A5" w:rsidRPr="63259912">
        <w:t xml:space="preserve">od </w:t>
      </w:r>
      <w:r w:rsidR="04E9FBC8" w:rsidRPr="63259912">
        <w:t>2021. do 2023.</w:t>
      </w:r>
      <w:r w:rsidR="48F9ABA8" w:rsidRPr="63259912">
        <w:t xml:space="preserve"> godine cilj je postići uštede od</w:t>
      </w:r>
      <w:r w:rsidR="04E9FBC8" w:rsidRPr="63259912">
        <w:t xml:space="preserve"> </w:t>
      </w:r>
      <w:r w:rsidR="047704EA" w:rsidRPr="63259912">
        <w:t>0,8</w:t>
      </w:r>
      <w:r w:rsidR="008852B0" w:rsidRPr="63259912">
        <w:t> </w:t>
      </w:r>
      <w:r w:rsidR="047704EA" w:rsidRPr="63259912">
        <w:t>%</w:t>
      </w:r>
      <w:r w:rsidR="755FFFB3" w:rsidRPr="63259912">
        <w:t>, od 2024. do 202</w:t>
      </w:r>
      <w:r w:rsidR="3EC65478" w:rsidRPr="63259912">
        <w:t>5</w:t>
      </w:r>
      <w:r w:rsidR="755FFFB3" w:rsidRPr="63259912">
        <w:t xml:space="preserve">. godine </w:t>
      </w:r>
      <w:r w:rsidR="3AD62216" w:rsidRPr="63259912">
        <w:t>1,3</w:t>
      </w:r>
      <w:r w:rsidR="008852B0" w:rsidRPr="63259912">
        <w:t> </w:t>
      </w:r>
      <w:r w:rsidR="3AD62216" w:rsidRPr="63259912">
        <w:t>%</w:t>
      </w:r>
      <w:r w:rsidR="04E9FBC8" w:rsidRPr="63259912">
        <w:t xml:space="preserve">, </w:t>
      </w:r>
      <w:r w:rsidR="3AD62216" w:rsidRPr="63259912">
        <w:t>od 202</w:t>
      </w:r>
      <w:r w:rsidR="3EC65478" w:rsidRPr="63259912">
        <w:t>6</w:t>
      </w:r>
      <w:r w:rsidR="3AD62216" w:rsidRPr="63259912">
        <w:t>. do 20</w:t>
      </w:r>
      <w:r w:rsidR="3EC65478" w:rsidRPr="63259912">
        <w:t>27</w:t>
      </w:r>
      <w:r w:rsidR="3AD62216" w:rsidRPr="63259912">
        <w:t xml:space="preserve">. godine </w:t>
      </w:r>
      <w:r w:rsidR="22FC8D25" w:rsidRPr="63259912">
        <w:t>1,</w:t>
      </w:r>
      <w:r w:rsidR="3EC65478" w:rsidRPr="63259912">
        <w:t>5</w:t>
      </w:r>
      <w:r w:rsidR="008852B0" w:rsidRPr="63259912">
        <w:t> </w:t>
      </w:r>
      <w:r w:rsidR="22FC8D25" w:rsidRPr="63259912">
        <w:t>%</w:t>
      </w:r>
      <w:r w:rsidR="6414D1ED" w:rsidRPr="63259912">
        <w:t xml:space="preserve"> te</w:t>
      </w:r>
      <w:r w:rsidR="3EC65478" w:rsidRPr="63259912">
        <w:t xml:space="preserve"> od 2027. do 2030. godine 1,9</w:t>
      </w:r>
      <w:r w:rsidR="008852B0" w:rsidRPr="63259912">
        <w:t> </w:t>
      </w:r>
      <w:r w:rsidR="3EC65478" w:rsidRPr="63259912">
        <w:t>% godišnje krajnje potrošnje energije</w:t>
      </w:r>
      <w:r w:rsidR="6496A581" w:rsidRPr="63259912">
        <w:t xml:space="preserve">. </w:t>
      </w:r>
      <w:r w:rsidR="25DF4258" w:rsidRPr="63259912">
        <w:t>Time se nacionalni cilj RH podiže s dosadašnjih 125,</w:t>
      </w:r>
      <w:r w:rsidR="31334CDA" w:rsidRPr="63259912">
        <w:t xml:space="preserve">3 PJ </w:t>
      </w:r>
      <w:r w:rsidR="0C952D14" w:rsidRPr="63259912">
        <w:t>(2.993,7 kten)</w:t>
      </w:r>
      <w:r w:rsidR="31334CDA" w:rsidRPr="63259912">
        <w:t xml:space="preserve"> na</w:t>
      </w:r>
      <w:r w:rsidR="0C952D14" w:rsidRPr="63259912">
        <w:t xml:space="preserve"> </w:t>
      </w:r>
      <w:r w:rsidR="2F24DFF4" w:rsidRPr="63259912">
        <w:t>180,6</w:t>
      </w:r>
      <w:r w:rsidR="0C952D14" w:rsidRPr="63259912">
        <w:t xml:space="preserve"> PJ (</w:t>
      </w:r>
      <w:r w:rsidR="2F24DFF4" w:rsidRPr="63259912">
        <w:t>4.313.6</w:t>
      </w:r>
      <w:r w:rsidR="0C952D14" w:rsidRPr="63259912">
        <w:t xml:space="preserve"> kten).</w:t>
      </w:r>
      <w:r w:rsidR="31334CDA" w:rsidRPr="63259912">
        <w:t xml:space="preserve"> </w:t>
      </w:r>
    </w:p>
    <w:p w14:paraId="6C5B08DB" w14:textId="6C0A29CF" w:rsidR="00CF60A6" w:rsidRPr="00B47BDA" w:rsidRDefault="4E2B32BE" w:rsidP="004623DD">
      <w:pPr>
        <w:pStyle w:val="NormalWeb"/>
      </w:pPr>
      <w:r>
        <w:t xml:space="preserve">Prema Zakonu o energetskoj </w:t>
      </w:r>
      <w:r w:rsidR="0C952D14">
        <w:t xml:space="preserve">učinkovitosti, </w:t>
      </w:r>
      <w:r w:rsidR="1DBAF9E8">
        <w:t>c</w:t>
      </w:r>
      <w:r w:rsidR="2D1BAA3F">
        <w:t>ilj je postići 70</w:t>
      </w:r>
      <w:r w:rsidR="008852B0">
        <w:t> </w:t>
      </w:r>
      <w:r w:rsidR="2D1BAA3F">
        <w:t xml:space="preserve">% ušteda iz članka </w:t>
      </w:r>
      <w:r w:rsidR="5820F7FD">
        <w:t>8.(</w:t>
      </w:r>
      <w:r w:rsidR="2D1BAA3F">
        <w:t>7.</w:t>
      </w:r>
      <w:r w:rsidR="5820F7FD">
        <w:t>)</w:t>
      </w:r>
      <w:r w:rsidR="2D1BAA3F">
        <w:t xml:space="preserve"> Direktive o energetskoj učinkovitosti sustavom obveza energetske učinkovitosti. </w:t>
      </w:r>
      <w:r w:rsidR="0BA6C258">
        <w:t>S obzirom na novi cilj</w:t>
      </w:r>
      <w:r w:rsidR="62CC9081">
        <w:t xml:space="preserve">, </w:t>
      </w:r>
      <w:r w:rsidR="203E7AA9">
        <w:t>provedene su</w:t>
      </w:r>
      <w:r w:rsidR="194525D7">
        <w:t xml:space="preserve"> analize te </w:t>
      </w:r>
      <w:r w:rsidR="203E7AA9">
        <w:t>se utvrđuje</w:t>
      </w:r>
      <w:r w:rsidR="1262F30A">
        <w:t xml:space="preserve"> </w:t>
      </w:r>
      <w:r w:rsidR="203E7AA9">
        <w:t xml:space="preserve">nova raspodjela </w:t>
      </w:r>
      <w:r w:rsidR="430BA601">
        <w:t>cilja izme</w:t>
      </w:r>
      <w:r w:rsidR="30EA9FB3">
        <w:t>đ</w:t>
      </w:r>
      <w:r w:rsidR="430BA601">
        <w:t xml:space="preserve">u alternativnih mjera politike i sustava obveza </w:t>
      </w:r>
      <w:r w:rsidR="00E4F252">
        <w:t>na 50:50</w:t>
      </w:r>
      <w:r w:rsidR="008852B0">
        <w:t> </w:t>
      </w:r>
      <w:r w:rsidR="00E4F252">
        <w:t>%. Isto je potrebno</w:t>
      </w:r>
      <w:r w:rsidR="6F1CF770">
        <w:t xml:space="preserve"> </w:t>
      </w:r>
      <w:r w:rsidR="430BA601">
        <w:t>propis</w:t>
      </w:r>
      <w:r w:rsidR="30EA9FB3">
        <w:t>ati</w:t>
      </w:r>
      <w:r w:rsidR="430BA601">
        <w:t xml:space="preserve"> kroz</w:t>
      </w:r>
      <w:r w:rsidR="62CC9081">
        <w:t xml:space="preserve"> izmjene i dopune Zakona. </w:t>
      </w:r>
    </w:p>
    <w:p w14:paraId="64425EF5" w14:textId="77777777" w:rsidR="00C27C76" w:rsidRPr="00B47BDA" w:rsidRDefault="00C27C76" w:rsidP="004623DD">
      <w:pPr>
        <w:rPr>
          <w:rFonts w:eastAsia="Calibri"/>
        </w:rPr>
      </w:pPr>
      <w:r w:rsidRPr="00B47BDA">
        <w:rPr>
          <w:b/>
        </w:rPr>
        <w:t>Aktivnosti:</w:t>
      </w:r>
      <w:r w:rsidRPr="00B47BDA">
        <w:t xml:space="preserve"> U okviru mjere provest će se sljedeće aktivnosti: </w:t>
      </w:r>
    </w:p>
    <w:p w14:paraId="041F2AC6" w14:textId="1D2F25D1" w:rsidR="003348C4" w:rsidRPr="00B47BDA" w:rsidRDefault="004E4A5D" w:rsidP="009835CE">
      <w:pPr>
        <w:pStyle w:val="ListParagraph"/>
        <w:numPr>
          <w:ilvl w:val="0"/>
          <w:numId w:val="40"/>
        </w:numPr>
        <w:spacing w:after="60"/>
        <w:ind w:left="714" w:hanging="357"/>
      </w:pPr>
      <w:r w:rsidRPr="00B47BDA">
        <w:t>Izmjene Zakona o energetskoj učinkovitosti radi transpozicije izmijenjene i dopunjene Direktive o energetskoj učinkovitosti</w:t>
      </w:r>
      <w:r w:rsidR="00D82569">
        <w:t>;</w:t>
      </w:r>
    </w:p>
    <w:p w14:paraId="0E811C96" w14:textId="11670C75" w:rsidR="00C27C76" w:rsidRPr="00B47BDA" w:rsidRDefault="00C27C76" w:rsidP="009835CE">
      <w:pPr>
        <w:pStyle w:val="ListParagraph"/>
        <w:numPr>
          <w:ilvl w:val="0"/>
          <w:numId w:val="40"/>
        </w:numPr>
        <w:spacing w:after="60"/>
        <w:ind w:left="714" w:hanging="357"/>
      </w:pPr>
      <w:r w:rsidRPr="00B47BDA">
        <w:lastRenderedPageBreak/>
        <w:t xml:space="preserve">Nužno je izmijeniti i redovito unaprjeđivati Pravilnik o sustavu za praćenje, mjerenje i verifikaciju ušteda energije, kako bi se </w:t>
      </w:r>
      <w:r w:rsidR="00C93D26" w:rsidRPr="00B47BDA">
        <w:t>provedba u potpunosti uskladila za zahtjevima izmijenjene i dopunjene Direktive o energetskoj učinkovitosti</w:t>
      </w:r>
      <w:r w:rsidRPr="00B47BDA">
        <w:t xml:space="preserve">; </w:t>
      </w:r>
    </w:p>
    <w:p w14:paraId="0A325793" w14:textId="77777777" w:rsidR="00C27C76" w:rsidRPr="00B47BDA" w:rsidRDefault="00C27C76" w:rsidP="009835CE">
      <w:pPr>
        <w:pStyle w:val="ListParagraph"/>
        <w:numPr>
          <w:ilvl w:val="0"/>
          <w:numId w:val="40"/>
        </w:numPr>
        <w:spacing w:after="60"/>
        <w:ind w:left="714" w:hanging="357"/>
      </w:pPr>
      <w:r w:rsidRPr="00B47BDA">
        <w:t xml:space="preserve">Na temelju iskustva iz prethodnog razdoblja i odrednica Direktive 2018/2002 o energetskoj učinkovitosti potrebno je razmotriti i zakonske izmjene s ciljem boljeg funkcioniranja sustava, pogotovo u dijelu trgovanja uštedama; </w:t>
      </w:r>
    </w:p>
    <w:p w14:paraId="485654E7" w14:textId="1B411D51" w:rsidR="00C27C76" w:rsidRPr="00B47BDA" w:rsidRDefault="00C27C76" w:rsidP="009835CE">
      <w:pPr>
        <w:pStyle w:val="ListParagraph"/>
        <w:numPr>
          <w:ilvl w:val="0"/>
          <w:numId w:val="40"/>
        </w:numPr>
        <w:spacing w:after="60"/>
        <w:ind w:left="714" w:hanging="357"/>
      </w:pPr>
      <w:r w:rsidRPr="00B47BDA">
        <w:t>Prihode od naknade koju prikuplja s osnove sustava obveza, Fond mora namjenski koristiti. Zbog toga je potrebno izraditi Plan korištenja sredstava prikupljenih od naknade za sustav obveze, a s čijom primjenom Fond mora započeti od 2021. godine. Izrada ovakvog Plana je apsolutno nužna kako bi se osigurala optimalna raspodjela sredstava iz svih raspoloživih izvora i kako bi Fond imao jasne smjernice u koje mjere ulagati ova sredstva. S obzirom na alternativne mjere dane u ovom Planu, ova je sredstva nužno usmjeriti na sektor zgradarstva, poglavito na javne zgrade državne uprave i obiteljske kuće</w:t>
      </w:r>
      <w:r w:rsidR="00AC282B">
        <w:t xml:space="preserve">, s fokusom na građane u </w:t>
      </w:r>
      <w:r w:rsidR="008A6A14">
        <w:t>riziku</w:t>
      </w:r>
      <w:r w:rsidR="00D34C9A">
        <w:t xml:space="preserve"> od energetskog siromaštva</w:t>
      </w:r>
      <w:r w:rsidRPr="00B47BDA">
        <w:t>.</w:t>
      </w:r>
      <w:r w:rsidR="00622DB1" w:rsidRPr="00B47BDA">
        <w:t xml:space="preserve"> </w:t>
      </w:r>
    </w:p>
    <w:p w14:paraId="5C879E5B" w14:textId="1330AEE9" w:rsidR="00C27C76" w:rsidRPr="00B47BDA" w:rsidRDefault="00C27C76" w:rsidP="004623DD">
      <w:pPr>
        <w:rPr>
          <w:rFonts w:eastAsia="Calibri"/>
          <w:color w:val="000000"/>
        </w:rPr>
      </w:pPr>
      <w:r w:rsidRPr="00B47BDA">
        <w:rPr>
          <w:b/>
        </w:rPr>
        <w:t xml:space="preserve">Izvori financiranja: </w:t>
      </w:r>
      <w:r w:rsidRPr="00B47BDA">
        <w:t>Sredstva obveznika sustava obveze energetske učinkovitosti</w:t>
      </w:r>
      <w:r w:rsidR="0049506D" w:rsidRPr="00B47BDA">
        <w:rPr>
          <w:color w:val="000000" w:themeColor="text1"/>
        </w:rPr>
        <w:t>.</w:t>
      </w:r>
    </w:p>
    <w:p w14:paraId="59D30297" w14:textId="503D6303" w:rsidR="00C27C76" w:rsidRPr="00B47BDA" w:rsidRDefault="00C27C76" w:rsidP="004623DD">
      <w:pPr>
        <w:rPr>
          <w:color w:val="000000"/>
        </w:rPr>
      </w:pPr>
      <w:r w:rsidRPr="00B47BDA">
        <w:rPr>
          <w:b/>
        </w:rPr>
        <w:t>Izvršno tijelo:</w:t>
      </w:r>
      <w:r w:rsidRPr="00B47BDA">
        <w:t xml:space="preserve"> Obveznici sustava obveze energetske učinkovitosti (opskrbljivači)</w:t>
      </w:r>
      <w:r w:rsidR="00D6649B">
        <w:t>.</w:t>
      </w:r>
    </w:p>
    <w:p w14:paraId="0F174C86" w14:textId="7B1DFC2D" w:rsidR="00C27C76" w:rsidRPr="00B47BDA" w:rsidRDefault="00C27C76" w:rsidP="004623DD">
      <w:pPr>
        <w:rPr>
          <w:rFonts w:eastAsia="Calibri"/>
          <w:color w:val="000000"/>
        </w:rPr>
      </w:pPr>
      <w:r w:rsidRPr="00EE67E0">
        <w:rPr>
          <w:b/>
          <w:bCs/>
        </w:rPr>
        <w:t>Tijela za praćenje:</w:t>
      </w:r>
      <w:r w:rsidRPr="00B47BDA">
        <w:t xml:space="preserve"> </w:t>
      </w:r>
      <w:r w:rsidR="00223B92" w:rsidRPr="00B47BDA">
        <w:t>MINGO</w:t>
      </w:r>
      <w:r w:rsidRPr="00B47BDA">
        <w:t>-NKT</w:t>
      </w:r>
    </w:p>
    <w:p w14:paraId="539E505F" w14:textId="4424EF99" w:rsidR="005E2234" w:rsidRPr="00B47BDA" w:rsidRDefault="00C27C76" w:rsidP="63259912">
      <w:pPr>
        <w:rPr>
          <w:color w:val="000000"/>
          <w:vertAlign w:val="subscript"/>
        </w:rPr>
      </w:pPr>
      <w:r w:rsidRPr="63259912">
        <w:rPr>
          <w:b/>
          <w:bCs/>
        </w:rPr>
        <w:t xml:space="preserve">Učinak: </w:t>
      </w:r>
      <w:r w:rsidRPr="63259912">
        <w:t>Smanjenje neposredne potrošnje energije i posljedično smanjenje emisija CO</w:t>
      </w:r>
      <w:r w:rsidRPr="63259912">
        <w:rPr>
          <w:vertAlign w:val="subscript"/>
        </w:rPr>
        <w:t>2</w:t>
      </w:r>
      <w:r w:rsidRPr="63259912">
        <w:t xml:space="preserve">: procijenjene uštede u 2030. </w:t>
      </w:r>
      <w:r w:rsidR="005E4261" w:rsidRPr="63259912">
        <w:t>19</w:t>
      </w:r>
      <w:r w:rsidR="00764BD9" w:rsidRPr="63259912">
        <w:t>,</w:t>
      </w:r>
      <w:r w:rsidR="005E4261" w:rsidRPr="63259912">
        <w:t xml:space="preserve">5 </w:t>
      </w:r>
      <w:r w:rsidR="005E2234" w:rsidRPr="63259912">
        <w:t>PJ (</w:t>
      </w:r>
      <w:r w:rsidR="00552D79" w:rsidRPr="63259912">
        <w:t>466</w:t>
      </w:r>
      <w:r w:rsidR="002009D6" w:rsidRPr="63259912">
        <w:t>,</w:t>
      </w:r>
      <w:r w:rsidR="00552D79" w:rsidRPr="63259912">
        <w:t>1</w:t>
      </w:r>
      <w:r w:rsidR="005E2234" w:rsidRPr="63259912">
        <w:t xml:space="preserve"> ktoe); procijenjeno smanjenje emisija CO</w:t>
      </w:r>
      <w:r w:rsidR="005E2234" w:rsidRPr="63259912">
        <w:rPr>
          <w:vertAlign w:val="subscript"/>
        </w:rPr>
        <w:t>2</w:t>
      </w:r>
      <w:r w:rsidR="005E2234" w:rsidRPr="63259912">
        <w:t xml:space="preserve"> u 2030. </w:t>
      </w:r>
      <w:r w:rsidR="00D27619" w:rsidRPr="63259912">
        <w:t>1.</w:t>
      </w:r>
      <w:r w:rsidR="00B6250E" w:rsidRPr="63259912">
        <w:t>094</w:t>
      </w:r>
      <w:r w:rsidR="00D27619" w:rsidRPr="63259912">
        <w:t>,9</w:t>
      </w:r>
      <w:r w:rsidR="005E2234" w:rsidRPr="63259912">
        <w:t xml:space="preserve"> ktCO</w:t>
      </w:r>
      <w:r w:rsidR="005E2234" w:rsidRPr="63259912">
        <w:rPr>
          <w:vertAlign w:val="subscript"/>
        </w:rPr>
        <w:t>2e</w:t>
      </w:r>
      <w:r w:rsidR="005E2234" w:rsidRPr="63259912">
        <w:t xml:space="preserve">; kumulativne uštede energije u razdoblju 2021.-2030. </w:t>
      </w:r>
      <w:r w:rsidR="00594DA5" w:rsidRPr="63259912">
        <w:t>90</w:t>
      </w:r>
      <w:r w:rsidR="0025008D" w:rsidRPr="63259912">
        <w:t>,</w:t>
      </w:r>
      <w:r w:rsidR="00594DA5" w:rsidRPr="63259912">
        <w:t>3</w:t>
      </w:r>
      <w:r w:rsidR="005E2234" w:rsidRPr="63259912">
        <w:t xml:space="preserve"> PJ (</w:t>
      </w:r>
      <w:r w:rsidR="0021144B" w:rsidRPr="63259912">
        <w:t>2</w:t>
      </w:r>
      <w:r w:rsidR="00945605" w:rsidRPr="63259912">
        <w:t>.</w:t>
      </w:r>
      <w:r w:rsidR="0021144B" w:rsidRPr="63259912">
        <w:t>156</w:t>
      </w:r>
      <w:r w:rsidR="00945605" w:rsidRPr="63259912">
        <w:t>,</w:t>
      </w:r>
      <w:r w:rsidR="0021144B" w:rsidRPr="63259912">
        <w:t>8</w:t>
      </w:r>
      <w:r w:rsidR="005E2234" w:rsidRPr="63259912">
        <w:t xml:space="preserve"> ktoe); kumulativno smanjenje emisija CO</w:t>
      </w:r>
      <w:r w:rsidR="005E2234" w:rsidRPr="63259912">
        <w:rPr>
          <w:vertAlign w:val="subscript"/>
        </w:rPr>
        <w:t>2</w:t>
      </w:r>
      <w:r w:rsidR="005E2234" w:rsidRPr="63259912">
        <w:t xml:space="preserve"> u razdoblju 2021.-2030. </w:t>
      </w:r>
      <w:r w:rsidR="00646C0A" w:rsidRPr="63259912">
        <w:t>5</w:t>
      </w:r>
      <w:r w:rsidR="00557411" w:rsidRPr="63259912">
        <w:t>.</w:t>
      </w:r>
      <w:r w:rsidR="00646C0A" w:rsidRPr="63259912">
        <w:t>067</w:t>
      </w:r>
      <w:r w:rsidR="00557411" w:rsidRPr="63259912">
        <w:t>,9</w:t>
      </w:r>
      <w:r w:rsidR="005E2234" w:rsidRPr="63259912">
        <w:t xml:space="preserve"> ktCO</w:t>
      </w:r>
      <w:r w:rsidR="005E2234" w:rsidRPr="63259912">
        <w:rPr>
          <w:vertAlign w:val="subscript"/>
        </w:rPr>
        <w:t>2e</w:t>
      </w:r>
    </w:p>
    <w:p w14:paraId="1739DFDE" w14:textId="1330AEE9" w:rsidR="00C27C76" w:rsidRPr="00B47BDA" w:rsidRDefault="00C27C76" w:rsidP="004623DD">
      <w:pPr>
        <w:rPr>
          <w:rFonts w:eastAsia="Calibri"/>
          <w:color w:val="000000"/>
        </w:rPr>
      </w:pPr>
      <w:r w:rsidRPr="00B47BDA">
        <w:rPr>
          <w:b/>
        </w:rPr>
        <w:t>Metoda praćenja:</w:t>
      </w:r>
      <w:r w:rsidRPr="00B47BDA">
        <w:t xml:space="preserve"> Ostvarene uštede prate se i dokazuju korištenjem metoda odozdo-prema-gore prema Pravilniku o sustavu za praćenje, mjerenje i verifikaciju ušteda energije</w:t>
      </w:r>
      <w:r w:rsidR="0049506D" w:rsidRPr="00B47BDA">
        <w:rPr>
          <w:color w:val="000000" w:themeColor="text1"/>
        </w:rPr>
        <w:t>.</w:t>
      </w:r>
    </w:p>
    <w:p w14:paraId="65C73B91" w14:textId="067513A5" w:rsidR="00AB3DE3" w:rsidRPr="00D82569" w:rsidRDefault="00C27C76" w:rsidP="004623DD">
      <w:pPr>
        <w:rPr>
          <w:rFonts w:eastAsia="Calibri"/>
          <w:color w:val="000000"/>
        </w:rPr>
      </w:pPr>
      <w:r w:rsidRPr="00B47BDA">
        <w:rPr>
          <w:b/>
        </w:rPr>
        <w:t xml:space="preserve">Povezanost s drugim dimenzijama: </w:t>
      </w:r>
      <w:r w:rsidR="00AE1522">
        <w:t>S</w:t>
      </w:r>
      <w:r w:rsidRPr="00B47BDA">
        <w:t xml:space="preserve"> obzirom da je obveza stavljena na tržišnu energetsku djelatnost opskrbe energijom, postoji izravna veza s dimenzijom unutarnjeg tržišta energije</w:t>
      </w:r>
      <w:r w:rsidR="0049506D" w:rsidRPr="00B47BDA">
        <w:rPr>
          <w:color w:val="000000" w:themeColor="text1"/>
        </w:rPr>
        <w:t>.</w:t>
      </w:r>
    </w:p>
    <w:p w14:paraId="3FFAC235" w14:textId="0E900574" w:rsidR="00FD3BAD" w:rsidRPr="00B47BDA" w:rsidRDefault="007D2DCB" w:rsidP="004623DD">
      <w:r w:rsidRPr="00B47BDA">
        <w:t>U RH se također predviđa i provedba alternativnih mjera</w:t>
      </w:r>
      <w:r w:rsidR="00F74D1A" w:rsidRPr="00B47BDA">
        <w:t xml:space="preserve">, koje uključuju mjere opisane u nastavku i to redom: ENU-3, ENU-4, ENU-5, </w:t>
      </w:r>
      <w:r w:rsidR="00184324" w:rsidRPr="00B47BDA">
        <w:t>ENU-</w:t>
      </w:r>
      <w:r w:rsidR="001021A0" w:rsidRPr="00B47BDA">
        <w:t xml:space="preserve">6, </w:t>
      </w:r>
      <w:r w:rsidR="00184324" w:rsidRPr="00B47BDA">
        <w:t>ENU-7</w:t>
      </w:r>
      <w:r w:rsidR="001021A0" w:rsidRPr="00B47BDA">
        <w:t xml:space="preserve">, </w:t>
      </w:r>
      <w:r w:rsidR="00184324" w:rsidRPr="00B47BDA">
        <w:t>ENU-8</w:t>
      </w:r>
      <w:r w:rsidR="00432D4E">
        <w:t>, EUNU-17</w:t>
      </w:r>
      <w:r w:rsidR="001021A0" w:rsidRPr="00B47BDA">
        <w:t xml:space="preserve"> i ENU-1</w:t>
      </w:r>
      <w:r w:rsidR="00432D4E">
        <w:t>8</w:t>
      </w:r>
      <w:r w:rsidR="00F5580A" w:rsidRPr="00B47BDA">
        <w:t>.</w:t>
      </w:r>
      <w:r w:rsidR="00515210" w:rsidRPr="00B47BDA">
        <w:t xml:space="preserve"> </w:t>
      </w:r>
      <w:r w:rsidR="00515210" w:rsidRPr="004F3A18">
        <w:t xml:space="preserve">Dodatno, u </w:t>
      </w:r>
      <w:r w:rsidR="00203F0B" w:rsidRPr="004F3A18">
        <w:t>alternativne</w:t>
      </w:r>
      <w:r w:rsidR="00515210" w:rsidRPr="004F3A18">
        <w:t xml:space="preserve"> mjere ulaze i mjere u prometu i to </w:t>
      </w:r>
      <w:r w:rsidR="00DC15AF" w:rsidRPr="004F3A18">
        <w:t>TR-</w:t>
      </w:r>
      <w:r w:rsidR="005F555A" w:rsidRPr="004F3A18">
        <w:t>2</w:t>
      </w:r>
      <w:r w:rsidR="009F7AA9" w:rsidRPr="004F3A18">
        <w:t xml:space="preserve"> i TR-3</w:t>
      </w:r>
      <w:r w:rsidR="004F11A0" w:rsidRPr="004F3A18">
        <w:t xml:space="preserve"> </w:t>
      </w:r>
      <w:r w:rsidR="009F7AA9" w:rsidRPr="004F3A18">
        <w:t xml:space="preserve">i mjera </w:t>
      </w:r>
      <w:r w:rsidR="00D640E6" w:rsidRPr="004F3A18">
        <w:t xml:space="preserve">za suzbijanje energetskog </w:t>
      </w:r>
      <w:r w:rsidR="004F3A18" w:rsidRPr="004F3A18">
        <w:t>siromaštva</w:t>
      </w:r>
      <w:r w:rsidR="009F7AA9" w:rsidRPr="004F3A18">
        <w:t xml:space="preserve"> </w:t>
      </w:r>
      <w:r w:rsidR="004432E2" w:rsidRPr="004F3A18">
        <w:t>UET-</w:t>
      </w:r>
      <w:r w:rsidR="00D36F79" w:rsidRPr="004F3A18">
        <w:t>9</w:t>
      </w:r>
      <w:r w:rsidR="007B6EBA" w:rsidRPr="004F3A18">
        <w:t>.</w:t>
      </w:r>
      <w:r w:rsidR="004F11A0" w:rsidRPr="00B47BDA">
        <w:t xml:space="preserve"> </w:t>
      </w:r>
    </w:p>
    <w:p w14:paraId="099C5F0F" w14:textId="53F99A29" w:rsidR="002425AC" w:rsidRPr="00B47BDA" w:rsidRDefault="006538DE" w:rsidP="005C2C7E">
      <w:pPr>
        <w:pStyle w:val="Heading4"/>
        <w:numPr>
          <w:ilvl w:val="3"/>
          <w:numId w:val="175"/>
        </w:numPr>
        <w:ind w:hanging="580"/>
      </w:pPr>
      <w:r w:rsidRPr="00B47BDA">
        <w:t>Dugoročne strategije za obnovu nacionalnog fonda stambenih i nestambenih zgrada, javnih i privatnih, uključujući politike, mjere i djelovanja za poticanje troškovno učinkovitih velikih obnova, politika i djelovanja usmjerenih na segmente nacionalnog fonda zgrada s najlošijim učinkom, u skladu s člankom 2.a Direktive 2010/31/EU</w:t>
      </w:r>
    </w:p>
    <w:p w14:paraId="52F0B009" w14:textId="6763991C" w:rsidR="00817498" w:rsidRPr="00BF24C1" w:rsidRDefault="0023001E" w:rsidP="004623DD">
      <w:r w:rsidRPr="63259912">
        <w:t xml:space="preserve">Za ovo područje ključna je Dugoročna strategija obnove nacionalnog fonda zgrada Republike Hrvatske do 2050. godine. </w:t>
      </w:r>
      <w:r w:rsidR="00995EF9" w:rsidRPr="63259912">
        <w:t>Za os</w:t>
      </w:r>
      <w:r w:rsidR="00597C5A" w:rsidRPr="63259912">
        <w:t xml:space="preserve">tvarenje strateških ciljeva </w:t>
      </w:r>
      <w:r w:rsidR="00A4522B" w:rsidRPr="63259912">
        <w:t>smanjenja</w:t>
      </w:r>
      <w:r w:rsidR="00597C5A" w:rsidRPr="63259912">
        <w:t xml:space="preserve"> potrošnje energije u </w:t>
      </w:r>
      <w:r w:rsidR="008C568C" w:rsidRPr="63259912">
        <w:t xml:space="preserve">zgradarstvu, predviđa se </w:t>
      </w:r>
      <w:r w:rsidR="00785F1A" w:rsidRPr="63259912">
        <w:t xml:space="preserve">provedba </w:t>
      </w:r>
      <w:r w:rsidR="0025162D" w:rsidRPr="63259912">
        <w:t>tri ključna programa energetske obnove</w:t>
      </w:r>
      <w:r w:rsidR="00961B1F" w:rsidRPr="63259912">
        <w:t xml:space="preserve"> za razdoblje od 2021. do 2030. godine</w:t>
      </w:r>
      <w:r w:rsidR="00263955" w:rsidRPr="63259912">
        <w:t xml:space="preserve"> i </w:t>
      </w:r>
      <w:r w:rsidR="006E14FA" w:rsidRPr="63259912">
        <w:t xml:space="preserve">to za </w:t>
      </w:r>
      <w:r w:rsidR="00263955" w:rsidRPr="63259912">
        <w:t>višestamben</w:t>
      </w:r>
      <w:r w:rsidR="006E14FA" w:rsidRPr="63259912">
        <w:t>e</w:t>
      </w:r>
      <w:r w:rsidR="00263955" w:rsidRPr="63259912">
        <w:t xml:space="preserve"> zgrad</w:t>
      </w:r>
      <w:r w:rsidR="006E14FA" w:rsidRPr="63259912">
        <w:t>e</w:t>
      </w:r>
      <w:r w:rsidR="00263955" w:rsidRPr="63259912">
        <w:t>, obiteljsk</w:t>
      </w:r>
      <w:r w:rsidR="006E14FA" w:rsidRPr="63259912">
        <w:t>e</w:t>
      </w:r>
      <w:r w:rsidR="00263955" w:rsidRPr="63259912">
        <w:t xml:space="preserve"> kuć</w:t>
      </w:r>
      <w:r w:rsidR="006E14FA" w:rsidRPr="63259912">
        <w:t>e</w:t>
      </w:r>
      <w:r w:rsidR="00263955" w:rsidRPr="63259912">
        <w:t xml:space="preserve"> i javn</w:t>
      </w:r>
      <w:r w:rsidR="006E14FA" w:rsidRPr="63259912">
        <w:t>e</w:t>
      </w:r>
      <w:r w:rsidR="00263955" w:rsidRPr="63259912">
        <w:t xml:space="preserve"> zgrad</w:t>
      </w:r>
      <w:r w:rsidR="006E14FA" w:rsidRPr="63259912">
        <w:t>e</w:t>
      </w:r>
      <w:r w:rsidR="00263955" w:rsidRPr="63259912">
        <w:t>.</w:t>
      </w:r>
      <w:r w:rsidR="00D0363E" w:rsidRPr="63259912">
        <w:t xml:space="preserve"> </w:t>
      </w:r>
      <w:r w:rsidR="00EE1E48" w:rsidRPr="63259912">
        <w:t>Za zgrade</w:t>
      </w:r>
      <w:r w:rsidR="00172033" w:rsidRPr="63259912">
        <w:t xml:space="preserve"> komercijalnog sektora</w:t>
      </w:r>
      <w:r w:rsidR="00EE1E48" w:rsidRPr="63259912">
        <w:t xml:space="preserve"> ne predviđa </w:t>
      </w:r>
      <w:r w:rsidR="003270EB" w:rsidRPr="63259912">
        <w:t xml:space="preserve">se </w:t>
      </w:r>
      <w:r w:rsidR="00EE1E48" w:rsidRPr="63259912">
        <w:t>donošenje novog programa koji bi se temeljio na sufinanciranju, već se predviđa da će ovaj segment fonda zgrada biti obuhvaćen aktivnostima opskrbljivača u sklopu sustava obveza energetske učinkovitosti kao i tržištem energetskih usluga.</w:t>
      </w:r>
      <w:r w:rsidR="00DD38DF" w:rsidRPr="63259912">
        <w:t xml:space="preserve"> Uz navedene programe koj</w:t>
      </w:r>
      <w:r w:rsidR="006119C9" w:rsidRPr="63259912">
        <w:t>i</w:t>
      </w:r>
      <w:r w:rsidR="00DD38DF" w:rsidRPr="63259912">
        <w:t xml:space="preserve"> se temelje na financijskim poticajima, planira se i provedba </w:t>
      </w:r>
      <w:r w:rsidR="006E7A26" w:rsidRPr="63259912">
        <w:lastRenderedPageBreak/>
        <w:t>sveobuhvatne informativne mjere</w:t>
      </w:r>
      <w:r w:rsidR="00963B94" w:rsidRPr="63259912">
        <w:t>, čiji je krajnji cilj poticati dekarbonizaciju zgrada te općenito zelenu i digitalnu tranziciju</w:t>
      </w:r>
      <w:r w:rsidR="00ED0097" w:rsidRPr="63259912">
        <w:t xml:space="preserve"> u sektoru zgradarstva temeljenu prije svega na načelu “</w:t>
      </w:r>
      <w:r w:rsidR="00ED0097" w:rsidRPr="63259912">
        <w:rPr>
          <w:i/>
          <w:iCs/>
        </w:rPr>
        <w:t>prvo energetska učinkovitost</w:t>
      </w:r>
      <w:r w:rsidR="00ED0097" w:rsidRPr="63259912">
        <w:t>”</w:t>
      </w:r>
      <w:r w:rsidR="00963B94" w:rsidRPr="63259912">
        <w:t xml:space="preserve">. </w:t>
      </w:r>
    </w:p>
    <w:p w14:paraId="177CD82C" w14:textId="724CB32F" w:rsidR="00354951" w:rsidRDefault="5A20A5F8" w:rsidP="004623DD">
      <w:r w:rsidRPr="63259912">
        <w:t xml:space="preserve">Treba istaknuti da su programi energetske obnove zgrada ključne mjere u ovoj dimenziji, ali da se njima doprinosi i ciljevima dekarbonizacije odnosno povećanja uporabe obnovljivih izvora energije. Pri tome se svi programi </w:t>
      </w:r>
      <w:r w:rsidR="029ABA6A" w:rsidRPr="63259912">
        <w:t>temelje na načelu 'energetska učinkovitost prvo', jer je osnovni uvjet za ostvarenje bespovratnih sredstava za energetsku obnovu smanjenje potrebne energije za grijanje i hlađenje u zgradama. Zgrade loših energetskih karakteristika obvezne su poboljšati te karakteristike mjerama na vanjskoj ovojnici te nije moguće da se bez takovog zahvata primjenjuju neke druge mjere, kao npr. zamjena sustava grijanja u zgradi. Zgradama koje imaju dobra energetska svojstava, tj. imaju nisku potrebnu energiju za grijanje i hlađenje, omogućeno je dobiju sufinanciranje samo za poboljšanje energetske učinkovitosti</w:t>
      </w:r>
      <w:r w:rsidR="574B4D62" w:rsidRPr="63259912">
        <w:t xml:space="preserve"> </w:t>
      </w:r>
      <w:r w:rsidR="029ABA6A" w:rsidRPr="63259912">
        <w:t>i dekarbonizaciju tehničkih sustava u</w:t>
      </w:r>
      <w:r w:rsidR="574B4D62" w:rsidRPr="63259912">
        <w:t xml:space="preserve"> </w:t>
      </w:r>
      <w:r w:rsidR="029ABA6A" w:rsidRPr="63259912">
        <w:t>zgradi. Ovime se</w:t>
      </w:r>
      <w:r w:rsidR="3153C159" w:rsidRPr="63259912">
        <w:t>, kroz programe sufinanciranja energetske obnove zgrada,</w:t>
      </w:r>
      <w:r w:rsidR="029ABA6A" w:rsidRPr="63259912">
        <w:t xml:space="preserve"> u Hrvatskoj već snažno primjenjuje načelo 'energetska učinkovitost prvo'. </w:t>
      </w:r>
    </w:p>
    <w:p w14:paraId="34C0BE75" w14:textId="0474F5C1" w:rsidR="00172134" w:rsidRDefault="00CC5A82" w:rsidP="004623DD">
      <w:r w:rsidRPr="63259912">
        <w:t>Sukladno odredbama Direktive EU 2024/1275 o energetskim svojstvima zgrada, članak 17. stavak 15., od 1. siječnja 2025. ne mogu se davati financijski poticaji za ugradnju samostalnih kotlova na fosilna goriva, uz iznimku onih koji su za ulaganje odabrani prije 2025., u skladu s Uredbom (EU) 2021/241, člankom 7. stavkom 1. točkom (h) podtočka i. trećom alinejom Uredbe (EU) 2021/1058 te s člankom 73. Uredbe (EU) 2021/2115 Europskog parlamenta i Vijeća.</w:t>
      </w:r>
    </w:p>
    <w:p w14:paraId="296BD535" w14:textId="20B7BEAF" w:rsidR="008F43DD" w:rsidRPr="005B3176" w:rsidRDefault="008F43DD" w:rsidP="00EE67E0">
      <w:pPr>
        <w:pStyle w:val="Mjeranaslov"/>
      </w:pPr>
      <w:r w:rsidRPr="63259912">
        <w:t>ENU-2 Promoviranje</w:t>
      </w:r>
      <w:r w:rsidR="00F14212" w:rsidRPr="63259912">
        <w:t xml:space="preserve"> </w:t>
      </w:r>
      <w:r w:rsidR="00650011" w:rsidRPr="63259912">
        <w:t xml:space="preserve">dekarbonizacije </w:t>
      </w:r>
      <w:r w:rsidR="00EF1063" w:rsidRPr="63259912">
        <w:t xml:space="preserve">i </w:t>
      </w:r>
      <w:r w:rsidR="005B3176" w:rsidRPr="63259912">
        <w:t>primjene načela prvenstva energetske učinkovitosti (energy efficiency first) u zgradarstvu</w:t>
      </w:r>
    </w:p>
    <w:p w14:paraId="28DF08A7" w14:textId="243D2443" w:rsidR="008F43DD" w:rsidRPr="00B47BDA" w:rsidRDefault="008F43DD" w:rsidP="004623DD">
      <w:r w:rsidRPr="00B47BDA">
        <w:t>Informacijska mjera; provedba 2019. -2030.</w:t>
      </w:r>
    </w:p>
    <w:p w14:paraId="170EAE70" w14:textId="3A9F972A" w:rsidR="00921310" w:rsidRPr="00B47BDA" w:rsidRDefault="008F43DD" w:rsidP="004623DD">
      <w:r w:rsidRPr="63259912">
        <w:rPr>
          <w:b/>
          <w:bCs/>
          <w:color w:val="000000" w:themeColor="text1"/>
        </w:rPr>
        <w:t xml:space="preserve">Cilj i opis mjere: </w:t>
      </w:r>
      <w:r w:rsidR="00921310" w:rsidRPr="63259912">
        <w:t>Povelja o suradnji u cilju dekarbonizacije zgrada do 2050.</w:t>
      </w:r>
      <w:r w:rsidR="005141A1" w:rsidRPr="63259912">
        <w:t xml:space="preserve"> godine</w:t>
      </w:r>
      <w:r w:rsidR="00921310" w:rsidRPr="63259912">
        <w:t>, koju je pokrenulo Ministarstvo prostornoga uređenja</w:t>
      </w:r>
      <w:r w:rsidR="00A546E2" w:rsidRPr="63259912">
        <w:t>, graditeljstva I državne imovine</w:t>
      </w:r>
      <w:r w:rsidR="00921310" w:rsidRPr="63259912">
        <w:t xml:space="preserve">, a kojom se podržava EU vizija dekarbonizacije zgrada do 2050. godine, pokrenuta je zbog bolje međuresorne komunikacije i suradnje između tijela državne uprave i privatnog sektora. Cilj je putem radionica i Otvorenog dijaloga partnera stvoriti široku mrežu povezanih stručnjaka koji su spremni na dijalog i doprinos dekarbonizaciji fonda zgrada do 2050. godine. Otvoreni dijalozi partnera okupljaju predstavnike državne i lokalne </w:t>
      </w:r>
      <w:r w:rsidR="00F33D1D" w:rsidRPr="63259912">
        <w:t>samo</w:t>
      </w:r>
      <w:r w:rsidR="00921310" w:rsidRPr="63259912">
        <w:t xml:space="preserve">uprave, akademske zajednice i stručne javnosti, građevinskog i energetskog sektora te pratećih industrija na tematskim radionicama koje organizira </w:t>
      </w:r>
      <w:r w:rsidR="00AD13CD" w:rsidRPr="63259912">
        <w:t>Ministarstvo</w:t>
      </w:r>
      <w:r w:rsidR="00921310" w:rsidRPr="63259912">
        <w:t>. Sadržaj povelje odnosi se na postizanje energetskih i klimatskih ciljeva na nacionalnoj i EU razini kroz dekarbonizaciju fonda zgrada, obnovom zgrada i građenjem zgrada gotovo nulte energije, svjesni važnosti dodatnog smanjenja emisija stakleničkih plinova, povećanja udjela obnovljivih izvora energije, poboljšanja energetske sigurnosti te uvođenja inovacija i pametnih tehnologija koje omogućuju zgradama da potpomognu sveukupnu dekarbonizaciju gospodarstva. Potpisivanjem povelje potiče se kontinuirana suradnja na izradi Dugoročne strategije obnove nacionalnog fonda zgrada i prelazak na standard gradnje zgrada gotovo nulte energije (nZEB). Potpisnici Povelje pružaju potporu te promiču dekarbonizaciju zgrada u svojim daljnjim aktivnostima, gdje god je to moguće.</w:t>
      </w:r>
      <w:r w:rsidR="002812EE" w:rsidRPr="63259912">
        <w:t xml:space="preserve"> D</w:t>
      </w:r>
      <w:r w:rsidR="004C75BC" w:rsidRPr="63259912">
        <w:t>o</w:t>
      </w:r>
      <w:r w:rsidR="002812EE" w:rsidRPr="63259912">
        <w:t xml:space="preserve">sadašnje aktivnosti potrebno je proširiti u skladu s </w:t>
      </w:r>
      <w:r w:rsidR="0011185F" w:rsidRPr="63259912">
        <w:t xml:space="preserve">EU smjernicama, a </w:t>
      </w:r>
      <w:r w:rsidR="00F1373B" w:rsidRPr="63259912">
        <w:t xml:space="preserve">posebice se treba poticati </w:t>
      </w:r>
      <w:r w:rsidR="00AF26D6" w:rsidRPr="63259912">
        <w:t>načelo “</w:t>
      </w:r>
      <w:r w:rsidR="00AF26D6" w:rsidRPr="63259912">
        <w:rPr>
          <w:i/>
          <w:iCs/>
        </w:rPr>
        <w:t>energy efficiency first</w:t>
      </w:r>
      <w:r w:rsidR="00AF26D6" w:rsidRPr="63259912">
        <w:t>”.</w:t>
      </w:r>
      <w:r w:rsidR="00534749" w:rsidRPr="63259912">
        <w:t xml:space="preserve"> </w:t>
      </w:r>
    </w:p>
    <w:p w14:paraId="2BCD79AE" w14:textId="403C3890" w:rsidR="00B34CAD" w:rsidRPr="00B47BDA" w:rsidRDefault="005179EA" w:rsidP="004623DD">
      <w:r w:rsidRPr="63259912">
        <w:lastRenderedPageBreak/>
        <w:t>Osim umrežavanja stručnjaka kroz dijalog p</w:t>
      </w:r>
      <w:r w:rsidR="004C75BC" w:rsidRPr="63259912">
        <w:t>ar</w:t>
      </w:r>
      <w:r w:rsidRPr="63259912">
        <w:t>tnera, i</w:t>
      </w:r>
      <w:r w:rsidR="008F43DD" w:rsidRPr="63259912">
        <w:t>nformiranje opće javnosti i ciljnih skupina provodit će se organizacijom ciljanih</w:t>
      </w:r>
      <w:r w:rsidR="00FB6A73" w:rsidRPr="63259912">
        <w:t xml:space="preserve"> </w:t>
      </w:r>
      <w:r w:rsidR="00FB6A73" w:rsidRPr="63259912">
        <w:rPr>
          <w:i/>
          <w:iCs/>
        </w:rPr>
        <w:t>„</w:t>
      </w:r>
      <w:r w:rsidR="00F14212" w:rsidRPr="63259912">
        <w:rPr>
          <w:i/>
          <w:iCs/>
        </w:rPr>
        <w:t>E</w:t>
      </w:r>
      <w:r w:rsidR="00FB6A73" w:rsidRPr="63259912">
        <w:rPr>
          <w:i/>
          <w:iCs/>
        </w:rPr>
        <w:t>nergy efficiency first“</w:t>
      </w:r>
      <w:r w:rsidR="008F43DD" w:rsidRPr="63259912">
        <w:t xml:space="preserve"> info-kampanja vezanih uz poglavito </w:t>
      </w:r>
      <w:r w:rsidR="009333AC" w:rsidRPr="63259912">
        <w:t>vezanih uz</w:t>
      </w:r>
      <w:r w:rsidR="008F43DD" w:rsidRPr="63259912">
        <w:t xml:space="preserve"> </w:t>
      </w:r>
      <w:r w:rsidR="009333AC" w:rsidRPr="63259912">
        <w:t>energetsku</w:t>
      </w:r>
      <w:r w:rsidR="008F43DD" w:rsidRPr="63259912">
        <w:t xml:space="preserve"> </w:t>
      </w:r>
      <w:r w:rsidR="009333AC" w:rsidRPr="63259912">
        <w:t xml:space="preserve">obnovu i dekarbonizaciju </w:t>
      </w:r>
      <w:r w:rsidR="008F43DD" w:rsidRPr="63259912">
        <w:t>zgrada</w:t>
      </w:r>
      <w:r w:rsidR="0039139D" w:rsidRPr="63259912">
        <w:t xml:space="preserve">. </w:t>
      </w:r>
      <w:r w:rsidR="00B34CAD" w:rsidRPr="63259912">
        <w:t>Promovirat će se primjena načela</w:t>
      </w:r>
      <w:r w:rsidR="008F43DD" w:rsidRPr="63259912">
        <w:t xml:space="preserve"> zelene gradnje (gradnje po principima održivosti) kao bitnog segmenta održivog razvoja i kružne ekonomije. Potrebno je osnažiti i pružiti potporu do sad donesenim politikama RH na području održivog razvitka, energetske učinkovitosti i nacionalnih smjernica za vrsnoću i kulturu građenja (ApolitikA), primjenjivati najbolje globalne standarde zelene gradnje (npr. međunarodne certifikate zelene gradnje), razvijati nacionalni sustav zelene gradnje te jačati svijest o neiskorištenim prilikama i rizicima (ako ne provodimo) i svekolikim prilikama (ako provodimo) koje nastaju primjenom principa zelene gradnje na pojedinca i zajednicu u cjelini, na privatni i društveni sektor gospodarstva i ulaganja. </w:t>
      </w:r>
    </w:p>
    <w:p w14:paraId="4E6A3D6F" w14:textId="77777777" w:rsidR="008F43DD" w:rsidRPr="00B47BDA" w:rsidRDefault="008F43DD" w:rsidP="004623DD">
      <w:r w:rsidRPr="00B47BDA">
        <w:rPr>
          <w:b/>
        </w:rPr>
        <w:t>Aktivnosti:</w:t>
      </w:r>
      <w:r w:rsidRPr="00B47BDA">
        <w:t xml:space="preserve"> U okviru mjere provest će se sljedeće aktivnosti: </w:t>
      </w:r>
    </w:p>
    <w:p w14:paraId="47574EF3" w14:textId="280D0A65" w:rsidR="00A41BD0" w:rsidRPr="00B47BDA" w:rsidRDefault="008F43DD" w:rsidP="63259912">
      <w:pPr>
        <w:pStyle w:val="ListParagraph"/>
        <w:numPr>
          <w:ilvl w:val="0"/>
          <w:numId w:val="44"/>
        </w:numPr>
        <w:spacing w:after="60"/>
        <w:ind w:left="714" w:hanging="357"/>
        <w:rPr>
          <w:rFonts w:eastAsia="Calibri"/>
        </w:rPr>
      </w:pPr>
      <w:r w:rsidRPr="63259912">
        <w:rPr>
          <w:rFonts w:eastAsia="Calibri"/>
        </w:rPr>
        <w:t xml:space="preserve">Predviđa se informiranje i </w:t>
      </w:r>
      <w:r w:rsidR="00CC281B" w:rsidRPr="63259912">
        <w:rPr>
          <w:rFonts w:eastAsia="Calibri"/>
        </w:rPr>
        <w:t>promocija kroz</w:t>
      </w:r>
      <w:r w:rsidRPr="63259912">
        <w:rPr>
          <w:rFonts w:eastAsia="Calibri"/>
        </w:rPr>
        <w:t xml:space="preserve"> </w:t>
      </w:r>
      <w:r w:rsidRPr="63259912">
        <w:t>otvorene dijaloge partnera, radionice i</w:t>
      </w:r>
      <w:r w:rsidRPr="63259912">
        <w:rPr>
          <w:rFonts w:eastAsia="Calibri"/>
        </w:rPr>
        <w:t xml:space="preserve"> provedba edukacijskih aktivnosti usmjerenih na principe </w:t>
      </w:r>
      <w:r w:rsidR="001C0D47" w:rsidRPr="63259912">
        <w:rPr>
          <w:rFonts w:eastAsia="Calibri"/>
        </w:rPr>
        <w:t>energetske učinkovitosti, sustavnog gospodarenja energi</w:t>
      </w:r>
      <w:r w:rsidR="00A41BD0" w:rsidRPr="63259912">
        <w:rPr>
          <w:rFonts w:eastAsia="Calibri"/>
        </w:rPr>
        <w:t>j</w:t>
      </w:r>
      <w:r w:rsidR="001C0D47" w:rsidRPr="63259912">
        <w:rPr>
          <w:rFonts w:eastAsia="Calibri"/>
        </w:rPr>
        <w:t>om</w:t>
      </w:r>
      <w:r w:rsidR="00A41BD0" w:rsidRPr="63259912">
        <w:rPr>
          <w:rFonts w:eastAsia="Calibri"/>
        </w:rPr>
        <w:t>,</w:t>
      </w:r>
      <w:r w:rsidRPr="63259912">
        <w:rPr>
          <w:rFonts w:eastAsia="Calibri"/>
        </w:rPr>
        <w:t xml:space="preserve"> </w:t>
      </w:r>
      <w:r w:rsidR="00D02BC8" w:rsidRPr="63259912">
        <w:rPr>
          <w:rFonts w:eastAsia="Calibri"/>
        </w:rPr>
        <w:t xml:space="preserve">pametnih tehnologija, </w:t>
      </w:r>
      <w:r w:rsidRPr="63259912">
        <w:rPr>
          <w:rFonts w:eastAsia="Calibri"/>
        </w:rPr>
        <w:t>zelene gradnje</w:t>
      </w:r>
      <w:r w:rsidR="00853690" w:rsidRPr="63259912">
        <w:rPr>
          <w:rFonts w:eastAsia="Calibri"/>
        </w:rPr>
        <w:t>,</w:t>
      </w:r>
      <w:r w:rsidRPr="63259912">
        <w:rPr>
          <w:rFonts w:eastAsia="Calibri"/>
        </w:rPr>
        <w:t xml:space="preserve"> nZEB standarda</w:t>
      </w:r>
      <w:r w:rsidR="00853690" w:rsidRPr="63259912">
        <w:rPr>
          <w:rFonts w:eastAsia="Calibri"/>
        </w:rPr>
        <w:t>.</w:t>
      </w:r>
    </w:p>
    <w:p w14:paraId="294045EB" w14:textId="3D917DED" w:rsidR="00C87D11" w:rsidRPr="00B47BDA" w:rsidRDefault="004D38E4" w:rsidP="63259912">
      <w:pPr>
        <w:pStyle w:val="ListParagraph"/>
        <w:numPr>
          <w:ilvl w:val="0"/>
          <w:numId w:val="44"/>
        </w:numPr>
        <w:spacing w:after="60"/>
        <w:ind w:left="714" w:hanging="357"/>
        <w:rPr>
          <w:rFonts w:eastAsia="Calibri"/>
        </w:rPr>
      </w:pPr>
      <w:r w:rsidRPr="63259912">
        <w:rPr>
          <w:rFonts w:eastAsia="Calibri"/>
        </w:rPr>
        <w:t>P</w:t>
      </w:r>
      <w:r w:rsidR="00D02BC8" w:rsidRPr="63259912">
        <w:rPr>
          <w:rFonts w:eastAsia="Calibri"/>
        </w:rPr>
        <w:t>redviđa</w:t>
      </w:r>
      <w:r w:rsidR="00A17A1C" w:rsidRPr="63259912">
        <w:rPr>
          <w:rFonts w:eastAsia="Calibri"/>
        </w:rPr>
        <w:t xml:space="preserve"> se </w:t>
      </w:r>
      <w:r w:rsidR="00511DA8" w:rsidRPr="63259912">
        <w:rPr>
          <w:rFonts w:eastAsia="Calibri"/>
        </w:rPr>
        <w:t>pravovrem</w:t>
      </w:r>
      <w:r w:rsidR="00EE0298" w:rsidRPr="63259912">
        <w:rPr>
          <w:rFonts w:eastAsia="Calibri"/>
        </w:rPr>
        <w:t>en</w:t>
      </w:r>
      <w:r w:rsidR="00511DA8" w:rsidRPr="63259912">
        <w:rPr>
          <w:rFonts w:eastAsia="Calibri"/>
        </w:rPr>
        <w:t xml:space="preserve">o informiranje I </w:t>
      </w:r>
      <w:r w:rsidR="00A17A1C" w:rsidRPr="63259912">
        <w:rPr>
          <w:rFonts w:eastAsia="Calibri"/>
        </w:rPr>
        <w:t>provo</w:t>
      </w:r>
      <w:r w:rsidR="00D02BC8" w:rsidRPr="63259912">
        <w:rPr>
          <w:rFonts w:eastAsia="Calibri"/>
        </w:rPr>
        <w:t>đenje</w:t>
      </w:r>
      <w:r w:rsidR="00A17A1C" w:rsidRPr="63259912">
        <w:rPr>
          <w:rFonts w:eastAsia="Calibri"/>
        </w:rPr>
        <w:t xml:space="preserve"> ocjenjivanj</w:t>
      </w:r>
      <w:r w:rsidR="00D02BC8" w:rsidRPr="63259912">
        <w:rPr>
          <w:rFonts w:eastAsia="Calibri"/>
        </w:rPr>
        <w:t>a</w:t>
      </w:r>
      <w:r w:rsidR="00A17A1C" w:rsidRPr="63259912">
        <w:rPr>
          <w:rFonts w:eastAsia="Calibri"/>
        </w:rPr>
        <w:t xml:space="preserve"> pripremljenosti zgrada za pametne tehnologije</w:t>
      </w:r>
      <w:r w:rsidR="00F06438" w:rsidRPr="63259912">
        <w:rPr>
          <w:rFonts w:eastAsia="Calibri"/>
        </w:rPr>
        <w:t xml:space="preserve"> </w:t>
      </w:r>
      <w:r w:rsidR="00B66EBB" w:rsidRPr="63259912">
        <w:rPr>
          <w:rFonts w:eastAsia="Calibri"/>
        </w:rPr>
        <w:t xml:space="preserve">sukladno </w:t>
      </w:r>
      <w:r w:rsidR="00B66EBB" w:rsidRPr="63259912">
        <w:rPr>
          <w:rFonts w:eastAsia="Calibri"/>
          <w:i/>
          <w:iCs/>
        </w:rPr>
        <w:t xml:space="preserve">„Smart </w:t>
      </w:r>
      <w:r w:rsidR="001930D2" w:rsidRPr="63259912">
        <w:rPr>
          <w:rFonts w:eastAsia="Calibri"/>
          <w:i/>
          <w:iCs/>
        </w:rPr>
        <w:t xml:space="preserve">Readiness Indicator“ </w:t>
      </w:r>
      <w:r w:rsidR="001930D2" w:rsidRPr="63259912">
        <w:rPr>
          <w:rFonts w:eastAsia="Calibri"/>
        </w:rPr>
        <w:t>protokolu</w:t>
      </w:r>
      <w:r w:rsidRPr="63259912">
        <w:rPr>
          <w:rFonts w:eastAsia="Calibri"/>
        </w:rPr>
        <w:t xml:space="preserve"> </w:t>
      </w:r>
      <w:r w:rsidR="00511DA8" w:rsidRPr="63259912">
        <w:rPr>
          <w:rFonts w:eastAsia="Calibri"/>
        </w:rPr>
        <w:t>te široki dijalog vezan uz</w:t>
      </w:r>
      <w:r w:rsidR="00767C92" w:rsidRPr="63259912">
        <w:rPr>
          <w:rFonts w:eastAsia="Calibri"/>
        </w:rPr>
        <w:t xml:space="preserve"> </w:t>
      </w:r>
      <w:r w:rsidR="004B2308" w:rsidRPr="63259912">
        <w:rPr>
          <w:rFonts w:eastAsia="Calibri"/>
        </w:rPr>
        <w:t>primjenu SRI u Republici Hrvatskoj</w:t>
      </w:r>
      <w:r w:rsidR="00887D0D" w:rsidRPr="63259912">
        <w:rPr>
          <w:rFonts w:eastAsia="Calibri"/>
        </w:rPr>
        <w:t>.</w:t>
      </w:r>
    </w:p>
    <w:p w14:paraId="285D99BD" w14:textId="1F4EDEFA" w:rsidR="008F43DD" w:rsidRPr="00B47BDA" w:rsidRDefault="00A41BD0" w:rsidP="63259912">
      <w:pPr>
        <w:pStyle w:val="ListParagraph"/>
        <w:numPr>
          <w:ilvl w:val="0"/>
          <w:numId w:val="44"/>
        </w:numPr>
        <w:spacing w:after="60"/>
        <w:ind w:left="714" w:hanging="357"/>
        <w:rPr>
          <w:rFonts w:eastAsia="Calibri"/>
        </w:rPr>
      </w:pPr>
      <w:r w:rsidRPr="63259912">
        <w:rPr>
          <w:rFonts w:eastAsia="Calibri"/>
        </w:rPr>
        <w:t>Izrada</w:t>
      </w:r>
      <w:r w:rsidR="008F43DD" w:rsidRPr="63259912">
        <w:rPr>
          <w:rFonts w:eastAsia="Calibri"/>
        </w:rPr>
        <w:t xml:space="preserve"> Vodič</w:t>
      </w:r>
      <w:r w:rsidRPr="63259912">
        <w:rPr>
          <w:rFonts w:eastAsia="Calibri"/>
        </w:rPr>
        <w:t>a</w:t>
      </w:r>
      <w:r w:rsidR="008F43DD" w:rsidRPr="63259912">
        <w:rPr>
          <w:rFonts w:eastAsia="Calibri"/>
        </w:rPr>
        <w:t xml:space="preserve"> i smjernice o zelenoj i održivoj gradnji te nZEB standardima </w:t>
      </w:r>
      <w:r w:rsidR="008F43DD" w:rsidRPr="63259912">
        <w:t>za investitore i projektante</w:t>
      </w:r>
      <w:r w:rsidR="008F43DD" w:rsidRPr="63259912">
        <w:rPr>
          <w:rFonts w:eastAsia="Calibri"/>
        </w:rPr>
        <w:t xml:space="preserve"> </w:t>
      </w:r>
    </w:p>
    <w:p w14:paraId="63B7C87A" w14:textId="1BA87357" w:rsidR="008F43DD" w:rsidRPr="00B47BDA" w:rsidRDefault="008F43DD" w:rsidP="00567497">
      <w:pPr>
        <w:pStyle w:val="ListParagraph"/>
        <w:numPr>
          <w:ilvl w:val="0"/>
          <w:numId w:val="44"/>
        </w:numPr>
        <w:spacing w:after="60"/>
        <w:ind w:left="714" w:hanging="357"/>
      </w:pPr>
      <w:r w:rsidRPr="63259912">
        <w:t xml:space="preserve">Medijske kampanje za energetsko certificiranje i promidžbu zelene gradnje i nZEB standarda – kampanjama će se informirati javnost s ciljem podizanja svijesti o značenju energetskih certifikata te njihovom značaju u energetskoj obnovi i dokazivanju nZEB standarda, o dostupnosti informacija u </w:t>
      </w:r>
      <w:bookmarkStart w:id="449" w:name="_Hlk131755503"/>
      <w:r w:rsidRPr="63259912">
        <w:t xml:space="preserve">Informacijskom sustavu energetskih certifikata (IEC), </w:t>
      </w:r>
      <w:bookmarkEnd w:id="449"/>
      <w:r w:rsidRPr="63259912">
        <w:t>a također će se provesti i ciljana kampanja za informiranje i podizanje svijesti.</w:t>
      </w:r>
    </w:p>
    <w:p w14:paraId="1446C515" w14:textId="0A7F49CE" w:rsidR="00145E62" w:rsidRPr="00B47BDA" w:rsidRDefault="001506C5" w:rsidP="00567497">
      <w:pPr>
        <w:pStyle w:val="ListParagraph"/>
        <w:numPr>
          <w:ilvl w:val="0"/>
          <w:numId w:val="40"/>
        </w:numPr>
        <w:spacing w:after="60"/>
        <w:ind w:left="714" w:hanging="357"/>
      </w:pPr>
      <w:r w:rsidRPr="00B47BDA">
        <w:t>Organizacija o</w:t>
      </w:r>
      <w:r w:rsidR="00145E62" w:rsidRPr="00B47BDA">
        <w:t>tvoren</w:t>
      </w:r>
      <w:r w:rsidRPr="00B47BDA">
        <w:t>ih</w:t>
      </w:r>
      <w:r w:rsidR="00145E62" w:rsidRPr="00B47BDA">
        <w:t xml:space="preserve"> dijalog</w:t>
      </w:r>
      <w:r w:rsidR="0036235B" w:rsidRPr="00B47BDA">
        <w:t>a</w:t>
      </w:r>
      <w:r w:rsidR="00145E62" w:rsidRPr="00B47BDA">
        <w:t xml:space="preserve"> partnera</w:t>
      </w:r>
      <w:r w:rsidRPr="00B47BDA">
        <w:t xml:space="preserve"> vezano za</w:t>
      </w:r>
      <w:r w:rsidR="006C73D6" w:rsidRPr="00B47BDA">
        <w:t xml:space="preserve"> temu</w:t>
      </w:r>
      <w:r w:rsidRPr="00B47BDA">
        <w:t xml:space="preserve"> </w:t>
      </w:r>
      <w:r w:rsidR="004D090F" w:rsidRPr="00B47BDA">
        <w:t>energetsko</w:t>
      </w:r>
      <w:r w:rsidR="006C73D6" w:rsidRPr="00B47BDA">
        <w:t>g</w:t>
      </w:r>
      <w:r w:rsidR="004D090F" w:rsidRPr="00B47BDA">
        <w:t xml:space="preserve"> siromaštv</w:t>
      </w:r>
      <w:r w:rsidR="006C73D6" w:rsidRPr="00B47BDA">
        <w:t>a</w:t>
      </w:r>
      <w:r w:rsidR="00BE2B17" w:rsidRPr="00B47BDA">
        <w:t>,</w:t>
      </w:r>
      <w:r w:rsidR="00582DB5" w:rsidRPr="00B47BDA">
        <w:t xml:space="preserve"> podizanje svijesti o energetskom siromaštvu, </w:t>
      </w:r>
      <w:r w:rsidR="00EF71A2" w:rsidRPr="00B47BDA">
        <w:t xml:space="preserve">utvrđivanje kriterija za energetski siromašna kućanstava i kućanstva s niskim primanjima s ciljem </w:t>
      </w:r>
      <w:r w:rsidR="00BE2B17" w:rsidRPr="00B47BDA">
        <w:t>sprečavanja i u</w:t>
      </w:r>
      <w:r w:rsidRPr="00B47BDA">
        <w:t>blažavanj</w:t>
      </w:r>
      <w:r w:rsidR="00BE2B17" w:rsidRPr="00B47BDA">
        <w:t>a</w:t>
      </w:r>
      <w:r w:rsidRPr="00B47BDA">
        <w:t xml:space="preserve"> energetskog siromaštva</w:t>
      </w:r>
      <w:r w:rsidR="00174EF0" w:rsidRPr="00B47BDA">
        <w:t xml:space="preserve"> </w:t>
      </w:r>
      <w:r w:rsidR="00E85C89" w:rsidRPr="00B47BDA">
        <w:t>provedbom mjera energetske učinkovitosti</w:t>
      </w:r>
      <w:r w:rsidR="006C73D6" w:rsidRPr="00B47BDA">
        <w:t xml:space="preserve"> i OIE</w:t>
      </w:r>
      <w:r w:rsidR="00EF71A2" w:rsidRPr="00B47BDA">
        <w:t>.</w:t>
      </w:r>
    </w:p>
    <w:p w14:paraId="077EF833" w14:textId="4628ED06" w:rsidR="006802EC" w:rsidRPr="00B47BDA" w:rsidRDefault="006802EC" w:rsidP="00567497">
      <w:pPr>
        <w:pStyle w:val="ListParagraph"/>
        <w:numPr>
          <w:ilvl w:val="0"/>
          <w:numId w:val="40"/>
        </w:numPr>
        <w:spacing w:after="60"/>
        <w:ind w:left="714" w:hanging="357"/>
      </w:pPr>
      <w:r w:rsidRPr="00B47BDA">
        <w:t xml:space="preserve">Organizacija </w:t>
      </w:r>
      <w:r w:rsidR="00F604C6" w:rsidRPr="00B47BDA">
        <w:t xml:space="preserve">otvorenih dijaloga vezanih uz </w:t>
      </w:r>
      <w:r w:rsidR="00D4149D" w:rsidRPr="00B47BDA">
        <w:t>energetsku obnovu višestambenih zgrada</w:t>
      </w:r>
      <w:r w:rsidR="00EB33A1" w:rsidRPr="00B47BDA">
        <w:t xml:space="preserve"> (suradnja s upraviteljima), promocija energetskih zajednica i dr. </w:t>
      </w:r>
    </w:p>
    <w:p w14:paraId="33304F87" w14:textId="1330AEE9" w:rsidR="008F43DD" w:rsidRPr="00B47BDA" w:rsidRDefault="008F43DD" w:rsidP="004623DD">
      <w:pPr>
        <w:rPr>
          <w:rFonts w:eastAsia="Calibri"/>
        </w:rPr>
      </w:pPr>
      <w:r w:rsidRPr="00B47BDA">
        <w:rPr>
          <w:b/>
        </w:rPr>
        <w:t xml:space="preserve">Sredstva potrebna za provedbu: </w:t>
      </w:r>
      <w:r w:rsidRPr="00B47BDA">
        <w:t xml:space="preserve">Financijska sredstva za provedbu ovih aktivnosti planira </w:t>
      </w:r>
      <w:r w:rsidR="00CB67BA" w:rsidRPr="00B47BDA">
        <w:t>MPGI</w:t>
      </w:r>
      <w:r w:rsidRPr="00B47BDA">
        <w:t xml:space="preserve"> u okviru svojih godišnjih proračuna, kao sastavni dio svojih redovnih aktivnosti</w:t>
      </w:r>
      <w:r w:rsidR="0049506D" w:rsidRPr="00B47BDA">
        <w:rPr>
          <w:color w:val="000000" w:themeColor="text1"/>
        </w:rPr>
        <w:t>.</w:t>
      </w:r>
    </w:p>
    <w:p w14:paraId="5F67B4C6" w14:textId="77CBA33E" w:rsidR="008F43DD" w:rsidRPr="00B47BDA" w:rsidRDefault="008F43DD" w:rsidP="004623DD">
      <w:pPr>
        <w:rPr>
          <w:rFonts w:eastAsia="Calibri"/>
          <w:color w:val="000000"/>
        </w:rPr>
      </w:pPr>
      <w:r w:rsidRPr="00B47BDA">
        <w:rPr>
          <w:b/>
        </w:rPr>
        <w:t xml:space="preserve">Izvori financiranja: </w:t>
      </w:r>
      <w:r w:rsidRPr="00B47BDA">
        <w:t>Državni proračun (</w:t>
      </w:r>
      <w:r w:rsidR="00CB67BA" w:rsidRPr="00B47BDA">
        <w:t>MPGI</w:t>
      </w:r>
      <w:r w:rsidRPr="00B47BDA">
        <w:t>)</w:t>
      </w:r>
    </w:p>
    <w:p w14:paraId="288EFBC1" w14:textId="5A42767C" w:rsidR="008F43DD" w:rsidRPr="00B47BDA" w:rsidRDefault="008F43DD" w:rsidP="004623DD">
      <w:pPr>
        <w:rPr>
          <w:color w:val="000000"/>
        </w:rPr>
      </w:pPr>
      <w:r w:rsidRPr="00EE67E0">
        <w:rPr>
          <w:b/>
          <w:bCs/>
        </w:rPr>
        <w:t>Izvršno tijelo:</w:t>
      </w:r>
      <w:r w:rsidRPr="00B47BDA">
        <w:t xml:space="preserve"> </w:t>
      </w:r>
      <w:r w:rsidR="00CB67BA" w:rsidRPr="00B47BDA">
        <w:t>MPGI</w:t>
      </w:r>
    </w:p>
    <w:p w14:paraId="105CDD34" w14:textId="48603F29" w:rsidR="008F43DD" w:rsidRPr="00B47BDA" w:rsidRDefault="008F43DD" w:rsidP="004623DD">
      <w:pPr>
        <w:rPr>
          <w:rFonts w:eastAsia="Calibri"/>
          <w:color w:val="000000"/>
        </w:rPr>
      </w:pPr>
      <w:r w:rsidRPr="00EE67E0">
        <w:rPr>
          <w:b/>
          <w:bCs/>
        </w:rPr>
        <w:t>Tijela za praćenje:</w:t>
      </w:r>
      <w:r w:rsidRPr="00B47BDA">
        <w:t xml:space="preserve"> </w:t>
      </w:r>
      <w:r w:rsidR="00CB67BA" w:rsidRPr="00B47BDA">
        <w:t>MPGI</w:t>
      </w:r>
      <w:r w:rsidR="001E6120" w:rsidRPr="00B47BDA">
        <w:t>, MINGO</w:t>
      </w:r>
      <w:r w:rsidRPr="00B47BDA">
        <w:t>-NKT</w:t>
      </w:r>
    </w:p>
    <w:p w14:paraId="559ECF4F" w14:textId="1330AEE9" w:rsidR="008F43DD" w:rsidRPr="00B47BDA" w:rsidRDefault="008F43DD" w:rsidP="004623DD">
      <w:pPr>
        <w:rPr>
          <w:rFonts w:eastAsia="Calibri"/>
          <w:color w:val="000000"/>
        </w:rPr>
      </w:pPr>
      <w:r w:rsidRPr="00B47BDA">
        <w:rPr>
          <w:b/>
        </w:rPr>
        <w:t xml:space="preserve">Učinak: </w:t>
      </w:r>
      <w:r w:rsidRPr="00B47BDA">
        <w:t>Povećanje razine svijesti o koristima energetske učinkovitosti uz posljedičnu promjenu ponašanja i smanjenje potrošnje energije. Potpora regulatornoj mjeri izgradnje te obnove zgrada kao i promocijska mjera koja će rezultirati mjerljivim smanjenjem potrošnje energije, većim korištenjem OIE i izbjegnutim emisijama CO</w:t>
      </w:r>
      <w:r w:rsidRPr="00B47BDA">
        <w:rPr>
          <w:vertAlign w:val="subscript"/>
        </w:rPr>
        <w:t>2</w:t>
      </w:r>
      <w:r w:rsidRPr="00B47BDA">
        <w:t xml:space="preserve">. Povećanje stručnih kapaciteta za provedbu mjera energetske učinkovitosti. </w:t>
      </w:r>
    </w:p>
    <w:p w14:paraId="4883E51D" w14:textId="411E01A1" w:rsidR="008F43DD" w:rsidRPr="00B47BDA" w:rsidRDefault="008F43DD" w:rsidP="004623DD">
      <w:pPr>
        <w:rPr>
          <w:color w:val="000000"/>
        </w:rPr>
      </w:pPr>
      <w:r w:rsidRPr="00B47BDA">
        <w:rPr>
          <w:b/>
        </w:rPr>
        <w:lastRenderedPageBreak/>
        <w:t>Metoda praćenja:</w:t>
      </w:r>
      <w:r w:rsidRPr="00B47BDA">
        <w:t xml:space="preserve"> Primjenom metoda odozgo-prema-dolje na sektorskoj razini. Izvješća o provedenim informativno-edukacijskim aktivnostima. </w:t>
      </w:r>
    </w:p>
    <w:p w14:paraId="06F95418" w14:textId="411E01A1" w:rsidR="008F43DD" w:rsidRPr="00B47BDA" w:rsidRDefault="008F43DD" w:rsidP="63259912">
      <w:pPr>
        <w:rPr>
          <w:color w:val="000000"/>
        </w:rPr>
      </w:pPr>
      <w:r w:rsidRPr="63259912">
        <w:rPr>
          <w:b/>
          <w:bCs/>
        </w:rPr>
        <w:t xml:space="preserve">Povezanost s drugim dimenzijama: </w:t>
      </w:r>
      <w:r w:rsidRPr="63259912">
        <w:t>Izravna povezanost s dekarbonizacijom (nZEB standard podrazumijeva težnju prema nultoj emisiji utjelovljenog i operativnog ugljika (zelena gradnja, smanjena potrošnja energije i povećano korištenje OIE)</w:t>
      </w:r>
      <w:r w:rsidR="00B021A4" w:rsidRPr="63259912">
        <w:t>, unutarnje tržište (energetsko siromaštvo</w:t>
      </w:r>
      <w:r w:rsidR="00B021A4" w:rsidRPr="63259912">
        <w:rPr>
          <w:color w:val="000000" w:themeColor="text1"/>
        </w:rPr>
        <w:t>)</w:t>
      </w:r>
      <w:r w:rsidRPr="63259912">
        <w:rPr>
          <w:color w:val="000000" w:themeColor="text1"/>
        </w:rPr>
        <w:t>.</w:t>
      </w:r>
    </w:p>
    <w:p w14:paraId="0CF2D86F" w14:textId="38202C67" w:rsidR="00354951" w:rsidRDefault="008F43DD" w:rsidP="004623DD">
      <w:r w:rsidRPr="63259912">
        <w:rPr>
          <w:b/>
          <w:bCs/>
        </w:rPr>
        <w:t>Istraživanje i razvoj</w:t>
      </w:r>
      <w:r w:rsidRPr="63259912">
        <w:t xml:space="preserve">: Edukacijske aktivnosti u području zelene gradnje potiču istraživanje i razvoj u ovom segmentu (tehnologije i metode za 'ozelenjavanje' zgrada). </w:t>
      </w:r>
      <w:r w:rsidR="00BE44F6" w:rsidRPr="63259912">
        <w:t>N</w:t>
      </w:r>
      <w:r w:rsidRPr="63259912">
        <w:t xml:space="preserve">ZEB standard stvara potrebu za razvijem novih građevini materijala, unaprjeđenje tehničkih sustava u zgradama kao i sustav upravljanja i automatizacije temeljenih na informacijsko-komunikacijskim tehnologijama. Digitalizacija sustava potiče inovacije u segmentu informiranja (korištenje informacijsko-komunikacijskih tehnologija). </w:t>
      </w:r>
    </w:p>
    <w:p w14:paraId="026DCE7B" w14:textId="776E72D1" w:rsidR="00283711" w:rsidRPr="00B47BDA" w:rsidRDefault="009B0451" w:rsidP="00EE67E0">
      <w:pPr>
        <w:pStyle w:val="Mjeranaslov"/>
      </w:pPr>
      <w:r w:rsidRPr="00B47BDA">
        <w:t xml:space="preserve">ENU-3 </w:t>
      </w:r>
      <w:r w:rsidR="00961B1F" w:rsidRPr="00B47BDA">
        <w:t>Program energetske obnove višestambenih zgrada</w:t>
      </w:r>
    </w:p>
    <w:p w14:paraId="7106FD12" w14:textId="722901F6" w:rsidR="00283711" w:rsidRPr="00B47BDA" w:rsidRDefault="00283711" w:rsidP="004623DD">
      <w:pPr>
        <w:pStyle w:val="NormalWeb"/>
      </w:pPr>
      <w:r w:rsidRPr="00B47BDA">
        <w:t xml:space="preserve">Financijska mjera; </w:t>
      </w:r>
      <w:r w:rsidR="00A22056">
        <w:t xml:space="preserve">razdoblje do </w:t>
      </w:r>
      <w:r w:rsidRPr="00B47BDA">
        <w:t>2030.</w:t>
      </w:r>
    </w:p>
    <w:p w14:paraId="6B3828D8" w14:textId="4C38DDE2" w:rsidR="0023001E" w:rsidRPr="00B47BDA" w:rsidRDefault="00283711" w:rsidP="004623DD">
      <w:pPr>
        <w:pStyle w:val="NormalWeb"/>
      </w:pPr>
      <w:r w:rsidRPr="63259912">
        <w:rPr>
          <w:b/>
          <w:bCs/>
          <w:color w:val="000000" w:themeColor="text1"/>
        </w:rPr>
        <w:t>Cilj i opis mjere:</w:t>
      </w:r>
      <w:r w:rsidRPr="63259912">
        <w:rPr>
          <w:color w:val="000000" w:themeColor="text1"/>
        </w:rPr>
        <w:t xml:space="preserve"> </w:t>
      </w:r>
      <w:r w:rsidR="001476E6" w:rsidRPr="63259912">
        <w:t xml:space="preserve">Odlukom Vlade RH usvojen je Program </w:t>
      </w:r>
      <w:r w:rsidR="009203B1" w:rsidRPr="63259912">
        <w:t>energetske obnove višestambenih zgrada za razdoblje do 2030. godine</w:t>
      </w:r>
      <w:r w:rsidR="0050144F" w:rsidRPr="63259912">
        <w:t xml:space="preserve"> </w:t>
      </w:r>
      <w:r w:rsidR="00EB08F1" w:rsidRPr="63259912">
        <w:t xml:space="preserve">(„Narodne novine“, br. </w:t>
      </w:r>
      <w:r w:rsidR="0050144F" w:rsidRPr="63259912">
        <w:t>143</w:t>
      </w:r>
      <w:r w:rsidR="005B41DA" w:rsidRPr="63259912">
        <w:t>/21</w:t>
      </w:r>
      <w:r w:rsidR="004975F6" w:rsidRPr="63259912">
        <w:t>.</w:t>
      </w:r>
      <w:r w:rsidR="0050144F" w:rsidRPr="63259912">
        <w:t>)</w:t>
      </w:r>
      <w:r w:rsidRPr="63259912">
        <w:t xml:space="preserve">. </w:t>
      </w:r>
      <w:r w:rsidR="00A8135A" w:rsidRPr="63259912">
        <w:t xml:space="preserve">Predviđa se nekoliko kategorija obnove (integralna energetska obnova, dubinska obnova, sveobuhvatna obnova) i </w:t>
      </w:r>
      <w:r w:rsidR="0033450E" w:rsidRPr="63259912">
        <w:t>tri</w:t>
      </w:r>
      <w:r w:rsidR="00A8135A" w:rsidRPr="63259912">
        <w:t xml:space="preserve"> modela provedbe (obnova </w:t>
      </w:r>
      <w:r w:rsidR="00AA2754" w:rsidRPr="63259912">
        <w:t>višestambenih zgrada</w:t>
      </w:r>
      <w:r w:rsidR="00A8135A" w:rsidRPr="63259912">
        <w:t xml:space="preserve"> neoštećenih u potresu, obnova </w:t>
      </w:r>
      <w:r w:rsidR="00AA2754" w:rsidRPr="63259912">
        <w:t xml:space="preserve">višestambenih zgrada </w:t>
      </w:r>
      <w:r w:rsidR="00A8135A" w:rsidRPr="63259912">
        <w:t>oštećenih u potres</w:t>
      </w:r>
      <w:r w:rsidR="00AA2754" w:rsidRPr="63259912">
        <w:t>u</w:t>
      </w:r>
      <w:r w:rsidR="0033450E" w:rsidRPr="63259912">
        <w:t>, financijska potpora građanima u riziku od energetskog siromaštva</w:t>
      </w:r>
      <w:r w:rsidR="00A8135A" w:rsidRPr="63259912">
        <w:t xml:space="preserve">). </w:t>
      </w:r>
      <w:r w:rsidRPr="63259912">
        <w:t xml:space="preserve">Snažnije je potrebno poticati obnovu do nZEB standarda. Dodatno, potrebno je razmotriti osnivanje posebnog fonda iz kojega će se troškovi refundirati energetski siromašnim kućanstvima ili kućanstvima u riziku od energetskog siromaštva, kako bi se uklonila prepreka osiguravanja dovoljnog broja suglasnosti suvlasnika za energetsku obnovu. Provedba Programa mora biti praćena snažnim promotivnim aktivnostima, osiguranom tehničkom pomoći prijaviteljima te je nužno osigurati praćenje potrošnje energije prije i nakon energetske obnove, za što je potrebno stvoriti preduvjete u sklopu ISGE-a. </w:t>
      </w:r>
      <w:r w:rsidR="00C81975" w:rsidRPr="63259912">
        <w:t>Ukupno bi u razdoblju do 2030. godine trebalo obnoviti 6,27 milijuna m</w:t>
      </w:r>
      <w:r w:rsidR="00C81975" w:rsidRPr="63259912">
        <w:rPr>
          <w:vertAlign w:val="superscript"/>
        </w:rPr>
        <w:t>2</w:t>
      </w:r>
      <w:r w:rsidR="00C81975" w:rsidRPr="63259912">
        <w:t xml:space="preserve"> u </w:t>
      </w:r>
      <w:r w:rsidR="007F08EE" w:rsidRPr="63259912">
        <w:t>višestambenim zgradama</w:t>
      </w:r>
      <w:r w:rsidR="00AB2FA8" w:rsidRPr="63259912">
        <w:t>, u skladu s Dugoročnom strategijom obnove nacionalnog fonda zgrada</w:t>
      </w:r>
      <w:r w:rsidR="00C81975" w:rsidRPr="63259912">
        <w:t xml:space="preserve">. </w:t>
      </w:r>
      <w:r w:rsidRPr="63259912">
        <w:t xml:space="preserve">Predviđa se obnavljati </w:t>
      </w:r>
      <w:r w:rsidR="00BF7F95" w:rsidRPr="63259912">
        <w:t xml:space="preserve">prosječno </w:t>
      </w:r>
      <w:r w:rsidRPr="63259912">
        <w:t xml:space="preserve">oko </w:t>
      </w:r>
      <w:r w:rsidR="00D1606C" w:rsidRPr="63259912">
        <w:t>700.000 m</w:t>
      </w:r>
      <w:r w:rsidR="00D1606C" w:rsidRPr="63259912">
        <w:rPr>
          <w:vertAlign w:val="superscript"/>
        </w:rPr>
        <w:t>2</w:t>
      </w:r>
      <w:r w:rsidR="00D1606C" w:rsidRPr="63259912">
        <w:t xml:space="preserve"> </w:t>
      </w:r>
      <w:r w:rsidRPr="63259912">
        <w:t xml:space="preserve">višestambenih zgrada godišnje. Uštede su izračunate uz pretpostavku energetske obnove zgrada na razinu zadovoljavanja uvjeta iz Tehničkog propisa propisom o racionalnoj uporabi energije i toplinskoj zaštiti u zgradama, prema razdobljima izgradnje zgrada. </w:t>
      </w:r>
    </w:p>
    <w:p w14:paraId="6C277572" w14:textId="60B1AE57" w:rsidR="00283711" w:rsidRPr="00B47BDA" w:rsidRDefault="0023001E" w:rsidP="004623DD">
      <w:pPr>
        <w:pStyle w:val="NormalWeb"/>
      </w:pPr>
      <w:r w:rsidRPr="00B47BDA">
        <w:t>N</w:t>
      </w:r>
      <w:r w:rsidR="005D1C71" w:rsidRPr="00B47BDA">
        <w:t>apomena: ciljevi</w:t>
      </w:r>
      <w:r w:rsidR="00B56FE8" w:rsidRPr="00B47BDA">
        <w:t>, uvjeti</w:t>
      </w:r>
      <w:r w:rsidR="008145DE" w:rsidRPr="00B47BDA">
        <w:t xml:space="preserve"> i aktivnosti</w:t>
      </w:r>
      <w:r w:rsidR="00646F50" w:rsidRPr="00B47BDA">
        <w:t xml:space="preserve"> </w:t>
      </w:r>
      <w:r w:rsidRPr="00B47BDA">
        <w:t>te navedene brojčane vrijednosti</w:t>
      </w:r>
      <w:r w:rsidR="00646F50" w:rsidRPr="00B47BDA">
        <w:t xml:space="preserve"> su okvirn</w:t>
      </w:r>
      <w:r w:rsidRPr="00B47BDA">
        <w:t>e</w:t>
      </w:r>
      <w:r w:rsidR="00646F50" w:rsidRPr="00B47BDA">
        <w:t xml:space="preserve">, a detaljno </w:t>
      </w:r>
      <w:r w:rsidR="699A89F9" w:rsidRPr="00B47BDA">
        <w:t xml:space="preserve">se </w:t>
      </w:r>
      <w:r w:rsidR="589DA828" w:rsidRPr="00B47BDA">
        <w:t>utvrđuju</w:t>
      </w:r>
      <w:r w:rsidR="00646F50" w:rsidRPr="00B47BDA">
        <w:t xml:space="preserve"> u </w:t>
      </w:r>
      <w:r w:rsidR="00F13914" w:rsidRPr="00B47BDA">
        <w:t xml:space="preserve">samom </w:t>
      </w:r>
      <w:r w:rsidR="009E1DE1" w:rsidRPr="00B47BDA">
        <w:t>Programu</w:t>
      </w:r>
      <w:r w:rsidR="00F13914" w:rsidRPr="00B47BDA">
        <w:t xml:space="preserve"> energetske obnove višestambenih zgrada za razdoblje do 2030.</w:t>
      </w:r>
      <w:r w:rsidR="005141A1" w:rsidRPr="00B47BDA">
        <w:t xml:space="preserve"> godine</w:t>
      </w:r>
      <w:r w:rsidR="00AB2FA8" w:rsidRPr="00B47BDA">
        <w:t>,</w:t>
      </w:r>
      <w:r w:rsidR="589DA828" w:rsidRPr="00B47BDA">
        <w:t xml:space="preserve"> koji se ažurira svake tri godine</w:t>
      </w:r>
      <w:r w:rsidR="00D6649B">
        <w:t>.</w:t>
      </w:r>
    </w:p>
    <w:p w14:paraId="3EB514CF" w14:textId="77777777" w:rsidR="00283711" w:rsidRPr="00B47BDA" w:rsidRDefault="00283711" w:rsidP="004623DD">
      <w:r w:rsidRPr="00B47BDA">
        <w:rPr>
          <w:b/>
        </w:rPr>
        <w:t>Aktivnosti:</w:t>
      </w:r>
      <w:r w:rsidRPr="00B47BDA">
        <w:t xml:space="preserve"> U okviru mjere provest će se sljedeće aktivnosti: </w:t>
      </w:r>
    </w:p>
    <w:p w14:paraId="4AF4CC5C" w14:textId="411E01A1" w:rsidR="003B3956" w:rsidRPr="00B47BDA" w:rsidRDefault="00283711" w:rsidP="00A563AA">
      <w:pPr>
        <w:pStyle w:val="ListParagraph"/>
        <w:numPr>
          <w:ilvl w:val="0"/>
          <w:numId w:val="41"/>
        </w:numPr>
        <w:rPr>
          <w:rFonts w:eastAsia="Calibri"/>
        </w:rPr>
      </w:pPr>
      <w:r w:rsidRPr="00B47BDA">
        <w:rPr>
          <w:rFonts w:eastAsia="Calibri"/>
        </w:rPr>
        <w:t>Provedba</w:t>
      </w:r>
      <w:r w:rsidR="008863EF" w:rsidRPr="00B47BDA">
        <w:rPr>
          <w:rFonts w:eastAsia="Calibri"/>
        </w:rPr>
        <w:t xml:space="preserve"> se odvija</w:t>
      </w:r>
      <w:r w:rsidRPr="00B47BDA">
        <w:rPr>
          <w:rFonts w:eastAsia="Calibri"/>
        </w:rPr>
        <w:t xml:space="preserve"> </w:t>
      </w:r>
      <w:r w:rsidR="00124B02" w:rsidRPr="00B47BDA">
        <w:rPr>
          <w:rFonts w:eastAsia="Calibri"/>
        </w:rPr>
        <w:t>na način utvrđen Programom</w:t>
      </w:r>
      <w:r w:rsidR="0022386F" w:rsidRPr="00B47BDA">
        <w:rPr>
          <w:rFonts w:eastAsia="Calibri"/>
        </w:rPr>
        <w:t xml:space="preserve"> </w:t>
      </w:r>
      <w:r w:rsidRPr="00B47BDA">
        <w:rPr>
          <w:rFonts w:eastAsia="Calibri"/>
        </w:rPr>
        <w:t xml:space="preserve">energetske obnove višestambenih zgrada za razdoblje do 2030. </w:t>
      </w:r>
      <w:r w:rsidR="0022386F" w:rsidRPr="00B47BDA">
        <w:rPr>
          <w:rFonts w:eastAsia="Calibri"/>
        </w:rPr>
        <w:t>godine</w:t>
      </w:r>
      <w:r w:rsidR="00E6692E" w:rsidRPr="00B47BDA">
        <w:rPr>
          <w:rFonts w:eastAsia="Calibri"/>
        </w:rPr>
        <w:t xml:space="preserve"> (usvojen 23.12.2021. godine</w:t>
      </w:r>
      <w:r w:rsidR="00E6692E" w:rsidRPr="00B47BDA">
        <w:rPr>
          <w:rFonts w:eastAsia="Calibri" w:cs="Arial"/>
          <w:color w:val="000000" w:themeColor="text1"/>
        </w:rPr>
        <w:t>)</w:t>
      </w:r>
      <w:r w:rsidR="00982354" w:rsidRPr="00B47BDA">
        <w:rPr>
          <w:rFonts w:eastAsia="Calibri" w:cs="Arial"/>
          <w:color w:val="000000" w:themeColor="text1"/>
        </w:rPr>
        <w:t>.</w:t>
      </w:r>
    </w:p>
    <w:p w14:paraId="041F6EED" w14:textId="3AF99123" w:rsidR="00283711" w:rsidRPr="00B47BDA" w:rsidRDefault="00283711" w:rsidP="004623DD">
      <w:pPr>
        <w:rPr>
          <w:rFonts w:eastAsia="Calibri"/>
          <w:color w:val="000000"/>
        </w:rPr>
      </w:pPr>
      <w:r w:rsidRPr="00B47BDA">
        <w:rPr>
          <w:b/>
        </w:rPr>
        <w:lastRenderedPageBreak/>
        <w:t xml:space="preserve">Sredstva potrebna za provedbu: </w:t>
      </w:r>
      <w:r w:rsidRPr="00B47BDA">
        <w:t>Procijenjeni investicijski trošak u razdoblju 2021.-2030</w:t>
      </w:r>
      <w:r w:rsidR="00421D40">
        <w:t>. godine</w:t>
      </w:r>
      <w:r w:rsidRPr="00B47BDA">
        <w:t xml:space="preserve"> je</w:t>
      </w:r>
      <w:r w:rsidR="003B5B3C" w:rsidRPr="00B47BDA">
        <w:t xml:space="preserve"> 3,81 milijar</w:t>
      </w:r>
      <w:r w:rsidR="00E40A68" w:rsidRPr="00B47BDA">
        <w:t>d</w:t>
      </w:r>
      <w:r w:rsidR="0036531A" w:rsidRPr="00B47BDA">
        <w:t>e</w:t>
      </w:r>
      <w:r w:rsidR="003B5B3C" w:rsidRPr="00B47BDA">
        <w:t xml:space="preserve"> </w:t>
      </w:r>
      <w:r w:rsidR="008C15E2">
        <w:t>EUR</w:t>
      </w:r>
      <w:r w:rsidR="00982354" w:rsidRPr="00B47BDA">
        <w:rPr>
          <w:color w:val="000000" w:themeColor="text1"/>
        </w:rPr>
        <w:t>.</w:t>
      </w:r>
    </w:p>
    <w:p w14:paraId="44EF31FF" w14:textId="3B53C196" w:rsidR="00283711" w:rsidRPr="00B47BDA" w:rsidRDefault="00283711" w:rsidP="004623DD">
      <w:pPr>
        <w:rPr>
          <w:rFonts w:eastAsia="Calibri"/>
          <w:color w:val="000000"/>
        </w:rPr>
      </w:pPr>
      <w:r w:rsidRPr="00B47BDA">
        <w:rPr>
          <w:b/>
        </w:rPr>
        <w:t xml:space="preserve">Izvori financiranja: </w:t>
      </w:r>
      <w:r w:rsidRPr="00B47BDA">
        <w:t xml:space="preserve">Potrebno je osigurati bespovratna sredstava u iznosu </w:t>
      </w:r>
      <w:r w:rsidR="17073D1B" w:rsidRPr="00B47BDA">
        <w:t>od</w:t>
      </w:r>
      <w:r w:rsidR="00AF7EFA" w:rsidRPr="00B47BDA">
        <w:t xml:space="preserve"> </w:t>
      </w:r>
      <w:r w:rsidR="00266ECB" w:rsidRPr="00B47BDA">
        <w:t>2,28 milijard</w:t>
      </w:r>
      <w:r w:rsidR="00334C94">
        <w:t>i</w:t>
      </w:r>
      <w:r w:rsidR="00266ECB" w:rsidRPr="00B47BDA">
        <w:t xml:space="preserve"> </w:t>
      </w:r>
      <w:r w:rsidR="00421D40">
        <w:t>EUR</w:t>
      </w:r>
      <w:r w:rsidRPr="00B47BDA">
        <w:t>, uz maksimalno sufinanciranje energetskih pregleda, energetskih certifikata, projektne dokumentacije i tehničke pomoći u pripremi i provedbi projekta.</w:t>
      </w:r>
      <w:r w:rsidR="0023001E" w:rsidRPr="00B47BDA">
        <w:t xml:space="preserve"> Potrebno je razmotriti mogućnost korištenja nacionalnih sredstava i drugih izvora financiranja.</w:t>
      </w:r>
      <w:r w:rsidR="00573599">
        <w:t xml:space="preserve"> </w:t>
      </w:r>
      <w:r w:rsidR="00573599" w:rsidRPr="005E72AC">
        <w:t>Sredstva na raspolaganju iz NPOO-a</w:t>
      </w:r>
      <w:r w:rsidR="00751F6A" w:rsidRPr="005E72AC">
        <w:t xml:space="preserve"> i </w:t>
      </w:r>
      <w:r w:rsidR="00E627FA" w:rsidRPr="005E72AC">
        <w:t>Dodatka NPOO-U</w:t>
      </w:r>
      <w:r w:rsidR="00573599" w:rsidRPr="005E72AC">
        <w:t xml:space="preserve"> su </w:t>
      </w:r>
      <w:r w:rsidR="002553AC" w:rsidRPr="001C1BB0">
        <w:t xml:space="preserve">160 </w:t>
      </w:r>
      <w:r w:rsidR="002553AC" w:rsidRPr="005E72AC">
        <w:t>milijuna</w:t>
      </w:r>
      <w:r w:rsidR="002553AC">
        <w:t xml:space="preserve"> </w:t>
      </w:r>
      <w:r w:rsidR="0091536B">
        <w:t>EUR</w:t>
      </w:r>
      <w:r w:rsidR="005E72AC" w:rsidRPr="005E72AC">
        <w:t xml:space="preserve"> za neoštećene te 54,5 milijuna EUR za zgrade oštećene u potresima</w:t>
      </w:r>
      <w:r w:rsidR="005E72AC">
        <w:t xml:space="preserve">. </w:t>
      </w:r>
      <w:r w:rsidR="00585ABB">
        <w:t xml:space="preserve">FZOEU je osigurao </w:t>
      </w:r>
      <w:r w:rsidR="007C43F0">
        <w:t xml:space="preserve">još 80 milijuna </w:t>
      </w:r>
      <w:r w:rsidR="007F4E47">
        <w:t>EUR</w:t>
      </w:r>
      <w:r w:rsidR="007C43F0">
        <w:t xml:space="preserve">, temeljem Zaključka Vlade RH </w:t>
      </w:r>
      <w:r w:rsidR="007724B6">
        <w:t xml:space="preserve">u vezi s energetskom obnovom obiteljskih kuća i višestambenih zgrada na području RH, od 19. </w:t>
      </w:r>
      <w:r w:rsidR="005867DE">
        <w:t xml:space="preserve">listopada </w:t>
      </w:r>
      <w:r w:rsidR="007724B6">
        <w:t>2023. godine</w:t>
      </w:r>
      <w:r w:rsidR="00E43103">
        <w:t>.</w:t>
      </w:r>
      <w:r w:rsidR="00052DDC">
        <w:t xml:space="preserve"> </w:t>
      </w:r>
      <w:r w:rsidR="009A16E5">
        <w:t xml:space="preserve">Predviđa se da će se ova sredstva utrošiti do kraja 2026. godine. </w:t>
      </w:r>
      <w:r w:rsidR="00052DDC">
        <w:t xml:space="preserve">Sredstva na raspolaganju iz PKK 2021.-2027. su </w:t>
      </w:r>
      <w:r w:rsidR="00557CE7">
        <w:t xml:space="preserve">89 milijuna </w:t>
      </w:r>
      <w:r w:rsidR="007F4E47">
        <w:t>EUR</w:t>
      </w:r>
      <w:r w:rsidR="00557CE7">
        <w:t>.</w:t>
      </w:r>
      <w:r w:rsidR="004E7D81">
        <w:t xml:space="preserve"> Stoga je p</w:t>
      </w:r>
      <w:r w:rsidR="004E7D81" w:rsidRPr="00B47BDA">
        <w:t>otrebno razmotriti mogućnost korištenja nacionalnih sredstava i drugih izvora financiranja</w:t>
      </w:r>
      <w:r w:rsidR="004E7D81">
        <w:t xml:space="preserve"> uz osmišljavanje inovativnih financijskih instrumenta</w:t>
      </w:r>
      <w:r w:rsidR="004E7D81" w:rsidRPr="00B47BDA">
        <w:t>.</w:t>
      </w:r>
    </w:p>
    <w:p w14:paraId="12754721" w14:textId="521625DB" w:rsidR="00C441A8" w:rsidRPr="00B47BDA" w:rsidRDefault="2D82B3A9" w:rsidP="004623DD">
      <w:pPr>
        <w:rPr>
          <w:rFonts w:eastAsia="Calibri"/>
          <w:color w:val="000000"/>
        </w:rPr>
      </w:pPr>
      <w:r w:rsidRPr="00B47BDA">
        <w:rPr>
          <w:b/>
        </w:rPr>
        <w:t>Izvršno tijelo:</w:t>
      </w:r>
      <w:r w:rsidRPr="00B47BDA">
        <w:t xml:space="preserve"> </w:t>
      </w:r>
      <w:r w:rsidR="349A2A1C" w:rsidRPr="00B47BDA">
        <w:t xml:space="preserve">MPGI; ostala tijela u </w:t>
      </w:r>
      <w:r w:rsidR="16B1AE71" w:rsidRPr="00B47BDA">
        <w:t>sustavu</w:t>
      </w:r>
      <w:r w:rsidR="349A2A1C" w:rsidRPr="00B47BDA">
        <w:t xml:space="preserve"> korištenja Europskih fondova</w:t>
      </w:r>
      <w:r w:rsidR="00525972">
        <w:t>.</w:t>
      </w:r>
      <w:r w:rsidR="349A2A1C" w:rsidRPr="00B47BDA">
        <w:t xml:space="preserve"> </w:t>
      </w:r>
    </w:p>
    <w:p w14:paraId="542C43D7" w14:textId="58DC56ED" w:rsidR="00283711" w:rsidRPr="00B47BDA" w:rsidRDefault="00283711" w:rsidP="004623DD">
      <w:pPr>
        <w:rPr>
          <w:rFonts w:eastAsia="Calibri"/>
          <w:color w:val="000000"/>
        </w:rPr>
      </w:pPr>
      <w:r w:rsidRPr="00EE67E0">
        <w:rPr>
          <w:b/>
          <w:bCs/>
        </w:rPr>
        <w:t>Tijela za praćenje:</w:t>
      </w:r>
      <w:r w:rsidRPr="00B47BDA">
        <w:t xml:space="preserve"> </w:t>
      </w:r>
      <w:r w:rsidR="349A2A1C" w:rsidRPr="00B47BDA">
        <w:t>MINGO</w:t>
      </w:r>
      <w:r w:rsidRPr="00B47BDA">
        <w:t>-NKT</w:t>
      </w:r>
    </w:p>
    <w:p w14:paraId="4133736F" w14:textId="51C0F289" w:rsidR="00283711" w:rsidRPr="00B47BDA" w:rsidRDefault="00283711" w:rsidP="63259912">
      <w:pPr>
        <w:rPr>
          <w:color w:val="000000"/>
        </w:rPr>
      </w:pPr>
      <w:r w:rsidRPr="63259912">
        <w:rPr>
          <w:b/>
          <w:bCs/>
        </w:rPr>
        <w:t xml:space="preserve">Učinak: </w:t>
      </w:r>
      <w:r w:rsidRPr="63259912">
        <w:t>Smanjenje toplinskih potreba i potrošnje energije u višestambenim zgradama i povećanje korištenja OIE te posljedično smanjenje emisija CO</w:t>
      </w:r>
      <w:r w:rsidRPr="63259912">
        <w:rPr>
          <w:vertAlign w:val="subscript"/>
        </w:rPr>
        <w:t>2</w:t>
      </w:r>
      <w:r w:rsidRPr="63259912">
        <w:t xml:space="preserve">; </w:t>
      </w:r>
      <w:bookmarkStart w:id="450" w:name="_Hlk132118742"/>
      <w:r w:rsidRPr="63259912">
        <w:t>procijenjene uštede u</w:t>
      </w:r>
      <w:r w:rsidR="00797D38" w:rsidRPr="63259912">
        <w:t xml:space="preserve"> neposrednoj potrošnji</w:t>
      </w:r>
      <w:r w:rsidR="00AB3EE7" w:rsidRPr="63259912">
        <w:t xml:space="preserve"> u</w:t>
      </w:r>
      <w:r w:rsidRPr="63259912">
        <w:t xml:space="preserve"> 2030</w:t>
      </w:r>
      <w:bookmarkEnd w:id="450"/>
      <w:r w:rsidRPr="63259912">
        <w:t>.</w:t>
      </w:r>
      <w:r w:rsidR="00AB3EE7" w:rsidRPr="63259912">
        <w:t xml:space="preserve"> </w:t>
      </w:r>
      <w:r w:rsidR="406B9180" w:rsidRPr="63259912">
        <w:t>iznose</w:t>
      </w:r>
      <w:r w:rsidR="001E3A84" w:rsidRPr="63259912">
        <w:t xml:space="preserve"> </w:t>
      </w:r>
      <w:r w:rsidR="008B54D8" w:rsidRPr="63259912">
        <w:t xml:space="preserve">1,87 </w:t>
      </w:r>
      <w:r w:rsidR="00AB3EE7" w:rsidRPr="63259912">
        <w:t>PJ (</w:t>
      </w:r>
      <w:r w:rsidR="00F072F7" w:rsidRPr="63259912">
        <w:t>44,55</w:t>
      </w:r>
      <w:r w:rsidR="00A3475B" w:rsidRPr="63259912">
        <w:t xml:space="preserve"> ktoe; 518,16 GWh)</w:t>
      </w:r>
      <w:r w:rsidRPr="63259912">
        <w:t>; procijenjeno smanjenje emisija CO</w:t>
      </w:r>
      <w:r w:rsidRPr="63259912">
        <w:rPr>
          <w:vertAlign w:val="subscript"/>
        </w:rPr>
        <w:t>2</w:t>
      </w:r>
      <w:r w:rsidRPr="63259912">
        <w:t xml:space="preserve"> u 2030.</w:t>
      </w:r>
      <w:r w:rsidR="00CC3410" w:rsidRPr="63259912">
        <w:t xml:space="preserve"> </w:t>
      </w:r>
      <w:r w:rsidR="00706FCB" w:rsidRPr="63259912">
        <w:t>124,88 ktCO</w:t>
      </w:r>
      <w:r w:rsidR="00706FCB" w:rsidRPr="63259912">
        <w:rPr>
          <w:vertAlign w:val="subscript"/>
        </w:rPr>
        <w:t>2</w:t>
      </w:r>
      <w:r w:rsidR="00706FCB" w:rsidRPr="63259912">
        <w:t>)</w:t>
      </w:r>
      <w:r w:rsidRPr="63259912">
        <w:t xml:space="preserve">; kumulativne uštede energije u razdoblju 2021.-2030. </w:t>
      </w:r>
      <w:r w:rsidR="00F93BF4" w:rsidRPr="63259912">
        <w:t xml:space="preserve">8,45 </w:t>
      </w:r>
      <w:r w:rsidR="003322E4" w:rsidRPr="63259912">
        <w:t>PJ (</w:t>
      </w:r>
      <w:r w:rsidR="00F14E6C" w:rsidRPr="63259912">
        <w:t>201,</w:t>
      </w:r>
      <w:r w:rsidR="006F40EB" w:rsidRPr="63259912">
        <w:t>90</w:t>
      </w:r>
      <w:r w:rsidR="003322E4" w:rsidRPr="63259912">
        <w:t xml:space="preserve"> </w:t>
      </w:r>
      <w:r w:rsidR="00045C68" w:rsidRPr="63259912">
        <w:t>ktoe; 2.348,0 GWh)</w:t>
      </w:r>
      <w:r w:rsidRPr="63259912">
        <w:t>; kumulativno smanjenje emisija CO</w:t>
      </w:r>
      <w:r w:rsidRPr="63259912">
        <w:rPr>
          <w:vertAlign w:val="subscript"/>
        </w:rPr>
        <w:t>2</w:t>
      </w:r>
      <w:r w:rsidRPr="63259912">
        <w:t xml:space="preserve"> u razdoblju 2021.-2030. </w:t>
      </w:r>
      <w:r w:rsidR="00F2567A" w:rsidRPr="63259912">
        <w:t>565,87 ktCO</w:t>
      </w:r>
      <w:r w:rsidR="00F2567A" w:rsidRPr="63259912">
        <w:rPr>
          <w:vertAlign w:val="subscript"/>
        </w:rPr>
        <w:t>2</w:t>
      </w:r>
      <w:r w:rsidR="00F2567A" w:rsidRPr="63259912">
        <w:t>.</w:t>
      </w:r>
    </w:p>
    <w:p w14:paraId="6DE04B7A" w14:textId="411E01A1" w:rsidR="00283711" w:rsidRPr="00B47BDA" w:rsidRDefault="00283711" w:rsidP="63259912">
      <w:pPr>
        <w:rPr>
          <w:rFonts w:eastAsia="Calibri"/>
          <w:color w:val="000000"/>
        </w:rPr>
      </w:pPr>
      <w:r w:rsidRPr="63259912">
        <w:rPr>
          <w:b/>
          <w:bCs/>
        </w:rPr>
        <w:t>Metoda praćenja:</w:t>
      </w:r>
      <w:r w:rsidRPr="63259912">
        <w:t xml:space="preserve"> Sustav za praćenje, mjerenje i verifikaciju ušteda energije (SMiV), metodom odozdo-prema-gore za integralnu obnovu zgrada</w:t>
      </w:r>
      <w:r w:rsidR="00BA0DE2" w:rsidRPr="63259912">
        <w:rPr>
          <w:color w:val="000000" w:themeColor="text1"/>
        </w:rPr>
        <w:t>.</w:t>
      </w:r>
    </w:p>
    <w:p w14:paraId="50BC8593" w14:textId="56962D18" w:rsidR="00283711" w:rsidRPr="00B47BDA" w:rsidRDefault="00283711" w:rsidP="63259912">
      <w:pPr>
        <w:rPr>
          <w:rFonts w:eastAsia="Calibri"/>
          <w:color w:val="000000"/>
        </w:rPr>
      </w:pPr>
      <w:r w:rsidRPr="63259912">
        <w:rPr>
          <w:b/>
          <w:bCs/>
        </w:rPr>
        <w:t xml:space="preserve">Povezanost s drugim dimenzijama: </w:t>
      </w:r>
      <w:r w:rsidR="005F49AE" w:rsidRPr="63259912">
        <w:t>I</w:t>
      </w:r>
      <w:r w:rsidRPr="63259912">
        <w:t>zravna povezanost s dimenzijom dekarbonizacije, jer se kroz energetsku obnovu potiče i korištenje OIE u zgradama</w:t>
      </w:r>
      <w:r w:rsidR="00BA0DE2" w:rsidRPr="63259912">
        <w:rPr>
          <w:color w:val="000000" w:themeColor="text1"/>
        </w:rPr>
        <w:t>.</w:t>
      </w:r>
    </w:p>
    <w:p w14:paraId="6685F715" w14:textId="68B87A75" w:rsidR="00BB64DD" w:rsidRPr="00BF24C1" w:rsidRDefault="00283711" w:rsidP="63259912">
      <w:pPr>
        <w:rPr>
          <w:rFonts w:eastAsia="Calibri"/>
        </w:rPr>
      </w:pPr>
      <w:r w:rsidRPr="63259912">
        <w:rPr>
          <w:b/>
          <w:bCs/>
        </w:rPr>
        <w:t>Istraživanje i razvoj</w:t>
      </w:r>
      <w:r w:rsidRPr="63259912">
        <w:t xml:space="preserve">: </w:t>
      </w:r>
      <w:r w:rsidR="0037166B" w:rsidRPr="63259912">
        <w:t>E</w:t>
      </w:r>
      <w:r w:rsidRPr="63259912">
        <w:t>nergetska obnova, pogotovo njezino usmjeravanje na nZEB standard, poticajna je za istraživanje i razvoj u području novih građevinskih materijala, naprednih tehničkih sustava u zgradama i sustava upravljanja i automatizacije temeljenih na informacijsko-komunikacijskim tehnologijama</w:t>
      </w:r>
      <w:r w:rsidR="00BA0DE2" w:rsidRPr="63259912">
        <w:rPr>
          <w:color w:val="000000" w:themeColor="text1"/>
        </w:rPr>
        <w:t>.</w:t>
      </w:r>
    </w:p>
    <w:p w14:paraId="0734561B" w14:textId="1D59C1BC" w:rsidR="00C550CA" w:rsidRPr="00B47BDA" w:rsidRDefault="009B0451" w:rsidP="00EE67E0">
      <w:pPr>
        <w:pStyle w:val="Mjeranaslov"/>
      </w:pPr>
      <w:r w:rsidRPr="00B47BDA">
        <w:t xml:space="preserve">ENU-4 </w:t>
      </w:r>
      <w:r w:rsidR="00961B1F" w:rsidRPr="00B47BDA">
        <w:t>Program energetske obnove obiteljskih kuća</w:t>
      </w:r>
    </w:p>
    <w:p w14:paraId="29F7FBA7" w14:textId="17692A3F" w:rsidR="00725360" w:rsidRPr="00B47BDA" w:rsidRDefault="00725360" w:rsidP="004623DD">
      <w:pPr>
        <w:pStyle w:val="NormalWeb"/>
      </w:pPr>
      <w:r w:rsidRPr="00B47BDA">
        <w:t xml:space="preserve">Financijska mjera; </w:t>
      </w:r>
      <w:r w:rsidR="00FF62C2">
        <w:t xml:space="preserve">razdoblje do </w:t>
      </w:r>
      <w:r w:rsidRPr="00B47BDA">
        <w:t>2030.</w:t>
      </w:r>
    </w:p>
    <w:p w14:paraId="2AF6634F" w14:textId="147FBECF" w:rsidR="00294E35" w:rsidRPr="00B47BDA" w:rsidRDefault="00725360" w:rsidP="004623DD">
      <w:pPr>
        <w:pStyle w:val="NormalWeb"/>
      </w:pPr>
      <w:r w:rsidRPr="63259912">
        <w:rPr>
          <w:b/>
          <w:bCs/>
          <w:color w:val="000000" w:themeColor="text1"/>
        </w:rPr>
        <w:t>Cilj i opis mjere:</w:t>
      </w:r>
      <w:r w:rsidRPr="63259912">
        <w:rPr>
          <w:color w:val="000000" w:themeColor="text1"/>
        </w:rPr>
        <w:t xml:space="preserve"> </w:t>
      </w:r>
      <w:r w:rsidRPr="63259912">
        <w:t>Program je potrebno koncipirati kao nastavak provedbe Programa energetske obnove obiteljskih kuća iz razdoblja od 2014. do 2020.</w:t>
      </w:r>
      <w:r w:rsidR="005141A1" w:rsidRPr="63259912">
        <w:t xml:space="preserve"> godine</w:t>
      </w:r>
      <w:r w:rsidRPr="63259912">
        <w:t xml:space="preserve">, uz sufinanciranje iz sredstava Fonda za zaštitu okoliša i energetsku učinkovitost. </w:t>
      </w:r>
      <w:r w:rsidR="00294E35" w:rsidRPr="63259912">
        <w:t xml:space="preserve">Potrebno je osigurati kontinuiranu provedbu obnove obiteljskih kuća obnovom javnih poziva za dodjelu bespovratnih sredstava svake godine u razdoblju 2021.-2030. </w:t>
      </w:r>
      <w:r w:rsidRPr="63259912">
        <w:t>Primarni izvori sufinanciranja trebaju biti prihodi od</w:t>
      </w:r>
      <w:r w:rsidR="009B27AA" w:rsidRPr="63259912">
        <w:t xml:space="preserve"> prodaje emisijskih jedinica iz EU ETS-a</w:t>
      </w:r>
      <w:r w:rsidRPr="63259912">
        <w:t xml:space="preserve"> te prihodi od naknada koju plaćaju opskrbljivači u sustavu obveze energetske učinkovitosti u slučaju neispunjenja svojih obveza. </w:t>
      </w:r>
      <w:r w:rsidR="00905ED0" w:rsidRPr="63259912">
        <w:t xml:space="preserve">Predviđa se </w:t>
      </w:r>
      <w:r w:rsidR="003B3F7C" w:rsidRPr="63259912">
        <w:t xml:space="preserve">nekoliko kategorija obnove </w:t>
      </w:r>
      <w:r w:rsidR="00000E9A" w:rsidRPr="63259912">
        <w:t>(</w:t>
      </w:r>
      <w:r w:rsidR="000020BF" w:rsidRPr="63259912">
        <w:t>provedba pojedinačnih mjera energetske obnove, integralna energetska obnova, dubinska obnova</w:t>
      </w:r>
      <w:r w:rsidR="006A6C65" w:rsidRPr="63259912">
        <w:t>,</w:t>
      </w:r>
      <w:r w:rsidR="000020BF" w:rsidRPr="63259912">
        <w:t xml:space="preserve"> sveobuhvatna obnova</w:t>
      </w:r>
      <w:r w:rsidR="00000E9A" w:rsidRPr="63259912">
        <w:t xml:space="preserve">) </w:t>
      </w:r>
      <w:r w:rsidR="00292C56" w:rsidRPr="63259912">
        <w:t>i</w:t>
      </w:r>
      <w:r w:rsidR="00A025BA" w:rsidRPr="63259912">
        <w:t xml:space="preserve"> </w:t>
      </w:r>
      <w:r w:rsidR="00DC52FD" w:rsidRPr="63259912">
        <w:t xml:space="preserve">tri modela provedbe </w:t>
      </w:r>
      <w:r w:rsidR="006A6C65" w:rsidRPr="63259912">
        <w:t xml:space="preserve">(obnova </w:t>
      </w:r>
      <w:r w:rsidR="006A6C65" w:rsidRPr="63259912">
        <w:lastRenderedPageBreak/>
        <w:t xml:space="preserve">obiteljskih kuća neoštećenih u potresu, obnova obiteljskih kuća oštećenih u potresu i obnova obiteljskih kuća građana u riziku od energetskog siromaštva). </w:t>
      </w:r>
      <w:r w:rsidRPr="63259912">
        <w:t xml:space="preserve">Programom </w:t>
      </w:r>
      <w:r w:rsidR="00201DD7" w:rsidRPr="63259912">
        <w:t xml:space="preserve">će </w:t>
      </w:r>
      <w:r w:rsidRPr="63259912">
        <w:t xml:space="preserve">se ostaviti mogućnost provedbe </w:t>
      </w:r>
      <w:r w:rsidR="00820D39" w:rsidRPr="63259912">
        <w:t>pojedinačnih mjera energetske obnove</w:t>
      </w:r>
      <w:r w:rsidRPr="63259912">
        <w:t xml:space="preserve">, ali uz uvažavanje redoslijeda provedbe mjera (npr. zamjenu sustava grijanja učinkovitijim sustavom koji koristi OIE treba omogućiti samo onim kućama koje imaju dobre toplinske karakteristike i ne trebaju zahvate na ovojnici). Snažnije je potrebno poticati obnovu do nZEB standarda. Provedba Programa mora biti praćena snažnim promotivnim aktivnostima. </w:t>
      </w:r>
      <w:r w:rsidR="00C43F0F" w:rsidRPr="63259912">
        <w:t xml:space="preserve">Ukupno bi u razdoblju do 2030. godine trebalo obnoviti preko 11,5 milijuna </w:t>
      </w:r>
      <w:r w:rsidR="00F83AB5" w:rsidRPr="63259912">
        <w:t>m</w:t>
      </w:r>
      <w:r w:rsidR="00F83AB5" w:rsidRPr="63259912">
        <w:rPr>
          <w:vertAlign w:val="superscript"/>
        </w:rPr>
        <w:t>2</w:t>
      </w:r>
      <w:r w:rsidR="00C43F0F" w:rsidRPr="63259912">
        <w:t>. To bi na godišnjoj razini značilo obnovu prosječno 13.500 kuća odnosno 1,35 milijuna m</w:t>
      </w:r>
      <w:r w:rsidR="00540A38" w:rsidRPr="63259912">
        <w:rPr>
          <w:vertAlign w:val="superscript"/>
        </w:rPr>
        <w:t>2</w:t>
      </w:r>
      <w:r w:rsidR="00C43F0F" w:rsidRPr="63259912">
        <w:t xml:space="preserve"> godišnje</w:t>
      </w:r>
      <w:r w:rsidR="00540A38" w:rsidRPr="63259912">
        <w:t xml:space="preserve">. </w:t>
      </w:r>
      <w:r w:rsidRPr="63259912">
        <w:t xml:space="preserve">Uštede su izračunate uz pretpostavku energetske obnove zgrada na razinu zadovoljavanja uvjeta iz Tehničkog propisa propisom o racionalnoj uporabi energije i toplinskoj zaštiti u zgradama, prema razdobljima izgradnje zgrada. Godišnje uštede iznose </w:t>
      </w:r>
      <w:r w:rsidR="00A056D8" w:rsidRPr="63259912">
        <w:t>0,447 PJ</w:t>
      </w:r>
      <w:r w:rsidRPr="63259912">
        <w:t xml:space="preserve">. </w:t>
      </w:r>
    </w:p>
    <w:p w14:paraId="18C3AE50" w14:textId="274A7876" w:rsidR="00294E35" w:rsidRPr="00B47BDA" w:rsidRDefault="00294E35" w:rsidP="004623DD">
      <w:pPr>
        <w:pStyle w:val="NormalWeb"/>
      </w:pPr>
      <w:r w:rsidRPr="00EE67E0">
        <w:rPr>
          <w:b/>
          <w:bCs/>
        </w:rPr>
        <w:t>Napomena:</w:t>
      </w:r>
      <w:r w:rsidRPr="00B47BDA">
        <w:t xml:space="preserve"> </w:t>
      </w:r>
      <w:r w:rsidR="009171EC">
        <w:t>C</w:t>
      </w:r>
      <w:r w:rsidRPr="00B47BDA">
        <w:t>iljevi, uvjeti i aktivnosti te navedene brojčane vrijednosti su okvirne, a detaljno će se utvrditi u samom Programu energetske obnove obiteljskih kuća za razdoblje do 2030.</w:t>
      </w:r>
    </w:p>
    <w:p w14:paraId="7260315B" w14:textId="77777777" w:rsidR="00725360" w:rsidRPr="00B47BDA" w:rsidRDefault="00725360" w:rsidP="004623DD">
      <w:r w:rsidRPr="00B47BDA">
        <w:rPr>
          <w:b/>
        </w:rPr>
        <w:t>Aktivnosti:</w:t>
      </w:r>
      <w:r w:rsidRPr="00B47BDA">
        <w:t xml:space="preserve"> U okviru mjere provest će se sljedeće aktivnosti: </w:t>
      </w:r>
    </w:p>
    <w:p w14:paraId="4A36E243" w14:textId="37DD4BAD" w:rsidR="0033024E" w:rsidRPr="00E54EB2" w:rsidRDefault="0033024E" w:rsidP="00E54EB2">
      <w:pPr>
        <w:pStyle w:val="ListParagraph"/>
        <w:numPr>
          <w:ilvl w:val="0"/>
          <w:numId w:val="41"/>
        </w:numPr>
        <w:rPr>
          <w:rFonts w:eastAsia="Calibri"/>
        </w:rPr>
      </w:pPr>
      <w:r w:rsidRPr="0033024E">
        <w:rPr>
          <w:rFonts w:eastAsia="Calibri"/>
        </w:rPr>
        <w:t>MPGI će u skladu sa zahtjevima Direktive (EU) 2024/1275 o energetskim svojstvima zgrada izraditi plan energetske obnove obiteljskih kuća, kojega usvaja Vlada</w:t>
      </w:r>
    </w:p>
    <w:p w14:paraId="3CD6A72D" w14:textId="26273C09" w:rsidR="00FD19DB" w:rsidRPr="00B47BDA" w:rsidRDefault="00725360" w:rsidP="00567A02">
      <w:pPr>
        <w:pStyle w:val="ListParagraph"/>
        <w:numPr>
          <w:ilvl w:val="0"/>
          <w:numId w:val="41"/>
        </w:numPr>
        <w:spacing w:after="60"/>
        <w:ind w:left="714" w:hanging="357"/>
        <w:rPr>
          <w:rFonts w:eastAsia="Calibri"/>
        </w:rPr>
      </w:pPr>
      <w:r w:rsidRPr="00B47BDA">
        <w:rPr>
          <w:rFonts w:eastAsia="Calibri"/>
        </w:rPr>
        <w:t xml:space="preserve">FZOEU se zadužuje za cjelokupnu provedbu ove mjere raspisivanjem godišnjih javnih poziva, čije kriterije razvija u suradnji s </w:t>
      </w:r>
      <w:r w:rsidR="009F1C94">
        <w:rPr>
          <w:rFonts w:eastAsia="Calibri"/>
        </w:rPr>
        <w:t>MPGI</w:t>
      </w:r>
      <w:r w:rsidRPr="00B47BDA">
        <w:rPr>
          <w:rFonts w:eastAsia="Calibri"/>
        </w:rPr>
        <w:t>.</w:t>
      </w:r>
    </w:p>
    <w:p w14:paraId="46B72AD8" w14:textId="6171DA00" w:rsidR="00725360" w:rsidRPr="00B47BDA" w:rsidRDefault="00725360" w:rsidP="004623DD">
      <w:pPr>
        <w:rPr>
          <w:rFonts w:eastAsia="Calibri"/>
          <w:color w:val="000000"/>
        </w:rPr>
      </w:pPr>
      <w:r w:rsidRPr="00B47BDA">
        <w:rPr>
          <w:b/>
        </w:rPr>
        <w:t xml:space="preserve">Sredstva potrebna za provedbu: </w:t>
      </w:r>
      <w:r w:rsidRPr="00B47BDA">
        <w:t xml:space="preserve">Procijenjeni investicijski trošak u razdoblju 2021.-2030. </w:t>
      </w:r>
      <w:r w:rsidR="7479EE91" w:rsidRPr="00B47BDA">
        <w:t xml:space="preserve">je </w:t>
      </w:r>
      <w:r w:rsidR="009A2144" w:rsidRPr="00B47BDA">
        <w:t>3,44</w:t>
      </w:r>
      <w:r w:rsidR="00D16E3A" w:rsidRPr="00B47BDA">
        <w:t xml:space="preserve"> milijardi </w:t>
      </w:r>
      <w:r w:rsidR="007F4E47">
        <w:t>EUR</w:t>
      </w:r>
      <w:r w:rsidR="00C07F4D" w:rsidRPr="00B47BDA">
        <w:t>.</w:t>
      </w:r>
      <w:r w:rsidR="00B711C1">
        <w:t xml:space="preserve"> FZOEU je osigurao 120 milijuna </w:t>
      </w:r>
      <w:r w:rsidR="007F4E47">
        <w:t>EUR</w:t>
      </w:r>
      <w:r w:rsidR="009A16E5" w:rsidRPr="009A16E5">
        <w:t xml:space="preserve"> </w:t>
      </w:r>
      <w:r w:rsidR="009A16E5">
        <w:t>temeljem Zaključka Vlade RH u vezi s energetskom obnovom obiteljskih kuća i višestambenih zgrada na području RH, od 19. prosinca 2023. godine</w:t>
      </w:r>
      <w:r w:rsidR="00CD19C0">
        <w:t xml:space="preserve">, </w:t>
      </w:r>
      <w:r w:rsidR="00304334">
        <w:t>za koje se predviđa da će se</w:t>
      </w:r>
      <w:r w:rsidR="00CD19C0">
        <w:t xml:space="preserve"> utrošiti </w:t>
      </w:r>
      <w:r w:rsidR="00302E3B">
        <w:t xml:space="preserve">do konca 2025. godine. </w:t>
      </w:r>
      <w:r w:rsidR="00607810">
        <w:t xml:space="preserve">Dodatno je </w:t>
      </w:r>
      <w:r w:rsidR="003B3448">
        <w:t xml:space="preserve">osigurano 25 milijuna </w:t>
      </w:r>
      <w:r w:rsidR="00AA5180">
        <w:t>EUR</w:t>
      </w:r>
      <w:r w:rsidR="003B3448">
        <w:t xml:space="preserve"> za obnovu OK građana u riziku od energetskog siromaštva. </w:t>
      </w:r>
    </w:p>
    <w:p w14:paraId="7BF37E6D" w14:textId="0AB952A6" w:rsidR="00725360" w:rsidRPr="00B47BDA" w:rsidRDefault="00725360" w:rsidP="004623DD">
      <w:pPr>
        <w:rPr>
          <w:rFonts w:eastAsia="Calibri"/>
          <w:color w:val="000000"/>
        </w:rPr>
      </w:pPr>
      <w:r w:rsidRPr="00B47BDA">
        <w:rPr>
          <w:b/>
        </w:rPr>
        <w:t xml:space="preserve">Izvori financiranja: </w:t>
      </w:r>
      <w:r w:rsidRPr="00B47BDA">
        <w:t xml:space="preserve">Potrebno je </w:t>
      </w:r>
      <w:r w:rsidR="003A7FC2">
        <w:t xml:space="preserve">kontinuirano </w:t>
      </w:r>
      <w:r w:rsidRPr="00B47BDA">
        <w:t>osigurati bespovratna sredstava iz FZOEU u iznosu do opravdanih troškova opreme i radova energetske obnove. Sredstva osigura</w:t>
      </w:r>
      <w:r w:rsidR="009A763A">
        <w:t>n</w:t>
      </w:r>
      <w:r w:rsidRPr="00B47BDA">
        <w:t xml:space="preserve">a iz </w:t>
      </w:r>
      <w:r w:rsidR="009B27AA" w:rsidRPr="002F1EEF">
        <w:t>prihod</w:t>
      </w:r>
      <w:r w:rsidR="009B27AA">
        <w:t>a</w:t>
      </w:r>
      <w:r w:rsidR="009B27AA" w:rsidRPr="002F1EEF">
        <w:t xml:space="preserve"> od prodaje emisijskih jedinica iz EU ETS-a</w:t>
      </w:r>
      <w:r w:rsidR="009B27AA" w:rsidRPr="00B47BDA" w:rsidDel="009B27AA">
        <w:t xml:space="preserve"> </w:t>
      </w:r>
      <w:r w:rsidRPr="00B47BDA">
        <w:t xml:space="preserve">te prihoda iz sustava obveza energetske </w:t>
      </w:r>
      <w:r w:rsidR="47847CE6" w:rsidRPr="00B47BDA">
        <w:t>MPGI</w:t>
      </w:r>
      <w:r w:rsidRPr="00B47BDA">
        <w:t xml:space="preserve"> kao i drugih izvora prihoda FZOEU-a.</w:t>
      </w:r>
    </w:p>
    <w:p w14:paraId="47461342" w14:textId="6242DFE3" w:rsidR="00725360" w:rsidRPr="00B47BDA" w:rsidRDefault="00725360" w:rsidP="004623DD">
      <w:pPr>
        <w:rPr>
          <w:color w:val="000000"/>
        </w:rPr>
      </w:pPr>
      <w:r w:rsidRPr="00B47BDA">
        <w:rPr>
          <w:b/>
        </w:rPr>
        <w:t>Izvršno tijelo:</w:t>
      </w:r>
      <w:r w:rsidRPr="00B47BDA">
        <w:t xml:space="preserve"> </w:t>
      </w:r>
      <w:r w:rsidR="009F1C94">
        <w:rPr>
          <w:rFonts w:eastAsia="Calibri"/>
        </w:rPr>
        <w:t>MPGI</w:t>
      </w:r>
      <w:r w:rsidR="00745500" w:rsidRPr="00B47BDA">
        <w:t xml:space="preserve"> </w:t>
      </w:r>
      <w:r w:rsidRPr="00B47BDA">
        <w:t>– izrada Programa, definiranje kriterija, operativno praćenje provedbe Programa; FZOEU – cjelokupna provedba Programa putem godišnjih javnih poziva</w:t>
      </w:r>
      <w:r w:rsidR="00BA0DE2" w:rsidRPr="00B47BDA">
        <w:rPr>
          <w:color w:val="000000" w:themeColor="text1"/>
        </w:rPr>
        <w:t>.</w:t>
      </w:r>
    </w:p>
    <w:p w14:paraId="665DA7F6" w14:textId="50519837" w:rsidR="00725360" w:rsidRPr="00B47BDA" w:rsidRDefault="00725360" w:rsidP="004623DD">
      <w:pPr>
        <w:rPr>
          <w:rFonts w:eastAsia="Calibri"/>
          <w:color w:val="000000"/>
        </w:rPr>
      </w:pPr>
      <w:r w:rsidRPr="00EE67E0">
        <w:rPr>
          <w:b/>
          <w:bCs/>
        </w:rPr>
        <w:t>Tijela za praćenje:</w:t>
      </w:r>
      <w:r w:rsidRPr="00B47BDA">
        <w:t xml:space="preserve"> </w:t>
      </w:r>
      <w:r w:rsidR="47847CE6" w:rsidRPr="00B47BDA">
        <w:t>MINGO</w:t>
      </w:r>
      <w:r w:rsidRPr="00B47BDA">
        <w:t>-NKT</w:t>
      </w:r>
      <w:r w:rsidR="00525972">
        <w:t>.</w:t>
      </w:r>
    </w:p>
    <w:p w14:paraId="3201722B" w14:textId="71657088" w:rsidR="00725360" w:rsidRPr="00B47BDA" w:rsidRDefault="00725360" w:rsidP="63259912">
      <w:pPr>
        <w:rPr>
          <w:color w:val="000000"/>
        </w:rPr>
      </w:pPr>
      <w:r w:rsidRPr="63259912">
        <w:rPr>
          <w:b/>
          <w:bCs/>
        </w:rPr>
        <w:t xml:space="preserve">Učinak: </w:t>
      </w:r>
      <w:r w:rsidRPr="63259912">
        <w:t>Smanjenje toplinskih potreba i potrošnje energije u obiteljskim kućama i povećanje korištenja OIE te posljedično smanjenje emisija CO</w:t>
      </w:r>
      <w:r w:rsidRPr="63259912">
        <w:rPr>
          <w:vertAlign w:val="subscript"/>
        </w:rPr>
        <w:t>2</w:t>
      </w:r>
      <w:r w:rsidRPr="63259912">
        <w:t>; procijenjene uštede u</w:t>
      </w:r>
      <w:r w:rsidR="004B591E" w:rsidRPr="63259912">
        <w:t xml:space="preserve"> neposrednoj potrošnji u</w:t>
      </w:r>
      <w:r w:rsidRPr="63259912">
        <w:t xml:space="preserve"> 2030.</w:t>
      </w:r>
      <w:r w:rsidRPr="63259912">
        <w:rPr>
          <w:rFonts w:eastAsia="Calibri"/>
        </w:rPr>
        <w:t xml:space="preserve"> </w:t>
      </w:r>
      <w:r w:rsidR="38B332F6" w:rsidRPr="63259912">
        <w:rPr>
          <w:rFonts w:eastAsia="Calibri"/>
        </w:rPr>
        <w:t>iznose</w:t>
      </w:r>
      <w:r w:rsidR="002F49DB" w:rsidRPr="63259912">
        <w:rPr>
          <w:rFonts w:eastAsia="Calibri"/>
        </w:rPr>
        <w:t xml:space="preserve"> </w:t>
      </w:r>
      <w:r w:rsidR="00727AF2" w:rsidRPr="63259912">
        <w:t>4,47 PJ (</w:t>
      </w:r>
      <w:r w:rsidR="00EF635B" w:rsidRPr="63259912">
        <w:t>106,</w:t>
      </w:r>
      <w:r w:rsidR="002F3591" w:rsidRPr="63259912">
        <w:t>78</w:t>
      </w:r>
      <w:r w:rsidR="00047351" w:rsidRPr="63259912">
        <w:t xml:space="preserve"> ktoe</w:t>
      </w:r>
      <w:r w:rsidR="003D021E" w:rsidRPr="63259912">
        <w:t xml:space="preserve">; </w:t>
      </w:r>
      <w:r w:rsidR="0093221B" w:rsidRPr="63259912">
        <w:t>1.241,80 GWh</w:t>
      </w:r>
      <w:r w:rsidR="00047351" w:rsidRPr="63259912">
        <w:t>)</w:t>
      </w:r>
      <w:r w:rsidRPr="63259912">
        <w:t>; procijenjeno smanjenje emisija CO</w:t>
      </w:r>
      <w:r w:rsidRPr="63259912">
        <w:rPr>
          <w:vertAlign w:val="subscript"/>
        </w:rPr>
        <w:t>2</w:t>
      </w:r>
      <w:r w:rsidRPr="63259912">
        <w:t xml:space="preserve"> u 2030.</w:t>
      </w:r>
      <w:r w:rsidRPr="63259912">
        <w:rPr>
          <w:vertAlign w:val="subscript"/>
        </w:rPr>
        <w:t xml:space="preserve"> </w:t>
      </w:r>
      <w:r w:rsidR="00E42589" w:rsidRPr="63259912">
        <w:t>299</w:t>
      </w:r>
      <w:r w:rsidR="00B10CAF" w:rsidRPr="63259912">
        <w:t xml:space="preserve">,27 </w:t>
      </w:r>
      <w:r w:rsidR="003A7D33" w:rsidRPr="63259912">
        <w:t>ktCO</w:t>
      </w:r>
      <w:r w:rsidR="003A7D33" w:rsidRPr="63259912">
        <w:rPr>
          <w:vertAlign w:val="subscript"/>
        </w:rPr>
        <w:t>2</w:t>
      </w:r>
      <w:r w:rsidRPr="63259912">
        <w:t xml:space="preserve">; kumulativne uštede energije u razdoblju 2021.-2030. </w:t>
      </w:r>
      <w:r w:rsidR="005618FD" w:rsidRPr="63259912">
        <w:t>20,26 PJ (</w:t>
      </w:r>
      <w:r w:rsidR="00055F95" w:rsidRPr="63259912">
        <w:t>483</w:t>
      </w:r>
      <w:r w:rsidR="00CB19ED" w:rsidRPr="63259912">
        <w:t>,</w:t>
      </w:r>
      <w:r w:rsidR="00F8684A" w:rsidRPr="63259912">
        <w:t>85</w:t>
      </w:r>
      <w:r w:rsidR="00CB19ED" w:rsidRPr="63259912">
        <w:t xml:space="preserve"> ktoe;</w:t>
      </w:r>
      <w:r w:rsidR="00312049" w:rsidRPr="63259912">
        <w:t xml:space="preserve"> 5.627,2 GWh</w:t>
      </w:r>
      <w:r w:rsidR="00CB19ED" w:rsidRPr="63259912">
        <w:t>)</w:t>
      </w:r>
      <w:r w:rsidRPr="63259912">
        <w:t>; kumulativno smanjenje emisija CO</w:t>
      </w:r>
      <w:r w:rsidRPr="63259912">
        <w:rPr>
          <w:vertAlign w:val="subscript"/>
        </w:rPr>
        <w:t>2</w:t>
      </w:r>
      <w:r w:rsidRPr="63259912">
        <w:t xml:space="preserve"> u razdoblju 2021.-2030.</w:t>
      </w:r>
      <w:r w:rsidRPr="63259912">
        <w:rPr>
          <w:vertAlign w:val="subscript"/>
        </w:rPr>
        <w:t xml:space="preserve"> </w:t>
      </w:r>
      <w:r w:rsidR="001F77CF" w:rsidRPr="63259912">
        <w:t>1.356,16 ktCO</w:t>
      </w:r>
      <w:r w:rsidR="001F77CF" w:rsidRPr="63259912">
        <w:rPr>
          <w:vertAlign w:val="subscript"/>
        </w:rPr>
        <w:t>2</w:t>
      </w:r>
      <w:r w:rsidR="001F77CF" w:rsidRPr="63259912">
        <w:t>.</w:t>
      </w:r>
    </w:p>
    <w:p w14:paraId="7C85A160" w14:textId="6F0B5459" w:rsidR="00725360" w:rsidRPr="00B47BDA" w:rsidRDefault="00725360" w:rsidP="63259912">
      <w:pPr>
        <w:rPr>
          <w:rFonts w:eastAsia="Calibri"/>
          <w:color w:val="000000"/>
        </w:rPr>
      </w:pPr>
      <w:r w:rsidRPr="63259912">
        <w:rPr>
          <w:b/>
          <w:bCs/>
        </w:rPr>
        <w:t>Metoda praćenja:</w:t>
      </w:r>
      <w:r w:rsidRPr="63259912">
        <w:t xml:space="preserve"> Sustav za praćenje, mjerenje i verifikaciju ušteda energije (SMiV), metodom odozdo-prema-gore za integralnu obnovu zgrada ili drugom odgovarajućom metodom, ako se radi o provedbi individualnih mjera</w:t>
      </w:r>
      <w:r w:rsidR="2FA358CB" w:rsidRPr="63259912">
        <w:t>.</w:t>
      </w:r>
    </w:p>
    <w:p w14:paraId="34625D0F" w14:textId="58593D8A" w:rsidR="00813300" w:rsidRPr="00B47BDA" w:rsidRDefault="00725360" w:rsidP="63259912">
      <w:pPr>
        <w:rPr>
          <w:color w:val="000000"/>
        </w:rPr>
      </w:pPr>
      <w:r w:rsidRPr="63259912">
        <w:rPr>
          <w:b/>
          <w:bCs/>
        </w:rPr>
        <w:lastRenderedPageBreak/>
        <w:t xml:space="preserve">Povezanost s drugim dimenzijama: </w:t>
      </w:r>
      <w:r w:rsidR="00551E55" w:rsidRPr="63259912">
        <w:t>I</w:t>
      </w:r>
      <w:r w:rsidRPr="63259912">
        <w:t>zravna povezanost s dimenzijom dekarbonizacije, jer se kroz energetsku obnovu potiče i korištenje OIE u zgradama</w:t>
      </w:r>
      <w:r w:rsidR="2FA358CB" w:rsidRPr="63259912">
        <w:t>.</w:t>
      </w:r>
    </w:p>
    <w:p w14:paraId="4FB77F98" w14:textId="35C1885E" w:rsidR="00354951" w:rsidRDefault="00725360" w:rsidP="004623DD">
      <w:r w:rsidRPr="63259912">
        <w:rPr>
          <w:b/>
          <w:bCs/>
        </w:rPr>
        <w:t>Istraživanje i razvoj</w:t>
      </w:r>
      <w:r w:rsidRPr="63259912">
        <w:t xml:space="preserve">: </w:t>
      </w:r>
      <w:r w:rsidR="00551E55" w:rsidRPr="63259912">
        <w:t>E</w:t>
      </w:r>
      <w:r w:rsidRPr="63259912">
        <w:t>nergetska obnova, pogotovo njezino usmjeravanje na nZEB standard, poticajna je za istraživanje i razvoj u području novih građevinskih materijala, naprednih tehničkih sustava u zgradama i sustava upravljanja i automatizacije temeljenih na informacijsko-komunikacijskim tehnologijama</w:t>
      </w:r>
      <w:r w:rsidR="2FA358CB" w:rsidRPr="63259912">
        <w:t>.</w:t>
      </w:r>
    </w:p>
    <w:p w14:paraId="3176E0EE" w14:textId="5B4D44E7" w:rsidR="00961B1F" w:rsidRPr="00B47BDA" w:rsidRDefault="00DA25AD" w:rsidP="00EE67E0">
      <w:pPr>
        <w:pStyle w:val="Mjeranaslov"/>
      </w:pPr>
      <w:r w:rsidRPr="00B47BDA">
        <w:t xml:space="preserve">ENU-5 </w:t>
      </w:r>
      <w:r w:rsidR="00961B1F" w:rsidRPr="00B47BDA">
        <w:t xml:space="preserve">Program energetske obnove zgrada javnog sektora </w:t>
      </w:r>
    </w:p>
    <w:p w14:paraId="3D5C1EB5" w14:textId="5B9AF549" w:rsidR="00D3659E" w:rsidRPr="00B47BDA" w:rsidRDefault="00D3659E" w:rsidP="004623DD">
      <w:pPr>
        <w:pStyle w:val="NormalWeb"/>
      </w:pPr>
      <w:r w:rsidRPr="00B47BDA">
        <w:t xml:space="preserve">Financijska mjera; </w:t>
      </w:r>
      <w:r w:rsidR="00C87644">
        <w:t xml:space="preserve">razdoblje do </w:t>
      </w:r>
      <w:r w:rsidRPr="00B47BDA">
        <w:t>2030.</w:t>
      </w:r>
    </w:p>
    <w:p w14:paraId="3764FAE2" w14:textId="2C333E45" w:rsidR="0023001E" w:rsidRPr="00B47BDA" w:rsidRDefault="00D3659E" w:rsidP="004623DD">
      <w:pPr>
        <w:pStyle w:val="NormalWeb"/>
      </w:pPr>
      <w:r w:rsidRPr="63259912">
        <w:rPr>
          <w:b/>
          <w:bCs/>
          <w:color w:val="000000" w:themeColor="text1"/>
        </w:rPr>
        <w:t>Cilj i opis mjere:</w:t>
      </w:r>
      <w:r w:rsidRPr="63259912">
        <w:rPr>
          <w:color w:val="000000" w:themeColor="text1"/>
        </w:rPr>
        <w:t xml:space="preserve"> </w:t>
      </w:r>
      <w:r w:rsidRPr="63259912">
        <w:t>Mjera predstavlja nastavak provedbe Programa energetske obnove zgrada javnog sektora iz razdoblja 2016. do 2020.</w:t>
      </w:r>
      <w:r w:rsidR="004613CF" w:rsidRPr="63259912">
        <w:t xml:space="preserve"> Odlukom Vlade RH usvojen je Program energetske obnove </w:t>
      </w:r>
      <w:r w:rsidR="003F7FEF" w:rsidRPr="63259912">
        <w:t>javnog sektora za razdoblje do 2030. godine (</w:t>
      </w:r>
      <w:r w:rsidR="004975F6" w:rsidRPr="63259912">
        <w:t>„</w:t>
      </w:r>
      <w:r w:rsidR="00071A4F" w:rsidRPr="63259912">
        <w:t xml:space="preserve">Narodne </w:t>
      </w:r>
      <w:r w:rsidR="00A97AE7" w:rsidRPr="63259912">
        <w:t>novine</w:t>
      </w:r>
      <w:r w:rsidR="004975F6" w:rsidRPr="63259912">
        <w:t>“</w:t>
      </w:r>
      <w:r w:rsidR="00071A4F" w:rsidRPr="63259912">
        <w:t xml:space="preserve">, </w:t>
      </w:r>
      <w:r w:rsidR="004975F6" w:rsidRPr="63259912">
        <w:t xml:space="preserve">br. </w:t>
      </w:r>
      <w:r w:rsidR="003F7FEF" w:rsidRPr="63259912">
        <w:t>41</w:t>
      </w:r>
      <w:r w:rsidR="005B41DA" w:rsidRPr="63259912">
        <w:t>/22</w:t>
      </w:r>
      <w:r w:rsidR="004975F6" w:rsidRPr="63259912">
        <w:t>.</w:t>
      </w:r>
      <w:r w:rsidR="003F7FEF" w:rsidRPr="63259912">
        <w:t>).</w:t>
      </w:r>
      <w:r w:rsidRPr="63259912">
        <w:t xml:space="preserve"> </w:t>
      </w:r>
      <w:r w:rsidR="005C670D" w:rsidRPr="63259912">
        <w:t xml:space="preserve">Sredstva </w:t>
      </w:r>
      <w:r w:rsidR="00D22E56" w:rsidRPr="63259912">
        <w:t>su za razdoblje do kraja 2026. godine osigurana iz NPOO kao i iz PKK za razdoblje</w:t>
      </w:r>
      <w:r w:rsidRPr="63259912">
        <w:t xml:space="preserve"> 2021. -2027. (s provedbom do 2030)</w:t>
      </w:r>
      <w:r w:rsidR="004F2C79" w:rsidRPr="63259912">
        <w:t xml:space="preserve">, </w:t>
      </w:r>
      <w:r w:rsidRPr="63259912">
        <w:t xml:space="preserve">tako da se osigura i aktiviranje privatnog kapitala i ESCO tržišta, poglavito za zgrade koje su prikladne za ovakve modele financiranja (zgrade s kontinuiranim radom, kao što su bolnice, kaznionice, domovi za smještaj starijih i sl.) i koje pripadaju kategoriji zgrada središnje države, za koje postoji obvezujući cilj obnove definiran u Direktivi 2012/27/EU o energetskoj učinkovitosti. Tržišne modele potrebno je kombinirati s bespovratnim sredstvima s ciljem postizanja nZEB standarda. Za zgrade koje nisu prikladne za tržišne modele, potrebno je osigurati bespovratna sredstva. Obnovu zgrada javnog sektora nužno je usmjeriti prema nZEB </w:t>
      </w:r>
      <w:r w:rsidR="00F75F3C" w:rsidRPr="63259912">
        <w:t xml:space="preserve">i ZEB </w:t>
      </w:r>
      <w:r w:rsidRPr="63259912">
        <w:t>standardu svugdje gdje je to tehnički izvedivo. Predviđa se obnavljati oko 350.000 m</w:t>
      </w:r>
      <w:r w:rsidRPr="63259912">
        <w:rPr>
          <w:vertAlign w:val="superscript"/>
        </w:rPr>
        <w:t>2</w:t>
      </w:r>
      <w:r w:rsidRPr="63259912">
        <w:t xml:space="preserve"> javnih zgrada godišnje. Uštede su izračunate uz pretpostavku energetske obnove zgrada na razinu zadovoljavanja uvjeta iz Tehničkog propisa propisom o racionalnoj uporabi energije i toplinskoj zaštiti u zgradama, prema razdobljima izgradnje zgrada. Godišnje uštede iznose 0,169 PJ. </w:t>
      </w:r>
    </w:p>
    <w:p w14:paraId="0206388E" w14:textId="3C59FC6D" w:rsidR="0023001E" w:rsidRPr="00B47BDA" w:rsidRDefault="0023001E" w:rsidP="004623DD">
      <w:pPr>
        <w:pStyle w:val="NormalWeb"/>
      </w:pPr>
      <w:r w:rsidRPr="00EE67E0">
        <w:rPr>
          <w:b/>
          <w:bCs/>
        </w:rPr>
        <w:t xml:space="preserve">Napomena: </w:t>
      </w:r>
      <w:r w:rsidR="00D82569">
        <w:t>C</w:t>
      </w:r>
      <w:r w:rsidRPr="00B47BDA">
        <w:t xml:space="preserve">iljevi, uvjeti i aktivnosti te navedene brojčane vrijednosti su okvirne, a detaljno se </w:t>
      </w:r>
      <w:r w:rsidR="007B42BE" w:rsidRPr="00B47BDA">
        <w:t>utvrđuju</w:t>
      </w:r>
      <w:r w:rsidRPr="00B47BDA">
        <w:t xml:space="preserve"> u samom Programu energetske obnove zgrada javnog sektora za razdoblje do 2030.</w:t>
      </w:r>
    </w:p>
    <w:p w14:paraId="5D6EE1C1" w14:textId="77777777" w:rsidR="00D3659E" w:rsidRPr="00B47BDA" w:rsidRDefault="00D3659E" w:rsidP="004623DD">
      <w:r w:rsidRPr="00B47BDA">
        <w:rPr>
          <w:b/>
        </w:rPr>
        <w:t>Aktivnosti:</w:t>
      </w:r>
      <w:r w:rsidRPr="00B47BDA">
        <w:t xml:space="preserve"> U okviru mjere provest će se sljedeće aktivnosti: </w:t>
      </w:r>
    </w:p>
    <w:p w14:paraId="449C52BE" w14:textId="1CE867AF" w:rsidR="00D3659E" w:rsidRPr="00B47BDA" w:rsidRDefault="007632F8" w:rsidP="00BB488E">
      <w:pPr>
        <w:pStyle w:val="ListParagraph"/>
        <w:numPr>
          <w:ilvl w:val="0"/>
          <w:numId w:val="41"/>
        </w:numPr>
        <w:spacing w:after="60"/>
        <w:ind w:left="714" w:hanging="357"/>
        <w:rPr>
          <w:rFonts w:eastAsia="Calibri"/>
        </w:rPr>
      </w:pPr>
      <w:r w:rsidRPr="00B47BDA">
        <w:rPr>
          <w:rFonts w:eastAsia="Calibri"/>
        </w:rPr>
        <w:t>P</w:t>
      </w:r>
      <w:r w:rsidR="00D3659E" w:rsidRPr="00B47BDA">
        <w:rPr>
          <w:rFonts w:eastAsia="Calibri"/>
        </w:rPr>
        <w:t xml:space="preserve">rovedba </w:t>
      </w:r>
      <w:r w:rsidRPr="00B47BDA">
        <w:rPr>
          <w:rFonts w:eastAsia="Calibri"/>
        </w:rPr>
        <w:t>na način utvrđen Programom</w:t>
      </w:r>
      <w:r w:rsidR="00525972">
        <w:rPr>
          <w:rFonts w:eastAsia="Calibri"/>
        </w:rPr>
        <w:t>,</w:t>
      </w:r>
    </w:p>
    <w:p w14:paraId="758CCBD3" w14:textId="60322D64" w:rsidR="00D3659E" w:rsidRPr="00B47BDA" w:rsidRDefault="00D3659E" w:rsidP="00BB488E">
      <w:pPr>
        <w:pStyle w:val="ListParagraph"/>
        <w:numPr>
          <w:ilvl w:val="0"/>
          <w:numId w:val="42"/>
        </w:numPr>
        <w:spacing w:after="60"/>
        <w:ind w:left="714" w:hanging="357"/>
        <w:rPr>
          <w:rFonts w:eastAsia="Calibri"/>
        </w:rPr>
      </w:pPr>
      <w:r w:rsidRPr="00B47BDA">
        <w:rPr>
          <w:rFonts w:eastAsia="Calibri"/>
        </w:rPr>
        <w:t xml:space="preserve">Za energetsku obnovu zgrada središnje države kao i drugih zgrada javnog sektora, gdje je to izvedivo primjenjivat će se model energetske usluge (ESCO), za čiju je provedbu zadužen APN, a sufinanciranje </w:t>
      </w:r>
      <w:r w:rsidR="00D76DA5" w:rsidRPr="00B47BDA">
        <w:rPr>
          <w:rFonts w:eastAsia="Calibri"/>
        </w:rPr>
        <w:t xml:space="preserve">se </w:t>
      </w:r>
      <w:r w:rsidRPr="00B47BDA">
        <w:rPr>
          <w:rFonts w:eastAsia="Calibri"/>
        </w:rPr>
        <w:t xml:space="preserve">osigurava </w:t>
      </w:r>
      <w:r w:rsidR="00D76DA5" w:rsidRPr="00B47BDA">
        <w:rPr>
          <w:rFonts w:eastAsia="Calibri"/>
        </w:rPr>
        <w:t xml:space="preserve">iz </w:t>
      </w:r>
      <w:r w:rsidR="003B6AB4">
        <w:rPr>
          <w:rFonts w:eastAsia="Calibri"/>
        </w:rPr>
        <w:t>NPOO</w:t>
      </w:r>
      <w:r w:rsidR="001E3C69">
        <w:rPr>
          <w:rFonts w:eastAsia="Calibri"/>
        </w:rPr>
        <w:t xml:space="preserve">, PKK i </w:t>
      </w:r>
      <w:r w:rsidRPr="00B47BDA">
        <w:rPr>
          <w:rFonts w:eastAsia="Calibri"/>
        </w:rPr>
        <w:t>FZOEU– ovaj segment Programa je nužan kako bi se mobilizirao privatni kapital, razvilo tržište energetskih usluga i ostvarili ciljevi bez dodatnog zaduživanja javnog sektora.</w:t>
      </w:r>
    </w:p>
    <w:p w14:paraId="4BABF308" w14:textId="64076100" w:rsidR="00D3659E" w:rsidRPr="00B47BDA" w:rsidRDefault="00D3659E" w:rsidP="004623DD">
      <w:pPr>
        <w:rPr>
          <w:rFonts w:eastAsia="Calibri"/>
          <w:color w:val="000000"/>
        </w:rPr>
      </w:pPr>
      <w:r w:rsidRPr="00B47BDA">
        <w:rPr>
          <w:b/>
        </w:rPr>
        <w:t xml:space="preserve">Sredstva potrebna za provedbu: </w:t>
      </w:r>
      <w:r w:rsidRPr="00B47BDA">
        <w:t xml:space="preserve">Procijenjeni investicijski trošak u razdoblju 2021.-2030. je </w:t>
      </w:r>
      <w:r w:rsidR="007B2BDE" w:rsidRPr="00B47BDA">
        <w:t>1,2 milijarde EUR</w:t>
      </w:r>
      <w:r w:rsidRPr="00B47BDA">
        <w:t>.</w:t>
      </w:r>
    </w:p>
    <w:p w14:paraId="1E974A62" w14:textId="359FB7A1" w:rsidR="00D3659E" w:rsidRPr="00B47BDA" w:rsidRDefault="00D3659E" w:rsidP="004623DD">
      <w:pPr>
        <w:rPr>
          <w:rFonts w:eastAsia="Calibri"/>
          <w:color w:val="000000"/>
        </w:rPr>
      </w:pPr>
      <w:r w:rsidRPr="00B47BDA">
        <w:rPr>
          <w:b/>
        </w:rPr>
        <w:t xml:space="preserve">Izvori financiranja: </w:t>
      </w:r>
      <w:r w:rsidR="5A2D6BE2" w:rsidRPr="00B47BDA">
        <w:t>Bespovratna sredstva osiguravaju se</w:t>
      </w:r>
      <w:r w:rsidRPr="00B47BDA">
        <w:t xml:space="preserve"> iz </w:t>
      </w:r>
      <w:r w:rsidR="5A2D6BE2" w:rsidRPr="00B47BDA">
        <w:t>NPOO</w:t>
      </w:r>
      <w:r w:rsidRPr="00B47BDA">
        <w:t xml:space="preserve"> i </w:t>
      </w:r>
      <w:r w:rsidR="00A11C19">
        <w:t>EU</w:t>
      </w:r>
      <w:r w:rsidR="00A11C19" w:rsidRPr="00B47BDA">
        <w:t xml:space="preserve"> </w:t>
      </w:r>
      <w:r w:rsidR="5A2D6BE2" w:rsidRPr="00B47BDA">
        <w:t>fondova</w:t>
      </w:r>
      <w:r w:rsidRPr="00B47BDA">
        <w:t xml:space="preserve"> uz maksimalno sufinanciranje energetskih pregleda, energetskih certifikata, projektne dokumentacije i tehničke pomoći u pripremi i provedbi projekta. </w:t>
      </w:r>
      <w:r w:rsidR="00D67B24">
        <w:t>P</w:t>
      </w:r>
      <w:r w:rsidR="00D67B24" w:rsidRPr="00D67B24">
        <w:t xml:space="preserve">rihodi od prodaje emisijskih jedinica iz EU </w:t>
      </w:r>
      <w:r w:rsidR="00D67B24" w:rsidRPr="00D67B24">
        <w:lastRenderedPageBreak/>
        <w:t>ETS i prihodi iz sustava obveze energetske učinkovitosti</w:t>
      </w:r>
      <w:r w:rsidRPr="00B47BDA">
        <w:t>.</w:t>
      </w:r>
      <w:r w:rsidR="007006E5">
        <w:t xml:space="preserve"> </w:t>
      </w:r>
      <w:r w:rsidR="009A1966">
        <w:t xml:space="preserve">Iz NPOO-a je </w:t>
      </w:r>
      <w:r w:rsidR="00487062">
        <w:t xml:space="preserve">osigurano </w:t>
      </w:r>
      <w:r w:rsidR="00C00C4A">
        <w:t xml:space="preserve">100 milijuna </w:t>
      </w:r>
      <w:r w:rsidR="00262EC2">
        <w:t>EUR</w:t>
      </w:r>
      <w:r w:rsidR="00C00C4A">
        <w:t xml:space="preserve"> za bespovratna sredst</w:t>
      </w:r>
      <w:r w:rsidR="00133687">
        <w:t xml:space="preserve">va te </w:t>
      </w:r>
      <w:r w:rsidR="0069049E">
        <w:t xml:space="preserve">66 milijuna </w:t>
      </w:r>
      <w:r w:rsidR="0091536B">
        <w:t>EUR</w:t>
      </w:r>
      <w:r w:rsidR="0069049E">
        <w:t xml:space="preserve"> za ESCO model. Iz PKK je osigurano </w:t>
      </w:r>
      <w:r w:rsidR="00F00549">
        <w:t xml:space="preserve">185 milijuna </w:t>
      </w:r>
      <w:r w:rsidR="00262EC2">
        <w:t>EUR</w:t>
      </w:r>
      <w:r w:rsidR="00F00549">
        <w:t xml:space="preserve"> bespovratnih sredstava.</w:t>
      </w:r>
    </w:p>
    <w:p w14:paraId="2D0D483A" w14:textId="6F0B5459" w:rsidR="00D3659E" w:rsidRPr="00B47BDA" w:rsidRDefault="0AD3E8C5" w:rsidP="004623DD">
      <w:pPr>
        <w:rPr>
          <w:color w:val="000000"/>
        </w:rPr>
      </w:pPr>
      <w:r w:rsidRPr="00B47BDA">
        <w:rPr>
          <w:b/>
        </w:rPr>
        <w:t>Izvršno tijelo:</w:t>
      </w:r>
      <w:r w:rsidRPr="00B47BDA">
        <w:t xml:space="preserve"> </w:t>
      </w:r>
      <w:r w:rsidR="5A2D6BE2" w:rsidRPr="00B47BDA">
        <w:t>MPGI; ostala tijela u sustavu korištenja Europskih fondova;</w:t>
      </w:r>
    </w:p>
    <w:p w14:paraId="71989C81" w14:textId="4B5475ED" w:rsidR="00D3659E" w:rsidRPr="00B47BDA" w:rsidRDefault="00D3659E" w:rsidP="004623DD">
      <w:pPr>
        <w:rPr>
          <w:rFonts w:eastAsia="Calibri"/>
          <w:color w:val="000000"/>
        </w:rPr>
      </w:pPr>
      <w:r w:rsidRPr="00EE67E0">
        <w:rPr>
          <w:b/>
          <w:bCs/>
        </w:rPr>
        <w:t>Tijela za praćenje:</w:t>
      </w:r>
      <w:r w:rsidRPr="00B47BDA">
        <w:t xml:space="preserve"> </w:t>
      </w:r>
      <w:r w:rsidR="5A2D6BE2" w:rsidRPr="00B47BDA">
        <w:t>MINGO</w:t>
      </w:r>
      <w:r w:rsidRPr="00B47BDA">
        <w:t>-NKT</w:t>
      </w:r>
    </w:p>
    <w:p w14:paraId="06B8ECFD" w14:textId="6F0B5459" w:rsidR="00D3659E" w:rsidRPr="00B47BDA" w:rsidRDefault="00D3659E" w:rsidP="63259912">
      <w:pPr>
        <w:rPr>
          <w:color w:val="000000"/>
          <w:vertAlign w:val="subscript"/>
        </w:rPr>
      </w:pPr>
      <w:r w:rsidRPr="63259912">
        <w:rPr>
          <w:b/>
          <w:bCs/>
        </w:rPr>
        <w:t xml:space="preserve">Učinak: </w:t>
      </w:r>
      <w:r w:rsidRPr="63259912">
        <w:t>Smanjenje toplinskih potreba i potrošnje energije u zgradama javnog sektora i povećanje korištenja OIE te posljedično smanjenje emisija CO</w:t>
      </w:r>
      <w:r w:rsidRPr="63259912">
        <w:rPr>
          <w:vertAlign w:val="subscript"/>
        </w:rPr>
        <w:t>2</w:t>
      </w:r>
      <w:r w:rsidRPr="63259912">
        <w:t>; procijenjene uštede u 2030.</w:t>
      </w:r>
      <w:r w:rsidRPr="63259912">
        <w:rPr>
          <w:rFonts w:eastAsia="Calibri"/>
        </w:rPr>
        <w:t xml:space="preserve"> </w:t>
      </w:r>
      <w:r w:rsidRPr="63259912">
        <w:t>1,69 PJ (40,40 ktoe); procijenjeno smanjenje emisija CO</w:t>
      </w:r>
      <w:r w:rsidRPr="63259912">
        <w:rPr>
          <w:vertAlign w:val="subscript"/>
        </w:rPr>
        <w:t>2</w:t>
      </w:r>
      <w:r w:rsidRPr="63259912">
        <w:t xml:space="preserve"> u 2030. 46,52 ktCO</w:t>
      </w:r>
      <w:r w:rsidRPr="63259912">
        <w:rPr>
          <w:vertAlign w:val="subscript"/>
        </w:rPr>
        <w:t>2e</w:t>
      </w:r>
      <w:r w:rsidRPr="63259912">
        <w:t>; kumulativne uštede energije u razdoblju 2021.-2030. 9,30 PJ (222,20 ktoe); kumulativno smanjenje emisija CO</w:t>
      </w:r>
      <w:r w:rsidRPr="63259912">
        <w:rPr>
          <w:vertAlign w:val="subscript"/>
        </w:rPr>
        <w:t>2</w:t>
      </w:r>
      <w:r w:rsidRPr="63259912">
        <w:t xml:space="preserve"> u razdoblju 2021.-2030. 264,93 ktCO</w:t>
      </w:r>
      <w:r w:rsidRPr="63259912">
        <w:rPr>
          <w:vertAlign w:val="subscript"/>
        </w:rPr>
        <w:t>2e</w:t>
      </w:r>
    </w:p>
    <w:p w14:paraId="7F685D94" w14:textId="6F0B5459" w:rsidR="00D3659E" w:rsidRPr="00B47BDA" w:rsidRDefault="00D3659E" w:rsidP="63259912">
      <w:pPr>
        <w:rPr>
          <w:rFonts w:eastAsia="Calibri"/>
          <w:color w:val="000000"/>
        </w:rPr>
      </w:pPr>
      <w:r w:rsidRPr="63259912">
        <w:rPr>
          <w:b/>
          <w:bCs/>
        </w:rPr>
        <w:t>Metoda praćenja:</w:t>
      </w:r>
      <w:r w:rsidRPr="63259912">
        <w:t xml:space="preserve"> Sustav za praćenje, mjerenje i verifikaciju ušteda energije (SMiV), metodom odozdo-prema-gore za integralnu obnovu zgrada</w:t>
      </w:r>
      <w:r w:rsidR="2FA358CB" w:rsidRPr="63259912">
        <w:t>.</w:t>
      </w:r>
    </w:p>
    <w:p w14:paraId="61DAF565" w14:textId="23512A5D" w:rsidR="00D3659E" w:rsidRPr="00B47BDA" w:rsidRDefault="00D3659E" w:rsidP="63259912">
      <w:pPr>
        <w:rPr>
          <w:rFonts w:eastAsia="Calibri"/>
        </w:rPr>
      </w:pPr>
      <w:r w:rsidRPr="63259912">
        <w:rPr>
          <w:b/>
          <w:bCs/>
        </w:rPr>
        <w:t xml:space="preserve">Povezanost s drugim dimenzijama: </w:t>
      </w:r>
      <w:r w:rsidR="00747B76" w:rsidRPr="63259912">
        <w:t>I</w:t>
      </w:r>
      <w:r w:rsidRPr="63259912">
        <w:t>zravna povezanost s dimenzijom dekarbonizacije, jer se kroz energetsku obnovu potiče i korištenje OIE u zgradama</w:t>
      </w:r>
      <w:r w:rsidR="00D117BF" w:rsidRPr="63259912">
        <w:t>.</w:t>
      </w:r>
    </w:p>
    <w:p w14:paraId="097204FE" w14:textId="67BFE9D5" w:rsidR="00804F73" w:rsidRPr="00BF24C1" w:rsidRDefault="00D3659E" w:rsidP="004623DD">
      <w:r w:rsidRPr="63259912">
        <w:rPr>
          <w:b/>
          <w:bCs/>
        </w:rPr>
        <w:t>Istraživanje i razvoj</w:t>
      </w:r>
      <w:r w:rsidRPr="63259912">
        <w:t xml:space="preserve">: </w:t>
      </w:r>
      <w:r w:rsidR="00747B76" w:rsidRPr="63259912">
        <w:t>E</w:t>
      </w:r>
      <w:r w:rsidRPr="63259912">
        <w:t>nergetska obnova, pogotovo njezino usmjeravanje na nZEB standard, poticajna je za istraživanje i razvoj u području novih građevinskih materijala, naprednih tehničkih sustava u zgradama i sustava upravljanja i automatizacije temeljenih na informacijsko-komunikacijskim tehnologijama</w:t>
      </w:r>
      <w:r w:rsidR="00D117BF" w:rsidRPr="63259912">
        <w:t>.</w:t>
      </w:r>
    </w:p>
    <w:p w14:paraId="19A6F0F6" w14:textId="23667493" w:rsidR="00184324" w:rsidRPr="00B47BDA" w:rsidRDefault="00184324" w:rsidP="00EE67E0">
      <w:pPr>
        <w:pStyle w:val="Mjeranaslov"/>
      </w:pPr>
      <w:r w:rsidRPr="00B47BDA">
        <w:t>ENU-6 Program energetske obnove zgrada koje imaju status kulturnog dobra</w:t>
      </w:r>
    </w:p>
    <w:p w14:paraId="3476CBDC" w14:textId="5ED34387" w:rsidR="00184324" w:rsidRPr="00B47BDA" w:rsidRDefault="00184324" w:rsidP="004623DD">
      <w:pPr>
        <w:pStyle w:val="NormalWeb"/>
      </w:pPr>
      <w:r w:rsidRPr="00B47BDA">
        <w:t xml:space="preserve">Financijska mjera; </w:t>
      </w:r>
      <w:r w:rsidR="00752238">
        <w:t xml:space="preserve">razdoblje do </w:t>
      </w:r>
      <w:r w:rsidRPr="00B47BDA">
        <w:t>2030.</w:t>
      </w:r>
    </w:p>
    <w:p w14:paraId="1F083C66" w14:textId="29C11EFE" w:rsidR="00184324" w:rsidRPr="00B47BDA" w:rsidRDefault="00184324" w:rsidP="004623DD">
      <w:pPr>
        <w:pStyle w:val="NormalWeb"/>
      </w:pPr>
      <w:r w:rsidRPr="00B47BDA">
        <w:rPr>
          <w:b/>
          <w:color w:val="000000"/>
        </w:rPr>
        <w:t>Cilj i opis mjere:</w:t>
      </w:r>
      <w:r w:rsidRPr="00B47BDA">
        <w:rPr>
          <w:color w:val="000000"/>
        </w:rPr>
        <w:t xml:space="preserve"> </w:t>
      </w:r>
      <w:r w:rsidR="003A6E8E">
        <w:t>Odlukom Vlade RH usvojen je Program energetske obnove zgrada koje imaju status kulturnog dobra za razdoblje do 2030. godine (</w:t>
      </w:r>
      <w:r w:rsidR="004975F6">
        <w:t>„</w:t>
      </w:r>
      <w:r w:rsidR="00071A4F" w:rsidRPr="00071A4F">
        <w:t xml:space="preserve">Narodne </w:t>
      </w:r>
      <w:r w:rsidR="00A97AE7">
        <w:t>novine</w:t>
      </w:r>
      <w:r w:rsidR="004975F6">
        <w:t>“</w:t>
      </w:r>
      <w:r w:rsidR="00071A4F" w:rsidRPr="00071A4F">
        <w:t xml:space="preserve">, </w:t>
      </w:r>
      <w:r w:rsidR="0024195A">
        <w:t>br</w:t>
      </w:r>
      <w:r w:rsidR="004975F6">
        <w:t>.</w:t>
      </w:r>
      <w:r w:rsidR="003A6E8E">
        <w:t xml:space="preserve"> </w:t>
      </w:r>
      <w:r w:rsidR="00442B00">
        <w:t>1</w:t>
      </w:r>
      <w:r w:rsidR="003A6E8E">
        <w:t>4</w:t>
      </w:r>
      <w:r w:rsidR="00442B00">
        <w:t>3</w:t>
      </w:r>
      <w:r w:rsidR="005B41DA">
        <w:t>/21</w:t>
      </w:r>
      <w:r w:rsidR="004975F6">
        <w:t>.</w:t>
      </w:r>
      <w:r w:rsidR="003A6E8E">
        <w:t xml:space="preserve">). </w:t>
      </w:r>
      <w:r w:rsidR="00DE7226" w:rsidRPr="00B47BDA">
        <w:t>Zaštićene zgrade u smislu ovog Programa su one koje se mogu svrstati u dvije kategorije: Pojedinačno zaštićena kulturna dobra (pojedinačne građevine i graditeljski sklopovi) i Zgrade koje se nalaze unutar zaštićene kulturno-povijesne cjeline. Program ne obuhvaća zgrade zaštićene kao preventivno zaštićeno kulturno dobro, niti zgrade zaštićene kao evidentirano kulturno dobro. Kroz Program razvijena su dva osnovna pristupa energetskoj obnovi zgrada koje su predmet ovog Programa: cjeloviti (integralni) pristup te pristup s primjenom pojedinačnih mjera energetske obnove.</w:t>
      </w:r>
    </w:p>
    <w:p w14:paraId="6E52E677" w14:textId="77D43691" w:rsidR="00B91241" w:rsidRPr="00B47BDA" w:rsidRDefault="00B91241" w:rsidP="004623DD">
      <w:pPr>
        <w:pStyle w:val="NormalWeb"/>
      </w:pPr>
      <w:r w:rsidRPr="00EE67E0">
        <w:rPr>
          <w:b/>
          <w:bCs/>
        </w:rPr>
        <w:t>Napomena:</w:t>
      </w:r>
      <w:r w:rsidRPr="00B47BDA">
        <w:t xml:space="preserve"> </w:t>
      </w:r>
      <w:r w:rsidR="00D82569">
        <w:t>C</w:t>
      </w:r>
      <w:r w:rsidRPr="00B47BDA">
        <w:t>iljevi, uvjeti i aktivnosti te navedene brojčane vrijednosti su okvirne, a detaljno se utvrđuju u samom Programu energetske obnove zgrada koje imaju status kulturnog dobra do 2030.</w:t>
      </w:r>
    </w:p>
    <w:p w14:paraId="7D604EAD" w14:textId="77777777" w:rsidR="00B91241" w:rsidRPr="00B47BDA" w:rsidRDefault="00B91241" w:rsidP="004623DD">
      <w:r w:rsidRPr="00B47BDA">
        <w:rPr>
          <w:b/>
        </w:rPr>
        <w:t>Aktivnosti:</w:t>
      </w:r>
      <w:r w:rsidRPr="00B47BDA">
        <w:t xml:space="preserve"> U okviru mjere provest će se sljedeće aktivnosti: </w:t>
      </w:r>
    </w:p>
    <w:p w14:paraId="72B72EF7" w14:textId="34428B10" w:rsidR="00B91241" w:rsidRPr="00B47BDA" w:rsidRDefault="00B91241" w:rsidP="00A563AA">
      <w:pPr>
        <w:pStyle w:val="ListParagraph"/>
        <w:numPr>
          <w:ilvl w:val="0"/>
          <w:numId w:val="41"/>
        </w:numPr>
        <w:rPr>
          <w:rFonts w:eastAsia="Calibri"/>
        </w:rPr>
      </w:pPr>
      <w:r w:rsidRPr="00B47BDA">
        <w:rPr>
          <w:rFonts w:eastAsia="Calibri"/>
        </w:rPr>
        <w:t>Provedba na način utvrđen Programom</w:t>
      </w:r>
      <w:r w:rsidR="00D569BF" w:rsidRPr="00B47BDA">
        <w:rPr>
          <w:rFonts w:eastAsia="Calibri"/>
        </w:rPr>
        <w:t>.</w:t>
      </w:r>
    </w:p>
    <w:p w14:paraId="4D00561D" w14:textId="2AA83329" w:rsidR="00D117BF" w:rsidRPr="00B47BDA" w:rsidRDefault="00B91241" w:rsidP="004623DD">
      <w:pPr>
        <w:pStyle w:val="NormalWeb"/>
      </w:pPr>
      <w:r w:rsidRPr="00B47BDA">
        <w:rPr>
          <w:b/>
          <w:color w:val="000000"/>
        </w:rPr>
        <w:t>Sredstva potrebna za provedbu:</w:t>
      </w:r>
      <w:r w:rsidR="0070044B" w:rsidRPr="00B47BDA">
        <w:rPr>
          <w:b/>
          <w:color w:val="000000"/>
        </w:rPr>
        <w:t xml:space="preserve"> </w:t>
      </w:r>
      <w:r w:rsidR="00DE7226" w:rsidRPr="00B47BDA">
        <w:t xml:space="preserve">Ukupne potrebe za realizaciju programa energetske obnove zgrada koje imaju status kulturnog dobra a sa svrhom dostizanja nacionalnih ciljeva iznose </w:t>
      </w:r>
      <w:r w:rsidR="00BF01A8">
        <w:t xml:space="preserve">2,5 </w:t>
      </w:r>
      <w:r w:rsidR="00B42887" w:rsidRPr="00B47BDA">
        <w:lastRenderedPageBreak/>
        <w:t>milijard</w:t>
      </w:r>
      <w:r w:rsidR="00B42887">
        <w:t>e</w:t>
      </w:r>
      <w:r w:rsidR="00B42887" w:rsidRPr="00B47BDA">
        <w:t xml:space="preserve"> </w:t>
      </w:r>
      <w:r w:rsidR="00B42887">
        <w:t xml:space="preserve">EUR </w:t>
      </w:r>
      <w:r w:rsidR="00DE7226" w:rsidRPr="00B47BDA">
        <w:t>u razdoblju od 2021. do 2030. godine. Navedeni iznos uključuje potrebne investicije u iznosu od 1,</w:t>
      </w:r>
      <w:r w:rsidR="00A24F65">
        <w:t>8</w:t>
      </w:r>
      <w:r w:rsidR="00A24F65" w:rsidRPr="00B47BDA">
        <w:t xml:space="preserve"> milijard</w:t>
      </w:r>
      <w:r w:rsidR="00A24F65">
        <w:t>e EUR</w:t>
      </w:r>
      <w:r w:rsidR="00DE7226" w:rsidRPr="00B47BDA">
        <w:t xml:space="preserve"> te troškove održavanja u iznosu od 0</w:t>
      </w:r>
      <w:r w:rsidR="004310DD">
        <w:t>,</w:t>
      </w:r>
      <w:r w:rsidR="00DE7226" w:rsidRPr="00B47BDA">
        <w:t>7 milijard</w:t>
      </w:r>
      <w:r w:rsidR="00242726">
        <w:t>e EUR</w:t>
      </w:r>
      <w:r w:rsidR="00DE7226" w:rsidRPr="00B47BDA">
        <w:t>.</w:t>
      </w:r>
    </w:p>
    <w:p w14:paraId="5AAFFFA0" w14:textId="63F8CD87" w:rsidR="00DE7226" w:rsidRPr="00B47BDA" w:rsidRDefault="00B91241" w:rsidP="004623DD">
      <w:pPr>
        <w:pStyle w:val="NormalWeb"/>
      </w:pPr>
      <w:r w:rsidRPr="00B47BDA">
        <w:rPr>
          <w:b/>
          <w:color w:val="000000"/>
        </w:rPr>
        <w:t xml:space="preserve">Izvori financiranja: </w:t>
      </w:r>
      <w:r w:rsidR="00DE7226" w:rsidRPr="00B47BDA">
        <w:t>S obzirom na vrlo visoke period</w:t>
      </w:r>
      <w:r w:rsidR="00F3316F">
        <w:t>e</w:t>
      </w:r>
      <w:r w:rsidR="00DE7226" w:rsidRPr="00B47BDA">
        <w:t xml:space="preserve"> povrata investicija bit će potrebno maksimalno iskoristiti mogućnosti sufinanciranja programa bespovratnim sredstvima kako bi se smanjili jednostavni periodi povrata investicije te kako bi se potaknula energetska obnova ovakvih građevina. Kao izvore financiranja bespovratnih sredstava prepoznaju se Fondovi EU te sredstva prikupljena kroz spomeničku rentu. </w:t>
      </w:r>
      <w:r w:rsidRPr="00B47BDA">
        <w:t xml:space="preserve">Koriste se i sredstva osigurana u NPOO. </w:t>
      </w:r>
      <w:r w:rsidR="00DE7226" w:rsidRPr="00B47BDA">
        <w:t xml:space="preserve">S obzirom na ukupne investicijske potrebe, ukupne potrebne investicije iznose oko </w:t>
      </w:r>
      <w:r w:rsidR="00C765A3">
        <w:t>182</w:t>
      </w:r>
      <w:r w:rsidR="00DE7226" w:rsidRPr="00B47BDA">
        <w:t xml:space="preserve"> mili</w:t>
      </w:r>
      <w:r w:rsidR="00C765A3">
        <w:t>juna EUR</w:t>
      </w:r>
      <w:r w:rsidR="00DE7226" w:rsidRPr="00B47BDA">
        <w:t xml:space="preserve"> godišnje tijekom perioda od 2021. do 2030. godine, od čega bi</w:t>
      </w:r>
      <w:r w:rsidR="00DE7226" w:rsidRPr="00B47BDA">
        <w:rPr>
          <w:rFonts w:eastAsia="Calibri"/>
          <w:color w:val="000000"/>
        </w:rPr>
        <w:t xml:space="preserve"> </w:t>
      </w:r>
      <w:r w:rsidR="00DE7226" w:rsidRPr="00B47BDA">
        <w:t xml:space="preserve">potrebno sufinanciranje iznosilo </w:t>
      </w:r>
      <w:r w:rsidR="00F87F59">
        <w:t>135 milijuna EUR</w:t>
      </w:r>
      <w:r w:rsidR="00DE7226" w:rsidRPr="00B47BDA">
        <w:t>. S obzirom da se na godišnjoj razini od spomeničke rente prikupi oko 1</w:t>
      </w:r>
      <w:r w:rsidR="00392554">
        <w:t>3</w:t>
      </w:r>
      <w:r w:rsidR="00DE7226" w:rsidRPr="00B47BDA">
        <w:t xml:space="preserve"> milijuna </w:t>
      </w:r>
      <w:r w:rsidR="00392554">
        <w:t>EUR</w:t>
      </w:r>
      <w:r w:rsidR="00DE7226" w:rsidRPr="00B47BDA">
        <w:t xml:space="preserve">, preostali iznos od oko </w:t>
      </w:r>
      <w:r w:rsidR="003558D0">
        <w:t>122</w:t>
      </w:r>
      <w:r w:rsidR="00DE7226" w:rsidRPr="00B47BDA">
        <w:t xml:space="preserve"> milijuna </w:t>
      </w:r>
      <w:r w:rsidR="003558D0">
        <w:t>EUR</w:t>
      </w:r>
      <w:r w:rsidR="00DE7226" w:rsidRPr="00B47BDA">
        <w:t xml:space="preserve"> na godišnjoj razini potrebno je osigurati iz Fondova EU. Kako bi se potaknula energetska obnova zgrada koje imaju status kulturnog dobra potrebno je sufinancirati isti bespovratnim sredstvima i to sa znatnim udjelom istih u ukupnoj investiciji.</w:t>
      </w:r>
      <w:r w:rsidR="00246859">
        <w:t xml:space="preserve"> Iz NPOO-a je osigurano 40 milijuna </w:t>
      </w:r>
      <w:r w:rsidR="003558D0">
        <w:t>EUR</w:t>
      </w:r>
      <w:r w:rsidR="00246859">
        <w:t xml:space="preserve">. </w:t>
      </w:r>
    </w:p>
    <w:p w14:paraId="6CCBC38C" w14:textId="6F0B5459" w:rsidR="00B91241" w:rsidRPr="00B47BDA" w:rsidRDefault="00B91241" w:rsidP="004623DD">
      <w:pPr>
        <w:pStyle w:val="NormalWeb"/>
      </w:pPr>
      <w:r w:rsidRPr="00B47BDA">
        <w:rPr>
          <w:b/>
        </w:rPr>
        <w:t>Izvršno tijelo:</w:t>
      </w:r>
      <w:r w:rsidRPr="00B47BDA">
        <w:t xml:space="preserve"> MPGI; ostala tijela u sustavu korištenja Europskih fondova;</w:t>
      </w:r>
    </w:p>
    <w:p w14:paraId="7E98B82E" w14:textId="023CE828" w:rsidR="00B91241" w:rsidRPr="00B47BDA" w:rsidRDefault="00B91241" w:rsidP="004623DD">
      <w:pPr>
        <w:pStyle w:val="NormalWeb"/>
        <w:rPr>
          <w:rFonts w:eastAsia="Calibri"/>
        </w:rPr>
      </w:pPr>
      <w:r w:rsidRPr="00EE67E0">
        <w:rPr>
          <w:b/>
          <w:bCs/>
        </w:rPr>
        <w:t>Tijela za praćenje:</w:t>
      </w:r>
      <w:r w:rsidRPr="00B47BDA">
        <w:t xml:space="preserve"> MINGO-NKT</w:t>
      </w:r>
    </w:p>
    <w:p w14:paraId="43DEB678" w14:textId="2281373B" w:rsidR="00B91241" w:rsidRPr="00B47BDA" w:rsidRDefault="00B91241" w:rsidP="004623DD">
      <w:r w:rsidRPr="63259912">
        <w:rPr>
          <w:b/>
          <w:bCs/>
        </w:rPr>
        <w:t xml:space="preserve">Učinak: </w:t>
      </w:r>
      <w:r w:rsidRPr="63259912">
        <w:t xml:space="preserve">Smanjenje toplinskih potreba i potrošnje energije u zgradama </w:t>
      </w:r>
      <w:r w:rsidR="009011E9" w:rsidRPr="63259912">
        <w:t>koje imaju status kulturnog dobra</w:t>
      </w:r>
      <w:r w:rsidRPr="63259912">
        <w:t xml:space="preserve"> i povećanje korištenja OIE te posljedično smanjenje emisija CO</w:t>
      </w:r>
      <w:r w:rsidRPr="63259912">
        <w:rPr>
          <w:vertAlign w:val="subscript"/>
        </w:rPr>
        <w:t>2</w:t>
      </w:r>
      <w:r w:rsidRPr="63259912">
        <w:t xml:space="preserve">; procijenjene </w:t>
      </w:r>
      <w:r w:rsidR="004027C5" w:rsidRPr="63259912">
        <w:t xml:space="preserve">kumulativne </w:t>
      </w:r>
      <w:r w:rsidRPr="63259912">
        <w:t xml:space="preserve">uštede u </w:t>
      </w:r>
      <w:r w:rsidR="004027C5" w:rsidRPr="63259912">
        <w:t>razdoblju do</w:t>
      </w:r>
      <w:r w:rsidRPr="63259912">
        <w:t xml:space="preserve"> 2030.</w:t>
      </w:r>
      <w:r w:rsidRPr="63259912">
        <w:rPr>
          <w:rFonts w:eastAsia="Calibri"/>
        </w:rPr>
        <w:t xml:space="preserve"> </w:t>
      </w:r>
      <w:r w:rsidR="00992364" w:rsidRPr="63259912">
        <w:t>6</w:t>
      </w:r>
      <w:r w:rsidRPr="63259912">
        <w:t>,</w:t>
      </w:r>
      <w:r w:rsidR="00992364" w:rsidRPr="63259912">
        <w:t>32</w:t>
      </w:r>
      <w:r w:rsidRPr="63259912">
        <w:t xml:space="preserve"> PJ (</w:t>
      </w:r>
      <w:r w:rsidR="004027C5" w:rsidRPr="63259912">
        <w:t>150</w:t>
      </w:r>
      <w:r w:rsidRPr="63259912">
        <w:t>,</w:t>
      </w:r>
      <w:r w:rsidR="004027C5" w:rsidRPr="63259912">
        <w:t>95</w:t>
      </w:r>
      <w:r w:rsidRPr="63259912">
        <w:t xml:space="preserve"> ktoe); procijenjeno smanjenje emisija CO</w:t>
      </w:r>
      <w:r w:rsidRPr="63259912">
        <w:rPr>
          <w:vertAlign w:val="subscript"/>
        </w:rPr>
        <w:t>2</w:t>
      </w:r>
      <w:r w:rsidRPr="63259912">
        <w:t xml:space="preserve"> u 2030. </w:t>
      </w:r>
      <w:r w:rsidR="00F813AB" w:rsidRPr="63259912">
        <w:t>245</w:t>
      </w:r>
      <w:r w:rsidRPr="63259912">
        <w:t>,</w:t>
      </w:r>
      <w:r w:rsidR="00F813AB" w:rsidRPr="63259912">
        <w:t>48</w:t>
      </w:r>
      <w:r w:rsidRPr="63259912">
        <w:t xml:space="preserve"> ktCO</w:t>
      </w:r>
      <w:r w:rsidRPr="63259912">
        <w:rPr>
          <w:vertAlign w:val="subscript"/>
        </w:rPr>
        <w:t>2e</w:t>
      </w:r>
      <w:r w:rsidR="003E34CA" w:rsidRPr="63259912">
        <w:t>.</w:t>
      </w:r>
    </w:p>
    <w:p w14:paraId="520AF9E0" w14:textId="6F0B5459" w:rsidR="00B91241" w:rsidRPr="00B47BDA" w:rsidRDefault="00B91241" w:rsidP="63259912">
      <w:pPr>
        <w:rPr>
          <w:rFonts w:eastAsia="Calibri"/>
        </w:rPr>
      </w:pPr>
      <w:r w:rsidRPr="63259912">
        <w:rPr>
          <w:b/>
          <w:bCs/>
        </w:rPr>
        <w:t>Metoda praćenja:</w:t>
      </w:r>
      <w:r w:rsidRPr="63259912">
        <w:t xml:space="preserve"> Sustav za praćenje, mjerenje i verifikaciju ušteda energije (SMiV), metodom odozdo-prema-gore za integralnu obnovu zgrada</w:t>
      </w:r>
      <w:r w:rsidR="003A04D4" w:rsidRPr="63259912">
        <w:t xml:space="preserve"> ili za pojedinačne mjere</w:t>
      </w:r>
      <w:r w:rsidR="00D117BF" w:rsidRPr="63259912">
        <w:t>.</w:t>
      </w:r>
    </w:p>
    <w:p w14:paraId="0A20EFE1" w14:textId="40EE8E68" w:rsidR="00B91241" w:rsidRPr="00B47BDA" w:rsidRDefault="00B91241" w:rsidP="63259912">
      <w:pPr>
        <w:rPr>
          <w:rFonts w:eastAsia="Calibri"/>
        </w:rPr>
      </w:pPr>
      <w:r w:rsidRPr="63259912">
        <w:rPr>
          <w:b/>
          <w:bCs/>
        </w:rPr>
        <w:t xml:space="preserve">Povezanost s drugim dimenzijama: </w:t>
      </w:r>
      <w:r w:rsidR="00F155D5" w:rsidRPr="63259912">
        <w:t>I</w:t>
      </w:r>
      <w:r w:rsidRPr="63259912">
        <w:t>zravna povezanost s dimenzijom dekarbonizacije, jer se kroz energetsku obnovu potiče i korištenje OIE u zgradama</w:t>
      </w:r>
      <w:r w:rsidR="00D117BF" w:rsidRPr="63259912">
        <w:t>.</w:t>
      </w:r>
    </w:p>
    <w:p w14:paraId="72B2A634" w14:textId="69462507" w:rsidR="00B91241" w:rsidRDefault="00B91241" w:rsidP="63259912">
      <w:pPr>
        <w:rPr>
          <w:color w:val="000000"/>
        </w:rPr>
      </w:pPr>
      <w:r w:rsidRPr="63259912">
        <w:rPr>
          <w:b/>
          <w:bCs/>
        </w:rPr>
        <w:t>Istraživanje i razvoj</w:t>
      </w:r>
      <w:r w:rsidRPr="63259912">
        <w:t xml:space="preserve">: </w:t>
      </w:r>
      <w:r w:rsidR="00005AF6" w:rsidRPr="63259912">
        <w:t>E</w:t>
      </w:r>
      <w:r w:rsidRPr="63259912">
        <w:t>nergetska obnova, pogotovo njezino usmjeravanje na nZEB standard, poticajna je za istraživanje i razvoj u području novih građevinskih materijala, naprednih tehničkih sustava u zgradama i sustava upravljanja i automatizacije temeljenih na informacijsko-komunikacijskim tehnologijama</w:t>
      </w:r>
      <w:r w:rsidR="00E46ACC" w:rsidRPr="63259912">
        <w:rPr>
          <w:color w:val="000000" w:themeColor="text1"/>
        </w:rPr>
        <w:t>.</w:t>
      </w:r>
    </w:p>
    <w:p w14:paraId="2EC9A8F2" w14:textId="1EF7CFD3" w:rsidR="007271FF" w:rsidRPr="00B47BDA" w:rsidRDefault="007271FF" w:rsidP="63259912">
      <w:pPr>
        <w:pStyle w:val="Heading4"/>
        <w:ind w:hanging="580"/>
      </w:pPr>
      <w:r w:rsidRPr="63259912">
        <w:t xml:space="preserve">Opis politika i mjera za poticanje energetskih usluga u javnom sektoru i mjera za uklanjanje regulatornih i neregulatornih prepreka koje onemogućuju </w:t>
      </w:r>
      <w:r w:rsidR="005F1721" w:rsidRPr="63259912">
        <w:t>prihvaćanje</w:t>
      </w:r>
      <w:r w:rsidRPr="63259912">
        <w:t xml:space="preserve"> ugovora o energetskom učinku i drugih modela usluga energetske učinkovitosti </w:t>
      </w:r>
    </w:p>
    <w:p w14:paraId="31C582C7" w14:textId="0C631B51" w:rsidR="00BB04AA" w:rsidRPr="00B47BDA" w:rsidRDefault="00BB04AA" w:rsidP="004623DD">
      <w:r w:rsidRPr="00B47BDA">
        <w:t xml:space="preserve">Prema čl. 25 </w:t>
      </w:r>
      <w:r w:rsidRPr="00B47BDA">
        <w:rPr>
          <w:i/>
        </w:rPr>
        <w:t>Zakona o energetskoj učinkovitosti</w:t>
      </w:r>
      <w:r w:rsidRPr="00B47BDA">
        <w:t xml:space="preserve"> (</w:t>
      </w:r>
      <w:r w:rsidR="004975F6">
        <w:t>„</w:t>
      </w:r>
      <w:r w:rsidR="00071A4F" w:rsidRPr="00071A4F">
        <w:t xml:space="preserve">Narodne </w:t>
      </w:r>
      <w:r w:rsidR="00A97AE7">
        <w:t>novine</w:t>
      </w:r>
      <w:r w:rsidR="004975F6">
        <w:t>“</w:t>
      </w:r>
      <w:r w:rsidR="00071A4F" w:rsidRPr="00071A4F">
        <w:t xml:space="preserve">, </w:t>
      </w:r>
      <w:r w:rsidR="0024195A">
        <w:t>br</w:t>
      </w:r>
      <w:r w:rsidR="004975F6">
        <w:t>.</w:t>
      </w:r>
      <w:r w:rsidRPr="00B47BDA">
        <w:t xml:space="preserve"> 127</w:t>
      </w:r>
      <w:r w:rsidR="005B41DA">
        <w:t>/14</w:t>
      </w:r>
      <w:r w:rsidR="004975F6">
        <w:t>.</w:t>
      </w:r>
      <w:r w:rsidRPr="00B47BDA">
        <w:t xml:space="preserve">) definirana je energetska usluga kao okvir za provedbu projekata energetske učinkovitosti i ostalih povezanih aktivnosti, a temelji se na ugovoru o energetskom učinku s jamstvom da u referentnim uvjetima vodi do provjerljivog i mjerljivog ili procjenjivog poboljšanja energetske učinkovitosti i/ili ušteda energije i/ili vode. Prema </w:t>
      </w:r>
      <w:r w:rsidR="006119C9" w:rsidRPr="00B47BDA">
        <w:rPr>
          <w:i/>
        </w:rPr>
        <w:t xml:space="preserve">Zakonu </w:t>
      </w:r>
      <w:r w:rsidRPr="00B47BDA">
        <w:rPr>
          <w:i/>
        </w:rPr>
        <w:t>o izmjenama i dopunama Zakona o energetskoj učinkovitosti</w:t>
      </w:r>
      <w:r w:rsidRPr="00B47BDA">
        <w:t xml:space="preserve"> </w:t>
      </w:r>
      <w:r w:rsidR="006119C9" w:rsidRPr="00B47BDA">
        <w:t>(</w:t>
      </w:r>
      <w:r w:rsidR="004975F6">
        <w:t>„</w:t>
      </w:r>
      <w:r w:rsidR="00071A4F" w:rsidRPr="00071A4F">
        <w:t xml:space="preserve">Narodne </w:t>
      </w:r>
      <w:r w:rsidR="00A97AE7">
        <w:t>novine</w:t>
      </w:r>
      <w:r w:rsidR="004975F6">
        <w:t>“</w:t>
      </w:r>
      <w:r w:rsidR="00071A4F" w:rsidRPr="00071A4F">
        <w:t xml:space="preserve">, </w:t>
      </w:r>
      <w:r w:rsidR="0024195A">
        <w:t>br</w:t>
      </w:r>
      <w:r w:rsidR="004975F6">
        <w:t>.</w:t>
      </w:r>
      <w:r w:rsidR="006119C9" w:rsidRPr="00B47BDA">
        <w:t xml:space="preserve"> 116</w:t>
      </w:r>
      <w:r w:rsidR="005B41DA">
        <w:t>/18</w:t>
      </w:r>
      <w:r w:rsidR="004975F6">
        <w:t>.</w:t>
      </w:r>
      <w:r w:rsidR="006119C9" w:rsidRPr="00B47BDA">
        <w:t xml:space="preserve">) </w:t>
      </w:r>
      <w:r w:rsidRPr="00B47BDA">
        <w:t xml:space="preserve">definicija se proširuje čime je moguće uključiti i slučajeve gdje pružatelj energetske usluge pruža stručno znanje upravljanja </w:t>
      </w:r>
      <w:r w:rsidRPr="00B47BDA">
        <w:lastRenderedPageBreak/>
        <w:t>energetikom bez izravnih ulaganja te je uključena mogućnost smanjenja troškova povezanih s energijom bez smanjenja potrošnje energije.</w:t>
      </w:r>
    </w:p>
    <w:p w14:paraId="0136D919" w14:textId="05F3AE46" w:rsidR="00BB04AA" w:rsidRPr="00B47BDA" w:rsidRDefault="00BB04AA" w:rsidP="004623DD">
      <w:r w:rsidRPr="00B47BDA">
        <w:t xml:space="preserve">Sadržaj ugovora o energetskom učinku se prema </w:t>
      </w:r>
      <w:r w:rsidR="006119C9" w:rsidRPr="00B47BDA">
        <w:rPr>
          <w:i/>
        </w:rPr>
        <w:t xml:space="preserve">Zakonu </w:t>
      </w:r>
      <w:r w:rsidRPr="00B47BDA">
        <w:rPr>
          <w:i/>
        </w:rPr>
        <w:t>o izmjenama i dopunama Zakona o energetskoj učinkovitosti</w:t>
      </w:r>
      <w:r w:rsidRPr="00B47BDA">
        <w:t xml:space="preserve"> definira samo za javne zgrade</w:t>
      </w:r>
      <w:r w:rsidR="00812B02" w:rsidRPr="00B47BDA">
        <w:t xml:space="preserve">, a u </w:t>
      </w:r>
      <w:r w:rsidRPr="00B47BDA">
        <w:t xml:space="preserve">privatnom </w:t>
      </w:r>
      <w:r w:rsidR="00812B02" w:rsidRPr="00B47BDA">
        <w:t xml:space="preserve">se </w:t>
      </w:r>
      <w:r w:rsidRPr="00B47BDA">
        <w:t xml:space="preserve">sektoru pristup ovoj problematici liberalizira </w:t>
      </w:r>
      <w:r w:rsidR="00B90DFB" w:rsidRPr="00B47BDA">
        <w:t>pa</w:t>
      </w:r>
      <w:r w:rsidR="001E3701" w:rsidRPr="00B47BDA">
        <w:t xml:space="preserve"> se</w:t>
      </w:r>
      <w:r w:rsidR="00B90DFB" w:rsidRPr="00B47BDA">
        <w:t xml:space="preserve"> </w:t>
      </w:r>
      <w:r w:rsidRPr="00B47BDA">
        <w:t>može očekivati pozitivan utjecaj na tržište.</w:t>
      </w:r>
    </w:p>
    <w:p w14:paraId="67F5543B" w14:textId="77777777" w:rsidR="009830B2" w:rsidRPr="00B47BDA" w:rsidRDefault="00BB04AA" w:rsidP="004623DD">
      <w:r w:rsidRPr="00B47BDA">
        <w:t xml:space="preserve">Zakonska regulativa i dosadašnja provedbena politika osigurava poticaj implementaciji mjera energetske učinkovitosti kroz financijske instrumente, pogotovo kroz energetsku uslugu. Potrebno je osigurati i uključenost novčanih sredstava iz Europskih strukturnih i investicijskih fondova uz kombinaciju energetske usluge ili javno-privatnog partnerstva. Potrebno je još uskladiti sekundarnu legislativu (pravilnike) i izraditi javno dostupnu dokumentaciju kojim bi se detaljnije pojasnila složena tematika ugovora o energetskom učinku poput modela ugovaranja energetske usluge, detalje ugovaranja i osiguravanja dobave energenta i energetskog učinka, proračunsko-pravne probleme, hodogram projekata, identifikaciju projekata te razne tehničke priloge vezane uz intenzivnost potrošnje pojedinih javnih zgrada, primjere iz prakse te prijedlog ugovora sa svim stavkama. </w:t>
      </w:r>
    </w:p>
    <w:p w14:paraId="6E4689C3" w14:textId="7258E443" w:rsidR="004424D1" w:rsidRPr="00B47BDA" w:rsidRDefault="004424D1" w:rsidP="005C2C7E">
      <w:pPr>
        <w:pStyle w:val="Heading4"/>
        <w:numPr>
          <w:ilvl w:val="3"/>
          <w:numId w:val="175"/>
        </w:numPr>
        <w:ind w:hanging="580"/>
      </w:pPr>
      <w:r w:rsidRPr="00B47BDA">
        <w:t>Druge planirane politike, mjere i programi za ostvarivanje okvirnog nacionalnog cilja povećanja energetske učinkovitosti za 2030.</w:t>
      </w:r>
      <w:r w:rsidR="00F27A8C" w:rsidRPr="00B47BDA">
        <w:t xml:space="preserve"> godinu</w:t>
      </w:r>
      <w:r w:rsidRPr="00B47BDA">
        <w:t xml:space="preserve">, kao i drugi ciljevi iz </w:t>
      </w:r>
      <w:r w:rsidR="009219CB">
        <w:t>točke</w:t>
      </w:r>
      <w:r w:rsidRPr="00B47BDA">
        <w:t xml:space="preserve"> </w:t>
      </w:r>
      <w:r w:rsidR="009219CB">
        <w:t>2</w:t>
      </w:r>
      <w:r w:rsidRPr="00B47BDA">
        <w:t>.2 (primjerice mjere kojima se postiže da javne zgrade i energetski učinkovita javna nabava budu uzor, mjere za promicanje energetskih pregleda i sustava gospodarenja energijom, informiranje potrošača i mjere osposobljavanja te druge mjere za promicanje energetske učinkovitosti)</w:t>
      </w:r>
    </w:p>
    <w:p w14:paraId="6E7D76A1" w14:textId="77777777" w:rsidR="00C21988" w:rsidRPr="003653B3" w:rsidRDefault="00C21988" w:rsidP="003653B3">
      <w:pPr>
        <w:shd w:val="clear" w:color="auto" w:fill="DEEAF6" w:themeFill="accent1" w:themeFillTint="33"/>
        <w:rPr>
          <w:i/>
        </w:rPr>
      </w:pPr>
      <w:r w:rsidRPr="003653B3">
        <w:rPr>
          <w:i/>
        </w:rPr>
        <w:t>Mjere u javnom sektoru</w:t>
      </w:r>
    </w:p>
    <w:p w14:paraId="19C8CD3B" w14:textId="1810567D" w:rsidR="00197562" w:rsidRDefault="00D61BE5" w:rsidP="00E809FF">
      <w:r w:rsidRPr="00B47BDA">
        <w:t>Za javni sektor predviđa se nastavak provedbe postojećih mjera, uz širenje njihovog obuhvata</w:t>
      </w:r>
      <w:r w:rsidR="00D235FB" w:rsidRPr="00B47BDA">
        <w:t>.</w:t>
      </w:r>
      <w:r w:rsidRPr="00B47BDA">
        <w:t xml:space="preserve"> </w:t>
      </w:r>
      <w:r w:rsidR="00F11C19">
        <w:t xml:space="preserve">Mjerama navedenima u nastavku te </w:t>
      </w:r>
      <w:r w:rsidR="00F60901">
        <w:t>Programom energetske obnove zgrada javnog sektora (mjera ENU-5)</w:t>
      </w:r>
      <w:r w:rsidR="00294E95">
        <w:t xml:space="preserve"> doprinijet će se cilju smanjenja potrošnje energije u javnom sektoru u skladu s </w:t>
      </w:r>
      <w:r w:rsidR="0017439A">
        <w:t xml:space="preserve">člankom 5. revidirane </w:t>
      </w:r>
      <w:r w:rsidR="00294E95">
        <w:t>Direktiv</w:t>
      </w:r>
      <w:r w:rsidR="0017439A">
        <w:t>e (EU) 2023/1791</w:t>
      </w:r>
      <w:r w:rsidR="00940F7C">
        <w:t xml:space="preserve"> </w:t>
      </w:r>
      <w:r w:rsidR="0017439A">
        <w:t>o energetskoj učinkovitosti.</w:t>
      </w:r>
      <w:r w:rsidR="004D6112">
        <w:t xml:space="preserve"> </w:t>
      </w:r>
      <w:r w:rsidR="00940F7C">
        <w:t xml:space="preserve">Mjerama ENU-5 i ENU-6 doprinosi se ostvarenju ciljeva iz članka 6. revidirane Direktive (EU) 2023/1791 o energetskoj učinkovitosti vezanim uz obnovu zgrada javnog sektora. </w:t>
      </w:r>
      <w:r w:rsidR="004D6112">
        <w:t xml:space="preserve">Za uspostavu </w:t>
      </w:r>
      <w:r w:rsidR="00F35951">
        <w:t>bazne</w:t>
      </w:r>
      <w:r w:rsidR="004D6112">
        <w:t xml:space="preserve"> potrošnje energije u javnom sektoru koristit će se podaci iz sustava ISGE (mjera ENU-7), a te će se detaljne analize </w:t>
      </w:r>
      <w:r w:rsidR="00940F7C">
        <w:t>potrošnje po sektorima</w:t>
      </w:r>
      <w:r w:rsidR="004D6112">
        <w:t xml:space="preserve"> provesti u sklopu procesa transpozicije Direktive u nacionalno zakonodavstvo</w:t>
      </w:r>
      <w:r w:rsidR="007C591F">
        <w:t xml:space="preserve"> (izmjene i dopune Zakona o energetskoj učinkovitosti i Pravilnika o sustavnom gospodarenju energijom u javnom sektoru)</w:t>
      </w:r>
      <w:r w:rsidR="004D6112">
        <w:t xml:space="preserve"> te kroz reviziju Programa energetske obnove zgrada javnoga sektora</w:t>
      </w:r>
      <w:r w:rsidR="004A13E4">
        <w:t xml:space="preserve"> (za utvrđivanje površine zgrada koje treba obnoviti)</w:t>
      </w:r>
      <w:r w:rsidR="004D6112">
        <w:t xml:space="preserve">. </w:t>
      </w:r>
      <w:r w:rsidR="00A11062">
        <w:t xml:space="preserve">Potrošnja energije </w:t>
      </w:r>
      <w:r w:rsidR="004E1894">
        <w:t>u javnom prijevozu će se svakako isključiti, do</w:t>
      </w:r>
      <w:r w:rsidR="00772AD0">
        <w:t xml:space="preserve">k je za potrošnju oružanih snaga </w:t>
      </w:r>
      <w:r w:rsidR="00731E88">
        <w:t xml:space="preserve">identificiran problem </w:t>
      </w:r>
      <w:r w:rsidR="004A13E4">
        <w:t>ne</w:t>
      </w:r>
      <w:r w:rsidR="00731E88">
        <w:t>dostupnosti podataka</w:t>
      </w:r>
      <w:r w:rsidR="00495FC3">
        <w:t xml:space="preserve">, tj. trenutno nije moguće utvrditi točnu potrošnju energije oružanih snaga pa je izvjesno da se ona neće </w:t>
      </w:r>
      <w:r w:rsidR="004A13E4">
        <w:t xml:space="preserve">moći </w:t>
      </w:r>
      <w:r w:rsidR="00495FC3">
        <w:t>isključiti, tj. da će se računati s</w:t>
      </w:r>
      <w:r w:rsidR="00B13A0B">
        <w:t xml:space="preserve"> cjelokupnom stacionarnom potrošnjom energije u javnom sektoru. </w:t>
      </w:r>
      <w:r w:rsidR="00E22F29">
        <w:t xml:space="preserve">No, konačna odluka o tome donijeti će se temeljem detaljne analize i procesa uspostavljanja </w:t>
      </w:r>
      <w:r w:rsidR="00F35951">
        <w:t xml:space="preserve">bazne potrošnje. </w:t>
      </w:r>
    </w:p>
    <w:p w14:paraId="2751B8F5" w14:textId="109A3D61" w:rsidR="00730965" w:rsidRPr="00B47BDA" w:rsidRDefault="00184324" w:rsidP="00EE67E0">
      <w:pPr>
        <w:pStyle w:val="Mjeranaslov"/>
      </w:pPr>
      <w:r w:rsidRPr="00B47BDA">
        <w:t>ENU-7</w:t>
      </w:r>
      <w:r w:rsidR="00DA25AD" w:rsidRPr="00B47BDA">
        <w:t xml:space="preserve"> </w:t>
      </w:r>
      <w:r w:rsidR="00C21988" w:rsidRPr="00B47BDA">
        <w:t xml:space="preserve">Sustavno gospodarenje energijom u javnom sektoru </w:t>
      </w:r>
    </w:p>
    <w:p w14:paraId="43DB6A3A" w14:textId="62E4DA83" w:rsidR="005A4DCE" w:rsidRPr="00B47BDA" w:rsidRDefault="005A4DCE" w:rsidP="004623DD">
      <w:pPr>
        <w:pStyle w:val="NormalWeb"/>
      </w:pPr>
      <w:r w:rsidRPr="00B47BDA">
        <w:t xml:space="preserve">Informacijska mjera; provedba 2014. -2030. </w:t>
      </w:r>
    </w:p>
    <w:p w14:paraId="5387159A" w14:textId="2AC3C3D2" w:rsidR="005A4DCE" w:rsidRPr="00B47BDA" w:rsidRDefault="005A4DCE" w:rsidP="004623DD">
      <w:pPr>
        <w:pStyle w:val="NormalWeb"/>
      </w:pPr>
      <w:r w:rsidRPr="00B47BDA">
        <w:rPr>
          <w:b/>
          <w:color w:val="000000"/>
        </w:rPr>
        <w:lastRenderedPageBreak/>
        <w:t>Cilj i opis mjere:</w:t>
      </w:r>
      <w:r w:rsidRPr="00B47BDA">
        <w:rPr>
          <w:color w:val="000000"/>
        </w:rPr>
        <w:t xml:space="preserve"> </w:t>
      </w:r>
      <w:r w:rsidRPr="00B47BDA">
        <w:t>Javni sektor u Hrvatskoj obvezan je sustavno gospodariti energijom, što je posebno propisano Zakonom o energetskoj učinkovitosti odnosno Pravilnikom o sustavnom gospodarenju energijom (</w:t>
      </w:r>
      <w:r w:rsidR="004975F6">
        <w:t>„</w:t>
      </w:r>
      <w:r w:rsidR="00071A4F" w:rsidRPr="00071A4F">
        <w:t xml:space="preserve">Narodne </w:t>
      </w:r>
      <w:r w:rsidR="00A97AE7">
        <w:t>novine</w:t>
      </w:r>
      <w:r w:rsidR="004975F6">
        <w:t>“</w:t>
      </w:r>
      <w:r w:rsidR="00071A4F" w:rsidRPr="00071A4F">
        <w:t>, br</w:t>
      </w:r>
      <w:r w:rsidR="00AC76F2">
        <w:t>.</w:t>
      </w:r>
      <w:r w:rsidRPr="00B47BDA">
        <w:t xml:space="preserve"> 18</w:t>
      </w:r>
      <w:r w:rsidR="005B41DA">
        <w:t>/15</w:t>
      </w:r>
      <w:r w:rsidR="004975F6">
        <w:t>.</w:t>
      </w:r>
      <w:r w:rsidRPr="00B47BDA">
        <w:t>, 06</w:t>
      </w:r>
      <w:r w:rsidR="005B41DA">
        <w:t>/16</w:t>
      </w:r>
      <w:r w:rsidR="004975F6">
        <w:t>.</w:t>
      </w:r>
      <w:r w:rsidRPr="00B47BDA">
        <w:t>). Temelj mjere je informacijski sustav za gospodarenje energijom (ISGE). Cilj je obuhvatiti i redovno pratiti ISGE-om sve zgrade javnog sektora i sustave javne rasvjete do kraja 2030. godine. Uštede temeljene na aktivnostima sustavnog gospodarenja energijom i uvođenja daljinskog mjerenja u prethodnom razdoblju su utvrđene na oko 335 TJ godišnje (prema 4.NAPEnU). S obzirom da se na ovoj mjeri radi sustavno od 2014. godine, pretpostavljeni potencijal za uštede je smanjen na 100 TJ godišnje radi konzervativnosti procjene.</w:t>
      </w:r>
    </w:p>
    <w:p w14:paraId="4624B022" w14:textId="77777777" w:rsidR="005A4DCE" w:rsidRPr="00B47BDA" w:rsidRDefault="005A4DCE" w:rsidP="004623DD">
      <w:r w:rsidRPr="00B47BDA">
        <w:rPr>
          <w:b/>
        </w:rPr>
        <w:t>Aktivnosti:</w:t>
      </w:r>
      <w:r w:rsidRPr="00B47BDA">
        <w:t xml:space="preserve"> U okviru mjere provest će se sljedeće aktivnosti: </w:t>
      </w:r>
    </w:p>
    <w:p w14:paraId="0885DBAD" w14:textId="3E4D7A6B" w:rsidR="005A4DCE" w:rsidRPr="00B47BDA" w:rsidRDefault="005A4DCE" w:rsidP="00A563AA">
      <w:pPr>
        <w:pStyle w:val="ListParagraph"/>
        <w:numPr>
          <w:ilvl w:val="0"/>
          <w:numId w:val="41"/>
        </w:numPr>
        <w:rPr>
          <w:rFonts w:eastAsia="Calibri"/>
        </w:rPr>
      </w:pPr>
      <w:r w:rsidRPr="00B47BDA">
        <w:rPr>
          <w:rFonts w:eastAsia="Calibri"/>
        </w:rPr>
        <w:t>U razdoblju do 2021. godine provodit će se automatizacija prikupljanja podataka o potrošnji energenata i vode (daljinsko očitanje), povezivanje ISGE-a sa sustavima dobavljača energenata i vode, edukacija energetskih suradnika i savjetnika zaduženih za gospodarenje energijom u svojim zgradama te daljnji razvoj i unaprjeđenje ISGE-a. Naglasak će biti na razvoju modula</w:t>
      </w:r>
      <w:r w:rsidR="00E223DA" w:rsidRPr="00B47BDA">
        <w:rPr>
          <w:rFonts w:eastAsia="Calibri"/>
        </w:rPr>
        <w:t xml:space="preserve"> </w:t>
      </w:r>
      <w:r w:rsidRPr="00B47BDA">
        <w:rPr>
          <w:rFonts w:eastAsia="Calibri"/>
        </w:rPr>
        <w:t xml:space="preserve">za praćenje i verificiranje ostvarenih ušteda nastalih po energetskoj obnovi kao i ispunjenja zadanog režima korištenja zgrade u svrhu postizanja i održavanja razine ugode. Ciljevi su: daljinskim očitanje do 2020. godine obuhvatiti sve lokacije unutar javnog sektora čija je potrošnje energije i vode veća od 400.000,00 kn/god, spojiti baze podatka opskrbljivača s bazom ISGE-a u svrhu automatskog prikupljanja podataka te spojiti ISGE sa svim relevantnim bazama energetskih podataka. Dodatno se do 2021. godine planira provedba mjera koje uključuju: </w:t>
      </w:r>
      <w:r w:rsidR="00AD2768" w:rsidRPr="00B47BDA">
        <w:rPr>
          <w:rFonts w:eastAsia="Calibri"/>
        </w:rPr>
        <w:t xml:space="preserve">analizu potencijala i </w:t>
      </w:r>
      <w:r w:rsidRPr="00B47BDA">
        <w:rPr>
          <w:rFonts w:eastAsia="Calibri"/>
        </w:rPr>
        <w:t>optimizaciju ugovaranja vršne</w:t>
      </w:r>
      <w:r w:rsidR="00F47FB7" w:rsidRPr="00B47BDA">
        <w:rPr>
          <w:rFonts w:eastAsia="Calibri"/>
        </w:rPr>
        <w:t xml:space="preserve"> električne</w:t>
      </w:r>
      <w:r w:rsidRPr="00B47BDA">
        <w:rPr>
          <w:rFonts w:eastAsia="Calibri"/>
        </w:rPr>
        <w:t xml:space="preserve"> snage, smanjenje prekomjerno preuzete jalove energije</w:t>
      </w:r>
      <w:r w:rsidR="005B3D40" w:rsidRPr="00B47BDA">
        <w:rPr>
          <w:rFonts w:eastAsia="Calibri"/>
        </w:rPr>
        <w:t xml:space="preserve"> te analizu potencijala i </w:t>
      </w:r>
      <w:r w:rsidRPr="00B47BDA">
        <w:rPr>
          <w:rFonts w:eastAsia="Calibri"/>
        </w:rPr>
        <w:t>optimizaciju ugovaranja toplinske snage</w:t>
      </w:r>
      <w:r w:rsidR="005B3D40" w:rsidRPr="00B47BDA">
        <w:rPr>
          <w:rFonts w:eastAsia="Calibri"/>
        </w:rPr>
        <w:t>.</w:t>
      </w:r>
      <w:r w:rsidRPr="00B47BDA">
        <w:rPr>
          <w:rFonts w:eastAsia="Calibri"/>
        </w:rPr>
        <w:t xml:space="preserve"> </w:t>
      </w:r>
    </w:p>
    <w:p w14:paraId="12493D1D" w14:textId="77777777" w:rsidR="005A4DCE" w:rsidRPr="00B47BDA" w:rsidRDefault="005A4DCE" w:rsidP="00A563AA">
      <w:pPr>
        <w:pStyle w:val="ListParagraph"/>
        <w:numPr>
          <w:ilvl w:val="0"/>
          <w:numId w:val="41"/>
        </w:numPr>
        <w:rPr>
          <w:rFonts w:eastAsia="Calibri"/>
        </w:rPr>
      </w:pPr>
      <w:r w:rsidRPr="00B47BDA">
        <w:rPr>
          <w:rFonts w:eastAsia="Calibri"/>
        </w:rPr>
        <w:t>U razdoblju od 2021. do 2030. godine planira se u svim objektima javnog sektora uvesti sustav gospodarenja energijom te primjena ISGE-a te unaprijediti i proširiti cijeli sustav kroz sljedeće aktivnosti:</w:t>
      </w:r>
    </w:p>
    <w:p w14:paraId="1EBA3D08" w14:textId="77777777" w:rsidR="005A4DCE" w:rsidRPr="00B47BDA" w:rsidRDefault="005A4DCE" w:rsidP="00A563AA">
      <w:pPr>
        <w:pStyle w:val="ListParagraph"/>
        <w:numPr>
          <w:ilvl w:val="0"/>
          <w:numId w:val="43"/>
        </w:numPr>
        <w:rPr>
          <w:rFonts w:eastAsia="Calibri"/>
        </w:rPr>
      </w:pPr>
      <w:r w:rsidRPr="00B47BDA">
        <w:rPr>
          <w:rFonts w:eastAsia="Calibri"/>
        </w:rPr>
        <w:t>Objediniti sve instalirane sustave daljinskog očitanja u ISGE;</w:t>
      </w:r>
    </w:p>
    <w:p w14:paraId="69C417EC" w14:textId="77777777" w:rsidR="005A4DCE" w:rsidRPr="00B47BDA" w:rsidRDefault="005A4DCE" w:rsidP="63259912">
      <w:pPr>
        <w:pStyle w:val="ListParagraph"/>
        <w:numPr>
          <w:ilvl w:val="0"/>
          <w:numId w:val="43"/>
        </w:numPr>
        <w:rPr>
          <w:rFonts w:eastAsia="Calibri"/>
        </w:rPr>
      </w:pPr>
      <w:r w:rsidRPr="63259912">
        <w:rPr>
          <w:rFonts w:eastAsia="Calibri"/>
        </w:rPr>
        <w:t>Integrirati ISGE s ostalim bazama: DGU (Geoportal Državne geodetske uprave), katastar, registar zaštićenih objekata, IEC, SMIV i dr.);</w:t>
      </w:r>
    </w:p>
    <w:p w14:paraId="22D6A588" w14:textId="3D5E2174" w:rsidR="005A4DCE" w:rsidRPr="00B47BDA" w:rsidRDefault="005A4DCE" w:rsidP="00A563AA">
      <w:pPr>
        <w:pStyle w:val="ListParagraph"/>
        <w:numPr>
          <w:ilvl w:val="0"/>
          <w:numId w:val="43"/>
        </w:numPr>
        <w:rPr>
          <w:rFonts w:eastAsia="Calibri"/>
        </w:rPr>
      </w:pPr>
      <w:r w:rsidRPr="00B47BDA">
        <w:rPr>
          <w:rFonts w:eastAsia="Calibri"/>
        </w:rPr>
        <w:t>Propisati ISGE kao sustav za verifikaciju stvarnih ušteda nastalih nakon obnove zgrade (definirati koje podatke senzori u prostorijama šalju u sustav, ISGE je već spreman primati podatke)</w:t>
      </w:r>
      <w:r w:rsidR="00213498" w:rsidRPr="00B47BDA">
        <w:rPr>
          <w:rFonts w:eastAsia="Calibri"/>
        </w:rPr>
        <w:t xml:space="preserve"> te izraditi metodologiju </w:t>
      </w:r>
      <w:r w:rsidR="00D83008" w:rsidRPr="00B47BDA">
        <w:rPr>
          <w:rFonts w:eastAsia="Calibri"/>
        </w:rPr>
        <w:t>izračuna i verifikacije stvarnih ušteda</w:t>
      </w:r>
      <w:r w:rsidR="00BF7C66" w:rsidRPr="00B47BDA">
        <w:rPr>
          <w:rFonts w:eastAsia="Calibri"/>
        </w:rPr>
        <w:t xml:space="preserve"> nastalih nakon obnove zgrade uzimajući u obzir </w:t>
      </w:r>
      <w:r w:rsidR="002A1606" w:rsidRPr="00B47BDA">
        <w:rPr>
          <w:rFonts w:eastAsia="Calibri"/>
        </w:rPr>
        <w:t>zadovoljavanje zadanog režima korištenja zgrade;</w:t>
      </w:r>
    </w:p>
    <w:p w14:paraId="1F99225B" w14:textId="77777777" w:rsidR="005A4DCE" w:rsidRPr="00B47BDA" w:rsidRDefault="005A4DCE" w:rsidP="00A563AA">
      <w:pPr>
        <w:pStyle w:val="ListParagraph"/>
        <w:numPr>
          <w:ilvl w:val="0"/>
          <w:numId w:val="43"/>
        </w:numPr>
        <w:rPr>
          <w:rFonts w:eastAsia="Calibri"/>
        </w:rPr>
      </w:pPr>
      <w:r w:rsidRPr="00B47BDA">
        <w:rPr>
          <w:rFonts w:eastAsia="Calibri"/>
        </w:rPr>
        <w:t>Širenje upotrebe ISGE-a u sve sektore (privatni, industrijski...) na dobrovoljnoj bazi i/ili kao obveza vezana uz primitak financijske pomoći za obnovu odnosno provedbu mjera energetske učinkovitosti;</w:t>
      </w:r>
    </w:p>
    <w:p w14:paraId="38D850F8" w14:textId="5E5C96F1" w:rsidR="00870ABB" w:rsidRPr="00B47BDA" w:rsidRDefault="00870ABB" w:rsidP="00A563AA">
      <w:pPr>
        <w:pStyle w:val="ListParagraph"/>
        <w:numPr>
          <w:ilvl w:val="1"/>
          <w:numId w:val="43"/>
        </w:numPr>
        <w:rPr>
          <w:rFonts w:eastAsia="Calibri"/>
        </w:rPr>
      </w:pPr>
      <w:r w:rsidRPr="00B47BDA">
        <w:rPr>
          <w:rFonts w:eastAsia="Calibri"/>
        </w:rPr>
        <w:t xml:space="preserve">Provest će se Pilot projekt uspostave i provedbe sustavnog gospodarenja energijom te razvoj novog modela financiranja za višestambene </w:t>
      </w:r>
      <w:r w:rsidR="006A2ABF" w:rsidRPr="00B47BDA">
        <w:rPr>
          <w:rFonts w:eastAsia="Calibri"/>
        </w:rPr>
        <w:t>zgrade</w:t>
      </w:r>
      <w:r w:rsidRPr="00B47BDA">
        <w:rPr>
          <w:rFonts w:eastAsia="Calibri"/>
        </w:rPr>
        <w:t xml:space="preserve"> i to </w:t>
      </w:r>
      <w:r w:rsidR="00541771" w:rsidRPr="00B47BDA">
        <w:rPr>
          <w:rFonts w:eastAsia="Calibri"/>
        </w:rPr>
        <w:t>korištenjem isključivo sredstava iz Mehanizma za otpornost i oporavak (NPOO)</w:t>
      </w:r>
      <w:r w:rsidRPr="00B47BDA">
        <w:rPr>
          <w:rFonts w:eastAsia="Calibri"/>
        </w:rPr>
        <w:t xml:space="preserve"> </w:t>
      </w:r>
    </w:p>
    <w:p w14:paraId="50C7CFA1" w14:textId="77777777" w:rsidR="005A4DCE" w:rsidRPr="00B47BDA" w:rsidRDefault="005A4DCE" w:rsidP="00A563AA">
      <w:pPr>
        <w:pStyle w:val="ListParagraph"/>
        <w:numPr>
          <w:ilvl w:val="0"/>
          <w:numId w:val="43"/>
        </w:numPr>
        <w:rPr>
          <w:rFonts w:eastAsia="Calibri"/>
        </w:rPr>
      </w:pPr>
      <w:r w:rsidRPr="00B47BDA">
        <w:rPr>
          <w:rFonts w:eastAsia="Calibri"/>
        </w:rPr>
        <w:lastRenderedPageBreak/>
        <w:t>Unaprjeđenje ISGE-a tako da je njime moguće provesti financijske analize isplativosti obnove na temelju stvarnih podataka;</w:t>
      </w:r>
    </w:p>
    <w:p w14:paraId="1C7533C6" w14:textId="00839607" w:rsidR="005A4DCE" w:rsidRPr="00B47BDA" w:rsidRDefault="005A4DCE" w:rsidP="00A563AA">
      <w:pPr>
        <w:pStyle w:val="ListParagraph"/>
        <w:numPr>
          <w:ilvl w:val="0"/>
          <w:numId w:val="43"/>
        </w:numPr>
        <w:rPr>
          <w:rFonts w:eastAsia="Calibri"/>
        </w:rPr>
      </w:pPr>
      <w:r w:rsidRPr="00B47BDA">
        <w:rPr>
          <w:rFonts w:eastAsia="Calibri"/>
        </w:rPr>
        <w:t>Razvoj ISGE-a u smjeru tzv. umjetne inteligencije, pri čemu bi sustav prema unesenim parametrima sam predlagao mjere u svrhu povećanja energetske učinkovitosti</w:t>
      </w:r>
      <w:r w:rsidR="001D6C93" w:rsidRPr="00B47BDA">
        <w:rPr>
          <w:rFonts w:eastAsia="Calibri"/>
        </w:rPr>
        <w:t>;</w:t>
      </w:r>
    </w:p>
    <w:p w14:paraId="5A3F3B05" w14:textId="531F4A62" w:rsidR="001D6C93" w:rsidRPr="00B47BDA" w:rsidRDefault="001D6C93" w:rsidP="00A563AA">
      <w:pPr>
        <w:pStyle w:val="ListParagraph"/>
        <w:numPr>
          <w:ilvl w:val="0"/>
          <w:numId w:val="43"/>
        </w:numPr>
        <w:rPr>
          <w:rFonts w:eastAsia="Calibri"/>
        </w:rPr>
      </w:pPr>
      <w:r w:rsidRPr="00B47BDA">
        <w:rPr>
          <w:rFonts w:eastAsia="Calibri"/>
        </w:rPr>
        <w:t>Uvođenje mjernih uređaja/senzora za mjerenje unutrašnje temperature i kvalitete zraka u zgrade javne namjene i povezivanje s ISGE</w:t>
      </w:r>
      <w:r w:rsidR="005E6EF6" w:rsidRPr="00B47BDA">
        <w:rPr>
          <w:rFonts w:eastAsia="Calibri"/>
        </w:rPr>
        <w:t>.</w:t>
      </w:r>
    </w:p>
    <w:p w14:paraId="574FF610" w14:textId="5A19D1E6" w:rsidR="005A4DCE" w:rsidRPr="00B47BDA" w:rsidRDefault="005A4DCE" w:rsidP="00A563AA">
      <w:pPr>
        <w:pStyle w:val="ListParagraph"/>
        <w:numPr>
          <w:ilvl w:val="0"/>
          <w:numId w:val="41"/>
        </w:numPr>
        <w:rPr>
          <w:rFonts w:eastAsia="Calibri"/>
        </w:rPr>
      </w:pPr>
      <w:r w:rsidRPr="00B47BDA">
        <w:rPr>
          <w:rFonts w:eastAsia="Calibri"/>
        </w:rPr>
        <w:t>Osim unaprjeđenja ISGE, ova mjera predviđa nastavak i povećanje opsega edukacija za institucije javnog i ostalih sektora, stvaranje baze korisnika koji su dobro upoznati s energetskom učinkovitošću i kapacitirani po tom pitanju djelovati unutar svojih institucija te razradu prijedloga da 'energetski menadžer' postane radno mjesto u javnim institucijama.</w:t>
      </w:r>
    </w:p>
    <w:p w14:paraId="57BFAFAD" w14:textId="3307B600" w:rsidR="005A4DCE" w:rsidRPr="00B47BDA" w:rsidRDefault="005A4DCE" w:rsidP="004623DD">
      <w:pPr>
        <w:rPr>
          <w:rFonts w:eastAsia="Calibri"/>
        </w:rPr>
      </w:pPr>
      <w:r w:rsidRPr="00B47BDA">
        <w:rPr>
          <w:b/>
        </w:rPr>
        <w:t xml:space="preserve">Sredstva potrebna za provedbu: </w:t>
      </w:r>
      <w:r w:rsidRPr="00B47BDA">
        <w:t>Sredstva potrebna za provedbu svih predviđenih aktivnosti planira APN u sklopu svojih redovnih aktivnosti i proračuna</w:t>
      </w:r>
      <w:r w:rsidR="00672C59" w:rsidRPr="00B47BDA">
        <w:t xml:space="preserve">, dok se za pilot projekt predviđaju isključivo sredstva iz NPOO (1,6 milijuna </w:t>
      </w:r>
      <w:r w:rsidR="00066378">
        <w:t>EUR</w:t>
      </w:r>
      <w:r w:rsidR="00672C59" w:rsidRPr="00B47BDA">
        <w:t>)</w:t>
      </w:r>
      <w:r w:rsidR="00866272" w:rsidRPr="00B47BDA">
        <w:t>.</w:t>
      </w:r>
    </w:p>
    <w:p w14:paraId="6FC37602" w14:textId="5A19D1E6" w:rsidR="005A4DCE" w:rsidRPr="00B47BDA" w:rsidRDefault="005A4DCE" w:rsidP="004623DD">
      <w:pPr>
        <w:rPr>
          <w:rFonts w:eastAsia="Calibri"/>
        </w:rPr>
      </w:pPr>
      <w:r w:rsidRPr="00B47BDA">
        <w:rPr>
          <w:b/>
        </w:rPr>
        <w:t xml:space="preserve">Izvori financiranja: </w:t>
      </w:r>
      <w:r w:rsidRPr="00B47BDA">
        <w:t>Državni proračun (APN)</w:t>
      </w:r>
      <w:r w:rsidR="00672C59" w:rsidRPr="00B47BDA">
        <w:t xml:space="preserve"> + NPOO za Pilot projekt</w:t>
      </w:r>
      <w:r w:rsidR="00866272" w:rsidRPr="00B47BDA">
        <w:t>.</w:t>
      </w:r>
    </w:p>
    <w:p w14:paraId="389315BA" w14:textId="5A19D1E6" w:rsidR="005A4DCE" w:rsidRPr="00B47BDA" w:rsidRDefault="005A4DCE" w:rsidP="004623DD">
      <w:r w:rsidRPr="00EE67E0">
        <w:rPr>
          <w:b/>
          <w:bCs/>
        </w:rPr>
        <w:t>Izvršno tijelo:</w:t>
      </w:r>
      <w:r w:rsidRPr="00B47BDA">
        <w:t xml:space="preserve"> APN</w:t>
      </w:r>
    </w:p>
    <w:p w14:paraId="7DB542BB" w14:textId="75A2FEF3" w:rsidR="005A4DCE" w:rsidRPr="00B47BDA" w:rsidRDefault="005A4DCE" w:rsidP="004623DD">
      <w:pPr>
        <w:rPr>
          <w:rFonts w:eastAsia="Calibri"/>
        </w:rPr>
      </w:pPr>
      <w:r w:rsidRPr="00EE67E0">
        <w:rPr>
          <w:b/>
          <w:bCs/>
        </w:rPr>
        <w:t>Tijela za praćenje:</w:t>
      </w:r>
      <w:r w:rsidRPr="00B47BDA">
        <w:t xml:space="preserve"> </w:t>
      </w:r>
      <w:r w:rsidR="00BC45BF" w:rsidRPr="00B47BDA">
        <w:t>MINGO</w:t>
      </w:r>
      <w:r w:rsidRPr="00B47BDA">
        <w:t>-NKT</w:t>
      </w:r>
    </w:p>
    <w:p w14:paraId="2DCDE8AF" w14:textId="55F5385C" w:rsidR="005A4DCE" w:rsidRPr="00B47BDA" w:rsidRDefault="005A4DCE" w:rsidP="63259912">
      <w:pPr>
        <w:rPr>
          <w:vertAlign w:val="subscript"/>
        </w:rPr>
      </w:pPr>
      <w:r w:rsidRPr="63259912">
        <w:rPr>
          <w:b/>
          <w:bCs/>
        </w:rPr>
        <w:t xml:space="preserve">Učinak: </w:t>
      </w:r>
      <w:r w:rsidRPr="63259912">
        <w:t>Smanjenje potrošnje energije u javnim zgradama; promjene navika i ponašanja korisnika zgrada javnog sektora; procijenjene uštede u 2030.</w:t>
      </w:r>
      <w:r w:rsidRPr="63259912">
        <w:rPr>
          <w:rFonts w:eastAsia="Calibri"/>
        </w:rPr>
        <w:t xml:space="preserve"> </w:t>
      </w:r>
      <w:r w:rsidRPr="63259912">
        <w:t>0,20 PJ (4,78 ktoe); procijenjeno smanjenje emisija CO</w:t>
      </w:r>
      <w:r w:rsidRPr="63259912">
        <w:rPr>
          <w:vertAlign w:val="subscript"/>
        </w:rPr>
        <w:t>2</w:t>
      </w:r>
      <w:r w:rsidRPr="63259912">
        <w:t xml:space="preserve"> u 2030. 5,50 ktCO</w:t>
      </w:r>
      <w:r w:rsidRPr="63259912">
        <w:rPr>
          <w:vertAlign w:val="subscript"/>
        </w:rPr>
        <w:t>2e</w:t>
      </w:r>
      <w:r w:rsidRPr="63259912">
        <w:t>; kumulativne uštede energije u razdoblju 2021.-2030. 1,90 PJ (45,41 ktoe); kumulativno smanjenje emisija CO</w:t>
      </w:r>
      <w:r w:rsidRPr="63259912">
        <w:rPr>
          <w:vertAlign w:val="subscript"/>
        </w:rPr>
        <w:t>2</w:t>
      </w:r>
      <w:r w:rsidRPr="63259912">
        <w:t xml:space="preserve"> u razdoblju 2021.-2030. 54,13 ktCO</w:t>
      </w:r>
      <w:r w:rsidRPr="63259912">
        <w:rPr>
          <w:vertAlign w:val="subscript"/>
        </w:rPr>
        <w:t>2</w:t>
      </w:r>
      <w:r w:rsidRPr="63259912">
        <w:t>e</w:t>
      </w:r>
      <w:r w:rsidR="00334C94" w:rsidRPr="63259912">
        <w:t>.</w:t>
      </w:r>
    </w:p>
    <w:p w14:paraId="4F645904" w14:textId="5A19D1E6" w:rsidR="005A4DCE" w:rsidRPr="00B47BDA" w:rsidRDefault="005A4DCE" w:rsidP="63259912">
      <w:pPr>
        <w:rPr>
          <w:rFonts w:eastAsia="Calibri"/>
        </w:rPr>
      </w:pPr>
      <w:r w:rsidRPr="63259912">
        <w:rPr>
          <w:b/>
          <w:bCs/>
        </w:rPr>
        <w:t>Metoda praćenja:</w:t>
      </w:r>
      <w:r w:rsidRPr="63259912">
        <w:t xml:space="preserve"> Do sada je praćenje ostvarenih ušteda energije omogućeno ISGE sustavom osnovnim i naprednim analizama baze podataka. Ostvarene uštede temelje se na mjerenim podacima o potrošnji svih oblika energije. Sinkronizacijom baza dobivaju se provjereni</w:t>
      </w:r>
      <w:r w:rsidR="00E223DA" w:rsidRPr="63259912">
        <w:t xml:space="preserve"> </w:t>
      </w:r>
      <w:r w:rsidRPr="63259912">
        <w:t>podaci, a povezivanjem s mjernim sustavima dobivaju se „real-time“ podaci koji omogućuju strateško planiranje i provođenje mjera. Na temelju direktnog satnog praćenja potrošnje energije i vode putem ISGE sustava dobivaju se kvalitetni pokazatelji energetskih potreba te se prema njima može bolje planirati i raspolagati sredstvima.</w:t>
      </w:r>
    </w:p>
    <w:p w14:paraId="57B7C751" w14:textId="7A28AA48" w:rsidR="005A4DCE" w:rsidRPr="00B47BDA" w:rsidRDefault="005A4DCE" w:rsidP="63259912">
      <w:pPr>
        <w:rPr>
          <w:rFonts w:eastAsia="Calibri"/>
        </w:rPr>
      </w:pPr>
      <w:r w:rsidRPr="63259912">
        <w:rPr>
          <w:b/>
          <w:bCs/>
        </w:rPr>
        <w:t xml:space="preserve">Povezanost s drugim dimenzijama: </w:t>
      </w:r>
      <w:r w:rsidR="004C4118" w:rsidRPr="63259912">
        <w:t>S</w:t>
      </w:r>
      <w:r w:rsidRPr="63259912">
        <w:t>ustavnim praćenjem i razumijevanjem potrošnje energije, javni sektor će se kapacitirati da postane informirani sudionik na energetskom tržištu</w:t>
      </w:r>
      <w:r w:rsidR="00866272" w:rsidRPr="63259912">
        <w:t>.</w:t>
      </w:r>
    </w:p>
    <w:p w14:paraId="714C3FDC" w14:textId="06283B8C" w:rsidR="50AC7E63" w:rsidRDefault="005A4DCE" w:rsidP="50AC7E63">
      <w:pPr>
        <w:rPr>
          <w:color w:val="000000" w:themeColor="text1"/>
        </w:rPr>
      </w:pPr>
      <w:r w:rsidRPr="50AC7E63">
        <w:rPr>
          <w:b/>
          <w:bCs/>
        </w:rPr>
        <w:t>Istraživanje i razvoj</w:t>
      </w:r>
      <w:r>
        <w:t>: obveza sustavnog gospodarenja energijom u javnom sektoru poticajna je za istraživanje i razvoj u domeni praćenja i upravljanja energetskom potrošnjom u zgradama temeljenih na informacijsko-komunikacijskim tehnologijama</w:t>
      </w:r>
      <w:r w:rsidR="00EC19C8" w:rsidRPr="50AC7E63">
        <w:rPr>
          <w:color w:val="000000" w:themeColor="text1"/>
        </w:rPr>
        <w:t>.</w:t>
      </w:r>
    </w:p>
    <w:p w14:paraId="3069FC85" w14:textId="1F265196" w:rsidR="00C21988" w:rsidRPr="00B47BDA" w:rsidRDefault="00184324" w:rsidP="00EE67E0">
      <w:pPr>
        <w:pStyle w:val="Mjeranaslov"/>
      </w:pPr>
      <w:r w:rsidRPr="00B47BDA">
        <w:t>ENU-8</w:t>
      </w:r>
      <w:r w:rsidR="00DA25AD" w:rsidRPr="00B47BDA">
        <w:t xml:space="preserve"> </w:t>
      </w:r>
      <w:r w:rsidR="00C21988" w:rsidRPr="00B47BDA">
        <w:t xml:space="preserve">Program </w:t>
      </w:r>
      <w:r w:rsidR="001E1A76" w:rsidRPr="00B47BDA">
        <w:t xml:space="preserve">energetske obnove </w:t>
      </w:r>
      <w:r w:rsidR="00C21988" w:rsidRPr="00B47BDA">
        <w:t>javn</w:t>
      </w:r>
      <w:r w:rsidR="001E1A76" w:rsidRPr="00B47BDA">
        <w:t>e</w:t>
      </w:r>
      <w:r w:rsidR="00C21988" w:rsidRPr="00B47BDA">
        <w:t xml:space="preserve"> </w:t>
      </w:r>
      <w:r w:rsidR="001E1A76" w:rsidRPr="00B47BDA">
        <w:t>rasvjete</w:t>
      </w:r>
    </w:p>
    <w:p w14:paraId="5C4E60EB" w14:textId="77777777" w:rsidR="00265693" w:rsidRPr="00B47BDA" w:rsidRDefault="00265693" w:rsidP="004623DD">
      <w:pPr>
        <w:pStyle w:val="NormalWeb"/>
      </w:pPr>
      <w:r w:rsidRPr="00B47BDA">
        <w:t xml:space="preserve">Financijska mjera, energetske usluge; provedba 2021. -2030. </w:t>
      </w:r>
    </w:p>
    <w:p w14:paraId="15019037" w14:textId="091BA7DE" w:rsidR="00265693" w:rsidRPr="00B47BDA" w:rsidRDefault="00265693" w:rsidP="004623DD">
      <w:pPr>
        <w:pStyle w:val="NormalWeb"/>
      </w:pPr>
      <w:r w:rsidRPr="63259912">
        <w:rPr>
          <w:b/>
          <w:bCs/>
        </w:rPr>
        <w:lastRenderedPageBreak/>
        <w:t>Cilj i opis mjere:</w:t>
      </w:r>
      <w:r w:rsidRPr="63259912">
        <w:t xml:space="preserve"> Energetska obnova javne rasvjete u Republici Hrvatskoj trenutno se provodi se korištenjem </w:t>
      </w:r>
      <w:r w:rsidR="00B17D3D" w:rsidRPr="63259912">
        <w:t xml:space="preserve">EU </w:t>
      </w:r>
      <w:r w:rsidRPr="63259912">
        <w:t xml:space="preserve">sredstava iz Europskog fonda za regionalni razvij i to korištenjem financijskog instrumenta kredita s povoljnim kamatnim stopama kojega JLP(R)S-ima nudi HBOR. U tu svrhu raspoloživo je 152 milijuna kn, a kreditom se pokriva do 100% prihvatljivih troškova projekta. Procijenjene uštede prve faze Programa su oko 15 GWh u 2023. godini. </w:t>
      </w:r>
      <w:r w:rsidR="00CC3FE4" w:rsidRPr="63259912">
        <w:t>P</w:t>
      </w:r>
      <w:r w:rsidRPr="63259912">
        <w:t>ostojeći potencijal do kraja 2030. godine je procijenjen na oko 225 – 280 GWh. Istodobno, obnovom javne rasvjete ostvarilo bi se zadovoljavanje tehničkih normi za rasvijetljenost prometnica, što znači da bi se poboljšala sigurnost prometa te bi se smanjilo svjetlosno onečišćenje. Modeli financiranja koji će se koristiti u sljedećem razdoblju trebaju omogućiti i mobilizaciju privatnog kapitala putem energetske usluge ili javno-privatnog partnerstva, kako bi se postigao što bolji multiplikacijski efekt. Modeli koje treba razmotriti uključuju subvencije kamatne stope na komercijalne kredite / zahtijevanog prinosa pružatelju usluge i garancije, a za projekte koji zahtijevaju investiciju u novu infrastrukturu javne rasvjete (stupove, dodatne svjetiljke i slično) radi zadovoljavanja normiranih svjetlotehničkih zahtjeva nužno je osigurati bespovratna sredstva. Pretpostavljeno je da će se do kraja 2030.godine ostvariti sav procijenjeni potencijal za poboljšanje energetske učinkovitosti sustava javne rasvjete pa je pretpostavljena godišnja ušteda električne energije od 25 GWh (0,90 PJ; 2,15 ktoe)</w:t>
      </w:r>
      <w:r w:rsidR="00297E03" w:rsidRPr="63259912">
        <w:t xml:space="preserve"> (napomena</w:t>
      </w:r>
      <w:r w:rsidR="00297E03" w:rsidRPr="63259912">
        <w:rPr>
          <w:b/>
          <w:bCs/>
        </w:rPr>
        <w:t>:</w:t>
      </w:r>
      <w:r w:rsidR="00297E03" w:rsidRPr="63259912">
        <w:t xml:space="preserve"> ciljevi, uvjeti i aktivnosti dani u ovom dokumentu su okvirni, a detaljno će se utvrditi u samom Programu energetske obnove zgrada javnog sektora za razdoblje do 2030.).</w:t>
      </w:r>
    </w:p>
    <w:p w14:paraId="22B0DB30" w14:textId="77777777" w:rsidR="00265693" w:rsidRPr="00B47BDA" w:rsidRDefault="00265693" w:rsidP="004623DD">
      <w:r w:rsidRPr="00B47BDA">
        <w:rPr>
          <w:b/>
        </w:rPr>
        <w:t>Aktivnosti:</w:t>
      </w:r>
      <w:r w:rsidRPr="00B47BDA">
        <w:t xml:space="preserve"> U okviru mjere provest će se sljedeće aktivnosti: </w:t>
      </w:r>
    </w:p>
    <w:p w14:paraId="75D58033" w14:textId="46B25955" w:rsidR="00265693" w:rsidRPr="00B47BDA" w:rsidRDefault="00BC509B" w:rsidP="00BB488E">
      <w:pPr>
        <w:pStyle w:val="ListParagraph"/>
        <w:numPr>
          <w:ilvl w:val="0"/>
          <w:numId w:val="41"/>
        </w:numPr>
        <w:spacing w:after="60"/>
        <w:ind w:left="714" w:hanging="357"/>
        <w:rPr>
          <w:rFonts w:eastAsia="Calibri"/>
        </w:rPr>
      </w:pPr>
      <w:r w:rsidRPr="00B47BDA">
        <w:rPr>
          <w:rFonts w:eastAsia="Calibri"/>
        </w:rPr>
        <w:t>MINGO</w:t>
      </w:r>
      <w:r w:rsidR="00265693" w:rsidRPr="00B47BDA">
        <w:rPr>
          <w:rFonts w:eastAsia="Calibri"/>
        </w:rPr>
        <w:t xml:space="preserve"> će izraditi Program energetske obnove sustava javne rasvjete za razdoblje do 2030. godine, kojega usvaja Vlada, a koji </w:t>
      </w:r>
      <w:r w:rsidR="00801B1E" w:rsidRPr="00B47BDA">
        <w:rPr>
          <w:rFonts w:eastAsia="Calibri"/>
        </w:rPr>
        <w:t>se temelji na tržišnim modelima provedbe projekata</w:t>
      </w:r>
      <w:r w:rsidR="00265693" w:rsidRPr="00B47BDA">
        <w:rPr>
          <w:rFonts w:eastAsia="Calibri"/>
        </w:rPr>
        <w:t>;</w:t>
      </w:r>
    </w:p>
    <w:p w14:paraId="04AE702B" w14:textId="12A033E4" w:rsidR="00265693" w:rsidRPr="00B47BDA" w:rsidRDefault="00265693" w:rsidP="004623DD">
      <w:pPr>
        <w:rPr>
          <w:rFonts w:eastAsia="Calibri"/>
        </w:rPr>
      </w:pPr>
      <w:r w:rsidRPr="00B47BDA">
        <w:rPr>
          <w:b/>
        </w:rPr>
        <w:t xml:space="preserve">Sredstva potrebna za provedbu: </w:t>
      </w:r>
      <w:r w:rsidRPr="00B47BDA">
        <w:t xml:space="preserve">Procijenjeni investicijski trošak u razdoblju </w:t>
      </w:r>
      <w:r w:rsidR="00BF433C" w:rsidRPr="00B47BDA">
        <w:t xml:space="preserve">do </w:t>
      </w:r>
      <w:r w:rsidRPr="00B47BDA">
        <w:t xml:space="preserve">2030 je </w:t>
      </w:r>
      <w:r w:rsidR="00315F64" w:rsidRPr="00B47BDA">
        <w:t>oko 400 milijuna EUR</w:t>
      </w:r>
      <w:r w:rsidRPr="00B47BDA">
        <w:rPr>
          <w:color w:val="000000" w:themeColor="text1"/>
        </w:rPr>
        <w:t>.</w:t>
      </w:r>
    </w:p>
    <w:p w14:paraId="3311E309" w14:textId="5A19D1E6" w:rsidR="00265693" w:rsidRPr="00B47BDA" w:rsidRDefault="00265693" w:rsidP="004623DD">
      <w:pPr>
        <w:rPr>
          <w:rFonts w:eastAsia="Calibri"/>
        </w:rPr>
      </w:pPr>
      <w:r w:rsidRPr="00B47BDA">
        <w:rPr>
          <w:b/>
        </w:rPr>
        <w:t xml:space="preserve">Izvori financiranja: </w:t>
      </w:r>
      <w:r w:rsidR="00783DA4" w:rsidRPr="00B47BDA">
        <w:t>Privatni kapitala (ESCO tvrtke), jedinice lokalne samouprave</w:t>
      </w:r>
      <w:r w:rsidRPr="00B47BDA">
        <w:t>.</w:t>
      </w:r>
    </w:p>
    <w:p w14:paraId="503F99B3" w14:textId="4319EFD7" w:rsidR="00265693" w:rsidRPr="00B47BDA" w:rsidRDefault="00265693" w:rsidP="004623DD">
      <w:r w:rsidRPr="00B47BDA">
        <w:rPr>
          <w:b/>
        </w:rPr>
        <w:t>Izvršno tijelo:</w:t>
      </w:r>
      <w:r w:rsidRPr="00B47BDA">
        <w:t xml:space="preserve"> </w:t>
      </w:r>
      <w:r w:rsidR="0065714F" w:rsidRPr="00B47BDA">
        <w:t>MINGO</w:t>
      </w:r>
      <w:r w:rsidRPr="00B47BDA">
        <w:t xml:space="preserve"> – utvrđuje model provedbe</w:t>
      </w:r>
      <w:r w:rsidR="003161A4" w:rsidRPr="00B47BDA">
        <w:t xml:space="preserve"> izradom</w:t>
      </w:r>
      <w:r w:rsidRPr="00B47BDA">
        <w:t xml:space="preserve"> Programa</w:t>
      </w:r>
      <w:r w:rsidR="0020336B" w:rsidRPr="00B47BDA">
        <w:t>, promovira i informira jedinice lokalne samouprave</w:t>
      </w:r>
      <w:r w:rsidRPr="00B47BDA">
        <w:t>; JLP(R)S – pokretanje projekata, ugovaranje energetske usluge/JPP</w:t>
      </w:r>
    </w:p>
    <w:p w14:paraId="32F8422B" w14:textId="0503B64F" w:rsidR="00265693" w:rsidRPr="00B47BDA" w:rsidRDefault="00265693" w:rsidP="004623DD">
      <w:pPr>
        <w:rPr>
          <w:rFonts w:eastAsia="Calibri"/>
        </w:rPr>
      </w:pPr>
      <w:r w:rsidRPr="00EE67E0">
        <w:rPr>
          <w:b/>
          <w:bCs/>
        </w:rPr>
        <w:t>Tijela za praćenje:</w:t>
      </w:r>
      <w:r w:rsidRPr="00B47BDA">
        <w:t xml:space="preserve"> </w:t>
      </w:r>
      <w:r w:rsidR="0065714F" w:rsidRPr="00B47BDA">
        <w:t>MINGO</w:t>
      </w:r>
      <w:r w:rsidRPr="00B47BDA">
        <w:t>-NKT</w:t>
      </w:r>
    </w:p>
    <w:p w14:paraId="790F32CD" w14:textId="5A19D1E6" w:rsidR="00265693" w:rsidRPr="00B47BDA" w:rsidRDefault="00265693" w:rsidP="63259912">
      <w:pPr>
        <w:rPr>
          <w:vertAlign w:val="subscript"/>
        </w:rPr>
      </w:pPr>
      <w:r w:rsidRPr="63259912">
        <w:rPr>
          <w:b/>
          <w:bCs/>
        </w:rPr>
        <w:t xml:space="preserve">Učinak: </w:t>
      </w:r>
      <w:r w:rsidRPr="63259912">
        <w:t>Smanjenje potrošnje električne energije u sustavima javne rasvjete, smanjenje svjetlosnog onečišćenja; procijenjene uštede u 2030.</w:t>
      </w:r>
      <w:r w:rsidRPr="63259912">
        <w:rPr>
          <w:rFonts w:eastAsia="Calibri"/>
        </w:rPr>
        <w:t xml:space="preserve"> </w:t>
      </w:r>
      <w:r w:rsidRPr="63259912">
        <w:t>0,90 PJ (21,50 ktoe); procijenjeno smanjenje emisija CO</w:t>
      </w:r>
      <w:r w:rsidRPr="63259912">
        <w:rPr>
          <w:vertAlign w:val="subscript"/>
        </w:rPr>
        <w:t>2</w:t>
      </w:r>
      <w:r w:rsidRPr="63259912">
        <w:t xml:space="preserve"> u 2030. 19,60 ktCO</w:t>
      </w:r>
      <w:r w:rsidRPr="63259912">
        <w:rPr>
          <w:vertAlign w:val="subscript"/>
        </w:rPr>
        <w:t>2e</w:t>
      </w:r>
      <w:r w:rsidRPr="63259912">
        <w:t>; kumulativne uštede energije u razdoblju 2021.-2030. 4,95 PJ (118,25 ktoe); kumulativno smanjenje emisija CO</w:t>
      </w:r>
      <w:r w:rsidRPr="63259912">
        <w:rPr>
          <w:vertAlign w:val="subscript"/>
        </w:rPr>
        <w:t>2</w:t>
      </w:r>
      <w:r w:rsidRPr="63259912">
        <w:t xml:space="preserve"> u razdoblju 2021.-2030. 157,95 ktCO</w:t>
      </w:r>
      <w:r w:rsidRPr="63259912">
        <w:rPr>
          <w:vertAlign w:val="subscript"/>
        </w:rPr>
        <w:t>2e</w:t>
      </w:r>
    </w:p>
    <w:p w14:paraId="571CD1BD" w14:textId="5A19D1E6" w:rsidR="00265693" w:rsidRPr="00B47BDA" w:rsidRDefault="00265693" w:rsidP="63259912">
      <w:pPr>
        <w:rPr>
          <w:b/>
          <w:bCs/>
        </w:rPr>
      </w:pPr>
      <w:r w:rsidRPr="63259912">
        <w:rPr>
          <w:b/>
          <w:bCs/>
        </w:rPr>
        <w:t>Metoda praćenja:</w:t>
      </w:r>
      <w:r w:rsidRPr="63259912">
        <w:t xml:space="preserve"> Sustav za praćenje, mjerenje i verifikaciju ušteda energije (SMiV), metodom odozdo-prema-gore za zamjenu javne i vanjske rasvjete</w:t>
      </w:r>
      <w:r w:rsidR="00866272" w:rsidRPr="63259912">
        <w:rPr>
          <w:b/>
          <w:bCs/>
        </w:rPr>
        <w:t>.</w:t>
      </w:r>
    </w:p>
    <w:p w14:paraId="335639D3" w14:textId="12382870" w:rsidR="00AA3F50" w:rsidRDefault="00265693" w:rsidP="004623DD">
      <w:r w:rsidRPr="63259912">
        <w:rPr>
          <w:b/>
          <w:bCs/>
        </w:rPr>
        <w:t xml:space="preserve">Povezanost s drugim dimenzijama: </w:t>
      </w:r>
      <w:r w:rsidR="00AA3F50" w:rsidRPr="63259912">
        <w:t>U</w:t>
      </w:r>
      <w:r w:rsidRPr="63259912">
        <w:t>z potencijalnu integraciju fotonaponskih sustava za proizvodnju električne energije za potrebe javne rasvjete, ostvaruje se izravna povezanost s dimenzijom dekarbonizacije</w:t>
      </w:r>
      <w:r w:rsidR="00866272" w:rsidRPr="63259912">
        <w:t>.</w:t>
      </w:r>
    </w:p>
    <w:p w14:paraId="4B0DE96C" w14:textId="74994558" w:rsidR="001F0BF0" w:rsidRPr="00BF24C1" w:rsidRDefault="00265693" w:rsidP="004623DD">
      <w:pPr>
        <w:rPr>
          <w:rFonts w:eastAsia="Calibri"/>
        </w:rPr>
      </w:pPr>
      <w:r w:rsidRPr="00B47BDA">
        <w:rPr>
          <w:b/>
        </w:rPr>
        <w:lastRenderedPageBreak/>
        <w:t>Istraživanje i razvoj</w:t>
      </w:r>
      <w:r w:rsidRPr="00B47BDA">
        <w:t xml:space="preserve">: </w:t>
      </w:r>
      <w:r w:rsidR="00AA3F50">
        <w:t>E</w:t>
      </w:r>
      <w:r w:rsidRPr="00B47BDA">
        <w:t>nergetska obnova javne rasvjete poticajna je za daljnji razvoj rasvjetne tehnologije i sustava upravljanja rasvjetom temeljenih na informacijsko-komunikacijskim tehnologijama ali i integraciju drugih usluga u sustav javne rasvjete (npr. širokopojasni Internet i dr.)</w:t>
      </w:r>
    </w:p>
    <w:p w14:paraId="75ED499F" w14:textId="506AFEAA" w:rsidR="00213EC3" w:rsidRPr="00B47BDA" w:rsidRDefault="00184324" w:rsidP="00EE67E0">
      <w:pPr>
        <w:pStyle w:val="Mjeranaslov"/>
        <w:rPr>
          <w:highlight w:val="yellow"/>
        </w:rPr>
      </w:pPr>
      <w:r w:rsidRPr="00B47BDA">
        <w:t>ENU-9</w:t>
      </w:r>
      <w:r w:rsidR="00DA25AD" w:rsidRPr="00B47BDA">
        <w:t xml:space="preserve"> </w:t>
      </w:r>
      <w:r w:rsidR="00C21988" w:rsidRPr="00B47BDA">
        <w:t>Zelena javna nabava</w:t>
      </w:r>
    </w:p>
    <w:p w14:paraId="779935B0" w14:textId="77777777" w:rsidR="002024BE" w:rsidRPr="00B47BDA" w:rsidRDefault="002024BE" w:rsidP="004623DD">
      <w:pPr>
        <w:pStyle w:val="NormalWeb"/>
      </w:pPr>
      <w:r w:rsidRPr="00B47BDA">
        <w:t xml:space="preserve">Informacijska mjera; provedba 2014.-2030. </w:t>
      </w:r>
    </w:p>
    <w:p w14:paraId="185929C0" w14:textId="77777777" w:rsidR="0099127F" w:rsidRDefault="002024BE" w:rsidP="0099127F">
      <w:r w:rsidRPr="00B47BDA">
        <w:rPr>
          <w:b/>
        </w:rPr>
        <w:t>Cilj i opis mjere:</w:t>
      </w:r>
      <w:r w:rsidRPr="00B47BDA">
        <w:t xml:space="preserve"> </w:t>
      </w:r>
    </w:p>
    <w:p w14:paraId="3307BC76" w14:textId="3C9BA22F" w:rsidR="0099127F" w:rsidRDefault="0099127F" w:rsidP="0099127F">
      <w:r>
        <w:t>Tijela javne vlasti veliki su potrošači pa tako udio javne nabave u BDP-u varira od 14 -17</w:t>
      </w:r>
      <w:r w:rsidR="009E3713">
        <w:t> </w:t>
      </w:r>
      <w:r>
        <w:t>%. Stoga</w:t>
      </w:r>
      <w:r w:rsidR="009E3713">
        <w:t>,</w:t>
      </w:r>
      <w:r>
        <w:t xml:space="preserve"> uključivanjem okolišnih kriterija u javnu nabavu, odnosno povećanjem potražnje za zelenim proizvodim</w:t>
      </w:r>
      <w:r w:rsidR="00B050CB">
        <w:t>a</w:t>
      </w:r>
      <w:r>
        <w:t xml:space="preserve"> i uslugama može se snažno utjecati na razvoj zelenog tržišta. Zeleni proizvodi i usluge su oni koji imaju manji okolišni i ugljični otisak stoga se zelena javna nabava ističe kao prioritetna za kružno gospodarstvo, za energetsku učinkovitost i za druge energetsko-klimatske-okolišne politike. </w:t>
      </w:r>
    </w:p>
    <w:p w14:paraId="4AD5B6A9" w14:textId="1FC3AE68" w:rsidR="0099127F" w:rsidRDefault="0099127F" w:rsidP="0099127F">
      <w:r>
        <w:t xml:space="preserve">Provedba zelene javne nabave u Hrvatskoj je uvedena s I. Nacionalnim akcijskim planom </w:t>
      </w:r>
      <w:r w:rsidRPr="00124BE8">
        <w:t xml:space="preserve"> 2015. godine</w:t>
      </w:r>
      <w:r>
        <w:t xml:space="preserve"> slijedom čega su pokrenute brojne mjere edukacije i komunikacije. Zakon o javnoj nabavi </w:t>
      </w:r>
      <w:r w:rsidR="00EB08F1">
        <w:t xml:space="preserve">(„Narodne novine“, br. </w:t>
      </w:r>
      <w:r w:rsidRPr="00A55E88">
        <w:t>120</w:t>
      </w:r>
      <w:r w:rsidR="005B41DA">
        <w:t>/16</w:t>
      </w:r>
      <w:r w:rsidR="004111AB">
        <w:t>. i</w:t>
      </w:r>
      <w:r w:rsidRPr="00A55E88">
        <w:t xml:space="preserve"> 114</w:t>
      </w:r>
      <w:r w:rsidR="005B41DA">
        <w:t>/22</w:t>
      </w:r>
      <w:r w:rsidR="004111AB">
        <w:t>.</w:t>
      </w:r>
      <w:r w:rsidRPr="00A55E88">
        <w:t xml:space="preserve">) daje obavezu korištenja kriterija ekonomski najpovoljnije ponude (ENP) u postupcima javne nabave. </w:t>
      </w:r>
      <w:r>
        <w:t>J</w:t>
      </w:r>
      <w:r w:rsidRPr="00A55E88">
        <w:t>avni naručitelj ne smije odrediti samo cijenu ili samo trošak kao jedini kriterij za odabir ponude te u tom slučaju relativni ponder cijene ili troška ne smije biti veći od 90 %. Ovime je omogućeno uključivanje mjerila zelene javne nabave u postupke javne nabave čime se ostvar</w:t>
      </w:r>
      <w:r>
        <w:t>uju višestruki pozitivni učinci</w:t>
      </w:r>
      <w:r w:rsidRPr="00A55E88">
        <w:t xml:space="preserve"> okolišni, društveni i financijski.</w:t>
      </w:r>
      <w:r>
        <w:t xml:space="preserve"> </w:t>
      </w:r>
    </w:p>
    <w:p w14:paraId="758151D4" w14:textId="5ABB82A3" w:rsidR="0099127F" w:rsidRDefault="0099127F" w:rsidP="0099127F">
      <w:r w:rsidRPr="00A55E88">
        <w:t xml:space="preserve">Odluka Vlade Republike Hrvatske o zelenoj javnoj nabavi u postupcima središnje javne nabave </w:t>
      </w:r>
      <w:r w:rsidR="00EB08F1">
        <w:t xml:space="preserve">(„Narodne novine“, br. </w:t>
      </w:r>
      <w:r w:rsidRPr="00A55E88">
        <w:t>49/21</w:t>
      </w:r>
      <w:r w:rsidR="004111AB">
        <w:t>.</w:t>
      </w:r>
      <w:r w:rsidRPr="00A55E88">
        <w:t xml:space="preserve">) </w:t>
      </w:r>
      <w:r>
        <w:t xml:space="preserve">daje </w:t>
      </w:r>
      <w:r w:rsidRPr="00A55E88">
        <w:t>obvez</w:t>
      </w:r>
      <w:r>
        <w:t>u</w:t>
      </w:r>
      <w:r w:rsidRPr="00A55E88">
        <w:t xml:space="preserve"> Središnjem državnom uredu za središnju javnu nabavu </w:t>
      </w:r>
      <w:r>
        <w:t xml:space="preserve">koji spada u velike  naručitelje u Hrvatskoj </w:t>
      </w:r>
      <w:r w:rsidRPr="00A55E88">
        <w:t xml:space="preserve">da u </w:t>
      </w:r>
      <w:r>
        <w:t xml:space="preserve">svojim </w:t>
      </w:r>
      <w:r w:rsidRPr="00A55E88">
        <w:t xml:space="preserve">postupcima primjenjuju mjerila zelene javne u mjeri u kojoj je to u skladu s tehničkom prikladnošću, financijskim mogućnostima, širom održivošću i dovoljnom razinom tržišnog natjecanja. </w:t>
      </w:r>
      <w:r>
        <w:t>M</w:t>
      </w:r>
      <w:r w:rsidRPr="00A55E88">
        <w:t xml:space="preserve">inistarstvo nadležno za zaštitu okoliša </w:t>
      </w:r>
      <w:r>
        <w:t xml:space="preserve">objavljuje </w:t>
      </w:r>
      <w:r w:rsidRPr="00A55E88">
        <w:t>godišnje uštede emisija ugljikova dioksida nastale provedbom ove Odluke</w:t>
      </w:r>
      <w:r>
        <w:t xml:space="preserve">. </w:t>
      </w:r>
      <w:r w:rsidRPr="00A55E88">
        <w:t xml:space="preserve"> </w:t>
      </w:r>
    </w:p>
    <w:p w14:paraId="7D2D29D3" w14:textId="28EA39F6" w:rsidR="0099127F" w:rsidRDefault="0099127F" w:rsidP="0099127F">
      <w:r>
        <w:t xml:space="preserve">MINGO vodi informacijsko-edukacijske aktivnosti o zelenoj javnoj nabavi te vodi </w:t>
      </w:r>
      <w:r w:rsidRPr="00124BE8">
        <w:t>nacionaln</w:t>
      </w:r>
      <w:r>
        <w:t>u</w:t>
      </w:r>
      <w:r w:rsidRPr="00124BE8">
        <w:t xml:space="preserve"> mrežn</w:t>
      </w:r>
      <w:r>
        <w:t>u</w:t>
      </w:r>
      <w:r w:rsidRPr="00124BE8">
        <w:t xml:space="preserve"> stranic</w:t>
      </w:r>
      <w:r>
        <w:t>u</w:t>
      </w:r>
      <w:r w:rsidRPr="00124BE8">
        <w:t xml:space="preserve"> za zelenu javnu nabavu koja služi kao komunikacijski kanal za mjerila zelene javne nabave, primjere dobre prakse, edukacije i druge informacije vezane uz zelenu javnu nabavu</w:t>
      </w:r>
      <w:r w:rsidRPr="00A55E88">
        <w:t xml:space="preserve"> </w:t>
      </w:r>
      <w:r>
        <w:t>(</w:t>
      </w:r>
      <w:r w:rsidRPr="00124BE8">
        <w:t>www.zelenanabava.hr).</w:t>
      </w:r>
    </w:p>
    <w:p w14:paraId="48AA6E93" w14:textId="77777777" w:rsidR="0099127F" w:rsidRDefault="0099127F" w:rsidP="0099127F">
      <w:r w:rsidRPr="004E5FA5">
        <w:t>Prema zadnjem Statističkom izvješću o javnoj nabavi u Republici Hrvatskoj</w:t>
      </w:r>
      <w:r>
        <w:t xml:space="preserve">, s obzirom na vrijednost </w:t>
      </w:r>
      <w:r w:rsidRPr="004E5FA5">
        <w:t xml:space="preserve">sklopljenih </w:t>
      </w:r>
      <w:r>
        <w:t xml:space="preserve">ugovora njih oko </w:t>
      </w:r>
      <w:r w:rsidRPr="004E5FA5">
        <w:t xml:space="preserve">10% </w:t>
      </w:r>
      <w:r>
        <w:t>je koristilo mjerila zelene javne nabave.</w:t>
      </w:r>
      <w:r w:rsidRPr="004E5FA5">
        <w:t xml:space="preserve"> </w:t>
      </w:r>
    </w:p>
    <w:p w14:paraId="4D60DF09" w14:textId="77777777" w:rsidR="0099127F" w:rsidRPr="00124BE8" w:rsidRDefault="0099127F" w:rsidP="0099127F">
      <w:r>
        <w:t>Kako bi se dodatno potaknula zelena javna nabava potrebno je postaviti obvezujuće ciljeve i rokove te unaprijediti praćenje i izvješćivanje te snažno raditi na edukaciji i informiranju.</w:t>
      </w:r>
    </w:p>
    <w:p w14:paraId="5F874E56" w14:textId="77777777" w:rsidR="002024BE" w:rsidRPr="00B47BDA" w:rsidRDefault="002024BE" w:rsidP="004623DD">
      <w:r w:rsidRPr="00B47BDA">
        <w:rPr>
          <w:b/>
        </w:rPr>
        <w:t>Aktivnosti:</w:t>
      </w:r>
      <w:r w:rsidRPr="00B47BDA">
        <w:t xml:space="preserve"> U okviru mjere provest će se sljedeće aktivnosti: </w:t>
      </w:r>
    </w:p>
    <w:p w14:paraId="632A2ED0" w14:textId="77777777" w:rsidR="0099127F" w:rsidRPr="00124BE8" w:rsidRDefault="0099127F" w:rsidP="0099127F">
      <w:pPr>
        <w:numPr>
          <w:ilvl w:val="0"/>
          <w:numId w:val="41"/>
        </w:numPr>
        <w:spacing w:after="160" w:line="259" w:lineRule="auto"/>
        <w:jc w:val="left"/>
      </w:pPr>
      <w:r>
        <w:t>Informacijsko-edukacijske aktivnosti o zelenoj javnoj nabavi</w:t>
      </w:r>
      <w:r w:rsidRPr="00124BE8">
        <w:t xml:space="preserve">; </w:t>
      </w:r>
    </w:p>
    <w:p w14:paraId="6D7E949F" w14:textId="77777777" w:rsidR="0099127F" w:rsidRPr="00975CE0" w:rsidRDefault="0099127F" w:rsidP="0099127F">
      <w:pPr>
        <w:pStyle w:val="ListParagraph"/>
        <w:numPr>
          <w:ilvl w:val="0"/>
          <w:numId w:val="41"/>
        </w:numPr>
        <w:spacing w:after="60"/>
        <w:ind w:left="714" w:hanging="357"/>
        <w:rPr>
          <w:rFonts w:eastAsia="Calibri"/>
        </w:rPr>
      </w:pPr>
      <w:r>
        <w:lastRenderedPageBreak/>
        <w:t>Usvajanje obvezujućih minimalnih ciljeva i rokova za zelenu javnu nabavu za pojedine skupine proizvoda koji će biti obvezni za sve obveznike javne nabave te određivanje načina praćenja i izvješćivanja.</w:t>
      </w:r>
    </w:p>
    <w:p w14:paraId="47B1D14A" w14:textId="2D847940" w:rsidR="002024BE" w:rsidRPr="00B47BDA" w:rsidRDefault="002024BE" w:rsidP="004623DD">
      <w:pPr>
        <w:rPr>
          <w:b/>
        </w:rPr>
      </w:pPr>
      <w:r w:rsidRPr="00B47BDA">
        <w:rPr>
          <w:b/>
        </w:rPr>
        <w:t xml:space="preserve">Sredstva potrebna za provedbu: </w:t>
      </w:r>
      <w:r w:rsidRPr="00B47BDA">
        <w:t>Sredstva potrebna za provedbu svih predviđenih aktivnosti planira MINGO u sklopu svojih redovnih aktivnosti i proračuna</w:t>
      </w:r>
      <w:r w:rsidRPr="00B47BDA">
        <w:rPr>
          <w:b/>
        </w:rPr>
        <w:t>.</w:t>
      </w:r>
    </w:p>
    <w:p w14:paraId="0BB6ED3C" w14:textId="714FC6E0" w:rsidR="002024BE" w:rsidRPr="00B47BDA" w:rsidRDefault="002024BE" w:rsidP="004623DD">
      <w:pPr>
        <w:rPr>
          <w:rFonts w:eastAsia="Calibri"/>
        </w:rPr>
      </w:pPr>
      <w:r w:rsidRPr="00B47BDA">
        <w:rPr>
          <w:b/>
        </w:rPr>
        <w:t xml:space="preserve">Izvori financiranja: </w:t>
      </w:r>
      <w:r w:rsidRPr="00B47BDA">
        <w:t>Državni proračun (</w:t>
      </w:r>
      <w:r w:rsidR="006D471F">
        <w:t>Ministarstvo zaštite okoliša i zelene tranzicije</w:t>
      </w:r>
      <w:r w:rsidRPr="00B47BDA">
        <w:t>)</w:t>
      </w:r>
      <w:r w:rsidR="006D471F">
        <w:t>.</w:t>
      </w:r>
    </w:p>
    <w:p w14:paraId="03B7D91D" w14:textId="188BEF93" w:rsidR="002024BE" w:rsidRPr="00B47BDA" w:rsidRDefault="002024BE" w:rsidP="004623DD">
      <w:r w:rsidRPr="00B47BDA">
        <w:rPr>
          <w:b/>
        </w:rPr>
        <w:t>Izvršno tijelo:</w:t>
      </w:r>
      <w:r w:rsidRPr="00B47BDA">
        <w:t xml:space="preserve"> MINGO u suradnji s članovima Povjerenstva za zelenu javnu nabavu; </w:t>
      </w:r>
      <w:r w:rsidR="0099127F">
        <w:t>Središnji d</w:t>
      </w:r>
      <w:r w:rsidRPr="00B47BDA">
        <w:t>ržavni ured za središnju javnu nabavu; Tijela državne uprave, JLP(R)S i drugi obveznici javne nabave.</w:t>
      </w:r>
    </w:p>
    <w:p w14:paraId="3F10D77F" w14:textId="7A75B330" w:rsidR="002024BE" w:rsidRPr="00B47BDA" w:rsidRDefault="002024BE" w:rsidP="004623DD">
      <w:pPr>
        <w:rPr>
          <w:rFonts w:eastAsia="Calibri"/>
        </w:rPr>
      </w:pPr>
      <w:r w:rsidRPr="00EE67E0">
        <w:rPr>
          <w:b/>
          <w:bCs/>
        </w:rPr>
        <w:t>Tijela za praćenje:</w:t>
      </w:r>
      <w:r w:rsidRPr="00B47BDA">
        <w:t xml:space="preserve"> </w:t>
      </w:r>
      <w:r w:rsidR="006D471F">
        <w:t>Ministarstvo zaštite okoliša i zelene tranzicije.</w:t>
      </w:r>
    </w:p>
    <w:p w14:paraId="0427F231" w14:textId="71A85384" w:rsidR="002024BE" w:rsidRPr="00B47BDA" w:rsidRDefault="002024BE" w:rsidP="004623DD">
      <w:r w:rsidRPr="00B47BDA">
        <w:rPr>
          <w:b/>
        </w:rPr>
        <w:t xml:space="preserve">Učinak: </w:t>
      </w:r>
      <w:r w:rsidRPr="00B47BDA">
        <w:t xml:space="preserve">Smanjenje </w:t>
      </w:r>
      <w:r w:rsidR="0099127F" w:rsidRPr="004C0835">
        <w:t>energetske potrošnje i emisije stakleničkih plinova</w:t>
      </w:r>
      <w:r w:rsidR="0099127F">
        <w:t>.</w:t>
      </w:r>
    </w:p>
    <w:p w14:paraId="0B82E71E" w14:textId="736DF8DD" w:rsidR="002024BE" w:rsidRPr="00B47BDA" w:rsidRDefault="002024BE" w:rsidP="004623DD">
      <w:r w:rsidRPr="00B47BDA">
        <w:rPr>
          <w:b/>
        </w:rPr>
        <w:t>Metoda praćenja:</w:t>
      </w:r>
      <w:r w:rsidRPr="00B47BDA">
        <w:t xml:space="preserve"> Praćenje ostvarenih ušteda energije u budućnosti će se provoditi primjenom BU metoda za svaku pojedinu skupinu uređaja koja se nabavljala uvažavajući kriterije energetske učinkovitosti. Pri tome se očekuje da će najveći broj nabava biti vezano uz računalnu i uredsku opremu i motorna vozila. </w:t>
      </w:r>
      <w:r w:rsidR="0099127F">
        <w:t>Središnji d</w:t>
      </w:r>
      <w:r w:rsidRPr="00B47BDA">
        <w:t>ržavni ured za središnju javnu nabavu prati podatke o količinama i tipovima nabavljene opreme te podatke dostavlja NKT-u koji ih unosi u SMIV. Potrebno je pratiti količine svih nabava u kojima se primjenjuju 'zeleni' kriteriji.</w:t>
      </w:r>
    </w:p>
    <w:p w14:paraId="07B95F4A" w14:textId="0E18C541" w:rsidR="002024BE" w:rsidRPr="00B47BDA" w:rsidRDefault="002024BE" w:rsidP="63259912">
      <w:pPr>
        <w:rPr>
          <w:rFonts w:eastAsia="Calibri"/>
        </w:rPr>
      </w:pPr>
      <w:r w:rsidRPr="63259912">
        <w:rPr>
          <w:b/>
          <w:bCs/>
        </w:rPr>
        <w:t xml:space="preserve">Povezanost s drugim dimenzijama: </w:t>
      </w:r>
      <w:r w:rsidR="00C91194" w:rsidRPr="63259912">
        <w:t>I</w:t>
      </w:r>
      <w:r w:rsidRPr="63259912">
        <w:t>zravna povezanost s dimenzijom dekarbonizacije (nabava 'zelene' električne energije, nabava električnih vozila i sl.)</w:t>
      </w:r>
      <w:r w:rsidR="00C91194" w:rsidRPr="63259912">
        <w:t>.</w:t>
      </w:r>
    </w:p>
    <w:p w14:paraId="468F1DEC" w14:textId="00A92D38" w:rsidR="001D0ADC" w:rsidRDefault="002024BE" w:rsidP="004623DD">
      <w:r w:rsidRPr="00B47BDA">
        <w:rPr>
          <w:b/>
        </w:rPr>
        <w:t>Istraživanje i razvoj</w:t>
      </w:r>
      <w:r w:rsidRPr="00B47BDA">
        <w:t xml:space="preserve">: Javna nabava može biti veliki pokretač razvojnih aktivnosti kontinuiranim povećavanjem 'zelenih' zahtjeva za uređaje, opremu i zgrade. </w:t>
      </w:r>
    </w:p>
    <w:p w14:paraId="753870D1" w14:textId="77777777" w:rsidR="001D0ADC" w:rsidRDefault="001D0ADC">
      <w:pPr>
        <w:spacing w:after="0"/>
        <w:jc w:val="left"/>
      </w:pPr>
      <w:r>
        <w:br w:type="page"/>
      </w:r>
    </w:p>
    <w:p w14:paraId="3046E25D" w14:textId="77777777" w:rsidR="00FF67C4" w:rsidRPr="00F0272C" w:rsidRDefault="00FF67C4" w:rsidP="00FF67C4">
      <w:pPr>
        <w:pStyle w:val="Mjeranaslov"/>
      </w:pPr>
      <w:r w:rsidRPr="00F0272C">
        <w:lastRenderedPageBreak/>
        <w:t>ENU-18 Povećanje energetske učinkovitosti sustava javne vodoopskrbe, odvodnje i pročišćavanja otpadnih voda</w:t>
      </w:r>
      <w:r w:rsidRPr="00F0272C" w:rsidDel="007A622C">
        <w:t xml:space="preserve"> </w:t>
      </w:r>
    </w:p>
    <w:p w14:paraId="2A66E26D" w14:textId="77777777" w:rsidR="00FF67C4" w:rsidRPr="00F0272C" w:rsidRDefault="00FF67C4" w:rsidP="00FF67C4">
      <w:pPr>
        <w:pStyle w:val="NormalWeb"/>
      </w:pPr>
      <w:r w:rsidRPr="00F0272C">
        <w:t xml:space="preserve">Financijska mjera; provedba 2024.-2030. </w:t>
      </w:r>
    </w:p>
    <w:p w14:paraId="480944DE" w14:textId="77777777" w:rsidR="00FF67C4" w:rsidRPr="00B47BDA" w:rsidRDefault="00FF67C4" w:rsidP="00FF67C4">
      <w:pPr>
        <w:pStyle w:val="NormalWeb"/>
        <w:rPr>
          <w:highlight w:val="yellow"/>
        </w:rPr>
      </w:pPr>
      <w:r w:rsidRPr="00F0272C">
        <w:rPr>
          <w:b/>
        </w:rPr>
        <w:t>Cilj i opis mjere:</w:t>
      </w:r>
      <w:r w:rsidRPr="00F0272C">
        <w:t xml:space="preserve"> Vodne</w:t>
      </w:r>
      <w:r w:rsidRPr="00B47BDA">
        <w:t xml:space="preserve"> usluge su djelatnosti od općeg interesa i obavljaju se kao javna služba, infrastruktura je u vlasništvu javnog sektora odnosno jedinica lokalne samouprave i/ili jedinice područne (regionalne) samouprave, a pravne osobe za upravljanje vodnim uslugama i vodno-komunalnim projektima su lokalna i/ili područna (regionalna) komunalna poduzeća. Energetski najintenzivniji proces tog sektora je opskrba pitkom vode koji čini oko 43,5% ukupne potrošnje električne energije vodnih usluga te 1,13% ukupne potrošnje električne energije u EU. Sektor vodnih usluga značajan je potrošač električne energije te ima veliki potencijal za smanjenje potrošnje energije učinkovitijim upravljanjem resursa, primjenom mjera energetske učinkovitosti i obnovljivih izvora energije. Povećanjem energetske učinkovitosti i udjela obnovljivih izvora energije u sektoru vodnih usluga smanjili bi se operativni troškovi i financijski gub</w:t>
      </w:r>
      <w:r>
        <w:t>it</w:t>
      </w:r>
      <w:r w:rsidRPr="00B47BDA">
        <w:t>ci. Sektor vodnih usluga mogao bi biti dobar primjer za korištenja energetskih usluga ESCO tvrtki. Također bi se mogla razmotriti mogućnost sudjelovanja stranki obveznica sustava obveze energetske učinkovitosti u ostvarivanju ušteda u sektoru vodnih usluga razmjerno udjelu sufinanciranja/poticanju u provedbi mjera. Većina procjena potencijalnih ušteda energetske učinkovitosti za vodovodna poduzeća u EU ukazuje da su uštede od 10-30 % moguće kombinacijom operativnih poboljšanja i ulaganja dok se u postrojenjima za pročišćavanje otpadnih voda mogu identificirati uštede energije čak i do 50 %.</w:t>
      </w:r>
    </w:p>
    <w:p w14:paraId="26A3C740" w14:textId="77777777" w:rsidR="00FF67C4" w:rsidRPr="00B47BDA" w:rsidRDefault="00FF67C4" w:rsidP="00FF67C4">
      <w:pPr>
        <w:pStyle w:val="NormalWeb"/>
      </w:pPr>
      <w:r w:rsidRPr="00B47BDA">
        <w:rPr>
          <w:b/>
        </w:rPr>
        <w:t>Aktivnosti:</w:t>
      </w:r>
      <w:r w:rsidRPr="00B47BDA">
        <w:t xml:space="preserve"> U okviru mjere provest će se sljedeće aktivnosti:</w:t>
      </w:r>
    </w:p>
    <w:p w14:paraId="741FAA7A" w14:textId="6028B532" w:rsidR="00FF67C4" w:rsidRPr="00B47BDA" w:rsidRDefault="00FF67C4" w:rsidP="00FF67C4">
      <w:pPr>
        <w:pStyle w:val="ListParagraph"/>
        <w:numPr>
          <w:ilvl w:val="0"/>
          <w:numId w:val="114"/>
        </w:numPr>
        <w:spacing w:after="60"/>
        <w:ind w:left="714" w:hanging="357"/>
      </w:pPr>
      <w:r w:rsidRPr="00B47BDA">
        <w:t>Informiranje dionika o programu te provođenje edukativnih radionica o obvezama, ciljevima i provođenju programa</w:t>
      </w:r>
      <w:r w:rsidR="00A64EE2">
        <w:t>;</w:t>
      </w:r>
    </w:p>
    <w:p w14:paraId="7DDC0E6A" w14:textId="14BC2538" w:rsidR="00FF67C4" w:rsidRPr="00B47BDA" w:rsidRDefault="00FF67C4" w:rsidP="00FF67C4">
      <w:pPr>
        <w:pStyle w:val="ListParagraph"/>
        <w:numPr>
          <w:ilvl w:val="0"/>
          <w:numId w:val="114"/>
        </w:numPr>
        <w:spacing w:after="60"/>
        <w:ind w:left="714" w:hanging="357"/>
      </w:pPr>
      <w:r w:rsidRPr="00B47BDA">
        <w:t>Evaluacija postojećeg stanja sustavnog gospodarenja energijom u sektoru vodnih usluga na nacionalnoj razini (APN)</w:t>
      </w:r>
      <w:r w:rsidR="00A64EE2">
        <w:t>;</w:t>
      </w:r>
    </w:p>
    <w:p w14:paraId="7E2201B3" w14:textId="10EC97F5" w:rsidR="00FF67C4" w:rsidRPr="00B47BDA" w:rsidRDefault="00FF67C4" w:rsidP="00FF67C4">
      <w:pPr>
        <w:pStyle w:val="ListParagraph"/>
        <w:numPr>
          <w:ilvl w:val="0"/>
          <w:numId w:val="114"/>
        </w:numPr>
        <w:spacing w:after="60"/>
        <w:ind w:left="714" w:hanging="357"/>
      </w:pPr>
      <w:r w:rsidRPr="00B47BDA">
        <w:t>Izrada uputa za sustavno gospodarenje energijom, prikupljanje podataka i izvještavanje (ISGE) sa svrhom utvrđivanja potrošnje energije sektora vodnih usluga na nacionalnoj razini i određivanje potencijala povećanja energetske učinkovitosti i korištenja OIE sustava javne vodoopskrbe, odvodnje i pročišćavanja otpadnih voda u Republici Hrvatskoj (</w:t>
      </w:r>
      <w:r w:rsidR="00F72892" w:rsidRPr="008D09D4">
        <w:t>Ministarstv</w:t>
      </w:r>
      <w:r w:rsidR="009C0733">
        <w:t>o</w:t>
      </w:r>
      <w:r w:rsidR="00F72892" w:rsidRPr="008D09D4">
        <w:t xml:space="preserve"> zaštite okoliša i zelene tranzicije</w:t>
      </w:r>
      <w:r w:rsidRPr="00B47BDA">
        <w:t>)</w:t>
      </w:r>
      <w:r w:rsidR="00A64EE2">
        <w:t>;</w:t>
      </w:r>
    </w:p>
    <w:p w14:paraId="79A82057" w14:textId="5F8E57D6" w:rsidR="00FF67C4" w:rsidRPr="00B47BDA" w:rsidRDefault="00FF67C4" w:rsidP="00FF67C4">
      <w:pPr>
        <w:pStyle w:val="ListParagraph"/>
        <w:numPr>
          <w:ilvl w:val="0"/>
          <w:numId w:val="114"/>
        </w:numPr>
        <w:spacing w:after="60"/>
        <w:ind w:left="714" w:hanging="357"/>
      </w:pPr>
      <w:r w:rsidRPr="00B47BDA">
        <w:t>Prikupljanje i analiza podataka o potrošnji energije u sustavima javne vodoopskrbe, odvodnje i pročišćavanja otpadnih voda, određivanje prioritetnih lokacija za provedbu mjera povećanja energetske učinkovitosti i OIE, analize i izrada uputa za planiranje i programiranje financijskih sredstava za financiranje investicijskih studija i projektne dokumentacije (</w:t>
      </w:r>
      <w:r w:rsidR="00F72892" w:rsidRPr="008D09D4">
        <w:t>Ministarstv</w:t>
      </w:r>
      <w:r w:rsidR="009C0733">
        <w:t>o</w:t>
      </w:r>
      <w:r w:rsidR="00F72892" w:rsidRPr="008D09D4">
        <w:t xml:space="preserve"> zaštite okoliša i zelene tranzicije</w:t>
      </w:r>
      <w:r w:rsidRPr="00B47BDA">
        <w:t>)</w:t>
      </w:r>
      <w:r w:rsidR="00A64EE2">
        <w:t>;</w:t>
      </w:r>
    </w:p>
    <w:p w14:paraId="41EDB499" w14:textId="2AC2D3A7" w:rsidR="00FF67C4" w:rsidRPr="00B47BDA" w:rsidRDefault="00FF67C4" w:rsidP="00FF67C4">
      <w:pPr>
        <w:pStyle w:val="ListParagraph"/>
        <w:numPr>
          <w:ilvl w:val="0"/>
          <w:numId w:val="114"/>
        </w:numPr>
        <w:spacing w:after="60"/>
        <w:ind w:left="714" w:hanging="357"/>
      </w:pPr>
      <w:r w:rsidRPr="00B47BDA">
        <w:t xml:space="preserve">FZOEU se zadužuje za provedbu ove mjere raspisivanjem godišnjih javnih poziva čije kriterije razvija u suradnji s </w:t>
      </w:r>
      <w:r w:rsidR="00F72892" w:rsidRPr="008D09D4">
        <w:t>Ministarstv</w:t>
      </w:r>
      <w:r w:rsidR="00F72892">
        <w:t>om</w:t>
      </w:r>
      <w:r w:rsidR="00F72892" w:rsidRPr="008D09D4">
        <w:t xml:space="preserve"> zaštite okoliša i zelene tranzicije</w:t>
      </w:r>
      <w:r w:rsidRPr="00B47BDA">
        <w:t xml:space="preserve"> na temelju provedenih analiza</w:t>
      </w:r>
      <w:r w:rsidR="00A64EE2">
        <w:t>.</w:t>
      </w:r>
    </w:p>
    <w:p w14:paraId="57362952" w14:textId="5C817FBC" w:rsidR="00FF67C4" w:rsidRPr="00B47BDA" w:rsidRDefault="00FF67C4" w:rsidP="00FF67C4">
      <w:r w:rsidRPr="00B47BDA">
        <w:rPr>
          <w:b/>
        </w:rPr>
        <w:lastRenderedPageBreak/>
        <w:t>Sredstva potrebna za provedbu:</w:t>
      </w:r>
      <w:r w:rsidRPr="00B47BDA">
        <w:t xml:space="preserve"> Procjene investicija će se napraviti tijekom i nakon provedenih analiza odnosno prve faze programa</w:t>
      </w:r>
      <w:r w:rsidR="001E2859">
        <w:t>, iz Modernizacijskog fonda osi</w:t>
      </w:r>
      <w:r w:rsidR="005D2291">
        <w:t>g</w:t>
      </w:r>
      <w:r w:rsidR="001E2859">
        <w:t>urano je 70</w:t>
      </w:r>
      <w:r w:rsidR="00145E08">
        <w:t xml:space="preserve"> mil</w:t>
      </w:r>
      <w:r w:rsidR="0091536B">
        <w:t>ijuna EUR</w:t>
      </w:r>
      <w:r w:rsidR="00145E08">
        <w:t xml:space="preserve"> </w:t>
      </w:r>
      <w:r w:rsidR="00956F81">
        <w:t xml:space="preserve">za poziv koji </w:t>
      </w:r>
      <w:r w:rsidR="00145E08">
        <w:t xml:space="preserve">raspisuje </w:t>
      </w:r>
      <w:r w:rsidR="00F424B4">
        <w:t>Ministarstvo zaštite okoliša i zelene tranzicije</w:t>
      </w:r>
      <w:r w:rsidR="00E2638C">
        <w:t>.</w:t>
      </w:r>
    </w:p>
    <w:p w14:paraId="53DC2387" w14:textId="10682503" w:rsidR="00FF67C4" w:rsidRPr="00B47BDA" w:rsidRDefault="00FF67C4" w:rsidP="00FF67C4">
      <w:r w:rsidRPr="00B47BDA">
        <w:rPr>
          <w:b/>
        </w:rPr>
        <w:t>Izvori financiranja:</w:t>
      </w:r>
      <w:r w:rsidR="00473433">
        <w:rPr>
          <w:b/>
        </w:rPr>
        <w:t xml:space="preserve"> </w:t>
      </w:r>
      <w:r w:rsidR="00473433" w:rsidRPr="00E2638C">
        <w:t xml:space="preserve">Modernizacijski fond, </w:t>
      </w:r>
      <w:r w:rsidRPr="00B47BDA">
        <w:t xml:space="preserve">FZOEU, JL(R)S, Hrvatske vode, energetske usluge ESCO tvrtki, obveznici sustava obveze energetske učinkovitosti, državni proračun, </w:t>
      </w:r>
      <w:r w:rsidR="00B17D3D">
        <w:t>EU</w:t>
      </w:r>
      <w:r w:rsidR="00E2638C">
        <w:t>.</w:t>
      </w:r>
    </w:p>
    <w:p w14:paraId="3F4BCBBC" w14:textId="17583453" w:rsidR="00FF67C4" w:rsidRPr="00B47BDA" w:rsidRDefault="00FF67C4" w:rsidP="00FF67C4">
      <w:r w:rsidRPr="63259912">
        <w:rPr>
          <w:b/>
          <w:bCs/>
        </w:rPr>
        <w:t>Izvršno tijelo</w:t>
      </w:r>
      <w:r w:rsidRPr="63259912">
        <w:t xml:space="preserve">: </w:t>
      </w:r>
      <w:r w:rsidR="00F424B4" w:rsidRPr="63259912">
        <w:t>Ministarstvo zaštite okoliša i zelene tranzicije</w:t>
      </w:r>
      <w:r w:rsidRPr="63259912">
        <w:t>, APN, JL(R)S, javna lokalna i/ili područna (regionalna) komunalna poduzeća za upravljanje vodnim uslugama i vodnokomunalnim projektima</w:t>
      </w:r>
      <w:r w:rsidR="00E2638C" w:rsidRPr="63259912">
        <w:t>.</w:t>
      </w:r>
    </w:p>
    <w:p w14:paraId="59D3AF08" w14:textId="06609F36" w:rsidR="00FF67C4" w:rsidRPr="00B47BDA" w:rsidRDefault="00FF67C4" w:rsidP="00FF67C4">
      <w:r w:rsidRPr="00EE67E0">
        <w:rPr>
          <w:b/>
          <w:bCs/>
        </w:rPr>
        <w:t>Tijela za praćenje:</w:t>
      </w:r>
      <w:r w:rsidRPr="00B47BDA">
        <w:t xml:space="preserve"> </w:t>
      </w:r>
      <w:r w:rsidR="00F424B4">
        <w:t>Ministarstvo zaštite okoliša i zelene tranzicije</w:t>
      </w:r>
      <w:r w:rsidR="00053D09">
        <w:t>.</w:t>
      </w:r>
    </w:p>
    <w:p w14:paraId="28EEA78A" w14:textId="1DE9757C" w:rsidR="00FF67C4" w:rsidRPr="00B47BDA" w:rsidRDefault="00FF67C4" w:rsidP="00FF67C4">
      <w:r w:rsidRPr="63259912">
        <w:rPr>
          <w:b/>
          <w:bCs/>
        </w:rPr>
        <w:t>Učinak:</w:t>
      </w:r>
      <w:r w:rsidRPr="63259912">
        <w:t xml:space="preserve"> </w:t>
      </w:r>
      <w:r w:rsidR="00E2638C" w:rsidRPr="63259912">
        <w:t>P</w:t>
      </w:r>
      <w:r w:rsidRPr="63259912">
        <w:t>rocijenjene uštede u neposrednoj potrošnji u 2030. iznose 0,15 PJ (3,58 ktoe; 41,67 GWh); procijenjeno smanjenje emisija CO</w:t>
      </w:r>
      <w:r w:rsidRPr="63259912">
        <w:rPr>
          <w:vertAlign w:val="subscript"/>
        </w:rPr>
        <w:t>2</w:t>
      </w:r>
      <w:r w:rsidRPr="63259912">
        <w:t xml:space="preserve"> u 2030. 6,63 ktCO2; kumulativne uštede energije u razdoblju 2026.-2030. 0,45 PJ (10,75 ktoe; 125,00 GWh); kumulativno smanjenje emisija CO</w:t>
      </w:r>
      <w:r w:rsidRPr="63259912">
        <w:rPr>
          <w:vertAlign w:val="subscript"/>
        </w:rPr>
        <w:t>2</w:t>
      </w:r>
      <w:r w:rsidRPr="63259912">
        <w:t xml:space="preserve"> u razdoblju 2026.-2030. 18,68 ktCO</w:t>
      </w:r>
      <w:r w:rsidRPr="63259912">
        <w:rPr>
          <w:vertAlign w:val="subscript"/>
        </w:rPr>
        <w:t>2</w:t>
      </w:r>
      <w:r w:rsidRPr="63259912">
        <w:t>.</w:t>
      </w:r>
    </w:p>
    <w:p w14:paraId="669E269B" w14:textId="77777777" w:rsidR="00FF67C4" w:rsidRPr="00B47BDA" w:rsidRDefault="00FF67C4" w:rsidP="00FF67C4">
      <w:r w:rsidRPr="00B47BDA">
        <w:rPr>
          <w:b/>
        </w:rPr>
        <w:t>Metoda praćenja:</w:t>
      </w:r>
      <w:r w:rsidRPr="00B47BDA">
        <w:t xml:space="preserve"> Ostvarene uštede prate se i dokazuju korištenjem metoda odozdo-prema-gore prema Pravilniku o sustavu za praćenje, mjerenje i verifikaciju ušteda energije</w:t>
      </w:r>
    </w:p>
    <w:p w14:paraId="5C3C0177" w14:textId="68593BA5" w:rsidR="00FF67C4" w:rsidRPr="00B47BDA" w:rsidRDefault="00FF67C4" w:rsidP="00FF67C4">
      <w:r w:rsidRPr="63259912">
        <w:rPr>
          <w:b/>
          <w:bCs/>
        </w:rPr>
        <w:t>Povezanost s drugim dimenzijama:</w:t>
      </w:r>
      <w:r w:rsidRPr="63259912">
        <w:t xml:space="preserve"> </w:t>
      </w:r>
      <w:r w:rsidR="00203A79" w:rsidRPr="63259912">
        <w:t>I</w:t>
      </w:r>
      <w:r w:rsidRPr="63259912">
        <w:t>zravna povezanost s dimenzijom dekarbonizacije, jer se kroz program potiče korištenje OIE i smanjenje emisija korištenjem učinkovitije opreme, sustavnim praćenjem potrošnje energije, modernizacijom pogona vodne infrastrukture te korištenjem pametnih tehnologija sektor ima potencijal da u budućnosti postane aktivni dionik na energetskom tržištu (</w:t>
      </w:r>
      <w:r w:rsidR="5020083B" w:rsidRPr="63259912">
        <w:t>od</w:t>
      </w:r>
      <w:r w:rsidR="3AD6A69E" w:rsidRPr="63259912">
        <w:t>a</w:t>
      </w:r>
      <w:r w:rsidR="5020083B" w:rsidRPr="63259912">
        <w:t>ziv</w:t>
      </w:r>
      <w:r w:rsidRPr="63259912">
        <w:t xml:space="preserve"> potrošnje, dinamičke cijene električne energije, </w:t>
      </w:r>
      <w:r w:rsidR="5020083B" w:rsidRPr="63259912">
        <w:t>skl</w:t>
      </w:r>
      <w:r w:rsidR="5E047019" w:rsidRPr="63259912">
        <w:t>a</w:t>
      </w:r>
      <w:r w:rsidR="5020083B" w:rsidRPr="63259912">
        <w:t>dištenje</w:t>
      </w:r>
      <w:r w:rsidRPr="63259912">
        <w:t xml:space="preserve"> električne energije i dr.)</w:t>
      </w:r>
      <w:r w:rsidR="00203A79" w:rsidRPr="63259912">
        <w:t>.</w:t>
      </w:r>
    </w:p>
    <w:p w14:paraId="201FA47E" w14:textId="69797587" w:rsidR="00D246A4" w:rsidRDefault="00FF67C4" w:rsidP="004623DD">
      <w:r w:rsidRPr="63259912">
        <w:rPr>
          <w:b/>
          <w:bCs/>
        </w:rPr>
        <w:t>Istraživanje i razvoj:</w:t>
      </w:r>
      <w:r w:rsidRPr="63259912">
        <w:t xml:space="preserve"> korištenje novih tehnologija koje doprinose ciljevima dekarbonizacije; uključivanje lokalne stručne zajednice u razvoj projekta</w:t>
      </w:r>
    </w:p>
    <w:p w14:paraId="14855706" w14:textId="77777777" w:rsidR="00FF67C4" w:rsidRPr="00B47BDA" w:rsidRDefault="00FF67C4" w:rsidP="004623DD"/>
    <w:p w14:paraId="7A51D0EE" w14:textId="0807249F" w:rsidR="00C21988" w:rsidRPr="00F8784E" w:rsidRDefault="00C21988" w:rsidP="003653B3">
      <w:pPr>
        <w:shd w:val="clear" w:color="auto" w:fill="DEEAF6" w:themeFill="accent1" w:themeFillTint="33"/>
        <w:rPr>
          <w:i/>
        </w:rPr>
      </w:pPr>
      <w:r w:rsidRPr="00F8784E">
        <w:rPr>
          <w:i/>
        </w:rPr>
        <w:t>Mjere za promicanje energetskih pregleda i sustava gospodarenja energijom</w:t>
      </w:r>
    </w:p>
    <w:p w14:paraId="56831601" w14:textId="5E601AAD" w:rsidR="00C21988" w:rsidRPr="00B47BDA" w:rsidRDefault="00235381" w:rsidP="004623DD">
      <w:r w:rsidRPr="00B47BDA">
        <w:t xml:space="preserve">Provedba energetskih pregleda </w:t>
      </w:r>
      <w:r w:rsidR="001C27CA" w:rsidRPr="00B47BDA">
        <w:t xml:space="preserve">i promicanje sustavnog gospodarenja energijom </w:t>
      </w:r>
      <w:r w:rsidR="00FE0013" w:rsidRPr="00B47BDA">
        <w:t>u razdoblju od 2021. do 2030. godine</w:t>
      </w:r>
      <w:r w:rsidR="001C27CA" w:rsidRPr="00B47BDA">
        <w:t>, osim kroz vodeću ulogu javnog sektora,</w:t>
      </w:r>
      <w:r w:rsidR="00FE0013" w:rsidRPr="00B47BDA">
        <w:t xml:space="preserve"> osigurat će se nastav</w:t>
      </w:r>
      <w:r w:rsidR="005D1887" w:rsidRPr="00B47BDA">
        <w:t>kom primjene zakonski obvezujućih odredbi</w:t>
      </w:r>
      <w:r w:rsidR="001F3B23" w:rsidRPr="00B47BDA">
        <w:t xml:space="preserve">. Naime, </w:t>
      </w:r>
      <w:r w:rsidR="00124FCF" w:rsidRPr="00B47BDA">
        <w:t xml:space="preserve">na temelju </w:t>
      </w:r>
      <w:r w:rsidR="00C21988" w:rsidRPr="00B47BDA">
        <w:t>Zakona o energetskoj učinkovitosti</w:t>
      </w:r>
      <w:r w:rsidR="004C467A">
        <w:t>,</w:t>
      </w:r>
      <w:r w:rsidR="00C21988" w:rsidRPr="00B47BDA">
        <w:t xml:space="preserve"> </w:t>
      </w:r>
      <w:r w:rsidR="00F62BE2">
        <w:t xml:space="preserve">Pravilnika o energetskim pregledima </w:t>
      </w:r>
      <w:r w:rsidR="00172EBC">
        <w:t xml:space="preserve">za </w:t>
      </w:r>
      <w:r w:rsidR="00F62BE2">
        <w:t>velik</w:t>
      </w:r>
      <w:r w:rsidR="00172EBC">
        <w:t>a</w:t>
      </w:r>
      <w:r w:rsidR="00F62BE2">
        <w:t xml:space="preserve"> poduzeća (</w:t>
      </w:r>
      <w:r w:rsidR="00EF5955">
        <w:t>„</w:t>
      </w:r>
      <w:r w:rsidR="00071A4F" w:rsidRPr="00071A4F">
        <w:t xml:space="preserve">Narodne </w:t>
      </w:r>
      <w:r w:rsidR="00A97AE7">
        <w:t>novine</w:t>
      </w:r>
      <w:r w:rsidR="00EF5955">
        <w:t>“</w:t>
      </w:r>
      <w:r w:rsidR="00071A4F" w:rsidRPr="00071A4F">
        <w:t>, br</w:t>
      </w:r>
      <w:r w:rsidR="001B663B">
        <w:t>.</w:t>
      </w:r>
      <w:r w:rsidR="00172EBC">
        <w:t xml:space="preserve"> </w:t>
      </w:r>
      <w:r w:rsidR="00172EBC" w:rsidRPr="00172EBC">
        <w:t>123</w:t>
      </w:r>
      <w:r w:rsidR="005B41DA">
        <w:t>/15</w:t>
      </w:r>
      <w:r w:rsidR="00EF5955">
        <w:t>.</w:t>
      </w:r>
      <w:r w:rsidR="00172EBC" w:rsidRPr="00172EBC">
        <w:t>, 5/20</w:t>
      </w:r>
      <w:r w:rsidR="00EF5955">
        <w:t>. i</w:t>
      </w:r>
      <w:r w:rsidR="00172EBC" w:rsidRPr="00172EBC">
        <w:t xml:space="preserve"> 97</w:t>
      </w:r>
      <w:r w:rsidR="005B41DA">
        <w:t>/21</w:t>
      </w:r>
      <w:r w:rsidR="004975F6">
        <w:t>.</w:t>
      </w:r>
      <w:r w:rsidR="00F62BE2">
        <w:t xml:space="preserve">), </w:t>
      </w:r>
      <w:r w:rsidR="00C21988" w:rsidRPr="00B47BDA">
        <w:t>Zakona o gradnji</w:t>
      </w:r>
      <w:r w:rsidR="004C467A">
        <w:t xml:space="preserve"> i Pravilnika o </w:t>
      </w:r>
      <w:r w:rsidR="00490B80">
        <w:t xml:space="preserve">energetskom pregledu zgrade i energetskom certificiranju </w:t>
      </w:r>
      <w:r w:rsidR="00EB08F1">
        <w:t xml:space="preserve">(„Narodne novine“, br. </w:t>
      </w:r>
      <w:r w:rsidR="00490B80">
        <w:t>88</w:t>
      </w:r>
      <w:r w:rsidR="005B41DA">
        <w:t>/17</w:t>
      </w:r>
      <w:r w:rsidR="004111AB">
        <w:t>.</w:t>
      </w:r>
      <w:r w:rsidR="00490B80">
        <w:t>, 90/20</w:t>
      </w:r>
      <w:r w:rsidR="004111AB">
        <w:t>.</w:t>
      </w:r>
      <w:r w:rsidR="00490B80">
        <w:t xml:space="preserve">, </w:t>
      </w:r>
      <w:r w:rsidR="00EB5A9F">
        <w:t>1</w:t>
      </w:r>
      <w:r w:rsidR="005B41DA">
        <w:t>/21</w:t>
      </w:r>
      <w:r w:rsidR="004111AB">
        <w:t>.</w:t>
      </w:r>
      <w:r w:rsidR="00EB5A9F">
        <w:t xml:space="preserve"> i 45</w:t>
      </w:r>
      <w:r w:rsidR="005B41DA">
        <w:t>/21</w:t>
      </w:r>
      <w:r w:rsidR="004111AB">
        <w:t>.</w:t>
      </w:r>
      <w:r w:rsidR="00EB5A9F">
        <w:t>)</w:t>
      </w:r>
      <w:r w:rsidR="00C21988" w:rsidRPr="00B47BDA">
        <w:t xml:space="preserve">, u Hrvatskoj su na snazi zakonske obveze provođenja energetskih pregleda za sljedeće obveznike: </w:t>
      </w:r>
    </w:p>
    <w:p w14:paraId="7DEFFBE0" w14:textId="314F4FAC" w:rsidR="00C21988" w:rsidRPr="00B47BDA" w:rsidRDefault="00C21988" w:rsidP="00F8784E">
      <w:pPr>
        <w:pStyle w:val="ListParagraph"/>
        <w:numPr>
          <w:ilvl w:val="0"/>
          <w:numId w:val="13"/>
        </w:numPr>
        <w:spacing w:after="60"/>
        <w:ind w:left="714" w:hanging="357"/>
      </w:pPr>
      <w:r w:rsidRPr="00B47BDA">
        <w:t>velika poduzeća (aktiva &gt;</w:t>
      </w:r>
      <w:r w:rsidR="00F96C97">
        <w:t xml:space="preserve">17,23 </w:t>
      </w:r>
      <w:r w:rsidRPr="00B47BDA">
        <w:t>M kn, prihod &gt;</w:t>
      </w:r>
      <w:r w:rsidR="00F96C97">
        <w:t>34,47</w:t>
      </w:r>
      <w:r w:rsidR="00F96C97" w:rsidRPr="00B47BDA">
        <w:t xml:space="preserve"> </w:t>
      </w:r>
      <w:r w:rsidRPr="00B47BDA">
        <w:t>M kn, &gt;250 radnika) svakih 4 godine (izuzetak ako je uspostavljen sustav upravljanja energijom i okolišem (ISO 50001) s obavezom energetskog pregleda);</w:t>
      </w:r>
    </w:p>
    <w:p w14:paraId="7A9EC691" w14:textId="5D899546" w:rsidR="00C21988" w:rsidRPr="00B47BDA" w:rsidRDefault="00C21988" w:rsidP="00F8784E">
      <w:pPr>
        <w:pStyle w:val="ListParagraph"/>
        <w:numPr>
          <w:ilvl w:val="0"/>
          <w:numId w:val="13"/>
        </w:numPr>
        <w:spacing w:after="60"/>
        <w:ind w:left="714" w:hanging="357"/>
      </w:pPr>
      <w:r w:rsidRPr="00B47BDA">
        <w:t>javna rasvjeta;</w:t>
      </w:r>
    </w:p>
    <w:p w14:paraId="3834B52B" w14:textId="77777777" w:rsidR="00C21988" w:rsidRPr="00B47BDA" w:rsidRDefault="00C21988" w:rsidP="00F8784E">
      <w:pPr>
        <w:pStyle w:val="ListParagraph"/>
        <w:numPr>
          <w:ilvl w:val="0"/>
          <w:numId w:val="13"/>
        </w:numPr>
        <w:spacing w:after="60"/>
        <w:ind w:left="714" w:hanging="357"/>
      </w:pPr>
      <w:r w:rsidRPr="00B47BDA">
        <w:t>zgrade javne namjene čija korisna (neto) površina prelazi 250 m² svakih 10 godina;</w:t>
      </w:r>
    </w:p>
    <w:p w14:paraId="5916FC46" w14:textId="77777777" w:rsidR="00C21988" w:rsidRDefault="00C21988" w:rsidP="00F8784E">
      <w:pPr>
        <w:pStyle w:val="ListParagraph"/>
        <w:numPr>
          <w:ilvl w:val="0"/>
          <w:numId w:val="13"/>
        </w:numPr>
        <w:spacing w:after="60"/>
        <w:ind w:left="714" w:hanging="357"/>
      </w:pPr>
      <w:r w:rsidRPr="00B47BDA">
        <w:t>postojeće zgrade ili dijelovi zgrada koji čine samostalne uporabne cjeline i koje podliježu obvezi energetskog certificiranja zgrada, kada se daju u prodaju, najam ili leasing;</w:t>
      </w:r>
    </w:p>
    <w:p w14:paraId="39E377DE" w14:textId="1725BB7F" w:rsidR="00737909" w:rsidRDefault="004A1826" w:rsidP="00F8784E">
      <w:pPr>
        <w:pStyle w:val="ListParagraph"/>
        <w:numPr>
          <w:ilvl w:val="0"/>
          <w:numId w:val="13"/>
        </w:numPr>
        <w:spacing w:after="60"/>
        <w:ind w:left="714" w:hanging="357"/>
      </w:pPr>
      <w:r>
        <w:lastRenderedPageBreak/>
        <w:t xml:space="preserve">redoviti pregled dostupnih dijelova sustava grijanja ili kombiniranog sustava grijanja i ventilacije prostora efektivne </w:t>
      </w:r>
      <w:r w:rsidR="00CB77B7">
        <w:t>nazivne snage veće od 70 k</w:t>
      </w:r>
      <w:r w:rsidR="00735CA4">
        <w:t>W</w:t>
      </w:r>
      <w:r w:rsidR="00CB77B7">
        <w:t xml:space="preserve">, poput generatora topline, sustava kontrole i cirkulacijske pumpe </w:t>
      </w:r>
      <w:r w:rsidR="00300295">
        <w:t xml:space="preserve">ili pumpi koji se upotrebljavaju za grijanje zgrada, najmanje jednom u deset godina, a što se može obaviti </w:t>
      </w:r>
      <w:r w:rsidR="00C86231">
        <w:t>i zajedno s energetskim pregledom zgrade;</w:t>
      </w:r>
    </w:p>
    <w:p w14:paraId="0D76D70B" w14:textId="45CEC7B0" w:rsidR="00C86231" w:rsidRDefault="00C86231" w:rsidP="00F8784E">
      <w:pPr>
        <w:pStyle w:val="ListParagraph"/>
        <w:numPr>
          <w:ilvl w:val="0"/>
          <w:numId w:val="13"/>
        </w:numPr>
        <w:spacing w:after="60"/>
        <w:ind w:left="714" w:hanging="357"/>
      </w:pPr>
      <w:r>
        <w:t xml:space="preserve">redoviti pregled dostupnih dijelova sustava hlađenja ili klimatizacije, odnosno </w:t>
      </w:r>
      <w:r w:rsidR="00AD6C8F">
        <w:t>kombiniranih sustava klimatizacije i ventilacije efektivne nazivne snage veće od 70 k</w:t>
      </w:r>
      <w:r w:rsidR="00735CA4">
        <w:t>W najmanje jednom u deset godina, a što se može obaviti i zajedno s energetskim pregledom zgrade;</w:t>
      </w:r>
    </w:p>
    <w:p w14:paraId="3EBEBCE4" w14:textId="5D4969D6" w:rsidR="00735CA4" w:rsidRPr="00B47BDA" w:rsidRDefault="00735CA4" w:rsidP="00F8784E">
      <w:pPr>
        <w:pStyle w:val="ListParagraph"/>
        <w:numPr>
          <w:ilvl w:val="0"/>
          <w:numId w:val="13"/>
        </w:numPr>
        <w:spacing w:after="60"/>
        <w:ind w:left="714" w:hanging="357"/>
      </w:pPr>
      <w:r>
        <w:t xml:space="preserve">ako je efektivna nazivna snaga sustava grijanja </w:t>
      </w:r>
      <w:r w:rsidR="002F519D">
        <w:t xml:space="preserve">ili kombiniranog sustava grijanja i ventilacije prostora, sustava hlađenja ili klimatizacije, odnosno kombiniranih sustava </w:t>
      </w:r>
      <w:r w:rsidR="005B42C1">
        <w:t xml:space="preserve">klimatizacije i ventilacije veća od 290 kW, mora se osigurati opremanje zgrade sustavima automatizacije i upravljanja zgradom </w:t>
      </w:r>
      <w:r w:rsidR="00323D65">
        <w:t>ako je tehnički i gospodarski izvedivo;</w:t>
      </w:r>
    </w:p>
    <w:p w14:paraId="61D8F879" w14:textId="77777777" w:rsidR="00C21988" w:rsidRPr="00B47BDA" w:rsidRDefault="00C21988" w:rsidP="00F8784E">
      <w:pPr>
        <w:pStyle w:val="ListParagraph"/>
        <w:numPr>
          <w:ilvl w:val="0"/>
          <w:numId w:val="13"/>
        </w:numPr>
        <w:spacing w:after="60"/>
        <w:ind w:left="714" w:hanging="357"/>
      </w:pPr>
      <w:r w:rsidRPr="00B47BDA">
        <w:t xml:space="preserve">sustavi grijanja u zgradama s kotlom na tekuće (&gt; 100 kW svake 2 godine), plinovito gorivo ukupne nazivne snage 20 kW (svakih 10 godina) i veće (svake 4 godine); </w:t>
      </w:r>
    </w:p>
    <w:p w14:paraId="5BC11B23" w14:textId="77777777" w:rsidR="00C21988" w:rsidRPr="00B47BDA" w:rsidRDefault="00C21988" w:rsidP="00F8784E">
      <w:pPr>
        <w:pStyle w:val="ListParagraph"/>
        <w:numPr>
          <w:ilvl w:val="0"/>
          <w:numId w:val="13"/>
        </w:numPr>
        <w:spacing w:after="60"/>
        <w:ind w:left="714" w:hanging="357"/>
      </w:pPr>
      <w:r w:rsidRPr="00B47BDA">
        <w:t>sustavi hlađenja i klimatizacije u zgradama s jednim ili više uređaja za proizvodnju toplinske/rashladne energije ukupne nazivne snage 12 kW i veće (svakih 10 godina).</w:t>
      </w:r>
    </w:p>
    <w:p w14:paraId="1A3AFE1C" w14:textId="7AF1CF83" w:rsidR="00C21988" w:rsidRPr="00B47BDA" w:rsidRDefault="00C21988" w:rsidP="004623DD">
      <w:r w:rsidRPr="00B47BDA">
        <w:t>Navedene</w:t>
      </w:r>
      <w:r w:rsidR="00E35991" w:rsidRPr="00B47BDA">
        <w:t xml:space="preserve"> </w:t>
      </w:r>
      <w:r w:rsidRPr="00B47BDA">
        <w:t xml:space="preserve">zakonske obveze </w:t>
      </w:r>
      <w:r w:rsidR="00853112" w:rsidRPr="00B47BDA">
        <w:t>prilagođavat će se kontinuirano</w:t>
      </w:r>
      <w:r w:rsidR="006513DB" w:rsidRPr="00B47BDA">
        <w:t xml:space="preserve">, posebice u svjetlu </w:t>
      </w:r>
      <w:r w:rsidR="00D9661C" w:rsidRPr="00B47BDA">
        <w:t>izmijenjene Direktive o energetskim svojstvima zgrada</w:t>
      </w:r>
      <w:r w:rsidR="00853112" w:rsidRPr="00B47BDA">
        <w:t xml:space="preserve"> te Direktive o energetskoj učinkovitosti, koja donosi obvezu uvođenja sustava gospodarenja energijom u poduzeća koja su veliki potrošači</w:t>
      </w:r>
      <w:r w:rsidRPr="00B47BDA">
        <w:t xml:space="preserve">. </w:t>
      </w:r>
      <w:r w:rsidR="000C03A9" w:rsidRPr="00B47BDA">
        <w:t>Novi zahtjevi za energetskim pregledima i sustavima gospodarenja energijom transponirat će se u zakonodavni okvir izmjenama i dopunama Zakona o energetskoj učinkovitosti i relevantnih propisa koji iz njega slijede.</w:t>
      </w:r>
    </w:p>
    <w:p w14:paraId="50514168" w14:textId="4ADCB577" w:rsidR="00522866" w:rsidRPr="00B47BDA" w:rsidRDefault="00AB0897" w:rsidP="004623DD">
      <w:r w:rsidRPr="00B47BDA">
        <w:t>Dodatno,</w:t>
      </w:r>
      <w:r w:rsidR="00522866" w:rsidRPr="00B47BDA">
        <w:t xml:space="preserve"> predviđa se uvođenje nove fiskalne mjere za</w:t>
      </w:r>
      <w:r w:rsidR="00B420A2" w:rsidRPr="00B47BDA">
        <w:t xml:space="preserve"> poticanje sustavnog gospodarenja energijom u poslovnom sektoru. </w:t>
      </w:r>
    </w:p>
    <w:p w14:paraId="40FEFE68" w14:textId="26435E88" w:rsidR="00C21988" w:rsidRPr="00B47BDA" w:rsidRDefault="00184324" w:rsidP="00EE67E0">
      <w:pPr>
        <w:pStyle w:val="Mjeranaslov"/>
      </w:pPr>
      <w:r w:rsidRPr="00B47BDA">
        <w:t>ENU-10</w:t>
      </w:r>
      <w:r w:rsidR="00522866" w:rsidRPr="00B47BDA">
        <w:t xml:space="preserve"> </w:t>
      </w:r>
      <w:r w:rsidR="00C21988" w:rsidRPr="00B47BDA">
        <w:t>Sustavno gospodarenje energijom u poslovnom</w:t>
      </w:r>
      <w:r w:rsidR="00E35991" w:rsidRPr="00B47BDA">
        <w:t xml:space="preserve"> </w:t>
      </w:r>
      <w:r w:rsidR="00C21988" w:rsidRPr="00B47BDA">
        <w:t>(uslužnom i proizvodnom) sektoru</w:t>
      </w:r>
      <w:r w:rsidR="006D6627" w:rsidRPr="00B47BDA">
        <w:t xml:space="preserve"> </w:t>
      </w:r>
    </w:p>
    <w:p w14:paraId="32C2BC47" w14:textId="3B7473AB" w:rsidR="00057435" w:rsidRPr="00B47BDA" w:rsidRDefault="00057435" w:rsidP="004623DD">
      <w:pPr>
        <w:pStyle w:val="NormalWeb"/>
      </w:pPr>
      <w:r w:rsidRPr="00B47BDA">
        <w:t xml:space="preserve">Fiskalna mjera; provedba </w:t>
      </w:r>
      <w:r w:rsidR="00E10620" w:rsidRPr="00B47BDA">
        <w:t>2023</w:t>
      </w:r>
      <w:r w:rsidRPr="00B47BDA">
        <w:t xml:space="preserve">.-2030. </w:t>
      </w:r>
    </w:p>
    <w:p w14:paraId="1F108E87" w14:textId="2A602F71" w:rsidR="00057435" w:rsidRPr="00B47BDA" w:rsidRDefault="00057435" w:rsidP="004623DD">
      <w:pPr>
        <w:pStyle w:val="NormalWeb"/>
        <w:rPr>
          <w:rFonts w:eastAsia="Calibri"/>
        </w:rPr>
      </w:pPr>
      <w:r w:rsidRPr="00B47BDA">
        <w:rPr>
          <w:b/>
          <w:color w:val="000000"/>
        </w:rPr>
        <w:t>Cilj i opis mjere:</w:t>
      </w:r>
      <w:r w:rsidRPr="00B47BDA">
        <w:rPr>
          <w:color w:val="000000"/>
        </w:rPr>
        <w:t xml:space="preserve"> </w:t>
      </w:r>
      <w:r w:rsidRPr="00B47BDA">
        <w:t>Iako su velika poduzeća obvezna redovno provoditi energetske preglede, ova obveza ne osigurava kontinuiranu brigu o potrošnji energije u poduzeću niti obuhvaća mala i srednja poduzeća. Kako bi se poduzeća potaknula na uvođenje certificiranih sustava gospodarenja energijom (kao ISO 50001), izradit</w:t>
      </w:r>
      <w:r w:rsidR="0004676E" w:rsidRPr="00B47BDA">
        <w:t xml:space="preserve"> će se</w:t>
      </w:r>
      <w:r w:rsidRPr="00B47BDA">
        <w:t xml:space="preserve"> sveobuhvatna analiza mogućnosti korištenja poreznog sustava (uključujući poreze i parafiskalne namete) za poticanje poduzeća koja uvedu ovakav sustav i time osiguraju kontinuiranu brigu o potrošnji energije.</w:t>
      </w:r>
    </w:p>
    <w:p w14:paraId="59389F1E" w14:textId="77777777" w:rsidR="00057435" w:rsidRPr="00B47BDA" w:rsidRDefault="00057435" w:rsidP="004623DD">
      <w:r w:rsidRPr="00B47BDA">
        <w:rPr>
          <w:b/>
        </w:rPr>
        <w:t>Aktivnosti:</w:t>
      </w:r>
      <w:r w:rsidRPr="00B47BDA">
        <w:t xml:space="preserve"> U okviru mjere provest će se sljedeće aktivnosti: </w:t>
      </w:r>
    </w:p>
    <w:p w14:paraId="6C3D2613" w14:textId="326C4F05" w:rsidR="00057435" w:rsidRPr="00B47BDA" w:rsidRDefault="007D3440" w:rsidP="00D03FF2">
      <w:pPr>
        <w:pStyle w:val="ListParagraph"/>
        <w:numPr>
          <w:ilvl w:val="0"/>
          <w:numId w:val="41"/>
        </w:numPr>
        <w:spacing w:after="60"/>
        <w:ind w:left="714" w:hanging="357"/>
        <w:rPr>
          <w:rFonts w:eastAsia="Calibri"/>
        </w:rPr>
      </w:pPr>
      <w:r w:rsidRPr="00B47BDA">
        <w:rPr>
          <w:rFonts w:eastAsia="Calibri"/>
        </w:rPr>
        <w:t>MINGO</w:t>
      </w:r>
      <w:r w:rsidR="00057435" w:rsidRPr="00B47BDA">
        <w:rPr>
          <w:rFonts w:eastAsia="Calibri"/>
        </w:rPr>
        <w:t xml:space="preserve"> u suradnji s MFIN tijekom </w:t>
      </w:r>
      <w:r w:rsidR="00781EE6" w:rsidRPr="00B47BDA">
        <w:rPr>
          <w:rFonts w:eastAsia="Calibri"/>
        </w:rPr>
        <w:t>202</w:t>
      </w:r>
      <w:r w:rsidR="00F73CDA">
        <w:rPr>
          <w:rFonts w:eastAsia="Calibri"/>
        </w:rPr>
        <w:t>5</w:t>
      </w:r>
      <w:r w:rsidR="00057435" w:rsidRPr="00B47BDA">
        <w:rPr>
          <w:rFonts w:eastAsia="Calibri"/>
        </w:rPr>
        <w:t>. godine izrađuje sveobuhvatnu analizu mogućnosti korištenja poreznog sustava za poticanje sustavnog gospodarenja energijom u poslovnom sektoru – za svaku predloženo rješenje potrebno je ocijeniti učinke i definirati metodu praćenja istih;</w:t>
      </w:r>
    </w:p>
    <w:p w14:paraId="30F4AA47" w14:textId="34211CDC" w:rsidR="00057435" w:rsidRPr="00B47BDA" w:rsidRDefault="00057435" w:rsidP="004623DD">
      <w:r w:rsidRPr="00B47BDA">
        <w:rPr>
          <w:b/>
        </w:rPr>
        <w:t xml:space="preserve">Sredstva potrebna za provedbu: </w:t>
      </w:r>
      <w:r w:rsidRPr="00B47BDA">
        <w:t xml:space="preserve">Sredstva potrebna za izradu sveobuhvatne analize korištenja poreznog sustava za poticanje sustavnog gospodarenja energijom u poslovnom sektoru </w:t>
      </w:r>
      <w:r w:rsidRPr="00B47BDA">
        <w:lastRenderedPageBreak/>
        <w:t xml:space="preserve">planira </w:t>
      </w:r>
      <w:r w:rsidR="007D3440" w:rsidRPr="00B47BDA">
        <w:t>MINGO</w:t>
      </w:r>
      <w:r w:rsidRPr="00B47BDA">
        <w:t xml:space="preserve"> u sklopu svojih redovnih aktivnosti i proračuna; sama provedba porezne politike ne zaht</w:t>
      </w:r>
      <w:r w:rsidR="00C56645" w:rsidRPr="00B47BDA">
        <w:t>i</w:t>
      </w:r>
      <w:r w:rsidRPr="00B47BDA">
        <w:t>jeva dodatna sredstva</w:t>
      </w:r>
      <w:r w:rsidR="00866272" w:rsidRPr="00B47BDA">
        <w:t>.</w:t>
      </w:r>
    </w:p>
    <w:p w14:paraId="35352363" w14:textId="755CF4D7" w:rsidR="00057435" w:rsidRPr="00B47BDA" w:rsidRDefault="00057435" w:rsidP="004623DD">
      <w:pPr>
        <w:rPr>
          <w:rFonts w:eastAsia="Calibri"/>
        </w:rPr>
      </w:pPr>
      <w:r w:rsidRPr="00B47BDA">
        <w:rPr>
          <w:b/>
        </w:rPr>
        <w:t xml:space="preserve">Izvori financiranja: </w:t>
      </w:r>
      <w:r w:rsidRPr="00B47BDA">
        <w:t>Državni proračun (</w:t>
      </w:r>
      <w:r w:rsidR="007D3440" w:rsidRPr="00B47BDA">
        <w:t>MINGO</w:t>
      </w:r>
      <w:r w:rsidRPr="00B47BDA">
        <w:t>)</w:t>
      </w:r>
    </w:p>
    <w:p w14:paraId="529B4C47" w14:textId="0A29E2E8" w:rsidR="00057435" w:rsidRPr="00B47BDA" w:rsidRDefault="00057435" w:rsidP="004623DD">
      <w:r w:rsidRPr="00B47BDA">
        <w:rPr>
          <w:b/>
        </w:rPr>
        <w:t>Izvršno tijelo:</w:t>
      </w:r>
      <w:r w:rsidRPr="00B47BDA">
        <w:t xml:space="preserve"> </w:t>
      </w:r>
      <w:r w:rsidR="007D3440" w:rsidRPr="00B47BDA">
        <w:t>MINGO</w:t>
      </w:r>
      <w:r w:rsidRPr="00B47BDA">
        <w:t xml:space="preserve"> – izrada analize i prijedlog rješenja; MFIN- integracija predloženih rješenja u porezni sustav</w:t>
      </w:r>
      <w:r w:rsidR="00866272" w:rsidRPr="00B47BDA">
        <w:t>.</w:t>
      </w:r>
    </w:p>
    <w:p w14:paraId="2ACA2C4A" w14:textId="43C89A28" w:rsidR="00057435" w:rsidRPr="00B47BDA" w:rsidRDefault="00057435" w:rsidP="004623DD">
      <w:pPr>
        <w:rPr>
          <w:rFonts w:eastAsia="Calibri"/>
        </w:rPr>
      </w:pPr>
      <w:r w:rsidRPr="00EE67E0">
        <w:rPr>
          <w:b/>
          <w:bCs/>
        </w:rPr>
        <w:t xml:space="preserve">Tijela za praćenje: </w:t>
      </w:r>
      <w:r w:rsidR="007D3440" w:rsidRPr="00B47BDA">
        <w:t>MINGO</w:t>
      </w:r>
      <w:r w:rsidRPr="00B47BDA">
        <w:t>-NKT</w:t>
      </w:r>
    </w:p>
    <w:p w14:paraId="2911ED53" w14:textId="0807249F" w:rsidR="00057435" w:rsidRPr="00B47BDA" w:rsidRDefault="00057435" w:rsidP="004623DD">
      <w:r w:rsidRPr="00B47BDA">
        <w:rPr>
          <w:b/>
        </w:rPr>
        <w:t xml:space="preserve">Učinak: </w:t>
      </w:r>
      <w:r w:rsidRPr="00B47BDA">
        <w:t>Smanjenje potrošnje energije poslovnih subjekata u uslužnom i industrijskom sektoru</w:t>
      </w:r>
      <w:r w:rsidR="00866272" w:rsidRPr="00B47BDA">
        <w:t>.</w:t>
      </w:r>
    </w:p>
    <w:p w14:paraId="2FCA45D8" w14:textId="0807249F" w:rsidR="00057435" w:rsidRPr="00B47BDA" w:rsidRDefault="00057435" w:rsidP="004623DD">
      <w:r w:rsidRPr="00B47BDA">
        <w:rPr>
          <w:b/>
        </w:rPr>
        <w:t>Metoda praćenja:</w:t>
      </w:r>
      <w:r w:rsidRPr="00B47BDA">
        <w:t xml:space="preserve"> Metoda praćenja će se utvrditi za odabrano porezno rješenje.</w:t>
      </w:r>
    </w:p>
    <w:p w14:paraId="7DE64E40" w14:textId="2542B484" w:rsidR="00057435" w:rsidRPr="00B47BDA" w:rsidRDefault="00057435" w:rsidP="63259912">
      <w:pPr>
        <w:rPr>
          <w:rFonts w:eastAsia="Calibri"/>
        </w:rPr>
      </w:pPr>
      <w:r w:rsidRPr="63259912">
        <w:rPr>
          <w:b/>
          <w:bCs/>
        </w:rPr>
        <w:t xml:space="preserve">Povezanost s drugim dimenzijama: </w:t>
      </w:r>
      <w:r w:rsidR="00203A79" w:rsidRPr="63259912">
        <w:t>S</w:t>
      </w:r>
      <w:r w:rsidRPr="63259912">
        <w:t>ustavnim praćenjem i razumijevanjem potrošnje energije, poslovni sektor će se kapacitirati da postane informirani sudionik na energetskom tržištu kao i da odabire rješenja koja će doprinijeti deka</w:t>
      </w:r>
      <w:r w:rsidR="00865BF8" w:rsidRPr="63259912">
        <w:t>rbonizaciji.</w:t>
      </w:r>
    </w:p>
    <w:p w14:paraId="4639180A" w14:textId="7F7301AE" w:rsidR="00C378EA" w:rsidRPr="00B47BDA" w:rsidRDefault="00057435" w:rsidP="004623DD">
      <w:pPr>
        <w:rPr>
          <w:rFonts w:eastAsia="Calibri"/>
        </w:rPr>
      </w:pPr>
      <w:r w:rsidRPr="00B47BDA">
        <w:rPr>
          <w:b/>
        </w:rPr>
        <w:t>Istraživanje i razvoj</w:t>
      </w:r>
      <w:r w:rsidRPr="00B47BDA">
        <w:t xml:space="preserve">: </w:t>
      </w:r>
      <w:r w:rsidR="008B32A6">
        <w:t>P</w:t>
      </w:r>
      <w:r w:rsidRPr="00B47BDA">
        <w:t>oticanje sustavnog gospodarenja energijom otvara potrebe za istraživanjem i razvojem sustava praćenja i upravljanja potrošnjom energije temeljenih na informacijsko-komunikacijskim tehnologijama</w:t>
      </w:r>
      <w:r w:rsidR="00865BF8" w:rsidRPr="00B47BDA">
        <w:t>.</w:t>
      </w:r>
    </w:p>
    <w:p w14:paraId="1172B5B3" w14:textId="0807249F" w:rsidR="00C21988" w:rsidRPr="003653B3" w:rsidRDefault="00C21988" w:rsidP="003653B3">
      <w:pPr>
        <w:shd w:val="clear" w:color="auto" w:fill="DEEAF6" w:themeFill="accent1" w:themeFillTint="33"/>
        <w:rPr>
          <w:i/>
        </w:rPr>
      </w:pPr>
      <w:r w:rsidRPr="003653B3">
        <w:rPr>
          <w:i/>
        </w:rPr>
        <w:t>Informiranje potrošača i mjere osposobljavanja</w:t>
      </w:r>
      <w:r w:rsidR="0086329E" w:rsidRPr="003653B3">
        <w:rPr>
          <w:i/>
        </w:rPr>
        <w:t xml:space="preserve"> </w:t>
      </w:r>
    </w:p>
    <w:p w14:paraId="17B4F102" w14:textId="0E255224" w:rsidR="00BF24C1" w:rsidRDefault="00B3343E" w:rsidP="00EE67E0">
      <w:r w:rsidRPr="00B47BDA">
        <w:t>Informiranje po</w:t>
      </w:r>
      <w:r w:rsidR="002D52CA" w:rsidRPr="00B47BDA">
        <w:t xml:space="preserve">trošača </w:t>
      </w:r>
      <w:r w:rsidR="003F0BB1" w:rsidRPr="00B47BDA">
        <w:t xml:space="preserve">nastavit će se ostvarivati kroz unaprjeđenje provedbe postojećih regulatornih i </w:t>
      </w:r>
      <w:r w:rsidR="00470DCF" w:rsidRPr="00B47BDA">
        <w:t xml:space="preserve">informacijskih </w:t>
      </w:r>
      <w:r w:rsidR="00FC55E9" w:rsidRPr="00B47BDA">
        <w:t xml:space="preserve">mjera. </w:t>
      </w:r>
    </w:p>
    <w:p w14:paraId="608F7BC9" w14:textId="0866BCC4" w:rsidR="00DF78A5" w:rsidRPr="00B47BDA" w:rsidRDefault="00184324" w:rsidP="00EE67E0">
      <w:pPr>
        <w:pStyle w:val="Mjeranaslov"/>
      </w:pPr>
      <w:r w:rsidRPr="00B47BDA">
        <w:t>ENU-1</w:t>
      </w:r>
      <w:r w:rsidR="00073F8F" w:rsidRPr="00B47BDA">
        <w:t>1</w:t>
      </w:r>
      <w:r w:rsidR="001B2AD1" w:rsidRPr="00B47BDA">
        <w:t xml:space="preserve"> </w:t>
      </w:r>
      <w:r w:rsidR="0016642F" w:rsidRPr="00B47BDA">
        <w:t>Informiranje o energetskoj učinkovitosti</w:t>
      </w:r>
      <w:r w:rsidR="00A71ADB" w:rsidRPr="00B47BDA">
        <w:t xml:space="preserve"> </w:t>
      </w:r>
    </w:p>
    <w:p w14:paraId="60C28DA0" w14:textId="77777777" w:rsidR="00D35754" w:rsidRPr="00B47BDA" w:rsidRDefault="00D35754" w:rsidP="004623DD">
      <w:pPr>
        <w:pStyle w:val="NormalWeb"/>
      </w:pPr>
      <w:r w:rsidRPr="00B47BDA">
        <w:t xml:space="preserve">Informacijska mjera; provedba 2014.-2030. </w:t>
      </w:r>
    </w:p>
    <w:p w14:paraId="28A9FBA1" w14:textId="77777777" w:rsidR="00C96222" w:rsidRPr="00B47BDA" w:rsidRDefault="00D35754" w:rsidP="004623DD">
      <w:r w:rsidRPr="00B47BDA">
        <w:rPr>
          <w:b/>
        </w:rPr>
        <w:t>Cilj i opis mjere:</w:t>
      </w:r>
      <w:r w:rsidRPr="00B47BDA">
        <w:t xml:space="preserve"> Informiranje opće javnosti i ciljnih skupina provodit će se organizacijom ciljanih info-kampanja vezanih uz specifične programe poticanja energetske učinkovitosti, poglavito energetske obnove zgrada. </w:t>
      </w:r>
    </w:p>
    <w:p w14:paraId="3CF4CEF2" w14:textId="0807249F" w:rsidR="00D35754" w:rsidRPr="00B47BDA" w:rsidRDefault="00D35754" w:rsidP="004623DD">
      <w:r w:rsidRPr="00B47BDA">
        <w:t>NKT će održavati nacionalni portal energetske učinkovitosti i kroz osiguranje ažurnih informacija osigurati kontinuiranu promociju energetske učinkovitosti i energetskih usluga. Posebnu je pozornost u sljedećem razdoblju potrebno dati informiranju potrošača o dužnostima opskrbljivača u sklopu sustava obveza.</w:t>
      </w:r>
    </w:p>
    <w:p w14:paraId="104D6848" w14:textId="0807249F" w:rsidR="00D35754" w:rsidRPr="00B47BDA" w:rsidRDefault="00D35754" w:rsidP="004623DD">
      <w:r w:rsidRPr="00B47BDA">
        <w:rPr>
          <w:b/>
        </w:rPr>
        <w:t>Aktivnosti:</w:t>
      </w:r>
      <w:r w:rsidRPr="00B47BDA">
        <w:t xml:space="preserve"> U okviru mjere provest će se sljedeće aktivnosti: </w:t>
      </w:r>
    </w:p>
    <w:p w14:paraId="04A6415D" w14:textId="331B8C15" w:rsidR="00D35754" w:rsidRPr="00B47BDA" w:rsidRDefault="00D35754" w:rsidP="00D03FF2">
      <w:pPr>
        <w:pStyle w:val="ListParagraph"/>
        <w:numPr>
          <w:ilvl w:val="0"/>
          <w:numId w:val="44"/>
        </w:numPr>
        <w:spacing w:after="60"/>
        <w:ind w:left="714" w:hanging="357"/>
        <w:rPr>
          <w:rFonts w:eastAsia="Calibri"/>
        </w:rPr>
      </w:pPr>
      <w:r w:rsidRPr="00B47BDA">
        <w:rPr>
          <w:rFonts w:eastAsia="Calibri"/>
        </w:rPr>
        <w:t>Osiguravanje kontinuiranog informiranja pute</w:t>
      </w:r>
      <w:r w:rsidR="00470E00">
        <w:rPr>
          <w:rFonts w:eastAsia="Calibri"/>
        </w:rPr>
        <w:t>m</w:t>
      </w:r>
      <w:r w:rsidRPr="00B47BDA">
        <w:rPr>
          <w:rFonts w:eastAsia="Calibri"/>
        </w:rPr>
        <w:t xml:space="preserve"> nacionalnog portala za energetsku učinkovitost - portal </w:t>
      </w:r>
      <w:hyperlink r:id="rId47" w:history="1">
        <w:r w:rsidRPr="00B47BDA">
          <w:rPr>
            <w:rFonts w:eastAsia="Calibri"/>
            <w:color w:val="0563C1"/>
            <w:u w:val="single"/>
          </w:rPr>
          <w:t>www.enu.hr</w:t>
        </w:r>
      </w:hyperlink>
      <w:r w:rsidRPr="00B47BDA">
        <w:rPr>
          <w:rFonts w:eastAsia="Calibri"/>
        </w:rPr>
        <w:t xml:space="preserve"> je centralno mjesto o informiranju o aktualnostima u području ušteda energije u Republici Hrvatskoj. Sadržaj portala je grupiran oko tri temeljna nositelja promjena: građani, javni sektor, komercijalni sektor uz rubriku EE u Hrvatskoj koja sadrži sve važne dokumente, strateška usmjerenja i informacije o institucijama koje djeluju unutar područja energetske učinkovitosti. Portal objavljuje sve informacije o aktivnostima, savjetima, događanjima, projektima, natječajima, novostima i obavezama vezanim uz energetsku učinkovitost u Republici Hrvatskoj. </w:t>
      </w:r>
      <w:r w:rsidR="00627B52" w:rsidRPr="00B47BDA">
        <w:rPr>
          <w:rFonts w:eastAsia="Calibri"/>
        </w:rPr>
        <w:t>MINGO</w:t>
      </w:r>
      <w:r w:rsidRPr="00B47BDA">
        <w:rPr>
          <w:rFonts w:eastAsia="Calibri"/>
        </w:rPr>
        <w:t xml:space="preserve"> – NKT se obvezuje održavati i osigurati punu funkcionalnost portala;</w:t>
      </w:r>
    </w:p>
    <w:p w14:paraId="792650E4" w14:textId="445CB962" w:rsidR="00D35754" w:rsidRPr="00B47BDA" w:rsidRDefault="00D35754" w:rsidP="00D03FF2">
      <w:pPr>
        <w:pStyle w:val="ListParagraph"/>
        <w:numPr>
          <w:ilvl w:val="0"/>
          <w:numId w:val="44"/>
        </w:numPr>
        <w:spacing w:after="60"/>
        <w:ind w:left="714" w:hanging="357"/>
        <w:rPr>
          <w:rFonts w:eastAsia="Calibri"/>
        </w:rPr>
      </w:pPr>
      <w:r w:rsidRPr="00B47BDA">
        <w:rPr>
          <w:rFonts w:eastAsia="Calibri"/>
        </w:rPr>
        <w:lastRenderedPageBreak/>
        <w:t>Ciljane info-kampanje potrebno je provoditi u sklopu drugih mjera, pogotovo mjera energetske obnove zgrada, a tijela zadužena za provedbu tih mjera zadužuju se i za provedbu aktivnosti informiranja.</w:t>
      </w:r>
    </w:p>
    <w:p w14:paraId="4DFA3F4D" w14:textId="482ACEC1" w:rsidR="00D35754" w:rsidRPr="00BF24C1" w:rsidRDefault="008D5103" w:rsidP="00D03FF2">
      <w:pPr>
        <w:pStyle w:val="ListParagraph"/>
        <w:numPr>
          <w:ilvl w:val="0"/>
          <w:numId w:val="44"/>
        </w:numPr>
        <w:spacing w:after="60"/>
        <w:ind w:left="714" w:hanging="357"/>
        <w:rPr>
          <w:rFonts w:eastAsia="Calibri"/>
        </w:rPr>
      </w:pPr>
      <w:r w:rsidRPr="00B47BDA">
        <w:rPr>
          <w:rFonts w:eastAsia="Calibri"/>
        </w:rPr>
        <w:t xml:space="preserve">Ciljane info-kampanje potrebno je </w:t>
      </w:r>
      <w:r w:rsidR="006E0769" w:rsidRPr="00B47BDA">
        <w:rPr>
          <w:rFonts w:eastAsia="Calibri"/>
        </w:rPr>
        <w:t>usmjeravati i na stručnu javnost, koju je u suradnji s ostalim dionicima (stručnim udruženjima</w:t>
      </w:r>
      <w:r w:rsidR="001D20B3" w:rsidRPr="00B47BDA">
        <w:rPr>
          <w:rFonts w:eastAsia="Calibri"/>
        </w:rPr>
        <w:t>, akademskom zajednicom, nev</w:t>
      </w:r>
      <w:r w:rsidR="00E5788C" w:rsidRPr="00B47BDA">
        <w:rPr>
          <w:rFonts w:eastAsia="Calibri"/>
        </w:rPr>
        <w:t>l</w:t>
      </w:r>
      <w:r w:rsidR="001D20B3" w:rsidRPr="00B47BDA">
        <w:rPr>
          <w:rFonts w:eastAsia="Calibri"/>
        </w:rPr>
        <w:t>adinim organizacijama i dr.</w:t>
      </w:r>
      <w:r w:rsidR="006E0769" w:rsidRPr="00B47BDA">
        <w:rPr>
          <w:rFonts w:eastAsia="Calibri"/>
        </w:rPr>
        <w:t xml:space="preserve">) </w:t>
      </w:r>
      <w:r w:rsidR="001D20B3" w:rsidRPr="00B47BDA">
        <w:rPr>
          <w:rFonts w:eastAsia="Calibri"/>
        </w:rPr>
        <w:t xml:space="preserve">potrebno </w:t>
      </w:r>
      <w:r w:rsidR="006E0769" w:rsidRPr="00B47BDA">
        <w:rPr>
          <w:rFonts w:eastAsia="Calibri"/>
        </w:rPr>
        <w:t xml:space="preserve">redovno </w:t>
      </w:r>
      <w:r w:rsidR="00A0341E" w:rsidRPr="00B47BDA">
        <w:rPr>
          <w:rFonts w:eastAsia="Calibri"/>
        </w:rPr>
        <w:t>informirati o aktualnostima i trend</w:t>
      </w:r>
      <w:r w:rsidR="00E5788C" w:rsidRPr="00B47BDA">
        <w:rPr>
          <w:rFonts w:eastAsia="Calibri"/>
        </w:rPr>
        <w:t>o</w:t>
      </w:r>
      <w:r w:rsidR="00A0341E" w:rsidRPr="00B47BDA">
        <w:rPr>
          <w:rFonts w:eastAsia="Calibri"/>
        </w:rPr>
        <w:t xml:space="preserve">vima </w:t>
      </w:r>
      <w:r w:rsidR="00A0341E" w:rsidRPr="00B47BDA">
        <w:rPr>
          <w:rFonts w:eastAsia="Arial"/>
        </w:rPr>
        <w:t>iz područja energetske učinkovitosti, uključujući zelen</w:t>
      </w:r>
      <w:r w:rsidR="00EC2ACA" w:rsidRPr="00B47BDA">
        <w:rPr>
          <w:rFonts w:eastAsia="Arial"/>
        </w:rPr>
        <w:t>u</w:t>
      </w:r>
      <w:r w:rsidR="00A0341E" w:rsidRPr="00B47BDA">
        <w:rPr>
          <w:rFonts w:eastAsia="Arial"/>
        </w:rPr>
        <w:t xml:space="preserve"> gradnju</w:t>
      </w:r>
      <w:r w:rsidR="00EC2ACA" w:rsidRPr="00B47BDA">
        <w:rPr>
          <w:rFonts w:eastAsia="Arial"/>
        </w:rPr>
        <w:t>, kružno gospodarstvo</w:t>
      </w:r>
      <w:r w:rsidR="00A0341E" w:rsidRPr="00B47BDA">
        <w:rPr>
          <w:rFonts w:eastAsia="Arial"/>
        </w:rPr>
        <w:t xml:space="preserve"> i održiv</w:t>
      </w:r>
      <w:r w:rsidR="00EC2ACA" w:rsidRPr="00B47BDA">
        <w:rPr>
          <w:rFonts w:eastAsia="Arial"/>
        </w:rPr>
        <w:t>u</w:t>
      </w:r>
      <w:r w:rsidR="00A0341E" w:rsidRPr="00B47BDA">
        <w:rPr>
          <w:rFonts w:eastAsia="Arial"/>
        </w:rPr>
        <w:t xml:space="preserve"> mobilnost</w:t>
      </w:r>
      <w:r w:rsidR="00951B28" w:rsidRPr="00B47BDA">
        <w:rPr>
          <w:rFonts w:eastAsia="Arial"/>
        </w:rPr>
        <w:t>.</w:t>
      </w:r>
    </w:p>
    <w:p w14:paraId="145B4C36" w14:textId="42D9CB35" w:rsidR="00D35754" w:rsidRPr="00B47BDA" w:rsidRDefault="00D35754" w:rsidP="004623DD">
      <w:r w:rsidRPr="00B47BDA">
        <w:rPr>
          <w:b/>
        </w:rPr>
        <w:t xml:space="preserve">Sredstva potrebna za provedbu: </w:t>
      </w:r>
      <w:r w:rsidRPr="00B47BDA">
        <w:t xml:space="preserve">Sredstva potrebna za provedbu svih predviđenih aktivnosti planira </w:t>
      </w:r>
      <w:r w:rsidR="00F44C4F" w:rsidRPr="00B47BDA">
        <w:t>MINGO</w:t>
      </w:r>
      <w:r w:rsidRPr="00B47BDA">
        <w:t xml:space="preserve"> u sklopu svojih redovnih aktivnosti i proračuna</w:t>
      </w:r>
      <w:r w:rsidR="00951B28" w:rsidRPr="00B47BDA">
        <w:t>.</w:t>
      </w:r>
    </w:p>
    <w:p w14:paraId="0D8761ED" w14:textId="38559855" w:rsidR="00D35754" w:rsidRPr="00B47BDA" w:rsidRDefault="00D35754" w:rsidP="004623DD">
      <w:pPr>
        <w:rPr>
          <w:rFonts w:eastAsia="Calibri"/>
        </w:rPr>
      </w:pPr>
      <w:r w:rsidRPr="00B47BDA">
        <w:rPr>
          <w:b/>
        </w:rPr>
        <w:t xml:space="preserve">Izvori financiranja: </w:t>
      </w:r>
      <w:r w:rsidRPr="00B47BDA">
        <w:t>Državni proračun (</w:t>
      </w:r>
      <w:r w:rsidR="00F44C4F" w:rsidRPr="00B47BDA">
        <w:t>MINGO</w:t>
      </w:r>
      <w:r w:rsidRPr="00B47BDA">
        <w:t>)</w:t>
      </w:r>
    </w:p>
    <w:p w14:paraId="1DC47E51" w14:textId="46C1B3D2" w:rsidR="00D35754" w:rsidRPr="00B47BDA" w:rsidRDefault="00D35754" w:rsidP="004623DD">
      <w:r w:rsidRPr="00B47BDA">
        <w:rPr>
          <w:b/>
        </w:rPr>
        <w:t>Izvršno tijelo:</w:t>
      </w:r>
      <w:r w:rsidRPr="00B47BDA">
        <w:t xml:space="preserve"> </w:t>
      </w:r>
      <w:r w:rsidR="00F44C4F" w:rsidRPr="00B47BDA">
        <w:t>MINGO</w:t>
      </w:r>
      <w:r w:rsidRPr="00B47BDA">
        <w:t xml:space="preserve"> – NKT; Tijela zadužena za provedbu ostalih mjera (</w:t>
      </w:r>
      <w:r w:rsidR="00EA4970" w:rsidRPr="00B47BDA">
        <w:t>MPGI</w:t>
      </w:r>
      <w:r w:rsidRPr="00B47BDA">
        <w:t>, FZOEU, JLP(R)S</w:t>
      </w:r>
      <w:r w:rsidR="00E223DA" w:rsidRPr="00B47BDA">
        <w:t xml:space="preserve"> </w:t>
      </w:r>
      <w:r w:rsidRPr="00B47BDA">
        <w:t>i dr.)</w:t>
      </w:r>
    </w:p>
    <w:p w14:paraId="162EAC44" w14:textId="01CECB93" w:rsidR="00D35754" w:rsidRPr="00B47BDA" w:rsidRDefault="00D35754" w:rsidP="004623DD">
      <w:pPr>
        <w:rPr>
          <w:rFonts w:eastAsia="Calibri"/>
        </w:rPr>
      </w:pPr>
      <w:r w:rsidRPr="00EE67E0">
        <w:rPr>
          <w:b/>
          <w:bCs/>
        </w:rPr>
        <w:t xml:space="preserve">Tijela za praćenje: </w:t>
      </w:r>
      <w:r w:rsidR="00E716AF" w:rsidRPr="00B47BDA">
        <w:t>MINGO</w:t>
      </w:r>
      <w:r w:rsidRPr="00B47BDA">
        <w:t>-NKT</w:t>
      </w:r>
    </w:p>
    <w:p w14:paraId="17936115" w14:textId="35F47757" w:rsidR="00D35754" w:rsidRPr="00B47BDA" w:rsidRDefault="00D35754" w:rsidP="004623DD">
      <w:r w:rsidRPr="00B47BDA">
        <w:rPr>
          <w:b/>
        </w:rPr>
        <w:t xml:space="preserve">Učinak: </w:t>
      </w:r>
      <w:r w:rsidRPr="00B47BDA">
        <w:t>Povećanje razine svijesti o koristima energetske učinkovitosti uz posljedičnu promjenu ponašanja i smanjenje potrošnje energije primjenom konkretnih mjera</w:t>
      </w:r>
      <w:r w:rsidR="00951B28" w:rsidRPr="00B47BDA">
        <w:t>.</w:t>
      </w:r>
    </w:p>
    <w:p w14:paraId="0C0014D6" w14:textId="35F47757" w:rsidR="00D35754" w:rsidRPr="00B47BDA" w:rsidRDefault="00D35754" w:rsidP="004623DD">
      <w:r w:rsidRPr="00B47BDA">
        <w:rPr>
          <w:b/>
        </w:rPr>
        <w:t>Metoda praćenja:</w:t>
      </w:r>
      <w:r w:rsidRPr="00B47BDA">
        <w:t xml:space="preserve"> Praćenje učinka ove mjere moguće je primjenom metoda odozgo-prema-dolje na sektorskoj razini. Prije provođenja svake info kampanje potrebno je napraviti istraživanje tržišta te učinke dokazati ponavljanjem istog ispitivanja nakon provedene kampanje.</w:t>
      </w:r>
    </w:p>
    <w:p w14:paraId="67A26EAE" w14:textId="4A764BB2" w:rsidR="00D35754" w:rsidRPr="00B47BDA" w:rsidRDefault="00D35754" w:rsidP="004623DD">
      <w:pPr>
        <w:rPr>
          <w:rFonts w:eastAsia="Calibri"/>
        </w:rPr>
      </w:pPr>
      <w:r w:rsidRPr="00B47BDA">
        <w:rPr>
          <w:b/>
        </w:rPr>
        <w:t>Istraživanje i razvoj</w:t>
      </w:r>
      <w:r w:rsidRPr="00B47BDA">
        <w:t xml:space="preserve">: </w:t>
      </w:r>
      <w:r w:rsidR="00355809">
        <w:t>M</w:t>
      </w:r>
      <w:r w:rsidRPr="00B47BDA">
        <w:t>jera potiče inovacije u segmentu informiranja (korištenje informacijsko-komunikacijskih tehnologija)</w:t>
      </w:r>
      <w:r w:rsidR="00951B28" w:rsidRPr="00B47BDA">
        <w:t>.</w:t>
      </w:r>
    </w:p>
    <w:p w14:paraId="43E2F39B" w14:textId="0DC992B9" w:rsidR="00C21988" w:rsidRPr="00B47BDA" w:rsidRDefault="00184324" w:rsidP="00EE67E0">
      <w:pPr>
        <w:pStyle w:val="Mjeranaslov"/>
      </w:pPr>
      <w:r w:rsidRPr="00B47BDA">
        <w:t>ENU-1</w:t>
      </w:r>
      <w:r w:rsidR="00F46385" w:rsidRPr="00B47BDA">
        <w:t>2</w:t>
      </w:r>
      <w:r w:rsidR="001B2AD1" w:rsidRPr="00B47BDA">
        <w:t xml:space="preserve"> </w:t>
      </w:r>
      <w:r w:rsidR="000B1233" w:rsidRPr="00B47BDA">
        <w:t>Razvoj okvira za osiguranje adekvatnih vještina u kontekstu zelenih poslova potrebnih za obnovu zgrada</w:t>
      </w:r>
    </w:p>
    <w:p w14:paraId="3486FE14" w14:textId="77777777" w:rsidR="00CF3316" w:rsidRPr="00B47BDA" w:rsidRDefault="00CF3316" w:rsidP="004623DD">
      <w:pPr>
        <w:pStyle w:val="NormalWeb"/>
      </w:pPr>
      <w:r w:rsidRPr="00B47BDA">
        <w:t xml:space="preserve">Obrazovna mjera; provedba 2017.-2030. </w:t>
      </w:r>
    </w:p>
    <w:p w14:paraId="3255AE73" w14:textId="35F47757" w:rsidR="00CF3316" w:rsidRPr="00B47BDA" w:rsidRDefault="00CF3316" w:rsidP="004623DD">
      <w:pPr>
        <w:rPr>
          <w:highlight w:val="yellow"/>
        </w:rPr>
      </w:pPr>
      <w:r w:rsidRPr="00B47BDA">
        <w:rPr>
          <w:b/>
        </w:rPr>
        <w:t>Cilj i opis mjere:</w:t>
      </w:r>
      <w:r w:rsidRPr="00B47BDA">
        <w:t xml:space="preserve"> Osposobljavanje će se ostvariti kroz nastavak provedbe postojeće mjere te prilagođavanje aktivnosti potrebama i stvarnoj situaciji. Poglavito je važno sustavno raditi na privlačenju mladih ljudi u građevinska i ostala tehnička zanimanja, što će dugoročno doprinijeti raspoloživosti stručnih kapaciteta za provedbu energetske obnove zgrada, koja je temelj za postizanje zacrtanih energetsko-klimatskih ciljeva. Kroz obrazovanje u području energetske učinkovitosti postavit će se</w:t>
      </w:r>
      <w:r w:rsidR="00E223DA" w:rsidRPr="00B47BDA">
        <w:t xml:space="preserve"> </w:t>
      </w:r>
      <w:r w:rsidRPr="00B47BDA">
        <w:t xml:space="preserve">i primjenjivati principi zelene gradnje: potrebno je potaknuti promicanje i implementaciju zelene gradnje (gradnje po principima održivosti) kao bitnog segmenta održivog razvoja i kružne ekonomije. </w:t>
      </w:r>
      <w:r w:rsidR="00E01186" w:rsidRPr="00B47BDA">
        <w:t>Cilj je razviti okvir za osiguranje adekvatnih vještina potrebnih za dugoročan, kompleksan i sustavan proces obnove nakon potresa kroz unaprjeđenje edukativnih programa i programa usavršavanja.</w:t>
      </w:r>
    </w:p>
    <w:p w14:paraId="0290193C" w14:textId="35F47757" w:rsidR="00CF3316" w:rsidRPr="00B47BDA" w:rsidRDefault="00CF3316" w:rsidP="004623DD">
      <w:r w:rsidRPr="00B47BDA">
        <w:rPr>
          <w:b/>
        </w:rPr>
        <w:t>Aktivnosti:</w:t>
      </w:r>
      <w:r w:rsidRPr="00B47BDA">
        <w:t xml:space="preserve"> U okviru mjere provest će se sljedeće aktivnosti:</w:t>
      </w:r>
    </w:p>
    <w:p w14:paraId="6D24B4E3" w14:textId="77777777" w:rsidR="00CF3316" w:rsidRPr="00C52D48" w:rsidRDefault="00CF3316" w:rsidP="00A563AA">
      <w:pPr>
        <w:pStyle w:val="ListParagraph"/>
        <w:numPr>
          <w:ilvl w:val="0"/>
          <w:numId w:val="44"/>
        </w:numPr>
        <w:rPr>
          <w:rFonts w:eastAsia="Calibri" w:cs="Calibri"/>
        </w:rPr>
      </w:pPr>
      <w:r w:rsidRPr="00C52D48">
        <w:rPr>
          <w:rFonts w:eastAsia="Calibri" w:cs="Calibri"/>
        </w:rPr>
        <w:t xml:space="preserve">Predviđa se daljnja implementacija sustava kontinuirane izobrazbe i certifikacije građevinskih radnika - putem ovlaštenih CROSKILLS trening centara, a prema Pravilniku o sustavu izobrazbe i certificiranja građevinskih radnika koji ugrađuju dijelove zgrade </w:t>
      </w:r>
      <w:r w:rsidRPr="00C52D48">
        <w:rPr>
          <w:rFonts w:eastAsia="Calibri" w:cs="Calibri"/>
        </w:rPr>
        <w:lastRenderedPageBreak/>
        <w:t>koji utječu na energetsku učinkovitost u zgradarstvu. Ovo treba dovesti do povećane primjene energetske učinkovitosti i obnovljivih izvora energije u svakodnevnoj graditeljskoj praksi i povećane potražnje za educiranom radnom snagom, a putem povećanja praktičnih znanja radnika koji rade na licu mjesta i koji su specijalizirani za sve faze gradnje građevine i postupaka njezinog održavanja</w:t>
      </w:r>
    </w:p>
    <w:p w14:paraId="779A98DD" w14:textId="15571B90" w:rsidR="002B09E7" w:rsidRPr="00C52D48" w:rsidRDefault="002B09E7" w:rsidP="00A563AA">
      <w:pPr>
        <w:pStyle w:val="ListParagraph"/>
        <w:numPr>
          <w:ilvl w:val="0"/>
          <w:numId w:val="44"/>
        </w:numPr>
        <w:rPr>
          <w:rFonts w:eastAsia="Calibri" w:cs="Calibri"/>
        </w:rPr>
      </w:pPr>
      <w:r w:rsidRPr="00C52D48">
        <w:rPr>
          <w:rFonts w:eastAsia="Calibri" w:cs="Calibri"/>
        </w:rPr>
        <w:t xml:space="preserve">Predviđa se daljnja implementacija sustava kontinuirane izobrazbe i </w:t>
      </w:r>
      <w:r w:rsidR="002637F2" w:rsidRPr="00C52D48">
        <w:rPr>
          <w:rFonts w:eastAsia="Calibri" w:cs="Calibri"/>
        </w:rPr>
        <w:t>certifikacije građevinskih radnika putem Nositelja programa</w:t>
      </w:r>
      <w:r w:rsidR="003C2796" w:rsidRPr="00C52D48">
        <w:rPr>
          <w:rFonts w:eastAsia="Calibri" w:cs="Calibri"/>
        </w:rPr>
        <w:t xml:space="preserve"> izobrazbe, programa certificiranja ili istovrijednog programa kvalifikacije </w:t>
      </w:r>
      <w:r w:rsidR="003628E3" w:rsidRPr="00C52D48">
        <w:rPr>
          <w:rFonts w:eastAsia="Calibri" w:cs="Calibri"/>
        </w:rPr>
        <w:t>za instalatere sustava obnovljivih izvora energije: fotonaponskih sustava, solarnih toplinskih sustava, plitkih geotermalnih sustava</w:t>
      </w:r>
      <w:r w:rsidR="00F70780" w:rsidRPr="00C52D48">
        <w:rPr>
          <w:rFonts w:eastAsia="Calibri" w:cs="Calibri"/>
        </w:rPr>
        <w:t xml:space="preserve"> i dizalica topline i manjih kotlova i peći na biomasu, a sve prema pravilnicima o uvjetima </w:t>
      </w:r>
      <w:r w:rsidR="00711065" w:rsidRPr="00C52D48">
        <w:rPr>
          <w:rFonts w:eastAsia="Calibri" w:cs="Calibri"/>
        </w:rPr>
        <w:t>i mjerilima za utvrđivanje sustava kvalitete usluga i radova za certificiranje instalatera obnovljivih izvora energije</w:t>
      </w:r>
      <w:r w:rsidR="00711065" w:rsidRPr="00C52D48">
        <w:rPr>
          <w:rStyle w:val="FootnoteReference"/>
          <w:rFonts w:ascii="Calibri" w:eastAsia="Calibri" w:hAnsi="Calibri" w:cs="Calibri"/>
        </w:rPr>
        <w:footnoteReference w:id="32"/>
      </w:r>
      <w:r w:rsidR="00711065" w:rsidRPr="00C52D48">
        <w:rPr>
          <w:rFonts w:eastAsia="Calibri" w:cs="Calibri"/>
        </w:rPr>
        <w:t>:</w:t>
      </w:r>
    </w:p>
    <w:p w14:paraId="55B83BC9" w14:textId="6F42E2A2" w:rsidR="00CF3316" w:rsidRPr="00C52D48" w:rsidRDefault="00E01186" w:rsidP="00A563AA">
      <w:pPr>
        <w:pStyle w:val="ListParagraph"/>
        <w:numPr>
          <w:ilvl w:val="0"/>
          <w:numId w:val="44"/>
        </w:numPr>
        <w:rPr>
          <w:rFonts w:eastAsia="Calibri" w:cs="Calibri"/>
        </w:rPr>
      </w:pPr>
      <w:r w:rsidRPr="00C52D48">
        <w:rPr>
          <w:rFonts w:eastAsia="Calibri" w:cs="Calibri"/>
        </w:rPr>
        <w:t>Izradit će se Nacionalni plan za razvoj vještina u kontekstu zelenih poslova vezanih uz energetsku obnovu i obnovu nakon potresa</w:t>
      </w:r>
    </w:p>
    <w:p w14:paraId="6DBAF0BB" w14:textId="4AD178A6" w:rsidR="00F748E6" w:rsidRPr="00C52D48" w:rsidRDefault="00D42425" w:rsidP="00A563AA">
      <w:pPr>
        <w:pStyle w:val="ListParagraph"/>
        <w:numPr>
          <w:ilvl w:val="0"/>
          <w:numId w:val="44"/>
        </w:numPr>
        <w:rPr>
          <w:rFonts w:eastAsia="Calibri" w:cs="Calibri"/>
          <w:color w:val="000000"/>
        </w:rPr>
      </w:pPr>
      <w:r w:rsidRPr="00C52D48">
        <w:rPr>
          <w:rFonts w:eastAsia="Calibri" w:cs="Calibri"/>
          <w:color w:val="000000" w:themeColor="text1"/>
        </w:rPr>
        <w:t>Unaprjeđivat</w:t>
      </w:r>
      <w:r w:rsidR="00392767" w:rsidRPr="00C52D48">
        <w:rPr>
          <w:rFonts w:eastAsia="Calibri" w:cs="Calibri"/>
          <w:color w:val="000000" w:themeColor="text1"/>
        </w:rPr>
        <w:t xml:space="preserve"> će se i provoditi </w:t>
      </w:r>
      <w:r w:rsidR="00392767" w:rsidRPr="00C52D48">
        <w:rPr>
          <w:rFonts w:cs="Calibri"/>
        </w:rPr>
        <w:t>Nacionalne smjernice za kontinuiranu izobrazbu građevinskih radnika u energetskoj učinkovitosti</w:t>
      </w:r>
    </w:p>
    <w:p w14:paraId="1763F0D6" w14:textId="57E32AFE" w:rsidR="00CB21B5" w:rsidRPr="00C52D48" w:rsidRDefault="00CB21B5" w:rsidP="63259912">
      <w:pPr>
        <w:pStyle w:val="ListParagraph"/>
        <w:numPr>
          <w:ilvl w:val="0"/>
          <w:numId w:val="44"/>
        </w:numPr>
        <w:rPr>
          <w:rFonts w:eastAsia="Calibri" w:cs="Calibri"/>
          <w:color w:val="000000"/>
        </w:rPr>
      </w:pPr>
      <w:r w:rsidRPr="63259912">
        <w:rPr>
          <w:rFonts w:cs="Calibri"/>
        </w:rPr>
        <w:t>Razvoj edukativnih programa koji će poticati veće korištenje BIM</w:t>
      </w:r>
      <w:r w:rsidR="00DD7151" w:rsidRPr="63259912">
        <w:rPr>
          <w:rFonts w:cs="Calibri"/>
        </w:rPr>
        <w:t xml:space="preserve"> (Building Information Modeling</w:t>
      </w:r>
      <w:r w:rsidR="009D56BB" w:rsidRPr="63259912">
        <w:rPr>
          <w:rFonts w:cs="Calibri"/>
        </w:rPr>
        <w:t> / Modeliranje informacija o građevinama)</w:t>
      </w:r>
      <w:r w:rsidRPr="63259912">
        <w:rPr>
          <w:rFonts w:cs="Calibri"/>
        </w:rPr>
        <w:t xml:space="preserve"> u sustavu građevinarstva i prostornog planiranja kako bi se razvile relevantne vještine, s integriranim znanjima o energetskoj obnovi i obnovi nakon potresa </w:t>
      </w:r>
    </w:p>
    <w:p w14:paraId="58680A35" w14:textId="77777777" w:rsidR="00CB21B5" w:rsidRPr="00C52D48" w:rsidRDefault="00CB21B5" w:rsidP="00A563AA">
      <w:pPr>
        <w:pStyle w:val="ListParagraph"/>
        <w:numPr>
          <w:ilvl w:val="0"/>
          <w:numId w:val="44"/>
        </w:numPr>
        <w:rPr>
          <w:rFonts w:eastAsia="Calibri" w:cs="Calibri"/>
          <w:color w:val="000000"/>
        </w:rPr>
      </w:pPr>
      <w:r w:rsidRPr="00C52D48">
        <w:rPr>
          <w:rFonts w:cs="Calibri"/>
        </w:rPr>
        <w:t xml:space="preserve">Promocija korištenja BIM tehnologije u sektoru građevinarstva i prostornog uređenja </w:t>
      </w:r>
    </w:p>
    <w:p w14:paraId="223E3CE0" w14:textId="3CDF2F34" w:rsidR="00951B28" w:rsidRPr="00C52D48" w:rsidRDefault="00CB21B5" w:rsidP="00A563AA">
      <w:pPr>
        <w:pStyle w:val="ListParagraph"/>
        <w:numPr>
          <w:ilvl w:val="0"/>
          <w:numId w:val="44"/>
        </w:numPr>
        <w:rPr>
          <w:rFonts w:eastAsia="Calibri" w:cs="Calibri"/>
          <w:color w:val="000000"/>
        </w:rPr>
      </w:pPr>
      <w:r w:rsidRPr="00C52D48">
        <w:rPr>
          <w:rFonts w:cs="Calibri"/>
        </w:rPr>
        <w:t>Provedba kampanje za prekvalifikaciju te osposobljavanje i usavršavanje radnika za potrebe obnove nakon potresa te promociju obrazovnih programa koji su tema ove reforme, s ciljem privlačenja zainteresiranih polaznika programa.</w:t>
      </w:r>
    </w:p>
    <w:p w14:paraId="6CCA7417" w14:textId="35F47757" w:rsidR="00CF3316" w:rsidRPr="00B47BDA" w:rsidRDefault="00CF3316" w:rsidP="004623DD">
      <w:r w:rsidRPr="00B47BDA">
        <w:rPr>
          <w:b/>
        </w:rPr>
        <w:t xml:space="preserve">Sredstva potrebna za provedbu: </w:t>
      </w:r>
      <w:r w:rsidRPr="00B47BDA">
        <w:t>Sredstva potrebna za provedbu svih predviđenih aktivnosti potrebno je utvrditi na temelju rezultata i preporuka CROSKILLS trening centara</w:t>
      </w:r>
      <w:r w:rsidR="00951B28" w:rsidRPr="00B47BDA">
        <w:t>.</w:t>
      </w:r>
    </w:p>
    <w:p w14:paraId="2DD49091" w14:textId="28E132B8" w:rsidR="00CF3316" w:rsidRPr="00B47BDA" w:rsidRDefault="00CF3316" w:rsidP="004623DD">
      <w:pPr>
        <w:rPr>
          <w:rFonts w:eastAsia="Calibri"/>
        </w:rPr>
      </w:pPr>
      <w:r w:rsidRPr="00B47BDA">
        <w:rPr>
          <w:b/>
        </w:rPr>
        <w:t xml:space="preserve">Izvori financiranja: </w:t>
      </w:r>
      <w:r w:rsidR="00CB21B5" w:rsidRPr="00B47BDA">
        <w:t xml:space="preserve">NPOO – osigurano je </w:t>
      </w:r>
      <w:r w:rsidR="00C3431F">
        <w:t>4,05</w:t>
      </w:r>
      <w:r w:rsidR="00CB21B5" w:rsidRPr="00B47BDA">
        <w:t xml:space="preserve"> milijuna </w:t>
      </w:r>
      <w:r w:rsidR="003E2942">
        <w:t>EUR</w:t>
      </w:r>
      <w:r w:rsidR="00102DC6" w:rsidRPr="00B47BDA">
        <w:t>;</w:t>
      </w:r>
      <w:r w:rsidRPr="00B47BDA">
        <w:t xml:space="preserve"> </w:t>
      </w:r>
      <w:r w:rsidR="00B17D3D">
        <w:t>EU</w:t>
      </w:r>
      <w:r w:rsidR="00B17D3D" w:rsidRPr="00B47BDA">
        <w:t xml:space="preserve"> </w:t>
      </w:r>
      <w:r w:rsidRPr="00B47BDA">
        <w:t>fondovi za jačanje ljudskih potencijala, s ciljem integracije principa zelene i održive gradnje te kružne ekonomije u postojeće sustave strukovnog obrazovanja, obrazovanja odraslih i cjeloživotnog obrazovanja.</w:t>
      </w:r>
    </w:p>
    <w:p w14:paraId="4EBAC80B" w14:textId="5A56E0BC" w:rsidR="00CF3316" w:rsidRPr="00B47BDA" w:rsidRDefault="00CF3316" w:rsidP="004623DD">
      <w:r w:rsidRPr="00B47BDA">
        <w:rPr>
          <w:b/>
        </w:rPr>
        <w:t>Izvršno tijelo:</w:t>
      </w:r>
      <w:r w:rsidRPr="00B47BDA">
        <w:t xml:space="preserve"> ASOO – sufinanciranje trening centara za provedbu izobrazbe radnika; HZZ – sufinanciranje izobrazbe/prekvalifikacije nezaposlenih; Građevinski fakultet u Zagrebu, u okviru projekta CROSKILLS; </w:t>
      </w:r>
      <w:r w:rsidR="009F1C94">
        <w:rPr>
          <w:rFonts w:eastAsia="Calibri"/>
        </w:rPr>
        <w:t>MPGI</w:t>
      </w:r>
      <w:r w:rsidR="00745500" w:rsidRPr="00B47BDA">
        <w:t xml:space="preserve"> </w:t>
      </w:r>
      <w:r w:rsidRPr="00B47BDA">
        <w:t>– postavljanje i primjena principa zelene gradnje u suradnji s Hrvatskim savjetom za zelenu gradnju</w:t>
      </w:r>
      <w:r w:rsidR="005B61CB" w:rsidRPr="00B47BDA">
        <w:t xml:space="preserve"> i Arhitektonskim fakultetom (AF)</w:t>
      </w:r>
      <w:r w:rsidR="00951B28" w:rsidRPr="00B47BDA">
        <w:t>.</w:t>
      </w:r>
    </w:p>
    <w:p w14:paraId="6E991EC4" w14:textId="626381B3" w:rsidR="00CF3316" w:rsidRPr="00B47BDA" w:rsidRDefault="00CF3316" w:rsidP="004623DD">
      <w:pPr>
        <w:rPr>
          <w:rFonts w:eastAsia="Calibri"/>
        </w:rPr>
      </w:pPr>
      <w:r w:rsidRPr="00EE67E0">
        <w:rPr>
          <w:b/>
          <w:bCs/>
        </w:rPr>
        <w:lastRenderedPageBreak/>
        <w:t>Tijela za praćenje:</w:t>
      </w:r>
      <w:r w:rsidRPr="00B47BDA">
        <w:t xml:space="preserve"> </w:t>
      </w:r>
      <w:r w:rsidR="009F1C94">
        <w:rPr>
          <w:rFonts w:eastAsia="Calibri"/>
        </w:rPr>
        <w:t>MPGI</w:t>
      </w:r>
      <w:r w:rsidR="00745500" w:rsidRPr="00B47BDA">
        <w:t xml:space="preserve"> </w:t>
      </w:r>
      <w:r w:rsidR="00E84D30" w:rsidRPr="00B47BDA">
        <w:t xml:space="preserve">i </w:t>
      </w:r>
      <w:r w:rsidR="009372E0" w:rsidRPr="008D09D4">
        <w:t>Ministarstv</w:t>
      </w:r>
      <w:r w:rsidR="009372E0">
        <w:t>o</w:t>
      </w:r>
      <w:r w:rsidR="009372E0" w:rsidRPr="008D09D4">
        <w:t xml:space="preserve"> zaštite okoliša i zelene tranzicije</w:t>
      </w:r>
      <w:r w:rsidR="00B05B5C">
        <w:t>.</w:t>
      </w:r>
    </w:p>
    <w:p w14:paraId="033E3E11" w14:textId="35F47757" w:rsidR="00CF3316" w:rsidRPr="00B47BDA" w:rsidRDefault="00CF3316" w:rsidP="004623DD">
      <w:r w:rsidRPr="00B47BDA">
        <w:rPr>
          <w:b/>
        </w:rPr>
        <w:t xml:space="preserve">Učinak: </w:t>
      </w:r>
      <w:r w:rsidRPr="00B47BDA">
        <w:t>Raspoloživi stručni kapaciteti za provedbu mjera energetske učinkovitosti</w:t>
      </w:r>
      <w:r w:rsidR="00951B28" w:rsidRPr="00B47BDA">
        <w:t>.</w:t>
      </w:r>
    </w:p>
    <w:p w14:paraId="05DFC535" w14:textId="35F47757" w:rsidR="00CF3316" w:rsidRPr="00B47BDA" w:rsidRDefault="00CF3316" w:rsidP="004623DD">
      <w:r w:rsidRPr="00B47BDA">
        <w:rPr>
          <w:b/>
        </w:rPr>
        <w:t>Metoda praćenja:</w:t>
      </w:r>
      <w:r w:rsidRPr="00B47BDA">
        <w:t xml:space="preserve"> Prati se broj obrazovanih stručnjaka u sklopu uspostavljenih obrazovnih programa / trening centara.</w:t>
      </w:r>
      <w:r w:rsidR="00E223DA" w:rsidRPr="00B47BDA">
        <w:t xml:space="preserve"> </w:t>
      </w:r>
    </w:p>
    <w:p w14:paraId="749D2A1D" w14:textId="64BA23AC" w:rsidR="00CF3316" w:rsidRPr="00B47BDA" w:rsidRDefault="00CF3316" w:rsidP="63259912">
      <w:pPr>
        <w:rPr>
          <w:rFonts w:eastAsia="Calibri"/>
        </w:rPr>
      </w:pPr>
      <w:r w:rsidRPr="63259912">
        <w:rPr>
          <w:b/>
          <w:bCs/>
        </w:rPr>
        <w:t xml:space="preserve">Povezanost s drugim dimenzijama: </w:t>
      </w:r>
      <w:r w:rsidR="00B50E76" w:rsidRPr="63259912">
        <w:t>K</w:t>
      </w:r>
      <w:r w:rsidRPr="63259912">
        <w:t>roz edukaciju o zelenoj gradnji, koja uključuje i značajno korištenje OIE, ostvaruje se povezanost s dimenzijom dekarbonizacije</w:t>
      </w:r>
      <w:r w:rsidR="00951B28" w:rsidRPr="63259912">
        <w:t>.</w:t>
      </w:r>
    </w:p>
    <w:p w14:paraId="7243CB14" w14:textId="1B022442" w:rsidR="00CF3316" w:rsidRPr="00B47BDA" w:rsidRDefault="00CF3316" w:rsidP="63259912">
      <w:pPr>
        <w:rPr>
          <w:rFonts w:eastAsia="Calibri"/>
        </w:rPr>
      </w:pPr>
      <w:r w:rsidRPr="63259912">
        <w:rPr>
          <w:b/>
          <w:bCs/>
        </w:rPr>
        <w:t>Istraživanje i razvoj</w:t>
      </w:r>
      <w:r w:rsidRPr="63259912">
        <w:t xml:space="preserve">: </w:t>
      </w:r>
      <w:r w:rsidR="00245763" w:rsidRPr="63259912">
        <w:t>E</w:t>
      </w:r>
      <w:r w:rsidRPr="63259912">
        <w:t>dukacijske aktivnosti u području zelene gradnje potiču istraživanje i razvoj u ovom segmentu (tehnologije i metode za 'ozelenjavanje' zgrada)</w:t>
      </w:r>
      <w:r w:rsidR="00951B28" w:rsidRPr="63259912">
        <w:t>.</w:t>
      </w:r>
    </w:p>
    <w:p w14:paraId="6AE48E11" w14:textId="77777777" w:rsidR="004D1CDF" w:rsidRPr="00B47BDA" w:rsidRDefault="004D1CDF" w:rsidP="004623DD">
      <w:pPr>
        <w:rPr>
          <w:highlight w:val="yellow"/>
        </w:rPr>
      </w:pPr>
    </w:p>
    <w:p w14:paraId="74A8500E" w14:textId="272962F0" w:rsidR="00C21988" w:rsidRPr="003653B3" w:rsidRDefault="00112534" w:rsidP="003653B3">
      <w:pPr>
        <w:shd w:val="clear" w:color="auto" w:fill="DEEAF6" w:themeFill="accent1" w:themeFillTint="33"/>
        <w:rPr>
          <w:i/>
        </w:rPr>
      </w:pPr>
      <w:r w:rsidRPr="003653B3">
        <w:rPr>
          <w:i/>
        </w:rPr>
        <w:t>Mjere u sektoru prerađivačke industrije</w:t>
      </w:r>
    </w:p>
    <w:p w14:paraId="140F70BE" w14:textId="3B9741CB" w:rsidR="000C716B" w:rsidRPr="00B47BDA" w:rsidRDefault="00930EB5" w:rsidP="004623DD">
      <w:r w:rsidRPr="00B47BDA">
        <w:t xml:space="preserve">U razdoblju od 2021. do 2030. godine, ETS </w:t>
      </w:r>
      <w:r w:rsidR="00BC3398" w:rsidRPr="00B47BDA">
        <w:t>(</w:t>
      </w:r>
      <w:r w:rsidR="004E74E4" w:rsidRPr="00B47BDA">
        <w:t>M</w:t>
      </w:r>
      <w:r w:rsidR="00195C5A" w:rsidRPr="00B47BDA">
        <w:t>S-3: Europski sustav trgovanja emisijskim jedinicama</w:t>
      </w:r>
      <w:r w:rsidR="00BC3398" w:rsidRPr="00B47BDA">
        <w:t xml:space="preserve">) </w:t>
      </w:r>
      <w:r w:rsidRPr="00B47BDA">
        <w:t>ostaje glavni instrument politike smanjenja emisija industrijskog sektor</w:t>
      </w:r>
      <w:r w:rsidR="00BC3398" w:rsidRPr="00B47BDA">
        <w:t>a</w:t>
      </w:r>
      <w:r w:rsidR="000D09FF" w:rsidRPr="00B47BDA">
        <w:t xml:space="preserve">. </w:t>
      </w:r>
      <w:r w:rsidR="002B2B5C" w:rsidRPr="00B47BDA">
        <w:t>Za postrojenja koja nisu u ETS-u</w:t>
      </w:r>
      <w:r w:rsidR="009E4E7E" w:rsidRPr="00B47BDA">
        <w:rPr>
          <w:rFonts w:cstheme="minorHAnsi"/>
        </w:rPr>
        <w:t>,</w:t>
      </w:r>
      <w:r w:rsidR="009E4E7E" w:rsidRPr="00B47BDA">
        <w:t xml:space="preserve"> </w:t>
      </w:r>
      <w:r w:rsidR="002B2B5C" w:rsidRPr="00B47BDA">
        <w:t xml:space="preserve">na snazi će i dalje biti </w:t>
      </w:r>
      <w:r w:rsidR="009E4E7E" w:rsidRPr="00B47BDA">
        <w:t>obveza plaćanja naknade za emisije CO</w:t>
      </w:r>
      <w:r w:rsidR="009E4E7E" w:rsidRPr="00B47BDA">
        <w:rPr>
          <w:vertAlign w:val="subscript"/>
        </w:rPr>
        <w:t>2</w:t>
      </w:r>
      <w:r w:rsidR="009E4E7E" w:rsidRPr="00B47BDA">
        <w:t xml:space="preserve">, prema </w:t>
      </w:r>
      <w:r w:rsidR="00202B83" w:rsidRPr="00B47BDA">
        <w:t>Uredbi o jediničnim naknadama, korektivnim koeficijentima i pobližim kriterijima i mjerilima za utvrđivanje naknade na emisiju u okoliš ugljikovog dioksida (</w:t>
      </w:r>
      <w:r w:rsidR="00F00959">
        <w:t>„</w:t>
      </w:r>
      <w:r w:rsidR="00071A4F" w:rsidRPr="00071A4F">
        <w:t xml:space="preserve">Narodne </w:t>
      </w:r>
      <w:r w:rsidR="00A97AE7">
        <w:t>novine</w:t>
      </w:r>
      <w:r w:rsidR="00F00959">
        <w:t>“</w:t>
      </w:r>
      <w:r w:rsidR="00071A4F" w:rsidRPr="00071A4F">
        <w:t>, br</w:t>
      </w:r>
      <w:r w:rsidR="009D56BB">
        <w:t>.</w:t>
      </w:r>
      <w:r w:rsidR="00202B83" w:rsidRPr="00B47BDA">
        <w:t xml:space="preserve"> 73/07</w:t>
      </w:r>
      <w:r w:rsidR="00F00959">
        <w:t>.</w:t>
      </w:r>
      <w:r w:rsidR="00202B83" w:rsidRPr="00B47BDA">
        <w:t>, 48/09</w:t>
      </w:r>
      <w:r w:rsidR="00F00959">
        <w:t>.</w:t>
      </w:r>
      <w:r w:rsidR="00202B83" w:rsidRPr="00B47BDA">
        <w:t>, 2</w:t>
      </w:r>
      <w:r w:rsidR="005B41DA">
        <w:t>/18</w:t>
      </w:r>
      <w:r w:rsidR="00F00959">
        <w:t>.</w:t>
      </w:r>
      <w:r w:rsidR="000008D4" w:rsidRPr="00B47BDA">
        <w:t>, 46</w:t>
      </w:r>
      <w:r w:rsidR="005B41DA">
        <w:t>/21</w:t>
      </w:r>
      <w:r w:rsidR="00F00959">
        <w:t>.</w:t>
      </w:r>
      <w:r w:rsidR="00202B83" w:rsidRPr="00B47BDA">
        <w:t xml:space="preserve">) </w:t>
      </w:r>
      <w:r w:rsidR="001A111E" w:rsidRPr="00B47BDA">
        <w:t>te odlukama</w:t>
      </w:r>
      <w:r w:rsidR="00B26F60" w:rsidRPr="00B47BDA">
        <w:t xml:space="preserve"> o visini jedinične naknade za emisije stakleničkih plinova za operatere postrojenja isključenih iz sustava trgovanja emisijskim jedinicama. </w:t>
      </w:r>
    </w:p>
    <w:p w14:paraId="065A33D1" w14:textId="45AE88F3" w:rsidR="00C84154" w:rsidRPr="00B47BDA" w:rsidRDefault="000D09FF" w:rsidP="004623DD">
      <w:r w:rsidRPr="00B47BDA">
        <w:t xml:space="preserve">Osim toga, očekuje se da će </w:t>
      </w:r>
      <w:r w:rsidR="00FB1E90" w:rsidRPr="00B47BDA">
        <w:t>sustav obveza opskrbljivača također doprinijeti poboljšanju energetske u</w:t>
      </w:r>
      <w:r w:rsidR="00E71137" w:rsidRPr="00B47BDA">
        <w:t>činkovitosti u ovom sektoru</w:t>
      </w:r>
      <w:r w:rsidR="00CC2626" w:rsidRPr="00B47BDA">
        <w:t xml:space="preserve">, </w:t>
      </w:r>
      <w:r w:rsidR="0062782E" w:rsidRPr="00B47BDA">
        <w:t>kroz</w:t>
      </w:r>
      <w:r w:rsidR="00CC2626" w:rsidRPr="00B47BDA">
        <w:t xml:space="preserve"> iskorištavanje </w:t>
      </w:r>
      <w:r w:rsidR="00484002" w:rsidRPr="00B47BDA">
        <w:t>troškovno učinkovitih potencijala za energetsku učinkovitost</w:t>
      </w:r>
      <w:r w:rsidR="00351A6D" w:rsidRPr="00B47BDA">
        <w:t xml:space="preserve"> i korištenje tržišnih modela, kao što su ugov</w:t>
      </w:r>
      <w:r w:rsidR="007D7B4A" w:rsidRPr="00B47BDA">
        <w:t>a</w:t>
      </w:r>
      <w:r w:rsidR="00351A6D" w:rsidRPr="00B47BDA">
        <w:t xml:space="preserve">ranje po energetskom učinku. </w:t>
      </w:r>
      <w:r w:rsidR="00361DBF">
        <w:t xml:space="preserve">Od 2027. godine </w:t>
      </w:r>
      <w:r w:rsidR="000A2AA4">
        <w:t xml:space="preserve">opskrbljivači fosilnim gorivima ulaze u </w:t>
      </w:r>
      <w:r w:rsidR="006728A4">
        <w:t>EU ETS2.</w:t>
      </w:r>
    </w:p>
    <w:p w14:paraId="24E61527" w14:textId="2B329C75" w:rsidR="00BF24C1" w:rsidRDefault="00C84154" w:rsidP="004623DD">
      <w:r w:rsidRPr="00B47BDA">
        <w:t>U</w:t>
      </w:r>
      <w:r w:rsidR="00DF3E7E" w:rsidRPr="00B47BDA">
        <w:t xml:space="preserve"> razdoblju od 2021. do 2030. godine predviđa</w:t>
      </w:r>
      <w:r w:rsidR="00FF04DD" w:rsidRPr="00B47BDA">
        <w:t xml:space="preserve"> se i nastavak</w:t>
      </w:r>
      <w:r w:rsidR="00A7117B" w:rsidRPr="00B47BDA">
        <w:t xml:space="preserve"> financijskog poticanja </w:t>
      </w:r>
      <w:r w:rsidR="00AC6C72" w:rsidRPr="00B47BDA">
        <w:t xml:space="preserve">mjera energetske učinkovitosti i korištenja OIE u proizvodnim industrijama </w:t>
      </w:r>
      <w:r w:rsidR="00A7117B" w:rsidRPr="00B47BDA">
        <w:t>iz</w:t>
      </w:r>
      <w:r w:rsidR="00381286" w:rsidRPr="00B47BDA">
        <w:t xml:space="preserve"> javnih izvora. </w:t>
      </w:r>
    </w:p>
    <w:p w14:paraId="7DADDEF4" w14:textId="385F3AB7" w:rsidR="00986853" w:rsidRPr="00B47BDA" w:rsidRDefault="00986853" w:rsidP="00EE67E0">
      <w:pPr>
        <w:pStyle w:val="Mjeranaslov"/>
      </w:pPr>
      <w:r w:rsidRPr="00B47BDA">
        <w:t>ENU-1</w:t>
      </w:r>
      <w:r w:rsidR="002C786C" w:rsidRPr="00B47BDA">
        <w:t>7</w:t>
      </w:r>
      <w:r w:rsidRPr="00B47BDA">
        <w:t xml:space="preserve"> Povećanje energetske učinkovitosti i korištenja OIE u proizvodnim industrijama</w:t>
      </w:r>
      <w:r w:rsidRPr="00B47BDA" w:rsidDel="007A622C">
        <w:t xml:space="preserve"> </w:t>
      </w:r>
    </w:p>
    <w:p w14:paraId="124F374C" w14:textId="77777777" w:rsidR="00986853" w:rsidRPr="00B47BDA" w:rsidRDefault="00986853" w:rsidP="004623DD">
      <w:pPr>
        <w:pStyle w:val="NormalWeb"/>
      </w:pPr>
      <w:r w:rsidRPr="00B47BDA">
        <w:t xml:space="preserve">Financijska mjera; provedba 2021.-2030. </w:t>
      </w:r>
    </w:p>
    <w:p w14:paraId="04090D72" w14:textId="34C3DAF2" w:rsidR="00986853" w:rsidRPr="00B47BDA" w:rsidRDefault="00986853" w:rsidP="004623DD">
      <w:pPr>
        <w:pStyle w:val="NormalWeb"/>
      </w:pPr>
      <w:r w:rsidRPr="00B47BDA">
        <w:rPr>
          <w:b/>
        </w:rPr>
        <w:t>Cilj i opis mjere:</w:t>
      </w:r>
      <w:r w:rsidRPr="00B47BDA">
        <w:t xml:space="preserve"> </w:t>
      </w:r>
      <w:r w:rsidR="0009595F" w:rsidRPr="00B47BDA">
        <w:t xml:space="preserve">U proteklom razdoblju iz </w:t>
      </w:r>
      <w:r w:rsidR="00620652">
        <w:t>EU</w:t>
      </w:r>
      <w:r w:rsidR="0009595F" w:rsidRPr="00B47BDA">
        <w:t xml:space="preserve"> fondova, a temeljem OPKK </w:t>
      </w:r>
      <w:r w:rsidR="00363F7E" w:rsidRPr="00B47BDA">
        <w:t xml:space="preserve">bilo je </w:t>
      </w:r>
      <w:r w:rsidR="0009595F" w:rsidRPr="00B47BDA">
        <w:t xml:space="preserve">osigurano </w:t>
      </w:r>
      <w:r w:rsidR="00363F7E" w:rsidRPr="00B47BDA">
        <w:t xml:space="preserve">60 milijuna </w:t>
      </w:r>
      <w:r w:rsidR="009A10D1">
        <w:t>EUR</w:t>
      </w:r>
      <w:r w:rsidR="00363F7E" w:rsidRPr="00B47BDA">
        <w:t xml:space="preserve">. </w:t>
      </w:r>
      <w:r w:rsidR="00041592" w:rsidRPr="00B47BDA">
        <w:t>Apsorpcija sredstava je bila izvrsna, što dokazuje da i</w:t>
      </w:r>
      <w:r w:rsidRPr="00B47BDA">
        <w:t xml:space="preserve">ndustrijska postrojenja </w:t>
      </w:r>
      <w:r w:rsidR="00041592" w:rsidRPr="00B47BDA">
        <w:t xml:space="preserve">u RH </w:t>
      </w:r>
      <w:r w:rsidRPr="00B47BDA">
        <w:t xml:space="preserve">raspolažu značajnim potencijalom za poboljšanje energetske učinkovitosti, smanjenje potrošnje energije kao i za smanjenje udjela konvencionalnih (fosilnih) goriva u ukupnoj potrošnji energije uvođenjem obnovljivih izvora energije. Cilj ove mjere je osigurati </w:t>
      </w:r>
      <w:r w:rsidR="00041592" w:rsidRPr="00B47BDA">
        <w:t xml:space="preserve">nastavak </w:t>
      </w:r>
      <w:r w:rsidRPr="00B47BDA">
        <w:t>s</w:t>
      </w:r>
      <w:r w:rsidR="00041592" w:rsidRPr="00B47BDA">
        <w:t>u</w:t>
      </w:r>
      <w:r w:rsidRPr="00B47BDA">
        <w:t>financiranj</w:t>
      </w:r>
      <w:r w:rsidR="00E41C9B">
        <w:t>a</w:t>
      </w:r>
      <w:r w:rsidRPr="00B47BDA">
        <w:t xml:space="preserve"> provedbe takvih mjera u proizvodnim industrijama i to kroz bespovratna sredstva i kroz financijske instrumente</w:t>
      </w:r>
      <w:r w:rsidR="007628AF" w:rsidRPr="00B47BDA">
        <w:t xml:space="preserve">. </w:t>
      </w:r>
    </w:p>
    <w:p w14:paraId="6A556FAE" w14:textId="210A2B01" w:rsidR="00986853" w:rsidRPr="00B47BDA" w:rsidRDefault="00986853" w:rsidP="004623DD">
      <w:pPr>
        <w:pStyle w:val="NormalWeb"/>
      </w:pPr>
      <w:r w:rsidRPr="00B47BDA">
        <w:rPr>
          <w:b/>
        </w:rPr>
        <w:t>Aktivnosti:</w:t>
      </w:r>
      <w:r w:rsidRPr="00B47BDA">
        <w:t xml:space="preserve"> U okviru mjere provest će se sljedeće aktivnosti:</w:t>
      </w:r>
    </w:p>
    <w:p w14:paraId="6AAA58ED" w14:textId="1E73AD76" w:rsidR="00986853" w:rsidRPr="00B47BDA" w:rsidRDefault="00986853" w:rsidP="00A563AA">
      <w:pPr>
        <w:pStyle w:val="NormalWeb"/>
        <w:numPr>
          <w:ilvl w:val="0"/>
          <w:numId w:val="47"/>
        </w:numPr>
      </w:pPr>
      <w:r w:rsidRPr="00B47BDA">
        <w:t>Identificirat će se svi raspoloživi izvori sredstava koje je moguće koristiti za osiguranje sufinanciranja mjera energetske učinkovitosti i OIE u industriji</w:t>
      </w:r>
      <w:r w:rsidR="00B64166" w:rsidRPr="00B47BDA">
        <w:t xml:space="preserve">, pri čemu će se u obzir uzeti i nacionalni i EU izvori financiranja </w:t>
      </w:r>
      <w:r w:rsidR="005671C4" w:rsidRPr="00B47BDA">
        <w:t>(</w:t>
      </w:r>
      <w:r w:rsidR="00670D97">
        <w:t>EU</w:t>
      </w:r>
      <w:r w:rsidR="00670D97" w:rsidRPr="00B47BDA">
        <w:t xml:space="preserve"> </w:t>
      </w:r>
      <w:r w:rsidR="005671C4" w:rsidRPr="00B47BDA">
        <w:t xml:space="preserve">fondovi, </w:t>
      </w:r>
      <w:r w:rsidR="4B1CDBBB">
        <w:t>M</w:t>
      </w:r>
      <w:r w:rsidR="1B4319FC">
        <w:t>odernizacijski</w:t>
      </w:r>
      <w:r w:rsidR="005671C4" w:rsidRPr="00B47BDA">
        <w:t xml:space="preserve"> fond, fond za </w:t>
      </w:r>
      <w:r w:rsidR="002D66CB" w:rsidRPr="00B47BDA">
        <w:t>oporavak, itd.)</w:t>
      </w:r>
    </w:p>
    <w:p w14:paraId="5C9A2A86" w14:textId="64B99CAF" w:rsidR="00E62BE8" w:rsidRPr="00B47BDA" w:rsidRDefault="00EC498D" w:rsidP="00A563AA">
      <w:pPr>
        <w:pStyle w:val="NormalWeb"/>
        <w:numPr>
          <w:ilvl w:val="0"/>
          <w:numId w:val="47"/>
        </w:numPr>
      </w:pPr>
      <w:r w:rsidRPr="00B47BDA">
        <w:lastRenderedPageBreak/>
        <w:t>Za svaki identificirani izv</w:t>
      </w:r>
      <w:r w:rsidR="00F15FC5" w:rsidRPr="00B47BDA">
        <w:t>or</w:t>
      </w:r>
      <w:r w:rsidRPr="00B47BDA">
        <w:t xml:space="preserve"> </w:t>
      </w:r>
      <w:r w:rsidR="00CD2E26" w:rsidRPr="00B47BDA">
        <w:t xml:space="preserve">financiranja, </w:t>
      </w:r>
      <w:r w:rsidR="00D36D5B" w:rsidRPr="00B47BDA">
        <w:t xml:space="preserve">utvrdit će se </w:t>
      </w:r>
      <w:r w:rsidR="00773846" w:rsidRPr="00B47BDA">
        <w:t>prihvatljivi projekti</w:t>
      </w:r>
      <w:r w:rsidR="00795E5F" w:rsidRPr="00B47BDA">
        <w:t xml:space="preserve"> koj</w:t>
      </w:r>
      <w:r w:rsidR="00CF17EC" w:rsidRPr="00B47BDA">
        <w:t>i</w:t>
      </w:r>
      <w:r w:rsidR="00795E5F" w:rsidRPr="00B47BDA">
        <w:t xml:space="preserve"> će se iz </w:t>
      </w:r>
      <w:r w:rsidR="00B31EC5" w:rsidRPr="00B47BDA">
        <w:t>njega financirati</w:t>
      </w:r>
      <w:r w:rsidR="00C63518" w:rsidRPr="00B47BDA">
        <w:t xml:space="preserve"> te </w:t>
      </w:r>
      <w:r w:rsidR="00773846" w:rsidRPr="00B47BDA">
        <w:t>će se detaljno razraditi mehanizam financiranja i način njegove provedb</w:t>
      </w:r>
      <w:r w:rsidR="00E62BE8" w:rsidRPr="00B47BDA">
        <w:t>e</w:t>
      </w:r>
    </w:p>
    <w:p w14:paraId="24225976" w14:textId="3FBCCED9" w:rsidR="00986853" w:rsidRPr="00B47BDA" w:rsidRDefault="00894F16" w:rsidP="00A563AA">
      <w:pPr>
        <w:pStyle w:val="NormalWeb"/>
        <w:numPr>
          <w:ilvl w:val="0"/>
          <w:numId w:val="47"/>
        </w:numPr>
      </w:pPr>
      <w:r w:rsidRPr="00B47BDA">
        <w:t xml:space="preserve">Navedeni programi će se </w:t>
      </w:r>
      <w:r w:rsidR="00E158EC" w:rsidRPr="00B47BDA">
        <w:t>provoditi</w:t>
      </w:r>
      <w:r w:rsidRPr="00B47BDA">
        <w:t xml:space="preserve"> na način</w:t>
      </w:r>
      <w:r w:rsidR="00C63518" w:rsidRPr="00B47BDA">
        <w:t xml:space="preserve"> </w:t>
      </w:r>
      <w:r w:rsidR="000D1AE4" w:rsidRPr="00B47BDA">
        <w:t>utvrđen u relevantnim dokumentima</w:t>
      </w:r>
    </w:p>
    <w:p w14:paraId="452A8161" w14:textId="2B0EBED9" w:rsidR="00DB4EB2" w:rsidRPr="00911D3F" w:rsidRDefault="00DB4EB2" w:rsidP="00DB4EB2">
      <w:pPr>
        <w:pStyle w:val="ListParagraph"/>
        <w:numPr>
          <w:ilvl w:val="0"/>
          <w:numId w:val="47"/>
        </w:numPr>
        <w:spacing w:before="100" w:beforeAutospacing="1" w:after="100" w:afterAutospacing="1"/>
        <w:jc w:val="left"/>
        <w:rPr>
          <w:rFonts w:cs="Times New Roman"/>
          <w:lang w:eastAsia="en-GB"/>
        </w:rPr>
      </w:pPr>
      <w:r w:rsidRPr="00911D3F">
        <w:rPr>
          <w:rFonts w:cs="Times New Roman"/>
          <w:lang w:eastAsia="en-GB"/>
        </w:rPr>
        <w:t>Program dodjele državnih potpora za ulaganje u mjere energetske učinkovitosti i visokoučinkovitu kogeneraciju u sektoru proizvodnje</w:t>
      </w:r>
    </w:p>
    <w:p w14:paraId="5D9AF664" w14:textId="7E02F7B8" w:rsidR="00DB4EB2" w:rsidRPr="00911D3F" w:rsidRDefault="00DB4EB2" w:rsidP="00911D3F">
      <w:pPr>
        <w:pStyle w:val="ListParagraph"/>
        <w:numPr>
          <w:ilvl w:val="0"/>
          <w:numId w:val="47"/>
        </w:numPr>
        <w:spacing w:before="100" w:beforeAutospacing="1" w:after="100" w:afterAutospacing="1"/>
        <w:jc w:val="left"/>
        <w:rPr>
          <w:rFonts w:cs="Times New Roman"/>
          <w:lang w:eastAsia="en-GB"/>
        </w:rPr>
      </w:pPr>
      <w:r w:rsidRPr="00911D3F">
        <w:rPr>
          <w:rFonts w:cs="Times New Roman"/>
          <w:lang w:eastAsia="en-GB"/>
        </w:rPr>
        <w:t>Program dodjele državnih potpora za ulaganja u promicanje energije iz obnovljivih izvora energije</w:t>
      </w:r>
      <w:r w:rsidR="00C14DC2">
        <w:rPr>
          <w:rFonts w:cs="Times New Roman"/>
          <w:lang w:eastAsia="en-GB"/>
        </w:rPr>
        <w:t>.</w:t>
      </w:r>
    </w:p>
    <w:p w14:paraId="2C280CCC" w14:textId="19EB4640" w:rsidR="00986853" w:rsidRPr="00B47BDA" w:rsidRDefault="00894F16" w:rsidP="004623DD">
      <w:r w:rsidRPr="00B47BDA">
        <w:rPr>
          <w:b/>
        </w:rPr>
        <w:t>S</w:t>
      </w:r>
      <w:r w:rsidR="00986853" w:rsidRPr="00B47BDA">
        <w:rPr>
          <w:b/>
        </w:rPr>
        <w:t xml:space="preserve">redstva potrebna za provedbu: </w:t>
      </w:r>
      <w:r w:rsidR="00986853" w:rsidRPr="00B47BDA">
        <w:t>Nije moguće utvrditi, dok se ne provedu detaljne analize</w:t>
      </w:r>
      <w:r w:rsidR="0048419E" w:rsidRPr="00B47BDA">
        <w:t>.</w:t>
      </w:r>
    </w:p>
    <w:p w14:paraId="29E3B404" w14:textId="581621A3" w:rsidR="008852BC" w:rsidRPr="00B47BDA" w:rsidRDefault="00986853" w:rsidP="63259912">
      <w:pPr>
        <w:rPr>
          <w:rFonts w:eastAsia="Calibri"/>
        </w:rPr>
      </w:pPr>
      <w:r w:rsidRPr="63259912">
        <w:rPr>
          <w:b/>
          <w:bCs/>
        </w:rPr>
        <w:t xml:space="preserve">Izvori financiranja: </w:t>
      </w:r>
      <w:r w:rsidR="00CA6C62" w:rsidRPr="63259912">
        <w:t xml:space="preserve">NPOO </w:t>
      </w:r>
      <w:r w:rsidR="00102DC6" w:rsidRPr="63259912">
        <w:t xml:space="preserve">(osigurano je </w:t>
      </w:r>
      <w:r w:rsidR="00B6705D" w:rsidRPr="63259912">
        <w:t xml:space="preserve">61 milijuna </w:t>
      </w:r>
      <w:r w:rsidR="0091536B" w:rsidRPr="63259912">
        <w:t>EUR</w:t>
      </w:r>
      <w:r w:rsidR="0004494D" w:rsidRPr="63259912">
        <w:t>)</w:t>
      </w:r>
      <w:r w:rsidR="00E250D2" w:rsidRPr="63259912">
        <w:t xml:space="preserve">, PKK (150 milijuna eura roll-out financijskih instrumenata) te </w:t>
      </w:r>
      <w:r w:rsidR="00776D66" w:rsidRPr="63259912">
        <w:t>Modernizacijski fond</w:t>
      </w:r>
      <w:r w:rsidR="00593DD0" w:rsidRPr="63259912">
        <w:t xml:space="preserve"> </w:t>
      </w:r>
      <w:r w:rsidR="003A4193" w:rsidRPr="63259912">
        <w:t>(</w:t>
      </w:r>
      <w:r w:rsidR="00912326" w:rsidRPr="63259912">
        <w:t xml:space="preserve">160 milijuna </w:t>
      </w:r>
      <w:r w:rsidR="0004494D" w:rsidRPr="63259912">
        <w:t>EUR</w:t>
      </w:r>
      <w:r w:rsidR="003A4193" w:rsidRPr="63259912">
        <w:t>)</w:t>
      </w:r>
      <w:r w:rsidR="00593DD0" w:rsidRPr="63259912">
        <w:t>.</w:t>
      </w:r>
    </w:p>
    <w:p w14:paraId="1927097B" w14:textId="6FB1C4E5" w:rsidR="00986853" w:rsidRPr="00B47BDA" w:rsidRDefault="00986853" w:rsidP="004623DD">
      <w:r w:rsidRPr="00B47BDA">
        <w:rPr>
          <w:b/>
        </w:rPr>
        <w:t>Izvršno tijelo:</w:t>
      </w:r>
      <w:r w:rsidRPr="00B47BDA">
        <w:t xml:space="preserve"> </w:t>
      </w:r>
      <w:r w:rsidR="00D33185">
        <w:t>Ministarstvo zaštite okoliša i zelene tranzicije</w:t>
      </w:r>
      <w:r w:rsidR="00E26F41">
        <w:t xml:space="preserve"> u suradnji s </w:t>
      </w:r>
      <w:r w:rsidR="00D33185">
        <w:t>Ministarstvom gospodarstva</w:t>
      </w:r>
      <w:r w:rsidR="00311DF0">
        <w:t xml:space="preserve"> </w:t>
      </w:r>
      <w:r w:rsidRPr="00B47BDA">
        <w:t>i ostala tijela u sustavu korištenja EU fondova</w:t>
      </w:r>
      <w:r w:rsidR="00FE6D26">
        <w:t xml:space="preserve"> i NPOO-a</w:t>
      </w:r>
      <w:r w:rsidR="005B4615">
        <w:t xml:space="preserve"> i FZOEU</w:t>
      </w:r>
      <w:r w:rsidR="0048419E" w:rsidRPr="00B47BDA">
        <w:t>.</w:t>
      </w:r>
    </w:p>
    <w:p w14:paraId="09A380DD" w14:textId="5A9D2C3E" w:rsidR="00986853" w:rsidRPr="00B47BDA" w:rsidRDefault="00986853" w:rsidP="004623DD">
      <w:pPr>
        <w:rPr>
          <w:rFonts w:eastAsia="Calibri"/>
        </w:rPr>
      </w:pPr>
      <w:r w:rsidRPr="00EE67E0">
        <w:rPr>
          <w:b/>
          <w:bCs/>
        </w:rPr>
        <w:t xml:space="preserve">Tijela za praćenje: </w:t>
      </w:r>
      <w:r w:rsidR="00D33185">
        <w:t>Ministarstvo zaštite okoliša i zelene tranzicije</w:t>
      </w:r>
    </w:p>
    <w:p w14:paraId="6A555604" w14:textId="19AC1AF1" w:rsidR="00DC1C58" w:rsidRDefault="00986853" w:rsidP="00DC1C58">
      <w:r w:rsidRPr="63259912">
        <w:rPr>
          <w:b/>
          <w:bCs/>
        </w:rPr>
        <w:t xml:space="preserve">Učinak: </w:t>
      </w:r>
      <w:r w:rsidRPr="63259912">
        <w:t>Smanjenje potrošnje energije poslovnih subjekata u industrijskom sektoru</w:t>
      </w:r>
      <w:r w:rsidR="0048419E" w:rsidRPr="63259912">
        <w:t>.</w:t>
      </w:r>
      <w:r w:rsidR="00DC1C58" w:rsidRPr="63259912">
        <w:t xml:space="preserve"> Procijenjene kumulativne uštede u razdoblju do 2030.</w:t>
      </w:r>
      <w:r w:rsidR="00DC1C58" w:rsidRPr="63259912">
        <w:rPr>
          <w:rFonts w:eastAsia="Calibri"/>
        </w:rPr>
        <w:t xml:space="preserve"> </w:t>
      </w:r>
      <w:r w:rsidR="00DC1C58" w:rsidRPr="63259912">
        <w:t>29,81 PJ (711,95 ktoe); procijenjeno smanjenje emisija CO</w:t>
      </w:r>
      <w:r w:rsidR="00DC1C58" w:rsidRPr="63259912">
        <w:rPr>
          <w:vertAlign w:val="subscript"/>
        </w:rPr>
        <w:t>2</w:t>
      </w:r>
      <w:r w:rsidR="00DC1C58" w:rsidRPr="63259912">
        <w:t xml:space="preserve"> u 2030. </w:t>
      </w:r>
      <w:r w:rsidR="001A27AC" w:rsidRPr="63259912">
        <w:t>1.157</w:t>
      </w:r>
      <w:r w:rsidR="00DC1C58" w:rsidRPr="63259912">
        <w:t>,</w:t>
      </w:r>
      <w:r w:rsidR="001A27AC" w:rsidRPr="63259912">
        <w:t>87</w:t>
      </w:r>
      <w:r w:rsidR="00DC1C58" w:rsidRPr="63259912">
        <w:t xml:space="preserve"> ktCO</w:t>
      </w:r>
      <w:r w:rsidR="00DC1C58" w:rsidRPr="63259912">
        <w:rPr>
          <w:vertAlign w:val="subscript"/>
        </w:rPr>
        <w:t>2e</w:t>
      </w:r>
      <w:r w:rsidR="00593DD0" w:rsidRPr="63259912">
        <w:t>.</w:t>
      </w:r>
    </w:p>
    <w:p w14:paraId="0F38B191" w14:textId="3F0DF98F" w:rsidR="00986853" w:rsidRPr="00B47BDA" w:rsidRDefault="00986853" w:rsidP="004623DD">
      <w:r w:rsidRPr="00B47BDA">
        <w:rPr>
          <w:b/>
        </w:rPr>
        <w:t>Metoda praćenja:</w:t>
      </w:r>
      <w:r w:rsidRPr="00B47BDA">
        <w:t xml:space="preserve"> Ovisno o tipu provedenih projekata, koristit će se metode definirane Pravilnikom o sustavu za praćenje, mjerenje i ver</w:t>
      </w:r>
      <w:r w:rsidR="006B65AD" w:rsidRPr="00B47BDA">
        <w:t>i</w:t>
      </w:r>
      <w:r w:rsidRPr="00B47BDA">
        <w:t>fikaciju ušteda energije</w:t>
      </w:r>
      <w:r w:rsidR="0048419E" w:rsidRPr="00B47BDA">
        <w:t>.</w:t>
      </w:r>
    </w:p>
    <w:p w14:paraId="0D00BCF4" w14:textId="49498CD2" w:rsidR="00986853" w:rsidRPr="00B47BDA" w:rsidRDefault="00986853" w:rsidP="004623DD">
      <w:pPr>
        <w:rPr>
          <w:rFonts w:eastAsia="Calibri"/>
        </w:rPr>
      </w:pPr>
      <w:r w:rsidRPr="50AC7E63">
        <w:rPr>
          <w:b/>
          <w:bCs/>
        </w:rPr>
        <w:t xml:space="preserve">Povezanost s drugim dimenzijama: </w:t>
      </w:r>
      <w:r w:rsidR="4C20A26E">
        <w:t>Nema rizika.</w:t>
      </w:r>
    </w:p>
    <w:p w14:paraId="514636DF" w14:textId="603FE3D9" w:rsidR="00986853" w:rsidRPr="00B47BDA" w:rsidRDefault="00986853" w:rsidP="004623DD">
      <w:pPr>
        <w:rPr>
          <w:rFonts w:eastAsia="Calibri"/>
        </w:rPr>
      </w:pPr>
      <w:r w:rsidRPr="00B47BDA">
        <w:rPr>
          <w:b/>
        </w:rPr>
        <w:t>Istraživanje i razvoj</w:t>
      </w:r>
      <w:r w:rsidRPr="00B47BDA">
        <w:t xml:space="preserve">: </w:t>
      </w:r>
      <w:r w:rsidR="00C874C2">
        <w:t>S</w:t>
      </w:r>
      <w:r w:rsidRPr="00B47BDA">
        <w:t xml:space="preserve"> obzirom na raznorodnost i kontinuirani razvoj industrijske proizvodnje, ova mjera otvara potrebe za daljnjim istraživanjem i razvojem energetski učinkovitijih industrijskih tehnologija i tehnologija koje koriste obnovljive izvore energije</w:t>
      </w:r>
      <w:r w:rsidR="0048419E" w:rsidRPr="00B47BDA">
        <w:t>.</w:t>
      </w:r>
    </w:p>
    <w:p w14:paraId="541DA642" w14:textId="77777777" w:rsidR="00110C25" w:rsidRPr="00B47BDA" w:rsidRDefault="00110C25" w:rsidP="63259912">
      <w:pPr>
        <w:pStyle w:val="Heading4"/>
        <w:ind w:hanging="580"/>
      </w:pPr>
      <w:r w:rsidRPr="63259912">
        <w:t>Ako je primjenjivo, opis politika i mjera za promicanje uloge lokalnih OIE energetskih zajednica pri davanju doprinosa provedbi politika i mjera iz podtočaka i., ii., iii. i iv.</w:t>
      </w:r>
    </w:p>
    <w:p w14:paraId="67A36431" w14:textId="7E1C079E" w:rsidR="00F9627B" w:rsidRPr="00B47BDA" w:rsidRDefault="008C3A3D" w:rsidP="004623DD">
      <w:r w:rsidRPr="00B47BDA">
        <w:t>Energetske zajednice promovirat će se u okviru mjere OIE-</w:t>
      </w:r>
      <w:r w:rsidR="00621AA9" w:rsidRPr="00B47BDA">
        <w:t>7</w:t>
      </w:r>
      <w:r w:rsidRPr="00B47BDA">
        <w:t>.</w:t>
      </w:r>
    </w:p>
    <w:p w14:paraId="6C17D719" w14:textId="07C5888B" w:rsidR="00F41EAA" w:rsidRPr="00B47BDA" w:rsidRDefault="00F41EAA" w:rsidP="005C2C7E">
      <w:pPr>
        <w:pStyle w:val="Heading4"/>
        <w:numPr>
          <w:ilvl w:val="3"/>
          <w:numId w:val="175"/>
        </w:numPr>
        <w:ind w:hanging="580"/>
      </w:pPr>
      <w:r w:rsidRPr="00B47BDA">
        <w:t xml:space="preserve">Opis mjera za </w:t>
      </w:r>
      <w:r w:rsidR="00F16C67" w:rsidRPr="00B47BDA">
        <w:t xml:space="preserve">utvrđivanje mjera </w:t>
      </w:r>
      <w:r w:rsidR="002702C7" w:rsidRPr="00B47BDA">
        <w:t xml:space="preserve">kojima je cilj </w:t>
      </w:r>
      <w:r w:rsidRPr="00B47BDA">
        <w:t xml:space="preserve">iskorištavanje potencijala </w:t>
      </w:r>
      <w:r w:rsidR="002702C7" w:rsidRPr="00B47BDA">
        <w:t xml:space="preserve">za </w:t>
      </w:r>
      <w:r w:rsidRPr="00B47BDA">
        <w:t>povećanj</w:t>
      </w:r>
      <w:r w:rsidR="002702C7" w:rsidRPr="00B47BDA">
        <w:t>e</w:t>
      </w:r>
      <w:r w:rsidRPr="00B47BDA">
        <w:t xml:space="preserve"> energetske učinkovitosti infrastrukture za plin i električnu energiju</w:t>
      </w:r>
    </w:p>
    <w:p w14:paraId="0FFDEE6E" w14:textId="154D33D0" w:rsidR="00C66283" w:rsidRDefault="00C70AEA" w:rsidP="004623DD">
      <w:pPr>
        <w:rPr>
          <w:rFonts w:cstheme="minorHAnsi"/>
        </w:rPr>
      </w:pPr>
      <w:r w:rsidRPr="00B47BDA">
        <w:t xml:space="preserve">Mjere za povećanje energetske učinkovitosti infrastrukture za električnu energiju (prijenosne i distribucijske mreže), temelje se na </w:t>
      </w:r>
      <w:r w:rsidR="00DA0AB1" w:rsidRPr="00B47BDA">
        <w:t>D</w:t>
      </w:r>
      <w:r w:rsidRPr="00B47BDA">
        <w:t>esetogodišnj</w:t>
      </w:r>
      <w:r w:rsidR="00DA0AB1" w:rsidRPr="00B47BDA">
        <w:t>em</w:t>
      </w:r>
      <w:r w:rsidRPr="00B47BDA">
        <w:t xml:space="preserve"> plan</w:t>
      </w:r>
      <w:r w:rsidR="00DA0AB1" w:rsidRPr="00B47BDA">
        <w:t>u</w:t>
      </w:r>
      <w:r w:rsidRPr="00B47BDA">
        <w:t xml:space="preserve"> razvoja prijenosne </w:t>
      </w:r>
      <w:r w:rsidR="00DA0AB1" w:rsidRPr="00B47BDA">
        <w:t xml:space="preserve">mreže za razdoblje od 2023.-2032. i Desetogodišnjem planu razvoja </w:t>
      </w:r>
      <w:r w:rsidRPr="00B47BDA">
        <w:t xml:space="preserve">distribucijske mreže za razdoblje od </w:t>
      </w:r>
      <w:r w:rsidR="00DA0AB1" w:rsidRPr="00B47BDA">
        <w:t>202</w:t>
      </w:r>
      <w:r w:rsidR="00391320">
        <w:t>4</w:t>
      </w:r>
      <w:r w:rsidR="00DA0AB1" w:rsidRPr="00B47BDA">
        <w:t>.-203</w:t>
      </w:r>
      <w:r w:rsidR="00391320">
        <w:t>3</w:t>
      </w:r>
      <w:r w:rsidR="00DA0AB1" w:rsidRPr="00B47BDA">
        <w:t xml:space="preserve">. </w:t>
      </w:r>
      <w:r w:rsidRPr="00B47BDA">
        <w:t>te Odluci HERA-e o provedbi mjera energetske učinkovitosti.</w:t>
      </w:r>
      <w:r w:rsidR="00E06F58" w:rsidRPr="00B47BDA">
        <w:t xml:space="preserve"> Mjera za povećanje energetske učinkovitosti plinskog transportnog sustava temelji se na </w:t>
      </w:r>
      <w:r w:rsidR="008769E4" w:rsidRPr="00B47BDA">
        <w:t>D</w:t>
      </w:r>
      <w:r w:rsidR="00E06F58" w:rsidRPr="00B47BDA">
        <w:t xml:space="preserve">esetogodišnjem planu </w:t>
      </w:r>
      <w:r w:rsidR="008769E4" w:rsidRPr="00B47BDA">
        <w:t>razvoja plinskog transportnog sustava za razdoblje od 2021.-2030</w:t>
      </w:r>
      <w:r w:rsidR="00E06F58" w:rsidRPr="00B47BDA">
        <w:t xml:space="preserve">. </w:t>
      </w:r>
      <w:r w:rsidR="00E06F58" w:rsidRPr="00B47BDA">
        <w:rPr>
          <w:rFonts w:cstheme="minorHAnsi"/>
        </w:rPr>
        <w:t xml:space="preserve">Za RH je bitno i unaprjeđenje infrastrukture za proizvodnju, prijenos i distribuciju energije za grijanje i hlađenje. </w:t>
      </w:r>
    </w:p>
    <w:p w14:paraId="09BDF5D4" w14:textId="77777777" w:rsidR="0020535A" w:rsidRDefault="0020535A" w:rsidP="004623DD">
      <w:pPr>
        <w:rPr>
          <w:rFonts w:cstheme="minorHAnsi"/>
        </w:rPr>
      </w:pPr>
    </w:p>
    <w:p w14:paraId="7311F26B" w14:textId="4D41F5AC" w:rsidR="005B1070" w:rsidRPr="00B47BDA" w:rsidRDefault="00184324" w:rsidP="00EE67E0">
      <w:pPr>
        <w:pStyle w:val="Mjeranaslov"/>
      </w:pPr>
      <w:r w:rsidRPr="00B47BDA">
        <w:lastRenderedPageBreak/>
        <w:t>ENU-1</w:t>
      </w:r>
      <w:r w:rsidR="00C63606" w:rsidRPr="00B47BDA">
        <w:t>3</w:t>
      </w:r>
      <w:r w:rsidR="002E36D5" w:rsidRPr="00B47BDA">
        <w:t xml:space="preserve"> </w:t>
      </w:r>
      <w:r w:rsidR="003168A0" w:rsidRPr="00B47BDA">
        <w:t xml:space="preserve">Energetska učinkovitost </w:t>
      </w:r>
      <w:r w:rsidR="00F43578" w:rsidRPr="00B47BDA">
        <w:t>elektroenergetskog</w:t>
      </w:r>
      <w:r w:rsidR="003168A0" w:rsidRPr="00B47BDA">
        <w:t xml:space="preserve"> prijenosnog sustava</w:t>
      </w:r>
    </w:p>
    <w:p w14:paraId="368396C6" w14:textId="77777777" w:rsidR="00B936CA" w:rsidRPr="00B47BDA" w:rsidRDefault="00B936CA" w:rsidP="004623DD">
      <w:pPr>
        <w:pStyle w:val="NormalWeb"/>
      </w:pPr>
      <w:r w:rsidRPr="00B47BDA">
        <w:t xml:space="preserve">Financijska i organizacijska mjera; provedba 2021.-2030. </w:t>
      </w:r>
    </w:p>
    <w:p w14:paraId="226A1C48" w14:textId="5AB72D40" w:rsidR="00B936CA" w:rsidRPr="00B47BDA" w:rsidRDefault="00B936CA" w:rsidP="004623DD">
      <w:r w:rsidRPr="63259912">
        <w:rPr>
          <w:b/>
          <w:bCs/>
        </w:rPr>
        <w:t>Cilj i opis mjere:</w:t>
      </w:r>
      <w:r w:rsidRPr="63259912">
        <w:t xml:space="preserve"> Sadašnje razine gubitaka u prijenosnoj mreži RH iznose oko 2 % prenesene električne energije, što je iznos na razini ostalih operatora prijenosnog sustava ENTSO-E. Važna karakteristika hrvatske prijenosne mreže, kako s aspekta sigurnosti pogona i podržavanja tržišnih aktivnosti, tako i s aspekta gubitaka je izuzetno jaka povezanost sa susjednim elektroenergetskim sustavima (interkonekcije). Dok se s jedne strane time značajno povećava sigurnost pogona, s druge strane se zbog tranzita povećavaju gubici u mreži. HOPS će u razdoblju do 2030. godine nastaviti provoditi mjere vezane za vođenje pogona EES-a i mjere vezane uz razvoj prijenosne mreže, sve s ciljem daljnjeg smanjenja tehničkih gubitaka u mreži. Za ovu se mjeru predlaže, uz osiguravanje sredstava od strane HOPS-a, programirati korištenje </w:t>
      </w:r>
      <w:r w:rsidR="00670D97" w:rsidRPr="63259912">
        <w:t xml:space="preserve">EU </w:t>
      </w:r>
      <w:r w:rsidRPr="63259912">
        <w:t>sredstava u sljedećem programskom razdoblju od 2021. do 2027. godine.</w:t>
      </w:r>
    </w:p>
    <w:p w14:paraId="30906E01" w14:textId="5DAE204B" w:rsidR="00B936CA" w:rsidRPr="00B47BDA" w:rsidRDefault="00B936CA" w:rsidP="004623DD">
      <w:r w:rsidRPr="00B47BDA">
        <w:rPr>
          <w:b/>
        </w:rPr>
        <w:t>Aktivnosti:</w:t>
      </w:r>
      <w:r w:rsidRPr="00B47BDA">
        <w:t xml:space="preserve"> U okviru mjere provest će se sljedeće aktivnosti:</w:t>
      </w:r>
    </w:p>
    <w:p w14:paraId="2FD8F9F3" w14:textId="28F87B33" w:rsidR="00B936CA" w:rsidRPr="00B47BDA" w:rsidRDefault="00B936CA" w:rsidP="63259912">
      <w:pPr>
        <w:pStyle w:val="ListParagraph"/>
        <w:numPr>
          <w:ilvl w:val="0"/>
          <w:numId w:val="44"/>
        </w:numPr>
        <w:spacing w:after="60"/>
        <w:ind w:left="714" w:hanging="357"/>
        <w:rPr>
          <w:rFonts w:eastAsia="Calibri"/>
        </w:rPr>
      </w:pPr>
      <w:r w:rsidRPr="63259912">
        <w:t>Mjere vezane za vođenje pogona EES-a: topološke promjene u mreži ovisno o trenutnom pogonskom stanju; promjenu uklopnog stanja transformatora 400/220</w:t>
      </w:r>
      <w:r w:rsidR="00A62D68" w:rsidRPr="63259912">
        <w:t> </w:t>
      </w:r>
      <w:r w:rsidRPr="63259912">
        <w:t>kV, 400/110 kV, 220/110 kV i 110/x kV u vlasništvu/nadležnosti HOPS-a i optimiranje rada transformatora s kosom regulacijom (TS Žerjavinec, TS-HE Senj); upravljanje naponima i optimiranje tokova snaga u mreži</w:t>
      </w:r>
      <w:r w:rsidR="003226B2" w:rsidRPr="63259912">
        <w:t>, regulacija napona i kompenzacija jalove snage</w:t>
      </w:r>
      <w:r w:rsidRPr="63259912">
        <w:t xml:space="preserve">; optimiranje rada generatora (radne točke s faktorom snage u granicama 0,95 -1). </w:t>
      </w:r>
    </w:p>
    <w:p w14:paraId="31F9B419" w14:textId="2638F922" w:rsidR="00B936CA" w:rsidRPr="00B47BDA" w:rsidRDefault="00B936CA" w:rsidP="00157C3A">
      <w:pPr>
        <w:pStyle w:val="ListParagraph"/>
        <w:numPr>
          <w:ilvl w:val="0"/>
          <w:numId w:val="44"/>
        </w:numPr>
        <w:spacing w:after="60"/>
        <w:ind w:left="714" w:hanging="357"/>
        <w:rPr>
          <w:rFonts w:eastAsia="Calibri"/>
        </w:rPr>
      </w:pPr>
      <w:r w:rsidRPr="00B47BDA">
        <w:t xml:space="preserve">Mjere vezane uz kratkoročni i dugoročni razvoj prijenosne mreže uključuju: zamjene starih energetskih transformatora s novim transformatorima manjih gubitaka; revitalizacije starih dalekovoda sa zamjenom vodiča, upotrebom HTLS vodiča s većim presjekom aluminijskog plašta odnosno manjim gubicima; </w:t>
      </w:r>
      <w:r w:rsidR="00C07B59" w:rsidRPr="00B47BDA">
        <w:t>zamjena podmorskih 110 kV kabela;</w:t>
      </w:r>
      <w:r w:rsidRPr="00B47BDA">
        <w:t xml:space="preserve"> pojačanja prijenosne mreže (izgradnja novih vodova)</w:t>
      </w:r>
      <w:r w:rsidR="00246935" w:rsidRPr="00B47BDA">
        <w:t>; ugradnja uređaja za kompenzaciju jalove energije (VSR, SVC); zamjena nadzemnih 110 kV vodova kabelskim vodovima</w:t>
      </w:r>
      <w:r w:rsidRPr="00B47BDA">
        <w:t>.</w:t>
      </w:r>
    </w:p>
    <w:p w14:paraId="537EEE3C" w14:textId="508BF8F5" w:rsidR="00B936CA" w:rsidRPr="00B47BDA" w:rsidRDefault="404D6BC4" w:rsidP="004623DD">
      <w:pPr>
        <w:rPr>
          <w:rFonts w:eastAsia="Calibri"/>
        </w:rPr>
      </w:pPr>
      <w:r w:rsidRPr="1C9333AB">
        <w:rPr>
          <w:rFonts w:eastAsia="Calibri"/>
        </w:rPr>
        <w:t>Zamjenom starije opreme novom sa smanjenim iznosom gubitaka postiže se smanjenje ukupnih gubitaka na razini sustava. Do daljnjeg smanjenja gubitaka u budućnosti može doći razvojem novih i energetski efikasnijih tehnologija</w:t>
      </w:r>
      <w:r w:rsidR="42999AF1" w:rsidRPr="1C9333AB">
        <w:rPr>
          <w:rFonts w:eastAsia="Calibri"/>
        </w:rPr>
        <w:t xml:space="preserve"> te </w:t>
      </w:r>
      <w:r w:rsidRPr="1C9333AB">
        <w:rPr>
          <w:rFonts w:eastAsia="Calibri"/>
        </w:rPr>
        <w:t>daljnjom revitalizacijom i izgradnjom mreže koristeći vodiče najnovije generacije s manjim električnim otporom, odnosno manjim gubicima.</w:t>
      </w:r>
    </w:p>
    <w:p w14:paraId="73CBFAED" w14:textId="4A2C6838" w:rsidR="00D53B68" w:rsidRPr="00B47BDA" w:rsidRDefault="00B936CA" w:rsidP="004623DD">
      <w:r w:rsidRPr="00B47BDA">
        <w:rPr>
          <w:b/>
        </w:rPr>
        <w:t xml:space="preserve">Sredstva potrebna za provedbu: </w:t>
      </w:r>
      <w:r w:rsidRPr="00B47BDA">
        <w:t xml:space="preserve">Sredstva potrebna za provedbu svih predviđenih aktivnosti </w:t>
      </w:r>
      <w:r w:rsidR="006D66AF" w:rsidRPr="00B47BDA">
        <w:t>desetogodišnje</w:t>
      </w:r>
      <w:r w:rsidR="00A83352" w:rsidRPr="00B47BDA">
        <w:t>g</w:t>
      </w:r>
      <w:r w:rsidR="006D66AF" w:rsidRPr="00B47BDA">
        <w:t xml:space="preserve"> plan</w:t>
      </w:r>
      <w:r w:rsidR="00A83352" w:rsidRPr="00B47BDA">
        <w:t>a</w:t>
      </w:r>
      <w:r w:rsidR="006D66AF" w:rsidRPr="00B47BDA">
        <w:t xml:space="preserve"> razvoja prijenosne mreže 202</w:t>
      </w:r>
      <w:r w:rsidR="00A06E24">
        <w:t>3</w:t>
      </w:r>
      <w:r w:rsidR="006D66AF" w:rsidRPr="00B47BDA">
        <w:t>-203</w:t>
      </w:r>
      <w:r w:rsidR="00A06E24">
        <w:t>2</w:t>
      </w:r>
      <w:r w:rsidR="006D66AF" w:rsidRPr="00B47BDA">
        <w:t xml:space="preserve">. </w:t>
      </w:r>
      <w:r w:rsidR="005C15B5" w:rsidRPr="00B47BDA">
        <w:t xml:space="preserve">ukupno iznose </w:t>
      </w:r>
      <w:r w:rsidR="00B03B14" w:rsidRPr="00B47BDA">
        <w:t>1,246 milijardi EUR, od čega 563 milijuna EUR vlastitih sredstava HOPS-a</w:t>
      </w:r>
      <w:r w:rsidR="00AE3576">
        <w:t xml:space="preserve"> i </w:t>
      </w:r>
      <w:r w:rsidR="00AE3576" w:rsidRPr="00B47BDA">
        <w:t>345 milijuna EUR za priključenja objekata (iz naknade za priključenje i/ili fondova EU)</w:t>
      </w:r>
      <w:r w:rsidR="00AE3576">
        <w:t>. Osim toga, za modernizaciju, digitalizaciju i revitalizaciju elektroenergetskog sustava kroz NPOO alocirano je samo za prijenosni sustav 335 milijuna eura</w:t>
      </w:r>
      <w:r w:rsidR="00D53B68" w:rsidRPr="00B47BDA">
        <w:t>.</w:t>
      </w:r>
    </w:p>
    <w:p w14:paraId="0F28082B" w14:textId="08459FE8" w:rsidR="00B936CA" w:rsidRPr="00B47BDA" w:rsidRDefault="00B936CA" w:rsidP="004623DD">
      <w:pPr>
        <w:rPr>
          <w:rFonts w:eastAsia="Calibri"/>
        </w:rPr>
      </w:pPr>
      <w:r w:rsidRPr="00B47BDA">
        <w:rPr>
          <w:b/>
        </w:rPr>
        <w:t xml:space="preserve">Izvori financiranja: </w:t>
      </w:r>
      <w:r w:rsidRPr="00B47BDA">
        <w:t>HOPS, fondovi</w:t>
      </w:r>
      <w:r w:rsidR="00D53B68" w:rsidRPr="00B47BDA">
        <w:t xml:space="preserve"> EU, NPOO</w:t>
      </w:r>
    </w:p>
    <w:p w14:paraId="0DCE2561" w14:textId="3EC6E4CA" w:rsidR="00B936CA" w:rsidRPr="00B47BDA" w:rsidRDefault="00B936CA" w:rsidP="004623DD">
      <w:r w:rsidRPr="00EE67E0">
        <w:rPr>
          <w:b/>
          <w:bCs/>
        </w:rPr>
        <w:t>Izvršno tijelo:</w:t>
      </w:r>
      <w:r w:rsidRPr="00B47BDA">
        <w:t xml:space="preserve"> HOPS </w:t>
      </w:r>
    </w:p>
    <w:p w14:paraId="5743075B" w14:textId="404FCB37" w:rsidR="0048419E" w:rsidRPr="00B47BDA" w:rsidRDefault="00B936CA" w:rsidP="004623DD">
      <w:pPr>
        <w:rPr>
          <w:rFonts w:eastAsia="Calibri"/>
        </w:rPr>
      </w:pPr>
      <w:r w:rsidRPr="00EE67E0">
        <w:rPr>
          <w:b/>
          <w:bCs/>
        </w:rPr>
        <w:t>Tijela za praćenje:</w:t>
      </w:r>
      <w:r w:rsidRPr="00B47BDA">
        <w:t xml:space="preserve"> M</w:t>
      </w:r>
      <w:r w:rsidR="0004150F" w:rsidRPr="00B47BDA">
        <w:t>INGO</w:t>
      </w:r>
      <w:r w:rsidRPr="00B47BDA">
        <w:t>-NKT, HERA</w:t>
      </w:r>
    </w:p>
    <w:p w14:paraId="200D4F14" w14:textId="77777777" w:rsidR="00B936CA" w:rsidRPr="00B47BDA" w:rsidRDefault="00B936CA" w:rsidP="004623DD">
      <w:r w:rsidRPr="00B47BDA">
        <w:rPr>
          <w:b/>
        </w:rPr>
        <w:t xml:space="preserve">Učinak: </w:t>
      </w:r>
      <w:r w:rsidRPr="00B47BDA">
        <w:t>Smanjenje gubitaka u prijenosnoj elektroenergetskoj mreži prikazuje donja tablica:</w:t>
      </w:r>
    </w:p>
    <w:tbl>
      <w:tblPr>
        <w:tblStyle w:val="GridTable1Light14"/>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545"/>
        <w:gridCol w:w="1425"/>
        <w:gridCol w:w="1558"/>
      </w:tblGrid>
      <w:tr w:rsidR="00B936CA" w:rsidRPr="00EE67E0" w14:paraId="58271ED6" w14:textId="77777777" w:rsidTr="00AE265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13" w:type="pct"/>
            <w:shd w:val="clear" w:color="auto" w:fill="D9E2F3" w:themeFill="accent5" w:themeFillTint="33"/>
            <w:noWrap/>
            <w:vAlign w:val="center"/>
            <w:hideMark/>
          </w:tcPr>
          <w:p w14:paraId="399F86C9" w14:textId="77777777" w:rsidR="00B936CA" w:rsidRPr="00157C3A" w:rsidRDefault="00B936CA" w:rsidP="00795021">
            <w:pPr>
              <w:jc w:val="center"/>
              <w:rPr>
                <w:sz w:val="22"/>
                <w:szCs w:val="22"/>
              </w:rPr>
            </w:pPr>
            <w:r w:rsidRPr="00157C3A">
              <w:rPr>
                <w:sz w:val="22"/>
                <w:szCs w:val="22"/>
              </w:rPr>
              <w:lastRenderedPageBreak/>
              <w:t>Mjera</w:t>
            </w:r>
          </w:p>
        </w:tc>
        <w:tc>
          <w:tcPr>
            <w:tcW w:w="2487" w:type="pct"/>
            <w:gridSpan w:val="3"/>
            <w:shd w:val="clear" w:color="auto" w:fill="D9E2F3" w:themeFill="accent5" w:themeFillTint="33"/>
            <w:noWrap/>
            <w:vAlign w:val="center"/>
            <w:hideMark/>
          </w:tcPr>
          <w:p w14:paraId="3802A2AA" w14:textId="77777777" w:rsidR="00B936CA" w:rsidRPr="00157C3A" w:rsidRDefault="00B936CA" w:rsidP="00795021">
            <w:pPr>
              <w:jc w:val="center"/>
              <w:cnfStyle w:val="100000000000" w:firstRow="1" w:lastRow="0" w:firstColumn="0" w:lastColumn="0" w:oddVBand="0" w:evenVBand="0" w:oddHBand="0" w:evenHBand="0" w:firstRowFirstColumn="0" w:firstRowLastColumn="0" w:lastRowFirstColumn="0" w:lastRowLastColumn="0"/>
              <w:rPr>
                <w:sz w:val="22"/>
                <w:szCs w:val="22"/>
              </w:rPr>
            </w:pPr>
            <w:r w:rsidRPr="00157C3A">
              <w:rPr>
                <w:sz w:val="22"/>
                <w:szCs w:val="22"/>
              </w:rPr>
              <w:t>Procjena mogućih ušteda u gubitcima (GWh/godišnje)</w:t>
            </w:r>
          </w:p>
        </w:tc>
      </w:tr>
      <w:tr w:rsidR="00B936CA" w:rsidRPr="00EE67E0" w14:paraId="5F6A0B14" w14:textId="77777777" w:rsidTr="00AE265E">
        <w:trPr>
          <w:trHeight w:val="255"/>
          <w:jc w:val="center"/>
        </w:trPr>
        <w:tc>
          <w:tcPr>
            <w:cnfStyle w:val="001000000000" w:firstRow="0" w:lastRow="0" w:firstColumn="1" w:lastColumn="0" w:oddVBand="0" w:evenVBand="0" w:oddHBand="0" w:evenHBand="0" w:firstRowFirstColumn="0" w:firstRowLastColumn="0" w:lastRowFirstColumn="0" w:lastRowLastColumn="0"/>
            <w:tcW w:w="2513" w:type="pct"/>
            <w:noWrap/>
          </w:tcPr>
          <w:p w14:paraId="6FD6D1BA" w14:textId="77777777" w:rsidR="00B936CA" w:rsidRPr="00157C3A" w:rsidRDefault="00B936CA" w:rsidP="004623DD">
            <w:pPr>
              <w:rPr>
                <w:sz w:val="22"/>
                <w:szCs w:val="22"/>
              </w:rPr>
            </w:pPr>
          </w:p>
        </w:tc>
        <w:tc>
          <w:tcPr>
            <w:tcW w:w="849" w:type="pct"/>
            <w:noWrap/>
            <w:hideMark/>
          </w:tcPr>
          <w:p w14:paraId="1F38D28B" w14:textId="3F86A11E" w:rsidR="00B936CA" w:rsidRPr="00157C3A" w:rsidRDefault="000501B3"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2022. – 2024.</w:t>
            </w:r>
          </w:p>
        </w:tc>
        <w:tc>
          <w:tcPr>
            <w:tcW w:w="782" w:type="pct"/>
            <w:hideMark/>
          </w:tcPr>
          <w:p w14:paraId="61F1EFA4" w14:textId="2ADFD24B" w:rsidR="00B936CA" w:rsidRPr="00157C3A" w:rsidRDefault="000501B3"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2025.- 2026.</w:t>
            </w:r>
          </w:p>
        </w:tc>
        <w:tc>
          <w:tcPr>
            <w:tcW w:w="857" w:type="pct"/>
            <w:hideMark/>
          </w:tcPr>
          <w:p w14:paraId="19835BEB" w14:textId="18BBE04D" w:rsidR="00B936CA" w:rsidRPr="00157C3A" w:rsidRDefault="000501B3"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2027. – 2031.</w:t>
            </w:r>
          </w:p>
        </w:tc>
      </w:tr>
      <w:tr w:rsidR="00B936CA" w:rsidRPr="00EE67E0" w14:paraId="7FC433AD" w14:textId="77777777" w:rsidTr="00AE265E">
        <w:trPr>
          <w:trHeight w:val="255"/>
          <w:jc w:val="center"/>
        </w:trPr>
        <w:tc>
          <w:tcPr>
            <w:cnfStyle w:val="001000000000" w:firstRow="0" w:lastRow="0" w:firstColumn="1" w:lastColumn="0" w:oddVBand="0" w:evenVBand="0" w:oddHBand="0" w:evenHBand="0" w:firstRowFirstColumn="0" w:firstRowLastColumn="0" w:lastRowFirstColumn="0" w:lastRowLastColumn="0"/>
            <w:tcW w:w="2513" w:type="pct"/>
            <w:noWrap/>
            <w:hideMark/>
          </w:tcPr>
          <w:p w14:paraId="0237EDC3" w14:textId="77777777" w:rsidR="00B936CA" w:rsidRPr="00157C3A" w:rsidRDefault="00B936CA" w:rsidP="004623DD">
            <w:pPr>
              <w:rPr>
                <w:sz w:val="22"/>
                <w:szCs w:val="22"/>
              </w:rPr>
            </w:pPr>
            <w:r w:rsidRPr="00157C3A">
              <w:rPr>
                <w:sz w:val="22"/>
                <w:szCs w:val="22"/>
              </w:rPr>
              <w:t>Zamjena vodiča na nadzemnim vodovima (HTLS vodiči)</w:t>
            </w:r>
          </w:p>
        </w:tc>
        <w:tc>
          <w:tcPr>
            <w:tcW w:w="849" w:type="pct"/>
            <w:noWrap/>
            <w:hideMark/>
          </w:tcPr>
          <w:p w14:paraId="36A9101B" w14:textId="7A98A6F6"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0,</w:t>
            </w:r>
            <w:r w:rsidR="00277175" w:rsidRPr="00157C3A">
              <w:rPr>
                <w:sz w:val="22"/>
                <w:szCs w:val="22"/>
              </w:rPr>
              <w:t>4</w:t>
            </w:r>
          </w:p>
        </w:tc>
        <w:tc>
          <w:tcPr>
            <w:tcW w:w="782" w:type="pct"/>
            <w:hideMark/>
          </w:tcPr>
          <w:p w14:paraId="0EDBB37B" w14:textId="4D4A2606"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0,</w:t>
            </w:r>
            <w:r w:rsidR="00277175" w:rsidRPr="00157C3A">
              <w:rPr>
                <w:sz w:val="22"/>
                <w:szCs w:val="22"/>
              </w:rPr>
              <w:t>5</w:t>
            </w:r>
          </w:p>
        </w:tc>
        <w:tc>
          <w:tcPr>
            <w:tcW w:w="857" w:type="pct"/>
            <w:hideMark/>
          </w:tcPr>
          <w:p w14:paraId="1D812DBB" w14:textId="77777777"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0,6</w:t>
            </w:r>
          </w:p>
        </w:tc>
      </w:tr>
      <w:tr w:rsidR="00B936CA" w:rsidRPr="00EE67E0" w14:paraId="67BE86D1" w14:textId="77777777" w:rsidTr="00AE265E">
        <w:trPr>
          <w:trHeight w:val="255"/>
          <w:jc w:val="center"/>
        </w:trPr>
        <w:tc>
          <w:tcPr>
            <w:cnfStyle w:val="001000000000" w:firstRow="0" w:lastRow="0" w:firstColumn="1" w:lastColumn="0" w:oddVBand="0" w:evenVBand="0" w:oddHBand="0" w:evenHBand="0" w:firstRowFirstColumn="0" w:firstRowLastColumn="0" w:lastRowFirstColumn="0" w:lastRowLastColumn="0"/>
            <w:tcW w:w="2513" w:type="pct"/>
            <w:noWrap/>
            <w:hideMark/>
          </w:tcPr>
          <w:p w14:paraId="24FF5E66" w14:textId="77777777" w:rsidR="00B936CA" w:rsidRPr="00157C3A" w:rsidRDefault="00B936CA" w:rsidP="004623DD">
            <w:pPr>
              <w:rPr>
                <w:sz w:val="22"/>
                <w:szCs w:val="22"/>
              </w:rPr>
            </w:pPr>
            <w:r w:rsidRPr="00157C3A">
              <w:rPr>
                <w:sz w:val="22"/>
                <w:szCs w:val="22"/>
              </w:rPr>
              <w:t>Zamjena podmorskih 110 kV kabela</w:t>
            </w:r>
          </w:p>
        </w:tc>
        <w:tc>
          <w:tcPr>
            <w:tcW w:w="849" w:type="pct"/>
            <w:noWrap/>
            <w:hideMark/>
          </w:tcPr>
          <w:p w14:paraId="73D52DEB" w14:textId="30A19B5B"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0,</w:t>
            </w:r>
            <w:r w:rsidR="00267816" w:rsidRPr="00157C3A">
              <w:rPr>
                <w:sz w:val="22"/>
                <w:szCs w:val="22"/>
              </w:rPr>
              <w:t>9</w:t>
            </w:r>
          </w:p>
        </w:tc>
        <w:tc>
          <w:tcPr>
            <w:tcW w:w="782" w:type="pct"/>
            <w:hideMark/>
          </w:tcPr>
          <w:p w14:paraId="544F796B" w14:textId="42D1D078"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1,</w:t>
            </w:r>
            <w:r w:rsidR="00267816" w:rsidRPr="00157C3A">
              <w:rPr>
                <w:sz w:val="22"/>
                <w:szCs w:val="22"/>
              </w:rPr>
              <w:t>5</w:t>
            </w:r>
          </w:p>
        </w:tc>
        <w:tc>
          <w:tcPr>
            <w:tcW w:w="857" w:type="pct"/>
            <w:hideMark/>
          </w:tcPr>
          <w:p w14:paraId="07F1F131" w14:textId="06376057"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1,</w:t>
            </w:r>
            <w:r w:rsidR="00267816" w:rsidRPr="00157C3A">
              <w:rPr>
                <w:sz w:val="22"/>
                <w:szCs w:val="22"/>
              </w:rPr>
              <w:t>5</w:t>
            </w:r>
          </w:p>
        </w:tc>
      </w:tr>
      <w:tr w:rsidR="00B936CA" w:rsidRPr="00EE67E0" w14:paraId="02D22D8A" w14:textId="77777777" w:rsidTr="00AE265E">
        <w:trPr>
          <w:trHeight w:val="255"/>
          <w:jc w:val="center"/>
        </w:trPr>
        <w:tc>
          <w:tcPr>
            <w:cnfStyle w:val="001000000000" w:firstRow="0" w:lastRow="0" w:firstColumn="1" w:lastColumn="0" w:oddVBand="0" w:evenVBand="0" w:oddHBand="0" w:evenHBand="0" w:firstRowFirstColumn="0" w:firstRowLastColumn="0" w:lastRowFirstColumn="0" w:lastRowLastColumn="0"/>
            <w:tcW w:w="2513" w:type="pct"/>
            <w:noWrap/>
            <w:hideMark/>
          </w:tcPr>
          <w:p w14:paraId="1346EB9A" w14:textId="77777777" w:rsidR="00B936CA" w:rsidRPr="00157C3A" w:rsidRDefault="00B936CA" w:rsidP="004623DD">
            <w:pPr>
              <w:rPr>
                <w:sz w:val="22"/>
                <w:szCs w:val="22"/>
              </w:rPr>
            </w:pPr>
            <w:r w:rsidRPr="00157C3A">
              <w:rPr>
                <w:sz w:val="22"/>
                <w:szCs w:val="22"/>
              </w:rPr>
              <w:t>Planirana pojačanja mreže</w:t>
            </w:r>
          </w:p>
        </w:tc>
        <w:tc>
          <w:tcPr>
            <w:tcW w:w="849" w:type="pct"/>
            <w:noWrap/>
            <w:hideMark/>
          </w:tcPr>
          <w:p w14:paraId="22C92719" w14:textId="260E10DF"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7</w:t>
            </w:r>
            <w:r w:rsidR="00267816" w:rsidRPr="00157C3A">
              <w:rPr>
                <w:sz w:val="22"/>
                <w:szCs w:val="22"/>
              </w:rPr>
              <w:t>,8</w:t>
            </w:r>
          </w:p>
        </w:tc>
        <w:tc>
          <w:tcPr>
            <w:tcW w:w="782" w:type="pct"/>
            <w:hideMark/>
          </w:tcPr>
          <w:p w14:paraId="19EDADBF" w14:textId="1577ADCB"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1</w:t>
            </w:r>
            <w:r w:rsidR="00267816" w:rsidRPr="00157C3A">
              <w:rPr>
                <w:sz w:val="22"/>
                <w:szCs w:val="22"/>
              </w:rPr>
              <w:t>4,9</w:t>
            </w:r>
          </w:p>
        </w:tc>
        <w:tc>
          <w:tcPr>
            <w:tcW w:w="857" w:type="pct"/>
            <w:hideMark/>
          </w:tcPr>
          <w:p w14:paraId="4E2F2CB0" w14:textId="2B530376" w:rsidR="00B936CA" w:rsidRPr="00157C3A" w:rsidRDefault="00267816"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18,8</w:t>
            </w:r>
          </w:p>
        </w:tc>
      </w:tr>
      <w:tr w:rsidR="00B936CA" w:rsidRPr="00EE67E0" w14:paraId="10381EF7" w14:textId="77777777" w:rsidTr="00AE265E">
        <w:trPr>
          <w:trHeight w:val="255"/>
          <w:jc w:val="center"/>
        </w:trPr>
        <w:tc>
          <w:tcPr>
            <w:cnfStyle w:val="001000000000" w:firstRow="0" w:lastRow="0" w:firstColumn="1" w:lastColumn="0" w:oddVBand="0" w:evenVBand="0" w:oddHBand="0" w:evenHBand="0" w:firstRowFirstColumn="0" w:firstRowLastColumn="0" w:lastRowFirstColumn="0" w:lastRowLastColumn="0"/>
            <w:tcW w:w="2513" w:type="pct"/>
            <w:noWrap/>
            <w:hideMark/>
          </w:tcPr>
          <w:p w14:paraId="5429B331" w14:textId="77777777" w:rsidR="00B936CA" w:rsidRPr="00157C3A" w:rsidRDefault="00B936CA" w:rsidP="004623DD">
            <w:pPr>
              <w:rPr>
                <w:sz w:val="22"/>
                <w:szCs w:val="22"/>
              </w:rPr>
            </w:pPr>
            <w:r w:rsidRPr="00157C3A">
              <w:rPr>
                <w:sz w:val="22"/>
                <w:szCs w:val="22"/>
              </w:rPr>
              <w:t>Ugradnja kompenzacijskih uređaja (2xVSR + 1xSVC)</w:t>
            </w:r>
          </w:p>
        </w:tc>
        <w:tc>
          <w:tcPr>
            <w:tcW w:w="849" w:type="pct"/>
            <w:noWrap/>
            <w:hideMark/>
          </w:tcPr>
          <w:p w14:paraId="5ECC3126" w14:textId="2AB8A0FB" w:rsidR="00B936CA" w:rsidRPr="00157C3A" w:rsidRDefault="000B6B31"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-3,2</w:t>
            </w:r>
          </w:p>
        </w:tc>
        <w:tc>
          <w:tcPr>
            <w:tcW w:w="782" w:type="pct"/>
            <w:hideMark/>
          </w:tcPr>
          <w:p w14:paraId="5A86612F" w14:textId="77777777"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-3,5</w:t>
            </w:r>
          </w:p>
        </w:tc>
        <w:tc>
          <w:tcPr>
            <w:tcW w:w="857" w:type="pct"/>
            <w:hideMark/>
          </w:tcPr>
          <w:p w14:paraId="704B34DE" w14:textId="77777777"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-3,5</w:t>
            </w:r>
          </w:p>
        </w:tc>
      </w:tr>
      <w:tr w:rsidR="00B936CA" w:rsidRPr="00EE67E0" w14:paraId="6F6C368B" w14:textId="77777777" w:rsidTr="00AE265E">
        <w:trPr>
          <w:trHeight w:val="255"/>
          <w:jc w:val="center"/>
        </w:trPr>
        <w:tc>
          <w:tcPr>
            <w:cnfStyle w:val="001000000000" w:firstRow="0" w:lastRow="0" w:firstColumn="1" w:lastColumn="0" w:oddVBand="0" w:evenVBand="0" w:oddHBand="0" w:evenHBand="0" w:firstRowFirstColumn="0" w:firstRowLastColumn="0" w:lastRowFirstColumn="0" w:lastRowLastColumn="0"/>
            <w:tcW w:w="2513" w:type="pct"/>
            <w:noWrap/>
            <w:hideMark/>
          </w:tcPr>
          <w:p w14:paraId="54089603" w14:textId="77777777" w:rsidR="00B936CA" w:rsidRPr="00157C3A" w:rsidRDefault="00B936CA" w:rsidP="004623DD">
            <w:pPr>
              <w:rPr>
                <w:sz w:val="22"/>
                <w:szCs w:val="22"/>
              </w:rPr>
            </w:pPr>
            <w:r w:rsidRPr="00157C3A">
              <w:rPr>
                <w:sz w:val="22"/>
                <w:szCs w:val="22"/>
              </w:rPr>
              <w:t>Planirane zamjene energetskih transformatora</w:t>
            </w:r>
          </w:p>
        </w:tc>
        <w:tc>
          <w:tcPr>
            <w:tcW w:w="849" w:type="pct"/>
            <w:noWrap/>
            <w:hideMark/>
          </w:tcPr>
          <w:p w14:paraId="686FD857" w14:textId="77777777"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0,2</w:t>
            </w:r>
          </w:p>
        </w:tc>
        <w:tc>
          <w:tcPr>
            <w:tcW w:w="782" w:type="pct"/>
            <w:hideMark/>
          </w:tcPr>
          <w:p w14:paraId="25CB66FC" w14:textId="0804923B"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0,</w:t>
            </w:r>
            <w:r w:rsidR="000B6B31" w:rsidRPr="00157C3A">
              <w:rPr>
                <w:sz w:val="22"/>
                <w:szCs w:val="22"/>
              </w:rPr>
              <w:t>2</w:t>
            </w:r>
          </w:p>
        </w:tc>
        <w:tc>
          <w:tcPr>
            <w:tcW w:w="857" w:type="pct"/>
            <w:hideMark/>
          </w:tcPr>
          <w:p w14:paraId="073AA22C" w14:textId="326A9B21"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0,</w:t>
            </w:r>
            <w:r w:rsidR="000B6B31" w:rsidRPr="00157C3A">
              <w:rPr>
                <w:sz w:val="22"/>
                <w:szCs w:val="22"/>
              </w:rPr>
              <w:t>3</w:t>
            </w:r>
          </w:p>
        </w:tc>
      </w:tr>
      <w:tr w:rsidR="00B936CA" w:rsidRPr="00EE67E0" w14:paraId="5DDD8252" w14:textId="77777777" w:rsidTr="00AE265E">
        <w:trPr>
          <w:trHeight w:val="255"/>
          <w:jc w:val="center"/>
        </w:trPr>
        <w:tc>
          <w:tcPr>
            <w:cnfStyle w:val="001000000000" w:firstRow="0" w:lastRow="0" w:firstColumn="1" w:lastColumn="0" w:oddVBand="0" w:evenVBand="0" w:oddHBand="0" w:evenHBand="0" w:firstRowFirstColumn="0" w:firstRowLastColumn="0" w:lastRowFirstColumn="0" w:lastRowLastColumn="0"/>
            <w:tcW w:w="2513" w:type="pct"/>
            <w:noWrap/>
            <w:hideMark/>
          </w:tcPr>
          <w:p w14:paraId="2575540E" w14:textId="77777777" w:rsidR="00B936CA" w:rsidRPr="00157C3A" w:rsidRDefault="00B936CA" w:rsidP="004623DD">
            <w:pPr>
              <w:rPr>
                <w:sz w:val="22"/>
                <w:szCs w:val="22"/>
              </w:rPr>
            </w:pPr>
            <w:r w:rsidRPr="00157C3A">
              <w:rPr>
                <w:sz w:val="22"/>
                <w:szCs w:val="22"/>
              </w:rPr>
              <w:t>Planirano kabliranje nadzemnih vodova 110 kV</w:t>
            </w:r>
          </w:p>
        </w:tc>
        <w:tc>
          <w:tcPr>
            <w:tcW w:w="849" w:type="pct"/>
            <w:noWrap/>
            <w:hideMark/>
          </w:tcPr>
          <w:p w14:paraId="212663BF" w14:textId="6FC40317"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0</w:t>
            </w:r>
            <w:r w:rsidR="00D70090" w:rsidRPr="00157C3A">
              <w:rPr>
                <w:sz w:val="22"/>
                <w:szCs w:val="22"/>
              </w:rPr>
              <w:t>,1</w:t>
            </w:r>
          </w:p>
        </w:tc>
        <w:tc>
          <w:tcPr>
            <w:tcW w:w="782" w:type="pct"/>
            <w:hideMark/>
          </w:tcPr>
          <w:p w14:paraId="58CD54E0" w14:textId="77777777"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0,4</w:t>
            </w:r>
          </w:p>
        </w:tc>
        <w:tc>
          <w:tcPr>
            <w:tcW w:w="857" w:type="pct"/>
            <w:hideMark/>
          </w:tcPr>
          <w:p w14:paraId="583E01F2" w14:textId="77777777"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0,5</w:t>
            </w:r>
          </w:p>
        </w:tc>
      </w:tr>
      <w:tr w:rsidR="00B936CA" w:rsidRPr="00EE67E0" w14:paraId="6A12BB3B" w14:textId="77777777" w:rsidTr="00AE265E">
        <w:trPr>
          <w:trHeight w:val="255"/>
          <w:jc w:val="center"/>
        </w:trPr>
        <w:tc>
          <w:tcPr>
            <w:cnfStyle w:val="001000000000" w:firstRow="0" w:lastRow="0" w:firstColumn="1" w:lastColumn="0" w:oddVBand="0" w:evenVBand="0" w:oddHBand="0" w:evenHBand="0" w:firstRowFirstColumn="0" w:firstRowLastColumn="0" w:lastRowFirstColumn="0" w:lastRowLastColumn="0"/>
            <w:tcW w:w="2513" w:type="pct"/>
            <w:noWrap/>
            <w:hideMark/>
          </w:tcPr>
          <w:p w14:paraId="15DD62BA" w14:textId="77777777" w:rsidR="00B936CA" w:rsidRPr="00157C3A" w:rsidRDefault="00B936CA" w:rsidP="004623DD">
            <w:pPr>
              <w:rPr>
                <w:sz w:val="22"/>
                <w:szCs w:val="22"/>
              </w:rPr>
            </w:pPr>
            <w:r w:rsidRPr="00157C3A">
              <w:rPr>
                <w:sz w:val="22"/>
                <w:szCs w:val="22"/>
              </w:rPr>
              <w:t>Optimiranje tokova snaga</w:t>
            </w:r>
          </w:p>
        </w:tc>
        <w:tc>
          <w:tcPr>
            <w:tcW w:w="849" w:type="pct"/>
            <w:noWrap/>
            <w:hideMark/>
          </w:tcPr>
          <w:p w14:paraId="6921325D" w14:textId="77777777"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0,7</w:t>
            </w:r>
          </w:p>
        </w:tc>
        <w:tc>
          <w:tcPr>
            <w:tcW w:w="782" w:type="pct"/>
            <w:hideMark/>
          </w:tcPr>
          <w:p w14:paraId="39960DDA" w14:textId="77777777"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0,7</w:t>
            </w:r>
          </w:p>
        </w:tc>
        <w:tc>
          <w:tcPr>
            <w:tcW w:w="857" w:type="pct"/>
            <w:hideMark/>
          </w:tcPr>
          <w:p w14:paraId="4C9E2588" w14:textId="77777777"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0,7</w:t>
            </w:r>
          </w:p>
        </w:tc>
      </w:tr>
      <w:tr w:rsidR="00B936CA" w:rsidRPr="00EE67E0" w14:paraId="5801CB32" w14:textId="77777777" w:rsidTr="00AE265E">
        <w:trPr>
          <w:trHeight w:val="255"/>
          <w:jc w:val="center"/>
        </w:trPr>
        <w:tc>
          <w:tcPr>
            <w:cnfStyle w:val="001000000000" w:firstRow="0" w:lastRow="0" w:firstColumn="1" w:lastColumn="0" w:oddVBand="0" w:evenVBand="0" w:oddHBand="0" w:evenHBand="0" w:firstRowFirstColumn="0" w:firstRowLastColumn="0" w:lastRowFirstColumn="0" w:lastRowLastColumn="0"/>
            <w:tcW w:w="2513" w:type="pct"/>
            <w:noWrap/>
            <w:hideMark/>
          </w:tcPr>
          <w:p w14:paraId="0FD67992" w14:textId="6F440188" w:rsidR="00B936CA" w:rsidRPr="00157C3A" w:rsidRDefault="00B936CA" w:rsidP="004623DD">
            <w:pPr>
              <w:rPr>
                <w:sz w:val="22"/>
                <w:szCs w:val="22"/>
              </w:rPr>
            </w:pPr>
            <w:r w:rsidRPr="00157C3A">
              <w:rPr>
                <w:sz w:val="22"/>
                <w:szCs w:val="22"/>
              </w:rPr>
              <w:t>Optimiranje</w:t>
            </w:r>
            <w:r w:rsidR="00E223DA" w:rsidRPr="00157C3A">
              <w:rPr>
                <w:sz w:val="22"/>
                <w:szCs w:val="22"/>
              </w:rPr>
              <w:t xml:space="preserve"> </w:t>
            </w:r>
            <w:r w:rsidRPr="00157C3A">
              <w:rPr>
                <w:sz w:val="22"/>
                <w:szCs w:val="22"/>
              </w:rPr>
              <w:t>rada energetskih transformatora</w:t>
            </w:r>
          </w:p>
        </w:tc>
        <w:tc>
          <w:tcPr>
            <w:tcW w:w="849" w:type="pct"/>
            <w:noWrap/>
            <w:hideMark/>
          </w:tcPr>
          <w:p w14:paraId="32028F6F" w14:textId="7C3DCD23"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5,</w:t>
            </w:r>
            <w:r w:rsidR="00DC4263" w:rsidRPr="00157C3A">
              <w:rPr>
                <w:sz w:val="22"/>
                <w:szCs w:val="22"/>
              </w:rPr>
              <w:t>6</w:t>
            </w:r>
          </w:p>
        </w:tc>
        <w:tc>
          <w:tcPr>
            <w:tcW w:w="782" w:type="pct"/>
            <w:hideMark/>
          </w:tcPr>
          <w:p w14:paraId="27457469" w14:textId="69F3B691"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6,</w:t>
            </w:r>
            <w:r w:rsidR="00DC4263" w:rsidRPr="00157C3A">
              <w:rPr>
                <w:sz w:val="22"/>
                <w:szCs w:val="22"/>
              </w:rPr>
              <w:t>8</w:t>
            </w:r>
          </w:p>
        </w:tc>
        <w:tc>
          <w:tcPr>
            <w:tcW w:w="857" w:type="pct"/>
            <w:hideMark/>
          </w:tcPr>
          <w:p w14:paraId="2E8FA6E1" w14:textId="77777777"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7,3</w:t>
            </w:r>
          </w:p>
        </w:tc>
      </w:tr>
      <w:tr w:rsidR="00B936CA" w:rsidRPr="00EE67E0" w14:paraId="55398A78" w14:textId="77777777" w:rsidTr="00AE265E">
        <w:trPr>
          <w:trHeight w:val="255"/>
          <w:jc w:val="center"/>
        </w:trPr>
        <w:tc>
          <w:tcPr>
            <w:cnfStyle w:val="001000000000" w:firstRow="0" w:lastRow="0" w:firstColumn="1" w:lastColumn="0" w:oddVBand="0" w:evenVBand="0" w:oddHBand="0" w:evenHBand="0" w:firstRowFirstColumn="0" w:firstRowLastColumn="0" w:lastRowFirstColumn="0" w:lastRowLastColumn="0"/>
            <w:tcW w:w="2513" w:type="pct"/>
            <w:noWrap/>
            <w:hideMark/>
          </w:tcPr>
          <w:p w14:paraId="57DD259D" w14:textId="77777777" w:rsidR="00B936CA" w:rsidRPr="00157C3A" w:rsidRDefault="00B936CA" w:rsidP="004623DD">
            <w:pPr>
              <w:rPr>
                <w:sz w:val="22"/>
                <w:szCs w:val="22"/>
              </w:rPr>
            </w:pPr>
            <w:r w:rsidRPr="00157C3A">
              <w:rPr>
                <w:sz w:val="22"/>
                <w:szCs w:val="22"/>
              </w:rPr>
              <w:t>SUMA PRIMJENE SVIH MJERA (GWh/godišnje)</w:t>
            </w:r>
          </w:p>
        </w:tc>
        <w:tc>
          <w:tcPr>
            <w:tcW w:w="849" w:type="pct"/>
            <w:noWrap/>
            <w:hideMark/>
          </w:tcPr>
          <w:p w14:paraId="59F8D9D1" w14:textId="2FB39C6A"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15,9</w:t>
            </w:r>
          </w:p>
        </w:tc>
        <w:tc>
          <w:tcPr>
            <w:tcW w:w="782" w:type="pct"/>
            <w:hideMark/>
          </w:tcPr>
          <w:p w14:paraId="3AC90257" w14:textId="18846B32"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25</w:t>
            </w:r>
          </w:p>
        </w:tc>
        <w:tc>
          <w:tcPr>
            <w:tcW w:w="857" w:type="pct"/>
            <w:hideMark/>
          </w:tcPr>
          <w:p w14:paraId="4C6B8E29" w14:textId="2B112B17" w:rsidR="00B936CA" w:rsidRPr="00157C3A" w:rsidRDefault="00B936CA" w:rsidP="00225107">
            <w:pPr>
              <w:jc w:val="center"/>
              <w:cnfStyle w:val="000000000000" w:firstRow="0" w:lastRow="0" w:firstColumn="0" w:lastColumn="0" w:oddVBand="0" w:evenVBand="0" w:oddHBand="0" w:evenHBand="0" w:firstRowFirstColumn="0" w:firstRowLastColumn="0" w:lastRowFirstColumn="0" w:lastRowLastColumn="0"/>
              <w:rPr>
                <w:sz w:val="22"/>
                <w:szCs w:val="22"/>
              </w:rPr>
            </w:pPr>
            <w:r w:rsidRPr="00157C3A">
              <w:rPr>
                <w:sz w:val="22"/>
                <w:szCs w:val="22"/>
              </w:rPr>
              <w:t>38</w:t>
            </w:r>
          </w:p>
        </w:tc>
      </w:tr>
    </w:tbl>
    <w:p w14:paraId="1D94169D" w14:textId="77777777" w:rsidR="0048419E" w:rsidRPr="00B47BDA" w:rsidRDefault="0048419E" w:rsidP="004623DD"/>
    <w:p w14:paraId="66B471DB" w14:textId="4D2C8446" w:rsidR="00BC3D44" w:rsidRPr="00B47BDA" w:rsidRDefault="006F7409" w:rsidP="004623DD">
      <w:r w:rsidRPr="00B47BDA">
        <w:t>Prema tim procjenama proizlazi da je u razdoblju 2022. – 2024. godine moguće očekivati uštedu u gubicima električne energije oko 15,</w:t>
      </w:r>
      <w:r w:rsidR="00EE0F13">
        <w:t>9</w:t>
      </w:r>
      <w:r w:rsidR="00EE0F13" w:rsidRPr="00B47BDA">
        <w:t xml:space="preserve"> </w:t>
      </w:r>
      <w:r w:rsidRPr="00B47BDA">
        <w:t>GWh prosječno godišnje, u razdoblju 2025. – 2026. godine oko 25 GWh</w:t>
      </w:r>
      <w:r w:rsidR="00BC3D44" w:rsidRPr="00B47BDA">
        <w:t xml:space="preserve"> </w:t>
      </w:r>
      <w:r w:rsidRPr="00B47BDA">
        <w:t xml:space="preserve">prosječno godišnje, a u razdoblju od 2027. do 2031. godine oko </w:t>
      </w:r>
      <w:r w:rsidR="006C6C55">
        <w:t>38</w:t>
      </w:r>
      <w:r w:rsidRPr="00B47BDA">
        <w:t xml:space="preserve"> GWh prosječno godišnje</w:t>
      </w:r>
      <w:r w:rsidR="00BC3D44" w:rsidRPr="00B47BDA">
        <w:t>.</w:t>
      </w:r>
    </w:p>
    <w:p w14:paraId="636E7576" w14:textId="42896F49" w:rsidR="00B936CA" w:rsidRPr="00B47BDA" w:rsidRDefault="00B936CA" w:rsidP="004623DD">
      <w:r w:rsidRPr="00B47BDA">
        <w:t>Procjena ušteda u cijelosti se temelji na pretpostavkama danim u Desetogodišnjem</w:t>
      </w:r>
      <w:r w:rsidR="00E223DA" w:rsidRPr="00B47BDA">
        <w:t xml:space="preserve"> </w:t>
      </w:r>
      <w:r w:rsidRPr="00B47BDA">
        <w:t>planu</w:t>
      </w:r>
      <w:r w:rsidR="00E223DA" w:rsidRPr="00B47BDA">
        <w:t xml:space="preserve"> </w:t>
      </w:r>
      <w:r w:rsidRPr="00B47BDA">
        <w:t>razvoja</w:t>
      </w:r>
      <w:r w:rsidR="00E223DA" w:rsidRPr="00B47BDA">
        <w:t xml:space="preserve"> </w:t>
      </w:r>
      <w:r w:rsidRPr="00B47BDA">
        <w:t>prijenosne</w:t>
      </w:r>
      <w:r w:rsidR="00E223DA" w:rsidRPr="00B47BDA">
        <w:t xml:space="preserve"> </w:t>
      </w:r>
      <w:r w:rsidRPr="00B47BDA">
        <w:t>mreže za razdoblje</w:t>
      </w:r>
      <w:r w:rsidR="00E223DA" w:rsidRPr="00B47BDA">
        <w:t xml:space="preserve"> </w:t>
      </w:r>
      <w:r w:rsidRPr="00B47BDA">
        <w:t>20</w:t>
      </w:r>
      <w:r w:rsidR="00BC3D44" w:rsidRPr="00B47BDA">
        <w:t>22</w:t>
      </w:r>
      <w:r w:rsidRPr="00B47BDA">
        <w:t>. – 20</w:t>
      </w:r>
      <w:r w:rsidR="00BC3D44" w:rsidRPr="00B47BDA">
        <w:t>31</w:t>
      </w:r>
      <w:r w:rsidRPr="00B47BDA">
        <w:t>. HOPS-a.</w:t>
      </w:r>
    </w:p>
    <w:p w14:paraId="1F9D177F" w14:textId="68D982D2" w:rsidR="00B936CA" w:rsidRPr="00B47BDA" w:rsidRDefault="00B936CA" w:rsidP="004623DD">
      <w:r w:rsidRPr="00B47BDA">
        <w:rPr>
          <w:b/>
        </w:rPr>
        <w:t>Metoda praćenja:</w:t>
      </w:r>
      <w:r w:rsidRPr="00B47BDA">
        <w:t xml:space="preserve"> Praćenje učinaka ove mjere ostvaruje se </w:t>
      </w:r>
      <w:r w:rsidR="009064D5" w:rsidRPr="00B47BDA">
        <w:t xml:space="preserve">na temelju </w:t>
      </w:r>
      <w:r w:rsidRPr="00B47BDA">
        <w:t>podataka o ostvarenim gubicima električne energije prije i poslije provedbe mjere uz normalizaciju prema iznosu i trajanju opterećenja</w:t>
      </w:r>
      <w:r w:rsidR="006B1019" w:rsidRPr="00B47BDA">
        <w:t xml:space="preserve"> – HOPS je razvio metodologiju za izračun ušteda iz mjera energetske učinkovitosti u prijenosnoj mreži te će se uštede utvrđivati prema toj metodologiji</w:t>
      </w:r>
      <w:r w:rsidRPr="00B47BDA">
        <w:t>.</w:t>
      </w:r>
    </w:p>
    <w:p w14:paraId="146B36EA" w14:textId="0B1E0CA7" w:rsidR="50AC7E63" w:rsidRDefault="00B936CA" w:rsidP="50AC7E63">
      <w:r w:rsidRPr="63259912">
        <w:rPr>
          <w:b/>
          <w:bCs/>
        </w:rPr>
        <w:t xml:space="preserve">Povezanost s drugim dimenzijama: </w:t>
      </w:r>
      <w:r w:rsidRPr="63259912">
        <w:t>Ulaganja u prijenosnu mrežu izravno utječu na dimenzije energetska sigurnost i unutarnje energetsko tržište, a smanjenjem gubitaka ostvaruju se i ciljevi dekarbonizacije</w:t>
      </w:r>
      <w:r w:rsidR="002453B6" w:rsidRPr="63259912">
        <w:t>.</w:t>
      </w:r>
    </w:p>
    <w:p w14:paraId="26894072" w14:textId="1752CCF0" w:rsidR="00795021" w:rsidRDefault="00B936CA" w:rsidP="00C3208A">
      <w:pPr>
        <w:rPr>
          <w:rFonts w:eastAsia="Calibri"/>
        </w:rPr>
      </w:pPr>
      <w:r w:rsidRPr="00B47BDA">
        <w:rPr>
          <w:b/>
        </w:rPr>
        <w:t>Istraživanje i razvoj</w:t>
      </w:r>
      <w:r w:rsidRPr="00B47BDA">
        <w:t xml:space="preserve">: </w:t>
      </w:r>
      <w:r w:rsidR="007E5276">
        <w:t>M</w:t>
      </w:r>
      <w:r w:rsidRPr="00B47BDA">
        <w:t xml:space="preserve">jera za sobom povlači istraživanje i razvoj </w:t>
      </w:r>
      <w:r w:rsidRPr="00B47BDA">
        <w:rPr>
          <w:rFonts w:eastAsia="Calibri"/>
        </w:rPr>
        <w:t>novih i energetski učinkovitijih tehnologija vezanih uz prijenosni sustav (elektroenergetska oprema) i njegovo vođenje (informacijsko-komunikacijske tehnologije)</w:t>
      </w:r>
      <w:r w:rsidR="002453B6" w:rsidRPr="00B47BDA">
        <w:rPr>
          <w:rFonts w:eastAsia="Calibri"/>
        </w:rPr>
        <w:t>.</w:t>
      </w:r>
      <w:r w:rsidR="00795021">
        <w:rPr>
          <w:rFonts w:eastAsia="Calibri"/>
        </w:rPr>
        <w:br w:type="page"/>
      </w:r>
    </w:p>
    <w:p w14:paraId="3EBF46D7" w14:textId="3F5552AA" w:rsidR="00B936CA" w:rsidRPr="00B47BDA" w:rsidRDefault="00184324" w:rsidP="00EE67E0">
      <w:pPr>
        <w:pStyle w:val="Mjeranaslov"/>
        <w:rPr>
          <w:color w:val="000000"/>
        </w:rPr>
      </w:pPr>
      <w:r w:rsidRPr="00B47BDA">
        <w:lastRenderedPageBreak/>
        <w:t>ENU-1</w:t>
      </w:r>
      <w:r w:rsidR="001D6131" w:rsidRPr="00B47BDA">
        <w:t>4</w:t>
      </w:r>
      <w:r w:rsidR="002E36D5" w:rsidRPr="00B47BDA">
        <w:t xml:space="preserve"> </w:t>
      </w:r>
      <w:r w:rsidR="00E901FD" w:rsidRPr="00B47BDA">
        <w:t>Smanjenje gubitaka u distribucijskoj elektroenergetskoj mreži</w:t>
      </w:r>
      <w:r w:rsidR="00E901FD" w:rsidRPr="00B47BDA" w:rsidDel="00E901FD">
        <w:t xml:space="preserve"> </w:t>
      </w:r>
      <w:r w:rsidR="00EF008E" w:rsidRPr="00B47BDA">
        <w:t xml:space="preserve">i uvođenje </w:t>
      </w:r>
      <w:r w:rsidR="00891D60" w:rsidRPr="00B47BDA">
        <w:t xml:space="preserve">naprednih </w:t>
      </w:r>
      <w:r w:rsidR="00EF008E" w:rsidRPr="00B47BDA">
        <w:t>mreža</w:t>
      </w:r>
    </w:p>
    <w:p w14:paraId="12B8B53C" w14:textId="7393CCE8" w:rsidR="00E870B5" w:rsidRPr="00B47BDA" w:rsidRDefault="00E870B5" w:rsidP="004623DD">
      <w:pPr>
        <w:pStyle w:val="NormalWeb"/>
        <w:rPr>
          <w:color w:val="000000"/>
        </w:rPr>
      </w:pPr>
      <w:r w:rsidRPr="00B47BDA">
        <w:t>Financijska i organizacijska mjera; provedba 2021.-2030.</w:t>
      </w:r>
      <w:r w:rsidR="00622DB1" w:rsidRPr="00B47BDA">
        <w:t xml:space="preserve"> </w:t>
      </w:r>
    </w:p>
    <w:p w14:paraId="530D7D96" w14:textId="5CC795BC" w:rsidR="00E870B5" w:rsidRPr="00B47BDA" w:rsidRDefault="00E870B5" w:rsidP="63259912">
      <w:pPr>
        <w:rPr>
          <w:color w:val="000000"/>
        </w:rPr>
      </w:pPr>
      <w:r w:rsidRPr="63259912">
        <w:rPr>
          <w:b/>
          <w:bCs/>
        </w:rPr>
        <w:t>Cilj i opis mjere:</w:t>
      </w:r>
      <w:r w:rsidRPr="63259912">
        <w:t xml:space="preserve"> HEP</w:t>
      </w:r>
      <w:r w:rsidR="00E03F66" w:rsidRPr="63259912">
        <w:t> </w:t>
      </w:r>
      <w:r w:rsidRPr="63259912">
        <w:t xml:space="preserve">ODS će u razdoblju do 2030. godine nastaviti provoditi aktivnosti za smanjenje tehničkih i netehničkih gubitaka u distribucijskoj elektroenergetskoj mreži. Detaljnom analizom utvrdit će se uzroci povećanih gubitaka u pojedinim dijelovima mreže i prioriteti za provedbu aktivnosti za smanjenje tehničkih i netehničkih gubitaka. Na temelju iskustava iz provedbe pilot projekta uvođenja naprednih mreža na pilot područjima uz korištenje </w:t>
      </w:r>
      <w:r w:rsidR="006267E2" w:rsidRPr="63259912">
        <w:t>EU</w:t>
      </w:r>
      <w:r w:rsidRPr="63259912">
        <w:t xml:space="preserve"> fondova, potrebno je programirati nastavak korištenja </w:t>
      </w:r>
      <w:r w:rsidR="00670D97" w:rsidRPr="63259912">
        <w:t xml:space="preserve">EU </w:t>
      </w:r>
      <w:r w:rsidRPr="63259912">
        <w:t>sredstava u sljedećem programskom razdoblju od 2021. do 2027. godine za daljnji razvoj naprednih mreža.</w:t>
      </w:r>
    </w:p>
    <w:p w14:paraId="24836954" w14:textId="77777777" w:rsidR="00E870B5" w:rsidRPr="00B47BDA" w:rsidRDefault="00E870B5" w:rsidP="004623DD">
      <w:pPr>
        <w:rPr>
          <w:color w:val="000000"/>
        </w:rPr>
      </w:pPr>
      <w:r w:rsidRPr="00B47BDA">
        <w:rPr>
          <w:b/>
        </w:rPr>
        <w:t>Aktivnosti:</w:t>
      </w:r>
      <w:r w:rsidRPr="00B47BDA">
        <w:t xml:space="preserve"> U okviru mjere provest će se sljedeće aktivnosti: </w:t>
      </w:r>
    </w:p>
    <w:p w14:paraId="606C7595" w14:textId="77777777" w:rsidR="00E870B5" w:rsidRPr="00B47BDA" w:rsidRDefault="00E870B5" w:rsidP="00A563AA">
      <w:pPr>
        <w:pStyle w:val="ListParagraph"/>
        <w:numPr>
          <w:ilvl w:val="0"/>
          <w:numId w:val="44"/>
        </w:numPr>
        <w:rPr>
          <w:rFonts w:eastAsia="Calibri"/>
          <w:color w:val="000000"/>
        </w:rPr>
      </w:pPr>
      <w:r w:rsidRPr="00B47BDA">
        <w:rPr>
          <w:rFonts w:eastAsia="Calibri"/>
        </w:rPr>
        <w:t xml:space="preserve">Aktivnosti smanjenja tehničkih gubitaka, koje uključuju: </w:t>
      </w:r>
    </w:p>
    <w:p w14:paraId="3BE7CC91" w14:textId="06879A8B" w:rsidR="00E870B5" w:rsidRPr="00B47BDA" w:rsidRDefault="00E870B5" w:rsidP="00A563AA">
      <w:pPr>
        <w:pStyle w:val="ListParagraph"/>
        <w:numPr>
          <w:ilvl w:val="1"/>
          <w:numId w:val="45"/>
        </w:numPr>
        <w:rPr>
          <w:rFonts w:eastAsia="Calibri"/>
          <w:color w:val="000000"/>
        </w:rPr>
      </w:pPr>
      <w:r w:rsidRPr="00B47BDA">
        <w:rPr>
          <w:rFonts w:eastAsia="Calibri"/>
        </w:rPr>
        <w:t>povećanje presjeka vodiča u početnim dionicama SN i NN izvoda u kojima se generira najveći iznos gubitaka</w:t>
      </w:r>
    </w:p>
    <w:p w14:paraId="469F9EAF" w14:textId="11E4EA88" w:rsidR="00E870B5" w:rsidRPr="00B47BDA" w:rsidRDefault="00E870B5" w:rsidP="00A563AA">
      <w:pPr>
        <w:pStyle w:val="ListParagraph"/>
        <w:numPr>
          <w:ilvl w:val="1"/>
          <w:numId w:val="45"/>
        </w:numPr>
        <w:rPr>
          <w:rFonts w:eastAsia="Calibri"/>
          <w:color w:val="000000"/>
        </w:rPr>
      </w:pPr>
      <w:r w:rsidRPr="00B47BDA">
        <w:rPr>
          <w:rFonts w:eastAsia="Calibri"/>
        </w:rPr>
        <w:t>razdvajanje SN i NN izvoda na dva ili više, ovisno o topologiji izvoda i mogućnostima prihvata u TS VN/SN i SN/SN ili TS SN/NN</w:t>
      </w:r>
    </w:p>
    <w:p w14:paraId="74976867" w14:textId="026CE0A3" w:rsidR="00E870B5" w:rsidRPr="00B47BDA" w:rsidRDefault="00E870B5" w:rsidP="00A563AA">
      <w:pPr>
        <w:pStyle w:val="ListParagraph"/>
        <w:numPr>
          <w:ilvl w:val="1"/>
          <w:numId w:val="45"/>
        </w:numPr>
        <w:rPr>
          <w:rFonts w:eastAsia="Calibri"/>
          <w:color w:val="000000"/>
        </w:rPr>
      </w:pPr>
      <w:r w:rsidRPr="00B47BDA">
        <w:rPr>
          <w:rFonts w:eastAsia="Calibri"/>
        </w:rPr>
        <w:t>prebacivanje dijela NN izvoda na susjedni bliži i/ili manje opterećeni NN izvod ili TS SN/NN</w:t>
      </w:r>
    </w:p>
    <w:p w14:paraId="6F8D2689" w14:textId="77777777" w:rsidR="00E870B5" w:rsidRPr="00B47BDA" w:rsidRDefault="00E870B5" w:rsidP="00A563AA">
      <w:pPr>
        <w:pStyle w:val="ListParagraph"/>
        <w:numPr>
          <w:ilvl w:val="1"/>
          <w:numId w:val="45"/>
        </w:numPr>
        <w:rPr>
          <w:rFonts w:eastAsia="Calibri"/>
          <w:color w:val="000000"/>
        </w:rPr>
      </w:pPr>
      <w:r w:rsidRPr="00B47BDA">
        <w:rPr>
          <w:rFonts w:eastAsia="Calibri"/>
        </w:rPr>
        <w:t>zamjenu energetskih transformatora VN/SN i SN/SN zbog preopterećenosti</w:t>
      </w:r>
    </w:p>
    <w:p w14:paraId="150C3DFF" w14:textId="25F28890" w:rsidR="00E870B5" w:rsidRPr="00B47BDA" w:rsidRDefault="00E870B5" w:rsidP="00A563AA">
      <w:pPr>
        <w:pStyle w:val="ListParagraph"/>
        <w:numPr>
          <w:ilvl w:val="1"/>
          <w:numId w:val="45"/>
        </w:numPr>
        <w:rPr>
          <w:rFonts w:eastAsia="Calibri"/>
          <w:color w:val="000000"/>
        </w:rPr>
      </w:pPr>
      <w:r w:rsidRPr="00B47BDA">
        <w:rPr>
          <w:rFonts w:eastAsia="Calibri"/>
        </w:rPr>
        <w:t>zamjenu starih energetskih transformatora SN/NN, sa smanjenjem predimenzioniranosti transformatora</w:t>
      </w:r>
    </w:p>
    <w:p w14:paraId="11B32C97" w14:textId="646DC164" w:rsidR="00E870B5" w:rsidRPr="00B47BDA" w:rsidRDefault="00E870B5" w:rsidP="00A563AA">
      <w:pPr>
        <w:pStyle w:val="ListParagraph"/>
        <w:numPr>
          <w:ilvl w:val="1"/>
          <w:numId w:val="45"/>
        </w:numPr>
        <w:rPr>
          <w:rFonts w:eastAsia="Calibri"/>
          <w:color w:val="000000"/>
        </w:rPr>
      </w:pPr>
      <w:r w:rsidRPr="00B47BDA">
        <w:rPr>
          <w:rFonts w:eastAsia="Calibri"/>
        </w:rPr>
        <w:t>interpolaciju novih TS VN/SN, SN/SN i SN/NN (prvenstveno kod preopterećenja postojećih TS, odnosno kod priključenja novih kupaca i proizvođača s većim priključnim snagama)</w:t>
      </w:r>
    </w:p>
    <w:p w14:paraId="21C2653D" w14:textId="77777777" w:rsidR="00E870B5" w:rsidRPr="00B47BDA" w:rsidRDefault="00E870B5" w:rsidP="00A563AA">
      <w:pPr>
        <w:pStyle w:val="ListParagraph"/>
        <w:numPr>
          <w:ilvl w:val="1"/>
          <w:numId w:val="45"/>
        </w:numPr>
        <w:rPr>
          <w:rFonts w:eastAsia="Calibri"/>
          <w:color w:val="000000"/>
        </w:rPr>
      </w:pPr>
      <w:r w:rsidRPr="00B47BDA">
        <w:rPr>
          <w:rFonts w:eastAsia="Calibri"/>
        </w:rPr>
        <w:t>prijelaz na 20 kV i postupno uvođenje izravne transformacije 110/10(20) kV</w:t>
      </w:r>
    </w:p>
    <w:p w14:paraId="39B29A78" w14:textId="77777777" w:rsidR="00E870B5" w:rsidRPr="00B47BDA" w:rsidRDefault="00E870B5" w:rsidP="63259912">
      <w:pPr>
        <w:pStyle w:val="ListParagraph"/>
        <w:numPr>
          <w:ilvl w:val="0"/>
          <w:numId w:val="44"/>
        </w:numPr>
        <w:rPr>
          <w:rFonts w:eastAsia="Calibri"/>
          <w:color w:val="000000"/>
        </w:rPr>
      </w:pPr>
      <w:r w:rsidRPr="63259912">
        <w:rPr>
          <w:rFonts w:eastAsia="Calibri"/>
        </w:rPr>
        <w:t xml:space="preserve">Aktivnosti smanjenja netehničkih gubitaka, koje uključuju: </w:t>
      </w:r>
    </w:p>
    <w:p w14:paraId="13DCC81C" w14:textId="77777777" w:rsidR="00E870B5" w:rsidRPr="00B47BDA" w:rsidRDefault="00E870B5" w:rsidP="00A563AA">
      <w:pPr>
        <w:pStyle w:val="ListParagraph"/>
        <w:numPr>
          <w:ilvl w:val="1"/>
          <w:numId w:val="46"/>
        </w:numPr>
        <w:rPr>
          <w:rFonts w:eastAsia="Calibri"/>
          <w:color w:val="000000"/>
        </w:rPr>
      </w:pPr>
      <w:r w:rsidRPr="00B47BDA">
        <w:rPr>
          <w:rFonts w:eastAsia="Calibri"/>
        </w:rPr>
        <w:t xml:space="preserve">daljnju ugradnju i uvođenju što većeg broja naprednih brojila u sustav daljinskog nadzora i očitanja </w:t>
      </w:r>
    </w:p>
    <w:p w14:paraId="17F59DD6" w14:textId="77777777" w:rsidR="00E870B5" w:rsidRPr="00B47BDA" w:rsidRDefault="00E870B5" w:rsidP="63259912">
      <w:pPr>
        <w:pStyle w:val="ListParagraph"/>
        <w:numPr>
          <w:ilvl w:val="1"/>
          <w:numId w:val="46"/>
        </w:numPr>
        <w:rPr>
          <w:rFonts w:eastAsia="Calibri"/>
          <w:color w:val="000000"/>
        </w:rPr>
      </w:pPr>
      <w:r w:rsidRPr="63259912">
        <w:rPr>
          <w:rFonts w:eastAsia="Calibri"/>
        </w:rPr>
        <w:t>daljnju sveobuhvatnu provedbu kontrole priključaka i mjernih mjesta (KPiMM), s naglaskom na otkrivanje neovlaštene potrošnje električne energije</w:t>
      </w:r>
    </w:p>
    <w:p w14:paraId="44B4CF0B" w14:textId="77777777" w:rsidR="00E870B5" w:rsidRPr="00B47BDA" w:rsidRDefault="00E870B5" w:rsidP="00A563AA">
      <w:pPr>
        <w:pStyle w:val="ListParagraph"/>
        <w:numPr>
          <w:ilvl w:val="1"/>
          <w:numId w:val="46"/>
        </w:numPr>
        <w:rPr>
          <w:rFonts w:eastAsia="Calibri"/>
          <w:color w:val="000000"/>
        </w:rPr>
      </w:pPr>
      <w:r w:rsidRPr="00B47BDA">
        <w:rPr>
          <w:rFonts w:eastAsia="Calibri"/>
        </w:rPr>
        <w:t>nastavak rekonstrukcije postojećih priključaka i mjernih mjesta, koja su smještena u objektima kupaca.</w:t>
      </w:r>
    </w:p>
    <w:p w14:paraId="74D85BA3" w14:textId="63536263" w:rsidR="00E870B5" w:rsidRPr="00157C3A" w:rsidRDefault="00E870B5" w:rsidP="004623DD">
      <w:pPr>
        <w:rPr>
          <w:rFonts w:cs="Calibri"/>
        </w:rPr>
      </w:pPr>
      <w:r w:rsidRPr="00157C3A">
        <w:rPr>
          <w:rFonts w:cs="Calibri"/>
          <w:b/>
        </w:rPr>
        <w:t xml:space="preserve">Sredstva potrebna za provedbu: </w:t>
      </w:r>
      <w:r w:rsidRPr="00157C3A">
        <w:rPr>
          <w:rFonts w:cs="Calibri"/>
        </w:rPr>
        <w:t>Sredstva HEP</w:t>
      </w:r>
      <w:r w:rsidR="00AE3576">
        <w:rPr>
          <w:rFonts w:cs="Calibri"/>
        </w:rPr>
        <w:t xml:space="preserve"> </w:t>
      </w:r>
      <w:r w:rsidRPr="00157C3A">
        <w:rPr>
          <w:rFonts w:cs="Calibri"/>
        </w:rPr>
        <w:t>ODS</w:t>
      </w:r>
      <w:r w:rsidR="00F7725A" w:rsidRPr="00157C3A">
        <w:rPr>
          <w:rFonts w:cs="Calibri"/>
        </w:rPr>
        <w:t>-a</w:t>
      </w:r>
      <w:r w:rsidRPr="00157C3A">
        <w:rPr>
          <w:rFonts w:cs="Calibri"/>
        </w:rPr>
        <w:t xml:space="preserve">: Ukupni investicijski troškovi ugradnje naprednih mjernih uređaja na svih 2,4 milijuna obračunskih mjernih mjesta u </w:t>
      </w:r>
      <w:r w:rsidR="00A560B9" w:rsidRPr="00157C3A">
        <w:rPr>
          <w:rFonts w:cs="Calibri"/>
        </w:rPr>
        <w:t>razdoblj</w:t>
      </w:r>
      <w:r w:rsidRPr="00157C3A">
        <w:rPr>
          <w:rFonts w:cs="Calibri"/>
        </w:rPr>
        <w:t xml:space="preserve">u od </w:t>
      </w:r>
      <w:r w:rsidRPr="00157C3A">
        <w:rPr>
          <w:rFonts w:cs="Calibri"/>
        </w:rPr>
        <w:lastRenderedPageBreak/>
        <w:t xml:space="preserve">2021. do 2030. godine iznose oko </w:t>
      </w:r>
      <w:r w:rsidR="7029CF54" w:rsidRPr="00157C3A">
        <w:rPr>
          <w:rFonts w:cs="Calibri"/>
        </w:rPr>
        <w:t>313 miliju</w:t>
      </w:r>
      <w:r w:rsidR="36295C09" w:rsidRPr="00157C3A">
        <w:rPr>
          <w:rFonts w:cs="Calibri"/>
        </w:rPr>
        <w:t>na EUR</w:t>
      </w:r>
      <w:r w:rsidR="00F7725A" w:rsidRPr="00157C3A">
        <w:rPr>
          <w:rFonts w:cs="Calibri"/>
        </w:rPr>
        <w:t xml:space="preserve"> </w:t>
      </w:r>
      <w:r w:rsidR="00F7725A" w:rsidRPr="00157C3A">
        <w:rPr>
          <w:rStyle w:val="FootnoteReference"/>
          <w:rFonts w:ascii="Calibri" w:hAnsi="Calibri" w:cs="Calibri"/>
          <w:color w:val="000000" w:themeColor="text1"/>
          <w:sz w:val="24"/>
        </w:rPr>
        <w:footnoteReference w:id="33"/>
      </w:r>
      <w:r w:rsidRPr="00157C3A">
        <w:rPr>
          <w:rFonts w:cs="Calibri"/>
        </w:rPr>
        <w:t>.</w:t>
      </w:r>
      <w:r w:rsidR="00AE3576">
        <w:rPr>
          <w:rFonts w:cs="Calibri"/>
        </w:rPr>
        <w:t xml:space="preserve"> Od n</w:t>
      </w:r>
      <w:r w:rsidR="00F77EEC">
        <w:rPr>
          <w:rFonts w:cs="Calibri"/>
        </w:rPr>
        <w:t>a</w:t>
      </w:r>
      <w:r w:rsidR="00AE3576">
        <w:rPr>
          <w:rFonts w:cs="Calibri"/>
        </w:rPr>
        <w:t>vedenog iznosa, kroz NPOO je alocirano i dodijeljeno na korištenje HEPODS-u 223,8 milijuna eura.</w:t>
      </w:r>
    </w:p>
    <w:p w14:paraId="2B4074ED" w14:textId="649FC8A5" w:rsidR="00E870B5" w:rsidRPr="00157C3A" w:rsidRDefault="00E870B5" w:rsidP="004623DD">
      <w:pPr>
        <w:rPr>
          <w:rFonts w:cs="Calibri"/>
          <w:color w:val="000000"/>
        </w:rPr>
      </w:pPr>
      <w:r w:rsidRPr="00157C3A">
        <w:rPr>
          <w:rFonts w:cs="Calibri"/>
        </w:rPr>
        <w:t xml:space="preserve">Budući da EU direktive zahtijevaju prelazak s konvencionalnog mjerenja na napredne mjerne uređaje, </w:t>
      </w:r>
      <w:r w:rsidR="00AE3576">
        <w:rPr>
          <w:rFonts w:cs="Calibri"/>
        </w:rPr>
        <w:t>iz NPOO-a je za navedene aktivnosti od spomenutih 223,8 milijuna eura veći dio, tj. 150 milijuna eura, alocirano upravo</w:t>
      </w:r>
      <w:r w:rsidR="00AE3576" w:rsidRPr="00AE3576">
        <w:rPr>
          <w:rFonts w:cs="Calibri"/>
        </w:rPr>
        <w:t xml:space="preserve"> </w:t>
      </w:r>
      <w:r w:rsidR="00AE3576" w:rsidRPr="00157C3A">
        <w:rPr>
          <w:rFonts w:cs="Calibri"/>
        </w:rPr>
        <w:t>za područje prilagodbe postojećeg mjeriteljskog sustava, sustav</w:t>
      </w:r>
      <w:r w:rsidR="00A62C5E">
        <w:rPr>
          <w:rFonts w:cs="Calibri"/>
        </w:rPr>
        <w:t>a</w:t>
      </w:r>
      <w:r w:rsidR="00AE3576" w:rsidRPr="00157C3A">
        <w:rPr>
          <w:rFonts w:cs="Calibri"/>
        </w:rPr>
        <w:t xml:space="preserve"> za rad s naprednim mjernim uređajima.</w:t>
      </w:r>
      <w:r w:rsidR="00AE3576">
        <w:rPr>
          <w:rFonts w:cs="Calibri"/>
        </w:rPr>
        <w:t xml:space="preserve"> </w:t>
      </w:r>
      <w:r w:rsidRPr="00157C3A">
        <w:rPr>
          <w:rFonts w:cs="Calibri"/>
        </w:rPr>
        <w:t xml:space="preserve">Prije svega se radi o investicijama u </w:t>
      </w:r>
      <w:r w:rsidR="00AE3576">
        <w:rPr>
          <w:rFonts w:cs="Calibri"/>
        </w:rPr>
        <w:t xml:space="preserve">ugradnju pametnih brojila, </w:t>
      </w:r>
      <w:r w:rsidRPr="00157C3A">
        <w:rPr>
          <w:rFonts w:cs="Calibri"/>
        </w:rPr>
        <w:t>prilagodb</w:t>
      </w:r>
      <w:r w:rsidR="00AE3576">
        <w:rPr>
          <w:rFonts w:cs="Calibri"/>
        </w:rPr>
        <w:t>u</w:t>
      </w:r>
      <w:r w:rsidRPr="00157C3A">
        <w:rPr>
          <w:rFonts w:cs="Calibri"/>
        </w:rPr>
        <w:t xml:space="preserve"> postojećih ovlaštenih servisa za pripremu brojila za ovjeru (baždarnica) koje su prilagođene ovjeri elektromehaničkih brojila, na tehnologiju koja omogućava pripremu i ovjeravanje naprednih elektroničkih brojila. Prilagodbom je dodatno potrebno osigurati podršku za rad s novim tehnologijama, prije svega rješavanju komunikacijskih problema (G3 PLC) te procesnih računalnih problema (nadogradnje FW brojila i koncentratora, prikupljanje, prijenos i obrada podataka).</w:t>
      </w:r>
    </w:p>
    <w:p w14:paraId="3EA7BEB1" w14:textId="117C4067" w:rsidR="00E870B5" w:rsidRPr="0092041D" w:rsidRDefault="00B634F6" w:rsidP="00157C3A">
      <w:pPr>
        <w:spacing w:after="60"/>
      </w:pPr>
      <w:r w:rsidRPr="0092041D">
        <w:t xml:space="preserve">Operator </w:t>
      </w:r>
      <w:r w:rsidR="00A4573B" w:rsidRPr="0092041D">
        <w:t>distribucijsk</w:t>
      </w:r>
      <w:r w:rsidR="007B4221" w:rsidRPr="0092041D">
        <w:t>og sustava</w:t>
      </w:r>
      <w:r w:rsidR="00A4573B" w:rsidRPr="0092041D">
        <w:t xml:space="preserve"> </w:t>
      </w:r>
      <w:r w:rsidR="00A23510" w:rsidRPr="0092041D">
        <w:t>je u fokusu energetske tranzicije</w:t>
      </w:r>
      <w:r w:rsidR="00560141" w:rsidRPr="0092041D">
        <w:t xml:space="preserve"> u</w:t>
      </w:r>
      <w:r w:rsidR="00A23510" w:rsidRPr="0092041D">
        <w:t xml:space="preserve"> pogledu </w:t>
      </w:r>
      <w:r w:rsidR="00560141" w:rsidRPr="0092041D">
        <w:t xml:space="preserve">opsega i troškova </w:t>
      </w:r>
      <w:r w:rsidR="004B7A12" w:rsidRPr="0092041D">
        <w:t>potrebne</w:t>
      </w:r>
      <w:r w:rsidR="00317763" w:rsidRPr="0092041D">
        <w:t xml:space="preserve"> transformacije</w:t>
      </w:r>
      <w:r w:rsidR="003E394C" w:rsidRPr="0092041D">
        <w:t xml:space="preserve"> </w:t>
      </w:r>
      <w:r w:rsidR="007148AB" w:rsidRPr="0092041D">
        <w:t xml:space="preserve">od </w:t>
      </w:r>
      <w:r w:rsidR="00775CE8" w:rsidRPr="0092041D">
        <w:t xml:space="preserve">jednostavne </w:t>
      </w:r>
      <w:r w:rsidR="007148AB" w:rsidRPr="0092041D">
        <w:t>dis</w:t>
      </w:r>
      <w:r w:rsidR="0047089B" w:rsidRPr="0092041D">
        <w:t>tribucij</w:t>
      </w:r>
      <w:r w:rsidR="00775CE8" w:rsidRPr="0092041D">
        <w:t xml:space="preserve">e električne energije </w:t>
      </w:r>
      <w:r w:rsidR="006A2D97" w:rsidRPr="0092041D">
        <w:t xml:space="preserve">na </w:t>
      </w:r>
      <w:r w:rsidR="0020736F" w:rsidRPr="0092041D">
        <w:t>operatora aktivnog distribucijskog sustava</w:t>
      </w:r>
      <w:r w:rsidR="00560141" w:rsidRPr="0092041D">
        <w:t xml:space="preserve"> i</w:t>
      </w:r>
      <w:r w:rsidR="004B7B76" w:rsidRPr="0092041D">
        <w:t xml:space="preserve"> </w:t>
      </w:r>
      <w:r w:rsidR="00D7401E" w:rsidRPr="0092041D">
        <w:t>podrške aktivnom sudjelovanju velikog broja korisnika mreže u energetskoj tranziciji.</w:t>
      </w:r>
      <w:r w:rsidR="00560141" w:rsidRPr="0092041D">
        <w:t xml:space="preserve"> </w:t>
      </w:r>
      <w:r w:rsidR="00EA632D" w:rsidRPr="0092041D">
        <w:t xml:space="preserve">Za sagledavanje </w:t>
      </w:r>
      <w:r w:rsidR="00B9022A" w:rsidRPr="0092041D">
        <w:t>potrebnih</w:t>
      </w:r>
      <w:r w:rsidR="00054949" w:rsidRPr="0092041D">
        <w:t xml:space="preserve"> ulaganja </w:t>
      </w:r>
      <w:r w:rsidR="0036299A" w:rsidRPr="0092041D">
        <w:t xml:space="preserve">može poslužiti </w:t>
      </w:r>
      <w:r w:rsidR="00B9022A" w:rsidRPr="0092041D">
        <w:t xml:space="preserve">desetogodišnji </w:t>
      </w:r>
      <w:r w:rsidR="00835B2F" w:rsidRPr="0092041D">
        <w:t xml:space="preserve">plan ulaganja </w:t>
      </w:r>
      <w:r w:rsidR="00E870B5" w:rsidRPr="0092041D">
        <w:t>HEP- ODS</w:t>
      </w:r>
      <w:r w:rsidR="001C4577" w:rsidRPr="0092041D">
        <w:t>-a</w:t>
      </w:r>
      <w:r w:rsidR="001C37B6" w:rsidRPr="0092041D">
        <w:t>, prema kojem su</w:t>
      </w:r>
      <w:r w:rsidR="00E870B5" w:rsidRPr="0092041D">
        <w:t xml:space="preserve"> u desetogodišnjem razdoblju </w:t>
      </w:r>
      <w:r w:rsidR="001C37B6" w:rsidRPr="0092041D">
        <w:t>2024</w:t>
      </w:r>
      <w:r w:rsidR="00301031" w:rsidRPr="0092041D">
        <w:t>.-</w:t>
      </w:r>
      <w:r w:rsidR="001C37B6" w:rsidRPr="0092041D">
        <w:t>2033</w:t>
      </w:r>
      <w:r w:rsidR="00301031" w:rsidRPr="0092041D">
        <w:t xml:space="preserve">. </w:t>
      </w:r>
      <w:r w:rsidR="00E870B5" w:rsidRPr="0092041D">
        <w:t>planira</w:t>
      </w:r>
      <w:r w:rsidR="001C37B6" w:rsidRPr="0092041D">
        <w:t>na</w:t>
      </w:r>
      <w:r w:rsidR="00E870B5" w:rsidRPr="0092041D">
        <w:t xml:space="preserve"> ul</w:t>
      </w:r>
      <w:r w:rsidR="001C37B6" w:rsidRPr="0092041D">
        <w:t>aganja</w:t>
      </w:r>
      <w:r w:rsidR="00BE4E1F" w:rsidRPr="0092041D">
        <w:t xml:space="preserve"> u ukupnom iznosu</w:t>
      </w:r>
      <w:r w:rsidR="00805183">
        <w:t xml:space="preserve"> od</w:t>
      </w:r>
      <w:r w:rsidR="00E223DA" w:rsidRPr="0092041D">
        <w:t xml:space="preserve"> </w:t>
      </w:r>
      <w:r w:rsidR="002745F5" w:rsidRPr="0092041D">
        <w:t>1,</w:t>
      </w:r>
      <w:r w:rsidR="0053691F" w:rsidRPr="0092041D">
        <w:t xml:space="preserve">42 </w:t>
      </w:r>
      <w:r w:rsidR="00612C3B" w:rsidRPr="0092041D">
        <w:t>milij</w:t>
      </w:r>
      <w:r w:rsidR="002745F5" w:rsidRPr="0092041D">
        <w:t>ard</w:t>
      </w:r>
      <w:r w:rsidR="00805183">
        <w:t>e</w:t>
      </w:r>
      <w:r w:rsidR="00612C3B" w:rsidRPr="0092041D">
        <w:t xml:space="preserve"> EUR</w:t>
      </w:r>
      <w:r w:rsidR="00E870B5" w:rsidRPr="0092041D">
        <w:t xml:space="preserve"> od čega </w:t>
      </w:r>
      <w:r w:rsidR="00245480" w:rsidRPr="0092041D">
        <w:t>su</w:t>
      </w:r>
      <w:r w:rsidR="00E870B5" w:rsidRPr="0092041D">
        <w:t>:</w:t>
      </w:r>
    </w:p>
    <w:p w14:paraId="444B574E" w14:textId="41A17E3C" w:rsidR="00E870B5" w:rsidRPr="0092041D" w:rsidRDefault="00E870B5" w:rsidP="00157C3A">
      <w:pPr>
        <w:pStyle w:val="ListParagraph"/>
        <w:numPr>
          <w:ilvl w:val="0"/>
          <w:numId w:val="44"/>
        </w:numPr>
        <w:spacing w:after="60"/>
      </w:pPr>
      <w:r w:rsidRPr="63259912">
        <w:t>ulaganja u energetske objekte 110 kV</w:t>
      </w:r>
      <w:r w:rsidR="00425D0D" w:rsidRPr="63259912">
        <w:t xml:space="preserve">: </w:t>
      </w:r>
      <w:r w:rsidR="009C2B78" w:rsidRPr="63259912">
        <w:t>241 mi</w:t>
      </w:r>
      <w:r w:rsidR="003556CB" w:rsidRPr="63259912">
        <w:t>l.</w:t>
      </w:r>
      <w:r w:rsidRPr="63259912">
        <w:t xml:space="preserve"> </w:t>
      </w:r>
      <w:r w:rsidR="00E977E6" w:rsidRPr="63259912">
        <w:t>EUR</w:t>
      </w:r>
    </w:p>
    <w:p w14:paraId="19611E5C" w14:textId="752C183C" w:rsidR="00E870B5" w:rsidRPr="0092041D" w:rsidRDefault="00E870B5" w:rsidP="00157C3A">
      <w:pPr>
        <w:pStyle w:val="ListParagraph"/>
        <w:numPr>
          <w:ilvl w:val="0"/>
          <w:numId w:val="44"/>
        </w:numPr>
        <w:spacing w:after="60"/>
      </w:pPr>
      <w:r w:rsidRPr="63259912">
        <w:t>ulaganja u energetske objekte 35 kV</w:t>
      </w:r>
      <w:r w:rsidR="00425D0D" w:rsidRPr="63259912">
        <w:t xml:space="preserve">: </w:t>
      </w:r>
      <w:r w:rsidR="003556CB" w:rsidRPr="63259912">
        <w:t>148</w:t>
      </w:r>
      <w:r w:rsidR="00C934F7" w:rsidRPr="63259912">
        <w:t xml:space="preserve"> mil.</w:t>
      </w:r>
      <w:r w:rsidRPr="63259912">
        <w:t xml:space="preserve"> </w:t>
      </w:r>
      <w:r w:rsidR="009E6C36" w:rsidRPr="63259912">
        <w:t>EUR</w:t>
      </w:r>
      <w:r w:rsidRPr="63259912">
        <w:t xml:space="preserve"> </w:t>
      </w:r>
    </w:p>
    <w:p w14:paraId="3DD66CCA" w14:textId="2B097044" w:rsidR="00E870B5" w:rsidRPr="0092041D" w:rsidRDefault="00E870B5" w:rsidP="00157C3A">
      <w:pPr>
        <w:pStyle w:val="ListParagraph"/>
        <w:numPr>
          <w:ilvl w:val="0"/>
          <w:numId w:val="44"/>
        </w:numPr>
        <w:spacing w:after="60"/>
      </w:pPr>
      <w:r w:rsidRPr="63259912">
        <w:t>ulaganja u energetske objekte 10 kV i 20 kV</w:t>
      </w:r>
      <w:r w:rsidR="00425D0D" w:rsidRPr="63259912">
        <w:t xml:space="preserve">: </w:t>
      </w:r>
      <w:r w:rsidR="008E6C9F" w:rsidRPr="63259912">
        <w:t>273 mil.</w:t>
      </w:r>
      <w:r w:rsidRPr="63259912">
        <w:t xml:space="preserve"> </w:t>
      </w:r>
      <w:r w:rsidR="009E6C36" w:rsidRPr="63259912">
        <w:t>EUR</w:t>
      </w:r>
    </w:p>
    <w:p w14:paraId="66185227" w14:textId="2DC7F2AE" w:rsidR="00E870B5" w:rsidRPr="0092041D" w:rsidRDefault="00E870B5" w:rsidP="00157C3A">
      <w:pPr>
        <w:pStyle w:val="ListParagraph"/>
        <w:numPr>
          <w:ilvl w:val="0"/>
          <w:numId w:val="44"/>
        </w:numPr>
        <w:spacing w:after="60"/>
      </w:pPr>
      <w:r w:rsidRPr="63259912">
        <w:t>ulaganja u niskonaponske objekte</w:t>
      </w:r>
      <w:r w:rsidR="00425D0D" w:rsidRPr="63259912">
        <w:t xml:space="preserve">: </w:t>
      </w:r>
      <w:r>
        <w:tab/>
      </w:r>
      <w:r w:rsidR="00A467D8" w:rsidRPr="63259912">
        <w:t>103 mil.</w:t>
      </w:r>
      <w:r w:rsidRPr="63259912">
        <w:t xml:space="preserve"> </w:t>
      </w:r>
      <w:r w:rsidR="009E6C36" w:rsidRPr="63259912">
        <w:t>EUR</w:t>
      </w:r>
    </w:p>
    <w:p w14:paraId="12BBB97F" w14:textId="6AB5D76C" w:rsidR="00C168B3" w:rsidRPr="0092041D" w:rsidRDefault="00AF0B12" w:rsidP="00157C3A">
      <w:pPr>
        <w:pStyle w:val="ListParagraph"/>
        <w:numPr>
          <w:ilvl w:val="0"/>
          <w:numId w:val="44"/>
        </w:numPr>
        <w:spacing w:after="60"/>
      </w:pPr>
      <w:r w:rsidRPr="63259912">
        <w:t>ulaganja u sekundarne sustav</w:t>
      </w:r>
      <w:r w:rsidR="00264834" w:rsidRPr="63259912">
        <w:t>e</w:t>
      </w:r>
      <w:r w:rsidRPr="63259912">
        <w:t>, mjerne uređaje i razvoj</w:t>
      </w:r>
      <w:r w:rsidR="00425D0D" w:rsidRPr="63259912">
        <w:t xml:space="preserve">: </w:t>
      </w:r>
      <w:r w:rsidR="00B84E3E" w:rsidRPr="63259912">
        <w:t>297</w:t>
      </w:r>
      <w:r w:rsidR="00F11916" w:rsidRPr="63259912">
        <w:t xml:space="preserve"> </w:t>
      </w:r>
      <w:r w:rsidR="00B84E3E" w:rsidRPr="63259912">
        <w:t>mil.</w:t>
      </w:r>
      <w:r w:rsidR="00F11916" w:rsidRPr="63259912">
        <w:t xml:space="preserve"> EUR</w:t>
      </w:r>
    </w:p>
    <w:p w14:paraId="2C019E19" w14:textId="5D163EBF" w:rsidR="00425D0D" w:rsidRPr="0092041D" w:rsidRDefault="004716BA" w:rsidP="00157C3A">
      <w:pPr>
        <w:pStyle w:val="ListParagraph"/>
        <w:numPr>
          <w:ilvl w:val="0"/>
          <w:numId w:val="44"/>
        </w:numPr>
        <w:spacing w:after="60"/>
      </w:pPr>
      <w:r w:rsidRPr="63259912">
        <w:t xml:space="preserve">ulaganja u poslovnu infrastrukturu: </w:t>
      </w:r>
      <w:r w:rsidR="00B84E3E" w:rsidRPr="63259912">
        <w:t>129 mil.</w:t>
      </w:r>
      <w:r w:rsidR="00895DF2" w:rsidRPr="63259912">
        <w:t xml:space="preserve"> EUR</w:t>
      </w:r>
    </w:p>
    <w:p w14:paraId="4E149B07" w14:textId="482F7897" w:rsidR="00E870B5" w:rsidRPr="0092041D" w:rsidRDefault="001F45A0" w:rsidP="00157C3A">
      <w:pPr>
        <w:pStyle w:val="ListParagraph"/>
        <w:numPr>
          <w:ilvl w:val="0"/>
          <w:numId w:val="44"/>
        </w:numPr>
        <w:spacing w:after="60"/>
      </w:pPr>
      <w:r w:rsidRPr="63259912">
        <w:t>s</w:t>
      </w:r>
      <w:r w:rsidR="00E870B5" w:rsidRPr="63259912">
        <w:t>ufinancira</w:t>
      </w:r>
      <w:r w:rsidRPr="63259912">
        <w:t>na ulaganja (</w:t>
      </w:r>
      <w:r w:rsidR="001717DB" w:rsidRPr="63259912">
        <w:t xml:space="preserve">preko 98% </w:t>
      </w:r>
      <w:r w:rsidR="005A6B3F" w:rsidRPr="63259912">
        <w:t>i</w:t>
      </w:r>
      <w:r w:rsidR="001717DB" w:rsidRPr="63259912">
        <w:t>z NPOO</w:t>
      </w:r>
      <w:r w:rsidR="00E870B5" w:rsidRPr="63259912">
        <w:t xml:space="preserve">) </w:t>
      </w:r>
      <w:r>
        <w:tab/>
      </w:r>
      <w:r w:rsidR="00582C6A" w:rsidRPr="63259912">
        <w:t>233 mil.</w:t>
      </w:r>
      <w:r w:rsidR="00E870B5" w:rsidRPr="63259912">
        <w:t xml:space="preserve"> </w:t>
      </w:r>
      <w:r w:rsidR="001227B7" w:rsidRPr="63259912">
        <w:t>EUR</w:t>
      </w:r>
    </w:p>
    <w:p w14:paraId="0E1B4BE9" w14:textId="77777777" w:rsidR="00C3208A" w:rsidRDefault="00C3208A" w:rsidP="004623DD"/>
    <w:p w14:paraId="01D899E7" w14:textId="0BC48B29" w:rsidR="005A6B3F" w:rsidRPr="0092041D" w:rsidRDefault="004A0D45" w:rsidP="004623DD">
      <w:r w:rsidRPr="0092041D">
        <w:t>O</w:t>
      </w:r>
      <w:r w:rsidR="005A6B3F" w:rsidRPr="0092041D">
        <w:t>d 2024. do 2030. godine</w:t>
      </w:r>
      <w:r w:rsidRPr="0092041D">
        <w:t xml:space="preserve"> predviđena su ulaganja </w:t>
      </w:r>
      <w:r w:rsidR="00565464" w:rsidRPr="0092041D">
        <w:t xml:space="preserve">u ukupnom iznosu </w:t>
      </w:r>
      <w:r w:rsidR="00654FC1" w:rsidRPr="0092041D">
        <w:t>1,08</w:t>
      </w:r>
      <w:r w:rsidR="0061029D" w:rsidRPr="0092041D">
        <w:t xml:space="preserve"> mil</w:t>
      </w:r>
      <w:r w:rsidR="00654FC1" w:rsidRPr="0092041D">
        <w:t>ijardi</w:t>
      </w:r>
      <w:r w:rsidR="0061029D" w:rsidRPr="0092041D">
        <w:t xml:space="preserve"> EUR.</w:t>
      </w:r>
    </w:p>
    <w:p w14:paraId="797A8CEC" w14:textId="644DB2B2" w:rsidR="00AE4D8E" w:rsidRPr="00B47BDA" w:rsidRDefault="00301031" w:rsidP="004623DD">
      <w:r w:rsidRPr="63259912">
        <w:t xml:space="preserve">Osim toga, </w:t>
      </w:r>
      <w:r w:rsidR="0036400A" w:rsidRPr="63259912">
        <w:t xml:space="preserve">okvirno je </w:t>
      </w:r>
      <w:r w:rsidR="00500C5C" w:rsidRPr="63259912">
        <w:t xml:space="preserve">predviđeno ulaganje </w:t>
      </w:r>
      <w:r w:rsidR="0036400A" w:rsidRPr="63259912">
        <w:t>1</w:t>
      </w:r>
      <w:r w:rsidR="0061029D" w:rsidRPr="63259912">
        <w:t>00</w:t>
      </w:r>
      <w:r w:rsidR="0036400A" w:rsidRPr="63259912">
        <w:t xml:space="preserve"> mil</w:t>
      </w:r>
      <w:r w:rsidR="0061029D" w:rsidRPr="63259912">
        <w:t>.</w:t>
      </w:r>
      <w:r w:rsidR="00500C5C" w:rsidRPr="63259912">
        <w:t xml:space="preserve"> EUR </w:t>
      </w:r>
      <w:r w:rsidR="0061029D" w:rsidRPr="63259912">
        <w:t xml:space="preserve">godišnje </w:t>
      </w:r>
      <w:r w:rsidR="000B5342" w:rsidRPr="63259912">
        <w:t xml:space="preserve">iz naknade za priključenje za potrebe </w:t>
      </w:r>
      <w:r w:rsidR="00F33433" w:rsidRPr="63259912">
        <w:t>stvaranja elektroenergetskih uvjeta i priključenja korisnika mreže.</w:t>
      </w:r>
      <w:r w:rsidR="000B0C6E" w:rsidRPr="63259912">
        <w:t xml:space="preserve"> Pritom je važno napomenuti kako </w:t>
      </w:r>
      <w:r w:rsidR="0059789C" w:rsidRPr="63259912">
        <w:t xml:space="preserve">ulaganja u </w:t>
      </w:r>
      <w:r w:rsidR="00C52A12" w:rsidRPr="63259912">
        <w:t>priklju</w:t>
      </w:r>
      <w:r w:rsidR="00ED74CE" w:rsidRPr="63259912">
        <w:t>čenje</w:t>
      </w:r>
      <w:r w:rsidR="0059789C" w:rsidRPr="63259912">
        <w:t xml:space="preserve"> OIE </w:t>
      </w:r>
      <w:r w:rsidR="00696179" w:rsidRPr="63259912">
        <w:t>na</w:t>
      </w:r>
      <w:r w:rsidR="00652484" w:rsidRPr="63259912">
        <w:t xml:space="preserve"> distribucijsku mrežu ovise o načinu provedbe mjera</w:t>
      </w:r>
      <w:r w:rsidR="00472467" w:rsidRPr="63259912">
        <w:t xml:space="preserve"> te će biti </w:t>
      </w:r>
      <w:r w:rsidR="00123E0E" w:rsidRPr="63259912">
        <w:t xml:space="preserve">značajno veća u slučaju da se umjesto </w:t>
      </w:r>
      <w:r w:rsidR="00AE4D8E" w:rsidRPr="63259912">
        <w:t>maksimalnog korištenja već postojeće elektroenergetske infrastrukture i proizvodnje električne energije integrirane unutar izgrađenih površina, u kapacitetima primjerenim energetskim potrebama u blizini lokacije proizvodnje, razvijaju veliki kapaciteti proizvodnje električne energije na lokacijama udaljenim od potrošnje</w:t>
      </w:r>
      <w:r w:rsidR="00696179" w:rsidRPr="63259912">
        <w:t xml:space="preserve"> i postojeće </w:t>
      </w:r>
      <w:r w:rsidR="003D1A42" w:rsidRPr="63259912">
        <w:t>elektroenergetske infrastrukture</w:t>
      </w:r>
      <w:r w:rsidR="00AE4D8E" w:rsidRPr="63259912">
        <w:t>.</w:t>
      </w:r>
    </w:p>
    <w:p w14:paraId="4BD8B8F2" w14:textId="4191C34B" w:rsidR="00E870B5" w:rsidRPr="00B47BDA" w:rsidRDefault="00E870B5" w:rsidP="004623DD">
      <w:pPr>
        <w:pStyle w:val="NormalWeb"/>
        <w:rPr>
          <w:rFonts w:eastAsia="Calibri"/>
        </w:rPr>
      </w:pPr>
      <w:r w:rsidRPr="007B3810">
        <w:rPr>
          <w:b/>
          <w:bCs/>
        </w:rPr>
        <w:lastRenderedPageBreak/>
        <w:t>Izvori financiranja:</w:t>
      </w:r>
      <w:r w:rsidRPr="00B47BDA">
        <w:t xml:space="preserve"> HEP</w:t>
      </w:r>
      <w:r w:rsidR="00E03F66" w:rsidRPr="00B47BDA">
        <w:t> </w:t>
      </w:r>
      <w:r w:rsidRPr="00B47BDA">
        <w:t>ODS, fondovi</w:t>
      </w:r>
      <w:r w:rsidR="00633BCE" w:rsidRPr="00B47BDA">
        <w:t xml:space="preserve"> EU</w:t>
      </w:r>
    </w:p>
    <w:p w14:paraId="543C008B" w14:textId="2EF173C4" w:rsidR="00E870B5" w:rsidRPr="00B47BDA" w:rsidRDefault="00E870B5" w:rsidP="004623DD">
      <w:pPr>
        <w:pStyle w:val="NormalWeb"/>
      </w:pPr>
      <w:r w:rsidRPr="007B3810">
        <w:rPr>
          <w:b/>
          <w:bCs/>
        </w:rPr>
        <w:t>Izvršno tijelo:</w:t>
      </w:r>
      <w:r w:rsidRPr="00B47BDA">
        <w:t xml:space="preserve"> HEP</w:t>
      </w:r>
      <w:r w:rsidR="0093619B" w:rsidRPr="00B47BDA">
        <w:t> </w:t>
      </w:r>
      <w:r w:rsidRPr="00B47BDA">
        <w:t>ODS</w:t>
      </w:r>
    </w:p>
    <w:p w14:paraId="1CEDAC2A" w14:textId="440BD917" w:rsidR="00E870B5" w:rsidRPr="00B47BDA" w:rsidRDefault="00E870B5" w:rsidP="004623DD">
      <w:pPr>
        <w:pStyle w:val="NormalWeb"/>
        <w:rPr>
          <w:rFonts w:eastAsia="Calibri"/>
        </w:rPr>
      </w:pPr>
      <w:r w:rsidRPr="007B3810">
        <w:rPr>
          <w:b/>
          <w:bCs/>
        </w:rPr>
        <w:t>Tijela za praćenje:</w:t>
      </w:r>
      <w:r w:rsidRPr="00B47BDA">
        <w:t xml:space="preserve"> </w:t>
      </w:r>
      <w:r w:rsidR="00633BCE" w:rsidRPr="00B47BDA">
        <w:t>MINGO</w:t>
      </w:r>
      <w:r w:rsidRPr="00B47BDA">
        <w:t>, HERA</w:t>
      </w:r>
    </w:p>
    <w:p w14:paraId="64F28EAA" w14:textId="1F026B6C" w:rsidR="00E870B5" w:rsidRPr="00B47BDA" w:rsidRDefault="00E870B5" w:rsidP="004623DD">
      <w:pPr>
        <w:pStyle w:val="NormalWeb"/>
      </w:pPr>
      <w:r w:rsidRPr="00B47BDA">
        <w:rPr>
          <w:b/>
        </w:rPr>
        <w:t xml:space="preserve">Učinak: </w:t>
      </w:r>
      <w:r w:rsidRPr="00B47BDA">
        <w:t xml:space="preserve">Smanjenje gubitaka u distribucijskoj elektroenergetskoj mreži </w:t>
      </w:r>
      <w:r w:rsidR="0093619B" w:rsidRPr="00B47BDA">
        <w:t>–</w:t>
      </w:r>
      <w:r w:rsidRPr="00B47BDA">
        <w:t xml:space="preserve"> </w:t>
      </w:r>
      <w:r w:rsidRPr="00B47BDA" w:rsidDel="0093619B">
        <w:t>HEP</w:t>
      </w:r>
      <w:r w:rsidR="0093619B" w:rsidRPr="00B47BDA">
        <w:t> ODS</w:t>
      </w:r>
      <w:r w:rsidRPr="00B47BDA">
        <w:t xml:space="preserve"> izrađuje bilancu za prethodnu godinu, u kojoj se posebno iskazuju gubici električne energije.</w:t>
      </w:r>
    </w:p>
    <w:p w14:paraId="4857ED91" w14:textId="77777777" w:rsidR="00E870B5" w:rsidRPr="00B47BDA" w:rsidRDefault="00E870B5" w:rsidP="004623DD">
      <w:r w:rsidRPr="63259912">
        <w:t xml:space="preserve">Ukupni gubici električne energije sastoje se od tehničkih i netehničkih gubitaka. Tehnički gubici su posljedica pogonskog stanja distribucijske mreže i tehničkih značajki elemenata mreže. Mogu se podijeliti na: </w:t>
      </w:r>
    </w:p>
    <w:p w14:paraId="7041BD66" w14:textId="77777777" w:rsidR="00E870B5" w:rsidRPr="00B47BDA" w:rsidRDefault="00E870B5" w:rsidP="00F52912">
      <w:pPr>
        <w:pStyle w:val="ListParagraph"/>
        <w:numPr>
          <w:ilvl w:val="0"/>
          <w:numId w:val="44"/>
        </w:numPr>
        <w:spacing w:after="60"/>
        <w:ind w:left="714" w:hanging="357"/>
      </w:pPr>
      <w:r w:rsidRPr="00B47BDA">
        <w:t xml:space="preserve">gubitke ovisne o naponu, odnosno stalne gubitke, koji su posljedica održavanja EES-a u stanju pogonske pripravnosti za opskrbu kupaca električnom energijom, </w:t>
      </w:r>
    </w:p>
    <w:p w14:paraId="23E18D9C" w14:textId="0D01C86E" w:rsidR="002453B6" w:rsidRPr="00B47BDA" w:rsidRDefault="00E870B5" w:rsidP="00F52912">
      <w:pPr>
        <w:pStyle w:val="ListParagraph"/>
        <w:numPr>
          <w:ilvl w:val="0"/>
          <w:numId w:val="44"/>
        </w:numPr>
        <w:spacing w:after="60"/>
        <w:ind w:left="714" w:hanging="357"/>
      </w:pPr>
      <w:r w:rsidRPr="00B47BDA">
        <w:t xml:space="preserve">gubitke ovisne o struji, odnosno varijabilne gubitke, koji su posljedica protjecanja struje kroz komponente EES-a. </w:t>
      </w:r>
    </w:p>
    <w:p w14:paraId="6D1E976E" w14:textId="1872EA2C" w:rsidR="0054256A" w:rsidRPr="00B47BDA" w:rsidRDefault="00E870B5" w:rsidP="004623DD">
      <w:r w:rsidRPr="00B47BDA">
        <w:t>Na temelju pretpostavljenih promjena opterećenja, potrošnje, značajki investicija i ulaska u pogon pojedinih objekata, moguće ukupno smanjenje tehničkih gubitaka ostvarenjem desetogodišnjeg plana razvoja distribucijske mreže 2019.-2028. godine procjenjuje se na 284 do 455 GWh (ove vrijednosti predstavljaju kumulativne uštede u danom razdoblju), od toga u prve tri godine</w:t>
      </w:r>
      <w:r w:rsidR="00E223DA" w:rsidRPr="00B47BDA">
        <w:t xml:space="preserve"> </w:t>
      </w:r>
      <w:r w:rsidRPr="00B47BDA">
        <w:t>(razdoblje</w:t>
      </w:r>
      <w:r w:rsidR="00E223DA" w:rsidRPr="00B47BDA">
        <w:t xml:space="preserve"> </w:t>
      </w:r>
      <w:r w:rsidRPr="00B47BDA">
        <w:t>2019.-2021.)</w:t>
      </w:r>
      <w:r w:rsidR="00E223DA" w:rsidRPr="00B47BDA">
        <w:t xml:space="preserve"> </w:t>
      </w:r>
      <w:r w:rsidRPr="00B47BDA">
        <w:t>od</w:t>
      </w:r>
      <w:r w:rsidR="00E223DA" w:rsidRPr="00B47BDA">
        <w:t xml:space="preserve"> </w:t>
      </w:r>
      <w:r w:rsidRPr="00B47BDA">
        <w:t>8,5</w:t>
      </w:r>
      <w:r w:rsidR="00E223DA" w:rsidRPr="00B47BDA">
        <w:t xml:space="preserve"> </w:t>
      </w:r>
      <w:r w:rsidRPr="00B47BDA">
        <w:t>do</w:t>
      </w:r>
      <w:r w:rsidR="00E223DA" w:rsidRPr="00B47BDA">
        <w:t xml:space="preserve"> </w:t>
      </w:r>
      <w:r w:rsidRPr="00B47BDA">
        <w:t>13,4 GWh prosječno godišnje. Mjereno prema prosječnoj godišnjoj potrošnji u razdoblju 2015.-2017. od 16.310 GWh, prosječno godišnje smanjenje tehničkih gubitaka u razdoblju 2019.-2021. iznosi od 0,05% do 0,08%. Učinak mjera, odnosno smanjenje tehničkih gubitaka, raste po godinama jer se opseg mjera povećava s vremenom. Npr. broj transformatora sa smanjenim gubicima bit će značajno veći na kraju desetogodišnjeg razdoblja pa će samim time i godišnje uštede na kraju desetogodišnjeg razdoblja biti veće.</w:t>
      </w:r>
    </w:p>
    <w:p w14:paraId="3960B390" w14:textId="7E38F44C" w:rsidR="0054256A" w:rsidRPr="00B47BDA" w:rsidRDefault="00E870B5" w:rsidP="007B3810">
      <w:pPr>
        <w:spacing w:after="240"/>
      </w:pPr>
      <w:r w:rsidRPr="63259912">
        <w:t xml:space="preserve">Netehnički gubici, odnosno komercijalni gubici posljedica su preuzete, odnosno potrošene električne energije koja iz nekog razloga nije obračunata. Prema procjeni udjela tehničkih i netehničkih gubitaka u ukupnim gubicima distribucijske mreže, tehnički i netehnički gubici čine svaki oko 50% ukupnih gubitaka. Sukladno navedenom, za potrebe ocjene učinka u </w:t>
      </w:r>
      <w:r w:rsidR="00A560B9" w:rsidRPr="63259912">
        <w:t>razdoblj</w:t>
      </w:r>
      <w:r w:rsidRPr="63259912">
        <w:t>u 2021. – 2030. godine, pretpostavljen je konstantan udio tehničkih (50%) i netehničkih gubitaka (50%) u ukupnim gubicima električne energije.</w:t>
      </w:r>
    </w:p>
    <w:tbl>
      <w:tblPr>
        <w:tblStyle w:val="GridTable1Light15"/>
        <w:tblW w:w="519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854"/>
        <w:gridCol w:w="713"/>
        <w:gridCol w:w="768"/>
        <w:gridCol w:w="768"/>
        <w:gridCol w:w="768"/>
        <w:gridCol w:w="768"/>
        <w:gridCol w:w="768"/>
        <w:gridCol w:w="770"/>
        <w:gridCol w:w="771"/>
        <w:gridCol w:w="771"/>
      </w:tblGrid>
      <w:tr w:rsidR="007B3810" w:rsidRPr="007B3810" w14:paraId="7E1B5F3E" w14:textId="77777777" w:rsidTr="632599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D9E2F3" w:themeFill="accent5" w:themeFillTint="33"/>
            <w:noWrap/>
            <w:tcMar>
              <w:left w:w="57" w:type="dxa"/>
              <w:right w:w="57" w:type="dxa"/>
            </w:tcMar>
            <w:vAlign w:val="center"/>
            <w:hideMark/>
          </w:tcPr>
          <w:p w14:paraId="64E346AE" w14:textId="6DAB84B8" w:rsidR="007B3810" w:rsidRPr="007B3810" w:rsidRDefault="007B3810" w:rsidP="004623DD">
            <w:pPr>
              <w:rPr>
                <w:rFonts w:eastAsia="Calibri"/>
                <w:sz w:val="20"/>
                <w:szCs w:val="20"/>
              </w:rPr>
            </w:pPr>
            <w:r w:rsidRPr="007B3810">
              <w:rPr>
                <w:sz w:val="20"/>
                <w:szCs w:val="20"/>
              </w:rPr>
              <w:t xml:space="preserve">Projekcija gubitaka električne energije u TWh </w:t>
            </w:r>
          </w:p>
        </w:tc>
      </w:tr>
      <w:tr w:rsidR="00E870B5" w:rsidRPr="007B3810" w14:paraId="2C305BAD" w14:textId="77777777" w:rsidTr="63259912">
        <w:trPr>
          <w:trHeight w:val="300"/>
        </w:trPr>
        <w:tc>
          <w:tcPr>
            <w:cnfStyle w:val="001000000000" w:firstRow="0" w:lastRow="0" w:firstColumn="1" w:lastColumn="0" w:oddVBand="0" w:evenVBand="0" w:oddHBand="0" w:evenHBand="0" w:firstRowFirstColumn="0" w:firstRowLastColumn="0" w:lastRowFirstColumn="0" w:lastRowLastColumn="0"/>
            <w:tcW w:w="898" w:type="pct"/>
            <w:noWrap/>
            <w:tcMar>
              <w:left w:w="57" w:type="dxa"/>
              <w:right w:w="57" w:type="dxa"/>
            </w:tcMar>
            <w:vAlign w:val="center"/>
            <w:hideMark/>
          </w:tcPr>
          <w:p w14:paraId="7B21CC26" w14:textId="77777777" w:rsidR="00E870B5" w:rsidRPr="007B3810" w:rsidRDefault="00E870B5" w:rsidP="004623DD">
            <w:pPr>
              <w:rPr>
                <w:rFonts w:eastAsia="Calibri"/>
                <w:sz w:val="20"/>
                <w:szCs w:val="20"/>
              </w:rPr>
            </w:pPr>
          </w:p>
        </w:tc>
        <w:tc>
          <w:tcPr>
            <w:tcW w:w="454" w:type="pct"/>
            <w:noWrap/>
            <w:tcMar>
              <w:left w:w="57" w:type="dxa"/>
              <w:right w:w="57" w:type="dxa"/>
            </w:tcMar>
            <w:vAlign w:val="center"/>
            <w:hideMark/>
          </w:tcPr>
          <w:p w14:paraId="5AA1CD1B"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3810">
              <w:rPr>
                <w:b/>
                <w:bCs/>
                <w:sz w:val="20"/>
                <w:szCs w:val="20"/>
              </w:rPr>
              <w:t>2021</w:t>
            </w:r>
          </w:p>
        </w:tc>
        <w:tc>
          <w:tcPr>
            <w:tcW w:w="379" w:type="pct"/>
            <w:noWrap/>
            <w:tcMar>
              <w:left w:w="57" w:type="dxa"/>
              <w:right w:w="57" w:type="dxa"/>
            </w:tcMar>
            <w:vAlign w:val="center"/>
            <w:hideMark/>
          </w:tcPr>
          <w:p w14:paraId="0C467607"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3810">
              <w:rPr>
                <w:b/>
                <w:bCs/>
                <w:sz w:val="20"/>
                <w:szCs w:val="20"/>
              </w:rPr>
              <w:t>2022</w:t>
            </w:r>
          </w:p>
        </w:tc>
        <w:tc>
          <w:tcPr>
            <w:tcW w:w="408" w:type="pct"/>
            <w:noWrap/>
            <w:tcMar>
              <w:left w:w="57" w:type="dxa"/>
              <w:right w:w="57" w:type="dxa"/>
            </w:tcMar>
            <w:vAlign w:val="center"/>
            <w:hideMark/>
          </w:tcPr>
          <w:p w14:paraId="062AAFA1"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3810">
              <w:rPr>
                <w:b/>
                <w:bCs/>
                <w:sz w:val="20"/>
                <w:szCs w:val="20"/>
              </w:rPr>
              <w:t>2023</w:t>
            </w:r>
          </w:p>
        </w:tc>
        <w:tc>
          <w:tcPr>
            <w:tcW w:w="408" w:type="pct"/>
            <w:noWrap/>
            <w:tcMar>
              <w:left w:w="57" w:type="dxa"/>
              <w:right w:w="57" w:type="dxa"/>
            </w:tcMar>
            <w:vAlign w:val="center"/>
            <w:hideMark/>
          </w:tcPr>
          <w:p w14:paraId="2EA07919"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3810">
              <w:rPr>
                <w:b/>
                <w:bCs/>
                <w:sz w:val="20"/>
                <w:szCs w:val="20"/>
              </w:rPr>
              <w:t>2024</w:t>
            </w:r>
          </w:p>
        </w:tc>
        <w:tc>
          <w:tcPr>
            <w:tcW w:w="408" w:type="pct"/>
            <w:noWrap/>
            <w:tcMar>
              <w:left w:w="57" w:type="dxa"/>
              <w:right w:w="57" w:type="dxa"/>
            </w:tcMar>
            <w:vAlign w:val="center"/>
            <w:hideMark/>
          </w:tcPr>
          <w:p w14:paraId="5D52841B"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3810">
              <w:rPr>
                <w:b/>
                <w:bCs/>
                <w:sz w:val="20"/>
                <w:szCs w:val="20"/>
              </w:rPr>
              <w:t>2025</w:t>
            </w:r>
          </w:p>
        </w:tc>
        <w:tc>
          <w:tcPr>
            <w:tcW w:w="408" w:type="pct"/>
            <w:noWrap/>
            <w:tcMar>
              <w:left w:w="57" w:type="dxa"/>
              <w:right w:w="57" w:type="dxa"/>
            </w:tcMar>
            <w:vAlign w:val="center"/>
            <w:hideMark/>
          </w:tcPr>
          <w:p w14:paraId="41A2D959"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3810">
              <w:rPr>
                <w:b/>
                <w:bCs/>
                <w:sz w:val="20"/>
                <w:szCs w:val="20"/>
              </w:rPr>
              <w:t>2026</w:t>
            </w:r>
          </w:p>
        </w:tc>
        <w:tc>
          <w:tcPr>
            <w:tcW w:w="408" w:type="pct"/>
            <w:noWrap/>
            <w:tcMar>
              <w:left w:w="57" w:type="dxa"/>
              <w:right w:w="57" w:type="dxa"/>
            </w:tcMar>
            <w:vAlign w:val="center"/>
            <w:hideMark/>
          </w:tcPr>
          <w:p w14:paraId="1F79077F"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3810">
              <w:rPr>
                <w:b/>
                <w:bCs/>
                <w:sz w:val="20"/>
                <w:szCs w:val="20"/>
              </w:rPr>
              <w:t>2027</w:t>
            </w:r>
          </w:p>
        </w:tc>
        <w:tc>
          <w:tcPr>
            <w:tcW w:w="409" w:type="pct"/>
            <w:noWrap/>
            <w:tcMar>
              <w:left w:w="57" w:type="dxa"/>
              <w:right w:w="57" w:type="dxa"/>
            </w:tcMar>
            <w:vAlign w:val="center"/>
            <w:hideMark/>
          </w:tcPr>
          <w:p w14:paraId="012156A7"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3810">
              <w:rPr>
                <w:b/>
                <w:bCs/>
                <w:sz w:val="20"/>
                <w:szCs w:val="20"/>
              </w:rPr>
              <w:t>2028</w:t>
            </w:r>
          </w:p>
        </w:tc>
        <w:tc>
          <w:tcPr>
            <w:tcW w:w="410" w:type="pct"/>
            <w:noWrap/>
            <w:tcMar>
              <w:left w:w="57" w:type="dxa"/>
              <w:right w:w="57" w:type="dxa"/>
            </w:tcMar>
            <w:vAlign w:val="center"/>
            <w:hideMark/>
          </w:tcPr>
          <w:p w14:paraId="7705EB07"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3810">
              <w:rPr>
                <w:b/>
                <w:bCs/>
                <w:sz w:val="20"/>
                <w:szCs w:val="20"/>
              </w:rPr>
              <w:t>2029</w:t>
            </w:r>
          </w:p>
        </w:tc>
        <w:tc>
          <w:tcPr>
            <w:tcW w:w="410" w:type="pct"/>
            <w:noWrap/>
            <w:tcMar>
              <w:left w:w="57" w:type="dxa"/>
              <w:right w:w="57" w:type="dxa"/>
            </w:tcMar>
            <w:vAlign w:val="center"/>
            <w:hideMark/>
          </w:tcPr>
          <w:p w14:paraId="39166BBF"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B3810">
              <w:rPr>
                <w:b/>
                <w:bCs/>
                <w:sz w:val="20"/>
                <w:szCs w:val="20"/>
              </w:rPr>
              <w:t>2030</w:t>
            </w:r>
          </w:p>
        </w:tc>
      </w:tr>
      <w:tr w:rsidR="00E870B5" w:rsidRPr="007B3810" w14:paraId="57080F16" w14:textId="77777777" w:rsidTr="63259912">
        <w:trPr>
          <w:trHeight w:val="300"/>
        </w:trPr>
        <w:tc>
          <w:tcPr>
            <w:cnfStyle w:val="001000000000" w:firstRow="0" w:lastRow="0" w:firstColumn="1" w:lastColumn="0" w:oddVBand="0" w:evenVBand="0" w:oddHBand="0" w:evenHBand="0" w:firstRowFirstColumn="0" w:firstRowLastColumn="0" w:lastRowFirstColumn="0" w:lastRowLastColumn="0"/>
            <w:tcW w:w="898" w:type="pct"/>
            <w:noWrap/>
            <w:tcMar>
              <w:left w:w="57" w:type="dxa"/>
              <w:right w:w="57" w:type="dxa"/>
            </w:tcMar>
            <w:vAlign w:val="center"/>
            <w:hideMark/>
          </w:tcPr>
          <w:p w14:paraId="5639B4CB" w14:textId="77777777" w:rsidR="00E870B5" w:rsidRPr="007B3810" w:rsidRDefault="00E870B5" w:rsidP="004623DD">
            <w:pPr>
              <w:rPr>
                <w:sz w:val="20"/>
                <w:szCs w:val="20"/>
              </w:rPr>
            </w:pPr>
            <w:r w:rsidRPr="007B3810">
              <w:rPr>
                <w:sz w:val="20"/>
                <w:szCs w:val="20"/>
              </w:rPr>
              <w:t>Tehnički gubici</w:t>
            </w:r>
          </w:p>
        </w:tc>
        <w:tc>
          <w:tcPr>
            <w:tcW w:w="454" w:type="pct"/>
            <w:noWrap/>
            <w:tcMar>
              <w:left w:w="57" w:type="dxa"/>
              <w:right w:w="57" w:type="dxa"/>
            </w:tcMar>
            <w:vAlign w:val="center"/>
            <w:hideMark/>
          </w:tcPr>
          <w:p w14:paraId="7ED9AB61"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0,658</w:t>
            </w:r>
          </w:p>
        </w:tc>
        <w:tc>
          <w:tcPr>
            <w:tcW w:w="379" w:type="pct"/>
            <w:noWrap/>
            <w:tcMar>
              <w:left w:w="57" w:type="dxa"/>
              <w:right w:w="57" w:type="dxa"/>
            </w:tcMar>
            <w:vAlign w:val="center"/>
            <w:hideMark/>
          </w:tcPr>
          <w:p w14:paraId="7F90AE0F"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0,662</w:t>
            </w:r>
          </w:p>
        </w:tc>
        <w:tc>
          <w:tcPr>
            <w:tcW w:w="408" w:type="pct"/>
            <w:noWrap/>
            <w:tcMar>
              <w:left w:w="57" w:type="dxa"/>
              <w:right w:w="57" w:type="dxa"/>
            </w:tcMar>
            <w:vAlign w:val="center"/>
            <w:hideMark/>
          </w:tcPr>
          <w:p w14:paraId="6C725F2C"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0,665</w:t>
            </w:r>
          </w:p>
        </w:tc>
        <w:tc>
          <w:tcPr>
            <w:tcW w:w="408" w:type="pct"/>
            <w:noWrap/>
            <w:tcMar>
              <w:left w:w="57" w:type="dxa"/>
              <w:right w:w="57" w:type="dxa"/>
            </w:tcMar>
            <w:vAlign w:val="center"/>
            <w:hideMark/>
          </w:tcPr>
          <w:p w14:paraId="7ABA0036"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0,668</w:t>
            </w:r>
          </w:p>
        </w:tc>
        <w:tc>
          <w:tcPr>
            <w:tcW w:w="408" w:type="pct"/>
            <w:noWrap/>
            <w:tcMar>
              <w:left w:w="57" w:type="dxa"/>
              <w:right w:w="57" w:type="dxa"/>
            </w:tcMar>
            <w:vAlign w:val="center"/>
            <w:hideMark/>
          </w:tcPr>
          <w:p w14:paraId="4CA700BE"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0,672</w:t>
            </w:r>
          </w:p>
        </w:tc>
        <w:tc>
          <w:tcPr>
            <w:tcW w:w="408" w:type="pct"/>
            <w:noWrap/>
            <w:tcMar>
              <w:left w:w="57" w:type="dxa"/>
              <w:right w:w="57" w:type="dxa"/>
            </w:tcMar>
            <w:vAlign w:val="center"/>
            <w:hideMark/>
          </w:tcPr>
          <w:p w14:paraId="3DD44CDE"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0,675</w:t>
            </w:r>
          </w:p>
        </w:tc>
        <w:tc>
          <w:tcPr>
            <w:tcW w:w="408" w:type="pct"/>
            <w:noWrap/>
            <w:tcMar>
              <w:left w:w="57" w:type="dxa"/>
              <w:right w:w="57" w:type="dxa"/>
            </w:tcMar>
            <w:vAlign w:val="center"/>
            <w:hideMark/>
          </w:tcPr>
          <w:p w14:paraId="1495C44E"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0,678</w:t>
            </w:r>
          </w:p>
        </w:tc>
        <w:tc>
          <w:tcPr>
            <w:tcW w:w="409" w:type="pct"/>
            <w:noWrap/>
            <w:tcMar>
              <w:left w:w="57" w:type="dxa"/>
              <w:right w:w="57" w:type="dxa"/>
            </w:tcMar>
            <w:vAlign w:val="center"/>
            <w:hideMark/>
          </w:tcPr>
          <w:p w14:paraId="5098AE24"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0,682</w:t>
            </w:r>
          </w:p>
        </w:tc>
        <w:tc>
          <w:tcPr>
            <w:tcW w:w="410" w:type="pct"/>
            <w:noWrap/>
            <w:tcMar>
              <w:left w:w="57" w:type="dxa"/>
              <w:right w:w="57" w:type="dxa"/>
            </w:tcMar>
            <w:vAlign w:val="center"/>
            <w:hideMark/>
          </w:tcPr>
          <w:p w14:paraId="0C5D71B3"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0,685</w:t>
            </w:r>
          </w:p>
        </w:tc>
        <w:tc>
          <w:tcPr>
            <w:tcW w:w="410" w:type="pct"/>
            <w:noWrap/>
            <w:tcMar>
              <w:left w:w="57" w:type="dxa"/>
              <w:right w:w="57" w:type="dxa"/>
            </w:tcMar>
            <w:vAlign w:val="center"/>
            <w:hideMark/>
          </w:tcPr>
          <w:p w14:paraId="77DF929A"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0,689</w:t>
            </w:r>
          </w:p>
        </w:tc>
      </w:tr>
      <w:tr w:rsidR="00E870B5" w:rsidRPr="007B3810" w14:paraId="4BC1BFC6" w14:textId="77777777" w:rsidTr="63259912">
        <w:trPr>
          <w:trHeight w:val="300"/>
        </w:trPr>
        <w:tc>
          <w:tcPr>
            <w:cnfStyle w:val="001000000000" w:firstRow="0" w:lastRow="0" w:firstColumn="1" w:lastColumn="0" w:oddVBand="0" w:evenVBand="0" w:oddHBand="0" w:evenHBand="0" w:firstRowFirstColumn="0" w:firstRowLastColumn="0" w:lastRowFirstColumn="0" w:lastRowLastColumn="0"/>
            <w:tcW w:w="898" w:type="pct"/>
            <w:noWrap/>
            <w:tcMar>
              <w:left w:w="57" w:type="dxa"/>
              <w:right w:w="57" w:type="dxa"/>
            </w:tcMar>
            <w:vAlign w:val="center"/>
            <w:hideMark/>
          </w:tcPr>
          <w:p w14:paraId="6B37A39E" w14:textId="77777777" w:rsidR="00E870B5" w:rsidRPr="007B3810" w:rsidRDefault="00E870B5" w:rsidP="63259912">
            <w:pPr>
              <w:rPr>
                <w:sz w:val="20"/>
                <w:szCs w:val="20"/>
              </w:rPr>
            </w:pPr>
            <w:r w:rsidRPr="63259912">
              <w:rPr>
                <w:sz w:val="20"/>
                <w:szCs w:val="20"/>
              </w:rPr>
              <w:t>Netehnički gubici</w:t>
            </w:r>
          </w:p>
        </w:tc>
        <w:tc>
          <w:tcPr>
            <w:tcW w:w="454" w:type="pct"/>
            <w:noWrap/>
            <w:tcMar>
              <w:left w:w="57" w:type="dxa"/>
              <w:right w:w="57" w:type="dxa"/>
            </w:tcMar>
            <w:vAlign w:val="center"/>
            <w:hideMark/>
          </w:tcPr>
          <w:p w14:paraId="508CE26D"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0,658</w:t>
            </w:r>
          </w:p>
        </w:tc>
        <w:tc>
          <w:tcPr>
            <w:tcW w:w="379" w:type="pct"/>
            <w:noWrap/>
            <w:tcMar>
              <w:left w:w="57" w:type="dxa"/>
              <w:right w:w="57" w:type="dxa"/>
            </w:tcMar>
            <w:vAlign w:val="center"/>
            <w:hideMark/>
          </w:tcPr>
          <w:p w14:paraId="47D75D84"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0,662</w:t>
            </w:r>
          </w:p>
        </w:tc>
        <w:tc>
          <w:tcPr>
            <w:tcW w:w="408" w:type="pct"/>
            <w:noWrap/>
            <w:tcMar>
              <w:left w:w="57" w:type="dxa"/>
              <w:right w:w="57" w:type="dxa"/>
            </w:tcMar>
            <w:vAlign w:val="center"/>
            <w:hideMark/>
          </w:tcPr>
          <w:p w14:paraId="2C2B7CB4"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0,665</w:t>
            </w:r>
          </w:p>
        </w:tc>
        <w:tc>
          <w:tcPr>
            <w:tcW w:w="408" w:type="pct"/>
            <w:noWrap/>
            <w:tcMar>
              <w:left w:w="57" w:type="dxa"/>
              <w:right w:w="57" w:type="dxa"/>
            </w:tcMar>
            <w:vAlign w:val="center"/>
            <w:hideMark/>
          </w:tcPr>
          <w:p w14:paraId="1B5BC083"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0,668</w:t>
            </w:r>
          </w:p>
        </w:tc>
        <w:tc>
          <w:tcPr>
            <w:tcW w:w="408" w:type="pct"/>
            <w:noWrap/>
            <w:tcMar>
              <w:left w:w="57" w:type="dxa"/>
              <w:right w:w="57" w:type="dxa"/>
            </w:tcMar>
            <w:vAlign w:val="center"/>
            <w:hideMark/>
          </w:tcPr>
          <w:p w14:paraId="29F52121"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0,672</w:t>
            </w:r>
          </w:p>
        </w:tc>
        <w:tc>
          <w:tcPr>
            <w:tcW w:w="408" w:type="pct"/>
            <w:noWrap/>
            <w:tcMar>
              <w:left w:w="57" w:type="dxa"/>
              <w:right w:w="57" w:type="dxa"/>
            </w:tcMar>
            <w:vAlign w:val="center"/>
            <w:hideMark/>
          </w:tcPr>
          <w:p w14:paraId="3C04CA07"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0,675</w:t>
            </w:r>
          </w:p>
        </w:tc>
        <w:tc>
          <w:tcPr>
            <w:tcW w:w="408" w:type="pct"/>
            <w:noWrap/>
            <w:tcMar>
              <w:left w:w="57" w:type="dxa"/>
              <w:right w:w="57" w:type="dxa"/>
            </w:tcMar>
            <w:vAlign w:val="center"/>
            <w:hideMark/>
          </w:tcPr>
          <w:p w14:paraId="1EC73C9F"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0,678</w:t>
            </w:r>
          </w:p>
        </w:tc>
        <w:tc>
          <w:tcPr>
            <w:tcW w:w="409" w:type="pct"/>
            <w:noWrap/>
            <w:tcMar>
              <w:left w:w="57" w:type="dxa"/>
              <w:right w:w="57" w:type="dxa"/>
            </w:tcMar>
            <w:vAlign w:val="center"/>
            <w:hideMark/>
          </w:tcPr>
          <w:p w14:paraId="5C6D5D93"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0,682</w:t>
            </w:r>
          </w:p>
        </w:tc>
        <w:tc>
          <w:tcPr>
            <w:tcW w:w="410" w:type="pct"/>
            <w:noWrap/>
            <w:tcMar>
              <w:left w:w="57" w:type="dxa"/>
              <w:right w:w="57" w:type="dxa"/>
            </w:tcMar>
            <w:vAlign w:val="center"/>
            <w:hideMark/>
          </w:tcPr>
          <w:p w14:paraId="6AABCAFC"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0,685</w:t>
            </w:r>
          </w:p>
        </w:tc>
        <w:tc>
          <w:tcPr>
            <w:tcW w:w="410" w:type="pct"/>
            <w:noWrap/>
            <w:tcMar>
              <w:left w:w="57" w:type="dxa"/>
              <w:right w:w="57" w:type="dxa"/>
            </w:tcMar>
            <w:vAlign w:val="center"/>
            <w:hideMark/>
          </w:tcPr>
          <w:p w14:paraId="5B9705AE"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0,689</w:t>
            </w:r>
          </w:p>
        </w:tc>
      </w:tr>
      <w:tr w:rsidR="00E870B5" w:rsidRPr="007B3810" w14:paraId="4EFA8F30" w14:textId="77777777" w:rsidTr="63259912">
        <w:trPr>
          <w:trHeight w:val="300"/>
        </w:trPr>
        <w:tc>
          <w:tcPr>
            <w:cnfStyle w:val="001000000000" w:firstRow="0" w:lastRow="0" w:firstColumn="1" w:lastColumn="0" w:oddVBand="0" w:evenVBand="0" w:oddHBand="0" w:evenHBand="0" w:firstRowFirstColumn="0" w:firstRowLastColumn="0" w:lastRowFirstColumn="0" w:lastRowLastColumn="0"/>
            <w:tcW w:w="898" w:type="pct"/>
            <w:noWrap/>
            <w:tcMar>
              <w:left w:w="57" w:type="dxa"/>
              <w:right w:w="57" w:type="dxa"/>
            </w:tcMar>
            <w:vAlign w:val="center"/>
            <w:hideMark/>
          </w:tcPr>
          <w:p w14:paraId="62E6E76B" w14:textId="77777777" w:rsidR="00E870B5" w:rsidRPr="007B3810" w:rsidRDefault="00E870B5" w:rsidP="004623DD">
            <w:pPr>
              <w:rPr>
                <w:sz w:val="20"/>
                <w:szCs w:val="20"/>
              </w:rPr>
            </w:pPr>
            <w:r w:rsidRPr="007B3810">
              <w:rPr>
                <w:sz w:val="20"/>
                <w:szCs w:val="20"/>
              </w:rPr>
              <w:t>Ukupni gubici</w:t>
            </w:r>
          </w:p>
        </w:tc>
        <w:tc>
          <w:tcPr>
            <w:tcW w:w="454" w:type="pct"/>
            <w:noWrap/>
            <w:tcMar>
              <w:left w:w="57" w:type="dxa"/>
              <w:right w:w="57" w:type="dxa"/>
            </w:tcMar>
            <w:vAlign w:val="center"/>
            <w:hideMark/>
          </w:tcPr>
          <w:p w14:paraId="4F48E191"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1,316</w:t>
            </w:r>
          </w:p>
        </w:tc>
        <w:tc>
          <w:tcPr>
            <w:tcW w:w="379" w:type="pct"/>
            <w:noWrap/>
            <w:tcMar>
              <w:left w:w="57" w:type="dxa"/>
              <w:right w:w="57" w:type="dxa"/>
            </w:tcMar>
            <w:vAlign w:val="center"/>
            <w:hideMark/>
          </w:tcPr>
          <w:p w14:paraId="3A024E85"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1,324</w:t>
            </w:r>
          </w:p>
        </w:tc>
        <w:tc>
          <w:tcPr>
            <w:tcW w:w="408" w:type="pct"/>
            <w:noWrap/>
            <w:tcMar>
              <w:left w:w="57" w:type="dxa"/>
              <w:right w:w="57" w:type="dxa"/>
            </w:tcMar>
            <w:vAlign w:val="center"/>
            <w:hideMark/>
          </w:tcPr>
          <w:p w14:paraId="058B0BCD"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1,330</w:t>
            </w:r>
          </w:p>
        </w:tc>
        <w:tc>
          <w:tcPr>
            <w:tcW w:w="408" w:type="pct"/>
            <w:noWrap/>
            <w:tcMar>
              <w:left w:w="57" w:type="dxa"/>
              <w:right w:w="57" w:type="dxa"/>
            </w:tcMar>
            <w:vAlign w:val="center"/>
            <w:hideMark/>
          </w:tcPr>
          <w:p w14:paraId="425075E3"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1,336</w:t>
            </w:r>
          </w:p>
        </w:tc>
        <w:tc>
          <w:tcPr>
            <w:tcW w:w="408" w:type="pct"/>
            <w:noWrap/>
            <w:tcMar>
              <w:left w:w="57" w:type="dxa"/>
              <w:right w:w="57" w:type="dxa"/>
            </w:tcMar>
            <w:vAlign w:val="center"/>
            <w:hideMark/>
          </w:tcPr>
          <w:p w14:paraId="23C76B12"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1,344</w:t>
            </w:r>
          </w:p>
        </w:tc>
        <w:tc>
          <w:tcPr>
            <w:tcW w:w="408" w:type="pct"/>
            <w:noWrap/>
            <w:tcMar>
              <w:left w:w="57" w:type="dxa"/>
              <w:right w:w="57" w:type="dxa"/>
            </w:tcMar>
            <w:vAlign w:val="center"/>
            <w:hideMark/>
          </w:tcPr>
          <w:p w14:paraId="346350B4"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1,350</w:t>
            </w:r>
          </w:p>
        </w:tc>
        <w:tc>
          <w:tcPr>
            <w:tcW w:w="408" w:type="pct"/>
            <w:noWrap/>
            <w:tcMar>
              <w:left w:w="57" w:type="dxa"/>
              <w:right w:w="57" w:type="dxa"/>
            </w:tcMar>
            <w:vAlign w:val="center"/>
            <w:hideMark/>
          </w:tcPr>
          <w:p w14:paraId="611BE7F3"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1,356</w:t>
            </w:r>
          </w:p>
        </w:tc>
        <w:tc>
          <w:tcPr>
            <w:tcW w:w="409" w:type="pct"/>
            <w:noWrap/>
            <w:tcMar>
              <w:left w:w="57" w:type="dxa"/>
              <w:right w:w="57" w:type="dxa"/>
            </w:tcMar>
            <w:vAlign w:val="center"/>
            <w:hideMark/>
          </w:tcPr>
          <w:p w14:paraId="069E37F6"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1,364</w:t>
            </w:r>
          </w:p>
        </w:tc>
        <w:tc>
          <w:tcPr>
            <w:tcW w:w="410" w:type="pct"/>
            <w:noWrap/>
            <w:tcMar>
              <w:left w:w="57" w:type="dxa"/>
              <w:right w:w="57" w:type="dxa"/>
            </w:tcMar>
            <w:vAlign w:val="center"/>
            <w:hideMark/>
          </w:tcPr>
          <w:p w14:paraId="7ED5944E"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1,370</w:t>
            </w:r>
          </w:p>
        </w:tc>
        <w:tc>
          <w:tcPr>
            <w:tcW w:w="410" w:type="pct"/>
            <w:noWrap/>
            <w:tcMar>
              <w:left w:w="57" w:type="dxa"/>
              <w:right w:w="57" w:type="dxa"/>
            </w:tcMar>
            <w:vAlign w:val="center"/>
            <w:hideMark/>
          </w:tcPr>
          <w:p w14:paraId="62A78086" w14:textId="77777777" w:rsidR="00E870B5" w:rsidRPr="007B3810" w:rsidRDefault="00E870B5" w:rsidP="007B3810">
            <w:pPr>
              <w:jc w:val="center"/>
              <w:cnfStyle w:val="000000000000" w:firstRow="0" w:lastRow="0" w:firstColumn="0" w:lastColumn="0" w:oddVBand="0" w:evenVBand="0" w:oddHBand="0" w:evenHBand="0" w:firstRowFirstColumn="0" w:firstRowLastColumn="0" w:lastRowFirstColumn="0" w:lastRowLastColumn="0"/>
              <w:rPr>
                <w:sz w:val="20"/>
                <w:szCs w:val="20"/>
              </w:rPr>
            </w:pPr>
            <w:r w:rsidRPr="007B3810">
              <w:rPr>
                <w:sz w:val="20"/>
                <w:szCs w:val="20"/>
              </w:rPr>
              <w:t>1,378</w:t>
            </w:r>
          </w:p>
        </w:tc>
      </w:tr>
    </w:tbl>
    <w:p w14:paraId="7D53FD99" w14:textId="77777777" w:rsidR="00E870B5" w:rsidRPr="00B47BDA" w:rsidRDefault="00E870B5" w:rsidP="007B3810">
      <w:pPr>
        <w:spacing w:before="120"/>
      </w:pPr>
      <w:r w:rsidRPr="63259912">
        <w:t xml:space="preserve">Implementacijom naprednih mjernih uređaja i sustava za njihovo umrežavanje kod krajnjih kupaca električne energije utječe se na smanjenje netehničkih gubitaka električne energije. Napredna brojila su opremljena indikatorima prekida napajanja i promjena parametara, čime se omogućuje otkrivanje neovlaštene potrošnje električne energije putem signalizacije </w:t>
      </w:r>
      <w:r w:rsidRPr="63259912">
        <w:lastRenderedPageBreak/>
        <w:t xml:space="preserve">neovlaštenog pristupa uređaju i njegove neovlaštene upotrebe te, u konačnici, daljinskog isključenja napajanja kupcu kod kojeg je takvo ponašanje otkriveno. </w:t>
      </w:r>
    </w:p>
    <w:p w14:paraId="1A34DCA2" w14:textId="299B5764" w:rsidR="00E870B5" w:rsidRPr="00B47BDA" w:rsidRDefault="00E870B5" w:rsidP="004623DD">
      <w:r w:rsidRPr="63259912">
        <w:t xml:space="preserve">Sumarna brojila ugrađena u transformatorske stanice na temelju mjerenja ukupne potrošnje i proizvodnje energije na niskonaponskim izvodima iz transformatorske stanice omogućuju točan izračun gubitaka energije u srednjenaponskoj i niskonaponskoj distribucijskoj mreži, uspoređujući količinu preuzete energije u TS SN/NN i količinu energije potrošene kod krajnjih kupaca. Ugradnjom sumarnih brojila očekuje se efikasnije i brže otkrivanje te smanjenje neovlaštene potrošnje. </w:t>
      </w:r>
    </w:p>
    <w:p w14:paraId="7900E4AD" w14:textId="7B0094A6" w:rsidR="00E870B5" w:rsidRPr="00B47BDA" w:rsidRDefault="00E870B5" w:rsidP="004623DD">
      <w:r w:rsidRPr="63259912">
        <w:t xml:space="preserve">Unutar više analiza troškova i koristi ugradnje naprednih mjernih uređaja, provedenih u zemljama članicama Europske unije, ustanovljeno je očekivano smanjenje neovlaštene potrošnje u iznosu 50% netehničkih gubitaka (Litva, Slovenija), što odgovara i iskustvima drugih međunarodnih pilot projekata. </w:t>
      </w:r>
      <w:r w:rsidR="00505EEF" w:rsidRPr="63259912">
        <w:t xml:space="preserve">Na temelju </w:t>
      </w:r>
      <w:r w:rsidRPr="63259912">
        <w:t>navedenog, prognoza smanjenja neovlaštene potrošnje u slučaju Hrvatske je određena u iznosu od 50% netehničkih gubitaka.</w:t>
      </w:r>
    </w:p>
    <w:p w14:paraId="3251B909" w14:textId="6053A601" w:rsidR="00E870B5" w:rsidRPr="00B47BDA" w:rsidRDefault="00E870B5" w:rsidP="004623DD">
      <w:r w:rsidRPr="63259912">
        <w:t xml:space="preserve">Netehnički gubici koji nastaju tijekom referentnog razdoblja promatranja, implementacijom naprednih mjernih uređaja i sustava za njihovo umrežavanje, prikazani su u tablici u nastavku, a izračunati su </w:t>
      </w:r>
      <w:r w:rsidR="00E94899" w:rsidRPr="63259912">
        <w:t xml:space="preserve">na temelju </w:t>
      </w:r>
      <w:r w:rsidRPr="63259912">
        <w:t>procjene iznosa netehničkih gubitaka, procijenjenog maksimalnog smanjenja neovlaštene potrošnje u iznosu od 50% ukupnih netehničkih gubitaka nakon završetka implementacije naprednih mjernih uređaja i sustava za njihovo umrežavanje.</w:t>
      </w:r>
    </w:p>
    <w:tbl>
      <w:tblPr>
        <w:tblStyle w:val="GridTable1Light1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646"/>
        <w:gridCol w:w="693"/>
        <w:gridCol w:w="702"/>
        <w:gridCol w:w="709"/>
        <w:gridCol w:w="716"/>
        <w:gridCol w:w="719"/>
        <w:gridCol w:w="725"/>
        <w:gridCol w:w="731"/>
        <w:gridCol w:w="737"/>
        <w:gridCol w:w="740"/>
      </w:tblGrid>
      <w:tr w:rsidR="00E870B5" w:rsidRPr="007B3810" w14:paraId="65D076C7" w14:textId="77777777" w:rsidTr="632599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shd w:val="clear" w:color="auto" w:fill="D9E2F3" w:themeFill="accent5" w:themeFillTint="33"/>
            <w:noWrap/>
            <w:tcMar>
              <w:left w:w="57" w:type="dxa"/>
              <w:right w:w="57" w:type="dxa"/>
            </w:tcMar>
            <w:vAlign w:val="center"/>
            <w:hideMark/>
          </w:tcPr>
          <w:p w14:paraId="04344F3D" w14:textId="77777777" w:rsidR="00E870B5" w:rsidRPr="002767E1" w:rsidRDefault="00E870B5" w:rsidP="004623DD">
            <w:pPr>
              <w:rPr>
                <w:sz w:val="22"/>
                <w:szCs w:val="22"/>
              </w:rPr>
            </w:pPr>
            <w:r w:rsidRPr="002767E1">
              <w:rPr>
                <w:sz w:val="22"/>
                <w:szCs w:val="22"/>
              </w:rPr>
              <w:t>Projekcija gubitaka električne energije s implementacijom naprednih mjernih uređaja i sustava za njihovo umrežavanje, u TWh</w:t>
            </w:r>
          </w:p>
        </w:tc>
      </w:tr>
      <w:tr w:rsidR="003A6303" w:rsidRPr="007B3810" w14:paraId="5911C83B" w14:textId="77777777" w:rsidTr="63259912">
        <w:trPr>
          <w:trHeight w:val="300"/>
        </w:trPr>
        <w:tc>
          <w:tcPr>
            <w:cnfStyle w:val="001000000000" w:firstRow="0" w:lastRow="0" w:firstColumn="1" w:lastColumn="0" w:oddVBand="0" w:evenVBand="0" w:oddHBand="0" w:evenHBand="0" w:firstRowFirstColumn="0" w:firstRowLastColumn="0" w:lastRowFirstColumn="0" w:lastRowLastColumn="0"/>
            <w:tcW w:w="1093" w:type="pct"/>
            <w:noWrap/>
            <w:tcMar>
              <w:left w:w="57" w:type="dxa"/>
              <w:right w:w="57" w:type="dxa"/>
            </w:tcMar>
            <w:vAlign w:val="center"/>
            <w:hideMark/>
          </w:tcPr>
          <w:p w14:paraId="0969A329" w14:textId="77777777" w:rsidR="00E870B5" w:rsidRPr="002767E1" w:rsidRDefault="00E870B5" w:rsidP="004623DD">
            <w:pPr>
              <w:rPr>
                <w:sz w:val="22"/>
                <w:szCs w:val="22"/>
              </w:rPr>
            </w:pPr>
          </w:p>
        </w:tc>
        <w:tc>
          <w:tcPr>
            <w:tcW w:w="353" w:type="pct"/>
            <w:noWrap/>
            <w:tcMar>
              <w:left w:w="57" w:type="dxa"/>
              <w:right w:w="57" w:type="dxa"/>
            </w:tcMar>
            <w:vAlign w:val="center"/>
            <w:hideMark/>
          </w:tcPr>
          <w:p w14:paraId="34A520D4" w14:textId="77777777" w:rsidR="00E870B5" w:rsidRPr="002767E1" w:rsidRDefault="00E870B5" w:rsidP="008A05D8">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2767E1">
              <w:rPr>
                <w:b/>
                <w:sz w:val="22"/>
                <w:szCs w:val="22"/>
              </w:rPr>
              <w:t>2021</w:t>
            </w:r>
          </w:p>
        </w:tc>
        <w:tc>
          <w:tcPr>
            <w:tcW w:w="380" w:type="pct"/>
            <w:noWrap/>
            <w:tcMar>
              <w:left w:w="57" w:type="dxa"/>
              <w:right w:w="57" w:type="dxa"/>
            </w:tcMar>
            <w:vAlign w:val="center"/>
            <w:hideMark/>
          </w:tcPr>
          <w:p w14:paraId="3DE9430D" w14:textId="77777777" w:rsidR="00E870B5" w:rsidRPr="002767E1" w:rsidRDefault="00E870B5" w:rsidP="008A05D8">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2767E1">
              <w:rPr>
                <w:b/>
                <w:sz w:val="22"/>
                <w:szCs w:val="22"/>
              </w:rPr>
              <w:t>2022</w:t>
            </w:r>
          </w:p>
        </w:tc>
        <w:tc>
          <w:tcPr>
            <w:tcW w:w="385" w:type="pct"/>
            <w:noWrap/>
            <w:tcMar>
              <w:left w:w="57" w:type="dxa"/>
              <w:right w:w="57" w:type="dxa"/>
            </w:tcMar>
            <w:vAlign w:val="center"/>
            <w:hideMark/>
          </w:tcPr>
          <w:p w14:paraId="38BE21FD" w14:textId="77777777" w:rsidR="00E870B5" w:rsidRPr="002767E1" w:rsidRDefault="00E870B5" w:rsidP="008A05D8">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2767E1">
              <w:rPr>
                <w:b/>
                <w:sz w:val="22"/>
                <w:szCs w:val="22"/>
              </w:rPr>
              <w:t>2023</w:t>
            </w:r>
          </w:p>
        </w:tc>
        <w:tc>
          <w:tcPr>
            <w:tcW w:w="389" w:type="pct"/>
            <w:noWrap/>
            <w:tcMar>
              <w:left w:w="57" w:type="dxa"/>
              <w:right w:w="57" w:type="dxa"/>
            </w:tcMar>
            <w:vAlign w:val="center"/>
            <w:hideMark/>
          </w:tcPr>
          <w:p w14:paraId="712ABFB3" w14:textId="77777777" w:rsidR="00E870B5" w:rsidRPr="002767E1" w:rsidRDefault="00E870B5" w:rsidP="008A05D8">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2767E1">
              <w:rPr>
                <w:b/>
                <w:sz w:val="22"/>
                <w:szCs w:val="22"/>
              </w:rPr>
              <w:t>2024</w:t>
            </w:r>
          </w:p>
        </w:tc>
        <w:tc>
          <w:tcPr>
            <w:tcW w:w="393" w:type="pct"/>
            <w:noWrap/>
            <w:tcMar>
              <w:left w:w="57" w:type="dxa"/>
              <w:right w:w="57" w:type="dxa"/>
            </w:tcMar>
            <w:vAlign w:val="center"/>
            <w:hideMark/>
          </w:tcPr>
          <w:p w14:paraId="1009193C" w14:textId="77777777" w:rsidR="00E870B5" w:rsidRPr="002767E1" w:rsidRDefault="00E870B5" w:rsidP="008A05D8">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2767E1">
              <w:rPr>
                <w:b/>
                <w:sz w:val="22"/>
                <w:szCs w:val="22"/>
              </w:rPr>
              <w:t>2025</w:t>
            </w:r>
          </w:p>
        </w:tc>
        <w:tc>
          <w:tcPr>
            <w:tcW w:w="395" w:type="pct"/>
            <w:noWrap/>
            <w:tcMar>
              <w:left w:w="57" w:type="dxa"/>
              <w:right w:w="57" w:type="dxa"/>
            </w:tcMar>
            <w:vAlign w:val="center"/>
            <w:hideMark/>
          </w:tcPr>
          <w:p w14:paraId="4819D928" w14:textId="77777777" w:rsidR="00E870B5" w:rsidRPr="002767E1" w:rsidRDefault="00E870B5" w:rsidP="008A05D8">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2767E1">
              <w:rPr>
                <w:b/>
                <w:sz w:val="22"/>
                <w:szCs w:val="22"/>
              </w:rPr>
              <w:t>2026</w:t>
            </w:r>
          </w:p>
        </w:tc>
        <w:tc>
          <w:tcPr>
            <w:tcW w:w="398" w:type="pct"/>
            <w:noWrap/>
            <w:tcMar>
              <w:left w:w="57" w:type="dxa"/>
              <w:right w:w="57" w:type="dxa"/>
            </w:tcMar>
            <w:vAlign w:val="center"/>
            <w:hideMark/>
          </w:tcPr>
          <w:p w14:paraId="22AC9C83" w14:textId="77777777" w:rsidR="00E870B5" w:rsidRPr="002767E1" w:rsidRDefault="00E870B5" w:rsidP="008A05D8">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2767E1">
              <w:rPr>
                <w:b/>
                <w:sz w:val="22"/>
                <w:szCs w:val="22"/>
              </w:rPr>
              <w:t>2027</w:t>
            </w:r>
          </w:p>
        </w:tc>
        <w:tc>
          <w:tcPr>
            <w:tcW w:w="402" w:type="pct"/>
            <w:noWrap/>
            <w:tcMar>
              <w:left w:w="57" w:type="dxa"/>
              <w:right w:w="57" w:type="dxa"/>
            </w:tcMar>
            <w:vAlign w:val="center"/>
            <w:hideMark/>
          </w:tcPr>
          <w:p w14:paraId="52FD2448" w14:textId="77777777" w:rsidR="00E870B5" w:rsidRPr="002767E1" w:rsidRDefault="00E870B5" w:rsidP="008A05D8">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2767E1">
              <w:rPr>
                <w:b/>
                <w:sz w:val="22"/>
                <w:szCs w:val="22"/>
              </w:rPr>
              <w:t>2028</w:t>
            </w:r>
          </w:p>
        </w:tc>
        <w:tc>
          <w:tcPr>
            <w:tcW w:w="405" w:type="pct"/>
            <w:noWrap/>
            <w:tcMar>
              <w:left w:w="57" w:type="dxa"/>
              <w:right w:w="57" w:type="dxa"/>
            </w:tcMar>
            <w:vAlign w:val="center"/>
            <w:hideMark/>
          </w:tcPr>
          <w:p w14:paraId="5465BE10" w14:textId="77777777" w:rsidR="00E870B5" w:rsidRPr="002767E1" w:rsidRDefault="00E870B5" w:rsidP="008A05D8">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2767E1">
              <w:rPr>
                <w:b/>
                <w:sz w:val="22"/>
                <w:szCs w:val="22"/>
              </w:rPr>
              <w:t>2029</w:t>
            </w:r>
          </w:p>
        </w:tc>
        <w:tc>
          <w:tcPr>
            <w:tcW w:w="408" w:type="pct"/>
            <w:noWrap/>
            <w:tcMar>
              <w:left w:w="57" w:type="dxa"/>
              <w:right w:w="57" w:type="dxa"/>
            </w:tcMar>
            <w:vAlign w:val="center"/>
            <w:hideMark/>
          </w:tcPr>
          <w:p w14:paraId="5E3958D5" w14:textId="77777777" w:rsidR="00E870B5" w:rsidRPr="002767E1" w:rsidRDefault="00E870B5" w:rsidP="008A05D8">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2767E1">
              <w:rPr>
                <w:b/>
                <w:sz w:val="22"/>
                <w:szCs w:val="22"/>
              </w:rPr>
              <w:t>2030</w:t>
            </w:r>
          </w:p>
        </w:tc>
      </w:tr>
      <w:tr w:rsidR="003A6303" w:rsidRPr="007B3810" w14:paraId="18102F5E" w14:textId="77777777" w:rsidTr="63259912">
        <w:trPr>
          <w:trHeight w:val="300"/>
        </w:trPr>
        <w:tc>
          <w:tcPr>
            <w:cnfStyle w:val="001000000000" w:firstRow="0" w:lastRow="0" w:firstColumn="1" w:lastColumn="0" w:oddVBand="0" w:evenVBand="0" w:oddHBand="0" w:evenHBand="0" w:firstRowFirstColumn="0" w:firstRowLastColumn="0" w:lastRowFirstColumn="0" w:lastRowLastColumn="0"/>
            <w:tcW w:w="1093" w:type="pct"/>
            <w:noWrap/>
            <w:tcMar>
              <w:left w:w="57" w:type="dxa"/>
              <w:right w:w="57" w:type="dxa"/>
            </w:tcMar>
            <w:vAlign w:val="center"/>
            <w:hideMark/>
          </w:tcPr>
          <w:p w14:paraId="1A3B6C02" w14:textId="77777777" w:rsidR="00E870B5" w:rsidRPr="002767E1" w:rsidRDefault="00E870B5" w:rsidP="004623DD">
            <w:pPr>
              <w:rPr>
                <w:sz w:val="22"/>
                <w:szCs w:val="22"/>
              </w:rPr>
            </w:pPr>
            <w:r w:rsidRPr="002767E1">
              <w:rPr>
                <w:sz w:val="22"/>
                <w:szCs w:val="22"/>
              </w:rPr>
              <w:t>Tehnički gubici</w:t>
            </w:r>
          </w:p>
        </w:tc>
        <w:tc>
          <w:tcPr>
            <w:tcW w:w="353" w:type="pct"/>
            <w:noWrap/>
            <w:tcMar>
              <w:left w:w="57" w:type="dxa"/>
              <w:right w:w="57" w:type="dxa"/>
            </w:tcMar>
            <w:vAlign w:val="center"/>
            <w:hideMark/>
          </w:tcPr>
          <w:p w14:paraId="74AB43C4"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0,658</w:t>
            </w:r>
          </w:p>
        </w:tc>
        <w:tc>
          <w:tcPr>
            <w:tcW w:w="380" w:type="pct"/>
            <w:noWrap/>
            <w:tcMar>
              <w:left w:w="57" w:type="dxa"/>
              <w:right w:w="57" w:type="dxa"/>
            </w:tcMar>
            <w:vAlign w:val="center"/>
            <w:hideMark/>
          </w:tcPr>
          <w:p w14:paraId="6953BB80"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0,662</w:t>
            </w:r>
          </w:p>
        </w:tc>
        <w:tc>
          <w:tcPr>
            <w:tcW w:w="385" w:type="pct"/>
            <w:noWrap/>
            <w:tcMar>
              <w:left w:w="57" w:type="dxa"/>
              <w:right w:w="57" w:type="dxa"/>
            </w:tcMar>
            <w:vAlign w:val="center"/>
            <w:hideMark/>
          </w:tcPr>
          <w:p w14:paraId="4C4CFCBC"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0,665</w:t>
            </w:r>
          </w:p>
        </w:tc>
        <w:tc>
          <w:tcPr>
            <w:tcW w:w="389" w:type="pct"/>
            <w:noWrap/>
            <w:tcMar>
              <w:left w:w="57" w:type="dxa"/>
              <w:right w:w="57" w:type="dxa"/>
            </w:tcMar>
            <w:vAlign w:val="center"/>
            <w:hideMark/>
          </w:tcPr>
          <w:p w14:paraId="40888CF7"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0,668</w:t>
            </w:r>
          </w:p>
        </w:tc>
        <w:tc>
          <w:tcPr>
            <w:tcW w:w="393" w:type="pct"/>
            <w:noWrap/>
            <w:tcMar>
              <w:left w:w="57" w:type="dxa"/>
              <w:right w:w="57" w:type="dxa"/>
            </w:tcMar>
            <w:vAlign w:val="center"/>
            <w:hideMark/>
          </w:tcPr>
          <w:p w14:paraId="5194C34F"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0,672</w:t>
            </w:r>
          </w:p>
        </w:tc>
        <w:tc>
          <w:tcPr>
            <w:tcW w:w="395" w:type="pct"/>
            <w:noWrap/>
            <w:tcMar>
              <w:left w:w="57" w:type="dxa"/>
              <w:right w:w="57" w:type="dxa"/>
            </w:tcMar>
            <w:vAlign w:val="center"/>
            <w:hideMark/>
          </w:tcPr>
          <w:p w14:paraId="531596E6"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0,675</w:t>
            </w:r>
          </w:p>
        </w:tc>
        <w:tc>
          <w:tcPr>
            <w:tcW w:w="398" w:type="pct"/>
            <w:noWrap/>
            <w:tcMar>
              <w:left w:w="57" w:type="dxa"/>
              <w:right w:w="57" w:type="dxa"/>
            </w:tcMar>
            <w:vAlign w:val="center"/>
            <w:hideMark/>
          </w:tcPr>
          <w:p w14:paraId="7E4AD04A"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0,678</w:t>
            </w:r>
          </w:p>
        </w:tc>
        <w:tc>
          <w:tcPr>
            <w:tcW w:w="402" w:type="pct"/>
            <w:noWrap/>
            <w:tcMar>
              <w:left w:w="57" w:type="dxa"/>
              <w:right w:w="57" w:type="dxa"/>
            </w:tcMar>
            <w:vAlign w:val="center"/>
            <w:hideMark/>
          </w:tcPr>
          <w:p w14:paraId="1725A5D0"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0,682</w:t>
            </w:r>
          </w:p>
        </w:tc>
        <w:tc>
          <w:tcPr>
            <w:tcW w:w="405" w:type="pct"/>
            <w:noWrap/>
            <w:tcMar>
              <w:left w:w="57" w:type="dxa"/>
              <w:right w:w="57" w:type="dxa"/>
            </w:tcMar>
            <w:vAlign w:val="center"/>
            <w:hideMark/>
          </w:tcPr>
          <w:p w14:paraId="1A56EB04"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0,685</w:t>
            </w:r>
          </w:p>
        </w:tc>
        <w:tc>
          <w:tcPr>
            <w:tcW w:w="408" w:type="pct"/>
            <w:noWrap/>
            <w:tcMar>
              <w:left w:w="57" w:type="dxa"/>
              <w:right w:w="57" w:type="dxa"/>
            </w:tcMar>
            <w:vAlign w:val="center"/>
            <w:hideMark/>
          </w:tcPr>
          <w:p w14:paraId="1382B2C0"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0,689</w:t>
            </w:r>
          </w:p>
        </w:tc>
      </w:tr>
      <w:tr w:rsidR="003A6303" w:rsidRPr="007B3810" w14:paraId="1996B8F8" w14:textId="77777777" w:rsidTr="63259912">
        <w:trPr>
          <w:trHeight w:val="300"/>
        </w:trPr>
        <w:tc>
          <w:tcPr>
            <w:cnfStyle w:val="001000000000" w:firstRow="0" w:lastRow="0" w:firstColumn="1" w:lastColumn="0" w:oddVBand="0" w:evenVBand="0" w:oddHBand="0" w:evenHBand="0" w:firstRowFirstColumn="0" w:firstRowLastColumn="0" w:lastRowFirstColumn="0" w:lastRowLastColumn="0"/>
            <w:tcW w:w="1093" w:type="pct"/>
            <w:noWrap/>
            <w:tcMar>
              <w:left w:w="57" w:type="dxa"/>
              <w:right w:w="57" w:type="dxa"/>
            </w:tcMar>
            <w:vAlign w:val="center"/>
            <w:hideMark/>
          </w:tcPr>
          <w:p w14:paraId="3FF5E4CB" w14:textId="77777777" w:rsidR="00E870B5" w:rsidRPr="002767E1" w:rsidRDefault="00E870B5" w:rsidP="63259912">
            <w:pPr>
              <w:rPr>
                <w:sz w:val="22"/>
                <w:szCs w:val="22"/>
              </w:rPr>
            </w:pPr>
            <w:r w:rsidRPr="63259912">
              <w:rPr>
                <w:sz w:val="22"/>
                <w:szCs w:val="22"/>
              </w:rPr>
              <w:t>Netehnički gubici</w:t>
            </w:r>
          </w:p>
        </w:tc>
        <w:tc>
          <w:tcPr>
            <w:tcW w:w="353" w:type="pct"/>
            <w:noWrap/>
            <w:tcMar>
              <w:left w:w="57" w:type="dxa"/>
              <w:right w:w="57" w:type="dxa"/>
            </w:tcMar>
            <w:vAlign w:val="center"/>
            <w:hideMark/>
          </w:tcPr>
          <w:p w14:paraId="575709B3"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0,496</w:t>
            </w:r>
          </w:p>
        </w:tc>
        <w:tc>
          <w:tcPr>
            <w:tcW w:w="380" w:type="pct"/>
            <w:noWrap/>
            <w:tcMar>
              <w:left w:w="57" w:type="dxa"/>
              <w:right w:w="57" w:type="dxa"/>
            </w:tcMar>
            <w:vAlign w:val="center"/>
            <w:hideMark/>
          </w:tcPr>
          <w:p w14:paraId="411BFC95"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0,467</w:t>
            </w:r>
          </w:p>
        </w:tc>
        <w:tc>
          <w:tcPr>
            <w:tcW w:w="385" w:type="pct"/>
            <w:noWrap/>
            <w:tcMar>
              <w:left w:w="57" w:type="dxa"/>
              <w:right w:w="57" w:type="dxa"/>
            </w:tcMar>
            <w:vAlign w:val="center"/>
            <w:hideMark/>
          </w:tcPr>
          <w:p w14:paraId="69B5B0D3"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0,438</w:t>
            </w:r>
          </w:p>
        </w:tc>
        <w:tc>
          <w:tcPr>
            <w:tcW w:w="389" w:type="pct"/>
            <w:noWrap/>
            <w:tcMar>
              <w:left w:w="57" w:type="dxa"/>
              <w:right w:w="57" w:type="dxa"/>
            </w:tcMar>
            <w:vAlign w:val="center"/>
            <w:hideMark/>
          </w:tcPr>
          <w:p w14:paraId="7A4D808A"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0,409</w:t>
            </w:r>
          </w:p>
        </w:tc>
        <w:tc>
          <w:tcPr>
            <w:tcW w:w="393" w:type="pct"/>
            <w:noWrap/>
            <w:tcMar>
              <w:left w:w="57" w:type="dxa"/>
              <w:right w:w="57" w:type="dxa"/>
            </w:tcMar>
            <w:vAlign w:val="center"/>
            <w:hideMark/>
          </w:tcPr>
          <w:p w14:paraId="0A4931EF"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0,379</w:t>
            </w:r>
          </w:p>
        </w:tc>
        <w:tc>
          <w:tcPr>
            <w:tcW w:w="395" w:type="pct"/>
            <w:noWrap/>
            <w:tcMar>
              <w:left w:w="57" w:type="dxa"/>
              <w:right w:w="57" w:type="dxa"/>
            </w:tcMar>
            <w:vAlign w:val="center"/>
            <w:hideMark/>
          </w:tcPr>
          <w:p w14:paraId="350D64C8"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0,350</w:t>
            </w:r>
          </w:p>
        </w:tc>
        <w:tc>
          <w:tcPr>
            <w:tcW w:w="398" w:type="pct"/>
            <w:noWrap/>
            <w:tcMar>
              <w:left w:w="57" w:type="dxa"/>
              <w:right w:w="57" w:type="dxa"/>
            </w:tcMar>
            <w:vAlign w:val="center"/>
            <w:hideMark/>
          </w:tcPr>
          <w:p w14:paraId="5DE02705"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0,321</w:t>
            </w:r>
          </w:p>
        </w:tc>
        <w:tc>
          <w:tcPr>
            <w:tcW w:w="402" w:type="pct"/>
            <w:noWrap/>
            <w:tcMar>
              <w:left w:w="57" w:type="dxa"/>
              <w:right w:w="57" w:type="dxa"/>
            </w:tcMar>
            <w:vAlign w:val="center"/>
            <w:hideMark/>
          </w:tcPr>
          <w:p w14:paraId="7B45C6E6"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0,321</w:t>
            </w:r>
          </w:p>
        </w:tc>
        <w:tc>
          <w:tcPr>
            <w:tcW w:w="405" w:type="pct"/>
            <w:noWrap/>
            <w:tcMar>
              <w:left w:w="57" w:type="dxa"/>
              <w:right w:w="57" w:type="dxa"/>
            </w:tcMar>
            <w:vAlign w:val="center"/>
            <w:hideMark/>
          </w:tcPr>
          <w:p w14:paraId="3EEC6ED3"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0,321</w:t>
            </w:r>
          </w:p>
        </w:tc>
        <w:tc>
          <w:tcPr>
            <w:tcW w:w="408" w:type="pct"/>
            <w:noWrap/>
            <w:tcMar>
              <w:left w:w="57" w:type="dxa"/>
              <w:right w:w="57" w:type="dxa"/>
            </w:tcMar>
            <w:vAlign w:val="center"/>
            <w:hideMark/>
          </w:tcPr>
          <w:p w14:paraId="0F646581"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0,321</w:t>
            </w:r>
          </w:p>
        </w:tc>
      </w:tr>
      <w:tr w:rsidR="003A6303" w:rsidRPr="007B3810" w14:paraId="5D1A95C8" w14:textId="77777777" w:rsidTr="63259912">
        <w:trPr>
          <w:trHeight w:val="300"/>
        </w:trPr>
        <w:tc>
          <w:tcPr>
            <w:cnfStyle w:val="001000000000" w:firstRow="0" w:lastRow="0" w:firstColumn="1" w:lastColumn="0" w:oddVBand="0" w:evenVBand="0" w:oddHBand="0" w:evenHBand="0" w:firstRowFirstColumn="0" w:firstRowLastColumn="0" w:lastRowFirstColumn="0" w:lastRowLastColumn="0"/>
            <w:tcW w:w="1093" w:type="pct"/>
            <w:noWrap/>
            <w:tcMar>
              <w:left w:w="57" w:type="dxa"/>
              <w:right w:w="57" w:type="dxa"/>
            </w:tcMar>
            <w:vAlign w:val="center"/>
            <w:hideMark/>
          </w:tcPr>
          <w:p w14:paraId="4642B0ED" w14:textId="77777777" w:rsidR="00E870B5" w:rsidRPr="002767E1" w:rsidRDefault="00E870B5" w:rsidP="004623DD">
            <w:pPr>
              <w:rPr>
                <w:sz w:val="22"/>
                <w:szCs w:val="22"/>
              </w:rPr>
            </w:pPr>
            <w:r w:rsidRPr="002767E1">
              <w:rPr>
                <w:sz w:val="22"/>
                <w:szCs w:val="22"/>
              </w:rPr>
              <w:t>Ukupni gubici</w:t>
            </w:r>
          </w:p>
        </w:tc>
        <w:tc>
          <w:tcPr>
            <w:tcW w:w="353" w:type="pct"/>
            <w:noWrap/>
            <w:tcMar>
              <w:left w:w="57" w:type="dxa"/>
              <w:right w:w="57" w:type="dxa"/>
            </w:tcMar>
            <w:vAlign w:val="center"/>
            <w:hideMark/>
          </w:tcPr>
          <w:p w14:paraId="078A3BBC"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1,154</w:t>
            </w:r>
          </w:p>
        </w:tc>
        <w:tc>
          <w:tcPr>
            <w:tcW w:w="380" w:type="pct"/>
            <w:noWrap/>
            <w:tcMar>
              <w:left w:w="57" w:type="dxa"/>
              <w:right w:w="57" w:type="dxa"/>
            </w:tcMar>
            <w:vAlign w:val="center"/>
            <w:hideMark/>
          </w:tcPr>
          <w:p w14:paraId="5D224149"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1,129</w:t>
            </w:r>
          </w:p>
        </w:tc>
        <w:tc>
          <w:tcPr>
            <w:tcW w:w="385" w:type="pct"/>
            <w:noWrap/>
            <w:tcMar>
              <w:left w:w="57" w:type="dxa"/>
              <w:right w:w="57" w:type="dxa"/>
            </w:tcMar>
            <w:vAlign w:val="center"/>
            <w:hideMark/>
          </w:tcPr>
          <w:p w14:paraId="062F6AE2"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1,103</w:t>
            </w:r>
          </w:p>
        </w:tc>
        <w:tc>
          <w:tcPr>
            <w:tcW w:w="389" w:type="pct"/>
            <w:noWrap/>
            <w:tcMar>
              <w:left w:w="57" w:type="dxa"/>
              <w:right w:w="57" w:type="dxa"/>
            </w:tcMar>
            <w:vAlign w:val="center"/>
            <w:hideMark/>
          </w:tcPr>
          <w:p w14:paraId="64242003"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1,077</w:t>
            </w:r>
          </w:p>
        </w:tc>
        <w:tc>
          <w:tcPr>
            <w:tcW w:w="393" w:type="pct"/>
            <w:noWrap/>
            <w:tcMar>
              <w:left w:w="57" w:type="dxa"/>
              <w:right w:w="57" w:type="dxa"/>
            </w:tcMar>
            <w:vAlign w:val="center"/>
            <w:hideMark/>
          </w:tcPr>
          <w:p w14:paraId="58ED10F8"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1,051</w:t>
            </w:r>
          </w:p>
        </w:tc>
        <w:tc>
          <w:tcPr>
            <w:tcW w:w="395" w:type="pct"/>
            <w:noWrap/>
            <w:tcMar>
              <w:left w:w="57" w:type="dxa"/>
              <w:right w:w="57" w:type="dxa"/>
            </w:tcMar>
            <w:vAlign w:val="center"/>
            <w:hideMark/>
          </w:tcPr>
          <w:p w14:paraId="19B0D9EE"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1,025</w:t>
            </w:r>
          </w:p>
        </w:tc>
        <w:tc>
          <w:tcPr>
            <w:tcW w:w="398" w:type="pct"/>
            <w:noWrap/>
            <w:tcMar>
              <w:left w:w="57" w:type="dxa"/>
              <w:right w:w="57" w:type="dxa"/>
            </w:tcMar>
            <w:vAlign w:val="center"/>
            <w:hideMark/>
          </w:tcPr>
          <w:p w14:paraId="30A53F27"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0,999</w:t>
            </w:r>
          </w:p>
        </w:tc>
        <w:tc>
          <w:tcPr>
            <w:tcW w:w="402" w:type="pct"/>
            <w:noWrap/>
            <w:tcMar>
              <w:left w:w="57" w:type="dxa"/>
              <w:right w:w="57" w:type="dxa"/>
            </w:tcMar>
            <w:vAlign w:val="center"/>
            <w:hideMark/>
          </w:tcPr>
          <w:p w14:paraId="4E747DC7"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1,003</w:t>
            </w:r>
          </w:p>
        </w:tc>
        <w:tc>
          <w:tcPr>
            <w:tcW w:w="405" w:type="pct"/>
            <w:noWrap/>
            <w:tcMar>
              <w:left w:w="57" w:type="dxa"/>
              <w:right w:w="57" w:type="dxa"/>
            </w:tcMar>
            <w:vAlign w:val="center"/>
            <w:hideMark/>
          </w:tcPr>
          <w:p w14:paraId="660A277D"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1,006</w:t>
            </w:r>
          </w:p>
        </w:tc>
        <w:tc>
          <w:tcPr>
            <w:tcW w:w="408" w:type="pct"/>
            <w:noWrap/>
            <w:tcMar>
              <w:left w:w="57" w:type="dxa"/>
              <w:right w:w="57" w:type="dxa"/>
            </w:tcMar>
            <w:vAlign w:val="center"/>
            <w:hideMark/>
          </w:tcPr>
          <w:p w14:paraId="2E99CB57" w14:textId="77777777" w:rsidR="00E870B5" w:rsidRPr="002767E1" w:rsidRDefault="00E870B5" w:rsidP="004623DD">
            <w:pPr>
              <w:cnfStyle w:val="000000000000" w:firstRow="0" w:lastRow="0" w:firstColumn="0" w:lastColumn="0" w:oddVBand="0" w:evenVBand="0" w:oddHBand="0" w:evenHBand="0" w:firstRowFirstColumn="0" w:firstRowLastColumn="0" w:lastRowFirstColumn="0" w:lastRowLastColumn="0"/>
              <w:rPr>
                <w:sz w:val="22"/>
                <w:szCs w:val="22"/>
              </w:rPr>
            </w:pPr>
            <w:r w:rsidRPr="002767E1">
              <w:rPr>
                <w:sz w:val="22"/>
                <w:szCs w:val="22"/>
              </w:rPr>
              <w:t>1,010</w:t>
            </w:r>
          </w:p>
        </w:tc>
      </w:tr>
    </w:tbl>
    <w:p w14:paraId="5FF0F6F1" w14:textId="534E61C1" w:rsidR="00E870B5" w:rsidRPr="00B47BDA" w:rsidRDefault="00E870B5" w:rsidP="003A6303">
      <w:pPr>
        <w:spacing w:before="120"/>
      </w:pPr>
      <w:r w:rsidRPr="63259912">
        <w:rPr>
          <w:rFonts w:eastAsia="Calibri"/>
        </w:rPr>
        <w:t>Kumulativne uštede energije u razdoblju 2021.-2030. 24,4 ktoe (284 GWh; 1,0 PJ); kumulativno smanjenje emisija CO</w:t>
      </w:r>
      <w:r w:rsidRPr="63259912">
        <w:rPr>
          <w:rFonts w:eastAsia="Calibri"/>
          <w:vertAlign w:val="subscript"/>
        </w:rPr>
        <w:t>2</w:t>
      </w:r>
      <w:r w:rsidRPr="63259912">
        <w:rPr>
          <w:rFonts w:eastAsia="Calibri"/>
        </w:rPr>
        <w:t xml:space="preserve"> u razdoblju 2021.-2030. 32,6 ktCO</w:t>
      </w:r>
      <w:r w:rsidRPr="63259912">
        <w:rPr>
          <w:rFonts w:eastAsia="Calibri"/>
          <w:vertAlign w:val="subscript"/>
        </w:rPr>
        <w:t>2e</w:t>
      </w:r>
      <w:r w:rsidR="003A6303" w:rsidRPr="63259912">
        <w:rPr>
          <w:rFonts w:eastAsia="Calibri"/>
          <w:vertAlign w:val="subscript"/>
        </w:rPr>
        <w:t>.</w:t>
      </w:r>
    </w:p>
    <w:p w14:paraId="3A3E5ADC" w14:textId="679B90FB" w:rsidR="00E870B5" w:rsidRPr="00B47BDA" w:rsidRDefault="00E870B5" w:rsidP="004623DD">
      <w:r w:rsidRPr="00B47BDA">
        <w:t>Procjena ušteda u cijelosti se temelji na pretpostavkama danim u Desetogodišnjem</w:t>
      </w:r>
      <w:r w:rsidR="00E223DA" w:rsidRPr="00B47BDA">
        <w:t xml:space="preserve"> </w:t>
      </w:r>
      <w:r w:rsidRPr="00B47BDA">
        <w:t>planu</w:t>
      </w:r>
      <w:r w:rsidR="00E223DA" w:rsidRPr="00B47BDA">
        <w:t xml:space="preserve"> </w:t>
      </w:r>
      <w:r w:rsidRPr="00B47BDA">
        <w:t>razvoja</w:t>
      </w:r>
      <w:r w:rsidR="00E223DA" w:rsidRPr="00B47BDA">
        <w:t xml:space="preserve"> </w:t>
      </w:r>
      <w:r w:rsidRPr="00B47BDA">
        <w:t>distribucijske</w:t>
      </w:r>
      <w:r w:rsidR="00E223DA" w:rsidRPr="00B47BDA">
        <w:t xml:space="preserve"> </w:t>
      </w:r>
      <w:r w:rsidRPr="00B47BDA">
        <w:t>mreže za razdoblje</w:t>
      </w:r>
      <w:r w:rsidR="00E223DA" w:rsidRPr="00B47BDA">
        <w:t xml:space="preserve"> </w:t>
      </w:r>
      <w:r w:rsidRPr="00B47BDA">
        <w:t>2019. – 2028. HEP</w:t>
      </w:r>
      <w:r w:rsidR="00E03F66" w:rsidRPr="00B47BDA">
        <w:t> </w:t>
      </w:r>
      <w:r w:rsidRPr="00B47BDA">
        <w:t>ODS-a.</w:t>
      </w:r>
    </w:p>
    <w:p w14:paraId="05308590" w14:textId="5615D542" w:rsidR="00E870B5" w:rsidRPr="00B47BDA" w:rsidRDefault="00E870B5" w:rsidP="004623DD">
      <w:r w:rsidRPr="00B47BDA">
        <w:rPr>
          <w:b/>
        </w:rPr>
        <w:t>Metoda praćenja:</w:t>
      </w:r>
      <w:r w:rsidRPr="00B47BDA">
        <w:t xml:space="preserve"> HEP</w:t>
      </w:r>
      <w:r w:rsidR="0093619B" w:rsidRPr="00B47BDA">
        <w:t> </w:t>
      </w:r>
      <w:r w:rsidRPr="00B47BDA">
        <w:t>ODS izrađuje bilancu za prethodnu godinu, u kojoj se posebno iskazuju gubici električne energije.</w:t>
      </w:r>
    </w:p>
    <w:p w14:paraId="31809E69" w14:textId="1478D248" w:rsidR="00E870B5" w:rsidRPr="00B47BDA" w:rsidRDefault="00E870B5" w:rsidP="004623DD">
      <w:r w:rsidRPr="00B47BDA">
        <w:rPr>
          <w:b/>
        </w:rPr>
        <w:t>Metoda praćenja:</w:t>
      </w:r>
      <w:r w:rsidRPr="00B47BDA">
        <w:t xml:space="preserve"> HEP</w:t>
      </w:r>
      <w:r w:rsidR="0093619B" w:rsidRPr="00B47BDA">
        <w:t> ODS</w:t>
      </w:r>
      <w:r w:rsidRPr="00B47BDA">
        <w:t xml:space="preserve"> izrađuje bilancu za prethodnu godinu, u kojoj se posebno iskazuju gubici električne energije.</w:t>
      </w:r>
    </w:p>
    <w:p w14:paraId="45D05E66" w14:textId="21C47BD2" w:rsidR="50AC7E63" w:rsidRPr="00DD7681" w:rsidRDefault="00E870B5" w:rsidP="63259912">
      <w:pPr>
        <w:rPr>
          <w:rFonts w:eastAsia="Calibri"/>
        </w:rPr>
      </w:pPr>
      <w:r w:rsidRPr="63259912">
        <w:rPr>
          <w:b/>
          <w:bCs/>
        </w:rPr>
        <w:t xml:space="preserve">Povezanost s drugim dimenzijama: </w:t>
      </w:r>
      <w:r w:rsidRPr="63259912">
        <w:t>Ulaganja u distribucijsku mrežu izravno utječu na dimenzije energetska sigurnost i unutarnje energetsko tržište, a smanjenjem gubitaka ostvaruju se i ciljevi dekarbonizacije. Napredna mjerenja osnažuju ulogu kupca na energetskom tržištu.</w:t>
      </w:r>
      <w:r w:rsidR="00622DB1" w:rsidRPr="63259912">
        <w:t xml:space="preserve"> </w:t>
      </w:r>
    </w:p>
    <w:p w14:paraId="6AE9F0D4" w14:textId="36E71200" w:rsidR="005D1E67" w:rsidRPr="00225107" w:rsidRDefault="00E870B5" w:rsidP="004623DD">
      <w:pPr>
        <w:rPr>
          <w:rFonts w:eastAsia="Calibri"/>
        </w:rPr>
      </w:pPr>
      <w:r w:rsidRPr="00B47BDA">
        <w:rPr>
          <w:b/>
        </w:rPr>
        <w:t>Istraživanje i razvoj</w:t>
      </w:r>
      <w:r w:rsidRPr="00B47BDA">
        <w:t xml:space="preserve">: mjera za sobom povlači istraživanje i razvoj </w:t>
      </w:r>
      <w:r w:rsidRPr="00B47BDA">
        <w:rPr>
          <w:rFonts w:eastAsia="Calibri"/>
        </w:rPr>
        <w:t>razvojem novih i energetski učinkovitijih tehnologija vezanih uz distribucijski sustav (elektroenergetska oprema), njegovo vođenje (informacijsko-komunikacijske tehnologije za napredne mreže i napredno mjerenje).</w:t>
      </w:r>
    </w:p>
    <w:p w14:paraId="0D77254D" w14:textId="0CCEE478" w:rsidR="00E870B5" w:rsidRPr="00B47BDA" w:rsidRDefault="00184324" w:rsidP="63259912">
      <w:pPr>
        <w:pStyle w:val="Mjeranaslov"/>
      </w:pPr>
      <w:r w:rsidRPr="63259912">
        <w:lastRenderedPageBreak/>
        <w:t>ENU-1</w:t>
      </w:r>
      <w:r w:rsidR="002C786C" w:rsidRPr="63259912">
        <w:t>5</w:t>
      </w:r>
      <w:r w:rsidR="00C70AEA" w:rsidRPr="63259912">
        <w:t xml:space="preserve"> Povećanje učinkovitosti sustava toplinarstva</w:t>
      </w:r>
    </w:p>
    <w:p w14:paraId="2E3BA032" w14:textId="77777777" w:rsidR="00EC160F" w:rsidRPr="00B47BDA" w:rsidRDefault="00EC160F" w:rsidP="004623DD">
      <w:pPr>
        <w:pStyle w:val="NormalWeb"/>
      </w:pPr>
      <w:r w:rsidRPr="00B47BDA">
        <w:t xml:space="preserve">Financijska i organizacijska mjera; provedba 2021.-2030. </w:t>
      </w:r>
    </w:p>
    <w:p w14:paraId="271E5F4C" w14:textId="6C1F8D0C" w:rsidR="00EC160F" w:rsidRPr="00B47BDA" w:rsidRDefault="00EC160F" w:rsidP="004623DD">
      <w:r w:rsidRPr="63259912">
        <w:rPr>
          <w:b/>
          <w:bCs/>
        </w:rPr>
        <w:t>Cilj i opis mjere:</w:t>
      </w:r>
      <w:r w:rsidRPr="63259912">
        <w:t xml:space="preserve"> U postojećim velikim centraliziranim toplinskim sustavima veliki izvor gubitaka je dotrajala </w:t>
      </w:r>
      <w:r w:rsidR="00F04E3B" w:rsidRPr="63259912">
        <w:t xml:space="preserve">distribucijska </w:t>
      </w:r>
      <w:r w:rsidRPr="63259912">
        <w:t>mreža te se ovom mjerom predviđa nastavak zamjene vrelovoda i parovoda s dotrajalom izolacijom čeličnih cjevovoda novim predizoliranim cijevima</w:t>
      </w:r>
      <w:r w:rsidR="00F04E3B" w:rsidRPr="63259912">
        <w:t xml:space="preserve"> i tehnološki pomak k četvrtoj generaciji daljinskog grijanja. U manjim sustavima s vlastitim kotlovnicama potrebno je omogućiti rekonstrukciju kotlovnica</w:t>
      </w:r>
      <w:r w:rsidR="00FB35C4" w:rsidRPr="63259912">
        <w:t>,</w:t>
      </w:r>
      <w:r w:rsidR="00F04E3B" w:rsidRPr="63259912">
        <w:t xml:space="preserve"> poglavito zamjenom visokoučinkovitim kogeneracijskim sustavima ili sustavima koji koriste dizalice topline. Mjera također predviđa i razvoj novih sustava grijanja i hlađenja, koji koriste visokoučinkovitu kogeneraciju ili obnovljive izvore energije. S obzirom na odredbe </w:t>
      </w:r>
      <w:r w:rsidR="0088427A" w:rsidRPr="63259912">
        <w:t>Direktive 2018/2002</w:t>
      </w:r>
      <w:r w:rsidR="007201EC" w:rsidRPr="63259912">
        <w:t xml:space="preserve"> o energetskoj učinkovitosti</w:t>
      </w:r>
      <w:r w:rsidR="0088427A" w:rsidRPr="63259912">
        <w:t>,</w:t>
      </w:r>
      <w:r w:rsidR="00F04E3B" w:rsidRPr="63259912">
        <w:t xml:space="preserve"> a posebice s uvođenjem obaveze individualnog mjerenja na razini krajnjeg potrošača, sustavi daljinskog grijanja su postali sustavi s promjenjivom potražnjom za toplinskom energijom što zaht</w:t>
      </w:r>
      <w:r w:rsidR="00FB35C4" w:rsidRPr="63259912">
        <w:t>i</w:t>
      </w:r>
      <w:r w:rsidR="00F04E3B" w:rsidRPr="63259912">
        <w:t xml:space="preserve">jeva </w:t>
      </w:r>
      <w:r w:rsidR="00160C6B" w:rsidRPr="63259912">
        <w:t>uvođenje</w:t>
      </w:r>
      <w:r w:rsidR="00F04E3B" w:rsidRPr="63259912">
        <w:t xml:space="preserve"> sustav</w:t>
      </w:r>
      <w:r w:rsidR="00160C6B" w:rsidRPr="63259912">
        <w:t>a</w:t>
      </w:r>
      <w:r w:rsidR="00F04E3B" w:rsidRPr="63259912">
        <w:t xml:space="preserve"> </w:t>
      </w:r>
      <w:r w:rsidR="00FB35C4" w:rsidRPr="63259912">
        <w:t>naprednog</w:t>
      </w:r>
      <w:r w:rsidR="00F04E3B" w:rsidRPr="63259912">
        <w:t xml:space="preserve"> mjerenja kao dodat</w:t>
      </w:r>
      <w:r w:rsidR="00160C6B" w:rsidRPr="63259912">
        <w:t>an</w:t>
      </w:r>
      <w:r w:rsidR="00F04E3B" w:rsidRPr="63259912">
        <w:t xml:space="preserve"> korak integraciji različitih energetskih sustava i povećanju ukupne energetske učinkovi</w:t>
      </w:r>
      <w:r w:rsidR="007E5C17" w:rsidRPr="63259912">
        <w:t>to</w:t>
      </w:r>
      <w:r w:rsidR="00F04E3B" w:rsidRPr="63259912">
        <w:t>sti</w:t>
      </w:r>
      <w:r w:rsidRPr="63259912">
        <w:t>.</w:t>
      </w:r>
    </w:p>
    <w:p w14:paraId="0E0763B2" w14:textId="77777777" w:rsidR="00EC160F" w:rsidRPr="00B47BDA" w:rsidRDefault="00EC160F" w:rsidP="004623DD">
      <w:r w:rsidRPr="00B47BDA">
        <w:rPr>
          <w:b/>
        </w:rPr>
        <w:t>Aktivnosti:</w:t>
      </w:r>
      <w:r w:rsidRPr="00B47BDA">
        <w:t xml:space="preserve"> U okviru mjere provest će se sljedeće aktivnosti: </w:t>
      </w:r>
    </w:p>
    <w:p w14:paraId="4C8868F9" w14:textId="2A48C224" w:rsidR="00EC160F" w:rsidRPr="00B47BDA" w:rsidRDefault="00EC160F" w:rsidP="00B66BE1">
      <w:pPr>
        <w:pStyle w:val="ListParagraph"/>
        <w:numPr>
          <w:ilvl w:val="0"/>
          <w:numId w:val="44"/>
        </w:numPr>
        <w:spacing w:after="60"/>
        <w:ind w:left="714" w:hanging="357"/>
        <w:rPr>
          <w:rFonts w:eastAsia="Calibri"/>
        </w:rPr>
      </w:pPr>
      <w:r w:rsidRPr="00B47BDA">
        <w:rPr>
          <w:rFonts w:eastAsia="Calibri"/>
        </w:rPr>
        <w:t>Priprema dokumentacije za zamjenu dotrajalih distribu</w:t>
      </w:r>
      <w:r w:rsidR="00D52610" w:rsidRPr="00B47BDA">
        <w:rPr>
          <w:rFonts w:eastAsia="Calibri"/>
        </w:rPr>
        <w:t>cijsk</w:t>
      </w:r>
      <w:r w:rsidRPr="00B47BDA">
        <w:rPr>
          <w:rFonts w:eastAsia="Calibri"/>
        </w:rPr>
        <w:t>ih sustava</w:t>
      </w:r>
    </w:p>
    <w:p w14:paraId="282FF2F9" w14:textId="0548B02D" w:rsidR="00BC276F" w:rsidRPr="00B47BDA" w:rsidRDefault="00EC160F" w:rsidP="63259912">
      <w:pPr>
        <w:pStyle w:val="ListParagraph"/>
        <w:numPr>
          <w:ilvl w:val="0"/>
          <w:numId w:val="44"/>
        </w:numPr>
        <w:spacing w:after="60"/>
        <w:ind w:left="714" w:hanging="357"/>
        <w:rPr>
          <w:rFonts w:eastAsia="Calibri"/>
        </w:rPr>
      </w:pPr>
      <w:r w:rsidRPr="63259912">
        <w:rPr>
          <w:rFonts w:eastAsia="Calibri"/>
        </w:rPr>
        <w:t xml:space="preserve">Zamjena </w:t>
      </w:r>
      <w:r w:rsidR="00D52610" w:rsidRPr="63259912">
        <w:rPr>
          <w:rFonts w:eastAsia="Calibri"/>
        </w:rPr>
        <w:t>distribucijskih sustava</w:t>
      </w:r>
      <w:r w:rsidRPr="63259912">
        <w:rPr>
          <w:rFonts w:eastAsia="Calibri"/>
        </w:rPr>
        <w:t xml:space="preserve"> s dotrajalom izolacijom čeličnih cjevovoda novim predizoliranim cijevima </w:t>
      </w:r>
    </w:p>
    <w:p w14:paraId="5288FE1E" w14:textId="631756D9" w:rsidR="00EC160F" w:rsidRPr="007B3810" w:rsidRDefault="007549F8" w:rsidP="00B66BE1">
      <w:pPr>
        <w:pStyle w:val="ListParagraph"/>
        <w:numPr>
          <w:ilvl w:val="0"/>
          <w:numId w:val="44"/>
        </w:numPr>
        <w:spacing w:after="60"/>
        <w:ind w:left="714" w:hanging="357"/>
        <w:rPr>
          <w:rFonts w:eastAsia="Calibri"/>
        </w:rPr>
      </w:pPr>
      <w:r w:rsidRPr="00B47BDA">
        <w:rPr>
          <w:rFonts w:eastAsia="Calibri"/>
        </w:rPr>
        <w:t>Uvođenje naprednog mjerenja potrošnje</w:t>
      </w:r>
    </w:p>
    <w:p w14:paraId="6C899F8F" w14:textId="77777777" w:rsidR="00EC160F" w:rsidRPr="00B47BDA" w:rsidRDefault="00EC160F" w:rsidP="004623DD">
      <w:pPr>
        <w:rPr>
          <w:b/>
        </w:rPr>
      </w:pPr>
      <w:r w:rsidRPr="00B47BDA">
        <w:rPr>
          <w:b/>
        </w:rPr>
        <w:t xml:space="preserve">Sredstva potrebna za provedbu: </w:t>
      </w:r>
      <w:r w:rsidRPr="00B47BDA">
        <w:t>Procjena sredstava tek se treba napraviti prema planovima operatora CTS-a</w:t>
      </w:r>
    </w:p>
    <w:p w14:paraId="76BB28E8" w14:textId="15942B17" w:rsidR="00EC160F" w:rsidRPr="00B47BDA" w:rsidRDefault="00EC160F" w:rsidP="004623DD">
      <w:pPr>
        <w:rPr>
          <w:rFonts w:eastAsia="Calibri"/>
        </w:rPr>
      </w:pPr>
      <w:r w:rsidRPr="00B47BDA">
        <w:rPr>
          <w:b/>
        </w:rPr>
        <w:t xml:space="preserve">Izvori financiranja: </w:t>
      </w:r>
      <w:r w:rsidRPr="00B47BDA">
        <w:t xml:space="preserve">Operatori CTS-a, </w:t>
      </w:r>
      <w:r w:rsidR="009361CA">
        <w:t>EU</w:t>
      </w:r>
      <w:r w:rsidR="009361CA" w:rsidRPr="00B47BDA">
        <w:t xml:space="preserve"> </w:t>
      </w:r>
      <w:r w:rsidRPr="00B47BDA">
        <w:t>fondovi</w:t>
      </w:r>
    </w:p>
    <w:p w14:paraId="051D4525" w14:textId="0B5E5C17" w:rsidR="00EC160F" w:rsidRPr="00B47BDA" w:rsidRDefault="00EC160F" w:rsidP="004623DD">
      <w:r w:rsidRPr="00B47BDA">
        <w:rPr>
          <w:b/>
        </w:rPr>
        <w:t>Izvršno tijelo:</w:t>
      </w:r>
      <w:r w:rsidRPr="00B47BDA">
        <w:t xml:space="preserve"> Proizvođači, distributeri i opskrbljivači toplinskom energijom iz CTS-a</w:t>
      </w:r>
    </w:p>
    <w:p w14:paraId="4EF24F78" w14:textId="7045BBC3" w:rsidR="00EC160F" w:rsidRPr="00B47BDA" w:rsidRDefault="00EC160F" w:rsidP="004623DD">
      <w:pPr>
        <w:rPr>
          <w:rFonts w:eastAsia="Calibri"/>
        </w:rPr>
      </w:pPr>
      <w:r w:rsidRPr="007B3810">
        <w:rPr>
          <w:b/>
          <w:bCs/>
        </w:rPr>
        <w:t>Tijela za praćenje:</w:t>
      </w:r>
      <w:r w:rsidRPr="00B47BDA">
        <w:t xml:space="preserve"> M</w:t>
      </w:r>
      <w:r w:rsidR="0086358F" w:rsidRPr="00B47BDA">
        <w:t>INGO</w:t>
      </w:r>
      <w:r w:rsidRPr="00B47BDA">
        <w:t>-NKT</w:t>
      </w:r>
    </w:p>
    <w:p w14:paraId="40DF7CD2" w14:textId="77777777" w:rsidR="00EC160F" w:rsidRPr="00B47BDA" w:rsidRDefault="00EC160F" w:rsidP="004623DD">
      <w:r w:rsidRPr="00B47BDA">
        <w:rPr>
          <w:b/>
        </w:rPr>
        <w:t xml:space="preserve">Učinak: </w:t>
      </w:r>
      <w:r w:rsidRPr="00B47BDA">
        <w:t>Smanjenje gubitaka u CTS-ima</w:t>
      </w:r>
    </w:p>
    <w:p w14:paraId="58C4500A" w14:textId="3DFFA7DC" w:rsidR="00EC160F" w:rsidRPr="00B47BDA" w:rsidRDefault="00EC160F" w:rsidP="004623DD">
      <w:r w:rsidRPr="00B47BDA">
        <w:rPr>
          <w:b/>
        </w:rPr>
        <w:t>Metoda praćenja:</w:t>
      </w:r>
      <w:r w:rsidRPr="00B47BDA">
        <w:t xml:space="preserve"> Praćenje učinaka ove mjere ostvaruje se </w:t>
      </w:r>
      <w:r w:rsidR="00CE5980" w:rsidRPr="00B47BDA">
        <w:t xml:space="preserve">na temelju </w:t>
      </w:r>
      <w:r w:rsidRPr="00B47BDA">
        <w:t xml:space="preserve">podataka distributera toplinske energije o gubitcima prije i poslije primjene mjera. </w:t>
      </w:r>
    </w:p>
    <w:p w14:paraId="7E3F81F8" w14:textId="2F33AB4E" w:rsidR="00EC160F" w:rsidRPr="00B47BDA" w:rsidRDefault="00EC160F" w:rsidP="63259912">
      <w:pPr>
        <w:rPr>
          <w:rFonts w:eastAsia="Calibri"/>
        </w:rPr>
      </w:pPr>
      <w:r w:rsidRPr="63259912">
        <w:rPr>
          <w:b/>
          <w:bCs/>
        </w:rPr>
        <w:t xml:space="preserve">Povezanost s drugim dimenzijama: </w:t>
      </w:r>
      <w:r w:rsidR="007725AE" w:rsidRPr="63259912">
        <w:t>D</w:t>
      </w:r>
      <w:r w:rsidRPr="63259912">
        <w:t>ekarbonizacij</w:t>
      </w:r>
      <w:r w:rsidR="00DB3CA4" w:rsidRPr="63259912">
        <w:t>a, energetska sigurnost,</w:t>
      </w:r>
      <w:r w:rsidR="009B74C9" w:rsidRPr="63259912">
        <w:t xml:space="preserve"> </w:t>
      </w:r>
      <w:r w:rsidR="007725AE" w:rsidRPr="63259912">
        <w:t xml:space="preserve">unutarnje </w:t>
      </w:r>
      <w:r w:rsidR="009B74C9" w:rsidRPr="63259912">
        <w:t>energetsk</w:t>
      </w:r>
      <w:r w:rsidR="007725AE" w:rsidRPr="63259912">
        <w:t>o</w:t>
      </w:r>
      <w:r w:rsidR="009B74C9" w:rsidRPr="63259912">
        <w:t xml:space="preserve"> tržišt</w:t>
      </w:r>
      <w:r w:rsidR="007725AE" w:rsidRPr="63259912">
        <w:t>e.</w:t>
      </w:r>
    </w:p>
    <w:p w14:paraId="2BA58BBF" w14:textId="0A54D245" w:rsidR="00D44749" w:rsidRDefault="00EC160F" w:rsidP="004623DD">
      <w:r w:rsidRPr="00B47BDA">
        <w:rPr>
          <w:b/>
        </w:rPr>
        <w:t>Istraživanje i razvoj</w:t>
      </w:r>
      <w:r w:rsidRPr="00B47BDA">
        <w:t xml:space="preserve">: </w:t>
      </w:r>
      <w:r w:rsidR="00351FA5" w:rsidRPr="00B47BDA">
        <w:t xml:space="preserve">Tranzicija k četvrtoj i petoj generaciji </w:t>
      </w:r>
      <w:r w:rsidR="001B5FDF" w:rsidRPr="00B47BDA">
        <w:t>daljinskog grijanja i hlađenja; pohrana energije; fleksibilnost energetskih sustava</w:t>
      </w:r>
      <w:r w:rsidR="001579A0">
        <w:t>.</w:t>
      </w:r>
    </w:p>
    <w:p w14:paraId="7D6EB16E" w14:textId="339E7FC5" w:rsidR="00C3208A" w:rsidRDefault="00C3208A">
      <w:pPr>
        <w:spacing w:after="0"/>
        <w:jc w:val="left"/>
      </w:pPr>
      <w:r>
        <w:br w:type="page"/>
      </w:r>
    </w:p>
    <w:p w14:paraId="6C3FC056" w14:textId="618717F1" w:rsidR="00B57716" w:rsidRPr="00B47BDA" w:rsidRDefault="00184324" w:rsidP="007B3810">
      <w:pPr>
        <w:pStyle w:val="Mjeranaslov"/>
      </w:pPr>
      <w:r w:rsidRPr="00B47BDA">
        <w:lastRenderedPageBreak/>
        <w:t>ENU-1</w:t>
      </w:r>
      <w:r w:rsidR="002C786C" w:rsidRPr="00B47BDA">
        <w:t>6</w:t>
      </w:r>
      <w:r w:rsidR="00B57716" w:rsidRPr="00B47BDA">
        <w:t xml:space="preserve"> Povećanje učinkovitosti plinskog sustava </w:t>
      </w:r>
    </w:p>
    <w:p w14:paraId="64C29F52" w14:textId="77777777" w:rsidR="00B57716" w:rsidRPr="00B47BDA" w:rsidRDefault="00B57716" w:rsidP="004623DD">
      <w:pPr>
        <w:pStyle w:val="NormalWeb"/>
      </w:pPr>
      <w:r w:rsidRPr="00B47BDA">
        <w:t xml:space="preserve">Financijska i organizacijska mjera; provedba 2021.-2030. </w:t>
      </w:r>
    </w:p>
    <w:p w14:paraId="154455D7" w14:textId="77777777" w:rsidR="00B13CC5" w:rsidRPr="00B47BDA" w:rsidRDefault="00B13CC5" w:rsidP="004623DD">
      <w:pPr>
        <w:pStyle w:val="NormalWeb"/>
      </w:pPr>
      <w:r w:rsidRPr="63259912">
        <w:rPr>
          <w:b/>
          <w:bCs/>
        </w:rPr>
        <w:t>Cilj i opis mjere:</w:t>
      </w:r>
      <w:r w:rsidRPr="63259912">
        <w:t xml:space="preserve"> Potencijal za povećanje energetske učinkovitosti transportnog plinskog sustava najveći je u potrošnji prirodnog plina, koji se najvećim dijelom (70%) troši za predgrijavanje prirodnog plina prije isporuke korisnicima, a samo manjim dijelom (30%) za grijanje poslovnih prostorija i različita tehnološka rasterećenja, odnosno ispuhivanje sustava. Plinacro će u narednom razdoblju provoditi aktivnosti za poboljšanje energetske učinkovitosti sukladno Desetogodišnjem planu razvoja plinskog transportnog sustava RH 2021.-2030.</w:t>
      </w:r>
    </w:p>
    <w:p w14:paraId="799DE694" w14:textId="77777777" w:rsidR="00B13CC5" w:rsidRPr="00B47BDA" w:rsidRDefault="00B13CC5" w:rsidP="004623DD">
      <w:pPr>
        <w:pStyle w:val="NormalWeb"/>
      </w:pPr>
      <w:r w:rsidRPr="00B47BDA">
        <w:rPr>
          <w:b/>
        </w:rPr>
        <w:t>Aktivnosti:</w:t>
      </w:r>
      <w:r w:rsidRPr="00B47BDA">
        <w:t xml:space="preserve"> U okviru mjere provest će se sljedeće aktivnosti: </w:t>
      </w:r>
    </w:p>
    <w:p w14:paraId="39A3B4ED" w14:textId="6E9FA865" w:rsidR="00B13CC5" w:rsidRPr="00B47BDA" w:rsidRDefault="00B13CC5" w:rsidP="63259912">
      <w:pPr>
        <w:pStyle w:val="NormalWeb"/>
        <w:numPr>
          <w:ilvl w:val="0"/>
          <w:numId w:val="47"/>
        </w:numPr>
      </w:pPr>
      <w:r w:rsidRPr="63259912">
        <w:t>Redukcija tlaka, s tlaka transportnog sustava na tlak isporuke korisnicima uzrokuje značajno pothlađivanje prirodnog plina, koje je neprihvatljivo iz tehničkih i sigurnosnih razloga, a slijedom toga i komercijalnih. Ovo se predgrijavanje obavlja na mjerno-redukcijskim stanicama i mjerno-redukcijskim čvorovima putem plinskih kotlovnica i pripadajućih izmjenjivača topline te grijaćih kabela. S obzirom da su sustavi za predgrijavanje na većem dijelu mjerno-redukcijskih stanica u prethodnom razdoblju zamijenjeni onima novije i učinkovitije izvedbe, njihova energetska učinkovitost nastoji se održati redovitim održavanjem, a po potrebi i njihovom zamjenom novim sustavima najveće energetske učinkovitosti. U sljedećem razdoblju Plinacro će nastaviti sa sustavnom zamjenom opreme na kotlovnicama (kotlovi, plamenici, sustav upravljanja radom kotlovnice)</w:t>
      </w:r>
      <w:r w:rsidR="0043331E" w:rsidRPr="63259912">
        <w:t>.</w:t>
      </w:r>
    </w:p>
    <w:p w14:paraId="5860B6FF" w14:textId="75026C7C" w:rsidR="00B13CC5" w:rsidRPr="00B47BDA" w:rsidRDefault="00B13CC5" w:rsidP="00A563AA">
      <w:pPr>
        <w:pStyle w:val="NormalWeb"/>
        <w:numPr>
          <w:ilvl w:val="0"/>
          <w:numId w:val="47"/>
        </w:numPr>
      </w:pPr>
      <w:r w:rsidRPr="63259912">
        <w:t>Jedna od mjera, koja je već provedena na nekoliko objekata, je smanjenje temperature predgrijavanja izlaznog plina s dosadašnjih 15°C na 12°C, čime se ostvaruju dodatne uštede. U razdoblju od 2016. do 2019. godine, potrošnja prirodnog plina za predgrijavanje smanjena je za 16 %. Međutim, navedeno smanjenje temperature moći će se ostvariti samo na onim objektima gdje smanjena temperatura izlaznog plina neće imati utjecaja na sigurnost isporuke plina i na kupce plina</w:t>
      </w:r>
      <w:r w:rsidR="0043331E" w:rsidRPr="63259912">
        <w:t>.</w:t>
      </w:r>
    </w:p>
    <w:p w14:paraId="115938BE" w14:textId="77777777" w:rsidR="00B13CC5" w:rsidRPr="00B47BDA" w:rsidRDefault="00B13CC5" w:rsidP="00A563AA">
      <w:pPr>
        <w:pStyle w:val="NormalWeb"/>
        <w:numPr>
          <w:ilvl w:val="0"/>
          <w:numId w:val="47"/>
        </w:numPr>
      </w:pPr>
      <w:r w:rsidRPr="63259912">
        <w:t xml:space="preserve">Prostor za povećanje energetske učinkovitosti postoji i u optimalnom vođenju plinskog transportnog sustava u vezi s tlakovima u sustavu, jer manji tlak transportnog sustava znači manju redukciju plina za korisnika i njegovo manje predgrijavanje, a time i manju potrošnju energije, odnosno plina. Naravno, te su mogućnosti u ovom trenutku ograničene zbog sadašnjih tehničkih značajki plinskog transportnog sustava, uvjeta preuzimanja domaćeg plina i plina iz uvoza te njegove isporuke korisnicima. Međutim, daljnjim razvojem plinskog transportnog sustava, prije svega kompresorskih stanica koje su nužne, ali koje će biti značajan potrošač pogonske energije, optimalnom pogonu i vođenju sustava morat će se posvetiti velika pozornost. Kod održavanja sustava treba poduzeti sve mjere da se tehnološka ispuštanja plina svedu na minimum. </w:t>
      </w:r>
    </w:p>
    <w:p w14:paraId="26E29E47" w14:textId="77777777" w:rsidR="00B57716" w:rsidRPr="00B47BDA" w:rsidRDefault="00B57716" w:rsidP="00A563AA">
      <w:pPr>
        <w:pStyle w:val="NormalWeb"/>
        <w:numPr>
          <w:ilvl w:val="0"/>
          <w:numId w:val="47"/>
        </w:numPr>
      </w:pPr>
      <w:r w:rsidRPr="00B47BDA">
        <w:t>Električna energija se u plinskom transportnom sustavu koristi za pogon električnih uređaja, katodnu zaštitu i, naravno, za rasvjetu. Iako je njezin udjel u energetskoj potrošnji plinskog transportnog sustava značajno manji od potrošnje prirodnog plina, redovnim održavanjem i (po potrebi) zamjenom neučinkovitih trošila učinkovitim će se smanjiti njezina potrošnja.</w:t>
      </w:r>
    </w:p>
    <w:p w14:paraId="3AB36222" w14:textId="77777777" w:rsidR="00B13CC5" w:rsidRPr="00B47BDA" w:rsidRDefault="00B13CC5" w:rsidP="004623DD">
      <w:pPr>
        <w:pStyle w:val="NormalWeb"/>
        <w:rPr>
          <w:rFonts w:eastAsiaTheme="minorHAnsi"/>
        </w:rPr>
      </w:pPr>
      <w:r w:rsidRPr="007B3810">
        <w:rPr>
          <w:b/>
          <w:bCs/>
        </w:rPr>
        <w:lastRenderedPageBreak/>
        <w:t>Izvori financiranja:</w:t>
      </w:r>
      <w:r w:rsidRPr="00B47BDA">
        <w:t xml:space="preserve"> Plinacro</w:t>
      </w:r>
    </w:p>
    <w:p w14:paraId="3DFC2DE1" w14:textId="77777777" w:rsidR="00B57716" w:rsidRPr="00B47BDA" w:rsidRDefault="00B57716" w:rsidP="004623DD">
      <w:pPr>
        <w:pStyle w:val="NormalWeb"/>
      </w:pPr>
      <w:r w:rsidRPr="007B3810">
        <w:rPr>
          <w:b/>
          <w:bCs/>
        </w:rPr>
        <w:t>Izvršno tijelo:</w:t>
      </w:r>
      <w:r w:rsidRPr="00B47BDA">
        <w:t xml:space="preserve"> Plinacro</w:t>
      </w:r>
    </w:p>
    <w:p w14:paraId="4FA0E360" w14:textId="3E4120B3" w:rsidR="00B57716" w:rsidRPr="00B47BDA" w:rsidRDefault="00B57716" w:rsidP="004623DD">
      <w:pPr>
        <w:pStyle w:val="NormalWeb"/>
        <w:rPr>
          <w:rFonts w:eastAsiaTheme="minorHAnsi"/>
        </w:rPr>
      </w:pPr>
      <w:r w:rsidRPr="007B3810">
        <w:rPr>
          <w:b/>
          <w:bCs/>
        </w:rPr>
        <w:t>Tijela za praćenje:</w:t>
      </w:r>
      <w:r w:rsidRPr="00B47BDA">
        <w:t xml:space="preserve"> M</w:t>
      </w:r>
      <w:r w:rsidR="0086358F" w:rsidRPr="00B47BDA">
        <w:t>INGO</w:t>
      </w:r>
      <w:r w:rsidRPr="00B47BDA">
        <w:t>-NKT, HERA</w:t>
      </w:r>
    </w:p>
    <w:p w14:paraId="2C50BD73" w14:textId="792BD08F" w:rsidR="00B57716" w:rsidRPr="00B47BDA" w:rsidRDefault="00B57716" w:rsidP="004623DD">
      <w:pPr>
        <w:pStyle w:val="NormalWeb"/>
      </w:pPr>
      <w:r w:rsidRPr="00B47BDA">
        <w:rPr>
          <w:b/>
        </w:rPr>
        <w:t xml:space="preserve">Učinak: </w:t>
      </w:r>
      <w:r w:rsidRPr="00B47BDA">
        <w:t>Smanjenje gubitaka u transportnom plinskom sustavu</w:t>
      </w:r>
      <w:r w:rsidR="0043331E">
        <w:t>.</w:t>
      </w:r>
    </w:p>
    <w:p w14:paraId="562BE46C" w14:textId="64E2A8E8" w:rsidR="00B57716" w:rsidRPr="00B47BDA" w:rsidRDefault="00B57716" w:rsidP="004623DD">
      <w:pPr>
        <w:pStyle w:val="NormalWeb"/>
      </w:pPr>
      <w:r w:rsidRPr="00B47BDA">
        <w:rPr>
          <w:b/>
        </w:rPr>
        <w:t>Metoda praćenja:</w:t>
      </w:r>
      <w:r w:rsidRPr="00B47BDA">
        <w:t xml:space="preserve"> Praćenje učinaka ove mjere ostvaruje se </w:t>
      </w:r>
      <w:r w:rsidR="009B003B" w:rsidRPr="00B47BDA">
        <w:t xml:space="preserve">na temelju </w:t>
      </w:r>
      <w:r w:rsidRPr="00B47BDA">
        <w:t>podataka Plinacro-a</w:t>
      </w:r>
      <w:r w:rsidR="0043331E">
        <w:t>.</w:t>
      </w:r>
    </w:p>
    <w:p w14:paraId="7253F5B2" w14:textId="789F1519" w:rsidR="00B57716" w:rsidRPr="00B47BDA" w:rsidRDefault="00B57716" w:rsidP="63259912">
      <w:pPr>
        <w:pStyle w:val="NormalWeb"/>
      </w:pPr>
      <w:r w:rsidRPr="63259912">
        <w:rPr>
          <w:b/>
          <w:bCs/>
        </w:rPr>
        <w:t xml:space="preserve">Povezanost s drugim dimenzijama: </w:t>
      </w:r>
      <w:r w:rsidRPr="63259912">
        <w:t>Smanjenjem gubitaka u plinskom sustavu doprinosi se ciljevima sigurnosti opskrbe</w:t>
      </w:r>
      <w:r w:rsidR="00FB0170" w:rsidRPr="63259912">
        <w:t>,</w:t>
      </w:r>
      <w:r w:rsidRPr="63259912">
        <w:t xml:space="preserve"> dekarbonizacije</w:t>
      </w:r>
      <w:r w:rsidR="00FB0170" w:rsidRPr="63259912">
        <w:t xml:space="preserve"> i unutarnjeg energetskog tržišta</w:t>
      </w:r>
      <w:r w:rsidR="00B31DD6" w:rsidRPr="63259912">
        <w:t>.</w:t>
      </w:r>
    </w:p>
    <w:p w14:paraId="25D2DE4D" w14:textId="77777777" w:rsidR="004E592D" w:rsidRPr="00B47BDA" w:rsidRDefault="004E592D" w:rsidP="005C2C7E">
      <w:pPr>
        <w:pStyle w:val="Heading4"/>
        <w:numPr>
          <w:ilvl w:val="3"/>
          <w:numId w:val="175"/>
        </w:numPr>
        <w:ind w:hanging="580"/>
      </w:pPr>
      <w:r w:rsidRPr="00B47BDA">
        <w:t>Regionalna suradnja u ovom području, ako je primjenjivo.</w:t>
      </w:r>
    </w:p>
    <w:p w14:paraId="07DDFBCA" w14:textId="1E40810E" w:rsidR="003E3D6B" w:rsidRPr="00B47BDA" w:rsidRDefault="003E3D6B" w:rsidP="004623DD">
      <w:r w:rsidRPr="00B47BDA">
        <w:t>Na regionalnoj radionici održanoj u Ljubljani u srpnju 2019. godine, kao teme za regionalnu suradnju u okviru dimenzije energetska učinkovitost predloženo je</w:t>
      </w:r>
    </w:p>
    <w:p w14:paraId="2BA3B7BA" w14:textId="2A958EA0" w:rsidR="00F0212A" w:rsidRPr="00B47BDA" w:rsidRDefault="00F0212A" w:rsidP="00B66BE1">
      <w:pPr>
        <w:pStyle w:val="ListParagraph"/>
        <w:numPr>
          <w:ilvl w:val="0"/>
          <w:numId w:val="52"/>
        </w:numPr>
        <w:spacing w:after="60"/>
        <w:ind w:left="714" w:hanging="357"/>
      </w:pPr>
      <w:r w:rsidRPr="00B47BDA">
        <w:t>razmjena iskustava i dobre prakse na području energetske učinkovitosti</w:t>
      </w:r>
      <w:r w:rsidR="00A546C9" w:rsidRPr="00B47BDA">
        <w:t>,</w:t>
      </w:r>
    </w:p>
    <w:p w14:paraId="5CF75421" w14:textId="0AEEE93F" w:rsidR="00F0212A" w:rsidRPr="00B47BDA" w:rsidRDefault="006038BB" w:rsidP="00B66BE1">
      <w:pPr>
        <w:pStyle w:val="ListParagraph"/>
        <w:numPr>
          <w:ilvl w:val="0"/>
          <w:numId w:val="52"/>
        </w:numPr>
        <w:spacing w:after="60"/>
        <w:ind w:left="714" w:hanging="357"/>
      </w:pPr>
      <w:r w:rsidRPr="00B47BDA">
        <w:t>regionalno upravljanje teretnim prometom</w:t>
      </w:r>
      <w:r w:rsidR="00E460F1" w:rsidRPr="00B47BDA">
        <w:t xml:space="preserve"> (poticanje korištenja željezničkog prometa, energetski učinkovita logistika)</w:t>
      </w:r>
      <w:r w:rsidR="00A546C9" w:rsidRPr="00B47BDA">
        <w:t>,</w:t>
      </w:r>
    </w:p>
    <w:p w14:paraId="66163062" w14:textId="0A76C46C" w:rsidR="002F13BF" w:rsidRPr="00B47BDA" w:rsidRDefault="002F13BF" w:rsidP="00B66BE1">
      <w:pPr>
        <w:pStyle w:val="ListParagraph"/>
        <w:numPr>
          <w:ilvl w:val="0"/>
          <w:numId w:val="52"/>
        </w:numPr>
        <w:spacing w:after="60"/>
        <w:ind w:left="714" w:hanging="357"/>
      </w:pPr>
      <w:r w:rsidRPr="00B47BDA">
        <w:t>regionaln</w:t>
      </w:r>
      <w:r w:rsidR="00A546C9" w:rsidRPr="00B47BDA">
        <w:t>o planiranje razvoja infrastrukture za alternativna goriva,</w:t>
      </w:r>
    </w:p>
    <w:p w14:paraId="20250164" w14:textId="095A0EFF" w:rsidR="00BF52BC" w:rsidRPr="00B47BDA" w:rsidRDefault="00BF52BC" w:rsidP="00B66BE1">
      <w:pPr>
        <w:pStyle w:val="ListParagraph"/>
        <w:numPr>
          <w:ilvl w:val="0"/>
          <w:numId w:val="52"/>
        </w:numPr>
        <w:spacing w:after="60"/>
        <w:ind w:left="714" w:hanging="357"/>
      </w:pPr>
      <w:r w:rsidRPr="00B47BDA">
        <w:t>regionalna suradnja na razvoju učinkovitog javnog prijevoza</w:t>
      </w:r>
      <w:r w:rsidR="00B67245" w:rsidRPr="00B47BDA">
        <w:t xml:space="preserve"> (željeznica, autobus, zeleni turizam)</w:t>
      </w:r>
      <w:r w:rsidR="00884820" w:rsidRPr="00B47BDA">
        <w:t>.</w:t>
      </w:r>
    </w:p>
    <w:p w14:paraId="2CC0CD7B" w14:textId="489B2B28" w:rsidR="00B26C2C" w:rsidRPr="00B47BDA" w:rsidRDefault="00B26C2C" w:rsidP="005C2C7E">
      <w:pPr>
        <w:pStyle w:val="Heading4"/>
        <w:numPr>
          <w:ilvl w:val="3"/>
          <w:numId w:val="175"/>
        </w:numPr>
        <w:ind w:hanging="580"/>
      </w:pPr>
      <w:r w:rsidRPr="00B47BDA">
        <w:t xml:space="preserve">Financijske mjere u ovom području na nacionalnoj razini, uključujući potporu </w:t>
      </w:r>
      <w:r w:rsidR="0076437B" w:rsidRPr="00B47BDA">
        <w:t>Unije i upotrebu sredstava Unije</w:t>
      </w:r>
      <w:r w:rsidRPr="00B47BDA">
        <w:t>.</w:t>
      </w:r>
    </w:p>
    <w:p w14:paraId="6B4CC729" w14:textId="77777777" w:rsidR="002B6FB0" w:rsidRPr="00B47BDA" w:rsidRDefault="00291D42" w:rsidP="004623DD">
      <w:r w:rsidRPr="00B47BDA">
        <w:t>Za razdoblje do 2020. godine</w:t>
      </w:r>
      <w:r w:rsidR="001C2F64" w:rsidRPr="00B47BDA">
        <w:t xml:space="preserve">, za poticanje energetske učinkovitosti </w:t>
      </w:r>
      <w:r w:rsidR="00E0625A" w:rsidRPr="00B47BDA">
        <w:t xml:space="preserve">u RH </w:t>
      </w:r>
      <w:r w:rsidR="001C2F64" w:rsidRPr="00B47BDA">
        <w:t xml:space="preserve">na raspolaganju su </w:t>
      </w:r>
      <w:r w:rsidR="006B030F" w:rsidRPr="00B47BDA">
        <w:t>sljede</w:t>
      </w:r>
      <w:r w:rsidR="002B6FB0" w:rsidRPr="00B47BDA">
        <w:t>ća financijska sredstva:</w:t>
      </w:r>
    </w:p>
    <w:p w14:paraId="4BE51076" w14:textId="5CD13123" w:rsidR="00C21988" w:rsidRPr="00B47BDA" w:rsidRDefault="001C2F64" w:rsidP="004623DD">
      <w:pPr>
        <w:pStyle w:val="ListParagraph"/>
        <w:numPr>
          <w:ilvl w:val="0"/>
          <w:numId w:val="13"/>
        </w:numPr>
      </w:pPr>
      <w:r w:rsidRPr="00B47BDA">
        <w:t xml:space="preserve">sredstva </w:t>
      </w:r>
      <w:r w:rsidR="00E0625A" w:rsidRPr="00B47BDA">
        <w:t xml:space="preserve">iz </w:t>
      </w:r>
      <w:r w:rsidR="003D68C8" w:rsidRPr="002F1EEF">
        <w:t>prihod</w:t>
      </w:r>
      <w:r w:rsidR="003D68C8">
        <w:t>a</w:t>
      </w:r>
      <w:r w:rsidR="003D68C8" w:rsidRPr="002F1EEF">
        <w:t xml:space="preserve"> od prodaje emisijskih jedinica iz EU ETS-a</w:t>
      </w:r>
      <w:r w:rsidR="004E3AF7" w:rsidRPr="00B47BDA">
        <w:t xml:space="preserve"> </w:t>
      </w:r>
      <w:r w:rsidR="00051989" w:rsidRPr="00B47BDA">
        <w:t xml:space="preserve">i raspodjeljuje sukladno </w:t>
      </w:r>
      <w:r w:rsidR="002D1756" w:rsidRPr="00B47BDA">
        <w:t>Plan</w:t>
      </w:r>
      <w:r w:rsidR="001D352E" w:rsidRPr="00B47BDA">
        <w:t xml:space="preserve">u </w:t>
      </w:r>
      <w:r w:rsidR="002D1756" w:rsidRPr="00B47BDA">
        <w:t xml:space="preserve">korištenja financijskih sredstava dobivenih od prodaje emisijskih jedinica putem dražbi u </w:t>
      </w:r>
      <w:r w:rsidR="001D352E" w:rsidRPr="00B47BDA">
        <w:t>RH</w:t>
      </w:r>
      <w:r w:rsidR="002D1756" w:rsidRPr="00B47BDA">
        <w:t xml:space="preserve"> do 2020. </w:t>
      </w:r>
      <w:r w:rsidR="001D352E" w:rsidRPr="00B47BDA">
        <w:t>g</w:t>
      </w:r>
      <w:r w:rsidR="002D1756" w:rsidRPr="00B47BDA">
        <w:t>odine</w:t>
      </w:r>
      <w:r w:rsidR="00762E0F" w:rsidRPr="00B47BDA">
        <w:t xml:space="preserve"> (</w:t>
      </w:r>
      <w:r w:rsidR="00F00959">
        <w:t>„</w:t>
      </w:r>
      <w:r w:rsidR="00071A4F" w:rsidRPr="00071A4F">
        <w:t xml:space="preserve">Narodne </w:t>
      </w:r>
      <w:r w:rsidR="00A97AE7">
        <w:t>novine</w:t>
      </w:r>
      <w:r w:rsidR="00F00959">
        <w:t>“</w:t>
      </w:r>
      <w:r w:rsidR="00071A4F" w:rsidRPr="00071A4F">
        <w:t xml:space="preserve">, </w:t>
      </w:r>
      <w:r w:rsidR="00F00959">
        <w:t>br.</w:t>
      </w:r>
      <w:r w:rsidR="00F00959" w:rsidRPr="00B47BDA">
        <w:t xml:space="preserve"> </w:t>
      </w:r>
      <w:r w:rsidR="00762E0F" w:rsidRPr="00B47BDA">
        <w:t>19</w:t>
      </w:r>
      <w:r w:rsidR="005B41DA">
        <w:t>/18</w:t>
      </w:r>
      <w:r w:rsidR="00F00959">
        <w:t>.</w:t>
      </w:r>
      <w:r w:rsidR="00762E0F" w:rsidRPr="00B47BDA">
        <w:t>) te</w:t>
      </w:r>
    </w:p>
    <w:p w14:paraId="2501D08D" w14:textId="605703C0" w:rsidR="009E5687" w:rsidRPr="00B47BDA" w:rsidRDefault="002B6FB0" w:rsidP="004623DD">
      <w:pPr>
        <w:pStyle w:val="ListParagraph"/>
        <w:numPr>
          <w:ilvl w:val="0"/>
          <w:numId w:val="13"/>
        </w:numPr>
      </w:pPr>
      <w:r w:rsidRPr="00B47BDA">
        <w:t xml:space="preserve">sredstva </w:t>
      </w:r>
      <w:r w:rsidR="006267E2">
        <w:t>EU</w:t>
      </w:r>
      <w:r w:rsidR="00762E0F" w:rsidRPr="00B47BDA">
        <w:t xml:space="preserve"> fondova, konkretno Europskog fonda za regionalni razvoj (EFRR)</w:t>
      </w:r>
      <w:r w:rsidR="009E5687" w:rsidRPr="00B47BDA">
        <w:t xml:space="preserve"> sukladno Operativnom programu Konkurentnost i kohezija 2014.- 2020. </w:t>
      </w:r>
    </w:p>
    <w:p w14:paraId="3B5343EA" w14:textId="0C810F80" w:rsidR="006945F2" w:rsidRPr="00B47BDA" w:rsidRDefault="7F412E0A" w:rsidP="004623DD">
      <w:r>
        <w:t xml:space="preserve">Pri </w:t>
      </w:r>
      <w:r w:rsidR="2498EDDB">
        <w:t xml:space="preserve">tome </w:t>
      </w:r>
      <w:r>
        <w:t xml:space="preserve">treba istaknuti da </w:t>
      </w:r>
      <w:r w:rsidR="57738ADA">
        <w:t xml:space="preserve">se mjere iz </w:t>
      </w:r>
      <w:r w:rsidR="2F36E8D4">
        <w:t xml:space="preserve">EFRR-a i </w:t>
      </w:r>
      <w:r w:rsidR="3E8CBD66">
        <w:t xml:space="preserve">pripadajuće </w:t>
      </w:r>
      <w:r w:rsidR="57738ADA">
        <w:t>aktivnosti</w:t>
      </w:r>
      <w:r w:rsidR="3E8CBD66">
        <w:t xml:space="preserve"> provode do kraja 2023. godine</w:t>
      </w:r>
      <w:r w:rsidR="157DD747">
        <w:t xml:space="preserve"> te se učinak </w:t>
      </w:r>
      <w:r w:rsidR="5C692AD6">
        <w:t xml:space="preserve">aktivnosti </w:t>
      </w:r>
      <w:r w:rsidR="7B8A2726">
        <w:t xml:space="preserve">provedenih nakon početka 2021. godine </w:t>
      </w:r>
      <w:r w:rsidR="226476FC">
        <w:t xml:space="preserve">prati i ubraja u </w:t>
      </w:r>
      <w:r w:rsidR="3C9EF27F">
        <w:t>razdoblje 2021. do 2030. godine.</w:t>
      </w:r>
      <w:r w:rsidR="1C7811BE">
        <w:t xml:space="preserve"> </w:t>
      </w:r>
    </w:p>
    <w:p w14:paraId="1110A9A5" w14:textId="31D07319" w:rsidR="00667A1B" w:rsidRPr="00B47BDA" w:rsidRDefault="00AD4AB0" w:rsidP="004623DD">
      <w:r w:rsidRPr="00B47BDA">
        <w:t xml:space="preserve">U razdoblju od 2021. do 2030. godine </w:t>
      </w:r>
      <w:r w:rsidR="001627C5" w:rsidRPr="00B47BDA">
        <w:t>za financijske mjere</w:t>
      </w:r>
      <w:r w:rsidR="00D31763" w:rsidRPr="00B47BDA">
        <w:t xml:space="preserve"> predviđene ovim Planom koristit će se kako</w:t>
      </w:r>
      <w:r w:rsidR="00DC7C34" w:rsidRPr="00B47BDA">
        <w:t xml:space="preserve"> nacionalna sredstva iz</w:t>
      </w:r>
      <w:r w:rsidR="001627C5" w:rsidRPr="00B47BDA">
        <w:t xml:space="preserve"> prodaje emisijskih jedinica </w:t>
      </w:r>
      <w:r w:rsidR="00D31763" w:rsidRPr="00B47BDA">
        <w:t xml:space="preserve">i drugih prihoda Fonda za zaštitu okoliša i energetsku učinkovitost, </w:t>
      </w:r>
      <w:r w:rsidR="00492DD3" w:rsidRPr="00B47BDA">
        <w:t xml:space="preserve">tako i sredstva </w:t>
      </w:r>
      <w:r w:rsidR="009361CA">
        <w:t>EU</w:t>
      </w:r>
      <w:r w:rsidR="009361CA" w:rsidRPr="00B47BDA">
        <w:t xml:space="preserve"> </w:t>
      </w:r>
      <w:r w:rsidR="00492DD3" w:rsidRPr="00B47BDA">
        <w:t xml:space="preserve">fondova za novo programsko razdoblje od </w:t>
      </w:r>
      <w:r w:rsidR="0018505C" w:rsidRPr="00B47BDA">
        <w:t xml:space="preserve">2021. do 2027. godine, s provedbom do 2030. godine. </w:t>
      </w:r>
      <w:r w:rsidR="00901D12" w:rsidRPr="00B47BDA">
        <w:rPr>
          <w:b/>
        </w:rPr>
        <w:t xml:space="preserve">Nužno je u sve programske i planske dokumente kojima se utvrđuje poslovanje Fonda za zaštitu okoliša i energetsku učinkovitost i korištenje </w:t>
      </w:r>
      <w:r w:rsidR="009361CA">
        <w:rPr>
          <w:b/>
        </w:rPr>
        <w:t>EU</w:t>
      </w:r>
      <w:r w:rsidR="009361CA" w:rsidRPr="00B47BDA">
        <w:rPr>
          <w:b/>
        </w:rPr>
        <w:t xml:space="preserve"> </w:t>
      </w:r>
      <w:r w:rsidR="00901D12" w:rsidRPr="00B47BDA">
        <w:rPr>
          <w:b/>
        </w:rPr>
        <w:t>sredstava ugraditi ovdje predložene mjere i planirati dostatna financijska sredstva za njihovo provođenje</w:t>
      </w:r>
      <w:r w:rsidR="00901D12" w:rsidRPr="00B47BDA">
        <w:t>.</w:t>
      </w:r>
      <w:r w:rsidR="00341283" w:rsidRPr="00B47BDA">
        <w:t xml:space="preserve"> </w:t>
      </w:r>
    </w:p>
    <w:p w14:paraId="5AB2FC4D" w14:textId="24DC51D6" w:rsidR="00977F1D" w:rsidRPr="00B47BDA" w:rsidRDefault="00331093" w:rsidP="004623DD">
      <w:r w:rsidRPr="00B47BDA">
        <w:lastRenderedPageBreak/>
        <w:t xml:space="preserve">Za </w:t>
      </w:r>
      <w:r w:rsidR="00BD2A13" w:rsidRPr="00B47BDA">
        <w:t>provedbu mjera definiranih u ovom NECP-u osigurana su sre</w:t>
      </w:r>
      <w:r w:rsidR="002702F8" w:rsidRPr="00B47BDA">
        <w:t>dstva i to temeljem Nacionalnog plana oporavka i otpornosti (NPOO), za korištenje Mehanizma oporavka i otpornosti, i Programa „Konkurentnost i kohezija“</w:t>
      </w:r>
      <w:r w:rsidR="009237D8" w:rsidRPr="00B47BDA">
        <w:t xml:space="preserve"> (PKK)</w:t>
      </w:r>
      <w:r w:rsidR="002702F8" w:rsidRPr="00B47BDA">
        <w:t xml:space="preserve">, za korištenje </w:t>
      </w:r>
      <w:r w:rsidR="009361CA">
        <w:t>EU</w:t>
      </w:r>
      <w:r w:rsidR="009361CA" w:rsidRPr="00B47BDA">
        <w:t xml:space="preserve"> </w:t>
      </w:r>
      <w:r w:rsidR="002702F8" w:rsidRPr="00B47BDA">
        <w:t>fondova, u prvom redu EFRR</w:t>
      </w:r>
      <w:r w:rsidR="001B325F" w:rsidRPr="00B47BDA">
        <w:t xml:space="preserve">-a. </w:t>
      </w:r>
      <w:r w:rsidR="007C1B81" w:rsidRPr="00B47BDA">
        <w:t xml:space="preserve">Osim toga, planira se i korištenje sredstava prikupljenih </w:t>
      </w:r>
      <w:r w:rsidR="003D68C8">
        <w:t xml:space="preserve">iz </w:t>
      </w:r>
      <w:r w:rsidR="003D68C8" w:rsidRPr="002F1EEF">
        <w:t>prihod</w:t>
      </w:r>
      <w:r w:rsidR="003D68C8">
        <w:t>a</w:t>
      </w:r>
      <w:r w:rsidR="003D68C8" w:rsidRPr="002F1EEF">
        <w:t xml:space="preserve"> od prodaje emisijskih jedinica iz EU ETS-a</w:t>
      </w:r>
      <w:r w:rsidR="00EA6BCD" w:rsidRPr="00B47BDA">
        <w:t>, koje prikuplja FZOEU</w:t>
      </w:r>
      <w:r w:rsidR="00C11EB5" w:rsidRPr="00B47BDA">
        <w:t xml:space="preserve"> kao i sredstva Modernizacijskog fonda</w:t>
      </w:r>
      <w:r w:rsidR="00EA6BCD" w:rsidRPr="00B47BDA">
        <w:t xml:space="preserve">. </w:t>
      </w:r>
      <w:r w:rsidR="00CB6E7A" w:rsidRPr="00B47BDA">
        <w:t xml:space="preserve">Pregled raspoloživih sredstava dan je u </w:t>
      </w:r>
      <w:r w:rsidR="00EC615B" w:rsidRPr="00B47BDA">
        <w:t>tablici dolje.</w:t>
      </w:r>
    </w:p>
    <w:p w14:paraId="7230AD17" w14:textId="66E0ED3D" w:rsidR="001E4235" w:rsidRPr="00B47BDA" w:rsidRDefault="001E4235" w:rsidP="004623DD">
      <w:pPr>
        <w:pStyle w:val="Caption"/>
      </w:pPr>
      <w:bookmarkStart w:id="451" w:name="_Toc193035951"/>
      <w:r w:rsidRPr="00B47BDA">
        <w:t xml:space="preserve">Tablica </w:t>
      </w:r>
      <w:r>
        <w:fldChar w:fldCharType="begin"/>
      </w:r>
      <w:r>
        <w:instrText>STYLEREF 1 \s</w:instrText>
      </w:r>
      <w:r>
        <w:fldChar w:fldCharType="separate"/>
      </w:r>
      <w:r w:rsidR="00E837B2">
        <w:rPr>
          <w:noProof/>
        </w:rPr>
        <w:t>3</w:t>
      </w:r>
      <w:r>
        <w:fldChar w:fldCharType="end"/>
      </w:r>
      <w:r w:rsidRPr="00B47BDA">
        <w:noBreakHyphen/>
      </w:r>
      <w:r>
        <w:fldChar w:fldCharType="begin"/>
      </w:r>
      <w:r>
        <w:instrText>SEQ Tablica \* ARABIC \s 1</w:instrText>
      </w:r>
      <w:r>
        <w:fldChar w:fldCharType="separate"/>
      </w:r>
      <w:r w:rsidR="00E837B2">
        <w:rPr>
          <w:noProof/>
        </w:rPr>
        <w:t>1</w:t>
      </w:r>
      <w:r>
        <w:fldChar w:fldCharType="end"/>
      </w:r>
      <w:r w:rsidR="00A24873">
        <w:t>.</w:t>
      </w:r>
      <w:r w:rsidRPr="00B47BDA">
        <w:t xml:space="preserve"> Pregled raspoloživih izvora financiranja mjera energetske učinkovitosti</w:t>
      </w:r>
      <w:bookmarkEnd w:id="451"/>
    </w:p>
    <w:tbl>
      <w:tblPr>
        <w:tblStyle w:val="Svijetlatablicareetk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764"/>
        <w:gridCol w:w="1376"/>
        <w:gridCol w:w="1300"/>
        <w:gridCol w:w="1594"/>
        <w:gridCol w:w="1373"/>
      </w:tblGrid>
      <w:tr w:rsidR="0038710F" w:rsidRPr="00B47BDA" w14:paraId="74F36CFD" w14:textId="77777777" w:rsidTr="63259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dxa"/>
            <w:shd w:val="clear" w:color="auto" w:fill="DEEAF6" w:themeFill="accent1" w:themeFillTint="33"/>
          </w:tcPr>
          <w:p w14:paraId="7DCD9CD5" w14:textId="77777777" w:rsidR="00EE57C4" w:rsidRPr="00B66BE1" w:rsidRDefault="00EE57C4" w:rsidP="007B3810">
            <w:pPr>
              <w:jc w:val="center"/>
              <w:rPr>
                <w:rFonts w:cs="Calibri"/>
                <w:sz w:val="22"/>
                <w:szCs w:val="22"/>
              </w:rPr>
            </w:pPr>
            <w:r w:rsidRPr="00B66BE1">
              <w:rPr>
                <w:rFonts w:cs="Calibri"/>
                <w:sz w:val="22"/>
                <w:szCs w:val="22"/>
              </w:rPr>
              <w:t>Izvor sredstava</w:t>
            </w:r>
          </w:p>
        </w:tc>
        <w:tc>
          <w:tcPr>
            <w:tcW w:w="1764" w:type="dxa"/>
            <w:shd w:val="clear" w:color="auto" w:fill="DEEAF6" w:themeFill="accent1" w:themeFillTint="33"/>
          </w:tcPr>
          <w:p w14:paraId="54068453" w14:textId="0DA409FF" w:rsidR="00EE57C4" w:rsidRPr="00B66BE1" w:rsidRDefault="00EE57C4" w:rsidP="007B3810">
            <w:pPr>
              <w:jc w:val="center"/>
              <w:cnfStyle w:val="100000000000" w:firstRow="1"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Investicijski prioritet / Reforma</w:t>
            </w:r>
          </w:p>
        </w:tc>
        <w:tc>
          <w:tcPr>
            <w:tcW w:w="1376" w:type="dxa"/>
            <w:shd w:val="clear" w:color="auto" w:fill="DEEAF6" w:themeFill="accent1" w:themeFillTint="33"/>
          </w:tcPr>
          <w:p w14:paraId="190F4231" w14:textId="38A5AEC2" w:rsidR="00EE57C4" w:rsidRPr="00B66BE1" w:rsidRDefault="00EE57C4" w:rsidP="007B3810">
            <w:pPr>
              <w:jc w:val="center"/>
              <w:cnfStyle w:val="100000000000" w:firstRow="1"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Raspoloživa alokacija</w:t>
            </w:r>
            <w:r w:rsidR="00D60AA1">
              <w:rPr>
                <w:rFonts w:cs="Calibri"/>
                <w:sz w:val="22"/>
                <w:szCs w:val="22"/>
              </w:rPr>
              <w:t xml:space="preserve"> iz NPOO</w:t>
            </w:r>
            <w:r w:rsidRPr="00B66BE1">
              <w:rPr>
                <w:rFonts w:cs="Calibri"/>
                <w:sz w:val="22"/>
                <w:szCs w:val="22"/>
              </w:rPr>
              <w:t xml:space="preserve"> [milijuna </w:t>
            </w:r>
            <w:r>
              <w:rPr>
                <w:rFonts w:cs="Calibri"/>
                <w:sz w:val="22"/>
                <w:szCs w:val="22"/>
              </w:rPr>
              <w:t>EUR</w:t>
            </w:r>
            <w:r w:rsidRPr="00B66BE1">
              <w:rPr>
                <w:rFonts w:cs="Calibri"/>
                <w:sz w:val="22"/>
                <w:szCs w:val="22"/>
              </w:rPr>
              <w:t>]</w:t>
            </w:r>
          </w:p>
        </w:tc>
        <w:tc>
          <w:tcPr>
            <w:tcW w:w="1300" w:type="dxa"/>
            <w:shd w:val="clear" w:color="auto" w:fill="DEEAF6" w:themeFill="accent1" w:themeFillTint="33"/>
          </w:tcPr>
          <w:p w14:paraId="4ABBCFDC" w14:textId="71147E84" w:rsidR="00EE57C4" w:rsidRPr="00B66BE1" w:rsidRDefault="00D60AA1" w:rsidP="007B3810">
            <w:pPr>
              <w:jc w:val="center"/>
              <w:cnfStyle w:val="100000000000" w:firstRow="1"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Raspoloživa alokacija</w:t>
            </w:r>
            <w:r>
              <w:rPr>
                <w:rFonts w:cs="Calibri"/>
                <w:sz w:val="22"/>
                <w:szCs w:val="22"/>
              </w:rPr>
              <w:t xml:space="preserve"> iz Dodatka NPOO</w:t>
            </w:r>
            <w:r w:rsidR="00472C0F">
              <w:rPr>
                <w:rFonts w:cs="Calibri"/>
                <w:sz w:val="22"/>
                <w:szCs w:val="22"/>
              </w:rPr>
              <w:t>-u</w:t>
            </w:r>
            <w:r w:rsidR="003E6B30">
              <w:rPr>
                <w:rFonts w:cs="Calibri"/>
                <w:sz w:val="22"/>
                <w:szCs w:val="22"/>
              </w:rPr>
              <w:t xml:space="preserve"> </w:t>
            </w:r>
            <w:r w:rsidRPr="00B66BE1">
              <w:rPr>
                <w:rFonts w:cs="Calibri"/>
                <w:sz w:val="22"/>
                <w:szCs w:val="22"/>
              </w:rPr>
              <w:t xml:space="preserve">[milijuna </w:t>
            </w:r>
            <w:r>
              <w:rPr>
                <w:rFonts w:cs="Calibri"/>
                <w:sz w:val="22"/>
                <w:szCs w:val="22"/>
              </w:rPr>
              <w:t>EUR</w:t>
            </w:r>
            <w:r w:rsidRPr="00B66BE1">
              <w:rPr>
                <w:rFonts w:cs="Calibri"/>
                <w:sz w:val="22"/>
                <w:szCs w:val="22"/>
              </w:rPr>
              <w:t>]</w:t>
            </w:r>
          </w:p>
        </w:tc>
        <w:tc>
          <w:tcPr>
            <w:tcW w:w="1594" w:type="dxa"/>
            <w:shd w:val="clear" w:color="auto" w:fill="DEEAF6" w:themeFill="accent1" w:themeFillTint="33"/>
          </w:tcPr>
          <w:p w14:paraId="796B03B3" w14:textId="34AF78D8" w:rsidR="00EE57C4" w:rsidRPr="00B66BE1" w:rsidRDefault="00EE57C4" w:rsidP="007B3810">
            <w:pPr>
              <w:jc w:val="center"/>
              <w:cnfStyle w:val="100000000000" w:firstRow="1"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Oznaka i naziv mjere</w:t>
            </w:r>
          </w:p>
        </w:tc>
        <w:tc>
          <w:tcPr>
            <w:tcW w:w="1373" w:type="dxa"/>
            <w:shd w:val="clear" w:color="auto" w:fill="DEEAF6" w:themeFill="accent1" w:themeFillTint="33"/>
          </w:tcPr>
          <w:p w14:paraId="1979E92F" w14:textId="00CB3CC8" w:rsidR="00EE57C4" w:rsidRPr="00B66BE1" w:rsidRDefault="00EE57C4" w:rsidP="007B3810">
            <w:pPr>
              <w:jc w:val="center"/>
              <w:cnfStyle w:val="100000000000" w:firstRow="1"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Mehanizam financiranja</w:t>
            </w:r>
          </w:p>
        </w:tc>
      </w:tr>
      <w:tr w:rsidR="00A64535" w:rsidRPr="00B47BDA" w14:paraId="00F1E47B" w14:textId="77777777" w:rsidTr="63259912">
        <w:trPr>
          <w:trHeight w:val="314"/>
        </w:trPr>
        <w:tc>
          <w:tcPr>
            <w:cnfStyle w:val="001000000000" w:firstRow="0" w:lastRow="0" w:firstColumn="1" w:lastColumn="0" w:oddVBand="0" w:evenVBand="0" w:oddHBand="0" w:evenHBand="0" w:firstRowFirstColumn="0" w:firstRowLastColumn="0" w:lastRowFirstColumn="0" w:lastRowLastColumn="0"/>
            <w:tcW w:w="0" w:type="dxa"/>
            <w:vMerge w:val="restart"/>
          </w:tcPr>
          <w:p w14:paraId="39A9199A" w14:textId="009DADCA" w:rsidR="00A64535" w:rsidRPr="00B66BE1" w:rsidRDefault="00A64535" w:rsidP="00A64535">
            <w:pPr>
              <w:jc w:val="left"/>
              <w:rPr>
                <w:rFonts w:cs="Calibri"/>
                <w:sz w:val="22"/>
                <w:szCs w:val="22"/>
              </w:rPr>
            </w:pPr>
            <w:r w:rsidRPr="00B66BE1">
              <w:rPr>
                <w:rFonts w:cs="Calibri"/>
                <w:sz w:val="22"/>
                <w:szCs w:val="22"/>
              </w:rPr>
              <w:t>NPOO</w:t>
            </w:r>
            <w:r>
              <w:rPr>
                <w:rFonts w:cs="Calibri"/>
                <w:sz w:val="22"/>
                <w:szCs w:val="22"/>
              </w:rPr>
              <w:t xml:space="preserve"> i Dodatak NPOO-u</w:t>
            </w:r>
          </w:p>
        </w:tc>
        <w:tc>
          <w:tcPr>
            <w:tcW w:w="1764" w:type="dxa"/>
            <w:vMerge w:val="restart"/>
          </w:tcPr>
          <w:p w14:paraId="400F5FA2" w14:textId="77777777" w:rsidR="00A64535"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C6.1. R1-I1 Energetska obnova zgrada</w:t>
            </w:r>
          </w:p>
          <w:p w14:paraId="20B62570" w14:textId="74677563" w:rsidR="00A64535"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7A2884">
              <w:rPr>
                <w:rFonts w:cs="Calibri"/>
                <w:sz w:val="22"/>
                <w:szCs w:val="22"/>
              </w:rPr>
              <w:t xml:space="preserve">C7.2. 11 Energetska obnova zgrada </w:t>
            </w:r>
          </w:p>
          <w:p w14:paraId="2747EDCE" w14:textId="06C6F483" w:rsidR="00A64535" w:rsidRPr="00B66BE1"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7A2884">
              <w:rPr>
                <w:rFonts w:cs="Calibri"/>
                <w:sz w:val="22"/>
                <w:szCs w:val="22"/>
              </w:rPr>
              <w:t>C7.2. 12 Obnova zgrada oštećenih u potresu s energetskom obnovom</w:t>
            </w:r>
          </w:p>
        </w:tc>
        <w:tc>
          <w:tcPr>
            <w:tcW w:w="1376" w:type="dxa"/>
          </w:tcPr>
          <w:p w14:paraId="0D7ACEE8" w14:textId="3D581DCD" w:rsidR="00A64535" w:rsidRPr="00B66BE1" w:rsidRDefault="00A64535" w:rsidP="00A64535">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39,82</w:t>
            </w:r>
          </w:p>
        </w:tc>
        <w:tc>
          <w:tcPr>
            <w:tcW w:w="1300" w:type="dxa"/>
          </w:tcPr>
          <w:p w14:paraId="7155331E" w14:textId="77777777" w:rsidR="00A64535" w:rsidRPr="00A64535" w:rsidRDefault="00A64535" w:rsidP="00A64535">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A64535">
              <w:rPr>
                <w:rFonts w:cs="Calibri"/>
                <w:sz w:val="22"/>
                <w:szCs w:val="22"/>
              </w:rPr>
              <w:t>120 za neoštećene VSZ</w:t>
            </w:r>
          </w:p>
          <w:p w14:paraId="26141BFB" w14:textId="6C96F8B0" w:rsidR="00A64535" w:rsidRPr="00A64535"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A64535">
              <w:rPr>
                <w:rFonts w:cs="Calibri"/>
                <w:sz w:val="22"/>
                <w:szCs w:val="22"/>
              </w:rPr>
              <w:t>54,5 za VSZ oštećene u potresima</w:t>
            </w:r>
          </w:p>
        </w:tc>
        <w:tc>
          <w:tcPr>
            <w:tcW w:w="1594" w:type="dxa"/>
          </w:tcPr>
          <w:p w14:paraId="3B60504E" w14:textId="57E923ED" w:rsidR="00A64535" w:rsidRPr="00B66BE1"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Program energetske obnove višestambenih zgrada (ENU-3)</w:t>
            </w:r>
          </w:p>
        </w:tc>
        <w:tc>
          <w:tcPr>
            <w:tcW w:w="1373" w:type="dxa"/>
          </w:tcPr>
          <w:p w14:paraId="78F598C0" w14:textId="392DF447" w:rsidR="00A64535" w:rsidRPr="00B66BE1"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Bespovratna sredstva</w:t>
            </w:r>
          </w:p>
        </w:tc>
      </w:tr>
      <w:tr w:rsidR="00A64535" w:rsidRPr="00B47BDA" w14:paraId="0B02127E" w14:textId="77777777" w:rsidTr="63259912">
        <w:trPr>
          <w:trHeight w:val="70"/>
        </w:trPr>
        <w:tc>
          <w:tcPr>
            <w:cnfStyle w:val="001000000000" w:firstRow="0" w:lastRow="0" w:firstColumn="1" w:lastColumn="0" w:oddVBand="0" w:evenVBand="0" w:oddHBand="0" w:evenHBand="0" w:firstRowFirstColumn="0" w:firstRowLastColumn="0" w:lastRowFirstColumn="0" w:lastRowLastColumn="0"/>
            <w:tcW w:w="0" w:type="dxa"/>
            <w:vMerge/>
          </w:tcPr>
          <w:p w14:paraId="5AD6F75B" w14:textId="77777777" w:rsidR="00A64535" w:rsidRPr="00B66BE1" w:rsidRDefault="00A64535" w:rsidP="00A64535">
            <w:pPr>
              <w:rPr>
                <w:rFonts w:cs="Calibri"/>
                <w:sz w:val="22"/>
                <w:szCs w:val="22"/>
              </w:rPr>
            </w:pPr>
          </w:p>
        </w:tc>
        <w:tc>
          <w:tcPr>
            <w:tcW w:w="1764" w:type="dxa"/>
            <w:vMerge/>
          </w:tcPr>
          <w:p w14:paraId="03DC5281" w14:textId="77777777" w:rsidR="00A64535" w:rsidRPr="00B66BE1"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376" w:type="dxa"/>
          </w:tcPr>
          <w:p w14:paraId="3655C1C8" w14:textId="43E9E449" w:rsidR="00A64535" w:rsidRPr="00B66BE1" w:rsidRDefault="00A64535" w:rsidP="00A64535">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73,00</w:t>
            </w:r>
          </w:p>
        </w:tc>
        <w:tc>
          <w:tcPr>
            <w:tcW w:w="1300" w:type="dxa"/>
          </w:tcPr>
          <w:p w14:paraId="5037EB31" w14:textId="76CF5C43" w:rsidR="00A64535" w:rsidRPr="00A64535"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A64535">
              <w:rPr>
                <w:rFonts w:cs="Calibri"/>
                <w:sz w:val="22"/>
                <w:szCs w:val="22"/>
              </w:rPr>
              <w:t>93,36</w:t>
            </w:r>
          </w:p>
        </w:tc>
        <w:tc>
          <w:tcPr>
            <w:tcW w:w="1594" w:type="dxa"/>
          </w:tcPr>
          <w:p w14:paraId="12F7E1DD" w14:textId="7CC2976B" w:rsidR="00A64535" w:rsidRPr="00B66BE1"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Program energetske obnove zgrada javnog sektora (ENU-5)</w:t>
            </w:r>
          </w:p>
        </w:tc>
        <w:tc>
          <w:tcPr>
            <w:tcW w:w="1373" w:type="dxa"/>
          </w:tcPr>
          <w:p w14:paraId="4AA08458" w14:textId="1B5B7B46" w:rsidR="00A64535" w:rsidRPr="00B66BE1"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Bespovratna sredstva</w:t>
            </w:r>
          </w:p>
        </w:tc>
      </w:tr>
      <w:tr w:rsidR="00A64535" w:rsidRPr="00B47BDA" w14:paraId="51CB8A9E" w14:textId="77777777" w:rsidTr="63259912">
        <w:trPr>
          <w:trHeight w:val="70"/>
        </w:trPr>
        <w:tc>
          <w:tcPr>
            <w:cnfStyle w:val="001000000000" w:firstRow="0" w:lastRow="0" w:firstColumn="1" w:lastColumn="0" w:oddVBand="0" w:evenVBand="0" w:oddHBand="0" w:evenHBand="0" w:firstRowFirstColumn="0" w:firstRowLastColumn="0" w:lastRowFirstColumn="0" w:lastRowLastColumn="0"/>
            <w:tcW w:w="0" w:type="dxa"/>
            <w:vMerge/>
          </w:tcPr>
          <w:p w14:paraId="4B0465C3" w14:textId="77777777" w:rsidR="00A64535" w:rsidRPr="00B66BE1" w:rsidRDefault="00A64535" w:rsidP="00A64535">
            <w:pPr>
              <w:rPr>
                <w:rFonts w:cs="Calibri"/>
                <w:sz w:val="22"/>
                <w:szCs w:val="22"/>
              </w:rPr>
            </w:pPr>
          </w:p>
        </w:tc>
        <w:tc>
          <w:tcPr>
            <w:tcW w:w="1764" w:type="dxa"/>
            <w:vMerge/>
          </w:tcPr>
          <w:p w14:paraId="02C0CD20" w14:textId="77777777" w:rsidR="00A64535" w:rsidRPr="00B66BE1"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376" w:type="dxa"/>
          </w:tcPr>
          <w:p w14:paraId="3989EB97" w14:textId="31ABB859" w:rsidR="00A64535" w:rsidRPr="00B66BE1" w:rsidRDefault="00A64535" w:rsidP="00A64535">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19,91</w:t>
            </w:r>
          </w:p>
        </w:tc>
        <w:tc>
          <w:tcPr>
            <w:tcW w:w="1300" w:type="dxa"/>
          </w:tcPr>
          <w:p w14:paraId="6AE1B3AB" w14:textId="0C137EF0" w:rsidR="00A64535" w:rsidRPr="00A64535"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A64535">
              <w:rPr>
                <w:rFonts w:cs="Calibri"/>
                <w:sz w:val="22"/>
                <w:szCs w:val="22"/>
              </w:rPr>
              <w:t>68,41</w:t>
            </w:r>
          </w:p>
        </w:tc>
        <w:tc>
          <w:tcPr>
            <w:tcW w:w="1594" w:type="dxa"/>
          </w:tcPr>
          <w:p w14:paraId="7B1FC4B7" w14:textId="06FB1F05" w:rsidR="00A64535" w:rsidRPr="00B66BE1"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Program suzbijanja energetskog siromaštva (UET-6)</w:t>
            </w:r>
          </w:p>
        </w:tc>
        <w:tc>
          <w:tcPr>
            <w:tcW w:w="1373" w:type="dxa"/>
          </w:tcPr>
          <w:p w14:paraId="0CCA8E8E" w14:textId="0BEDF32E" w:rsidR="00A64535" w:rsidRPr="00B66BE1" w:rsidRDefault="00A64535" w:rsidP="00A64535">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Bespovratna sredstva</w:t>
            </w:r>
          </w:p>
        </w:tc>
      </w:tr>
      <w:tr w:rsidR="00EE57C4" w:rsidRPr="00B47BDA" w14:paraId="60272C17" w14:textId="77777777" w:rsidTr="63259912">
        <w:trPr>
          <w:trHeight w:val="1261"/>
        </w:trPr>
        <w:tc>
          <w:tcPr>
            <w:cnfStyle w:val="001000000000" w:firstRow="0" w:lastRow="0" w:firstColumn="1" w:lastColumn="0" w:oddVBand="0" w:evenVBand="0" w:oddHBand="0" w:evenHBand="0" w:firstRowFirstColumn="0" w:firstRowLastColumn="0" w:lastRowFirstColumn="0" w:lastRowLastColumn="0"/>
            <w:tcW w:w="0" w:type="dxa"/>
          </w:tcPr>
          <w:p w14:paraId="698C1C2D" w14:textId="63615098" w:rsidR="00EE57C4" w:rsidRPr="00B66BE1" w:rsidRDefault="00EE57C4" w:rsidP="004623DD">
            <w:pPr>
              <w:rPr>
                <w:rFonts w:cs="Calibri"/>
                <w:sz w:val="22"/>
                <w:szCs w:val="22"/>
              </w:rPr>
            </w:pPr>
            <w:r w:rsidRPr="00B66BE1">
              <w:rPr>
                <w:rFonts w:cs="Calibri"/>
                <w:sz w:val="22"/>
                <w:szCs w:val="22"/>
              </w:rPr>
              <w:t>NPOO</w:t>
            </w:r>
          </w:p>
        </w:tc>
        <w:tc>
          <w:tcPr>
            <w:tcW w:w="1764" w:type="dxa"/>
          </w:tcPr>
          <w:p w14:paraId="3F21D139" w14:textId="2782D900"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C6.1. R1-I3 Energetska obnova zgrada sa statusom kulturnog dobra</w:t>
            </w:r>
          </w:p>
        </w:tc>
        <w:tc>
          <w:tcPr>
            <w:tcW w:w="1376" w:type="dxa"/>
          </w:tcPr>
          <w:p w14:paraId="0F64609C" w14:textId="5E23AEA5" w:rsidR="00EE57C4" w:rsidRPr="00B66BE1" w:rsidRDefault="00EE57C4" w:rsidP="007B3810">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39,82</w:t>
            </w:r>
          </w:p>
        </w:tc>
        <w:tc>
          <w:tcPr>
            <w:tcW w:w="1300" w:type="dxa"/>
          </w:tcPr>
          <w:p w14:paraId="301E26C7" w14:textId="77777777"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594" w:type="dxa"/>
          </w:tcPr>
          <w:p w14:paraId="18DAFF8A" w14:textId="13654BEB"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Program energetske obnove zgrada sa statusom kulturnog dobra (ENU-6)</w:t>
            </w:r>
          </w:p>
        </w:tc>
        <w:tc>
          <w:tcPr>
            <w:tcW w:w="1373" w:type="dxa"/>
          </w:tcPr>
          <w:p w14:paraId="248A13D2" w14:textId="4C67E45E"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Bespovratna sredstva</w:t>
            </w:r>
          </w:p>
        </w:tc>
      </w:tr>
      <w:tr w:rsidR="00EE57C4" w:rsidRPr="00B47BDA" w14:paraId="0ECBD93B" w14:textId="77777777" w:rsidTr="63259912">
        <w:tc>
          <w:tcPr>
            <w:cnfStyle w:val="001000000000" w:firstRow="0" w:lastRow="0" w:firstColumn="1" w:lastColumn="0" w:oddVBand="0" w:evenVBand="0" w:oddHBand="0" w:evenHBand="0" w:firstRowFirstColumn="0" w:firstRowLastColumn="0" w:lastRowFirstColumn="0" w:lastRowLastColumn="0"/>
            <w:tcW w:w="0" w:type="dxa"/>
            <w:vMerge w:val="restart"/>
          </w:tcPr>
          <w:p w14:paraId="0C82E980" w14:textId="2427D163" w:rsidR="00EE57C4" w:rsidRPr="00B66BE1" w:rsidRDefault="00EE57C4" w:rsidP="004623DD">
            <w:pPr>
              <w:rPr>
                <w:rFonts w:cs="Calibri"/>
                <w:sz w:val="22"/>
                <w:szCs w:val="22"/>
              </w:rPr>
            </w:pPr>
            <w:r w:rsidRPr="00B66BE1">
              <w:rPr>
                <w:rFonts w:cs="Calibri"/>
                <w:sz w:val="22"/>
                <w:szCs w:val="22"/>
              </w:rPr>
              <w:t>NPOO</w:t>
            </w:r>
          </w:p>
        </w:tc>
        <w:tc>
          <w:tcPr>
            <w:tcW w:w="1764" w:type="dxa"/>
          </w:tcPr>
          <w:p w14:paraId="1580C91A" w14:textId="77777777"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 xml:space="preserve">C6.1. R6 Pilot projekt uspostave i provedbe sustavnog gospodarenja </w:t>
            </w:r>
          </w:p>
          <w:p w14:paraId="15448900" w14:textId="2AE92970"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energijom te razvoj novog modela financiranja</w:t>
            </w:r>
          </w:p>
        </w:tc>
        <w:tc>
          <w:tcPr>
            <w:tcW w:w="1376" w:type="dxa"/>
          </w:tcPr>
          <w:p w14:paraId="01489301" w14:textId="2CADAD86" w:rsidR="00EE57C4" w:rsidRPr="00B66BE1" w:rsidRDefault="00EE57C4" w:rsidP="007B3810">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1,59</w:t>
            </w:r>
          </w:p>
        </w:tc>
        <w:tc>
          <w:tcPr>
            <w:tcW w:w="1300" w:type="dxa"/>
          </w:tcPr>
          <w:p w14:paraId="7BA849BA" w14:textId="77777777"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594" w:type="dxa"/>
          </w:tcPr>
          <w:p w14:paraId="583C4436" w14:textId="7A17BC86"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Sustavno gospodarenje energijom u javnom sektoru (ENU-7)</w:t>
            </w:r>
          </w:p>
        </w:tc>
        <w:tc>
          <w:tcPr>
            <w:tcW w:w="1373" w:type="dxa"/>
          </w:tcPr>
          <w:p w14:paraId="1B11A3F6" w14:textId="25691BD4"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Bespovratna sredstva</w:t>
            </w:r>
          </w:p>
        </w:tc>
      </w:tr>
      <w:tr w:rsidR="00EE57C4" w:rsidRPr="00B47BDA" w14:paraId="2E1F302D" w14:textId="77777777" w:rsidTr="63259912">
        <w:tc>
          <w:tcPr>
            <w:cnfStyle w:val="001000000000" w:firstRow="0" w:lastRow="0" w:firstColumn="1" w:lastColumn="0" w:oddVBand="0" w:evenVBand="0" w:oddHBand="0" w:evenHBand="0" w:firstRowFirstColumn="0" w:firstRowLastColumn="0" w:lastRowFirstColumn="0" w:lastRowLastColumn="0"/>
            <w:tcW w:w="0" w:type="dxa"/>
            <w:vMerge/>
          </w:tcPr>
          <w:p w14:paraId="3D595D23" w14:textId="77777777" w:rsidR="00EE57C4" w:rsidRPr="00B66BE1" w:rsidRDefault="00EE57C4" w:rsidP="004623DD">
            <w:pPr>
              <w:rPr>
                <w:rFonts w:cs="Calibri"/>
                <w:sz w:val="22"/>
                <w:szCs w:val="22"/>
              </w:rPr>
            </w:pPr>
          </w:p>
        </w:tc>
        <w:tc>
          <w:tcPr>
            <w:tcW w:w="1764" w:type="dxa"/>
          </w:tcPr>
          <w:p w14:paraId="2856E41A" w14:textId="151C0EB8"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C6.1. R2 Razvoj okvira za osiguranje adekvatnih vještina u kontekstu zelenih poslova potrebnih za obnovu nakon potresa</w:t>
            </w:r>
          </w:p>
        </w:tc>
        <w:tc>
          <w:tcPr>
            <w:tcW w:w="1376" w:type="dxa"/>
          </w:tcPr>
          <w:p w14:paraId="287991DD" w14:textId="333C4AB8" w:rsidR="00EE57C4" w:rsidRPr="00B66BE1" w:rsidRDefault="00EE57C4" w:rsidP="007B3810">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4,05</w:t>
            </w:r>
          </w:p>
        </w:tc>
        <w:tc>
          <w:tcPr>
            <w:tcW w:w="1300" w:type="dxa"/>
          </w:tcPr>
          <w:p w14:paraId="05C1817D" w14:textId="77777777"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594" w:type="dxa"/>
          </w:tcPr>
          <w:p w14:paraId="5ADD8BA6" w14:textId="1FE09504"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Razvoj okvira za osiguranje adekvatnih vještina u kontekstu zelenih poslova potrebnih za obnovu zgrada (ENU-13)</w:t>
            </w:r>
          </w:p>
        </w:tc>
        <w:tc>
          <w:tcPr>
            <w:tcW w:w="1373" w:type="dxa"/>
          </w:tcPr>
          <w:p w14:paraId="00433A46" w14:textId="614A2283"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Bespovratna sredstva</w:t>
            </w:r>
          </w:p>
        </w:tc>
      </w:tr>
      <w:tr w:rsidR="00EE57C4" w:rsidRPr="00B47BDA" w14:paraId="5F4BAEF5" w14:textId="77777777" w:rsidTr="63259912">
        <w:tc>
          <w:tcPr>
            <w:cnfStyle w:val="001000000000" w:firstRow="0" w:lastRow="0" w:firstColumn="1" w:lastColumn="0" w:oddVBand="0" w:evenVBand="0" w:oddHBand="0" w:evenHBand="0" w:firstRowFirstColumn="0" w:firstRowLastColumn="0" w:lastRowFirstColumn="0" w:lastRowLastColumn="0"/>
            <w:tcW w:w="0" w:type="dxa"/>
          </w:tcPr>
          <w:p w14:paraId="7825284F" w14:textId="7CA512B4" w:rsidR="00EE57C4" w:rsidRPr="00B66BE1" w:rsidRDefault="00EE57C4" w:rsidP="004623DD">
            <w:pPr>
              <w:rPr>
                <w:rFonts w:cs="Calibri"/>
                <w:sz w:val="22"/>
                <w:szCs w:val="22"/>
              </w:rPr>
            </w:pPr>
            <w:r w:rsidRPr="00B66BE1">
              <w:rPr>
                <w:rFonts w:cs="Calibri"/>
                <w:sz w:val="22"/>
                <w:szCs w:val="22"/>
              </w:rPr>
              <w:t>NPOO</w:t>
            </w:r>
          </w:p>
        </w:tc>
        <w:tc>
          <w:tcPr>
            <w:tcW w:w="1764" w:type="dxa"/>
          </w:tcPr>
          <w:p w14:paraId="44884A72" w14:textId="5F77A4DF" w:rsidR="00EE57C4" w:rsidRPr="00B66BE1" w:rsidRDefault="00EE57C4" w:rsidP="63259912">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63259912">
              <w:rPr>
                <w:rFonts w:cs="Calibri"/>
                <w:sz w:val="22"/>
                <w:szCs w:val="22"/>
              </w:rPr>
              <w:t>C1.2. R1-I2 Poticanje energetske učinkovitosti, toplinarstva i obnovljivih izvora energije za dekarbonizaciju energetskog sektora</w:t>
            </w:r>
          </w:p>
        </w:tc>
        <w:tc>
          <w:tcPr>
            <w:tcW w:w="1376" w:type="dxa"/>
          </w:tcPr>
          <w:p w14:paraId="3B9CD90C" w14:textId="6B38784C" w:rsidR="00EE57C4" w:rsidRPr="00B66BE1" w:rsidRDefault="00EE57C4" w:rsidP="007B3810">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61,05</w:t>
            </w:r>
          </w:p>
        </w:tc>
        <w:tc>
          <w:tcPr>
            <w:tcW w:w="1300" w:type="dxa"/>
          </w:tcPr>
          <w:p w14:paraId="6D3B230D" w14:textId="77777777"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594" w:type="dxa"/>
          </w:tcPr>
          <w:p w14:paraId="0B3F6ED7" w14:textId="30CE1652"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 xml:space="preserve">Povećanje energetske učinkovitosti i korištenja OIE u proizvodnim industrijama (ENU-19) </w:t>
            </w:r>
          </w:p>
        </w:tc>
        <w:tc>
          <w:tcPr>
            <w:tcW w:w="1373" w:type="dxa"/>
          </w:tcPr>
          <w:p w14:paraId="1B8BDA8A" w14:textId="3E5E7E64"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Bespovratna sredstva</w:t>
            </w:r>
          </w:p>
        </w:tc>
      </w:tr>
      <w:tr w:rsidR="00EE57C4" w:rsidRPr="00B47BDA" w14:paraId="2FB5E2AC" w14:textId="77777777" w:rsidTr="63259912">
        <w:tc>
          <w:tcPr>
            <w:cnfStyle w:val="001000000000" w:firstRow="0" w:lastRow="0" w:firstColumn="1" w:lastColumn="0" w:oddVBand="0" w:evenVBand="0" w:oddHBand="0" w:evenHBand="0" w:firstRowFirstColumn="0" w:firstRowLastColumn="0" w:lastRowFirstColumn="0" w:lastRowLastColumn="0"/>
            <w:tcW w:w="0" w:type="dxa"/>
            <w:vMerge w:val="restart"/>
          </w:tcPr>
          <w:p w14:paraId="71D15458" w14:textId="6A1F2916" w:rsidR="00EE57C4" w:rsidRPr="00B66BE1" w:rsidRDefault="00EE57C4" w:rsidP="004623DD">
            <w:pPr>
              <w:rPr>
                <w:rFonts w:cs="Calibri"/>
                <w:sz w:val="22"/>
                <w:szCs w:val="22"/>
              </w:rPr>
            </w:pPr>
            <w:r w:rsidRPr="00B66BE1">
              <w:rPr>
                <w:rFonts w:cs="Calibri"/>
                <w:sz w:val="22"/>
                <w:szCs w:val="22"/>
              </w:rPr>
              <w:t>PKK-EFRR</w:t>
            </w:r>
          </w:p>
        </w:tc>
        <w:tc>
          <w:tcPr>
            <w:tcW w:w="1764" w:type="dxa"/>
            <w:vMerge w:val="restart"/>
          </w:tcPr>
          <w:p w14:paraId="069DA138" w14:textId="5BB3651C"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RSO2.1. Promicanje energetske učinkovitosti i smanjenje emisija stakleničkih plinova</w:t>
            </w:r>
          </w:p>
        </w:tc>
        <w:tc>
          <w:tcPr>
            <w:tcW w:w="1376" w:type="dxa"/>
          </w:tcPr>
          <w:p w14:paraId="683E8E86" w14:textId="56FEBCD6" w:rsidR="00EE57C4" w:rsidRPr="00B66BE1" w:rsidRDefault="00EE57C4" w:rsidP="007B3810">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150,00</w:t>
            </w:r>
          </w:p>
        </w:tc>
        <w:tc>
          <w:tcPr>
            <w:tcW w:w="1300" w:type="dxa"/>
          </w:tcPr>
          <w:p w14:paraId="20F8F00B" w14:textId="77777777"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594" w:type="dxa"/>
          </w:tcPr>
          <w:p w14:paraId="0228A5EF" w14:textId="2CFA7F78"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 xml:space="preserve">Povećanje energetske učinkovitosti i korištenja OIE u proizvodnim industrijama (ENU-19) </w:t>
            </w:r>
          </w:p>
          <w:p w14:paraId="42EE98D3" w14:textId="74E15A2E"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 xml:space="preserve"> </w:t>
            </w:r>
          </w:p>
        </w:tc>
        <w:tc>
          <w:tcPr>
            <w:tcW w:w="1373" w:type="dxa"/>
          </w:tcPr>
          <w:p w14:paraId="5669B0F1" w14:textId="36923983"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Financijski instrument: zajam</w:t>
            </w:r>
          </w:p>
        </w:tc>
      </w:tr>
      <w:tr w:rsidR="00EE57C4" w:rsidRPr="00B47BDA" w14:paraId="7D8E2EDD" w14:textId="77777777" w:rsidTr="63259912">
        <w:tc>
          <w:tcPr>
            <w:cnfStyle w:val="001000000000" w:firstRow="0" w:lastRow="0" w:firstColumn="1" w:lastColumn="0" w:oddVBand="0" w:evenVBand="0" w:oddHBand="0" w:evenHBand="0" w:firstRowFirstColumn="0" w:firstRowLastColumn="0" w:lastRowFirstColumn="0" w:lastRowLastColumn="0"/>
            <w:tcW w:w="0" w:type="dxa"/>
            <w:vMerge/>
          </w:tcPr>
          <w:p w14:paraId="4C71E358" w14:textId="77777777" w:rsidR="00EE57C4" w:rsidRPr="00B66BE1" w:rsidRDefault="00EE57C4" w:rsidP="004623DD">
            <w:pPr>
              <w:rPr>
                <w:rFonts w:cs="Calibri"/>
                <w:sz w:val="22"/>
                <w:szCs w:val="22"/>
              </w:rPr>
            </w:pPr>
          </w:p>
        </w:tc>
        <w:tc>
          <w:tcPr>
            <w:tcW w:w="1764" w:type="dxa"/>
            <w:vMerge/>
          </w:tcPr>
          <w:p w14:paraId="482B8993" w14:textId="77777777"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376" w:type="dxa"/>
          </w:tcPr>
          <w:p w14:paraId="4949A7BD" w14:textId="1EE18ACE" w:rsidR="00EE57C4" w:rsidRPr="00B66BE1" w:rsidRDefault="00EE57C4" w:rsidP="007B3810">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89,00</w:t>
            </w:r>
          </w:p>
        </w:tc>
        <w:tc>
          <w:tcPr>
            <w:tcW w:w="1300" w:type="dxa"/>
          </w:tcPr>
          <w:p w14:paraId="7E8D90FD" w14:textId="77777777"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594" w:type="dxa"/>
          </w:tcPr>
          <w:p w14:paraId="29B4E79C" w14:textId="033AB710"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Program energetske obnove višestambenih zgrada (ENU-3)</w:t>
            </w:r>
          </w:p>
        </w:tc>
        <w:tc>
          <w:tcPr>
            <w:tcW w:w="1373" w:type="dxa"/>
          </w:tcPr>
          <w:p w14:paraId="1C261F5F" w14:textId="09FCDB52"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Financijski instrument: zajam</w:t>
            </w:r>
          </w:p>
        </w:tc>
      </w:tr>
      <w:tr w:rsidR="00EE57C4" w:rsidRPr="00B47BDA" w14:paraId="79D9115F" w14:textId="77777777" w:rsidTr="63259912">
        <w:tc>
          <w:tcPr>
            <w:cnfStyle w:val="001000000000" w:firstRow="0" w:lastRow="0" w:firstColumn="1" w:lastColumn="0" w:oddVBand="0" w:evenVBand="0" w:oddHBand="0" w:evenHBand="0" w:firstRowFirstColumn="0" w:firstRowLastColumn="0" w:lastRowFirstColumn="0" w:lastRowLastColumn="0"/>
            <w:tcW w:w="0" w:type="dxa"/>
            <w:vMerge/>
          </w:tcPr>
          <w:p w14:paraId="66885527" w14:textId="77777777" w:rsidR="00EE57C4" w:rsidRPr="00B66BE1" w:rsidRDefault="00EE57C4" w:rsidP="004623DD">
            <w:pPr>
              <w:rPr>
                <w:rFonts w:cs="Calibri"/>
                <w:sz w:val="22"/>
                <w:szCs w:val="22"/>
              </w:rPr>
            </w:pPr>
          </w:p>
        </w:tc>
        <w:tc>
          <w:tcPr>
            <w:tcW w:w="1764" w:type="dxa"/>
            <w:vMerge/>
          </w:tcPr>
          <w:p w14:paraId="173798B4" w14:textId="77777777"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376" w:type="dxa"/>
          </w:tcPr>
          <w:p w14:paraId="4AE9FB92" w14:textId="0AC1A021" w:rsidR="00EE57C4" w:rsidRPr="00B66BE1" w:rsidRDefault="00EE57C4" w:rsidP="007B3810">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185,00</w:t>
            </w:r>
          </w:p>
        </w:tc>
        <w:tc>
          <w:tcPr>
            <w:tcW w:w="1300" w:type="dxa"/>
          </w:tcPr>
          <w:p w14:paraId="0FE68734" w14:textId="77777777"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594" w:type="dxa"/>
          </w:tcPr>
          <w:p w14:paraId="1BEB5461" w14:textId="0E20804B"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Program energetske obnove zgrada javnog sektora (ENU-5)</w:t>
            </w:r>
          </w:p>
          <w:p w14:paraId="0D64E323" w14:textId="2E10D851"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Program suzbijanja energetskog siromaštva (UET-6)</w:t>
            </w:r>
          </w:p>
        </w:tc>
        <w:tc>
          <w:tcPr>
            <w:tcW w:w="1373" w:type="dxa"/>
          </w:tcPr>
          <w:p w14:paraId="726A7A0C" w14:textId="69800478"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Bespovratna sredstva</w:t>
            </w:r>
          </w:p>
        </w:tc>
      </w:tr>
      <w:tr w:rsidR="00EE57C4" w:rsidRPr="00B47BDA" w14:paraId="6ECD5918" w14:textId="77777777" w:rsidTr="63259912">
        <w:tc>
          <w:tcPr>
            <w:cnfStyle w:val="001000000000" w:firstRow="0" w:lastRow="0" w:firstColumn="1" w:lastColumn="0" w:oddVBand="0" w:evenVBand="0" w:oddHBand="0" w:evenHBand="0" w:firstRowFirstColumn="0" w:firstRowLastColumn="0" w:lastRowFirstColumn="0" w:lastRowLastColumn="0"/>
            <w:tcW w:w="0" w:type="dxa"/>
          </w:tcPr>
          <w:p w14:paraId="6DC9DDC9" w14:textId="56D2D354" w:rsidR="00EE57C4" w:rsidRPr="00B66BE1" w:rsidRDefault="00EE57C4" w:rsidP="004623DD">
            <w:pPr>
              <w:rPr>
                <w:rFonts w:cs="Calibri"/>
                <w:sz w:val="22"/>
                <w:szCs w:val="22"/>
              </w:rPr>
            </w:pPr>
            <w:r w:rsidRPr="00B66BE1">
              <w:rPr>
                <w:rFonts w:cs="Calibri"/>
                <w:sz w:val="22"/>
                <w:szCs w:val="22"/>
              </w:rPr>
              <w:t>FZOEU</w:t>
            </w:r>
          </w:p>
        </w:tc>
        <w:tc>
          <w:tcPr>
            <w:tcW w:w="1764" w:type="dxa"/>
          </w:tcPr>
          <w:p w14:paraId="744E4DFF" w14:textId="6716BB51" w:rsidR="00EE57C4" w:rsidRPr="00910934"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910934">
              <w:rPr>
                <w:sz w:val="22"/>
                <w:szCs w:val="22"/>
              </w:rPr>
              <w:t xml:space="preserve">Sredstva prikupljena iz prihoda od prodaje </w:t>
            </w:r>
            <w:r w:rsidRPr="00910934">
              <w:rPr>
                <w:sz w:val="22"/>
                <w:szCs w:val="22"/>
              </w:rPr>
              <w:lastRenderedPageBreak/>
              <w:t>emisijskih jedinica iz EU ETS-a</w:t>
            </w:r>
          </w:p>
        </w:tc>
        <w:tc>
          <w:tcPr>
            <w:tcW w:w="1376" w:type="dxa"/>
          </w:tcPr>
          <w:p w14:paraId="6312539A" w14:textId="77777777" w:rsidR="00EE57C4" w:rsidRPr="00B66BE1" w:rsidRDefault="00EE57C4" w:rsidP="007B3810">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lastRenderedPageBreak/>
              <w:t>145,00</w:t>
            </w:r>
          </w:p>
          <w:p w14:paraId="7B1328A5" w14:textId="4AA6204C" w:rsidR="00EE57C4" w:rsidRPr="00B66BE1" w:rsidRDefault="00EE57C4" w:rsidP="007B3810">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lastRenderedPageBreak/>
              <w:t>(za razdoblje do kraja 2025.)</w:t>
            </w:r>
          </w:p>
        </w:tc>
        <w:tc>
          <w:tcPr>
            <w:tcW w:w="1300" w:type="dxa"/>
          </w:tcPr>
          <w:p w14:paraId="62ED276E" w14:textId="77777777"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594" w:type="dxa"/>
          </w:tcPr>
          <w:p w14:paraId="290B2945" w14:textId="1FA6F40C"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 xml:space="preserve">Program energetske obnove </w:t>
            </w:r>
            <w:r w:rsidRPr="00B66BE1">
              <w:rPr>
                <w:rFonts w:cs="Calibri"/>
                <w:sz w:val="22"/>
                <w:szCs w:val="22"/>
              </w:rPr>
              <w:lastRenderedPageBreak/>
              <w:t>obiteljskih (ENU-4)</w:t>
            </w:r>
          </w:p>
        </w:tc>
        <w:tc>
          <w:tcPr>
            <w:tcW w:w="1373" w:type="dxa"/>
          </w:tcPr>
          <w:p w14:paraId="2C3B0220" w14:textId="049F8CA6"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lastRenderedPageBreak/>
              <w:t>Bespovratna sredstva</w:t>
            </w:r>
          </w:p>
        </w:tc>
      </w:tr>
      <w:tr w:rsidR="00EE57C4" w:rsidRPr="00B47BDA" w14:paraId="6552D2B4" w14:textId="77777777" w:rsidTr="63259912">
        <w:tc>
          <w:tcPr>
            <w:cnfStyle w:val="001000000000" w:firstRow="0" w:lastRow="0" w:firstColumn="1" w:lastColumn="0" w:oddVBand="0" w:evenVBand="0" w:oddHBand="0" w:evenHBand="0" w:firstRowFirstColumn="0" w:firstRowLastColumn="0" w:lastRowFirstColumn="0" w:lastRowLastColumn="0"/>
            <w:tcW w:w="0" w:type="dxa"/>
          </w:tcPr>
          <w:p w14:paraId="5A0A0505" w14:textId="3AB0AA29" w:rsidR="00EE57C4" w:rsidRPr="00B66BE1" w:rsidRDefault="00EE57C4" w:rsidP="004623DD">
            <w:pPr>
              <w:rPr>
                <w:rFonts w:cs="Calibri"/>
                <w:sz w:val="22"/>
                <w:szCs w:val="22"/>
              </w:rPr>
            </w:pPr>
            <w:r w:rsidRPr="00B66BE1">
              <w:rPr>
                <w:rFonts w:cs="Calibri"/>
                <w:sz w:val="22"/>
                <w:szCs w:val="22"/>
              </w:rPr>
              <w:t>Modernizacijski fond</w:t>
            </w:r>
          </w:p>
        </w:tc>
        <w:tc>
          <w:tcPr>
            <w:tcW w:w="1764" w:type="dxa"/>
          </w:tcPr>
          <w:p w14:paraId="4D6F870E" w14:textId="1489647E"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Potpora ulaganju u mjere energetske učinkovitosti i visokoučinkovitu kogeneraciju u prerađivačkoj industriji</w:t>
            </w:r>
          </w:p>
        </w:tc>
        <w:tc>
          <w:tcPr>
            <w:tcW w:w="1376" w:type="dxa"/>
          </w:tcPr>
          <w:p w14:paraId="4A9CEFB0" w14:textId="0213CDEF" w:rsidR="00EE57C4" w:rsidRPr="00B66BE1" w:rsidRDefault="00EE57C4" w:rsidP="007B3810">
            <w:pPr>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80,00</w:t>
            </w:r>
          </w:p>
        </w:tc>
        <w:tc>
          <w:tcPr>
            <w:tcW w:w="1300" w:type="dxa"/>
          </w:tcPr>
          <w:p w14:paraId="01420C20" w14:textId="77777777"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1594" w:type="dxa"/>
          </w:tcPr>
          <w:p w14:paraId="01A41758" w14:textId="387F2883"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Povećanje energetske učinkovitosti i korištenja OIE u proizvodnim industrijama (ENU-17)</w:t>
            </w:r>
          </w:p>
        </w:tc>
        <w:tc>
          <w:tcPr>
            <w:tcW w:w="1373" w:type="dxa"/>
          </w:tcPr>
          <w:p w14:paraId="0F204DBC" w14:textId="2C9CE5EA" w:rsidR="00EE57C4" w:rsidRPr="00B66BE1" w:rsidRDefault="00EE57C4" w:rsidP="004623DD">
            <w:pPr>
              <w:cnfStyle w:val="000000000000" w:firstRow="0" w:lastRow="0" w:firstColumn="0" w:lastColumn="0" w:oddVBand="0" w:evenVBand="0" w:oddHBand="0" w:evenHBand="0" w:firstRowFirstColumn="0" w:firstRowLastColumn="0" w:lastRowFirstColumn="0" w:lastRowLastColumn="0"/>
              <w:rPr>
                <w:rFonts w:cs="Calibri"/>
                <w:sz w:val="22"/>
                <w:szCs w:val="22"/>
              </w:rPr>
            </w:pPr>
            <w:r w:rsidRPr="00B66BE1">
              <w:rPr>
                <w:rFonts w:cs="Calibri"/>
                <w:sz w:val="22"/>
                <w:szCs w:val="22"/>
              </w:rPr>
              <w:t>Bespovratna sredstva</w:t>
            </w:r>
          </w:p>
        </w:tc>
      </w:tr>
    </w:tbl>
    <w:p w14:paraId="2DB549DF" w14:textId="4BFC624E" w:rsidR="00C21988" w:rsidRPr="00B47BDA" w:rsidRDefault="00BA4CD9" w:rsidP="005C2C7E">
      <w:pPr>
        <w:pStyle w:val="Heading2"/>
        <w:numPr>
          <w:ilvl w:val="1"/>
          <w:numId w:val="175"/>
        </w:numPr>
      </w:pPr>
      <w:bookmarkStart w:id="452" w:name="_Toc531702977"/>
      <w:bookmarkStart w:id="453" w:name="_Toc531801563"/>
      <w:bookmarkStart w:id="454" w:name="_Toc531801690"/>
      <w:bookmarkStart w:id="455" w:name="_Toc531801818"/>
      <w:bookmarkStart w:id="456" w:name="_Toc531801946"/>
      <w:bookmarkStart w:id="457" w:name="_Toc531935158"/>
      <w:bookmarkStart w:id="458" w:name="_Toc531945108"/>
      <w:bookmarkStart w:id="459" w:name="_Toc6302365"/>
      <w:bookmarkEnd w:id="452"/>
      <w:bookmarkEnd w:id="453"/>
      <w:bookmarkEnd w:id="454"/>
      <w:bookmarkEnd w:id="455"/>
      <w:bookmarkEnd w:id="456"/>
      <w:r w:rsidRPr="00B47BDA">
        <w:tab/>
      </w:r>
      <w:bookmarkStart w:id="460" w:name="_Toc187418349"/>
      <w:bookmarkStart w:id="461" w:name="_Toc193043274"/>
      <w:r w:rsidR="00C21988" w:rsidRPr="00B47BDA">
        <w:t xml:space="preserve">Dimenzija: </w:t>
      </w:r>
      <w:r w:rsidR="007E1352">
        <w:t>e</w:t>
      </w:r>
      <w:r w:rsidR="00C21988" w:rsidRPr="00B47BDA">
        <w:t>nergetska sigurnost</w:t>
      </w:r>
      <w:bookmarkEnd w:id="457"/>
      <w:bookmarkEnd w:id="458"/>
      <w:bookmarkEnd w:id="459"/>
      <w:bookmarkEnd w:id="460"/>
      <w:bookmarkEnd w:id="461"/>
      <w:r w:rsidR="0086329E" w:rsidRPr="00B47BDA">
        <w:t xml:space="preserve"> </w:t>
      </w:r>
    </w:p>
    <w:p w14:paraId="284D3754" w14:textId="075B6967" w:rsidR="00622858" w:rsidRPr="00B47BDA" w:rsidRDefault="00622858" w:rsidP="005C2C7E">
      <w:pPr>
        <w:pStyle w:val="Heading4"/>
        <w:numPr>
          <w:ilvl w:val="3"/>
          <w:numId w:val="175"/>
        </w:numPr>
        <w:ind w:hanging="580"/>
      </w:pPr>
      <w:r w:rsidRPr="00B47BDA">
        <w:t xml:space="preserve">Politike i mjere koje se odnose na elemente iz </w:t>
      </w:r>
      <w:r w:rsidR="0047702D">
        <w:t>točke</w:t>
      </w:r>
      <w:r w:rsidRPr="00B47BDA">
        <w:t xml:space="preserve"> </w:t>
      </w:r>
      <w:r w:rsidR="0047702D">
        <w:t>2</w:t>
      </w:r>
      <w:r w:rsidRPr="00B47BDA">
        <w:t xml:space="preserve">.3 </w:t>
      </w:r>
    </w:p>
    <w:p w14:paraId="660E4883" w14:textId="03894FB9" w:rsidR="000E3C21" w:rsidRPr="00B47BDA" w:rsidRDefault="00C21988" w:rsidP="004623DD">
      <w:r w:rsidRPr="00B47BDA">
        <w:t>Politike i mjere koje se odnose na elemente</w:t>
      </w:r>
      <w:r w:rsidR="00E35991" w:rsidRPr="00B47BDA">
        <w:t xml:space="preserve"> </w:t>
      </w:r>
      <w:r w:rsidRPr="00B47BDA">
        <w:t xml:space="preserve">iz </w:t>
      </w:r>
      <w:r w:rsidR="0047702D">
        <w:t>točke</w:t>
      </w:r>
      <w:r w:rsidRPr="00B47BDA">
        <w:t xml:space="preserve"> </w:t>
      </w:r>
      <w:r w:rsidR="0047702D">
        <w:t>2</w:t>
      </w:r>
      <w:r w:rsidRPr="00B47BDA">
        <w:t xml:space="preserve">.3 </w:t>
      </w:r>
      <w:r w:rsidR="00B50997" w:rsidRPr="00B47BDA">
        <w:t xml:space="preserve">svrstane su prema sektorima: </w:t>
      </w:r>
      <w:r w:rsidR="00D858A3" w:rsidRPr="00B47BDA">
        <w:t>e</w:t>
      </w:r>
      <w:r w:rsidR="00BC2709" w:rsidRPr="00B47BDA">
        <w:t xml:space="preserve">lektrična energija, </w:t>
      </w:r>
      <w:r w:rsidR="00D858A3" w:rsidRPr="00B47BDA">
        <w:t xml:space="preserve">centralizirani toplinski sustavi, </w:t>
      </w:r>
      <w:r w:rsidR="00BC2709" w:rsidRPr="00B47BDA">
        <w:t>plin te nafta i naf</w:t>
      </w:r>
      <w:r w:rsidR="00AA0075" w:rsidRPr="00B47BDA">
        <w:t>t</w:t>
      </w:r>
      <w:r w:rsidR="00BC2709" w:rsidRPr="00B47BDA">
        <w:t>ni derivati</w:t>
      </w:r>
      <w:r w:rsidR="00B87BCF" w:rsidRPr="00B47BDA">
        <w:t xml:space="preserve"> i prikazane u nastavku</w:t>
      </w:r>
      <w:r w:rsidR="005E1ED5" w:rsidRPr="00B47BDA">
        <w:t>.</w:t>
      </w:r>
    </w:p>
    <w:p w14:paraId="44E39D52" w14:textId="4C445EC6" w:rsidR="00774BF5" w:rsidRPr="00B47BDA" w:rsidRDefault="00774BF5" w:rsidP="007B3810">
      <w:pPr>
        <w:pStyle w:val="Mjeranaslov"/>
      </w:pPr>
      <w:r w:rsidRPr="00B47BDA">
        <w:t>ES-</w:t>
      </w:r>
      <w:r w:rsidR="00772BFE" w:rsidRPr="00B47BDA">
        <w:t>1</w:t>
      </w:r>
      <w:r w:rsidR="00F303C7">
        <w:t xml:space="preserve"> </w:t>
      </w:r>
      <w:r w:rsidRPr="00B47BDA">
        <w:tab/>
        <w:t>Izgradnja i korištenje spremnika energije</w:t>
      </w:r>
    </w:p>
    <w:p w14:paraId="09D9576E" w14:textId="7DCD5787" w:rsidR="00505966" w:rsidRPr="00B47BDA" w:rsidRDefault="00505966" w:rsidP="004623DD">
      <w:r w:rsidRPr="00B47BDA">
        <w:t>Financijska mjera; provedba 202</w:t>
      </w:r>
      <w:r w:rsidR="00E44ED2">
        <w:t>5</w:t>
      </w:r>
      <w:r w:rsidRPr="00B47BDA">
        <w:t>. – 2030.</w:t>
      </w:r>
    </w:p>
    <w:p w14:paraId="25D93594" w14:textId="3EBFF22D" w:rsidR="00E51392" w:rsidRPr="00B47BDA" w:rsidRDefault="00BF0E06" w:rsidP="004623DD">
      <w:pPr>
        <w:pStyle w:val="NormalWeb"/>
      </w:pPr>
      <w:r w:rsidRPr="00B47BDA">
        <w:rPr>
          <w:b/>
          <w:color w:val="000000"/>
        </w:rPr>
        <w:t>Cilj i opis mjere:</w:t>
      </w:r>
      <w:r w:rsidRPr="00B47BDA">
        <w:t xml:space="preserve"> </w:t>
      </w:r>
      <w:r w:rsidR="00774BF5" w:rsidRPr="00B47BDA">
        <w:t>U svrhu</w:t>
      </w:r>
      <w:r w:rsidR="00E223DA" w:rsidRPr="00B47BDA">
        <w:t xml:space="preserve"> </w:t>
      </w:r>
      <w:r w:rsidR="00774BF5" w:rsidRPr="00B47BDA">
        <w:t xml:space="preserve">povećanja mogućnosti skladištenja energije u sustavu i povećanih regulacijskih mogućnosti elektroenergetskog sustava, planirana je izgradnja dodatnih </w:t>
      </w:r>
      <w:r w:rsidR="00E714FD" w:rsidRPr="00B47BDA">
        <w:t>spremnika energije temeljenih na baterijskim sustavima</w:t>
      </w:r>
      <w:r w:rsidR="00435A18">
        <w:t xml:space="preserve"> (</w:t>
      </w:r>
      <w:r w:rsidR="00B05716">
        <w:t xml:space="preserve">kod proizvođača, na razini prijenosne i distribucijske mreže, kod </w:t>
      </w:r>
      <w:r w:rsidR="008E08FE">
        <w:t>potrošača)</w:t>
      </w:r>
      <w:r w:rsidR="00E714FD" w:rsidRPr="00B47BDA">
        <w:t xml:space="preserve">, tehnologiji vodika, </w:t>
      </w:r>
      <w:r w:rsidR="00774BF5" w:rsidRPr="00B47BDA">
        <w:t xml:space="preserve">reverzibilnih </w:t>
      </w:r>
      <w:r w:rsidR="00E714FD" w:rsidRPr="00B47BDA">
        <w:t>hidro</w:t>
      </w:r>
      <w:r w:rsidR="00774BF5" w:rsidRPr="00B47BDA">
        <w:t xml:space="preserve">elektrana, zatim razvoj spremnika topline kod </w:t>
      </w:r>
      <w:r w:rsidR="002542C6">
        <w:t>proizvođača/</w:t>
      </w:r>
      <w:r w:rsidR="00774BF5" w:rsidRPr="00B47BDA">
        <w:t>krajnjih kupaca</w:t>
      </w:r>
      <w:r w:rsidR="008E6713" w:rsidRPr="00B47BDA">
        <w:t xml:space="preserve">, </w:t>
      </w:r>
      <w:r w:rsidR="00774BF5" w:rsidRPr="00B47BDA">
        <w:t>uvođenje punionica za električna vozila koje omogućuju skladištenje energije</w:t>
      </w:r>
      <w:r w:rsidR="00960ADB" w:rsidRPr="00B47BDA">
        <w:t xml:space="preserve">, razvoj podzemnih skladišta energije u vidu komprimiranog plina </w:t>
      </w:r>
      <w:r w:rsidR="005365A6" w:rsidRPr="00B47BDA">
        <w:t xml:space="preserve">te </w:t>
      </w:r>
      <w:r w:rsidR="000C7A09" w:rsidRPr="00B47BDA">
        <w:t xml:space="preserve">korištenje drugih inovativnih tehnologija </w:t>
      </w:r>
      <w:r w:rsidR="00A810A0" w:rsidRPr="00B47BDA">
        <w:t>za pohranu energije</w:t>
      </w:r>
      <w:r w:rsidR="00D11EE2" w:rsidRPr="00B47BDA">
        <w:t xml:space="preserve"> (financiranih iz EU sredstava)</w:t>
      </w:r>
      <w:r w:rsidR="00774BF5" w:rsidRPr="00B47BDA">
        <w:t>.</w:t>
      </w:r>
      <w:r w:rsidR="00EE1D6E">
        <w:t xml:space="preserve"> </w:t>
      </w:r>
      <w:r w:rsidR="00B56B5D">
        <w:t xml:space="preserve">Do 2030. godine predviđena je potreba za izgradnjom baterijskih spremnika </w:t>
      </w:r>
      <w:r w:rsidR="009C1E41">
        <w:t>ukupne snage od 250 MW.</w:t>
      </w:r>
    </w:p>
    <w:p w14:paraId="540B97D9" w14:textId="68C13CCC" w:rsidR="00F77C75" w:rsidRPr="007B3810" w:rsidRDefault="00F77C75" w:rsidP="00C73A3B">
      <w:pPr>
        <w:rPr>
          <w:rFonts w:eastAsia="Calibri"/>
          <w:b/>
          <w:bCs/>
        </w:rPr>
      </w:pPr>
      <w:r w:rsidRPr="007B3810">
        <w:rPr>
          <w:b/>
          <w:bCs/>
        </w:rPr>
        <w:t xml:space="preserve">Aktivnosti: </w:t>
      </w:r>
    </w:p>
    <w:p w14:paraId="330CCBDD" w14:textId="77777777" w:rsidR="003E6B30" w:rsidRDefault="00A92464" w:rsidP="00F200F4">
      <w:pPr>
        <w:pStyle w:val="ListParagraph"/>
        <w:numPr>
          <w:ilvl w:val="0"/>
          <w:numId w:val="209"/>
        </w:numPr>
      </w:pPr>
      <w:r>
        <w:t xml:space="preserve">Izgradnja spremnika kod </w:t>
      </w:r>
      <w:r w:rsidR="00552C78">
        <w:t xml:space="preserve">korisnika </w:t>
      </w:r>
      <w:r w:rsidR="001B1515">
        <w:t>elektroenergetske mreže</w:t>
      </w:r>
      <w:r w:rsidR="00821D07">
        <w:t>,</w:t>
      </w:r>
    </w:p>
    <w:p w14:paraId="4FA45CB3" w14:textId="57820BD5" w:rsidR="00F77C75" w:rsidRDefault="00821D07" w:rsidP="00F200F4">
      <w:pPr>
        <w:pStyle w:val="ListParagraph"/>
        <w:numPr>
          <w:ilvl w:val="0"/>
          <w:numId w:val="209"/>
        </w:numPr>
      </w:pPr>
      <w:r>
        <w:t>Izgradnja</w:t>
      </w:r>
      <w:r w:rsidR="00E714FD" w:rsidRPr="00B47BDA">
        <w:t xml:space="preserve"> spremnik</w:t>
      </w:r>
      <w:r>
        <w:t>a</w:t>
      </w:r>
      <w:r w:rsidR="00E714FD" w:rsidRPr="00B47BDA">
        <w:t xml:space="preserve"> topline </w:t>
      </w:r>
      <w:r w:rsidR="00777D93">
        <w:t xml:space="preserve">kod proizvođača odnosno </w:t>
      </w:r>
      <w:r w:rsidR="00E714FD" w:rsidRPr="00B47BDA">
        <w:t>na razini</w:t>
      </w:r>
      <w:r w:rsidR="004C4111" w:rsidRPr="00B47BDA">
        <w:t xml:space="preserve"> distribucijske mreže</w:t>
      </w:r>
      <w:r w:rsidR="00E714FD" w:rsidRPr="00B47BDA">
        <w:t xml:space="preserve"> toplinskih sustava</w:t>
      </w:r>
      <w:r w:rsidR="00C73A3B">
        <w:t>.</w:t>
      </w:r>
    </w:p>
    <w:p w14:paraId="49AFAFDA" w14:textId="77777777" w:rsidR="00A50118" w:rsidRDefault="00F77C75" w:rsidP="003653B3">
      <w:pPr>
        <w:spacing w:before="240"/>
        <w:rPr>
          <w:b/>
          <w:bCs/>
        </w:rPr>
      </w:pPr>
      <w:r w:rsidRPr="007B3810">
        <w:rPr>
          <w:b/>
          <w:bCs/>
        </w:rPr>
        <w:t xml:space="preserve">Sredstva potrebna za provedbu: </w:t>
      </w:r>
    </w:p>
    <w:p w14:paraId="566ADB43" w14:textId="4654D705" w:rsidR="00424372" w:rsidRPr="00923D67" w:rsidRDefault="00424372" w:rsidP="00424372">
      <w:pPr>
        <w:pStyle w:val="ListParagraph"/>
        <w:numPr>
          <w:ilvl w:val="0"/>
          <w:numId w:val="74"/>
        </w:numPr>
      </w:pPr>
      <w:r w:rsidRPr="00923D67">
        <w:t xml:space="preserve">Ukupna </w:t>
      </w:r>
      <w:r w:rsidR="00E85701" w:rsidRPr="00923D67">
        <w:t>potrebna sredstva za i</w:t>
      </w:r>
      <w:r w:rsidR="00E85701">
        <w:t xml:space="preserve">zgradnju baterijskih spremnika procijenjena su na </w:t>
      </w:r>
      <w:r w:rsidR="00923D67">
        <w:t>250 milijuna EUR</w:t>
      </w:r>
      <w:r w:rsidR="00BF4481">
        <w:t>.</w:t>
      </w:r>
    </w:p>
    <w:p w14:paraId="24E146E6" w14:textId="278190A8" w:rsidR="00EA574C" w:rsidRPr="00B47BDA" w:rsidRDefault="00F77C75" w:rsidP="00E1664E">
      <w:pPr>
        <w:spacing w:before="240"/>
      </w:pPr>
      <w:r w:rsidRPr="00B47BDA">
        <w:rPr>
          <w:b/>
        </w:rPr>
        <w:t xml:space="preserve">Izvori financiranja: </w:t>
      </w:r>
      <w:r w:rsidR="00EA574C" w:rsidRPr="00B47BDA">
        <w:t>Modernizacijski fond</w:t>
      </w:r>
      <w:r w:rsidR="00A50118" w:rsidRPr="00B47BDA">
        <w:t>, NPOO</w:t>
      </w:r>
      <w:r w:rsidR="00C73A3B">
        <w:t>.</w:t>
      </w:r>
    </w:p>
    <w:p w14:paraId="5FE64AEC" w14:textId="7FDABBE9" w:rsidR="00F77C75" w:rsidRPr="007B3810" w:rsidRDefault="007923E9" w:rsidP="00A563AA">
      <w:pPr>
        <w:pStyle w:val="ListParagraph"/>
        <w:numPr>
          <w:ilvl w:val="0"/>
          <w:numId w:val="74"/>
        </w:numPr>
      </w:pPr>
      <w:r w:rsidRPr="00B47BDA">
        <w:lastRenderedPageBreak/>
        <w:t xml:space="preserve">financiranje iz sredstava Modernizacijskog fonda u kategoriji prioritetnih ulaganja za koja je namijenjeno ukupno 70% sredstava za proizvodnju i korištenje obnovljive električne energije poboljšanje energetske učinkovitosti, </w:t>
      </w:r>
      <w:r w:rsidRPr="00B47BDA">
        <w:rPr>
          <w:b/>
        </w:rPr>
        <w:t>skladištenje energije</w:t>
      </w:r>
      <w:r w:rsidRPr="00B47BDA">
        <w:t>, modernizaciju energetske mreže te tranziciju regija ovisnih o ugljenu</w:t>
      </w:r>
      <w:r w:rsidR="00C73A3B">
        <w:t>.</w:t>
      </w:r>
      <w:r w:rsidRPr="00B47BDA">
        <w:t xml:space="preserve"> </w:t>
      </w:r>
    </w:p>
    <w:p w14:paraId="29FB114F" w14:textId="796D9611" w:rsidR="00F77C75" w:rsidRPr="00B47BDA" w:rsidRDefault="00F77C75" w:rsidP="00E1664E">
      <w:pPr>
        <w:spacing w:before="240"/>
      </w:pPr>
      <w:r w:rsidRPr="00B47BDA">
        <w:rPr>
          <w:b/>
        </w:rPr>
        <w:t xml:space="preserve">Izvršno tijelo: </w:t>
      </w:r>
      <w:r w:rsidR="00E90260">
        <w:t>Sudionici na tržištu električne energije</w:t>
      </w:r>
      <w:r w:rsidR="00C73A3B">
        <w:t>.</w:t>
      </w:r>
    </w:p>
    <w:p w14:paraId="1C06BE68" w14:textId="2B0B55BA" w:rsidR="00F77C75" w:rsidRPr="007B3810" w:rsidRDefault="00F77C75" w:rsidP="004623DD">
      <w:r w:rsidRPr="007B3810">
        <w:rPr>
          <w:b/>
          <w:bCs/>
        </w:rPr>
        <w:t>Tijela za praćenje:</w:t>
      </w:r>
      <w:r w:rsidR="00386980" w:rsidRPr="00B47BDA">
        <w:t xml:space="preserve"> </w:t>
      </w:r>
      <w:r w:rsidR="00D2744A" w:rsidRPr="00B47BDA">
        <w:t>MINGO</w:t>
      </w:r>
      <w:r w:rsidR="00C73A3B">
        <w:t>.</w:t>
      </w:r>
    </w:p>
    <w:p w14:paraId="645A0D6E" w14:textId="0187E29E" w:rsidR="00F77C75" w:rsidRPr="00B47BDA" w:rsidRDefault="00F77C75" w:rsidP="004623DD">
      <w:r w:rsidRPr="00B47BDA">
        <w:rPr>
          <w:b/>
        </w:rPr>
        <w:t>Učinak</w:t>
      </w:r>
      <w:r w:rsidRPr="00B47BDA">
        <w:t xml:space="preserve">: </w:t>
      </w:r>
      <w:r w:rsidR="002C36D9" w:rsidRPr="00B47BDA">
        <w:t>Odobravanje i praćenje</w:t>
      </w:r>
      <w:r w:rsidR="002C36D9" w:rsidRPr="00B47BDA" w:rsidDel="00684CF4">
        <w:t xml:space="preserve"> provedb</w:t>
      </w:r>
      <w:r w:rsidR="002C36D9" w:rsidRPr="00B47BDA">
        <w:t>e</w:t>
      </w:r>
      <w:r w:rsidR="002C36D9" w:rsidRPr="00B47BDA" w:rsidDel="00684CF4">
        <w:t xml:space="preserve"> Desetogodišnjeg plana razvoja </w:t>
      </w:r>
      <w:r w:rsidR="002C36D9" w:rsidRPr="00B47BDA">
        <w:t xml:space="preserve">prijenosne </w:t>
      </w:r>
      <w:r w:rsidR="002C36D9" w:rsidRPr="00B47BDA" w:rsidDel="00684CF4">
        <w:t xml:space="preserve">mreže </w:t>
      </w:r>
      <w:r w:rsidR="002C36D9" w:rsidRPr="00B47BDA" w:rsidDel="00173588">
        <w:t xml:space="preserve">HOPS-a </w:t>
      </w:r>
      <w:r w:rsidR="002C36D9" w:rsidRPr="00B47BDA">
        <w:t>i Desetogodišnjeg plana razvoja distribucijske mreže</w:t>
      </w:r>
      <w:r w:rsidR="002C36D9" w:rsidRPr="00B47BDA" w:rsidDel="00173588">
        <w:t xml:space="preserve"> </w:t>
      </w:r>
      <w:r w:rsidR="002C36D9" w:rsidRPr="00B47BDA">
        <w:t>HEP</w:t>
      </w:r>
      <w:r w:rsidR="002C36D9" w:rsidRPr="00B47BDA" w:rsidDel="00173588">
        <w:t xml:space="preserve"> ODS-a</w:t>
      </w:r>
      <w:r w:rsidR="00C73A3B">
        <w:t>.</w:t>
      </w:r>
    </w:p>
    <w:p w14:paraId="3F780170" w14:textId="11F3CB54" w:rsidR="00F77C75" w:rsidRPr="00B47BDA" w:rsidRDefault="00F77C75" w:rsidP="004623DD">
      <w:pPr>
        <w:rPr>
          <w:rFonts w:eastAsia="Calibri"/>
        </w:rPr>
      </w:pPr>
      <w:r w:rsidRPr="00B47BDA">
        <w:rPr>
          <w:b/>
        </w:rPr>
        <w:t>Metoda praćenja:</w:t>
      </w:r>
      <w:r w:rsidRPr="00B47BDA">
        <w:t xml:space="preserve"> </w:t>
      </w:r>
      <w:r w:rsidR="00A845AE" w:rsidRPr="00B47BDA">
        <w:t xml:space="preserve">Desetogodišnji plan razvoja prijenosne </w:t>
      </w:r>
      <w:r w:rsidR="002C36D9" w:rsidRPr="00B47BDA">
        <w:t>i</w:t>
      </w:r>
      <w:r w:rsidR="00A845AE" w:rsidRPr="00B47BDA">
        <w:t xml:space="preserve"> distribucijske mreže</w:t>
      </w:r>
      <w:r w:rsidR="00C73A3B">
        <w:t>.</w:t>
      </w:r>
    </w:p>
    <w:p w14:paraId="1E666174" w14:textId="374A88DD" w:rsidR="00772BFE" w:rsidRPr="00225107" w:rsidRDefault="00F77C75" w:rsidP="004623DD">
      <w:pPr>
        <w:rPr>
          <w:rFonts w:eastAsia="Calibri"/>
          <w:color w:val="000000"/>
        </w:rPr>
      </w:pPr>
      <w:r w:rsidRPr="00B47BDA">
        <w:rPr>
          <w:rFonts w:eastAsia="Calibri"/>
          <w:b/>
        </w:rPr>
        <w:t xml:space="preserve">Istraživanje i razvoj: </w:t>
      </w:r>
      <w:r w:rsidR="00A845AE" w:rsidRPr="00B47BDA">
        <w:rPr>
          <w:rFonts w:eastAsia="Calibri"/>
        </w:rPr>
        <w:t xml:space="preserve">Ulaganje u istraživanje i razvoj novih tehnologija radi modernizacije </w:t>
      </w:r>
      <w:r w:rsidR="004C4111" w:rsidRPr="00B47BDA">
        <w:rPr>
          <w:rFonts w:eastAsia="Calibri"/>
        </w:rPr>
        <w:t>i</w:t>
      </w:r>
      <w:r w:rsidR="00A845AE" w:rsidRPr="00B47BDA">
        <w:rPr>
          <w:rFonts w:eastAsia="Calibri"/>
        </w:rPr>
        <w:t xml:space="preserve"> sve veće potrebe za prihvatom OIE u </w:t>
      </w:r>
      <w:r w:rsidR="004C4111" w:rsidRPr="00B47BDA">
        <w:rPr>
          <w:rFonts w:eastAsia="Calibri"/>
        </w:rPr>
        <w:t>elektroenergetsku</w:t>
      </w:r>
      <w:r w:rsidR="00A845AE" w:rsidRPr="00B47BDA">
        <w:rPr>
          <w:rFonts w:eastAsia="Calibri"/>
        </w:rPr>
        <w:t xml:space="preserve"> </w:t>
      </w:r>
      <w:r w:rsidR="004C4111" w:rsidRPr="00B47BDA">
        <w:rPr>
          <w:rFonts w:eastAsia="Calibri"/>
        </w:rPr>
        <w:t>i toplinsku</w:t>
      </w:r>
      <w:r w:rsidR="00A845AE" w:rsidRPr="00B47BDA">
        <w:rPr>
          <w:rFonts w:eastAsia="Calibri"/>
        </w:rPr>
        <w:t xml:space="preserve"> mrežu</w:t>
      </w:r>
      <w:r w:rsidR="00C73A3B">
        <w:rPr>
          <w:rFonts w:eastAsia="Calibri"/>
        </w:rPr>
        <w:t>.</w:t>
      </w:r>
    </w:p>
    <w:p w14:paraId="7442E0B5" w14:textId="1E14A7A0" w:rsidR="00774BF5" w:rsidRDefault="00774BF5" w:rsidP="007B3810">
      <w:pPr>
        <w:pStyle w:val="Mjeranaslov"/>
      </w:pPr>
      <w:r w:rsidRPr="00B47BDA">
        <w:t>ES-</w:t>
      </w:r>
      <w:r w:rsidR="00772BFE" w:rsidRPr="00B47BDA">
        <w:t>2</w:t>
      </w:r>
      <w:r w:rsidR="002834F7">
        <w:t xml:space="preserve"> </w:t>
      </w:r>
      <w:r w:rsidRPr="00B47BDA">
        <w:tab/>
        <w:t>Unaprjeđenje vođenja elektroenergetskog sustava</w:t>
      </w:r>
      <w:r w:rsidRPr="00B47BDA" w:rsidDel="002A18CB">
        <w:t xml:space="preserve"> </w:t>
      </w:r>
    </w:p>
    <w:p w14:paraId="3C91C6AA" w14:textId="2B859643" w:rsidR="00B24183" w:rsidRPr="00B24183" w:rsidRDefault="00B24183" w:rsidP="00E1664E">
      <w:pPr>
        <w:pStyle w:val="Mjeranaslov"/>
        <w:spacing w:before="240"/>
        <w:rPr>
          <w:b w:val="0"/>
          <w:bCs w:val="0"/>
          <w:color w:val="auto"/>
        </w:rPr>
      </w:pPr>
      <w:r w:rsidRPr="00B24183">
        <w:rPr>
          <w:b w:val="0"/>
          <w:bCs w:val="0"/>
          <w:color w:val="auto"/>
        </w:rPr>
        <w:t>Financijska mjera; provedba 2021.-2030.</w:t>
      </w:r>
    </w:p>
    <w:p w14:paraId="0A5E1554" w14:textId="320CA946" w:rsidR="007B3810" w:rsidRPr="00B47BDA" w:rsidRDefault="00821DFD" w:rsidP="004623DD">
      <w:pPr>
        <w:pStyle w:val="NormalWeb"/>
      </w:pPr>
      <w:r w:rsidRPr="63259912">
        <w:rPr>
          <w:b/>
          <w:bCs/>
          <w:color w:val="000000" w:themeColor="text1"/>
        </w:rPr>
        <w:t>Cilj i opis mjere:</w:t>
      </w:r>
      <w:r w:rsidRPr="63259912">
        <w:rPr>
          <w:color w:val="000000" w:themeColor="text1"/>
        </w:rPr>
        <w:t xml:space="preserve"> </w:t>
      </w:r>
      <w:r w:rsidR="00883612" w:rsidRPr="63259912">
        <w:t>Sadašnji elektroenergetski sustav neće biti u mogućnosti prihvatiti veliku količinu obnovljivih izvora energije koja je planirana do 2026. i do 2030. što je nužno, jer je proizvodnja energije iz obnovljivih izvora jedna od najvažnijih mjera dekarbonizacije energetskog sektora. Stoga se kroz ovu mjeru očekuje</w:t>
      </w:r>
      <w:r w:rsidR="00DB44ED" w:rsidRPr="63259912">
        <w:t xml:space="preserve"> daljnji razvoj tehnika i procedura vođenja elektroenergetskog sustava, uz primjenu niza modernih alata koji bi trebali omogućiti visoku razinu automatizacije sustava vođenja te unaprjeđenje koordinacije s ostalim operatorima prijenosnih sustava u regiji i šire uz postojanje europskih koordinacijskih centara te komunikacije s drugim sudionicima na tržištu električne energije. Povećanjem udjela obnovljivih izvora u strukturi proizvodnje električne energije, povećavaju se potrebe za dostatnim regulacijskim kapacitetima za potrebe vođenja elektroenergetskog sustava. Od posebne će važnosti biti održavanje visoke sigurnosti cjelokupnog sustava vođenja kako bi se onemogućili kibernetički napadi koji mogu ugroziti pogon elektroenergetskog sustava i napajanje kupaca električnom energijom. Također, u planiranju će se uzeti u obzir rizici vezani za ekstremne vremenske prilike, koji su povećani uslijed klimatskih promjena</w:t>
      </w:r>
      <w:r w:rsidR="007B3810" w:rsidRPr="63259912">
        <w:t>.</w:t>
      </w:r>
    </w:p>
    <w:p w14:paraId="74B6D323" w14:textId="1A532E68" w:rsidR="006D0975" w:rsidRPr="007B3810" w:rsidRDefault="001D1461" w:rsidP="004623DD">
      <w:pPr>
        <w:rPr>
          <w:rFonts w:eastAsia="Calibri"/>
          <w:b/>
          <w:bCs/>
        </w:rPr>
      </w:pPr>
      <w:r w:rsidRPr="007B3810">
        <w:rPr>
          <w:rFonts w:eastAsia="Calibri"/>
          <w:b/>
          <w:bCs/>
        </w:rPr>
        <w:t xml:space="preserve">Aktivnosti: </w:t>
      </w:r>
    </w:p>
    <w:p w14:paraId="31D66B68" w14:textId="2EB1B385" w:rsidR="001D1461" w:rsidRPr="00B47BDA" w:rsidRDefault="001D1461" w:rsidP="00B66BE1">
      <w:pPr>
        <w:pStyle w:val="ListParagraph"/>
        <w:numPr>
          <w:ilvl w:val="0"/>
          <w:numId w:val="70"/>
        </w:numPr>
        <w:spacing w:after="60"/>
        <w:ind w:left="714" w:hanging="357"/>
        <w:rPr>
          <w:rFonts w:eastAsia="Calibri" w:cs="Arial"/>
          <w:color w:val="000000"/>
        </w:rPr>
      </w:pPr>
      <w:r w:rsidRPr="00B47BDA">
        <w:t>mjerom se planira modernizacija i digitalizacija te proširenje elektroenergetskog sustava koji će na najučinkovitiji i stabilan način prihvatiti sve veću količinu električne energije iz obnovljivih izvora</w:t>
      </w:r>
      <w:r w:rsidR="007C6EC5">
        <w:t>;</w:t>
      </w:r>
      <w:r w:rsidRPr="00B47BDA">
        <w:t xml:space="preserve"> </w:t>
      </w:r>
    </w:p>
    <w:p w14:paraId="39D7E46E" w14:textId="1462D0F3" w:rsidR="00AE4461" w:rsidRPr="00B47BDA" w:rsidRDefault="001D1461" w:rsidP="00B66BE1">
      <w:pPr>
        <w:pStyle w:val="ListParagraph"/>
        <w:numPr>
          <w:ilvl w:val="0"/>
          <w:numId w:val="69"/>
        </w:numPr>
        <w:spacing w:after="60"/>
        <w:ind w:left="714" w:hanging="357"/>
      </w:pPr>
      <w:r w:rsidRPr="00B47BDA">
        <w:t>mapiranje potencijala širenja i revitalizacije dalekovodne mreže i prateće infrastrukture kako bi se ubrzao proces razvoja mreže, ali ujedno i vodilo računa o</w:t>
      </w:r>
      <w:r w:rsidR="00E50DE9" w:rsidRPr="00B47BDA">
        <w:t xml:space="preserve"> </w:t>
      </w:r>
      <w:r w:rsidRPr="00B47BDA">
        <w:t>prostorima koji se nalaze u sklopu Natura 2000</w:t>
      </w:r>
      <w:r w:rsidR="00AE4461" w:rsidRPr="00B47BDA">
        <w:t xml:space="preserve"> i otocima slabo povezanim s kopnom</w:t>
      </w:r>
      <w:r w:rsidR="007C6EC5">
        <w:t>;</w:t>
      </w:r>
    </w:p>
    <w:p w14:paraId="6A1B7346" w14:textId="39F7CC55" w:rsidR="00AE4461" w:rsidRPr="00B47BDA" w:rsidRDefault="001D1461" w:rsidP="00B66BE1">
      <w:pPr>
        <w:pStyle w:val="ListParagraph"/>
        <w:numPr>
          <w:ilvl w:val="0"/>
          <w:numId w:val="69"/>
        </w:numPr>
        <w:spacing w:after="60"/>
        <w:ind w:left="714" w:hanging="357"/>
      </w:pPr>
      <w:r w:rsidRPr="63259912">
        <w:t>ulaganje u infrastrukturu za skladišt</w:t>
      </w:r>
      <w:r w:rsidR="001804CB" w:rsidRPr="63259912">
        <w:t>enj</w:t>
      </w:r>
      <w:r w:rsidRPr="63259912">
        <w:t>e električne energije i to u slučaju kada se takva ulaganja odnose na projekte za čiju provedbu su odgovorni i provode ih operatori prijenosnog i distribucijskog sustava – ako oprema za skladištenje predstavlja u cijelosti integriranu mrežnu komponentu</w:t>
      </w:r>
      <w:r w:rsidR="002324DE" w:rsidRPr="63259912">
        <w:t xml:space="preserve"> (</w:t>
      </w:r>
      <w:r w:rsidRPr="63259912">
        <w:t>engl. „fully integrated network component“)</w:t>
      </w:r>
      <w:r w:rsidR="007C6EC5" w:rsidRPr="63259912">
        <w:t>;</w:t>
      </w:r>
    </w:p>
    <w:p w14:paraId="6D9EB354" w14:textId="5EC106D0" w:rsidR="006D0975" w:rsidRPr="00B47BDA" w:rsidRDefault="006D0975" w:rsidP="00B66BE1">
      <w:pPr>
        <w:pStyle w:val="ListParagraph"/>
        <w:numPr>
          <w:ilvl w:val="0"/>
          <w:numId w:val="69"/>
        </w:numPr>
        <w:spacing w:after="60"/>
        <w:ind w:left="714" w:hanging="357"/>
      </w:pPr>
      <w:r w:rsidRPr="00B47BDA">
        <w:lastRenderedPageBreak/>
        <w:t xml:space="preserve">adekvatna povezanost sjever-jug s kojom će se osigurati nesmetani protok energije prema kontinentalnoj Hrvatskoj i dalje prema drugim članicama EU (proizvodnja </w:t>
      </w:r>
      <w:r w:rsidR="002324DE" w:rsidRPr="00B47BDA">
        <w:t xml:space="preserve">električne energije iz </w:t>
      </w:r>
      <w:r w:rsidRPr="00B47BDA">
        <w:t xml:space="preserve">OIE koncentrirana </w:t>
      </w:r>
      <w:r w:rsidR="00FF3836" w:rsidRPr="00B47BDA">
        <w:t xml:space="preserve">je </w:t>
      </w:r>
      <w:r w:rsidR="003044CC" w:rsidRPr="00B47BDA">
        <w:t>uglav</w:t>
      </w:r>
      <w:r w:rsidR="00FF3836" w:rsidRPr="00B47BDA">
        <w:t>nom</w:t>
      </w:r>
      <w:r w:rsidRPr="00B47BDA">
        <w:t xml:space="preserve"> na južnom dijelu Hrvatske)</w:t>
      </w:r>
      <w:r w:rsidR="007C6EC5">
        <w:t>;</w:t>
      </w:r>
    </w:p>
    <w:p w14:paraId="1E45A44C" w14:textId="280D920B" w:rsidR="00255F06" w:rsidRPr="00B47BDA" w:rsidRDefault="006D0975" w:rsidP="00B66BE1">
      <w:pPr>
        <w:pStyle w:val="ListParagraph"/>
        <w:numPr>
          <w:ilvl w:val="0"/>
          <w:numId w:val="69"/>
        </w:numPr>
        <w:spacing w:after="60"/>
        <w:ind w:left="714" w:hanging="357"/>
      </w:pPr>
      <w:r w:rsidRPr="00B47BDA">
        <w:t>smanjivanje „uskih grla“ trenutnog elektroenergetskog sustava</w:t>
      </w:r>
      <w:r w:rsidR="007C6EC5">
        <w:t>.</w:t>
      </w:r>
    </w:p>
    <w:p w14:paraId="70BCB041" w14:textId="7F2C87F3" w:rsidR="00255F06" w:rsidRPr="007B3810" w:rsidRDefault="00255F06" w:rsidP="00E1664E">
      <w:pPr>
        <w:keepNext/>
        <w:spacing w:before="240"/>
        <w:rPr>
          <w:b/>
          <w:bCs/>
        </w:rPr>
      </w:pPr>
      <w:r w:rsidRPr="007B3810">
        <w:rPr>
          <w:b/>
          <w:bCs/>
        </w:rPr>
        <w:t xml:space="preserve">Sredstva potrebna za provedbu: </w:t>
      </w:r>
    </w:p>
    <w:p w14:paraId="50F10DE0" w14:textId="62028275" w:rsidR="00281F32" w:rsidRPr="00B47BDA" w:rsidRDefault="00281F32" w:rsidP="00B66BE1">
      <w:pPr>
        <w:pStyle w:val="ListParagraph"/>
        <w:numPr>
          <w:ilvl w:val="0"/>
          <w:numId w:val="73"/>
        </w:numPr>
        <w:spacing w:after="60"/>
        <w:ind w:left="714" w:hanging="357"/>
      </w:pPr>
      <w:r w:rsidRPr="00B47BDA">
        <w:t xml:space="preserve">oko </w:t>
      </w:r>
      <w:r w:rsidR="00BC2B4B">
        <w:t>335</w:t>
      </w:r>
      <w:r w:rsidR="00BC2B4B" w:rsidRPr="00B47BDA">
        <w:t xml:space="preserve"> </w:t>
      </w:r>
      <w:r w:rsidRPr="00B47BDA">
        <w:t xml:space="preserve">milijuna EUR za </w:t>
      </w:r>
      <w:r w:rsidR="00C50F7F">
        <w:t>povećanje kapaciteta</w:t>
      </w:r>
      <w:r w:rsidR="00C50F7F" w:rsidRPr="00B47BDA">
        <w:t xml:space="preserve"> </w:t>
      </w:r>
      <w:r w:rsidRPr="00B47BDA">
        <w:t>visokonaponske mreže (22</w:t>
      </w:r>
      <w:r w:rsidR="00FF3836" w:rsidRPr="00B47BDA">
        <w:t xml:space="preserve">0 kV i </w:t>
      </w:r>
      <w:r w:rsidRPr="00B47BDA">
        <w:t xml:space="preserve">110 kV) </w:t>
      </w:r>
      <w:r w:rsidR="00FF3836" w:rsidRPr="00B47BDA">
        <w:t>radi</w:t>
      </w:r>
      <w:r w:rsidRPr="00B47BDA">
        <w:t xml:space="preserve"> jačanj</w:t>
      </w:r>
      <w:r w:rsidR="00FF3836" w:rsidRPr="00B47BDA">
        <w:t>a</w:t>
      </w:r>
      <w:r w:rsidRPr="00B47BDA">
        <w:t xml:space="preserve"> kapaciteta na jugu Hrvatske, </w:t>
      </w:r>
      <w:r w:rsidR="00FF3836" w:rsidRPr="00B47BDA">
        <w:t>adekvatnijeg povezivanja</w:t>
      </w:r>
      <w:r w:rsidRPr="00B47BDA">
        <w:t xml:space="preserve"> juga i sjevera Hrvatske te šest velikih otoka s kopnom</w:t>
      </w:r>
      <w:r w:rsidR="007C6EC5">
        <w:t>,</w:t>
      </w:r>
      <w:r w:rsidRPr="00B47BDA">
        <w:t xml:space="preserve"> </w:t>
      </w:r>
    </w:p>
    <w:p w14:paraId="67E2860E" w14:textId="7D9093E0" w:rsidR="001F0726" w:rsidRPr="00B47BDA" w:rsidRDefault="001F0726" w:rsidP="00B66BE1">
      <w:pPr>
        <w:pStyle w:val="ListParagraph"/>
        <w:numPr>
          <w:ilvl w:val="0"/>
          <w:numId w:val="73"/>
        </w:numPr>
        <w:spacing w:after="60"/>
        <w:ind w:left="714" w:hanging="357"/>
      </w:pPr>
      <w:r w:rsidRPr="00B47BDA">
        <w:t>uz navedene financijske izdatke HOPS planira uložiti dodatnih 0,667 milijardi EUR do 2026. godine</w:t>
      </w:r>
      <w:r w:rsidR="007C6EC5">
        <w:t>,</w:t>
      </w:r>
    </w:p>
    <w:p w14:paraId="2C05D626" w14:textId="5A6F9858" w:rsidR="00281F32" w:rsidRPr="00B47BDA" w:rsidRDefault="00281F32" w:rsidP="00B66BE1">
      <w:pPr>
        <w:pStyle w:val="ListParagraph"/>
        <w:numPr>
          <w:ilvl w:val="0"/>
          <w:numId w:val="73"/>
        </w:numPr>
        <w:spacing w:after="60"/>
        <w:ind w:left="714" w:hanging="357"/>
      </w:pPr>
      <w:r w:rsidRPr="00B47BDA">
        <w:t xml:space="preserve">oko </w:t>
      </w:r>
      <w:r w:rsidR="00BC2B4B">
        <w:t>223,8</w:t>
      </w:r>
      <w:r w:rsidR="00BC2B4B" w:rsidRPr="00B47BDA">
        <w:t xml:space="preserve"> </w:t>
      </w:r>
      <w:r w:rsidRPr="00B47BDA">
        <w:t xml:space="preserve">milijuna EUR za modernizaciju distribucijskog sustava (oko </w:t>
      </w:r>
      <w:r w:rsidR="00BC2B4B">
        <w:t>15</w:t>
      </w:r>
      <w:r w:rsidR="000E4F0A">
        <w:t>0</w:t>
      </w:r>
      <w:r w:rsidR="00BC2B4B" w:rsidRPr="00B47BDA">
        <w:t xml:space="preserve"> </w:t>
      </w:r>
      <w:r w:rsidRPr="00B47BDA">
        <w:t>milijuna EUR za modernizaciju i razvoj napredne mreže uključujući i pametna brojila te razvoj „pametne mreže“, gotovo 47 milijuna EUR u modernizaciju mreže u Natura 2000 područjima te oko 27 milijuna EUR u podmorske kabele na distribucijskoj razini)</w:t>
      </w:r>
      <w:r w:rsidR="007C6EC5">
        <w:t>,</w:t>
      </w:r>
    </w:p>
    <w:p w14:paraId="57CA665D" w14:textId="1D17FE58" w:rsidR="004C4111" w:rsidRPr="007B3810" w:rsidRDefault="001F0726" w:rsidP="00B66BE1">
      <w:pPr>
        <w:pStyle w:val="ListParagraph"/>
        <w:numPr>
          <w:ilvl w:val="0"/>
          <w:numId w:val="73"/>
        </w:numPr>
        <w:spacing w:after="60"/>
        <w:ind w:left="714" w:hanging="357"/>
        <w:rPr>
          <w:rFonts w:eastAsia="Calibri"/>
        </w:rPr>
      </w:pPr>
      <w:r w:rsidRPr="00B47BDA">
        <w:t xml:space="preserve">uz navedene financijske izdatke HEP ODS planira uložiti </w:t>
      </w:r>
      <w:r w:rsidR="00281F32" w:rsidRPr="00B47BDA">
        <w:t>oko 1,</w:t>
      </w:r>
      <w:r w:rsidRPr="00B47BDA">
        <w:t>27 milijardi EUR u narednom desetogodišnjeg razdoblju</w:t>
      </w:r>
      <w:r w:rsidR="007C6EC5">
        <w:t>.</w:t>
      </w:r>
    </w:p>
    <w:p w14:paraId="5E3C40E4" w14:textId="7E7289BD" w:rsidR="00255F06" w:rsidRPr="00B47BDA" w:rsidRDefault="00255F06" w:rsidP="004623DD">
      <w:pPr>
        <w:rPr>
          <w:rFonts w:eastAsia="Calibri"/>
        </w:rPr>
      </w:pPr>
      <w:r w:rsidRPr="00B47BDA">
        <w:rPr>
          <w:b/>
        </w:rPr>
        <w:t xml:space="preserve">Izvori financiranja: </w:t>
      </w:r>
      <w:r w:rsidR="00FE5A28" w:rsidRPr="00B47BDA">
        <w:t>Modernizacijski fond, OPKK, potencijalna sredstva iz svih navedenih izvora s obzirom na iznose ulaganja</w:t>
      </w:r>
      <w:r w:rsidR="00184B10">
        <w:t xml:space="preserve">, </w:t>
      </w:r>
      <w:r w:rsidR="00D42E2E">
        <w:t>prihodi od korisnika mreže te redoviti prihodi iz tarifnih stavki</w:t>
      </w:r>
      <w:r w:rsidR="007C6EC5">
        <w:t>.</w:t>
      </w:r>
    </w:p>
    <w:p w14:paraId="2F8098DD" w14:textId="5AAD7C3B" w:rsidR="00255F06" w:rsidRPr="00B47BDA" w:rsidRDefault="00255F06" w:rsidP="004623DD">
      <w:r w:rsidRPr="007B3810">
        <w:rPr>
          <w:b/>
          <w:bCs/>
        </w:rPr>
        <w:t>Izvršno tijelo:</w:t>
      </w:r>
      <w:r w:rsidRPr="00B47BDA">
        <w:t xml:space="preserve"> </w:t>
      </w:r>
      <w:r w:rsidR="00954D3B" w:rsidRPr="00B47BDA">
        <w:t xml:space="preserve">HOPS, </w:t>
      </w:r>
      <w:r w:rsidR="00E90152">
        <w:t>HEP-</w:t>
      </w:r>
      <w:r w:rsidR="00954D3B" w:rsidRPr="00B47BDA">
        <w:t>ODS</w:t>
      </w:r>
      <w:r w:rsidR="007C6EC5">
        <w:t>.</w:t>
      </w:r>
    </w:p>
    <w:p w14:paraId="6D6E7F37" w14:textId="6CE49516" w:rsidR="00255F06" w:rsidRPr="00B47BDA" w:rsidRDefault="00255F06" w:rsidP="004623DD">
      <w:pPr>
        <w:rPr>
          <w:rFonts w:eastAsia="Calibri"/>
        </w:rPr>
      </w:pPr>
      <w:r w:rsidRPr="007B3810">
        <w:rPr>
          <w:b/>
          <w:bCs/>
        </w:rPr>
        <w:t>Tijela za praćenje:</w:t>
      </w:r>
      <w:r w:rsidR="00615D71" w:rsidRPr="00B47BDA">
        <w:t xml:space="preserve"> </w:t>
      </w:r>
      <w:r w:rsidR="00954D3B" w:rsidRPr="00B47BDA">
        <w:t>HERA</w:t>
      </w:r>
      <w:r w:rsidR="007C6EC5">
        <w:t>.</w:t>
      </w:r>
    </w:p>
    <w:p w14:paraId="43134C34" w14:textId="77777777" w:rsidR="00255F06" w:rsidRPr="007B3810" w:rsidRDefault="00255F06" w:rsidP="004623DD">
      <w:pPr>
        <w:rPr>
          <w:b/>
          <w:bCs/>
        </w:rPr>
      </w:pPr>
      <w:r w:rsidRPr="007B3810">
        <w:rPr>
          <w:b/>
          <w:bCs/>
        </w:rPr>
        <w:t xml:space="preserve">Učinak: </w:t>
      </w:r>
    </w:p>
    <w:p w14:paraId="167FEDBC" w14:textId="42B2CB17" w:rsidR="00954D3B" w:rsidRPr="00B47BDA" w:rsidRDefault="00954D3B" w:rsidP="00277AF6">
      <w:pPr>
        <w:pStyle w:val="ListParagraph"/>
        <w:numPr>
          <w:ilvl w:val="0"/>
          <w:numId w:val="72"/>
        </w:numPr>
        <w:spacing w:after="60"/>
        <w:ind w:left="714" w:hanging="357"/>
      </w:pPr>
      <w:r w:rsidRPr="00B47BDA">
        <w:t>do sredine 2026. godine planira se revitalizacija oko 550 km dalekovoda srednjeg i niskog napona</w:t>
      </w:r>
      <w:r w:rsidR="00D221EF" w:rsidRPr="00B47BDA">
        <w:t>,</w:t>
      </w:r>
    </w:p>
    <w:p w14:paraId="3DA34162" w14:textId="069121BE" w:rsidR="00954D3B" w:rsidRPr="00B47BDA" w:rsidRDefault="00954D3B" w:rsidP="00277AF6">
      <w:pPr>
        <w:pStyle w:val="ListParagraph"/>
        <w:numPr>
          <w:ilvl w:val="0"/>
          <w:numId w:val="72"/>
        </w:numPr>
        <w:spacing w:after="60"/>
        <w:ind w:left="714" w:hanging="357"/>
      </w:pPr>
      <w:r w:rsidRPr="00B47BDA">
        <w:t xml:space="preserve">povećanje broja pametnih brojila </w:t>
      </w:r>
      <w:r w:rsidR="00A5122B">
        <w:t xml:space="preserve">na </w:t>
      </w:r>
      <w:r w:rsidR="000E4F0A">
        <w:t>100.000 do sredine 2026.</w:t>
      </w:r>
      <w:r w:rsidR="00D221EF" w:rsidRPr="00B47BDA">
        <w:t>,</w:t>
      </w:r>
    </w:p>
    <w:p w14:paraId="565F3E08" w14:textId="164A78C4" w:rsidR="00255F06" w:rsidRPr="00B47BDA" w:rsidRDefault="00954D3B" w:rsidP="00277AF6">
      <w:pPr>
        <w:pStyle w:val="ListParagraph"/>
        <w:numPr>
          <w:ilvl w:val="0"/>
          <w:numId w:val="72"/>
        </w:numPr>
        <w:spacing w:after="60"/>
        <w:ind w:left="714" w:hanging="357"/>
      </w:pPr>
      <w:r w:rsidRPr="00B47BDA">
        <w:t>obnova podmorskih kabela za 6 otoka kako bi se sustav dodatno stabilizirao i osuvremenio</w:t>
      </w:r>
      <w:r w:rsidR="00D221EF" w:rsidRPr="00B47BDA">
        <w:t>.</w:t>
      </w:r>
    </w:p>
    <w:p w14:paraId="05651B16" w14:textId="24C4D31B" w:rsidR="00255F06" w:rsidRPr="007B3810" w:rsidRDefault="00255F06" w:rsidP="004623DD">
      <w:r w:rsidRPr="00B47BDA">
        <w:rPr>
          <w:b/>
        </w:rPr>
        <w:t>Metoda praćenja:</w:t>
      </w:r>
      <w:r w:rsidRPr="00B47BDA">
        <w:t xml:space="preserve"> </w:t>
      </w:r>
      <w:r w:rsidR="000D372B" w:rsidRPr="00B47BDA">
        <w:t>odobravanje i praćenje</w:t>
      </w:r>
      <w:r w:rsidR="000D372B" w:rsidRPr="00B47BDA" w:rsidDel="00684CF4">
        <w:t xml:space="preserve"> provedb</w:t>
      </w:r>
      <w:r w:rsidR="000D372B" w:rsidRPr="00B47BDA">
        <w:t>e</w:t>
      </w:r>
      <w:r w:rsidR="000D372B" w:rsidRPr="00B47BDA" w:rsidDel="00684CF4">
        <w:t xml:space="preserve"> Desetogodišnjeg plana razvoja </w:t>
      </w:r>
      <w:r w:rsidR="000D372B" w:rsidRPr="00B47BDA">
        <w:t xml:space="preserve">prijenosne </w:t>
      </w:r>
      <w:r w:rsidR="000D372B" w:rsidRPr="00B47BDA" w:rsidDel="00684CF4">
        <w:t xml:space="preserve">mreže </w:t>
      </w:r>
      <w:r w:rsidR="000D372B" w:rsidRPr="00B47BDA" w:rsidDel="00173588">
        <w:t xml:space="preserve">HOPS-a </w:t>
      </w:r>
      <w:r w:rsidR="000D372B" w:rsidRPr="00B47BDA">
        <w:t>i Desetogodišnjeg plana razvoja distribucijske mreže</w:t>
      </w:r>
      <w:r w:rsidR="000D372B" w:rsidRPr="00B47BDA" w:rsidDel="00173588">
        <w:t xml:space="preserve"> </w:t>
      </w:r>
      <w:r w:rsidR="000D372B" w:rsidRPr="00B47BDA">
        <w:t>HEP</w:t>
      </w:r>
      <w:r w:rsidR="000D372B" w:rsidRPr="00B47BDA" w:rsidDel="00173588">
        <w:t xml:space="preserve"> ODS-a</w:t>
      </w:r>
      <w:r w:rsidR="00B14A0D">
        <w:t>.</w:t>
      </w:r>
    </w:p>
    <w:p w14:paraId="55F444F2" w14:textId="127D0B9F" w:rsidR="00255F06" w:rsidRPr="00B47BDA" w:rsidRDefault="00255F06" w:rsidP="63259912">
      <w:pPr>
        <w:rPr>
          <w:rFonts w:eastAsia="Calibri"/>
        </w:rPr>
      </w:pPr>
      <w:r w:rsidRPr="63259912">
        <w:rPr>
          <w:b/>
          <w:bCs/>
        </w:rPr>
        <w:t xml:space="preserve">Povezanost s drugim dimenzijama: </w:t>
      </w:r>
      <w:r w:rsidR="003312CB" w:rsidRPr="63259912">
        <w:t>Prilikom revitalizacije, izgradnje i digitalizacije sustava i prateće infrastrukture za dekarbonizaciju energetskog sektora posebno će se voditi računa o pojačanoj zaštiti prirode</w:t>
      </w:r>
      <w:r w:rsidR="000D372B" w:rsidRPr="63259912">
        <w:t>,</w:t>
      </w:r>
      <w:r w:rsidR="003312CB" w:rsidRPr="63259912">
        <w:t xml:space="preserve"> jer će se prilikom razvoja elektro</w:t>
      </w:r>
      <w:r w:rsidR="002C2AA8" w:rsidRPr="63259912">
        <w:t>e</w:t>
      </w:r>
      <w:r w:rsidR="003312CB" w:rsidRPr="63259912">
        <w:t>nergetske infrastrukture voditi računa o smanjenju utjecaja na okoliš</w:t>
      </w:r>
      <w:r w:rsidR="00FE5A28" w:rsidRPr="63259912">
        <w:t>.</w:t>
      </w:r>
    </w:p>
    <w:p w14:paraId="15D45745" w14:textId="35E22906" w:rsidR="007B3810" w:rsidRDefault="00255F06" w:rsidP="004623DD">
      <w:pPr>
        <w:rPr>
          <w:rFonts w:eastAsia="Calibri"/>
        </w:rPr>
      </w:pPr>
      <w:r w:rsidRPr="00B47BDA">
        <w:rPr>
          <w:rFonts w:eastAsia="Calibri"/>
          <w:b/>
        </w:rPr>
        <w:t xml:space="preserve">Istraživanje i razvoj: </w:t>
      </w:r>
      <w:r w:rsidR="00C60FB7" w:rsidRPr="00B47BDA">
        <w:rPr>
          <w:rFonts w:eastAsia="Calibri"/>
        </w:rPr>
        <w:t>Ulaganje u istraživanje i razvoj novih tehnologija radi modernizacij</w:t>
      </w:r>
      <w:r w:rsidR="00BB2406" w:rsidRPr="00B47BDA">
        <w:rPr>
          <w:rFonts w:eastAsia="Calibri"/>
        </w:rPr>
        <w:t>e</w:t>
      </w:r>
      <w:r w:rsidR="00C60FB7" w:rsidRPr="00B47BDA">
        <w:rPr>
          <w:rFonts w:eastAsia="Calibri"/>
        </w:rPr>
        <w:t xml:space="preserve"> i digitalizacije </w:t>
      </w:r>
      <w:r w:rsidR="00BB2406" w:rsidRPr="00B47BDA">
        <w:rPr>
          <w:rFonts w:eastAsia="Calibri"/>
        </w:rPr>
        <w:t>radi</w:t>
      </w:r>
      <w:r w:rsidR="00C60FB7" w:rsidRPr="00B47BDA">
        <w:rPr>
          <w:rFonts w:eastAsia="Calibri"/>
        </w:rPr>
        <w:t xml:space="preserve"> sve veće potrebe za prihvatom OIE u </w:t>
      </w:r>
      <w:r w:rsidR="004C4111" w:rsidRPr="00B47BDA">
        <w:rPr>
          <w:rFonts w:eastAsia="Calibri"/>
        </w:rPr>
        <w:t>elektroenergetsku</w:t>
      </w:r>
      <w:r w:rsidR="00C60FB7" w:rsidRPr="00B47BDA">
        <w:rPr>
          <w:rFonts w:eastAsia="Calibri"/>
        </w:rPr>
        <w:t xml:space="preserve"> mrežu</w:t>
      </w:r>
      <w:r w:rsidR="004C4111" w:rsidRPr="00B47BDA">
        <w:rPr>
          <w:rFonts w:eastAsia="Calibri"/>
        </w:rPr>
        <w:t>.</w:t>
      </w:r>
    </w:p>
    <w:p w14:paraId="6510F5ED" w14:textId="77777777" w:rsidR="004A2928" w:rsidRPr="00A64D88" w:rsidRDefault="004A2928" w:rsidP="004623DD">
      <w:pPr>
        <w:rPr>
          <w:rFonts w:eastAsia="Calibri"/>
          <w:b/>
        </w:rPr>
      </w:pPr>
    </w:p>
    <w:p w14:paraId="01FA430D" w14:textId="2C60714E" w:rsidR="00774BF5" w:rsidRDefault="00774BF5" w:rsidP="00E1664E">
      <w:pPr>
        <w:pStyle w:val="Mjeranaslov"/>
        <w:keepNext/>
        <w:spacing w:before="240"/>
      </w:pPr>
      <w:r w:rsidRPr="00B47BDA">
        <w:t>ES-</w:t>
      </w:r>
      <w:r w:rsidR="00772BFE" w:rsidRPr="00B47BDA">
        <w:t>3</w:t>
      </w:r>
      <w:r w:rsidR="0043265C">
        <w:t xml:space="preserve"> </w:t>
      </w:r>
      <w:r w:rsidRPr="00B47BDA">
        <w:t>Razvoj i održavanje sustava centralne proizvodnje toplinske energije</w:t>
      </w:r>
    </w:p>
    <w:p w14:paraId="47E3506B" w14:textId="5D67D520" w:rsidR="00B24183" w:rsidRPr="00B24183" w:rsidRDefault="00B24183" w:rsidP="00B14A0D">
      <w:pPr>
        <w:pStyle w:val="Mjeranaslov"/>
        <w:spacing w:before="240"/>
        <w:rPr>
          <w:b w:val="0"/>
          <w:bCs w:val="0"/>
          <w:color w:val="auto"/>
        </w:rPr>
      </w:pPr>
      <w:r w:rsidRPr="00B24183">
        <w:rPr>
          <w:b w:val="0"/>
          <w:bCs w:val="0"/>
          <w:color w:val="auto"/>
        </w:rPr>
        <w:t xml:space="preserve">Financijska </w:t>
      </w:r>
      <w:r>
        <w:rPr>
          <w:b w:val="0"/>
          <w:bCs w:val="0"/>
          <w:color w:val="auto"/>
        </w:rPr>
        <w:t xml:space="preserve">i tehnička </w:t>
      </w:r>
      <w:r w:rsidRPr="00B24183">
        <w:rPr>
          <w:b w:val="0"/>
          <w:bCs w:val="0"/>
          <w:color w:val="auto"/>
        </w:rPr>
        <w:t xml:space="preserve">mjera; </w:t>
      </w:r>
      <w:r>
        <w:rPr>
          <w:b w:val="0"/>
          <w:bCs w:val="0"/>
          <w:color w:val="auto"/>
        </w:rPr>
        <w:t xml:space="preserve">provedba 2021.-2030. </w:t>
      </w:r>
    </w:p>
    <w:p w14:paraId="74777D87" w14:textId="6F9AFED8" w:rsidR="00774BF5" w:rsidRPr="00B47BDA" w:rsidRDefault="00016393" w:rsidP="004623DD">
      <w:pPr>
        <w:pStyle w:val="NormalWeb"/>
      </w:pPr>
      <w:r w:rsidRPr="63259912">
        <w:rPr>
          <w:b/>
          <w:bCs/>
          <w:color w:val="000000" w:themeColor="text1"/>
        </w:rPr>
        <w:lastRenderedPageBreak/>
        <w:t>Cilj i opis mjere:</w:t>
      </w:r>
      <w:r w:rsidRPr="63259912">
        <w:rPr>
          <w:color w:val="000000" w:themeColor="text1"/>
        </w:rPr>
        <w:t xml:space="preserve"> </w:t>
      </w:r>
      <w:r w:rsidR="00505966" w:rsidRPr="63259912">
        <w:t>Centralizirani toplinski sustavi određeni su kao jedan od prioriteta energetske politike RH</w:t>
      </w:r>
      <w:r w:rsidR="008D13B5" w:rsidRPr="63259912">
        <w:t xml:space="preserve">. </w:t>
      </w:r>
      <w:r w:rsidR="00505966" w:rsidRPr="63259912">
        <w:t>Najznačajniji potencijal za razvoj i unaprjeđenje postojećih centraliziranih toplinskih sustava je prvenstveno u povećanju energetske učinkovitosti proizvodnih jedinica, infrastrukture i opreme kod krajnjih korisnika</w:t>
      </w:r>
      <w:r w:rsidR="00F45F2E" w:rsidRPr="63259912">
        <w:t>, mjerenje topline s naplatom prema stvarnoj potrošnji</w:t>
      </w:r>
      <w:r w:rsidR="00505966" w:rsidRPr="63259912">
        <w:t xml:space="preserve"> te povećanjem pouzdanosti i sigurnosti opskrbe. </w:t>
      </w:r>
      <w:r w:rsidR="00F45F2E" w:rsidRPr="63259912">
        <w:t>Današnj</w:t>
      </w:r>
      <w:r w:rsidR="00263B62" w:rsidRPr="63259912">
        <w:t>e</w:t>
      </w:r>
      <w:r w:rsidR="00F45F2E" w:rsidRPr="63259912">
        <w:t xml:space="preserve"> neučinkovit</w:t>
      </w:r>
      <w:r w:rsidR="00263B62" w:rsidRPr="63259912">
        <w:t>e</w:t>
      </w:r>
      <w:r w:rsidR="00F45F2E" w:rsidRPr="63259912">
        <w:t xml:space="preserve"> centraln</w:t>
      </w:r>
      <w:r w:rsidR="00263B62" w:rsidRPr="63259912">
        <w:t xml:space="preserve">e </w:t>
      </w:r>
      <w:r w:rsidR="00F45F2E" w:rsidRPr="63259912">
        <w:t>toplinsk</w:t>
      </w:r>
      <w:r w:rsidR="00263B62" w:rsidRPr="63259912">
        <w:t>e</w:t>
      </w:r>
      <w:r w:rsidR="00F45F2E" w:rsidRPr="63259912">
        <w:t xml:space="preserve"> sustav</w:t>
      </w:r>
      <w:r w:rsidR="00263B62" w:rsidRPr="63259912">
        <w:t>e</w:t>
      </w:r>
      <w:r w:rsidR="00F45F2E" w:rsidRPr="63259912">
        <w:t xml:space="preserve"> druge generacije</w:t>
      </w:r>
      <w:r w:rsidR="00263B62" w:rsidRPr="63259912">
        <w:t>,</w:t>
      </w:r>
      <w:r w:rsidR="00F45F2E" w:rsidRPr="63259912">
        <w:t xml:space="preserve"> koji su projektirani za visoke temperature u distribucijskim mrežama</w:t>
      </w:r>
      <w:r w:rsidR="00263B62" w:rsidRPr="63259912">
        <w:t>,</w:t>
      </w:r>
      <w:r w:rsidR="00F45F2E" w:rsidRPr="63259912">
        <w:t xml:space="preserve"> potrebno je unaprijediti sustavima treće generacije koji koriste predizolirane cijevi, kompaktne toplinske podstanice ili sustavima četvrte generacije koji su temeljeni na pametnim energetskim sustavima i dvosmjernim centralnim toplinskim sustavom. </w:t>
      </w:r>
      <w:r w:rsidR="00DD46FB" w:rsidRPr="63259912">
        <w:t>Iznimno je bitno unaprjeđenje CTS-a i to prije svega smanjenjem toplinskih gubitaka u postojećoj distribucijskoj mreži kao i daljnjim razvojem proizvodnih postrojenja postojećih centralnih toplinskih sustava, koji podrazumijeva integraciju obnovljivih izvora energije te smanjivanje potrošnje fosilnih goriva (loživog ulja i prirodnog plina).</w:t>
      </w:r>
      <w:r w:rsidR="00136C2E" w:rsidRPr="63259912">
        <w:t xml:space="preserve"> </w:t>
      </w:r>
      <w:r w:rsidR="00505966" w:rsidRPr="63259912">
        <w:t>Stoga se ovom mjerom previđa održavanje i unaprjeđenje postojećih CTS sustava, zaustavljanje trenda isključivanja korisnika sa sustava CTS-a, uvođenje spremnika toplin</w:t>
      </w:r>
      <w:r w:rsidR="004B4599" w:rsidRPr="63259912">
        <w:t>ske energije, ugradnja pametnih brojila</w:t>
      </w:r>
      <w:r w:rsidR="00DD46FB" w:rsidRPr="63259912">
        <w:t>,</w:t>
      </w:r>
      <w:r w:rsidR="537A3413" w:rsidRPr="63259912">
        <w:t xml:space="preserve"> </w:t>
      </w:r>
      <w:r w:rsidR="00505966" w:rsidRPr="63259912">
        <w:t>korištenje OIE za CTS</w:t>
      </w:r>
      <w:r w:rsidR="00DD46FB" w:rsidRPr="63259912">
        <w:t>,</w:t>
      </w:r>
      <w:r w:rsidR="00505966" w:rsidRPr="63259912">
        <w:t xml:space="preserve"> zamjena postojeće proizvodnje CTS-a obnovljivim izvorima (npr. biogorivo)</w:t>
      </w:r>
      <w:r w:rsidR="00DD46FB" w:rsidRPr="63259912">
        <w:t xml:space="preserve"> te</w:t>
      </w:r>
      <w:r w:rsidR="00505966" w:rsidRPr="63259912">
        <w:t xml:space="preserve"> korištenje dizalica topline.</w:t>
      </w:r>
    </w:p>
    <w:p w14:paraId="2EBE5B13" w14:textId="77777777" w:rsidR="00DD46FB" w:rsidRPr="007B3810" w:rsidRDefault="00DD46FB" w:rsidP="004623DD">
      <w:pPr>
        <w:rPr>
          <w:b/>
          <w:bCs/>
        </w:rPr>
      </w:pPr>
      <w:r w:rsidRPr="007B3810">
        <w:rPr>
          <w:b/>
          <w:bCs/>
        </w:rPr>
        <w:t xml:space="preserve">Aktivnosti: </w:t>
      </w:r>
    </w:p>
    <w:p w14:paraId="4B1AE04C" w14:textId="29619B85" w:rsidR="00195D71" w:rsidRPr="00B47BDA" w:rsidRDefault="00DD46FB" w:rsidP="00277AF6">
      <w:pPr>
        <w:pStyle w:val="ListParagraph"/>
        <w:numPr>
          <w:ilvl w:val="0"/>
          <w:numId w:val="71"/>
        </w:numPr>
        <w:spacing w:after="60"/>
        <w:ind w:left="714" w:hanging="357"/>
        <w:rPr>
          <w:rFonts w:eastAsia="Calibri"/>
        </w:rPr>
      </w:pPr>
      <w:r w:rsidRPr="00B47BDA">
        <w:rPr>
          <w:rFonts w:eastAsia="Calibri"/>
        </w:rPr>
        <w:t>smanjenje toplinskih gubitaka postojeće distribucijske mreže centralnih toplinskih sustava</w:t>
      </w:r>
      <w:r w:rsidR="00B14A0D">
        <w:rPr>
          <w:rFonts w:eastAsia="Calibri"/>
        </w:rPr>
        <w:t>,</w:t>
      </w:r>
    </w:p>
    <w:p w14:paraId="102251F3" w14:textId="714DC622" w:rsidR="00D421B0" w:rsidRPr="00B47BDA" w:rsidRDefault="001B5F35" w:rsidP="00277AF6">
      <w:pPr>
        <w:pStyle w:val="ListParagraph"/>
        <w:numPr>
          <w:ilvl w:val="0"/>
          <w:numId w:val="77"/>
        </w:numPr>
        <w:spacing w:after="60"/>
        <w:ind w:left="714" w:hanging="357"/>
        <w:rPr>
          <w:rFonts w:eastAsia="Calibri"/>
        </w:rPr>
      </w:pPr>
      <w:r>
        <w:rPr>
          <w:rFonts w:eastAsia="Calibri"/>
        </w:rPr>
        <w:t>zamjena</w:t>
      </w:r>
      <w:r w:rsidR="00317DDC" w:rsidRPr="00B47BDA">
        <w:rPr>
          <w:rFonts w:eastAsia="Calibri"/>
        </w:rPr>
        <w:t xml:space="preserve"> kotlova na loživo ulje </w:t>
      </w:r>
      <w:r w:rsidR="00D421B0" w:rsidRPr="00B47BDA">
        <w:rPr>
          <w:rFonts w:eastAsia="Calibri"/>
        </w:rPr>
        <w:t>s kotlovima</w:t>
      </w:r>
      <w:r w:rsidR="00317DDC" w:rsidRPr="00B47BDA">
        <w:rPr>
          <w:rFonts w:eastAsia="Calibri"/>
        </w:rPr>
        <w:t xml:space="preserve"> na </w:t>
      </w:r>
      <w:r w:rsidR="66C727BE" w:rsidRPr="55103C4F">
        <w:rPr>
          <w:rFonts w:eastAsia="Calibri" w:cstheme="minorBidi"/>
        </w:rPr>
        <w:t>biomasu</w:t>
      </w:r>
      <w:r w:rsidR="2D1AF584" w:rsidRPr="55103C4F">
        <w:rPr>
          <w:rFonts w:eastAsia="Calibri" w:cstheme="minorBidi"/>
        </w:rPr>
        <w:t xml:space="preserve">, </w:t>
      </w:r>
      <w:r w:rsidR="4278C03A" w:rsidRPr="55103C4F">
        <w:rPr>
          <w:rFonts w:eastAsia="Calibri" w:cstheme="minorBidi"/>
        </w:rPr>
        <w:t>zamjena</w:t>
      </w:r>
      <w:r w:rsidR="00D421B0" w:rsidRPr="00B47BDA">
        <w:rPr>
          <w:rFonts w:eastAsia="Calibri"/>
        </w:rPr>
        <w:t xml:space="preserve"> kotlova na loživo ulje s dizalicama topline voda/voda</w:t>
      </w:r>
      <w:r w:rsidR="00B14A0D">
        <w:rPr>
          <w:rFonts w:eastAsia="Calibri"/>
        </w:rPr>
        <w:t>,</w:t>
      </w:r>
    </w:p>
    <w:p w14:paraId="41E6C535" w14:textId="5223FFBA" w:rsidR="00D421B0" w:rsidRPr="00B47BDA" w:rsidRDefault="00D421B0" w:rsidP="00277AF6">
      <w:pPr>
        <w:pStyle w:val="ListParagraph"/>
        <w:numPr>
          <w:ilvl w:val="0"/>
          <w:numId w:val="77"/>
        </w:numPr>
        <w:spacing w:after="60"/>
        <w:ind w:left="714" w:hanging="357"/>
        <w:rPr>
          <w:rFonts w:eastAsia="Calibri"/>
        </w:rPr>
      </w:pPr>
      <w:r w:rsidRPr="00B47BDA">
        <w:rPr>
          <w:rFonts w:eastAsia="Calibri"/>
        </w:rPr>
        <w:t>zamjena kotlova na prirodni plin s kompresijskim dizalicama topline voda/voda</w:t>
      </w:r>
      <w:r w:rsidR="00B14A0D">
        <w:rPr>
          <w:rFonts w:eastAsia="Calibri"/>
        </w:rPr>
        <w:t>,</w:t>
      </w:r>
    </w:p>
    <w:p w14:paraId="75046A69" w14:textId="3BDF2FBC" w:rsidR="00D421B0" w:rsidRPr="00B47BDA" w:rsidRDefault="00D421B0" w:rsidP="00277AF6">
      <w:pPr>
        <w:pStyle w:val="ListParagraph"/>
        <w:numPr>
          <w:ilvl w:val="0"/>
          <w:numId w:val="77"/>
        </w:numPr>
        <w:spacing w:after="60"/>
        <w:ind w:left="714" w:hanging="357"/>
        <w:rPr>
          <w:rFonts w:eastAsia="Calibri"/>
        </w:rPr>
      </w:pPr>
      <w:r w:rsidRPr="00B47BDA">
        <w:rPr>
          <w:rFonts w:eastAsia="Calibri"/>
        </w:rPr>
        <w:t>zamjena kotlova na prirodni plin-iskorištavanje otpadne topline iz industrije</w:t>
      </w:r>
      <w:r w:rsidR="00B14A0D">
        <w:rPr>
          <w:rFonts w:eastAsia="Calibri"/>
        </w:rPr>
        <w:t>,</w:t>
      </w:r>
    </w:p>
    <w:p w14:paraId="40250D1A" w14:textId="188D7D7B" w:rsidR="00D421B0" w:rsidRPr="00B47BDA" w:rsidRDefault="00D421B0" w:rsidP="00277AF6">
      <w:pPr>
        <w:pStyle w:val="ListParagraph"/>
        <w:numPr>
          <w:ilvl w:val="0"/>
          <w:numId w:val="77"/>
        </w:numPr>
        <w:spacing w:after="60"/>
        <w:ind w:left="714" w:hanging="357"/>
        <w:rPr>
          <w:rFonts w:eastAsia="Calibri"/>
        </w:rPr>
      </w:pPr>
      <w:r w:rsidRPr="00B47BDA">
        <w:rPr>
          <w:rFonts w:eastAsia="Calibri"/>
        </w:rPr>
        <w:t>zamjena kotlova na prirodni plin-iskorištavanje topline otpada</w:t>
      </w:r>
      <w:r w:rsidR="00B14A0D">
        <w:rPr>
          <w:rFonts w:eastAsia="Calibri"/>
        </w:rPr>
        <w:t>,</w:t>
      </w:r>
    </w:p>
    <w:p w14:paraId="7E570690" w14:textId="44A60AFC" w:rsidR="00D421B0" w:rsidRPr="00B47BDA" w:rsidRDefault="00D421B0" w:rsidP="00277AF6">
      <w:pPr>
        <w:pStyle w:val="ListParagraph"/>
        <w:numPr>
          <w:ilvl w:val="0"/>
          <w:numId w:val="77"/>
        </w:numPr>
        <w:spacing w:after="60"/>
        <w:ind w:left="714" w:hanging="357"/>
        <w:rPr>
          <w:rFonts w:eastAsia="Calibri"/>
        </w:rPr>
      </w:pPr>
      <w:r w:rsidRPr="00B47BDA">
        <w:rPr>
          <w:rFonts w:eastAsia="Calibri"/>
        </w:rPr>
        <w:t xml:space="preserve">zamjena kotlova </w:t>
      </w:r>
      <w:r w:rsidR="00CD132A">
        <w:rPr>
          <w:rFonts w:eastAsia="Calibri"/>
        </w:rPr>
        <w:t>n</w:t>
      </w:r>
      <w:r w:rsidRPr="00B47BDA">
        <w:rPr>
          <w:rFonts w:eastAsia="Calibri"/>
        </w:rPr>
        <w:t>a prirodni plin s visokoučinkovitom kogeneracijom na biomasu</w:t>
      </w:r>
      <w:r w:rsidR="00B14A0D">
        <w:rPr>
          <w:rFonts w:eastAsia="Calibri"/>
        </w:rPr>
        <w:t>,</w:t>
      </w:r>
    </w:p>
    <w:p w14:paraId="327ADDFC" w14:textId="44C9E40C" w:rsidR="004C4111" w:rsidRPr="00B47BDA" w:rsidRDefault="00D421B0" w:rsidP="00277AF6">
      <w:pPr>
        <w:pStyle w:val="ListParagraph"/>
        <w:numPr>
          <w:ilvl w:val="0"/>
          <w:numId w:val="77"/>
        </w:numPr>
        <w:spacing w:after="60"/>
        <w:ind w:left="714" w:hanging="357"/>
        <w:rPr>
          <w:rFonts w:eastAsia="Calibri"/>
        </w:rPr>
      </w:pPr>
      <w:r w:rsidRPr="00B47BDA">
        <w:rPr>
          <w:rFonts w:eastAsia="Calibri"/>
        </w:rPr>
        <w:t>zamjena kotlova na prirodni plin-iskorištavanje geotermalne ene</w:t>
      </w:r>
      <w:r w:rsidR="005870AA" w:rsidRPr="00B47BDA">
        <w:rPr>
          <w:rFonts w:eastAsia="Calibri"/>
        </w:rPr>
        <w:t>rgije</w:t>
      </w:r>
      <w:r w:rsidR="00B14A0D">
        <w:rPr>
          <w:rFonts w:eastAsia="Calibri"/>
        </w:rPr>
        <w:t>.</w:t>
      </w:r>
    </w:p>
    <w:p w14:paraId="1290866A" w14:textId="7AEF80E1" w:rsidR="005870AA" w:rsidRPr="00B47BDA" w:rsidRDefault="005870AA" w:rsidP="00E1664E">
      <w:pPr>
        <w:spacing w:before="240"/>
        <w:rPr>
          <w:rFonts w:eastAsia="Calibri"/>
        </w:rPr>
      </w:pPr>
      <w:r w:rsidRPr="007B3810">
        <w:rPr>
          <w:rFonts w:eastAsia="Calibri"/>
          <w:b/>
          <w:bCs/>
        </w:rPr>
        <w:t>Sredstva potrebna za provedbu:</w:t>
      </w:r>
      <w:r w:rsidRPr="00B47BDA">
        <w:rPr>
          <w:rFonts w:eastAsia="Calibri"/>
        </w:rPr>
        <w:t xml:space="preserve"> 400,5 milijuna EUR</w:t>
      </w:r>
      <w:r w:rsidR="008901BB">
        <w:rPr>
          <w:rFonts w:eastAsia="Calibri"/>
        </w:rPr>
        <w:t>;</w:t>
      </w:r>
    </w:p>
    <w:p w14:paraId="772EE218" w14:textId="7984CD44" w:rsidR="00D74F94" w:rsidRPr="00B47BDA" w:rsidRDefault="009E6310" w:rsidP="00277AF6">
      <w:pPr>
        <w:pStyle w:val="NormalWeb"/>
        <w:numPr>
          <w:ilvl w:val="0"/>
          <w:numId w:val="78"/>
        </w:numPr>
        <w:spacing w:before="120" w:beforeAutospacing="0" w:after="60" w:afterAutospacing="0"/>
        <w:ind w:left="714" w:hanging="357"/>
      </w:pPr>
      <w:r w:rsidRPr="00B47BDA">
        <w:t>55</w:t>
      </w:r>
      <w:r w:rsidR="009C42C2">
        <w:t> </w:t>
      </w:r>
      <w:r w:rsidRPr="00B47BDA">
        <w:t>% ukupnog iznosa investicije odnosi se na smanjivanje toplinskih gubitaka distribucijske mreže centralnih toplinskih sustava</w:t>
      </w:r>
      <w:r w:rsidR="00BC7C27">
        <w:t>,</w:t>
      </w:r>
    </w:p>
    <w:p w14:paraId="4B93E2A7" w14:textId="4A1576DC" w:rsidR="00D74F94" w:rsidRPr="00B47BDA" w:rsidRDefault="009E6310" w:rsidP="00277AF6">
      <w:pPr>
        <w:pStyle w:val="NormalWeb"/>
        <w:numPr>
          <w:ilvl w:val="0"/>
          <w:numId w:val="78"/>
        </w:numPr>
        <w:spacing w:after="60" w:afterAutospacing="0"/>
      </w:pPr>
      <w:r w:rsidRPr="00B47BDA">
        <w:t>39,62</w:t>
      </w:r>
      <w:r w:rsidR="009C42C2">
        <w:t> </w:t>
      </w:r>
      <w:r w:rsidRPr="00B47BDA">
        <w:t>% ukupnog iznosa investicije odnosi se na zamjenu postojeće kogeneracije na prirodni plin s visokoučinkovitom kogeneracijom na prirodni plin</w:t>
      </w:r>
      <w:r w:rsidR="006945F2" w:rsidRPr="00B47BDA">
        <w:t>.</w:t>
      </w:r>
    </w:p>
    <w:p w14:paraId="56A0A5EA" w14:textId="5EA6EC0A" w:rsidR="00EE0C01" w:rsidRPr="00B47BDA" w:rsidRDefault="00121A39" w:rsidP="004623DD">
      <w:pPr>
        <w:rPr>
          <w:rFonts w:eastAsia="Calibri"/>
        </w:rPr>
      </w:pPr>
      <w:r w:rsidRPr="00B47BDA">
        <w:t xml:space="preserve">Dvije aktivnosti odnosno investicije (revitalizacija postojeće distribucijske mreže i uvođenje visokoučinkovitih kogeneracija) već su u tijeku u postojećim CTS-ovima. </w:t>
      </w:r>
    </w:p>
    <w:p w14:paraId="4388D099" w14:textId="3864ECA7" w:rsidR="00445303" w:rsidRPr="004A2928" w:rsidRDefault="00D74F94" w:rsidP="004623DD">
      <w:pPr>
        <w:rPr>
          <w:rFonts w:eastAsia="Calibri"/>
          <w:b/>
        </w:rPr>
      </w:pPr>
      <w:r w:rsidRPr="00B47BDA">
        <w:rPr>
          <w:rFonts w:eastAsia="Calibri"/>
          <w:b/>
        </w:rPr>
        <w:t>Izvori financiranja</w:t>
      </w:r>
      <w:r w:rsidRPr="00B47BDA">
        <w:rPr>
          <w:rFonts w:eastAsia="Calibri"/>
        </w:rPr>
        <w:t xml:space="preserve">: </w:t>
      </w:r>
      <w:r w:rsidR="007B6C8A" w:rsidRPr="00B47BDA">
        <w:rPr>
          <w:rFonts w:eastAsia="Calibri"/>
        </w:rPr>
        <w:t>U NPOO je osigurano 29 milijuna EUR za potporu razvoju geotermalnih proj</w:t>
      </w:r>
      <w:r w:rsidR="00773AE7" w:rsidRPr="00B47BDA">
        <w:rPr>
          <w:rFonts w:eastAsia="Calibri"/>
        </w:rPr>
        <w:t>e</w:t>
      </w:r>
      <w:r w:rsidR="007B6C8A" w:rsidRPr="00B47BDA">
        <w:rPr>
          <w:rFonts w:eastAsia="Calibri"/>
        </w:rPr>
        <w:t>kata</w:t>
      </w:r>
      <w:r w:rsidR="00773AE7" w:rsidRPr="00B47BDA">
        <w:rPr>
          <w:rFonts w:eastAsia="Calibri"/>
        </w:rPr>
        <w:t xml:space="preserve">. </w:t>
      </w:r>
      <w:r w:rsidR="007B6C8A" w:rsidRPr="00B47BDA">
        <w:rPr>
          <w:rFonts w:eastAsia="Calibri" w:cstheme="minorHAnsi"/>
        </w:rPr>
        <w:t>I</w:t>
      </w:r>
      <w:r w:rsidR="004C4111" w:rsidRPr="00B47BDA">
        <w:rPr>
          <w:rFonts w:eastAsia="Calibri" w:cstheme="minorHAnsi"/>
        </w:rPr>
        <w:t>z</w:t>
      </w:r>
      <w:r w:rsidR="007B6C8A" w:rsidRPr="00B47BDA">
        <w:rPr>
          <w:rFonts w:eastAsia="Calibri"/>
        </w:rPr>
        <w:t xml:space="preserve"> EGP financijskog mehanizma je osigurano nešto više od 8 milijuna EUR za pripremu i provedbu geotermalnih projekata, uključujući one koji se odnose na CTS. </w:t>
      </w:r>
      <w:r w:rsidR="005F1471" w:rsidRPr="00B47BDA">
        <w:rPr>
          <w:rFonts w:eastAsia="Calibri"/>
        </w:rPr>
        <w:t>Nužno je osigurati sredstva iz strukturnih i investicijskih fondova. Fina</w:t>
      </w:r>
      <w:r w:rsidR="007B6C8A" w:rsidRPr="00B47BDA">
        <w:rPr>
          <w:rFonts w:eastAsia="Calibri"/>
        </w:rPr>
        <w:t>n</w:t>
      </w:r>
      <w:r w:rsidR="005F1471" w:rsidRPr="00B47BDA">
        <w:rPr>
          <w:rFonts w:eastAsia="Calibri"/>
        </w:rPr>
        <w:t xml:space="preserve">ciranje je potrebno ažurirati u skladu s revizijom </w:t>
      </w:r>
      <w:r w:rsidR="007B6C8A" w:rsidRPr="00B47BDA">
        <w:rPr>
          <w:rFonts w:eastAsia="Calibri"/>
        </w:rPr>
        <w:t>ovog NE</w:t>
      </w:r>
      <w:r w:rsidR="002F47AA">
        <w:rPr>
          <w:rFonts w:eastAsia="Calibri"/>
        </w:rPr>
        <w:t>C</w:t>
      </w:r>
      <w:r w:rsidR="007B6C8A" w:rsidRPr="00B47BDA">
        <w:rPr>
          <w:rFonts w:eastAsia="Calibri"/>
        </w:rPr>
        <w:t>P-a</w:t>
      </w:r>
      <w:r w:rsidR="005F1471" w:rsidRPr="00B47BDA">
        <w:rPr>
          <w:rFonts w:eastAsia="Calibri"/>
        </w:rPr>
        <w:t xml:space="preserve"> i Sveobuhvatne analiza potencijala za učinkovito grijanje i </w:t>
      </w:r>
      <w:r w:rsidR="007B6C8A" w:rsidRPr="00B47BDA">
        <w:rPr>
          <w:rFonts w:eastAsia="Calibri"/>
        </w:rPr>
        <w:t>h</w:t>
      </w:r>
      <w:r w:rsidR="005F1471" w:rsidRPr="00B47BDA">
        <w:rPr>
          <w:rFonts w:eastAsia="Calibri"/>
        </w:rPr>
        <w:t>lađenje</w:t>
      </w:r>
      <w:r w:rsidR="007B6C8A" w:rsidRPr="00B47BDA">
        <w:rPr>
          <w:rFonts w:eastAsia="Calibri"/>
        </w:rPr>
        <w:t xml:space="preserve">. </w:t>
      </w:r>
      <w:r w:rsidR="00917A0A" w:rsidRPr="00B47BDA">
        <w:rPr>
          <w:rFonts w:eastAsia="Calibri"/>
        </w:rPr>
        <w:t xml:space="preserve">Također, nužno je razmotriti i mogućnost korištenja Modernizacijskog fonda. </w:t>
      </w:r>
    </w:p>
    <w:p w14:paraId="42B7DAD5" w14:textId="22C631D4" w:rsidR="004C4111" w:rsidRPr="00B47BDA" w:rsidRDefault="00D74F94" w:rsidP="004623DD">
      <w:pPr>
        <w:rPr>
          <w:rFonts w:eastAsia="Calibri" w:cstheme="minorHAnsi"/>
        </w:rPr>
      </w:pPr>
      <w:r w:rsidRPr="00B47BDA">
        <w:rPr>
          <w:rFonts w:eastAsia="Calibri"/>
          <w:b/>
        </w:rPr>
        <w:lastRenderedPageBreak/>
        <w:t>Izvršno tijelo</w:t>
      </w:r>
      <w:r w:rsidR="00F871DE" w:rsidRPr="00B47BDA">
        <w:rPr>
          <w:rFonts w:eastAsia="Calibri"/>
          <w:b/>
        </w:rPr>
        <w:t xml:space="preserve">: </w:t>
      </w:r>
      <w:r w:rsidR="00AA66C8" w:rsidRPr="00B47BDA">
        <w:rPr>
          <w:rFonts w:eastAsia="Calibri"/>
        </w:rPr>
        <w:t>Proizvođači i distributeri toplinske energije</w:t>
      </w:r>
      <w:r w:rsidR="00BC7C27">
        <w:rPr>
          <w:rFonts w:eastAsia="Calibri"/>
        </w:rPr>
        <w:t>.</w:t>
      </w:r>
    </w:p>
    <w:p w14:paraId="64BD672F" w14:textId="18386900" w:rsidR="004C4111" w:rsidRPr="00B47BDA" w:rsidRDefault="00D74F94" w:rsidP="004623DD">
      <w:pPr>
        <w:rPr>
          <w:rFonts w:eastAsia="Calibri" w:cstheme="minorHAnsi"/>
        </w:rPr>
      </w:pPr>
      <w:r w:rsidRPr="007B3810">
        <w:rPr>
          <w:rFonts w:eastAsia="Calibri"/>
          <w:b/>
          <w:bCs/>
        </w:rPr>
        <w:t>Tijela za praćenje:</w:t>
      </w:r>
      <w:r w:rsidRPr="00B47BDA">
        <w:rPr>
          <w:rFonts w:eastAsia="Calibri"/>
        </w:rPr>
        <w:t xml:space="preserve"> </w:t>
      </w:r>
      <w:r w:rsidR="00836FC6" w:rsidRPr="00B47BDA">
        <w:rPr>
          <w:rFonts w:eastAsia="Calibri" w:cstheme="minorHAnsi"/>
        </w:rPr>
        <w:t>MINGO</w:t>
      </w:r>
      <w:r w:rsidR="00BC7C27">
        <w:rPr>
          <w:rFonts w:eastAsia="Calibri" w:cstheme="minorHAnsi"/>
        </w:rPr>
        <w:t>.</w:t>
      </w:r>
    </w:p>
    <w:p w14:paraId="5D58DF6D" w14:textId="5E45B5EC" w:rsidR="00A44988" w:rsidRPr="00B47BDA" w:rsidRDefault="00D74F94" w:rsidP="004623DD">
      <w:r w:rsidRPr="00B47BDA">
        <w:rPr>
          <w:rFonts w:eastAsia="Calibri"/>
          <w:b/>
          <w:color w:val="000000"/>
        </w:rPr>
        <w:t xml:space="preserve">Učinak: </w:t>
      </w:r>
      <w:r w:rsidR="00A44988" w:rsidRPr="00B47BDA">
        <w:t xml:space="preserve">Predloženim mjerama povećanja energetske učinkovitosti </w:t>
      </w:r>
      <w:r w:rsidR="00611C6B" w:rsidRPr="00B47BDA">
        <w:t>CTS sustava</w:t>
      </w:r>
      <w:r w:rsidR="00A44988" w:rsidRPr="00B47BDA">
        <w:t xml:space="preserve"> u razdoblju do 2030. godine osiguralo bi se smanjenje primarne energije u iznosu od 833,18 GWh odnosno smanjenje emisije CO</w:t>
      </w:r>
      <w:r w:rsidR="00A44988" w:rsidRPr="00B47BDA">
        <w:rPr>
          <w:vertAlign w:val="subscript"/>
        </w:rPr>
        <w:t>2</w:t>
      </w:r>
      <w:r w:rsidR="00A44988" w:rsidRPr="00B47BDA">
        <w:t xml:space="preserve"> u iznosu od 193.967,87 tona CO</w:t>
      </w:r>
      <w:r w:rsidR="00A44988" w:rsidRPr="00B47BDA">
        <w:rPr>
          <w:vertAlign w:val="subscript"/>
        </w:rPr>
        <w:t>2</w:t>
      </w:r>
      <w:r w:rsidR="00611C6B" w:rsidRPr="00B47BDA">
        <w:t xml:space="preserve"> te u budućnosti određivanje pravednije cijene toplinske energije za krajnjeg kupca. </w:t>
      </w:r>
    </w:p>
    <w:p w14:paraId="1EBAD0BD" w14:textId="0C591ABD" w:rsidR="00D74F94" w:rsidRPr="00B47BDA" w:rsidRDefault="00D74F94" w:rsidP="63259912">
      <w:pPr>
        <w:pStyle w:val="NormalWeb"/>
        <w:rPr>
          <w:rFonts w:eastAsia="Calibri"/>
        </w:rPr>
      </w:pPr>
      <w:r w:rsidRPr="63259912">
        <w:rPr>
          <w:rFonts w:eastAsia="Calibri"/>
          <w:b/>
          <w:bCs/>
          <w:color w:val="000000" w:themeColor="text1"/>
        </w:rPr>
        <w:t>Metoda praćenja:</w:t>
      </w:r>
      <w:r w:rsidR="00A44988" w:rsidRPr="63259912">
        <w:t xml:space="preserve"> </w:t>
      </w:r>
      <w:r w:rsidR="00611C6B" w:rsidRPr="63259912">
        <w:t xml:space="preserve">Opskrbljivači toplinskom energijom stranke </w:t>
      </w:r>
      <w:r w:rsidR="007A11AB" w:rsidRPr="63259912">
        <w:t>su</w:t>
      </w:r>
      <w:r w:rsidR="00611C6B" w:rsidRPr="63259912">
        <w:t xml:space="preserve"> obveznice u sustavu obveze energetskih ušteda prema Zakonu o energetskoj učinkovitosti te su obvezni na godišnjoj razini kao i kumulativno u cijelom razdoblju od 2021. do 2030. godine postizati uštede energije. Te </w:t>
      </w:r>
      <w:r w:rsidR="003F6713" w:rsidRPr="63259912">
        <w:t>se</w:t>
      </w:r>
      <w:r w:rsidR="00611C6B" w:rsidRPr="63259912">
        <w:t xml:space="preserve"> uštede mogu postići i mjerama na strani CTS-a (proizvodnja i distribucija) te će se strankama obveznicama izdati preporuka da same svojim sredstvima provedu isplative mjere</w:t>
      </w:r>
      <w:r w:rsidR="00F120F1" w:rsidRPr="63259912">
        <w:t xml:space="preserve">. </w:t>
      </w:r>
      <w:r w:rsidR="00611C6B" w:rsidRPr="63259912">
        <w:t>Provedbom tih mjera energetski subjekti u sustavu toplinarstva poboljšat će svoje sustave, ostvariti financijske koristi te ostvariti obvezu odnosno izbjeći penalizaciju neostvarenja te obveze, a istodobno će pridonijeti ostvarenju nacionalnih ciljeva energetske učinkovitosti i OIE u grijanju i hlađenju.</w:t>
      </w:r>
    </w:p>
    <w:p w14:paraId="0E342E97" w14:textId="43507A95" w:rsidR="00D74F94" w:rsidRPr="00B47BDA" w:rsidRDefault="00D74F94" w:rsidP="63259912">
      <w:pPr>
        <w:rPr>
          <w:rFonts w:eastAsia="Calibri"/>
        </w:rPr>
      </w:pPr>
      <w:r w:rsidRPr="63259912">
        <w:rPr>
          <w:b/>
          <w:bCs/>
        </w:rPr>
        <w:t xml:space="preserve">Povezanost s drugim dimenzijama: </w:t>
      </w:r>
      <w:r w:rsidR="00773AE7" w:rsidRPr="63259912">
        <w:t>Dekarbonizacija-OIE</w:t>
      </w:r>
      <w:r w:rsidR="00773AE7" w:rsidRPr="63259912">
        <w:rPr>
          <w:b/>
          <w:bCs/>
        </w:rPr>
        <w:t xml:space="preserve">, </w:t>
      </w:r>
      <w:r w:rsidRPr="63259912">
        <w:t>Energetska učinkovitost</w:t>
      </w:r>
    </w:p>
    <w:p w14:paraId="594EC0D5" w14:textId="1736FC97" w:rsidR="00B82BFF" w:rsidRDefault="00A534B0" w:rsidP="004623DD">
      <w:r w:rsidRPr="63259912">
        <w:rPr>
          <w:rFonts w:eastAsia="Calibri" w:cstheme="minorBidi"/>
          <w:b/>
          <w:bCs/>
        </w:rPr>
        <w:t>Istraživanje i razvoj:</w:t>
      </w:r>
      <w:r w:rsidRPr="63259912">
        <w:rPr>
          <w:rFonts w:eastAsia="Calibri"/>
          <w:b/>
          <w:bCs/>
        </w:rPr>
        <w:t xml:space="preserve"> </w:t>
      </w:r>
      <w:r w:rsidR="00F871DE" w:rsidRPr="63259912">
        <w:t xml:space="preserve">Mjera je povezana s istraživanjem i razvojem tehnologija OIE i integracijom OIE u energetske sustave. Najveći se naglasak treba staviti na istraživanje korištenja otpadne topline u toplinarskim sustavima. Potrebno je mapirati izvore otpadne topline u gradovima s postojećim centraliziranim toplinskim sustavima i napraviti preliminarne studije tehničke izvedivosti. Centralizirani toplinski sustavi se također mogu koristiti i za hlađenje putem apsorpcijskih dizalica topline. U tu svrhu je potrebno provesti preliminarnu studiju izvodljivosti u gradu s postojećim toplinarskim sustavom. </w:t>
      </w:r>
    </w:p>
    <w:p w14:paraId="47FE02CE" w14:textId="0C3F6AD1" w:rsidR="00774BF5" w:rsidRDefault="00774BF5" w:rsidP="007B3810">
      <w:pPr>
        <w:pStyle w:val="Mjeranaslov"/>
      </w:pPr>
      <w:r w:rsidRPr="00B47BDA">
        <w:t>ES-</w:t>
      </w:r>
      <w:r w:rsidR="00E64182" w:rsidRPr="00B47BDA">
        <w:t>4</w:t>
      </w:r>
      <w:r w:rsidR="009371B7">
        <w:t xml:space="preserve"> </w:t>
      </w:r>
      <w:r w:rsidRPr="00B47BDA">
        <w:tab/>
      </w:r>
      <w:r w:rsidR="009771D9" w:rsidRPr="00B47BDA">
        <w:t>Povećanje kapaciteta</w:t>
      </w:r>
      <w:r w:rsidRPr="00B47BDA">
        <w:t xml:space="preserve"> terminala</w:t>
      </w:r>
      <w:r w:rsidR="00B16FD1" w:rsidRPr="00B47BDA">
        <w:t xml:space="preserve"> za UPP</w:t>
      </w:r>
    </w:p>
    <w:p w14:paraId="2610320A" w14:textId="31B306B6" w:rsidR="00B24183" w:rsidRPr="00B24183" w:rsidRDefault="00B24183" w:rsidP="007B3810">
      <w:pPr>
        <w:pStyle w:val="Mjeranaslov"/>
        <w:rPr>
          <w:b w:val="0"/>
          <w:bCs w:val="0"/>
          <w:color w:val="auto"/>
        </w:rPr>
      </w:pPr>
      <w:r w:rsidRPr="00B24183">
        <w:rPr>
          <w:b w:val="0"/>
          <w:bCs w:val="0"/>
          <w:color w:val="auto"/>
        </w:rPr>
        <w:t xml:space="preserve">Financijska </w:t>
      </w:r>
      <w:r>
        <w:rPr>
          <w:b w:val="0"/>
          <w:bCs w:val="0"/>
          <w:color w:val="auto"/>
        </w:rPr>
        <w:t xml:space="preserve">i tehnička </w:t>
      </w:r>
      <w:r w:rsidRPr="00B24183">
        <w:rPr>
          <w:b w:val="0"/>
          <w:bCs w:val="0"/>
          <w:color w:val="auto"/>
        </w:rPr>
        <w:t>mjera; provedba 202</w:t>
      </w:r>
      <w:r>
        <w:rPr>
          <w:b w:val="0"/>
          <w:bCs w:val="0"/>
          <w:color w:val="auto"/>
        </w:rPr>
        <w:t>3</w:t>
      </w:r>
      <w:r w:rsidRPr="00B24183">
        <w:rPr>
          <w:b w:val="0"/>
          <w:bCs w:val="0"/>
          <w:color w:val="auto"/>
        </w:rPr>
        <w:t>.-20</w:t>
      </w:r>
      <w:r>
        <w:rPr>
          <w:b w:val="0"/>
          <w:bCs w:val="0"/>
          <w:color w:val="auto"/>
        </w:rPr>
        <w:t>27</w:t>
      </w:r>
      <w:r w:rsidRPr="00B24183">
        <w:rPr>
          <w:b w:val="0"/>
          <w:bCs w:val="0"/>
          <w:color w:val="auto"/>
        </w:rPr>
        <w:t xml:space="preserve">. </w:t>
      </w:r>
    </w:p>
    <w:p w14:paraId="1623EE79" w14:textId="62A29B78" w:rsidR="00E51260" w:rsidRPr="00B47BDA" w:rsidRDefault="00CB2835" w:rsidP="008F0332">
      <w:pPr>
        <w:pStyle w:val="NormalWeb"/>
      </w:pPr>
      <w:r w:rsidRPr="00B47BDA">
        <w:rPr>
          <w:b/>
        </w:rPr>
        <w:t>Cilj i opis mjere</w:t>
      </w:r>
      <w:r w:rsidRPr="00B47BDA">
        <w:rPr>
          <w:rFonts w:eastAsia="Calibri"/>
          <w:b/>
        </w:rPr>
        <w:t>:</w:t>
      </w:r>
      <w:r w:rsidRPr="00B47BDA">
        <w:rPr>
          <w:rFonts w:eastAsia="Calibri"/>
        </w:rPr>
        <w:t xml:space="preserve"> </w:t>
      </w:r>
      <w:r w:rsidR="00E51260" w:rsidRPr="00B47BDA">
        <w:t>Terminal za ukapljeni prirodni plin na otoku Krku pušten je u pogon 1. siječnja 2021. godine. Inicijalni kapacitet uplinjavanja od 2,6 milijardi m</w:t>
      </w:r>
      <w:r w:rsidR="00E51260" w:rsidRPr="00B47BDA">
        <w:rPr>
          <w:vertAlign w:val="superscript"/>
        </w:rPr>
        <w:t>3</w:t>
      </w:r>
      <w:r w:rsidR="00E51260" w:rsidRPr="00B47BDA">
        <w:t>/god. povećan je u travnju 2022. godine na 2,9 milijardi m</w:t>
      </w:r>
      <w:r w:rsidR="00E51260" w:rsidRPr="00B47BDA">
        <w:rPr>
          <w:vertAlign w:val="superscript"/>
        </w:rPr>
        <w:t>3</w:t>
      </w:r>
      <w:r w:rsidR="00E51260" w:rsidRPr="00B47BDA">
        <w:t xml:space="preserve"> prirodnog plina godišnje, koliko iznosi maksimalni kapacitet postojećeg plinovoda. U kolovozu 2022, godine, Vlada RH donijela je </w:t>
      </w:r>
      <w:r w:rsidR="00E51260" w:rsidRPr="00B47BDA">
        <w:rPr>
          <w:i/>
        </w:rPr>
        <w:t>Odluku o povećanju sigurnosti opskrbe plinom izgradnjom plinovoda Zlobin-Bosiljevo i povećanjem kapaciteta LNG terminala na 6,1 milijardi m</w:t>
      </w:r>
      <w:r w:rsidR="00E51260" w:rsidRPr="00B47BDA">
        <w:rPr>
          <w:i/>
          <w:vertAlign w:val="superscript"/>
        </w:rPr>
        <w:t>3</w:t>
      </w:r>
      <w:r w:rsidR="00E51260" w:rsidRPr="00B47BDA">
        <w:rPr>
          <w:i/>
        </w:rPr>
        <w:t xml:space="preserve"> plina godišnje</w:t>
      </w:r>
      <w:r w:rsidR="00E51260" w:rsidRPr="00B47BDA">
        <w:t xml:space="preserve">. Investicija je procijenjena na 180 milijuna </w:t>
      </w:r>
      <w:r w:rsidR="00996610">
        <w:t>EUR</w:t>
      </w:r>
      <w:r w:rsidR="00E51260" w:rsidRPr="00B47BDA">
        <w:t xml:space="preserve">, od čega je 25 milijuna </w:t>
      </w:r>
      <w:r w:rsidR="00A84EE0">
        <w:t>EUR</w:t>
      </w:r>
      <w:r w:rsidR="00E51260" w:rsidRPr="00B47BDA">
        <w:t xml:space="preserve"> planirano za povećanje kapaciteta terminala, a 155 milijuna </w:t>
      </w:r>
      <w:r w:rsidR="00A84EE0">
        <w:t>EUR</w:t>
      </w:r>
      <w:r w:rsidR="00E51260" w:rsidRPr="00B47BDA">
        <w:t xml:space="preserve"> za izgradnju transportnog plinovoda Zlobin-Bosiljevo. </w:t>
      </w:r>
      <w:r w:rsidR="008B114D" w:rsidRPr="00B47BDA">
        <w:t xml:space="preserve">Plinovod će moći transportirati </w:t>
      </w:r>
      <w:r w:rsidR="004829EC" w:rsidRPr="00B47BDA">
        <w:t>vodik</w:t>
      </w:r>
      <w:r w:rsidR="008B114D" w:rsidRPr="00B47BDA">
        <w:t xml:space="preserve"> kada se razviju izvori proizvodnje i tržišni uvjeti za potrošnju </w:t>
      </w:r>
      <w:r w:rsidR="00877151" w:rsidRPr="00B47BDA">
        <w:t>vodika</w:t>
      </w:r>
      <w:r w:rsidR="008B114D" w:rsidRPr="00B47BDA">
        <w:t>.</w:t>
      </w:r>
      <w:r w:rsidR="00877151" w:rsidRPr="00B47BDA">
        <w:t xml:space="preserve"> </w:t>
      </w:r>
      <w:r w:rsidR="00E51260" w:rsidRPr="00B47BDA">
        <w:t xml:space="preserve">Izgradnja navedene dionice plinovoda doprinijet će sigurnosti opskrbe plinom u RH, no neće povećati kapacitete za transport plina prema susjednim zemljama. Za veći regionalni utjecaj, potrebno je izgraditi transportne plinovode prema Mađarskoj i Sloveniji. </w:t>
      </w:r>
    </w:p>
    <w:p w14:paraId="055901CD" w14:textId="480715A4" w:rsidR="00E51260" w:rsidRPr="00B47BDA" w:rsidRDefault="00E51260" w:rsidP="004623DD">
      <w:r w:rsidRPr="00B47BDA">
        <w:rPr>
          <w:b/>
        </w:rPr>
        <w:lastRenderedPageBreak/>
        <w:t>Aktivnosti:</w:t>
      </w:r>
      <w:r w:rsidRPr="00B47BDA">
        <w:t xml:space="preserve"> povećanje kapaciteta terminala za UPP i izgradnja transportnog plinovoda Zlobin-Bosiljevo.</w:t>
      </w:r>
    </w:p>
    <w:p w14:paraId="11C2F79C" w14:textId="2517CD5F" w:rsidR="00E51260" w:rsidRPr="00B47BDA" w:rsidRDefault="00E51260" w:rsidP="004623DD">
      <w:pPr>
        <w:rPr>
          <w:rFonts w:eastAsia="Calibri"/>
        </w:rPr>
      </w:pPr>
      <w:r w:rsidRPr="007B3810">
        <w:rPr>
          <w:b/>
          <w:bCs/>
        </w:rPr>
        <w:t>Sredstva potrebna za provedbu:</w:t>
      </w:r>
      <w:r w:rsidRPr="00B47BDA">
        <w:t xml:space="preserve"> 180 milijuna </w:t>
      </w:r>
      <w:r w:rsidR="00996610">
        <w:t>EUR.</w:t>
      </w:r>
    </w:p>
    <w:p w14:paraId="60D10B92" w14:textId="775BB20E" w:rsidR="007760CC" w:rsidRPr="00B47BDA" w:rsidRDefault="007760CC" w:rsidP="007760CC">
      <w:pPr>
        <w:rPr>
          <w:rFonts w:eastAsia="Calibri"/>
        </w:rPr>
      </w:pPr>
      <w:r w:rsidRPr="00B47BDA">
        <w:rPr>
          <w:b/>
        </w:rPr>
        <w:t xml:space="preserve">Izvori financiranja: </w:t>
      </w:r>
      <w:r>
        <w:t>RH</w:t>
      </w:r>
      <w:r w:rsidRPr="00B47BDA">
        <w:t xml:space="preserve"> i europski fondovi</w:t>
      </w:r>
      <w:r w:rsidR="00DA0180">
        <w:t>.</w:t>
      </w:r>
    </w:p>
    <w:p w14:paraId="58C8B844" w14:textId="3810CB80" w:rsidR="00E51260" w:rsidRPr="00B47BDA" w:rsidRDefault="00E51260" w:rsidP="004623DD">
      <w:r w:rsidRPr="007B3810">
        <w:rPr>
          <w:b/>
          <w:bCs/>
        </w:rPr>
        <w:t>Izvršno tijelo:</w:t>
      </w:r>
      <w:r w:rsidRPr="00B47BDA">
        <w:t xml:space="preserve"> Plinacro</w:t>
      </w:r>
      <w:r w:rsidR="00DA0180">
        <w:t>.</w:t>
      </w:r>
    </w:p>
    <w:p w14:paraId="0B1963EC" w14:textId="4720F027" w:rsidR="00E51260" w:rsidRPr="00B47BDA" w:rsidRDefault="00E51260" w:rsidP="004623DD">
      <w:pPr>
        <w:rPr>
          <w:rFonts w:eastAsia="Calibri"/>
        </w:rPr>
      </w:pPr>
      <w:r w:rsidRPr="007B3810">
        <w:rPr>
          <w:b/>
          <w:bCs/>
        </w:rPr>
        <w:t>Tijela za praćenje:</w:t>
      </w:r>
      <w:r w:rsidRPr="00B47BDA">
        <w:t xml:space="preserve"> MINGO</w:t>
      </w:r>
      <w:r w:rsidR="00D73438">
        <w:t>.</w:t>
      </w:r>
    </w:p>
    <w:p w14:paraId="70AF2A6F" w14:textId="53427860" w:rsidR="00E51260" w:rsidRPr="00B47BDA" w:rsidRDefault="00E51260" w:rsidP="004623DD">
      <w:r w:rsidRPr="00B47BDA">
        <w:rPr>
          <w:b/>
        </w:rPr>
        <w:t xml:space="preserve">Učinak: </w:t>
      </w:r>
      <w:r w:rsidR="00D73438">
        <w:t>S</w:t>
      </w:r>
      <w:r w:rsidRPr="00B47BDA">
        <w:t>igurnost opskrbe prirodnim plinom, diversifikacija izvora dobave plina</w:t>
      </w:r>
      <w:r w:rsidR="00DA0180">
        <w:t>.</w:t>
      </w:r>
    </w:p>
    <w:p w14:paraId="75EB333C" w14:textId="486B53D2" w:rsidR="003E60ED" w:rsidRDefault="00E51260" w:rsidP="004623DD">
      <w:r w:rsidRPr="00B47BDA">
        <w:rPr>
          <w:b/>
        </w:rPr>
        <w:t>Metoda praćenja:</w:t>
      </w:r>
      <w:r w:rsidRPr="00B47BDA">
        <w:t xml:space="preserve"> </w:t>
      </w:r>
      <w:r w:rsidR="00D73438">
        <w:t>I</w:t>
      </w:r>
      <w:r w:rsidRPr="00B47BDA">
        <w:t>zvještaji HERA-i</w:t>
      </w:r>
      <w:r w:rsidR="00DA0180">
        <w:t>.</w:t>
      </w:r>
    </w:p>
    <w:p w14:paraId="594ED04F" w14:textId="70A15D5F" w:rsidR="003E60ED" w:rsidRDefault="003E60ED" w:rsidP="007B3810">
      <w:pPr>
        <w:pStyle w:val="Mjeranaslov"/>
      </w:pPr>
      <w:r w:rsidRPr="00B47BDA">
        <w:t>ES-</w:t>
      </w:r>
      <w:r w:rsidR="00971BCF">
        <w:t>5</w:t>
      </w:r>
      <w:r w:rsidR="00AC289A">
        <w:t xml:space="preserve"> </w:t>
      </w:r>
      <w:r w:rsidRPr="00B47BDA">
        <w:tab/>
        <w:t>Sigurnost opskrbe prirodnim plinom za EU zemlje</w:t>
      </w:r>
    </w:p>
    <w:p w14:paraId="79179189" w14:textId="4FDE17CF" w:rsidR="00B24183" w:rsidRPr="00B24183" w:rsidRDefault="00B24183" w:rsidP="007B3810">
      <w:pPr>
        <w:pStyle w:val="Mjeranaslov"/>
        <w:rPr>
          <w:b w:val="0"/>
          <w:bCs w:val="0"/>
          <w:color w:val="auto"/>
        </w:rPr>
      </w:pPr>
      <w:r w:rsidRPr="00B24183">
        <w:rPr>
          <w:b w:val="0"/>
          <w:bCs w:val="0"/>
          <w:color w:val="auto"/>
        </w:rPr>
        <w:t xml:space="preserve">Financijska i tehnička mjera; </w:t>
      </w:r>
      <w:r>
        <w:rPr>
          <w:b w:val="0"/>
          <w:bCs w:val="0"/>
          <w:color w:val="auto"/>
        </w:rPr>
        <w:t xml:space="preserve">provedba 2023.-2027. </w:t>
      </w:r>
    </w:p>
    <w:p w14:paraId="3F9A50B9" w14:textId="77777777" w:rsidR="003E60ED" w:rsidRPr="00B47BDA" w:rsidRDefault="003E60ED" w:rsidP="008F0332">
      <w:pPr>
        <w:pStyle w:val="NormalWeb"/>
      </w:pPr>
      <w:r w:rsidRPr="00B47BDA">
        <w:rPr>
          <w:b/>
        </w:rPr>
        <w:t>Cilj i opis mjere:</w:t>
      </w:r>
      <w:r w:rsidRPr="00B47BDA">
        <w:t xml:space="preserve"> Procjena Europske mreže operatora transportnog sustava za plin (ENTSOG) pokazala je da će, srednjoročno, proširenje kapaciteta terminala za UPP na otoku Krku dodatno pomoći u ublažavanju ovisnosti o opskrbi plinom iz Rusije, ali da bi se iskoristile te prednosti, bilo bi potrebno unaprijediti hrvatsku transportnu mrežu prema Sloveniji i Mađarskoj. </w:t>
      </w:r>
    </w:p>
    <w:p w14:paraId="1E17A3DF" w14:textId="77777777" w:rsidR="003E60ED" w:rsidRPr="00B47BDA" w:rsidRDefault="003E60ED" w:rsidP="004623DD">
      <w:pPr>
        <w:pStyle w:val="NormalWeb"/>
      </w:pPr>
      <w:r w:rsidRPr="00B47BDA">
        <w:t>To uključuje izgradnju plinske infrastrukture:</w:t>
      </w:r>
    </w:p>
    <w:p w14:paraId="0BF6739D" w14:textId="1582CA96" w:rsidR="003E60ED" w:rsidRPr="00B47BDA" w:rsidRDefault="003E60ED" w:rsidP="63259912">
      <w:pPr>
        <w:pStyle w:val="NormalWeb"/>
        <w:spacing w:before="0" w:beforeAutospacing="0" w:after="60" w:afterAutospacing="0"/>
      </w:pPr>
      <w:r w:rsidRPr="63259912">
        <w:t>1.</w:t>
      </w:r>
      <w:r>
        <w:tab/>
      </w:r>
      <w:r w:rsidRPr="63259912">
        <w:t xml:space="preserve">prema Sloveniji (plinovod Lučko-Zabok-Jezerišće-Sotla): 70 km, 145 milijuna </w:t>
      </w:r>
      <w:r w:rsidR="00A84EE0" w:rsidRPr="63259912">
        <w:t>EUR</w:t>
      </w:r>
      <w:r w:rsidRPr="63259912">
        <w:t>.</w:t>
      </w:r>
    </w:p>
    <w:p w14:paraId="08BDFA19" w14:textId="3B5A2E04" w:rsidR="003E60ED" w:rsidRPr="00B47BDA" w:rsidRDefault="003E60ED" w:rsidP="00277AF6">
      <w:pPr>
        <w:pStyle w:val="NormalWeb"/>
        <w:spacing w:before="0" w:beforeAutospacing="0" w:after="60" w:afterAutospacing="0"/>
      </w:pPr>
      <w:r w:rsidRPr="00B47BDA">
        <w:t>2.</w:t>
      </w:r>
      <w:r w:rsidRPr="00B47BDA">
        <w:tab/>
        <w:t xml:space="preserve">prema Mađarskoj – prva faza (plinovod Bosiljevo-Sisak-Kozarac): 122 km, 306 milijuna </w:t>
      </w:r>
      <w:r w:rsidR="00A84EE0">
        <w:t>EUR</w:t>
      </w:r>
      <w:r w:rsidRPr="00B47BDA">
        <w:t>.</w:t>
      </w:r>
    </w:p>
    <w:p w14:paraId="7B303D10" w14:textId="6914C2F0" w:rsidR="003E60ED" w:rsidRPr="00B47BDA" w:rsidRDefault="003E60ED" w:rsidP="63259912">
      <w:pPr>
        <w:pStyle w:val="NormalWeb"/>
        <w:spacing w:before="0" w:beforeAutospacing="0" w:after="60" w:afterAutospacing="0"/>
      </w:pPr>
      <w:r w:rsidRPr="63259912">
        <w:t>3.</w:t>
      </w:r>
      <w:r>
        <w:tab/>
      </w:r>
      <w:r w:rsidRPr="63259912">
        <w:t xml:space="preserve">prema Mađarskoj – druga faza (plinovod Kozarac-Slobodnica): 128 km, 272 milijuna </w:t>
      </w:r>
      <w:r w:rsidR="00A84EE0" w:rsidRPr="63259912">
        <w:t>EUR</w:t>
      </w:r>
      <w:r w:rsidRPr="63259912">
        <w:t>.</w:t>
      </w:r>
    </w:p>
    <w:p w14:paraId="04A3808F" w14:textId="2223D6F1" w:rsidR="003E60ED" w:rsidRPr="00B47BDA" w:rsidRDefault="003E60ED" w:rsidP="004623DD">
      <w:pPr>
        <w:pStyle w:val="NormalWeb"/>
      </w:pPr>
      <w:r w:rsidRPr="00B47BDA">
        <w:t>Izgradnja plinovoda je potrebna kako bi se stvorili preduvjeti za transport 6,1 milijardi m</w:t>
      </w:r>
      <w:r w:rsidRPr="00B47BDA">
        <w:rPr>
          <w:vertAlign w:val="superscript"/>
        </w:rPr>
        <w:t>3</w:t>
      </w:r>
      <w:r w:rsidRPr="00B47BDA">
        <w:t xml:space="preserve"> plina iz terminala za UPP prema EU zemljama. Predviđena investicija iznosi 723 milijuna </w:t>
      </w:r>
      <w:r w:rsidR="00A35101">
        <w:t>EUR</w:t>
      </w:r>
      <w:r w:rsidRPr="00B47BDA">
        <w:t>.</w:t>
      </w:r>
    </w:p>
    <w:p w14:paraId="0F87973D" w14:textId="77777777" w:rsidR="003E60ED" w:rsidRPr="00B47BDA" w:rsidRDefault="003E60ED" w:rsidP="004623DD">
      <w:pPr>
        <w:pStyle w:val="NormalWeb"/>
      </w:pPr>
      <w:r w:rsidRPr="63259912">
        <w:t>Nabava za sve projekte može početi odmah, a projekti se mogu izgraditi unutar 2,5 do 3 godine, odnosno najkasnije u 2026. godini, osim druge faze interkonekcije prema Mađarskoj, čiji završetak izgradnje može biti projiciran za 2027. godinu. Svi plinovodi moći će transportirati vodik kada se razviju izvori proizvodnje i tržišni uvjeti za potrošnju vodika.</w:t>
      </w:r>
    </w:p>
    <w:p w14:paraId="256A8354" w14:textId="1B7B8CF1" w:rsidR="003E60ED" w:rsidRPr="00B47BDA" w:rsidRDefault="003E60ED" w:rsidP="004623DD">
      <w:r w:rsidRPr="63259912">
        <w:rPr>
          <w:b/>
          <w:bCs/>
        </w:rPr>
        <w:t>Aktivnosti:</w:t>
      </w:r>
      <w:r w:rsidRPr="63259912">
        <w:t xml:space="preserve"> </w:t>
      </w:r>
      <w:r w:rsidR="006715EA" w:rsidRPr="63259912">
        <w:t>I</w:t>
      </w:r>
      <w:r w:rsidRPr="63259912">
        <w:t>zgradnja transportnih plinovoda Lučko-Zabok-Jezerišće-Sotla prema Sloveniji i plinovoda Bosiljevo-Sisak-Kozarac i Kozarac-Slobodnica prema Mađarskoj.</w:t>
      </w:r>
    </w:p>
    <w:p w14:paraId="76AF8980" w14:textId="2008A35E" w:rsidR="003E60ED" w:rsidRPr="00B47BDA" w:rsidRDefault="003E60ED" w:rsidP="004623DD">
      <w:pPr>
        <w:rPr>
          <w:rFonts w:eastAsia="Calibri"/>
        </w:rPr>
      </w:pPr>
      <w:r w:rsidRPr="00DA0180">
        <w:rPr>
          <w:b/>
          <w:bCs/>
        </w:rPr>
        <w:t>Sredstva potrebna za provedbu:</w:t>
      </w:r>
      <w:r w:rsidRPr="00B47BDA">
        <w:t xml:space="preserve"> 723 milijuna </w:t>
      </w:r>
      <w:r w:rsidR="00A35101">
        <w:t>EUR</w:t>
      </w:r>
      <w:r w:rsidR="00DA0180">
        <w:t>.</w:t>
      </w:r>
    </w:p>
    <w:p w14:paraId="39D55DF6" w14:textId="0CFFCB87" w:rsidR="003E60ED" w:rsidRPr="00B47BDA" w:rsidRDefault="003E60ED" w:rsidP="004623DD">
      <w:pPr>
        <w:rPr>
          <w:rFonts w:eastAsia="Calibri"/>
        </w:rPr>
      </w:pPr>
      <w:r w:rsidRPr="00B47BDA">
        <w:rPr>
          <w:b/>
        </w:rPr>
        <w:t xml:space="preserve">Izvori financiranja: </w:t>
      </w:r>
      <w:r w:rsidR="00DA0180">
        <w:t>S</w:t>
      </w:r>
      <w:r w:rsidR="00A60960" w:rsidRPr="00B47BDA">
        <w:t>redstva društva i europski fondovi</w:t>
      </w:r>
      <w:r w:rsidR="00DA0180">
        <w:t>.</w:t>
      </w:r>
    </w:p>
    <w:p w14:paraId="2FCD93CC" w14:textId="4C2FB29D" w:rsidR="003E60ED" w:rsidRPr="00B47BDA" w:rsidRDefault="003E60ED" w:rsidP="004623DD">
      <w:r w:rsidRPr="007B3810">
        <w:rPr>
          <w:b/>
          <w:bCs/>
        </w:rPr>
        <w:t>Izvršno tijelo:</w:t>
      </w:r>
      <w:r w:rsidRPr="00B47BDA">
        <w:t xml:space="preserve"> Plinacro</w:t>
      </w:r>
      <w:r w:rsidR="00DA0180">
        <w:t>.</w:t>
      </w:r>
    </w:p>
    <w:p w14:paraId="7CABBCB1" w14:textId="72614C1C" w:rsidR="003E60ED" w:rsidRPr="00B47BDA" w:rsidRDefault="003E60ED" w:rsidP="004623DD">
      <w:r w:rsidRPr="007B3810">
        <w:rPr>
          <w:b/>
          <w:bCs/>
        </w:rPr>
        <w:t>Tijela za praćenje:</w:t>
      </w:r>
      <w:r w:rsidRPr="00B47BDA">
        <w:t xml:space="preserve"> MINGO</w:t>
      </w:r>
      <w:r w:rsidR="00DA0180">
        <w:t>.</w:t>
      </w:r>
    </w:p>
    <w:p w14:paraId="711905FE" w14:textId="2FEAB05F" w:rsidR="003E60ED" w:rsidRPr="00B47BDA" w:rsidRDefault="003E60ED" w:rsidP="004623DD">
      <w:r w:rsidRPr="00B47BDA">
        <w:rPr>
          <w:b/>
        </w:rPr>
        <w:t xml:space="preserve">Učinak: </w:t>
      </w:r>
      <w:r w:rsidR="00DA0180">
        <w:t>S</w:t>
      </w:r>
      <w:r w:rsidRPr="00B47BDA">
        <w:t>igurnost opskrbe prirodnim plinom, ublažavanje ovisnosti o opskrbi plinom iz Rusije, diversifikacija izvora dobave, projekti imaju prekograničnu i više-državnu dimenziju</w:t>
      </w:r>
      <w:r w:rsidR="00DA0180">
        <w:t>.</w:t>
      </w:r>
    </w:p>
    <w:p w14:paraId="0292DD21" w14:textId="597D0AC5" w:rsidR="00BA4BD6" w:rsidRDefault="003E60ED" w:rsidP="004623DD">
      <w:r w:rsidRPr="00B47BDA">
        <w:rPr>
          <w:b/>
        </w:rPr>
        <w:lastRenderedPageBreak/>
        <w:t>Metoda praćenja:</w:t>
      </w:r>
      <w:r w:rsidRPr="00B47BDA">
        <w:t xml:space="preserve"> </w:t>
      </w:r>
      <w:r w:rsidR="00A64D88">
        <w:t>I</w:t>
      </w:r>
      <w:r w:rsidRPr="00B47BDA">
        <w:t>zvještaji HERA-</w:t>
      </w:r>
      <w:r w:rsidR="00DD564A">
        <w:t>i</w:t>
      </w:r>
      <w:r w:rsidR="00DA0180">
        <w:t>.</w:t>
      </w:r>
    </w:p>
    <w:p w14:paraId="1BD4BFEA" w14:textId="71DD1466" w:rsidR="00E1787D" w:rsidRDefault="00E1787D" w:rsidP="007B3810">
      <w:pPr>
        <w:pStyle w:val="Mjeranaslov"/>
      </w:pPr>
      <w:r w:rsidRPr="00B47BDA">
        <w:t>ES-</w:t>
      </w:r>
      <w:r w:rsidR="00971BCF">
        <w:t>6</w:t>
      </w:r>
      <w:r w:rsidR="00AC289A">
        <w:t xml:space="preserve"> </w:t>
      </w:r>
      <w:r w:rsidRPr="00B47BDA">
        <w:tab/>
        <w:t>Sigurnost opskrbe prirodnim plinom za Zapadni Balkan</w:t>
      </w:r>
    </w:p>
    <w:p w14:paraId="362DB34C" w14:textId="202397C8" w:rsidR="00B24183" w:rsidRPr="00B24183" w:rsidRDefault="00B24183" w:rsidP="007B3810">
      <w:pPr>
        <w:pStyle w:val="Mjeranaslov"/>
        <w:rPr>
          <w:b w:val="0"/>
          <w:bCs w:val="0"/>
          <w:color w:val="auto"/>
        </w:rPr>
      </w:pPr>
      <w:r w:rsidRPr="00B24183">
        <w:rPr>
          <w:b w:val="0"/>
          <w:bCs w:val="0"/>
          <w:color w:val="auto"/>
        </w:rPr>
        <w:t>Financijska i tehnička mjera; provedba 202</w:t>
      </w:r>
      <w:r w:rsidR="004A3DBC">
        <w:rPr>
          <w:b w:val="0"/>
          <w:bCs w:val="0"/>
          <w:color w:val="auto"/>
        </w:rPr>
        <w:t>5</w:t>
      </w:r>
      <w:r w:rsidRPr="00B24183">
        <w:rPr>
          <w:b w:val="0"/>
          <w:bCs w:val="0"/>
          <w:color w:val="auto"/>
        </w:rPr>
        <w:t xml:space="preserve">.-2030. </w:t>
      </w:r>
    </w:p>
    <w:p w14:paraId="4BD33C2A" w14:textId="77777777" w:rsidR="00E1787D" w:rsidRPr="00B47BDA" w:rsidRDefault="00E1787D" w:rsidP="004623DD">
      <w:pPr>
        <w:pStyle w:val="NormalWeb"/>
      </w:pPr>
      <w:r w:rsidRPr="63259912">
        <w:rPr>
          <w:b/>
          <w:bCs/>
        </w:rPr>
        <w:t>Cilj i opis mjere:</w:t>
      </w:r>
      <w:r w:rsidRPr="63259912">
        <w:t xml:space="preserve"> Procjena Europske mreže operatora transportnog sustava za plin (ENTSOG) pokazala je da bi projekti od zajedničkog interesa i dodatni projekti prepoznati u planu REPowerEU, ako se provedu, osigurali dodatne koristi i ugovornim stranama Energetske zajednice, čije bi potrebe bile u potpunosti zadovoljene. Završetkom projekata prepoznatih od Vodećih 5 projekata ekonomsko ulagačkog plana (</w:t>
      </w:r>
      <w:r w:rsidRPr="63259912">
        <w:rPr>
          <w:i/>
          <w:iCs/>
        </w:rPr>
        <w:t>Flagship 5 of the Economic Investment Plan</w:t>
      </w:r>
      <w:r w:rsidRPr="63259912">
        <w:t xml:space="preserve">) za zapadni Balkan (EIP projekti), ugovorne strane Energetske zajednice imat će pristup raznim alternativnim izvorima i pravcima. U nastavku je citat iz priloga Ekonomsko ulagačkog plana za Zapadni Balkan, Vodećih 5 – TRANZICIJA S UGLJENA: </w:t>
      </w:r>
    </w:p>
    <w:p w14:paraId="01B7EE07" w14:textId="07AE6E9E" w:rsidR="00E1787D" w:rsidRPr="00B47BDA" w:rsidRDefault="00E1787D" w:rsidP="63259912">
      <w:pPr>
        <w:pStyle w:val="NormalWeb"/>
        <w:spacing w:before="0" w:beforeAutospacing="0" w:after="60" w:afterAutospacing="0"/>
      </w:pPr>
      <w:r w:rsidRPr="63259912">
        <w:t>•</w:t>
      </w:r>
      <w:r>
        <w:tab/>
      </w:r>
      <w:r w:rsidRPr="63259912">
        <w:t>Plinska interkonekcija Bosna i Hercegovina i Hrvatska - donosi diversifikaciju izvora dobave plina te povećanje potencijala i diversifikaciju postojećeg sustava distribucije plina u zemlji.</w:t>
      </w:r>
    </w:p>
    <w:p w14:paraId="0833430F" w14:textId="77777777" w:rsidR="00E1787D" w:rsidRPr="00B47BDA" w:rsidRDefault="00E1787D" w:rsidP="63259912">
      <w:pPr>
        <w:pStyle w:val="NormalWeb"/>
        <w:spacing w:before="0" w:beforeAutospacing="0" w:after="60" w:afterAutospacing="0"/>
      </w:pPr>
      <w:r w:rsidRPr="63259912">
        <w:t>•</w:t>
      </w:r>
      <w:r>
        <w:tab/>
      </w:r>
      <w:r w:rsidRPr="63259912">
        <w:t>Dovršit će se izgradnja plinovoda Fier-Vlora u Albaniji, a dat će se prioritet Jonsko-jadranskom plinovodu duž obale.</w:t>
      </w:r>
    </w:p>
    <w:p w14:paraId="31A058FD" w14:textId="77777777" w:rsidR="00E1787D" w:rsidRPr="00B47BDA" w:rsidRDefault="00E1787D" w:rsidP="00DD564A">
      <w:pPr>
        <w:pStyle w:val="NormalWeb"/>
        <w:spacing w:after="120" w:afterAutospacing="0"/>
      </w:pPr>
      <w:r w:rsidRPr="00B47BDA">
        <w:t>Ova mjera uključuje izgradnju:</w:t>
      </w:r>
    </w:p>
    <w:p w14:paraId="6F82B7C4" w14:textId="4BC16D32" w:rsidR="00E1787D" w:rsidRPr="00B47BDA" w:rsidRDefault="00E1787D" w:rsidP="63259912">
      <w:pPr>
        <w:pStyle w:val="NormalWeb"/>
        <w:spacing w:before="0" w:beforeAutospacing="0" w:after="60" w:afterAutospacing="0"/>
      </w:pPr>
      <w:r w:rsidRPr="63259912">
        <w:t>1.</w:t>
      </w:r>
      <w:r>
        <w:tab/>
      </w:r>
      <w:r w:rsidRPr="63259912">
        <w:t xml:space="preserve">Južne plinske interkonekcije s Bosnom i Hercegovinom: plinovod Split-Zagvozd (DN800/75bar, 52 km) i plinovod Zagvozd-granica s Bosnom i Hercegovinom (DN500/75bar, 22 km), uz procjenu investicije od 169 milijuna </w:t>
      </w:r>
      <w:r w:rsidR="00A35101" w:rsidRPr="63259912">
        <w:t>EUR</w:t>
      </w:r>
      <w:r w:rsidRPr="63259912">
        <w:t>.</w:t>
      </w:r>
    </w:p>
    <w:p w14:paraId="04D0D14E" w14:textId="2C49012B" w:rsidR="00E1787D" w:rsidRPr="00B47BDA" w:rsidRDefault="00E1787D" w:rsidP="63259912">
      <w:pPr>
        <w:pStyle w:val="NormalWeb"/>
        <w:spacing w:before="0" w:beforeAutospacing="0" w:after="60" w:afterAutospacing="0"/>
      </w:pPr>
      <w:r w:rsidRPr="63259912">
        <w:t>2.</w:t>
      </w:r>
      <w:r>
        <w:tab/>
      </w:r>
      <w:r w:rsidRPr="63259912">
        <w:t xml:space="preserve">Ostatak Jonsko-jadranskog plinovoda (IAP) Zagvozd-Ploče-Dubrovnik-Prevlaka-Dobreč (DN800/75bar, 200 km) i kompresorska stanica (KS), uz procjenu investicije od 580 milijuna </w:t>
      </w:r>
      <w:r w:rsidR="0018659F" w:rsidRPr="63259912">
        <w:t>EUR</w:t>
      </w:r>
      <w:r w:rsidRPr="63259912">
        <w:t>.</w:t>
      </w:r>
    </w:p>
    <w:p w14:paraId="743CFEBF" w14:textId="77777777" w:rsidR="00E1787D" w:rsidRPr="00B47BDA" w:rsidRDefault="00E1787D" w:rsidP="004623DD">
      <w:pPr>
        <w:pStyle w:val="NormalWeb"/>
      </w:pPr>
      <w:r w:rsidRPr="00B47BDA">
        <w:t>Svi plinovodi moći će transportirati vodik kada se razviju izvori proizvodnje i tržišni uvjeti za potrošnju vodika.</w:t>
      </w:r>
    </w:p>
    <w:p w14:paraId="74066672" w14:textId="3AA9B359" w:rsidR="00E1787D" w:rsidRPr="004006BB" w:rsidRDefault="00E1787D" w:rsidP="63259912">
      <w:pPr>
        <w:rPr>
          <w:rFonts w:asciiTheme="minorHAnsi" w:hAnsiTheme="minorHAnsi" w:cstheme="minorBidi"/>
        </w:rPr>
      </w:pPr>
      <w:r w:rsidRPr="63259912">
        <w:rPr>
          <w:b/>
          <w:bCs/>
        </w:rPr>
        <w:t>Aktivnosti:</w:t>
      </w:r>
      <w:r w:rsidRPr="63259912">
        <w:t xml:space="preserve"> </w:t>
      </w:r>
      <w:r w:rsidR="002D45F8" w:rsidRPr="63259912">
        <w:rPr>
          <w:rFonts w:asciiTheme="minorHAnsi" w:hAnsiTheme="minorHAnsi" w:cstheme="minorBidi"/>
        </w:rPr>
        <w:t>I</w:t>
      </w:r>
      <w:r w:rsidRPr="63259912">
        <w:rPr>
          <w:rFonts w:asciiTheme="minorHAnsi" w:hAnsiTheme="minorHAnsi" w:cstheme="minorBidi"/>
        </w:rPr>
        <w:t>zgradnja Južne plinske interkonekcije između RH i BIH (plinovod Split-Zagvozd i Zagvozd-granica s BIH), izgradnja Jonsko-</w:t>
      </w:r>
      <w:r w:rsidR="00680414" w:rsidRPr="63259912">
        <w:rPr>
          <w:rFonts w:asciiTheme="minorHAnsi" w:hAnsiTheme="minorHAnsi" w:cstheme="minorBidi"/>
        </w:rPr>
        <w:t>jadranskog</w:t>
      </w:r>
      <w:r w:rsidRPr="63259912">
        <w:rPr>
          <w:rFonts w:asciiTheme="minorHAnsi" w:hAnsiTheme="minorHAnsi" w:cstheme="minorBidi"/>
        </w:rPr>
        <w:t xml:space="preserve"> plinovoda (Zagvozd-Ploče-Dubrovnik-Prevlaka-Dobreč i kompresorske stanice (KS).</w:t>
      </w:r>
    </w:p>
    <w:p w14:paraId="55D534FA" w14:textId="2672D9E7" w:rsidR="00E1787D" w:rsidRPr="00B47BDA" w:rsidRDefault="00E1787D" w:rsidP="004623DD">
      <w:pPr>
        <w:rPr>
          <w:rFonts w:eastAsia="Calibri"/>
        </w:rPr>
      </w:pPr>
      <w:r w:rsidRPr="002D45F8">
        <w:rPr>
          <w:b/>
          <w:bCs/>
        </w:rPr>
        <w:t>Sredstva potrebna za provedbu:</w:t>
      </w:r>
      <w:r w:rsidRPr="00B47BDA">
        <w:t xml:space="preserve"> 749 milijuna </w:t>
      </w:r>
      <w:r w:rsidR="00295A48">
        <w:t>EUR</w:t>
      </w:r>
      <w:r w:rsidR="0025746B">
        <w:t>.</w:t>
      </w:r>
    </w:p>
    <w:p w14:paraId="6F5E4E0F" w14:textId="6CED9837" w:rsidR="00E1787D" w:rsidRPr="00B47BDA" w:rsidRDefault="00E1787D" w:rsidP="004623DD">
      <w:r w:rsidRPr="00B47BDA">
        <w:rPr>
          <w:b/>
        </w:rPr>
        <w:t xml:space="preserve">Izvori financiranja: </w:t>
      </w:r>
      <w:r w:rsidR="002D45F8">
        <w:t>S</w:t>
      </w:r>
      <w:r w:rsidR="00CB35DA" w:rsidRPr="00B47BDA">
        <w:t>redstva društva i europski fondovi</w:t>
      </w:r>
      <w:r w:rsidR="0025746B">
        <w:t>.</w:t>
      </w:r>
    </w:p>
    <w:p w14:paraId="4D845F82" w14:textId="61A0B286" w:rsidR="00E1787D" w:rsidRPr="00B47BDA" w:rsidRDefault="00E1787D" w:rsidP="004623DD">
      <w:r w:rsidRPr="007B3810">
        <w:rPr>
          <w:b/>
          <w:bCs/>
        </w:rPr>
        <w:t>Izvršno tijelo:</w:t>
      </w:r>
      <w:r w:rsidRPr="00B47BDA">
        <w:t xml:space="preserve"> Plinacro</w:t>
      </w:r>
      <w:r w:rsidR="0025746B">
        <w:t>.</w:t>
      </w:r>
    </w:p>
    <w:p w14:paraId="3CD3BAF3" w14:textId="5407F8E7" w:rsidR="00E1787D" w:rsidRPr="00B47BDA" w:rsidRDefault="00E1787D" w:rsidP="004623DD">
      <w:pPr>
        <w:rPr>
          <w:rFonts w:eastAsia="Calibri"/>
        </w:rPr>
      </w:pPr>
      <w:r w:rsidRPr="007B3810">
        <w:rPr>
          <w:b/>
          <w:bCs/>
        </w:rPr>
        <w:t>Tijela za praćenje:</w:t>
      </w:r>
      <w:r w:rsidRPr="00B47BDA">
        <w:t xml:space="preserve"> MINGO</w:t>
      </w:r>
      <w:r w:rsidR="0025746B">
        <w:t>.</w:t>
      </w:r>
    </w:p>
    <w:p w14:paraId="2292E61C" w14:textId="60568EC3" w:rsidR="00E1787D" w:rsidRPr="00B47BDA" w:rsidRDefault="00E1787D" w:rsidP="004623DD">
      <w:r w:rsidRPr="00B47BDA">
        <w:rPr>
          <w:b/>
        </w:rPr>
        <w:t xml:space="preserve">Učinak: </w:t>
      </w:r>
      <w:r w:rsidR="002D45F8">
        <w:t>S</w:t>
      </w:r>
      <w:r w:rsidRPr="00B47BDA">
        <w:t>igurnost opskrbe prirodnim plinom, ublažavanje ovisnosti o opskrbi plinom iz Rusije, diversifikacija izvora dobave, projekti imaju prekograničnu i više-državnu dimenziju</w:t>
      </w:r>
      <w:r w:rsidR="002D180D">
        <w:t>.</w:t>
      </w:r>
    </w:p>
    <w:p w14:paraId="7DAD3BEE" w14:textId="711CD6E2" w:rsidR="007B3810" w:rsidRDefault="00E1787D" w:rsidP="00DD564A">
      <w:pPr>
        <w:rPr>
          <w:highlight w:val="yellow"/>
        </w:rPr>
      </w:pPr>
      <w:r w:rsidRPr="00B47BDA">
        <w:rPr>
          <w:b/>
        </w:rPr>
        <w:t>Metoda praćenja:</w:t>
      </w:r>
      <w:r w:rsidRPr="00B47BDA">
        <w:t xml:space="preserve"> </w:t>
      </w:r>
      <w:r w:rsidR="00DD564A">
        <w:t>I</w:t>
      </w:r>
      <w:r w:rsidRPr="00B47BDA">
        <w:t>zvještaji HERA-i</w:t>
      </w:r>
      <w:r w:rsidR="0025746B">
        <w:t>.</w:t>
      </w:r>
    </w:p>
    <w:p w14:paraId="0558D078" w14:textId="093FE28A" w:rsidR="00774BF5" w:rsidRDefault="00774BF5" w:rsidP="007B3810">
      <w:pPr>
        <w:pStyle w:val="Mjeranaslov"/>
      </w:pPr>
      <w:r w:rsidRPr="00B47BDA">
        <w:lastRenderedPageBreak/>
        <w:t>ES-</w:t>
      </w:r>
      <w:r w:rsidR="00971BCF">
        <w:t>7</w:t>
      </w:r>
      <w:r w:rsidR="00BA3426">
        <w:t xml:space="preserve"> </w:t>
      </w:r>
      <w:r w:rsidRPr="00B47BDA">
        <w:tab/>
      </w:r>
      <w:r w:rsidR="00736580" w:rsidRPr="00B47BDA">
        <w:t xml:space="preserve">Izgradnja i unaprjeđenje vođenja </w:t>
      </w:r>
      <w:r w:rsidR="008F18B9" w:rsidRPr="00B47BDA">
        <w:t>transportnog plinskog sustava</w:t>
      </w:r>
    </w:p>
    <w:p w14:paraId="7525B253" w14:textId="092B895C" w:rsidR="00F57DF0" w:rsidRPr="00F1485E" w:rsidRDefault="00F1485E" w:rsidP="00C80D88">
      <w:pPr>
        <w:pStyle w:val="Mjeranaslov"/>
        <w:spacing w:before="120"/>
        <w:rPr>
          <w:b w:val="0"/>
          <w:bCs w:val="0"/>
          <w:color w:val="auto"/>
        </w:rPr>
      </w:pPr>
      <w:r w:rsidRPr="00F1485E">
        <w:rPr>
          <w:b w:val="0"/>
          <w:bCs w:val="0"/>
          <w:color w:val="auto"/>
        </w:rPr>
        <w:t xml:space="preserve">Financijska i tehnička mjera; provedba 2021.-2030. </w:t>
      </w:r>
    </w:p>
    <w:p w14:paraId="7A1ED854" w14:textId="18BEF290" w:rsidR="00A81780" w:rsidRPr="00B47BDA" w:rsidRDefault="00693091" w:rsidP="00921B4B">
      <w:pPr>
        <w:pStyle w:val="NormalWeb"/>
        <w:spacing w:before="120" w:beforeAutospacing="0"/>
      </w:pPr>
      <w:r w:rsidRPr="63259912">
        <w:rPr>
          <w:b/>
          <w:bCs/>
        </w:rPr>
        <w:t>Cilj i opis mjere:</w:t>
      </w:r>
      <w:r w:rsidRPr="63259912">
        <w:t xml:space="preserve"> </w:t>
      </w:r>
      <w:r w:rsidR="00A81780" w:rsidRPr="00B47BDA">
        <w:t>U okviru ove mjere predviđa se izgradnja nove plinske infrastrukture te obnova i nadogradnja sustava nadzora i upravljanja sukladno Desetgodišnjem planu razvoja plinskog transportnog sustava, a u cilju povećanja sigurnost opskrbe prirodnim plinom i unaprjeđenje nadzora i upravljanja transportnim plinskim sustavom.</w:t>
      </w:r>
    </w:p>
    <w:p w14:paraId="0FE8D4B3" w14:textId="0BC78940" w:rsidR="000C7802" w:rsidRPr="00B47BDA" w:rsidRDefault="00A81780" w:rsidP="004623DD">
      <w:pPr>
        <w:rPr>
          <w:rFonts w:eastAsia="Calibri"/>
          <w:color w:val="000000"/>
          <w:highlight w:val="yellow"/>
        </w:rPr>
      </w:pPr>
      <w:r w:rsidRPr="00B47BDA">
        <w:rPr>
          <w:b/>
          <w:color w:val="000000"/>
        </w:rPr>
        <w:t>Aktivnosti:</w:t>
      </w:r>
      <w:r w:rsidRPr="00B47BDA">
        <w:rPr>
          <w:color w:val="000000"/>
        </w:rPr>
        <w:t xml:space="preserve"> </w:t>
      </w:r>
      <w:r w:rsidRPr="00B47BDA">
        <w:t>sukladno Desetogodišnjem planu razvoja transportnog sustava, najznačajnija ulaganja u sustav nadzora i upravljanja transportnim sustavom raspoređena su na sustav daljinskog nadzora i upravljanja transportnim sustavom (SCADA), pripadajuće telekomunikacijske podsustave (optički i radijski komunikacijski sustav), sustav za upravljanje kapacitetima transportnog sustava (SUKAP) te na ulaganja u kibernetičku sigurnost procesnog komunikacijskog sustava.</w:t>
      </w:r>
    </w:p>
    <w:p w14:paraId="65955E51" w14:textId="1A59F488" w:rsidR="000C7802" w:rsidRPr="00B47BDA" w:rsidRDefault="000C7802" w:rsidP="004623DD">
      <w:pPr>
        <w:rPr>
          <w:rFonts w:eastAsia="Calibri"/>
        </w:rPr>
      </w:pPr>
      <w:r w:rsidRPr="00B47BDA">
        <w:rPr>
          <w:b/>
        </w:rPr>
        <w:t xml:space="preserve">Sredstva potrebna za provedbu: </w:t>
      </w:r>
      <w:r w:rsidR="00D23856" w:rsidRPr="00B47BDA">
        <w:t>26,5 mil</w:t>
      </w:r>
      <w:r w:rsidR="009D6AE6" w:rsidRPr="00B47BDA">
        <w:t xml:space="preserve">ijuna </w:t>
      </w:r>
      <w:r w:rsidR="00295A48">
        <w:t>EUR</w:t>
      </w:r>
      <w:r w:rsidR="00D23856" w:rsidRPr="00B47BDA">
        <w:t xml:space="preserve"> (desetogodišnje razdoblje)</w:t>
      </w:r>
      <w:r w:rsidR="0025746B">
        <w:t>.</w:t>
      </w:r>
    </w:p>
    <w:p w14:paraId="564B5802" w14:textId="7073FB67" w:rsidR="000C7802" w:rsidRPr="00B47BDA" w:rsidRDefault="000C7802" w:rsidP="004623DD">
      <w:pPr>
        <w:rPr>
          <w:rFonts w:eastAsia="Calibri"/>
        </w:rPr>
      </w:pPr>
      <w:r w:rsidRPr="00B47BDA">
        <w:rPr>
          <w:b/>
        </w:rPr>
        <w:t xml:space="preserve">Izvori financiranja: </w:t>
      </w:r>
      <w:r w:rsidR="0025746B">
        <w:t>S</w:t>
      </w:r>
      <w:r w:rsidR="004E17E5" w:rsidRPr="00B47BDA">
        <w:t>redstva društva i europski fondovi</w:t>
      </w:r>
      <w:r w:rsidR="0025746B">
        <w:t>.</w:t>
      </w:r>
    </w:p>
    <w:p w14:paraId="6D3FE03D" w14:textId="7402B2BF" w:rsidR="000C7802" w:rsidRPr="00B47BDA" w:rsidRDefault="000C7802" w:rsidP="004623DD">
      <w:r w:rsidRPr="007B3810">
        <w:rPr>
          <w:b/>
          <w:bCs/>
        </w:rPr>
        <w:t>Izvršno tijelo:</w:t>
      </w:r>
      <w:r w:rsidRPr="00B47BDA">
        <w:t xml:space="preserve"> </w:t>
      </w:r>
      <w:r w:rsidR="00A81780" w:rsidRPr="00B47BDA">
        <w:t>Plinacro</w:t>
      </w:r>
      <w:r w:rsidR="0025746B">
        <w:t>.</w:t>
      </w:r>
    </w:p>
    <w:p w14:paraId="4AB9F8E5" w14:textId="40C9091D" w:rsidR="00A81780" w:rsidRPr="00B47BDA" w:rsidRDefault="00A81780" w:rsidP="004623DD">
      <w:pPr>
        <w:rPr>
          <w:rFonts w:eastAsia="Calibri"/>
        </w:rPr>
      </w:pPr>
      <w:r w:rsidRPr="007B3810">
        <w:rPr>
          <w:b/>
          <w:bCs/>
        </w:rPr>
        <w:t>Tijela za praćenje:</w:t>
      </w:r>
      <w:r w:rsidRPr="00B47BDA">
        <w:t xml:space="preserve"> MINGO</w:t>
      </w:r>
      <w:r w:rsidR="0025746B">
        <w:t>.</w:t>
      </w:r>
    </w:p>
    <w:p w14:paraId="7B77BE08" w14:textId="47F41FB0" w:rsidR="00A81780" w:rsidRPr="00B47BDA" w:rsidRDefault="00A81780" w:rsidP="004623DD">
      <w:r w:rsidRPr="00B47BDA">
        <w:rPr>
          <w:b/>
        </w:rPr>
        <w:t xml:space="preserve">Učinak: </w:t>
      </w:r>
      <w:r w:rsidR="0025746B">
        <w:t>S</w:t>
      </w:r>
      <w:r w:rsidRPr="00B47BDA">
        <w:t>iguran i pouzdan rad plinskog transportnog sustava</w:t>
      </w:r>
      <w:r w:rsidR="0025746B">
        <w:t>.</w:t>
      </w:r>
    </w:p>
    <w:p w14:paraId="2540D70E" w14:textId="253072D0" w:rsidR="000C7802" w:rsidRPr="00B47BDA" w:rsidRDefault="00A81780" w:rsidP="004623DD">
      <w:pPr>
        <w:rPr>
          <w:rFonts w:eastAsia="Calibri"/>
        </w:rPr>
      </w:pPr>
      <w:r w:rsidRPr="00B47BDA">
        <w:rPr>
          <w:b/>
        </w:rPr>
        <w:t>Metoda praćenja:</w:t>
      </w:r>
      <w:r w:rsidRPr="00B47BDA">
        <w:t xml:space="preserve"> </w:t>
      </w:r>
      <w:r w:rsidR="0025746B">
        <w:t>I</w:t>
      </w:r>
      <w:r w:rsidRPr="00B47BDA">
        <w:t>zvještaji HERA-i</w:t>
      </w:r>
      <w:r w:rsidR="0025746B">
        <w:t>.</w:t>
      </w:r>
    </w:p>
    <w:p w14:paraId="438703F6" w14:textId="04513F08" w:rsidR="000C7802" w:rsidRPr="00B47BDA" w:rsidRDefault="000C7802" w:rsidP="004623DD">
      <w:r w:rsidRPr="00B47BDA">
        <w:rPr>
          <w:b/>
        </w:rPr>
        <w:t>Pokazatelj provedbe mjere (indikator):</w:t>
      </w:r>
      <w:r w:rsidR="002A10D3" w:rsidRPr="00B47BDA">
        <w:t xml:space="preserve"> </w:t>
      </w:r>
      <w:r w:rsidR="0025746B">
        <w:t>S</w:t>
      </w:r>
      <w:r w:rsidR="002A10D3" w:rsidRPr="00B47BDA">
        <w:t>igurn</w:t>
      </w:r>
      <w:r w:rsidR="00BC64F6" w:rsidRPr="00B47BDA">
        <w:t>ost i</w:t>
      </w:r>
      <w:r w:rsidR="002A10D3" w:rsidRPr="00B47BDA">
        <w:t xml:space="preserve"> funkcionalnost upravljanja plinskim transportnim sustavom i funkcionalnost zakupa kapaciteta </w:t>
      </w:r>
      <w:r w:rsidR="00BC64F6" w:rsidRPr="00B47BDA">
        <w:t>te</w:t>
      </w:r>
      <w:r w:rsidR="002A10D3" w:rsidRPr="00B47BDA">
        <w:t xml:space="preserve"> nesmetan protok plina transportnim sustavom</w:t>
      </w:r>
      <w:r w:rsidR="00F61EA2" w:rsidRPr="00B47BDA">
        <w:t>.</w:t>
      </w:r>
    </w:p>
    <w:p w14:paraId="6A6C5BFC" w14:textId="5D99DD4B" w:rsidR="000C7802" w:rsidRPr="00B47BDA" w:rsidRDefault="00A81780" w:rsidP="63259912">
      <w:pPr>
        <w:rPr>
          <w:rFonts w:eastAsia="Calibri"/>
        </w:rPr>
      </w:pPr>
      <w:r w:rsidRPr="63259912">
        <w:rPr>
          <w:b/>
          <w:bCs/>
        </w:rPr>
        <w:t xml:space="preserve">Povezanost s drugim dimenzijama: </w:t>
      </w:r>
      <w:r w:rsidR="0025746B" w:rsidRPr="63259912">
        <w:t>D</w:t>
      </w:r>
      <w:r w:rsidRPr="63259912">
        <w:t>ekarbonizacija – OIE, energetska učinkovitost, energetska sigurnost</w:t>
      </w:r>
      <w:r w:rsidR="00F61EA2" w:rsidRPr="63259912">
        <w:t>.</w:t>
      </w:r>
    </w:p>
    <w:p w14:paraId="0AB33529" w14:textId="26AAEE19" w:rsidR="00521C37" w:rsidRDefault="000C7802" w:rsidP="004623DD">
      <w:pPr>
        <w:rPr>
          <w:rFonts w:eastAsia="Calibri"/>
        </w:rPr>
      </w:pPr>
      <w:r w:rsidRPr="00B47BDA">
        <w:rPr>
          <w:rFonts w:eastAsia="Calibri"/>
          <w:b/>
        </w:rPr>
        <w:t xml:space="preserve">Istraživanje i razvoj: </w:t>
      </w:r>
      <w:r w:rsidR="00F61EA2" w:rsidRPr="00B47BDA">
        <w:rPr>
          <w:rFonts w:eastAsia="Calibri"/>
        </w:rPr>
        <w:t>ne u samom društvu (moguća inovativna rješenja pružatelja usluga).</w:t>
      </w:r>
    </w:p>
    <w:p w14:paraId="5D0778D7" w14:textId="7075FE86" w:rsidR="00774BF5" w:rsidRPr="00B47BDA" w:rsidRDefault="00774BF5" w:rsidP="007B3810">
      <w:pPr>
        <w:pStyle w:val="Mjeranaslov"/>
      </w:pPr>
      <w:r w:rsidRPr="00B47BDA">
        <w:t>ES-</w:t>
      </w:r>
      <w:r w:rsidR="002A0974">
        <w:t>8</w:t>
      </w:r>
      <w:r w:rsidR="004B137D">
        <w:t xml:space="preserve"> </w:t>
      </w:r>
      <w:r w:rsidRPr="00B47BDA">
        <w:tab/>
        <w:t xml:space="preserve">Istraživanje potencijalnih ležišta ugljikovodika </w:t>
      </w:r>
    </w:p>
    <w:p w14:paraId="6B1937C0" w14:textId="77777777" w:rsidR="006E60B3" w:rsidRPr="00B47BDA" w:rsidRDefault="006E60B3" w:rsidP="004623DD">
      <w:pPr>
        <w:rPr>
          <w:rFonts w:ascii="Times New Roman" w:hAnsi="Times New Roman"/>
        </w:rPr>
      </w:pPr>
      <w:r w:rsidRPr="00B47BDA">
        <w:t>Financijska mjera; provedba 2021. -2030.</w:t>
      </w:r>
    </w:p>
    <w:p w14:paraId="25F66863" w14:textId="00854BDB" w:rsidR="006945F2" w:rsidRPr="00B47BDA" w:rsidRDefault="006E60B3" w:rsidP="004623DD">
      <w:r w:rsidRPr="00B47BDA">
        <w:rPr>
          <w:b/>
        </w:rPr>
        <w:t>Cilj i opis mjere:</w:t>
      </w:r>
      <w:r w:rsidRPr="00B47BDA">
        <w:t xml:space="preserve"> Cilj mjere je ublažiti pad proizvodnje nafte i plina i time utjecati na smanjenje ovisnosti o uvoznoj energiji.</w:t>
      </w:r>
    </w:p>
    <w:p w14:paraId="5A58C0AD" w14:textId="7FBEDE79" w:rsidR="009164FF" w:rsidRPr="00B47BDA" w:rsidRDefault="00C05877" w:rsidP="004623DD">
      <w:r w:rsidRPr="00B47BDA">
        <w:rPr>
          <w:b/>
          <w:color w:val="000000" w:themeColor="text1"/>
        </w:rPr>
        <w:t>Aktivnosti:</w:t>
      </w:r>
      <w:r w:rsidRPr="00B47BDA">
        <w:t xml:space="preserve"> Aktivnosti u pripremi dokumentacije za nadmetanje za istraživanje i eksploataciju ugljikovodika na kopnu te praćenje provedbe projekata u tijeku. Osim već otvorenih nadmetanja, u planu je izdavanje dozvola za istraživanje i eksploataciju ugljikovodika na područjima prijašnjih nadmetanja. Ova aktivnost omogućuje kontinuirano istraživanje ugljikovodičnog potencijala, a posljedično i povećanje eksploatacije ugljikovodika u zemlji.</w:t>
      </w:r>
    </w:p>
    <w:p w14:paraId="6CBB0296" w14:textId="24D91D66" w:rsidR="00D02E79" w:rsidRPr="00B47BDA" w:rsidRDefault="00D02E79" w:rsidP="004623DD">
      <w:r w:rsidRPr="007B3810">
        <w:rPr>
          <w:b/>
          <w:bCs/>
        </w:rPr>
        <w:t>Sredstva potrebna za provedbu:</w:t>
      </w:r>
      <w:r w:rsidRPr="00B47BDA">
        <w:t xml:space="preserve"> </w:t>
      </w:r>
      <w:r w:rsidR="00B824B6">
        <w:t>322</w:t>
      </w:r>
      <w:r w:rsidR="001C3A5E">
        <w:t>,</w:t>
      </w:r>
      <w:r w:rsidR="00B824B6">
        <w:t>5</w:t>
      </w:r>
      <w:r w:rsidRPr="00B47BDA">
        <w:t xml:space="preserve"> milijuna EUR</w:t>
      </w:r>
      <w:r w:rsidR="0025746B">
        <w:t>.</w:t>
      </w:r>
    </w:p>
    <w:p w14:paraId="27AF0B69" w14:textId="7D34240A" w:rsidR="00D02E79" w:rsidRPr="00B47BDA" w:rsidRDefault="00D02E79" w:rsidP="004623DD">
      <w:r w:rsidRPr="00B47BDA">
        <w:rPr>
          <w:b/>
        </w:rPr>
        <w:t xml:space="preserve">Izvori financiranja: </w:t>
      </w:r>
      <w:r w:rsidR="0025746B">
        <w:t>P</w:t>
      </w:r>
      <w:r w:rsidRPr="00B47BDA">
        <w:t>rivatni kapital investitora</w:t>
      </w:r>
      <w:r w:rsidR="0025746B">
        <w:t>.</w:t>
      </w:r>
    </w:p>
    <w:p w14:paraId="49E588DE" w14:textId="104751FD" w:rsidR="00D02E79" w:rsidRPr="00B47BDA" w:rsidRDefault="77DB9112" w:rsidP="004623DD">
      <w:r w:rsidRPr="007B3810">
        <w:rPr>
          <w:b/>
          <w:bCs/>
        </w:rPr>
        <w:t>Izvršno tijelo:</w:t>
      </w:r>
      <w:r w:rsidRPr="00B47BDA">
        <w:t xml:space="preserve"> </w:t>
      </w:r>
      <w:r w:rsidR="362B6F40" w:rsidRPr="00B47BDA">
        <w:t>AZU</w:t>
      </w:r>
      <w:r w:rsidR="0025746B">
        <w:t>.</w:t>
      </w:r>
    </w:p>
    <w:p w14:paraId="45E02774" w14:textId="5869C0F7" w:rsidR="00D02E79" w:rsidRPr="00B47BDA" w:rsidRDefault="77DB9112" w:rsidP="004623DD">
      <w:pPr>
        <w:rPr>
          <w:rFonts w:eastAsia="Calibri"/>
        </w:rPr>
      </w:pPr>
      <w:r w:rsidRPr="007B3810">
        <w:rPr>
          <w:b/>
          <w:bCs/>
        </w:rPr>
        <w:lastRenderedPageBreak/>
        <w:t>Tijelo za praćenje:</w:t>
      </w:r>
      <w:r w:rsidRPr="00B47BDA">
        <w:t xml:space="preserve"> AZU</w:t>
      </w:r>
      <w:r w:rsidR="0025746B">
        <w:t>.</w:t>
      </w:r>
    </w:p>
    <w:p w14:paraId="62079BE4" w14:textId="19856AFA" w:rsidR="00D02E79" w:rsidRPr="00B47BDA" w:rsidRDefault="7AF37B56" w:rsidP="004623DD">
      <w:pPr>
        <w:rPr>
          <w:rFonts w:eastAsia="Calibri"/>
        </w:rPr>
      </w:pPr>
      <w:r w:rsidRPr="00B47BDA">
        <w:rPr>
          <w:b/>
        </w:rPr>
        <w:t xml:space="preserve">Učinak: </w:t>
      </w:r>
      <w:r w:rsidR="56BE5336" w:rsidRPr="00B47BDA">
        <w:t xml:space="preserve">Povećanje sigurnosti </w:t>
      </w:r>
      <w:r w:rsidR="148B0EAF" w:rsidRPr="00B47BDA">
        <w:t>opskrb</w:t>
      </w:r>
      <w:r w:rsidR="56BE5336" w:rsidRPr="00B47BDA">
        <w:t>e ugljikovodicima</w:t>
      </w:r>
      <w:r w:rsidR="0025746B">
        <w:t>.</w:t>
      </w:r>
    </w:p>
    <w:p w14:paraId="1926D603" w14:textId="17FAF319" w:rsidR="55103C4F" w:rsidRPr="00C80D88" w:rsidRDefault="77DB9112" w:rsidP="55103C4F">
      <w:pPr>
        <w:rPr>
          <w:rFonts w:eastAsia="Calibri"/>
        </w:rPr>
      </w:pPr>
      <w:r w:rsidRPr="00B47BDA">
        <w:rPr>
          <w:b/>
        </w:rPr>
        <w:t>Metoda praćenja:</w:t>
      </w:r>
      <w:r w:rsidRPr="00B47BDA">
        <w:t xml:space="preserve"> </w:t>
      </w:r>
      <w:r w:rsidR="00F40CD5">
        <w:t>izvještaji AZU (</w:t>
      </w:r>
      <w:r w:rsidR="00143F32" w:rsidRPr="00143F32">
        <w:t>broj pokrenutih nadmetanja, broj izdanih dozvola</w:t>
      </w:r>
      <w:r w:rsidR="00F40CD5">
        <w:t>)</w:t>
      </w:r>
      <w:r w:rsidR="0025746B">
        <w:t>.</w:t>
      </w:r>
    </w:p>
    <w:p w14:paraId="66B66374" w14:textId="1BA9FB5F" w:rsidR="00E64182" w:rsidRPr="00B47BDA" w:rsidRDefault="00E64182" w:rsidP="007B3810">
      <w:pPr>
        <w:pStyle w:val="Mjeranaslov"/>
        <w:rPr>
          <w:color w:val="000000"/>
        </w:rPr>
      </w:pPr>
      <w:r w:rsidRPr="00B47BDA">
        <w:t>ES-</w:t>
      </w:r>
      <w:r w:rsidR="002123DD">
        <w:t>9</w:t>
      </w:r>
      <w:r w:rsidR="00576864">
        <w:t xml:space="preserve"> </w:t>
      </w:r>
      <w:r w:rsidRPr="00B47BDA">
        <w:t>Smanjenje uporabe fosilnih goriva za toplinske potrebe u individualnim toplinskim sustavima</w:t>
      </w:r>
    </w:p>
    <w:p w14:paraId="7E1253F2" w14:textId="77777777" w:rsidR="00E64182" w:rsidRPr="00B47BDA" w:rsidRDefault="00E64182" w:rsidP="004623DD">
      <w:pPr>
        <w:pStyle w:val="NormalWeb"/>
      </w:pPr>
      <w:r w:rsidRPr="00B47BDA">
        <w:t>Regulatorna mjera; provedba 2023. -2030.</w:t>
      </w:r>
    </w:p>
    <w:p w14:paraId="202B5FF4" w14:textId="2EA184AA" w:rsidR="00E64182" w:rsidRPr="00B47BDA" w:rsidRDefault="185AAC19" w:rsidP="004623DD">
      <w:pPr>
        <w:pStyle w:val="NormalWeb"/>
      </w:pPr>
      <w:r w:rsidRPr="1C9333AB">
        <w:rPr>
          <w:b/>
          <w:bCs/>
        </w:rPr>
        <w:t>Cilj i opis mjere</w:t>
      </w:r>
      <w:r>
        <w:t>: Postupno ukidanje korištenja fosilnih goriva za individualne toplinske potrebe.</w:t>
      </w:r>
      <w:r w:rsidR="14446740">
        <w:t xml:space="preserve"> </w:t>
      </w:r>
    </w:p>
    <w:p w14:paraId="3B0CE2FE" w14:textId="78EECAF0" w:rsidR="00E64182" w:rsidRPr="00B47BDA" w:rsidRDefault="00E64182" w:rsidP="004623DD">
      <w:pPr>
        <w:pStyle w:val="NormalWeb"/>
      </w:pPr>
      <w:r w:rsidRPr="007B3810">
        <w:rPr>
          <w:b/>
          <w:bCs/>
        </w:rPr>
        <w:t>Napomena:</w:t>
      </w:r>
      <w:r w:rsidRPr="00B47BDA">
        <w:t xml:space="preserve"> </w:t>
      </w:r>
      <w:r w:rsidR="006315D3" w:rsidRPr="006315D3">
        <w:t>Prilikom zamjene individualnih termoteh</w:t>
      </w:r>
      <w:r w:rsidR="00830543">
        <w:t>n</w:t>
      </w:r>
      <w:r w:rsidR="006315D3" w:rsidRPr="006315D3">
        <w:t>ičkih sustava u zgradama, potrebno je primjenjivati tehnologije koje koriste obnovljive izvore energije bilo u individualnim sustavima bilo putem novih ili postojećih visokoučinkovitih centraliziranih toplinskih sustava, koji zadovoljavaju kriterije dane u Direktiv</w:t>
      </w:r>
      <w:r w:rsidR="00970A0A">
        <w:t>i</w:t>
      </w:r>
      <w:r w:rsidR="006315D3" w:rsidRPr="006315D3">
        <w:t xml:space="preserve"> (EU) 2023/1791 o energetskoj učinkovitosti. Pri tome je nužno za svaku zgrad</w:t>
      </w:r>
      <w:r w:rsidR="0034544E">
        <w:t>u</w:t>
      </w:r>
      <w:r w:rsidR="006315D3" w:rsidRPr="006315D3">
        <w:t xml:space="preserve"> naći optimalno rješenje uz poštivanje načela „energetska učinkovitost na prvom mjestu“.</w:t>
      </w:r>
    </w:p>
    <w:p w14:paraId="786CEB75" w14:textId="77777777" w:rsidR="00E64182" w:rsidRPr="00B47BDA" w:rsidRDefault="00E64182" w:rsidP="004623DD">
      <w:pPr>
        <w:rPr>
          <w:rFonts w:eastAsia="Calibri"/>
        </w:rPr>
      </w:pPr>
      <w:r w:rsidRPr="00B47BDA">
        <w:rPr>
          <w:b/>
        </w:rPr>
        <w:t>Aktivnosti</w:t>
      </w:r>
      <w:r w:rsidRPr="00B47BDA">
        <w:t xml:space="preserve">: Podzakonskim aktima potrebno je zabraniti prodaju i ugradnju individualnih sustava grijanja i hlađenja koja koriste fosilna goriva za sve građevine koje žele zadržati ili ostvariti status gotovo nula energetskih zgrada. </w:t>
      </w:r>
    </w:p>
    <w:p w14:paraId="0591E8C2" w14:textId="77777777" w:rsidR="00E64182" w:rsidRPr="00B47BDA" w:rsidRDefault="00E64182" w:rsidP="004623DD">
      <w:r w:rsidRPr="00B47BDA">
        <w:t>Mjera sadrži nekoliko koraka:</w:t>
      </w:r>
    </w:p>
    <w:p w14:paraId="499B1AB1" w14:textId="3CC9A412" w:rsidR="00E64182" w:rsidRPr="00B47BDA" w:rsidRDefault="185AAC19" w:rsidP="00A563AA">
      <w:pPr>
        <w:pStyle w:val="ListParagraph"/>
        <w:numPr>
          <w:ilvl w:val="0"/>
          <w:numId w:val="107"/>
        </w:numPr>
        <w:rPr>
          <w:rFonts w:eastAsia="Calibri"/>
        </w:rPr>
      </w:pPr>
      <w:r w:rsidRPr="1C9333AB">
        <w:rPr>
          <w:rFonts w:eastAsia="Calibri"/>
        </w:rPr>
        <w:t>Izrada akcijskog plana s vremenskim rasporedom zabrane individualnih sustava grijanja i hlađenja koji koriste fosilna goriva (prvo kotlovi koji koriste ugljen pa srednje teško loživo ulje pa ekstra lako loživo ulje i sl.) te katalog rješenja kojima se tehnologije bazirane na fosilnim gorivima mogu supstituirati OIE tehnologijama</w:t>
      </w:r>
    </w:p>
    <w:p w14:paraId="5E5BC553" w14:textId="77777777" w:rsidR="00E64182" w:rsidRPr="00B47BDA" w:rsidRDefault="00E64182" w:rsidP="00A563AA">
      <w:pPr>
        <w:pStyle w:val="ListParagraph"/>
        <w:numPr>
          <w:ilvl w:val="0"/>
          <w:numId w:val="107"/>
        </w:numPr>
        <w:rPr>
          <w:rFonts w:eastAsia="Calibri"/>
        </w:rPr>
      </w:pPr>
      <w:r w:rsidRPr="00B47BDA">
        <w:rPr>
          <w:rFonts w:eastAsia="Calibri"/>
        </w:rPr>
        <w:t>Osmisliti financijske programe kojima će se sufinancirati supstitucija starih sustava grijanja i hlađenja prema akcijskom planu</w:t>
      </w:r>
    </w:p>
    <w:p w14:paraId="01ADF6DE" w14:textId="77777777" w:rsidR="00E64182" w:rsidRPr="00B47BDA" w:rsidRDefault="00E64182" w:rsidP="00A563AA">
      <w:pPr>
        <w:pStyle w:val="ListParagraph"/>
        <w:numPr>
          <w:ilvl w:val="0"/>
          <w:numId w:val="107"/>
        </w:numPr>
        <w:rPr>
          <w:rFonts w:eastAsia="Calibri"/>
        </w:rPr>
      </w:pPr>
      <w:r w:rsidRPr="00B47BDA">
        <w:rPr>
          <w:rFonts w:eastAsia="Calibri"/>
        </w:rPr>
        <w:t>Organizirati informativne kampanje diljem RH za sve relevantne dionike (građani, proizvođači opreme, distributeri, projektanti, instalateri i sl.)</w:t>
      </w:r>
    </w:p>
    <w:p w14:paraId="09E463D7" w14:textId="0233E638" w:rsidR="00E64182" w:rsidRPr="00B47BDA" w:rsidRDefault="00B62C25" w:rsidP="00A563AA">
      <w:pPr>
        <w:pStyle w:val="ListParagraph"/>
        <w:numPr>
          <w:ilvl w:val="0"/>
          <w:numId w:val="107"/>
        </w:numPr>
        <w:rPr>
          <w:rFonts w:eastAsia="Calibri"/>
        </w:rPr>
      </w:pPr>
      <w:r w:rsidRPr="00B47BDA">
        <w:rPr>
          <w:rFonts w:eastAsia="Calibri"/>
        </w:rPr>
        <w:t>Organizirati</w:t>
      </w:r>
      <w:r w:rsidR="00E64182" w:rsidRPr="00B47BDA">
        <w:rPr>
          <w:rFonts w:eastAsia="Calibri"/>
        </w:rPr>
        <w:t xml:space="preserve"> i pružiti tehničku podršku na svim razinama (vlasnicima građevina, poduzetnicima, i sl.)</w:t>
      </w:r>
    </w:p>
    <w:p w14:paraId="19D6E3A3" w14:textId="5475D927" w:rsidR="00E64182" w:rsidRPr="00B47BDA" w:rsidRDefault="005779BC" w:rsidP="00A563AA">
      <w:pPr>
        <w:pStyle w:val="ListParagraph"/>
        <w:numPr>
          <w:ilvl w:val="0"/>
          <w:numId w:val="107"/>
        </w:numPr>
        <w:rPr>
          <w:rFonts w:eastAsia="Calibri"/>
        </w:rPr>
      </w:pPr>
      <w:r>
        <w:rPr>
          <w:rFonts w:eastAsia="Calibri"/>
        </w:rPr>
        <w:t>Razmotriti uvođenje</w:t>
      </w:r>
      <w:r w:rsidR="00E64182" w:rsidRPr="00B47BDA">
        <w:rPr>
          <w:rFonts w:eastAsia="Calibri"/>
        </w:rPr>
        <w:t xml:space="preserve"> kazne za one koji se ne pridržavaju zabrane korištenja fosilnih goriva za potrebe individualnog grijanja i hlađenja</w:t>
      </w:r>
    </w:p>
    <w:p w14:paraId="63E794FB" w14:textId="77777777" w:rsidR="00E64182" w:rsidRPr="00B47BDA" w:rsidRDefault="00E64182" w:rsidP="00A563AA">
      <w:pPr>
        <w:pStyle w:val="ListParagraph"/>
        <w:numPr>
          <w:ilvl w:val="0"/>
          <w:numId w:val="107"/>
        </w:numPr>
      </w:pPr>
      <w:r w:rsidRPr="00B47BDA">
        <w:rPr>
          <w:rFonts w:eastAsia="Calibri"/>
        </w:rPr>
        <w:t>Razviti sustav praćenja provedbe i primjene ove zabrane</w:t>
      </w:r>
    </w:p>
    <w:p w14:paraId="5407FE91" w14:textId="77777777" w:rsidR="00E64182" w:rsidRPr="00B47BDA" w:rsidRDefault="00E64182" w:rsidP="004623DD">
      <w:pPr>
        <w:pStyle w:val="NormalWeb"/>
      </w:pPr>
      <w:r w:rsidRPr="00B47BDA">
        <w:rPr>
          <w:b/>
        </w:rPr>
        <w:t>Izvori financiranja</w:t>
      </w:r>
      <w:r w:rsidRPr="00B47BDA">
        <w:t>: FZOEU i sredstva EU.</w:t>
      </w:r>
    </w:p>
    <w:p w14:paraId="51BDE5E7" w14:textId="572182A6" w:rsidR="00E64182" w:rsidRPr="00B47BDA" w:rsidRDefault="00E64182" w:rsidP="004623DD">
      <w:r w:rsidRPr="00B47BDA">
        <w:rPr>
          <w:b/>
        </w:rPr>
        <w:t>Izvršno tijelo</w:t>
      </w:r>
      <w:r w:rsidRPr="00B47BDA">
        <w:t>: MINGO i MPGI</w:t>
      </w:r>
      <w:r w:rsidR="00C57563">
        <w:t>.</w:t>
      </w:r>
    </w:p>
    <w:p w14:paraId="7D29B7F7" w14:textId="0FBB445B" w:rsidR="00E64182" w:rsidRPr="00B47BDA" w:rsidRDefault="00E64182" w:rsidP="004623DD">
      <w:r w:rsidRPr="007B3810">
        <w:rPr>
          <w:b/>
          <w:bCs/>
        </w:rPr>
        <w:t>Tijela za praćenje:</w:t>
      </w:r>
      <w:r w:rsidRPr="00B47BDA">
        <w:t xml:space="preserve"> MPGI</w:t>
      </w:r>
      <w:r w:rsidR="00C57563">
        <w:t>.</w:t>
      </w:r>
    </w:p>
    <w:p w14:paraId="448371E5" w14:textId="4F2E3B44" w:rsidR="00E64182" w:rsidRPr="00B47BDA" w:rsidRDefault="00E64182" w:rsidP="004623DD">
      <w:r w:rsidRPr="00B47BDA">
        <w:rPr>
          <w:b/>
        </w:rPr>
        <w:lastRenderedPageBreak/>
        <w:t>Učinak</w:t>
      </w:r>
      <w:r w:rsidRPr="00B47BDA">
        <w:t xml:space="preserve">: Mjera će osigurati </w:t>
      </w:r>
      <w:r w:rsidR="0002435E">
        <w:t>smanjenje uporabe fosilnih goriva</w:t>
      </w:r>
      <w:r w:rsidRPr="00B47BDA">
        <w:t xml:space="preserve"> u ukupnoj potrošnji energije te posljedično smanjenje emisije stakleničkih plinova. Mjera će značajno poboljšati kvalitetu zraka u svim urbanim sredinama u kojima se za potrebe grijanja i hlađenja koriste fosilna goriva. </w:t>
      </w:r>
    </w:p>
    <w:p w14:paraId="01B53F14" w14:textId="77777777" w:rsidR="00E64182" w:rsidRPr="00B47BDA" w:rsidRDefault="00E64182" w:rsidP="004623DD">
      <w:r w:rsidRPr="00B47BDA">
        <w:rPr>
          <w:b/>
        </w:rPr>
        <w:t>Metoda praćenja</w:t>
      </w:r>
      <w:r w:rsidRPr="00B47BDA">
        <w:t>: Količina proizvedene energije za grijanje i hlađenje, prema statističkim izvješćima.</w:t>
      </w:r>
    </w:p>
    <w:p w14:paraId="6B4E54E1" w14:textId="4EB5E0AA" w:rsidR="00E64182" w:rsidRPr="00B47BDA" w:rsidRDefault="00E64182" w:rsidP="004623DD">
      <w:r w:rsidRPr="63259912">
        <w:rPr>
          <w:b/>
          <w:bCs/>
        </w:rPr>
        <w:t>Povezanost s drugim dimenzijama</w:t>
      </w:r>
      <w:r w:rsidRPr="63259912">
        <w:t xml:space="preserve">: Mjera je povezana s dimenzijom </w:t>
      </w:r>
      <w:r w:rsidR="00B82AF7" w:rsidRPr="63259912">
        <w:t xml:space="preserve">dekarbonizacije, </w:t>
      </w:r>
      <w:r w:rsidRPr="63259912">
        <w:t>povećanja energetske sigurnosti i razvoja unutarnjeg energetskog tržišta (legislativno uređenje sektora).</w:t>
      </w:r>
    </w:p>
    <w:p w14:paraId="27D530F4" w14:textId="6D531AC8" w:rsidR="005756E1" w:rsidRPr="00B47BDA" w:rsidRDefault="005756E1" w:rsidP="007B3810">
      <w:pPr>
        <w:pStyle w:val="Mjeranaslov"/>
      </w:pPr>
      <w:r w:rsidRPr="00B47BDA">
        <w:t>ES-</w:t>
      </w:r>
      <w:r w:rsidR="0019506C" w:rsidRPr="00B47BDA">
        <w:t>1</w:t>
      </w:r>
      <w:r w:rsidR="0002435E">
        <w:t>0</w:t>
      </w:r>
      <w:r w:rsidR="00F445EF">
        <w:t xml:space="preserve"> </w:t>
      </w:r>
      <w:r w:rsidRPr="00B47BDA">
        <w:t>Kibernetička sigurnost</w:t>
      </w:r>
    </w:p>
    <w:p w14:paraId="38C3C919" w14:textId="77777777" w:rsidR="005756E1" w:rsidRPr="00B47BDA" w:rsidRDefault="005756E1" w:rsidP="004623DD">
      <w:pPr>
        <w:pStyle w:val="NormalWeb"/>
      </w:pPr>
      <w:r w:rsidRPr="00B47BDA">
        <w:t>Financijska mjera; provedba 2021. -2030.</w:t>
      </w:r>
    </w:p>
    <w:p w14:paraId="3FB95F1C" w14:textId="74D05D8E" w:rsidR="001F2574" w:rsidRPr="00B47BDA" w:rsidRDefault="005756E1" w:rsidP="004623DD">
      <w:pPr>
        <w:pStyle w:val="NormalWeb"/>
        <w:rPr>
          <w:color w:val="000000"/>
        </w:rPr>
      </w:pPr>
      <w:r w:rsidRPr="00B47BDA">
        <w:rPr>
          <w:b/>
          <w:color w:val="000000"/>
        </w:rPr>
        <w:t>Cilj i opis mjere:</w:t>
      </w:r>
      <w:r w:rsidRPr="00B47BDA">
        <w:rPr>
          <w:color w:val="000000"/>
        </w:rPr>
        <w:t xml:space="preserve"> </w:t>
      </w:r>
      <w:r w:rsidR="001F2574" w:rsidRPr="00B47BDA">
        <w:t>Postizanje otpornosti, smanjenje kibernetičkog kriminaliteta, razvoj politike kibernetičke obrane i sposobnosti za kibernetičku obranu, razvoj industrijskih i tehnoloških resursa te uspostava usklađene međunarodne politike kibernetičkog prostora uz naglašena tri područja: (1) otpornost, tehnološka suverenost i vodstvo, (2) izgradnja operativnih kapaciteta u svrhu sprječavanja, odvraćanja i uzvraćanja, (3) razvijanje globalnog i otvorenog kibernetičkog prostora.</w:t>
      </w:r>
    </w:p>
    <w:p w14:paraId="583DFC82" w14:textId="77777777" w:rsidR="005756E1" w:rsidRPr="007B3810" w:rsidRDefault="005756E1" w:rsidP="004623DD">
      <w:pPr>
        <w:rPr>
          <w:rFonts w:eastAsia="Calibri"/>
          <w:b/>
          <w:bCs/>
        </w:rPr>
      </w:pPr>
      <w:r w:rsidRPr="007B3810">
        <w:rPr>
          <w:b/>
          <w:bCs/>
        </w:rPr>
        <w:t xml:space="preserve">Aktivnosti: </w:t>
      </w:r>
    </w:p>
    <w:p w14:paraId="74176AC4" w14:textId="77777777" w:rsidR="00FC690B" w:rsidRPr="00B47BDA" w:rsidRDefault="00FC690B" w:rsidP="004623DD">
      <w:pPr>
        <w:rPr>
          <w:rFonts w:eastAsia="Calibri"/>
        </w:rPr>
      </w:pPr>
      <w:r w:rsidRPr="00B47BDA">
        <w:rPr>
          <w:rFonts w:eastAsia="Calibri"/>
        </w:rPr>
        <w:t>1.</w:t>
      </w:r>
      <w:r w:rsidRPr="00B47BDA">
        <w:rPr>
          <w:rFonts w:eastAsia="Calibri"/>
        </w:rPr>
        <w:tab/>
        <w:t>Praćenje stanja sigurnosti nacionalnog kibernetičkog prostora u svrhu otkrivanja prijetnji koje mogu imati za posljedicu kibernetičku krizu.</w:t>
      </w:r>
    </w:p>
    <w:p w14:paraId="452E9358" w14:textId="77777777" w:rsidR="00FC690B" w:rsidRPr="00B47BDA" w:rsidRDefault="00FC690B" w:rsidP="004623DD">
      <w:pPr>
        <w:rPr>
          <w:rFonts w:eastAsia="Calibri"/>
        </w:rPr>
      </w:pPr>
      <w:r w:rsidRPr="00B47BDA">
        <w:rPr>
          <w:rFonts w:eastAsia="Calibri"/>
        </w:rPr>
        <w:t>2.</w:t>
      </w:r>
      <w:r w:rsidRPr="00B47BDA">
        <w:rPr>
          <w:rFonts w:eastAsia="Calibri"/>
        </w:rPr>
        <w:tab/>
        <w:t>Izrada i dostava podataka o trendovima i prijetnjama u kibernetičkoj sigurnosti na mjesečnoj razini.</w:t>
      </w:r>
    </w:p>
    <w:p w14:paraId="3262E31F" w14:textId="7709F119" w:rsidR="00FC690B" w:rsidRPr="00B47BDA" w:rsidRDefault="00FC690B" w:rsidP="004623DD">
      <w:pPr>
        <w:rPr>
          <w:rFonts w:eastAsia="Calibri"/>
        </w:rPr>
      </w:pPr>
      <w:r w:rsidRPr="00B47BDA">
        <w:rPr>
          <w:rFonts w:eastAsia="Calibri"/>
        </w:rPr>
        <w:t>3.</w:t>
      </w:r>
      <w:r w:rsidRPr="00B47BDA">
        <w:rPr>
          <w:rFonts w:eastAsia="Calibri"/>
        </w:rPr>
        <w:tab/>
        <w:t>Izrada izvješća o sigurnosnim incidentima i prijetnjama u kibernetičkom prostoru</w:t>
      </w:r>
    </w:p>
    <w:p w14:paraId="76C63D85" w14:textId="5EE7AA3D" w:rsidR="00FC690B" w:rsidRPr="00B47BDA" w:rsidRDefault="00FC690B" w:rsidP="004623DD">
      <w:pPr>
        <w:rPr>
          <w:rFonts w:eastAsia="Calibri"/>
        </w:rPr>
      </w:pPr>
      <w:r w:rsidRPr="00B47BDA">
        <w:rPr>
          <w:rFonts w:eastAsia="Calibri"/>
        </w:rPr>
        <w:t>4.</w:t>
      </w:r>
      <w:r w:rsidRPr="00B47BDA">
        <w:rPr>
          <w:rFonts w:eastAsia="Calibri"/>
        </w:rPr>
        <w:tab/>
        <w:t xml:space="preserve">Izrada godišnjeg izvješća o radu Operativno – tehničke koordinacije za kibernetičku sigurnost </w:t>
      </w:r>
    </w:p>
    <w:p w14:paraId="78EEFCED" w14:textId="77777777" w:rsidR="00FC690B" w:rsidRPr="00B47BDA" w:rsidRDefault="00FC690B" w:rsidP="004623DD">
      <w:pPr>
        <w:rPr>
          <w:rFonts w:eastAsia="Calibri"/>
        </w:rPr>
      </w:pPr>
      <w:r w:rsidRPr="00B47BDA">
        <w:rPr>
          <w:rFonts w:eastAsia="Calibri"/>
        </w:rPr>
        <w:t>5.</w:t>
      </w:r>
      <w:r w:rsidRPr="00B47BDA">
        <w:rPr>
          <w:rFonts w:eastAsia="Calibri"/>
        </w:rPr>
        <w:tab/>
        <w:t>Procjena stanja kibernetičke sigurnosti u Republici Hrvatskoj na temelju podatka dobivenih provedbom dokumenta Metodologija procjene stanja kibernetičke sigurnosti RH.</w:t>
      </w:r>
    </w:p>
    <w:p w14:paraId="5F606533" w14:textId="13EE9B71" w:rsidR="005E266B" w:rsidRPr="00B47BDA" w:rsidRDefault="00FC690B" w:rsidP="004623DD">
      <w:pPr>
        <w:rPr>
          <w:rFonts w:eastAsia="Calibri"/>
        </w:rPr>
      </w:pPr>
      <w:r w:rsidRPr="00B47BDA">
        <w:rPr>
          <w:rFonts w:eastAsia="Calibri"/>
        </w:rPr>
        <w:t>6.</w:t>
      </w:r>
      <w:r w:rsidRPr="00B47BDA">
        <w:rPr>
          <w:rFonts w:eastAsia="Calibri"/>
        </w:rPr>
        <w:tab/>
        <w:t>Izrada izvješća o stanju kibernetičke sigurnosti u Republici Hrvatskoj.</w:t>
      </w:r>
    </w:p>
    <w:p w14:paraId="5CB85856" w14:textId="3E445BB0" w:rsidR="005756E1" w:rsidRPr="00B47BDA" w:rsidRDefault="005756E1" w:rsidP="004623DD">
      <w:pPr>
        <w:rPr>
          <w:rFonts w:eastAsia="Calibri" w:cstheme="minorBidi"/>
        </w:rPr>
      </w:pPr>
      <w:r w:rsidRPr="64557F4C">
        <w:rPr>
          <w:rFonts w:cstheme="minorBidi"/>
          <w:b/>
        </w:rPr>
        <w:t xml:space="preserve">Sredstva potrebna za provedbu: </w:t>
      </w:r>
      <w:r w:rsidR="00793788" w:rsidRPr="00B47BDA">
        <w:t xml:space="preserve">1.600.000 EUR u okviru NPOO-a te slijede i nova značajna ulaganja u 2023. godini i </w:t>
      </w:r>
      <w:r w:rsidR="00A90CE6" w:rsidRPr="00B47BDA">
        <w:t>dalje</w:t>
      </w:r>
    </w:p>
    <w:p w14:paraId="52D0BC70" w14:textId="49A76675" w:rsidR="005756E1" w:rsidRPr="00B47BDA" w:rsidRDefault="005756E1" w:rsidP="004623DD">
      <w:pPr>
        <w:rPr>
          <w:rFonts w:eastAsia="Calibri"/>
        </w:rPr>
      </w:pPr>
      <w:r w:rsidRPr="007B3810">
        <w:rPr>
          <w:b/>
          <w:bCs/>
        </w:rPr>
        <w:t>Izvori financiranja:</w:t>
      </w:r>
      <w:r w:rsidRPr="00B47BDA">
        <w:t xml:space="preserve"> </w:t>
      </w:r>
      <w:r w:rsidR="00793788" w:rsidRPr="00B47BDA">
        <w:t>NPOO, EU fondovi</w:t>
      </w:r>
    </w:p>
    <w:p w14:paraId="7846AA31" w14:textId="39B3A809" w:rsidR="0066716A" w:rsidRPr="00B47BDA" w:rsidRDefault="005756E1" w:rsidP="004623DD">
      <w:pPr>
        <w:rPr>
          <w:color w:val="000000"/>
        </w:rPr>
      </w:pPr>
      <w:r w:rsidRPr="00B47BDA">
        <w:rPr>
          <w:rFonts w:cstheme="minorHAnsi"/>
          <w:b/>
          <w:color w:val="000000"/>
        </w:rPr>
        <w:t>Izvršno tijelo:</w:t>
      </w:r>
      <w:r w:rsidRPr="00B47BDA">
        <w:rPr>
          <w:rFonts w:cstheme="minorHAnsi"/>
          <w:color w:val="000000"/>
        </w:rPr>
        <w:t xml:space="preserve"> </w:t>
      </w:r>
      <w:r w:rsidR="0066716A" w:rsidRPr="00B47BDA">
        <w:rPr>
          <w:color w:val="000000"/>
        </w:rPr>
        <w:t>Veliki broj državni</w:t>
      </w:r>
      <w:r w:rsidR="00F57FEF">
        <w:rPr>
          <w:color w:val="000000"/>
        </w:rPr>
        <w:t>h</w:t>
      </w:r>
      <w:r w:rsidR="0066716A" w:rsidRPr="00B47BDA">
        <w:rPr>
          <w:color w:val="000000"/>
        </w:rPr>
        <w:t xml:space="preserve"> tijela (</w:t>
      </w:r>
      <w:r w:rsidR="0066716A" w:rsidRPr="00B47BDA">
        <w:t>svako od tih tijela treba razvijati vlastite sposobnosti uočavanja i suočavanja s prijetnjama i rizicima koji svakodnevno dolaze iz kibernetičkog prostora, kako bi djelovali proaktivno):</w:t>
      </w:r>
    </w:p>
    <w:p w14:paraId="49FC1C1A" w14:textId="6B344BC5" w:rsidR="0066716A" w:rsidRPr="00B47BDA" w:rsidRDefault="0066716A" w:rsidP="00556EB7">
      <w:pPr>
        <w:pStyle w:val="ListParagraph"/>
        <w:numPr>
          <w:ilvl w:val="0"/>
          <w:numId w:val="67"/>
        </w:numPr>
        <w:spacing w:after="60"/>
        <w:ind w:left="714" w:hanging="357"/>
        <w:rPr>
          <w:rFonts w:cstheme="minorHAnsi"/>
        </w:rPr>
      </w:pPr>
      <w:r w:rsidRPr="00B47BDA">
        <w:t xml:space="preserve">Operativno – tehnička koordinacija posebno se oslanja na informacije CARNET-ovog NCERT-a i CERT-a ZSIS-a, a preporuke i upute za javnost za slučaj prijetnje objavljuju </w:t>
      </w:r>
      <w:r w:rsidR="005F7D83">
        <w:t xml:space="preserve">se </w:t>
      </w:r>
      <w:r w:rsidRPr="00B47BDA">
        <w:t>na službenim stranicama MUP i CARNET – NCERT</w:t>
      </w:r>
    </w:p>
    <w:p w14:paraId="67CEE67D" w14:textId="77777777" w:rsidR="0066716A" w:rsidRPr="00B47BDA" w:rsidRDefault="0066716A" w:rsidP="00556EB7">
      <w:pPr>
        <w:pStyle w:val="ListParagraph"/>
        <w:numPr>
          <w:ilvl w:val="0"/>
          <w:numId w:val="66"/>
        </w:numPr>
        <w:spacing w:after="60"/>
        <w:ind w:left="714" w:hanging="357"/>
        <w:rPr>
          <w:rFonts w:eastAsia="Calibri"/>
        </w:rPr>
      </w:pPr>
      <w:r w:rsidRPr="00B47BDA">
        <w:lastRenderedPageBreak/>
        <w:t>MUP</w:t>
      </w:r>
    </w:p>
    <w:p w14:paraId="076D2979" w14:textId="77777777" w:rsidR="0066716A" w:rsidRPr="00B47BDA" w:rsidRDefault="0066716A" w:rsidP="00556EB7">
      <w:pPr>
        <w:pStyle w:val="ListParagraph"/>
        <w:numPr>
          <w:ilvl w:val="0"/>
          <w:numId w:val="66"/>
        </w:numPr>
        <w:spacing w:after="60"/>
        <w:ind w:left="714" w:hanging="357"/>
        <w:rPr>
          <w:rFonts w:eastAsia="Calibri" w:cstheme="minorHAnsi"/>
        </w:rPr>
      </w:pPr>
      <w:r w:rsidRPr="00B47BDA">
        <w:t>Nacionalni CERT</w:t>
      </w:r>
    </w:p>
    <w:p w14:paraId="01DCB531" w14:textId="77777777" w:rsidR="0066716A" w:rsidRPr="00B47BDA" w:rsidRDefault="0066716A" w:rsidP="00556EB7">
      <w:pPr>
        <w:pStyle w:val="ListParagraph"/>
        <w:numPr>
          <w:ilvl w:val="0"/>
          <w:numId w:val="66"/>
        </w:numPr>
        <w:spacing w:after="60"/>
        <w:ind w:left="714" w:hanging="357"/>
        <w:rPr>
          <w:rFonts w:eastAsia="Calibri" w:cstheme="minorHAnsi"/>
          <w:color w:val="000000"/>
        </w:rPr>
      </w:pPr>
      <w:r w:rsidRPr="00B47BDA">
        <w:rPr>
          <w:rFonts w:eastAsia="Calibri"/>
        </w:rPr>
        <w:t>Centra za kibernetičku sigurnost SOA-e</w:t>
      </w:r>
    </w:p>
    <w:p w14:paraId="0B1FCF0D" w14:textId="77777777" w:rsidR="0066716A" w:rsidRPr="00B47BDA" w:rsidRDefault="0066716A" w:rsidP="00556EB7">
      <w:pPr>
        <w:pStyle w:val="ListParagraph"/>
        <w:numPr>
          <w:ilvl w:val="0"/>
          <w:numId w:val="66"/>
        </w:numPr>
        <w:spacing w:after="60"/>
        <w:ind w:left="714" w:hanging="357"/>
        <w:rPr>
          <w:rFonts w:eastAsia="Calibri" w:cstheme="minorHAnsi"/>
          <w:color w:val="000000"/>
        </w:rPr>
      </w:pPr>
      <w:r w:rsidRPr="00B47BDA">
        <w:rPr>
          <w:rFonts w:eastAsia="Calibri"/>
        </w:rPr>
        <w:t>Zavod za sigurnost informacijskih sustava (ZSIS)</w:t>
      </w:r>
    </w:p>
    <w:p w14:paraId="42132686" w14:textId="6FC37731" w:rsidR="005756E1" w:rsidRPr="00B47BDA" w:rsidRDefault="0066716A" w:rsidP="00556EB7">
      <w:pPr>
        <w:pStyle w:val="ListParagraph"/>
        <w:numPr>
          <w:ilvl w:val="0"/>
          <w:numId w:val="66"/>
        </w:numPr>
        <w:spacing w:after="60"/>
        <w:ind w:left="714" w:hanging="357"/>
        <w:rPr>
          <w:rFonts w:eastAsia="Calibri" w:cstheme="minorHAnsi"/>
        </w:rPr>
      </w:pPr>
      <w:r w:rsidRPr="00B47BDA">
        <w:rPr>
          <w:rFonts w:eastAsia="Calibri"/>
        </w:rPr>
        <w:t>HAKOM</w:t>
      </w:r>
    </w:p>
    <w:p w14:paraId="67246293" w14:textId="1E3A212A" w:rsidR="00150ABD" w:rsidRPr="00B47BDA" w:rsidRDefault="005756E1" w:rsidP="004623DD">
      <w:pPr>
        <w:rPr>
          <w:rFonts w:eastAsia="Calibri" w:cstheme="minorHAnsi"/>
        </w:rPr>
      </w:pPr>
      <w:r w:rsidRPr="00B47BDA">
        <w:rPr>
          <w:rFonts w:cstheme="minorHAnsi"/>
          <w:b/>
        </w:rPr>
        <w:t>Tijela za praćenje:</w:t>
      </w:r>
      <w:r w:rsidR="007D23C6" w:rsidRPr="00B47BDA">
        <w:rPr>
          <w:rFonts w:cstheme="minorHAnsi"/>
          <w:b/>
        </w:rPr>
        <w:t xml:space="preserve"> </w:t>
      </w:r>
      <w:r w:rsidR="0066716A" w:rsidRPr="00B47BDA">
        <w:t xml:space="preserve">Nacionalno vijeće za kibernetičku sigurnost </w:t>
      </w:r>
      <w:r w:rsidR="000B05A8" w:rsidRPr="00B47BDA">
        <w:t xml:space="preserve">i </w:t>
      </w:r>
      <w:r w:rsidR="00240F4D" w:rsidRPr="00B47BDA">
        <w:t>Operativno</w:t>
      </w:r>
      <w:r w:rsidR="0066716A" w:rsidRPr="00B47BDA">
        <w:t>-</w:t>
      </w:r>
      <w:r w:rsidR="00240F4D" w:rsidRPr="00B47BDA">
        <w:t xml:space="preserve">tehnička koordinacija za </w:t>
      </w:r>
      <w:r w:rsidR="0066716A" w:rsidRPr="00B47BDA">
        <w:t>kibernetičku</w:t>
      </w:r>
      <w:r w:rsidR="00150ABD" w:rsidRPr="00B47BDA">
        <w:rPr>
          <w:rFonts w:eastAsia="Calibri"/>
        </w:rPr>
        <w:t xml:space="preserve"> sigurnost</w:t>
      </w:r>
    </w:p>
    <w:p w14:paraId="7C25A554" w14:textId="75DA2211" w:rsidR="005756E1" w:rsidRPr="00B47BDA" w:rsidRDefault="005756E1" w:rsidP="004623DD">
      <w:r w:rsidRPr="00B47BDA">
        <w:rPr>
          <w:b/>
        </w:rPr>
        <w:t xml:space="preserve">Učinak: </w:t>
      </w:r>
      <w:r w:rsidR="00F548B7" w:rsidRPr="00B47BDA">
        <w:t>Povećanje kibernetičke otpornosti i jačanja kapaciteta za istraživanja i kazneni progon kibernetičkog kriminala i odgovora na kibernetičke prijetnje</w:t>
      </w:r>
    </w:p>
    <w:p w14:paraId="4B4478E2" w14:textId="4E091E17" w:rsidR="005756E1" w:rsidRPr="007B3810" w:rsidRDefault="005756E1" w:rsidP="004623DD">
      <w:pPr>
        <w:rPr>
          <w:b/>
          <w:bCs/>
        </w:rPr>
      </w:pPr>
      <w:r w:rsidRPr="007B3810">
        <w:rPr>
          <w:b/>
          <w:bCs/>
        </w:rPr>
        <w:t>Metod</w:t>
      </w:r>
      <w:r w:rsidR="003966CC" w:rsidRPr="007B3810">
        <w:rPr>
          <w:b/>
          <w:bCs/>
        </w:rPr>
        <w:t>e</w:t>
      </w:r>
      <w:r w:rsidRPr="007B3810">
        <w:rPr>
          <w:b/>
          <w:bCs/>
        </w:rPr>
        <w:t xml:space="preserve"> praćenja: </w:t>
      </w:r>
    </w:p>
    <w:p w14:paraId="4E7C875C" w14:textId="77777777" w:rsidR="00EB039E" w:rsidRPr="00B47BDA" w:rsidRDefault="00EB039E" w:rsidP="00F962AD">
      <w:pPr>
        <w:pStyle w:val="ListParagraph"/>
        <w:numPr>
          <w:ilvl w:val="0"/>
          <w:numId w:val="65"/>
        </w:numPr>
        <w:spacing w:after="60"/>
        <w:ind w:left="714" w:hanging="357"/>
      </w:pPr>
      <w:r w:rsidRPr="00B47BDA">
        <w:t>Izrada i dostava podataka o trendovima i prijetnjama u kibernetičkoj sigurnosti na mjesečnoj razini.</w:t>
      </w:r>
    </w:p>
    <w:p w14:paraId="1A61C352" w14:textId="12D916CC" w:rsidR="00EB039E" w:rsidRPr="00B47BDA" w:rsidRDefault="00EB039E" w:rsidP="00F962AD">
      <w:pPr>
        <w:pStyle w:val="ListParagraph"/>
        <w:numPr>
          <w:ilvl w:val="0"/>
          <w:numId w:val="65"/>
        </w:numPr>
        <w:spacing w:after="60"/>
        <w:ind w:left="714" w:hanging="357"/>
      </w:pPr>
      <w:r w:rsidRPr="00B47BDA">
        <w:t>Članovi Operativno – tehničke koordinacije na redovitim sjednicama iznose podatke o događajima, trendovima i prijetnjama u kibernetičkom prostoru Republike Hrvatske za sektore iz njihove nadležnosti te se isti podaci unose u zapisnik sa sjednice Koordinacije.</w:t>
      </w:r>
    </w:p>
    <w:p w14:paraId="338ECDAC" w14:textId="77777777" w:rsidR="00EB039E" w:rsidRPr="00B47BDA" w:rsidRDefault="00EB039E" w:rsidP="00F962AD">
      <w:pPr>
        <w:pStyle w:val="ListParagraph"/>
        <w:numPr>
          <w:ilvl w:val="0"/>
          <w:numId w:val="65"/>
        </w:numPr>
        <w:spacing w:after="60"/>
        <w:ind w:left="714" w:hanging="357"/>
      </w:pPr>
      <w:r w:rsidRPr="00B47BDA">
        <w:t xml:space="preserve">Nacionalnom vijeću za kibernetičku sigurnost redovito se dostavljaju zapisnici sa sjednica Operativno – tehničke koordinacije i mjesečna izvješća o trendovima i prijetnjama koja su bazirana na podacima iznesenim prilikom održavanja sjednica. </w:t>
      </w:r>
    </w:p>
    <w:p w14:paraId="6F223C64" w14:textId="00F62B84" w:rsidR="00EB039E" w:rsidRPr="00B47BDA" w:rsidRDefault="00EB039E" w:rsidP="00F962AD">
      <w:pPr>
        <w:pStyle w:val="ListParagraph"/>
        <w:numPr>
          <w:ilvl w:val="0"/>
          <w:numId w:val="65"/>
        </w:numPr>
        <w:spacing w:after="60"/>
        <w:ind w:left="714" w:hanging="357"/>
      </w:pPr>
      <w:r w:rsidRPr="00B47BDA">
        <w:t>Izrada izvješća o sigurnosnim incidentima i prijetnjama u kibernetičkom prostoru Republike Hrvatske na godišnjoj razini</w:t>
      </w:r>
      <w:r w:rsidR="00DD564A">
        <w:t>.</w:t>
      </w:r>
    </w:p>
    <w:p w14:paraId="29B91D9D" w14:textId="77A4D69F" w:rsidR="00EB039E" w:rsidRPr="00B47BDA" w:rsidRDefault="00EB039E" w:rsidP="00F962AD">
      <w:pPr>
        <w:pStyle w:val="ListParagraph"/>
        <w:numPr>
          <w:ilvl w:val="0"/>
          <w:numId w:val="65"/>
        </w:numPr>
        <w:spacing w:after="60"/>
        <w:ind w:left="714" w:hanging="357"/>
      </w:pPr>
      <w:r w:rsidRPr="00B47BDA">
        <w:t>Procjena stanja kibernetičke sigurnosti na temelju podataka dobivenim provedbom dokumenta Metodologija procjene stanja kibernetičke sigurnosti</w:t>
      </w:r>
      <w:r w:rsidR="00DD564A">
        <w:t>.</w:t>
      </w:r>
    </w:p>
    <w:p w14:paraId="5793DEC2" w14:textId="4AB539BD" w:rsidR="005E266B" w:rsidRPr="00B47BDA" w:rsidRDefault="00433666" w:rsidP="00F962AD">
      <w:pPr>
        <w:pStyle w:val="ListParagraph"/>
        <w:numPr>
          <w:ilvl w:val="0"/>
          <w:numId w:val="65"/>
        </w:numPr>
        <w:spacing w:after="60"/>
        <w:ind w:left="714" w:hanging="357"/>
      </w:pPr>
      <w:r w:rsidRPr="00B47BDA">
        <w:t>Izrada izvještaja o stanju kibernetičke sigurnosti</w:t>
      </w:r>
      <w:r w:rsidR="00DD564A">
        <w:t>.</w:t>
      </w:r>
    </w:p>
    <w:p w14:paraId="1BC7E110" w14:textId="7CDEDB94" w:rsidR="005756E1" w:rsidRPr="00B47BDA" w:rsidRDefault="005756E1" w:rsidP="004623DD">
      <w:r w:rsidRPr="00B47BDA">
        <w:rPr>
          <w:b/>
        </w:rPr>
        <w:t xml:space="preserve">Povezanost s drugim dimenzijama: </w:t>
      </w:r>
      <w:r w:rsidR="00F548B7" w:rsidRPr="00B47BDA">
        <w:t>Energetska sigurnost</w:t>
      </w:r>
      <w:r w:rsidR="001F2574" w:rsidRPr="00B47BDA">
        <w:t xml:space="preserve">, </w:t>
      </w:r>
      <w:r w:rsidR="001F15E7">
        <w:t>r</w:t>
      </w:r>
      <w:r w:rsidR="00934609" w:rsidRPr="00B47BDA">
        <w:t>azvoj unutarnjeg energetskog tržišta</w:t>
      </w:r>
      <w:r w:rsidR="00DD564A">
        <w:t>.</w:t>
      </w:r>
    </w:p>
    <w:p w14:paraId="06C7AC2A" w14:textId="00ACD972" w:rsidR="00C32359" w:rsidRPr="007B3810" w:rsidRDefault="005756E1" w:rsidP="00C32359">
      <w:pPr>
        <w:rPr>
          <w:rFonts w:eastAsia="Calibri"/>
        </w:rPr>
      </w:pPr>
      <w:r w:rsidRPr="00A61EB7">
        <w:rPr>
          <w:rFonts w:eastAsia="Calibri" w:cstheme="minorBidi"/>
          <w:b/>
        </w:rPr>
        <w:t>Istraživanje i razvoj:</w:t>
      </w:r>
      <w:r w:rsidRPr="00B47BDA">
        <w:rPr>
          <w:rFonts w:eastAsia="Calibri"/>
          <w:b/>
        </w:rPr>
        <w:t xml:space="preserve"> </w:t>
      </w:r>
      <w:r w:rsidR="00F548B7" w:rsidRPr="00B47BDA">
        <w:rPr>
          <w:rFonts w:eastAsia="Calibri"/>
        </w:rPr>
        <w:t xml:space="preserve">Jačanjem kapaciteta u istraživanje </w:t>
      </w:r>
      <w:r w:rsidR="00D81CC8" w:rsidRPr="00B47BDA">
        <w:rPr>
          <w:rFonts w:eastAsia="Calibri"/>
        </w:rPr>
        <w:t>za jačanje kibernetičke sigurnosti te ulaganje u</w:t>
      </w:r>
      <w:r w:rsidR="00F548B7" w:rsidRPr="00B47BDA">
        <w:rPr>
          <w:rFonts w:eastAsia="Calibri"/>
        </w:rPr>
        <w:t xml:space="preserve"> inovacije postiže se veća razina </w:t>
      </w:r>
      <w:r w:rsidR="00793788" w:rsidRPr="00B47BDA">
        <w:rPr>
          <w:rFonts w:eastAsia="Calibri"/>
        </w:rPr>
        <w:t>kibernetičke sigurnosti u energetskom sektoru</w:t>
      </w:r>
      <w:r w:rsidR="00D81CC8" w:rsidRPr="00B47BDA">
        <w:rPr>
          <w:rFonts w:eastAsia="Calibri"/>
        </w:rPr>
        <w:t xml:space="preserve"> (obuka i edukacije, nabava istražiteljskih analitičkih računalnih setova za analizu digitalnih dokaza, …)</w:t>
      </w:r>
      <w:r w:rsidR="00DD564A">
        <w:rPr>
          <w:rFonts w:eastAsia="Calibri"/>
        </w:rPr>
        <w:t>.</w:t>
      </w:r>
    </w:p>
    <w:p w14:paraId="07C7C256" w14:textId="2E610200" w:rsidR="00906C5C" w:rsidRPr="004E53E8" w:rsidRDefault="00906C5C" w:rsidP="00906C5C">
      <w:pPr>
        <w:pStyle w:val="Mjeranaslov"/>
      </w:pPr>
      <w:r w:rsidRPr="004E53E8">
        <w:t>ES-1</w:t>
      </w:r>
      <w:r w:rsidR="00461257" w:rsidRPr="004E53E8">
        <w:t>1</w:t>
      </w:r>
      <w:r w:rsidRPr="004E53E8">
        <w:t xml:space="preserve"> </w:t>
      </w:r>
      <w:r w:rsidR="00461BA8" w:rsidRPr="004E53E8">
        <w:t xml:space="preserve">Uspostava gospodarstva temeljenog na </w:t>
      </w:r>
      <w:r w:rsidR="00C07798" w:rsidRPr="004E53E8">
        <w:t>vodiku</w:t>
      </w:r>
    </w:p>
    <w:p w14:paraId="15770D6D" w14:textId="77904D61" w:rsidR="00906C5C" w:rsidRPr="004E53E8" w:rsidRDefault="006F3D59" w:rsidP="00906C5C">
      <w:pPr>
        <w:pStyle w:val="NormalWeb"/>
      </w:pPr>
      <w:r>
        <w:t>Organizacijska, regulatorna i f</w:t>
      </w:r>
      <w:r w:rsidR="00906C5C" w:rsidRPr="004E53E8">
        <w:t>inancijska mjera; provedba 202</w:t>
      </w:r>
      <w:r w:rsidR="004E53E8">
        <w:t>4</w:t>
      </w:r>
      <w:r w:rsidR="00906C5C" w:rsidRPr="004E53E8">
        <w:t>. -2030.</w:t>
      </w:r>
    </w:p>
    <w:p w14:paraId="134ABA35" w14:textId="37FF7E12" w:rsidR="00906C5C" w:rsidRPr="004E53E8" w:rsidRDefault="00906C5C" w:rsidP="00906C5C">
      <w:pPr>
        <w:pStyle w:val="NormalWeb"/>
        <w:rPr>
          <w:color w:val="000000"/>
        </w:rPr>
      </w:pPr>
      <w:r w:rsidRPr="004E53E8">
        <w:rPr>
          <w:b/>
          <w:color w:val="000000" w:themeColor="text1"/>
        </w:rPr>
        <w:t>Cilj i opis mjere:</w:t>
      </w:r>
      <w:r w:rsidRPr="004E53E8">
        <w:rPr>
          <w:color w:val="000000" w:themeColor="text1"/>
        </w:rPr>
        <w:t xml:space="preserve"> </w:t>
      </w:r>
      <w:r w:rsidR="00F965E8" w:rsidRPr="004E53E8">
        <w:t xml:space="preserve">Cilj mjere je </w:t>
      </w:r>
      <w:r w:rsidR="008B55E5" w:rsidRPr="004E53E8">
        <w:t>razviti gospodarstvo temeljeno na vodiku</w:t>
      </w:r>
      <w:r w:rsidR="00821B09" w:rsidRPr="004E53E8">
        <w:t xml:space="preserve"> koje će obuhvaćati čitav lanac vrijednosti te obuhvatiti proizvodnju, skladištenje, transport i korištenje obnovljivog vodika uz jačanje</w:t>
      </w:r>
      <w:r w:rsidR="001E3032" w:rsidRPr="004E53E8">
        <w:t xml:space="preserve"> </w:t>
      </w:r>
      <w:r w:rsidR="00821B09" w:rsidRPr="004E53E8">
        <w:t>istraživanja i razvoja</w:t>
      </w:r>
      <w:r w:rsidRPr="00A4727E">
        <w:t>.</w:t>
      </w:r>
      <w:r w:rsidR="003E6438">
        <w:t xml:space="preserve"> Mjerom će se također potaknuti korištenje vodika u prometu (povezano s mjerom </w:t>
      </w:r>
      <w:r w:rsidR="003E6438" w:rsidRPr="0093728B">
        <w:t>TR</w:t>
      </w:r>
      <w:r w:rsidR="003E6438">
        <w:t>-</w:t>
      </w:r>
      <w:r w:rsidR="00A83D37">
        <w:t>7</w:t>
      </w:r>
      <w:r w:rsidR="003E6438">
        <w:t>).</w:t>
      </w:r>
    </w:p>
    <w:p w14:paraId="34D65228" w14:textId="77777777" w:rsidR="00906C5C" w:rsidRPr="00A4727E" w:rsidRDefault="00906C5C" w:rsidP="00906C5C">
      <w:pPr>
        <w:rPr>
          <w:rFonts w:eastAsia="Calibri"/>
          <w:b/>
        </w:rPr>
      </w:pPr>
      <w:r w:rsidRPr="00A4727E">
        <w:rPr>
          <w:b/>
        </w:rPr>
        <w:t xml:space="preserve">Aktivnosti: </w:t>
      </w:r>
    </w:p>
    <w:p w14:paraId="1D1A8646" w14:textId="49612031" w:rsidR="00906C5C" w:rsidRPr="00A4727E" w:rsidRDefault="0010218F" w:rsidP="00F962AD">
      <w:pPr>
        <w:pStyle w:val="ListParagraph"/>
        <w:numPr>
          <w:ilvl w:val="0"/>
          <w:numId w:val="158"/>
        </w:numPr>
        <w:spacing w:after="60"/>
        <w:rPr>
          <w:rFonts w:eastAsia="Calibri"/>
        </w:rPr>
      </w:pPr>
      <w:r w:rsidRPr="007C3B5D">
        <w:rPr>
          <w:rFonts w:eastAsia="Calibri"/>
        </w:rPr>
        <w:lastRenderedPageBreak/>
        <w:t>Formiranje nacionalnog koordinacijskog tijela za vodik</w:t>
      </w:r>
      <w:r w:rsidR="005825D8" w:rsidRPr="007C3B5D">
        <w:rPr>
          <w:rFonts w:eastAsia="Calibri"/>
        </w:rPr>
        <w:t>, koje će programirati</w:t>
      </w:r>
      <w:r w:rsidR="000800E3" w:rsidRPr="007C3B5D">
        <w:rPr>
          <w:rFonts w:eastAsia="Calibri"/>
        </w:rPr>
        <w:t>,</w:t>
      </w:r>
      <w:r w:rsidR="005825D8" w:rsidRPr="007C3B5D">
        <w:rPr>
          <w:rFonts w:eastAsia="Calibri"/>
        </w:rPr>
        <w:t xml:space="preserve"> provoditi </w:t>
      </w:r>
      <w:r w:rsidR="000800E3" w:rsidRPr="007C3B5D">
        <w:rPr>
          <w:rFonts w:eastAsia="Calibri"/>
        </w:rPr>
        <w:t>te izvještavati o provedbi akata</w:t>
      </w:r>
      <w:r w:rsidR="005825D8" w:rsidRPr="007C3B5D">
        <w:rPr>
          <w:rFonts w:eastAsia="Calibri"/>
        </w:rPr>
        <w:t xml:space="preserve"> strateškog planiranja, </w:t>
      </w:r>
      <w:r w:rsidR="0025726F" w:rsidRPr="007C3B5D">
        <w:rPr>
          <w:rFonts w:eastAsia="Calibri"/>
        </w:rPr>
        <w:t xml:space="preserve">mapirati </w:t>
      </w:r>
      <w:r w:rsidR="00F054A1" w:rsidRPr="007C3B5D">
        <w:rPr>
          <w:rFonts w:eastAsia="Calibri"/>
        </w:rPr>
        <w:t xml:space="preserve">dionike, </w:t>
      </w:r>
      <w:r w:rsidR="00A50F74" w:rsidRPr="007C3B5D">
        <w:rPr>
          <w:rFonts w:eastAsia="Calibri"/>
        </w:rPr>
        <w:t>koordinirati projekte od nacionalnog interesa</w:t>
      </w:r>
      <w:r w:rsidR="00133D11" w:rsidRPr="007C3B5D">
        <w:rPr>
          <w:rFonts w:eastAsia="Calibri"/>
        </w:rPr>
        <w:t xml:space="preserve">, identificirati i aktivirati </w:t>
      </w:r>
      <w:r w:rsidR="00632152" w:rsidRPr="007C3B5D">
        <w:rPr>
          <w:rFonts w:eastAsia="Calibri"/>
        </w:rPr>
        <w:t xml:space="preserve">sredstva financiranja te </w:t>
      </w:r>
      <w:r w:rsidR="001800B1" w:rsidRPr="007C3B5D">
        <w:rPr>
          <w:rFonts w:eastAsia="Calibri"/>
        </w:rPr>
        <w:t xml:space="preserve">komunicirati s drugim državama članicama </w:t>
      </w:r>
      <w:r w:rsidR="00984A5B" w:rsidRPr="00A4727E">
        <w:rPr>
          <w:rFonts w:eastAsia="Calibri"/>
        </w:rPr>
        <w:t>po pitanju pozicioniranja projekata i pregovara</w:t>
      </w:r>
      <w:r w:rsidR="00845D92" w:rsidRPr="00A4727E">
        <w:rPr>
          <w:rFonts w:eastAsia="Calibri"/>
        </w:rPr>
        <w:t>ti</w:t>
      </w:r>
      <w:r w:rsidR="00984A5B" w:rsidRPr="00A4727E">
        <w:rPr>
          <w:rFonts w:eastAsia="Calibri"/>
        </w:rPr>
        <w:t xml:space="preserve"> u kontekstu komplementarnosti projekata</w:t>
      </w:r>
      <w:r w:rsidR="00A4727E" w:rsidRPr="00A4727E">
        <w:rPr>
          <w:rFonts w:eastAsia="Calibri"/>
        </w:rPr>
        <w:t>.</w:t>
      </w:r>
    </w:p>
    <w:p w14:paraId="33C37DB0" w14:textId="6D1C600F" w:rsidR="00D40E48" w:rsidRDefault="00D40E48" w:rsidP="00F962AD">
      <w:pPr>
        <w:pStyle w:val="ListParagraph"/>
        <w:numPr>
          <w:ilvl w:val="0"/>
          <w:numId w:val="158"/>
        </w:numPr>
        <w:spacing w:after="60"/>
        <w:rPr>
          <w:rFonts w:eastAsia="Calibri"/>
        </w:rPr>
      </w:pPr>
      <w:r>
        <w:rPr>
          <w:rFonts w:eastAsia="Calibri"/>
        </w:rPr>
        <w:t>Iz</w:t>
      </w:r>
      <w:r w:rsidR="0055715B">
        <w:rPr>
          <w:rFonts w:eastAsia="Calibri"/>
        </w:rPr>
        <w:t>rada Plana i programa razvoja vodika.</w:t>
      </w:r>
    </w:p>
    <w:p w14:paraId="25CE2DD5" w14:textId="187BE327" w:rsidR="00D777F4" w:rsidRPr="00A4727E" w:rsidRDefault="003C66E1" w:rsidP="00F962AD">
      <w:pPr>
        <w:pStyle w:val="ListParagraph"/>
        <w:numPr>
          <w:ilvl w:val="0"/>
          <w:numId w:val="158"/>
        </w:numPr>
        <w:spacing w:after="60"/>
        <w:rPr>
          <w:rFonts w:eastAsia="Calibri"/>
        </w:rPr>
      </w:pPr>
      <w:r>
        <w:rPr>
          <w:rFonts w:eastAsia="Calibri"/>
        </w:rPr>
        <w:t xml:space="preserve">Uspostava institucije Dolina </w:t>
      </w:r>
      <w:r w:rsidR="0063409C">
        <w:rPr>
          <w:rFonts w:eastAsia="Calibri"/>
        </w:rPr>
        <w:t>vodika Sjeverni Jadran (po završetku projekta Dolina vodika Sjeverni Jadran financiranog iz programa Obzor Europa)</w:t>
      </w:r>
      <w:r w:rsidR="00AD4981">
        <w:rPr>
          <w:rFonts w:eastAsia="Calibri"/>
        </w:rPr>
        <w:t>.</w:t>
      </w:r>
    </w:p>
    <w:p w14:paraId="3EB681BC" w14:textId="08868AC8" w:rsidR="00AD4981" w:rsidRPr="00A4727E" w:rsidRDefault="00AD4981" w:rsidP="00F962AD">
      <w:pPr>
        <w:pStyle w:val="ListParagraph"/>
        <w:numPr>
          <w:ilvl w:val="0"/>
          <w:numId w:val="158"/>
        </w:numPr>
        <w:spacing w:after="60"/>
        <w:rPr>
          <w:rFonts w:eastAsia="Calibri"/>
        </w:rPr>
      </w:pPr>
      <w:r>
        <w:rPr>
          <w:rFonts w:eastAsia="Calibri"/>
        </w:rPr>
        <w:t>Pokretanje projekata u okviru Doline vodika Sjeverni Jadran.</w:t>
      </w:r>
    </w:p>
    <w:p w14:paraId="4E288E61" w14:textId="2073ECD9" w:rsidR="003E6438" w:rsidRPr="00A4727E" w:rsidRDefault="000A5A7F" w:rsidP="63259912">
      <w:pPr>
        <w:pStyle w:val="ListParagraph"/>
        <w:numPr>
          <w:ilvl w:val="0"/>
          <w:numId w:val="158"/>
        </w:numPr>
        <w:spacing w:after="60"/>
        <w:rPr>
          <w:rFonts w:eastAsia="Calibri"/>
        </w:rPr>
      </w:pPr>
      <w:r w:rsidRPr="63259912">
        <w:rPr>
          <w:rFonts w:eastAsia="Calibri"/>
        </w:rPr>
        <w:t>Poticanje korištenja vodika u prometu (</w:t>
      </w:r>
      <w:r w:rsidR="00704C66" w:rsidRPr="63259912">
        <w:rPr>
          <w:rFonts w:eastAsia="Calibri"/>
        </w:rPr>
        <w:t xml:space="preserve">refit 5 diesel lokomotiva, </w:t>
      </w:r>
      <w:r w:rsidR="00995415" w:rsidRPr="63259912">
        <w:rPr>
          <w:rFonts w:eastAsia="Calibri"/>
        </w:rPr>
        <w:t>uspostava lanca punionica u željezničkom i javnom gradskom prijevozu (povezano s mjerom TR-</w:t>
      </w:r>
      <w:r w:rsidR="0093728B" w:rsidRPr="63259912">
        <w:rPr>
          <w:rFonts w:eastAsia="Calibri"/>
        </w:rPr>
        <w:t>7</w:t>
      </w:r>
      <w:r w:rsidR="00995415" w:rsidRPr="63259912">
        <w:rPr>
          <w:rFonts w:eastAsia="Calibri"/>
        </w:rPr>
        <w:t>).</w:t>
      </w:r>
    </w:p>
    <w:p w14:paraId="6B4F9999" w14:textId="13006DC6" w:rsidR="00906C5C" w:rsidRPr="00383B79" w:rsidRDefault="00906C5C" w:rsidP="00906C5C">
      <w:pPr>
        <w:rPr>
          <w:rFonts w:eastAsia="Calibri" w:cstheme="minorBidi"/>
        </w:rPr>
      </w:pPr>
      <w:r w:rsidRPr="00383B79">
        <w:rPr>
          <w:rFonts w:cstheme="minorBidi"/>
          <w:b/>
        </w:rPr>
        <w:t xml:space="preserve">Sredstva potrebna za provedbu: </w:t>
      </w:r>
      <w:r w:rsidR="005F20BA" w:rsidRPr="007C3B5D">
        <w:t>58,5 M</w:t>
      </w:r>
      <w:r w:rsidRPr="00383B79">
        <w:t xml:space="preserve">EUR </w:t>
      </w:r>
    </w:p>
    <w:p w14:paraId="67C48208" w14:textId="71B94F59" w:rsidR="00906C5C" w:rsidRPr="00383B79" w:rsidRDefault="00906C5C" w:rsidP="00906C5C">
      <w:pPr>
        <w:rPr>
          <w:rFonts w:eastAsia="Calibri"/>
        </w:rPr>
      </w:pPr>
      <w:r w:rsidRPr="00383B79">
        <w:rPr>
          <w:b/>
        </w:rPr>
        <w:t>Izvori financiranja:</w:t>
      </w:r>
      <w:r w:rsidRPr="00383B79">
        <w:t xml:space="preserve"> NPOO</w:t>
      </w:r>
    </w:p>
    <w:p w14:paraId="78BD6C0E" w14:textId="5988FB1A" w:rsidR="00906C5C" w:rsidRPr="00383B79" w:rsidRDefault="00906C5C" w:rsidP="00906C5C">
      <w:pPr>
        <w:rPr>
          <w:color w:val="000000"/>
        </w:rPr>
      </w:pPr>
      <w:r w:rsidRPr="00383B79">
        <w:rPr>
          <w:rFonts w:cstheme="minorBidi"/>
          <w:b/>
          <w:color w:val="000000" w:themeColor="text1"/>
        </w:rPr>
        <w:t>Izvršno tijelo:</w:t>
      </w:r>
      <w:r w:rsidRPr="00383B79">
        <w:rPr>
          <w:rFonts w:cstheme="minorBidi"/>
          <w:color w:val="000000" w:themeColor="text1"/>
        </w:rPr>
        <w:t xml:space="preserve"> </w:t>
      </w:r>
      <w:r w:rsidR="00F07E33" w:rsidRPr="007C3B5D">
        <w:rPr>
          <w:color w:val="000000" w:themeColor="text1"/>
        </w:rPr>
        <w:t>MINGO</w:t>
      </w:r>
      <w:r w:rsidR="00C57563">
        <w:rPr>
          <w:color w:val="000000" w:themeColor="text1"/>
        </w:rPr>
        <w:t>.</w:t>
      </w:r>
    </w:p>
    <w:p w14:paraId="2EE371DE" w14:textId="7D24C128" w:rsidR="00906C5C" w:rsidRPr="00383B79" w:rsidRDefault="00906C5C" w:rsidP="00906C5C">
      <w:r w:rsidRPr="00383B79">
        <w:rPr>
          <w:b/>
        </w:rPr>
        <w:t xml:space="preserve">Učinak: </w:t>
      </w:r>
      <w:r w:rsidR="00C57563">
        <w:t>U</w:t>
      </w:r>
      <w:r w:rsidR="004D5848">
        <w:t>spostavljen lanac vrijednosti vodika, funkcionalna Dolina vodika Sjeverni Jadran</w:t>
      </w:r>
      <w:r w:rsidR="00C57563">
        <w:t>.</w:t>
      </w:r>
    </w:p>
    <w:p w14:paraId="66940CB1" w14:textId="77777777" w:rsidR="00906C5C" w:rsidRPr="00383B79" w:rsidRDefault="00906C5C" w:rsidP="00906C5C">
      <w:pPr>
        <w:rPr>
          <w:b/>
        </w:rPr>
      </w:pPr>
      <w:r w:rsidRPr="00383B79">
        <w:rPr>
          <w:b/>
        </w:rPr>
        <w:t xml:space="preserve">Metode praćenja: </w:t>
      </w:r>
    </w:p>
    <w:p w14:paraId="2D416370" w14:textId="6213F627" w:rsidR="00906C5C" w:rsidRPr="007C3B5D" w:rsidRDefault="008E4E40" w:rsidP="00F962AD">
      <w:pPr>
        <w:pStyle w:val="ListParagraph"/>
        <w:numPr>
          <w:ilvl w:val="0"/>
          <w:numId w:val="65"/>
        </w:numPr>
        <w:spacing w:after="60"/>
      </w:pPr>
      <w:r w:rsidRPr="007C3B5D">
        <w:t xml:space="preserve">Kvalitativni pokazatelji: uspostava nacionalnog koordinacijskog tijela za vodik; </w:t>
      </w:r>
      <w:r w:rsidR="00C406C5" w:rsidRPr="007C3B5D">
        <w:t>izrada i objava Plana i programa razvoja vodika</w:t>
      </w:r>
      <w:r w:rsidR="00F371FE">
        <w:t>.</w:t>
      </w:r>
    </w:p>
    <w:p w14:paraId="798674A9" w14:textId="32D72417" w:rsidR="00C406C5" w:rsidRPr="00383B79" w:rsidRDefault="00C406C5" w:rsidP="00F962AD">
      <w:pPr>
        <w:pStyle w:val="ListParagraph"/>
        <w:numPr>
          <w:ilvl w:val="0"/>
          <w:numId w:val="65"/>
        </w:numPr>
        <w:spacing w:after="60"/>
      </w:pPr>
      <w:r w:rsidRPr="007C3B5D">
        <w:t xml:space="preserve">Kvantitativni pokazatelji: </w:t>
      </w:r>
      <w:r w:rsidR="004D2609" w:rsidRPr="007C3B5D">
        <w:t xml:space="preserve">raspisan poziv u sklopu kojeg će se potrošiti 13,5 MEUR i implementirati projekti; najmanje 5 lokomotiva prebačeno na vodik; </w:t>
      </w:r>
      <w:r w:rsidR="00030518" w:rsidRPr="007C3B5D">
        <w:t>izgrađeno najmanje 5 punionica na vodik za prometni sektor</w:t>
      </w:r>
      <w:r w:rsidR="00F371FE">
        <w:t>.</w:t>
      </w:r>
    </w:p>
    <w:p w14:paraId="40907E7A" w14:textId="68088C5A" w:rsidR="00906C5C" w:rsidRPr="007C3B5D" w:rsidRDefault="00906C5C" w:rsidP="63259912">
      <w:pPr>
        <w:tabs>
          <w:tab w:val="left" w:pos="5424"/>
        </w:tabs>
        <w:rPr>
          <w:highlight w:val="yellow"/>
        </w:rPr>
      </w:pPr>
      <w:r w:rsidRPr="63259912">
        <w:rPr>
          <w:b/>
          <w:bCs/>
        </w:rPr>
        <w:t xml:space="preserve">Povezanost s drugim dimenzijama: </w:t>
      </w:r>
      <w:r w:rsidR="00851F8C" w:rsidRPr="63259912">
        <w:t>Dekarbonizacija</w:t>
      </w:r>
      <w:r w:rsidR="001F15E7" w:rsidRPr="63259912">
        <w:t>.</w:t>
      </w:r>
    </w:p>
    <w:p w14:paraId="76237056" w14:textId="0396208D" w:rsidR="00906C5C" w:rsidRPr="007B3810" w:rsidRDefault="00906C5C" w:rsidP="00906C5C">
      <w:pPr>
        <w:rPr>
          <w:rFonts w:eastAsia="Calibri"/>
        </w:rPr>
      </w:pPr>
      <w:r w:rsidRPr="0026284E">
        <w:rPr>
          <w:rFonts w:eastAsia="Calibri" w:cstheme="minorBidi"/>
          <w:b/>
        </w:rPr>
        <w:t>Istraživanje i razvoj:</w:t>
      </w:r>
      <w:r w:rsidRPr="0026284E">
        <w:rPr>
          <w:rFonts w:eastAsia="Calibri"/>
          <w:b/>
        </w:rPr>
        <w:t xml:space="preserve"> </w:t>
      </w:r>
      <w:r w:rsidRPr="0026284E">
        <w:rPr>
          <w:rFonts w:eastAsia="Calibri"/>
        </w:rPr>
        <w:t xml:space="preserve">Da. </w:t>
      </w:r>
      <w:r w:rsidR="00B70A28" w:rsidRPr="00B70A28">
        <w:rPr>
          <w:rFonts w:eastAsia="Calibri"/>
        </w:rPr>
        <w:t>Cilj investicije je razviti gospodarstvo temeljeno na vodiku koje će obuhvaćati čitav lanac vrijednosti</w:t>
      </w:r>
      <w:r w:rsidR="00B70A28">
        <w:rPr>
          <w:rFonts w:eastAsia="Calibri"/>
        </w:rPr>
        <w:t xml:space="preserve"> t</w:t>
      </w:r>
      <w:r w:rsidR="00B70A28" w:rsidRPr="00B70A28">
        <w:rPr>
          <w:rFonts w:eastAsia="Calibri"/>
        </w:rPr>
        <w:t>e obuhvatiti proizvodnju, skladištenje, transport i korištenje obnovljivog vodika uz jačanje</w:t>
      </w:r>
      <w:r w:rsidR="00D31C22">
        <w:rPr>
          <w:rFonts w:eastAsia="Calibri"/>
        </w:rPr>
        <w:t xml:space="preserve"> </w:t>
      </w:r>
      <w:r w:rsidR="00B70A28" w:rsidRPr="00B70A28">
        <w:rPr>
          <w:rFonts w:eastAsia="Calibri"/>
        </w:rPr>
        <w:t>istraživanja i razvoja</w:t>
      </w:r>
      <w:r w:rsidR="00473994">
        <w:rPr>
          <w:rFonts w:eastAsia="Calibri"/>
        </w:rPr>
        <w:t>.</w:t>
      </w:r>
      <w:r w:rsidR="00A556D9">
        <w:rPr>
          <w:rFonts w:eastAsia="Calibri"/>
        </w:rPr>
        <w:t xml:space="preserve"> Projekt </w:t>
      </w:r>
      <w:r w:rsidR="00C425C6">
        <w:rPr>
          <w:rFonts w:eastAsia="Calibri"/>
        </w:rPr>
        <w:t xml:space="preserve">Dolina vodika Sjeverni Jadran </w:t>
      </w:r>
      <w:r w:rsidR="008D636E">
        <w:rPr>
          <w:rFonts w:eastAsia="Calibri"/>
        </w:rPr>
        <w:t xml:space="preserve">financiran iz programa Obzor Europa predstavlja </w:t>
      </w:r>
      <w:r w:rsidR="00FA6715">
        <w:rPr>
          <w:rFonts w:eastAsia="Calibri"/>
        </w:rPr>
        <w:t>j</w:t>
      </w:r>
      <w:r w:rsidR="00580FFD" w:rsidRPr="00580FFD">
        <w:rPr>
          <w:rFonts w:eastAsia="Calibri"/>
        </w:rPr>
        <w:t>avno-privatno</w:t>
      </w:r>
      <w:r w:rsidR="00FA6715">
        <w:rPr>
          <w:rFonts w:eastAsia="Calibri"/>
        </w:rPr>
        <w:t xml:space="preserve"> </w:t>
      </w:r>
      <w:r w:rsidR="00580FFD" w:rsidRPr="00580FFD">
        <w:rPr>
          <w:rFonts w:eastAsia="Calibri"/>
        </w:rPr>
        <w:t>partnerstvo koje potiče istraživanje i razvoj tehnologija vezanih uz vodi</w:t>
      </w:r>
      <w:r w:rsidR="005F27D5">
        <w:rPr>
          <w:rFonts w:eastAsia="Calibri"/>
        </w:rPr>
        <w:t>k.</w:t>
      </w:r>
    </w:p>
    <w:p w14:paraId="35DF69D6" w14:textId="122D1642" w:rsidR="00906C5C" w:rsidRPr="007B3810" w:rsidRDefault="00906C5C" w:rsidP="004623DD">
      <w:pPr>
        <w:rPr>
          <w:rFonts w:eastAsia="Calibri"/>
        </w:rPr>
      </w:pPr>
    </w:p>
    <w:p w14:paraId="678D76E1" w14:textId="086507F7" w:rsidR="00C36FB6" w:rsidRPr="00B47BDA" w:rsidRDefault="00C36FB6" w:rsidP="005C2C7E">
      <w:pPr>
        <w:pStyle w:val="Heading4"/>
        <w:numPr>
          <w:ilvl w:val="3"/>
          <w:numId w:val="175"/>
        </w:numPr>
        <w:ind w:hanging="580"/>
      </w:pPr>
      <w:r w:rsidRPr="00B47BDA">
        <w:t>Regionalna suradnja u ovom području</w:t>
      </w:r>
    </w:p>
    <w:p w14:paraId="29477899" w14:textId="745803AC" w:rsidR="00B024B8" w:rsidRPr="00B47BDA" w:rsidRDefault="00B024B8" w:rsidP="004623DD">
      <w:r w:rsidRPr="00B47BDA">
        <w:t xml:space="preserve">Regionalna suradnja na području energetske sigurnosti </w:t>
      </w:r>
      <w:r w:rsidR="008F50A5" w:rsidRPr="00B47BDA">
        <w:t>postoji već dugi niz godina</w:t>
      </w:r>
      <w:r w:rsidR="005F0E42" w:rsidRPr="00B47BDA">
        <w:t xml:space="preserve">, u okviru čega </w:t>
      </w:r>
      <w:r w:rsidR="008F50A5" w:rsidRPr="00B47BDA">
        <w:t xml:space="preserve">susjedne zemlje zajednički planiraju prekogranične konekcije </w:t>
      </w:r>
      <w:r w:rsidR="005F0E42" w:rsidRPr="00B47BDA">
        <w:t>električnih vodova, plinovoda i naf</w:t>
      </w:r>
      <w:r w:rsidR="00AA0075" w:rsidRPr="00B47BDA">
        <w:t>t</w:t>
      </w:r>
      <w:r w:rsidR="005F0E42" w:rsidRPr="00B47BDA">
        <w:t>ovoda.</w:t>
      </w:r>
      <w:r w:rsidR="005F7775" w:rsidRPr="00B47BDA">
        <w:t xml:space="preserve"> </w:t>
      </w:r>
      <w:r w:rsidR="00BC7FCE" w:rsidRPr="00B47BDA">
        <w:t xml:space="preserve">Suradnja operatora prijenosnih sustava ima svoju formalnu podlogu u </w:t>
      </w:r>
      <w:r w:rsidR="005F7775" w:rsidRPr="00B47BDA">
        <w:t>EU regulativ</w:t>
      </w:r>
      <w:r w:rsidR="00BC7FCE" w:rsidRPr="00B47BDA">
        <w:t>i</w:t>
      </w:r>
      <w:r w:rsidR="005F7775" w:rsidRPr="00B47BDA">
        <w:t xml:space="preserve"> i mrežni</w:t>
      </w:r>
      <w:r w:rsidR="00BC7FCE" w:rsidRPr="00B47BDA">
        <w:t>m</w:t>
      </w:r>
      <w:r w:rsidR="005F7775" w:rsidRPr="00B47BDA">
        <w:t xml:space="preserve"> </w:t>
      </w:r>
      <w:r w:rsidR="00BC7FCE" w:rsidRPr="00B47BDA">
        <w:t>pravilima</w:t>
      </w:r>
      <w:r w:rsidR="00C12456" w:rsidRPr="00B47BDA">
        <w:t xml:space="preserve">: operator hrvatskog </w:t>
      </w:r>
      <w:r w:rsidR="00BF2CF1" w:rsidRPr="00B47BDA">
        <w:t>prijenosnog</w:t>
      </w:r>
      <w:r w:rsidR="004842A5" w:rsidRPr="00B47BDA">
        <w:t xml:space="preserve"> sustava i operatori svih susjednih zemalja sudjeluju u istom regionalnom </w:t>
      </w:r>
      <w:r w:rsidR="00C161BC" w:rsidRPr="00B47BDA">
        <w:t>centru za sigurnost</w:t>
      </w:r>
      <w:r w:rsidR="00714288" w:rsidRPr="00B47BDA">
        <w:t xml:space="preserve">, a suradnja se sastoji od zajedničke provedbe sigurnosnih analiza, izračuna kapaciteta, </w:t>
      </w:r>
      <w:r w:rsidR="00D22FC3" w:rsidRPr="00B47BDA">
        <w:t>kratkoročnih prognoza adekvatnosti i zajedničkog planiranja prekida u opskrbi.</w:t>
      </w:r>
    </w:p>
    <w:p w14:paraId="2A96A8A9" w14:textId="675218FB" w:rsidR="005D7ED2" w:rsidRPr="00B47BDA" w:rsidRDefault="00DC1096" w:rsidP="009208AD">
      <w:r w:rsidRPr="00B47BDA">
        <w:t xml:space="preserve">Sukladno Uredbi </w:t>
      </w:r>
      <w:r w:rsidR="004E0DCE" w:rsidRPr="004E0DCE">
        <w:t>(EU) 2019/941</w:t>
      </w:r>
      <w:r w:rsidR="004E0DCE">
        <w:t xml:space="preserve"> </w:t>
      </w:r>
      <w:r w:rsidR="009208AD">
        <w:t xml:space="preserve">Europskog parlamenta i Vijeća od 5. lipnja 2019. o pripravnosti na rizike u sektoru električne energije i stavljanju izvan snage Direktive 2005/89/EZ (Tekst </w:t>
      </w:r>
      <w:r w:rsidR="009208AD">
        <w:lastRenderedPageBreak/>
        <w:t>značajan za EGP)</w:t>
      </w:r>
      <w:r w:rsidR="00B01792">
        <w:t xml:space="preserve"> </w:t>
      </w:r>
      <w:r w:rsidR="004E0DCE">
        <w:t>(</w:t>
      </w:r>
      <w:r w:rsidR="009208AD">
        <w:t>SL L 158, 14.6.2019</w:t>
      </w:r>
      <w:r w:rsidR="004E0DCE">
        <w:t>.)</w:t>
      </w:r>
      <w:r w:rsidR="006D554F" w:rsidRPr="00B47BDA">
        <w:t>,</w:t>
      </w:r>
      <w:r w:rsidR="00AF64E2" w:rsidRPr="00B47BDA">
        <w:t xml:space="preserve"> zajednički će se </w:t>
      </w:r>
      <w:r w:rsidR="00317BAA" w:rsidRPr="00B47BDA">
        <w:t>razvijati regionalni planovi pri</w:t>
      </w:r>
      <w:r w:rsidR="00313BED" w:rsidRPr="00B47BDA">
        <w:t>premljenosti za rizik</w:t>
      </w:r>
      <w:r w:rsidR="00095DF0" w:rsidRPr="00B47BDA">
        <w:t>e te će se u slučaju potrebe predlagati i provoditi i bilateralne mjere.</w:t>
      </w:r>
    </w:p>
    <w:p w14:paraId="466A250E" w14:textId="7FF1506B" w:rsidR="00095DF0" w:rsidRPr="00B47BDA" w:rsidRDefault="00175B8C" w:rsidP="00D21AF8">
      <w:r w:rsidRPr="63259912">
        <w:t>Sukladno članku 23</w:t>
      </w:r>
      <w:r w:rsidR="00C72C42" w:rsidRPr="63259912">
        <w:t>.</w:t>
      </w:r>
      <w:r w:rsidRPr="63259912">
        <w:t xml:space="preserve"> Uredbe</w:t>
      </w:r>
      <w:r w:rsidR="00D21AF8" w:rsidRPr="63259912">
        <w:t xml:space="preserve"> (EU)</w:t>
      </w:r>
      <w:r w:rsidRPr="63259912">
        <w:t xml:space="preserve"> 2019/943 </w:t>
      </w:r>
      <w:r w:rsidR="00D21AF8" w:rsidRPr="63259912">
        <w:t>Europskog parlamenta i Vijeća od 5. lipnja 2019. o unutarnjem tržištu električne energije (preinaka)(Tekst značajan za EGP)</w:t>
      </w:r>
      <w:r w:rsidR="00583D29" w:rsidRPr="63259912">
        <w:t xml:space="preserve"> </w:t>
      </w:r>
      <w:r w:rsidR="00D21AF8" w:rsidRPr="63259912">
        <w:t>(SL L 158, 14.6.2019.)</w:t>
      </w:r>
      <w:r w:rsidRPr="63259912">
        <w:t xml:space="preserve">, ACER je krajem 2020. godine donio metodologiju za procjenu dostatnosti proizvodnih postrojenja na europskoj razini, tj. na obuhvatu djelovanja ENTSO-e. Navedena metodologija se temelji na tzv. probabilističkom pristupu gdje se analiziraju različita stanja u elektroenergetskom sustavu, ovisno o klimatološkim uvjetima (uzimaju se u obzir 35 povijesnih klimatoloških godina) te raspoloživosti termoelektrana. Konačni rezultat procjene su statistički pokazatelji LOLE (engl. Loss of Load Expectation) i EENS (engl. Expected Energy not Served) za koji svaka država definira granične vrijednosti. Navedene analize se rade na nacionalnoj, regionalnoj i kontinentalnoj razini, a sve u cilju povećanja sigurnosti opskrbe </w:t>
      </w:r>
      <w:r w:rsidR="00DB34F8" w:rsidRPr="63259912">
        <w:t xml:space="preserve">električnom energijom </w:t>
      </w:r>
      <w:r w:rsidRPr="63259912">
        <w:t>i učinkovitije integracije novih proizvodnih postrojenja u elektroenergetski sustav.</w:t>
      </w:r>
    </w:p>
    <w:p w14:paraId="5424EDB2" w14:textId="3F1D1524" w:rsidR="00993650" w:rsidRPr="00B47BDA" w:rsidRDefault="00993650" w:rsidP="005C2C7E">
      <w:pPr>
        <w:pStyle w:val="Heading4"/>
        <w:numPr>
          <w:ilvl w:val="3"/>
          <w:numId w:val="175"/>
        </w:numPr>
        <w:ind w:hanging="580"/>
      </w:pPr>
      <w:r w:rsidRPr="00B47BDA">
        <w:t xml:space="preserve">Financijske mjere u ovom području na nacionalnoj razini, uključujući potporu </w:t>
      </w:r>
      <w:r w:rsidR="0076437B" w:rsidRPr="00B47BDA">
        <w:t>Unije i upotrebu sredstava Unije</w:t>
      </w:r>
      <w:r w:rsidRPr="00B47BDA">
        <w:t>, ako je primjenjivo.</w:t>
      </w:r>
    </w:p>
    <w:p w14:paraId="793DCCD7" w14:textId="5B57C963" w:rsidR="003119BF" w:rsidRPr="00B47BDA" w:rsidRDefault="006661FF" w:rsidP="004623DD">
      <w:r w:rsidRPr="00B47BDA">
        <w:t>Očekuje se korištenje EU sredstava</w:t>
      </w:r>
      <w:r w:rsidR="004B5FE8" w:rsidRPr="00B47BDA">
        <w:t xml:space="preserve"> kohezijske politike</w:t>
      </w:r>
      <w:r w:rsidRPr="00B47BDA">
        <w:t>,</w:t>
      </w:r>
      <w:r w:rsidR="00704F2F" w:rsidRPr="00B47BDA">
        <w:t xml:space="preserve"> Instrumenta za povezivanje Europe (CEF),</w:t>
      </w:r>
      <w:r w:rsidRPr="00B47BDA">
        <w:t xml:space="preserve"> </w:t>
      </w:r>
      <w:r w:rsidR="6A023773">
        <w:t>M</w:t>
      </w:r>
      <w:r w:rsidR="163D7479">
        <w:t>odernizacij</w:t>
      </w:r>
      <w:r w:rsidR="08444890">
        <w:t>skog fonda</w:t>
      </w:r>
      <w:r w:rsidR="004B5FE8" w:rsidRPr="00B47BDA">
        <w:t xml:space="preserve"> te Inovacijskog fonda.</w:t>
      </w:r>
    </w:p>
    <w:p w14:paraId="30CBFA68" w14:textId="171E13A7" w:rsidR="00C21988" w:rsidRPr="00B47BDA" w:rsidRDefault="00C21988" w:rsidP="005C2C7E">
      <w:pPr>
        <w:pStyle w:val="Heading2"/>
        <w:numPr>
          <w:ilvl w:val="1"/>
          <w:numId w:val="175"/>
        </w:numPr>
      </w:pPr>
      <w:bookmarkStart w:id="462" w:name="_Toc531935159"/>
      <w:bookmarkStart w:id="463" w:name="_Toc531945109"/>
      <w:bookmarkStart w:id="464" w:name="_Toc6302366"/>
      <w:bookmarkStart w:id="465" w:name="_Toc187418350"/>
      <w:bookmarkStart w:id="466" w:name="_Toc193043275"/>
      <w:r w:rsidRPr="00B47BDA">
        <w:t xml:space="preserve">Dimenzija: </w:t>
      </w:r>
      <w:r w:rsidR="007E1352">
        <w:t>u</w:t>
      </w:r>
      <w:r w:rsidRPr="00B47BDA">
        <w:t>nutarnje energetsko tržište</w:t>
      </w:r>
      <w:bookmarkEnd w:id="462"/>
      <w:bookmarkEnd w:id="463"/>
      <w:bookmarkEnd w:id="464"/>
      <w:bookmarkEnd w:id="465"/>
      <w:bookmarkEnd w:id="466"/>
      <w:r w:rsidRPr="00B47BDA">
        <w:t xml:space="preserve"> </w:t>
      </w:r>
    </w:p>
    <w:p w14:paraId="1C52412C" w14:textId="5DDD5CBC" w:rsidR="00C21988" w:rsidRPr="00B47BDA" w:rsidRDefault="00C21988" w:rsidP="005C2C7E">
      <w:pPr>
        <w:pStyle w:val="Heading3"/>
        <w:numPr>
          <w:ilvl w:val="2"/>
          <w:numId w:val="175"/>
        </w:numPr>
      </w:pPr>
      <w:bookmarkStart w:id="467" w:name="_Toc531935160"/>
      <w:bookmarkStart w:id="468" w:name="_Toc531945110"/>
      <w:bookmarkStart w:id="469" w:name="_Toc6302367"/>
      <w:bookmarkStart w:id="470" w:name="_Toc187418351"/>
      <w:bookmarkStart w:id="471" w:name="_Toc193043276"/>
      <w:r w:rsidRPr="00B47BDA">
        <w:t>Elektroenergetska infrastruktura</w:t>
      </w:r>
      <w:bookmarkEnd w:id="467"/>
      <w:bookmarkEnd w:id="468"/>
      <w:bookmarkEnd w:id="469"/>
      <w:bookmarkEnd w:id="470"/>
      <w:bookmarkEnd w:id="471"/>
    </w:p>
    <w:p w14:paraId="3501C3EE" w14:textId="77777777" w:rsidR="004C6370" w:rsidRPr="00B47BDA" w:rsidRDefault="004C6370" w:rsidP="005C2C7E">
      <w:pPr>
        <w:pStyle w:val="Heading4"/>
        <w:numPr>
          <w:ilvl w:val="3"/>
          <w:numId w:val="175"/>
        </w:numPr>
        <w:ind w:hanging="580"/>
      </w:pPr>
      <w:r w:rsidRPr="00B47BDA">
        <w:t>Politike i mjere za ostvarivanje ciljane razine međusobne povezanosti iz članka 4. točke (d)</w:t>
      </w:r>
    </w:p>
    <w:p w14:paraId="01D00136" w14:textId="0B14340C" w:rsidR="00700963" w:rsidRPr="00B47BDA" w:rsidRDefault="003228DC" w:rsidP="004623DD">
      <w:r w:rsidRPr="63259912">
        <w:t xml:space="preserve">Kako je navedeno u </w:t>
      </w:r>
      <w:r w:rsidR="00BF6F2F" w:rsidRPr="63259912">
        <w:t>točki</w:t>
      </w:r>
      <w:r w:rsidR="00C704F7" w:rsidRPr="63259912">
        <w:t xml:space="preserve"> </w:t>
      </w:r>
      <w:r w:rsidR="00274E88" w:rsidRPr="63259912">
        <w:t>3</w:t>
      </w:r>
      <w:r w:rsidR="00C704F7" w:rsidRPr="63259912">
        <w:t>.3, u</w:t>
      </w:r>
      <w:r w:rsidRPr="63259912">
        <w:t xml:space="preserve"> pogledu daljnjih povećanja prekograničnih kapaciteta do 2030. godine ne postavljaju se posebni zahtjevi.</w:t>
      </w:r>
      <w:r w:rsidR="00700963" w:rsidRPr="63259912">
        <w:t xml:space="preserve"> Eventualna izgradnja novih interkonekcija ovisit će o tržišnim prilikama i pozitivnim analizama odnosa troškova i koristi.</w:t>
      </w:r>
    </w:p>
    <w:p w14:paraId="123F879E" w14:textId="7211D9AC" w:rsidR="00195C5A" w:rsidRPr="00B47BDA" w:rsidRDefault="00700963" w:rsidP="004623DD">
      <w:r w:rsidRPr="63259912">
        <w:t xml:space="preserve">Daljnje povećanje </w:t>
      </w:r>
      <w:r w:rsidR="00B247AF" w:rsidRPr="63259912">
        <w:t>mogućnosti prekozonske razmjene</w:t>
      </w:r>
      <w:r w:rsidRPr="63259912">
        <w:t xml:space="preserve"> na pojedinim granicama bit će ostvareno planiranim otklanjanjem ograničenja u internoj mreži. Nositelj aktivnosti je HOPS, a investicije u pojačanja interne </w:t>
      </w:r>
      <w:r w:rsidR="000A0BAE" w:rsidRPr="63259912">
        <w:t xml:space="preserve">ili prekogranične </w:t>
      </w:r>
      <w:r w:rsidRPr="63259912">
        <w:t>mreže odobrava HERA.</w:t>
      </w:r>
    </w:p>
    <w:p w14:paraId="7F30A7E8" w14:textId="77777777" w:rsidR="00055544" w:rsidRPr="00B47BDA" w:rsidRDefault="00055544" w:rsidP="005C2C7E">
      <w:pPr>
        <w:pStyle w:val="Heading4"/>
        <w:numPr>
          <w:ilvl w:val="3"/>
          <w:numId w:val="175"/>
        </w:numPr>
        <w:ind w:hanging="580"/>
      </w:pPr>
      <w:r w:rsidRPr="00B47BDA">
        <w:t xml:space="preserve">Regionalna suradnja u ovom području </w:t>
      </w:r>
    </w:p>
    <w:p w14:paraId="5B73791D" w14:textId="0A5E5DC3" w:rsidR="0014325E" w:rsidRPr="00B47BDA" w:rsidRDefault="00BD1810" w:rsidP="004623DD">
      <w:r w:rsidRPr="00B47BDA">
        <w:t>O</w:t>
      </w:r>
      <w:r w:rsidR="00B53483" w:rsidRPr="00B47BDA">
        <w:t>pisan</w:t>
      </w:r>
      <w:r w:rsidRPr="00B47BDA">
        <w:t>o</w:t>
      </w:r>
      <w:r w:rsidR="00B53483" w:rsidRPr="00B47BDA">
        <w:t xml:space="preserve"> u okviru regiona</w:t>
      </w:r>
      <w:r w:rsidRPr="00B47BDA">
        <w:t>l</w:t>
      </w:r>
      <w:r w:rsidR="00B53483" w:rsidRPr="00B47BDA">
        <w:t>ne suradnje u dimenziji energetska sigurnost</w:t>
      </w:r>
      <w:r w:rsidR="003119BF" w:rsidRPr="00B47BDA">
        <w:t xml:space="preserve">. </w:t>
      </w:r>
    </w:p>
    <w:p w14:paraId="2D4ECA30" w14:textId="7E50312C" w:rsidR="00994B0D" w:rsidRPr="00B47BDA" w:rsidRDefault="00994B0D" w:rsidP="005C2C7E">
      <w:pPr>
        <w:pStyle w:val="Heading4"/>
        <w:numPr>
          <w:ilvl w:val="3"/>
          <w:numId w:val="175"/>
        </w:numPr>
        <w:ind w:hanging="580"/>
      </w:pPr>
      <w:r w:rsidRPr="00B47BDA">
        <w:t xml:space="preserve">Financijske mjere u ovom području na nacionalnoj razini, uključujući potporu </w:t>
      </w:r>
      <w:r w:rsidR="00CF3A12" w:rsidRPr="00B47BDA">
        <w:t>Unije i upotrebu sredstava Unije</w:t>
      </w:r>
      <w:r w:rsidRPr="00B47BDA">
        <w:t>, ako je primjenjivo.</w:t>
      </w:r>
    </w:p>
    <w:p w14:paraId="3584FAC4" w14:textId="1A9F4CA2" w:rsidR="00BD1810" w:rsidRPr="00B47BDA" w:rsidRDefault="009649AB" w:rsidP="004623DD">
      <w:r w:rsidRPr="00B47BDA">
        <w:t xml:space="preserve">Projekt </w:t>
      </w:r>
      <w:r w:rsidR="00AB713C" w:rsidRPr="00B47BDA">
        <w:t xml:space="preserve">vezani uz revitalizaciju i rekonstrukciju postojeće energetske infrastrukture od strateškog su značaja za RH. Za njihovu realizaciju </w:t>
      </w:r>
      <w:r w:rsidRPr="00B47BDA">
        <w:t xml:space="preserve">predviđeno </w:t>
      </w:r>
      <w:r w:rsidR="00AB713C" w:rsidRPr="00B47BDA">
        <w:t xml:space="preserve">je </w:t>
      </w:r>
      <w:r w:rsidRPr="00B47BDA">
        <w:t xml:space="preserve">sufinanciranje iz fondova EU kroz Nacionalni plan oporavka i otpornosti (NPOO). </w:t>
      </w:r>
    </w:p>
    <w:p w14:paraId="1B7DCE4C" w14:textId="5C2481EA" w:rsidR="00C21988" w:rsidRPr="00B47BDA" w:rsidRDefault="00C21988" w:rsidP="005C2C7E">
      <w:pPr>
        <w:pStyle w:val="Heading3"/>
        <w:numPr>
          <w:ilvl w:val="2"/>
          <w:numId w:val="175"/>
        </w:numPr>
      </w:pPr>
      <w:bookmarkStart w:id="472" w:name="_Toc531935161"/>
      <w:bookmarkStart w:id="473" w:name="_Toc531945111"/>
      <w:bookmarkStart w:id="474" w:name="_Toc6302368"/>
      <w:bookmarkStart w:id="475" w:name="_Toc187418352"/>
      <w:bookmarkStart w:id="476" w:name="_Toc193043277"/>
      <w:r w:rsidRPr="00B47BDA">
        <w:lastRenderedPageBreak/>
        <w:t>Infrastruktura za prijenos energije</w:t>
      </w:r>
      <w:bookmarkEnd w:id="472"/>
      <w:bookmarkEnd w:id="473"/>
      <w:bookmarkEnd w:id="474"/>
      <w:bookmarkEnd w:id="475"/>
      <w:bookmarkEnd w:id="476"/>
    </w:p>
    <w:p w14:paraId="29AEA56B" w14:textId="037B998A" w:rsidR="0038230B" w:rsidRPr="00B47BDA" w:rsidRDefault="0038230B" w:rsidP="005C2C7E">
      <w:pPr>
        <w:pStyle w:val="Heading4"/>
        <w:numPr>
          <w:ilvl w:val="3"/>
          <w:numId w:val="175"/>
        </w:numPr>
        <w:ind w:hanging="580"/>
      </w:pPr>
      <w:r w:rsidRPr="00B47BDA">
        <w:t xml:space="preserve">Politike i mjere koje se odnose na elemente iz </w:t>
      </w:r>
      <w:r w:rsidR="001D4D04">
        <w:t>točke</w:t>
      </w:r>
      <w:r w:rsidRPr="00B47BDA">
        <w:t xml:space="preserve"> </w:t>
      </w:r>
      <w:r w:rsidR="001D4D04">
        <w:t>2</w:t>
      </w:r>
      <w:r w:rsidRPr="00B47BDA">
        <w:t>.4.2, uključujući, ako je primjenjivo, posebne mjere za omogućavanje provedbe projekata od zajedničkog interesa (PCI) i drugih ključnih infrastrukturnih projekata.</w:t>
      </w:r>
    </w:p>
    <w:p w14:paraId="75F0B04F" w14:textId="4293322D" w:rsidR="00C704F7" w:rsidRPr="00B47BDA" w:rsidRDefault="00C704F7" w:rsidP="007B3810">
      <w:pPr>
        <w:pStyle w:val="Mjeranaslov"/>
      </w:pPr>
      <w:r w:rsidRPr="00B47BDA">
        <w:t>UET-1</w:t>
      </w:r>
      <w:r w:rsidR="00C15FBC">
        <w:t xml:space="preserve"> </w:t>
      </w:r>
      <w:r w:rsidRPr="00B47BDA">
        <w:tab/>
      </w:r>
      <w:r w:rsidR="00565332" w:rsidRPr="00B47BDA">
        <w:t>R</w:t>
      </w:r>
      <w:r w:rsidRPr="00B47BDA">
        <w:t>azvoj prijenosne elektroenergetske mreže</w:t>
      </w:r>
    </w:p>
    <w:p w14:paraId="11B05293" w14:textId="0F0D8C82" w:rsidR="007D23C6" w:rsidRPr="00B47BDA" w:rsidRDefault="00F76D27" w:rsidP="004623DD">
      <w:r w:rsidRPr="00B47BDA">
        <w:t>Financijska mjera; provedba 2021. – 2030.</w:t>
      </w:r>
    </w:p>
    <w:p w14:paraId="4BCF85E4" w14:textId="351B0B72" w:rsidR="007D23C6" w:rsidRPr="00B47BDA" w:rsidRDefault="00F76D27" w:rsidP="009F1CA1">
      <w:r w:rsidRPr="63259912">
        <w:rPr>
          <w:b/>
          <w:bCs/>
        </w:rPr>
        <w:t>Cilj i opis mjere</w:t>
      </w:r>
      <w:r w:rsidRPr="63259912">
        <w:t xml:space="preserve">: </w:t>
      </w:r>
      <w:r w:rsidR="009E4A70" w:rsidRPr="63259912">
        <w:t>Za</w:t>
      </w:r>
      <w:r w:rsidRPr="63259912">
        <w:t xml:space="preserve"> upravljanje, pogon i vođenje, održavanje, razvoj i izgradnju prijenosne elektroenergetske mreže</w:t>
      </w:r>
      <w:r w:rsidR="00F206A8" w:rsidRPr="63259912">
        <w:t xml:space="preserve"> </w:t>
      </w:r>
      <w:r w:rsidR="0001572B" w:rsidRPr="63259912">
        <w:t xml:space="preserve">u Republici Hrvatskoj nadležan je </w:t>
      </w:r>
      <w:r w:rsidRPr="63259912">
        <w:t>HOPS</w:t>
      </w:r>
      <w:r w:rsidR="00F206A8" w:rsidRPr="63259912">
        <w:t xml:space="preserve">, koji je </w:t>
      </w:r>
      <w:r w:rsidR="00640423" w:rsidRPr="63259912">
        <w:t>svake godine</w:t>
      </w:r>
      <w:r w:rsidRPr="63259912">
        <w:t xml:space="preserve"> dužan izraditi i donijeti desetogodišnje, trogodišnje i jednogodišnje investicijske planove razvoja prijenosne mreže. U trenutku usvajanja ovog dokumenta relevantan je bio Desetogodišnji plan razvoja prijenosne mreže </w:t>
      </w:r>
      <w:r w:rsidR="001F0941" w:rsidRPr="63259912">
        <w:t>2022</w:t>
      </w:r>
      <w:r w:rsidRPr="63259912">
        <w:t>.-</w:t>
      </w:r>
      <w:r w:rsidR="001F0941" w:rsidRPr="63259912">
        <w:t>2031</w:t>
      </w:r>
      <w:r w:rsidRPr="63259912">
        <w:t xml:space="preserve">., </w:t>
      </w:r>
      <w:r w:rsidR="007C5CCB" w:rsidRPr="63259912">
        <w:t>a</w:t>
      </w:r>
      <w:r w:rsidRPr="63259912">
        <w:t xml:space="preserve"> tijekom čitavog razdoblja provedbe ovog dokumenta</w:t>
      </w:r>
      <w:r w:rsidR="00523F2D" w:rsidRPr="63259912">
        <w:t xml:space="preserve"> vršit će se godišnje novelacije desetogodišnjeg plana razvoja</w:t>
      </w:r>
      <w:r w:rsidR="00780C65" w:rsidRPr="63259912">
        <w:t>.</w:t>
      </w:r>
    </w:p>
    <w:p w14:paraId="2BFF361D" w14:textId="188216AA" w:rsidR="007D23C6" w:rsidRPr="00B47BDA" w:rsidRDefault="00780C65" w:rsidP="004623DD">
      <w:pPr>
        <w:rPr>
          <w:b/>
          <w:color w:val="000000"/>
        </w:rPr>
      </w:pPr>
      <w:r w:rsidRPr="00B47BDA">
        <w:rPr>
          <w:b/>
          <w:color w:val="000000"/>
        </w:rPr>
        <w:t>Aktivnosti</w:t>
      </w:r>
      <w:r w:rsidR="00A93F6B" w:rsidRPr="00B47BDA">
        <w:rPr>
          <w:b/>
          <w:color w:val="000000"/>
        </w:rPr>
        <w:t>:</w:t>
      </w:r>
      <w:r w:rsidRPr="00B47BDA">
        <w:t xml:space="preserve"> </w:t>
      </w:r>
      <w:r w:rsidR="00C57563">
        <w:t>P</w:t>
      </w:r>
      <w:r w:rsidR="00A93F6B" w:rsidRPr="00B47BDA">
        <w:t>rema Deset</w:t>
      </w:r>
      <w:r w:rsidR="00110C9D" w:rsidRPr="00B47BDA">
        <w:t>o</w:t>
      </w:r>
      <w:r w:rsidR="00A93F6B" w:rsidRPr="00B47BDA">
        <w:t xml:space="preserve">godišnjem planu </w:t>
      </w:r>
      <w:r w:rsidR="006B7FD7" w:rsidRPr="00B47BDA">
        <w:t>razvoja prijenosne mreže</w:t>
      </w:r>
      <w:r w:rsidR="0000717C">
        <w:t>.</w:t>
      </w:r>
    </w:p>
    <w:p w14:paraId="6FF55E56" w14:textId="3E6C2166" w:rsidR="007D23C6" w:rsidRPr="007B3810" w:rsidRDefault="00F76D27" w:rsidP="004623DD">
      <w:pPr>
        <w:rPr>
          <w:rFonts w:eastAsia="Calibri"/>
        </w:rPr>
      </w:pPr>
      <w:r w:rsidRPr="007B3810">
        <w:rPr>
          <w:b/>
          <w:bCs/>
        </w:rPr>
        <w:t>Sredstva potrebna za provedbu:</w:t>
      </w:r>
      <w:r w:rsidRPr="00B47BDA">
        <w:t xml:space="preserve"> </w:t>
      </w:r>
      <w:r w:rsidR="004D23F3">
        <w:t>872</w:t>
      </w:r>
      <w:r w:rsidR="00884CDB" w:rsidRPr="00B47BDA">
        <w:t xml:space="preserve"> mil</w:t>
      </w:r>
      <w:r w:rsidR="006261A6">
        <w:t>ijuna</w:t>
      </w:r>
      <w:r w:rsidR="00884CDB" w:rsidRPr="00B47BDA">
        <w:t xml:space="preserve"> </w:t>
      </w:r>
      <w:r w:rsidR="00E269AC" w:rsidRPr="00B47BDA">
        <w:t>EUR</w:t>
      </w:r>
      <w:r w:rsidR="00AB633D">
        <w:t>.</w:t>
      </w:r>
    </w:p>
    <w:p w14:paraId="2682349E" w14:textId="0BDCA4D8" w:rsidR="007D23C6" w:rsidRPr="00B47BDA" w:rsidRDefault="00F76D27" w:rsidP="009F1CA1">
      <w:pPr>
        <w:rPr>
          <w:rFonts w:eastAsia="Calibri"/>
        </w:rPr>
      </w:pPr>
      <w:r w:rsidRPr="00B47BDA">
        <w:rPr>
          <w:b/>
        </w:rPr>
        <w:t xml:space="preserve">Izvori financiranja: </w:t>
      </w:r>
      <w:r w:rsidR="00C57563">
        <w:t>N</w:t>
      </w:r>
      <w:r w:rsidR="000B4EFA" w:rsidRPr="00B47BDA">
        <w:t xml:space="preserve">aknada za </w:t>
      </w:r>
      <w:r w:rsidR="00954AF3">
        <w:t>korištenje</w:t>
      </w:r>
      <w:r w:rsidR="00683F3A">
        <w:t xml:space="preserve"> prijenosne mreže</w:t>
      </w:r>
      <w:r w:rsidR="000B4EFA" w:rsidRPr="00B47BDA">
        <w:t xml:space="preserve">; sudjelovanje novih korisnika u stvaranju tehničkih uvjeta u mreži za priključak svojih postrojenja; EU sredstva (strukturni, </w:t>
      </w:r>
      <w:r w:rsidR="3CEB92D3">
        <w:t>I</w:t>
      </w:r>
      <w:r w:rsidR="231DFA54">
        <w:t>novacijski</w:t>
      </w:r>
      <w:r w:rsidR="000B4EFA" w:rsidRPr="00B47BDA">
        <w:t xml:space="preserve"> i </w:t>
      </w:r>
      <w:r w:rsidR="07B21165">
        <w:t>M</w:t>
      </w:r>
      <w:r w:rsidR="231DFA54">
        <w:t>odernizacijski</w:t>
      </w:r>
      <w:r w:rsidR="000B4EFA" w:rsidRPr="00B47BDA">
        <w:t xml:space="preserve"> fond)</w:t>
      </w:r>
      <w:r w:rsidR="002D0F36" w:rsidRPr="00B47BDA">
        <w:t>, NPOO</w:t>
      </w:r>
      <w:r w:rsidR="00CB1CC7">
        <w:t>.</w:t>
      </w:r>
    </w:p>
    <w:p w14:paraId="40F79AEC" w14:textId="46C7FE19" w:rsidR="007D23C6" w:rsidRPr="00B47BDA" w:rsidRDefault="00F76D27" w:rsidP="004623DD">
      <w:r w:rsidRPr="007B3810">
        <w:rPr>
          <w:b/>
          <w:bCs/>
        </w:rPr>
        <w:t>Izvršno tijelo:</w:t>
      </w:r>
      <w:r w:rsidRPr="00B47BDA">
        <w:t xml:space="preserve"> </w:t>
      </w:r>
      <w:r w:rsidR="00884CDB" w:rsidRPr="00B47BDA">
        <w:t>HOPS</w:t>
      </w:r>
      <w:r w:rsidR="0000717C">
        <w:t>.</w:t>
      </w:r>
    </w:p>
    <w:p w14:paraId="1B8ADD93" w14:textId="67A71387" w:rsidR="007D23C6" w:rsidRPr="00B47BDA" w:rsidRDefault="00F76D27" w:rsidP="004623DD">
      <w:pPr>
        <w:rPr>
          <w:rFonts w:eastAsia="Calibri"/>
        </w:rPr>
      </w:pPr>
      <w:r w:rsidRPr="00B47BDA">
        <w:rPr>
          <w:b/>
        </w:rPr>
        <w:t>Tijel</w:t>
      </w:r>
      <w:r w:rsidR="00884CDB" w:rsidRPr="00B47BDA">
        <w:rPr>
          <w:b/>
        </w:rPr>
        <w:t>o</w:t>
      </w:r>
      <w:r w:rsidRPr="00B47BDA">
        <w:rPr>
          <w:b/>
        </w:rPr>
        <w:t xml:space="preserve"> za praćenje:</w:t>
      </w:r>
      <w:r w:rsidRPr="00B47BDA">
        <w:t xml:space="preserve"> </w:t>
      </w:r>
      <w:r w:rsidR="0024241C" w:rsidRPr="00B47BDA">
        <w:t>Ministarstvo gospodarstva</w:t>
      </w:r>
      <w:r w:rsidR="0000717C">
        <w:t>.</w:t>
      </w:r>
    </w:p>
    <w:p w14:paraId="70B58E55" w14:textId="23448DD7" w:rsidR="007D23C6" w:rsidRPr="00B47BDA" w:rsidRDefault="00F76D27" w:rsidP="004623DD">
      <w:pPr>
        <w:rPr>
          <w:rFonts w:eastAsia="Calibri"/>
        </w:rPr>
      </w:pPr>
      <w:r w:rsidRPr="00B47BDA">
        <w:rPr>
          <w:b/>
        </w:rPr>
        <w:t xml:space="preserve">Učinak: </w:t>
      </w:r>
      <w:r w:rsidR="00C57563">
        <w:t>S</w:t>
      </w:r>
      <w:r w:rsidR="00FD38CF" w:rsidRPr="00B47BDA">
        <w:t>iguran i pouzdan rad prijenosne električne mreže</w:t>
      </w:r>
      <w:r w:rsidR="0000717C">
        <w:t>.</w:t>
      </w:r>
    </w:p>
    <w:p w14:paraId="162FCB2A" w14:textId="284D36C1" w:rsidR="007D23C6" w:rsidRPr="00B47BDA" w:rsidRDefault="00F76D27" w:rsidP="004623DD">
      <w:pPr>
        <w:rPr>
          <w:rFonts w:eastAsia="Calibri"/>
        </w:rPr>
      </w:pPr>
      <w:r w:rsidRPr="00B47BDA">
        <w:rPr>
          <w:b/>
        </w:rPr>
        <w:t>Metoda praćenja:</w:t>
      </w:r>
      <w:r w:rsidRPr="00B47BDA">
        <w:t xml:space="preserve"> </w:t>
      </w:r>
      <w:r w:rsidR="00C57563">
        <w:t>I</w:t>
      </w:r>
      <w:r w:rsidR="004A2294" w:rsidRPr="00B47BDA">
        <w:t>zvještaji HERA-</w:t>
      </w:r>
      <w:r w:rsidR="00B666BD" w:rsidRPr="00B47BDA">
        <w:t>i</w:t>
      </w:r>
      <w:r w:rsidR="0000717C">
        <w:t>.</w:t>
      </w:r>
    </w:p>
    <w:p w14:paraId="7E395F4B" w14:textId="4D1A2414" w:rsidR="007D23C6" w:rsidRPr="00B47BDA" w:rsidRDefault="00F76D27" w:rsidP="63259912">
      <w:pPr>
        <w:rPr>
          <w:rFonts w:eastAsia="Calibri"/>
        </w:rPr>
      </w:pPr>
      <w:r w:rsidRPr="63259912">
        <w:rPr>
          <w:b/>
          <w:bCs/>
        </w:rPr>
        <w:t xml:space="preserve">Povezanost s drugim dimenzijama: </w:t>
      </w:r>
      <w:r w:rsidR="00C57563" w:rsidRPr="63259912">
        <w:t>D</w:t>
      </w:r>
      <w:r w:rsidR="00B666BD" w:rsidRPr="63259912">
        <w:t xml:space="preserve">ekarbonizacija – OIE, </w:t>
      </w:r>
      <w:r w:rsidR="000E44C4" w:rsidRPr="63259912">
        <w:t>energetska učinkovitost, energetska sigurnost</w:t>
      </w:r>
      <w:r w:rsidR="008B31ED" w:rsidRPr="63259912">
        <w:t>, istraživanje, inovacije i konkurentnost</w:t>
      </w:r>
      <w:r w:rsidR="00DD7F0C" w:rsidRPr="63259912">
        <w:t>.</w:t>
      </w:r>
    </w:p>
    <w:p w14:paraId="0CDC63D0" w14:textId="00047F73" w:rsidR="00047C44" w:rsidRPr="00B47BDA" w:rsidRDefault="00131655" w:rsidP="009F1CA1">
      <w:r w:rsidRPr="00B47BDA">
        <w:rPr>
          <w:b/>
        </w:rPr>
        <w:t>Napomene</w:t>
      </w:r>
      <w:r w:rsidR="009B37E9" w:rsidRPr="00B47BDA">
        <w:t>: Osim financijskih sredstava potrebnih za pokrivanje troškova izgradnje prijenosne mreže</w:t>
      </w:r>
      <w:r w:rsidRPr="00B47BDA">
        <w:t>,</w:t>
      </w:r>
      <w:r w:rsidR="009B37E9" w:rsidRPr="00B47BDA">
        <w:t xml:space="preserve"> potrebno je</w:t>
      </w:r>
      <w:r w:rsidR="00047C44" w:rsidRPr="00B47BDA">
        <w:t>, kroz naknadu za prijenos električne energije,</w:t>
      </w:r>
      <w:r w:rsidR="009B37E9" w:rsidRPr="00B47BDA">
        <w:t xml:space="preserve"> osigurati i financijska sredstva za </w:t>
      </w:r>
      <w:r w:rsidR="00047C44" w:rsidRPr="00B47BDA">
        <w:t>uslug</w:t>
      </w:r>
      <w:r w:rsidR="00195A06" w:rsidRPr="00B47BDA">
        <w:t>e</w:t>
      </w:r>
      <w:r w:rsidR="00047C44" w:rsidRPr="00B47BDA">
        <w:t xml:space="preserve"> sustava s naglaskom na </w:t>
      </w:r>
      <w:r w:rsidR="009B37E9" w:rsidRPr="00B47BDA">
        <w:t>uravnoteženje sustava</w:t>
      </w:r>
      <w:r w:rsidR="00047C44" w:rsidRPr="00B47BDA">
        <w:t xml:space="preserve">. Osiguravanje usluga postiže se, između ostalog, kroz </w:t>
      </w:r>
      <w:r w:rsidR="009B37E9" w:rsidRPr="00B47BDA">
        <w:t xml:space="preserve">nabavu pomoćnih usluga </w:t>
      </w:r>
      <w:r w:rsidR="00047C44" w:rsidRPr="00B47BDA">
        <w:t>(najveći dio odnosi se na usluge uravnoteženja za</w:t>
      </w:r>
      <w:r w:rsidR="009B37E9" w:rsidRPr="00B47BDA">
        <w:t xml:space="preserve"> regulaciju frekvencije i snage</w:t>
      </w:r>
      <w:r w:rsidR="00B271EB">
        <w:t>).</w:t>
      </w:r>
    </w:p>
    <w:p w14:paraId="575BFDC8" w14:textId="6FD27ABC" w:rsidR="00700963" w:rsidRPr="00B47BDA" w:rsidRDefault="00047C44" w:rsidP="63259912">
      <w:pPr>
        <w:rPr>
          <w:highlight w:val="yellow"/>
        </w:rPr>
      </w:pPr>
      <w:r w:rsidRPr="63259912">
        <w:t>Također, potrebno je</w:t>
      </w:r>
      <w:r w:rsidR="00A86B4F" w:rsidRPr="63259912">
        <w:t>,</w:t>
      </w:r>
      <w:r w:rsidRPr="63259912">
        <w:t xml:space="preserve"> kroz naknadu za prijenos električne energije, s c</w:t>
      </w:r>
      <w:r w:rsidR="00131655" w:rsidRPr="63259912">
        <w:t>i</w:t>
      </w:r>
      <w:r w:rsidRPr="63259912">
        <w:t xml:space="preserve">ljem otklanjanje očekivanih zagušenja u prijenosnoj mreži osigurati </w:t>
      </w:r>
      <w:r w:rsidR="009B37E9" w:rsidRPr="63259912">
        <w:t xml:space="preserve">financijska sredstva </w:t>
      </w:r>
      <w:r w:rsidRPr="63259912">
        <w:t>za redispečiranje</w:t>
      </w:r>
      <w:r w:rsidR="009B37E9" w:rsidRPr="63259912">
        <w:t xml:space="preserve"> proizvodnih postrojenja radi otklanjanja povremenih ograničenja u prijenosnoj mreži.</w:t>
      </w:r>
      <w:r w:rsidRPr="63259912">
        <w:t xml:space="preserve"> Iznosi sredstava ovisit će o razini integracije OIE u Hrvatskoj </w:t>
      </w:r>
      <w:r w:rsidR="00A127EE" w:rsidRPr="63259912">
        <w:t>i</w:t>
      </w:r>
      <w:r w:rsidRPr="63259912">
        <w:t xml:space="preserve"> regiji te razvoju prijenosne mreže, a očekuje se da će u budućnosti </w:t>
      </w:r>
      <w:r w:rsidR="00AA652E" w:rsidRPr="63259912">
        <w:t>dosegnuti značajne iznose</w:t>
      </w:r>
      <w:r w:rsidRPr="63259912">
        <w:t>.</w:t>
      </w:r>
    </w:p>
    <w:p w14:paraId="5DFFCADD" w14:textId="644E474C" w:rsidR="00C704F7" w:rsidRPr="00B47BDA" w:rsidRDefault="00C704F7" w:rsidP="007B3810">
      <w:pPr>
        <w:pStyle w:val="Mjeranaslov"/>
      </w:pPr>
      <w:r w:rsidRPr="00B47BDA">
        <w:t>UET-2</w:t>
      </w:r>
      <w:r w:rsidR="00174A1B">
        <w:t xml:space="preserve"> </w:t>
      </w:r>
      <w:r w:rsidRPr="00B47BDA">
        <w:tab/>
      </w:r>
      <w:r w:rsidR="00F42C78" w:rsidRPr="00B47BDA">
        <w:t>R</w:t>
      </w:r>
      <w:r w:rsidRPr="00B47BDA">
        <w:t>azvoj plinskog transportnog sustava</w:t>
      </w:r>
    </w:p>
    <w:p w14:paraId="23B04717" w14:textId="77777777" w:rsidR="00964DD6" w:rsidRPr="00B47BDA" w:rsidRDefault="00964DD6" w:rsidP="004623DD">
      <w:r w:rsidRPr="00B47BDA">
        <w:t>Financijska mjera; provedba 2021. – 2030.</w:t>
      </w:r>
    </w:p>
    <w:p w14:paraId="32844E15" w14:textId="4BA1E08E" w:rsidR="001300C6" w:rsidRPr="00B47BDA" w:rsidRDefault="001300C6" w:rsidP="004623DD">
      <w:r w:rsidRPr="00B47BDA">
        <w:rPr>
          <w:b/>
        </w:rPr>
        <w:lastRenderedPageBreak/>
        <w:t>Cilj i opis mjere</w:t>
      </w:r>
      <w:r w:rsidRPr="00B47BDA">
        <w:t>: Planiranje razvoja transportnog plinskog sustava provodi se kroz izradu Desetogodišnjeg plana razvoja plinskog transportnog sustava. Sukladno Zakonu o tržištu plina (</w:t>
      </w:r>
      <w:r w:rsidR="00CE69DE">
        <w:t>„</w:t>
      </w:r>
      <w:r w:rsidR="00071A4F" w:rsidRPr="00071A4F">
        <w:t xml:space="preserve">Narodne </w:t>
      </w:r>
      <w:r w:rsidR="00A97AE7">
        <w:t>novine</w:t>
      </w:r>
      <w:r w:rsidR="00CE69DE">
        <w:t>“</w:t>
      </w:r>
      <w:r w:rsidR="00071A4F" w:rsidRPr="00071A4F">
        <w:t>, br</w:t>
      </w:r>
      <w:r w:rsidR="00975DC5">
        <w:t>.</w:t>
      </w:r>
      <w:r w:rsidRPr="00B47BDA">
        <w:t xml:space="preserve"> 18</w:t>
      </w:r>
      <w:r w:rsidR="005B41DA">
        <w:t>/18</w:t>
      </w:r>
      <w:r w:rsidR="00CE69DE">
        <w:t>.</w:t>
      </w:r>
      <w:r w:rsidRPr="00B47BDA">
        <w:t xml:space="preserve"> i 23/20</w:t>
      </w:r>
      <w:r w:rsidR="00CE69DE">
        <w:t>.</w:t>
      </w:r>
      <w:r w:rsidRPr="00B47BDA">
        <w:t>), operator transportnog sustava dužan je izraditi desetogodišnji plan razvoja transportnog sustava te ga dostaviti HERA-i na odobrenje svake dvije godine. U trenutku izrade ovog dokumenta relevantan je Desetogodišnji plan razvoja plinskog transportnog sustava Republike Hrvatske 2021.-2030. Plan će se kontinuirano ažurirati tijekom čitavog razdoblja provedbe ovog dokumenta.</w:t>
      </w:r>
    </w:p>
    <w:p w14:paraId="18B44510" w14:textId="2EE97624" w:rsidR="001300C6" w:rsidRPr="00B47BDA" w:rsidRDefault="001300C6" w:rsidP="004623DD">
      <w:pPr>
        <w:rPr>
          <w:b/>
          <w:color w:val="000000"/>
        </w:rPr>
      </w:pPr>
      <w:r w:rsidRPr="00B47BDA">
        <w:rPr>
          <w:b/>
          <w:color w:val="000000"/>
        </w:rPr>
        <w:t>Aktivnosti:</w:t>
      </w:r>
      <w:r w:rsidRPr="00B47BDA" w:rsidDel="00884CDB">
        <w:t xml:space="preserve"> </w:t>
      </w:r>
      <w:r w:rsidR="00C57563">
        <w:t>P</w:t>
      </w:r>
      <w:r w:rsidRPr="00B47BDA">
        <w:t>rema Desetogodišnjem planu razvoja transportnog sustava</w:t>
      </w:r>
      <w:r w:rsidR="00164A12">
        <w:t>.</w:t>
      </w:r>
    </w:p>
    <w:p w14:paraId="56CA2A96" w14:textId="6A98F0A4" w:rsidR="001300C6" w:rsidRPr="00B47BDA" w:rsidRDefault="001300C6" w:rsidP="63259912">
      <w:pPr>
        <w:rPr>
          <w:rFonts w:eastAsia="Calibri"/>
        </w:rPr>
      </w:pPr>
      <w:r w:rsidRPr="63259912">
        <w:rPr>
          <w:b/>
          <w:bCs/>
        </w:rPr>
        <w:t xml:space="preserve">Sredstva potrebna za provedbu: </w:t>
      </w:r>
      <w:r w:rsidRPr="63259912">
        <w:t xml:space="preserve">903 milijuna </w:t>
      </w:r>
      <w:r w:rsidR="006A3BF7" w:rsidRPr="63259912">
        <w:t>EUR</w:t>
      </w:r>
      <w:r w:rsidRPr="63259912">
        <w:t xml:space="preserve"> + 749 milijuna </w:t>
      </w:r>
      <w:r w:rsidR="006A3BF7" w:rsidRPr="63259912">
        <w:t>EUR</w:t>
      </w:r>
      <w:r w:rsidRPr="63259912">
        <w:t xml:space="preserve"> uz izgradnju </w:t>
      </w:r>
      <w:r w:rsidR="0097191A" w:rsidRPr="63259912">
        <w:t xml:space="preserve">Jonsko-jadranskog plinovoda i </w:t>
      </w:r>
      <w:r w:rsidRPr="63259912">
        <w:t>južne plinske interkonekcije s BIH</w:t>
      </w:r>
      <w:r w:rsidR="00657D5F" w:rsidRPr="63259912">
        <w:t>.</w:t>
      </w:r>
    </w:p>
    <w:p w14:paraId="24D0AA0A" w14:textId="67C71441" w:rsidR="006E787F" w:rsidRPr="00B47BDA" w:rsidRDefault="006E787F" w:rsidP="004623DD">
      <w:pPr>
        <w:rPr>
          <w:rFonts w:eastAsia="Calibri"/>
        </w:rPr>
      </w:pPr>
      <w:r w:rsidRPr="00B47BDA">
        <w:rPr>
          <w:b/>
        </w:rPr>
        <w:t xml:space="preserve">Izvori financiranja: </w:t>
      </w:r>
      <w:r w:rsidR="00C57563">
        <w:t>S</w:t>
      </w:r>
      <w:r w:rsidR="007C5741" w:rsidRPr="00B47BDA">
        <w:t>redstva društva i europski fondov</w:t>
      </w:r>
      <w:r w:rsidR="00787D38">
        <w:t>i</w:t>
      </w:r>
      <w:r w:rsidR="00E062D3">
        <w:t>, REPOWER</w:t>
      </w:r>
      <w:r w:rsidR="00274A1F">
        <w:t>.</w:t>
      </w:r>
    </w:p>
    <w:p w14:paraId="74180A89" w14:textId="3596582B" w:rsidR="006E787F" w:rsidRPr="00B47BDA" w:rsidRDefault="006E787F" w:rsidP="004623DD">
      <w:r w:rsidRPr="007B3810">
        <w:rPr>
          <w:b/>
          <w:bCs/>
        </w:rPr>
        <w:t>Izvršno tijelo:</w:t>
      </w:r>
      <w:r w:rsidRPr="00B47BDA">
        <w:t xml:space="preserve"> Plinacro</w:t>
      </w:r>
      <w:r w:rsidR="00164A12">
        <w:t>.</w:t>
      </w:r>
    </w:p>
    <w:p w14:paraId="59591FDB" w14:textId="495F87C1" w:rsidR="006E787F" w:rsidRPr="00B47BDA" w:rsidRDefault="006E787F" w:rsidP="004623DD">
      <w:pPr>
        <w:rPr>
          <w:rFonts w:eastAsia="Calibri"/>
        </w:rPr>
      </w:pPr>
      <w:r w:rsidRPr="007B3810">
        <w:rPr>
          <w:b/>
          <w:bCs/>
        </w:rPr>
        <w:t>Tijelo za praćenje:</w:t>
      </w:r>
      <w:r w:rsidRPr="00B47BDA">
        <w:t xml:space="preserve"> </w:t>
      </w:r>
      <w:r w:rsidR="001300C6" w:rsidRPr="00B47BDA">
        <w:t>MINGO</w:t>
      </w:r>
      <w:r w:rsidR="00164A12">
        <w:t>.</w:t>
      </w:r>
    </w:p>
    <w:p w14:paraId="4B27F896" w14:textId="469B2C76" w:rsidR="006E787F" w:rsidRPr="00B47BDA" w:rsidRDefault="006E787F" w:rsidP="004623DD">
      <w:pPr>
        <w:rPr>
          <w:rFonts w:eastAsia="Calibri"/>
        </w:rPr>
      </w:pPr>
      <w:r w:rsidRPr="00B47BDA">
        <w:rPr>
          <w:b/>
        </w:rPr>
        <w:t xml:space="preserve">Učinak: </w:t>
      </w:r>
      <w:r w:rsidR="00C57563">
        <w:t>S</w:t>
      </w:r>
      <w:r w:rsidRPr="00B47BDA">
        <w:t xml:space="preserve">iguran i pouzdan rad </w:t>
      </w:r>
      <w:r w:rsidR="00B666BD" w:rsidRPr="00B47BDA">
        <w:t>plinskog transpo</w:t>
      </w:r>
      <w:r w:rsidR="00ED7182" w:rsidRPr="00B47BDA">
        <w:t>r</w:t>
      </w:r>
      <w:r w:rsidR="00B666BD" w:rsidRPr="00B47BDA">
        <w:t>tnog sustava</w:t>
      </w:r>
      <w:r w:rsidR="00657D5F" w:rsidRPr="00B47BDA">
        <w:t>.</w:t>
      </w:r>
    </w:p>
    <w:p w14:paraId="57787F23" w14:textId="5E56D8BC" w:rsidR="006E787F" w:rsidRPr="00B47BDA" w:rsidRDefault="006E787F" w:rsidP="004623DD">
      <w:pPr>
        <w:rPr>
          <w:rFonts w:eastAsia="Calibri"/>
        </w:rPr>
      </w:pPr>
      <w:r w:rsidRPr="00B47BDA">
        <w:rPr>
          <w:b/>
        </w:rPr>
        <w:t>Metoda praćenja:</w:t>
      </w:r>
      <w:r w:rsidRPr="00B47BDA">
        <w:t xml:space="preserve"> </w:t>
      </w:r>
      <w:r w:rsidR="00C57563">
        <w:t>I</w:t>
      </w:r>
      <w:r w:rsidRPr="00B47BDA">
        <w:t>zvještaji HERA-i</w:t>
      </w:r>
      <w:r w:rsidR="00164A12">
        <w:t>.</w:t>
      </w:r>
    </w:p>
    <w:p w14:paraId="44B24A17" w14:textId="6B954132" w:rsidR="006E787F" w:rsidRPr="00B47BDA" w:rsidRDefault="006E787F" w:rsidP="63259912">
      <w:pPr>
        <w:rPr>
          <w:rFonts w:eastAsia="Calibri"/>
        </w:rPr>
      </w:pPr>
      <w:r w:rsidRPr="63259912">
        <w:rPr>
          <w:b/>
          <w:bCs/>
        </w:rPr>
        <w:t xml:space="preserve">Povezanost s drugim dimenzijama: </w:t>
      </w:r>
      <w:r w:rsidR="00C57563" w:rsidRPr="63259912">
        <w:t>D</w:t>
      </w:r>
      <w:r w:rsidR="000E44C4" w:rsidRPr="63259912">
        <w:t>ekarbonizacija – OIE, energetska učinkovitost, energetska sigurnost</w:t>
      </w:r>
      <w:r w:rsidR="00AF4D63" w:rsidRPr="63259912">
        <w:t>, istraživanje, inovacije i konkurentnost</w:t>
      </w:r>
      <w:r w:rsidR="00657D5F" w:rsidRPr="63259912">
        <w:t>.</w:t>
      </w:r>
    </w:p>
    <w:p w14:paraId="4EE13064" w14:textId="73B7B555" w:rsidR="00AB708F" w:rsidRDefault="00AB708F" w:rsidP="007B3810">
      <w:pPr>
        <w:pStyle w:val="Mjeranaslov"/>
      </w:pPr>
      <w:r w:rsidRPr="00B47BDA">
        <w:t>UET-</w:t>
      </w:r>
      <w:r w:rsidR="0093001E">
        <w:t>3</w:t>
      </w:r>
      <w:r w:rsidR="00171D24">
        <w:t xml:space="preserve"> </w:t>
      </w:r>
      <w:r w:rsidRPr="00B47BDA">
        <w:tab/>
        <w:t xml:space="preserve">Opremanje transportnog plinskog sustava za buduću mogućnost transporta do 100 % vodika </w:t>
      </w:r>
    </w:p>
    <w:p w14:paraId="62528A7E" w14:textId="721B841D" w:rsidR="00F1485E" w:rsidRPr="00F1485E" w:rsidRDefault="00F1485E" w:rsidP="007B3810">
      <w:pPr>
        <w:pStyle w:val="Mjeranaslov"/>
        <w:rPr>
          <w:b w:val="0"/>
          <w:bCs w:val="0"/>
          <w:color w:val="auto"/>
        </w:rPr>
      </w:pPr>
      <w:r w:rsidRPr="00F1485E">
        <w:rPr>
          <w:b w:val="0"/>
          <w:bCs w:val="0"/>
          <w:color w:val="auto"/>
        </w:rPr>
        <w:t>Financijska, okolišna i tehnička mjera; provedba 202</w:t>
      </w:r>
      <w:r w:rsidR="002A4AA2">
        <w:rPr>
          <w:b w:val="0"/>
          <w:bCs w:val="0"/>
          <w:color w:val="auto"/>
        </w:rPr>
        <w:t>5</w:t>
      </w:r>
      <w:r w:rsidRPr="00F1485E">
        <w:rPr>
          <w:b w:val="0"/>
          <w:bCs w:val="0"/>
          <w:color w:val="auto"/>
        </w:rPr>
        <w:t xml:space="preserve">.-2030. </w:t>
      </w:r>
    </w:p>
    <w:p w14:paraId="300A52AE" w14:textId="5CAF674A" w:rsidR="00AB708F" w:rsidRPr="00B47BDA" w:rsidRDefault="007B3810" w:rsidP="004623DD">
      <w:pPr>
        <w:pStyle w:val="NormalWeb"/>
      </w:pPr>
      <w:r w:rsidRPr="63259912">
        <w:rPr>
          <w:b/>
          <w:bCs/>
        </w:rPr>
        <w:t>Cilj i opis mjere</w:t>
      </w:r>
      <w:r w:rsidRPr="63259912">
        <w:t xml:space="preserve">: </w:t>
      </w:r>
      <w:r w:rsidR="00AB708F" w:rsidRPr="63259912">
        <w:t xml:space="preserve">Ova mjera obuhvaća projekt planiranja i rekonstrukcije plinskih čvorova te sigurnosne i mjerne opreme za prihvat i dodavanje dekarboniziranih plinova u plinski transportni sustav. To uključuje razvoj „pametne plinske mreže" koja uključuje napredne digitalne sustave i komponente, upravljačke sustave, senzorske tehnologije, uređaje za upravljanje protokom plina i kvalitetom plina (kompresori, setovi za kontrolu protoka plina, oprema za rekonstrukciju i kromatografiju itd.), kako bi se omogućilo interaktivno i inteligentno praćenje, mjerenje, kontrola kvalitete i upravljanje prijemom i prijenosom dekarboniziranih plinova. Realizacijom projekta omogućit će se prihvat i miješanje dekarboniziranih plinova (biometana i vodika) u plinski transportni sustav, čime će se smanjiti emisije stakleničkih plinova i omogućiti lakši prelazak na transportni sustav koji će u budućnosti transportirati 100 % dekarbonizirane plinove. Projekt će pridonijeti ostvarenju ciljeva postavljenih Europskim zelenim planom. Realizacija ove mjere očekuje se u sljedećih 10-15 godina, a prema prvim okvirnim procjenama, potrebna ulaganja iznose 54 milijuna </w:t>
      </w:r>
      <w:r w:rsidR="006A3BF7" w:rsidRPr="63259912">
        <w:t>EUR</w:t>
      </w:r>
      <w:r w:rsidR="00AB708F" w:rsidRPr="63259912">
        <w:t xml:space="preserve">. </w:t>
      </w:r>
    </w:p>
    <w:p w14:paraId="1712BBB3" w14:textId="07847B1C" w:rsidR="00AB708F" w:rsidRPr="00B47BDA" w:rsidRDefault="00AB708F" w:rsidP="00C7514F">
      <w:pPr>
        <w:pStyle w:val="NormalWeb"/>
      </w:pPr>
      <w:r w:rsidRPr="63259912">
        <w:t>Sukladno Prilogu II. 3.(a) Uredbe (EU) 2022/869</w:t>
      </w:r>
      <w:r w:rsidR="00C7514F" w:rsidRPr="63259912">
        <w:t xml:space="preserve"> Europskog parlamenta i Vijeća od 30. svibnja 2022. o smjernicama za transeuropsku energetsku infrastrukturu, izmjeni uredaba (EZ) br. 715/2009, (EU) 2019/942 i (EU) 2019/943 i direktiva 2009/73/EZ i (EU) 2019/944 te stavljanju izvan snage Uredbe (EU) br. 347/2013, (SL L 152, 3.6.2022</w:t>
      </w:r>
      <w:r w:rsidR="007E4071" w:rsidRPr="63259912">
        <w:t>)</w:t>
      </w:r>
      <w:r w:rsidRPr="63259912">
        <w:t>, projekt pripada kategoriji transeuropske energetske infrastrukture za vodik: „</w:t>
      </w:r>
      <w:r w:rsidRPr="63259912">
        <w:rPr>
          <w:i/>
          <w:iCs/>
        </w:rPr>
        <w:t xml:space="preserve">Cjevovodi za transport vodika, uglavnom </w:t>
      </w:r>
      <w:r w:rsidRPr="63259912">
        <w:rPr>
          <w:i/>
          <w:iCs/>
        </w:rPr>
        <w:lastRenderedPageBreak/>
        <w:t>pod visokim tlakom, uključujući prenamijenjenu infrastrukturu prirodnog plina, koja na transparentnoj i nediskriminirajućoj osnovi omogućuje pristup većem broju korisnika mreže“</w:t>
      </w:r>
      <w:r w:rsidRPr="63259912">
        <w:t>.</w:t>
      </w:r>
    </w:p>
    <w:p w14:paraId="44B77760" w14:textId="77777777" w:rsidR="00AB708F" w:rsidRPr="00B47BDA" w:rsidRDefault="00AB708F" w:rsidP="004623DD">
      <w:pPr>
        <w:pStyle w:val="NormalWeb"/>
      </w:pPr>
      <w:r w:rsidRPr="63259912">
        <w:t>Ovaj Projekt dio je hrvatske mreže za vodik, a kroz ostale planirane projekte (H</w:t>
      </w:r>
      <w:r w:rsidRPr="63259912">
        <w:rPr>
          <w:vertAlign w:val="subscript"/>
        </w:rPr>
        <w:t>2</w:t>
      </w:r>
      <w:r w:rsidRPr="63259912">
        <w:t xml:space="preserve"> interkonekcija HR-HU (HYD-N-1255), H</w:t>
      </w:r>
      <w:r w:rsidRPr="63259912">
        <w:rPr>
          <w:vertAlign w:val="subscript"/>
        </w:rPr>
        <w:t>2</w:t>
      </w:r>
      <w:r w:rsidRPr="63259912">
        <w:t xml:space="preserve"> interkonekcija HR-SLO (Lučko-Zabok-Rogatec) HYD-N-619, H</w:t>
      </w:r>
      <w:r w:rsidRPr="63259912">
        <w:rPr>
          <w:vertAlign w:val="subscript"/>
        </w:rPr>
        <w:t>2</w:t>
      </w:r>
      <w:r w:rsidRPr="63259912">
        <w:t xml:space="preserve"> opskrbni sustav Hrvatska-Sjever HYD-N-1274 i H</w:t>
      </w:r>
      <w:r w:rsidRPr="63259912">
        <w:rPr>
          <w:vertAlign w:val="subscript"/>
        </w:rPr>
        <w:t>2</w:t>
      </w:r>
      <w:r w:rsidRPr="63259912">
        <w:t xml:space="preserve"> opskrbni sustav Hrvatska-Jug HYD-N-1307), zajedno s drugim projektima sukladno odredbama Hrvatske vodikove strategije od 2021. do 2050. će omogućiti prekogranični transport obnovljivog vodika između Hrvatske, Mađarske i Slovenije. Također, bit će dio neizostavne poveznice u regionalnoj mreži prijenosa vodika od potencijalnog terminala za tekući vodik na otoku Krku, iz istočne Europe, Balkana te zemalja južnog i istočnog Mediterana do krajnjih korisnika vodika u Hrvatskoj i rastućem regionalnom i europskom tržištu vodika. Projekt doprinosi koridoru E (Istočna i Jugoistočna Europa) europske okosnice vodikove mreže.</w:t>
      </w:r>
    </w:p>
    <w:p w14:paraId="4D6B844D" w14:textId="77777777" w:rsidR="00AB708F" w:rsidRPr="00B47BDA" w:rsidRDefault="00AB708F" w:rsidP="004623DD">
      <w:pPr>
        <w:pStyle w:val="NormalWeb"/>
      </w:pPr>
      <w:r w:rsidRPr="63259912">
        <w:t>Provedba projekta omogućit će prilagodbu postojećeg hrvatskog plinskog transportnog sustava za transport vodika te će omogućiti povećanje kapaciteta za transport vodika na postojećim interkonekcijama sa susjednim državama članicama EU (Hrvatska/Slovenija i Hrvatska/Mađarska), kao i na potencijalnim budućim interkonekcijama. Osim toga, omogućit će transport plinova sa svih proizvodnih lokacija i omogućiti prijenos vodika preko granica država članica EU, kao i povećanje prijenosnog kapaciteta vodika za više od 10 % za sve prenamijenjene ili novoizgrađene H</w:t>
      </w:r>
      <w:r w:rsidRPr="63259912">
        <w:rPr>
          <w:vertAlign w:val="subscript"/>
        </w:rPr>
        <w:t>2</w:t>
      </w:r>
      <w:r w:rsidRPr="63259912">
        <w:t xml:space="preserve"> interkonekcije, u usporedbi sa stanjem prije realizacije projekta. </w:t>
      </w:r>
    </w:p>
    <w:p w14:paraId="30BF636D" w14:textId="77777777" w:rsidR="00AB708F" w:rsidRPr="00B47BDA" w:rsidRDefault="00AB708F" w:rsidP="004623DD">
      <w:pPr>
        <w:pStyle w:val="NormalWeb"/>
      </w:pPr>
      <w:r w:rsidRPr="00B47BDA">
        <w:t>Projekt će omogućiti prijenos vodika proizvedenog elektrolizom što će pomoći integraciji obnovljivih izvora energije i pomoći uravnoteženju prijenosnih i distribucijskih sustava električne energije. U istom kanalu cjevovoda bit će položen novi optički komunikacijski kabel koji će omogućiti proširenje postojeće optičke telekomunikacijske mreže.</w:t>
      </w:r>
    </w:p>
    <w:p w14:paraId="39562431" w14:textId="77777777" w:rsidR="00AB708F" w:rsidRPr="00B47BDA" w:rsidRDefault="00AB708F" w:rsidP="004623DD">
      <w:pPr>
        <w:pStyle w:val="NormalWeb"/>
      </w:pPr>
      <w:r w:rsidRPr="63259912">
        <w:t>Projekt će biti dio hrvatske pametne plinske mreže i moći će transportirati 100% vodika. U njegovoj implementaciji i sustavima upravljanja koristit će se najsuvremenija informacijska rješenja, inovativne tehnologije i kibernetička sigurnost. Do faze potpunog prelaska na transport 100 % vodika, projekt će omogućiti transport, odnosno miješanje drugih obnovljivih plinova poput biometana, u različitim postotcima.</w:t>
      </w:r>
    </w:p>
    <w:p w14:paraId="38B72C3D" w14:textId="77777777" w:rsidR="00AB708F" w:rsidRPr="00B47BDA" w:rsidRDefault="00AB708F" w:rsidP="004623DD">
      <w:pPr>
        <w:pStyle w:val="NormalWeb"/>
      </w:pPr>
      <w:r w:rsidRPr="00B47BDA">
        <w:t>Omogućit će integraciju tržišta, sigurnost opskrbe, razvoj tržišta vodika i smanjenje potrošnje prirodnog plina te smanjenje emisija CO</w:t>
      </w:r>
      <w:r w:rsidRPr="00B47BDA">
        <w:rPr>
          <w:vertAlign w:val="subscript"/>
        </w:rPr>
        <w:t>2</w:t>
      </w:r>
      <w:r w:rsidRPr="00B47BDA">
        <w:t xml:space="preserve">. </w:t>
      </w:r>
    </w:p>
    <w:p w14:paraId="0546C1B1" w14:textId="501D0CCC" w:rsidR="00261CA0" w:rsidRPr="00B47BDA" w:rsidRDefault="00261CA0" w:rsidP="004623DD">
      <w:pPr>
        <w:rPr>
          <w:rFonts w:eastAsia="Calibri"/>
        </w:rPr>
      </w:pPr>
      <w:r w:rsidRPr="00B47BDA">
        <w:rPr>
          <w:b/>
        </w:rPr>
        <w:t>Aktivnosti:</w:t>
      </w:r>
      <w:r w:rsidRPr="00B47BDA">
        <w:t xml:space="preserve"> </w:t>
      </w:r>
      <w:r w:rsidR="00C57563">
        <w:t>O</w:t>
      </w:r>
      <w:r w:rsidRPr="00B47BDA">
        <w:t>premanje postojećih plinovoda i druge imovine povezane s plinskom mrežom za mogućnost miješanja (bio)metana i vodika.</w:t>
      </w:r>
    </w:p>
    <w:p w14:paraId="2ADF627C" w14:textId="4692A71B" w:rsidR="00261CA0" w:rsidRPr="00B47BDA" w:rsidRDefault="00261CA0" w:rsidP="004623DD">
      <w:r w:rsidRPr="00801AB0">
        <w:rPr>
          <w:b/>
          <w:bCs/>
        </w:rPr>
        <w:t>Sredstva potrebna za provedbu:</w:t>
      </w:r>
      <w:r w:rsidRPr="00B47BDA">
        <w:t xml:space="preserve"> 54 milijuna </w:t>
      </w:r>
      <w:r w:rsidR="006A3BF7">
        <w:t>EUR</w:t>
      </w:r>
      <w:r w:rsidR="00164A12">
        <w:t>.</w:t>
      </w:r>
    </w:p>
    <w:p w14:paraId="4F5324AD" w14:textId="39275F94" w:rsidR="00261CA0" w:rsidRPr="00B47BDA" w:rsidRDefault="00261CA0" w:rsidP="004623DD">
      <w:r w:rsidRPr="00B47BDA">
        <w:rPr>
          <w:b/>
        </w:rPr>
        <w:t xml:space="preserve">Izvori financiranja: </w:t>
      </w:r>
      <w:r w:rsidR="00C57563">
        <w:t>S</w:t>
      </w:r>
      <w:r w:rsidRPr="00B47BDA">
        <w:t>redstva društva i europski fondovi</w:t>
      </w:r>
      <w:r w:rsidR="00164A12">
        <w:t>.</w:t>
      </w:r>
    </w:p>
    <w:p w14:paraId="3F7C639C" w14:textId="58A08C6E" w:rsidR="00261CA0" w:rsidRPr="00B47BDA" w:rsidRDefault="00261CA0" w:rsidP="004623DD">
      <w:r w:rsidRPr="00801AB0">
        <w:rPr>
          <w:b/>
          <w:bCs/>
        </w:rPr>
        <w:t>Izvršno tijelo:</w:t>
      </w:r>
      <w:r w:rsidRPr="00B47BDA">
        <w:t xml:space="preserve"> Plinacro</w:t>
      </w:r>
      <w:r w:rsidR="00164A12">
        <w:t>.</w:t>
      </w:r>
    </w:p>
    <w:p w14:paraId="62950109" w14:textId="0073A00A" w:rsidR="00261CA0" w:rsidRPr="00B47BDA" w:rsidRDefault="00261CA0" w:rsidP="004623DD">
      <w:r w:rsidRPr="00801AB0">
        <w:rPr>
          <w:b/>
          <w:bCs/>
        </w:rPr>
        <w:t>Tijela za praćenje:</w:t>
      </w:r>
      <w:r w:rsidRPr="00B47BDA">
        <w:t xml:space="preserve"> MINGO</w:t>
      </w:r>
      <w:r w:rsidR="00164A12">
        <w:t>.</w:t>
      </w:r>
    </w:p>
    <w:p w14:paraId="3629A9F1" w14:textId="77777777" w:rsidR="00261CA0" w:rsidRPr="00B47BDA" w:rsidRDefault="00261CA0" w:rsidP="004623DD">
      <w:r w:rsidRPr="63259912">
        <w:rPr>
          <w:b/>
          <w:bCs/>
        </w:rPr>
        <w:lastRenderedPageBreak/>
        <w:t xml:space="preserve">Učinak: </w:t>
      </w:r>
      <w:r w:rsidRPr="63259912">
        <w:t>Integracija tržišta, između ostalog kroz povezivanje postojećih ili novih vodikovih mreža država članica EU te osiguravanje interoperabilnosti povezanih sustava; sigurnost opskrbe i fleksibilnost plinskog sustava; održivost, uključujući smanjenje emisija stakleničkih plinova povećanjem primjene obnovljivog vodika ili vodika s niskim udjelom ugljika, s naglaskom na vodik iz obnovljivih izvora; integracija obnovljivih i niskougljičnih plinova u plinsku mrežu; mogućnost fleksibilnosti i sezonskog skladištenja energije iz obnovljivih izvora.</w:t>
      </w:r>
    </w:p>
    <w:p w14:paraId="413ACD1D" w14:textId="289A451E" w:rsidR="00261CA0" w:rsidRPr="00B47BDA" w:rsidRDefault="00261CA0" w:rsidP="004623DD">
      <w:pPr>
        <w:rPr>
          <w:rFonts w:eastAsia="Calibri"/>
        </w:rPr>
      </w:pPr>
      <w:r w:rsidRPr="00B47BDA">
        <w:rPr>
          <w:b/>
        </w:rPr>
        <w:t>Metoda praćenja:</w:t>
      </w:r>
      <w:r w:rsidRPr="00B47BDA">
        <w:t xml:space="preserve"> </w:t>
      </w:r>
      <w:r w:rsidR="00C57563">
        <w:t>I</w:t>
      </w:r>
      <w:r w:rsidRPr="00B47BDA">
        <w:t>zvještaji HERA-i</w:t>
      </w:r>
      <w:r w:rsidR="007257E6">
        <w:t>.</w:t>
      </w:r>
    </w:p>
    <w:p w14:paraId="0F140D07" w14:textId="44B9C7C8" w:rsidR="00261CA0" w:rsidRPr="00B47BDA" w:rsidRDefault="00261CA0" w:rsidP="004623DD">
      <w:r w:rsidRPr="00B47BDA">
        <w:rPr>
          <w:b/>
        </w:rPr>
        <w:t xml:space="preserve">Pokazatelj provedbe mjere (indikator): </w:t>
      </w:r>
      <w:r w:rsidR="00C57563">
        <w:t>S</w:t>
      </w:r>
      <w:r w:rsidRPr="00B47BDA">
        <w:t>igurnost i funkcionalnost upravljanja plinskim transportnim sustavom, fleksibilnost plinskog sustava, interoperabilnost povezanih sustava</w:t>
      </w:r>
      <w:r w:rsidR="007257E6">
        <w:t>.</w:t>
      </w:r>
    </w:p>
    <w:p w14:paraId="51C0DC88" w14:textId="69E7B6B9" w:rsidR="00261CA0" w:rsidRPr="00B47BDA" w:rsidRDefault="00261CA0" w:rsidP="63259912">
      <w:pPr>
        <w:rPr>
          <w:rFonts w:eastAsia="Calibri"/>
        </w:rPr>
      </w:pPr>
      <w:r w:rsidRPr="63259912">
        <w:rPr>
          <w:b/>
          <w:bCs/>
        </w:rPr>
        <w:t xml:space="preserve">Povezanost s drugim dimenzijama: </w:t>
      </w:r>
      <w:r w:rsidR="00C57563" w:rsidRPr="63259912">
        <w:t>D</w:t>
      </w:r>
      <w:r w:rsidRPr="63259912">
        <w:t>ekarbonizacija – OIE, energetska učinkovitost, energetska sigurnost.</w:t>
      </w:r>
    </w:p>
    <w:p w14:paraId="15CAAA4E" w14:textId="540432EB" w:rsidR="00261CA0" w:rsidRPr="00B47BDA" w:rsidRDefault="00261CA0" w:rsidP="004623DD">
      <w:pPr>
        <w:rPr>
          <w:rFonts w:eastAsia="Calibri"/>
        </w:rPr>
      </w:pPr>
      <w:r w:rsidRPr="00B47BDA">
        <w:rPr>
          <w:rFonts w:eastAsia="Calibri"/>
          <w:b/>
        </w:rPr>
        <w:t xml:space="preserve">Istraživanje i razvoj: </w:t>
      </w:r>
      <w:r w:rsidR="00A21AA7">
        <w:rPr>
          <w:rFonts w:eastAsia="Calibri"/>
        </w:rPr>
        <w:t>N</w:t>
      </w:r>
      <w:r w:rsidRPr="00B47BDA">
        <w:rPr>
          <w:rFonts w:eastAsia="Calibri"/>
        </w:rPr>
        <w:t>e u samom društvu (moguća inovativna rješenja pružatelja usluga).</w:t>
      </w:r>
    </w:p>
    <w:p w14:paraId="56BDA9F1" w14:textId="77777777" w:rsidR="008C6299" w:rsidRPr="00B47BDA" w:rsidRDefault="008C6299" w:rsidP="005C2C7E">
      <w:pPr>
        <w:pStyle w:val="Heading4"/>
        <w:numPr>
          <w:ilvl w:val="3"/>
          <w:numId w:val="175"/>
        </w:numPr>
        <w:ind w:hanging="580"/>
      </w:pPr>
      <w:r w:rsidRPr="00B47BDA">
        <w:t xml:space="preserve">Regionalna suradnja u ovom području </w:t>
      </w:r>
    </w:p>
    <w:p w14:paraId="43869605" w14:textId="77777777" w:rsidR="00546EAC" w:rsidRPr="00B47BDA" w:rsidRDefault="00546EAC" w:rsidP="004623DD">
      <w:r w:rsidRPr="00B47BDA">
        <w:t>S obzirom da je infrastruktura za prijenos energije Republike Hrvatske povezana sa sustavima susjednih zemalja, nužna je potpuna tehnička i operativna usklađenost s operatorima tih sustava, što je i regulirano odgovarajućim dokumentima.</w:t>
      </w:r>
    </w:p>
    <w:p w14:paraId="1D360680" w14:textId="77777777" w:rsidR="00546EAC" w:rsidRPr="00B47BDA" w:rsidRDefault="00546EAC" w:rsidP="004623DD">
      <w:r w:rsidRPr="63259912">
        <w:t>Planirano je sveobuhvatno povezivanje hrvatskog transportnog plinskog sustava s transportnim sustavima svih susjednih zemalja pa operator transportnog plinskog sustava već u pripremnoj fazi projekata interkonekcija intenzivno surađuje s operatorima transportnih sustava tih zemalja.</w:t>
      </w:r>
    </w:p>
    <w:p w14:paraId="1B5599C2" w14:textId="643E348B" w:rsidR="004102B4" w:rsidRPr="00B47BDA" w:rsidRDefault="00967A64" w:rsidP="004623DD">
      <w:r w:rsidRPr="00B47BDA">
        <w:t xml:space="preserve">Ostale mogućnosti regionalne suradnje u </w:t>
      </w:r>
      <w:r w:rsidR="004102B4" w:rsidRPr="00B47BDA">
        <w:t xml:space="preserve">kontekstu infrastrukture za prijenos energije opisane su okviru regionalne suradnje u dimenziji energetska sigurnost. </w:t>
      </w:r>
    </w:p>
    <w:p w14:paraId="50C61C9A" w14:textId="2D1372FB" w:rsidR="000F32E5" w:rsidRPr="00B47BDA" w:rsidRDefault="000F32E5" w:rsidP="005C2C7E">
      <w:pPr>
        <w:pStyle w:val="Heading4"/>
        <w:numPr>
          <w:ilvl w:val="3"/>
          <w:numId w:val="175"/>
        </w:numPr>
        <w:ind w:hanging="580"/>
      </w:pPr>
      <w:r w:rsidRPr="00B47BDA">
        <w:t xml:space="preserve">Financijske mjere u ovom području na nacionalnoj razini, uključujući potporu </w:t>
      </w:r>
      <w:r w:rsidR="00145227" w:rsidRPr="00B47BDA">
        <w:t>Unije i upotrebu sredstava Unije</w:t>
      </w:r>
      <w:r w:rsidRPr="00B47BDA">
        <w:t>, ako je primjenjivo.</w:t>
      </w:r>
    </w:p>
    <w:p w14:paraId="234619DF" w14:textId="603B4D51" w:rsidR="009B37E9" w:rsidRPr="00B47BDA" w:rsidRDefault="00245504" w:rsidP="004623DD">
      <w:r w:rsidRPr="00B47BDA">
        <w:t>U sljedećem razdoblju planira se niz zahvata na izgradnji novih objekata u prijenosnoj mreži HOPS-a za koje je predviđeno sufinanciranje iz Nacionalnog plana oporavka i otpornosti (NPOO), putem</w:t>
      </w:r>
      <w:r w:rsidR="002B22F6">
        <w:t xml:space="preserve"> </w:t>
      </w:r>
      <w:r w:rsidRPr="00B47BDA">
        <w:t xml:space="preserve">sredstava iz fondova EU. Osim sredstava iz fondova EU, određeni broj projekata će se sukladno važećim zakonskim propisima sufinancirati od strane novih korisnika mreže. </w:t>
      </w:r>
    </w:p>
    <w:p w14:paraId="243DCEA3" w14:textId="796A52AD" w:rsidR="00C21988" w:rsidRPr="00B47BDA" w:rsidRDefault="00C21988" w:rsidP="005C2C7E">
      <w:pPr>
        <w:pStyle w:val="Heading3"/>
        <w:numPr>
          <w:ilvl w:val="2"/>
          <w:numId w:val="175"/>
        </w:numPr>
      </w:pPr>
      <w:bookmarkStart w:id="477" w:name="_Toc531935162"/>
      <w:bookmarkStart w:id="478" w:name="_Toc531945112"/>
      <w:bookmarkStart w:id="479" w:name="_Toc6302369"/>
      <w:bookmarkStart w:id="480" w:name="_Toc187418353"/>
      <w:bookmarkStart w:id="481" w:name="_Toc193043278"/>
      <w:r w:rsidRPr="00B47BDA">
        <w:t>Integracija tržišta</w:t>
      </w:r>
      <w:bookmarkEnd w:id="477"/>
      <w:bookmarkEnd w:id="478"/>
      <w:bookmarkEnd w:id="479"/>
      <w:bookmarkEnd w:id="480"/>
      <w:bookmarkEnd w:id="481"/>
    </w:p>
    <w:p w14:paraId="331A583C" w14:textId="61C0AA57" w:rsidR="007D114A" w:rsidRPr="00B47BDA" w:rsidRDefault="007D114A" w:rsidP="005C2C7E">
      <w:pPr>
        <w:pStyle w:val="Heading4"/>
        <w:numPr>
          <w:ilvl w:val="3"/>
          <w:numId w:val="175"/>
        </w:numPr>
        <w:ind w:hanging="580"/>
      </w:pPr>
      <w:r w:rsidRPr="00B47BDA">
        <w:t xml:space="preserve">Politike i mjere koje se odnose na elemente iz </w:t>
      </w:r>
      <w:r w:rsidR="008616F5">
        <w:t>točke</w:t>
      </w:r>
      <w:r w:rsidRPr="00B47BDA">
        <w:t xml:space="preserve"> </w:t>
      </w:r>
      <w:r w:rsidR="00F34DAF">
        <w:t>2</w:t>
      </w:r>
      <w:r w:rsidRPr="00B47BDA">
        <w:t>.4.3.</w:t>
      </w:r>
    </w:p>
    <w:p w14:paraId="7EB95292" w14:textId="66EE03BD" w:rsidR="00AF7593" w:rsidRPr="00B47BDA" w:rsidRDefault="00DD1080" w:rsidP="004623DD">
      <w:r w:rsidRPr="63259912">
        <w:t>Povezivanje dan unaprijed tržišta na granici Hrvatske i Slovenije te</w:t>
      </w:r>
      <w:r w:rsidR="00550C6D" w:rsidRPr="63259912">
        <w:t xml:space="preserve"> Hrvatske i Mađarske</w:t>
      </w:r>
      <w:r w:rsidRPr="63259912">
        <w:t xml:space="preserve"> </w:t>
      </w:r>
      <w:r w:rsidR="00004613" w:rsidRPr="63259912">
        <w:t>dovelo je do značajnog</w:t>
      </w:r>
      <w:r w:rsidRPr="63259912">
        <w:t xml:space="preserve"> povećanj</w:t>
      </w:r>
      <w:r w:rsidR="00004613" w:rsidRPr="63259912">
        <w:t>a</w:t>
      </w:r>
      <w:r w:rsidRPr="63259912">
        <w:t xml:space="preserve"> likvidnosti hrvatske burze električne energije (CROPEX), povećanj</w:t>
      </w:r>
      <w:r w:rsidR="00004613" w:rsidRPr="63259912">
        <w:t>a</w:t>
      </w:r>
      <w:r w:rsidRPr="63259912">
        <w:t xml:space="preserve"> mogućnosti plasmana energije i harmonizacij</w:t>
      </w:r>
      <w:r w:rsidR="00004613" w:rsidRPr="63259912">
        <w:t>e</w:t>
      </w:r>
      <w:r w:rsidRPr="63259912">
        <w:t xml:space="preserve"> cijena. </w:t>
      </w:r>
      <w:r w:rsidR="00BB6F1A" w:rsidRPr="63259912">
        <w:t>Zakonodavni i institucionalni okvir za ostvarenje definiranih ciljeva u pogledu prekogranične povezanosti tržišta je adekvatan te nije potrebno provoditi posebne mjere. Tijek i brzina provedbe regionalnog tržišnog povezivanja</w:t>
      </w:r>
      <w:r w:rsidR="00077F3F" w:rsidRPr="63259912">
        <w:t xml:space="preserve"> u jugoistočnoj Eur</w:t>
      </w:r>
      <w:r w:rsidR="00FF1CAC" w:rsidRPr="63259912">
        <w:t>opi</w:t>
      </w:r>
      <w:r w:rsidR="00BB6F1A" w:rsidRPr="63259912">
        <w:t xml:space="preserve"> ovisit će i o spremnosti institucija u susjednim zemljama, osobito u </w:t>
      </w:r>
      <w:r w:rsidR="00AD0244" w:rsidRPr="63259912">
        <w:lastRenderedPageBreak/>
        <w:t xml:space="preserve">susjednim </w:t>
      </w:r>
      <w:r w:rsidR="00BB6F1A" w:rsidRPr="63259912">
        <w:t>zemlja</w:t>
      </w:r>
      <w:r w:rsidR="0038341F" w:rsidRPr="63259912">
        <w:t>ma</w:t>
      </w:r>
      <w:r w:rsidR="00BB6F1A" w:rsidRPr="63259912">
        <w:t xml:space="preserve"> koje </w:t>
      </w:r>
      <w:r w:rsidR="00A14BED" w:rsidRPr="63259912">
        <w:t xml:space="preserve">još </w:t>
      </w:r>
      <w:r w:rsidR="00BB6F1A" w:rsidRPr="63259912">
        <w:t>nisu članice EU</w:t>
      </w:r>
      <w:r w:rsidR="00A14BED" w:rsidRPr="63259912">
        <w:t xml:space="preserve"> (Srb</w:t>
      </w:r>
      <w:r w:rsidR="00AD0244" w:rsidRPr="63259912">
        <w:t>ija i BiH)</w:t>
      </w:r>
      <w:r w:rsidR="00BB6F1A" w:rsidRPr="63259912">
        <w:t>.</w:t>
      </w:r>
      <w:r w:rsidR="00277813" w:rsidRPr="63259912">
        <w:t xml:space="preserve"> Osim toga, u </w:t>
      </w:r>
      <w:r w:rsidR="00AB42B9" w:rsidRPr="63259912">
        <w:t>tijeku je i implementacija unutardnevne aukcije (Intraday Auctions - IDA) će se provoditi diljem Europe kako bi se omogućilo određivanje cijena prekograničnog kapaciteta u unutardnevnom vremenskom okviru, kao i za prilagođavanje novog tržišnog povezivanja koje omogućuje proizvođačima varijabilne energije iz obnovljivih izvora da ponude svoju energiju na temelju pouzdanijih predviđanja proizvodnje, čime se smanjuje neuravnoteženost uzrokovana isprekidanošću varijabilnih OIE.</w:t>
      </w:r>
    </w:p>
    <w:p w14:paraId="64B789BE" w14:textId="2D23E95F" w:rsidR="00AB42B9" w:rsidRPr="00B47BDA" w:rsidRDefault="00AF7593" w:rsidP="004623DD">
      <w:r w:rsidRPr="63259912">
        <w:t>Predviđena je i implementacija</w:t>
      </w:r>
      <w:r w:rsidR="00B24CCE" w:rsidRPr="63259912">
        <w:t xml:space="preserve"> 15-minutnih proizvoda na unutardnevnom i dan</w:t>
      </w:r>
      <w:r w:rsidR="00400B89" w:rsidRPr="63259912">
        <w:t xml:space="preserve"> </w:t>
      </w:r>
      <w:r w:rsidR="00B24CCE" w:rsidRPr="63259912">
        <w:t xml:space="preserve">unaprijed tržištu. </w:t>
      </w:r>
      <w:r w:rsidR="00400B89" w:rsidRPr="63259912">
        <w:t>Trenutno se 15-minutni proizvodi na unutardnevnom tržištu već koriste na pojedinim granicama (BE-NL, BE-DE, NL-DE, AT-DE, AT-HU, AT-SI, AT-SK, HU-SK, HU-RO i BG-RO). Ideja je da se Hrvatska priključi do Q1 2025.</w:t>
      </w:r>
      <w:r w:rsidR="00AB42B9" w:rsidRPr="63259912">
        <w:t>U skladu s EU paketom mjera za čistu energiju (CEP), povezano dan unaprijed tržište (SDAC) priprema premještanje aukcije dan unaprijed povezanog tržišta iz rezolucije 60 min na 15 min, što podrazumijeva ponudu proizvoda od 15 min. Big Beng pristup - jedan go-live za sve zone trgovanja (30</w:t>
      </w:r>
      <w:r w:rsidR="00B006E2" w:rsidRPr="63259912">
        <w:t xml:space="preserve"> </w:t>
      </w:r>
      <w:r w:rsidR="00AB42B9" w:rsidRPr="63259912">
        <w:t>min za Irsku, 15</w:t>
      </w:r>
      <w:r w:rsidR="00B006E2" w:rsidRPr="63259912">
        <w:t xml:space="preserve"> </w:t>
      </w:r>
      <w:r w:rsidR="00AB42B9" w:rsidRPr="63259912">
        <w:t>min za sve ostale zone).</w:t>
      </w:r>
      <w:r w:rsidRPr="63259912">
        <w:t xml:space="preserve"> </w:t>
      </w:r>
    </w:p>
    <w:p w14:paraId="5AD35D9E" w14:textId="4EDD0558" w:rsidR="00BB6F1A" w:rsidRPr="00B47BDA" w:rsidRDefault="00BB6F1A" w:rsidP="004623DD">
      <w:r w:rsidRPr="63259912">
        <w:t>Tržišno povezivanje značajno će pridonijeti i ostvarenju cilja povećanja konkurentnosti i likvidnosti veleprodajnog t</w:t>
      </w:r>
      <w:r w:rsidR="00B46A06" w:rsidRPr="63259912">
        <w:t>r</w:t>
      </w:r>
      <w:r w:rsidRPr="63259912">
        <w:t>žišta. Nediskriminatorni zakonski okvir te neovisnost operatora prijenosnog sustava uz adekvatan nadzor regulatora presudni su za povećanj</w:t>
      </w:r>
      <w:r w:rsidR="0041260D" w:rsidRPr="63259912">
        <w:t>e</w:t>
      </w:r>
      <w:r w:rsidRPr="63259912">
        <w:t xml:space="preserve"> broja tržišnih sudionika i konkurentnost na strani ponude.</w:t>
      </w:r>
    </w:p>
    <w:p w14:paraId="79BB6DFB" w14:textId="25507BF1" w:rsidR="00BB6F1A" w:rsidRPr="00B47BDA" w:rsidRDefault="00BB6F1A" w:rsidP="004623DD">
      <w:r w:rsidRPr="00B47BDA">
        <w:t>Dodatne mjere i aktivnosti potrebno je poduzeti kako bi se omogu</w:t>
      </w:r>
      <w:r w:rsidR="002B4247" w:rsidRPr="00B47BDA">
        <w:t>ć</w:t>
      </w:r>
      <w:r w:rsidRPr="00B47BDA">
        <w:t xml:space="preserve">ilo aktivno sudjelovanje krajnjih potrošača (kupaca) i drugih korisnika mreže na tržištu električne energije, osobito u pružanju usluga fleksibilnosti. </w:t>
      </w:r>
    </w:p>
    <w:p w14:paraId="24B2A2B6" w14:textId="109282AA" w:rsidR="00A47F97" w:rsidRPr="00B47BDA" w:rsidRDefault="00E579B7" w:rsidP="63259912">
      <w:pPr>
        <w:pStyle w:val="Heading4"/>
        <w:ind w:hanging="580"/>
      </w:pPr>
      <w:r w:rsidRPr="63259912">
        <w:t xml:space="preserve">Mjere za povećanje fleksibilnosti energetskog sustava s obzirom na proizvodnju energije iz obnovljivih izvora kao što su pametne mreže, agregacija, upravljanje potražnjom, skladištenje, distribuirana proizvodnja energije, mehanizmi za </w:t>
      </w:r>
      <w:r w:rsidR="004F524F" w:rsidRPr="63259912">
        <w:t>dispečing</w:t>
      </w:r>
      <w:r w:rsidRPr="63259912">
        <w:t>, ponovn</w:t>
      </w:r>
      <w:r w:rsidR="004F524F" w:rsidRPr="63259912">
        <w:t>i</w:t>
      </w:r>
      <w:r w:rsidRPr="63259912">
        <w:t xml:space="preserve"> </w:t>
      </w:r>
      <w:r w:rsidR="004F524F" w:rsidRPr="63259912">
        <w:t xml:space="preserve">dispečing </w:t>
      </w:r>
      <w:r w:rsidRPr="63259912">
        <w:t xml:space="preserve">i ograničavanje usluge i cjenovni signali u </w:t>
      </w:r>
      <w:r w:rsidR="00F47409" w:rsidRPr="63259912">
        <w:t xml:space="preserve">realnom </w:t>
      </w:r>
      <w:r w:rsidRPr="63259912">
        <w:t xml:space="preserve">vremenu, uključujući uvođenje unutardnevnog </w:t>
      </w:r>
      <w:r w:rsidR="007504BA" w:rsidRPr="63259912">
        <w:t>povezivanja</w:t>
      </w:r>
      <w:r w:rsidRPr="63259912">
        <w:t xml:space="preserve"> tržišta i prekograničnih tržišta uravnoteženja</w:t>
      </w:r>
      <w:r w:rsidR="00A47F97" w:rsidRPr="63259912">
        <w:t xml:space="preserve"> </w:t>
      </w:r>
    </w:p>
    <w:p w14:paraId="5B0E9E3B" w14:textId="5FAB6B6E" w:rsidR="000D5764" w:rsidRPr="00B47BDA" w:rsidRDefault="00802B46" w:rsidP="00601FC0">
      <w:pPr>
        <w:pStyle w:val="Mjeranaslov"/>
      </w:pPr>
      <w:r w:rsidRPr="00B47BDA">
        <w:t>UET-</w:t>
      </w:r>
      <w:r w:rsidR="00786605">
        <w:t>4</w:t>
      </w:r>
      <w:r>
        <w:t xml:space="preserve"> </w:t>
      </w:r>
      <w:r w:rsidR="00900883" w:rsidRPr="00B47BDA">
        <w:t xml:space="preserve">Analiza utjecaja pilot projekata </w:t>
      </w:r>
      <w:r w:rsidR="008D0639">
        <w:t>upravljanja potrošnjom</w:t>
      </w:r>
      <w:r w:rsidR="00900883" w:rsidRPr="00B47BDA">
        <w:t xml:space="preserve"> na distribucijsku mrežu</w:t>
      </w:r>
    </w:p>
    <w:p w14:paraId="143E0F45" w14:textId="63F42F58" w:rsidR="006E2E29" w:rsidRPr="006E2E29" w:rsidRDefault="006E2E29" w:rsidP="006E2E29">
      <w:pPr>
        <w:pStyle w:val="Mjeranaslov"/>
        <w:spacing w:before="240"/>
        <w:rPr>
          <w:b w:val="0"/>
          <w:bCs w:val="0"/>
          <w:color w:val="auto"/>
        </w:rPr>
      </w:pPr>
      <w:r>
        <w:rPr>
          <w:b w:val="0"/>
          <w:bCs w:val="0"/>
          <w:color w:val="auto"/>
        </w:rPr>
        <w:t>Ostale</w:t>
      </w:r>
      <w:r w:rsidRPr="00F1485E">
        <w:rPr>
          <w:b w:val="0"/>
          <w:bCs w:val="0"/>
          <w:color w:val="auto"/>
        </w:rPr>
        <w:t xml:space="preserve"> mjer</w:t>
      </w:r>
      <w:r>
        <w:rPr>
          <w:b w:val="0"/>
          <w:bCs w:val="0"/>
          <w:color w:val="auto"/>
        </w:rPr>
        <w:t xml:space="preserve">e; provedba </w:t>
      </w:r>
      <w:r w:rsidRPr="00F1485E">
        <w:rPr>
          <w:b w:val="0"/>
          <w:bCs w:val="0"/>
          <w:color w:val="auto"/>
        </w:rPr>
        <w:t>202</w:t>
      </w:r>
      <w:r>
        <w:rPr>
          <w:b w:val="0"/>
          <w:bCs w:val="0"/>
          <w:color w:val="auto"/>
        </w:rPr>
        <w:t>5</w:t>
      </w:r>
      <w:r w:rsidRPr="00F1485E">
        <w:rPr>
          <w:b w:val="0"/>
          <w:bCs w:val="0"/>
          <w:color w:val="auto"/>
        </w:rPr>
        <w:t>.-20</w:t>
      </w:r>
      <w:r>
        <w:rPr>
          <w:b w:val="0"/>
          <w:bCs w:val="0"/>
          <w:color w:val="auto"/>
        </w:rPr>
        <w:t>30</w:t>
      </w:r>
      <w:r w:rsidRPr="00F1485E">
        <w:rPr>
          <w:b w:val="0"/>
          <w:bCs w:val="0"/>
          <w:color w:val="auto"/>
        </w:rPr>
        <w:t>.</w:t>
      </w:r>
    </w:p>
    <w:p w14:paraId="5AD92FB3" w14:textId="6E5028E7" w:rsidR="000D5764" w:rsidRPr="00B47BDA" w:rsidRDefault="000D5764" w:rsidP="004623DD">
      <w:r w:rsidRPr="00B47BDA">
        <w:rPr>
          <w:b/>
        </w:rPr>
        <w:t>Cilj i opis mjere:</w:t>
      </w:r>
      <w:r w:rsidRPr="00B47BDA">
        <w:t xml:space="preserve"> </w:t>
      </w:r>
      <w:r w:rsidR="00900883" w:rsidRPr="00B47BDA">
        <w:t>Provođenje pilot projekata i analiza njihovog utjecaja na distribucijsku mrežu</w:t>
      </w:r>
      <w:r w:rsidR="00164A12">
        <w:t>.</w:t>
      </w:r>
    </w:p>
    <w:p w14:paraId="195B5932" w14:textId="165F4968" w:rsidR="000D5764" w:rsidRPr="00801AB0" w:rsidRDefault="000D5764" w:rsidP="004623DD">
      <w:pPr>
        <w:rPr>
          <w:b/>
          <w:bCs/>
        </w:rPr>
      </w:pPr>
      <w:r w:rsidRPr="00801AB0">
        <w:rPr>
          <w:b/>
          <w:bCs/>
        </w:rPr>
        <w:t xml:space="preserve">Aktivnosti za provedbu mjere: </w:t>
      </w:r>
    </w:p>
    <w:p w14:paraId="3F2D27AF" w14:textId="4E45333A" w:rsidR="00900883" w:rsidRPr="00B47BDA" w:rsidRDefault="00900883" w:rsidP="00F962AD">
      <w:pPr>
        <w:pStyle w:val="ListParagraph"/>
        <w:numPr>
          <w:ilvl w:val="0"/>
          <w:numId w:val="79"/>
        </w:numPr>
        <w:spacing w:after="60"/>
        <w:ind w:left="714" w:hanging="357"/>
      </w:pPr>
      <w:r w:rsidRPr="00B47BDA">
        <w:t>HEP ODS će definirati toč</w:t>
      </w:r>
      <w:r w:rsidR="00FA12CA" w:rsidRPr="00B47BDA">
        <w:t>k</w:t>
      </w:r>
      <w:r w:rsidRPr="00B47BDA">
        <w:t xml:space="preserve">e u mreži u kojima će analizirati utjecaj </w:t>
      </w:r>
      <w:r w:rsidR="009E0AEE">
        <w:t>upravljanja potrošnjom</w:t>
      </w:r>
      <w:r w:rsidR="00164A12">
        <w:t>,</w:t>
      </w:r>
    </w:p>
    <w:p w14:paraId="174979F0" w14:textId="4FCB10DC" w:rsidR="00900883" w:rsidRPr="00B47BDA" w:rsidRDefault="00900883" w:rsidP="00F962AD">
      <w:pPr>
        <w:pStyle w:val="ListParagraph"/>
        <w:numPr>
          <w:ilvl w:val="0"/>
          <w:numId w:val="79"/>
        </w:numPr>
        <w:spacing w:after="60"/>
        <w:ind w:left="714" w:hanging="357"/>
      </w:pPr>
      <w:r w:rsidRPr="00B47BDA">
        <w:t>raspisat će se javni poziv za prove</w:t>
      </w:r>
      <w:r w:rsidR="00FA12CA" w:rsidRPr="00B47BDA">
        <w:t>d</w:t>
      </w:r>
      <w:r w:rsidRPr="00B47BDA">
        <w:t xml:space="preserve">bu projekata </w:t>
      </w:r>
      <w:r w:rsidR="009E0AEE">
        <w:t>upravljanja potrošnjom</w:t>
      </w:r>
      <w:r w:rsidR="00164A12">
        <w:t>,</w:t>
      </w:r>
    </w:p>
    <w:p w14:paraId="2B51D437" w14:textId="05AE1A24" w:rsidR="00900883" w:rsidRPr="00B47BDA" w:rsidRDefault="00900883" w:rsidP="00F962AD">
      <w:pPr>
        <w:pStyle w:val="ListParagraph"/>
        <w:numPr>
          <w:ilvl w:val="0"/>
          <w:numId w:val="79"/>
        </w:numPr>
        <w:spacing w:after="60"/>
        <w:ind w:left="714" w:hanging="357"/>
      </w:pPr>
      <w:r w:rsidRPr="00B47BDA">
        <w:t>analizirat će se utjecaj pilot projekata na distribucijsku mrežu</w:t>
      </w:r>
      <w:r w:rsidR="00164A12">
        <w:t>,</w:t>
      </w:r>
    </w:p>
    <w:p w14:paraId="169943C5" w14:textId="7CBCD22B" w:rsidR="00900883" w:rsidRPr="00B47BDA" w:rsidRDefault="00900883" w:rsidP="00F962AD">
      <w:pPr>
        <w:pStyle w:val="ListParagraph"/>
        <w:numPr>
          <w:ilvl w:val="0"/>
          <w:numId w:val="79"/>
        </w:numPr>
        <w:spacing w:after="60"/>
        <w:ind w:left="714" w:hanging="357"/>
      </w:pPr>
      <w:r w:rsidRPr="00B47BDA">
        <w:t>u suradnji s HOPS-om analizirat će se utjecaj pilot projekata na prijenosnu mrežu i izraditi prijedlog koordinacije između ODS-a i HOPS-a</w:t>
      </w:r>
      <w:r w:rsidR="00164A12">
        <w:t>,</w:t>
      </w:r>
    </w:p>
    <w:p w14:paraId="46E093CC" w14:textId="0C013A51" w:rsidR="00900883" w:rsidRPr="00B47BDA" w:rsidRDefault="00900883" w:rsidP="00F962AD">
      <w:pPr>
        <w:pStyle w:val="ListParagraph"/>
        <w:numPr>
          <w:ilvl w:val="0"/>
          <w:numId w:val="79"/>
        </w:numPr>
        <w:spacing w:after="60"/>
        <w:ind w:left="714" w:hanging="357"/>
      </w:pPr>
      <w:r w:rsidRPr="00B47BDA">
        <w:lastRenderedPageBreak/>
        <w:t>rezultati provedbe pilot projekata javno će se prezentirati zainteresiranim dionicima</w:t>
      </w:r>
      <w:r w:rsidR="00AE0410">
        <w:t xml:space="preserve"> te će se </w:t>
      </w:r>
      <w:r w:rsidR="00527411">
        <w:t>koristiti prilikom definiranja javnog poziva za s</w:t>
      </w:r>
      <w:r w:rsidR="00527411" w:rsidRPr="00527411">
        <w:t xml:space="preserve">ufinanciranje provedbe projekata </w:t>
      </w:r>
      <w:r w:rsidR="009E0AEE">
        <w:t>upravljanja potrošnjom</w:t>
      </w:r>
      <w:r w:rsidR="00527411">
        <w:t xml:space="preserve"> (koji je definiran mjerom UET-5)</w:t>
      </w:r>
      <w:r w:rsidR="00164A12">
        <w:t>.</w:t>
      </w:r>
    </w:p>
    <w:p w14:paraId="09B9E070" w14:textId="687CE043" w:rsidR="000D5764" w:rsidRPr="00B47BDA" w:rsidRDefault="000D5764" w:rsidP="004623DD">
      <w:r w:rsidRPr="00B47BDA">
        <w:rPr>
          <w:b/>
        </w:rPr>
        <w:t xml:space="preserve">Izvori financiranja: </w:t>
      </w:r>
      <w:r w:rsidR="00796974" w:rsidRPr="00B47BDA">
        <w:t xml:space="preserve">Proračun HEP ODS, </w:t>
      </w:r>
      <w:r w:rsidR="004F686A">
        <w:t>EU fondovi</w:t>
      </w:r>
      <w:r w:rsidR="00164A12">
        <w:t>.</w:t>
      </w:r>
    </w:p>
    <w:p w14:paraId="3AE3E515" w14:textId="564A7C66" w:rsidR="000D5764" w:rsidRPr="00B47BDA" w:rsidRDefault="000D5764" w:rsidP="004623DD">
      <w:r w:rsidRPr="00801AB0">
        <w:rPr>
          <w:b/>
          <w:bCs/>
        </w:rPr>
        <w:t>Izvršno tijelo:</w:t>
      </w:r>
      <w:r w:rsidR="007C692D" w:rsidRPr="00B47BDA">
        <w:t xml:space="preserve"> HEP-ODS</w:t>
      </w:r>
      <w:r w:rsidR="00164A12">
        <w:t>.</w:t>
      </w:r>
    </w:p>
    <w:p w14:paraId="2458A4D7" w14:textId="19B45185" w:rsidR="000D5764" w:rsidRPr="00B47BDA" w:rsidRDefault="000D5764" w:rsidP="004623DD">
      <w:r w:rsidRPr="00801AB0">
        <w:rPr>
          <w:b/>
          <w:bCs/>
        </w:rPr>
        <w:t>Tijela za praćenje:</w:t>
      </w:r>
      <w:r w:rsidRPr="00B47BDA">
        <w:t xml:space="preserve"> </w:t>
      </w:r>
      <w:r w:rsidR="007C692D" w:rsidRPr="00B47BDA">
        <w:t>HERA</w:t>
      </w:r>
      <w:r w:rsidR="00164A12">
        <w:t>.</w:t>
      </w:r>
    </w:p>
    <w:p w14:paraId="00F40FE7" w14:textId="2BD34720" w:rsidR="000D5764" w:rsidRPr="00B47BDA" w:rsidRDefault="000D5764" w:rsidP="004623DD">
      <w:r w:rsidRPr="00B47BDA">
        <w:rPr>
          <w:b/>
        </w:rPr>
        <w:t>Metoda praćenja:</w:t>
      </w:r>
      <w:r w:rsidRPr="00B47BDA">
        <w:t xml:space="preserve"> </w:t>
      </w:r>
      <w:r w:rsidR="007C692D" w:rsidRPr="00B47BDA">
        <w:t>Nije moguće pratiti izravne učinke ove mjere</w:t>
      </w:r>
      <w:r w:rsidR="00164A12">
        <w:t>.</w:t>
      </w:r>
    </w:p>
    <w:p w14:paraId="5C4702F5" w14:textId="13E993C0" w:rsidR="55103C4F" w:rsidRDefault="000D5764" w:rsidP="55103C4F">
      <w:pPr>
        <w:pStyle w:val="NormalWeb"/>
        <w:spacing w:before="120" w:beforeAutospacing="0" w:after="120" w:afterAutospacing="0"/>
      </w:pPr>
      <w:r w:rsidRPr="00B47BDA">
        <w:rPr>
          <w:b/>
        </w:rPr>
        <w:t xml:space="preserve">Povezanost s drugim dimenzijama: </w:t>
      </w:r>
      <w:r w:rsidR="00A21AA7">
        <w:t>E</w:t>
      </w:r>
      <w:r w:rsidR="007C692D" w:rsidRPr="00B47BDA">
        <w:t>nergetska učinkovitost</w:t>
      </w:r>
      <w:r w:rsidR="008179B3">
        <w:t>.</w:t>
      </w:r>
    </w:p>
    <w:p w14:paraId="6A5C5AB8" w14:textId="5170842B" w:rsidR="00A16AE6" w:rsidRDefault="000D5764" w:rsidP="004623DD">
      <w:r w:rsidRPr="00B47BDA">
        <w:rPr>
          <w:rFonts w:eastAsia="Calibri"/>
          <w:b/>
        </w:rPr>
        <w:t xml:space="preserve">Istraživanje i razvoj: </w:t>
      </w:r>
      <w:r w:rsidRPr="00B47BDA">
        <w:t xml:space="preserve">Unutar ove mjere potrebno je provesti određena istraživanja, pa je mjera povezana i s dimenzijom istraživanja i razvoja. </w:t>
      </w:r>
    </w:p>
    <w:p w14:paraId="18B78B0A" w14:textId="341F95D7" w:rsidR="00A16AE6" w:rsidRPr="00B47BDA" w:rsidRDefault="648AEF8A" w:rsidP="00601FC0">
      <w:pPr>
        <w:pStyle w:val="Mjeranaslov"/>
        <w:keepNext/>
      </w:pPr>
      <w:r>
        <w:t>UET-5</w:t>
      </w:r>
      <w:r w:rsidR="6FE4EEA1">
        <w:t xml:space="preserve"> </w:t>
      </w:r>
      <w:r w:rsidR="19CC4157">
        <w:t xml:space="preserve">Sufinanciranje provedbe projekata </w:t>
      </w:r>
      <w:r w:rsidR="008D0639">
        <w:t>upravljanja potrošnjom</w:t>
      </w:r>
    </w:p>
    <w:p w14:paraId="4110ED19" w14:textId="0B13F022" w:rsidR="00343480" w:rsidRPr="00343480" w:rsidRDefault="00343480" w:rsidP="00343480">
      <w:pPr>
        <w:pStyle w:val="Mjeranaslov"/>
        <w:spacing w:before="240"/>
        <w:rPr>
          <w:b w:val="0"/>
          <w:bCs w:val="0"/>
          <w:color w:val="auto"/>
        </w:rPr>
      </w:pPr>
      <w:r>
        <w:rPr>
          <w:b w:val="0"/>
          <w:bCs w:val="0"/>
          <w:color w:val="auto"/>
        </w:rPr>
        <w:t>Financijska</w:t>
      </w:r>
      <w:r w:rsidRPr="00F1485E">
        <w:rPr>
          <w:b w:val="0"/>
          <w:bCs w:val="0"/>
          <w:color w:val="auto"/>
        </w:rPr>
        <w:t xml:space="preserve"> mjera</w:t>
      </w:r>
      <w:r>
        <w:rPr>
          <w:b w:val="0"/>
          <w:bCs w:val="0"/>
          <w:color w:val="auto"/>
        </w:rPr>
        <w:t xml:space="preserve">; provedba </w:t>
      </w:r>
      <w:r w:rsidRPr="00F1485E">
        <w:rPr>
          <w:b w:val="0"/>
          <w:bCs w:val="0"/>
          <w:color w:val="auto"/>
        </w:rPr>
        <w:t>202</w:t>
      </w:r>
      <w:r w:rsidR="00F96B84">
        <w:rPr>
          <w:b w:val="0"/>
          <w:bCs w:val="0"/>
          <w:color w:val="auto"/>
        </w:rPr>
        <w:t>5</w:t>
      </w:r>
      <w:r w:rsidRPr="00F1485E">
        <w:rPr>
          <w:b w:val="0"/>
          <w:bCs w:val="0"/>
          <w:color w:val="auto"/>
        </w:rPr>
        <w:t>.-20</w:t>
      </w:r>
      <w:r w:rsidR="00F96B84">
        <w:rPr>
          <w:b w:val="0"/>
          <w:bCs w:val="0"/>
          <w:color w:val="auto"/>
        </w:rPr>
        <w:t>30</w:t>
      </w:r>
      <w:r w:rsidRPr="00F1485E">
        <w:rPr>
          <w:b w:val="0"/>
          <w:bCs w:val="0"/>
          <w:color w:val="auto"/>
        </w:rPr>
        <w:t>.</w:t>
      </w:r>
    </w:p>
    <w:p w14:paraId="4ED052DB" w14:textId="3EDD0B8D" w:rsidR="00A16AE6" w:rsidRPr="00B47BDA" w:rsidRDefault="00A16AE6" w:rsidP="00601FC0">
      <w:pPr>
        <w:keepNext/>
      </w:pPr>
      <w:r w:rsidRPr="00B47BDA">
        <w:rPr>
          <w:b/>
        </w:rPr>
        <w:t>Cilj i opis mjere:</w:t>
      </w:r>
      <w:r w:rsidRPr="00B47BDA">
        <w:t xml:space="preserve"> </w:t>
      </w:r>
      <w:r w:rsidR="001928A2">
        <w:t xml:space="preserve">Kako bi se potakla šira provedba projekata </w:t>
      </w:r>
      <w:r w:rsidR="00E0093E">
        <w:t>upravljanja potrošnjom</w:t>
      </w:r>
      <w:r w:rsidR="001928A2">
        <w:t xml:space="preserve">, FZOEU će temeljem javnih poziva sufinancirati njihovu provedbu. Provest će se projekti </w:t>
      </w:r>
      <w:r w:rsidR="00E0093E">
        <w:t>upravljanja potrošnjom</w:t>
      </w:r>
      <w:r w:rsidR="001928A2">
        <w:t xml:space="preserve"> kod velikih kupaca (industrija, usluge) i u kućanstvima. </w:t>
      </w:r>
      <w:r w:rsidR="00E0093E">
        <w:t>Upravljanje potrošnjom</w:t>
      </w:r>
      <w:r w:rsidR="001928A2">
        <w:t xml:space="preserve"> ostvarit će se pomoću opreme koja će biti ugrađena kod kupaca i povezana u sustav upravljanja i mjerenja. </w:t>
      </w:r>
      <w:r w:rsidR="00527411">
        <w:t>Javni poziv će koristiti rezultate analiza provedenih u okviru mjere UET-4 (</w:t>
      </w:r>
      <w:r w:rsidR="00527411" w:rsidRPr="00527411">
        <w:t xml:space="preserve">Analiza utjecaja pilot projekata </w:t>
      </w:r>
      <w:r w:rsidR="00E0093E">
        <w:t>upravljanja potrošnjom</w:t>
      </w:r>
      <w:r w:rsidR="00527411" w:rsidRPr="00527411">
        <w:t xml:space="preserve"> na distribucijsku mrežu</w:t>
      </w:r>
      <w:r w:rsidR="00527411">
        <w:t xml:space="preserve">). </w:t>
      </w:r>
      <w:r w:rsidR="001928A2">
        <w:t xml:space="preserve">Uz korištenje sredstava </w:t>
      </w:r>
      <w:r w:rsidR="00CE46FB">
        <w:t xml:space="preserve">iz </w:t>
      </w:r>
      <w:r w:rsidR="00FA0EB2" w:rsidRPr="002F1EEF">
        <w:t>prihod</w:t>
      </w:r>
      <w:r w:rsidR="007E7BD7">
        <w:t>a</w:t>
      </w:r>
      <w:r w:rsidR="00FA0EB2" w:rsidRPr="002F1EEF">
        <w:t xml:space="preserve"> od prodaje emisijskih jedinica iz EU ETS-a</w:t>
      </w:r>
      <w:r w:rsidR="001928A2">
        <w:t xml:space="preserve">, </w:t>
      </w:r>
      <w:r w:rsidR="005B3414" w:rsidRPr="008F152E">
        <w:t>Ministarstv</w:t>
      </w:r>
      <w:r w:rsidR="005B3414">
        <w:t>o</w:t>
      </w:r>
      <w:r w:rsidR="005B3414" w:rsidRPr="008F152E">
        <w:t xml:space="preserve"> zaštite okoliša i zelene tranzicije</w:t>
      </w:r>
      <w:r w:rsidR="005B3414">
        <w:t xml:space="preserve"> i</w:t>
      </w:r>
      <w:r w:rsidR="005B3414" w:rsidRPr="008F152E">
        <w:t xml:space="preserve"> </w:t>
      </w:r>
      <w:r w:rsidR="001928A2">
        <w:t>MINGO će utvrditi i druge izvore financiranja za sufinanciranje ovih projekata.</w:t>
      </w:r>
    </w:p>
    <w:p w14:paraId="50FB47A6" w14:textId="7308CF9D" w:rsidR="00A16AE6" w:rsidRDefault="00F469FA" w:rsidP="005E7E33">
      <w:r w:rsidRPr="00B47BDA">
        <w:rPr>
          <w:b/>
        </w:rPr>
        <w:t>Aktivnosti:</w:t>
      </w:r>
      <w:r w:rsidR="00B364A1">
        <w:rPr>
          <w:b/>
        </w:rPr>
        <w:t xml:space="preserve"> </w:t>
      </w:r>
      <w:r w:rsidR="005E7E33" w:rsidRPr="00601FC0">
        <w:rPr>
          <w:bCs/>
        </w:rPr>
        <w:t xml:space="preserve">FZOEU razrađuje natječajnu dokumentaciju, u suradnji i uz suglasnost </w:t>
      </w:r>
      <w:r w:rsidR="005B3414" w:rsidRPr="008F152E">
        <w:t>Ministarstv</w:t>
      </w:r>
      <w:r w:rsidR="005B3414">
        <w:t>a</w:t>
      </w:r>
      <w:r w:rsidR="005B3414" w:rsidRPr="008F152E">
        <w:t xml:space="preserve"> zaštite okoliša i zelene tranzicije</w:t>
      </w:r>
      <w:r w:rsidR="005B3414">
        <w:t>,</w:t>
      </w:r>
      <w:r w:rsidR="005B3414" w:rsidRPr="008F152E">
        <w:t xml:space="preserve"> </w:t>
      </w:r>
      <w:r w:rsidR="005E7E33" w:rsidRPr="00601FC0">
        <w:rPr>
          <w:bCs/>
        </w:rPr>
        <w:t>MINGO i MRRFEU</w:t>
      </w:r>
      <w:r w:rsidR="005E7E33">
        <w:rPr>
          <w:bCs/>
        </w:rPr>
        <w:t xml:space="preserve">. </w:t>
      </w:r>
      <w:r w:rsidR="005E7E33" w:rsidRPr="00601FC0">
        <w:rPr>
          <w:bCs/>
        </w:rPr>
        <w:t>FZOEU provodi javni poziv</w:t>
      </w:r>
      <w:r w:rsidR="005E7E33">
        <w:rPr>
          <w:bCs/>
        </w:rPr>
        <w:t>.</w:t>
      </w:r>
    </w:p>
    <w:p w14:paraId="6EEDA261" w14:textId="5B8BFD6B" w:rsidR="000F2E37" w:rsidRPr="00B47BDA" w:rsidRDefault="000F2E37" w:rsidP="000F2E37">
      <w:r w:rsidRPr="00B47BDA">
        <w:rPr>
          <w:b/>
        </w:rPr>
        <w:t xml:space="preserve">Izvori financiranja: </w:t>
      </w:r>
      <w:r w:rsidR="00290553" w:rsidRPr="00601FC0">
        <w:rPr>
          <w:bCs/>
        </w:rPr>
        <w:t xml:space="preserve">Sredstva </w:t>
      </w:r>
      <w:r w:rsidR="00FA0EB2">
        <w:rPr>
          <w:bCs/>
        </w:rPr>
        <w:t xml:space="preserve">iz </w:t>
      </w:r>
      <w:r w:rsidR="00FA0EB2" w:rsidRPr="002F1EEF">
        <w:t>prihod</w:t>
      </w:r>
      <w:r w:rsidR="00FA0EB2">
        <w:t>a</w:t>
      </w:r>
      <w:r w:rsidR="00FA0EB2" w:rsidRPr="002F1EEF">
        <w:t xml:space="preserve"> od prodaje emisijskih jedinica iz EU ETS-a</w:t>
      </w:r>
      <w:r w:rsidR="00DA6AF9">
        <w:rPr>
          <w:bCs/>
        </w:rPr>
        <w:t>.</w:t>
      </w:r>
    </w:p>
    <w:p w14:paraId="2D7B538F" w14:textId="1BB66C61" w:rsidR="000F2E37" w:rsidRPr="00B47BDA" w:rsidRDefault="000F2E37" w:rsidP="000F2E37">
      <w:r w:rsidRPr="00801AB0">
        <w:rPr>
          <w:b/>
          <w:bCs/>
        </w:rPr>
        <w:t>Izvršno tijelo:</w:t>
      </w:r>
      <w:r w:rsidR="00A84388">
        <w:t xml:space="preserve"> </w:t>
      </w:r>
      <w:r w:rsidR="008037FB" w:rsidRPr="006F2BDB">
        <w:rPr>
          <w:bCs/>
        </w:rPr>
        <w:t>FZOEU</w:t>
      </w:r>
      <w:r w:rsidR="008037FB">
        <w:rPr>
          <w:bCs/>
        </w:rPr>
        <w:t>.</w:t>
      </w:r>
    </w:p>
    <w:p w14:paraId="6F415EC0" w14:textId="35A8135D" w:rsidR="000F2E37" w:rsidRPr="00B47BDA" w:rsidRDefault="000F2E37" w:rsidP="000F2E37">
      <w:r w:rsidRPr="00801AB0">
        <w:rPr>
          <w:b/>
          <w:bCs/>
        </w:rPr>
        <w:t>Tijela za praćenje:</w:t>
      </w:r>
      <w:r w:rsidRPr="00B47BDA">
        <w:t xml:space="preserve"> </w:t>
      </w:r>
      <w:r w:rsidR="002E42FC" w:rsidRPr="008F152E">
        <w:t>Ministarstv</w:t>
      </w:r>
      <w:r w:rsidR="002E42FC">
        <w:t>o</w:t>
      </w:r>
      <w:r w:rsidR="002E42FC" w:rsidRPr="008F152E">
        <w:t xml:space="preserve"> zaštite okoliša i zelene tranzicije</w:t>
      </w:r>
      <w:r w:rsidR="002E42FC">
        <w:t>.</w:t>
      </w:r>
    </w:p>
    <w:p w14:paraId="39DCE8BB" w14:textId="7C2411B5" w:rsidR="000F2E37" w:rsidRPr="00B47BDA" w:rsidRDefault="000F2E37" w:rsidP="000F2E37">
      <w:r w:rsidRPr="00B47BDA">
        <w:rPr>
          <w:b/>
        </w:rPr>
        <w:t>Metoda praćenja:</w:t>
      </w:r>
      <w:r w:rsidRPr="00B47BDA">
        <w:t xml:space="preserve"> </w:t>
      </w:r>
      <w:r w:rsidR="002E42FC">
        <w:t>I</w:t>
      </w:r>
      <w:r w:rsidR="000F264E">
        <w:t xml:space="preserve">zvještaji </w:t>
      </w:r>
      <w:r w:rsidR="002E42FC" w:rsidRPr="008F152E">
        <w:t>Ministarstv</w:t>
      </w:r>
      <w:r w:rsidR="002E42FC">
        <w:t>a</w:t>
      </w:r>
      <w:r w:rsidR="002E42FC" w:rsidRPr="008F152E">
        <w:t xml:space="preserve"> zaštite okoliša i zelene tranzicije</w:t>
      </w:r>
      <w:r w:rsidR="002E42FC">
        <w:t>.</w:t>
      </w:r>
    </w:p>
    <w:p w14:paraId="45D21194" w14:textId="7696159D" w:rsidR="55103C4F" w:rsidRDefault="000F2E37" w:rsidP="55103C4F">
      <w:r w:rsidRPr="63259912">
        <w:rPr>
          <w:b/>
          <w:bCs/>
        </w:rPr>
        <w:t xml:space="preserve">Povezanost s drugim dimenzijama: </w:t>
      </w:r>
      <w:r w:rsidR="002E42FC" w:rsidRPr="63259912">
        <w:t>D</w:t>
      </w:r>
      <w:r w:rsidR="00D91ED4" w:rsidRPr="63259912">
        <w:t>ekarbonizacija – OIE, energetska učinkovitost, energetska sigurnost.</w:t>
      </w:r>
    </w:p>
    <w:p w14:paraId="189D3933" w14:textId="12133003" w:rsidR="00A16AE6" w:rsidRDefault="000F2E37" w:rsidP="000F2E37">
      <w:r w:rsidRPr="00B47BDA">
        <w:rPr>
          <w:rFonts w:eastAsia="Calibri"/>
          <w:b/>
        </w:rPr>
        <w:t>Istraživanje i razvoj:</w:t>
      </w:r>
      <w:r w:rsidR="00600FE3">
        <w:rPr>
          <w:rFonts w:eastAsia="Calibri"/>
          <w:b/>
        </w:rPr>
        <w:t xml:space="preserve"> </w:t>
      </w:r>
      <w:r w:rsidR="00481046">
        <w:rPr>
          <w:rFonts w:eastAsia="Calibri"/>
        </w:rPr>
        <w:t>M</w:t>
      </w:r>
      <w:r w:rsidR="00600FE3" w:rsidRPr="00B47BDA">
        <w:rPr>
          <w:rFonts w:eastAsia="Calibri"/>
        </w:rPr>
        <w:t>oguća inovativna rješenja pružatelja usluga</w:t>
      </w:r>
      <w:r w:rsidR="005318B0">
        <w:rPr>
          <w:rFonts w:eastAsia="Calibri"/>
        </w:rPr>
        <w:t>.</w:t>
      </w:r>
    </w:p>
    <w:p w14:paraId="76335C02" w14:textId="77777777" w:rsidR="00A16AE6" w:rsidRDefault="00A16AE6" w:rsidP="004623DD"/>
    <w:p w14:paraId="5795FC56" w14:textId="158389F3" w:rsidR="00740DA6" w:rsidRPr="00B47BDA" w:rsidRDefault="00740DA6" w:rsidP="63259912">
      <w:pPr>
        <w:pStyle w:val="Heading4"/>
        <w:ind w:hanging="580"/>
      </w:pPr>
      <w:r w:rsidRPr="63259912">
        <w:t>Mjere za jamčenje nediskriminatornog sudjelovanja obnovljivih izvora energije, upravljanja potrošnjom i skladištenja, među ostalim putem agregacije, na svim energetskim tržištima</w:t>
      </w:r>
    </w:p>
    <w:p w14:paraId="4C46C997" w14:textId="038DCDD8" w:rsidR="00884F6A" w:rsidRDefault="000A671F" w:rsidP="00801AB0">
      <w:pPr>
        <w:pStyle w:val="Mjeranaslov"/>
      </w:pPr>
      <w:r w:rsidRPr="00B47BDA">
        <w:t>UET-</w:t>
      </w:r>
      <w:r w:rsidR="00EC2F57">
        <w:t>6</w:t>
      </w:r>
      <w:r w:rsidR="00884F6A" w:rsidRPr="00B47BDA">
        <w:t xml:space="preserve"> Razvoj nacionalnog tržišta uravnoteženja</w:t>
      </w:r>
    </w:p>
    <w:p w14:paraId="2B578638" w14:textId="2584A981" w:rsidR="00625A63" w:rsidRPr="00625A63" w:rsidRDefault="00625A63" w:rsidP="00205D51">
      <w:pPr>
        <w:pStyle w:val="Mjeranaslov"/>
        <w:spacing w:before="240"/>
        <w:rPr>
          <w:b w:val="0"/>
          <w:bCs w:val="0"/>
          <w:color w:val="auto"/>
        </w:rPr>
      </w:pPr>
      <w:r w:rsidRPr="00F1485E">
        <w:rPr>
          <w:b w:val="0"/>
          <w:bCs w:val="0"/>
          <w:color w:val="auto"/>
        </w:rPr>
        <w:lastRenderedPageBreak/>
        <w:t>Regulatorna mjera</w:t>
      </w:r>
      <w:r w:rsidR="00F1485E">
        <w:rPr>
          <w:b w:val="0"/>
          <w:bCs w:val="0"/>
          <w:color w:val="auto"/>
        </w:rPr>
        <w:t xml:space="preserve">; provedba </w:t>
      </w:r>
      <w:r w:rsidRPr="00F1485E">
        <w:rPr>
          <w:b w:val="0"/>
          <w:bCs w:val="0"/>
          <w:color w:val="auto"/>
        </w:rPr>
        <w:t>2023.-2025.</w:t>
      </w:r>
    </w:p>
    <w:p w14:paraId="6247E21B" w14:textId="640FACFE" w:rsidR="00884F6A" w:rsidRPr="00B47BDA" w:rsidRDefault="00884F6A" w:rsidP="00205D51">
      <w:r w:rsidRPr="00B47BDA">
        <w:rPr>
          <w:b/>
        </w:rPr>
        <w:t>Cilj i opis mjere:</w:t>
      </w:r>
      <w:r w:rsidRPr="00B47BDA">
        <w:t xml:space="preserve"> Cilj je povećanje konkurencije na nacionalnom tržištu uravn</w:t>
      </w:r>
      <w:r w:rsidR="00BD32DB" w:rsidRPr="00B47BDA">
        <w:t>o</w:t>
      </w:r>
      <w:r w:rsidRPr="00B47BDA">
        <w:t>teženja i omogućavanje svim korisnicima prijenosne i/ili distribucijske mreže sudjelovanje na nacionalnom i EU tržištu uravnoteženja.</w:t>
      </w:r>
    </w:p>
    <w:p w14:paraId="723ACD13" w14:textId="0B04C655" w:rsidR="00AD16AA" w:rsidRDefault="00985403" w:rsidP="00AD16AA">
      <w:r w:rsidRPr="63259912">
        <w:rPr>
          <w:b/>
          <w:bCs/>
        </w:rPr>
        <w:t xml:space="preserve">Aktivnosti za provedbu mjere: </w:t>
      </w:r>
      <w:r w:rsidRPr="63259912">
        <w:t>U svrhu otvaranja tržišta uravnoteženja, u lipnju 2018. godine, Hrvatski operator prijenosnog sustava d.d. pokrenuo je pilot projekt pod nazivom „Osiguravanje rezerve snage tercijarne regulacije upravljivom potrošnjom“. Od 14. prosinca 2020.</w:t>
      </w:r>
      <w:r w:rsidR="00F10AFB" w:rsidRPr="63259912">
        <w:t xml:space="preserve"> godine</w:t>
      </w:r>
      <w:r w:rsidRPr="63259912">
        <w:t xml:space="preserve">, u skladu s odredbama Pravila o uravnoteženju elektroenergetskog sustava, </w:t>
      </w:r>
      <w:r w:rsidR="00104DFD" w:rsidRPr="63259912">
        <w:t xml:space="preserve">HOPS </w:t>
      </w:r>
      <w:r w:rsidRPr="63259912">
        <w:t xml:space="preserve">provodi postupak nabave mFRR rezerve snage i/ili energije uravnoteženja za sigurnost sustava javnim nadmetanjem kao unaprjeđenje pilot projekta. </w:t>
      </w:r>
      <w:r w:rsidR="00385832" w:rsidRPr="63259912">
        <w:t>Od srpnja 2024. godine</w:t>
      </w:r>
      <w:r w:rsidR="005E5C66" w:rsidRPr="63259912">
        <w:t xml:space="preserve"> </w:t>
      </w:r>
      <w:r w:rsidR="00AD16AA" w:rsidRPr="63259912">
        <w:t xml:space="preserve">javnim nadmetanjima HOPS provodi </w:t>
      </w:r>
      <w:r w:rsidR="00385832" w:rsidRPr="63259912">
        <w:t xml:space="preserve">postupak nabave </w:t>
      </w:r>
      <w:r w:rsidR="005E5C66" w:rsidRPr="63259912">
        <w:t>aFRR rezerve snage i/ili energije uravnoteženja.</w:t>
      </w:r>
      <w:r w:rsidR="008615CE" w:rsidRPr="63259912">
        <w:t xml:space="preserve"> </w:t>
      </w:r>
      <w:r w:rsidR="00353A25" w:rsidRPr="63259912">
        <w:t>Priključenje na EU platforme za razmjenu energije uravnoteženja</w:t>
      </w:r>
      <w:r w:rsidR="00850C93" w:rsidRPr="63259912">
        <w:t xml:space="preserve"> (implementacija odgovarajućeg IT programskog rješenja - Platforma za uravnoteženje EES-a).</w:t>
      </w:r>
    </w:p>
    <w:p w14:paraId="09DE43BF" w14:textId="6FF21C43" w:rsidR="003621F9" w:rsidRPr="003621F9" w:rsidRDefault="003621F9" w:rsidP="004623DD">
      <w:r w:rsidRPr="00205D51">
        <w:rPr>
          <w:b/>
          <w:bCs/>
        </w:rPr>
        <w:t>Izvori financiranja</w:t>
      </w:r>
      <w:r w:rsidRPr="00C34C9C">
        <w:t>:</w:t>
      </w:r>
      <w:r w:rsidRPr="00205D51">
        <w:t xml:space="preserve"> </w:t>
      </w:r>
      <w:r w:rsidR="00C34C9C" w:rsidRPr="00C34C9C">
        <w:t>HOPS</w:t>
      </w:r>
      <w:r w:rsidR="001A1804">
        <w:t>.</w:t>
      </w:r>
    </w:p>
    <w:p w14:paraId="09F5B835" w14:textId="62382249" w:rsidR="00985403" w:rsidRPr="00B47BDA" w:rsidRDefault="00985403" w:rsidP="63259912">
      <w:pPr>
        <w:rPr>
          <w:b/>
          <w:bCs/>
        </w:rPr>
      </w:pPr>
      <w:r w:rsidRPr="63259912">
        <w:rPr>
          <w:b/>
          <w:bCs/>
        </w:rPr>
        <w:t xml:space="preserve">Izvršno tijelo: </w:t>
      </w:r>
      <w:r w:rsidR="00746624" w:rsidRPr="63259912">
        <w:t xml:space="preserve">operatori sustava, </w:t>
      </w:r>
      <w:r w:rsidR="001A1804" w:rsidRPr="63259912">
        <w:t>korisnici mreže,</w:t>
      </w:r>
      <w:r w:rsidR="00B46B27" w:rsidRPr="63259912">
        <w:t xml:space="preserve"> </w:t>
      </w:r>
      <w:r w:rsidR="00B568CD" w:rsidRPr="63259912">
        <w:t>tržišni sudionici (</w:t>
      </w:r>
      <w:r w:rsidR="00B46B27" w:rsidRPr="63259912">
        <w:t>agregatori</w:t>
      </w:r>
      <w:r w:rsidR="00B568CD" w:rsidRPr="63259912">
        <w:t>,</w:t>
      </w:r>
      <w:r w:rsidR="00800C46" w:rsidRPr="63259912">
        <w:t xml:space="preserve"> postrojenja za skladištenje energije, energetske zajednice</w:t>
      </w:r>
      <w:r w:rsidR="00867702" w:rsidRPr="63259912">
        <w:t>, aktivni kupci,</w:t>
      </w:r>
      <w:r w:rsidR="00B568CD" w:rsidRPr="63259912">
        <w:t>..)</w:t>
      </w:r>
    </w:p>
    <w:p w14:paraId="6D2D1684" w14:textId="0BFBAB88" w:rsidR="00985403" w:rsidRPr="00B47BDA" w:rsidRDefault="00985403" w:rsidP="004623DD">
      <w:r w:rsidRPr="00801AB0">
        <w:rPr>
          <w:b/>
          <w:bCs/>
        </w:rPr>
        <w:t>Tijelo za praćenje:</w:t>
      </w:r>
      <w:r w:rsidRPr="00B47BDA">
        <w:t xml:space="preserve"> </w:t>
      </w:r>
      <w:r w:rsidRPr="007F1771">
        <w:t>HERA</w:t>
      </w:r>
      <w:r w:rsidR="00164A12">
        <w:t>.</w:t>
      </w:r>
    </w:p>
    <w:p w14:paraId="2CB18F4B" w14:textId="58381461" w:rsidR="00985403" w:rsidRPr="00B47BDA" w:rsidRDefault="00985403" w:rsidP="004623DD">
      <w:pPr>
        <w:rPr>
          <w:b/>
        </w:rPr>
      </w:pPr>
      <w:r w:rsidRPr="00B47BDA">
        <w:rPr>
          <w:b/>
        </w:rPr>
        <w:t xml:space="preserve">Metoda praćenja: </w:t>
      </w:r>
      <w:r w:rsidR="007F1771">
        <w:t xml:space="preserve">Broj sudionika </w:t>
      </w:r>
      <w:r w:rsidR="006A34EC">
        <w:t xml:space="preserve">aktivnih </w:t>
      </w:r>
      <w:r w:rsidR="007F1771">
        <w:t xml:space="preserve">na </w:t>
      </w:r>
      <w:r w:rsidR="006A34EC">
        <w:t>tržištu uravnoteženja</w:t>
      </w:r>
      <w:r w:rsidR="00164A12">
        <w:t>.</w:t>
      </w:r>
    </w:p>
    <w:p w14:paraId="4F5C3BDC" w14:textId="6D399602" w:rsidR="00CB7ACB" w:rsidRPr="00B47BDA" w:rsidRDefault="00CB7ACB" w:rsidP="004623DD">
      <w:pPr>
        <w:rPr>
          <w:rFonts w:eastAsia="Calibri"/>
        </w:rPr>
      </w:pPr>
      <w:r w:rsidRPr="00B47BDA">
        <w:rPr>
          <w:b/>
        </w:rPr>
        <w:t xml:space="preserve">Povezanost s drugim dimenzijama: </w:t>
      </w:r>
      <w:r w:rsidR="00481046">
        <w:t>E</w:t>
      </w:r>
      <w:r w:rsidRPr="00B47BDA">
        <w:t>nergetska učinkovitost</w:t>
      </w:r>
      <w:r w:rsidR="00CA4496">
        <w:t>.</w:t>
      </w:r>
    </w:p>
    <w:p w14:paraId="4C22308A" w14:textId="08000540" w:rsidR="00985403" w:rsidRPr="00B47BDA" w:rsidRDefault="00985403" w:rsidP="004623DD">
      <w:r w:rsidRPr="63259912">
        <w:rPr>
          <w:b/>
          <w:bCs/>
        </w:rPr>
        <w:t xml:space="preserve">Napredak u ostvarenju cilja: </w:t>
      </w:r>
      <w:r w:rsidR="00F57171" w:rsidRPr="63259912">
        <w:t>Sudjelovanje na tržištu uravnoteženja omogućeno je</w:t>
      </w:r>
      <w:r w:rsidRPr="63259912">
        <w:t xml:space="preserve"> </w:t>
      </w:r>
      <w:r w:rsidR="008A52B0" w:rsidRPr="63259912">
        <w:t xml:space="preserve">krajnjim korisnicima (ili grupama korisnika) prijenosne i/ili distribucijske mreže, koji su zadovoljili uvjete definirane pretkvalifikacijskim postupcima i sklopili </w:t>
      </w:r>
      <w:r w:rsidR="00F57171" w:rsidRPr="63259912">
        <w:t xml:space="preserve">su </w:t>
      </w:r>
      <w:r w:rsidR="008A52B0" w:rsidRPr="63259912">
        <w:t>ugovore o pružanju usluge uravnoteženja s HOPS-om</w:t>
      </w:r>
      <w:r w:rsidR="00F57171" w:rsidRPr="63259912">
        <w:t xml:space="preserve">. </w:t>
      </w:r>
      <w:r w:rsidRPr="63259912">
        <w:t xml:space="preserve">Dodatna liberalizacija i nadogradnja tržišta te integracija na EU tržišta očekuje se </w:t>
      </w:r>
      <w:r w:rsidR="00EB5755" w:rsidRPr="63259912">
        <w:t xml:space="preserve">nakon </w:t>
      </w:r>
      <w:r w:rsidRPr="63259912">
        <w:t>202</w:t>
      </w:r>
      <w:r w:rsidR="00EB5755" w:rsidRPr="63259912">
        <w:t>5</w:t>
      </w:r>
      <w:r w:rsidRPr="63259912">
        <w:t>. godin</w:t>
      </w:r>
      <w:r w:rsidR="00EB5755" w:rsidRPr="63259912">
        <w:t>e</w:t>
      </w:r>
      <w:r w:rsidRPr="63259912">
        <w:t xml:space="preserve">. </w:t>
      </w:r>
      <w:r w:rsidR="000F2BA7" w:rsidRPr="63259912">
        <w:t>HOPS je odgovoran za lokalnu implementaciju i usklađivanje poslovnih procesa te programskih sustava koji omogućuju sigurno i optimalno operativno priključenje i sudjelovanje na MARI i PICASSO platformama kao i interakciju s pružateljima usluga na nacionalnoj razini.</w:t>
      </w:r>
    </w:p>
    <w:p w14:paraId="11CFBA2F" w14:textId="77777777" w:rsidR="00C923C8" w:rsidRPr="00B47BDA" w:rsidRDefault="00C923C8" w:rsidP="005C2C7E">
      <w:pPr>
        <w:pStyle w:val="Heading4"/>
        <w:numPr>
          <w:ilvl w:val="3"/>
          <w:numId w:val="175"/>
        </w:numPr>
        <w:ind w:hanging="580"/>
      </w:pPr>
      <w:r w:rsidRPr="00B47BDA">
        <w:t>Politike i mjere za zaštitu potrošača, osobito ranjivih i, ako je primjenjivo, energetski siromašnih potrošača, i mjere za jačanje konkurentnosti i neograničenog tržišnog natjecanja na maloprodajnom energetskom tržištu</w:t>
      </w:r>
    </w:p>
    <w:p w14:paraId="1ACAF1FC" w14:textId="7B3A5EF2" w:rsidR="0003667A" w:rsidRPr="00B47BDA" w:rsidRDefault="006C58F5" w:rsidP="004623DD">
      <w:r w:rsidRPr="00B47BDA">
        <w:t>Mjer</w:t>
      </w:r>
      <w:r w:rsidR="00507AFC">
        <w:t>e</w:t>
      </w:r>
      <w:r w:rsidRPr="00B47BDA">
        <w:t xml:space="preserve"> </w:t>
      </w:r>
      <w:r w:rsidR="0003667A" w:rsidRPr="00B47BDA">
        <w:t>u pogledu zaštite ranjivih potrošača</w:t>
      </w:r>
      <w:r w:rsidR="00627726" w:rsidRPr="00B47BDA">
        <w:t xml:space="preserve"> (UET-</w:t>
      </w:r>
      <w:r w:rsidR="0059002C">
        <w:t>8 i UET-9</w:t>
      </w:r>
      <w:r w:rsidR="00627726" w:rsidRPr="00B47BDA">
        <w:t>)</w:t>
      </w:r>
      <w:r w:rsidR="0003667A" w:rsidRPr="00B47BDA">
        <w:t xml:space="preserve"> </w:t>
      </w:r>
      <w:r w:rsidRPr="00B47BDA">
        <w:t>razrađen</w:t>
      </w:r>
      <w:r w:rsidR="0059002C">
        <w:t>e su</w:t>
      </w:r>
      <w:r w:rsidRPr="00B47BDA">
        <w:t xml:space="preserve"> </w:t>
      </w:r>
      <w:r w:rsidR="0003667A" w:rsidRPr="00B47BDA">
        <w:t xml:space="preserve">u </w:t>
      </w:r>
      <w:r w:rsidR="00CE7E57">
        <w:t>točki</w:t>
      </w:r>
      <w:r w:rsidR="0003667A" w:rsidRPr="00B47BDA">
        <w:t xml:space="preserve"> </w:t>
      </w:r>
      <w:r w:rsidR="00CE7E57">
        <w:t>3</w:t>
      </w:r>
      <w:r w:rsidR="0003667A" w:rsidRPr="00B47BDA">
        <w:t xml:space="preserve">.4. </w:t>
      </w:r>
      <w:r w:rsidR="009B32F0" w:rsidRPr="00B47BDA">
        <w:t>Kao mjera za jačanje konkurentnosti predviđen</w:t>
      </w:r>
      <w:r w:rsidR="0059002C">
        <w:t>e su</w:t>
      </w:r>
      <w:r w:rsidR="009B32F0" w:rsidRPr="00B47BDA">
        <w:t xml:space="preserve"> mjer</w:t>
      </w:r>
      <w:r w:rsidR="0059002C">
        <w:t>e</w:t>
      </w:r>
      <w:r w:rsidR="009B32F0" w:rsidRPr="00B47BDA">
        <w:t xml:space="preserve"> UET-</w:t>
      </w:r>
      <w:r w:rsidR="0059002C">
        <w:t>5, UET-6 i UET-7</w:t>
      </w:r>
      <w:r w:rsidRPr="00B47BDA">
        <w:t>.</w:t>
      </w:r>
    </w:p>
    <w:p w14:paraId="3F14A381" w14:textId="77777777" w:rsidR="002431A8" w:rsidRPr="00B47BDA" w:rsidRDefault="002431A8" w:rsidP="005C2C7E">
      <w:pPr>
        <w:pStyle w:val="Heading4"/>
        <w:numPr>
          <w:ilvl w:val="3"/>
          <w:numId w:val="175"/>
        </w:numPr>
        <w:ind w:hanging="580"/>
      </w:pPr>
      <w:r w:rsidRPr="00B47BDA">
        <w:t xml:space="preserve">Opis mjera za omogućavanje i razvijanje upravljanja potrošnjom, uključujući one koje se odnose na tarife za poticanje dinamičnog određivanja cijena </w:t>
      </w:r>
    </w:p>
    <w:p w14:paraId="38F8AB26" w14:textId="5E9C37EC" w:rsidR="00C17E47" w:rsidRPr="00F1485E" w:rsidRDefault="00C17E47" w:rsidP="00801AB0">
      <w:pPr>
        <w:pStyle w:val="Mjeranaslov"/>
      </w:pPr>
      <w:r w:rsidRPr="00F1485E">
        <w:t>UET</w:t>
      </w:r>
      <w:r w:rsidR="00047FDB" w:rsidRPr="00F1485E">
        <w:t>-</w:t>
      </w:r>
      <w:r w:rsidR="00EC2F57">
        <w:t>7</w:t>
      </w:r>
      <w:r w:rsidRPr="00F1485E">
        <w:t xml:space="preserve"> Razrada regulatornog okvira za aktivno sudjelovanje </w:t>
      </w:r>
      <w:r w:rsidR="00A26D22" w:rsidRPr="00F1485E">
        <w:t xml:space="preserve">korisnika mreže </w:t>
      </w:r>
      <w:r w:rsidRPr="00F1485E">
        <w:t>na tržištu električne energije</w:t>
      </w:r>
    </w:p>
    <w:p w14:paraId="73B1509D" w14:textId="5C998A45" w:rsidR="006077B4" w:rsidRPr="00B47BDA" w:rsidRDefault="00F1485E" w:rsidP="00205D51">
      <w:r>
        <w:t>Informa</w:t>
      </w:r>
      <w:r w:rsidR="00152264">
        <w:t>cijska</w:t>
      </w:r>
      <w:r>
        <w:t xml:space="preserve"> i r</w:t>
      </w:r>
      <w:r w:rsidR="006077B4" w:rsidRPr="00F1485E">
        <w:t>egulatorna mjera; provedba 20</w:t>
      </w:r>
      <w:r w:rsidR="000C044C" w:rsidRPr="00F1485E">
        <w:t>2</w:t>
      </w:r>
      <w:r w:rsidR="00625A63" w:rsidRPr="00F1485E">
        <w:t>3</w:t>
      </w:r>
      <w:r w:rsidR="000C044C" w:rsidRPr="00F1485E">
        <w:t>. – 202</w:t>
      </w:r>
      <w:r w:rsidR="00625A63" w:rsidRPr="00F1485E">
        <w:t>5</w:t>
      </w:r>
      <w:r w:rsidR="000C044C" w:rsidRPr="00F1485E">
        <w:t>.</w:t>
      </w:r>
    </w:p>
    <w:p w14:paraId="36CA96F0" w14:textId="14473976" w:rsidR="00C17E47" w:rsidRPr="00B47BDA" w:rsidRDefault="000C044C" w:rsidP="00205D51">
      <w:r w:rsidRPr="63259912">
        <w:rPr>
          <w:b/>
          <w:bCs/>
        </w:rPr>
        <w:lastRenderedPageBreak/>
        <w:t>Cilj i opis mjere:</w:t>
      </w:r>
      <w:r w:rsidRPr="63259912">
        <w:t xml:space="preserve"> </w:t>
      </w:r>
      <w:r w:rsidR="00C17E47" w:rsidRPr="63259912">
        <w:t xml:space="preserve">Kako bi se omogućila aktivna </w:t>
      </w:r>
      <w:r w:rsidR="00F14DEF" w:rsidRPr="63259912">
        <w:t xml:space="preserve">uloga </w:t>
      </w:r>
      <w:r w:rsidR="00A26D22" w:rsidRPr="63259912">
        <w:t xml:space="preserve">korisnika mreže </w:t>
      </w:r>
      <w:r w:rsidR="00C17E47" w:rsidRPr="63259912">
        <w:t>na tržištu električne ene</w:t>
      </w:r>
      <w:r w:rsidR="0004023D" w:rsidRPr="63259912">
        <w:t>r</w:t>
      </w:r>
      <w:r w:rsidR="00C17E47" w:rsidRPr="63259912">
        <w:t>gije potrebno</w:t>
      </w:r>
      <w:r w:rsidR="00BB07F1" w:rsidRPr="63259912">
        <w:t xml:space="preserve"> je</w:t>
      </w:r>
      <w:r w:rsidR="00C17E47" w:rsidRPr="63259912">
        <w:t xml:space="preserve"> na odgovarajući način izmijeniti i dopuniti postojeći regulatorni okvir, </w:t>
      </w:r>
      <w:r w:rsidR="00983774" w:rsidRPr="63259912">
        <w:t>uključujući i pro</w:t>
      </w:r>
      <w:r w:rsidR="0005351F" w:rsidRPr="63259912">
        <w:t>v</w:t>
      </w:r>
      <w:r w:rsidR="00983774" w:rsidRPr="63259912">
        <w:t>edbene</w:t>
      </w:r>
      <w:r w:rsidR="0005351F" w:rsidRPr="63259912">
        <w:t xml:space="preserve"> propise</w:t>
      </w:r>
      <w:r w:rsidR="000237E0" w:rsidRPr="63259912">
        <w:t>.</w:t>
      </w:r>
      <w:r w:rsidR="00C17E47" w:rsidRPr="63259912">
        <w:t xml:space="preserve"> </w:t>
      </w:r>
      <w:r w:rsidR="004002F6" w:rsidRPr="63259912">
        <w:t>U</w:t>
      </w:r>
      <w:r w:rsidR="00C17E47" w:rsidRPr="63259912">
        <w:t>vođenje</w:t>
      </w:r>
      <w:r w:rsidR="004002F6" w:rsidRPr="63259912">
        <w:t>m</w:t>
      </w:r>
      <w:r w:rsidR="00C17E47" w:rsidRPr="63259912">
        <w:t xml:space="preserve"> agregatora kao tržišnog sudionika</w:t>
      </w:r>
      <w:r w:rsidR="006471AE" w:rsidRPr="63259912">
        <w:t xml:space="preserve"> te omogućava</w:t>
      </w:r>
      <w:r w:rsidR="0044760B" w:rsidRPr="63259912">
        <w:t>nje</w:t>
      </w:r>
      <w:r w:rsidR="004002F6" w:rsidRPr="63259912">
        <w:t>m</w:t>
      </w:r>
      <w:r w:rsidR="006471AE" w:rsidRPr="63259912">
        <w:t xml:space="preserve"> pokretanj</w:t>
      </w:r>
      <w:r w:rsidR="0044760B" w:rsidRPr="63259912">
        <w:t>a</w:t>
      </w:r>
      <w:r w:rsidR="006471AE" w:rsidRPr="63259912">
        <w:t xml:space="preserve"> pilot projek</w:t>
      </w:r>
      <w:r w:rsidR="00164856" w:rsidRPr="63259912">
        <w:t>a</w:t>
      </w:r>
      <w:r w:rsidR="006471AE" w:rsidRPr="63259912">
        <w:t xml:space="preserve">ta pružanja pomoćnih usluga detaljno će se analizirati usluge koje korisnici mogu pružati operatoru distribucijskog odnosno prijenosnog elektroenergetskog sustava. </w:t>
      </w:r>
      <w:r w:rsidR="000C6498" w:rsidRPr="63259912">
        <w:t>Također će se a</w:t>
      </w:r>
      <w:r w:rsidR="006471AE" w:rsidRPr="63259912">
        <w:t>nalizirat</w:t>
      </w:r>
      <w:r w:rsidR="000C6498" w:rsidRPr="63259912">
        <w:t>i</w:t>
      </w:r>
      <w:r w:rsidR="006471AE" w:rsidRPr="63259912">
        <w:t xml:space="preserve"> </w:t>
      </w:r>
      <w:r w:rsidR="00D176D9" w:rsidRPr="63259912">
        <w:t>potencijal</w:t>
      </w:r>
      <w:r w:rsidR="006E19BA" w:rsidRPr="63259912">
        <w:t>i</w:t>
      </w:r>
      <w:r w:rsidR="00D176D9" w:rsidRPr="63259912">
        <w:t xml:space="preserve"> za pružanje pomoćnih usluga i usluga fleksibilnosti odzivom potrošnje, </w:t>
      </w:r>
      <w:r w:rsidR="00F86E0E" w:rsidRPr="63259912">
        <w:t>potreb</w:t>
      </w:r>
      <w:r w:rsidR="00D176D9" w:rsidRPr="63259912">
        <w:t xml:space="preserve">e operatora </w:t>
      </w:r>
      <w:r w:rsidR="006E19BA" w:rsidRPr="63259912">
        <w:t>sustava</w:t>
      </w:r>
      <w:r w:rsidR="00F86E0E" w:rsidRPr="63259912">
        <w:t xml:space="preserve"> za pomoćnim uslugama</w:t>
      </w:r>
      <w:r w:rsidR="003C6658" w:rsidRPr="63259912">
        <w:t xml:space="preserve"> te njihove mo</w:t>
      </w:r>
      <w:r w:rsidR="006471AE" w:rsidRPr="63259912">
        <w:t>guće vrste, opseg, način i razdoblje pružanja. Identificirat će se prepreke korištenju pomoćnih usluga i predložiti načini njihova uklanjanja.</w:t>
      </w:r>
      <w:r w:rsidR="0044760B" w:rsidRPr="63259912">
        <w:t xml:space="preserve"> </w:t>
      </w:r>
      <w:r w:rsidR="00133F2F" w:rsidRPr="63259912">
        <w:t xml:space="preserve">U </w:t>
      </w:r>
      <w:r w:rsidR="00190E9B" w:rsidRPr="63259912">
        <w:t>provedbi ove mjere</w:t>
      </w:r>
      <w:r w:rsidR="00133F2F" w:rsidRPr="63259912">
        <w:t xml:space="preserve"> vodit će se računa</w:t>
      </w:r>
      <w:r w:rsidR="00F53233" w:rsidRPr="63259912">
        <w:t xml:space="preserve"> i</w:t>
      </w:r>
      <w:r w:rsidR="00133F2F" w:rsidRPr="63259912">
        <w:t xml:space="preserve"> o </w:t>
      </w:r>
      <w:r w:rsidR="00F53233" w:rsidRPr="63259912">
        <w:t xml:space="preserve">novim tehnologijama </w:t>
      </w:r>
      <w:r w:rsidR="00E9133E" w:rsidRPr="63259912">
        <w:t>(</w:t>
      </w:r>
      <w:r w:rsidR="00D56103" w:rsidRPr="63259912">
        <w:t>baterijski spremnici, punionice električnih vozila i</w:t>
      </w:r>
      <w:r w:rsidR="006C1087" w:rsidRPr="63259912">
        <w:t xml:space="preserve"> </w:t>
      </w:r>
      <w:r w:rsidR="00D56103" w:rsidRPr="63259912">
        <w:t>sl</w:t>
      </w:r>
      <w:r w:rsidR="006C1087" w:rsidRPr="63259912">
        <w:t>.</w:t>
      </w:r>
      <w:r w:rsidR="00D56103" w:rsidRPr="63259912">
        <w:t xml:space="preserve">) </w:t>
      </w:r>
      <w:r w:rsidR="00190E9B" w:rsidRPr="63259912">
        <w:t>za čiju je širu primjenu također potrebna dorada regulatornog okvira.</w:t>
      </w:r>
    </w:p>
    <w:p w14:paraId="3DF606F7" w14:textId="322F662C" w:rsidR="007C2577" w:rsidRPr="00B47BDA" w:rsidRDefault="007C2577" w:rsidP="63259912">
      <w:pPr>
        <w:rPr>
          <w:b/>
          <w:bCs/>
          <w:color w:val="000000"/>
        </w:rPr>
      </w:pPr>
      <w:r w:rsidRPr="63259912">
        <w:rPr>
          <w:b/>
          <w:bCs/>
          <w:color w:val="000000" w:themeColor="text1"/>
        </w:rPr>
        <w:t>Aktivnosti:</w:t>
      </w:r>
      <w:r w:rsidRPr="63259912">
        <w:t xml:space="preserve"> </w:t>
      </w:r>
      <w:r w:rsidR="00181347" w:rsidRPr="63259912">
        <w:t>razrada regulatornog okvira za nova energetska tržišta; razrada regulatornog okvira za nezavisnog agregatora</w:t>
      </w:r>
      <w:r w:rsidR="006471AE" w:rsidRPr="63259912">
        <w:t>; razrada regulatornog okvira za pružanje pomoćnih usluga</w:t>
      </w:r>
      <w:r w:rsidR="00164A12" w:rsidRPr="63259912">
        <w:t>.</w:t>
      </w:r>
    </w:p>
    <w:p w14:paraId="227605A7" w14:textId="67AC9F56" w:rsidR="007C2577" w:rsidRDefault="007C2577" w:rsidP="00205D51">
      <w:pPr>
        <w:rPr>
          <w:rFonts w:eastAsia="Calibri"/>
        </w:rPr>
      </w:pPr>
      <w:r w:rsidRPr="00B47BDA">
        <w:rPr>
          <w:b/>
        </w:rPr>
        <w:t>Sredstva potrebna za provedbu</w:t>
      </w:r>
      <w:r w:rsidRPr="00B47BDA">
        <w:t xml:space="preserve">: </w:t>
      </w:r>
      <w:r w:rsidR="0041288A" w:rsidRPr="00B47BDA">
        <w:t>redovan rad državnih tijela</w:t>
      </w:r>
      <w:r w:rsidR="00164A12">
        <w:t>.</w:t>
      </w:r>
    </w:p>
    <w:p w14:paraId="5448BD09" w14:textId="12201A07" w:rsidR="00E63048" w:rsidRPr="003621F9" w:rsidRDefault="00E63048" w:rsidP="00E63048">
      <w:r w:rsidRPr="00205D51">
        <w:rPr>
          <w:b/>
          <w:bCs/>
        </w:rPr>
        <w:t>Izvori financiranja</w:t>
      </w:r>
      <w:r w:rsidRPr="00205D51">
        <w:t xml:space="preserve">: </w:t>
      </w:r>
      <w:r w:rsidR="00AD4706" w:rsidRPr="00205D51">
        <w:t>HERA</w:t>
      </w:r>
      <w:r w:rsidR="00D65C4D">
        <w:t>, HEP</w:t>
      </w:r>
      <w:r w:rsidR="001533BD">
        <w:t>-</w:t>
      </w:r>
      <w:r w:rsidR="00D65C4D">
        <w:t>ODS, HOPS</w:t>
      </w:r>
      <w:r w:rsidRPr="00205D51">
        <w:t>.</w:t>
      </w:r>
    </w:p>
    <w:p w14:paraId="7F41BF24" w14:textId="0EDE2159" w:rsidR="007C2577" w:rsidRPr="00B47BDA" w:rsidRDefault="007C2577" w:rsidP="004623DD">
      <w:r w:rsidRPr="00B47BDA">
        <w:rPr>
          <w:b/>
        </w:rPr>
        <w:t>Izvršno tijelo:</w:t>
      </w:r>
      <w:r w:rsidRPr="00B47BDA">
        <w:t xml:space="preserve"> </w:t>
      </w:r>
      <w:r w:rsidR="00FC12DE" w:rsidRPr="00B47BDA">
        <w:t xml:space="preserve">Ministarstvo gospodarstva i </w:t>
      </w:r>
      <w:r w:rsidR="00A87F39" w:rsidRPr="00B47BDA">
        <w:t xml:space="preserve">tijela </w:t>
      </w:r>
      <w:r w:rsidR="0013320D" w:rsidRPr="00B47BDA">
        <w:t xml:space="preserve">odgovorna za </w:t>
      </w:r>
      <w:r w:rsidR="00FC12DE" w:rsidRPr="00B47BDA">
        <w:t>donošenje provedbenih propisa</w:t>
      </w:r>
      <w:r w:rsidR="00164A12">
        <w:t>.</w:t>
      </w:r>
    </w:p>
    <w:p w14:paraId="184EC570" w14:textId="50F04497" w:rsidR="007C2577" w:rsidRPr="00B47BDA" w:rsidRDefault="007C2577" w:rsidP="004623DD">
      <w:pPr>
        <w:rPr>
          <w:rFonts w:eastAsia="Calibri"/>
        </w:rPr>
      </w:pPr>
      <w:r w:rsidRPr="00B47BDA">
        <w:rPr>
          <w:b/>
        </w:rPr>
        <w:t>Tijelo za praćenje:</w:t>
      </w:r>
      <w:r w:rsidRPr="00B47BDA">
        <w:t xml:space="preserve"> </w:t>
      </w:r>
      <w:r w:rsidR="0042776E" w:rsidRPr="00B47BDA">
        <w:t>Ministarstvo gospodarstva</w:t>
      </w:r>
      <w:r w:rsidR="00164A12">
        <w:t>.</w:t>
      </w:r>
    </w:p>
    <w:p w14:paraId="20F908D2" w14:textId="7A582DEC" w:rsidR="007C2577" w:rsidRPr="00B47BDA" w:rsidRDefault="007C2577" w:rsidP="63259912">
      <w:pPr>
        <w:rPr>
          <w:rFonts w:eastAsia="Calibri"/>
        </w:rPr>
      </w:pPr>
      <w:r w:rsidRPr="63259912">
        <w:rPr>
          <w:b/>
          <w:bCs/>
        </w:rPr>
        <w:t xml:space="preserve">Učinak: </w:t>
      </w:r>
      <w:r w:rsidR="00FC4736" w:rsidRPr="63259912">
        <w:t xml:space="preserve">Pojava agregatora na </w:t>
      </w:r>
      <w:r w:rsidR="009A5BBB" w:rsidRPr="63259912">
        <w:t xml:space="preserve">energetskim tržištima; pojava </w:t>
      </w:r>
      <w:r w:rsidR="00D65C4D" w:rsidRPr="63259912">
        <w:t xml:space="preserve">ostalih </w:t>
      </w:r>
      <w:r w:rsidR="009A5BBB" w:rsidRPr="63259912">
        <w:t>tržišta</w:t>
      </w:r>
      <w:r w:rsidR="007462F2" w:rsidRPr="63259912">
        <w:t xml:space="preserve"> električne energije</w:t>
      </w:r>
      <w:r w:rsidR="00164A12" w:rsidRPr="63259912">
        <w:t>.</w:t>
      </w:r>
    </w:p>
    <w:p w14:paraId="0CD41D6F" w14:textId="23E6BB36" w:rsidR="007C2577" w:rsidRPr="00B47BDA" w:rsidRDefault="007C2577" w:rsidP="004623DD">
      <w:pPr>
        <w:rPr>
          <w:rFonts w:eastAsia="Calibri"/>
        </w:rPr>
      </w:pPr>
      <w:r w:rsidRPr="00B47BDA">
        <w:rPr>
          <w:b/>
        </w:rPr>
        <w:t>Metoda praćenja:</w:t>
      </w:r>
      <w:r w:rsidRPr="00B47BDA">
        <w:t xml:space="preserve"> </w:t>
      </w:r>
      <w:r w:rsidR="008D7993">
        <w:t>I</w:t>
      </w:r>
      <w:r w:rsidRPr="00B47BDA">
        <w:t>zvještaji HERA-</w:t>
      </w:r>
      <w:r w:rsidR="00FC4736" w:rsidRPr="00B47BDA">
        <w:t>e</w:t>
      </w:r>
      <w:r w:rsidR="00164A12">
        <w:t>.</w:t>
      </w:r>
    </w:p>
    <w:p w14:paraId="4079E731" w14:textId="33585072" w:rsidR="007C2577" w:rsidRPr="00B47BDA" w:rsidRDefault="007C2577" w:rsidP="63259912">
      <w:pPr>
        <w:rPr>
          <w:rFonts w:eastAsia="Calibri"/>
        </w:rPr>
      </w:pPr>
      <w:r w:rsidRPr="63259912">
        <w:rPr>
          <w:b/>
          <w:bCs/>
        </w:rPr>
        <w:t xml:space="preserve">Povezanost s drugim dimenzijama: </w:t>
      </w:r>
      <w:r w:rsidR="00CA4496" w:rsidRPr="63259912">
        <w:t>D</w:t>
      </w:r>
      <w:r w:rsidRPr="63259912">
        <w:t>ekarbonizacija – OIE, energetska sigurnost</w:t>
      </w:r>
      <w:r w:rsidR="00164A12" w:rsidRPr="63259912">
        <w:t>.</w:t>
      </w:r>
    </w:p>
    <w:p w14:paraId="69C32895" w14:textId="08E024CE" w:rsidR="007C2577" w:rsidRDefault="007C2577" w:rsidP="004623DD">
      <w:r w:rsidRPr="00B47BDA">
        <w:rPr>
          <w:b/>
        </w:rPr>
        <w:t>Istraživanje i razvoj</w:t>
      </w:r>
      <w:r w:rsidRPr="00B47BDA">
        <w:t xml:space="preserve">: </w:t>
      </w:r>
      <w:r w:rsidR="00CA4496">
        <w:t>U</w:t>
      </w:r>
      <w:r w:rsidR="005943ED" w:rsidRPr="00B47BDA">
        <w:t xml:space="preserve">ključivanje korisnika; </w:t>
      </w:r>
      <w:r w:rsidR="00CA6FB8" w:rsidRPr="00B47BDA">
        <w:t xml:space="preserve">napredne tehnologije za korisnike; razvoj OIE; pohrana energije; </w:t>
      </w:r>
      <w:r w:rsidR="00181347" w:rsidRPr="00B47BDA">
        <w:t>fleksibilnost sustava</w:t>
      </w:r>
      <w:r w:rsidR="00164A12">
        <w:t>.</w:t>
      </w:r>
    </w:p>
    <w:p w14:paraId="51ACCCCA" w14:textId="7CBA1A13" w:rsidR="00D854FD" w:rsidRPr="00B47BDA" w:rsidRDefault="00D854FD" w:rsidP="00801AB0">
      <w:pPr>
        <w:pStyle w:val="Mjeranaslov"/>
      </w:pPr>
      <w:r w:rsidRPr="00B47BDA">
        <w:t>UET-</w:t>
      </w:r>
      <w:r w:rsidR="00EC2F57">
        <w:t>8</w:t>
      </w:r>
      <w:r w:rsidR="00477239">
        <w:t xml:space="preserve"> </w:t>
      </w:r>
      <w:r w:rsidRPr="00B47BDA">
        <w:tab/>
        <w:t>Uvođenje naprednih sustava mjerenja potrošnje i upravljanja mjernim podacima</w:t>
      </w:r>
    </w:p>
    <w:p w14:paraId="19FDEBA5" w14:textId="57B2F0BE" w:rsidR="00F973DF" w:rsidRPr="00B47BDA" w:rsidRDefault="005F78E1" w:rsidP="004623DD">
      <w:pPr>
        <w:pStyle w:val="NormalWeb"/>
      </w:pPr>
      <w:r w:rsidRPr="00B47BDA">
        <w:t>Financijska mjera; provedba 2021. -2030.</w:t>
      </w:r>
    </w:p>
    <w:p w14:paraId="6D395272" w14:textId="210602E4" w:rsidR="00D854FD" w:rsidRPr="00B47BDA" w:rsidRDefault="00877E25" w:rsidP="00205D51">
      <w:pPr>
        <w:pStyle w:val="NormalWeb"/>
      </w:pPr>
      <w:r w:rsidRPr="00B47BDA">
        <w:rPr>
          <w:b/>
          <w:color w:val="000000"/>
        </w:rPr>
        <w:t>Cilj i opis mjere:</w:t>
      </w:r>
      <w:r w:rsidRPr="00B47BDA">
        <w:rPr>
          <w:color w:val="000000"/>
        </w:rPr>
        <w:t xml:space="preserve"> </w:t>
      </w:r>
      <w:r w:rsidR="00D854FD" w:rsidRPr="00B47BDA">
        <w:t xml:space="preserve">Kako bi se omogućio daljnji razvoj tržišta </w:t>
      </w:r>
      <w:r w:rsidR="005C7DF4" w:rsidRPr="00B47BDA">
        <w:t xml:space="preserve">električne energije </w:t>
      </w:r>
      <w:r w:rsidR="00D854FD" w:rsidRPr="00B47BDA">
        <w:t xml:space="preserve">i aktivna uloga kupaca </w:t>
      </w:r>
      <w:r w:rsidR="0010496D" w:rsidRPr="00B47BDA">
        <w:t xml:space="preserve">električne </w:t>
      </w:r>
      <w:r w:rsidR="00D854FD" w:rsidRPr="00B47BDA">
        <w:t xml:space="preserve">energije na tržištima, planira se uvođenje naprednih </w:t>
      </w:r>
      <w:r w:rsidR="007E6B7D" w:rsidRPr="00B47BDA">
        <w:t>mjernih uređaja</w:t>
      </w:r>
      <w:r w:rsidR="00FD5B29" w:rsidRPr="00B47BDA">
        <w:t xml:space="preserve">, </w:t>
      </w:r>
      <w:r w:rsidR="00454EB5" w:rsidRPr="00B47BDA">
        <w:t>sustava za upravljanje mjern</w:t>
      </w:r>
      <w:r w:rsidR="005A715A" w:rsidRPr="00B47BDA">
        <w:t>im podacima</w:t>
      </w:r>
      <w:r w:rsidR="007E6B7D" w:rsidRPr="00B47BDA">
        <w:t xml:space="preserve"> i sustava </w:t>
      </w:r>
      <w:r w:rsidR="00D854FD" w:rsidRPr="00B47BDA">
        <w:t>na razini potrošnje.</w:t>
      </w:r>
    </w:p>
    <w:p w14:paraId="253B0BC8" w14:textId="6032B9EC" w:rsidR="0064546D" w:rsidRPr="00B47BDA" w:rsidRDefault="0064546D" w:rsidP="00205D51">
      <w:pPr>
        <w:rPr>
          <w:rFonts w:eastAsia="Calibri"/>
        </w:rPr>
      </w:pPr>
      <w:r w:rsidRPr="00B47BDA">
        <w:rPr>
          <w:b/>
        </w:rPr>
        <w:t>Aktivnosti:</w:t>
      </w:r>
      <w:r w:rsidRPr="00B47BDA">
        <w:t xml:space="preserve"> </w:t>
      </w:r>
      <w:r w:rsidR="00642D44" w:rsidRPr="00B47BDA">
        <w:t>prema Desetogodišnjem planu razvoja distribucijske mreže</w:t>
      </w:r>
      <w:r w:rsidR="00164A12">
        <w:t>.</w:t>
      </w:r>
    </w:p>
    <w:p w14:paraId="57F978FC" w14:textId="37F87D07" w:rsidR="0064546D" w:rsidRPr="00B47BDA" w:rsidRDefault="0064546D" w:rsidP="00205D51">
      <w:r w:rsidRPr="00801AB0">
        <w:rPr>
          <w:b/>
          <w:bCs/>
        </w:rPr>
        <w:t>Sredstva potrebna za provedbu:</w:t>
      </w:r>
      <w:r w:rsidRPr="00B47BDA">
        <w:t xml:space="preserve"> </w:t>
      </w:r>
      <w:r w:rsidR="00E50DE9" w:rsidRPr="00B47BDA">
        <w:t>274 milijuna EUR</w:t>
      </w:r>
      <w:r w:rsidR="00164A12">
        <w:t>.</w:t>
      </w:r>
    </w:p>
    <w:p w14:paraId="1D4360CA" w14:textId="277984B3" w:rsidR="000752A0" w:rsidRPr="00B47BDA" w:rsidRDefault="0064546D" w:rsidP="00205D51">
      <w:pPr>
        <w:rPr>
          <w:rFonts w:eastAsia="Calibri"/>
        </w:rPr>
      </w:pPr>
      <w:r w:rsidRPr="00B47BDA">
        <w:rPr>
          <w:b/>
        </w:rPr>
        <w:t xml:space="preserve">Izvori financiranja: </w:t>
      </w:r>
      <w:r w:rsidR="00CA4496">
        <w:t>N</w:t>
      </w:r>
      <w:r w:rsidR="000752A0" w:rsidRPr="00B47BDA">
        <w:t>aknada za distribuciju električne energije; sudjelovanje korisnika</w:t>
      </w:r>
      <w:r w:rsidR="009959E8" w:rsidRPr="00B47BDA">
        <w:t xml:space="preserve"> mreže</w:t>
      </w:r>
      <w:r w:rsidR="000752A0" w:rsidRPr="00B47BDA">
        <w:t xml:space="preserve">; EU sredstva (strukturni, </w:t>
      </w:r>
      <w:r w:rsidR="395E7CB8">
        <w:t>I</w:t>
      </w:r>
      <w:r w:rsidR="7C589C44">
        <w:t>novacijski</w:t>
      </w:r>
      <w:r w:rsidR="000752A0" w:rsidRPr="00B47BDA">
        <w:t xml:space="preserve"> i </w:t>
      </w:r>
      <w:r w:rsidR="410CC7B6">
        <w:t>M</w:t>
      </w:r>
      <w:r w:rsidR="7C589C44">
        <w:t>odernizacijski</w:t>
      </w:r>
      <w:r w:rsidR="000752A0" w:rsidRPr="00B47BDA">
        <w:t xml:space="preserve"> fond), NPOO</w:t>
      </w:r>
      <w:r w:rsidR="00164A12">
        <w:t>.</w:t>
      </w:r>
    </w:p>
    <w:p w14:paraId="5F9EC3E1" w14:textId="0C6829D9" w:rsidR="0064546D" w:rsidRPr="00B47BDA" w:rsidRDefault="0064546D" w:rsidP="00205D51">
      <w:r w:rsidRPr="00801AB0">
        <w:rPr>
          <w:b/>
          <w:bCs/>
        </w:rPr>
        <w:t>Izvršno tijelo:</w:t>
      </w:r>
      <w:r w:rsidRPr="00B47BDA">
        <w:t xml:space="preserve"> </w:t>
      </w:r>
      <w:r w:rsidR="00642D44" w:rsidRPr="00B47BDA">
        <w:t>HEP</w:t>
      </w:r>
      <w:r w:rsidR="008D3B0D">
        <w:t>-</w:t>
      </w:r>
      <w:r w:rsidR="00642D44" w:rsidRPr="00B47BDA">
        <w:t>ODS</w:t>
      </w:r>
      <w:r w:rsidR="00164A12">
        <w:t>.</w:t>
      </w:r>
    </w:p>
    <w:p w14:paraId="2C9077A9" w14:textId="2C8439EF" w:rsidR="0064546D" w:rsidRPr="00B47BDA" w:rsidRDefault="0064546D" w:rsidP="00205D51">
      <w:r w:rsidRPr="00801AB0">
        <w:rPr>
          <w:b/>
          <w:bCs/>
        </w:rPr>
        <w:t>Tijela za praćenje:</w:t>
      </w:r>
      <w:r w:rsidR="00B6566F" w:rsidRPr="00B47BDA">
        <w:t xml:space="preserve"> HERA</w:t>
      </w:r>
      <w:r w:rsidR="00164A12">
        <w:t>.</w:t>
      </w:r>
    </w:p>
    <w:p w14:paraId="103E1F3B" w14:textId="248D03A5" w:rsidR="0064546D" w:rsidRPr="00B47BDA" w:rsidRDefault="0064546D" w:rsidP="00205D51">
      <w:r w:rsidRPr="00B47BDA">
        <w:rPr>
          <w:b/>
        </w:rPr>
        <w:t xml:space="preserve">Učinak: </w:t>
      </w:r>
      <w:r w:rsidR="00CA4496">
        <w:t>O</w:t>
      </w:r>
      <w:r w:rsidR="004F0574" w:rsidRPr="00B47BDA">
        <w:t xml:space="preserve">mogućavanje aktivne uloge kupaca na tržištu električne energije, digitalizacija i unapređenje poslovanja ODS-a, </w:t>
      </w:r>
      <w:r w:rsidR="005E0081" w:rsidRPr="00B47BDA">
        <w:t>podrška tržištu električne energije</w:t>
      </w:r>
      <w:r w:rsidR="00A204E3" w:rsidRPr="00B47BDA">
        <w:t>,</w:t>
      </w:r>
      <w:r w:rsidR="00D8032F" w:rsidRPr="00B47BDA">
        <w:t xml:space="preserve"> uspostava </w:t>
      </w:r>
      <w:r w:rsidR="00A204E3" w:rsidRPr="00B47BDA">
        <w:t>jedi</w:t>
      </w:r>
      <w:r w:rsidR="00AD08EB" w:rsidRPr="00B47BDA">
        <w:t xml:space="preserve">nstvenog </w:t>
      </w:r>
      <w:r w:rsidR="00D8032F" w:rsidRPr="00B47BDA">
        <w:lastRenderedPageBreak/>
        <w:t>s</w:t>
      </w:r>
      <w:r w:rsidR="00A204E3" w:rsidRPr="00B47BDA">
        <w:t>ustava za upravljanje mjernim podacima</w:t>
      </w:r>
      <w:r w:rsidR="00AD08EB" w:rsidRPr="00B47BDA">
        <w:t xml:space="preserve">, </w:t>
      </w:r>
      <w:r w:rsidR="00D714B3" w:rsidRPr="00B47BDA">
        <w:t>smanjenje gubitaka električne energije (energetsk</w:t>
      </w:r>
      <w:r w:rsidR="00C904A8" w:rsidRPr="00B47BDA">
        <w:t xml:space="preserve">a učinkovitost i </w:t>
      </w:r>
      <w:r w:rsidR="00BE4B31" w:rsidRPr="00B47BDA">
        <w:t>smanjenje neovlaštene potr</w:t>
      </w:r>
      <w:r w:rsidR="005E6AC0" w:rsidRPr="00B47BDA">
        <w:t>ošnje električne energije)</w:t>
      </w:r>
      <w:r w:rsidR="00164A12">
        <w:t>.</w:t>
      </w:r>
    </w:p>
    <w:p w14:paraId="65A6589B" w14:textId="3AC61B86" w:rsidR="0064546D" w:rsidRPr="00B47BDA" w:rsidRDefault="0064546D" w:rsidP="00205D51">
      <w:r w:rsidRPr="00B47BDA">
        <w:rPr>
          <w:b/>
        </w:rPr>
        <w:t>Metoda praćenja:</w:t>
      </w:r>
      <w:r w:rsidRPr="00B47BDA">
        <w:t xml:space="preserve"> </w:t>
      </w:r>
      <w:r w:rsidR="00CA4496">
        <w:t>I</w:t>
      </w:r>
      <w:r w:rsidR="004D081E" w:rsidRPr="00B47BDA">
        <w:t>zvještaji HERA-i</w:t>
      </w:r>
      <w:r w:rsidR="00AD08EB" w:rsidRPr="00B47BDA">
        <w:t>, odobravanje i praćenje provedbe Desetogodišnjeg plana razvoja distribucijske mreže</w:t>
      </w:r>
      <w:r w:rsidR="00164A12">
        <w:t>.</w:t>
      </w:r>
    </w:p>
    <w:p w14:paraId="1987D62B" w14:textId="2401121C" w:rsidR="0064546D" w:rsidRPr="00B47BDA" w:rsidRDefault="0064546D" w:rsidP="00205D51">
      <w:r w:rsidRPr="00B47BDA">
        <w:rPr>
          <w:b/>
        </w:rPr>
        <w:t>Pokazatelj provedbe mjere (indikator):</w:t>
      </w:r>
      <w:r w:rsidR="005E6AC0" w:rsidRPr="00B47BDA">
        <w:rPr>
          <w:b/>
        </w:rPr>
        <w:t xml:space="preserve"> </w:t>
      </w:r>
      <w:r w:rsidR="00CA4496">
        <w:t>R</w:t>
      </w:r>
      <w:r w:rsidR="00730313" w:rsidRPr="00B47BDA">
        <w:t xml:space="preserve">ealizacija (po godinama) </w:t>
      </w:r>
      <w:r w:rsidR="005A0CBE" w:rsidRPr="00B47BDA">
        <w:t>plan</w:t>
      </w:r>
      <w:r w:rsidR="007736C2" w:rsidRPr="00B47BDA">
        <w:t xml:space="preserve">a </w:t>
      </w:r>
      <w:r w:rsidR="00703A80" w:rsidRPr="00B47BDA">
        <w:t xml:space="preserve">sveobuhvatne </w:t>
      </w:r>
      <w:r w:rsidR="007736C2" w:rsidRPr="00B47BDA">
        <w:t xml:space="preserve">ugradnje </w:t>
      </w:r>
      <w:r w:rsidR="00651275" w:rsidRPr="00B47BDA">
        <w:t xml:space="preserve">sustava </w:t>
      </w:r>
      <w:r w:rsidR="00703A80" w:rsidRPr="00B47BDA">
        <w:t>napredne mjerne infrastrukture</w:t>
      </w:r>
      <w:r w:rsidR="00164A12">
        <w:t>.</w:t>
      </w:r>
    </w:p>
    <w:p w14:paraId="489DB6F1" w14:textId="7938FE15" w:rsidR="0064546D" w:rsidRPr="00B47BDA" w:rsidRDefault="0064546D" w:rsidP="00205D51">
      <w:r w:rsidRPr="63259912">
        <w:rPr>
          <w:b/>
          <w:bCs/>
        </w:rPr>
        <w:t xml:space="preserve">Povezanost s drugim dimenzijama: </w:t>
      </w:r>
      <w:r w:rsidR="00CA4496" w:rsidRPr="63259912">
        <w:t>D</w:t>
      </w:r>
      <w:r w:rsidR="00963BAA" w:rsidRPr="63259912">
        <w:t>ekarbonizacija – OIE, energetska učinkovitost, energetska sigurnost</w:t>
      </w:r>
      <w:r w:rsidR="00164A12" w:rsidRPr="63259912">
        <w:t>.</w:t>
      </w:r>
    </w:p>
    <w:p w14:paraId="28F40A93" w14:textId="64756DFA" w:rsidR="00D854FD" w:rsidRPr="00DC3A7B" w:rsidRDefault="0064546D" w:rsidP="004623DD">
      <w:pPr>
        <w:rPr>
          <w:rFonts w:eastAsia="Calibri"/>
          <w:b/>
        </w:rPr>
      </w:pPr>
      <w:r w:rsidRPr="00B47BDA">
        <w:rPr>
          <w:rFonts w:eastAsia="Calibri"/>
          <w:b/>
        </w:rPr>
        <w:t xml:space="preserve">Istraživanje i razvoj: </w:t>
      </w:r>
      <w:r w:rsidR="006857FF" w:rsidRPr="00B47BDA">
        <w:rPr>
          <w:rFonts w:eastAsia="Calibri"/>
        </w:rPr>
        <w:t>uključivanje korisnika; napredne tehnologije za korisnike; razvoj OIE; fleksibilnost sustava</w:t>
      </w:r>
      <w:r w:rsidR="00164A12">
        <w:rPr>
          <w:rFonts w:eastAsia="Calibri"/>
        </w:rPr>
        <w:t>.</w:t>
      </w:r>
    </w:p>
    <w:p w14:paraId="7D82C2DD" w14:textId="7F542C4F" w:rsidR="00C21988" w:rsidRPr="00B47BDA" w:rsidRDefault="00C21988" w:rsidP="005C2C7E">
      <w:pPr>
        <w:pStyle w:val="Heading3"/>
        <w:numPr>
          <w:ilvl w:val="2"/>
          <w:numId w:val="175"/>
        </w:numPr>
      </w:pPr>
      <w:bookmarkStart w:id="482" w:name="_Toc531935163"/>
      <w:bookmarkStart w:id="483" w:name="_Toc531945113"/>
      <w:bookmarkStart w:id="484" w:name="_Toc6302370"/>
      <w:bookmarkStart w:id="485" w:name="_Toc187418354"/>
      <w:bookmarkStart w:id="486" w:name="_Toc193043279"/>
      <w:r w:rsidRPr="00B47BDA">
        <w:t>Energetsko siromaštvo</w:t>
      </w:r>
      <w:bookmarkEnd w:id="482"/>
      <w:bookmarkEnd w:id="483"/>
      <w:bookmarkEnd w:id="484"/>
      <w:r w:rsidR="006F6368">
        <w:t xml:space="preserve"> i </w:t>
      </w:r>
      <w:r w:rsidR="00A62D3E" w:rsidRPr="00A62D3E">
        <w:t>siromaštv</w:t>
      </w:r>
      <w:r w:rsidR="00A62D3E">
        <w:t>o</w:t>
      </w:r>
      <w:r w:rsidR="00A62D3E" w:rsidRPr="00A62D3E">
        <w:t xml:space="preserve"> u pogledu mobilnosti</w:t>
      </w:r>
      <w:bookmarkEnd w:id="485"/>
      <w:bookmarkEnd w:id="486"/>
    </w:p>
    <w:p w14:paraId="23CE2A09" w14:textId="6F312129" w:rsidR="00096A52" w:rsidRPr="00B47BDA" w:rsidRDefault="00096A52" w:rsidP="005C2C7E">
      <w:pPr>
        <w:pStyle w:val="Heading4"/>
        <w:numPr>
          <w:ilvl w:val="3"/>
          <w:numId w:val="175"/>
        </w:numPr>
        <w:ind w:hanging="580"/>
      </w:pPr>
      <w:r w:rsidRPr="00B47BDA">
        <w:t xml:space="preserve">Ako je primjenjivo, politike i mjere za ostvarivanje ciljeva iz </w:t>
      </w:r>
      <w:r w:rsidR="00E479E1">
        <w:t>točke</w:t>
      </w:r>
      <w:r w:rsidRPr="00B47BDA">
        <w:t xml:space="preserve"> </w:t>
      </w:r>
      <w:r w:rsidR="001A58F0">
        <w:t>2</w:t>
      </w:r>
      <w:r w:rsidRPr="00B47BDA">
        <w:t>.4.4</w:t>
      </w:r>
    </w:p>
    <w:p w14:paraId="383126AD" w14:textId="4DE6E1AA" w:rsidR="006A427C" w:rsidRPr="00B47BDA" w:rsidRDefault="006A427C" w:rsidP="004623DD">
      <w:r w:rsidRPr="00B47BDA">
        <w:t xml:space="preserve">Kako bi se ostvarili ciljevi iz </w:t>
      </w:r>
      <w:r w:rsidR="00627DAA">
        <w:t>točke</w:t>
      </w:r>
      <w:r w:rsidRPr="00B47BDA">
        <w:t xml:space="preserve"> </w:t>
      </w:r>
      <w:r w:rsidR="001A58F0">
        <w:t>2</w:t>
      </w:r>
      <w:r w:rsidRPr="00B47BDA">
        <w:t>.4.4, u razdoblju od 2021. do 2030. godine provodit će se sljedeć</w:t>
      </w:r>
      <w:r w:rsidR="00F2577A" w:rsidRPr="00B47BDA">
        <w:t>a</w:t>
      </w:r>
      <w:r w:rsidRPr="00B47BDA">
        <w:t xml:space="preserve"> mjer</w:t>
      </w:r>
      <w:r w:rsidR="00F2577A" w:rsidRPr="00B47BDA">
        <w:t>a</w:t>
      </w:r>
      <w:r w:rsidRPr="00B47BDA">
        <w:t>:</w:t>
      </w:r>
    </w:p>
    <w:p w14:paraId="334492E0" w14:textId="00C2BD35" w:rsidR="00F2577A" w:rsidRPr="00B47BDA" w:rsidRDefault="006A427C" w:rsidP="00801AB0">
      <w:pPr>
        <w:pStyle w:val="Mjeranaslov"/>
      </w:pPr>
      <w:r w:rsidRPr="00B47BDA">
        <w:t>UET</w:t>
      </w:r>
      <w:r w:rsidR="00641C0F" w:rsidRPr="00B47BDA">
        <w:t>-</w:t>
      </w:r>
      <w:r w:rsidR="00EC2F57">
        <w:t>9</w:t>
      </w:r>
      <w:r w:rsidR="00535CA7">
        <w:t xml:space="preserve"> </w:t>
      </w:r>
      <w:r w:rsidR="004654CF" w:rsidRPr="00B47BDA">
        <w:tab/>
      </w:r>
      <w:r w:rsidR="00062DBB" w:rsidRPr="00B47BDA">
        <w:t>Usvajanje i p</w:t>
      </w:r>
      <w:r w:rsidR="004654CF" w:rsidRPr="00B47BDA">
        <w:t>rove</w:t>
      </w:r>
      <w:r w:rsidR="007145ED" w:rsidRPr="00B47BDA">
        <w:t>d</w:t>
      </w:r>
      <w:r w:rsidR="004654CF" w:rsidRPr="00B47BDA">
        <w:t>ba Programa suzbijanja energetsk</w:t>
      </w:r>
      <w:r w:rsidR="00682831" w:rsidRPr="00B47BDA">
        <w:t>og</w:t>
      </w:r>
      <w:r w:rsidR="004654CF" w:rsidRPr="00B47BDA">
        <w:t xml:space="preserve"> </w:t>
      </w:r>
      <w:r w:rsidR="00682831" w:rsidRPr="00B47BDA">
        <w:t>siromaštva</w:t>
      </w:r>
      <w:r w:rsidR="00C44A95">
        <w:t xml:space="preserve"> te Programa </w:t>
      </w:r>
      <w:r w:rsidR="00437D2D">
        <w:t xml:space="preserve">suzbijanja </w:t>
      </w:r>
      <w:r w:rsidR="00437D2D" w:rsidRPr="00437D2D">
        <w:t>siromaštva u pogledu mobilnosti</w:t>
      </w:r>
    </w:p>
    <w:p w14:paraId="7009C6E7" w14:textId="7E3D42F3" w:rsidR="00E00B3E" w:rsidRPr="00B47BDA" w:rsidRDefault="00685CDE" w:rsidP="004623DD">
      <w:r w:rsidRPr="00B47BDA">
        <w:t>Informativna i financijska mjera; Provedba 2021. – 2030.</w:t>
      </w:r>
    </w:p>
    <w:p w14:paraId="34904975" w14:textId="49E14244" w:rsidR="00685CDE" w:rsidRPr="00B47BDA" w:rsidRDefault="00685CDE" w:rsidP="00205D51">
      <w:r w:rsidRPr="00B47BDA">
        <w:rPr>
          <w:b/>
        </w:rPr>
        <w:t>Cilj i opis mjere:</w:t>
      </w:r>
      <w:r w:rsidR="000D7028" w:rsidRPr="00B47BDA">
        <w:t xml:space="preserve"> </w:t>
      </w:r>
      <w:r w:rsidR="009A4436" w:rsidRPr="00B47BDA">
        <w:t xml:space="preserve">Izrada programa za suzbijanje energetskog siromaštva, </w:t>
      </w:r>
      <w:r w:rsidR="000D7028" w:rsidRPr="00B47BDA">
        <w:t>ublažavanje energetskog siromaštva i stupnja ugroženosti njime; uspostava sustava praćenja energetskog siromaštva</w:t>
      </w:r>
      <w:r w:rsidR="00437D2D">
        <w:t>, i</w:t>
      </w:r>
      <w:r w:rsidR="00437D2D" w:rsidRPr="00437D2D">
        <w:t>zrada programa za suzbijanje siromaštva u pogledu mobilnosti, ublažavanje siromaštva u pogledu mobilnosti i stupnja ugroženosti njime; uspostava sustava praćenja siromaštva u pogledu mobilnosti</w:t>
      </w:r>
      <w:r w:rsidR="000B599A">
        <w:t>.</w:t>
      </w:r>
      <w:r w:rsidR="00437D2D" w:rsidRPr="00437D2D">
        <w:t xml:space="preserve"> </w:t>
      </w:r>
    </w:p>
    <w:p w14:paraId="5E0E7F64" w14:textId="2DDEFA28" w:rsidR="00937302" w:rsidRPr="00B47BDA" w:rsidRDefault="00685CDE" w:rsidP="00205D51">
      <w:r w:rsidRPr="63259912">
        <w:rPr>
          <w:b/>
          <w:bCs/>
        </w:rPr>
        <w:t>Aktivnosti</w:t>
      </w:r>
      <w:r w:rsidR="000250A9" w:rsidRPr="63259912">
        <w:rPr>
          <w:b/>
          <w:bCs/>
        </w:rPr>
        <w:t>:</w:t>
      </w:r>
      <w:r w:rsidR="000250A9" w:rsidRPr="63259912">
        <w:t xml:space="preserve"> </w:t>
      </w:r>
      <w:r w:rsidR="004654CF" w:rsidRPr="63259912">
        <w:t xml:space="preserve">U okviru </w:t>
      </w:r>
      <w:r w:rsidR="00F35D34" w:rsidRPr="63259912">
        <w:t xml:space="preserve">oba </w:t>
      </w:r>
      <w:r w:rsidR="00C422A9" w:rsidRPr="63259912">
        <w:t xml:space="preserve">navedena </w:t>
      </w:r>
      <w:r w:rsidR="004654CF" w:rsidRPr="63259912">
        <w:t>Programa, na</w:t>
      </w:r>
      <w:r w:rsidR="007D7B4A" w:rsidRPr="63259912">
        <w:t>s</w:t>
      </w:r>
      <w:r w:rsidR="004654CF" w:rsidRPr="63259912">
        <w:t>tavit će se s izgradnjom kapaciteta putem lokalnih info-centara te će se energetski siromašnim građanima kao i građanima u riziku od energetskog siromaštva</w:t>
      </w:r>
      <w:r w:rsidR="00F35D34" w:rsidRPr="63259912">
        <w:t xml:space="preserve"> kao i </w:t>
      </w:r>
      <w:r w:rsidR="00357A39" w:rsidRPr="63259912">
        <w:t xml:space="preserve">siromašnim </w:t>
      </w:r>
      <w:r w:rsidR="00F35D34" w:rsidRPr="63259912">
        <w:t xml:space="preserve">građanima </w:t>
      </w:r>
      <w:r w:rsidR="00357A39" w:rsidRPr="63259912">
        <w:t>u pogledu mobilnosti</w:t>
      </w:r>
      <w:r w:rsidR="00856100" w:rsidRPr="63259912">
        <w:t xml:space="preserve"> </w:t>
      </w:r>
      <w:r w:rsidR="004654CF" w:rsidRPr="63259912">
        <w:t>osigurati adekva</w:t>
      </w:r>
      <w:r w:rsidR="007D7B4A" w:rsidRPr="63259912">
        <w:t>t</w:t>
      </w:r>
      <w:r w:rsidR="004654CF" w:rsidRPr="63259912">
        <w:t>ne informacije i savjeti</w:t>
      </w:r>
      <w:r w:rsidR="001017E9" w:rsidRPr="63259912">
        <w:t xml:space="preserve">, </w:t>
      </w:r>
      <w:r w:rsidR="006A427C" w:rsidRPr="63259912">
        <w:t>o mjerama energetske učinkovitosti koje doprinose suzbijanju energetskog siromaštva, kao i o mogućnostima sufinanciranja aktivnosti na tom polju</w:t>
      </w:r>
      <w:r w:rsidR="003030E3" w:rsidRPr="63259912">
        <w:t xml:space="preserve"> te informacije o </w:t>
      </w:r>
      <w:r w:rsidR="00FA5EEB" w:rsidRPr="63259912">
        <w:t>pružanje drugih oblika izravne dohodovne potpore za rješavanje rastućih cijena cestovnog prijevoza i goriva za grijanje</w:t>
      </w:r>
      <w:r w:rsidR="001918A0" w:rsidRPr="63259912">
        <w:t xml:space="preserve"> ili informacije i mogućim donesenim poticajima </w:t>
      </w:r>
      <w:r w:rsidR="00246BAD" w:rsidRPr="63259912">
        <w:t>za prelazak s privatnog na javni prijevoz</w:t>
      </w:r>
      <w:r w:rsidR="006A427C" w:rsidRPr="63259912">
        <w:t xml:space="preserve">. </w:t>
      </w:r>
      <w:r w:rsidR="00856100" w:rsidRPr="63259912">
        <w:t xml:space="preserve">Također kada su u pitanju </w:t>
      </w:r>
      <w:r w:rsidR="00241859" w:rsidRPr="63259912">
        <w:t>siromašni građani u pogledu mobilnosti poseb</w:t>
      </w:r>
      <w:r w:rsidR="00ED15D3" w:rsidRPr="63259912">
        <w:t xml:space="preserve">an fokus će biti </w:t>
      </w:r>
      <w:r w:rsidR="00131ADF" w:rsidRPr="63259912">
        <w:t xml:space="preserve">stavljen </w:t>
      </w:r>
      <w:r w:rsidR="00ED15D3" w:rsidRPr="63259912">
        <w:t xml:space="preserve">na izazove s kojima se suočavaju </w:t>
      </w:r>
      <w:r w:rsidR="007C0841" w:rsidRPr="63259912">
        <w:t xml:space="preserve">ranjiva kućanstva na </w:t>
      </w:r>
      <w:r w:rsidR="00ED15D3" w:rsidRPr="63259912">
        <w:t>otoci</w:t>
      </w:r>
      <w:r w:rsidR="007C0841" w:rsidRPr="63259912">
        <w:t>ma</w:t>
      </w:r>
      <w:r w:rsidR="00ED15D3" w:rsidRPr="63259912">
        <w:t xml:space="preserve">, </w:t>
      </w:r>
      <w:r w:rsidR="007C0841" w:rsidRPr="63259912">
        <w:t xml:space="preserve">planinskim područjima </w:t>
      </w:r>
      <w:r w:rsidR="00ED15D3" w:rsidRPr="63259912">
        <w:t xml:space="preserve">i </w:t>
      </w:r>
      <w:r w:rsidR="007C0841" w:rsidRPr="63259912">
        <w:t xml:space="preserve">manjima </w:t>
      </w:r>
      <w:r w:rsidR="00ED15D3" w:rsidRPr="63259912">
        <w:t>pristupačni</w:t>
      </w:r>
      <w:r w:rsidR="007C0841" w:rsidRPr="63259912">
        <w:t>m</w:t>
      </w:r>
      <w:r w:rsidR="00ED15D3" w:rsidRPr="63259912">
        <w:t xml:space="preserve">, odnosno slabije </w:t>
      </w:r>
      <w:r w:rsidR="007C0841" w:rsidRPr="63259912">
        <w:t xml:space="preserve">razvijenim područjima </w:t>
      </w:r>
      <w:r w:rsidR="00ED15D3" w:rsidRPr="63259912">
        <w:t>i krajevi</w:t>
      </w:r>
      <w:r w:rsidR="007C0841" w:rsidRPr="63259912">
        <w:t>ma</w:t>
      </w:r>
      <w:r w:rsidR="00ED15D3" w:rsidRPr="63259912">
        <w:t>, uključujući slabije razvijena prigradska područja i najudaljenije krajeve u Republici Hrvatskoj.</w:t>
      </w:r>
      <w:r w:rsidR="006B2183" w:rsidRPr="63259912">
        <w:t xml:space="preserve"> </w:t>
      </w:r>
      <w:r w:rsidR="001017E9" w:rsidRPr="63259912">
        <w:t>Nadalje, i</w:t>
      </w:r>
      <w:r w:rsidR="006A427C" w:rsidRPr="63259912">
        <w:t xml:space="preserve">dentificirat će se indikatori nužni za </w:t>
      </w:r>
      <w:r w:rsidR="00615BB2" w:rsidRPr="63259912">
        <w:t xml:space="preserve">praćenje </w:t>
      </w:r>
      <w:r w:rsidR="002B5EB8" w:rsidRPr="63259912">
        <w:t xml:space="preserve">oba oblika </w:t>
      </w:r>
      <w:r w:rsidR="00615BB2" w:rsidRPr="63259912">
        <w:t>siromaštva te će se u</w:t>
      </w:r>
      <w:r w:rsidR="006A427C" w:rsidRPr="63259912">
        <w:t>spostavit</w:t>
      </w:r>
      <w:r w:rsidR="00615BB2" w:rsidRPr="63259912">
        <w:t>i</w:t>
      </w:r>
      <w:r w:rsidR="006A427C" w:rsidRPr="63259912">
        <w:t xml:space="preserve"> sustav</w:t>
      </w:r>
      <w:r w:rsidR="00615BB2" w:rsidRPr="63259912">
        <w:t xml:space="preserve"> njihovog</w:t>
      </w:r>
      <w:r w:rsidR="006A427C" w:rsidRPr="63259912">
        <w:t xml:space="preserve"> praćenja, kroz već postojeći sustav prikupljanja podataka o potrošnji i navikama kućanstava (Državni zavod za statistiku</w:t>
      </w:r>
      <w:r w:rsidR="00BA5DBC" w:rsidRPr="63259912">
        <w:t>, EUROSTAT</w:t>
      </w:r>
      <w:r w:rsidR="00B349D5" w:rsidRPr="63259912">
        <w:t>, Energy Poverty Hub</w:t>
      </w:r>
      <w:r w:rsidR="006A427C" w:rsidRPr="63259912">
        <w:t>)</w:t>
      </w:r>
      <w:r w:rsidR="00615BB2" w:rsidRPr="63259912">
        <w:t>.</w:t>
      </w:r>
      <w:r w:rsidR="006A427C" w:rsidRPr="63259912">
        <w:t xml:space="preserve"> </w:t>
      </w:r>
      <w:r w:rsidR="00615BB2" w:rsidRPr="63259912">
        <w:t>Na temelju podataka analizirat će se</w:t>
      </w:r>
      <w:r w:rsidR="006A427C" w:rsidRPr="63259912">
        <w:t xml:space="preserve"> moguće proširenje kriterija za stjecanje statusa ugroženih kupaca energije</w:t>
      </w:r>
      <w:r w:rsidR="00615BB2" w:rsidRPr="63259912">
        <w:t>.</w:t>
      </w:r>
      <w:r w:rsidR="00803250" w:rsidRPr="63259912">
        <w:t xml:space="preserve"> S</w:t>
      </w:r>
      <w:r w:rsidR="00BB5FE8" w:rsidRPr="63259912">
        <w:t xml:space="preserve">ufinancirat će se provedba </w:t>
      </w:r>
      <w:r w:rsidR="006A427C" w:rsidRPr="63259912">
        <w:t>mjera energetske učinkovitosti u energetski siromašnim kućanstvima</w:t>
      </w:r>
      <w:r w:rsidR="00BB5FE8" w:rsidRPr="63259912">
        <w:t>, primjerice z</w:t>
      </w:r>
      <w:r w:rsidR="00615BB2" w:rsidRPr="63259912">
        <w:t xml:space="preserve">amjena kućanskih uređaja po sistemu </w:t>
      </w:r>
      <w:r w:rsidR="00615BB2" w:rsidRPr="63259912">
        <w:lastRenderedPageBreak/>
        <w:t>„staro za novo“</w:t>
      </w:r>
      <w:r w:rsidR="00BB5FE8" w:rsidRPr="63259912">
        <w:t>, u</w:t>
      </w:r>
      <w:r w:rsidR="00615BB2" w:rsidRPr="63259912">
        <w:t>naprjeđenje ili zamjena sustava grijanja (poboljšanja učinkovitosti sustava grijanja i zamjene energenata (naročito električne energije i loživog ulja) okolišno, ekonomski i energetski povoljnijima, a poglavito sustavima koji koriste obnovljive izvore energije</w:t>
      </w:r>
      <w:r w:rsidR="00BB5FE8" w:rsidRPr="63259912">
        <w:t xml:space="preserve"> te provedba drugih tehničkih mjera </w:t>
      </w:r>
      <w:r w:rsidR="004206E0" w:rsidRPr="63259912">
        <w:t xml:space="preserve">energetske </w:t>
      </w:r>
      <w:r w:rsidR="00615BB2" w:rsidRPr="63259912">
        <w:t>učinkovitosti</w:t>
      </w:r>
      <w:r w:rsidR="004206E0" w:rsidRPr="63259912">
        <w:t>. Programom će se detaljno razraditi naveden</w:t>
      </w:r>
      <w:r w:rsidR="0099487A" w:rsidRPr="63259912">
        <w:t>e mjere</w:t>
      </w:r>
      <w:r w:rsidR="00E16293" w:rsidRPr="63259912">
        <w:t xml:space="preserve"> kao i mogućnost njihove provedbe u okviru sustava obveze energetske učinkovitosti za opskrbljivače</w:t>
      </w:r>
      <w:r w:rsidR="0099487A" w:rsidRPr="63259912">
        <w:t xml:space="preserve"> te </w:t>
      </w:r>
      <w:r w:rsidR="005E14B7" w:rsidRPr="63259912">
        <w:t>dodatno</w:t>
      </w:r>
      <w:r w:rsidR="0099487A" w:rsidRPr="63259912">
        <w:t xml:space="preserve"> osmislit</w:t>
      </w:r>
      <w:r w:rsidR="000250A9" w:rsidRPr="63259912">
        <w:t>i i</w:t>
      </w:r>
      <w:r w:rsidR="0099487A" w:rsidRPr="63259912">
        <w:t xml:space="preserve"> mjere</w:t>
      </w:r>
      <w:r w:rsidR="00685D79" w:rsidRPr="63259912">
        <w:t xml:space="preserve"> koje će </w:t>
      </w:r>
      <w:r w:rsidR="00F57CAC" w:rsidRPr="63259912">
        <w:t xml:space="preserve">pripomoći </w:t>
      </w:r>
      <w:r w:rsidR="00ED168C" w:rsidRPr="63259912">
        <w:t>u suzbijanju siromaštva u pogledu mobilnosti</w:t>
      </w:r>
      <w:r w:rsidR="0099487A" w:rsidRPr="63259912">
        <w:t>.</w:t>
      </w:r>
      <w:r w:rsidR="009A474F" w:rsidRPr="63259912">
        <w:t xml:space="preserve"> U okviru Programa razradit će se i implementirati model za podmirivanje troškova za energiju. Model</w:t>
      </w:r>
      <w:r w:rsidR="000250A9" w:rsidRPr="63259912">
        <w:t>om</w:t>
      </w:r>
      <w:r w:rsidR="00821024" w:rsidRPr="63259912">
        <w:t xml:space="preserve"> će se utvrditi razina </w:t>
      </w:r>
      <w:r w:rsidR="009A474F" w:rsidRPr="63259912">
        <w:t>potrebne pomoći kućanstvima koja su suočena s problemom podmirivanja troškova za energiju</w:t>
      </w:r>
      <w:r w:rsidR="00821024" w:rsidRPr="63259912">
        <w:t xml:space="preserve">, na temelju </w:t>
      </w:r>
      <w:r w:rsidR="009A474F" w:rsidRPr="63259912">
        <w:t>potrebn</w:t>
      </w:r>
      <w:r w:rsidR="00821024" w:rsidRPr="63259912">
        <w:t>e</w:t>
      </w:r>
      <w:r w:rsidR="009A474F" w:rsidRPr="63259912">
        <w:t xml:space="preserve"> količin</w:t>
      </w:r>
      <w:r w:rsidR="00821024" w:rsidRPr="63259912">
        <w:t>e</w:t>
      </w:r>
      <w:r w:rsidR="009A474F" w:rsidRPr="63259912">
        <w:t xml:space="preserve"> energije koj</w:t>
      </w:r>
      <w:r w:rsidR="00821024" w:rsidRPr="63259912">
        <w:t>om</w:t>
      </w:r>
      <w:r w:rsidR="009A474F" w:rsidRPr="63259912">
        <w:t xml:space="preserve"> se zadovoljava minimalni standard stanovanja</w:t>
      </w:r>
      <w:r w:rsidR="00821024" w:rsidRPr="63259912">
        <w:t>.</w:t>
      </w:r>
      <w:r w:rsidR="00BD60A4" w:rsidRPr="63259912">
        <w:t xml:space="preserve"> U Dugoročnoj strategiji energetske obnove zgrada do 2050. godine bit će dane mjere za suzbijanje energetskog siromaštva kroz energetsku obnovu zgrada kao i kriteriji za određivanje ranjivih skupina građana ugroženih od energetskog siromaštva. Navedene mjere bit će dodatno razrađene u Programu energetske obnove višestambenih zgrada za razdoblje 2021.-2030. i u Programu energetske obnove obiteljskih kuća za razdoblje 2021.-2030.</w:t>
      </w:r>
      <w:r w:rsidR="0040759A" w:rsidRPr="63259912">
        <w:t xml:space="preserve">, te će biti </w:t>
      </w:r>
      <w:r w:rsidR="004048A7" w:rsidRPr="63259912">
        <w:t>pr</w:t>
      </w:r>
      <w:r w:rsidR="00427C9C" w:rsidRPr="63259912">
        <w:t>opisane i Socijalnim planom za klimatsku politiku</w:t>
      </w:r>
      <w:r w:rsidR="0008311B" w:rsidRPr="63259912">
        <w:t xml:space="preserve"> </w:t>
      </w:r>
      <w:r w:rsidR="008E18CC" w:rsidRPr="63259912">
        <w:t xml:space="preserve">uz definirane pokazatelje ostvarenja, </w:t>
      </w:r>
      <w:r w:rsidR="00C46572" w:rsidRPr="63259912">
        <w:t>ključn</w:t>
      </w:r>
      <w:r w:rsidR="008E18CC" w:rsidRPr="63259912">
        <w:t>e</w:t>
      </w:r>
      <w:r w:rsidR="00C46572" w:rsidRPr="63259912">
        <w:t xml:space="preserve"> etap</w:t>
      </w:r>
      <w:r w:rsidR="008E18CC" w:rsidRPr="63259912">
        <w:t>e</w:t>
      </w:r>
      <w:r w:rsidR="00C46572" w:rsidRPr="63259912">
        <w:t xml:space="preserve"> i ciljev</w:t>
      </w:r>
      <w:r w:rsidR="008E18CC" w:rsidRPr="63259912">
        <w:t>e</w:t>
      </w:r>
      <w:r w:rsidR="00C46572" w:rsidRPr="63259912">
        <w:t>.</w:t>
      </w:r>
    </w:p>
    <w:p w14:paraId="6D39FAAA" w14:textId="3331E6E4" w:rsidR="00937302" w:rsidRPr="00B47BDA" w:rsidRDefault="00937302" w:rsidP="00205D51">
      <w:pPr>
        <w:rPr>
          <w:rFonts w:eastAsia="Calibri"/>
        </w:rPr>
      </w:pPr>
      <w:r w:rsidRPr="00B47BDA">
        <w:rPr>
          <w:b/>
        </w:rPr>
        <w:t xml:space="preserve">Sredstva potrebna za provedbu: </w:t>
      </w:r>
      <w:r w:rsidRPr="00B47BDA">
        <w:t>Nije procijenjeno</w:t>
      </w:r>
      <w:r w:rsidR="00834A85" w:rsidRPr="00B47BDA">
        <w:t xml:space="preserve">. Preliminarna procjena će biti moguća nakon izrade </w:t>
      </w:r>
      <w:r w:rsidR="000A530B">
        <w:t xml:space="preserve">prethodno navedenih </w:t>
      </w:r>
      <w:r w:rsidR="000A530B" w:rsidRPr="00B47BDA">
        <w:t>P</w:t>
      </w:r>
      <w:r w:rsidR="000A530B">
        <w:t>rograma</w:t>
      </w:r>
      <w:r w:rsidR="00834A85" w:rsidRPr="00B47BDA">
        <w:t xml:space="preserve">. </w:t>
      </w:r>
    </w:p>
    <w:p w14:paraId="645235B4" w14:textId="4551DC51" w:rsidR="00937302" w:rsidRPr="00B47BDA" w:rsidRDefault="00937302" w:rsidP="00205D51">
      <w:pPr>
        <w:rPr>
          <w:rFonts w:eastAsia="Calibri"/>
        </w:rPr>
      </w:pPr>
      <w:r w:rsidRPr="00B47BDA">
        <w:rPr>
          <w:b/>
        </w:rPr>
        <w:t xml:space="preserve">Izvori financiranja: </w:t>
      </w:r>
      <w:r w:rsidRPr="00B47BDA">
        <w:t>Sredstva obveznika sustava obveze energetske učinkovitosti</w:t>
      </w:r>
      <w:r w:rsidR="00924FA2" w:rsidRPr="00B47BDA">
        <w:t xml:space="preserve">, </w:t>
      </w:r>
      <w:r w:rsidR="00645CE6" w:rsidRPr="00B47BDA">
        <w:t>EU fondovi</w:t>
      </w:r>
      <w:r w:rsidR="00E02214">
        <w:t xml:space="preserve">, </w:t>
      </w:r>
      <w:r w:rsidR="005970CC">
        <w:t>prihodi od prodaje emisijskih jedinica iz ETS1 i ETS2 sustava</w:t>
      </w:r>
      <w:r w:rsidR="00465760">
        <w:t>,</w:t>
      </w:r>
      <w:r w:rsidR="005970CC" w:rsidRPr="00A95D96">
        <w:t xml:space="preserve"> </w:t>
      </w:r>
      <w:r w:rsidR="00A95D96" w:rsidRPr="00A95D96">
        <w:t>Socijalni fond za klimatsku politiku</w:t>
      </w:r>
      <w:r w:rsidR="00164A12">
        <w:t>.</w:t>
      </w:r>
    </w:p>
    <w:p w14:paraId="40E33499" w14:textId="7DEB8061" w:rsidR="00937302" w:rsidRPr="00B47BDA" w:rsidRDefault="00937302" w:rsidP="00205D51">
      <w:r w:rsidRPr="00B47BDA">
        <w:rPr>
          <w:b/>
        </w:rPr>
        <w:t>Izvršno</w:t>
      </w:r>
      <w:r w:rsidR="00013736" w:rsidRPr="00B47BDA">
        <w:rPr>
          <w:b/>
        </w:rPr>
        <w:t xml:space="preserve"> </w:t>
      </w:r>
      <w:r w:rsidRPr="00B47BDA">
        <w:rPr>
          <w:b/>
        </w:rPr>
        <w:t>tijelo:</w:t>
      </w:r>
      <w:r w:rsidRPr="00B47BDA">
        <w:t xml:space="preserve"> </w:t>
      </w:r>
      <w:r w:rsidR="00687654" w:rsidRPr="00687654">
        <w:t>Ministarstvo gospodarstva</w:t>
      </w:r>
      <w:r w:rsidR="0055607D">
        <w:t xml:space="preserve">, </w:t>
      </w:r>
      <w:r w:rsidR="006518BD" w:rsidRPr="006518BD">
        <w:t>Ministarstvo mora,</w:t>
      </w:r>
      <w:r w:rsidR="0055607D">
        <w:t xml:space="preserve"> prometa</w:t>
      </w:r>
      <w:r w:rsidR="006518BD" w:rsidRPr="006518BD">
        <w:t xml:space="preserve"> i infrastrukture</w:t>
      </w:r>
      <w:r w:rsidR="00164A12">
        <w:t>.</w:t>
      </w:r>
    </w:p>
    <w:p w14:paraId="6765B53C" w14:textId="67AF60EF" w:rsidR="00937302" w:rsidRPr="00B47BDA" w:rsidRDefault="00937302" w:rsidP="00205D51">
      <w:pPr>
        <w:rPr>
          <w:rFonts w:eastAsia="Calibri"/>
        </w:rPr>
      </w:pPr>
      <w:r w:rsidRPr="00B47BDA">
        <w:rPr>
          <w:b/>
        </w:rPr>
        <w:t>Tijela za praćenje:</w:t>
      </w:r>
      <w:r w:rsidRPr="00B47BDA">
        <w:t xml:space="preserve"> </w:t>
      </w:r>
      <w:r w:rsidR="006518BD" w:rsidRPr="006518BD">
        <w:t>Ministarstvo gospodarstva</w:t>
      </w:r>
      <w:r w:rsidR="00AF22EF">
        <w:t>, Ministarstvo zaštite okoliša i zelene tranzicije</w:t>
      </w:r>
      <w:r w:rsidR="009659D7">
        <w:t>,</w:t>
      </w:r>
      <w:r w:rsidR="00E02214">
        <w:t xml:space="preserve"> </w:t>
      </w:r>
      <w:r w:rsidR="003C6DBF" w:rsidRPr="003C6DBF">
        <w:t>Ministarstvo rada, mirovinskoga sustava, obitelji i socijalne politike</w:t>
      </w:r>
      <w:r w:rsidR="00942625">
        <w:t xml:space="preserve">, </w:t>
      </w:r>
      <w:r w:rsidR="009659D7">
        <w:t xml:space="preserve">Ministarstvo </w:t>
      </w:r>
      <w:r w:rsidR="00C41284">
        <w:t xml:space="preserve">prostornog uređenja, graditeljstva i državne imovine, </w:t>
      </w:r>
      <w:r w:rsidR="003C6DBF" w:rsidRPr="003C6DBF">
        <w:t>Ministarstvo mora, prometa i infrastrukture</w:t>
      </w:r>
      <w:r w:rsidR="00164A12">
        <w:t>.</w:t>
      </w:r>
    </w:p>
    <w:p w14:paraId="43E6AEF7" w14:textId="0EFFADE6" w:rsidR="00937302" w:rsidRPr="00B47BDA" w:rsidRDefault="00937302" w:rsidP="00205D51">
      <w:pPr>
        <w:rPr>
          <w:rFonts w:eastAsia="Calibri"/>
        </w:rPr>
      </w:pPr>
      <w:r w:rsidRPr="00B47BDA">
        <w:rPr>
          <w:b/>
        </w:rPr>
        <w:t xml:space="preserve">Učinak: </w:t>
      </w:r>
      <w:r w:rsidR="004821F8" w:rsidRPr="00B47BDA">
        <w:t>Uspostava sustava za praćenje energetskog siromaštva</w:t>
      </w:r>
      <w:r w:rsidR="00F538F4">
        <w:t xml:space="preserve"> te </w:t>
      </w:r>
      <w:r w:rsidR="00E4586A">
        <w:t xml:space="preserve">siromaštva </w:t>
      </w:r>
      <w:r w:rsidR="00E4586A" w:rsidRPr="00E4586A">
        <w:t>u pogledu mobilnosti</w:t>
      </w:r>
      <w:r w:rsidR="004821F8" w:rsidRPr="00B47BDA">
        <w:t xml:space="preserve"> i ugroženosti </w:t>
      </w:r>
      <w:r w:rsidR="00E4586A">
        <w:t>istima</w:t>
      </w:r>
      <w:r w:rsidR="004821F8" w:rsidRPr="00B47BDA">
        <w:t>;</w:t>
      </w:r>
      <w:r w:rsidR="00430C26" w:rsidRPr="00B47BDA">
        <w:t xml:space="preserve"> izgradnja kapaciteta za ublažavanje energetskog siromaštva</w:t>
      </w:r>
      <w:r w:rsidR="002E3F76">
        <w:t xml:space="preserve"> i siromaštva </w:t>
      </w:r>
      <w:r w:rsidR="002E3F76" w:rsidRPr="002E3F76">
        <w:t>u pogledu mobilnosti</w:t>
      </w:r>
      <w:r w:rsidR="00430C26" w:rsidRPr="00B47BDA">
        <w:t>;</w:t>
      </w:r>
      <w:r w:rsidR="00B6423A" w:rsidRPr="00B47BDA">
        <w:t xml:space="preserve"> uspostava modela za podmirivanje troškova za energiju;</w:t>
      </w:r>
      <w:r w:rsidR="004821F8" w:rsidRPr="00B47BDA">
        <w:t xml:space="preserve"> s</w:t>
      </w:r>
      <w:r w:rsidRPr="00B47BDA">
        <w:t>manjenje neposredne potrošnje energije i posljedično smanjenje emisija CO</w:t>
      </w:r>
      <w:r w:rsidRPr="00B47BDA">
        <w:rPr>
          <w:vertAlign w:val="subscript"/>
        </w:rPr>
        <w:t>2</w:t>
      </w:r>
      <w:r w:rsidR="00924FA2" w:rsidRPr="00B47BDA">
        <w:t xml:space="preserve"> u energetski siromašnim kućanstvima i kućanstvima ugroženima njime</w:t>
      </w:r>
      <w:r w:rsidR="00DA7434">
        <w:t xml:space="preserve"> te siromašnima u </w:t>
      </w:r>
      <w:r w:rsidR="00DA7434" w:rsidRPr="00DA7434">
        <w:t>pogledu mobilnosti</w:t>
      </w:r>
      <w:r w:rsidR="00164A12">
        <w:t>.</w:t>
      </w:r>
    </w:p>
    <w:p w14:paraId="03D3105A" w14:textId="4876F1F5" w:rsidR="00937302" w:rsidRPr="00B47BDA" w:rsidRDefault="00937302" w:rsidP="00205D51">
      <w:pPr>
        <w:rPr>
          <w:rFonts w:eastAsia="Calibri"/>
        </w:rPr>
      </w:pPr>
      <w:r w:rsidRPr="00B47BDA">
        <w:rPr>
          <w:b/>
        </w:rPr>
        <w:t>Metoda praćenja:</w:t>
      </w:r>
      <w:r w:rsidRPr="00B47BDA">
        <w:t xml:space="preserve"> </w:t>
      </w:r>
      <w:r w:rsidR="007C63B3" w:rsidRPr="00B47BDA">
        <w:t xml:space="preserve">Ankete </w:t>
      </w:r>
      <w:r w:rsidR="00B6423A" w:rsidRPr="00B47BDA">
        <w:t>DZS</w:t>
      </w:r>
      <w:r w:rsidR="00EA02BC" w:rsidRPr="00B47BDA">
        <w:t>-a</w:t>
      </w:r>
      <w:r w:rsidR="00B6423A" w:rsidRPr="00B47BDA">
        <w:t xml:space="preserve">; </w:t>
      </w:r>
      <w:r w:rsidRPr="00B47BDA">
        <w:t>Ostvarene uštede prate se i dokazuju korištenjem metoda odozdo-prema-gore prema Pravilniku o sustavu za praćenje, mjerenje i verifikaciju ušteda energije</w:t>
      </w:r>
      <w:r w:rsidR="00164A12">
        <w:t>.</w:t>
      </w:r>
    </w:p>
    <w:p w14:paraId="5326FF45" w14:textId="1192EFBD" w:rsidR="00937302" w:rsidRPr="00B47BDA" w:rsidRDefault="00937302" w:rsidP="63259912">
      <w:pPr>
        <w:rPr>
          <w:rFonts w:eastAsia="Calibri"/>
        </w:rPr>
      </w:pPr>
      <w:r w:rsidRPr="63259912">
        <w:rPr>
          <w:b/>
          <w:bCs/>
        </w:rPr>
        <w:t xml:space="preserve">Povezanost s drugim dimenzijama: </w:t>
      </w:r>
      <w:r w:rsidR="00B868C7" w:rsidRPr="63259912">
        <w:t>D</w:t>
      </w:r>
      <w:r w:rsidR="00C4244B" w:rsidRPr="63259912">
        <w:t>ekarbonizacija – emisije; dekarbonizacija – OIE; energetska učinkovitost</w:t>
      </w:r>
      <w:r w:rsidR="006C45CC" w:rsidRPr="63259912">
        <w:t>; OI</w:t>
      </w:r>
      <w:r w:rsidR="000A7ADF" w:rsidRPr="63259912">
        <w:t>E u prometu; alternativn</w:t>
      </w:r>
      <w:r w:rsidR="00E832E3" w:rsidRPr="63259912">
        <w:t>a goriva i infrastruktura z</w:t>
      </w:r>
      <w:r w:rsidR="008C5884" w:rsidRPr="63259912">
        <w:t>a alternativna goriva</w:t>
      </w:r>
      <w:r w:rsidR="00164A12" w:rsidRPr="63259912">
        <w:t>.</w:t>
      </w:r>
    </w:p>
    <w:p w14:paraId="63F40BBA" w14:textId="6FF40F77" w:rsidR="000F0F98" w:rsidRPr="00801AB0" w:rsidRDefault="00937302" w:rsidP="00205D51">
      <w:pPr>
        <w:rPr>
          <w:rFonts w:eastAsia="Calibri"/>
        </w:rPr>
      </w:pPr>
      <w:r w:rsidRPr="00B47BDA">
        <w:rPr>
          <w:b/>
        </w:rPr>
        <w:t>Istraživanje i razvoj</w:t>
      </w:r>
      <w:r w:rsidRPr="00B47BDA">
        <w:t xml:space="preserve">: </w:t>
      </w:r>
      <w:r w:rsidR="004821F8" w:rsidRPr="00B47BDA">
        <w:t>energetska učinkovitost u zgradarstvu; energetska učinkovitost u grijanju i hlađenju; pametni gradovi i zajednice</w:t>
      </w:r>
      <w:r w:rsidR="00233A78">
        <w:t xml:space="preserve">; </w:t>
      </w:r>
      <w:r w:rsidR="0003486E" w:rsidRPr="0003486E">
        <w:t>razvoj tržišta rabljenih električnih vozila</w:t>
      </w:r>
      <w:r w:rsidR="0003486E">
        <w:t xml:space="preserve">; </w:t>
      </w:r>
      <w:r w:rsidR="004E0025" w:rsidRPr="004E0025">
        <w:t>prelazak s privatnog na javni prijevoz, dijeljenje automobila i biciklizam</w:t>
      </w:r>
      <w:r w:rsidR="00164A12">
        <w:t>.</w:t>
      </w:r>
    </w:p>
    <w:p w14:paraId="3C056836" w14:textId="38A98976" w:rsidR="00AB583F" w:rsidRPr="00B47BDA" w:rsidRDefault="00AB583F" w:rsidP="00801AB0">
      <w:pPr>
        <w:pStyle w:val="Mjeranaslov"/>
        <w:rPr>
          <w:rFonts w:eastAsia="Calibri"/>
        </w:rPr>
      </w:pPr>
      <w:r w:rsidRPr="00B47BDA">
        <w:lastRenderedPageBreak/>
        <w:t>UET-</w:t>
      </w:r>
      <w:r w:rsidR="00EC2F57">
        <w:t>10</w:t>
      </w:r>
      <w:r w:rsidRPr="00B47BDA">
        <w:t xml:space="preserve"> </w:t>
      </w:r>
      <w:r w:rsidR="0071512B" w:rsidRPr="00B47BDA">
        <w:t>P</w:t>
      </w:r>
      <w:r w:rsidRPr="00B47BDA">
        <w:rPr>
          <w:rFonts w:eastAsia="Calibri"/>
        </w:rPr>
        <w:t xml:space="preserve">rovedba Programa suzbijanja energetskog siromaštva koji uključuje korištenje obnovljivih izvora energije u stambenim zgradama na potpomognutim područjima i područjima posebne državne skrbi za razdoblje </w:t>
      </w:r>
      <w:r w:rsidR="00F651D4" w:rsidRPr="00B47BDA">
        <w:rPr>
          <w:rFonts w:eastAsia="Calibri"/>
        </w:rPr>
        <w:t>do 2025</w:t>
      </w:r>
      <w:r w:rsidRPr="00B47BDA">
        <w:rPr>
          <w:rFonts w:eastAsia="Calibri"/>
        </w:rPr>
        <w:t>. godine</w:t>
      </w:r>
    </w:p>
    <w:p w14:paraId="367BA633" w14:textId="22996D6D" w:rsidR="00AB583F" w:rsidRPr="00B47BDA" w:rsidRDefault="00AB583F" w:rsidP="004623DD">
      <w:pPr>
        <w:rPr>
          <w:rFonts w:eastAsia="Calibri"/>
        </w:rPr>
      </w:pPr>
      <w:r w:rsidRPr="00B47BDA">
        <w:rPr>
          <w:rFonts w:eastAsia="Calibri"/>
        </w:rPr>
        <w:t xml:space="preserve">Informativna i financijska mjera; Provedba </w:t>
      </w:r>
      <w:r w:rsidR="00F651D4" w:rsidRPr="00B47BDA">
        <w:rPr>
          <w:rFonts w:eastAsia="Calibri"/>
        </w:rPr>
        <w:t>2022</w:t>
      </w:r>
      <w:r w:rsidRPr="00B47BDA">
        <w:rPr>
          <w:rFonts w:eastAsia="Calibri"/>
        </w:rPr>
        <w:t xml:space="preserve">. – </w:t>
      </w:r>
      <w:r w:rsidR="00F651D4" w:rsidRPr="00B47BDA">
        <w:rPr>
          <w:rFonts w:eastAsia="Calibri"/>
        </w:rPr>
        <w:t>2025</w:t>
      </w:r>
      <w:r w:rsidRPr="00B47BDA">
        <w:rPr>
          <w:rFonts w:eastAsia="Calibri"/>
        </w:rPr>
        <w:t>.</w:t>
      </w:r>
    </w:p>
    <w:p w14:paraId="150775AB" w14:textId="366DF9BB" w:rsidR="00AB583F" w:rsidRPr="00B47BDA" w:rsidDel="00AA5A13" w:rsidRDefault="00AB583F" w:rsidP="004623DD">
      <w:pPr>
        <w:rPr>
          <w:rFonts w:eastAsia="Calibri"/>
        </w:rPr>
      </w:pPr>
      <w:r w:rsidRPr="00B47BDA">
        <w:rPr>
          <w:rFonts w:eastAsia="Calibri"/>
          <w:b/>
        </w:rPr>
        <w:t>Cilj i opis mjere:</w:t>
      </w:r>
      <w:r w:rsidRPr="00B47BDA">
        <w:rPr>
          <w:rFonts w:eastAsia="Calibri"/>
        </w:rPr>
        <w:t xml:space="preserve"> </w:t>
      </w:r>
      <w:r w:rsidR="00D61726">
        <w:rPr>
          <w:rFonts w:eastAsia="Calibri"/>
        </w:rPr>
        <w:t>U</w:t>
      </w:r>
      <w:r w:rsidRPr="00B47BDA">
        <w:rPr>
          <w:rFonts w:eastAsia="Calibri"/>
        </w:rPr>
        <w:t xml:space="preserve">blažavanje energetskog siromaštva i stupnja ugroženosti njime u zgradama kojima raspolaže i upravlja </w:t>
      </w:r>
      <w:r w:rsidR="00C611D4" w:rsidRPr="00C611D4">
        <w:rPr>
          <w:rFonts w:eastAsia="Calibri"/>
        </w:rPr>
        <w:t>Ministarstvo prostornoga uređenja, graditeljstva i državne imovine</w:t>
      </w:r>
      <w:r w:rsidRPr="00B47BDA">
        <w:rPr>
          <w:rFonts w:eastAsia="Calibri"/>
        </w:rPr>
        <w:t>, u kojima stanovnici nisu u mogućnosti sudjelovati u financiranju nužnih popravaka</w:t>
      </w:r>
      <w:r w:rsidR="00D61726">
        <w:rPr>
          <w:rFonts w:eastAsia="Calibri"/>
        </w:rPr>
        <w:t>.</w:t>
      </w:r>
    </w:p>
    <w:p w14:paraId="677F3CD6" w14:textId="0DA3EAC3" w:rsidR="00AB583F" w:rsidRPr="00B47BDA" w:rsidRDefault="00AB583F" w:rsidP="00661DD9">
      <w:pPr>
        <w:rPr>
          <w:rFonts w:eastAsia="Calibri"/>
        </w:rPr>
      </w:pPr>
      <w:r w:rsidRPr="00B47BDA">
        <w:rPr>
          <w:rFonts w:eastAsia="Calibri"/>
          <w:b/>
        </w:rPr>
        <w:t>Aktivnosti:</w:t>
      </w:r>
      <w:r w:rsidRPr="00B47BDA">
        <w:rPr>
          <w:rFonts w:eastAsia="Calibri"/>
        </w:rPr>
        <w:t xml:space="preserve"> </w:t>
      </w:r>
      <w:r w:rsidR="00247A7A">
        <w:rPr>
          <w:rFonts w:eastAsia="Calibri"/>
        </w:rPr>
        <w:t>Odlukom Vlade RH</w:t>
      </w:r>
      <w:r w:rsidR="007E453D">
        <w:rPr>
          <w:rFonts w:eastAsia="Calibri"/>
        </w:rPr>
        <w:t xml:space="preserve"> usvojen je Program suzbijanja energetskog siromaštva koji uključuje korištenje obnovljivih izvora energije</w:t>
      </w:r>
      <w:r w:rsidR="007475FC">
        <w:rPr>
          <w:rFonts w:eastAsia="Calibri"/>
        </w:rPr>
        <w:t xml:space="preserve"> u stambenim zgradama na potpomognutim područjima</w:t>
      </w:r>
      <w:r w:rsidR="00491E27">
        <w:rPr>
          <w:rFonts w:eastAsia="Calibri"/>
        </w:rPr>
        <w:t xml:space="preserve"> i područjima od posebne državne skrbi za razdoblje do 2025. godine </w:t>
      </w:r>
      <w:r w:rsidR="00EB08F1">
        <w:rPr>
          <w:rFonts w:eastAsia="Calibri"/>
        </w:rPr>
        <w:t xml:space="preserve">(„Narodne novine“, br. </w:t>
      </w:r>
      <w:r w:rsidR="00DC584C">
        <w:rPr>
          <w:rFonts w:eastAsia="Calibri"/>
        </w:rPr>
        <w:t>143</w:t>
      </w:r>
      <w:r w:rsidR="005B41DA">
        <w:rPr>
          <w:rFonts w:eastAsia="Calibri"/>
        </w:rPr>
        <w:t>/21</w:t>
      </w:r>
      <w:r w:rsidR="00312514">
        <w:rPr>
          <w:rFonts w:eastAsia="Calibri"/>
        </w:rPr>
        <w:t>.</w:t>
      </w:r>
      <w:r w:rsidR="00DC584C">
        <w:rPr>
          <w:rFonts w:eastAsia="Calibri"/>
        </w:rPr>
        <w:t>).</w:t>
      </w:r>
      <w:r w:rsidR="00E4234C">
        <w:rPr>
          <w:rFonts w:eastAsia="Calibri"/>
        </w:rPr>
        <w:t xml:space="preserve"> </w:t>
      </w:r>
      <w:r w:rsidR="00DC584C">
        <w:rPr>
          <w:rFonts w:eastAsia="Calibri"/>
        </w:rPr>
        <w:t>Z</w:t>
      </w:r>
      <w:r w:rsidRPr="00B47BDA">
        <w:rPr>
          <w:rFonts w:eastAsia="Calibri"/>
        </w:rPr>
        <w:t>a potrebe Programa identificirano je 413 stambenih zgrada, a obuhvaćeno je 407 zgrada s radnog popisa i 12 dodatnih, ali su 22 obuhvaćene u drugim cjelinama, što daje ukupni broj od 397 zgrada. Određeni su prioriteti obnove prema uočenim nedostacima zgrada te je procijenjena moguća ušteda energije za grijanje i primarne energije koja će se ostvariti obnovom zgrada. Ukupno je obuhvaćeno</w:t>
      </w:r>
      <w:r w:rsidRPr="00B47BDA" w:rsidDel="007C71DD">
        <w:rPr>
          <w:rFonts w:eastAsia="Calibri"/>
        </w:rPr>
        <w:t xml:space="preserve"> </w:t>
      </w:r>
      <w:r w:rsidR="007C71DD" w:rsidRPr="00B47BDA">
        <w:rPr>
          <w:rFonts w:eastAsia="Calibri"/>
        </w:rPr>
        <w:t xml:space="preserve">387 </w:t>
      </w:r>
      <w:r w:rsidRPr="00B47BDA">
        <w:rPr>
          <w:rFonts w:eastAsia="Calibri"/>
        </w:rPr>
        <w:t xml:space="preserve">zgrada, ukupne površine 297.575 m², za čiju obnovu je potrebno uložiti </w:t>
      </w:r>
      <w:r w:rsidR="00A45959" w:rsidRPr="00B47BDA">
        <w:rPr>
          <w:rFonts w:eastAsia="Calibri"/>
        </w:rPr>
        <w:t xml:space="preserve">47 </w:t>
      </w:r>
      <w:r w:rsidRPr="00B47BDA">
        <w:rPr>
          <w:rFonts w:eastAsia="Calibri"/>
        </w:rPr>
        <w:t>milijuna</w:t>
      </w:r>
      <w:r w:rsidR="00260FDE">
        <w:rPr>
          <w:rFonts w:eastAsia="Calibri"/>
        </w:rPr>
        <w:t xml:space="preserve"> </w:t>
      </w:r>
      <w:r w:rsidR="0007570F">
        <w:rPr>
          <w:rFonts w:eastAsia="Calibri"/>
        </w:rPr>
        <w:t>EUR</w:t>
      </w:r>
      <w:r w:rsidR="00A45959" w:rsidRPr="00B47BDA">
        <w:rPr>
          <w:rFonts w:eastAsia="Calibri"/>
        </w:rPr>
        <w:t>.</w:t>
      </w:r>
      <w:r w:rsidRPr="00B47BDA" w:rsidDel="00A45959">
        <w:rPr>
          <w:rFonts w:eastAsia="Calibri"/>
        </w:rPr>
        <w:t xml:space="preserve"> </w:t>
      </w:r>
      <w:r w:rsidRPr="00B47BDA">
        <w:rPr>
          <w:rFonts w:eastAsia="Calibri"/>
        </w:rPr>
        <w:t>Ukupna moguća ušteda primarne energije na svim zgrada iznosi 27 GWh godišnje.</w:t>
      </w:r>
      <w:r w:rsidR="00DC0F97" w:rsidRPr="00B47BDA">
        <w:t xml:space="preserve"> </w:t>
      </w:r>
      <w:r w:rsidR="00DC0F97" w:rsidRPr="00B47BDA">
        <w:rPr>
          <w:rFonts w:eastAsia="Calibri"/>
        </w:rPr>
        <w:t>Programom se predviđa i uporaba obnovljivih izvora energije, poglavito fotonaponskih sustava čiji ukupni potencijal može osigurati proizvodnju električne energije na lokaciji za vlastitu potrošnju u iznosu od oko 4.360 MWh godišnje, čime će se emisija CO</w:t>
      </w:r>
      <w:r w:rsidR="00DC0F97" w:rsidRPr="00B47BDA">
        <w:rPr>
          <w:rFonts w:eastAsia="Calibri"/>
          <w:vertAlign w:val="subscript"/>
        </w:rPr>
        <w:t>2</w:t>
      </w:r>
      <w:r w:rsidR="00DC0F97" w:rsidRPr="00B47BDA">
        <w:rPr>
          <w:rFonts w:eastAsia="Calibri"/>
        </w:rPr>
        <w:t xml:space="preserve"> smanjiti za oko 691 tonu godišnje.</w:t>
      </w:r>
    </w:p>
    <w:p w14:paraId="174DBEC7" w14:textId="023EB3BD" w:rsidR="00AB583F" w:rsidRPr="00B47BDA" w:rsidRDefault="00AB583F" w:rsidP="00661DD9">
      <w:pPr>
        <w:rPr>
          <w:rFonts w:eastAsia="Calibri"/>
        </w:rPr>
      </w:pPr>
      <w:r w:rsidRPr="00B47BDA">
        <w:rPr>
          <w:rFonts w:eastAsia="Calibri"/>
          <w:b/>
        </w:rPr>
        <w:t>Izvori financiranja:</w:t>
      </w:r>
      <w:r w:rsidRPr="00B47BDA">
        <w:rPr>
          <w:rFonts w:eastAsia="Calibri"/>
        </w:rPr>
        <w:t xml:space="preserve"> </w:t>
      </w:r>
      <w:r w:rsidR="00CE5C94" w:rsidRPr="00B47BDA">
        <w:rPr>
          <w:rFonts w:eastAsia="Calibri"/>
        </w:rPr>
        <w:t>Mehanizam za oporavak i otpornost</w:t>
      </w:r>
      <w:r w:rsidR="00926AC0" w:rsidRPr="00B47BDA">
        <w:rPr>
          <w:rFonts w:eastAsia="Calibri"/>
        </w:rPr>
        <w:t xml:space="preserve">, </w:t>
      </w:r>
      <w:r w:rsidR="00C019A4" w:rsidRPr="00B47BDA">
        <w:rPr>
          <w:rFonts w:eastAsia="Calibri"/>
        </w:rPr>
        <w:t>državni proračun (preostali raspoloživi iznos sredstava prikupljenih na osnovu solidarne naknade za ugroženog kupca energenta),</w:t>
      </w:r>
      <w:r w:rsidR="00926AC0" w:rsidRPr="00B47BDA">
        <w:rPr>
          <w:rFonts w:eastAsia="Calibri"/>
        </w:rPr>
        <w:t xml:space="preserve"> </w:t>
      </w:r>
      <w:r w:rsidR="00C019A4" w:rsidRPr="00B47BDA">
        <w:rPr>
          <w:rFonts w:eastAsia="Calibri"/>
        </w:rPr>
        <w:t>s</w:t>
      </w:r>
      <w:r w:rsidRPr="00B47BDA">
        <w:rPr>
          <w:rFonts w:eastAsia="Calibri"/>
        </w:rPr>
        <w:t>redstva obveznika sustava obveze energetske učinkovitosti, FZOEU, EU sredstva</w:t>
      </w:r>
      <w:r w:rsidR="001D08EC" w:rsidRPr="00B47BDA">
        <w:rPr>
          <w:rFonts w:eastAsia="Calibri"/>
        </w:rPr>
        <w:t>.</w:t>
      </w:r>
    </w:p>
    <w:p w14:paraId="1C9C9463" w14:textId="4E26AC3B" w:rsidR="00AB583F" w:rsidRPr="00B47BDA" w:rsidRDefault="00AB583F" w:rsidP="004623DD">
      <w:pPr>
        <w:rPr>
          <w:rFonts w:eastAsia="Calibri"/>
        </w:rPr>
      </w:pPr>
      <w:r w:rsidRPr="00B47BDA">
        <w:rPr>
          <w:rFonts w:eastAsia="Calibri"/>
          <w:b/>
        </w:rPr>
        <w:t>Izvršno tijelo:</w:t>
      </w:r>
      <w:r w:rsidRPr="00B47BDA">
        <w:rPr>
          <w:rFonts w:eastAsia="Calibri"/>
        </w:rPr>
        <w:t xml:space="preserve"> </w:t>
      </w:r>
      <w:r w:rsidR="009F1C94">
        <w:rPr>
          <w:rFonts w:eastAsia="Calibri"/>
        </w:rPr>
        <w:t>MPGI</w:t>
      </w:r>
      <w:r w:rsidR="0089679C" w:rsidRPr="00B47BDA">
        <w:rPr>
          <w:rFonts w:eastAsia="Calibri"/>
        </w:rPr>
        <w:t xml:space="preserve">, </w:t>
      </w:r>
      <w:r w:rsidRPr="00B47BDA">
        <w:rPr>
          <w:rFonts w:eastAsia="Calibri"/>
        </w:rPr>
        <w:t>FZOEU</w:t>
      </w:r>
      <w:r w:rsidR="00164A12">
        <w:rPr>
          <w:rFonts w:eastAsia="Calibri"/>
        </w:rPr>
        <w:t>.</w:t>
      </w:r>
    </w:p>
    <w:p w14:paraId="3DF5675E" w14:textId="09B03946" w:rsidR="00AB583F" w:rsidRPr="00B47BDA" w:rsidRDefault="00AB583F" w:rsidP="004623DD">
      <w:pPr>
        <w:rPr>
          <w:rFonts w:eastAsia="Calibri"/>
        </w:rPr>
      </w:pPr>
      <w:r w:rsidRPr="00801AB0">
        <w:rPr>
          <w:rFonts w:eastAsia="Calibri"/>
          <w:b/>
          <w:bCs/>
        </w:rPr>
        <w:t>Tijela za praćenje:</w:t>
      </w:r>
      <w:r w:rsidRPr="00B47BDA">
        <w:rPr>
          <w:rFonts w:eastAsia="Calibri"/>
        </w:rPr>
        <w:t xml:space="preserve"> </w:t>
      </w:r>
      <w:r w:rsidR="00304E21" w:rsidRPr="00B47BDA">
        <w:rPr>
          <w:rFonts w:eastAsia="Calibri"/>
        </w:rPr>
        <w:t>MINGO</w:t>
      </w:r>
      <w:r w:rsidRPr="00B47BDA">
        <w:rPr>
          <w:rFonts w:eastAsia="Calibri"/>
        </w:rPr>
        <w:t>-NKT</w:t>
      </w:r>
      <w:r w:rsidR="00164A12">
        <w:rPr>
          <w:rFonts w:eastAsia="Calibri"/>
        </w:rPr>
        <w:t>.</w:t>
      </w:r>
    </w:p>
    <w:p w14:paraId="0A8B4CFB" w14:textId="2CDD1A36" w:rsidR="00AB583F" w:rsidRPr="00B47BDA" w:rsidRDefault="00AB583F" w:rsidP="00661DD9">
      <w:pPr>
        <w:rPr>
          <w:rFonts w:eastAsia="Calibri"/>
        </w:rPr>
      </w:pPr>
      <w:r w:rsidRPr="00B47BDA">
        <w:rPr>
          <w:rFonts w:eastAsia="Calibri"/>
          <w:b/>
        </w:rPr>
        <w:t>Učinak:</w:t>
      </w:r>
      <w:r w:rsidRPr="00B47BDA">
        <w:rPr>
          <w:rFonts w:eastAsia="Calibri"/>
        </w:rPr>
        <w:t xml:space="preserve"> cjelovita obnova zgrada na potpomognutim područjima i područjima posebne državne skrbi; izgradnja kapaciteta za ublažavanje energetskog siromaštva; uspostava modela za podmirivanje troškova za energiju; smanjenje neposredne potrošnje energije i posljedično smanjenje emisija CO</w:t>
      </w:r>
      <w:r w:rsidRPr="00B47BDA">
        <w:rPr>
          <w:rFonts w:eastAsia="Calibri"/>
          <w:vertAlign w:val="subscript"/>
        </w:rPr>
        <w:t>2</w:t>
      </w:r>
      <w:r w:rsidRPr="00B47BDA">
        <w:rPr>
          <w:rFonts w:eastAsia="Calibri"/>
        </w:rPr>
        <w:t xml:space="preserve"> u energetski siromašnim kućanstvima i kućanstvima ugroženima njime</w:t>
      </w:r>
      <w:r w:rsidR="00AA5DBE" w:rsidRPr="00B47BDA">
        <w:rPr>
          <w:rFonts w:eastAsia="Calibri"/>
        </w:rPr>
        <w:t>.</w:t>
      </w:r>
    </w:p>
    <w:p w14:paraId="4DBD081A" w14:textId="5333B53C" w:rsidR="00EB395E" w:rsidRPr="00B47BDA" w:rsidDel="00AA5DBE" w:rsidRDefault="003356EE" w:rsidP="63259912">
      <w:pPr>
        <w:rPr>
          <w:rFonts w:eastAsia="Calibri"/>
        </w:rPr>
      </w:pPr>
      <w:r w:rsidRPr="63259912">
        <w:rPr>
          <w:rFonts w:eastAsia="Calibri"/>
        </w:rPr>
        <w:t>Procijenjene</w:t>
      </w:r>
      <w:r w:rsidR="00614775" w:rsidRPr="63259912">
        <w:rPr>
          <w:rFonts w:eastAsia="Calibri"/>
        </w:rPr>
        <w:t xml:space="preserve"> uštede u neposrednoj potrošnji u 20</w:t>
      </w:r>
      <w:r w:rsidR="00BD4C3C" w:rsidRPr="63259912">
        <w:rPr>
          <w:rFonts w:eastAsia="Calibri"/>
        </w:rPr>
        <w:t>30</w:t>
      </w:r>
      <w:r w:rsidR="00614775" w:rsidRPr="63259912">
        <w:rPr>
          <w:rFonts w:eastAsia="Calibri"/>
        </w:rPr>
        <w:t>. iznose</w:t>
      </w:r>
      <w:r w:rsidR="00F22292" w:rsidRPr="63259912">
        <w:rPr>
          <w:rFonts w:eastAsia="Calibri"/>
        </w:rPr>
        <w:t xml:space="preserve"> 0,</w:t>
      </w:r>
      <w:r w:rsidR="00DB61A7" w:rsidRPr="63259912">
        <w:rPr>
          <w:rFonts w:eastAsia="Calibri"/>
        </w:rPr>
        <w:t xml:space="preserve">56 </w:t>
      </w:r>
      <w:r w:rsidR="00614775" w:rsidRPr="63259912">
        <w:rPr>
          <w:rFonts w:eastAsia="Calibri"/>
        </w:rPr>
        <w:t>PJ (</w:t>
      </w:r>
      <w:r w:rsidR="0003528F" w:rsidRPr="63259912">
        <w:rPr>
          <w:rFonts w:eastAsia="Calibri"/>
        </w:rPr>
        <w:t>1</w:t>
      </w:r>
      <w:r w:rsidR="00BD2395" w:rsidRPr="63259912">
        <w:rPr>
          <w:rFonts w:eastAsia="Calibri"/>
        </w:rPr>
        <w:t>3</w:t>
      </w:r>
      <w:r w:rsidR="0003528F" w:rsidRPr="63259912">
        <w:rPr>
          <w:rFonts w:eastAsia="Calibri"/>
        </w:rPr>
        <w:t>,</w:t>
      </w:r>
      <w:r w:rsidR="00DB61A7" w:rsidRPr="63259912">
        <w:rPr>
          <w:rFonts w:eastAsia="Calibri"/>
        </w:rPr>
        <w:t>27</w:t>
      </w:r>
      <w:r w:rsidR="002B2D37" w:rsidRPr="63259912">
        <w:rPr>
          <w:rFonts w:eastAsia="Calibri"/>
        </w:rPr>
        <w:t xml:space="preserve"> </w:t>
      </w:r>
      <w:r w:rsidR="00614775" w:rsidRPr="63259912">
        <w:rPr>
          <w:rFonts w:eastAsia="Calibri"/>
        </w:rPr>
        <w:t xml:space="preserve">ktoe; </w:t>
      </w:r>
      <w:r w:rsidR="00E61B8D" w:rsidRPr="63259912">
        <w:rPr>
          <w:rFonts w:eastAsia="Calibri"/>
        </w:rPr>
        <w:t>154</w:t>
      </w:r>
      <w:r w:rsidR="00BD2395" w:rsidRPr="63259912">
        <w:rPr>
          <w:rFonts w:eastAsia="Calibri"/>
        </w:rPr>
        <w:t>,</w:t>
      </w:r>
      <w:r w:rsidR="00E61B8D" w:rsidRPr="63259912">
        <w:rPr>
          <w:rFonts w:eastAsia="Calibri"/>
        </w:rPr>
        <w:t>38</w:t>
      </w:r>
      <w:r w:rsidR="00614775" w:rsidRPr="63259912">
        <w:rPr>
          <w:rFonts w:eastAsia="Calibri"/>
        </w:rPr>
        <w:t xml:space="preserve"> GWh); procijenjeno smanjenje emisija CO</w:t>
      </w:r>
      <w:r w:rsidR="005E666B" w:rsidRPr="63259912">
        <w:rPr>
          <w:rFonts w:eastAsia="Calibri"/>
          <w:vertAlign w:val="subscript"/>
        </w:rPr>
        <w:t>2</w:t>
      </w:r>
      <w:r w:rsidR="00614775" w:rsidRPr="63259912">
        <w:rPr>
          <w:rFonts w:eastAsia="Calibri"/>
        </w:rPr>
        <w:t xml:space="preserve"> u 20</w:t>
      </w:r>
      <w:r w:rsidR="00BD2395" w:rsidRPr="63259912">
        <w:rPr>
          <w:rFonts w:eastAsia="Calibri"/>
        </w:rPr>
        <w:t>30</w:t>
      </w:r>
      <w:r w:rsidR="00614775" w:rsidRPr="63259912">
        <w:rPr>
          <w:rFonts w:eastAsia="Calibri"/>
        </w:rPr>
        <w:t xml:space="preserve">. </w:t>
      </w:r>
      <w:r w:rsidR="001B4E07" w:rsidRPr="63259912">
        <w:rPr>
          <w:rFonts w:eastAsia="Calibri"/>
        </w:rPr>
        <w:t>25</w:t>
      </w:r>
      <w:r w:rsidR="0093183C" w:rsidRPr="63259912">
        <w:rPr>
          <w:rFonts w:eastAsia="Calibri"/>
        </w:rPr>
        <w:t>,</w:t>
      </w:r>
      <w:r w:rsidR="001B4E07" w:rsidRPr="63259912">
        <w:rPr>
          <w:rFonts w:eastAsia="Calibri"/>
        </w:rPr>
        <w:t>25</w:t>
      </w:r>
      <w:r w:rsidR="00614775" w:rsidRPr="63259912">
        <w:rPr>
          <w:rFonts w:eastAsia="Calibri"/>
        </w:rPr>
        <w:t xml:space="preserve"> ktCO</w:t>
      </w:r>
      <w:r w:rsidR="005E666B" w:rsidRPr="63259912">
        <w:rPr>
          <w:rFonts w:eastAsia="Calibri"/>
          <w:vertAlign w:val="subscript"/>
        </w:rPr>
        <w:t>2</w:t>
      </w:r>
      <w:r w:rsidR="00614775" w:rsidRPr="63259912">
        <w:rPr>
          <w:rFonts w:eastAsia="Calibri"/>
        </w:rPr>
        <w:t xml:space="preserve">; kumulativne uštede energije u razdoblju </w:t>
      </w:r>
      <w:r w:rsidR="00E75B2E" w:rsidRPr="63259912">
        <w:rPr>
          <w:rFonts w:eastAsia="Calibri"/>
        </w:rPr>
        <w:t>do 2030.</w:t>
      </w:r>
      <w:r w:rsidR="00614775" w:rsidRPr="63259912">
        <w:rPr>
          <w:rFonts w:eastAsia="Calibri"/>
        </w:rPr>
        <w:t xml:space="preserve"> </w:t>
      </w:r>
      <w:r w:rsidR="00C720A3" w:rsidRPr="63259912">
        <w:rPr>
          <w:rFonts w:eastAsia="Calibri"/>
        </w:rPr>
        <w:t>3,</w:t>
      </w:r>
      <w:r w:rsidR="00517AE7" w:rsidRPr="63259912">
        <w:rPr>
          <w:rFonts w:eastAsia="Calibri"/>
        </w:rPr>
        <w:t>61</w:t>
      </w:r>
      <w:r w:rsidR="00614775" w:rsidRPr="63259912">
        <w:rPr>
          <w:rFonts w:eastAsia="Calibri"/>
        </w:rPr>
        <w:t xml:space="preserve"> PJ (</w:t>
      </w:r>
      <w:r w:rsidR="00C21434" w:rsidRPr="63259912">
        <w:rPr>
          <w:rFonts w:eastAsia="Calibri"/>
        </w:rPr>
        <w:t>86</w:t>
      </w:r>
      <w:r w:rsidR="00E75B2E" w:rsidRPr="63259912">
        <w:rPr>
          <w:rFonts w:eastAsia="Calibri"/>
        </w:rPr>
        <w:t>,</w:t>
      </w:r>
      <w:r w:rsidR="00C21434" w:rsidRPr="63259912">
        <w:rPr>
          <w:rFonts w:eastAsia="Calibri"/>
        </w:rPr>
        <w:t>28</w:t>
      </w:r>
      <w:r w:rsidR="005E666B" w:rsidRPr="63259912">
        <w:rPr>
          <w:rFonts w:eastAsia="Calibri"/>
        </w:rPr>
        <w:t xml:space="preserve"> </w:t>
      </w:r>
      <w:r w:rsidR="00614775" w:rsidRPr="63259912">
        <w:rPr>
          <w:rFonts w:eastAsia="Calibri"/>
        </w:rPr>
        <w:t xml:space="preserve">ktoe; </w:t>
      </w:r>
      <w:r w:rsidR="00E61B8D" w:rsidRPr="63259912">
        <w:rPr>
          <w:rFonts w:eastAsia="Calibri"/>
        </w:rPr>
        <w:t>1.003</w:t>
      </w:r>
      <w:r w:rsidR="00E75B2E" w:rsidRPr="63259912">
        <w:rPr>
          <w:rFonts w:eastAsia="Calibri"/>
        </w:rPr>
        <w:t>,</w:t>
      </w:r>
      <w:r w:rsidR="00E61B8D" w:rsidRPr="63259912">
        <w:rPr>
          <w:rFonts w:eastAsia="Calibri"/>
        </w:rPr>
        <w:t>47</w:t>
      </w:r>
      <w:r w:rsidR="00614775" w:rsidRPr="63259912">
        <w:rPr>
          <w:rFonts w:eastAsia="Calibri"/>
        </w:rPr>
        <w:t xml:space="preserve"> GWh); kumulativno smanjenje emisija CO</w:t>
      </w:r>
      <w:r w:rsidR="00614775" w:rsidRPr="63259912">
        <w:rPr>
          <w:rFonts w:eastAsia="Calibri"/>
          <w:vertAlign w:val="subscript"/>
        </w:rPr>
        <w:t>2</w:t>
      </w:r>
      <w:r w:rsidR="00614775" w:rsidRPr="63259912">
        <w:rPr>
          <w:rFonts w:eastAsia="Calibri"/>
        </w:rPr>
        <w:t xml:space="preserve"> u razdoblju </w:t>
      </w:r>
      <w:r w:rsidR="00E75B2E" w:rsidRPr="63259912">
        <w:rPr>
          <w:rFonts w:eastAsia="Calibri"/>
        </w:rPr>
        <w:t xml:space="preserve">do 2030. </w:t>
      </w:r>
      <w:r w:rsidR="001B4E07" w:rsidRPr="63259912">
        <w:rPr>
          <w:rFonts w:eastAsia="Calibri"/>
        </w:rPr>
        <w:t>228</w:t>
      </w:r>
      <w:r w:rsidR="00E75B2E" w:rsidRPr="63259912">
        <w:rPr>
          <w:rFonts w:eastAsia="Calibri"/>
        </w:rPr>
        <w:t>,</w:t>
      </w:r>
      <w:r w:rsidR="001B4E07" w:rsidRPr="63259912">
        <w:rPr>
          <w:rFonts w:eastAsia="Calibri"/>
        </w:rPr>
        <w:t xml:space="preserve">42 </w:t>
      </w:r>
      <w:r w:rsidR="00614775" w:rsidRPr="63259912">
        <w:rPr>
          <w:rFonts w:eastAsia="Calibri"/>
        </w:rPr>
        <w:t>ktCO</w:t>
      </w:r>
      <w:r w:rsidR="005E666B" w:rsidRPr="63259912">
        <w:rPr>
          <w:rFonts w:eastAsia="Calibri"/>
          <w:vertAlign w:val="subscript"/>
        </w:rPr>
        <w:t>2</w:t>
      </w:r>
      <w:r w:rsidR="00614775" w:rsidRPr="63259912">
        <w:rPr>
          <w:rFonts w:eastAsia="Calibri"/>
        </w:rPr>
        <w:t>.</w:t>
      </w:r>
    </w:p>
    <w:p w14:paraId="5806DD8A" w14:textId="63F993C7" w:rsidR="33F14358" w:rsidRDefault="00AB583F" w:rsidP="55103C4F">
      <w:pPr>
        <w:rPr>
          <w:rFonts w:eastAsia="Calibri"/>
        </w:rPr>
      </w:pPr>
      <w:r w:rsidRPr="00B47BDA">
        <w:rPr>
          <w:rFonts w:eastAsia="Calibri"/>
          <w:b/>
        </w:rPr>
        <w:t>Metoda praćenja:</w:t>
      </w:r>
      <w:r w:rsidRPr="00B47BDA">
        <w:rPr>
          <w:rFonts w:eastAsia="Calibri"/>
        </w:rPr>
        <w:t xml:space="preserve"> Publikacije DZS</w:t>
      </w:r>
      <w:r w:rsidR="009B70E0" w:rsidRPr="00B47BDA">
        <w:rPr>
          <w:rFonts w:eastAsia="Calibri"/>
        </w:rPr>
        <w:t>-a</w:t>
      </w:r>
      <w:r w:rsidRPr="00B47BDA">
        <w:rPr>
          <w:rFonts w:eastAsia="Calibri"/>
        </w:rPr>
        <w:t>; Ostvarene uštede prate se i dokazuju korištenjem metoda odozdo-prema-gore prema Pravilniku o sustavu za praćenje, mjerenje i verifikaciju ušteda energije</w:t>
      </w:r>
      <w:r w:rsidR="00B63C2B">
        <w:rPr>
          <w:rFonts w:eastAsia="Calibri"/>
        </w:rPr>
        <w:t xml:space="preserve">, </w:t>
      </w:r>
      <w:r w:rsidR="009B208E">
        <w:rPr>
          <w:rFonts w:eastAsia="Calibri"/>
        </w:rPr>
        <w:t xml:space="preserve">do </w:t>
      </w:r>
      <w:r w:rsidR="00B63C2B">
        <w:rPr>
          <w:rFonts w:eastAsia="Calibri"/>
        </w:rPr>
        <w:t xml:space="preserve">nadogradnje </w:t>
      </w:r>
      <w:r w:rsidR="009B208E">
        <w:rPr>
          <w:rFonts w:eastAsia="Calibri"/>
        </w:rPr>
        <w:t>ISGE</w:t>
      </w:r>
      <w:r w:rsidR="004170CA" w:rsidRPr="00B47BDA">
        <w:rPr>
          <w:rFonts w:eastAsia="Calibri"/>
        </w:rPr>
        <w:t>.</w:t>
      </w:r>
    </w:p>
    <w:p w14:paraId="66543B96" w14:textId="0808F9EC" w:rsidR="00DC3A7B" w:rsidRDefault="00DC3A7B">
      <w:pPr>
        <w:spacing w:after="0"/>
        <w:jc w:val="left"/>
        <w:rPr>
          <w:rFonts w:eastAsia="Calibri"/>
        </w:rPr>
      </w:pPr>
      <w:r>
        <w:rPr>
          <w:rFonts w:eastAsia="Calibri"/>
        </w:rPr>
        <w:br w:type="page"/>
      </w:r>
    </w:p>
    <w:p w14:paraId="2E090033" w14:textId="1AEF8421" w:rsidR="00C21988" w:rsidRPr="00B47BDA" w:rsidRDefault="00DB6B9C" w:rsidP="005C2C7E">
      <w:pPr>
        <w:pStyle w:val="Heading2"/>
        <w:numPr>
          <w:ilvl w:val="1"/>
          <w:numId w:val="175"/>
        </w:numPr>
      </w:pPr>
      <w:bookmarkStart w:id="487" w:name="_Toc531935164"/>
      <w:bookmarkStart w:id="488" w:name="_Toc531945114"/>
      <w:bookmarkStart w:id="489" w:name="_Toc6302371"/>
      <w:r w:rsidRPr="00B47BDA">
        <w:lastRenderedPageBreak/>
        <w:tab/>
      </w:r>
      <w:bookmarkStart w:id="490" w:name="_Toc187418355"/>
      <w:bookmarkStart w:id="491" w:name="_Toc193043280"/>
      <w:r w:rsidR="00C21988" w:rsidRPr="00B47BDA">
        <w:t xml:space="preserve">Dimenzija: </w:t>
      </w:r>
      <w:r w:rsidR="007E1352">
        <w:t>i</w:t>
      </w:r>
      <w:r w:rsidR="00C21988" w:rsidRPr="00B47BDA">
        <w:t>straživanje, inovacije i konkurentnost</w:t>
      </w:r>
      <w:bookmarkEnd w:id="487"/>
      <w:bookmarkEnd w:id="488"/>
      <w:bookmarkEnd w:id="489"/>
      <w:bookmarkEnd w:id="490"/>
      <w:bookmarkEnd w:id="491"/>
    </w:p>
    <w:p w14:paraId="21171962" w14:textId="01704175" w:rsidR="00565051" w:rsidRPr="00B47BDA" w:rsidRDefault="00565051" w:rsidP="005C2C7E">
      <w:pPr>
        <w:pStyle w:val="Heading4"/>
        <w:numPr>
          <w:ilvl w:val="3"/>
          <w:numId w:val="175"/>
        </w:numPr>
        <w:ind w:hanging="580"/>
      </w:pPr>
      <w:bookmarkStart w:id="492" w:name="_Toc531935165"/>
      <w:bookmarkStart w:id="493" w:name="_Toc531945115"/>
      <w:bookmarkStart w:id="494" w:name="_Toc6302372"/>
      <w:r w:rsidRPr="00B47BDA">
        <w:t xml:space="preserve">Politike i mjere koje se odnose na elemente iz </w:t>
      </w:r>
      <w:r w:rsidR="005B4F65">
        <w:t>točke</w:t>
      </w:r>
      <w:r w:rsidRPr="00B47BDA">
        <w:t xml:space="preserve"> </w:t>
      </w:r>
      <w:r w:rsidR="001A58F0">
        <w:t>2</w:t>
      </w:r>
      <w:r w:rsidRPr="00B47BDA">
        <w:t>.5</w:t>
      </w:r>
    </w:p>
    <w:bookmarkEnd w:id="492"/>
    <w:bookmarkEnd w:id="493"/>
    <w:bookmarkEnd w:id="494"/>
    <w:p w14:paraId="7066A654" w14:textId="5BEB972C" w:rsidR="00FD5A39" w:rsidRPr="00B47BDA" w:rsidRDefault="00BF7390" w:rsidP="004623DD">
      <w:r w:rsidRPr="00BF7390">
        <w:t>Država će povećati ulaganje u istraživanje, inovacije i konkurentnost te ulaganje u transfer znanja i razvoj tehnologija utemeljenih na znanju i inovacijama kroz politike i mjere koje se odnose na znanost i istraživanja te one koje se odnose na razvoj konkurentnosti. Programi podrške u području istraživa</w:t>
      </w:r>
      <w:r>
        <w:t>n</w:t>
      </w:r>
      <w:r w:rsidRPr="00BF7390">
        <w:t>ja, razvoja i inovacija te u razvoju tehnologija utemeljenih na znanju i inovacijama uključuju dodjelu bespovratnih sredstava i vaučera do provedbe strateških ili pilot projekata. Za poduzetnike se razvijaju i posebni programi i financijski instrumenti, uključ</w:t>
      </w:r>
      <w:r>
        <w:t>u</w:t>
      </w:r>
      <w:r w:rsidRPr="00BF7390">
        <w:t>jući zajmove i programe državnih potpora</w:t>
      </w:r>
      <w:r w:rsidR="00BC7F92" w:rsidRPr="00B47BDA">
        <w:t>.</w:t>
      </w:r>
    </w:p>
    <w:p w14:paraId="1E800AFA" w14:textId="0E6E9D74" w:rsidR="00FD5A39" w:rsidRPr="00B47BDA" w:rsidRDefault="00FD5A39" w:rsidP="00801AB0">
      <w:pPr>
        <w:pStyle w:val="Mjeranaslov"/>
        <w:rPr>
          <w:highlight w:val="yellow"/>
          <w:u w:val="single"/>
        </w:rPr>
      </w:pPr>
      <w:r w:rsidRPr="002B22F6">
        <w:t>IIK-1</w:t>
      </w:r>
      <w:r w:rsidR="00D903BB">
        <w:t xml:space="preserve"> </w:t>
      </w:r>
      <w:r w:rsidR="007C2186" w:rsidRPr="00B47BDA">
        <w:t xml:space="preserve">Uspostava sustava identifikacije i praćenja </w:t>
      </w:r>
      <w:r w:rsidR="00B847F3" w:rsidRPr="00B847F3">
        <w:t>ostvarenj</w:t>
      </w:r>
      <w:r w:rsidR="00B847F3">
        <w:t>a</w:t>
      </w:r>
      <w:r w:rsidR="00B847F3" w:rsidRPr="00B847F3">
        <w:t xml:space="preserve"> ciljeva istraživanja, inovacija i konkurentnosti</w:t>
      </w:r>
    </w:p>
    <w:p w14:paraId="7F0A0EA3" w14:textId="4E680B8F" w:rsidR="005D1F49" w:rsidRDefault="00FE4812" w:rsidP="004623DD">
      <w:r w:rsidRPr="00B47BDA">
        <w:t xml:space="preserve">Organizacijska </w:t>
      </w:r>
      <w:r w:rsidR="00FD5A39" w:rsidRPr="00B47BDA">
        <w:t>mjera; provedba: 202</w:t>
      </w:r>
      <w:r w:rsidR="002719D3">
        <w:t>5</w:t>
      </w:r>
      <w:r w:rsidR="00CC1120">
        <w:t>. – 2027.</w:t>
      </w:r>
    </w:p>
    <w:p w14:paraId="6A5B0684" w14:textId="7F10BA23" w:rsidR="005D1F49" w:rsidRPr="005D1F49" w:rsidRDefault="005D1F49" w:rsidP="004623DD">
      <w:r w:rsidRPr="005D1F49">
        <w:rPr>
          <w:b/>
        </w:rPr>
        <w:t>Cilj i opis mjere</w:t>
      </w:r>
      <w:r w:rsidRPr="005D1F49">
        <w:t>: Razrada i uspostava sustava praćenja napretka na području istraživanja i razvoja, inovacija i konkurentnosti povezanih s energetskom unijom; uspostava identifikatora, kako bi se moglo uspostaviti praćenje znanstveno-istraživačkih/istraživ</w:t>
      </w:r>
      <w:r w:rsidR="00597F83">
        <w:t>a</w:t>
      </w:r>
      <w:r w:rsidRPr="005D1F49">
        <w:t>čko-inovacijskih aktivnosti, neovisno o izvoru financiranja, sa zajedničkim skupom temeljnih podataka: razdoblje trajanja projekta, prihvatljivi troškovi, sudionici na projektu, proračun, izvori financiranja, područje djelovanja, opis projekta, planirani i ostvareni pokazatelji uspješnosti, tematsko prioritetno područje S3 i tematski prioritet energetske unije (ako je primjenjivo).</w:t>
      </w:r>
    </w:p>
    <w:p w14:paraId="4115DEA1" w14:textId="0545A0A3" w:rsidR="005D1F49" w:rsidRPr="005D1F49" w:rsidRDefault="005D1F49" w:rsidP="004623DD">
      <w:r w:rsidRPr="005D1F49">
        <w:rPr>
          <w:b/>
        </w:rPr>
        <w:t>Aktivnosti</w:t>
      </w:r>
      <w:r w:rsidRPr="005D1F49">
        <w:t xml:space="preserve">: </w:t>
      </w:r>
      <w:r w:rsidR="00477912">
        <w:t>D</w:t>
      </w:r>
      <w:r w:rsidRPr="005D1F49">
        <w:t>efinirati metodologiju, identifikatore, povezati s postojećim bazama podataka, unos podataka, testiranje, informiranje</w:t>
      </w:r>
      <w:r w:rsidR="00477912">
        <w:t>.</w:t>
      </w:r>
    </w:p>
    <w:p w14:paraId="3B60B7F5" w14:textId="6B55D3A0" w:rsidR="00C852E9" w:rsidRDefault="005D1F49" w:rsidP="004623DD">
      <w:r w:rsidRPr="005D1F49">
        <w:rPr>
          <w:b/>
        </w:rPr>
        <w:t>Učinak</w:t>
      </w:r>
      <w:r w:rsidRPr="005D1F49">
        <w:t xml:space="preserve">: </w:t>
      </w:r>
      <w:r w:rsidR="00477912">
        <w:t>U</w:t>
      </w:r>
      <w:r w:rsidRPr="005D1F49">
        <w:t>spostavljen sustav identifikacije i praćenja inovacija, istraživanja i konkurentnosti</w:t>
      </w:r>
      <w:r w:rsidR="00477912">
        <w:t>.</w:t>
      </w:r>
    </w:p>
    <w:p w14:paraId="678204AA" w14:textId="063B2DE0" w:rsidR="00FD5A39" w:rsidRPr="00B47BDA" w:rsidRDefault="00FD5A39" w:rsidP="00801AB0">
      <w:pPr>
        <w:pStyle w:val="Mjeranaslov"/>
        <w:rPr>
          <w:u w:val="single"/>
        </w:rPr>
      </w:pPr>
      <w:r w:rsidRPr="002B22F6">
        <w:t>IIK-2</w:t>
      </w:r>
      <w:r w:rsidR="00E13393">
        <w:t xml:space="preserve"> </w:t>
      </w:r>
      <w:r w:rsidR="00235CD1" w:rsidRPr="00235CD1">
        <w:t>Uspostava sustavnog financiranja istraživačkih i razvojnih projekata</w:t>
      </w:r>
    </w:p>
    <w:p w14:paraId="1C5F52FF" w14:textId="0AFD231B" w:rsidR="00C30B87" w:rsidRDefault="00490232" w:rsidP="004623DD">
      <w:r w:rsidRPr="00B47BDA">
        <w:t xml:space="preserve">Organizacijska </w:t>
      </w:r>
      <w:r w:rsidR="00FD5A39" w:rsidRPr="00B47BDA">
        <w:t>mjera; provedba: 202</w:t>
      </w:r>
      <w:r w:rsidRPr="00B47BDA">
        <w:t>4</w:t>
      </w:r>
      <w:r w:rsidR="00FD5A39" w:rsidRPr="00B47BDA">
        <w:t>.</w:t>
      </w:r>
      <w:r w:rsidR="00F97AE1">
        <w:t xml:space="preserve"> – 2030.</w:t>
      </w:r>
    </w:p>
    <w:p w14:paraId="2DD0BFF5" w14:textId="4ED2CAAA" w:rsidR="00225107" w:rsidRDefault="00E74022" w:rsidP="004623DD">
      <w:bookmarkStart w:id="495" w:name="_Hlk20747584"/>
      <w:r w:rsidRPr="63259912">
        <w:rPr>
          <w:b/>
          <w:bCs/>
        </w:rPr>
        <w:t>Cilj i opis mjere:</w:t>
      </w:r>
      <w:r w:rsidRPr="63259912">
        <w:rPr>
          <w:i/>
          <w:iCs/>
        </w:rPr>
        <w:t xml:space="preserve"> </w:t>
      </w:r>
      <w:r w:rsidRPr="63259912">
        <w:t>Mjerom se stvaraju pretpostavke za kontinuiranu i sustavnu provedbu istraživanja i inovacija i jačanje istraživačkih kapaciteta i planira</w:t>
      </w:r>
      <w:r w:rsidR="00225A1B" w:rsidRPr="63259912">
        <w:t xml:space="preserve"> provedba</w:t>
      </w:r>
      <w:r w:rsidRPr="63259912">
        <w:t xml:space="preserve"> i sufinancira</w:t>
      </w:r>
      <w:r w:rsidR="00225A1B" w:rsidRPr="63259912">
        <w:t>nje</w:t>
      </w:r>
      <w:r w:rsidRPr="63259912">
        <w:t xml:space="preserve"> istraživački</w:t>
      </w:r>
      <w:r w:rsidR="00064DB4" w:rsidRPr="63259912">
        <w:t>h</w:t>
      </w:r>
      <w:r w:rsidRPr="63259912">
        <w:t xml:space="preserve"> i inovacijski</w:t>
      </w:r>
      <w:r w:rsidR="00064DB4" w:rsidRPr="63259912">
        <w:t>h</w:t>
      </w:r>
      <w:r w:rsidRPr="63259912">
        <w:t xml:space="preserve"> projek</w:t>
      </w:r>
      <w:r w:rsidR="00064DB4" w:rsidRPr="63259912">
        <w:t>ata</w:t>
      </w:r>
      <w:r w:rsidRPr="63259912">
        <w:t xml:space="preserve">, uključujući veće (strateške) znanstvenoistraživačke projekte, s velikim iznosima financiranja. Razrađuju se </w:t>
      </w:r>
      <w:r w:rsidR="00DD0CC7" w:rsidRPr="63259912">
        <w:t xml:space="preserve">ciljevi, </w:t>
      </w:r>
      <w:r w:rsidRPr="63259912">
        <w:t xml:space="preserve">indikatori i uspostavlja sustav praćenja ostvarenja </w:t>
      </w:r>
      <w:r w:rsidR="001E50FA" w:rsidRPr="63259912">
        <w:t xml:space="preserve">ciljeva i </w:t>
      </w:r>
      <w:r w:rsidRPr="63259912">
        <w:t xml:space="preserve">indikatora na području istraživanja i razvoja, inovacija i konkurentnosti; </w:t>
      </w:r>
      <w:r w:rsidR="001E50FA" w:rsidRPr="63259912">
        <w:t>r</w:t>
      </w:r>
      <w:r w:rsidRPr="63259912">
        <w:t xml:space="preserve">azvijaju se kriteriji okrupnjavanja istraživačkih timova (npr. suradnjom više istraživačkih institucija) te privatnih partnera te povezivanja znanstveno-istraživačkih timova iz područja prirodnih, tehničkih, biomedicinskih i biotehničkih znanosti sa istraživačkim timovima iz područja društvenih i humanističkih znanosti kako bi se ojačao transdisciplinarni pristup rješavanju ključnih društvenih izazova vezanih uz energetsku uniju. </w:t>
      </w:r>
    </w:p>
    <w:p w14:paraId="78394E2F" w14:textId="77777777" w:rsidR="00500D9D" w:rsidRPr="00801AB0" w:rsidRDefault="00500D9D" w:rsidP="004623DD">
      <w:pPr>
        <w:rPr>
          <w:b/>
          <w:bCs/>
        </w:rPr>
      </w:pPr>
      <w:r w:rsidRPr="00801AB0">
        <w:rPr>
          <w:b/>
          <w:bCs/>
        </w:rPr>
        <w:t xml:space="preserve">Aktivnosti: </w:t>
      </w:r>
    </w:p>
    <w:p w14:paraId="49796253" w14:textId="74AF13FB" w:rsidR="00500D9D" w:rsidRPr="00500D9D" w:rsidRDefault="00500D9D" w:rsidP="00C63792">
      <w:pPr>
        <w:pStyle w:val="ListParagraph"/>
        <w:numPr>
          <w:ilvl w:val="0"/>
          <w:numId w:val="60"/>
        </w:numPr>
      </w:pPr>
      <w:r w:rsidRPr="00500D9D">
        <w:t>Definiranje ciljeva financiranja javnih i privatnih istraživanja i inovacija povezanih sa svim dimenzijama energetske unije, iznosa financiranja i dinamike objave tematskih natječaja (jednogodišnjih i višegodišnjih)</w:t>
      </w:r>
      <w:r w:rsidR="004F7A0B">
        <w:t>;</w:t>
      </w:r>
    </w:p>
    <w:p w14:paraId="50BDF0BA" w14:textId="65ED7630" w:rsidR="00500D9D" w:rsidRDefault="00500D9D" w:rsidP="00A563AA">
      <w:pPr>
        <w:pStyle w:val="ListParagraph"/>
        <w:numPr>
          <w:ilvl w:val="0"/>
          <w:numId w:val="60"/>
        </w:numPr>
      </w:pPr>
      <w:r w:rsidRPr="00634D5F">
        <w:lastRenderedPageBreak/>
        <w:t xml:space="preserve">Redovito raspisivanje tematskih natječaja za istraživačke i </w:t>
      </w:r>
      <w:r>
        <w:t>razvojne projekte</w:t>
      </w:r>
      <w:r w:rsidRPr="00634D5F">
        <w:t xml:space="preserve"> vezan</w:t>
      </w:r>
      <w:r>
        <w:t>e</w:t>
      </w:r>
      <w:r w:rsidRPr="00634D5F">
        <w:t xml:space="preserve"> uz energe</w:t>
      </w:r>
      <w:r>
        <w:t>t</w:t>
      </w:r>
      <w:r w:rsidRPr="00634D5F">
        <w:t>sku uniju</w:t>
      </w:r>
      <w:r w:rsidR="004F7A0B">
        <w:t>;</w:t>
      </w:r>
    </w:p>
    <w:p w14:paraId="21C902F6" w14:textId="63672E4E" w:rsidR="00500D9D" w:rsidRPr="006B02FF" w:rsidRDefault="00500D9D" w:rsidP="00A563AA">
      <w:pPr>
        <w:pStyle w:val="ListParagraph"/>
        <w:numPr>
          <w:ilvl w:val="0"/>
          <w:numId w:val="60"/>
        </w:numPr>
      </w:pPr>
      <w:r>
        <w:t>Sufinanciranje projekata prihvaćenih na EU natječajima</w:t>
      </w:r>
      <w:r w:rsidR="004F7A0B">
        <w:t>.</w:t>
      </w:r>
    </w:p>
    <w:p w14:paraId="0E5BF100" w14:textId="41A42C42" w:rsidR="00500D9D" w:rsidRDefault="00500D9D" w:rsidP="004623DD">
      <w:r w:rsidRPr="00E24776">
        <w:rPr>
          <w:b/>
        </w:rPr>
        <w:t>Učinak</w:t>
      </w:r>
      <w:r w:rsidRPr="00634D5F">
        <w:t>: Uspostavljen sustav kontinuiranog financiranja znanstvenoistraživačkih projekata i suradnje znanosti i gospodarstva</w:t>
      </w:r>
      <w:r>
        <w:t xml:space="preserve">; </w:t>
      </w:r>
      <w:r w:rsidRPr="00634D5F">
        <w:t>Provedeni znanstveno-istraživački projekti prioritetni za RH</w:t>
      </w:r>
      <w:r w:rsidR="00D8062B">
        <w:t>.</w:t>
      </w:r>
    </w:p>
    <w:bookmarkEnd w:id="495"/>
    <w:p w14:paraId="289718F2" w14:textId="42A666E3" w:rsidR="00FD5A39" w:rsidRPr="00B47BDA" w:rsidRDefault="00FD5A39" w:rsidP="00801AB0">
      <w:pPr>
        <w:pStyle w:val="Mjeranaslov"/>
      </w:pPr>
      <w:r w:rsidRPr="63259912">
        <w:t>IIK-</w:t>
      </w:r>
      <w:r w:rsidR="00FD581C" w:rsidRPr="63259912">
        <w:t>3</w:t>
      </w:r>
      <w:r w:rsidR="005A48EF" w:rsidRPr="63259912">
        <w:t xml:space="preserve"> </w:t>
      </w:r>
      <w:r w:rsidR="003A2A5F" w:rsidRPr="63259912">
        <w:t>Jačanje</w:t>
      </w:r>
      <w:r w:rsidR="00595B7C" w:rsidRPr="63259912">
        <w:t xml:space="preserve"> konkurentnosti na području niskougljičnog gospodarstva</w:t>
      </w:r>
    </w:p>
    <w:p w14:paraId="4AAC3863" w14:textId="219286FD" w:rsidR="00167E75" w:rsidRPr="00B47BDA" w:rsidRDefault="00FD5A39" w:rsidP="004623DD">
      <w:r w:rsidRPr="00B47BDA">
        <w:t>Financijska mjera; provedba: 2021.-2030.</w:t>
      </w:r>
    </w:p>
    <w:p w14:paraId="1578EF07" w14:textId="6DB56FE8" w:rsidR="00FD5A39" w:rsidRPr="00B47BDA" w:rsidRDefault="00FD5A39" w:rsidP="004623DD">
      <w:r w:rsidRPr="63259912">
        <w:rPr>
          <w:b/>
          <w:bCs/>
        </w:rPr>
        <w:t>Cilj i opis mjere</w:t>
      </w:r>
      <w:r w:rsidRPr="63259912">
        <w:t xml:space="preserve">: </w:t>
      </w:r>
      <w:r w:rsidR="00141883" w:rsidRPr="63259912">
        <w:t>Mjerom se potiče povećanje konkurentnosti na području niskougljičnih proizvoda i usluga, sufinanciranjem poduzetničkih aktivnosti vezanih za energetsku uniju</w:t>
      </w:r>
      <w:r w:rsidR="00C008AD">
        <w:t>.</w:t>
      </w:r>
    </w:p>
    <w:p w14:paraId="1EEF5992" w14:textId="0D516C6F" w:rsidR="00167E75" w:rsidRPr="00B47BDA" w:rsidRDefault="00FD5A39" w:rsidP="004623DD">
      <w:r w:rsidRPr="63259912">
        <w:rPr>
          <w:b/>
          <w:bCs/>
        </w:rPr>
        <w:t>Aktivnosti:</w:t>
      </w:r>
      <w:r w:rsidRPr="63259912">
        <w:t xml:space="preserve"> </w:t>
      </w:r>
      <w:r w:rsidR="00E1352D" w:rsidRPr="63259912">
        <w:t xml:space="preserve">Nastavit će se s pružanjem potpore poduzetnicima kroz sve razvojne faze njihovog poslovanja – od istraživanja i razvoja ideje pa sve do komercijalizacije i plasmana na tržište te zaštitu intelektualnog vlasništva i to na području niskougljičnih proizvoda i usluga. Poticat će se suradnja sa znanstvenoistraživačkim institucijama te povećanje privatnih ulaganja u istraživanje i razvoj. Jedna od mogućih aktivnosti je financiranje potvrde koncepta (Proof of Concept) kao mehanizma podrške u prijenosu rezultata istraživanja iz javnog u privatni sektor kako bi se stvorili novi proizvodi i usluge. </w:t>
      </w:r>
    </w:p>
    <w:p w14:paraId="782DABA0" w14:textId="156289EB" w:rsidR="00FD5A39" w:rsidRPr="00B47BDA" w:rsidRDefault="00FD5A39" w:rsidP="004623DD">
      <w:r w:rsidRPr="00801AB0">
        <w:rPr>
          <w:b/>
          <w:bCs/>
        </w:rPr>
        <w:t>Sredstva potrebna za provedbu:</w:t>
      </w:r>
      <w:r w:rsidRPr="00B47BDA">
        <w:t xml:space="preserve"> </w:t>
      </w:r>
      <w:r w:rsidR="00145DA3" w:rsidRPr="00B47BDA">
        <w:t>utvrdit će se naknadno</w:t>
      </w:r>
    </w:p>
    <w:p w14:paraId="0B1E18BB" w14:textId="4F085B9B" w:rsidR="00FD5A39" w:rsidRPr="00B47BDA" w:rsidRDefault="00FD5A39" w:rsidP="004623DD">
      <w:r w:rsidRPr="00B47BDA">
        <w:rPr>
          <w:b/>
        </w:rPr>
        <w:t>Izvršno tijelo</w:t>
      </w:r>
      <w:r w:rsidRPr="00B47BDA">
        <w:t xml:space="preserve">: </w:t>
      </w:r>
      <w:r w:rsidR="008C264C" w:rsidRPr="00B47BDA">
        <w:t>HAMAG-BICRO, MZO</w:t>
      </w:r>
      <w:r w:rsidR="00AD324D">
        <w:t>M</w:t>
      </w:r>
      <w:r w:rsidR="008C264C" w:rsidRPr="00B47BDA">
        <w:t>, M</w:t>
      </w:r>
      <w:r w:rsidR="009B300B" w:rsidRPr="00B47BDA">
        <w:t>INGO</w:t>
      </w:r>
      <w:r w:rsidR="00580559">
        <w:t>.</w:t>
      </w:r>
    </w:p>
    <w:p w14:paraId="1CA77E4D" w14:textId="68863D5E" w:rsidR="00FD5A39" w:rsidRPr="00B47BDA" w:rsidRDefault="00FD5A39" w:rsidP="004623DD">
      <w:r w:rsidRPr="00B47BDA">
        <w:rPr>
          <w:b/>
        </w:rPr>
        <w:t>Tijelo za praćenje:</w:t>
      </w:r>
      <w:r w:rsidRPr="00B47BDA">
        <w:t xml:space="preserve"> </w:t>
      </w:r>
      <w:r w:rsidR="003C2863" w:rsidRPr="00B47BDA">
        <w:t>MZO</w:t>
      </w:r>
      <w:r w:rsidR="00AD324D">
        <w:t>M</w:t>
      </w:r>
    </w:p>
    <w:p w14:paraId="60A50492" w14:textId="316E472A" w:rsidR="00FD5A39" w:rsidRPr="00B47BDA" w:rsidRDefault="00FD5A39" w:rsidP="004623DD">
      <w:r w:rsidRPr="63259912">
        <w:rPr>
          <w:b/>
          <w:bCs/>
        </w:rPr>
        <w:t>Učinak</w:t>
      </w:r>
      <w:r w:rsidRPr="63259912">
        <w:t>: Niskougljični proizvodi i usluge plasirani na tržište</w:t>
      </w:r>
      <w:r w:rsidR="006515DB" w:rsidRPr="63259912">
        <w:t>.</w:t>
      </w:r>
    </w:p>
    <w:p w14:paraId="2E8FF9D0" w14:textId="667E2483" w:rsidR="000E48C1" w:rsidRPr="00B47BDA" w:rsidRDefault="000E48C1" w:rsidP="004623DD">
      <w:r w:rsidRPr="00B47BDA">
        <w:rPr>
          <w:b/>
        </w:rPr>
        <w:t>Povezanost s drugim dimenzijama</w:t>
      </w:r>
      <w:r w:rsidRPr="00B47BDA">
        <w:t>: Mjera je povezana sa svim dimenzijama energetske unije jer potiče poduzetništvo na svim područjima relevantnim za energetsku uniju</w:t>
      </w:r>
      <w:r w:rsidR="006515DB" w:rsidRPr="00B47BDA">
        <w:t>.</w:t>
      </w:r>
    </w:p>
    <w:p w14:paraId="4DD08611" w14:textId="63C1DE8A" w:rsidR="00FD5A39" w:rsidRPr="00B47BDA" w:rsidRDefault="00FD5A39" w:rsidP="00801AB0">
      <w:pPr>
        <w:pStyle w:val="Mjeranaslov"/>
      </w:pPr>
      <w:r w:rsidRPr="63259912">
        <w:t>IIK-</w:t>
      </w:r>
      <w:r w:rsidR="008071D4" w:rsidRPr="63259912">
        <w:t>4</w:t>
      </w:r>
      <w:r w:rsidR="00002CE6" w:rsidRPr="63259912">
        <w:t xml:space="preserve"> </w:t>
      </w:r>
      <w:r w:rsidR="003A2A5F" w:rsidRPr="63259912">
        <w:t>T</w:t>
      </w:r>
      <w:r w:rsidR="004152C3" w:rsidRPr="63259912">
        <w:t>ransfer znanja i tehnologija iz sustava znanosti u sustav gospodarstva s naglaskom na niskougljične tehnologije</w:t>
      </w:r>
    </w:p>
    <w:p w14:paraId="53B410CB" w14:textId="77777777" w:rsidR="00FD5A39" w:rsidRPr="00B47BDA" w:rsidRDefault="00FD5A39" w:rsidP="004623DD">
      <w:r w:rsidRPr="00B47BDA">
        <w:t>Financijska mjera; provedba: 2021.-2030.</w:t>
      </w:r>
    </w:p>
    <w:p w14:paraId="3DF514B0" w14:textId="6E3D62D8" w:rsidR="00FD5A39" w:rsidRPr="00B47BDA" w:rsidRDefault="00FD5A39" w:rsidP="004623DD">
      <w:r w:rsidRPr="63259912">
        <w:rPr>
          <w:b/>
          <w:bCs/>
        </w:rPr>
        <w:t xml:space="preserve">Cilj i opis mjere: </w:t>
      </w:r>
      <w:r w:rsidR="00684FB9" w:rsidRPr="63259912">
        <w:t xml:space="preserve">Mjerom se potiče razvoj ureda za transfer tehnologije ili srodnih organizacijskih jedinica u javnim znanstvenim organizacijama s ciljem prijenosa znanja i razvoja tehnologija koje će pridonijeti razvoju niskougljičnog </w:t>
      </w:r>
      <w:r w:rsidRPr="63259912">
        <w:t>gospodarstva</w:t>
      </w:r>
      <w:r w:rsidR="00911A83">
        <w:t>.</w:t>
      </w:r>
      <w:r w:rsidRPr="63259912">
        <w:t xml:space="preserve"> </w:t>
      </w:r>
    </w:p>
    <w:p w14:paraId="5CE6D875" w14:textId="6AAEC2B9" w:rsidR="0037307C" w:rsidRDefault="00FD5A39" w:rsidP="004623DD">
      <w:r w:rsidRPr="63259912">
        <w:rPr>
          <w:b/>
          <w:bCs/>
        </w:rPr>
        <w:t>Aktivnosti</w:t>
      </w:r>
      <w:r w:rsidRPr="63259912">
        <w:t xml:space="preserve">: </w:t>
      </w:r>
      <w:r w:rsidR="00E117A2" w:rsidRPr="63259912">
        <w:t>Davanje godišnjih potpora javnim znanstvenim organizacijama za osnivanje razvojnih tvrtki ili tvrtki kćeri proizašlih iz rezultata znanstvenih istraživanja; davanje potpora za ostvarivanje suradnje poduzetnika i sustava znanosti, poslovni susreti, poslovno savjetovanje; pisanje poslovnih planova; financiranje pred-evaluacije i mentoriranje pisanja projekata velike vrijednosti i infrastrukturnih projekata; mentoriranje razvoja poslovnih planova i pitchanja ulagačima, financiranje stručnjaka za zaštitu prava intelektualnog vlasništva; financiranje potpora za projekte u fazi potvrde koncepta i sl. s naglaskom na održive tehnologije koje doprinose niskougljičnom razvoju</w:t>
      </w:r>
      <w:r w:rsidR="006515DB" w:rsidRPr="63259912">
        <w:t>.</w:t>
      </w:r>
    </w:p>
    <w:p w14:paraId="769CA295" w14:textId="23A560D7" w:rsidR="0037307C" w:rsidRPr="00B47BDA" w:rsidRDefault="0037307C" w:rsidP="00801AB0">
      <w:pPr>
        <w:pStyle w:val="Mjeranaslov"/>
      </w:pPr>
      <w:r w:rsidRPr="00B47BDA">
        <w:lastRenderedPageBreak/>
        <w:t>IIK-</w:t>
      </w:r>
      <w:r>
        <w:t>5</w:t>
      </w:r>
      <w:r w:rsidR="007C4464">
        <w:t xml:space="preserve"> </w:t>
      </w:r>
      <w:r w:rsidR="00893CB4">
        <w:t xml:space="preserve">Jačanje </w:t>
      </w:r>
      <w:r w:rsidR="00EF429E" w:rsidRPr="00EF429E">
        <w:t>znanstvenih centara izvrsnosti osnovanih u području prirodnih, tehnički</w:t>
      </w:r>
      <w:r w:rsidR="00912016">
        <w:t>h</w:t>
      </w:r>
      <w:r w:rsidR="00EF429E" w:rsidRPr="00EF429E">
        <w:t>, biotehnički</w:t>
      </w:r>
      <w:r w:rsidR="00912016">
        <w:t>h</w:t>
      </w:r>
      <w:r w:rsidR="00EF429E" w:rsidRPr="00EF429E">
        <w:t xml:space="preserve"> i biomedicinskih znanosti</w:t>
      </w:r>
    </w:p>
    <w:p w14:paraId="72162184" w14:textId="77777777" w:rsidR="0037307C" w:rsidRPr="00B47BDA" w:rsidRDefault="0037307C" w:rsidP="004623DD">
      <w:r w:rsidRPr="00B47BDA">
        <w:t>Financijska mjera; provedba: 2021.-2030.</w:t>
      </w:r>
    </w:p>
    <w:p w14:paraId="02708669" w14:textId="5350ACC0" w:rsidR="00D852FF" w:rsidRDefault="0037307C" w:rsidP="63259912">
      <w:pPr>
        <w:rPr>
          <w:b/>
          <w:bCs/>
        </w:rPr>
      </w:pPr>
      <w:r w:rsidRPr="63259912">
        <w:rPr>
          <w:b/>
          <w:bCs/>
        </w:rPr>
        <w:t xml:space="preserve">Cilj i opis mjere: </w:t>
      </w:r>
      <w:r w:rsidR="00025AA7" w:rsidRPr="63259912">
        <w:t>Mjerom se potiče daljnji rad osnovanih i centara izvrsnosti čiji je rad pozitivno ocijenjen u periodičkom postupku evaluacije s ciljem daljnjeg razvoja niskougljičnog gospodarstva</w:t>
      </w:r>
      <w:r w:rsidR="00911A83" w:rsidRPr="00DE7710">
        <w:t>.</w:t>
      </w:r>
    </w:p>
    <w:p w14:paraId="47CE154B" w14:textId="45566EC3" w:rsidR="00D852FF" w:rsidRDefault="00D852FF" w:rsidP="004623DD">
      <w:r w:rsidRPr="00B47BDA">
        <w:rPr>
          <w:b/>
        </w:rPr>
        <w:t>Aktivnosti</w:t>
      </w:r>
      <w:r w:rsidRPr="00B47BDA">
        <w:t xml:space="preserve">: </w:t>
      </w:r>
      <w:r w:rsidR="004D1BD8" w:rsidRPr="004D1BD8">
        <w:t>Davanje potpora za industrijsko i eksperimentalno istraživanje znanstvenih centara izvrsnosti, a s ciljem daljnje nadogradnje na rezultate istraživanja financiranih u financijskom razdoblju 2014.-2020</w:t>
      </w:r>
      <w:r w:rsidRPr="00B47BDA">
        <w:t>.</w:t>
      </w:r>
    </w:p>
    <w:p w14:paraId="50A42157" w14:textId="6F883E9D" w:rsidR="000205F3" w:rsidRDefault="000205F3" w:rsidP="004623DD">
      <w:r w:rsidRPr="00801AB0">
        <w:rPr>
          <w:b/>
          <w:bCs/>
        </w:rPr>
        <w:t>Izvršno tijelo:</w:t>
      </w:r>
      <w:r>
        <w:t xml:space="preserve"> </w:t>
      </w:r>
      <w:r w:rsidR="00276320">
        <w:t>MZO</w:t>
      </w:r>
      <w:r w:rsidR="00AD324D">
        <w:t>M</w:t>
      </w:r>
    </w:p>
    <w:p w14:paraId="49C4AEE2" w14:textId="3301B583" w:rsidR="00B847C5" w:rsidRDefault="00D33E5B" w:rsidP="004623DD">
      <w:r w:rsidRPr="63259912">
        <w:rPr>
          <w:b/>
          <w:bCs/>
        </w:rPr>
        <w:t>Učinak</w:t>
      </w:r>
      <w:r w:rsidRPr="63259912">
        <w:t>: rezultati industrijskih i eksperimentalnih istraživanja u području niskougljičnog razvoja</w:t>
      </w:r>
    </w:p>
    <w:p w14:paraId="719DFBB3" w14:textId="49D694EE" w:rsidR="00D15715" w:rsidRDefault="006A70C3" w:rsidP="004623DD">
      <w:r w:rsidRPr="006A70C3">
        <w:rPr>
          <w:b/>
        </w:rPr>
        <w:t>Metoda praćenja</w:t>
      </w:r>
      <w:r>
        <w:t xml:space="preserve">: </w:t>
      </w:r>
      <w:r w:rsidRPr="006A70C3">
        <w:t>Izvještaji o radu ZCI koji se na godišnjoj razini predaju MZO</w:t>
      </w:r>
      <w:r w:rsidR="00AD324D">
        <w:t>M.</w:t>
      </w:r>
    </w:p>
    <w:p w14:paraId="460BE595" w14:textId="3B131237" w:rsidR="00FD5A39" w:rsidRPr="00B47BDA" w:rsidRDefault="00FD5A39" w:rsidP="00801AB0">
      <w:pPr>
        <w:pStyle w:val="Mjeranaslov"/>
      </w:pPr>
      <w:r w:rsidRPr="63259912">
        <w:t>IIK-6</w:t>
      </w:r>
      <w:r w:rsidR="00A950D8" w:rsidRPr="63259912">
        <w:t xml:space="preserve"> </w:t>
      </w:r>
      <w:r w:rsidR="00C97367" w:rsidRPr="63259912">
        <w:t>Jačanje</w:t>
      </w:r>
      <w:r w:rsidRPr="63259912">
        <w:t xml:space="preserve"> istraživanja i inovacija te povećanje konkurentnosti u</w:t>
      </w:r>
      <w:r w:rsidR="00BD2B55" w:rsidRPr="63259912">
        <w:t xml:space="preserve"> </w:t>
      </w:r>
      <w:r w:rsidRPr="63259912">
        <w:t>području niskougljičnog gospodarstva</w:t>
      </w:r>
    </w:p>
    <w:p w14:paraId="5173517B" w14:textId="78D49450" w:rsidR="00FD5A39" w:rsidRPr="00B47BDA" w:rsidRDefault="00BA6F20" w:rsidP="004623DD">
      <w:r w:rsidRPr="00B47BDA">
        <w:t>Izgradnja kapaciteta</w:t>
      </w:r>
      <w:r w:rsidR="00FD5A39" w:rsidRPr="00B47BDA">
        <w:t>; provedba: 2020. – 2030.</w:t>
      </w:r>
    </w:p>
    <w:p w14:paraId="5009B90B" w14:textId="6A5DAE5F" w:rsidR="00FD5A39" w:rsidRPr="00B47BDA" w:rsidRDefault="00FD5A39" w:rsidP="004623DD">
      <w:r w:rsidRPr="63259912">
        <w:rPr>
          <w:b/>
          <w:bCs/>
        </w:rPr>
        <w:t>Cilj i opis mjere</w:t>
      </w:r>
      <w:r w:rsidRPr="63259912">
        <w:t>: Izgradit će se kapaciteti institucija uključenih u poticanje i praćenje istraživanja, inovacija i konkurentnosti na području niskougljičnog gospodarstva</w:t>
      </w:r>
      <w:r w:rsidR="00DE7710">
        <w:t>.</w:t>
      </w:r>
    </w:p>
    <w:p w14:paraId="552E3F4A" w14:textId="08F0BC3E" w:rsidR="006959F4" w:rsidRPr="006959F4" w:rsidRDefault="00FD5A39" w:rsidP="004623DD">
      <w:r w:rsidRPr="00B47BDA">
        <w:rPr>
          <w:b/>
        </w:rPr>
        <w:t>Aktivnosti</w:t>
      </w:r>
      <w:r w:rsidRPr="00B47BDA">
        <w:t xml:space="preserve">: </w:t>
      </w:r>
      <w:r w:rsidR="006959F4" w:rsidRPr="006959F4">
        <w:t xml:space="preserve">Aktivnosti se odnose na tri različite razine djelovanja: - prvi dio odnosi se na djelovanje tijela nadležnih za planiranje i provedbu javnih politika koje se odnose na aktivnosti istraživanja i razvoja. Drugi dio odnosi se na jačanje kapaciteta za poticanje i praćenje istraživanja na razini pojedinih znanstveno-istraživačkih institucija. Treći dio se odnosi na izbor relevantnih istraživačkih tema u okviru relevantnih TPP-a S3. </w:t>
      </w:r>
    </w:p>
    <w:p w14:paraId="6A3EE913" w14:textId="02A9BD0E" w:rsidR="006959F4" w:rsidRPr="006959F4" w:rsidRDefault="006959F4" w:rsidP="004623DD">
      <w:r w:rsidRPr="63259912">
        <w:t xml:space="preserve">Za predstavnike svih tijela uključenih u provedbu mjera IIK 1 – 5 davat će se potpora za sudjelovanje na predavanjima, radionicama, sastancima radnih skupina, studijskim putovanjima s ciljem međunarodnog povezivanja i izgradnje kapaciteta u zadavanju ciljeva, definiranju indikatora te praćenju ostvarivanja zadanih ciljeva u kontekstu istraživanja, inovacija i konkurentnosti na području niskougljičnog gospodarstva. </w:t>
      </w:r>
    </w:p>
    <w:p w14:paraId="200CC147" w14:textId="167249DA" w:rsidR="00FD5A39" w:rsidRPr="00B47BDA" w:rsidRDefault="006959F4" w:rsidP="004623DD">
      <w:r w:rsidRPr="63259912">
        <w:t>Davanje potpore za sudjelovanje u radnim tijelima i radnim skupinama te odborima relevantnih europskih i međunarodnih organizacija (IEA i dr.), programa (SET Plan, ETIP, EERA, Obzor Europa, LIFE, Eureka, i dr.), Europskim partnerstvima u okviru Okvirnog programa EU za istraživanje i inovacije i u relevantnim pan-europskim mrežama i konzorcijima. Po potrebi, organizirat će se prijenos znanja i iskustava s drugim državama članicama EU te na druge dionike unutar RH</w:t>
      </w:r>
      <w:r w:rsidR="00D96583" w:rsidRPr="63259912">
        <w:t xml:space="preserve"> </w:t>
      </w:r>
    </w:p>
    <w:p w14:paraId="7CA330BE" w14:textId="00ED1BC4" w:rsidR="00FD5A39" w:rsidRPr="00B47BDA" w:rsidRDefault="00FD5A39" w:rsidP="004623DD">
      <w:r w:rsidRPr="00B47BDA">
        <w:rPr>
          <w:b/>
        </w:rPr>
        <w:t>Izvori financiranja</w:t>
      </w:r>
      <w:r w:rsidRPr="00B47BDA">
        <w:t xml:space="preserve">: tehnička pomoć, </w:t>
      </w:r>
      <w:r w:rsidR="00CE46FB" w:rsidRPr="002F1EEF">
        <w:t>prihodi od prodaje emisijskih jedinica iz EU ETS-a</w:t>
      </w:r>
      <w:r w:rsidR="009272F4" w:rsidRPr="00B47BDA">
        <w:t xml:space="preserve">, </w:t>
      </w:r>
      <w:r w:rsidR="004F686A">
        <w:t>EU</w:t>
      </w:r>
      <w:r w:rsidR="004F686A" w:rsidRPr="00B47BDA">
        <w:t xml:space="preserve"> </w:t>
      </w:r>
      <w:r w:rsidR="009272F4" w:rsidRPr="00B47BDA">
        <w:t>fondovi</w:t>
      </w:r>
      <w:r w:rsidR="006515DB" w:rsidRPr="00B47BDA">
        <w:t>.</w:t>
      </w:r>
    </w:p>
    <w:p w14:paraId="1B91F571" w14:textId="4A8FA419" w:rsidR="00FD5A39" w:rsidRPr="00B47BDA" w:rsidRDefault="00FD5A39" w:rsidP="004623DD">
      <w:r w:rsidRPr="00B47BDA">
        <w:rPr>
          <w:b/>
        </w:rPr>
        <w:t>Izvršno tijelo</w:t>
      </w:r>
      <w:r w:rsidRPr="00B47BDA">
        <w:t>: HAMAG-BICRO, MZO</w:t>
      </w:r>
      <w:r w:rsidR="00CB14A2">
        <w:t>M</w:t>
      </w:r>
      <w:r w:rsidRPr="00B47BDA">
        <w:t xml:space="preserve">, </w:t>
      </w:r>
      <w:r w:rsidR="001D0346" w:rsidRPr="008F152E">
        <w:t>Ministarstv</w:t>
      </w:r>
      <w:r w:rsidR="001D0346">
        <w:t>o</w:t>
      </w:r>
      <w:r w:rsidR="001D0346" w:rsidRPr="008F152E">
        <w:t xml:space="preserve"> zaštite okoliša i zelene tranzicije</w:t>
      </w:r>
      <w:r w:rsidR="001D0346">
        <w:t>.</w:t>
      </w:r>
    </w:p>
    <w:p w14:paraId="4981B2D0" w14:textId="234ECECD" w:rsidR="00FD5A39" w:rsidRPr="00B47BDA" w:rsidRDefault="00FD5A39" w:rsidP="004623DD">
      <w:r w:rsidRPr="00B47BDA">
        <w:rPr>
          <w:b/>
        </w:rPr>
        <w:t>Tijelo za praćenje</w:t>
      </w:r>
      <w:r w:rsidRPr="00B47BDA">
        <w:t>: M</w:t>
      </w:r>
      <w:r w:rsidR="005A63EC" w:rsidRPr="00B47BDA">
        <w:t>INGO</w:t>
      </w:r>
      <w:r w:rsidR="00ED5CAA">
        <w:t>.</w:t>
      </w:r>
    </w:p>
    <w:p w14:paraId="0FB5A956" w14:textId="407CBB65" w:rsidR="00FD5A39" w:rsidRPr="00B47BDA" w:rsidRDefault="00FD5A39" w:rsidP="004623DD">
      <w:r w:rsidRPr="63259912">
        <w:rPr>
          <w:b/>
          <w:bCs/>
        </w:rPr>
        <w:lastRenderedPageBreak/>
        <w:t>Učinak</w:t>
      </w:r>
      <w:r w:rsidRPr="63259912">
        <w:t>: Izgrađeni kapaciteti u tijelima zaduženima poticanje istraživanja, inovacija i konkurentnosti na području niskougljičnih tehnologija</w:t>
      </w:r>
      <w:r w:rsidR="006515DB" w:rsidRPr="63259912">
        <w:t>.</w:t>
      </w:r>
    </w:p>
    <w:p w14:paraId="5B67D8B8" w14:textId="72231DFF" w:rsidR="008F621E" w:rsidRDefault="008F621E" w:rsidP="00782F90">
      <w:pPr>
        <w:pStyle w:val="Mjeranaslov"/>
      </w:pPr>
      <w:r w:rsidRPr="00BD0473">
        <w:t>IIK-7</w:t>
      </w:r>
      <w:r w:rsidRPr="008F621E">
        <w:t xml:space="preserve"> </w:t>
      </w:r>
      <w:r w:rsidRPr="00BD0473">
        <w:t>Analitičke podloge za zelenu tranziciju</w:t>
      </w:r>
    </w:p>
    <w:p w14:paraId="6ACAA9FC" w14:textId="6BB351F3" w:rsidR="008F621E" w:rsidRPr="00B47BDA" w:rsidRDefault="00C053BC" w:rsidP="008F621E">
      <w:r>
        <w:t>Regulatorna i obrazovna,</w:t>
      </w:r>
      <w:r w:rsidR="008F621E" w:rsidRPr="00B47BDA">
        <w:t xml:space="preserve"> provedba: 2020. – 2030.</w:t>
      </w:r>
    </w:p>
    <w:p w14:paraId="78679359" w14:textId="3B047B4C" w:rsidR="00411C1E" w:rsidRDefault="008F621E" w:rsidP="008F621E">
      <w:r w:rsidRPr="00B47BDA">
        <w:rPr>
          <w:b/>
        </w:rPr>
        <w:t>Cilj i opis mjere</w:t>
      </w:r>
      <w:r w:rsidRPr="00B47BDA">
        <w:t xml:space="preserve">: </w:t>
      </w:r>
      <w:r w:rsidR="000A1BA1">
        <w:t>Potrebn</w:t>
      </w:r>
      <w:r w:rsidR="00411C1E">
        <w:t xml:space="preserve">e su analitičke podloge koje će omogući </w:t>
      </w:r>
      <w:r w:rsidR="00654942">
        <w:t xml:space="preserve">donosiocima odluka i kreatorima politika </w:t>
      </w:r>
      <w:r w:rsidR="001F1CAF">
        <w:t>pri</w:t>
      </w:r>
      <w:r w:rsidR="008A2112">
        <w:t xml:space="preserve"> utvr</w:t>
      </w:r>
      <w:r w:rsidR="001F1CAF">
        <w:t>đivanju</w:t>
      </w:r>
      <w:r w:rsidR="008A2112">
        <w:t xml:space="preserve"> pozicije</w:t>
      </w:r>
      <w:r w:rsidR="00482612">
        <w:t xml:space="preserve"> </w:t>
      </w:r>
      <w:r w:rsidR="008A2112">
        <w:t xml:space="preserve">RH </w:t>
      </w:r>
      <w:r w:rsidR="001F1CAF">
        <w:t>u pregovorima za ciljeve za 2040 i postizanja klimatske neut</w:t>
      </w:r>
      <w:r w:rsidR="003745BB">
        <w:t>r</w:t>
      </w:r>
      <w:r w:rsidR="001F1CAF">
        <w:t xml:space="preserve">alnosti u 2050. godini. </w:t>
      </w:r>
      <w:r w:rsidR="00482612">
        <w:t>kao i sva stajališta povezana s klimatskim ciljevima.</w:t>
      </w:r>
    </w:p>
    <w:p w14:paraId="7BE8247A" w14:textId="55674406" w:rsidR="008F621E" w:rsidRPr="00B47BDA" w:rsidRDefault="000A1BA1" w:rsidP="008F621E">
      <w:r w:rsidRPr="000A1BA1">
        <w:t>Potrebna su istraživanja s ciljem prelaska na više razine primjene metodologije Međuvladinog panela o promjeni klime (IPCC) te poboljšanje sustava prikupljanja podataka, uključujući energetsku bilanc</w:t>
      </w:r>
      <w:r w:rsidR="00F37F72">
        <w:t>u</w:t>
      </w:r>
      <w:r w:rsidRPr="000A1BA1">
        <w:t>, na kojima se temelji Inventar emisija stakleničkih plinova.</w:t>
      </w:r>
    </w:p>
    <w:p w14:paraId="4E488495" w14:textId="77777777" w:rsidR="005E53F2" w:rsidRDefault="008F621E" w:rsidP="008F621E">
      <w:r w:rsidRPr="00B47BDA">
        <w:rPr>
          <w:b/>
        </w:rPr>
        <w:t>Aktivnosti</w:t>
      </w:r>
      <w:r w:rsidRPr="00B47BDA">
        <w:t xml:space="preserve">: </w:t>
      </w:r>
    </w:p>
    <w:p w14:paraId="13CC46F2" w14:textId="458F2EDE" w:rsidR="008F621E" w:rsidRDefault="00782F90" w:rsidP="001A1CE5">
      <w:pPr>
        <w:pStyle w:val="ListParagraph"/>
        <w:numPr>
          <w:ilvl w:val="0"/>
          <w:numId w:val="174"/>
        </w:numPr>
      </w:pPr>
      <w:r w:rsidRPr="63259912">
        <w:t>A</w:t>
      </w:r>
      <w:r w:rsidR="005E53F2" w:rsidRPr="63259912">
        <w:t>naliza učinaka smanjenja emisija stakleničkih plinova</w:t>
      </w:r>
      <w:r w:rsidR="00116748" w:rsidRPr="63259912">
        <w:t xml:space="preserve"> </w:t>
      </w:r>
      <w:r w:rsidR="00E203E4" w:rsidRPr="63259912">
        <w:t>po mjerama do 2030</w:t>
      </w:r>
      <w:r w:rsidR="00F0714E" w:rsidRPr="63259912">
        <w:t>.</w:t>
      </w:r>
      <w:r w:rsidR="00E203E4" w:rsidRPr="63259912">
        <w:t>, 2040</w:t>
      </w:r>
      <w:r w:rsidR="00F0714E" w:rsidRPr="63259912">
        <w:t>.</w:t>
      </w:r>
      <w:r w:rsidR="00E203E4" w:rsidRPr="63259912">
        <w:t xml:space="preserve"> i 2050</w:t>
      </w:r>
      <w:r w:rsidR="00F0714E" w:rsidRPr="63259912">
        <w:t>. i 2060. godine, uključujući potencijal smanjenja emisija po mjerama vezano za utvrđivanje sektorskih ciljeva smanjenja emisija u sektorima izvan sustava trgovanja, do 2030. i 2040. godine te</w:t>
      </w:r>
      <w:r w:rsidR="00E203E4" w:rsidRPr="63259912">
        <w:t xml:space="preserve"> uključujući i sociogospodarsku analizu</w:t>
      </w:r>
      <w:r w:rsidR="004F7A0B" w:rsidRPr="63259912">
        <w:t>;</w:t>
      </w:r>
    </w:p>
    <w:p w14:paraId="7DFC6FA6" w14:textId="2BD2552A" w:rsidR="00A955EC" w:rsidRDefault="00A955EC" w:rsidP="00A955EC">
      <w:pPr>
        <w:pStyle w:val="ListParagraph"/>
        <w:numPr>
          <w:ilvl w:val="0"/>
          <w:numId w:val="174"/>
        </w:numPr>
      </w:pPr>
      <w:r>
        <w:t>Izrada preciznih analiza i provođenje istraživanja s ciljem utvrđivanja osoba i kućanstava te poduzetnika na prostoru Republike Hrvatske u energetskom siromaštvu i siromaštvu u pogledu prijevoza te onih u riziku od ove dvije vrste siromaštva</w:t>
      </w:r>
      <w:r w:rsidR="004F7A0B">
        <w:t>;</w:t>
      </w:r>
    </w:p>
    <w:p w14:paraId="2FA1DCC8" w14:textId="56D221C9" w:rsidR="00CA4BCE" w:rsidRDefault="00782F90" w:rsidP="001A1CE5">
      <w:pPr>
        <w:pStyle w:val="ListParagraph"/>
        <w:numPr>
          <w:ilvl w:val="0"/>
          <w:numId w:val="174"/>
        </w:numPr>
      </w:pPr>
      <w:r>
        <w:t>U</w:t>
      </w:r>
      <w:r w:rsidR="00046918" w:rsidRPr="00046918">
        <w:t xml:space="preserve">tvrđivanje popratnih socijalnih programa koji će smanjiti utjecaj </w:t>
      </w:r>
      <w:r w:rsidR="00A955EC">
        <w:t>klimatske tranzicije</w:t>
      </w:r>
      <w:r w:rsidR="00046918" w:rsidRPr="00046918">
        <w:t xml:space="preserve"> na najsiromašnije građane</w:t>
      </w:r>
      <w:r w:rsidR="004F7A0B">
        <w:t>;</w:t>
      </w:r>
    </w:p>
    <w:p w14:paraId="12130D9B" w14:textId="4B0381FB" w:rsidR="002B273C" w:rsidRPr="00B47BDA" w:rsidRDefault="00782F90" w:rsidP="002B273C">
      <w:pPr>
        <w:pStyle w:val="ListParagraph"/>
        <w:numPr>
          <w:ilvl w:val="0"/>
          <w:numId w:val="174"/>
        </w:numPr>
      </w:pPr>
      <w:r>
        <w:t>I</w:t>
      </w:r>
      <w:r w:rsidR="002B273C" w:rsidRPr="000A1BA1">
        <w:t>straživanja s ciljem prelaska na više razine primjene metodologije Međuvladinog panela o promjeni klime (IPCC) te poboljšanje sustava prikupljanja podataka, uključujući energetsku bilanci, na kojima se temelji Inventar emisija stakleničkih plinova</w:t>
      </w:r>
      <w:r w:rsidR="002B273C">
        <w:t xml:space="preserve">, a sukladno </w:t>
      </w:r>
      <w:r w:rsidR="00887C2E">
        <w:t xml:space="preserve">preporukama tima za </w:t>
      </w:r>
      <w:r w:rsidR="00347250">
        <w:t xml:space="preserve">reviziju </w:t>
      </w:r>
      <w:r w:rsidR="00E731E2">
        <w:t>UNFCCC</w:t>
      </w:r>
      <w:r w:rsidR="004F7A0B">
        <w:t>;</w:t>
      </w:r>
    </w:p>
    <w:p w14:paraId="61A5EB1A" w14:textId="579F0A3B" w:rsidR="002B273C" w:rsidRDefault="004F268B" w:rsidP="001A1CE5">
      <w:pPr>
        <w:pStyle w:val="ListParagraph"/>
        <w:numPr>
          <w:ilvl w:val="0"/>
          <w:numId w:val="174"/>
        </w:numPr>
      </w:pPr>
      <w:r>
        <w:t>Analiza primjerenih financijskih instrumenata za mobilizaciju privatnih sredstava</w:t>
      </w:r>
      <w:r w:rsidR="00A3246B">
        <w:t xml:space="preserve"> </w:t>
      </w:r>
      <w:r w:rsidR="00502637">
        <w:t xml:space="preserve">za </w:t>
      </w:r>
      <w:r w:rsidR="00A3246B">
        <w:t>provedbu mjera iz NECP-a</w:t>
      </w:r>
      <w:r w:rsidR="004F7A0B">
        <w:t>;</w:t>
      </w:r>
    </w:p>
    <w:p w14:paraId="3AEBEF18" w14:textId="69E9DDFC" w:rsidR="00A3246B" w:rsidRPr="006959F4" w:rsidRDefault="00A3246B" w:rsidP="00782F90">
      <w:pPr>
        <w:pStyle w:val="ListParagraph"/>
        <w:numPr>
          <w:ilvl w:val="0"/>
          <w:numId w:val="174"/>
        </w:numPr>
      </w:pPr>
      <w:r w:rsidRPr="63259912">
        <w:t>Anal</w:t>
      </w:r>
      <w:r w:rsidR="00502637" w:rsidRPr="63259912">
        <w:t>i</w:t>
      </w:r>
      <w:r w:rsidRPr="63259912">
        <w:t xml:space="preserve">za </w:t>
      </w:r>
      <w:r w:rsidR="00980AE9" w:rsidRPr="63259912">
        <w:t xml:space="preserve">prikladnih </w:t>
      </w:r>
      <w:r w:rsidR="00CF49CA" w:rsidRPr="63259912">
        <w:t xml:space="preserve">fiskalnih </w:t>
      </w:r>
      <w:r w:rsidR="0061719B" w:rsidRPr="63259912">
        <w:t xml:space="preserve">naknada </w:t>
      </w:r>
      <w:r w:rsidR="001F49A3" w:rsidRPr="63259912">
        <w:t xml:space="preserve">s ciljem poticanja </w:t>
      </w:r>
      <w:r w:rsidR="00683E50" w:rsidRPr="63259912">
        <w:t xml:space="preserve">provedbe mjera </w:t>
      </w:r>
      <w:r w:rsidR="0087207B" w:rsidRPr="63259912">
        <w:t>niskougljične tranzicije</w:t>
      </w:r>
      <w:r w:rsidR="004F7A0B" w:rsidRPr="63259912">
        <w:t>;</w:t>
      </w:r>
    </w:p>
    <w:p w14:paraId="1A5F01EE" w14:textId="692983A7" w:rsidR="006C04D9" w:rsidRDefault="006C04D9" w:rsidP="006C04D9">
      <w:pPr>
        <w:pStyle w:val="ListParagraph"/>
        <w:numPr>
          <w:ilvl w:val="0"/>
          <w:numId w:val="174"/>
        </w:numPr>
      </w:pPr>
      <w:r>
        <w:t>Utvrđivanje popratnih socijalnih programa koji će smanjiti utjecaj klimatske tranzicije na najsiromašnije građane</w:t>
      </w:r>
      <w:r w:rsidR="004F7A0B">
        <w:t>;</w:t>
      </w:r>
    </w:p>
    <w:p w14:paraId="536BAD23" w14:textId="422CC3B2" w:rsidR="006C04D9" w:rsidRPr="006959F4" w:rsidRDefault="006C04D9" w:rsidP="00F200F4">
      <w:pPr>
        <w:pStyle w:val="ListParagraph"/>
        <w:numPr>
          <w:ilvl w:val="0"/>
          <w:numId w:val="174"/>
        </w:numPr>
      </w:pPr>
      <w:r>
        <w:t>Izrada plana ukidanja sustava dodjele subvencija za fosilna goriva s prijedlogom alternativnih mjera za trajno smanjenje potreba korištenja fosilnih goriva</w:t>
      </w:r>
      <w:r w:rsidR="004F7A0B">
        <w:t>.</w:t>
      </w:r>
    </w:p>
    <w:p w14:paraId="2451E9B7" w14:textId="7615C974" w:rsidR="008F621E" w:rsidRPr="00B47BDA" w:rsidRDefault="008F621E" w:rsidP="008F621E">
      <w:r w:rsidRPr="00B47BDA">
        <w:rPr>
          <w:b/>
        </w:rPr>
        <w:t>Izvori financiranja</w:t>
      </w:r>
      <w:r w:rsidRPr="00B47BDA">
        <w:t xml:space="preserve">: </w:t>
      </w:r>
      <w:r w:rsidR="00782F90">
        <w:t>P</w:t>
      </w:r>
      <w:r w:rsidR="00C61464">
        <w:t xml:space="preserve">rihodi od prodaje emisijskih </w:t>
      </w:r>
      <w:r w:rsidR="005E53F2">
        <w:t>jedinica iz EU ETS-a</w:t>
      </w:r>
      <w:r w:rsidR="00782F90">
        <w:t>.</w:t>
      </w:r>
    </w:p>
    <w:p w14:paraId="757FC806" w14:textId="126C65F6" w:rsidR="008F621E" w:rsidRPr="00B47BDA" w:rsidRDefault="008F621E" w:rsidP="008F621E">
      <w:r w:rsidRPr="00B47BDA">
        <w:rPr>
          <w:b/>
        </w:rPr>
        <w:t>Izvršno tijelo</w:t>
      </w:r>
      <w:r w:rsidRPr="00B47BDA">
        <w:t xml:space="preserve">: </w:t>
      </w:r>
      <w:r w:rsidR="00D33185">
        <w:t>Ministarstvo zaštite okoliša i zelene tranzicije</w:t>
      </w:r>
    </w:p>
    <w:p w14:paraId="42299760" w14:textId="0288CCE5" w:rsidR="008F621E" w:rsidRPr="00B47BDA" w:rsidRDefault="008F621E" w:rsidP="008F621E">
      <w:r w:rsidRPr="00B47BDA">
        <w:rPr>
          <w:b/>
        </w:rPr>
        <w:t>Tijelo za praćenje</w:t>
      </w:r>
      <w:r w:rsidRPr="00B47BDA">
        <w:t xml:space="preserve">: </w:t>
      </w:r>
      <w:r w:rsidR="00D33185">
        <w:t>Ministarstvo zaštite okoliša i zelene tranzicije</w:t>
      </w:r>
    </w:p>
    <w:p w14:paraId="50A107D4" w14:textId="2DFB4759" w:rsidR="008F621E" w:rsidRPr="00B47BDA" w:rsidRDefault="008F621E" w:rsidP="008F621E">
      <w:r w:rsidRPr="00B47BDA">
        <w:rPr>
          <w:b/>
        </w:rPr>
        <w:t>Učinak</w:t>
      </w:r>
      <w:r w:rsidRPr="00B47BDA">
        <w:t xml:space="preserve">: </w:t>
      </w:r>
      <w:r w:rsidR="00782F90">
        <w:t>U</w:t>
      </w:r>
      <w:r w:rsidR="00997170">
        <w:t xml:space="preserve">činkovitija provedba </w:t>
      </w:r>
      <w:r w:rsidR="00434FAD">
        <w:t>klimatsk</w:t>
      </w:r>
      <w:r w:rsidR="00997170">
        <w:t>e</w:t>
      </w:r>
      <w:r w:rsidR="00434FAD">
        <w:t xml:space="preserve"> politik</w:t>
      </w:r>
      <w:r w:rsidR="00997170">
        <w:t>e i postizanje klimatskih ciljeva</w:t>
      </w:r>
      <w:r w:rsidR="00782F90">
        <w:t>.</w:t>
      </w:r>
    </w:p>
    <w:p w14:paraId="300F58B4" w14:textId="0CD3B0F3" w:rsidR="008F621E" w:rsidRPr="00B47BDA" w:rsidRDefault="008F621E" w:rsidP="004623DD">
      <w:r w:rsidRPr="00B47BDA">
        <w:rPr>
          <w:b/>
        </w:rPr>
        <w:t>Metoda praćenja</w:t>
      </w:r>
      <w:r w:rsidRPr="00B47BDA">
        <w:t xml:space="preserve">: </w:t>
      </w:r>
      <w:r w:rsidR="00C73FB3">
        <w:t>B</w:t>
      </w:r>
      <w:r w:rsidR="00F04363">
        <w:t>roj provedenih analiza</w:t>
      </w:r>
      <w:r w:rsidR="00C73FB3">
        <w:t>.</w:t>
      </w:r>
    </w:p>
    <w:p w14:paraId="2958D0A1" w14:textId="4AB9C8FE" w:rsidR="0044494E" w:rsidRPr="00B47BDA" w:rsidRDefault="0044494E" w:rsidP="005C2C7E">
      <w:pPr>
        <w:pStyle w:val="Heading4"/>
        <w:numPr>
          <w:ilvl w:val="3"/>
          <w:numId w:val="175"/>
        </w:numPr>
        <w:ind w:hanging="580"/>
      </w:pPr>
      <w:bookmarkStart w:id="496" w:name="_Toc531935166"/>
      <w:bookmarkStart w:id="497" w:name="_Toc531945116"/>
      <w:bookmarkStart w:id="498" w:name="_Toc6302373"/>
      <w:r w:rsidRPr="00B47BDA">
        <w:lastRenderedPageBreak/>
        <w:t xml:space="preserve">Suradnja s drugim državama članicama u ovom području, uključujući informacije o tome kako se ciljevi i politike </w:t>
      </w:r>
      <w:r w:rsidR="00476333" w:rsidRPr="00B47BDA">
        <w:t>s</w:t>
      </w:r>
      <w:r w:rsidRPr="00B47BDA">
        <w:t xml:space="preserve">trateškog plana za energetsku tehnologiju (SET) prenose u nacionalni kontekst </w:t>
      </w:r>
    </w:p>
    <w:p w14:paraId="745E0D71" w14:textId="517146FE" w:rsidR="005211FE" w:rsidRPr="00B47BDA" w:rsidRDefault="005211FE" w:rsidP="004623DD">
      <w:bookmarkStart w:id="499" w:name="_Toc531935167"/>
      <w:bookmarkStart w:id="500" w:name="_Toc531945117"/>
      <w:bookmarkStart w:id="501" w:name="_Toc6302374"/>
      <w:bookmarkEnd w:id="496"/>
      <w:bookmarkEnd w:id="497"/>
      <w:bookmarkEnd w:id="498"/>
      <w:r w:rsidRPr="00B47BDA">
        <w:t xml:space="preserve">RH je u upravljačku skupinu </w:t>
      </w:r>
      <w:r w:rsidR="00516F4C" w:rsidRPr="00B47BDA">
        <w:t>Europsk</w:t>
      </w:r>
      <w:r w:rsidR="00CF0458" w:rsidRPr="00B47BDA">
        <w:t>o</w:t>
      </w:r>
      <w:r w:rsidR="00516F4C" w:rsidRPr="00B47BDA">
        <w:t xml:space="preserve">g strateškog plana razvoja energetskih tehnologija (SET-Plan) </w:t>
      </w:r>
      <w:r w:rsidRPr="00B47BDA">
        <w:t>uključena od 2015. godine te pokriva svih deset ključnih aktivnosti. Poveznica između aktivnosti SET</w:t>
      </w:r>
      <w:r w:rsidR="008E7233" w:rsidRPr="00B47BDA">
        <w:t xml:space="preserve"> </w:t>
      </w:r>
      <w:r w:rsidRPr="00B47BDA">
        <w:t>plana na europskoj i nacionalnoj razini osigurat će se izgradnjom kapaciteta predviđenom u okviru mjere IIK-</w:t>
      </w:r>
      <w:r w:rsidR="006328E7" w:rsidRPr="00B47BDA">
        <w:t>6</w:t>
      </w:r>
      <w:r w:rsidRPr="00B47BDA">
        <w:t xml:space="preserve">. </w:t>
      </w:r>
    </w:p>
    <w:p w14:paraId="5736A9E7" w14:textId="77777777" w:rsidR="005211FE" w:rsidRPr="00B47BDA" w:rsidRDefault="005211FE" w:rsidP="004623DD">
      <w:r w:rsidRPr="00B47BDA">
        <w:t>Na regionalnoj radionici održanoj u Ljubljani u srpnju 2019. godine, kao teme za regionalnu suradnju u okviru dimenzije istraživanje, inovacije i konkurentnost predložena je znanstveno-istraživačka suradnja na sljedećim temama, s mogućnošću proširenja:</w:t>
      </w:r>
    </w:p>
    <w:p w14:paraId="6720D483" w14:textId="77777777" w:rsidR="005211FE" w:rsidRPr="00B47BDA" w:rsidRDefault="005211FE" w:rsidP="0023522D">
      <w:pPr>
        <w:pStyle w:val="ListParagraph"/>
        <w:numPr>
          <w:ilvl w:val="0"/>
          <w:numId w:val="55"/>
        </w:numPr>
        <w:spacing w:after="60"/>
        <w:ind w:left="714" w:hanging="357"/>
      </w:pPr>
      <w:r w:rsidRPr="00B47BDA">
        <w:t>pohrana energije,</w:t>
      </w:r>
    </w:p>
    <w:p w14:paraId="71859E5F" w14:textId="77777777" w:rsidR="005211FE" w:rsidRPr="00B47BDA" w:rsidRDefault="005211FE" w:rsidP="0023522D">
      <w:pPr>
        <w:pStyle w:val="ListParagraph"/>
        <w:numPr>
          <w:ilvl w:val="0"/>
          <w:numId w:val="55"/>
        </w:numPr>
        <w:spacing w:after="60"/>
        <w:ind w:left="714" w:hanging="357"/>
      </w:pPr>
      <w:r w:rsidRPr="00B47BDA">
        <w:t>digitalizacija energetskih sustava i mreža,</w:t>
      </w:r>
    </w:p>
    <w:p w14:paraId="2E199B39" w14:textId="77777777" w:rsidR="005211FE" w:rsidRPr="00B47BDA" w:rsidRDefault="005211FE" w:rsidP="0023522D">
      <w:pPr>
        <w:pStyle w:val="ListParagraph"/>
        <w:numPr>
          <w:ilvl w:val="0"/>
          <w:numId w:val="55"/>
        </w:numPr>
        <w:spacing w:after="60"/>
        <w:ind w:left="714" w:hanging="357"/>
      </w:pPr>
      <w:r w:rsidRPr="00B47BDA">
        <w:t>energetske zajednice,</w:t>
      </w:r>
    </w:p>
    <w:p w14:paraId="2764A529" w14:textId="77777777" w:rsidR="005211FE" w:rsidRPr="00B47BDA" w:rsidRDefault="005211FE" w:rsidP="0023522D">
      <w:pPr>
        <w:pStyle w:val="ListParagraph"/>
        <w:numPr>
          <w:ilvl w:val="0"/>
          <w:numId w:val="55"/>
        </w:numPr>
        <w:spacing w:after="60"/>
        <w:ind w:left="714" w:hanging="357"/>
      </w:pPr>
      <w:r w:rsidRPr="00B47BDA">
        <w:t>napredne mreže,</w:t>
      </w:r>
    </w:p>
    <w:p w14:paraId="5B20EC5C" w14:textId="77777777" w:rsidR="005211FE" w:rsidRPr="00B47BDA" w:rsidRDefault="005211FE" w:rsidP="0023522D">
      <w:pPr>
        <w:pStyle w:val="ListParagraph"/>
        <w:numPr>
          <w:ilvl w:val="0"/>
          <w:numId w:val="55"/>
        </w:numPr>
        <w:spacing w:after="60"/>
        <w:ind w:left="714" w:hanging="357"/>
      </w:pPr>
      <w:r w:rsidRPr="00B47BDA">
        <w:t>sustavi s visokim udjelom OIE,</w:t>
      </w:r>
    </w:p>
    <w:p w14:paraId="191876CB" w14:textId="77777777" w:rsidR="005211FE" w:rsidRPr="00B47BDA" w:rsidRDefault="005211FE" w:rsidP="0023522D">
      <w:pPr>
        <w:pStyle w:val="ListParagraph"/>
        <w:numPr>
          <w:ilvl w:val="0"/>
          <w:numId w:val="55"/>
        </w:numPr>
        <w:spacing w:after="60"/>
        <w:ind w:left="714" w:hanging="357"/>
      </w:pPr>
      <w:r w:rsidRPr="00B47BDA">
        <w:t>integracija energetskih sustava (električni, plinski, toplinski, transportni)</w:t>
      </w:r>
    </w:p>
    <w:p w14:paraId="5A91F667" w14:textId="77777777" w:rsidR="005211FE" w:rsidRPr="00B47BDA" w:rsidRDefault="005211FE" w:rsidP="0023522D">
      <w:pPr>
        <w:pStyle w:val="ListParagraph"/>
        <w:numPr>
          <w:ilvl w:val="0"/>
          <w:numId w:val="55"/>
        </w:numPr>
        <w:spacing w:after="60"/>
        <w:ind w:left="714" w:hanging="357"/>
      </w:pPr>
      <w:r w:rsidRPr="00B47BDA">
        <w:t>uklanjanje, skladištenje i uporaba CO</w:t>
      </w:r>
      <w:r w:rsidRPr="00B47BDA">
        <w:rPr>
          <w:vertAlign w:val="subscript"/>
        </w:rPr>
        <w:t>2</w:t>
      </w:r>
      <w:r w:rsidRPr="00B47BDA">
        <w:t>,</w:t>
      </w:r>
    </w:p>
    <w:p w14:paraId="2CA6B126" w14:textId="77777777" w:rsidR="005211FE" w:rsidRPr="00B47BDA" w:rsidRDefault="005211FE" w:rsidP="0023522D">
      <w:pPr>
        <w:pStyle w:val="ListParagraph"/>
        <w:numPr>
          <w:ilvl w:val="0"/>
          <w:numId w:val="55"/>
        </w:numPr>
        <w:spacing w:after="60"/>
        <w:ind w:left="714" w:hanging="357"/>
      </w:pPr>
      <w:r w:rsidRPr="00B47BDA">
        <w:t>vodik,</w:t>
      </w:r>
    </w:p>
    <w:p w14:paraId="11E6CF95" w14:textId="77777777" w:rsidR="005211FE" w:rsidRPr="00B47BDA" w:rsidRDefault="005211FE" w:rsidP="0023522D">
      <w:pPr>
        <w:pStyle w:val="ListParagraph"/>
        <w:numPr>
          <w:ilvl w:val="0"/>
          <w:numId w:val="55"/>
        </w:numPr>
        <w:spacing w:after="60"/>
        <w:ind w:left="714" w:hanging="357"/>
      </w:pPr>
      <w:r w:rsidRPr="00B47BDA">
        <w:t>energetsko siromaštvo</w:t>
      </w:r>
    </w:p>
    <w:p w14:paraId="5EB63343" w14:textId="23E60583" w:rsidR="005211FE" w:rsidRPr="00B47BDA" w:rsidRDefault="005211FE" w:rsidP="0023522D">
      <w:pPr>
        <w:pStyle w:val="ListParagraph"/>
        <w:numPr>
          <w:ilvl w:val="0"/>
          <w:numId w:val="55"/>
        </w:numPr>
        <w:spacing w:after="60"/>
        <w:ind w:left="714" w:hanging="357"/>
      </w:pPr>
      <w:r w:rsidRPr="00B47BDA">
        <w:t>ponašanje potrošača.</w:t>
      </w:r>
    </w:p>
    <w:p w14:paraId="6F9A3843" w14:textId="721A890A" w:rsidR="002E31C0" w:rsidRPr="00B47BDA" w:rsidRDefault="002E31C0" w:rsidP="005C2C7E">
      <w:pPr>
        <w:pStyle w:val="Heading4"/>
        <w:numPr>
          <w:ilvl w:val="3"/>
          <w:numId w:val="175"/>
        </w:numPr>
        <w:ind w:hanging="580"/>
      </w:pPr>
      <w:r w:rsidRPr="00B47BDA">
        <w:t xml:space="preserve">Financijske mjere u ovom području na nacionalnoj razini, uključujući potporu </w:t>
      </w:r>
      <w:r w:rsidR="006C5BDA" w:rsidRPr="00B47BDA">
        <w:t>Unije i upotrebu sredstava Unije, ako je primjenjivo</w:t>
      </w:r>
    </w:p>
    <w:bookmarkEnd w:id="499"/>
    <w:bookmarkEnd w:id="500"/>
    <w:bookmarkEnd w:id="501"/>
    <w:p w14:paraId="6F57EB94" w14:textId="6711A3E5" w:rsidR="0087289E" w:rsidRPr="00B47BDA" w:rsidRDefault="0087289E" w:rsidP="004623DD">
      <w:r w:rsidRPr="63259912">
        <w:t>Znanstveno-istraživački projekti i projekti kojima se potiče poduzetništvo financirat će se iz nacionalnih sredstava, sredstava osiguranih iz europskih strukturnih i kohezijskih fondova za razdoblj</w:t>
      </w:r>
      <w:r w:rsidR="006328E7" w:rsidRPr="63259912">
        <w:t>e</w:t>
      </w:r>
      <w:r w:rsidRPr="63259912">
        <w:t xml:space="preserve"> 2021. – 2027. godina,</w:t>
      </w:r>
      <w:r w:rsidR="007F44CA" w:rsidRPr="63259912">
        <w:t xml:space="preserve"> sredstvima Inovacijskog fonda</w:t>
      </w:r>
      <w:r w:rsidRPr="63259912">
        <w:t xml:space="preserve"> te izravno iz proračuna Europske unije, a prioritet će se dati niskougljičnim projektima.</w:t>
      </w:r>
    </w:p>
    <w:p w14:paraId="7AFAACA8" w14:textId="657FD850" w:rsidR="00C21988" w:rsidRPr="00B47BDA" w:rsidRDefault="0087289E" w:rsidP="004623DD">
      <w:r w:rsidRPr="00B47BDA">
        <w:t xml:space="preserve">Uz to, potrebna je financijska podrška znanstveno-istraživačkim projektima koji se prijavljuju na relevantne međunarodne natječaje, kojima se povećava znanje potrebno za stvaranje zelenog i konkurentnog gospodarstva s niskim udjelom ugljika u kojem će se učinkovitije koristiti resursi, a čiji su ciljevi usklađeni s prioritetnim temama. </w:t>
      </w:r>
      <w:r w:rsidRPr="00D621E8">
        <w:t xml:space="preserve">Teme projekata utvrđivat će se u skladu s nacionalnim prioritetima. </w:t>
      </w:r>
      <w:r w:rsidRPr="00B47BDA">
        <w:t>Financijska podrška davat će se u postotnom dijelu vlastitog sufinanciranja projekata, za troškove organizacija registriranih u Republici Hrvatskoj.</w:t>
      </w:r>
    </w:p>
    <w:p w14:paraId="49E0288E" w14:textId="291C4A4F" w:rsidR="00C21988" w:rsidRPr="00B47BDA" w:rsidRDefault="001B6A5D" w:rsidP="004B5DBA">
      <w:pPr>
        <w:pStyle w:val="Sadraj"/>
        <w:outlineLvl w:val="0"/>
      </w:pPr>
      <w:bookmarkStart w:id="502" w:name="_Toc6302375"/>
      <w:bookmarkStart w:id="503" w:name="_Toc187418356"/>
      <w:bookmarkStart w:id="504" w:name="_Toc193043281"/>
      <w:r>
        <w:t>DIO</w:t>
      </w:r>
      <w:r w:rsidR="00C21988" w:rsidRPr="00B47BDA">
        <w:t xml:space="preserve"> B: ANALITIČKA OSNOVA</w:t>
      </w:r>
      <w:bookmarkEnd w:id="502"/>
      <w:bookmarkEnd w:id="503"/>
      <w:bookmarkEnd w:id="504"/>
    </w:p>
    <w:p w14:paraId="2F28EB98" w14:textId="1876166E" w:rsidR="00C21988" w:rsidRPr="00B47BDA" w:rsidRDefault="00C21988" w:rsidP="004623DD">
      <w:r w:rsidRPr="00B47BDA">
        <w:br w:type="page"/>
      </w:r>
    </w:p>
    <w:p w14:paraId="12C1119B" w14:textId="67ADAE02" w:rsidR="00C21988" w:rsidRPr="00CC3E77" w:rsidRDefault="00C21988" w:rsidP="001B6A5D">
      <w:pPr>
        <w:pStyle w:val="Heading1"/>
        <w:numPr>
          <w:ilvl w:val="0"/>
          <w:numId w:val="175"/>
        </w:numPr>
      </w:pPr>
      <w:bookmarkStart w:id="505" w:name="_Toc531935168"/>
      <w:bookmarkStart w:id="506" w:name="_Toc531945118"/>
      <w:bookmarkStart w:id="507" w:name="_Toc6302376"/>
      <w:bookmarkStart w:id="508" w:name="_Toc187418357"/>
      <w:bookmarkStart w:id="509" w:name="_Toc193043282"/>
      <w:r w:rsidRPr="00CC3E77">
        <w:lastRenderedPageBreak/>
        <w:t>TRENUTAČNO STANJE I PROJEKCIJE NA TEMELJU POSTOJEĆIH POLITIKA I MJERA</w:t>
      </w:r>
      <w:bookmarkEnd w:id="505"/>
      <w:bookmarkEnd w:id="506"/>
      <w:bookmarkEnd w:id="507"/>
      <w:bookmarkEnd w:id="508"/>
      <w:bookmarkEnd w:id="509"/>
      <w:r w:rsidR="00461782" w:rsidRPr="00CC3E77">
        <w:t xml:space="preserve"> </w:t>
      </w:r>
    </w:p>
    <w:p w14:paraId="13CD1E62" w14:textId="54641975" w:rsidR="00C21988" w:rsidRPr="00B47BDA" w:rsidRDefault="00C21988" w:rsidP="005C2C7E">
      <w:pPr>
        <w:pStyle w:val="Heading2"/>
        <w:numPr>
          <w:ilvl w:val="1"/>
          <w:numId w:val="175"/>
        </w:numPr>
      </w:pPr>
      <w:bookmarkStart w:id="510" w:name="_Toc531935169"/>
      <w:bookmarkStart w:id="511" w:name="_Toc531945119"/>
      <w:bookmarkStart w:id="512" w:name="_Toc6302377"/>
      <w:bookmarkStart w:id="513" w:name="_Toc187418358"/>
      <w:bookmarkStart w:id="514" w:name="_Toc193043283"/>
      <w:r w:rsidRPr="00B47BDA">
        <w:t>Predviđeni razvoj glavnih egzogenih čimbenika koji utječu na energetski sustav i trendove u pogledu emisija stakleničkih plinova</w:t>
      </w:r>
      <w:bookmarkEnd w:id="510"/>
      <w:bookmarkEnd w:id="511"/>
      <w:bookmarkEnd w:id="512"/>
      <w:bookmarkEnd w:id="513"/>
      <w:bookmarkEnd w:id="514"/>
      <w:r w:rsidRPr="00B47BDA">
        <w:t xml:space="preserve"> </w:t>
      </w:r>
    </w:p>
    <w:p w14:paraId="58D1F1F8" w14:textId="70CBE9AA" w:rsidR="00A728AD" w:rsidRPr="00B47BDA" w:rsidRDefault="00A728AD" w:rsidP="005C2C7E">
      <w:pPr>
        <w:pStyle w:val="Heading4"/>
        <w:numPr>
          <w:ilvl w:val="3"/>
          <w:numId w:val="175"/>
        </w:numPr>
        <w:ind w:hanging="580"/>
      </w:pPr>
      <w:r w:rsidRPr="00B47BDA">
        <w:t>Makroekonomske prognoze (BDP i broj stanovnika)</w:t>
      </w:r>
    </w:p>
    <w:p w14:paraId="64CFD471" w14:textId="77777777" w:rsidR="00DB7A62" w:rsidRPr="00B47BDA" w:rsidRDefault="00C21988" w:rsidP="004623DD">
      <w:r w:rsidRPr="00B47BDA">
        <w:t>Najvažniji čimbenici koji utječu na energetski sustav i trendove u pogledu emisija stakleničkih plinova su demografska i gospodarska kretanja.</w:t>
      </w:r>
    </w:p>
    <w:p w14:paraId="22B3E899" w14:textId="1F2064F1" w:rsidR="00C21988" w:rsidRPr="00B47BDA" w:rsidRDefault="009450F5" w:rsidP="004623DD">
      <w:r w:rsidRPr="00B47BDA">
        <w:t xml:space="preserve">Za usmjeravanje ukupnog razvoja neophodno je poznavati broj, dinamiku i prostorni razmještaj stanovništva prema različitim demografskim i gospodarskim obilježjima. </w:t>
      </w:r>
      <w:r w:rsidR="00FD7ADD" w:rsidRPr="00B47BDA">
        <w:t>Službeni p</w:t>
      </w:r>
      <w:r w:rsidR="00D1643A" w:rsidRPr="00B47BDA">
        <w:t xml:space="preserve">opis stanovnika objavljen na stranicama Državnog zavoda za statistiku Republike Hrvatske je korišten </w:t>
      </w:r>
      <w:r w:rsidR="00FD7ADD" w:rsidRPr="00B47BDA">
        <w:t>kao izvor u 2021. godini</w:t>
      </w:r>
      <w:r w:rsidR="004C04BB" w:rsidRPr="00B47BDA">
        <w:t xml:space="preserve">, dok je vrijednost u 2050. godini preuzeta s Eurostata te su vrijednosti između dobivene linearnom interpolacijom. </w:t>
      </w:r>
    </w:p>
    <w:p w14:paraId="6AEEFD49" w14:textId="712F7204" w:rsidR="004040BA" w:rsidRPr="00B47BDA" w:rsidRDefault="001B2FB4" w:rsidP="004623DD">
      <w:r w:rsidRPr="63259912">
        <w:t xml:space="preserve">Također, </w:t>
      </w:r>
      <w:r w:rsidR="005F496B" w:rsidRPr="63259912">
        <w:t xml:space="preserve">izrađene su i projekcije gospodarskih kretanja u razdoblju do 2050. godine. </w:t>
      </w:r>
      <w:r w:rsidR="006745A8" w:rsidRPr="63259912">
        <w:t>Za</w:t>
      </w:r>
      <w:r w:rsidR="005F496B" w:rsidRPr="63259912">
        <w:t xml:space="preserve"> izradu projekcije bruto domaćeg proizvoda (BDP, engl.</w:t>
      </w:r>
      <w:r w:rsidR="0003667A" w:rsidRPr="63259912">
        <w:t xml:space="preserve"> </w:t>
      </w:r>
      <w:r w:rsidR="0003667A" w:rsidRPr="63259912">
        <w:rPr>
          <w:i/>
          <w:iCs/>
        </w:rPr>
        <w:t>Gross Domestic Product</w:t>
      </w:r>
      <w:r w:rsidR="0003667A" w:rsidRPr="63259912">
        <w:t>,</w:t>
      </w:r>
      <w:r w:rsidR="005F496B" w:rsidRPr="63259912">
        <w:t xml:space="preserve"> GDP) Republike Hrvatske </w:t>
      </w:r>
      <w:r w:rsidR="006745A8" w:rsidRPr="63259912">
        <w:t>korišteni su službeni podaci objavljeni na mrežnim stranicama Hrvatske Naro</w:t>
      </w:r>
      <w:r w:rsidR="00CF2910" w:rsidRPr="63259912">
        <w:t>d</w:t>
      </w:r>
      <w:r w:rsidR="006745A8" w:rsidRPr="63259912">
        <w:t>ne Banke</w:t>
      </w:r>
      <w:r w:rsidR="00CF2910" w:rsidRPr="63259912">
        <w:t xml:space="preserve"> </w:t>
      </w:r>
      <w:r w:rsidR="0061294B" w:rsidRPr="63259912">
        <w:t xml:space="preserve">za 2021. godinu </w:t>
      </w:r>
      <w:r w:rsidR="003F7DEA" w:rsidRPr="63259912">
        <w:t>dok</w:t>
      </w:r>
      <w:r w:rsidR="0061294B" w:rsidRPr="63259912">
        <w:t xml:space="preserve"> su preostale godine </w:t>
      </w:r>
      <w:r w:rsidR="0012230D" w:rsidRPr="63259912">
        <w:t>dobivene korištenjem</w:t>
      </w:r>
      <w:r w:rsidR="00CF2910" w:rsidRPr="63259912">
        <w:t xml:space="preserve"> </w:t>
      </w:r>
      <w:r w:rsidR="0012230D" w:rsidRPr="63259912">
        <w:t>projiciranih realnih stopa rasta</w:t>
      </w:r>
      <w:r w:rsidR="00086B0E" w:rsidRPr="63259912">
        <w:t>.</w:t>
      </w:r>
    </w:p>
    <w:p w14:paraId="31BE340A" w14:textId="24D1DB88" w:rsidR="003204EE" w:rsidRPr="00B47BDA" w:rsidRDefault="00214B02" w:rsidP="004623DD">
      <w:pPr>
        <w:pStyle w:val="Caption"/>
      </w:pPr>
      <w:bookmarkStart w:id="515" w:name="_Toc528673079"/>
      <w:bookmarkStart w:id="516" w:name="_Toc193035952"/>
      <w:r w:rsidRPr="00B47BDA">
        <w:t xml:space="preserve">Tablica </w:t>
      </w:r>
      <w:r>
        <w:fldChar w:fldCharType="begin"/>
      </w:r>
      <w:r>
        <w:instrText>STYLEREF 1 \s</w:instrText>
      </w:r>
      <w:r>
        <w:fldChar w:fldCharType="separate"/>
      </w:r>
      <w:r w:rsidR="00AD324D">
        <w:rPr>
          <w:noProof/>
        </w:rPr>
        <w:t>4</w:t>
      </w:r>
      <w:r>
        <w:fldChar w:fldCharType="end"/>
      </w:r>
      <w:r w:rsidR="000C3EFD" w:rsidRPr="00B47BDA">
        <w:noBreakHyphen/>
      </w:r>
      <w:r>
        <w:fldChar w:fldCharType="begin"/>
      </w:r>
      <w:r>
        <w:instrText>SEQ Tablica \* ARABIC \s 1</w:instrText>
      </w:r>
      <w:r>
        <w:fldChar w:fldCharType="separate"/>
      </w:r>
      <w:r w:rsidR="00AD324D">
        <w:rPr>
          <w:noProof/>
        </w:rPr>
        <w:t>1</w:t>
      </w:r>
      <w:r>
        <w:fldChar w:fldCharType="end"/>
      </w:r>
      <w:r w:rsidRPr="00B47BDA">
        <w:t>.</w:t>
      </w:r>
      <w:r w:rsidR="00A87274" w:rsidRPr="00B47BDA">
        <w:t xml:space="preserve"> </w:t>
      </w:r>
      <w:r w:rsidR="003204EE" w:rsidRPr="00B47BDA">
        <w:t xml:space="preserve">Projekcije ekonomskih parametara </w:t>
      </w:r>
      <w:r w:rsidR="00C01D66" w:rsidRPr="00B47BDA">
        <w:t xml:space="preserve">na temelju </w:t>
      </w:r>
      <w:r w:rsidR="003204EE" w:rsidRPr="00B47BDA">
        <w:t>srednjih demografskih projekcija</w:t>
      </w:r>
      <w:bookmarkEnd w:id="515"/>
      <w:bookmarkEnd w:id="516"/>
    </w:p>
    <w:tbl>
      <w:tblPr>
        <w:tblStyle w:val="NECP"/>
        <w:tblW w:w="8637" w:type="dxa"/>
        <w:tblLayout w:type="fixed"/>
        <w:tblLook w:val="04A0" w:firstRow="1" w:lastRow="0" w:firstColumn="1" w:lastColumn="0" w:noHBand="0" w:noVBand="1"/>
      </w:tblPr>
      <w:tblGrid>
        <w:gridCol w:w="3198"/>
        <w:gridCol w:w="1087"/>
        <w:gridCol w:w="1088"/>
        <w:gridCol w:w="1088"/>
        <w:gridCol w:w="1088"/>
        <w:gridCol w:w="1088"/>
      </w:tblGrid>
      <w:tr w:rsidR="00513E08" w:rsidRPr="00193D40" w14:paraId="173F89F4" w14:textId="77777777" w:rsidTr="63259912">
        <w:trPr>
          <w:cnfStyle w:val="100000000000" w:firstRow="1" w:lastRow="0" w:firstColumn="0" w:lastColumn="0" w:oddVBand="0" w:evenVBand="0" w:oddHBand="0" w:evenHBand="0" w:firstRowFirstColumn="0" w:firstRowLastColumn="0" w:lastRowFirstColumn="0" w:lastRowLastColumn="0"/>
          <w:trHeight w:val="340"/>
        </w:trPr>
        <w:tc>
          <w:tcPr>
            <w:tcW w:w="3198" w:type="dxa"/>
            <w:shd w:val="clear" w:color="auto" w:fill="D9E2F3" w:themeFill="accent5" w:themeFillTint="33"/>
            <w:noWrap/>
            <w:hideMark/>
          </w:tcPr>
          <w:p w14:paraId="7B06F0E7" w14:textId="77777777" w:rsidR="00513E08" w:rsidRPr="0023522D" w:rsidRDefault="00513E08" w:rsidP="007158FC">
            <w:pPr>
              <w:spacing w:after="0"/>
              <w:jc w:val="center"/>
              <w:rPr>
                <w:sz w:val="22"/>
                <w:szCs w:val="22"/>
              </w:rPr>
            </w:pPr>
            <w:r w:rsidRPr="0023522D">
              <w:rPr>
                <w:sz w:val="22"/>
                <w:szCs w:val="22"/>
              </w:rPr>
              <w:t>Komponente</w:t>
            </w:r>
          </w:p>
        </w:tc>
        <w:tc>
          <w:tcPr>
            <w:tcW w:w="1087" w:type="dxa"/>
            <w:shd w:val="clear" w:color="auto" w:fill="D9E2F3" w:themeFill="accent5" w:themeFillTint="33"/>
            <w:noWrap/>
            <w:hideMark/>
          </w:tcPr>
          <w:p w14:paraId="5454CF3E" w14:textId="77777777" w:rsidR="00513E08" w:rsidRPr="0023522D" w:rsidRDefault="00513E08" w:rsidP="007158FC">
            <w:pPr>
              <w:spacing w:after="0"/>
              <w:jc w:val="center"/>
              <w:rPr>
                <w:sz w:val="22"/>
                <w:szCs w:val="22"/>
              </w:rPr>
            </w:pPr>
            <w:r w:rsidRPr="0023522D">
              <w:rPr>
                <w:sz w:val="22"/>
                <w:szCs w:val="22"/>
              </w:rPr>
              <w:t>2021.</w:t>
            </w:r>
          </w:p>
        </w:tc>
        <w:tc>
          <w:tcPr>
            <w:tcW w:w="1088" w:type="dxa"/>
            <w:shd w:val="clear" w:color="auto" w:fill="D9E2F3" w:themeFill="accent5" w:themeFillTint="33"/>
            <w:noWrap/>
            <w:hideMark/>
          </w:tcPr>
          <w:p w14:paraId="549F6B25" w14:textId="77777777" w:rsidR="00513E08" w:rsidRPr="0023522D" w:rsidRDefault="00513E08" w:rsidP="007158FC">
            <w:pPr>
              <w:spacing w:after="0"/>
              <w:jc w:val="center"/>
              <w:rPr>
                <w:sz w:val="22"/>
                <w:szCs w:val="22"/>
              </w:rPr>
            </w:pPr>
            <w:r w:rsidRPr="0023522D">
              <w:rPr>
                <w:sz w:val="22"/>
                <w:szCs w:val="22"/>
              </w:rPr>
              <w:t>2025.</w:t>
            </w:r>
          </w:p>
        </w:tc>
        <w:tc>
          <w:tcPr>
            <w:tcW w:w="1088" w:type="dxa"/>
            <w:shd w:val="clear" w:color="auto" w:fill="D9E2F3" w:themeFill="accent5" w:themeFillTint="33"/>
            <w:noWrap/>
            <w:hideMark/>
          </w:tcPr>
          <w:p w14:paraId="02DE3A52" w14:textId="77777777" w:rsidR="00513E08" w:rsidRPr="0023522D" w:rsidRDefault="00513E08" w:rsidP="007158FC">
            <w:pPr>
              <w:spacing w:after="0"/>
              <w:jc w:val="center"/>
              <w:rPr>
                <w:sz w:val="22"/>
                <w:szCs w:val="22"/>
              </w:rPr>
            </w:pPr>
            <w:r w:rsidRPr="0023522D">
              <w:rPr>
                <w:sz w:val="22"/>
                <w:szCs w:val="22"/>
              </w:rPr>
              <w:t>2030.</w:t>
            </w:r>
          </w:p>
        </w:tc>
        <w:tc>
          <w:tcPr>
            <w:tcW w:w="1088" w:type="dxa"/>
            <w:shd w:val="clear" w:color="auto" w:fill="D9E2F3" w:themeFill="accent5" w:themeFillTint="33"/>
            <w:noWrap/>
            <w:hideMark/>
          </w:tcPr>
          <w:p w14:paraId="22700108" w14:textId="77777777" w:rsidR="00513E08" w:rsidRPr="0023522D" w:rsidRDefault="00513E08" w:rsidP="007158FC">
            <w:pPr>
              <w:spacing w:after="0"/>
              <w:jc w:val="center"/>
              <w:rPr>
                <w:sz w:val="22"/>
                <w:szCs w:val="22"/>
              </w:rPr>
            </w:pPr>
            <w:r w:rsidRPr="0023522D">
              <w:rPr>
                <w:sz w:val="22"/>
                <w:szCs w:val="22"/>
              </w:rPr>
              <w:t>2040.</w:t>
            </w:r>
          </w:p>
        </w:tc>
        <w:tc>
          <w:tcPr>
            <w:tcW w:w="1088" w:type="dxa"/>
            <w:shd w:val="clear" w:color="auto" w:fill="D9E2F3" w:themeFill="accent5" w:themeFillTint="33"/>
            <w:noWrap/>
            <w:hideMark/>
          </w:tcPr>
          <w:p w14:paraId="3DE44DF3" w14:textId="77777777" w:rsidR="00513E08" w:rsidRPr="0023522D" w:rsidRDefault="00513E08" w:rsidP="007158FC">
            <w:pPr>
              <w:spacing w:after="0"/>
              <w:jc w:val="center"/>
              <w:rPr>
                <w:sz w:val="22"/>
                <w:szCs w:val="22"/>
              </w:rPr>
            </w:pPr>
            <w:r w:rsidRPr="0023522D">
              <w:rPr>
                <w:sz w:val="22"/>
                <w:szCs w:val="22"/>
              </w:rPr>
              <w:t>2050.</w:t>
            </w:r>
          </w:p>
        </w:tc>
      </w:tr>
      <w:tr w:rsidR="00513E08" w:rsidRPr="00193D40" w14:paraId="6361E843" w14:textId="77777777" w:rsidTr="63259912">
        <w:trPr>
          <w:trHeight w:val="321"/>
        </w:trPr>
        <w:tc>
          <w:tcPr>
            <w:tcW w:w="3198" w:type="dxa"/>
            <w:noWrap/>
            <w:hideMark/>
          </w:tcPr>
          <w:p w14:paraId="3B41D8B6" w14:textId="4CB228A8" w:rsidR="00513E08" w:rsidRPr="0023522D" w:rsidRDefault="00513E08" w:rsidP="00193D40">
            <w:pPr>
              <w:spacing w:after="0"/>
              <w:rPr>
                <w:sz w:val="22"/>
                <w:szCs w:val="22"/>
              </w:rPr>
            </w:pPr>
            <w:r w:rsidRPr="0023522D">
              <w:rPr>
                <w:sz w:val="22"/>
                <w:szCs w:val="22"/>
              </w:rPr>
              <w:t xml:space="preserve">BDP, </w:t>
            </w:r>
            <w:r w:rsidR="0052202B" w:rsidRPr="0023522D">
              <w:rPr>
                <w:sz w:val="22"/>
                <w:szCs w:val="22"/>
              </w:rPr>
              <w:t>realn</w:t>
            </w:r>
            <w:r w:rsidR="00216B52" w:rsidRPr="0023522D">
              <w:rPr>
                <w:sz w:val="22"/>
                <w:szCs w:val="22"/>
              </w:rPr>
              <w:t>i u cijenama iz 2021.</w:t>
            </w:r>
            <w:r w:rsidRPr="0023522D">
              <w:rPr>
                <w:sz w:val="22"/>
                <w:szCs w:val="22"/>
              </w:rPr>
              <w:t>, milijarde EUR</w:t>
            </w:r>
          </w:p>
        </w:tc>
        <w:tc>
          <w:tcPr>
            <w:tcW w:w="1087" w:type="dxa"/>
            <w:noWrap/>
            <w:hideMark/>
          </w:tcPr>
          <w:p w14:paraId="68239F13" w14:textId="752B8EC6" w:rsidR="00513E08" w:rsidRPr="0023522D" w:rsidRDefault="00513E08" w:rsidP="00801AB0">
            <w:pPr>
              <w:spacing w:after="0"/>
              <w:jc w:val="right"/>
              <w:rPr>
                <w:sz w:val="22"/>
                <w:szCs w:val="22"/>
              </w:rPr>
            </w:pPr>
            <w:r w:rsidRPr="0023522D">
              <w:rPr>
                <w:sz w:val="22"/>
                <w:szCs w:val="22"/>
              </w:rPr>
              <w:t xml:space="preserve">57,232 </w:t>
            </w:r>
          </w:p>
        </w:tc>
        <w:tc>
          <w:tcPr>
            <w:tcW w:w="1088" w:type="dxa"/>
            <w:noWrap/>
            <w:hideMark/>
          </w:tcPr>
          <w:p w14:paraId="399A7764" w14:textId="5336C686" w:rsidR="00513E08" w:rsidRPr="0023522D" w:rsidRDefault="00A046AD" w:rsidP="00801AB0">
            <w:pPr>
              <w:spacing w:after="0"/>
              <w:jc w:val="right"/>
              <w:rPr>
                <w:sz w:val="22"/>
                <w:szCs w:val="22"/>
              </w:rPr>
            </w:pPr>
            <w:r>
              <w:rPr>
                <w:sz w:val="22"/>
                <w:szCs w:val="22"/>
              </w:rPr>
              <w:t>65,898</w:t>
            </w:r>
            <w:r w:rsidR="00513E08" w:rsidRPr="0023522D">
              <w:rPr>
                <w:sz w:val="22"/>
                <w:szCs w:val="22"/>
              </w:rPr>
              <w:t xml:space="preserve"> </w:t>
            </w:r>
          </w:p>
        </w:tc>
        <w:tc>
          <w:tcPr>
            <w:tcW w:w="1088" w:type="dxa"/>
            <w:noWrap/>
            <w:hideMark/>
          </w:tcPr>
          <w:p w14:paraId="75E308D9" w14:textId="4814B5DF" w:rsidR="00513E08" w:rsidRPr="0023522D" w:rsidRDefault="00664BC7" w:rsidP="00801AB0">
            <w:pPr>
              <w:spacing w:after="0"/>
              <w:jc w:val="right"/>
              <w:rPr>
                <w:sz w:val="22"/>
                <w:szCs w:val="22"/>
              </w:rPr>
            </w:pPr>
            <w:r>
              <w:rPr>
                <w:sz w:val="22"/>
                <w:szCs w:val="22"/>
              </w:rPr>
              <w:t>71,852</w:t>
            </w:r>
            <w:r w:rsidR="00513E08" w:rsidRPr="0023522D">
              <w:rPr>
                <w:sz w:val="22"/>
                <w:szCs w:val="22"/>
              </w:rPr>
              <w:t xml:space="preserve"> </w:t>
            </w:r>
          </w:p>
        </w:tc>
        <w:tc>
          <w:tcPr>
            <w:tcW w:w="1088" w:type="dxa"/>
            <w:noWrap/>
            <w:hideMark/>
          </w:tcPr>
          <w:p w14:paraId="21D75EA6" w14:textId="0D7CFC68" w:rsidR="00513E08" w:rsidRPr="0023522D" w:rsidRDefault="00664BC7" w:rsidP="00801AB0">
            <w:pPr>
              <w:spacing w:after="0"/>
              <w:jc w:val="right"/>
              <w:rPr>
                <w:sz w:val="22"/>
                <w:szCs w:val="22"/>
              </w:rPr>
            </w:pPr>
            <w:r>
              <w:rPr>
                <w:sz w:val="22"/>
                <w:szCs w:val="22"/>
              </w:rPr>
              <w:t>83,148</w:t>
            </w:r>
            <w:r w:rsidR="00513E08" w:rsidRPr="0023522D">
              <w:rPr>
                <w:sz w:val="22"/>
                <w:szCs w:val="22"/>
              </w:rPr>
              <w:t xml:space="preserve"> </w:t>
            </w:r>
          </w:p>
        </w:tc>
        <w:tc>
          <w:tcPr>
            <w:tcW w:w="1088" w:type="dxa"/>
            <w:noWrap/>
            <w:hideMark/>
          </w:tcPr>
          <w:p w14:paraId="5E56DCD8" w14:textId="30B5CF62" w:rsidR="00513E08" w:rsidRPr="0023522D" w:rsidRDefault="00664BC7" w:rsidP="00801AB0">
            <w:pPr>
              <w:spacing w:after="0"/>
              <w:jc w:val="right"/>
              <w:rPr>
                <w:sz w:val="22"/>
                <w:szCs w:val="22"/>
              </w:rPr>
            </w:pPr>
            <w:r>
              <w:rPr>
                <w:sz w:val="22"/>
                <w:szCs w:val="22"/>
              </w:rPr>
              <w:t>96,918</w:t>
            </w:r>
            <w:r w:rsidR="00513E08" w:rsidRPr="0023522D">
              <w:rPr>
                <w:sz w:val="22"/>
                <w:szCs w:val="22"/>
              </w:rPr>
              <w:t xml:space="preserve"> </w:t>
            </w:r>
          </w:p>
        </w:tc>
      </w:tr>
      <w:tr w:rsidR="00513E08" w:rsidRPr="00193D40" w14:paraId="4E3C51A4" w14:textId="77777777" w:rsidTr="63259912">
        <w:trPr>
          <w:trHeight w:val="321"/>
        </w:trPr>
        <w:tc>
          <w:tcPr>
            <w:tcW w:w="3198" w:type="dxa"/>
            <w:noWrap/>
            <w:hideMark/>
          </w:tcPr>
          <w:p w14:paraId="0C06A7BD" w14:textId="77777777" w:rsidR="00513E08" w:rsidRPr="0023522D" w:rsidRDefault="00513E08" w:rsidP="00193D40">
            <w:pPr>
              <w:spacing w:after="0"/>
              <w:rPr>
                <w:sz w:val="22"/>
                <w:szCs w:val="22"/>
              </w:rPr>
            </w:pPr>
            <w:r w:rsidRPr="0023522D">
              <w:rPr>
                <w:sz w:val="22"/>
                <w:szCs w:val="22"/>
              </w:rPr>
              <w:t>BDP, indeks, 2021. = 100</w:t>
            </w:r>
          </w:p>
        </w:tc>
        <w:tc>
          <w:tcPr>
            <w:tcW w:w="1087" w:type="dxa"/>
            <w:noWrap/>
            <w:hideMark/>
          </w:tcPr>
          <w:p w14:paraId="765DBB66" w14:textId="77777777" w:rsidR="00513E08" w:rsidRPr="0023522D" w:rsidRDefault="00513E08" w:rsidP="00801AB0">
            <w:pPr>
              <w:spacing w:after="0"/>
              <w:jc w:val="right"/>
              <w:rPr>
                <w:sz w:val="22"/>
                <w:szCs w:val="22"/>
              </w:rPr>
            </w:pPr>
            <w:r w:rsidRPr="0023522D">
              <w:rPr>
                <w:sz w:val="22"/>
                <w:szCs w:val="22"/>
              </w:rPr>
              <w:t>100</w:t>
            </w:r>
          </w:p>
        </w:tc>
        <w:tc>
          <w:tcPr>
            <w:tcW w:w="1088" w:type="dxa"/>
            <w:noWrap/>
            <w:hideMark/>
          </w:tcPr>
          <w:p w14:paraId="04EB2BAC" w14:textId="63FC0567" w:rsidR="00513E08" w:rsidRPr="0023522D" w:rsidRDefault="00DB14A8" w:rsidP="00801AB0">
            <w:pPr>
              <w:spacing w:after="0"/>
              <w:jc w:val="right"/>
              <w:rPr>
                <w:sz w:val="22"/>
                <w:szCs w:val="22"/>
              </w:rPr>
            </w:pPr>
            <w:r>
              <w:rPr>
                <w:sz w:val="22"/>
                <w:szCs w:val="22"/>
              </w:rPr>
              <w:t>115,1</w:t>
            </w:r>
          </w:p>
        </w:tc>
        <w:tc>
          <w:tcPr>
            <w:tcW w:w="1088" w:type="dxa"/>
            <w:noWrap/>
            <w:hideMark/>
          </w:tcPr>
          <w:p w14:paraId="4CF72373" w14:textId="015932C0" w:rsidR="00513E08" w:rsidRPr="0023522D" w:rsidRDefault="00DB14A8" w:rsidP="00801AB0">
            <w:pPr>
              <w:spacing w:after="0"/>
              <w:jc w:val="right"/>
              <w:rPr>
                <w:sz w:val="22"/>
                <w:szCs w:val="22"/>
              </w:rPr>
            </w:pPr>
            <w:r>
              <w:rPr>
                <w:sz w:val="22"/>
                <w:szCs w:val="22"/>
              </w:rPr>
              <w:t>125,5</w:t>
            </w:r>
          </w:p>
        </w:tc>
        <w:tc>
          <w:tcPr>
            <w:tcW w:w="1088" w:type="dxa"/>
            <w:noWrap/>
            <w:hideMark/>
          </w:tcPr>
          <w:p w14:paraId="4017D4EF" w14:textId="6E35BE7B" w:rsidR="00513E08" w:rsidRPr="0023522D" w:rsidRDefault="00DB14A8" w:rsidP="00801AB0">
            <w:pPr>
              <w:spacing w:after="0"/>
              <w:jc w:val="right"/>
              <w:rPr>
                <w:sz w:val="22"/>
                <w:szCs w:val="22"/>
              </w:rPr>
            </w:pPr>
            <w:r>
              <w:rPr>
                <w:sz w:val="22"/>
                <w:szCs w:val="22"/>
              </w:rPr>
              <w:t>145,3</w:t>
            </w:r>
          </w:p>
        </w:tc>
        <w:tc>
          <w:tcPr>
            <w:tcW w:w="1088" w:type="dxa"/>
            <w:noWrap/>
            <w:hideMark/>
          </w:tcPr>
          <w:p w14:paraId="6D50ACB6" w14:textId="536FEBE4" w:rsidR="00513E08" w:rsidRPr="0023522D" w:rsidRDefault="00DB14A8" w:rsidP="00801AB0">
            <w:pPr>
              <w:spacing w:after="0"/>
              <w:jc w:val="right"/>
              <w:rPr>
                <w:sz w:val="22"/>
                <w:szCs w:val="22"/>
              </w:rPr>
            </w:pPr>
            <w:r>
              <w:rPr>
                <w:sz w:val="22"/>
                <w:szCs w:val="22"/>
              </w:rPr>
              <w:t>169,3</w:t>
            </w:r>
          </w:p>
        </w:tc>
      </w:tr>
      <w:tr w:rsidR="00513E08" w:rsidRPr="00193D40" w14:paraId="0D3DD755" w14:textId="77777777" w:rsidTr="63259912">
        <w:trPr>
          <w:trHeight w:val="321"/>
        </w:trPr>
        <w:tc>
          <w:tcPr>
            <w:tcW w:w="3198" w:type="dxa"/>
            <w:noWrap/>
            <w:hideMark/>
          </w:tcPr>
          <w:p w14:paraId="2AD07132" w14:textId="3717927B" w:rsidR="00513E08" w:rsidRPr="0023522D" w:rsidRDefault="00513E08" w:rsidP="63259912">
            <w:pPr>
              <w:spacing w:after="0"/>
              <w:rPr>
                <w:sz w:val="22"/>
                <w:szCs w:val="22"/>
              </w:rPr>
            </w:pPr>
            <w:r w:rsidRPr="63259912">
              <w:rPr>
                <w:sz w:val="22"/>
                <w:szCs w:val="22"/>
              </w:rPr>
              <w:t xml:space="preserve">BDP per capita, </w:t>
            </w:r>
            <w:r w:rsidR="00216B52" w:rsidRPr="63259912">
              <w:rPr>
                <w:sz w:val="22"/>
                <w:szCs w:val="22"/>
              </w:rPr>
              <w:t>realni u cijenama iz 2021.</w:t>
            </w:r>
            <w:r w:rsidRPr="63259912">
              <w:rPr>
                <w:sz w:val="22"/>
                <w:szCs w:val="22"/>
              </w:rPr>
              <w:t xml:space="preserve"> , tisuće EUR</w:t>
            </w:r>
          </w:p>
        </w:tc>
        <w:tc>
          <w:tcPr>
            <w:tcW w:w="1087" w:type="dxa"/>
            <w:noWrap/>
            <w:hideMark/>
          </w:tcPr>
          <w:p w14:paraId="19934FA7" w14:textId="46D0E15A" w:rsidR="00513E08" w:rsidRPr="0023522D" w:rsidRDefault="007B7FCE" w:rsidP="00801AB0">
            <w:pPr>
              <w:spacing w:after="0"/>
              <w:jc w:val="right"/>
              <w:rPr>
                <w:sz w:val="22"/>
                <w:szCs w:val="22"/>
              </w:rPr>
            </w:pPr>
            <w:r>
              <w:rPr>
                <w:sz w:val="22"/>
                <w:szCs w:val="22"/>
              </w:rPr>
              <w:t>14,8</w:t>
            </w:r>
          </w:p>
        </w:tc>
        <w:tc>
          <w:tcPr>
            <w:tcW w:w="1088" w:type="dxa"/>
            <w:noWrap/>
            <w:hideMark/>
          </w:tcPr>
          <w:p w14:paraId="43636DE5" w14:textId="4FE43F4D" w:rsidR="00513E08" w:rsidRPr="0023522D" w:rsidRDefault="007B7FCE" w:rsidP="00801AB0">
            <w:pPr>
              <w:spacing w:after="0"/>
              <w:jc w:val="right"/>
              <w:rPr>
                <w:sz w:val="22"/>
                <w:szCs w:val="22"/>
              </w:rPr>
            </w:pPr>
            <w:r>
              <w:rPr>
                <w:sz w:val="22"/>
                <w:szCs w:val="22"/>
              </w:rPr>
              <w:t>17,3</w:t>
            </w:r>
          </w:p>
        </w:tc>
        <w:tc>
          <w:tcPr>
            <w:tcW w:w="1088" w:type="dxa"/>
            <w:noWrap/>
            <w:hideMark/>
          </w:tcPr>
          <w:p w14:paraId="587BB4D2" w14:textId="0272B13E" w:rsidR="00513E08" w:rsidRPr="0023522D" w:rsidRDefault="007B7FCE" w:rsidP="00801AB0">
            <w:pPr>
              <w:spacing w:after="0"/>
              <w:jc w:val="right"/>
              <w:rPr>
                <w:sz w:val="22"/>
                <w:szCs w:val="22"/>
              </w:rPr>
            </w:pPr>
            <w:r>
              <w:rPr>
                <w:sz w:val="22"/>
                <w:szCs w:val="22"/>
              </w:rPr>
              <w:t>19,5</w:t>
            </w:r>
          </w:p>
        </w:tc>
        <w:tc>
          <w:tcPr>
            <w:tcW w:w="1088" w:type="dxa"/>
            <w:noWrap/>
            <w:hideMark/>
          </w:tcPr>
          <w:p w14:paraId="1CD4B2D5" w14:textId="5FABBCE0" w:rsidR="00513E08" w:rsidRPr="0023522D" w:rsidRDefault="007B7FCE" w:rsidP="00801AB0">
            <w:pPr>
              <w:spacing w:after="0"/>
              <w:jc w:val="right"/>
              <w:rPr>
                <w:sz w:val="22"/>
                <w:szCs w:val="22"/>
              </w:rPr>
            </w:pPr>
            <w:r>
              <w:rPr>
                <w:sz w:val="22"/>
                <w:szCs w:val="22"/>
              </w:rPr>
              <w:t>23,8</w:t>
            </w:r>
          </w:p>
        </w:tc>
        <w:tc>
          <w:tcPr>
            <w:tcW w:w="1088" w:type="dxa"/>
            <w:noWrap/>
            <w:hideMark/>
          </w:tcPr>
          <w:p w14:paraId="26DD675A" w14:textId="7C1A8732" w:rsidR="00513E08" w:rsidRPr="0023522D" w:rsidRDefault="007B7FCE" w:rsidP="00801AB0">
            <w:pPr>
              <w:spacing w:after="0"/>
              <w:jc w:val="right"/>
              <w:rPr>
                <w:sz w:val="22"/>
                <w:szCs w:val="22"/>
              </w:rPr>
            </w:pPr>
            <w:r>
              <w:rPr>
                <w:sz w:val="22"/>
                <w:szCs w:val="22"/>
              </w:rPr>
              <w:t>29,4</w:t>
            </w:r>
          </w:p>
        </w:tc>
      </w:tr>
      <w:tr w:rsidR="00513E08" w:rsidRPr="00193D40" w14:paraId="1F16F767" w14:textId="77777777" w:rsidTr="63259912">
        <w:trPr>
          <w:trHeight w:val="321"/>
        </w:trPr>
        <w:tc>
          <w:tcPr>
            <w:tcW w:w="3198" w:type="dxa"/>
            <w:noWrap/>
            <w:hideMark/>
          </w:tcPr>
          <w:p w14:paraId="2CB3C953" w14:textId="77777777" w:rsidR="00513E08" w:rsidRPr="0023522D" w:rsidRDefault="00513E08" w:rsidP="63259912">
            <w:pPr>
              <w:spacing w:after="0"/>
              <w:rPr>
                <w:sz w:val="22"/>
                <w:szCs w:val="22"/>
              </w:rPr>
            </w:pPr>
            <w:r w:rsidRPr="63259912">
              <w:rPr>
                <w:sz w:val="22"/>
                <w:szCs w:val="22"/>
              </w:rPr>
              <w:t>BDP per capita, indeks 2021. = 100</w:t>
            </w:r>
          </w:p>
        </w:tc>
        <w:tc>
          <w:tcPr>
            <w:tcW w:w="1087" w:type="dxa"/>
            <w:noWrap/>
            <w:hideMark/>
          </w:tcPr>
          <w:p w14:paraId="083F4268" w14:textId="77777777" w:rsidR="00513E08" w:rsidRPr="0023522D" w:rsidRDefault="00513E08" w:rsidP="00801AB0">
            <w:pPr>
              <w:spacing w:after="0"/>
              <w:jc w:val="right"/>
              <w:rPr>
                <w:sz w:val="22"/>
                <w:szCs w:val="22"/>
              </w:rPr>
            </w:pPr>
            <w:r w:rsidRPr="0023522D">
              <w:rPr>
                <w:sz w:val="22"/>
                <w:szCs w:val="22"/>
              </w:rPr>
              <w:t>100</w:t>
            </w:r>
          </w:p>
        </w:tc>
        <w:tc>
          <w:tcPr>
            <w:tcW w:w="1088" w:type="dxa"/>
            <w:noWrap/>
            <w:hideMark/>
          </w:tcPr>
          <w:p w14:paraId="7DE34DAB" w14:textId="2A65B200" w:rsidR="00513E08" w:rsidRPr="0023522D" w:rsidRDefault="007B7FCE" w:rsidP="00801AB0">
            <w:pPr>
              <w:spacing w:after="0"/>
              <w:jc w:val="right"/>
              <w:rPr>
                <w:sz w:val="22"/>
                <w:szCs w:val="22"/>
              </w:rPr>
            </w:pPr>
            <w:r>
              <w:rPr>
                <w:sz w:val="22"/>
                <w:szCs w:val="22"/>
              </w:rPr>
              <w:t>117,3</w:t>
            </w:r>
          </w:p>
        </w:tc>
        <w:tc>
          <w:tcPr>
            <w:tcW w:w="1088" w:type="dxa"/>
            <w:noWrap/>
            <w:hideMark/>
          </w:tcPr>
          <w:p w14:paraId="14279AAD" w14:textId="31D3AC0A" w:rsidR="00513E08" w:rsidRPr="0023522D" w:rsidRDefault="007B7FCE" w:rsidP="00801AB0">
            <w:pPr>
              <w:spacing w:after="0"/>
              <w:jc w:val="right"/>
              <w:rPr>
                <w:sz w:val="22"/>
                <w:szCs w:val="22"/>
              </w:rPr>
            </w:pPr>
            <w:r>
              <w:rPr>
                <w:sz w:val="22"/>
                <w:szCs w:val="22"/>
              </w:rPr>
              <w:t>132,0</w:t>
            </w:r>
          </w:p>
        </w:tc>
        <w:tc>
          <w:tcPr>
            <w:tcW w:w="1088" w:type="dxa"/>
            <w:noWrap/>
            <w:hideMark/>
          </w:tcPr>
          <w:p w14:paraId="4E659492" w14:textId="2396F1E9" w:rsidR="00513E08" w:rsidRPr="0023522D" w:rsidRDefault="007B7FCE" w:rsidP="00801AB0">
            <w:pPr>
              <w:spacing w:after="0"/>
              <w:jc w:val="right"/>
              <w:rPr>
                <w:sz w:val="22"/>
                <w:szCs w:val="22"/>
              </w:rPr>
            </w:pPr>
            <w:r>
              <w:rPr>
                <w:sz w:val="22"/>
                <w:szCs w:val="22"/>
              </w:rPr>
              <w:t>161,1</w:t>
            </w:r>
          </w:p>
        </w:tc>
        <w:tc>
          <w:tcPr>
            <w:tcW w:w="1088" w:type="dxa"/>
            <w:noWrap/>
            <w:hideMark/>
          </w:tcPr>
          <w:p w14:paraId="2A0187F2" w14:textId="3F1812E0" w:rsidR="00513E08" w:rsidRPr="0023522D" w:rsidRDefault="007B7FCE" w:rsidP="00801AB0">
            <w:pPr>
              <w:spacing w:after="0"/>
              <w:jc w:val="right"/>
              <w:rPr>
                <w:sz w:val="22"/>
                <w:szCs w:val="22"/>
              </w:rPr>
            </w:pPr>
            <w:r>
              <w:rPr>
                <w:sz w:val="22"/>
                <w:szCs w:val="22"/>
              </w:rPr>
              <w:t>198,6</w:t>
            </w:r>
          </w:p>
        </w:tc>
      </w:tr>
      <w:tr w:rsidR="00513E08" w:rsidRPr="00193D40" w14:paraId="793CF781" w14:textId="77777777" w:rsidTr="63259912">
        <w:trPr>
          <w:trHeight w:val="321"/>
        </w:trPr>
        <w:tc>
          <w:tcPr>
            <w:tcW w:w="3198" w:type="dxa"/>
            <w:noWrap/>
            <w:hideMark/>
          </w:tcPr>
          <w:p w14:paraId="19D4554F" w14:textId="77777777" w:rsidR="00513E08" w:rsidRPr="0023522D" w:rsidRDefault="00513E08" w:rsidP="00193D40">
            <w:pPr>
              <w:spacing w:after="0"/>
              <w:rPr>
                <w:sz w:val="22"/>
                <w:szCs w:val="22"/>
              </w:rPr>
            </w:pPr>
            <w:r w:rsidRPr="0023522D">
              <w:rPr>
                <w:sz w:val="22"/>
                <w:szCs w:val="22"/>
              </w:rPr>
              <w:t>Broj stanovnika, u milijunima</w:t>
            </w:r>
          </w:p>
        </w:tc>
        <w:tc>
          <w:tcPr>
            <w:tcW w:w="1087" w:type="dxa"/>
            <w:noWrap/>
            <w:hideMark/>
          </w:tcPr>
          <w:p w14:paraId="01D96689" w14:textId="77777777" w:rsidR="00513E08" w:rsidRPr="0023522D" w:rsidRDefault="00513E08" w:rsidP="00801AB0">
            <w:pPr>
              <w:spacing w:after="0"/>
              <w:jc w:val="right"/>
              <w:rPr>
                <w:sz w:val="22"/>
                <w:szCs w:val="22"/>
              </w:rPr>
            </w:pPr>
            <w:r w:rsidRPr="0023522D">
              <w:rPr>
                <w:sz w:val="22"/>
                <w:szCs w:val="22"/>
              </w:rPr>
              <w:t>3,87</w:t>
            </w:r>
          </w:p>
        </w:tc>
        <w:tc>
          <w:tcPr>
            <w:tcW w:w="1088" w:type="dxa"/>
            <w:noWrap/>
            <w:hideMark/>
          </w:tcPr>
          <w:p w14:paraId="0C3F370B" w14:textId="495D5999" w:rsidR="00513E08" w:rsidRPr="0023522D" w:rsidRDefault="00513E08" w:rsidP="00801AB0">
            <w:pPr>
              <w:spacing w:after="0"/>
              <w:jc w:val="right"/>
              <w:rPr>
                <w:sz w:val="22"/>
                <w:szCs w:val="22"/>
              </w:rPr>
            </w:pPr>
            <w:r w:rsidRPr="0023522D">
              <w:rPr>
                <w:sz w:val="22"/>
                <w:szCs w:val="22"/>
              </w:rPr>
              <w:t>3,8</w:t>
            </w:r>
            <w:r w:rsidR="00983DB9">
              <w:rPr>
                <w:sz w:val="22"/>
                <w:szCs w:val="22"/>
              </w:rPr>
              <w:t>0</w:t>
            </w:r>
          </w:p>
        </w:tc>
        <w:tc>
          <w:tcPr>
            <w:tcW w:w="1088" w:type="dxa"/>
            <w:noWrap/>
            <w:hideMark/>
          </w:tcPr>
          <w:p w14:paraId="702F46FC" w14:textId="1D431382" w:rsidR="00513E08" w:rsidRPr="0023522D" w:rsidRDefault="00513E08" w:rsidP="00801AB0">
            <w:pPr>
              <w:spacing w:after="0"/>
              <w:jc w:val="right"/>
              <w:rPr>
                <w:sz w:val="22"/>
                <w:szCs w:val="22"/>
              </w:rPr>
            </w:pPr>
            <w:r w:rsidRPr="0023522D">
              <w:rPr>
                <w:sz w:val="22"/>
                <w:szCs w:val="22"/>
              </w:rPr>
              <w:t>3,</w:t>
            </w:r>
            <w:r w:rsidR="00983DB9">
              <w:rPr>
                <w:sz w:val="22"/>
                <w:szCs w:val="22"/>
              </w:rPr>
              <w:t>68</w:t>
            </w:r>
          </w:p>
        </w:tc>
        <w:tc>
          <w:tcPr>
            <w:tcW w:w="1088" w:type="dxa"/>
            <w:noWrap/>
            <w:hideMark/>
          </w:tcPr>
          <w:p w14:paraId="60C325E6" w14:textId="31501C4C" w:rsidR="00513E08" w:rsidRPr="0023522D" w:rsidRDefault="00513E08" w:rsidP="00801AB0">
            <w:pPr>
              <w:spacing w:after="0"/>
              <w:jc w:val="right"/>
              <w:rPr>
                <w:sz w:val="22"/>
                <w:szCs w:val="22"/>
              </w:rPr>
            </w:pPr>
            <w:r w:rsidRPr="0023522D">
              <w:rPr>
                <w:sz w:val="22"/>
                <w:szCs w:val="22"/>
              </w:rPr>
              <w:t>3,</w:t>
            </w:r>
            <w:r w:rsidR="00E308C2">
              <w:rPr>
                <w:sz w:val="22"/>
                <w:szCs w:val="22"/>
              </w:rPr>
              <w:t>49</w:t>
            </w:r>
          </w:p>
        </w:tc>
        <w:tc>
          <w:tcPr>
            <w:tcW w:w="1088" w:type="dxa"/>
            <w:noWrap/>
            <w:hideMark/>
          </w:tcPr>
          <w:p w14:paraId="3991DCEB" w14:textId="695A60AE" w:rsidR="00513E08" w:rsidRPr="0023522D" w:rsidRDefault="00513E08" w:rsidP="00801AB0">
            <w:pPr>
              <w:spacing w:after="0"/>
              <w:jc w:val="right"/>
              <w:rPr>
                <w:sz w:val="22"/>
                <w:szCs w:val="22"/>
              </w:rPr>
            </w:pPr>
            <w:r w:rsidRPr="0023522D">
              <w:rPr>
                <w:sz w:val="22"/>
                <w:szCs w:val="22"/>
              </w:rPr>
              <w:t>3,3</w:t>
            </w:r>
            <w:r w:rsidR="00E308C2">
              <w:rPr>
                <w:sz w:val="22"/>
                <w:szCs w:val="22"/>
              </w:rPr>
              <w:t>0</w:t>
            </w:r>
          </w:p>
        </w:tc>
      </w:tr>
    </w:tbl>
    <w:p w14:paraId="6E383412" w14:textId="315C7B80" w:rsidR="00413754" w:rsidRDefault="00B741D5" w:rsidP="004623DD">
      <w:pPr>
        <w:rPr>
          <w:i/>
          <w:iCs/>
        </w:rPr>
      </w:pPr>
      <w:r w:rsidRPr="00801AB0">
        <w:rPr>
          <w:i/>
          <w:iCs/>
        </w:rPr>
        <w:t>Izvor: HNB</w:t>
      </w:r>
      <w:r w:rsidR="00697865" w:rsidRPr="00801AB0">
        <w:rPr>
          <w:i/>
          <w:iCs/>
        </w:rPr>
        <w:t xml:space="preserve"> i Eurostat</w:t>
      </w:r>
    </w:p>
    <w:p w14:paraId="7FC66AE9" w14:textId="77777777" w:rsidR="00801AB0" w:rsidRPr="00801AB0" w:rsidRDefault="00801AB0" w:rsidP="004623DD">
      <w:pPr>
        <w:rPr>
          <w:i/>
          <w:iCs/>
        </w:rPr>
      </w:pPr>
    </w:p>
    <w:p w14:paraId="50ADF093" w14:textId="6AA9F12C" w:rsidR="003F7DEA" w:rsidRPr="00B47BDA" w:rsidRDefault="003204EE" w:rsidP="004623DD">
      <w:r w:rsidRPr="00B47BDA">
        <w:t>Projekcija kretanja BDP-a i gospodarske strukture temelji se na uočenim dosadašnjim trendovima u kretanju BDP-a</w:t>
      </w:r>
      <w:r w:rsidRPr="00B47BDA" w:rsidDel="00CF464E">
        <w:t xml:space="preserve">, </w:t>
      </w:r>
      <w:r w:rsidRPr="00B47BDA">
        <w:t>demografskim projekcijama i zatečenoj strukturi gospodarstva.</w:t>
      </w:r>
    </w:p>
    <w:p w14:paraId="192D3F43" w14:textId="7A78C8D6" w:rsidR="003204EE" w:rsidRPr="00B47BDA" w:rsidRDefault="003F7DEA" w:rsidP="004623DD">
      <w:r w:rsidRPr="00B47BDA">
        <w:br w:type="page"/>
      </w:r>
    </w:p>
    <w:p w14:paraId="5DE9AE2D" w14:textId="41D5D4C4" w:rsidR="00F04EAC" w:rsidRPr="00B47BDA" w:rsidRDefault="00F04EAC" w:rsidP="005C2C7E">
      <w:pPr>
        <w:pStyle w:val="Heading4"/>
        <w:numPr>
          <w:ilvl w:val="3"/>
          <w:numId w:val="175"/>
        </w:numPr>
        <w:ind w:hanging="580"/>
      </w:pPr>
      <w:r w:rsidRPr="00B47BDA">
        <w:lastRenderedPageBreak/>
        <w:t>Sektorske promjene za koje se očekuje da će utjecati na energetski sustav i emisije stakleničkih plinova</w:t>
      </w:r>
    </w:p>
    <w:p w14:paraId="01396C74" w14:textId="77777777" w:rsidR="00875736" w:rsidRPr="0023522D" w:rsidRDefault="00C45761" w:rsidP="63259912">
      <w:pPr>
        <w:rPr>
          <w:rFonts w:cs="Calibri"/>
        </w:rPr>
      </w:pPr>
      <w:r w:rsidRPr="63259912">
        <w:rPr>
          <w:rFonts w:cs="Calibri"/>
        </w:rPr>
        <w:t xml:space="preserve">Projekcija neposredne potrošnje svih oblika energije izrađena je korištenjem pristupa „odozdo prema gore“ (engl. </w:t>
      </w:r>
      <w:r w:rsidRPr="63259912">
        <w:rPr>
          <w:rFonts w:cs="Calibri"/>
          <w:i/>
          <w:iCs/>
        </w:rPr>
        <w:t>bottom-up</w:t>
      </w:r>
      <w:r w:rsidRPr="63259912">
        <w:rPr>
          <w:rFonts w:cs="Calibri"/>
        </w:rPr>
        <w:t>) koji omogućava sagledavanje strukturnih promjena na strani korištenja energije u različitim sektorima (npr. industrija, kućanstva, uslužni sektor, promet), a koje su nužne za ostvarenje ciljeva ublažavanja klimatskih promjena.</w:t>
      </w:r>
    </w:p>
    <w:p w14:paraId="5AC86EA8" w14:textId="7C1C3538" w:rsidR="00875736" w:rsidRPr="0023522D" w:rsidRDefault="00673FA8" w:rsidP="63259912">
      <w:pPr>
        <w:rPr>
          <w:rFonts w:cs="Calibri"/>
          <w:highlight w:val="yellow"/>
        </w:rPr>
      </w:pPr>
      <w:r w:rsidRPr="63259912">
        <w:rPr>
          <w:rFonts w:cs="Calibri"/>
        </w:rPr>
        <w:t xml:space="preserve">Za analizu neposredne potrošnje energije </w:t>
      </w:r>
      <w:r w:rsidR="00C75E4C" w:rsidRPr="63259912">
        <w:rPr>
          <w:rFonts w:cs="Calibri"/>
        </w:rPr>
        <w:t>korišten je softverski alat LEAP (The Low Emissions Analysis Platform</w:t>
      </w:r>
      <w:r w:rsidR="002F58F8" w:rsidRPr="63259912">
        <w:rPr>
          <w:rStyle w:val="FootnoteReference"/>
          <w:rFonts w:ascii="Calibri" w:hAnsi="Calibri" w:cs="Calibri"/>
          <w:sz w:val="24"/>
        </w:rPr>
        <w:footnoteReference w:id="34"/>
      </w:r>
      <w:r w:rsidR="00C75E4C" w:rsidRPr="63259912">
        <w:rPr>
          <w:rFonts w:cs="Calibri"/>
        </w:rPr>
        <w:t>). LEAP je kompleksan i svestran softverski sustav za integrirano energetsko planiranje i procjenu ublažavanja klimatskih promjena, razvijen u Stockholmskom institutu za okoliš (SEI - Stockholm Environment Institute).</w:t>
      </w:r>
      <w:r w:rsidR="00812652" w:rsidRPr="63259912">
        <w:rPr>
          <w:rFonts w:cs="Calibri"/>
        </w:rPr>
        <w:t xml:space="preserve"> LEAP podržava širok raspon različitih metodologija modeliranja: na strani potrošnje energije moguće je primijeniti tehnike „bottom-up“ modeliranja, „end-use“ potrošnje ili pak makroekonomskog „top-down“ modeliranja. U ovoj studiji primijenjena je tehnika „</w:t>
      </w:r>
      <w:r w:rsidR="00812652" w:rsidRPr="63259912">
        <w:rPr>
          <w:rFonts w:cs="Calibri"/>
          <w:b/>
          <w:bCs/>
        </w:rPr>
        <w:t>end-use</w:t>
      </w:r>
      <w:r w:rsidR="00812652" w:rsidRPr="63259912">
        <w:rPr>
          <w:rFonts w:cs="Calibri"/>
        </w:rPr>
        <w:t xml:space="preserve">“ modeliranja na način da je za svaki sektor i podsektor određena trenutna i buduća potreba za korisnom energijom prema namjenama, a zatim su uz primjenu odgovarajućih učinkovitosti tehnologija i predviđenih zastupljenosti energenata izračunate </w:t>
      </w:r>
      <w:r w:rsidR="0090428C" w:rsidRPr="63259912">
        <w:rPr>
          <w:rFonts w:cs="Calibri"/>
        </w:rPr>
        <w:t>neposredne</w:t>
      </w:r>
      <w:r w:rsidR="00812652" w:rsidRPr="63259912">
        <w:rPr>
          <w:rFonts w:cs="Calibri"/>
        </w:rPr>
        <w:t xml:space="preserve"> potrošnje energije.</w:t>
      </w:r>
    </w:p>
    <w:p w14:paraId="1C00471D" w14:textId="35B49A8D" w:rsidR="001424F6" w:rsidRPr="0023522D" w:rsidRDefault="097E276A" w:rsidP="00D43D29">
      <w:pPr>
        <w:rPr>
          <w:rFonts w:cs="Calibri"/>
        </w:rPr>
      </w:pPr>
      <w:r w:rsidRPr="0023522D">
        <w:rPr>
          <w:rFonts w:cs="Calibri"/>
        </w:rPr>
        <w:t>LEAP alat je koncipiran tako da omogućuje scenarijske analize na temelju kojih kreatori politike mogu određivati, a zatim i procijeniti alternativne scenarije uspoređujući energetske potrebe, njihove društvene troškove i koristi te njihove utjecaje na okoliš. U alatu LEAP postoji mogućnost opisivanja pojedinačnih mjera politike koje se zatim mogu kombinirati u različitim kombinacijama i permutacijama u alternativne integrirane scenarije. Ovaj pristup omogućuje kreatorima politike da procijene učinak pojedinačne politike, kao i interakcije do kojih dolazi kada se kombiniraju više politika i mjera. Na primjer, učinci mjere poboljšanja toplinske izolacije nekog objekta u kombinaciji mjerom zamjene primarnog energenta (tehnologije za grijanje prostora) mogu biti manje od zbroja učinaka tih dviju mjera ako bi se razmatrale zasebno.</w:t>
      </w:r>
    </w:p>
    <w:p w14:paraId="77182E0A" w14:textId="6A384989" w:rsidR="005E5608" w:rsidRPr="0023522D" w:rsidRDefault="005E5608" w:rsidP="00D43D29">
      <w:pPr>
        <w:rPr>
          <w:rFonts w:cs="Calibri"/>
        </w:rPr>
      </w:pPr>
      <w:r w:rsidRPr="0023522D">
        <w:rPr>
          <w:rFonts w:cs="Calibri"/>
        </w:rPr>
        <w:t xml:space="preserve">U energetskom modelu izrađenom za potrebe ovog dokumenta </w:t>
      </w:r>
      <w:r w:rsidR="003D3E2D" w:rsidRPr="0023522D">
        <w:rPr>
          <w:rFonts w:cs="Calibri"/>
        </w:rPr>
        <w:t xml:space="preserve">definirana su dva scenarija. Prvi, </w:t>
      </w:r>
      <w:r w:rsidR="003D3E2D" w:rsidRPr="0023522D">
        <w:rPr>
          <w:rFonts w:cs="Calibri"/>
          <w:b/>
        </w:rPr>
        <w:t>Scenarij s postojećim mjerama (WEM)</w:t>
      </w:r>
      <w:r w:rsidR="003D3E2D" w:rsidRPr="0023522D">
        <w:rPr>
          <w:rFonts w:cs="Calibri"/>
        </w:rPr>
        <w:t xml:space="preserve">, predstavlja buduća kretanja energetskih tokova u skladu s očekivanim poboljšanjima tehnologije i strukturnim promjenama u potrošnji i proizvodnji energije pokretanim uglavnom tržišnim načelima te bez aktivne uloge Republike Hrvatske u oblikovanju i provedbi energetsko-klimatskih mjera. Drugi, </w:t>
      </w:r>
      <w:r w:rsidR="003D3E2D" w:rsidRPr="0023522D">
        <w:rPr>
          <w:rFonts w:cs="Calibri"/>
          <w:b/>
        </w:rPr>
        <w:t>Scenarij s dodatnim mjerama (WAM)</w:t>
      </w:r>
      <w:r w:rsidR="003D3E2D" w:rsidRPr="0023522D">
        <w:rPr>
          <w:rFonts w:cs="Calibri"/>
        </w:rPr>
        <w:t xml:space="preserve">, pretpostavlja provedbu aktivne politike kao potpore energetskoj tranziciji. To podrazumijeva </w:t>
      </w:r>
      <w:r w:rsidR="00423D78" w:rsidRPr="0023522D">
        <w:rPr>
          <w:rFonts w:cs="Calibri"/>
        </w:rPr>
        <w:t>provedbu mjera razrađenih u ovom dokumentu.</w:t>
      </w:r>
    </w:p>
    <w:p w14:paraId="186320CF" w14:textId="77777777" w:rsidR="00C45761" w:rsidRPr="0023522D" w:rsidRDefault="00C45761" w:rsidP="00D43D29">
      <w:pPr>
        <w:rPr>
          <w:rFonts w:cs="Calibri"/>
        </w:rPr>
      </w:pPr>
      <w:r w:rsidRPr="0023522D">
        <w:rPr>
          <w:rFonts w:cs="Calibri"/>
        </w:rPr>
        <w:t>Glavne odrednice promjena u energetskom sektoru primijenjene u izradi projekcija neposredne potrošnje svih oblika energije su sljedeće:</w:t>
      </w:r>
    </w:p>
    <w:p w14:paraId="2DEE5F1F" w14:textId="77777777" w:rsidR="00C45761" w:rsidRPr="00B47BDA" w:rsidRDefault="00C45761" w:rsidP="002D6646">
      <w:pPr>
        <w:pStyle w:val="ListParagraph"/>
        <w:numPr>
          <w:ilvl w:val="0"/>
          <w:numId w:val="38"/>
        </w:numPr>
        <w:spacing w:after="60"/>
        <w:ind w:left="357" w:hanging="357"/>
      </w:pPr>
      <w:r w:rsidRPr="00B47BDA">
        <w:lastRenderedPageBreak/>
        <w:t>povećanje energetske učinkovitosti u svim dijelovima energetskog lanca (proizvodnja, transport/prijenos, distribucija i potrošnja svih oblika energije) te primjena načela energetska učinkovitost na prvom mjestu;</w:t>
      </w:r>
    </w:p>
    <w:p w14:paraId="2CC3EB66" w14:textId="77777777" w:rsidR="00C45761" w:rsidRPr="00B47BDA" w:rsidRDefault="00C45761" w:rsidP="002D6646">
      <w:pPr>
        <w:pStyle w:val="ListParagraph"/>
        <w:numPr>
          <w:ilvl w:val="0"/>
          <w:numId w:val="38"/>
        </w:numPr>
        <w:spacing w:after="60"/>
        <w:ind w:left="357" w:hanging="357"/>
      </w:pPr>
      <w:r w:rsidRPr="00B47BDA">
        <w:t>prelazak što većeg broja aktivnosti na korištenje električne energije (gdje je to tehnološki moguće i dugoročno troškovno održivo);</w:t>
      </w:r>
    </w:p>
    <w:p w14:paraId="732A784D" w14:textId="0CF971BF" w:rsidR="00C45761" w:rsidRPr="00B47BDA" w:rsidRDefault="00C45761" w:rsidP="002D6646">
      <w:pPr>
        <w:pStyle w:val="ListParagraph"/>
        <w:numPr>
          <w:ilvl w:val="0"/>
          <w:numId w:val="38"/>
        </w:numPr>
        <w:spacing w:after="60"/>
        <w:ind w:left="357" w:hanging="357"/>
      </w:pPr>
      <w:r w:rsidRPr="00B47BDA">
        <w:t>sve veća isplativost ulaganja u tehnologije korištenja OIE, uslijed očekivanog pada cijena tih tehnologija i porasta cijena emi</w:t>
      </w:r>
      <w:r w:rsidR="00907213" w:rsidRPr="00B47BDA">
        <w:t>sijs</w:t>
      </w:r>
      <w:r w:rsidRPr="00B47BDA">
        <w:t xml:space="preserve">kih </w:t>
      </w:r>
      <w:r w:rsidR="66CA9E3B">
        <w:t>jedinica</w:t>
      </w:r>
      <w:r w:rsidRPr="00B47BDA">
        <w:t>.</w:t>
      </w:r>
    </w:p>
    <w:p w14:paraId="4EC6256C" w14:textId="77777777" w:rsidR="00AB2C91" w:rsidRPr="00B47BDA" w:rsidRDefault="00C45761" w:rsidP="00D43D29">
      <w:r w:rsidRPr="00B47BDA">
        <w:t>Osim sektorski specifičnih mjera, analizirani scenarij razvoja energetskog sektora uzima u obzir i učinke regulatornih mjera, koje će imati međusektorske učinke. U prvom redu se ovo odnosi na uspostavu funkcionalnog sustava obveza energetske učinkovitosti za opskrbljivače energijom u skladu s člankom 7. Direktive 2012/27/EU o energetskoj učinkovitosti</w:t>
      </w:r>
      <w:r w:rsidR="00AB2C91" w:rsidRPr="00B47BDA">
        <w:t>.</w:t>
      </w:r>
    </w:p>
    <w:p w14:paraId="1CFE1B68" w14:textId="6B794B70" w:rsidR="00C45761" w:rsidRPr="00B47BDA" w:rsidRDefault="00C45761" w:rsidP="00D43D29">
      <w:r w:rsidRPr="63259912">
        <w:t>Dodatno, na strani proizvodnje energije također se očekuje povećanje učinkovitosti transformacije energije izgradnjom novih kogeneracijskih postrojenja i plinskih termoelektrana (TE) s većim stupnjem korisnog djelovanja te povećanje udjela OIE. Na strani prijenosa i distribucije električne i toplinske energije očekuje se daljnje smanjenje gubitaka na razinu razvijenih energetskih sustava do 2030. godine.</w:t>
      </w:r>
    </w:p>
    <w:p w14:paraId="68479BF5" w14:textId="691FEF24" w:rsidR="00A45204" w:rsidRPr="00B47BDA" w:rsidRDefault="00A45204" w:rsidP="00D43D29">
      <w:r w:rsidRPr="00B47BDA">
        <w:t>Procjena buduće</w:t>
      </w:r>
      <w:r w:rsidR="00C45761" w:rsidRPr="00B47BDA">
        <w:t xml:space="preserve"> potrošnje energije </w:t>
      </w:r>
      <w:r w:rsidRPr="00B47BDA">
        <w:t>uzima</w:t>
      </w:r>
      <w:r w:rsidR="00C45761" w:rsidRPr="00B47BDA">
        <w:t xml:space="preserve"> u obzir </w:t>
      </w:r>
      <w:r w:rsidRPr="00B47BDA">
        <w:t>utjecaj</w:t>
      </w:r>
      <w:r w:rsidR="00C45761" w:rsidRPr="00B47BDA">
        <w:t xml:space="preserve"> očekivanih klimatskih promjena na načine i dinamiku potrošnje različitih </w:t>
      </w:r>
      <w:r w:rsidRPr="00B47BDA">
        <w:t>vrsta</w:t>
      </w:r>
      <w:r w:rsidR="00C45761" w:rsidRPr="00B47BDA">
        <w:t xml:space="preserve"> energije</w:t>
      </w:r>
      <w:r w:rsidRPr="00B47BDA">
        <w:t>. Na primjer, očekivane</w:t>
      </w:r>
      <w:r w:rsidR="00C45761" w:rsidRPr="00B47BDA">
        <w:t xml:space="preserve"> promjene u </w:t>
      </w:r>
      <w:r w:rsidRPr="00B47BDA">
        <w:t>temperaturi i vremenskim uvjetima mogu utjecati na korištenje energije za grijanje i hlađenje prostora te na sezonsku potrošnju energije.</w:t>
      </w:r>
    </w:p>
    <w:p w14:paraId="04E55B6E" w14:textId="728DBFC1" w:rsidR="00AD7825" w:rsidRPr="00B47BDA" w:rsidRDefault="00C45761" w:rsidP="00D43D29">
      <w:r w:rsidRPr="00B47BDA">
        <w:t xml:space="preserve">Potrošnja energije i pokretački parametri (npr. broj i struktura stanovnika, struktura BDP- a i dr.) </w:t>
      </w:r>
      <w:r w:rsidR="73052D48" w:rsidRPr="00B47BDA">
        <w:t xml:space="preserve">obrađeni su </w:t>
      </w:r>
      <w:r w:rsidR="3E8D7D39" w:rsidRPr="00B47BDA">
        <w:t>na razini države.</w:t>
      </w:r>
    </w:p>
    <w:p w14:paraId="2D26454D" w14:textId="43600AEC" w:rsidR="00C45761" w:rsidRPr="00B47BDA" w:rsidRDefault="00C45761" w:rsidP="00D43D29">
      <w:r w:rsidRPr="00B47BDA">
        <w:t>Polazeći od raspoloživosti lokalnih resursa i izvora primarnih oblika energije, analizirana je mogućnosti zadovoljenja potreba svim oblicima energije (npr. toplinska, električna, prirodni plin, biomasa i dr.). Za umrežene sustave (npr. električna energija, prirodni plin) provedena je analiza i optimizacija rada i razvoja sustava proizvodnje, prijenosa/transporta i distribucije energije do krajnjih korisnika po načelu minimalnog troška</w:t>
      </w:r>
      <w:r w:rsidR="0021452B" w:rsidRPr="00B47BDA">
        <w:t xml:space="preserve"> sustava</w:t>
      </w:r>
      <w:r w:rsidRPr="00B47BDA">
        <w:t xml:space="preserve">, a uzimajući u obzir ograničenja utjecaja na okoliš (uključivo emisije stakleničkih plinova), strateške odrednice u dijelu sigurnosti opskrbe energijom i utjecaj sudjelovanja u radu regionalnog tržišta (moguća suradnja u iskorištenju regionalnog energetskog potencijala i dijeljenje infrastrukture). Uzeti su u obzir raspoloživost i stanje postojeće energetske infrastrukture, potrebna zamjena elemenata i izgradnja novih elemenata sustava (npr. elektrane, dalekovodi, cjevovodi i dr.). </w:t>
      </w:r>
    </w:p>
    <w:p w14:paraId="303D6095" w14:textId="1E24439F" w:rsidR="00C45761" w:rsidRPr="00B47BDA" w:rsidRDefault="00C45761" w:rsidP="00D43D29">
      <w:r w:rsidRPr="00B47BDA">
        <w:t xml:space="preserve">Korišten je model </w:t>
      </w:r>
      <w:r w:rsidR="0021452B" w:rsidRPr="00B47BDA">
        <w:t>PLEXOS</w:t>
      </w:r>
      <w:r w:rsidRPr="00B47BDA">
        <w:t xml:space="preserve"> za </w:t>
      </w:r>
      <w:r w:rsidR="0021452B" w:rsidRPr="00B47BDA">
        <w:t>dugoročni optimalni plan izgradnje te</w:t>
      </w:r>
      <w:r w:rsidRPr="00B47BDA">
        <w:t xml:space="preserve"> optimizaciju sustava električne energije i centraliziranih toplinskih sustava (u dijelu proizvodnje toplinske energije)</w:t>
      </w:r>
      <w:r w:rsidR="0021452B" w:rsidRPr="00B47BDA">
        <w:t xml:space="preserve"> te </w:t>
      </w:r>
      <w:r w:rsidRPr="00B47BDA">
        <w:t>za analizu/potvrdu ostvarivosti rada EES-a na satnoj razini u odabranim karakterističnim godinama.</w:t>
      </w:r>
    </w:p>
    <w:p w14:paraId="2CC43C3A" w14:textId="0E86374C" w:rsidR="001D4726" w:rsidRPr="00B47BDA" w:rsidRDefault="001D4726" w:rsidP="005C2C7E">
      <w:pPr>
        <w:pStyle w:val="Heading4"/>
        <w:numPr>
          <w:ilvl w:val="3"/>
          <w:numId w:val="175"/>
        </w:numPr>
        <w:ind w:hanging="580"/>
      </w:pPr>
      <w:r w:rsidRPr="00B47BDA">
        <w:lastRenderedPageBreak/>
        <w:t>Globalni energetski trendovi, međunarodne cijene fosilnih goriva, cijena ugljika u okviru sustava EU-a za trgovanje emisijama</w:t>
      </w:r>
    </w:p>
    <w:p w14:paraId="7B65235E" w14:textId="533E0C64" w:rsidR="000E746E" w:rsidRPr="004E5994" w:rsidRDefault="000E746E" w:rsidP="63259912">
      <w:pPr>
        <w:rPr>
          <w:rFonts w:cs="Calibri"/>
        </w:rPr>
      </w:pPr>
      <w:r w:rsidRPr="63259912">
        <w:rPr>
          <w:rFonts w:cs="Calibri"/>
        </w:rPr>
        <w:t>U analizi opcija op</w:t>
      </w:r>
      <w:r w:rsidR="00B8309A" w:rsidRPr="63259912">
        <w:rPr>
          <w:rFonts w:cs="Calibri"/>
        </w:rPr>
        <w:t>sk</w:t>
      </w:r>
      <w:r w:rsidRPr="63259912">
        <w:rPr>
          <w:rFonts w:cs="Calibri"/>
        </w:rPr>
        <w:t>rbe električnom energijom korištene su cijene gorive preporučene od strane Europske komisije</w:t>
      </w:r>
      <w:r w:rsidRPr="63259912">
        <w:rPr>
          <w:rStyle w:val="FootnoteReference"/>
          <w:rFonts w:ascii="Calibri" w:hAnsi="Calibri" w:cs="Calibri"/>
          <w:sz w:val="24"/>
        </w:rPr>
        <w:footnoteReference w:id="35"/>
      </w:r>
      <w:r w:rsidRPr="63259912">
        <w:rPr>
          <w:rFonts w:cs="Calibri"/>
        </w:rPr>
        <w:t>. Navedeni dokument preporuča korištenje usklađenih projekcija pojedinih ulaznih parametara u zemljama članicama, kao i prikazivanje monetarnih vrijednosti preračunatih u EUR2020 (prethodno su korišteni EUR2016). Za ovu konverziju korištene su vrijednosti indeksa ESTAT HICP (Harmonised Indices of Consumer Prices). U slučaju da zemlja članica koristi druge vrijednosti, potrebno je navesti razloge, razlike, kao i provesti analizu osjetljivosti u skladu s preporučenim usklađenim vrijednostima odabranih parametera.</w:t>
      </w:r>
    </w:p>
    <w:p w14:paraId="720AC781" w14:textId="77777777" w:rsidR="000E746E" w:rsidRPr="00B47BDA" w:rsidRDefault="000E746E" w:rsidP="007327CD">
      <w:pPr>
        <w:pStyle w:val="Heading5"/>
      </w:pPr>
      <w:r w:rsidRPr="00B47BDA">
        <w:t>Međunarodne cijene goriva</w:t>
      </w:r>
    </w:p>
    <w:p w14:paraId="22949188" w14:textId="35B6F85C" w:rsidR="000E746E" w:rsidRPr="00B47BDA" w:rsidRDefault="00DB1BF8" w:rsidP="004623DD">
      <w:r w:rsidRPr="00B47BDA">
        <w:fldChar w:fldCharType="begin"/>
      </w:r>
      <w:r w:rsidRPr="00B47BDA">
        <w:instrText xml:space="preserve"> REF _Ref132992472 \h </w:instrText>
      </w:r>
      <w:r w:rsidR="00413754" w:rsidRPr="00B47BDA">
        <w:instrText xml:space="preserve"> \* MERGEFORMAT </w:instrText>
      </w:r>
      <w:r w:rsidRPr="00B47BDA">
        <w:fldChar w:fldCharType="separate"/>
      </w:r>
      <w:r w:rsidR="00F30157" w:rsidRPr="00B47BDA">
        <w:t xml:space="preserve">Tablica </w:t>
      </w:r>
      <w:r w:rsidR="00F30157">
        <w:t>4</w:t>
      </w:r>
      <w:r w:rsidR="00F30157" w:rsidRPr="00B47BDA">
        <w:noBreakHyphen/>
      </w:r>
      <w:r w:rsidR="00F30157">
        <w:t>2</w:t>
      </w:r>
      <w:r w:rsidRPr="00B47BDA">
        <w:fldChar w:fldCharType="end"/>
      </w:r>
      <w:r w:rsidR="00801AB0">
        <w:t>.</w:t>
      </w:r>
      <w:r w:rsidRPr="00B47BDA">
        <w:t xml:space="preserve"> i </w:t>
      </w:r>
      <w:r w:rsidRPr="00B47BDA">
        <w:fldChar w:fldCharType="begin"/>
      </w:r>
      <w:r w:rsidRPr="00B47BDA">
        <w:instrText xml:space="preserve"> REF _Ref132992545 \h </w:instrText>
      </w:r>
      <w:r w:rsidR="00413754" w:rsidRPr="00B47BDA">
        <w:instrText xml:space="preserve"> \* MERGEFORMAT </w:instrText>
      </w:r>
      <w:r w:rsidRPr="00B47BDA">
        <w:fldChar w:fldCharType="separate"/>
      </w:r>
      <w:r w:rsidR="00F30157" w:rsidRPr="00B47BDA">
        <w:t xml:space="preserve">Slika </w:t>
      </w:r>
      <w:r w:rsidR="00F30157">
        <w:t>4–</w:t>
      </w:r>
      <w:r w:rsidR="00F30157">
        <w:rPr>
          <w:noProof/>
        </w:rPr>
        <w:t>1</w:t>
      </w:r>
      <w:r w:rsidRPr="00B47BDA">
        <w:fldChar w:fldCharType="end"/>
      </w:r>
      <w:r w:rsidR="00801AB0">
        <w:t>.</w:t>
      </w:r>
      <w:r w:rsidR="000E746E" w:rsidRPr="00B47BDA">
        <w:t xml:space="preserve"> prikazuju pretpostavljene cijene goriva do 2050. godine.</w:t>
      </w:r>
    </w:p>
    <w:p w14:paraId="389FD703" w14:textId="08507E58" w:rsidR="000E746E" w:rsidRPr="00B47BDA" w:rsidRDefault="00D53653" w:rsidP="004623DD">
      <w:pPr>
        <w:pStyle w:val="Caption"/>
      </w:pPr>
      <w:bookmarkStart w:id="517" w:name="_Ref132992472"/>
      <w:bookmarkStart w:id="518" w:name="_Toc193035953"/>
      <w:r w:rsidRPr="00B47BDA">
        <w:t xml:space="preserve">Tablica </w:t>
      </w:r>
      <w:r>
        <w:fldChar w:fldCharType="begin"/>
      </w:r>
      <w:r>
        <w:instrText>STYLEREF 1 \s</w:instrText>
      </w:r>
      <w:r>
        <w:fldChar w:fldCharType="separate"/>
      </w:r>
      <w:r w:rsidR="00AD324D">
        <w:rPr>
          <w:noProof/>
        </w:rPr>
        <w:t>4</w:t>
      </w:r>
      <w:r>
        <w:fldChar w:fldCharType="end"/>
      </w:r>
      <w:r w:rsidR="000C3EFD" w:rsidRPr="00B47BDA">
        <w:noBreakHyphen/>
      </w:r>
      <w:r>
        <w:fldChar w:fldCharType="begin"/>
      </w:r>
      <w:r>
        <w:instrText>SEQ Tablica \* ARABIC \s 1</w:instrText>
      </w:r>
      <w:r>
        <w:fldChar w:fldCharType="separate"/>
      </w:r>
      <w:r w:rsidR="00F30157">
        <w:rPr>
          <w:noProof/>
        </w:rPr>
        <w:t>2</w:t>
      </w:r>
      <w:r>
        <w:fldChar w:fldCharType="end"/>
      </w:r>
      <w:bookmarkEnd w:id="517"/>
      <w:r w:rsidR="000E746E" w:rsidRPr="00B47BDA">
        <w:t>. Pretpostavljene cijene goriva do 2050. godine</w:t>
      </w:r>
      <w:bookmarkEnd w:id="518"/>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1134"/>
        <w:gridCol w:w="1276"/>
        <w:gridCol w:w="1276"/>
        <w:gridCol w:w="1276"/>
        <w:gridCol w:w="992"/>
        <w:gridCol w:w="1134"/>
      </w:tblGrid>
      <w:tr w:rsidR="00801AB0" w:rsidRPr="00801AB0" w14:paraId="7908613C" w14:textId="77777777" w:rsidTr="63259912">
        <w:trPr>
          <w:trHeight w:val="1074"/>
        </w:trPr>
        <w:tc>
          <w:tcPr>
            <w:tcW w:w="846" w:type="dxa"/>
            <w:shd w:val="clear" w:color="auto" w:fill="D9E2F3" w:themeFill="accent5" w:themeFillTint="33"/>
            <w:noWrap/>
            <w:tcMar>
              <w:left w:w="57" w:type="dxa"/>
              <w:right w:w="57" w:type="dxa"/>
            </w:tcMar>
            <w:vAlign w:val="center"/>
            <w:hideMark/>
          </w:tcPr>
          <w:p w14:paraId="6708684D" w14:textId="77777777" w:rsidR="00801AB0" w:rsidRPr="004E5994" w:rsidRDefault="00801AB0" w:rsidP="004623DD">
            <w:pPr>
              <w:rPr>
                <w:rFonts w:cs="Calibri"/>
                <w:sz w:val="22"/>
                <w:szCs w:val="22"/>
              </w:rPr>
            </w:pPr>
            <w:r w:rsidRPr="004E5994">
              <w:rPr>
                <w:rFonts w:cs="Calibri"/>
                <w:sz w:val="22"/>
                <w:szCs w:val="22"/>
              </w:rPr>
              <w:t>EUR</w:t>
            </w:r>
            <w:r w:rsidRPr="004E5994">
              <w:rPr>
                <w:rFonts w:cs="Calibri"/>
                <w:sz w:val="22"/>
                <w:szCs w:val="22"/>
                <w:vertAlign w:val="subscript"/>
              </w:rPr>
              <w:t>2020</w:t>
            </w:r>
          </w:p>
        </w:tc>
        <w:tc>
          <w:tcPr>
            <w:tcW w:w="850" w:type="dxa"/>
            <w:shd w:val="clear" w:color="auto" w:fill="D9E2F3" w:themeFill="accent5" w:themeFillTint="33"/>
            <w:noWrap/>
            <w:tcMar>
              <w:left w:w="57" w:type="dxa"/>
              <w:right w:w="57" w:type="dxa"/>
            </w:tcMar>
            <w:vAlign w:val="center"/>
            <w:hideMark/>
          </w:tcPr>
          <w:p w14:paraId="481AEE32" w14:textId="485F74EE" w:rsidR="00801AB0" w:rsidRPr="004E5994" w:rsidRDefault="00801AB0" w:rsidP="00801AB0">
            <w:pPr>
              <w:jc w:val="center"/>
              <w:rPr>
                <w:rFonts w:cs="Calibri"/>
                <w:b/>
                <w:sz w:val="22"/>
                <w:szCs w:val="22"/>
              </w:rPr>
            </w:pPr>
            <w:r w:rsidRPr="004E5994">
              <w:rPr>
                <w:rFonts w:cs="Calibri"/>
                <w:b/>
                <w:sz w:val="22"/>
                <w:szCs w:val="22"/>
              </w:rPr>
              <w:t>Sirova nafta EUR/GJ</w:t>
            </w:r>
          </w:p>
        </w:tc>
        <w:tc>
          <w:tcPr>
            <w:tcW w:w="1134" w:type="dxa"/>
            <w:shd w:val="clear" w:color="auto" w:fill="D9E2F3" w:themeFill="accent5" w:themeFillTint="33"/>
            <w:noWrap/>
            <w:tcMar>
              <w:left w:w="57" w:type="dxa"/>
              <w:right w:w="57" w:type="dxa"/>
            </w:tcMar>
            <w:vAlign w:val="center"/>
            <w:hideMark/>
          </w:tcPr>
          <w:p w14:paraId="05E61EDA" w14:textId="28A59E6B" w:rsidR="00801AB0" w:rsidRPr="004E5994" w:rsidRDefault="00801AB0" w:rsidP="63259912">
            <w:pPr>
              <w:jc w:val="center"/>
              <w:rPr>
                <w:rFonts w:cs="Calibri"/>
                <w:b/>
                <w:bCs/>
                <w:sz w:val="22"/>
                <w:szCs w:val="22"/>
              </w:rPr>
            </w:pPr>
            <w:r w:rsidRPr="63259912">
              <w:rPr>
                <w:rFonts w:cs="Calibri"/>
                <w:b/>
                <w:bCs/>
                <w:sz w:val="22"/>
                <w:szCs w:val="22"/>
              </w:rPr>
              <w:t>Sirova nafta EUR/toe</w:t>
            </w:r>
          </w:p>
        </w:tc>
        <w:tc>
          <w:tcPr>
            <w:tcW w:w="1276" w:type="dxa"/>
            <w:shd w:val="clear" w:color="auto" w:fill="D9E2F3" w:themeFill="accent5" w:themeFillTint="33"/>
            <w:noWrap/>
            <w:tcMar>
              <w:left w:w="57" w:type="dxa"/>
              <w:right w:w="57" w:type="dxa"/>
            </w:tcMar>
            <w:vAlign w:val="center"/>
            <w:hideMark/>
          </w:tcPr>
          <w:p w14:paraId="1E244F43" w14:textId="5350F2B9" w:rsidR="00801AB0" w:rsidRPr="004E5994" w:rsidRDefault="00801AB0" w:rsidP="00801AB0">
            <w:pPr>
              <w:jc w:val="center"/>
              <w:rPr>
                <w:rFonts w:cs="Calibri"/>
                <w:b/>
                <w:sz w:val="22"/>
                <w:szCs w:val="22"/>
              </w:rPr>
            </w:pPr>
            <w:r w:rsidRPr="004E5994">
              <w:rPr>
                <w:rFonts w:cs="Calibri"/>
                <w:b/>
                <w:sz w:val="22"/>
                <w:szCs w:val="22"/>
              </w:rPr>
              <w:t>Sirova nafta EUR/barel</w:t>
            </w:r>
          </w:p>
        </w:tc>
        <w:tc>
          <w:tcPr>
            <w:tcW w:w="1276" w:type="dxa"/>
            <w:shd w:val="clear" w:color="auto" w:fill="D9E2F3" w:themeFill="accent5" w:themeFillTint="33"/>
            <w:noWrap/>
            <w:tcMar>
              <w:left w:w="57" w:type="dxa"/>
              <w:right w:w="57" w:type="dxa"/>
            </w:tcMar>
            <w:vAlign w:val="center"/>
            <w:hideMark/>
          </w:tcPr>
          <w:p w14:paraId="3F936E18" w14:textId="58F9D2B2" w:rsidR="00801AB0" w:rsidRPr="004E5994" w:rsidRDefault="00801AB0" w:rsidP="00801AB0">
            <w:pPr>
              <w:jc w:val="center"/>
              <w:rPr>
                <w:rFonts w:cs="Calibri"/>
                <w:b/>
                <w:sz w:val="22"/>
                <w:szCs w:val="22"/>
              </w:rPr>
            </w:pPr>
            <w:r w:rsidRPr="004E5994">
              <w:rPr>
                <w:rFonts w:cs="Calibri"/>
                <w:b/>
                <w:sz w:val="22"/>
                <w:szCs w:val="22"/>
              </w:rPr>
              <w:t>Prirodni plin (NCV) EUR/GJ</w:t>
            </w:r>
          </w:p>
        </w:tc>
        <w:tc>
          <w:tcPr>
            <w:tcW w:w="1276" w:type="dxa"/>
            <w:shd w:val="clear" w:color="auto" w:fill="D9E2F3" w:themeFill="accent5" w:themeFillTint="33"/>
            <w:noWrap/>
            <w:tcMar>
              <w:left w:w="57" w:type="dxa"/>
              <w:right w:w="57" w:type="dxa"/>
            </w:tcMar>
            <w:vAlign w:val="center"/>
            <w:hideMark/>
          </w:tcPr>
          <w:p w14:paraId="350D927C" w14:textId="50B5A574" w:rsidR="00801AB0" w:rsidRPr="004E5994" w:rsidRDefault="00801AB0" w:rsidP="63259912">
            <w:pPr>
              <w:jc w:val="center"/>
              <w:rPr>
                <w:rFonts w:cs="Calibri"/>
                <w:b/>
                <w:bCs/>
                <w:sz w:val="22"/>
                <w:szCs w:val="22"/>
              </w:rPr>
            </w:pPr>
            <w:r w:rsidRPr="63259912">
              <w:rPr>
                <w:rFonts w:cs="Calibri"/>
                <w:b/>
                <w:bCs/>
                <w:sz w:val="22"/>
                <w:szCs w:val="22"/>
              </w:rPr>
              <w:t>Prirodni plin (NCV) EUR/toe</w:t>
            </w:r>
          </w:p>
        </w:tc>
        <w:tc>
          <w:tcPr>
            <w:tcW w:w="992" w:type="dxa"/>
            <w:shd w:val="clear" w:color="auto" w:fill="D9E2F3" w:themeFill="accent5" w:themeFillTint="33"/>
            <w:noWrap/>
            <w:tcMar>
              <w:left w:w="57" w:type="dxa"/>
              <w:right w:w="57" w:type="dxa"/>
            </w:tcMar>
            <w:vAlign w:val="center"/>
            <w:hideMark/>
          </w:tcPr>
          <w:p w14:paraId="3A70AD5D" w14:textId="56922D2A" w:rsidR="00801AB0" w:rsidRPr="004E5994" w:rsidRDefault="00801AB0" w:rsidP="00801AB0">
            <w:pPr>
              <w:jc w:val="center"/>
              <w:rPr>
                <w:rFonts w:cs="Calibri"/>
                <w:b/>
                <w:sz w:val="22"/>
                <w:szCs w:val="22"/>
              </w:rPr>
            </w:pPr>
            <w:r w:rsidRPr="004E5994">
              <w:rPr>
                <w:rFonts w:cs="Calibri"/>
                <w:b/>
                <w:sz w:val="22"/>
                <w:szCs w:val="22"/>
              </w:rPr>
              <w:t>Ugljen EUR/GJ</w:t>
            </w:r>
          </w:p>
        </w:tc>
        <w:tc>
          <w:tcPr>
            <w:tcW w:w="1134" w:type="dxa"/>
            <w:shd w:val="clear" w:color="auto" w:fill="D9E2F3" w:themeFill="accent5" w:themeFillTint="33"/>
            <w:noWrap/>
            <w:tcMar>
              <w:left w:w="57" w:type="dxa"/>
              <w:right w:w="57" w:type="dxa"/>
            </w:tcMar>
            <w:vAlign w:val="center"/>
            <w:hideMark/>
          </w:tcPr>
          <w:p w14:paraId="0F20D141" w14:textId="555C0282" w:rsidR="00801AB0" w:rsidRPr="004E5994" w:rsidRDefault="00801AB0" w:rsidP="63259912">
            <w:pPr>
              <w:jc w:val="center"/>
              <w:rPr>
                <w:rFonts w:cs="Calibri"/>
                <w:b/>
                <w:bCs/>
                <w:sz w:val="22"/>
                <w:szCs w:val="22"/>
              </w:rPr>
            </w:pPr>
            <w:r w:rsidRPr="63259912">
              <w:rPr>
                <w:rFonts w:cs="Calibri"/>
                <w:b/>
                <w:bCs/>
                <w:sz w:val="22"/>
                <w:szCs w:val="22"/>
              </w:rPr>
              <w:t>Ugljen EUR/toe</w:t>
            </w:r>
          </w:p>
        </w:tc>
      </w:tr>
      <w:tr w:rsidR="00801AB0" w:rsidRPr="00801AB0" w14:paraId="5747F4BD" w14:textId="77777777" w:rsidTr="63259912">
        <w:trPr>
          <w:trHeight w:val="288"/>
        </w:trPr>
        <w:tc>
          <w:tcPr>
            <w:tcW w:w="846" w:type="dxa"/>
            <w:noWrap/>
            <w:tcMar>
              <w:left w:w="57" w:type="dxa"/>
              <w:right w:w="57" w:type="dxa"/>
            </w:tcMar>
            <w:vAlign w:val="center"/>
            <w:hideMark/>
          </w:tcPr>
          <w:p w14:paraId="0B38634F" w14:textId="77777777" w:rsidR="00801AB0" w:rsidRPr="004E5994" w:rsidRDefault="00801AB0" w:rsidP="004623DD">
            <w:pPr>
              <w:rPr>
                <w:rFonts w:cs="Calibri"/>
                <w:b/>
                <w:sz w:val="22"/>
                <w:szCs w:val="22"/>
              </w:rPr>
            </w:pPr>
            <w:r w:rsidRPr="004E5994">
              <w:rPr>
                <w:rFonts w:cs="Calibri"/>
                <w:b/>
                <w:sz w:val="22"/>
                <w:szCs w:val="22"/>
              </w:rPr>
              <w:t>2025.</w:t>
            </w:r>
          </w:p>
        </w:tc>
        <w:tc>
          <w:tcPr>
            <w:tcW w:w="850" w:type="dxa"/>
            <w:noWrap/>
            <w:tcMar>
              <w:left w:w="57" w:type="dxa"/>
              <w:right w:w="57" w:type="dxa"/>
            </w:tcMar>
            <w:vAlign w:val="center"/>
            <w:hideMark/>
          </w:tcPr>
          <w:p w14:paraId="0D469017" w14:textId="77777777" w:rsidR="00801AB0" w:rsidRPr="004E5994" w:rsidRDefault="00801AB0" w:rsidP="00801AB0">
            <w:pPr>
              <w:jc w:val="right"/>
              <w:rPr>
                <w:rFonts w:cs="Calibri"/>
                <w:sz w:val="22"/>
                <w:szCs w:val="22"/>
              </w:rPr>
            </w:pPr>
            <w:r w:rsidRPr="004E5994">
              <w:rPr>
                <w:rFonts w:cs="Calibri"/>
                <w:sz w:val="22"/>
                <w:szCs w:val="22"/>
              </w:rPr>
              <w:t>15,4</w:t>
            </w:r>
          </w:p>
        </w:tc>
        <w:tc>
          <w:tcPr>
            <w:tcW w:w="1134" w:type="dxa"/>
            <w:noWrap/>
            <w:tcMar>
              <w:left w:w="57" w:type="dxa"/>
              <w:right w:w="57" w:type="dxa"/>
            </w:tcMar>
            <w:vAlign w:val="center"/>
            <w:hideMark/>
          </w:tcPr>
          <w:p w14:paraId="67127348" w14:textId="77777777" w:rsidR="00801AB0" w:rsidRPr="004E5994" w:rsidRDefault="00801AB0" w:rsidP="00801AB0">
            <w:pPr>
              <w:jc w:val="right"/>
              <w:rPr>
                <w:rFonts w:cs="Calibri"/>
                <w:sz w:val="22"/>
                <w:szCs w:val="22"/>
              </w:rPr>
            </w:pPr>
            <w:r w:rsidRPr="004E5994">
              <w:rPr>
                <w:rFonts w:cs="Calibri"/>
                <w:sz w:val="22"/>
                <w:szCs w:val="22"/>
              </w:rPr>
              <w:t>643</w:t>
            </w:r>
          </w:p>
        </w:tc>
        <w:tc>
          <w:tcPr>
            <w:tcW w:w="1276" w:type="dxa"/>
            <w:noWrap/>
            <w:tcMar>
              <w:left w:w="57" w:type="dxa"/>
              <w:right w:w="57" w:type="dxa"/>
            </w:tcMar>
            <w:vAlign w:val="center"/>
            <w:hideMark/>
          </w:tcPr>
          <w:p w14:paraId="49DD8273" w14:textId="680F101B" w:rsidR="00801AB0" w:rsidRPr="004E5994" w:rsidRDefault="00801AB0" w:rsidP="00801AB0">
            <w:pPr>
              <w:jc w:val="right"/>
              <w:rPr>
                <w:rFonts w:cs="Calibri"/>
                <w:sz w:val="22"/>
                <w:szCs w:val="22"/>
              </w:rPr>
            </w:pPr>
            <w:r w:rsidRPr="004E5994">
              <w:rPr>
                <w:rFonts w:cs="Calibri"/>
                <w:sz w:val="22"/>
                <w:szCs w:val="22"/>
              </w:rPr>
              <w:t>88</w:t>
            </w:r>
          </w:p>
        </w:tc>
        <w:tc>
          <w:tcPr>
            <w:tcW w:w="1276" w:type="dxa"/>
            <w:noWrap/>
            <w:tcMar>
              <w:left w:w="57" w:type="dxa"/>
              <w:right w:w="57" w:type="dxa"/>
            </w:tcMar>
            <w:vAlign w:val="center"/>
            <w:hideMark/>
          </w:tcPr>
          <w:p w14:paraId="51E241D4" w14:textId="77777777" w:rsidR="00801AB0" w:rsidRPr="004E5994" w:rsidRDefault="00801AB0" w:rsidP="00801AB0">
            <w:pPr>
              <w:jc w:val="right"/>
              <w:rPr>
                <w:rFonts w:cs="Calibri"/>
                <w:sz w:val="22"/>
                <w:szCs w:val="22"/>
              </w:rPr>
            </w:pPr>
            <w:r w:rsidRPr="004E5994">
              <w:rPr>
                <w:rFonts w:cs="Calibri"/>
                <w:sz w:val="22"/>
                <w:szCs w:val="22"/>
              </w:rPr>
              <w:t>13,2</w:t>
            </w:r>
          </w:p>
        </w:tc>
        <w:tc>
          <w:tcPr>
            <w:tcW w:w="1276" w:type="dxa"/>
            <w:noWrap/>
            <w:tcMar>
              <w:left w:w="57" w:type="dxa"/>
              <w:right w:w="57" w:type="dxa"/>
            </w:tcMar>
            <w:vAlign w:val="center"/>
            <w:hideMark/>
          </w:tcPr>
          <w:p w14:paraId="700449DD" w14:textId="77777777" w:rsidR="00801AB0" w:rsidRPr="004E5994" w:rsidRDefault="00801AB0" w:rsidP="00801AB0">
            <w:pPr>
              <w:jc w:val="right"/>
              <w:rPr>
                <w:rFonts w:cs="Calibri"/>
                <w:sz w:val="22"/>
                <w:szCs w:val="22"/>
              </w:rPr>
            </w:pPr>
            <w:r w:rsidRPr="004E5994">
              <w:rPr>
                <w:rFonts w:cs="Calibri"/>
                <w:sz w:val="22"/>
                <w:szCs w:val="22"/>
              </w:rPr>
              <w:t>554</w:t>
            </w:r>
          </w:p>
        </w:tc>
        <w:tc>
          <w:tcPr>
            <w:tcW w:w="992" w:type="dxa"/>
            <w:noWrap/>
            <w:tcMar>
              <w:left w:w="57" w:type="dxa"/>
              <w:right w:w="57" w:type="dxa"/>
            </w:tcMar>
            <w:vAlign w:val="center"/>
            <w:hideMark/>
          </w:tcPr>
          <w:p w14:paraId="6F929A0B" w14:textId="77777777" w:rsidR="00801AB0" w:rsidRPr="004E5994" w:rsidRDefault="00801AB0" w:rsidP="00801AB0">
            <w:pPr>
              <w:jc w:val="right"/>
              <w:rPr>
                <w:rFonts w:cs="Calibri"/>
                <w:sz w:val="22"/>
                <w:szCs w:val="22"/>
              </w:rPr>
            </w:pPr>
            <w:r w:rsidRPr="004E5994">
              <w:rPr>
                <w:rFonts w:cs="Calibri"/>
                <w:sz w:val="22"/>
                <w:szCs w:val="22"/>
              </w:rPr>
              <w:t>3,1</w:t>
            </w:r>
          </w:p>
        </w:tc>
        <w:tc>
          <w:tcPr>
            <w:tcW w:w="1134" w:type="dxa"/>
            <w:noWrap/>
            <w:tcMar>
              <w:left w:w="57" w:type="dxa"/>
              <w:right w:w="57" w:type="dxa"/>
            </w:tcMar>
            <w:vAlign w:val="center"/>
            <w:hideMark/>
          </w:tcPr>
          <w:p w14:paraId="662C9473" w14:textId="77777777" w:rsidR="00801AB0" w:rsidRPr="004E5994" w:rsidRDefault="00801AB0" w:rsidP="00801AB0">
            <w:pPr>
              <w:jc w:val="right"/>
              <w:rPr>
                <w:rFonts w:cs="Calibri"/>
                <w:sz w:val="22"/>
                <w:szCs w:val="22"/>
              </w:rPr>
            </w:pPr>
            <w:r w:rsidRPr="004E5994">
              <w:rPr>
                <w:rFonts w:cs="Calibri"/>
                <w:sz w:val="22"/>
                <w:szCs w:val="22"/>
              </w:rPr>
              <w:t>128</w:t>
            </w:r>
          </w:p>
        </w:tc>
      </w:tr>
      <w:tr w:rsidR="00801AB0" w:rsidRPr="00801AB0" w14:paraId="66E39B5A" w14:textId="77777777" w:rsidTr="63259912">
        <w:trPr>
          <w:trHeight w:val="288"/>
        </w:trPr>
        <w:tc>
          <w:tcPr>
            <w:tcW w:w="846" w:type="dxa"/>
            <w:noWrap/>
            <w:tcMar>
              <w:left w:w="57" w:type="dxa"/>
              <w:right w:w="57" w:type="dxa"/>
            </w:tcMar>
            <w:vAlign w:val="center"/>
            <w:hideMark/>
          </w:tcPr>
          <w:p w14:paraId="7E84E540" w14:textId="77777777" w:rsidR="00801AB0" w:rsidRPr="004E5994" w:rsidRDefault="00801AB0" w:rsidP="004623DD">
            <w:pPr>
              <w:rPr>
                <w:rFonts w:cs="Calibri"/>
                <w:b/>
                <w:sz w:val="22"/>
                <w:szCs w:val="22"/>
              </w:rPr>
            </w:pPr>
            <w:r w:rsidRPr="004E5994">
              <w:rPr>
                <w:rFonts w:cs="Calibri"/>
                <w:b/>
                <w:sz w:val="22"/>
                <w:szCs w:val="22"/>
              </w:rPr>
              <w:t>2030.</w:t>
            </w:r>
          </w:p>
        </w:tc>
        <w:tc>
          <w:tcPr>
            <w:tcW w:w="850" w:type="dxa"/>
            <w:noWrap/>
            <w:tcMar>
              <w:left w:w="57" w:type="dxa"/>
              <w:right w:w="57" w:type="dxa"/>
            </w:tcMar>
            <w:vAlign w:val="center"/>
            <w:hideMark/>
          </w:tcPr>
          <w:p w14:paraId="4B5BCC59" w14:textId="77777777" w:rsidR="00801AB0" w:rsidRPr="004E5994" w:rsidRDefault="00801AB0" w:rsidP="00801AB0">
            <w:pPr>
              <w:jc w:val="right"/>
              <w:rPr>
                <w:rFonts w:cs="Calibri"/>
                <w:sz w:val="22"/>
                <w:szCs w:val="22"/>
              </w:rPr>
            </w:pPr>
            <w:r w:rsidRPr="004E5994">
              <w:rPr>
                <w:rFonts w:cs="Calibri"/>
                <w:sz w:val="22"/>
                <w:szCs w:val="22"/>
              </w:rPr>
              <w:t>15,4</w:t>
            </w:r>
          </w:p>
        </w:tc>
        <w:tc>
          <w:tcPr>
            <w:tcW w:w="1134" w:type="dxa"/>
            <w:noWrap/>
            <w:tcMar>
              <w:left w:w="57" w:type="dxa"/>
              <w:right w:w="57" w:type="dxa"/>
            </w:tcMar>
            <w:vAlign w:val="center"/>
            <w:hideMark/>
          </w:tcPr>
          <w:p w14:paraId="1BBB552A" w14:textId="77777777" w:rsidR="00801AB0" w:rsidRPr="004E5994" w:rsidRDefault="00801AB0" w:rsidP="00801AB0">
            <w:pPr>
              <w:jc w:val="right"/>
              <w:rPr>
                <w:rFonts w:cs="Calibri"/>
                <w:sz w:val="22"/>
                <w:szCs w:val="22"/>
              </w:rPr>
            </w:pPr>
            <w:r w:rsidRPr="004E5994">
              <w:rPr>
                <w:rFonts w:cs="Calibri"/>
                <w:sz w:val="22"/>
                <w:szCs w:val="22"/>
              </w:rPr>
              <w:t>643</w:t>
            </w:r>
          </w:p>
        </w:tc>
        <w:tc>
          <w:tcPr>
            <w:tcW w:w="1276" w:type="dxa"/>
            <w:noWrap/>
            <w:tcMar>
              <w:left w:w="57" w:type="dxa"/>
              <w:right w:w="57" w:type="dxa"/>
            </w:tcMar>
            <w:vAlign w:val="center"/>
            <w:hideMark/>
          </w:tcPr>
          <w:p w14:paraId="7CBEF622" w14:textId="276F56B8" w:rsidR="00801AB0" w:rsidRPr="004E5994" w:rsidRDefault="00801AB0" w:rsidP="00801AB0">
            <w:pPr>
              <w:jc w:val="right"/>
              <w:rPr>
                <w:rFonts w:cs="Calibri"/>
                <w:sz w:val="22"/>
                <w:szCs w:val="22"/>
              </w:rPr>
            </w:pPr>
            <w:r w:rsidRPr="004E5994">
              <w:rPr>
                <w:rFonts w:cs="Calibri"/>
                <w:sz w:val="22"/>
                <w:szCs w:val="22"/>
              </w:rPr>
              <w:t>88</w:t>
            </w:r>
          </w:p>
        </w:tc>
        <w:tc>
          <w:tcPr>
            <w:tcW w:w="1276" w:type="dxa"/>
            <w:noWrap/>
            <w:tcMar>
              <w:left w:w="57" w:type="dxa"/>
              <w:right w:w="57" w:type="dxa"/>
            </w:tcMar>
            <w:vAlign w:val="center"/>
            <w:hideMark/>
          </w:tcPr>
          <w:p w14:paraId="44F57A4D" w14:textId="77777777" w:rsidR="00801AB0" w:rsidRPr="004E5994" w:rsidRDefault="00801AB0" w:rsidP="00801AB0">
            <w:pPr>
              <w:jc w:val="right"/>
              <w:rPr>
                <w:rFonts w:cs="Calibri"/>
                <w:sz w:val="22"/>
                <w:szCs w:val="22"/>
              </w:rPr>
            </w:pPr>
            <w:r w:rsidRPr="004E5994">
              <w:rPr>
                <w:rFonts w:cs="Calibri"/>
                <w:sz w:val="22"/>
                <w:szCs w:val="22"/>
              </w:rPr>
              <w:t>11,3</w:t>
            </w:r>
          </w:p>
        </w:tc>
        <w:tc>
          <w:tcPr>
            <w:tcW w:w="1276" w:type="dxa"/>
            <w:noWrap/>
            <w:tcMar>
              <w:left w:w="57" w:type="dxa"/>
              <w:right w:w="57" w:type="dxa"/>
            </w:tcMar>
            <w:vAlign w:val="center"/>
            <w:hideMark/>
          </w:tcPr>
          <w:p w14:paraId="1861B0DF" w14:textId="77777777" w:rsidR="00801AB0" w:rsidRPr="004E5994" w:rsidRDefault="00801AB0" w:rsidP="00801AB0">
            <w:pPr>
              <w:jc w:val="right"/>
              <w:rPr>
                <w:rFonts w:cs="Calibri"/>
                <w:sz w:val="22"/>
                <w:szCs w:val="22"/>
              </w:rPr>
            </w:pPr>
            <w:r w:rsidRPr="004E5994">
              <w:rPr>
                <w:rFonts w:cs="Calibri"/>
                <w:sz w:val="22"/>
                <w:szCs w:val="22"/>
              </w:rPr>
              <w:t>473</w:t>
            </w:r>
          </w:p>
        </w:tc>
        <w:tc>
          <w:tcPr>
            <w:tcW w:w="992" w:type="dxa"/>
            <w:noWrap/>
            <w:tcMar>
              <w:left w:w="57" w:type="dxa"/>
              <w:right w:w="57" w:type="dxa"/>
            </w:tcMar>
            <w:vAlign w:val="center"/>
            <w:hideMark/>
          </w:tcPr>
          <w:p w14:paraId="76CB06C4" w14:textId="77777777" w:rsidR="00801AB0" w:rsidRPr="004E5994" w:rsidRDefault="00801AB0" w:rsidP="00801AB0">
            <w:pPr>
              <w:jc w:val="right"/>
              <w:rPr>
                <w:rFonts w:cs="Calibri"/>
                <w:sz w:val="22"/>
                <w:szCs w:val="22"/>
              </w:rPr>
            </w:pPr>
            <w:r w:rsidRPr="004E5994">
              <w:rPr>
                <w:rFonts w:cs="Calibri"/>
                <w:sz w:val="22"/>
                <w:szCs w:val="22"/>
              </w:rPr>
              <w:t>3,1</w:t>
            </w:r>
          </w:p>
        </w:tc>
        <w:tc>
          <w:tcPr>
            <w:tcW w:w="1134" w:type="dxa"/>
            <w:noWrap/>
            <w:tcMar>
              <w:left w:w="57" w:type="dxa"/>
              <w:right w:w="57" w:type="dxa"/>
            </w:tcMar>
            <w:vAlign w:val="center"/>
            <w:hideMark/>
          </w:tcPr>
          <w:p w14:paraId="65CF9067" w14:textId="77777777" w:rsidR="00801AB0" w:rsidRPr="004E5994" w:rsidRDefault="00801AB0" w:rsidP="00801AB0">
            <w:pPr>
              <w:jc w:val="right"/>
              <w:rPr>
                <w:rFonts w:cs="Calibri"/>
                <w:sz w:val="22"/>
                <w:szCs w:val="22"/>
              </w:rPr>
            </w:pPr>
            <w:r w:rsidRPr="004E5994">
              <w:rPr>
                <w:rFonts w:cs="Calibri"/>
                <w:sz w:val="22"/>
                <w:szCs w:val="22"/>
              </w:rPr>
              <w:t>130</w:t>
            </w:r>
          </w:p>
        </w:tc>
      </w:tr>
      <w:tr w:rsidR="00801AB0" w:rsidRPr="00801AB0" w14:paraId="3A408E95" w14:textId="77777777" w:rsidTr="63259912">
        <w:trPr>
          <w:trHeight w:val="288"/>
        </w:trPr>
        <w:tc>
          <w:tcPr>
            <w:tcW w:w="846" w:type="dxa"/>
            <w:noWrap/>
            <w:tcMar>
              <w:left w:w="57" w:type="dxa"/>
              <w:right w:w="57" w:type="dxa"/>
            </w:tcMar>
            <w:vAlign w:val="center"/>
            <w:hideMark/>
          </w:tcPr>
          <w:p w14:paraId="44CBC707" w14:textId="77777777" w:rsidR="00801AB0" w:rsidRPr="004E5994" w:rsidRDefault="00801AB0" w:rsidP="004623DD">
            <w:pPr>
              <w:rPr>
                <w:rFonts w:cs="Calibri"/>
                <w:b/>
                <w:sz w:val="22"/>
                <w:szCs w:val="22"/>
              </w:rPr>
            </w:pPr>
            <w:r w:rsidRPr="004E5994">
              <w:rPr>
                <w:rFonts w:cs="Calibri"/>
                <w:b/>
                <w:sz w:val="22"/>
                <w:szCs w:val="22"/>
              </w:rPr>
              <w:t>2035.</w:t>
            </w:r>
          </w:p>
        </w:tc>
        <w:tc>
          <w:tcPr>
            <w:tcW w:w="850" w:type="dxa"/>
            <w:noWrap/>
            <w:tcMar>
              <w:left w:w="57" w:type="dxa"/>
              <w:right w:w="57" w:type="dxa"/>
            </w:tcMar>
            <w:vAlign w:val="center"/>
            <w:hideMark/>
          </w:tcPr>
          <w:p w14:paraId="589F30A2" w14:textId="77777777" w:rsidR="00801AB0" w:rsidRPr="004E5994" w:rsidRDefault="00801AB0" w:rsidP="00801AB0">
            <w:pPr>
              <w:jc w:val="right"/>
              <w:rPr>
                <w:rFonts w:cs="Calibri"/>
                <w:sz w:val="22"/>
                <w:szCs w:val="22"/>
              </w:rPr>
            </w:pPr>
            <w:r w:rsidRPr="004E5994">
              <w:rPr>
                <w:rFonts w:cs="Calibri"/>
                <w:sz w:val="22"/>
                <w:szCs w:val="22"/>
              </w:rPr>
              <w:t>15,4</w:t>
            </w:r>
          </w:p>
        </w:tc>
        <w:tc>
          <w:tcPr>
            <w:tcW w:w="1134" w:type="dxa"/>
            <w:noWrap/>
            <w:tcMar>
              <w:left w:w="57" w:type="dxa"/>
              <w:right w:w="57" w:type="dxa"/>
            </w:tcMar>
            <w:vAlign w:val="center"/>
            <w:hideMark/>
          </w:tcPr>
          <w:p w14:paraId="6E198F90" w14:textId="77777777" w:rsidR="00801AB0" w:rsidRPr="004E5994" w:rsidRDefault="00801AB0" w:rsidP="00801AB0">
            <w:pPr>
              <w:jc w:val="right"/>
              <w:rPr>
                <w:rFonts w:cs="Calibri"/>
                <w:sz w:val="22"/>
                <w:szCs w:val="22"/>
              </w:rPr>
            </w:pPr>
            <w:r w:rsidRPr="004E5994">
              <w:rPr>
                <w:rFonts w:cs="Calibri"/>
                <w:sz w:val="22"/>
                <w:szCs w:val="22"/>
              </w:rPr>
              <w:t>643</w:t>
            </w:r>
          </w:p>
        </w:tc>
        <w:tc>
          <w:tcPr>
            <w:tcW w:w="1276" w:type="dxa"/>
            <w:noWrap/>
            <w:tcMar>
              <w:left w:w="57" w:type="dxa"/>
              <w:right w:w="57" w:type="dxa"/>
            </w:tcMar>
            <w:vAlign w:val="center"/>
            <w:hideMark/>
          </w:tcPr>
          <w:p w14:paraId="65A589E9" w14:textId="77FEF0FA" w:rsidR="00801AB0" w:rsidRPr="004E5994" w:rsidRDefault="00801AB0" w:rsidP="00801AB0">
            <w:pPr>
              <w:jc w:val="right"/>
              <w:rPr>
                <w:rFonts w:cs="Calibri"/>
                <w:sz w:val="22"/>
                <w:szCs w:val="22"/>
              </w:rPr>
            </w:pPr>
            <w:r w:rsidRPr="004E5994">
              <w:rPr>
                <w:rFonts w:cs="Calibri"/>
                <w:sz w:val="22"/>
                <w:szCs w:val="22"/>
              </w:rPr>
              <w:t>88</w:t>
            </w:r>
          </w:p>
        </w:tc>
        <w:tc>
          <w:tcPr>
            <w:tcW w:w="1276" w:type="dxa"/>
            <w:noWrap/>
            <w:tcMar>
              <w:left w:w="57" w:type="dxa"/>
              <w:right w:w="57" w:type="dxa"/>
            </w:tcMar>
            <w:vAlign w:val="center"/>
            <w:hideMark/>
          </w:tcPr>
          <w:p w14:paraId="1AA8A090" w14:textId="77777777" w:rsidR="00801AB0" w:rsidRPr="004E5994" w:rsidRDefault="00801AB0" w:rsidP="00801AB0">
            <w:pPr>
              <w:jc w:val="right"/>
              <w:rPr>
                <w:rFonts w:cs="Calibri"/>
                <w:sz w:val="22"/>
                <w:szCs w:val="22"/>
              </w:rPr>
            </w:pPr>
            <w:r w:rsidRPr="004E5994">
              <w:rPr>
                <w:rFonts w:cs="Calibri"/>
                <w:sz w:val="22"/>
                <w:szCs w:val="22"/>
              </w:rPr>
              <w:t>11,3</w:t>
            </w:r>
          </w:p>
        </w:tc>
        <w:tc>
          <w:tcPr>
            <w:tcW w:w="1276" w:type="dxa"/>
            <w:noWrap/>
            <w:tcMar>
              <w:left w:w="57" w:type="dxa"/>
              <w:right w:w="57" w:type="dxa"/>
            </w:tcMar>
            <w:vAlign w:val="center"/>
            <w:hideMark/>
          </w:tcPr>
          <w:p w14:paraId="522483E3" w14:textId="77777777" w:rsidR="00801AB0" w:rsidRPr="004E5994" w:rsidRDefault="00801AB0" w:rsidP="00801AB0">
            <w:pPr>
              <w:jc w:val="right"/>
              <w:rPr>
                <w:rFonts w:cs="Calibri"/>
                <w:sz w:val="22"/>
                <w:szCs w:val="22"/>
              </w:rPr>
            </w:pPr>
            <w:r w:rsidRPr="004E5994">
              <w:rPr>
                <w:rFonts w:cs="Calibri"/>
                <w:sz w:val="22"/>
                <w:szCs w:val="22"/>
              </w:rPr>
              <w:t>473</w:t>
            </w:r>
          </w:p>
        </w:tc>
        <w:tc>
          <w:tcPr>
            <w:tcW w:w="992" w:type="dxa"/>
            <w:noWrap/>
            <w:tcMar>
              <w:left w:w="57" w:type="dxa"/>
              <w:right w:w="57" w:type="dxa"/>
            </w:tcMar>
            <w:vAlign w:val="center"/>
            <w:hideMark/>
          </w:tcPr>
          <w:p w14:paraId="5DE4718E" w14:textId="77777777" w:rsidR="00801AB0" w:rsidRPr="004E5994" w:rsidRDefault="00801AB0" w:rsidP="00801AB0">
            <w:pPr>
              <w:jc w:val="right"/>
              <w:rPr>
                <w:rFonts w:cs="Calibri"/>
                <w:sz w:val="22"/>
                <w:szCs w:val="22"/>
              </w:rPr>
            </w:pPr>
            <w:r w:rsidRPr="004E5994">
              <w:rPr>
                <w:rFonts w:cs="Calibri"/>
                <w:sz w:val="22"/>
                <w:szCs w:val="22"/>
              </w:rPr>
              <w:t>3,1</w:t>
            </w:r>
          </w:p>
        </w:tc>
        <w:tc>
          <w:tcPr>
            <w:tcW w:w="1134" w:type="dxa"/>
            <w:noWrap/>
            <w:tcMar>
              <w:left w:w="57" w:type="dxa"/>
              <w:right w:w="57" w:type="dxa"/>
            </w:tcMar>
            <w:vAlign w:val="center"/>
            <w:hideMark/>
          </w:tcPr>
          <w:p w14:paraId="1FE5497A" w14:textId="77777777" w:rsidR="00801AB0" w:rsidRPr="004E5994" w:rsidRDefault="00801AB0" w:rsidP="00801AB0">
            <w:pPr>
              <w:jc w:val="right"/>
              <w:rPr>
                <w:rFonts w:cs="Calibri"/>
                <w:sz w:val="22"/>
                <w:szCs w:val="22"/>
              </w:rPr>
            </w:pPr>
            <w:r w:rsidRPr="004E5994">
              <w:rPr>
                <w:rFonts w:cs="Calibri"/>
                <w:sz w:val="22"/>
                <w:szCs w:val="22"/>
              </w:rPr>
              <w:t>131</w:t>
            </w:r>
          </w:p>
        </w:tc>
      </w:tr>
      <w:tr w:rsidR="00801AB0" w:rsidRPr="00801AB0" w14:paraId="46762721" w14:textId="77777777" w:rsidTr="63259912">
        <w:trPr>
          <w:trHeight w:val="288"/>
        </w:trPr>
        <w:tc>
          <w:tcPr>
            <w:tcW w:w="846" w:type="dxa"/>
            <w:noWrap/>
            <w:tcMar>
              <w:left w:w="57" w:type="dxa"/>
              <w:right w:w="57" w:type="dxa"/>
            </w:tcMar>
            <w:vAlign w:val="center"/>
            <w:hideMark/>
          </w:tcPr>
          <w:p w14:paraId="59AACBFC" w14:textId="77777777" w:rsidR="00801AB0" w:rsidRPr="004E5994" w:rsidRDefault="00801AB0" w:rsidP="004623DD">
            <w:pPr>
              <w:rPr>
                <w:rFonts w:cs="Calibri"/>
                <w:b/>
                <w:sz w:val="22"/>
                <w:szCs w:val="22"/>
              </w:rPr>
            </w:pPr>
            <w:r w:rsidRPr="004E5994">
              <w:rPr>
                <w:rFonts w:cs="Calibri"/>
                <w:b/>
                <w:sz w:val="22"/>
                <w:szCs w:val="22"/>
              </w:rPr>
              <w:t>2040.</w:t>
            </w:r>
          </w:p>
        </w:tc>
        <w:tc>
          <w:tcPr>
            <w:tcW w:w="850" w:type="dxa"/>
            <w:noWrap/>
            <w:tcMar>
              <w:left w:w="57" w:type="dxa"/>
              <w:right w:w="57" w:type="dxa"/>
            </w:tcMar>
            <w:vAlign w:val="center"/>
            <w:hideMark/>
          </w:tcPr>
          <w:p w14:paraId="086064EE" w14:textId="77777777" w:rsidR="00801AB0" w:rsidRPr="004E5994" w:rsidRDefault="00801AB0" w:rsidP="00801AB0">
            <w:pPr>
              <w:jc w:val="right"/>
              <w:rPr>
                <w:rFonts w:cs="Calibri"/>
                <w:sz w:val="22"/>
                <w:szCs w:val="22"/>
              </w:rPr>
            </w:pPr>
            <w:r w:rsidRPr="004E5994">
              <w:rPr>
                <w:rFonts w:cs="Calibri"/>
                <w:sz w:val="22"/>
                <w:szCs w:val="22"/>
              </w:rPr>
              <w:t>16,3</w:t>
            </w:r>
          </w:p>
        </w:tc>
        <w:tc>
          <w:tcPr>
            <w:tcW w:w="1134" w:type="dxa"/>
            <w:noWrap/>
            <w:tcMar>
              <w:left w:w="57" w:type="dxa"/>
              <w:right w:w="57" w:type="dxa"/>
            </w:tcMar>
            <w:vAlign w:val="center"/>
            <w:hideMark/>
          </w:tcPr>
          <w:p w14:paraId="750CC4E4" w14:textId="77777777" w:rsidR="00801AB0" w:rsidRPr="004E5994" w:rsidRDefault="00801AB0" w:rsidP="00801AB0">
            <w:pPr>
              <w:jc w:val="right"/>
              <w:rPr>
                <w:rFonts w:cs="Calibri"/>
                <w:sz w:val="22"/>
                <w:szCs w:val="22"/>
              </w:rPr>
            </w:pPr>
            <w:r w:rsidRPr="004E5994">
              <w:rPr>
                <w:rFonts w:cs="Calibri"/>
                <w:sz w:val="22"/>
                <w:szCs w:val="22"/>
              </w:rPr>
              <w:t>680</w:t>
            </w:r>
          </w:p>
        </w:tc>
        <w:tc>
          <w:tcPr>
            <w:tcW w:w="1276" w:type="dxa"/>
            <w:noWrap/>
            <w:tcMar>
              <w:left w:w="57" w:type="dxa"/>
              <w:right w:w="57" w:type="dxa"/>
            </w:tcMar>
            <w:vAlign w:val="center"/>
            <w:hideMark/>
          </w:tcPr>
          <w:p w14:paraId="05EA5525" w14:textId="5729838E" w:rsidR="00801AB0" w:rsidRPr="004E5994" w:rsidRDefault="00801AB0" w:rsidP="00801AB0">
            <w:pPr>
              <w:jc w:val="right"/>
              <w:rPr>
                <w:rFonts w:cs="Calibri"/>
                <w:sz w:val="22"/>
                <w:szCs w:val="22"/>
              </w:rPr>
            </w:pPr>
            <w:r w:rsidRPr="004E5994">
              <w:rPr>
                <w:rFonts w:cs="Calibri"/>
                <w:sz w:val="22"/>
                <w:szCs w:val="22"/>
              </w:rPr>
              <w:t>93</w:t>
            </w:r>
          </w:p>
        </w:tc>
        <w:tc>
          <w:tcPr>
            <w:tcW w:w="1276" w:type="dxa"/>
            <w:noWrap/>
            <w:tcMar>
              <w:left w:w="57" w:type="dxa"/>
              <w:right w:w="57" w:type="dxa"/>
            </w:tcMar>
            <w:vAlign w:val="center"/>
            <w:hideMark/>
          </w:tcPr>
          <w:p w14:paraId="09D118BA" w14:textId="77777777" w:rsidR="00801AB0" w:rsidRPr="004E5994" w:rsidRDefault="00801AB0" w:rsidP="00801AB0">
            <w:pPr>
              <w:jc w:val="right"/>
              <w:rPr>
                <w:rFonts w:cs="Calibri"/>
                <w:sz w:val="22"/>
                <w:szCs w:val="22"/>
              </w:rPr>
            </w:pPr>
            <w:r w:rsidRPr="004E5994">
              <w:rPr>
                <w:rFonts w:cs="Calibri"/>
                <w:sz w:val="22"/>
                <w:szCs w:val="22"/>
              </w:rPr>
              <w:t>11,3</w:t>
            </w:r>
          </w:p>
        </w:tc>
        <w:tc>
          <w:tcPr>
            <w:tcW w:w="1276" w:type="dxa"/>
            <w:noWrap/>
            <w:tcMar>
              <w:left w:w="57" w:type="dxa"/>
              <w:right w:w="57" w:type="dxa"/>
            </w:tcMar>
            <w:vAlign w:val="center"/>
            <w:hideMark/>
          </w:tcPr>
          <w:p w14:paraId="35AE5876" w14:textId="77777777" w:rsidR="00801AB0" w:rsidRPr="004E5994" w:rsidRDefault="00801AB0" w:rsidP="00801AB0">
            <w:pPr>
              <w:jc w:val="right"/>
              <w:rPr>
                <w:rFonts w:cs="Calibri"/>
                <w:sz w:val="22"/>
                <w:szCs w:val="22"/>
              </w:rPr>
            </w:pPr>
            <w:r w:rsidRPr="004E5994">
              <w:rPr>
                <w:rFonts w:cs="Calibri"/>
                <w:sz w:val="22"/>
                <w:szCs w:val="22"/>
              </w:rPr>
              <w:t>473</w:t>
            </w:r>
          </w:p>
        </w:tc>
        <w:tc>
          <w:tcPr>
            <w:tcW w:w="992" w:type="dxa"/>
            <w:noWrap/>
            <w:tcMar>
              <w:left w:w="57" w:type="dxa"/>
              <w:right w:w="57" w:type="dxa"/>
            </w:tcMar>
            <w:vAlign w:val="center"/>
            <w:hideMark/>
          </w:tcPr>
          <w:p w14:paraId="7C8465E1" w14:textId="77777777" w:rsidR="00801AB0" w:rsidRPr="004E5994" w:rsidRDefault="00801AB0" w:rsidP="00801AB0">
            <w:pPr>
              <w:jc w:val="right"/>
              <w:rPr>
                <w:rFonts w:cs="Calibri"/>
                <w:sz w:val="22"/>
                <w:szCs w:val="22"/>
              </w:rPr>
            </w:pPr>
            <w:r w:rsidRPr="004E5994">
              <w:rPr>
                <w:rFonts w:cs="Calibri"/>
                <w:sz w:val="22"/>
                <w:szCs w:val="22"/>
              </w:rPr>
              <w:t>3,3</w:t>
            </w:r>
          </w:p>
        </w:tc>
        <w:tc>
          <w:tcPr>
            <w:tcW w:w="1134" w:type="dxa"/>
            <w:noWrap/>
            <w:tcMar>
              <w:left w:w="57" w:type="dxa"/>
              <w:right w:w="57" w:type="dxa"/>
            </w:tcMar>
            <w:vAlign w:val="center"/>
            <w:hideMark/>
          </w:tcPr>
          <w:p w14:paraId="7E455FB9" w14:textId="77777777" w:rsidR="00801AB0" w:rsidRPr="004E5994" w:rsidRDefault="00801AB0" w:rsidP="00801AB0">
            <w:pPr>
              <w:jc w:val="right"/>
              <w:rPr>
                <w:rFonts w:cs="Calibri"/>
                <w:sz w:val="22"/>
                <w:szCs w:val="22"/>
              </w:rPr>
            </w:pPr>
            <w:r w:rsidRPr="004E5994">
              <w:rPr>
                <w:rFonts w:cs="Calibri"/>
                <w:sz w:val="22"/>
                <w:szCs w:val="22"/>
              </w:rPr>
              <w:t>139</w:t>
            </w:r>
          </w:p>
        </w:tc>
      </w:tr>
      <w:tr w:rsidR="00801AB0" w:rsidRPr="00801AB0" w14:paraId="65CD8AED" w14:textId="77777777" w:rsidTr="63259912">
        <w:trPr>
          <w:trHeight w:val="288"/>
        </w:trPr>
        <w:tc>
          <w:tcPr>
            <w:tcW w:w="846" w:type="dxa"/>
            <w:noWrap/>
            <w:tcMar>
              <w:left w:w="57" w:type="dxa"/>
              <w:right w:w="57" w:type="dxa"/>
            </w:tcMar>
            <w:vAlign w:val="center"/>
            <w:hideMark/>
          </w:tcPr>
          <w:p w14:paraId="3DC7FE9F" w14:textId="77777777" w:rsidR="00801AB0" w:rsidRPr="004E5994" w:rsidRDefault="00801AB0" w:rsidP="004623DD">
            <w:pPr>
              <w:rPr>
                <w:rFonts w:cs="Calibri"/>
                <w:b/>
                <w:sz w:val="22"/>
                <w:szCs w:val="22"/>
              </w:rPr>
            </w:pPr>
            <w:r w:rsidRPr="004E5994">
              <w:rPr>
                <w:rFonts w:cs="Calibri"/>
                <w:b/>
                <w:sz w:val="22"/>
                <w:szCs w:val="22"/>
              </w:rPr>
              <w:t>2045.</w:t>
            </w:r>
          </w:p>
        </w:tc>
        <w:tc>
          <w:tcPr>
            <w:tcW w:w="850" w:type="dxa"/>
            <w:noWrap/>
            <w:tcMar>
              <w:left w:w="57" w:type="dxa"/>
              <w:right w:w="57" w:type="dxa"/>
            </w:tcMar>
            <w:vAlign w:val="center"/>
            <w:hideMark/>
          </w:tcPr>
          <w:p w14:paraId="3C7FE73D" w14:textId="77777777" w:rsidR="00801AB0" w:rsidRPr="004E5994" w:rsidRDefault="00801AB0" w:rsidP="00801AB0">
            <w:pPr>
              <w:jc w:val="right"/>
              <w:rPr>
                <w:rFonts w:cs="Calibri"/>
                <w:sz w:val="22"/>
                <w:szCs w:val="22"/>
              </w:rPr>
            </w:pPr>
            <w:r w:rsidRPr="004E5994">
              <w:rPr>
                <w:rFonts w:cs="Calibri"/>
                <w:sz w:val="22"/>
                <w:szCs w:val="22"/>
              </w:rPr>
              <w:t>17,6</w:t>
            </w:r>
          </w:p>
        </w:tc>
        <w:tc>
          <w:tcPr>
            <w:tcW w:w="1134" w:type="dxa"/>
            <w:noWrap/>
            <w:tcMar>
              <w:left w:w="57" w:type="dxa"/>
              <w:right w:w="57" w:type="dxa"/>
            </w:tcMar>
            <w:vAlign w:val="center"/>
            <w:hideMark/>
          </w:tcPr>
          <w:p w14:paraId="11D6E1F6" w14:textId="77777777" w:rsidR="00801AB0" w:rsidRPr="004E5994" w:rsidRDefault="00801AB0" w:rsidP="00801AB0">
            <w:pPr>
              <w:jc w:val="right"/>
              <w:rPr>
                <w:rFonts w:cs="Calibri"/>
                <w:sz w:val="22"/>
                <w:szCs w:val="22"/>
              </w:rPr>
            </w:pPr>
            <w:r w:rsidRPr="004E5994">
              <w:rPr>
                <w:rFonts w:cs="Calibri"/>
                <w:sz w:val="22"/>
                <w:szCs w:val="22"/>
              </w:rPr>
              <w:t>738</w:t>
            </w:r>
          </w:p>
        </w:tc>
        <w:tc>
          <w:tcPr>
            <w:tcW w:w="1276" w:type="dxa"/>
            <w:noWrap/>
            <w:tcMar>
              <w:left w:w="57" w:type="dxa"/>
              <w:right w:w="57" w:type="dxa"/>
            </w:tcMar>
            <w:vAlign w:val="center"/>
            <w:hideMark/>
          </w:tcPr>
          <w:p w14:paraId="7BA742D3" w14:textId="765904D7" w:rsidR="00801AB0" w:rsidRPr="004E5994" w:rsidRDefault="00801AB0" w:rsidP="00801AB0">
            <w:pPr>
              <w:jc w:val="right"/>
              <w:rPr>
                <w:rFonts w:cs="Calibri"/>
                <w:sz w:val="22"/>
                <w:szCs w:val="22"/>
              </w:rPr>
            </w:pPr>
            <w:r w:rsidRPr="004E5994">
              <w:rPr>
                <w:rFonts w:cs="Calibri"/>
                <w:sz w:val="22"/>
                <w:szCs w:val="22"/>
              </w:rPr>
              <w:t>101</w:t>
            </w:r>
          </w:p>
        </w:tc>
        <w:tc>
          <w:tcPr>
            <w:tcW w:w="1276" w:type="dxa"/>
            <w:noWrap/>
            <w:tcMar>
              <w:left w:w="57" w:type="dxa"/>
              <w:right w:w="57" w:type="dxa"/>
            </w:tcMar>
            <w:vAlign w:val="center"/>
            <w:hideMark/>
          </w:tcPr>
          <w:p w14:paraId="5ABB9C26" w14:textId="77777777" w:rsidR="00801AB0" w:rsidRPr="004E5994" w:rsidRDefault="00801AB0" w:rsidP="00801AB0">
            <w:pPr>
              <w:jc w:val="right"/>
              <w:rPr>
                <w:rFonts w:cs="Calibri"/>
                <w:sz w:val="22"/>
                <w:szCs w:val="22"/>
              </w:rPr>
            </w:pPr>
            <w:r w:rsidRPr="004E5994">
              <w:rPr>
                <w:rFonts w:cs="Calibri"/>
                <w:sz w:val="22"/>
                <w:szCs w:val="22"/>
              </w:rPr>
              <w:t>11,3</w:t>
            </w:r>
          </w:p>
        </w:tc>
        <w:tc>
          <w:tcPr>
            <w:tcW w:w="1276" w:type="dxa"/>
            <w:noWrap/>
            <w:tcMar>
              <w:left w:w="57" w:type="dxa"/>
              <w:right w:w="57" w:type="dxa"/>
            </w:tcMar>
            <w:vAlign w:val="center"/>
            <w:hideMark/>
          </w:tcPr>
          <w:p w14:paraId="6A62559D" w14:textId="77777777" w:rsidR="00801AB0" w:rsidRPr="004E5994" w:rsidRDefault="00801AB0" w:rsidP="00801AB0">
            <w:pPr>
              <w:jc w:val="right"/>
              <w:rPr>
                <w:rFonts w:cs="Calibri"/>
                <w:sz w:val="22"/>
                <w:szCs w:val="22"/>
              </w:rPr>
            </w:pPr>
            <w:r w:rsidRPr="004E5994">
              <w:rPr>
                <w:rFonts w:cs="Calibri"/>
                <w:sz w:val="22"/>
                <w:szCs w:val="22"/>
              </w:rPr>
              <w:t>473</w:t>
            </w:r>
          </w:p>
        </w:tc>
        <w:tc>
          <w:tcPr>
            <w:tcW w:w="992" w:type="dxa"/>
            <w:noWrap/>
            <w:tcMar>
              <w:left w:w="57" w:type="dxa"/>
              <w:right w:w="57" w:type="dxa"/>
            </w:tcMar>
            <w:vAlign w:val="center"/>
            <w:hideMark/>
          </w:tcPr>
          <w:p w14:paraId="597B52E2" w14:textId="77777777" w:rsidR="00801AB0" w:rsidRPr="004E5994" w:rsidRDefault="00801AB0" w:rsidP="00801AB0">
            <w:pPr>
              <w:jc w:val="right"/>
              <w:rPr>
                <w:rFonts w:cs="Calibri"/>
                <w:sz w:val="22"/>
                <w:szCs w:val="22"/>
              </w:rPr>
            </w:pPr>
            <w:r w:rsidRPr="004E5994">
              <w:rPr>
                <w:rFonts w:cs="Calibri"/>
                <w:sz w:val="22"/>
                <w:szCs w:val="22"/>
              </w:rPr>
              <w:t>3,5</w:t>
            </w:r>
          </w:p>
        </w:tc>
        <w:tc>
          <w:tcPr>
            <w:tcW w:w="1134" w:type="dxa"/>
            <w:noWrap/>
            <w:tcMar>
              <w:left w:w="57" w:type="dxa"/>
              <w:right w:w="57" w:type="dxa"/>
            </w:tcMar>
            <w:vAlign w:val="center"/>
            <w:hideMark/>
          </w:tcPr>
          <w:p w14:paraId="6B2782B0" w14:textId="77777777" w:rsidR="00801AB0" w:rsidRPr="004E5994" w:rsidRDefault="00801AB0" w:rsidP="00801AB0">
            <w:pPr>
              <w:jc w:val="right"/>
              <w:rPr>
                <w:rFonts w:cs="Calibri"/>
                <w:sz w:val="22"/>
                <w:szCs w:val="22"/>
              </w:rPr>
            </w:pPr>
            <w:r w:rsidRPr="004E5994">
              <w:rPr>
                <w:rFonts w:cs="Calibri"/>
                <w:sz w:val="22"/>
                <w:szCs w:val="22"/>
              </w:rPr>
              <w:t>146</w:t>
            </w:r>
          </w:p>
        </w:tc>
      </w:tr>
      <w:tr w:rsidR="00801AB0" w:rsidRPr="00801AB0" w14:paraId="49952406" w14:textId="77777777" w:rsidTr="63259912">
        <w:trPr>
          <w:trHeight w:val="288"/>
        </w:trPr>
        <w:tc>
          <w:tcPr>
            <w:tcW w:w="846" w:type="dxa"/>
            <w:noWrap/>
            <w:tcMar>
              <w:left w:w="57" w:type="dxa"/>
              <w:right w:w="57" w:type="dxa"/>
            </w:tcMar>
            <w:vAlign w:val="center"/>
            <w:hideMark/>
          </w:tcPr>
          <w:p w14:paraId="1957A301" w14:textId="77777777" w:rsidR="00801AB0" w:rsidRPr="004E5994" w:rsidRDefault="00801AB0" w:rsidP="004623DD">
            <w:pPr>
              <w:rPr>
                <w:rFonts w:cs="Calibri"/>
                <w:b/>
                <w:sz w:val="22"/>
                <w:szCs w:val="22"/>
              </w:rPr>
            </w:pPr>
            <w:r w:rsidRPr="004E5994">
              <w:rPr>
                <w:rFonts w:cs="Calibri"/>
                <w:b/>
                <w:sz w:val="22"/>
                <w:szCs w:val="22"/>
              </w:rPr>
              <w:t>2050.</w:t>
            </w:r>
          </w:p>
        </w:tc>
        <w:tc>
          <w:tcPr>
            <w:tcW w:w="850" w:type="dxa"/>
            <w:noWrap/>
            <w:tcMar>
              <w:left w:w="57" w:type="dxa"/>
              <w:right w:w="57" w:type="dxa"/>
            </w:tcMar>
            <w:vAlign w:val="center"/>
            <w:hideMark/>
          </w:tcPr>
          <w:p w14:paraId="52152F56" w14:textId="77777777" w:rsidR="00801AB0" w:rsidRPr="004E5994" w:rsidRDefault="00801AB0" w:rsidP="00801AB0">
            <w:pPr>
              <w:jc w:val="right"/>
              <w:rPr>
                <w:rFonts w:cs="Calibri"/>
                <w:sz w:val="22"/>
                <w:szCs w:val="22"/>
              </w:rPr>
            </w:pPr>
            <w:r w:rsidRPr="004E5994">
              <w:rPr>
                <w:rFonts w:cs="Calibri"/>
                <w:sz w:val="22"/>
                <w:szCs w:val="22"/>
              </w:rPr>
              <w:t>19,7</w:t>
            </w:r>
          </w:p>
        </w:tc>
        <w:tc>
          <w:tcPr>
            <w:tcW w:w="1134" w:type="dxa"/>
            <w:noWrap/>
            <w:tcMar>
              <w:left w:w="57" w:type="dxa"/>
              <w:right w:w="57" w:type="dxa"/>
            </w:tcMar>
            <w:vAlign w:val="center"/>
            <w:hideMark/>
          </w:tcPr>
          <w:p w14:paraId="11C5C525" w14:textId="77777777" w:rsidR="00801AB0" w:rsidRPr="004E5994" w:rsidRDefault="00801AB0" w:rsidP="00801AB0">
            <w:pPr>
              <w:jc w:val="right"/>
              <w:rPr>
                <w:rFonts w:cs="Calibri"/>
                <w:sz w:val="22"/>
                <w:szCs w:val="22"/>
              </w:rPr>
            </w:pPr>
            <w:r w:rsidRPr="004E5994">
              <w:rPr>
                <w:rFonts w:cs="Calibri"/>
                <w:sz w:val="22"/>
                <w:szCs w:val="22"/>
              </w:rPr>
              <w:t>824</w:t>
            </w:r>
          </w:p>
        </w:tc>
        <w:tc>
          <w:tcPr>
            <w:tcW w:w="1276" w:type="dxa"/>
            <w:noWrap/>
            <w:tcMar>
              <w:left w:w="57" w:type="dxa"/>
              <w:right w:w="57" w:type="dxa"/>
            </w:tcMar>
            <w:vAlign w:val="center"/>
            <w:hideMark/>
          </w:tcPr>
          <w:p w14:paraId="6B28DA2E" w14:textId="5ED1A5FB" w:rsidR="00801AB0" w:rsidRPr="004E5994" w:rsidRDefault="00801AB0" w:rsidP="00801AB0">
            <w:pPr>
              <w:jc w:val="right"/>
              <w:rPr>
                <w:rFonts w:cs="Calibri"/>
                <w:sz w:val="22"/>
                <w:szCs w:val="22"/>
              </w:rPr>
            </w:pPr>
            <w:r w:rsidRPr="004E5994">
              <w:rPr>
                <w:rFonts w:cs="Calibri"/>
                <w:sz w:val="22"/>
                <w:szCs w:val="22"/>
              </w:rPr>
              <w:t>112</w:t>
            </w:r>
          </w:p>
        </w:tc>
        <w:tc>
          <w:tcPr>
            <w:tcW w:w="1276" w:type="dxa"/>
            <w:noWrap/>
            <w:tcMar>
              <w:left w:w="57" w:type="dxa"/>
              <w:right w:w="57" w:type="dxa"/>
            </w:tcMar>
            <w:vAlign w:val="center"/>
            <w:hideMark/>
          </w:tcPr>
          <w:p w14:paraId="19470A54" w14:textId="77777777" w:rsidR="00801AB0" w:rsidRPr="004E5994" w:rsidRDefault="00801AB0" w:rsidP="00801AB0">
            <w:pPr>
              <w:jc w:val="right"/>
              <w:rPr>
                <w:rFonts w:cs="Calibri"/>
                <w:sz w:val="22"/>
                <w:szCs w:val="22"/>
              </w:rPr>
            </w:pPr>
            <w:r w:rsidRPr="004E5994">
              <w:rPr>
                <w:rFonts w:cs="Calibri"/>
                <w:sz w:val="22"/>
                <w:szCs w:val="22"/>
              </w:rPr>
              <w:t>11,8</w:t>
            </w:r>
          </w:p>
        </w:tc>
        <w:tc>
          <w:tcPr>
            <w:tcW w:w="1276" w:type="dxa"/>
            <w:noWrap/>
            <w:tcMar>
              <w:left w:w="57" w:type="dxa"/>
              <w:right w:w="57" w:type="dxa"/>
            </w:tcMar>
            <w:vAlign w:val="center"/>
            <w:hideMark/>
          </w:tcPr>
          <w:p w14:paraId="5563F67B" w14:textId="77777777" w:rsidR="00801AB0" w:rsidRPr="004E5994" w:rsidRDefault="00801AB0" w:rsidP="00801AB0">
            <w:pPr>
              <w:jc w:val="right"/>
              <w:rPr>
                <w:rFonts w:cs="Calibri"/>
                <w:sz w:val="22"/>
                <w:szCs w:val="22"/>
              </w:rPr>
            </w:pPr>
            <w:r w:rsidRPr="004E5994">
              <w:rPr>
                <w:rFonts w:cs="Calibri"/>
                <w:sz w:val="22"/>
                <w:szCs w:val="22"/>
              </w:rPr>
              <w:t>494</w:t>
            </w:r>
          </w:p>
        </w:tc>
        <w:tc>
          <w:tcPr>
            <w:tcW w:w="992" w:type="dxa"/>
            <w:noWrap/>
            <w:tcMar>
              <w:left w:w="57" w:type="dxa"/>
              <w:right w:w="57" w:type="dxa"/>
            </w:tcMar>
            <w:vAlign w:val="center"/>
            <w:hideMark/>
          </w:tcPr>
          <w:p w14:paraId="76F3AED6" w14:textId="77777777" w:rsidR="00801AB0" w:rsidRPr="004E5994" w:rsidRDefault="00801AB0" w:rsidP="00801AB0">
            <w:pPr>
              <w:jc w:val="right"/>
              <w:rPr>
                <w:rFonts w:cs="Calibri"/>
                <w:sz w:val="22"/>
                <w:szCs w:val="22"/>
              </w:rPr>
            </w:pPr>
            <w:r w:rsidRPr="004E5994">
              <w:rPr>
                <w:rFonts w:cs="Calibri"/>
                <w:sz w:val="22"/>
                <w:szCs w:val="22"/>
              </w:rPr>
              <w:t>3,7</w:t>
            </w:r>
          </w:p>
        </w:tc>
        <w:tc>
          <w:tcPr>
            <w:tcW w:w="1134" w:type="dxa"/>
            <w:noWrap/>
            <w:tcMar>
              <w:left w:w="57" w:type="dxa"/>
              <w:right w:w="57" w:type="dxa"/>
            </w:tcMar>
            <w:vAlign w:val="center"/>
            <w:hideMark/>
          </w:tcPr>
          <w:p w14:paraId="7D8745FE" w14:textId="77777777" w:rsidR="00801AB0" w:rsidRPr="004E5994" w:rsidRDefault="00801AB0" w:rsidP="00801AB0">
            <w:pPr>
              <w:jc w:val="right"/>
              <w:rPr>
                <w:rFonts w:cs="Calibri"/>
                <w:sz w:val="22"/>
                <w:szCs w:val="22"/>
              </w:rPr>
            </w:pPr>
            <w:r w:rsidRPr="004E5994">
              <w:rPr>
                <w:rFonts w:cs="Calibri"/>
                <w:sz w:val="22"/>
                <w:szCs w:val="22"/>
              </w:rPr>
              <w:t>153</w:t>
            </w:r>
          </w:p>
        </w:tc>
      </w:tr>
    </w:tbl>
    <w:p w14:paraId="763543C4" w14:textId="77777777" w:rsidR="000E746E" w:rsidRPr="00B47BDA" w:rsidRDefault="000E746E" w:rsidP="004623DD">
      <w:pPr>
        <w:pStyle w:val="Slike"/>
      </w:pPr>
      <w:r w:rsidRPr="63259912">
        <w:t>Izvor: EU Recommended parameters for reporting on GHG projections in 2023</w:t>
      </w:r>
    </w:p>
    <w:p w14:paraId="7475A40C" w14:textId="6B13E381" w:rsidR="000E746E" w:rsidRPr="00B47BDA" w:rsidRDefault="005432D8" w:rsidP="004623DD">
      <w:r w:rsidRPr="00B47BDA">
        <w:fldChar w:fldCharType="begin"/>
      </w:r>
      <w:r w:rsidRPr="00B47BDA">
        <w:instrText xml:space="preserve"> REF _Ref132992545 \h </w:instrText>
      </w:r>
      <w:r w:rsidR="00413754" w:rsidRPr="00B47BDA">
        <w:instrText xml:space="preserve"> \* MERGEFORMAT </w:instrText>
      </w:r>
      <w:r w:rsidRPr="00B47BDA">
        <w:fldChar w:fldCharType="separate"/>
      </w:r>
      <w:r w:rsidR="00F30157" w:rsidRPr="00B47BDA">
        <w:t xml:space="preserve">Slika </w:t>
      </w:r>
      <w:r w:rsidR="00F30157">
        <w:t>4–</w:t>
      </w:r>
      <w:r w:rsidR="00F30157">
        <w:rPr>
          <w:noProof/>
        </w:rPr>
        <w:t>1</w:t>
      </w:r>
      <w:r w:rsidRPr="00B47BDA">
        <w:fldChar w:fldCharType="end"/>
      </w:r>
      <w:r w:rsidR="00801AB0">
        <w:t>.</w:t>
      </w:r>
      <w:r w:rsidR="00AC6A7D" w:rsidRPr="00B47BDA">
        <w:t xml:space="preserve"> </w:t>
      </w:r>
      <w:r w:rsidR="000E746E" w:rsidRPr="00B47BDA">
        <w:t>prikazuje očekivani razvoj cijene goriva do 2050. godine, a u odnosu na 2021. godinu (zadnja godina prije većih poremećaja i promjena cijena na energetskom tržištu).</w:t>
      </w:r>
    </w:p>
    <w:p w14:paraId="65F6A2F8" w14:textId="0AAF3A26" w:rsidR="00FC715C" w:rsidRPr="00B47BDA" w:rsidRDefault="00EB4039" w:rsidP="004623DD">
      <w:r w:rsidRPr="00EB4039">
        <w:rPr>
          <w:noProof/>
        </w:rPr>
        <w:lastRenderedPageBreak/>
        <w:drawing>
          <wp:inline distT="0" distB="0" distL="0" distR="0" wp14:anchorId="1D00412E" wp14:editId="0BF54FAB">
            <wp:extent cx="5088890" cy="3117296"/>
            <wp:effectExtent l="0" t="0" r="0" b="6985"/>
            <wp:docPr id="18551327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7663" cy="3122670"/>
                    </a:xfrm>
                    <a:prstGeom prst="rect">
                      <a:avLst/>
                    </a:prstGeom>
                    <a:noFill/>
                    <a:ln>
                      <a:noFill/>
                    </a:ln>
                  </pic:spPr>
                </pic:pic>
              </a:graphicData>
            </a:graphic>
          </wp:inline>
        </w:drawing>
      </w:r>
    </w:p>
    <w:p w14:paraId="7F39FD9A" w14:textId="78603D28" w:rsidR="000E746E" w:rsidRPr="00B47BDA" w:rsidRDefault="00CF731C" w:rsidP="00225107">
      <w:pPr>
        <w:pStyle w:val="Caption"/>
      </w:pPr>
      <w:bookmarkStart w:id="519" w:name="_Ref132992545"/>
      <w:bookmarkStart w:id="520" w:name="_Toc185605250"/>
      <w:bookmarkStart w:id="521" w:name="_Toc193035896"/>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AD324D">
        <w:rPr>
          <w:noProof/>
        </w:rPr>
        <w:t>1</w:t>
      </w:r>
      <w:r>
        <w:fldChar w:fldCharType="end"/>
      </w:r>
      <w:bookmarkEnd w:id="519"/>
      <w:r w:rsidR="000E746E" w:rsidRPr="00B47BDA">
        <w:t>. Indeks promjene cijene goriva do 2050. godine</w:t>
      </w:r>
      <w:bookmarkEnd w:id="520"/>
      <w:bookmarkEnd w:id="521"/>
    </w:p>
    <w:p w14:paraId="4BDEFC85" w14:textId="77777777" w:rsidR="00D53653" w:rsidRPr="00B47BDA" w:rsidRDefault="00D53653" w:rsidP="004623DD">
      <w:pPr>
        <w:pStyle w:val="Slike"/>
      </w:pPr>
      <w:r w:rsidRPr="63259912">
        <w:t>Izvor: EU Recommended parameters for reporting on GHG projections in 2023</w:t>
      </w:r>
    </w:p>
    <w:p w14:paraId="6EC2FE7E" w14:textId="7DB338AC" w:rsidR="000E746E" w:rsidRPr="00B47BDA" w:rsidRDefault="000E746E" w:rsidP="004623DD">
      <w:r w:rsidRPr="00B47BDA">
        <w:t xml:space="preserve">Za prirodni plin preporučeno je provesti analizu osjetljivosti u granicama očekivane donje i gornje cijene, kako je prikazano </w:t>
      </w:r>
      <w:r w:rsidR="00AC6A7D" w:rsidRPr="00B47BDA">
        <w:t>u tablici i slici u nastavku.</w:t>
      </w:r>
    </w:p>
    <w:p w14:paraId="2E2DA2FB" w14:textId="189043D5" w:rsidR="00D53653" w:rsidRPr="00B47BDA" w:rsidRDefault="00D53653" w:rsidP="004623DD">
      <w:pPr>
        <w:pStyle w:val="Caption"/>
      </w:pPr>
      <w:bookmarkStart w:id="522" w:name="_Toc193035954"/>
      <w:r w:rsidRPr="00B47BDA">
        <w:t xml:space="preserve">Tablica </w:t>
      </w:r>
      <w:r>
        <w:fldChar w:fldCharType="begin"/>
      </w:r>
      <w:r>
        <w:instrText>STYLEREF 1 \s</w:instrText>
      </w:r>
      <w:r>
        <w:fldChar w:fldCharType="separate"/>
      </w:r>
      <w:r w:rsidR="00AD324D">
        <w:rPr>
          <w:noProof/>
        </w:rPr>
        <w:t>4</w:t>
      </w:r>
      <w:r>
        <w:fldChar w:fldCharType="end"/>
      </w:r>
      <w:r w:rsidR="000C3EFD" w:rsidRPr="00B47BDA">
        <w:noBreakHyphen/>
      </w:r>
      <w:r>
        <w:fldChar w:fldCharType="begin"/>
      </w:r>
      <w:r>
        <w:instrText>SEQ Tablica \* ARABIC \s 1</w:instrText>
      </w:r>
      <w:r>
        <w:fldChar w:fldCharType="separate"/>
      </w:r>
      <w:r w:rsidR="00DB2420">
        <w:rPr>
          <w:noProof/>
        </w:rPr>
        <w:t>3</w:t>
      </w:r>
      <w:r>
        <w:fldChar w:fldCharType="end"/>
      </w:r>
      <w:r w:rsidR="005C221A" w:rsidRPr="00B47BDA">
        <w:t xml:space="preserve">. </w:t>
      </w:r>
      <w:r w:rsidR="00D5761D" w:rsidRPr="00B47BDA">
        <w:t xml:space="preserve">Projekcija cijena </w:t>
      </w:r>
      <w:r w:rsidR="005F4BFB" w:rsidRPr="00B47BDA">
        <w:t>prirodnog plina</w:t>
      </w:r>
      <w:bookmarkEnd w:id="522"/>
    </w:p>
    <w:tbl>
      <w:tblPr>
        <w:tblW w:w="4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092"/>
        <w:gridCol w:w="1985"/>
        <w:gridCol w:w="1276"/>
        <w:gridCol w:w="1983"/>
      </w:tblGrid>
      <w:tr w:rsidR="000E746E" w:rsidRPr="00801AB0" w14:paraId="32012375" w14:textId="77777777" w:rsidTr="00574A65">
        <w:trPr>
          <w:trHeight w:val="288"/>
          <w:jc w:val="center"/>
        </w:trPr>
        <w:tc>
          <w:tcPr>
            <w:tcW w:w="780" w:type="pct"/>
            <w:vMerge w:val="restart"/>
            <w:shd w:val="clear" w:color="auto" w:fill="D9E2F3" w:themeFill="accent5" w:themeFillTint="33"/>
            <w:noWrap/>
            <w:vAlign w:val="center"/>
            <w:hideMark/>
          </w:tcPr>
          <w:p w14:paraId="49AA2A39" w14:textId="77777777" w:rsidR="000E746E" w:rsidRPr="004E5994" w:rsidRDefault="000E746E" w:rsidP="00362EBF">
            <w:pPr>
              <w:spacing w:after="0"/>
              <w:rPr>
                <w:sz w:val="22"/>
                <w:szCs w:val="22"/>
              </w:rPr>
            </w:pPr>
            <w:r w:rsidRPr="004E5994">
              <w:rPr>
                <w:sz w:val="22"/>
                <w:szCs w:val="22"/>
              </w:rPr>
              <w:t>EUR2020</w:t>
            </w:r>
          </w:p>
        </w:tc>
        <w:tc>
          <w:tcPr>
            <w:tcW w:w="2049" w:type="pct"/>
            <w:gridSpan w:val="2"/>
            <w:shd w:val="clear" w:color="auto" w:fill="D9E2F3" w:themeFill="accent5" w:themeFillTint="33"/>
            <w:noWrap/>
            <w:vAlign w:val="center"/>
            <w:hideMark/>
          </w:tcPr>
          <w:p w14:paraId="2022AFB1" w14:textId="77777777" w:rsidR="000E746E" w:rsidRPr="004E5994" w:rsidRDefault="000E746E" w:rsidP="00362EBF">
            <w:pPr>
              <w:spacing w:after="0"/>
              <w:jc w:val="center"/>
              <w:rPr>
                <w:b/>
                <w:sz w:val="22"/>
                <w:szCs w:val="22"/>
              </w:rPr>
            </w:pPr>
            <w:r w:rsidRPr="004E5994">
              <w:rPr>
                <w:b/>
                <w:sz w:val="22"/>
                <w:szCs w:val="22"/>
              </w:rPr>
              <w:t>Prirodni plin (NCV) – niska cijena</w:t>
            </w:r>
          </w:p>
        </w:tc>
        <w:tc>
          <w:tcPr>
            <w:tcW w:w="2171" w:type="pct"/>
            <w:gridSpan w:val="2"/>
            <w:shd w:val="clear" w:color="auto" w:fill="D9E2F3" w:themeFill="accent5" w:themeFillTint="33"/>
            <w:noWrap/>
            <w:vAlign w:val="center"/>
            <w:hideMark/>
          </w:tcPr>
          <w:p w14:paraId="6DBACAC0" w14:textId="77777777" w:rsidR="000E746E" w:rsidRPr="004E5994" w:rsidRDefault="000E746E" w:rsidP="00362EBF">
            <w:pPr>
              <w:spacing w:after="0"/>
              <w:jc w:val="center"/>
              <w:rPr>
                <w:b/>
                <w:sz w:val="22"/>
                <w:szCs w:val="22"/>
              </w:rPr>
            </w:pPr>
            <w:r w:rsidRPr="004E5994">
              <w:rPr>
                <w:b/>
                <w:sz w:val="22"/>
                <w:szCs w:val="22"/>
              </w:rPr>
              <w:t>Prirodni plin (NCV) – visoka cijena</w:t>
            </w:r>
          </w:p>
        </w:tc>
      </w:tr>
      <w:tr w:rsidR="000E746E" w:rsidRPr="00801AB0" w14:paraId="264C091F" w14:textId="77777777" w:rsidTr="00801AB0">
        <w:trPr>
          <w:trHeight w:val="288"/>
          <w:jc w:val="center"/>
        </w:trPr>
        <w:tc>
          <w:tcPr>
            <w:tcW w:w="780" w:type="pct"/>
            <w:vMerge/>
            <w:shd w:val="clear" w:color="auto" w:fill="D9E2F3" w:themeFill="accent5" w:themeFillTint="33"/>
            <w:noWrap/>
            <w:vAlign w:val="center"/>
            <w:hideMark/>
          </w:tcPr>
          <w:p w14:paraId="70BA1525" w14:textId="77777777" w:rsidR="000E746E" w:rsidRPr="004E5994" w:rsidRDefault="000E746E" w:rsidP="00362EBF">
            <w:pPr>
              <w:spacing w:after="0"/>
              <w:rPr>
                <w:sz w:val="22"/>
                <w:szCs w:val="22"/>
              </w:rPr>
            </w:pPr>
          </w:p>
        </w:tc>
        <w:tc>
          <w:tcPr>
            <w:tcW w:w="727" w:type="pct"/>
            <w:shd w:val="clear" w:color="auto" w:fill="D9E2F3" w:themeFill="accent5" w:themeFillTint="33"/>
            <w:noWrap/>
            <w:vAlign w:val="center"/>
            <w:hideMark/>
          </w:tcPr>
          <w:p w14:paraId="2DCA1DE2" w14:textId="77777777" w:rsidR="000E746E" w:rsidRPr="004E5994" w:rsidRDefault="000E746E" w:rsidP="00362EBF">
            <w:pPr>
              <w:spacing w:after="0"/>
              <w:jc w:val="center"/>
              <w:rPr>
                <w:b/>
                <w:sz w:val="22"/>
                <w:szCs w:val="22"/>
              </w:rPr>
            </w:pPr>
            <w:r w:rsidRPr="004E5994">
              <w:rPr>
                <w:b/>
                <w:sz w:val="22"/>
                <w:szCs w:val="22"/>
              </w:rPr>
              <w:t>EUR/GJ</w:t>
            </w:r>
          </w:p>
        </w:tc>
        <w:tc>
          <w:tcPr>
            <w:tcW w:w="1322" w:type="pct"/>
            <w:shd w:val="clear" w:color="auto" w:fill="D9E2F3" w:themeFill="accent5" w:themeFillTint="33"/>
            <w:noWrap/>
            <w:vAlign w:val="center"/>
            <w:hideMark/>
          </w:tcPr>
          <w:p w14:paraId="3DE9413E" w14:textId="77777777" w:rsidR="000E746E" w:rsidRPr="004E5994" w:rsidRDefault="000E746E" w:rsidP="00362EBF">
            <w:pPr>
              <w:spacing w:after="0"/>
              <w:jc w:val="center"/>
              <w:rPr>
                <w:b/>
                <w:sz w:val="22"/>
                <w:szCs w:val="22"/>
              </w:rPr>
            </w:pPr>
            <w:r w:rsidRPr="004E5994">
              <w:rPr>
                <w:b/>
                <w:sz w:val="22"/>
                <w:szCs w:val="22"/>
              </w:rPr>
              <w:t>EUR/tona</w:t>
            </w:r>
          </w:p>
        </w:tc>
        <w:tc>
          <w:tcPr>
            <w:tcW w:w="850" w:type="pct"/>
            <w:shd w:val="clear" w:color="auto" w:fill="D9E2F3" w:themeFill="accent5" w:themeFillTint="33"/>
            <w:noWrap/>
            <w:vAlign w:val="center"/>
            <w:hideMark/>
          </w:tcPr>
          <w:p w14:paraId="3878AEB5" w14:textId="77777777" w:rsidR="000E746E" w:rsidRPr="004E5994" w:rsidRDefault="000E746E" w:rsidP="00362EBF">
            <w:pPr>
              <w:spacing w:after="0"/>
              <w:jc w:val="center"/>
              <w:rPr>
                <w:b/>
                <w:sz w:val="22"/>
                <w:szCs w:val="22"/>
              </w:rPr>
            </w:pPr>
            <w:r w:rsidRPr="004E5994">
              <w:rPr>
                <w:b/>
                <w:sz w:val="22"/>
                <w:szCs w:val="22"/>
              </w:rPr>
              <w:t>EUR/GJ</w:t>
            </w:r>
          </w:p>
        </w:tc>
        <w:tc>
          <w:tcPr>
            <w:tcW w:w="1321" w:type="pct"/>
            <w:shd w:val="clear" w:color="auto" w:fill="D9E2F3" w:themeFill="accent5" w:themeFillTint="33"/>
            <w:noWrap/>
            <w:vAlign w:val="center"/>
            <w:hideMark/>
          </w:tcPr>
          <w:p w14:paraId="08D31EAA" w14:textId="77777777" w:rsidR="000E746E" w:rsidRPr="004E5994" w:rsidRDefault="000E746E" w:rsidP="00362EBF">
            <w:pPr>
              <w:spacing w:after="0"/>
              <w:jc w:val="center"/>
              <w:rPr>
                <w:b/>
                <w:sz w:val="22"/>
                <w:szCs w:val="22"/>
              </w:rPr>
            </w:pPr>
            <w:r w:rsidRPr="004E5994">
              <w:rPr>
                <w:b/>
                <w:sz w:val="22"/>
                <w:szCs w:val="22"/>
              </w:rPr>
              <w:t>EUR/tona</w:t>
            </w:r>
          </w:p>
        </w:tc>
      </w:tr>
      <w:tr w:rsidR="000E746E" w:rsidRPr="00801AB0" w14:paraId="0ED49C8A" w14:textId="77777777" w:rsidTr="00801AB0">
        <w:trPr>
          <w:trHeight w:val="288"/>
          <w:jc w:val="center"/>
        </w:trPr>
        <w:tc>
          <w:tcPr>
            <w:tcW w:w="780" w:type="pct"/>
            <w:noWrap/>
            <w:vAlign w:val="center"/>
            <w:hideMark/>
          </w:tcPr>
          <w:p w14:paraId="0E6BCECE" w14:textId="77777777" w:rsidR="000E746E" w:rsidRPr="004E5994" w:rsidRDefault="000E746E" w:rsidP="00362EBF">
            <w:pPr>
              <w:spacing w:after="0"/>
              <w:rPr>
                <w:b/>
                <w:sz w:val="22"/>
                <w:szCs w:val="22"/>
              </w:rPr>
            </w:pPr>
            <w:r w:rsidRPr="004E5994">
              <w:rPr>
                <w:b/>
                <w:sz w:val="22"/>
                <w:szCs w:val="22"/>
              </w:rPr>
              <w:t>2025.</w:t>
            </w:r>
          </w:p>
        </w:tc>
        <w:tc>
          <w:tcPr>
            <w:tcW w:w="727" w:type="pct"/>
            <w:noWrap/>
            <w:vAlign w:val="center"/>
            <w:hideMark/>
          </w:tcPr>
          <w:p w14:paraId="58E97606" w14:textId="77777777" w:rsidR="000E746E" w:rsidRPr="004E5994" w:rsidRDefault="000E746E" w:rsidP="00362EBF">
            <w:pPr>
              <w:spacing w:after="0"/>
              <w:jc w:val="center"/>
              <w:rPr>
                <w:sz w:val="22"/>
                <w:szCs w:val="22"/>
              </w:rPr>
            </w:pPr>
            <w:r w:rsidRPr="004E5994">
              <w:rPr>
                <w:sz w:val="22"/>
                <w:szCs w:val="22"/>
              </w:rPr>
              <w:t>5,0</w:t>
            </w:r>
          </w:p>
        </w:tc>
        <w:tc>
          <w:tcPr>
            <w:tcW w:w="1322" w:type="pct"/>
            <w:noWrap/>
            <w:vAlign w:val="center"/>
            <w:hideMark/>
          </w:tcPr>
          <w:p w14:paraId="0F619F12" w14:textId="77777777" w:rsidR="000E746E" w:rsidRPr="004E5994" w:rsidRDefault="000E746E" w:rsidP="00362EBF">
            <w:pPr>
              <w:spacing w:after="0"/>
              <w:jc w:val="center"/>
              <w:rPr>
                <w:sz w:val="22"/>
                <w:szCs w:val="22"/>
              </w:rPr>
            </w:pPr>
            <w:r w:rsidRPr="004E5994">
              <w:rPr>
                <w:sz w:val="22"/>
                <w:szCs w:val="22"/>
              </w:rPr>
              <w:t>209</w:t>
            </w:r>
          </w:p>
        </w:tc>
        <w:tc>
          <w:tcPr>
            <w:tcW w:w="850" w:type="pct"/>
            <w:noWrap/>
            <w:vAlign w:val="center"/>
            <w:hideMark/>
          </w:tcPr>
          <w:p w14:paraId="2F2035AE" w14:textId="77777777" w:rsidR="000E746E" w:rsidRPr="004E5994" w:rsidRDefault="000E746E" w:rsidP="00362EBF">
            <w:pPr>
              <w:spacing w:after="0"/>
              <w:jc w:val="center"/>
              <w:rPr>
                <w:sz w:val="22"/>
                <w:szCs w:val="22"/>
              </w:rPr>
            </w:pPr>
            <w:r w:rsidRPr="004E5994">
              <w:rPr>
                <w:sz w:val="22"/>
                <w:szCs w:val="22"/>
              </w:rPr>
              <w:t>14,6</w:t>
            </w:r>
          </w:p>
        </w:tc>
        <w:tc>
          <w:tcPr>
            <w:tcW w:w="1321" w:type="pct"/>
            <w:noWrap/>
            <w:vAlign w:val="center"/>
            <w:hideMark/>
          </w:tcPr>
          <w:p w14:paraId="01B81A46" w14:textId="77777777" w:rsidR="000E746E" w:rsidRPr="004E5994" w:rsidRDefault="000E746E" w:rsidP="00362EBF">
            <w:pPr>
              <w:spacing w:after="0"/>
              <w:jc w:val="center"/>
              <w:rPr>
                <w:sz w:val="22"/>
                <w:szCs w:val="22"/>
              </w:rPr>
            </w:pPr>
            <w:r w:rsidRPr="004E5994">
              <w:rPr>
                <w:sz w:val="22"/>
                <w:szCs w:val="22"/>
              </w:rPr>
              <w:t>611</w:t>
            </w:r>
          </w:p>
        </w:tc>
      </w:tr>
      <w:tr w:rsidR="000E746E" w:rsidRPr="00801AB0" w14:paraId="5706BDD6" w14:textId="77777777" w:rsidTr="00801AB0">
        <w:trPr>
          <w:trHeight w:val="288"/>
          <w:jc w:val="center"/>
        </w:trPr>
        <w:tc>
          <w:tcPr>
            <w:tcW w:w="780" w:type="pct"/>
            <w:noWrap/>
            <w:vAlign w:val="center"/>
            <w:hideMark/>
          </w:tcPr>
          <w:p w14:paraId="0D861AF4" w14:textId="77777777" w:rsidR="000E746E" w:rsidRPr="004E5994" w:rsidRDefault="000E746E" w:rsidP="00362EBF">
            <w:pPr>
              <w:spacing w:after="0"/>
              <w:rPr>
                <w:b/>
                <w:sz w:val="22"/>
                <w:szCs w:val="22"/>
              </w:rPr>
            </w:pPr>
            <w:r w:rsidRPr="004E5994">
              <w:rPr>
                <w:b/>
                <w:sz w:val="22"/>
                <w:szCs w:val="22"/>
              </w:rPr>
              <w:t>2030.</w:t>
            </w:r>
          </w:p>
        </w:tc>
        <w:tc>
          <w:tcPr>
            <w:tcW w:w="727" w:type="pct"/>
            <w:noWrap/>
            <w:vAlign w:val="center"/>
            <w:hideMark/>
          </w:tcPr>
          <w:p w14:paraId="6CC4AB53" w14:textId="77777777" w:rsidR="000E746E" w:rsidRPr="004E5994" w:rsidRDefault="000E746E" w:rsidP="00362EBF">
            <w:pPr>
              <w:spacing w:after="0"/>
              <w:jc w:val="center"/>
              <w:rPr>
                <w:sz w:val="22"/>
                <w:szCs w:val="22"/>
              </w:rPr>
            </w:pPr>
            <w:r w:rsidRPr="004E5994">
              <w:rPr>
                <w:sz w:val="22"/>
                <w:szCs w:val="22"/>
              </w:rPr>
              <w:t>6,7</w:t>
            </w:r>
          </w:p>
        </w:tc>
        <w:tc>
          <w:tcPr>
            <w:tcW w:w="1322" w:type="pct"/>
            <w:noWrap/>
            <w:vAlign w:val="center"/>
            <w:hideMark/>
          </w:tcPr>
          <w:p w14:paraId="4FED8131" w14:textId="77777777" w:rsidR="000E746E" w:rsidRPr="004E5994" w:rsidRDefault="000E746E" w:rsidP="00362EBF">
            <w:pPr>
              <w:spacing w:after="0"/>
              <w:jc w:val="center"/>
              <w:rPr>
                <w:sz w:val="22"/>
                <w:szCs w:val="22"/>
              </w:rPr>
            </w:pPr>
            <w:r w:rsidRPr="004E5994">
              <w:rPr>
                <w:sz w:val="22"/>
                <w:szCs w:val="22"/>
              </w:rPr>
              <w:t>281</w:t>
            </w:r>
          </w:p>
        </w:tc>
        <w:tc>
          <w:tcPr>
            <w:tcW w:w="850" w:type="pct"/>
            <w:noWrap/>
            <w:vAlign w:val="center"/>
            <w:hideMark/>
          </w:tcPr>
          <w:p w14:paraId="65822052" w14:textId="77777777" w:rsidR="000E746E" w:rsidRPr="004E5994" w:rsidRDefault="000E746E" w:rsidP="00362EBF">
            <w:pPr>
              <w:spacing w:after="0"/>
              <w:jc w:val="center"/>
              <w:rPr>
                <w:sz w:val="22"/>
                <w:szCs w:val="22"/>
              </w:rPr>
            </w:pPr>
            <w:r w:rsidRPr="004E5994">
              <w:rPr>
                <w:sz w:val="22"/>
                <w:szCs w:val="22"/>
              </w:rPr>
              <w:t>13,8</w:t>
            </w:r>
          </w:p>
        </w:tc>
        <w:tc>
          <w:tcPr>
            <w:tcW w:w="1321" w:type="pct"/>
            <w:noWrap/>
            <w:vAlign w:val="center"/>
            <w:hideMark/>
          </w:tcPr>
          <w:p w14:paraId="4C1EDCBB" w14:textId="77777777" w:rsidR="000E746E" w:rsidRPr="004E5994" w:rsidRDefault="000E746E" w:rsidP="00362EBF">
            <w:pPr>
              <w:spacing w:after="0"/>
              <w:jc w:val="center"/>
              <w:rPr>
                <w:sz w:val="22"/>
                <w:szCs w:val="22"/>
              </w:rPr>
            </w:pPr>
            <w:r w:rsidRPr="004E5994">
              <w:rPr>
                <w:sz w:val="22"/>
                <w:szCs w:val="22"/>
              </w:rPr>
              <w:t>579</w:t>
            </w:r>
          </w:p>
        </w:tc>
      </w:tr>
      <w:tr w:rsidR="000E746E" w:rsidRPr="00801AB0" w14:paraId="466505A2" w14:textId="77777777" w:rsidTr="00801AB0">
        <w:trPr>
          <w:trHeight w:val="288"/>
          <w:jc w:val="center"/>
        </w:trPr>
        <w:tc>
          <w:tcPr>
            <w:tcW w:w="780" w:type="pct"/>
            <w:noWrap/>
            <w:vAlign w:val="center"/>
            <w:hideMark/>
          </w:tcPr>
          <w:p w14:paraId="38AD94A8" w14:textId="77777777" w:rsidR="000E746E" w:rsidRPr="004E5994" w:rsidRDefault="000E746E" w:rsidP="00362EBF">
            <w:pPr>
              <w:spacing w:after="0"/>
              <w:rPr>
                <w:b/>
                <w:sz w:val="22"/>
                <w:szCs w:val="22"/>
              </w:rPr>
            </w:pPr>
            <w:r w:rsidRPr="004E5994">
              <w:rPr>
                <w:b/>
                <w:sz w:val="22"/>
                <w:szCs w:val="22"/>
              </w:rPr>
              <w:t>2035.</w:t>
            </w:r>
          </w:p>
        </w:tc>
        <w:tc>
          <w:tcPr>
            <w:tcW w:w="727" w:type="pct"/>
            <w:noWrap/>
            <w:vAlign w:val="center"/>
            <w:hideMark/>
          </w:tcPr>
          <w:p w14:paraId="762CC9AB" w14:textId="77777777" w:rsidR="000E746E" w:rsidRPr="004E5994" w:rsidRDefault="000E746E" w:rsidP="00362EBF">
            <w:pPr>
              <w:spacing w:after="0"/>
              <w:jc w:val="center"/>
              <w:rPr>
                <w:sz w:val="22"/>
                <w:szCs w:val="22"/>
              </w:rPr>
            </w:pPr>
            <w:r w:rsidRPr="004E5994">
              <w:rPr>
                <w:sz w:val="22"/>
                <w:szCs w:val="22"/>
              </w:rPr>
              <w:t>7,4</w:t>
            </w:r>
          </w:p>
        </w:tc>
        <w:tc>
          <w:tcPr>
            <w:tcW w:w="1322" w:type="pct"/>
            <w:noWrap/>
            <w:vAlign w:val="center"/>
            <w:hideMark/>
          </w:tcPr>
          <w:p w14:paraId="2F41A0C1" w14:textId="77777777" w:rsidR="000E746E" w:rsidRPr="004E5994" w:rsidRDefault="000E746E" w:rsidP="00362EBF">
            <w:pPr>
              <w:spacing w:after="0"/>
              <w:jc w:val="center"/>
              <w:rPr>
                <w:sz w:val="22"/>
                <w:szCs w:val="22"/>
              </w:rPr>
            </w:pPr>
            <w:r w:rsidRPr="004E5994">
              <w:rPr>
                <w:sz w:val="22"/>
                <w:szCs w:val="22"/>
              </w:rPr>
              <w:t>308</w:t>
            </w:r>
          </w:p>
        </w:tc>
        <w:tc>
          <w:tcPr>
            <w:tcW w:w="850" w:type="pct"/>
            <w:noWrap/>
            <w:vAlign w:val="center"/>
            <w:hideMark/>
          </w:tcPr>
          <w:p w14:paraId="03C0DADE" w14:textId="77777777" w:rsidR="000E746E" w:rsidRPr="004E5994" w:rsidRDefault="000E746E" w:rsidP="00362EBF">
            <w:pPr>
              <w:spacing w:after="0"/>
              <w:jc w:val="center"/>
              <w:rPr>
                <w:sz w:val="22"/>
                <w:szCs w:val="22"/>
              </w:rPr>
            </w:pPr>
            <w:r w:rsidRPr="004E5994">
              <w:rPr>
                <w:sz w:val="22"/>
                <w:szCs w:val="22"/>
              </w:rPr>
              <w:t>13,1</w:t>
            </w:r>
          </w:p>
        </w:tc>
        <w:tc>
          <w:tcPr>
            <w:tcW w:w="1321" w:type="pct"/>
            <w:noWrap/>
            <w:vAlign w:val="center"/>
            <w:hideMark/>
          </w:tcPr>
          <w:p w14:paraId="18992675" w14:textId="77777777" w:rsidR="000E746E" w:rsidRPr="004E5994" w:rsidRDefault="000E746E" w:rsidP="00362EBF">
            <w:pPr>
              <w:spacing w:after="0"/>
              <w:jc w:val="center"/>
              <w:rPr>
                <w:sz w:val="22"/>
                <w:szCs w:val="22"/>
              </w:rPr>
            </w:pPr>
            <w:r w:rsidRPr="004E5994">
              <w:rPr>
                <w:sz w:val="22"/>
                <w:szCs w:val="22"/>
              </w:rPr>
              <w:t>547</w:t>
            </w:r>
          </w:p>
        </w:tc>
      </w:tr>
      <w:tr w:rsidR="000E746E" w:rsidRPr="00801AB0" w14:paraId="748068CC" w14:textId="77777777" w:rsidTr="00801AB0">
        <w:trPr>
          <w:trHeight w:val="288"/>
          <w:jc w:val="center"/>
        </w:trPr>
        <w:tc>
          <w:tcPr>
            <w:tcW w:w="780" w:type="pct"/>
            <w:noWrap/>
            <w:vAlign w:val="center"/>
            <w:hideMark/>
          </w:tcPr>
          <w:p w14:paraId="2C95FB5C" w14:textId="77777777" w:rsidR="000E746E" w:rsidRPr="004E5994" w:rsidRDefault="000E746E" w:rsidP="00362EBF">
            <w:pPr>
              <w:spacing w:after="0"/>
              <w:rPr>
                <w:b/>
                <w:sz w:val="22"/>
                <w:szCs w:val="22"/>
              </w:rPr>
            </w:pPr>
            <w:r w:rsidRPr="004E5994">
              <w:rPr>
                <w:b/>
                <w:sz w:val="22"/>
                <w:szCs w:val="22"/>
              </w:rPr>
              <w:t>2040.</w:t>
            </w:r>
          </w:p>
        </w:tc>
        <w:tc>
          <w:tcPr>
            <w:tcW w:w="727" w:type="pct"/>
            <w:noWrap/>
            <w:vAlign w:val="center"/>
            <w:hideMark/>
          </w:tcPr>
          <w:p w14:paraId="10D8B44B" w14:textId="77777777" w:rsidR="000E746E" w:rsidRPr="004E5994" w:rsidRDefault="000E746E" w:rsidP="00362EBF">
            <w:pPr>
              <w:spacing w:after="0"/>
              <w:jc w:val="center"/>
              <w:rPr>
                <w:sz w:val="22"/>
                <w:szCs w:val="22"/>
              </w:rPr>
            </w:pPr>
            <w:r w:rsidRPr="004E5994">
              <w:rPr>
                <w:sz w:val="22"/>
                <w:szCs w:val="22"/>
              </w:rPr>
              <w:t>8,6</w:t>
            </w:r>
          </w:p>
        </w:tc>
        <w:tc>
          <w:tcPr>
            <w:tcW w:w="1322" w:type="pct"/>
            <w:noWrap/>
            <w:vAlign w:val="center"/>
            <w:hideMark/>
          </w:tcPr>
          <w:p w14:paraId="648959BD" w14:textId="77777777" w:rsidR="000E746E" w:rsidRPr="004E5994" w:rsidRDefault="000E746E" w:rsidP="00362EBF">
            <w:pPr>
              <w:spacing w:after="0"/>
              <w:jc w:val="center"/>
              <w:rPr>
                <w:sz w:val="22"/>
                <w:szCs w:val="22"/>
              </w:rPr>
            </w:pPr>
            <w:r w:rsidRPr="004E5994">
              <w:rPr>
                <w:sz w:val="22"/>
                <w:szCs w:val="22"/>
              </w:rPr>
              <w:t>361</w:t>
            </w:r>
          </w:p>
        </w:tc>
        <w:tc>
          <w:tcPr>
            <w:tcW w:w="850" w:type="pct"/>
            <w:noWrap/>
            <w:vAlign w:val="center"/>
            <w:hideMark/>
          </w:tcPr>
          <w:p w14:paraId="0444A638" w14:textId="77777777" w:rsidR="000E746E" w:rsidRPr="004E5994" w:rsidRDefault="000E746E" w:rsidP="00362EBF">
            <w:pPr>
              <w:spacing w:after="0"/>
              <w:jc w:val="center"/>
              <w:rPr>
                <w:sz w:val="22"/>
                <w:szCs w:val="22"/>
              </w:rPr>
            </w:pPr>
            <w:r w:rsidRPr="004E5994">
              <w:rPr>
                <w:sz w:val="22"/>
                <w:szCs w:val="22"/>
              </w:rPr>
              <w:t>13</w:t>
            </w:r>
          </w:p>
        </w:tc>
        <w:tc>
          <w:tcPr>
            <w:tcW w:w="1321" w:type="pct"/>
            <w:noWrap/>
            <w:vAlign w:val="center"/>
            <w:hideMark/>
          </w:tcPr>
          <w:p w14:paraId="58A95DCD" w14:textId="77777777" w:rsidR="000E746E" w:rsidRPr="004E5994" w:rsidRDefault="000E746E" w:rsidP="00362EBF">
            <w:pPr>
              <w:spacing w:after="0"/>
              <w:jc w:val="center"/>
              <w:rPr>
                <w:sz w:val="22"/>
                <w:szCs w:val="22"/>
              </w:rPr>
            </w:pPr>
            <w:r w:rsidRPr="004E5994">
              <w:rPr>
                <w:sz w:val="22"/>
                <w:szCs w:val="22"/>
              </w:rPr>
              <w:t>544</w:t>
            </w:r>
          </w:p>
        </w:tc>
      </w:tr>
      <w:tr w:rsidR="000E746E" w:rsidRPr="00801AB0" w14:paraId="22420DE1" w14:textId="77777777" w:rsidTr="00801AB0">
        <w:trPr>
          <w:trHeight w:val="288"/>
          <w:jc w:val="center"/>
        </w:trPr>
        <w:tc>
          <w:tcPr>
            <w:tcW w:w="780" w:type="pct"/>
            <w:noWrap/>
            <w:vAlign w:val="center"/>
            <w:hideMark/>
          </w:tcPr>
          <w:p w14:paraId="7D414674" w14:textId="77777777" w:rsidR="000E746E" w:rsidRPr="004E5994" w:rsidRDefault="000E746E" w:rsidP="00362EBF">
            <w:pPr>
              <w:spacing w:after="0"/>
              <w:rPr>
                <w:b/>
                <w:sz w:val="22"/>
                <w:szCs w:val="22"/>
              </w:rPr>
            </w:pPr>
            <w:r w:rsidRPr="004E5994">
              <w:rPr>
                <w:b/>
                <w:sz w:val="22"/>
                <w:szCs w:val="22"/>
              </w:rPr>
              <w:t>2045.</w:t>
            </w:r>
          </w:p>
        </w:tc>
        <w:tc>
          <w:tcPr>
            <w:tcW w:w="727" w:type="pct"/>
            <w:noWrap/>
            <w:vAlign w:val="center"/>
            <w:hideMark/>
          </w:tcPr>
          <w:p w14:paraId="4C38C328" w14:textId="77777777" w:rsidR="000E746E" w:rsidRPr="004E5994" w:rsidRDefault="000E746E" w:rsidP="00362EBF">
            <w:pPr>
              <w:spacing w:after="0"/>
              <w:jc w:val="center"/>
              <w:rPr>
                <w:sz w:val="22"/>
                <w:szCs w:val="22"/>
              </w:rPr>
            </w:pPr>
            <w:r w:rsidRPr="004E5994">
              <w:rPr>
                <w:sz w:val="22"/>
                <w:szCs w:val="22"/>
              </w:rPr>
              <w:t>9,3</w:t>
            </w:r>
          </w:p>
        </w:tc>
        <w:tc>
          <w:tcPr>
            <w:tcW w:w="1322" w:type="pct"/>
            <w:noWrap/>
            <w:vAlign w:val="center"/>
            <w:hideMark/>
          </w:tcPr>
          <w:p w14:paraId="38A3A87A" w14:textId="77777777" w:rsidR="000E746E" w:rsidRPr="004E5994" w:rsidRDefault="000E746E" w:rsidP="00362EBF">
            <w:pPr>
              <w:spacing w:after="0"/>
              <w:jc w:val="center"/>
              <w:rPr>
                <w:sz w:val="22"/>
                <w:szCs w:val="22"/>
              </w:rPr>
            </w:pPr>
            <w:r w:rsidRPr="004E5994">
              <w:rPr>
                <w:sz w:val="22"/>
                <w:szCs w:val="22"/>
              </w:rPr>
              <w:t>391</w:t>
            </w:r>
          </w:p>
        </w:tc>
        <w:tc>
          <w:tcPr>
            <w:tcW w:w="850" w:type="pct"/>
            <w:noWrap/>
            <w:vAlign w:val="center"/>
            <w:hideMark/>
          </w:tcPr>
          <w:p w14:paraId="79832D14" w14:textId="77777777" w:rsidR="000E746E" w:rsidRPr="004E5994" w:rsidRDefault="000E746E" w:rsidP="00362EBF">
            <w:pPr>
              <w:spacing w:after="0"/>
              <w:jc w:val="center"/>
              <w:rPr>
                <w:sz w:val="22"/>
                <w:szCs w:val="22"/>
              </w:rPr>
            </w:pPr>
            <w:r w:rsidRPr="004E5994">
              <w:rPr>
                <w:sz w:val="22"/>
                <w:szCs w:val="22"/>
              </w:rPr>
              <w:t>13,2</w:t>
            </w:r>
          </w:p>
        </w:tc>
        <w:tc>
          <w:tcPr>
            <w:tcW w:w="1321" w:type="pct"/>
            <w:noWrap/>
            <w:vAlign w:val="center"/>
            <w:hideMark/>
          </w:tcPr>
          <w:p w14:paraId="38655386" w14:textId="77777777" w:rsidR="000E746E" w:rsidRPr="004E5994" w:rsidRDefault="000E746E" w:rsidP="00362EBF">
            <w:pPr>
              <w:spacing w:after="0"/>
              <w:jc w:val="center"/>
              <w:rPr>
                <w:sz w:val="22"/>
                <w:szCs w:val="22"/>
              </w:rPr>
            </w:pPr>
            <w:r w:rsidRPr="004E5994">
              <w:rPr>
                <w:sz w:val="22"/>
                <w:szCs w:val="22"/>
              </w:rPr>
              <w:t>553</w:t>
            </w:r>
          </w:p>
        </w:tc>
      </w:tr>
      <w:tr w:rsidR="000E746E" w:rsidRPr="00801AB0" w14:paraId="5597A27A" w14:textId="77777777" w:rsidTr="00801AB0">
        <w:trPr>
          <w:trHeight w:val="288"/>
          <w:jc w:val="center"/>
        </w:trPr>
        <w:tc>
          <w:tcPr>
            <w:tcW w:w="780" w:type="pct"/>
            <w:noWrap/>
            <w:vAlign w:val="center"/>
            <w:hideMark/>
          </w:tcPr>
          <w:p w14:paraId="5B1B2E2E" w14:textId="77777777" w:rsidR="000E746E" w:rsidRPr="004E5994" w:rsidRDefault="000E746E" w:rsidP="00362EBF">
            <w:pPr>
              <w:spacing w:after="0"/>
              <w:rPr>
                <w:b/>
                <w:sz w:val="22"/>
                <w:szCs w:val="22"/>
              </w:rPr>
            </w:pPr>
            <w:r w:rsidRPr="004E5994">
              <w:rPr>
                <w:b/>
                <w:sz w:val="22"/>
                <w:szCs w:val="22"/>
              </w:rPr>
              <w:t>2050.</w:t>
            </w:r>
          </w:p>
        </w:tc>
        <w:tc>
          <w:tcPr>
            <w:tcW w:w="727" w:type="pct"/>
            <w:noWrap/>
            <w:vAlign w:val="center"/>
            <w:hideMark/>
          </w:tcPr>
          <w:p w14:paraId="3CC77274" w14:textId="77777777" w:rsidR="000E746E" w:rsidRPr="004E5994" w:rsidRDefault="000E746E" w:rsidP="00362EBF">
            <w:pPr>
              <w:spacing w:after="0"/>
              <w:jc w:val="center"/>
              <w:rPr>
                <w:sz w:val="22"/>
                <w:szCs w:val="22"/>
              </w:rPr>
            </w:pPr>
            <w:r w:rsidRPr="004E5994">
              <w:rPr>
                <w:sz w:val="22"/>
                <w:szCs w:val="22"/>
              </w:rPr>
              <w:t>9,5</w:t>
            </w:r>
          </w:p>
        </w:tc>
        <w:tc>
          <w:tcPr>
            <w:tcW w:w="1322" w:type="pct"/>
            <w:noWrap/>
            <w:vAlign w:val="center"/>
            <w:hideMark/>
          </w:tcPr>
          <w:p w14:paraId="4A7E9A84" w14:textId="77777777" w:rsidR="000E746E" w:rsidRPr="004E5994" w:rsidRDefault="000E746E" w:rsidP="00362EBF">
            <w:pPr>
              <w:spacing w:after="0"/>
              <w:jc w:val="center"/>
              <w:rPr>
                <w:sz w:val="22"/>
                <w:szCs w:val="22"/>
              </w:rPr>
            </w:pPr>
            <w:r w:rsidRPr="004E5994">
              <w:rPr>
                <w:sz w:val="22"/>
                <w:szCs w:val="22"/>
              </w:rPr>
              <w:t>397</w:t>
            </w:r>
          </w:p>
        </w:tc>
        <w:tc>
          <w:tcPr>
            <w:tcW w:w="850" w:type="pct"/>
            <w:noWrap/>
            <w:vAlign w:val="center"/>
            <w:hideMark/>
          </w:tcPr>
          <w:p w14:paraId="75FA93A4" w14:textId="77777777" w:rsidR="000E746E" w:rsidRPr="004E5994" w:rsidRDefault="000E746E" w:rsidP="00362EBF">
            <w:pPr>
              <w:spacing w:after="0"/>
              <w:jc w:val="center"/>
              <w:rPr>
                <w:sz w:val="22"/>
                <w:szCs w:val="22"/>
              </w:rPr>
            </w:pPr>
            <w:r w:rsidRPr="004E5994">
              <w:rPr>
                <w:sz w:val="22"/>
                <w:szCs w:val="22"/>
              </w:rPr>
              <w:t>13,8</w:t>
            </w:r>
          </w:p>
        </w:tc>
        <w:tc>
          <w:tcPr>
            <w:tcW w:w="1321" w:type="pct"/>
            <w:noWrap/>
            <w:vAlign w:val="center"/>
            <w:hideMark/>
          </w:tcPr>
          <w:p w14:paraId="28FEE4AE" w14:textId="77777777" w:rsidR="000E746E" w:rsidRPr="004E5994" w:rsidRDefault="000E746E" w:rsidP="00362EBF">
            <w:pPr>
              <w:spacing w:after="0"/>
              <w:jc w:val="center"/>
              <w:rPr>
                <w:sz w:val="22"/>
                <w:szCs w:val="22"/>
              </w:rPr>
            </w:pPr>
            <w:r w:rsidRPr="004E5994">
              <w:rPr>
                <w:sz w:val="22"/>
                <w:szCs w:val="22"/>
              </w:rPr>
              <w:t>577</w:t>
            </w:r>
          </w:p>
        </w:tc>
      </w:tr>
    </w:tbl>
    <w:p w14:paraId="35411629" w14:textId="77777777" w:rsidR="000E746E" w:rsidRPr="00B47BDA" w:rsidRDefault="000E746E" w:rsidP="004623DD">
      <w:pPr>
        <w:pStyle w:val="Slike"/>
      </w:pPr>
      <w:r w:rsidRPr="63259912">
        <w:t>Izvor: EU Recommended parameters for reporting on GHG projections in 2023</w:t>
      </w:r>
    </w:p>
    <w:p w14:paraId="1CFBF5B1" w14:textId="77777777" w:rsidR="000E746E" w:rsidRPr="00B47BDA" w:rsidRDefault="000E746E" w:rsidP="004623DD">
      <w:r w:rsidRPr="00B47BDA">
        <w:t>Prema scenariju niske cijene, očekuje se znatni pad cijene prirodnog plina od 2025. godine (stabilizacija tržišta i realizacija infrastrukture). Do 2050. godine ne očekuje se značajna promjena cijene prirodnog plina.</w:t>
      </w:r>
    </w:p>
    <w:p w14:paraId="090D5621" w14:textId="4BF32E85" w:rsidR="000E746E" w:rsidRPr="00B47BDA" w:rsidRDefault="000E746E" w:rsidP="00801AB0">
      <w:pPr>
        <w:pStyle w:val="ListParagraph"/>
        <w:jc w:val="center"/>
      </w:pPr>
      <w:r w:rsidRPr="00B47BDA">
        <w:rPr>
          <w:noProof/>
          <w:lang w:eastAsia="hr-HR"/>
        </w:rPr>
        <w:lastRenderedPageBreak/>
        <w:drawing>
          <wp:inline distT="0" distB="0" distL="0" distR="0" wp14:anchorId="6694F418" wp14:editId="34F8CDCD">
            <wp:extent cx="4319954" cy="2145030"/>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816" t="19178" r="2829" b="2825"/>
                    <a:stretch/>
                  </pic:blipFill>
                  <pic:spPr bwMode="auto">
                    <a:xfrm>
                      <a:off x="0" y="0"/>
                      <a:ext cx="4321104" cy="2145601"/>
                    </a:xfrm>
                    <a:prstGeom prst="rect">
                      <a:avLst/>
                    </a:prstGeom>
                    <a:noFill/>
                    <a:ln>
                      <a:noFill/>
                    </a:ln>
                    <a:extLst>
                      <a:ext uri="{53640926-AAD7-44D8-BBD7-CCE9431645EC}">
                        <a14:shadowObscured xmlns:a14="http://schemas.microsoft.com/office/drawing/2010/main"/>
                      </a:ext>
                    </a:extLst>
                  </pic:spPr>
                </pic:pic>
              </a:graphicData>
            </a:graphic>
          </wp:inline>
        </w:drawing>
      </w:r>
    </w:p>
    <w:p w14:paraId="5FADE6C2" w14:textId="55E5AEE6" w:rsidR="000E746E" w:rsidRPr="00B47BDA" w:rsidRDefault="005F4BFB" w:rsidP="00225107">
      <w:pPr>
        <w:pStyle w:val="Caption"/>
      </w:pPr>
      <w:bookmarkStart w:id="523" w:name="_Toc185605251"/>
      <w:bookmarkStart w:id="524" w:name="_Toc193035897"/>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AD324D">
        <w:rPr>
          <w:noProof/>
        </w:rPr>
        <w:t>2</w:t>
      </w:r>
      <w:r>
        <w:fldChar w:fldCharType="end"/>
      </w:r>
      <w:r w:rsidR="000E746E" w:rsidRPr="00B47BDA">
        <w:t>. Preporučeni raspon cijene prirodnog plina za analize osjetljivosti</w:t>
      </w:r>
      <w:bookmarkEnd w:id="523"/>
      <w:bookmarkEnd w:id="524"/>
    </w:p>
    <w:p w14:paraId="532E337F" w14:textId="1C87D75A" w:rsidR="000E746E" w:rsidRPr="004E5994" w:rsidRDefault="000E746E" w:rsidP="004623DD">
      <w:pPr>
        <w:rPr>
          <w:rFonts w:cs="Calibri"/>
        </w:rPr>
      </w:pPr>
      <w:r w:rsidRPr="004E5994">
        <w:rPr>
          <w:rFonts w:cs="Calibri"/>
        </w:rPr>
        <w:t xml:space="preserve">U </w:t>
      </w:r>
      <w:r w:rsidR="00EA02F0">
        <w:rPr>
          <w:rFonts w:cs="Calibri"/>
        </w:rPr>
        <w:t>T</w:t>
      </w:r>
      <w:r w:rsidRPr="004E5994">
        <w:rPr>
          <w:rFonts w:cs="Calibri"/>
        </w:rPr>
        <w:t xml:space="preserve">ablici </w:t>
      </w:r>
      <w:r w:rsidR="009F6204" w:rsidRPr="004E5994">
        <w:rPr>
          <w:rFonts w:cs="Calibri"/>
        </w:rPr>
        <w:t>4-4.</w:t>
      </w:r>
      <w:r w:rsidRPr="004E5994">
        <w:rPr>
          <w:rFonts w:cs="Calibri"/>
        </w:rPr>
        <w:t xml:space="preserve"> prikazan</w:t>
      </w:r>
      <w:r w:rsidR="00DB2420">
        <w:rPr>
          <w:rFonts w:cs="Calibri"/>
        </w:rPr>
        <w:t>e</w:t>
      </w:r>
      <w:r w:rsidRPr="004E5994">
        <w:rPr>
          <w:rFonts w:cs="Calibri"/>
        </w:rPr>
        <w:t xml:space="preserve"> </w:t>
      </w:r>
      <w:r w:rsidR="00DB2420">
        <w:rPr>
          <w:rFonts w:cs="Calibri"/>
        </w:rPr>
        <w:t>su</w:t>
      </w:r>
      <w:r w:rsidRPr="004E5994">
        <w:rPr>
          <w:rFonts w:cs="Calibri"/>
        </w:rPr>
        <w:t xml:space="preserve"> cijene goriva prema projekcijama Međunarodne agencije za energiju</w:t>
      </w:r>
      <w:r w:rsidRPr="004E5994">
        <w:rPr>
          <w:rStyle w:val="FootnoteReference"/>
          <w:rFonts w:ascii="Calibri" w:hAnsi="Calibri" w:cs="Calibri"/>
          <w:sz w:val="24"/>
        </w:rPr>
        <w:footnoteReference w:id="36"/>
      </w:r>
      <w:r w:rsidRPr="004E5994">
        <w:rPr>
          <w:rFonts w:cs="Calibri"/>
        </w:rPr>
        <w:t>.</w:t>
      </w:r>
    </w:p>
    <w:p w14:paraId="2E7A6DD9" w14:textId="6135065C" w:rsidR="000E746E" w:rsidRPr="00B47BDA" w:rsidRDefault="00BD316B" w:rsidP="004623DD">
      <w:pPr>
        <w:pStyle w:val="Caption"/>
      </w:pPr>
      <w:bookmarkStart w:id="525" w:name="_Toc193035955"/>
      <w:r w:rsidRPr="00B47BDA">
        <w:t xml:space="preserve">Tablica </w:t>
      </w:r>
      <w:r>
        <w:fldChar w:fldCharType="begin"/>
      </w:r>
      <w:r>
        <w:instrText>STYLEREF 1 \s</w:instrText>
      </w:r>
      <w:r>
        <w:fldChar w:fldCharType="separate"/>
      </w:r>
      <w:r w:rsidR="00AD324D">
        <w:rPr>
          <w:noProof/>
        </w:rPr>
        <w:t>4</w:t>
      </w:r>
      <w:r>
        <w:fldChar w:fldCharType="end"/>
      </w:r>
      <w:r w:rsidR="000C3EFD" w:rsidRPr="00B47BDA">
        <w:noBreakHyphen/>
      </w:r>
      <w:r>
        <w:fldChar w:fldCharType="begin"/>
      </w:r>
      <w:r>
        <w:instrText>SEQ Tablica \* ARABIC \s 1</w:instrText>
      </w:r>
      <w:r>
        <w:fldChar w:fldCharType="separate"/>
      </w:r>
      <w:r w:rsidR="00DB2420">
        <w:rPr>
          <w:noProof/>
        </w:rPr>
        <w:t>4</w:t>
      </w:r>
      <w:r>
        <w:fldChar w:fldCharType="end"/>
      </w:r>
      <w:r w:rsidR="000E746E" w:rsidRPr="00B47BDA">
        <w:t xml:space="preserve">. Projekcije </w:t>
      </w:r>
      <w:r w:rsidR="6F97B335" w:rsidRPr="00B47BDA">
        <w:t>cijen</w:t>
      </w:r>
      <w:r w:rsidR="663021E7" w:rsidRPr="00B47BDA">
        <w:t>a</w:t>
      </w:r>
      <w:r w:rsidR="000E746E" w:rsidRPr="00B47BDA">
        <w:t xml:space="preserve"> goriva prema IEA</w:t>
      </w:r>
      <w:bookmarkEnd w:id="5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847"/>
        <w:gridCol w:w="1200"/>
        <w:gridCol w:w="738"/>
        <w:gridCol w:w="721"/>
        <w:gridCol w:w="721"/>
        <w:gridCol w:w="721"/>
        <w:gridCol w:w="736"/>
        <w:gridCol w:w="721"/>
      </w:tblGrid>
      <w:tr w:rsidR="00B532F4" w:rsidRPr="00B532F4" w14:paraId="7502F5A9" w14:textId="77777777" w:rsidTr="63259912">
        <w:trPr>
          <w:trHeight w:val="264"/>
        </w:trPr>
        <w:tc>
          <w:tcPr>
            <w:tcW w:w="8926" w:type="dxa"/>
            <w:gridSpan w:val="9"/>
            <w:shd w:val="clear" w:color="auto" w:fill="D9E2F3" w:themeFill="accent5" w:themeFillTint="33"/>
            <w:vAlign w:val="center"/>
            <w:hideMark/>
          </w:tcPr>
          <w:p w14:paraId="67D86E0E" w14:textId="77777777" w:rsidR="00B532F4" w:rsidRPr="004E5994" w:rsidRDefault="00B532F4" w:rsidP="00362EBF">
            <w:pPr>
              <w:spacing w:before="60" w:after="60"/>
              <w:rPr>
                <w:rFonts w:cs="Calibri"/>
                <w:sz w:val="22"/>
                <w:szCs w:val="22"/>
              </w:rPr>
            </w:pPr>
            <w:r w:rsidRPr="004E5994">
              <w:rPr>
                <w:rFonts w:cs="Calibri"/>
                <w:sz w:val="22"/>
                <w:szCs w:val="22"/>
              </w:rPr>
              <w:t>EUR</w:t>
            </w:r>
            <w:r w:rsidRPr="004E5994">
              <w:rPr>
                <w:rFonts w:cs="Calibri"/>
                <w:sz w:val="22"/>
                <w:szCs w:val="22"/>
                <w:vertAlign w:val="subscript"/>
              </w:rPr>
              <w:t>2020</w:t>
            </w:r>
          </w:p>
        </w:tc>
      </w:tr>
      <w:tr w:rsidR="000E746E" w:rsidRPr="00B532F4" w14:paraId="53E86665" w14:textId="77777777" w:rsidTr="63259912">
        <w:trPr>
          <w:trHeight w:val="264"/>
        </w:trPr>
        <w:tc>
          <w:tcPr>
            <w:tcW w:w="1745" w:type="dxa"/>
            <w:shd w:val="clear" w:color="auto" w:fill="FFFFFF" w:themeFill="background1"/>
            <w:vAlign w:val="center"/>
            <w:hideMark/>
          </w:tcPr>
          <w:p w14:paraId="0D9747CA" w14:textId="77777777" w:rsidR="000E746E" w:rsidRPr="004E5994" w:rsidRDefault="000E746E" w:rsidP="00362EBF">
            <w:pPr>
              <w:spacing w:before="60" w:after="60"/>
              <w:rPr>
                <w:rFonts w:cs="Calibri"/>
                <w:sz w:val="22"/>
                <w:szCs w:val="22"/>
              </w:rPr>
            </w:pPr>
            <w:r w:rsidRPr="004E5994">
              <w:rPr>
                <w:rFonts w:cs="Calibri"/>
                <w:sz w:val="22"/>
                <w:szCs w:val="22"/>
              </w:rPr>
              <w:t>Proizvod</w:t>
            </w:r>
          </w:p>
        </w:tc>
        <w:tc>
          <w:tcPr>
            <w:tcW w:w="1928" w:type="dxa"/>
            <w:shd w:val="clear" w:color="auto" w:fill="FFFFFF" w:themeFill="background1"/>
            <w:vAlign w:val="center"/>
            <w:hideMark/>
          </w:tcPr>
          <w:p w14:paraId="7FA9B95D" w14:textId="77777777" w:rsidR="000E746E" w:rsidRPr="004E5994" w:rsidRDefault="000E746E" w:rsidP="00362EBF">
            <w:pPr>
              <w:spacing w:before="60" w:after="60"/>
              <w:rPr>
                <w:rFonts w:cs="Calibri"/>
                <w:sz w:val="22"/>
                <w:szCs w:val="22"/>
              </w:rPr>
            </w:pPr>
            <w:r w:rsidRPr="004E5994">
              <w:rPr>
                <w:rFonts w:cs="Calibri"/>
                <w:sz w:val="22"/>
                <w:szCs w:val="22"/>
              </w:rPr>
              <w:t>Scenarij</w:t>
            </w:r>
          </w:p>
        </w:tc>
        <w:tc>
          <w:tcPr>
            <w:tcW w:w="1111" w:type="dxa"/>
            <w:shd w:val="clear" w:color="auto" w:fill="FFFFFF" w:themeFill="background1"/>
            <w:vAlign w:val="center"/>
            <w:hideMark/>
          </w:tcPr>
          <w:p w14:paraId="2D3932B3" w14:textId="77777777" w:rsidR="000E746E" w:rsidRPr="004E5994" w:rsidRDefault="000E746E" w:rsidP="00362EBF">
            <w:pPr>
              <w:spacing w:before="60" w:after="60"/>
              <w:rPr>
                <w:rFonts w:cs="Calibri"/>
                <w:sz w:val="22"/>
                <w:szCs w:val="22"/>
              </w:rPr>
            </w:pPr>
            <w:r w:rsidRPr="004E5994">
              <w:rPr>
                <w:rFonts w:cs="Calibri"/>
                <w:sz w:val="22"/>
                <w:szCs w:val="22"/>
              </w:rPr>
              <w:t>Jedinica</w:t>
            </w:r>
          </w:p>
        </w:tc>
        <w:tc>
          <w:tcPr>
            <w:tcW w:w="740" w:type="dxa"/>
            <w:shd w:val="clear" w:color="auto" w:fill="FFFFFF" w:themeFill="background1"/>
            <w:vAlign w:val="center"/>
            <w:hideMark/>
          </w:tcPr>
          <w:p w14:paraId="065AD812" w14:textId="77777777" w:rsidR="000E746E" w:rsidRPr="004E5994" w:rsidRDefault="000E746E" w:rsidP="00362EBF">
            <w:pPr>
              <w:spacing w:before="60" w:after="60"/>
              <w:rPr>
                <w:rFonts w:cs="Calibri"/>
                <w:b/>
                <w:sz w:val="22"/>
                <w:szCs w:val="22"/>
              </w:rPr>
            </w:pPr>
            <w:r w:rsidRPr="004E5994">
              <w:rPr>
                <w:rFonts w:cs="Calibri"/>
                <w:b/>
                <w:sz w:val="22"/>
                <w:szCs w:val="22"/>
              </w:rPr>
              <w:t>2021.</w:t>
            </w:r>
          </w:p>
        </w:tc>
        <w:tc>
          <w:tcPr>
            <w:tcW w:w="708" w:type="dxa"/>
            <w:shd w:val="clear" w:color="auto" w:fill="FFFFFF" w:themeFill="background1"/>
            <w:vAlign w:val="center"/>
            <w:hideMark/>
          </w:tcPr>
          <w:p w14:paraId="661FD240" w14:textId="77777777" w:rsidR="000E746E" w:rsidRPr="004E5994" w:rsidRDefault="000E746E" w:rsidP="00362EBF">
            <w:pPr>
              <w:spacing w:before="60" w:after="60"/>
              <w:rPr>
                <w:rFonts w:cs="Calibri"/>
                <w:b/>
                <w:sz w:val="22"/>
                <w:szCs w:val="22"/>
              </w:rPr>
            </w:pPr>
            <w:r w:rsidRPr="004E5994">
              <w:rPr>
                <w:rFonts w:cs="Calibri"/>
                <w:b/>
                <w:sz w:val="22"/>
                <w:szCs w:val="22"/>
              </w:rPr>
              <w:t>2030.</w:t>
            </w:r>
          </w:p>
        </w:tc>
        <w:tc>
          <w:tcPr>
            <w:tcW w:w="709" w:type="dxa"/>
            <w:shd w:val="clear" w:color="auto" w:fill="FFFFFF" w:themeFill="background1"/>
            <w:vAlign w:val="center"/>
            <w:hideMark/>
          </w:tcPr>
          <w:p w14:paraId="6DD1C56D" w14:textId="77777777" w:rsidR="000E746E" w:rsidRPr="004E5994" w:rsidRDefault="000E746E" w:rsidP="00362EBF">
            <w:pPr>
              <w:spacing w:before="60" w:after="60"/>
              <w:rPr>
                <w:rFonts w:cs="Calibri"/>
                <w:b/>
                <w:sz w:val="22"/>
                <w:szCs w:val="22"/>
              </w:rPr>
            </w:pPr>
            <w:r w:rsidRPr="004E5994">
              <w:rPr>
                <w:rFonts w:cs="Calibri"/>
                <w:b/>
                <w:sz w:val="22"/>
                <w:szCs w:val="22"/>
              </w:rPr>
              <w:t>2035.</w:t>
            </w:r>
          </w:p>
        </w:tc>
        <w:tc>
          <w:tcPr>
            <w:tcW w:w="709" w:type="dxa"/>
            <w:shd w:val="clear" w:color="auto" w:fill="FFFFFF" w:themeFill="background1"/>
            <w:vAlign w:val="center"/>
            <w:hideMark/>
          </w:tcPr>
          <w:p w14:paraId="238FE12F" w14:textId="77777777" w:rsidR="000E746E" w:rsidRPr="004E5994" w:rsidRDefault="000E746E" w:rsidP="00362EBF">
            <w:pPr>
              <w:spacing w:before="60" w:after="60"/>
              <w:rPr>
                <w:rFonts w:cs="Calibri"/>
                <w:b/>
                <w:sz w:val="22"/>
                <w:szCs w:val="22"/>
              </w:rPr>
            </w:pPr>
            <w:r w:rsidRPr="004E5994">
              <w:rPr>
                <w:rFonts w:cs="Calibri"/>
                <w:b/>
                <w:sz w:val="22"/>
                <w:szCs w:val="22"/>
              </w:rPr>
              <w:t>2040.</w:t>
            </w:r>
          </w:p>
        </w:tc>
        <w:tc>
          <w:tcPr>
            <w:tcW w:w="738" w:type="dxa"/>
            <w:shd w:val="clear" w:color="auto" w:fill="FFFFFF" w:themeFill="background1"/>
            <w:vAlign w:val="center"/>
            <w:hideMark/>
          </w:tcPr>
          <w:p w14:paraId="61BE81D8" w14:textId="77777777" w:rsidR="000E746E" w:rsidRPr="004E5994" w:rsidRDefault="000E746E" w:rsidP="00362EBF">
            <w:pPr>
              <w:spacing w:before="60" w:after="60"/>
              <w:rPr>
                <w:rFonts w:cs="Calibri"/>
                <w:b/>
                <w:sz w:val="22"/>
                <w:szCs w:val="22"/>
              </w:rPr>
            </w:pPr>
            <w:r w:rsidRPr="004E5994">
              <w:rPr>
                <w:rFonts w:cs="Calibri"/>
                <w:b/>
                <w:sz w:val="22"/>
                <w:szCs w:val="22"/>
              </w:rPr>
              <w:t>2045.</w:t>
            </w:r>
          </w:p>
        </w:tc>
        <w:tc>
          <w:tcPr>
            <w:tcW w:w="538" w:type="dxa"/>
            <w:shd w:val="clear" w:color="auto" w:fill="FFFFFF" w:themeFill="background1"/>
            <w:vAlign w:val="center"/>
            <w:hideMark/>
          </w:tcPr>
          <w:p w14:paraId="64881707" w14:textId="77777777" w:rsidR="000E746E" w:rsidRPr="004E5994" w:rsidRDefault="000E746E" w:rsidP="00362EBF">
            <w:pPr>
              <w:spacing w:before="60" w:after="60"/>
              <w:rPr>
                <w:rFonts w:cs="Calibri"/>
                <w:b/>
                <w:sz w:val="22"/>
                <w:szCs w:val="22"/>
              </w:rPr>
            </w:pPr>
            <w:r w:rsidRPr="004E5994">
              <w:rPr>
                <w:rFonts w:cs="Calibri"/>
                <w:b/>
                <w:sz w:val="22"/>
                <w:szCs w:val="22"/>
              </w:rPr>
              <w:t>2050.</w:t>
            </w:r>
          </w:p>
        </w:tc>
      </w:tr>
      <w:tr w:rsidR="000E746E" w:rsidRPr="00B532F4" w14:paraId="423BE311" w14:textId="77777777" w:rsidTr="63259912">
        <w:trPr>
          <w:trHeight w:val="264"/>
        </w:trPr>
        <w:tc>
          <w:tcPr>
            <w:tcW w:w="1745" w:type="dxa"/>
            <w:vMerge w:val="restart"/>
            <w:shd w:val="clear" w:color="auto" w:fill="FFFFFF" w:themeFill="background1"/>
            <w:vAlign w:val="center"/>
            <w:hideMark/>
          </w:tcPr>
          <w:p w14:paraId="15AD1E64" w14:textId="77777777" w:rsidR="000E746E" w:rsidRPr="004E5994" w:rsidRDefault="000E746E" w:rsidP="00362EBF">
            <w:pPr>
              <w:spacing w:before="60" w:after="60"/>
              <w:rPr>
                <w:rFonts w:cs="Calibri"/>
                <w:sz w:val="22"/>
                <w:szCs w:val="22"/>
              </w:rPr>
            </w:pPr>
            <w:r w:rsidRPr="004E5994">
              <w:rPr>
                <w:rFonts w:cs="Calibri"/>
                <w:sz w:val="22"/>
                <w:szCs w:val="22"/>
              </w:rPr>
              <w:t>Sirova nafta</w:t>
            </w:r>
          </w:p>
        </w:tc>
        <w:tc>
          <w:tcPr>
            <w:tcW w:w="1928" w:type="dxa"/>
            <w:shd w:val="clear" w:color="auto" w:fill="FFFFFF" w:themeFill="background1"/>
            <w:vAlign w:val="center"/>
            <w:hideMark/>
          </w:tcPr>
          <w:p w14:paraId="2D7392CF" w14:textId="77777777" w:rsidR="000E746E" w:rsidRPr="004E5994" w:rsidRDefault="000E746E" w:rsidP="63259912">
            <w:pPr>
              <w:spacing w:before="60" w:after="60"/>
              <w:rPr>
                <w:rFonts w:cs="Calibri"/>
                <w:sz w:val="22"/>
                <w:szCs w:val="22"/>
              </w:rPr>
            </w:pPr>
            <w:r w:rsidRPr="63259912">
              <w:rPr>
                <w:rFonts w:cs="Calibri"/>
                <w:sz w:val="22"/>
                <w:szCs w:val="22"/>
              </w:rPr>
              <w:t>Stated Policies</w:t>
            </w:r>
          </w:p>
        </w:tc>
        <w:tc>
          <w:tcPr>
            <w:tcW w:w="1111" w:type="dxa"/>
            <w:vMerge w:val="restart"/>
            <w:shd w:val="clear" w:color="auto" w:fill="FFFFFF" w:themeFill="background1"/>
            <w:vAlign w:val="center"/>
            <w:hideMark/>
          </w:tcPr>
          <w:p w14:paraId="45D3D6AE" w14:textId="77777777" w:rsidR="000E746E" w:rsidRPr="004E5994" w:rsidRDefault="000E746E" w:rsidP="00362EBF">
            <w:pPr>
              <w:spacing w:before="60" w:after="60"/>
              <w:rPr>
                <w:rFonts w:cs="Calibri"/>
                <w:sz w:val="22"/>
                <w:szCs w:val="22"/>
              </w:rPr>
            </w:pPr>
            <w:r w:rsidRPr="004E5994">
              <w:rPr>
                <w:rFonts w:cs="Calibri"/>
                <w:sz w:val="22"/>
                <w:szCs w:val="22"/>
              </w:rPr>
              <w:t>EUR/barel</w:t>
            </w:r>
          </w:p>
        </w:tc>
        <w:tc>
          <w:tcPr>
            <w:tcW w:w="740" w:type="dxa"/>
            <w:vMerge w:val="restart"/>
            <w:shd w:val="clear" w:color="auto" w:fill="FFFFFF" w:themeFill="background1"/>
            <w:vAlign w:val="center"/>
            <w:hideMark/>
          </w:tcPr>
          <w:p w14:paraId="6ADFB5FD" w14:textId="77777777" w:rsidR="000E746E" w:rsidRPr="004E5994" w:rsidRDefault="000E746E" w:rsidP="00362EBF">
            <w:pPr>
              <w:spacing w:before="60" w:after="60"/>
              <w:jc w:val="center"/>
              <w:rPr>
                <w:rFonts w:cs="Calibri"/>
                <w:sz w:val="22"/>
                <w:szCs w:val="22"/>
              </w:rPr>
            </w:pPr>
            <w:r w:rsidRPr="004E5994">
              <w:rPr>
                <w:rFonts w:cs="Calibri"/>
                <w:sz w:val="22"/>
                <w:szCs w:val="22"/>
              </w:rPr>
              <w:t>56,6</w:t>
            </w:r>
          </w:p>
        </w:tc>
        <w:tc>
          <w:tcPr>
            <w:tcW w:w="708" w:type="dxa"/>
            <w:shd w:val="clear" w:color="auto" w:fill="FFFFFF" w:themeFill="background1"/>
            <w:vAlign w:val="center"/>
            <w:hideMark/>
          </w:tcPr>
          <w:p w14:paraId="23559084" w14:textId="77777777" w:rsidR="000E746E" w:rsidRPr="004E5994" w:rsidRDefault="000E746E" w:rsidP="00362EBF">
            <w:pPr>
              <w:spacing w:before="60" w:after="60"/>
              <w:jc w:val="center"/>
              <w:rPr>
                <w:rFonts w:cs="Calibri"/>
                <w:sz w:val="22"/>
                <w:szCs w:val="22"/>
              </w:rPr>
            </w:pPr>
            <w:r w:rsidRPr="004E5994">
              <w:rPr>
                <w:rFonts w:cs="Calibri"/>
                <w:sz w:val="22"/>
                <w:szCs w:val="22"/>
              </w:rPr>
              <w:t>67,6</w:t>
            </w:r>
          </w:p>
        </w:tc>
        <w:tc>
          <w:tcPr>
            <w:tcW w:w="709" w:type="dxa"/>
            <w:shd w:val="clear" w:color="auto" w:fill="FFFFFF" w:themeFill="background1"/>
            <w:vAlign w:val="center"/>
            <w:hideMark/>
          </w:tcPr>
          <w:p w14:paraId="2495D71F" w14:textId="77777777" w:rsidR="000E746E" w:rsidRPr="004E5994" w:rsidRDefault="000E746E" w:rsidP="00362EBF">
            <w:pPr>
              <w:spacing w:before="60" w:after="60"/>
              <w:jc w:val="center"/>
              <w:rPr>
                <w:rFonts w:cs="Calibri"/>
                <w:sz w:val="22"/>
                <w:szCs w:val="22"/>
              </w:rPr>
            </w:pPr>
            <w:r w:rsidRPr="004E5994">
              <w:rPr>
                <w:rFonts w:cs="Calibri"/>
                <w:sz w:val="22"/>
                <w:szCs w:val="22"/>
              </w:rPr>
              <w:t>69,3</w:t>
            </w:r>
          </w:p>
        </w:tc>
        <w:tc>
          <w:tcPr>
            <w:tcW w:w="709" w:type="dxa"/>
            <w:shd w:val="clear" w:color="auto" w:fill="FFFFFF" w:themeFill="background1"/>
            <w:vAlign w:val="center"/>
            <w:hideMark/>
          </w:tcPr>
          <w:p w14:paraId="236A7876" w14:textId="77777777" w:rsidR="000E746E" w:rsidRPr="004E5994" w:rsidRDefault="000E746E" w:rsidP="00362EBF">
            <w:pPr>
              <w:spacing w:before="60" w:after="60"/>
              <w:jc w:val="center"/>
              <w:rPr>
                <w:rFonts w:cs="Calibri"/>
                <w:sz w:val="22"/>
                <w:szCs w:val="22"/>
              </w:rPr>
            </w:pPr>
            <w:r w:rsidRPr="004E5994">
              <w:rPr>
                <w:rFonts w:cs="Calibri"/>
                <w:sz w:val="22"/>
                <w:szCs w:val="22"/>
              </w:rPr>
              <w:t>72,6</w:t>
            </w:r>
          </w:p>
        </w:tc>
        <w:tc>
          <w:tcPr>
            <w:tcW w:w="738" w:type="dxa"/>
            <w:shd w:val="clear" w:color="auto" w:fill="FFFFFF" w:themeFill="background1"/>
            <w:vAlign w:val="center"/>
            <w:hideMark/>
          </w:tcPr>
          <w:p w14:paraId="469C032F" w14:textId="77777777" w:rsidR="000E746E" w:rsidRPr="004E5994" w:rsidRDefault="000E746E" w:rsidP="00362EBF">
            <w:pPr>
              <w:spacing w:before="60" w:after="60"/>
              <w:jc w:val="center"/>
              <w:rPr>
                <w:rFonts w:cs="Calibri"/>
                <w:sz w:val="22"/>
                <w:szCs w:val="22"/>
              </w:rPr>
            </w:pPr>
            <w:r w:rsidRPr="004E5994">
              <w:rPr>
                <w:rFonts w:cs="Calibri"/>
                <w:sz w:val="22"/>
                <w:szCs w:val="22"/>
              </w:rPr>
              <w:t>74,6</w:t>
            </w:r>
          </w:p>
        </w:tc>
        <w:tc>
          <w:tcPr>
            <w:tcW w:w="538" w:type="dxa"/>
            <w:shd w:val="clear" w:color="auto" w:fill="FFFFFF" w:themeFill="background1"/>
            <w:vAlign w:val="center"/>
            <w:hideMark/>
          </w:tcPr>
          <w:p w14:paraId="6A330461" w14:textId="77777777" w:rsidR="000E746E" w:rsidRPr="004E5994" w:rsidRDefault="000E746E" w:rsidP="00362EBF">
            <w:pPr>
              <w:spacing w:before="60" w:after="60"/>
              <w:jc w:val="center"/>
              <w:rPr>
                <w:rFonts w:cs="Calibri"/>
                <w:sz w:val="22"/>
                <w:szCs w:val="22"/>
              </w:rPr>
            </w:pPr>
            <w:r w:rsidRPr="004E5994">
              <w:rPr>
                <w:rFonts w:cs="Calibri"/>
                <w:sz w:val="22"/>
                <w:szCs w:val="22"/>
              </w:rPr>
              <w:t>78,3</w:t>
            </w:r>
          </w:p>
        </w:tc>
      </w:tr>
      <w:tr w:rsidR="000E746E" w:rsidRPr="00B532F4" w14:paraId="544E1F2C" w14:textId="77777777" w:rsidTr="63259912">
        <w:trPr>
          <w:trHeight w:val="264"/>
        </w:trPr>
        <w:tc>
          <w:tcPr>
            <w:tcW w:w="1745" w:type="dxa"/>
            <w:vMerge/>
            <w:vAlign w:val="center"/>
            <w:hideMark/>
          </w:tcPr>
          <w:p w14:paraId="0E82D740" w14:textId="77777777" w:rsidR="000E746E" w:rsidRPr="00DD564A" w:rsidRDefault="000E746E" w:rsidP="00362EBF">
            <w:pPr>
              <w:spacing w:before="60" w:after="60"/>
              <w:rPr>
                <w:rFonts w:cs="Calibri"/>
                <w:sz w:val="22"/>
                <w:szCs w:val="22"/>
              </w:rPr>
            </w:pPr>
          </w:p>
        </w:tc>
        <w:tc>
          <w:tcPr>
            <w:tcW w:w="1928" w:type="dxa"/>
            <w:shd w:val="clear" w:color="auto" w:fill="FFFFFF" w:themeFill="background1"/>
            <w:vAlign w:val="center"/>
            <w:hideMark/>
          </w:tcPr>
          <w:p w14:paraId="4C885E15" w14:textId="77777777" w:rsidR="000E746E" w:rsidRPr="00DD564A" w:rsidRDefault="000E746E" w:rsidP="63259912">
            <w:pPr>
              <w:spacing w:before="60" w:after="60"/>
              <w:rPr>
                <w:rFonts w:cs="Calibri"/>
                <w:sz w:val="22"/>
                <w:szCs w:val="22"/>
              </w:rPr>
            </w:pPr>
            <w:r w:rsidRPr="63259912">
              <w:rPr>
                <w:rFonts w:cs="Calibri"/>
                <w:sz w:val="22"/>
                <w:szCs w:val="22"/>
              </w:rPr>
              <w:t>Announced Pledges</w:t>
            </w:r>
          </w:p>
        </w:tc>
        <w:tc>
          <w:tcPr>
            <w:tcW w:w="1111" w:type="dxa"/>
            <w:vMerge/>
            <w:vAlign w:val="center"/>
            <w:hideMark/>
          </w:tcPr>
          <w:p w14:paraId="268E2F6F" w14:textId="77777777" w:rsidR="000E746E" w:rsidRPr="00DD564A" w:rsidRDefault="000E746E" w:rsidP="00362EBF">
            <w:pPr>
              <w:spacing w:before="60" w:after="60"/>
              <w:rPr>
                <w:rFonts w:cs="Calibri"/>
                <w:sz w:val="22"/>
                <w:szCs w:val="22"/>
              </w:rPr>
            </w:pPr>
          </w:p>
        </w:tc>
        <w:tc>
          <w:tcPr>
            <w:tcW w:w="740" w:type="dxa"/>
            <w:vMerge/>
            <w:vAlign w:val="center"/>
            <w:hideMark/>
          </w:tcPr>
          <w:p w14:paraId="37BE8D11" w14:textId="77777777" w:rsidR="000E746E" w:rsidRPr="00DD564A" w:rsidRDefault="000E746E" w:rsidP="00362EBF">
            <w:pPr>
              <w:spacing w:before="60" w:after="60"/>
              <w:jc w:val="center"/>
              <w:rPr>
                <w:rFonts w:cs="Calibri"/>
                <w:sz w:val="22"/>
                <w:szCs w:val="22"/>
              </w:rPr>
            </w:pPr>
          </w:p>
        </w:tc>
        <w:tc>
          <w:tcPr>
            <w:tcW w:w="708" w:type="dxa"/>
            <w:shd w:val="clear" w:color="auto" w:fill="FFFFFF" w:themeFill="background1"/>
            <w:vAlign w:val="center"/>
            <w:hideMark/>
          </w:tcPr>
          <w:p w14:paraId="2436938E" w14:textId="77777777" w:rsidR="000E746E" w:rsidRPr="00DD564A" w:rsidRDefault="000E746E" w:rsidP="00362EBF">
            <w:pPr>
              <w:spacing w:before="60" w:after="60"/>
              <w:jc w:val="center"/>
              <w:rPr>
                <w:rFonts w:cs="Calibri"/>
                <w:sz w:val="22"/>
                <w:szCs w:val="22"/>
              </w:rPr>
            </w:pPr>
            <w:r w:rsidRPr="00DD564A">
              <w:rPr>
                <w:rFonts w:cs="Calibri"/>
                <w:sz w:val="22"/>
                <w:szCs w:val="22"/>
              </w:rPr>
              <w:t>52,4</w:t>
            </w:r>
          </w:p>
        </w:tc>
        <w:tc>
          <w:tcPr>
            <w:tcW w:w="709" w:type="dxa"/>
            <w:shd w:val="clear" w:color="auto" w:fill="FFFFFF" w:themeFill="background1"/>
            <w:vAlign w:val="center"/>
            <w:hideMark/>
          </w:tcPr>
          <w:p w14:paraId="5CC761E9" w14:textId="77777777" w:rsidR="000E746E" w:rsidRPr="00DD564A" w:rsidRDefault="000E746E" w:rsidP="00362EBF">
            <w:pPr>
              <w:spacing w:before="60" w:after="60"/>
              <w:jc w:val="center"/>
              <w:rPr>
                <w:rFonts w:cs="Calibri"/>
                <w:sz w:val="22"/>
                <w:szCs w:val="22"/>
              </w:rPr>
            </w:pPr>
            <w:r w:rsidRPr="00DD564A">
              <w:rPr>
                <w:rFonts w:cs="Calibri"/>
                <w:sz w:val="22"/>
                <w:szCs w:val="22"/>
              </w:rPr>
              <w:t>51,5</w:t>
            </w:r>
          </w:p>
        </w:tc>
        <w:tc>
          <w:tcPr>
            <w:tcW w:w="709" w:type="dxa"/>
            <w:shd w:val="clear" w:color="auto" w:fill="FFFFFF" w:themeFill="background1"/>
            <w:vAlign w:val="center"/>
            <w:hideMark/>
          </w:tcPr>
          <w:p w14:paraId="680411BE" w14:textId="77777777" w:rsidR="000E746E" w:rsidRPr="00DD564A" w:rsidRDefault="000E746E" w:rsidP="00362EBF">
            <w:pPr>
              <w:spacing w:before="60" w:after="60"/>
              <w:jc w:val="center"/>
              <w:rPr>
                <w:rFonts w:cs="Calibri"/>
                <w:sz w:val="22"/>
                <w:szCs w:val="22"/>
              </w:rPr>
            </w:pPr>
            <w:r w:rsidRPr="00DD564A">
              <w:rPr>
                <w:rFonts w:cs="Calibri"/>
                <w:sz w:val="22"/>
                <w:szCs w:val="22"/>
              </w:rPr>
              <w:t>51,5</w:t>
            </w:r>
          </w:p>
        </w:tc>
        <w:tc>
          <w:tcPr>
            <w:tcW w:w="738" w:type="dxa"/>
            <w:shd w:val="clear" w:color="auto" w:fill="FFFFFF" w:themeFill="background1"/>
            <w:vAlign w:val="center"/>
            <w:hideMark/>
          </w:tcPr>
          <w:p w14:paraId="7F2987A7" w14:textId="77777777" w:rsidR="000E746E" w:rsidRPr="00DD564A" w:rsidRDefault="000E746E" w:rsidP="00362EBF">
            <w:pPr>
              <w:spacing w:before="60" w:after="60"/>
              <w:jc w:val="center"/>
              <w:rPr>
                <w:rFonts w:cs="Calibri"/>
                <w:sz w:val="22"/>
                <w:szCs w:val="22"/>
              </w:rPr>
            </w:pPr>
            <w:r w:rsidRPr="00DD564A">
              <w:rPr>
                <w:rFonts w:cs="Calibri"/>
                <w:sz w:val="22"/>
                <w:szCs w:val="22"/>
              </w:rPr>
              <w:t>50,7</w:t>
            </w:r>
          </w:p>
        </w:tc>
        <w:tc>
          <w:tcPr>
            <w:tcW w:w="538" w:type="dxa"/>
            <w:shd w:val="clear" w:color="auto" w:fill="FFFFFF" w:themeFill="background1"/>
            <w:vAlign w:val="center"/>
            <w:hideMark/>
          </w:tcPr>
          <w:p w14:paraId="77460581" w14:textId="77777777" w:rsidR="000E746E" w:rsidRPr="00DD564A" w:rsidRDefault="000E746E" w:rsidP="00362EBF">
            <w:pPr>
              <w:spacing w:before="60" w:after="60"/>
              <w:jc w:val="center"/>
              <w:rPr>
                <w:rFonts w:cs="Calibri"/>
                <w:sz w:val="22"/>
                <w:szCs w:val="22"/>
              </w:rPr>
            </w:pPr>
            <w:r w:rsidRPr="00DD564A">
              <w:rPr>
                <w:rFonts w:cs="Calibri"/>
                <w:sz w:val="22"/>
                <w:szCs w:val="22"/>
              </w:rPr>
              <w:t>49,8</w:t>
            </w:r>
          </w:p>
        </w:tc>
      </w:tr>
      <w:tr w:rsidR="000E746E" w:rsidRPr="00B532F4" w14:paraId="536222D2" w14:textId="77777777" w:rsidTr="63259912">
        <w:trPr>
          <w:trHeight w:val="264"/>
        </w:trPr>
        <w:tc>
          <w:tcPr>
            <w:tcW w:w="1745" w:type="dxa"/>
            <w:vMerge w:val="restart"/>
            <w:shd w:val="clear" w:color="auto" w:fill="FFFFFF" w:themeFill="background1"/>
            <w:vAlign w:val="center"/>
            <w:hideMark/>
          </w:tcPr>
          <w:p w14:paraId="540EB7D2" w14:textId="77777777" w:rsidR="000E746E" w:rsidRPr="004E5994" w:rsidRDefault="000E746E" w:rsidP="00362EBF">
            <w:pPr>
              <w:spacing w:before="60" w:after="60"/>
              <w:rPr>
                <w:rFonts w:cs="Calibri"/>
                <w:sz w:val="22"/>
                <w:szCs w:val="22"/>
              </w:rPr>
            </w:pPr>
            <w:r w:rsidRPr="004E5994">
              <w:rPr>
                <w:rFonts w:cs="Calibri"/>
                <w:sz w:val="22"/>
                <w:szCs w:val="22"/>
              </w:rPr>
              <w:t>Prirodni plin (EU*)</w:t>
            </w:r>
          </w:p>
        </w:tc>
        <w:tc>
          <w:tcPr>
            <w:tcW w:w="1928" w:type="dxa"/>
            <w:shd w:val="clear" w:color="auto" w:fill="FFFFFF" w:themeFill="background1"/>
            <w:vAlign w:val="center"/>
            <w:hideMark/>
          </w:tcPr>
          <w:p w14:paraId="53AECF26" w14:textId="77777777" w:rsidR="000E746E" w:rsidRPr="004E5994" w:rsidRDefault="000E746E" w:rsidP="63259912">
            <w:pPr>
              <w:spacing w:before="60" w:after="60"/>
              <w:rPr>
                <w:rFonts w:cs="Calibri"/>
                <w:sz w:val="22"/>
                <w:szCs w:val="22"/>
              </w:rPr>
            </w:pPr>
            <w:r w:rsidRPr="63259912">
              <w:rPr>
                <w:rFonts w:cs="Calibri"/>
                <w:sz w:val="22"/>
                <w:szCs w:val="22"/>
              </w:rPr>
              <w:t>Stated Policies</w:t>
            </w:r>
          </w:p>
        </w:tc>
        <w:tc>
          <w:tcPr>
            <w:tcW w:w="1111" w:type="dxa"/>
            <w:vMerge w:val="restart"/>
            <w:shd w:val="clear" w:color="auto" w:fill="FFFFFF" w:themeFill="background1"/>
            <w:vAlign w:val="center"/>
            <w:hideMark/>
          </w:tcPr>
          <w:p w14:paraId="744DD92A" w14:textId="77777777" w:rsidR="000E746E" w:rsidRPr="004E5994" w:rsidRDefault="000E746E" w:rsidP="63259912">
            <w:pPr>
              <w:spacing w:before="60" w:after="60"/>
              <w:rPr>
                <w:rFonts w:cs="Calibri"/>
                <w:sz w:val="22"/>
                <w:szCs w:val="22"/>
              </w:rPr>
            </w:pPr>
            <w:r w:rsidRPr="63259912">
              <w:rPr>
                <w:rFonts w:cs="Calibri"/>
                <w:sz w:val="22"/>
                <w:szCs w:val="22"/>
              </w:rPr>
              <w:t>EUR/MBTu</w:t>
            </w:r>
          </w:p>
        </w:tc>
        <w:tc>
          <w:tcPr>
            <w:tcW w:w="740" w:type="dxa"/>
            <w:vMerge w:val="restart"/>
            <w:shd w:val="clear" w:color="auto" w:fill="FFFFFF" w:themeFill="background1"/>
            <w:vAlign w:val="center"/>
            <w:hideMark/>
          </w:tcPr>
          <w:p w14:paraId="699123D4" w14:textId="77777777" w:rsidR="000E746E" w:rsidRPr="004E5994" w:rsidRDefault="000E746E" w:rsidP="00362EBF">
            <w:pPr>
              <w:spacing w:before="60" w:after="60"/>
              <w:jc w:val="center"/>
              <w:rPr>
                <w:rFonts w:cs="Calibri"/>
                <w:sz w:val="22"/>
                <w:szCs w:val="22"/>
              </w:rPr>
            </w:pPr>
            <w:r w:rsidRPr="004E5994">
              <w:rPr>
                <w:rFonts w:cs="Calibri"/>
                <w:sz w:val="22"/>
                <w:szCs w:val="22"/>
              </w:rPr>
              <w:t>7,8</w:t>
            </w:r>
          </w:p>
        </w:tc>
        <w:tc>
          <w:tcPr>
            <w:tcW w:w="708" w:type="dxa"/>
            <w:shd w:val="clear" w:color="auto" w:fill="FFFFFF" w:themeFill="background1"/>
            <w:vAlign w:val="center"/>
            <w:hideMark/>
          </w:tcPr>
          <w:p w14:paraId="00187AB9" w14:textId="77777777" w:rsidR="000E746E" w:rsidRPr="004E5994" w:rsidRDefault="000E746E" w:rsidP="00362EBF">
            <w:pPr>
              <w:spacing w:before="60" w:after="60"/>
              <w:jc w:val="center"/>
              <w:rPr>
                <w:rFonts w:cs="Calibri"/>
                <w:sz w:val="22"/>
                <w:szCs w:val="22"/>
              </w:rPr>
            </w:pPr>
            <w:r w:rsidRPr="004E5994">
              <w:rPr>
                <w:rFonts w:cs="Calibri"/>
                <w:sz w:val="22"/>
                <w:szCs w:val="22"/>
              </w:rPr>
              <w:t>7,0</w:t>
            </w:r>
          </w:p>
        </w:tc>
        <w:tc>
          <w:tcPr>
            <w:tcW w:w="709" w:type="dxa"/>
            <w:shd w:val="clear" w:color="auto" w:fill="FFFFFF" w:themeFill="background1"/>
            <w:vAlign w:val="center"/>
            <w:hideMark/>
          </w:tcPr>
          <w:p w14:paraId="4628C49A" w14:textId="77777777" w:rsidR="000E746E" w:rsidRPr="004E5994" w:rsidRDefault="000E746E" w:rsidP="00362EBF">
            <w:pPr>
              <w:spacing w:before="60" w:after="60"/>
              <w:jc w:val="center"/>
              <w:rPr>
                <w:rFonts w:cs="Calibri"/>
                <w:sz w:val="22"/>
                <w:szCs w:val="22"/>
              </w:rPr>
            </w:pPr>
            <w:r w:rsidRPr="004E5994">
              <w:rPr>
                <w:rFonts w:cs="Calibri"/>
                <w:sz w:val="22"/>
                <w:szCs w:val="22"/>
              </w:rPr>
              <w:t>7,0</w:t>
            </w:r>
          </w:p>
        </w:tc>
        <w:tc>
          <w:tcPr>
            <w:tcW w:w="709" w:type="dxa"/>
            <w:shd w:val="clear" w:color="auto" w:fill="FFFFFF" w:themeFill="background1"/>
            <w:vAlign w:val="center"/>
            <w:hideMark/>
          </w:tcPr>
          <w:p w14:paraId="250B2708" w14:textId="77777777" w:rsidR="000E746E" w:rsidRPr="004E5994" w:rsidRDefault="000E746E" w:rsidP="00362EBF">
            <w:pPr>
              <w:spacing w:before="60" w:after="60"/>
              <w:jc w:val="center"/>
              <w:rPr>
                <w:rFonts w:cs="Calibri"/>
                <w:sz w:val="22"/>
                <w:szCs w:val="22"/>
              </w:rPr>
            </w:pPr>
            <w:r w:rsidRPr="004E5994">
              <w:rPr>
                <w:rFonts w:cs="Calibri"/>
                <w:sz w:val="22"/>
                <w:szCs w:val="22"/>
              </w:rPr>
              <w:t>7,1</w:t>
            </w:r>
          </w:p>
        </w:tc>
        <w:tc>
          <w:tcPr>
            <w:tcW w:w="738" w:type="dxa"/>
            <w:shd w:val="clear" w:color="auto" w:fill="FFFFFF" w:themeFill="background1"/>
            <w:vAlign w:val="center"/>
            <w:hideMark/>
          </w:tcPr>
          <w:p w14:paraId="37E53247" w14:textId="77777777" w:rsidR="000E746E" w:rsidRPr="004E5994" w:rsidRDefault="000E746E" w:rsidP="00362EBF">
            <w:pPr>
              <w:spacing w:before="60" w:after="60"/>
              <w:jc w:val="center"/>
              <w:rPr>
                <w:rFonts w:cs="Calibri"/>
                <w:sz w:val="22"/>
                <w:szCs w:val="22"/>
              </w:rPr>
            </w:pPr>
            <w:r w:rsidRPr="004E5994">
              <w:rPr>
                <w:rFonts w:cs="Calibri"/>
                <w:sz w:val="22"/>
                <w:szCs w:val="22"/>
              </w:rPr>
              <w:t>7,3</w:t>
            </w:r>
          </w:p>
        </w:tc>
        <w:tc>
          <w:tcPr>
            <w:tcW w:w="538" w:type="dxa"/>
            <w:shd w:val="clear" w:color="auto" w:fill="FFFFFF" w:themeFill="background1"/>
            <w:vAlign w:val="center"/>
            <w:hideMark/>
          </w:tcPr>
          <w:p w14:paraId="6EC6957F" w14:textId="77777777" w:rsidR="000E746E" w:rsidRPr="004E5994" w:rsidRDefault="000E746E" w:rsidP="00362EBF">
            <w:pPr>
              <w:spacing w:before="60" w:after="60"/>
              <w:jc w:val="center"/>
              <w:rPr>
                <w:rFonts w:cs="Calibri"/>
                <w:sz w:val="22"/>
                <w:szCs w:val="22"/>
              </w:rPr>
            </w:pPr>
            <w:r w:rsidRPr="004E5994">
              <w:rPr>
                <w:rFonts w:cs="Calibri"/>
                <w:sz w:val="22"/>
                <w:szCs w:val="22"/>
              </w:rPr>
              <w:t>7,6</w:t>
            </w:r>
          </w:p>
        </w:tc>
      </w:tr>
      <w:tr w:rsidR="000E746E" w:rsidRPr="00B532F4" w14:paraId="4418C633" w14:textId="77777777" w:rsidTr="63259912">
        <w:trPr>
          <w:trHeight w:val="264"/>
        </w:trPr>
        <w:tc>
          <w:tcPr>
            <w:tcW w:w="1745" w:type="dxa"/>
            <w:vMerge/>
            <w:vAlign w:val="center"/>
            <w:hideMark/>
          </w:tcPr>
          <w:p w14:paraId="76DEAB87" w14:textId="77777777" w:rsidR="000E746E" w:rsidRPr="00DD564A" w:rsidRDefault="000E746E" w:rsidP="00362EBF">
            <w:pPr>
              <w:spacing w:before="60" w:after="60"/>
              <w:rPr>
                <w:rFonts w:cs="Calibri"/>
                <w:sz w:val="22"/>
                <w:szCs w:val="22"/>
              </w:rPr>
            </w:pPr>
          </w:p>
        </w:tc>
        <w:tc>
          <w:tcPr>
            <w:tcW w:w="1928" w:type="dxa"/>
            <w:shd w:val="clear" w:color="auto" w:fill="FFFFFF" w:themeFill="background1"/>
            <w:vAlign w:val="center"/>
            <w:hideMark/>
          </w:tcPr>
          <w:p w14:paraId="576740B2" w14:textId="77777777" w:rsidR="000E746E" w:rsidRPr="00DD564A" w:rsidRDefault="000E746E" w:rsidP="63259912">
            <w:pPr>
              <w:spacing w:before="60" w:after="60"/>
              <w:rPr>
                <w:rFonts w:cs="Calibri"/>
                <w:sz w:val="22"/>
                <w:szCs w:val="22"/>
              </w:rPr>
            </w:pPr>
            <w:r w:rsidRPr="63259912">
              <w:rPr>
                <w:rFonts w:cs="Calibri"/>
                <w:sz w:val="22"/>
                <w:szCs w:val="22"/>
              </w:rPr>
              <w:t>Announced Pledges</w:t>
            </w:r>
          </w:p>
        </w:tc>
        <w:tc>
          <w:tcPr>
            <w:tcW w:w="1111" w:type="dxa"/>
            <w:vMerge/>
            <w:vAlign w:val="center"/>
            <w:hideMark/>
          </w:tcPr>
          <w:p w14:paraId="2F29C0CF" w14:textId="77777777" w:rsidR="000E746E" w:rsidRPr="00DD564A" w:rsidRDefault="000E746E" w:rsidP="00362EBF">
            <w:pPr>
              <w:spacing w:before="60" w:after="60"/>
              <w:rPr>
                <w:rFonts w:cs="Calibri"/>
                <w:sz w:val="22"/>
                <w:szCs w:val="22"/>
              </w:rPr>
            </w:pPr>
          </w:p>
        </w:tc>
        <w:tc>
          <w:tcPr>
            <w:tcW w:w="740" w:type="dxa"/>
            <w:vMerge/>
            <w:vAlign w:val="center"/>
            <w:hideMark/>
          </w:tcPr>
          <w:p w14:paraId="6FD69E5C" w14:textId="77777777" w:rsidR="000E746E" w:rsidRPr="00DD564A" w:rsidRDefault="000E746E" w:rsidP="00362EBF">
            <w:pPr>
              <w:spacing w:before="60" w:after="60"/>
              <w:jc w:val="center"/>
              <w:rPr>
                <w:rFonts w:cs="Calibri"/>
                <w:sz w:val="22"/>
                <w:szCs w:val="22"/>
              </w:rPr>
            </w:pPr>
          </w:p>
        </w:tc>
        <w:tc>
          <w:tcPr>
            <w:tcW w:w="708" w:type="dxa"/>
            <w:shd w:val="clear" w:color="auto" w:fill="FFFFFF" w:themeFill="background1"/>
            <w:vAlign w:val="center"/>
            <w:hideMark/>
          </w:tcPr>
          <w:p w14:paraId="17863579" w14:textId="77777777" w:rsidR="000E746E" w:rsidRPr="00DD564A" w:rsidRDefault="000E746E" w:rsidP="00362EBF">
            <w:pPr>
              <w:spacing w:before="60" w:after="60"/>
              <w:jc w:val="center"/>
              <w:rPr>
                <w:rFonts w:cs="Calibri"/>
                <w:sz w:val="22"/>
                <w:szCs w:val="22"/>
              </w:rPr>
            </w:pPr>
            <w:r w:rsidRPr="00DD564A">
              <w:rPr>
                <w:rFonts w:cs="Calibri"/>
                <w:sz w:val="22"/>
                <w:szCs w:val="22"/>
              </w:rPr>
              <w:t>6,5</w:t>
            </w:r>
          </w:p>
        </w:tc>
        <w:tc>
          <w:tcPr>
            <w:tcW w:w="709" w:type="dxa"/>
            <w:shd w:val="clear" w:color="auto" w:fill="FFFFFF" w:themeFill="background1"/>
            <w:vAlign w:val="center"/>
            <w:hideMark/>
          </w:tcPr>
          <w:p w14:paraId="12BE14CA" w14:textId="77777777" w:rsidR="000E746E" w:rsidRPr="00DD564A" w:rsidRDefault="000E746E" w:rsidP="00362EBF">
            <w:pPr>
              <w:spacing w:before="60" w:after="60"/>
              <w:jc w:val="center"/>
              <w:rPr>
                <w:rFonts w:cs="Calibri"/>
                <w:sz w:val="22"/>
                <w:szCs w:val="22"/>
              </w:rPr>
            </w:pPr>
            <w:r w:rsidRPr="00DD564A">
              <w:rPr>
                <w:rFonts w:cs="Calibri"/>
                <w:sz w:val="22"/>
                <w:szCs w:val="22"/>
              </w:rPr>
              <w:t>6,0</w:t>
            </w:r>
          </w:p>
        </w:tc>
        <w:tc>
          <w:tcPr>
            <w:tcW w:w="709" w:type="dxa"/>
            <w:shd w:val="clear" w:color="auto" w:fill="FFFFFF" w:themeFill="background1"/>
            <w:vAlign w:val="center"/>
            <w:hideMark/>
          </w:tcPr>
          <w:p w14:paraId="213034D8" w14:textId="77777777" w:rsidR="000E746E" w:rsidRPr="00DD564A" w:rsidRDefault="000E746E" w:rsidP="00362EBF">
            <w:pPr>
              <w:spacing w:before="60" w:after="60"/>
              <w:jc w:val="center"/>
              <w:rPr>
                <w:rFonts w:cs="Calibri"/>
                <w:sz w:val="22"/>
                <w:szCs w:val="22"/>
              </w:rPr>
            </w:pPr>
            <w:r w:rsidRPr="00DD564A">
              <w:rPr>
                <w:rFonts w:cs="Calibri"/>
                <w:sz w:val="22"/>
                <w:szCs w:val="22"/>
              </w:rPr>
              <w:t>5,5</w:t>
            </w:r>
          </w:p>
        </w:tc>
        <w:tc>
          <w:tcPr>
            <w:tcW w:w="738" w:type="dxa"/>
            <w:shd w:val="clear" w:color="auto" w:fill="FFFFFF" w:themeFill="background1"/>
            <w:vAlign w:val="center"/>
            <w:hideMark/>
          </w:tcPr>
          <w:p w14:paraId="5168036E" w14:textId="77777777" w:rsidR="000E746E" w:rsidRPr="00DD564A" w:rsidRDefault="000E746E" w:rsidP="00362EBF">
            <w:pPr>
              <w:spacing w:before="60" w:after="60"/>
              <w:jc w:val="center"/>
              <w:rPr>
                <w:rFonts w:cs="Calibri"/>
                <w:sz w:val="22"/>
                <w:szCs w:val="22"/>
              </w:rPr>
            </w:pPr>
            <w:r w:rsidRPr="00DD564A">
              <w:rPr>
                <w:rFonts w:cs="Calibri"/>
                <w:sz w:val="22"/>
                <w:szCs w:val="22"/>
              </w:rPr>
              <w:t>5,2</w:t>
            </w:r>
          </w:p>
        </w:tc>
        <w:tc>
          <w:tcPr>
            <w:tcW w:w="538" w:type="dxa"/>
            <w:shd w:val="clear" w:color="auto" w:fill="FFFFFF" w:themeFill="background1"/>
            <w:vAlign w:val="center"/>
            <w:hideMark/>
          </w:tcPr>
          <w:p w14:paraId="1E587F4F" w14:textId="77777777" w:rsidR="000E746E" w:rsidRPr="00DD564A" w:rsidRDefault="000E746E" w:rsidP="00362EBF">
            <w:pPr>
              <w:spacing w:before="60" w:after="60"/>
              <w:jc w:val="center"/>
              <w:rPr>
                <w:rFonts w:cs="Calibri"/>
                <w:sz w:val="22"/>
                <w:szCs w:val="22"/>
              </w:rPr>
            </w:pPr>
            <w:r w:rsidRPr="00DD564A">
              <w:rPr>
                <w:rFonts w:cs="Calibri"/>
                <w:sz w:val="22"/>
                <w:szCs w:val="22"/>
              </w:rPr>
              <w:t>5,2</w:t>
            </w:r>
          </w:p>
        </w:tc>
      </w:tr>
      <w:tr w:rsidR="000E746E" w:rsidRPr="00B532F4" w14:paraId="5003A9A7" w14:textId="77777777" w:rsidTr="63259912">
        <w:trPr>
          <w:trHeight w:val="264"/>
        </w:trPr>
        <w:tc>
          <w:tcPr>
            <w:tcW w:w="1745" w:type="dxa"/>
            <w:vMerge w:val="restart"/>
            <w:shd w:val="clear" w:color="auto" w:fill="FFFFFF" w:themeFill="background1"/>
            <w:vAlign w:val="center"/>
            <w:hideMark/>
          </w:tcPr>
          <w:p w14:paraId="05787DD4" w14:textId="77777777" w:rsidR="000E746E" w:rsidRPr="004E5994" w:rsidRDefault="000E746E" w:rsidP="00362EBF">
            <w:pPr>
              <w:spacing w:before="60" w:after="60"/>
              <w:rPr>
                <w:rFonts w:cs="Calibri"/>
                <w:sz w:val="22"/>
                <w:szCs w:val="22"/>
              </w:rPr>
            </w:pPr>
            <w:r w:rsidRPr="004E5994">
              <w:rPr>
                <w:rFonts w:cs="Calibri"/>
                <w:sz w:val="22"/>
                <w:szCs w:val="22"/>
              </w:rPr>
              <w:t>Ugljen (EU*)</w:t>
            </w:r>
          </w:p>
        </w:tc>
        <w:tc>
          <w:tcPr>
            <w:tcW w:w="1928" w:type="dxa"/>
            <w:shd w:val="clear" w:color="auto" w:fill="FFFFFF" w:themeFill="background1"/>
            <w:vAlign w:val="center"/>
            <w:hideMark/>
          </w:tcPr>
          <w:p w14:paraId="7A7FE5AF" w14:textId="77777777" w:rsidR="000E746E" w:rsidRPr="004E5994" w:rsidRDefault="000E746E" w:rsidP="63259912">
            <w:pPr>
              <w:spacing w:before="60" w:after="60"/>
              <w:rPr>
                <w:rFonts w:cs="Calibri"/>
                <w:sz w:val="22"/>
                <w:szCs w:val="22"/>
              </w:rPr>
            </w:pPr>
            <w:r w:rsidRPr="63259912">
              <w:rPr>
                <w:rFonts w:cs="Calibri"/>
                <w:sz w:val="22"/>
                <w:szCs w:val="22"/>
              </w:rPr>
              <w:t>Stated Policies</w:t>
            </w:r>
          </w:p>
        </w:tc>
        <w:tc>
          <w:tcPr>
            <w:tcW w:w="1111" w:type="dxa"/>
            <w:vMerge w:val="restart"/>
            <w:shd w:val="clear" w:color="auto" w:fill="FFFFFF" w:themeFill="background1"/>
            <w:vAlign w:val="center"/>
            <w:hideMark/>
          </w:tcPr>
          <w:p w14:paraId="179B6935" w14:textId="77777777" w:rsidR="000E746E" w:rsidRPr="004E5994" w:rsidRDefault="000E746E" w:rsidP="00362EBF">
            <w:pPr>
              <w:spacing w:before="60" w:after="60"/>
              <w:rPr>
                <w:rFonts w:cs="Calibri"/>
                <w:sz w:val="22"/>
                <w:szCs w:val="22"/>
              </w:rPr>
            </w:pPr>
            <w:r w:rsidRPr="004E5994">
              <w:rPr>
                <w:rFonts w:cs="Calibri"/>
                <w:sz w:val="22"/>
                <w:szCs w:val="22"/>
              </w:rPr>
              <w:t>EUR/tona</w:t>
            </w:r>
          </w:p>
        </w:tc>
        <w:tc>
          <w:tcPr>
            <w:tcW w:w="740" w:type="dxa"/>
            <w:vMerge w:val="restart"/>
            <w:shd w:val="clear" w:color="auto" w:fill="FFFFFF" w:themeFill="background1"/>
            <w:vAlign w:val="center"/>
            <w:hideMark/>
          </w:tcPr>
          <w:p w14:paraId="401FC8D5" w14:textId="77777777" w:rsidR="000E746E" w:rsidRPr="004E5994" w:rsidRDefault="000E746E" w:rsidP="00362EBF">
            <w:pPr>
              <w:spacing w:before="60" w:after="60"/>
              <w:jc w:val="center"/>
              <w:rPr>
                <w:rFonts w:cs="Calibri"/>
                <w:sz w:val="22"/>
                <w:szCs w:val="22"/>
              </w:rPr>
            </w:pPr>
            <w:r w:rsidRPr="004E5994">
              <w:rPr>
                <w:rFonts w:cs="Calibri"/>
                <w:sz w:val="22"/>
                <w:szCs w:val="22"/>
              </w:rPr>
              <w:t>98,9</w:t>
            </w:r>
          </w:p>
        </w:tc>
        <w:tc>
          <w:tcPr>
            <w:tcW w:w="708" w:type="dxa"/>
            <w:shd w:val="clear" w:color="auto" w:fill="FFFFFF" w:themeFill="background1"/>
            <w:vAlign w:val="center"/>
            <w:hideMark/>
          </w:tcPr>
          <w:p w14:paraId="1E685E29" w14:textId="77777777" w:rsidR="000E746E" w:rsidRPr="004E5994" w:rsidRDefault="000E746E" w:rsidP="00362EBF">
            <w:pPr>
              <w:spacing w:before="60" w:after="60"/>
              <w:jc w:val="center"/>
              <w:rPr>
                <w:rFonts w:cs="Calibri"/>
                <w:sz w:val="22"/>
                <w:szCs w:val="22"/>
              </w:rPr>
            </w:pPr>
            <w:r w:rsidRPr="004E5994">
              <w:rPr>
                <w:rFonts w:cs="Calibri"/>
                <w:sz w:val="22"/>
                <w:szCs w:val="22"/>
              </w:rPr>
              <w:t>49,7</w:t>
            </w:r>
          </w:p>
        </w:tc>
        <w:tc>
          <w:tcPr>
            <w:tcW w:w="709" w:type="dxa"/>
            <w:shd w:val="clear" w:color="auto" w:fill="FFFFFF" w:themeFill="background1"/>
            <w:vAlign w:val="center"/>
            <w:hideMark/>
          </w:tcPr>
          <w:p w14:paraId="24F10903" w14:textId="77777777" w:rsidR="000E746E" w:rsidRPr="004E5994" w:rsidRDefault="000E746E" w:rsidP="00362EBF">
            <w:pPr>
              <w:spacing w:before="60" w:after="60"/>
              <w:jc w:val="center"/>
              <w:rPr>
                <w:rFonts w:cs="Calibri"/>
                <w:sz w:val="22"/>
                <w:szCs w:val="22"/>
              </w:rPr>
            </w:pPr>
            <w:r w:rsidRPr="004E5994">
              <w:rPr>
                <w:rFonts w:cs="Calibri"/>
                <w:sz w:val="22"/>
                <w:szCs w:val="22"/>
              </w:rPr>
              <w:t>54,4</w:t>
            </w:r>
          </w:p>
        </w:tc>
        <w:tc>
          <w:tcPr>
            <w:tcW w:w="709" w:type="dxa"/>
            <w:shd w:val="clear" w:color="auto" w:fill="FFFFFF" w:themeFill="background1"/>
            <w:vAlign w:val="center"/>
            <w:hideMark/>
          </w:tcPr>
          <w:p w14:paraId="4DF381D2" w14:textId="77777777" w:rsidR="000E746E" w:rsidRPr="004E5994" w:rsidRDefault="000E746E" w:rsidP="00362EBF">
            <w:pPr>
              <w:spacing w:before="60" w:after="60"/>
              <w:jc w:val="center"/>
              <w:rPr>
                <w:rFonts w:cs="Calibri"/>
                <w:sz w:val="22"/>
                <w:szCs w:val="22"/>
              </w:rPr>
            </w:pPr>
            <w:r w:rsidRPr="004E5994">
              <w:rPr>
                <w:rFonts w:cs="Calibri"/>
                <w:sz w:val="22"/>
                <w:szCs w:val="22"/>
              </w:rPr>
              <w:t>53,9</w:t>
            </w:r>
          </w:p>
        </w:tc>
        <w:tc>
          <w:tcPr>
            <w:tcW w:w="738" w:type="dxa"/>
            <w:shd w:val="clear" w:color="auto" w:fill="FFFFFF" w:themeFill="background1"/>
            <w:vAlign w:val="center"/>
            <w:hideMark/>
          </w:tcPr>
          <w:p w14:paraId="11C824F1" w14:textId="77777777" w:rsidR="000E746E" w:rsidRPr="004E5994" w:rsidRDefault="000E746E" w:rsidP="00362EBF">
            <w:pPr>
              <w:spacing w:before="60" w:after="60"/>
              <w:jc w:val="center"/>
              <w:rPr>
                <w:rFonts w:cs="Calibri"/>
                <w:sz w:val="22"/>
                <w:szCs w:val="22"/>
              </w:rPr>
            </w:pPr>
            <w:r w:rsidRPr="004E5994">
              <w:rPr>
                <w:rFonts w:cs="Calibri"/>
                <w:sz w:val="22"/>
                <w:szCs w:val="22"/>
              </w:rPr>
              <w:t>52,8</w:t>
            </w:r>
          </w:p>
        </w:tc>
        <w:tc>
          <w:tcPr>
            <w:tcW w:w="538" w:type="dxa"/>
            <w:shd w:val="clear" w:color="auto" w:fill="FFFFFF" w:themeFill="background1"/>
            <w:vAlign w:val="center"/>
            <w:hideMark/>
          </w:tcPr>
          <w:p w14:paraId="463DE840" w14:textId="77777777" w:rsidR="000E746E" w:rsidRPr="004E5994" w:rsidRDefault="000E746E" w:rsidP="00362EBF">
            <w:pPr>
              <w:spacing w:before="60" w:after="60"/>
              <w:jc w:val="center"/>
              <w:rPr>
                <w:rFonts w:cs="Calibri"/>
                <w:sz w:val="22"/>
                <w:szCs w:val="22"/>
              </w:rPr>
            </w:pPr>
            <w:r w:rsidRPr="004E5994">
              <w:rPr>
                <w:rFonts w:cs="Calibri"/>
                <w:sz w:val="22"/>
                <w:szCs w:val="22"/>
              </w:rPr>
              <w:t>53,0</w:t>
            </w:r>
          </w:p>
        </w:tc>
      </w:tr>
      <w:tr w:rsidR="000E746E" w:rsidRPr="00B532F4" w14:paraId="5EBE3EEF" w14:textId="77777777" w:rsidTr="63259912">
        <w:trPr>
          <w:trHeight w:val="264"/>
        </w:trPr>
        <w:tc>
          <w:tcPr>
            <w:tcW w:w="1745" w:type="dxa"/>
            <w:vMerge/>
            <w:vAlign w:val="center"/>
            <w:hideMark/>
          </w:tcPr>
          <w:p w14:paraId="379053AB" w14:textId="77777777" w:rsidR="000E746E" w:rsidRPr="00DD564A" w:rsidRDefault="000E746E" w:rsidP="00362EBF">
            <w:pPr>
              <w:spacing w:before="60" w:after="60"/>
              <w:rPr>
                <w:rFonts w:cs="Calibri"/>
                <w:sz w:val="22"/>
                <w:szCs w:val="22"/>
              </w:rPr>
            </w:pPr>
          </w:p>
        </w:tc>
        <w:tc>
          <w:tcPr>
            <w:tcW w:w="1928" w:type="dxa"/>
            <w:shd w:val="clear" w:color="auto" w:fill="FFFFFF" w:themeFill="background1"/>
            <w:vAlign w:val="center"/>
            <w:hideMark/>
          </w:tcPr>
          <w:p w14:paraId="36E6A575" w14:textId="77777777" w:rsidR="000E746E" w:rsidRPr="00DD564A" w:rsidRDefault="000E746E" w:rsidP="63259912">
            <w:pPr>
              <w:spacing w:before="60" w:after="60"/>
              <w:rPr>
                <w:rFonts w:cs="Calibri"/>
                <w:sz w:val="22"/>
                <w:szCs w:val="22"/>
              </w:rPr>
            </w:pPr>
            <w:r w:rsidRPr="63259912">
              <w:rPr>
                <w:rFonts w:cs="Calibri"/>
                <w:sz w:val="22"/>
                <w:szCs w:val="22"/>
              </w:rPr>
              <w:t>Announced Pledges</w:t>
            </w:r>
          </w:p>
        </w:tc>
        <w:tc>
          <w:tcPr>
            <w:tcW w:w="1111" w:type="dxa"/>
            <w:vMerge/>
            <w:vAlign w:val="center"/>
            <w:hideMark/>
          </w:tcPr>
          <w:p w14:paraId="49664747" w14:textId="77777777" w:rsidR="000E746E" w:rsidRPr="00DD564A" w:rsidRDefault="000E746E" w:rsidP="00362EBF">
            <w:pPr>
              <w:spacing w:before="60" w:after="60"/>
              <w:rPr>
                <w:rFonts w:cs="Calibri"/>
                <w:sz w:val="22"/>
                <w:szCs w:val="22"/>
              </w:rPr>
            </w:pPr>
          </w:p>
        </w:tc>
        <w:tc>
          <w:tcPr>
            <w:tcW w:w="740" w:type="dxa"/>
            <w:vMerge/>
            <w:vAlign w:val="center"/>
            <w:hideMark/>
          </w:tcPr>
          <w:p w14:paraId="73C95D76" w14:textId="77777777" w:rsidR="000E746E" w:rsidRPr="00DD564A" w:rsidRDefault="000E746E" w:rsidP="00362EBF">
            <w:pPr>
              <w:spacing w:before="60" w:after="60"/>
              <w:jc w:val="center"/>
              <w:rPr>
                <w:rFonts w:cs="Calibri"/>
                <w:sz w:val="22"/>
                <w:szCs w:val="22"/>
              </w:rPr>
            </w:pPr>
          </w:p>
        </w:tc>
        <w:tc>
          <w:tcPr>
            <w:tcW w:w="708" w:type="dxa"/>
            <w:shd w:val="clear" w:color="auto" w:fill="FFFFFF" w:themeFill="background1"/>
            <w:vAlign w:val="center"/>
            <w:hideMark/>
          </w:tcPr>
          <w:p w14:paraId="0F135C93" w14:textId="77777777" w:rsidR="000E746E" w:rsidRPr="00DD564A" w:rsidRDefault="000E746E" w:rsidP="00362EBF">
            <w:pPr>
              <w:spacing w:before="60" w:after="60"/>
              <w:jc w:val="center"/>
              <w:rPr>
                <w:rFonts w:cs="Calibri"/>
                <w:sz w:val="22"/>
                <w:szCs w:val="22"/>
              </w:rPr>
            </w:pPr>
            <w:r w:rsidRPr="00DD564A">
              <w:rPr>
                <w:rFonts w:cs="Calibri"/>
                <w:sz w:val="22"/>
                <w:szCs w:val="22"/>
              </w:rPr>
              <w:t>51,5</w:t>
            </w:r>
          </w:p>
        </w:tc>
        <w:tc>
          <w:tcPr>
            <w:tcW w:w="709" w:type="dxa"/>
            <w:shd w:val="clear" w:color="auto" w:fill="FFFFFF" w:themeFill="background1"/>
            <w:vAlign w:val="center"/>
            <w:hideMark/>
          </w:tcPr>
          <w:p w14:paraId="74D32BAC" w14:textId="77777777" w:rsidR="000E746E" w:rsidRPr="00DD564A" w:rsidRDefault="000E746E" w:rsidP="00362EBF">
            <w:pPr>
              <w:spacing w:before="60" w:after="60"/>
              <w:jc w:val="center"/>
              <w:rPr>
                <w:rFonts w:cs="Calibri"/>
                <w:sz w:val="22"/>
                <w:szCs w:val="22"/>
              </w:rPr>
            </w:pPr>
            <w:r w:rsidRPr="00DD564A">
              <w:rPr>
                <w:rFonts w:cs="Calibri"/>
                <w:sz w:val="22"/>
                <w:szCs w:val="22"/>
              </w:rPr>
              <w:t>47,2</w:t>
            </w:r>
          </w:p>
        </w:tc>
        <w:tc>
          <w:tcPr>
            <w:tcW w:w="709" w:type="dxa"/>
            <w:shd w:val="clear" w:color="auto" w:fill="FFFFFF" w:themeFill="background1"/>
            <w:vAlign w:val="center"/>
            <w:hideMark/>
          </w:tcPr>
          <w:p w14:paraId="643F4F22" w14:textId="77777777" w:rsidR="000E746E" w:rsidRPr="00DD564A" w:rsidRDefault="000E746E" w:rsidP="00362EBF">
            <w:pPr>
              <w:spacing w:before="60" w:after="60"/>
              <w:jc w:val="center"/>
              <w:rPr>
                <w:rFonts w:cs="Calibri"/>
                <w:sz w:val="22"/>
                <w:szCs w:val="22"/>
              </w:rPr>
            </w:pPr>
            <w:r w:rsidRPr="00DD564A">
              <w:rPr>
                <w:rFonts w:cs="Calibri"/>
                <w:sz w:val="22"/>
                <w:szCs w:val="22"/>
              </w:rPr>
              <w:t>45,8</w:t>
            </w:r>
          </w:p>
        </w:tc>
        <w:tc>
          <w:tcPr>
            <w:tcW w:w="738" w:type="dxa"/>
            <w:shd w:val="clear" w:color="auto" w:fill="FFFFFF" w:themeFill="background1"/>
            <w:vAlign w:val="center"/>
            <w:hideMark/>
          </w:tcPr>
          <w:p w14:paraId="6BCBA9AF" w14:textId="77777777" w:rsidR="000E746E" w:rsidRPr="00DD564A" w:rsidRDefault="000E746E" w:rsidP="00362EBF">
            <w:pPr>
              <w:spacing w:before="60" w:after="60"/>
              <w:jc w:val="center"/>
              <w:rPr>
                <w:rFonts w:cs="Calibri"/>
                <w:sz w:val="22"/>
                <w:szCs w:val="22"/>
              </w:rPr>
            </w:pPr>
            <w:r w:rsidRPr="00DD564A">
              <w:rPr>
                <w:rFonts w:cs="Calibri"/>
                <w:sz w:val="22"/>
                <w:szCs w:val="22"/>
              </w:rPr>
              <w:t>44,8</w:t>
            </w:r>
          </w:p>
        </w:tc>
        <w:tc>
          <w:tcPr>
            <w:tcW w:w="538" w:type="dxa"/>
            <w:shd w:val="clear" w:color="auto" w:fill="FFFFFF" w:themeFill="background1"/>
            <w:vAlign w:val="center"/>
            <w:hideMark/>
          </w:tcPr>
          <w:p w14:paraId="7F3992B6" w14:textId="77777777" w:rsidR="000E746E" w:rsidRPr="00DD564A" w:rsidRDefault="000E746E" w:rsidP="00362EBF">
            <w:pPr>
              <w:spacing w:before="60" w:after="60"/>
              <w:jc w:val="center"/>
              <w:rPr>
                <w:rFonts w:cs="Calibri"/>
                <w:sz w:val="22"/>
                <w:szCs w:val="22"/>
              </w:rPr>
            </w:pPr>
            <w:r w:rsidRPr="00DD564A">
              <w:rPr>
                <w:rFonts w:cs="Calibri"/>
                <w:sz w:val="22"/>
                <w:szCs w:val="22"/>
              </w:rPr>
              <w:t>44,0</w:t>
            </w:r>
          </w:p>
        </w:tc>
      </w:tr>
      <w:tr w:rsidR="000E746E" w:rsidRPr="00B532F4" w14:paraId="51EF107E" w14:textId="77777777" w:rsidTr="63259912">
        <w:trPr>
          <w:trHeight w:val="264"/>
        </w:trPr>
        <w:tc>
          <w:tcPr>
            <w:tcW w:w="8926" w:type="dxa"/>
            <w:gridSpan w:val="9"/>
            <w:shd w:val="clear" w:color="auto" w:fill="FFFFFF" w:themeFill="background1"/>
            <w:vAlign w:val="center"/>
          </w:tcPr>
          <w:p w14:paraId="4381498A" w14:textId="77777777" w:rsidR="000E746E" w:rsidRPr="004E5994" w:rsidRDefault="000E746E" w:rsidP="00362EBF">
            <w:pPr>
              <w:spacing w:before="60" w:after="60"/>
              <w:rPr>
                <w:rFonts w:cs="Calibri"/>
                <w:sz w:val="22"/>
                <w:szCs w:val="22"/>
              </w:rPr>
            </w:pPr>
            <w:r w:rsidRPr="004E5994">
              <w:rPr>
                <w:rFonts w:cs="Calibri"/>
                <w:sz w:val="22"/>
                <w:szCs w:val="22"/>
              </w:rPr>
              <w:t>* - cijene relevantne za EU područje</w:t>
            </w:r>
          </w:p>
        </w:tc>
      </w:tr>
    </w:tbl>
    <w:p w14:paraId="5B58980D" w14:textId="6CE7E467" w:rsidR="000E746E" w:rsidRPr="00B47BDA" w:rsidRDefault="000E746E" w:rsidP="004623DD">
      <w:pPr>
        <w:pStyle w:val="Slike"/>
      </w:pPr>
      <w:r w:rsidRPr="00B47BDA">
        <w:t>Izvor: IEA World Energy Outlook 2023</w:t>
      </w:r>
      <w:r w:rsidR="0080494D">
        <w:t xml:space="preserve"> (</w:t>
      </w:r>
      <w:r w:rsidR="0080494D">
        <w:rPr>
          <w:rStyle w:val="cf01"/>
        </w:rPr>
        <w:t>''Svjetska energetska perspektiva za 2022. godinu Međunarodne agencije za energiju'')</w:t>
      </w:r>
      <w:r w:rsidR="009A5907">
        <w:rPr>
          <w:rStyle w:val="cf01"/>
        </w:rPr>
        <w:t xml:space="preserve"> </w:t>
      </w:r>
      <w:r w:rsidR="009A5907" w:rsidRPr="00B47BDA">
        <w:t>[</w:t>
      </w:r>
      <w:r w:rsidR="009A5907">
        <w:t>16</w:t>
      </w:r>
      <w:r w:rsidR="009A5907" w:rsidRPr="00B47BDA">
        <w:t>]</w:t>
      </w:r>
    </w:p>
    <w:p w14:paraId="70CE023C" w14:textId="788BAFD3" w:rsidR="000E746E" w:rsidRPr="00B47BDA" w:rsidRDefault="000E746E" w:rsidP="004623DD">
      <w:r w:rsidRPr="00B47BDA">
        <w:t>Iz navedenih projekcija vidljivo je da su EU u preporukama cijen</w:t>
      </w:r>
      <w:r w:rsidR="00155550">
        <w:t>a</w:t>
      </w:r>
      <w:r w:rsidRPr="00B47BDA">
        <w:t xml:space="preserve"> goriva znatno iznad projekcija cijena koje su pretpostavljene u IEA WEO 202</w:t>
      </w:r>
      <w:r w:rsidR="00155550">
        <w:t>3</w:t>
      </w:r>
      <w:r w:rsidRPr="00B47BDA">
        <w:t>.</w:t>
      </w:r>
    </w:p>
    <w:p w14:paraId="2A38BDFF" w14:textId="77777777" w:rsidR="000E746E" w:rsidRDefault="000E746E" w:rsidP="004623DD">
      <w:r w:rsidRPr="00B47BDA">
        <w:t>Za nuklearno gorivo pretpostavljena je stalna cijena od 0,50 EUR/GJ, a za biomasu 4,6 EUR/GJ.</w:t>
      </w:r>
    </w:p>
    <w:p w14:paraId="736A8517" w14:textId="77777777" w:rsidR="00B774AD" w:rsidRPr="00B47BDA" w:rsidRDefault="00B774AD" w:rsidP="004623DD"/>
    <w:p w14:paraId="5DDD9F66" w14:textId="1188B6D0" w:rsidR="000E746E" w:rsidRPr="00B47BDA" w:rsidRDefault="000E746E" w:rsidP="007327CD">
      <w:pPr>
        <w:pStyle w:val="Heading5"/>
      </w:pPr>
      <w:r w:rsidRPr="00B47BDA">
        <w:lastRenderedPageBreak/>
        <w:t xml:space="preserve">Cijene emisijskih jedinica u </w:t>
      </w:r>
      <w:r w:rsidR="6F97B335">
        <w:t>E</w:t>
      </w:r>
      <w:r w:rsidR="5443D15D">
        <w:t xml:space="preserve">U </w:t>
      </w:r>
      <w:r w:rsidRPr="00B47BDA">
        <w:t xml:space="preserve">sustavu </w:t>
      </w:r>
      <w:r w:rsidR="6F97B335">
        <w:t>trgov</w:t>
      </w:r>
      <w:r w:rsidR="339643F6">
        <w:t>anja emisijskim jedinicama</w:t>
      </w:r>
    </w:p>
    <w:p w14:paraId="1A38FC00" w14:textId="09C936CC" w:rsidR="000E746E" w:rsidRDefault="000E746E" w:rsidP="004623DD">
      <w:r w:rsidRPr="00B47BDA">
        <w:t>Za sve elektrane koje koriste fosilna goriva</w:t>
      </w:r>
      <w:r w:rsidR="0058562C">
        <w:t xml:space="preserve"> iznad 20 MW ulazne nazivne toplinske snage, </w:t>
      </w:r>
      <w:r w:rsidRPr="00B47BDA">
        <w:t xml:space="preserve"> pretpostavljeno je da sudjeluju u europskom sustavu trgovine emisijskim jedinicama. Za potrebe izrade nacionalnih </w:t>
      </w:r>
      <w:r w:rsidR="6F97B335">
        <w:t>energetsko</w:t>
      </w:r>
      <w:r w:rsidR="00B774AD">
        <w:t xml:space="preserve"> </w:t>
      </w:r>
      <w:r w:rsidR="6F97B335">
        <w:t>klimatskih</w:t>
      </w:r>
      <w:r w:rsidRPr="00B47BDA">
        <w:t xml:space="preserve"> planova Europska komisija je pripremila preporučene razine cijena emisijskih jedinica do 2050. godine koje su prikazane u tablici </w:t>
      </w:r>
      <w:r w:rsidR="009D4DC9" w:rsidRPr="00B47BDA">
        <w:t>u nastavku</w:t>
      </w:r>
      <w:r w:rsidRPr="00B47BDA">
        <w:t xml:space="preserve">. Kao i slučaju cijena goriva, svi iznosi su izraženi u </w:t>
      </w:r>
      <w:r w:rsidR="00885E73">
        <w:t>EUR</w:t>
      </w:r>
      <w:r w:rsidRPr="00B47BDA">
        <w:t xml:space="preserve"> iz 2020. godine.</w:t>
      </w:r>
    </w:p>
    <w:p w14:paraId="549EB145" w14:textId="77777777" w:rsidR="00300EBD" w:rsidRPr="00B47BDA" w:rsidRDefault="00300EBD" w:rsidP="004623DD"/>
    <w:p w14:paraId="17284DB7" w14:textId="0515B981" w:rsidR="000E746E" w:rsidRPr="00B47BDA" w:rsidRDefault="00BD316B" w:rsidP="004623DD">
      <w:pPr>
        <w:pStyle w:val="Caption"/>
      </w:pPr>
      <w:bookmarkStart w:id="526" w:name="_Toc193035956"/>
      <w:r w:rsidRPr="00B47BDA">
        <w:t xml:space="preserve">Tablica </w:t>
      </w:r>
      <w:r>
        <w:fldChar w:fldCharType="begin"/>
      </w:r>
      <w:r>
        <w:instrText>STYLEREF 1 \s</w:instrText>
      </w:r>
      <w:r>
        <w:fldChar w:fldCharType="separate"/>
      </w:r>
      <w:r w:rsidR="00AD324D">
        <w:rPr>
          <w:noProof/>
        </w:rPr>
        <w:t>4</w:t>
      </w:r>
      <w:r>
        <w:fldChar w:fldCharType="end"/>
      </w:r>
      <w:r w:rsidR="000C3EFD" w:rsidRPr="00B47BDA">
        <w:noBreakHyphen/>
      </w:r>
      <w:r>
        <w:fldChar w:fldCharType="begin"/>
      </w:r>
      <w:r>
        <w:instrText>SEQ Tablica \* ARABIC \s 1</w:instrText>
      </w:r>
      <w:r>
        <w:fldChar w:fldCharType="separate"/>
      </w:r>
      <w:r w:rsidR="00AD324D">
        <w:rPr>
          <w:noProof/>
        </w:rPr>
        <w:t>5</w:t>
      </w:r>
      <w:r>
        <w:fldChar w:fldCharType="end"/>
      </w:r>
      <w:r w:rsidR="000E746E" w:rsidRPr="00B47BDA">
        <w:t>. Preporučene cijene emisijskih jedinica do 2050. godine</w:t>
      </w:r>
      <w:bookmarkEnd w:id="526"/>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0"/>
        <w:gridCol w:w="810"/>
        <w:gridCol w:w="810"/>
        <w:gridCol w:w="810"/>
        <w:gridCol w:w="810"/>
        <w:gridCol w:w="810"/>
        <w:gridCol w:w="804"/>
        <w:gridCol w:w="802"/>
      </w:tblGrid>
      <w:tr w:rsidR="000E746E" w:rsidRPr="00B532F4" w14:paraId="4C07B39C" w14:textId="77777777" w:rsidTr="007B051E">
        <w:trPr>
          <w:trHeight w:val="300"/>
        </w:trPr>
        <w:tc>
          <w:tcPr>
            <w:tcW w:w="1877" w:type="pct"/>
            <w:shd w:val="clear" w:color="auto" w:fill="D9E2F3" w:themeFill="accent5" w:themeFillTint="33"/>
            <w:tcMar>
              <w:left w:w="28" w:type="dxa"/>
              <w:right w:w="28" w:type="dxa"/>
            </w:tcMar>
            <w:vAlign w:val="center"/>
            <w:hideMark/>
          </w:tcPr>
          <w:p w14:paraId="003A246D" w14:textId="77777777" w:rsidR="000E746E" w:rsidRPr="004E5994" w:rsidRDefault="000E746E" w:rsidP="004623DD">
            <w:pPr>
              <w:rPr>
                <w:color w:val="000000" w:themeColor="text1"/>
                <w:sz w:val="22"/>
                <w:szCs w:val="22"/>
              </w:rPr>
            </w:pPr>
            <w:r w:rsidRPr="004E5994">
              <w:rPr>
                <w:sz w:val="22"/>
                <w:szCs w:val="22"/>
              </w:rPr>
              <w:t>Cijene emisijskih jedinica</w:t>
            </w:r>
          </w:p>
        </w:tc>
        <w:tc>
          <w:tcPr>
            <w:tcW w:w="447" w:type="pct"/>
            <w:shd w:val="clear" w:color="auto" w:fill="D9E2F3" w:themeFill="accent5" w:themeFillTint="33"/>
            <w:tcMar>
              <w:left w:w="28" w:type="dxa"/>
              <w:right w:w="28" w:type="dxa"/>
            </w:tcMar>
            <w:vAlign w:val="center"/>
            <w:hideMark/>
          </w:tcPr>
          <w:p w14:paraId="51940CE3" w14:textId="77777777" w:rsidR="000E746E" w:rsidRPr="004E5994" w:rsidRDefault="000E746E" w:rsidP="00362EBF">
            <w:pPr>
              <w:jc w:val="center"/>
              <w:rPr>
                <w:b/>
                <w:sz w:val="22"/>
                <w:szCs w:val="22"/>
              </w:rPr>
            </w:pPr>
            <w:r w:rsidRPr="004E5994">
              <w:rPr>
                <w:b/>
                <w:sz w:val="22"/>
                <w:szCs w:val="22"/>
              </w:rPr>
              <w:t>2021.</w:t>
            </w:r>
          </w:p>
        </w:tc>
        <w:tc>
          <w:tcPr>
            <w:tcW w:w="447" w:type="pct"/>
            <w:shd w:val="clear" w:color="auto" w:fill="D9E2F3" w:themeFill="accent5" w:themeFillTint="33"/>
            <w:tcMar>
              <w:left w:w="28" w:type="dxa"/>
              <w:right w:w="28" w:type="dxa"/>
            </w:tcMar>
            <w:vAlign w:val="center"/>
            <w:hideMark/>
          </w:tcPr>
          <w:p w14:paraId="37BF4F83" w14:textId="77777777" w:rsidR="000E746E" w:rsidRPr="004E5994" w:rsidRDefault="000E746E" w:rsidP="00362EBF">
            <w:pPr>
              <w:jc w:val="center"/>
              <w:rPr>
                <w:b/>
                <w:sz w:val="22"/>
                <w:szCs w:val="22"/>
              </w:rPr>
            </w:pPr>
            <w:r w:rsidRPr="004E5994">
              <w:rPr>
                <w:b/>
                <w:sz w:val="22"/>
                <w:szCs w:val="22"/>
              </w:rPr>
              <w:t>2025.</w:t>
            </w:r>
          </w:p>
        </w:tc>
        <w:tc>
          <w:tcPr>
            <w:tcW w:w="447" w:type="pct"/>
            <w:shd w:val="clear" w:color="auto" w:fill="D9E2F3" w:themeFill="accent5" w:themeFillTint="33"/>
            <w:tcMar>
              <w:left w:w="28" w:type="dxa"/>
              <w:right w:w="28" w:type="dxa"/>
            </w:tcMar>
            <w:vAlign w:val="center"/>
            <w:hideMark/>
          </w:tcPr>
          <w:p w14:paraId="415A1DCC" w14:textId="77777777" w:rsidR="000E746E" w:rsidRPr="004E5994" w:rsidRDefault="000E746E" w:rsidP="00362EBF">
            <w:pPr>
              <w:jc w:val="center"/>
              <w:rPr>
                <w:b/>
                <w:sz w:val="22"/>
                <w:szCs w:val="22"/>
              </w:rPr>
            </w:pPr>
            <w:r w:rsidRPr="004E5994">
              <w:rPr>
                <w:b/>
                <w:sz w:val="22"/>
                <w:szCs w:val="22"/>
              </w:rPr>
              <w:t>2030.</w:t>
            </w:r>
          </w:p>
        </w:tc>
        <w:tc>
          <w:tcPr>
            <w:tcW w:w="447" w:type="pct"/>
            <w:shd w:val="clear" w:color="auto" w:fill="D9E2F3" w:themeFill="accent5" w:themeFillTint="33"/>
            <w:tcMar>
              <w:left w:w="28" w:type="dxa"/>
              <w:right w:w="28" w:type="dxa"/>
            </w:tcMar>
            <w:vAlign w:val="center"/>
            <w:hideMark/>
          </w:tcPr>
          <w:p w14:paraId="3935E058" w14:textId="77777777" w:rsidR="000E746E" w:rsidRPr="004E5994" w:rsidRDefault="000E746E" w:rsidP="00362EBF">
            <w:pPr>
              <w:jc w:val="center"/>
              <w:rPr>
                <w:b/>
                <w:sz w:val="22"/>
                <w:szCs w:val="22"/>
              </w:rPr>
            </w:pPr>
            <w:r w:rsidRPr="004E5994">
              <w:rPr>
                <w:b/>
                <w:sz w:val="22"/>
                <w:szCs w:val="22"/>
              </w:rPr>
              <w:t>2035.</w:t>
            </w:r>
          </w:p>
        </w:tc>
        <w:tc>
          <w:tcPr>
            <w:tcW w:w="447" w:type="pct"/>
            <w:shd w:val="clear" w:color="auto" w:fill="D9E2F3" w:themeFill="accent5" w:themeFillTint="33"/>
            <w:tcMar>
              <w:left w:w="28" w:type="dxa"/>
              <w:right w:w="28" w:type="dxa"/>
            </w:tcMar>
            <w:vAlign w:val="center"/>
            <w:hideMark/>
          </w:tcPr>
          <w:p w14:paraId="62EC6383" w14:textId="77777777" w:rsidR="000E746E" w:rsidRPr="004E5994" w:rsidRDefault="000E746E" w:rsidP="00362EBF">
            <w:pPr>
              <w:jc w:val="center"/>
              <w:rPr>
                <w:b/>
                <w:sz w:val="22"/>
                <w:szCs w:val="22"/>
              </w:rPr>
            </w:pPr>
            <w:r w:rsidRPr="004E5994">
              <w:rPr>
                <w:b/>
                <w:sz w:val="22"/>
                <w:szCs w:val="22"/>
              </w:rPr>
              <w:t>2040.</w:t>
            </w:r>
          </w:p>
        </w:tc>
        <w:tc>
          <w:tcPr>
            <w:tcW w:w="444" w:type="pct"/>
            <w:shd w:val="clear" w:color="auto" w:fill="D9E2F3" w:themeFill="accent5" w:themeFillTint="33"/>
            <w:tcMar>
              <w:left w:w="28" w:type="dxa"/>
              <w:right w:w="28" w:type="dxa"/>
            </w:tcMar>
            <w:vAlign w:val="center"/>
          </w:tcPr>
          <w:p w14:paraId="21B286BD" w14:textId="77777777" w:rsidR="000E746E" w:rsidRPr="004E5994" w:rsidRDefault="000E746E" w:rsidP="00362EBF">
            <w:pPr>
              <w:jc w:val="center"/>
              <w:rPr>
                <w:b/>
                <w:sz w:val="22"/>
                <w:szCs w:val="22"/>
              </w:rPr>
            </w:pPr>
            <w:r w:rsidRPr="004E5994">
              <w:rPr>
                <w:b/>
                <w:sz w:val="22"/>
                <w:szCs w:val="22"/>
              </w:rPr>
              <w:t>2045.</w:t>
            </w:r>
          </w:p>
        </w:tc>
        <w:tc>
          <w:tcPr>
            <w:tcW w:w="443" w:type="pct"/>
            <w:shd w:val="clear" w:color="auto" w:fill="D9E2F3" w:themeFill="accent5" w:themeFillTint="33"/>
            <w:tcMar>
              <w:left w:w="28" w:type="dxa"/>
              <w:right w:w="28" w:type="dxa"/>
            </w:tcMar>
            <w:vAlign w:val="center"/>
            <w:hideMark/>
          </w:tcPr>
          <w:p w14:paraId="58E7B496" w14:textId="77777777" w:rsidR="000E746E" w:rsidRPr="004E5994" w:rsidRDefault="000E746E" w:rsidP="00362EBF">
            <w:pPr>
              <w:jc w:val="center"/>
              <w:rPr>
                <w:b/>
                <w:sz w:val="22"/>
                <w:szCs w:val="22"/>
              </w:rPr>
            </w:pPr>
            <w:r w:rsidRPr="004E5994">
              <w:rPr>
                <w:b/>
                <w:sz w:val="22"/>
                <w:szCs w:val="22"/>
              </w:rPr>
              <w:t>2050.</w:t>
            </w:r>
          </w:p>
        </w:tc>
      </w:tr>
      <w:tr w:rsidR="000E746E" w:rsidRPr="00B532F4" w14:paraId="05325004" w14:textId="77777777" w:rsidTr="007B051E">
        <w:trPr>
          <w:trHeight w:val="902"/>
        </w:trPr>
        <w:tc>
          <w:tcPr>
            <w:tcW w:w="1877" w:type="pct"/>
            <w:tcMar>
              <w:left w:w="28" w:type="dxa"/>
              <w:right w:w="28" w:type="dxa"/>
            </w:tcMar>
            <w:vAlign w:val="center"/>
          </w:tcPr>
          <w:p w14:paraId="5E824EB2" w14:textId="3A024499" w:rsidR="000E746E" w:rsidRPr="004E5994" w:rsidRDefault="000E746E" w:rsidP="007B051E">
            <w:pPr>
              <w:spacing w:after="0"/>
              <w:rPr>
                <w:color w:val="000000" w:themeColor="text1"/>
                <w:sz w:val="22"/>
                <w:szCs w:val="22"/>
              </w:rPr>
            </w:pPr>
            <w:r w:rsidRPr="004E5994">
              <w:rPr>
                <w:sz w:val="22"/>
                <w:szCs w:val="22"/>
              </w:rPr>
              <w:t>NE</w:t>
            </w:r>
            <w:r w:rsidR="002F47AA">
              <w:rPr>
                <w:sz w:val="22"/>
                <w:szCs w:val="22"/>
              </w:rPr>
              <w:t>C</w:t>
            </w:r>
            <w:r w:rsidRPr="004E5994">
              <w:rPr>
                <w:sz w:val="22"/>
                <w:szCs w:val="22"/>
              </w:rPr>
              <w:t>P – EK Preporuka</w:t>
            </w:r>
            <w:r w:rsidRPr="004E5994">
              <w:rPr>
                <w:sz w:val="22"/>
                <w:szCs w:val="22"/>
              </w:rPr>
              <w:br/>
              <w:t>EUR2020/t CO</w:t>
            </w:r>
            <w:r w:rsidRPr="004E5994">
              <w:rPr>
                <w:sz w:val="22"/>
                <w:szCs w:val="22"/>
                <w:vertAlign w:val="subscript"/>
              </w:rPr>
              <w:t>2</w:t>
            </w:r>
            <w:r w:rsidRPr="004E5994">
              <w:rPr>
                <w:sz w:val="22"/>
                <w:szCs w:val="22"/>
              </w:rPr>
              <w:t>, Scenarij s postojećim mjerama (WEM)</w:t>
            </w:r>
          </w:p>
        </w:tc>
        <w:tc>
          <w:tcPr>
            <w:tcW w:w="447" w:type="pct"/>
            <w:tcMar>
              <w:left w:w="28" w:type="dxa"/>
              <w:right w:w="28" w:type="dxa"/>
            </w:tcMar>
            <w:vAlign w:val="center"/>
          </w:tcPr>
          <w:p w14:paraId="4811F980" w14:textId="77777777" w:rsidR="000E746E" w:rsidRPr="004E5994" w:rsidRDefault="000E746E" w:rsidP="00B532F4">
            <w:pPr>
              <w:jc w:val="center"/>
              <w:rPr>
                <w:color w:val="000000" w:themeColor="text1"/>
                <w:sz w:val="22"/>
                <w:szCs w:val="22"/>
              </w:rPr>
            </w:pPr>
            <w:r w:rsidRPr="004E5994">
              <w:rPr>
                <w:sz w:val="22"/>
                <w:szCs w:val="22"/>
              </w:rPr>
              <w:t>54</w:t>
            </w:r>
          </w:p>
        </w:tc>
        <w:tc>
          <w:tcPr>
            <w:tcW w:w="447" w:type="pct"/>
            <w:tcMar>
              <w:left w:w="28" w:type="dxa"/>
              <w:right w:w="28" w:type="dxa"/>
            </w:tcMar>
            <w:vAlign w:val="center"/>
          </w:tcPr>
          <w:p w14:paraId="749D807C" w14:textId="77777777" w:rsidR="000E746E" w:rsidRPr="004E5994" w:rsidRDefault="000E746E" w:rsidP="00B532F4">
            <w:pPr>
              <w:jc w:val="center"/>
              <w:rPr>
                <w:color w:val="000000" w:themeColor="text1"/>
                <w:sz w:val="22"/>
                <w:szCs w:val="22"/>
              </w:rPr>
            </w:pPr>
            <w:r w:rsidRPr="004E5994">
              <w:rPr>
                <w:sz w:val="22"/>
                <w:szCs w:val="22"/>
              </w:rPr>
              <w:t>80</w:t>
            </w:r>
          </w:p>
        </w:tc>
        <w:tc>
          <w:tcPr>
            <w:tcW w:w="447" w:type="pct"/>
            <w:tcMar>
              <w:left w:w="28" w:type="dxa"/>
              <w:right w:w="28" w:type="dxa"/>
            </w:tcMar>
            <w:vAlign w:val="center"/>
          </w:tcPr>
          <w:p w14:paraId="5956FED8" w14:textId="77777777" w:rsidR="000E746E" w:rsidRPr="004E5994" w:rsidRDefault="000E746E" w:rsidP="00B532F4">
            <w:pPr>
              <w:jc w:val="center"/>
              <w:rPr>
                <w:color w:val="000000" w:themeColor="text1"/>
                <w:sz w:val="22"/>
                <w:szCs w:val="22"/>
              </w:rPr>
            </w:pPr>
            <w:r w:rsidRPr="004E5994">
              <w:rPr>
                <w:sz w:val="22"/>
                <w:szCs w:val="22"/>
              </w:rPr>
              <w:t>80</w:t>
            </w:r>
          </w:p>
        </w:tc>
        <w:tc>
          <w:tcPr>
            <w:tcW w:w="447" w:type="pct"/>
            <w:tcMar>
              <w:left w:w="28" w:type="dxa"/>
              <w:right w:w="28" w:type="dxa"/>
            </w:tcMar>
            <w:vAlign w:val="center"/>
          </w:tcPr>
          <w:p w14:paraId="797B9096" w14:textId="77777777" w:rsidR="000E746E" w:rsidRPr="004E5994" w:rsidRDefault="000E746E" w:rsidP="00B532F4">
            <w:pPr>
              <w:jc w:val="center"/>
              <w:rPr>
                <w:color w:val="000000" w:themeColor="text1"/>
                <w:sz w:val="22"/>
                <w:szCs w:val="22"/>
              </w:rPr>
            </w:pPr>
            <w:r w:rsidRPr="004E5994">
              <w:rPr>
                <w:sz w:val="22"/>
                <w:szCs w:val="22"/>
              </w:rPr>
              <w:t>82</w:t>
            </w:r>
          </w:p>
        </w:tc>
        <w:tc>
          <w:tcPr>
            <w:tcW w:w="447" w:type="pct"/>
            <w:tcMar>
              <w:left w:w="28" w:type="dxa"/>
              <w:right w:w="28" w:type="dxa"/>
            </w:tcMar>
            <w:vAlign w:val="center"/>
          </w:tcPr>
          <w:p w14:paraId="1466CED2" w14:textId="77777777" w:rsidR="000E746E" w:rsidRPr="004E5994" w:rsidRDefault="000E746E" w:rsidP="00B532F4">
            <w:pPr>
              <w:jc w:val="center"/>
              <w:rPr>
                <w:color w:val="000000" w:themeColor="text1"/>
                <w:sz w:val="22"/>
                <w:szCs w:val="22"/>
              </w:rPr>
            </w:pPr>
            <w:r w:rsidRPr="004E5994">
              <w:rPr>
                <w:sz w:val="22"/>
                <w:szCs w:val="22"/>
              </w:rPr>
              <w:t>85</w:t>
            </w:r>
          </w:p>
        </w:tc>
        <w:tc>
          <w:tcPr>
            <w:tcW w:w="444" w:type="pct"/>
            <w:tcMar>
              <w:left w:w="28" w:type="dxa"/>
              <w:right w:w="28" w:type="dxa"/>
            </w:tcMar>
            <w:vAlign w:val="center"/>
          </w:tcPr>
          <w:p w14:paraId="4718F95F" w14:textId="77777777" w:rsidR="000E746E" w:rsidRPr="004E5994" w:rsidRDefault="000E746E" w:rsidP="00B532F4">
            <w:pPr>
              <w:jc w:val="center"/>
              <w:rPr>
                <w:sz w:val="22"/>
                <w:szCs w:val="22"/>
              </w:rPr>
            </w:pPr>
            <w:r w:rsidRPr="004E5994">
              <w:rPr>
                <w:sz w:val="22"/>
                <w:szCs w:val="22"/>
              </w:rPr>
              <w:t>130</w:t>
            </w:r>
          </w:p>
        </w:tc>
        <w:tc>
          <w:tcPr>
            <w:tcW w:w="443" w:type="pct"/>
            <w:tcMar>
              <w:left w:w="28" w:type="dxa"/>
              <w:right w:w="28" w:type="dxa"/>
            </w:tcMar>
            <w:vAlign w:val="center"/>
          </w:tcPr>
          <w:p w14:paraId="24239C5D" w14:textId="77777777" w:rsidR="000E746E" w:rsidRPr="004E5994" w:rsidRDefault="000E746E" w:rsidP="00B532F4">
            <w:pPr>
              <w:jc w:val="center"/>
              <w:rPr>
                <w:color w:val="000000" w:themeColor="text1"/>
                <w:sz w:val="22"/>
                <w:szCs w:val="22"/>
              </w:rPr>
            </w:pPr>
            <w:r w:rsidRPr="004E5994">
              <w:rPr>
                <w:sz w:val="22"/>
                <w:szCs w:val="22"/>
              </w:rPr>
              <w:t>160</w:t>
            </w:r>
          </w:p>
        </w:tc>
      </w:tr>
      <w:tr w:rsidR="000E746E" w:rsidRPr="00B532F4" w14:paraId="3D8D6D2C" w14:textId="77777777" w:rsidTr="007B051E">
        <w:trPr>
          <w:trHeight w:val="300"/>
        </w:trPr>
        <w:tc>
          <w:tcPr>
            <w:tcW w:w="1877" w:type="pct"/>
            <w:tcMar>
              <w:left w:w="28" w:type="dxa"/>
              <w:right w:w="28" w:type="dxa"/>
            </w:tcMar>
            <w:vAlign w:val="center"/>
            <w:hideMark/>
          </w:tcPr>
          <w:p w14:paraId="76344DB7" w14:textId="040E82EB" w:rsidR="000E746E" w:rsidRPr="004E5994" w:rsidRDefault="000E746E" w:rsidP="007B051E">
            <w:pPr>
              <w:spacing w:after="0"/>
              <w:rPr>
                <w:color w:val="000000" w:themeColor="text1"/>
                <w:sz w:val="22"/>
                <w:szCs w:val="22"/>
              </w:rPr>
            </w:pPr>
            <w:r w:rsidRPr="004E5994">
              <w:rPr>
                <w:sz w:val="22"/>
                <w:szCs w:val="22"/>
              </w:rPr>
              <w:t>NE</w:t>
            </w:r>
            <w:r w:rsidR="002F47AA">
              <w:rPr>
                <w:sz w:val="22"/>
                <w:szCs w:val="22"/>
              </w:rPr>
              <w:t>C</w:t>
            </w:r>
            <w:r w:rsidRPr="004E5994">
              <w:rPr>
                <w:sz w:val="22"/>
                <w:szCs w:val="22"/>
              </w:rPr>
              <w:t>P – EK Preporuka</w:t>
            </w:r>
            <w:r w:rsidRPr="004E5994">
              <w:rPr>
                <w:sz w:val="22"/>
                <w:szCs w:val="22"/>
              </w:rPr>
              <w:br/>
              <w:t>EUR2020/t CO</w:t>
            </w:r>
            <w:r w:rsidRPr="004E5994">
              <w:rPr>
                <w:sz w:val="22"/>
                <w:szCs w:val="22"/>
                <w:vertAlign w:val="subscript"/>
              </w:rPr>
              <w:t>2</w:t>
            </w:r>
            <w:r w:rsidRPr="004E5994">
              <w:rPr>
                <w:sz w:val="22"/>
                <w:szCs w:val="22"/>
              </w:rPr>
              <w:t>, Scenarij s dodatnim mjerama (WAM)</w:t>
            </w:r>
          </w:p>
        </w:tc>
        <w:tc>
          <w:tcPr>
            <w:tcW w:w="447" w:type="pct"/>
            <w:tcMar>
              <w:left w:w="28" w:type="dxa"/>
              <w:right w:w="28" w:type="dxa"/>
            </w:tcMar>
            <w:vAlign w:val="center"/>
            <w:hideMark/>
          </w:tcPr>
          <w:p w14:paraId="4F966263" w14:textId="77777777" w:rsidR="000E746E" w:rsidRPr="004E5994" w:rsidRDefault="000E746E" w:rsidP="00B532F4">
            <w:pPr>
              <w:jc w:val="center"/>
              <w:rPr>
                <w:color w:val="000000" w:themeColor="text1"/>
                <w:sz w:val="22"/>
                <w:szCs w:val="22"/>
              </w:rPr>
            </w:pPr>
            <w:r w:rsidRPr="004E5994">
              <w:rPr>
                <w:sz w:val="22"/>
                <w:szCs w:val="22"/>
              </w:rPr>
              <w:t>54</w:t>
            </w:r>
          </w:p>
        </w:tc>
        <w:tc>
          <w:tcPr>
            <w:tcW w:w="447" w:type="pct"/>
            <w:tcMar>
              <w:left w:w="28" w:type="dxa"/>
              <w:right w:w="28" w:type="dxa"/>
            </w:tcMar>
            <w:vAlign w:val="center"/>
            <w:hideMark/>
          </w:tcPr>
          <w:p w14:paraId="57494203" w14:textId="77777777" w:rsidR="000E746E" w:rsidRPr="004E5994" w:rsidRDefault="000E746E" w:rsidP="00B532F4">
            <w:pPr>
              <w:jc w:val="center"/>
              <w:rPr>
                <w:color w:val="000000" w:themeColor="text1"/>
                <w:sz w:val="22"/>
                <w:szCs w:val="22"/>
              </w:rPr>
            </w:pPr>
            <w:r w:rsidRPr="004E5994">
              <w:rPr>
                <w:sz w:val="22"/>
                <w:szCs w:val="22"/>
              </w:rPr>
              <w:t>80</w:t>
            </w:r>
          </w:p>
        </w:tc>
        <w:tc>
          <w:tcPr>
            <w:tcW w:w="447" w:type="pct"/>
            <w:tcMar>
              <w:left w:w="28" w:type="dxa"/>
              <w:right w:w="28" w:type="dxa"/>
            </w:tcMar>
            <w:vAlign w:val="center"/>
            <w:hideMark/>
          </w:tcPr>
          <w:p w14:paraId="307642F5" w14:textId="77777777" w:rsidR="000E746E" w:rsidRPr="004E5994" w:rsidRDefault="000E746E" w:rsidP="00B532F4">
            <w:pPr>
              <w:jc w:val="center"/>
              <w:rPr>
                <w:color w:val="000000" w:themeColor="text1"/>
                <w:sz w:val="22"/>
                <w:szCs w:val="22"/>
              </w:rPr>
            </w:pPr>
            <w:r w:rsidRPr="004E5994">
              <w:rPr>
                <w:sz w:val="22"/>
                <w:szCs w:val="22"/>
              </w:rPr>
              <w:t>80</w:t>
            </w:r>
          </w:p>
        </w:tc>
        <w:tc>
          <w:tcPr>
            <w:tcW w:w="447" w:type="pct"/>
            <w:tcMar>
              <w:left w:w="28" w:type="dxa"/>
              <w:right w:w="28" w:type="dxa"/>
            </w:tcMar>
            <w:vAlign w:val="center"/>
            <w:hideMark/>
          </w:tcPr>
          <w:p w14:paraId="43F390FD" w14:textId="77777777" w:rsidR="000E746E" w:rsidRPr="004E5994" w:rsidRDefault="000E746E" w:rsidP="00B532F4">
            <w:pPr>
              <w:jc w:val="center"/>
              <w:rPr>
                <w:color w:val="000000" w:themeColor="text1"/>
                <w:sz w:val="22"/>
                <w:szCs w:val="22"/>
              </w:rPr>
            </w:pPr>
            <w:r w:rsidRPr="004E5994">
              <w:rPr>
                <w:sz w:val="22"/>
                <w:szCs w:val="22"/>
              </w:rPr>
              <w:t>120</w:t>
            </w:r>
          </w:p>
        </w:tc>
        <w:tc>
          <w:tcPr>
            <w:tcW w:w="447" w:type="pct"/>
            <w:tcMar>
              <w:left w:w="28" w:type="dxa"/>
              <w:right w:w="28" w:type="dxa"/>
            </w:tcMar>
            <w:vAlign w:val="center"/>
            <w:hideMark/>
          </w:tcPr>
          <w:p w14:paraId="720E0788" w14:textId="77777777" w:rsidR="000E746E" w:rsidRPr="004E5994" w:rsidRDefault="000E746E" w:rsidP="00B532F4">
            <w:pPr>
              <w:jc w:val="center"/>
              <w:rPr>
                <w:color w:val="000000" w:themeColor="text1"/>
                <w:sz w:val="22"/>
                <w:szCs w:val="22"/>
              </w:rPr>
            </w:pPr>
            <w:r w:rsidRPr="004E5994">
              <w:rPr>
                <w:sz w:val="22"/>
                <w:szCs w:val="22"/>
              </w:rPr>
              <w:t>250</w:t>
            </w:r>
          </w:p>
        </w:tc>
        <w:tc>
          <w:tcPr>
            <w:tcW w:w="444" w:type="pct"/>
            <w:tcMar>
              <w:left w:w="28" w:type="dxa"/>
              <w:right w:w="28" w:type="dxa"/>
            </w:tcMar>
            <w:vAlign w:val="center"/>
          </w:tcPr>
          <w:p w14:paraId="1F43F381" w14:textId="77777777" w:rsidR="000E746E" w:rsidRPr="004E5994" w:rsidRDefault="000E746E" w:rsidP="00B532F4">
            <w:pPr>
              <w:jc w:val="center"/>
              <w:rPr>
                <w:sz w:val="22"/>
                <w:szCs w:val="22"/>
              </w:rPr>
            </w:pPr>
            <w:r w:rsidRPr="004E5994">
              <w:rPr>
                <w:sz w:val="22"/>
                <w:szCs w:val="22"/>
              </w:rPr>
              <w:t>360</w:t>
            </w:r>
          </w:p>
        </w:tc>
        <w:tc>
          <w:tcPr>
            <w:tcW w:w="443" w:type="pct"/>
            <w:tcMar>
              <w:left w:w="28" w:type="dxa"/>
              <w:right w:w="28" w:type="dxa"/>
            </w:tcMar>
            <w:vAlign w:val="center"/>
            <w:hideMark/>
          </w:tcPr>
          <w:p w14:paraId="0CE16286" w14:textId="77777777" w:rsidR="000E746E" w:rsidRPr="004E5994" w:rsidRDefault="000E746E" w:rsidP="00B532F4">
            <w:pPr>
              <w:jc w:val="center"/>
              <w:rPr>
                <w:color w:val="000000" w:themeColor="text1"/>
                <w:sz w:val="22"/>
                <w:szCs w:val="22"/>
              </w:rPr>
            </w:pPr>
            <w:r w:rsidRPr="004E5994">
              <w:rPr>
                <w:sz w:val="22"/>
                <w:szCs w:val="22"/>
              </w:rPr>
              <w:t>410</w:t>
            </w:r>
          </w:p>
        </w:tc>
      </w:tr>
    </w:tbl>
    <w:p w14:paraId="75A1F730" w14:textId="77777777" w:rsidR="000E746E" w:rsidRPr="00B47BDA" w:rsidRDefault="000E746E" w:rsidP="004623DD">
      <w:pPr>
        <w:pStyle w:val="Slike"/>
      </w:pPr>
      <w:r w:rsidRPr="63259912">
        <w:t>Izvor: EU Recommended parameters for reporting on GHG projections in 2023</w:t>
      </w:r>
    </w:p>
    <w:p w14:paraId="6194F435" w14:textId="3BC122F9" w:rsidR="000E746E" w:rsidRPr="00B47BDA" w:rsidRDefault="000E746E" w:rsidP="004623DD">
      <w:r w:rsidRPr="63259912">
        <w:t xml:space="preserve">Preporučene su dvije putanje razvoja cijena emisijskih </w:t>
      </w:r>
      <w:r w:rsidR="108F5E46" w:rsidRPr="63259912">
        <w:t>jedinica</w:t>
      </w:r>
      <w:r w:rsidRPr="63259912">
        <w:t>, jedna za scenarij s postojećim mjerama (</w:t>
      </w:r>
      <w:r w:rsidRPr="63259912">
        <w:rPr>
          <w:i/>
          <w:iCs/>
        </w:rPr>
        <w:t>WEM – With Existing Measures</w:t>
      </w:r>
      <w:r w:rsidRPr="63259912">
        <w:t>) i druga za scenarij s dodatnim mjerama (</w:t>
      </w:r>
      <w:r w:rsidRPr="63259912">
        <w:rPr>
          <w:i/>
          <w:iCs/>
        </w:rPr>
        <w:t>WAM – With Additional Measures</w:t>
      </w:r>
      <w:r w:rsidRPr="63259912">
        <w:t>).</w:t>
      </w:r>
    </w:p>
    <w:p w14:paraId="7F74A401" w14:textId="6CFF6486" w:rsidR="001626DF" w:rsidRPr="00B47BDA" w:rsidRDefault="001626DF" w:rsidP="005C2C7E">
      <w:pPr>
        <w:pStyle w:val="Heading4"/>
        <w:numPr>
          <w:ilvl w:val="3"/>
          <w:numId w:val="175"/>
        </w:numPr>
        <w:ind w:hanging="580"/>
      </w:pPr>
      <w:r w:rsidRPr="00B47BDA">
        <w:t>Promjene u trošku tehnologije</w:t>
      </w:r>
    </w:p>
    <w:p w14:paraId="105A5249" w14:textId="0B12D691" w:rsidR="007C476B" w:rsidRDefault="007C476B" w:rsidP="004623DD">
      <w:r w:rsidRPr="63259912">
        <w:t>Očekivani razvoj specifičnih ulaganja u tehnologije za proizvodnju električne energije za razdoblje 2020.-2050. preuzeti su iz IEA WEO 2022, za područje EU. Opcija TE na ugljen nije razmatrana, dok je kod TE na prirodni plin pretpostavljena moguća izgradnja sustava za izdvajanje ugljikovog dioksida (CCS – Carbon Capture and S</w:t>
      </w:r>
      <w:r w:rsidR="00FF3336" w:rsidRPr="63259912">
        <w:t>torage</w:t>
      </w:r>
      <w:r w:rsidRPr="63259912">
        <w:t xml:space="preserve">). Pretpostavljene specifične investicije prikazane su u </w:t>
      </w:r>
      <w:r w:rsidR="009D4DC9" w:rsidRPr="63259912">
        <w:t>sl</w:t>
      </w:r>
      <w:r w:rsidR="007B24E2" w:rsidRPr="63259912">
        <w:t xml:space="preserve">jedećoj </w:t>
      </w:r>
      <w:r w:rsidRPr="63259912">
        <w:t>tablici.</w:t>
      </w:r>
    </w:p>
    <w:p w14:paraId="060392B6" w14:textId="77777777" w:rsidR="00300EBD" w:rsidRPr="00B47BDA" w:rsidRDefault="00300EBD" w:rsidP="004623DD"/>
    <w:p w14:paraId="741362FA" w14:textId="35907AE3" w:rsidR="007C476B" w:rsidRPr="00B47BDA" w:rsidRDefault="007C476B" w:rsidP="004623DD">
      <w:pPr>
        <w:pStyle w:val="Caption"/>
      </w:pPr>
      <w:bookmarkStart w:id="527" w:name="_Toc193035957"/>
      <w:r w:rsidRPr="00B47BDA">
        <w:t xml:space="preserve">Tablica </w:t>
      </w:r>
      <w:r>
        <w:fldChar w:fldCharType="begin"/>
      </w:r>
      <w:r>
        <w:instrText>STYLEREF 1 \s</w:instrText>
      </w:r>
      <w:r>
        <w:fldChar w:fldCharType="separate"/>
      </w:r>
      <w:r w:rsidR="00AD324D">
        <w:rPr>
          <w:noProof/>
        </w:rPr>
        <w:t>4</w:t>
      </w:r>
      <w:r>
        <w:fldChar w:fldCharType="end"/>
      </w:r>
      <w:r w:rsidR="000C3EFD" w:rsidRPr="00B47BDA">
        <w:noBreakHyphen/>
      </w:r>
      <w:r>
        <w:fldChar w:fldCharType="begin"/>
      </w:r>
      <w:r>
        <w:instrText>SEQ Tablica \* ARABIC \s 1</w:instrText>
      </w:r>
      <w:r>
        <w:fldChar w:fldCharType="separate"/>
      </w:r>
      <w:r w:rsidR="00AD324D">
        <w:rPr>
          <w:noProof/>
        </w:rPr>
        <w:t>6</w:t>
      </w:r>
      <w:r>
        <w:fldChar w:fldCharType="end"/>
      </w:r>
      <w:r w:rsidRPr="00B47BDA">
        <w:t>. Pretpostavljena specifična ulaganja u elektrane</w:t>
      </w:r>
      <w:bookmarkEnd w:id="527"/>
    </w:p>
    <w:tbl>
      <w:tblPr>
        <w:tblW w:w="30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149"/>
        <w:gridCol w:w="1000"/>
        <w:gridCol w:w="1005"/>
      </w:tblGrid>
      <w:tr w:rsidR="007C476B" w:rsidRPr="00B532F4" w14:paraId="0B05F30A" w14:textId="77777777" w:rsidTr="005C3441">
        <w:trPr>
          <w:trHeight w:val="288"/>
          <w:jc w:val="center"/>
        </w:trPr>
        <w:tc>
          <w:tcPr>
            <w:tcW w:w="2179" w:type="pct"/>
            <w:vMerge w:val="restart"/>
            <w:shd w:val="clear" w:color="auto" w:fill="D9E2F3" w:themeFill="accent5" w:themeFillTint="33"/>
            <w:noWrap/>
            <w:tcMar>
              <w:left w:w="28" w:type="dxa"/>
              <w:right w:w="28" w:type="dxa"/>
            </w:tcMar>
            <w:vAlign w:val="center"/>
            <w:hideMark/>
          </w:tcPr>
          <w:p w14:paraId="26C91452" w14:textId="77777777" w:rsidR="007C476B" w:rsidRPr="00C64EEA" w:rsidRDefault="007C476B" w:rsidP="007B051E">
            <w:pPr>
              <w:spacing w:after="60"/>
              <w:rPr>
                <w:sz w:val="22"/>
                <w:szCs w:val="22"/>
              </w:rPr>
            </w:pPr>
            <w:r w:rsidRPr="00C64EEA">
              <w:rPr>
                <w:sz w:val="22"/>
                <w:szCs w:val="22"/>
              </w:rPr>
              <w:t>Tehnologija</w:t>
            </w:r>
          </w:p>
        </w:tc>
        <w:tc>
          <w:tcPr>
            <w:tcW w:w="1027" w:type="pct"/>
            <w:shd w:val="clear" w:color="auto" w:fill="D9E2F3" w:themeFill="accent5" w:themeFillTint="33"/>
            <w:noWrap/>
            <w:tcMar>
              <w:left w:w="28" w:type="dxa"/>
              <w:right w:w="28" w:type="dxa"/>
            </w:tcMar>
            <w:vAlign w:val="center"/>
            <w:hideMark/>
          </w:tcPr>
          <w:p w14:paraId="0B1D5F3D" w14:textId="77777777" w:rsidR="007C476B" w:rsidRPr="00C64EEA" w:rsidRDefault="007C476B" w:rsidP="007B051E">
            <w:pPr>
              <w:spacing w:after="60"/>
              <w:jc w:val="center"/>
              <w:rPr>
                <w:b/>
                <w:sz w:val="22"/>
                <w:szCs w:val="22"/>
              </w:rPr>
            </w:pPr>
            <w:r w:rsidRPr="00C64EEA">
              <w:rPr>
                <w:b/>
                <w:sz w:val="22"/>
                <w:szCs w:val="22"/>
              </w:rPr>
              <w:t>2021.</w:t>
            </w:r>
          </w:p>
        </w:tc>
        <w:tc>
          <w:tcPr>
            <w:tcW w:w="895" w:type="pct"/>
            <w:shd w:val="clear" w:color="auto" w:fill="D9E2F3" w:themeFill="accent5" w:themeFillTint="33"/>
            <w:noWrap/>
            <w:tcMar>
              <w:left w:w="28" w:type="dxa"/>
              <w:right w:w="28" w:type="dxa"/>
            </w:tcMar>
            <w:vAlign w:val="center"/>
            <w:hideMark/>
          </w:tcPr>
          <w:p w14:paraId="00DB6BA6" w14:textId="77777777" w:rsidR="007C476B" w:rsidRPr="00C64EEA" w:rsidRDefault="007C476B" w:rsidP="007B051E">
            <w:pPr>
              <w:spacing w:after="60"/>
              <w:jc w:val="center"/>
              <w:rPr>
                <w:b/>
                <w:sz w:val="22"/>
                <w:szCs w:val="22"/>
              </w:rPr>
            </w:pPr>
            <w:r w:rsidRPr="00C64EEA">
              <w:rPr>
                <w:b/>
                <w:sz w:val="22"/>
                <w:szCs w:val="22"/>
              </w:rPr>
              <w:t>2030.</w:t>
            </w:r>
          </w:p>
        </w:tc>
        <w:tc>
          <w:tcPr>
            <w:tcW w:w="899" w:type="pct"/>
            <w:shd w:val="clear" w:color="auto" w:fill="D9E2F3" w:themeFill="accent5" w:themeFillTint="33"/>
            <w:noWrap/>
            <w:tcMar>
              <w:left w:w="28" w:type="dxa"/>
              <w:right w:w="28" w:type="dxa"/>
            </w:tcMar>
            <w:vAlign w:val="center"/>
            <w:hideMark/>
          </w:tcPr>
          <w:p w14:paraId="7CBD7387" w14:textId="77777777" w:rsidR="007C476B" w:rsidRPr="00C64EEA" w:rsidRDefault="007C476B" w:rsidP="007B051E">
            <w:pPr>
              <w:spacing w:after="60"/>
              <w:jc w:val="center"/>
              <w:rPr>
                <w:b/>
                <w:sz w:val="22"/>
                <w:szCs w:val="22"/>
              </w:rPr>
            </w:pPr>
            <w:r w:rsidRPr="00C64EEA">
              <w:rPr>
                <w:b/>
                <w:sz w:val="22"/>
                <w:szCs w:val="22"/>
              </w:rPr>
              <w:t>2050.</w:t>
            </w:r>
          </w:p>
        </w:tc>
      </w:tr>
      <w:tr w:rsidR="007C476B" w:rsidRPr="00B532F4" w14:paraId="45D198D5" w14:textId="77777777" w:rsidTr="005C3441">
        <w:trPr>
          <w:trHeight w:val="288"/>
          <w:jc w:val="center"/>
        </w:trPr>
        <w:tc>
          <w:tcPr>
            <w:tcW w:w="2179" w:type="pct"/>
            <w:vMerge/>
            <w:shd w:val="clear" w:color="auto" w:fill="D9E2F3" w:themeFill="accent5" w:themeFillTint="33"/>
            <w:noWrap/>
            <w:tcMar>
              <w:left w:w="28" w:type="dxa"/>
              <w:right w:w="28" w:type="dxa"/>
            </w:tcMar>
            <w:vAlign w:val="center"/>
          </w:tcPr>
          <w:p w14:paraId="7E498259" w14:textId="77777777" w:rsidR="007C476B" w:rsidRPr="00C64EEA" w:rsidRDefault="007C476B" w:rsidP="007B051E">
            <w:pPr>
              <w:spacing w:after="60"/>
              <w:rPr>
                <w:sz w:val="22"/>
                <w:szCs w:val="22"/>
              </w:rPr>
            </w:pPr>
          </w:p>
        </w:tc>
        <w:tc>
          <w:tcPr>
            <w:tcW w:w="2821" w:type="pct"/>
            <w:gridSpan w:val="3"/>
            <w:shd w:val="clear" w:color="auto" w:fill="D9E2F3" w:themeFill="accent5" w:themeFillTint="33"/>
            <w:noWrap/>
            <w:tcMar>
              <w:left w:w="28" w:type="dxa"/>
              <w:right w:w="28" w:type="dxa"/>
            </w:tcMar>
            <w:vAlign w:val="center"/>
          </w:tcPr>
          <w:p w14:paraId="651A879E" w14:textId="77777777" w:rsidR="007C476B" w:rsidRPr="00C64EEA" w:rsidRDefault="007C476B" w:rsidP="007B051E">
            <w:pPr>
              <w:spacing w:after="60"/>
              <w:rPr>
                <w:sz w:val="22"/>
                <w:szCs w:val="22"/>
              </w:rPr>
            </w:pPr>
            <w:r w:rsidRPr="00C64EEA">
              <w:rPr>
                <w:sz w:val="22"/>
                <w:szCs w:val="22"/>
              </w:rPr>
              <w:t>Specifično ulaganje (EUR2020/kW)</w:t>
            </w:r>
          </w:p>
        </w:tc>
      </w:tr>
      <w:tr w:rsidR="007C476B" w:rsidRPr="00B532F4" w14:paraId="2D622352" w14:textId="77777777" w:rsidTr="005C3441">
        <w:trPr>
          <w:trHeight w:val="288"/>
          <w:jc w:val="center"/>
        </w:trPr>
        <w:tc>
          <w:tcPr>
            <w:tcW w:w="2179" w:type="pct"/>
            <w:noWrap/>
            <w:tcMar>
              <w:left w:w="28" w:type="dxa"/>
              <w:right w:w="28" w:type="dxa"/>
            </w:tcMar>
            <w:vAlign w:val="center"/>
            <w:hideMark/>
          </w:tcPr>
          <w:p w14:paraId="14E0F474" w14:textId="77777777" w:rsidR="007C476B" w:rsidRPr="00C64EEA" w:rsidRDefault="007C476B" w:rsidP="007B051E">
            <w:pPr>
              <w:spacing w:after="60"/>
              <w:rPr>
                <w:b/>
                <w:sz w:val="22"/>
                <w:szCs w:val="22"/>
              </w:rPr>
            </w:pPr>
            <w:r w:rsidRPr="00C64EEA">
              <w:rPr>
                <w:b/>
                <w:sz w:val="22"/>
                <w:szCs w:val="22"/>
              </w:rPr>
              <w:t>CCGT</w:t>
            </w:r>
          </w:p>
        </w:tc>
        <w:tc>
          <w:tcPr>
            <w:tcW w:w="1027" w:type="pct"/>
            <w:noWrap/>
            <w:tcMar>
              <w:left w:w="28" w:type="dxa"/>
              <w:right w:w="28" w:type="dxa"/>
            </w:tcMar>
            <w:vAlign w:val="center"/>
            <w:hideMark/>
          </w:tcPr>
          <w:p w14:paraId="150ECE26" w14:textId="77777777" w:rsidR="007C476B" w:rsidRPr="00C64EEA" w:rsidRDefault="007C476B" w:rsidP="007B051E">
            <w:pPr>
              <w:spacing w:after="60"/>
              <w:jc w:val="right"/>
              <w:rPr>
                <w:sz w:val="22"/>
                <w:szCs w:val="22"/>
              </w:rPr>
            </w:pPr>
            <w:r w:rsidRPr="00C64EEA">
              <w:rPr>
                <w:sz w:val="22"/>
                <w:szCs w:val="22"/>
              </w:rPr>
              <w:t>824</w:t>
            </w:r>
          </w:p>
        </w:tc>
        <w:tc>
          <w:tcPr>
            <w:tcW w:w="895" w:type="pct"/>
            <w:noWrap/>
            <w:tcMar>
              <w:left w:w="28" w:type="dxa"/>
              <w:right w:w="28" w:type="dxa"/>
            </w:tcMar>
            <w:vAlign w:val="center"/>
            <w:hideMark/>
          </w:tcPr>
          <w:p w14:paraId="740750A2" w14:textId="77777777" w:rsidR="007C476B" w:rsidRPr="00C64EEA" w:rsidRDefault="007C476B" w:rsidP="007B051E">
            <w:pPr>
              <w:spacing w:after="60"/>
              <w:jc w:val="right"/>
              <w:rPr>
                <w:sz w:val="22"/>
                <w:szCs w:val="22"/>
              </w:rPr>
            </w:pPr>
            <w:r w:rsidRPr="00C64EEA">
              <w:rPr>
                <w:sz w:val="22"/>
                <w:szCs w:val="22"/>
              </w:rPr>
              <w:t>824</w:t>
            </w:r>
          </w:p>
        </w:tc>
        <w:tc>
          <w:tcPr>
            <w:tcW w:w="899" w:type="pct"/>
            <w:noWrap/>
            <w:tcMar>
              <w:left w:w="28" w:type="dxa"/>
              <w:right w:w="28" w:type="dxa"/>
            </w:tcMar>
            <w:vAlign w:val="center"/>
            <w:hideMark/>
          </w:tcPr>
          <w:p w14:paraId="57AD45F8" w14:textId="77777777" w:rsidR="007C476B" w:rsidRPr="00C64EEA" w:rsidRDefault="007C476B" w:rsidP="007B051E">
            <w:pPr>
              <w:spacing w:after="60"/>
              <w:jc w:val="right"/>
              <w:rPr>
                <w:sz w:val="22"/>
                <w:szCs w:val="22"/>
              </w:rPr>
            </w:pPr>
            <w:r w:rsidRPr="00C64EEA">
              <w:rPr>
                <w:sz w:val="22"/>
                <w:szCs w:val="22"/>
              </w:rPr>
              <w:t>824</w:t>
            </w:r>
          </w:p>
        </w:tc>
      </w:tr>
      <w:tr w:rsidR="007C476B" w:rsidRPr="00B532F4" w14:paraId="1EAD084E" w14:textId="77777777" w:rsidTr="005C3441">
        <w:trPr>
          <w:trHeight w:val="288"/>
          <w:jc w:val="center"/>
        </w:trPr>
        <w:tc>
          <w:tcPr>
            <w:tcW w:w="2179" w:type="pct"/>
            <w:noWrap/>
            <w:tcMar>
              <w:left w:w="28" w:type="dxa"/>
              <w:right w:w="28" w:type="dxa"/>
            </w:tcMar>
            <w:vAlign w:val="center"/>
            <w:hideMark/>
          </w:tcPr>
          <w:p w14:paraId="28F1CDAB" w14:textId="77777777" w:rsidR="007C476B" w:rsidRPr="00C64EEA" w:rsidRDefault="007C476B" w:rsidP="007B051E">
            <w:pPr>
              <w:spacing w:after="60"/>
              <w:rPr>
                <w:b/>
                <w:sz w:val="22"/>
                <w:szCs w:val="22"/>
              </w:rPr>
            </w:pPr>
            <w:r w:rsidRPr="00C64EEA">
              <w:rPr>
                <w:b/>
                <w:sz w:val="22"/>
                <w:szCs w:val="22"/>
              </w:rPr>
              <w:t>CCGT + CCS</w:t>
            </w:r>
          </w:p>
        </w:tc>
        <w:tc>
          <w:tcPr>
            <w:tcW w:w="1027" w:type="pct"/>
            <w:noWrap/>
            <w:tcMar>
              <w:left w:w="28" w:type="dxa"/>
              <w:right w:w="28" w:type="dxa"/>
            </w:tcMar>
            <w:vAlign w:val="center"/>
            <w:hideMark/>
          </w:tcPr>
          <w:p w14:paraId="5F6BDA88" w14:textId="0E82BDBE" w:rsidR="007C476B" w:rsidRPr="00C64EEA" w:rsidRDefault="007C476B" w:rsidP="007B051E">
            <w:pPr>
              <w:spacing w:after="60"/>
              <w:jc w:val="right"/>
              <w:rPr>
                <w:sz w:val="22"/>
                <w:szCs w:val="22"/>
              </w:rPr>
            </w:pPr>
            <w:r w:rsidRPr="00C64EEA">
              <w:rPr>
                <w:sz w:val="22"/>
                <w:szCs w:val="22"/>
              </w:rPr>
              <w:t>2</w:t>
            </w:r>
            <w:r w:rsidR="00362EBF">
              <w:rPr>
                <w:sz w:val="22"/>
                <w:szCs w:val="22"/>
              </w:rPr>
              <w:t>.</w:t>
            </w:r>
            <w:r w:rsidRPr="00C64EEA">
              <w:rPr>
                <w:sz w:val="22"/>
                <w:szCs w:val="22"/>
              </w:rPr>
              <w:t>556</w:t>
            </w:r>
          </w:p>
        </w:tc>
        <w:tc>
          <w:tcPr>
            <w:tcW w:w="895" w:type="pct"/>
            <w:noWrap/>
            <w:tcMar>
              <w:left w:w="28" w:type="dxa"/>
              <w:right w:w="28" w:type="dxa"/>
            </w:tcMar>
            <w:vAlign w:val="center"/>
            <w:hideMark/>
          </w:tcPr>
          <w:p w14:paraId="47AB8333" w14:textId="36F9E923" w:rsidR="007C476B" w:rsidRPr="00C64EEA" w:rsidRDefault="007C476B" w:rsidP="007B051E">
            <w:pPr>
              <w:spacing w:after="60"/>
              <w:jc w:val="right"/>
              <w:rPr>
                <w:sz w:val="22"/>
                <w:szCs w:val="22"/>
              </w:rPr>
            </w:pPr>
            <w:r w:rsidRPr="00C64EEA">
              <w:rPr>
                <w:sz w:val="22"/>
                <w:szCs w:val="22"/>
              </w:rPr>
              <w:t>2</w:t>
            </w:r>
            <w:r w:rsidR="00362EBF">
              <w:rPr>
                <w:sz w:val="22"/>
                <w:szCs w:val="22"/>
              </w:rPr>
              <w:t>.</w:t>
            </w:r>
            <w:r w:rsidRPr="00C64EEA">
              <w:rPr>
                <w:sz w:val="22"/>
                <w:szCs w:val="22"/>
              </w:rPr>
              <w:t>473</w:t>
            </w:r>
          </w:p>
        </w:tc>
        <w:tc>
          <w:tcPr>
            <w:tcW w:w="899" w:type="pct"/>
            <w:noWrap/>
            <w:tcMar>
              <w:left w:w="28" w:type="dxa"/>
              <w:right w:w="28" w:type="dxa"/>
            </w:tcMar>
            <w:vAlign w:val="center"/>
            <w:hideMark/>
          </w:tcPr>
          <w:p w14:paraId="19D515AB" w14:textId="35D57CA3" w:rsidR="007C476B" w:rsidRPr="00C64EEA" w:rsidRDefault="007C476B" w:rsidP="007B051E">
            <w:pPr>
              <w:spacing w:after="60"/>
              <w:jc w:val="right"/>
              <w:rPr>
                <w:sz w:val="22"/>
                <w:szCs w:val="22"/>
              </w:rPr>
            </w:pPr>
            <w:r w:rsidRPr="00C64EEA">
              <w:rPr>
                <w:sz w:val="22"/>
                <w:szCs w:val="22"/>
              </w:rPr>
              <w:t>1</w:t>
            </w:r>
            <w:r w:rsidR="00362EBF">
              <w:rPr>
                <w:sz w:val="22"/>
                <w:szCs w:val="22"/>
              </w:rPr>
              <w:t>.</w:t>
            </w:r>
            <w:r w:rsidRPr="00C64EEA">
              <w:rPr>
                <w:sz w:val="22"/>
                <w:szCs w:val="22"/>
              </w:rPr>
              <w:t>814</w:t>
            </w:r>
          </w:p>
        </w:tc>
      </w:tr>
      <w:tr w:rsidR="007C476B" w:rsidRPr="00B532F4" w14:paraId="41277F0B" w14:textId="77777777" w:rsidTr="005C3441">
        <w:trPr>
          <w:trHeight w:val="288"/>
          <w:jc w:val="center"/>
        </w:trPr>
        <w:tc>
          <w:tcPr>
            <w:tcW w:w="2179" w:type="pct"/>
            <w:noWrap/>
            <w:tcMar>
              <w:left w:w="28" w:type="dxa"/>
              <w:right w:w="28" w:type="dxa"/>
            </w:tcMar>
            <w:vAlign w:val="center"/>
            <w:hideMark/>
          </w:tcPr>
          <w:p w14:paraId="6F24613D" w14:textId="77777777" w:rsidR="007C476B" w:rsidRPr="00C64EEA" w:rsidRDefault="007C476B" w:rsidP="007B051E">
            <w:pPr>
              <w:spacing w:after="60"/>
              <w:rPr>
                <w:b/>
                <w:sz w:val="22"/>
                <w:szCs w:val="22"/>
              </w:rPr>
            </w:pPr>
            <w:r w:rsidRPr="00C64EEA">
              <w:rPr>
                <w:b/>
                <w:sz w:val="22"/>
                <w:szCs w:val="22"/>
              </w:rPr>
              <w:t>OCGT</w:t>
            </w:r>
          </w:p>
        </w:tc>
        <w:tc>
          <w:tcPr>
            <w:tcW w:w="1027" w:type="pct"/>
            <w:noWrap/>
            <w:tcMar>
              <w:left w:w="28" w:type="dxa"/>
              <w:right w:w="28" w:type="dxa"/>
            </w:tcMar>
            <w:vAlign w:val="center"/>
            <w:hideMark/>
          </w:tcPr>
          <w:p w14:paraId="61B3573F" w14:textId="77777777" w:rsidR="007C476B" w:rsidRPr="00C64EEA" w:rsidRDefault="007C476B" w:rsidP="007B051E">
            <w:pPr>
              <w:spacing w:after="60"/>
              <w:jc w:val="right"/>
              <w:rPr>
                <w:sz w:val="22"/>
                <w:szCs w:val="22"/>
              </w:rPr>
            </w:pPr>
            <w:r w:rsidRPr="00C64EEA">
              <w:rPr>
                <w:sz w:val="22"/>
                <w:szCs w:val="22"/>
              </w:rPr>
              <w:t>412</w:t>
            </w:r>
          </w:p>
        </w:tc>
        <w:tc>
          <w:tcPr>
            <w:tcW w:w="895" w:type="pct"/>
            <w:noWrap/>
            <w:tcMar>
              <w:left w:w="28" w:type="dxa"/>
              <w:right w:w="28" w:type="dxa"/>
            </w:tcMar>
            <w:vAlign w:val="center"/>
            <w:hideMark/>
          </w:tcPr>
          <w:p w14:paraId="3826EFEB" w14:textId="77777777" w:rsidR="007C476B" w:rsidRPr="00C64EEA" w:rsidRDefault="007C476B" w:rsidP="007B051E">
            <w:pPr>
              <w:spacing w:after="60"/>
              <w:jc w:val="right"/>
              <w:rPr>
                <w:sz w:val="22"/>
                <w:szCs w:val="22"/>
              </w:rPr>
            </w:pPr>
            <w:r w:rsidRPr="00C64EEA">
              <w:rPr>
                <w:sz w:val="22"/>
                <w:szCs w:val="22"/>
              </w:rPr>
              <w:t>412</w:t>
            </w:r>
          </w:p>
        </w:tc>
        <w:tc>
          <w:tcPr>
            <w:tcW w:w="899" w:type="pct"/>
            <w:noWrap/>
            <w:tcMar>
              <w:left w:w="28" w:type="dxa"/>
              <w:right w:w="28" w:type="dxa"/>
            </w:tcMar>
            <w:vAlign w:val="center"/>
            <w:hideMark/>
          </w:tcPr>
          <w:p w14:paraId="48CED0A7" w14:textId="77777777" w:rsidR="007C476B" w:rsidRPr="00C64EEA" w:rsidRDefault="007C476B" w:rsidP="007B051E">
            <w:pPr>
              <w:spacing w:after="60"/>
              <w:jc w:val="right"/>
              <w:rPr>
                <w:sz w:val="22"/>
                <w:szCs w:val="22"/>
              </w:rPr>
            </w:pPr>
            <w:r w:rsidRPr="00C64EEA">
              <w:rPr>
                <w:sz w:val="22"/>
                <w:szCs w:val="22"/>
              </w:rPr>
              <w:t>412</w:t>
            </w:r>
          </w:p>
        </w:tc>
      </w:tr>
      <w:tr w:rsidR="007C476B" w:rsidRPr="00B532F4" w14:paraId="7D594934" w14:textId="77777777" w:rsidTr="005C3441">
        <w:trPr>
          <w:trHeight w:val="288"/>
          <w:jc w:val="center"/>
        </w:trPr>
        <w:tc>
          <w:tcPr>
            <w:tcW w:w="2179" w:type="pct"/>
            <w:noWrap/>
            <w:tcMar>
              <w:left w:w="28" w:type="dxa"/>
              <w:right w:w="28" w:type="dxa"/>
            </w:tcMar>
            <w:vAlign w:val="center"/>
            <w:hideMark/>
          </w:tcPr>
          <w:p w14:paraId="2341A3D0" w14:textId="77777777" w:rsidR="007C476B" w:rsidRPr="00C64EEA" w:rsidRDefault="007C476B" w:rsidP="007B051E">
            <w:pPr>
              <w:spacing w:after="60"/>
              <w:rPr>
                <w:b/>
                <w:sz w:val="22"/>
                <w:szCs w:val="22"/>
              </w:rPr>
            </w:pPr>
            <w:r w:rsidRPr="00C64EEA">
              <w:rPr>
                <w:b/>
                <w:sz w:val="22"/>
                <w:szCs w:val="22"/>
              </w:rPr>
              <w:t>Nuklearna elektrana</w:t>
            </w:r>
          </w:p>
        </w:tc>
        <w:tc>
          <w:tcPr>
            <w:tcW w:w="1027" w:type="pct"/>
            <w:noWrap/>
            <w:tcMar>
              <w:left w:w="28" w:type="dxa"/>
              <w:right w:w="28" w:type="dxa"/>
            </w:tcMar>
            <w:vAlign w:val="center"/>
            <w:hideMark/>
          </w:tcPr>
          <w:p w14:paraId="28361BBC" w14:textId="4630AB84" w:rsidR="007C476B" w:rsidRPr="00C64EEA" w:rsidRDefault="007C476B" w:rsidP="007B051E">
            <w:pPr>
              <w:spacing w:after="60"/>
              <w:jc w:val="right"/>
              <w:rPr>
                <w:sz w:val="22"/>
                <w:szCs w:val="22"/>
              </w:rPr>
            </w:pPr>
            <w:r w:rsidRPr="00C64EEA">
              <w:rPr>
                <w:sz w:val="22"/>
                <w:szCs w:val="22"/>
              </w:rPr>
              <w:t>5</w:t>
            </w:r>
            <w:r w:rsidR="00362EBF">
              <w:rPr>
                <w:sz w:val="22"/>
                <w:szCs w:val="22"/>
              </w:rPr>
              <w:t>.</w:t>
            </w:r>
            <w:r w:rsidRPr="00C64EEA">
              <w:rPr>
                <w:sz w:val="22"/>
                <w:szCs w:val="22"/>
              </w:rPr>
              <w:t>441</w:t>
            </w:r>
          </w:p>
        </w:tc>
        <w:tc>
          <w:tcPr>
            <w:tcW w:w="895" w:type="pct"/>
            <w:noWrap/>
            <w:tcMar>
              <w:left w:w="28" w:type="dxa"/>
              <w:right w:w="28" w:type="dxa"/>
            </w:tcMar>
            <w:vAlign w:val="center"/>
            <w:hideMark/>
          </w:tcPr>
          <w:p w14:paraId="3ED2C57A" w14:textId="75A31B80" w:rsidR="007C476B" w:rsidRPr="00C64EEA" w:rsidRDefault="007C476B" w:rsidP="007B051E">
            <w:pPr>
              <w:spacing w:after="60"/>
              <w:jc w:val="right"/>
              <w:rPr>
                <w:sz w:val="22"/>
                <w:szCs w:val="22"/>
              </w:rPr>
            </w:pPr>
            <w:r w:rsidRPr="00C64EEA">
              <w:rPr>
                <w:sz w:val="22"/>
                <w:szCs w:val="22"/>
              </w:rPr>
              <w:t>4</w:t>
            </w:r>
            <w:r w:rsidR="00362EBF">
              <w:rPr>
                <w:sz w:val="22"/>
                <w:szCs w:val="22"/>
              </w:rPr>
              <w:t>.</w:t>
            </w:r>
            <w:r w:rsidRPr="00C64EEA">
              <w:rPr>
                <w:sz w:val="22"/>
                <w:szCs w:val="22"/>
              </w:rPr>
              <w:t>205</w:t>
            </w:r>
          </w:p>
        </w:tc>
        <w:tc>
          <w:tcPr>
            <w:tcW w:w="899" w:type="pct"/>
            <w:noWrap/>
            <w:tcMar>
              <w:left w:w="28" w:type="dxa"/>
              <w:right w:w="28" w:type="dxa"/>
            </w:tcMar>
            <w:vAlign w:val="center"/>
            <w:hideMark/>
          </w:tcPr>
          <w:p w14:paraId="36EEAC6B" w14:textId="788E6730" w:rsidR="007C476B" w:rsidRPr="00C64EEA" w:rsidRDefault="007C476B" w:rsidP="007B051E">
            <w:pPr>
              <w:spacing w:after="60"/>
              <w:jc w:val="right"/>
              <w:rPr>
                <w:sz w:val="22"/>
                <w:szCs w:val="22"/>
              </w:rPr>
            </w:pPr>
            <w:r w:rsidRPr="00C64EEA">
              <w:rPr>
                <w:sz w:val="22"/>
                <w:szCs w:val="22"/>
              </w:rPr>
              <w:t>3</w:t>
            </w:r>
            <w:r w:rsidR="00362EBF">
              <w:rPr>
                <w:sz w:val="22"/>
                <w:szCs w:val="22"/>
              </w:rPr>
              <w:t>.</w:t>
            </w:r>
            <w:r w:rsidRPr="00C64EEA">
              <w:rPr>
                <w:sz w:val="22"/>
                <w:szCs w:val="22"/>
              </w:rPr>
              <w:t>710</w:t>
            </w:r>
          </w:p>
        </w:tc>
      </w:tr>
      <w:tr w:rsidR="007C476B" w:rsidRPr="00B532F4" w14:paraId="7901998D" w14:textId="77777777" w:rsidTr="005C3441">
        <w:trPr>
          <w:trHeight w:val="288"/>
          <w:jc w:val="center"/>
        </w:trPr>
        <w:tc>
          <w:tcPr>
            <w:tcW w:w="2179" w:type="pct"/>
            <w:noWrap/>
            <w:tcMar>
              <w:left w:w="28" w:type="dxa"/>
              <w:right w:w="28" w:type="dxa"/>
            </w:tcMar>
            <w:vAlign w:val="center"/>
            <w:hideMark/>
          </w:tcPr>
          <w:p w14:paraId="655A42E7" w14:textId="77777777" w:rsidR="007C476B" w:rsidRPr="00C64EEA" w:rsidRDefault="007C476B" w:rsidP="007B051E">
            <w:pPr>
              <w:spacing w:after="60"/>
              <w:rPr>
                <w:b/>
                <w:sz w:val="22"/>
                <w:szCs w:val="22"/>
              </w:rPr>
            </w:pPr>
            <w:r w:rsidRPr="00C64EEA">
              <w:rPr>
                <w:b/>
                <w:sz w:val="22"/>
                <w:szCs w:val="22"/>
              </w:rPr>
              <w:t>Solar PV (velike)</w:t>
            </w:r>
          </w:p>
        </w:tc>
        <w:tc>
          <w:tcPr>
            <w:tcW w:w="1027" w:type="pct"/>
            <w:noWrap/>
            <w:tcMar>
              <w:left w:w="28" w:type="dxa"/>
              <w:right w:w="28" w:type="dxa"/>
            </w:tcMar>
            <w:vAlign w:val="center"/>
            <w:hideMark/>
          </w:tcPr>
          <w:p w14:paraId="52C5913A" w14:textId="77777777" w:rsidR="007C476B" w:rsidRPr="00C64EEA" w:rsidRDefault="007C476B" w:rsidP="007B051E">
            <w:pPr>
              <w:spacing w:after="60"/>
              <w:jc w:val="right"/>
              <w:rPr>
                <w:sz w:val="22"/>
                <w:szCs w:val="22"/>
              </w:rPr>
            </w:pPr>
            <w:r w:rsidRPr="00C64EEA">
              <w:rPr>
                <w:sz w:val="22"/>
                <w:szCs w:val="22"/>
              </w:rPr>
              <w:t>668</w:t>
            </w:r>
          </w:p>
        </w:tc>
        <w:tc>
          <w:tcPr>
            <w:tcW w:w="895" w:type="pct"/>
            <w:noWrap/>
            <w:tcMar>
              <w:left w:w="28" w:type="dxa"/>
              <w:right w:w="28" w:type="dxa"/>
            </w:tcMar>
            <w:vAlign w:val="center"/>
            <w:hideMark/>
          </w:tcPr>
          <w:p w14:paraId="00613AD6" w14:textId="77777777" w:rsidR="007C476B" w:rsidRPr="00C64EEA" w:rsidRDefault="007C476B" w:rsidP="007B051E">
            <w:pPr>
              <w:spacing w:after="60"/>
              <w:jc w:val="right"/>
              <w:rPr>
                <w:sz w:val="22"/>
                <w:szCs w:val="22"/>
              </w:rPr>
            </w:pPr>
            <w:r w:rsidRPr="00C64EEA">
              <w:rPr>
                <w:sz w:val="22"/>
                <w:szCs w:val="22"/>
              </w:rPr>
              <w:t>437</w:t>
            </w:r>
          </w:p>
        </w:tc>
        <w:tc>
          <w:tcPr>
            <w:tcW w:w="899" w:type="pct"/>
            <w:noWrap/>
            <w:tcMar>
              <w:left w:w="28" w:type="dxa"/>
              <w:right w:w="28" w:type="dxa"/>
            </w:tcMar>
            <w:vAlign w:val="center"/>
            <w:hideMark/>
          </w:tcPr>
          <w:p w14:paraId="2D1AD246" w14:textId="77777777" w:rsidR="007C476B" w:rsidRPr="00C64EEA" w:rsidRDefault="007C476B" w:rsidP="007B051E">
            <w:pPr>
              <w:spacing w:after="60"/>
              <w:jc w:val="right"/>
              <w:rPr>
                <w:sz w:val="22"/>
                <w:szCs w:val="22"/>
              </w:rPr>
            </w:pPr>
            <w:r w:rsidRPr="00C64EEA">
              <w:rPr>
                <w:sz w:val="22"/>
                <w:szCs w:val="22"/>
              </w:rPr>
              <w:t>338</w:t>
            </w:r>
          </w:p>
        </w:tc>
      </w:tr>
      <w:tr w:rsidR="007C476B" w:rsidRPr="00B532F4" w14:paraId="12FBD993" w14:textId="77777777" w:rsidTr="005C3441">
        <w:trPr>
          <w:trHeight w:val="288"/>
          <w:jc w:val="center"/>
        </w:trPr>
        <w:tc>
          <w:tcPr>
            <w:tcW w:w="2179" w:type="pct"/>
            <w:noWrap/>
            <w:tcMar>
              <w:left w:w="28" w:type="dxa"/>
              <w:right w:w="28" w:type="dxa"/>
            </w:tcMar>
            <w:vAlign w:val="center"/>
            <w:hideMark/>
          </w:tcPr>
          <w:p w14:paraId="4D6CA172" w14:textId="77777777" w:rsidR="007C476B" w:rsidRPr="00C64EEA" w:rsidRDefault="007C476B" w:rsidP="007B051E">
            <w:pPr>
              <w:spacing w:after="60"/>
              <w:rPr>
                <w:b/>
                <w:sz w:val="22"/>
                <w:szCs w:val="22"/>
              </w:rPr>
            </w:pPr>
            <w:r w:rsidRPr="00C64EEA">
              <w:rPr>
                <w:b/>
                <w:sz w:val="22"/>
                <w:szCs w:val="22"/>
              </w:rPr>
              <w:t>Solar PV (zgrade)</w:t>
            </w:r>
          </w:p>
        </w:tc>
        <w:tc>
          <w:tcPr>
            <w:tcW w:w="1027" w:type="pct"/>
            <w:noWrap/>
            <w:tcMar>
              <w:left w:w="28" w:type="dxa"/>
              <w:right w:w="28" w:type="dxa"/>
            </w:tcMar>
            <w:vAlign w:val="center"/>
            <w:hideMark/>
          </w:tcPr>
          <w:p w14:paraId="5B7A698E" w14:textId="77777777" w:rsidR="007C476B" w:rsidRPr="00C64EEA" w:rsidRDefault="007C476B" w:rsidP="007B051E">
            <w:pPr>
              <w:spacing w:after="60"/>
              <w:jc w:val="right"/>
              <w:rPr>
                <w:sz w:val="22"/>
                <w:szCs w:val="22"/>
              </w:rPr>
            </w:pPr>
            <w:r w:rsidRPr="00C64EEA">
              <w:rPr>
                <w:sz w:val="22"/>
                <w:szCs w:val="22"/>
              </w:rPr>
              <w:t>923</w:t>
            </w:r>
          </w:p>
        </w:tc>
        <w:tc>
          <w:tcPr>
            <w:tcW w:w="895" w:type="pct"/>
            <w:noWrap/>
            <w:tcMar>
              <w:left w:w="28" w:type="dxa"/>
              <w:right w:w="28" w:type="dxa"/>
            </w:tcMar>
            <w:vAlign w:val="center"/>
            <w:hideMark/>
          </w:tcPr>
          <w:p w14:paraId="02304FF2" w14:textId="77777777" w:rsidR="007C476B" w:rsidRPr="00C64EEA" w:rsidRDefault="007C476B" w:rsidP="007B051E">
            <w:pPr>
              <w:spacing w:after="60"/>
              <w:jc w:val="right"/>
              <w:rPr>
                <w:sz w:val="22"/>
                <w:szCs w:val="22"/>
              </w:rPr>
            </w:pPr>
            <w:r w:rsidRPr="00C64EEA">
              <w:rPr>
                <w:sz w:val="22"/>
                <w:szCs w:val="22"/>
              </w:rPr>
              <w:t>627</w:t>
            </w:r>
          </w:p>
        </w:tc>
        <w:tc>
          <w:tcPr>
            <w:tcW w:w="899" w:type="pct"/>
            <w:noWrap/>
            <w:tcMar>
              <w:left w:w="28" w:type="dxa"/>
              <w:right w:w="28" w:type="dxa"/>
            </w:tcMar>
            <w:vAlign w:val="center"/>
            <w:hideMark/>
          </w:tcPr>
          <w:p w14:paraId="1277A4D9" w14:textId="77777777" w:rsidR="007C476B" w:rsidRPr="00C64EEA" w:rsidRDefault="007C476B" w:rsidP="007B051E">
            <w:pPr>
              <w:spacing w:after="60"/>
              <w:jc w:val="right"/>
              <w:rPr>
                <w:sz w:val="22"/>
                <w:szCs w:val="22"/>
              </w:rPr>
            </w:pPr>
            <w:r w:rsidRPr="00C64EEA">
              <w:rPr>
                <w:sz w:val="22"/>
                <w:szCs w:val="22"/>
              </w:rPr>
              <w:t>495</w:t>
            </w:r>
          </w:p>
        </w:tc>
      </w:tr>
      <w:tr w:rsidR="007C476B" w:rsidRPr="00B532F4" w14:paraId="48CAA6DD" w14:textId="77777777" w:rsidTr="005C3441">
        <w:trPr>
          <w:trHeight w:val="288"/>
          <w:jc w:val="center"/>
        </w:trPr>
        <w:tc>
          <w:tcPr>
            <w:tcW w:w="2179" w:type="pct"/>
            <w:noWrap/>
            <w:tcMar>
              <w:left w:w="28" w:type="dxa"/>
              <w:right w:w="28" w:type="dxa"/>
            </w:tcMar>
            <w:vAlign w:val="center"/>
            <w:hideMark/>
          </w:tcPr>
          <w:p w14:paraId="62D6A47B" w14:textId="77777777" w:rsidR="007C476B" w:rsidRPr="00C64EEA" w:rsidRDefault="007C476B" w:rsidP="007B051E">
            <w:pPr>
              <w:spacing w:after="60"/>
              <w:rPr>
                <w:b/>
                <w:sz w:val="22"/>
                <w:szCs w:val="22"/>
              </w:rPr>
            </w:pPr>
            <w:r w:rsidRPr="00C64EEA">
              <w:rPr>
                <w:b/>
                <w:sz w:val="22"/>
                <w:szCs w:val="22"/>
              </w:rPr>
              <w:t>Vjetroelektrane (kopno)</w:t>
            </w:r>
          </w:p>
        </w:tc>
        <w:tc>
          <w:tcPr>
            <w:tcW w:w="1027" w:type="pct"/>
            <w:noWrap/>
            <w:tcMar>
              <w:left w:w="28" w:type="dxa"/>
              <w:right w:w="28" w:type="dxa"/>
            </w:tcMar>
            <w:vAlign w:val="center"/>
            <w:hideMark/>
          </w:tcPr>
          <w:p w14:paraId="5F70F8D8" w14:textId="15CCA51A" w:rsidR="007C476B" w:rsidRPr="00C64EEA" w:rsidRDefault="007C476B" w:rsidP="007B051E">
            <w:pPr>
              <w:spacing w:after="60"/>
              <w:jc w:val="right"/>
              <w:rPr>
                <w:sz w:val="22"/>
                <w:szCs w:val="22"/>
              </w:rPr>
            </w:pPr>
            <w:r w:rsidRPr="00C64EEA">
              <w:rPr>
                <w:sz w:val="22"/>
                <w:szCs w:val="22"/>
              </w:rPr>
              <w:t>1</w:t>
            </w:r>
            <w:r w:rsidR="00362EBF">
              <w:rPr>
                <w:sz w:val="22"/>
                <w:szCs w:val="22"/>
              </w:rPr>
              <w:t>.</w:t>
            </w:r>
            <w:r w:rsidRPr="00C64EEA">
              <w:rPr>
                <w:sz w:val="22"/>
                <w:szCs w:val="22"/>
              </w:rPr>
              <w:t>311</w:t>
            </w:r>
          </w:p>
        </w:tc>
        <w:tc>
          <w:tcPr>
            <w:tcW w:w="895" w:type="pct"/>
            <w:noWrap/>
            <w:tcMar>
              <w:left w:w="28" w:type="dxa"/>
              <w:right w:w="28" w:type="dxa"/>
            </w:tcMar>
            <w:vAlign w:val="center"/>
            <w:hideMark/>
          </w:tcPr>
          <w:p w14:paraId="0C076178" w14:textId="2DDB8C1F" w:rsidR="007C476B" w:rsidRPr="00C64EEA" w:rsidRDefault="007C476B" w:rsidP="007B051E">
            <w:pPr>
              <w:spacing w:after="60"/>
              <w:jc w:val="right"/>
              <w:rPr>
                <w:sz w:val="22"/>
                <w:szCs w:val="22"/>
              </w:rPr>
            </w:pPr>
            <w:r w:rsidRPr="00C64EEA">
              <w:rPr>
                <w:sz w:val="22"/>
                <w:szCs w:val="22"/>
              </w:rPr>
              <w:t>1</w:t>
            </w:r>
            <w:r w:rsidR="00362EBF">
              <w:rPr>
                <w:sz w:val="22"/>
                <w:szCs w:val="22"/>
              </w:rPr>
              <w:t>.</w:t>
            </w:r>
            <w:r w:rsidRPr="00C64EEA">
              <w:rPr>
                <w:sz w:val="22"/>
                <w:szCs w:val="22"/>
              </w:rPr>
              <w:t>245</w:t>
            </w:r>
          </w:p>
        </w:tc>
        <w:tc>
          <w:tcPr>
            <w:tcW w:w="899" w:type="pct"/>
            <w:noWrap/>
            <w:tcMar>
              <w:left w:w="28" w:type="dxa"/>
              <w:right w:w="28" w:type="dxa"/>
            </w:tcMar>
            <w:vAlign w:val="center"/>
            <w:hideMark/>
          </w:tcPr>
          <w:p w14:paraId="1232FAC2" w14:textId="69ED2DEA" w:rsidR="007C476B" w:rsidRPr="00C64EEA" w:rsidRDefault="007C476B" w:rsidP="007B051E">
            <w:pPr>
              <w:spacing w:after="60"/>
              <w:jc w:val="right"/>
              <w:rPr>
                <w:sz w:val="22"/>
                <w:szCs w:val="22"/>
              </w:rPr>
            </w:pPr>
            <w:r w:rsidRPr="00C64EEA">
              <w:rPr>
                <w:sz w:val="22"/>
                <w:szCs w:val="22"/>
              </w:rPr>
              <w:t>1</w:t>
            </w:r>
            <w:r w:rsidR="00362EBF">
              <w:rPr>
                <w:sz w:val="22"/>
                <w:szCs w:val="22"/>
              </w:rPr>
              <w:t>.</w:t>
            </w:r>
            <w:r w:rsidRPr="00C64EEA">
              <w:rPr>
                <w:sz w:val="22"/>
                <w:szCs w:val="22"/>
              </w:rPr>
              <w:t>195</w:t>
            </w:r>
          </w:p>
        </w:tc>
      </w:tr>
      <w:tr w:rsidR="007C476B" w:rsidRPr="00B532F4" w14:paraId="0BDAB427" w14:textId="77777777" w:rsidTr="005C3441">
        <w:trPr>
          <w:trHeight w:val="288"/>
          <w:jc w:val="center"/>
        </w:trPr>
        <w:tc>
          <w:tcPr>
            <w:tcW w:w="2179" w:type="pct"/>
            <w:noWrap/>
            <w:tcMar>
              <w:left w:w="28" w:type="dxa"/>
              <w:right w:w="28" w:type="dxa"/>
            </w:tcMar>
            <w:vAlign w:val="center"/>
            <w:hideMark/>
          </w:tcPr>
          <w:p w14:paraId="21704394" w14:textId="77777777" w:rsidR="007C476B" w:rsidRPr="00C64EEA" w:rsidRDefault="007C476B" w:rsidP="007B051E">
            <w:pPr>
              <w:spacing w:after="60"/>
              <w:rPr>
                <w:b/>
                <w:sz w:val="22"/>
                <w:szCs w:val="22"/>
              </w:rPr>
            </w:pPr>
            <w:r w:rsidRPr="00C64EEA">
              <w:rPr>
                <w:b/>
                <w:sz w:val="22"/>
                <w:szCs w:val="22"/>
              </w:rPr>
              <w:t>Vjetroelektrane (more)</w:t>
            </w:r>
          </w:p>
        </w:tc>
        <w:tc>
          <w:tcPr>
            <w:tcW w:w="1027" w:type="pct"/>
            <w:noWrap/>
            <w:tcMar>
              <w:left w:w="28" w:type="dxa"/>
              <w:right w:w="28" w:type="dxa"/>
            </w:tcMar>
            <w:vAlign w:val="center"/>
            <w:hideMark/>
          </w:tcPr>
          <w:p w14:paraId="6ADD4FB1" w14:textId="3781906E" w:rsidR="007C476B" w:rsidRPr="00C64EEA" w:rsidRDefault="007C476B" w:rsidP="007B051E">
            <w:pPr>
              <w:spacing w:after="60"/>
              <w:jc w:val="right"/>
              <w:rPr>
                <w:sz w:val="22"/>
                <w:szCs w:val="22"/>
              </w:rPr>
            </w:pPr>
            <w:r w:rsidRPr="00C64EEA">
              <w:rPr>
                <w:sz w:val="22"/>
                <w:szCs w:val="22"/>
              </w:rPr>
              <w:t>2</w:t>
            </w:r>
            <w:r w:rsidR="00362EBF">
              <w:rPr>
                <w:sz w:val="22"/>
                <w:szCs w:val="22"/>
              </w:rPr>
              <w:t>.</w:t>
            </w:r>
            <w:r w:rsidRPr="00C64EEA">
              <w:rPr>
                <w:sz w:val="22"/>
                <w:szCs w:val="22"/>
              </w:rPr>
              <w:t>506</w:t>
            </w:r>
          </w:p>
        </w:tc>
        <w:tc>
          <w:tcPr>
            <w:tcW w:w="895" w:type="pct"/>
            <w:noWrap/>
            <w:tcMar>
              <w:left w:w="28" w:type="dxa"/>
              <w:right w:w="28" w:type="dxa"/>
            </w:tcMar>
            <w:vAlign w:val="center"/>
            <w:hideMark/>
          </w:tcPr>
          <w:p w14:paraId="47472BB7" w14:textId="74962674" w:rsidR="007C476B" w:rsidRPr="00C64EEA" w:rsidRDefault="007C476B" w:rsidP="007B051E">
            <w:pPr>
              <w:spacing w:after="60"/>
              <w:jc w:val="right"/>
              <w:rPr>
                <w:sz w:val="22"/>
                <w:szCs w:val="22"/>
              </w:rPr>
            </w:pPr>
            <w:r w:rsidRPr="00C64EEA">
              <w:rPr>
                <w:sz w:val="22"/>
                <w:szCs w:val="22"/>
              </w:rPr>
              <w:t>1</w:t>
            </w:r>
            <w:r w:rsidR="00362EBF">
              <w:rPr>
                <w:sz w:val="22"/>
                <w:szCs w:val="22"/>
              </w:rPr>
              <w:t>.</w:t>
            </w:r>
            <w:r w:rsidRPr="00C64EEA">
              <w:rPr>
                <w:sz w:val="22"/>
                <w:szCs w:val="22"/>
              </w:rPr>
              <w:t>649</w:t>
            </w:r>
          </w:p>
        </w:tc>
        <w:tc>
          <w:tcPr>
            <w:tcW w:w="899" w:type="pct"/>
            <w:noWrap/>
            <w:tcMar>
              <w:left w:w="28" w:type="dxa"/>
              <w:right w:w="28" w:type="dxa"/>
            </w:tcMar>
            <w:vAlign w:val="center"/>
            <w:hideMark/>
          </w:tcPr>
          <w:p w14:paraId="1064F369" w14:textId="5C92B6F5" w:rsidR="007C476B" w:rsidRPr="00C64EEA" w:rsidRDefault="007C476B" w:rsidP="007B051E">
            <w:pPr>
              <w:spacing w:after="60"/>
              <w:jc w:val="right"/>
              <w:rPr>
                <w:sz w:val="22"/>
                <w:szCs w:val="22"/>
              </w:rPr>
            </w:pPr>
            <w:r w:rsidRPr="00C64EEA">
              <w:rPr>
                <w:sz w:val="22"/>
                <w:szCs w:val="22"/>
              </w:rPr>
              <w:t>1</w:t>
            </w:r>
            <w:r w:rsidR="00362EBF">
              <w:rPr>
                <w:sz w:val="22"/>
                <w:szCs w:val="22"/>
              </w:rPr>
              <w:t>.</w:t>
            </w:r>
            <w:r w:rsidRPr="00C64EEA">
              <w:rPr>
                <w:sz w:val="22"/>
                <w:szCs w:val="22"/>
              </w:rPr>
              <w:t>237</w:t>
            </w:r>
          </w:p>
        </w:tc>
      </w:tr>
      <w:tr w:rsidR="007C476B" w:rsidRPr="00B532F4" w14:paraId="1ED72A72" w14:textId="77777777" w:rsidTr="005C3441">
        <w:trPr>
          <w:trHeight w:val="288"/>
          <w:jc w:val="center"/>
        </w:trPr>
        <w:tc>
          <w:tcPr>
            <w:tcW w:w="2179" w:type="pct"/>
            <w:noWrap/>
            <w:tcMar>
              <w:left w:w="28" w:type="dxa"/>
              <w:right w:w="28" w:type="dxa"/>
            </w:tcMar>
            <w:vAlign w:val="center"/>
            <w:hideMark/>
          </w:tcPr>
          <w:p w14:paraId="603DE7B3" w14:textId="77777777" w:rsidR="007C476B" w:rsidRPr="00C64EEA" w:rsidRDefault="007C476B" w:rsidP="007B051E">
            <w:pPr>
              <w:spacing w:after="60"/>
              <w:rPr>
                <w:b/>
                <w:sz w:val="22"/>
                <w:szCs w:val="22"/>
              </w:rPr>
            </w:pPr>
            <w:r w:rsidRPr="00C64EEA">
              <w:rPr>
                <w:b/>
                <w:sz w:val="22"/>
                <w:szCs w:val="22"/>
              </w:rPr>
              <w:t>Biomasa i bioplin</w:t>
            </w:r>
          </w:p>
        </w:tc>
        <w:tc>
          <w:tcPr>
            <w:tcW w:w="1027" w:type="pct"/>
            <w:noWrap/>
            <w:tcMar>
              <w:left w:w="28" w:type="dxa"/>
              <w:right w:w="28" w:type="dxa"/>
            </w:tcMar>
            <w:vAlign w:val="center"/>
            <w:hideMark/>
          </w:tcPr>
          <w:p w14:paraId="41EEAC52" w14:textId="2EC0D112" w:rsidR="007C476B" w:rsidRPr="00C64EEA" w:rsidRDefault="007C476B" w:rsidP="007B051E">
            <w:pPr>
              <w:spacing w:after="60"/>
              <w:jc w:val="right"/>
              <w:rPr>
                <w:sz w:val="22"/>
                <w:szCs w:val="22"/>
              </w:rPr>
            </w:pPr>
            <w:r w:rsidRPr="00C64EEA">
              <w:rPr>
                <w:sz w:val="22"/>
                <w:szCs w:val="22"/>
              </w:rPr>
              <w:t>3</w:t>
            </w:r>
            <w:r w:rsidR="00362EBF">
              <w:rPr>
                <w:sz w:val="22"/>
                <w:szCs w:val="22"/>
              </w:rPr>
              <w:t>.</w:t>
            </w:r>
            <w:r w:rsidRPr="00C64EEA">
              <w:rPr>
                <w:sz w:val="22"/>
                <w:szCs w:val="22"/>
              </w:rPr>
              <w:t>092</w:t>
            </w:r>
          </w:p>
        </w:tc>
        <w:tc>
          <w:tcPr>
            <w:tcW w:w="895" w:type="pct"/>
            <w:noWrap/>
            <w:tcMar>
              <w:left w:w="28" w:type="dxa"/>
              <w:right w:w="28" w:type="dxa"/>
            </w:tcMar>
            <w:vAlign w:val="center"/>
            <w:hideMark/>
          </w:tcPr>
          <w:p w14:paraId="7C55AE03" w14:textId="0D1D60F5" w:rsidR="007C476B" w:rsidRPr="00C64EEA" w:rsidRDefault="007C476B" w:rsidP="007B051E">
            <w:pPr>
              <w:spacing w:after="60"/>
              <w:jc w:val="right"/>
              <w:rPr>
                <w:sz w:val="22"/>
                <w:szCs w:val="22"/>
              </w:rPr>
            </w:pPr>
            <w:r w:rsidRPr="00C64EEA">
              <w:rPr>
                <w:sz w:val="22"/>
                <w:szCs w:val="22"/>
              </w:rPr>
              <w:t>3</w:t>
            </w:r>
            <w:r w:rsidR="00362EBF">
              <w:rPr>
                <w:sz w:val="22"/>
                <w:szCs w:val="22"/>
              </w:rPr>
              <w:t>.</w:t>
            </w:r>
            <w:r w:rsidRPr="00C64EEA">
              <w:rPr>
                <w:sz w:val="22"/>
                <w:szCs w:val="22"/>
              </w:rPr>
              <w:t>009</w:t>
            </w:r>
          </w:p>
        </w:tc>
        <w:tc>
          <w:tcPr>
            <w:tcW w:w="899" w:type="pct"/>
            <w:noWrap/>
            <w:tcMar>
              <w:left w:w="28" w:type="dxa"/>
              <w:right w:w="28" w:type="dxa"/>
            </w:tcMar>
            <w:vAlign w:val="center"/>
            <w:hideMark/>
          </w:tcPr>
          <w:p w14:paraId="7E019C53" w14:textId="5CE01300" w:rsidR="007C476B" w:rsidRPr="00C64EEA" w:rsidRDefault="007C476B" w:rsidP="007B051E">
            <w:pPr>
              <w:spacing w:after="60"/>
              <w:jc w:val="right"/>
              <w:rPr>
                <w:sz w:val="22"/>
                <w:szCs w:val="22"/>
              </w:rPr>
            </w:pPr>
            <w:r w:rsidRPr="00C64EEA">
              <w:rPr>
                <w:sz w:val="22"/>
                <w:szCs w:val="22"/>
              </w:rPr>
              <w:t>2</w:t>
            </w:r>
            <w:r w:rsidR="00362EBF">
              <w:rPr>
                <w:sz w:val="22"/>
                <w:szCs w:val="22"/>
              </w:rPr>
              <w:t>.</w:t>
            </w:r>
            <w:r w:rsidRPr="00C64EEA">
              <w:rPr>
                <w:sz w:val="22"/>
                <w:szCs w:val="22"/>
              </w:rPr>
              <w:t>927</w:t>
            </w:r>
          </w:p>
        </w:tc>
      </w:tr>
      <w:tr w:rsidR="007C476B" w:rsidRPr="00B532F4" w14:paraId="75E80307" w14:textId="77777777" w:rsidTr="005C3441">
        <w:trPr>
          <w:trHeight w:val="288"/>
          <w:jc w:val="center"/>
        </w:trPr>
        <w:tc>
          <w:tcPr>
            <w:tcW w:w="2179" w:type="pct"/>
            <w:noWrap/>
            <w:tcMar>
              <w:left w:w="28" w:type="dxa"/>
              <w:right w:w="28" w:type="dxa"/>
            </w:tcMar>
            <w:vAlign w:val="center"/>
            <w:hideMark/>
          </w:tcPr>
          <w:p w14:paraId="3F84087E" w14:textId="77777777" w:rsidR="007C476B" w:rsidRPr="00C64EEA" w:rsidRDefault="007C476B" w:rsidP="007B051E">
            <w:pPr>
              <w:spacing w:after="60"/>
              <w:rPr>
                <w:b/>
                <w:sz w:val="22"/>
                <w:szCs w:val="22"/>
              </w:rPr>
            </w:pPr>
            <w:r w:rsidRPr="00C64EEA">
              <w:rPr>
                <w:b/>
                <w:sz w:val="22"/>
                <w:szCs w:val="22"/>
              </w:rPr>
              <w:lastRenderedPageBreak/>
              <w:t>Geotermalne elektrane</w:t>
            </w:r>
          </w:p>
        </w:tc>
        <w:tc>
          <w:tcPr>
            <w:tcW w:w="1027" w:type="pct"/>
            <w:noWrap/>
            <w:tcMar>
              <w:left w:w="28" w:type="dxa"/>
              <w:right w:w="28" w:type="dxa"/>
            </w:tcMar>
            <w:vAlign w:val="center"/>
            <w:hideMark/>
          </w:tcPr>
          <w:p w14:paraId="4746A2A3" w14:textId="37F3845B" w:rsidR="007C476B" w:rsidRPr="00C64EEA" w:rsidRDefault="007C476B" w:rsidP="007B051E">
            <w:pPr>
              <w:spacing w:after="60"/>
              <w:jc w:val="right"/>
              <w:rPr>
                <w:sz w:val="22"/>
                <w:szCs w:val="22"/>
              </w:rPr>
            </w:pPr>
            <w:r w:rsidRPr="00C64EEA">
              <w:rPr>
                <w:sz w:val="22"/>
                <w:szCs w:val="22"/>
              </w:rPr>
              <w:t>2</w:t>
            </w:r>
            <w:r w:rsidR="00362EBF">
              <w:rPr>
                <w:sz w:val="22"/>
                <w:szCs w:val="22"/>
              </w:rPr>
              <w:t>.</w:t>
            </w:r>
            <w:r w:rsidRPr="00C64EEA">
              <w:rPr>
                <w:sz w:val="22"/>
                <w:szCs w:val="22"/>
              </w:rPr>
              <w:t>350</w:t>
            </w:r>
          </w:p>
        </w:tc>
        <w:tc>
          <w:tcPr>
            <w:tcW w:w="895" w:type="pct"/>
            <w:noWrap/>
            <w:tcMar>
              <w:left w:w="28" w:type="dxa"/>
              <w:right w:w="28" w:type="dxa"/>
            </w:tcMar>
            <w:vAlign w:val="center"/>
            <w:hideMark/>
          </w:tcPr>
          <w:p w14:paraId="7BDA3163" w14:textId="003EE4B3" w:rsidR="007C476B" w:rsidRPr="00C64EEA" w:rsidRDefault="007C476B" w:rsidP="007B051E">
            <w:pPr>
              <w:spacing w:after="60"/>
              <w:jc w:val="right"/>
              <w:rPr>
                <w:sz w:val="22"/>
                <w:szCs w:val="22"/>
              </w:rPr>
            </w:pPr>
            <w:r w:rsidRPr="00C64EEA">
              <w:rPr>
                <w:sz w:val="22"/>
                <w:szCs w:val="22"/>
              </w:rPr>
              <w:t>2</w:t>
            </w:r>
            <w:r w:rsidR="00362EBF">
              <w:rPr>
                <w:sz w:val="22"/>
                <w:szCs w:val="22"/>
              </w:rPr>
              <w:t>.</w:t>
            </w:r>
            <w:r w:rsidRPr="00C64EEA">
              <w:rPr>
                <w:sz w:val="22"/>
                <w:szCs w:val="22"/>
              </w:rPr>
              <w:t>267</w:t>
            </w:r>
          </w:p>
        </w:tc>
        <w:tc>
          <w:tcPr>
            <w:tcW w:w="899" w:type="pct"/>
            <w:noWrap/>
            <w:tcMar>
              <w:left w:w="28" w:type="dxa"/>
              <w:right w:w="28" w:type="dxa"/>
            </w:tcMar>
            <w:vAlign w:val="center"/>
            <w:hideMark/>
          </w:tcPr>
          <w:p w14:paraId="7CA58B90" w14:textId="13C244A9" w:rsidR="007C476B" w:rsidRPr="00C64EEA" w:rsidRDefault="007C476B" w:rsidP="007B051E">
            <w:pPr>
              <w:spacing w:after="60"/>
              <w:jc w:val="right"/>
              <w:rPr>
                <w:sz w:val="22"/>
                <w:szCs w:val="22"/>
              </w:rPr>
            </w:pPr>
            <w:r w:rsidRPr="00C64EEA">
              <w:rPr>
                <w:sz w:val="22"/>
                <w:szCs w:val="22"/>
              </w:rPr>
              <w:t>2</w:t>
            </w:r>
            <w:r w:rsidR="00362EBF">
              <w:rPr>
                <w:sz w:val="22"/>
                <w:szCs w:val="22"/>
              </w:rPr>
              <w:t>.</w:t>
            </w:r>
            <w:r w:rsidRPr="00C64EEA">
              <w:rPr>
                <w:sz w:val="22"/>
                <w:szCs w:val="22"/>
              </w:rPr>
              <w:t>102</w:t>
            </w:r>
          </w:p>
        </w:tc>
      </w:tr>
    </w:tbl>
    <w:p w14:paraId="60C91D26" w14:textId="77777777" w:rsidR="007C476B" w:rsidRPr="00B47BDA" w:rsidRDefault="007C476B" w:rsidP="004623DD">
      <w:pPr>
        <w:pStyle w:val="Slike"/>
      </w:pPr>
      <w:r w:rsidRPr="00B47BDA">
        <w:t>Izvor: IEA WEO 2022</w:t>
      </w:r>
    </w:p>
    <w:p w14:paraId="1E703384" w14:textId="4A5B0EF3" w:rsidR="007C476B" w:rsidRPr="00B47BDA" w:rsidRDefault="007C476B" w:rsidP="004623DD">
      <w:r w:rsidRPr="63259912">
        <w:t>Za TE na prirodni plin ne očekuje se tehnološki napredak, osim u kontekstu razvoja prikupljanja i spremanja ugljika. Za nuklearne elektrane pretpostavljena je mogućnost napretka u slučaju većeg korištenja ove tehnologije u okviru dostizanje ciljeva smanjenja emisije na globalnoj razini (prikazana procjena odnosi se na projekte koji bi se realizirali u Europi). U pogledu opcije malih modularnih reak</w:t>
      </w:r>
      <w:r w:rsidR="00611387" w:rsidRPr="63259912">
        <w:t>t</w:t>
      </w:r>
      <w:r w:rsidRPr="63259912">
        <w:t xml:space="preserve">ora (SMR – Small Modular Reactors), komercijalizacija ove opcije </w:t>
      </w:r>
      <w:r w:rsidR="00446717">
        <w:t xml:space="preserve">projicirana je iza </w:t>
      </w:r>
      <w:r w:rsidR="00446717" w:rsidRPr="00B47BDA">
        <w:t>2035. godine</w:t>
      </w:r>
      <w:r w:rsidR="00446717">
        <w:t xml:space="preserve"> do kada bi se imao uvid u sve elemente programa korištenja</w:t>
      </w:r>
      <w:r w:rsidRPr="63259912">
        <w:t>.</w:t>
      </w:r>
    </w:p>
    <w:p w14:paraId="51751A55" w14:textId="77777777" w:rsidR="007C476B" w:rsidRPr="00B47BDA" w:rsidRDefault="007C476B" w:rsidP="004623DD">
      <w:r w:rsidRPr="00B47BDA">
        <w:t>Za OIE izvore očekuje se daljnje smanjenje specifičnog troška, osobito za sunčeve elektrane. Za velike i male HE i elektrane na biomasu ne očekuje se značajniji tehnološki/troškovni napredak.</w:t>
      </w:r>
    </w:p>
    <w:p w14:paraId="147FFE61" w14:textId="77777777" w:rsidR="007C476B" w:rsidRPr="00B47BDA" w:rsidRDefault="007C476B" w:rsidP="007327CD">
      <w:pPr>
        <w:pStyle w:val="Heading5"/>
      </w:pPr>
      <w:r w:rsidRPr="00B47BDA">
        <w:t>Baterije</w:t>
      </w:r>
    </w:p>
    <w:p w14:paraId="0D4E9E5E" w14:textId="56FC1F64" w:rsidR="007C476B" w:rsidRPr="00B47BDA" w:rsidRDefault="007C476B" w:rsidP="004623DD">
      <w:r w:rsidRPr="00B47BDA">
        <w:t xml:space="preserve">Za spremanje viškova električne energije i pružanje usluga fleksibilnosti u elektroenergetskom sustavu predviđena je i mogućnost izgradnje litij-ionskih baterija. Pretpostavljen je odnos snage i spremnika 1:4 (tj. baterija koja se može napuniti ili isprazniti za 4 sata). Specifična ulaganja prikazana su u </w:t>
      </w:r>
      <w:r w:rsidR="00950D45" w:rsidRPr="00B47BDA">
        <w:fldChar w:fldCharType="begin"/>
      </w:r>
      <w:r w:rsidR="00950D45" w:rsidRPr="00B47BDA">
        <w:instrText xml:space="preserve"> REF _Ref132992754 \h </w:instrText>
      </w:r>
      <w:r w:rsidR="00B95888" w:rsidRPr="00B47BDA">
        <w:instrText xml:space="preserve"> \* MERGEFORMAT </w:instrText>
      </w:r>
      <w:r w:rsidR="00950D45" w:rsidRPr="00B47BDA">
        <w:fldChar w:fldCharType="separate"/>
      </w:r>
      <w:r w:rsidR="005C3441" w:rsidRPr="00B47BDA">
        <w:t xml:space="preserve">Tablica </w:t>
      </w:r>
      <w:r w:rsidR="005C3441">
        <w:t>4</w:t>
      </w:r>
      <w:r w:rsidR="005C3441" w:rsidRPr="00B47BDA">
        <w:noBreakHyphen/>
      </w:r>
      <w:r w:rsidR="005C3441">
        <w:t>7</w:t>
      </w:r>
      <w:r w:rsidR="00950D45" w:rsidRPr="00B47BDA">
        <w:fldChar w:fldCharType="end"/>
      </w:r>
      <w:r w:rsidRPr="00B47BDA">
        <w:t>.</w:t>
      </w:r>
    </w:p>
    <w:p w14:paraId="1C1E286F" w14:textId="3D5E6F62" w:rsidR="007C476B" w:rsidRPr="00B47BDA" w:rsidRDefault="007F4272" w:rsidP="004623DD">
      <w:pPr>
        <w:pStyle w:val="Caption"/>
      </w:pPr>
      <w:bookmarkStart w:id="528" w:name="_Ref132992754"/>
      <w:bookmarkStart w:id="529" w:name="_Toc193035958"/>
      <w:r w:rsidRPr="00B47BDA">
        <w:t xml:space="preserve">Tablica </w:t>
      </w:r>
      <w:r>
        <w:fldChar w:fldCharType="begin"/>
      </w:r>
      <w:r>
        <w:instrText>STYLEREF 1 \s</w:instrText>
      </w:r>
      <w:r>
        <w:fldChar w:fldCharType="separate"/>
      </w:r>
      <w:r w:rsidR="00AD324D">
        <w:rPr>
          <w:noProof/>
        </w:rPr>
        <w:t>4</w:t>
      </w:r>
      <w:r>
        <w:fldChar w:fldCharType="end"/>
      </w:r>
      <w:r w:rsidR="000C3EFD" w:rsidRPr="00B47BDA">
        <w:noBreakHyphen/>
      </w:r>
      <w:r>
        <w:fldChar w:fldCharType="begin"/>
      </w:r>
      <w:r>
        <w:instrText>SEQ Tablica \* ARABIC \s 1</w:instrText>
      </w:r>
      <w:r>
        <w:fldChar w:fldCharType="separate"/>
      </w:r>
      <w:r w:rsidR="005C3441">
        <w:rPr>
          <w:noProof/>
        </w:rPr>
        <w:t>7</w:t>
      </w:r>
      <w:r>
        <w:fldChar w:fldCharType="end"/>
      </w:r>
      <w:bookmarkEnd w:id="528"/>
      <w:r w:rsidR="007C476B" w:rsidRPr="00B47BDA">
        <w:t>. Specifična ulaganja u baterijske sustave (4 sata spremanja)</w:t>
      </w:r>
      <w:bookmarkEnd w:id="529"/>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1169"/>
        <w:gridCol w:w="799"/>
        <w:gridCol w:w="721"/>
        <w:gridCol w:w="721"/>
      </w:tblGrid>
      <w:tr w:rsidR="007C476B" w:rsidRPr="00B532F4" w14:paraId="098D2C01" w14:textId="77777777" w:rsidTr="00A279F7">
        <w:trPr>
          <w:trHeight w:val="288"/>
          <w:jc w:val="center"/>
        </w:trPr>
        <w:tc>
          <w:tcPr>
            <w:tcW w:w="3135" w:type="dxa"/>
            <w:shd w:val="clear" w:color="auto" w:fill="D9E2F3" w:themeFill="accent5" w:themeFillTint="33"/>
            <w:noWrap/>
            <w:vAlign w:val="bottom"/>
            <w:hideMark/>
          </w:tcPr>
          <w:p w14:paraId="4C01EB36" w14:textId="77777777" w:rsidR="007C476B" w:rsidRPr="00C64EEA" w:rsidRDefault="007C476B" w:rsidP="004623DD">
            <w:pPr>
              <w:rPr>
                <w:b/>
                <w:sz w:val="22"/>
                <w:szCs w:val="22"/>
              </w:rPr>
            </w:pPr>
            <w:r w:rsidRPr="00C64EEA">
              <w:rPr>
                <w:b/>
                <w:sz w:val="22"/>
                <w:szCs w:val="22"/>
              </w:rPr>
              <w:t>Komponenta</w:t>
            </w:r>
          </w:p>
        </w:tc>
        <w:tc>
          <w:tcPr>
            <w:tcW w:w="1169" w:type="dxa"/>
            <w:shd w:val="clear" w:color="auto" w:fill="D9E2F3" w:themeFill="accent5" w:themeFillTint="33"/>
            <w:noWrap/>
            <w:vAlign w:val="bottom"/>
            <w:hideMark/>
          </w:tcPr>
          <w:p w14:paraId="00A95C00" w14:textId="77777777" w:rsidR="007C476B" w:rsidRPr="00C64EEA" w:rsidRDefault="007C476B" w:rsidP="004623DD">
            <w:pPr>
              <w:rPr>
                <w:sz w:val="22"/>
                <w:szCs w:val="22"/>
              </w:rPr>
            </w:pPr>
            <w:r w:rsidRPr="00C64EEA">
              <w:rPr>
                <w:sz w:val="22"/>
                <w:szCs w:val="22"/>
              </w:rPr>
              <w:t>EUR2020</w:t>
            </w:r>
          </w:p>
        </w:tc>
        <w:tc>
          <w:tcPr>
            <w:tcW w:w="799" w:type="dxa"/>
            <w:shd w:val="clear" w:color="auto" w:fill="D9E2F3" w:themeFill="accent5" w:themeFillTint="33"/>
            <w:noWrap/>
            <w:vAlign w:val="bottom"/>
            <w:hideMark/>
          </w:tcPr>
          <w:p w14:paraId="7C3B1642" w14:textId="77777777" w:rsidR="007C476B" w:rsidRPr="00C64EEA" w:rsidRDefault="007C476B" w:rsidP="00B532F4">
            <w:pPr>
              <w:jc w:val="center"/>
              <w:rPr>
                <w:b/>
                <w:sz w:val="22"/>
                <w:szCs w:val="22"/>
              </w:rPr>
            </w:pPr>
            <w:r w:rsidRPr="00C64EEA">
              <w:rPr>
                <w:b/>
                <w:sz w:val="22"/>
                <w:szCs w:val="22"/>
              </w:rPr>
              <w:t>2021.</w:t>
            </w:r>
          </w:p>
        </w:tc>
        <w:tc>
          <w:tcPr>
            <w:tcW w:w="708" w:type="dxa"/>
            <w:shd w:val="clear" w:color="auto" w:fill="D9E2F3" w:themeFill="accent5" w:themeFillTint="33"/>
            <w:noWrap/>
            <w:vAlign w:val="bottom"/>
            <w:hideMark/>
          </w:tcPr>
          <w:p w14:paraId="01D1CCE8" w14:textId="77777777" w:rsidR="007C476B" w:rsidRPr="00C64EEA" w:rsidRDefault="007C476B" w:rsidP="00B532F4">
            <w:pPr>
              <w:jc w:val="center"/>
              <w:rPr>
                <w:b/>
                <w:sz w:val="22"/>
                <w:szCs w:val="22"/>
              </w:rPr>
            </w:pPr>
            <w:r w:rsidRPr="00C64EEA">
              <w:rPr>
                <w:b/>
                <w:sz w:val="22"/>
                <w:szCs w:val="22"/>
              </w:rPr>
              <w:t>2030.</w:t>
            </w:r>
          </w:p>
        </w:tc>
        <w:tc>
          <w:tcPr>
            <w:tcW w:w="709" w:type="dxa"/>
            <w:shd w:val="clear" w:color="auto" w:fill="D9E2F3" w:themeFill="accent5" w:themeFillTint="33"/>
            <w:noWrap/>
            <w:vAlign w:val="bottom"/>
            <w:hideMark/>
          </w:tcPr>
          <w:p w14:paraId="68AE80B9" w14:textId="77777777" w:rsidR="007C476B" w:rsidRPr="00C64EEA" w:rsidRDefault="007C476B" w:rsidP="00B532F4">
            <w:pPr>
              <w:jc w:val="center"/>
              <w:rPr>
                <w:b/>
                <w:sz w:val="22"/>
                <w:szCs w:val="22"/>
              </w:rPr>
            </w:pPr>
            <w:r w:rsidRPr="00C64EEA">
              <w:rPr>
                <w:b/>
                <w:sz w:val="22"/>
                <w:szCs w:val="22"/>
              </w:rPr>
              <w:t>2050.</w:t>
            </w:r>
          </w:p>
        </w:tc>
      </w:tr>
      <w:tr w:rsidR="007C476B" w:rsidRPr="00B532F4" w14:paraId="1BEFD422" w14:textId="77777777" w:rsidTr="00B532F4">
        <w:trPr>
          <w:trHeight w:val="288"/>
          <w:jc w:val="center"/>
        </w:trPr>
        <w:tc>
          <w:tcPr>
            <w:tcW w:w="3135" w:type="dxa"/>
            <w:noWrap/>
            <w:vAlign w:val="bottom"/>
            <w:hideMark/>
          </w:tcPr>
          <w:p w14:paraId="07DDD0F9" w14:textId="77777777" w:rsidR="007C476B" w:rsidRPr="00C64EEA" w:rsidRDefault="007C476B" w:rsidP="004623DD">
            <w:pPr>
              <w:rPr>
                <w:b/>
                <w:sz w:val="22"/>
                <w:szCs w:val="22"/>
              </w:rPr>
            </w:pPr>
            <w:r w:rsidRPr="00C64EEA">
              <w:rPr>
                <w:b/>
                <w:sz w:val="22"/>
                <w:szCs w:val="22"/>
              </w:rPr>
              <w:t>Trošak baterije-spremnika</w:t>
            </w:r>
          </w:p>
        </w:tc>
        <w:tc>
          <w:tcPr>
            <w:tcW w:w="1169" w:type="dxa"/>
            <w:noWrap/>
            <w:vAlign w:val="bottom"/>
            <w:hideMark/>
          </w:tcPr>
          <w:p w14:paraId="63A6932E" w14:textId="77777777" w:rsidR="007C476B" w:rsidRPr="00C64EEA" w:rsidRDefault="007C476B" w:rsidP="004623DD">
            <w:pPr>
              <w:rPr>
                <w:sz w:val="22"/>
                <w:szCs w:val="22"/>
              </w:rPr>
            </w:pPr>
            <w:r w:rsidRPr="00C64EEA">
              <w:rPr>
                <w:sz w:val="22"/>
                <w:szCs w:val="22"/>
              </w:rPr>
              <w:t>EUR/kWh</w:t>
            </w:r>
          </w:p>
        </w:tc>
        <w:tc>
          <w:tcPr>
            <w:tcW w:w="799" w:type="dxa"/>
            <w:noWrap/>
            <w:vAlign w:val="bottom"/>
            <w:hideMark/>
          </w:tcPr>
          <w:p w14:paraId="08694ACB" w14:textId="77777777" w:rsidR="007C476B" w:rsidRPr="00C64EEA" w:rsidRDefault="007C476B" w:rsidP="00B532F4">
            <w:pPr>
              <w:jc w:val="right"/>
              <w:rPr>
                <w:sz w:val="22"/>
                <w:szCs w:val="22"/>
              </w:rPr>
            </w:pPr>
            <w:r w:rsidRPr="00C64EEA">
              <w:rPr>
                <w:sz w:val="22"/>
                <w:szCs w:val="22"/>
              </w:rPr>
              <w:t>171</w:t>
            </w:r>
          </w:p>
        </w:tc>
        <w:tc>
          <w:tcPr>
            <w:tcW w:w="708" w:type="dxa"/>
            <w:noWrap/>
            <w:vAlign w:val="bottom"/>
            <w:hideMark/>
          </w:tcPr>
          <w:p w14:paraId="4A67039F" w14:textId="77777777" w:rsidR="007C476B" w:rsidRPr="00C64EEA" w:rsidRDefault="007C476B" w:rsidP="00B532F4">
            <w:pPr>
              <w:jc w:val="right"/>
              <w:rPr>
                <w:sz w:val="22"/>
                <w:szCs w:val="22"/>
              </w:rPr>
            </w:pPr>
            <w:r w:rsidRPr="00C64EEA">
              <w:rPr>
                <w:sz w:val="22"/>
                <w:szCs w:val="22"/>
              </w:rPr>
              <w:t>124</w:t>
            </w:r>
          </w:p>
        </w:tc>
        <w:tc>
          <w:tcPr>
            <w:tcW w:w="709" w:type="dxa"/>
            <w:noWrap/>
            <w:vAlign w:val="bottom"/>
            <w:hideMark/>
          </w:tcPr>
          <w:p w14:paraId="6D02B53D" w14:textId="77777777" w:rsidR="007C476B" w:rsidRPr="00C64EEA" w:rsidRDefault="007C476B" w:rsidP="00B532F4">
            <w:pPr>
              <w:jc w:val="right"/>
              <w:rPr>
                <w:sz w:val="22"/>
                <w:szCs w:val="22"/>
              </w:rPr>
            </w:pPr>
            <w:r w:rsidRPr="00C64EEA">
              <w:rPr>
                <w:sz w:val="22"/>
                <w:szCs w:val="22"/>
              </w:rPr>
              <w:t>61</w:t>
            </w:r>
          </w:p>
        </w:tc>
      </w:tr>
      <w:tr w:rsidR="007C476B" w:rsidRPr="00B532F4" w14:paraId="49AE9DB5" w14:textId="77777777" w:rsidTr="00B532F4">
        <w:trPr>
          <w:trHeight w:val="288"/>
          <w:jc w:val="center"/>
        </w:trPr>
        <w:tc>
          <w:tcPr>
            <w:tcW w:w="3135" w:type="dxa"/>
            <w:noWrap/>
            <w:vAlign w:val="bottom"/>
            <w:hideMark/>
          </w:tcPr>
          <w:p w14:paraId="5AA9D047" w14:textId="77777777" w:rsidR="007C476B" w:rsidRPr="00C64EEA" w:rsidRDefault="007C476B" w:rsidP="004623DD">
            <w:pPr>
              <w:rPr>
                <w:b/>
                <w:sz w:val="22"/>
                <w:szCs w:val="22"/>
              </w:rPr>
            </w:pPr>
            <w:r w:rsidRPr="00C64EEA">
              <w:rPr>
                <w:b/>
                <w:sz w:val="22"/>
                <w:szCs w:val="22"/>
              </w:rPr>
              <w:t>Trošak sustava upravljanja</w:t>
            </w:r>
          </w:p>
        </w:tc>
        <w:tc>
          <w:tcPr>
            <w:tcW w:w="1169" w:type="dxa"/>
            <w:noWrap/>
            <w:vAlign w:val="bottom"/>
            <w:hideMark/>
          </w:tcPr>
          <w:p w14:paraId="3FA808E9" w14:textId="77777777" w:rsidR="007C476B" w:rsidRPr="00C64EEA" w:rsidRDefault="007C476B" w:rsidP="004623DD">
            <w:pPr>
              <w:rPr>
                <w:sz w:val="22"/>
                <w:szCs w:val="22"/>
              </w:rPr>
            </w:pPr>
            <w:r w:rsidRPr="00C64EEA">
              <w:rPr>
                <w:sz w:val="22"/>
                <w:szCs w:val="22"/>
              </w:rPr>
              <w:t>EUR/kW</w:t>
            </w:r>
          </w:p>
        </w:tc>
        <w:tc>
          <w:tcPr>
            <w:tcW w:w="799" w:type="dxa"/>
            <w:noWrap/>
            <w:vAlign w:val="bottom"/>
            <w:hideMark/>
          </w:tcPr>
          <w:p w14:paraId="2C6AB9AC" w14:textId="77777777" w:rsidR="007C476B" w:rsidRPr="00C64EEA" w:rsidRDefault="007C476B" w:rsidP="00B532F4">
            <w:pPr>
              <w:jc w:val="right"/>
              <w:rPr>
                <w:sz w:val="22"/>
                <w:szCs w:val="22"/>
              </w:rPr>
            </w:pPr>
            <w:r w:rsidRPr="00C64EEA">
              <w:rPr>
                <w:sz w:val="22"/>
                <w:szCs w:val="22"/>
              </w:rPr>
              <w:t>619</w:t>
            </w:r>
          </w:p>
        </w:tc>
        <w:tc>
          <w:tcPr>
            <w:tcW w:w="708" w:type="dxa"/>
            <w:noWrap/>
            <w:vAlign w:val="bottom"/>
            <w:hideMark/>
          </w:tcPr>
          <w:p w14:paraId="1561CBF6" w14:textId="77777777" w:rsidR="007C476B" w:rsidRPr="00C64EEA" w:rsidRDefault="007C476B" w:rsidP="00B532F4">
            <w:pPr>
              <w:jc w:val="right"/>
              <w:rPr>
                <w:sz w:val="22"/>
                <w:szCs w:val="22"/>
              </w:rPr>
            </w:pPr>
            <w:r w:rsidRPr="00C64EEA">
              <w:rPr>
                <w:sz w:val="22"/>
                <w:szCs w:val="22"/>
              </w:rPr>
              <w:t>493</w:t>
            </w:r>
          </w:p>
        </w:tc>
        <w:tc>
          <w:tcPr>
            <w:tcW w:w="709" w:type="dxa"/>
            <w:noWrap/>
            <w:vAlign w:val="bottom"/>
            <w:hideMark/>
          </w:tcPr>
          <w:p w14:paraId="63DA52FD" w14:textId="77777777" w:rsidR="007C476B" w:rsidRPr="00C64EEA" w:rsidRDefault="007C476B" w:rsidP="00B532F4">
            <w:pPr>
              <w:jc w:val="right"/>
              <w:rPr>
                <w:sz w:val="22"/>
                <w:szCs w:val="22"/>
              </w:rPr>
            </w:pPr>
            <w:r w:rsidRPr="00C64EEA">
              <w:rPr>
                <w:sz w:val="22"/>
                <w:szCs w:val="22"/>
              </w:rPr>
              <w:t>297</w:t>
            </w:r>
          </w:p>
        </w:tc>
      </w:tr>
      <w:tr w:rsidR="007C476B" w:rsidRPr="00B532F4" w14:paraId="3E0EC0E5" w14:textId="77777777" w:rsidTr="00B532F4">
        <w:trPr>
          <w:trHeight w:val="288"/>
          <w:jc w:val="center"/>
        </w:trPr>
        <w:tc>
          <w:tcPr>
            <w:tcW w:w="3135" w:type="dxa"/>
            <w:noWrap/>
            <w:vAlign w:val="bottom"/>
            <w:hideMark/>
          </w:tcPr>
          <w:p w14:paraId="4AE514E0" w14:textId="77777777" w:rsidR="007C476B" w:rsidRPr="00C64EEA" w:rsidRDefault="007C476B" w:rsidP="004623DD">
            <w:pPr>
              <w:rPr>
                <w:b/>
                <w:sz w:val="22"/>
                <w:szCs w:val="22"/>
              </w:rPr>
            </w:pPr>
            <w:r w:rsidRPr="00C64EEA">
              <w:rPr>
                <w:b/>
                <w:sz w:val="22"/>
                <w:szCs w:val="22"/>
              </w:rPr>
              <w:t>Stalni trošak</w:t>
            </w:r>
          </w:p>
        </w:tc>
        <w:tc>
          <w:tcPr>
            <w:tcW w:w="1169" w:type="dxa"/>
            <w:noWrap/>
            <w:vAlign w:val="bottom"/>
            <w:hideMark/>
          </w:tcPr>
          <w:p w14:paraId="515EB356" w14:textId="77777777" w:rsidR="007C476B" w:rsidRPr="00C64EEA" w:rsidRDefault="007C476B" w:rsidP="004623DD">
            <w:pPr>
              <w:rPr>
                <w:sz w:val="22"/>
                <w:szCs w:val="22"/>
              </w:rPr>
            </w:pPr>
            <w:r w:rsidRPr="00C64EEA">
              <w:rPr>
                <w:sz w:val="22"/>
                <w:szCs w:val="22"/>
              </w:rPr>
              <w:t>EUR/kW</w:t>
            </w:r>
          </w:p>
        </w:tc>
        <w:tc>
          <w:tcPr>
            <w:tcW w:w="799" w:type="dxa"/>
            <w:noWrap/>
            <w:vAlign w:val="bottom"/>
            <w:hideMark/>
          </w:tcPr>
          <w:p w14:paraId="3912BB8A" w14:textId="77777777" w:rsidR="007C476B" w:rsidRPr="00C64EEA" w:rsidRDefault="007C476B" w:rsidP="00B532F4">
            <w:pPr>
              <w:jc w:val="right"/>
              <w:rPr>
                <w:sz w:val="22"/>
                <w:szCs w:val="22"/>
              </w:rPr>
            </w:pPr>
            <w:r w:rsidRPr="00C64EEA">
              <w:rPr>
                <w:sz w:val="22"/>
                <w:szCs w:val="22"/>
              </w:rPr>
              <w:t>7.9</w:t>
            </w:r>
          </w:p>
        </w:tc>
        <w:tc>
          <w:tcPr>
            <w:tcW w:w="708" w:type="dxa"/>
            <w:noWrap/>
            <w:vAlign w:val="bottom"/>
            <w:hideMark/>
          </w:tcPr>
          <w:p w14:paraId="1EB17A0C" w14:textId="77777777" w:rsidR="007C476B" w:rsidRPr="00C64EEA" w:rsidRDefault="007C476B" w:rsidP="00B532F4">
            <w:pPr>
              <w:jc w:val="right"/>
              <w:rPr>
                <w:sz w:val="22"/>
                <w:szCs w:val="22"/>
              </w:rPr>
            </w:pPr>
            <w:r w:rsidRPr="00C64EEA">
              <w:rPr>
                <w:sz w:val="22"/>
                <w:szCs w:val="22"/>
              </w:rPr>
              <w:t>5.7</w:t>
            </w:r>
          </w:p>
        </w:tc>
        <w:tc>
          <w:tcPr>
            <w:tcW w:w="709" w:type="dxa"/>
            <w:noWrap/>
            <w:vAlign w:val="bottom"/>
            <w:hideMark/>
          </w:tcPr>
          <w:p w14:paraId="19A3DAD4" w14:textId="77777777" w:rsidR="007C476B" w:rsidRPr="00C64EEA" w:rsidRDefault="007C476B" w:rsidP="00B532F4">
            <w:pPr>
              <w:jc w:val="right"/>
              <w:rPr>
                <w:sz w:val="22"/>
                <w:szCs w:val="22"/>
              </w:rPr>
            </w:pPr>
            <w:r w:rsidRPr="00C64EEA">
              <w:rPr>
                <w:sz w:val="22"/>
                <w:szCs w:val="22"/>
              </w:rPr>
              <w:t>2.8</w:t>
            </w:r>
          </w:p>
        </w:tc>
      </w:tr>
      <w:tr w:rsidR="007C476B" w:rsidRPr="00B532F4" w14:paraId="627A7CBB" w14:textId="77777777" w:rsidTr="00B532F4">
        <w:trPr>
          <w:trHeight w:val="288"/>
          <w:jc w:val="center"/>
        </w:trPr>
        <w:tc>
          <w:tcPr>
            <w:tcW w:w="3135" w:type="dxa"/>
            <w:noWrap/>
            <w:vAlign w:val="bottom"/>
            <w:hideMark/>
          </w:tcPr>
          <w:p w14:paraId="570AEEC7" w14:textId="77777777" w:rsidR="007C476B" w:rsidRPr="00C64EEA" w:rsidRDefault="007C476B" w:rsidP="004623DD">
            <w:pPr>
              <w:rPr>
                <w:b/>
                <w:sz w:val="22"/>
                <w:szCs w:val="22"/>
              </w:rPr>
            </w:pPr>
            <w:r w:rsidRPr="00C64EEA">
              <w:rPr>
                <w:b/>
                <w:sz w:val="22"/>
                <w:szCs w:val="22"/>
              </w:rPr>
              <w:t>Promjenjivi trošak</w:t>
            </w:r>
          </w:p>
        </w:tc>
        <w:tc>
          <w:tcPr>
            <w:tcW w:w="1169" w:type="dxa"/>
            <w:noWrap/>
            <w:vAlign w:val="bottom"/>
            <w:hideMark/>
          </w:tcPr>
          <w:p w14:paraId="59771D1C" w14:textId="77777777" w:rsidR="007C476B" w:rsidRPr="00C64EEA" w:rsidRDefault="007C476B" w:rsidP="004623DD">
            <w:pPr>
              <w:rPr>
                <w:sz w:val="22"/>
                <w:szCs w:val="22"/>
              </w:rPr>
            </w:pPr>
            <w:r w:rsidRPr="00C64EEA">
              <w:rPr>
                <w:sz w:val="22"/>
                <w:szCs w:val="22"/>
              </w:rPr>
              <w:t>EUR/MWh</w:t>
            </w:r>
          </w:p>
        </w:tc>
        <w:tc>
          <w:tcPr>
            <w:tcW w:w="799" w:type="dxa"/>
            <w:noWrap/>
            <w:vAlign w:val="bottom"/>
            <w:hideMark/>
          </w:tcPr>
          <w:p w14:paraId="49A4ACB0" w14:textId="77777777" w:rsidR="007C476B" w:rsidRPr="00C64EEA" w:rsidRDefault="007C476B" w:rsidP="00B532F4">
            <w:pPr>
              <w:jc w:val="right"/>
              <w:rPr>
                <w:sz w:val="22"/>
                <w:szCs w:val="22"/>
              </w:rPr>
            </w:pPr>
            <w:r w:rsidRPr="00C64EEA">
              <w:rPr>
                <w:sz w:val="22"/>
                <w:szCs w:val="22"/>
              </w:rPr>
              <w:t>2.2</w:t>
            </w:r>
          </w:p>
        </w:tc>
        <w:tc>
          <w:tcPr>
            <w:tcW w:w="708" w:type="dxa"/>
            <w:noWrap/>
            <w:vAlign w:val="bottom"/>
            <w:hideMark/>
          </w:tcPr>
          <w:p w14:paraId="4D81BCE5" w14:textId="77777777" w:rsidR="007C476B" w:rsidRPr="00C64EEA" w:rsidRDefault="007C476B" w:rsidP="00B532F4">
            <w:pPr>
              <w:jc w:val="right"/>
              <w:rPr>
                <w:sz w:val="22"/>
                <w:szCs w:val="22"/>
              </w:rPr>
            </w:pPr>
            <w:r w:rsidRPr="00C64EEA">
              <w:rPr>
                <w:sz w:val="22"/>
                <w:szCs w:val="22"/>
              </w:rPr>
              <w:t>1.4</w:t>
            </w:r>
          </w:p>
        </w:tc>
        <w:tc>
          <w:tcPr>
            <w:tcW w:w="709" w:type="dxa"/>
            <w:noWrap/>
            <w:vAlign w:val="bottom"/>
            <w:hideMark/>
          </w:tcPr>
          <w:p w14:paraId="053878AF" w14:textId="77777777" w:rsidR="007C476B" w:rsidRPr="00C64EEA" w:rsidRDefault="007C476B" w:rsidP="00B532F4">
            <w:pPr>
              <w:jc w:val="right"/>
              <w:rPr>
                <w:sz w:val="22"/>
                <w:szCs w:val="22"/>
              </w:rPr>
            </w:pPr>
            <w:r w:rsidRPr="00C64EEA">
              <w:rPr>
                <w:sz w:val="22"/>
                <w:szCs w:val="22"/>
              </w:rPr>
              <w:t>0.5</w:t>
            </w:r>
          </w:p>
        </w:tc>
      </w:tr>
      <w:tr w:rsidR="007C476B" w:rsidRPr="00B532F4" w14:paraId="73A6455E" w14:textId="77777777" w:rsidTr="00B532F4">
        <w:trPr>
          <w:trHeight w:val="288"/>
          <w:jc w:val="center"/>
        </w:trPr>
        <w:tc>
          <w:tcPr>
            <w:tcW w:w="3135" w:type="dxa"/>
            <w:noWrap/>
            <w:vAlign w:val="bottom"/>
            <w:hideMark/>
          </w:tcPr>
          <w:p w14:paraId="101003C1" w14:textId="77777777" w:rsidR="007C476B" w:rsidRPr="00C64EEA" w:rsidRDefault="007C476B" w:rsidP="004623DD">
            <w:pPr>
              <w:rPr>
                <w:b/>
                <w:sz w:val="22"/>
                <w:szCs w:val="22"/>
              </w:rPr>
            </w:pPr>
            <w:r w:rsidRPr="00C64EEA">
              <w:rPr>
                <w:b/>
                <w:sz w:val="22"/>
                <w:szCs w:val="22"/>
              </w:rPr>
              <w:t>Ukupni specifični trošak (4 sata)</w:t>
            </w:r>
          </w:p>
        </w:tc>
        <w:tc>
          <w:tcPr>
            <w:tcW w:w="1169" w:type="dxa"/>
            <w:noWrap/>
            <w:vAlign w:val="bottom"/>
            <w:hideMark/>
          </w:tcPr>
          <w:p w14:paraId="516CB337" w14:textId="77777777" w:rsidR="007C476B" w:rsidRPr="00C64EEA" w:rsidRDefault="007C476B" w:rsidP="004623DD">
            <w:pPr>
              <w:rPr>
                <w:sz w:val="22"/>
                <w:szCs w:val="22"/>
              </w:rPr>
            </w:pPr>
            <w:r w:rsidRPr="00C64EEA">
              <w:rPr>
                <w:sz w:val="22"/>
                <w:szCs w:val="22"/>
              </w:rPr>
              <w:t>EUR/kW</w:t>
            </w:r>
          </w:p>
        </w:tc>
        <w:tc>
          <w:tcPr>
            <w:tcW w:w="799" w:type="dxa"/>
            <w:noWrap/>
            <w:vAlign w:val="bottom"/>
            <w:hideMark/>
          </w:tcPr>
          <w:p w14:paraId="52243659" w14:textId="38AE500D" w:rsidR="007C476B" w:rsidRPr="00C64EEA" w:rsidRDefault="007C476B" w:rsidP="00B532F4">
            <w:pPr>
              <w:jc w:val="right"/>
              <w:rPr>
                <w:sz w:val="22"/>
                <w:szCs w:val="22"/>
              </w:rPr>
            </w:pPr>
            <w:r w:rsidRPr="00C64EEA">
              <w:rPr>
                <w:sz w:val="22"/>
                <w:szCs w:val="22"/>
              </w:rPr>
              <w:t>1</w:t>
            </w:r>
            <w:r w:rsidR="00283527">
              <w:rPr>
                <w:sz w:val="22"/>
                <w:szCs w:val="22"/>
              </w:rPr>
              <w:t>.</w:t>
            </w:r>
            <w:r w:rsidRPr="00C64EEA">
              <w:rPr>
                <w:sz w:val="22"/>
                <w:szCs w:val="22"/>
              </w:rPr>
              <w:t>3</w:t>
            </w:r>
            <w:r w:rsidR="00F45B3F" w:rsidRPr="00C64EEA">
              <w:rPr>
                <w:sz w:val="22"/>
                <w:szCs w:val="22"/>
              </w:rPr>
              <w:t>11</w:t>
            </w:r>
          </w:p>
        </w:tc>
        <w:tc>
          <w:tcPr>
            <w:tcW w:w="708" w:type="dxa"/>
            <w:noWrap/>
            <w:vAlign w:val="bottom"/>
            <w:hideMark/>
          </w:tcPr>
          <w:p w14:paraId="5245C75A" w14:textId="71758358" w:rsidR="007C476B" w:rsidRPr="00C64EEA" w:rsidRDefault="007C476B" w:rsidP="00B532F4">
            <w:pPr>
              <w:jc w:val="right"/>
              <w:rPr>
                <w:sz w:val="22"/>
                <w:szCs w:val="22"/>
              </w:rPr>
            </w:pPr>
            <w:r w:rsidRPr="00C64EEA">
              <w:rPr>
                <w:sz w:val="22"/>
                <w:szCs w:val="22"/>
              </w:rPr>
              <w:t>99</w:t>
            </w:r>
            <w:r w:rsidR="00C24C34" w:rsidRPr="00C64EEA">
              <w:rPr>
                <w:sz w:val="22"/>
                <w:szCs w:val="22"/>
              </w:rPr>
              <w:t>5</w:t>
            </w:r>
          </w:p>
        </w:tc>
        <w:tc>
          <w:tcPr>
            <w:tcW w:w="709" w:type="dxa"/>
            <w:noWrap/>
            <w:vAlign w:val="bottom"/>
            <w:hideMark/>
          </w:tcPr>
          <w:p w14:paraId="59FDAB6C" w14:textId="443CC213" w:rsidR="007C476B" w:rsidRPr="00C64EEA" w:rsidRDefault="007C476B" w:rsidP="00B532F4">
            <w:pPr>
              <w:jc w:val="right"/>
              <w:rPr>
                <w:sz w:val="22"/>
                <w:szCs w:val="22"/>
              </w:rPr>
            </w:pPr>
            <w:r w:rsidRPr="00C64EEA">
              <w:rPr>
                <w:sz w:val="22"/>
                <w:szCs w:val="22"/>
              </w:rPr>
              <w:t>54</w:t>
            </w:r>
            <w:r w:rsidR="00C24C34" w:rsidRPr="00C64EEA">
              <w:rPr>
                <w:sz w:val="22"/>
                <w:szCs w:val="22"/>
              </w:rPr>
              <w:t>4</w:t>
            </w:r>
          </w:p>
        </w:tc>
      </w:tr>
    </w:tbl>
    <w:p w14:paraId="0198C61F" w14:textId="073CABC5" w:rsidR="007C476B" w:rsidRPr="00B47BDA" w:rsidRDefault="007C476B" w:rsidP="00A24873">
      <w:pPr>
        <w:spacing w:before="240"/>
      </w:pPr>
      <w:r w:rsidRPr="00B47BDA">
        <w:t>Pretpostavljeno je da su sustavi za individualno spremanje (tj. na strani krajnjeg korisnika) najmanje 20</w:t>
      </w:r>
      <w:r w:rsidR="00B23448" w:rsidRPr="00B47BDA">
        <w:t xml:space="preserve"> </w:t>
      </w:r>
      <w:r w:rsidRPr="00B47BDA">
        <w:t>% skuplji u odnosu na baterije velikih kapaciteta spremanja (na razini sustava). Moguća je izgradnja baterija na svim naponskih razinama.</w:t>
      </w:r>
    </w:p>
    <w:p w14:paraId="5CF53B1F" w14:textId="77777777" w:rsidR="007C476B" w:rsidRPr="00B47BDA" w:rsidRDefault="007C476B" w:rsidP="007327CD">
      <w:pPr>
        <w:pStyle w:val="Heading5"/>
      </w:pPr>
      <w:r w:rsidRPr="00B47BDA">
        <w:t>Tehnologije za proizvodnju vodika</w:t>
      </w:r>
    </w:p>
    <w:p w14:paraId="46EA0661" w14:textId="3D8BE0F1" w:rsidR="007C476B" w:rsidRPr="00B47BDA" w:rsidRDefault="007C476B" w:rsidP="004623DD">
      <w:r w:rsidRPr="00B47BDA">
        <w:t xml:space="preserve">Za proizvodnju vodika, pretpostavljeno je da će sve količine biti proizvedene postupkom elektrolize. Očekivani troškovi ovakvog postrojenja prikazani su u </w:t>
      </w:r>
      <w:r w:rsidR="002B5024" w:rsidRPr="00B47BDA">
        <w:t>sljedećoj tablici</w:t>
      </w:r>
      <w:r w:rsidRPr="00B47BDA">
        <w:t>. Potrebno je predvidjeti i troškove spremnika za vodik te su prikazani iznosi uvećani za 20</w:t>
      </w:r>
      <w:r w:rsidR="001D0307">
        <w:t xml:space="preserve"> </w:t>
      </w:r>
      <w:r w:rsidRPr="00B47BDA">
        <w:t>%.</w:t>
      </w:r>
    </w:p>
    <w:p w14:paraId="1B038EAF" w14:textId="094B1150" w:rsidR="007C476B" w:rsidRPr="00B47BDA" w:rsidRDefault="000C3EFD" w:rsidP="004623DD">
      <w:pPr>
        <w:pStyle w:val="Caption"/>
      </w:pPr>
      <w:bookmarkStart w:id="530" w:name="_Toc193035959"/>
      <w:bookmarkStart w:id="531" w:name="_Hlk184906196"/>
      <w:r w:rsidRPr="00B47BDA">
        <w:t xml:space="preserve">Tablica </w:t>
      </w:r>
      <w:r>
        <w:fldChar w:fldCharType="begin"/>
      </w:r>
      <w:r>
        <w:instrText>STYLEREF 1 \s</w:instrText>
      </w:r>
      <w:r>
        <w:fldChar w:fldCharType="separate"/>
      </w:r>
      <w:r w:rsidR="00AD324D">
        <w:rPr>
          <w:noProof/>
        </w:rPr>
        <w:t>4</w:t>
      </w:r>
      <w:r>
        <w:fldChar w:fldCharType="end"/>
      </w:r>
      <w:r w:rsidRPr="00B47BDA">
        <w:noBreakHyphen/>
      </w:r>
      <w:r>
        <w:fldChar w:fldCharType="begin"/>
      </w:r>
      <w:r>
        <w:instrText>SEQ Tablica \* ARABIC \s 1</w:instrText>
      </w:r>
      <w:r>
        <w:fldChar w:fldCharType="separate"/>
      </w:r>
      <w:r w:rsidR="008138CC">
        <w:rPr>
          <w:noProof/>
        </w:rPr>
        <w:t>8</w:t>
      </w:r>
      <w:r>
        <w:fldChar w:fldCharType="end"/>
      </w:r>
      <w:r w:rsidR="007C476B" w:rsidRPr="00B47BDA">
        <w:t>. Specifična ulaganja u postrojenja za proizvodnju vodika (elektroliza)</w:t>
      </w:r>
      <w:bookmarkEnd w:id="530"/>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521"/>
        <w:gridCol w:w="1173"/>
        <w:gridCol w:w="1134"/>
        <w:gridCol w:w="1134"/>
      </w:tblGrid>
      <w:tr w:rsidR="007C476B" w:rsidRPr="00B532F4" w14:paraId="2524BE76" w14:textId="77777777" w:rsidTr="63259912">
        <w:trPr>
          <w:trHeight w:val="288"/>
          <w:jc w:val="center"/>
        </w:trPr>
        <w:tc>
          <w:tcPr>
            <w:tcW w:w="3402" w:type="dxa"/>
            <w:shd w:val="clear" w:color="auto" w:fill="D9E2F3" w:themeFill="accent5" w:themeFillTint="33"/>
            <w:noWrap/>
            <w:vAlign w:val="center"/>
            <w:hideMark/>
          </w:tcPr>
          <w:bookmarkEnd w:id="531"/>
          <w:p w14:paraId="72858213" w14:textId="77777777" w:rsidR="007C476B" w:rsidRPr="00C64EEA" w:rsidRDefault="007C476B" w:rsidP="004623DD">
            <w:pPr>
              <w:rPr>
                <w:sz w:val="22"/>
                <w:szCs w:val="22"/>
              </w:rPr>
            </w:pPr>
            <w:r w:rsidRPr="00C64EEA">
              <w:rPr>
                <w:sz w:val="22"/>
                <w:szCs w:val="22"/>
              </w:rPr>
              <w:t>Stavka</w:t>
            </w:r>
          </w:p>
        </w:tc>
        <w:tc>
          <w:tcPr>
            <w:tcW w:w="1521" w:type="dxa"/>
            <w:shd w:val="clear" w:color="auto" w:fill="D9E2F3" w:themeFill="accent5" w:themeFillTint="33"/>
            <w:noWrap/>
            <w:vAlign w:val="center"/>
            <w:hideMark/>
          </w:tcPr>
          <w:p w14:paraId="06DBFD14" w14:textId="77777777" w:rsidR="007C476B" w:rsidRPr="00C64EEA" w:rsidRDefault="007C476B" w:rsidP="00B532F4">
            <w:pPr>
              <w:jc w:val="center"/>
              <w:rPr>
                <w:b/>
                <w:sz w:val="22"/>
                <w:szCs w:val="22"/>
              </w:rPr>
            </w:pPr>
            <w:r w:rsidRPr="00C64EEA">
              <w:rPr>
                <w:b/>
                <w:sz w:val="22"/>
                <w:szCs w:val="22"/>
              </w:rPr>
              <w:t>Jedinica</w:t>
            </w:r>
          </w:p>
        </w:tc>
        <w:tc>
          <w:tcPr>
            <w:tcW w:w="1173" w:type="dxa"/>
            <w:shd w:val="clear" w:color="auto" w:fill="D9E2F3" w:themeFill="accent5" w:themeFillTint="33"/>
            <w:noWrap/>
            <w:vAlign w:val="center"/>
            <w:hideMark/>
          </w:tcPr>
          <w:p w14:paraId="4088AA94" w14:textId="77777777" w:rsidR="007C476B" w:rsidRPr="00C64EEA" w:rsidRDefault="007C476B" w:rsidP="00B532F4">
            <w:pPr>
              <w:jc w:val="center"/>
              <w:rPr>
                <w:b/>
                <w:sz w:val="22"/>
                <w:szCs w:val="22"/>
              </w:rPr>
            </w:pPr>
            <w:r w:rsidRPr="00C64EEA">
              <w:rPr>
                <w:b/>
                <w:sz w:val="22"/>
                <w:szCs w:val="22"/>
              </w:rPr>
              <w:t>2020.</w:t>
            </w:r>
          </w:p>
        </w:tc>
        <w:tc>
          <w:tcPr>
            <w:tcW w:w="1134" w:type="dxa"/>
            <w:shd w:val="clear" w:color="auto" w:fill="D9E2F3" w:themeFill="accent5" w:themeFillTint="33"/>
            <w:noWrap/>
            <w:vAlign w:val="center"/>
            <w:hideMark/>
          </w:tcPr>
          <w:p w14:paraId="5604C016" w14:textId="77777777" w:rsidR="007C476B" w:rsidRPr="00C64EEA" w:rsidRDefault="007C476B" w:rsidP="00B532F4">
            <w:pPr>
              <w:jc w:val="center"/>
              <w:rPr>
                <w:b/>
                <w:sz w:val="22"/>
                <w:szCs w:val="22"/>
              </w:rPr>
            </w:pPr>
            <w:r w:rsidRPr="00C64EEA">
              <w:rPr>
                <w:b/>
                <w:sz w:val="22"/>
                <w:szCs w:val="22"/>
              </w:rPr>
              <w:t>2030.</w:t>
            </w:r>
          </w:p>
        </w:tc>
        <w:tc>
          <w:tcPr>
            <w:tcW w:w="1134" w:type="dxa"/>
            <w:shd w:val="clear" w:color="auto" w:fill="D9E2F3" w:themeFill="accent5" w:themeFillTint="33"/>
            <w:noWrap/>
            <w:vAlign w:val="center"/>
            <w:hideMark/>
          </w:tcPr>
          <w:p w14:paraId="0F4A0168" w14:textId="77777777" w:rsidR="007C476B" w:rsidRPr="00C64EEA" w:rsidRDefault="007C476B" w:rsidP="00B532F4">
            <w:pPr>
              <w:jc w:val="center"/>
              <w:rPr>
                <w:b/>
                <w:sz w:val="22"/>
                <w:szCs w:val="22"/>
              </w:rPr>
            </w:pPr>
            <w:r w:rsidRPr="00C64EEA">
              <w:rPr>
                <w:b/>
                <w:sz w:val="22"/>
                <w:szCs w:val="22"/>
              </w:rPr>
              <w:t>2050.</w:t>
            </w:r>
          </w:p>
        </w:tc>
      </w:tr>
      <w:tr w:rsidR="007C476B" w:rsidRPr="00B532F4" w14:paraId="56FB1652" w14:textId="77777777" w:rsidTr="63259912">
        <w:trPr>
          <w:trHeight w:val="288"/>
          <w:jc w:val="center"/>
        </w:trPr>
        <w:tc>
          <w:tcPr>
            <w:tcW w:w="3402" w:type="dxa"/>
            <w:noWrap/>
            <w:vAlign w:val="center"/>
            <w:hideMark/>
          </w:tcPr>
          <w:p w14:paraId="0DAB79E1" w14:textId="77777777" w:rsidR="007C476B" w:rsidRPr="00C64EEA" w:rsidRDefault="007C476B" w:rsidP="004623DD">
            <w:pPr>
              <w:rPr>
                <w:sz w:val="22"/>
                <w:szCs w:val="22"/>
              </w:rPr>
            </w:pPr>
            <w:r w:rsidRPr="00C64EEA">
              <w:rPr>
                <w:sz w:val="22"/>
                <w:szCs w:val="22"/>
              </w:rPr>
              <w:t>CAPEX (na razini ulaza u tehnologiju)</w:t>
            </w:r>
          </w:p>
        </w:tc>
        <w:tc>
          <w:tcPr>
            <w:tcW w:w="1521" w:type="dxa"/>
            <w:noWrap/>
            <w:vAlign w:val="center"/>
            <w:hideMark/>
          </w:tcPr>
          <w:p w14:paraId="066F6B62" w14:textId="77777777" w:rsidR="007C476B" w:rsidRPr="00C64EEA" w:rsidRDefault="007C476B" w:rsidP="63259912">
            <w:pPr>
              <w:rPr>
                <w:sz w:val="22"/>
                <w:szCs w:val="22"/>
              </w:rPr>
            </w:pPr>
            <w:r w:rsidRPr="63259912">
              <w:rPr>
                <w:sz w:val="22"/>
                <w:szCs w:val="22"/>
              </w:rPr>
              <w:t>EUR2020/kWe</w:t>
            </w:r>
          </w:p>
        </w:tc>
        <w:tc>
          <w:tcPr>
            <w:tcW w:w="1173" w:type="dxa"/>
            <w:noWrap/>
            <w:vAlign w:val="center"/>
            <w:hideMark/>
          </w:tcPr>
          <w:p w14:paraId="7B773C61" w14:textId="77777777" w:rsidR="007C476B" w:rsidRPr="00C64EEA" w:rsidRDefault="007C476B" w:rsidP="00B532F4">
            <w:pPr>
              <w:jc w:val="center"/>
              <w:rPr>
                <w:sz w:val="22"/>
                <w:szCs w:val="22"/>
              </w:rPr>
            </w:pPr>
            <w:r w:rsidRPr="00C64EEA">
              <w:rPr>
                <w:sz w:val="22"/>
                <w:szCs w:val="22"/>
              </w:rPr>
              <w:t>836</w:t>
            </w:r>
          </w:p>
        </w:tc>
        <w:tc>
          <w:tcPr>
            <w:tcW w:w="1134" w:type="dxa"/>
            <w:noWrap/>
            <w:vAlign w:val="center"/>
            <w:hideMark/>
          </w:tcPr>
          <w:p w14:paraId="285454C5" w14:textId="77777777" w:rsidR="007C476B" w:rsidRPr="00C64EEA" w:rsidRDefault="007C476B" w:rsidP="00B532F4">
            <w:pPr>
              <w:jc w:val="center"/>
              <w:rPr>
                <w:sz w:val="22"/>
                <w:szCs w:val="22"/>
              </w:rPr>
            </w:pPr>
            <w:r w:rsidRPr="00C64EEA">
              <w:rPr>
                <w:sz w:val="22"/>
                <w:szCs w:val="22"/>
              </w:rPr>
              <w:t>650</w:t>
            </w:r>
          </w:p>
        </w:tc>
        <w:tc>
          <w:tcPr>
            <w:tcW w:w="1134" w:type="dxa"/>
            <w:noWrap/>
            <w:vAlign w:val="center"/>
            <w:hideMark/>
          </w:tcPr>
          <w:p w14:paraId="4644C309" w14:textId="77777777" w:rsidR="007C476B" w:rsidRPr="00C64EEA" w:rsidRDefault="007C476B" w:rsidP="00B532F4">
            <w:pPr>
              <w:jc w:val="center"/>
              <w:rPr>
                <w:sz w:val="22"/>
                <w:szCs w:val="22"/>
              </w:rPr>
            </w:pPr>
            <w:r w:rsidRPr="00C64EEA">
              <w:rPr>
                <w:sz w:val="22"/>
                <w:szCs w:val="22"/>
              </w:rPr>
              <w:t>418</w:t>
            </w:r>
          </w:p>
        </w:tc>
      </w:tr>
      <w:tr w:rsidR="007C476B" w:rsidRPr="00B532F4" w14:paraId="11501E29" w14:textId="77777777" w:rsidTr="63259912">
        <w:trPr>
          <w:trHeight w:val="288"/>
          <w:jc w:val="center"/>
        </w:trPr>
        <w:tc>
          <w:tcPr>
            <w:tcW w:w="3402" w:type="dxa"/>
            <w:noWrap/>
            <w:vAlign w:val="center"/>
            <w:hideMark/>
          </w:tcPr>
          <w:p w14:paraId="799430C3" w14:textId="77777777" w:rsidR="007C476B" w:rsidRPr="00C64EEA" w:rsidRDefault="007C476B" w:rsidP="004623DD">
            <w:pPr>
              <w:rPr>
                <w:sz w:val="22"/>
                <w:szCs w:val="22"/>
              </w:rPr>
            </w:pPr>
            <w:r w:rsidRPr="00C64EEA">
              <w:rPr>
                <w:sz w:val="22"/>
                <w:szCs w:val="22"/>
              </w:rPr>
              <w:t>Učinkovitost (NCV)</w:t>
            </w:r>
          </w:p>
        </w:tc>
        <w:tc>
          <w:tcPr>
            <w:tcW w:w="1521" w:type="dxa"/>
            <w:noWrap/>
            <w:vAlign w:val="center"/>
            <w:hideMark/>
          </w:tcPr>
          <w:p w14:paraId="451F9509" w14:textId="77777777" w:rsidR="007C476B" w:rsidRPr="00C64EEA" w:rsidRDefault="007C476B" w:rsidP="004623DD">
            <w:pPr>
              <w:rPr>
                <w:sz w:val="22"/>
                <w:szCs w:val="22"/>
              </w:rPr>
            </w:pPr>
            <w:r w:rsidRPr="00C64EEA">
              <w:rPr>
                <w:sz w:val="22"/>
                <w:szCs w:val="22"/>
              </w:rPr>
              <w:t>%</w:t>
            </w:r>
          </w:p>
        </w:tc>
        <w:tc>
          <w:tcPr>
            <w:tcW w:w="1173" w:type="dxa"/>
            <w:noWrap/>
            <w:vAlign w:val="center"/>
            <w:hideMark/>
          </w:tcPr>
          <w:p w14:paraId="67A55F32" w14:textId="77777777" w:rsidR="007C476B" w:rsidRPr="00C64EEA" w:rsidRDefault="007C476B" w:rsidP="00B532F4">
            <w:pPr>
              <w:jc w:val="center"/>
              <w:rPr>
                <w:sz w:val="22"/>
                <w:szCs w:val="22"/>
              </w:rPr>
            </w:pPr>
            <w:r w:rsidRPr="00C64EEA">
              <w:rPr>
                <w:sz w:val="22"/>
                <w:szCs w:val="22"/>
              </w:rPr>
              <w:t>64</w:t>
            </w:r>
          </w:p>
        </w:tc>
        <w:tc>
          <w:tcPr>
            <w:tcW w:w="1134" w:type="dxa"/>
            <w:noWrap/>
            <w:vAlign w:val="center"/>
            <w:hideMark/>
          </w:tcPr>
          <w:p w14:paraId="4E41F4B4" w14:textId="77777777" w:rsidR="007C476B" w:rsidRPr="00C64EEA" w:rsidRDefault="007C476B" w:rsidP="00B532F4">
            <w:pPr>
              <w:jc w:val="center"/>
              <w:rPr>
                <w:sz w:val="22"/>
                <w:szCs w:val="22"/>
              </w:rPr>
            </w:pPr>
            <w:r w:rsidRPr="00C64EEA">
              <w:rPr>
                <w:sz w:val="22"/>
                <w:szCs w:val="22"/>
              </w:rPr>
              <w:t>69</w:t>
            </w:r>
          </w:p>
        </w:tc>
        <w:tc>
          <w:tcPr>
            <w:tcW w:w="1134" w:type="dxa"/>
            <w:noWrap/>
            <w:vAlign w:val="center"/>
            <w:hideMark/>
          </w:tcPr>
          <w:p w14:paraId="53557AAD" w14:textId="77777777" w:rsidR="007C476B" w:rsidRPr="00C64EEA" w:rsidRDefault="007C476B" w:rsidP="00B532F4">
            <w:pPr>
              <w:jc w:val="center"/>
              <w:rPr>
                <w:sz w:val="22"/>
                <w:szCs w:val="22"/>
              </w:rPr>
            </w:pPr>
            <w:r w:rsidRPr="00C64EEA">
              <w:rPr>
                <w:sz w:val="22"/>
                <w:szCs w:val="22"/>
              </w:rPr>
              <w:t>74</w:t>
            </w:r>
          </w:p>
        </w:tc>
      </w:tr>
      <w:tr w:rsidR="007C476B" w:rsidRPr="00B532F4" w14:paraId="1D0F3CB6" w14:textId="77777777" w:rsidTr="63259912">
        <w:trPr>
          <w:trHeight w:val="288"/>
          <w:jc w:val="center"/>
        </w:trPr>
        <w:tc>
          <w:tcPr>
            <w:tcW w:w="3402" w:type="dxa"/>
            <w:noWrap/>
            <w:vAlign w:val="center"/>
            <w:hideMark/>
          </w:tcPr>
          <w:p w14:paraId="49A1C02B" w14:textId="77777777" w:rsidR="007C476B" w:rsidRPr="00C64EEA" w:rsidRDefault="007C476B" w:rsidP="004623DD">
            <w:pPr>
              <w:rPr>
                <w:sz w:val="22"/>
                <w:szCs w:val="22"/>
              </w:rPr>
            </w:pPr>
            <w:r w:rsidRPr="00C64EEA">
              <w:rPr>
                <w:sz w:val="22"/>
                <w:szCs w:val="22"/>
              </w:rPr>
              <w:t>OPEX (5 u odnosu na CAPEX)</w:t>
            </w:r>
          </w:p>
        </w:tc>
        <w:tc>
          <w:tcPr>
            <w:tcW w:w="1521" w:type="dxa"/>
            <w:noWrap/>
            <w:vAlign w:val="center"/>
            <w:hideMark/>
          </w:tcPr>
          <w:p w14:paraId="5D561114" w14:textId="77777777" w:rsidR="007C476B" w:rsidRPr="00C64EEA" w:rsidRDefault="007C476B" w:rsidP="004623DD">
            <w:pPr>
              <w:rPr>
                <w:sz w:val="22"/>
                <w:szCs w:val="22"/>
              </w:rPr>
            </w:pPr>
            <w:r w:rsidRPr="00C64EEA">
              <w:rPr>
                <w:sz w:val="22"/>
                <w:szCs w:val="22"/>
              </w:rPr>
              <w:t>%</w:t>
            </w:r>
          </w:p>
        </w:tc>
        <w:tc>
          <w:tcPr>
            <w:tcW w:w="1173" w:type="dxa"/>
            <w:noWrap/>
            <w:vAlign w:val="center"/>
            <w:hideMark/>
          </w:tcPr>
          <w:p w14:paraId="49DA15D7" w14:textId="77777777" w:rsidR="007C476B" w:rsidRPr="00C64EEA" w:rsidRDefault="007C476B" w:rsidP="00B532F4">
            <w:pPr>
              <w:jc w:val="center"/>
              <w:rPr>
                <w:sz w:val="22"/>
                <w:szCs w:val="22"/>
              </w:rPr>
            </w:pPr>
            <w:r w:rsidRPr="00C64EEA">
              <w:rPr>
                <w:sz w:val="22"/>
                <w:szCs w:val="22"/>
              </w:rPr>
              <w:t>1.5</w:t>
            </w:r>
          </w:p>
        </w:tc>
        <w:tc>
          <w:tcPr>
            <w:tcW w:w="1134" w:type="dxa"/>
            <w:noWrap/>
            <w:vAlign w:val="center"/>
            <w:hideMark/>
          </w:tcPr>
          <w:p w14:paraId="4E84B052" w14:textId="77777777" w:rsidR="007C476B" w:rsidRPr="00C64EEA" w:rsidRDefault="007C476B" w:rsidP="00B532F4">
            <w:pPr>
              <w:jc w:val="center"/>
              <w:rPr>
                <w:sz w:val="22"/>
                <w:szCs w:val="22"/>
              </w:rPr>
            </w:pPr>
            <w:r w:rsidRPr="00C64EEA">
              <w:rPr>
                <w:sz w:val="22"/>
                <w:szCs w:val="22"/>
              </w:rPr>
              <w:t>1.5</w:t>
            </w:r>
          </w:p>
        </w:tc>
        <w:tc>
          <w:tcPr>
            <w:tcW w:w="1134" w:type="dxa"/>
            <w:noWrap/>
            <w:vAlign w:val="center"/>
            <w:hideMark/>
          </w:tcPr>
          <w:p w14:paraId="536D241D" w14:textId="77777777" w:rsidR="007C476B" w:rsidRPr="00C64EEA" w:rsidRDefault="007C476B" w:rsidP="00B532F4">
            <w:pPr>
              <w:jc w:val="center"/>
              <w:rPr>
                <w:sz w:val="22"/>
                <w:szCs w:val="22"/>
              </w:rPr>
            </w:pPr>
            <w:r w:rsidRPr="00C64EEA">
              <w:rPr>
                <w:sz w:val="22"/>
                <w:szCs w:val="22"/>
              </w:rPr>
              <w:t>1.5</w:t>
            </w:r>
          </w:p>
        </w:tc>
      </w:tr>
      <w:tr w:rsidR="007C476B" w:rsidRPr="00B532F4" w14:paraId="75EA13B1" w14:textId="77777777" w:rsidTr="63259912">
        <w:trPr>
          <w:trHeight w:val="288"/>
          <w:jc w:val="center"/>
        </w:trPr>
        <w:tc>
          <w:tcPr>
            <w:tcW w:w="3402" w:type="dxa"/>
            <w:noWrap/>
            <w:vAlign w:val="center"/>
            <w:hideMark/>
          </w:tcPr>
          <w:p w14:paraId="6C98D33A" w14:textId="77777777" w:rsidR="007C476B" w:rsidRPr="00C64EEA" w:rsidRDefault="007C476B" w:rsidP="63259912">
            <w:pPr>
              <w:rPr>
                <w:sz w:val="22"/>
                <w:szCs w:val="22"/>
              </w:rPr>
            </w:pPr>
            <w:r w:rsidRPr="63259912">
              <w:rPr>
                <w:sz w:val="22"/>
                <w:szCs w:val="22"/>
              </w:rPr>
              <w:lastRenderedPageBreak/>
              <w:t>“Stack” životni vijek</w:t>
            </w:r>
          </w:p>
        </w:tc>
        <w:tc>
          <w:tcPr>
            <w:tcW w:w="1521" w:type="dxa"/>
            <w:noWrap/>
            <w:vAlign w:val="center"/>
            <w:hideMark/>
          </w:tcPr>
          <w:p w14:paraId="3DEC525B" w14:textId="77777777" w:rsidR="007C476B" w:rsidRPr="00C64EEA" w:rsidRDefault="007C476B" w:rsidP="004623DD">
            <w:pPr>
              <w:rPr>
                <w:sz w:val="22"/>
                <w:szCs w:val="22"/>
              </w:rPr>
            </w:pPr>
            <w:r w:rsidRPr="00C64EEA">
              <w:rPr>
                <w:sz w:val="22"/>
                <w:szCs w:val="22"/>
              </w:rPr>
              <w:t>sati rada</w:t>
            </w:r>
          </w:p>
        </w:tc>
        <w:tc>
          <w:tcPr>
            <w:tcW w:w="1173" w:type="dxa"/>
            <w:noWrap/>
            <w:vAlign w:val="center"/>
            <w:hideMark/>
          </w:tcPr>
          <w:p w14:paraId="2E203152" w14:textId="77777777" w:rsidR="007C476B" w:rsidRPr="00C64EEA" w:rsidRDefault="007C476B" w:rsidP="00B532F4">
            <w:pPr>
              <w:jc w:val="center"/>
              <w:rPr>
                <w:sz w:val="22"/>
                <w:szCs w:val="22"/>
              </w:rPr>
            </w:pPr>
            <w:r w:rsidRPr="00C64EEA">
              <w:rPr>
                <w:sz w:val="22"/>
                <w:szCs w:val="22"/>
              </w:rPr>
              <w:t>95 tisuća</w:t>
            </w:r>
          </w:p>
        </w:tc>
        <w:tc>
          <w:tcPr>
            <w:tcW w:w="1134" w:type="dxa"/>
            <w:noWrap/>
            <w:vAlign w:val="center"/>
            <w:hideMark/>
          </w:tcPr>
          <w:p w14:paraId="2410DC79" w14:textId="77777777" w:rsidR="007C476B" w:rsidRPr="00C64EEA" w:rsidRDefault="007C476B" w:rsidP="00B532F4">
            <w:pPr>
              <w:jc w:val="center"/>
              <w:rPr>
                <w:sz w:val="22"/>
                <w:szCs w:val="22"/>
              </w:rPr>
            </w:pPr>
            <w:r w:rsidRPr="00C64EEA">
              <w:rPr>
                <w:sz w:val="22"/>
                <w:szCs w:val="22"/>
              </w:rPr>
              <w:t>95 tisuća</w:t>
            </w:r>
          </w:p>
        </w:tc>
        <w:tc>
          <w:tcPr>
            <w:tcW w:w="1134" w:type="dxa"/>
            <w:noWrap/>
            <w:vAlign w:val="center"/>
            <w:hideMark/>
          </w:tcPr>
          <w:p w14:paraId="35E6E4F3" w14:textId="77777777" w:rsidR="007C476B" w:rsidRPr="00C64EEA" w:rsidRDefault="007C476B" w:rsidP="00B532F4">
            <w:pPr>
              <w:jc w:val="center"/>
              <w:rPr>
                <w:sz w:val="22"/>
                <w:szCs w:val="22"/>
              </w:rPr>
            </w:pPr>
            <w:r w:rsidRPr="00C64EEA">
              <w:rPr>
                <w:sz w:val="22"/>
                <w:szCs w:val="22"/>
              </w:rPr>
              <w:t>100 tisuća</w:t>
            </w:r>
          </w:p>
        </w:tc>
      </w:tr>
    </w:tbl>
    <w:p w14:paraId="30027034" w14:textId="2E61DACE" w:rsidR="00A24873" w:rsidRDefault="007C476B" w:rsidP="004623DD">
      <w:pPr>
        <w:pStyle w:val="Slike"/>
      </w:pPr>
      <w:r w:rsidRPr="63259912">
        <w:t>Izvor: IEA G20 Hydrogen report: Assumptions, Revised version, December 2020</w:t>
      </w:r>
    </w:p>
    <w:p w14:paraId="7B13D7B7" w14:textId="77777777" w:rsidR="00A24873" w:rsidRDefault="00A24873">
      <w:pPr>
        <w:spacing w:after="0"/>
        <w:rPr>
          <w:bCs/>
          <w:i/>
          <w:sz w:val="20"/>
          <w:szCs w:val="20"/>
        </w:rPr>
      </w:pPr>
      <w:r>
        <w:br w:type="page"/>
      </w:r>
    </w:p>
    <w:p w14:paraId="167DF49F" w14:textId="09B58BCC" w:rsidR="00C21988" w:rsidRPr="00B47BDA" w:rsidRDefault="004E40FF" w:rsidP="63259912">
      <w:pPr>
        <w:pStyle w:val="Heading2"/>
      </w:pPr>
      <w:bookmarkStart w:id="532" w:name="_Toc531935170"/>
      <w:bookmarkStart w:id="533" w:name="_Toc531945120"/>
      <w:bookmarkStart w:id="534" w:name="_Toc6302378"/>
      <w:r w:rsidRPr="00B47BDA">
        <w:lastRenderedPageBreak/>
        <w:tab/>
      </w:r>
      <w:bookmarkStart w:id="535" w:name="_Toc187418359"/>
      <w:bookmarkStart w:id="536" w:name="_Toc193043284"/>
      <w:r w:rsidR="00C21988" w:rsidRPr="63259912">
        <w:t xml:space="preserve">Dimenzija: </w:t>
      </w:r>
      <w:r w:rsidR="007E1352" w:rsidRPr="63259912">
        <w:t>d</w:t>
      </w:r>
      <w:r w:rsidR="00C21988" w:rsidRPr="63259912">
        <w:t>ekarbonizacija</w:t>
      </w:r>
      <w:bookmarkEnd w:id="532"/>
      <w:bookmarkEnd w:id="533"/>
      <w:bookmarkEnd w:id="534"/>
      <w:bookmarkEnd w:id="535"/>
      <w:bookmarkEnd w:id="536"/>
    </w:p>
    <w:p w14:paraId="791E253D" w14:textId="35FD01D1" w:rsidR="00C21988" w:rsidRPr="00B47BDA" w:rsidRDefault="00C21988" w:rsidP="005C2C7E">
      <w:pPr>
        <w:pStyle w:val="Heading3"/>
        <w:numPr>
          <w:ilvl w:val="2"/>
          <w:numId w:val="175"/>
        </w:numPr>
      </w:pPr>
      <w:bookmarkStart w:id="537" w:name="_Toc531935171"/>
      <w:bookmarkStart w:id="538" w:name="_Toc531945121"/>
      <w:bookmarkStart w:id="539" w:name="_Toc6302379"/>
      <w:bookmarkStart w:id="540" w:name="_Toc187418360"/>
      <w:bookmarkStart w:id="541" w:name="_Toc193043285"/>
      <w:r w:rsidRPr="00B47BDA">
        <w:t>Emisije i uklanjanja stakleničkih plinova</w:t>
      </w:r>
      <w:bookmarkEnd w:id="537"/>
      <w:bookmarkEnd w:id="538"/>
      <w:bookmarkEnd w:id="539"/>
      <w:bookmarkEnd w:id="540"/>
      <w:bookmarkEnd w:id="541"/>
    </w:p>
    <w:p w14:paraId="14879F2E" w14:textId="3A55D0B1" w:rsidR="00C21988" w:rsidRDefault="00693F29" w:rsidP="005C2C7E">
      <w:pPr>
        <w:pStyle w:val="Heading4"/>
        <w:numPr>
          <w:ilvl w:val="3"/>
          <w:numId w:val="175"/>
        </w:numPr>
        <w:ind w:hanging="580"/>
      </w:pPr>
      <w:r w:rsidRPr="00B47BDA">
        <w:t xml:space="preserve">Trendovi u trenutačnim emisijama i uklanjanjima stakleničkih plinova u okviru EU ETS-a, sektora </w:t>
      </w:r>
      <w:r w:rsidR="00BC2B87">
        <w:t>izvan EU sustava trgovanja</w:t>
      </w:r>
      <w:r w:rsidR="00BC2B87" w:rsidRPr="00B47BDA" w:rsidDel="00BC2B87">
        <w:t xml:space="preserve"> </w:t>
      </w:r>
      <w:r w:rsidRPr="00B47BDA">
        <w:t>i LULUCF-om i u okviru drugih energetskih sektora</w:t>
      </w:r>
    </w:p>
    <w:p w14:paraId="2286D72C" w14:textId="6864EF9E" w:rsidR="00C755A1" w:rsidRPr="006D06FD" w:rsidRDefault="00C755A1" w:rsidP="00C755A1">
      <w:r w:rsidRPr="63259912">
        <w:t>Zadnje dostupni podaci iz Izvješća o inventaru emisija stakleničkih plinova za 2022. godinu (NIR2024) i EU izvješća o napretku klimatskih djelovanja (</w:t>
      </w:r>
      <w:r w:rsidRPr="63259912">
        <w:rPr>
          <w:i/>
          <w:iCs/>
        </w:rPr>
        <w:t>EU Climate Action Progress Report</w:t>
      </w:r>
      <w:r w:rsidRPr="63259912">
        <w:t>) pokazuju da se Republika Hrvatska ne nalazi na putu ispunjenja definiranog cilja u sektorima obuhvaćenim raspodjelom napora (ESR sektori). U tom smislu najveći problem predstavlja povećanje emisija iz podsektora prometa u kojem je u razdoblju od 2022. do 2023. zabilježeno povećanje emisija od 9% (podaci iz NIR-a 2024 i energetske bilance za 2023. godinu). Stoga je nužno intenziviranje mjera za smanjenje emisija u prometu.</w:t>
      </w:r>
    </w:p>
    <w:p w14:paraId="29F97872" w14:textId="77777777" w:rsidR="00C755A1" w:rsidRDefault="00C755A1" w:rsidP="00C755A1">
      <w:r w:rsidRPr="63259912">
        <w:t>Osim podsektora prometa posebno se trebaju intenzivirati mjere smanjenja emisija fluoriranih stakleničkih plinova. Uklanjanja stakleničkih plinova pomoću ponora vezana su isključivo uz sektor LULUCF i iznosila su 4.867 kt CO</w:t>
      </w:r>
      <w:r w:rsidRPr="63259912">
        <w:rPr>
          <w:vertAlign w:val="subscript"/>
        </w:rPr>
        <w:t>2</w:t>
      </w:r>
      <w:r w:rsidRPr="63259912">
        <w:t xml:space="preserve"> eq u 2022. godini što je za 15,6 % manje u odnosu na 2021. godinu. Cilj LULUCF Sektora je imati uklanjanja ponorima od 5.527 kt CO</w:t>
      </w:r>
      <w:r w:rsidRPr="63259912">
        <w:rPr>
          <w:vertAlign w:val="subscript"/>
        </w:rPr>
        <w:t>2</w:t>
      </w:r>
      <w:r w:rsidRPr="63259912">
        <w:t xml:space="preserve">eq u 2030. godini. </w:t>
      </w:r>
    </w:p>
    <w:p w14:paraId="53996703" w14:textId="014F707C" w:rsidR="00C755A1" w:rsidRDefault="00C755A1" w:rsidP="00C755A1">
      <w:r>
        <w:t>Prema zadnjim podacima i taj cilj je ugrožen, a najveći razlog su povećana sječa, požari na šumskom zemljištu i travnjacima te smanjenje u kategoriji drvnih proizvoda.</w:t>
      </w:r>
    </w:p>
    <w:p w14:paraId="2687AE99" w14:textId="77777777" w:rsidR="00C755A1" w:rsidRDefault="00C755A1" w:rsidP="004623DD"/>
    <w:p w14:paraId="478C7D34" w14:textId="6CE30FC5" w:rsidR="006A1890" w:rsidRPr="00B47BDA" w:rsidRDefault="00991EB3" w:rsidP="004623DD">
      <w:r w:rsidRPr="00B47BDA">
        <w:t>Trend emisija stakleničkih plinova u Republi</w:t>
      </w:r>
      <w:r w:rsidR="00A93B86" w:rsidRPr="00B47BDA">
        <w:t>c</w:t>
      </w:r>
      <w:r w:rsidRPr="00B47BDA">
        <w:t xml:space="preserve">i Hrvatskoj </w:t>
      </w:r>
      <w:r w:rsidR="005529DC" w:rsidRPr="00B47BDA">
        <w:t xml:space="preserve">prikazuje </w:t>
      </w:r>
      <w:r w:rsidR="005529DC" w:rsidRPr="00B47BDA">
        <w:fldChar w:fldCharType="begin"/>
      </w:r>
      <w:r w:rsidR="005529DC" w:rsidRPr="00B47BDA">
        <w:rPr>
          <w:highlight w:val="yellow"/>
        </w:rPr>
        <w:instrText xml:space="preserve"> REF _Ref531870041 \h </w:instrText>
      </w:r>
      <w:r w:rsidR="0028639E" w:rsidRPr="00B47BDA">
        <w:rPr>
          <w:highlight w:val="yellow"/>
        </w:rPr>
        <w:instrText xml:space="preserve"> \* MERGEFORMAT </w:instrText>
      </w:r>
      <w:r w:rsidR="005529DC" w:rsidRPr="00B47BDA">
        <w:fldChar w:fldCharType="separate"/>
      </w:r>
      <w:r w:rsidR="00283527" w:rsidRPr="00B47BDA">
        <w:t xml:space="preserve">Slika </w:t>
      </w:r>
      <w:r w:rsidR="00283527">
        <w:t>4–</w:t>
      </w:r>
      <w:r w:rsidR="00283527">
        <w:rPr>
          <w:noProof/>
        </w:rPr>
        <w:t>3</w:t>
      </w:r>
      <w:r w:rsidR="005529DC" w:rsidRPr="00B47BDA">
        <w:fldChar w:fldCharType="end"/>
      </w:r>
      <w:r w:rsidR="00317253" w:rsidRPr="00B47BDA">
        <w:t>.</w:t>
      </w:r>
    </w:p>
    <w:p w14:paraId="54CC0B2F" w14:textId="0BA512F8" w:rsidR="00A43F0D" w:rsidRPr="00DB1553" w:rsidRDefault="005B117F" w:rsidP="005C34AB">
      <w:pPr>
        <w:jc w:val="center"/>
      </w:pPr>
      <w:r w:rsidRPr="005B117F">
        <w:rPr>
          <w:noProof/>
        </w:rPr>
        <w:drawing>
          <wp:inline distT="0" distB="0" distL="0" distR="0" wp14:anchorId="7033FC84" wp14:editId="208228C7">
            <wp:extent cx="5163055" cy="3124587"/>
            <wp:effectExtent l="0" t="0" r="0" b="0"/>
            <wp:docPr id="13262769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79355" cy="3134451"/>
                    </a:xfrm>
                    <a:prstGeom prst="rect">
                      <a:avLst/>
                    </a:prstGeom>
                    <a:noFill/>
                    <a:ln>
                      <a:noFill/>
                    </a:ln>
                  </pic:spPr>
                </pic:pic>
              </a:graphicData>
            </a:graphic>
          </wp:inline>
        </w:drawing>
      </w:r>
    </w:p>
    <w:p w14:paraId="1AAAD17B" w14:textId="00B2020D" w:rsidR="00CD2CA1" w:rsidRPr="00B47BDA" w:rsidRDefault="00CD2CA1" w:rsidP="004623DD">
      <w:pPr>
        <w:pStyle w:val="Caption"/>
      </w:pPr>
      <w:bookmarkStart w:id="542" w:name="_Ref531870041"/>
      <w:bookmarkStart w:id="543" w:name="_Toc185605252"/>
      <w:bookmarkStart w:id="544" w:name="_Toc193035898"/>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283527">
        <w:rPr>
          <w:noProof/>
        </w:rPr>
        <w:t>3</w:t>
      </w:r>
      <w:r>
        <w:fldChar w:fldCharType="end"/>
      </w:r>
      <w:bookmarkEnd w:id="542"/>
      <w:r w:rsidRPr="00B47BDA">
        <w:t>. Trend emisija stakleničkih plinova u Republici Hrvatskoj</w:t>
      </w:r>
      <w:bookmarkEnd w:id="543"/>
      <w:bookmarkEnd w:id="544"/>
    </w:p>
    <w:p w14:paraId="129D57D6" w14:textId="4BD0250C" w:rsidR="00140589" w:rsidRDefault="00140589" w:rsidP="004623DD">
      <w:r w:rsidRPr="00B47BDA">
        <w:lastRenderedPageBreak/>
        <w:t xml:space="preserve">Od 1.1.2013. </w:t>
      </w:r>
      <w:r w:rsidR="003270F9" w:rsidRPr="00B47BDA">
        <w:t xml:space="preserve">godine, </w:t>
      </w:r>
      <w:r w:rsidR="00FE113E" w:rsidRPr="00B47BDA">
        <w:t xml:space="preserve">postrojenja iz </w:t>
      </w:r>
      <w:r w:rsidRPr="00B47BDA">
        <w:t>Republik</w:t>
      </w:r>
      <w:r w:rsidR="00FE113E" w:rsidRPr="00B47BDA">
        <w:t>e</w:t>
      </w:r>
      <w:r w:rsidRPr="00B47BDA">
        <w:t xml:space="preserve"> Hrvatsk</w:t>
      </w:r>
      <w:r w:rsidR="00FE113E" w:rsidRPr="00B47BDA">
        <w:t xml:space="preserve">e </w:t>
      </w:r>
      <w:r w:rsidR="00CC47E4" w:rsidRPr="00B47BDA">
        <w:t>su</w:t>
      </w:r>
      <w:r w:rsidR="00FE113E" w:rsidRPr="00B47BDA">
        <w:t xml:space="preserve"> sudionici EU sustava trgovanja emisij</w:t>
      </w:r>
      <w:r w:rsidR="00514C4B" w:rsidRPr="00B47BDA">
        <w:t>s</w:t>
      </w:r>
      <w:r w:rsidR="00FE113E" w:rsidRPr="00B47BDA">
        <w:t>kim jedinicama stakleničkih plinova.</w:t>
      </w:r>
      <w:r w:rsidR="00CC47E4" w:rsidRPr="00B47BDA">
        <w:t xml:space="preserve"> Emisije </w:t>
      </w:r>
      <w:r w:rsidR="00A93B86" w:rsidRPr="00B47BDA">
        <w:t xml:space="preserve">iz ETS sektora i sektora izvan ETS-a su </w:t>
      </w:r>
      <w:r w:rsidR="008010DB" w:rsidRPr="00B47BDA">
        <w:t>prikazane</w:t>
      </w:r>
      <w:r w:rsidR="00A93B86" w:rsidRPr="00B47BDA">
        <w:t xml:space="preserve"> za razdoblje od 2013. do </w:t>
      </w:r>
      <w:r w:rsidR="000E0CF9" w:rsidRPr="00B47BDA">
        <w:t>20</w:t>
      </w:r>
      <w:r w:rsidR="006140E1" w:rsidRPr="00B47BDA">
        <w:t>2</w:t>
      </w:r>
      <w:r w:rsidR="00237DF5">
        <w:t>2</w:t>
      </w:r>
      <w:r w:rsidR="00A93B86" w:rsidRPr="00B47BDA">
        <w:t>. godine (</w:t>
      </w:r>
      <w:r w:rsidR="00B436E9" w:rsidRPr="00B47BDA">
        <w:fldChar w:fldCharType="begin"/>
      </w:r>
      <w:r w:rsidR="00B436E9" w:rsidRPr="00B47BDA">
        <w:instrText xml:space="preserve"> REF _Ref26169203 \h </w:instrText>
      </w:r>
      <w:r w:rsidR="0028639E" w:rsidRPr="00B47BDA">
        <w:instrText xml:space="preserve"> \* MERGEFORMAT </w:instrText>
      </w:r>
      <w:r w:rsidR="00B436E9" w:rsidRPr="00B47BDA">
        <w:fldChar w:fldCharType="separate"/>
      </w:r>
      <w:r w:rsidR="00283527" w:rsidRPr="00B47BDA">
        <w:t xml:space="preserve">Slika </w:t>
      </w:r>
      <w:r w:rsidR="00283527">
        <w:t>4–</w:t>
      </w:r>
      <w:r w:rsidR="00283527">
        <w:rPr>
          <w:noProof/>
        </w:rPr>
        <w:t>4</w:t>
      </w:r>
      <w:r w:rsidR="00B436E9" w:rsidRPr="00B47BDA">
        <w:fldChar w:fldCharType="end"/>
      </w:r>
      <w:r w:rsidR="00A93B86" w:rsidRPr="00B47BDA">
        <w:t>).</w:t>
      </w:r>
    </w:p>
    <w:p w14:paraId="3CF9C8FA" w14:textId="77777777" w:rsidR="00DB7396" w:rsidRPr="00B47BDA" w:rsidRDefault="00DB7396" w:rsidP="004623DD"/>
    <w:p w14:paraId="5AA24E1A" w14:textId="45ADB4A5" w:rsidR="009D1CFB" w:rsidRPr="00453A1D" w:rsidRDefault="0026595F" w:rsidP="005C34AB">
      <w:pPr>
        <w:jc w:val="center"/>
      </w:pPr>
      <w:r w:rsidRPr="00453A1D">
        <w:rPr>
          <w:noProof/>
          <w:lang w:eastAsia="hr-HR"/>
        </w:rPr>
        <w:drawing>
          <wp:inline distT="0" distB="0" distL="0" distR="0" wp14:anchorId="33F802B9" wp14:editId="2DE9B149">
            <wp:extent cx="4022791" cy="2476500"/>
            <wp:effectExtent l="0" t="0" r="0" b="0"/>
            <wp:docPr id="1941994858" name="Slika 3" descr="A graph of red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94858" name="Slika 3" descr="A graph of red and blue bars&#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29864" cy="2480854"/>
                    </a:xfrm>
                    <a:prstGeom prst="rect">
                      <a:avLst/>
                    </a:prstGeom>
                    <a:noFill/>
                  </pic:spPr>
                </pic:pic>
              </a:graphicData>
            </a:graphic>
          </wp:inline>
        </w:drawing>
      </w:r>
    </w:p>
    <w:p w14:paraId="0D7C7909" w14:textId="603345FA" w:rsidR="003270F9" w:rsidRDefault="000448AA" w:rsidP="00B532F4">
      <w:pPr>
        <w:pStyle w:val="Caption"/>
      </w:pPr>
      <w:bookmarkStart w:id="545" w:name="_Ref26169203"/>
      <w:bookmarkStart w:id="546" w:name="_Ref26169193"/>
      <w:bookmarkStart w:id="547" w:name="_Ref531871123"/>
      <w:bookmarkStart w:id="548" w:name="_Toc185605253"/>
      <w:bookmarkStart w:id="549" w:name="_Toc193035899"/>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283527">
        <w:rPr>
          <w:noProof/>
        </w:rPr>
        <w:t>4</w:t>
      </w:r>
      <w:r>
        <w:fldChar w:fldCharType="end"/>
      </w:r>
      <w:bookmarkEnd w:id="545"/>
      <w:r w:rsidRPr="00B47BDA">
        <w:t>. Trend emisija stakleničkih plinova iz ETS sektora i sektora izvan ETS-a u Republici Hrvatskoj</w:t>
      </w:r>
      <w:bookmarkEnd w:id="546"/>
      <w:bookmarkEnd w:id="547"/>
      <w:bookmarkEnd w:id="548"/>
      <w:bookmarkEnd w:id="549"/>
    </w:p>
    <w:p w14:paraId="58EC4F85" w14:textId="47FC9C8D" w:rsidR="003A17F0" w:rsidRPr="00B47BDA" w:rsidRDefault="00717A2F" w:rsidP="005C2C7E">
      <w:pPr>
        <w:pStyle w:val="Heading4"/>
        <w:numPr>
          <w:ilvl w:val="3"/>
          <w:numId w:val="175"/>
        </w:numPr>
        <w:ind w:hanging="580"/>
      </w:pPr>
      <w:r w:rsidRPr="00B47BDA">
        <w:t>Projekcije sektorskih kretanja uz postojeće nacionalne politike i mjere te politike i mjere Unije barem do 2040. (uključujući projekcije za 2030.)</w:t>
      </w:r>
    </w:p>
    <w:p w14:paraId="31F271AB" w14:textId="27EFE233" w:rsidR="00C21988" w:rsidRPr="00B47BDA" w:rsidDel="009D1CFB" w:rsidRDefault="00C21988" w:rsidP="004623DD">
      <w:r w:rsidRPr="00B47BDA">
        <w:t xml:space="preserve">Projekcije sektorskih </w:t>
      </w:r>
      <w:r w:rsidR="00FF767F" w:rsidRPr="00B47BDA">
        <w:t>emisija</w:t>
      </w:r>
      <w:r w:rsidR="002702B3" w:rsidRPr="00B47BDA">
        <w:t xml:space="preserve"> stakleničkih plinova</w:t>
      </w:r>
      <w:r w:rsidR="00FF767F" w:rsidRPr="00B47BDA">
        <w:t xml:space="preserve"> </w:t>
      </w:r>
      <w:r w:rsidRPr="00B47BDA">
        <w:t xml:space="preserve">uz postojeće nacionalne politike i mjere te politike i mjere EU-a do 2040. </w:t>
      </w:r>
      <w:r w:rsidR="005049D5" w:rsidRPr="00B47BDA">
        <w:t xml:space="preserve">prikazuje </w:t>
      </w:r>
      <w:r w:rsidR="005049D5" w:rsidRPr="00B47BDA">
        <w:fldChar w:fldCharType="begin"/>
      </w:r>
      <w:r w:rsidR="005049D5" w:rsidRPr="00B47BDA">
        <w:rPr>
          <w:highlight w:val="yellow"/>
        </w:rPr>
        <w:instrText xml:space="preserve"> REF _Ref531871154 \h </w:instrText>
      </w:r>
      <w:r w:rsidR="0028639E" w:rsidRPr="00B47BDA">
        <w:rPr>
          <w:highlight w:val="yellow"/>
        </w:rPr>
        <w:instrText xml:space="preserve"> \* MERGEFORMAT </w:instrText>
      </w:r>
      <w:r w:rsidR="005049D5" w:rsidRPr="00B47BDA">
        <w:fldChar w:fldCharType="separate"/>
      </w:r>
      <w:bookmarkStart w:id="550" w:name="_Hlk26168979"/>
      <w:r w:rsidR="008F2FF8" w:rsidRPr="00B47BDA">
        <w:t xml:space="preserve">Slika </w:t>
      </w:r>
      <w:r w:rsidR="008F2FF8">
        <w:t>4–</w:t>
      </w:r>
      <w:r w:rsidR="008F2FF8">
        <w:rPr>
          <w:noProof/>
        </w:rPr>
        <w:t>5</w:t>
      </w:r>
      <w:bookmarkEnd w:id="550"/>
      <w:r w:rsidR="005049D5" w:rsidRPr="00B47BDA">
        <w:fldChar w:fldCharType="end"/>
      </w:r>
      <w:r w:rsidR="0007745A" w:rsidRPr="00B47BDA">
        <w:t>.</w:t>
      </w:r>
    </w:p>
    <w:p w14:paraId="4AD2AD0A" w14:textId="7765EDF3" w:rsidR="00360196" w:rsidRPr="00B47BDA" w:rsidRDefault="00047D71" w:rsidP="00300EBD">
      <w:pPr>
        <w:jc w:val="center"/>
      </w:pPr>
      <w:r w:rsidRPr="00513CA6">
        <w:rPr>
          <w:noProof/>
          <w:lang w:eastAsia="hr-HR"/>
        </w:rPr>
        <w:drawing>
          <wp:inline distT="0" distB="0" distL="0" distR="0" wp14:anchorId="1C668C66" wp14:editId="26A842FA">
            <wp:extent cx="4966640" cy="3413760"/>
            <wp:effectExtent l="0" t="0" r="5715" b="0"/>
            <wp:docPr id="518313762" name="Slika 4" descr="A graph of number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13762" name="Slika 4" descr="A graph of numbers and colors&#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74768" cy="3419347"/>
                    </a:xfrm>
                    <a:prstGeom prst="rect">
                      <a:avLst/>
                    </a:prstGeom>
                    <a:noFill/>
                  </pic:spPr>
                </pic:pic>
              </a:graphicData>
            </a:graphic>
          </wp:inline>
        </w:drawing>
      </w:r>
    </w:p>
    <w:p w14:paraId="58F6DC9F" w14:textId="26057D7B" w:rsidR="000556E8" w:rsidRDefault="000556E8" w:rsidP="004623DD">
      <w:pPr>
        <w:pStyle w:val="Caption"/>
      </w:pPr>
      <w:bookmarkStart w:id="551" w:name="_Ref531871154"/>
      <w:bookmarkStart w:id="552" w:name="_Toc185605254"/>
      <w:bookmarkStart w:id="553" w:name="_Toc193035900"/>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8F2FF8">
        <w:rPr>
          <w:noProof/>
        </w:rPr>
        <w:t>5</w:t>
      </w:r>
      <w:r>
        <w:fldChar w:fldCharType="end"/>
      </w:r>
      <w:bookmarkEnd w:id="551"/>
      <w:r w:rsidRPr="00B47BDA">
        <w:t xml:space="preserve">. Projekcija emisija </w:t>
      </w:r>
      <w:r w:rsidR="00B204F4" w:rsidRPr="00B47BDA">
        <w:t xml:space="preserve">i </w:t>
      </w:r>
      <w:r w:rsidR="50F64671" w:rsidRPr="00B47BDA">
        <w:t>ponora</w:t>
      </w:r>
      <w:r w:rsidR="00B204F4" w:rsidRPr="00B47BDA">
        <w:t xml:space="preserve"> </w:t>
      </w:r>
      <w:r w:rsidRPr="00B47BDA">
        <w:t>stakleničkih plinova</w:t>
      </w:r>
      <w:r w:rsidR="00646B5A" w:rsidRPr="00B47BDA">
        <w:t>, uz postojeće mjere</w:t>
      </w:r>
      <w:r w:rsidR="00B204F4" w:rsidRPr="00B47BDA">
        <w:t xml:space="preserve"> – WEM scenarij</w:t>
      </w:r>
      <w:bookmarkEnd w:id="552"/>
      <w:bookmarkEnd w:id="553"/>
    </w:p>
    <w:p w14:paraId="77C28F48" w14:textId="77777777" w:rsidR="006F44D6" w:rsidRPr="005C34AB" w:rsidRDefault="006F44D6" w:rsidP="006F44D6">
      <w:r w:rsidRPr="005C34AB">
        <w:lastRenderedPageBreak/>
        <w:t>Trendovi u emisijama, po stakleničkim plinovima (CO</w:t>
      </w:r>
      <w:r w:rsidRPr="005C34AB">
        <w:rPr>
          <w:vertAlign w:val="subscript"/>
        </w:rPr>
        <w:t>2</w:t>
      </w:r>
      <w:r w:rsidRPr="005C34AB">
        <w:t>, CH</w:t>
      </w:r>
      <w:r w:rsidRPr="005C34AB">
        <w:rPr>
          <w:vertAlign w:val="subscript"/>
        </w:rPr>
        <w:t>4</w:t>
      </w:r>
      <w:r w:rsidRPr="005C34AB">
        <w:t>, N</w:t>
      </w:r>
      <w:r w:rsidRPr="005C34AB">
        <w:rPr>
          <w:vertAlign w:val="subscript"/>
        </w:rPr>
        <w:t>2</w:t>
      </w:r>
      <w:r w:rsidRPr="005C34AB">
        <w:t>O, HFC, SF</w:t>
      </w:r>
      <w:r w:rsidRPr="005C34AB">
        <w:rPr>
          <w:vertAlign w:val="subscript"/>
        </w:rPr>
        <w:t>6</w:t>
      </w:r>
      <w:r w:rsidRPr="005C34AB">
        <w:t>), za scenarij s postojećim mjerama (WEM) u razdoblju od 2020. do 2040. godine prikazane su u Tablici 4-9.</w:t>
      </w:r>
    </w:p>
    <w:p w14:paraId="7DFFA53A" w14:textId="16CFCE75" w:rsidR="006F44D6" w:rsidRPr="005C34AB" w:rsidRDefault="008138CC" w:rsidP="008138CC">
      <w:pPr>
        <w:pStyle w:val="Caption"/>
        <w:jc w:val="both"/>
      </w:pPr>
      <w:bookmarkStart w:id="554" w:name="_Toc193035960"/>
      <w:r w:rsidRPr="63259912">
        <w:t xml:space="preserve">Tablica </w:t>
      </w:r>
      <w:r>
        <w:fldChar w:fldCharType="begin"/>
      </w:r>
      <w:r>
        <w:instrText>STYLEREF 1 \s</w:instrText>
      </w:r>
      <w:r>
        <w:fldChar w:fldCharType="separate"/>
      </w:r>
      <w:r w:rsidRPr="63259912">
        <w:rPr>
          <w:noProof/>
        </w:rPr>
        <w:t>4</w:t>
      </w:r>
      <w:r>
        <w:fldChar w:fldCharType="end"/>
      </w:r>
      <w:r w:rsidRPr="00B47BDA">
        <w:noBreakHyphen/>
      </w:r>
      <w:r>
        <w:fldChar w:fldCharType="begin"/>
      </w:r>
      <w:r>
        <w:instrText>SEQ Tablica \* ARABIC \s 1</w:instrText>
      </w:r>
      <w:r>
        <w:fldChar w:fldCharType="separate"/>
      </w:r>
      <w:r w:rsidRPr="63259912">
        <w:rPr>
          <w:noProof/>
        </w:rPr>
        <w:t>9</w:t>
      </w:r>
      <w:r>
        <w:fldChar w:fldCharType="end"/>
      </w:r>
      <w:r w:rsidRPr="63259912">
        <w:t xml:space="preserve">. </w:t>
      </w:r>
      <w:r w:rsidR="006F44D6" w:rsidRPr="63259912">
        <w:t>Projekcije emisija stakleničkih plinova CO</w:t>
      </w:r>
      <w:r w:rsidR="006F44D6" w:rsidRPr="63259912">
        <w:rPr>
          <w:vertAlign w:val="subscript"/>
        </w:rPr>
        <w:t>2</w:t>
      </w:r>
      <w:r w:rsidR="006F44D6" w:rsidRPr="63259912">
        <w:t>, CH</w:t>
      </w:r>
      <w:r w:rsidR="006F44D6" w:rsidRPr="63259912">
        <w:rPr>
          <w:vertAlign w:val="subscript"/>
        </w:rPr>
        <w:t>4</w:t>
      </w:r>
      <w:r w:rsidR="006F44D6" w:rsidRPr="63259912">
        <w:t>, N</w:t>
      </w:r>
      <w:r w:rsidR="006F44D6" w:rsidRPr="63259912">
        <w:rPr>
          <w:vertAlign w:val="subscript"/>
        </w:rPr>
        <w:t>2</w:t>
      </w:r>
      <w:r w:rsidR="006F44D6" w:rsidRPr="63259912">
        <w:t>O, HFC, SF</w:t>
      </w:r>
      <w:r w:rsidR="006F44D6" w:rsidRPr="63259912">
        <w:rPr>
          <w:vertAlign w:val="subscript"/>
        </w:rPr>
        <w:t>6</w:t>
      </w:r>
      <w:r w:rsidR="006F44D6" w:rsidRPr="63259912">
        <w:t>, za scenarij s postojećim mjerama, kt CO</w:t>
      </w:r>
      <w:r w:rsidR="006F44D6" w:rsidRPr="63259912">
        <w:rPr>
          <w:vertAlign w:val="subscript"/>
        </w:rPr>
        <w:t>2</w:t>
      </w:r>
      <w:r w:rsidR="006F44D6" w:rsidRPr="63259912">
        <w:t>e</w:t>
      </w:r>
      <w:bookmarkEnd w:id="554"/>
      <w:r w:rsidR="006F44D6" w:rsidRPr="63259912">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361"/>
        <w:gridCol w:w="1361"/>
        <w:gridCol w:w="1361"/>
        <w:gridCol w:w="1361"/>
      </w:tblGrid>
      <w:tr w:rsidR="000E56E0" w:rsidRPr="000E56E0" w14:paraId="0294FDF5" w14:textId="77777777" w:rsidTr="00764B97">
        <w:trPr>
          <w:trHeight w:val="288"/>
          <w:jc w:val="center"/>
        </w:trPr>
        <w:tc>
          <w:tcPr>
            <w:tcW w:w="1701" w:type="dxa"/>
            <w:shd w:val="clear" w:color="auto" w:fill="D9E2F3" w:themeFill="accent5" w:themeFillTint="33"/>
            <w:noWrap/>
            <w:vAlign w:val="center"/>
          </w:tcPr>
          <w:p w14:paraId="5372ADD0" w14:textId="77777777" w:rsidR="006F44D6" w:rsidRPr="00513CA6" w:rsidRDefault="006F44D6" w:rsidP="00764B97">
            <w:pPr>
              <w:spacing w:after="0"/>
              <w:rPr>
                <w:sz w:val="22"/>
                <w:szCs w:val="22"/>
              </w:rPr>
            </w:pPr>
          </w:p>
        </w:tc>
        <w:tc>
          <w:tcPr>
            <w:tcW w:w="1361" w:type="dxa"/>
            <w:shd w:val="clear" w:color="auto" w:fill="D9E2F3" w:themeFill="accent5" w:themeFillTint="33"/>
            <w:noWrap/>
            <w:vAlign w:val="center"/>
            <w:hideMark/>
          </w:tcPr>
          <w:p w14:paraId="7182D542" w14:textId="77777777" w:rsidR="006F44D6" w:rsidRPr="00513CA6" w:rsidRDefault="006F44D6" w:rsidP="00764B97">
            <w:pPr>
              <w:spacing w:after="0"/>
              <w:jc w:val="center"/>
              <w:rPr>
                <w:b/>
                <w:sz w:val="22"/>
                <w:szCs w:val="22"/>
              </w:rPr>
            </w:pPr>
            <w:r w:rsidRPr="00513CA6">
              <w:rPr>
                <w:b/>
                <w:sz w:val="22"/>
                <w:szCs w:val="22"/>
              </w:rPr>
              <w:t>2020.</w:t>
            </w:r>
          </w:p>
        </w:tc>
        <w:tc>
          <w:tcPr>
            <w:tcW w:w="1361" w:type="dxa"/>
            <w:shd w:val="clear" w:color="auto" w:fill="D9E2F3" w:themeFill="accent5" w:themeFillTint="33"/>
            <w:vAlign w:val="center"/>
          </w:tcPr>
          <w:p w14:paraId="433C36DE" w14:textId="77777777" w:rsidR="006F44D6" w:rsidRPr="00513CA6" w:rsidRDefault="006F44D6" w:rsidP="00764B97">
            <w:pPr>
              <w:spacing w:after="0"/>
              <w:jc w:val="center"/>
              <w:rPr>
                <w:b/>
                <w:sz w:val="22"/>
                <w:szCs w:val="22"/>
              </w:rPr>
            </w:pPr>
            <w:r w:rsidRPr="00513CA6">
              <w:rPr>
                <w:b/>
                <w:sz w:val="22"/>
                <w:szCs w:val="22"/>
              </w:rPr>
              <w:t>2025.</w:t>
            </w:r>
          </w:p>
        </w:tc>
        <w:tc>
          <w:tcPr>
            <w:tcW w:w="1361" w:type="dxa"/>
            <w:shd w:val="clear" w:color="auto" w:fill="D9E2F3" w:themeFill="accent5" w:themeFillTint="33"/>
            <w:noWrap/>
            <w:vAlign w:val="center"/>
            <w:hideMark/>
          </w:tcPr>
          <w:p w14:paraId="7811C015" w14:textId="77777777" w:rsidR="006F44D6" w:rsidRPr="00513CA6" w:rsidRDefault="006F44D6" w:rsidP="00764B97">
            <w:pPr>
              <w:spacing w:after="0"/>
              <w:jc w:val="center"/>
              <w:rPr>
                <w:b/>
                <w:sz w:val="22"/>
                <w:szCs w:val="22"/>
              </w:rPr>
            </w:pPr>
            <w:r w:rsidRPr="00513CA6">
              <w:rPr>
                <w:b/>
                <w:sz w:val="22"/>
                <w:szCs w:val="22"/>
              </w:rPr>
              <w:t>2030.</w:t>
            </w:r>
          </w:p>
        </w:tc>
        <w:tc>
          <w:tcPr>
            <w:tcW w:w="1361" w:type="dxa"/>
            <w:shd w:val="clear" w:color="auto" w:fill="D9E2F3" w:themeFill="accent5" w:themeFillTint="33"/>
            <w:vAlign w:val="center"/>
          </w:tcPr>
          <w:p w14:paraId="5C02D2DF" w14:textId="77777777" w:rsidR="006F44D6" w:rsidRPr="00513CA6" w:rsidRDefault="006F44D6" w:rsidP="00764B97">
            <w:pPr>
              <w:spacing w:after="0"/>
              <w:jc w:val="center"/>
              <w:rPr>
                <w:b/>
                <w:sz w:val="22"/>
                <w:szCs w:val="22"/>
              </w:rPr>
            </w:pPr>
            <w:r w:rsidRPr="00513CA6">
              <w:rPr>
                <w:b/>
                <w:sz w:val="22"/>
                <w:szCs w:val="22"/>
              </w:rPr>
              <w:t>2035.</w:t>
            </w:r>
          </w:p>
        </w:tc>
        <w:tc>
          <w:tcPr>
            <w:tcW w:w="1361" w:type="dxa"/>
            <w:shd w:val="clear" w:color="auto" w:fill="D9E2F3" w:themeFill="accent5" w:themeFillTint="33"/>
            <w:noWrap/>
            <w:vAlign w:val="center"/>
            <w:hideMark/>
          </w:tcPr>
          <w:p w14:paraId="7360AEEB" w14:textId="77777777" w:rsidR="006F44D6" w:rsidRPr="00513CA6" w:rsidRDefault="006F44D6" w:rsidP="00764B97">
            <w:pPr>
              <w:spacing w:after="0"/>
              <w:jc w:val="center"/>
              <w:rPr>
                <w:b/>
                <w:sz w:val="22"/>
                <w:szCs w:val="22"/>
              </w:rPr>
            </w:pPr>
            <w:r w:rsidRPr="00513CA6">
              <w:rPr>
                <w:b/>
                <w:sz w:val="22"/>
                <w:szCs w:val="22"/>
              </w:rPr>
              <w:t>2040.</w:t>
            </w:r>
          </w:p>
        </w:tc>
      </w:tr>
      <w:tr w:rsidR="00D23862" w:rsidRPr="000E56E0" w14:paraId="3ADC8D82" w14:textId="77777777" w:rsidTr="00B81A87">
        <w:trPr>
          <w:trHeight w:val="304"/>
          <w:jc w:val="center"/>
        </w:trPr>
        <w:tc>
          <w:tcPr>
            <w:tcW w:w="1701" w:type="dxa"/>
            <w:shd w:val="clear" w:color="auto" w:fill="auto"/>
            <w:noWrap/>
            <w:vAlign w:val="center"/>
          </w:tcPr>
          <w:p w14:paraId="6A7AB164" w14:textId="77777777" w:rsidR="00D23862" w:rsidRPr="00513CA6" w:rsidRDefault="00D23862" w:rsidP="00D23862">
            <w:pPr>
              <w:spacing w:after="0"/>
              <w:rPr>
                <w:sz w:val="22"/>
                <w:szCs w:val="22"/>
              </w:rPr>
            </w:pPr>
            <w:r w:rsidRPr="00513CA6">
              <w:rPr>
                <w:sz w:val="22"/>
                <w:szCs w:val="22"/>
              </w:rPr>
              <w:t>CO</w:t>
            </w:r>
            <w:r w:rsidRPr="00513CA6">
              <w:rPr>
                <w:sz w:val="22"/>
                <w:szCs w:val="22"/>
                <w:vertAlign w:val="subscript"/>
              </w:rPr>
              <w:t>2</w:t>
            </w:r>
          </w:p>
        </w:tc>
        <w:tc>
          <w:tcPr>
            <w:tcW w:w="1361" w:type="dxa"/>
            <w:shd w:val="clear" w:color="auto" w:fill="auto"/>
            <w:noWrap/>
            <w:vAlign w:val="center"/>
          </w:tcPr>
          <w:p w14:paraId="7FF42C61" w14:textId="77777777" w:rsidR="00D23862" w:rsidRPr="00513CA6" w:rsidRDefault="00D23862" w:rsidP="00D23862">
            <w:pPr>
              <w:spacing w:after="0"/>
              <w:jc w:val="center"/>
              <w:rPr>
                <w:sz w:val="22"/>
                <w:szCs w:val="22"/>
              </w:rPr>
            </w:pPr>
            <w:r w:rsidRPr="00513CA6">
              <w:rPr>
                <w:sz w:val="22"/>
                <w:szCs w:val="22"/>
              </w:rPr>
              <w:t>11.002,74</w:t>
            </w:r>
          </w:p>
        </w:tc>
        <w:tc>
          <w:tcPr>
            <w:tcW w:w="1361" w:type="dxa"/>
            <w:shd w:val="clear" w:color="auto" w:fill="auto"/>
            <w:vAlign w:val="center"/>
          </w:tcPr>
          <w:p w14:paraId="55578A63" w14:textId="2069117B" w:rsidR="00D23862" w:rsidRPr="00513CA6" w:rsidRDefault="00D23862" w:rsidP="00D23862">
            <w:pPr>
              <w:spacing w:after="0"/>
              <w:jc w:val="center"/>
              <w:rPr>
                <w:sz w:val="22"/>
                <w:szCs w:val="22"/>
              </w:rPr>
            </w:pPr>
            <w:r w:rsidRPr="00764B97">
              <w:rPr>
                <w:sz w:val="22"/>
                <w:szCs w:val="22"/>
              </w:rPr>
              <w:t>12</w:t>
            </w:r>
            <w:r>
              <w:rPr>
                <w:sz w:val="22"/>
                <w:szCs w:val="22"/>
              </w:rPr>
              <w:t>.</w:t>
            </w:r>
            <w:r w:rsidRPr="00764B97">
              <w:rPr>
                <w:sz w:val="22"/>
                <w:szCs w:val="22"/>
              </w:rPr>
              <w:t>634</w:t>
            </w:r>
            <w:r>
              <w:rPr>
                <w:sz w:val="22"/>
                <w:szCs w:val="22"/>
              </w:rPr>
              <w:t>,</w:t>
            </w:r>
            <w:r w:rsidRPr="00764B97">
              <w:rPr>
                <w:sz w:val="22"/>
                <w:szCs w:val="22"/>
              </w:rPr>
              <w:t>16</w:t>
            </w:r>
          </w:p>
        </w:tc>
        <w:tc>
          <w:tcPr>
            <w:tcW w:w="1361" w:type="dxa"/>
            <w:shd w:val="clear" w:color="auto" w:fill="auto"/>
            <w:noWrap/>
            <w:vAlign w:val="center"/>
          </w:tcPr>
          <w:p w14:paraId="1A64C944" w14:textId="4B22BF68" w:rsidR="00D23862" w:rsidRPr="00513CA6" w:rsidRDefault="00D23862" w:rsidP="00D23862">
            <w:pPr>
              <w:spacing w:after="0"/>
              <w:jc w:val="center"/>
              <w:rPr>
                <w:sz w:val="22"/>
                <w:szCs w:val="22"/>
              </w:rPr>
            </w:pPr>
            <w:r w:rsidRPr="00764B97">
              <w:rPr>
                <w:sz w:val="22"/>
                <w:szCs w:val="22"/>
              </w:rPr>
              <w:t>13</w:t>
            </w:r>
            <w:r>
              <w:rPr>
                <w:sz w:val="22"/>
                <w:szCs w:val="22"/>
              </w:rPr>
              <w:t>.</w:t>
            </w:r>
            <w:r w:rsidRPr="00764B97">
              <w:rPr>
                <w:sz w:val="22"/>
                <w:szCs w:val="22"/>
              </w:rPr>
              <w:t>674,11</w:t>
            </w:r>
          </w:p>
        </w:tc>
        <w:tc>
          <w:tcPr>
            <w:tcW w:w="1361" w:type="dxa"/>
            <w:shd w:val="clear" w:color="auto" w:fill="auto"/>
            <w:vAlign w:val="center"/>
          </w:tcPr>
          <w:p w14:paraId="2789EC41" w14:textId="530FF180" w:rsidR="00D23862" w:rsidRPr="00513CA6" w:rsidRDefault="00D23862" w:rsidP="00D23862">
            <w:pPr>
              <w:spacing w:after="0"/>
              <w:jc w:val="center"/>
              <w:rPr>
                <w:sz w:val="22"/>
                <w:szCs w:val="22"/>
              </w:rPr>
            </w:pPr>
            <w:r w:rsidRPr="00764B97">
              <w:rPr>
                <w:sz w:val="22"/>
                <w:szCs w:val="22"/>
              </w:rPr>
              <w:t>12</w:t>
            </w:r>
            <w:r>
              <w:rPr>
                <w:sz w:val="22"/>
                <w:szCs w:val="22"/>
              </w:rPr>
              <w:t>.</w:t>
            </w:r>
            <w:r w:rsidRPr="00764B97">
              <w:rPr>
                <w:sz w:val="22"/>
                <w:szCs w:val="22"/>
              </w:rPr>
              <w:t>390</w:t>
            </w:r>
            <w:r>
              <w:rPr>
                <w:sz w:val="22"/>
                <w:szCs w:val="22"/>
              </w:rPr>
              <w:t>,</w:t>
            </w:r>
            <w:r w:rsidRPr="00764B97">
              <w:rPr>
                <w:sz w:val="22"/>
                <w:szCs w:val="22"/>
              </w:rPr>
              <w:t>67</w:t>
            </w:r>
          </w:p>
        </w:tc>
        <w:tc>
          <w:tcPr>
            <w:tcW w:w="1361" w:type="dxa"/>
            <w:shd w:val="clear" w:color="auto" w:fill="auto"/>
            <w:noWrap/>
          </w:tcPr>
          <w:p w14:paraId="71393614" w14:textId="22574922" w:rsidR="00D23862" w:rsidRPr="00513CA6" w:rsidRDefault="00D23862" w:rsidP="00D23862">
            <w:pPr>
              <w:spacing w:after="0"/>
              <w:jc w:val="center"/>
              <w:rPr>
                <w:sz w:val="22"/>
                <w:szCs w:val="22"/>
              </w:rPr>
            </w:pPr>
            <w:r w:rsidRPr="00D23862">
              <w:rPr>
                <w:sz w:val="22"/>
                <w:szCs w:val="22"/>
              </w:rPr>
              <w:t>10</w:t>
            </w:r>
            <w:r>
              <w:rPr>
                <w:sz w:val="22"/>
                <w:szCs w:val="22"/>
              </w:rPr>
              <w:t>.</w:t>
            </w:r>
            <w:r w:rsidRPr="00D23862">
              <w:rPr>
                <w:sz w:val="22"/>
                <w:szCs w:val="22"/>
              </w:rPr>
              <w:t>784</w:t>
            </w:r>
            <w:r>
              <w:rPr>
                <w:sz w:val="22"/>
                <w:szCs w:val="22"/>
              </w:rPr>
              <w:t>,</w:t>
            </w:r>
            <w:r w:rsidRPr="00D23862">
              <w:rPr>
                <w:sz w:val="22"/>
                <w:szCs w:val="22"/>
              </w:rPr>
              <w:t>59</w:t>
            </w:r>
          </w:p>
        </w:tc>
      </w:tr>
      <w:tr w:rsidR="00D23862" w:rsidRPr="000E56E0" w14:paraId="20D50936" w14:textId="77777777" w:rsidTr="00B81A87">
        <w:trPr>
          <w:trHeight w:val="304"/>
          <w:jc w:val="center"/>
        </w:trPr>
        <w:tc>
          <w:tcPr>
            <w:tcW w:w="1701" w:type="dxa"/>
            <w:shd w:val="clear" w:color="auto" w:fill="auto"/>
            <w:noWrap/>
            <w:vAlign w:val="center"/>
          </w:tcPr>
          <w:p w14:paraId="3A2D91F6" w14:textId="77777777" w:rsidR="00D23862" w:rsidRPr="00513CA6" w:rsidRDefault="00D23862" w:rsidP="00D23862">
            <w:pPr>
              <w:spacing w:after="0"/>
              <w:rPr>
                <w:sz w:val="22"/>
                <w:szCs w:val="22"/>
              </w:rPr>
            </w:pPr>
            <w:r w:rsidRPr="00513CA6">
              <w:rPr>
                <w:sz w:val="22"/>
                <w:szCs w:val="22"/>
              </w:rPr>
              <w:t>CH</w:t>
            </w:r>
            <w:r w:rsidRPr="00513CA6">
              <w:rPr>
                <w:sz w:val="22"/>
                <w:szCs w:val="22"/>
                <w:vertAlign w:val="subscript"/>
              </w:rPr>
              <w:t>4</w:t>
            </w:r>
          </w:p>
        </w:tc>
        <w:tc>
          <w:tcPr>
            <w:tcW w:w="1361" w:type="dxa"/>
            <w:shd w:val="clear" w:color="auto" w:fill="auto"/>
            <w:noWrap/>
            <w:vAlign w:val="center"/>
          </w:tcPr>
          <w:p w14:paraId="01456D20" w14:textId="77777777" w:rsidR="00D23862" w:rsidRPr="00513CA6" w:rsidRDefault="00D23862" w:rsidP="00D23862">
            <w:pPr>
              <w:spacing w:after="0"/>
              <w:jc w:val="center"/>
              <w:rPr>
                <w:sz w:val="22"/>
                <w:szCs w:val="22"/>
              </w:rPr>
            </w:pPr>
            <w:r w:rsidRPr="00513CA6">
              <w:rPr>
                <w:sz w:val="22"/>
                <w:szCs w:val="22"/>
              </w:rPr>
              <w:t>4.034,76</w:t>
            </w:r>
          </w:p>
        </w:tc>
        <w:tc>
          <w:tcPr>
            <w:tcW w:w="1361" w:type="dxa"/>
            <w:shd w:val="clear" w:color="auto" w:fill="auto"/>
            <w:vAlign w:val="center"/>
          </w:tcPr>
          <w:p w14:paraId="5F782789" w14:textId="066E8D77" w:rsidR="00D23862" w:rsidRPr="00513CA6" w:rsidRDefault="00D23862" w:rsidP="00D23862">
            <w:pPr>
              <w:spacing w:after="0"/>
              <w:jc w:val="center"/>
              <w:rPr>
                <w:sz w:val="22"/>
                <w:szCs w:val="22"/>
              </w:rPr>
            </w:pPr>
            <w:r w:rsidRPr="00764B97">
              <w:rPr>
                <w:sz w:val="22"/>
                <w:szCs w:val="22"/>
              </w:rPr>
              <w:t>3</w:t>
            </w:r>
            <w:r>
              <w:rPr>
                <w:sz w:val="22"/>
                <w:szCs w:val="22"/>
              </w:rPr>
              <w:t>.</w:t>
            </w:r>
            <w:r w:rsidRPr="00764B97">
              <w:rPr>
                <w:sz w:val="22"/>
                <w:szCs w:val="22"/>
              </w:rPr>
              <w:t>620</w:t>
            </w:r>
            <w:r>
              <w:rPr>
                <w:sz w:val="22"/>
                <w:szCs w:val="22"/>
              </w:rPr>
              <w:t>,</w:t>
            </w:r>
            <w:r w:rsidRPr="00764B97">
              <w:rPr>
                <w:sz w:val="22"/>
                <w:szCs w:val="22"/>
              </w:rPr>
              <w:t>10</w:t>
            </w:r>
          </w:p>
        </w:tc>
        <w:tc>
          <w:tcPr>
            <w:tcW w:w="1361" w:type="dxa"/>
            <w:shd w:val="clear" w:color="auto" w:fill="auto"/>
            <w:noWrap/>
            <w:vAlign w:val="center"/>
          </w:tcPr>
          <w:p w14:paraId="1F91947B" w14:textId="5BEA87B3" w:rsidR="00D23862" w:rsidRPr="00513CA6" w:rsidRDefault="00D23862" w:rsidP="00D23862">
            <w:pPr>
              <w:spacing w:after="0"/>
              <w:jc w:val="center"/>
              <w:rPr>
                <w:sz w:val="22"/>
                <w:szCs w:val="22"/>
              </w:rPr>
            </w:pPr>
            <w:r w:rsidRPr="00764B97">
              <w:rPr>
                <w:sz w:val="22"/>
                <w:szCs w:val="22"/>
              </w:rPr>
              <w:t>3</w:t>
            </w:r>
            <w:r>
              <w:rPr>
                <w:sz w:val="22"/>
                <w:szCs w:val="22"/>
              </w:rPr>
              <w:t>.</w:t>
            </w:r>
            <w:r w:rsidRPr="00764B97">
              <w:rPr>
                <w:sz w:val="22"/>
                <w:szCs w:val="22"/>
              </w:rPr>
              <w:t>217,26</w:t>
            </w:r>
          </w:p>
        </w:tc>
        <w:tc>
          <w:tcPr>
            <w:tcW w:w="1361" w:type="dxa"/>
            <w:shd w:val="clear" w:color="auto" w:fill="auto"/>
            <w:vAlign w:val="center"/>
          </w:tcPr>
          <w:p w14:paraId="2EF9EC3B" w14:textId="683EB6AD" w:rsidR="00D23862" w:rsidRPr="00513CA6" w:rsidRDefault="00D23862" w:rsidP="00D23862">
            <w:pPr>
              <w:spacing w:after="0"/>
              <w:jc w:val="center"/>
              <w:rPr>
                <w:sz w:val="22"/>
                <w:szCs w:val="22"/>
              </w:rPr>
            </w:pPr>
            <w:r w:rsidRPr="00764B97">
              <w:rPr>
                <w:sz w:val="22"/>
                <w:szCs w:val="22"/>
              </w:rPr>
              <w:t>3</w:t>
            </w:r>
            <w:r>
              <w:rPr>
                <w:sz w:val="22"/>
                <w:szCs w:val="22"/>
              </w:rPr>
              <w:t>.</w:t>
            </w:r>
            <w:r w:rsidRPr="00764B97">
              <w:rPr>
                <w:sz w:val="22"/>
                <w:szCs w:val="22"/>
              </w:rPr>
              <w:t>029</w:t>
            </w:r>
            <w:r>
              <w:rPr>
                <w:sz w:val="22"/>
                <w:szCs w:val="22"/>
              </w:rPr>
              <w:t>,</w:t>
            </w:r>
            <w:r w:rsidRPr="00764B97">
              <w:rPr>
                <w:sz w:val="22"/>
                <w:szCs w:val="22"/>
              </w:rPr>
              <w:t>06</w:t>
            </w:r>
          </w:p>
        </w:tc>
        <w:tc>
          <w:tcPr>
            <w:tcW w:w="1361" w:type="dxa"/>
            <w:shd w:val="clear" w:color="auto" w:fill="auto"/>
            <w:noWrap/>
          </w:tcPr>
          <w:p w14:paraId="44E85A17" w14:textId="77011AD8" w:rsidR="00D23862" w:rsidRPr="00513CA6" w:rsidRDefault="00D23862" w:rsidP="00D23862">
            <w:pPr>
              <w:spacing w:after="0"/>
              <w:jc w:val="center"/>
              <w:rPr>
                <w:sz w:val="22"/>
                <w:szCs w:val="22"/>
              </w:rPr>
            </w:pPr>
            <w:r w:rsidRPr="00D23862">
              <w:rPr>
                <w:sz w:val="22"/>
                <w:szCs w:val="22"/>
              </w:rPr>
              <w:t>2</w:t>
            </w:r>
            <w:r>
              <w:rPr>
                <w:sz w:val="22"/>
                <w:szCs w:val="22"/>
              </w:rPr>
              <w:t>.</w:t>
            </w:r>
            <w:r w:rsidRPr="00D23862">
              <w:rPr>
                <w:sz w:val="22"/>
                <w:szCs w:val="22"/>
              </w:rPr>
              <w:t>847</w:t>
            </w:r>
            <w:r>
              <w:rPr>
                <w:sz w:val="22"/>
                <w:szCs w:val="22"/>
              </w:rPr>
              <w:t>,</w:t>
            </w:r>
            <w:r w:rsidRPr="00D23862">
              <w:rPr>
                <w:sz w:val="22"/>
                <w:szCs w:val="22"/>
              </w:rPr>
              <w:t>73</w:t>
            </w:r>
          </w:p>
        </w:tc>
      </w:tr>
      <w:tr w:rsidR="00D23862" w:rsidRPr="000E56E0" w14:paraId="7ADDA112" w14:textId="77777777" w:rsidTr="00B81A87">
        <w:trPr>
          <w:trHeight w:val="304"/>
          <w:jc w:val="center"/>
        </w:trPr>
        <w:tc>
          <w:tcPr>
            <w:tcW w:w="1701" w:type="dxa"/>
            <w:shd w:val="clear" w:color="auto" w:fill="auto"/>
            <w:noWrap/>
            <w:vAlign w:val="center"/>
          </w:tcPr>
          <w:p w14:paraId="27CF22D4" w14:textId="77777777" w:rsidR="00D23862" w:rsidRPr="00513CA6" w:rsidRDefault="00D23862" w:rsidP="00D23862">
            <w:pPr>
              <w:spacing w:after="0"/>
              <w:rPr>
                <w:sz w:val="22"/>
                <w:szCs w:val="22"/>
              </w:rPr>
            </w:pPr>
            <w:r w:rsidRPr="00513CA6">
              <w:rPr>
                <w:sz w:val="22"/>
                <w:szCs w:val="22"/>
              </w:rPr>
              <w:t>N</w:t>
            </w:r>
            <w:r w:rsidRPr="00513CA6">
              <w:rPr>
                <w:sz w:val="22"/>
                <w:szCs w:val="22"/>
                <w:vertAlign w:val="subscript"/>
              </w:rPr>
              <w:t>2</w:t>
            </w:r>
            <w:r w:rsidRPr="00513CA6">
              <w:rPr>
                <w:sz w:val="22"/>
                <w:szCs w:val="22"/>
              </w:rPr>
              <w:t>O</w:t>
            </w:r>
          </w:p>
        </w:tc>
        <w:tc>
          <w:tcPr>
            <w:tcW w:w="1361" w:type="dxa"/>
            <w:shd w:val="clear" w:color="auto" w:fill="auto"/>
            <w:noWrap/>
            <w:vAlign w:val="center"/>
          </w:tcPr>
          <w:p w14:paraId="5077DA0F" w14:textId="77777777" w:rsidR="00D23862" w:rsidRPr="00513CA6" w:rsidRDefault="00D23862" w:rsidP="00D23862">
            <w:pPr>
              <w:spacing w:after="0"/>
              <w:jc w:val="center"/>
              <w:rPr>
                <w:sz w:val="22"/>
                <w:szCs w:val="22"/>
              </w:rPr>
            </w:pPr>
            <w:r w:rsidRPr="00513CA6">
              <w:rPr>
                <w:sz w:val="22"/>
                <w:szCs w:val="22"/>
              </w:rPr>
              <w:t>1.636,79</w:t>
            </w:r>
          </w:p>
        </w:tc>
        <w:tc>
          <w:tcPr>
            <w:tcW w:w="1361" w:type="dxa"/>
            <w:shd w:val="clear" w:color="auto" w:fill="auto"/>
            <w:vAlign w:val="center"/>
          </w:tcPr>
          <w:p w14:paraId="20F55063" w14:textId="2E2CCCB5" w:rsidR="00D23862" w:rsidRPr="00513CA6" w:rsidRDefault="00D23862" w:rsidP="00D23862">
            <w:pPr>
              <w:spacing w:after="0"/>
              <w:jc w:val="center"/>
              <w:rPr>
                <w:sz w:val="22"/>
                <w:szCs w:val="22"/>
              </w:rPr>
            </w:pPr>
            <w:r w:rsidRPr="00764B97">
              <w:rPr>
                <w:sz w:val="22"/>
                <w:szCs w:val="22"/>
              </w:rPr>
              <w:t>1</w:t>
            </w:r>
            <w:r>
              <w:rPr>
                <w:sz w:val="22"/>
                <w:szCs w:val="22"/>
              </w:rPr>
              <w:t>.</w:t>
            </w:r>
            <w:r w:rsidRPr="00764B97">
              <w:rPr>
                <w:sz w:val="22"/>
                <w:szCs w:val="22"/>
              </w:rPr>
              <w:t>544</w:t>
            </w:r>
            <w:r>
              <w:rPr>
                <w:sz w:val="22"/>
                <w:szCs w:val="22"/>
              </w:rPr>
              <w:t>,</w:t>
            </w:r>
            <w:r w:rsidRPr="00764B97">
              <w:rPr>
                <w:sz w:val="22"/>
                <w:szCs w:val="22"/>
              </w:rPr>
              <w:t>58</w:t>
            </w:r>
          </w:p>
        </w:tc>
        <w:tc>
          <w:tcPr>
            <w:tcW w:w="1361" w:type="dxa"/>
            <w:shd w:val="clear" w:color="auto" w:fill="auto"/>
            <w:noWrap/>
            <w:vAlign w:val="center"/>
          </w:tcPr>
          <w:p w14:paraId="7E199EC2" w14:textId="6DCF0C41" w:rsidR="00D23862" w:rsidRPr="00513CA6" w:rsidRDefault="00D23862" w:rsidP="00D23862">
            <w:pPr>
              <w:spacing w:after="0"/>
              <w:jc w:val="center"/>
              <w:rPr>
                <w:sz w:val="22"/>
                <w:szCs w:val="22"/>
              </w:rPr>
            </w:pPr>
            <w:r w:rsidRPr="00764B97">
              <w:rPr>
                <w:sz w:val="22"/>
                <w:szCs w:val="22"/>
              </w:rPr>
              <w:t>1</w:t>
            </w:r>
            <w:r>
              <w:rPr>
                <w:sz w:val="22"/>
                <w:szCs w:val="22"/>
              </w:rPr>
              <w:t>.</w:t>
            </w:r>
            <w:r w:rsidRPr="00764B97">
              <w:rPr>
                <w:sz w:val="22"/>
                <w:szCs w:val="22"/>
              </w:rPr>
              <w:t>528</w:t>
            </w:r>
            <w:r>
              <w:rPr>
                <w:sz w:val="22"/>
                <w:szCs w:val="22"/>
              </w:rPr>
              <w:t>,</w:t>
            </w:r>
            <w:r w:rsidRPr="00764B97">
              <w:rPr>
                <w:sz w:val="22"/>
                <w:szCs w:val="22"/>
              </w:rPr>
              <w:t>62</w:t>
            </w:r>
          </w:p>
        </w:tc>
        <w:tc>
          <w:tcPr>
            <w:tcW w:w="1361" w:type="dxa"/>
            <w:shd w:val="clear" w:color="auto" w:fill="auto"/>
            <w:vAlign w:val="center"/>
          </w:tcPr>
          <w:p w14:paraId="37EC6C8B" w14:textId="558DEADA" w:rsidR="00D23862" w:rsidRPr="00513CA6" w:rsidRDefault="00D23862" w:rsidP="00D23862">
            <w:pPr>
              <w:spacing w:after="0"/>
              <w:jc w:val="center"/>
              <w:rPr>
                <w:sz w:val="22"/>
                <w:szCs w:val="22"/>
              </w:rPr>
            </w:pPr>
            <w:r w:rsidRPr="00764B97">
              <w:rPr>
                <w:sz w:val="22"/>
                <w:szCs w:val="22"/>
              </w:rPr>
              <w:t>1</w:t>
            </w:r>
            <w:r>
              <w:rPr>
                <w:sz w:val="22"/>
                <w:szCs w:val="22"/>
              </w:rPr>
              <w:t>.</w:t>
            </w:r>
            <w:r w:rsidRPr="00764B97">
              <w:rPr>
                <w:sz w:val="22"/>
                <w:szCs w:val="22"/>
              </w:rPr>
              <w:t>487</w:t>
            </w:r>
            <w:r>
              <w:rPr>
                <w:sz w:val="22"/>
                <w:szCs w:val="22"/>
              </w:rPr>
              <w:t>,</w:t>
            </w:r>
            <w:r w:rsidRPr="00764B97">
              <w:rPr>
                <w:sz w:val="22"/>
                <w:szCs w:val="22"/>
              </w:rPr>
              <w:t>58</w:t>
            </w:r>
          </w:p>
        </w:tc>
        <w:tc>
          <w:tcPr>
            <w:tcW w:w="1361" w:type="dxa"/>
            <w:shd w:val="clear" w:color="auto" w:fill="auto"/>
            <w:noWrap/>
          </w:tcPr>
          <w:p w14:paraId="040CD1EA" w14:textId="5A2FA47A" w:rsidR="00D23862" w:rsidRPr="00513CA6" w:rsidRDefault="00D23862" w:rsidP="00D23862">
            <w:pPr>
              <w:spacing w:after="0"/>
              <w:jc w:val="center"/>
              <w:rPr>
                <w:sz w:val="22"/>
                <w:szCs w:val="22"/>
              </w:rPr>
            </w:pPr>
            <w:r w:rsidRPr="00D23862">
              <w:rPr>
                <w:sz w:val="22"/>
                <w:szCs w:val="22"/>
              </w:rPr>
              <w:t>1</w:t>
            </w:r>
            <w:r>
              <w:rPr>
                <w:sz w:val="22"/>
                <w:szCs w:val="22"/>
              </w:rPr>
              <w:t>.</w:t>
            </w:r>
            <w:r w:rsidRPr="00D23862">
              <w:rPr>
                <w:sz w:val="22"/>
                <w:szCs w:val="22"/>
              </w:rPr>
              <w:t>447</w:t>
            </w:r>
            <w:r>
              <w:rPr>
                <w:sz w:val="22"/>
                <w:szCs w:val="22"/>
              </w:rPr>
              <w:t>,</w:t>
            </w:r>
            <w:r w:rsidRPr="00D23862">
              <w:rPr>
                <w:sz w:val="22"/>
                <w:szCs w:val="22"/>
              </w:rPr>
              <w:t>04</w:t>
            </w:r>
          </w:p>
        </w:tc>
      </w:tr>
      <w:tr w:rsidR="00D23862" w:rsidRPr="000E56E0" w14:paraId="0A80B57A" w14:textId="77777777" w:rsidTr="00B81A87">
        <w:trPr>
          <w:trHeight w:val="304"/>
          <w:jc w:val="center"/>
        </w:trPr>
        <w:tc>
          <w:tcPr>
            <w:tcW w:w="1701" w:type="dxa"/>
            <w:shd w:val="clear" w:color="auto" w:fill="auto"/>
            <w:noWrap/>
            <w:vAlign w:val="center"/>
          </w:tcPr>
          <w:p w14:paraId="2379300B" w14:textId="77777777" w:rsidR="00D23862" w:rsidRPr="00513CA6" w:rsidRDefault="00D23862" w:rsidP="00D23862">
            <w:pPr>
              <w:spacing w:after="0"/>
              <w:rPr>
                <w:sz w:val="22"/>
                <w:szCs w:val="22"/>
              </w:rPr>
            </w:pPr>
            <w:r w:rsidRPr="00513CA6">
              <w:rPr>
                <w:sz w:val="22"/>
                <w:szCs w:val="22"/>
              </w:rPr>
              <w:t>HFC</w:t>
            </w:r>
          </w:p>
        </w:tc>
        <w:tc>
          <w:tcPr>
            <w:tcW w:w="1361" w:type="dxa"/>
            <w:shd w:val="clear" w:color="auto" w:fill="auto"/>
            <w:noWrap/>
            <w:vAlign w:val="center"/>
          </w:tcPr>
          <w:p w14:paraId="7B34DD40" w14:textId="77777777" w:rsidR="00D23862" w:rsidRPr="00513CA6" w:rsidRDefault="00D23862" w:rsidP="00D23862">
            <w:pPr>
              <w:spacing w:after="0"/>
              <w:jc w:val="center"/>
              <w:rPr>
                <w:sz w:val="22"/>
                <w:szCs w:val="22"/>
              </w:rPr>
            </w:pPr>
            <w:r w:rsidRPr="00513CA6">
              <w:rPr>
                <w:sz w:val="22"/>
                <w:szCs w:val="22"/>
              </w:rPr>
              <w:t>1.572,23</w:t>
            </w:r>
          </w:p>
        </w:tc>
        <w:tc>
          <w:tcPr>
            <w:tcW w:w="1361" w:type="dxa"/>
            <w:shd w:val="clear" w:color="auto" w:fill="auto"/>
            <w:vAlign w:val="center"/>
          </w:tcPr>
          <w:p w14:paraId="3618D67D" w14:textId="43A6DFE6" w:rsidR="00D23862" w:rsidRPr="00513CA6" w:rsidRDefault="00D23862" w:rsidP="00D23862">
            <w:pPr>
              <w:spacing w:after="0"/>
              <w:jc w:val="center"/>
              <w:rPr>
                <w:sz w:val="22"/>
                <w:szCs w:val="22"/>
              </w:rPr>
            </w:pPr>
            <w:r w:rsidRPr="00764B97">
              <w:rPr>
                <w:sz w:val="22"/>
                <w:szCs w:val="22"/>
              </w:rPr>
              <w:t>1</w:t>
            </w:r>
            <w:r>
              <w:rPr>
                <w:sz w:val="22"/>
                <w:szCs w:val="22"/>
              </w:rPr>
              <w:t>.</w:t>
            </w:r>
            <w:r w:rsidRPr="00764B97">
              <w:rPr>
                <w:sz w:val="22"/>
                <w:szCs w:val="22"/>
              </w:rPr>
              <w:t>512</w:t>
            </w:r>
            <w:r>
              <w:rPr>
                <w:sz w:val="22"/>
                <w:szCs w:val="22"/>
              </w:rPr>
              <w:t>,</w:t>
            </w:r>
            <w:r w:rsidRPr="00764B97">
              <w:rPr>
                <w:sz w:val="22"/>
                <w:szCs w:val="22"/>
              </w:rPr>
              <w:t>69</w:t>
            </w:r>
          </w:p>
        </w:tc>
        <w:tc>
          <w:tcPr>
            <w:tcW w:w="1361" w:type="dxa"/>
            <w:shd w:val="clear" w:color="auto" w:fill="auto"/>
            <w:noWrap/>
            <w:vAlign w:val="center"/>
          </w:tcPr>
          <w:p w14:paraId="71E94529" w14:textId="3478C72A" w:rsidR="00D23862" w:rsidRPr="00513CA6" w:rsidRDefault="00D23862" w:rsidP="00D23862">
            <w:pPr>
              <w:spacing w:after="0"/>
              <w:jc w:val="center"/>
              <w:rPr>
                <w:sz w:val="22"/>
                <w:szCs w:val="22"/>
              </w:rPr>
            </w:pPr>
            <w:r w:rsidRPr="00764B97">
              <w:rPr>
                <w:sz w:val="22"/>
                <w:szCs w:val="22"/>
              </w:rPr>
              <w:t>1</w:t>
            </w:r>
            <w:r>
              <w:rPr>
                <w:sz w:val="22"/>
                <w:szCs w:val="22"/>
              </w:rPr>
              <w:t>.</w:t>
            </w:r>
            <w:r w:rsidRPr="00764B97">
              <w:rPr>
                <w:sz w:val="22"/>
                <w:szCs w:val="22"/>
              </w:rPr>
              <w:t>013</w:t>
            </w:r>
            <w:r>
              <w:rPr>
                <w:sz w:val="22"/>
                <w:szCs w:val="22"/>
              </w:rPr>
              <w:t>,</w:t>
            </w:r>
            <w:r w:rsidRPr="00764B97">
              <w:rPr>
                <w:sz w:val="22"/>
                <w:szCs w:val="22"/>
              </w:rPr>
              <w:t>76</w:t>
            </w:r>
          </w:p>
        </w:tc>
        <w:tc>
          <w:tcPr>
            <w:tcW w:w="1361" w:type="dxa"/>
            <w:shd w:val="clear" w:color="auto" w:fill="auto"/>
            <w:vAlign w:val="center"/>
          </w:tcPr>
          <w:p w14:paraId="1D0F283D" w14:textId="1D8D546A" w:rsidR="00D23862" w:rsidRPr="00513CA6" w:rsidRDefault="00D23862" w:rsidP="00D23862">
            <w:pPr>
              <w:spacing w:after="0"/>
              <w:jc w:val="center"/>
              <w:rPr>
                <w:sz w:val="22"/>
                <w:szCs w:val="22"/>
              </w:rPr>
            </w:pPr>
            <w:r w:rsidRPr="00764B97">
              <w:rPr>
                <w:sz w:val="22"/>
                <w:szCs w:val="22"/>
              </w:rPr>
              <w:t>790</w:t>
            </w:r>
            <w:r>
              <w:rPr>
                <w:sz w:val="22"/>
                <w:szCs w:val="22"/>
              </w:rPr>
              <w:t>,</w:t>
            </w:r>
            <w:r w:rsidRPr="00764B97">
              <w:rPr>
                <w:sz w:val="22"/>
                <w:szCs w:val="22"/>
              </w:rPr>
              <w:t>46</w:t>
            </w:r>
          </w:p>
        </w:tc>
        <w:tc>
          <w:tcPr>
            <w:tcW w:w="1361" w:type="dxa"/>
            <w:shd w:val="clear" w:color="auto" w:fill="auto"/>
            <w:noWrap/>
          </w:tcPr>
          <w:p w14:paraId="698766D4" w14:textId="6EDE1E04" w:rsidR="00D23862" w:rsidRPr="00513CA6" w:rsidRDefault="00D23862" w:rsidP="00D23862">
            <w:pPr>
              <w:spacing w:after="0"/>
              <w:jc w:val="center"/>
              <w:rPr>
                <w:sz w:val="22"/>
                <w:szCs w:val="22"/>
              </w:rPr>
            </w:pPr>
            <w:r w:rsidRPr="00D23862">
              <w:rPr>
                <w:sz w:val="22"/>
                <w:szCs w:val="22"/>
              </w:rPr>
              <w:t>567</w:t>
            </w:r>
            <w:r>
              <w:rPr>
                <w:sz w:val="22"/>
                <w:szCs w:val="22"/>
              </w:rPr>
              <w:t>,</w:t>
            </w:r>
            <w:r w:rsidRPr="00D23862">
              <w:rPr>
                <w:sz w:val="22"/>
                <w:szCs w:val="22"/>
              </w:rPr>
              <w:t>15</w:t>
            </w:r>
          </w:p>
        </w:tc>
      </w:tr>
      <w:tr w:rsidR="00D23862" w:rsidRPr="000E56E0" w14:paraId="24609E88" w14:textId="77777777" w:rsidTr="00B81A87">
        <w:trPr>
          <w:trHeight w:val="304"/>
          <w:jc w:val="center"/>
        </w:trPr>
        <w:tc>
          <w:tcPr>
            <w:tcW w:w="1701" w:type="dxa"/>
            <w:shd w:val="clear" w:color="auto" w:fill="auto"/>
            <w:noWrap/>
            <w:vAlign w:val="center"/>
          </w:tcPr>
          <w:p w14:paraId="06BEB05D" w14:textId="77777777" w:rsidR="00D23862" w:rsidRPr="00513CA6" w:rsidRDefault="00D23862" w:rsidP="00D23862">
            <w:pPr>
              <w:spacing w:after="0"/>
              <w:rPr>
                <w:sz w:val="22"/>
                <w:szCs w:val="22"/>
              </w:rPr>
            </w:pPr>
            <w:r w:rsidRPr="00513CA6">
              <w:rPr>
                <w:sz w:val="22"/>
                <w:szCs w:val="22"/>
              </w:rPr>
              <w:t>SF</w:t>
            </w:r>
            <w:r w:rsidRPr="00513CA6">
              <w:rPr>
                <w:sz w:val="22"/>
                <w:szCs w:val="22"/>
                <w:vertAlign w:val="subscript"/>
              </w:rPr>
              <w:t>6</w:t>
            </w:r>
          </w:p>
        </w:tc>
        <w:tc>
          <w:tcPr>
            <w:tcW w:w="1361" w:type="dxa"/>
            <w:shd w:val="clear" w:color="auto" w:fill="auto"/>
            <w:noWrap/>
            <w:vAlign w:val="center"/>
          </w:tcPr>
          <w:p w14:paraId="5C80853F" w14:textId="77777777" w:rsidR="00D23862" w:rsidRPr="00513CA6" w:rsidRDefault="00D23862" w:rsidP="00D23862">
            <w:pPr>
              <w:spacing w:after="0"/>
              <w:jc w:val="center"/>
              <w:rPr>
                <w:sz w:val="22"/>
                <w:szCs w:val="22"/>
              </w:rPr>
            </w:pPr>
            <w:r w:rsidRPr="00513CA6">
              <w:rPr>
                <w:sz w:val="22"/>
                <w:szCs w:val="22"/>
              </w:rPr>
              <w:t>9,35</w:t>
            </w:r>
          </w:p>
        </w:tc>
        <w:tc>
          <w:tcPr>
            <w:tcW w:w="1361" w:type="dxa"/>
            <w:shd w:val="clear" w:color="auto" w:fill="auto"/>
            <w:vAlign w:val="center"/>
          </w:tcPr>
          <w:p w14:paraId="4984BB32" w14:textId="6B7F5544" w:rsidR="00D23862" w:rsidRPr="00513CA6" w:rsidRDefault="00D23862" w:rsidP="00D23862">
            <w:pPr>
              <w:spacing w:after="0"/>
              <w:jc w:val="center"/>
              <w:rPr>
                <w:sz w:val="22"/>
                <w:szCs w:val="22"/>
              </w:rPr>
            </w:pPr>
            <w:r w:rsidRPr="00764B97">
              <w:rPr>
                <w:sz w:val="22"/>
                <w:szCs w:val="22"/>
              </w:rPr>
              <w:t>8</w:t>
            </w:r>
            <w:r>
              <w:rPr>
                <w:sz w:val="22"/>
                <w:szCs w:val="22"/>
              </w:rPr>
              <w:t>,</w:t>
            </w:r>
            <w:r w:rsidRPr="00764B97">
              <w:rPr>
                <w:sz w:val="22"/>
                <w:szCs w:val="22"/>
              </w:rPr>
              <w:t>10</w:t>
            </w:r>
          </w:p>
        </w:tc>
        <w:tc>
          <w:tcPr>
            <w:tcW w:w="1361" w:type="dxa"/>
            <w:shd w:val="clear" w:color="auto" w:fill="auto"/>
            <w:noWrap/>
            <w:vAlign w:val="center"/>
          </w:tcPr>
          <w:p w14:paraId="040E49EE" w14:textId="35155E72" w:rsidR="00D23862" w:rsidRPr="00513CA6" w:rsidRDefault="00D23862" w:rsidP="00D23862">
            <w:pPr>
              <w:spacing w:after="0"/>
              <w:jc w:val="center"/>
              <w:rPr>
                <w:sz w:val="22"/>
                <w:szCs w:val="22"/>
              </w:rPr>
            </w:pPr>
            <w:r w:rsidRPr="00764B97">
              <w:rPr>
                <w:sz w:val="22"/>
                <w:szCs w:val="22"/>
              </w:rPr>
              <w:t>4</w:t>
            </w:r>
            <w:r>
              <w:rPr>
                <w:sz w:val="22"/>
                <w:szCs w:val="22"/>
              </w:rPr>
              <w:t>,</w:t>
            </w:r>
            <w:r w:rsidRPr="00764B97">
              <w:rPr>
                <w:sz w:val="22"/>
                <w:szCs w:val="22"/>
              </w:rPr>
              <w:t>95</w:t>
            </w:r>
          </w:p>
        </w:tc>
        <w:tc>
          <w:tcPr>
            <w:tcW w:w="1361" w:type="dxa"/>
            <w:shd w:val="clear" w:color="auto" w:fill="auto"/>
            <w:vAlign w:val="center"/>
          </w:tcPr>
          <w:p w14:paraId="3336DDFE" w14:textId="7C49D408" w:rsidR="00D23862" w:rsidRPr="00513CA6" w:rsidRDefault="00D23862" w:rsidP="00D23862">
            <w:pPr>
              <w:spacing w:after="0"/>
              <w:jc w:val="center"/>
              <w:rPr>
                <w:sz w:val="22"/>
                <w:szCs w:val="22"/>
              </w:rPr>
            </w:pPr>
            <w:r w:rsidRPr="00764B97">
              <w:rPr>
                <w:sz w:val="22"/>
                <w:szCs w:val="22"/>
              </w:rPr>
              <w:t>3</w:t>
            </w:r>
            <w:r>
              <w:rPr>
                <w:sz w:val="22"/>
                <w:szCs w:val="22"/>
              </w:rPr>
              <w:t>,</w:t>
            </w:r>
            <w:r w:rsidRPr="00764B97">
              <w:rPr>
                <w:sz w:val="22"/>
                <w:szCs w:val="22"/>
              </w:rPr>
              <w:t>70</w:t>
            </w:r>
          </w:p>
        </w:tc>
        <w:tc>
          <w:tcPr>
            <w:tcW w:w="1361" w:type="dxa"/>
            <w:shd w:val="clear" w:color="auto" w:fill="auto"/>
            <w:noWrap/>
          </w:tcPr>
          <w:p w14:paraId="5AEF2B65" w14:textId="5BA640D1" w:rsidR="00D23862" w:rsidRPr="00513CA6" w:rsidRDefault="00D23862" w:rsidP="00D23862">
            <w:pPr>
              <w:spacing w:after="0"/>
              <w:jc w:val="center"/>
              <w:rPr>
                <w:sz w:val="22"/>
                <w:szCs w:val="22"/>
              </w:rPr>
            </w:pPr>
            <w:r w:rsidRPr="00D23862">
              <w:rPr>
                <w:sz w:val="22"/>
                <w:szCs w:val="22"/>
              </w:rPr>
              <w:t>2</w:t>
            </w:r>
            <w:r>
              <w:rPr>
                <w:sz w:val="22"/>
                <w:szCs w:val="22"/>
              </w:rPr>
              <w:t>,</w:t>
            </w:r>
            <w:r w:rsidRPr="00D23862">
              <w:rPr>
                <w:sz w:val="22"/>
                <w:szCs w:val="22"/>
              </w:rPr>
              <w:t>45</w:t>
            </w:r>
          </w:p>
        </w:tc>
      </w:tr>
      <w:tr w:rsidR="00D23862" w:rsidRPr="000479E2" w14:paraId="6C4EEC7C" w14:textId="77777777" w:rsidTr="00B81A87">
        <w:trPr>
          <w:trHeight w:val="304"/>
          <w:jc w:val="center"/>
        </w:trPr>
        <w:tc>
          <w:tcPr>
            <w:tcW w:w="1701" w:type="dxa"/>
            <w:shd w:val="clear" w:color="auto" w:fill="auto"/>
            <w:noWrap/>
            <w:vAlign w:val="center"/>
          </w:tcPr>
          <w:p w14:paraId="29AE7CE8" w14:textId="77777777" w:rsidR="00D23862" w:rsidRPr="00513CA6" w:rsidRDefault="00D23862" w:rsidP="00D23862">
            <w:pPr>
              <w:spacing w:after="0"/>
              <w:rPr>
                <w:b/>
                <w:sz w:val="22"/>
                <w:szCs w:val="22"/>
              </w:rPr>
            </w:pPr>
            <w:r w:rsidRPr="00513CA6">
              <w:rPr>
                <w:b/>
                <w:sz w:val="22"/>
                <w:szCs w:val="22"/>
              </w:rPr>
              <w:t>Ukupno</w:t>
            </w:r>
          </w:p>
        </w:tc>
        <w:tc>
          <w:tcPr>
            <w:tcW w:w="1361" w:type="dxa"/>
            <w:shd w:val="clear" w:color="auto" w:fill="auto"/>
            <w:noWrap/>
            <w:vAlign w:val="center"/>
          </w:tcPr>
          <w:p w14:paraId="25FA9E49" w14:textId="77777777" w:rsidR="00D23862" w:rsidRPr="00513CA6" w:rsidRDefault="00D23862" w:rsidP="00D23862">
            <w:pPr>
              <w:spacing w:after="0"/>
              <w:jc w:val="center"/>
              <w:rPr>
                <w:b/>
                <w:sz w:val="22"/>
                <w:szCs w:val="22"/>
              </w:rPr>
            </w:pPr>
            <w:r w:rsidRPr="00513CA6">
              <w:rPr>
                <w:b/>
                <w:sz w:val="22"/>
                <w:szCs w:val="22"/>
              </w:rPr>
              <w:t>18.255,88</w:t>
            </w:r>
          </w:p>
        </w:tc>
        <w:tc>
          <w:tcPr>
            <w:tcW w:w="1361" w:type="dxa"/>
            <w:shd w:val="clear" w:color="auto" w:fill="auto"/>
            <w:vAlign w:val="center"/>
          </w:tcPr>
          <w:p w14:paraId="1A970D5F" w14:textId="4EDF57FD" w:rsidR="00D23862" w:rsidRPr="00513CA6" w:rsidRDefault="00D23862" w:rsidP="00D23862">
            <w:pPr>
              <w:spacing w:after="0"/>
              <w:jc w:val="center"/>
              <w:rPr>
                <w:b/>
                <w:sz w:val="22"/>
                <w:szCs w:val="22"/>
              </w:rPr>
            </w:pPr>
            <w:r w:rsidRPr="00764B97">
              <w:rPr>
                <w:b/>
                <w:sz w:val="22"/>
                <w:szCs w:val="22"/>
              </w:rPr>
              <w:t>19</w:t>
            </w:r>
            <w:r>
              <w:rPr>
                <w:b/>
                <w:sz w:val="22"/>
                <w:szCs w:val="22"/>
              </w:rPr>
              <w:t>.</w:t>
            </w:r>
            <w:r w:rsidRPr="00764B97">
              <w:rPr>
                <w:b/>
                <w:sz w:val="22"/>
                <w:szCs w:val="22"/>
              </w:rPr>
              <w:t>319</w:t>
            </w:r>
            <w:r>
              <w:rPr>
                <w:b/>
                <w:sz w:val="22"/>
                <w:szCs w:val="22"/>
              </w:rPr>
              <w:t>,</w:t>
            </w:r>
            <w:r w:rsidRPr="00764B97">
              <w:rPr>
                <w:b/>
                <w:sz w:val="22"/>
                <w:szCs w:val="22"/>
              </w:rPr>
              <w:t>64</w:t>
            </w:r>
          </w:p>
        </w:tc>
        <w:tc>
          <w:tcPr>
            <w:tcW w:w="1361" w:type="dxa"/>
            <w:shd w:val="clear" w:color="auto" w:fill="auto"/>
            <w:noWrap/>
            <w:vAlign w:val="center"/>
          </w:tcPr>
          <w:p w14:paraId="2FE8A77D" w14:textId="40D4C9E5" w:rsidR="00D23862" w:rsidRPr="00513CA6" w:rsidRDefault="00D23862" w:rsidP="00D23862">
            <w:pPr>
              <w:spacing w:after="0"/>
              <w:jc w:val="center"/>
              <w:rPr>
                <w:b/>
                <w:sz w:val="22"/>
                <w:szCs w:val="22"/>
              </w:rPr>
            </w:pPr>
            <w:r w:rsidRPr="00764B97">
              <w:rPr>
                <w:b/>
                <w:sz w:val="22"/>
                <w:szCs w:val="22"/>
              </w:rPr>
              <w:t>19</w:t>
            </w:r>
            <w:r>
              <w:rPr>
                <w:b/>
                <w:sz w:val="22"/>
                <w:szCs w:val="22"/>
              </w:rPr>
              <w:t>.</w:t>
            </w:r>
            <w:r w:rsidRPr="00764B97">
              <w:rPr>
                <w:b/>
                <w:sz w:val="22"/>
                <w:szCs w:val="22"/>
              </w:rPr>
              <w:t>438</w:t>
            </w:r>
            <w:r>
              <w:rPr>
                <w:b/>
                <w:sz w:val="22"/>
                <w:szCs w:val="22"/>
              </w:rPr>
              <w:t>,</w:t>
            </w:r>
            <w:r w:rsidRPr="00764B97">
              <w:rPr>
                <w:b/>
                <w:sz w:val="22"/>
                <w:szCs w:val="22"/>
              </w:rPr>
              <w:t>70</w:t>
            </w:r>
          </w:p>
        </w:tc>
        <w:tc>
          <w:tcPr>
            <w:tcW w:w="1361" w:type="dxa"/>
            <w:shd w:val="clear" w:color="auto" w:fill="auto"/>
            <w:vAlign w:val="center"/>
          </w:tcPr>
          <w:p w14:paraId="0B6E462C" w14:textId="70B363F7" w:rsidR="00D23862" w:rsidRPr="00513CA6" w:rsidRDefault="00D23862" w:rsidP="00D23862">
            <w:pPr>
              <w:spacing w:after="0"/>
              <w:jc w:val="center"/>
              <w:rPr>
                <w:b/>
                <w:sz w:val="22"/>
                <w:szCs w:val="22"/>
              </w:rPr>
            </w:pPr>
            <w:r w:rsidRPr="00764B97">
              <w:rPr>
                <w:b/>
                <w:sz w:val="22"/>
                <w:szCs w:val="22"/>
              </w:rPr>
              <w:t>17</w:t>
            </w:r>
            <w:r>
              <w:rPr>
                <w:b/>
                <w:sz w:val="22"/>
                <w:szCs w:val="22"/>
              </w:rPr>
              <w:t>.</w:t>
            </w:r>
            <w:r w:rsidRPr="00764B97">
              <w:rPr>
                <w:b/>
                <w:sz w:val="22"/>
                <w:szCs w:val="22"/>
              </w:rPr>
              <w:t>701</w:t>
            </w:r>
            <w:r>
              <w:rPr>
                <w:b/>
                <w:sz w:val="22"/>
                <w:szCs w:val="22"/>
              </w:rPr>
              <w:t>,</w:t>
            </w:r>
            <w:r w:rsidRPr="00764B97">
              <w:rPr>
                <w:b/>
                <w:sz w:val="22"/>
                <w:szCs w:val="22"/>
              </w:rPr>
              <w:t>46</w:t>
            </w:r>
          </w:p>
        </w:tc>
        <w:tc>
          <w:tcPr>
            <w:tcW w:w="1361" w:type="dxa"/>
            <w:shd w:val="clear" w:color="auto" w:fill="auto"/>
            <w:noWrap/>
          </w:tcPr>
          <w:p w14:paraId="2086BEB5" w14:textId="7B18331B" w:rsidR="00D23862" w:rsidRPr="00513CA6" w:rsidRDefault="00D23862" w:rsidP="00D23862">
            <w:pPr>
              <w:spacing w:after="0"/>
              <w:jc w:val="center"/>
              <w:rPr>
                <w:b/>
                <w:sz w:val="22"/>
                <w:szCs w:val="22"/>
              </w:rPr>
            </w:pPr>
            <w:r w:rsidRPr="00D23862">
              <w:rPr>
                <w:b/>
                <w:sz w:val="22"/>
                <w:szCs w:val="22"/>
              </w:rPr>
              <w:t>15</w:t>
            </w:r>
            <w:r>
              <w:rPr>
                <w:b/>
                <w:sz w:val="22"/>
                <w:szCs w:val="22"/>
              </w:rPr>
              <w:t>.</w:t>
            </w:r>
            <w:r w:rsidRPr="00D23862">
              <w:rPr>
                <w:b/>
                <w:sz w:val="22"/>
                <w:szCs w:val="22"/>
              </w:rPr>
              <w:t>648</w:t>
            </w:r>
            <w:r>
              <w:rPr>
                <w:b/>
                <w:sz w:val="22"/>
                <w:szCs w:val="22"/>
              </w:rPr>
              <w:t>,</w:t>
            </w:r>
            <w:r w:rsidRPr="00D23862">
              <w:rPr>
                <w:b/>
                <w:sz w:val="22"/>
                <w:szCs w:val="22"/>
              </w:rPr>
              <w:t>96</w:t>
            </w:r>
          </w:p>
        </w:tc>
      </w:tr>
    </w:tbl>
    <w:p w14:paraId="69DD5200" w14:textId="77777777" w:rsidR="00047D71" w:rsidRPr="00047D71" w:rsidRDefault="00047D71" w:rsidP="005C34AB"/>
    <w:p w14:paraId="3CFF6B50" w14:textId="2ACD957F" w:rsidR="00C21988" w:rsidRPr="00B47BDA" w:rsidRDefault="00C21988" w:rsidP="005C2C7E">
      <w:pPr>
        <w:pStyle w:val="Heading3"/>
        <w:numPr>
          <w:ilvl w:val="2"/>
          <w:numId w:val="175"/>
        </w:numPr>
      </w:pPr>
      <w:bookmarkStart w:id="555" w:name="_Toc531935172"/>
      <w:bookmarkStart w:id="556" w:name="_Toc531945122"/>
      <w:bookmarkStart w:id="557" w:name="_Toc6302380"/>
      <w:bookmarkStart w:id="558" w:name="_Toc187418361"/>
      <w:bookmarkStart w:id="559" w:name="_Toc193043286"/>
      <w:r w:rsidRPr="00B47BDA">
        <w:t>Energija iz obnovljivih izvora</w:t>
      </w:r>
      <w:bookmarkEnd w:id="555"/>
      <w:bookmarkEnd w:id="556"/>
      <w:bookmarkEnd w:id="557"/>
      <w:bookmarkEnd w:id="558"/>
      <w:bookmarkEnd w:id="559"/>
      <w:r w:rsidRPr="00B47BDA">
        <w:t xml:space="preserve"> </w:t>
      </w:r>
    </w:p>
    <w:p w14:paraId="5A6A5F0A" w14:textId="7FADF1EB" w:rsidR="00D70EED" w:rsidRPr="00B47BDA" w:rsidRDefault="00C1390C" w:rsidP="005C2C7E">
      <w:pPr>
        <w:pStyle w:val="Heading4"/>
        <w:numPr>
          <w:ilvl w:val="3"/>
          <w:numId w:val="175"/>
        </w:numPr>
        <w:ind w:hanging="580"/>
      </w:pPr>
      <w:r w:rsidRPr="00B47BDA">
        <w:t>Trenutačni udio energije iz obnovljivih izvora u konačnoj bruto potrošnji energije i u različitim sektorima (grijanje i hlađenje, električna energija i promet) kao i po tehnologiji u svakom od tih sektora</w:t>
      </w:r>
    </w:p>
    <w:p w14:paraId="38D3B693" w14:textId="12326687" w:rsidR="005F3F29" w:rsidRPr="00B47BDA" w:rsidRDefault="005F3F29" w:rsidP="004623DD">
      <w:r w:rsidRPr="00B47BDA">
        <w:t>U slučaju scenarija s postojećim mjerama (</w:t>
      </w:r>
      <w:r w:rsidR="00615052" w:rsidRPr="00B47BDA">
        <w:t>WEM</w:t>
      </w:r>
      <w:r w:rsidRPr="00B47BDA">
        <w:t xml:space="preserve">), udjeli OIE i </w:t>
      </w:r>
      <w:r w:rsidR="00615052" w:rsidRPr="00B47BDA">
        <w:t>projekcije</w:t>
      </w:r>
      <w:r w:rsidRPr="00B47BDA">
        <w:t xml:space="preserve"> uz postojeće mjere prikazan</w:t>
      </w:r>
      <w:r w:rsidR="0046474C" w:rsidRPr="00B47BDA">
        <w:t>i</w:t>
      </w:r>
      <w:r w:rsidRPr="00B47BDA">
        <w:t xml:space="preserve"> su u nastavku.</w:t>
      </w:r>
    </w:p>
    <w:p w14:paraId="2D0FF4AE" w14:textId="35EF9E1D" w:rsidR="005F3F29" w:rsidRPr="00B47BDA" w:rsidRDefault="005F3F29" w:rsidP="004623DD">
      <w:pPr>
        <w:pStyle w:val="Caption"/>
      </w:pPr>
      <w:bookmarkStart w:id="560" w:name="_Toc193035961"/>
      <w:r w:rsidRPr="00B47BDA">
        <w:t xml:space="preserve">Tablica </w:t>
      </w:r>
      <w:r>
        <w:fldChar w:fldCharType="begin"/>
      </w:r>
      <w:r>
        <w:instrText>STYLEREF 1 \s</w:instrText>
      </w:r>
      <w:r>
        <w:fldChar w:fldCharType="separate"/>
      </w:r>
      <w:r w:rsidR="00AD324D">
        <w:rPr>
          <w:noProof/>
        </w:rPr>
        <w:t>4</w:t>
      </w:r>
      <w:r>
        <w:fldChar w:fldCharType="end"/>
      </w:r>
      <w:r w:rsidR="00DE7F11" w:rsidRPr="00B47BDA">
        <w:noBreakHyphen/>
      </w:r>
      <w:r>
        <w:fldChar w:fldCharType="begin"/>
      </w:r>
      <w:r>
        <w:instrText>SEQ Tablica \* ARABIC \s 1</w:instrText>
      </w:r>
      <w:r>
        <w:fldChar w:fldCharType="separate"/>
      </w:r>
      <w:r w:rsidR="008138CC">
        <w:rPr>
          <w:noProof/>
        </w:rPr>
        <w:t>10</w:t>
      </w:r>
      <w:r>
        <w:fldChar w:fldCharType="end"/>
      </w:r>
      <w:r w:rsidRPr="00B47BDA">
        <w:t>. Indikativn</w:t>
      </w:r>
      <w:r w:rsidR="0046474C" w:rsidRPr="00B47BDA">
        <w:t>e</w:t>
      </w:r>
      <w:r w:rsidRPr="00B47BDA">
        <w:t xml:space="preserve"> putanje za udjele OIE do 20</w:t>
      </w:r>
      <w:r w:rsidR="00610F2E" w:rsidRPr="00B47BDA">
        <w:t>3</w:t>
      </w:r>
      <w:r w:rsidRPr="00B47BDA">
        <w:t xml:space="preserve">0. godine </w:t>
      </w:r>
      <w:r w:rsidR="00615052" w:rsidRPr="00B47BDA">
        <w:t>prema</w:t>
      </w:r>
      <w:r w:rsidRPr="00B47BDA">
        <w:t xml:space="preserve"> scenariju s postojećim mjerama</w:t>
      </w:r>
      <w:r w:rsidR="00615052" w:rsidRPr="00B47BDA">
        <w:t xml:space="preserve"> (WEM)</w:t>
      </w:r>
      <w:bookmarkEnd w:id="560"/>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3"/>
        <w:gridCol w:w="1134"/>
        <w:gridCol w:w="1275"/>
        <w:gridCol w:w="1981"/>
      </w:tblGrid>
      <w:tr w:rsidR="00C0104B" w:rsidRPr="00B532F4" w14:paraId="34AE518A" w14:textId="77777777" w:rsidTr="00222380">
        <w:trPr>
          <w:trHeight w:val="275"/>
          <w:jc w:val="center"/>
        </w:trPr>
        <w:tc>
          <w:tcPr>
            <w:tcW w:w="5103" w:type="dxa"/>
            <w:vMerge w:val="restart"/>
            <w:shd w:val="clear" w:color="auto" w:fill="DEEAF6" w:themeFill="accent1" w:themeFillTint="33"/>
            <w:noWrap/>
            <w:vAlign w:val="center"/>
            <w:hideMark/>
          </w:tcPr>
          <w:p w14:paraId="582A716E" w14:textId="77777777" w:rsidR="00C0104B" w:rsidRPr="00C64EEA" w:rsidRDefault="00C0104B" w:rsidP="006B77FC">
            <w:pPr>
              <w:spacing w:after="0"/>
              <w:jc w:val="center"/>
              <w:rPr>
                <w:rFonts w:ascii="Times New Roman" w:hAnsi="Times New Roman"/>
                <w:b/>
                <w:sz w:val="22"/>
                <w:szCs w:val="22"/>
              </w:rPr>
            </w:pPr>
            <w:r w:rsidRPr="00C64EEA">
              <w:rPr>
                <w:b/>
                <w:sz w:val="22"/>
                <w:szCs w:val="22"/>
              </w:rPr>
              <w:t>Udio OIE, %</w:t>
            </w:r>
          </w:p>
        </w:tc>
        <w:tc>
          <w:tcPr>
            <w:tcW w:w="2409" w:type="dxa"/>
            <w:gridSpan w:val="2"/>
            <w:shd w:val="clear" w:color="auto" w:fill="DEEAF6" w:themeFill="accent1" w:themeFillTint="33"/>
            <w:noWrap/>
            <w:vAlign w:val="center"/>
            <w:hideMark/>
          </w:tcPr>
          <w:p w14:paraId="09A23D34" w14:textId="60D3C00B" w:rsidR="00C0104B" w:rsidRPr="00C64EEA" w:rsidRDefault="00C0104B" w:rsidP="006B77FC">
            <w:pPr>
              <w:spacing w:after="0"/>
              <w:jc w:val="center"/>
              <w:rPr>
                <w:b/>
                <w:sz w:val="22"/>
                <w:szCs w:val="22"/>
              </w:rPr>
            </w:pPr>
            <w:r w:rsidRPr="00C64EEA">
              <w:rPr>
                <w:b/>
                <w:sz w:val="22"/>
                <w:szCs w:val="22"/>
              </w:rPr>
              <w:t>Ostvareno</w:t>
            </w:r>
          </w:p>
        </w:tc>
        <w:tc>
          <w:tcPr>
            <w:tcW w:w="1981" w:type="dxa"/>
            <w:vMerge w:val="restart"/>
            <w:shd w:val="clear" w:color="auto" w:fill="DEEAF6" w:themeFill="accent1" w:themeFillTint="33"/>
            <w:noWrap/>
            <w:vAlign w:val="center"/>
            <w:hideMark/>
          </w:tcPr>
          <w:p w14:paraId="260DE57C" w14:textId="3B1AAE6C" w:rsidR="00C0104B" w:rsidRPr="00C64EEA" w:rsidRDefault="00C0104B" w:rsidP="006B77FC">
            <w:pPr>
              <w:spacing w:after="0"/>
              <w:jc w:val="center"/>
              <w:rPr>
                <w:b/>
                <w:sz w:val="22"/>
                <w:szCs w:val="22"/>
              </w:rPr>
            </w:pPr>
            <w:r w:rsidRPr="00C64EEA">
              <w:rPr>
                <w:b/>
                <w:sz w:val="22"/>
                <w:szCs w:val="22"/>
              </w:rPr>
              <w:t>Projekcija 2030.</w:t>
            </w:r>
          </w:p>
          <w:p w14:paraId="0A3F035D" w14:textId="3BA0F220" w:rsidR="00C0104B" w:rsidRPr="00C64EEA" w:rsidRDefault="00C0104B" w:rsidP="006B77FC">
            <w:pPr>
              <w:spacing w:after="0"/>
              <w:jc w:val="center"/>
              <w:rPr>
                <w:b/>
                <w:sz w:val="22"/>
                <w:szCs w:val="22"/>
              </w:rPr>
            </w:pPr>
            <w:r w:rsidRPr="00C64EEA">
              <w:rPr>
                <w:b/>
                <w:sz w:val="22"/>
                <w:szCs w:val="22"/>
              </w:rPr>
              <w:t>(Scenarij WEM)</w:t>
            </w:r>
          </w:p>
        </w:tc>
      </w:tr>
      <w:tr w:rsidR="00C0104B" w:rsidRPr="00B532F4" w14:paraId="6B16C94F" w14:textId="77777777" w:rsidTr="00222380">
        <w:trPr>
          <w:trHeight w:val="275"/>
          <w:jc w:val="center"/>
        </w:trPr>
        <w:tc>
          <w:tcPr>
            <w:tcW w:w="5103" w:type="dxa"/>
            <w:vMerge/>
            <w:shd w:val="clear" w:color="auto" w:fill="DEEAF6" w:themeFill="accent1" w:themeFillTint="33"/>
            <w:noWrap/>
            <w:vAlign w:val="center"/>
          </w:tcPr>
          <w:p w14:paraId="296A8CC5" w14:textId="77777777" w:rsidR="00C0104B" w:rsidRPr="00C64EEA" w:rsidRDefault="00C0104B" w:rsidP="006B77FC">
            <w:pPr>
              <w:spacing w:after="0"/>
              <w:jc w:val="center"/>
              <w:rPr>
                <w:b/>
                <w:sz w:val="22"/>
                <w:szCs w:val="22"/>
              </w:rPr>
            </w:pPr>
          </w:p>
        </w:tc>
        <w:tc>
          <w:tcPr>
            <w:tcW w:w="1134" w:type="dxa"/>
            <w:shd w:val="clear" w:color="auto" w:fill="DEEAF6" w:themeFill="accent1" w:themeFillTint="33"/>
            <w:noWrap/>
            <w:vAlign w:val="center"/>
          </w:tcPr>
          <w:p w14:paraId="77A72B71" w14:textId="770BD5FC" w:rsidR="00C0104B" w:rsidRPr="00C64EEA" w:rsidRDefault="00C0104B" w:rsidP="006B77FC">
            <w:pPr>
              <w:spacing w:after="0"/>
              <w:jc w:val="center"/>
              <w:rPr>
                <w:b/>
                <w:sz w:val="22"/>
                <w:szCs w:val="22"/>
              </w:rPr>
            </w:pPr>
            <w:r>
              <w:rPr>
                <w:b/>
                <w:sz w:val="22"/>
                <w:szCs w:val="22"/>
              </w:rPr>
              <w:t>2021.</w:t>
            </w:r>
          </w:p>
        </w:tc>
        <w:tc>
          <w:tcPr>
            <w:tcW w:w="1275" w:type="dxa"/>
            <w:shd w:val="clear" w:color="auto" w:fill="DEEAF6" w:themeFill="accent1" w:themeFillTint="33"/>
            <w:vAlign w:val="center"/>
          </w:tcPr>
          <w:p w14:paraId="633A91FF" w14:textId="359F2FED" w:rsidR="00C0104B" w:rsidRDefault="00C0104B" w:rsidP="006B77FC">
            <w:pPr>
              <w:spacing w:after="0"/>
              <w:jc w:val="center"/>
              <w:rPr>
                <w:b/>
                <w:sz w:val="22"/>
                <w:szCs w:val="22"/>
              </w:rPr>
            </w:pPr>
            <w:r>
              <w:rPr>
                <w:b/>
                <w:sz w:val="22"/>
                <w:szCs w:val="22"/>
              </w:rPr>
              <w:t>2022.</w:t>
            </w:r>
          </w:p>
        </w:tc>
        <w:tc>
          <w:tcPr>
            <w:tcW w:w="1981" w:type="dxa"/>
            <w:vMerge/>
            <w:shd w:val="clear" w:color="auto" w:fill="DEEAF6" w:themeFill="accent1" w:themeFillTint="33"/>
            <w:noWrap/>
            <w:vAlign w:val="center"/>
          </w:tcPr>
          <w:p w14:paraId="58FFDEE4" w14:textId="77777777" w:rsidR="00C0104B" w:rsidRPr="00C64EEA" w:rsidRDefault="00C0104B" w:rsidP="006B77FC">
            <w:pPr>
              <w:spacing w:after="0"/>
              <w:jc w:val="center"/>
              <w:rPr>
                <w:b/>
                <w:sz w:val="22"/>
                <w:szCs w:val="22"/>
              </w:rPr>
            </w:pPr>
          </w:p>
        </w:tc>
      </w:tr>
      <w:tr w:rsidR="00BB3543" w:rsidRPr="00B532F4" w14:paraId="49812B03" w14:textId="77777777" w:rsidTr="00222380">
        <w:trPr>
          <w:trHeight w:val="290"/>
          <w:jc w:val="center"/>
        </w:trPr>
        <w:tc>
          <w:tcPr>
            <w:tcW w:w="5103" w:type="dxa"/>
            <w:shd w:val="clear" w:color="auto" w:fill="auto"/>
            <w:noWrap/>
            <w:vAlign w:val="center"/>
            <w:hideMark/>
          </w:tcPr>
          <w:p w14:paraId="1E7AE04B" w14:textId="3CAE4654" w:rsidR="00BB3543" w:rsidRPr="00C64EEA" w:rsidRDefault="00BB3543" w:rsidP="006B77FC">
            <w:pPr>
              <w:spacing w:after="0"/>
              <w:rPr>
                <w:sz w:val="22"/>
                <w:szCs w:val="22"/>
              </w:rPr>
            </w:pPr>
            <w:r w:rsidRPr="00C64EEA">
              <w:rPr>
                <w:sz w:val="22"/>
                <w:szCs w:val="22"/>
              </w:rPr>
              <w:t>U bruto neposrednoj potrošnji energije</w:t>
            </w:r>
          </w:p>
        </w:tc>
        <w:tc>
          <w:tcPr>
            <w:tcW w:w="1134" w:type="dxa"/>
            <w:shd w:val="clear" w:color="auto" w:fill="auto"/>
            <w:noWrap/>
            <w:vAlign w:val="center"/>
            <w:hideMark/>
          </w:tcPr>
          <w:p w14:paraId="6AFB69D2" w14:textId="3B7DC846" w:rsidR="00BB3543" w:rsidRPr="00C64EEA" w:rsidRDefault="00BB3543" w:rsidP="006B77FC">
            <w:pPr>
              <w:spacing w:after="0"/>
              <w:jc w:val="center"/>
              <w:rPr>
                <w:sz w:val="22"/>
                <w:szCs w:val="22"/>
              </w:rPr>
            </w:pPr>
            <w:r w:rsidRPr="00C64EEA">
              <w:rPr>
                <w:sz w:val="22"/>
                <w:szCs w:val="22"/>
              </w:rPr>
              <w:t>31,7</w:t>
            </w:r>
          </w:p>
        </w:tc>
        <w:tc>
          <w:tcPr>
            <w:tcW w:w="1275" w:type="dxa"/>
            <w:vAlign w:val="center"/>
          </w:tcPr>
          <w:p w14:paraId="535569FC" w14:textId="0288CDB8" w:rsidR="00BB3543" w:rsidRPr="00C64EEA" w:rsidRDefault="009D0D8B" w:rsidP="006B77FC">
            <w:pPr>
              <w:spacing w:after="0"/>
              <w:jc w:val="center"/>
              <w:rPr>
                <w:sz w:val="22"/>
                <w:szCs w:val="22"/>
              </w:rPr>
            </w:pPr>
            <w:r>
              <w:rPr>
                <w:sz w:val="22"/>
                <w:szCs w:val="22"/>
              </w:rPr>
              <w:t>29,4</w:t>
            </w:r>
          </w:p>
        </w:tc>
        <w:tc>
          <w:tcPr>
            <w:tcW w:w="1981" w:type="dxa"/>
            <w:shd w:val="clear" w:color="auto" w:fill="auto"/>
            <w:noWrap/>
            <w:vAlign w:val="center"/>
            <w:hideMark/>
          </w:tcPr>
          <w:p w14:paraId="4A178F8E" w14:textId="55D479E7" w:rsidR="00BB3543" w:rsidRPr="00C64EEA" w:rsidRDefault="00BB3543" w:rsidP="006B77FC">
            <w:pPr>
              <w:spacing w:after="0"/>
              <w:jc w:val="center"/>
              <w:rPr>
                <w:sz w:val="22"/>
                <w:szCs w:val="22"/>
              </w:rPr>
            </w:pPr>
            <w:r w:rsidRPr="00C64EEA">
              <w:rPr>
                <w:sz w:val="22"/>
                <w:szCs w:val="22"/>
              </w:rPr>
              <w:t>35,0</w:t>
            </w:r>
          </w:p>
        </w:tc>
      </w:tr>
      <w:tr w:rsidR="00BB3543" w:rsidRPr="00B532F4" w14:paraId="72B7EAFA" w14:textId="77777777" w:rsidTr="00222380">
        <w:trPr>
          <w:trHeight w:val="290"/>
          <w:jc w:val="center"/>
        </w:trPr>
        <w:tc>
          <w:tcPr>
            <w:tcW w:w="5103" w:type="dxa"/>
            <w:shd w:val="clear" w:color="auto" w:fill="auto"/>
            <w:noWrap/>
            <w:vAlign w:val="center"/>
            <w:hideMark/>
          </w:tcPr>
          <w:p w14:paraId="7B5BE33C" w14:textId="64A77C6C" w:rsidR="00BB3543" w:rsidRPr="00C64EEA" w:rsidRDefault="00BB3543" w:rsidP="006B77FC">
            <w:pPr>
              <w:spacing w:after="0"/>
              <w:rPr>
                <w:sz w:val="22"/>
                <w:szCs w:val="22"/>
              </w:rPr>
            </w:pPr>
            <w:r w:rsidRPr="00C64EEA">
              <w:rPr>
                <w:sz w:val="22"/>
                <w:szCs w:val="22"/>
              </w:rPr>
              <w:t>U bruto neposrednoj potrošnji električne energije</w:t>
            </w:r>
          </w:p>
        </w:tc>
        <w:tc>
          <w:tcPr>
            <w:tcW w:w="1134" w:type="dxa"/>
            <w:shd w:val="clear" w:color="auto" w:fill="auto"/>
            <w:noWrap/>
            <w:vAlign w:val="center"/>
            <w:hideMark/>
          </w:tcPr>
          <w:p w14:paraId="0F296A23" w14:textId="61C6EF83" w:rsidR="00BB3543" w:rsidRPr="00C64EEA" w:rsidRDefault="00BB3543" w:rsidP="006B77FC">
            <w:pPr>
              <w:spacing w:after="0"/>
              <w:jc w:val="center"/>
              <w:rPr>
                <w:sz w:val="22"/>
                <w:szCs w:val="22"/>
              </w:rPr>
            </w:pPr>
            <w:r w:rsidRPr="00C64EEA">
              <w:rPr>
                <w:sz w:val="22"/>
                <w:szCs w:val="22"/>
              </w:rPr>
              <w:t>53,5</w:t>
            </w:r>
          </w:p>
        </w:tc>
        <w:tc>
          <w:tcPr>
            <w:tcW w:w="1275" w:type="dxa"/>
            <w:vAlign w:val="center"/>
          </w:tcPr>
          <w:p w14:paraId="3BD5066E" w14:textId="62227A5A" w:rsidR="00BB3543" w:rsidRPr="00C64EEA" w:rsidRDefault="00B060EE" w:rsidP="006B77FC">
            <w:pPr>
              <w:spacing w:after="0"/>
              <w:jc w:val="center"/>
              <w:rPr>
                <w:sz w:val="22"/>
                <w:szCs w:val="22"/>
              </w:rPr>
            </w:pPr>
            <w:r>
              <w:rPr>
                <w:sz w:val="22"/>
                <w:szCs w:val="22"/>
              </w:rPr>
              <w:t>55,5</w:t>
            </w:r>
          </w:p>
        </w:tc>
        <w:tc>
          <w:tcPr>
            <w:tcW w:w="1981" w:type="dxa"/>
            <w:shd w:val="clear" w:color="auto" w:fill="auto"/>
            <w:noWrap/>
            <w:vAlign w:val="center"/>
            <w:hideMark/>
          </w:tcPr>
          <w:p w14:paraId="42D98593" w14:textId="75AE53E2" w:rsidR="00BB3543" w:rsidRPr="00C64EEA" w:rsidRDefault="00BB3543" w:rsidP="006B77FC">
            <w:pPr>
              <w:spacing w:after="0"/>
              <w:jc w:val="center"/>
              <w:rPr>
                <w:sz w:val="22"/>
                <w:szCs w:val="22"/>
              </w:rPr>
            </w:pPr>
            <w:r w:rsidRPr="00C64EEA">
              <w:rPr>
                <w:sz w:val="22"/>
                <w:szCs w:val="22"/>
              </w:rPr>
              <w:t>63,6</w:t>
            </w:r>
          </w:p>
        </w:tc>
      </w:tr>
      <w:tr w:rsidR="00BB3543" w:rsidRPr="00B532F4" w14:paraId="68568AA8" w14:textId="77777777" w:rsidTr="00222380">
        <w:trPr>
          <w:trHeight w:val="290"/>
          <w:jc w:val="center"/>
        </w:trPr>
        <w:tc>
          <w:tcPr>
            <w:tcW w:w="5103" w:type="dxa"/>
            <w:shd w:val="clear" w:color="auto" w:fill="auto"/>
            <w:noWrap/>
            <w:vAlign w:val="center"/>
            <w:hideMark/>
          </w:tcPr>
          <w:p w14:paraId="14BE779A" w14:textId="7AAA15C5" w:rsidR="00BB3543" w:rsidRPr="00C64EEA" w:rsidRDefault="00BB3543" w:rsidP="006B77FC">
            <w:pPr>
              <w:spacing w:after="0"/>
              <w:rPr>
                <w:sz w:val="22"/>
                <w:szCs w:val="22"/>
              </w:rPr>
            </w:pPr>
            <w:r w:rsidRPr="00C64EEA">
              <w:rPr>
                <w:sz w:val="22"/>
                <w:szCs w:val="22"/>
              </w:rPr>
              <w:t>U bruto neposrednoj potrošnji energije za grijanje i hlađenje</w:t>
            </w:r>
          </w:p>
        </w:tc>
        <w:tc>
          <w:tcPr>
            <w:tcW w:w="1134" w:type="dxa"/>
            <w:shd w:val="clear" w:color="auto" w:fill="auto"/>
            <w:noWrap/>
            <w:vAlign w:val="center"/>
            <w:hideMark/>
          </w:tcPr>
          <w:p w14:paraId="69FF0F4E" w14:textId="7564403E" w:rsidR="00BB3543" w:rsidRPr="00C64EEA" w:rsidRDefault="00BB3543" w:rsidP="006B77FC">
            <w:pPr>
              <w:spacing w:after="0"/>
              <w:jc w:val="center"/>
              <w:rPr>
                <w:sz w:val="22"/>
                <w:szCs w:val="22"/>
              </w:rPr>
            </w:pPr>
            <w:r w:rsidRPr="00C64EEA">
              <w:rPr>
                <w:sz w:val="22"/>
                <w:szCs w:val="22"/>
              </w:rPr>
              <w:t>38,0</w:t>
            </w:r>
          </w:p>
        </w:tc>
        <w:tc>
          <w:tcPr>
            <w:tcW w:w="1275" w:type="dxa"/>
            <w:vAlign w:val="center"/>
          </w:tcPr>
          <w:p w14:paraId="392B040F" w14:textId="216C20F3" w:rsidR="00BB3543" w:rsidRPr="00C64EEA" w:rsidRDefault="00B060EE" w:rsidP="006B77FC">
            <w:pPr>
              <w:spacing w:after="0"/>
              <w:jc w:val="center"/>
              <w:rPr>
                <w:sz w:val="22"/>
                <w:szCs w:val="22"/>
              </w:rPr>
            </w:pPr>
            <w:r>
              <w:rPr>
                <w:sz w:val="22"/>
                <w:szCs w:val="22"/>
              </w:rPr>
              <w:t>37,2</w:t>
            </w:r>
          </w:p>
        </w:tc>
        <w:tc>
          <w:tcPr>
            <w:tcW w:w="1981" w:type="dxa"/>
            <w:shd w:val="clear" w:color="auto" w:fill="auto"/>
            <w:noWrap/>
            <w:vAlign w:val="center"/>
            <w:hideMark/>
          </w:tcPr>
          <w:p w14:paraId="78FB24A9" w14:textId="02CACD1A" w:rsidR="00BB3543" w:rsidRPr="00C64EEA" w:rsidRDefault="00BB3543" w:rsidP="006B77FC">
            <w:pPr>
              <w:spacing w:after="0"/>
              <w:jc w:val="center"/>
              <w:rPr>
                <w:sz w:val="22"/>
                <w:szCs w:val="22"/>
              </w:rPr>
            </w:pPr>
            <w:r w:rsidRPr="00C64EEA">
              <w:rPr>
                <w:sz w:val="22"/>
                <w:szCs w:val="22"/>
              </w:rPr>
              <w:t>40,0</w:t>
            </w:r>
          </w:p>
        </w:tc>
      </w:tr>
      <w:tr w:rsidR="00BB3543" w:rsidRPr="00B532F4" w14:paraId="53D3127A" w14:textId="77777777" w:rsidTr="00222380">
        <w:trPr>
          <w:trHeight w:val="290"/>
          <w:jc w:val="center"/>
        </w:trPr>
        <w:tc>
          <w:tcPr>
            <w:tcW w:w="5103" w:type="dxa"/>
            <w:shd w:val="clear" w:color="auto" w:fill="auto"/>
            <w:noWrap/>
            <w:vAlign w:val="center"/>
            <w:hideMark/>
          </w:tcPr>
          <w:p w14:paraId="5B125035" w14:textId="5720D165" w:rsidR="00BB3543" w:rsidRPr="00C64EEA" w:rsidRDefault="00BB3543" w:rsidP="006B77FC">
            <w:pPr>
              <w:spacing w:after="0"/>
              <w:rPr>
                <w:sz w:val="22"/>
                <w:szCs w:val="22"/>
              </w:rPr>
            </w:pPr>
            <w:r w:rsidRPr="00C64EEA">
              <w:rPr>
                <w:sz w:val="22"/>
                <w:szCs w:val="22"/>
              </w:rPr>
              <w:t>U neposrednoj potrošnji energije u prometu</w:t>
            </w:r>
          </w:p>
        </w:tc>
        <w:tc>
          <w:tcPr>
            <w:tcW w:w="1134" w:type="dxa"/>
            <w:shd w:val="clear" w:color="auto" w:fill="auto"/>
            <w:noWrap/>
            <w:vAlign w:val="center"/>
            <w:hideMark/>
          </w:tcPr>
          <w:p w14:paraId="689BE0C9" w14:textId="48B8477E" w:rsidR="00BB3543" w:rsidRPr="00C64EEA" w:rsidRDefault="00BB3543" w:rsidP="006B77FC">
            <w:pPr>
              <w:spacing w:after="0"/>
              <w:jc w:val="center"/>
              <w:rPr>
                <w:sz w:val="22"/>
                <w:szCs w:val="22"/>
              </w:rPr>
            </w:pPr>
            <w:r w:rsidRPr="00C64EEA">
              <w:rPr>
                <w:sz w:val="22"/>
                <w:szCs w:val="22"/>
              </w:rPr>
              <w:t>7,1</w:t>
            </w:r>
          </w:p>
        </w:tc>
        <w:tc>
          <w:tcPr>
            <w:tcW w:w="1275" w:type="dxa"/>
            <w:vAlign w:val="center"/>
          </w:tcPr>
          <w:p w14:paraId="68693D89" w14:textId="40382809" w:rsidR="00BB3543" w:rsidRPr="00C64EEA" w:rsidRDefault="00B060EE" w:rsidP="006B77FC">
            <w:pPr>
              <w:spacing w:after="0"/>
              <w:jc w:val="center"/>
              <w:rPr>
                <w:sz w:val="22"/>
                <w:szCs w:val="22"/>
              </w:rPr>
            </w:pPr>
            <w:r>
              <w:rPr>
                <w:sz w:val="22"/>
                <w:szCs w:val="22"/>
              </w:rPr>
              <w:t>2,4</w:t>
            </w:r>
          </w:p>
        </w:tc>
        <w:tc>
          <w:tcPr>
            <w:tcW w:w="1981" w:type="dxa"/>
            <w:shd w:val="clear" w:color="auto" w:fill="auto"/>
            <w:noWrap/>
            <w:vAlign w:val="center"/>
            <w:hideMark/>
          </w:tcPr>
          <w:p w14:paraId="3F0B6F90" w14:textId="10D577FF" w:rsidR="00BB3543" w:rsidRPr="00C64EEA" w:rsidRDefault="00BB3543" w:rsidP="006B77FC">
            <w:pPr>
              <w:spacing w:after="0"/>
              <w:jc w:val="center"/>
              <w:rPr>
                <w:sz w:val="22"/>
                <w:szCs w:val="22"/>
              </w:rPr>
            </w:pPr>
            <w:r w:rsidRPr="00C64EEA">
              <w:rPr>
                <w:sz w:val="22"/>
                <w:szCs w:val="22"/>
              </w:rPr>
              <w:t>10,7</w:t>
            </w:r>
          </w:p>
        </w:tc>
      </w:tr>
    </w:tbl>
    <w:p w14:paraId="52BCC6E1" w14:textId="4BAA445B" w:rsidR="005F436B" w:rsidRPr="00B47BDA" w:rsidRDefault="00960859" w:rsidP="005C2C7E">
      <w:pPr>
        <w:pStyle w:val="Heading4"/>
        <w:numPr>
          <w:ilvl w:val="3"/>
          <w:numId w:val="175"/>
        </w:numPr>
        <w:ind w:hanging="580"/>
      </w:pPr>
      <w:r w:rsidRPr="00B47BDA">
        <w:t>Okvirne projekcije kretanja uz postojeće politike do 2030. (s izgledima za 2040.</w:t>
      </w:r>
      <w:r w:rsidR="00761A51" w:rsidRPr="00B47BDA">
        <w:t>)</w:t>
      </w:r>
    </w:p>
    <w:p w14:paraId="6378C555" w14:textId="4BF271BD" w:rsidR="005F3F29" w:rsidRPr="00B47BDA" w:rsidRDefault="005F3F29" w:rsidP="004623DD">
      <w:r w:rsidRPr="00B47BDA">
        <w:t xml:space="preserve">Na </w:t>
      </w:r>
      <w:r w:rsidR="00AF2026" w:rsidRPr="00B47BDA">
        <w:t xml:space="preserve">sljedećim slikama </w:t>
      </w:r>
      <w:r w:rsidRPr="00B47BDA">
        <w:t>prikazane su očekivane putanje udjel</w:t>
      </w:r>
      <w:r w:rsidR="0046474C" w:rsidRPr="00B47BDA">
        <w:t>a</w:t>
      </w:r>
      <w:r w:rsidRPr="00B47BDA">
        <w:t xml:space="preserve"> za promatrane kategorije</w:t>
      </w:r>
      <w:r w:rsidR="00AF2026" w:rsidRPr="00B47BDA">
        <w:t>:</w:t>
      </w:r>
      <w:r w:rsidRPr="00B47BDA">
        <w:t xml:space="preserve"> OIE</w:t>
      </w:r>
      <w:r w:rsidR="0046474C" w:rsidRPr="00B47BDA">
        <w:t xml:space="preserve"> u bruto neposrednoj potrošnji</w:t>
      </w:r>
      <w:r w:rsidR="00AF2026" w:rsidRPr="00B47BDA">
        <w:t xml:space="preserve"> (</w:t>
      </w:r>
      <w:r w:rsidR="004358FC" w:rsidRPr="00B47BDA">
        <w:fldChar w:fldCharType="begin"/>
      </w:r>
      <w:r w:rsidR="004358FC" w:rsidRPr="00B47BDA">
        <w:rPr>
          <w:highlight w:val="yellow"/>
        </w:rPr>
        <w:instrText xml:space="preserve"> REF _Ref26267095 \h </w:instrText>
      </w:r>
      <w:r w:rsidR="00761A51" w:rsidRPr="00B47BDA">
        <w:rPr>
          <w:highlight w:val="yellow"/>
        </w:rPr>
        <w:instrText xml:space="preserve"> \* MERGEFORMAT </w:instrText>
      </w:r>
      <w:r w:rsidR="004358FC" w:rsidRPr="00B47BDA">
        <w:fldChar w:fldCharType="separate"/>
      </w:r>
      <w:r w:rsidR="007C5FB7" w:rsidRPr="00B47BDA">
        <w:t xml:space="preserve">Slika </w:t>
      </w:r>
      <w:r w:rsidR="007C5FB7">
        <w:t>4–</w:t>
      </w:r>
      <w:r w:rsidR="007C5FB7">
        <w:rPr>
          <w:noProof/>
        </w:rPr>
        <w:t>6</w:t>
      </w:r>
      <w:r w:rsidR="004358FC" w:rsidRPr="00B47BDA">
        <w:fldChar w:fldCharType="end"/>
      </w:r>
      <w:r w:rsidR="00AF2026" w:rsidRPr="00B47BDA">
        <w:t>)</w:t>
      </w:r>
      <w:r w:rsidRPr="00B47BDA">
        <w:t>, OIE u električnoj energiji</w:t>
      </w:r>
      <w:r w:rsidR="00D529C5" w:rsidRPr="00B47BDA">
        <w:t xml:space="preserve"> (</w:t>
      </w:r>
      <w:r w:rsidR="004358FC" w:rsidRPr="00B47BDA">
        <w:fldChar w:fldCharType="begin"/>
      </w:r>
      <w:r w:rsidR="004358FC" w:rsidRPr="00B47BDA">
        <w:rPr>
          <w:highlight w:val="yellow"/>
        </w:rPr>
        <w:instrText xml:space="preserve"> REF _Ref26267067 \h </w:instrText>
      </w:r>
      <w:r w:rsidR="00761A51" w:rsidRPr="00B47BDA">
        <w:rPr>
          <w:highlight w:val="yellow"/>
        </w:rPr>
        <w:instrText xml:space="preserve"> \* MERGEFORMAT </w:instrText>
      </w:r>
      <w:r w:rsidR="004358FC" w:rsidRPr="00B47BDA">
        <w:fldChar w:fldCharType="separate"/>
      </w:r>
      <w:r w:rsidR="007C5FB7" w:rsidRPr="00B47BDA">
        <w:t xml:space="preserve">Slika </w:t>
      </w:r>
      <w:r w:rsidR="007C5FB7">
        <w:t>4–</w:t>
      </w:r>
      <w:r w:rsidR="007C5FB7">
        <w:rPr>
          <w:noProof/>
        </w:rPr>
        <w:t>7</w:t>
      </w:r>
      <w:r w:rsidR="004358FC" w:rsidRPr="00B47BDA">
        <w:fldChar w:fldCharType="end"/>
      </w:r>
      <w:r w:rsidR="00D529C5" w:rsidRPr="00B47BDA">
        <w:t>)</w:t>
      </w:r>
      <w:r w:rsidRPr="00B47BDA">
        <w:t>, OIE u grijanju i hlađenju</w:t>
      </w:r>
      <w:r w:rsidR="00D529C5" w:rsidRPr="00B47BDA">
        <w:t xml:space="preserve"> (</w:t>
      </w:r>
      <w:r w:rsidR="004358FC" w:rsidRPr="00B47BDA">
        <w:fldChar w:fldCharType="begin"/>
      </w:r>
      <w:r w:rsidR="004358FC" w:rsidRPr="00B47BDA">
        <w:rPr>
          <w:highlight w:val="yellow"/>
        </w:rPr>
        <w:instrText xml:space="preserve"> REF _Ref26267107 \h </w:instrText>
      </w:r>
      <w:r w:rsidR="00761A51" w:rsidRPr="00B47BDA">
        <w:rPr>
          <w:highlight w:val="yellow"/>
        </w:rPr>
        <w:instrText xml:space="preserve"> \* MERGEFORMAT </w:instrText>
      </w:r>
      <w:r w:rsidR="004358FC" w:rsidRPr="00B47BDA">
        <w:fldChar w:fldCharType="separate"/>
      </w:r>
      <w:r w:rsidR="007C5FB7" w:rsidRPr="00B47BDA">
        <w:t xml:space="preserve">Slika </w:t>
      </w:r>
      <w:r w:rsidR="007C5FB7">
        <w:t>4–</w:t>
      </w:r>
      <w:r w:rsidR="007C5FB7">
        <w:rPr>
          <w:noProof/>
        </w:rPr>
        <w:t>8</w:t>
      </w:r>
      <w:r w:rsidR="004358FC" w:rsidRPr="00B47BDA">
        <w:fldChar w:fldCharType="end"/>
      </w:r>
      <w:r w:rsidR="00D529C5" w:rsidRPr="00B47BDA">
        <w:t>)</w:t>
      </w:r>
      <w:r w:rsidRPr="00B47BDA">
        <w:t xml:space="preserve"> i OIE u prometu</w:t>
      </w:r>
      <w:r w:rsidR="00D529C5" w:rsidRPr="00B47BDA">
        <w:t xml:space="preserve"> (</w:t>
      </w:r>
      <w:r w:rsidR="004358FC" w:rsidRPr="00B47BDA">
        <w:fldChar w:fldCharType="begin"/>
      </w:r>
      <w:r w:rsidR="004358FC" w:rsidRPr="00B47BDA">
        <w:rPr>
          <w:highlight w:val="yellow"/>
        </w:rPr>
        <w:instrText xml:space="preserve"> REF _Ref26267114 \h </w:instrText>
      </w:r>
      <w:r w:rsidR="00761A51" w:rsidRPr="00B47BDA">
        <w:rPr>
          <w:highlight w:val="yellow"/>
        </w:rPr>
        <w:instrText xml:space="preserve"> \* MERGEFORMAT </w:instrText>
      </w:r>
      <w:r w:rsidR="004358FC" w:rsidRPr="00B47BDA">
        <w:fldChar w:fldCharType="separate"/>
      </w:r>
      <w:r w:rsidR="007C5FB7" w:rsidRPr="00B47BDA">
        <w:t xml:space="preserve">Slika </w:t>
      </w:r>
      <w:r w:rsidR="007C5FB7">
        <w:t>4–</w:t>
      </w:r>
      <w:r w:rsidR="007C5FB7">
        <w:rPr>
          <w:noProof/>
        </w:rPr>
        <w:t>9</w:t>
      </w:r>
      <w:r w:rsidR="004358FC" w:rsidRPr="00B47BDA">
        <w:fldChar w:fldCharType="end"/>
      </w:r>
      <w:r w:rsidRPr="00B47BDA">
        <w:t>) za scenarij s postojećim mjerama</w:t>
      </w:r>
      <w:r w:rsidR="00764368" w:rsidRPr="00B47BDA">
        <w:t xml:space="preserve"> (WEM)</w:t>
      </w:r>
      <w:r w:rsidRPr="00B47BDA">
        <w:t>.</w:t>
      </w:r>
    </w:p>
    <w:p w14:paraId="6A8C469F" w14:textId="603D1381" w:rsidR="00CD0B78" w:rsidRPr="00B47BDA" w:rsidRDefault="0013006D" w:rsidP="00B532F4">
      <w:pPr>
        <w:jc w:val="center"/>
      </w:pPr>
      <w:r w:rsidRPr="00B47BDA">
        <w:rPr>
          <w:noProof/>
          <w:lang w:eastAsia="hr-HR"/>
        </w:rPr>
        <w:lastRenderedPageBreak/>
        <w:drawing>
          <wp:inline distT="0" distB="0" distL="0" distR="0" wp14:anchorId="2FDAEE71" wp14:editId="73D6EAEB">
            <wp:extent cx="4419600" cy="2813146"/>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21322" cy="2814242"/>
                    </a:xfrm>
                    <a:prstGeom prst="rect">
                      <a:avLst/>
                    </a:prstGeom>
                    <a:noFill/>
                    <a:ln>
                      <a:noFill/>
                    </a:ln>
                  </pic:spPr>
                </pic:pic>
              </a:graphicData>
            </a:graphic>
          </wp:inline>
        </w:drawing>
      </w:r>
    </w:p>
    <w:p w14:paraId="088FEBCC" w14:textId="45F50416" w:rsidR="00D529C5" w:rsidRPr="00B47BDA" w:rsidRDefault="00D529C5" w:rsidP="004623DD">
      <w:pPr>
        <w:pStyle w:val="Caption"/>
      </w:pPr>
      <w:bookmarkStart w:id="561" w:name="_Ref26267095"/>
      <w:bookmarkStart w:id="562" w:name="_Toc185605255"/>
      <w:bookmarkStart w:id="563" w:name="_Toc193035901"/>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7C5FB7">
        <w:rPr>
          <w:noProof/>
        </w:rPr>
        <w:t>6</w:t>
      </w:r>
      <w:r>
        <w:fldChar w:fldCharType="end"/>
      </w:r>
      <w:bookmarkEnd w:id="561"/>
      <w:r w:rsidRPr="00B47BDA">
        <w:t xml:space="preserve">. Indikativna putanja udjela OIE u bruto neposrednoj potrošnji energije </w:t>
      </w:r>
      <w:r w:rsidR="00470207" w:rsidRPr="00B47BDA">
        <w:t>(WEM scenarij)</w:t>
      </w:r>
      <w:bookmarkEnd w:id="562"/>
      <w:bookmarkEnd w:id="563"/>
    </w:p>
    <w:p w14:paraId="013FD30B" w14:textId="77777777" w:rsidR="00D529C5" w:rsidRPr="00B47BDA" w:rsidRDefault="00D529C5" w:rsidP="004623DD"/>
    <w:p w14:paraId="35F7B45D" w14:textId="5CF0EF09" w:rsidR="00C1635D" w:rsidRPr="00B47BDA" w:rsidRDefault="00C12FEC" w:rsidP="00B532F4">
      <w:pPr>
        <w:jc w:val="center"/>
      </w:pPr>
      <w:r w:rsidRPr="00B47BDA">
        <w:rPr>
          <w:noProof/>
          <w:lang w:eastAsia="hr-HR"/>
        </w:rPr>
        <w:drawing>
          <wp:inline distT="0" distB="0" distL="0" distR="0" wp14:anchorId="582C5F0F" wp14:editId="0A5B7AD9">
            <wp:extent cx="4559903" cy="290245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69381" cy="2908484"/>
                    </a:xfrm>
                    <a:prstGeom prst="rect">
                      <a:avLst/>
                    </a:prstGeom>
                    <a:noFill/>
                    <a:ln>
                      <a:noFill/>
                    </a:ln>
                  </pic:spPr>
                </pic:pic>
              </a:graphicData>
            </a:graphic>
          </wp:inline>
        </w:drawing>
      </w:r>
    </w:p>
    <w:p w14:paraId="04898A27" w14:textId="5D17F400" w:rsidR="00D529C5" w:rsidRDefault="00D529C5" w:rsidP="004623DD">
      <w:pPr>
        <w:pStyle w:val="Caption"/>
      </w:pPr>
      <w:bookmarkStart w:id="564" w:name="_Ref26267067"/>
      <w:bookmarkStart w:id="565" w:name="_Toc185605256"/>
      <w:bookmarkStart w:id="566" w:name="_Toc193035902"/>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7C5FB7">
        <w:rPr>
          <w:noProof/>
        </w:rPr>
        <w:t>7</w:t>
      </w:r>
      <w:r>
        <w:fldChar w:fldCharType="end"/>
      </w:r>
      <w:bookmarkEnd w:id="564"/>
      <w:r w:rsidRPr="00B47BDA">
        <w:t>. Indikativna putanja udjela OIE u električnoj energiji za scenarij s postojećim mjerama</w:t>
      </w:r>
      <w:bookmarkEnd w:id="565"/>
      <w:bookmarkEnd w:id="566"/>
    </w:p>
    <w:p w14:paraId="1F97C4D9" w14:textId="77777777" w:rsidR="00B532F4" w:rsidRPr="00B532F4" w:rsidRDefault="00B532F4" w:rsidP="00B532F4"/>
    <w:p w14:paraId="558A79AE" w14:textId="17D55922" w:rsidR="00C1635D" w:rsidRPr="00B47BDA" w:rsidRDefault="00BF4D96" w:rsidP="00B532F4">
      <w:pPr>
        <w:jc w:val="center"/>
      </w:pPr>
      <w:r w:rsidRPr="00BF4D96">
        <w:rPr>
          <w:noProof/>
        </w:rPr>
        <w:lastRenderedPageBreak/>
        <w:drawing>
          <wp:inline distT="0" distB="0" distL="0" distR="0" wp14:anchorId="03761C14" wp14:editId="05C5FF07">
            <wp:extent cx="4549140" cy="2895600"/>
            <wp:effectExtent l="0" t="0" r="3810" b="0"/>
            <wp:docPr id="119477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9140" cy="2895600"/>
                    </a:xfrm>
                    <a:prstGeom prst="rect">
                      <a:avLst/>
                    </a:prstGeom>
                    <a:noFill/>
                    <a:ln>
                      <a:noFill/>
                    </a:ln>
                  </pic:spPr>
                </pic:pic>
              </a:graphicData>
            </a:graphic>
          </wp:inline>
        </w:drawing>
      </w:r>
    </w:p>
    <w:p w14:paraId="7DBA592F" w14:textId="2DFDDDF3" w:rsidR="00D529C5" w:rsidRPr="00B47BDA" w:rsidRDefault="00D529C5" w:rsidP="004623DD">
      <w:pPr>
        <w:pStyle w:val="Caption"/>
      </w:pPr>
      <w:bookmarkStart w:id="567" w:name="_Ref26267107"/>
      <w:bookmarkStart w:id="568" w:name="_Toc185605257"/>
      <w:bookmarkStart w:id="569" w:name="_Toc193035903"/>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7C5FB7">
        <w:rPr>
          <w:noProof/>
        </w:rPr>
        <w:t>8</w:t>
      </w:r>
      <w:r>
        <w:fldChar w:fldCharType="end"/>
      </w:r>
      <w:bookmarkEnd w:id="567"/>
      <w:r w:rsidRPr="00B47BDA">
        <w:t>. Indikativna putanja udjela OIE u grijanju i hlađenju za scenarij s postojećim mjerama</w:t>
      </w:r>
      <w:bookmarkEnd w:id="568"/>
      <w:bookmarkEnd w:id="569"/>
    </w:p>
    <w:p w14:paraId="74345C92" w14:textId="77777777" w:rsidR="00D529C5" w:rsidRPr="00B47BDA" w:rsidRDefault="00D529C5" w:rsidP="004623DD"/>
    <w:p w14:paraId="023EE26E" w14:textId="1144350E" w:rsidR="003368C7" w:rsidRPr="00B47BDA" w:rsidRDefault="00EE222F" w:rsidP="00B532F4">
      <w:pPr>
        <w:jc w:val="center"/>
      </w:pPr>
      <w:r w:rsidRPr="00B47BDA">
        <w:rPr>
          <w:noProof/>
          <w:lang w:eastAsia="hr-HR"/>
        </w:rPr>
        <w:drawing>
          <wp:inline distT="0" distB="0" distL="0" distR="0" wp14:anchorId="66C7A09F" wp14:editId="687D4473">
            <wp:extent cx="4145280" cy="2591543"/>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56533" cy="2598578"/>
                    </a:xfrm>
                    <a:prstGeom prst="rect">
                      <a:avLst/>
                    </a:prstGeom>
                    <a:noFill/>
                    <a:ln>
                      <a:noFill/>
                    </a:ln>
                  </pic:spPr>
                </pic:pic>
              </a:graphicData>
            </a:graphic>
          </wp:inline>
        </w:drawing>
      </w:r>
    </w:p>
    <w:p w14:paraId="287AE65E" w14:textId="4FD4923F" w:rsidR="005F3F29" w:rsidRDefault="005F3F29" w:rsidP="004623DD">
      <w:pPr>
        <w:pStyle w:val="Caption"/>
      </w:pPr>
      <w:bookmarkStart w:id="570" w:name="_Ref26267114"/>
      <w:bookmarkStart w:id="571" w:name="_Toc185605258"/>
      <w:bookmarkStart w:id="572" w:name="_Toc193035904"/>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7C5FB7">
        <w:rPr>
          <w:noProof/>
        </w:rPr>
        <w:t>9</w:t>
      </w:r>
      <w:r>
        <w:fldChar w:fldCharType="end"/>
      </w:r>
      <w:bookmarkEnd w:id="570"/>
      <w:r w:rsidRPr="00B47BDA">
        <w:t xml:space="preserve">. </w:t>
      </w:r>
      <w:r w:rsidR="00D529C5" w:rsidRPr="00B47BDA">
        <w:t>Indikativna putanja udjela OIE u prometu za scenarij s postojećim mjerama</w:t>
      </w:r>
      <w:bookmarkEnd w:id="571"/>
      <w:bookmarkEnd w:id="572"/>
      <w:r w:rsidR="00D529C5" w:rsidRPr="00B47BDA" w:rsidDel="00D529C5">
        <w:t xml:space="preserve"> </w:t>
      </w:r>
    </w:p>
    <w:p w14:paraId="4950A63D" w14:textId="12730E5B" w:rsidR="00455501" w:rsidRDefault="00455501">
      <w:pPr>
        <w:spacing w:after="0"/>
        <w:jc w:val="left"/>
      </w:pPr>
      <w:r>
        <w:br w:type="page"/>
      </w:r>
    </w:p>
    <w:p w14:paraId="0DE46C88" w14:textId="7182B7DD" w:rsidR="005F3F29" w:rsidRPr="00B47BDA" w:rsidRDefault="005F3F29" w:rsidP="004623DD">
      <w:r w:rsidRPr="00B47BDA">
        <w:lastRenderedPageBreak/>
        <w:t xml:space="preserve">Ocijenjeni doprinosi tehnologija za dobivanje energije iz OIE za scenarij s postojećim mjerama prikazani su na </w:t>
      </w:r>
      <w:r w:rsidR="002E44C0">
        <w:t>S</w:t>
      </w:r>
      <w:r w:rsidRPr="00B47BDA">
        <w:t>lici </w:t>
      </w:r>
      <w:r w:rsidRPr="00B47BDA">
        <w:fldChar w:fldCharType="begin"/>
      </w:r>
      <w:r w:rsidRPr="00B47BDA">
        <w:rPr>
          <w:highlight w:val="yellow"/>
        </w:rPr>
        <w:instrText xml:space="preserve"> REF sl_S0_Udio_OIE_sve_kategorije \h </w:instrText>
      </w:r>
      <w:r w:rsidR="00761A51" w:rsidRPr="00B47BDA">
        <w:rPr>
          <w:highlight w:val="yellow"/>
        </w:rPr>
        <w:instrText xml:space="preserve"> \* MERGEFORMAT </w:instrText>
      </w:r>
      <w:r w:rsidRPr="00B47BDA">
        <w:fldChar w:fldCharType="separate"/>
      </w:r>
      <w:r w:rsidR="002E44C0">
        <w:t>4–</w:t>
      </w:r>
      <w:r w:rsidR="002E44C0">
        <w:rPr>
          <w:noProof/>
        </w:rPr>
        <w:t>10</w:t>
      </w:r>
      <w:r w:rsidRPr="00B47BDA">
        <w:fldChar w:fldCharType="end"/>
      </w:r>
      <w:r w:rsidRPr="00B47BDA">
        <w:t xml:space="preserve"> te u </w:t>
      </w:r>
      <w:r w:rsidR="00C900B7">
        <w:t>T</w:t>
      </w:r>
      <w:r w:rsidRPr="00B47BDA">
        <w:t xml:space="preserve">ablicama </w:t>
      </w:r>
      <w:r w:rsidR="002E44C0">
        <w:t>4-11</w:t>
      </w:r>
      <w:r w:rsidR="001378E0" w:rsidRPr="00B47BDA">
        <w:fldChar w:fldCharType="begin"/>
      </w:r>
      <w:r w:rsidR="001378E0" w:rsidRPr="00B47BDA">
        <w:fldChar w:fldCharType="separate"/>
      </w:r>
      <w:r w:rsidR="001378E0">
        <w:t>4</w:t>
      </w:r>
      <w:r w:rsidR="001378E0" w:rsidRPr="00B532F4">
        <w:noBreakHyphen/>
      </w:r>
      <w:r w:rsidR="001378E0">
        <w:t>11</w:t>
      </w:r>
      <w:r w:rsidR="001378E0" w:rsidRPr="00B47BDA">
        <w:fldChar w:fldCharType="end"/>
      </w:r>
      <w:r w:rsidRPr="00B47BDA">
        <w:t xml:space="preserve">. do </w:t>
      </w:r>
      <w:r w:rsidRPr="00B47BDA">
        <w:fldChar w:fldCharType="begin"/>
      </w:r>
      <w:r w:rsidRPr="00B47BDA">
        <w:rPr>
          <w:highlight w:val="yellow"/>
        </w:rPr>
        <w:instrText xml:space="preserve"> REF tbl_S0_Udio_OIE_promet \h </w:instrText>
      </w:r>
      <w:r w:rsidR="00761A51" w:rsidRPr="00B47BDA">
        <w:rPr>
          <w:highlight w:val="yellow"/>
        </w:rPr>
        <w:instrText xml:space="preserve"> \* MERGEFORMAT </w:instrText>
      </w:r>
      <w:r w:rsidRPr="00B47BDA">
        <w:fldChar w:fldCharType="separate"/>
      </w:r>
      <w:r w:rsidR="00EA6904">
        <w:t>4</w:t>
      </w:r>
      <w:r w:rsidR="00EA6904" w:rsidRPr="00B532F4">
        <w:noBreakHyphen/>
      </w:r>
      <w:r w:rsidR="00EA6904">
        <w:t>14</w:t>
      </w:r>
      <w:r w:rsidR="00EA6904" w:rsidRPr="00B532F4">
        <w:t xml:space="preserve">. </w:t>
      </w:r>
      <w:r w:rsidRPr="00B47BDA">
        <w:fldChar w:fldCharType="end"/>
      </w:r>
    </w:p>
    <w:p w14:paraId="2093E271" w14:textId="081159A7" w:rsidR="00584E54" w:rsidRPr="00B47BDA" w:rsidRDefault="005F3F29" w:rsidP="00F200F4">
      <w:pPr>
        <w:pStyle w:val="Caption"/>
      </w:pPr>
      <w:bookmarkStart w:id="573" w:name="_Ref187525442"/>
      <w:bookmarkStart w:id="574" w:name="_Toc193035962"/>
      <w:r w:rsidRPr="00B532F4">
        <w:t xml:space="preserve">Tablica </w:t>
      </w:r>
      <w:bookmarkStart w:id="575" w:name="tbl_S0_Udio_OIE_ukupni"/>
      <w:r w:rsidR="00DE7F11" w:rsidRPr="00B532F4">
        <w:rPr>
          <w:b w:val="0"/>
        </w:rPr>
        <w:fldChar w:fldCharType="begin"/>
      </w:r>
      <w:r w:rsidR="00DE7F11" w:rsidRPr="00B532F4">
        <w:instrText xml:space="preserve"> STYLEREF 1 \s </w:instrText>
      </w:r>
      <w:r w:rsidR="00DE7F11" w:rsidRPr="00B532F4">
        <w:rPr>
          <w:b w:val="0"/>
        </w:rPr>
        <w:fldChar w:fldCharType="separate"/>
      </w:r>
      <w:r w:rsidR="00AD324D">
        <w:rPr>
          <w:noProof/>
        </w:rPr>
        <w:t>4</w:t>
      </w:r>
      <w:r w:rsidR="00DE7F11" w:rsidRPr="00B532F4">
        <w:rPr>
          <w:b w:val="0"/>
        </w:rPr>
        <w:fldChar w:fldCharType="end"/>
      </w:r>
      <w:r w:rsidR="000C3EFD" w:rsidRPr="00B532F4">
        <w:noBreakHyphen/>
      </w:r>
      <w:r>
        <w:rPr>
          <w:b w:val="0"/>
        </w:rPr>
        <w:fldChar w:fldCharType="begin"/>
      </w:r>
      <w:r>
        <w:instrText>SEQ Tablica \* ARABIC \s 1</w:instrText>
      </w:r>
      <w:r>
        <w:rPr>
          <w:b w:val="0"/>
        </w:rPr>
        <w:fldChar w:fldCharType="separate"/>
      </w:r>
      <w:r w:rsidR="00694712">
        <w:rPr>
          <w:noProof/>
        </w:rPr>
        <w:t>11</w:t>
      </w:r>
      <w:r>
        <w:rPr>
          <w:b w:val="0"/>
        </w:rPr>
        <w:fldChar w:fldCharType="end"/>
      </w:r>
      <w:bookmarkEnd w:id="573"/>
      <w:bookmarkEnd w:id="575"/>
      <w:r w:rsidRPr="00B532F4">
        <w:t>. Ocijenjeni doprinos tehnologija za OIE</w:t>
      </w:r>
      <w:r w:rsidR="005D7924" w:rsidRPr="00B532F4">
        <w:t xml:space="preserve"> u bruto neposrednoj potrošnji</w:t>
      </w:r>
      <w:r w:rsidRPr="00B532F4">
        <w:t xml:space="preserve"> </w:t>
      </w:r>
      <w:r w:rsidR="00FE288B" w:rsidRPr="00B532F4">
        <w:t>(WEM scenarij)</w:t>
      </w:r>
      <w:bookmarkEnd w:id="574"/>
    </w:p>
    <w:tbl>
      <w:tblPr>
        <w:tblW w:w="8642" w:type="dxa"/>
        <w:jc w:val="center"/>
        <w:tblLook w:val="04A0" w:firstRow="1" w:lastRow="0" w:firstColumn="1" w:lastColumn="0" w:noHBand="0" w:noVBand="1"/>
      </w:tblPr>
      <w:tblGrid>
        <w:gridCol w:w="2547"/>
        <w:gridCol w:w="617"/>
        <w:gridCol w:w="659"/>
        <w:gridCol w:w="616"/>
        <w:gridCol w:w="616"/>
        <w:gridCol w:w="616"/>
        <w:gridCol w:w="616"/>
        <w:gridCol w:w="616"/>
        <w:gridCol w:w="616"/>
        <w:gridCol w:w="616"/>
        <w:gridCol w:w="607"/>
      </w:tblGrid>
      <w:tr w:rsidR="007E12B1" w:rsidRPr="00062F61" w14:paraId="2585D204" w14:textId="77777777" w:rsidTr="63259912">
        <w:trPr>
          <w:trHeight w:val="288"/>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28" w:type="dxa"/>
              <w:right w:w="28" w:type="dxa"/>
            </w:tcMar>
            <w:vAlign w:val="bottom"/>
            <w:hideMark/>
          </w:tcPr>
          <w:p w14:paraId="6462BEEC" w14:textId="77777777" w:rsidR="007E12B1" w:rsidRPr="00F200F4" w:rsidRDefault="007E12B1" w:rsidP="63259912">
            <w:pPr>
              <w:spacing w:after="0"/>
              <w:rPr>
                <w:rFonts w:asciiTheme="minorHAnsi" w:eastAsia="Times New Roman" w:hAnsiTheme="minorHAnsi" w:cstheme="minorBidi"/>
                <w:b/>
                <w:bCs/>
                <w:color w:val="000000"/>
                <w:sz w:val="18"/>
                <w:szCs w:val="18"/>
                <w:lang w:eastAsia="hr-HR"/>
              </w:rPr>
            </w:pPr>
            <w:r w:rsidRPr="63259912">
              <w:rPr>
                <w:rFonts w:asciiTheme="minorHAnsi" w:eastAsia="Times New Roman" w:hAnsiTheme="minorHAnsi" w:cstheme="minorBidi"/>
                <w:b/>
                <w:bCs/>
                <w:color w:val="000000" w:themeColor="text1"/>
                <w:sz w:val="18"/>
                <w:szCs w:val="18"/>
                <w:lang w:eastAsia="hr-HR"/>
              </w:rPr>
              <w:t>ktoe</w:t>
            </w:r>
          </w:p>
        </w:tc>
        <w:tc>
          <w:tcPr>
            <w:tcW w:w="617" w:type="dxa"/>
            <w:tcBorders>
              <w:top w:val="single" w:sz="4" w:space="0" w:color="auto"/>
              <w:left w:val="nil"/>
              <w:bottom w:val="single" w:sz="4" w:space="0" w:color="auto"/>
              <w:right w:val="single" w:sz="4" w:space="0" w:color="auto"/>
            </w:tcBorders>
            <w:shd w:val="clear" w:color="auto" w:fill="FFFFFF" w:themeFill="background1"/>
            <w:noWrap/>
            <w:tcMar>
              <w:left w:w="28" w:type="dxa"/>
              <w:right w:w="28" w:type="dxa"/>
            </w:tcMar>
            <w:vAlign w:val="center"/>
            <w:hideMark/>
          </w:tcPr>
          <w:p w14:paraId="3B435494" w14:textId="4BDDC54E" w:rsidR="007E12B1" w:rsidRPr="00F200F4" w:rsidRDefault="007E12B1" w:rsidP="007E12B1">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color w:val="000000"/>
                <w:sz w:val="18"/>
                <w:szCs w:val="18"/>
                <w:lang w:eastAsia="hr-HR"/>
              </w:rPr>
              <w:t>2021</w:t>
            </w:r>
            <w:r>
              <w:rPr>
                <w:rFonts w:eastAsia="Times New Roman" w:cs="Calibri"/>
                <w:b/>
                <w:bCs/>
                <w:color w:val="000000"/>
                <w:sz w:val="18"/>
                <w:szCs w:val="18"/>
                <w:lang w:eastAsia="hr-HR"/>
              </w:rPr>
              <w:t>.</w:t>
            </w:r>
          </w:p>
        </w:tc>
        <w:tc>
          <w:tcPr>
            <w:tcW w:w="659" w:type="dxa"/>
            <w:tcBorders>
              <w:top w:val="single" w:sz="4" w:space="0" w:color="auto"/>
              <w:left w:val="nil"/>
              <w:bottom w:val="single" w:sz="4" w:space="0" w:color="auto"/>
              <w:right w:val="single" w:sz="4" w:space="0" w:color="auto"/>
            </w:tcBorders>
            <w:shd w:val="clear" w:color="auto" w:fill="FFFFFF" w:themeFill="background1"/>
            <w:noWrap/>
            <w:tcMar>
              <w:left w:w="28" w:type="dxa"/>
              <w:right w:w="28" w:type="dxa"/>
            </w:tcMar>
            <w:vAlign w:val="center"/>
            <w:hideMark/>
          </w:tcPr>
          <w:p w14:paraId="21107A60" w14:textId="5E779A1B" w:rsidR="007E12B1" w:rsidRPr="00F200F4" w:rsidRDefault="007E12B1" w:rsidP="007E12B1">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2022</w:t>
            </w:r>
            <w:r>
              <w:rPr>
                <w:rFonts w:eastAsia="Times New Roman" w:cs="Calibri"/>
                <w:color w:val="000000"/>
                <w:sz w:val="18"/>
                <w:szCs w:val="18"/>
                <w:lang w:eastAsia="hr-HR"/>
              </w:rPr>
              <w:t>.</w:t>
            </w:r>
          </w:p>
        </w:tc>
        <w:tc>
          <w:tcPr>
            <w:tcW w:w="616" w:type="dxa"/>
            <w:tcBorders>
              <w:top w:val="single" w:sz="4" w:space="0" w:color="auto"/>
              <w:left w:val="nil"/>
              <w:bottom w:val="single" w:sz="4" w:space="0" w:color="auto"/>
              <w:right w:val="single" w:sz="4" w:space="0" w:color="auto"/>
            </w:tcBorders>
            <w:shd w:val="clear" w:color="auto" w:fill="FFFFFF" w:themeFill="background1"/>
            <w:noWrap/>
            <w:tcMar>
              <w:left w:w="28" w:type="dxa"/>
              <w:right w:w="28" w:type="dxa"/>
            </w:tcMar>
            <w:vAlign w:val="center"/>
            <w:hideMark/>
          </w:tcPr>
          <w:p w14:paraId="103368BB" w14:textId="5056D32F" w:rsidR="007E12B1" w:rsidRPr="00F200F4" w:rsidRDefault="007E12B1" w:rsidP="007E12B1">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2023</w:t>
            </w:r>
            <w:r>
              <w:rPr>
                <w:rFonts w:eastAsia="Times New Roman" w:cs="Calibri"/>
                <w:color w:val="000000"/>
                <w:sz w:val="18"/>
                <w:szCs w:val="18"/>
                <w:lang w:eastAsia="hr-HR"/>
              </w:rPr>
              <w:t>.</w:t>
            </w:r>
          </w:p>
        </w:tc>
        <w:tc>
          <w:tcPr>
            <w:tcW w:w="616" w:type="dxa"/>
            <w:tcBorders>
              <w:top w:val="single" w:sz="4" w:space="0" w:color="auto"/>
              <w:left w:val="nil"/>
              <w:bottom w:val="single" w:sz="4" w:space="0" w:color="auto"/>
              <w:right w:val="single" w:sz="4" w:space="0" w:color="auto"/>
            </w:tcBorders>
            <w:shd w:val="clear" w:color="auto" w:fill="FFFFFF" w:themeFill="background1"/>
            <w:noWrap/>
            <w:tcMar>
              <w:left w:w="28" w:type="dxa"/>
              <w:right w:w="28" w:type="dxa"/>
            </w:tcMar>
            <w:vAlign w:val="center"/>
            <w:hideMark/>
          </w:tcPr>
          <w:p w14:paraId="1F4575B9" w14:textId="0109181D" w:rsidR="007E12B1" w:rsidRPr="00F200F4" w:rsidRDefault="007E12B1" w:rsidP="007E12B1">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2024</w:t>
            </w:r>
            <w:r>
              <w:rPr>
                <w:rFonts w:eastAsia="Times New Roman" w:cs="Calibri"/>
                <w:color w:val="000000"/>
                <w:sz w:val="18"/>
                <w:szCs w:val="18"/>
                <w:lang w:eastAsia="hr-HR"/>
              </w:rPr>
              <w:t>.</w:t>
            </w:r>
          </w:p>
        </w:tc>
        <w:tc>
          <w:tcPr>
            <w:tcW w:w="616" w:type="dxa"/>
            <w:tcBorders>
              <w:top w:val="single" w:sz="4" w:space="0" w:color="auto"/>
              <w:left w:val="nil"/>
              <w:bottom w:val="single" w:sz="4" w:space="0" w:color="auto"/>
              <w:right w:val="single" w:sz="4" w:space="0" w:color="auto"/>
            </w:tcBorders>
            <w:shd w:val="clear" w:color="auto" w:fill="FFFFFF" w:themeFill="background1"/>
            <w:noWrap/>
            <w:tcMar>
              <w:left w:w="28" w:type="dxa"/>
              <w:right w:w="28" w:type="dxa"/>
            </w:tcMar>
            <w:vAlign w:val="center"/>
            <w:hideMark/>
          </w:tcPr>
          <w:p w14:paraId="46C1FEFE" w14:textId="671BF62D" w:rsidR="007E12B1" w:rsidRPr="00F200F4" w:rsidRDefault="007E12B1" w:rsidP="007E12B1">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2025</w:t>
            </w:r>
            <w:r>
              <w:rPr>
                <w:rFonts w:eastAsia="Times New Roman" w:cs="Calibri"/>
                <w:color w:val="000000"/>
                <w:sz w:val="18"/>
                <w:szCs w:val="18"/>
                <w:lang w:eastAsia="hr-HR"/>
              </w:rPr>
              <w:t>.</w:t>
            </w:r>
          </w:p>
        </w:tc>
        <w:tc>
          <w:tcPr>
            <w:tcW w:w="616" w:type="dxa"/>
            <w:tcBorders>
              <w:top w:val="single" w:sz="4" w:space="0" w:color="auto"/>
              <w:left w:val="nil"/>
              <w:bottom w:val="single" w:sz="4" w:space="0" w:color="auto"/>
              <w:right w:val="single" w:sz="4" w:space="0" w:color="auto"/>
            </w:tcBorders>
            <w:shd w:val="clear" w:color="auto" w:fill="FFFFFF" w:themeFill="background1"/>
            <w:noWrap/>
            <w:tcMar>
              <w:left w:w="28" w:type="dxa"/>
              <w:right w:w="28" w:type="dxa"/>
            </w:tcMar>
            <w:vAlign w:val="center"/>
            <w:hideMark/>
          </w:tcPr>
          <w:p w14:paraId="1B602660" w14:textId="7E2077EC" w:rsidR="007E12B1" w:rsidRPr="00F200F4" w:rsidRDefault="007E12B1" w:rsidP="007E12B1">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2026</w:t>
            </w:r>
            <w:r>
              <w:rPr>
                <w:rFonts w:eastAsia="Times New Roman" w:cs="Calibri"/>
                <w:color w:val="000000"/>
                <w:sz w:val="18"/>
                <w:szCs w:val="18"/>
                <w:lang w:eastAsia="hr-HR"/>
              </w:rPr>
              <w:t>.</w:t>
            </w:r>
          </w:p>
        </w:tc>
        <w:tc>
          <w:tcPr>
            <w:tcW w:w="616" w:type="dxa"/>
            <w:tcBorders>
              <w:top w:val="single" w:sz="4" w:space="0" w:color="auto"/>
              <w:left w:val="nil"/>
              <w:bottom w:val="single" w:sz="4" w:space="0" w:color="auto"/>
              <w:right w:val="single" w:sz="4" w:space="0" w:color="auto"/>
            </w:tcBorders>
            <w:shd w:val="clear" w:color="auto" w:fill="FFFFFF" w:themeFill="background1"/>
            <w:noWrap/>
            <w:tcMar>
              <w:left w:w="28" w:type="dxa"/>
              <w:right w:w="28" w:type="dxa"/>
            </w:tcMar>
            <w:vAlign w:val="center"/>
            <w:hideMark/>
          </w:tcPr>
          <w:p w14:paraId="52ACEB05" w14:textId="73FCC8EE" w:rsidR="007E12B1" w:rsidRPr="00F200F4" w:rsidRDefault="007E12B1" w:rsidP="007E12B1">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2027</w:t>
            </w:r>
            <w:r>
              <w:rPr>
                <w:rFonts w:eastAsia="Times New Roman" w:cs="Calibri"/>
                <w:color w:val="000000"/>
                <w:sz w:val="18"/>
                <w:szCs w:val="18"/>
                <w:lang w:eastAsia="hr-HR"/>
              </w:rPr>
              <w:t>.</w:t>
            </w:r>
          </w:p>
        </w:tc>
        <w:tc>
          <w:tcPr>
            <w:tcW w:w="616" w:type="dxa"/>
            <w:tcBorders>
              <w:top w:val="single" w:sz="4" w:space="0" w:color="auto"/>
              <w:left w:val="nil"/>
              <w:bottom w:val="single" w:sz="4" w:space="0" w:color="auto"/>
              <w:right w:val="single" w:sz="4" w:space="0" w:color="auto"/>
            </w:tcBorders>
            <w:shd w:val="clear" w:color="auto" w:fill="FFFFFF" w:themeFill="background1"/>
            <w:noWrap/>
            <w:tcMar>
              <w:left w:w="28" w:type="dxa"/>
              <w:right w:w="28" w:type="dxa"/>
            </w:tcMar>
            <w:vAlign w:val="center"/>
            <w:hideMark/>
          </w:tcPr>
          <w:p w14:paraId="4EC0F6DB" w14:textId="1EDAADF4" w:rsidR="007E12B1" w:rsidRPr="00F200F4" w:rsidRDefault="007E12B1" w:rsidP="007E12B1">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2028</w:t>
            </w:r>
            <w:r>
              <w:rPr>
                <w:rFonts w:eastAsia="Times New Roman" w:cs="Calibri"/>
                <w:color w:val="000000"/>
                <w:sz w:val="18"/>
                <w:szCs w:val="18"/>
                <w:lang w:eastAsia="hr-HR"/>
              </w:rPr>
              <w:t>.</w:t>
            </w:r>
          </w:p>
        </w:tc>
        <w:tc>
          <w:tcPr>
            <w:tcW w:w="616" w:type="dxa"/>
            <w:tcBorders>
              <w:top w:val="single" w:sz="4" w:space="0" w:color="auto"/>
              <w:left w:val="nil"/>
              <w:bottom w:val="single" w:sz="4" w:space="0" w:color="auto"/>
              <w:right w:val="single" w:sz="4" w:space="0" w:color="auto"/>
            </w:tcBorders>
            <w:shd w:val="clear" w:color="auto" w:fill="FFFFFF" w:themeFill="background1"/>
            <w:noWrap/>
            <w:tcMar>
              <w:left w:w="28" w:type="dxa"/>
              <w:right w:w="28" w:type="dxa"/>
            </w:tcMar>
            <w:vAlign w:val="center"/>
            <w:hideMark/>
          </w:tcPr>
          <w:p w14:paraId="5BCB19CE" w14:textId="0A8DF8AB" w:rsidR="007E12B1" w:rsidRPr="00F200F4" w:rsidRDefault="007E12B1" w:rsidP="007E12B1">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2029</w:t>
            </w:r>
            <w:r>
              <w:rPr>
                <w:rFonts w:eastAsia="Times New Roman" w:cs="Calibri"/>
                <w:color w:val="000000"/>
                <w:sz w:val="18"/>
                <w:szCs w:val="18"/>
                <w:lang w:eastAsia="hr-HR"/>
              </w:rPr>
              <w:t>.</w:t>
            </w:r>
          </w:p>
        </w:tc>
        <w:tc>
          <w:tcPr>
            <w:tcW w:w="507" w:type="dxa"/>
            <w:tcBorders>
              <w:top w:val="single" w:sz="4" w:space="0" w:color="auto"/>
              <w:left w:val="nil"/>
              <w:bottom w:val="single" w:sz="4" w:space="0" w:color="auto"/>
              <w:right w:val="single" w:sz="4" w:space="0" w:color="auto"/>
            </w:tcBorders>
            <w:shd w:val="clear" w:color="auto" w:fill="FFFFFF" w:themeFill="background1"/>
            <w:noWrap/>
            <w:tcMar>
              <w:left w:w="28" w:type="dxa"/>
              <w:right w:w="28" w:type="dxa"/>
            </w:tcMar>
            <w:vAlign w:val="center"/>
            <w:hideMark/>
          </w:tcPr>
          <w:p w14:paraId="19A9E368" w14:textId="4B4D6E9B" w:rsidR="007E12B1" w:rsidRPr="00F200F4" w:rsidRDefault="007E12B1" w:rsidP="007E12B1">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color w:val="000000"/>
                <w:sz w:val="18"/>
                <w:szCs w:val="18"/>
                <w:lang w:eastAsia="hr-HR"/>
              </w:rPr>
              <w:t>2030</w:t>
            </w:r>
            <w:r>
              <w:rPr>
                <w:rFonts w:eastAsia="Times New Roman" w:cs="Calibri"/>
                <w:b/>
                <w:bCs/>
                <w:color w:val="000000"/>
                <w:sz w:val="18"/>
                <w:szCs w:val="18"/>
                <w:lang w:eastAsia="hr-HR"/>
              </w:rPr>
              <w:t>.</w:t>
            </w:r>
          </w:p>
        </w:tc>
      </w:tr>
      <w:tr w:rsidR="007E12B1" w:rsidRPr="00062F61" w14:paraId="4DCF38E9" w14:textId="77777777" w:rsidTr="63259912">
        <w:trPr>
          <w:trHeight w:val="288"/>
          <w:jc w:val="center"/>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28" w:type="dxa"/>
              <w:right w:w="28" w:type="dxa"/>
            </w:tcMar>
            <w:vAlign w:val="bottom"/>
            <w:hideMark/>
          </w:tcPr>
          <w:p w14:paraId="19D6B700" w14:textId="77777777" w:rsidR="00584E54" w:rsidRPr="00F200F4" w:rsidRDefault="00584E54">
            <w:pPr>
              <w:spacing w:after="0"/>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Bruto neposredna potrošnja OIE</w:t>
            </w:r>
          </w:p>
        </w:tc>
        <w:tc>
          <w:tcPr>
            <w:tcW w:w="61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D3742C8" w14:textId="1700F846"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2</w:t>
            </w:r>
            <w:r w:rsidR="007E12B1">
              <w:rPr>
                <w:rFonts w:asciiTheme="minorHAnsi" w:eastAsia="Times New Roman" w:hAnsiTheme="minorHAnsi" w:cstheme="minorHAnsi"/>
                <w:b/>
                <w:bCs/>
                <w:color w:val="000000"/>
                <w:sz w:val="18"/>
                <w:szCs w:val="18"/>
                <w:lang w:eastAsia="hr-HR"/>
              </w:rPr>
              <w:t>.</w:t>
            </w:r>
            <w:r w:rsidRPr="00F200F4">
              <w:rPr>
                <w:rFonts w:asciiTheme="minorHAnsi" w:eastAsia="Times New Roman" w:hAnsiTheme="minorHAnsi" w:cstheme="minorHAnsi"/>
                <w:b/>
                <w:bCs/>
                <w:color w:val="000000"/>
                <w:sz w:val="18"/>
                <w:szCs w:val="18"/>
                <w:lang w:eastAsia="hr-HR"/>
              </w:rPr>
              <w:t>304,5</w:t>
            </w:r>
          </w:p>
        </w:tc>
        <w:tc>
          <w:tcPr>
            <w:tcW w:w="65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2C09CCF2" w14:textId="3AB4051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341,3</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0F083509" w14:textId="7B46C864"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378,2</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8E75AEF" w14:textId="56E5A8CD"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415,0</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6E98534B" w14:textId="7C15B30F"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451,9</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64C06798" w14:textId="6D08D6D2"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488,7</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4531C18" w14:textId="2D2A2E00"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525,6</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3699172" w14:textId="60C35F45"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562,4</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3FD9C41" w14:textId="19844EF8"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599,2</w:t>
            </w:r>
          </w:p>
        </w:tc>
        <w:tc>
          <w:tcPr>
            <w:tcW w:w="50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73603B48" w14:textId="0A1D7C13"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2</w:t>
            </w:r>
            <w:r w:rsidR="007E12B1">
              <w:rPr>
                <w:rFonts w:asciiTheme="minorHAnsi" w:eastAsia="Times New Roman" w:hAnsiTheme="minorHAnsi" w:cstheme="minorHAnsi"/>
                <w:b/>
                <w:bCs/>
                <w:color w:val="000000"/>
                <w:sz w:val="18"/>
                <w:szCs w:val="18"/>
                <w:lang w:eastAsia="hr-HR"/>
              </w:rPr>
              <w:t>.</w:t>
            </w:r>
            <w:r w:rsidRPr="00F200F4">
              <w:rPr>
                <w:rFonts w:asciiTheme="minorHAnsi" w:eastAsia="Times New Roman" w:hAnsiTheme="minorHAnsi" w:cstheme="minorHAnsi"/>
                <w:b/>
                <w:bCs/>
                <w:color w:val="000000"/>
                <w:sz w:val="18"/>
                <w:szCs w:val="18"/>
                <w:lang w:eastAsia="hr-HR"/>
              </w:rPr>
              <w:t>636,1</w:t>
            </w:r>
          </w:p>
        </w:tc>
      </w:tr>
      <w:tr w:rsidR="007E12B1" w:rsidRPr="00062F61" w14:paraId="27E2E037" w14:textId="77777777" w:rsidTr="63259912">
        <w:trPr>
          <w:trHeight w:val="288"/>
          <w:jc w:val="center"/>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28" w:type="dxa"/>
              <w:right w:w="28" w:type="dxa"/>
            </w:tcMar>
            <w:vAlign w:val="bottom"/>
            <w:hideMark/>
          </w:tcPr>
          <w:p w14:paraId="21C710F2" w14:textId="77777777" w:rsidR="00584E54" w:rsidRPr="00F200F4" w:rsidRDefault="00584E54">
            <w:pPr>
              <w:spacing w:after="0"/>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Energija Sunca</w:t>
            </w:r>
          </w:p>
        </w:tc>
        <w:tc>
          <w:tcPr>
            <w:tcW w:w="61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6CE1E6A2" w14:textId="77777777"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17,1</w:t>
            </w:r>
          </w:p>
        </w:tc>
        <w:tc>
          <w:tcPr>
            <w:tcW w:w="65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3159C313"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17,8</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B9D6ADF"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18,5</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119C4FA"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19,2</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14A68E1A"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19,9</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4A648C5"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20,6</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0A4298CB"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21,4</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37EC5473"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22,1</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00709C2B"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22,8</w:t>
            </w:r>
          </w:p>
        </w:tc>
        <w:tc>
          <w:tcPr>
            <w:tcW w:w="50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7B23CFAB" w14:textId="77777777"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23,5</w:t>
            </w:r>
          </w:p>
        </w:tc>
      </w:tr>
      <w:tr w:rsidR="007E12B1" w:rsidRPr="00062F61" w14:paraId="5A145DFE" w14:textId="77777777" w:rsidTr="63259912">
        <w:trPr>
          <w:trHeight w:val="288"/>
          <w:jc w:val="center"/>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28" w:type="dxa"/>
              <w:right w:w="28" w:type="dxa"/>
            </w:tcMar>
            <w:vAlign w:val="bottom"/>
            <w:hideMark/>
          </w:tcPr>
          <w:p w14:paraId="45C05E32" w14:textId="77777777" w:rsidR="00584E54" w:rsidRPr="00F200F4" w:rsidRDefault="00584E54">
            <w:pPr>
              <w:spacing w:after="0"/>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Kruta biomasa</w:t>
            </w:r>
          </w:p>
        </w:tc>
        <w:tc>
          <w:tcPr>
            <w:tcW w:w="61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7FEA7130" w14:textId="795DF6CB"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w:t>
            </w:r>
            <w:r w:rsidR="007E12B1">
              <w:rPr>
                <w:rFonts w:asciiTheme="minorHAnsi" w:eastAsia="Times New Roman" w:hAnsiTheme="minorHAnsi" w:cstheme="minorHAnsi"/>
                <w:b/>
                <w:bCs/>
                <w:color w:val="000000"/>
                <w:sz w:val="18"/>
                <w:szCs w:val="18"/>
                <w:lang w:eastAsia="hr-HR"/>
              </w:rPr>
              <w:t>.</w:t>
            </w:r>
            <w:r w:rsidRPr="00F200F4">
              <w:rPr>
                <w:rFonts w:asciiTheme="minorHAnsi" w:eastAsia="Times New Roman" w:hAnsiTheme="minorHAnsi" w:cstheme="minorHAnsi"/>
                <w:b/>
                <w:bCs/>
                <w:color w:val="000000"/>
                <w:sz w:val="18"/>
                <w:szCs w:val="18"/>
                <w:lang w:eastAsia="hr-HR"/>
              </w:rPr>
              <w:t>154,4</w:t>
            </w:r>
          </w:p>
        </w:tc>
        <w:tc>
          <w:tcPr>
            <w:tcW w:w="65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60053426" w14:textId="6D09AE16"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144,8</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2AE7D6E" w14:textId="22757FC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135,3</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3B0EC6D1" w14:textId="79DFAA6C"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125,7</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0EE224F" w14:textId="54E48225"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116,2</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0AA6F723" w14:textId="3DCA38C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106,6</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263A34D" w14:textId="3CAAD66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097,1</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037C938C" w14:textId="5058C8CB"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087,5</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D351BC7" w14:textId="301D0A59"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078,0</w:t>
            </w:r>
          </w:p>
        </w:tc>
        <w:tc>
          <w:tcPr>
            <w:tcW w:w="50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9778ACA" w14:textId="2FE3A388"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w:t>
            </w:r>
            <w:r w:rsidR="007E12B1">
              <w:rPr>
                <w:rFonts w:asciiTheme="minorHAnsi" w:eastAsia="Times New Roman" w:hAnsiTheme="minorHAnsi" w:cstheme="minorHAnsi"/>
                <w:b/>
                <w:bCs/>
                <w:color w:val="000000"/>
                <w:sz w:val="18"/>
                <w:szCs w:val="18"/>
                <w:lang w:eastAsia="hr-HR"/>
              </w:rPr>
              <w:t>.</w:t>
            </w:r>
            <w:r w:rsidRPr="00F200F4">
              <w:rPr>
                <w:rFonts w:asciiTheme="minorHAnsi" w:eastAsia="Times New Roman" w:hAnsiTheme="minorHAnsi" w:cstheme="minorHAnsi"/>
                <w:b/>
                <w:bCs/>
                <w:color w:val="000000"/>
                <w:sz w:val="18"/>
                <w:szCs w:val="18"/>
                <w:lang w:eastAsia="hr-HR"/>
              </w:rPr>
              <w:t>068,4</w:t>
            </w:r>
          </w:p>
        </w:tc>
      </w:tr>
      <w:tr w:rsidR="007E12B1" w:rsidRPr="00062F61" w14:paraId="1E9927CB" w14:textId="77777777" w:rsidTr="63259912">
        <w:trPr>
          <w:trHeight w:val="288"/>
          <w:jc w:val="center"/>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28" w:type="dxa"/>
              <w:right w:w="28" w:type="dxa"/>
            </w:tcMar>
            <w:vAlign w:val="bottom"/>
            <w:hideMark/>
          </w:tcPr>
          <w:p w14:paraId="5A66C7B7" w14:textId="77777777" w:rsidR="00584E54" w:rsidRPr="00F200F4" w:rsidRDefault="00584E54">
            <w:pPr>
              <w:spacing w:after="0"/>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Plinovita biogoriva</w:t>
            </w:r>
          </w:p>
        </w:tc>
        <w:tc>
          <w:tcPr>
            <w:tcW w:w="61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3408ADA5" w14:textId="77777777"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0,5</w:t>
            </w:r>
          </w:p>
        </w:tc>
        <w:tc>
          <w:tcPr>
            <w:tcW w:w="65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BFA5793"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0,4</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DFE8AED"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0,4</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09248EDA"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0,3</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A88F21F"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0,3</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2BD808D"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0,2</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AF993A3"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0,2</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63A1BC10"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0,1</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EB8A893"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0,1</w:t>
            </w:r>
          </w:p>
        </w:tc>
        <w:tc>
          <w:tcPr>
            <w:tcW w:w="50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1D27E56C" w14:textId="77777777"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0,0</w:t>
            </w:r>
          </w:p>
        </w:tc>
      </w:tr>
      <w:tr w:rsidR="007E12B1" w:rsidRPr="00062F61" w14:paraId="5EF351FD" w14:textId="77777777" w:rsidTr="63259912">
        <w:trPr>
          <w:trHeight w:val="288"/>
          <w:jc w:val="center"/>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28" w:type="dxa"/>
              <w:right w:w="28" w:type="dxa"/>
            </w:tcMar>
            <w:vAlign w:val="bottom"/>
            <w:hideMark/>
          </w:tcPr>
          <w:p w14:paraId="74985C20" w14:textId="77777777" w:rsidR="00584E54" w:rsidRPr="00F200F4" w:rsidRDefault="00584E54">
            <w:pPr>
              <w:spacing w:after="0"/>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Tekuća biogoriva</w:t>
            </w:r>
          </w:p>
        </w:tc>
        <w:tc>
          <w:tcPr>
            <w:tcW w:w="61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14133F79" w14:textId="77777777"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91,2</w:t>
            </w:r>
          </w:p>
        </w:tc>
        <w:tc>
          <w:tcPr>
            <w:tcW w:w="65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176C492"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91,0</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045FF70D"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90,7</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70955150"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90,5</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2B5D4E9E"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90,2</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359DD43F"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90,0</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02E44E5B"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89,8</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0B9EA7E4"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89,5</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609B9D76"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89,3</w:t>
            </w:r>
          </w:p>
        </w:tc>
        <w:tc>
          <w:tcPr>
            <w:tcW w:w="50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CF49B36" w14:textId="77777777"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89,0</w:t>
            </w:r>
          </w:p>
        </w:tc>
      </w:tr>
      <w:tr w:rsidR="007E12B1" w:rsidRPr="00062F61" w14:paraId="533AB386" w14:textId="77777777" w:rsidTr="63259912">
        <w:trPr>
          <w:trHeight w:val="288"/>
          <w:jc w:val="center"/>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28" w:type="dxa"/>
              <w:right w:w="28" w:type="dxa"/>
            </w:tcMar>
            <w:vAlign w:val="bottom"/>
            <w:hideMark/>
          </w:tcPr>
          <w:p w14:paraId="379D3BEA" w14:textId="77777777" w:rsidR="00584E54" w:rsidRPr="00F200F4" w:rsidRDefault="00584E54">
            <w:pPr>
              <w:spacing w:after="0"/>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Geotermalna energija</w:t>
            </w:r>
          </w:p>
        </w:tc>
        <w:tc>
          <w:tcPr>
            <w:tcW w:w="61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26105427" w14:textId="77777777"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5,0</w:t>
            </w:r>
          </w:p>
        </w:tc>
        <w:tc>
          <w:tcPr>
            <w:tcW w:w="65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B793555"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5,0</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3FFDD90"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5,0</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19E3B56E"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4,9</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FB407D0"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4,9</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89CA202"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4,9</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3C0012B3"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4,9</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69DA2D0C"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4,9</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71FF2542"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4,9</w:t>
            </w:r>
          </w:p>
        </w:tc>
        <w:tc>
          <w:tcPr>
            <w:tcW w:w="50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64455780" w14:textId="77777777"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4,9</w:t>
            </w:r>
          </w:p>
        </w:tc>
      </w:tr>
      <w:tr w:rsidR="007E12B1" w:rsidRPr="00062F61" w14:paraId="36D8A6E3" w14:textId="77777777" w:rsidTr="63259912">
        <w:trPr>
          <w:trHeight w:val="288"/>
          <w:jc w:val="center"/>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28" w:type="dxa"/>
              <w:right w:w="28" w:type="dxa"/>
            </w:tcMar>
            <w:vAlign w:val="bottom"/>
            <w:hideMark/>
          </w:tcPr>
          <w:p w14:paraId="0E05F659" w14:textId="77777777" w:rsidR="00584E54" w:rsidRPr="00F200F4" w:rsidRDefault="00584E54">
            <w:pPr>
              <w:spacing w:after="0"/>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Toplina OIE</w:t>
            </w:r>
          </w:p>
        </w:tc>
        <w:tc>
          <w:tcPr>
            <w:tcW w:w="61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15C85F92" w14:textId="77777777"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108,7</w:t>
            </w:r>
          </w:p>
        </w:tc>
        <w:tc>
          <w:tcPr>
            <w:tcW w:w="65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3071019"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122,8</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0101616F"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136,9</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2D038457"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151,0</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7AF8CD1A"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165,1</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35E15F6F"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179,2</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221706A9"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193,3</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686732FF"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207,4</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A1C43EA"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221,5</w:t>
            </w:r>
          </w:p>
        </w:tc>
        <w:tc>
          <w:tcPr>
            <w:tcW w:w="50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09665BB3" w14:textId="77777777"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235,6</w:t>
            </w:r>
          </w:p>
        </w:tc>
      </w:tr>
      <w:tr w:rsidR="007E12B1" w:rsidRPr="00062F61" w14:paraId="03435237" w14:textId="77777777" w:rsidTr="63259912">
        <w:trPr>
          <w:trHeight w:val="288"/>
          <w:jc w:val="center"/>
        </w:trPr>
        <w:tc>
          <w:tcPr>
            <w:tcW w:w="2547" w:type="dxa"/>
            <w:tcBorders>
              <w:top w:val="nil"/>
              <w:left w:val="single" w:sz="4" w:space="0" w:color="auto"/>
              <w:bottom w:val="single" w:sz="4" w:space="0" w:color="auto"/>
              <w:right w:val="single" w:sz="4" w:space="0" w:color="auto"/>
            </w:tcBorders>
            <w:shd w:val="clear" w:color="auto" w:fill="FFFFFF" w:themeFill="background1"/>
            <w:noWrap/>
            <w:tcMar>
              <w:left w:w="28" w:type="dxa"/>
              <w:right w:w="28" w:type="dxa"/>
            </w:tcMar>
            <w:vAlign w:val="bottom"/>
            <w:hideMark/>
          </w:tcPr>
          <w:p w14:paraId="30872988" w14:textId="77777777" w:rsidR="00584E54" w:rsidRPr="00F200F4" w:rsidRDefault="00584E54">
            <w:pPr>
              <w:spacing w:after="0"/>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Električna OIE</w:t>
            </w:r>
          </w:p>
        </w:tc>
        <w:tc>
          <w:tcPr>
            <w:tcW w:w="61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4C5122CB" w14:textId="77777777"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927,8</w:t>
            </w:r>
          </w:p>
        </w:tc>
        <w:tc>
          <w:tcPr>
            <w:tcW w:w="659"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FB09E29"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959,6</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15B071A0" w14:textId="77777777"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991,5</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2D03BBBA" w14:textId="4E7294D5"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023,4</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034595AE" w14:textId="37352C4D"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055,3</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1F8BF626" w14:textId="53B42664"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087,1</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76EE3A7" w14:textId="5534AA95"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119,0</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542051F6" w14:textId="7E8CBE3D"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150,9</w:t>
            </w:r>
          </w:p>
        </w:tc>
        <w:tc>
          <w:tcPr>
            <w:tcW w:w="616"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76F53177" w14:textId="1FCC1A00" w:rsidR="00584E54" w:rsidRPr="00F200F4" w:rsidRDefault="00584E54">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w:t>
            </w:r>
            <w:r w:rsidR="007E12B1">
              <w:rPr>
                <w:rFonts w:asciiTheme="minorHAnsi" w:eastAsia="Times New Roman" w:hAnsiTheme="minorHAnsi" w:cstheme="minorHAnsi"/>
                <w:color w:val="000000"/>
                <w:sz w:val="18"/>
                <w:szCs w:val="18"/>
                <w:lang w:eastAsia="hr-HR"/>
              </w:rPr>
              <w:t>.</w:t>
            </w:r>
            <w:r w:rsidRPr="00F200F4">
              <w:rPr>
                <w:rFonts w:asciiTheme="minorHAnsi" w:eastAsia="Times New Roman" w:hAnsiTheme="minorHAnsi" w:cstheme="minorHAnsi"/>
                <w:color w:val="000000"/>
                <w:sz w:val="18"/>
                <w:szCs w:val="18"/>
                <w:lang w:eastAsia="hr-HR"/>
              </w:rPr>
              <w:t>182,8</w:t>
            </w:r>
          </w:p>
        </w:tc>
        <w:tc>
          <w:tcPr>
            <w:tcW w:w="507" w:type="dxa"/>
            <w:tcBorders>
              <w:top w:val="nil"/>
              <w:left w:val="nil"/>
              <w:bottom w:val="single" w:sz="4" w:space="0" w:color="auto"/>
              <w:right w:val="single" w:sz="4" w:space="0" w:color="auto"/>
            </w:tcBorders>
            <w:shd w:val="clear" w:color="auto" w:fill="FFFFFF" w:themeFill="background1"/>
            <w:noWrap/>
            <w:tcMar>
              <w:left w:w="28" w:type="dxa"/>
              <w:right w:w="28" w:type="dxa"/>
            </w:tcMar>
            <w:vAlign w:val="bottom"/>
            <w:hideMark/>
          </w:tcPr>
          <w:p w14:paraId="3777A009" w14:textId="58346C51" w:rsidR="00584E54" w:rsidRPr="00F200F4" w:rsidRDefault="00584E54">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w:t>
            </w:r>
            <w:r w:rsidR="007E12B1">
              <w:rPr>
                <w:rFonts w:asciiTheme="minorHAnsi" w:eastAsia="Times New Roman" w:hAnsiTheme="minorHAnsi" w:cstheme="minorHAnsi"/>
                <w:b/>
                <w:bCs/>
                <w:color w:val="000000"/>
                <w:sz w:val="18"/>
                <w:szCs w:val="18"/>
                <w:lang w:eastAsia="hr-HR"/>
              </w:rPr>
              <w:t>.</w:t>
            </w:r>
            <w:r w:rsidRPr="00F200F4">
              <w:rPr>
                <w:rFonts w:asciiTheme="minorHAnsi" w:eastAsia="Times New Roman" w:hAnsiTheme="minorHAnsi" w:cstheme="minorHAnsi"/>
                <w:b/>
                <w:bCs/>
                <w:color w:val="000000"/>
                <w:sz w:val="18"/>
                <w:szCs w:val="18"/>
                <w:lang w:eastAsia="hr-HR"/>
              </w:rPr>
              <w:t>214,7</w:t>
            </w:r>
          </w:p>
        </w:tc>
      </w:tr>
    </w:tbl>
    <w:p w14:paraId="26F2D039" w14:textId="643A030C" w:rsidR="00F803E0" w:rsidRPr="00B47BDA" w:rsidRDefault="00F803E0" w:rsidP="004623DD"/>
    <w:p w14:paraId="01EBE0FF" w14:textId="62B27125" w:rsidR="005F3F29" w:rsidRPr="00B47BDA" w:rsidRDefault="009E64D3" w:rsidP="004623DD">
      <w:pPr>
        <w:rPr>
          <w:highlight w:val="yellow"/>
        </w:rPr>
      </w:pPr>
      <w:r>
        <w:rPr>
          <w:noProof/>
        </w:rPr>
        <w:t>„Toplina OIE“ obuhvaća toplinu proizvedenu iz obnovljivih izvora energije u javnim toplanama, kotlovnicama, industrijskim toplanama i dizalicama topline.</w:t>
      </w:r>
    </w:p>
    <w:p w14:paraId="51235A4C" w14:textId="1A852E2E" w:rsidR="005F3F29" w:rsidRPr="00B47BDA" w:rsidRDefault="005F3F29" w:rsidP="004623DD">
      <w:pPr>
        <w:pStyle w:val="Caption"/>
      </w:pPr>
      <w:bookmarkStart w:id="576" w:name="_Toc193035963"/>
      <w:r w:rsidRPr="00B532F4">
        <w:t xml:space="preserve">Tablica </w:t>
      </w:r>
      <w:r>
        <w:fldChar w:fldCharType="begin"/>
      </w:r>
      <w:r>
        <w:instrText>STYLEREF 1 \s</w:instrText>
      </w:r>
      <w:r>
        <w:fldChar w:fldCharType="separate"/>
      </w:r>
      <w:r w:rsidR="00AD324D">
        <w:rPr>
          <w:noProof/>
        </w:rPr>
        <w:t>4</w:t>
      </w:r>
      <w:r>
        <w:fldChar w:fldCharType="end"/>
      </w:r>
      <w:r w:rsidR="000C3EFD" w:rsidRPr="00B532F4">
        <w:noBreakHyphen/>
      </w:r>
      <w:r>
        <w:fldChar w:fldCharType="begin"/>
      </w:r>
      <w:r>
        <w:instrText>SEQ Tablica \* ARABIC \s 1</w:instrText>
      </w:r>
      <w:r>
        <w:fldChar w:fldCharType="separate"/>
      </w:r>
      <w:r w:rsidR="00694712">
        <w:rPr>
          <w:noProof/>
        </w:rPr>
        <w:t>12</w:t>
      </w:r>
      <w:r>
        <w:fldChar w:fldCharType="end"/>
      </w:r>
      <w:r w:rsidRPr="00B532F4">
        <w:t xml:space="preserve">. Ocijenjeni doprinos tehnologija za OIE u električnoj energiji </w:t>
      </w:r>
      <w:r w:rsidR="005319CB" w:rsidRPr="00B532F4">
        <w:t>(WEM scenarij)</w:t>
      </w:r>
      <w:bookmarkEnd w:id="576"/>
    </w:p>
    <w:tbl>
      <w:tblPr>
        <w:tblW w:w="9589" w:type="dxa"/>
        <w:jc w:val="center"/>
        <w:tblLook w:val="04A0" w:firstRow="1" w:lastRow="0" w:firstColumn="1" w:lastColumn="0" w:noHBand="0" w:noVBand="1"/>
      </w:tblPr>
      <w:tblGrid>
        <w:gridCol w:w="3114"/>
        <w:gridCol w:w="709"/>
        <w:gridCol w:w="567"/>
        <w:gridCol w:w="567"/>
        <w:gridCol w:w="661"/>
        <w:gridCol w:w="661"/>
        <w:gridCol w:w="662"/>
        <w:gridCol w:w="661"/>
        <w:gridCol w:w="661"/>
        <w:gridCol w:w="661"/>
        <w:gridCol w:w="665"/>
      </w:tblGrid>
      <w:tr w:rsidR="007E12B1" w:rsidRPr="00C36BBE" w14:paraId="5F182919" w14:textId="77777777" w:rsidTr="63259912">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5057CB3E" w14:textId="77777777" w:rsidR="00FA3789" w:rsidRPr="00F200F4" w:rsidRDefault="00FA3789" w:rsidP="63259912">
            <w:pPr>
              <w:spacing w:after="0"/>
              <w:jc w:val="left"/>
              <w:rPr>
                <w:rFonts w:asciiTheme="minorHAnsi" w:eastAsia="Times New Roman" w:hAnsiTheme="minorHAnsi" w:cstheme="minorBidi"/>
                <w:b/>
                <w:bCs/>
                <w:color w:val="000000"/>
                <w:sz w:val="18"/>
                <w:szCs w:val="18"/>
                <w:lang w:eastAsia="hr-HR"/>
              </w:rPr>
            </w:pPr>
            <w:r w:rsidRPr="63259912">
              <w:rPr>
                <w:rFonts w:asciiTheme="minorHAnsi" w:eastAsia="Times New Roman" w:hAnsiTheme="minorHAnsi" w:cstheme="minorBidi"/>
                <w:b/>
                <w:bCs/>
                <w:color w:val="000000" w:themeColor="text1"/>
                <w:sz w:val="18"/>
                <w:szCs w:val="18"/>
                <w:lang w:eastAsia="hr-HR"/>
              </w:rPr>
              <w:t>ktoe</w:t>
            </w:r>
          </w:p>
        </w:tc>
        <w:tc>
          <w:tcPr>
            <w:tcW w:w="709"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31CEF20" w14:textId="6F5C7EDE" w:rsidR="00FA3789" w:rsidRPr="00F200F4" w:rsidRDefault="00FA3789" w:rsidP="00FA3789">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color w:val="000000"/>
                <w:sz w:val="18"/>
                <w:szCs w:val="18"/>
                <w:lang w:eastAsia="hr-HR"/>
              </w:rPr>
              <w:t>2021</w:t>
            </w:r>
            <w:r>
              <w:rPr>
                <w:rFonts w:eastAsia="Times New Roman" w:cs="Calibri"/>
                <w:b/>
                <w:bCs/>
                <w:color w:val="000000"/>
                <w:sz w:val="18"/>
                <w:szCs w:val="18"/>
                <w:lang w:eastAsia="hr-HR"/>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80E8428" w14:textId="1129BC6E" w:rsidR="00FA3789" w:rsidRPr="00F200F4" w:rsidRDefault="00FA3789" w:rsidP="00FA3789">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2022</w:t>
            </w:r>
            <w:r>
              <w:rPr>
                <w:rFonts w:eastAsia="Times New Roman" w:cs="Calibri"/>
                <w:color w:val="000000"/>
                <w:sz w:val="18"/>
                <w:szCs w:val="18"/>
                <w:lang w:eastAsia="hr-HR"/>
              </w:rPr>
              <w:t>.</w:t>
            </w:r>
          </w:p>
        </w:tc>
        <w:tc>
          <w:tcPr>
            <w:tcW w:w="567"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FF0AAB9" w14:textId="5B10BD84" w:rsidR="00FA3789" w:rsidRPr="00F200F4" w:rsidRDefault="00FA3789" w:rsidP="00FA3789">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2023</w:t>
            </w:r>
            <w:r>
              <w:rPr>
                <w:rFonts w:eastAsia="Times New Roman" w:cs="Calibri"/>
                <w:color w:val="000000"/>
                <w:sz w:val="18"/>
                <w:szCs w:val="18"/>
                <w:lang w:eastAsia="hr-HR"/>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ED28440" w14:textId="2FE35987" w:rsidR="00FA3789" w:rsidRPr="00F200F4" w:rsidRDefault="00FA3789" w:rsidP="00FA3789">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2024</w:t>
            </w:r>
            <w:r>
              <w:rPr>
                <w:rFonts w:eastAsia="Times New Roman" w:cs="Calibri"/>
                <w:color w:val="000000"/>
                <w:sz w:val="18"/>
                <w:szCs w:val="18"/>
                <w:lang w:eastAsia="hr-HR"/>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D286DA1" w14:textId="359514FA" w:rsidR="00FA3789" w:rsidRPr="00F200F4" w:rsidRDefault="00FA3789" w:rsidP="00FA3789">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2025</w:t>
            </w:r>
            <w:r>
              <w:rPr>
                <w:rFonts w:eastAsia="Times New Roman" w:cs="Calibri"/>
                <w:color w:val="000000"/>
                <w:sz w:val="18"/>
                <w:szCs w:val="18"/>
                <w:lang w:eastAsia="hr-HR"/>
              </w:rPr>
              <w:t>.</w:t>
            </w:r>
          </w:p>
        </w:tc>
        <w:tc>
          <w:tcPr>
            <w:tcW w:w="662"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302A64A" w14:textId="0099DA88" w:rsidR="00FA3789" w:rsidRPr="00F200F4" w:rsidRDefault="00FA3789" w:rsidP="00FA3789">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2026</w:t>
            </w:r>
            <w:r>
              <w:rPr>
                <w:rFonts w:eastAsia="Times New Roman" w:cs="Calibri"/>
                <w:color w:val="000000"/>
                <w:sz w:val="18"/>
                <w:szCs w:val="18"/>
                <w:lang w:eastAsia="hr-HR"/>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7B20E77" w14:textId="10FADF88" w:rsidR="00FA3789" w:rsidRPr="00F200F4" w:rsidRDefault="00FA3789" w:rsidP="00FA3789">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2027</w:t>
            </w:r>
            <w:r>
              <w:rPr>
                <w:rFonts w:eastAsia="Times New Roman" w:cs="Calibri"/>
                <w:color w:val="000000"/>
                <w:sz w:val="18"/>
                <w:szCs w:val="18"/>
                <w:lang w:eastAsia="hr-HR"/>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4E1E42A" w14:textId="4DA5A53D" w:rsidR="00FA3789" w:rsidRPr="00F200F4" w:rsidRDefault="00FA3789" w:rsidP="00FA3789">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2028</w:t>
            </w:r>
            <w:r>
              <w:rPr>
                <w:rFonts w:eastAsia="Times New Roman" w:cs="Calibri"/>
                <w:color w:val="000000"/>
                <w:sz w:val="18"/>
                <w:szCs w:val="18"/>
                <w:lang w:eastAsia="hr-HR"/>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8FAFF8A" w14:textId="16146CBD" w:rsidR="00FA3789" w:rsidRPr="00F200F4" w:rsidRDefault="00FA3789" w:rsidP="00FA3789">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2029</w:t>
            </w:r>
            <w:r>
              <w:rPr>
                <w:rFonts w:eastAsia="Times New Roman" w:cs="Calibri"/>
                <w:color w:val="000000"/>
                <w:sz w:val="18"/>
                <w:szCs w:val="18"/>
                <w:lang w:eastAsia="hr-HR"/>
              </w:rPr>
              <w:t>.</w:t>
            </w:r>
          </w:p>
        </w:tc>
        <w:tc>
          <w:tcPr>
            <w:tcW w:w="665"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02A3AA2" w14:textId="11FD5836" w:rsidR="00FA3789" w:rsidRPr="00F200F4" w:rsidRDefault="00FA3789" w:rsidP="00FA3789">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color w:val="000000"/>
                <w:sz w:val="18"/>
                <w:szCs w:val="18"/>
                <w:lang w:eastAsia="hr-HR"/>
              </w:rPr>
              <w:t>2030</w:t>
            </w:r>
            <w:r>
              <w:rPr>
                <w:rFonts w:eastAsia="Times New Roman" w:cs="Calibri"/>
                <w:b/>
                <w:bCs/>
                <w:color w:val="000000"/>
                <w:sz w:val="18"/>
                <w:szCs w:val="18"/>
                <w:lang w:eastAsia="hr-HR"/>
              </w:rPr>
              <w:t>.</w:t>
            </w:r>
          </w:p>
        </w:tc>
      </w:tr>
      <w:tr w:rsidR="007E12B1" w:rsidRPr="00C36BBE" w14:paraId="4A604843" w14:textId="77777777" w:rsidTr="63259912">
        <w:trPr>
          <w:trHeight w:val="288"/>
          <w:jc w:val="center"/>
        </w:trPr>
        <w:tc>
          <w:tcPr>
            <w:tcW w:w="3114"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3CED9287" w14:textId="77777777" w:rsidR="00C36BBE" w:rsidRPr="00F200F4" w:rsidRDefault="00C36BBE" w:rsidP="00C36BBE">
            <w:pPr>
              <w:spacing w:after="0"/>
              <w:jc w:val="lef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Bruto neposredna OIE el. energija</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11B14D9" w14:textId="77777777" w:rsidR="00C36BBE" w:rsidRPr="00F200F4" w:rsidRDefault="00C36BBE" w:rsidP="00C36BBE">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927,7</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6FB671B"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959,6</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5AF38F8"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991,5</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E297658"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1.023,4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7ADF3F1"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1.055,2</w:t>
            </w:r>
          </w:p>
        </w:tc>
        <w:tc>
          <w:tcPr>
            <w:tcW w:w="662"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7746CEB"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1.087,1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88363AF"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1.119,0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3943B7D"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1.150,9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8BB219F"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1.182,8</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E05AA3A" w14:textId="77777777" w:rsidR="00C36BBE" w:rsidRPr="00F200F4" w:rsidRDefault="00C36BBE" w:rsidP="00C36BBE">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1.214,7</w:t>
            </w:r>
          </w:p>
        </w:tc>
      </w:tr>
      <w:tr w:rsidR="007E12B1" w:rsidRPr="00C36BBE" w14:paraId="2207F962" w14:textId="77777777" w:rsidTr="63259912">
        <w:trPr>
          <w:trHeight w:val="288"/>
          <w:jc w:val="center"/>
        </w:trPr>
        <w:tc>
          <w:tcPr>
            <w:tcW w:w="3114"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6AC12055" w14:textId="77777777" w:rsidR="00C36BBE" w:rsidRPr="00F200F4" w:rsidRDefault="00C36BBE" w:rsidP="00C36BBE">
            <w:pPr>
              <w:spacing w:after="0"/>
              <w:jc w:val="lef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Hidroelektrane</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E024F99" w14:textId="77777777" w:rsidR="00C36BBE" w:rsidRPr="00F200F4" w:rsidRDefault="00C36BBE" w:rsidP="00C36BBE">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571,4</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9B45795"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569,6</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690AF0A"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567,7</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7981083"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565,9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FBE516B"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564,0</w:t>
            </w:r>
          </w:p>
        </w:tc>
        <w:tc>
          <w:tcPr>
            <w:tcW w:w="662"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3468249"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562,2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30113A6"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560,3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B5B74B6"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558,5</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E9946CE"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556,6</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93E31C4" w14:textId="77777777" w:rsidR="00C36BBE" w:rsidRPr="00F200F4" w:rsidRDefault="00C36BBE" w:rsidP="00C36BBE">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554,8</w:t>
            </w:r>
          </w:p>
        </w:tc>
      </w:tr>
      <w:tr w:rsidR="007E12B1" w:rsidRPr="00C36BBE" w14:paraId="59AED0BA" w14:textId="77777777" w:rsidTr="63259912">
        <w:trPr>
          <w:trHeight w:val="288"/>
          <w:jc w:val="center"/>
        </w:trPr>
        <w:tc>
          <w:tcPr>
            <w:tcW w:w="3114"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26F6DB87" w14:textId="77777777" w:rsidR="00C36BBE" w:rsidRPr="00F200F4" w:rsidRDefault="00C36BBE" w:rsidP="00C36BBE">
            <w:pPr>
              <w:spacing w:after="0"/>
              <w:jc w:val="lef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Vjetroelektrane</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75082FD" w14:textId="77777777" w:rsidR="00C36BBE" w:rsidRPr="00F200F4" w:rsidRDefault="00C36BBE" w:rsidP="00C36BBE">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177,3</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6BDFF8D"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202,3</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2017D52"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227,3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E317600"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252,3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A88B538"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277,2</w:t>
            </w:r>
          </w:p>
        </w:tc>
        <w:tc>
          <w:tcPr>
            <w:tcW w:w="662"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99CE94D"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302,2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3AF2582"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327,2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13ED3B4"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352,2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24C7464"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377,2</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A19C531" w14:textId="77777777" w:rsidR="00C36BBE" w:rsidRPr="00F200F4" w:rsidRDefault="00C36BBE" w:rsidP="00C36BBE">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402,2</w:t>
            </w:r>
          </w:p>
        </w:tc>
      </w:tr>
      <w:tr w:rsidR="007E12B1" w:rsidRPr="00C36BBE" w14:paraId="2AE58059" w14:textId="77777777" w:rsidTr="63259912">
        <w:trPr>
          <w:trHeight w:val="288"/>
          <w:jc w:val="center"/>
        </w:trPr>
        <w:tc>
          <w:tcPr>
            <w:tcW w:w="3114"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228A5DF1" w14:textId="77777777" w:rsidR="00C36BBE" w:rsidRPr="00F200F4" w:rsidRDefault="00C36BBE" w:rsidP="00C36BBE">
            <w:pPr>
              <w:spacing w:after="0"/>
              <w:jc w:val="lef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Sunčane elektrane PV</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142AF62" w14:textId="77777777" w:rsidR="00C36BBE" w:rsidRPr="00F200F4" w:rsidRDefault="00C36BBE" w:rsidP="00C36BBE">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12,8</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64F0B5B"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19,7</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1738A37"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26,5</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889FF86"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33,4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11CA393"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40,2</w:t>
            </w:r>
          </w:p>
        </w:tc>
        <w:tc>
          <w:tcPr>
            <w:tcW w:w="662"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2BC3948"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47,1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9EE7B2A"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53,9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CF7C56A"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60,8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85D2E1B"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67,7</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9BE76EF" w14:textId="77777777" w:rsidR="00C36BBE" w:rsidRPr="00F200F4" w:rsidRDefault="00C36BBE" w:rsidP="00C36BBE">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74,5</w:t>
            </w:r>
          </w:p>
        </w:tc>
      </w:tr>
      <w:tr w:rsidR="007E12B1" w:rsidRPr="00C36BBE" w14:paraId="5BE9B6BE" w14:textId="77777777" w:rsidTr="63259912">
        <w:trPr>
          <w:trHeight w:val="288"/>
          <w:jc w:val="center"/>
        </w:trPr>
        <w:tc>
          <w:tcPr>
            <w:tcW w:w="3114"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4179A1C9" w14:textId="77777777" w:rsidR="00C36BBE" w:rsidRPr="00F200F4" w:rsidRDefault="00C36BBE" w:rsidP="00C36BBE">
            <w:pPr>
              <w:spacing w:after="0"/>
              <w:jc w:val="lef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Geotermalne elektrane</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240727C" w14:textId="77777777" w:rsidR="00C36BBE" w:rsidRPr="00F200F4" w:rsidRDefault="00C36BBE" w:rsidP="00C36BBE">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45,0</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D74F06A"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45,2</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A37E59A"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45,4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D702FA5"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45,6</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3E09997"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45,8</w:t>
            </w:r>
          </w:p>
        </w:tc>
        <w:tc>
          <w:tcPr>
            <w:tcW w:w="662"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A712F17"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46,0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3285B27"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46,3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E3D99D1"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46,5</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C42DF08"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46,7</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C733CA1" w14:textId="77777777" w:rsidR="00C36BBE" w:rsidRPr="00F200F4" w:rsidRDefault="00C36BBE" w:rsidP="00C36BBE">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46,9</w:t>
            </w:r>
          </w:p>
        </w:tc>
      </w:tr>
      <w:tr w:rsidR="007E12B1" w:rsidRPr="00C36BBE" w14:paraId="29E0A0FB" w14:textId="77777777" w:rsidTr="63259912">
        <w:trPr>
          <w:trHeight w:val="288"/>
          <w:jc w:val="center"/>
        </w:trPr>
        <w:tc>
          <w:tcPr>
            <w:tcW w:w="3114"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30147117" w14:textId="77777777" w:rsidR="00C36BBE" w:rsidRPr="00F200F4" w:rsidRDefault="00C36BBE" w:rsidP="63259912">
            <w:pPr>
              <w:spacing w:after="0"/>
              <w:jc w:val="left"/>
              <w:rPr>
                <w:rFonts w:asciiTheme="minorHAnsi" w:eastAsia="Times New Roman" w:hAnsiTheme="minorHAnsi" w:cstheme="minorBidi"/>
                <w:b/>
                <w:bCs/>
                <w:color w:val="000000"/>
                <w:sz w:val="18"/>
                <w:szCs w:val="18"/>
                <w:lang w:eastAsia="hr-HR"/>
              </w:rPr>
            </w:pPr>
            <w:r w:rsidRPr="63259912">
              <w:rPr>
                <w:rFonts w:asciiTheme="minorHAnsi" w:eastAsia="Times New Roman" w:hAnsiTheme="minorHAnsi" w:cstheme="minorBidi"/>
                <w:b/>
                <w:bCs/>
                <w:color w:val="000000" w:themeColor="text1"/>
                <w:sz w:val="18"/>
                <w:szCs w:val="18"/>
                <w:lang w:eastAsia="hr-HR"/>
              </w:rPr>
              <w:t>Termo postr.-kruta i plinovita biomasa</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B433F92" w14:textId="77777777" w:rsidR="00C36BBE" w:rsidRPr="00F200F4" w:rsidRDefault="00C36BBE" w:rsidP="00C36BBE">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121,2</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DEA9110"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122,9</w:t>
            </w:r>
          </w:p>
        </w:tc>
        <w:tc>
          <w:tcPr>
            <w:tcW w:w="567"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ACC0887"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124,6</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06FE44E"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126,3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F966632"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127,9</w:t>
            </w:r>
          </w:p>
        </w:tc>
        <w:tc>
          <w:tcPr>
            <w:tcW w:w="662"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7DB4856"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129,6</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272B93F"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131,3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63993F6"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133,0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9EDF153" w14:textId="77777777" w:rsidR="00C36BBE" w:rsidRPr="00F200F4" w:rsidRDefault="00C36BBE" w:rsidP="00C36BBE">
            <w:pPr>
              <w:spacing w:after="0"/>
              <w:jc w:val="center"/>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134,7</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84FD664" w14:textId="77777777" w:rsidR="00C36BBE" w:rsidRPr="00F200F4" w:rsidRDefault="00C36BBE" w:rsidP="00C36BBE">
            <w:pPr>
              <w:spacing w:after="0"/>
              <w:jc w:val="center"/>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136,4</w:t>
            </w:r>
          </w:p>
        </w:tc>
      </w:tr>
    </w:tbl>
    <w:p w14:paraId="004D9609" w14:textId="10277454" w:rsidR="005F3F29" w:rsidRPr="00B47BDA" w:rsidRDefault="005F3F29" w:rsidP="004623DD">
      <w:pPr>
        <w:pStyle w:val="Caption"/>
      </w:pPr>
      <w:bookmarkStart w:id="577" w:name="_Toc193035964"/>
      <w:r w:rsidRPr="00B532F4">
        <w:t xml:space="preserve">Tablica </w:t>
      </w:r>
      <w:r>
        <w:fldChar w:fldCharType="begin"/>
      </w:r>
      <w:r>
        <w:instrText>STYLEREF 1 \s</w:instrText>
      </w:r>
      <w:r>
        <w:fldChar w:fldCharType="separate"/>
      </w:r>
      <w:r w:rsidR="00AD324D">
        <w:rPr>
          <w:noProof/>
        </w:rPr>
        <w:t>4</w:t>
      </w:r>
      <w:r>
        <w:fldChar w:fldCharType="end"/>
      </w:r>
      <w:r w:rsidR="000C3EFD" w:rsidRPr="00B532F4">
        <w:noBreakHyphen/>
      </w:r>
      <w:r>
        <w:fldChar w:fldCharType="begin"/>
      </w:r>
      <w:r>
        <w:instrText>SEQ Tablica \* ARABIC \s 1</w:instrText>
      </w:r>
      <w:r>
        <w:fldChar w:fldCharType="separate"/>
      </w:r>
      <w:r w:rsidR="00694712">
        <w:rPr>
          <w:noProof/>
        </w:rPr>
        <w:t>13</w:t>
      </w:r>
      <w:r>
        <w:fldChar w:fldCharType="end"/>
      </w:r>
      <w:r w:rsidRPr="00B532F4">
        <w:t xml:space="preserve">. Ocijenjeni doprinos tehnologija za OIE u grijanju i hlađenju </w:t>
      </w:r>
      <w:r w:rsidR="00551BE2" w:rsidRPr="00B532F4">
        <w:t>(WEM scenarij)</w:t>
      </w:r>
      <w:bookmarkEnd w:id="577"/>
    </w:p>
    <w:tbl>
      <w:tblPr>
        <w:tblW w:w="10015" w:type="dxa"/>
        <w:jc w:val="center"/>
        <w:tblLook w:val="04A0" w:firstRow="1" w:lastRow="0" w:firstColumn="1" w:lastColumn="0" w:noHBand="0" w:noVBand="1"/>
      </w:tblPr>
      <w:tblGrid>
        <w:gridCol w:w="3256"/>
        <w:gridCol w:w="709"/>
        <w:gridCol w:w="661"/>
        <w:gridCol w:w="661"/>
        <w:gridCol w:w="661"/>
        <w:gridCol w:w="661"/>
        <w:gridCol w:w="758"/>
        <w:gridCol w:w="661"/>
        <w:gridCol w:w="661"/>
        <w:gridCol w:w="661"/>
        <w:gridCol w:w="665"/>
      </w:tblGrid>
      <w:tr w:rsidR="00FA3789" w:rsidRPr="00903496" w14:paraId="45386E48" w14:textId="77777777" w:rsidTr="63259912">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2B2F21FB" w14:textId="77777777" w:rsidR="00584F80" w:rsidRPr="00F200F4" w:rsidRDefault="00584F80" w:rsidP="63259912">
            <w:pPr>
              <w:spacing w:after="0"/>
              <w:jc w:val="left"/>
              <w:rPr>
                <w:rFonts w:asciiTheme="minorHAnsi" w:eastAsia="Times New Roman" w:hAnsiTheme="minorHAnsi" w:cstheme="minorBidi"/>
                <w:b/>
                <w:bCs/>
                <w:color w:val="000000"/>
                <w:sz w:val="18"/>
                <w:szCs w:val="18"/>
                <w:lang w:eastAsia="hr-HR"/>
              </w:rPr>
            </w:pPr>
            <w:r w:rsidRPr="63259912">
              <w:rPr>
                <w:rFonts w:asciiTheme="minorHAnsi" w:eastAsia="Times New Roman" w:hAnsiTheme="minorHAnsi" w:cstheme="minorBidi"/>
                <w:b/>
                <w:bCs/>
                <w:color w:val="000000" w:themeColor="text1"/>
                <w:sz w:val="18"/>
                <w:szCs w:val="18"/>
                <w:lang w:eastAsia="hr-HR"/>
              </w:rPr>
              <w:t>ktoe</w:t>
            </w:r>
          </w:p>
        </w:tc>
        <w:tc>
          <w:tcPr>
            <w:tcW w:w="709"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A376F74" w14:textId="1B7C7C67" w:rsidR="00584F80" w:rsidRPr="00F200F4" w:rsidRDefault="00584F80" w:rsidP="00584F80">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color w:val="000000"/>
                <w:sz w:val="18"/>
                <w:szCs w:val="18"/>
                <w:lang w:eastAsia="hr-HR"/>
              </w:rPr>
              <w:t>2021</w:t>
            </w:r>
            <w:r>
              <w:rPr>
                <w:rFonts w:eastAsia="Times New Roman" w:cs="Calibri"/>
                <w:b/>
                <w:bCs/>
                <w:color w:val="000000"/>
                <w:sz w:val="18"/>
                <w:szCs w:val="18"/>
                <w:lang w:eastAsia="hr-HR"/>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BBB83BD" w14:textId="257FCD8B" w:rsidR="00584F80" w:rsidRPr="00F200F4" w:rsidRDefault="00584F80" w:rsidP="00584F80">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2022</w:t>
            </w:r>
            <w:r>
              <w:rPr>
                <w:rFonts w:eastAsia="Times New Roman" w:cs="Calibri"/>
                <w:color w:val="000000"/>
                <w:sz w:val="18"/>
                <w:szCs w:val="18"/>
                <w:lang w:eastAsia="hr-HR"/>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3B9D840" w14:textId="2F1E0200" w:rsidR="00584F80" w:rsidRPr="00F200F4" w:rsidRDefault="00584F80" w:rsidP="00584F80">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2023</w:t>
            </w:r>
            <w:r>
              <w:rPr>
                <w:rFonts w:eastAsia="Times New Roman" w:cs="Calibri"/>
                <w:color w:val="000000"/>
                <w:sz w:val="18"/>
                <w:szCs w:val="18"/>
                <w:lang w:eastAsia="hr-HR"/>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BAA1359" w14:textId="7A6818AA" w:rsidR="00584F80" w:rsidRPr="00F200F4" w:rsidRDefault="00584F80" w:rsidP="00584F80">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2024</w:t>
            </w:r>
            <w:r>
              <w:rPr>
                <w:rFonts w:eastAsia="Times New Roman" w:cs="Calibri"/>
                <w:color w:val="000000"/>
                <w:sz w:val="18"/>
                <w:szCs w:val="18"/>
                <w:lang w:eastAsia="hr-HR"/>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6B5202B" w14:textId="08F0FA6F" w:rsidR="00584F80" w:rsidRPr="00F200F4" w:rsidRDefault="00584F80" w:rsidP="00584F80">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2025</w:t>
            </w:r>
            <w:r>
              <w:rPr>
                <w:rFonts w:eastAsia="Times New Roman" w:cs="Calibri"/>
                <w:color w:val="000000"/>
                <w:sz w:val="18"/>
                <w:szCs w:val="18"/>
                <w:lang w:eastAsia="hr-HR"/>
              </w:rPr>
              <w:t>.</w:t>
            </w:r>
          </w:p>
        </w:tc>
        <w:tc>
          <w:tcPr>
            <w:tcW w:w="758"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D9FB522" w14:textId="448DC5C1" w:rsidR="00584F80" w:rsidRPr="00F200F4" w:rsidRDefault="00584F80" w:rsidP="00584F80">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2026</w:t>
            </w:r>
            <w:r>
              <w:rPr>
                <w:rFonts w:eastAsia="Times New Roman" w:cs="Calibri"/>
                <w:color w:val="000000"/>
                <w:sz w:val="18"/>
                <w:szCs w:val="18"/>
                <w:lang w:eastAsia="hr-HR"/>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2F4DD4D" w14:textId="268A72BC" w:rsidR="00584F80" w:rsidRPr="00F200F4" w:rsidRDefault="00584F80" w:rsidP="00584F80">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2027</w:t>
            </w:r>
            <w:r>
              <w:rPr>
                <w:rFonts w:eastAsia="Times New Roman" w:cs="Calibri"/>
                <w:color w:val="000000"/>
                <w:sz w:val="18"/>
                <w:szCs w:val="18"/>
                <w:lang w:eastAsia="hr-HR"/>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6DAA7DE" w14:textId="150E73A9" w:rsidR="00584F80" w:rsidRPr="00F200F4" w:rsidRDefault="00584F80" w:rsidP="00584F80">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2028</w:t>
            </w:r>
            <w:r>
              <w:rPr>
                <w:rFonts w:eastAsia="Times New Roman" w:cs="Calibri"/>
                <w:color w:val="000000"/>
                <w:sz w:val="18"/>
                <w:szCs w:val="18"/>
                <w:lang w:eastAsia="hr-HR"/>
              </w:rPr>
              <w:t>.</w:t>
            </w:r>
          </w:p>
        </w:tc>
        <w:tc>
          <w:tcPr>
            <w:tcW w:w="661"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D66C1C5" w14:textId="1D191613" w:rsidR="00584F80" w:rsidRPr="00F200F4" w:rsidRDefault="00584F80" w:rsidP="00584F80">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2029</w:t>
            </w:r>
            <w:r>
              <w:rPr>
                <w:rFonts w:eastAsia="Times New Roman" w:cs="Calibri"/>
                <w:color w:val="000000"/>
                <w:sz w:val="18"/>
                <w:szCs w:val="18"/>
                <w:lang w:eastAsia="hr-HR"/>
              </w:rPr>
              <w:t>.</w:t>
            </w:r>
          </w:p>
        </w:tc>
        <w:tc>
          <w:tcPr>
            <w:tcW w:w="665"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A247F67" w14:textId="0842885A" w:rsidR="00584F80" w:rsidRPr="00F200F4" w:rsidRDefault="00584F80" w:rsidP="00584F80">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color w:val="000000"/>
                <w:sz w:val="18"/>
                <w:szCs w:val="18"/>
                <w:lang w:eastAsia="hr-HR"/>
              </w:rPr>
              <w:t>2030</w:t>
            </w:r>
            <w:r>
              <w:rPr>
                <w:rFonts w:eastAsia="Times New Roman" w:cs="Calibri"/>
                <w:b/>
                <w:bCs/>
                <w:color w:val="000000"/>
                <w:sz w:val="18"/>
                <w:szCs w:val="18"/>
                <w:lang w:eastAsia="hr-HR"/>
              </w:rPr>
              <w:t>.</w:t>
            </w:r>
          </w:p>
        </w:tc>
      </w:tr>
      <w:tr w:rsidR="00FA3789" w:rsidRPr="00903496" w14:paraId="7703BBFF" w14:textId="77777777" w:rsidTr="63259912">
        <w:trPr>
          <w:trHeight w:val="288"/>
          <w:jc w:val="center"/>
        </w:trPr>
        <w:tc>
          <w:tcPr>
            <w:tcW w:w="3256"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20EB8E29" w14:textId="77777777" w:rsidR="00903496" w:rsidRPr="00F200F4" w:rsidRDefault="00903496" w:rsidP="63259912">
            <w:pPr>
              <w:spacing w:after="0"/>
              <w:jc w:val="left"/>
              <w:rPr>
                <w:rFonts w:asciiTheme="minorHAnsi" w:eastAsia="Times New Roman" w:hAnsiTheme="minorHAnsi" w:cstheme="minorBidi"/>
                <w:b/>
                <w:bCs/>
                <w:color w:val="000000"/>
                <w:sz w:val="18"/>
                <w:szCs w:val="18"/>
                <w:lang w:eastAsia="hr-HR"/>
              </w:rPr>
            </w:pPr>
            <w:r w:rsidRPr="63259912">
              <w:rPr>
                <w:rFonts w:asciiTheme="minorHAnsi" w:eastAsia="Times New Roman" w:hAnsiTheme="minorHAnsi" w:cstheme="minorBidi"/>
                <w:b/>
                <w:bCs/>
                <w:color w:val="000000" w:themeColor="text1"/>
                <w:sz w:val="18"/>
                <w:szCs w:val="18"/>
                <w:lang w:eastAsia="hr-HR"/>
              </w:rPr>
              <w:t>Bruto nep. potr. OIE za grijanje i hlađenje</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7B971BF" w14:textId="77777777" w:rsidR="00903496" w:rsidRPr="00F200F4" w:rsidRDefault="00903496" w:rsidP="00903496">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1.285,1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04D5E5C"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1.272,4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329F58B"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1.259,8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BBDB4BB"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1.247,1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7CB3E9B"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1.234,5</w:t>
            </w:r>
          </w:p>
        </w:tc>
        <w:tc>
          <w:tcPr>
            <w:tcW w:w="758"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B2D7D86"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1.221,8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B3566E1"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1.209,2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AB8A07A"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1.196,5</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7F140E2"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1.183,8</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D5312C3" w14:textId="77777777" w:rsidR="00903496" w:rsidRPr="00F200F4" w:rsidRDefault="00903496" w:rsidP="00903496">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1.171,2</w:t>
            </w:r>
          </w:p>
        </w:tc>
      </w:tr>
      <w:tr w:rsidR="00FA3789" w:rsidRPr="00903496" w14:paraId="1B631CE5" w14:textId="77777777" w:rsidTr="63259912">
        <w:trPr>
          <w:trHeight w:val="288"/>
          <w:jc w:val="center"/>
        </w:trPr>
        <w:tc>
          <w:tcPr>
            <w:tcW w:w="3256"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65501AE6" w14:textId="77777777" w:rsidR="00903496" w:rsidRPr="00F200F4" w:rsidRDefault="00903496" w:rsidP="00903496">
            <w:pPr>
              <w:spacing w:after="0"/>
              <w:jc w:val="lef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Energija Sunca</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D24CDBC" w14:textId="77777777" w:rsidR="00903496" w:rsidRPr="00F200F4" w:rsidRDefault="00903496" w:rsidP="00903496">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17,1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7F57985"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19,4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F439D16"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21,8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FEE308F"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24,1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FC99014"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26,5</w:t>
            </w:r>
          </w:p>
        </w:tc>
        <w:tc>
          <w:tcPr>
            <w:tcW w:w="758"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2A91699"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28,8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BD4C26C"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31,2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C339714"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33,6</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237BF32"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35,9</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FAEAE56" w14:textId="77777777" w:rsidR="00903496" w:rsidRPr="00F200F4" w:rsidRDefault="00903496" w:rsidP="00903496">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38,3</w:t>
            </w:r>
          </w:p>
        </w:tc>
      </w:tr>
      <w:tr w:rsidR="00FA3789" w:rsidRPr="00903496" w14:paraId="39BDDE9E" w14:textId="77777777" w:rsidTr="63259912">
        <w:trPr>
          <w:trHeight w:val="288"/>
          <w:jc w:val="center"/>
        </w:trPr>
        <w:tc>
          <w:tcPr>
            <w:tcW w:w="3256"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44583636" w14:textId="77777777" w:rsidR="00903496" w:rsidRPr="00F200F4" w:rsidRDefault="00903496" w:rsidP="00903496">
            <w:pPr>
              <w:spacing w:after="0"/>
              <w:jc w:val="lef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Kruta biomasa</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724983A" w14:textId="77777777" w:rsidR="00903496" w:rsidRPr="00F200F4" w:rsidRDefault="00903496" w:rsidP="00903496">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1.154,4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1F09E0C"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1.122,7</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6EBF5F2"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1.091,0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547189C"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1.059,3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387EE64"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1.027,5</w:t>
            </w:r>
          </w:p>
        </w:tc>
        <w:tc>
          <w:tcPr>
            <w:tcW w:w="758"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0D14460"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995,8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738ECBF"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964,1</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DDF1501"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932,4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235BB59"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900,7</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2614C6E" w14:textId="77777777" w:rsidR="00903496" w:rsidRPr="00F200F4" w:rsidRDefault="00903496" w:rsidP="00903496">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869,0</w:t>
            </w:r>
          </w:p>
        </w:tc>
      </w:tr>
      <w:tr w:rsidR="00FA3789" w:rsidRPr="00903496" w14:paraId="6D5732BA" w14:textId="77777777" w:rsidTr="63259912">
        <w:trPr>
          <w:trHeight w:val="288"/>
          <w:jc w:val="center"/>
        </w:trPr>
        <w:tc>
          <w:tcPr>
            <w:tcW w:w="3256"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44123841" w14:textId="77777777" w:rsidR="00903496" w:rsidRPr="00F200F4" w:rsidRDefault="00903496" w:rsidP="00903496">
            <w:pPr>
              <w:spacing w:after="0"/>
              <w:jc w:val="lef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Plinovita i tekuća biogoriva</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A04DBD3" w14:textId="77777777" w:rsidR="00903496" w:rsidRPr="00F200F4" w:rsidRDefault="00903496" w:rsidP="00903496">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0,0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771E8B1"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2,6</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67F8D399"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5,3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FDA73D1"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7,9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A99ED99"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10,5</w:t>
            </w:r>
          </w:p>
        </w:tc>
        <w:tc>
          <w:tcPr>
            <w:tcW w:w="758"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E3CC3CC"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13,2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C305250"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15,8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4D27B70"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18,5</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9D65042"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21,1</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DD19BE9" w14:textId="77777777" w:rsidR="00903496" w:rsidRPr="00F200F4" w:rsidRDefault="00903496" w:rsidP="00903496">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23,7</w:t>
            </w:r>
          </w:p>
        </w:tc>
      </w:tr>
      <w:tr w:rsidR="00FA3789" w:rsidRPr="00903496" w14:paraId="0F4AABD5" w14:textId="77777777" w:rsidTr="63259912">
        <w:trPr>
          <w:trHeight w:val="288"/>
          <w:jc w:val="center"/>
        </w:trPr>
        <w:tc>
          <w:tcPr>
            <w:tcW w:w="3256"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4541F7CA" w14:textId="77777777" w:rsidR="00903496" w:rsidRPr="00F200F4" w:rsidRDefault="00903496" w:rsidP="00903496">
            <w:pPr>
              <w:spacing w:after="0"/>
              <w:jc w:val="lef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Geotermalna energija</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ECBE1B8" w14:textId="77777777" w:rsidR="00903496" w:rsidRPr="00F200F4" w:rsidRDefault="00903496" w:rsidP="00903496">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5,0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E9F0172"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50755B1"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56F5AFE"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C028723"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4,8</w:t>
            </w:r>
          </w:p>
        </w:tc>
        <w:tc>
          <w:tcPr>
            <w:tcW w:w="758"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806FA6B"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EC1B743"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8A03765"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4,7</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579DE0F"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4,7</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F489A0D" w14:textId="77777777" w:rsidR="00903496" w:rsidRPr="00F200F4" w:rsidRDefault="00903496" w:rsidP="00903496">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4,7</w:t>
            </w:r>
          </w:p>
        </w:tc>
      </w:tr>
      <w:tr w:rsidR="00FA3789" w:rsidRPr="00903496" w14:paraId="72FA8A45" w14:textId="77777777" w:rsidTr="63259912">
        <w:trPr>
          <w:trHeight w:val="288"/>
          <w:jc w:val="center"/>
        </w:trPr>
        <w:tc>
          <w:tcPr>
            <w:tcW w:w="3256"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bottom"/>
            <w:hideMark/>
          </w:tcPr>
          <w:p w14:paraId="3EAECC51" w14:textId="77777777" w:rsidR="00903496" w:rsidRPr="00F200F4" w:rsidRDefault="00903496" w:rsidP="00903496">
            <w:pPr>
              <w:spacing w:after="0"/>
              <w:jc w:val="lef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Toplina OIE</w:t>
            </w:r>
          </w:p>
        </w:tc>
        <w:tc>
          <w:tcPr>
            <w:tcW w:w="709"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52E11345" w14:textId="77777777" w:rsidR="00903496" w:rsidRPr="00F200F4" w:rsidRDefault="00903496" w:rsidP="00903496">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108,7</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1FAD21B9"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122,8</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FF38003"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136,9</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B82C9B5"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151,0</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7380FDB1"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165,1</w:t>
            </w:r>
          </w:p>
        </w:tc>
        <w:tc>
          <w:tcPr>
            <w:tcW w:w="758"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6916072"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179,2</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022DB3AF"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193,3</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2E52F1E1"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207,4</w:t>
            </w:r>
          </w:p>
        </w:tc>
        <w:tc>
          <w:tcPr>
            <w:tcW w:w="661"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3F160C26" w14:textId="77777777" w:rsidR="00903496" w:rsidRPr="00F200F4" w:rsidRDefault="00903496" w:rsidP="00903496">
            <w:pPr>
              <w:spacing w:after="0"/>
              <w:jc w:val="right"/>
              <w:rPr>
                <w:rFonts w:asciiTheme="minorHAnsi" w:eastAsia="Times New Roman" w:hAnsiTheme="minorHAnsi" w:cstheme="minorHAnsi"/>
                <w:color w:val="000000"/>
                <w:sz w:val="18"/>
                <w:szCs w:val="18"/>
                <w:lang w:eastAsia="hr-HR"/>
              </w:rPr>
            </w:pPr>
            <w:r w:rsidRPr="00F200F4">
              <w:rPr>
                <w:rFonts w:asciiTheme="minorHAnsi" w:eastAsia="Times New Roman" w:hAnsiTheme="minorHAnsi" w:cstheme="minorHAnsi"/>
                <w:color w:val="000000"/>
                <w:sz w:val="18"/>
                <w:szCs w:val="18"/>
                <w:lang w:eastAsia="hr-HR"/>
              </w:rPr>
              <w:t>221,5</w:t>
            </w:r>
          </w:p>
        </w:tc>
        <w:tc>
          <w:tcPr>
            <w:tcW w:w="665" w:type="dxa"/>
            <w:tcBorders>
              <w:top w:val="nil"/>
              <w:left w:val="nil"/>
              <w:bottom w:val="single" w:sz="4" w:space="0" w:color="auto"/>
              <w:right w:val="single" w:sz="4" w:space="0" w:color="auto"/>
            </w:tcBorders>
            <w:shd w:val="clear" w:color="auto" w:fill="FFFFFF" w:themeFill="background1"/>
            <w:noWrap/>
            <w:tcMar>
              <w:left w:w="57" w:type="dxa"/>
              <w:right w:w="57" w:type="dxa"/>
            </w:tcMar>
            <w:vAlign w:val="bottom"/>
            <w:hideMark/>
          </w:tcPr>
          <w:p w14:paraId="4BDCDC41" w14:textId="77777777" w:rsidR="00903496" w:rsidRPr="00F200F4" w:rsidRDefault="00903496" w:rsidP="00903496">
            <w:pPr>
              <w:spacing w:after="0"/>
              <w:jc w:val="right"/>
              <w:rPr>
                <w:rFonts w:asciiTheme="minorHAnsi" w:eastAsia="Times New Roman" w:hAnsiTheme="minorHAnsi" w:cstheme="minorHAnsi"/>
                <w:b/>
                <w:bCs/>
                <w:color w:val="000000"/>
                <w:sz w:val="18"/>
                <w:szCs w:val="18"/>
                <w:lang w:eastAsia="hr-HR"/>
              </w:rPr>
            </w:pPr>
            <w:r w:rsidRPr="00F200F4">
              <w:rPr>
                <w:rFonts w:asciiTheme="minorHAnsi" w:eastAsia="Times New Roman" w:hAnsiTheme="minorHAnsi" w:cstheme="minorHAnsi"/>
                <w:b/>
                <w:bCs/>
                <w:color w:val="000000"/>
                <w:sz w:val="18"/>
                <w:szCs w:val="18"/>
                <w:lang w:eastAsia="hr-HR"/>
              </w:rPr>
              <w:t>235,6</w:t>
            </w:r>
          </w:p>
        </w:tc>
      </w:tr>
    </w:tbl>
    <w:p w14:paraId="1BD98C43" w14:textId="4FB88EAF" w:rsidR="00551BE2" w:rsidRPr="00B47BDA" w:rsidRDefault="00551BE2" w:rsidP="004623DD"/>
    <w:p w14:paraId="60219909" w14:textId="629964BF" w:rsidR="00903496" w:rsidRPr="002E44C0" w:rsidRDefault="009E64D3" w:rsidP="004623DD">
      <w:pPr>
        <w:rPr>
          <w:noProof/>
        </w:rPr>
      </w:pPr>
      <w:r>
        <w:rPr>
          <w:noProof/>
        </w:rPr>
        <w:t>„Toplina OIE“ obuhvaća toplinu proizvedenu iz obnovljivih izvora energije u javnim toplanama, kotlovnicama, industrijskim toplanama i dizalicama topline.</w:t>
      </w:r>
    </w:p>
    <w:p w14:paraId="713C2F82" w14:textId="41E23466" w:rsidR="005F3F29" w:rsidRPr="00B47BDA" w:rsidRDefault="005F3F29" w:rsidP="004623DD">
      <w:pPr>
        <w:pStyle w:val="Caption"/>
      </w:pPr>
      <w:bookmarkStart w:id="578" w:name="_Toc193035965"/>
      <w:r w:rsidRPr="00B532F4">
        <w:t xml:space="preserve">Tablica </w:t>
      </w:r>
      <w:bookmarkStart w:id="579" w:name="tbl_S0_Udio_OIE_promet"/>
      <w:r w:rsidR="00DE7F11" w:rsidRPr="00B532F4">
        <w:fldChar w:fldCharType="begin"/>
      </w:r>
      <w:r w:rsidR="00DE7F11" w:rsidRPr="00B532F4">
        <w:instrText xml:space="preserve"> STYLEREF 1 \s </w:instrText>
      </w:r>
      <w:r w:rsidR="00DE7F11" w:rsidRPr="00B532F4">
        <w:fldChar w:fldCharType="separate"/>
      </w:r>
      <w:r w:rsidR="00AD324D">
        <w:rPr>
          <w:noProof/>
        </w:rPr>
        <w:t>4</w:t>
      </w:r>
      <w:r w:rsidR="00DE7F11" w:rsidRPr="00B532F4">
        <w:fldChar w:fldCharType="end"/>
      </w:r>
      <w:r w:rsidR="000C3EFD" w:rsidRPr="00B532F4">
        <w:noBreakHyphen/>
      </w:r>
      <w:r>
        <w:fldChar w:fldCharType="begin"/>
      </w:r>
      <w:r>
        <w:instrText>SEQ Tablica \* ARABIC \s 1</w:instrText>
      </w:r>
      <w:r>
        <w:fldChar w:fldCharType="separate"/>
      </w:r>
      <w:r w:rsidR="00694712">
        <w:rPr>
          <w:noProof/>
        </w:rPr>
        <w:t>14</w:t>
      </w:r>
      <w:r>
        <w:fldChar w:fldCharType="end"/>
      </w:r>
      <w:r w:rsidRPr="00B532F4">
        <w:t xml:space="preserve">. </w:t>
      </w:r>
      <w:bookmarkEnd w:id="579"/>
      <w:r w:rsidRPr="00B532F4">
        <w:t xml:space="preserve">Ocijenjeni doprinos tehnologija za OIE u prometu </w:t>
      </w:r>
      <w:r w:rsidR="00070176" w:rsidRPr="00B532F4">
        <w:t>(WEM scenarij)</w:t>
      </w:r>
      <w:bookmarkEnd w:id="578"/>
    </w:p>
    <w:tbl>
      <w:tblPr>
        <w:tblW w:w="9256" w:type="dxa"/>
        <w:jc w:val="center"/>
        <w:shd w:val="clear" w:color="auto" w:fill="FFFFFF"/>
        <w:tblLayout w:type="fixed"/>
        <w:tblLook w:val="04A0" w:firstRow="1" w:lastRow="0" w:firstColumn="1" w:lastColumn="0" w:noHBand="0" w:noVBand="1"/>
      </w:tblPr>
      <w:tblGrid>
        <w:gridCol w:w="3125"/>
        <w:gridCol w:w="613"/>
        <w:gridCol w:w="613"/>
        <w:gridCol w:w="613"/>
        <w:gridCol w:w="613"/>
        <w:gridCol w:w="613"/>
        <w:gridCol w:w="613"/>
        <w:gridCol w:w="613"/>
        <w:gridCol w:w="613"/>
        <w:gridCol w:w="613"/>
        <w:gridCol w:w="614"/>
      </w:tblGrid>
      <w:tr w:rsidR="00584F80" w:rsidRPr="00BF55A2" w14:paraId="478D5391" w14:textId="77777777" w:rsidTr="63259912">
        <w:trPr>
          <w:trHeight w:val="458"/>
          <w:jc w:val="center"/>
        </w:trPr>
        <w:tc>
          <w:tcPr>
            <w:tcW w:w="3125"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7B97895E" w14:textId="77777777" w:rsidR="00BF55A2" w:rsidRPr="00F200F4" w:rsidRDefault="00BF55A2" w:rsidP="63259912">
            <w:pPr>
              <w:spacing w:after="0"/>
              <w:jc w:val="left"/>
              <w:rPr>
                <w:rFonts w:eastAsia="Times New Roman" w:cs="Calibri"/>
                <w:b/>
                <w:bCs/>
                <w:color w:val="000000"/>
                <w:sz w:val="18"/>
                <w:szCs w:val="18"/>
                <w:lang w:eastAsia="hr-HR"/>
              </w:rPr>
            </w:pPr>
            <w:r w:rsidRPr="63259912">
              <w:rPr>
                <w:rFonts w:eastAsia="Times New Roman" w:cs="Calibri"/>
                <w:b/>
                <w:bCs/>
                <w:color w:val="000000" w:themeColor="text1"/>
                <w:sz w:val="18"/>
                <w:szCs w:val="18"/>
                <w:lang w:eastAsia="hr-HR"/>
              </w:rPr>
              <w:t>ktoe</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7F7DE4A3" w14:textId="213FF6A6"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2021</w:t>
            </w:r>
            <w:r w:rsidR="00584F80">
              <w:rPr>
                <w:rFonts w:eastAsia="Times New Roman" w:cs="Calibri"/>
                <w:b/>
                <w:bCs/>
                <w:color w:val="000000"/>
                <w:sz w:val="18"/>
                <w:szCs w:val="18"/>
                <w:lang w:eastAsia="hr-HR"/>
              </w:rPr>
              <w:t>.</w:t>
            </w:r>
          </w:p>
        </w:tc>
        <w:tc>
          <w:tcPr>
            <w:tcW w:w="613"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BB94D69" w14:textId="7CB998F4"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2022</w:t>
            </w:r>
            <w:r w:rsidR="00584F80">
              <w:rPr>
                <w:rFonts w:eastAsia="Times New Roman" w:cs="Calibri"/>
                <w:color w:val="000000"/>
                <w:sz w:val="18"/>
                <w:szCs w:val="18"/>
                <w:lang w:eastAsia="hr-HR"/>
              </w:rPr>
              <w:t>.</w:t>
            </w:r>
          </w:p>
        </w:tc>
        <w:tc>
          <w:tcPr>
            <w:tcW w:w="613"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EDB62ED" w14:textId="470D2E0F"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2023</w:t>
            </w:r>
            <w:r w:rsidR="00584F80">
              <w:rPr>
                <w:rFonts w:eastAsia="Times New Roman" w:cs="Calibri"/>
                <w:color w:val="000000"/>
                <w:sz w:val="18"/>
                <w:szCs w:val="18"/>
                <w:lang w:eastAsia="hr-HR"/>
              </w:rPr>
              <w:t>.</w:t>
            </w:r>
          </w:p>
        </w:tc>
        <w:tc>
          <w:tcPr>
            <w:tcW w:w="613"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16EF743" w14:textId="18EDFC49"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2024</w:t>
            </w:r>
            <w:r w:rsidR="00584F80">
              <w:rPr>
                <w:rFonts w:eastAsia="Times New Roman" w:cs="Calibri"/>
                <w:color w:val="000000"/>
                <w:sz w:val="18"/>
                <w:szCs w:val="18"/>
                <w:lang w:eastAsia="hr-HR"/>
              </w:rPr>
              <w:t>.</w:t>
            </w:r>
          </w:p>
        </w:tc>
        <w:tc>
          <w:tcPr>
            <w:tcW w:w="613"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910A507" w14:textId="18F2E4F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2025</w:t>
            </w:r>
            <w:r w:rsidR="00584F80">
              <w:rPr>
                <w:rFonts w:eastAsia="Times New Roman" w:cs="Calibri"/>
                <w:color w:val="000000"/>
                <w:sz w:val="18"/>
                <w:szCs w:val="18"/>
                <w:lang w:eastAsia="hr-HR"/>
              </w:rPr>
              <w:t>.</w:t>
            </w:r>
          </w:p>
        </w:tc>
        <w:tc>
          <w:tcPr>
            <w:tcW w:w="613"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E97AF4B" w14:textId="4CB21C1A"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2026</w:t>
            </w:r>
            <w:r w:rsidR="00584F80">
              <w:rPr>
                <w:rFonts w:eastAsia="Times New Roman" w:cs="Calibri"/>
                <w:color w:val="000000"/>
                <w:sz w:val="18"/>
                <w:szCs w:val="18"/>
                <w:lang w:eastAsia="hr-HR"/>
              </w:rPr>
              <w:t>.</w:t>
            </w:r>
          </w:p>
        </w:tc>
        <w:tc>
          <w:tcPr>
            <w:tcW w:w="613"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C2CC176" w14:textId="7A0FF5E9"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2027</w:t>
            </w:r>
            <w:r w:rsidR="00584F80">
              <w:rPr>
                <w:rFonts w:eastAsia="Times New Roman" w:cs="Calibri"/>
                <w:color w:val="000000"/>
                <w:sz w:val="18"/>
                <w:szCs w:val="18"/>
                <w:lang w:eastAsia="hr-HR"/>
              </w:rPr>
              <w:t>.</w:t>
            </w:r>
          </w:p>
        </w:tc>
        <w:tc>
          <w:tcPr>
            <w:tcW w:w="613"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C06B750" w14:textId="351A014A"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2028</w:t>
            </w:r>
            <w:r w:rsidR="00584F80">
              <w:rPr>
                <w:rFonts w:eastAsia="Times New Roman" w:cs="Calibri"/>
                <w:color w:val="000000"/>
                <w:sz w:val="18"/>
                <w:szCs w:val="18"/>
                <w:lang w:eastAsia="hr-HR"/>
              </w:rPr>
              <w:t>.</w:t>
            </w:r>
          </w:p>
        </w:tc>
        <w:tc>
          <w:tcPr>
            <w:tcW w:w="613"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8B36430" w14:textId="510CDF40"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2029</w:t>
            </w:r>
            <w:r w:rsidR="00584F80">
              <w:rPr>
                <w:rFonts w:eastAsia="Times New Roman" w:cs="Calibri"/>
                <w:color w:val="000000"/>
                <w:sz w:val="18"/>
                <w:szCs w:val="18"/>
                <w:lang w:eastAsia="hr-HR"/>
              </w:rPr>
              <w:t>.</w:t>
            </w:r>
          </w:p>
        </w:tc>
        <w:tc>
          <w:tcPr>
            <w:tcW w:w="614" w:type="dxa"/>
            <w:tcBorders>
              <w:top w:val="single" w:sz="4" w:space="0" w:color="auto"/>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5173D08" w14:textId="68DB1558"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2030</w:t>
            </w:r>
            <w:r w:rsidR="00584F80">
              <w:rPr>
                <w:rFonts w:eastAsia="Times New Roman" w:cs="Calibri"/>
                <w:b/>
                <w:bCs/>
                <w:color w:val="000000"/>
                <w:sz w:val="18"/>
                <w:szCs w:val="18"/>
                <w:lang w:eastAsia="hr-HR"/>
              </w:rPr>
              <w:t>.</w:t>
            </w:r>
          </w:p>
        </w:tc>
      </w:tr>
      <w:tr w:rsidR="00584F80" w:rsidRPr="00BF55A2" w14:paraId="5E13C460" w14:textId="77777777" w:rsidTr="63259912">
        <w:trPr>
          <w:trHeight w:val="255"/>
          <w:jc w:val="center"/>
        </w:trPr>
        <w:tc>
          <w:tcPr>
            <w:tcW w:w="3125"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0A5B6354" w14:textId="2527CEC5" w:rsidR="00BF55A2" w:rsidRPr="00F200F4" w:rsidRDefault="00BF55A2" w:rsidP="00F200F4">
            <w:pPr>
              <w:spacing w:after="160" w:line="259" w:lineRule="auto"/>
              <w:jc w:val="left"/>
              <w:rPr>
                <w:rFonts w:eastAsia="Aptos" w:cs="Calibri"/>
                <w:b/>
                <w:bCs/>
                <w:color w:val="000000"/>
                <w:kern w:val="2"/>
                <w:sz w:val="18"/>
                <w:szCs w:val="18"/>
                <w:lang w:eastAsia="en-US"/>
                <w14:ligatures w14:val="standardContextual"/>
              </w:rPr>
            </w:pPr>
            <w:r w:rsidRPr="00F200F4">
              <w:rPr>
                <w:rFonts w:eastAsia="Aptos" w:cs="Calibri"/>
                <w:b/>
                <w:bCs/>
                <w:color w:val="000000"/>
                <w:kern w:val="2"/>
                <w:sz w:val="18"/>
                <w:szCs w:val="18"/>
                <w:lang w:eastAsia="en-US"/>
                <w14:ligatures w14:val="standardContextual"/>
              </w:rPr>
              <w:t>Neposredna potrošnja OIE u prometu</w:t>
            </w:r>
          </w:p>
        </w:tc>
        <w:tc>
          <w:tcPr>
            <w:tcW w:w="613"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6EFE3107"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103,4</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8ABDD7E"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111,1</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45CFFAA"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112,7</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EC9153E"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114,6</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340C85C"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116,6</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7534D49"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118,9</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1C8B785"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121,2</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C354686"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123,8</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52DF8162"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126,5</w:t>
            </w:r>
          </w:p>
        </w:tc>
        <w:tc>
          <w:tcPr>
            <w:tcW w:w="614"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3736C6F"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129,3</w:t>
            </w:r>
          </w:p>
        </w:tc>
      </w:tr>
      <w:tr w:rsidR="00584F80" w:rsidRPr="00BF55A2" w14:paraId="4B1446BC" w14:textId="77777777" w:rsidTr="63259912">
        <w:trPr>
          <w:trHeight w:val="288"/>
          <w:jc w:val="center"/>
        </w:trPr>
        <w:tc>
          <w:tcPr>
            <w:tcW w:w="3125"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37617FDA" w14:textId="77777777" w:rsidR="00BF55A2" w:rsidRPr="00F200F4" w:rsidRDefault="00BF55A2" w:rsidP="00584F80">
            <w:pPr>
              <w:spacing w:after="0"/>
              <w:jc w:val="left"/>
              <w:rPr>
                <w:rFonts w:eastAsia="Times New Roman" w:cs="Calibri"/>
                <w:b/>
                <w:bCs/>
                <w:color w:val="000000"/>
                <w:sz w:val="18"/>
                <w:szCs w:val="18"/>
                <w:lang w:eastAsia="hr-HR"/>
              </w:rPr>
            </w:pPr>
            <w:r w:rsidRPr="00F200F4">
              <w:rPr>
                <w:rFonts w:eastAsia="Times New Roman" w:cs="Calibri"/>
                <w:b/>
                <w:bCs/>
                <w:color w:val="000000"/>
                <w:sz w:val="18"/>
                <w:szCs w:val="18"/>
                <w:lang w:eastAsia="hr-HR"/>
              </w:rPr>
              <w:t>Biogoriva</w:t>
            </w:r>
          </w:p>
        </w:tc>
        <w:tc>
          <w:tcPr>
            <w:tcW w:w="613"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32729408"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91,2</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0A5B578"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88,0</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02FB023"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88,4</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084E5C9"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88,7</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5703D43"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88,9</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DEB2D1A"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89,0</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622DF84A"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89,1</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89B116B"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89,0</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0FF7E3E1"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89,0</w:t>
            </w:r>
          </w:p>
        </w:tc>
        <w:tc>
          <w:tcPr>
            <w:tcW w:w="614"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3EDF672"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88,8</w:t>
            </w:r>
          </w:p>
        </w:tc>
      </w:tr>
      <w:tr w:rsidR="00584F80" w:rsidRPr="00BF55A2" w14:paraId="7B293AAF" w14:textId="77777777" w:rsidTr="63259912">
        <w:trPr>
          <w:trHeight w:val="288"/>
          <w:jc w:val="center"/>
        </w:trPr>
        <w:tc>
          <w:tcPr>
            <w:tcW w:w="3125"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63EA7389" w14:textId="77777777" w:rsidR="00BF55A2" w:rsidRPr="00F200F4" w:rsidRDefault="00BF55A2" w:rsidP="00584F80">
            <w:pPr>
              <w:spacing w:after="0"/>
              <w:jc w:val="left"/>
              <w:rPr>
                <w:rFonts w:eastAsia="Times New Roman" w:cs="Calibri"/>
                <w:b/>
                <w:bCs/>
                <w:color w:val="000000"/>
                <w:sz w:val="18"/>
                <w:szCs w:val="18"/>
                <w:lang w:eastAsia="hr-HR"/>
              </w:rPr>
            </w:pPr>
            <w:r w:rsidRPr="00F200F4">
              <w:rPr>
                <w:rFonts w:eastAsia="Times New Roman" w:cs="Calibri"/>
                <w:b/>
                <w:bCs/>
                <w:color w:val="000000"/>
                <w:sz w:val="18"/>
                <w:szCs w:val="18"/>
                <w:lang w:eastAsia="hr-HR"/>
              </w:rPr>
              <w:t>Električna energija iz OIE</w:t>
            </w:r>
          </w:p>
        </w:tc>
        <w:tc>
          <w:tcPr>
            <w:tcW w:w="613" w:type="dxa"/>
            <w:tcBorders>
              <w:top w:val="nil"/>
              <w:left w:val="single" w:sz="4" w:space="0" w:color="auto"/>
              <w:bottom w:val="single" w:sz="4" w:space="0" w:color="auto"/>
              <w:right w:val="single" w:sz="4" w:space="0" w:color="auto"/>
            </w:tcBorders>
            <w:shd w:val="clear" w:color="auto" w:fill="FFFFFF" w:themeFill="background1"/>
            <w:noWrap/>
            <w:tcMar>
              <w:left w:w="57" w:type="dxa"/>
              <w:right w:w="57" w:type="dxa"/>
            </w:tcMar>
            <w:vAlign w:val="center"/>
            <w:hideMark/>
          </w:tcPr>
          <w:p w14:paraId="345F356C"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12,2</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391443B"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23,0</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6F356AA"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24,4</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0507952"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25,9</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1A4B1628"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27,7</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4D9DCE6D"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29,8</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3A0519E5"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32,2</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0BF280D"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34,7</w:t>
            </w:r>
          </w:p>
        </w:tc>
        <w:tc>
          <w:tcPr>
            <w:tcW w:w="613"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70706DF6" w14:textId="77777777" w:rsidR="00BF55A2" w:rsidRPr="00F200F4" w:rsidRDefault="00BF55A2" w:rsidP="00584F80">
            <w:pPr>
              <w:spacing w:after="0"/>
              <w:jc w:val="right"/>
              <w:rPr>
                <w:rFonts w:eastAsia="Times New Roman" w:cs="Calibri"/>
                <w:color w:val="000000"/>
                <w:sz w:val="18"/>
                <w:szCs w:val="18"/>
                <w:lang w:eastAsia="hr-HR"/>
              </w:rPr>
            </w:pPr>
            <w:r w:rsidRPr="00F200F4">
              <w:rPr>
                <w:rFonts w:eastAsia="Times New Roman" w:cs="Calibri"/>
                <w:color w:val="000000"/>
                <w:sz w:val="18"/>
                <w:szCs w:val="18"/>
                <w:lang w:eastAsia="hr-HR"/>
              </w:rPr>
              <w:t>37,5</w:t>
            </w:r>
          </w:p>
        </w:tc>
        <w:tc>
          <w:tcPr>
            <w:tcW w:w="614" w:type="dxa"/>
            <w:tcBorders>
              <w:top w:val="nil"/>
              <w:left w:val="nil"/>
              <w:bottom w:val="single" w:sz="4" w:space="0" w:color="auto"/>
              <w:right w:val="single" w:sz="4" w:space="0" w:color="auto"/>
            </w:tcBorders>
            <w:shd w:val="clear" w:color="auto" w:fill="FFFFFF" w:themeFill="background1"/>
            <w:noWrap/>
            <w:tcMar>
              <w:left w:w="57" w:type="dxa"/>
              <w:right w:w="57" w:type="dxa"/>
            </w:tcMar>
            <w:vAlign w:val="center"/>
            <w:hideMark/>
          </w:tcPr>
          <w:p w14:paraId="24375E4B" w14:textId="77777777" w:rsidR="00BF55A2" w:rsidRPr="00F200F4" w:rsidRDefault="00BF55A2" w:rsidP="00584F80">
            <w:pPr>
              <w:spacing w:after="0"/>
              <w:jc w:val="right"/>
              <w:rPr>
                <w:rFonts w:eastAsia="Times New Roman" w:cs="Calibri"/>
                <w:b/>
                <w:bCs/>
                <w:color w:val="000000"/>
                <w:sz w:val="18"/>
                <w:szCs w:val="18"/>
                <w:lang w:eastAsia="hr-HR"/>
              </w:rPr>
            </w:pPr>
            <w:r w:rsidRPr="00F200F4">
              <w:rPr>
                <w:rFonts w:eastAsia="Times New Roman" w:cs="Calibri"/>
                <w:b/>
                <w:bCs/>
                <w:color w:val="000000"/>
                <w:sz w:val="18"/>
                <w:szCs w:val="18"/>
                <w:lang w:eastAsia="hr-HR"/>
              </w:rPr>
              <w:t>40,4</w:t>
            </w:r>
          </w:p>
        </w:tc>
      </w:tr>
    </w:tbl>
    <w:p w14:paraId="6A45A0A2" w14:textId="03F08615" w:rsidR="007B035C" w:rsidRDefault="007B035C" w:rsidP="004623DD">
      <w:pPr>
        <w:rPr>
          <w:highlight w:val="yellow"/>
        </w:rPr>
      </w:pPr>
    </w:p>
    <w:p w14:paraId="72F4522C" w14:textId="77777777" w:rsidR="00903496" w:rsidRPr="00B47BDA" w:rsidRDefault="00903496" w:rsidP="004623DD">
      <w:pPr>
        <w:rPr>
          <w:highlight w:val="yellow"/>
        </w:rPr>
      </w:pPr>
    </w:p>
    <w:p w14:paraId="3490D8E2" w14:textId="45932C75" w:rsidR="00450A95" w:rsidRPr="00B47BDA" w:rsidRDefault="0071328E" w:rsidP="004623DD">
      <w:r w:rsidRPr="00B47BDA">
        <w:rPr>
          <w:noProof/>
          <w:lang w:eastAsia="hr-HR"/>
        </w:rPr>
        <w:drawing>
          <wp:anchor distT="0" distB="0" distL="114300" distR="114300" simplePos="0" relativeHeight="251658241" behindDoc="0" locked="0" layoutInCell="1" allowOverlap="1" wp14:anchorId="5E00E737" wp14:editId="035E2333">
            <wp:simplePos x="0" y="0"/>
            <wp:positionH relativeFrom="margin">
              <wp:posOffset>3054350</wp:posOffset>
            </wp:positionH>
            <wp:positionV relativeFrom="paragraph">
              <wp:posOffset>2279650</wp:posOffset>
            </wp:positionV>
            <wp:extent cx="2732405" cy="1753870"/>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286"/>
                    <a:stretch/>
                  </pic:blipFill>
                  <pic:spPr bwMode="auto">
                    <a:xfrm>
                      <a:off x="0" y="0"/>
                      <a:ext cx="2732405" cy="175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7BDA">
        <w:rPr>
          <w:noProof/>
          <w:lang w:eastAsia="hr-HR"/>
        </w:rPr>
        <w:drawing>
          <wp:anchor distT="0" distB="0" distL="114300" distR="114300" simplePos="0" relativeHeight="251658242" behindDoc="0" locked="0" layoutInCell="1" allowOverlap="1" wp14:anchorId="3656C303" wp14:editId="6B2AE1DA">
            <wp:simplePos x="0" y="0"/>
            <wp:positionH relativeFrom="column">
              <wp:posOffset>3055620</wp:posOffset>
            </wp:positionH>
            <wp:positionV relativeFrom="paragraph">
              <wp:posOffset>1905</wp:posOffset>
            </wp:positionV>
            <wp:extent cx="2743200" cy="226822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3200"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BDA">
        <w:rPr>
          <w:noProof/>
          <w:lang w:eastAsia="hr-HR"/>
        </w:rPr>
        <w:drawing>
          <wp:anchor distT="0" distB="0" distL="114300" distR="114300" simplePos="0" relativeHeight="251658240" behindDoc="0" locked="0" layoutInCell="1" allowOverlap="1" wp14:anchorId="09B7D054" wp14:editId="4CC45510">
            <wp:simplePos x="0" y="0"/>
            <wp:positionH relativeFrom="margin">
              <wp:align>left</wp:align>
            </wp:positionH>
            <wp:positionV relativeFrom="paragraph">
              <wp:posOffset>2272665</wp:posOffset>
            </wp:positionV>
            <wp:extent cx="3065145" cy="1757045"/>
            <wp:effectExtent l="0" t="0" r="1905"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69270" cy="17591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BDA">
        <w:rPr>
          <w:noProof/>
          <w:lang w:eastAsia="hr-HR"/>
        </w:rPr>
        <w:drawing>
          <wp:anchor distT="0" distB="0" distL="114300" distR="114300" simplePos="0" relativeHeight="251658243" behindDoc="0" locked="0" layoutInCell="1" allowOverlap="1" wp14:anchorId="0D709C9F" wp14:editId="616261AA">
            <wp:simplePos x="0" y="0"/>
            <wp:positionH relativeFrom="margin">
              <wp:align>left</wp:align>
            </wp:positionH>
            <wp:positionV relativeFrom="paragraph">
              <wp:posOffset>0</wp:posOffset>
            </wp:positionV>
            <wp:extent cx="3064510" cy="2268220"/>
            <wp:effectExtent l="0" t="0" r="2540"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4353" cy="22757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FC02D" w14:textId="35BCC675" w:rsidR="005F3F29" w:rsidRPr="00B47BDA" w:rsidRDefault="005F3F29" w:rsidP="004623DD">
      <w:pPr>
        <w:pStyle w:val="Caption"/>
        <w:rPr>
          <w:highlight w:val="yellow"/>
        </w:rPr>
      </w:pPr>
      <w:bookmarkStart w:id="580" w:name="_Toc185605259"/>
      <w:bookmarkStart w:id="581" w:name="_Toc193035905"/>
      <w:r w:rsidRPr="00B47BDA">
        <w:t xml:space="preserve">Slika </w:t>
      </w:r>
      <w:bookmarkStart w:id="582" w:name="sl_S0_Udio_OIE_sve_kategorije"/>
      <w:r w:rsidR="00432DEF">
        <w:fldChar w:fldCharType="begin"/>
      </w:r>
      <w:r w:rsidR="00432DEF">
        <w:instrText xml:space="preserve"> STYLEREF 1 \s </w:instrText>
      </w:r>
      <w:r w:rsidR="00432DEF">
        <w:fldChar w:fldCharType="separate"/>
      </w:r>
      <w:r w:rsidR="00AD324D">
        <w:rPr>
          <w:noProof/>
        </w:rPr>
        <w:t>4</w:t>
      </w:r>
      <w:r w:rsidR="00432DEF">
        <w:fldChar w:fldCharType="end"/>
      </w:r>
      <w:r w:rsidR="00257B39">
        <w:t>–</w:t>
      </w:r>
      <w:r>
        <w:fldChar w:fldCharType="begin"/>
      </w:r>
      <w:r>
        <w:instrText>SEQ Slika \* ARABIC \s 1</w:instrText>
      </w:r>
      <w:r>
        <w:fldChar w:fldCharType="separate"/>
      </w:r>
      <w:r w:rsidR="00834255">
        <w:rPr>
          <w:noProof/>
        </w:rPr>
        <w:t>10</w:t>
      </w:r>
      <w:r>
        <w:fldChar w:fldCharType="end"/>
      </w:r>
      <w:bookmarkEnd w:id="582"/>
      <w:r w:rsidRPr="00B47BDA">
        <w:t xml:space="preserve">. Ocijenjeni doprinosi OIE tehnologija po sektorima </w:t>
      </w:r>
      <w:r w:rsidR="00070176" w:rsidRPr="00B47BDA">
        <w:t>(WEM scenarij)</w:t>
      </w:r>
      <w:bookmarkEnd w:id="580"/>
      <w:bookmarkEnd w:id="581"/>
    </w:p>
    <w:p w14:paraId="61DFC6C2" w14:textId="0FDDCC56" w:rsidR="00B532F4" w:rsidRDefault="005F3F29" w:rsidP="004623DD">
      <w:r w:rsidRPr="00B47BDA">
        <w:t xml:space="preserve">Očekivana struktura </w:t>
      </w:r>
      <w:r w:rsidR="00770B29" w:rsidRPr="00B47BDA">
        <w:t>kapaciteta</w:t>
      </w:r>
      <w:r w:rsidR="00E223DA" w:rsidRPr="00B47BDA">
        <w:t xml:space="preserve"> </w:t>
      </w:r>
      <w:r w:rsidRPr="00B47BDA">
        <w:t xml:space="preserve">za proizvodnju električne energije za Scenarij s postojećim mjerama </w:t>
      </w:r>
      <w:r w:rsidR="005C5CC8" w:rsidRPr="00B47BDA">
        <w:t xml:space="preserve">(WEM) </w:t>
      </w:r>
      <w:r w:rsidRPr="00B47BDA">
        <w:t>prikaz</w:t>
      </w:r>
      <w:r w:rsidR="00770B29" w:rsidRPr="00B47BDA">
        <w:t>ana je u</w:t>
      </w:r>
      <w:r w:rsidR="00E223DA" w:rsidRPr="00B47BDA">
        <w:t xml:space="preserve"> </w:t>
      </w:r>
      <w:r w:rsidR="00BF55A2" w:rsidRPr="00B47BDA">
        <w:fldChar w:fldCharType="begin"/>
      </w:r>
      <w:r w:rsidR="00BF55A2" w:rsidRPr="00B47BDA">
        <w:rPr>
          <w:highlight w:val="yellow"/>
        </w:rPr>
        <w:instrText xml:space="preserve"> REF _Ref531871258 \h  \* MERGEFORMAT </w:instrText>
      </w:r>
      <w:r w:rsidR="00BF55A2" w:rsidRPr="00B47BDA">
        <w:fldChar w:fldCharType="separate"/>
      </w:r>
      <w:r w:rsidR="00834255" w:rsidRPr="00B532F4">
        <w:t>Tablic</w:t>
      </w:r>
      <w:r w:rsidR="00834255">
        <w:t>i</w:t>
      </w:r>
      <w:r w:rsidR="00834255" w:rsidRPr="00B532F4">
        <w:t xml:space="preserve"> </w:t>
      </w:r>
      <w:r w:rsidR="00834255">
        <w:t>4</w:t>
      </w:r>
      <w:r w:rsidR="00834255" w:rsidRPr="00B532F4">
        <w:noBreakHyphen/>
      </w:r>
      <w:r w:rsidR="00834255">
        <w:t>15</w:t>
      </w:r>
      <w:r w:rsidR="00BF55A2" w:rsidRPr="00B47BDA">
        <w:fldChar w:fldCharType="end"/>
      </w:r>
      <w:r w:rsidR="00BF55A2" w:rsidRPr="00B47BDA">
        <w:t xml:space="preserve"> </w:t>
      </w:r>
      <w:r w:rsidRPr="00B47BDA">
        <w:t>i</w:t>
      </w:r>
      <w:r w:rsidR="0047418F" w:rsidRPr="00B47BDA">
        <w:t xml:space="preserve"> </w:t>
      </w:r>
      <w:r w:rsidR="00770B29" w:rsidRPr="00B47BDA">
        <w:t>na</w:t>
      </w:r>
      <w:r w:rsidR="0047418F" w:rsidRPr="00B47BDA">
        <w:t xml:space="preserve"> </w:t>
      </w:r>
      <w:r w:rsidR="006A675E" w:rsidRPr="00B47BDA">
        <w:fldChar w:fldCharType="begin"/>
      </w:r>
      <w:r w:rsidR="006A675E" w:rsidRPr="00B47BDA">
        <w:instrText xml:space="preserve"> REF _Ref531871305 \h </w:instrText>
      </w:r>
      <w:r w:rsidR="003778CC" w:rsidRPr="00B47BDA">
        <w:instrText xml:space="preserve"> \* MERGEFORMAT </w:instrText>
      </w:r>
      <w:r w:rsidR="006A675E" w:rsidRPr="00B47BDA">
        <w:fldChar w:fldCharType="separate"/>
      </w:r>
      <w:r w:rsidR="00D97741" w:rsidRPr="002575EE">
        <w:t>Sli</w:t>
      </w:r>
      <w:r w:rsidR="00D97741">
        <w:t>ci</w:t>
      </w:r>
      <w:r w:rsidR="00D97741" w:rsidRPr="002575EE">
        <w:t xml:space="preserve"> </w:t>
      </w:r>
      <w:r w:rsidR="00D97741">
        <w:t>4</w:t>
      </w:r>
      <w:r w:rsidR="00D97741">
        <w:noBreakHyphen/>
        <w:t>11</w:t>
      </w:r>
      <w:r w:rsidR="006A675E" w:rsidRPr="00B47BDA">
        <w:fldChar w:fldCharType="end"/>
      </w:r>
      <w:r w:rsidR="00976885" w:rsidRPr="00B47BDA">
        <w:t>.</w:t>
      </w:r>
    </w:p>
    <w:p w14:paraId="262D171F" w14:textId="77777777" w:rsidR="0035180B" w:rsidRDefault="0035180B" w:rsidP="004623DD"/>
    <w:p w14:paraId="51854AC6" w14:textId="327E5652" w:rsidR="005F3F29" w:rsidRDefault="005F3F29" w:rsidP="004623DD">
      <w:pPr>
        <w:pStyle w:val="Caption"/>
      </w:pPr>
      <w:bookmarkStart w:id="583" w:name="_Ref531871258"/>
      <w:bookmarkStart w:id="584" w:name="_Toc193035966"/>
      <w:r w:rsidRPr="00B532F4">
        <w:t xml:space="preserve">Tablica </w:t>
      </w:r>
      <w:r>
        <w:fldChar w:fldCharType="begin"/>
      </w:r>
      <w:r>
        <w:instrText>STYLEREF 1 \s</w:instrText>
      </w:r>
      <w:r>
        <w:fldChar w:fldCharType="separate"/>
      </w:r>
      <w:r w:rsidR="00AD324D">
        <w:rPr>
          <w:noProof/>
        </w:rPr>
        <w:t>4</w:t>
      </w:r>
      <w:r>
        <w:fldChar w:fldCharType="end"/>
      </w:r>
      <w:r w:rsidR="000C3EFD" w:rsidRPr="00B532F4">
        <w:noBreakHyphen/>
      </w:r>
      <w:r>
        <w:fldChar w:fldCharType="begin"/>
      </w:r>
      <w:r>
        <w:instrText>SEQ Tablica \* ARABIC \s 1</w:instrText>
      </w:r>
      <w:r>
        <w:fldChar w:fldCharType="separate"/>
      </w:r>
      <w:r w:rsidR="00834255">
        <w:rPr>
          <w:noProof/>
        </w:rPr>
        <w:t>15</w:t>
      </w:r>
      <w:r>
        <w:fldChar w:fldCharType="end"/>
      </w:r>
      <w:bookmarkEnd w:id="583"/>
      <w:r w:rsidRPr="00B532F4">
        <w:t xml:space="preserve">. Očekivana snaga elektrana u </w:t>
      </w:r>
      <w:r w:rsidR="00FC609B" w:rsidRPr="00B532F4">
        <w:t>s</w:t>
      </w:r>
      <w:r w:rsidRPr="00B532F4">
        <w:t>cenariju s postojećim mjerama</w:t>
      </w:r>
      <w:r w:rsidR="00FC609B" w:rsidRPr="00B532F4">
        <w:t xml:space="preserve"> (WEM scenarij)</w:t>
      </w:r>
      <w:bookmarkEnd w:id="584"/>
    </w:p>
    <w:tbl>
      <w:tblPr>
        <w:tblW w:w="4693" w:type="pct"/>
        <w:tblLayout w:type="fixed"/>
        <w:tblLook w:val="04A0" w:firstRow="1" w:lastRow="0" w:firstColumn="1" w:lastColumn="0" w:noHBand="0" w:noVBand="1"/>
      </w:tblPr>
      <w:tblGrid>
        <w:gridCol w:w="558"/>
        <w:gridCol w:w="854"/>
        <w:gridCol w:w="549"/>
        <w:gridCol w:w="584"/>
        <w:gridCol w:w="566"/>
        <w:gridCol w:w="566"/>
        <w:gridCol w:w="737"/>
        <w:gridCol w:w="680"/>
        <w:gridCol w:w="1136"/>
        <w:gridCol w:w="707"/>
        <w:gridCol w:w="708"/>
        <w:gridCol w:w="849"/>
      </w:tblGrid>
      <w:tr w:rsidR="002418AE" w:rsidRPr="005C73B1" w14:paraId="3F4AAC5C" w14:textId="77777777" w:rsidTr="00400447">
        <w:trPr>
          <w:trHeight w:val="777"/>
        </w:trPr>
        <w:tc>
          <w:tcPr>
            <w:tcW w:w="328" w:type="pct"/>
            <w:tcBorders>
              <w:top w:val="single" w:sz="8" w:space="0" w:color="auto"/>
              <w:left w:val="single" w:sz="8" w:space="0" w:color="auto"/>
              <w:bottom w:val="single" w:sz="8" w:space="0" w:color="auto"/>
              <w:right w:val="single" w:sz="8" w:space="0" w:color="auto"/>
            </w:tcBorders>
            <w:shd w:val="clear" w:color="auto" w:fill="D9E2F3" w:themeFill="accent5" w:themeFillTint="33"/>
            <w:tcMar>
              <w:left w:w="28" w:type="dxa"/>
              <w:right w:w="28" w:type="dxa"/>
            </w:tcMar>
            <w:vAlign w:val="center"/>
            <w:hideMark/>
          </w:tcPr>
          <w:p w14:paraId="5DB4246A" w14:textId="77777777" w:rsidR="002418AE" w:rsidRPr="007158FC" w:rsidRDefault="002418AE" w:rsidP="00334D86">
            <w:pPr>
              <w:spacing w:after="0"/>
              <w:jc w:val="center"/>
              <w:rPr>
                <w:rFonts w:cstheme="minorHAnsi"/>
                <w:b/>
                <w:color w:val="000000"/>
                <w:sz w:val="20"/>
                <w:szCs w:val="20"/>
                <w:lang w:eastAsia="hr-HR"/>
              </w:rPr>
            </w:pPr>
            <w:r w:rsidRPr="007158FC">
              <w:rPr>
                <w:rFonts w:cstheme="minorHAnsi"/>
                <w:b/>
                <w:color w:val="000000"/>
                <w:sz w:val="20"/>
                <w:szCs w:val="20"/>
                <w:lang w:eastAsia="hr-HR"/>
              </w:rPr>
              <w:t>MW</w:t>
            </w:r>
          </w:p>
        </w:tc>
        <w:tc>
          <w:tcPr>
            <w:tcW w:w="503" w:type="pct"/>
            <w:tcBorders>
              <w:top w:val="single" w:sz="8" w:space="0" w:color="auto"/>
              <w:left w:val="nil"/>
              <w:bottom w:val="single" w:sz="8" w:space="0" w:color="auto"/>
              <w:right w:val="single" w:sz="8" w:space="0" w:color="auto"/>
            </w:tcBorders>
            <w:shd w:val="clear" w:color="auto" w:fill="D9E2F3" w:themeFill="accent5" w:themeFillTint="33"/>
            <w:tcMar>
              <w:left w:w="28" w:type="dxa"/>
              <w:right w:w="28" w:type="dxa"/>
            </w:tcMar>
            <w:vAlign w:val="center"/>
            <w:hideMark/>
          </w:tcPr>
          <w:p w14:paraId="62E5E2B4" w14:textId="77777777" w:rsidR="002418AE" w:rsidRPr="00455501" w:rsidRDefault="002418AE" w:rsidP="00334D86">
            <w:pPr>
              <w:spacing w:after="0"/>
              <w:jc w:val="center"/>
              <w:rPr>
                <w:rFonts w:cstheme="minorHAnsi"/>
                <w:bCs/>
                <w:color w:val="000000"/>
                <w:sz w:val="18"/>
                <w:szCs w:val="18"/>
                <w:lang w:eastAsia="hr-HR"/>
              </w:rPr>
            </w:pPr>
            <w:r w:rsidRPr="00455501">
              <w:rPr>
                <w:rFonts w:cstheme="minorHAnsi"/>
                <w:bCs/>
                <w:color w:val="000000"/>
                <w:sz w:val="18"/>
                <w:szCs w:val="18"/>
                <w:lang w:eastAsia="hr-HR"/>
              </w:rPr>
              <w:t>Nuklearna</w:t>
            </w:r>
          </w:p>
        </w:tc>
        <w:tc>
          <w:tcPr>
            <w:tcW w:w="323" w:type="pct"/>
            <w:tcBorders>
              <w:top w:val="single" w:sz="8" w:space="0" w:color="auto"/>
              <w:left w:val="nil"/>
              <w:bottom w:val="single" w:sz="8" w:space="0" w:color="auto"/>
              <w:right w:val="single" w:sz="8" w:space="0" w:color="auto"/>
            </w:tcBorders>
            <w:shd w:val="clear" w:color="auto" w:fill="D9E2F3" w:themeFill="accent5" w:themeFillTint="33"/>
            <w:tcMar>
              <w:left w:w="28" w:type="dxa"/>
              <w:right w:w="28" w:type="dxa"/>
            </w:tcMar>
            <w:vAlign w:val="center"/>
            <w:hideMark/>
          </w:tcPr>
          <w:p w14:paraId="2836F852" w14:textId="77777777" w:rsidR="002418AE" w:rsidRPr="00455501" w:rsidRDefault="002418AE" w:rsidP="00334D86">
            <w:pPr>
              <w:spacing w:after="0"/>
              <w:jc w:val="center"/>
              <w:rPr>
                <w:rFonts w:cstheme="minorHAnsi"/>
                <w:bCs/>
                <w:color w:val="000000"/>
                <w:sz w:val="18"/>
                <w:szCs w:val="18"/>
                <w:lang w:eastAsia="hr-HR"/>
              </w:rPr>
            </w:pPr>
            <w:r w:rsidRPr="00455501">
              <w:rPr>
                <w:rFonts w:cstheme="minorHAnsi"/>
                <w:bCs/>
                <w:color w:val="000000"/>
                <w:sz w:val="18"/>
                <w:szCs w:val="18"/>
                <w:lang w:eastAsia="hr-HR"/>
              </w:rPr>
              <w:t>Hidro</w:t>
            </w:r>
          </w:p>
        </w:tc>
        <w:tc>
          <w:tcPr>
            <w:tcW w:w="344" w:type="pct"/>
            <w:tcBorders>
              <w:top w:val="single" w:sz="8" w:space="0" w:color="auto"/>
              <w:left w:val="nil"/>
              <w:bottom w:val="single" w:sz="8" w:space="0" w:color="auto"/>
              <w:right w:val="single" w:sz="8" w:space="0" w:color="auto"/>
            </w:tcBorders>
            <w:shd w:val="clear" w:color="auto" w:fill="D9E2F3" w:themeFill="accent5" w:themeFillTint="33"/>
            <w:tcMar>
              <w:left w:w="28" w:type="dxa"/>
              <w:right w:w="28" w:type="dxa"/>
            </w:tcMar>
            <w:vAlign w:val="center"/>
            <w:hideMark/>
          </w:tcPr>
          <w:p w14:paraId="5FE12EF7" w14:textId="0E4850EC" w:rsidR="002418AE" w:rsidRPr="00455501" w:rsidRDefault="002418AE" w:rsidP="00334D86">
            <w:pPr>
              <w:spacing w:after="0"/>
              <w:jc w:val="center"/>
              <w:rPr>
                <w:rFonts w:cstheme="minorHAnsi"/>
                <w:bCs/>
                <w:color w:val="000000"/>
                <w:sz w:val="18"/>
                <w:szCs w:val="18"/>
                <w:vertAlign w:val="superscript"/>
                <w:lang w:eastAsia="hr-HR"/>
              </w:rPr>
            </w:pPr>
            <w:r w:rsidRPr="00455501">
              <w:rPr>
                <w:rFonts w:cstheme="minorHAnsi"/>
                <w:bCs/>
                <w:color w:val="000000"/>
                <w:sz w:val="18"/>
                <w:szCs w:val="18"/>
                <w:lang w:eastAsia="hr-HR"/>
              </w:rPr>
              <w:t>Plin</w:t>
            </w:r>
          </w:p>
        </w:tc>
        <w:tc>
          <w:tcPr>
            <w:tcW w:w="333" w:type="pct"/>
            <w:tcBorders>
              <w:top w:val="single" w:sz="8" w:space="0" w:color="auto"/>
              <w:left w:val="nil"/>
              <w:bottom w:val="single" w:sz="8" w:space="0" w:color="auto"/>
              <w:right w:val="single" w:sz="8" w:space="0" w:color="auto"/>
            </w:tcBorders>
            <w:shd w:val="clear" w:color="auto" w:fill="D9E2F3" w:themeFill="accent5" w:themeFillTint="33"/>
            <w:tcMar>
              <w:left w:w="28" w:type="dxa"/>
              <w:right w:w="28" w:type="dxa"/>
            </w:tcMar>
            <w:vAlign w:val="center"/>
            <w:hideMark/>
          </w:tcPr>
          <w:p w14:paraId="5CD39704" w14:textId="37757353" w:rsidR="002418AE" w:rsidRPr="00455501" w:rsidRDefault="002418AE" w:rsidP="00334D86">
            <w:pPr>
              <w:spacing w:after="0"/>
              <w:jc w:val="center"/>
              <w:rPr>
                <w:rFonts w:cstheme="minorHAnsi"/>
                <w:bCs/>
                <w:color w:val="000000"/>
                <w:sz w:val="18"/>
                <w:szCs w:val="18"/>
                <w:vertAlign w:val="superscript"/>
                <w:lang w:eastAsia="hr-HR"/>
              </w:rPr>
            </w:pPr>
            <w:r w:rsidRPr="00455501">
              <w:rPr>
                <w:rFonts w:cstheme="minorHAnsi"/>
                <w:bCs/>
                <w:color w:val="000000"/>
                <w:sz w:val="18"/>
                <w:szCs w:val="18"/>
                <w:lang w:eastAsia="hr-HR"/>
              </w:rPr>
              <w:t>Lož ulje</w:t>
            </w:r>
          </w:p>
        </w:tc>
        <w:tc>
          <w:tcPr>
            <w:tcW w:w="333" w:type="pct"/>
            <w:tcBorders>
              <w:top w:val="single" w:sz="8" w:space="0" w:color="auto"/>
              <w:left w:val="nil"/>
              <w:bottom w:val="single" w:sz="8" w:space="0" w:color="auto"/>
              <w:right w:val="single" w:sz="8" w:space="0" w:color="auto"/>
            </w:tcBorders>
            <w:shd w:val="clear" w:color="auto" w:fill="D9E2F3" w:themeFill="accent5" w:themeFillTint="33"/>
            <w:tcMar>
              <w:left w:w="28" w:type="dxa"/>
              <w:right w:w="28" w:type="dxa"/>
            </w:tcMar>
            <w:vAlign w:val="center"/>
            <w:hideMark/>
          </w:tcPr>
          <w:p w14:paraId="3C5553C3" w14:textId="77777777" w:rsidR="002418AE" w:rsidRPr="00455501" w:rsidRDefault="002418AE" w:rsidP="00334D86">
            <w:pPr>
              <w:spacing w:after="0"/>
              <w:jc w:val="center"/>
              <w:rPr>
                <w:rFonts w:cstheme="minorHAnsi"/>
                <w:bCs/>
                <w:color w:val="000000"/>
                <w:sz w:val="18"/>
                <w:szCs w:val="18"/>
                <w:lang w:eastAsia="hr-HR"/>
              </w:rPr>
            </w:pPr>
            <w:r w:rsidRPr="00455501">
              <w:rPr>
                <w:rFonts w:cstheme="minorHAnsi"/>
                <w:bCs/>
                <w:color w:val="000000"/>
                <w:sz w:val="18"/>
                <w:szCs w:val="18"/>
                <w:lang w:eastAsia="hr-HR"/>
              </w:rPr>
              <w:t>Ugljen</w:t>
            </w:r>
          </w:p>
        </w:tc>
        <w:tc>
          <w:tcPr>
            <w:tcW w:w="434" w:type="pct"/>
            <w:tcBorders>
              <w:top w:val="single" w:sz="8" w:space="0" w:color="auto"/>
              <w:left w:val="nil"/>
              <w:bottom w:val="single" w:sz="8" w:space="0" w:color="auto"/>
              <w:right w:val="single" w:sz="8" w:space="0" w:color="auto"/>
            </w:tcBorders>
            <w:shd w:val="clear" w:color="auto" w:fill="D9E2F3" w:themeFill="accent5" w:themeFillTint="33"/>
            <w:tcMar>
              <w:left w:w="28" w:type="dxa"/>
              <w:right w:w="28" w:type="dxa"/>
            </w:tcMar>
            <w:vAlign w:val="center"/>
            <w:hideMark/>
          </w:tcPr>
          <w:p w14:paraId="307B3B7A" w14:textId="77777777" w:rsidR="002418AE" w:rsidRPr="00455501" w:rsidRDefault="002418AE" w:rsidP="00334D86">
            <w:pPr>
              <w:spacing w:after="0"/>
              <w:jc w:val="center"/>
              <w:rPr>
                <w:rFonts w:cstheme="minorHAnsi"/>
                <w:bCs/>
                <w:color w:val="000000"/>
                <w:sz w:val="18"/>
                <w:szCs w:val="18"/>
                <w:lang w:eastAsia="hr-HR"/>
              </w:rPr>
            </w:pPr>
            <w:r w:rsidRPr="00455501">
              <w:rPr>
                <w:rFonts w:cstheme="minorHAnsi"/>
                <w:bCs/>
                <w:color w:val="000000"/>
                <w:sz w:val="18"/>
                <w:szCs w:val="18"/>
                <w:lang w:eastAsia="hr-HR"/>
              </w:rPr>
              <w:t>Biomasa</w:t>
            </w:r>
          </w:p>
        </w:tc>
        <w:tc>
          <w:tcPr>
            <w:tcW w:w="400" w:type="pct"/>
            <w:tcBorders>
              <w:top w:val="single" w:sz="8" w:space="0" w:color="auto"/>
              <w:left w:val="nil"/>
              <w:bottom w:val="single" w:sz="8" w:space="0" w:color="auto"/>
              <w:right w:val="single" w:sz="8" w:space="0" w:color="auto"/>
            </w:tcBorders>
            <w:shd w:val="clear" w:color="auto" w:fill="D9E2F3" w:themeFill="accent5" w:themeFillTint="33"/>
            <w:tcMar>
              <w:left w:w="28" w:type="dxa"/>
              <w:right w:w="28" w:type="dxa"/>
            </w:tcMar>
            <w:vAlign w:val="center"/>
            <w:hideMark/>
          </w:tcPr>
          <w:p w14:paraId="02A596C8" w14:textId="77777777" w:rsidR="002418AE" w:rsidRPr="00455501" w:rsidRDefault="002418AE" w:rsidP="00334D86">
            <w:pPr>
              <w:spacing w:after="0"/>
              <w:jc w:val="center"/>
              <w:rPr>
                <w:rFonts w:cstheme="minorHAnsi"/>
                <w:bCs/>
                <w:color w:val="000000"/>
                <w:sz w:val="18"/>
                <w:szCs w:val="18"/>
                <w:lang w:eastAsia="hr-HR"/>
              </w:rPr>
            </w:pPr>
            <w:r w:rsidRPr="00455501">
              <w:rPr>
                <w:rFonts w:cstheme="minorHAnsi"/>
                <w:bCs/>
                <w:color w:val="000000"/>
                <w:sz w:val="18"/>
                <w:szCs w:val="18"/>
                <w:lang w:eastAsia="hr-HR"/>
              </w:rPr>
              <w:t>Bioplin</w:t>
            </w:r>
          </w:p>
        </w:tc>
        <w:tc>
          <w:tcPr>
            <w:tcW w:w="669" w:type="pct"/>
            <w:tcBorders>
              <w:top w:val="single" w:sz="8" w:space="0" w:color="auto"/>
              <w:left w:val="nil"/>
              <w:bottom w:val="single" w:sz="8" w:space="0" w:color="auto"/>
              <w:right w:val="single" w:sz="8" w:space="0" w:color="auto"/>
            </w:tcBorders>
            <w:shd w:val="clear" w:color="auto" w:fill="D9E2F3" w:themeFill="accent5" w:themeFillTint="33"/>
            <w:tcMar>
              <w:left w:w="28" w:type="dxa"/>
              <w:right w:w="28" w:type="dxa"/>
            </w:tcMar>
            <w:vAlign w:val="center"/>
            <w:hideMark/>
          </w:tcPr>
          <w:p w14:paraId="259639DE" w14:textId="77777777" w:rsidR="002418AE" w:rsidRPr="00455501" w:rsidRDefault="002418AE" w:rsidP="00334D86">
            <w:pPr>
              <w:spacing w:after="0"/>
              <w:jc w:val="center"/>
              <w:rPr>
                <w:rFonts w:cstheme="minorHAnsi"/>
                <w:bCs/>
                <w:color w:val="000000"/>
                <w:sz w:val="18"/>
                <w:szCs w:val="18"/>
                <w:lang w:eastAsia="hr-HR"/>
              </w:rPr>
            </w:pPr>
            <w:r w:rsidRPr="00455501">
              <w:rPr>
                <w:rFonts w:cstheme="minorHAnsi"/>
                <w:bCs/>
                <w:color w:val="000000"/>
                <w:sz w:val="18"/>
                <w:szCs w:val="18"/>
                <w:lang w:eastAsia="hr-HR"/>
              </w:rPr>
              <w:t>Geotermalna</w:t>
            </w:r>
          </w:p>
        </w:tc>
        <w:tc>
          <w:tcPr>
            <w:tcW w:w="416" w:type="pct"/>
            <w:tcBorders>
              <w:top w:val="single" w:sz="8" w:space="0" w:color="auto"/>
              <w:left w:val="nil"/>
              <w:bottom w:val="single" w:sz="8" w:space="0" w:color="auto"/>
              <w:right w:val="single" w:sz="8" w:space="0" w:color="auto"/>
            </w:tcBorders>
            <w:shd w:val="clear" w:color="auto" w:fill="D9E2F3" w:themeFill="accent5" w:themeFillTint="33"/>
            <w:tcMar>
              <w:left w:w="28" w:type="dxa"/>
              <w:right w:w="28" w:type="dxa"/>
            </w:tcMar>
            <w:vAlign w:val="center"/>
            <w:hideMark/>
          </w:tcPr>
          <w:p w14:paraId="0F36D0DF" w14:textId="77777777" w:rsidR="002418AE" w:rsidRPr="00455501" w:rsidRDefault="002418AE" w:rsidP="00334D86">
            <w:pPr>
              <w:spacing w:after="0"/>
              <w:jc w:val="center"/>
              <w:rPr>
                <w:rFonts w:cstheme="minorHAnsi"/>
                <w:bCs/>
                <w:color w:val="000000"/>
                <w:sz w:val="18"/>
                <w:szCs w:val="18"/>
                <w:lang w:eastAsia="hr-HR"/>
              </w:rPr>
            </w:pPr>
            <w:r w:rsidRPr="00455501">
              <w:rPr>
                <w:rFonts w:cstheme="minorHAnsi"/>
                <w:bCs/>
                <w:color w:val="000000"/>
                <w:sz w:val="18"/>
                <w:szCs w:val="18"/>
                <w:lang w:eastAsia="hr-HR"/>
              </w:rPr>
              <w:t>Vjetar</w:t>
            </w:r>
          </w:p>
        </w:tc>
        <w:tc>
          <w:tcPr>
            <w:tcW w:w="417" w:type="pct"/>
            <w:tcBorders>
              <w:top w:val="single" w:sz="8" w:space="0" w:color="auto"/>
              <w:left w:val="nil"/>
              <w:bottom w:val="single" w:sz="8" w:space="0" w:color="auto"/>
              <w:right w:val="single" w:sz="8" w:space="0" w:color="auto"/>
            </w:tcBorders>
            <w:shd w:val="clear" w:color="auto" w:fill="D9E2F3" w:themeFill="accent5" w:themeFillTint="33"/>
            <w:tcMar>
              <w:left w:w="28" w:type="dxa"/>
              <w:right w:w="28" w:type="dxa"/>
            </w:tcMar>
            <w:vAlign w:val="center"/>
            <w:hideMark/>
          </w:tcPr>
          <w:p w14:paraId="6E820A60" w14:textId="55549D4B" w:rsidR="002418AE" w:rsidRPr="00455501" w:rsidRDefault="0000684C" w:rsidP="00334D86">
            <w:pPr>
              <w:spacing w:after="0"/>
              <w:jc w:val="center"/>
              <w:rPr>
                <w:rFonts w:cstheme="minorHAnsi"/>
                <w:bCs/>
                <w:color w:val="000000"/>
                <w:sz w:val="18"/>
                <w:szCs w:val="18"/>
                <w:lang w:eastAsia="hr-HR"/>
              </w:rPr>
            </w:pPr>
            <w:r>
              <w:rPr>
                <w:rFonts w:cstheme="minorHAnsi"/>
                <w:bCs/>
                <w:color w:val="000000"/>
                <w:sz w:val="18"/>
                <w:szCs w:val="18"/>
                <w:lang w:eastAsia="hr-HR"/>
              </w:rPr>
              <w:t>Solar</w:t>
            </w:r>
          </w:p>
        </w:tc>
        <w:tc>
          <w:tcPr>
            <w:tcW w:w="500" w:type="pct"/>
            <w:tcBorders>
              <w:top w:val="single" w:sz="8" w:space="0" w:color="auto"/>
              <w:left w:val="nil"/>
              <w:bottom w:val="single" w:sz="8" w:space="0" w:color="auto"/>
              <w:right w:val="single" w:sz="8" w:space="0" w:color="auto"/>
            </w:tcBorders>
            <w:shd w:val="clear" w:color="auto" w:fill="D9E2F3" w:themeFill="accent5" w:themeFillTint="33"/>
            <w:tcMar>
              <w:left w:w="28" w:type="dxa"/>
              <w:right w:w="28" w:type="dxa"/>
            </w:tcMar>
            <w:vAlign w:val="center"/>
            <w:hideMark/>
          </w:tcPr>
          <w:p w14:paraId="0DD4FF16" w14:textId="77777777" w:rsidR="002418AE" w:rsidRPr="00455501" w:rsidRDefault="002418AE" w:rsidP="00334D86">
            <w:pPr>
              <w:spacing w:after="0"/>
              <w:jc w:val="center"/>
              <w:rPr>
                <w:rFonts w:cstheme="minorHAnsi"/>
                <w:bCs/>
                <w:color w:val="000000"/>
                <w:sz w:val="18"/>
                <w:szCs w:val="18"/>
                <w:lang w:eastAsia="hr-HR"/>
              </w:rPr>
            </w:pPr>
            <w:r w:rsidRPr="00455501">
              <w:rPr>
                <w:rFonts w:cstheme="minorHAnsi"/>
                <w:bCs/>
                <w:color w:val="000000"/>
                <w:sz w:val="18"/>
                <w:szCs w:val="18"/>
                <w:lang w:eastAsia="hr-HR"/>
              </w:rPr>
              <w:t>Ukupno</w:t>
            </w:r>
          </w:p>
        </w:tc>
      </w:tr>
      <w:tr w:rsidR="00DF5575" w:rsidRPr="005C73B1" w14:paraId="2719F2E2" w14:textId="77777777" w:rsidTr="00400447">
        <w:trPr>
          <w:trHeight w:val="288"/>
        </w:trPr>
        <w:tc>
          <w:tcPr>
            <w:tcW w:w="328"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2EC31632" w14:textId="77777777" w:rsidR="00DF5575" w:rsidRPr="00455501" w:rsidRDefault="00DF5575" w:rsidP="00DF5575">
            <w:pPr>
              <w:spacing w:after="0"/>
              <w:jc w:val="center"/>
              <w:rPr>
                <w:rFonts w:asciiTheme="minorHAnsi" w:hAnsiTheme="minorHAnsi" w:cstheme="minorHAnsi"/>
                <w:color w:val="000000"/>
                <w:sz w:val="20"/>
                <w:szCs w:val="20"/>
                <w:lang w:eastAsia="hr-HR"/>
              </w:rPr>
            </w:pPr>
            <w:r w:rsidRPr="00455501">
              <w:rPr>
                <w:rFonts w:asciiTheme="minorHAnsi" w:hAnsiTheme="minorHAnsi" w:cstheme="minorHAnsi"/>
                <w:color w:val="000000"/>
                <w:sz w:val="20"/>
                <w:szCs w:val="20"/>
                <w:lang w:eastAsia="hr-HR"/>
              </w:rPr>
              <w:t>2021.</w:t>
            </w:r>
          </w:p>
        </w:tc>
        <w:tc>
          <w:tcPr>
            <w:tcW w:w="503" w:type="pct"/>
            <w:tcBorders>
              <w:top w:val="nil"/>
              <w:left w:val="nil"/>
              <w:bottom w:val="single" w:sz="8" w:space="0" w:color="auto"/>
              <w:right w:val="single" w:sz="8" w:space="0" w:color="auto"/>
            </w:tcBorders>
            <w:shd w:val="clear" w:color="auto" w:fill="auto"/>
            <w:tcMar>
              <w:left w:w="28" w:type="dxa"/>
              <w:right w:w="28" w:type="dxa"/>
            </w:tcMar>
            <w:vAlign w:val="center"/>
          </w:tcPr>
          <w:p w14:paraId="0D374EAA" w14:textId="7115E736" w:rsidR="00DF5575" w:rsidRPr="00455501" w:rsidRDefault="00DF5575" w:rsidP="00DF5575">
            <w:pPr>
              <w:spacing w:after="0"/>
              <w:jc w:val="center"/>
              <w:rPr>
                <w:rFonts w:asciiTheme="minorHAnsi" w:hAnsiTheme="minorHAnsi" w:cstheme="minorHAnsi"/>
                <w:color w:val="000000"/>
                <w:sz w:val="20"/>
                <w:szCs w:val="20"/>
                <w:lang w:eastAsia="hr-HR"/>
              </w:rPr>
            </w:pPr>
            <w:r w:rsidRPr="00455501">
              <w:rPr>
                <w:rFonts w:asciiTheme="minorHAnsi" w:hAnsiTheme="minorHAnsi" w:cstheme="minorHAnsi"/>
                <w:color w:val="000000"/>
                <w:sz w:val="20"/>
                <w:szCs w:val="20"/>
              </w:rPr>
              <w:t>348</w:t>
            </w:r>
          </w:p>
        </w:tc>
        <w:tc>
          <w:tcPr>
            <w:tcW w:w="323" w:type="pct"/>
            <w:tcBorders>
              <w:top w:val="nil"/>
              <w:left w:val="nil"/>
              <w:bottom w:val="single" w:sz="8" w:space="0" w:color="auto"/>
              <w:right w:val="single" w:sz="8" w:space="0" w:color="auto"/>
            </w:tcBorders>
            <w:shd w:val="clear" w:color="auto" w:fill="auto"/>
            <w:tcMar>
              <w:left w:w="28" w:type="dxa"/>
              <w:right w:w="28" w:type="dxa"/>
            </w:tcMar>
            <w:vAlign w:val="center"/>
          </w:tcPr>
          <w:p w14:paraId="1DD182B6" w14:textId="482E1E8A"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2.203</w:t>
            </w:r>
          </w:p>
        </w:tc>
        <w:tc>
          <w:tcPr>
            <w:tcW w:w="344" w:type="pct"/>
            <w:tcBorders>
              <w:top w:val="nil"/>
              <w:left w:val="nil"/>
              <w:bottom w:val="single" w:sz="8" w:space="0" w:color="auto"/>
              <w:right w:val="single" w:sz="8" w:space="0" w:color="auto"/>
            </w:tcBorders>
            <w:shd w:val="clear" w:color="auto" w:fill="auto"/>
            <w:tcMar>
              <w:left w:w="28" w:type="dxa"/>
              <w:right w:w="28" w:type="dxa"/>
            </w:tcMar>
            <w:vAlign w:val="center"/>
          </w:tcPr>
          <w:p w14:paraId="09904761" w14:textId="0BA6080C"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822</w:t>
            </w:r>
          </w:p>
        </w:tc>
        <w:tc>
          <w:tcPr>
            <w:tcW w:w="333" w:type="pct"/>
            <w:tcBorders>
              <w:top w:val="nil"/>
              <w:left w:val="nil"/>
              <w:bottom w:val="single" w:sz="8" w:space="0" w:color="auto"/>
              <w:right w:val="single" w:sz="8" w:space="0" w:color="auto"/>
            </w:tcBorders>
            <w:shd w:val="clear" w:color="auto" w:fill="auto"/>
            <w:tcMar>
              <w:left w:w="28" w:type="dxa"/>
              <w:right w:w="28" w:type="dxa"/>
            </w:tcMar>
            <w:vAlign w:val="center"/>
          </w:tcPr>
          <w:p w14:paraId="7F0EFDBF" w14:textId="49B455B6"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344</w:t>
            </w:r>
          </w:p>
        </w:tc>
        <w:tc>
          <w:tcPr>
            <w:tcW w:w="333" w:type="pct"/>
            <w:tcBorders>
              <w:top w:val="nil"/>
              <w:left w:val="nil"/>
              <w:bottom w:val="single" w:sz="8" w:space="0" w:color="auto"/>
              <w:right w:val="single" w:sz="8" w:space="0" w:color="auto"/>
            </w:tcBorders>
            <w:shd w:val="clear" w:color="auto" w:fill="auto"/>
            <w:tcMar>
              <w:left w:w="28" w:type="dxa"/>
              <w:right w:w="28" w:type="dxa"/>
            </w:tcMar>
            <w:vAlign w:val="center"/>
          </w:tcPr>
          <w:p w14:paraId="7D297A59" w14:textId="5C6E2961"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199</w:t>
            </w:r>
          </w:p>
        </w:tc>
        <w:tc>
          <w:tcPr>
            <w:tcW w:w="434" w:type="pct"/>
            <w:tcBorders>
              <w:top w:val="nil"/>
              <w:left w:val="nil"/>
              <w:bottom w:val="single" w:sz="8" w:space="0" w:color="auto"/>
              <w:right w:val="single" w:sz="8" w:space="0" w:color="auto"/>
            </w:tcBorders>
            <w:shd w:val="clear" w:color="auto" w:fill="auto"/>
            <w:tcMar>
              <w:left w:w="28" w:type="dxa"/>
              <w:right w:w="28" w:type="dxa"/>
            </w:tcMar>
            <w:vAlign w:val="center"/>
          </w:tcPr>
          <w:p w14:paraId="3B47B32D" w14:textId="026C7975"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101</w:t>
            </w:r>
          </w:p>
        </w:tc>
        <w:tc>
          <w:tcPr>
            <w:tcW w:w="400" w:type="pct"/>
            <w:tcBorders>
              <w:top w:val="nil"/>
              <w:left w:val="nil"/>
              <w:bottom w:val="single" w:sz="8" w:space="0" w:color="auto"/>
              <w:right w:val="single" w:sz="8" w:space="0" w:color="auto"/>
            </w:tcBorders>
            <w:shd w:val="clear" w:color="auto" w:fill="auto"/>
            <w:tcMar>
              <w:left w:w="28" w:type="dxa"/>
              <w:right w:w="28" w:type="dxa"/>
            </w:tcMar>
            <w:vAlign w:val="center"/>
          </w:tcPr>
          <w:p w14:paraId="48B18F27" w14:textId="37D7032F"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59</w:t>
            </w:r>
          </w:p>
        </w:tc>
        <w:tc>
          <w:tcPr>
            <w:tcW w:w="669" w:type="pct"/>
            <w:tcBorders>
              <w:top w:val="nil"/>
              <w:left w:val="nil"/>
              <w:bottom w:val="single" w:sz="8" w:space="0" w:color="auto"/>
              <w:right w:val="single" w:sz="8" w:space="0" w:color="auto"/>
            </w:tcBorders>
            <w:shd w:val="clear" w:color="auto" w:fill="auto"/>
            <w:tcMar>
              <w:left w:w="28" w:type="dxa"/>
              <w:right w:w="28" w:type="dxa"/>
            </w:tcMar>
            <w:vAlign w:val="center"/>
          </w:tcPr>
          <w:p w14:paraId="5ECDA1C9" w14:textId="34FCCC31"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10</w:t>
            </w:r>
          </w:p>
        </w:tc>
        <w:tc>
          <w:tcPr>
            <w:tcW w:w="416" w:type="pct"/>
            <w:tcBorders>
              <w:top w:val="nil"/>
              <w:left w:val="nil"/>
              <w:bottom w:val="single" w:sz="8" w:space="0" w:color="auto"/>
              <w:right w:val="single" w:sz="8" w:space="0" w:color="auto"/>
            </w:tcBorders>
            <w:shd w:val="clear" w:color="auto" w:fill="auto"/>
            <w:tcMar>
              <w:left w:w="28" w:type="dxa"/>
              <w:right w:w="28" w:type="dxa"/>
            </w:tcMar>
            <w:vAlign w:val="center"/>
          </w:tcPr>
          <w:p w14:paraId="11C474F6" w14:textId="61E7BD9A"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987</w:t>
            </w:r>
          </w:p>
        </w:tc>
        <w:tc>
          <w:tcPr>
            <w:tcW w:w="417" w:type="pct"/>
            <w:tcBorders>
              <w:top w:val="nil"/>
              <w:left w:val="nil"/>
              <w:bottom w:val="single" w:sz="8" w:space="0" w:color="auto"/>
              <w:right w:val="single" w:sz="8" w:space="0" w:color="auto"/>
            </w:tcBorders>
            <w:shd w:val="clear" w:color="auto" w:fill="auto"/>
            <w:tcMar>
              <w:left w:w="28" w:type="dxa"/>
              <w:right w:w="28" w:type="dxa"/>
            </w:tcMar>
            <w:vAlign w:val="center"/>
          </w:tcPr>
          <w:p w14:paraId="63EF8BEB" w14:textId="477A70D1"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223</w:t>
            </w:r>
          </w:p>
        </w:tc>
        <w:tc>
          <w:tcPr>
            <w:tcW w:w="500" w:type="pct"/>
            <w:tcBorders>
              <w:top w:val="nil"/>
              <w:left w:val="nil"/>
              <w:bottom w:val="single" w:sz="8" w:space="0" w:color="auto"/>
              <w:right w:val="single" w:sz="8" w:space="0" w:color="auto"/>
            </w:tcBorders>
            <w:shd w:val="clear" w:color="auto" w:fill="auto"/>
            <w:tcMar>
              <w:left w:w="28" w:type="dxa"/>
              <w:right w:w="28" w:type="dxa"/>
            </w:tcMar>
            <w:vAlign w:val="center"/>
          </w:tcPr>
          <w:p w14:paraId="77D7A676" w14:textId="7BA63019" w:rsidR="00DF5575" w:rsidRPr="00DF5575" w:rsidRDefault="00DF5575" w:rsidP="00DF5575">
            <w:pPr>
              <w:spacing w:after="0"/>
              <w:jc w:val="center"/>
              <w:rPr>
                <w:rFonts w:asciiTheme="minorHAnsi" w:hAnsiTheme="minorHAnsi" w:cstheme="minorHAnsi"/>
                <w:b/>
                <w:color w:val="000000"/>
                <w:sz w:val="20"/>
                <w:szCs w:val="20"/>
                <w:lang w:eastAsia="hr-HR"/>
              </w:rPr>
            </w:pPr>
            <w:r w:rsidRPr="00DF5575">
              <w:rPr>
                <w:rFonts w:asciiTheme="minorHAnsi" w:hAnsiTheme="minorHAnsi" w:cstheme="minorHAnsi"/>
                <w:color w:val="000000"/>
                <w:sz w:val="20"/>
                <w:szCs w:val="20"/>
              </w:rPr>
              <w:t>5.296</w:t>
            </w:r>
          </w:p>
        </w:tc>
      </w:tr>
      <w:tr w:rsidR="00DF5575" w:rsidRPr="005C73B1" w14:paraId="1BE7532F" w14:textId="77777777" w:rsidTr="00400447">
        <w:trPr>
          <w:trHeight w:val="288"/>
        </w:trPr>
        <w:tc>
          <w:tcPr>
            <w:tcW w:w="328"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29877EE0" w14:textId="77777777" w:rsidR="00DF5575" w:rsidRPr="00455501" w:rsidRDefault="00DF5575" w:rsidP="00DF5575">
            <w:pPr>
              <w:spacing w:after="0"/>
              <w:jc w:val="center"/>
              <w:rPr>
                <w:rFonts w:asciiTheme="minorHAnsi" w:hAnsiTheme="minorHAnsi" w:cstheme="minorHAnsi"/>
                <w:color w:val="000000"/>
                <w:sz w:val="20"/>
                <w:szCs w:val="20"/>
                <w:lang w:eastAsia="hr-HR"/>
              </w:rPr>
            </w:pPr>
            <w:r w:rsidRPr="00455501">
              <w:rPr>
                <w:rFonts w:asciiTheme="minorHAnsi" w:hAnsiTheme="minorHAnsi" w:cstheme="minorHAnsi"/>
                <w:color w:val="000000"/>
                <w:sz w:val="20"/>
                <w:szCs w:val="20"/>
                <w:lang w:eastAsia="hr-HR"/>
              </w:rPr>
              <w:t>2030.</w:t>
            </w:r>
          </w:p>
        </w:tc>
        <w:tc>
          <w:tcPr>
            <w:tcW w:w="503" w:type="pct"/>
            <w:tcBorders>
              <w:top w:val="nil"/>
              <w:left w:val="nil"/>
              <w:bottom w:val="single" w:sz="8" w:space="0" w:color="auto"/>
              <w:right w:val="single" w:sz="8" w:space="0" w:color="auto"/>
            </w:tcBorders>
            <w:shd w:val="clear" w:color="auto" w:fill="auto"/>
            <w:tcMar>
              <w:left w:w="28" w:type="dxa"/>
              <w:right w:w="28" w:type="dxa"/>
            </w:tcMar>
            <w:vAlign w:val="center"/>
          </w:tcPr>
          <w:p w14:paraId="4E1B28BF" w14:textId="4CAED5C8" w:rsidR="00DF5575" w:rsidRPr="00455501" w:rsidRDefault="00DF5575" w:rsidP="00DF5575">
            <w:pPr>
              <w:spacing w:after="0"/>
              <w:jc w:val="center"/>
              <w:rPr>
                <w:rFonts w:asciiTheme="minorHAnsi" w:hAnsiTheme="minorHAnsi" w:cstheme="minorHAnsi"/>
                <w:color w:val="000000"/>
                <w:sz w:val="20"/>
                <w:szCs w:val="20"/>
                <w:lang w:eastAsia="hr-HR"/>
              </w:rPr>
            </w:pPr>
            <w:r w:rsidRPr="00455501">
              <w:rPr>
                <w:rFonts w:asciiTheme="minorHAnsi" w:hAnsiTheme="minorHAnsi" w:cstheme="minorHAnsi"/>
                <w:color w:val="000000"/>
                <w:sz w:val="20"/>
                <w:szCs w:val="20"/>
              </w:rPr>
              <w:t>348</w:t>
            </w:r>
          </w:p>
        </w:tc>
        <w:tc>
          <w:tcPr>
            <w:tcW w:w="323" w:type="pct"/>
            <w:tcBorders>
              <w:top w:val="nil"/>
              <w:left w:val="nil"/>
              <w:bottom w:val="single" w:sz="8" w:space="0" w:color="auto"/>
              <w:right w:val="single" w:sz="8" w:space="0" w:color="auto"/>
            </w:tcBorders>
            <w:shd w:val="clear" w:color="auto" w:fill="auto"/>
            <w:tcMar>
              <w:left w:w="28" w:type="dxa"/>
              <w:right w:w="28" w:type="dxa"/>
            </w:tcMar>
            <w:vAlign w:val="center"/>
          </w:tcPr>
          <w:p w14:paraId="02F70B45" w14:textId="1D69945E"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2.393</w:t>
            </w:r>
          </w:p>
        </w:tc>
        <w:tc>
          <w:tcPr>
            <w:tcW w:w="344" w:type="pct"/>
            <w:tcBorders>
              <w:top w:val="nil"/>
              <w:left w:val="nil"/>
              <w:bottom w:val="single" w:sz="8" w:space="0" w:color="auto"/>
              <w:right w:val="single" w:sz="8" w:space="0" w:color="auto"/>
            </w:tcBorders>
            <w:shd w:val="clear" w:color="auto" w:fill="auto"/>
            <w:tcMar>
              <w:left w:w="28" w:type="dxa"/>
              <w:right w:w="28" w:type="dxa"/>
            </w:tcMar>
            <w:vAlign w:val="center"/>
          </w:tcPr>
          <w:p w14:paraId="5A780E69" w14:textId="66548879"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1.079</w:t>
            </w:r>
          </w:p>
        </w:tc>
        <w:tc>
          <w:tcPr>
            <w:tcW w:w="333" w:type="pct"/>
            <w:tcBorders>
              <w:top w:val="nil"/>
              <w:left w:val="nil"/>
              <w:bottom w:val="single" w:sz="8" w:space="0" w:color="auto"/>
              <w:right w:val="single" w:sz="8" w:space="0" w:color="auto"/>
            </w:tcBorders>
            <w:shd w:val="clear" w:color="auto" w:fill="auto"/>
            <w:tcMar>
              <w:left w:w="28" w:type="dxa"/>
              <w:right w:w="28" w:type="dxa"/>
            </w:tcMar>
            <w:vAlign w:val="center"/>
          </w:tcPr>
          <w:p w14:paraId="4ACDC2C4" w14:textId="4A217C00"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0</w:t>
            </w:r>
          </w:p>
        </w:tc>
        <w:tc>
          <w:tcPr>
            <w:tcW w:w="333" w:type="pct"/>
            <w:tcBorders>
              <w:top w:val="nil"/>
              <w:left w:val="nil"/>
              <w:bottom w:val="single" w:sz="8" w:space="0" w:color="auto"/>
              <w:right w:val="single" w:sz="8" w:space="0" w:color="auto"/>
            </w:tcBorders>
            <w:shd w:val="clear" w:color="auto" w:fill="auto"/>
            <w:tcMar>
              <w:left w:w="28" w:type="dxa"/>
              <w:right w:w="28" w:type="dxa"/>
            </w:tcMar>
            <w:vAlign w:val="center"/>
          </w:tcPr>
          <w:p w14:paraId="52B5A3E8" w14:textId="4A511ED8"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199</w:t>
            </w:r>
          </w:p>
        </w:tc>
        <w:tc>
          <w:tcPr>
            <w:tcW w:w="434" w:type="pct"/>
            <w:tcBorders>
              <w:top w:val="nil"/>
              <w:left w:val="nil"/>
              <w:bottom w:val="single" w:sz="8" w:space="0" w:color="auto"/>
              <w:right w:val="single" w:sz="8" w:space="0" w:color="auto"/>
            </w:tcBorders>
            <w:shd w:val="clear" w:color="auto" w:fill="auto"/>
            <w:tcMar>
              <w:left w:w="28" w:type="dxa"/>
              <w:right w:w="28" w:type="dxa"/>
            </w:tcMar>
            <w:vAlign w:val="center"/>
          </w:tcPr>
          <w:p w14:paraId="1D5DD8CB" w14:textId="4E70680F"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135</w:t>
            </w:r>
          </w:p>
        </w:tc>
        <w:tc>
          <w:tcPr>
            <w:tcW w:w="400" w:type="pct"/>
            <w:tcBorders>
              <w:top w:val="nil"/>
              <w:left w:val="nil"/>
              <w:bottom w:val="single" w:sz="8" w:space="0" w:color="auto"/>
              <w:right w:val="single" w:sz="8" w:space="0" w:color="auto"/>
            </w:tcBorders>
            <w:shd w:val="clear" w:color="auto" w:fill="auto"/>
            <w:tcMar>
              <w:left w:w="28" w:type="dxa"/>
              <w:right w:w="28" w:type="dxa"/>
            </w:tcMar>
            <w:vAlign w:val="center"/>
          </w:tcPr>
          <w:p w14:paraId="3452B199" w14:textId="5BC05E1C"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59</w:t>
            </w:r>
          </w:p>
        </w:tc>
        <w:tc>
          <w:tcPr>
            <w:tcW w:w="669" w:type="pct"/>
            <w:tcBorders>
              <w:top w:val="nil"/>
              <w:left w:val="nil"/>
              <w:bottom w:val="single" w:sz="8" w:space="0" w:color="auto"/>
              <w:right w:val="single" w:sz="8" w:space="0" w:color="auto"/>
            </w:tcBorders>
            <w:shd w:val="clear" w:color="auto" w:fill="auto"/>
            <w:tcMar>
              <w:left w:w="28" w:type="dxa"/>
              <w:right w:w="28" w:type="dxa"/>
            </w:tcMar>
            <w:vAlign w:val="center"/>
          </w:tcPr>
          <w:p w14:paraId="637409DB" w14:textId="40A4933D" w:rsidR="00DF5575" w:rsidRPr="00CF12BD" w:rsidRDefault="00673661" w:rsidP="00DF5575">
            <w:pPr>
              <w:spacing w:after="0"/>
              <w:jc w:val="center"/>
              <w:rPr>
                <w:rFonts w:asciiTheme="minorHAnsi" w:hAnsiTheme="minorHAnsi" w:cstheme="minorHAnsi"/>
                <w:color w:val="000000"/>
                <w:sz w:val="20"/>
                <w:szCs w:val="20"/>
                <w:lang w:eastAsia="hr-HR"/>
              </w:rPr>
            </w:pPr>
            <w:r>
              <w:rPr>
                <w:rFonts w:asciiTheme="minorHAnsi" w:hAnsiTheme="minorHAnsi" w:cstheme="minorHAnsi"/>
                <w:color w:val="000000"/>
                <w:sz w:val="20"/>
                <w:szCs w:val="20"/>
              </w:rPr>
              <w:t>10</w:t>
            </w:r>
          </w:p>
        </w:tc>
        <w:tc>
          <w:tcPr>
            <w:tcW w:w="416" w:type="pct"/>
            <w:tcBorders>
              <w:top w:val="nil"/>
              <w:left w:val="nil"/>
              <w:bottom w:val="single" w:sz="8" w:space="0" w:color="auto"/>
              <w:right w:val="single" w:sz="8" w:space="0" w:color="auto"/>
            </w:tcBorders>
            <w:shd w:val="clear" w:color="auto" w:fill="auto"/>
            <w:tcMar>
              <w:left w:w="28" w:type="dxa"/>
              <w:right w:w="28" w:type="dxa"/>
            </w:tcMar>
            <w:vAlign w:val="center"/>
          </w:tcPr>
          <w:p w14:paraId="75AAF723" w14:textId="428774D9"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1.886</w:t>
            </w:r>
          </w:p>
        </w:tc>
        <w:tc>
          <w:tcPr>
            <w:tcW w:w="417" w:type="pct"/>
            <w:tcBorders>
              <w:top w:val="nil"/>
              <w:left w:val="nil"/>
              <w:bottom w:val="single" w:sz="8" w:space="0" w:color="auto"/>
              <w:right w:val="single" w:sz="8" w:space="0" w:color="auto"/>
            </w:tcBorders>
            <w:shd w:val="clear" w:color="auto" w:fill="auto"/>
            <w:tcMar>
              <w:left w:w="28" w:type="dxa"/>
              <w:right w:w="28" w:type="dxa"/>
            </w:tcMar>
            <w:vAlign w:val="center"/>
          </w:tcPr>
          <w:p w14:paraId="0B61D51F" w14:textId="7F65D439"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1.266</w:t>
            </w:r>
          </w:p>
        </w:tc>
        <w:tc>
          <w:tcPr>
            <w:tcW w:w="500" w:type="pct"/>
            <w:tcBorders>
              <w:top w:val="nil"/>
              <w:left w:val="nil"/>
              <w:bottom w:val="single" w:sz="8" w:space="0" w:color="auto"/>
              <w:right w:val="single" w:sz="8" w:space="0" w:color="auto"/>
            </w:tcBorders>
            <w:shd w:val="clear" w:color="auto" w:fill="auto"/>
            <w:tcMar>
              <w:left w:w="28" w:type="dxa"/>
              <w:right w:w="28" w:type="dxa"/>
            </w:tcMar>
            <w:vAlign w:val="center"/>
          </w:tcPr>
          <w:p w14:paraId="4339CFD7" w14:textId="3A986DD9" w:rsidR="00DF5575" w:rsidRPr="00DF5575" w:rsidRDefault="00DF5575" w:rsidP="00DF5575">
            <w:pPr>
              <w:spacing w:after="0"/>
              <w:jc w:val="center"/>
              <w:rPr>
                <w:rFonts w:asciiTheme="minorHAnsi" w:hAnsiTheme="minorHAnsi" w:cstheme="minorHAnsi"/>
                <w:b/>
                <w:color w:val="000000"/>
                <w:sz w:val="20"/>
                <w:szCs w:val="20"/>
                <w:lang w:eastAsia="hr-HR"/>
              </w:rPr>
            </w:pPr>
            <w:r w:rsidRPr="00DF5575">
              <w:rPr>
                <w:rFonts w:asciiTheme="minorHAnsi" w:hAnsiTheme="minorHAnsi" w:cstheme="minorHAnsi"/>
                <w:color w:val="000000"/>
                <w:sz w:val="20"/>
                <w:szCs w:val="20"/>
              </w:rPr>
              <w:t>7.</w:t>
            </w:r>
            <w:r w:rsidR="008F72F0">
              <w:rPr>
                <w:rFonts w:asciiTheme="minorHAnsi" w:hAnsiTheme="minorHAnsi" w:cstheme="minorHAnsi"/>
                <w:color w:val="000000"/>
                <w:sz w:val="20"/>
                <w:szCs w:val="20"/>
              </w:rPr>
              <w:t>375</w:t>
            </w:r>
          </w:p>
        </w:tc>
      </w:tr>
      <w:tr w:rsidR="00DF5575" w:rsidRPr="005C73B1" w14:paraId="022F800D" w14:textId="77777777" w:rsidTr="00400447">
        <w:trPr>
          <w:trHeight w:val="288"/>
        </w:trPr>
        <w:tc>
          <w:tcPr>
            <w:tcW w:w="328"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146EF104" w14:textId="77777777" w:rsidR="00DF5575" w:rsidRPr="00455501" w:rsidRDefault="00DF5575" w:rsidP="00DF5575">
            <w:pPr>
              <w:spacing w:after="0"/>
              <w:jc w:val="center"/>
              <w:rPr>
                <w:rFonts w:asciiTheme="minorHAnsi" w:hAnsiTheme="minorHAnsi" w:cstheme="minorHAnsi"/>
                <w:color w:val="000000"/>
                <w:sz w:val="20"/>
                <w:szCs w:val="20"/>
                <w:lang w:eastAsia="hr-HR"/>
              </w:rPr>
            </w:pPr>
            <w:r w:rsidRPr="00455501">
              <w:rPr>
                <w:rFonts w:asciiTheme="minorHAnsi" w:hAnsiTheme="minorHAnsi" w:cstheme="minorHAnsi"/>
                <w:color w:val="000000"/>
                <w:sz w:val="20"/>
                <w:szCs w:val="20"/>
                <w:lang w:eastAsia="hr-HR"/>
              </w:rPr>
              <w:t>2040.</w:t>
            </w:r>
          </w:p>
        </w:tc>
        <w:tc>
          <w:tcPr>
            <w:tcW w:w="503" w:type="pct"/>
            <w:tcBorders>
              <w:top w:val="nil"/>
              <w:left w:val="nil"/>
              <w:bottom w:val="single" w:sz="8" w:space="0" w:color="auto"/>
              <w:right w:val="single" w:sz="8" w:space="0" w:color="auto"/>
            </w:tcBorders>
            <w:shd w:val="clear" w:color="auto" w:fill="auto"/>
            <w:tcMar>
              <w:left w:w="28" w:type="dxa"/>
              <w:right w:w="28" w:type="dxa"/>
            </w:tcMar>
            <w:vAlign w:val="center"/>
          </w:tcPr>
          <w:p w14:paraId="7F20F01B" w14:textId="74527B72" w:rsidR="00DF5575" w:rsidRPr="00455501" w:rsidRDefault="00DF5575" w:rsidP="00DF5575">
            <w:pPr>
              <w:spacing w:after="0"/>
              <w:jc w:val="center"/>
              <w:rPr>
                <w:rFonts w:asciiTheme="minorHAnsi" w:hAnsiTheme="minorHAnsi" w:cstheme="minorHAnsi"/>
                <w:color w:val="000000"/>
                <w:sz w:val="20"/>
                <w:szCs w:val="20"/>
                <w:lang w:eastAsia="hr-HR"/>
              </w:rPr>
            </w:pPr>
            <w:r w:rsidRPr="00455501">
              <w:rPr>
                <w:rFonts w:asciiTheme="minorHAnsi" w:hAnsiTheme="minorHAnsi" w:cstheme="minorHAnsi"/>
                <w:color w:val="000000"/>
                <w:sz w:val="20"/>
                <w:szCs w:val="20"/>
              </w:rPr>
              <w:t>348</w:t>
            </w:r>
          </w:p>
        </w:tc>
        <w:tc>
          <w:tcPr>
            <w:tcW w:w="323" w:type="pct"/>
            <w:tcBorders>
              <w:top w:val="nil"/>
              <w:left w:val="nil"/>
              <w:bottom w:val="single" w:sz="8" w:space="0" w:color="auto"/>
              <w:right w:val="single" w:sz="8" w:space="0" w:color="auto"/>
            </w:tcBorders>
            <w:shd w:val="clear" w:color="auto" w:fill="auto"/>
            <w:tcMar>
              <w:left w:w="28" w:type="dxa"/>
              <w:right w:w="28" w:type="dxa"/>
            </w:tcMar>
            <w:vAlign w:val="center"/>
          </w:tcPr>
          <w:p w14:paraId="2DA82ADB" w14:textId="034725CB"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2.780</w:t>
            </w:r>
          </w:p>
        </w:tc>
        <w:tc>
          <w:tcPr>
            <w:tcW w:w="344" w:type="pct"/>
            <w:tcBorders>
              <w:top w:val="nil"/>
              <w:left w:val="nil"/>
              <w:bottom w:val="single" w:sz="8" w:space="0" w:color="auto"/>
              <w:right w:val="single" w:sz="8" w:space="0" w:color="auto"/>
            </w:tcBorders>
            <w:shd w:val="clear" w:color="auto" w:fill="auto"/>
            <w:tcMar>
              <w:left w:w="28" w:type="dxa"/>
              <w:right w:w="28" w:type="dxa"/>
            </w:tcMar>
            <w:vAlign w:val="center"/>
          </w:tcPr>
          <w:p w14:paraId="2780CE87" w14:textId="16278521"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1.819</w:t>
            </w:r>
          </w:p>
        </w:tc>
        <w:tc>
          <w:tcPr>
            <w:tcW w:w="333" w:type="pct"/>
            <w:tcBorders>
              <w:top w:val="nil"/>
              <w:left w:val="nil"/>
              <w:bottom w:val="single" w:sz="8" w:space="0" w:color="auto"/>
              <w:right w:val="single" w:sz="8" w:space="0" w:color="auto"/>
            </w:tcBorders>
            <w:shd w:val="clear" w:color="auto" w:fill="auto"/>
            <w:tcMar>
              <w:left w:w="28" w:type="dxa"/>
              <w:right w:w="28" w:type="dxa"/>
            </w:tcMar>
            <w:vAlign w:val="center"/>
          </w:tcPr>
          <w:p w14:paraId="137FE903" w14:textId="5D5D77F8"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0</w:t>
            </w:r>
          </w:p>
        </w:tc>
        <w:tc>
          <w:tcPr>
            <w:tcW w:w="333" w:type="pct"/>
            <w:tcBorders>
              <w:top w:val="nil"/>
              <w:left w:val="nil"/>
              <w:bottom w:val="single" w:sz="8" w:space="0" w:color="auto"/>
              <w:right w:val="single" w:sz="8" w:space="0" w:color="auto"/>
            </w:tcBorders>
            <w:shd w:val="clear" w:color="auto" w:fill="auto"/>
            <w:tcMar>
              <w:left w:w="28" w:type="dxa"/>
              <w:right w:w="28" w:type="dxa"/>
            </w:tcMar>
            <w:vAlign w:val="center"/>
          </w:tcPr>
          <w:p w14:paraId="2D1AD502" w14:textId="02755835"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0</w:t>
            </w:r>
          </w:p>
        </w:tc>
        <w:tc>
          <w:tcPr>
            <w:tcW w:w="434" w:type="pct"/>
            <w:tcBorders>
              <w:top w:val="nil"/>
              <w:left w:val="nil"/>
              <w:bottom w:val="single" w:sz="8" w:space="0" w:color="auto"/>
              <w:right w:val="single" w:sz="8" w:space="0" w:color="auto"/>
            </w:tcBorders>
            <w:shd w:val="clear" w:color="auto" w:fill="auto"/>
            <w:tcMar>
              <w:left w:w="28" w:type="dxa"/>
              <w:right w:w="28" w:type="dxa"/>
            </w:tcMar>
            <w:vAlign w:val="center"/>
          </w:tcPr>
          <w:p w14:paraId="796A7B0D" w14:textId="36F5A7D2"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135</w:t>
            </w:r>
          </w:p>
        </w:tc>
        <w:tc>
          <w:tcPr>
            <w:tcW w:w="400" w:type="pct"/>
            <w:tcBorders>
              <w:top w:val="nil"/>
              <w:left w:val="nil"/>
              <w:bottom w:val="single" w:sz="8" w:space="0" w:color="auto"/>
              <w:right w:val="single" w:sz="8" w:space="0" w:color="auto"/>
            </w:tcBorders>
            <w:shd w:val="clear" w:color="auto" w:fill="auto"/>
            <w:tcMar>
              <w:left w:w="28" w:type="dxa"/>
              <w:right w:w="28" w:type="dxa"/>
            </w:tcMar>
            <w:vAlign w:val="center"/>
          </w:tcPr>
          <w:p w14:paraId="04FF8CF3" w14:textId="289A02A6"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59</w:t>
            </w:r>
          </w:p>
        </w:tc>
        <w:tc>
          <w:tcPr>
            <w:tcW w:w="669" w:type="pct"/>
            <w:tcBorders>
              <w:top w:val="nil"/>
              <w:left w:val="nil"/>
              <w:bottom w:val="single" w:sz="8" w:space="0" w:color="auto"/>
              <w:right w:val="single" w:sz="8" w:space="0" w:color="auto"/>
            </w:tcBorders>
            <w:shd w:val="clear" w:color="auto" w:fill="auto"/>
            <w:tcMar>
              <w:left w:w="28" w:type="dxa"/>
              <w:right w:w="28" w:type="dxa"/>
            </w:tcMar>
            <w:vAlign w:val="center"/>
          </w:tcPr>
          <w:p w14:paraId="5ACEF70E" w14:textId="2FF63596" w:rsidR="00DF5575" w:rsidRPr="00CF12BD" w:rsidRDefault="008003E5" w:rsidP="00DF5575">
            <w:pPr>
              <w:spacing w:after="0"/>
              <w:jc w:val="center"/>
              <w:rPr>
                <w:rFonts w:asciiTheme="minorHAnsi" w:hAnsiTheme="minorHAnsi" w:cstheme="minorHAnsi"/>
                <w:color w:val="000000"/>
                <w:sz w:val="20"/>
                <w:szCs w:val="20"/>
                <w:lang w:eastAsia="hr-HR"/>
              </w:rPr>
            </w:pPr>
            <w:r>
              <w:rPr>
                <w:rFonts w:asciiTheme="minorHAnsi" w:hAnsiTheme="minorHAnsi" w:cstheme="minorHAnsi"/>
                <w:color w:val="000000"/>
                <w:sz w:val="20"/>
                <w:szCs w:val="20"/>
              </w:rPr>
              <w:t>38</w:t>
            </w:r>
          </w:p>
        </w:tc>
        <w:tc>
          <w:tcPr>
            <w:tcW w:w="416" w:type="pct"/>
            <w:tcBorders>
              <w:top w:val="nil"/>
              <w:left w:val="nil"/>
              <w:bottom w:val="single" w:sz="8" w:space="0" w:color="auto"/>
              <w:right w:val="single" w:sz="8" w:space="0" w:color="auto"/>
            </w:tcBorders>
            <w:shd w:val="clear" w:color="auto" w:fill="auto"/>
            <w:tcMar>
              <w:left w:w="28" w:type="dxa"/>
              <w:right w:w="28" w:type="dxa"/>
            </w:tcMar>
            <w:vAlign w:val="center"/>
          </w:tcPr>
          <w:p w14:paraId="50E8B771" w14:textId="69E71A75"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2.496</w:t>
            </w:r>
          </w:p>
        </w:tc>
        <w:tc>
          <w:tcPr>
            <w:tcW w:w="417" w:type="pct"/>
            <w:tcBorders>
              <w:top w:val="nil"/>
              <w:left w:val="nil"/>
              <w:bottom w:val="single" w:sz="8" w:space="0" w:color="auto"/>
              <w:right w:val="single" w:sz="8" w:space="0" w:color="auto"/>
            </w:tcBorders>
            <w:shd w:val="clear" w:color="auto" w:fill="auto"/>
            <w:tcMar>
              <w:left w:w="28" w:type="dxa"/>
              <w:right w:w="28" w:type="dxa"/>
            </w:tcMar>
            <w:vAlign w:val="center"/>
          </w:tcPr>
          <w:p w14:paraId="3EAE9D12" w14:textId="27684B30"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2.345</w:t>
            </w:r>
          </w:p>
        </w:tc>
        <w:tc>
          <w:tcPr>
            <w:tcW w:w="500" w:type="pct"/>
            <w:tcBorders>
              <w:top w:val="nil"/>
              <w:left w:val="nil"/>
              <w:bottom w:val="single" w:sz="8" w:space="0" w:color="auto"/>
              <w:right w:val="single" w:sz="8" w:space="0" w:color="auto"/>
            </w:tcBorders>
            <w:shd w:val="clear" w:color="auto" w:fill="auto"/>
            <w:tcMar>
              <w:left w:w="28" w:type="dxa"/>
              <w:right w:w="28" w:type="dxa"/>
            </w:tcMar>
            <w:vAlign w:val="center"/>
          </w:tcPr>
          <w:p w14:paraId="4BCC92FB" w14:textId="29FE4C1A" w:rsidR="00DF5575" w:rsidRPr="00DF5575" w:rsidRDefault="00DF5575" w:rsidP="00DF5575">
            <w:pPr>
              <w:spacing w:after="0"/>
              <w:jc w:val="center"/>
              <w:rPr>
                <w:rFonts w:asciiTheme="minorHAnsi" w:hAnsiTheme="minorHAnsi" w:cstheme="minorHAnsi"/>
                <w:b/>
                <w:color w:val="000000"/>
                <w:sz w:val="20"/>
                <w:szCs w:val="20"/>
                <w:lang w:eastAsia="hr-HR"/>
              </w:rPr>
            </w:pPr>
            <w:r w:rsidRPr="00DF5575">
              <w:rPr>
                <w:rFonts w:asciiTheme="minorHAnsi" w:hAnsiTheme="minorHAnsi" w:cstheme="minorHAnsi"/>
                <w:color w:val="000000"/>
                <w:sz w:val="20"/>
                <w:szCs w:val="20"/>
              </w:rPr>
              <w:t>10.</w:t>
            </w:r>
            <w:r w:rsidR="008F72F0">
              <w:rPr>
                <w:rFonts w:asciiTheme="minorHAnsi" w:hAnsiTheme="minorHAnsi" w:cstheme="minorHAnsi"/>
                <w:color w:val="000000"/>
                <w:sz w:val="20"/>
                <w:szCs w:val="20"/>
              </w:rPr>
              <w:t>020</w:t>
            </w:r>
          </w:p>
        </w:tc>
      </w:tr>
      <w:tr w:rsidR="00DF5575" w:rsidRPr="005C73B1" w14:paraId="4D48A44D" w14:textId="77777777" w:rsidTr="00400447">
        <w:trPr>
          <w:trHeight w:val="292"/>
        </w:trPr>
        <w:tc>
          <w:tcPr>
            <w:tcW w:w="328"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73503688" w14:textId="77777777" w:rsidR="00DF5575" w:rsidRPr="00455501" w:rsidRDefault="00DF5575" w:rsidP="00DF5575">
            <w:pPr>
              <w:spacing w:after="0"/>
              <w:jc w:val="center"/>
              <w:rPr>
                <w:rFonts w:asciiTheme="minorHAnsi" w:hAnsiTheme="minorHAnsi" w:cstheme="minorHAnsi"/>
                <w:color w:val="000000"/>
                <w:sz w:val="20"/>
                <w:szCs w:val="20"/>
                <w:lang w:eastAsia="hr-HR"/>
              </w:rPr>
            </w:pPr>
            <w:r w:rsidRPr="00455501">
              <w:rPr>
                <w:rFonts w:asciiTheme="minorHAnsi" w:hAnsiTheme="minorHAnsi" w:cstheme="minorHAnsi"/>
                <w:color w:val="000000"/>
                <w:sz w:val="20"/>
                <w:szCs w:val="20"/>
                <w:lang w:eastAsia="hr-HR"/>
              </w:rPr>
              <w:t>2050.</w:t>
            </w:r>
          </w:p>
        </w:tc>
        <w:tc>
          <w:tcPr>
            <w:tcW w:w="503" w:type="pct"/>
            <w:tcBorders>
              <w:top w:val="nil"/>
              <w:left w:val="nil"/>
              <w:bottom w:val="single" w:sz="8" w:space="0" w:color="auto"/>
              <w:right w:val="single" w:sz="8" w:space="0" w:color="auto"/>
            </w:tcBorders>
            <w:shd w:val="clear" w:color="auto" w:fill="auto"/>
            <w:tcMar>
              <w:left w:w="28" w:type="dxa"/>
              <w:right w:w="28" w:type="dxa"/>
            </w:tcMar>
            <w:vAlign w:val="center"/>
          </w:tcPr>
          <w:p w14:paraId="6748E802" w14:textId="0C200017" w:rsidR="00DF5575" w:rsidRPr="00455501" w:rsidRDefault="00DF5575" w:rsidP="00DF5575">
            <w:pPr>
              <w:spacing w:after="0"/>
              <w:jc w:val="center"/>
              <w:rPr>
                <w:rFonts w:asciiTheme="minorHAnsi" w:hAnsiTheme="minorHAnsi" w:cstheme="minorHAnsi"/>
                <w:color w:val="000000"/>
                <w:sz w:val="20"/>
                <w:szCs w:val="20"/>
                <w:lang w:eastAsia="hr-HR"/>
              </w:rPr>
            </w:pPr>
            <w:r w:rsidRPr="00455501">
              <w:rPr>
                <w:rFonts w:asciiTheme="minorHAnsi" w:hAnsiTheme="minorHAnsi" w:cstheme="minorHAnsi"/>
                <w:color w:val="000000"/>
                <w:sz w:val="20"/>
                <w:szCs w:val="20"/>
              </w:rPr>
              <w:t>0</w:t>
            </w:r>
          </w:p>
        </w:tc>
        <w:tc>
          <w:tcPr>
            <w:tcW w:w="323" w:type="pct"/>
            <w:tcBorders>
              <w:top w:val="nil"/>
              <w:left w:val="nil"/>
              <w:bottom w:val="single" w:sz="8" w:space="0" w:color="auto"/>
              <w:right w:val="single" w:sz="8" w:space="0" w:color="auto"/>
            </w:tcBorders>
            <w:shd w:val="clear" w:color="auto" w:fill="auto"/>
            <w:tcMar>
              <w:left w:w="28" w:type="dxa"/>
              <w:right w:w="28" w:type="dxa"/>
            </w:tcMar>
            <w:vAlign w:val="center"/>
          </w:tcPr>
          <w:p w14:paraId="72F97528" w14:textId="4D01BCF8"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2.980</w:t>
            </w:r>
          </w:p>
        </w:tc>
        <w:tc>
          <w:tcPr>
            <w:tcW w:w="344" w:type="pct"/>
            <w:tcBorders>
              <w:top w:val="nil"/>
              <w:left w:val="nil"/>
              <w:bottom w:val="single" w:sz="8" w:space="0" w:color="auto"/>
              <w:right w:val="single" w:sz="8" w:space="0" w:color="auto"/>
            </w:tcBorders>
            <w:shd w:val="clear" w:color="auto" w:fill="auto"/>
            <w:tcMar>
              <w:left w:w="28" w:type="dxa"/>
              <w:right w:w="28" w:type="dxa"/>
            </w:tcMar>
            <w:vAlign w:val="center"/>
          </w:tcPr>
          <w:p w14:paraId="671076F7" w14:textId="6BC54C2F"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1.784</w:t>
            </w:r>
          </w:p>
        </w:tc>
        <w:tc>
          <w:tcPr>
            <w:tcW w:w="333" w:type="pct"/>
            <w:tcBorders>
              <w:top w:val="nil"/>
              <w:left w:val="nil"/>
              <w:bottom w:val="single" w:sz="8" w:space="0" w:color="auto"/>
              <w:right w:val="single" w:sz="8" w:space="0" w:color="auto"/>
            </w:tcBorders>
            <w:shd w:val="clear" w:color="auto" w:fill="auto"/>
            <w:tcMar>
              <w:left w:w="28" w:type="dxa"/>
              <w:right w:w="28" w:type="dxa"/>
            </w:tcMar>
            <w:vAlign w:val="center"/>
          </w:tcPr>
          <w:p w14:paraId="7DB0D03F" w14:textId="61BC11F1"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0</w:t>
            </w:r>
          </w:p>
        </w:tc>
        <w:tc>
          <w:tcPr>
            <w:tcW w:w="333" w:type="pct"/>
            <w:tcBorders>
              <w:top w:val="nil"/>
              <w:left w:val="nil"/>
              <w:bottom w:val="single" w:sz="8" w:space="0" w:color="auto"/>
              <w:right w:val="single" w:sz="8" w:space="0" w:color="auto"/>
            </w:tcBorders>
            <w:shd w:val="clear" w:color="auto" w:fill="auto"/>
            <w:tcMar>
              <w:left w:w="28" w:type="dxa"/>
              <w:right w:w="28" w:type="dxa"/>
            </w:tcMar>
            <w:vAlign w:val="center"/>
          </w:tcPr>
          <w:p w14:paraId="0331FE05" w14:textId="05F3B46D"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0</w:t>
            </w:r>
          </w:p>
        </w:tc>
        <w:tc>
          <w:tcPr>
            <w:tcW w:w="434" w:type="pct"/>
            <w:tcBorders>
              <w:top w:val="nil"/>
              <w:left w:val="nil"/>
              <w:bottom w:val="single" w:sz="8" w:space="0" w:color="auto"/>
              <w:right w:val="single" w:sz="8" w:space="0" w:color="auto"/>
            </w:tcBorders>
            <w:shd w:val="clear" w:color="auto" w:fill="auto"/>
            <w:tcMar>
              <w:left w:w="28" w:type="dxa"/>
              <w:right w:w="28" w:type="dxa"/>
            </w:tcMar>
            <w:vAlign w:val="center"/>
          </w:tcPr>
          <w:p w14:paraId="2FEAC67B" w14:textId="2681F6D8"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135</w:t>
            </w:r>
          </w:p>
        </w:tc>
        <w:tc>
          <w:tcPr>
            <w:tcW w:w="400" w:type="pct"/>
            <w:tcBorders>
              <w:top w:val="nil"/>
              <w:left w:val="nil"/>
              <w:bottom w:val="single" w:sz="8" w:space="0" w:color="auto"/>
              <w:right w:val="single" w:sz="8" w:space="0" w:color="auto"/>
            </w:tcBorders>
            <w:shd w:val="clear" w:color="auto" w:fill="auto"/>
            <w:tcMar>
              <w:left w:w="28" w:type="dxa"/>
              <w:right w:w="28" w:type="dxa"/>
            </w:tcMar>
            <w:vAlign w:val="center"/>
          </w:tcPr>
          <w:p w14:paraId="5CCD2D28" w14:textId="697866A1"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59</w:t>
            </w:r>
          </w:p>
        </w:tc>
        <w:tc>
          <w:tcPr>
            <w:tcW w:w="669" w:type="pct"/>
            <w:tcBorders>
              <w:top w:val="nil"/>
              <w:left w:val="nil"/>
              <w:bottom w:val="single" w:sz="8" w:space="0" w:color="auto"/>
              <w:right w:val="single" w:sz="8" w:space="0" w:color="auto"/>
            </w:tcBorders>
            <w:shd w:val="clear" w:color="auto" w:fill="auto"/>
            <w:tcMar>
              <w:left w:w="28" w:type="dxa"/>
              <w:right w:w="28" w:type="dxa"/>
            </w:tcMar>
            <w:vAlign w:val="center"/>
          </w:tcPr>
          <w:p w14:paraId="464A4B85" w14:textId="4F85D582" w:rsidR="00DF5575" w:rsidRPr="00CF12BD" w:rsidRDefault="008003E5" w:rsidP="00DF5575">
            <w:pPr>
              <w:spacing w:after="0"/>
              <w:jc w:val="center"/>
              <w:rPr>
                <w:rFonts w:asciiTheme="minorHAnsi" w:hAnsiTheme="minorHAnsi" w:cstheme="minorHAnsi"/>
                <w:color w:val="000000"/>
                <w:sz w:val="20"/>
                <w:szCs w:val="20"/>
                <w:lang w:eastAsia="hr-HR"/>
              </w:rPr>
            </w:pPr>
            <w:r>
              <w:rPr>
                <w:rFonts w:asciiTheme="minorHAnsi" w:hAnsiTheme="minorHAnsi" w:cstheme="minorHAnsi"/>
                <w:color w:val="000000"/>
                <w:sz w:val="20"/>
                <w:szCs w:val="20"/>
              </w:rPr>
              <w:t>6</w:t>
            </w:r>
            <w:r w:rsidR="00DF5575" w:rsidRPr="00CF12BD">
              <w:rPr>
                <w:rFonts w:asciiTheme="minorHAnsi" w:hAnsiTheme="minorHAnsi" w:cstheme="minorHAnsi"/>
                <w:color w:val="000000"/>
                <w:sz w:val="20"/>
                <w:szCs w:val="20"/>
              </w:rPr>
              <w:t>8</w:t>
            </w:r>
          </w:p>
        </w:tc>
        <w:tc>
          <w:tcPr>
            <w:tcW w:w="416" w:type="pct"/>
            <w:tcBorders>
              <w:top w:val="nil"/>
              <w:left w:val="nil"/>
              <w:bottom w:val="single" w:sz="8" w:space="0" w:color="auto"/>
              <w:right w:val="single" w:sz="8" w:space="0" w:color="auto"/>
            </w:tcBorders>
            <w:shd w:val="clear" w:color="auto" w:fill="auto"/>
            <w:tcMar>
              <w:left w:w="28" w:type="dxa"/>
              <w:right w:w="28" w:type="dxa"/>
            </w:tcMar>
            <w:vAlign w:val="center"/>
          </w:tcPr>
          <w:p w14:paraId="2B400E0D" w14:textId="28099A55"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3.260</w:t>
            </w:r>
          </w:p>
        </w:tc>
        <w:tc>
          <w:tcPr>
            <w:tcW w:w="417" w:type="pct"/>
            <w:tcBorders>
              <w:top w:val="nil"/>
              <w:left w:val="nil"/>
              <w:bottom w:val="single" w:sz="8" w:space="0" w:color="auto"/>
              <w:right w:val="single" w:sz="8" w:space="0" w:color="auto"/>
            </w:tcBorders>
            <w:shd w:val="clear" w:color="auto" w:fill="auto"/>
            <w:tcMar>
              <w:left w:w="28" w:type="dxa"/>
              <w:right w:w="28" w:type="dxa"/>
            </w:tcMar>
            <w:vAlign w:val="center"/>
          </w:tcPr>
          <w:p w14:paraId="5088C138" w14:textId="26B2890B" w:rsidR="00DF5575" w:rsidRPr="00CF12BD" w:rsidRDefault="00DF5575" w:rsidP="00DF5575">
            <w:pPr>
              <w:spacing w:after="0"/>
              <w:jc w:val="center"/>
              <w:rPr>
                <w:rFonts w:asciiTheme="minorHAnsi" w:hAnsiTheme="minorHAnsi" w:cstheme="minorHAnsi"/>
                <w:color w:val="000000"/>
                <w:sz w:val="20"/>
                <w:szCs w:val="20"/>
                <w:lang w:eastAsia="hr-HR"/>
              </w:rPr>
            </w:pPr>
            <w:r w:rsidRPr="00CF12BD">
              <w:rPr>
                <w:rFonts w:asciiTheme="minorHAnsi" w:hAnsiTheme="minorHAnsi" w:cstheme="minorHAnsi"/>
                <w:color w:val="000000"/>
                <w:sz w:val="20"/>
                <w:szCs w:val="20"/>
              </w:rPr>
              <w:t>3.430</w:t>
            </w:r>
          </w:p>
        </w:tc>
        <w:tc>
          <w:tcPr>
            <w:tcW w:w="500" w:type="pct"/>
            <w:tcBorders>
              <w:top w:val="nil"/>
              <w:left w:val="nil"/>
              <w:bottom w:val="single" w:sz="8" w:space="0" w:color="auto"/>
              <w:right w:val="single" w:sz="8" w:space="0" w:color="auto"/>
            </w:tcBorders>
            <w:shd w:val="clear" w:color="auto" w:fill="auto"/>
            <w:tcMar>
              <w:left w:w="28" w:type="dxa"/>
              <w:right w:w="28" w:type="dxa"/>
            </w:tcMar>
            <w:vAlign w:val="center"/>
          </w:tcPr>
          <w:p w14:paraId="2969720A" w14:textId="2C4C05D0" w:rsidR="00DF5575" w:rsidRPr="00DF5575" w:rsidRDefault="00DF5575" w:rsidP="00DF5575">
            <w:pPr>
              <w:spacing w:after="0"/>
              <w:jc w:val="center"/>
              <w:rPr>
                <w:rFonts w:asciiTheme="minorHAnsi" w:hAnsiTheme="minorHAnsi" w:cstheme="minorHAnsi"/>
                <w:b/>
                <w:color w:val="000000"/>
                <w:sz w:val="20"/>
                <w:szCs w:val="20"/>
                <w:lang w:eastAsia="hr-HR"/>
              </w:rPr>
            </w:pPr>
            <w:r w:rsidRPr="00DF5575">
              <w:rPr>
                <w:rFonts w:asciiTheme="minorHAnsi" w:hAnsiTheme="minorHAnsi" w:cstheme="minorHAnsi"/>
                <w:color w:val="000000"/>
                <w:sz w:val="20"/>
                <w:szCs w:val="20"/>
              </w:rPr>
              <w:t>11.</w:t>
            </w:r>
            <w:r w:rsidR="008F72F0">
              <w:rPr>
                <w:rFonts w:asciiTheme="minorHAnsi" w:hAnsiTheme="minorHAnsi" w:cstheme="minorHAnsi"/>
                <w:color w:val="000000"/>
                <w:sz w:val="20"/>
                <w:szCs w:val="20"/>
              </w:rPr>
              <w:t>716</w:t>
            </w:r>
          </w:p>
        </w:tc>
      </w:tr>
    </w:tbl>
    <w:p w14:paraId="71E8A49D" w14:textId="77777777" w:rsidR="00B532F4" w:rsidRDefault="00B532F4" w:rsidP="00B532F4"/>
    <w:p w14:paraId="38E69201" w14:textId="535E96F9" w:rsidR="00237C98" w:rsidRPr="00B47BDA" w:rsidRDefault="007C2FD3" w:rsidP="009C24E0">
      <w:pPr>
        <w:jc w:val="center"/>
      </w:pPr>
      <w:r w:rsidRPr="007C2FD3">
        <w:rPr>
          <w:noProof/>
        </w:rPr>
        <w:lastRenderedPageBreak/>
        <w:drawing>
          <wp:inline distT="0" distB="0" distL="0" distR="0" wp14:anchorId="111B9A52" wp14:editId="56DE4151">
            <wp:extent cx="5185019" cy="2943513"/>
            <wp:effectExtent l="0" t="0" r="0" b="9525"/>
            <wp:docPr id="2053082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12359" cy="2959034"/>
                    </a:xfrm>
                    <a:prstGeom prst="rect">
                      <a:avLst/>
                    </a:prstGeom>
                    <a:noFill/>
                    <a:ln>
                      <a:noFill/>
                    </a:ln>
                  </pic:spPr>
                </pic:pic>
              </a:graphicData>
            </a:graphic>
          </wp:inline>
        </w:drawing>
      </w:r>
    </w:p>
    <w:p w14:paraId="79FA2CB6" w14:textId="28D08C65" w:rsidR="005F3F29" w:rsidRDefault="005F3F29" w:rsidP="004623DD">
      <w:pPr>
        <w:pStyle w:val="Caption"/>
      </w:pPr>
      <w:bookmarkStart w:id="585" w:name="_Ref531871305"/>
      <w:bookmarkStart w:id="586" w:name="_Toc185605260"/>
      <w:bookmarkStart w:id="587" w:name="_Toc193035906"/>
      <w:r w:rsidRPr="002575EE">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694712">
        <w:rPr>
          <w:noProof/>
        </w:rPr>
        <w:t>11</w:t>
      </w:r>
      <w:r>
        <w:fldChar w:fldCharType="end"/>
      </w:r>
      <w:bookmarkEnd w:id="585"/>
      <w:r w:rsidRPr="002575EE">
        <w:t xml:space="preserve">. Očekivana snaga elektrana u </w:t>
      </w:r>
      <w:r w:rsidR="0049591E" w:rsidRPr="002575EE">
        <w:t>s</w:t>
      </w:r>
      <w:r w:rsidRPr="002575EE">
        <w:t>cenariju s postojećim mjerama</w:t>
      </w:r>
      <w:r w:rsidR="00770B29" w:rsidRPr="002575EE">
        <w:t xml:space="preserve"> (</w:t>
      </w:r>
      <w:r w:rsidR="0049591E" w:rsidRPr="002575EE">
        <w:t>WEM scenarij</w:t>
      </w:r>
      <w:r w:rsidR="00770B29" w:rsidRPr="002575EE">
        <w:t>)</w:t>
      </w:r>
      <w:bookmarkEnd w:id="586"/>
      <w:bookmarkEnd w:id="587"/>
    </w:p>
    <w:p w14:paraId="2C5D7396" w14:textId="42707E18" w:rsidR="00C21988" w:rsidRPr="00B47BDA" w:rsidRDefault="004E40FF" w:rsidP="005C2C7E">
      <w:pPr>
        <w:pStyle w:val="Heading2"/>
        <w:numPr>
          <w:ilvl w:val="1"/>
          <w:numId w:val="175"/>
        </w:numPr>
      </w:pPr>
      <w:bookmarkStart w:id="588" w:name="_Toc531935261"/>
      <w:bookmarkStart w:id="589" w:name="_Toc531945123"/>
      <w:bookmarkStart w:id="590" w:name="_Toc6302381"/>
      <w:r w:rsidRPr="00B47BDA">
        <w:tab/>
      </w:r>
      <w:bookmarkStart w:id="591" w:name="_Toc187418362"/>
      <w:bookmarkStart w:id="592" w:name="_Toc193043287"/>
      <w:r w:rsidR="00C21988" w:rsidRPr="00B47BDA">
        <w:t xml:space="preserve">Dimenzija: </w:t>
      </w:r>
      <w:r w:rsidR="007E1352">
        <w:t>e</w:t>
      </w:r>
      <w:r w:rsidR="00C21988" w:rsidRPr="00B47BDA">
        <w:t>nergetska učinkovitost</w:t>
      </w:r>
      <w:bookmarkEnd w:id="588"/>
      <w:bookmarkEnd w:id="589"/>
      <w:bookmarkEnd w:id="590"/>
      <w:bookmarkEnd w:id="591"/>
      <w:bookmarkEnd w:id="592"/>
      <w:r w:rsidR="00C21988" w:rsidRPr="00B47BDA">
        <w:t xml:space="preserve"> </w:t>
      </w:r>
    </w:p>
    <w:p w14:paraId="41430AE4" w14:textId="77777777" w:rsidR="00B22C9B" w:rsidRPr="00B47BDA" w:rsidRDefault="00B22C9B" w:rsidP="005C2C7E">
      <w:pPr>
        <w:pStyle w:val="Heading4"/>
        <w:numPr>
          <w:ilvl w:val="3"/>
          <w:numId w:val="175"/>
        </w:numPr>
        <w:ind w:hanging="580"/>
      </w:pPr>
      <w:r w:rsidRPr="00B47BDA">
        <w:t xml:space="preserve">Trenutačna primarna i neposredna potrošnja energije u gospodarstvu i po sektoru (uključujući industrijski, stambeni, uslužni i prometni) </w:t>
      </w:r>
    </w:p>
    <w:p w14:paraId="08A215D1" w14:textId="3A665D8B" w:rsidR="001D00DA" w:rsidRPr="00B47BDA" w:rsidRDefault="001D00DA" w:rsidP="004623DD">
      <w:r w:rsidRPr="00B47BDA">
        <w:t>Posljednji podaci o potrošnji energije u Republici Hrvatskoj dostupni u trenutku izrade nacrta ovog Plana su za 20</w:t>
      </w:r>
      <w:r w:rsidR="009C41CB" w:rsidRPr="00B47BDA">
        <w:t>2</w:t>
      </w:r>
      <w:r w:rsidR="00043DCB">
        <w:t>2</w:t>
      </w:r>
      <w:r w:rsidRPr="00B47BDA">
        <w:t>. godinu te ih prikazuj</w:t>
      </w:r>
      <w:r w:rsidR="009F3599" w:rsidRPr="00B47BDA">
        <w:t>u</w:t>
      </w:r>
      <w:r w:rsidRPr="00B47BDA">
        <w:t xml:space="preserve"> </w:t>
      </w:r>
      <w:r w:rsidR="006C7811" w:rsidRPr="00B47BDA">
        <w:fldChar w:fldCharType="begin"/>
      </w:r>
      <w:r w:rsidR="006C7811" w:rsidRPr="00B47BDA">
        <w:instrText xml:space="preserve"> REF _Ref11421086 \h </w:instrText>
      </w:r>
      <w:r w:rsidR="00EF6DEA" w:rsidRPr="00B47BDA">
        <w:instrText xml:space="preserve"> \* MERGEFORMAT </w:instrText>
      </w:r>
      <w:r w:rsidR="006C7811" w:rsidRPr="00B47BDA">
        <w:fldChar w:fldCharType="separate"/>
      </w:r>
      <w:r w:rsidR="00694712" w:rsidRPr="00B47BDA">
        <w:t xml:space="preserve">Tablica </w:t>
      </w:r>
      <w:r w:rsidR="00694712">
        <w:t>4</w:t>
      </w:r>
      <w:r w:rsidR="00694712" w:rsidRPr="00B47BDA">
        <w:noBreakHyphen/>
      </w:r>
      <w:r w:rsidR="00694712">
        <w:t>16</w:t>
      </w:r>
      <w:r w:rsidR="006C7811" w:rsidRPr="00B47BDA">
        <w:fldChar w:fldCharType="end"/>
      </w:r>
      <w:r w:rsidR="006C7811" w:rsidRPr="00B47BDA">
        <w:t xml:space="preserve"> i</w:t>
      </w:r>
      <w:r w:rsidR="009F3599" w:rsidRPr="00B47BDA">
        <w:t xml:space="preserve"> </w:t>
      </w:r>
      <w:r w:rsidR="009F3599" w:rsidRPr="00B47BDA">
        <w:fldChar w:fldCharType="begin"/>
      </w:r>
      <w:r w:rsidR="009F3599" w:rsidRPr="00B47BDA">
        <w:instrText xml:space="preserve"> REF _Ref27663303 \h </w:instrText>
      </w:r>
      <w:r w:rsidR="00EF6DEA" w:rsidRPr="00B47BDA">
        <w:instrText xml:space="preserve"> \* MERGEFORMAT </w:instrText>
      </w:r>
      <w:r w:rsidR="009F3599" w:rsidRPr="00B47BDA">
        <w:fldChar w:fldCharType="separate"/>
      </w:r>
      <w:r w:rsidR="00694712" w:rsidRPr="00B47BDA">
        <w:t xml:space="preserve">Tablica </w:t>
      </w:r>
      <w:r w:rsidR="00694712">
        <w:t>4</w:t>
      </w:r>
      <w:r w:rsidR="00694712" w:rsidRPr="00B47BDA">
        <w:noBreakHyphen/>
      </w:r>
      <w:r w:rsidR="00694712">
        <w:t>17</w:t>
      </w:r>
      <w:r w:rsidR="009F3599" w:rsidRPr="00B47BDA">
        <w:fldChar w:fldCharType="end"/>
      </w:r>
      <w:r w:rsidRPr="00B47BDA">
        <w:t xml:space="preserve">. </w:t>
      </w:r>
    </w:p>
    <w:p w14:paraId="4D2B9B50" w14:textId="06E41D1C" w:rsidR="001D00DA" w:rsidRPr="00B47BDA" w:rsidRDefault="001D00DA" w:rsidP="004623DD">
      <w:pPr>
        <w:pStyle w:val="Caption"/>
      </w:pPr>
      <w:bookmarkStart w:id="593" w:name="_Ref11421086"/>
      <w:bookmarkStart w:id="594" w:name="_Toc531935360"/>
      <w:bookmarkStart w:id="595" w:name="_Toc193035967"/>
      <w:r w:rsidRPr="00B47BDA">
        <w:t xml:space="preserve">Tablica </w:t>
      </w:r>
      <w:r>
        <w:fldChar w:fldCharType="begin"/>
      </w:r>
      <w:r>
        <w:instrText>STYLEREF 1 \s</w:instrText>
      </w:r>
      <w:r>
        <w:fldChar w:fldCharType="separate"/>
      </w:r>
      <w:r w:rsidR="00AD324D">
        <w:rPr>
          <w:noProof/>
        </w:rPr>
        <w:t>4</w:t>
      </w:r>
      <w:r>
        <w:fldChar w:fldCharType="end"/>
      </w:r>
      <w:r w:rsidR="00DE7F11" w:rsidRPr="00B47BDA">
        <w:noBreakHyphen/>
      </w:r>
      <w:r>
        <w:fldChar w:fldCharType="begin"/>
      </w:r>
      <w:r>
        <w:instrText>SEQ Tablica \* ARABIC \s 1</w:instrText>
      </w:r>
      <w:r>
        <w:fldChar w:fldCharType="separate"/>
      </w:r>
      <w:r w:rsidR="00834255">
        <w:rPr>
          <w:noProof/>
        </w:rPr>
        <w:t>16</w:t>
      </w:r>
      <w:r>
        <w:fldChar w:fldCharType="end"/>
      </w:r>
      <w:bookmarkEnd w:id="593"/>
      <w:r w:rsidR="0098147A" w:rsidRPr="00B47BDA">
        <w:t>.</w:t>
      </w:r>
      <w:r w:rsidRPr="00B47BDA">
        <w:t xml:space="preserve"> Struktura potrošnje energije po sektorima u 20</w:t>
      </w:r>
      <w:r w:rsidR="009C41CB" w:rsidRPr="00B47BDA">
        <w:t>2</w:t>
      </w:r>
      <w:r w:rsidR="00043DCB">
        <w:t>2</w:t>
      </w:r>
      <w:r w:rsidRPr="00B47BDA">
        <w:t>. godini</w:t>
      </w:r>
      <w:bookmarkEnd w:id="594"/>
      <w:bookmarkEnd w:id="595"/>
    </w:p>
    <w:tbl>
      <w:tblPr>
        <w:tblStyle w:val="Svijetlatablicareetke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1286"/>
      </w:tblGrid>
      <w:tr w:rsidR="009A0C7A" w:rsidRPr="00B532F4" w14:paraId="027905F9" w14:textId="77777777" w:rsidTr="63259912">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614" w:type="dxa"/>
            <w:shd w:val="clear" w:color="auto" w:fill="DEEAF6" w:themeFill="accent1" w:themeFillTint="33"/>
          </w:tcPr>
          <w:p w14:paraId="0A8C9AA5" w14:textId="42610038" w:rsidR="009A0C7A" w:rsidRPr="002762B8" w:rsidRDefault="009A0C7A" w:rsidP="00A817E1">
            <w:pPr>
              <w:spacing w:after="0" w:line="276" w:lineRule="auto"/>
              <w:rPr>
                <w:sz w:val="22"/>
                <w:szCs w:val="22"/>
              </w:rPr>
            </w:pPr>
            <w:r w:rsidRPr="002762B8">
              <w:rPr>
                <w:sz w:val="22"/>
                <w:szCs w:val="22"/>
              </w:rPr>
              <w:t>202</w:t>
            </w:r>
            <w:r>
              <w:rPr>
                <w:sz w:val="22"/>
                <w:szCs w:val="22"/>
              </w:rPr>
              <w:t>2</w:t>
            </w:r>
            <w:r w:rsidRPr="002762B8">
              <w:rPr>
                <w:sz w:val="22"/>
                <w:szCs w:val="22"/>
              </w:rPr>
              <w:t>. GODINA</w:t>
            </w:r>
          </w:p>
        </w:tc>
        <w:tc>
          <w:tcPr>
            <w:tcW w:w="1286" w:type="dxa"/>
            <w:shd w:val="clear" w:color="auto" w:fill="DEEAF6" w:themeFill="accent1" w:themeFillTint="33"/>
          </w:tcPr>
          <w:p w14:paraId="4F156C61" w14:textId="77777777" w:rsidR="009A0C7A" w:rsidRPr="002762B8" w:rsidRDefault="009A0C7A" w:rsidP="00A817E1">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2762B8">
              <w:rPr>
                <w:sz w:val="22"/>
                <w:szCs w:val="22"/>
              </w:rPr>
              <w:t>PJ</w:t>
            </w:r>
          </w:p>
        </w:tc>
      </w:tr>
      <w:tr w:rsidR="009A0C7A" w:rsidRPr="00B532F4" w14:paraId="49827CA8" w14:textId="77777777" w:rsidTr="63259912">
        <w:trPr>
          <w:jc w:val="center"/>
        </w:trPr>
        <w:tc>
          <w:tcPr>
            <w:cnfStyle w:val="001000000000" w:firstRow="0" w:lastRow="0" w:firstColumn="1" w:lastColumn="0" w:oddVBand="0" w:evenVBand="0" w:oddHBand="0" w:evenHBand="0" w:firstRowFirstColumn="0" w:firstRowLastColumn="0" w:lastRowFirstColumn="0" w:lastRowLastColumn="0"/>
            <w:tcW w:w="3614" w:type="dxa"/>
            <w:shd w:val="clear" w:color="auto" w:fill="D9D9D9" w:themeFill="background1" w:themeFillShade="D9"/>
          </w:tcPr>
          <w:p w14:paraId="77E6E3C4" w14:textId="3473F687" w:rsidR="009A0C7A" w:rsidRPr="002762B8" w:rsidRDefault="009A0C7A" w:rsidP="00A817E1">
            <w:pPr>
              <w:spacing w:after="0" w:line="276" w:lineRule="auto"/>
              <w:rPr>
                <w:sz w:val="22"/>
                <w:szCs w:val="22"/>
              </w:rPr>
            </w:pPr>
            <w:r w:rsidRPr="002762B8">
              <w:rPr>
                <w:sz w:val="22"/>
                <w:szCs w:val="22"/>
              </w:rPr>
              <w:t xml:space="preserve">UKUPNA </w:t>
            </w:r>
            <w:r w:rsidR="00EF4FDE">
              <w:rPr>
                <w:sz w:val="22"/>
                <w:szCs w:val="22"/>
              </w:rPr>
              <w:t>POTROŠNJA ENERGIJE</w:t>
            </w:r>
          </w:p>
        </w:tc>
        <w:tc>
          <w:tcPr>
            <w:tcW w:w="1286" w:type="dxa"/>
            <w:shd w:val="clear" w:color="auto" w:fill="D9D9D9" w:themeFill="background1" w:themeFillShade="D9"/>
          </w:tcPr>
          <w:p w14:paraId="6FBCCCE4" w14:textId="60C7FDA3" w:rsidR="009A0C7A" w:rsidRPr="002762B8" w:rsidRDefault="00077854" w:rsidP="00A817E1">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r w:rsidR="00C41091">
              <w:rPr>
                <w:sz w:val="22"/>
                <w:szCs w:val="22"/>
              </w:rPr>
              <w:t>56,2</w:t>
            </w:r>
          </w:p>
        </w:tc>
      </w:tr>
      <w:tr w:rsidR="009A0C7A" w:rsidRPr="00B532F4" w14:paraId="59DE7B56" w14:textId="77777777" w:rsidTr="63259912">
        <w:trPr>
          <w:jc w:val="center"/>
        </w:trPr>
        <w:tc>
          <w:tcPr>
            <w:cnfStyle w:val="001000000000" w:firstRow="0" w:lastRow="0" w:firstColumn="1" w:lastColumn="0" w:oddVBand="0" w:evenVBand="0" w:oddHBand="0" w:evenHBand="0" w:firstRowFirstColumn="0" w:firstRowLastColumn="0" w:lastRowFirstColumn="0" w:lastRowLastColumn="0"/>
            <w:tcW w:w="3614" w:type="dxa"/>
          </w:tcPr>
          <w:p w14:paraId="2DF52814" w14:textId="77777777" w:rsidR="009A0C7A" w:rsidRPr="004F7CD3" w:rsidRDefault="009A0C7A" w:rsidP="00A817E1">
            <w:pPr>
              <w:spacing w:after="0" w:line="276" w:lineRule="auto"/>
              <w:rPr>
                <w:b w:val="0"/>
                <w:bCs w:val="0"/>
                <w:sz w:val="22"/>
                <w:szCs w:val="22"/>
              </w:rPr>
            </w:pPr>
            <w:r w:rsidRPr="004F7CD3">
              <w:rPr>
                <w:b w:val="0"/>
                <w:bCs w:val="0"/>
                <w:sz w:val="22"/>
                <w:szCs w:val="22"/>
              </w:rPr>
              <w:t>Gubitci transformacija</w:t>
            </w:r>
          </w:p>
        </w:tc>
        <w:tc>
          <w:tcPr>
            <w:tcW w:w="1286" w:type="dxa"/>
          </w:tcPr>
          <w:p w14:paraId="310F4216" w14:textId="262B84C6" w:rsidR="009A0C7A" w:rsidRPr="002762B8" w:rsidRDefault="002A0879" w:rsidP="00A817E1">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32,0</w:t>
            </w:r>
          </w:p>
        </w:tc>
      </w:tr>
      <w:tr w:rsidR="009A0C7A" w:rsidRPr="00B532F4" w14:paraId="60B1B3EF" w14:textId="77777777" w:rsidTr="63259912">
        <w:trPr>
          <w:jc w:val="center"/>
        </w:trPr>
        <w:tc>
          <w:tcPr>
            <w:cnfStyle w:val="001000000000" w:firstRow="0" w:lastRow="0" w:firstColumn="1" w:lastColumn="0" w:oddVBand="0" w:evenVBand="0" w:oddHBand="0" w:evenHBand="0" w:firstRowFirstColumn="0" w:firstRowLastColumn="0" w:lastRowFirstColumn="0" w:lastRowLastColumn="0"/>
            <w:tcW w:w="3614" w:type="dxa"/>
          </w:tcPr>
          <w:p w14:paraId="472E852F" w14:textId="77777777" w:rsidR="009A0C7A" w:rsidRPr="004F7CD3" w:rsidRDefault="009A0C7A" w:rsidP="00A817E1">
            <w:pPr>
              <w:spacing w:after="0" w:line="276" w:lineRule="auto"/>
              <w:rPr>
                <w:b w:val="0"/>
                <w:bCs w:val="0"/>
                <w:sz w:val="22"/>
                <w:szCs w:val="22"/>
              </w:rPr>
            </w:pPr>
            <w:r w:rsidRPr="004F7CD3">
              <w:rPr>
                <w:b w:val="0"/>
                <w:bCs w:val="0"/>
                <w:sz w:val="22"/>
                <w:szCs w:val="22"/>
              </w:rPr>
              <w:t>Potrošnja energetike</w:t>
            </w:r>
          </w:p>
        </w:tc>
        <w:tc>
          <w:tcPr>
            <w:tcW w:w="1286" w:type="dxa"/>
          </w:tcPr>
          <w:p w14:paraId="5EB827FA" w14:textId="6AF19EAD" w:rsidR="00221927" w:rsidRPr="002762B8" w:rsidRDefault="009A0C7A" w:rsidP="00A817E1">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2762B8">
              <w:rPr>
                <w:sz w:val="22"/>
                <w:szCs w:val="22"/>
              </w:rPr>
              <w:t>18,</w:t>
            </w:r>
            <w:r w:rsidR="00221927">
              <w:rPr>
                <w:sz w:val="22"/>
                <w:szCs w:val="22"/>
              </w:rPr>
              <w:t>0</w:t>
            </w:r>
          </w:p>
        </w:tc>
      </w:tr>
      <w:tr w:rsidR="009A0C7A" w:rsidRPr="00B532F4" w14:paraId="251CCF5F" w14:textId="77777777" w:rsidTr="63259912">
        <w:trPr>
          <w:jc w:val="center"/>
        </w:trPr>
        <w:tc>
          <w:tcPr>
            <w:cnfStyle w:val="001000000000" w:firstRow="0" w:lastRow="0" w:firstColumn="1" w:lastColumn="0" w:oddVBand="0" w:evenVBand="0" w:oddHBand="0" w:evenHBand="0" w:firstRowFirstColumn="0" w:firstRowLastColumn="0" w:lastRowFirstColumn="0" w:lastRowLastColumn="0"/>
            <w:tcW w:w="3614" w:type="dxa"/>
          </w:tcPr>
          <w:p w14:paraId="1C50D375" w14:textId="77777777" w:rsidR="009A0C7A" w:rsidRPr="004F7CD3" w:rsidRDefault="009A0C7A" w:rsidP="00A817E1">
            <w:pPr>
              <w:spacing w:after="0" w:line="276" w:lineRule="auto"/>
              <w:rPr>
                <w:b w:val="0"/>
                <w:bCs w:val="0"/>
                <w:sz w:val="22"/>
                <w:szCs w:val="22"/>
              </w:rPr>
            </w:pPr>
            <w:r w:rsidRPr="004F7CD3">
              <w:rPr>
                <w:b w:val="0"/>
                <w:bCs w:val="0"/>
                <w:sz w:val="22"/>
                <w:szCs w:val="22"/>
              </w:rPr>
              <w:t>Gubitci transporta i distribucije</w:t>
            </w:r>
          </w:p>
        </w:tc>
        <w:tc>
          <w:tcPr>
            <w:tcW w:w="1286" w:type="dxa"/>
          </w:tcPr>
          <w:p w14:paraId="63CCFE1A" w14:textId="241F8815" w:rsidR="009A0C7A" w:rsidRPr="002762B8" w:rsidRDefault="0018223B" w:rsidP="00A817E1">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9,3</w:t>
            </w:r>
          </w:p>
        </w:tc>
      </w:tr>
      <w:tr w:rsidR="009A0C7A" w:rsidRPr="00B532F4" w14:paraId="5EFFDAAB" w14:textId="77777777" w:rsidTr="63259912">
        <w:trPr>
          <w:jc w:val="center"/>
        </w:trPr>
        <w:tc>
          <w:tcPr>
            <w:cnfStyle w:val="001000000000" w:firstRow="0" w:lastRow="0" w:firstColumn="1" w:lastColumn="0" w:oddVBand="0" w:evenVBand="0" w:oddHBand="0" w:evenHBand="0" w:firstRowFirstColumn="0" w:firstRowLastColumn="0" w:lastRowFirstColumn="0" w:lastRowLastColumn="0"/>
            <w:tcW w:w="3614" w:type="dxa"/>
          </w:tcPr>
          <w:p w14:paraId="5D4C2BE7" w14:textId="77777777" w:rsidR="009A0C7A" w:rsidRPr="004F7CD3" w:rsidRDefault="009A0C7A" w:rsidP="63259912">
            <w:pPr>
              <w:spacing w:after="0" w:line="276" w:lineRule="auto"/>
              <w:rPr>
                <w:b w:val="0"/>
                <w:bCs w:val="0"/>
                <w:sz w:val="22"/>
                <w:szCs w:val="22"/>
              </w:rPr>
            </w:pPr>
            <w:r w:rsidRPr="63259912">
              <w:rPr>
                <w:b w:val="0"/>
                <w:bCs w:val="0"/>
                <w:sz w:val="22"/>
                <w:szCs w:val="22"/>
              </w:rPr>
              <w:t>Neenergetska potrošnja</w:t>
            </w:r>
          </w:p>
        </w:tc>
        <w:tc>
          <w:tcPr>
            <w:tcW w:w="1286" w:type="dxa"/>
          </w:tcPr>
          <w:p w14:paraId="4E3D2631" w14:textId="0B907B5C" w:rsidR="009A0C7A" w:rsidRPr="002762B8" w:rsidRDefault="007D7748" w:rsidP="00A817E1">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8,1</w:t>
            </w:r>
          </w:p>
        </w:tc>
      </w:tr>
      <w:tr w:rsidR="009A0C7A" w:rsidRPr="00B532F4" w14:paraId="2CD0458B" w14:textId="77777777" w:rsidTr="63259912">
        <w:trPr>
          <w:jc w:val="center"/>
        </w:trPr>
        <w:tc>
          <w:tcPr>
            <w:cnfStyle w:val="001000000000" w:firstRow="0" w:lastRow="0" w:firstColumn="1" w:lastColumn="0" w:oddVBand="0" w:evenVBand="0" w:oddHBand="0" w:evenHBand="0" w:firstRowFirstColumn="0" w:firstRowLastColumn="0" w:lastRowFirstColumn="0" w:lastRowLastColumn="0"/>
            <w:tcW w:w="3614" w:type="dxa"/>
            <w:shd w:val="clear" w:color="auto" w:fill="D9D9D9" w:themeFill="background1" w:themeFillShade="D9"/>
          </w:tcPr>
          <w:p w14:paraId="78960F7A" w14:textId="77777777" w:rsidR="009A0C7A" w:rsidRPr="002762B8" w:rsidRDefault="009A0C7A" w:rsidP="00A817E1">
            <w:pPr>
              <w:spacing w:after="0" w:line="276" w:lineRule="auto"/>
              <w:rPr>
                <w:sz w:val="22"/>
                <w:szCs w:val="22"/>
              </w:rPr>
            </w:pPr>
            <w:r w:rsidRPr="002762B8">
              <w:rPr>
                <w:sz w:val="22"/>
                <w:szCs w:val="22"/>
              </w:rPr>
              <w:t>NEPOSREDNA POTROŠNJA ENERGIJE</w:t>
            </w:r>
          </w:p>
        </w:tc>
        <w:tc>
          <w:tcPr>
            <w:tcW w:w="1286" w:type="dxa"/>
            <w:shd w:val="clear" w:color="auto" w:fill="D9D9D9" w:themeFill="background1" w:themeFillShade="D9"/>
          </w:tcPr>
          <w:p w14:paraId="2FDCAEC9" w14:textId="459FBDFA" w:rsidR="009A0C7A" w:rsidRPr="002762B8" w:rsidRDefault="007D7748" w:rsidP="00A817E1">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28</w:t>
            </w:r>
            <w:r w:rsidR="00294D91">
              <w:rPr>
                <w:sz w:val="22"/>
                <w:szCs w:val="22"/>
              </w:rPr>
              <w:t>0,9</w:t>
            </w:r>
          </w:p>
        </w:tc>
      </w:tr>
      <w:tr w:rsidR="009A0C7A" w:rsidRPr="00B532F4" w14:paraId="71FAE0FA" w14:textId="77777777" w:rsidTr="63259912">
        <w:trPr>
          <w:jc w:val="center"/>
        </w:trPr>
        <w:tc>
          <w:tcPr>
            <w:cnfStyle w:val="001000000000" w:firstRow="0" w:lastRow="0" w:firstColumn="1" w:lastColumn="0" w:oddVBand="0" w:evenVBand="0" w:oddHBand="0" w:evenHBand="0" w:firstRowFirstColumn="0" w:firstRowLastColumn="0" w:lastRowFirstColumn="0" w:lastRowLastColumn="0"/>
            <w:tcW w:w="3614" w:type="dxa"/>
          </w:tcPr>
          <w:p w14:paraId="4D08BCA3" w14:textId="77777777" w:rsidR="009A0C7A" w:rsidRPr="004F7CD3" w:rsidRDefault="009A0C7A" w:rsidP="00A817E1">
            <w:pPr>
              <w:spacing w:after="0" w:line="276" w:lineRule="auto"/>
              <w:rPr>
                <w:b w:val="0"/>
                <w:bCs w:val="0"/>
                <w:sz w:val="22"/>
                <w:szCs w:val="22"/>
              </w:rPr>
            </w:pPr>
            <w:r w:rsidRPr="004F7CD3">
              <w:rPr>
                <w:b w:val="0"/>
                <w:bCs w:val="0"/>
                <w:sz w:val="22"/>
                <w:szCs w:val="22"/>
              </w:rPr>
              <w:t>Industrija</w:t>
            </w:r>
          </w:p>
        </w:tc>
        <w:tc>
          <w:tcPr>
            <w:tcW w:w="1286" w:type="dxa"/>
          </w:tcPr>
          <w:p w14:paraId="63399C91" w14:textId="0A84AEA6" w:rsidR="009A0C7A" w:rsidRPr="002762B8" w:rsidRDefault="00077854" w:rsidP="00A817E1">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47,3</w:t>
            </w:r>
          </w:p>
        </w:tc>
      </w:tr>
      <w:tr w:rsidR="009A0C7A" w:rsidRPr="00B532F4" w14:paraId="2FC5821F" w14:textId="77777777" w:rsidTr="63259912">
        <w:trPr>
          <w:jc w:val="center"/>
        </w:trPr>
        <w:tc>
          <w:tcPr>
            <w:cnfStyle w:val="001000000000" w:firstRow="0" w:lastRow="0" w:firstColumn="1" w:lastColumn="0" w:oddVBand="0" w:evenVBand="0" w:oddHBand="0" w:evenHBand="0" w:firstRowFirstColumn="0" w:firstRowLastColumn="0" w:lastRowFirstColumn="0" w:lastRowLastColumn="0"/>
            <w:tcW w:w="3614" w:type="dxa"/>
          </w:tcPr>
          <w:p w14:paraId="4095D4A0" w14:textId="77777777" w:rsidR="009A0C7A" w:rsidRPr="004F7CD3" w:rsidRDefault="009A0C7A" w:rsidP="00A817E1">
            <w:pPr>
              <w:spacing w:after="0" w:line="276" w:lineRule="auto"/>
              <w:rPr>
                <w:b w:val="0"/>
                <w:bCs w:val="0"/>
                <w:sz w:val="22"/>
                <w:szCs w:val="22"/>
              </w:rPr>
            </w:pPr>
            <w:r w:rsidRPr="004F7CD3">
              <w:rPr>
                <w:b w:val="0"/>
                <w:bCs w:val="0"/>
                <w:sz w:val="22"/>
                <w:szCs w:val="22"/>
              </w:rPr>
              <w:t>Promet</w:t>
            </w:r>
          </w:p>
        </w:tc>
        <w:tc>
          <w:tcPr>
            <w:tcW w:w="1286" w:type="dxa"/>
          </w:tcPr>
          <w:p w14:paraId="4F0AD710" w14:textId="0D596F49" w:rsidR="009A0C7A" w:rsidRPr="002762B8" w:rsidRDefault="00077854" w:rsidP="00A817E1">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93,1</w:t>
            </w:r>
          </w:p>
        </w:tc>
      </w:tr>
      <w:tr w:rsidR="009A0C7A" w:rsidRPr="00B532F4" w14:paraId="79011DB6" w14:textId="77777777" w:rsidTr="63259912">
        <w:trPr>
          <w:jc w:val="center"/>
        </w:trPr>
        <w:tc>
          <w:tcPr>
            <w:cnfStyle w:val="001000000000" w:firstRow="0" w:lastRow="0" w:firstColumn="1" w:lastColumn="0" w:oddVBand="0" w:evenVBand="0" w:oddHBand="0" w:evenHBand="0" w:firstRowFirstColumn="0" w:firstRowLastColumn="0" w:lastRowFirstColumn="0" w:lastRowLastColumn="0"/>
            <w:tcW w:w="3614" w:type="dxa"/>
          </w:tcPr>
          <w:p w14:paraId="471DA911" w14:textId="77777777" w:rsidR="009A0C7A" w:rsidRPr="004F7CD3" w:rsidRDefault="009A0C7A" w:rsidP="00A817E1">
            <w:pPr>
              <w:spacing w:after="0" w:line="276" w:lineRule="auto"/>
              <w:rPr>
                <w:b w:val="0"/>
                <w:bCs w:val="0"/>
                <w:sz w:val="22"/>
                <w:szCs w:val="22"/>
              </w:rPr>
            </w:pPr>
            <w:r w:rsidRPr="004F7CD3">
              <w:rPr>
                <w:b w:val="0"/>
                <w:bCs w:val="0"/>
                <w:sz w:val="22"/>
                <w:szCs w:val="22"/>
              </w:rPr>
              <w:t>Kućanstva</w:t>
            </w:r>
          </w:p>
        </w:tc>
        <w:tc>
          <w:tcPr>
            <w:tcW w:w="1286" w:type="dxa"/>
          </w:tcPr>
          <w:p w14:paraId="57EBC7CB" w14:textId="573B5D63" w:rsidR="009A0C7A" w:rsidRPr="002762B8" w:rsidRDefault="008B1E88" w:rsidP="00A817E1">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95,7</w:t>
            </w:r>
          </w:p>
        </w:tc>
      </w:tr>
      <w:tr w:rsidR="009A0C7A" w:rsidRPr="00B532F4" w14:paraId="41AB3EE3" w14:textId="77777777" w:rsidTr="63259912">
        <w:trPr>
          <w:jc w:val="center"/>
        </w:trPr>
        <w:tc>
          <w:tcPr>
            <w:cnfStyle w:val="001000000000" w:firstRow="0" w:lastRow="0" w:firstColumn="1" w:lastColumn="0" w:oddVBand="0" w:evenVBand="0" w:oddHBand="0" w:evenHBand="0" w:firstRowFirstColumn="0" w:firstRowLastColumn="0" w:lastRowFirstColumn="0" w:lastRowLastColumn="0"/>
            <w:tcW w:w="3614" w:type="dxa"/>
          </w:tcPr>
          <w:p w14:paraId="3ADDD9F6" w14:textId="77777777" w:rsidR="009A0C7A" w:rsidRPr="004F7CD3" w:rsidRDefault="009A0C7A" w:rsidP="00A817E1">
            <w:pPr>
              <w:spacing w:after="0" w:line="276" w:lineRule="auto"/>
              <w:rPr>
                <w:b w:val="0"/>
                <w:bCs w:val="0"/>
                <w:sz w:val="22"/>
                <w:szCs w:val="22"/>
              </w:rPr>
            </w:pPr>
            <w:r w:rsidRPr="004F7CD3">
              <w:rPr>
                <w:b w:val="0"/>
                <w:bCs w:val="0"/>
                <w:sz w:val="22"/>
                <w:szCs w:val="22"/>
              </w:rPr>
              <w:t>Usluge</w:t>
            </w:r>
          </w:p>
        </w:tc>
        <w:tc>
          <w:tcPr>
            <w:tcW w:w="1286" w:type="dxa"/>
          </w:tcPr>
          <w:p w14:paraId="6BFF7C2B" w14:textId="05984344" w:rsidR="009A0C7A" w:rsidRPr="002762B8" w:rsidRDefault="008B1E88" w:rsidP="00A817E1">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r w:rsidR="00C136EE">
              <w:rPr>
                <w:sz w:val="22"/>
                <w:szCs w:val="22"/>
              </w:rPr>
              <w:t>3,9</w:t>
            </w:r>
          </w:p>
        </w:tc>
      </w:tr>
      <w:tr w:rsidR="009A0C7A" w:rsidRPr="00B532F4" w14:paraId="09E3285F" w14:textId="77777777" w:rsidTr="63259912">
        <w:trPr>
          <w:jc w:val="center"/>
        </w:trPr>
        <w:tc>
          <w:tcPr>
            <w:cnfStyle w:val="001000000000" w:firstRow="0" w:lastRow="0" w:firstColumn="1" w:lastColumn="0" w:oddVBand="0" w:evenVBand="0" w:oddHBand="0" w:evenHBand="0" w:firstRowFirstColumn="0" w:firstRowLastColumn="0" w:lastRowFirstColumn="0" w:lastRowLastColumn="0"/>
            <w:tcW w:w="3614" w:type="dxa"/>
          </w:tcPr>
          <w:p w14:paraId="6198553E" w14:textId="77777777" w:rsidR="009A0C7A" w:rsidRPr="004F7CD3" w:rsidRDefault="009A0C7A" w:rsidP="00A817E1">
            <w:pPr>
              <w:spacing w:after="0" w:line="276" w:lineRule="auto"/>
              <w:rPr>
                <w:b w:val="0"/>
                <w:bCs w:val="0"/>
                <w:sz w:val="22"/>
                <w:szCs w:val="22"/>
              </w:rPr>
            </w:pPr>
            <w:r w:rsidRPr="004F7CD3">
              <w:rPr>
                <w:b w:val="0"/>
                <w:bCs w:val="0"/>
                <w:sz w:val="22"/>
                <w:szCs w:val="22"/>
              </w:rPr>
              <w:t>Poljoprivreda i šumarstvo</w:t>
            </w:r>
          </w:p>
        </w:tc>
        <w:tc>
          <w:tcPr>
            <w:tcW w:w="1286" w:type="dxa"/>
          </w:tcPr>
          <w:p w14:paraId="2C0B1001" w14:textId="5E23A212" w:rsidR="009A0C7A" w:rsidRPr="002762B8" w:rsidRDefault="007E4B71" w:rsidP="00A817E1">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r>
      <w:tr w:rsidR="009A0C7A" w:rsidRPr="00B532F4" w14:paraId="1815B443" w14:textId="77777777" w:rsidTr="63259912">
        <w:trPr>
          <w:jc w:val="center"/>
        </w:trPr>
        <w:tc>
          <w:tcPr>
            <w:cnfStyle w:val="001000000000" w:firstRow="0" w:lastRow="0" w:firstColumn="1" w:lastColumn="0" w:oddVBand="0" w:evenVBand="0" w:oddHBand="0" w:evenHBand="0" w:firstRowFirstColumn="0" w:firstRowLastColumn="0" w:lastRowFirstColumn="0" w:lastRowLastColumn="0"/>
            <w:tcW w:w="3614" w:type="dxa"/>
          </w:tcPr>
          <w:p w14:paraId="6A907B35" w14:textId="77777777" w:rsidR="009A0C7A" w:rsidRPr="004F7CD3" w:rsidRDefault="009A0C7A" w:rsidP="00A817E1">
            <w:pPr>
              <w:spacing w:after="0" w:line="276" w:lineRule="auto"/>
              <w:rPr>
                <w:b w:val="0"/>
                <w:bCs w:val="0"/>
                <w:sz w:val="22"/>
                <w:szCs w:val="22"/>
              </w:rPr>
            </w:pPr>
            <w:r w:rsidRPr="004F7CD3">
              <w:rPr>
                <w:b w:val="0"/>
                <w:bCs w:val="0"/>
                <w:sz w:val="22"/>
                <w:szCs w:val="22"/>
              </w:rPr>
              <w:t>Ribarstvo</w:t>
            </w:r>
          </w:p>
        </w:tc>
        <w:tc>
          <w:tcPr>
            <w:tcW w:w="1286" w:type="dxa"/>
          </w:tcPr>
          <w:p w14:paraId="43D39105" w14:textId="4BBEFB7F" w:rsidR="009A0C7A" w:rsidRPr="002762B8" w:rsidRDefault="007E4B71" w:rsidP="00A817E1">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0,9</w:t>
            </w:r>
          </w:p>
        </w:tc>
      </w:tr>
    </w:tbl>
    <w:p w14:paraId="3CB4FAC9" w14:textId="6C39A89C" w:rsidR="00361985" w:rsidRDefault="00361985" w:rsidP="00032675">
      <w:pPr>
        <w:pStyle w:val="Caption"/>
        <w:jc w:val="both"/>
        <w:rPr>
          <w:highlight w:val="yellow"/>
        </w:rPr>
      </w:pPr>
      <w:bookmarkStart w:id="596" w:name="_Ref525300678"/>
    </w:p>
    <w:p w14:paraId="7B0665F3" w14:textId="77777777" w:rsidR="00361985" w:rsidRDefault="00361985">
      <w:pPr>
        <w:spacing w:after="0"/>
        <w:jc w:val="left"/>
        <w:rPr>
          <w:b/>
          <w:sz w:val="22"/>
          <w:szCs w:val="28"/>
          <w:highlight w:val="yellow"/>
        </w:rPr>
      </w:pPr>
      <w:r>
        <w:rPr>
          <w:highlight w:val="yellow"/>
        </w:rPr>
        <w:br w:type="page"/>
      </w:r>
    </w:p>
    <w:p w14:paraId="0AFCD61C" w14:textId="666E8FAB" w:rsidR="001451B8" w:rsidRPr="00B47BDA" w:rsidDel="008E38EB" w:rsidRDefault="00C21988" w:rsidP="004623DD">
      <w:pPr>
        <w:pStyle w:val="Caption"/>
      </w:pPr>
      <w:bookmarkStart w:id="597" w:name="_Ref27663303"/>
      <w:bookmarkStart w:id="598" w:name="_Toc193035968"/>
      <w:r w:rsidRPr="00B47BDA">
        <w:lastRenderedPageBreak/>
        <w:t xml:space="preserve">Tablica </w:t>
      </w:r>
      <w:r>
        <w:fldChar w:fldCharType="begin"/>
      </w:r>
      <w:r>
        <w:instrText>STYLEREF 1 \s</w:instrText>
      </w:r>
      <w:r>
        <w:fldChar w:fldCharType="separate"/>
      </w:r>
      <w:r w:rsidR="00AD324D">
        <w:rPr>
          <w:noProof/>
        </w:rPr>
        <w:t>4</w:t>
      </w:r>
      <w:r>
        <w:fldChar w:fldCharType="end"/>
      </w:r>
      <w:r w:rsidR="00DE7F11" w:rsidRPr="00B47BDA">
        <w:noBreakHyphen/>
      </w:r>
      <w:r>
        <w:fldChar w:fldCharType="begin"/>
      </w:r>
      <w:r>
        <w:instrText>SEQ Tablica \* ARABIC \s 1</w:instrText>
      </w:r>
      <w:r>
        <w:fldChar w:fldCharType="separate"/>
      </w:r>
      <w:r w:rsidR="00694712">
        <w:rPr>
          <w:noProof/>
        </w:rPr>
        <w:t>17</w:t>
      </w:r>
      <w:r>
        <w:fldChar w:fldCharType="end"/>
      </w:r>
      <w:bookmarkEnd w:id="596"/>
      <w:bookmarkEnd w:id="597"/>
      <w:r w:rsidR="0098147A" w:rsidRPr="00B47BDA">
        <w:t>.</w:t>
      </w:r>
      <w:r w:rsidRPr="00B47BDA">
        <w:t xml:space="preserve"> Struktura potrošnje energije po energentima</w:t>
      </w:r>
      <w:r w:rsidR="001228FB" w:rsidRPr="00B47BDA">
        <w:t xml:space="preserve"> u 20</w:t>
      </w:r>
      <w:r w:rsidR="002D2F92" w:rsidRPr="00B47BDA">
        <w:t>2</w:t>
      </w:r>
      <w:r w:rsidR="009E103D">
        <w:t>2</w:t>
      </w:r>
      <w:r w:rsidR="001228FB" w:rsidRPr="00B47BDA">
        <w:t>. godini</w:t>
      </w:r>
      <w:bookmarkEnd w:id="598"/>
      <w:r w:rsidR="001228FB" w:rsidRPr="00B47BDA">
        <w:t xml:space="preserve"> </w:t>
      </w:r>
    </w:p>
    <w:tbl>
      <w:tblPr>
        <w:tblStyle w:val="Svijetlatablicareetke11"/>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1560"/>
      </w:tblGrid>
      <w:tr w:rsidR="009E103D" w:rsidRPr="00032675" w14:paraId="6A5B6A4B" w14:textId="77777777" w:rsidTr="006B6D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shd w:val="clear" w:color="auto" w:fill="D9E2F3" w:themeFill="accent5" w:themeFillTint="33"/>
          </w:tcPr>
          <w:p w14:paraId="71DFC591" w14:textId="57179EB6" w:rsidR="009E103D" w:rsidRPr="002762B8" w:rsidRDefault="009E103D" w:rsidP="00A817E1">
            <w:pPr>
              <w:keepNext/>
              <w:spacing w:after="0" w:line="276" w:lineRule="auto"/>
              <w:rPr>
                <w:rFonts w:cs="Calibri"/>
                <w:sz w:val="22"/>
                <w:szCs w:val="22"/>
              </w:rPr>
            </w:pPr>
            <w:r w:rsidRPr="002762B8">
              <w:rPr>
                <w:rFonts w:cs="Calibri"/>
                <w:sz w:val="22"/>
                <w:szCs w:val="22"/>
              </w:rPr>
              <w:t>202</w:t>
            </w:r>
            <w:r>
              <w:rPr>
                <w:rFonts w:cs="Calibri"/>
                <w:sz w:val="22"/>
                <w:szCs w:val="22"/>
              </w:rPr>
              <w:t>2</w:t>
            </w:r>
            <w:r w:rsidRPr="002762B8">
              <w:rPr>
                <w:rFonts w:cs="Calibri"/>
                <w:sz w:val="22"/>
                <w:szCs w:val="22"/>
              </w:rPr>
              <w:t>. GODINA</w:t>
            </w:r>
          </w:p>
        </w:tc>
        <w:tc>
          <w:tcPr>
            <w:tcW w:w="1560" w:type="dxa"/>
            <w:shd w:val="clear" w:color="auto" w:fill="D9E2F3" w:themeFill="accent5" w:themeFillTint="33"/>
          </w:tcPr>
          <w:p w14:paraId="30AB2FDB" w14:textId="77777777" w:rsidR="009E103D" w:rsidRPr="002762B8" w:rsidRDefault="009E103D" w:rsidP="00A817E1">
            <w:pPr>
              <w:keepNext/>
              <w:spacing w:after="0" w:line="276" w:lineRule="auto"/>
              <w:jc w:val="center"/>
              <w:cnfStyle w:val="100000000000" w:firstRow="1" w:lastRow="0" w:firstColumn="0" w:lastColumn="0" w:oddVBand="0" w:evenVBand="0" w:oddHBand="0" w:evenHBand="0" w:firstRowFirstColumn="0" w:firstRowLastColumn="0" w:lastRowFirstColumn="0" w:lastRowLastColumn="0"/>
              <w:rPr>
                <w:rFonts w:cs="Calibri"/>
                <w:sz w:val="22"/>
                <w:szCs w:val="22"/>
              </w:rPr>
            </w:pPr>
            <w:r w:rsidRPr="002762B8">
              <w:rPr>
                <w:rFonts w:cs="Calibri"/>
                <w:sz w:val="22"/>
                <w:szCs w:val="22"/>
              </w:rPr>
              <w:t>PJ</w:t>
            </w:r>
          </w:p>
        </w:tc>
      </w:tr>
      <w:tr w:rsidR="009E103D" w:rsidRPr="00032675" w14:paraId="4A2ECA5B" w14:textId="77777777" w:rsidTr="006B6D27">
        <w:tc>
          <w:tcPr>
            <w:cnfStyle w:val="001000000000" w:firstRow="0" w:lastRow="0" w:firstColumn="1" w:lastColumn="0" w:oddVBand="0" w:evenVBand="0" w:oddHBand="0" w:evenHBand="0" w:firstRowFirstColumn="0" w:firstRowLastColumn="0" w:lastRowFirstColumn="0" w:lastRowLastColumn="0"/>
            <w:tcW w:w="3543" w:type="dxa"/>
            <w:shd w:val="clear" w:color="auto" w:fill="D9D9D9" w:themeFill="background1" w:themeFillShade="D9"/>
          </w:tcPr>
          <w:p w14:paraId="5009BD0D" w14:textId="7CF43710" w:rsidR="009E103D" w:rsidRPr="002762B8" w:rsidRDefault="009E103D" w:rsidP="00A817E1">
            <w:pPr>
              <w:keepNext/>
              <w:spacing w:after="0" w:line="276" w:lineRule="auto"/>
              <w:rPr>
                <w:rFonts w:cs="Calibri"/>
                <w:sz w:val="22"/>
                <w:szCs w:val="22"/>
              </w:rPr>
            </w:pPr>
            <w:r w:rsidRPr="002762B8">
              <w:rPr>
                <w:rFonts w:cs="Calibri"/>
                <w:sz w:val="22"/>
                <w:szCs w:val="22"/>
              </w:rPr>
              <w:t>UKUPNA POTROŠNJA ENERGIJE</w:t>
            </w:r>
          </w:p>
        </w:tc>
        <w:tc>
          <w:tcPr>
            <w:tcW w:w="1560" w:type="dxa"/>
            <w:shd w:val="clear" w:color="auto" w:fill="D9D9D9" w:themeFill="background1" w:themeFillShade="D9"/>
          </w:tcPr>
          <w:p w14:paraId="20A67497" w14:textId="33C95DB3" w:rsidR="009E103D" w:rsidRPr="002762B8" w:rsidRDefault="00C41091"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b/>
                <w:sz w:val="22"/>
                <w:szCs w:val="22"/>
              </w:rPr>
            </w:pPr>
            <w:r>
              <w:rPr>
                <w:rFonts w:cs="Calibri"/>
                <w:sz w:val="22"/>
                <w:szCs w:val="22"/>
              </w:rPr>
              <w:t>356,2</w:t>
            </w:r>
          </w:p>
        </w:tc>
      </w:tr>
      <w:tr w:rsidR="009E103D" w:rsidRPr="00032675" w14:paraId="2F5BCEF0" w14:textId="77777777" w:rsidTr="006B6D27">
        <w:tc>
          <w:tcPr>
            <w:cnfStyle w:val="001000000000" w:firstRow="0" w:lastRow="0" w:firstColumn="1" w:lastColumn="0" w:oddVBand="0" w:evenVBand="0" w:oddHBand="0" w:evenHBand="0" w:firstRowFirstColumn="0" w:firstRowLastColumn="0" w:lastRowFirstColumn="0" w:lastRowLastColumn="0"/>
            <w:tcW w:w="3543" w:type="dxa"/>
          </w:tcPr>
          <w:p w14:paraId="0015F4C8" w14:textId="77777777" w:rsidR="009E103D" w:rsidRPr="004F7CD3" w:rsidRDefault="009E103D" w:rsidP="00A817E1">
            <w:pPr>
              <w:keepNext/>
              <w:spacing w:after="0" w:line="276" w:lineRule="auto"/>
              <w:rPr>
                <w:rFonts w:cs="Calibri"/>
                <w:b w:val="0"/>
                <w:bCs w:val="0"/>
                <w:sz w:val="22"/>
                <w:szCs w:val="22"/>
              </w:rPr>
            </w:pPr>
            <w:r w:rsidRPr="004F7CD3">
              <w:rPr>
                <w:rFonts w:cs="Calibri"/>
                <w:b w:val="0"/>
                <w:bCs w:val="0"/>
                <w:sz w:val="22"/>
                <w:szCs w:val="22"/>
              </w:rPr>
              <w:t>Ugljen i koks</w:t>
            </w:r>
          </w:p>
        </w:tc>
        <w:tc>
          <w:tcPr>
            <w:tcW w:w="1560" w:type="dxa"/>
          </w:tcPr>
          <w:p w14:paraId="655C4976" w14:textId="7E0482F9" w:rsidR="009E103D" w:rsidRPr="002762B8" w:rsidRDefault="009E103D"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2762B8">
              <w:rPr>
                <w:rFonts w:cs="Calibri"/>
                <w:sz w:val="22"/>
                <w:szCs w:val="22"/>
              </w:rPr>
              <w:t>17,</w:t>
            </w:r>
            <w:r w:rsidR="0041232E">
              <w:rPr>
                <w:rFonts w:cs="Calibri"/>
                <w:sz w:val="22"/>
                <w:szCs w:val="22"/>
              </w:rPr>
              <w:t>0</w:t>
            </w:r>
          </w:p>
        </w:tc>
      </w:tr>
      <w:tr w:rsidR="009E103D" w:rsidRPr="00032675" w14:paraId="22F1DC71" w14:textId="77777777" w:rsidTr="006B6D27">
        <w:tc>
          <w:tcPr>
            <w:cnfStyle w:val="001000000000" w:firstRow="0" w:lastRow="0" w:firstColumn="1" w:lastColumn="0" w:oddVBand="0" w:evenVBand="0" w:oddHBand="0" w:evenHBand="0" w:firstRowFirstColumn="0" w:firstRowLastColumn="0" w:lastRowFirstColumn="0" w:lastRowLastColumn="0"/>
            <w:tcW w:w="3543" w:type="dxa"/>
          </w:tcPr>
          <w:p w14:paraId="0A7DB104" w14:textId="77777777" w:rsidR="009E103D" w:rsidRPr="004F7CD3" w:rsidRDefault="009E103D" w:rsidP="00A817E1">
            <w:pPr>
              <w:keepNext/>
              <w:spacing w:after="0" w:line="276" w:lineRule="auto"/>
              <w:rPr>
                <w:rFonts w:cs="Calibri"/>
                <w:b w:val="0"/>
                <w:bCs w:val="0"/>
                <w:sz w:val="22"/>
                <w:szCs w:val="22"/>
              </w:rPr>
            </w:pPr>
            <w:r w:rsidRPr="004F7CD3">
              <w:rPr>
                <w:rFonts w:cs="Calibri"/>
                <w:b w:val="0"/>
                <w:bCs w:val="0"/>
                <w:sz w:val="22"/>
                <w:szCs w:val="22"/>
              </w:rPr>
              <w:t>Tekuća goriva</w:t>
            </w:r>
          </w:p>
        </w:tc>
        <w:tc>
          <w:tcPr>
            <w:tcW w:w="1560" w:type="dxa"/>
          </w:tcPr>
          <w:p w14:paraId="12FC91EA" w14:textId="6C94DF25" w:rsidR="009E103D" w:rsidRPr="002762B8" w:rsidRDefault="009E103D"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2762B8">
              <w:rPr>
                <w:rFonts w:cs="Calibri"/>
                <w:sz w:val="22"/>
                <w:szCs w:val="22"/>
              </w:rPr>
              <w:t>1</w:t>
            </w:r>
            <w:r w:rsidR="00D34397">
              <w:rPr>
                <w:rFonts w:cs="Calibri"/>
                <w:sz w:val="22"/>
                <w:szCs w:val="22"/>
              </w:rPr>
              <w:t>37,9</w:t>
            </w:r>
          </w:p>
        </w:tc>
      </w:tr>
      <w:tr w:rsidR="009E103D" w:rsidRPr="00032675" w14:paraId="7921C05E" w14:textId="77777777" w:rsidTr="006B6D27">
        <w:tc>
          <w:tcPr>
            <w:cnfStyle w:val="001000000000" w:firstRow="0" w:lastRow="0" w:firstColumn="1" w:lastColumn="0" w:oddVBand="0" w:evenVBand="0" w:oddHBand="0" w:evenHBand="0" w:firstRowFirstColumn="0" w:firstRowLastColumn="0" w:lastRowFirstColumn="0" w:lastRowLastColumn="0"/>
            <w:tcW w:w="3543" w:type="dxa"/>
          </w:tcPr>
          <w:p w14:paraId="33A2A7B4" w14:textId="77777777" w:rsidR="009E103D" w:rsidRPr="004F7CD3" w:rsidRDefault="009E103D" w:rsidP="00A817E1">
            <w:pPr>
              <w:keepNext/>
              <w:spacing w:after="0" w:line="276" w:lineRule="auto"/>
              <w:rPr>
                <w:rFonts w:cs="Calibri"/>
                <w:b w:val="0"/>
                <w:bCs w:val="0"/>
                <w:sz w:val="22"/>
                <w:szCs w:val="22"/>
              </w:rPr>
            </w:pPr>
            <w:r w:rsidRPr="004F7CD3">
              <w:rPr>
                <w:rFonts w:cs="Calibri"/>
                <w:b w:val="0"/>
                <w:bCs w:val="0"/>
                <w:sz w:val="22"/>
                <w:szCs w:val="22"/>
              </w:rPr>
              <w:t>Prirodni plin</w:t>
            </w:r>
          </w:p>
        </w:tc>
        <w:tc>
          <w:tcPr>
            <w:tcW w:w="1560" w:type="dxa"/>
          </w:tcPr>
          <w:p w14:paraId="02087744" w14:textId="28037771" w:rsidR="009E103D" w:rsidRPr="002762B8" w:rsidRDefault="00FE230D"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89,3</w:t>
            </w:r>
          </w:p>
        </w:tc>
      </w:tr>
      <w:tr w:rsidR="009E103D" w:rsidRPr="00032675" w14:paraId="78657FAC" w14:textId="77777777" w:rsidTr="006B6D27">
        <w:tc>
          <w:tcPr>
            <w:cnfStyle w:val="001000000000" w:firstRow="0" w:lastRow="0" w:firstColumn="1" w:lastColumn="0" w:oddVBand="0" w:evenVBand="0" w:oddHBand="0" w:evenHBand="0" w:firstRowFirstColumn="0" w:firstRowLastColumn="0" w:lastRowFirstColumn="0" w:lastRowLastColumn="0"/>
            <w:tcW w:w="3543" w:type="dxa"/>
          </w:tcPr>
          <w:p w14:paraId="1EDDBEE7" w14:textId="17131464" w:rsidR="009E103D" w:rsidRPr="004F7CD3" w:rsidRDefault="009E103D" w:rsidP="00A817E1">
            <w:pPr>
              <w:keepNext/>
              <w:spacing w:after="0" w:line="276" w:lineRule="auto"/>
              <w:rPr>
                <w:rFonts w:cs="Calibri"/>
                <w:b w:val="0"/>
                <w:bCs w:val="0"/>
                <w:sz w:val="22"/>
                <w:szCs w:val="22"/>
              </w:rPr>
            </w:pPr>
            <w:r w:rsidRPr="004F7CD3">
              <w:rPr>
                <w:rFonts w:cs="Calibri"/>
                <w:b w:val="0"/>
                <w:bCs w:val="0"/>
                <w:sz w:val="22"/>
                <w:szCs w:val="22"/>
              </w:rPr>
              <w:t>Obnovljivi izvori energije</w:t>
            </w:r>
          </w:p>
        </w:tc>
        <w:tc>
          <w:tcPr>
            <w:tcW w:w="1560" w:type="dxa"/>
          </w:tcPr>
          <w:p w14:paraId="3BF154FF" w14:textId="3A398361" w:rsidR="009E103D" w:rsidRPr="002762B8" w:rsidRDefault="00E746A4"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93,2</w:t>
            </w:r>
          </w:p>
        </w:tc>
      </w:tr>
      <w:tr w:rsidR="009E103D" w:rsidRPr="00032675" w14:paraId="7C7D6334" w14:textId="77777777" w:rsidTr="006B6D27">
        <w:tc>
          <w:tcPr>
            <w:cnfStyle w:val="001000000000" w:firstRow="0" w:lastRow="0" w:firstColumn="1" w:lastColumn="0" w:oddVBand="0" w:evenVBand="0" w:oddHBand="0" w:evenHBand="0" w:firstRowFirstColumn="0" w:firstRowLastColumn="0" w:lastRowFirstColumn="0" w:lastRowLastColumn="0"/>
            <w:tcW w:w="3543" w:type="dxa"/>
          </w:tcPr>
          <w:p w14:paraId="40CDFA95" w14:textId="4C4F3178" w:rsidR="009E103D" w:rsidRPr="004F7CD3" w:rsidDel="00E06738" w:rsidRDefault="009E103D" w:rsidP="00A817E1">
            <w:pPr>
              <w:keepNext/>
              <w:spacing w:after="0" w:line="276" w:lineRule="auto"/>
              <w:rPr>
                <w:rFonts w:cs="Calibri"/>
                <w:b w:val="0"/>
                <w:bCs w:val="0"/>
                <w:sz w:val="22"/>
                <w:szCs w:val="22"/>
              </w:rPr>
            </w:pPr>
            <w:r w:rsidRPr="004F7CD3">
              <w:rPr>
                <w:rFonts w:cs="Calibri"/>
                <w:b w:val="0"/>
                <w:bCs w:val="0"/>
                <w:sz w:val="22"/>
                <w:szCs w:val="22"/>
              </w:rPr>
              <w:t>Otpad neobnovljivi</w:t>
            </w:r>
          </w:p>
        </w:tc>
        <w:tc>
          <w:tcPr>
            <w:tcW w:w="1560" w:type="dxa"/>
          </w:tcPr>
          <w:p w14:paraId="39130BE2" w14:textId="49B1332E" w:rsidR="009E103D" w:rsidRPr="002762B8" w:rsidRDefault="009E103D"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2762B8">
              <w:rPr>
                <w:rFonts w:cs="Calibri"/>
                <w:sz w:val="22"/>
                <w:szCs w:val="22"/>
              </w:rPr>
              <w:t>1,9</w:t>
            </w:r>
          </w:p>
        </w:tc>
      </w:tr>
      <w:tr w:rsidR="009E103D" w:rsidRPr="00032675" w14:paraId="1E479C52" w14:textId="77777777" w:rsidTr="006B6D27">
        <w:tc>
          <w:tcPr>
            <w:cnfStyle w:val="001000000000" w:firstRow="0" w:lastRow="0" w:firstColumn="1" w:lastColumn="0" w:oddVBand="0" w:evenVBand="0" w:oddHBand="0" w:evenHBand="0" w:firstRowFirstColumn="0" w:firstRowLastColumn="0" w:lastRowFirstColumn="0" w:lastRowLastColumn="0"/>
            <w:tcW w:w="3543" w:type="dxa"/>
          </w:tcPr>
          <w:p w14:paraId="68DFD215" w14:textId="77777777" w:rsidR="009E103D" w:rsidRPr="004F7CD3" w:rsidRDefault="009E103D" w:rsidP="00A817E1">
            <w:pPr>
              <w:keepNext/>
              <w:spacing w:after="0" w:line="276" w:lineRule="auto"/>
              <w:rPr>
                <w:rFonts w:cs="Calibri"/>
                <w:b w:val="0"/>
                <w:bCs w:val="0"/>
                <w:sz w:val="22"/>
                <w:szCs w:val="22"/>
              </w:rPr>
            </w:pPr>
            <w:r w:rsidRPr="004F7CD3">
              <w:rPr>
                <w:rFonts w:cs="Calibri"/>
                <w:b w:val="0"/>
                <w:bCs w:val="0"/>
                <w:sz w:val="22"/>
                <w:szCs w:val="22"/>
              </w:rPr>
              <w:t>Električna energija</w:t>
            </w:r>
          </w:p>
        </w:tc>
        <w:tc>
          <w:tcPr>
            <w:tcW w:w="1560" w:type="dxa"/>
          </w:tcPr>
          <w:p w14:paraId="6D8B5F58" w14:textId="4A6965B3" w:rsidR="009E103D" w:rsidRPr="002762B8" w:rsidRDefault="003A1355"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16,9</w:t>
            </w:r>
          </w:p>
        </w:tc>
      </w:tr>
      <w:tr w:rsidR="009E103D" w:rsidRPr="00032675" w14:paraId="42248DA0" w14:textId="77777777" w:rsidTr="006B6D27">
        <w:tc>
          <w:tcPr>
            <w:cnfStyle w:val="001000000000" w:firstRow="0" w:lastRow="0" w:firstColumn="1" w:lastColumn="0" w:oddVBand="0" w:evenVBand="0" w:oddHBand="0" w:evenHBand="0" w:firstRowFirstColumn="0" w:firstRowLastColumn="0" w:lastRowFirstColumn="0" w:lastRowLastColumn="0"/>
            <w:tcW w:w="3543" w:type="dxa"/>
            <w:shd w:val="clear" w:color="auto" w:fill="D9D9D9" w:themeFill="background1" w:themeFillShade="D9"/>
          </w:tcPr>
          <w:p w14:paraId="7EA09D2D" w14:textId="77777777" w:rsidR="009E103D" w:rsidRPr="002762B8" w:rsidRDefault="009E103D" w:rsidP="00A817E1">
            <w:pPr>
              <w:keepNext/>
              <w:spacing w:after="0" w:line="276" w:lineRule="auto"/>
              <w:rPr>
                <w:rFonts w:cs="Calibri"/>
                <w:sz w:val="22"/>
                <w:szCs w:val="22"/>
              </w:rPr>
            </w:pPr>
            <w:r w:rsidRPr="002762B8">
              <w:rPr>
                <w:rFonts w:cs="Calibri"/>
                <w:sz w:val="22"/>
                <w:szCs w:val="22"/>
              </w:rPr>
              <w:t>NEPOSREDNA POTROŠNJA ENERGIJE</w:t>
            </w:r>
          </w:p>
        </w:tc>
        <w:tc>
          <w:tcPr>
            <w:tcW w:w="1560" w:type="dxa"/>
            <w:shd w:val="clear" w:color="auto" w:fill="D9D9D9" w:themeFill="background1" w:themeFillShade="D9"/>
          </w:tcPr>
          <w:p w14:paraId="72BAB9AF" w14:textId="5A4047CF" w:rsidR="009E103D" w:rsidRPr="002762B8" w:rsidRDefault="00CE3077"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b/>
                <w:sz w:val="22"/>
                <w:szCs w:val="22"/>
              </w:rPr>
            </w:pPr>
            <w:r>
              <w:rPr>
                <w:rFonts w:cs="Calibri"/>
                <w:sz w:val="22"/>
                <w:szCs w:val="22"/>
              </w:rPr>
              <w:t>280,9</w:t>
            </w:r>
          </w:p>
        </w:tc>
      </w:tr>
      <w:tr w:rsidR="009E103D" w:rsidRPr="00032675" w14:paraId="37F7DEE5" w14:textId="77777777" w:rsidTr="006B6D27">
        <w:tc>
          <w:tcPr>
            <w:cnfStyle w:val="001000000000" w:firstRow="0" w:lastRow="0" w:firstColumn="1" w:lastColumn="0" w:oddVBand="0" w:evenVBand="0" w:oddHBand="0" w:evenHBand="0" w:firstRowFirstColumn="0" w:firstRowLastColumn="0" w:lastRowFirstColumn="0" w:lastRowLastColumn="0"/>
            <w:tcW w:w="3543" w:type="dxa"/>
          </w:tcPr>
          <w:p w14:paraId="0F5A0780" w14:textId="77777777" w:rsidR="009E103D" w:rsidRPr="004F7CD3" w:rsidRDefault="009E103D" w:rsidP="00A817E1">
            <w:pPr>
              <w:keepNext/>
              <w:spacing w:after="0" w:line="276" w:lineRule="auto"/>
              <w:rPr>
                <w:rFonts w:cs="Calibri"/>
                <w:b w:val="0"/>
                <w:bCs w:val="0"/>
                <w:sz w:val="22"/>
                <w:szCs w:val="22"/>
              </w:rPr>
            </w:pPr>
            <w:r w:rsidRPr="004F7CD3">
              <w:rPr>
                <w:rFonts w:cs="Calibri"/>
                <w:b w:val="0"/>
                <w:bCs w:val="0"/>
                <w:sz w:val="22"/>
                <w:szCs w:val="22"/>
              </w:rPr>
              <w:t>Ugljen i koks</w:t>
            </w:r>
          </w:p>
        </w:tc>
        <w:tc>
          <w:tcPr>
            <w:tcW w:w="1560" w:type="dxa"/>
          </w:tcPr>
          <w:p w14:paraId="0BDE6650" w14:textId="5BF405C2" w:rsidR="009E103D" w:rsidRPr="002762B8" w:rsidRDefault="00CE3077"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3,4</w:t>
            </w:r>
          </w:p>
        </w:tc>
      </w:tr>
      <w:tr w:rsidR="009E103D" w:rsidRPr="00032675" w14:paraId="25E559D5" w14:textId="77777777" w:rsidTr="006B6D27">
        <w:tc>
          <w:tcPr>
            <w:cnfStyle w:val="001000000000" w:firstRow="0" w:lastRow="0" w:firstColumn="1" w:lastColumn="0" w:oddVBand="0" w:evenVBand="0" w:oddHBand="0" w:evenHBand="0" w:firstRowFirstColumn="0" w:firstRowLastColumn="0" w:lastRowFirstColumn="0" w:lastRowLastColumn="0"/>
            <w:tcW w:w="3543" w:type="dxa"/>
          </w:tcPr>
          <w:p w14:paraId="655D25C1" w14:textId="77777777" w:rsidR="009E103D" w:rsidRPr="004F7CD3" w:rsidRDefault="009E103D" w:rsidP="00A817E1">
            <w:pPr>
              <w:keepNext/>
              <w:spacing w:after="0" w:line="276" w:lineRule="auto"/>
              <w:rPr>
                <w:rFonts w:cs="Calibri"/>
                <w:b w:val="0"/>
                <w:bCs w:val="0"/>
                <w:sz w:val="22"/>
                <w:szCs w:val="22"/>
              </w:rPr>
            </w:pPr>
            <w:r w:rsidRPr="004F7CD3">
              <w:rPr>
                <w:rFonts w:cs="Calibri"/>
                <w:b w:val="0"/>
                <w:bCs w:val="0"/>
                <w:sz w:val="22"/>
                <w:szCs w:val="22"/>
              </w:rPr>
              <w:t>Tekuća goriva</w:t>
            </w:r>
          </w:p>
        </w:tc>
        <w:tc>
          <w:tcPr>
            <w:tcW w:w="1560" w:type="dxa"/>
          </w:tcPr>
          <w:p w14:paraId="417E59A5" w14:textId="1A3BD1F1" w:rsidR="009E103D" w:rsidRPr="002762B8" w:rsidRDefault="00CE3077"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117,1</w:t>
            </w:r>
          </w:p>
        </w:tc>
      </w:tr>
      <w:tr w:rsidR="009E103D" w:rsidRPr="00032675" w14:paraId="35182D97" w14:textId="77777777" w:rsidTr="006B6D27">
        <w:tc>
          <w:tcPr>
            <w:cnfStyle w:val="001000000000" w:firstRow="0" w:lastRow="0" w:firstColumn="1" w:lastColumn="0" w:oddVBand="0" w:evenVBand="0" w:oddHBand="0" w:evenHBand="0" w:firstRowFirstColumn="0" w:firstRowLastColumn="0" w:lastRowFirstColumn="0" w:lastRowLastColumn="0"/>
            <w:tcW w:w="3543" w:type="dxa"/>
          </w:tcPr>
          <w:p w14:paraId="6AB3FC3F" w14:textId="77777777" w:rsidR="009E103D" w:rsidRPr="004F7CD3" w:rsidRDefault="009E103D" w:rsidP="00A817E1">
            <w:pPr>
              <w:keepNext/>
              <w:spacing w:after="0" w:line="276" w:lineRule="auto"/>
              <w:rPr>
                <w:rFonts w:cs="Calibri"/>
                <w:b w:val="0"/>
                <w:bCs w:val="0"/>
                <w:sz w:val="22"/>
                <w:szCs w:val="22"/>
              </w:rPr>
            </w:pPr>
            <w:r w:rsidRPr="004F7CD3">
              <w:rPr>
                <w:rFonts w:cs="Calibri"/>
                <w:b w:val="0"/>
                <w:bCs w:val="0"/>
                <w:sz w:val="22"/>
                <w:szCs w:val="22"/>
              </w:rPr>
              <w:t>Prirodni plin</w:t>
            </w:r>
          </w:p>
        </w:tc>
        <w:tc>
          <w:tcPr>
            <w:tcW w:w="1560" w:type="dxa"/>
          </w:tcPr>
          <w:p w14:paraId="15E0DBC0" w14:textId="60347BE2" w:rsidR="009E103D" w:rsidRPr="002762B8" w:rsidRDefault="0072637A"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43,9</w:t>
            </w:r>
          </w:p>
        </w:tc>
      </w:tr>
      <w:tr w:rsidR="009E103D" w:rsidRPr="00032675" w14:paraId="571AF259" w14:textId="77777777" w:rsidTr="006B6D27">
        <w:tc>
          <w:tcPr>
            <w:cnfStyle w:val="001000000000" w:firstRow="0" w:lastRow="0" w:firstColumn="1" w:lastColumn="0" w:oddVBand="0" w:evenVBand="0" w:oddHBand="0" w:evenHBand="0" w:firstRowFirstColumn="0" w:firstRowLastColumn="0" w:lastRowFirstColumn="0" w:lastRowLastColumn="0"/>
            <w:tcW w:w="3543" w:type="dxa"/>
          </w:tcPr>
          <w:p w14:paraId="7B391831" w14:textId="333A5618" w:rsidR="009E103D" w:rsidRPr="004F7CD3" w:rsidRDefault="009E103D" w:rsidP="00A817E1">
            <w:pPr>
              <w:keepNext/>
              <w:spacing w:after="0" w:line="276" w:lineRule="auto"/>
              <w:rPr>
                <w:rFonts w:cs="Calibri"/>
                <w:b w:val="0"/>
                <w:bCs w:val="0"/>
                <w:sz w:val="22"/>
                <w:szCs w:val="22"/>
              </w:rPr>
            </w:pPr>
            <w:r w:rsidRPr="004F7CD3">
              <w:rPr>
                <w:rFonts w:cs="Calibri"/>
                <w:b w:val="0"/>
                <w:bCs w:val="0"/>
                <w:sz w:val="22"/>
                <w:szCs w:val="22"/>
              </w:rPr>
              <w:t>Obnovljivi izvori energije</w:t>
            </w:r>
          </w:p>
        </w:tc>
        <w:tc>
          <w:tcPr>
            <w:tcW w:w="1560" w:type="dxa"/>
          </w:tcPr>
          <w:p w14:paraId="58621B17" w14:textId="120EF873" w:rsidR="009E103D" w:rsidRPr="002762B8" w:rsidRDefault="0072637A"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45,7</w:t>
            </w:r>
          </w:p>
        </w:tc>
      </w:tr>
      <w:tr w:rsidR="009E103D" w:rsidRPr="00032675" w14:paraId="33C513B4" w14:textId="77777777" w:rsidTr="006B6D27">
        <w:tc>
          <w:tcPr>
            <w:cnfStyle w:val="001000000000" w:firstRow="0" w:lastRow="0" w:firstColumn="1" w:lastColumn="0" w:oddVBand="0" w:evenVBand="0" w:oddHBand="0" w:evenHBand="0" w:firstRowFirstColumn="0" w:firstRowLastColumn="0" w:lastRowFirstColumn="0" w:lastRowLastColumn="0"/>
            <w:tcW w:w="3543" w:type="dxa"/>
          </w:tcPr>
          <w:p w14:paraId="3B0AE929" w14:textId="31C80773" w:rsidR="009E103D" w:rsidRPr="004F7CD3" w:rsidRDefault="009E103D" w:rsidP="00A817E1">
            <w:pPr>
              <w:keepNext/>
              <w:spacing w:after="0" w:line="276" w:lineRule="auto"/>
              <w:rPr>
                <w:rFonts w:cs="Calibri"/>
                <w:b w:val="0"/>
                <w:bCs w:val="0"/>
                <w:sz w:val="22"/>
                <w:szCs w:val="22"/>
              </w:rPr>
            </w:pPr>
            <w:r w:rsidRPr="004F7CD3">
              <w:rPr>
                <w:rFonts w:cs="Calibri"/>
                <w:b w:val="0"/>
                <w:bCs w:val="0"/>
                <w:sz w:val="22"/>
                <w:szCs w:val="22"/>
              </w:rPr>
              <w:t>Otpad neobnovljivi</w:t>
            </w:r>
          </w:p>
        </w:tc>
        <w:tc>
          <w:tcPr>
            <w:tcW w:w="1560" w:type="dxa"/>
          </w:tcPr>
          <w:p w14:paraId="2C9FA396" w14:textId="3CD38A64" w:rsidR="009E103D" w:rsidRPr="002762B8" w:rsidRDefault="009E103D"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sidRPr="002762B8">
              <w:rPr>
                <w:rFonts w:cs="Calibri"/>
                <w:sz w:val="22"/>
                <w:szCs w:val="22"/>
              </w:rPr>
              <w:t>1,9</w:t>
            </w:r>
          </w:p>
        </w:tc>
      </w:tr>
      <w:tr w:rsidR="009E103D" w:rsidRPr="00032675" w14:paraId="7A552A7F" w14:textId="77777777" w:rsidTr="006B6D27">
        <w:tc>
          <w:tcPr>
            <w:cnfStyle w:val="001000000000" w:firstRow="0" w:lastRow="0" w:firstColumn="1" w:lastColumn="0" w:oddVBand="0" w:evenVBand="0" w:oddHBand="0" w:evenHBand="0" w:firstRowFirstColumn="0" w:firstRowLastColumn="0" w:lastRowFirstColumn="0" w:lastRowLastColumn="0"/>
            <w:tcW w:w="3543" w:type="dxa"/>
          </w:tcPr>
          <w:p w14:paraId="7B99BAD1" w14:textId="77777777" w:rsidR="009E103D" w:rsidRPr="004F7CD3" w:rsidRDefault="009E103D" w:rsidP="00A817E1">
            <w:pPr>
              <w:keepNext/>
              <w:spacing w:after="0" w:line="276" w:lineRule="auto"/>
              <w:rPr>
                <w:rFonts w:cs="Calibri"/>
                <w:b w:val="0"/>
                <w:bCs w:val="0"/>
                <w:sz w:val="22"/>
                <w:szCs w:val="22"/>
              </w:rPr>
            </w:pPr>
            <w:r w:rsidRPr="004F7CD3">
              <w:rPr>
                <w:rFonts w:cs="Calibri"/>
                <w:b w:val="0"/>
                <w:bCs w:val="0"/>
                <w:sz w:val="22"/>
                <w:szCs w:val="22"/>
              </w:rPr>
              <w:t>Električna energija</w:t>
            </w:r>
          </w:p>
        </w:tc>
        <w:tc>
          <w:tcPr>
            <w:tcW w:w="1560" w:type="dxa"/>
          </w:tcPr>
          <w:p w14:paraId="53A0D045" w14:textId="6BCEE69B" w:rsidR="009E103D" w:rsidRPr="002762B8" w:rsidRDefault="00501CDF"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58,5</w:t>
            </w:r>
          </w:p>
        </w:tc>
      </w:tr>
      <w:tr w:rsidR="009E103D" w:rsidRPr="00032675" w14:paraId="77A1263D" w14:textId="77777777" w:rsidTr="006B6D27">
        <w:tc>
          <w:tcPr>
            <w:cnfStyle w:val="001000000000" w:firstRow="0" w:lastRow="0" w:firstColumn="1" w:lastColumn="0" w:oddVBand="0" w:evenVBand="0" w:oddHBand="0" w:evenHBand="0" w:firstRowFirstColumn="0" w:firstRowLastColumn="0" w:lastRowFirstColumn="0" w:lastRowLastColumn="0"/>
            <w:tcW w:w="3543" w:type="dxa"/>
          </w:tcPr>
          <w:p w14:paraId="304C464B" w14:textId="77777777" w:rsidR="009E103D" w:rsidRPr="004F7CD3" w:rsidRDefault="009E103D" w:rsidP="00A817E1">
            <w:pPr>
              <w:keepNext/>
              <w:spacing w:after="0" w:line="276" w:lineRule="auto"/>
              <w:rPr>
                <w:rFonts w:cs="Calibri"/>
                <w:b w:val="0"/>
                <w:bCs w:val="0"/>
                <w:sz w:val="22"/>
                <w:szCs w:val="22"/>
              </w:rPr>
            </w:pPr>
            <w:r w:rsidRPr="004F7CD3">
              <w:rPr>
                <w:rFonts w:cs="Calibri"/>
                <w:b w:val="0"/>
                <w:bCs w:val="0"/>
                <w:sz w:val="22"/>
                <w:szCs w:val="22"/>
              </w:rPr>
              <w:t>Toplinska energija</w:t>
            </w:r>
          </w:p>
        </w:tc>
        <w:tc>
          <w:tcPr>
            <w:tcW w:w="1560" w:type="dxa"/>
          </w:tcPr>
          <w:p w14:paraId="79318455" w14:textId="0433D2C6" w:rsidR="009E103D" w:rsidRPr="002762B8" w:rsidRDefault="00501CDF" w:rsidP="00A817E1">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rFonts w:cs="Calibri"/>
                <w:sz w:val="22"/>
                <w:szCs w:val="22"/>
              </w:rPr>
            </w:pPr>
            <w:r>
              <w:rPr>
                <w:rFonts w:cs="Calibri"/>
                <w:sz w:val="22"/>
                <w:szCs w:val="22"/>
              </w:rPr>
              <w:t>10,4</w:t>
            </w:r>
          </w:p>
        </w:tc>
      </w:tr>
    </w:tbl>
    <w:p w14:paraId="2DAB9250" w14:textId="48F7BCE9" w:rsidR="00C21988" w:rsidRPr="00032675" w:rsidRDefault="00C21988" w:rsidP="004623DD">
      <w:pPr>
        <w:rPr>
          <w:i/>
          <w:iCs/>
          <w:sz w:val="20"/>
          <w:szCs w:val="20"/>
        </w:rPr>
      </w:pPr>
      <w:r w:rsidRPr="00032675">
        <w:rPr>
          <w:i/>
          <w:iCs/>
          <w:sz w:val="20"/>
          <w:szCs w:val="20"/>
        </w:rPr>
        <w:t>Izvor: Godišnji energetski pregled – Energija u Hrvatskoj 20</w:t>
      </w:r>
      <w:r w:rsidR="00DD6EFF" w:rsidRPr="00032675">
        <w:rPr>
          <w:i/>
          <w:iCs/>
          <w:sz w:val="20"/>
          <w:szCs w:val="20"/>
        </w:rPr>
        <w:t>2</w:t>
      </w:r>
      <w:r w:rsidR="00361985">
        <w:rPr>
          <w:i/>
          <w:iCs/>
          <w:sz w:val="20"/>
          <w:szCs w:val="20"/>
        </w:rPr>
        <w:t>2</w:t>
      </w:r>
      <w:r w:rsidRPr="00032675">
        <w:rPr>
          <w:i/>
          <w:iCs/>
          <w:sz w:val="20"/>
          <w:szCs w:val="20"/>
        </w:rPr>
        <w:t xml:space="preserve">., Ministarstvo </w:t>
      </w:r>
      <w:r w:rsidR="00DD6EFF" w:rsidRPr="00032675">
        <w:rPr>
          <w:i/>
          <w:iCs/>
          <w:sz w:val="20"/>
          <w:szCs w:val="20"/>
        </w:rPr>
        <w:t>gospodarstva</w:t>
      </w:r>
      <w:r w:rsidRPr="00032675">
        <w:rPr>
          <w:i/>
          <w:iCs/>
          <w:sz w:val="20"/>
          <w:szCs w:val="20"/>
        </w:rPr>
        <w:t>, prosinac 20</w:t>
      </w:r>
      <w:r w:rsidR="005D2DCB" w:rsidRPr="00032675">
        <w:rPr>
          <w:i/>
          <w:iCs/>
          <w:sz w:val="20"/>
          <w:szCs w:val="20"/>
        </w:rPr>
        <w:t>2</w:t>
      </w:r>
      <w:r w:rsidR="00361985">
        <w:rPr>
          <w:i/>
          <w:iCs/>
          <w:sz w:val="20"/>
          <w:szCs w:val="20"/>
        </w:rPr>
        <w:t>3</w:t>
      </w:r>
      <w:r w:rsidRPr="00032675">
        <w:rPr>
          <w:i/>
          <w:iCs/>
          <w:sz w:val="20"/>
          <w:szCs w:val="20"/>
        </w:rPr>
        <w:t>.</w:t>
      </w:r>
      <w:r w:rsidR="007C436C">
        <w:rPr>
          <w:i/>
          <w:iCs/>
          <w:sz w:val="20"/>
          <w:szCs w:val="20"/>
        </w:rPr>
        <w:t xml:space="preserve"> </w:t>
      </w:r>
      <w:r w:rsidR="007C436C" w:rsidRPr="007C436C">
        <w:rPr>
          <w:i/>
          <w:iCs/>
          <w:sz w:val="20"/>
          <w:szCs w:val="20"/>
        </w:rPr>
        <w:t>[10]</w:t>
      </w:r>
    </w:p>
    <w:p w14:paraId="6C58CA07" w14:textId="6D220492" w:rsidR="00202C7C" w:rsidRPr="00B47BDA" w:rsidRDefault="00202C7C" w:rsidP="005C2C7E">
      <w:pPr>
        <w:pStyle w:val="Heading4"/>
        <w:numPr>
          <w:ilvl w:val="3"/>
          <w:numId w:val="175"/>
        </w:numPr>
        <w:ind w:hanging="580"/>
      </w:pPr>
      <w:r w:rsidRPr="00B47BDA">
        <w:t xml:space="preserve">Trenutačni potencijal za primjenu visokoučinkovite kogeneracije i učinkovitog centraliziranog grijanja i hlađenja </w:t>
      </w:r>
    </w:p>
    <w:p w14:paraId="4A8447A6" w14:textId="284F7558" w:rsidR="00DE53F9" w:rsidRPr="00B47BDA" w:rsidRDefault="6C85FE01" w:rsidP="004623DD">
      <w:r>
        <w:t>Pokazatelji potencijala za primjenu visokoučinkovite kogeneracije i učinkovitog centraliziranog grijanja i hlađenja su preuzeti iz dokumenta „</w:t>
      </w:r>
      <w:r w:rsidR="197BABF3">
        <w:t>Sveobuhvatna procjena</w:t>
      </w:r>
      <w:r>
        <w:t xml:space="preserve"> potencijala za </w:t>
      </w:r>
      <w:r w:rsidR="197BABF3">
        <w:t xml:space="preserve">učinkovito grijanje </w:t>
      </w:r>
      <w:r w:rsidR="5CB1C0C9">
        <w:t>i</w:t>
      </w:r>
      <w:r w:rsidR="197BABF3">
        <w:t xml:space="preserve"> hlađenje</w:t>
      </w:r>
      <w:r>
        <w:t xml:space="preserve"> u </w:t>
      </w:r>
      <w:r w:rsidR="197BABF3">
        <w:t xml:space="preserve">Hrvatskoj prema </w:t>
      </w:r>
      <w:r w:rsidR="197BABF3" w:rsidRPr="008861CE">
        <w:t>Prilogu VIII. Direktive 2012/27/EU</w:t>
      </w:r>
      <w:r w:rsidR="09BB9AB2" w:rsidRPr="008861CE">
        <w:t xml:space="preserve"> o energetskoj </w:t>
      </w:r>
      <w:r w:rsidR="4630B6A0" w:rsidRPr="008861CE">
        <w:t>učinkovitosti</w:t>
      </w:r>
      <w:r w:rsidRPr="008861CE">
        <w:t xml:space="preserve">, iz </w:t>
      </w:r>
      <w:r w:rsidR="197BABF3" w:rsidRPr="008861CE">
        <w:t>srpnja</w:t>
      </w:r>
      <w:r w:rsidRPr="008861CE">
        <w:t xml:space="preserve"> 20</w:t>
      </w:r>
      <w:r w:rsidR="197BABF3" w:rsidRPr="008861CE">
        <w:t>21</w:t>
      </w:r>
      <w:r w:rsidRPr="008861CE">
        <w:t>. godine, koji je izrađen za potrebe Ministarstva gospodarstva sukladno članku 14.</w:t>
      </w:r>
      <w:r w:rsidR="268F8660" w:rsidRPr="008861CE">
        <w:t xml:space="preserve"> stavku 1.</w:t>
      </w:r>
      <w:r w:rsidRPr="008861CE">
        <w:t xml:space="preserve"> Direktive 2012/27/</w:t>
      </w:r>
      <w:r w:rsidR="7BBB208D" w:rsidRPr="008861CE">
        <w:t xml:space="preserve">EU </w:t>
      </w:r>
      <w:r w:rsidR="09BB9AB2" w:rsidRPr="008861CE">
        <w:t>o energetskoj učinkovitosti</w:t>
      </w:r>
      <w:r w:rsidRPr="008861CE">
        <w:t>.</w:t>
      </w:r>
    </w:p>
    <w:p w14:paraId="03029091" w14:textId="6803EA4B" w:rsidR="006B6D27" w:rsidRDefault="00C21988" w:rsidP="004623DD">
      <w:r w:rsidRPr="63259912">
        <w:t xml:space="preserve">Utvrđeni sveukupni (teorijski) potencijal za visokoučinkovita kogeneracijska postrojenja u Republici Hrvatskoj je sagledan kroz dva scenarija udjela budućih potrošača na centraliziranim toplinskim sustavima </w:t>
      </w:r>
      <w:r w:rsidR="00F65963" w:rsidRPr="63259912">
        <w:t xml:space="preserve">(CTS) </w:t>
      </w:r>
      <w:r w:rsidRPr="63259912">
        <w:t xml:space="preserve">s visokoučinkovitom kogeneracijom: </w:t>
      </w:r>
      <w:r w:rsidR="008117EC" w:rsidRPr="63259912">
        <w:t>referentn</w:t>
      </w:r>
      <w:r w:rsidR="00AD4606" w:rsidRPr="63259912">
        <w:t>om</w:t>
      </w:r>
      <w:r w:rsidRPr="63259912">
        <w:t xml:space="preserve"> i </w:t>
      </w:r>
      <w:r w:rsidR="00AD4606" w:rsidRPr="63259912">
        <w:t xml:space="preserve">SIM scenariju. Referentni </w:t>
      </w:r>
      <w:r w:rsidR="008117EC" w:rsidRPr="63259912">
        <w:t>odnosno BAU scenarij</w:t>
      </w:r>
      <w:r w:rsidR="00AD4606" w:rsidRPr="63259912">
        <w:t xml:space="preserve"> </w:t>
      </w:r>
      <w:r w:rsidR="008117EC" w:rsidRPr="63259912">
        <w:t>(engl. BAU – business as usual) podrazumijeva razvoj uz primjenu postojećih mjera</w:t>
      </w:r>
      <w:r w:rsidR="002D53A3" w:rsidRPr="63259912">
        <w:t>,</w:t>
      </w:r>
      <w:r w:rsidR="00AD4606" w:rsidRPr="63259912">
        <w:t xml:space="preserve"> dok </w:t>
      </w:r>
      <w:r w:rsidR="008117EC" w:rsidRPr="63259912">
        <w:t>SIM scenarij (SIM – scenarij s integriranim mjerama)</w:t>
      </w:r>
      <w:r w:rsidR="00467B5C" w:rsidRPr="63259912">
        <w:t xml:space="preserve"> </w:t>
      </w:r>
      <w:r w:rsidR="00D01CDB" w:rsidRPr="63259912">
        <w:t>uzima u obzir dodatne mjere</w:t>
      </w:r>
      <w:r w:rsidR="008117EC" w:rsidRPr="63259912">
        <w:t>.</w:t>
      </w:r>
    </w:p>
    <w:p w14:paraId="794033E8" w14:textId="77777777" w:rsidR="006B6D27" w:rsidRDefault="006B6D27">
      <w:pPr>
        <w:spacing w:after="0"/>
        <w:jc w:val="left"/>
      </w:pPr>
      <w:r>
        <w:br w:type="page"/>
      </w:r>
    </w:p>
    <w:p w14:paraId="2ECA9AB1" w14:textId="1A2F281E" w:rsidR="00916484" w:rsidRPr="00B47BDA" w:rsidDel="008E38EB" w:rsidRDefault="00916484" w:rsidP="004623DD">
      <w:pPr>
        <w:pStyle w:val="Caption"/>
      </w:pPr>
      <w:bookmarkStart w:id="599" w:name="_Toc193035969"/>
      <w:r w:rsidRPr="00B47BDA">
        <w:lastRenderedPageBreak/>
        <w:t xml:space="preserve">Tablica </w:t>
      </w:r>
      <w:r>
        <w:fldChar w:fldCharType="begin"/>
      </w:r>
      <w:r>
        <w:instrText>STYLEREF 1 \s</w:instrText>
      </w:r>
      <w:r>
        <w:fldChar w:fldCharType="separate"/>
      </w:r>
      <w:r w:rsidR="00AD324D">
        <w:rPr>
          <w:noProof/>
        </w:rPr>
        <w:t>4</w:t>
      </w:r>
      <w:r>
        <w:fldChar w:fldCharType="end"/>
      </w:r>
      <w:r w:rsidRPr="00B47BDA">
        <w:noBreakHyphen/>
      </w:r>
      <w:r>
        <w:fldChar w:fldCharType="begin"/>
      </w:r>
      <w:r>
        <w:instrText>SEQ Tablica \* ARABIC \s 1</w:instrText>
      </w:r>
      <w:r>
        <w:fldChar w:fldCharType="separate"/>
      </w:r>
      <w:r w:rsidR="00834255">
        <w:rPr>
          <w:noProof/>
        </w:rPr>
        <w:t>18</w:t>
      </w:r>
      <w:r>
        <w:fldChar w:fldCharType="end"/>
      </w:r>
      <w:r w:rsidRPr="00B47BDA">
        <w:t xml:space="preserve">. </w:t>
      </w:r>
      <w:r w:rsidR="004C4D59" w:rsidRPr="00B47BDA">
        <w:t>Ukupna godišnja isporučena energija na ulazu u distribucijsku mrežu centralnih toplinskih sustava u 2019., 2030. i 2050. godini – SIM scenarij</w:t>
      </w:r>
      <w:bookmarkEnd w:id="599"/>
    </w:p>
    <w:tbl>
      <w:tblPr>
        <w:tblW w:w="7508" w:type="dxa"/>
        <w:jc w:val="center"/>
        <w:tblLook w:val="04A0" w:firstRow="1" w:lastRow="0" w:firstColumn="1" w:lastColumn="0" w:noHBand="0" w:noVBand="1"/>
      </w:tblPr>
      <w:tblGrid>
        <w:gridCol w:w="3969"/>
        <w:gridCol w:w="1134"/>
        <w:gridCol w:w="1129"/>
        <w:gridCol w:w="1276"/>
      </w:tblGrid>
      <w:tr w:rsidR="00042536" w:rsidRPr="00032675" w14:paraId="4A13C97D" w14:textId="77777777" w:rsidTr="003A59A9">
        <w:trPr>
          <w:trHeight w:val="516"/>
          <w:jc w:val="center"/>
        </w:trPr>
        <w:tc>
          <w:tcPr>
            <w:tcW w:w="396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624732C" w14:textId="77777777" w:rsidR="00042536" w:rsidRPr="002762B8" w:rsidRDefault="00042536" w:rsidP="00167069">
            <w:pPr>
              <w:keepNext/>
              <w:spacing w:after="0" w:line="276" w:lineRule="auto"/>
              <w:rPr>
                <w:sz w:val="22"/>
                <w:szCs w:val="22"/>
              </w:rPr>
            </w:pPr>
            <w:r w:rsidRPr="002762B8">
              <w:rPr>
                <w:sz w:val="22"/>
                <w:szCs w:val="22"/>
              </w:rPr>
              <w:t>Naziv energenta/tehnologije</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3F630739" w14:textId="77777777" w:rsidR="00042536" w:rsidRPr="002762B8" w:rsidRDefault="00042536" w:rsidP="00167069">
            <w:pPr>
              <w:keepNext/>
              <w:spacing w:after="0" w:line="276" w:lineRule="auto"/>
              <w:jc w:val="center"/>
              <w:rPr>
                <w:b/>
                <w:sz w:val="22"/>
                <w:szCs w:val="22"/>
              </w:rPr>
            </w:pPr>
            <w:r w:rsidRPr="002762B8">
              <w:rPr>
                <w:b/>
                <w:sz w:val="22"/>
                <w:szCs w:val="22"/>
              </w:rPr>
              <w:t>2019.</w:t>
            </w:r>
          </w:p>
        </w:tc>
        <w:tc>
          <w:tcPr>
            <w:tcW w:w="1129"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5518DDF0" w14:textId="77777777" w:rsidR="00042536" w:rsidRPr="002762B8" w:rsidRDefault="00042536" w:rsidP="00167069">
            <w:pPr>
              <w:keepNext/>
              <w:spacing w:after="0" w:line="276" w:lineRule="auto"/>
              <w:jc w:val="center"/>
              <w:rPr>
                <w:b/>
                <w:sz w:val="22"/>
                <w:szCs w:val="22"/>
              </w:rPr>
            </w:pPr>
            <w:r w:rsidRPr="002762B8">
              <w:rPr>
                <w:b/>
                <w:sz w:val="22"/>
                <w:szCs w:val="22"/>
              </w:rPr>
              <w:t>SIM-2030</w:t>
            </w:r>
          </w:p>
        </w:tc>
        <w:tc>
          <w:tcPr>
            <w:tcW w:w="1276"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6071DEC" w14:textId="77777777" w:rsidR="00042536" w:rsidRPr="002762B8" w:rsidRDefault="00042536" w:rsidP="00167069">
            <w:pPr>
              <w:keepNext/>
              <w:spacing w:after="0" w:line="276" w:lineRule="auto"/>
              <w:jc w:val="center"/>
              <w:rPr>
                <w:b/>
                <w:sz w:val="22"/>
                <w:szCs w:val="22"/>
              </w:rPr>
            </w:pPr>
            <w:r w:rsidRPr="002762B8">
              <w:rPr>
                <w:b/>
                <w:sz w:val="22"/>
                <w:szCs w:val="22"/>
              </w:rPr>
              <w:t>SIM-2050</w:t>
            </w:r>
          </w:p>
        </w:tc>
      </w:tr>
      <w:tr w:rsidR="00042536" w:rsidRPr="00032675" w14:paraId="51844AF6" w14:textId="77777777" w:rsidTr="00032675">
        <w:trPr>
          <w:trHeight w:val="312"/>
          <w:jc w:val="center"/>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7425A9AE" w14:textId="77777777" w:rsidR="00042536" w:rsidRPr="002762B8" w:rsidRDefault="00042536" w:rsidP="00167069">
            <w:pPr>
              <w:keepNext/>
              <w:spacing w:after="0" w:line="276" w:lineRule="auto"/>
              <w:rPr>
                <w:sz w:val="22"/>
                <w:szCs w:val="22"/>
              </w:rPr>
            </w:pPr>
            <w:r w:rsidRPr="002762B8">
              <w:rPr>
                <w:sz w:val="22"/>
                <w:szCs w:val="22"/>
              </w:rPr>
              <w:t>CTS- prirodni plin (kotlovi, kogeneracija, visokoučinkovita kogeneracija)</w:t>
            </w:r>
          </w:p>
        </w:tc>
        <w:tc>
          <w:tcPr>
            <w:tcW w:w="1134" w:type="dxa"/>
            <w:tcBorders>
              <w:top w:val="nil"/>
              <w:left w:val="nil"/>
              <w:bottom w:val="single" w:sz="4" w:space="0" w:color="auto"/>
              <w:right w:val="single" w:sz="4" w:space="0" w:color="auto"/>
            </w:tcBorders>
            <w:shd w:val="clear" w:color="000000" w:fill="FFFFFF"/>
            <w:noWrap/>
            <w:vAlign w:val="center"/>
            <w:hideMark/>
          </w:tcPr>
          <w:p w14:paraId="63EB8047" w14:textId="77777777" w:rsidR="00042536" w:rsidRPr="002762B8" w:rsidRDefault="00042536" w:rsidP="00167069">
            <w:pPr>
              <w:keepNext/>
              <w:spacing w:after="0" w:line="276" w:lineRule="auto"/>
              <w:jc w:val="right"/>
              <w:rPr>
                <w:sz w:val="22"/>
                <w:szCs w:val="22"/>
              </w:rPr>
            </w:pPr>
            <w:r w:rsidRPr="002762B8">
              <w:rPr>
                <w:sz w:val="22"/>
                <w:szCs w:val="22"/>
              </w:rPr>
              <w:t>1.677,0</w:t>
            </w:r>
          </w:p>
        </w:tc>
        <w:tc>
          <w:tcPr>
            <w:tcW w:w="1129" w:type="dxa"/>
            <w:tcBorders>
              <w:top w:val="nil"/>
              <w:left w:val="nil"/>
              <w:bottom w:val="single" w:sz="4" w:space="0" w:color="auto"/>
              <w:right w:val="single" w:sz="4" w:space="0" w:color="auto"/>
            </w:tcBorders>
            <w:shd w:val="clear" w:color="auto" w:fill="auto"/>
            <w:noWrap/>
            <w:vAlign w:val="center"/>
            <w:hideMark/>
          </w:tcPr>
          <w:p w14:paraId="5CA51E99" w14:textId="77777777" w:rsidR="00042536" w:rsidRPr="002762B8" w:rsidRDefault="00042536" w:rsidP="00167069">
            <w:pPr>
              <w:keepNext/>
              <w:spacing w:after="0" w:line="276" w:lineRule="auto"/>
              <w:jc w:val="right"/>
              <w:rPr>
                <w:sz w:val="22"/>
                <w:szCs w:val="22"/>
              </w:rPr>
            </w:pPr>
            <w:r w:rsidRPr="002762B8">
              <w:rPr>
                <w:sz w:val="22"/>
                <w:szCs w:val="22"/>
              </w:rPr>
              <w:t>911,9</w:t>
            </w:r>
          </w:p>
        </w:tc>
        <w:tc>
          <w:tcPr>
            <w:tcW w:w="1276" w:type="dxa"/>
            <w:tcBorders>
              <w:top w:val="nil"/>
              <w:left w:val="nil"/>
              <w:bottom w:val="single" w:sz="4" w:space="0" w:color="auto"/>
              <w:right w:val="single" w:sz="4" w:space="0" w:color="auto"/>
            </w:tcBorders>
            <w:shd w:val="clear" w:color="auto" w:fill="auto"/>
            <w:noWrap/>
            <w:vAlign w:val="center"/>
            <w:hideMark/>
          </w:tcPr>
          <w:p w14:paraId="4593C89F" w14:textId="77777777" w:rsidR="00042536" w:rsidRPr="002762B8" w:rsidRDefault="00042536" w:rsidP="00167069">
            <w:pPr>
              <w:keepNext/>
              <w:spacing w:after="0" w:line="276" w:lineRule="auto"/>
              <w:jc w:val="right"/>
              <w:rPr>
                <w:sz w:val="22"/>
                <w:szCs w:val="22"/>
              </w:rPr>
            </w:pPr>
            <w:r w:rsidRPr="002762B8">
              <w:rPr>
                <w:sz w:val="22"/>
                <w:szCs w:val="22"/>
              </w:rPr>
              <w:t>437,4</w:t>
            </w:r>
          </w:p>
        </w:tc>
      </w:tr>
      <w:tr w:rsidR="00042536" w:rsidRPr="00032675" w14:paraId="23AF2FDD" w14:textId="77777777" w:rsidTr="00032675">
        <w:trPr>
          <w:trHeight w:val="312"/>
          <w:jc w:val="center"/>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5B3C98FB" w14:textId="77777777" w:rsidR="00042536" w:rsidRPr="002762B8" w:rsidRDefault="00042536" w:rsidP="00167069">
            <w:pPr>
              <w:keepNext/>
              <w:spacing w:after="0" w:line="276" w:lineRule="auto"/>
              <w:rPr>
                <w:sz w:val="22"/>
                <w:szCs w:val="22"/>
              </w:rPr>
            </w:pPr>
            <w:r w:rsidRPr="002762B8">
              <w:rPr>
                <w:sz w:val="22"/>
                <w:szCs w:val="22"/>
              </w:rPr>
              <w:t>CTS-kotlovi na loživo ulje</w:t>
            </w:r>
          </w:p>
        </w:tc>
        <w:tc>
          <w:tcPr>
            <w:tcW w:w="1134" w:type="dxa"/>
            <w:tcBorders>
              <w:top w:val="nil"/>
              <w:left w:val="nil"/>
              <w:bottom w:val="single" w:sz="4" w:space="0" w:color="auto"/>
              <w:right w:val="single" w:sz="4" w:space="0" w:color="auto"/>
            </w:tcBorders>
            <w:shd w:val="clear" w:color="000000" w:fill="FFFFFF"/>
            <w:noWrap/>
            <w:vAlign w:val="center"/>
            <w:hideMark/>
          </w:tcPr>
          <w:p w14:paraId="3EC5B850" w14:textId="77777777" w:rsidR="00042536" w:rsidRPr="002762B8" w:rsidRDefault="00042536" w:rsidP="00167069">
            <w:pPr>
              <w:keepNext/>
              <w:spacing w:after="0" w:line="276" w:lineRule="auto"/>
              <w:jc w:val="right"/>
              <w:rPr>
                <w:sz w:val="22"/>
                <w:szCs w:val="22"/>
              </w:rPr>
            </w:pPr>
            <w:r w:rsidRPr="002762B8">
              <w:rPr>
                <w:sz w:val="22"/>
                <w:szCs w:val="22"/>
              </w:rPr>
              <w:t>34,7</w:t>
            </w:r>
          </w:p>
        </w:tc>
        <w:tc>
          <w:tcPr>
            <w:tcW w:w="1129" w:type="dxa"/>
            <w:tcBorders>
              <w:top w:val="nil"/>
              <w:left w:val="nil"/>
              <w:bottom w:val="single" w:sz="4" w:space="0" w:color="auto"/>
              <w:right w:val="single" w:sz="4" w:space="0" w:color="auto"/>
            </w:tcBorders>
            <w:shd w:val="clear" w:color="auto" w:fill="auto"/>
            <w:noWrap/>
            <w:vAlign w:val="center"/>
            <w:hideMark/>
          </w:tcPr>
          <w:p w14:paraId="423CBAD1" w14:textId="77777777" w:rsidR="00042536" w:rsidRPr="002762B8" w:rsidRDefault="00042536" w:rsidP="00167069">
            <w:pPr>
              <w:keepNext/>
              <w:spacing w:after="0" w:line="276" w:lineRule="auto"/>
              <w:jc w:val="right"/>
              <w:rPr>
                <w:sz w:val="22"/>
                <w:szCs w:val="22"/>
              </w:rPr>
            </w:pPr>
            <w:r w:rsidRPr="002762B8">
              <w:rPr>
                <w:sz w:val="22"/>
                <w:szCs w:val="22"/>
              </w:rPr>
              <w:t>0,0</w:t>
            </w:r>
          </w:p>
        </w:tc>
        <w:tc>
          <w:tcPr>
            <w:tcW w:w="1276" w:type="dxa"/>
            <w:tcBorders>
              <w:top w:val="nil"/>
              <w:left w:val="nil"/>
              <w:bottom w:val="single" w:sz="4" w:space="0" w:color="auto"/>
              <w:right w:val="single" w:sz="4" w:space="0" w:color="auto"/>
            </w:tcBorders>
            <w:shd w:val="clear" w:color="auto" w:fill="auto"/>
            <w:noWrap/>
            <w:vAlign w:val="center"/>
            <w:hideMark/>
          </w:tcPr>
          <w:p w14:paraId="2ED7B107" w14:textId="77777777" w:rsidR="00042536" w:rsidRPr="002762B8" w:rsidRDefault="00042536" w:rsidP="00167069">
            <w:pPr>
              <w:keepNext/>
              <w:spacing w:after="0" w:line="276" w:lineRule="auto"/>
              <w:jc w:val="right"/>
              <w:rPr>
                <w:sz w:val="22"/>
                <w:szCs w:val="22"/>
              </w:rPr>
            </w:pPr>
            <w:r w:rsidRPr="002762B8">
              <w:rPr>
                <w:sz w:val="22"/>
                <w:szCs w:val="22"/>
              </w:rPr>
              <w:t>0,0</w:t>
            </w:r>
          </w:p>
        </w:tc>
      </w:tr>
      <w:tr w:rsidR="00042536" w:rsidRPr="00032675" w14:paraId="14203622" w14:textId="77777777" w:rsidTr="00032675">
        <w:trPr>
          <w:trHeight w:val="312"/>
          <w:jc w:val="center"/>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12CBEE5B" w14:textId="77777777" w:rsidR="00042536" w:rsidRPr="002762B8" w:rsidRDefault="00042536" w:rsidP="00167069">
            <w:pPr>
              <w:keepNext/>
              <w:spacing w:after="0" w:line="276" w:lineRule="auto"/>
              <w:rPr>
                <w:sz w:val="22"/>
                <w:szCs w:val="22"/>
              </w:rPr>
            </w:pPr>
            <w:r w:rsidRPr="002762B8">
              <w:rPr>
                <w:sz w:val="22"/>
                <w:szCs w:val="22"/>
              </w:rPr>
              <w:t>CTS-kotlovi na biomasu</w:t>
            </w:r>
          </w:p>
        </w:tc>
        <w:tc>
          <w:tcPr>
            <w:tcW w:w="1134" w:type="dxa"/>
            <w:tcBorders>
              <w:top w:val="nil"/>
              <w:left w:val="nil"/>
              <w:bottom w:val="single" w:sz="4" w:space="0" w:color="auto"/>
              <w:right w:val="single" w:sz="4" w:space="0" w:color="auto"/>
            </w:tcBorders>
            <w:shd w:val="clear" w:color="000000" w:fill="FFFFFF"/>
            <w:noWrap/>
            <w:vAlign w:val="center"/>
            <w:hideMark/>
          </w:tcPr>
          <w:p w14:paraId="3483CDF6" w14:textId="77777777" w:rsidR="00042536" w:rsidRPr="002762B8" w:rsidRDefault="00042536" w:rsidP="00167069">
            <w:pPr>
              <w:keepNext/>
              <w:spacing w:after="0" w:line="276" w:lineRule="auto"/>
              <w:jc w:val="right"/>
              <w:rPr>
                <w:sz w:val="22"/>
                <w:szCs w:val="22"/>
              </w:rPr>
            </w:pPr>
            <w:r w:rsidRPr="002762B8">
              <w:rPr>
                <w:sz w:val="22"/>
                <w:szCs w:val="22"/>
              </w:rPr>
              <w:t>3,8</w:t>
            </w:r>
          </w:p>
        </w:tc>
        <w:tc>
          <w:tcPr>
            <w:tcW w:w="1129" w:type="dxa"/>
            <w:tcBorders>
              <w:top w:val="nil"/>
              <w:left w:val="nil"/>
              <w:bottom w:val="single" w:sz="4" w:space="0" w:color="auto"/>
              <w:right w:val="single" w:sz="4" w:space="0" w:color="auto"/>
            </w:tcBorders>
            <w:shd w:val="clear" w:color="auto" w:fill="auto"/>
            <w:noWrap/>
            <w:vAlign w:val="center"/>
            <w:hideMark/>
          </w:tcPr>
          <w:p w14:paraId="3F8112FC" w14:textId="77777777" w:rsidR="00042536" w:rsidRPr="002762B8" w:rsidRDefault="00042536" w:rsidP="00167069">
            <w:pPr>
              <w:keepNext/>
              <w:spacing w:after="0" w:line="276" w:lineRule="auto"/>
              <w:jc w:val="right"/>
              <w:rPr>
                <w:sz w:val="22"/>
                <w:szCs w:val="22"/>
              </w:rPr>
            </w:pPr>
            <w:r w:rsidRPr="002762B8">
              <w:rPr>
                <w:sz w:val="22"/>
                <w:szCs w:val="22"/>
              </w:rPr>
              <w:t>7,0</w:t>
            </w:r>
          </w:p>
        </w:tc>
        <w:tc>
          <w:tcPr>
            <w:tcW w:w="1276" w:type="dxa"/>
            <w:tcBorders>
              <w:top w:val="nil"/>
              <w:left w:val="nil"/>
              <w:bottom w:val="single" w:sz="4" w:space="0" w:color="auto"/>
              <w:right w:val="single" w:sz="4" w:space="0" w:color="auto"/>
            </w:tcBorders>
            <w:shd w:val="clear" w:color="auto" w:fill="auto"/>
            <w:noWrap/>
            <w:vAlign w:val="center"/>
            <w:hideMark/>
          </w:tcPr>
          <w:p w14:paraId="55C2255D" w14:textId="77777777" w:rsidR="00042536" w:rsidRPr="002762B8" w:rsidRDefault="00042536" w:rsidP="00167069">
            <w:pPr>
              <w:keepNext/>
              <w:spacing w:after="0" w:line="276" w:lineRule="auto"/>
              <w:jc w:val="right"/>
              <w:rPr>
                <w:sz w:val="22"/>
                <w:szCs w:val="22"/>
              </w:rPr>
            </w:pPr>
            <w:r w:rsidRPr="002762B8">
              <w:rPr>
                <w:sz w:val="22"/>
                <w:szCs w:val="22"/>
              </w:rPr>
              <w:t>13,3</w:t>
            </w:r>
          </w:p>
        </w:tc>
      </w:tr>
      <w:tr w:rsidR="00042536" w:rsidRPr="00032675" w14:paraId="2B080CD2" w14:textId="77777777" w:rsidTr="00032675">
        <w:trPr>
          <w:trHeight w:val="312"/>
          <w:jc w:val="center"/>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32C9658F" w14:textId="77777777" w:rsidR="00042536" w:rsidRPr="002762B8" w:rsidRDefault="00042536" w:rsidP="00167069">
            <w:pPr>
              <w:keepNext/>
              <w:spacing w:after="0" w:line="276" w:lineRule="auto"/>
              <w:rPr>
                <w:sz w:val="22"/>
                <w:szCs w:val="22"/>
              </w:rPr>
            </w:pPr>
            <w:r w:rsidRPr="002762B8">
              <w:rPr>
                <w:sz w:val="22"/>
                <w:szCs w:val="22"/>
              </w:rPr>
              <w:t>CTS-biomasa-visokoučinkovita kogeneracija</w:t>
            </w:r>
          </w:p>
        </w:tc>
        <w:tc>
          <w:tcPr>
            <w:tcW w:w="1134" w:type="dxa"/>
            <w:tcBorders>
              <w:top w:val="nil"/>
              <w:left w:val="nil"/>
              <w:bottom w:val="single" w:sz="4" w:space="0" w:color="auto"/>
              <w:right w:val="single" w:sz="4" w:space="0" w:color="auto"/>
            </w:tcBorders>
            <w:shd w:val="clear" w:color="000000" w:fill="FFFFFF"/>
            <w:noWrap/>
            <w:vAlign w:val="center"/>
            <w:hideMark/>
          </w:tcPr>
          <w:p w14:paraId="7349E30E" w14:textId="77777777" w:rsidR="00042536" w:rsidRPr="002762B8" w:rsidRDefault="00042536" w:rsidP="00167069">
            <w:pPr>
              <w:keepNext/>
              <w:spacing w:after="0" w:line="276" w:lineRule="auto"/>
              <w:jc w:val="right"/>
              <w:rPr>
                <w:sz w:val="22"/>
                <w:szCs w:val="22"/>
              </w:rPr>
            </w:pPr>
            <w:r w:rsidRPr="002762B8">
              <w:rPr>
                <w:sz w:val="22"/>
                <w:szCs w:val="22"/>
              </w:rPr>
              <w:t>105,5</w:t>
            </w:r>
          </w:p>
        </w:tc>
        <w:tc>
          <w:tcPr>
            <w:tcW w:w="1129" w:type="dxa"/>
            <w:tcBorders>
              <w:top w:val="nil"/>
              <w:left w:val="nil"/>
              <w:bottom w:val="single" w:sz="4" w:space="0" w:color="auto"/>
              <w:right w:val="single" w:sz="4" w:space="0" w:color="auto"/>
            </w:tcBorders>
            <w:shd w:val="clear" w:color="auto" w:fill="auto"/>
            <w:noWrap/>
            <w:vAlign w:val="center"/>
            <w:hideMark/>
          </w:tcPr>
          <w:p w14:paraId="7498948E" w14:textId="77777777" w:rsidR="00042536" w:rsidRPr="002762B8" w:rsidRDefault="00042536" w:rsidP="00167069">
            <w:pPr>
              <w:keepNext/>
              <w:spacing w:after="0" w:line="276" w:lineRule="auto"/>
              <w:jc w:val="right"/>
              <w:rPr>
                <w:sz w:val="22"/>
                <w:szCs w:val="22"/>
              </w:rPr>
            </w:pPr>
            <w:r w:rsidRPr="002762B8">
              <w:rPr>
                <w:sz w:val="22"/>
                <w:szCs w:val="22"/>
              </w:rPr>
              <w:t>150,0</w:t>
            </w:r>
          </w:p>
        </w:tc>
        <w:tc>
          <w:tcPr>
            <w:tcW w:w="1276" w:type="dxa"/>
            <w:tcBorders>
              <w:top w:val="nil"/>
              <w:left w:val="nil"/>
              <w:bottom w:val="single" w:sz="4" w:space="0" w:color="auto"/>
              <w:right w:val="single" w:sz="4" w:space="0" w:color="auto"/>
            </w:tcBorders>
            <w:shd w:val="clear" w:color="auto" w:fill="auto"/>
            <w:noWrap/>
            <w:vAlign w:val="center"/>
            <w:hideMark/>
          </w:tcPr>
          <w:p w14:paraId="1C881130" w14:textId="77777777" w:rsidR="00042536" w:rsidRPr="002762B8" w:rsidRDefault="00042536" w:rsidP="00167069">
            <w:pPr>
              <w:keepNext/>
              <w:spacing w:after="0" w:line="276" w:lineRule="auto"/>
              <w:jc w:val="right"/>
              <w:rPr>
                <w:sz w:val="22"/>
                <w:szCs w:val="22"/>
              </w:rPr>
            </w:pPr>
            <w:r w:rsidRPr="002762B8">
              <w:rPr>
                <w:sz w:val="22"/>
                <w:szCs w:val="22"/>
              </w:rPr>
              <w:t>256,3</w:t>
            </w:r>
          </w:p>
        </w:tc>
      </w:tr>
      <w:tr w:rsidR="00042536" w:rsidRPr="00032675" w14:paraId="6B2506E3" w14:textId="77777777" w:rsidTr="00032675">
        <w:trPr>
          <w:trHeight w:val="312"/>
          <w:jc w:val="center"/>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6EE09879" w14:textId="77777777" w:rsidR="00042536" w:rsidRPr="002762B8" w:rsidRDefault="00042536" w:rsidP="00167069">
            <w:pPr>
              <w:keepNext/>
              <w:spacing w:after="0" w:line="276" w:lineRule="auto"/>
              <w:rPr>
                <w:sz w:val="22"/>
                <w:szCs w:val="22"/>
              </w:rPr>
            </w:pPr>
            <w:r w:rsidRPr="002762B8">
              <w:rPr>
                <w:sz w:val="22"/>
                <w:szCs w:val="22"/>
              </w:rPr>
              <w:t>CTS-Sunčeva energija</w:t>
            </w:r>
          </w:p>
        </w:tc>
        <w:tc>
          <w:tcPr>
            <w:tcW w:w="1134" w:type="dxa"/>
            <w:tcBorders>
              <w:top w:val="nil"/>
              <w:left w:val="nil"/>
              <w:bottom w:val="single" w:sz="4" w:space="0" w:color="auto"/>
              <w:right w:val="single" w:sz="4" w:space="0" w:color="auto"/>
            </w:tcBorders>
            <w:shd w:val="clear" w:color="000000" w:fill="FFFFFF"/>
            <w:noWrap/>
            <w:vAlign w:val="center"/>
            <w:hideMark/>
          </w:tcPr>
          <w:p w14:paraId="39463F09" w14:textId="77777777" w:rsidR="00042536" w:rsidRPr="002762B8" w:rsidRDefault="00042536" w:rsidP="00167069">
            <w:pPr>
              <w:keepNext/>
              <w:spacing w:after="0" w:line="276" w:lineRule="auto"/>
              <w:jc w:val="right"/>
              <w:rPr>
                <w:sz w:val="22"/>
                <w:szCs w:val="22"/>
              </w:rPr>
            </w:pPr>
            <w:r w:rsidRPr="002762B8">
              <w:rPr>
                <w:sz w:val="22"/>
                <w:szCs w:val="22"/>
              </w:rPr>
              <w:t>2,1</w:t>
            </w:r>
          </w:p>
        </w:tc>
        <w:tc>
          <w:tcPr>
            <w:tcW w:w="1129" w:type="dxa"/>
            <w:tcBorders>
              <w:top w:val="nil"/>
              <w:left w:val="nil"/>
              <w:bottom w:val="single" w:sz="4" w:space="0" w:color="auto"/>
              <w:right w:val="single" w:sz="4" w:space="0" w:color="auto"/>
            </w:tcBorders>
            <w:shd w:val="clear" w:color="000000" w:fill="FFFFFF"/>
            <w:noWrap/>
            <w:vAlign w:val="center"/>
            <w:hideMark/>
          </w:tcPr>
          <w:p w14:paraId="56ED1775" w14:textId="77777777" w:rsidR="00042536" w:rsidRPr="002762B8" w:rsidRDefault="00042536" w:rsidP="00167069">
            <w:pPr>
              <w:keepNext/>
              <w:spacing w:after="0" w:line="276" w:lineRule="auto"/>
              <w:jc w:val="right"/>
              <w:rPr>
                <w:sz w:val="22"/>
                <w:szCs w:val="22"/>
              </w:rPr>
            </w:pPr>
            <w:r w:rsidRPr="002762B8">
              <w:rPr>
                <w:sz w:val="22"/>
                <w:szCs w:val="22"/>
              </w:rPr>
              <w:t>24,8</w:t>
            </w:r>
          </w:p>
        </w:tc>
        <w:tc>
          <w:tcPr>
            <w:tcW w:w="1276" w:type="dxa"/>
            <w:tcBorders>
              <w:top w:val="nil"/>
              <w:left w:val="nil"/>
              <w:bottom w:val="single" w:sz="4" w:space="0" w:color="auto"/>
              <w:right w:val="single" w:sz="4" w:space="0" w:color="auto"/>
            </w:tcBorders>
            <w:shd w:val="clear" w:color="000000" w:fill="FFFFFF"/>
            <w:noWrap/>
            <w:vAlign w:val="center"/>
            <w:hideMark/>
          </w:tcPr>
          <w:p w14:paraId="60A9BF84" w14:textId="77777777" w:rsidR="00042536" w:rsidRPr="002762B8" w:rsidRDefault="00042536" w:rsidP="00167069">
            <w:pPr>
              <w:keepNext/>
              <w:spacing w:after="0" w:line="276" w:lineRule="auto"/>
              <w:jc w:val="right"/>
              <w:rPr>
                <w:sz w:val="22"/>
                <w:szCs w:val="22"/>
              </w:rPr>
            </w:pPr>
            <w:r w:rsidRPr="002762B8">
              <w:rPr>
                <w:sz w:val="22"/>
                <w:szCs w:val="22"/>
              </w:rPr>
              <w:t>33,5</w:t>
            </w:r>
          </w:p>
        </w:tc>
      </w:tr>
      <w:tr w:rsidR="00042536" w:rsidRPr="00032675" w14:paraId="7CE86AB9" w14:textId="77777777" w:rsidTr="00032675">
        <w:trPr>
          <w:trHeight w:val="312"/>
          <w:jc w:val="center"/>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06862DCD" w14:textId="77777777" w:rsidR="00042536" w:rsidRPr="002762B8" w:rsidRDefault="00042536" w:rsidP="00167069">
            <w:pPr>
              <w:keepNext/>
              <w:spacing w:after="0" w:line="276" w:lineRule="auto"/>
              <w:rPr>
                <w:sz w:val="22"/>
                <w:szCs w:val="22"/>
              </w:rPr>
            </w:pPr>
            <w:r w:rsidRPr="002762B8">
              <w:rPr>
                <w:sz w:val="22"/>
                <w:szCs w:val="22"/>
              </w:rPr>
              <w:t>CTS-geotermalna energija</w:t>
            </w:r>
          </w:p>
        </w:tc>
        <w:tc>
          <w:tcPr>
            <w:tcW w:w="1134" w:type="dxa"/>
            <w:tcBorders>
              <w:top w:val="nil"/>
              <w:left w:val="nil"/>
              <w:bottom w:val="single" w:sz="4" w:space="0" w:color="auto"/>
              <w:right w:val="single" w:sz="4" w:space="0" w:color="auto"/>
            </w:tcBorders>
            <w:shd w:val="clear" w:color="auto" w:fill="auto"/>
            <w:noWrap/>
            <w:vAlign w:val="center"/>
          </w:tcPr>
          <w:p w14:paraId="6497C459" w14:textId="196CE3E7" w:rsidR="00042536" w:rsidRPr="002762B8" w:rsidRDefault="00042536" w:rsidP="00167069">
            <w:pPr>
              <w:keepNext/>
              <w:spacing w:after="0" w:line="276" w:lineRule="auto"/>
              <w:jc w:val="right"/>
              <w:rPr>
                <w:sz w:val="22"/>
                <w:szCs w:val="22"/>
              </w:rPr>
            </w:pPr>
          </w:p>
        </w:tc>
        <w:tc>
          <w:tcPr>
            <w:tcW w:w="1129" w:type="dxa"/>
            <w:tcBorders>
              <w:top w:val="nil"/>
              <w:left w:val="nil"/>
              <w:bottom w:val="single" w:sz="4" w:space="0" w:color="auto"/>
              <w:right w:val="single" w:sz="4" w:space="0" w:color="auto"/>
            </w:tcBorders>
            <w:shd w:val="clear" w:color="000000" w:fill="FFFFFF"/>
            <w:noWrap/>
            <w:vAlign w:val="center"/>
            <w:hideMark/>
          </w:tcPr>
          <w:p w14:paraId="2D5470FC" w14:textId="77777777" w:rsidR="00042536" w:rsidRPr="002762B8" w:rsidRDefault="00042536" w:rsidP="00167069">
            <w:pPr>
              <w:keepNext/>
              <w:spacing w:after="0" w:line="276" w:lineRule="auto"/>
              <w:jc w:val="right"/>
              <w:rPr>
                <w:sz w:val="22"/>
                <w:szCs w:val="22"/>
              </w:rPr>
            </w:pPr>
            <w:r w:rsidRPr="002762B8">
              <w:rPr>
                <w:sz w:val="22"/>
                <w:szCs w:val="22"/>
              </w:rPr>
              <w:t>422,3</w:t>
            </w:r>
          </w:p>
        </w:tc>
        <w:tc>
          <w:tcPr>
            <w:tcW w:w="1276" w:type="dxa"/>
            <w:tcBorders>
              <w:top w:val="nil"/>
              <w:left w:val="nil"/>
              <w:bottom w:val="single" w:sz="4" w:space="0" w:color="auto"/>
              <w:right w:val="single" w:sz="4" w:space="0" w:color="auto"/>
            </w:tcBorders>
            <w:shd w:val="clear" w:color="000000" w:fill="FFFFFF"/>
            <w:noWrap/>
            <w:vAlign w:val="center"/>
            <w:hideMark/>
          </w:tcPr>
          <w:p w14:paraId="1B7F478B" w14:textId="77777777" w:rsidR="00042536" w:rsidRPr="002762B8" w:rsidRDefault="00042536" w:rsidP="00167069">
            <w:pPr>
              <w:keepNext/>
              <w:spacing w:after="0" w:line="276" w:lineRule="auto"/>
              <w:jc w:val="right"/>
              <w:rPr>
                <w:sz w:val="22"/>
                <w:szCs w:val="22"/>
              </w:rPr>
            </w:pPr>
            <w:r w:rsidRPr="002762B8">
              <w:rPr>
                <w:sz w:val="22"/>
                <w:szCs w:val="22"/>
              </w:rPr>
              <w:t>477,1</w:t>
            </w:r>
          </w:p>
        </w:tc>
      </w:tr>
      <w:tr w:rsidR="00042536" w:rsidRPr="00032675" w14:paraId="53D1351C" w14:textId="77777777" w:rsidTr="00032675">
        <w:trPr>
          <w:trHeight w:val="312"/>
          <w:jc w:val="center"/>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7B532321" w14:textId="77777777" w:rsidR="00042536" w:rsidRPr="002762B8" w:rsidRDefault="00042536" w:rsidP="00167069">
            <w:pPr>
              <w:keepNext/>
              <w:spacing w:after="0" w:line="276" w:lineRule="auto"/>
              <w:rPr>
                <w:sz w:val="22"/>
                <w:szCs w:val="22"/>
              </w:rPr>
            </w:pPr>
            <w:r w:rsidRPr="002762B8">
              <w:rPr>
                <w:sz w:val="22"/>
                <w:szCs w:val="22"/>
              </w:rPr>
              <w:t>CTS-dizalice topline - pogonska električna</w:t>
            </w:r>
          </w:p>
        </w:tc>
        <w:tc>
          <w:tcPr>
            <w:tcW w:w="1134" w:type="dxa"/>
            <w:tcBorders>
              <w:top w:val="nil"/>
              <w:left w:val="nil"/>
              <w:bottom w:val="single" w:sz="4" w:space="0" w:color="auto"/>
              <w:right w:val="single" w:sz="4" w:space="0" w:color="auto"/>
            </w:tcBorders>
            <w:shd w:val="clear" w:color="auto" w:fill="auto"/>
            <w:noWrap/>
            <w:vAlign w:val="center"/>
          </w:tcPr>
          <w:p w14:paraId="3F77A6CB" w14:textId="016FC720" w:rsidR="00042536" w:rsidRPr="002762B8" w:rsidRDefault="00042536" w:rsidP="00167069">
            <w:pPr>
              <w:keepNext/>
              <w:spacing w:after="0" w:line="276" w:lineRule="auto"/>
              <w:jc w:val="right"/>
              <w:rPr>
                <w:sz w:val="22"/>
                <w:szCs w:val="22"/>
              </w:rPr>
            </w:pPr>
          </w:p>
        </w:tc>
        <w:tc>
          <w:tcPr>
            <w:tcW w:w="1129" w:type="dxa"/>
            <w:tcBorders>
              <w:top w:val="nil"/>
              <w:left w:val="nil"/>
              <w:bottom w:val="single" w:sz="4" w:space="0" w:color="auto"/>
              <w:right w:val="single" w:sz="4" w:space="0" w:color="auto"/>
            </w:tcBorders>
            <w:shd w:val="clear" w:color="000000" w:fill="FFFFFF"/>
            <w:noWrap/>
            <w:vAlign w:val="center"/>
            <w:hideMark/>
          </w:tcPr>
          <w:p w14:paraId="6C4692AF" w14:textId="77777777" w:rsidR="00042536" w:rsidRPr="002762B8" w:rsidRDefault="00042536" w:rsidP="00167069">
            <w:pPr>
              <w:keepNext/>
              <w:spacing w:after="0" w:line="276" w:lineRule="auto"/>
              <w:jc w:val="right"/>
              <w:rPr>
                <w:sz w:val="22"/>
                <w:szCs w:val="22"/>
              </w:rPr>
            </w:pPr>
            <w:r w:rsidRPr="002762B8">
              <w:rPr>
                <w:sz w:val="22"/>
                <w:szCs w:val="22"/>
              </w:rPr>
              <w:t>14,2</w:t>
            </w:r>
          </w:p>
        </w:tc>
        <w:tc>
          <w:tcPr>
            <w:tcW w:w="1276" w:type="dxa"/>
            <w:tcBorders>
              <w:top w:val="nil"/>
              <w:left w:val="nil"/>
              <w:bottom w:val="single" w:sz="4" w:space="0" w:color="auto"/>
              <w:right w:val="single" w:sz="4" w:space="0" w:color="auto"/>
            </w:tcBorders>
            <w:shd w:val="clear" w:color="000000" w:fill="FFFFFF"/>
            <w:noWrap/>
            <w:vAlign w:val="center"/>
            <w:hideMark/>
          </w:tcPr>
          <w:p w14:paraId="6A7634B7" w14:textId="77777777" w:rsidR="00042536" w:rsidRPr="002762B8" w:rsidRDefault="00042536" w:rsidP="00167069">
            <w:pPr>
              <w:keepNext/>
              <w:spacing w:after="0" w:line="276" w:lineRule="auto"/>
              <w:jc w:val="right"/>
              <w:rPr>
                <w:sz w:val="22"/>
                <w:szCs w:val="22"/>
              </w:rPr>
            </w:pPr>
            <w:r w:rsidRPr="002762B8">
              <w:rPr>
                <w:sz w:val="22"/>
                <w:szCs w:val="22"/>
              </w:rPr>
              <w:t>24,2</w:t>
            </w:r>
          </w:p>
        </w:tc>
      </w:tr>
      <w:tr w:rsidR="00042536" w:rsidRPr="00032675" w14:paraId="6055FD85" w14:textId="77777777" w:rsidTr="00032675">
        <w:trPr>
          <w:trHeight w:val="312"/>
          <w:jc w:val="center"/>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1BEF4AD7" w14:textId="77777777" w:rsidR="00042536" w:rsidRPr="002762B8" w:rsidRDefault="00042536" w:rsidP="00167069">
            <w:pPr>
              <w:keepNext/>
              <w:spacing w:after="0" w:line="276" w:lineRule="auto"/>
              <w:rPr>
                <w:sz w:val="22"/>
                <w:szCs w:val="22"/>
              </w:rPr>
            </w:pPr>
            <w:r w:rsidRPr="002762B8">
              <w:rPr>
                <w:sz w:val="22"/>
                <w:szCs w:val="22"/>
              </w:rPr>
              <w:t>CTS-dizalice topline - OIE iz okoliša</w:t>
            </w:r>
          </w:p>
        </w:tc>
        <w:tc>
          <w:tcPr>
            <w:tcW w:w="1134" w:type="dxa"/>
            <w:tcBorders>
              <w:top w:val="nil"/>
              <w:left w:val="nil"/>
              <w:bottom w:val="single" w:sz="4" w:space="0" w:color="auto"/>
              <w:right w:val="single" w:sz="4" w:space="0" w:color="auto"/>
            </w:tcBorders>
            <w:shd w:val="clear" w:color="auto" w:fill="auto"/>
            <w:noWrap/>
            <w:vAlign w:val="center"/>
          </w:tcPr>
          <w:p w14:paraId="4616E183" w14:textId="3836BE90" w:rsidR="00042536" w:rsidRPr="002762B8" w:rsidRDefault="00042536" w:rsidP="00167069">
            <w:pPr>
              <w:keepNext/>
              <w:spacing w:after="0" w:line="276" w:lineRule="auto"/>
              <w:jc w:val="right"/>
              <w:rPr>
                <w:sz w:val="22"/>
                <w:szCs w:val="22"/>
              </w:rPr>
            </w:pPr>
          </w:p>
        </w:tc>
        <w:tc>
          <w:tcPr>
            <w:tcW w:w="1129" w:type="dxa"/>
            <w:tcBorders>
              <w:top w:val="nil"/>
              <w:left w:val="nil"/>
              <w:bottom w:val="single" w:sz="4" w:space="0" w:color="auto"/>
              <w:right w:val="single" w:sz="4" w:space="0" w:color="auto"/>
            </w:tcBorders>
            <w:shd w:val="clear" w:color="000000" w:fill="FFFFFF"/>
            <w:noWrap/>
            <w:vAlign w:val="center"/>
            <w:hideMark/>
          </w:tcPr>
          <w:p w14:paraId="76D63C66" w14:textId="77777777" w:rsidR="00042536" w:rsidRPr="002762B8" w:rsidRDefault="00042536" w:rsidP="00167069">
            <w:pPr>
              <w:keepNext/>
              <w:spacing w:after="0" w:line="276" w:lineRule="auto"/>
              <w:jc w:val="right"/>
              <w:rPr>
                <w:sz w:val="22"/>
                <w:szCs w:val="22"/>
              </w:rPr>
            </w:pPr>
            <w:r w:rsidRPr="002762B8">
              <w:rPr>
                <w:sz w:val="22"/>
                <w:szCs w:val="22"/>
              </w:rPr>
              <w:t>48,3</w:t>
            </w:r>
          </w:p>
        </w:tc>
        <w:tc>
          <w:tcPr>
            <w:tcW w:w="1276" w:type="dxa"/>
            <w:tcBorders>
              <w:top w:val="nil"/>
              <w:left w:val="nil"/>
              <w:bottom w:val="single" w:sz="4" w:space="0" w:color="auto"/>
              <w:right w:val="single" w:sz="4" w:space="0" w:color="auto"/>
            </w:tcBorders>
            <w:shd w:val="clear" w:color="000000" w:fill="FFFFFF"/>
            <w:noWrap/>
            <w:vAlign w:val="center"/>
            <w:hideMark/>
          </w:tcPr>
          <w:p w14:paraId="13D7FEC8" w14:textId="77777777" w:rsidR="00042536" w:rsidRPr="002762B8" w:rsidRDefault="00042536" w:rsidP="00167069">
            <w:pPr>
              <w:keepNext/>
              <w:spacing w:after="0" w:line="276" w:lineRule="auto"/>
              <w:jc w:val="right"/>
              <w:rPr>
                <w:sz w:val="22"/>
                <w:szCs w:val="22"/>
              </w:rPr>
            </w:pPr>
            <w:r w:rsidRPr="002762B8">
              <w:rPr>
                <w:sz w:val="22"/>
                <w:szCs w:val="22"/>
              </w:rPr>
              <w:t>82,1</w:t>
            </w:r>
          </w:p>
        </w:tc>
      </w:tr>
      <w:tr w:rsidR="00042536" w:rsidRPr="00032675" w14:paraId="5C91D055" w14:textId="77777777" w:rsidTr="00032675">
        <w:trPr>
          <w:trHeight w:val="312"/>
          <w:jc w:val="center"/>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5DEBC05D" w14:textId="77777777" w:rsidR="00042536" w:rsidRPr="002762B8" w:rsidRDefault="00042536" w:rsidP="00167069">
            <w:pPr>
              <w:keepNext/>
              <w:spacing w:after="0" w:line="276" w:lineRule="auto"/>
              <w:rPr>
                <w:sz w:val="22"/>
                <w:szCs w:val="22"/>
              </w:rPr>
            </w:pPr>
            <w:r w:rsidRPr="002762B8">
              <w:rPr>
                <w:sz w:val="22"/>
                <w:szCs w:val="22"/>
              </w:rPr>
              <w:t>CTS-otpadna toplina iz industrije</w:t>
            </w:r>
          </w:p>
        </w:tc>
        <w:tc>
          <w:tcPr>
            <w:tcW w:w="1134" w:type="dxa"/>
            <w:tcBorders>
              <w:top w:val="nil"/>
              <w:left w:val="nil"/>
              <w:bottom w:val="single" w:sz="4" w:space="0" w:color="auto"/>
              <w:right w:val="single" w:sz="4" w:space="0" w:color="auto"/>
            </w:tcBorders>
            <w:shd w:val="clear" w:color="auto" w:fill="auto"/>
            <w:noWrap/>
            <w:vAlign w:val="center"/>
          </w:tcPr>
          <w:p w14:paraId="383FA2F3" w14:textId="27396D09" w:rsidR="00042536" w:rsidRPr="002762B8" w:rsidRDefault="00042536" w:rsidP="00167069">
            <w:pPr>
              <w:keepNext/>
              <w:spacing w:after="0" w:line="276" w:lineRule="auto"/>
              <w:jc w:val="right"/>
              <w:rPr>
                <w:sz w:val="22"/>
                <w:szCs w:val="22"/>
              </w:rPr>
            </w:pPr>
          </w:p>
        </w:tc>
        <w:tc>
          <w:tcPr>
            <w:tcW w:w="1129" w:type="dxa"/>
            <w:tcBorders>
              <w:top w:val="nil"/>
              <w:left w:val="nil"/>
              <w:bottom w:val="single" w:sz="4" w:space="0" w:color="auto"/>
              <w:right w:val="single" w:sz="4" w:space="0" w:color="auto"/>
            </w:tcBorders>
            <w:shd w:val="clear" w:color="000000" w:fill="FFFFFF"/>
            <w:noWrap/>
            <w:vAlign w:val="center"/>
            <w:hideMark/>
          </w:tcPr>
          <w:p w14:paraId="7C5B2515" w14:textId="77777777" w:rsidR="00042536" w:rsidRPr="002762B8" w:rsidRDefault="00042536" w:rsidP="00167069">
            <w:pPr>
              <w:keepNext/>
              <w:spacing w:after="0" w:line="276" w:lineRule="auto"/>
              <w:jc w:val="right"/>
              <w:rPr>
                <w:sz w:val="22"/>
                <w:szCs w:val="22"/>
              </w:rPr>
            </w:pPr>
            <w:r w:rsidRPr="002762B8">
              <w:rPr>
                <w:sz w:val="22"/>
                <w:szCs w:val="22"/>
              </w:rPr>
              <w:t>15,0</w:t>
            </w:r>
          </w:p>
        </w:tc>
        <w:tc>
          <w:tcPr>
            <w:tcW w:w="1276" w:type="dxa"/>
            <w:tcBorders>
              <w:top w:val="nil"/>
              <w:left w:val="nil"/>
              <w:bottom w:val="single" w:sz="4" w:space="0" w:color="auto"/>
              <w:right w:val="single" w:sz="4" w:space="0" w:color="auto"/>
            </w:tcBorders>
            <w:shd w:val="clear" w:color="000000" w:fill="FFFFFF"/>
            <w:noWrap/>
            <w:vAlign w:val="center"/>
            <w:hideMark/>
          </w:tcPr>
          <w:p w14:paraId="4FAA8A8B" w14:textId="77777777" w:rsidR="00042536" w:rsidRPr="002762B8" w:rsidRDefault="00042536" w:rsidP="00167069">
            <w:pPr>
              <w:keepNext/>
              <w:spacing w:after="0" w:line="276" w:lineRule="auto"/>
              <w:jc w:val="right"/>
              <w:rPr>
                <w:sz w:val="22"/>
                <w:szCs w:val="22"/>
              </w:rPr>
            </w:pPr>
            <w:r w:rsidRPr="002762B8">
              <w:rPr>
                <w:sz w:val="22"/>
                <w:szCs w:val="22"/>
              </w:rPr>
              <w:t>22,7</w:t>
            </w:r>
          </w:p>
        </w:tc>
      </w:tr>
      <w:tr w:rsidR="00042536" w:rsidRPr="00032675" w14:paraId="15CCFCA0" w14:textId="77777777" w:rsidTr="00032675">
        <w:trPr>
          <w:trHeight w:val="312"/>
          <w:jc w:val="center"/>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60F244EA" w14:textId="77777777" w:rsidR="00042536" w:rsidRPr="002762B8" w:rsidRDefault="00042536" w:rsidP="00167069">
            <w:pPr>
              <w:keepNext/>
              <w:spacing w:after="0" w:line="276" w:lineRule="auto"/>
              <w:rPr>
                <w:sz w:val="22"/>
                <w:szCs w:val="22"/>
              </w:rPr>
            </w:pPr>
            <w:r w:rsidRPr="002762B8">
              <w:rPr>
                <w:sz w:val="22"/>
                <w:szCs w:val="22"/>
              </w:rPr>
              <w:t>CTS-toplina iz termičke obrade otpada</w:t>
            </w:r>
          </w:p>
        </w:tc>
        <w:tc>
          <w:tcPr>
            <w:tcW w:w="1134" w:type="dxa"/>
            <w:tcBorders>
              <w:top w:val="nil"/>
              <w:left w:val="nil"/>
              <w:bottom w:val="single" w:sz="4" w:space="0" w:color="auto"/>
              <w:right w:val="single" w:sz="4" w:space="0" w:color="auto"/>
            </w:tcBorders>
            <w:shd w:val="clear" w:color="auto" w:fill="auto"/>
            <w:noWrap/>
            <w:vAlign w:val="center"/>
          </w:tcPr>
          <w:p w14:paraId="494A9E66" w14:textId="6118C597" w:rsidR="00042536" w:rsidRPr="002762B8" w:rsidRDefault="00042536" w:rsidP="00167069">
            <w:pPr>
              <w:keepNext/>
              <w:spacing w:after="0" w:line="276" w:lineRule="auto"/>
              <w:jc w:val="right"/>
              <w:rPr>
                <w:sz w:val="22"/>
                <w:szCs w:val="22"/>
              </w:rPr>
            </w:pPr>
          </w:p>
        </w:tc>
        <w:tc>
          <w:tcPr>
            <w:tcW w:w="1129" w:type="dxa"/>
            <w:tcBorders>
              <w:top w:val="nil"/>
              <w:left w:val="nil"/>
              <w:bottom w:val="single" w:sz="4" w:space="0" w:color="auto"/>
              <w:right w:val="single" w:sz="4" w:space="0" w:color="auto"/>
            </w:tcBorders>
            <w:shd w:val="clear" w:color="000000" w:fill="FFFFFF"/>
            <w:noWrap/>
            <w:vAlign w:val="center"/>
            <w:hideMark/>
          </w:tcPr>
          <w:p w14:paraId="4EAB7D47" w14:textId="77777777" w:rsidR="00042536" w:rsidRPr="002762B8" w:rsidRDefault="00042536" w:rsidP="00167069">
            <w:pPr>
              <w:keepNext/>
              <w:spacing w:after="0" w:line="276" w:lineRule="auto"/>
              <w:jc w:val="right"/>
              <w:rPr>
                <w:sz w:val="22"/>
                <w:szCs w:val="22"/>
              </w:rPr>
            </w:pPr>
            <w:r w:rsidRPr="002762B8">
              <w:rPr>
                <w:sz w:val="22"/>
                <w:szCs w:val="22"/>
              </w:rPr>
              <w:t>130,0</w:t>
            </w:r>
          </w:p>
        </w:tc>
        <w:tc>
          <w:tcPr>
            <w:tcW w:w="1276" w:type="dxa"/>
            <w:tcBorders>
              <w:top w:val="nil"/>
              <w:left w:val="nil"/>
              <w:bottom w:val="single" w:sz="4" w:space="0" w:color="auto"/>
              <w:right w:val="single" w:sz="4" w:space="0" w:color="auto"/>
            </w:tcBorders>
            <w:shd w:val="clear" w:color="000000" w:fill="FFFFFF"/>
            <w:noWrap/>
            <w:vAlign w:val="center"/>
            <w:hideMark/>
          </w:tcPr>
          <w:p w14:paraId="23F1FEE9" w14:textId="77777777" w:rsidR="00042536" w:rsidRPr="002762B8" w:rsidRDefault="00042536" w:rsidP="00167069">
            <w:pPr>
              <w:keepNext/>
              <w:spacing w:after="0" w:line="276" w:lineRule="auto"/>
              <w:jc w:val="right"/>
              <w:rPr>
                <w:sz w:val="22"/>
                <w:szCs w:val="22"/>
              </w:rPr>
            </w:pPr>
            <w:r w:rsidRPr="002762B8">
              <w:rPr>
                <w:sz w:val="22"/>
                <w:szCs w:val="22"/>
              </w:rPr>
              <w:t>195,8</w:t>
            </w:r>
          </w:p>
        </w:tc>
      </w:tr>
      <w:tr w:rsidR="00042536" w:rsidRPr="00032675" w14:paraId="6A43601C" w14:textId="77777777" w:rsidTr="00032675">
        <w:trPr>
          <w:trHeight w:val="312"/>
          <w:jc w:val="center"/>
        </w:trPr>
        <w:tc>
          <w:tcPr>
            <w:tcW w:w="3969" w:type="dxa"/>
            <w:tcBorders>
              <w:top w:val="nil"/>
              <w:left w:val="single" w:sz="4" w:space="0" w:color="auto"/>
              <w:bottom w:val="single" w:sz="4" w:space="0" w:color="auto"/>
              <w:right w:val="single" w:sz="4" w:space="0" w:color="auto"/>
            </w:tcBorders>
            <w:shd w:val="clear" w:color="000000" w:fill="D0CECE"/>
            <w:noWrap/>
            <w:vAlign w:val="center"/>
            <w:hideMark/>
          </w:tcPr>
          <w:p w14:paraId="740440A4" w14:textId="77777777" w:rsidR="00042536" w:rsidRPr="002762B8" w:rsidRDefault="00042536" w:rsidP="00167069">
            <w:pPr>
              <w:spacing w:after="0" w:line="276" w:lineRule="auto"/>
              <w:rPr>
                <w:b/>
                <w:sz w:val="22"/>
                <w:szCs w:val="22"/>
              </w:rPr>
            </w:pPr>
            <w:r w:rsidRPr="002762B8">
              <w:rPr>
                <w:b/>
                <w:sz w:val="22"/>
                <w:szCs w:val="22"/>
              </w:rPr>
              <w:t>UKUPNO</w:t>
            </w:r>
          </w:p>
        </w:tc>
        <w:tc>
          <w:tcPr>
            <w:tcW w:w="1134" w:type="dxa"/>
            <w:tcBorders>
              <w:top w:val="nil"/>
              <w:left w:val="nil"/>
              <w:bottom w:val="single" w:sz="4" w:space="0" w:color="auto"/>
              <w:right w:val="single" w:sz="4" w:space="0" w:color="auto"/>
            </w:tcBorders>
            <w:shd w:val="clear" w:color="000000" w:fill="D0CECE"/>
            <w:noWrap/>
            <w:vAlign w:val="center"/>
            <w:hideMark/>
          </w:tcPr>
          <w:p w14:paraId="6230CE75" w14:textId="77777777" w:rsidR="00042536" w:rsidRPr="002762B8" w:rsidRDefault="00042536" w:rsidP="00167069">
            <w:pPr>
              <w:spacing w:after="0" w:line="276" w:lineRule="auto"/>
              <w:jc w:val="right"/>
              <w:rPr>
                <w:b/>
                <w:sz w:val="22"/>
                <w:szCs w:val="22"/>
              </w:rPr>
            </w:pPr>
            <w:r w:rsidRPr="002762B8">
              <w:rPr>
                <w:b/>
                <w:sz w:val="22"/>
                <w:szCs w:val="22"/>
              </w:rPr>
              <w:t>1.823,0</w:t>
            </w:r>
          </w:p>
        </w:tc>
        <w:tc>
          <w:tcPr>
            <w:tcW w:w="1129" w:type="dxa"/>
            <w:tcBorders>
              <w:top w:val="nil"/>
              <w:left w:val="nil"/>
              <w:bottom w:val="single" w:sz="4" w:space="0" w:color="auto"/>
              <w:right w:val="single" w:sz="4" w:space="0" w:color="auto"/>
            </w:tcBorders>
            <w:shd w:val="clear" w:color="000000" w:fill="D0CECE"/>
            <w:noWrap/>
            <w:vAlign w:val="center"/>
            <w:hideMark/>
          </w:tcPr>
          <w:p w14:paraId="056D5A84" w14:textId="77777777" w:rsidR="00042536" w:rsidRPr="002762B8" w:rsidRDefault="00042536" w:rsidP="00167069">
            <w:pPr>
              <w:spacing w:after="0" w:line="276" w:lineRule="auto"/>
              <w:jc w:val="right"/>
              <w:rPr>
                <w:b/>
                <w:sz w:val="22"/>
                <w:szCs w:val="22"/>
              </w:rPr>
            </w:pPr>
            <w:r w:rsidRPr="002762B8">
              <w:rPr>
                <w:b/>
                <w:sz w:val="22"/>
                <w:szCs w:val="22"/>
              </w:rPr>
              <w:t>1.723,5</w:t>
            </w:r>
          </w:p>
        </w:tc>
        <w:tc>
          <w:tcPr>
            <w:tcW w:w="1276" w:type="dxa"/>
            <w:tcBorders>
              <w:top w:val="nil"/>
              <w:left w:val="nil"/>
              <w:bottom w:val="single" w:sz="4" w:space="0" w:color="auto"/>
              <w:right w:val="single" w:sz="4" w:space="0" w:color="auto"/>
            </w:tcBorders>
            <w:shd w:val="clear" w:color="000000" w:fill="D0CECE"/>
            <w:noWrap/>
            <w:vAlign w:val="center"/>
            <w:hideMark/>
          </w:tcPr>
          <w:p w14:paraId="4F361EAB" w14:textId="77777777" w:rsidR="00042536" w:rsidRPr="002762B8" w:rsidRDefault="00042536" w:rsidP="00167069">
            <w:pPr>
              <w:spacing w:after="0" w:line="276" w:lineRule="auto"/>
              <w:jc w:val="right"/>
              <w:rPr>
                <w:b/>
                <w:sz w:val="22"/>
                <w:szCs w:val="22"/>
              </w:rPr>
            </w:pPr>
            <w:r w:rsidRPr="002762B8">
              <w:rPr>
                <w:b/>
                <w:sz w:val="22"/>
                <w:szCs w:val="22"/>
              </w:rPr>
              <w:t>1.542,3</w:t>
            </w:r>
          </w:p>
        </w:tc>
      </w:tr>
    </w:tbl>
    <w:p w14:paraId="25DFAE15" w14:textId="1622612D" w:rsidR="00916484" w:rsidRPr="00B47BDA" w:rsidRDefault="00916484" w:rsidP="004623DD"/>
    <w:p w14:paraId="6FBC6AE6" w14:textId="77777777" w:rsidR="00425DD9" w:rsidRPr="00B47BDA" w:rsidRDefault="00425DD9" w:rsidP="004623DD">
      <w:r w:rsidRPr="00B47BDA">
        <w:t xml:space="preserve">U scenariju s integriranim mjerama u 2030. odnosno u 2050. godini predviđeno je predloženim mjerama: </w:t>
      </w:r>
    </w:p>
    <w:p w14:paraId="2A5DEED2" w14:textId="77777777" w:rsidR="00425DD9" w:rsidRPr="00B47BDA" w:rsidRDefault="00425DD9" w:rsidP="002762B8">
      <w:pPr>
        <w:pStyle w:val="ListParagraph"/>
        <w:numPr>
          <w:ilvl w:val="0"/>
          <w:numId w:val="115"/>
        </w:numPr>
        <w:spacing w:after="60"/>
        <w:ind w:left="714" w:hanging="357"/>
      </w:pPr>
      <w:r w:rsidRPr="00B47BDA">
        <w:t xml:space="preserve">kompletno gašenje kotlova na loživo ulje (do 2030. godine), </w:t>
      </w:r>
    </w:p>
    <w:p w14:paraId="389A5C07" w14:textId="77777777" w:rsidR="00425DD9" w:rsidRPr="00B47BDA" w:rsidRDefault="00425DD9" w:rsidP="002762B8">
      <w:pPr>
        <w:pStyle w:val="ListParagraph"/>
        <w:numPr>
          <w:ilvl w:val="0"/>
          <w:numId w:val="115"/>
        </w:numPr>
        <w:spacing w:after="60"/>
        <w:ind w:left="714" w:hanging="357"/>
      </w:pPr>
      <w:r w:rsidRPr="00B47BDA">
        <w:t xml:space="preserve">značajno smanjenje kotlova na prirodni plin, </w:t>
      </w:r>
    </w:p>
    <w:p w14:paraId="14C958AE" w14:textId="77777777" w:rsidR="00425DD9" w:rsidRPr="00B47BDA" w:rsidRDefault="00425DD9" w:rsidP="002762B8">
      <w:pPr>
        <w:pStyle w:val="ListParagraph"/>
        <w:numPr>
          <w:ilvl w:val="0"/>
          <w:numId w:val="115"/>
        </w:numPr>
        <w:spacing w:after="60"/>
        <w:ind w:left="714" w:hanging="357"/>
      </w:pPr>
      <w:r w:rsidRPr="00B47BDA">
        <w:t xml:space="preserve">povećanje visokoučinkovite kogeneracije na biomasu, </w:t>
      </w:r>
    </w:p>
    <w:p w14:paraId="0B5BC06A" w14:textId="77777777" w:rsidR="00425DD9" w:rsidRPr="00B47BDA" w:rsidRDefault="00425DD9" w:rsidP="002762B8">
      <w:pPr>
        <w:pStyle w:val="ListParagraph"/>
        <w:numPr>
          <w:ilvl w:val="0"/>
          <w:numId w:val="115"/>
        </w:numPr>
        <w:spacing w:after="60"/>
        <w:ind w:left="714" w:hanging="357"/>
      </w:pPr>
      <w:r w:rsidRPr="00B47BDA">
        <w:t>značajno povećanje korištenja geotermalne energije,</w:t>
      </w:r>
    </w:p>
    <w:p w14:paraId="59F154A2" w14:textId="77777777" w:rsidR="00425DD9" w:rsidRPr="00B47BDA" w:rsidRDefault="00425DD9" w:rsidP="002762B8">
      <w:pPr>
        <w:pStyle w:val="ListParagraph"/>
        <w:numPr>
          <w:ilvl w:val="0"/>
          <w:numId w:val="115"/>
        </w:numPr>
        <w:spacing w:after="60"/>
        <w:ind w:left="714" w:hanging="357"/>
      </w:pPr>
      <w:r w:rsidRPr="00B47BDA">
        <w:t xml:space="preserve">korištenje topline iz termičke obrade otpada (značajni potencijal u gusto naseljenim gradskim sredinama), </w:t>
      </w:r>
    </w:p>
    <w:p w14:paraId="1A48B88D" w14:textId="77777777" w:rsidR="00425DD9" w:rsidRPr="00B47BDA" w:rsidRDefault="00425DD9" w:rsidP="002762B8">
      <w:pPr>
        <w:pStyle w:val="ListParagraph"/>
        <w:numPr>
          <w:ilvl w:val="0"/>
          <w:numId w:val="115"/>
        </w:numPr>
        <w:spacing w:after="60"/>
        <w:ind w:left="714" w:hanging="357"/>
      </w:pPr>
      <w:r w:rsidRPr="00B47BDA">
        <w:t xml:space="preserve">korištenje kompresijskih dizalica toplina voda/voda (na slici je prikazana pogonska električna energija i toplina preuzeta iz okoliša), </w:t>
      </w:r>
    </w:p>
    <w:p w14:paraId="72DCA9B3" w14:textId="77777777" w:rsidR="00425DD9" w:rsidRPr="00B47BDA" w:rsidRDefault="00425DD9" w:rsidP="002762B8">
      <w:pPr>
        <w:pStyle w:val="ListParagraph"/>
        <w:numPr>
          <w:ilvl w:val="0"/>
          <w:numId w:val="115"/>
        </w:numPr>
        <w:spacing w:after="60"/>
        <w:ind w:left="714" w:hanging="357"/>
      </w:pPr>
      <w:r w:rsidRPr="00B47BDA">
        <w:t xml:space="preserve">korištenje otpadne topline iz industrije (mali dio), </w:t>
      </w:r>
    </w:p>
    <w:p w14:paraId="166725E0" w14:textId="77777777" w:rsidR="00425DD9" w:rsidRPr="00B47BDA" w:rsidRDefault="00425DD9" w:rsidP="002762B8">
      <w:pPr>
        <w:pStyle w:val="ListParagraph"/>
        <w:numPr>
          <w:ilvl w:val="0"/>
          <w:numId w:val="115"/>
        </w:numPr>
        <w:spacing w:after="60"/>
        <w:ind w:left="714" w:hanging="357"/>
      </w:pPr>
      <w:r w:rsidRPr="00B47BDA">
        <w:t>korištenje Sunčeve energije (mali dio).</w:t>
      </w:r>
    </w:p>
    <w:p w14:paraId="13803BD7" w14:textId="52BA1D0C" w:rsidR="00455501" w:rsidRDefault="00455501">
      <w:pPr>
        <w:spacing w:after="0"/>
        <w:jc w:val="left"/>
      </w:pPr>
      <w:r>
        <w:br w:type="page"/>
      </w:r>
    </w:p>
    <w:p w14:paraId="7EC81CC3" w14:textId="77777777" w:rsidR="00317CA9" w:rsidRPr="00B47BDA" w:rsidRDefault="00317CA9" w:rsidP="63259912">
      <w:pPr>
        <w:pStyle w:val="Heading4"/>
        <w:ind w:hanging="580"/>
      </w:pPr>
      <w:r w:rsidRPr="63259912">
        <w:lastRenderedPageBreak/>
        <w:t xml:space="preserve">Projekcije koje u obzir uzimaju postojeće politike, mjere i programe energetske učinkovitosti, kako su opisani pod točkom 1.2. podtočkom ii., za potrošnju primarne energije i krajnju potrošnju energije za svaki sektor barem do 2040. (uključujući projekcije za 2030.) </w:t>
      </w:r>
    </w:p>
    <w:p w14:paraId="3EBE7433" w14:textId="28B06177" w:rsidR="00C21988" w:rsidRPr="00B47BDA" w:rsidRDefault="00581242" w:rsidP="004623DD">
      <w:r w:rsidRPr="00B47BDA">
        <w:t>Projekcije primarne i neposredne potrošnje energije u razdoblju od 202</w:t>
      </w:r>
      <w:r w:rsidR="00A739CF" w:rsidRPr="00B47BDA">
        <w:t>1</w:t>
      </w:r>
      <w:r w:rsidRPr="00B47BDA">
        <w:t>. do 2040. godine</w:t>
      </w:r>
      <w:r w:rsidR="00A26973" w:rsidRPr="00B47BDA">
        <w:t xml:space="preserve"> koje uzimaju u obzir samo postojeće politike, mjere i programe energetske učinkovitosti prikazuje</w:t>
      </w:r>
      <w:r w:rsidR="00BB198B" w:rsidRPr="00B47BDA">
        <w:t xml:space="preserve"> </w:t>
      </w:r>
      <w:r w:rsidR="00BB198B" w:rsidRPr="00B47BDA">
        <w:fldChar w:fldCharType="begin"/>
      </w:r>
      <w:r w:rsidR="00BB198B" w:rsidRPr="00B47BDA">
        <w:rPr>
          <w:highlight w:val="yellow"/>
        </w:rPr>
        <w:instrText xml:space="preserve"> REF _Ref531266751 \h  \* MERGEFORMAT </w:instrText>
      </w:r>
      <w:r w:rsidR="00BB198B" w:rsidRPr="00B47BDA">
        <w:fldChar w:fldCharType="separate"/>
      </w:r>
      <w:r w:rsidR="00AD324D" w:rsidRPr="002575EE">
        <w:t xml:space="preserve">Slika </w:t>
      </w:r>
      <w:r w:rsidR="00AD324D">
        <w:t>4</w:t>
      </w:r>
      <w:r w:rsidR="00AD324D">
        <w:noBreakHyphen/>
        <w:t>12</w:t>
      </w:r>
      <w:r w:rsidR="00BB198B" w:rsidRPr="00B47BDA">
        <w:fldChar w:fldCharType="end"/>
      </w:r>
      <w:r w:rsidR="00BB198B" w:rsidRPr="00B47BDA">
        <w:t>.</w:t>
      </w:r>
      <w:r w:rsidR="00A26973" w:rsidRPr="00B47BDA">
        <w:t xml:space="preserve"> </w:t>
      </w:r>
    </w:p>
    <w:p w14:paraId="3A189163" w14:textId="2FA2819B" w:rsidR="00F65963" w:rsidRPr="00B47BDA" w:rsidRDefault="00A739CF" w:rsidP="002575EE">
      <w:pPr>
        <w:jc w:val="center"/>
      </w:pPr>
      <w:r w:rsidRPr="00B47BDA">
        <w:rPr>
          <w:noProof/>
          <w:lang w:eastAsia="hr-HR"/>
        </w:rPr>
        <w:drawing>
          <wp:inline distT="0" distB="0" distL="0" distR="0" wp14:anchorId="558C6190" wp14:editId="727C5C06">
            <wp:extent cx="445770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998" t="2493" r="1664" b="3325"/>
                    <a:stretch/>
                  </pic:blipFill>
                  <pic:spPr bwMode="auto">
                    <a:xfrm>
                      <a:off x="0" y="0"/>
                      <a:ext cx="445770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62CEDC85" w14:textId="43E37853" w:rsidR="00A26973" w:rsidRPr="00B47BDA" w:rsidRDefault="00A26973" w:rsidP="004623DD">
      <w:pPr>
        <w:pStyle w:val="Caption"/>
      </w:pPr>
      <w:bookmarkStart w:id="600" w:name="_Ref531266751"/>
      <w:bookmarkStart w:id="601" w:name="_Toc185605261"/>
      <w:bookmarkStart w:id="602" w:name="_Toc193035907"/>
      <w:r w:rsidRPr="002575EE">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064ADE">
        <w:rPr>
          <w:noProof/>
        </w:rPr>
        <w:t>12</w:t>
      </w:r>
      <w:r>
        <w:fldChar w:fldCharType="end"/>
      </w:r>
      <w:bookmarkEnd w:id="600"/>
      <w:r w:rsidR="00F458D6" w:rsidRPr="002575EE">
        <w:t>.</w:t>
      </w:r>
      <w:r w:rsidRPr="002575EE">
        <w:t xml:space="preserve"> </w:t>
      </w:r>
      <w:r w:rsidR="00976071" w:rsidRPr="002575EE">
        <w:t>Projekcija potrošnje energije do 2040. godine uz postojeće politike, mjere i programe</w:t>
      </w:r>
      <w:r w:rsidR="00976071" w:rsidRPr="00B47BDA">
        <w:t xml:space="preserve"> energetske učinkovitosti</w:t>
      </w:r>
      <w:r w:rsidR="006E0155" w:rsidRPr="00B47BDA">
        <w:t xml:space="preserve"> (WEM scenarij)</w:t>
      </w:r>
      <w:bookmarkEnd w:id="601"/>
      <w:bookmarkEnd w:id="602"/>
    </w:p>
    <w:p w14:paraId="094084A8" w14:textId="2CE8AF69" w:rsidR="00963BB1" w:rsidRPr="00B47BDA" w:rsidRDefault="00963BB1" w:rsidP="005C2C7E">
      <w:pPr>
        <w:pStyle w:val="Heading4"/>
        <w:numPr>
          <w:ilvl w:val="3"/>
          <w:numId w:val="175"/>
        </w:numPr>
        <w:ind w:hanging="580"/>
      </w:pPr>
      <w:r w:rsidRPr="00B47BDA">
        <w:t>Troškovno učinkovite razine minimalnih zahtjeva u pogledu energetske učinkovitosti proizašle iz nacionalnih izračuna, u skladu s člankom 5. Direktive 2010/31/EU</w:t>
      </w:r>
    </w:p>
    <w:p w14:paraId="0DF1FBE2" w14:textId="4C1F5F8E" w:rsidR="00C21988" w:rsidRPr="0037272A" w:rsidRDefault="00032675" w:rsidP="63259912">
      <w:pPr>
        <w:rPr>
          <w:rFonts w:cs="Calibri"/>
        </w:rPr>
      </w:pPr>
      <w:r w:rsidRPr="63259912">
        <w:rPr>
          <w:rFonts w:cs="Calibri"/>
        </w:rPr>
        <w:t xml:space="preserve">Minimalni zahtjevi za energetsko svojstvo zgrada određeni su troškovno optimalnom metodom prema članku 5. Direktive 2010/31/EU o energetskim svojstvima zgrada u 2013. i 2014. godini, za stambene zgrade (jednoobiteljske i višestambene) te nestambene zgrade (uredske zgrade, zgrade </w:t>
      </w:r>
      <w:r w:rsidR="00484009" w:rsidRPr="63259912">
        <w:rPr>
          <w:rFonts w:cs="Calibri"/>
        </w:rPr>
        <w:t>u kojima su smještene obrazovne ustanove</w:t>
      </w:r>
      <w:r w:rsidRPr="63259912">
        <w:rPr>
          <w:rFonts w:cs="Calibri"/>
        </w:rPr>
        <w:t>, zgrade za maloprodaju i veleprodaju, bolnice, hotele i restorane te dvorane)</w:t>
      </w:r>
      <w:r w:rsidRPr="63259912">
        <w:rPr>
          <w:rStyle w:val="FootnoteReference"/>
          <w:rFonts w:ascii="Calibri" w:hAnsi="Calibri" w:cs="Calibri"/>
          <w:sz w:val="24"/>
        </w:rPr>
        <w:footnoteReference w:id="37"/>
      </w:r>
      <w:r w:rsidRPr="63259912">
        <w:rPr>
          <w:rFonts w:cs="Calibri"/>
        </w:rPr>
        <w:t xml:space="preserve">. Energetsko svojstvo je određeno kroz maksimalnu dozvoljenu primarnu energiju za zgrade, uz korištenje niza dodatnih parametara kojima se preciznije uređuje ponašanje zgrade (potrebna energija, koeficijenti prolaska topline vanjske ovojnice, udio obnovljivih izvora energije, stupanj djelovanja tehničkih sustava zgrada i drugi). Tijekom 2018. godine započet je novi ciklus troškovne optimizacije minimalnih zahtjeva na energetsko svojstvo zgrada korištenjem dinamičke metode proračuna energetskog svojstva zgrada te usporedbom vrijednosti s nacionalnim algoritmom za proračun energetskog svojstva zgrada kako bi se zahtjevi uskladili s promjenama na tržištu i novim </w:t>
      </w:r>
      <w:r w:rsidRPr="63259912">
        <w:rPr>
          <w:rFonts w:cs="Calibri"/>
        </w:rPr>
        <w:lastRenderedPageBreak/>
        <w:t xml:space="preserve">dostupnim tehnologijama te doradila metoda proračuna i utvrđivanja energetskog svojstva zgrada. </w:t>
      </w:r>
    </w:p>
    <w:p w14:paraId="1758BB7C" w14:textId="5D716CAF" w:rsidR="00C21988" w:rsidRPr="00B47BDA" w:rsidRDefault="00C21988" w:rsidP="005C2C7E">
      <w:pPr>
        <w:pStyle w:val="Heading2"/>
        <w:numPr>
          <w:ilvl w:val="1"/>
          <w:numId w:val="175"/>
        </w:numPr>
      </w:pPr>
      <w:bookmarkStart w:id="603" w:name="_Toc531935262"/>
      <w:bookmarkStart w:id="604" w:name="_Toc531945124"/>
      <w:bookmarkStart w:id="605" w:name="_Toc6302382"/>
      <w:bookmarkStart w:id="606" w:name="_Toc187418363"/>
      <w:bookmarkStart w:id="607" w:name="_Toc193043288"/>
      <w:r w:rsidRPr="00B47BDA">
        <w:t>Dimenzija: energetska sigurnost</w:t>
      </w:r>
      <w:bookmarkEnd w:id="603"/>
      <w:bookmarkEnd w:id="604"/>
      <w:bookmarkEnd w:id="605"/>
      <w:bookmarkEnd w:id="606"/>
      <w:bookmarkEnd w:id="607"/>
      <w:r w:rsidRPr="00B47BDA">
        <w:t xml:space="preserve"> </w:t>
      </w:r>
    </w:p>
    <w:p w14:paraId="35AA902A" w14:textId="4CD50C41" w:rsidR="006B3979" w:rsidRPr="00B47BDA" w:rsidRDefault="00C97221" w:rsidP="005C2C7E">
      <w:pPr>
        <w:pStyle w:val="Heading4"/>
        <w:numPr>
          <w:ilvl w:val="3"/>
          <w:numId w:val="175"/>
        </w:numPr>
        <w:ind w:hanging="580"/>
      </w:pPr>
      <w:r w:rsidRPr="00B47BDA">
        <w:t>Trenutačna mješavina energetskih izvora, domaći izvori energije, ovisnost o uvezenoj energiji, uključujući relevantne rizike</w:t>
      </w:r>
    </w:p>
    <w:p w14:paraId="099A91A9" w14:textId="77777777" w:rsidR="00F26D0A" w:rsidRPr="00E928EC" w:rsidRDefault="00F26D0A" w:rsidP="004623DD">
      <w:pPr>
        <w:rPr>
          <w:b/>
          <w:bCs/>
        </w:rPr>
      </w:pPr>
      <w:r w:rsidRPr="00E928EC">
        <w:rPr>
          <w:b/>
          <w:bCs/>
        </w:rPr>
        <w:t>Elektroenergetski sustav</w:t>
      </w:r>
    </w:p>
    <w:p w14:paraId="23205BBE" w14:textId="4612E297" w:rsidR="00F26D0A" w:rsidRPr="00B47BDA" w:rsidRDefault="00F26D0A" w:rsidP="004623DD">
      <w:r w:rsidRPr="00B47BDA">
        <w:t>Odgovornost za pokrivanje bilance EES RH, odnosno osiguravanje dostatnih količina električne energije, leži na nekoliko subjekata i to:</w:t>
      </w:r>
    </w:p>
    <w:p w14:paraId="2B6C50A1" w14:textId="7212C3CD" w:rsidR="00F26D0A" w:rsidRPr="00B47BDA" w:rsidRDefault="00F26D0A" w:rsidP="0037272A">
      <w:pPr>
        <w:pStyle w:val="ListParagraph"/>
        <w:numPr>
          <w:ilvl w:val="0"/>
          <w:numId w:val="29"/>
        </w:numPr>
        <w:spacing w:after="60"/>
        <w:ind w:left="714" w:hanging="357"/>
      </w:pPr>
      <w:r w:rsidRPr="00B47BDA">
        <w:t>Opskrbljivačima koji su dužni podmiriti svoje ugovorne obveze s kupcima, posebno HEP-Opskrbi kao najvećem komercijalnom opskrbljivaču i HEP</w:t>
      </w:r>
      <w:r w:rsidR="00110C9D" w:rsidRPr="00B47BDA">
        <w:t>-</w:t>
      </w:r>
      <w:r w:rsidRPr="00B47BDA">
        <w:t>Elektri kao univerzalnom i zajamčenom opskrbljivaču,</w:t>
      </w:r>
    </w:p>
    <w:p w14:paraId="755E0AB3" w14:textId="0BFB2A88" w:rsidR="00F26D0A" w:rsidRPr="00B47BDA" w:rsidRDefault="00F26D0A" w:rsidP="0037272A">
      <w:pPr>
        <w:pStyle w:val="ListParagraph"/>
        <w:numPr>
          <w:ilvl w:val="0"/>
          <w:numId w:val="29"/>
        </w:numPr>
        <w:spacing w:after="60"/>
        <w:ind w:left="714" w:hanging="357"/>
      </w:pPr>
      <w:r w:rsidRPr="00B47BDA">
        <w:t>HEP</w:t>
      </w:r>
      <w:r w:rsidR="00E03F66" w:rsidRPr="00B47BDA">
        <w:t> </w:t>
      </w:r>
      <w:r w:rsidRPr="00B47BDA">
        <w:t>ODS-u za nabavu električne energije potrebne za pokrivanje gubitaka u distribucijskoj mreži,</w:t>
      </w:r>
    </w:p>
    <w:p w14:paraId="693530EE" w14:textId="23D60F49" w:rsidR="004E7FD0" w:rsidRDefault="00F26D0A" w:rsidP="0037272A">
      <w:pPr>
        <w:pStyle w:val="ListParagraph"/>
        <w:numPr>
          <w:ilvl w:val="0"/>
          <w:numId w:val="29"/>
        </w:numPr>
        <w:spacing w:after="60"/>
        <w:ind w:left="714" w:hanging="357"/>
      </w:pPr>
      <w:r w:rsidRPr="00B47BDA">
        <w:t>HOPS-u za nabavu električne energije potrebne za pokrivanje gubitaka u prijenosnoj mreži i tehnički dio poslova vezanih uz nabavu električne energije za uravnoteženje sustava</w:t>
      </w:r>
      <w:r w:rsidR="0035180B">
        <w:t>,</w:t>
      </w:r>
    </w:p>
    <w:p w14:paraId="33CD698B" w14:textId="3202E318" w:rsidR="00F26D0A" w:rsidRPr="00B47BDA" w:rsidRDefault="004E7FD0" w:rsidP="0037272A">
      <w:pPr>
        <w:pStyle w:val="ListParagraph"/>
        <w:numPr>
          <w:ilvl w:val="0"/>
          <w:numId w:val="29"/>
        </w:numPr>
        <w:spacing w:after="60"/>
        <w:ind w:left="714" w:hanging="357"/>
      </w:pPr>
      <w:r w:rsidRPr="63259912">
        <w:t>HEP</w:t>
      </w:r>
      <w:r w:rsidR="00FE0273" w:rsidRPr="63259912">
        <w:t xml:space="preserve"> Proizvodnji kao mandatornom pružatelju </w:t>
      </w:r>
      <w:r w:rsidR="00874748" w:rsidRPr="63259912">
        <w:t>usluga za energiju uravnoteženja i nefrekvencijskih usluga</w:t>
      </w:r>
      <w:r w:rsidR="00F26D0A" w:rsidRPr="63259912">
        <w:t>.</w:t>
      </w:r>
    </w:p>
    <w:p w14:paraId="6A56BE5A" w14:textId="5D0E3C92" w:rsidR="00F26D0A" w:rsidRPr="00B47BDA" w:rsidRDefault="00F26D0A" w:rsidP="63259912">
      <w:pPr>
        <w:rPr>
          <w:highlight w:val="yellow"/>
        </w:rPr>
      </w:pPr>
      <w:r w:rsidRPr="63259912">
        <w:t xml:space="preserve">Najznačajnija odgovornost HOPS-a po pitanju sigurnosti opskrbe i dostatnosti sustava je održavanje visoke razine </w:t>
      </w:r>
      <w:r w:rsidR="00AF2D3A" w:rsidRPr="63259912">
        <w:t xml:space="preserve">pouzdanosti </w:t>
      </w:r>
      <w:r w:rsidRPr="63259912">
        <w:t xml:space="preserve">prijenosne mreže, odnosno posebno interkonektivnih vodova te održavanje/podizanje </w:t>
      </w:r>
      <w:r w:rsidR="00202AF6" w:rsidRPr="63259912">
        <w:t>prekograničnog prijenosnog kapaciteta na svim granicama kako bi se tehnički omogućio uvoz nedostajućih količina električne energije u EES RH i razmjena sa susjedima, pri čemu je važno naglasiti da mogućnost uvoza energije u hrvatski EES ne ovisi samo o HOPS-u, već i o drugim operatorima sustava. Raspoloživi prekogranični prijenosni kapacitet mogu koristiti svi tržišni sudionici, a ne samo oni koji uvoze energiju u hrvatski EES.</w:t>
      </w:r>
    </w:p>
    <w:p w14:paraId="4A7B4D5F" w14:textId="5882443C" w:rsidR="00D83D8A" w:rsidRPr="00B47BDA" w:rsidRDefault="00D83D8A" w:rsidP="004623DD">
      <w:r w:rsidRPr="00B47BDA">
        <w:t>Kako u zemljama bližeg i nešto daljeg okruženja ima dovoljno proizvodnih postrojenja prema podacima ENTSO-E te s obzirom na postojeću zadovoljavajuću likvidnost burzi električne energije u okruženju, preliminarno se može ocijeniti da će nedostajuće količine električne energije biti nužno nabaviti u idućem razdoblju preko tržišnih transakcija, pri čemu su postojeći prekogranični prijenosni kapaciteti procjenjuju dovoljno visoki da podrže previđene razine uvoza i sigurnog pogona hrvatskog EES.</w:t>
      </w:r>
    </w:p>
    <w:p w14:paraId="2B5D839E" w14:textId="2F8CCC95" w:rsidR="00A77B44" w:rsidRPr="00B47BDA" w:rsidRDefault="00D83D8A" w:rsidP="007035ED">
      <w:r w:rsidRPr="00B47BDA">
        <w:t xml:space="preserve">Izuzetak od prethodno navedenog zaključka može nastati jedino u slučaju pojave iznimno velike krize na širem europskom području kada bi zbog istodobnog ugrožavanja dostatnosti EES u više zemalja bila ograničena mogućnost nabave električne energije iz uvoza. Takav se scenarij do sada nije dogodio, ali određena, iako niska, vjerojatnost takvog događaja ili grupe simultanih nepovoljnih događaja ne smije se zanemariti. Prema dosadašnjem stanju na burzama električne energije moguće je očekivati povremena razdoblja izuzetno visokih cijena električne energije (&gt;200 </w:t>
      </w:r>
      <w:r w:rsidR="00F215FE">
        <w:t>EUR</w:t>
      </w:r>
      <w:r w:rsidRPr="00B47BDA">
        <w:t xml:space="preserve">/MWh) bilo radi povećane potrošnje (na primjer u slučaju vrlo hladnih vremenskih prilika), bilo radi privremene neraspoloživosti proizvodnih postrojenja </w:t>
      </w:r>
      <w:r w:rsidRPr="00B47BDA">
        <w:lastRenderedPageBreak/>
        <w:t>(kvarovi, havarije), odnosno njihovih smanjenih mogućnosti proizvodnje (mirno vrijeme bez sunca i vjetra, eventualna ograničenja u opskrbi plinom i slično). U skladu sa zahtjevima ENTSO-e i Mrežnim pravilima hrvatskog prijenosnog sustava Hrvatski operator prijenosnog sustava je donio Plan obrane elektroenergetskog sustava od velikih poremećaja. To je dokument s konkretnim tehničkim i organizacijskim mjerama koje treba poduzeti da se sustav iz stanja poremećenog pogona ili raspada sustava ponovno vrati u normalni pogon, a ukupno obuhvaća:</w:t>
      </w:r>
    </w:p>
    <w:p w14:paraId="25F9D16D" w14:textId="77777777" w:rsidR="00A77B44" w:rsidRPr="00B47BDA" w:rsidRDefault="00A77B44" w:rsidP="00B70EA3">
      <w:pPr>
        <w:pStyle w:val="NormalWeb"/>
        <w:numPr>
          <w:ilvl w:val="1"/>
          <w:numId w:val="136"/>
        </w:numPr>
        <w:spacing w:before="120" w:beforeAutospacing="0" w:after="60" w:afterAutospacing="0"/>
        <w:ind w:left="1134" w:hanging="357"/>
        <w:contextualSpacing/>
        <w:rPr>
          <w:rFonts w:eastAsiaTheme="minorHAnsi"/>
          <w:lang w:eastAsia="hr-HR"/>
        </w:rPr>
      </w:pPr>
      <w:r w:rsidRPr="00B47BDA">
        <w:rPr>
          <w:rFonts w:eastAsiaTheme="minorHAnsi"/>
        </w:rPr>
        <w:t>način objave velikog poremećaja,</w:t>
      </w:r>
    </w:p>
    <w:p w14:paraId="7BE40308" w14:textId="77777777" w:rsidR="00A77B44" w:rsidRPr="00B47BDA" w:rsidRDefault="00A77B44" w:rsidP="00B70EA3">
      <w:pPr>
        <w:pStyle w:val="NormalWeb"/>
        <w:numPr>
          <w:ilvl w:val="1"/>
          <w:numId w:val="136"/>
        </w:numPr>
        <w:spacing w:before="120" w:beforeAutospacing="0" w:after="60" w:afterAutospacing="0"/>
        <w:ind w:left="1134" w:hanging="357"/>
        <w:contextualSpacing/>
        <w:rPr>
          <w:rFonts w:eastAsiaTheme="minorHAnsi"/>
        </w:rPr>
      </w:pPr>
      <w:r w:rsidRPr="00B47BDA">
        <w:rPr>
          <w:rFonts w:eastAsiaTheme="minorHAnsi"/>
        </w:rPr>
        <w:t>način aktiviranja plana obrane od velikog poremećaja,</w:t>
      </w:r>
    </w:p>
    <w:p w14:paraId="75555233" w14:textId="77777777" w:rsidR="00A77B44" w:rsidRPr="00B47BDA" w:rsidRDefault="00A77B44" w:rsidP="00B70EA3">
      <w:pPr>
        <w:pStyle w:val="NormalWeb"/>
        <w:numPr>
          <w:ilvl w:val="1"/>
          <w:numId w:val="136"/>
        </w:numPr>
        <w:spacing w:before="120" w:beforeAutospacing="0" w:after="60" w:afterAutospacing="0"/>
        <w:ind w:left="1134" w:hanging="357"/>
        <w:contextualSpacing/>
        <w:rPr>
          <w:rFonts w:eastAsiaTheme="minorHAnsi"/>
        </w:rPr>
      </w:pPr>
      <w:r w:rsidRPr="00B47BDA">
        <w:rPr>
          <w:rFonts w:eastAsiaTheme="minorHAnsi"/>
        </w:rPr>
        <w:t>mjere i postupke obrane elektroenergetskog sustava od velikih poremećaja,</w:t>
      </w:r>
    </w:p>
    <w:p w14:paraId="653F57F3" w14:textId="77777777" w:rsidR="00A77B44" w:rsidRPr="00B47BDA" w:rsidRDefault="00A77B44" w:rsidP="63259912">
      <w:pPr>
        <w:pStyle w:val="NormalWeb"/>
        <w:numPr>
          <w:ilvl w:val="1"/>
          <w:numId w:val="136"/>
        </w:numPr>
        <w:spacing w:before="120" w:beforeAutospacing="0" w:after="60" w:afterAutospacing="0"/>
        <w:ind w:left="1134" w:hanging="357"/>
        <w:contextualSpacing/>
      </w:pPr>
      <w:r w:rsidRPr="63259912">
        <w:t>plan podfrekvencijskog rasterećenja elektroenergetskog sustava,</w:t>
      </w:r>
    </w:p>
    <w:p w14:paraId="4A1DF4FF" w14:textId="77777777" w:rsidR="00A77B44" w:rsidRPr="00B47BDA" w:rsidRDefault="00A77B44" w:rsidP="00B70EA3">
      <w:pPr>
        <w:pStyle w:val="NormalWeb"/>
        <w:numPr>
          <w:ilvl w:val="1"/>
          <w:numId w:val="136"/>
        </w:numPr>
        <w:spacing w:before="120" w:beforeAutospacing="0" w:after="60" w:afterAutospacing="0"/>
        <w:ind w:left="1134" w:hanging="357"/>
        <w:contextualSpacing/>
        <w:rPr>
          <w:rFonts w:eastAsiaTheme="minorHAnsi"/>
        </w:rPr>
      </w:pPr>
      <w:r w:rsidRPr="00B47BDA">
        <w:rPr>
          <w:rFonts w:eastAsiaTheme="minorHAnsi"/>
        </w:rPr>
        <w:t>plan ograničenja potrošnje električne energije i hitnog rasterećenja elektroenergetskog sustava,</w:t>
      </w:r>
    </w:p>
    <w:p w14:paraId="7A4CADCE" w14:textId="77777777" w:rsidR="00A77B44" w:rsidRPr="00B47BDA" w:rsidRDefault="00A77B44" w:rsidP="00B70EA3">
      <w:pPr>
        <w:pStyle w:val="NormalWeb"/>
        <w:numPr>
          <w:ilvl w:val="1"/>
          <w:numId w:val="136"/>
        </w:numPr>
        <w:spacing w:before="120" w:beforeAutospacing="0" w:after="60" w:afterAutospacing="0"/>
        <w:ind w:left="1134" w:hanging="357"/>
        <w:contextualSpacing/>
        <w:rPr>
          <w:rFonts w:eastAsiaTheme="minorHAnsi"/>
        </w:rPr>
      </w:pPr>
      <w:r w:rsidRPr="00B47BDA">
        <w:rPr>
          <w:rFonts w:eastAsiaTheme="minorHAnsi"/>
        </w:rPr>
        <w:t>plan ponovne uspostave elektroenergetskog sustava,</w:t>
      </w:r>
    </w:p>
    <w:p w14:paraId="6AB4A980" w14:textId="77777777" w:rsidR="00A77B44" w:rsidRPr="00B47BDA" w:rsidRDefault="00A77B44" w:rsidP="00B70EA3">
      <w:pPr>
        <w:pStyle w:val="NormalWeb"/>
        <w:numPr>
          <w:ilvl w:val="1"/>
          <w:numId w:val="136"/>
        </w:numPr>
        <w:spacing w:before="120" w:beforeAutospacing="0" w:after="60" w:afterAutospacing="0"/>
        <w:ind w:left="1134" w:hanging="357"/>
        <w:contextualSpacing/>
        <w:rPr>
          <w:rFonts w:eastAsiaTheme="minorHAnsi"/>
        </w:rPr>
      </w:pPr>
      <w:r w:rsidRPr="00B47BDA">
        <w:rPr>
          <w:rFonts w:eastAsiaTheme="minorHAnsi"/>
        </w:rPr>
        <w:t>izdavanje uputa ovlaštenicima korisnika prijenosne mreže i ovlašteniku operatora distribucijskog sustava,</w:t>
      </w:r>
    </w:p>
    <w:p w14:paraId="2FD78278" w14:textId="77777777" w:rsidR="00A77B44" w:rsidRPr="00B47BDA" w:rsidRDefault="00A77B44" w:rsidP="00B70EA3">
      <w:pPr>
        <w:pStyle w:val="NormalWeb"/>
        <w:numPr>
          <w:ilvl w:val="1"/>
          <w:numId w:val="136"/>
        </w:numPr>
        <w:spacing w:before="120" w:beforeAutospacing="0" w:after="60" w:afterAutospacing="0"/>
        <w:ind w:left="1134" w:hanging="357"/>
        <w:contextualSpacing/>
        <w:rPr>
          <w:rFonts w:eastAsiaTheme="minorHAnsi"/>
        </w:rPr>
      </w:pPr>
      <w:r w:rsidRPr="00B47BDA">
        <w:rPr>
          <w:rFonts w:eastAsiaTheme="minorHAnsi"/>
        </w:rPr>
        <w:t>obavještavanje operatora susjednih prijenosnih sustava,</w:t>
      </w:r>
    </w:p>
    <w:p w14:paraId="79B50FCE" w14:textId="77777777" w:rsidR="00A77B44" w:rsidRPr="00B47BDA" w:rsidRDefault="00A77B44" w:rsidP="00B70EA3">
      <w:pPr>
        <w:pStyle w:val="NormalWeb"/>
        <w:numPr>
          <w:ilvl w:val="1"/>
          <w:numId w:val="136"/>
        </w:numPr>
        <w:spacing w:before="120" w:beforeAutospacing="0" w:after="60" w:afterAutospacing="0"/>
        <w:ind w:left="1134" w:hanging="357"/>
        <w:contextualSpacing/>
        <w:rPr>
          <w:rFonts w:eastAsiaTheme="minorHAnsi"/>
        </w:rPr>
      </w:pPr>
      <w:r w:rsidRPr="00B47BDA">
        <w:rPr>
          <w:rFonts w:eastAsiaTheme="minorHAnsi"/>
        </w:rPr>
        <w:t>međusobno izvješćivanje i komunikaciju s operatorima susjednih prijenosnih sustava, ovlaštenicima korisnika prijenosne mreže i ovlaštenikom operatora distribucijske mreže,</w:t>
      </w:r>
    </w:p>
    <w:p w14:paraId="322C465A" w14:textId="77777777" w:rsidR="00A77B44" w:rsidRPr="00B47BDA" w:rsidRDefault="00A77B44" w:rsidP="00B70EA3">
      <w:pPr>
        <w:pStyle w:val="NormalWeb"/>
        <w:numPr>
          <w:ilvl w:val="1"/>
          <w:numId w:val="136"/>
        </w:numPr>
        <w:spacing w:before="120" w:beforeAutospacing="0" w:after="60" w:afterAutospacing="0"/>
        <w:ind w:left="1134" w:hanging="357"/>
        <w:contextualSpacing/>
        <w:rPr>
          <w:rFonts w:eastAsiaTheme="minorHAnsi"/>
        </w:rPr>
      </w:pPr>
      <w:r w:rsidRPr="00B47BDA">
        <w:rPr>
          <w:rFonts w:eastAsiaTheme="minorHAnsi"/>
        </w:rPr>
        <w:t>smjernice za djelovanje radi ponovne uspostave napajanja,</w:t>
      </w:r>
    </w:p>
    <w:p w14:paraId="6793AF8D" w14:textId="77777777" w:rsidR="00A77B44" w:rsidRPr="00B47BDA" w:rsidRDefault="00A77B44" w:rsidP="00B70EA3">
      <w:pPr>
        <w:pStyle w:val="NormalWeb"/>
        <w:numPr>
          <w:ilvl w:val="1"/>
          <w:numId w:val="136"/>
        </w:numPr>
        <w:spacing w:before="120" w:beforeAutospacing="0" w:after="60" w:afterAutospacing="0"/>
        <w:ind w:left="1134" w:hanging="357"/>
        <w:contextualSpacing/>
        <w:rPr>
          <w:rFonts w:eastAsiaTheme="minorHAnsi"/>
        </w:rPr>
      </w:pPr>
      <w:r w:rsidRPr="00B47BDA">
        <w:rPr>
          <w:rFonts w:eastAsiaTheme="minorHAnsi"/>
        </w:rPr>
        <w:t>upućivanje na radne procedure,</w:t>
      </w:r>
    </w:p>
    <w:p w14:paraId="27C2B1A8" w14:textId="13300E62" w:rsidR="00A77B44" w:rsidRPr="00B47BDA" w:rsidRDefault="00A77B44" w:rsidP="00B70EA3">
      <w:pPr>
        <w:pStyle w:val="NormalWeb"/>
        <w:numPr>
          <w:ilvl w:val="1"/>
          <w:numId w:val="136"/>
        </w:numPr>
        <w:spacing w:before="120" w:beforeAutospacing="0" w:after="60" w:afterAutospacing="0"/>
        <w:ind w:left="1134" w:hanging="357"/>
        <w:contextualSpacing/>
        <w:rPr>
          <w:rFonts w:eastAsiaTheme="minorHAnsi"/>
        </w:rPr>
      </w:pPr>
      <w:r w:rsidRPr="00B47BDA">
        <w:rPr>
          <w:rFonts w:eastAsiaTheme="minorHAnsi"/>
        </w:rPr>
        <w:t>izvještavanje o velikom poremećaju</w:t>
      </w:r>
      <w:r w:rsidR="00171BA4">
        <w:rPr>
          <w:rFonts w:eastAsiaTheme="minorHAnsi"/>
        </w:rPr>
        <w:t>,</w:t>
      </w:r>
      <w:r w:rsidRPr="00B47BDA">
        <w:rPr>
          <w:rFonts w:eastAsiaTheme="minorHAnsi"/>
        </w:rPr>
        <w:t xml:space="preserve"> i</w:t>
      </w:r>
    </w:p>
    <w:p w14:paraId="7326300D" w14:textId="77777777" w:rsidR="00A77B44" w:rsidRPr="00B47BDA" w:rsidRDefault="00A77B44" w:rsidP="00B70EA3">
      <w:pPr>
        <w:pStyle w:val="NormalWeb"/>
        <w:numPr>
          <w:ilvl w:val="1"/>
          <w:numId w:val="136"/>
        </w:numPr>
        <w:spacing w:before="120" w:beforeAutospacing="0" w:after="60" w:afterAutospacing="0"/>
        <w:ind w:left="1134" w:hanging="357"/>
        <w:contextualSpacing/>
        <w:rPr>
          <w:rFonts w:eastAsiaTheme="minorHAnsi"/>
        </w:rPr>
      </w:pPr>
      <w:r w:rsidRPr="00B47BDA">
        <w:rPr>
          <w:rFonts w:eastAsiaTheme="minorHAnsi"/>
        </w:rPr>
        <w:t>analizu velikog poremećaja.</w:t>
      </w:r>
    </w:p>
    <w:p w14:paraId="4D8AFA34" w14:textId="12E47797" w:rsidR="0067220B" w:rsidRPr="00B47BDA" w:rsidRDefault="0067220B" w:rsidP="005C2C7E">
      <w:pPr>
        <w:pStyle w:val="Heading4"/>
        <w:numPr>
          <w:ilvl w:val="3"/>
          <w:numId w:val="175"/>
        </w:numPr>
        <w:ind w:hanging="580"/>
      </w:pPr>
      <w:r w:rsidRPr="00B47BDA">
        <w:t>Projekcije kretanja uz postojeće politike i mjere barem do 2040. (uključujući projekcije za 2030.)</w:t>
      </w:r>
    </w:p>
    <w:p w14:paraId="22250EFA" w14:textId="69070FE0" w:rsidR="0047554F" w:rsidRPr="00B47BDA" w:rsidRDefault="004C6FC2" w:rsidP="004623DD">
      <w:r w:rsidRPr="00B47BDA">
        <w:t>S</w:t>
      </w:r>
      <w:r w:rsidR="0047554F" w:rsidRPr="00B47BDA">
        <w:t>truktur</w:t>
      </w:r>
      <w:r w:rsidR="005831AD" w:rsidRPr="00B47BDA">
        <w:t>u</w:t>
      </w:r>
      <w:r w:rsidR="0047554F" w:rsidRPr="00B47BDA">
        <w:t xml:space="preserve"> i </w:t>
      </w:r>
      <w:r w:rsidR="005831AD" w:rsidRPr="00B47BDA">
        <w:t xml:space="preserve">očekivanu proizvodnju </w:t>
      </w:r>
      <w:r w:rsidR="0047554F" w:rsidRPr="00B47BDA">
        <w:t xml:space="preserve">primarne energije za </w:t>
      </w:r>
      <w:r w:rsidR="00731B1C" w:rsidRPr="00B47BDA">
        <w:t>s</w:t>
      </w:r>
      <w:r w:rsidR="0047554F" w:rsidRPr="00B47BDA">
        <w:t xml:space="preserve">cenarij s postojećim mjerama </w:t>
      </w:r>
      <w:r w:rsidR="00731B1C" w:rsidRPr="00B47BDA">
        <w:t xml:space="preserve">(WEM scenarij) </w:t>
      </w:r>
      <w:r w:rsidR="0047554F" w:rsidRPr="00B47BDA">
        <w:t>prikaz</w:t>
      </w:r>
      <w:r w:rsidR="005831AD" w:rsidRPr="00B47BDA">
        <w:t xml:space="preserve">uju </w:t>
      </w:r>
      <w:r w:rsidR="005831AD" w:rsidRPr="00B47BDA">
        <w:fldChar w:fldCharType="begin"/>
      </w:r>
      <w:r w:rsidR="005831AD" w:rsidRPr="00B47BDA">
        <w:rPr>
          <w:highlight w:val="yellow"/>
        </w:rPr>
        <w:instrText xml:space="preserve"> REF _Ref11062612 \h </w:instrText>
      </w:r>
      <w:r w:rsidR="0078502B" w:rsidRPr="00B47BDA">
        <w:rPr>
          <w:highlight w:val="yellow"/>
        </w:rPr>
        <w:instrText xml:space="preserve"> \* MERGEFORMAT </w:instrText>
      </w:r>
      <w:r w:rsidR="005831AD" w:rsidRPr="00B47BDA">
        <w:fldChar w:fldCharType="separate"/>
      </w:r>
      <w:r w:rsidR="00064ADE" w:rsidRPr="00032675">
        <w:t xml:space="preserve">Tablica </w:t>
      </w:r>
      <w:r w:rsidR="00064ADE">
        <w:t>4</w:t>
      </w:r>
      <w:r w:rsidR="00064ADE" w:rsidRPr="00032675">
        <w:noBreakHyphen/>
      </w:r>
      <w:r w:rsidR="00064ADE">
        <w:t>19</w:t>
      </w:r>
      <w:r w:rsidR="00064ADE" w:rsidRPr="00032675">
        <w:t xml:space="preserve">. </w:t>
      </w:r>
      <w:r w:rsidR="005831AD" w:rsidRPr="00B47BDA">
        <w:fldChar w:fldCharType="end"/>
      </w:r>
      <w:r w:rsidR="0047554F" w:rsidRPr="00B47BDA">
        <w:t xml:space="preserve">i </w:t>
      </w:r>
      <w:r w:rsidR="005831AD" w:rsidRPr="00B47BDA">
        <w:fldChar w:fldCharType="begin"/>
      </w:r>
      <w:r w:rsidR="005831AD" w:rsidRPr="00B47BDA">
        <w:rPr>
          <w:highlight w:val="yellow"/>
        </w:rPr>
        <w:instrText xml:space="preserve"> REF _Ref11062639 \h </w:instrText>
      </w:r>
      <w:r w:rsidR="0078502B" w:rsidRPr="00B47BDA">
        <w:rPr>
          <w:highlight w:val="yellow"/>
        </w:rPr>
        <w:instrText xml:space="preserve"> \* MERGEFORMAT </w:instrText>
      </w:r>
      <w:r w:rsidR="005831AD" w:rsidRPr="00B47BDA">
        <w:fldChar w:fldCharType="separate"/>
      </w:r>
      <w:r w:rsidR="00AD324D" w:rsidRPr="00B47BDA">
        <w:t xml:space="preserve">Slika </w:t>
      </w:r>
      <w:r w:rsidR="00AD324D">
        <w:t>4</w:t>
      </w:r>
      <w:r w:rsidR="00AD324D">
        <w:noBreakHyphen/>
        <w:t>13</w:t>
      </w:r>
      <w:r w:rsidR="005831AD" w:rsidRPr="00B47BDA">
        <w:fldChar w:fldCharType="end"/>
      </w:r>
      <w:r w:rsidR="004836D6" w:rsidRPr="00B47BDA">
        <w:t>.</w:t>
      </w:r>
    </w:p>
    <w:p w14:paraId="02BC4CD0" w14:textId="1A0F958D" w:rsidR="0047554F" w:rsidRPr="00B47BDA" w:rsidRDefault="0047554F" w:rsidP="00E928EC">
      <w:pPr>
        <w:pStyle w:val="Caption"/>
        <w:spacing w:before="240"/>
      </w:pPr>
      <w:bookmarkStart w:id="608" w:name="_Ref11062612"/>
      <w:bookmarkStart w:id="609" w:name="_Toc193035970"/>
      <w:r w:rsidRPr="00032675">
        <w:t xml:space="preserve">Tablica </w:t>
      </w:r>
      <w:r>
        <w:fldChar w:fldCharType="begin"/>
      </w:r>
      <w:r>
        <w:instrText>STYLEREF 1 \s</w:instrText>
      </w:r>
      <w:r>
        <w:fldChar w:fldCharType="separate"/>
      </w:r>
      <w:r w:rsidR="00AD324D">
        <w:rPr>
          <w:noProof/>
        </w:rPr>
        <w:t>4</w:t>
      </w:r>
      <w:r>
        <w:fldChar w:fldCharType="end"/>
      </w:r>
      <w:r w:rsidR="000C3EFD" w:rsidRPr="00032675">
        <w:noBreakHyphen/>
      </w:r>
      <w:r>
        <w:fldChar w:fldCharType="begin"/>
      </w:r>
      <w:r>
        <w:instrText>SEQ Tablica \* ARABIC \s 1</w:instrText>
      </w:r>
      <w:r>
        <w:fldChar w:fldCharType="separate"/>
      </w:r>
      <w:r w:rsidR="00064ADE">
        <w:rPr>
          <w:noProof/>
        </w:rPr>
        <w:t>19</w:t>
      </w:r>
      <w:r>
        <w:fldChar w:fldCharType="end"/>
      </w:r>
      <w:r w:rsidRPr="00032675">
        <w:t xml:space="preserve">. </w:t>
      </w:r>
      <w:bookmarkEnd w:id="608"/>
      <w:r w:rsidRPr="00032675">
        <w:t xml:space="preserve">Očekivana proizvodnja primarne energije – </w:t>
      </w:r>
      <w:r w:rsidR="00731B1C" w:rsidRPr="00032675">
        <w:t>WEM scenarij</w:t>
      </w:r>
      <w:bookmarkEnd w:id="609"/>
    </w:p>
    <w:tbl>
      <w:tblPr>
        <w:tblW w:w="6658" w:type="dxa"/>
        <w:jc w:val="center"/>
        <w:tblLook w:val="04A0" w:firstRow="1" w:lastRow="0" w:firstColumn="1" w:lastColumn="0" w:noHBand="0" w:noVBand="1"/>
      </w:tblPr>
      <w:tblGrid>
        <w:gridCol w:w="960"/>
        <w:gridCol w:w="1020"/>
        <w:gridCol w:w="992"/>
        <w:gridCol w:w="1146"/>
        <w:gridCol w:w="1371"/>
        <w:gridCol w:w="1276"/>
      </w:tblGrid>
      <w:tr w:rsidR="00675563" w:rsidRPr="00512EAA" w14:paraId="34C84077" w14:textId="77777777" w:rsidTr="007158FC">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E6EAB31" w14:textId="77777777" w:rsidR="00675563" w:rsidRPr="00512EAA" w:rsidRDefault="00675563" w:rsidP="004623DD">
            <w:pPr>
              <w:rPr>
                <w:sz w:val="22"/>
                <w:szCs w:val="22"/>
              </w:rPr>
            </w:pPr>
            <w:r w:rsidRPr="00512EAA">
              <w:rPr>
                <w:sz w:val="22"/>
                <w:szCs w:val="22"/>
              </w:rPr>
              <w:t>PJ</w:t>
            </w:r>
          </w:p>
        </w:tc>
        <w:tc>
          <w:tcPr>
            <w:tcW w:w="102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76AA6458" w14:textId="77777777" w:rsidR="00675563" w:rsidRPr="00512EAA" w:rsidRDefault="00675563" w:rsidP="00032675">
            <w:pPr>
              <w:jc w:val="center"/>
              <w:rPr>
                <w:b/>
                <w:sz w:val="22"/>
                <w:szCs w:val="22"/>
              </w:rPr>
            </w:pPr>
            <w:r w:rsidRPr="00512EAA">
              <w:rPr>
                <w:b/>
                <w:sz w:val="22"/>
                <w:szCs w:val="22"/>
              </w:rPr>
              <w:t>Tekuća goriva</w:t>
            </w:r>
          </w:p>
        </w:tc>
        <w:tc>
          <w:tcPr>
            <w:tcW w:w="99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1D87364" w14:textId="77777777" w:rsidR="00675563" w:rsidRPr="00512EAA" w:rsidRDefault="00675563" w:rsidP="00032675">
            <w:pPr>
              <w:jc w:val="center"/>
              <w:rPr>
                <w:b/>
                <w:sz w:val="22"/>
                <w:szCs w:val="22"/>
              </w:rPr>
            </w:pPr>
            <w:r w:rsidRPr="00512EAA">
              <w:rPr>
                <w:b/>
                <w:sz w:val="22"/>
                <w:szCs w:val="22"/>
              </w:rPr>
              <w:t>Prirodni plin</w:t>
            </w:r>
          </w:p>
        </w:tc>
        <w:tc>
          <w:tcPr>
            <w:tcW w:w="1134"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67CF7AB3" w14:textId="77777777" w:rsidR="00675563" w:rsidRPr="00512EAA" w:rsidRDefault="00675563" w:rsidP="00032675">
            <w:pPr>
              <w:jc w:val="center"/>
              <w:rPr>
                <w:b/>
                <w:sz w:val="22"/>
                <w:szCs w:val="22"/>
              </w:rPr>
            </w:pPr>
            <w:r w:rsidRPr="00512EAA">
              <w:rPr>
                <w:b/>
                <w:sz w:val="22"/>
                <w:szCs w:val="22"/>
              </w:rPr>
              <w:t>Obnovljivi izvori</w:t>
            </w:r>
          </w:p>
        </w:tc>
        <w:tc>
          <w:tcPr>
            <w:tcW w:w="1276"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DA307CA" w14:textId="77777777" w:rsidR="00675563" w:rsidRPr="00512EAA" w:rsidRDefault="00675563" w:rsidP="00032675">
            <w:pPr>
              <w:jc w:val="center"/>
              <w:rPr>
                <w:b/>
                <w:sz w:val="22"/>
                <w:szCs w:val="22"/>
              </w:rPr>
            </w:pPr>
            <w:r w:rsidRPr="00512EAA">
              <w:rPr>
                <w:b/>
                <w:sz w:val="22"/>
                <w:szCs w:val="22"/>
              </w:rPr>
              <w:t>Neobnovljivi otpad</w:t>
            </w:r>
          </w:p>
        </w:tc>
        <w:tc>
          <w:tcPr>
            <w:tcW w:w="1276"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26E83F0" w14:textId="77777777" w:rsidR="00675563" w:rsidRPr="00512EAA" w:rsidRDefault="00675563" w:rsidP="00032675">
            <w:pPr>
              <w:jc w:val="center"/>
              <w:rPr>
                <w:b/>
                <w:sz w:val="22"/>
                <w:szCs w:val="22"/>
              </w:rPr>
            </w:pPr>
            <w:r w:rsidRPr="00512EAA">
              <w:rPr>
                <w:b/>
                <w:sz w:val="22"/>
                <w:szCs w:val="22"/>
              </w:rPr>
              <w:t>Ukupno</w:t>
            </w:r>
          </w:p>
        </w:tc>
      </w:tr>
      <w:tr w:rsidR="00675563" w:rsidRPr="00512EAA" w14:paraId="12E6DEC6" w14:textId="77777777" w:rsidTr="00032675">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5DEA81" w14:textId="77777777" w:rsidR="00675563" w:rsidRPr="00512EAA" w:rsidRDefault="00675563" w:rsidP="004623DD">
            <w:pPr>
              <w:rPr>
                <w:b/>
                <w:sz w:val="22"/>
                <w:szCs w:val="22"/>
              </w:rPr>
            </w:pPr>
            <w:r w:rsidRPr="00512EAA">
              <w:rPr>
                <w:b/>
                <w:sz w:val="22"/>
                <w:szCs w:val="22"/>
              </w:rPr>
              <w:t>2021.</w:t>
            </w:r>
          </w:p>
        </w:tc>
        <w:tc>
          <w:tcPr>
            <w:tcW w:w="1020" w:type="dxa"/>
            <w:tcBorders>
              <w:top w:val="nil"/>
              <w:left w:val="nil"/>
              <w:bottom w:val="single" w:sz="4" w:space="0" w:color="auto"/>
              <w:right w:val="single" w:sz="4" w:space="0" w:color="auto"/>
            </w:tcBorders>
            <w:shd w:val="clear" w:color="auto" w:fill="auto"/>
            <w:noWrap/>
            <w:vAlign w:val="bottom"/>
            <w:hideMark/>
          </w:tcPr>
          <w:p w14:paraId="0AF9FF1A" w14:textId="77777777" w:rsidR="00675563" w:rsidRPr="00512EAA" w:rsidRDefault="00675563" w:rsidP="00032675">
            <w:pPr>
              <w:jc w:val="center"/>
              <w:rPr>
                <w:sz w:val="22"/>
                <w:szCs w:val="22"/>
              </w:rPr>
            </w:pPr>
            <w:r w:rsidRPr="00512EAA">
              <w:rPr>
                <w:sz w:val="22"/>
                <w:szCs w:val="22"/>
              </w:rPr>
              <w:t>26,28</w:t>
            </w:r>
          </w:p>
        </w:tc>
        <w:tc>
          <w:tcPr>
            <w:tcW w:w="992" w:type="dxa"/>
            <w:tcBorders>
              <w:top w:val="nil"/>
              <w:left w:val="nil"/>
              <w:bottom w:val="single" w:sz="4" w:space="0" w:color="auto"/>
              <w:right w:val="single" w:sz="4" w:space="0" w:color="auto"/>
            </w:tcBorders>
            <w:shd w:val="clear" w:color="auto" w:fill="auto"/>
            <w:noWrap/>
            <w:vAlign w:val="bottom"/>
            <w:hideMark/>
          </w:tcPr>
          <w:p w14:paraId="33BC50AE" w14:textId="77777777" w:rsidR="00675563" w:rsidRPr="00512EAA" w:rsidRDefault="00675563" w:rsidP="00032675">
            <w:pPr>
              <w:jc w:val="center"/>
              <w:rPr>
                <w:sz w:val="22"/>
                <w:szCs w:val="22"/>
              </w:rPr>
            </w:pPr>
            <w:r w:rsidRPr="00512EAA">
              <w:rPr>
                <w:sz w:val="22"/>
                <w:szCs w:val="22"/>
              </w:rPr>
              <w:t>26,11</w:t>
            </w:r>
          </w:p>
        </w:tc>
        <w:tc>
          <w:tcPr>
            <w:tcW w:w="1134" w:type="dxa"/>
            <w:tcBorders>
              <w:top w:val="nil"/>
              <w:left w:val="nil"/>
              <w:bottom w:val="single" w:sz="4" w:space="0" w:color="auto"/>
              <w:right w:val="single" w:sz="4" w:space="0" w:color="auto"/>
            </w:tcBorders>
            <w:shd w:val="clear" w:color="auto" w:fill="auto"/>
            <w:noWrap/>
            <w:vAlign w:val="bottom"/>
            <w:hideMark/>
          </w:tcPr>
          <w:p w14:paraId="5A6FE615" w14:textId="77777777" w:rsidR="00675563" w:rsidRPr="00512EAA" w:rsidRDefault="00675563" w:rsidP="00032675">
            <w:pPr>
              <w:jc w:val="center"/>
              <w:rPr>
                <w:sz w:val="22"/>
                <w:szCs w:val="22"/>
              </w:rPr>
            </w:pPr>
            <w:r w:rsidRPr="00512EAA">
              <w:rPr>
                <w:sz w:val="22"/>
                <w:szCs w:val="22"/>
              </w:rPr>
              <w:t>111,43</w:t>
            </w:r>
          </w:p>
        </w:tc>
        <w:tc>
          <w:tcPr>
            <w:tcW w:w="1276" w:type="dxa"/>
            <w:tcBorders>
              <w:top w:val="nil"/>
              <w:left w:val="nil"/>
              <w:bottom w:val="single" w:sz="4" w:space="0" w:color="auto"/>
              <w:right w:val="single" w:sz="4" w:space="0" w:color="auto"/>
            </w:tcBorders>
            <w:shd w:val="clear" w:color="auto" w:fill="auto"/>
            <w:noWrap/>
            <w:vAlign w:val="bottom"/>
            <w:hideMark/>
          </w:tcPr>
          <w:p w14:paraId="11DAA509" w14:textId="77777777" w:rsidR="00675563" w:rsidRPr="00512EAA" w:rsidRDefault="00675563" w:rsidP="00032675">
            <w:pPr>
              <w:jc w:val="center"/>
              <w:rPr>
                <w:sz w:val="22"/>
                <w:szCs w:val="22"/>
              </w:rPr>
            </w:pPr>
            <w:r w:rsidRPr="00512EAA">
              <w:rPr>
                <w:sz w:val="22"/>
                <w:szCs w:val="22"/>
              </w:rPr>
              <w:t>1,89</w:t>
            </w:r>
          </w:p>
        </w:tc>
        <w:tc>
          <w:tcPr>
            <w:tcW w:w="1276" w:type="dxa"/>
            <w:tcBorders>
              <w:top w:val="nil"/>
              <w:left w:val="nil"/>
              <w:bottom w:val="single" w:sz="4" w:space="0" w:color="auto"/>
              <w:right w:val="single" w:sz="4" w:space="0" w:color="auto"/>
            </w:tcBorders>
            <w:shd w:val="clear" w:color="auto" w:fill="auto"/>
            <w:noWrap/>
            <w:vAlign w:val="bottom"/>
            <w:hideMark/>
          </w:tcPr>
          <w:p w14:paraId="0BFA0D8F" w14:textId="77777777" w:rsidR="00675563" w:rsidRPr="00512EAA" w:rsidRDefault="00675563" w:rsidP="00032675">
            <w:pPr>
              <w:jc w:val="center"/>
              <w:rPr>
                <w:b/>
                <w:sz w:val="22"/>
                <w:szCs w:val="22"/>
              </w:rPr>
            </w:pPr>
            <w:r w:rsidRPr="00512EAA">
              <w:rPr>
                <w:b/>
                <w:sz w:val="22"/>
                <w:szCs w:val="22"/>
              </w:rPr>
              <w:t>165,71</w:t>
            </w:r>
          </w:p>
        </w:tc>
      </w:tr>
      <w:tr w:rsidR="00675563" w:rsidRPr="00512EAA" w14:paraId="3F9B52C7" w14:textId="77777777" w:rsidTr="00032675">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FD11C5" w14:textId="77777777" w:rsidR="00675563" w:rsidRPr="00512EAA" w:rsidRDefault="00675563" w:rsidP="004623DD">
            <w:pPr>
              <w:rPr>
                <w:b/>
                <w:sz w:val="22"/>
                <w:szCs w:val="22"/>
              </w:rPr>
            </w:pPr>
            <w:r w:rsidRPr="00512EAA">
              <w:rPr>
                <w:b/>
                <w:sz w:val="22"/>
                <w:szCs w:val="22"/>
              </w:rPr>
              <w:t>2030.</w:t>
            </w:r>
          </w:p>
        </w:tc>
        <w:tc>
          <w:tcPr>
            <w:tcW w:w="1020" w:type="dxa"/>
            <w:tcBorders>
              <w:top w:val="nil"/>
              <w:left w:val="nil"/>
              <w:bottom w:val="single" w:sz="4" w:space="0" w:color="auto"/>
              <w:right w:val="single" w:sz="4" w:space="0" w:color="auto"/>
            </w:tcBorders>
            <w:shd w:val="clear" w:color="auto" w:fill="auto"/>
            <w:noWrap/>
            <w:vAlign w:val="bottom"/>
            <w:hideMark/>
          </w:tcPr>
          <w:p w14:paraId="309F831E" w14:textId="77777777" w:rsidR="00675563" w:rsidRPr="00512EAA" w:rsidRDefault="00675563" w:rsidP="00032675">
            <w:pPr>
              <w:jc w:val="center"/>
              <w:rPr>
                <w:sz w:val="22"/>
                <w:szCs w:val="22"/>
              </w:rPr>
            </w:pPr>
            <w:r w:rsidRPr="00512EAA">
              <w:rPr>
                <w:sz w:val="22"/>
                <w:szCs w:val="22"/>
              </w:rPr>
              <w:t>30,25</w:t>
            </w:r>
          </w:p>
        </w:tc>
        <w:tc>
          <w:tcPr>
            <w:tcW w:w="992" w:type="dxa"/>
            <w:tcBorders>
              <w:top w:val="nil"/>
              <w:left w:val="nil"/>
              <w:bottom w:val="single" w:sz="4" w:space="0" w:color="auto"/>
              <w:right w:val="single" w:sz="4" w:space="0" w:color="auto"/>
            </w:tcBorders>
            <w:shd w:val="clear" w:color="auto" w:fill="auto"/>
            <w:noWrap/>
            <w:vAlign w:val="bottom"/>
            <w:hideMark/>
          </w:tcPr>
          <w:p w14:paraId="7275D37D" w14:textId="77777777" w:rsidR="00675563" w:rsidRPr="00512EAA" w:rsidRDefault="00675563" w:rsidP="00032675">
            <w:pPr>
              <w:jc w:val="center"/>
              <w:rPr>
                <w:sz w:val="22"/>
                <w:szCs w:val="22"/>
              </w:rPr>
            </w:pPr>
            <w:r w:rsidRPr="00512EAA">
              <w:rPr>
                <w:sz w:val="22"/>
                <w:szCs w:val="22"/>
              </w:rPr>
              <w:t>32,18</w:t>
            </w:r>
          </w:p>
        </w:tc>
        <w:tc>
          <w:tcPr>
            <w:tcW w:w="1134" w:type="dxa"/>
            <w:tcBorders>
              <w:top w:val="nil"/>
              <w:left w:val="nil"/>
              <w:bottom w:val="single" w:sz="4" w:space="0" w:color="auto"/>
              <w:right w:val="single" w:sz="4" w:space="0" w:color="auto"/>
            </w:tcBorders>
            <w:shd w:val="clear" w:color="auto" w:fill="auto"/>
            <w:noWrap/>
            <w:vAlign w:val="bottom"/>
            <w:hideMark/>
          </w:tcPr>
          <w:p w14:paraId="2D3F4817" w14:textId="77777777" w:rsidR="00675563" w:rsidRPr="00512EAA" w:rsidRDefault="00675563" w:rsidP="00032675">
            <w:pPr>
              <w:jc w:val="center"/>
              <w:rPr>
                <w:sz w:val="22"/>
                <w:szCs w:val="22"/>
              </w:rPr>
            </w:pPr>
            <w:r w:rsidRPr="00512EAA">
              <w:rPr>
                <w:sz w:val="22"/>
                <w:szCs w:val="22"/>
              </w:rPr>
              <w:t>122,46</w:t>
            </w:r>
          </w:p>
        </w:tc>
        <w:tc>
          <w:tcPr>
            <w:tcW w:w="1276" w:type="dxa"/>
            <w:tcBorders>
              <w:top w:val="nil"/>
              <w:left w:val="nil"/>
              <w:bottom w:val="single" w:sz="4" w:space="0" w:color="auto"/>
              <w:right w:val="single" w:sz="4" w:space="0" w:color="auto"/>
            </w:tcBorders>
            <w:shd w:val="clear" w:color="auto" w:fill="auto"/>
            <w:noWrap/>
            <w:vAlign w:val="bottom"/>
            <w:hideMark/>
          </w:tcPr>
          <w:p w14:paraId="6FBD6090" w14:textId="77777777" w:rsidR="00675563" w:rsidRPr="00512EAA" w:rsidRDefault="00675563" w:rsidP="00032675">
            <w:pPr>
              <w:jc w:val="center"/>
              <w:rPr>
                <w:sz w:val="22"/>
                <w:szCs w:val="22"/>
              </w:rPr>
            </w:pPr>
            <w:r w:rsidRPr="00512EAA">
              <w:rPr>
                <w:sz w:val="22"/>
                <w:szCs w:val="22"/>
              </w:rPr>
              <w:t>1,63</w:t>
            </w:r>
          </w:p>
        </w:tc>
        <w:tc>
          <w:tcPr>
            <w:tcW w:w="1276" w:type="dxa"/>
            <w:tcBorders>
              <w:top w:val="nil"/>
              <w:left w:val="nil"/>
              <w:bottom w:val="single" w:sz="4" w:space="0" w:color="auto"/>
              <w:right w:val="single" w:sz="4" w:space="0" w:color="auto"/>
            </w:tcBorders>
            <w:shd w:val="clear" w:color="auto" w:fill="auto"/>
            <w:noWrap/>
            <w:vAlign w:val="bottom"/>
            <w:hideMark/>
          </w:tcPr>
          <w:p w14:paraId="4F2E55B8" w14:textId="77777777" w:rsidR="00675563" w:rsidRPr="00512EAA" w:rsidRDefault="00675563" w:rsidP="00032675">
            <w:pPr>
              <w:jc w:val="center"/>
              <w:rPr>
                <w:b/>
                <w:sz w:val="22"/>
                <w:szCs w:val="22"/>
              </w:rPr>
            </w:pPr>
            <w:r w:rsidRPr="00512EAA">
              <w:rPr>
                <w:b/>
                <w:sz w:val="22"/>
                <w:szCs w:val="22"/>
              </w:rPr>
              <w:t>186,52</w:t>
            </w:r>
          </w:p>
        </w:tc>
      </w:tr>
      <w:tr w:rsidR="00675563" w:rsidRPr="00512EAA" w14:paraId="4D507C88" w14:textId="77777777" w:rsidTr="00032675">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C37B74" w14:textId="77777777" w:rsidR="00675563" w:rsidRPr="00512EAA" w:rsidRDefault="00675563" w:rsidP="004623DD">
            <w:pPr>
              <w:rPr>
                <w:b/>
                <w:sz w:val="22"/>
                <w:szCs w:val="22"/>
              </w:rPr>
            </w:pPr>
            <w:r w:rsidRPr="00512EAA">
              <w:rPr>
                <w:b/>
                <w:sz w:val="22"/>
                <w:szCs w:val="22"/>
              </w:rPr>
              <w:t>2040.</w:t>
            </w:r>
          </w:p>
        </w:tc>
        <w:tc>
          <w:tcPr>
            <w:tcW w:w="1020" w:type="dxa"/>
            <w:tcBorders>
              <w:top w:val="nil"/>
              <w:left w:val="nil"/>
              <w:bottom w:val="single" w:sz="4" w:space="0" w:color="auto"/>
              <w:right w:val="single" w:sz="4" w:space="0" w:color="auto"/>
            </w:tcBorders>
            <w:shd w:val="clear" w:color="auto" w:fill="auto"/>
            <w:noWrap/>
            <w:vAlign w:val="bottom"/>
            <w:hideMark/>
          </w:tcPr>
          <w:p w14:paraId="1A63DED8" w14:textId="77777777" w:rsidR="00675563" w:rsidRPr="00512EAA" w:rsidRDefault="00675563" w:rsidP="00032675">
            <w:pPr>
              <w:jc w:val="center"/>
              <w:rPr>
                <w:sz w:val="22"/>
                <w:szCs w:val="22"/>
              </w:rPr>
            </w:pPr>
            <w:r w:rsidRPr="00512EAA">
              <w:rPr>
                <w:sz w:val="22"/>
                <w:szCs w:val="22"/>
              </w:rPr>
              <w:t>32,29</w:t>
            </w:r>
          </w:p>
        </w:tc>
        <w:tc>
          <w:tcPr>
            <w:tcW w:w="992" w:type="dxa"/>
            <w:tcBorders>
              <w:top w:val="nil"/>
              <w:left w:val="nil"/>
              <w:bottom w:val="single" w:sz="4" w:space="0" w:color="auto"/>
              <w:right w:val="single" w:sz="4" w:space="0" w:color="auto"/>
            </w:tcBorders>
            <w:shd w:val="clear" w:color="auto" w:fill="auto"/>
            <w:noWrap/>
            <w:vAlign w:val="bottom"/>
            <w:hideMark/>
          </w:tcPr>
          <w:p w14:paraId="0468C5CF" w14:textId="77777777" w:rsidR="00675563" w:rsidRPr="00512EAA" w:rsidRDefault="00675563" w:rsidP="00032675">
            <w:pPr>
              <w:jc w:val="center"/>
              <w:rPr>
                <w:sz w:val="22"/>
                <w:szCs w:val="22"/>
              </w:rPr>
            </w:pPr>
            <w:r w:rsidRPr="00512EAA">
              <w:rPr>
                <w:sz w:val="22"/>
                <w:szCs w:val="22"/>
              </w:rPr>
              <w:t>27,89</w:t>
            </w:r>
          </w:p>
        </w:tc>
        <w:tc>
          <w:tcPr>
            <w:tcW w:w="1134" w:type="dxa"/>
            <w:tcBorders>
              <w:top w:val="nil"/>
              <w:left w:val="nil"/>
              <w:bottom w:val="single" w:sz="4" w:space="0" w:color="auto"/>
              <w:right w:val="single" w:sz="4" w:space="0" w:color="auto"/>
            </w:tcBorders>
            <w:shd w:val="clear" w:color="auto" w:fill="auto"/>
            <w:noWrap/>
            <w:vAlign w:val="bottom"/>
            <w:hideMark/>
          </w:tcPr>
          <w:p w14:paraId="427958A9" w14:textId="77777777" w:rsidR="00675563" w:rsidRPr="00512EAA" w:rsidRDefault="00675563" w:rsidP="00032675">
            <w:pPr>
              <w:jc w:val="center"/>
              <w:rPr>
                <w:sz w:val="22"/>
                <w:szCs w:val="22"/>
              </w:rPr>
            </w:pPr>
            <w:r w:rsidRPr="00512EAA">
              <w:rPr>
                <w:sz w:val="22"/>
                <w:szCs w:val="22"/>
              </w:rPr>
              <w:t>145,61</w:t>
            </w:r>
          </w:p>
        </w:tc>
        <w:tc>
          <w:tcPr>
            <w:tcW w:w="1276" w:type="dxa"/>
            <w:tcBorders>
              <w:top w:val="nil"/>
              <w:left w:val="nil"/>
              <w:bottom w:val="single" w:sz="4" w:space="0" w:color="auto"/>
              <w:right w:val="single" w:sz="4" w:space="0" w:color="auto"/>
            </w:tcBorders>
            <w:shd w:val="clear" w:color="auto" w:fill="auto"/>
            <w:noWrap/>
            <w:vAlign w:val="bottom"/>
            <w:hideMark/>
          </w:tcPr>
          <w:p w14:paraId="444B29A8" w14:textId="77777777" w:rsidR="00675563" w:rsidRPr="00512EAA" w:rsidRDefault="00675563" w:rsidP="00032675">
            <w:pPr>
              <w:jc w:val="center"/>
              <w:rPr>
                <w:sz w:val="22"/>
                <w:szCs w:val="22"/>
              </w:rPr>
            </w:pPr>
            <w:r w:rsidRPr="00512EAA">
              <w:rPr>
                <w:sz w:val="22"/>
                <w:szCs w:val="22"/>
              </w:rPr>
              <w:t>1,32</w:t>
            </w:r>
          </w:p>
        </w:tc>
        <w:tc>
          <w:tcPr>
            <w:tcW w:w="1276" w:type="dxa"/>
            <w:tcBorders>
              <w:top w:val="nil"/>
              <w:left w:val="nil"/>
              <w:bottom w:val="single" w:sz="4" w:space="0" w:color="auto"/>
              <w:right w:val="single" w:sz="4" w:space="0" w:color="auto"/>
            </w:tcBorders>
            <w:shd w:val="clear" w:color="auto" w:fill="auto"/>
            <w:noWrap/>
            <w:vAlign w:val="bottom"/>
            <w:hideMark/>
          </w:tcPr>
          <w:p w14:paraId="1289D8D7" w14:textId="77777777" w:rsidR="00675563" w:rsidRPr="00512EAA" w:rsidRDefault="00675563" w:rsidP="00032675">
            <w:pPr>
              <w:jc w:val="center"/>
              <w:rPr>
                <w:b/>
                <w:sz w:val="22"/>
                <w:szCs w:val="22"/>
              </w:rPr>
            </w:pPr>
            <w:r w:rsidRPr="00512EAA">
              <w:rPr>
                <w:b/>
                <w:sz w:val="22"/>
                <w:szCs w:val="22"/>
              </w:rPr>
              <w:t>207,10</w:t>
            </w:r>
          </w:p>
        </w:tc>
      </w:tr>
    </w:tbl>
    <w:p w14:paraId="5BBE384A" w14:textId="16CF9554" w:rsidR="0047554F" w:rsidRDefault="0047554F" w:rsidP="004623DD">
      <w:pPr>
        <w:rPr>
          <w:highlight w:val="yellow"/>
        </w:rPr>
      </w:pPr>
    </w:p>
    <w:p w14:paraId="3DA1EA69" w14:textId="77777777" w:rsidR="00DB4563" w:rsidRPr="00B47BDA" w:rsidRDefault="00DB4563" w:rsidP="004623DD">
      <w:pPr>
        <w:rPr>
          <w:highlight w:val="yellow"/>
        </w:rPr>
      </w:pPr>
    </w:p>
    <w:p w14:paraId="6FEC36E2" w14:textId="0509208D" w:rsidR="00F31DE4" w:rsidRPr="00B47BDA" w:rsidRDefault="00CE3B91" w:rsidP="00032675">
      <w:pPr>
        <w:jc w:val="center"/>
      </w:pPr>
      <w:r w:rsidRPr="00B47BDA">
        <w:rPr>
          <w:noProof/>
          <w:lang w:eastAsia="hr-HR"/>
        </w:rPr>
        <w:lastRenderedPageBreak/>
        <w:drawing>
          <wp:inline distT="0" distB="0" distL="0" distR="0" wp14:anchorId="56EC7808" wp14:editId="0F456648">
            <wp:extent cx="4419600" cy="26060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497" t="2215" r="1997" b="3047"/>
                    <a:stretch/>
                  </pic:blipFill>
                  <pic:spPr bwMode="auto">
                    <a:xfrm>
                      <a:off x="0" y="0"/>
                      <a:ext cx="4419600" cy="2606040"/>
                    </a:xfrm>
                    <a:prstGeom prst="rect">
                      <a:avLst/>
                    </a:prstGeom>
                    <a:noFill/>
                    <a:ln>
                      <a:noFill/>
                    </a:ln>
                    <a:extLst>
                      <a:ext uri="{53640926-AAD7-44D8-BBD7-CCE9431645EC}">
                        <a14:shadowObscured xmlns:a14="http://schemas.microsoft.com/office/drawing/2010/main"/>
                      </a:ext>
                    </a:extLst>
                  </pic:spPr>
                </pic:pic>
              </a:graphicData>
            </a:graphic>
          </wp:inline>
        </w:drawing>
      </w:r>
    </w:p>
    <w:p w14:paraId="2B8245F1" w14:textId="58F00937" w:rsidR="0047554F" w:rsidRPr="00B47BDA" w:rsidRDefault="0047554F" w:rsidP="00E928EC">
      <w:pPr>
        <w:pStyle w:val="Caption"/>
        <w:spacing w:after="240"/>
      </w:pPr>
      <w:bookmarkStart w:id="610" w:name="_Ref11062639"/>
      <w:bookmarkStart w:id="611" w:name="_Toc185605262"/>
      <w:bookmarkStart w:id="612" w:name="_Toc193035908"/>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064ADE">
        <w:rPr>
          <w:noProof/>
        </w:rPr>
        <w:t>13</w:t>
      </w:r>
      <w:r>
        <w:fldChar w:fldCharType="end"/>
      </w:r>
      <w:bookmarkEnd w:id="610"/>
      <w:r w:rsidRPr="00B47BDA">
        <w:t xml:space="preserve">. Očekivana proizvodnja primarne energije – </w:t>
      </w:r>
      <w:r w:rsidR="003D5B07" w:rsidRPr="00B47BDA">
        <w:t>WEM scenarij</w:t>
      </w:r>
      <w:bookmarkEnd w:id="611"/>
      <w:bookmarkEnd w:id="612"/>
    </w:p>
    <w:p w14:paraId="0FE00BFD" w14:textId="6FCC1853" w:rsidR="0047554F" w:rsidRPr="00B47BDA" w:rsidRDefault="004C6FC2" w:rsidP="004623DD">
      <w:r w:rsidRPr="00B47BDA">
        <w:t>S</w:t>
      </w:r>
      <w:r w:rsidR="0047554F" w:rsidRPr="00B47BDA">
        <w:t xml:space="preserve">truktura i očekivana ukupna potrošnja energije (proizvodnja + uvoz – izvoz) za </w:t>
      </w:r>
      <w:r w:rsidR="009E5020" w:rsidRPr="00B47BDA">
        <w:t>s</w:t>
      </w:r>
      <w:r w:rsidR="0047554F" w:rsidRPr="00B47BDA">
        <w:t xml:space="preserve">cenarij s postojećim mjerama </w:t>
      </w:r>
      <w:r w:rsidR="009E5020" w:rsidRPr="00B47BDA">
        <w:t xml:space="preserve">(WEM) </w:t>
      </w:r>
      <w:r w:rsidR="0047554F" w:rsidRPr="00B47BDA">
        <w:t>prikazan</w:t>
      </w:r>
      <w:r w:rsidRPr="00B47BDA">
        <w:t>i</w:t>
      </w:r>
      <w:r w:rsidR="00763031" w:rsidRPr="00B47BDA">
        <w:t xml:space="preserve"> </w:t>
      </w:r>
      <w:r w:rsidRPr="00B47BDA">
        <w:t>su</w:t>
      </w:r>
      <w:r w:rsidR="0047554F" w:rsidRPr="00B47BDA">
        <w:t xml:space="preserve"> u sljedećoj tablici i na slici.</w:t>
      </w:r>
    </w:p>
    <w:p w14:paraId="2138A5FB" w14:textId="6C9FE513" w:rsidR="0047554F" w:rsidRPr="00B47BDA" w:rsidRDefault="0047554F" w:rsidP="00E928EC">
      <w:pPr>
        <w:pStyle w:val="Caption"/>
        <w:spacing w:before="240"/>
      </w:pPr>
      <w:bookmarkStart w:id="613" w:name="_Toc193035971"/>
      <w:r w:rsidRPr="00032675">
        <w:t xml:space="preserve">Tablica </w:t>
      </w:r>
      <w:r>
        <w:fldChar w:fldCharType="begin"/>
      </w:r>
      <w:r>
        <w:instrText>STYLEREF 1 \s</w:instrText>
      </w:r>
      <w:r>
        <w:fldChar w:fldCharType="separate"/>
      </w:r>
      <w:r w:rsidR="00AD324D">
        <w:rPr>
          <w:noProof/>
        </w:rPr>
        <w:t>4</w:t>
      </w:r>
      <w:r>
        <w:fldChar w:fldCharType="end"/>
      </w:r>
      <w:r w:rsidR="000C3EFD" w:rsidRPr="00032675">
        <w:noBreakHyphen/>
      </w:r>
      <w:r>
        <w:fldChar w:fldCharType="begin"/>
      </w:r>
      <w:r>
        <w:instrText>SEQ Tablica \* ARABIC \s 1</w:instrText>
      </w:r>
      <w:r>
        <w:fldChar w:fldCharType="separate"/>
      </w:r>
      <w:r w:rsidR="00875290">
        <w:rPr>
          <w:noProof/>
        </w:rPr>
        <w:t>20</w:t>
      </w:r>
      <w:r>
        <w:fldChar w:fldCharType="end"/>
      </w:r>
      <w:r w:rsidRPr="00032675">
        <w:t xml:space="preserve">. Očekivana ukupna potrošnja energije – </w:t>
      </w:r>
      <w:r w:rsidR="00E72462" w:rsidRPr="00032675">
        <w:t>WEM scenarij</w:t>
      </w:r>
      <w:bookmarkEnd w:id="613"/>
    </w:p>
    <w:tbl>
      <w:tblPr>
        <w:tblW w:w="8161" w:type="dxa"/>
        <w:jc w:val="center"/>
        <w:tblLook w:val="04A0" w:firstRow="1" w:lastRow="0" w:firstColumn="1" w:lastColumn="0" w:noHBand="0" w:noVBand="1"/>
      </w:tblPr>
      <w:tblGrid>
        <w:gridCol w:w="850"/>
        <w:gridCol w:w="803"/>
        <w:gridCol w:w="995"/>
        <w:gridCol w:w="1094"/>
        <w:gridCol w:w="1193"/>
        <w:gridCol w:w="1371"/>
        <w:gridCol w:w="1140"/>
        <w:gridCol w:w="938"/>
      </w:tblGrid>
      <w:tr w:rsidR="007D4CAD" w:rsidRPr="00032675" w14:paraId="39C9AAD4" w14:textId="77777777" w:rsidTr="007158FC">
        <w:trPr>
          <w:trHeight w:val="288"/>
          <w:jc w:val="center"/>
        </w:trPr>
        <w:tc>
          <w:tcPr>
            <w:tcW w:w="85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E1697F7" w14:textId="77777777" w:rsidR="00717CBF" w:rsidRPr="00512EAA" w:rsidRDefault="00717CBF" w:rsidP="004623DD">
            <w:pPr>
              <w:rPr>
                <w:sz w:val="22"/>
                <w:szCs w:val="22"/>
              </w:rPr>
            </w:pPr>
            <w:r w:rsidRPr="00512EAA">
              <w:rPr>
                <w:sz w:val="22"/>
                <w:szCs w:val="22"/>
              </w:rPr>
              <w:t>PJ</w:t>
            </w:r>
          </w:p>
        </w:tc>
        <w:tc>
          <w:tcPr>
            <w:tcW w:w="75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3D0DC89" w14:textId="77777777" w:rsidR="00717CBF" w:rsidRPr="00512EAA" w:rsidRDefault="00717CBF" w:rsidP="00032675">
            <w:pPr>
              <w:jc w:val="center"/>
              <w:rPr>
                <w:b/>
                <w:sz w:val="22"/>
                <w:szCs w:val="22"/>
              </w:rPr>
            </w:pPr>
            <w:r w:rsidRPr="00512EAA">
              <w:rPr>
                <w:b/>
                <w:sz w:val="22"/>
                <w:szCs w:val="22"/>
              </w:rPr>
              <w:t>Ugljen</w:t>
            </w:r>
          </w:p>
        </w:tc>
        <w:tc>
          <w:tcPr>
            <w:tcW w:w="995"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EA94CB6" w14:textId="77777777" w:rsidR="00717CBF" w:rsidRPr="00512EAA" w:rsidRDefault="00717CBF" w:rsidP="00032675">
            <w:pPr>
              <w:jc w:val="center"/>
              <w:rPr>
                <w:b/>
                <w:sz w:val="22"/>
                <w:szCs w:val="22"/>
              </w:rPr>
            </w:pPr>
            <w:r w:rsidRPr="00512EAA">
              <w:rPr>
                <w:b/>
                <w:sz w:val="22"/>
                <w:szCs w:val="22"/>
              </w:rPr>
              <w:t>Tekuća goriva</w:t>
            </w:r>
          </w:p>
        </w:tc>
        <w:tc>
          <w:tcPr>
            <w:tcW w:w="1094"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7FF0ACE4" w14:textId="77777777" w:rsidR="00717CBF" w:rsidRPr="00512EAA" w:rsidRDefault="00717CBF" w:rsidP="00032675">
            <w:pPr>
              <w:jc w:val="center"/>
              <w:rPr>
                <w:b/>
                <w:sz w:val="22"/>
                <w:szCs w:val="22"/>
              </w:rPr>
            </w:pPr>
            <w:r w:rsidRPr="00512EAA">
              <w:rPr>
                <w:b/>
                <w:sz w:val="22"/>
                <w:szCs w:val="22"/>
              </w:rPr>
              <w:t>Prirodni plin</w:t>
            </w:r>
          </w:p>
        </w:tc>
        <w:tc>
          <w:tcPr>
            <w:tcW w:w="1193"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F25B1AB" w14:textId="77777777" w:rsidR="00717CBF" w:rsidRPr="00512EAA" w:rsidRDefault="00717CBF" w:rsidP="00032675">
            <w:pPr>
              <w:jc w:val="center"/>
              <w:rPr>
                <w:b/>
                <w:sz w:val="22"/>
                <w:szCs w:val="22"/>
              </w:rPr>
            </w:pPr>
            <w:r w:rsidRPr="00512EAA">
              <w:rPr>
                <w:b/>
                <w:sz w:val="22"/>
                <w:szCs w:val="22"/>
              </w:rPr>
              <w:t>Obnovljivi izvori</w:t>
            </w:r>
          </w:p>
        </w:tc>
        <w:tc>
          <w:tcPr>
            <w:tcW w:w="1266"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741DDD49" w14:textId="77777777" w:rsidR="00717CBF" w:rsidRPr="00512EAA" w:rsidRDefault="00717CBF" w:rsidP="00032675">
            <w:pPr>
              <w:jc w:val="center"/>
              <w:rPr>
                <w:b/>
                <w:sz w:val="22"/>
                <w:szCs w:val="22"/>
              </w:rPr>
            </w:pPr>
            <w:r w:rsidRPr="00512EAA">
              <w:rPr>
                <w:b/>
                <w:sz w:val="22"/>
                <w:szCs w:val="22"/>
              </w:rPr>
              <w:t>Neobnovljivi otpad</w:t>
            </w:r>
          </w:p>
        </w:tc>
        <w:tc>
          <w:tcPr>
            <w:tcW w:w="114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8BF3680" w14:textId="77777777" w:rsidR="00717CBF" w:rsidRPr="00512EAA" w:rsidRDefault="00717CBF" w:rsidP="00032675">
            <w:pPr>
              <w:jc w:val="center"/>
              <w:rPr>
                <w:b/>
                <w:sz w:val="22"/>
                <w:szCs w:val="22"/>
              </w:rPr>
            </w:pPr>
            <w:r w:rsidRPr="00512EAA">
              <w:rPr>
                <w:b/>
                <w:sz w:val="22"/>
                <w:szCs w:val="22"/>
              </w:rPr>
              <w:t>Električna energija</w:t>
            </w:r>
          </w:p>
        </w:tc>
        <w:tc>
          <w:tcPr>
            <w:tcW w:w="873"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A9AA571" w14:textId="77777777" w:rsidR="00717CBF" w:rsidRPr="00512EAA" w:rsidRDefault="00717CBF" w:rsidP="00032675">
            <w:pPr>
              <w:jc w:val="center"/>
              <w:rPr>
                <w:b/>
                <w:sz w:val="22"/>
                <w:szCs w:val="22"/>
              </w:rPr>
            </w:pPr>
            <w:r w:rsidRPr="00512EAA">
              <w:rPr>
                <w:b/>
                <w:sz w:val="22"/>
                <w:szCs w:val="22"/>
              </w:rPr>
              <w:t>Ukupno</w:t>
            </w:r>
          </w:p>
        </w:tc>
      </w:tr>
      <w:tr w:rsidR="00125375" w:rsidRPr="00032675" w14:paraId="3035ED73" w14:textId="77777777" w:rsidTr="00032675">
        <w:trPr>
          <w:trHeight w:val="288"/>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8AB6B80" w14:textId="77777777" w:rsidR="00717CBF" w:rsidRPr="00512EAA" w:rsidRDefault="00717CBF" w:rsidP="004623DD">
            <w:pPr>
              <w:rPr>
                <w:b/>
                <w:sz w:val="22"/>
                <w:szCs w:val="22"/>
              </w:rPr>
            </w:pPr>
            <w:r w:rsidRPr="00512EAA">
              <w:rPr>
                <w:b/>
                <w:sz w:val="22"/>
                <w:szCs w:val="22"/>
              </w:rPr>
              <w:t>2021.</w:t>
            </w:r>
          </w:p>
        </w:tc>
        <w:tc>
          <w:tcPr>
            <w:tcW w:w="750" w:type="dxa"/>
            <w:tcBorders>
              <w:top w:val="nil"/>
              <w:left w:val="nil"/>
              <w:bottom w:val="single" w:sz="4" w:space="0" w:color="auto"/>
              <w:right w:val="single" w:sz="4" w:space="0" w:color="auto"/>
            </w:tcBorders>
            <w:shd w:val="clear" w:color="auto" w:fill="auto"/>
            <w:noWrap/>
            <w:vAlign w:val="bottom"/>
            <w:hideMark/>
          </w:tcPr>
          <w:p w14:paraId="3347B0DE" w14:textId="77777777" w:rsidR="00717CBF" w:rsidRPr="00512EAA" w:rsidRDefault="00717CBF" w:rsidP="00032675">
            <w:pPr>
              <w:jc w:val="right"/>
              <w:rPr>
                <w:sz w:val="22"/>
                <w:szCs w:val="22"/>
              </w:rPr>
            </w:pPr>
            <w:r w:rsidRPr="00512EAA">
              <w:rPr>
                <w:sz w:val="22"/>
                <w:szCs w:val="22"/>
              </w:rPr>
              <w:t>17,4</w:t>
            </w:r>
          </w:p>
        </w:tc>
        <w:tc>
          <w:tcPr>
            <w:tcW w:w="995" w:type="dxa"/>
            <w:tcBorders>
              <w:top w:val="nil"/>
              <w:left w:val="nil"/>
              <w:bottom w:val="single" w:sz="4" w:space="0" w:color="auto"/>
              <w:right w:val="single" w:sz="4" w:space="0" w:color="auto"/>
            </w:tcBorders>
            <w:shd w:val="clear" w:color="auto" w:fill="auto"/>
            <w:noWrap/>
            <w:vAlign w:val="bottom"/>
            <w:hideMark/>
          </w:tcPr>
          <w:p w14:paraId="6059044C" w14:textId="77777777" w:rsidR="00717CBF" w:rsidRPr="00512EAA" w:rsidRDefault="00717CBF" w:rsidP="00032675">
            <w:pPr>
              <w:jc w:val="right"/>
              <w:rPr>
                <w:sz w:val="22"/>
                <w:szCs w:val="22"/>
              </w:rPr>
            </w:pPr>
            <w:r w:rsidRPr="00512EAA">
              <w:rPr>
                <w:sz w:val="22"/>
                <w:szCs w:val="22"/>
              </w:rPr>
              <w:t>119,2</w:t>
            </w:r>
          </w:p>
        </w:tc>
        <w:tc>
          <w:tcPr>
            <w:tcW w:w="1094" w:type="dxa"/>
            <w:tcBorders>
              <w:top w:val="nil"/>
              <w:left w:val="nil"/>
              <w:bottom w:val="single" w:sz="4" w:space="0" w:color="auto"/>
              <w:right w:val="single" w:sz="4" w:space="0" w:color="auto"/>
            </w:tcBorders>
            <w:shd w:val="clear" w:color="auto" w:fill="auto"/>
            <w:noWrap/>
            <w:vAlign w:val="bottom"/>
            <w:hideMark/>
          </w:tcPr>
          <w:p w14:paraId="5206B4AB" w14:textId="77777777" w:rsidR="00717CBF" w:rsidRPr="00512EAA" w:rsidRDefault="00717CBF" w:rsidP="00032675">
            <w:pPr>
              <w:jc w:val="right"/>
              <w:rPr>
                <w:sz w:val="22"/>
                <w:szCs w:val="22"/>
              </w:rPr>
            </w:pPr>
            <w:r w:rsidRPr="00512EAA">
              <w:rPr>
                <w:sz w:val="22"/>
                <w:szCs w:val="22"/>
              </w:rPr>
              <w:t>101,7</w:t>
            </w:r>
          </w:p>
        </w:tc>
        <w:tc>
          <w:tcPr>
            <w:tcW w:w="1193" w:type="dxa"/>
            <w:tcBorders>
              <w:top w:val="nil"/>
              <w:left w:val="nil"/>
              <w:bottom w:val="single" w:sz="4" w:space="0" w:color="auto"/>
              <w:right w:val="single" w:sz="4" w:space="0" w:color="auto"/>
            </w:tcBorders>
            <w:shd w:val="clear" w:color="auto" w:fill="auto"/>
            <w:noWrap/>
            <w:vAlign w:val="bottom"/>
            <w:hideMark/>
          </w:tcPr>
          <w:p w14:paraId="664DF4E3" w14:textId="77777777" w:rsidR="00717CBF" w:rsidRPr="00512EAA" w:rsidRDefault="00717CBF" w:rsidP="00032675">
            <w:pPr>
              <w:jc w:val="right"/>
              <w:rPr>
                <w:sz w:val="22"/>
                <w:szCs w:val="22"/>
              </w:rPr>
            </w:pPr>
            <w:r w:rsidRPr="00512EAA">
              <w:rPr>
                <w:sz w:val="22"/>
                <w:szCs w:val="22"/>
              </w:rPr>
              <w:t>105,5</w:t>
            </w:r>
          </w:p>
        </w:tc>
        <w:tc>
          <w:tcPr>
            <w:tcW w:w="1266" w:type="dxa"/>
            <w:tcBorders>
              <w:top w:val="nil"/>
              <w:left w:val="nil"/>
              <w:bottom w:val="single" w:sz="4" w:space="0" w:color="auto"/>
              <w:right w:val="single" w:sz="4" w:space="0" w:color="auto"/>
            </w:tcBorders>
            <w:shd w:val="clear" w:color="auto" w:fill="auto"/>
            <w:noWrap/>
            <w:vAlign w:val="bottom"/>
            <w:hideMark/>
          </w:tcPr>
          <w:p w14:paraId="57B89077" w14:textId="77777777" w:rsidR="00717CBF" w:rsidRPr="00512EAA" w:rsidRDefault="00717CBF" w:rsidP="00032675">
            <w:pPr>
              <w:jc w:val="right"/>
              <w:rPr>
                <w:sz w:val="22"/>
                <w:szCs w:val="22"/>
              </w:rPr>
            </w:pPr>
            <w:r w:rsidRPr="00512EAA">
              <w:rPr>
                <w:sz w:val="22"/>
                <w:szCs w:val="22"/>
              </w:rPr>
              <w:t>1,9</w:t>
            </w:r>
          </w:p>
        </w:tc>
        <w:tc>
          <w:tcPr>
            <w:tcW w:w="1140" w:type="dxa"/>
            <w:tcBorders>
              <w:top w:val="nil"/>
              <w:left w:val="nil"/>
              <w:bottom w:val="single" w:sz="4" w:space="0" w:color="auto"/>
              <w:right w:val="single" w:sz="4" w:space="0" w:color="auto"/>
            </w:tcBorders>
            <w:shd w:val="clear" w:color="auto" w:fill="auto"/>
            <w:noWrap/>
            <w:vAlign w:val="bottom"/>
            <w:hideMark/>
          </w:tcPr>
          <w:p w14:paraId="5E8B0390" w14:textId="77777777" w:rsidR="00717CBF" w:rsidRPr="00512EAA" w:rsidRDefault="00717CBF" w:rsidP="00032675">
            <w:pPr>
              <w:jc w:val="right"/>
              <w:rPr>
                <w:sz w:val="22"/>
                <w:szCs w:val="22"/>
              </w:rPr>
            </w:pPr>
            <w:r w:rsidRPr="00512EAA">
              <w:rPr>
                <w:sz w:val="22"/>
                <w:szCs w:val="22"/>
              </w:rPr>
              <w:t>14,3</w:t>
            </w:r>
          </w:p>
        </w:tc>
        <w:tc>
          <w:tcPr>
            <w:tcW w:w="873" w:type="dxa"/>
            <w:tcBorders>
              <w:top w:val="nil"/>
              <w:left w:val="nil"/>
              <w:bottom w:val="single" w:sz="4" w:space="0" w:color="auto"/>
              <w:right w:val="single" w:sz="4" w:space="0" w:color="auto"/>
            </w:tcBorders>
            <w:shd w:val="clear" w:color="auto" w:fill="auto"/>
            <w:noWrap/>
            <w:vAlign w:val="bottom"/>
            <w:hideMark/>
          </w:tcPr>
          <w:p w14:paraId="16149F74" w14:textId="77777777" w:rsidR="00717CBF" w:rsidRPr="00512EAA" w:rsidRDefault="00717CBF" w:rsidP="00032675">
            <w:pPr>
              <w:jc w:val="right"/>
              <w:rPr>
                <w:sz w:val="22"/>
                <w:szCs w:val="22"/>
              </w:rPr>
            </w:pPr>
            <w:r w:rsidRPr="00512EAA">
              <w:rPr>
                <w:sz w:val="22"/>
                <w:szCs w:val="22"/>
              </w:rPr>
              <w:t>360,0</w:t>
            </w:r>
          </w:p>
        </w:tc>
      </w:tr>
      <w:tr w:rsidR="00125375" w:rsidRPr="00032675" w14:paraId="18736E4A" w14:textId="77777777" w:rsidTr="00032675">
        <w:trPr>
          <w:trHeight w:val="288"/>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FE3131F" w14:textId="77777777" w:rsidR="00717CBF" w:rsidRPr="00512EAA" w:rsidRDefault="00717CBF" w:rsidP="004623DD">
            <w:pPr>
              <w:rPr>
                <w:b/>
                <w:sz w:val="22"/>
                <w:szCs w:val="22"/>
              </w:rPr>
            </w:pPr>
            <w:r w:rsidRPr="00512EAA">
              <w:rPr>
                <w:b/>
                <w:sz w:val="22"/>
                <w:szCs w:val="22"/>
              </w:rPr>
              <w:t>2030.</w:t>
            </w:r>
          </w:p>
        </w:tc>
        <w:tc>
          <w:tcPr>
            <w:tcW w:w="750" w:type="dxa"/>
            <w:tcBorders>
              <w:top w:val="nil"/>
              <w:left w:val="nil"/>
              <w:bottom w:val="single" w:sz="4" w:space="0" w:color="auto"/>
              <w:right w:val="single" w:sz="4" w:space="0" w:color="auto"/>
            </w:tcBorders>
            <w:shd w:val="clear" w:color="auto" w:fill="auto"/>
            <w:noWrap/>
            <w:vAlign w:val="bottom"/>
            <w:hideMark/>
          </w:tcPr>
          <w:p w14:paraId="65614488" w14:textId="77777777" w:rsidR="00717CBF" w:rsidRPr="00512EAA" w:rsidRDefault="00717CBF" w:rsidP="00032675">
            <w:pPr>
              <w:jc w:val="right"/>
              <w:rPr>
                <w:sz w:val="22"/>
                <w:szCs w:val="22"/>
              </w:rPr>
            </w:pPr>
            <w:r w:rsidRPr="00512EAA">
              <w:rPr>
                <w:sz w:val="22"/>
                <w:szCs w:val="22"/>
              </w:rPr>
              <w:t>13,8</w:t>
            </w:r>
          </w:p>
        </w:tc>
        <w:tc>
          <w:tcPr>
            <w:tcW w:w="995" w:type="dxa"/>
            <w:tcBorders>
              <w:top w:val="nil"/>
              <w:left w:val="nil"/>
              <w:bottom w:val="single" w:sz="4" w:space="0" w:color="auto"/>
              <w:right w:val="single" w:sz="4" w:space="0" w:color="auto"/>
            </w:tcBorders>
            <w:shd w:val="clear" w:color="auto" w:fill="auto"/>
            <w:noWrap/>
            <w:vAlign w:val="bottom"/>
            <w:hideMark/>
          </w:tcPr>
          <w:p w14:paraId="5F8EFF0E" w14:textId="77777777" w:rsidR="00717CBF" w:rsidRPr="00512EAA" w:rsidRDefault="00717CBF" w:rsidP="00032675">
            <w:pPr>
              <w:jc w:val="right"/>
              <w:rPr>
                <w:sz w:val="22"/>
                <w:szCs w:val="22"/>
              </w:rPr>
            </w:pPr>
            <w:r w:rsidRPr="00512EAA">
              <w:rPr>
                <w:sz w:val="22"/>
                <w:szCs w:val="22"/>
              </w:rPr>
              <w:t>128,5</w:t>
            </w:r>
          </w:p>
        </w:tc>
        <w:tc>
          <w:tcPr>
            <w:tcW w:w="1094" w:type="dxa"/>
            <w:tcBorders>
              <w:top w:val="nil"/>
              <w:left w:val="nil"/>
              <w:bottom w:val="single" w:sz="4" w:space="0" w:color="auto"/>
              <w:right w:val="single" w:sz="4" w:space="0" w:color="auto"/>
            </w:tcBorders>
            <w:shd w:val="clear" w:color="auto" w:fill="auto"/>
            <w:noWrap/>
            <w:vAlign w:val="bottom"/>
            <w:hideMark/>
          </w:tcPr>
          <w:p w14:paraId="0BDB9A46" w14:textId="77777777" w:rsidR="00717CBF" w:rsidRPr="00512EAA" w:rsidRDefault="00717CBF" w:rsidP="00032675">
            <w:pPr>
              <w:jc w:val="right"/>
              <w:rPr>
                <w:sz w:val="22"/>
                <w:szCs w:val="22"/>
              </w:rPr>
            </w:pPr>
            <w:r w:rsidRPr="00512EAA">
              <w:rPr>
                <w:sz w:val="22"/>
                <w:szCs w:val="22"/>
              </w:rPr>
              <w:t>107,3</w:t>
            </w:r>
          </w:p>
        </w:tc>
        <w:tc>
          <w:tcPr>
            <w:tcW w:w="1193" w:type="dxa"/>
            <w:tcBorders>
              <w:top w:val="nil"/>
              <w:left w:val="nil"/>
              <w:bottom w:val="single" w:sz="4" w:space="0" w:color="auto"/>
              <w:right w:val="single" w:sz="4" w:space="0" w:color="auto"/>
            </w:tcBorders>
            <w:shd w:val="clear" w:color="auto" w:fill="auto"/>
            <w:noWrap/>
            <w:vAlign w:val="bottom"/>
            <w:hideMark/>
          </w:tcPr>
          <w:p w14:paraId="02BA2F46" w14:textId="77777777" w:rsidR="00717CBF" w:rsidRPr="00512EAA" w:rsidRDefault="00717CBF" w:rsidP="00032675">
            <w:pPr>
              <w:jc w:val="right"/>
              <w:rPr>
                <w:sz w:val="22"/>
                <w:szCs w:val="22"/>
              </w:rPr>
            </w:pPr>
            <w:r w:rsidRPr="00512EAA">
              <w:rPr>
                <w:sz w:val="22"/>
                <w:szCs w:val="22"/>
              </w:rPr>
              <w:t>122,5</w:t>
            </w:r>
          </w:p>
        </w:tc>
        <w:tc>
          <w:tcPr>
            <w:tcW w:w="1266" w:type="dxa"/>
            <w:tcBorders>
              <w:top w:val="nil"/>
              <w:left w:val="nil"/>
              <w:bottom w:val="single" w:sz="4" w:space="0" w:color="auto"/>
              <w:right w:val="single" w:sz="4" w:space="0" w:color="auto"/>
            </w:tcBorders>
            <w:shd w:val="clear" w:color="auto" w:fill="auto"/>
            <w:noWrap/>
            <w:vAlign w:val="bottom"/>
            <w:hideMark/>
          </w:tcPr>
          <w:p w14:paraId="3BB43A9D" w14:textId="77777777" w:rsidR="00717CBF" w:rsidRPr="00512EAA" w:rsidRDefault="00717CBF" w:rsidP="00032675">
            <w:pPr>
              <w:jc w:val="right"/>
              <w:rPr>
                <w:sz w:val="22"/>
                <w:szCs w:val="22"/>
              </w:rPr>
            </w:pPr>
            <w:r w:rsidRPr="00512EAA">
              <w:rPr>
                <w:sz w:val="22"/>
                <w:szCs w:val="22"/>
              </w:rPr>
              <w:t>1,6</w:t>
            </w:r>
          </w:p>
        </w:tc>
        <w:tc>
          <w:tcPr>
            <w:tcW w:w="1140" w:type="dxa"/>
            <w:tcBorders>
              <w:top w:val="nil"/>
              <w:left w:val="nil"/>
              <w:bottom w:val="single" w:sz="4" w:space="0" w:color="auto"/>
              <w:right w:val="single" w:sz="4" w:space="0" w:color="auto"/>
            </w:tcBorders>
            <w:shd w:val="clear" w:color="auto" w:fill="auto"/>
            <w:noWrap/>
            <w:vAlign w:val="bottom"/>
            <w:hideMark/>
          </w:tcPr>
          <w:p w14:paraId="0C397CFF" w14:textId="77777777" w:rsidR="00717CBF" w:rsidRPr="00512EAA" w:rsidRDefault="00717CBF" w:rsidP="00032675">
            <w:pPr>
              <w:jc w:val="right"/>
              <w:rPr>
                <w:sz w:val="22"/>
                <w:szCs w:val="22"/>
              </w:rPr>
            </w:pPr>
            <w:r w:rsidRPr="00512EAA">
              <w:rPr>
                <w:sz w:val="22"/>
                <w:szCs w:val="22"/>
              </w:rPr>
              <w:t>9,1</w:t>
            </w:r>
          </w:p>
        </w:tc>
        <w:tc>
          <w:tcPr>
            <w:tcW w:w="873" w:type="dxa"/>
            <w:tcBorders>
              <w:top w:val="nil"/>
              <w:left w:val="nil"/>
              <w:bottom w:val="single" w:sz="4" w:space="0" w:color="auto"/>
              <w:right w:val="single" w:sz="4" w:space="0" w:color="auto"/>
            </w:tcBorders>
            <w:shd w:val="clear" w:color="auto" w:fill="auto"/>
            <w:noWrap/>
            <w:vAlign w:val="bottom"/>
            <w:hideMark/>
          </w:tcPr>
          <w:p w14:paraId="147CF298" w14:textId="77777777" w:rsidR="00717CBF" w:rsidRPr="00512EAA" w:rsidRDefault="00717CBF" w:rsidP="00032675">
            <w:pPr>
              <w:jc w:val="right"/>
              <w:rPr>
                <w:sz w:val="22"/>
                <w:szCs w:val="22"/>
              </w:rPr>
            </w:pPr>
            <w:r w:rsidRPr="00512EAA">
              <w:rPr>
                <w:sz w:val="22"/>
                <w:szCs w:val="22"/>
              </w:rPr>
              <w:t>382,8</w:t>
            </w:r>
          </w:p>
        </w:tc>
      </w:tr>
      <w:tr w:rsidR="00125375" w:rsidRPr="00032675" w14:paraId="15399404" w14:textId="77777777" w:rsidTr="00032675">
        <w:trPr>
          <w:trHeight w:val="288"/>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F5AC1C9" w14:textId="77777777" w:rsidR="00717CBF" w:rsidRPr="00512EAA" w:rsidRDefault="00717CBF" w:rsidP="004623DD">
            <w:pPr>
              <w:rPr>
                <w:b/>
                <w:sz w:val="22"/>
                <w:szCs w:val="22"/>
              </w:rPr>
            </w:pPr>
            <w:r w:rsidRPr="00512EAA">
              <w:rPr>
                <w:b/>
                <w:sz w:val="22"/>
                <w:szCs w:val="22"/>
              </w:rPr>
              <w:t>2040.</w:t>
            </w:r>
          </w:p>
        </w:tc>
        <w:tc>
          <w:tcPr>
            <w:tcW w:w="750" w:type="dxa"/>
            <w:tcBorders>
              <w:top w:val="nil"/>
              <w:left w:val="nil"/>
              <w:bottom w:val="single" w:sz="4" w:space="0" w:color="auto"/>
              <w:right w:val="single" w:sz="4" w:space="0" w:color="auto"/>
            </w:tcBorders>
            <w:shd w:val="clear" w:color="auto" w:fill="auto"/>
            <w:noWrap/>
            <w:vAlign w:val="bottom"/>
            <w:hideMark/>
          </w:tcPr>
          <w:p w14:paraId="77C8F8A2" w14:textId="77777777" w:rsidR="00717CBF" w:rsidRPr="00512EAA" w:rsidRDefault="00717CBF" w:rsidP="00032675">
            <w:pPr>
              <w:jc w:val="right"/>
              <w:rPr>
                <w:sz w:val="22"/>
                <w:szCs w:val="22"/>
              </w:rPr>
            </w:pPr>
            <w:r w:rsidRPr="00512EAA">
              <w:rPr>
                <w:sz w:val="22"/>
                <w:szCs w:val="22"/>
              </w:rPr>
              <w:t>4,1</w:t>
            </w:r>
          </w:p>
        </w:tc>
        <w:tc>
          <w:tcPr>
            <w:tcW w:w="995" w:type="dxa"/>
            <w:tcBorders>
              <w:top w:val="nil"/>
              <w:left w:val="nil"/>
              <w:bottom w:val="single" w:sz="4" w:space="0" w:color="auto"/>
              <w:right w:val="single" w:sz="4" w:space="0" w:color="auto"/>
            </w:tcBorders>
            <w:shd w:val="clear" w:color="auto" w:fill="auto"/>
            <w:noWrap/>
            <w:vAlign w:val="bottom"/>
            <w:hideMark/>
          </w:tcPr>
          <w:p w14:paraId="73F75D07" w14:textId="77777777" w:rsidR="00717CBF" w:rsidRPr="00512EAA" w:rsidRDefault="00717CBF" w:rsidP="00032675">
            <w:pPr>
              <w:jc w:val="right"/>
              <w:rPr>
                <w:sz w:val="22"/>
                <w:szCs w:val="22"/>
              </w:rPr>
            </w:pPr>
            <w:r w:rsidRPr="00512EAA">
              <w:rPr>
                <w:sz w:val="22"/>
                <w:szCs w:val="22"/>
              </w:rPr>
              <w:t>114,1</w:t>
            </w:r>
          </w:p>
        </w:tc>
        <w:tc>
          <w:tcPr>
            <w:tcW w:w="1094" w:type="dxa"/>
            <w:tcBorders>
              <w:top w:val="nil"/>
              <w:left w:val="nil"/>
              <w:bottom w:val="single" w:sz="4" w:space="0" w:color="auto"/>
              <w:right w:val="single" w:sz="4" w:space="0" w:color="auto"/>
            </w:tcBorders>
            <w:shd w:val="clear" w:color="auto" w:fill="auto"/>
            <w:noWrap/>
            <w:vAlign w:val="bottom"/>
            <w:hideMark/>
          </w:tcPr>
          <w:p w14:paraId="73B8D13F" w14:textId="77777777" w:rsidR="00717CBF" w:rsidRPr="00512EAA" w:rsidRDefault="00717CBF" w:rsidP="00032675">
            <w:pPr>
              <w:jc w:val="right"/>
              <w:rPr>
                <w:sz w:val="22"/>
                <w:szCs w:val="22"/>
              </w:rPr>
            </w:pPr>
            <w:r w:rsidRPr="00512EAA">
              <w:rPr>
                <w:sz w:val="22"/>
                <w:szCs w:val="22"/>
              </w:rPr>
              <w:t>97,3</w:t>
            </w:r>
          </w:p>
        </w:tc>
        <w:tc>
          <w:tcPr>
            <w:tcW w:w="1193" w:type="dxa"/>
            <w:tcBorders>
              <w:top w:val="nil"/>
              <w:left w:val="nil"/>
              <w:bottom w:val="single" w:sz="4" w:space="0" w:color="auto"/>
              <w:right w:val="single" w:sz="4" w:space="0" w:color="auto"/>
            </w:tcBorders>
            <w:shd w:val="clear" w:color="auto" w:fill="auto"/>
            <w:noWrap/>
            <w:vAlign w:val="bottom"/>
            <w:hideMark/>
          </w:tcPr>
          <w:p w14:paraId="144059E5" w14:textId="77777777" w:rsidR="00717CBF" w:rsidRPr="00512EAA" w:rsidRDefault="00717CBF" w:rsidP="00032675">
            <w:pPr>
              <w:jc w:val="right"/>
              <w:rPr>
                <w:sz w:val="22"/>
                <w:szCs w:val="22"/>
              </w:rPr>
            </w:pPr>
            <w:r w:rsidRPr="00512EAA">
              <w:rPr>
                <w:sz w:val="22"/>
                <w:szCs w:val="22"/>
              </w:rPr>
              <w:t>148,8</w:t>
            </w:r>
          </w:p>
        </w:tc>
        <w:tc>
          <w:tcPr>
            <w:tcW w:w="1266" w:type="dxa"/>
            <w:tcBorders>
              <w:top w:val="nil"/>
              <w:left w:val="nil"/>
              <w:bottom w:val="single" w:sz="4" w:space="0" w:color="auto"/>
              <w:right w:val="single" w:sz="4" w:space="0" w:color="auto"/>
            </w:tcBorders>
            <w:shd w:val="clear" w:color="auto" w:fill="auto"/>
            <w:noWrap/>
            <w:vAlign w:val="bottom"/>
            <w:hideMark/>
          </w:tcPr>
          <w:p w14:paraId="03C57159" w14:textId="77777777" w:rsidR="00717CBF" w:rsidRPr="00512EAA" w:rsidRDefault="00717CBF" w:rsidP="00032675">
            <w:pPr>
              <w:jc w:val="right"/>
              <w:rPr>
                <w:sz w:val="22"/>
                <w:szCs w:val="22"/>
              </w:rPr>
            </w:pPr>
            <w:r w:rsidRPr="00512EAA">
              <w:rPr>
                <w:sz w:val="22"/>
                <w:szCs w:val="22"/>
              </w:rPr>
              <w:t>1,3</w:t>
            </w:r>
          </w:p>
        </w:tc>
        <w:tc>
          <w:tcPr>
            <w:tcW w:w="1140" w:type="dxa"/>
            <w:tcBorders>
              <w:top w:val="nil"/>
              <w:left w:val="nil"/>
              <w:bottom w:val="single" w:sz="4" w:space="0" w:color="auto"/>
              <w:right w:val="single" w:sz="4" w:space="0" w:color="auto"/>
            </w:tcBorders>
            <w:shd w:val="clear" w:color="auto" w:fill="auto"/>
            <w:noWrap/>
            <w:vAlign w:val="bottom"/>
            <w:hideMark/>
          </w:tcPr>
          <w:p w14:paraId="489A1DED" w14:textId="77777777" w:rsidR="00717CBF" w:rsidRPr="00512EAA" w:rsidRDefault="00717CBF" w:rsidP="00032675">
            <w:pPr>
              <w:jc w:val="right"/>
              <w:rPr>
                <w:sz w:val="22"/>
                <w:szCs w:val="22"/>
              </w:rPr>
            </w:pPr>
            <w:r w:rsidRPr="00512EAA">
              <w:rPr>
                <w:sz w:val="22"/>
                <w:szCs w:val="22"/>
              </w:rPr>
              <w:t>11,7</w:t>
            </w:r>
          </w:p>
        </w:tc>
        <w:tc>
          <w:tcPr>
            <w:tcW w:w="873" w:type="dxa"/>
            <w:tcBorders>
              <w:top w:val="nil"/>
              <w:left w:val="nil"/>
              <w:bottom w:val="single" w:sz="4" w:space="0" w:color="auto"/>
              <w:right w:val="single" w:sz="4" w:space="0" w:color="auto"/>
            </w:tcBorders>
            <w:shd w:val="clear" w:color="auto" w:fill="auto"/>
            <w:noWrap/>
            <w:vAlign w:val="bottom"/>
            <w:hideMark/>
          </w:tcPr>
          <w:p w14:paraId="5B7AE895" w14:textId="77777777" w:rsidR="00717CBF" w:rsidRPr="00512EAA" w:rsidRDefault="00717CBF" w:rsidP="00032675">
            <w:pPr>
              <w:jc w:val="right"/>
              <w:rPr>
                <w:sz w:val="22"/>
                <w:szCs w:val="22"/>
              </w:rPr>
            </w:pPr>
            <w:r w:rsidRPr="00512EAA">
              <w:rPr>
                <w:sz w:val="22"/>
                <w:szCs w:val="22"/>
              </w:rPr>
              <w:t>377,3</w:t>
            </w:r>
          </w:p>
        </w:tc>
      </w:tr>
    </w:tbl>
    <w:p w14:paraId="539D92CC" w14:textId="77777777" w:rsidR="00717CBF" w:rsidRPr="00B47BDA" w:rsidRDefault="00717CBF" w:rsidP="004623DD">
      <w:pPr>
        <w:rPr>
          <w:highlight w:val="yellow"/>
        </w:rPr>
      </w:pPr>
    </w:p>
    <w:p w14:paraId="3AF7AB72" w14:textId="555459E3" w:rsidR="009D0DA1" w:rsidRPr="00B47BDA" w:rsidRDefault="009D0DA1" w:rsidP="00032675">
      <w:pPr>
        <w:jc w:val="center"/>
      </w:pPr>
      <w:r w:rsidRPr="00B47BDA">
        <w:rPr>
          <w:noProof/>
          <w:lang w:eastAsia="hr-HR"/>
        </w:rPr>
        <w:drawing>
          <wp:inline distT="0" distB="0" distL="0" distR="0" wp14:anchorId="3F78C6C3" wp14:editId="13F6C2F7">
            <wp:extent cx="4305300" cy="26136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12" t="1677" r="1484" b="2423"/>
                    <a:stretch/>
                  </pic:blipFill>
                  <pic:spPr bwMode="auto">
                    <a:xfrm>
                      <a:off x="0" y="0"/>
                      <a:ext cx="4313021" cy="2618348"/>
                    </a:xfrm>
                    <a:prstGeom prst="rect">
                      <a:avLst/>
                    </a:prstGeom>
                    <a:noFill/>
                    <a:ln>
                      <a:noFill/>
                    </a:ln>
                    <a:extLst>
                      <a:ext uri="{53640926-AAD7-44D8-BBD7-CCE9431645EC}">
                        <a14:shadowObscured xmlns:a14="http://schemas.microsoft.com/office/drawing/2010/main"/>
                      </a:ext>
                    </a:extLst>
                  </pic:spPr>
                </pic:pic>
              </a:graphicData>
            </a:graphic>
          </wp:inline>
        </w:drawing>
      </w:r>
    </w:p>
    <w:p w14:paraId="6636BB7C" w14:textId="2FA9C9D0" w:rsidR="0047554F" w:rsidRPr="00B47BDA" w:rsidRDefault="0047554F" w:rsidP="004623DD">
      <w:pPr>
        <w:pStyle w:val="Caption"/>
      </w:pPr>
      <w:bookmarkStart w:id="614" w:name="_Toc185605263"/>
      <w:bookmarkStart w:id="615" w:name="_Toc193035909"/>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064ADE">
        <w:rPr>
          <w:noProof/>
        </w:rPr>
        <w:t>14</w:t>
      </w:r>
      <w:r>
        <w:fldChar w:fldCharType="end"/>
      </w:r>
      <w:r w:rsidRPr="00B47BDA">
        <w:t xml:space="preserve">. Očekivana ukupna potrošnja energije – </w:t>
      </w:r>
      <w:r w:rsidR="0077344F" w:rsidRPr="00B47BDA">
        <w:t>WEM scenarij</w:t>
      </w:r>
      <w:bookmarkEnd w:id="614"/>
      <w:bookmarkEnd w:id="615"/>
    </w:p>
    <w:p w14:paraId="0BB9A4D0" w14:textId="28C04E69" w:rsidR="00604828" w:rsidRPr="00B47BDA" w:rsidRDefault="00604828" w:rsidP="004623DD">
      <w:pPr>
        <w:rPr>
          <w:highlight w:val="yellow"/>
        </w:rPr>
      </w:pPr>
    </w:p>
    <w:p w14:paraId="2C89C157" w14:textId="3A416CE2" w:rsidR="00466A0E" w:rsidRPr="00B47BDA" w:rsidRDefault="00176241" w:rsidP="00032675">
      <w:pPr>
        <w:jc w:val="center"/>
      </w:pPr>
      <w:r w:rsidRPr="00B47BDA">
        <w:rPr>
          <w:noProof/>
          <w:lang w:eastAsia="hr-HR"/>
        </w:rPr>
        <w:lastRenderedPageBreak/>
        <w:drawing>
          <wp:inline distT="0" distB="0" distL="0" distR="0" wp14:anchorId="7C285B82" wp14:editId="184DB585">
            <wp:extent cx="4442460" cy="26212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498" t="1662" r="1471" b="3003"/>
                    <a:stretch/>
                  </pic:blipFill>
                  <pic:spPr bwMode="auto">
                    <a:xfrm>
                      <a:off x="0" y="0"/>
                      <a:ext cx="4442460" cy="2621280"/>
                    </a:xfrm>
                    <a:prstGeom prst="rect">
                      <a:avLst/>
                    </a:prstGeom>
                    <a:noFill/>
                    <a:ln>
                      <a:noFill/>
                    </a:ln>
                    <a:extLst>
                      <a:ext uri="{53640926-AAD7-44D8-BBD7-CCE9431645EC}">
                        <a14:shadowObscured xmlns:a14="http://schemas.microsoft.com/office/drawing/2010/main"/>
                      </a:ext>
                    </a:extLst>
                  </pic:spPr>
                </pic:pic>
              </a:graphicData>
            </a:graphic>
          </wp:inline>
        </w:drawing>
      </w:r>
    </w:p>
    <w:p w14:paraId="1739D1B0" w14:textId="53F4D52D" w:rsidR="0047554F" w:rsidRPr="00B47BDA" w:rsidRDefault="0047554F" w:rsidP="004623DD">
      <w:pPr>
        <w:pStyle w:val="Caption"/>
      </w:pPr>
      <w:bookmarkStart w:id="616" w:name="_Toc185605264"/>
      <w:bookmarkStart w:id="617" w:name="_Toc193035910"/>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064ADE">
        <w:rPr>
          <w:noProof/>
        </w:rPr>
        <w:t>15</w:t>
      </w:r>
      <w:r>
        <w:fldChar w:fldCharType="end"/>
      </w:r>
      <w:r w:rsidRPr="00B47BDA">
        <w:t xml:space="preserve">. </w:t>
      </w:r>
      <w:r w:rsidR="00781513" w:rsidRPr="00B47BDA">
        <w:t>Ukupna potrošnja energije</w:t>
      </w:r>
      <w:r w:rsidR="00936BE2" w:rsidRPr="00B47BDA">
        <w:t xml:space="preserve"> </w:t>
      </w:r>
      <w:r w:rsidRPr="00B47BDA">
        <w:t xml:space="preserve">i vlastita opskrbljenost </w:t>
      </w:r>
      <w:r w:rsidR="000A7D47" w:rsidRPr="00B47BDA">
        <w:t>- WEM scenarij</w:t>
      </w:r>
      <w:bookmarkEnd w:id="616"/>
      <w:bookmarkEnd w:id="617"/>
    </w:p>
    <w:p w14:paraId="6B1350B3" w14:textId="49D05F40" w:rsidR="00C21988" w:rsidRPr="00B47BDA" w:rsidRDefault="00C21988" w:rsidP="005C2C7E">
      <w:pPr>
        <w:pStyle w:val="Heading2"/>
        <w:numPr>
          <w:ilvl w:val="1"/>
          <w:numId w:val="175"/>
        </w:numPr>
      </w:pPr>
      <w:bookmarkStart w:id="618" w:name="_Toc531935263"/>
      <w:bookmarkStart w:id="619" w:name="_Toc531945125"/>
      <w:bookmarkStart w:id="620" w:name="_Toc6302383"/>
      <w:bookmarkStart w:id="621" w:name="_Toc187418364"/>
      <w:bookmarkStart w:id="622" w:name="_Toc193043289"/>
      <w:r w:rsidRPr="00B47BDA">
        <w:t>Dimenzija: unutarnje energetsko tržište</w:t>
      </w:r>
      <w:bookmarkEnd w:id="618"/>
      <w:bookmarkEnd w:id="619"/>
      <w:bookmarkEnd w:id="620"/>
      <w:bookmarkEnd w:id="621"/>
      <w:bookmarkEnd w:id="622"/>
    </w:p>
    <w:p w14:paraId="15F8EBDB" w14:textId="461BC73B" w:rsidR="003D00FC" w:rsidRPr="00B47BDA" w:rsidRDefault="003D00FC" w:rsidP="63259912">
      <w:pPr>
        <w:pStyle w:val="Heading3"/>
      </w:pPr>
      <w:bookmarkStart w:id="623" w:name="_Toc187418365"/>
      <w:bookmarkStart w:id="624" w:name="_Toc193043290"/>
      <w:bookmarkStart w:id="625" w:name="_Toc531935264"/>
      <w:bookmarkStart w:id="626" w:name="_Toc531945126"/>
      <w:bookmarkStart w:id="627" w:name="_Toc6302384"/>
      <w:r w:rsidRPr="63259912">
        <w:t xml:space="preserve">Elektroenergetska </w:t>
      </w:r>
      <w:r w:rsidR="00086EFA" w:rsidRPr="63259912">
        <w:t>međupovezivost</w:t>
      </w:r>
      <w:bookmarkEnd w:id="623"/>
      <w:bookmarkEnd w:id="624"/>
    </w:p>
    <w:bookmarkEnd w:id="625"/>
    <w:bookmarkEnd w:id="626"/>
    <w:bookmarkEnd w:id="627"/>
    <w:p w14:paraId="43AA7BDF" w14:textId="406B9103" w:rsidR="006C2162" w:rsidRPr="00B47BDA" w:rsidRDefault="006C2162" w:rsidP="005C2C7E">
      <w:pPr>
        <w:pStyle w:val="Heading4"/>
        <w:numPr>
          <w:ilvl w:val="3"/>
          <w:numId w:val="175"/>
        </w:numPr>
        <w:ind w:hanging="580"/>
      </w:pPr>
      <w:r w:rsidRPr="00B47BDA">
        <w:t xml:space="preserve">Trenutačna razina </w:t>
      </w:r>
      <w:r w:rsidR="00AE27CC" w:rsidRPr="00B47BDA">
        <w:t xml:space="preserve">međupovezanosti </w:t>
      </w:r>
      <w:r w:rsidRPr="00B47BDA">
        <w:t xml:space="preserve">i glavni spojni vodovi </w:t>
      </w:r>
    </w:p>
    <w:p w14:paraId="44DFFBC3" w14:textId="77777777" w:rsidR="0050611F" w:rsidRPr="00B47BDA" w:rsidRDefault="0050611F" w:rsidP="004623DD">
      <w:r w:rsidRPr="00B47BDA">
        <w:t>Hrvatski elektroenergetski sustav povezan je naponskim razinama 400 kV, 220 kV i 110 kV sa sustavima susjednih zemalja. Dalekovodima 400 kV naponske razine (ukupno sedam DV od čega su tri dvostruka, a četiri jednostruka) povezan je elektroenergetski sustav RH sa sustavima:</w:t>
      </w:r>
    </w:p>
    <w:p w14:paraId="5FCA32D7" w14:textId="77777777" w:rsidR="0050611F" w:rsidRPr="00B47BDA" w:rsidRDefault="0050611F" w:rsidP="00512EAA">
      <w:pPr>
        <w:pStyle w:val="ListParagraph"/>
        <w:numPr>
          <w:ilvl w:val="0"/>
          <w:numId w:val="17"/>
        </w:numPr>
        <w:spacing w:after="60"/>
        <w:ind w:left="714" w:hanging="357"/>
      </w:pPr>
      <w:r w:rsidRPr="63259912">
        <w:t xml:space="preserve">Bosne i Hercegovine (DV 400 kV Ernestinovo - Ugljevik i DV 400 kV Konjsko - Mostar), </w:t>
      </w:r>
    </w:p>
    <w:p w14:paraId="6B0D5B7D" w14:textId="77777777" w:rsidR="0050611F" w:rsidRPr="00B47BDA" w:rsidRDefault="0050611F" w:rsidP="00512EAA">
      <w:pPr>
        <w:pStyle w:val="ListParagraph"/>
        <w:numPr>
          <w:ilvl w:val="0"/>
          <w:numId w:val="17"/>
        </w:numPr>
        <w:spacing w:after="60"/>
        <w:ind w:left="714" w:hanging="357"/>
      </w:pPr>
      <w:r w:rsidRPr="00B47BDA">
        <w:t xml:space="preserve">Srbije (DV 400 kV Ernestinovo – Sremska Mitrovica 2), </w:t>
      </w:r>
    </w:p>
    <w:p w14:paraId="7A7BAE23" w14:textId="0428D9ED" w:rsidR="0050611F" w:rsidRPr="00B47BDA" w:rsidRDefault="0050611F" w:rsidP="00512EAA">
      <w:pPr>
        <w:pStyle w:val="ListParagraph"/>
        <w:numPr>
          <w:ilvl w:val="0"/>
          <w:numId w:val="17"/>
        </w:numPr>
        <w:spacing w:after="60"/>
        <w:ind w:left="714" w:hanging="357"/>
      </w:pPr>
      <w:r w:rsidRPr="63259912">
        <w:t>Mađarske (DV 2x400 kV Žerjavinec – Heviz, DV 2x400 kV Ernestinovo – Pecs)</w:t>
      </w:r>
      <w:r w:rsidR="00D15BC3" w:rsidRPr="63259912">
        <w:t>,</w:t>
      </w:r>
      <w:r w:rsidRPr="63259912">
        <w:t xml:space="preserve"> i </w:t>
      </w:r>
    </w:p>
    <w:p w14:paraId="75D46BEC" w14:textId="15A56514" w:rsidR="0050611F" w:rsidRPr="00B47BDA" w:rsidRDefault="0050611F" w:rsidP="00512EAA">
      <w:pPr>
        <w:pStyle w:val="ListParagraph"/>
        <w:numPr>
          <w:ilvl w:val="0"/>
          <w:numId w:val="17"/>
        </w:numPr>
        <w:spacing w:after="60"/>
        <w:ind w:left="714" w:hanging="357"/>
      </w:pPr>
      <w:r w:rsidRPr="63259912">
        <w:t xml:space="preserve">Slovenije (DV 2x400 kV Tumbri – Krško, </w:t>
      </w:r>
      <w:r w:rsidR="0071286A" w:rsidRPr="63259912">
        <w:t xml:space="preserve">DV 400kV Žerjavinec – Cirkovce, </w:t>
      </w:r>
      <w:r w:rsidRPr="63259912">
        <w:t>DV 400 kV Melina – Divača).</w:t>
      </w:r>
    </w:p>
    <w:p w14:paraId="72F6EFD8" w14:textId="77777777" w:rsidR="00C55036" w:rsidRPr="00B47BDA" w:rsidRDefault="0050611F" w:rsidP="004623DD">
      <w:r w:rsidRPr="63259912">
        <w:t xml:space="preserve">Interkonekcijska povezanost hrvatskog sustava sa susjednim članicama ENTSO-E ostvarena je i s 8 dalekovoda 220 kV. Također, hrvatski sustav je umrežen s okruženjem i na 110 kV razini (ukupno 18 dalekovoda u trajnom ili povremenom pogonu). </w:t>
      </w:r>
    </w:p>
    <w:p w14:paraId="177BB7FB" w14:textId="568242D7" w:rsidR="00C55036" w:rsidRPr="00B47BDA" w:rsidRDefault="00C55036" w:rsidP="004623DD">
      <w:r w:rsidRPr="63259912">
        <w:t>Obzirom da na razinu razmjene električne energije sa susjednim sustavima utječe</w:t>
      </w:r>
      <w:r w:rsidR="00232F9B" w:rsidRPr="63259912">
        <w:t xml:space="preserve"> </w:t>
      </w:r>
      <w:r w:rsidRPr="63259912">
        <w:t>izrazita ovisnost proizvodnog portfelja u Hrvatskoj o hidrologiji, sve veći udio vjetroelektrana s također vrlo promjenjivom proizvodnjom te promjenjive</w:t>
      </w:r>
      <w:r w:rsidR="00AB029E" w:rsidRPr="63259912">
        <w:t xml:space="preserve"> </w:t>
      </w:r>
      <w:r w:rsidRPr="63259912">
        <w:t>cijene na veleprodajnim tržištima električne energije u okruženju, snag</w:t>
      </w:r>
      <w:r w:rsidR="00097BDE" w:rsidRPr="63259912">
        <w:t>a</w:t>
      </w:r>
      <w:r w:rsidRPr="63259912">
        <w:t xml:space="preserve"> razmjena prema susjedima je također vrlo promjenjiva. No, još uvijek je ukupna razmjena sa susjednim sustavima značajno niža od ukupne mogućnosti razmjena, pa faktor iskorištenja pojedinih interkonektivnih vodova (omjer prenesene energije i umnoška vremena i instalirane snage) varira između 0 i 50%, prosječno se procjenjuje na 35%. </w:t>
      </w:r>
    </w:p>
    <w:p w14:paraId="3468EC2A" w14:textId="09DC6C96" w:rsidR="00F8255D" w:rsidRPr="00B47BDA" w:rsidRDefault="00F8255D" w:rsidP="004623DD">
      <w:r w:rsidRPr="63259912">
        <w:lastRenderedPageBreak/>
        <w:t xml:space="preserve">U </w:t>
      </w:r>
      <w:r w:rsidR="009B450F" w:rsidRPr="63259912">
        <w:t>202</w:t>
      </w:r>
      <w:r w:rsidR="00CE0890" w:rsidRPr="63259912">
        <w:t>2</w:t>
      </w:r>
      <w:r w:rsidRPr="63259912">
        <w:t xml:space="preserve">. godini u hrvatski elektroenergetski sustav ušlo je oko </w:t>
      </w:r>
      <w:r w:rsidR="000E6760" w:rsidRPr="63259912">
        <w:t>11,</w:t>
      </w:r>
      <w:r w:rsidR="00CE0890" w:rsidRPr="63259912">
        <w:t>9</w:t>
      </w:r>
      <w:r w:rsidRPr="63259912">
        <w:t xml:space="preserve"> TWh, a izašlo oko </w:t>
      </w:r>
      <w:r w:rsidR="00417165" w:rsidRPr="63259912">
        <w:t>7,2</w:t>
      </w:r>
      <w:r w:rsidRPr="63259912">
        <w:t xml:space="preserve"> TWh,. Najveća razmjena obavlja se s elektroenergetskim sustavom Slovenije i Bosne i Hercegovine, što je i očekivano obzirom na vrlo visoku razinu instaliranih interkonektivnih kapaciteta. Samo s BiH Hrvatska ima čak 21 interkonektivni vod, a sa Slovenijom 8 interkonektivnih vodova. </w:t>
      </w:r>
      <w:r w:rsidR="00B803A7" w:rsidRPr="63259912">
        <w:t>Količine električne energije razmijenjene sa susjednim državama (Slovenijom, Mađarskom, Srbijom te Bosnom i Hercegovinom)</w:t>
      </w:r>
      <w:r w:rsidR="00D5362A" w:rsidRPr="63259912">
        <w:t xml:space="preserve"> u </w:t>
      </w:r>
      <w:r w:rsidR="00143B44" w:rsidRPr="63259912">
        <w:t>2020</w:t>
      </w:r>
      <w:r w:rsidR="00D5362A" w:rsidRPr="63259912">
        <w:t xml:space="preserve">., </w:t>
      </w:r>
      <w:r w:rsidR="00BA3ED5" w:rsidRPr="63259912">
        <w:t>202</w:t>
      </w:r>
      <w:r w:rsidR="00143B44" w:rsidRPr="63259912">
        <w:t>1</w:t>
      </w:r>
      <w:r w:rsidR="00D5362A" w:rsidRPr="63259912">
        <w:t xml:space="preserve">. i </w:t>
      </w:r>
      <w:r w:rsidR="00BA3ED5" w:rsidRPr="63259912">
        <w:t>202</w:t>
      </w:r>
      <w:r w:rsidR="00143B44" w:rsidRPr="63259912">
        <w:t>2</w:t>
      </w:r>
      <w:r w:rsidR="00D5362A" w:rsidRPr="63259912">
        <w:t xml:space="preserve">. godini prikazuje </w:t>
      </w:r>
      <w:r>
        <w:fldChar w:fldCharType="begin"/>
      </w:r>
      <w:r w:rsidRPr="63259912">
        <w:rPr>
          <w:highlight w:val="yellow"/>
        </w:rPr>
        <w:instrText xml:space="preserve"> REF _Ref19519012 \h  \* MERGEFORMAT </w:instrText>
      </w:r>
      <w:r>
        <w:fldChar w:fldCharType="separate"/>
      </w:r>
      <w:r w:rsidR="00AD324D" w:rsidRPr="63259912">
        <w:t>Slika 416</w:t>
      </w:r>
      <w:r>
        <w:fldChar w:fldCharType="end"/>
      </w:r>
      <w:r w:rsidR="00D5362A" w:rsidRPr="63259912">
        <w:t>.</w:t>
      </w:r>
    </w:p>
    <w:p w14:paraId="2BC85737" w14:textId="77777777" w:rsidR="00D857E3" w:rsidRPr="00B47BDA" w:rsidRDefault="00D857E3" w:rsidP="004623DD"/>
    <w:p w14:paraId="3838D782" w14:textId="7B893400" w:rsidR="00F8255D" w:rsidRPr="00B47BDA" w:rsidRDefault="00C459D7" w:rsidP="004623DD">
      <w:pPr>
        <w:rPr>
          <w:highlight w:val="yellow"/>
        </w:rPr>
      </w:pPr>
      <w:r w:rsidRPr="00C459D7">
        <w:rPr>
          <w:noProof/>
        </w:rPr>
        <w:drawing>
          <wp:inline distT="0" distB="0" distL="0" distR="0" wp14:anchorId="059CD499" wp14:editId="6762A678">
            <wp:extent cx="5759450" cy="5956300"/>
            <wp:effectExtent l="0" t="0" r="0" b="6350"/>
            <wp:docPr id="2060422730"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22730" name="Picture 1" descr="A map of the country&#10;&#10;Description automatically generated"/>
                    <pic:cNvPicPr/>
                  </pic:nvPicPr>
                  <pic:blipFill>
                    <a:blip r:embed="rId66"/>
                    <a:stretch>
                      <a:fillRect/>
                    </a:stretch>
                  </pic:blipFill>
                  <pic:spPr>
                    <a:xfrm>
                      <a:off x="0" y="0"/>
                      <a:ext cx="5759450" cy="5956300"/>
                    </a:xfrm>
                    <a:prstGeom prst="rect">
                      <a:avLst/>
                    </a:prstGeom>
                  </pic:spPr>
                </pic:pic>
              </a:graphicData>
            </a:graphic>
          </wp:inline>
        </w:drawing>
      </w:r>
    </w:p>
    <w:p w14:paraId="2F3B373D" w14:textId="013AE89B" w:rsidR="00BC6CAE" w:rsidRPr="00B47BDA" w:rsidRDefault="00BC6CAE" w:rsidP="004623DD">
      <w:pPr>
        <w:pStyle w:val="Caption"/>
      </w:pPr>
      <w:bookmarkStart w:id="628" w:name="_Ref19519012"/>
      <w:bookmarkStart w:id="629" w:name="_Toc185605265"/>
      <w:bookmarkStart w:id="630" w:name="_Toc193035911"/>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AD324D">
        <w:rPr>
          <w:noProof/>
        </w:rPr>
        <w:t>16</w:t>
      </w:r>
      <w:r>
        <w:fldChar w:fldCharType="end"/>
      </w:r>
      <w:bookmarkEnd w:id="628"/>
      <w:r w:rsidRPr="00B47BDA">
        <w:t xml:space="preserve">. Razmjena električne energije sa susjednim državama, </w:t>
      </w:r>
      <w:r w:rsidR="00C459D7" w:rsidRPr="00B47BDA">
        <w:t>20</w:t>
      </w:r>
      <w:r w:rsidR="00C459D7">
        <w:t>20</w:t>
      </w:r>
      <w:r w:rsidRPr="00B47BDA">
        <w:t xml:space="preserve">., </w:t>
      </w:r>
      <w:r w:rsidR="006115B6" w:rsidRPr="00B47BDA">
        <w:t>202</w:t>
      </w:r>
      <w:r w:rsidR="00C459D7">
        <w:t>1</w:t>
      </w:r>
      <w:r w:rsidRPr="00B47BDA">
        <w:t xml:space="preserve">. i </w:t>
      </w:r>
      <w:r w:rsidR="006115B6" w:rsidRPr="00B47BDA">
        <w:t>202</w:t>
      </w:r>
      <w:r w:rsidR="00C459D7">
        <w:t>2</w:t>
      </w:r>
      <w:r w:rsidRPr="00B47BDA">
        <w:t>. godine</w:t>
      </w:r>
      <w:bookmarkEnd w:id="629"/>
      <w:bookmarkEnd w:id="630"/>
    </w:p>
    <w:p w14:paraId="2F8AA4F2" w14:textId="61207213" w:rsidR="00D5362A" w:rsidRPr="00B47BDA" w:rsidRDefault="00BC6CAE" w:rsidP="004623DD">
      <w:pPr>
        <w:pStyle w:val="Slike"/>
      </w:pPr>
      <w:r w:rsidRPr="00B47BDA">
        <w:t>Izvor: HOPS</w:t>
      </w:r>
    </w:p>
    <w:p w14:paraId="713D3CA2" w14:textId="765434D5" w:rsidR="0050611F" w:rsidRPr="00B47BDA" w:rsidRDefault="0050611F" w:rsidP="004623DD">
      <w:r w:rsidRPr="00B47BDA">
        <w:t>Dobra povezanost sa susjednim sustavima omogućava značajnije izvoze, uvoze i tranzite električne energije preko prijenosne mreže, te svrstava RH u važnu poveznicu elektroenergetskih sustava srednje i jugoistočne Europe.</w:t>
      </w:r>
    </w:p>
    <w:p w14:paraId="29C18DDA" w14:textId="1D33CC27" w:rsidR="00550EC2" w:rsidRPr="00B47BDA" w:rsidRDefault="00550EC2" w:rsidP="005C2C7E">
      <w:pPr>
        <w:pStyle w:val="Heading4"/>
        <w:numPr>
          <w:ilvl w:val="3"/>
          <w:numId w:val="175"/>
        </w:numPr>
        <w:ind w:hanging="580"/>
      </w:pPr>
      <w:r w:rsidRPr="00B47BDA">
        <w:lastRenderedPageBreak/>
        <w:t>Projekcije</w:t>
      </w:r>
      <w:r w:rsidR="00280DD4" w:rsidRPr="00B47BDA">
        <w:t xml:space="preserve"> u pogledu</w:t>
      </w:r>
      <w:r w:rsidRPr="00B47BDA">
        <w:t xml:space="preserve"> zahtjeva za povećanjem broja spojnih vodova (uključujući projekcije za 2030.)</w:t>
      </w:r>
    </w:p>
    <w:p w14:paraId="6675C995" w14:textId="77970239" w:rsidR="003270F9" w:rsidRPr="00B47BDA" w:rsidRDefault="000444F7" w:rsidP="004623DD">
      <w:r w:rsidRPr="63259912">
        <w:t>Od dodatnih novih interkonekcijskih dalekovoda trenutno se na razini ENTSO-E analizira mogućnost i opravdanost izgradnje sljedećih vodova:</w:t>
      </w:r>
    </w:p>
    <w:p w14:paraId="0D20F121" w14:textId="77777777" w:rsidR="000444F7" w:rsidRPr="00B47BDA" w:rsidRDefault="000444F7" w:rsidP="00512EAA">
      <w:pPr>
        <w:pStyle w:val="ListParagraph"/>
        <w:numPr>
          <w:ilvl w:val="0"/>
          <w:numId w:val="11"/>
        </w:numPr>
        <w:spacing w:after="60"/>
        <w:ind w:left="714" w:hanging="357"/>
      </w:pPr>
      <w:r w:rsidRPr="00B47BDA">
        <w:t>DV 400 kV Đakovo (RH) – Tuzla (BiH);</w:t>
      </w:r>
    </w:p>
    <w:p w14:paraId="43CF2893" w14:textId="77777777" w:rsidR="000444F7" w:rsidRPr="00B47BDA" w:rsidRDefault="000444F7" w:rsidP="00512EAA">
      <w:pPr>
        <w:pStyle w:val="ListParagraph"/>
        <w:numPr>
          <w:ilvl w:val="0"/>
          <w:numId w:val="11"/>
        </w:numPr>
        <w:spacing w:after="60"/>
        <w:ind w:left="714" w:hanging="357"/>
      </w:pPr>
      <w:r w:rsidRPr="00B47BDA">
        <w:t>DV 400 kV Đakovo (RH) – Gradačac (BiH);</w:t>
      </w:r>
    </w:p>
    <w:p w14:paraId="293F6DBE" w14:textId="77777777" w:rsidR="000444F7" w:rsidRPr="00B47BDA" w:rsidRDefault="000444F7" w:rsidP="00512EAA">
      <w:pPr>
        <w:pStyle w:val="ListParagraph"/>
        <w:numPr>
          <w:ilvl w:val="0"/>
          <w:numId w:val="11"/>
        </w:numPr>
        <w:spacing w:after="60"/>
        <w:ind w:left="714" w:hanging="357"/>
      </w:pPr>
      <w:r w:rsidRPr="00B47BDA">
        <w:t>DV 400 kV Ernestinovo (RH) – Sombor (RS).</w:t>
      </w:r>
    </w:p>
    <w:p w14:paraId="68C585E9" w14:textId="77777777" w:rsidR="003270F9" w:rsidRPr="00B47BDA" w:rsidRDefault="003270F9" w:rsidP="004623DD"/>
    <w:p w14:paraId="3C7BED2F" w14:textId="2D142F98" w:rsidR="000444F7" w:rsidRPr="00B47BDA" w:rsidRDefault="00A50AD7" w:rsidP="004623DD">
      <w:r w:rsidRPr="63259912">
        <w:t>Međutim, njihova eventualna realizacija nije realna u kratkoročnom ili srednjoročnom razdoblju te ovisi o velikom broju faktora, a prije svega o razvoju budućeg tržišta električne energije i integraciji OiE u EES cijele regije.</w:t>
      </w:r>
    </w:p>
    <w:p w14:paraId="1A7B9457" w14:textId="482E180A" w:rsidR="008C336D" w:rsidRPr="00B47BDA" w:rsidRDefault="008C336D" w:rsidP="004623DD">
      <w:r w:rsidRPr="63259912">
        <w:t xml:space="preserve">Nakon 2030. godine moguća je izgradnja novog interkonekcijskog voda 400 kV Lika – Banja Luka koji bi dodatno povezao EES RH i EES BiH. Tehno-ekonomske ocjene isplativosti njegove izgradnje su </w:t>
      </w:r>
      <w:r w:rsidR="00EF626A" w:rsidRPr="63259912">
        <w:t>izrađene</w:t>
      </w:r>
      <w:r w:rsidRPr="63259912">
        <w:t>.</w:t>
      </w:r>
    </w:p>
    <w:p w14:paraId="056F375E" w14:textId="625E6C8A" w:rsidR="00285AD9" w:rsidRPr="00B47BDA" w:rsidRDefault="00285AD9" w:rsidP="005C2C7E">
      <w:pPr>
        <w:pStyle w:val="Heading3"/>
        <w:numPr>
          <w:ilvl w:val="2"/>
          <w:numId w:val="175"/>
        </w:numPr>
      </w:pPr>
      <w:bookmarkStart w:id="631" w:name="_Toc531935265"/>
      <w:bookmarkStart w:id="632" w:name="_Toc531945127"/>
      <w:bookmarkStart w:id="633" w:name="_Toc6302385"/>
      <w:r w:rsidRPr="00B47BDA">
        <w:tab/>
      </w:r>
      <w:bookmarkStart w:id="634" w:name="_Toc187418366"/>
      <w:bookmarkStart w:id="635" w:name="_Toc193043291"/>
      <w:r w:rsidRPr="00B47BDA">
        <w:t>Infrastruktura za prijenos energije</w:t>
      </w:r>
      <w:bookmarkEnd w:id="634"/>
      <w:bookmarkEnd w:id="635"/>
      <w:r w:rsidRPr="00B47BDA">
        <w:t xml:space="preserve"> </w:t>
      </w:r>
    </w:p>
    <w:p w14:paraId="16ABCC1F" w14:textId="77777777" w:rsidR="00285AD9" w:rsidRPr="00B47BDA" w:rsidRDefault="00285AD9" w:rsidP="005C2C7E">
      <w:pPr>
        <w:pStyle w:val="Heading4"/>
        <w:numPr>
          <w:ilvl w:val="3"/>
          <w:numId w:val="175"/>
        </w:numPr>
        <w:ind w:hanging="580"/>
      </w:pPr>
      <w:r w:rsidRPr="00B47BDA">
        <w:t xml:space="preserve">Ključne osobine postojeće infrastrukture za prijenos električne energije i plina </w:t>
      </w:r>
    </w:p>
    <w:bookmarkEnd w:id="631"/>
    <w:bookmarkEnd w:id="632"/>
    <w:bookmarkEnd w:id="633"/>
    <w:p w14:paraId="082AB934" w14:textId="54C7E84A" w:rsidR="00D857E3" w:rsidRPr="00B47BDA" w:rsidRDefault="005B4729" w:rsidP="004623DD">
      <w:r w:rsidRPr="63259912">
        <w:rPr>
          <w:b/>
          <w:bCs/>
        </w:rPr>
        <w:t>Prijenosna elektroenergetska mreža na području Republike Hrvatske</w:t>
      </w:r>
      <w:r w:rsidRPr="63259912">
        <w:t xml:space="preserve"> sastoji se od nadzemnih vodova i kabela, transformatorskih stanica i ostale visokonaponske opreme/postrojenja koji su u pogonu pod naponskim razinama 400 kV, 220 kV i 110 kV. Prijenosna mreža povezuje elektrane i veća potrošačka središta, odnosno distribucijsku mrežu, preko više mogućih pravaca u cilju postizanja zadovoljavajuće sigurnosti opskrbe kupaca električnom energijom propisane kvalitete.</w:t>
      </w:r>
    </w:p>
    <w:p w14:paraId="56A4C42A" w14:textId="1427307C" w:rsidR="00D857E3" w:rsidRPr="00B47BDA" w:rsidRDefault="005B4729" w:rsidP="63259912">
      <w:r w:rsidRPr="63259912">
        <w:t>Ukupna duljina visokonaponskih nadzemnih vodova i kabela prethodno navedenih naponskih razina trenutno iznosi oko 7</w:t>
      </w:r>
      <w:r w:rsidR="005820F3" w:rsidRPr="63259912">
        <w:t>.</w:t>
      </w:r>
      <w:r w:rsidR="007F250B" w:rsidRPr="63259912">
        <w:t xml:space="preserve">800 </w:t>
      </w:r>
      <w:r w:rsidRPr="63259912">
        <w:t>km, a u mreži se nalazi oko 200 transformatorskih stanica 400/220/110 kV, 400/110 kV, 220/110 kV i 110/x kV. Okosnica prijenosne mreže je 400 kV mreža koja povezuje šire osječko, zagrebačko, riječko i splitsko područje, na 220 kV mrežu koja povezuje pojedine regije unutar zemlje priključen je značajan broj većih proizvodnih postrojenja, dok 110 kV mreža povezuje lokalna područja i služi za napajanje distribucijske mreže ili velikih kupaca izravno priključenih na ovu naponsku razinu, pri čemu je dio elektrana/generatora priključen i na mrežu 110 kV.</w:t>
      </w:r>
    </w:p>
    <w:p w14:paraId="44284E75" w14:textId="7F9A1BD3" w:rsidR="005B4729" w:rsidRPr="00B47BDA" w:rsidRDefault="005B4729" w:rsidP="004623DD">
      <w:r w:rsidRPr="00B47BDA">
        <w:t>Prijenosnom mrežom upravlja tvrtka HOPS d.o.o., a ujedno je ista odgovorna i za razvoj prijenosne mreže kao i za upravljanje i vođenje čitavog elektroenergetskog sustava, koje provodi iz Nacionalnog dispečerskog centra (NDC</w:t>
      </w:r>
      <w:r w:rsidR="16B348C5">
        <w:t>)</w:t>
      </w:r>
      <w:r w:rsidRPr="00B47BDA">
        <w:t xml:space="preserve"> te četiri regionalna centra upravljanja. Pod ingerencijom HOPS-a je i uravnoteženje sustava te nabava pomoćnih usluga sustavu koje omogućavaju postizanje jednakosti proizvodnje i potrošnje električne energije u određenom razdoblju, odnosno održavanje frekvencije </w:t>
      </w:r>
      <w:r w:rsidR="009D1155">
        <w:t xml:space="preserve">i napona </w:t>
      </w:r>
      <w:r w:rsidRPr="00B47BDA">
        <w:t xml:space="preserve">na propisanoj razini kao i međugraničnih razmjena snage/energije prema pravilima rada organizacije europskih operatora prijenosnih sustava (ENTSO-E), održavanje propisanih naponskih prilika u svim dijelovima mreže odnosno kompenzaciju jalove energije unutar sustava, ponovnu uspostavu napajanja nakon velikih </w:t>
      </w:r>
      <w:r w:rsidRPr="00B47BDA">
        <w:lastRenderedPageBreak/>
        <w:t xml:space="preserve">poremećaja ili raspada sustava, odnosno otočni rad elektrana unutar električki izoliranih područja nakon većih poremećaja. </w:t>
      </w:r>
    </w:p>
    <w:p w14:paraId="5956B0A0" w14:textId="712A2EF3" w:rsidR="005B4729" w:rsidRPr="00B47BDA" w:rsidRDefault="007557AF" w:rsidP="003F143F">
      <w:pPr>
        <w:jc w:val="center"/>
        <w:rPr>
          <w:highlight w:val="yellow"/>
        </w:rPr>
      </w:pPr>
      <w:bookmarkStart w:id="636" w:name="_Toc528672898"/>
      <w:r w:rsidRPr="007557AF">
        <w:rPr>
          <w:noProof/>
        </w:rPr>
        <w:drawing>
          <wp:inline distT="0" distB="0" distL="0" distR="0" wp14:anchorId="198865F5" wp14:editId="31BDBE44">
            <wp:extent cx="5096586" cy="6096851"/>
            <wp:effectExtent l="0" t="0" r="8890" b="0"/>
            <wp:docPr id="1493838462"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38462" name="Picture 1" descr="A map of the country&#10;&#10;Description automatically generated"/>
                    <pic:cNvPicPr/>
                  </pic:nvPicPr>
                  <pic:blipFill>
                    <a:blip r:embed="rId67"/>
                    <a:stretch>
                      <a:fillRect/>
                    </a:stretch>
                  </pic:blipFill>
                  <pic:spPr>
                    <a:xfrm>
                      <a:off x="0" y="0"/>
                      <a:ext cx="5096586" cy="6096851"/>
                    </a:xfrm>
                    <a:prstGeom prst="rect">
                      <a:avLst/>
                    </a:prstGeom>
                  </pic:spPr>
                </pic:pic>
              </a:graphicData>
            </a:graphic>
          </wp:inline>
        </w:drawing>
      </w:r>
    </w:p>
    <w:p w14:paraId="6457A73A" w14:textId="05A01527" w:rsidR="005B4729" w:rsidRPr="00B47BDA" w:rsidRDefault="005B4729" w:rsidP="004623DD">
      <w:pPr>
        <w:pStyle w:val="Caption"/>
      </w:pPr>
      <w:bookmarkStart w:id="637" w:name="_Toc185605266"/>
      <w:bookmarkStart w:id="638" w:name="_Toc193035912"/>
      <w:r w:rsidRPr="0002508E">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AD324D">
        <w:rPr>
          <w:noProof/>
        </w:rPr>
        <w:t>17</w:t>
      </w:r>
      <w:r>
        <w:fldChar w:fldCharType="end"/>
      </w:r>
      <w:r w:rsidRPr="0002508E">
        <w:t>. Hrvatska prijenosna elektroenergetska mreža</w:t>
      </w:r>
      <w:bookmarkEnd w:id="636"/>
      <w:r w:rsidR="004B32A2" w:rsidRPr="0002508E">
        <w:t xml:space="preserve"> s okruženjem</w:t>
      </w:r>
      <w:bookmarkEnd w:id="637"/>
      <w:bookmarkEnd w:id="638"/>
    </w:p>
    <w:p w14:paraId="11B75096" w14:textId="77777777" w:rsidR="005B4729" w:rsidRPr="00B47BDA" w:rsidRDefault="005B4729" w:rsidP="004623DD">
      <w:pPr>
        <w:pStyle w:val="Slike"/>
      </w:pPr>
      <w:r w:rsidRPr="00B47BDA">
        <w:t>Izvor: HOPS</w:t>
      </w:r>
    </w:p>
    <w:p w14:paraId="409B4F47" w14:textId="686234B4" w:rsidR="005B4729" w:rsidRPr="00B47BDA" w:rsidRDefault="005B4729" w:rsidP="004623DD">
      <w:r w:rsidRPr="00B47BDA">
        <w:t xml:space="preserve">Topologija (oblik) prijenosne mreže trenutno je određen u skladu s aktualnom prostornom raspodjelom potrošnje električne energije, lokacijama postojećih elektrana, tržišnim prilikama u Hrvatskoj i njenom okruženju te propisanim kriterijima planiranja mreže i operativnog vođenja pogona. Prijenosna je mreža dimenzionirana </w:t>
      </w:r>
      <w:r w:rsidR="004E16BA" w:rsidRPr="00B47BDA">
        <w:t>tako</w:t>
      </w:r>
      <w:r w:rsidRPr="00B47BDA">
        <w:t xml:space="preserve"> da u slučaju nastanka pojedinačnog ispada voda, transformatora ili generatora prijenos električne energije propisane kvalitete ne bude onemogućen na bilo kojem dijelu zemlje. Uz postojeće iznose osnovnih ulaznih parametara važnih za planiranje i pogon prijenosne mreže u iznosu od oko 3</w:t>
      </w:r>
      <w:r w:rsidR="0052619E">
        <w:t>.</w:t>
      </w:r>
      <w:r w:rsidR="007F6FD9">
        <w:t>3</w:t>
      </w:r>
      <w:r w:rsidRPr="00B47BDA">
        <w:t xml:space="preserve">00 MW vršnog </w:t>
      </w:r>
      <w:r w:rsidRPr="00B47BDA">
        <w:lastRenderedPageBreak/>
        <w:t>opterećenja, 17 TWh godišnje potrošnje električne energije, uvoza energije na godišnjoj razini od oko 7 TWh, tranzita za potrebe trećih strana u iznosu do 7 TWh te priključka na prijenosnu mrežu elektrana ukupne snage od oko 4</w:t>
      </w:r>
      <w:r w:rsidR="005820F3" w:rsidRPr="00B47BDA">
        <w:t>.</w:t>
      </w:r>
      <w:r w:rsidRPr="00B47BDA">
        <w:t xml:space="preserve">600 MW, </w:t>
      </w:r>
      <w:r w:rsidR="006C319B" w:rsidRPr="006D06FD">
        <w:t>iz</w:t>
      </w:r>
      <w:r w:rsidR="00FE1B12">
        <w:t>g</w:t>
      </w:r>
      <w:r w:rsidR="006C319B" w:rsidRPr="006D06FD">
        <w:t xml:space="preserve">rađenost prijenosne mreže bila je dovoljna za potrebe zadovoljenja sigurnosti opskrbe i instalirane proizvodne kapacitete </w:t>
      </w:r>
      <w:r w:rsidRPr="00B47BDA">
        <w:t>(u prošlosti su se rijetko događali samo lokalni raspadi pojedinih dijelova sustava) te niskim godišnjim iznosima neisporučene električne energije iz prijenosne mreže (reda veličine do 1 GWh). Frekvencija je stabilna, a njena uobičajena i izvanredna odstupanja se kreću unutar propisanih granica.</w:t>
      </w:r>
    </w:p>
    <w:p w14:paraId="7FA4828A" w14:textId="37154B6C" w:rsidR="00A17BFA" w:rsidRDefault="002E4DA9" w:rsidP="004623DD">
      <w:r w:rsidRPr="63259912">
        <w:t xml:space="preserve">Instalirana prijenosna moć interkonektivnih vodova </w:t>
      </w:r>
      <w:r w:rsidR="00A17BFA" w:rsidRPr="63259912">
        <w:t xml:space="preserve">višestruko premašuje vršno opterećenje elektroenergetskog sustava. </w:t>
      </w:r>
      <w:r>
        <w:fldChar w:fldCharType="begin"/>
      </w:r>
      <w:r w:rsidRPr="63259912">
        <w:rPr>
          <w:highlight w:val="yellow"/>
        </w:rPr>
        <w:instrText xml:space="preserve"> REF _Ref19517741 \h  \* MERGEFORMAT </w:instrText>
      </w:r>
      <w:r>
        <w:fldChar w:fldCharType="separate"/>
      </w:r>
      <w:r w:rsidR="0052619E" w:rsidRPr="63259912">
        <w:t>Slika 4–</w:t>
      </w:r>
      <w:r w:rsidR="0052619E" w:rsidRPr="63259912">
        <w:rPr>
          <w:noProof/>
        </w:rPr>
        <w:t>18</w:t>
      </w:r>
      <w:r>
        <w:fldChar w:fldCharType="end"/>
      </w:r>
      <w:r w:rsidR="00E94CCE" w:rsidRPr="63259912">
        <w:t>.</w:t>
      </w:r>
      <w:r w:rsidR="00592BF9" w:rsidRPr="63259912">
        <w:t xml:space="preserve"> </w:t>
      </w:r>
      <w:r w:rsidR="00A17BFA" w:rsidRPr="63259912">
        <w:t>prikaz</w:t>
      </w:r>
      <w:r w:rsidR="00592BF9" w:rsidRPr="63259912">
        <w:t>uje</w:t>
      </w:r>
      <w:r w:rsidR="00A17BFA" w:rsidRPr="63259912">
        <w:t xml:space="preserve"> omjer</w:t>
      </w:r>
      <w:r w:rsidR="00471E9F" w:rsidRPr="63259912">
        <w:t>e</w:t>
      </w:r>
      <w:r w:rsidR="00A17BFA" w:rsidRPr="63259912">
        <w:t xml:space="preserve"> instalirane snage interkonektivnih vodova i vršnog opterećenja, odnosno instalirane snage proizvodnje</w:t>
      </w:r>
      <w:r w:rsidR="00636AD6" w:rsidRPr="63259912">
        <w:t xml:space="preserve"> u europskim zemljama</w:t>
      </w:r>
      <w:r w:rsidR="00A17BFA" w:rsidRPr="63259912">
        <w:t>. Po oba navedena kriterija Hrvatska je među najbolje povezanim zemljama Europe, zajedno s ostalim malim sustavima u kojima je relativno niska razina opterećenja i instalirane snage elektrana.</w:t>
      </w:r>
    </w:p>
    <w:p w14:paraId="4674CE34" w14:textId="043D7763" w:rsidR="00933CF1" w:rsidRPr="00B47BDA" w:rsidRDefault="00933CF1" w:rsidP="004623DD">
      <w:r>
        <w:rPr>
          <w:noProof/>
        </w:rPr>
        <w:drawing>
          <wp:inline distT="0" distB="0" distL="0" distR="0" wp14:anchorId="4519D539" wp14:editId="13C2EFCF">
            <wp:extent cx="5759450" cy="2701290"/>
            <wp:effectExtent l="0" t="0" r="0" b="3810"/>
            <wp:docPr id="1368780177" name="Picture 1" descr="A graph of different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780177" name="Picture 1" descr="A graph of different countries/regions&#10;&#10;Description automatically generated with medium confidence"/>
                    <pic:cNvPicPr/>
                  </pic:nvPicPr>
                  <pic:blipFill>
                    <a:blip r:embed="rId68"/>
                    <a:stretch>
                      <a:fillRect/>
                    </a:stretch>
                  </pic:blipFill>
                  <pic:spPr>
                    <a:xfrm>
                      <a:off x="0" y="0"/>
                      <a:ext cx="5759450" cy="2701290"/>
                    </a:xfrm>
                    <a:prstGeom prst="rect">
                      <a:avLst/>
                    </a:prstGeom>
                  </pic:spPr>
                </pic:pic>
              </a:graphicData>
            </a:graphic>
          </wp:inline>
        </w:drawing>
      </w:r>
    </w:p>
    <w:p w14:paraId="146664B1" w14:textId="10467954" w:rsidR="00F03128" w:rsidRPr="00B47BDA" w:rsidRDefault="00FE1B12" w:rsidP="004623DD">
      <w:pPr>
        <w:pStyle w:val="Caption"/>
      </w:pPr>
      <w:bookmarkStart w:id="639" w:name="_Toc193035913"/>
      <w:r>
        <w:rPr>
          <w:noProof/>
        </w:rPr>
        <mc:AlternateContent>
          <mc:Choice Requires="wps">
            <w:drawing>
              <wp:anchor distT="45720" distB="45720" distL="114300" distR="114300" simplePos="0" relativeHeight="251658246" behindDoc="0" locked="0" layoutInCell="1" allowOverlap="1" wp14:anchorId="1EA5AF42" wp14:editId="0E2C4B15">
                <wp:simplePos x="0" y="0"/>
                <wp:positionH relativeFrom="column">
                  <wp:posOffset>5415280</wp:posOffset>
                </wp:positionH>
                <wp:positionV relativeFrom="paragraph">
                  <wp:posOffset>2451100</wp:posOffset>
                </wp:positionV>
                <wp:extent cx="304800" cy="139700"/>
                <wp:effectExtent l="0" t="0" r="19050" b="12700"/>
                <wp:wrapNone/>
                <wp:docPr id="1808741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39700"/>
                        </a:xfrm>
                        <a:prstGeom prst="rect">
                          <a:avLst/>
                        </a:prstGeom>
                        <a:solidFill>
                          <a:schemeClr val="bg1"/>
                        </a:solidFill>
                        <a:ln w="9525">
                          <a:solidFill>
                            <a:schemeClr val="bg1"/>
                          </a:solidFill>
                          <a:miter lim="800000"/>
                          <a:headEnd/>
                          <a:tailEnd/>
                        </a:ln>
                      </wps:spPr>
                      <wps:txbx>
                        <w:txbxContent>
                          <w:p w14:paraId="7AAA3E16" w14:textId="6A4F39DB" w:rsidR="0054579C" w:rsidRPr="00FE1B12" w:rsidRDefault="0054579C" w:rsidP="0054579C">
                            <w:pPr>
                              <w:rPr>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A5AF42" id="_x0000_t202" coordsize="21600,21600" o:spt="202" path="m,l,21600r21600,l21600,xe">
                <v:stroke joinstyle="miter"/>
                <v:path gradientshapeok="t" o:connecttype="rect"/>
              </v:shapetype>
              <v:shape id="Text Box 2" o:spid="_x0000_s1026" type="#_x0000_t202" style="position:absolute;left:0;text-align:left;margin-left:426.4pt;margin-top:193pt;width:24pt;height:1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" fillcolor="white [3212]" strokecolor="white [3212]">
                <v:textbox inset="0,0,0,0">
                  <w:txbxContent>
                    <w:p w14:paraId="7AAA3E16" w14:textId="6A4F39DB" w:rsidR="0054579C" w:rsidRPr="00FE1B12" w:rsidRDefault="0054579C" w:rsidP="0054579C">
                      <w:pPr>
                        <w:rPr>
                          <w:sz w:val="16"/>
                          <w:szCs w:val="16"/>
                        </w:rPr>
                      </w:pPr>
                    </w:p>
                  </w:txbxContent>
                </v:textbox>
              </v:shape>
            </w:pict>
          </mc:Fallback>
        </mc:AlternateContent>
      </w:r>
      <w:bookmarkStart w:id="640" w:name="_Ref19517741"/>
      <w:bookmarkStart w:id="641" w:name="_Toc185605267"/>
      <w:r w:rsidR="00F03128" w:rsidRPr="63259912">
        <w:t xml:space="preserve">Slika </w:t>
      </w:r>
      <w:r w:rsidR="00F03128">
        <w:fldChar w:fldCharType="begin"/>
      </w:r>
      <w:r w:rsidR="00F03128">
        <w:instrText>STYLEREF 1 \s</w:instrText>
      </w:r>
      <w:r w:rsidR="00F03128">
        <w:fldChar w:fldCharType="separate"/>
      </w:r>
      <w:r w:rsidR="00AD324D" w:rsidRPr="63259912">
        <w:rPr>
          <w:noProof/>
        </w:rPr>
        <w:t>4</w:t>
      </w:r>
      <w:r w:rsidR="00F03128">
        <w:fldChar w:fldCharType="end"/>
      </w:r>
      <w:r w:rsidR="00257B39" w:rsidRPr="63259912">
        <w:t>–</w:t>
      </w:r>
      <w:r w:rsidR="00F03128">
        <w:fldChar w:fldCharType="begin"/>
      </w:r>
      <w:r w:rsidR="00F03128">
        <w:instrText>SEQ Slika \* ARABIC \s 1</w:instrText>
      </w:r>
      <w:r w:rsidR="00F03128">
        <w:fldChar w:fldCharType="separate"/>
      </w:r>
      <w:r w:rsidR="00AD324D" w:rsidRPr="63259912">
        <w:rPr>
          <w:noProof/>
        </w:rPr>
        <w:t>18</w:t>
      </w:r>
      <w:r w:rsidR="00F03128">
        <w:fldChar w:fldCharType="end"/>
      </w:r>
      <w:bookmarkEnd w:id="640"/>
      <w:r w:rsidR="00F03128" w:rsidRPr="63259912">
        <w:t xml:space="preserve">. </w:t>
      </w:r>
      <w:r w:rsidR="00711F24" w:rsidRPr="63259912">
        <w:t>I</w:t>
      </w:r>
      <w:r w:rsidR="00592BF9" w:rsidRPr="63259912">
        <w:t>nstaliran</w:t>
      </w:r>
      <w:r w:rsidR="00711F24" w:rsidRPr="63259912">
        <w:t>a</w:t>
      </w:r>
      <w:r w:rsidR="00592BF9" w:rsidRPr="63259912">
        <w:t xml:space="preserve"> snag</w:t>
      </w:r>
      <w:r w:rsidR="00711F24" w:rsidRPr="63259912">
        <w:t>a</w:t>
      </w:r>
      <w:r w:rsidR="00592BF9" w:rsidRPr="63259912">
        <w:t xml:space="preserve"> interkonektivnih vodova</w:t>
      </w:r>
      <w:r w:rsidR="00850CA4" w:rsidRPr="63259912">
        <w:t xml:space="preserve"> i instaliran</w:t>
      </w:r>
      <w:r w:rsidR="00711F24" w:rsidRPr="63259912">
        <w:t>a</w:t>
      </w:r>
      <w:r w:rsidR="00850CA4" w:rsidRPr="63259912">
        <w:t xml:space="preserve"> snag</w:t>
      </w:r>
      <w:r w:rsidR="00711F24" w:rsidRPr="63259912">
        <w:t>a</w:t>
      </w:r>
      <w:r w:rsidR="00850CA4" w:rsidRPr="63259912">
        <w:t xml:space="preserve"> proizvodnje</w:t>
      </w:r>
      <w:r w:rsidR="00711F24" w:rsidRPr="63259912">
        <w:t xml:space="preserve"> u odnosu na</w:t>
      </w:r>
      <w:r w:rsidR="00592BF9" w:rsidRPr="63259912">
        <w:t xml:space="preserve"> vršno opterećenj</w:t>
      </w:r>
      <w:r w:rsidR="00711F24" w:rsidRPr="63259912">
        <w:t>e</w:t>
      </w:r>
      <w:r w:rsidR="00592BF9" w:rsidRPr="63259912">
        <w:t xml:space="preserve"> u europskim zemljama</w:t>
      </w:r>
      <w:bookmarkEnd w:id="639"/>
      <w:bookmarkEnd w:id="641"/>
    </w:p>
    <w:p w14:paraId="213D26E5" w14:textId="796AD1C9" w:rsidR="005B4729" w:rsidRPr="00B47BDA" w:rsidRDefault="005B4729" w:rsidP="004623DD">
      <w:r w:rsidRPr="00B47BDA">
        <w:t xml:space="preserve">Nepovoljna karakteristika prijenosne mreže je relativno visoki udio starih postrojenja i jedinica mreže, posebno naponske razine 110 kV i 220 kV, koje u idućem razdoblju HOPS planira sistematski obnavljati i revitalizirati. Usprkos tomu, postojeći su pokazatelji pouzdanosti na vrlo visokoj razini uz relativno nizak iznos godišnjih gubitaka električne energije (ispod 500 GWh) imajući u vidu visoke tranzite kojima je mreža izložena. </w:t>
      </w:r>
    </w:p>
    <w:p w14:paraId="4209D956" w14:textId="6FEEFC3C" w:rsidR="005B4729" w:rsidRPr="00B47BDA" w:rsidRDefault="00AA09B4" w:rsidP="004623DD">
      <w:r w:rsidRPr="63259912">
        <w:t>Posljednjih godina uočena je promjenjivost u raspoloživosti i angažmanu proizvodnih postrojenja na području RH, uzrokovanih prvenstveno tržišnim razlozima (najprije nekonkurentno</w:t>
      </w:r>
      <w:r w:rsidR="00967571" w:rsidRPr="63259912">
        <w:t>st</w:t>
      </w:r>
      <w:r w:rsidRPr="63259912">
        <w:t xml:space="preserve"> domaćih elektrana poput TE Rijeka, TE Sisak A i B, TE Plomin 1, a onda ekstremnim porastom cijena njihova ponovna konkurentnost i ponovni angažman, kao npr. TE Rijeka koja je reaktivirana nakon gotovo 8 godina). Zbog toga dostatnost/sigurnost opskrbe kupaca značajno ovisi o uvozu električne energije čije su mogućnosti uvjetovane raspoloživošću prekograničnih prijenosnih kapaciteta i iznosima tih kapaciteta koji se daju na korištenje tržišnim sudionicima, a na čije vrijednosti HOPS ne može samostalno utjecati. </w:t>
      </w:r>
      <w:r w:rsidRPr="63259912">
        <w:lastRenderedPageBreak/>
        <w:t>Nedavnim uvođenjem novog (tzv.flow-based umjesto dosadašnjeg NTC</w:t>
      </w:r>
      <w:r w:rsidR="00BF3CF3" w:rsidRPr="63259912">
        <w:t xml:space="preserve"> na EU granicama dok se na non-EU granicama i dalje koristi NTC</w:t>
      </w:r>
      <w:r w:rsidRPr="63259912">
        <w:t>) mehanizma alokacije prekograničnih prijenosnih kapaciteta u EU očekuje se znatno veća propusnost mreže i povećanje raspoloživih prekograničnih prijenosnih kapaciteta.</w:t>
      </w:r>
    </w:p>
    <w:p w14:paraId="2E706061" w14:textId="097C3F57" w:rsidR="00A626AB" w:rsidRPr="00B47BDA" w:rsidRDefault="00A626AB" w:rsidP="004623DD">
      <w:r w:rsidRPr="00B47BDA">
        <w:rPr>
          <w:b/>
        </w:rPr>
        <w:t>Plinski transportni sustav RH</w:t>
      </w:r>
      <w:r w:rsidRPr="00B47BDA">
        <w:t xml:space="preserve"> sastoji se od ukupno 2</w:t>
      </w:r>
      <w:r w:rsidR="0052619E">
        <w:t>.</w:t>
      </w:r>
      <w:r w:rsidR="006C6789" w:rsidRPr="00B47BDA">
        <w:t>544</w:t>
      </w:r>
      <w:r w:rsidRPr="00B47BDA">
        <w:t xml:space="preserve"> km plinovoda kojima raspolaže operator transportnog sustava (PLINACRO). Plin s</w:t>
      </w:r>
      <w:r w:rsidR="00097ECC">
        <w:t>e</w:t>
      </w:r>
      <w:r w:rsidRPr="00B47BDA">
        <w:t xml:space="preserve"> u transportni plinski sustav preuzima preko </w:t>
      </w:r>
      <w:r w:rsidR="00FD3D57" w:rsidRPr="00B47BDA">
        <w:t xml:space="preserve">osam </w:t>
      </w:r>
      <w:r w:rsidRPr="00B47BDA">
        <w:t xml:space="preserve">priključaka na ulaznim mjernim stanicama, od čega je </w:t>
      </w:r>
      <w:r w:rsidR="00414C5B" w:rsidRPr="00B47BDA">
        <w:t xml:space="preserve">četiri </w:t>
      </w:r>
      <w:r w:rsidRPr="00B47BDA">
        <w:t>priključka u funkciji prihvata iz proizvodnih polja na teritoriju Republike Hrvatske, dva priključka za prihvat plina iz uvoznih dobavnih pravaca</w:t>
      </w:r>
      <w:r w:rsidR="002747A2" w:rsidRPr="00B47BDA">
        <w:t xml:space="preserve">, </w:t>
      </w:r>
      <w:r w:rsidR="009367B6" w:rsidRPr="00B47BDA">
        <w:t>jedan priklj</w:t>
      </w:r>
      <w:r w:rsidR="00532AA5" w:rsidRPr="00B47BDA">
        <w:t xml:space="preserve">učak </w:t>
      </w:r>
      <w:r w:rsidR="006B3FD7" w:rsidRPr="00B47BDA">
        <w:t>u funkciji prihvata plina s terminala za ukapljeni prirodni plin</w:t>
      </w:r>
      <w:r w:rsidRPr="00B47BDA">
        <w:t xml:space="preserve"> te jedan priključak u funkciji povlačenja plina iz podzemnog skladišta plina.</w:t>
      </w:r>
    </w:p>
    <w:p w14:paraId="1112707A" w14:textId="64B05096" w:rsidR="00A626AB" w:rsidRPr="00B47BDA" w:rsidRDefault="00A626AB" w:rsidP="004623DD">
      <w:r w:rsidRPr="00B47BDA">
        <w:t xml:space="preserve">Predaja plina iz transportnog sustava odvija se </w:t>
      </w:r>
      <w:r w:rsidR="003E226E" w:rsidRPr="00B47BDA">
        <w:t>putem 201</w:t>
      </w:r>
      <w:r w:rsidRPr="00B47BDA">
        <w:t xml:space="preserve"> priključka na 15</w:t>
      </w:r>
      <w:r w:rsidR="00914CDF" w:rsidRPr="00B47BDA">
        <w:t>6</w:t>
      </w:r>
      <w:r w:rsidRPr="00B47BDA">
        <w:t xml:space="preserve"> izlaznih mjerno-redukcijskih stanica. Transportni plinski sustav RH dosegao je značajnu razinu razvijenosti, kako prema kapacitetima i prema rasprostranjenosti na gotovo 95</w:t>
      </w:r>
      <w:r w:rsidR="00C01E34">
        <w:t> </w:t>
      </w:r>
      <w:r w:rsidRPr="00B47BDA">
        <w:t>% teritorija RH, tako i u povezanosti s plinskim sustavima susjednih zemalja te u tehnološkoj pouzdanosti i operativnoj sigurnosti. Transportni plinski sustav omogućuje predaju plina na području 19 županija.</w:t>
      </w:r>
      <w:r w:rsidR="00AA0593" w:rsidRPr="00B47BDA">
        <w:t xml:space="preserve"> </w:t>
      </w:r>
      <w:r w:rsidRPr="00B47BDA">
        <w:t>Plinski transportni sustav RH prikazan je na slici u nastavku.</w:t>
      </w:r>
    </w:p>
    <w:p w14:paraId="0B71AECC" w14:textId="4EA7D674" w:rsidR="00A626AB" w:rsidRPr="00B47BDA" w:rsidRDefault="00DE28B0" w:rsidP="004623DD">
      <w:r w:rsidRPr="00B47BDA">
        <w:rPr>
          <w:noProof/>
          <w:lang w:eastAsia="hr-HR"/>
        </w:rPr>
        <w:lastRenderedPageBreak/>
        <w:drawing>
          <wp:anchor distT="0" distB="0" distL="114300" distR="114300" simplePos="0" relativeHeight="251658244" behindDoc="0" locked="0" layoutInCell="1" allowOverlap="1" wp14:anchorId="38E1F0DA" wp14:editId="1515CCCB">
            <wp:simplePos x="0" y="0"/>
            <wp:positionH relativeFrom="column">
              <wp:posOffset>2623820</wp:posOffset>
            </wp:positionH>
            <wp:positionV relativeFrom="paragraph">
              <wp:posOffset>2273512</wp:posOffset>
            </wp:positionV>
            <wp:extent cx="3096000" cy="3456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96000" cy="345600"/>
                    </a:xfrm>
                    <a:prstGeom prst="rect">
                      <a:avLst/>
                    </a:prstGeom>
                  </pic:spPr>
                </pic:pic>
              </a:graphicData>
            </a:graphic>
            <wp14:sizeRelH relativeFrom="margin">
              <wp14:pctWidth>0</wp14:pctWidth>
            </wp14:sizeRelH>
            <wp14:sizeRelV relativeFrom="margin">
              <wp14:pctHeight>0</wp14:pctHeight>
            </wp14:sizeRelV>
          </wp:anchor>
        </w:drawing>
      </w:r>
      <w:r w:rsidR="00B12608" w:rsidRPr="00B47BDA">
        <w:rPr>
          <w:noProof/>
          <w:lang w:eastAsia="hr-HR"/>
        </w:rPr>
        <w:drawing>
          <wp:inline distT="0" distB="0" distL="0" distR="0" wp14:anchorId="138B36A7" wp14:editId="52DBA79E">
            <wp:extent cx="5690870" cy="56769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70" cstate="print">
                      <a:extLst>
                        <a:ext uri="{28A0092B-C50C-407E-A947-70E740481C1C}">
                          <a14:useLocalDpi xmlns:a14="http://schemas.microsoft.com/office/drawing/2010/main" val="0"/>
                        </a:ext>
                      </a:extLst>
                    </a:blip>
                    <a:srcRect l="1191" b="1433"/>
                    <a:stretch/>
                  </pic:blipFill>
                  <pic:spPr bwMode="auto">
                    <a:xfrm>
                      <a:off x="0" y="0"/>
                      <a:ext cx="5690870" cy="5676900"/>
                    </a:xfrm>
                    <a:prstGeom prst="rect">
                      <a:avLst/>
                    </a:prstGeom>
                    <a:ln>
                      <a:noFill/>
                    </a:ln>
                    <a:extLst>
                      <a:ext uri="{53640926-AAD7-44D8-BBD7-CCE9431645EC}">
                        <a14:shadowObscured xmlns:a14="http://schemas.microsoft.com/office/drawing/2010/main"/>
                      </a:ext>
                    </a:extLst>
                  </pic:spPr>
                </pic:pic>
              </a:graphicData>
            </a:graphic>
          </wp:inline>
        </w:drawing>
      </w:r>
      <w:r w:rsidRPr="00B47BDA">
        <w:t xml:space="preserve"> </w:t>
      </w:r>
    </w:p>
    <w:p w14:paraId="0ABF1A11" w14:textId="2020FC60" w:rsidR="00C95155" w:rsidRPr="00B47BDA" w:rsidRDefault="00C95155" w:rsidP="004623DD">
      <w:pPr>
        <w:pStyle w:val="Caption"/>
      </w:pPr>
      <w:bookmarkStart w:id="642" w:name="_Toc185605268"/>
      <w:bookmarkStart w:id="643" w:name="_Toc193035914"/>
      <w:r w:rsidRPr="00B47BDA">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AD324D">
        <w:rPr>
          <w:noProof/>
        </w:rPr>
        <w:t>19</w:t>
      </w:r>
      <w:r>
        <w:fldChar w:fldCharType="end"/>
      </w:r>
      <w:r w:rsidRPr="00B47BDA">
        <w:t>. Plinski transportni sustav u Republici Hrvatskoj</w:t>
      </w:r>
      <w:bookmarkEnd w:id="642"/>
      <w:bookmarkEnd w:id="643"/>
    </w:p>
    <w:p w14:paraId="221E97AD" w14:textId="77777777" w:rsidR="00A626AB" w:rsidRPr="00032675" w:rsidRDefault="00A626AB" w:rsidP="0064545D">
      <w:pPr>
        <w:jc w:val="center"/>
        <w:rPr>
          <w:i/>
          <w:iCs/>
          <w:sz w:val="20"/>
          <w:szCs w:val="20"/>
        </w:rPr>
      </w:pPr>
      <w:r w:rsidRPr="00032675">
        <w:rPr>
          <w:i/>
          <w:iCs/>
          <w:sz w:val="20"/>
          <w:szCs w:val="20"/>
        </w:rPr>
        <w:t>Izvor: PLINACRO</w:t>
      </w:r>
    </w:p>
    <w:p w14:paraId="0AAD7EB3" w14:textId="49BFC4E9" w:rsidR="00A626AB" w:rsidRPr="00B47BDA" w:rsidRDefault="00D1675E" w:rsidP="004623DD">
      <w:r>
        <w:t>U 2022. godini sustavom je transportirano 41,04 TWh prirodnog plina, od čega je 14,7 % preuzeto iz proizvodnih postrojenja na teritoriju RH, 13</w:t>
      </w:r>
      <w:r w:rsidR="009E0860">
        <w:t> %</w:t>
      </w:r>
      <w:r>
        <w:t xml:space="preserve"> iz uvoznih dobavnih pravaca, 64,5</w:t>
      </w:r>
      <w:r w:rsidR="004B7D5B">
        <w:t> %</w:t>
      </w:r>
      <w:r>
        <w:t xml:space="preserve"> iz terminala za ukapljeni prirodni plin i 7,8</w:t>
      </w:r>
      <w:r w:rsidR="004B7D5B">
        <w:t> %</w:t>
      </w:r>
      <w:r>
        <w:t xml:space="preserve"> iz podzemnog skladišta plina. Količine plina preuzete u transportni sustav isporučene su u distribucijske sustave, krajnjim kupcima na transportnom sustavu, transportne sustave susjednih država (međunarodni transport) te u podzemno skladiš</w:t>
      </w:r>
      <w:r w:rsidRPr="000E29E9">
        <w:t>te plina. U 2022. godini, najveća transportirana količina plina u danu iznosila je 142 GWh.</w:t>
      </w:r>
    </w:p>
    <w:p w14:paraId="334AD7DE" w14:textId="2C517696" w:rsidR="00736C33" w:rsidRPr="00B47BDA" w:rsidRDefault="00736C33" w:rsidP="005C2C7E">
      <w:pPr>
        <w:pStyle w:val="Heading4"/>
        <w:numPr>
          <w:ilvl w:val="3"/>
          <w:numId w:val="175"/>
        </w:numPr>
        <w:ind w:hanging="580"/>
      </w:pPr>
      <w:r w:rsidRPr="00B47BDA">
        <w:lastRenderedPageBreak/>
        <w:t>Projekcije u pogledu zahtjeva za širenjem mreže barem do 2040. (uključujući projekcije za 2030.)</w:t>
      </w:r>
    </w:p>
    <w:p w14:paraId="6D2BCFE4" w14:textId="14C481ED" w:rsidR="00B8686F" w:rsidRPr="00B47BDA" w:rsidRDefault="00B8686F" w:rsidP="004623DD">
      <w:r w:rsidRPr="63259912">
        <w:t xml:space="preserve">Imajući u vidu očekivanu ubrzanu integraciju OiE i predviđenu energetsku tranziciju u cilju smanjenja emisija stakleničkih plinova, </w:t>
      </w:r>
      <w:r w:rsidRPr="63259912">
        <w:rPr>
          <w:b/>
          <w:bCs/>
        </w:rPr>
        <w:t xml:space="preserve">razvoj prijenosne </w:t>
      </w:r>
      <w:r w:rsidR="005742C0" w:rsidRPr="63259912">
        <w:rPr>
          <w:b/>
          <w:bCs/>
        </w:rPr>
        <w:t>elektroenergetske</w:t>
      </w:r>
      <w:r w:rsidRPr="63259912">
        <w:rPr>
          <w:b/>
          <w:bCs/>
        </w:rPr>
        <w:t xml:space="preserve"> mreže</w:t>
      </w:r>
      <w:r w:rsidRPr="63259912">
        <w:t xml:space="preserve"> treba odrediti uzimajući u obzir sljedeće:</w:t>
      </w:r>
    </w:p>
    <w:p w14:paraId="44D35617" w14:textId="38D34A97" w:rsidR="00B8686F" w:rsidRPr="00B47BDA" w:rsidRDefault="00B8686F" w:rsidP="00512EAA">
      <w:pPr>
        <w:pStyle w:val="ListParagraph"/>
        <w:numPr>
          <w:ilvl w:val="0"/>
          <w:numId w:val="18"/>
        </w:numPr>
        <w:spacing w:after="60"/>
        <w:ind w:left="357" w:hanging="357"/>
      </w:pPr>
      <w:r w:rsidRPr="00B47BDA">
        <w:t>planirano je vršno opterećenje na razini prijenosne mreže u iznosima od oko 2</w:t>
      </w:r>
      <w:r w:rsidR="00054E1E">
        <w:t>.</w:t>
      </w:r>
      <w:r w:rsidRPr="00B47BDA">
        <w:t>900 MW u 2020. godini te oko 3</w:t>
      </w:r>
      <w:r w:rsidR="00054E1E">
        <w:t>.</w:t>
      </w:r>
      <w:r w:rsidRPr="00B47BDA">
        <w:t>200 MW u 2030. godini,</w:t>
      </w:r>
    </w:p>
    <w:p w14:paraId="7A9A785C" w14:textId="50F8EB10" w:rsidR="00B8686F" w:rsidRPr="00B47BDA" w:rsidRDefault="00B8686F" w:rsidP="00512EAA">
      <w:pPr>
        <w:pStyle w:val="ListParagraph"/>
        <w:numPr>
          <w:ilvl w:val="0"/>
          <w:numId w:val="18"/>
        </w:numPr>
        <w:spacing w:after="60"/>
        <w:ind w:left="357" w:hanging="357"/>
      </w:pPr>
      <w:r w:rsidRPr="00B47BDA">
        <w:t xml:space="preserve">za moguće scenarije razvoja planirana je izgradnja </w:t>
      </w:r>
      <w:r w:rsidR="00534EC0" w:rsidRPr="00B47BDA">
        <w:t>novih hidroelektrana i pripadajućih priključaka</w:t>
      </w:r>
      <w:r w:rsidRPr="00B47BDA">
        <w:t xml:space="preserve"> na </w:t>
      </w:r>
      <w:r w:rsidR="00534EC0" w:rsidRPr="00B47BDA">
        <w:t>prijenosnu</w:t>
      </w:r>
      <w:r w:rsidRPr="00B47BDA">
        <w:t xml:space="preserve"> mrežu </w:t>
      </w:r>
      <w:r w:rsidR="00534EC0" w:rsidRPr="00B47BDA">
        <w:t>u iznosu od 250 </w:t>
      </w:r>
      <w:r w:rsidRPr="00B47BDA">
        <w:t>MW</w:t>
      </w:r>
      <w:r w:rsidR="00534EC0" w:rsidRPr="00B47BDA">
        <w:t xml:space="preserve"> do 2030. godine i dodatnih 1</w:t>
      </w:r>
      <w:r w:rsidR="00054E1E">
        <w:t>.</w:t>
      </w:r>
      <w:r w:rsidR="00534EC0" w:rsidRPr="00B47BDA">
        <w:t>650 MW do 2040. godine</w:t>
      </w:r>
      <w:r w:rsidRPr="00B47BDA">
        <w:t>,</w:t>
      </w:r>
    </w:p>
    <w:p w14:paraId="1308509E" w14:textId="591FEFFE" w:rsidR="00B8686F" w:rsidRPr="00B47BDA" w:rsidRDefault="00B8686F" w:rsidP="00512EAA">
      <w:pPr>
        <w:pStyle w:val="ListParagraph"/>
        <w:numPr>
          <w:ilvl w:val="0"/>
          <w:numId w:val="18"/>
        </w:numPr>
        <w:spacing w:after="60"/>
        <w:ind w:left="357" w:hanging="357"/>
      </w:pPr>
      <w:r w:rsidRPr="00B47BDA">
        <w:t xml:space="preserve">za moguće scenarije razvoja </w:t>
      </w:r>
      <w:r w:rsidRPr="00B47BDA">
        <w:rPr>
          <w:rFonts w:cs="Arial"/>
        </w:rPr>
        <w:t>predviđen</w:t>
      </w:r>
      <w:r w:rsidR="00534EC0" w:rsidRPr="00B47BDA">
        <w:rPr>
          <w:rFonts w:cs="Arial"/>
        </w:rPr>
        <w:t>a</w:t>
      </w:r>
      <w:r w:rsidRPr="00B47BDA">
        <w:rPr>
          <w:rFonts w:cs="Arial"/>
        </w:rPr>
        <w:t xml:space="preserve"> je</w:t>
      </w:r>
      <w:r w:rsidRPr="00B47BDA">
        <w:t xml:space="preserve"> izgradnja novih plinskih blokova/bloka ukupne snage </w:t>
      </w:r>
      <w:r w:rsidR="00534EC0" w:rsidRPr="00B47BDA">
        <w:rPr>
          <w:rFonts w:cs="Arial"/>
        </w:rPr>
        <w:t>od 160</w:t>
      </w:r>
      <w:r w:rsidRPr="00B47BDA">
        <w:rPr>
          <w:rFonts w:cs="Arial"/>
        </w:rPr>
        <w:t xml:space="preserve"> MW </w:t>
      </w:r>
      <w:r w:rsidR="00534EC0" w:rsidRPr="00B47BDA">
        <w:rPr>
          <w:rFonts w:cs="Arial"/>
        </w:rPr>
        <w:t>do</w:t>
      </w:r>
      <w:r w:rsidRPr="00B47BDA">
        <w:rPr>
          <w:rFonts w:cs="Arial"/>
        </w:rPr>
        <w:t xml:space="preserve"> 20</w:t>
      </w:r>
      <w:r w:rsidR="00534EC0" w:rsidRPr="00B47BDA">
        <w:rPr>
          <w:rFonts w:cs="Arial"/>
        </w:rPr>
        <w:t>30</w:t>
      </w:r>
      <w:r w:rsidRPr="00B47BDA">
        <w:rPr>
          <w:rFonts w:cs="Arial"/>
        </w:rPr>
        <w:t>. godin</w:t>
      </w:r>
      <w:r w:rsidR="00534EC0" w:rsidRPr="00B47BDA">
        <w:rPr>
          <w:rFonts w:cs="Arial"/>
        </w:rPr>
        <w:t>e</w:t>
      </w:r>
      <w:r w:rsidRPr="00B47BDA">
        <w:rPr>
          <w:rFonts w:cs="Arial"/>
        </w:rPr>
        <w:t>,</w:t>
      </w:r>
    </w:p>
    <w:p w14:paraId="41098627" w14:textId="3B447E5D" w:rsidR="00B8686F" w:rsidRPr="00B47BDA" w:rsidRDefault="00B8686F" w:rsidP="00512EAA">
      <w:pPr>
        <w:pStyle w:val="ListParagraph"/>
        <w:numPr>
          <w:ilvl w:val="0"/>
          <w:numId w:val="18"/>
        </w:numPr>
        <w:spacing w:after="60"/>
        <w:ind w:left="357" w:hanging="357"/>
      </w:pPr>
      <w:r w:rsidRPr="00B47BDA">
        <w:t xml:space="preserve">izgradnja </w:t>
      </w:r>
      <w:r w:rsidR="00534EC0" w:rsidRPr="00B47BDA">
        <w:rPr>
          <w:rFonts w:cs="Arial"/>
        </w:rPr>
        <w:t xml:space="preserve">preko </w:t>
      </w:r>
      <w:r w:rsidR="00A0367B">
        <w:rPr>
          <w:rFonts w:cs="Arial"/>
        </w:rPr>
        <w:t xml:space="preserve">ovim NECP-om planiranih </w:t>
      </w:r>
      <w:r w:rsidR="00534EC0" w:rsidRPr="00B47BDA">
        <w:rPr>
          <w:rFonts w:cs="Arial"/>
        </w:rPr>
        <w:t xml:space="preserve">dodatnih </w:t>
      </w:r>
      <w:r w:rsidRPr="00B47BDA">
        <w:rPr>
          <w:rFonts w:cs="Arial"/>
        </w:rPr>
        <w:t>1</w:t>
      </w:r>
      <w:r w:rsidR="00054E1E">
        <w:rPr>
          <w:rFonts w:cs="Arial"/>
        </w:rPr>
        <w:t>.</w:t>
      </w:r>
      <w:r w:rsidRPr="00B47BDA">
        <w:rPr>
          <w:rFonts w:cs="Arial"/>
        </w:rPr>
        <w:t>3</w:t>
      </w:r>
      <w:r w:rsidR="00534EC0" w:rsidRPr="00B47BDA">
        <w:rPr>
          <w:rFonts w:cs="Arial"/>
        </w:rPr>
        <w:t>45 </w:t>
      </w:r>
      <w:r w:rsidRPr="00B47BDA">
        <w:t xml:space="preserve">MW u vjetroelektranama, što je povećanje u odnosu na postojeću izgrađenost VE od </w:t>
      </w:r>
      <w:r w:rsidR="00534EC0" w:rsidRPr="00B47BDA">
        <w:rPr>
          <w:rFonts w:cs="Arial"/>
        </w:rPr>
        <w:t>948 </w:t>
      </w:r>
      <w:r w:rsidRPr="00B47BDA">
        <w:t>MW,</w:t>
      </w:r>
    </w:p>
    <w:p w14:paraId="256C6E52" w14:textId="005AAF4E" w:rsidR="00B8686F" w:rsidRPr="00B47BDA" w:rsidRDefault="00B8686F" w:rsidP="00512EAA">
      <w:pPr>
        <w:pStyle w:val="ListParagraph"/>
        <w:numPr>
          <w:ilvl w:val="0"/>
          <w:numId w:val="18"/>
        </w:numPr>
        <w:spacing w:after="60"/>
        <w:ind w:left="357" w:hanging="357"/>
      </w:pPr>
      <w:r w:rsidRPr="00B47BDA">
        <w:t xml:space="preserve">izgradnja </w:t>
      </w:r>
      <w:r w:rsidR="00534EC0" w:rsidRPr="00B47BDA">
        <w:rPr>
          <w:rFonts w:cs="Arial"/>
        </w:rPr>
        <w:t>preko dodatnih 460</w:t>
      </w:r>
      <w:r w:rsidRPr="00B47BDA">
        <w:t xml:space="preserve"> MW u sunčanim elektranama priključenim na prijenosnu mrežu,</w:t>
      </w:r>
    </w:p>
    <w:p w14:paraId="4BD105B2" w14:textId="6B203FC2" w:rsidR="00B8686F" w:rsidRPr="00B47BDA" w:rsidRDefault="00B8686F" w:rsidP="00512EAA">
      <w:pPr>
        <w:pStyle w:val="ListParagraph"/>
        <w:numPr>
          <w:ilvl w:val="0"/>
          <w:numId w:val="18"/>
        </w:numPr>
        <w:spacing w:after="60"/>
        <w:ind w:left="357" w:hanging="357"/>
      </w:pPr>
      <w:r w:rsidRPr="00B47BDA">
        <w:t>ostanak u pogonu TE Plomin 2 do promatranog vremenskog presjeka te nastavak preuzimanja polovice proizvodnje NE Krško.</w:t>
      </w:r>
      <w:r w:rsidR="0086329E" w:rsidRPr="00B47BDA">
        <w:t xml:space="preserve"> </w:t>
      </w:r>
    </w:p>
    <w:p w14:paraId="56ECED90" w14:textId="77777777" w:rsidR="00F6084B" w:rsidRPr="00B47BDA" w:rsidRDefault="00F6084B" w:rsidP="004623DD"/>
    <w:p w14:paraId="2CD46990" w14:textId="3C703C63" w:rsidR="00B8686F" w:rsidRPr="00B47BDA" w:rsidRDefault="00B8686F" w:rsidP="004623DD">
      <w:r w:rsidRPr="00B47BDA">
        <w:t xml:space="preserve">Preliminarna je procjena da bi ukupna ulaganja u prijenosnu mrežu (uključujući priključke novih konvencionalnih elektrana, vjetroelektrana i sunčanih elektrana te razne ostale troškove identificirane u desetogodišnjem planu razvoja prijenosne mreže </w:t>
      </w:r>
      <w:r w:rsidR="008B5BF3" w:rsidRPr="00B47BDA">
        <w:t>2022</w:t>
      </w:r>
      <w:r w:rsidRPr="00B47BDA">
        <w:t>.-</w:t>
      </w:r>
      <w:r w:rsidR="008B5BF3" w:rsidRPr="00B47BDA">
        <w:t>2031</w:t>
      </w:r>
      <w:r w:rsidRPr="00B47BDA">
        <w:t xml:space="preserve">.), imajući u vidu prethodno opisane ulazne pretpostavke, u </w:t>
      </w:r>
      <w:r w:rsidR="008B5BF3" w:rsidRPr="00B47BDA">
        <w:t xml:space="preserve">desetogodišnjem </w:t>
      </w:r>
      <w:r w:rsidRPr="00B47BDA">
        <w:t xml:space="preserve">razdoblju iznosila oko </w:t>
      </w:r>
      <w:r w:rsidR="00BD6D55" w:rsidRPr="00B47BDA">
        <w:t>1,13</w:t>
      </w:r>
      <w:r w:rsidR="008B5BF3" w:rsidRPr="00B47BDA">
        <w:t xml:space="preserve"> </w:t>
      </w:r>
      <w:r w:rsidRPr="00B47BDA">
        <w:t xml:space="preserve">milijardi </w:t>
      </w:r>
      <w:r w:rsidR="00BD6D55" w:rsidRPr="00B47BDA">
        <w:t>EUR</w:t>
      </w:r>
      <w:r w:rsidR="008E1B62">
        <w:t xml:space="preserve"> (u razdoblju 2021.-2030.)</w:t>
      </w:r>
      <w:r w:rsidRPr="00B47BDA">
        <w:t xml:space="preserve">. </w:t>
      </w:r>
      <w:r w:rsidR="00DA0F53">
        <w:t xml:space="preserve">S obzirom na značajno povećanje jediničnih cijena i troškova razvoja mreže, </w:t>
      </w:r>
      <w:r w:rsidR="00FF397B">
        <w:t>ukupne planirane investicije u prijenosnu mrežu nužno je detaljno ažurirati svake godine.</w:t>
      </w:r>
    </w:p>
    <w:p w14:paraId="6BE2825D" w14:textId="50193476" w:rsidR="00B8686F" w:rsidRPr="00B47BDA" w:rsidRDefault="0004149B" w:rsidP="004623DD">
      <w:pPr>
        <w:rPr>
          <w:highlight w:val="yellow"/>
        </w:rPr>
      </w:pPr>
      <w:r w:rsidRPr="00B47BDA">
        <w:rPr>
          <w:noProof/>
          <w:lang w:eastAsia="hr-HR"/>
        </w:rPr>
        <w:lastRenderedPageBreak/>
        <w:drawing>
          <wp:inline distT="0" distB="0" distL="0" distR="0" wp14:anchorId="176B4E8F" wp14:editId="6439154A">
            <wp:extent cx="5759450" cy="5942330"/>
            <wp:effectExtent l="0" t="0" r="0" b="1270"/>
            <wp:docPr id="455" name="Picture 455"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Diagram, map&#10;&#10;Description automatically generated"/>
                    <pic:cNvPicPr/>
                  </pic:nvPicPr>
                  <pic:blipFill>
                    <a:blip r:embed="rId71"/>
                    <a:stretch>
                      <a:fillRect/>
                    </a:stretch>
                  </pic:blipFill>
                  <pic:spPr>
                    <a:xfrm>
                      <a:off x="0" y="0"/>
                      <a:ext cx="5759450" cy="5942330"/>
                    </a:xfrm>
                    <a:prstGeom prst="rect">
                      <a:avLst/>
                    </a:prstGeom>
                  </pic:spPr>
                </pic:pic>
              </a:graphicData>
            </a:graphic>
          </wp:inline>
        </w:drawing>
      </w:r>
    </w:p>
    <w:p w14:paraId="6BB02DCE" w14:textId="542D274A" w:rsidR="00B8686F" w:rsidRPr="00B47BDA" w:rsidRDefault="00B8686F" w:rsidP="004623DD">
      <w:pPr>
        <w:pStyle w:val="Caption"/>
      </w:pPr>
      <w:bookmarkStart w:id="644" w:name="_Toc528672976"/>
      <w:bookmarkStart w:id="645" w:name="_Toc185605269"/>
      <w:bookmarkStart w:id="646" w:name="_Toc193035915"/>
      <w:r w:rsidRPr="0002508E">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AD324D">
        <w:rPr>
          <w:noProof/>
        </w:rPr>
        <w:t>20</w:t>
      </w:r>
      <w:r>
        <w:fldChar w:fldCharType="end"/>
      </w:r>
      <w:r w:rsidRPr="0002508E">
        <w:t>. Predvidiva topologija 400 kV i 220 kV mreže na području RH 203</w:t>
      </w:r>
      <w:r w:rsidR="0004149B" w:rsidRPr="0002508E">
        <w:t>1</w:t>
      </w:r>
      <w:r w:rsidRPr="0002508E">
        <w:t>. godine</w:t>
      </w:r>
      <w:bookmarkEnd w:id="644"/>
      <w:bookmarkEnd w:id="645"/>
      <w:bookmarkEnd w:id="646"/>
      <w:r w:rsidRPr="00B47BDA">
        <w:t xml:space="preserve"> </w:t>
      </w:r>
    </w:p>
    <w:p w14:paraId="5F45C365" w14:textId="77777777" w:rsidR="00F51C88" w:rsidRPr="00B47BDA" w:rsidRDefault="00F51C88" w:rsidP="004623DD">
      <w:pPr>
        <w:pStyle w:val="Slike"/>
      </w:pPr>
      <w:r w:rsidRPr="00B47BDA">
        <w:t>Izvor: HOPS</w:t>
      </w:r>
    </w:p>
    <w:p w14:paraId="60DA3A22" w14:textId="2EDBB00E" w:rsidR="00B8686F" w:rsidRPr="00B47BDA" w:rsidRDefault="000E6C33" w:rsidP="004623DD">
      <w:r w:rsidRPr="00B47BDA">
        <w:t>I</w:t>
      </w:r>
      <w:r w:rsidR="00B8686F" w:rsidRPr="00B47BDA">
        <w:t>nvesticijski zahtjevnija pojačanja mreže</w:t>
      </w:r>
      <w:r w:rsidRPr="00B47BDA">
        <w:t>, uključujući i ona sadržana u službenom desetogodišnjem planu razvoja prijenosne mreže u razdoblju 202</w:t>
      </w:r>
      <w:r w:rsidR="00391960">
        <w:t>3</w:t>
      </w:r>
      <w:r w:rsidRPr="00B47BDA">
        <w:t>.-203</w:t>
      </w:r>
      <w:r w:rsidR="00391960">
        <w:t>2</w:t>
      </w:r>
      <w:r w:rsidRPr="00B47BDA">
        <w:t xml:space="preserve">. </w:t>
      </w:r>
      <w:r w:rsidR="0054402C" w:rsidRPr="00B47BDA">
        <w:t>g</w:t>
      </w:r>
      <w:r w:rsidRPr="00B47BDA">
        <w:t>odine</w:t>
      </w:r>
      <w:r w:rsidR="0082048D" w:rsidRPr="00B47BDA">
        <w:t>,</w:t>
      </w:r>
      <w:r w:rsidRPr="00B47BDA">
        <w:t xml:space="preserve"> </w:t>
      </w:r>
      <w:r w:rsidR="00B8686F" w:rsidRPr="00B47BDA">
        <w:t xml:space="preserve">su </w:t>
      </w:r>
      <w:r w:rsidR="00396811" w:rsidRPr="00B47BDA">
        <w:t>sljedeća</w:t>
      </w:r>
      <w:r w:rsidR="00B8686F" w:rsidRPr="00B47BDA">
        <w:t>:</w:t>
      </w:r>
    </w:p>
    <w:p w14:paraId="2EF525C3" w14:textId="7E0D6D4F" w:rsidR="00B8686F" w:rsidRPr="00B47BDA" w:rsidRDefault="00B8686F" w:rsidP="00512EAA">
      <w:pPr>
        <w:pStyle w:val="ListParagraph"/>
        <w:numPr>
          <w:ilvl w:val="0"/>
          <w:numId w:val="19"/>
        </w:numPr>
        <w:spacing w:after="60"/>
        <w:ind w:left="426" w:hanging="284"/>
      </w:pPr>
      <w:r w:rsidRPr="63259912">
        <w:t xml:space="preserve">povećanje prijenosne moći </w:t>
      </w:r>
      <w:r w:rsidR="001E6DAD" w:rsidRPr="63259912">
        <w:t xml:space="preserve">DV 220 kV </w:t>
      </w:r>
      <w:r w:rsidRPr="63259912">
        <w:t>Konjsko – Krš Pađene – Brinje u srednjoročnom razdoblju zamjenom alučelnih vodiča HTLS vodičima, u cilju prihvata proizvodnje VE i SE na području Dalmacije,</w:t>
      </w:r>
    </w:p>
    <w:p w14:paraId="2698FC7E" w14:textId="4286A191" w:rsidR="00590C94" w:rsidRPr="00B47BDA" w:rsidRDefault="00590C94" w:rsidP="00512EAA">
      <w:pPr>
        <w:pStyle w:val="ListParagraph"/>
        <w:numPr>
          <w:ilvl w:val="0"/>
          <w:numId w:val="19"/>
        </w:numPr>
        <w:spacing w:after="60"/>
        <w:ind w:left="426" w:hanging="284"/>
      </w:pPr>
      <w:r w:rsidRPr="00B47BDA">
        <w:t>povećanje kapacitete transformacije u TS Konjsko ugradnjom trećeg transformatora 400/220 kV, kao i opremanjem pripadajućih transformatorskih polja 400 kV i 220 kV</w:t>
      </w:r>
      <w:r w:rsidR="00521895">
        <w:t>,</w:t>
      </w:r>
    </w:p>
    <w:p w14:paraId="78EB2F06" w14:textId="7D331268" w:rsidR="007F46D4" w:rsidRPr="00B47BDA" w:rsidRDefault="00590C94" w:rsidP="00512EAA">
      <w:pPr>
        <w:pStyle w:val="ListParagraph"/>
        <w:numPr>
          <w:ilvl w:val="0"/>
          <w:numId w:val="19"/>
        </w:numPr>
        <w:spacing w:after="60"/>
        <w:ind w:left="426" w:hanging="284"/>
      </w:pPr>
      <w:r w:rsidRPr="00B47BDA">
        <w:t>povećanje kapaciteta transformacije u TS Velebit ugradnjom dodatnog transformatora 400/110 kV, kao i opremanje pripadajućih transformatorskih polja 400 kV i 110 kV</w:t>
      </w:r>
      <w:r w:rsidR="00521895">
        <w:t>,</w:t>
      </w:r>
    </w:p>
    <w:p w14:paraId="0DB6638A" w14:textId="0B5FCAE0" w:rsidR="00B8686F" w:rsidRPr="00B47BDA" w:rsidRDefault="00B8686F" w:rsidP="00512EAA">
      <w:pPr>
        <w:pStyle w:val="ListParagraph"/>
        <w:numPr>
          <w:ilvl w:val="0"/>
          <w:numId w:val="19"/>
        </w:numPr>
        <w:spacing w:after="60"/>
        <w:ind w:left="426" w:hanging="284"/>
      </w:pPr>
      <w:r w:rsidRPr="00B47BDA">
        <w:lastRenderedPageBreak/>
        <w:t>izgradnja novog DV 400 kV Konjsko – Lika u dugoročnom razdoblju radi nastavka izgradnje VE i SE te proširenje RP 400 kV Lika predviđenog za izgradnju u sklopu priključka na mrežu HE Senj 2,</w:t>
      </w:r>
    </w:p>
    <w:p w14:paraId="2915535E" w14:textId="77777777" w:rsidR="00B8686F" w:rsidRPr="00B47BDA" w:rsidRDefault="00B8686F" w:rsidP="00512EAA">
      <w:pPr>
        <w:pStyle w:val="ListParagraph"/>
        <w:numPr>
          <w:ilvl w:val="0"/>
          <w:numId w:val="19"/>
        </w:numPr>
        <w:spacing w:after="60"/>
        <w:ind w:left="426" w:hanging="284"/>
      </w:pPr>
      <w:r w:rsidRPr="63259912">
        <w:t>izgradnja DV (2x)400 kV Lika – Melina radi otklanjanja mogućih ograničenja u prijenosu proizvodnje HE, VE i SE na području Dalmacije i Like prema širem riječkom području,</w:t>
      </w:r>
    </w:p>
    <w:p w14:paraId="322BF366" w14:textId="01641E0D" w:rsidR="00B8686F" w:rsidRPr="00B47BDA" w:rsidRDefault="00B8686F" w:rsidP="00512EAA">
      <w:pPr>
        <w:pStyle w:val="ListParagraph"/>
        <w:numPr>
          <w:ilvl w:val="0"/>
          <w:numId w:val="19"/>
        </w:numPr>
        <w:spacing w:after="60"/>
        <w:ind w:left="426" w:hanging="284"/>
      </w:pPr>
      <w:r w:rsidRPr="00B47BDA">
        <w:t>formiranje barem dva do tri „zonska priključka“ odnosno TS 400/110 kV, na odgovarajući način spojene s 400 kV i 110 kV mrežom, preko kojih bi se energija proizvedena u VE i SE prenosila 400 kV mrežom u udaljenija područja, u slučaju da lokalna 110 kV mreža više ne može preuzeti cjelokupnu proizvodnju tih elektrana (predvidive lokacije za „zonske priključke“ su šire područje Drniša/Knina i Sinja, no konačne lokacije ovisit će o lokacijama i snagama novih VE i SE predviđenih za priključak na prijenosnu mrežu),</w:t>
      </w:r>
    </w:p>
    <w:p w14:paraId="7CB140D8" w14:textId="6D287232" w:rsidR="002D091C" w:rsidRPr="00B47BDA" w:rsidRDefault="002D091C" w:rsidP="00512EAA">
      <w:pPr>
        <w:pStyle w:val="ListParagraph"/>
        <w:numPr>
          <w:ilvl w:val="0"/>
          <w:numId w:val="19"/>
        </w:numPr>
        <w:spacing w:after="60"/>
        <w:ind w:left="426" w:hanging="284"/>
      </w:pPr>
      <w:r w:rsidRPr="00B47BDA">
        <w:t>izgradnja TS 220/110 kV Vodnjan 2x150 MVA, uz podizanje pogona DV 2x110(220) kV Plomin – Vodnjan na 220 kV</w:t>
      </w:r>
      <w:r w:rsidR="008B62D0" w:rsidRPr="00B47BDA">
        <w:t>,</w:t>
      </w:r>
    </w:p>
    <w:p w14:paraId="33DB5480" w14:textId="5567168F" w:rsidR="00EE22AD" w:rsidRPr="00B47BDA" w:rsidRDefault="00EE22AD" w:rsidP="00512EAA">
      <w:pPr>
        <w:pStyle w:val="ListParagraph"/>
        <w:numPr>
          <w:ilvl w:val="0"/>
          <w:numId w:val="19"/>
        </w:numPr>
        <w:spacing w:after="60"/>
        <w:ind w:left="426" w:hanging="284"/>
      </w:pPr>
      <w:r w:rsidRPr="63259912">
        <w:t xml:space="preserve">revitalizacija </w:t>
      </w:r>
      <w:r w:rsidR="00D77830" w:rsidRPr="63259912">
        <w:t>220 kV</w:t>
      </w:r>
      <w:r w:rsidR="00B8686F" w:rsidRPr="63259912">
        <w:t xml:space="preserve"> međudržavnih/interkonekcijskih vodova </w:t>
      </w:r>
      <w:r w:rsidR="00AC54C3" w:rsidRPr="63259912">
        <w:t>Đakovo – Gradačac, Đakovo – Tuzla</w:t>
      </w:r>
      <w:r w:rsidR="008B62D0" w:rsidRPr="63259912">
        <w:t xml:space="preserve"> i Zak</w:t>
      </w:r>
      <w:r w:rsidR="00914FD7" w:rsidRPr="63259912">
        <w:t>u</w:t>
      </w:r>
      <w:r w:rsidR="008B62D0" w:rsidRPr="63259912">
        <w:t>čac – Mostar,</w:t>
      </w:r>
    </w:p>
    <w:p w14:paraId="5B255703" w14:textId="344C7B5F" w:rsidR="00B8686F" w:rsidRDefault="00842FD6" w:rsidP="00512EAA">
      <w:pPr>
        <w:pStyle w:val="ListParagraph"/>
        <w:numPr>
          <w:ilvl w:val="0"/>
          <w:numId w:val="19"/>
        </w:numPr>
        <w:spacing w:after="60"/>
        <w:ind w:left="426" w:hanging="284"/>
      </w:pPr>
      <w:r w:rsidRPr="63259912">
        <w:t>nakon</w:t>
      </w:r>
      <w:r w:rsidR="00B8686F" w:rsidRPr="63259912">
        <w:t xml:space="preserve"> 2030. godine moguća je izgradnja novog </w:t>
      </w:r>
      <w:r w:rsidRPr="63259912">
        <w:t>interkonekcijskog voda</w:t>
      </w:r>
      <w:r w:rsidR="00B8686F" w:rsidRPr="63259912">
        <w:t xml:space="preserve"> 400 kV Lika – Banja Luka </w:t>
      </w:r>
      <w:r w:rsidRPr="63259912">
        <w:t>koji bi dodatno povezao EES RH i EES BiH</w:t>
      </w:r>
      <w:r w:rsidR="00B8686F" w:rsidRPr="63259912">
        <w:t xml:space="preserve">. </w:t>
      </w:r>
    </w:p>
    <w:p w14:paraId="1C626E55" w14:textId="43E6AD00" w:rsidR="00920E77" w:rsidRDefault="00920E77" w:rsidP="00920E77">
      <w:pPr>
        <w:spacing w:after="60"/>
      </w:pPr>
      <w:r w:rsidRPr="63259912">
        <w:t>Realizacijom Plana postiže se povećanje pouzdanosti, sigurnosti, raspoloživosti, dostatnosti (adekvatnosti) integracije OIE u cilju smanjenja CO</w:t>
      </w:r>
      <w:r w:rsidRPr="63259912">
        <w:rPr>
          <w:vertAlign w:val="subscript"/>
        </w:rPr>
        <w:t>2</w:t>
      </w:r>
      <w:r w:rsidRPr="63259912">
        <w:t>, povećanje volumena tržišta u cilju smanjenja cijene el. en. za krajnjeg kupca.</w:t>
      </w:r>
    </w:p>
    <w:p w14:paraId="4287E874" w14:textId="61ED0B87" w:rsidR="00B8686F" w:rsidRPr="00B47BDA" w:rsidRDefault="004E16BA" w:rsidP="00DD5F64">
      <w:pPr>
        <w:spacing w:before="240"/>
      </w:pPr>
      <w:r w:rsidRPr="00B47BDA">
        <w:t>Kako</w:t>
      </w:r>
      <w:r w:rsidR="00B8686F" w:rsidRPr="00B47BDA">
        <w:t xml:space="preserve"> je HOPS odgovoran za pouzdanost i raspoloživost </w:t>
      </w:r>
      <w:r w:rsidR="003B46BE">
        <w:t xml:space="preserve">prijenosnog </w:t>
      </w:r>
      <w:r w:rsidR="00B8686F" w:rsidRPr="00B47BDA">
        <w:t>sustava te ispravnu koordinaciju sustava proizvodnje, prijenosa i distribucije uz odgovornost za vođenje elektroenergetskog sustava na način kojim se postiže sigurnost isporuke električne energije, u budućem će razdoblju trebati pratiti funkcioniranje elektroenergetskog sustava s povećanom razinom integracije varijabilnih izvora električne energije te pravovremeno obavijestiti nadležne institucije u slučaju bilo kakvog ugrožavanja sigurnosti isporuke električne energije, uključujući i prijedlog eventualne primjene dozvoljenih mehanizama za razvoj proizvodnih kapaciteta.</w:t>
      </w:r>
    </w:p>
    <w:p w14:paraId="05E88CFC" w14:textId="7F122930" w:rsidR="00FE4EF4" w:rsidRPr="00B47BDA" w:rsidRDefault="008604CE" w:rsidP="004623DD">
      <w:r w:rsidRPr="00B47BDA">
        <w:t>Nužno je istaknuti</w:t>
      </w:r>
      <w:r w:rsidR="00C80EC8" w:rsidRPr="00B47BDA">
        <w:t xml:space="preserve"> kako</w:t>
      </w:r>
      <w:r w:rsidR="0049486A" w:rsidRPr="00B47BDA">
        <w:t xml:space="preserve"> </w:t>
      </w:r>
      <w:r w:rsidR="00462599" w:rsidRPr="00B47BDA">
        <w:t xml:space="preserve">bilo </w:t>
      </w:r>
      <w:r w:rsidR="00E73C6F" w:rsidRPr="00B47BDA">
        <w:t xml:space="preserve">koje ulaganje u prijenosnu </w:t>
      </w:r>
      <w:r w:rsidR="00677CB5" w:rsidRPr="00B47BDA">
        <w:t>mrežu</w:t>
      </w:r>
      <w:r w:rsidR="0049486A" w:rsidRPr="00B47BDA">
        <w:t xml:space="preserve"> </w:t>
      </w:r>
      <w:r w:rsidR="00EE28A8" w:rsidRPr="00B47BDA">
        <w:t>treba biti predviđen</w:t>
      </w:r>
      <w:r w:rsidR="008B6B4C" w:rsidRPr="00B47BDA">
        <w:t>o aktualnim</w:t>
      </w:r>
      <w:r w:rsidR="00EE3623" w:rsidRPr="00B47BDA">
        <w:t xml:space="preserve"> Desetogodišnjim planom razvoja prijenosne </w:t>
      </w:r>
      <w:r w:rsidR="008B6B4C" w:rsidRPr="00B47BDA">
        <w:t xml:space="preserve">mreže. </w:t>
      </w:r>
    </w:p>
    <w:p w14:paraId="408B2685" w14:textId="03895284" w:rsidR="00914FD7" w:rsidRPr="00B47BDA" w:rsidRDefault="00FF79CC" w:rsidP="004623DD">
      <w:r w:rsidRPr="00B47BDA">
        <w:rPr>
          <w:b/>
        </w:rPr>
        <w:t>Planiranje razvoja transportnog plinskog sustava</w:t>
      </w:r>
      <w:r w:rsidRPr="00B47BDA">
        <w:t xml:space="preserve"> provodi se kroz izradu Desetogodišnjeg plana razvoja plinskog transportnog sustava</w:t>
      </w:r>
      <w:r w:rsidR="00E110F0" w:rsidRPr="00B47BDA">
        <w:t xml:space="preserve">. </w:t>
      </w:r>
      <w:r w:rsidR="003C0470" w:rsidRPr="00B47BDA">
        <w:t xml:space="preserve">Operator transportnog sustava dužan je izraditi desetogodišnji plan razvoja transportnog sustava te ga dostaviti HERA-i na odobrenje svake dvije godine. </w:t>
      </w:r>
      <w:r w:rsidRPr="00B47BDA">
        <w:t>U trenutku</w:t>
      </w:r>
      <w:r w:rsidRPr="00B47BDA" w:rsidDel="009C2907">
        <w:t xml:space="preserve"> </w:t>
      </w:r>
      <w:r w:rsidR="009C2907" w:rsidRPr="00B47BDA">
        <w:t xml:space="preserve">izrade </w:t>
      </w:r>
      <w:r w:rsidRPr="00B47BDA">
        <w:t>ovog dokumenta relevantan je Desetogodišnji plan razvoja plinskog transportnog sustava Republike Hrvatske 20</w:t>
      </w:r>
      <w:r w:rsidR="0033395C" w:rsidRPr="00B47BDA">
        <w:t>21</w:t>
      </w:r>
      <w:r w:rsidRPr="00B47BDA">
        <w:t>.-20</w:t>
      </w:r>
      <w:r w:rsidR="0033395C" w:rsidRPr="00B47BDA">
        <w:t>30</w:t>
      </w:r>
      <w:r w:rsidRPr="00B47BDA">
        <w:t>. Plan će se kontinuirano ažurirati tijekom čitavog razdoblja provedbe ovog dokumenta.</w:t>
      </w:r>
    </w:p>
    <w:p w14:paraId="5309B8C9" w14:textId="1BC6A7C1" w:rsidR="00B76BF3" w:rsidRPr="00B47BDA" w:rsidRDefault="00B76BF3" w:rsidP="004623DD">
      <w:r w:rsidRPr="00B47BDA">
        <w:t xml:space="preserve">Uvažavajući očekivane trendove buduće potrošnje prirodnog plina, očekivane promjene sezonske karakteristike potrošnje i vršnih opterećenja, potrebe za novim količinama plina iz uvoza, obveze prema uredbama EU te očekivani razvoj plinskog transportnog sustava u širem i bližem okruženju, </w:t>
      </w:r>
      <w:r w:rsidR="002446D7" w:rsidRPr="00B47BDA">
        <w:t xml:space="preserve">strateške </w:t>
      </w:r>
      <w:r w:rsidRPr="00B47BDA">
        <w:t>odrednice budućeg razvoja transportnog plinskog sustava Republike Hrvatske uvjetovane su:</w:t>
      </w:r>
    </w:p>
    <w:p w14:paraId="3702D86D" w14:textId="6B78DBD8" w:rsidR="00B76BF3" w:rsidRPr="00B47BDA" w:rsidRDefault="00B76BF3" w:rsidP="00C952C5">
      <w:pPr>
        <w:pStyle w:val="ListParagraph"/>
        <w:numPr>
          <w:ilvl w:val="0"/>
          <w:numId w:val="56"/>
        </w:numPr>
        <w:spacing w:after="60"/>
        <w:ind w:left="714" w:hanging="357"/>
      </w:pPr>
      <w:r w:rsidRPr="00B47BDA">
        <w:lastRenderedPageBreak/>
        <w:t>obvezama o sigurnosti opskrbe i prema infrastrukturnom standardu (N-1 kriterij) sukladno Uredbi o mjerama zaštite sigurnosti opskrbe plinom (</w:t>
      </w:r>
      <w:r w:rsidR="00A20937">
        <w:t>Uredba SOS</w:t>
      </w:r>
      <w:r w:rsidRPr="00B47BDA">
        <w:t>),</w:t>
      </w:r>
    </w:p>
    <w:p w14:paraId="0335AC89" w14:textId="5AA1B880" w:rsidR="00B76BF3" w:rsidRPr="00B47BDA" w:rsidRDefault="00B76BF3" w:rsidP="00C952C5">
      <w:pPr>
        <w:pStyle w:val="ListParagraph"/>
        <w:numPr>
          <w:ilvl w:val="0"/>
          <w:numId w:val="56"/>
        </w:numPr>
        <w:spacing w:after="60"/>
        <w:ind w:left="714" w:hanging="357"/>
      </w:pPr>
      <w:r w:rsidRPr="00B47BDA">
        <w:t>nužnom diversifikacijom opskrbe i povećanjem učinkovitosti transportnog sustava,</w:t>
      </w:r>
    </w:p>
    <w:p w14:paraId="3D28BC91" w14:textId="665899D7" w:rsidR="00B76BF3" w:rsidRPr="00B47BDA" w:rsidRDefault="00B76BF3" w:rsidP="00C952C5">
      <w:pPr>
        <w:pStyle w:val="ListParagraph"/>
        <w:numPr>
          <w:ilvl w:val="0"/>
          <w:numId w:val="56"/>
        </w:numPr>
        <w:spacing w:after="60"/>
        <w:ind w:left="714" w:hanging="357"/>
      </w:pPr>
      <w:r w:rsidRPr="00B47BDA">
        <w:t>povećanjem unutarnje sigurnosti transportnog sustava</w:t>
      </w:r>
      <w:r w:rsidR="00521895">
        <w:t>,</w:t>
      </w:r>
      <w:r w:rsidRPr="00B47BDA">
        <w:t xml:space="preserve"> i</w:t>
      </w:r>
    </w:p>
    <w:p w14:paraId="5438BE22" w14:textId="27194DD9" w:rsidR="00170B62" w:rsidRPr="00B47BDA" w:rsidRDefault="00B76BF3" w:rsidP="00C952C5">
      <w:pPr>
        <w:pStyle w:val="ListParagraph"/>
        <w:numPr>
          <w:ilvl w:val="0"/>
          <w:numId w:val="56"/>
        </w:numPr>
        <w:spacing w:after="60"/>
        <w:ind w:left="714" w:hanging="357"/>
      </w:pPr>
      <w:r w:rsidRPr="00B47BDA">
        <w:t>omogućavanjem transporta plina prema susjednim zemljama.</w:t>
      </w:r>
    </w:p>
    <w:p w14:paraId="6D40F7D7" w14:textId="4EF2D09F" w:rsidR="00196422" w:rsidRPr="00032675" w:rsidRDefault="00196422" w:rsidP="00DD5F64">
      <w:pPr>
        <w:spacing w:before="240"/>
        <w:rPr>
          <w:b/>
          <w:bCs/>
        </w:rPr>
      </w:pPr>
      <w:r w:rsidRPr="00032675">
        <w:rPr>
          <w:b/>
          <w:bCs/>
        </w:rPr>
        <w:t>Obveze o sigurnosti opskrbe i infrastrukturnom standardu</w:t>
      </w:r>
    </w:p>
    <w:p w14:paraId="554B8EAE" w14:textId="320278FD" w:rsidR="00FE4EF4" w:rsidRPr="00B47BDA" w:rsidRDefault="008D243D" w:rsidP="004623DD">
      <w:r w:rsidRPr="00B47BDA">
        <w:t>Strateški projekti kojima se zadovoljava obveza prema infrastrukturnom standardu su projekti koji povećavaju kapacitete na ulazu u transportni plinski sustav. Izgradnjom i puštanjem u pogon terminala za ukapljeni prirodni plin na otoku Krku osiguran je novi dobavni pravac prirodnog plina te su diversificirane rute i izvori opskrbe prirodnim plinom, čime je bitno povećana sigurnost opskrbe prirodnim plinom u RH, ali i preduvjet za transport plina prema susjednim zemljama, što posredno dovodi i do povećanja učinkovitosti transportnog plinskog sustava.</w:t>
      </w:r>
    </w:p>
    <w:p w14:paraId="58FA1880" w14:textId="77777777" w:rsidR="008D243D" w:rsidRPr="00032675" w:rsidRDefault="008D243D" w:rsidP="00DD5F64">
      <w:pPr>
        <w:spacing w:before="240"/>
        <w:rPr>
          <w:b/>
          <w:bCs/>
        </w:rPr>
      </w:pPr>
      <w:r w:rsidRPr="00032675">
        <w:rPr>
          <w:b/>
          <w:bCs/>
        </w:rPr>
        <w:t>Transportni plinski sustav za diversifikaciju opskrbe i povećanje učinkovitosti transportnog sustava</w:t>
      </w:r>
    </w:p>
    <w:p w14:paraId="0D8ABF71" w14:textId="441B5204" w:rsidR="008D243D" w:rsidRPr="00B47BDA" w:rsidRDefault="008D243D" w:rsidP="004623DD">
      <w:r w:rsidRPr="63259912">
        <w:t>Daljnji razvoj transportnog plinskog sustava u cilju jačanja diversifikacije opskrbe plinom uključuje proširenje kapaciteta terminala za ukapljeni prirodni plin, izgradnju evakuacijskih plinovoda te izgradnju Jonsko-jadranskog plinovoda za dobavu plina iz Kaspijske regije ili istočnog Mediterana. Jonsko-jadranski plinovod (</w:t>
      </w:r>
      <w:r w:rsidRPr="63259912">
        <w:rPr>
          <w:i/>
          <w:iCs/>
        </w:rPr>
        <w:t>Ionian Adriatic Pipeline - IAP</w:t>
      </w:r>
      <w:r w:rsidRPr="63259912">
        <w:t>) omogućio bi dobavu plina iz Transjadranskog plinovoda (</w:t>
      </w:r>
      <w:r w:rsidRPr="63259912">
        <w:rPr>
          <w:i/>
          <w:iCs/>
        </w:rPr>
        <w:t>Trans Adriatic Pipeline - TAP</w:t>
      </w:r>
      <w:r w:rsidRPr="63259912">
        <w:t xml:space="preserve">) za Hrvatsku i </w:t>
      </w:r>
      <w:r w:rsidR="006F5332" w:rsidRPr="63259912">
        <w:t xml:space="preserve">susjedne </w:t>
      </w:r>
      <w:r w:rsidRPr="63259912">
        <w:t xml:space="preserve">zemlje u regiji te mogući transport prema Mađarskoj, Sloveniji i </w:t>
      </w:r>
      <w:r w:rsidR="006F5332" w:rsidRPr="63259912">
        <w:t>Bosni i Hercegovini</w:t>
      </w:r>
      <w:r w:rsidRPr="63259912">
        <w:t>.</w:t>
      </w:r>
    </w:p>
    <w:p w14:paraId="345D087B" w14:textId="5E6DF6F8" w:rsidR="008236EB" w:rsidRPr="00B47BDA" w:rsidRDefault="008D243D" w:rsidP="004623DD">
      <w:r w:rsidRPr="63259912">
        <w:t>Trenutni kapacitet opskrbe plinom iz terminala za ukapljeni prirodni plin ograničen je kapacitetom postojećeg transportnog sustava. Stoga je prije svega potrebno izgraditi plinovod Zlobin-Bosiljevo (58 km</w:t>
      </w:r>
      <w:r w:rsidR="62CA9B9F" w:rsidRPr="63259912">
        <w:t>)</w:t>
      </w:r>
      <w:r w:rsidRPr="63259912">
        <w:t xml:space="preserve"> te nakon toga i plinovode Bosiljevo-Sisak-Kozarac (122 km) i Kozarac-Slobodnica (128 km) za transport plina prema Mađarskoj, odnosno plinovod Lučko-Zabok-Jezerišće-Sotla (70 km) za transport plina prema Sloveniji. Izgradnja navedenih plinovoda omogućit će potpuno iskorištenje kapaciteta proširenog terminala za ukapljeni prirodni plin te povećanje transporta plina kroz hrvatski transportni plinski sustav čime će se posljedično povećati i učinkovitost samog transportnog plinskog sustava RH.</w:t>
      </w:r>
      <w:r w:rsidR="0056628D" w:rsidRPr="63259912">
        <w:t xml:space="preserve"> </w:t>
      </w:r>
    </w:p>
    <w:p w14:paraId="7061D57E" w14:textId="77777777" w:rsidR="008D243D" w:rsidRPr="00032675" w:rsidRDefault="008D243D" w:rsidP="00DD5F64">
      <w:pPr>
        <w:spacing w:before="240"/>
        <w:rPr>
          <w:b/>
          <w:bCs/>
        </w:rPr>
      </w:pPr>
      <w:r w:rsidRPr="00032675">
        <w:rPr>
          <w:b/>
          <w:bCs/>
        </w:rPr>
        <w:t>Transportni plinski sustav u funkciji unutarnje operativne sigurnosti opskrbe</w:t>
      </w:r>
    </w:p>
    <w:p w14:paraId="744832DD" w14:textId="77777777" w:rsidR="00332B93" w:rsidRPr="00B47BDA" w:rsidRDefault="00332B93" w:rsidP="004623DD">
      <w:r w:rsidRPr="00B47BDA">
        <w:t>Transportni sustav koji je u funkciji unutarnje sigurnosti opskrbe omogućit će stabilniju i sigurniju opskrbu područja koja se napajaju plinom iz odvojaka plinovoda i imaju samo jedan izvor napajanja te će omogućiti kreiranje unutarnjih petlji koje povećavaju sigurnost opskrbe.</w:t>
      </w:r>
    </w:p>
    <w:p w14:paraId="10D43E4D" w14:textId="77777777" w:rsidR="00C43BE9" w:rsidRPr="00032675" w:rsidRDefault="00C43BE9" w:rsidP="00DD5F64">
      <w:pPr>
        <w:spacing w:before="240"/>
        <w:rPr>
          <w:b/>
          <w:bCs/>
        </w:rPr>
      </w:pPr>
      <w:r w:rsidRPr="00032675">
        <w:rPr>
          <w:b/>
          <w:bCs/>
        </w:rPr>
        <w:t>Transportni plinski sustav u funkciji izvoza</w:t>
      </w:r>
    </w:p>
    <w:p w14:paraId="3966C6BF" w14:textId="77777777" w:rsidR="00C43BE9" w:rsidRPr="00B47BDA" w:rsidRDefault="00C43BE9" w:rsidP="004623DD">
      <w:r w:rsidRPr="00B47BDA">
        <w:t>Transportnim sustavom u funkciji izvoza nazivamo plinovodne sustave relativno manjeg regionalnog utjecaja kojima se povezuje plinski sustav Hrvatske, Bosne i Hercegovine i Slovenije.</w:t>
      </w:r>
    </w:p>
    <w:p w14:paraId="36E35EC2" w14:textId="5AD13C31" w:rsidR="008D243D" w:rsidRPr="00B47BDA" w:rsidRDefault="008D243D" w:rsidP="004623DD">
      <w:r w:rsidRPr="63259912">
        <w:t>Plinovodnim sustavima Lička Jesenica-Bihać, Zagvozd-Imotski-Posušje</w:t>
      </w:r>
      <w:r w:rsidR="00BC39F3" w:rsidRPr="63259912">
        <w:t xml:space="preserve"> (tzv. južna plinske inte</w:t>
      </w:r>
      <w:r w:rsidR="00A5127E" w:rsidRPr="63259912">
        <w:t>rkonekcija)</w:t>
      </w:r>
      <w:r w:rsidRPr="63259912">
        <w:t xml:space="preserve"> i Slobodnica-Bosanski Brod omogućila bi se opskrba plinom susjedne B</w:t>
      </w:r>
      <w:r w:rsidR="00173CF4" w:rsidRPr="63259912">
        <w:t xml:space="preserve">osne i </w:t>
      </w:r>
      <w:r w:rsidR="00173CF4" w:rsidRPr="63259912">
        <w:lastRenderedPageBreak/>
        <w:t>Hercegovine</w:t>
      </w:r>
      <w:r w:rsidRPr="63259912">
        <w:t>, dok bi se plinovodom Umag-Koper omogućio spoj Istre i juga Slovenije. Izgradnja ovih plinovoda primarno ovisi o interesu susjednih zemalja i ekonomskoj opravdanosti izgradnje.</w:t>
      </w:r>
      <w:r w:rsidR="00A615F4" w:rsidRPr="63259912">
        <w:t xml:space="preserve"> Nabava za </w:t>
      </w:r>
      <w:r w:rsidR="0049258B" w:rsidRPr="63259912">
        <w:t>j</w:t>
      </w:r>
      <w:r w:rsidR="00A615F4" w:rsidRPr="63259912">
        <w:t xml:space="preserve">užnu </w:t>
      </w:r>
      <w:r w:rsidR="00190C89" w:rsidRPr="63259912">
        <w:t xml:space="preserve">plinsku </w:t>
      </w:r>
      <w:r w:rsidR="00A615F4" w:rsidRPr="63259912">
        <w:t xml:space="preserve">interkonekciju </w:t>
      </w:r>
      <w:r w:rsidR="0049258B" w:rsidRPr="63259912">
        <w:t>s Bosnom</w:t>
      </w:r>
      <w:r w:rsidR="00F25D41" w:rsidRPr="63259912">
        <w:t xml:space="preserve"> i Hercegovinom </w:t>
      </w:r>
      <w:r w:rsidR="00A615F4" w:rsidRPr="63259912">
        <w:t>može započeti odmah</w:t>
      </w:r>
      <w:r w:rsidR="00190C89" w:rsidRPr="63259912">
        <w:t>, a</w:t>
      </w:r>
      <w:r w:rsidR="00A356F0" w:rsidRPr="63259912">
        <w:t xml:space="preserve"> i</w:t>
      </w:r>
      <w:r w:rsidR="00A615F4" w:rsidRPr="63259912">
        <w:t>zgradnja može završiti u roku od tri godine.</w:t>
      </w:r>
    </w:p>
    <w:p w14:paraId="4BB71C5B" w14:textId="1175B208" w:rsidR="008D243D" w:rsidRPr="00B47BDA" w:rsidRDefault="008D243D" w:rsidP="004623DD">
      <w:r w:rsidRPr="00B47BDA">
        <w:t>Svi gore navedeni projekti navedeni su u Desetogodišnjem planu razvoja plinskog transportnog sustava Republike Hrvatske 2021.-2030. Za njihovu realizaciju nužno je donošenje konačne investicijske odluke.</w:t>
      </w:r>
      <w:r w:rsidR="00D01771" w:rsidRPr="00B47BDA">
        <w:t xml:space="preserve"> Svi </w:t>
      </w:r>
      <w:r w:rsidR="000C5CB6" w:rsidRPr="00B47BDA">
        <w:t>nave</w:t>
      </w:r>
      <w:r w:rsidR="002C45BC" w:rsidRPr="00B47BDA">
        <w:t>d</w:t>
      </w:r>
      <w:r w:rsidR="000C5CB6" w:rsidRPr="00B47BDA">
        <w:t xml:space="preserve">eni </w:t>
      </w:r>
      <w:r w:rsidR="00D55D45" w:rsidRPr="00B47BDA">
        <w:t>plinovodi</w:t>
      </w:r>
      <w:r w:rsidR="00186F96" w:rsidRPr="00B47BDA">
        <w:t xml:space="preserve"> </w:t>
      </w:r>
      <w:r w:rsidR="00D01771" w:rsidRPr="00B47BDA">
        <w:t xml:space="preserve">moći </w:t>
      </w:r>
      <w:r w:rsidR="00186F96" w:rsidRPr="00B47BDA">
        <w:t xml:space="preserve">će </w:t>
      </w:r>
      <w:r w:rsidR="00D01771" w:rsidRPr="00B47BDA">
        <w:t xml:space="preserve">transportirati </w:t>
      </w:r>
      <w:r w:rsidR="00186F96" w:rsidRPr="00B47BDA">
        <w:t>vodik</w:t>
      </w:r>
      <w:r w:rsidR="00D01771" w:rsidRPr="00B47BDA">
        <w:t xml:space="preserve"> kada se razviju izvori proizvodnje vodika i tržišni uvjeti za </w:t>
      </w:r>
      <w:r w:rsidR="000F5249" w:rsidRPr="00B47BDA">
        <w:t xml:space="preserve">njegovu </w:t>
      </w:r>
      <w:r w:rsidR="00D01771" w:rsidRPr="00B47BDA">
        <w:t>potrošnju</w:t>
      </w:r>
      <w:r w:rsidR="000F5249" w:rsidRPr="00B47BDA">
        <w:t>.</w:t>
      </w:r>
    </w:p>
    <w:p w14:paraId="2460DA21" w14:textId="712D40B3" w:rsidR="00FA1FB2" w:rsidRPr="00B47BDA" w:rsidRDefault="00FA1FB2" w:rsidP="005C2C7E">
      <w:pPr>
        <w:pStyle w:val="Heading3"/>
        <w:numPr>
          <w:ilvl w:val="2"/>
          <w:numId w:val="175"/>
        </w:numPr>
      </w:pPr>
      <w:bookmarkStart w:id="647" w:name="_Toc531935266"/>
      <w:bookmarkStart w:id="648" w:name="_Toc531945128"/>
      <w:bookmarkStart w:id="649" w:name="_Toc6302386"/>
      <w:r w:rsidRPr="00B47BDA">
        <w:tab/>
      </w:r>
      <w:bookmarkStart w:id="650" w:name="_Toc187418367"/>
      <w:bookmarkStart w:id="651" w:name="_Toc193043292"/>
      <w:r w:rsidRPr="00B47BDA">
        <w:t>Tržišta električne energije i plina, cijene energije</w:t>
      </w:r>
      <w:bookmarkEnd w:id="650"/>
      <w:bookmarkEnd w:id="651"/>
    </w:p>
    <w:p w14:paraId="329CDD89" w14:textId="77777777" w:rsidR="00FA1FB2" w:rsidRPr="00B47BDA" w:rsidRDefault="00FA1FB2" w:rsidP="005C2C7E">
      <w:pPr>
        <w:pStyle w:val="Heading4"/>
        <w:numPr>
          <w:ilvl w:val="3"/>
          <w:numId w:val="175"/>
        </w:numPr>
        <w:ind w:hanging="580"/>
      </w:pPr>
      <w:r w:rsidRPr="00B47BDA">
        <w:t xml:space="preserve">Trenutačno stanje na tržištima električne energije i plina, uključujući cijene energije </w:t>
      </w:r>
    </w:p>
    <w:bookmarkEnd w:id="647"/>
    <w:bookmarkEnd w:id="648"/>
    <w:bookmarkEnd w:id="649"/>
    <w:p w14:paraId="4E573DAC" w14:textId="512FC82E" w:rsidR="002D12C4" w:rsidRPr="00B47BDA" w:rsidRDefault="002D12C4" w:rsidP="00DD5F64">
      <w:pPr>
        <w:pStyle w:val="Heading5"/>
        <w:spacing w:before="240"/>
      </w:pPr>
      <w:r w:rsidRPr="00B47BDA">
        <w:t>Električna energija</w:t>
      </w:r>
    </w:p>
    <w:p w14:paraId="167CA598" w14:textId="59F1D555" w:rsidR="00F65963" w:rsidRPr="00B47BDA" w:rsidRDefault="00F65963" w:rsidP="004623DD">
      <w:r w:rsidRPr="63259912">
        <w:t xml:space="preserve">U Hrvatskoj postoji burza električne energije CROPEX na kojoj je moguće trgovati dan unaprijed i unutardnevno. U prosincu 2015. godine CROPEX je postao NEMO (engl. </w:t>
      </w:r>
      <w:r w:rsidRPr="63259912">
        <w:rPr>
          <w:i/>
          <w:iCs/>
        </w:rPr>
        <w:t>Nominated Electricity Market Operator</w:t>
      </w:r>
      <w:r w:rsidRPr="63259912">
        <w:t xml:space="preserve">), odnosno burza s pravom i odgovornošću sudjelovanja u provedbi povezivanja dan unaprijed i unutardnevnog tržišta električne energije na razini Europske unije. Povezivanje Hrvatske s EU tržištem na dan unaprijed razini </w:t>
      </w:r>
      <w:r w:rsidR="002F5817" w:rsidRPr="63259912">
        <w:t>pokrenuto je</w:t>
      </w:r>
      <w:r w:rsidRPr="63259912">
        <w:t xml:space="preserve"> preko IBWT (engl. </w:t>
      </w:r>
      <w:r w:rsidRPr="63259912">
        <w:rPr>
          <w:i/>
          <w:iCs/>
        </w:rPr>
        <w:t>Italian Borders Working Table</w:t>
      </w:r>
      <w:r w:rsidRPr="63259912">
        <w:t xml:space="preserve">) projekta, a </w:t>
      </w:r>
      <w:r w:rsidR="00DA0D6B" w:rsidRPr="63259912">
        <w:t xml:space="preserve">realizirano putem </w:t>
      </w:r>
      <w:r w:rsidR="006B5FA5" w:rsidRPr="63259912">
        <w:t xml:space="preserve">CORE FB DA MC (engl. Core Flow Based Day Ahead Market Coupling) projekta, </w:t>
      </w:r>
      <w:r w:rsidR="00AE1F13" w:rsidRPr="63259912">
        <w:t xml:space="preserve">dok je </w:t>
      </w:r>
      <w:r w:rsidRPr="63259912">
        <w:t xml:space="preserve">na unutardnevnoj razini </w:t>
      </w:r>
      <w:r w:rsidR="00AE1F13" w:rsidRPr="63259912">
        <w:t xml:space="preserve">realizirano </w:t>
      </w:r>
      <w:r w:rsidRPr="63259912">
        <w:t xml:space="preserve">preko EU XBID (engl. </w:t>
      </w:r>
      <w:r w:rsidRPr="63259912">
        <w:rPr>
          <w:i/>
          <w:iCs/>
        </w:rPr>
        <w:t>Cross Border Intra Day</w:t>
      </w:r>
      <w:r w:rsidRPr="63259912">
        <w:t>) projekta. Osim povezivanja s EU tržištem, pokrenuta je suradnja između CROPEX-a i operatora prijenosnog sustava iz Bosne i Hercegovine (NOS BiH) o provedbi prekograničnog povezivanja dan unaprijed tržišta Hrvatske i Bosne i Hercegovine. Nadalje, postoj</w:t>
      </w:r>
      <w:r w:rsidR="0061380E" w:rsidRPr="63259912">
        <w:t>e</w:t>
      </w:r>
      <w:r w:rsidRPr="63259912">
        <w:t xml:space="preserve"> određene inicijative za razvoj regionalne burze na području jugoistočne Europe po modelu burze Nord Pool.</w:t>
      </w:r>
    </w:p>
    <w:p w14:paraId="45F44E0B" w14:textId="541B3C8A" w:rsidR="00F1019F" w:rsidRDefault="00F65963" w:rsidP="004623DD">
      <w:r w:rsidRPr="63259912">
        <w:t xml:space="preserve">Od 19. lipnja 2018. godine hrvatsko dan-unaprijed tržište povezano je s MRC (Multi-Regional Coupling) dan-unaprijed tržištem, odnosno s jedinstvenim europskim dan-unaprijed tržištem preko hrvatsko-slovenske granice. </w:t>
      </w:r>
      <w:r w:rsidR="0061380E" w:rsidRPr="63259912">
        <w:t>8. lipnja 2022. godine</w:t>
      </w:r>
      <w:r w:rsidR="00851E64" w:rsidRPr="63259912">
        <w:t xml:space="preserve"> (za dan trgovanja 9. lipnja 2022.) </w:t>
      </w:r>
      <w:r w:rsidR="00E01314" w:rsidRPr="63259912">
        <w:t xml:space="preserve"> u sklopu CORE projekta </w:t>
      </w:r>
      <w:r w:rsidR="006469B3" w:rsidRPr="63259912">
        <w:t xml:space="preserve">(Projekt Core Flow Based Day Ahead Market Coupling) </w:t>
      </w:r>
      <w:r w:rsidR="00E01314" w:rsidRPr="63259912">
        <w:t xml:space="preserve">došlo je do </w:t>
      </w:r>
      <w:r w:rsidR="002801F3" w:rsidRPr="63259912">
        <w:t>povezivanja</w:t>
      </w:r>
      <w:r w:rsidR="00E01314" w:rsidRPr="63259912">
        <w:t xml:space="preserve"> tržišta </w:t>
      </w:r>
      <w:r w:rsidR="006469B3" w:rsidRPr="63259912">
        <w:t xml:space="preserve">dan unaprijed </w:t>
      </w:r>
      <w:r w:rsidR="003858D4" w:rsidRPr="63259912">
        <w:t>temeljenog na proračunu tokova snaga - Core FB DA MC</w:t>
      </w:r>
      <w:r w:rsidR="003858D4" w:rsidRPr="63259912">
        <w:rPr>
          <w:rFonts w:ascii="Arial" w:eastAsia="Arial" w:hAnsi="Arial" w:cs="Arial"/>
          <w:color w:val="000000" w:themeColor="text1"/>
          <w:sz w:val="16"/>
          <w:szCs w:val="16"/>
        </w:rPr>
        <w:t xml:space="preserve"> </w:t>
      </w:r>
      <w:r w:rsidR="00E01314" w:rsidRPr="63259912">
        <w:t>na Hrvatskoj i Mađarskoj granici</w:t>
      </w:r>
      <w:r w:rsidR="002801F3" w:rsidRPr="63259912">
        <w:t xml:space="preserve">. </w:t>
      </w:r>
    </w:p>
    <w:p w14:paraId="27085EE1" w14:textId="77777777" w:rsidR="00C25F79" w:rsidRDefault="00F1019F" w:rsidP="004623DD">
      <w:r w:rsidRPr="63259912">
        <w:t>U razvoju ovog projekta sudjelovalo je 16 operatora prijenosnih sustava (uključujući i HOPS) kao i 10 nominiranih operatora tržišta električne energije (NEMO-a). Nalozi s CROPEX DA tržišta se uparuju sa ostalim nalozima u Core regiji te zajedno s prekozonskim kapacitetima predstavljaju ulazne podatke za algoritam povezivanja tržišta dan unaprijed (SDAC). Dodatnu vrijednost cijelom projektu daje činjenica da je u topologiji Core FB CC i MC projekta uključena i hrvatsko-mađarska granica (za koju su do tada provođene eksplicitne dražbe kapaciteta) tako da je hrvatska zona trgovanja preko Sloven</w:t>
      </w:r>
      <w:r w:rsidR="00A206CD" w:rsidRPr="63259912">
        <w:t>ije</w:t>
      </w:r>
      <w:r w:rsidRPr="63259912">
        <w:t xml:space="preserve"> i Mađarske povezana sa ostalim zonama trgovanja u SDAC regiji. Provedbom CORE projekta dnevni kapacitet za povezivanje tržišta na hrvatsko-slovenskoj i hrvatsko-mađarskoj granici izračunava se Flow-Based metodom umjesto do tada korištene NTC metode.</w:t>
      </w:r>
      <w:r w:rsidR="006B7B77" w:rsidRPr="63259912">
        <w:t xml:space="preserve"> </w:t>
      </w:r>
      <w:r w:rsidRPr="63259912">
        <w:t>Projekt unutardnevnog povezivanja tržišta SIDC (Single Intraday Coupling) počeo je 12. lipnja</w:t>
      </w:r>
      <w:r w:rsidR="00A206CD" w:rsidRPr="63259912">
        <w:t xml:space="preserve"> </w:t>
      </w:r>
      <w:r w:rsidRPr="63259912">
        <w:t xml:space="preserve">2018. godine. Hrvatska se pridružila SIDC-u u drugom valu, u studenom 2019. godine zajedno sa Mađarskom i Slovenijom. SIDC se zasniva na </w:t>
      </w:r>
      <w:r w:rsidRPr="63259912">
        <w:lastRenderedPageBreak/>
        <w:t>zajedničkom informatičkom sustavu s jednom zajedničkom knjigom naloga (engl. Shared Order Book  - SOB), modulom za upravljanje kapacitetom (engl. Capacity Management Module - CMM) i prijenosnim modulom (engl. Shipping Module - SM). Ono omogućava da se zahtjevi koje su unijeli tržišni sudionici bilo koje zone trgovanja mogu uparivati sa zahtjevima koje su na sličan način unijeli tržišni sudionici bilo koje druge zone trgovanja unutar projekta, sve dok je prekogranični kapacitet dostupan. Unutardnevno rješenje podržava eksplicitnu dodjelu na hrvatsko-slovenskoj i francusko-njemačkoj granici (prema zahtjevu nacionalnih regulatornih tijela) i implicitno kontinuirano trgovanje. U skladu je s EU ciljnim modelom integriranog unutardnevnog tržišta.</w:t>
      </w:r>
      <w:r w:rsidR="00C25F79" w:rsidRPr="63259912">
        <w:t xml:space="preserve"> </w:t>
      </w:r>
    </w:p>
    <w:p w14:paraId="5DC0F297" w14:textId="24FD5DE8" w:rsidR="00F1019F" w:rsidRDefault="00F1019F" w:rsidP="004623DD">
      <w:r w:rsidRPr="63259912">
        <w:t>Unutardnevno povezivanje tržišta cijele Europe ključna je sastavnica za upotpunjavanje europskog unutarnjeg tržišta energije. S povećanjem udjela nestalnih izvora energije u ukupnom europskom energetskom miksu, povezivanje unutardnevnih tržišta prekograničnim trgovanjem postaje sve važnije sredstvo za tržišne sudionike u pogledu zadržavanja njihovih tržišnih pozicija uravnoteženima. Svrha inicijative SIDC je povećati ukupnu učinkovitost unutardnevnog trgovanja.</w:t>
      </w:r>
    </w:p>
    <w:p w14:paraId="2FCA9915" w14:textId="4DC24533" w:rsidR="002719A1" w:rsidRDefault="002719A1"/>
    <w:p w14:paraId="38719C27" w14:textId="2E3D21A2" w:rsidR="00CF7113" w:rsidRPr="00503AE3" w:rsidRDefault="00CF7113" w:rsidP="00CF7113">
      <w:r w:rsidRPr="00F2106B">
        <w:rPr>
          <w:noProof/>
        </w:rPr>
        <w:drawing>
          <wp:inline distT="0" distB="0" distL="0" distR="0" wp14:anchorId="7A4002F0" wp14:editId="029428F3">
            <wp:extent cx="5759450" cy="2478384"/>
            <wp:effectExtent l="0" t="0" r="0" b="0"/>
            <wp:docPr id="696780995"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57160" name="Picture 1" descr="A graph with different colored lines&#10;&#10;Description automatically generated"/>
                    <pic:cNvPicPr/>
                  </pic:nvPicPr>
                  <pic:blipFill>
                    <a:blip r:embed="rId72"/>
                    <a:stretch>
                      <a:fillRect/>
                    </a:stretch>
                  </pic:blipFill>
                  <pic:spPr>
                    <a:xfrm>
                      <a:off x="0" y="0"/>
                      <a:ext cx="5759450" cy="2478384"/>
                    </a:xfrm>
                    <a:prstGeom prst="rect">
                      <a:avLst/>
                    </a:prstGeom>
                  </pic:spPr>
                </pic:pic>
              </a:graphicData>
            </a:graphic>
          </wp:inline>
        </w:drawing>
      </w:r>
    </w:p>
    <w:p w14:paraId="0A5F911A" w14:textId="1723276D" w:rsidR="002719A1" w:rsidRPr="00B47BDA" w:rsidRDefault="002719A1" w:rsidP="00032675">
      <w:pPr>
        <w:pStyle w:val="Caption"/>
      </w:pPr>
      <w:bookmarkStart w:id="652" w:name="_Toc528672925"/>
      <w:bookmarkStart w:id="653" w:name="_Toc185605270"/>
      <w:bookmarkStart w:id="654" w:name="_Toc193035916"/>
      <w:r w:rsidRPr="0002508E">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F713D9">
        <w:rPr>
          <w:noProof/>
        </w:rPr>
        <w:t>21</w:t>
      </w:r>
      <w:r>
        <w:fldChar w:fldCharType="end"/>
      </w:r>
      <w:r w:rsidRPr="0002508E">
        <w:t>. Cijene električne energije za kupce u Hrvatskoj u kategoriji kućanstvo</w:t>
      </w:r>
      <w:bookmarkEnd w:id="652"/>
      <w:bookmarkEnd w:id="653"/>
      <w:bookmarkEnd w:id="654"/>
    </w:p>
    <w:p w14:paraId="0F4E3717" w14:textId="6BA3257B" w:rsidR="002719A1" w:rsidRPr="00B47BDA" w:rsidRDefault="002719A1" w:rsidP="00043AB9">
      <w:pPr>
        <w:pStyle w:val="Slike"/>
        <w:keepNext w:val="0"/>
      </w:pPr>
      <w:r w:rsidRPr="00B47BDA">
        <w:t xml:space="preserve">Izvor: </w:t>
      </w:r>
      <w:r w:rsidR="002B4DCB" w:rsidRPr="00B47BDA">
        <w:t>Energija u Hrvatskoj 202</w:t>
      </w:r>
      <w:r w:rsidR="000F6354">
        <w:t>3</w:t>
      </w:r>
    </w:p>
    <w:p w14:paraId="43D55842" w14:textId="77777777" w:rsidR="000062DE" w:rsidRPr="00B47BDA" w:rsidRDefault="000062DE" w:rsidP="00043AB9">
      <w:pPr>
        <w:pStyle w:val="Slike"/>
        <w:keepNext w:val="0"/>
      </w:pPr>
    </w:p>
    <w:p w14:paraId="0652360C" w14:textId="30E58E8B" w:rsidR="002719A1" w:rsidRPr="00947448" w:rsidRDefault="009662EE" w:rsidP="00947448">
      <w:pPr>
        <w:jc w:val="center"/>
      </w:pPr>
      <w:r w:rsidRPr="009662EE">
        <w:rPr>
          <w:noProof/>
        </w:rPr>
        <w:lastRenderedPageBreak/>
        <w:drawing>
          <wp:inline distT="0" distB="0" distL="0" distR="0" wp14:anchorId="3566648D" wp14:editId="55F44BAE">
            <wp:extent cx="5954572" cy="3045563"/>
            <wp:effectExtent l="0" t="0" r="8255" b="2540"/>
            <wp:docPr id="57013900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39001" name="Picture 1" descr="A graph of different colored lines&#10;&#10;Description automatically generated"/>
                    <pic:cNvPicPr/>
                  </pic:nvPicPr>
                  <pic:blipFill>
                    <a:blip r:embed="rId73"/>
                    <a:stretch>
                      <a:fillRect/>
                    </a:stretch>
                  </pic:blipFill>
                  <pic:spPr>
                    <a:xfrm>
                      <a:off x="0" y="0"/>
                      <a:ext cx="5964297" cy="3050537"/>
                    </a:xfrm>
                    <a:prstGeom prst="rect">
                      <a:avLst/>
                    </a:prstGeom>
                  </pic:spPr>
                </pic:pic>
              </a:graphicData>
            </a:graphic>
          </wp:inline>
        </w:drawing>
      </w:r>
    </w:p>
    <w:p w14:paraId="2086C8D2" w14:textId="0C251A5A" w:rsidR="002719A1" w:rsidRPr="00B47BDA" w:rsidRDefault="002719A1" w:rsidP="00043AB9">
      <w:pPr>
        <w:pStyle w:val="Caption"/>
        <w:keepNext/>
      </w:pPr>
      <w:bookmarkStart w:id="655" w:name="_Toc528672926"/>
      <w:bookmarkStart w:id="656" w:name="_Toc185605271"/>
      <w:bookmarkStart w:id="657" w:name="_Toc193035917"/>
      <w:r w:rsidRPr="0002508E">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AD324D">
        <w:rPr>
          <w:noProof/>
        </w:rPr>
        <w:t>22</w:t>
      </w:r>
      <w:r>
        <w:fldChar w:fldCharType="end"/>
      </w:r>
      <w:r w:rsidRPr="0002508E">
        <w:t>. Cijene električne energije za kupce u Hrvatskoj u kategoriji poduzetništvo</w:t>
      </w:r>
      <w:bookmarkEnd w:id="655"/>
      <w:bookmarkEnd w:id="656"/>
      <w:bookmarkEnd w:id="657"/>
    </w:p>
    <w:p w14:paraId="6DD2F10F" w14:textId="15707E1A" w:rsidR="002719A1" w:rsidRPr="00B47BDA" w:rsidRDefault="002719A1" w:rsidP="00DD5F64">
      <w:pPr>
        <w:pStyle w:val="Slike"/>
        <w:keepNext w:val="0"/>
      </w:pPr>
      <w:r w:rsidRPr="00B47BDA">
        <w:t>Izvor:</w:t>
      </w:r>
      <w:r w:rsidR="001E457D" w:rsidRPr="00B47BDA">
        <w:t xml:space="preserve"> Energija u Hrvatskoj 202</w:t>
      </w:r>
      <w:r w:rsidR="00ED7BEC">
        <w:t>3</w:t>
      </w:r>
    </w:p>
    <w:p w14:paraId="064AD8A0" w14:textId="425902DD" w:rsidR="00B731AC" w:rsidRPr="00B47BDA" w:rsidRDefault="00B731AC" w:rsidP="004623DD">
      <w:r w:rsidRPr="00B47BDA">
        <w:t xml:space="preserve">EKO </w:t>
      </w:r>
      <w:r w:rsidR="262F841D" w:rsidRPr="00B47BDA">
        <w:t>bilančn</w:t>
      </w:r>
      <w:r w:rsidR="459BF7A7" w:rsidRPr="00B47BDA">
        <w:t>a</w:t>
      </w:r>
      <w:r w:rsidR="262F841D" w:rsidRPr="00B47BDA">
        <w:t xml:space="preserve"> grup</w:t>
      </w:r>
      <w:r w:rsidR="2208D098" w:rsidRPr="00B47BDA">
        <w:t>a</w:t>
      </w:r>
      <w:r w:rsidRPr="00B47BDA">
        <w:t xml:space="preserve"> regulirana je Zakonom o obnovljivim izvorima energije i visokoučinkovite kogeneracije </w:t>
      </w:r>
      <w:r w:rsidR="00EB08F1">
        <w:t xml:space="preserve">(„Narodne novine“, br. </w:t>
      </w:r>
      <w:r w:rsidR="5BBB83EF" w:rsidRPr="00B47BDA">
        <w:t>138/21</w:t>
      </w:r>
      <w:r w:rsidR="009C59ED">
        <w:t>. i 83/23.</w:t>
      </w:r>
      <w:r w:rsidRPr="00B47BDA">
        <w:t xml:space="preserve">), a čine je proizvođači električne energije i druge osobe koje obavljaju djelatnost proizvodnje električne energije, a koje imaju pravo na poticajnu cijenu sukladno sklopljenim ugovorima o otkupu električne energije s </w:t>
      </w:r>
      <w:r w:rsidR="5D0A59FD" w:rsidRPr="00B47BDA">
        <w:t>Operatorom tržišta</w:t>
      </w:r>
      <w:r w:rsidR="1B02713C" w:rsidRPr="00B47BDA">
        <w:t xml:space="preserve"> te pravo na zajamčenu otkupnu cijenu temeljem ugovora o otkupu električne energije zajamčenom otkupnom cijenom</w:t>
      </w:r>
      <w:r w:rsidRPr="00B47BDA">
        <w:t>.</w:t>
      </w:r>
      <w:r w:rsidR="7F00E713" w:rsidRPr="00B47BDA">
        <w:t xml:space="preserve"> Uz navedene</w:t>
      </w:r>
      <w:r w:rsidR="2185473E" w:rsidRPr="00B47BDA">
        <w:t xml:space="preserve"> proizvođače električne energije</w:t>
      </w:r>
      <w:r w:rsidR="7F00E713" w:rsidRPr="00B47BDA">
        <w:t>, članovi EKO bilančne grupe mogu biti i svi ostali povlašteni proizvođači električne energije</w:t>
      </w:r>
      <w:r w:rsidR="014B18E9" w:rsidRPr="00B47BDA">
        <w:t xml:space="preserve"> </w:t>
      </w:r>
      <w:r w:rsidR="6CB8B7C9" w:rsidRPr="00B47BDA">
        <w:t xml:space="preserve">te time preuzeti i sva prava i dužnosti u EKO bilančnoj grupi </w:t>
      </w:r>
      <w:r w:rsidR="25C93BD8" w:rsidRPr="00B47BDA">
        <w:t xml:space="preserve">osim preuzimanja električne energije po reguliranoj otkupnoj cijeni. </w:t>
      </w:r>
    </w:p>
    <w:p w14:paraId="782E6D0B" w14:textId="5F0A3B25" w:rsidR="00B731AC" w:rsidRPr="00B47BDA" w:rsidRDefault="00B731AC" w:rsidP="004623DD">
      <w:r w:rsidRPr="00B47BDA">
        <w:t xml:space="preserve">Zakonom o </w:t>
      </w:r>
      <w:r w:rsidR="008F5462" w:rsidRPr="00B47BDA">
        <w:t>obnovljivim izvorima energije i visokoučinkovitoj kogeneraciji</w:t>
      </w:r>
      <w:r w:rsidRPr="00B47BDA">
        <w:t xml:space="preserve"> </w:t>
      </w:r>
      <w:r w:rsidR="724FF8AD" w:rsidRPr="00B47BDA">
        <w:t>Operator tržišta</w:t>
      </w:r>
      <w:r w:rsidRPr="00B47BDA">
        <w:t xml:space="preserve"> je određen za voditelja EKO bilančne grupe s obvezom vođenja EKO bilančne grupe</w:t>
      </w:r>
      <w:r w:rsidR="3EA26008" w:rsidRPr="00B47BDA">
        <w:t xml:space="preserve"> na način da je ono odvojeno od drugih poslova iz njegove nadležnosti</w:t>
      </w:r>
      <w:r w:rsidR="6EE46A55" w:rsidRPr="00B47BDA">
        <w:t>, uz poštivanje načela razvidnosti, objektivnosti i neovisnosti</w:t>
      </w:r>
      <w:r w:rsidR="3EA26008" w:rsidRPr="00B47BDA">
        <w:t xml:space="preserve">. </w:t>
      </w:r>
      <w:r w:rsidR="197438D0" w:rsidRPr="00B47BDA">
        <w:t>Operator</w:t>
      </w:r>
      <w:r w:rsidR="15A75142" w:rsidRPr="00B47BDA">
        <w:t xml:space="preserve"> </w:t>
      </w:r>
      <w:r w:rsidR="197438D0" w:rsidRPr="00B47BDA">
        <w:t xml:space="preserve">tržišta </w:t>
      </w:r>
      <w:r w:rsidR="15A75142" w:rsidRPr="00B47BDA">
        <w:t xml:space="preserve">je dužan planirati proizvodnju </w:t>
      </w:r>
      <w:r w:rsidR="46206E95" w:rsidRPr="00B47BDA">
        <w:t xml:space="preserve">električne energije za EKO bilančnu grupu i prijavljivati ugovorne rasporede EKO bilančne grupa u skladu s planom proizvodnje EKO bilančne grupe. </w:t>
      </w:r>
    </w:p>
    <w:p w14:paraId="4567817F" w14:textId="04AC5C66" w:rsidR="63C19DA6" w:rsidRPr="00B47BDA" w:rsidRDefault="00BF2696" w:rsidP="004623DD">
      <w:r w:rsidRPr="00B47BDA">
        <w:t xml:space="preserve">Obveze članova EKO bilančne grupe uređuju se Pravilima vođenja EKO bilančne grupe koje donosi </w:t>
      </w:r>
      <w:r w:rsidR="00DA4783" w:rsidRPr="00B47BDA">
        <w:t>Operator tržišta</w:t>
      </w:r>
      <w:r w:rsidRPr="00B47BDA">
        <w:t xml:space="preserve"> uz prethodnu suglasnost ministarstva nadležnog za energetiku te mišljenja Hrvatskog operatora prijenosnog sustava d.</w:t>
      </w:r>
      <w:r w:rsidR="00606A2C" w:rsidRPr="00B47BDA">
        <w:t>d</w:t>
      </w:r>
      <w:r w:rsidRPr="00B47BDA">
        <w:t xml:space="preserve">. i HEP – Operatora distribucijskog sustava d.o.o. Članovi EKO bilančne grupe obvezni su dostavljati podatke i dokumentaciju potrebnu za planiranje proizvodnje </w:t>
      </w:r>
      <w:r w:rsidR="00EB5705" w:rsidRPr="00B47BDA">
        <w:t>električne energije</w:t>
      </w:r>
      <w:r w:rsidRPr="00B47BDA">
        <w:t xml:space="preserve"> za EKO bilančnu grupu u skladu s Pravilima vođenja EKO bilančne grupe.</w:t>
      </w:r>
    </w:p>
    <w:p w14:paraId="425AC263" w14:textId="22A0BF2C" w:rsidR="00B731AC" w:rsidRPr="00B47BDA" w:rsidRDefault="00696AEB" w:rsidP="004623DD">
      <w:r w:rsidRPr="00B47BDA">
        <w:t>Operator tržišta je dužan</w:t>
      </w:r>
      <w:r w:rsidR="00B731AC" w:rsidRPr="00B47BDA">
        <w:t xml:space="preserve"> snositi troškove </w:t>
      </w:r>
      <w:r w:rsidR="00565A38" w:rsidRPr="00B47BDA">
        <w:t xml:space="preserve">nastale obračunom </w:t>
      </w:r>
      <w:r w:rsidR="00B731AC" w:rsidRPr="00B47BDA">
        <w:t xml:space="preserve">energije uravnoteženja prema operatoru prijenosnog sustava, zbog odstupanja satnih planova proizvodnje </w:t>
      </w:r>
      <w:r w:rsidR="00565A38" w:rsidRPr="00B47BDA">
        <w:t>električne energije</w:t>
      </w:r>
      <w:r w:rsidR="00B731AC" w:rsidRPr="00B47BDA">
        <w:t xml:space="preserve"> od realiziranih satnih isporuka </w:t>
      </w:r>
      <w:r w:rsidR="00565A38" w:rsidRPr="00B47BDA">
        <w:t>električne energije</w:t>
      </w:r>
      <w:r w:rsidR="00B731AC" w:rsidRPr="00B47BDA">
        <w:t xml:space="preserve"> EKO bilančne grupe. Troškove energije uravnoteženja EKO bilančne grupe</w:t>
      </w:r>
      <w:r w:rsidR="008967EE" w:rsidRPr="00B47BDA">
        <w:t xml:space="preserve"> </w:t>
      </w:r>
      <w:r w:rsidR="00565A38" w:rsidRPr="00B47BDA">
        <w:t>Operator tržišta</w:t>
      </w:r>
      <w:r w:rsidR="00B731AC" w:rsidRPr="00B47BDA">
        <w:t xml:space="preserve"> </w:t>
      </w:r>
      <w:r w:rsidR="00445C1A" w:rsidRPr="00B47BDA">
        <w:t>snosi</w:t>
      </w:r>
      <w:r w:rsidR="00B731AC" w:rsidRPr="00B47BDA">
        <w:t xml:space="preserve"> iz sredstava </w:t>
      </w:r>
      <w:r w:rsidR="00F73528" w:rsidRPr="00B47BDA">
        <w:t xml:space="preserve">za isplatu </w:t>
      </w:r>
      <w:r w:rsidR="00F73528" w:rsidRPr="00B47BDA">
        <w:lastRenderedPageBreak/>
        <w:t>poticaja i mjesečn</w:t>
      </w:r>
      <w:r w:rsidR="008967EE" w:rsidRPr="00B47BDA">
        <w:t>o prikupljenih sredstava od članova EKO bilančne grupe čija priključena snaga proizvodnog postrojenja prelazi 50 kW.</w:t>
      </w:r>
    </w:p>
    <w:p w14:paraId="01217F9A" w14:textId="18738F81" w:rsidR="00B731AC" w:rsidRDefault="00B731AC" w:rsidP="004623DD">
      <w:r w:rsidRPr="00B47BDA">
        <w:t>Visina troškova energije uravnoteženja EKO bilančne grupe ovisi o odstupanju satnih planova proizvodnje EE od realiziranih satnih isporuka EE EKO bilančne grupe, a obračunava se u skladu s Metodologijom za određivanje cijena za obračun električne energije uravnoteženja subjektima odgovornim za odstupanje koju donosi Hrvatska energetska regulatorna agencija.</w:t>
      </w:r>
    </w:p>
    <w:p w14:paraId="4E2606A5" w14:textId="77777777" w:rsidR="00722DFD" w:rsidRPr="00B47BDA" w:rsidRDefault="00722DFD" w:rsidP="004623DD"/>
    <w:p w14:paraId="1E600D5E" w14:textId="3A096F4E" w:rsidR="002D12C4" w:rsidRPr="00B47BDA" w:rsidRDefault="002D12C4" w:rsidP="00443A05">
      <w:pPr>
        <w:pStyle w:val="Heading5"/>
      </w:pPr>
      <w:r w:rsidRPr="00B47BDA">
        <w:t>Prirodni plin</w:t>
      </w:r>
    </w:p>
    <w:p w14:paraId="169C099E" w14:textId="7B5C65EE" w:rsidR="00B51BCC" w:rsidRDefault="00912A31" w:rsidP="00F200F4">
      <w:r w:rsidRPr="00B47BDA">
        <w:t>U nastavku su prikazane povijesne cijene prirodnog plina za krajnje kupce u kategorijama kućanstvo i industrija. Prikazane cijene prirodnog plina uključuju porez na dodanu vrijednost (PDV)</w:t>
      </w:r>
      <w:r w:rsidR="005A2932">
        <w:t>.</w:t>
      </w:r>
    </w:p>
    <w:p w14:paraId="011F257A" w14:textId="1A5FA50F" w:rsidR="00655CBA" w:rsidRPr="00B47BDA" w:rsidRDefault="00655CBA" w:rsidP="00032675">
      <w:pPr>
        <w:jc w:val="center"/>
      </w:pPr>
      <w:r w:rsidRPr="00655CBA">
        <w:rPr>
          <w:noProof/>
        </w:rPr>
        <w:drawing>
          <wp:inline distT="0" distB="0" distL="0" distR="0" wp14:anchorId="346D93CD" wp14:editId="23873D82">
            <wp:extent cx="4311639" cy="2440913"/>
            <wp:effectExtent l="0" t="0" r="0" b="0"/>
            <wp:docPr id="1177820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36700" cy="2455101"/>
                    </a:xfrm>
                    <a:prstGeom prst="rect">
                      <a:avLst/>
                    </a:prstGeom>
                    <a:noFill/>
                    <a:ln>
                      <a:noFill/>
                    </a:ln>
                  </pic:spPr>
                </pic:pic>
              </a:graphicData>
            </a:graphic>
          </wp:inline>
        </w:drawing>
      </w:r>
    </w:p>
    <w:p w14:paraId="7B299E01" w14:textId="449832B3" w:rsidR="00B51BCC" w:rsidRPr="00B47BDA" w:rsidRDefault="00B51BCC" w:rsidP="00032675">
      <w:pPr>
        <w:pStyle w:val="Caption"/>
      </w:pPr>
      <w:bookmarkStart w:id="658" w:name="_Toc185605272"/>
      <w:bookmarkStart w:id="659" w:name="_Toc193035918"/>
      <w:r w:rsidRPr="0002508E">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4E7566">
        <w:rPr>
          <w:noProof/>
        </w:rPr>
        <w:t>23</w:t>
      </w:r>
      <w:r>
        <w:fldChar w:fldCharType="end"/>
      </w:r>
      <w:r w:rsidRPr="0002508E">
        <w:t>. Cijene prirodnog plina za kupce u Hrvatskoj u kategoriji kućanstvo</w:t>
      </w:r>
      <w:bookmarkEnd w:id="658"/>
      <w:bookmarkEnd w:id="659"/>
    </w:p>
    <w:p w14:paraId="58370EDF" w14:textId="25DB6E92" w:rsidR="00032675" w:rsidRPr="00B47BDA" w:rsidRDefault="00B51BCC" w:rsidP="00722DFD">
      <w:pPr>
        <w:pStyle w:val="Slike"/>
        <w:keepNext w:val="0"/>
      </w:pPr>
      <w:r w:rsidRPr="00B47BDA">
        <w:t xml:space="preserve">Izvor: </w:t>
      </w:r>
      <w:r w:rsidR="007313BD" w:rsidRPr="00B47BDA">
        <w:t>Energija u Hrvatskoj 202</w:t>
      </w:r>
      <w:r w:rsidR="006618B7">
        <w:t>3</w:t>
      </w:r>
    </w:p>
    <w:p w14:paraId="65E457FC" w14:textId="407A44B8" w:rsidR="00457B11" w:rsidRPr="00B47BDA" w:rsidRDefault="00655CBA" w:rsidP="004623DD">
      <w:pPr>
        <w:pStyle w:val="Naslovslike"/>
      </w:pPr>
      <w:r w:rsidRPr="00655CBA">
        <w:rPr>
          <w:noProof/>
        </w:rPr>
        <w:drawing>
          <wp:inline distT="0" distB="0" distL="0" distR="0" wp14:anchorId="295B7564" wp14:editId="61CD1AAF">
            <wp:extent cx="4206004" cy="2433742"/>
            <wp:effectExtent l="0" t="0" r="4445" b="5080"/>
            <wp:docPr id="18904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35013" cy="2450528"/>
                    </a:xfrm>
                    <a:prstGeom prst="rect">
                      <a:avLst/>
                    </a:prstGeom>
                    <a:noFill/>
                    <a:ln>
                      <a:noFill/>
                    </a:ln>
                  </pic:spPr>
                </pic:pic>
              </a:graphicData>
            </a:graphic>
          </wp:inline>
        </w:drawing>
      </w:r>
    </w:p>
    <w:p w14:paraId="24EA738F" w14:textId="30A58124" w:rsidR="00B51BCC" w:rsidRPr="00B47BDA" w:rsidRDefault="00B51BCC" w:rsidP="00032675">
      <w:pPr>
        <w:pStyle w:val="Caption"/>
      </w:pPr>
      <w:bookmarkStart w:id="660" w:name="_Toc185605273"/>
      <w:bookmarkStart w:id="661" w:name="_Toc193035919"/>
      <w:r w:rsidRPr="0002508E">
        <w:t xml:space="preserve">Slika </w:t>
      </w:r>
      <w:r>
        <w:fldChar w:fldCharType="begin"/>
      </w:r>
      <w:r>
        <w:instrText>STYLEREF 1 \s</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AD324D">
        <w:rPr>
          <w:noProof/>
        </w:rPr>
        <w:t>24</w:t>
      </w:r>
      <w:r>
        <w:fldChar w:fldCharType="end"/>
      </w:r>
      <w:r w:rsidRPr="0002508E">
        <w:t xml:space="preserve">. Cijene </w:t>
      </w:r>
      <w:r w:rsidR="00F2485C" w:rsidRPr="0002508E">
        <w:t xml:space="preserve">prirodnog plina </w:t>
      </w:r>
      <w:r w:rsidRPr="0002508E">
        <w:t>za kupce u Hrvatskoj u kategoriji poduzetništvo</w:t>
      </w:r>
      <w:bookmarkEnd w:id="660"/>
      <w:bookmarkEnd w:id="661"/>
    </w:p>
    <w:p w14:paraId="558A113E" w14:textId="330DB28A" w:rsidR="00032675" w:rsidRDefault="00AA0593" w:rsidP="00DD5F64">
      <w:pPr>
        <w:pStyle w:val="Slike"/>
        <w:keepNext w:val="0"/>
      </w:pPr>
      <w:r w:rsidRPr="00B47BDA">
        <w:t>I</w:t>
      </w:r>
      <w:r w:rsidR="00B51BCC" w:rsidRPr="00B47BDA">
        <w:t xml:space="preserve">zvor: </w:t>
      </w:r>
      <w:r w:rsidR="007313BD" w:rsidRPr="00B47BDA">
        <w:t>Energija u Hrvatskoj 202</w:t>
      </w:r>
      <w:r w:rsidR="006F0D8D">
        <w:t>3</w:t>
      </w:r>
      <w:r w:rsidR="00032675">
        <w:br w:type="page"/>
      </w:r>
    </w:p>
    <w:p w14:paraId="16DAAB87" w14:textId="0267BBDD" w:rsidR="00C21988" w:rsidRPr="00B47BDA" w:rsidRDefault="00C21988" w:rsidP="005C2C7E">
      <w:pPr>
        <w:pStyle w:val="Heading2"/>
        <w:numPr>
          <w:ilvl w:val="1"/>
          <w:numId w:val="175"/>
        </w:numPr>
      </w:pPr>
      <w:bookmarkStart w:id="662" w:name="_Toc531935267"/>
      <w:bookmarkStart w:id="663" w:name="_Toc531945129"/>
      <w:bookmarkStart w:id="664" w:name="_Toc6302387"/>
      <w:bookmarkStart w:id="665" w:name="_Toc187418368"/>
      <w:bookmarkStart w:id="666" w:name="_Toc193043293"/>
      <w:r w:rsidRPr="00B47BDA">
        <w:lastRenderedPageBreak/>
        <w:t>Dimenzija: istraživanje, inovacije i konkurentnost</w:t>
      </w:r>
      <w:bookmarkEnd w:id="662"/>
      <w:bookmarkEnd w:id="663"/>
      <w:bookmarkEnd w:id="664"/>
      <w:bookmarkEnd w:id="665"/>
      <w:bookmarkEnd w:id="666"/>
    </w:p>
    <w:p w14:paraId="6EA1B6FB" w14:textId="0090C93B" w:rsidR="00F869A2" w:rsidRPr="00B47BDA" w:rsidRDefault="00F869A2" w:rsidP="63259912">
      <w:pPr>
        <w:pStyle w:val="Heading4"/>
        <w:ind w:hanging="580"/>
      </w:pPr>
      <w:r w:rsidRPr="63259912">
        <w:t xml:space="preserve">Trenutačno stanje niskougljičnih tehnologija </w:t>
      </w:r>
      <w:r w:rsidR="00453689" w:rsidRPr="63259912">
        <w:t>i, u mjeri u kojoj je to moguće, njihov položaj na globalnom tržištu</w:t>
      </w:r>
    </w:p>
    <w:p w14:paraId="44B6E054" w14:textId="145F011B" w:rsidR="009A3797" w:rsidRPr="00B47BDA" w:rsidRDefault="009A3797" w:rsidP="009A3797">
      <w:r w:rsidRPr="63259912">
        <w:t>Strategije pametne specijalizacije omogućavaju identifikaciju prioriteta za ulaganje u investicije temeljene na znanju u sektorima u kojima država ili regija ima komparative prednosti. Razvoj niskougljičniih tehnologija u Hrvatskoj u razdoblju 2016</w:t>
      </w:r>
      <w:r w:rsidR="00D56A14" w:rsidRPr="63259912">
        <w:t>.</w:t>
      </w:r>
      <w:r w:rsidRPr="63259912">
        <w:t>-2020</w:t>
      </w:r>
      <w:r w:rsidR="00D56A14" w:rsidRPr="63259912">
        <w:t>. godine</w:t>
      </w:r>
      <w:r w:rsidRPr="63259912">
        <w:t xml:space="preserve"> podržavala je Strategija pametne specijalizacije Republike Hrvatske za razdoblje od 2016. do 2020. godine. [21], te su tehnologije uglavnom bile unutar tematskog prioritetnog područja energija i održivi okoliš, a u Strategij</w:t>
      </w:r>
      <w:r w:rsidR="00EF3F92" w:rsidRPr="63259912">
        <w:t>i</w:t>
      </w:r>
      <w:r w:rsidRPr="63259912">
        <w:t xml:space="preserve"> pametne specijalizacije do 2029. u tematskom prioritetnom području pametna i čista energija. </w:t>
      </w:r>
    </w:p>
    <w:p w14:paraId="2B510A28" w14:textId="28AF65E5" w:rsidR="004D2634" w:rsidRDefault="005501AD" w:rsidP="004623DD">
      <w:r w:rsidRPr="63259912">
        <w:t>Strategija pametne specijalizacije do 2029. navodi sljedeće ključne ciljeve i podciljeve:</w:t>
      </w:r>
    </w:p>
    <w:p w14:paraId="6727DF86" w14:textId="04A239A4" w:rsidR="005501AD" w:rsidRDefault="00CA28E4" w:rsidP="00CA28E4">
      <w:pPr>
        <w:pStyle w:val="ListParagraph"/>
        <w:numPr>
          <w:ilvl w:val="0"/>
          <w:numId w:val="82"/>
        </w:numPr>
      </w:pPr>
      <w:r>
        <w:t>Poboljšanje znanstvene izvrsnosti</w:t>
      </w:r>
    </w:p>
    <w:p w14:paraId="2E885FCE" w14:textId="2EF42190" w:rsidR="004713A0" w:rsidRDefault="00F26085" w:rsidP="004713A0">
      <w:pPr>
        <w:pStyle w:val="ListParagraph"/>
        <w:numPr>
          <w:ilvl w:val="1"/>
          <w:numId w:val="82"/>
        </w:numPr>
      </w:pPr>
      <w:r>
        <w:t>Poboljšanje uvjeta financiranja za znanstvenu izvrsnost</w:t>
      </w:r>
    </w:p>
    <w:p w14:paraId="0D860647" w14:textId="4321F53A" w:rsidR="00F26085" w:rsidRDefault="00F26085" w:rsidP="004713A0">
      <w:pPr>
        <w:pStyle w:val="ListParagraph"/>
        <w:numPr>
          <w:ilvl w:val="1"/>
          <w:numId w:val="82"/>
        </w:numPr>
      </w:pPr>
      <w:r>
        <w:t>Razvijanje kapaciteta mladih istraživača</w:t>
      </w:r>
    </w:p>
    <w:p w14:paraId="3806425D" w14:textId="2975660A" w:rsidR="00F26085" w:rsidRDefault="00AE463C" w:rsidP="004713A0">
      <w:pPr>
        <w:pStyle w:val="ListParagraph"/>
        <w:numPr>
          <w:ilvl w:val="1"/>
          <w:numId w:val="82"/>
        </w:numPr>
      </w:pPr>
      <w:r>
        <w:t>Jačanje istraživačke infrastrukture</w:t>
      </w:r>
    </w:p>
    <w:p w14:paraId="73177E46" w14:textId="21972250" w:rsidR="00CA28E4" w:rsidRDefault="004713A0" w:rsidP="00CA28E4">
      <w:pPr>
        <w:pStyle w:val="ListParagraph"/>
        <w:numPr>
          <w:ilvl w:val="0"/>
          <w:numId w:val="82"/>
        </w:numPr>
      </w:pPr>
      <w:r>
        <w:t>Premošćivanje jaza između istraživačkog i poslovnog sektora</w:t>
      </w:r>
    </w:p>
    <w:p w14:paraId="4CDAD5D4" w14:textId="6AD4964D" w:rsidR="00AE463C" w:rsidRDefault="00AE463C" w:rsidP="00AE463C">
      <w:pPr>
        <w:pStyle w:val="ListParagraph"/>
        <w:numPr>
          <w:ilvl w:val="1"/>
          <w:numId w:val="82"/>
        </w:numPr>
      </w:pPr>
      <w:r>
        <w:t>Povećanje suradnje između istraživačkih organizacija i poduzeća</w:t>
      </w:r>
    </w:p>
    <w:p w14:paraId="0924DA0E" w14:textId="34F383E1" w:rsidR="00AE463C" w:rsidRDefault="00AE463C" w:rsidP="00AE463C">
      <w:pPr>
        <w:pStyle w:val="ListParagraph"/>
        <w:numPr>
          <w:ilvl w:val="1"/>
          <w:numId w:val="82"/>
        </w:numPr>
      </w:pPr>
      <w:r>
        <w:t>Poboljšanje tržišne spremnosti rezultata istraživanja i razvoja</w:t>
      </w:r>
    </w:p>
    <w:p w14:paraId="66ABB0CA" w14:textId="01F6C4C3" w:rsidR="004713A0" w:rsidRDefault="004713A0" w:rsidP="00CA28E4">
      <w:pPr>
        <w:pStyle w:val="ListParagraph"/>
        <w:numPr>
          <w:ilvl w:val="0"/>
          <w:numId w:val="82"/>
        </w:numPr>
      </w:pPr>
      <w:r>
        <w:t>Povećanje inovacijske učinkovitosti</w:t>
      </w:r>
    </w:p>
    <w:p w14:paraId="42BE6342" w14:textId="3F63C795" w:rsidR="00AE463C" w:rsidRDefault="00AE463C" w:rsidP="00AE463C">
      <w:pPr>
        <w:pStyle w:val="ListParagraph"/>
        <w:numPr>
          <w:ilvl w:val="1"/>
          <w:numId w:val="82"/>
        </w:numPr>
      </w:pPr>
      <w:r w:rsidRPr="63259912">
        <w:t>Poboljšanje start-up ekosustava</w:t>
      </w:r>
    </w:p>
    <w:p w14:paraId="0382FA22" w14:textId="1A6FE8C9" w:rsidR="00AE463C" w:rsidRDefault="003439FB" w:rsidP="00AE463C">
      <w:pPr>
        <w:pStyle w:val="ListParagraph"/>
        <w:numPr>
          <w:ilvl w:val="1"/>
          <w:numId w:val="82"/>
        </w:numPr>
      </w:pPr>
      <w:r>
        <w:t>Podrška digitalizaciji i zelenoj tranziciji poduzeća</w:t>
      </w:r>
    </w:p>
    <w:p w14:paraId="5D0B40BF" w14:textId="7BA0A5A9" w:rsidR="003439FB" w:rsidRDefault="003439FB" w:rsidP="00AE463C">
      <w:pPr>
        <w:pStyle w:val="ListParagraph"/>
        <w:numPr>
          <w:ilvl w:val="1"/>
          <w:numId w:val="82"/>
        </w:numPr>
      </w:pPr>
      <w:r>
        <w:t>Poboljšanje vještina za inovacije</w:t>
      </w:r>
    </w:p>
    <w:p w14:paraId="217FF56B" w14:textId="744B0466" w:rsidR="003439FB" w:rsidRDefault="000F3791" w:rsidP="00AE463C">
      <w:pPr>
        <w:pStyle w:val="ListParagraph"/>
        <w:numPr>
          <w:ilvl w:val="1"/>
          <w:numId w:val="82"/>
        </w:numPr>
      </w:pPr>
      <w:r>
        <w:t>Povećanje tržišnog dosega inovativnih proizvoda</w:t>
      </w:r>
    </w:p>
    <w:p w14:paraId="762946B0" w14:textId="43EB0CA6" w:rsidR="00705FDE" w:rsidRPr="00B47BDA" w:rsidRDefault="00A5744C" w:rsidP="004623DD">
      <w:r w:rsidRPr="63259912">
        <w:t>Strategija niskougljičnog razvoja Republike Hrvatske do 2030. s pogledom na 2050. godinu</w:t>
      </w:r>
      <w:r w:rsidR="004F777C" w:rsidRPr="63259912">
        <w:rPr>
          <w:rStyle w:val="FootnoteReference"/>
        </w:rPr>
        <w:footnoteReference w:id="38"/>
      </w:r>
      <w:r w:rsidRPr="63259912" w:rsidDel="00A5744C">
        <w:t xml:space="preserve"> </w:t>
      </w:r>
      <w:r w:rsidR="00D67F1F" w:rsidRPr="63259912">
        <w:t>navodi kako su p</w:t>
      </w:r>
      <w:r w:rsidR="00726C2C" w:rsidRPr="63259912">
        <w:t>otrebna</w:t>
      </w:r>
      <w:r w:rsidR="00D67F1F" w:rsidRPr="63259912">
        <w:t xml:space="preserve"> </w:t>
      </w:r>
      <w:r w:rsidR="00726C2C" w:rsidRPr="63259912">
        <w:t>istraživanja</w:t>
      </w:r>
      <w:r w:rsidR="00705FDE" w:rsidRPr="63259912">
        <w:t xml:space="preserve"> u okviru sljedećih tema:</w:t>
      </w:r>
    </w:p>
    <w:p w14:paraId="78336D6A" w14:textId="47E8289C" w:rsidR="00705FDE" w:rsidRPr="004D6888" w:rsidRDefault="00705FDE" w:rsidP="00A563AA">
      <w:pPr>
        <w:pStyle w:val="ListParagraph"/>
        <w:numPr>
          <w:ilvl w:val="0"/>
          <w:numId w:val="82"/>
        </w:numPr>
        <w:rPr>
          <w:rFonts w:asciiTheme="minorHAnsi" w:hAnsiTheme="minorHAnsi" w:cstheme="minorHAnsi"/>
        </w:rPr>
      </w:pPr>
      <w:r w:rsidRPr="004D6888">
        <w:rPr>
          <w:rFonts w:asciiTheme="minorHAnsi" w:hAnsiTheme="minorHAnsi" w:cstheme="minorHAnsi"/>
        </w:rPr>
        <w:t>razvoj modela, metoda za integralno upravljanje ugljikom, za unapr</w:t>
      </w:r>
      <w:r w:rsidRPr="004D6888">
        <w:rPr>
          <w:rStyle w:val="zadanifontodlomka-000007"/>
          <w:rFonts w:asciiTheme="minorHAnsi" w:hAnsiTheme="minorHAnsi" w:cstheme="minorHAnsi"/>
        </w:rPr>
        <w:t>eđenje proračuna emisija/ponora, za projekcije emisija/ponora, za primjenu proračuna po metodi ukupnog životnog ciklusa</w:t>
      </w:r>
    </w:p>
    <w:p w14:paraId="67F96814" w14:textId="4EBED899" w:rsidR="00705FDE" w:rsidRPr="004D6888" w:rsidRDefault="00705FDE" w:rsidP="004D6888">
      <w:pPr>
        <w:pStyle w:val="ListParagraph"/>
        <w:numPr>
          <w:ilvl w:val="0"/>
          <w:numId w:val="82"/>
        </w:numPr>
        <w:spacing w:after="60"/>
        <w:ind w:left="714" w:hanging="357"/>
        <w:rPr>
          <w:rFonts w:cs="Calibri"/>
        </w:rPr>
      </w:pPr>
      <w:r w:rsidRPr="00B47BDA">
        <w:t>istraživanje tehnologija, tehničkih i ne-tehničkih mjera za smanjenje emisija i povećanje ponora u svim sektorima (energetika, promet, p</w:t>
      </w:r>
      <w:r w:rsidRPr="004D6888">
        <w:rPr>
          <w:rStyle w:val="zadanifontodlomka-000007"/>
        </w:rPr>
        <w:t>oljoprivreda, šumarstvo, gospodarenja otpadom i industrijski procesi)</w:t>
      </w:r>
    </w:p>
    <w:p w14:paraId="27C88D4A" w14:textId="5F926000" w:rsidR="00705FDE" w:rsidRPr="004D6888" w:rsidRDefault="00705FDE" w:rsidP="004D6888">
      <w:pPr>
        <w:pStyle w:val="ListParagraph"/>
        <w:numPr>
          <w:ilvl w:val="0"/>
          <w:numId w:val="82"/>
        </w:numPr>
        <w:spacing w:after="60"/>
        <w:ind w:left="714" w:hanging="357"/>
        <w:rPr>
          <w:rFonts w:cs="Calibri"/>
        </w:rPr>
      </w:pPr>
      <w:r w:rsidRPr="00B47BDA">
        <w:lastRenderedPageBreak/>
        <w:t>istraživanje poveznica između ublažavanja klimatskih promjena i prilagodbe klimatskim pr</w:t>
      </w:r>
      <w:r w:rsidRPr="004D6888">
        <w:rPr>
          <w:rStyle w:val="zadanifontodlomka-000007"/>
        </w:rPr>
        <w:t>omjenama te interakcije s ostalim sastavnicama okoliša</w:t>
      </w:r>
    </w:p>
    <w:p w14:paraId="53E12AEB" w14:textId="4599390A" w:rsidR="00705FDE" w:rsidRPr="004D6888" w:rsidRDefault="00705FDE" w:rsidP="004D6888">
      <w:pPr>
        <w:pStyle w:val="ListParagraph"/>
        <w:numPr>
          <w:ilvl w:val="0"/>
          <w:numId w:val="82"/>
        </w:numPr>
        <w:spacing w:after="60"/>
        <w:ind w:left="714" w:hanging="357"/>
        <w:rPr>
          <w:rFonts w:cs="Calibri"/>
        </w:rPr>
      </w:pPr>
      <w:r w:rsidRPr="00B47BDA">
        <w:t xml:space="preserve">razvoj integralnih modela procjene učinaka politika i mjera za ublažavanje klimatskih promjena na gospodarstvo, okoliš i društvo </w:t>
      </w:r>
    </w:p>
    <w:p w14:paraId="00386DD0" w14:textId="66F0D8CC" w:rsidR="00705FDE" w:rsidRPr="004D6888" w:rsidRDefault="00705FDE" w:rsidP="004D6888">
      <w:pPr>
        <w:pStyle w:val="ListParagraph"/>
        <w:numPr>
          <w:ilvl w:val="0"/>
          <w:numId w:val="82"/>
        </w:numPr>
        <w:spacing w:after="60"/>
        <w:ind w:left="714" w:hanging="357"/>
        <w:rPr>
          <w:rFonts w:cs="Calibri"/>
        </w:rPr>
      </w:pPr>
      <w:r w:rsidRPr="00B47BDA">
        <w:t>istraživanja socioloških aspekata klimatskih promjena, razvoj modela i</w:t>
      </w:r>
      <w:r w:rsidRPr="004D6888">
        <w:rPr>
          <w:rStyle w:val="zadanifontodlomka-000007"/>
        </w:rPr>
        <w:t xml:space="preserve"> metoda promidžbe i podizanja javne svijesti o klimatskim promjenama</w:t>
      </w:r>
    </w:p>
    <w:p w14:paraId="0FD98262" w14:textId="7BEF180E" w:rsidR="00705FDE" w:rsidRPr="004D6888" w:rsidRDefault="00705FDE" w:rsidP="63259912">
      <w:pPr>
        <w:pStyle w:val="ListParagraph"/>
        <w:numPr>
          <w:ilvl w:val="0"/>
          <w:numId w:val="82"/>
        </w:numPr>
        <w:spacing w:after="60"/>
        <w:ind w:left="714" w:hanging="357"/>
        <w:rPr>
          <w:rFonts w:cs="Calibri"/>
        </w:rPr>
      </w:pPr>
      <w:r w:rsidRPr="63259912">
        <w:t xml:space="preserve">istraživanje potencijala biomase, proizvodnje biomase, korištenja biomase i s tim u vezi socio-gospodarskih aspekata </w:t>
      </w:r>
    </w:p>
    <w:p w14:paraId="266B9776" w14:textId="50EEDF1C" w:rsidR="00705FDE" w:rsidRPr="00140E50" w:rsidRDefault="00705FDE" w:rsidP="004D6888">
      <w:pPr>
        <w:pStyle w:val="ListParagraph"/>
        <w:numPr>
          <w:ilvl w:val="0"/>
          <w:numId w:val="82"/>
        </w:numPr>
        <w:spacing w:after="60"/>
        <w:ind w:left="714" w:hanging="357"/>
      </w:pPr>
      <w:r w:rsidRPr="00B47BDA">
        <w:t>istraživanje potencijala svih obnovljivih izvora energije, troškovi i</w:t>
      </w:r>
      <w:r w:rsidRPr="004D6888">
        <w:rPr>
          <w:rStyle w:val="zadanifontodlomka-000007"/>
        </w:rPr>
        <w:t xml:space="preserve"> koristi njihove upotrebe, njihovog utjecaja na okoliš, prirodu i Natura2000</w:t>
      </w:r>
    </w:p>
    <w:p w14:paraId="089E5202" w14:textId="48170B1E" w:rsidR="00705FDE" w:rsidRPr="004D6888" w:rsidRDefault="00705FDE" w:rsidP="004D6888">
      <w:pPr>
        <w:pStyle w:val="ListParagraph"/>
        <w:numPr>
          <w:ilvl w:val="0"/>
          <w:numId w:val="82"/>
        </w:numPr>
        <w:spacing w:after="60"/>
        <w:ind w:left="714" w:hanging="357"/>
        <w:rPr>
          <w:rFonts w:cs="Calibri"/>
        </w:rPr>
      </w:pPr>
      <w:r w:rsidRPr="00B47BDA">
        <w:t>studije integralnih rješenja, energetske učinkovitosti, obnovljivih izvora energije u svim sektorima, optimizacijski modeli za pametne gradove, zelene gradove i urbanu infrastrukt</w:t>
      </w:r>
      <w:r w:rsidRPr="004D6888">
        <w:rPr>
          <w:rStyle w:val="zadanifontodlomka-000007"/>
        </w:rPr>
        <w:t>uru</w:t>
      </w:r>
    </w:p>
    <w:p w14:paraId="3CBCCF00" w14:textId="6B5FF88A" w:rsidR="00705FDE" w:rsidRPr="00140E50" w:rsidRDefault="00705FDE" w:rsidP="004D6888">
      <w:pPr>
        <w:pStyle w:val="ListParagraph"/>
        <w:numPr>
          <w:ilvl w:val="0"/>
          <w:numId w:val="82"/>
        </w:numPr>
        <w:spacing w:after="60"/>
        <w:ind w:left="714" w:hanging="357"/>
      </w:pPr>
      <w:r w:rsidRPr="00B47BDA">
        <w:t>istraživanja</w:t>
      </w:r>
      <w:r w:rsidRPr="004D6888">
        <w:rPr>
          <w:rStyle w:val="zadanifontodlomka-000007"/>
        </w:rPr>
        <w:t xml:space="preserve"> naprednih mreža i pametnih sustava</w:t>
      </w:r>
    </w:p>
    <w:p w14:paraId="325DF649" w14:textId="574D5DCD" w:rsidR="00705FDE" w:rsidRPr="004D6888" w:rsidRDefault="00705FDE" w:rsidP="004D6888">
      <w:pPr>
        <w:pStyle w:val="ListParagraph"/>
        <w:numPr>
          <w:ilvl w:val="0"/>
          <w:numId w:val="82"/>
        </w:numPr>
        <w:spacing w:after="60"/>
        <w:ind w:left="714" w:hanging="357"/>
        <w:rPr>
          <w:rFonts w:cs="Calibri"/>
        </w:rPr>
      </w:pPr>
      <w:r w:rsidRPr="00B47BDA">
        <w:t>razvoj koncepata i planiranja pametnih gradova</w:t>
      </w:r>
    </w:p>
    <w:p w14:paraId="59BE2CB4" w14:textId="1D2F4888" w:rsidR="00705FDE" w:rsidRPr="004D6888" w:rsidRDefault="00705FDE" w:rsidP="004D6888">
      <w:pPr>
        <w:pStyle w:val="ListParagraph"/>
        <w:numPr>
          <w:ilvl w:val="0"/>
          <w:numId w:val="82"/>
        </w:numPr>
        <w:spacing w:after="60"/>
        <w:ind w:left="714" w:hanging="357"/>
        <w:rPr>
          <w:rFonts w:cs="Calibri"/>
        </w:rPr>
      </w:pPr>
      <w:r w:rsidRPr="00B47BDA">
        <w:t>istraživanja vezano za izgradnju kružne ekonomije, uvođenje sustava upravljanja korištenjem resursa, energije i ugljičnog otiska</w:t>
      </w:r>
    </w:p>
    <w:p w14:paraId="6FC5DB97" w14:textId="306AC2B4" w:rsidR="00705FDE" w:rsidRPr="00140E50" w:rsidRDefault="00705FDE" w:rsidP="004D6888">
      <w:pPr>
        <w:pStyle w:val="ListParagraph"/>
        <w:numPr>
          <w:ilvl w:val="0"/>
          <w:numId w:val="82"/>
        </w:numPr>
        <w:spacing w:after="60"/>
        <w:ind w:left="714" w:hanging="357"/>
      </w:pPr>
      <w:r w:rsidRPr="00B47BDA">
        <w:t>istraživanja održive mobilno</w:t>
      </w:r>
      <w:r w:rsidRPr="004D6888">
        <w:rPr>
          <w:rStyle w:val="zadanifontodlomka-000007"/>
        </w:rPr>
        <w:t>sti u gradovima, kooperativnih, inteligentnih i automatiziranih rješenja u prometu</w:t>
      </w:r>
    </w:p>
    <w:p w14:paraId="486EFA2B" w14:textId="24662512" w:rsidR="00705FDE" w:rsidRPr="00140E50" w:rsidRDefault="00705FDE" w:rsidP="004D6888">
      <w:pPr>
        <w:pStyle w:val="ListParagraph"/>
        <w:numPr>
          <w:ilvl w:val="0"/>
          <w:numId w:val="82"/>
        </w:numPr>
        <w:spacing w:after="60"/>
        <w:ind w:left="714" w:hanging="357"/>
      </w:pPr>
      <w:r w:rsidRPr="00B47BDA">
        <w:t>istraživanja o mogućnostima povećanja pohrane ugljika na</w:t>
      </w:r>
      <w:r w:rsidR="00192689" w:rsidRPr="004D6888">
        <w:rPr>
          <w:rStyle w:val="zadanifontodlomka-000007"/>
        </w:rPr>
        <w:t xml:space="preserve"> šumskom i</w:t>
      </w:r>
      <w:r w:rsidRPr="004D6888">
        <w:rPr>
          <w:rStyle w:val="zadanifontodlomka-000007"/>
        </w:rPr>
        <w:t xml:space="preserve"> poljoprivrednom zemljištu i mogućih inovativnih mjera u stočarstvu</w:t>
      </w:r>
      <w:r w:rsidR="00E372B8" w:rsidRPr="004D6888">
        <w:rPr>
          <w:rStyle w:val="zadanifontodlomka-000007"/>
        </w:rPr>
        <w:t>.</w:t>
      </w:r>
    </w:p>
    <w:p w14:paraId="37B0AEAB" w14:textId="77777777" w:rsidR="00705FDE" w:rsidRPr="00B47BDA" w:rsidRDefault="00705FDE" w:rsidP="004623DD">
      <w:r w:rsidRPr="00B47BDA">
        <w:t>Osobiti tehnološki napredak očekuje se u primjeni ICT tehnologija u svim sektorima, osobito s velikim učinkom u energetici i prometu. Odlučujuću ulogu će imati razvoj sustava za pohranu energije, infrastruktura za električna vozila i baterije, autonomni sustavi u raznim sektorima i robotika.</w:t>
      </w:r>
    </w:p>
    <w:p w14:paraId="139418B6" w14:textId="3670B0F6" w:rsidR="0015686A" w:rsidRPr="00B47BDA" w:rsidRDefault="00456718" w:rsidP="00330A38">
      <w:r w:rsidRPr="63259912">
        <w:t xml:space="preserve">Državni zavod za statistiku </w:t>
      </w:r>
      <w:r w:rsidR="00277FE7" w:rsidRPr="63259912">
        <w:t xml:space="preserve">prikuplja podatke o </w:t>
      </w:r>
      <w:r w:rsidR="002B75AD" w:rsidRPr="63259912">
        <w:t xml:space="preserve">robnoj razmjeni RH s inozemstvom, a </w:t>
      </w:r>
      <w:r w:rsidR="00B461CA" w:rsidRPr="63259912">
        <w:t xml:space="preserve">agregirane podatke objavljuje prema nacionalnoj klasifikaciji djelatnosti te prema </w:t>
      </w:r>
      <w:r w:rsidR="00AE4E14" w:rsidRPr="63259912">
        <w:t>sektorima.</w:t>
      </w:r>
      <w:r w:rsidR="00B77737" w:rsidRPr="63259912">
        <w:t xml:space="preserve"> </w:t>
      </w:r>
      <w:r w:rsidR="00055961" w:rsidRPr="63259912">
        <w:t>Izvoz svih proizvoda prati se</w:t>
      </w:r>
      <w:r w:rsidR="00443885" w:rsidRPr="63259912">
        <w:t xml:space="preserve"> prema </w:t>
      </w:r>
      <w:r w:rsidR="00A36647" w:rsidRPr="63259912">
        <w:t>nome</w:t>
      </w:r>
      <w:r w:rsidR="00B44765" w:rsidRPr="63259912">
        <w:t>n</w:t>
      </w:r>
      <w:r w:rsidR="00A36647" w:rsidRPr="63259912">
        <w:t xml:space="preserve">klaturi iz </w:t>
      </w:r>
      <w:r w:rsidR="00330A38" w:rsidRPr="63259912">
        <w:t>Provedbene uredbe Komisije (EU) 2017/1925 оd 12. listopada 2017. o izmjeni Priloga I. Uredbi Vijeća (EEZ) br. 2658/87 o tarifnoj i statističkoj nomenklaturi i o Zajedničkoj carinskoj tarifi (SL L 282, 31.10.2017.)</w:t>
      </w:r>
      <w:r w:rsidR="008A5DDD" w:rsidRPr="63259912">
        <w:t xml:space="preserve">, ali je potrebno definirati specifične </w:t>
      </w:r>
      <w:r w:rsidR="009D6C3B" w:rsidRPr="63259912">
        <w:t xml:space="preserve">niskougljične </w:t>
      </w:r>
      <w:r w:rsidR="008A5DDD" w:rsidRPr="63259912">
        <w:t xml:space="preserve">proizvode </w:t>
      </w:r>
      <w:r w:rsidR="00CA6739" w:rsidRPr="63259912">
        <w:t>te o njima zasebno izvještavati</w:t>
      </w:r>
      <w:r w:rsidR="008A5DDD" w:rsidRPr="63259912">
        <w:t>.</w:t>
      </w:r>
    </w:p>
    <w:p w14:paraId="53233208" w14:textId="77777777" w:rsidR="00311E42" w:rsidRPr="00B47BDA" w:rsidRDefault="00311E42" w:rsidP="63259912">
      <w:pPr>
        <w:pStyle w:val="Heading4"/>
        <w:ind w:hanging="580"/>
      </w:pPr>
      <w:r w:rsidRPr="63259912">
        <w:t>Trenutačna razina javne i, ako je dostupno, privatne potrošnje za istraživanja i inovacije u području niskougljičnih tehnologija, trenutačni broj patenata i trenutačni broj istraživača</w:t>
      </w:r>
    </w:p>
    <w:p w14:paraId="243BE004" w14:textId="155F676F" w:rsidR="004A5113" w:rsidRPr="00B47BDA" w:rsidRDefault="004A5113" w:rsidP="63259912">
      <w:pPr>
        <w:rPr>
          <w:highlight w:val="yellow"/>
        </w:rPr>
      </w:pPr>
      <w:r w:rsidRPr="63259912">
        <w:t>Prema procjeni za 2017</w:t>
      </w:r>
      <w:r w:rsidR="00DA260D" w:rsidRPr="63259912">
        <w:t>.</w:t>
      </w:r>
      <w:r w:rsidR="003F6428" w:rsidRPr="63259912">
        <w:t xml:space="preserve"> godinu</w:t>
      </w:r>
      <w:r w:rsidR="00DA260D" w:rsidRPr="63259912">
        <w:t>,</w:t>
      </w:r>
      <w:r w:rsidRPr="63259912">
        <w:t xml:space="preserve"> bruto domaći izdaci za istraživanje i razvoj (eng. Gross Domestic Expenditure on Research and Development, GDERD)</w:t>
      </w:r>
      <w:r w:rsidR="00461782" w:rsidRPr="63259912">
        <w:t xml:space="preserve"> </w:t>
      </w:r>
      <w:r w:rsidRPr="63259912">
        <w:t>iznosili su 0,86</w:t>
      </w:r>
      <w:r w:rsidR="007E6D73" w:rsidRPr="63259912">
        <w:t> </w:t>
      </w:r>
      <w:r w:rsidRPr="63259912">
        <w:t xml:space="preserve">% BDP-a. Do 2020. </w:t>
      </w:r>
      <w:r w:rsidR="00DA260D" w:rsidRPr="63259912">
        <w:t>godine postavljen je cilj od 1,4</w:t>
      </w:r>
      <w:r w:rsidR="007E6D73" w:rsidRPr="63259912">
        <w:t> </w:t>
      </w:r>
      <w:r w:rsidR="00DA260D" w:rsidRPr="63259912">
        <w:t>% udjela u BDP-u, a postignuto je 1.25</w:t>
      </w:r>
      <w:r w:rsidR="007E6D73" w:rsidRPr="63259912">
        <w:t> </w:t>
      </w:r>
      <w:r w:rsidR="00DA260D" w:rsidRPr="63259912">
        <w:t>%. Na razini EU cilj je bio dostizanje 3</w:t>
      </w:r>
      <w:r w:rsidR="007E6D73" w:rsidRPr="63259912">
        <w:t> </w:t>
      </w:r>
      <w:r w:rsidR="00DA260D" w:rsidRPr="63259912">
        <w:t>% bruto domaćih izdataka za istraživanje i razvoj do 2020, a dosizanje tog cilja u Hrvatskoj prema Strategij</w:t>
      </w:r>
      <w:r w:rsidR="00297318" w:rsidRPr="63259912">
        <w:t>i</w:t>
      </w:r>
      <w:r w:rsidR="00DA260D" w:rsidRPr="63259912">
        <w:t xml:space="preserve"> pametne specijalizacije do 2029. predviđa se do 2030.</w:t>
      </w:r>
    </w:p>
    <w:p w14:paraId="130BC872" w14:textId="16E75C82" w:rsidR="003016B0" w:rsidRDefault="003016B0" w:rsidP="003016B0">
      <w:r w:rsidRPr="00B47BDA">
        <w:t xml:space="preserve">Državni zavod za statistiku prati bruto domaće izdatke za istraživanje i razvoj prema sektorima </w:t>
      </w:r>
      <w:r>
        <w:t xml:space="preserve">( (i) poslovni sektor, (ii) državni i privatni neprofitni sektor i (iii) visoko obrazovanje) </w:t>
      </w:r>
      <w:r w:rsidRPr="00B47BDA">
        <w:t xml:space="preserve">i </w:t>
      </w:r>
      <w:r w:rsidRPr="00B47BDA">
        <w:lastRenderedPageBreak/>
        <w:t>područjima znanosti</w:t>
      </w:r>
      <w:r>
        <w:t>. Prema najnovijim podacima (za 2021),</w:t>
      </w:r>
      <w:r w:rsidR="00B16768">
        <w:t xml:space="preserve"> </w:t>
      </w:r>
      <w:r>
        <w:t>od ukupno uloženih 5,5 m</w:t>
      </w:r>
      <w:r w:rsidR="00911623">
        <w:t>ilijardi</w:t>
      </w:r>
      <w:r>
        <w:t xml:space="preserve"> kn (725 m</w:t>
      </w:r>
      <w:r w:rsidR="00911623">
        <w:t>ilijuna</w:t>
      </w:r>
      <w:r>
        <w:t xml:space="preserve"> </w:t>
      </w:r>
      <w:r w:rsidR="00227331">
        <w:t>EUR</w:t>
      </w:r>
      <w:r>
        <w:t>) u istraživanje i razvoj, 46,5</w:t>
      </w:r>
      <w:r w:rsidR="007E6D73">
        <w:t> </w:t>
      </w:r>
      <w:r>
        <w:t>% ulaganja bilo je iz poslovnog sektora, 32,3</w:t>
      </w:r>
      <w:r w:rsidR="007E6D73">
        <w:t> </w:t>
      </w:r>
      <w:r>
        <w:t>% bila su ulaganja visokog obrazovanja i 21,1</w:t>
      </w:r>
      <w:r w:rsidR="007E6D73">
        <w:t> </w:t>
      </w:r>
      <w:r>
        <w:t>% odnosi se na ulaganja državnog i neprofitnog sektora.</w:t>
      </w:r>
    </w:p>
    <w:p w14:paraId="3643C0F0" w14:textId="3ECF8C33" w:rsidR="00D61AD8" w:rsidRPr="00B47BDA" w:rsidRDefault="003016B0" w:rsidP="009F6F23">
      <w:r>
        <w:t>Osim toga, DZS objavljuje godišnji napredak prema ciljevima održivog razvoja, uključujući cilj 9 Industrija, inovacije i infrastruktura. Prema najnovijim pokazateljima 2021. godine 0,93</w:t>
      </w:r>
      <w:r w:rsidR="007E6D73">
        <w:t> </w:t>
      </w:r>
      <w:r>
        <w:t>% aktivnog stanovništva zaposleno je u istraživanju i razvoju (2016. taj je udio bio 0,64</w:t>
      </w:r>
      <w:r w:rsidR="007E6D73">
        <w:t> </w:t>
      </w:r>
      <w:r>
        <w:t>%), bruto dodana vrijednost u sektoru okolišnih dobara i usluga je 1,47</w:t>
      </w:r>
      <w:r w:rsidR="007E6D73">
        <w:t> </w:t>
      </w:r>
      <w:r>
        <w:t xml:space="preserve">% (2016: 1,52%) i povećan je broj prijava podnesenih Europskom patentnom uredu (27, u odnosu na 16 </w:t>
      </w:r>
      <w:r w:rsidR="00EF1B4C">
        <w:t xml:space="preserve">iz </w:t>
      </w:r>
      <w:r>
        <w:t>2016. godine)</w:t>
      </w:r>
      <w:r w:rsidR="00022CA0">
        <w:t>.</w:t>
      </w:r>
      <w:r w:rsidRPr="004D6888">
        <w:rPr>
          <w:rStyle w:val="FootnoteReference"/>
          <w:rFonts w:ascii="Calibri" w:hAnsi="Calibri" w:cs="Calibri"/>
          <w:sz w:val="24"/>
        </w:rPr>
        <w:footnoteReference w:id="39"/>
      </w:r>
      <w:r w:rsidR="000E6952" w:rsidRPr="00B47BDA" w:rsidDel="000E6952">
        <w:t xml:space="preserve"> </w:t>
      </w:r>
    </w:p>
    <w:p w14:paraId="21FB2250" w14:textId="00903214" w:rsidR="009D6C3B" w:rsidRPr="00B47BDA" w:rsidRDefault="009D6C3B" w:rsidP="004623DD">
      <w:r w:rsidRPr="63259912">
        <w:t xml:space="preserve">U okviru podataka na temelju kojih Državni zavod za statistiku objavljuje ove agregirane podatke, bit će potrebno utvrditi </w:t>
      </w:r>
      <w:r w:rsidR="00CA6739" w:rsidRPr="63259912">
        <w:t>područja istraživanja i razvoja relevantne za niskougljični razvoj te o njima zasebno izvještavati.</w:t>
      </w:r>
    </w:p>
    <w:p w14:paraId="3FAAC636" w14:textId="065EA58D" w:rsidR="00575B50" w:rsidRDefault="00575B50" w:rsidP="00575B50">
      <w:r>
        <w:t>U 202</w:t>
      </w:r>
      <w:r w:rsidRPr="00275239">
        <w:t xml:space="preserve">2. </w:t>
      </w:r>
      <w:r w:rsidR="00EF1B4C">
        <w:t xml:space="preserve">godini </w:t>
      </w:r>
      <w:r w:rsidRPr="00275239">
        <w:t>podneseno je 130 prijava patenata. Od toga su 122 prijave domaćih prijavitelja, a osam stranih prijavitelja. Od ukupnog broja prijava domaćih prijavitelja, 45,1</w:t>
      </w:r>
      <w:r w:rsidR="007E6D73">
        <w:t> </w:t>
      </w:r>
      <w:r w:rsidRPr="00275239">
        <w:t>% patenata prijavile su fizičke osobe, a 54,9</w:t>
      </w:r>
      <w:r w:rsidR="007E6D73">
        <w:t> </w:t>
      </w:r>
      <w:r w:rsidRPr="00275239">
        <w:t>% pravne osobe. Kod stranih prijavitelja i fizičke i pravne osobe imale su udio od 50,0</w:t>
      </w:r>
      <w:r w:rsidR="007E6D73">
        <w:t> </w:t>
      </w:r>
      <w:r w:rsidRPr="00275239">
        <w:t>% prijava.</w:t>
      </w:r>
    </w:p>
    <w:p w14:paraId="1582CBE7" w14:textId="59D676B2" w:rsidR="00575B50" w:rsidRDefault="00575B50" w:rsidP="00575B50">
      <w:r>
        <w:t xml:space="preserve">Prema tehničkom području, u 2022. </w:t>
      </w:r>
      <w:r w:rsidR="0039522F">
        <w:t xml:space="preserve">godini </w:t>
      </w:r>
      <w:r>
        <w:t>najveći udio prijava bio je u području kemije (35,0</w:t>
      </w:r>
      <w:r w:rsidR="007E6D73">
        <w:t> </w:t>
      </w:r>
      <w:r>
        <w:t>%), slijedi područje općeg strojarstva (33,1</w:t>
      </w:r>
      <w:r w:rsidR="007E6D73">
        <w:t> </w:t>
      </w:r>
      <w:r>
        <w:t>%), dok je najmanji broj prijava bio iz ostalih područja (6,8</w:t>
      </w:r>
      <w:r w:rsidR="007E6D73">
        <w:t> </w:t>
      </w:r>
      <w:r>
        <w:t xml:space="preserve">%). Prema Međunarodnoj klasifikaciji patenata, koja omogućuje identifikaciju tehnološke baze patenata i sektor u kojem je njihova primjena najvjerojatnija u 2022. </w:t>
      </w:r>
      <w:r w:rsidR="0072757B">
        <w:t xml:space="preserve">godini </w:t>
      </w:r>
      <w:r>
        <w:t>najveći je udio patentnih prijava bio u području B Proizvodni postupci, transport (27,8</w:t>
      </w:r>
      <w:r w:rsidR="007E6D73">
        <w:t> </w:t>
      </w:r>
      <w:r>
        <w:t>%).</w:t>
      </w:r>
    </w:p>
    <w:p w14:paraId="55D51EEE" w14:textId="7EDAD0D8" w:rsidR="00575B50" w:rsidRPr="00B47BDA" w:rsidRDefault="00575B50" w:rsidP="00575B50">
      <w:r>
        <w:t>U 2022. priznat je 51 patent u nacionalnom postupku. Od toga su 44 patenta domaćih prijavitelja, a sedam stranih prijavitelja. Od ukupnog broja priznatih domaćih patenata, 61,4</w:t>
      </w:r>
      <w:r w:rsidR="007E6D73">
        <w:t> </w:t>
      </w:r>
      <w:r>
        <w:t>% jesu patenti fizičkih osoba, a 38,6</w:t>
      </w:r>
      <w:r w:rsidR="007E6D73">
        <w:t> </w:t>
      </w:r>
      <w:r>
        <w:t>% patenti pravnih osoba. Kod stranih prijavitelja 71,4</w:t>
      </w:r>
      <w:r w:rsidR="007E6D73">
        <w:t> </w:t>
      </w:r>
      <w:r>
        <w:t>% priznati su patenti pravnih osoba, a 28,6</w:t>
      </w:r>
      <w:r w:rsidR="007E6D73">
        <w:t> </w:t>
      </w:r>
      <w:r>
        <w:t>% patenti fizičkih osoba</w:t>
      </w:r>
      <w:r w:rsidR="00D53BE5">
        <w:t>.</w:t>
      </w:r>
      <w:r w:rsidRPr="004D6888">
        <w:rPr>
          <w:rStyle w:val="FootnoteReference"/>
          <w:rFonts w:ascii="Calibri" w:hAnsi="Calibri" w:cs="Calibri"/>
          <w:sz w:val="24"/>
        </w:rPr>
        <w:footnoteReference w:id="40"/>
      </w:r>
    </w:p>
    <w:p w14:paraId="4CCB6525" w14:textId="12CD1D14" w:rsidR="00B740D5" w:rsidRPr="00B47BDA" w:rsidRDefault="00B740D5" w:rsidP="63259912">
      <w:bookmarkStart w:id="667" w:name="_Hlk20493437"/>
      <w:r w:rsidRPr="63259912">
        <w:t>Kako bi se pratile inovacije relevantne za niskougljičnu tranziciju, bit će potrebno utvrditi relevantna područja te o njima zasebno izvještavati</w:t>
      </w:r>
      <w:bookmarkEnd w:id="667"/>
      <w:r w:rsidRPr="63259912">
        <w:t>.</w:t>
      </w:r>
      <w:r w:rsidR="00F42381" w:rsidRPr="63259912">
        <w:t xml:space="preserve"> </w:t>
      </w:r>
      <w:r w:rsidRPr="63259912">
        <w:t>Od ukupnog broja prijava patenata domaćih prijavitelja u 2018.</w:t>
      </w:r>
      <w:r w:rsidR="003F6428" w:rsidRPr="63259912">
        <w:t xml:space="preserve"> godini</w:t>
      </w:r>
      <w:r w:rsidRPr="63259912">
        <w:t>, najveći udio prijava ima Kontinentalna Hrvatska 64,5</w:t>
      </w:r>
      <w:r w:rsidR="007E6D73" w:rsidRPr="63259912">
        <w:t> </w:t>
      </w:r>
      <w:r w:rsidRPr="63259912">
        <w:t>%, Jadranska Hrvatska 35,5</w:t>
      </w:r>
      <w:r w:rsidR="007E6D73" w:rsidRPr="63259912">
        <w:t> </w:t>
      </w:r>
      <w:r w:rsidRPr="63259912">
        <w:t>%.</w:t>
      </w:r>
      <w:r w:rsidR="00126652" w:rsidRPr="63259912">
        <w:t xml:space="preserve"> U 2022</w:t>
      </w:r>
      <w:r w:rsidR="00920364" w:rsidRPr="63259912">
        <w:t>. godini</w:t>
      </w:r>
      <w:r w:rsidR="00126652" w:rsidRPr="63259912">
        <w:t>, tri petine patentnih prijava i više od četiri petine priznatih patenata odnosi se na domaće prijavitelje iz Grada Zagreba i Jadranske Hrvatske: od ukupnog broja patentnih prijava domaćih prijavitelja u 2022. godini, 36,8</w:t>
      </w:r>
      <w:r w:rsidR="007E6D73" w:rsidRPr="63259912">
        <w:t> </w:t>
      </w:r>
      <w:r w:rsidR="00126652" w:rsidRPr="63259912">
        <w:t>% prijavili su prijavitelji iz Grada Zagreba, a 23,8</w:t>
      </w:r>
      <w:r w:rsidR="007E6D73" w:rsidRPr="63259912">
        <w:t> </w:t>
      </w:r>
      <w:r w:rsidR="00126652" w:rsidRPr="63259912">
        <w:t>% prijavitelji iz Jadranske Hrvatske. Među priznatim patentima, u 2022. godini 43,2</w:t>
      </w:r>
      <w:r w:rsidR="007E6D73" w:rsidRPr="63259912">
        <w:t> </w:t>
      </w:r>
      <w:r w:rsidR="00126652" w:rsidRPr="63259912">
        <w:t>% priznato je prijaviteljima iz Grada Zagreba, a 40,9</w:t>
      </w:r>
      <w:r w:rsidR="007E6D73" w:rsidRPr="63259912">
        <w:t> </w:t>
      </w:r>
      <w:r w:rsidR="00126652" w:rsidRPr="63259912">
        <w:t>% prijaviteljima iz Jadranske Hrvatske.</w:t>
      </w:r>
      <w:r w:rsidR="00126652" w:rsidRPr="63259912">
        <w:rPr>
          <w:rStyle w:val="FootnoteReference"/>
          <w:rFonts w:ascii="Calibri" w:hAnsi="Calibri" w:cs="Calibri"/>
          <w:sz w:val="24"/>
        </w:rPr>
        <w:footnoteReference w:id="41"/>
      </w:r>
    </w:p>
    <w:p w14:paraId="297B5DB3" w14:textId="3A692953" w:rsidR="00AA371B" w:rsidRDefault="00407806" w:rsidP="004623DD">
      <w:r w:rsidRPr="00B47BDA">
        <w:t xml:space="preserve">Statistika patenata donosi informaciju o uspješnosti istraživanja, razvoja i inovacijske aktivnosti u odabranim područjima tehnologije. Broj patenata jedna je od mjera sposobnosti </w:t>
      </w:r>
      <w:r w:rsidRPr="00B47BDA">
        <w:lastRenderedPageBreak/>
        <w:t>ot</w:t>
      </w:r>
      <w:r w:rsidR="00A37C92" w:rsidRPr="00B47BDA">
        <w:t>k</w:t>
      </w:r>
      <w:r w:rsidRPr="00B47BDA">
        <w:t>rivanja novih m</w:t>
      </w:r>
      <w:r w:rsidR="00A37C92" w:rsidRPr="00B47BDA">
        <w:t>o</w:t>
      </w:r>
      <w:r w:rsidRPr="00B47BDA">
        <w:t>gućnosti</w:t>
      </w:r>
      <w:r w:rsidR="00A37C92" w:rsidRPr="00B47BDA">
        <w:t xml:space="preserve"> i</w:t>
      </w:r>
      <w:r w:rsidRPr="00B47BDA">
        <w:t xml:space="preserve"> aktivnosti </w:t>
      </w:r>
      <w:r w:rsidR="00A37C92" w:rsidRPr="00B47BDA">
        <w:t>unutar države</w:t>
      </w:r>
      <w:r w:rsidRPr="00B47BDA">
        <w:t xml:space="preserve"> te pretvaranje znanja u potencijalne gospodarske koristi.</w:t>
      </w:r>
    </w:p>
    <w:p w14:paraId="6A43BC4F" w14:textId="4B158197" w:rsidR="00491CDD" w:rsidRPr="00B47BDA" w:rsidRDefault="00491CDD" w:rsidP="005C2C7E">
      <w:pPr>
        <w:pStyle w:val="Heading4"/>
        <w:numPr>
          <w:ilvl w:val="3"/>
          <w:numId w:val="175"/>
        </w:numPr>
        <w:ind w:hanging="580"/>
      </w:pPr>
      <w:r w:rsidRPr="00B47BDA">
        <w:t>Raščlamba tekućih cjenovnih elemenata koji čine tri cjenovne komponente (energija, mreža te porezi i pristojbe)</w:t>
      </w:r>
    </w:p>
    <w:p w14:paraId="3EBD042F" w14:textId="0A2D85B5" w:rsidR="00425286" w:rsidRPr="00B47BDA" w:rsidRDefault="00425286" w:rsidP="007327CD">
      <w:pPr>
        <w:pStyle w:val="Heading5"/>
      </w:pPr>
      <w:r w:rsidRPr="00B47BDA">
        <w:t>Električna energija</w:t>
      </w:r>
    </w:p>
    <w:p w14:paraId="0332E358" w14:textId="662DC9C5" w:rsidR="00810928" w:rsidRPr="00B47BDA" w:rsidRDefault="00810928" w:rsidP="00810928">
      <w:r w:rsidRPr="00B47BDA">
        <w:t>Strukturu cijene električne energije čine tržišni dio i regulirani dio (</w:t>
      </w:r>
      <w:r w:rsidRPr="00B47BDA">
        <w:fldChar w:fldCharType="begin"/>
      </w:r>
      <w:r w:rsidRPr="00B47BDA">
        <w:instrText xml:space="preserve"> REF _Ref11670171 \h  \* MERGEFORMAT </w:instrText>
      </w:r>
      <w:r w:rsidRPr="00B47BDA">
        <w:fldChar w:fldCharType="separate"/>
      </w:r>
      <w:r w:rsidR="00AD324D" w:rsidRPr="00B47BDA">
        <w:t xml:space="preserve">Slika </w:t>
      </w:r>
      <w:r w:rsidR="00AD324D">
        <w:t>4</w:t>
      </w:r>
      <w:r w:rsidR="00AD324D">
        <w:noBreakHyphen/>
        <w:t>25</w:t>
      </w:r>
      <w:r w:rsidRPr="00B47BDA">
        <w:fldChar w:fldCharType="end"/>
      </w:r>
      <w:r w:rsidRPr="00B47BDA">
        <w:t>). Regulirani dio propisuje se zakonskim aktima i jednak je za sve opskrbljivače. Odnosi se na naknade za korištenje prijenosne i distribucijske mreže, naknadu za obnovljive izvore energije i visokoučinkovitu kogeneraciju, naknadu za ugrožene kupce (plaćaju samo kupci iz kategorije kućanstva) te ostale trošarine. Tržišni dio cijene električne energije razlikuje se od opskrbljivača do opskrbljivača i definira se ugovorom o opskrbi električne energije.</w:t>
      </w:r>
    </w:p>
    <w:p w14:paraId="6D42DF61" w14:textId="319FCA32" w:rsidR="00810928" w:rsidRPr="00B47BDA" w:rsidRDefault="00810928" w:rsidP="00810928">
      <w:pPr>
        <w:jc w:val="center"/>
      </w:pPr>
      <w:r>
        <w:rPr>
          <w:noProof/>
          <w:lang w:eastAsia="hr-HR"/>
        </w:rPr>
        <w:drawing>
          <wp:anchor distT="0" distB="0" distL="114300" distR="114300" simplePos="0" relativeHeight="251658245" behindDoc="0" locked="0" layoutInCell="1" allowOverlap="1" wp14:anchorId="728F12A7" wp14:editId="75CB948A">
            <wp:simplePos x="0" y="0"/>
            <wp:positionH relativeFrom="column">
              <wp:align>center</wp:align>
            </wp:positionH>
            <wp:positionV relativeFrom="paragraph">
              <wp:posOffset>267335</wp:posOffset>
            </wp:positionV>
            <wp:extent cx="4384800" cy="3826800"/>
            <wp:effectExtent l="0" t="0" r="0" b="2540"/>
            <wp:wrapTopAndBottom/>
            <wp:docPr id="14" name="Picture 14" descr="A picture containing text, electronics, compact disk, data stora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electronics, compact disk, data storage devic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84800" cy="3826800"/>
                    </a:xfrm>
                    <a:prstGeom prst="rect">
                      <a:avLst/>
                    </a:prstGeom>
                    <a:noFill/>
                  </pic:spPr>
                </pic:pic>
              </a:graphicData>
            </a:graphic>
            <wp14:sizeRelH relativeFrom="page">
              <wp14:pctWidth>0</wp14:pctWidth>
            </wp14:sizeRelH>
            <wp14:sizeRelV relativeFrom="page">
              <wp14:pctHeight>0</wp14:pctHeight>
            </wp14:sizeRelV>
          </wp:anchor>
        </w:drawing>
      </w:r>
    </w:p>
    <w:p w14:paraId="39806E2C" w14:textId="67F40856" w:rsidR="00810928" w:rsidRPr="00B47BDA" w:rsidRDefault="00810928" w:rsidP="00810928">
      <w:pPr>
        <w:pStyle w:val="Caption"/>
      </w:pPr>
      <w:bookmarkStart w:id="668" w:name="_Ref11670171"/>
      <w:bookmarkStart w:id="669" w:name="_Toc8899843"/>
      <w:bookmarkStart w:id="670" w:name="_Toc185605274"/>
      <w:bookmarkStart w:id="671" w:name="_Toc193035920"/>
      <w:r w:rsidRPr="00B47BDA">
        <w:t xml:space="preserve">Slika </w:t>
      </w:r>
      <w:bookmarkStart w:id="672" w:name="slk_struktura_maloprodajne_cijene_elen"/>
      <w:r>
        <w:fldChar w:fldCharType="begin"/>
      </w:r>
      <w:r>
        <w:instrText xml:space="preserve"> STYLEREF 1 \s </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257B39">
        <w:rPr>
          <w:noProof/>
        </w:rPr>
        <w:t>25</w:t>
      </w:r>
      <w:r>
        <w:fldChar w:fldCharType="end"/>
      </w:r>
      <w:bookmarkEnd w:id="668"/>
      <w:r w:rsidRPr="00B47BDA">
        <w:t>.</w:t>
      </w:r>
      <w:bookmarkEnd w:id="672"/>
      <w:r w:rsidRPr="00B47BDA">
        <w:tab/>
        <w:t>Struktura maloprodajne cijene električne energije</w:t>
      </w:r>
      <w:bookmarkEnd w:id="669"/>
      <w:bookmarkEnd w:id="670"/>
      <w:bookmarkEnd w:id="671"/>
    </w:p>
    <w:p w14:paraId="0F0F510C" w14:textId="77777777" w:rsidR="00810928" w:rsidRPr="00651675" w:rsidRDefault="00810928" w:rsidP="00810928">
      <w:pPr>
        <w:pStyle w:val="Naslovslika"/>
        <w:rPr>
          <w:b w:val="0"/>
          <w:bCs/>
          <w:i/>
          <w:iCs/>
        </w:rPr>
      </w:pPr>
      <w:r w:rsidRPr="00651675">
        <w:rPr>
          <w:b w:val="0"/>
          <w:bCs/>
          <w:i/>
          <w:iCs/>
        </w:rPr>
        <w:t>Izvor: HEP Opskrba</w:t>
      </w:r>
    </w:p>
    <w:p w14:paraId="14AA6D0D" w14:textId="7D799331" w:rsidR="00810928" w:rsidRPr="00B47BDA" w:rsidRDefault="00810928" w:rsidP="00810928">
      <w:r w:rsidRPr="00B47BDA">
        <w:t>Svi krajnji kupci električne energije u Hrvatskoj imaju pravo odabrati svog opskrbljivača i s njim ugovoriti cijenu električne energije. Cijena električne energije u Republici Hrvatskoj varira ovisno o opskrbljivaču kojeg krajnji kupac odabere. Isporučena električna energija se obračunava prema tri tarife:</w:t>
      </w:r>
    </w:p>
    <w:p w14:paraId="692635D5" w14:textId="246F6648" w:rsidR="00810928" w:rsidRPr="00B47BDA" w:rsidRDefault="00810928" w:rsidP="004D6888">
      <w:pPr>
        <w:pStyle w:val="ListParagraph"/>
        <w:numPr>
          <w:ilvl w:val="0"/>
          <w:numId w:val="31"/>
        </w:numPr>
        <w:spacing w:after="60"/>
        <w:ind w:left="1071" w:hanging="357"/>
      </w:pPr>
      <w:r w:rsidRPr="00B47BDA">
        <w:lastRenderedPageBreak/>
        <w:t>viša dnevna tarifa (VT) koja se obračunava svakim danom od 7 h do 21 h u razdoblju zimskog računanja vremena te u vremenu od 8 h do 22 h u razdoblju ljetnog računanja vremena;</w:t>
      </w:r>
    </w:p>
    <w:p w14:paraId="79EC095D" w14:textId="77777777" w:rsidR="00810928" w:rsidRPr="00B47BDA" w:rsidRDefault="00810928" w:rsidP="004D6888">
      <w:pPr>
        <w:pStyle w:val="ListParagraph"/>
        <w:numPr>
          <w:ilvl w:val="0"/>
          <w:numId w:val="31"/>
        </w:numPr>
        <w:spacing w:after="60"/>
        <w:ind w:left="1071" w:hanging="357"/>
      </w:pPr>
      <w:r w:rsidRPr="00B47BDA">
        <w:t>niža dnevna tarifa (NT) koja se obračunava u preostalom vremenu;</w:t>
      </w:r>
    </w:p>
    <w:p w14:paraId="6F301E95" w14:textId="77777777" w:rsidR="00810928" w:rsidRPr="00B47BDA" w:rsidRDefault="00810928" w:rsidP="004D6888">
      <w:pPr>
        <w:pStyle w:val="ListParagraph"/>
        <w:numPr>
          <w:ilvl w:val="0"/>
          <w:numId w:val="31"/>
        </w:numPr>
        <w:spacing w:after="60"/>
        <w:ind w:left="1071" w:hanging="357"/>
      </w:pPr>
      <w:r w:rsidRPr="00B47BDA">
        <w:t>jedinstvena dnevna tarifna stavka (JT) traje svaki dan između 0 h i 24 h.</w:t>
      </w:r>
    </w:p>
    <w:p w14:paraId="24122641" w14:textId="2593AF50" w:rsidR="00810928" w:rsidRPr="00B47BDA" w:rsidRDefault="00810928" w:rsidP="00810928">
      <w:r w:rsidRPr="00B47BDA">
        <w:t xml:space="preserve">Slika </w:t>
      </w:r>
      <w:r w:rsidRPr="00B47BDA">
        <w:fldChar w:fldCharType="begin"/>
      </w:r>
      <w:r w:rsidRPr="00B47BDA">
        <w:instrText xml:space="preserve"> REF slk_struktura_cijene_elen \h  \* MERGEFORMAT </w:instrText>
      </w:r>
      <w:r w:rsidRPr="00B47BDA">
        <w:fldChar w:fldCharType="separate"/>
      </w:r>
      <w:r w:rsidR="00AD324D">
        <w:t>4</w:t>
      </w:r>
      <w:r w:rsidR="00AD324D">
        <w:noBreakHyphen/>
        <w:t>26</w:t>
      </w:r>
      <w:r w:rsidRPr="00B47BDA">
        <w:fldChar w:fldCharType="end"/>
      </w:r>
      <w:r w:rsidRPr="00B47BDA">
        <w:t xml:space="preserve">. prikazuje strukturu ukupne cijene električne energije za krajnje kupce u Republici Hrvatskoj prema EUROSTAT-ovim razredima potrošnje u </w:t>
      </w:r>
      <w:r w:rsidR="0015456F" w:rsidRPr="00B47BDA">
        <w:t>20</w:t>
      </w:r>
      <w:r w:rsidR="0015456F">
        <w:t>23</w:t>
      </w:r>
      <w:r w:rsidRPr="00B47BDA">
        <w:t>. godini, pri čemu je:</w:t>
      </w:r>
    </w:p>
    <w:p w14:paraId="61DCE7AD" w14:textId="77777777" w:rsidR="00810928" w:rsidRPr="00B47BDA" w:rsidRDefault="00810928" w:rsidP="004D6888">
      <w:pPr>
        <w:pStyle w:val="ListParagraph"/>
        <w:numPr>
          <w:ilvl w:val="0"/>
          <w:numId w:val="30"/>
        </w:numPr>
        <w:spacing w:after="60"/>
        <w:ind w:left="1071" w:hanging="357"/>
      </w:pPr>
      <w:r w:rsidRPr="00B47BDA">
        <w:rPr>
          <w:b/>
        </w:rPr>
        <w:t>I</w:t>
      </w:r>
      <w:r>
        <w:rPr>
          <w:b/>
        </w:rPr>
        <w:t>F</w:t>
      </w:r>
      <w:r w:rsidRPr="00B47BDA">
        <w:t xml:space="preserve"> – vrlo velika industrija s potrošnjom 100.000 MWh/god., vršnim opterećenjem 15 MW te omjerom potrošnje dan/noć </w:t>
      </w:r>
      <w:r>
        <w:t>52</w:t>
      </w:r>
      <w:r w:rsidRPr="00B47BDA">
        <w:t>/4</w:t>
      </w:r>
      <w:r>
        <w:t>8</w:t>
      </w:r>
      <w:r w:rsidRPr="00B47BDA">
        <w:t xml:space="preserve"> (tarifni sustav </w:t>
      </w:r>
      <w:r>
        <w:t>VN p</w:t>
      </w:r>
      <w:r w:rsidRPr="00B47BDA">
        <w:t xml:space="preserve">oduzetništvo – </w:t>
      </w:r>
      <w:r>
        <w:t>Bijeli</w:t>
      </w:r>
      <w:r w:rsidRPr="00B47BDA">
        <w:t>)</w:t>
      </w:r>
    </w:p>
    <w:p w14:paraId="72B0D2F4" w14:textId="77777777" w:rsidR="00810928" w:rsidRPr="00B47BDA" w:rsidRDefault="00810928" w:rsidP="004D6888">
      <w:pPr>
        <w:pStyle w:val="ListParagraph"/>
        <w:numPr>
          <w:ilvl w:val="0"/>
          <w:numId w:val="30"/>
        </w:numPr>
        <w:spacing w:after="60"/>
        <w:ind w:left="1071" w:hanging="357"/>
      </w:pPr>
      <w:r w:rsidRPr="00B47BDA">
        <w:rPr>
          <w:b/>
        </w:rPr>
        <w:t>I</w:t>
      </w:r>
      <w:r>
        <w:rPr>
          <w:b/>
        </w:rPr>
        <w:t>E</w:t>
      </w:r>
      <w:r w:rsidRPr="00B47BDA">
        <w:rPr>
          <w:b/>
        </w:rPr>
        <w:t xml:space="preserve"> </w:t>
      </w:r>
      <w:r w:rsidRPr="00B47BDA">
        <w:t>– velika industrija s potrošnjom 24.000 MWh/god., vršnim opterećenjem 4 MW te omjernom potrošnje dan/noć 6</w:t>
      </w:r>
      <w:r>
        <w:t>3</w:t>
      </w:r>
      <w:r w:rsidRPr="00B47BDA">
        <w:t>/</w:t>
      </w:r>
      <w:r>
        <w:t>37</w:t>
      </w:r>
      <w:r w:rsidRPr="00B47BDA">
        <w:t xml:space="preserve"> (tarifni sustav </w:t>
      </w:r>
      <w:r>
        <w:t>SN (35 kV) p</w:t>
      </w:r>
      <w:r w:rsidRPr="00B47BDA">
        <w:t xml:space="preserve">oduzetništvo – </w:t>
      </w:r>
      <w:r>
        <w:t>Bijeli</w:t>
      </w:r>
      <w:r w:rsidRPr="00B47BDA">
        <w:t>)</w:t>
      </w:r>
    </w:p>
    <w:p w14:paraId="0499C531" w14:textId="77777777" w:rsidR="00810928" w:rsidRPr="00B47BDA" w:rsidRDefault="00810928" w:rsidP="004D6888">
      <w:pPr>
        <w:pStyle w:val="ListParagraph"/>
        <w:numPr>
          <w:ilvl w:val="0"/>
          <w:numId w:val="30"/>
        </w:numPr>
        <w:spacing w:after="60"/>
        <w:ind w:left="1071" w:hanging="357"/>
      </w:pPr>
      <w:r>
        <w:rPr>
          <w:b/>
        </w:rPr>
        <w:t>ID</w:t>
      </w:r>
      <w:r w:rsidRPr="00B47BDA">
        <w:t xml:space="preserve"> – srednja industrija s potrošnjom 2.000 MWh/god., vršnim opterećenjem 0,50 MW te omjerom potrošnje dan/noć 6</w:t>
      </w:r>
      <w:r>
        <w:t>3</w:t>
      </w:r>
      <w:r w:rsidRPr="00B47BDA">
        <w:t>/3</w:t>
      </w:r>
      <w:r>
        <w:t>7</w:t>
      </w:r>
      <w:r w:rsidRPr="00B47BDA">
        <w:t xml:space="preserve"> (tarifni sustav </w:t>
      </w:r>
      <w:r>
        <w:t xml:space="preserve">SN (10 kV) poduzetništvo </w:t>
      </w:r>
      <w:r w:rsidRPr="00B47BDA">
        <w:t xml:space="preserve">– </w:t>
      </w:r>
      <w:r>
        <w:t>Bijeli</w:t>
      </w:r>
      <w:r w:rsidRPr="00B47BDA">
        <w:t>)</w:t>
      </w:r>
    </w:p>
    <w:p w14:paraId="1A2EA7AB" w14:textId="62C0A9E6" w:rsidR="00810928" w:rsidRPr="00B47BDA" w:rsidRDefault="00810928" w:rsidP="004D6888">
      <w:pPr>
        <w:pStyle w:val="ListParagraph"/>
        <w:numPr>
          <w:ilvl w:val="0"/>
          <w:numId w:val="30"/>
        </w:numPr>
        <w:spacing w:after="60"/>
        <w:ind w:left="1071" w:hanging="357"/>
      </w:pPr>
      <w:r w:rsidRPr="00B47BDA">
        <w:rPr>
          <w:b/>
        </w:rPr>
        <w:t>I</w:t>
      </w:r>
      <w:r>
        <w:rPr>
          <w:b/>
        </w:rPr>
        <w:t>B</w:t>
      </w:r>
      <w:r w:rsidRPr="00B47BDA">
        <w:rPr>
          <w:b/>
        </w:rPr>
        <w:t xml:space="preserve"> </w:t>
      </w:r>
      <w:r w:rsidRPr="00B47BDA">
        <w:t xml:space="preserve">– srednje poduzetništvo s potrošnjom 150 MWh/god., vršnim opterećenjem 0,05 MW te omjerom potrošnje dan/noć </w:t>
      </w:r>
      <w:r>
        <w:t>68</w:t>
      </w:r>
      <w:r w:rsidRPr="00B47BDA">
        <w:t>/3</w:t>
      </w:r>
      <w:r>
        <w:t xml:space="preserve">2 </w:t>
      </w:r>
      <w:r w:rsidRPr="00B47BDA">
        <w:t xml:space="preserve">(tarifni sustav </w:t>
      </w:r>
      <w:r>
        <w:t>NN p</w:t>
      </w:r>
      <w:r w:rsidRPr="00B47BDA">
        <w:t xml:space="preserve">oduzetništvo – </w:t>
      </w:r>
      <w:r>
        <w:t>C</w:t>
      </w:r>
      <w:r w:rsidRPr="00B47BDA">
        <w:t>rveni)</w:t>
      </w:r>
    </w:p>
    <w:p w14:paraId="0AE30DD0" w14:textId="1442C4B5" w:rsidR="00810928" w:rsidRPr="00B47BDA" w:rsidRDefault="00810928" w:rsidP="004D6888">
      <w:pPr>
        <w:pStyle w:val="ListParagraph"/>
        <w:numPr>
          <w:ilvl w:val="0"/>
          <w:numId w:val="30"/>
        </w:numPr>
        <w:spacing w:after="60"/>
        <w:ind w:left="1071" w:hanging="357"/>
      </w:pPr>
      <w:r w:rsidRPr="00B47BDA">
        <w:rPr>
          <w:b/>
        </w:rPr>
        <w:t>D</w:t>
      </w:r>
      <w:r>
        <w:rPr>
          <w:b/>
        </w:rPr>
        <w:t>C</w:t>
      </w:r>
      <w:r w:rsidRPr="00B47BDA">
        <w:t xml:space="preserve"> – Srednja kućanstva s potrošnjom 3,5 MWh/god. te omjerom potrošnje dan/noć </w:t>
      </w:r>
      <w:r>
        <w:t>66/34</w:t>
      </w:r>
      <w:r w:rsidRPr="00B47BDA">
        <w:t xml:space="preserve"> (tarifni sustav </w:t>
      </w:r>
      <w:r>
        <w:t>NN k</w:t>
      </w:r>
      <w:r w:rsidRPr="00B47BDA">
        <w:t>ućanstva</w:t>
      </w:r>
      <w:r>
        <w:t xml:space="preserve"> </w:t>
      </w:r>
      <w:r w:rsidRPr="00B47BDA">
        <w:t xml:space="preserve">– </w:t>
      </w:r>
      <w:r>
        <w:t>B</w:t>
      </w:r>
      <w:r w:rsidRPr="00B47BDA">
        <w:t>ijeli).</w:t>
      </w:r>
    </w:p>
    <w:p w14:paraId="355E0363" w14:textId="5B6CD821" w:rsidR="00A028A3" w:rsidRDefault="003B1766" w:rsidP="0003752A">
      <w:pPr>
        <w:pStyle w:val="Slike"/>
      </w:pPr>
      <w:r w:rsidRPr="003B1766">
        <w:rPr>
          <w:noProof/>
        </w:rPr>
        <w:drawing>
          <wp:inline distT="0" distB="0" distL="0" distR="0" wp14:anchorId="6BFE1EE4" wp14:editId="5EB62818">
            <wp:extent cx="5219130" cy="2136563"/>
            <wp:effectExtent l="0" t="0" r="635" b="0"/>
            <wp:docPr id="1498892754" name="Picture 1" descr="A graph with numbers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92754" name="Picture 1" descr="A graph with numbers and a number of numbers&#10;&#10;Description automatically generated with medium confidence"/>
                    <pic:cNvPicPr/>
                  </pic:nvPicPr>
                  <pic:blipFill>
                    <a:blip r:embed="rId77"/>
                    <a:stretch>
                      <a:fillRect/>
                    </a:stretch>
                  </pic:blipFill>
                  <pic:spPr>
                    <a:xfrm>
                      <a:off x="0" y="0"/>
                      <a:ext cx="5258420" cy="2152647"/>
                    </a:xfrm>
                    <a:prstGeom prst="rect">
                      <a:avLst/>
                    </a:prstGeom>
                  </pic:spPr>
                </pic:pic>
              </a:graphicData>
            </a:graphic>
          </wp:inline>
        </w:drawing>
      </w:r>
      <w:bookmarkStart w:id="673" w:name="_Toc8899844"/>
      <w:bookmarkStart w:id="674" w:name="_Toc185605275"/>
    </w:p>
    <w:p w14:paraId="1D9AEA25" w14:textId="29CA636F" w:rsidR="00810928" w:rsidRPr="00B47BDA" w:rsidRDefault="00810928" w:rsidP="00810928">
      <w:pPr>
        <w:pStyle w:val="Caption"/>
      </w:pPr>
      <w:bookmarkStart w:id="675" w:name="_Toc193035921"/>
      <w:r w:rsidRPr="002C6F6C">
        <w:t xml:space="preserve">Slika </w:t>
      </w:r>
      <w:bookmarkStart w:id="676" w:name="slk_struktura_cijene_elen"/>
      <w:r>
        <w:fldChar w:fldCharType="begin"/>
      </w:r>
      <w:r>
        <w:instrText xml:space="preserve"> STYLEREF 1 \s </w:instrText>
      </w:r>
      <w:r>
        <w:fldChar w:fldCharType="separate"/>
      </w:r>
      <w:r w:rsidR="00AD324D">
        <w:rPr>
          <w:noProof/>
        </w:rPr>
        <w:t>4</w:t>
      </w:r>
      <w:r>
        <w:fldChar w:fldCharType="end"/>
      </w:r>
      <w:r w:rsidR="00257B39">
        <w:t>–</w:t>
      </w:r>
      <w:r>
        <w:fldChar w:fldCharType="begin"/>
      </w:r>
      <w:r>
        <w:instrText>SEQ Slika \* ARABIC \s 1</w:instrText>
      </w:r>
      <w:r>
        <w:fldChar w:fldCharType="separate"/>
      </w:r>
      <w:r w:rsidR="00257B39">
        <w:rPr>
          <w:noProof/>
        </w:rPr>
        <w:t>26</w:t>
      </w:r>
      <w:r>
        <w:fldChar w:fldCharType="end"/>
      </w:r>
      <w:bookmarkEnd w:id="676"/>
      <w:r w:rsidRPr="002C6F6C">
        <w:t>.</w:t>
      </w:r>
      <w:r w:rsidRPr="002C6F6C">
        <w:tab/>
        <w:t>Struktura ukupne cijene električne energije za krajnje kupce u Republici Hrvatskoj prema</w:t>
      </w:r>
      <w:r w:rsidRPr="00B47BDA">
        <w:t xml:space="preserve"> EUROSTAT-ovim razredima potrošnje u </w:t>
      </w:r>
      <w:r w:rsidR="00F00BE8" w:rsidRPr="00B47BDA">
        <w:t>20</w:t>
      </w:r>
      <w:r w:rsidR="00F00BE8">
        <w:t>23</w:t>
      </w:r>
      <w:r w:rsidRPr="00B47BDA">
        <w:t>. godini</w:t>
      </w:r>
      <w:bookmarkEnd w:id="673"/>
      <w:bookmarkEnd w:id="674"/>
      <w:bookmarkEnd w:id="675"/>
    </w:p>
    <w:p w14:paraId="5B15470F" w14:textId="10F3556C" w:rsidR="00810928" w:rsidRPr="00651675" w:rsidRDefault="00810928" w:rsidP="00810928">
      <w:pPr>
        <w:jc w:val="center"/>
        <w:rPr>
          <w:i/>
          <w:iCs/>
          <w:sz w:val="20"/>
          <w:szCs w:val="20"/>
        </w:rPr>
      </w:pPr>
      <w:r w:rsidRPr="00651675">
        <w:rPr>
          <w:i/>
          <w:iCs/>
          <w:sz w:val="20"/>
          <w:szCs w:val="20"/>
        </w:rPr>
        <w:t>Izvor: HERA</w:t>
      </w:r>
      <w:r w:rsidR="00C803F1">
        <w:rPr>
          <w:i/>
          <w:iCs/>
          <w:sz w:val="20"/>
          <w:szCs w:val="20"/>
        </w:rPr>
        <w:t xml:space="preserve"> </w:t>
      </w:r>
      <w:r w:rsidR="00687470">
        <w:rPr>
          <w:i/>
          <w:iCs/>
          <w:sz w:val="20"/>
          <w:szCs w:val="20"/>
        </w:rPr>
        <w:t>-</w:t>
      </w:r>
      <w:r w:rsidR="00C803F1">
        <w:rPr>
          <w:i/>
          <w:iCs/>
          <w:sz w:val="20"/>
          <w:szCs w:val="20"/>
        </w:rPr>
        <w:t xml:space="preserve"> Godišnje izvješće 2023</w:t>
      </w:r>
      <w:r w:rsidR="00687470">
        <w:rPr>
          <w:i/>
          <w:iCs/>
          <w:sz w:val="20"/>
          <w:szCs w:val="20"/>
        </w:rPr>
        <w:t>.</w:t>
      </w:r>
    </w:p>
    <w:p w14:paraId="5A53FE70" w14:textId="1C90FF58" w:rsidR="00B3453E" w:rsidRPr="00B47BDA" w:rsidRDefault="00810928" w:rsidP="004623DD">
      <w:r w:rsidRPr="00B47BDA">
        <w:t>Na temelju Zakona o izmjenama i dopunama Zakona o porezu na dodanu vrijednost (</w:t>
      </w:r>
      <w:r w:rsidR="007211CD">
        <w:t>„</w:t>
      </w:r>
      <w:r w:rsidR="00071A4F" w:rsidRPr="00071A4F">
        <w:t xml:space="preserve">Narodne </w:t>
      </w:r>
      <w:r w:rsidR="00A97AE7">
        <w:t>novine</w:t>
      </w:r>
      <w:r w:rsidR="007211CD">
        <w:t>“</w:t>
      </w:r>
      <w:r w:rsidR="00071A4F" w:rsidRPr="00071A4F">
        <w:t>, br</w:t>
      </w:r>
      <w:r w:rsidR="00227549">
        <w:t>.</w:t>
      </w:r>
      <w:r w:rsidRPr="00B47BDA">
        <w:t xml:space="preserve"> 115</w:t>
      </w:r>
      <w:r w:rsidR="005B41DA">
        <w:t>/16</w:t>
      </w:r>
      <w:r w:rsidR="007211CD">
        <w:t>.</w:t>
      </w:r>
      <w:r w:rsidRPr="00B47BDA">
        <w:t>), od 1.1.2017. godine primjenjuje se nova, snižena, stopa poreza na dodanu vrijednost (PDV) za isporuku električne energije, uključujući naknade vezane uz tu isporuku. Dosadašnja stopa PDV-a od 25%, koja je vrijedila do 31.12.2016. godine, promijenila se u stopu od 13%, koja vrijedi od 1.1.2017.</w:t>
      </w:r>
    </w:p>
    <w:p w14:paraId="110870A6" w14:textId="68C3BEF7" w:rsidR="000F71CB" w:rsidRPr="00B47BDA" w:rsidRDefault="00651675" w:rsidP="007327CD">
      <w:pPr>
        <w:pStyle w:val="Heading5"/>
      </w:pPr>
      <w:r>
        <w:lastRenderedPageBreak/>
        <w:t>Prirodni p</w:t>
      </w:r>
      <w:r w:rsidR="00067D34" w:rsidRPr="00B47BDA">
        <w:t>lin</w:t>
      </w:r>
    </w:p>
    <w:p w14:paraId="4B4904C9" w14:textId="77777777" w:rsidR="00067D34" w:rsidRPr="00B47BDA" w:rsidRDefault="00067D34" w:rsidP="004623DD">
      <w:r w:rsidRPr="00B47BDA">
        <w:t xml:space="preserve">Osnovni elementi cijene plina su cijena dobave i cijena transporta plina, cijena skladištenja plina, cijena opskrbe plinom i cijena distribucije plina. Transport, distribucija i javna usluga opskrbe plinom i zajamčena opskrba, kao i skladištenje plina regulirani su odgovarajućim Metodologijama utvrđivanja iznosa tarifnih stavki te Odlukama o iznosu pojedinih tarifnih stavki koje donosi HERA. </w:t>
      </w:r>
    </w:p>
    <w:p w14:paraId="4B496750" w14:textId="77777777" w:rsidR="00067D34" w:rsidRPr="00B47BDA" w:rsidRDefault="00067D34" w:rsidP="004623DD">
      <w:r w:rsidRPr="00B47BDA">
        <w:t>Metodologijom utvrđivanja cijene nestandardnih usluga za transport plina, distribuciju plina, skladištenje plina, prihvat i otpremu UPP-a i javnu uslugu opskrbe plinom regulira se struktura cjenika nestandardnih usluga reguliranih djelatnosti.</w:t>
      </w:r>
    </w:p>
    <w:p w14:paraId="5A0D4F2A" w14:textId="77777777" w:rsidR="00067D34" w:rsidRPr="00B47BDA" w:rsidRDefault="00067D34" w:rsidP="004623DD">
      <w:r w:rsidRPr="00B47BDA">
        <w:t>Sukladno Metodologiji utvrđivanja cijene energije uravnoteženja plinskog sustava, operator tržišta plina dnevno utvrđuje cijenu pozitivne i negativne energije uravnoteženja plinskog sustava.</w:t>
      </w:r>
    </w:p>
    <w:p w14:paraId="0B3186C8" w14:textId="0B97DE8D" w:rsidR="0062017F" w:rsidRPr="00B47BDA" w:rsidRDefault="0062017F" w:rsidP="007327CD">
      <w:pPr>
        <w:pStyle w:val="Heading5"/>
      </w:pPr>
      <w:r w:rsidRPr="00B47BDA">
        <w:t>Cijena nabave na veleprodajnom tržištu za javnu uslugu i zajamčenu opskrbu plinom</w:t>
      </w:r>
    </w:p>
    <w:p w14:paraId="2607C158" w14:textId="77777777" w:rsidR="00CD7F14" w:rsidRPr="00B47BDA" w:rsidRDefault="00CD7F14" w:rsidP="004623DD">
      <w:r w:rsidRPr="00B47BDA">
        <w:t>Cijena nabave plina definira se prema Metodologiji utvrđivanja iznosa tarifnih stavki za javnu uslugu opskrbe plinom i zajamčenu opskrbu.</w:t>
      </w:r>
    </w:p>
    <w:p w14:paraId="4106DE5B" w14:textId="77777777" w:rsidR="0062017F" w:rsidRPr="00B47BDA" w:rsidRDefault="0062017F" w:rsidP="007327CD">
      <w:pPr>
        <w:pStyle w:val="Heading5"/>
      </w:pPr>
      <w:r w:rsidRPr="00B47BDA">
        <w:t>Cijena prihvata i otpreme ukapljenog prirodnog plina</w:t>
      </w:r>
    </w:p>
    <w:p w14:paraId="14CEC13C" w14:textId="77777777" w:rsidR="00926C65" w:rsidRPr="00B47BDA" w:rsidRDefault="00926C65" w:rsidP="004623DD">
      <w:r w:rsidRPr="00B47BDA">
        <w:t>Tarifne stavke za prihvat i otpremu UPP-a određuju se Metodologijom utvrđivanja iznosa tarifnih stavki za prihvat i otpremu UPP-a, koju je donijela HERA. Za izračun tarifnih stavki za prihvat i otpremu UPP-a koristit će se model regulatornog računa za regulacijsko razdoblje od 5 godina.</w:t>
      </w:r>
    </w:p>
    <w:p w14:paraId="2421C77F" w14:textId="77777777" w:rsidR="0062017F" w:rsidRPr="00B47BDA" w:rsidRDefault="0062017F" w:rsidP="007327CD">
      <w:pPr>
        <w:pStyle w:val="Heading5"/>
      </w:pPr>
      <w:r w:rsidRPr="00B47BDA">
        <w:t>Cijena transporta plina</w:t>
      </w:r>
    </w:p>
    <w:p w14:paraId="608914AC" w14:textId="5F89A010" w:rsidR="001C5F77" w:rsidRPr="00B47BDA" w:rsidRDefault="001C5F77" w:rsidP="004623DD">
      <w:r w:rsidRPr="63259912">
        <w:t>Cijena transporta plina utvrđuje se na temelju Metodologije utvrđivanja iznosa tarifnih stavki za transport plina i Odluke o iznosu tarifnih stavki za transport plina. Cijena transporta plina izražava se kroz naknadu za korištenje transportnog sustava. Iznos naknade utvrđuje se i plaća prema ukupnom ugovorenom kapacitetu transportnog sustava svakog pojedinog korisnika za pojedini mjesec, uključujući i transakcije na sekundarnom tržištu te prekoračenjima koja se izračunavaju za pojedini priključak za pojedini plinski dan za pojedinog korisnika temeljem izmjerenih količina transportiranog plina. Kapacitet je moguće ugovoriti na razini godine, tromjesečja, mjeseca, dana i, samo na interkonekcijama, sata.</w:t>
      </w:r>
    </w:p>
    <w:p w14:paraId="509C934B" w14:textId="77777777" w:rsidR="0062017F" w:rsidRPr="00B47BDA" w:rsidRDefault="0062017F" w:rsidP="007327CD">
      <w:pPr>
        <w:pStyle w:val="Heading5"/>
      </w:pPr>
      <w:r w:rsidRPr="00B47BDA">
        <w:t>Cijena skladištenja plina</w:t>
      </w:r>
    </w:p>
    <w:p w14:paraId="4D174B58" w14:textId="77777777" w:rsidR="0062017F" w:rsidRPr="00B47BDA" w:rsidRDefault="0062017F" w:rsidP="004623DD">
      <w:r w:rsidRPr="00B47BDA">
        <w:t xml:space="preserve">Radni volumen </w:t>
      </w:r>
      <w:r w:rsidR="007D734C" w:rsidRPr="00B47BDA">
        <w:t>jednog</w:t>
      </w:r>
      <w:r w:rsidRPr="00B47BDA">
        <w:t xml:space="preserve"> standardnog paketa skladišnog kapaciteta (SBU) utvrđen je u iznosu od 50 GWh, a uslugu standardnog paketa skladišnog kapaciteta korisnici zakupljuju na godišnjoj/višegodišnjoj razini.</w:t>
      </w:r>
    </w:p>
    <w:p w14:paraId="11B24A9C" w14:textId="0408FBFE" w:rsidR="0062017F" w:rsidRPr="00B47BDA" w:rsidRDefault="0062017F" w:rsidP="004623DD">
      <w:r w:rsidRPr="00B47BDA">
        <w:t xml:space="preserve">Naknade za skladištenje plina definirane su Odlukom o iznosu tarifnih stavki za skladištenje plina </w:t>
      </w:r>
      <w:r w:rsidR="00EB08F1">
        <w:t xml:space="preserve">(„Narodne novine“, br. </w:t>
      </w:r>
      <w:r w:rsidRPr="00B47BDA">
        <w:t>122</w:t>
      </w:r>
      <w:r w:rsidR="005B41DA">
        <w:t>/16</w:t>
      </w:r>
      <w:r w:rsidR="007211CD">
        <w:t>.</w:t>
      </w:r>
      <w:r w:rsidRPr="00B47BDA">
        <w:t xml:space="preserve">) koju je donijela HERA </w:t>
      </w:r>
      <w:r w:rsidR="002208B2" w:rsidRPr="00B47BDA">
        <w:t xml:space="preserve">na temelju </w:t>
      </w:r>
      <w:r w:rsidRPr="00B47BDA">
        <w:t xml:space="preserve">Metodologije utvrđivanja iznosa tarifnih stavki za skladištenje plina. </w:t>
      </w:r>
    </w:p>
    <w:p w14:paraId="16D08D98" w14:textId="77777777" w:rsidR="0062017F" w:rsidRPr="00B47BDA" w:rsidRDefault="0062017F" w:rsidP="007327CD">
      <w:pPr>
        <w:pStyle w:val="Heading5"/>
      </w:pPr>
      <w:r w:rsidRPr="00B47BDA">
        <w:t>Cijena opskrbe plinom za javnu uslugu opskrbe plinom i zajamčenu opskrbu</w:t>
      </w:r>
    </w:p>
    <w:p w14:paraId="4C45591D" w14:textId="77777777" w:rsidR="0062017F" w:rsidRPr="00B47BDA" w:rsidRDefault="0062017F" w:rsidP="004623DD">
      <w:r w:rsidRPr="00B47BDA">
        <w:t>Tarifne stavke za opskrbu plinom određuju se Metodologijom utvrđivanja iznosa tarifnih stavki za javnu uslugu opskrbe plinom i zajamčenu opskrbu.</w:t>
      </w:r>
    </w:p>
    <w:p w14:paraId="1B78789E" w14:textId="77777777" w:rsidR="0062017F" w:rsidRPr="00B47BDA" w:rsidRDefault="0062017F" w:rsidP="004623DD">
      <w:r w:rsidRPr="00B47BDA">
        <w:lastRenderedPageBreak/>
        <w:t>Krajnja cijena opskrbe plinom sastoji se od tarifne stavke za isporučenu količinu plina (Ts1) i fiksne mjesečne naknade (Ts2). Iznosi tarifnih stavki za javnu uslugu opskrbe plinom za opskrbljivače u obvezi javne usluge određeni su Odlukom o iznosu tarifnih stavki za javnu uslugu opskrbe plinom.</w:t>
      </w:r>
    </w:p>
    <w:p w14:paraId="0B64F9C9" w14:textId="77777777" w:rsidR="0062017F" w:rsidRPr="00B47BDA" w:rsidRDefault="0062017F" w:rsidP="007327CD">
      <w:pPr>
        <w:pStyle w:val="Heading5"/>
      </w:pPr>
      <w:r w:rsidRPr="00B47BDA">
        <w:t>Cijena distribucije plina</w:t>
      </w:r>
    </w:p>
    <w:p w14:paraId="39B02F6C" w14:textId="77777777" w:rsidR="003308C6" w:rsidRPr="00B47BDA" w:rsidRDefault="003308C6" w:rsidP="004623DD">
      <w:r w:rsidRPr="00B47BDA">
        <w:t xml:space="preserve">Tarifne stavke za distribuciju plina za regulacijsko razdoblje od 1. listopada 2022. do 31. prosinca 2026. godine definirane su Odlukom o iznosu tarifnih stavki za distribuciju plina u kojoj su iskazani iznosi tarifnih stavki za distribuciju plina za energetske subjekte. Krajnja cijena distribucije plina sastoji se od tarifne stavke za distribuiranu količinu plina (Ts1) i fiksne mjesečne naknade (Ts2). Tarifne stavke Ts1 definirane su za svakog pojedinog distributera u 12 tarifnih modela (TM) ovisno o godišnjoj potrošnji, dok su tarifne stavke Ts2 propisane u istom iznosu za sve distributere. </w:t>
      </w:r>
    </w:p>
    <w:p w14:paraId="1C0D4CC2" w14:textId="77777777" w:rsidR="0062017F" w:rsidRPr="00B47BDA" w:rsidRDefault="0062017F" w:rsidP="007327CD">
      <w:pPr>
        <w:pStyle w:val="Heading5"/>
      </w:pPr>
      <w:r w:rsidRPr="00B47BDA">
        <w:t>Prodajne cijene plina</w:t>
      </w:r>
    </w:p>
    <w:p w14:paraId="0DE79981" w14:textId="063BF0FD" w:rsidR="00631240" w:rsidRPr="00631240" w:rsidRDefault="00631240" w:rsidP="00631240">
      <w:r w:rsidRPr="00631240">
        <w:t xml:space="preserve">Prosječna prodajna cijena plina na veleprodajnom tržištu u Republici Hrvatskoj, bez PDV-a, u 2022. godini iznosila je 0,1007 </w:t>
      </w:r>
      <w:r w:rsidR="00F215FE">
        <w:t>EUR</w:t>
      </w:r>
      <w:r w:rsidRPr="00631240">
        <w:t>/kWh, što je za 199,4</w:t>
      </w:r>
      <w:r w:rsidR="007E35A1">
        <w:t> </w:t>
      </w:r>
      <w:r w:rsidRPr="00631240">
        <w:t xml:space="preserve">% više u odnosu na 2021. godinu, kada je iznosila 0,0336 </w:t>
      </w:r>
      <w:r w:rsidR="00F215FE">
        <w:t>EUR</w:t>
      </w:r>
      <w:r w:rsidRPr="00631240">
        <w:t xml:space="preserve">/kWh (svedeno na gornju ogrjevnu vrijednost). </w:t>
      </w:r>
    </w:p>
    <w:p w14:paraId="45C43840" w14:textId="409BC679" w:rsidR="00631240" w:rsidRPr="00631240" w:rsidRDefault="00631240" w:rsidP="00631240">
      <w:r w:rsidRPr="00631240">
        <w:t>Snažno povećanje cijene plina na veleprodajnom tržištu nastupilo je u trećem tromjesečju 2022. godine, pri čemu se cijena plina u odnosu na drugo tromjesečje 2022. povećala za 82,3</w:t>
      </w:r>
      <w:r w:rsidR="007E35A1">
        <w:t> </w:t>
      </w:r>
      <w:r w:rsidRPr="00631240">
        <w:t xml:space="preserve">%. Istovremeno, veleprodajna cijena plina u trećem tromjesečju 2022. godine iznosila je 0,1546 </w:t>
      </w:r>
      <w:r w:rsidR="00F215FE">
        <w:t>EUR</w:t>
      </w:r>
      <w:r w:rsidRPr="00631240">
        <w:t>/kWh (bez PDV-a), što je za 331,6</w:t>
      </w:r>
      <w:r w:rsidR="00F215FE">
        <w:t> </w:t>
      </w:r>
      <w:r w:rsidRPr="00631240">
        <w:t>% više u odnosu na isto razdoblje godinu dana ranije.</w:t>
      </w:r>
    </w:p>
    <w:p w14:paraId="01D71EAE" w14:textId="6F9C2C42" w:rsidR="000648C9" w:rsidRPr="00B47BDA" w:rsidRDefault="00631240" w:rsidP="00631240">
      <w:r w:rsidRPr="00631240">
        <w:t xml:space="preserve">Prosječna maloprodajna cijena plina u Republici Hrvatskoj za krajnje kupce kategorije poduzetništvo u 2022. godini iznosila je 0,0860 </w:t>
      </w:r>
      <w:r w:rsidR="00F215FE">
        <w:t>EUR</w:t>
      </w:r>
      <w:r w:rsidRPr="00631240">
        <w:t>/kWh (bez PDV-a), što u odnosu na 2021. godinu predstavlja povećanje za 144,7</w:t>
      </w:r>
      <w:r w:rsidR="00F215FE">
        <w:t> </w:t>
      </w:r>
      <w:r w:rsidRPr="00631240">
        <w:t xml:space="preserve">%, dok je prosječna prodajna cijena plina za krajnje kupce kategorije kućanstvo iznosila je 0,0428 </w:t>
      </w:r>
      <w:r w:rsidR="00F215FE">
        <w:t>EUR</w:t>
      </w:r>
      <w:r w:rsidRPr="00631240">
        <w:t>/kWh (bez PDV-a), što u odnosu na 2021. godinu predstavlja povećanje za 36,6</w:t>
      </w:r>
      <w:r w:rsidR="00F215FE">
        <w:t> </w:t>
      </w:r>
      <w:r w:rsidRPr="00631240">
        <w:t>%.</w:t>
      </w:r>
    </w:p>
    <w:p w14:paraId="49D1E7DA" w14:textId="41B2CA32" w:rsidR="00691040" w:rsidRPr="00B47BDA" w:rsidRDefault="00691040" w:rsidP="005C2C7E">
      <w:pPr>
        <w:pStyle w:val="Heading4"/>
        <w:numPr>
          <w:ilvl w:val="3"/>
          <w:numId w:val="175"/>
        </w:numPr>
        <w:ind w:hanging="580"/>
      </w:pPr>
      <w:r w:rsidRPr="00B47BDA">
        <w:t>Opis energetskih subvencija</w:t>
      </w:r>
      <w:r w:rsidR="002706C2" w:rsidRPr="00B47BDA">
        <w:t xml:space="preserve">, </w:t>
      </w:r>
      <w:r w:rsidRPr="00B47BDA">
        <w:t>uključujući one za fosilna goriva</w:t>
      </w:r>
    </w:p>
    <w:p w14:paraId="4DE230E2" w14:textId="5618E575" w:rsidR="00AB0374" w:rsidRPr="00B47BDA" w:rsidRDefault="00FA5A26" w:rsidP="004623DD">
      <w:r w:rsidRPr="00B47BDA">
        <w:t xml:space="preserve">U </w:t>
      </w:r>
      <w:r w:rsidR="007A4534" w:rsidRPr="00B47BDA">
        <w:t>Republi</w:t>
      </w:r>
      <w:r w:rsidRPr="00B47BDA">
        <w:t>ci</w:t>
      </w:r>
      <w:r w:rsidR="007A4534" w:rsidRPr="00B47BDA">
        <w:t xml:space="preserve"> Hrvatsk</w:t>
      </w:r>
      <w:r w:rsidRPr="00B47BDA">
        <w:t>oj</w:t>
      </w:r>
      <w:r w:rsidR="007A4534" w:rsidRPr="00B47BDA">
        <w:t xml:space="preserve"> sustav poticanja korištenja obnovljivih izvora energije za proizvodnju električne energije </w:t>
      </w:r>
      <w:r w:rsidRPr="00B47BDA">
        <w:t xml:space="preserve">uveden je </w:t>
      </w:r>
      <w:r w:rsidR="006F1C8E" w:rsidRPr="00B47BDA">
        <w:t>2007. godine</w:t>
      </w:r>
      <w:r w:rsidR="007B62E4" w:rsidRPr="00B47BDA">
        <w:t xml:space="preserve">. </w:t>
      </w:r>
      <w:r w:rsidR="001E5AF7" w:rsidRPr="00B47BDA">
        <w:t xml:space="preserve">Proizvođači električne energije iz obnovljivih izvora energije dobivali su poticajnu otkupnu cijenu </w:t>
      </w:r>
      <w:r w:rsidR="00A62F66" w:rsidRPr="00B47BDA">
        <w:t>za proizvedeni kilovat-sat električne energije, ovisno o korištenom obnovljivom izvoru i tehnologiji</w:t>
      </w:r>
      <w:r w:rsidR="007A2503" w:rsidRPr="00B47BDA">
        <w:t xml:space="preserve">, u skladu s Tarifnim sustavom za </w:t>
      </w:r>
      <w:r w:rsidR="001C0DB8" w:rsidRPr="00B47BDA">
        <w:t>proizvodnju električne energije i</w:t>
      </w:r>
      <w:r w:rsidR="000D2F88" w:rsidRPr="00B47BDA">
        <w:t>z obnovljivih izvora energije i kogeneracije (</w:t>
      </w:r>
      <w:r w:rsidR="007211CD">
        <w:t>„</w:t>
      </w:r>
      <w:r w:rsidR="00071A4F" w:rsidRPr="00071A4F">
        <w:t xml:space="preserve">Narodne </w:t>
      </w:r>
      <w:r w:rsidR="00A97AE7">
        <w:t>novine</w:t>
      </w:r>
      <w:r w:rsidR="007211CD">
        <w:t>“</w:t>
      </w:r>
      <w:r w:rsidR="00071A4F" w:rsidRPr="00071A4F">
        <w:t>, br</w:t>
      </w:r>
      <w:r w:rsidR="003C5A15">
        <w:t>.</w:t>
      </w:r>
      <w:r w:rsidR="000D2F88" w:rsidRPr="00B47BDA">
        <w:t xml:space="preserve"> 33/07</w:t>
      </w:r>
      <w:r w:rsidR="007211CD">
        <w:t>.</w:t>
      </w:r>
      <w:r w:rsidR="000D2F88" w:rsidRPr="00B47BDA">
        <w:t xml:space="preserve">, </w:t>
      </w:r>
      <w:r w:rsidR="003354B0" w:rsidRPr="00B47BDA">
        <w:t>63</w:t>
      </w:r>
      <w:r w:rsidR="005B41DA">
        <w:t>/12</w:t>
      </w:r>
      <w:r w:rsidR="007211CD">
        <w:t>.</w:t>
      </w:r>
      <w:r w:rsidR="003354B0" w:rsidRPr="00B47BDA">
        <w:t>, 121</w:t>
      </w:r>
      <w:r w:rsidR="005B41DA">
        <w:t>/12</w:t>
      </w:r>
      <w:r w:rsidR="007211CD">
        <w:t>.</w:t>
      </w:r>
      <w:r w:rsidR="003354B0" w:rsidRPr="00B47BDA">
        <w:t>, 144</w:t>
      </w:r>
      <w:r w:rsidR="005B41DA">
        <w:t>/12</w:t>
      </w:r>
      <w:r w:rsidR="007211CD">
        <w:t>.</w:t>
      </w:r>
      <w:r w:rsidR="002D1DDF" w:rsidRPr="00B47BDA">
        <w:t>, 133</w:t>
      </w:r>
      <w:r w:rsidR="005B41DA">
        <w:t>/13</w:t>
      </w:r>
      <w:r w:rsidR="007211CD">
        <w:t>.</w:t>
      </w:r>
      <w:r w:rsidR="002D1DDF" w:rsidRPr="00B47BDA">
        <w:t>, 151</w:t>
      </w:r>
      <w:r w:rsidR="005B41DA">
        <w:t>/13</w:t>
      </w:r>
      <w:r w:rsidR="007211CD">
        <w:t>.</w:t>
      </w:r>
      <w:r w:rsidR="002D1DDF" w:rsidRPr="00B47BDA">
        <w:t>, 20</w:t>
      </w:r>
      <w:r w:rsidR="005B41DA">
        <w:t>/14</w:t>
      </w:r>
      <w:r w:rsidR="007211CD">
        <w:t>.</w:t>
      </w:r>
      <w:r w:rsidR="002D1DDF" w:rsidRPr="00B47BDA">
        <w:t>, 107</w:t>
      </w:r>
      <w:r w:rsidR="005B41DA">
        <w:t>/14</w:t>
      </w:r>
      <w:r w:rsidR="007211CD">
        <w:t>. i</w:t>
      </w:r>
      <w:r w:rsidR="002D1DDF" w:rsidRPr="00B47BDA">
        <w:t xml:space="preserve"> </w:t>
      </w:r>
      <w:r w:rsidR="00FA2610" w:rsidRPr="00B47BDA">
        <w:t>100</w:t>
      </w:r>
      <w:r w:rsidR="005B41DA">
        <w:t>/15</w:t>
      </w:r>
      <w:r w:rsidR="007211CD">
        <w:t>.</w:t>
      </w:r>
      <w:r w:rsidR="00FA2610" w:rsidRPr="00B47BDA">
        <w:t>), pri čemu je subvencija jednaka razlici između poticajne otkupne cijene i tržišne cijene električne energije.</w:t>
      </w:r>
      <w:r w:rsidR="001C0DB8" w:rsidRPr="00B47BDA" w:rsidDel="000D2F88">
        <w:t xml:space="preserve"> </w:t>
      </w:r>
      <w:r w:rsidR="006A32E2" w:rsidRPr="00B47BDA">
        <w:t>Postrojenja za koja je sklopljen ugovor o isplati poticajne otkupne cijene, nastavit će dobivati ugovorenu cijenu za vrijeme trajanja ugovora (</w:t>
      </w:r>
      <w:r w:rsidR="003C69E3" w:rsidRPr="00B47BDA">
        <w:t>1</w:t>
      </w:r>
      <w:r w:rsidR="00FC0DCB" w:rsidRPr="00B47BDA">
        <w:t>2</w:t>
      </w:r>
      <w:r w:rsidR="003C69E3" w:rsidRPr="00B47BDA">
        <w:t xml:space="preserve"> godina za </w:t>
      </w:r>
      <w:r w:rsidR="006A32E2" w:rsidRPr="00B47BDA">
        <w:t>ugovor</w:t>
      </w:r>
      <w:r w:rsidR="003C69E3" w:rsidRPr="00B47BDA">
        <w:t>e</w:t>
      </w:r>
      <w:r w:rsidR="006A32E2" w:rsidRPr="00B47BDA">
        <w:t xml:space="preserve"> sklopljen</w:t>
      </w:r>
      <w:r w:rsidR="003C69E3" w:rsidRPr="00B47BDA">
        <w:t>e</w:t>
      </w:r>
      <w:r w:rsidR="006A32E2" w:rsidRPr="00B47BDA">
        <w:t xml:space="preserve"> do 20</w:t>
      </w:r>
      <w:r w:rsidR="00FC0DCB" w:rsidRPr="00B47BDA">
        <w:t>13.</w:t>
      </w:r>
      <w:r w:rsidR="003C69E3" w:rsidRPr="00B47BDA">
        <w:t xml:space="preserve"> odnosno 1</w:t>
      </w:r>
      <w:r w:rsidR="00765D9F" w:rsidRPr="00B47BDA">
        <w:t>4</w:t>
      </w:r>
      <w:r w:rsidR="003C69E3" w:rsidRPr="00B47BDA">
        <w:t xml:space="preserve"> godina za ugovore sklopljene nakon </w:t>
      </w:r>
      <w:r w:rsidR="00765D9F" w:rsidRPr="00B47BDA">
        <w:t>2013. godine</w:t>
      </w:r>
      <w:r w:rsidR="003C69E3" w:rsidRPr="00B47BDA">
        <w:t>).</w:t>
      </w:r>
    </w:p>
    <w:p w14:paraId="0BC7D298" w14:textId="1A1B0DD2" w:rsidR="005F7045" w:rsidRPr="00B47BDA" w:rsidRDefault="00AB0374" w:rsidP="004623DD">
      <w:r w:rsidRPr="00B47BDA">
        <w:t>Od 201</w:t>
      </w:r>
      <w:r w:rsidR="00BD4B1D" w:rsidRPr="00B47BDA">
        <w:t>6</w:t>
      </w:r>
      <w:r w:rsidRPr="00B47BDA">
        <w:t>. godine na snagu je stupio Zakon o obnovljivim izvorima energije i visokoučinkovitoj kogeneraciji koji je kao sustav poticanja predvidio tzv. premijski sustav.</w:t>
      </w:r>
      <w:r w:rsidR="006626D9" w:rsidRPr="00B47BDA">
        <w:t xml:space="preserve"> </w:t>
      </w:r>
    </w:p>
    <w:p w14:paraId="4F12C3E3" w14:textId="67584796" w:rsidR="006B23DA" w:rsidRPr="00B47BDA" w:rsidRDefault="00FC0DCB" w:rsidP="004623DD">
      <w:r w:rsidRPr="00B47BDA">
        <w:t xml:space="preserve">Drugi vid energetskih subvencija u Republici Hrvatskoj su izuzeća od trošarina, kako ih propisuje Zakon o </w:t>
      </w:r>
      <w:r w:rsidR="00A877F8" w:rsidRPr="00B47BDA">
        <w:t>trošarinama</w:t>
      </w:r>
      <w:r w:rsidRPr="00B47BDA">
        <w:t xml:space="preserve">. </w:t>
      </w:r>
      <w:r w:rsidR="00E7721A" w:rsidRPr="00B47BDA">
        <w:t xml:space="preserve">Izuzeća od trošarina predviđena su za </w:t>
      </w:r>
      <w:r w:rsidR="00A877F8" w:rsidRPr="00B47BDA">
        <w:t xml:space="preserve">bezolovni motorni </w:t>
      </w:r>
      <w:r w:rsidR="00A877F8" w:rsidRPr="00B47BDA">
        <w:lastRenderedPageBreak/>
        <w:t>benzin i plavi dizel za namjene u poljoprivredi, ribolovu, akvakulturi i plovidbi.</w:t>
      </w:r>
      <w:r w:rsidR="00D040F5" w:rsidRPr="00B47BDA">
        <w:t xml:space="preserve"> </w:t>
      </w:r>
      <w:r w:rsidR="00A877F8" w:rsidRPr="00B47BDA">
        <w:t xml:space="preserve">Korisnici prava ostvaruju to pravo prema posebnim propisima </w:t>
      </w:r>
      <w:r w:rsidR="0045755A" w:rsidRPr="00B47BDA">
        <w:t xml:space="preserve">na temelju </w:t>
      </w:r>
      <w:r w:rsidR="00A877F8" w:rsidRPr="00B47BDA">
        <w:t>odobrenja i kartice goriva izdane od strane nadležnog tijela za poslove poljoprivrede i ribarstva, odnosno nadležnog tijela za poslove poljoprivrede i ribarstva odnosno nadležnog tijela za poslove mora. Svakom korisniku prava dodjeljuje se pripadajuća odobrena godišnja količina plavog dizela za namjensku potrošnju – kvota.</w:t>
      </w:r>
      <w:r w:rsidR="00C2398C" w:rsidRPr="00B47BDA">
        <w:t xml:space="preserve"> </w:t>
      </w:r>
    </w:p>
    <w:p w14:paraId="0886E278" w14:textId="6AC16A20" w:rsidR="0012571D" w:rsidRPr="00B47BDA" w:rsidRDefault="00C2398C" w:rsidP="004623DD">
      <w:r w:rsidRPr="00B47BDA">
        <w:t xml:space="preserve">Uz to, </w:t>
      </w:r>
      <w:r w:rsidR="006B23DA" w:rsidRPr="00B47BDA">
        <w:t>isti zakon predviđa upotrebu energenata i električne energije za namjene na koje se ne plaća trošarina</w:t>
      </w:r>
      <w:r w:rsidR="0012571D" w:rsidRPr="00B47BDA">
        <w:t>,</w:t>
      </w:r>
      <w:r w:rsidR="006B23DA" w:rsidRPr="00B47BDA">
        <w:t xml:space="preserve"> kao što su</w:t>
      </w:r>
      <w:r w:rsidR="00DF7AEF" w:rsidRPr="00B47BDA">
        <w:t>:</w:t>
      </w:r>
    </w:p>
    <w:p w14:paraId="73F88CB2" w14:textId="19112B4A" w:rsidR="0012571D" w:rsidRPr="00B47BDA" w:rsidRDefault="006B23DA" w:rsidP="00D40933">
      <w:pPr>
        <w:pStyle w:val="ListParagraph"/>
        <w:numPr>
          <w:ilvl w:val="0"/>
          <w:numId w:val="32"/>
        </w:numPr>
        <w:spacing w:after="60"/>
        <w:ind w:left="714" w:hanging="357"/>
      </w:pPr>
      <w:r w:rsidRPr="00B47BDA">
        <w:t>energenti koji se koriste kao pogonsko gorivo u zračnom prometu</w:t>
      </w:r>
      <w:r w:rsidR="0012571D" w:rsidRPr="00B47BDA">
        <w:t xml:space="preserve"> (</w:t>
      </w:r>
      <w:r w:rsidRPr="00B47BDA">
        <w:t>osim uporabe za privatne letove</w:t>
      </w:r>
      <w:r w:rsidR="0012571D" w:rsidRPr="00B47BDA">
        <w:t>)</w:t>
      </w:r>
      <w:r w:rsidRPr="00B47BDA">
        <w:t>,</w:t>
      </w:r>
    </w:p>
    <w:p w14:paraId="13A29BA4" w14:textId="6B3F7CBB" w:rsidR="0012571D" w:rsidRPr="00B47BDA" w:rsidRDefault="006B23DA" w:rsidP="00D40933">
      <w:pPr>
        <w:pStyle w:val="ListParagraph"/>
        <w:numPr>
          <w:ilvl w:val="0"/>
          <w:numId w:val="32"/>
        </w:numPr>
        <w:spacing w:after="60"/>
        <w:ind w:left="714" w:hanging="357"/>
      </w:pPr>
      <w:r w:rsidRPr="00B47BDA">
        <w:t>energenti koji se koriste kao pogonsko gorivo za plovidbu, uključujući ribolov i električnu energiju proizvedenu na plovilu</w:t>
      </w:r>
      <w:r w:rsidR="0012571D" w:rsidRPr="00B47BDA">
        <w:t xml:space="preserve"> (</w:t>
      </w:r>
      <w:r w:rsidRPr="00B47BDA">
        <w:t>osim uporabe plovnih objekata i plovila za privatne svrhe</w:t>
      </w:r>
      <w:r w:rsidR="0012571D" w:rsidRPr="00B47BDA">
        <w:t>)</w:t>
      </w:r>
      <w:r w:rsidRPr="00B47BDA">
        <w:t>,</w:t>
      </w:r>
    </w:p>
    <w:p w14:paraId="118A9242" w14:textId="22A14FBF" w:rsidR="0012571D" w:rsidRPr="00B47BDA" w:rsidRDefault="006B23DA" w:rsidP="00D40933">
      <w:pPr>
        <w:pStyle w:val="ListParagraph"/>
        <w:numPr>
          <w:ilvl w:val="0"/>
          <w:numId w:val="32"/>
        </w:numPr>
        <w:spacing w:after="60"/>
        <w:ind w:left="714" w:hanging="357"/>
      </w:pPr>
      <w:r w:rsidRPr="00B47BDA">
        <w:t>energenti koje proizvođač energenata i električne energije koristi u svojim proizvodnim prostorijama za daljnju preradu odnosno proizvodnju drugih energenata i električne energije</w:t>
      </w:r>
      <w:r w:rsidR="0012571D" w:rsidRPr="00B47BDA">
        <w:t xml:space="preserve"> (</w:t>
      </w:r>
      <w:r w:rsidRPr="00B47BDA">
        <w:t>osim ako se koriste kao pogonsko gorivo za vozila</w:t>
      </w:r>
      <w:r w:rsidR="0012571D" w:rsidRPr="00B47BDA">
        <w:t>)</w:t>
      </w:r>
      <w:r w:rsidRPr="00B47BDA">
        <w:t xml:space="preserve">, </w:t>
      </w:r>
    </w:p>
    <w:p w14:paraId="4CC702A9" w14:textId="77777777" w:rsidR="0012571D" w:rsidRPr="00B47BDA" w:rsidRDefault="006B23DA" w:rsidP="00D40933">
      <w:pPr>
        <w:pStyle w:val="ListParagraph"/>
        <w:numPr>
          <w:ilvl w:val="0"/>
          <w:numId w:val="32"/>
        </w:numPr>
        <w:spacing w:after="60"/>
        <w:ind w:left="714" w:hanging="357"/>
      </w:pPr>
      <w:r w:rsidRPr="00B47BDA">
        <w:t xml:space="preserve">energenti koji se koriste za zajedničku proizvodnju toplinske i električne energije u jedinstvenom procesu (kogeneracija), </w:t>
      </w:r>
    </w:p>
    <w:p w14:paraId="5908B868" w14:textId="77777777" w:rsidR="00DF7AEF" w:rsidRPr="00B47BDA" w:rsidRDefault="006B23DA" w:rsidP="00D40933">
      <w:pPr>
        <w:pStyle w:val="ListParagraph"/>
        <w:numPr>
          <w:ilvl w:val="0"/>
          <w:numId w:val="32"/>
        </w:numPr>
        <w:spacing w:after="60"/>
        <w:ind w:left="714" w:hanging="357"/>
      </w:pPr>
      <w:r w:rsidRPr="00B47BDA">
        <w:t xml:space="preserve">energenti koji se koriste u mineraloškim procesima, </w:t>
      </w:r>
    </w:p>
    <w:p w14:paraId="2D63A706" w14:textId="77777777" w:rsidR="00DF7AEF" w:rsidRPr="00B47BDA" w:rsidRDefault="006B23DA" w:rsidP="00D40933">
      <w:pPr>
        <w:pStyle w:val="ListParagraph"/>
        <w:numPr>
          <w:ilvl w:val="0"/>
          <w:numId w:val="32"/>
        </w:numPr>
        <w:spacing w:after="60"/>
        <w:ind w:left="714" w:hanging="357"/>
      </w:pPr>
      <w:r w:rsidRPr="00B47BDA">
        <w:t xml:space="preserve">u slučajevima dvojnog korištenja energenata − ako se koriste kao gorivo za grijanje i istodobno za namjenu koja nije pogon ili grijanje (uporaba energenata za kemijsku redukciju, u elektrolitskim i metalurškim procesima), </w:t>
      </w:r>
    </w:p>
    <w:p w14:paraId="42632B38" w14:textId="77777777" w:rsidR="00DF7AEF" w:rsidRPr="00B47BDA" w:rsidRDefault="006B23DA" w:rsidP="00D40933">
      <w:pPr>
        <w:pStyle w:val="ListParagraph"/>
        <w:numPr>
          <w:ilvl w:val="0"/>
          <w:numId w:val="32"/>
        </w:numPr>
        <w:spacing w:after="60"/>
        <w:ind w:left="714" w:hanging="357"/>
      </w:pPr>
      <w:r w:rsidRPr="00B47BDA">
        <w:t>energenti koji se koriste za druge namjene, a ne kao pogonsko gorivo ili gorivo za grijanje te</w:t>
      </w:r>
    </w:p>
    <w:p w14:paraId="74291D5D" w14:textId="2F55CBEE" w:rsidR="00914FD7" w:rsidRPr="00B47BDA" w:rsidRDefault="006B23DA" w:rsidP="00D40933">
      <w:pPr>
        <w:pStyle w:val="ListParagraph"/>
        <w:numPr>
          <w:ilvl w:val="0"/>
          <w:numId w:val="32"/>
        </w:numPr>
        <w:spacing w:after="60"/>
        <w:ind w:left="714" w:hanging="357"/>
      </w:pPr>
      <w:r w:rsidRPr="00B47BDA">
        <w:t>prirodni plin koji se koristi u kućanstvima i prirodni plin koji se koristi za pogon vozila te u drugim specifičnim slučajevima opisanima u zakonu</w:t>
      </w:r>
      <w:r w:rsidR="00DF7AEF" w:rsidRPr="00B47BDA">
        <w:t>.</w:t>
      </w:r>
    </w:p>
    <w:p w14:paraId="23CCD975" w14:textId="3FCF1F86" w:rsidR="00A877F8" w:rsidRPr="00B47BDA" w:rsidRDefault="00977A68" w:rsidP="004623DD">
      <w:r w:rsidRPr="00B47BDA">
        <w:t xml:space="preserve">Isti </w:t>
      </w:r>
      <w:r w:rsidR="00A269E4" w:rsidRPr="00B47BDA">
        <w:t>zakon predviđa mogućnost povrata trošarine za dizelsko gorivo koje se koristi u komercijalnom prijevozu robe i putnika kupljeno bezgotovinskim oblikom plaćanja u Republici Hrvatskoj</w:t>
      </w:r>
      <w:r w:rsidR="00C2398C" w:rsidRPr="00B47BDA">
        <w:t xml:space="preserve">, za osobe </w:t>
      </w:r>
      <w:r w:rsidR="00A877F8" w:rsidRPr="00B47BDA">
        <w:t>registrirane za komercijalni prijevoz robe i putnika sa sjedištem na području Europske unije</w:t>
      </w:r>
      <w:r w:rsidR="00C2398C" w:rsidRPr="00B47BDA">
        <w:t xml:space="preserve">. </w:t>
      </w:r>
      <w:r w:rsidR="00A877F8" w:rsidRPr="00B47BDA">
        <w:t xml:space="preserve">Povrat trošarine se određuje u visini razlike trošarine važeće na dan kupnje dizelskog goriva u Republici Hrvatskoj i minimalno propisane visine trošarine na dizelsko gorivo koja iznosi 330 </w:t>
      </w:r>
      <w:r w:rsidR="00DF624A">
        <w:t>EUR</w:t>
      </w:r>
      <w:r w:rsidR="00A877F8" w:rsidRPr="00B47BDA">
        <w:t>, a koji iznos se preračunava u nacionalnu valutu. Korisnici prava na povrat su dužni upisati se u registar korisnika prava na povrat trošarine za dizelsko gorivo u komercijalnom prijevozu robe i putnika. Svrha ove vrste povrata je smanjenje troškova domaćih prijevoznika i povećanje njihove konkurentnosti na europskom tržištu.</w:t>
      </w:r>
    </w:p>
    <w:p w14:paraId="00D04A0A" w14:textId="047BD659" w:rsidR="008C0265" w:rsidRDefault="008C0265" w:rsidP="004623DD">
      <w:r w:rsidRPr="63259912">
        <w:t>Može se zaključiti kako je većina subvencija za energiju usmjerena na povećanje energetske učinkovitosti i korištenje obnovljivih izvora energije</w:t>
      </w:r>
      <w:r w:rsidR="00591A9A" w:rsidRPr="63259912">
        <w:t>, što će se nastaviti i u budućnosti, uz uvažavanje o</w:t>
      </w:r>
      <w:r w:rsidR="00F4307D" w:rsidRPr="63259912">
        <w:t xml:space="preserve">graničenja vezanih za državne potpore. Manji dio energetskih subvencija vezan je za </w:t>
      </w:r>
      <w:r w:rsidR="00C30DDD" w:rsidRPr="63259912">
        <w:t>izuzeća od trošarina u prometu i poljoprivredi</w:t>
      </w:r>
      <w:r w:rsidR="00364459" w:rsidRPr="63259912">
        <w:t xml:space="preserve">. Kako bi se utvrdila dinamika </w:t>
      </w:r>
      <w:r w:rsidR="00CC219B" w:rsidRPr="63259912">
        <w:t>ukidanja subvencija prvenstveno na fosilna goriva</w:t>
      </w:r>
      <w:r w:rsidR="00DE36B3" w:rsidRPr="63259912">
        <w:t>, nužno je provesti analizu trenutačnog sustava subvencija</w:t>
      </w:r>
      <w:r w:rsidR="00612AF0" w:rsidRPr="63259912">
        <w:t xml:space="preserve">, </w:t>
      </w:r>
      <w:r w:rsidR="00CC30B6" w:rsidRPr="63259912">
        <w:t xml:space="preserve">utvrditi popratne socijalne programe koji će smanjiti utjecaj na najsiromašnije </w:t>
      </w:r>
      <w:r w:rsidR="00D62718" w:rsidRPr="63259912">
        <w:t>građane</w:t>
      </w:r>
      <w:r w:rsidR="00DE36B3" w:rsidRPr="63259912">
        <w:t xml:space="preserve"> te definirati plan njihovog ukidanja. </w:t>
      </w:r>
      <w:r w:rsidR="006168E7" w:rsidRPr="63259912">
        <w:t xml:space="preserve">Analiza trenutnog sustava mjera </w:t>
      </w:r>
      <w:r w:rsidR="00A85B42" w:rsidRPr="63259912">
        <w:t>morala</w:t>
      </w:r>
      <w:r w:rsidR="006168E7" w:rsidRPr="63259912">
        <w:t xml:space="preserve"> bi biti provedena do kraja drugog kvartala 2026. godine. </w:t>
      </w:r>
      <w:r w:rsidR="001949BF" w:rsidRPr="63259912">
        <w:t>Uz prethodno navedeno</w:t>
      </w:r>
      <w:r w:rsidR="00A85B42" w:rsidRPr="63259912">
        <w:t>,</w:t>
      </w:r>
      <w:r w:rsidR="001949BF" w:rsidRPr="63259912">
        <w:t xml:space="preserve"> analiza bi </w:t>
      </w:r>
      <w:r w:rsidR="00544F5C" w:rsidRPr="63259912">
        <w:lastRenderedPageBreak/>
        <w:t>obuhvaćala</w:t>
      </w:r>
      <w:r w:rsidR="001949BF" w:rsidRPr="63259912">
        <w:t xml:space="preserve"> </w:t>
      </w:r>
      <w:r w:rsidR="004155BD" w:rsidRPr="63259912">
        <w:t>gospodarski učinak ukidanja subvencija za fosilna goriva</w:t>
      </w:r>
      <w:r w:rsidR="00851535" w:rsidRPr="63259912">
        <w:t>, indikatore uspješnosti provedbe te bi</w:t>
      </w:r>
      <w:r w:rsidR="004155BD" w:rsidRPr="63259912">
        <w:t xml:space="preserve"> obuhvaćala detaljan plan </w:t>
      </w:r>
      <w:r w:rsidR="00851535" w:rsidRPr="63259912">
        <w:t xml:space="preserve">ukidanja subvencija. </w:t>
      </w:r>
      <w:r w:rsidR="003E65AC" w:rsidRPr="63259912">
        <w:t xml:space="preserve">Nadležna tijela </w:t>
      </w:r>
      <w:r w:rsidR="004725BE" w:rsidRPr="63259912">
        <w:t>zadužena za provedbu navedene mjere su Ministar</w:t>
      </w:r>
      <w:r w:rsidR="00CB48DF" w:rsidRPr="63259912">
        <w:t xml:space="preserve">stvo </w:t>
      </w:r>
      <w:r w:rsidR="007F0E0E" w:rsidRPr="63259912">
        <w:t>gospodarstva</w:t>
      </w:r>
      <w:r w:rsidR="00CB48DF" w:rsidRPr="63259912">
        <w:t xml:space="preserve"> te Ministar</w:t>
      </w:r>
      <w:r w:rsidR="0084628F" w:rsidRPr="63259912">
        <w:t>stvo</w:t>
      </w:r>
      <w:r w:rsidR="00CB48DF" w:rsidRPr="63259912">
        <w:t xml:space="preserve"> </w:t>
      </w:r>
      <w:r w:rsidR="0084628F" w:rsidRPr="63259912">
        <w:t>f</w:t>
      </w:r>
      <w:r w:rsidR="00CB48DF" w:rsidRPr="63259912">
        <w:t xml:space="preserve">inancija. </w:t>
      </w:r>
      <w:r w:rsidR="00EB078A" w:rsidRPr="63259912">
        <w:t xml:space="preserve">Također je važno za naglasiti kako </w:t>
      </w:r>
      <w:r w:rsidR="009233F3" w:rsidRPr="63259912">
        <w:t xml:space="preserve">su subvencije za fosilna goriva </w:t>
      </w:r>
      <w:r w:rsidR="00D31AB1" w:rsidRPr="63259912">
        <w:t>i socio-političko pitanje</w:t>
      </w:r>
      <w:r w:rsidR="005C4F2E" w:rsidRPr="63259912">
        <w:t xml:space="preserve">, prilikom donošenja odluke o ukidanju subvencija za fosilna goriva, </w:t>
      </w:r>
      <w:r w:rsidR="00C36F10" w:rsidRPr="63259912">
        <w:t xml:space="preserve">ista treba biti </w:t>
      </w:r>
      <w:r w:rsidR="00BF1BEB" w:rsidRPr="63259912">
        <w:t>temeljena i na socijalnom programu k</w:t>
      </w:r>
      <w:r w:rsidR="00BE126D" w:rsidRPr="63259912">
        <w:t xml:space="preserve">ako bi se </w:t>
      </w:r>
      <w:r w:rsidR="00087020" w:rsidRPr="63259912">
        <w:t xml:space="preserve">umanjio i </w:t>
      </w:r>
      <w:r w:rsidR="00BE126D" w:rsidRPr="63259912">
        <w:t>izbjegao</w:t>
      </w:r>
      <w:r w:rsidR="00087020" w:rsidRPr="63259912">
        <w:t xml:space="preserve"> </w:t>
      </w:r>
      <w:r w:rsidR="00240BA3" w:rsidRPr="63259912">
        <w:t xml:space="preserve">negativan </w:t>
      </w:r>
      <w:r w:rsidR="00087020" w:rsidRPr="63259912">
        <w:t xml:space="preserve">utjecaj na </w:t>
      </w:r>
      <w:r w:rsidR="00240BA3" w:rsidRPr="63259912">
        <w:t xml:space="preserve">najranjivije skupine korisnika </w:t>
      </w:r>
      <w:r w:rsidR="00962FD9" w:rsidRPr="63259912">
        <w:t xml:space="preserve">kao što su </w:t>
      </w:r>
      <w:r w:rsidR="00240BA3" w:rsidRPr="63259912">
        <w:t>kućanstva, mikro</w:t>
      </w:r>
      <w:r w:rsidR="00E216E8" w:rsidRPr="63259912">
        <w:t xml:space="preserve"> i mala </w:t>
      </w:r>
      <w:r w:rsidR="00240BA3" w:rsidRPr="63259912">
        <w:t>poduzeća te korisnike prijevoza.</w:t>
      </w:r>
    </w:p>
    <w:p w14:paraId="66E22E17" w14:textId="77777777" w:rsidR="00240BA3" w:rsidRPr="00B47BDA" w:rsidRDefault="00240BA3" w:rsidP="004623DD"/>
    <w:p w14:paraId="5F966DF0" w14:textId="305BE0E8" w:rsidR="00C21988" w:rsidRPr="00B47BDA" w:rsidRDefault="00C21988" w:rsidP="001B6A5D">
      <w:pPr>
        <w:pStyle w:val="Heading1"/>
        <w:numPr>
          <w:ilvl w:val="0"/>
          <w:numId w:val="175"/>
        </w:numPr>
      </w:pPr>
      <w:bookmarkStart w:id="677" w:name="_Toc531935270"/>
      <w:bookmarkStart w:id="678" w:name="_Toc531945132"/>
      <w:bookmarkStart w:id="679" w:name="_Toc6302390"/>
      <w:bookmarkStart w:id="680" w:name="_Toc187418369"/>
      <w:bookmarkStart w:id="681" w:name="_Toc193043294"/>
      <w:r w:rsidRPr="00B47BDA">
        <w:lastRenderedPageBreak/>
        <w:t>OCJENA UČINAKA PLANIRANIH POLITIKA I MJERA</w:t>
      </w:r>
      <w:bookmarkEnd w:id="677"/>
      <w:bookmarkEnd w:id="678"/>
      <w:bookmarkEnd w:id="679"/>
      <w:bookmarkEnd w:id="680"/>
      <w:bookmarkEnd w:id="681"/>
      <w:r w:rsidRPr="00B47BDA">
        <w:t xml:space="preserve"> </w:t>
      </w:r>
    </w:p>
    <w:p w14:paraId="29048A79" w14:textId="68225282" w:rsidR="00C21988" w:rsidRPr="00B47BDA" w:rsidRDefault="00C21988" w:rsidP="005C2C7E">
      <w:pPr>
        <w:pStyle w:val="Heading2"/>
        <w:numPr>
          <w:ilvl w:val="1"/>
          <w:numId w:val="175"/>
        </w:numPr>
      </w:pPr>
      <w:bookmarkStart w:id="682" w:name="_Toc531935271"/>
      <w:bookmarkStart w:id="683" w:name="_Toc531945133"/>
      <w:bookmarkStart w:id="684" w:name="_Toc6302391"/>
      <w:bookmarkStart w:id="685" w:name="_Toc187418370"/>
      <w:bookmarkStart w:id="686" w:name="_Toc193043295"/>
      <w:r w:rsidRPr="00B47BDA">
        <w:t xml:space="preserve">Učinci planiranih politika i mjera opisanih u </w:t>
      </w:r>
      <w:r w:rsidR="00C750A9">
        <w:t>točki</w:t>
      </w:r>
      <w:r w:rsidR="00C750A9" w:rsidRPr="00B47BDA">
        <w:t xml:space="preserve"> </w:t>
      </w:r>
      <w:r w:rsidRPr="00B47BDA">
        <w:t>3. o energetskom sustavu i emisijama stakleničkih plinova i uklanjanju stakleničkih plinova, uključujući usporedbu s projekcijama na temelju postojećih politika i mjera (kako su opisane u</w:t>
      </w:r>
      <w:r w:rsidR="00944C51">
        <w:t xml:space="preserve"> </w:t>
      </w:r>
      <w:r w:rsidR="00C750A9">
        <w:t>točki</w:t>
      </w:r>
      <w:r w:rsidR="00C750A9" w:rsidRPr="00B47BDA">
        <w:t xml:space="preserve"> </w:t>
      </w:r>
      <w:r w:rsidRPr="00B47BDA">
        <w:t>4.).</w:t>
      </w:r>
      <w:bookmarkEnd w:id="682"/>
      <w:bookmarkEnd w:id="683"/>
      <w:bookmarkEnd w:id="684"/>
      <w:bookmarkEnd w:id="685"/>
      <w:bookmarkEnd w:id="686"/>
    </w:p>
    <w:p w14:paraId="0309A931" w14:textId="29021DDE" w:rsidR="00DA1BFF" w:rsidRPr="00B47BDA" w:rsidRDefault="00EF4F07" w:rsidP="005C2C7E">
      <w:pPr>
        <w:pStyle w:val="Heading4"/>
        <w:numPr>
          <w:ilvl w:val="3"/>
          <w:numId w:val="175"/>
        </w:numPr>
        <w:ind w:hanging="580"/>
      </w:pPr>
      <w:r w:rsidRPr="00B47BDA">
        <w:t>Projekcije trendova u pogledu energetskog sustava te emisija stakleničkih plinova i njihova uklanjanja kao i, ako je relevantno, emisija onečišćivača zraka u skladu s Direktivom (EU) 2016/2284 u okviru planiranih politika i mjera, uključujući relevantne politike i mjere Unije, barem do deset godina nakon razdoblja obuhvaćenog planom (uključujući projekcije za posljednju godinu razdoblja obuhvaćenog planom)</w:t>
      </w:r>
    </w:p>
    <w:p w14:paraId="476CA39F" w14:textId="1290B3ED" w:rsidR="00C54895" w:rsidRPr="00B47BDA" w:rsidRDefault="00C54895" w:rsidP="004623DD">
      <w:r w:rsidRPr="00B47BDA">
        <w:t>Projekcije najvažnijih energetsko</w:t>
      </w:r>
      <w:r w:rsidR="007B4B7C" w:rsidRPr="00B47BDA">
        <w:t>-</w:t>
      </w:r>
      <w:r w:rsidRPr="00B47BDA">
        <w:t>klimatskih pokazatelja uz uvažavanje očekivanih sektorskih promjena do 2030. godine, prikazani su u nastavku:</w:t>
      </w:r>
    </w:p>
    <w:p w14:paraId="4EEA3811" w14:textId="25F15B65" w:rsidR="00C54895" w:rsidRPr="00B47BDA" w:rsidRDefault="00C54895" w:rsidP="004D6888">
      <w:pPr>
        <w:pStyle w:val="ListParagraph"/>
        <w:numPr>
          <w:ilvl w:val="1"/>
          <w:numId w:val="39"/>
        </w:numPr>
        <w:spacing w:after="60"/>
        <w:ind w:left="1077" w:hanging="357"/>
      </w:pPr>
      <w:r w:rsidRPr="001D6BB6">
        <w:t xml:space="preserve">Očekivano </w:t>
      </w:r>
      <w:r w:rsidR="00184C47" w:rsidRPr="001D6BB6">
        <w:t xml:space="preserve">ukupno </w:t>
      </w:r>
      <w:r w:rsidRPr="001D6BB6">
        <w:t xml:space="preserve">smanjenje emisije stakleničkih plinova je </w:t>
      </w:r>
      <w:r w:rsidR="00EA2656" w:rsidRPr="001D6BB6">
        <w:t xml:space="preserve">od </w:t>
      </w:r>
      <w:r w:rsidR="004B7040" w:rsidRPr="001D6BB6">
        <w:t>2</w:t>
      </w:r>
      <w:r w:rsidR="00463637">
        <w:t>5,8</w:t>
      </w:r>
      <w:r w:rsidR="00AD384E">
        <w:t> </w:t>
      </w:r>
      <w:r w:rsidR="004B7040" w:rsidRPr="001D6BB6">
        <w:t>% (WEM)</w:t>
      </w:r>
      <w:r w:rsidRPr="001D6BB6">
        <w:t xml:space="preserve"> do </w:t>
      </w:r>
      <w:r w:rsidR="001D6BB6" w:rsidRPr="003B0A8D">
        <w:t>40,</w:t>
      </w:r>
      <w:r w:rsidR="002F797E">
        <w:t>3</w:t>
      </w:r>
      <w:r w:rsidR="00ED7EAA" w:rsidRPr="001D6BB6">
        <w:t> </w:t>
      </w:r>
      <w:r w:rsidRPr="001D6BB6">
        <w:t>%</w:t>
      </w:r>
      <w:r w:rsidR="00EA2656" w:rsidRPr="001D6BB6">
        <w:t xml:space="preserve"> (WAM)</w:t>
      </w:r>
      <w:r w:rsidRPr="001D6BB6">
        <w:t xml:space="preserve"> do</w:t>
      </w:r>
      <w:r w:rsidRPr="00991E8E">
        <w:t xml:space="preserve"> 2030. godine, u odnosu na razinu emisije iz 1990. godine</w:t>
      </w:r>
      <w:r w:rsidRPr="00B47BDA">
        <w:t xml:space="preserve"> </w:t>
      </w:r>
    </w:p>
    <w:p w14:paraId="36FA79F1" w14:textId="38AD87B6" w:rsidR="00360355" w:rsidRPr="00B47BDA" w:rsidRDefault="00360355" w:rsidP="004D6888">
      <w:pPr>
        <w:pStyle w:val="ListParagraph"/>
        <w:numPr>
          <w:ilvl w:val="1"/>
          <w:numId w:val="39"/>
        </w:numPr>
        <w:spacing w:after="60"/>
        <w:ind w:left="1077" w:hanging="357"/>
      </w:pPr>
      <w:r w:rsidRPr="00B47BDA">
        <w:t xml:space="preserve">Očekuje se neposredna potrošnje energije od </w:t>
      </w:r>
      <w:r w:rsidR="0099768D" w:rsidRPr="00B47BDA">
        <w:t>292,5</w:t>
      </w:r>
      <w:r w:rsidRPr="00B47BDA">
        <w:t xml:space="preserve"> PJ </w:t>
      </w:r>
      <w:r w:rsidR="00C678F3" w:rsidRPr="00B47BDA">
        <w:t>(WEM)</w:t>
      </w:r>
      <w:r w:rsidR="00A77FCF" w:rsidRPr="00B47BDA">
        <w:t>, odnosno</w:t>
      </w:r>
      <w:r w:rsidR="00C678F3" w:rsidRPr="00B47BDA">
        <w:t xml:space="preserve"> </w:t>
      </w:r>
      <w:r w:rsidR="003114DB">
        <w:t>246</w:t>
      </w:r>
      <w:r w:rsidR="00E75C6D" w:rsidRPr="00B47BDA">
        <w:t>,</w:t>
      </w:r>
      <w:r w:rsidR="00AC11B1" w:rsidRPr="00B47BDA">
        <w:t>2</w:t>
      </w:r>
      <w:r w:rsidRPr="00B47BDA">
        <w:t xml:space="preserve"> PJ </w:t>
      </w:r>
      <w:r w:rsidR="00C678F3" w:rsidRPr="00B47BDA">
        <w:t>(W</w:t>
      </w:r>
      <w:r w:rsidR="008E54AD" w:rsidRPr="00B47BDA">
        <w:t>A</w:t>
      </w:r>
      <w:r w:rsidR="00C678F3" w:rsidRPr="00B47BDA">
        <w:t>M)</w:t>
      </w:r>
      <w:r w:rsidR="00A77FCF" w:rsidRPr="00B47BDA">
        <w:t xml:space="preserve"> </w:t>
      </w:r>
      <w:r w:rsidRPr="00B47BDA">
        <w:t>u 2030.</w:t>
      </w:r>
      <w:r w:rsidR="00881790" w:rsidRPr="00B47BDA">
        <w:t xml:space="preserve"> godini</w:t>
      </w:r>
    </w:p>
    <w:p w14:paraId="0A75B27B" w14:textId="5AAD07AF" w:rsidR="00C54895" w:rsidRPr="003D3EB6" w:rsidRDefault="0005799F" w:rsidP="004D6888">
      <w:pPr>
        <w:pStyle w:val="ListParagraph"/>
        <w:numPr>
          <w:ilvl w:val="1"/>
          <w:numId w:val="39"/>
        </w:numPr>
        <w:spacing w:after="60"/>
        <w:ind w:left="1077" w:hanging="357"/>
      </w:pPr>
      <w:r w:rsidRPr="003D3EB6">
        <w:t xml:space="preserve">Stopa obnove </w:t>
      </w:r>
      <w:r w:rsidR="008F737A">
        <w:t xml:space="preserve">zgrada </w:t>
      </w:r>
      <w:r w:rsidRPr="003D3EB6">
        <w:t>raste od trenutačnih 0,7</w:t>
      </w:r>
      <w:r w:rsidR="00AD384E">
        <w:t> </w:t>
      </w:r>
      <w:r w:rsidRPr="003D3EB6">
        <w:t xml:space="preserve">% godišnje za razdoblje od 2014 do 2019 godine </w:t>
      </w:r>
      <w:r w:rsidR="00CB5F3B">
        <w:t xml:space="preserve">na </w:t>
      </w:r>
      <w:r w:rsidRPr="003D3EB6">
        <w:t>1,1</w:t>
      </w:r>
      <w:r w:rsidR="00AD384E">
        <w:t> </w:t>
      </w:r>
      <w:r w:rsidRPr="003D3EB6">
        <w:t>% do 3,</w:t>
      </w:r>
      <w:r w:rsidR="00CB5F3B">
        <w:t>5</w:t>
      </w:r>
      <w:r w:rsidR="00AD384E">
        <w:t> </w:t>
      </w:r>
      <w:r w:rsidRPr="003D3EB6">
        <w:t>%</w:t>
      </w:r>
      <w:r w:rsidR="00CB5F3B">
        <w:t xml:space="preserve"> u razdoblju od 2021 do 2030</w:t>
      </w:r>
      <w:r w:rsidRPr="003D3EB6">
        <w:t xml:space="preserve"> te doseže desetogodišnji prosjek od 1,6</w:t>
      </w:r>
      <w:r w:rsidR="00AD384E">
        <w:t> </w:t>
      </w:r>
      <w:r w:rsidRPr="003D3EB6">
        <w:t>%. Bitno je povećana stopa napuštanja postojećeg fonda zgrada što je vidljivo kroz porast privremeno nenastanjenih jedinica u razdoblju između dva uzastopna popisa stanovništva.</w:t>
      </w:r>
    </w:p>
    <w:p w14:paraId="604CC50A" w14:textId="07A21333" w:rsidR="00C54895" w:rsidRPr="00197F68" w:rsidRDefault="00C54895" w:rsidP="004D6888">
      <w:pPr>
        <w:pStyle w:val="ListParagraph"/>
        <w:numPr>
          <w:ilvl w:val="1"/>
          <w:numId w:val="39"/>
        </w:numPr>
        <w:spacing w:after="60"/>
        <w:ind w:left="1077" w:hanging="357"/>
      </w:pPr>
      <w:r w:rsidRPr="63259912">
        <w:t xml:space="preserve">Očekuje se penetracija električnih i </w:t>
      </w:r>
      <w:r w:rsidR="00CB4CFD" w:rsidRPr="63259912">
        <w:t xml:space="preserve">plug-in </w:t>
      </w:r>
      <w:r w:rsidRPr="63259912">
        <w:t xml:space="preserve">hibridnih vozila, čiji udio u </w:t>
      </w:r>
      <w:r w:rsidR="00CB4CFD" w:rsidRPr="63259912">
        <w:t>prodaji</w:t>
      </w:r>
      <w:r w:rsidR="00D87D38" w:rsidRPr="63259912">
        <w:t xml:space="preserve"> vozila</w:t>
      </w:r>
      <w:r w:rsidRPr="63259912">
        <w:t xml:space="preserve"> dostiže </w:t>
      </w:r>
      <w:r w:rsidR="006B733D" w:rsidRPr="63259912">
        <w:t>3</w:t>
      </w:r>
      <w:r w:rsidR="00CB4CFD" w:rsidRPr="63259912">
        <w:t>0</w:t>
      </w:r>
      <w:r w:rsidRPr="63259912">
        <w:t> % u 2030. godini</w:t>
      </w:r>
    </w:p>
    <w:p w14:paraId="7C2FFED9" w14:textId="1D67EA4C" w:rsidR="00C54895" w:rsidRPr="00B47BDA" w:rsidRDefault="00C54895" w:rsidP="004D6888">
      <w:pPr>
        <w:pStyle w:val="ListParagraph"/>
        <w:numPr>
          <w:ilvl w:val="1"/>
          <w:numId w:val="39"/>
        </w:numPr>
        <w:spacing w:after="60"/>
        <w:ind w:left="1077" w:hanging="357"/>
      </w:pPr>
      <w:r w:rsidRPr="00B47BDA">
        <w:t xml:space="preserve">Povećanje udjela obnovljivih izvora u bruto neposrednoj potrošnji energije na </w:t>
      </w:r>
      <w:r w:rsidR="00753049" w:rsidRPr="00B47BDA">
        <w:t>4</w:t>
      </w:r>
      <w:r w:rsidR="003C1568">
        <w:t>2,5</w:t>
      </w:r>
      <w:r w:rsidRPr="00B47BDA">
        <w:t xml:space="preserve"> % do 2030. godine </w:t>
      </w:r>
    </w:p>
    <w:p w14:paraId="5850D273" w14:textId="3394DB41" w:rsidR="00C54895" w:rsidRPr="00B47BDA" w:rsidRDefault="00C54895" w:rsidP="004D6888">
      <w:pPr>
        <w:pStyle w:val="ListParagraph"/>
        <w:numPr>
          <w:ilvl w:val="1"/>
          <w:numId w:val="39"/>
        </w:numPr>
        <w:spacing w:after="60"/>
        <w:ind w:left="1077" w:hanging="357"/>
      </w:pPr>
      <w:r w:rsidRPr="63259912">
        <w:t xml:space="preserve">Dekarbonizacija proizvodnje električne energije povećanjem udjela obnovljivih izvora energije na </w:t>
      </w:r>
      <w:r w:rsidR="00C8776C" w:rsidRPr="63259912">
        <w:t>7</w:t>
      </w:r>
      <w:r w:rsidR="006101C1" w:rsidRPr="63259912">
        <w:t>6,7</w:t>
      </w:r>
      <w:r w:rsidRPr="63259912">
        <w:t xml:space="preserve"> % do 2030. godine </w:t>
      </w:r>
    </w:p>
    <w:p w14:paraId="2FA67D4A" w14:textId="77777777" w:rsidR="00C54895" w:rsidRPr="00B47BDA" w:rsidRDefault="00C54895" w:rsidP="004623DD">
      <w:r w:rsidRPr="00B47BDA">
        <w:t xml:space="preserve">Povećanje energetske učinkovitosti snažno je prisutno u svim sektorima potrošnje, a najsnažniji učinci očekuju se u zgradarstvu i prometu. </w:t>
      </w:r>
    </w:p>
    <w:p w14:paraId="21214EDC" w14:textId="77777777" w:rsidR="00C54895" w:rsidRPr="00B47BDA" w:rsidRDefault="00C54895" w:rsidP="004623DD">
      <w:r w:rsidRPr="63259912">
        <w:t>U zgradarstvu se predviđa nastavak i jačanje dobre prakse energetske obnove svih zgrada (stambenih i nestambenih) s usmjeravanjem obnove prema nZEB standardu, koji podrazumijeva i snažnije iskorištavanje OIE (fotonaponski sustavi, toplinski sunčani kolektori, kotlovi na biomasu, dizalice topline).</w:t>
      </w:r>
    </w:p>
    <w:p w14:paraId="4A0DF69C" w14:textId="65524A47" w:rsidR="009302CB" w:rsidRPr="00B47BDA" w:rsidRDefault="009302CB" w:rsidP="004623DD">
      <w:r w:rsidRPr="00B47BDA">
        <w:t>Projekcij</w:t>
      </w:r>
      <w:r w:rsidR="00645F8B" w:rsidRPr="00B47BDA">
        <w:t>e</w:t>
      </w:r>
      <w:r w:rsidRPr="00B47BDA">
        <w:t xml:space="preserve"> emisija stakleničkih plinova iz pokretnih i nepokretnih energetskih izvora u Republici Hrvatskoj </w:t>
      </w:r>
      <w:r w:rsidR="00C01B98" w:rsidRPr="00B47BDA">
        <w:t xml:space="preserve">prikazuje </w:t>
      </w:r>
      <w:r w:rsidR="00C01B98" w:rsidRPr="00B47BDA">
        <w:fldChar w:fldCharType="begin"/>
      </w:r>
      <w:r w:rsidR="00C01B98" w:rsidRPr="00B47BDA">
        <w:rPr>
          <w:highlight w:val="yellow"/>
        </w:rPr>
        <w:instrText xml:space="preserve"> REF _Ref531872424 \h </w:instrText>
      </w:r>
      <w:r w:rsidR="00C01442" w:rsidRPr="00B47BDA">
        <w:rPr>
          <w:highlight w:val="yellow"/>
        </w:rPr>
        <w:instrText xml:space="preserve"> \* MERGEFORMAT </w:instrText>
      </w:r>
      <w:r w:rsidR="00C01B98" w:rsidRPr="00B47BDA">
        <w:fldChar w:fldCharType="separate"/>
      </w:r>
      <w:r w:rsidR="00AD324D" w:rsidRPr="00103D8C">
        <w:t xml:space="preserve">Slika </w:t>
      </w:r>
      <w:r w:rsidR="00AD324D">
        <w:t>5</w:t>
      </w:r>
      <w:r w:rsidR="00AD324D">
        <w:noBreakHyphen/>
        <w:t>1</w:t>
      </w:r>
      <w:r w:rsidR="00C01B98" w:rsidRPr="00B47BDA">
        <w:fldChar w:fldCharType="end"/>
      </w:r>
      <w:r w:rsidR="001D5BBB" w:rsidRPr="00B47BDA">
        <w:t>.</w:t>
      </w:r>
      <w:r w:rsidR="00C42954" w:rsidRPr="00B47BDA">
        <w:t xml:space="preserve"> </w:t>
      </w:r>
      <w:r w:rsidR="00364D4B" w:rsidRPr="00B47BDA">
        <w:t>Prikazan</w:t>
      </w:r>
      <w:r w:rsidR="00462FDA" w:rsidRPr="00B47BDA">
        <w:t>i</w:t>
      </w:r>
      <w:r w:rsidR="001D5BBB" w:rsidRPr="00B47BDA">
        <w:t xml:space="preserve"> su</w:t>
      </w:r>
      <w:r w:rsidR="00364D4B" w:rsidRPr="00B47BDA">
        <w:t xml:space="preserve"> scenarij s postojećim mjerama </w:t>
      </w:r>
      <w:r w:rsidR="00462FDA" w:rsidRPr="00B47BDA">
        <w:t>(WEM)</w:t>
      </w:r>
      <w:r w:rsidR="00364D4B" w:rsidRPr="00B47BDA">
        <w:t xml:space="preserve"> </w:t>
      </w:r>
      <w:r w:rsidR="001D5BBB" w:rsidRPr="00B47BDA">
        <w:t>i</w:t>
      </w:r>
      <w:r w:rsidR="00B53A72" w:rsidRPr="00B47BDA">
        <w:t xml:space="preserve"> scenarij </w:t>
      </w:r>
      <w:r w:rsidR="00364D4B" w:rsidRPr="00B47BDA">
        <w:t>s dodatnim mjerama</w:t>
      </w:r>
      <w:r w:rsidR="00462FDA" w:rsidRPr="00B47BDA">
        <w:t xml:space="preserve"> (WAM)</w:t>
      </w:r>
      <w:r w:rsidR="00D85C2C" w:rsidRPr="00B47BDA">
        <w:t xml:space="preserve">. </w:t>
      </w:r>
    </w:p>
    <w:p w14:paraId="14BAA939" w14:textId="395FBB70" w:rsidR="009302CB" w:rsidRDefault="009302CB" w:rsidP="00651675">
      <w:pPr>
        <w:jc w:val="center"/>
      </w:pPr>
    </w:p>
    <w:p w14:paraId="58C92201" w14:textId="0634C175" w:rsidR="00407BC0" w:rsidRDefault="00407BC0" w:rsidP="00651675">
      <w:pPr>
        <w:jc w:val="center"/>
      </w:pPr>
    </w:p>
    <w:p w14:paraId="2D15DBC9" w14:textId="0E3DFB33" w:rsidR="00216BE9" w:rsidRPr="00B47BDA" w:rsidRDefault="00FF7462" w:rsidP="00651675">
      <w:pPr>
        <w:jc w:val="center"/>
      </w:pPr>
      <w:r w:rsidRPr="00517332">
        <w:rPr>
          <w:noProof/>
        </w:rPr>
        <w:drawing>
          <wp:inline distT="0" distB="0" distL="0" distR="0" wp14:anchorId="7ADA9769" wp14:editId="2E14D5C2">
            <wp:extent cx="4366260" cy="2689860"/>
            <wp:effectExtent l="0" t="0" r="0" b="0"/>
            <wp:docPr id="7733487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8">
                      <a:extLst>
                        <a:ext uri="{28A0092B-C50C-407E-A947-70E740481C1C}">
                          <a14:useLocalDpi xmlns:a14="http://schemas.microsoft.com/office/drawing/2010/main" val="0"/>
                        </a:ext>
                      </a:extLst>
                    </a:blip>
                    <a:srcRect l="2360" t="1909" r="1039" b="1767"/>
                    <a:stretch/>
                  </pic:blipFill>
                  <pic:spPr bwMode="auto">
                    <a:xfrm>
                      <a:off x="0" y="0"/>
                      <a:ext cx="4367936" cy="2690892"/>
                    </a:xfrm>
                    <a:prstGeom prst="rect">
                      <a:avLst/>
                    </a:prstGeom>
                    <a:noFill/>
                    <a:ln>
                      <a:noFill/>
                    </a:ln>
                    <a:extLst>
                      <a:ext uri="{53640926-AAD7-44D8-BBD7-CCE9431645EC}">
                        <a14:shadowObscured xmlns:a14="http://schemas.microsoft.com/office/drawing/2010/main"/>
                      </a:ext>
                    </a:extLst>
                  </pic:spPr>
                </pic:pic>
              </a:graphicData>
            </a:graphic>
          </wp:inline>
        </w:drawing>
      </w:r>
    </w:p>
    <w:p w14:paraId="57FAAE6C" w14:textId="3B9E72A6" w:rsidR="009302CB" w:rsidRPr="00B47BDA" w:rsidRDefault="00714221" w:rsidP="004623DD">
      <w:pPr>
        <w:pStyle w:val="Caption"/>
      </w:pPr>
      <w:bookmarkStart w:id="687" w:name="_Ref531872424"/>
      <w:bookmarkStart w:id="688" w:name="_Toc185605276"/>
      <w:bookmarkStart w:id="689" w:name="_Toc193035922"/>
      <w:r w:rsidRPr="00103D8C">
        <w:t xml:space="preserve">Slika </w:t>
      </w:r>
      <w:r>
        <w:fldChar w:fldCharType="begin"/>
      </w:r>
      <w:r>
        <w:instrText>STYLEREF 1 \s</w:instrText>
      </w:r>
      <w:r>
        <w:fldChar w:fldCharType="separate"/>
      </w:r>
      <w:r w:rsidR="00AD324D">
        <w:rPr>
          <w:noProof/>
        </w:rPr>
        <w:t>5</w:t>
      </w:r>
      <w:r>
        <w:fldChar w:fldCharType="end"/>
      </w:r>
      <w:r w:rsidR="00257B39">
        <w:t>–</w:t>
      </w:r>
      <w:r>
        <w:fldChar w:fldCharType="begin"/>
      </w:r>
      <w:r>
        <w:instrText>SEQ Slika \* ARABIC \s 1</w:instrText>
      </w:r>
      <w:r>
        <w:fldChar w:fldCharType="separate"/>
      </w:r>
      <w:r w:rsidR="00AD324D">
        <w:rPr>
          <w:noProof/>
        </w:rPr>
        <w:t>1</w:t>
      </w:r>
      <w:r>
        <w:fldChar w:fldCharType="end"/>
      </w:r>
      <w:bookmarkEnd w:id="687"/>
      <w:r w:rsidRPr="00103D8C">
        <w:t xml:space="preserve">. Projekcije emisija stakleničkih </w:t>
      </w:r>
      <w:r w:rsidR="009E3707" w:rsidRPr="00103D8C">
        <w:t xml:space="preserve">plinova </w:t>
      </w:r>
      <w:r w:rsidRPr="00103D8C">
        <w:t xml:space="preserve">za scenarij s postojećim mjerama </w:t>
      </w:r>
      <w:r w:rsidR="007405DC" w:rsidRPr="00103D8C">
        <w:t>(WEM)</w:t>
      </w:r>
      <w:r w:rsidRPr="00103D8C">
        <w:t xml:space="preserve"> i scenarij s dodatnim mjerama</w:t>
      </w:r>
      <w:r w:rsidRPr="00103D8C" w:rsidDel="0030751A">
        <w:t xml:space="preserve"> </w:t>
      </w:r>
      <w:r w:rsidR="007405DC" w:rsidRPr="00103D8C">
        <w:t>(WAM)</w:t>
      </w:r>
      <w:r w:rsidRPr="00103D8C" w:rsidDel="0030751A">
        <w:t xml:space="preserve"> </w:t>
      </w:r>
      <w:r w:rsidRPr="00103D8C">
        <w:t>– energetski izvori</w:t>
      </w:r>
      <w:bookmarkEnd w:id="688"/>
      <w:bookmarkEnd w:id="689"/>
    </w:p>
    <w:p w14:paraId="09C41EBB" w14:textId="22F5248F" w:rsidR="003442A3" w:rsidRPr="00B47BDA" w:rsidRDefault="00314566" w:rsidP="004623DD">
      <w:pPr>
        <w:rPr>
          <w:b/>
          <w:sz w:val="20"/>
          <w:szCs w:val="28"/>
        </w:rPr>
      </w:pPr>
      <w:r w:rsidRPr="00B47BDA">
        <w:t>Potencijal</w:t>
      </w:r>
      <w:r w:rsidR="00E83820" w:rsidRPr="00B47BDA">
        <w:t xml:space="preserve"> </w:t>
      </w:r>
      <w:r w:rsidR="00CD5A77" w:rsidRPr="00B47BDA">
        <w:t xml:space="preserve">dodatnih mjera </w:t>
      </w:r>
      <w:r w:rsidR="00BA07C0" w:rsidRPr="00B47BDA">
        <w:t>smanjenj</w:t>
      </w:r>
      <w:r w:rsidR="008D60BD" w:rsidRPr="00B47BDA">
        <w:t>a</w:t>
      </w:r>
      <w:r w:rsidR="00BA07C0" w:rsidRPr="00B47BDA">
        <w:t xml:space="preserve"> emisije po energetskim sektorima </w:t>
      </w:r>
      <w:r w:rsidR="00C01B98" w:rsidRPr="00B47BDA">
        <w:t>prikazuje</w:t>
      </w:r>
      <w:r w:rsidR="001769C5" w:rsidRPr="00B47BDA">
        <w:t xml:space="preserve"> </w:t>
      </w:r>
      <w:r w:rsidR="001769C5" w:rsidRPr="00B47BDA">
        <w:fldChar w:fldCharType="begin"/>
      </w:r>
      <w:r w:rsidR="001769C5" w:rsidRPr="00B47BDA">
        <w:instrText xml:space="preserve"> REF _Ref20743771 \h </w:instrText>
      </w:r>
      <w:r w:rsidR="00C01442" w:rsidRPr="00B47BDA">
        <w:instrText xml:space="preserve"> \* MERGEFORMAT </w:instrText>
      </w:r>
      <w:r w:rsidR="001769C5" w:rsidRPr="00B47BDA">
        <w:fldChar w:fldCharType="separate"/>
      </w:r>
      <w:r w:rsidR="00AD324D" w:rsidRPr="008C04FF">
        <w:t xml:space="preserve">Tablica </w:t>
      </w:r>
      <w:r w:rsidR="00AD324D">
        <w:t>5</w:t>
      </w:r>
      <w:r w:rsidR="00AD324D" w:rsidRPr="008C04FF">
        <w:noBreakHyphen/>
      </w:r>
      <w:r w:rsidR="00AD324D">
        <w:t>1</w:t>
      </w:r>
      <w:r w:rsidR="001769C5" w:rsidRPr="00B47BDA">
        <w:fldChar w:fldCharType="end"/>
      </w:r>
      <w:r w:rsidR="0048204C" w:rsidRPr="00B47BDA">
        <w:t xml:space="preserve">, a predstavlja razliku </w:t>
      </w:r>
      <w:r w:rsidR="00BE43B5" w:rsidRPr="00B47BDA">
        <w:t xml:space="preserve">emisija scenarija s postojećim </w:t>
      </w:r>
      <w:r w:rsidR="00054FDC">
        <w:t xml:space="preserve">mjerama </w:t>
      </w:r>
      <w:r w:rsidR="00805903" w:rsidRPr="00B47BDA">
        <w:t>i scenarija s dodatnim mjerama</w:t>
      </w:r>
      <w:r w:rsidR="003C5CA0" w:rsidRPr="00B47BDA">
        <w:t>.</w:t>
      </w:r>
    </w:p>
    <w:p w14:paraId="4B1170B1" w14:textId="5945CB5E" w:rsidR="00C91927" w:rsidRPr="00B47BDA" w:rsidRDefault="00C91927" w:rsidP="004623DD">
      <w:pPr>
        <w:pStyle w:val="Caption"/>
      </w:pPr>
    </w:p>
    <w:p w14:paraId="0615A186" w14:textId="76A5859F" w:rsidR="003442A3" w:rsidRPr="00B47BDA" w:rsidRDefault="00C91927" w:rsidP="004623DD">
      <w:pPr>
        <w:pStyle w:val="Caption"/>
      </w:pPr>
      <w:bookmarkStart w:id="690" w:name="_Ref20743771"/>
      <w:bookmarkStart w:id="691" w:name="_Toc193035972"/>
      <w:r w:rsidRPr="008C04FF">
        <w:t xml:space="preserve">Tablica </w:t>
      </w:r>
      <w:r>
        <w:fldChar w:fldCharType="begin"/>
      </w:r>
      <w:r>
        <w:instrText>STYLEREF 1 \s</w:instrText>
      </w:r>
      <w:r>
        <w:fldChar w:fldCharType="separate"/>
      </w:r>
      <w:r w:rsidR="00AD324D">
        <w:rPr>
          <w:noProof/>
        </w:rPr>
        <w:t>5</w:t>
      </w:r>
      <w:r>
        <w:fldChar w:fldCharType="end"/>
      </w:r>
      <w:r w:rsidR="000C3EFD" w:rsidRPr="008C04FF">
        <w:noBreakHyphen/>
      </w:r>
      <w:r w:rsidR="00EA2112" w:rsidRPr="008C04FF">
        <w:fldChar w:fldCharType="begin"/>
      </w:r>
      <w:r w:rsidR="00EA2112" w:rsidRPr="00B47BDA">
        <w:instrText xml:space="preserve"> SEQ Tablica \* ARABIC \s 1 </w:instrText>
      </w:r>
      <w:r w:rsidR="00EA2112" w:rsidRPr="008C04FF">
        <w:fldChar w:fldCharType="separate"/>
      </w:r>
      <w:r w:rsidR="00AD324D">
        <w:rPr>
          <w:noProof/>
        </w:rPr>
        <w:t>1</w:t>
      </w:r>
      <w:r w:rsidR="00EA2112" w:rsidRPr="008C04FF">
        <w:fldChar w:fldCharType="end"/>
      </w:r>
      <w:bookmarkEnd w:id="690"/>
      <w:r w:rsidRPr="008C04FF">
        <w:t>.</w:t>
      </w:r>
      <w:r w:rsidR="003442A3" w:rsidRPr="008C04FF">
        <w:t xml:space="preserve"> Potencijal smanjenja emisije stakleničkih plinova </w:t>
      </w:r>
      <w:r w:rsidR="00165156" w:rsidRPr="008C04FF">
        <w:t xml:space="preserve">dodatnih </w:t>
      </w:r>
      <w:r w:rsidR="003442A3" w:rsidRPr="008C04FF">
        <w:t>mjera</w:t>
      </w:r>
      <w:r w:rsidR="00B126BD">
        <w:t xml:space="preserve"> </w:t>
      </w:r>
      <w:r w:rsidR="00C64F9D">
        <w:t>(</w:t>
      </w:r>
      <w:r w:rsidR="002939BE" w:rsidRPr="008C04FF">
        <w:t xml:space="preserve">pokretni i nepokretni </w:t>
      </w:r>
      <w:r w:rsidR="00D555C4" w:rsidRPr="008C04FF">
        <w:t>energetsk</w:t>
      </w:r>
      <w:r w:rsidR="00165156" w:rsidRPr="008C04FF">
        <w:t>i</w:t>
      </w:r>
      <w:r w:rsidR="00D555C4" w:rsidRPr="008C04FF">
        <w:t xml:space="preserve"> izvor</w:t>
      </w:r>
      <w:r w:rsidR="00165156" w:rsidRPr="008C04FF">
        <w:t>i</w:t>
      </w:r>
      <w:r w:rsidR="00C64F9D">
        <w:t>)</w:t>
      </w:r>
      <w:bookmarkEnd w:id="691"/>
    </w:p>
    <w:tbl>
      <w:tblPr>
        <w:tblW w:w="9209" w:type="dxa"/>
        <w:tblLayout w:type="fixed"/>
        <w:tblLook w:val="04A0" w:firstRow="1" w:lastRow="0" w:firstColumn="1" w:lastColumn="0" w:noHBand="0" w:noVBand="1"/>
      </w:tblPr>
      <w:tblGrid>
        <w:gridCol w:w="4248"/>
        <w:gridCol w:w="1240"/>
        <w:gridCol w:w="1240"/>
        <w:gridCol w:w="1240"/>
        <w:gridCol w:w="1241"/>
      </w:tblGrid>
      <w:tr w:rsidR="00BA5CAA" w:rsidRPr="00651675" w14:paraId="4BE0FD6F" w14:textId="77777777" w:rsidTr="63259912">
        <w:trPr>
          <w:trHeight w:val="255"/>
        </w:trPr>
        <w:tc>
          <w:tcPr>
            <w:tcW w:w="424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C90B7EA" w14:textId="77777777" w:rsidR="003132A3" w:rsidRPr="00802222" w:rsidRDefault="003132A3" w:rsidP="63259912">
            <w:pPr>
              <w:rPr>
                <w:i/>
                <w:iCs/>
                <w:sz w:val="22"/>
                <w:szCs w:val="22"/>
              </w:rPr>
            </w:pPr>
            <w:r w:rsidRPr="63259912">
              <w:rPr>
                <w:i/>
                <w:iCs/>
                <w:sz w:val="22"/>
                <w:szCs w:val="22"/>
              </w:rPr>
              <w:t>Smanjenje emisije CO</w:t>
            </w:r>
            <w:r w:rsidRPr="63259912">
              <w:rPr>
                <w:i/>
                <w:iCs/>
                <w:sz w:val="22"/>
                <w:szCs w:val="22"/>
                <w:vertAlign w:val="subscript"/>
              </w:rPr>
              <w:t>2</w:t>
            </w:r>
            <w:r w:rsidRPr="63259912">
              <w:rPr>
                <w:i/>
                <w:iCs/>
                <w:sz w:val="22"/>
                <w:szCs w:val="22"/>
              </w:rPr>
              <w:t>e (kt)</w:t>
            </w:r>
          </w:p>
        </w:tc>
        <w:tc>
          <w:tcPr>
            <w:tcW w:w="124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6EC72F5" w14:textId="77777777" w:rsidR="003132A3" w:rsidRPr="00802222" w:rsidRDefault="003132A3" w:rsidP="00651675">
            <w:pPr>
              <w:jc w:val="center"/>
              <w:rPr>
                <w:b/>
                <w:sz w:val="22"/>
                <w:szCs w:val="22"/>
              </w:rPr>
            </w:pPr>
            <w:r w:rsidRPr="00802222">
              <w:rPr>
                <w:b/>
                <w:sz w:val="22"/>
                <w:szCs w:val="22"/>
              </w:rPr>
              <w:t>2025.</w:t>
            </w:r>
          </w:p>
        </w:tc>
        <w:tc>
          <w:tcPr>
            <w:tcW w:w="124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80310E0" w14:textId="77777777" w:rsidR="003132A3" w:rsidRPr="00802222" w:rsidRDefault="003132A3" w:rsidP="00651675">
            <w:pPr>
              <w:jc w:val="center"/>
              <w:rPr>
                <w:b/>
                <w:sz w:val="22"/>
                <w:szCs w:val="22"/>
              </w:rPr>
            </w:pPr>
            <w:r w:rsidRPr="00802222">
              <w:rPr>
                <w:b/>
                <w:sz w:val="22"/>
                <w:szCs w:val="22"/>
              </w:rPr>
              <w:t>2030.</w:t>
            </w:r>
          </w:p>
        </w:tc>
        <w:tc>
          <w:tcPr>
            <w:tcW w:w="124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8AB1C1E" w14:textId="77777777" w:rsidR="003132A3" w:rsidRPr="00802222" w:rsidRDefault="003132A3" w:rsidP="00651675">
            <w:pPr>
              <w:jc w:val="center"/>
              <w:rPr>
                <w:b/>
                <w:sz w:val="22"/>
                <w:szCs w:val="22"/>
              </w:rPr>
            </w:pPr>
            <w:r w:rsidRPr="00802222">
              <w:rPr>
                <w:b/>
                <w:sz w:val="22"/>
                <w:szCs w:val="22"/>
              </w:rPr>
              <w:t>2035.</w:t>
            </w:r>
          </w:p>
        </w:tc>
        <w:tc>
          <w:tcPr>
            <w:tcW w:w="124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7629452" w14:textId="77777777" w:rsidR="003132A3" w:rsidRPr="00802222" w:rsidRDefault="003132A3" w:rsidP="00651675">
            <w:pPr>
              <w:jc w:val="center"/>
              <w:rPr>
                <w:b/>
                <w:sz w:val="22"/>
                <w:szCs w:val="22"/>
              </w:rPr>
            </w:pPr>
            <w:r w:rsidRPr="00802222">
              <w:rPr>
                <w:b/>
                <w:sz w:val="22"/>
                <w:szCs w:val="22"/>
              </w:rPr>
              <w:t>2040.</w:t>
            </w:r>
          </w:p>
        </w:tc>
      </w:tr>
      <w:tr w:rsidR="00131DF3" w:rsidRPr="00651675" w14:paraId="5C37E3FD" w14:textId="77777777" w:rsidTr="63259912">
        <w:trPr>
          <w:trHeight w:val="25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11675788" w14:textId="5CE09FE6" w:rsidR="00131DF3" w:rsidRPr="00802222" w:rsidRDefault="00131DF3" w:rsidP="63259912">
            <w:pPr>
              <w:rPr>
                <w:b/>
                <w:bCs/>
                <w:sz w:val="22"/>
                <w:szCs w:val="22"/>
              </w:rPr>
            </w:pPr>
            <w:r w:rsidRPr="63259912">
              <w:rPr>
                <w:b/>
                <w:bCs/>
                <w:sz w:val="22"/>
                <w:szCs w:val="22"/>
              </w:rPr>
              <w:t>Postrojenja za proizvodnju i transf. energije</w:t>
            </w:r>
          </w:p>
        </w:tc>
        <w:tc>
          <w:tcPr>
            <w:tcW w:w="1240" w:type="dxa"/>
            <w:tcBorders>
              <w:top w:val="nil"/>
              <w:left w:val="nil"/>
              <w:bottom w:val="single" w:sz="4" w:space="0" w:color="auto"/>
              <w:right w:val="single" w:sz="4" w:space="0" w:color="auto"/>
            </w:tcBorders>
            <w:shd w:val="clear" w:color="auto" w:fill="auto"/>
            <w:noWrap/>
            <w:hideMark/>
          </w:tcPr>
          <w:p w14:paraId="4495A578" w14:textId="2AE8BF2D" w:rsidR="00131DF3" w:rsidRPr="00131DF3" w:rsidRDefault="00131DF3" w:rsidP="00131DF3">
            <w:pPr>
              <w:jc w:val="right"/>
              <w:rPr>
                <w:sz w:val="22"/>
                <w:szCs w:val="22"/>
              </w:rPr>
            </w:pPr>
            <w:r w:rsidRPr="006F0D8D">
              <w:rPr>
                <w:sz w:val="22"/>
                <w:szCs w:val="22"/>
              </w:rPr>
              <w:t>500,52</w:t>
            </w:r>
          </w:p>
        </w:tc>
        <w:tc>
          <w:tcPr>
            <w:tcW w:w="1240" w:type="dxa"/>
            <w:tcBorders>
              <w:top w:val="nil"/>
              <w:left w:val="nil"/>
              <w:bottom w:val="single" w:sz="4" w:space="0" w:color="auto"/>
              <w:right w:val="single" w:sz="4" w:space="0" w:color="auto"/>
            </w:tcBorders>
            <w:shd w:val="clear" w:color="auto" w:fill="auto"/>
            <w:noWrap/>
            <w:hideMark/>
          </w:tcPr>
          <w:p w14:paraId="3BF9B4C0" w14:textId="3DFADCFE" w:rsidR="00131DF3" w:rsidRPr="00131DF3" w:rsidRDefault="00131DF3" w:rsidP="00131DF3">
            <w:pPr>
              <w:jc w:val="right"/>
              <w:rPr>
                <w:sz w:val="22"/>
                <w:szCs w:val="22"/>
              </w:rPr>
            </w:pPr>
            <w:r w:rsidRPr="006F0D8D">
              <w:rPr>
                <w:sz w:val="22"/>
                <w:szCs w:val="22"/>
              </w:rPr>
              <w:t>1334,59</w:t>
            </w:r>
          </w:p>
        </w:tc>
        <w:tc>
          <w:tcPr>
            <w:tcW w:w="1240" w:type="dxa"/>
            <w:tcBorders>
              <w:top w:val="nil"/>
              <w:left w:val="nil"/>
              <w:bottom w:val="single" w:sz="4" w:space="0" w:color="auto"/>
              <w:right w:val="single" w:sz="4" w:space="0" w:color="auto"/>
            </w:tcBorders>
            <w:shd w:val="clear" w:color="auto" w:fill="auto"/>
            <w:noWrap/>
            <w:hideMark/>
          </w:tcPr>
          <w:p w14:paraId="75980084" w14:textId="5BFCC63A" w:rsidR="00131DF3" w:rsidRPr="00131DF3" w:rsidRDefault="00131DF3" w:rsidP="00131DF3">
            <w:pPr>
              <w:jc w:val="right"/>
              <w:rPr>
                <w:sz w:val="22"/>
                <w:szCs w:val="22"/>
              </w:rPr>
            </w:pPr>
            <w:r w:rsidRPr="006F0D8D">
              <w:rPr>
                <w:sz w:val="22"/>
                <w:szCs w:val="22"/>
              </w:rPr>
              <w:t>1485,33</w:t>
            </w:r>
          </w:p>
        </w:tc>
        <w:tc>
          <w:tcPr>
            <w:tcW w:w="1241" w:type="dxa"/>
            <w:tcBorders>
              <w:top w:val="nil"/>
              <w:left w:val="nil"/>
              <w:bottom w:val="single" w:sz="4" w:space="0" w:color="auto"/>
              <w:right w:val="single" w:sz="4" w:space="0" w:color="auto"/>
            </w:tcBorders>
            <w:shd w:val="clear" w:color="auto" w:fill="auto"/>
            <w:noWrap/>
            <w:hideMark/>
          </w:tcPr>
          <w:p w14:paraId="6358AED4" w14:textId="4984628B" w:rsidR="00131DF3" w:rsidRPr="00131DF3" w:rsidRDefault="00131DF3" w:rsidP="00131DF3">
            <w:pPr>
              <w:jc w:val="right"/>
              <w:rPr>
                <w:sz w:val="22"/>
                <w:szCs w:val="22"/>
              </w:rPr>
            </w:pPr>
            <w:r w:rsidRPr="006F0D8D">
              <w:rPr>
                <w:sz w:val="22"/>
                <w:szCs w:val="22"/>
              </w:rPr>
              <w:t>1</w:t>
            </w:r>
            <w:r w:rsidR="003240E0">
              <w:rPr>
                <w:sz w:val="22"/>
                <w:szCs w:val="22"/>
              </w:rPr>
              <w:t>.</w:t>
            </w:r>
            <w:r w:rsidRPr="006F0D8D">
              <w:rPr>
                <w:sz w:val="22"/>
                <w:szCs w:val="22"/>
              </w:rPr>
              <w:t>637,13</w:t>
            </w:r>
          </w:p>
        </w:tc>
      </w:tr>
      <w:tr w:rsidR="00131DF3" w:rsidRPr="00651675" w14:paraId="425F60D5" w14:textId="77777777" w:rsidTr="63259912">
        <w:trPr>
          <w:trHeight w:val="255"/>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24D1B" w14:textId="306319CA" w:rsidR="00131DF3" w:rsidRPr="00802222" w:rsidRDefault="00131DF3" w:rsidP="00131DF3">
            <w:pPr>
              <w:rPr>
                <w:b/>
                <w:sz w:val="22"/>
                <w:szCs w:val="22"/>
              </w:rPr>
            </w:pPr>
            <w:r w:rsidRPr="00802222">
              <w:rPr>
                <w:b/>
                <w:sz w:val="22"/>
                <w:szCs w:val="22"/>
              </w:rPr>
              <w:t>Industrija i građevinarstvo</w:t>
            </w:r>
          </w:p>
        </w:tc>
        <w:tc>
          <w:tcPr>
            <w:tcW w:w="1240" w:type="dxa"/>
            <w:tcBorders>
              <w:top w:val="single" w:sz="4" w:space="0" w:color="auto"/>
              <w:left w:val="nil"/>
              <w:bottom w:val="single" w:sz="4" w:space="0" w:color="auto"/>
              <w:right w:val="single" w:sz="4" w:space="0" w:color="auto"/>
            </w:tcBorders>
            <w:shd w:val="clear" w:color="auto" w:fill="auto"/>
            <w:noWrap/>
            <w:hideMark/>
          </w:tcPr>
          <w:p w14:paraId="0FC4E9BE" w14:textId="37BF61D3" w:rsidR="00131DF3" w:rsidRPr="00131DF3" w:rsidRDefault="00131DF3" w:rsidP="00131DF3">
            <w:pPr>
              <w:jc w:val="right"/>
              <w:rPr>
                <w:sz w:val="22"/>
                <w:szCs w:val="22"/>
              </w:rPr>
            </w:pPr>
            <w:r w:rsidRPr="006F0D8D">
              <w:rPr>
                <w:sz w:val="22"/>
                <w:szCs w:val="22"/>
              </w:rPr>
              <w:t>147,68</w:t>
            </w:r>
          </w:p>
        </w:tc>
        <w:tc>
          <w:tcPr>
            <w:tcW w:w="1240" w:type="dxa"/>
            <w:tcBorders>
              <w:top w:val="single" w:sz="4" w:space="0" w:color="auto"/>
              <w:left w:val="nil"/>
              <w:bottom w:val="single" w:sz="4" w:space="0" w:color="auto"/>
              <w:right w:val="single" w:sz="4" w:space="0" w:color="auto"/>
            </w:tcBorders>
            <w:shd w:val="clear" w:color="auto" w:fill="auto"/>
            <w:noWrap/>
            <w:hideMark/>
          </w:tcPr>
          <w:p w14:paraId="1047C4D7" w14:textId="4418A72E" w:rsidR="00131DF3" w:rsidRPr="00131DF3" w:rsidRDefault="00131DF3" w:rsidP="00131DF3">
            <w:pPr>
              <w:jc w:val="right"/>
              <w:rPr>
                <w:sz w:val="22"/>
                <w:szCs w:val="22"/>
              </w:rPr>
            </w:pPr>
            <w:r w:rsidRPr="006F0D8D">
              <w:rPr>
                <w:sz w:val="22"/>
                <w:szCs w:val="22"/>
              </w:rPr>
              <w:t>609,41</w:t>
            </w:r>
          </w:p>
        </w:tc>
        <w:tc>
          <w:tcPr>
            <w:tcW w:w="1240" w:type="dxa"/>
            <w:tcBorders>
              <w:top w:val="single" w:sz="4" w:space="0" w:color="auto"/>
              <w:left w:val="nil"/>
              <w:bottom w:val="single" w:sz="4" w:space="0" w:color="auto"/>
              <w:right w:val="single" w:sz="4" w:space="0" w:color="auto"/>
            </w:tcBorders>
            <w:shd w:val="clear" w:color="auto" w:fill="auto"/>
            <w:noWrap/>
            <w:hideMark/>
          </w:tcPr>
          <w:p w14:paraId="2C572308" w14:textId="6DD44CB0" w:rsidR="00131DF3" w:rsidRPr="00131DF3" w:rsidRDefault="00131DF3" w:rsidP="00131DF3">
            <w:pPr>
              <w:jc w:val="right"/>
              <w:rPr>
                <w:sz w:val="22"/>
                <w:szCs w:val="22"/>
              </w:rPr>
            </w:pPr>
            <w:r w:rsidRPr="006F0D8D">
              <w:rPr>
                <w:sz w:val="22"/>
                <w:szCs w:val="22"/>
              </w:rPr>
              <w:t>747,4</w:t>
            </w:r>
            <w:r w:rsidR="003240E0">
              <w:rPr>
                <w:sz w:val="22"/>
                <w:szCs w:val="22"/>
              </w:rPr>
              <w:t>6</w:t>
            </w:r>
          </w:p>
        </w:tc>
        <w:tc>
          <w:tcPr>
            <w:tcW w:w="1241" w:type="dxa"/>
            <w:tcBorders>
              <w:top w:val="single" w:sz="4" w:space="0" w:color="auto"/>
              <w:left w:val="nil"/>
              <w:bottom w:val="single" w:sz="4" w:space="0" w:color="auto"/>
              <w:right w:val="single" w:sz="4" w:space="0" w:color="auto"/>
            </w:tcBorders>
            <w:shd w:val="clear" w:color="auto" w:fill="auto"/>
            <w:noWrap/>
            <w:hideMark/>
          </w:tcPr>
          <w:p w14:paraId="25E7A2DB" w14:textId="6F6F2A2F" w:rsidR="00131DF3" w:rsidRPr="00131DF3" w:rsidRDefault="00131DF3" w:rsidP="00131DF3">
            <w:pPr>
              <w:jc w:val="right"/>
              <w:rPr>
                <w:sz w:val="22"/>
                <w:szCs w:val="22"/>
              </w:rPr>
            </w:pPr>
            <w:r w:rsidRPr="006F0D8D">
              <w:rPr>
                <w:sz w:val="22"/>
                <w:szCs w:val="22"/>
              </w:rPr>
              <w:t>1</w:t>
            </w:r>
            <w:r w:rsidR="003240E0">
              <w:rPr>
                <w:sz w:val="22"/>
                <w:szCs w:val="22"/>
              </w:rPr>
              <w:t>.</w:t>
            </w:r>
            <w:r w:rsidRPr="006F0D8D">
              <w:rPr>
                <w:sz w:val="22"/>
                <w:szCs w:val="22"/>
              </w:rPr>
              <w:t>435,12</w:t>
            </w:r>
          </w:p>
        </w:tc>
      </w:tr>
      <w:tr w:rsidR="00131DF3" w:rsidRPr="00651675" w14:paraId="39F9A3D5" w14:textId="77777777" w:rsidTr="63259912">
        <w:trPr>
          <w:trHeight w:val="255"/>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2AAD6" w14:textId="0CE681B5" w:rsidR="00131DF3" w:rsidRPr="00802222" w:rsidRDefault="00131DF3" w:rsidP="00131DF3">
            <w:pPr>
              <w:rPr>
                <w:b/>
                <w:sz w:val="22"/>
                <w:szCs w:val="22"/>
              </w:rPr>
            </w:pPr>
            <w:r w:rsidRPr="00802222">
              <w:rPr>
                <w:b/>
                <w:sz w:val="22"/>
                <w:szCs w:val="22"/>
              </w:rPr>
              <w:t>Promet</w:t>
            </w:r>
          </w:p>
        </w:tc>
        <w:tc>
          <w:tcPr>
            <w:tcW w:w="1240" w:type="dxa"/>
            <w:tcBorders>
              <w:top w:val="single" w:sz="4" w:space="0" w:color="auto"/>
              <w:left w:val="nil"/>
              <w:bottom w:val="single" w:sz="4" w:space="0" w:color="auto"/>
              <w:right w:val="single" w:sz="4" w:space="0" w:color="auto"/>
            </w:tcBorders>
            <w:shd w:val="clear" w:color="auto" w:fill="auto"/>
            <w:noWrap/>
          </w:tcPr>
          <w:p w14:paraId="4730BD51" w14:textId="015D6057" w:rsidR="00131DF3" w:rsidRPr="00131DF3" w:rsidRDefault="00131DF3" w:rsidP="00131DF3">
            <w:pPr>
              <w:jc w:val="right"/>
              <w:rPr>
                <w:sz w:val="22"/>
                <w:szCs w:val="22"/>
              </w:rPr>
            </w:pPr>
            <w:r w:rsidRPr="006F0D8D">
              <w:rPr>
                <w:sz w:val="22"/>
                <w:szCs w:val="22"/>
              </w:rPr>
              <w:t>293,53</w:t>
            </w:r>
          </w:p>
        </w:tc>
        <w:tc>
          <w:tcPr>
            <w:tcW w:w="1240" w:type="dxa"/>
            <w:tcBorders>
              <w:top w:val="single" w:sz="4" w:space="0" w:color="auto"/>
              <w:left w:val="nil"/>
              <w:bottom w:val="single" w:sz="4" w:space="0" w:color="auto"/>
              <w:right w:val="single" w:sz="4" w:space="0" w:color="auto"/>
            </w:tcBorders>
            <w:shd w:val="clear" w:color="auto" w:fill="auto"/>
            <w:noWrap/>
          </w:tcPr>
          <w:p w14:paraId="33DBA3A5" w14:textId="76458896" w:rsidR="00131DF3" w:rsidRPr="00131DF3" w:rsidRDefault="00131DF3" w:rsidP="00131DF3">
            <w:pPr>
              <w:jc w:val="right"/>
              <w:rPr>
                <w:sz w:val="22"/>
                <w:szCs w:val="22"/>
              </w:rPr>
            </w:pPr>
            <w:r w:rsidRPr="006F0D8D">
              <w:rPr>
                <w:sz w:val="22"/>
                <w:szCs w:val="22"/>
              </w:rPr>
              <w:t>784,30</w:t>
            </w:r>
          </w:p>
        </w:tc>
        <w:tc>
          <w:tcPr>
            <w:tcW w:w="1240" w:type="dxa"/>
            <w:tcBorders>
              <w:top w:val="single" w:sz="4" w:space="0" w:color="auto"/>
              <w:left w:val="nil"/>
              <w:bottom w:val="single" w:sz="4" w:space="0" w:color="auto"/>
              <w:right w:val="single" w:sz="4" w:space="0" w:color="auto"/>
            </w:tcBorders>
            <w:shd w:val="clear" w:color="auto" w:fill="auto"/>
            <w:noWrap/>
          </w:tcPr>
          <w:p w14:paraId="0C21B4E8" w14:textId="0F3F1F7F" w:rsidR="00131DF3" w:rsidRPr="00131DF3" w:rsidRDefault="00131DF3" w:rsidP="00131DF3">
            <w:pPr>
              <w:jc w:val="right"/>
              <w:rPr>
                <w:sz w:val="22"/>
                <w:szCs w:val="22"/>
              </w:rPr>
            </w:pPr>
            <w:r w:rsidRPr="006F0D8D">
              <w:rPr>
                <w:sz w:val="22"/>
                <w:szCs w:val="22"/>
              </w:rPr>
              <w:t>1</w:t>
            </w:r>
            <w:r w:rsidR="003240E0">
              <w:rPr>
                <w:sz w:val="22"/>
                <w:szCs w:val="22"/>
              </w:rPr>
              <w:t>.</w:t>
            </w:r>
            <w:r w:rsidRPr="006F0D8D">
              <w:rPr>
                <w:sz w:val="22"/>
                <w:szCs w:val="22"/>
              </w:rPr>
              <w:t>688,8</w:t>
            </w:r>
            <w:r w:rsidR="003240E0">
              <w:rPr>
                <w:sz w:val="22"/>
                <w:szCs w:val="22"/>
              </w:rPr>
              <w:t>9</w:t>
            </w:r>
          </w:p>
        </w:tc>
        <w:tc>
          <w:tcPr>
            <w:tcW w:w="1241" w:type="dxa"/>
            <w:tcBorders>
              <w:top w:val="single" w:sz="4" w:space="0" w:color="auto"/>
              <w:left w:val="nil"/>
              <w:bottom w:val="single" w:sz="4" w:space="0" w:color="auto"/>
              <w:right w:val="single" w:sz="4" w:space="0" w:color="auto"/>
            </w:tcBorders>
            <w:shd w:val="clear" w:color="auto" w:fill="auto"/>
            <w:noWrap/>
          </w:tcPr>
          <w:p w14:paraId="0425D218" w14:textId="33456D89" w:rsidR="00131DF3" w:rsidRPr="00131DF3" w:rsidRDefault="00131DF3" w:rsidP="00131DF3">
            <w:pPr>
              <w:jc w:val="right"/>
              <w:rPr>
                <w:sz w:val="22"/>
                <w:szCs w:val="22"/>
              </w:rPr>
            </w:pPr>
            <w:r w:rsidRPr="006F0D8D">
              <w:rPr>
                <w:sz w:val="22"/>
                <w:szCs w:val="22"/>
              </w:rPr>
              <w:t>2</w:t>
            </w:r>
            <w:r w:rsidR="003240E0">
              <w:rPr>
                <w:sz w:val="22"/>
                <w:szCs w:val="22"/>
              </w:rPr>
              <w:t>.</w:t>
            </w:r>
            <w:r w:rsidRPr="006F0D8D">
              <w:rPr>
                <w:sz w:val="22"/>
                <w:szCs w:val="22"/>
              </w:rPr>
              <w:t>591,22</w:t>
            </w:r>
          </w:p>
        </w:tc>
      </w:tr>
      <w:tr w:rsidR="00131DF3" w:rsidRPr="00651675" w14:paraId="7FF8CF1B" w14:textId="77777777" w:rsidTr="63259912">
        <w:trPr>
          <w:trHeight w:val="255"/>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EF64D" w14:textId="3C58EE93" w:rsidR="00131DF3" w:rsidRPr="00802222" w:rsidRDefault="00131DF3" w:rsidP="00131DF3">
            <w:pPr>
              <w:rPr>
                <w:b/>
                <w:sz w:val="22"/>
                <w:szCs w:val="22"/>
              </w:rPr>
            </w:pPr>
            <w:r w:rsidRPr="00802222">
              <w:rPr>
                <w:b/>
                <w:sz w:val="22"/>
                <w:szCs w:val="22"/>
              </w:rPr>
              <w:t>Opća potrošnja</w:t>
            </w:r>
          </w:p>
        </w:tc>
        <w:tc>
          <w:tcPr>
            <w:tcW w:w="1240" w:type="dxa"/>
            <w:tcBorders>
              <w:top w:val="single" w:sz="4" w:space="0" w:color="auto"/>
              <w:left w:val="nil"/>
              <w:bottom w:val="single" w:sz="4" w:space="0" w:color="auto"/>
              <w:right w:val="single" w:sz="4" w:space="0" w:color="auto"/>
            </w:tcBorders>
            <w:shd w:val="clear" w:color="auto" w:fill="auto"/>
            <w:noWrap/>
          </w:tcPr>
          <w:p w14:paraId="0E0BAC3C" w14:textId="384241B4" w:rsidR="00131DF3" w:rsidRPr="00131DF3" w:rsidRDefault="00131DF3" w:rsidP="00131DF3">
            <w:pPr>
              <w:jc w:val="right"/>
              <w:rPr>
                <w:sz w:val="22"/>
                <w:szCs w:val="22"/>
              </w:rPr>
            </w:pPr>
            <w:r w:rsidRPr="006F0D8D">
              <w:rPr>
                <w:sz w:val="22"/>
                <w:szCs w:val="22"/>
              </w:rPr>
              <w:t>369,76</w:t>
            </w:r>
          </w:p>
        </w:tc>
        <w:tc>
          <w:tcPr>
            <w:tcW w:w="1240" w:type="dxa"/>
            <w:tcBorders>
              <w:top w:val="single" w:sz="4" w:space="0" w:color="auto"/>
              <w:left w:val="nil"/>
              <w:bottom w:val="single" w:sz="4" w:space="0" w:color="auto"/>
              <w:right w:val="single" w:sz="4" w:space="0" w:color="auto"/>
            </w:tcBorders>
            <w:shd w:val="clear" w:color="auto" w:fill="auto"/>
            <w:noWrap/>
          </w:tcPr>
          <w:p w14:paraId="70DB3F7A" w14:textId="60DF66A3" w:rsidR="00131DF3" w:rsidRPr="00131DF3" w:rsidRDefault="00131DF3" w:rsidP="00131DF3">
            <w:pPr>
              <w:jc w:val="right"/>
              <w:rPr>
                <w:sz w:val="22"/>
                <w:szCs w:val="22"/>
              </w:rPr>
            </w:pPr>
            <w:r w:rsidRPr="006F0D8D">
              <w:rPr>
                <w:sz w:val="22"/>
                <w:szCs w:val="22"/>
              </w:rPr>
              <w:t>986,08</w:t>
            </w:r>
          </w:p>
        </w:tc>
        <w:tc>
          <w:tcPr>
            <w:tcW w:w="1240" w:type="dxa"/>
            <w:tcBorders>
              <w:top w:val="single" w:sz="4" w:space="0" w:color="auto"/>
              <w:left w:val="nil"/>
              <w:bottom w:val="single" w:sz="4" w:space="0" w:color="auto"/>
              <w:right w:val="single" w:sz="4" w:space="0" w:color="auto"/>
            </w:tcBorders>
            <w:shd w:val="clear" w:color="auto" w:fill="auto"/>
            <w:noWrap/>
          </w:tcPr>
          <w:p w14:paraId="261F28AD" w14:textId="14F23377" w:rsidR="00131DF3" w:rsidRPr="00131DF3" w:rsidRDefault="00131DF3" w:rsidP="00131DF3">
            <w:pPr>
              <w:jc w:val="right"/>
              <w:rPr>
                <w:sz w:val="22"/>
                <w:szCs w:val="22"/>
              </w:rPr>
            </w:pPr>
            <w:r w:rsidRPr="006F0D8D">
              <w:rPr>
                <w:sz w:val="22"/>
                <w:szCs w:val="22"/>
              </w:rPr>
              <w:t>1</w:t>
            </w:r>
            <w:r w:rsidR="003240E0">
              <w:rPr>
                <w:sz w:val="22"/>
                <w:szCs w:val="22"/>
              </w:rPr>
              <w:t>.</w:t>
            </w:r>
            <w:r w:rsidRPr="006F0D8D">
              <w:rPr>
                <w:sz w:val="22"/>
                <w:szCs w:val="22"/>
              </w:rPr>
              <w:t>359,6</w:t>
            </w:r>
            <w:r w:rsidR="003240E0">
              <w:rPr>
                <w:sz w:val="22"/>
                <w:szCs w:val="22"/>
              </w:rPr>
              <w:t>4</w:t>
            </w:r>
          </w:p>
        </w:tc>
        <w:tc>
          <w:tcPr>
            <w:tcW w:w="1241" w:type="dxa"/>
            <w:tcBorders>
              <w:top w:val="single" w:sz="4" w:space="0" w:color="auto"/>
              <w:left w:val="nil"/>
              <w:bottom w:val="single" w:sz="4" w:space="0" w:color="auto"/>
              <w:right w:val="single" w:sz="4" w:space="0" w:color="auto"/>
            </w:tcBorders>
            <w:shd w:val="clear" w:color="auto" w:fill="auto"/>
            <w:noWrap/>
          </w:tcPr>
          <w:p w14:paraId="14684A58" w14:textId="6A660510" w:rsidR="00131DF3" w:rsidRPr="00131DF3" w:rsidRDefault="00131DF3" w:rsidP="00131DF3">
            <w:pPr>
              <w:jc w:val="right"/>
              <w:rPr>
                <w:sz w:val="22"/>
                <w:szCs w:val="22"/>
              </w:rPr>
            </w:pPr>
            <w:r w:rsidRPr="006F0D8D">
              <w:rPr>
                <w:sz w:val="22"/>
                <w:szCs w:val="22"/>
              </w:rPr>
              <w:t>1</w:t>
            </w:r>
            <w:r w:rsidR="003240E0">
              <w:rPr>
                <w:sz w:val="22"/>
                <w:szCs w:val="22"/>
              </w:rPr>
              <w:t>.</w:t>
            </w:r>
            <w:r w:rsidRPr="006F0D8D">
              <w:rPr>
                <w:sz w:val="22"/>
                <w:szCs w:val="22"/>
              </w:rPr>
              <w:t>733,20</w:t>
            </w:r>
          </w:p>
        </w:tc>
      </w:tr>
      <w:tr w:rsidR="00131DF3" w:rsidRPr="00651675" w14:paraId="4BBE18A8" w14:textId="77777777" w:rsidTr="63259912">
        <w:trPr>
          <w:trHeight w:val="255"/>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A2F8B" w14:textId="6DE95362" w:rsidR="00131DF3" w:rsidRPr="00802222" w:rsidRDefault="00131DF3" w:rsidP="63259912">
            <w:pPr>
              <w:rPr>
                <w:b/>
                <w:bCs/>
                <w:sz w:val="22"/>
                <w:szCs w:val="22"/>
              </w:rPr>
            </w:pPr>
            <w:r w:rsidRPr="63259912">
              <w:rPr>
                <w:b/>
                <w:bCs/>
                <w:sz w:val="22"/>
                <w:szCs w:val="22"/>
              </w:rPr>
              <w:t>Fugitivni izvori</w:t>
            </w:r>
          </w:p>
        </w:tc>
        <w:tc>
          <w:tcPr>
            <w:tcW w:w="1240" w:type="dxa"/>
            <w:tcBorders>
              <w:top w:val="single" w:sz="4" w:space="0" w:color="auto"/>
              <w:left w:val="nil"/>
              <w:bottom w:val="single" w:sz="4" w:space="0" w:color="auto"/>
              <w:right w:val="single" w:sz="4" w:space="0" w:color="auto"/>
            </w:tcBorders>
            <w:shd w:val="clear" w:color="auto" w:fill="auto"/>
            <w:noWrap/>
          </w:tcPr>
          <w:p w14:paraId="5C2EB4E5" w14:textId="68B16ADF" w:rsidR="00131DF3" w:rsidRPr="00131DF3" w:rsidRDefault="00131DF3" w:rsidP="00131DF3">
            <w:pPr>
              <w:jc w:val="right"/>
              <w:rPr>
                <w:sz w:val="22"/>
                <w:szCs w:val="22"/>
              </w:rPr>
            </w:pPr>
            <w:r w:rsidRPr="006F0D8D">
              <w:rPr>
                <w:sz w:val="22"/>
                <w:szCs w:val="22"/>
              </w:rPr>
              <w:t>0</w:t>
            </w:r>
          </w:p>
        </w:tc>
        <w:tc>
          <w:tcPr>
            <w:tcW w:w="1240" w:type="dxa"/>
            <w:tcBorders>
              <w:top w:val="single" w:sz="4" w:space="0" w:color="auto"/>
              <w:left w:val="nil"/>
              <w:bottom w:val="single" w:sz="4" w:space="0" w:color="auto"/>
              <w:right w:val="single" w:sz="4" w:space="0" w:color="auto"/>
            </w:tcBorders>
            <w:shd w:val="clear" w:color="auto" w:fill="auto"/>
            <w:noWrap/>
          </w:tcPr>
          <w:p w14:paraId="06DEA763" w14:textId="795DDC80" w:rsidR="00131DF3" w:rsidRPr="00131DF3" w:rsidRDefault="00131DF3" w:rsidP="00131DF3">
            <w:pPr>
              <w:jc w:val="right"/>
              <w:rPr>
                <w:sz w:val="22"/>
                <w:szCs w:val="22"/>
              </w:rPr>
            </w:pPr>
            <w:r w:rsidRPr="006F0D8D">
              <w:rPr>
                <w:sz w:val="22"/>
                <w:szCs w:val="22"/>
              </w:rPr>
              <w:t>0</w:t>
            </w:r>
          </w:p>
        </w:tc>
        <w:tc>
          <w:tcPr>
            <w:tcW w:w="1240" w:type="dxa"/>
            <w:tcBorders>
              <w:top w:val="single" w:sz="4" w:space="0" w:color="auto"/>
              <w:left w:val="nil"/>
              <w:bottom w:val="single" w:sz="4" w:space="0" w:color="auto"/>
              <w:right w:val="single" w:sz="4" w:space="0" w:color="auto"/>
            </w:tcBorders>
            <w:shd w:val="clear" w:color="auto" w:fill="auto"/>
            <w:noWrap/>
          </w:tcPr>
          <w:p w14:paraId="26C82D8D" w14:textId="20E1257F" w:rsidR="00131DF3" w:rsidRPr="00131DF3" w:rsidRDefault="00131DF3" w:rsidP="00131DF3">
            <w:pPr>
              <w:jc w:val="right"/>
              <w:rPr>
                <w:sz w:val="22"/>
                <w:szCs w:val="22"/>
              </w:rPr>
            </w:pPr>
            <w:r w:rsidRPr="006F0D8D">
              <w:rPr>
                <w:sz w:val="22"/>
                <w:szCs w:val="22"/>
              </w:rPr>
              <w:t>0</w:t>
            </w:r>
          </w:p>
        </w:tc>
        <w:tc>
          <w:tcPr>
            <w:tcW w:w="1241" w:type="dxa"/>
            <w:tcBorders>
              <w:top w:val="single" w:sz="4" w:space="0" w:color="auto"/>
              <w:left w:val="nil"/>
              <w:bottom w:val="single" w:sz="4" w:space="0" w:color="auto"/>
              <w:right w:val="single" w:sz="4" w:space="0" w:color="auto"/>
            </w:tcBorders>
            <w:shd w:val="clear" w:color="auto" w:fill="auto"/>
            <w:noWrap/>
          </w:tcPr>
          <w:p w14:paraId="6888309E" w14:textId="78682A83" w:rsidR="00131DF3" w:rsidRPr="00131DF3" w:rsidRDefault="00131DF3" w:rsidP="00131DF3">
            <w:pPr>
              <w:jc w:val="right"/>
              <w:rPr>
                <w:sz w:val="22"/>
                <w:szCs w:val="22"/>
              </w:rPr>
            </w:pPr>
            <w:r w:rsidRPr="006F0D8D">
              <w:rPr>
                <w:sz w:val="22"/>
                <w:szCs w:val="22"/>
              </w:rPr>
              <w:t>0</w:t>
            </w:r>
          </w:p>
        </w:tc>
      </w:tr>
      <w:tr w:rsidR="00131DF3" w:rsidRPr="00651675" w14:paraId="292F9140" w14:textId="77777777" w:rsidTr="63259912">
        <w:trPr>
          <w:trHeight w:val="255"/>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95DA3" w14:textId="67E11573" w:rsidR="00131DF3" w:rsidRPr="00802222" w:rsidRDefault="00131DF3" w:rsidP="00131DF3">
            <w:pPr>
              <w:rPr>
                <w:b/>
                <w:sz w:val="22"/>
                <w:szCs w:val="22"/>
              </w:rPr>
            </w:pPr>
            <w:r w:rsidRPr="00802222">
              <w:rPr>
                <w:b/>
                <w:sz w:val="22"/>
                <w:szCs w:val="22"/>
              </w:rPr>
              <w:t>Potencijal smanjenja emisije – energetski izvori</w:t>
            </w:r>
          </w:p>
        </w:tc>
        <w:tc>
          <w:tcPr>
            <w:tcW w:w="1240" w:type="dxa"/>
            <w:tcBorders>
              <w:top w:val="single" w:sz="4" w:space="0" w:color="auto"/>
              <w:left w:val="nil"/>
              <w:bottom w:val="single" w:sz="4" w:space="0" w:color="auto"/>
              <w:right w:val="single" w:sz="4" w:space="0" w:color="auto"/>
            </w:tcBorders>
            <w:shd w:val="clear" w:color="auto" w:fill="auto"/>
            <w:noWrap/>
          </w:tcPr>
          <w:p w14:paraId="07E9FD67" w14:textId="4F33D854" w:rsidR="00131DF3" w:rsidRPr="00131DF3" w:rsidDel="00B670F5" w:rsidRDefault="00131DF3" w:rsidP="00131DF3">
            <w:pPr>
              <w:jc w:val="right"/>
              <w:rPr>
                <w:sz w:val="22"/>
                <w:szCs w:val="22"/>
              </w:rPr>
            </w:pPr>
            <w:r w:rsidRPr="006F0D8D">
              <w:rPr>
                <w:sz w:val="22"/>
                <w:szCs w:val="22"/>
              </w:rPr>
              <w:t>1.311,49</w:t>
            </w:r>
          </w:p>
        </w:tc>
        <w:tc>
          <w:tcPr>
            <w:tcW w:w="1240" w:type="dxa"/>
            <w:tcBorders>
              <w:top w:val="single" w:sz="4" w:space="0" w:color="auto"/>
              <w:left w:val="nil"/>
              <w:bottom w:val="single" w:sz="4" w:space="0" w:color="auto"/>
              <w:right w:val="single" w:sz="4" w:space="0" w:color="auto"/>
            </w:tcBorders>
            <w:shd w:val="clear" w:color="auto" w:fill="auto"/>
            <w:noWrap/>
          </w:tcPr>
          <w:p w14:paraId="36AAFAF6" w14:textId="12FEE85C" w:rsidR="00131DF3" w:rsidRPr="00131DF3" w:rsidDel="00B670F5" w:rsidRDefault="00131DF3" w:rsidP="00131DF3">
            <w:pPr>
              <w:jc w:val="right"/>
              <w:rPr>
                <w:sz w:val="22"/>
                <w:szCs w:val="22"/>
              </w:rPr>
            </w:pPr>
            <w:r w:rsidRPr="006F0D8D">
              <w:rPr>
                <w:sz w:val="22"/>
                <w:szCs w:val="22"/>
              </w:rPr>
              <w:t>3.714,37</w:t>
            </w:r>
          </w:p>
        </w:tc>
        <w:tc>
          <w:tcPr>
            <w:tcW w:w="1240" w:type="dxa"/>
            <w:tcBorders>
              <w:top w:val="single" w:sz="4" w:space="0" w:color="auto"/>
              <w:left w:val="nil"/>
              <w:bottom w:val="single" w:sz="4" w:space="0" w:color="auto"/>
              <w:right w:val="single" w:sz="4" w:space="0" w:color="auto"/>
            </w:tcBorders>
            <w:shd w:val="clear" w:color="auto" w:fill="auto"/>
            <w:noWrap/>
          </w:tcPr>
          <w:p w14:paraId="586A7F17" w14:textId="5824BCBB" w:rsidR="00131DF3" w:rsidRPr="00131DF3" w:rsidDel="00B670F5" w:rsidRDefault="00131DF3" w:rsidP="00131DF3">
            <w:pPr>
              <w:jc w:val="right"/>
              <w:rPr>
                <w:sz w:val="22"/>
                <w:szCs w:val="22"/>
              </w:rPr>
            </w:pPr>
            <w:r w:rsidRPr="006F0D8D">
              <w:rPr>
                <w:sz w:val="22"/>
                <w:szCs w:val="22"/>
              </w:rPr>
              <w:t>5.281,31</w:t>
            </w:r>
          </w:p>
        </w:tc>
        <w:tc>
          <w:tcPr>
            <w:tcW w:w="1241" w:type="dxa"/>
            <w:tcBorders>
              <w:top w:val="single" w:sz="4" w:space="0" w:color="auto"/>
              <w:left w:val="nil"/>
              <w:bottom w:val="single" w:sz="4" w:space="0" w:color="auto"/>
              <w:right w:val="single" w:sz="4" w:space="0" w:color="auto"/>
            </w:tcBorders>
            <w:shd w:val="clear" w:color="auto" w:fill="auto"/>
            <w:noWrap/>
          </w:tcPr>
          <w:p w14:paraId="089A7963" w14:textId="14692B53" w:rsidR="00131DF3" w:rsidRPr="00131DF3" w:rsidDel="00B670F5" w:rsidRDefault="00131DF3" w:rsidP="00131DF3">
            <w:pPr>
              <w:jc w:val="right"/>
              <w:rPr>
                <w:sz w:val="22"/>
                <w:szCs w:val="22"/>
              </w:rPr>
            </w:pPr>
            <w:r w:rsidRPr="006F0D8D">
              <w:rPr>
                <w:sz w:val="22"/>
                <w:szCs w:val="22"/>
              </w:rPr>
              <w:t>7.396,67</w:t>
            </w:r>
          </w:p>
        </w:tc>
      </w:tr>
    </w:tbl>
    <w:p w14:paraId="47BE8D74" w14:textId="77777777" w:rsidR="007978E8" w:rsidRPr="00B47BDA" w:rsidRDefault="007978E8" w:rsidP="004623DD">
      <w:pPr>
        <w:rPr>
          <w:highlight w:val="yellow"/>
        </w:rPr>
      </w:pPr>
    </w:p>
    <w:p w14:paraId="2384FFA6" w14:textId="604C8545" w:rsidR="00340819" w:rsidRPr="00B47BDA" w:rsidRDefault="00340819" w:rsidP="004623DD">
      <w:r w:rsidRPr="00B47BDA">
        <w:t>Projekcij</w:t>
      </w:r>
      <w:r w:rsidR="009C7437" w:rsidRPr="00B47BDA">
        <w:t>e</w:t>
      </w:r>
      <w:r w:rsidRPr="00B47BDA">
        <w:t xml:space="preserve"> emisija stakleničkih plinova iz ne-energetskih izvora u Republici Hrvatskoj</w:t>
      </w:r>
      <w:r w:rsidR="00F242F6" w:rsidRPr="00B47BDA">
        <w:t xml:space="preserve"> </w:t>
      </w:r>
      <w:r w:rsidRPr="00B47BDA">
        <w:t>prikaz</w:t>
      </w:r>
      <w:r w:rsidR="00C01B98" w:rsidRPr="00B47BDA">
        <w:t xml:space="preserve">uje </w:t>
      </w:r>
      <w:r w:rsidR="00C01B98" w:rsidRPr="00B47BDA">
        <w:fldChar w:fldCharType="begin"/>
      </w:r>
      <w:r w:rsidR="00C01B98" w:rsidRPr="00B47BDA">
        <w:rPr>
          <w:highlight w:val="yellow"/>
        </w:rPr>
        <w:instrText xml:space="preserve"> REF _Ref531872519 \h </w:instrText>
      </w:r>
      <w:r w:rsidR="00C01442" w:rsidRPr="00B47BDA">
        <w:rPr>
          <w:highlight w:val="yellow"/>
        </w:rPr>
        <w:instrText xml:space="preserve"> \* MERGEFORMAT </w:instrText>
      </w:r>
      <w:r w:rsidR="00C01B98" w:rsidRPr="00B47BDA">
        <w:fldChar w:fldCharType="separate"/>
      </w:r>
      <w:r w:rsidR="00AD324D" w:rsidRPr="00CE1151">
        <w:t xml:space="preserve">Slika </w:t>
      </w:r>
      <w:r w:rsidR="00AD324D">
        <w:t>5</w:t>
      </w:r>
      <w:r w:rsidR="00AD324D">
        <w:noBreakHyphen/>
        <w:t>2</w:t>
      </w:r>
      <w:r w:rsidR="00C01B98" w:rsidRPr="00B47BDA">
        <w:fldChar w:fldCharType="end"/>
      </w:r>
      <w:r w:rsidR="00D64B00" w:rsidRPr="00B47BDA">
        <w:t>.</w:t>
      </w:r>
    </w:p>
    <w:p w14:paraId="04C0B05A" w14:textId="58587BC2" w:rsidR="00157089" w:rsidRDefault="00157089" w:rsidP="00651675">
      <w:pPr>
        <w:jc w:val="center"/>
        <w:rPr>
          <w:highlight w:val="yellow"/>
        </w:rPr>
      </w:pPr>
    </w:p>
    <w:p w14:paraId="577489E3" w14:textId="30CCB345" w:rsidR="000700C6" w:rsidRDefault="000700C6" w:rsidP="00651675">
      <w:pPr>
        <w:jc w:val="center"/>
        <w:rPr>
          <w:highlight w:val="yellow"/>
        </w:rPr>
      </w:pPr>
    </w:p>
    <w:p w14:paraId="17534B5F" w14:textId="74D447CC" w:rsidR="00EF1BC6" w:rsidRPr="00B47BDA" w:rsidRDefault="00EF1BC6" w:rsidP="00651675">
      <w:pPr>
        <w:jc w:val="center"/>
        <w:rPr>
          <w:highlight w:val="yellow"/>
        </w:rPr>
      </w:pPr>
      <w:r w:rsidRPr="005C0B12">
        <w:rPr>
          <w:noProof/>
        </w:rPr>
        <w:lastRenderedPageBreak/>
        <w:drawing>
          <wp:inline distT="0" distB="0" distL="0" distR="0" wp14:anchorId="0ED34CFB" wp14:editId="5EE61340">
            <wp:extent cx="4716780" cy="2872664"/>
            <wp:effectExtent l="0" t="0" r="7620" b="4445"/>
            <wp:docPr id="741540448" name="Slika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40448" name="Slika 3" descr="A graph with different colored lines&#10;&#10;Description automatically generated"/>
                    <pic:cNvPicPr>
                      <a:picLocks noChangeAspect="1" noChangeArrowheads="1"/>
                    </pic:cNvPicPr>
                  </pic:nvPicPr>
                  <pic:blipFill rotWithShape="1">
                    <a:blip r:embed="rId79">
                      <a:extLst>
                        <a:ext uri="{28A0092B-C50C-407E-A947-70E740481C1C}">
                          <a14:useLocalDpi xmlns:a14="http://schemas.microsoft.com/office/drawing/2010/main" val="0"/>
                        </a:ext>
                      </a:extLst>
                    </a:blip>
                    <a:srcRect l="2481" t="2030" r="1550" b="2263"/>
                    <a:stretch/>
                  </pic:blipFill>
                  <pic:spPr bwMode="auto">
                    <a:xfrm>
                      <a:off x="0" y="0"/>
                      <a:ext cx="4718112" cy="2873476"/>
                    </a:xfrm>
                    <a:prstGeom prst="rect">
                      <a:avLst/>
                    </a:prstGeom>
                    <a:noFill/>
                    <a:ln>
                      <a:noFill/>
                    </a:ln>
                    <a:extLst>
                      <a:ext uri="{53640926-AAD7-44D8-BBD7-CCE9431645EC}">
                        <a14:shadowObscured xmlns:a14="http://schemas.microsoft.com/office/drawing/2010/main"/>
                      </a:ext>
                    </a:extLst>
                  </pic:spPr>
                </pic:pic>
              </a:graphicData>
            </a:graphic>
          </wp:inline>
        </w:drawing>
      </w:r>
    </w:p>
    <w:p w14:paraId="5DAA0B89" w14:textId="14691171" w:rsidR="00157089" w:rsidRPr="00B47BDA" w:rsidRDefault="00C01B98" w:rsidP="004623DD">
      <w:pPr>
        <w:pStyle w:val="Caption"/>
      </w:pPr>
      <w:bookmarkStart w:id="692" w:name="_Ref531872519"/>
      <w:bookmarkStart w:id="693" w:name="_Toc185605277"/>
      <w:bookmarkStart w:id="694" w:name="_Toc193035923"/>
      <w:r w:rsidRPr="00CE1151">
        <w:t xml:space="preserve">Slika </w:t>
      </w:r>
      <w:r>
        <w:fldChar w:fldCharType="begin"/>
      </w:r>
      <w:r>
        <w:instrText>STYLEREF 1 \s</w:instrText>
      </w:r>
      <w:r>
        <w:fldChar w:fldCharType="separate"/>
      </w:r>
      <w:r w:rsidR="00AD324D">
        <w:rPr>
          <w:noProof/>
        </w:rPr>
        <w:t>5</w:t>
      </w:r>
      <w:r>
        <w:fldChar w:fldCharType="end"/>
      </w:r>
      <w:r w:rsidR="00257B39">
        <w:t>–</w:t>
      </w:r>
      <w:r>
        <w:fldChar w:fldCharType="begin"/>
      </w:r>
      <w:r>
        <w:instrText>SEQ Slika \* ARABIC \s 1</w:instrText>
      </w:r>
      <w:r>
        <w:fldChar w:fldCharType="separate"/>
      </w:r>
      <w:r w:rsidR="00AD324D">
        <w:rPr>
          <w:noProof/>
        </w:rPr>
        <w:t>2</w:t>
      </w:r>
      <w:r>
        <w:fldChar w:fldCharType="end"/>
      </w:r>
      <w:bookmarkEnd w:id="692"/>
      <w:r w:rsidRPr="00CE1151">
        <w:t xml:space="preserve">. Projekcije emisija stakleničkih </w:t>
      </w:r>
      <w:r w:rsidR="00571C95" w:rsidRPr="00CE1151">
        <w:t xml:space="preserve">plinova </w:t>
      </w:r>
      <w:r w:rsidRPr="00CE1151">
        <w:t xml:space="preserve">za scenarij s postojećim mjerama </w:t>
      </w:r>
      <w:r w:rsidR="00571C95" w:rsidRPr="00CE1151">
        <w:t>(WEM)</w:t>
      </w:r>
      <w:r w:rsidRPr="00CE1151">
        <w:t xml:space="preserve"> i scenarij s dodatnim mjerama</w:t>
      </w:r>
      <w:r w:rsidRPr="00CE1151" w:rsidDel="0030751A">
        <w:t xml:space="preserve"> </w:t>
      </w:r>
      <w:r w:rsidR="00571C95" w:rsidRPr="00CE1151">
        <w:t>(WAM)</w:t>
      </w:r>
      <w:r w:rsidRPr="00CE1151" w:rsidDel="0030751A">
        <w:t xml:space="preserve"> </w:t>
      </w:r>
      <w:r w:rsidRPr="00CE1151">
        <w:t>– ne-energetski izvori</w:t>
      </w:r>
      <w:bookmarkEnd w:id="693"/>
      <w:bookmarkEnd w:id="694"/>
    </w:p>
    <w:p w14:paraId="7C2F651A" w14:textId="36304BCB" w:rsidR="00D555C4" w:rsidRPr="00B47BDA" w:rsidRDefault="00D555C4" w:rsidP="004623DD">
      <w:r w:rsidRPr="00B47BDA">
        <w:t>Potencijal dodatnih mjera smanjenj</w:t>
      </w:r>
      <w:r w:rsidR="00805903" w:rsidRPr="00B47BDA">
        <w:t>a</w:t>
      </w:r>
      <w:r w:rsidRPr="00B47BDA">
        <w:t xml:space="preserve"> emisij</w:t>
      </w:r>
      <w:r w:rsidR="00805903" w:rsidRPr="00B47BDA">
        <w:t>a</w:t>
      </w:r>
      <w:r w:rsidRPr="00B47BDA">
        <w:t xml:space="preserve"> </w:t>
      </w:r>
      <w:r w:rsidR="005D74CD" w:rsidRPr="00B47BDA">
        <w:t>za</w:t>
      </w:r>
      <w:r w:rsidRPr="00B47BDA">
        <w:t xml:space="preserve"> </w:t>
      </w:r>
      <w:r w:rsidR="005D74CD" w:rsidRPr="00B47BDA">
        <w:t>ne-</w:t>
      </w:r>
      <w:r w:rsidRPr="00B47BDA">
        <w:t>energetsk</w:t>
      </w:r>
      <w:r w:rsidR="005D74CD" w:rsidRPr="00B47BDA">
        <w:t>e</w:t>
      </w:r>
      <w:r w:rsidRPr="00B47BDA">
        <w:t xml:space="preserve"> sektor</w:t>
      </w:r>
      <w:r w:rsidR="005D74CD" w:rsidRPr="00B47BDA">
        <w:t>e</w:t>
      </w:r>
      <w:r w:rsidRPr="00B47BDA">
        <w:t xml:space="preserve"> prikaz</w:t>
      </w:r>
      <w:r w:rsidR="00C01B98" w:rsidRPr="00B47BDA">
        <w:t xml:space="preserve">uje </w:t>
      </w:r>
      <w:r w:rsidR="00C01B98" w:rsidRPr="00B47BDA">
        <w:fldChar w:fldCharType="begin"/>
      </w:r>
      <w:r w:rsidR="00C01B98" w:rsidRPr="00B47BDA">
        <w:rPr>
          <w:highlight w:val="yellow"/>
        </w:rPr>
        <w:instrText xml:space="preserve"> REF _Ref531872549 \h </w:instrText>
      </w:r>
      <w:r w:rsidR="00C01442" w:rsidRPr="00B47BDA">
        <w:rPr>
          <w:highlight w:val="yellow"/>
        </w:rPr>
        <w:instrText xml:space="preserve"> \* MERGEFORMAT </w:instrText>
      </w:r>
      <w:r w:rsidR="00C01B98" w:rsidRPr="00B47BDA">
        <w:fldChar w:fldCharType="separate"/>
      </w:r>
      <w:r w:rsidR="00AD324D" w:rsidRPr="005C363D">
        <w:t xml:space="preserve">Tablica </w:t>
      </w:r>
      <w:r w:rsidR="00AD324D">
        <w:t>5</w:t>
      </w:r>
      <w:r w:rsidR="00AD324D" w:rsidRPr="005C363D">
        <w:noBreakHyphen/>
      </w:r>
      <w:r w:rsidR="00AD324D">
        <w:t>2</w:t>
      </w:r>
      <w:r w:rsidR="00C01B98" w:rsidRPr="00B47BDA">
        <w:fldChar w:fldCharType="end"/>
      </w:r>
      <w:r w:rsidR="004F3D0B" w:rsidRPr="00B47BDA">
        <w:t xml:space="preserve">, a predstavlja </w:t>
      </w:r>
      <w:r w:rsidR="00071A30" w:rsidRPr="00B47BDA">
        <w:t>razliku emisija stakleničkih plinova</w:t>
      </w:r>
      <w:r w:rsidR="00874395" w:rsidRPr="00B47BDA">
        <w:t xml:space="preserve"> scenarija </w:t>
      </w:r>
      <w:r w:rsidR="00E95396" w:rsidRPr="00B47BDA">
        <w:t>s postojećim mjerama (WEM)</w:t>
      </w:r>
      <w:r w:rsidR="00874395" w:rsidRPr="00B47BDA">
        <w:t xml:space="preserve"> i </w:t>
      </w:r>
      <w:r w:rsidR="00E95396" w:rsidRPr="00B47BDA">
        <w:t>scenarija s dodatnim mjerama (WAM).</w:t>
      </w:r>
    </w:p>
    <w:p w14:paraId="69C26C4F" w14:textId="31FD7E02" w:rsidR="005D74CD" w:rsidRPr="00B47BDA" w:rsidRDefault="005D74CD" w:rsidP="004623DD">
      <w:pPr>
        <w:pStyle w:val="Caption"/>
      </w:pPr>
      <w:bookmarkStart w:id="695" w:name="_Ref531872549"/>
      <w:bookmarkStart w:id="696" w:name="_Toc193035973"/>
      <w:r w:rsidRPr="005C363D">
        <w:t xml:space="preserve">Tablica </w:t>
      </w:r>
      <w:r>
        <w:fldChar w:fldCharType="begin"/>
      </w:r>
      <w:r>
        <w:instrText>STYLEREF 1 \s</w:instrText>
      </w:r>
      <w:r>
        <w:fldChar w:fldCharType="separate"/>
      </w:r>
      <w:r w:rsidR="00AD324D">
        <w:rPr>
          <w:noProof/>
        </w:rPr>
        <w:t>5</w:t>
      </w:r>
      <w:r>
        <w:fldChar w:fldCharType="end"/>
      </w:r>
      <w:r w:rsidR="000C3EFD" w:rsidRPr="005C363D">
        <w:noBreakHyphen/>
      </w:r>
      <w:r>
        <w:fldChar w:fldCharType="begin"/>
      </w:r>
      <w:r>
        <w:instrText>SEQ Tablica \* ARABIC \s 1</w:instrText>
      </w:r>
      <w:r>
        <w:fldChar w:fldCharType="separate"/>
      </w:r>
      <w:r w:rsidR="00AD324D">
        <w:rPr>
          <w:noProof/>
        </w:rPr>
        <w:t>2</w:t>
      </w:r>
      <w:r>
        <w:fldChar w:fldCharType="end"/>
      </w:r>
      <w:bookmarkEnd w:id="695"/>
      <w:r w:rsidR="00C91927" w:rsidRPr="005C363D">
        <w:t>.</w:t>
      </w:r>
      <w:r w:rsidRPr="005C363D">
        <w:t xml:space="preserve"> Potencijal smanjenja emisije stakleničkih plinova dodatni</w:t>
      </w:r>
      <w:r w:rsidR="00165156" w:rsidRPr="005C363D">
        <w:t>h</w:t>
      </w:r>
      <w:r w:rsidRPr="005C363D">
        <w:t xml:space="preserve"> mjera </w:t>
      </w:r>
      <w:r w:rsidR="00BC1A80" w:rsidRPr="005C363D">
        <w:t>(</w:t>
      </w:r>
      <w:r w:rsidR="0078674D" w:rsidRPr="005C363D">
        <w:t>ne-</w:t>
      </w:r>
      <w:r w:rsidRPr="005C363D">
        <w:t>energetsk</w:t>
      </w:r>
      <w:r w:rsidR="00165156" w:rsidRPr="005C363D">
        <w:t>i</w:t>
      </w:r>
      <w:r w:rsidRPr="005C363D">
        <w:t xml:space="preserve"> izvor</w:t>
      </w:r>
      <w:r w:rsidR="00165156" w:rsidRPr="005C363D">
        <w:t>i</w:t>
      </w:r>
      <w:r w:rsidR="00BC1A80" w:rsidRPr="005C363D">
        <w:t>)</w:t>
      </w:r>
      <w:bookmarkEnd w:id="696"/>
    </w:p>
    <w:tbl>
      <w:tblPr>
        <w:tblW w:w="8642" w:type="dxa"/>
        <w:tblLayout w:type="fixed"/>
        <w:tblLook w:val="04A0" w:firstRow="1" w:lastRow="0" w:firstColumn="1" w:lastColumn="0" w:noHBand="0" w:noVBand="1"/>
      </w:tblPr>
      <w:tblGrid>
        <w:gridCol w:w="4106"/>
        <w:gridCol w:w="1134"/>
        <w:gridCol w:w="1134"/>
        <w:gridCol w:w="1134"/>
        <w:gridCol w:w="1134"/>
      </w:tblGrid>
      <w:tr w:rsidR="00541492" w:rsidRPr="00651675" w14:paraId="0ECC4E4F" w14:textId="77777777" w:rsidTr="63259912">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615546B6" w14:textId="77777777" w:rsidR="00541492" w:rsidRPr="005C363D" w:rsidRDefault="00541492" w:rsidP="63259912">
            <w:pPr>
              <w:rPr>
                <w:b/>
                <w:bCs/>
                <w:sz w:val="22"/>
                <w:szCs w:val="22"/>
                <w:lang w:eastAsia="hr-HR"/>
              </w:rPr>
            </w:pPr>
            <w:r w:rsidRPr="63259912">
              <w:rPr>
                <w:b/>
                <w:bCs/>
                <w:sz w:val="22"/>
                <w:szCs w:val="22"/>
                <w:lang w:eastAsia="hr-HR"/>
              </w:rPr>
              <w:t>Smanjenje emisije CO</w:t>
            </w:r>
            <w:r w:rsidRPr="63259912">
              <w:rPr>
                <w:b/>
                <w:bCs/>
                <w:sz w:val="22"/>
                <w:szCs w:val="22"/>
                <w:vertAlign w:val="subscript"/>
                <w:lang w:eastAsia="hr-HR"/>
              </w:rPr>
              <w:t>2</w:t>
            </w:r>
            <w:r w:rsidRPr="63259912">
              <w:rPr>
                <w:b/>
                <w:bCs/>
                <w:sz w:val="22"/>
                <w:szCs w:val="22"/>
                <w:lang w:eastAsia="hr-HR"/>
              </w:rPr>
              <w:t>e (kt)</w:t>
            </w:r>
          </w:p>
        </w:tc>
        <w:tc>
          <w:tcPr>
            <w:tcW w:w="113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F86AA82" w14:textId="77777777" w:rsidR="00541492" w:rsidRPr="005C363D" w:rsidRDefault="00541492" w:rsidP="00651675">
            <w:pPr>
              <w:jc w:val="center"/>
              <w:rPr>
                <w:b/>
                <w:sz w:val="22"/>
                <w:szCs w:val="22"/>
                <w:lang w:eastAsia="hr-HR"/>
              </w:rPr>
            </w:pPr>
            <w:r w:rsidRPr="005C363D">
              <w:rPr>
                <w:b/>
                <w:sz w:val="22"/>
                <w:szCs w:val="22"/>
                <w:lang w:eastAsia="hr-HR"/>
              </w:rPr>
              <w:t>2025.</w:t>
            </w:r>
          </w:p>
        </w:tc>
        <w:tc>
          <w:tcPr>
            <w:tcW w:w="113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C47F068" w14:textId="77777777" w:rsidR="00541492" w:rsidRPr="005C363D" w:rsidRDefault="00541492" w:rsidP="00651675">
            <w:pPr>
              <w:jc w:val="center"/>
              <w:rPr>
                <w:b/>
                <w:sz w:val="22"/>
                <w:szCs w:val="22"/>
                <w:lang w:eastAsia="hr-HR"/>
              </w:rPr>
            </w:pPr>
            <w:r w:rsidRPr="005C363D">
              <w:rPr>
                <w:b/>
                <w:sz w:val="22"/>
                <w:szCs w:val="22"/>
                <w:lang w:eastAsia="hr-HR"/>
              </w:rPr>
              <w:t>2030.</w:t>
            </w:r>
          </w:p>
        </w:tc>
        <w:tc>
          <w:tcPr>
            <w:tcW w:w="113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EDE7B95" w14:textId="77777777" w:rsidR="00541492" w:rsidRPr="005C363D" w:rsidRDefault="00541492" w:rsidP="00651675">
            <w:pPr>
              <w:jc w:val="center"/>
              <w:rPr>
                <w:b/>
                <w:sz w:val="22"/>
                <w:szCs w:val="22"/>
                <w:lang w:eastAsia="hr-HR"/>
              </w:rPr>
            </w:pPr>
            <w:r w:rsidRPr="005C363D">
              <w:rPr>
                <w:b/>
                <w:sz w:val="22"/>
                <w:szCs w:val="22"/>
                <w:lang w:eastAsia="hr-HR"/>
              </w:rPr>
              <w:t>2035.</w:t>
            </w:r>
          </w:p>
        </w:tc>
        <w:tc>
          <w:tcPr>
            <w:tcW w:w="1134"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837C6A3" w14:textId="77777777" w:rsidR="00541492" w:rsidRPr="005C363D" w:rsidRDefault="00541492" w:rsidP="00651675">
            <w:pPr>
              <w:jc w:val="center"/>
              <w:rPr>
                <w:b/>
                <w:sz w:val="22"/>
                <w:szCs w:val="22"/>
                <w:lang w:eastAsia="hr-HR"/>
              </w:rPr>
            </w:pPr>
            <w:r w:rsidRPr="005C363D">
              <w:rPr>
                <w:b/>
                <w:sz w:val="22"/>
                <w:szCs w:val="22"/>
                <w:lang w:eastAsia="hr-HR"/>
              </w:rPr>
              <w:t>2040.</w:t>
            </w:r>
          </w:p>
        </w:tc>
      </w:tr>
      <w:tr w:rsidR="009974F8" w:rsidRPr="00651675" w14:paraId="29B27CCB" w14:textId="77777777" w:rsidTr="63259912">
        <w:trPr>
          <w:trHeight w:val="255"/>
        </w:trPr>
        <w:tc>
          <w:tcPr>
            <w:tcW w:w="4106" w:type="dxa"/>
            <w:tcBorders>
              <w:top w:val="nil"/>
              <w:left w:val="single" w:sz="4" w:space="0" w:color="auto"/>
              <w:bottom w:val="single" w:sz="4" w:space="0" w:color="auto"/>
              <w:right w:val="single" w:sz="4" w:space="0" w:color="auto"/>
            </w:tcBorders>
            <w:noWrap/>
            <w:vAlign w:val="center"/>
            <w:hideMark/>
          </w:tcPr>
          <w:p w14:paraId="3D78F005" w14:textId="01ED622B" w:rsidR="009974F8" w:rsidRPr="005C363D" w:rsidRDefault="009974F8" w:rsidP="009974F8">
            <w:pPr>
              <w:rPr>
                <w:sz w:val="22"/>
                <w:szCs w:val="22"/>
                <w:lang w:eastAsia="hr-HR"/>
              </w:rPr>
            </w:pPr>
            <w:r w:rsidRPr="005C363D">
              <w:rPr>
                <w:sz w:val="22"/>
                <w:szCs w:val="22"/>
                <w:lang w:eastAsia="hr-HR"/>
              </w:rPr>
              <w:t>Industrijski procesi i upotreba proizvoda</w:t>
            </w:r>
          </w:p>
        </w:tc>
        <w:tc>
          <w:tcPr>
            <w:tcW w:w="1134" w:type="dxa"/>
            <w:tcBorders>
              <w:top w:val="nil"/>
              <w:left w:val="nil"/>
              <w:bottom w:val="single" w:sz="4" w:space="0" w:color="auto"/>
              <w:right w:val="single" w:sz="4" w:space="0" w:color="auto"/>
            </w:tcBorders>
            <w:noWrap/>
          </w:tcPr>
          <w:p w14:paraId="639CC934" w14:textId="27AFA0AA" w:rsidR="009974F8" w:rsidRPr="009974F8" w:rsidRDefault="009974F8" w:rsidP="009974F8">
            <w:pPr>
              <w:jc w:val="right"/>
              <w:rPr>
                <w:sz w:val="22"/>
                <w:szCs w:val="22"/>
                <w:lang w:eastAsia="hr-HR"/>
              </w:rPr>
            </w:pPr>
            <w:r w:rsidRPr="005C0B12">
              <w:rPr>
                <w:sz w:val="22"/>
                <w:szCs w:val="22"/>
              </w:rPr>
              <w:t>9,53</w:t>
            </w:r>
          </w:p>
        </w:tc>
        <w:tc>
          <w:tcPr>
            <w:tcW w:w="1134" w:type="dxa"/>
            <w:tcBorders>
              <w:top w:val="nil"/>
              <w:left w:val="nil"/>
              <w:bottom w:val="single" w:sz="4" w:space="0" w:color="auto"/>
              <w:right w:val="single" w:sz="4" w:space="0" w:color="auto"/>
            </w:tcBorders>
            <w:noWrap/>
          </w:tcPr>
          <w:p w14:paraId="10DFC47B" w14:textId="17B3722D" w:rsidR="009974F8" w:rsidRPr="009974F8" w:rsidRDefault="009974F8" w:rsidP="009974F8">
            <w:pPr>
              <w:jc w:val="right"/>
              <w:rPr>
                <w:sz w:val="22"/>
                <w:szCs w:val="22"/>
                <w:lang w:eastAsia="hr-HR"/>
              </w:rPr>
            </w:pPr>
            <w:r w:rsidRPr="005C0B12">
              <w:rPr>
                <w:sz w:val="22"/>
                <w:szCs w:val="22"/>
              </w:rPr>
              <w:t>737,86</w:t>
            </w:r>
          </w:p>
        </w:tc>
        <w:tc>
          <w:tcPr>
            <w:tcW w:w="1134" w:type="dxa"/>
            <w:tcBorders>
              <w:top w:val="nil"/>
              <w:left w:val="nil"/>
              <w:bottom w:val="single" w:sz="4" w:space="0" w:color="auto"/>
              <w:right w:val="single" w:sz="4" w:space="0" w:color="auto"/>
            </w:tcBorders>
            <w:noWrap/>
          </w:tcPr>
          <w:p w14:paraId="73816E6F" w14:textId="5A2FE8B6" w:rsidR="009974F8" w:rsidRPr="009974F8" w:rsidRDefault="009974F8" w:rsidP="009974F8">
            <w:pPr>
              <w:jc w:val="right"/>
              <w:rPr>
                <w:sz w:val="22"/>
                <w:szCs w:val="22"/>
                <w:lang w:eastAsia="hr-HR"/>
              </w:rPr>
            </w:pPr>
            <w:r w:rsidRPr="005C0B12">
              <w:rPr>
                <w:sz w:val="22"/>
                <w:szCs w:val="22"/>
              </w:rPr>
              <w:t>778,35</w:t>
            </w:r>
          </w:p>
        </w:tc>
        <w:tc>
          <w:tcPr>
            <w:tcW w:w="1134" w:type="dxa"/>
            <w:tcBorders>
              <w:top w:val="nil"/>
              <w:left w:val="nil"/>
              <w:bottom w:val="single" w:sz="4" w:space="0" w:color="auto"/>
              <w:right w:val="single" w:sz="4" w:space="0" w:color="auto"/>
            </w:tcBorders>
            <w:noWrap/>
          </w:tcPr>
          <w:p w14:paraId="47768AAA" w14:textId="7AFF6914" w:rsidR="009974F8" w:rsidRPr="009974F8" w:rsidRDefault="009974F8" w:rsidP="009974F8">
            <w:pPr>
              <w:jc w:val="right"/>
              <w:rPr>
                <w:sz w:val="22"/>
                <w:szCs w:val="22"/>
                <w:lang w:eastAsia="hr-HR"/>
              </w:rPr>
            </w:pPr>
            <w:r w:rsidRPr="005C0B12">
              <w:rPr>
                <w:sz w:val="22"/>
                <w:szCs w:val="22"/>
              </w:rPr>
              <w:t>1.256,67</w:t>
            </w:r>
          </w:p>
        </w:tc>
      </w:tr>
      <w:tr w:rsidR="009974F8" w:rsidRPr="00651675" w14:paraId="6A11E303" w14:textId="77777777" w:rsidTr="63259912">
        <w:trPr>
          <w:trHeight w:val="255"/>
        </w:trPr>
        <w:tc>
          <w:tcPr>
            <w:tcW w:w="4106" w:type="dxa"/>
            <w:tcBorders>
              <w:top w:val="single" w:sz="4" w:space="0" w:color="auto"/>
              <w:left w:val="single" w:sz="4" w:space="0" w:color="auto"/>
              <w:bottom w:val="single" w:sz="4" w:space="0" w:color="auto"/>
              <w:right w:val="single" w:sz="4" w:space="0" w:color="auto"/>
            </w:tcBorders>
            <w:noWrap/>
            <w:vAlign w:val="center"/>
          </w:tcPr>
          <w:p w14:paraId="3F6A33D7" w14:textId="77777777" w:rsidR="009974F8" w:rsidRPr="005C363D" w:rsidRDefault="009974F8" w:rsidP="009974F8">
            <w:pPr>
              <w:rPr>
                <w:sz w:val="22"/>
                <w:szCs w:val="22"/>
                <w:lang w:eastAsia="hr-HR"/>
              </w:rPr>
            </w:pPr>
            <w:r w:rsidRPr="005C363D">
              <w:rPr>
                <w:sz w:val="22"/>
                <w:szCs w:val="22"/>
                <w:lang w:eastAsia="hr-HR"/>
              </w:rPr>
              <w:t>Poljoprivreda</w:t>
            </w:r>
          </w:p>
        </w:tc>
        <w:tc>
          <w:tcPr>
            <w:tcW w:w="1134" w:type="dxa"/>
            <w:tcBorders>
              <w:top w:val="single" w:sz="4" w:space="0" w:color="auto"/>
              <w:left w:val="nil"/>
              <w:bottom w:val="single" w:sz="4" w:space="0" w:color="auto"/>
              <w:right w:val="single" w:sz="4" w:space="0" w:color="auto"/>
            </w:tcBorders>
            <w:noWrap/>
          </w:tcPr>
          <w:p w14:paraId="68538C81" w14:textId="336F11BD" w:rsidR="009974F8" w:rsidRPr="009974F8" w:rsidRDefault="009974F8" w:rsidP="009974F8">
            <w:pPr>
              <w:jc w:val="right"/>
              <w:rPr>
                <w:sz w:val="22"/>
                <w:szCs w:val="22"/>
                <w:lang w:eastAsia="hr-HR"/>
              </w:rPr>
            </w:pPr>
            <w:r w:rsidRPr="005C0B12">
              <w:rPr>
                <w:sz w:val="22"/>
                <w:szCs w:val="22"/>
              </w:rPr>
              <w:t>78,68</w:t>
            </w:r>
          </w:p>
        </w:tc>
        <w:tc>
          <w:tcPr>
            <w:tcW w:w="1134" w:type="dxa"/>
            <w:tcBorders>
              <w:top w:val="single" w:sz="4" w:space="0" w:color="auto"/>
              <w:left w:val="nil"/>
              <w:bottom w:val="single" w:sz="4" w:space="0" w:color="auto"/>
              <w:right w:val="single" w:sz="4" w:space="0" w:color="auto"/>
            </w:tcBorders>
            <w:noWrap/>
          </w:tcPr>
          <w:p w14:paraId="6842230D" w14:textId="470841AC" w:rsidR="009974F8" w:rsidRPr="009974F8" w:rsidRDefault="009974F8" w:rsidP="009974F8">
            <w:pPr>
              <w:jc w:val="right"/>
              <w:rPr>
                <w:sz w:val="22"/>
                <w:szCs w:val="22"/>
                <w:lang w:eastAsia="hr-HR"/>
              </w:rPr>
            </w:pPr>
            <w:r w:rsidRPr="005C0B12">
              <w:rPr>
                <w:sz w:val="22"/>
                <w:szCs w:val="22"/>
              </w:rPr>
              <w:t>112,88</w:t>
            </w:r>
          </w:p>
        </w:tc>
        <w:tc>
          <w:tcPr>
            <w:tcW w:w="1134" w:type="dxa"/>
            <w:tcBorders>
              <w:top w:val="single" w:sz="4" w:space="0" w:color="auto"/>
              <w:left w:val="nil"/>
              <w:bottom w:val="single" w:sz="4" w:space="0" w:color="auto"/>
              <w:right w:val="single" w:sz="4" w:space="0" w:color="auto"/>
            </w:tcBorders>
            <w:noWrap/>
          </w:tcPr>
          <w:p w14:paraId="4C47A308" w14:textId="22CC3E4D" w:rsidR="009974F8" w:rsidRPr="009974F8" w:rsidRDefault="009974F8" w:rsidP="009974F8">
            <w:pPr>
              <w:jc w:val="right"/>
              <w:rPr>
                <w:sz w:val="22"/>
                <w:szCs w:val="22"/>
                <w:lang w:eastAsia="hr-HR"/>
              </w:rPr>
            </w:pPr>
            <w:r w:rsidRPr="005C0B12">
              <w:rPr>
                <w:sz w:val="22"/>
                <w:szCs w:val="22"/>
              </w:rPr>
              <w:t>145,85</w:t>
            </w:r>
          </w:p>
        </w:tc>
        <w:tc>
          <w:tcPr>
            <w:tcW w:w="1134" w:type="dxa"/>
            <w:tcBorders>
              <w:top w:val="single" w:sz="4" w:space="0" w:color="auto"/>
              <w:left w:val="nil"/>
              <w:bottom w:val="single" w:sz="4" w:space="0" w:color="auto"/>
              <w:right w:val="single" w:sz="4" w:space="0" w:color="auto"/>
            </w:tcBorders>
            <w:noWrap/>
          </w:tcPr>
          <w:p w14:paraId="734646AA" w14:textId="107EC925" w:rsidR="009974F8" w:rsidRPr="009974F8" w:rsidRDefault="009974F8" w:rsidP="009974F8">
            <w:pPr>
              <w:jc w:val="right"/>
              <w:rPr>
                <w:sz w:val="22"/>
                <w:szCs w:val="22"/>
                <w:lang w:eastAsia="hr-HR"/>
              </w:rPr>
            </w:pPr>
            <w:r w:rsidRPr="005C0B12">
              <w:rPr>
                <w:sz w:val="22"/>
                <w:szCs w:val="22"/>
              </w:rPr>
              <w:t>180,64</w:t>
            </w:r>
          </w:p>
        </w:tc>
      </w:tr>
      <w:tr w:rsidR="009974F8" w:rsidRPr="00651675" w14:paraId="2BE547FC" w14:textId="77777777" w:rsidTr="63259912">
        <w:trPr>
          <w:trHeight w:val="255"/>
        </w:trPr>
        <w:tc>
          <w:tcPr>
            <w:tcW w:w="4106" w:type="dxa"/>
            <w:tcBorders>
              <w:top w:val="single" w:sz="4" w:space="0" w:color="auto"/>
              <w:left w:val="single" w:sz="4" w:space="0" w:color="auto"/>
              <w:bottom w:val="single" w:sz="4" w:space="0" w:color="auto"/>
              <w:right w:val="single" w:sz="4" w:space="0" w:color="auto"/>
            </w:tcBorders>
            <w:noWrap/>
            <w:vAlign w:val="center"/>
          </w:tcPr>
          <w:p w14:paraId="4B3EE2A6" w14:textId="763C0017" w:rsidR="009974F8" w:rsidRPr="005C363D" w:rsidRDefault="009974F8" w:rsidP="009974F8">
            <w:pPr>
              <w:rPr>
                <w:sz w:val="22"/>
                <w:szCs w:val="22"/>
                <w:lang w:eastAsia="hr-HR"/>
              </w:rPr>
            </w:pPr>
            <w:r w:rsidRPr="005C363D">
              <w:rPr>
                <w:sz w:val="22"/>
                <w:szCs w:val="22"/>
                <w:lang w:eastAsia="hr-HR"/>
              </w:rPr>
              <w:t>LULUCF</w:t>
            </w:r>
          </w:p>
        </w:tc>
        <w:tc>
          <w:tcPr>
            <w:tcW w:w="1134" w:type="dxa"/>
            <w:tcBorders>
              <w:top w:val="single" w:sz="4" w:space="0" w:color="auto"/>
              <w:left w:val="nil"/>
              <w:bottom w:val="single" w:sz="4" w:space="0" w:color="auto"/>
              <w:right w:val="single" w:sz="4" w:space="0" w:color="auto"/>
            </w:tcBorders>
            <w:noWrap/>
          </w:tcPr>
          <w:p w14:paraId="4689DE1C" w14:textId="6AF75A9E" w:rsidR="009974F8" w:rsidRPr="009974F8" w:rsidRDefault="009974F8" w:rsidP="009974F8">
            <w:pPr>
              <w:jc w:val="right"/>
              <w:rPr>
                <w:sz w:val="22"/>
                <w:szCs w:val="22"/>
                <w:lang w:eastAsia="hr-HR"/>
              </w:rPr>
            </w:pPr>
            <w:r w:rsidRPr="005C0B12">
              <w:rPr>
                <w:sz w:val="22"/>
                <w:szCs w:val="22"/>
              </w:rPr>
              <w:t>903,45</w:t>
            </w:r>
          </w:p>
        </w:tc>
        <w:tc>
          <w:tcPr>
            <w:tcW w:w="1134" w:type="dxa"/>
            <w:tcBorders>
              <w:top w:val="single" w:sz="4" w:space="0" w:color="auto"/>
              <w:left w:val="nil"/>
              <w:bottom w:val="single" w:sz="4" w:space="0" w:color="auto"/>
              <w:right w:val="single" w:sz="4" w:space="0" w:color="auto"/>
            </w:tcBorders>
            <w:noWrap/>
          </w:tcPr>
          <w:p w14:paraId="321AAFEA" w14:textId="2E5C58DC" w:rsidR="009974F8" w:rsidRPr="009974F8" w:rsidRDefault="009974F8" w:rsidP="009974F8">
            <w:pPr>
              <w:jc w:val="right"/>
              <w:rPr>
                <w:sz w:val="22"/>
                <w:szCs w:val="22"/>
                <w:lang w:eastAsia="hr-HR"/>
              </w:rPr>
            </w:pPr>
            <w:r w:rsidRPr="005C0B12">
              <w:rPr>
                <w:sz w:val="22"/>
                <w:szCs w:val="22"/>
              </w:rPr>
              <w:t>1.993,36</w:t>
            </w:r>
          </w:p>
        </w:tc>
        <w:tc>
          <w:tcPr>
            <w:tcW w:w="1134" w:type="dxa"/>
            <w:tcBorders>
              <w:top w:val="single" w:sz="4" w:space="0" w:color="auto"/>
              <w:left w:val="nil"/>
              <w:bottom w:val="single" w:sz="4" w:space="0" w:color="auto"/>
              <w:right w:val="single" w:sz="4" w:space="0" w:color="auto"/>
            </w:tcBorders>
            <w:noWrap/>
          </w:tcPr>
          <w:p w14:paraId="44DB7262" w14:textId="2466B7FD" w:rsidR="009974F8" w:rsidRPr="009974F8" w:rsidRDefault="009974F8" w:rsidP="009974F8">
            <w:pPr>
              <w:jc w:val="right"/>
              <w:rPr>
                <w:sz w:val="22"/>
                <w:szCs w:val="22"/>
                <w:lang w:eastAsia="hr-HR"/>
              </w:rPr>
            </w:pPr>
            <w:r w:rsidRPr="005C0B12">
              <w:rPr>
                <w:sz w:val="22"/>
                <w:szCs w:val="22"/>
                <w:lang w:eastAsia="hr-HR"/>
              </w:rPr>
              <w:t>-</w:t>
            </w:r>
          </w:p>
        </w:tc>
        <w:tc>
          <w:tcPr>
            <w:tcW w:w="1134" w:type="dxa"/>
            <w:tcBorders>
              <w:top w:val="single" w:sz="4" w:space="0" w:color="auto"/>
              <w:left w:val="nil"/>
              <w:bottom w:val="single" w:sz="4" w:space="0" w:color="auto"/>
              <w:right w:val="single" w:sz="4" w:space="0" w:color="auto"/>
            </w:tcBorders>
            <w:noWrap/>
          </w:tcPr>
          <w:p w14:paraId="31BFF34B" w14:textId="13AD3BC1" w:rsidR="009974F8" w:rsidRPr="009974F8" w:rsidRDefault="009974F8" w:rsidP="009974F8">
            <w:pPr>
              <w:jc w:val="right"/>
              <w:rPr>
                <w:sz w:val="22"/>
                <w:szCs w:val="22"/>
                <w:lang w:eastAsia="hr-HR"/>
              </w:rPr>
            </w:pPr>
            <w:r w:rsidRPr="005C0B12">
              <w:rPr>
                <w:sz w:val="22"/>
                <w:szCs w:val="22"/>
                <w:lang w:eastAsia="hr-HR"/>
              </w:rPr>
              <w:t>-</w:t>
            </w:r>
          </w:p>
        </w:tc>
      </w:tr>
      <w:tr w:rsidR="009974F8" w:rsidRPr="00651675" w14:paraId="662FAAE7" w14:textId="77777777" w:rsidTr="63259912">
        <w:trPr>
          <w:trHeight w:val="255"/>
        </w:trPr>
        <w:tc>
          <w:tcPr>
            <w:tcW w:w="4106" w:type="dxa"/>
            <w:tcBorders>
              <w:top w:val="single" w:sz="4" w:space="0" w:color="auto"/>
              <w:left w:val="single" w:sz="4" w:space="0" w:color="auto"/>
              <w:bottom w:val="single" w:sz="4" w:space="0" w:color="auto"/>
              <w:right w:val="single" w:sz="4" w:space="0" w:color="auto"/>
            </w:tcBorders>
            <w:noWrap/>
            <w:vAlign w:val="center"/>
          </w:tcPr>
          <w:p w14:paraId="160749D1" w14:textId="77777777" w:rsidR="009974F8" w:rsidRPr="005C363D" w:rsidRDefault="009974F8" w:rsidP="009974F8">
            <w:pPr>
              <w:rPr>
                <w:sz w:val="22"/>
                <w:szCs w:val="22"/>
                <w:lang w:eastAsia="hr-HR"/>
              </w:rPr>
            </w:pPr>
            <w:r w:rsidRPr="005C363D">
              <w:rPr>
                <w:sz w:val="22"/>
                <w:szCs w:val="22"/>
                <w:lang w:eastAsia="hr-HR"/>
              </w:rPr>
              <w:t>Otpad</w:t>
            </w:r>
          </w:p>
        </w:tc>
        <w:tc>
          <w:tcPr>
            <w:tcW w:w="1134" w:type="dxa"/>
            <w:tcBorders>
              <w:top w:val="single" w:sz="4" w:space="0" w:color="auto"/>
              <w:left w:val="nil"/>
              <w:bottom w:val="single" w:sz="4" w:space="0" w:color="auto"/>
              <w:right w:val="single" w:sz="4" w:space="0" w:color="auto"/>
            </w:tcBorders>
            <w:noWrap/>
          </w:tcPr>
          <w:p w14:paraId="30A7A467" w14:textId="27C9B455" w:rsidR="009974F8" w:rsidRPr="009974F8" w:rsidRDefault="009974F8" w:rsidP="009974F8">
            <w:pPr>
              <w:jc w:val="right"/>
              <w:rPr>
                <w:sz w:val="22"/>
                <w:szCs w:val="22"/>
                <w:lang w:eastAsia="hr-HR"/>
              </w:rPr>
            </w:pPr>
            <w:r w:rsidRPr="005C0B12">
              <w:rPr>
                <w:sz w:val="22"/>
                <w:szCs w:val="22"/>
              </w:rPr>
              <w:t>0</w:t>
            </w:r>
          </w:p>
        </w:tc>
        <w:tc>
          <w:tcPr>
            <w:tcW w:w="1134" w:type="dxa"/>
            <w:tcBorders>
              <w:top w:val="single" w:sz="4" w:space="0" w:color="auto"/>
              <w:left w:val="nil"/>
              <w:bottom w:val="single" w:sz="4" w:space="0" w:color="auto"/>
              <w:right w:val="single" w:sz="4" w:space="0" w:color="auto"/>
            </w:tcBorders>
            <w:noWrap/>
          </w:tcPr>
          <w:p w14:paraId="2A5AD637" w14:textId="0017F481" w:rsidR="009974F8" w:rsidRPr="009974F8" w:rsidRDefault="009974F8" w:rsidP="009974F8">
            <w:pPr>
              <w:jc w:val="right"/>
              <w:rPr>
                <w:sz w:val="22"/>
                <w:szCs w:val="22"/>
                <w:lang w:eastAsia="hr-HR"/>
              </w:rPr>
            </w:pPr>
            <w:r w:rsidRPr="005C0B12">
              <w:rPr>
                <w:sz w:val="22"/>
                <w:szCs w:val="22"/>
              </w:rPr>
              <w:t>0</w:t>
            </w:r>
          </w:p>
        </w:tc>
        <w:tc>
          <w:tcPr>
            <w:tcW w:w="1134" w:type="dxa"/>
            <w:tcBorders>
              <w:top w:val="single" w:sz="4" w:space="0" w:color="auto"/>
              <w:left w:val="nil"/>
              <w:bottom w:val="single" w:sz="4" w:space="0" w:color="auto"/>
              <w:right w:val="single" w:sz="4" w:space="0" w:color="auto"/>
            </w:tcBorders>
            <w:noWrap/>
          </w:tcPr>
          <w:p w14:paraId="79D8CACD" w14:textId="320BA140" w:rsidR="009974F8" w:rsidRPr="009974F8" w:rsidRDefault="009974F8" w:rsidP="009974F8">
            <w:pPr>
              <w:jc w:val="right"/>
              <w:rPr>
                <w:sz w:val="22"/>
                <w:szCs w:val="22"/>
                <w:lang w:eastAsia="hr-HR"/>
              </w:rPr>
            </w:pPr>
            <w:r w:rsidRPr="005C0B12">
              <w:rPr>
                <w:sz w:val="22"/>
                <w:szCs w:val="22"/>
              </w:rPr>
              <w:t>0</w:t>
            </w:r>
          </w:p>
        </w:tc>
        <w:tc>
          <w:tcPr>
            <w:tcW w:w="1134" w:type="dxa"/>
            <w:tcBorders>
              <w:top w:val="single" w:sz="4" w:space="0" w:color="auto"/>
              <w:left w:val="nil"/>
              <w:bottom w:val="single" w:sz="4" w:space="0" w:color="auto"/>
              <w:right w:val="single" w:sz="4" w:space="0" w:color="auto"/>
            </w:tcBorders>
            <w:noWrap/>
          </w:tcPr>
          <w:p w14:paraId="0CE91DFA" w14:textId="0335EA6C" w:rsidR="009974F8" w:rsidRPr="009974F8" w:rsidRDefault="009974F8" w:rsidP="009974F8">
            <w:pPr>
              <w:jc w:val="right"/>
              <w:rPr>
                <w:sz w:val="22"/>
                <w:szCs w:val="22"/>
                <w:lang w:eastAsia="hr-HR"/>
              </w:rPr>
            </w:pPr>
            <w:r w:rsidRPr="005C0B12">
              <w:rPr>
                <w:sz w:val="22"/>
                <w:szCs w:val="22"/>
              </w:rPr>
              <w:t>0</w:t>
            </w:r>
          </w:p>
        </w:tc>
      </w:tr>
      <w:tr w:rsidR="009974F8" w:rsidRPr="00651675" w14:paraId="4594193D" w14:textId="77777777" w:rsidTr="63259912">
        <w:trPr>
          <w:trHeight w:val="255"/>
        </w:trPr>
        <w:tc>
          <w:tcPr>
            <w:tcW w:w="4106" w:type="dxa"/>
            <w:tcBorders>
              <w:top w:val="single" w:sz="4" w:space="0" w:color="auto"/>
              <w:left w:val="single" w:sz="4" w:space="0" w:color="auto"/>
              <w:bottom w:val="single" w:sz="4" w:space="0" w:color="auto"/>
              <w:right w:val="single" w:sz="4" w:space="0" w:color="auto"/>
            </w:tcBorders>
            <w:noWrap/>
            <w:vAlign w:val="center"/>
          </w:tcPr>
          <w:p w14:paraId="4DBC4AC4" w14:textId="77777777" w:rsidR="009974F8" w:rsidRPr="005C363D" w:rsidRDefault="009974F8" w:rsidP="009974F8">
            <w:pPr>
              <w:rPr>
                <w:sz w:val="22"/>
                <w:szCs w:val="22"/>
                <w:lang w:eastAsia="hr-HR"/>
              </w:rPr>
            </w:pPr>
            <w:r w:rsidRPr="005C363D">
              <w:rPr>
                <w:sz w:val="22"/>
                <w:szCs w:val="22"/>
                <w:lang w:eastAsia="hr-HR"/>
              </w:rPr>
              <w:t>Potencijal smanjenja emisije – ne-energetski izvori</w:t>
            </w:r>
          </w:p>
        </w:tc>
        <w:tc>
          <w:tcPr>
            <w:tcW w:w="1134" w:type="dxa"/>
            <w:tcBorders>
              <w:top w:val="single" w:sz="4" w:space="0" w:color="auto"/>
              <w:left w:val="nil"/>
              <w:bottom w:val="single" w:sz="4" w:space="0" w:color="auto"/>
              <w:right w:val="single" w:sz="4" w:space="0" w:color="auto"/>
            </w:tcBorders>
            <w:noWrap/>
          </w:tcPr>
          <w:p w14:paraId="4B8D1BCB" w14:textId="466EEE00" w:rsidR="009974F8" w:rsidRPr="009974F8" w:rsidDel="00B670F5" w:rsidRDefault="009974F8" w:rsidP="009974F8">
            <w:pPr>
              <w:jc w:val="right"/>
              <w:rPr>
                <w:sz w:val="22"/>
                <w:szCs w:val="22"/>
                <w:lang w:eastAsia="hr-HR"/>
              </w:rPr>
            </w:pPr>
            <w:r w:rsidRPr="005C0B12">
              <w:rPr>
                <w:sz w:val="22"/>
                <w:szCs w:val="22"/>
              </w:rPr>
              <w:t>88,21</w:t>
            </w:r>
          </w:p>
        </w:tc>
        <w:tc>
          <w:tcPr>
            <w:tcW w:w="1134" w:type="dxa"/>
            <w:tcBorders>
              <w:top w:val="single" w:sz="4" w:space="0" w:color="auto"/>
              <w:left w:val="nil"/>
              <w:bottom w:val="single" w:sz="4" w:space="0" w:color="auto"/>
              <w:right w:val="single" w:sz="4" w:space="0" w:color="auto"/>
            </w:tcBorders>
            <w:noWrap/>
          </w:tcPr>
          <w:p w14:paraId="7F70055F" w14:textId="28AD5BC2" w:rsidR="009974F8" w:rsidRPr="009974F8" w:rsidDel="00B670F5" w:rsidRDefault="009974F8" w:rsidP="009974F8">
            <w:pPr>
              <w:jc w:val="right"/>
              <w:rPr>
                <w:sz w:val="22"/>
                <w:szCs w:val="22"/>
                <w:lang w:eastAsia="hr-HR"/>
              </w:rPr>
            </w:pPr>
            <w:r w:rsidRPr="005C0B12">
              <w:rPr>
                <w:sz w:val="22"/>
                <w:szCs w:val="22"/>
              </w:rPr>
              <w:t>850,73</w:t>
            </w:r>
          </w:p>
        </w:tc>
        <w:tc>
          <w:tcPr>
            <w:tcW w:w="1134" w:type="dxa"/>
            <w:tcBorders>
              <w:top w:val="single" w:sz="4" w:space="0" w:color="auto"/>
              <w:left w:val="nil"/>
              <w:bottom w:val="single" w:sz="4" w:space="0" w:color="auto"/>
              <w:right w:val="single" w:sz="4" w:space="0" w:color="auto"/>
            </w:tcBorders>
            <w:noWrap/>
          </w:tcPr>
          <w:p w14:paraId="078B0A6C" w14:textId="1DA5DF38" w:rsidR="009974F8" w:rsidRPr="009974F8" w:rsidDel="00B670F5" w:rsidRDefault="009974F8" w:rsidP="009974F8">
            <w:pPr>
              <w:jc w:val="right"/>
              <w:rPr>
                <w:sz w:val="22"/>
                <w:szCs w:val="22"/>
                <w:lang w:eastAsia="hr-HR"/>
              </w:rPr>
            </w:pPr>
            <w:r w:rsidRPr="005C0B12">
              <w:rPr>
                <w:sz w:val="22"/>
                <w:szCs w:val="22"/>
              </w:rPr>
              <w:t>924,20</w:t>
            </w:r>
          </w:p>
        </w:tc>
        <w:tc>
          <w:tcPr>
            <w:tcW w:w="1134" w:type="dxa"/>
            <w:tcBorders>
              <w:top w:val="single" w:sz="4" w:space="0" w:color="auto"/>
              <w:left w:val="nil"/>
              <w:bottom w:val="single" w:sz="4" w:space="0" w:color="auto"/>
              <w:right w:val="single" w:sz="4" w:space="0" w:color="auto"/>
            </w:tcBorders>
            <w:noWrap/>
          </w:tcPr>
          <w:p w14:paraId="7C1B7CEA" w14:textId="7F713497" w:rsidR="009974F8" w:rsidRPr="009974F8" w:rsidDel="00B670F5" w:rsidRDefault="009974F8" w:rsidP="009974F8">
            <w:pPr>
              <w:jc w:val="right"/>
              <w:rPr>
                <w:sz w:val="22"/>
                <w:szCs w:val="22"/>
                <w:lang w:eastAsia="hr-HR"/>
              </w:rPr>
            </w:pPr>
            <w:r w:rsidRPr="005C0B12">
              <w:rPr>
                <w:sz w:val="22"/>
                <w:szCs w:val="22"/>
              </w:rPr>
              <w:t>1.437,31</w:t>
            </w:r>
          </w:p>
        </w:tc>
      </w:tr>
    </w:tbl>
    <w:p w14:paraId="6C2A2F24" w14:textId="77777777" w:rsidR="004755CE" w:rsidRDefault="004755CE" w:rsidP="004623DD"/>
    <w:p w14:paraId="558E8E06" w14:textId="18DE48D4" w:rsidR="00A2539F" w:rsidRDefault="006C4D23" w:rsidP="004623DD">
      <w:r w:rsidRPr="00B47BDA">
        <w:t xml:space="preserve">Ukupne emisije stakleničkih plinova u Republici Hrvatskoj prikazuje </w:t>
      </w:r>
      <w:r w:rsidR="00C01B98" w:rsidRPr="00B47BDA">
        <w:fldChar w:fldCharType="begin"/>
      </w:r>
      <w:r w:rsidR="00C01B98" w:rsidRPr="00B47BDA">
        <w:rPr>
          <w:highlight w:val="yellow"/>
        </w:rPr>
        <w:instrText xml:space="preserve"> REF _Ref531872591 \h </w:instrText>
      </w:r>
      <w:r w:rsidR="00C01442" w:rsidRPr="00B47BDA">
        <w:rPr>
          <w:highlight w:val="yellow"/>
        </w:rPr>
        <w:instrText xml:space="preserve"> \* MERGEFORMAT </w:instrText>
      </w:r>
      <w:r w:rsidR="00C01B98" w:rsidRPr="00B47BDA">
        <w:fldChar w:fldCharType="separate"/>
      </w:r>
      <w:r w:rsidR="00AD324D" w:rsidRPr="009C6A24">
        <w:t xml:space="preserve">Slika </w:t>
      </w:r>
      <w:r w:rsidR="00AD324D">
        <w:t>5</w:t>
      </w:r>
      <w:r w:rsidR="00AD324D">
        <w:noBreakHyphen/>
        <w:t>3</w:t>
      </w:r>
      <w:r w:rsidR="00C01B98" w:rsidRPr="00B47BDA">
        <w:fldChar w:fldCharType="end"/>
      </w:r>
      <w:r w:rsidR="00F6540D" w:rsidRPr="00B47BDA">
        <w:t>.</w:t>
      </w:r>
      <w:r w:rsidRPr="00B47BDA">
        <w:t xml:space="preserve"> Prikazan je trend povijesnih emisija i očekivanog smanjenja emisija za scenarij s postojećim mjerama </w:t>
      </w:r>
      <w:r w:rsidR="00125864" w:rsidRPr="00B47BDA">
        <w:t xml:space="preserve">(WEM) </w:t>
      </w:r>
      <w:r w:rsidR="00483D4C" w:rsidRPr="00B47BDA">
        <w:t>i scenarij s dodatnim mjerama</w:t>
      </w:r>
      <w:r w:rsidR="00125864" w:rsidRPr="00B47BDA">
        <w:t xml:space="preserve"> (WAM).</w:t>
      </w:r>
      <w:r w:rsidRPr="00B47BDA">
        <w:t xml:space="preserve"> </w:t>
      </w:r>
      <w:r w:rsidR="00483D4C" w:rsidRPr="00B47BDA">
        <w:t xml:space="preserve">Emisija stakleničkih plinova bi u 2030. godini bila za </w:t>
      </w:r>
      <w:r w:rsidR="00125864" w:rsidRPr="00B47BDA">
        <w:t>2</w:t>
      </w:r>
      <w:r w:rsidR="008D4724">
        <w:t>5,8</w:t>
      </w:r>
      <w:r w:rsidR="00125864" w:rsidRPr="00B47BDA">
        <w:t xml:space="preserve"> – </w:t>
      </w:r>
      <w:r w:rsidR="00E668BF">
        <w:t>40,</w:t>
      </w:r>
      <w:r w:rsidR="008D4724">
        <w:t>3</w:t>
      </w:r>
      <w:r w:rsidR="00025FEF" w:rsidRPr="00B47BDA">
        <w:t xml:space="preserve"> </w:t>
      </w:r>
      <w:r w:rsidR="00483D4C" w:rsidRPr="00B47BDA">
        <w:t>% manja od razine emisije iz 1990. godine</w:t>
      </w:r>
      <w:r w:rsidRPr="00B47BDA">
        <w:t>.</w:t>
      </w:r>
    </w:p>
    <w:p w14:paraId="4E09500C" w14:textId="77777777" w:rsidR="00A2539F" w:rsidRDefault="00A2539F">
      <w:pPr>
        <w:spacing w:after="0"/>
      </w:pPr>
      <w:r>
        <w:br w:type="page"/>
      </w:r>
    </w:p>
    <w:p w14:paraId="7AD2B44E" w14:textId="12D3C7DA" w:rsidR="004B1B9C" w:rsidRDefault="004B1B9C" w:rsidP="00651675">
      <w:pPr>
        <w:jc w:val="center"/>
      </w:pPr>
    </w:p>
    <w:p w14:paraId="4F639FCE" w14:textId="394953E2" w:rsidR="008D4724" w:rsidRPr="005C363D" w:rsidRDefault="00BF777A" w:rsidP="00651675">
      <w:pPr>
        <w:jc w:val="center"/>
      </w:pPr>
      <w:r>
        <w:rPr>
          <w:noProof/>
        </w:rPr>
        <w:drawing>
          <wp:inline distT="0" distB="0" distL="0" distR="0" wp14:anchorId="4D23E336" wp14:editId="5A019752">
            <wp:extent cx="4659464" cy="2901321"/>
            <wp:effectExtent l="0" t="0" r="8255" b="0"/>
            <wp:docPr id="1727086692" name="Slika 4"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86692" name="Slika 4" descr="A graph of a number of people&#10;&#10;Description automatically generated with medium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64462" cy="2904433"/>
                    </a:xfrm>
                    <a:prstGeom prst="rect">
                      <a:avLst/>
                    </a:prstGeom>
                    <a:noFill/>
                  </pic:spPr>
                </pic:pic>
              </a:graphicData>
            </a:graphic>
          </wp:inline>
        </w:drawing>
      </w:r>
    </w:p>
    <w:p w14:paraId="3B68A9E7" w14:textId="270EFF49" w:rsidR="006C4D23" w:rsidRPr="00B47BDA" w:rsidRDefault="00C01B98" w:rsidP="004623DD">
      <w:pPr>
        <w:pStyle w:val="Caption"/>
      </w:pPr>
      <w:bookmarkStart w:id="697" w:name="_Ref531872591"/>
      <w:bookmarkStart w:id="698" w:name="_Toc185605278"/>
      <w:bookmarkStart w:id="699" w:name="_Toc193035924"/>
      <w:r w:rsidRPr="009C6A24">
        <w:t xml:space="preserve">Slika </w:t>
      </w:r>
      <w:r>
        <w:fldChar w:fldCharType="begin"/>
      </w:r>
      <w:r>
        <w:instrText>STYLEREF 1 \s</w:instrText>
      </w:r>
      <w:r>
        <w:fldChar w:fldCharType="separate"/>
      </w:r>
      <w:r w:rsidR="00AD324D">
        <w:rPr>
          <w:noProof/>
        </w:rPr>
        <w:t>5</w:t>
      </w:r>
      <w:r>
        <w:fldChar w:fldCharType="end"/>
      </w:r>
      <w:r w:rsidR="00257B39">
        <w:t>–</w:t>
      </w:r>
      <w:r>
        <w:fldChar w:fldCharType="begin"/>
      </w:r>
      <w:r>
        <w:instrText>SEQ Slika \* ARABIC \s 1</w:instrText>
      </w:r>
      <w:r>
        <w:fldChar w:fldCharType="separate"/>
      </w:r>
      <w:r w:rsidR="00AD324D">
        <w:rPr>
          <w:noProof/>
        </w:rPr>
        <w:t>3</w:t>
      </w:r>
      <w:r>
        <w:fldChar w:fldCharType="end"/>
      </w:r>
      <w:bookmarkEnd w:id="697"/>
      <w:r w:rsidRPr="009C6A24">
        <w:t xml:space="preserve">. Projekcija ukupnih emisija stakleničkih plinova, za scenarij s postojećim mjerama </w:t>
      </w:r>
      <w:r w:rsidR="00402689" w:rsidRPr="009C6A24">
        <w:t>(WEM)</w:t>
      </w:r>
      <w:r w:rsidRPr="009C6A24">
        <w:t xml:space="preserve"> i</w:t>
      </w:r>
      <w:r w:rsidR="00374BF2" w:rsidRPr="009C6A24">
        <w:t xml:space="preserve"> </w:t>
      </w:r>
      <w:r w:rsidR="006C4D23" w:rsidRPr="009C6A24">
        <w:t>scenarij s dodatnim mjerama</w:t>
      </w:r>
      <w:r w:rsidR="00402689" w:rsidRPr="009C6A24">
        <w:t xml:space="preserve"> (WAM)</w:t>
      </w:r>
      <w:bookmarkEnd w:id="698"/>
      <w:bookmarkEnd w:id="699"/>
    </w:p>
    <w:p w14:paraId="06C4808E" w14:textId="102A0AAB" w:rsidR="006D3251" w:rsidRPr="004461D7" w:rsidRDefault="00304E83" w:rsidP="00304E83">
      <w:r w:rsidRPr="004461D7">
        <w:t>Trendovi u emisijama, po stakleničkim plinovima (CO</w:t>
      </w:r>
      <w:r w:rsidRPr="004461D7">
        <w:rPr>
          <w:vertAlign w:val="subscript"/>
        </w:rPr>
        <w:t>2</w:t>
      </w:r>
      <w:r w:rsidRPr="004461D7">
        <w:t>, CH</w:t>
      </w:r>
      <w:r w:rsidRPr="004461D7">
        <w:rPr>
          <w:vertAlign w:val="subscript"/>
        </w:rPr>
        <w:t>4</w:t>
      </w:r>
      <w:r w:rsidRPr="004461D7">
        <w:t>, N</w:t>
      </w:r>
      <w:r w:rsidRPr="004461D7">
        <w:rPr>
          <w:vertAlign w:val="subscript"/>
        </w:rPr>
        <w:t>2</w:t>
      </w:r>
      <w:r w:rsidRPr="004461D7">
        <w:t>O, HFC, SF</w:t>
      </w:r>
      <w:r w:rsidRPr="004461D7">
        <w:rPr>
          <w:vertAlign w:val="subscript"/>
        </w:rPr>
        <w:t>6</w:t>
      </w:r>
      <w:r w:rsidRPr="004461D7">
        <w:t>), za scenarij s postojećim mjerama (WEM) i scenarij s dodatnim mjerama (WAM) u razdoblju od 2020. do 2040. godine prikazane su u Tablici 5-3.</w:t>
      </w:r>
    </w:p>
    <w:p w14:paraId="22DF5B4F" w14:textId="625DDC4B" w:rsidR="00304E83" w:rsidRPr="00304E83" w:rsidRDefault="00304E83" w:rsidP="00304E83">
      <w:pPr>
        <w:pStyle w:val="Caption"/>
      </w:pPr>
      <w:bookmarkStart w:id="700" w:name="_Toc193035974"/>
      <w:r w:rsidRPr="63259912">
        <w:t xml:space="preserve">Tablica </w:t>
      </w:r>
      <w:r>
        <w:fldChar w:fldCharType="begin"/>
      </w:r>
      <w:r>
        <w:instrText>STYLEREF 1 \s</w:instrText>
      </w:r>
      <w:r>
        <w:fldChar w:fldCharType="separate"/>
      </w:r>
      <w:r w:rsidR="00AD324D" w:rsidRPr="63259912">
        <w:rPr>
          <w:noProof/>
        </w:rPr>
        <w:t>5</w:t>
      </w:r>
      <w:r>
        <w:fldChar w:fldCharType="end"/>
      </w:r>
      <w:r w:rsidRPr="00304E83">
        <w:noBreakHyphen/>
      </w:r>
      <w:r>
        <w:fldChar w:fldCharType="begin"/>
      </w:r>
      <w:r>
        <w:instrText>SEQ Tablica \* ARABIC \s 1</w:instrText>
      </w:r>
      <w:r>
        <w:fldChar w:fldCharType="separate"/>
      </w:r>
      <w:r w:rsidR="00D978B0" w:rsidRPr="63259912">
        <w:rPr>
          <w:noProof/>
        </w:rPr>
        <w:t>3</w:t>
      </w:r>
      <w:r>
        <w:fldChar w:fldCharType="end"/>
      </w:r>
      <w:r w:rsidRPr="63259912">
        <w:t>. Projekcije emisija stakleničkih plinova CO</w:t>
      </w:r>
      <w:r w:rsidRPr="63259912">
        <w:rPr>
          <w:vertAlign w:val="subscript"/>
        </w:rPr>
        <w:t>2</w:t>
      </w:r>
      <w:r w:rsidRPr="63259912">
        <w:t>, CH</w:t>
      </w:r>
      <w:r w:rsidRPr="63259912">
        <w:rPr>
          <w:vertAlign w:val="subscript"/>
        </w:rPr>
        <w:t>4</w:t>
      </w:r>
      <w:r w:rsidRPr="63259912">
        <w:t>, N</w:t>
      </w:r>
      <w:r w:rsidRPr="63259912">
        <w:rPr>
          <w:vertAlign w:val="subscript"/>
        </w:rPr>
        <w:t>2</w:t>
      </w:r>
      <w:r w:rsidRPr="63259912">
        <w:t>O, HFC, SF</w:t>
      </w:r>
      <w:r w:rsidRPr="63259912">
        <w:rPr>
          <w:vertAlign w:val="subscript"/>
        </w:rPr>
        <w:t>6</w:t>
      </w:r>
      <w:r w:rsidRPr="63259912">
        <w:t>, kt CO</w:t>
      </w:r>
      <w:r w:rsidRPr="63259912">
        <w:rPr>
          <w:vertAlign w:val="subscript"/>
        </w:rPr>
        <w:t>2</w:t>
      </w:r>
      <w:r w:rsidRPr="63259912">
        <w:t>e</w:t>
      </w:r>
      <w:bookmarkEnd w:id="700"/>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361"/>
        <w:gridCol w:w="1361"/>
        <w:gridCol w:w="1361"/>
        <w:gridCol w:w="1361"/>
        <w:gridCol w:w="1361"/>
      </w:tblGrid>
      <w:tr w:rsidR="009A25AC" w:rsidRPr="00304E83" w14:paraId="66D0836D" w14:textId="77777777" w:rsidTr="002F75BA">
        <w:trPr>
          <w:trHeight w:val="288"/>
          <w:jc w:val="center"/>
        </w:trPr>
        <w:tc>
          <w:tcPr>
            <w:tcW w:w="1701" w:type="dxa"/>
            <w:shd w:val="clear" w:color="auto" w:fill="D9E2F3" w:themeFill="accent5" w:themeFillTint="33"/>
            <w:noWrap/>
            <w:vAlign w:val="center"/>
          </w:tcPr>
          <w:p w14:paraId="6DBEBBA4" w14:textId="788F702E" w:rsidR="009A25AC" w:rsidRPr="00761661" w:rsidRDefault="009A25AC" w:rsidP="00314350">
            <w:pPr>
              <w:spacing w:beforeLines="20" w:before="48" w:afterLines="20" w:after="48"/>
              <w:rPr>
                <w:rFonts w:asciiTheme="minorHAnsi" w:hAnsiTheme="minorHAnsi" w:cstheme="minorHAnsi"/>
                <w:b/>
                <w:sz w:val="22"/>
                <w:szCs w:val="22"/>
              </w:rPr>
            </w:pPr>
            <w:r w:rsidRPr="00761661">
              <w:rPr>
                <w:rFonts w:asciiTheme="minorHAnsi" w:hAnsiTheme="minorHAnsi" w:cstheme="minorHAnsi"/>
                <w:b/>
                <w:sz w:val="22"/>
                <w:szCs w:val="22"/>
              </w:rPr>
              <w:t>WEM</w:t>
            </w:r>
            <w:r w:rsidR="002F7D55">
              <w:rPr>
                <w:rFonts w:asciiTheme="minorHAnsi" w:hAnsiTheme="minorHAnsi" w:cstheme="minorHAnsi"/>
                <w:b/>
                <w:sz w:val="22"/>
                <w:szCs w:val="22"/>
              </w:rPr>
              <w:t>*</w:t>
            </w:r>
          </w:p>
        </w:tc>
        <w:tc>
          <w:tcPr>
            <w:tcW w:w="1361" w:type="dxa"/>
            <w:shd w:val="clear" w:color="auto" w:fill="D9E2F3" w:themeFill="accent5" w:themeFillTint="33"/>
            <w:noWrap/>
            <w:vAlign w:val="center"/>
            <w:hideMark/>
          </w:tcPr>
          <w:p w14:paraId="49316988" w14:textId="77777777" w:rsidR="009A25AC" w:rsidRPr="004461D7" w:rsidRDefault="009A25AC" w:rsidP="00314350">
            <w:pPr>
              <w:spacing w:beforeLines="20" w:before="48" w:afterLines="20" w:after="48"/>
              <w:jc w:val="center"/>
              <w:rPr>
                <w:rFonts w:asciiTheme="minorHAnsi" w:hAnsiTheme="minorHAnsi" w:cstheme="minorHAnsi"/>
                <w:b/>
                <w:sz w:val="22"/>
                <w:szCs w:val="22"/>
              </w:rPr>
            </w:pPr>
            <w:r w:rsidRPr="004461D7">
              <w:rPr>
                <w:rFonts w:asciiTheme="minorHAnsi" w:hAnsiTheme="minorHAnsi" w:cstheme="minorHAnsi"/>
                <w:b/>
                <w:sz w:val="22"/>
                <w:szCs w:val="22"/>
              </w:rPr>
              <w:t>2020.</w:t>
            </w:r>
          </w:p>
        </w:tc>
        <w:tc>
          <w:tcPr>
            <w:tcW w:w="1361" w:type="dxa"/>
            <w:shd w:val="clear" w:color="auto" w:fill="D9E2F3" w:themeFill="accent5" w:themeFillTint="33"/>
            <w:vAlign w:val="center"/>
          </w:tcPr>
          <w:p w14:paraId="073CABB3" w14:textId="21BFDC5D" w:rsidR="009A25AC" w:rsidRPr="004461D7" w:rsidRDefault="009A25AC" w:rsidP="00314350">
            <w:pPr>
              <w:spacing w:beforeLines="20" w:before="48" w:afterLines="20" w:after="48"/>
              <w:jc w:val="center"/>
              <w:rPr>
                <w:rFonts w:asciiTheme="minorHAnsi" w:hAnsiTheme="minorHAnsi" w:cstheme="minorHAnsi"/>
                <w:b/>
                <w:sz w:val="22"/>
                <w:szCs w:val="22"/>
              </w:rPr>
            </w:pPr>
            <w:r>
              <w:rPr>
                <w:rFonts w:asciiTheme="minorHAnsi" w:hAnsiTheme="minorHAnsi" w:cstheme="minorHAnsi"/>
                <w:b/>
                <w:sz w:val="22"/>
                <w:szCs w:val="22"/>
              </w:rPr>
              <w:t>2022.</w:t>
            </w:r>
          </w:p>
        </w:tc>
        <w:tc>
          <w:tcPr>
            <w:tcW w:w="1361" w:type="dxa"/>
            <w:shd w:val="clear" w:color="auto" w:fill="D9E2F3" w:themeFill="accent5" w:themeFillTint="33"/>
            <w:vAlign w:val="center"/>
          </w:tcPr>
          <w:p w14:paraId="07AA5011" w14:textId="7DE64D9E" w:rsidR="009A25AC" w:rsidRPr="004461D7" w:rsidRDefault="009A25AC" w:rsidP="00314350">
            <w:pPr>
              <w:spacing w:beforeLines="20" w:before="48" w:afterLines="20" w:after="48"/>
              <w:jc w:val="center"/>
              <w:rPr>
                <w:rFonts w:asciiTheme="minorHAnsi" w:hAnsiTheme="minorHAnsi" w:cstheme="minorHAnsi"/>
                <w:b/>
                <w:sz w:val="22"/>
                <w:szCs w:val="22"/>
              </w:rPr>
            </w:pPr>
            <w:r w:rsidRPr="004461D7">
              <w:rPr>
                <w:rFonts w:asciiTheme="minorHAnsi" w:hAnsiTheme="minorHAnsi" w:cstheme="minorHAnsi"/>
                <w:b/>
                <w:sz w:val="22"/>
                <w:szCs w:val="22"/>
              </w:rPr>
              <w:t>2025.</w:t>
            </w:r>
          </w:p>
        </w:tc>
        <w:tc>
          <w:tcPr>
            <w:tcW w:w="1361" w:type="dxa"/>
            <w:shd w:val="clear" w:color="auto" w:fill="D9E2F3" w:themeFill="accent5" w:themeFillTint="33"/>
            <w:noWrap/>
            <w:vAlign w:val="center"/>
            <w:hideMark/>
          </w:tcPr>
          <w:p w14:paraId="2BCE3E7F" w14:textId="77777777" w:rsidR="009A25AC" w:rsidRPr="004461D7" w:rsidRDefault="009A25AC" w:rsidP="00314350">
            <w:pPr>
              <w:spacing w:beforeLines="20" w:before="48" w:afterLines="20" w:after="48"/>
              <w:jc w:val="center"/>
              <w:rPr>
                <w:rFonts w:asciiTheme="minorHAnsi" w:hAnsiTheme="minorHAnsi" w:cstheme="minorHAnsi"/>
                <w:b/>
                <w:sz w:val="22"/>
                <w:szCs w:val="22"/>
              </w:rPr>
            </w:pPr>
            <w:r w:rsidRPr="004461D7">
              <w:rPr>
                <w:rFonts w:asciiTheme="minorHAnsi" w:hAnsiTheme="minorHAnsi" w:cstheme="minorHAnsi"/>
                <w:b/>
                <w:sz w:val="22"/>
                <w:szCs w:val="22"/>
              </w:rPr>
              <w:t>2030.</w:t>
            </w:r>
          </w:p>
        </w:tc>
        <w:tc>
          <w:tcPr>
            <w:tcW w:w="1361" w:type="dxa"/>
            <w:shd w:val="clear" w:color="auto" w:fill="D9E2F3" w:themeFill="accent5" w:themeFillTint="33"/>
            <w:vAlign w:val="center"/>
          </w:tcPr>
          <w:p w14:paraId="224048F5" w14:textId="77777777" w:rsidR="009A25AC" w:rsidRPr="004461D7" w:rsidRDefault="009A25AC" w:rsidP="00314350">
            <w:pPr>
              <w:spacing w:beforeLines="20" w:before="48" w:afterLines="20" w:after="48"/>
              <w:jc w:val="center"/>
              <w:rPr>
                <w:rFonts w:asciiTheme="minorHAnsi" w:hAnsiTheme="minorHAnsi" w:cstheme="minorHAnsi"/>
                <w:b/>
                <w:sz w:val="22"/>
                <w:szCs w:val="22"/>
              </w:rPr>
            </w:pPr>
            <w:r w:rsidRPr="004461D7">
              <w:rPr>
                <w:rFonts w:asciiTheme="minorHAnsi" w:hAnsiTheme="minorHAnsi" w:cstheme="minorHAnsi"/>
                <w:b/>
                <w:sz w:val="22"/>
                <w:szCs w:val="22"/>
              </w:rPr>
              <w:t>2035.</w:t>
            </w:r>
          </w:p>
        </w:tc>
        <w:tc>
          <w:tcPr>
            <w:tcW w:w="1361" w:type="dxa"/>
            <w:shd w:val="clear" w:color="auto" w:fill="D9E2F3" w:themeFill="accent5" w:themeFillTint="33"/>
            <w:noWrap/>
            <w:vAlign w:val="center"/>
            <w:hideMark/>
          </w:tcPr>
          <w:p w14:paraId="173BA909" w14:textId="77777777" w:rsidR="009A25AC" w:rsidRPr="004461D7" w:rsidRDefault="009A25AC" w:rsidP="00314350">
            <w:pPr>
              <w:spacing w:beforeLines="20" w:before="48" w:afterLines="20" w:after="48"/>
              <w:jc w:val="center"/>
              <w:rPr>
                <w:rFonts w:asciiTheme="minorHAnsi" w:hAnsiTheme="minorHAnsi" w:cstheme="minorHAnsi"/>
                <w:b/>
                <w:sz w:val="22"/>
                <w:szCs w:val="22"/>
              </w:rPr>
            </w:pPr>
            <w:r w:rsidRPr="004461D7">
              <w:rPr>
                <w:rFonts w:asciiTheme="minorHAnsi" w:hAnsiTheme="minorHAnsi" w:cstheme="minorHAnsi"/>
                <w:b/>
                <w:sz w:val="22"/>
                <w:szCs w:val="22"/>
              </w:rPr>
              <w:t>2040.</w:t>
            </w:r>
          </w:p>
        </w:tc>
      </w:tr>
      <w:tr w:rsidR="00E51005" w:rsidRPr="00304E83" w14:paraId="335D46D1" w14:textId="77777777" w:rsidTr="002F75BA">
        <w:trPr>
          <w:trHeight w:val="288"/>
          <w:jc w:val="center"/>
        </w:trPr>
        <w:tc>
          <w:tcPr>
            <w:tcW w:w="1701" w:type="dxa"/>
            <w:noWrap/>
            <w:vAlign w:val="center"/>
          </w:tcPr>
          <w:p w14:paraId="684EDF89" w14:textId="77777777" w:rsidR="00E51005" w:rsidRPr="004461D7" w:rsidRDefault="00E51005" w:rsidP="00314350">
            <w:pPr>
              <w:spacing w:beforeLines="20" w:before="48" w:afterLines="20" w:after="48"/>
              <w:rPr>
                <w:rFonts w:asciiTheme="minorHAnsi" w:hAnsiTheme="minorHAnsi" w:cstheme="minorHAnsi"/>
                <w:sz w:val="22"/>
                <w:szCs w:val="22"/>
              </w:rPr>
            </w:pPr>
            <w:r w:rsidRPr="004461D7">
              <w:rPr>
                <w:rFonts w:asciiTheme="minorHAnsi" w:hAnsiTheme="minorHAnsi" w:cstheme="minorHAnsi"/>
                <w:sz w:val="22"/>
                <w:szCs w:val="22"/>
              </w:rPr>
              <w:t>CO</w:t>
            </w:r>
            <w:r w:rsidRPr="004461D7">
              <w:rPr>
                <w:rFonts w:asciiTheme="minorHAnsi" w:hAnsiTheme="minorHAnsi" w:cstheme="minorHAnsi"/>
                <w:sz w:val="22"/>
                <w:szCs w:val="22"/>
                <w:vertAlign w:val="subscript"/>
              </w:rPr>
              <w:t>2</w:t>
            </w:r>
          </w:p>
        </w:tc>
        <w:tc>
          <w:tcPr>
            <w:tcW w:w="1361" w:type="dxa"/>
            <w:noWrap/>
            <w:vAlign w:val="center"/>
          </w:tcPr>
          <w:p w14:paraId="34E27D09" w14:textId="77777777" w:rsidR="00E51005" w:rsidRPr="004461D7" w:rsidRDefault="00E51005"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11.002,74</w:t>
            </w:r>
          </w:p>
        </w:tc>
        <w:tc>
          <w:tcPr>
            <w:tcW w:w="1361" w:type="dxa"/>
            <w:vAlign w:val="center"/>
          </w:tcPr>
          <w:p w14:paraId="4625CDB8" w14:textId="3AFADF1F" w:rsidR="00E51005" w:rsidRPr="004461D7" w:rsidRDefault="00E51005" w:rsidP="00314350">
            <w:pPr>
              <w:spacing w:beforeLines="20" w:before="48" w:afterLines="20" w:after="48"/>
              <w:jc w:val="right"/>
              <w:rPr>
                <w:rFonts w:asciiTheme="minorHAnsi" w:hAnsiTheme="minorHAnsi" w:cstheme="minorHAnsi"/>
                <w:sz w:val="22"/>
                <w:szCs w:val="22"/>
              </w:rPr>
            </w:pPr>
            <w:r w:rsidRPr="006469FF">
              <w:rPr>
                <w:rFonts w:asciiTheme="minorHAnsi" w:hAnsiTheme="minorHAnsi" w:cstheme="minorHAnsi"/>
                <w:sz w:val="22"/>
                <w:szCs w:val="22"/>
              </w:rPr>
              <w:t>12.534,15</w:t>
            </w:r>
          </w:p>
        </w:tc>
        <w:tc>
          <w:tcPr>
            <w:tcW w:w="1361" w:type="dxa"/>
            <w:vAlign w:val="center"/>
          </w:tcPr>
          <w:p w14:paraId="6FE39C2E" w14:textId="57A08DAD" w:rsidR="00E51005" w:rsidRPr="00EA7C77" w:rsidRDefault="00E51005" w:rsidP="00314350">
            <w:pPr>
              <w:spacing w:beforeLines="20" w:before="48" w:afterLines="20" w:after="48"/>
              <w:jc w:val="right"/>
              <w:rPr>
                <w:rFonts w:asciiTheme="minorHAnsi" w:hAnsiTheme="minorHAnsi" w:cstheme="minorHAnsi"/>
                <w:sz w:val="22"/>
                <w:szCs w:val="22"/>
              </w:rPr>
            </w:pPr>
            <w:r w:rsidRPr="005C0B12">
              <w:rPr>
                <w:sz w:val="22"/>
                <w:szCs w:val="22"/>
              </w:rPr>
              <w:t>12.634,16</w:t>
            </w:r>
          </w:p>
        </w:tc>
        <w:tc>
          <w:tcPr>
            <w:tcW w:w="1361" w:type="dxa"/>
            <w:noWrap/>
            <w:vAlign w:val="center"/>
          </w:tcPr>
          <w:p w14:paraId="09EB8FB8" w14:textId="0088410D" w:rsidR="00E51005" w:rsidRPr="00EA7C77" w:rsidRDefault="00E51005" w:rsidP="00314350">
            <w:pPr>
              <w:spacing w:beforeLines="20" w:before="48" w:afterLines="20" w:after="48"/>
              <w:jc w:val="right"/>
              <w:rPr>
                <w:rFonts w:asciiTheme="minorHAnsi" w:hAnsiTheme="minorHAnsi" w:cstheme="minorHAnsi"/>
                <w:sz w:val="22"/>
                <w:szCs w:val="22"/>
              </w:rPr>
            </w:pPr>
            <w:r w:rsidRPr="005C0B12">
              <w:rPr>
                <w:sz w:val="22"/>
                <w:szCs w:val="22"/>
              </w:rPr>
              <w:t>13.674,11</w:t>
            </w:r>
          </w:p>
        </w:tc>
        <w:tc>
          <w:tcPr>
            <w:tcW w:w="1361" w:type="dxa"/>
            <w:vAlign w:val="center"/>
          </w:tcPr>
          <w:p w14:paraId="2CF534D3" w14:textId="063432DE" w:rsidR="00E51005" w:rsidRPr="00EA7C77" w:rsidRDefault="00E51005" w:rsidP="00314350">
            <w:pPr>
              <w:spacing w:beforeLines="20" w:before="48" w:afterLines="20" w:after="48"/>
              <w:jc w:val="right"/>
              <w:rPr>
                <w:rFonts w:asciiTheme="minorHAnsi" w:hAnsiTheme="minorHAnsi" w:cstheme="minorHAnsi"/>
                <w:sz w:val="22"/>
                <w:szCs w:val="22"/>
              </w:rPr>
            </w:pPr>
            <w:r w:rsidRPr="005C0B12">
              <w:rPr>
                <w:sz w:val="22"/>
                <w:szCs w:val="22"/>
              </w:rPr>
              <w:t>12.390,67</w:t>
            </w:r>
          </w:p>
        </w:tc>
        <w:tc>
          <w:tcPr>
            <w:tcW w:w="1361" w:type="dxa"/>
            <w:noWrap/>
            <w:vAlign w:val="center"/>
          </w:tcPr>
          <w:p w14:paraId="55F85838" w14:textId="1B902965" w:rsidR="00E51005" w:rsidRPr="00EA7C77" w:rsidRDefault="00E51005" w:rsidP="00314350">
            <w:pPr>
              <w:spacing w:beforeLines="20" w:before="48" w:afterLines="20" w:after="48"/>
              <w:jc w:val="right"/>
              <w:rPr>
                <w:rFonts w:asciiTheme="minorHAnsi" w:hAnsiTheme="minorHAnsi" w:cstheme="minorHAnsi"/>
                <w:sz w:val="22"/>
                <w:szCs w:val="22"/>
              </w:rPr>
            </w:pPr>
            <w:r w:rsidRPr="005C0B12">
              <w:rPr>
                <w:sz w:val="22"/>
                <w:szCs w:val="22"/>
              </w:rPr>
              <w:t>10.784,59</w:t>
            </w:r>
          </w:p>
        </w:tc>
      </w:tr>
      <w:tr w:rsidR="00E51005" w:rsidRPr="00304E83" w14:paraId="10FEB599" w14:textId="77777777" w:rsidTr="002F75BA">
        <w:trPr>
          <w:trHeight w:val="288"/>
          <w:jc w:val="center"/>
        </w:trPr>
        <w:tc>
          <w:tcPr>
            <w:tcW w:w="1701" w:type="dxa"/>
            <w:noWrap/>
            <w:vAlign w:val="center"/>
          </w:tcPr>
          <w:p w14:paraId="1C729E0A" w14:textId="77777777" w:rsidR="00E51005" w:rsidRPr="004461D7" w:rsidRDefault="00E51005" w:rsidP="00314350">
            <w:pPr>
              <w:spacing w:beforeLines="20" w:before="48" w:afterLines="20" w:after="48"/>
              <w:rPr>
                <w:rFonts w:asciiTheme="minorHAnsi" w:hAnsiTheme="minorHAnsi" w:cstheme="minorHAnsi"/>
                <w:sz w:val="22"/>
                <w:szCs w:val="22"/>
              </w:rPr>
            </w:pPr>
            <w:r w:rsidRPr="004461D7">
              <w:rPr>
                <w:rFonts w:asciiTheme="minorHAnsi" w:hAnsiTheme="minorHAnsi" w:cstheme="minorHAnsi"/>
                <w:sz w:val="22"/>
                <w:szCs w:val="22"/>
              </w:rPr>
              <w:t>CH</w:t>
            </w:r>
            <w:r w:rsidRPr="004461D7">
              <w:rPr>
                <w:rFonts w:asciiTheme="minorHAnsi" w:hAnsiTheme="minorHAnsi" w:cstheme="minorHAnsi"/>
                <w:sz w:val="22"/>
                <w:szCs w:val="22"/>
                <w:vertAlign w:val="subscript"/>
              </w:rPr>
              <w:t>4</w:t>
            </w:r>
          </w:p>
        </w:tc>
        <w:tc>
          <w:tcPr>
            <w:tcW w:w="1361" w:type="dxa"/>
            <w:noWrap/>
            <w:vAlign w:val="center"/>
          </w:tcPr>
          <w:p w14:paraId="74259E80" w14:textId="77777777" w:rsidR="00E51005" w:rsidRPr="004461D7" w:rsidRDefault="00E51005"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4.034,76</w:t>
            </w:r>
          </w:p>
        </w:tc>
        <w:tc>
          <w:tcPr>
            <w:tcW w:w="1361" w:type="dxa"/>
            <w:vAlign w:val="center"/>
          </w:tcPr>
          <w:p w14:paraId="7D083273" w14:textId="454E8DA4" w:rsidR="00E51005" w:rsidRPr="004461D7" w:rsidRDefault="00E51005" w:rsidP="00314350">
            <w:pPr>
              <w:spacing w:beforeLines="20" w:before="48" w:afterLines="20" w:after="48"/>
              <w:jc w:val="right"/>
              <w:rPr>
                <w:rFonts w:asciiTheme="minorHAnsi" w:hAnsiTheme="minorHAnsi" w:cstheme="minorHAnsi"/>
                <w:sz w:val="22"/>
                <w:szCs w:val="22"/>
              </w:rPr>
            </w:pPr>
            <w:r w:rsidRPr="006469FF">
              <w:rPr>
                <w:rFonts w:asciiTheme="minorHAnsi" w:hAnsiTheme="minorHAnsi" w:cstheme="minorHAnsi"/>
                <w:sz w:val="22"/>
                <w:szCs w:val="22"/>
              </w:rPr>
              <w:t>3.834,08</w:t>
            </w:r>
          </w:p>
        </w:tc>
        <w:tc>
          <w:tcPr>
            <w:tcW w:w="1361" w:type="dxa"/>
            <w:vAlign w:val="center"/>
          </w:tcPr>
          <w:p w14:paraId="623E8F88" w14:textId="0490D641" w:rsidR="00E51005" w:rsidRPr="00EA7C77" w:rsidRDefault="00E51005" w:rsidP="00314350">
            <w:pPr>
              <w:spacing w:beforeLines="20" w:before="48" w:afterLines="20" w:after="48"/>
              <w:jc w:val="right"/>
              <w:rPr>
                <w:rFonts w:asciiTheme="minorHAnsi" w:hAnsiTheme="minorHAnsi" w:cstheme="minorHAnsi"/>
                <w:sz w:val="22"/>
                <w:szCs w:val="22"/>
              </w:rPr>
            </w:pPr>
            <w:r w:rsidRPr="00EA7C77">
              <w:rPr>
                <w:sz w:val="22"/>
                <w:szCs w:val="22"/>
              </w:rPr>
              <w:t>3.620,10</w:t>
            </w:r>
          </w:p>
        </w:tc>
        <w:tc>
          <w:tcPr>
            <w:tcW w:w="1361" w:type="dxa"/>
            <w:noWrap/>
            <w:vAlign w:val="center"/>
          </w:tcPr>
          <w:p w14:paraId="15153824" w14:textId="43782589" w:rsidR="00E51005" w:rsidRPr="00EA7C77" w:rsidRDefault="00E51005" w:rsidP="00314350">
            <w:pPr>
              <w:spacing w:beforeLines="20" w:before="48" w:afterLines="20" w:after="48"/>
              <w:jc w:val="right"/>
              <w:rPr>
                <w:rFonts w:asciiTheme="minorHAnsi" w:hAnsiTheme="minorHAnsi" w:cstheme="minorHAnsi"/>
                <w:sz w:val="22"/>
                <w:szCs w:val="22"/>
              </w:rPr>
            </w:pPr>
            <w:r w:rsidRPr="00EA7C77">
              <w:rPr>
                <w:sz w:val="22"/>
                <w:szCs w:val="22"/>
              </w:rPr>
              <w:t>3.217,26</w:t>
            </w:r>
          </w:p>
        </w:tc>
        <w:tc>
          <w:tcPr>
            <w:tcW w:w="1361" w:type="dxa"/>
            <w:vAlign w:val="center"/>
          </w:tcPr>
          <w:p w14:paraId="6A17677C" w14:textId="7344D783" w:rsidR="00E51005" w:rsidRPr="00EA7C77" w:rsidRDefault="00E51005" w:rsidP="00314350">
            <w:pPr>
              <w:spacing w:beforeLines="20" w:before="48" w:afterLines="20" w:after="48"/>
              <w:jc w:val="right"/>
              <w:rPr>
                <w:rFonts w:asciiTheme="minorHAnsi" w:hAnsiTheme="minorHAnsi" w:cstheme="minorHAnsi"/>
                <w:sz w:val="22"/>
                <w:szCs w:val="22"/>
              </w:rPr>
            </w:pPr>
            <w:r w:rsidRPr="00EA7C77">
              <w:rPr>
                <w:sz w:val="22"/>
                <w:szCs w:val="22"/>
              </w:rPr>
              <w:t>3.029,06</w:t>
            </w:r>
          </w:p>
        </w:tc>
        <w:tc>
          <w:tcPr>
            <w:tcW w:w="1361" w:type="dxa"/>
            <w:noWrap/>
            <w:vAlign w:val="center"/>
          </w:tcPr>
          <w:p w14:paraId="1EE9F8E9" w14:textId="330CC3E9" w:rsidR="00E51005" w:rsidRPr="00EA7C77" w:rsidRDefault="00E51005" w:rsidP="00314350">
            <w:pPr>
              <w:spacing w:beforeLines="20" w:before="48" w:afterLines="20" w:after="48"/>
              <w:jc w:val="right"/>
              <w:rPr>
                <w:rFonts w:asciiTheme="minorHAnsi" w:hAnsiTheme="minorHAnsi" w:cstheme="minorHAnsi"/>
                <w:sz w:val="22"/>
                <w:szCs w:val="22"/>
              </w:rPr>
            </w:pPr>
            <w:r w:rsidRPr="00EA7C77">
              <w:rPr>
                <w:sz w:val="22"/>
                <w:szCs w:val="22"/>
              </w:rPr>
              <w:t>2.847,73</w:t>
            </w:r>
          </w:p>
        </w:tc>
      </w:tr>
      <w:tr w:rsidR="00E51005" w:rsidRPr="00304E83" w14:paraId="521AF47C" w14:textId="77777777" w:rsidTr="002F75BA">
        <w:trPr>
          <w:trHeight w:val="288"/>
          <w:jc w:val="center"/>
        </w:trPr>
        <w:tc>
          <w:tcPr>
            <w:tcW w:w="1701" w:type="dxa"/>
            <w:noWrap/>
            <w:vAlign w:val="center"/>
          </w:tcPr>
          <w:p w14:paraId="168975D7" w14:textId="77777777" w:rsidR="00E51005" w:rsidRPr="004461D7" w:rsidRDefault="00E51005" w:rsidP="00314350">
            <w:pPr>
              <w:spacing w:beforeLines="20" w:before="48" w:afterLines="20" w:after="48"/>
              <w:rPr>
                <w:rFonts w:asciiTheme="minorHAnsi" w:hAnsiTheme="minorHAnsi" w:cstheme="minorHAnsi"/>
                <w:sz w:val="22"/>
                <w:szCs w:val="22"/>
              </w:rPr>
            </w:pPr>
            <w:r w:rsidRPr="004461D7">
              <w:rPr>
                <w:rFonts w:asciiTheme="minorHAnsi" w:hAnsiTheme="minorHAnsi" w:cstheme="minorHAnsi"/>
                <w:sz w:val="22"/>
                <w:szCs w:val="22"/>
              </w:rPr>
              <w:t>N</w:t>
            </w:r>
            <w:r w:rsidRPr="004461D7">
              <w:rPr>
                <w:rFonts w:asciiTheme="minorHAnsi" w:hAnsiTheme="minorHAnsi" w:cstheme="minorHAnsi"/>
                <w:sz w:val="22"/>
                <w:szCs w:val="22"/>
                <w:vertAlign w:val="subscript"/>
              </w:rPr>
              <w:t>2</w:t>
            </w:r>
            <w:r w:rsidRPr="004461D7">
              <w:rPr>
                <w:rFonts w:asciiTheme="minorHAnsi" w:hAnsiTheme="minorHAnsi" w:cstheme="minorHAnsi"/>
                <w:sz w:val="22"/>
                <w:szCs w:val="22"/>
              </w:rPr>
              <w:t>O</w:t>
            </w:r>
          </w:p>
        </w:tc>
        <w:tc>
          <w:tcPr>
            <w:tcW w:w="1361" w:type="dxa"/>
            <w:noWrap/>
            <w:vAlign w:val="center"/>
          </w:tcPr>
          <w:p w14:paraId="327A88FB" w14:textId="77777777" w:rsidR="00E51005" w:rsidRPr="004461D7" w:rsidRDefault="00E51005"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1.636,79</w:t>
            </w:r>
          </w:p>
        </w:tc>
        <w:tc>
          <w:tcPr>
            <w:tcW w:w="1361" w:type="dxa"/>
            <w:vAlign w:val="center"/>
          </w:tcPr>
          <w:p w14:paraId="270B8AE2" w14:textId="719C9D33" w:rsidR="00E51005" w:rsidRPr="004461D7" w:rsidRDefault="00E51005" w:rsidP="00314350">
            <w:pPr>
              <w:spacing w:beforeLines="20" w:before="48" w:afterLines="20" w:after="48"/>
              <w:jc w:val="right"/>
              <w:rPr>
                <w:rFonts w:asciiTheme="minorHAnsi" w:hAnsiTheme="minorHAnsi" w:cstheme="minorHAnsi"/>
                <w:sz w:val="22"/>
                <w:szCs w:val="22"/>
              </w:rPr>
            </w:pPr>
            <w:r w:rsidRPr="006469FF">
              <w:rPr>
                <w:rFonts w:asciiTheme="minorHAnsi" w:hAnsiTheme="minorHAnsi" w:cstheme="minorHAnsi"/>
                <w:sz w:val="22"/>
                <w:szCs w:val="22"/>
              </w:rPr>
              <w:t>1.494,54</w:t>
            </w:r>
          </w:p>
        </w:tc>
        <w:tc>
          <w:tcPr>
            <w:tcW w:w="1361" w:type="dxa"/>
            <w:vAlign w:val="center"/>
          </w:tcPr>
          <w:p w14:paraId="21E5D0CA" w14:textId="0BC49D49" w:rsidR="00E51005" w:rsidRPr="00EA7C77" w:rsidRDefault="00E51005" w:rsidP="00314350">
            <w:pPr>
              <w:spacing w:beforeLines="20" w:before="48" w:afterLines="20" w:after="48"/>
              <w:jc w:val="right"/>
              <w:rPr>
                <w:rFonts w:asciiTheme="minorHAnsi" w:hAnsiTheme="minorHAnsi" w:cstheme="minorHAnsi"/>
                <w:sz w:val="22"/>
                <w:szCs w:val="22"/>
              </w:rPr>
            </w:pPr>
            <w:r w:rsidRPr="005C0B12">
              <w:rPr>
                <w:sz w:val="22"/>
                <w:szCs w:val="22"/>
              </w:rPr>
              <w:t>1.544,58</w:t>
            </w:r>
          </w:p>
        </w:tc>
        <w:tc>
          <w:tcPr>
            <w:tcW w:w="1361" w:type="dxa"/>
            <w:noWrap/>
            <w:vAlign w:val="center"/>
          </w:tcPr>
          <w:p w14:paraId="0887936D" w14:textId="7E1B1A9B" w:rsidR="00E51005" w:rsidRPr="00EA7C77" w:rsidRDefault="00E51005" w:rsidP="00314350">
            <w:pPr>
              <w:spacing w:beforeLines="20" w:before="48" w:afterLines="20" w:after="48"/>
              <w:jc w:val="right"/>
              <w:rPr>
                <w:rFonts w:asciiTheme="minorHAnsi" w:hAnsiTheme="minorHAnsi" w:cstheme="minorHAnsi"/>
                <w:sz w:val="22"/>
                <w:szCs w:val="22"/>
              </w:rPr>
            </w:pPr>
            <w:r w:rsidRPr="005C0B12">
              <w:rPr>
                <w:sz w:val="22"/>
                <w:szCs w:val="22"/>
              </w:rPr>
              <w:t>1.528,62</w:t>
            </w:r>
          </w:p>
        </w:tc>
        <w:tc>
          <w:tcPr>
            <w:tcW w:w="1361" w:type="dxa"/>
            <w:vAlign w:val="center"/>
          </w:tcPr>
          <w:p w14:paraId="542F7F5C" w14:textId="70D8A9E3" w:rsidR="00E51005" w:rsidRPr="00EA7C77" w:rsidRDefault="00E51005" w:rsidP="00314350">
            <w:pPr>
              <w:spacing w:beforeLines="20" w:before="48" w:afterLines="20" w:after="48"/>
              <w:jc w:val="right"/>
              <w:rPr>
                <w:rFonts w:asciiTheme="minorHAnsi" w:hAnsiTheme="minorHAnsi" w:cstheme="minorHAnsi"/>
                <w:sz w:val="22"/>
                <w:szCs w:val="22"/>
              </w:rPr>
            </w:pPr>
            <w:r w:rsidRPr="00EA7C77">
              <w:rPr>
                <w:sz w:val="22"/>
                <w:szCs w:val="22"/>
              </w:rPr>
              <w:t>1.487,58</w:t>
            </w:r>
          </w:p>
        </w:tc>
        <w:tc>
          <w:tcPr>
            <w:tcW w:w="1361" w:type="dxa"/>
            <w:noWrap/>
            <w:vAlign w:val="center"/>
          </w:tcPr>
          <w:p w14:paraId="3D35C031" w14:textId="42FA53CA" w:rsidR="00E51005" w:rsidRPr="00EA7C77" w:rsidRDefault="00E51005" w:rsidP="00314350">
            <w:pPr>
              <w:spacing w:beforeLines="20" w:before="48" w:afterLines="20" w:after="48"/>
              <w:jc w:val="right"/>
              <w:rPr>
                <w:rFonts w:asciiTheme="minorHAnsi" w:hAnsiTheme="minorHAnsi" w:cstheme="minorHAnsi"/>
                <w:sz w:val="22"/>
                <w:szCs w:val="22"/>
              </w:rPr>
            </w:pPr>
            <w:r w:rsidRPr="00EA7C77">
              <w:rPr>
                <w:sz w:val="22"/>
                <w:szCs w:val="22"/>
              </w:rPr>
              <w:t>1.447,04</w:t>
            </w:r>
          </w:p>
        </w:tc>
      </w:tr>
      <w:tr w:rsidR="006469FF" w:rsidRPr="00304E83" w14:paraId="27AC1E4F" w14:textId="77777777" w:rsidTr="002F75BA">
        <w:trPr>
          <w:trHeight w:val="288"/>
          <w:jc w:val="center"/>
        </w:trPr>
        <w:tc>
          <w:tcPr>
            <w:tcW w:w="1701" w:type="dxa"/>
            <w:noWrap/>
            <w:vAlign w:val="center"/>
          </w:tcPr>
          <w:p w14:paraId="6F222D55" w14:textId="77777777" w:rsidR="006469FF" w:rsidRPr="004461D7" w:rsidRDefault="006469FF" w:rsidP="00314350">
            <w:pPr>
              <w:spacing w:beforeLines="20" w:before="48" w:afterLines="20" w:after="48"/>
              <w:rPr>
                <w:rFonts w:asciiTheme="minorHAnsi" w:hAnsiTheme="minorHAnsi" w:cstheme="minorHAnsi"/>
                <w:sz w:val="22"/>
                <w:szCs w:val="22"/>
              </w:rPr>
            </w:pPr>
            <w:r w:rsidRPr="004461D7">
              <w:rPr>
                <w:rFonts w:asciiTheme="minorHAnsi" w:hAnsiTheme="minorHAnsi" w:cstheme="minorHAnsi"/>
                <w:sz w:val="22"/>
                <w:szCs w:val="22"/>
              </w:rPr>
              <w:t>HFC</w:t>
            </w:r>
          </w:p>
        </w:tc>
        <w:tc>
          <w:tcPr>
            <w:tcW w:w="1361" w:type="dxa"/>
            <w:noWrap/>
            <w:vAlign w:val="center"/>
          </w:tcPr>
          <w:p w14:paraId="0D32127D" w14:textId="77777777" w:rsidR="006469FF" w:rsidRPr="004461D7" w:rsidRDefault="006469FF"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1.572,23</w:t>
            </w:r>
          </w:p>
        </w:tc>
        <w:tc>
          <w:tcPr>
            <w:tcW w:w="1361" w:type="dxa"/>
            <w:vAlign w:val="center"/>
          </w:tcPr>
          <w:p w14:paraId="30695CD9" w14:textId="20479874" w:rsidR="006469FF" w:rsidRPr="004461D7" w:rsidRDefault="006469FF" w:rsidP="00314350">
            <w:pPr>
              <w:spacing w:beforeLines="20" w:before="48" w:afterLines="20" w:after="48"/>
              <w:jc w:val="right"/>
              <w:rPr>
                <w:rFonts w:asciiTheme="minorHAnsi" w:hAnsiTheme="minorHAnsi" w:cstheme="minorHAnsi"/>
                <w:sz w:val="22"/>
                <w:szCs w:val="22"/>
              </w:rPr>
            </w:pPr>
            <w:r w:rsidRPr="006469FF">
              <w:rPr>
                <w:rFonts w:asciiTheme="minorHAnsi" w:hAnsiTheme="minorHAnsi" w:cstheme="minorHAnsi"/>
                <w:sz w:val="22"/>
                <w:szCs w:val="22"/>
              </w:rPr>
              <w:t>1.812,05</w:t>
            </w:r>
          </w:p>
        </w:tc>
        <w:tc>
          <w:tcPr>
            <w:tcW w:w="1361" w:type="dxa"/>
            <w:vAlign w:val="center"/>
          </w:tcPr>
          <w:p w14:paraId="54FBFB95" w14:textId="448EAC00" w:rsidR="006469FF" w:rsidRPr="00EA7C77" w:rsidRDefault="006469FF" w:rsidP="00314350">
            <w:pPr>
              <w:spacing w:beforeLines="20" w:before="48" w:afterLines="20" w:after="48"/>
              <w:jc w:val="right"/>
              <w:rPr>
                <w:rFonts w:asciiTheme="minorHAnsi" w:hAnsiTheme="minorHAnsi" w:cstheme="minorHAnsi"/>
                <w:sz w:val="22"/>
                <w:szCs w:val="22"/>
              </w:rPr>
            </w:pPr>
            <w:r w:rsidRPr="00EA7C77">
              <w:rPr>
                <w:rFonts w:asciiTheme="minorHAnsi" w:hAnsiTheme="minorHAnsi" w:cstheme="minorHAnsi"/>
                <w:sz w:val="22"/>
                <w:szCs w:val="22"/>
              </w:rPr>
              <w:t>1.512,69</w:t>
            </w:r>
          </w:p>
        </w:tc>
        <w:tc>
          <w:tcPr>
            <w:tcW w:w="1361" w:type="dxa"/>
            <w:noWrap/>
            <w:vAlign w:val="center"/>
          </w:tcPr>
          <w:p w14:paraId="61EF697B" w14:textId="77777777" w:rsidR="006469FF" w:rsidRPr="00EA7C77" w:rsidRDefault="006469FF" w:rsidP="00314350">
            <w:pPr>
              <w:spacing w:beforeLines="20" w:before="48" w:afterLines="20" w:after="48"/>
              <w:jc w:val="right"/>
              <w:rPr>
                <w:rFonts w:asciiTheme="minorHAnsi" w:hAnsiTheme="minorHAnsi" w:cstheme="minorHAnsi"/>
                <w:sz w:val="22"/>
                <w:szCs w:val="22"/>
              </w:rPr>
            </w:pPr>
            <w:r w:rsidRPr="00EA7C77">
              <w:rPr>
                <w:rFonts w:asciiTheme="minorHAnsi" w:hAnsiTheme="minorHAnsi" w:cstheme="minorHAnsi"/>
                <w:sz w:val="22"/>
                <w:szCs w:val="22"/>
              </w:rPr>
              <w:t>1.013,76</w:t>
            </w:r>
          </w:p>
        </w:tc>
        <w:tc>
          <w:tcPr>
            <w:tcW w:w="1361" w:type="dxa"/>
            <w:vAlign w:val="center"/>
          </w:tcPr>
          <w:p w14:paraId="38AE722B" w14:textId="77777777" w:rsidR="006469FF" w:rsidRPr="00EA7C77" w:rsidRDefault="006469FF" w:rsidP="00314350">
            <w:pPr>
              <w:spacing w:beforeLines="20" w:before="48" w:afterLines="20" w:after="48"/>
              <w:jc w:val="right"/>
              <w:rPr>
                <w:rFonts w:asciiTheme="minorHAnsi" w:hAnsiTheme="minorHAnsi" w:cstheme="minorHAnsi"/>
                <w:sz w:val="22"/>
                <w:szCs w:val="22"/>
              </w:rPr>
            </w:pPr>
            <w:r w:rsidRPr="00EA7C77">
              <w:rPr>
                <w:rFonts w:asciiTheme="minorHAnsi" w:hAnsiTheme="minorHAnsi" w:cstheme="minorHAnsi"/>
                <w:sz w:val="22"/>
                <w:szCs w:val="22"/>
              </w:rPr>
              <w:t>790,46</w:t>
            </w:r>
          </w:p>
        </w:tc>
        <w:tc>
          <w:tcPr>
            <w:tcW w:w="1361" w:type="dxa"/>
            <w:noWrap/>
            <w:vAlign w:val="center"/>
          </w:tcPr>
          <w:p w14:paraId="175EB756" w14:textId="77777777" w:rsidR="006469FF" w:rsidRPr="00EA7C77" w:rsidRDefault="006469FF" w:rsidP="00314350">
            <w:pPr>
              <w:spacing w:beforeLines="20" w:before="48" w:afterLines="20" w:after="48"/>
              <w:jc w:val="right"/>
              <w:rPr>
                <w:rFonts w:asciiTheme="minorHAnsi" w:hAnsiTheme="minorHAnsi" w:cstheme="minorHAnsi"/>
                <w:sz w:val="22"/>
                <w:szCs w:val="22"/>
              </w:rPr>
            </w:pPr>
            <w:r w:rsidRPr="00EA7C77">
              <w:rPr>
                <w:rFonts w:asciiTheme="minorHAnsi" w:hAnsiTheme="minorHAnsi" w:cstheme="minorHAnsi"/>
                <w:sz w:val="22"/>
                <w:szCs w:val="22"/>
              </w:rPr>
              <w:t>567,15</w:t>
            </w:r>
          </w:p>
        </w:tc>
      </w:tr>
      <w:tr w:rsidR="006469FF" w:rsidRPr="00304E83" w14:paraId="39182E58" w14:textId="77777777" w:rsidTr="002F75BA">
        <w:trPr>
          <w:trHeight w:val="288"/>
          <w:jc w:val="center"/>
        </w:trPr>
        <w:tc>
          <w:tcPr>
            <w:tcW w:w="1701" w:type="dxa"/>
            <w:noWrap/>
            <w:vAlign w:val="center"/>
          </w:tcPr>
          <w:p w14:paraId="11137BCB" w14:textId="77777777" w:rsidR="006469FF" w:rsidRPr="004461D7" w:rsidRDefault="006469FF" w:rsidP="00314350">
            <w:pPr>
              <w:spacing w:beforeLines="20" w:before="48" w:afterLines="20" w:after="48"/>
              <w:rPr>
                <w:rFonts w:asciiTheme="minorHAnsi" w:hAnsiTheme="minorHAnsi" w:cstheme="minorHAnsi"/>
                <w:sz w:val="22"/>
                <w:szCs w:val="22"/>
              </w:rPr>
            </w:pPr>
            <w:r w:rsidRPr="004461D7">
              <w:rPr>
                <w:rFonts w:asciiTheme="minorHAnsi" w:hAnsiTheme="minorHAnsi" w:cstheme="minorHAnsi"/>
                <w:sz w:val="22"/>
                <w:szCs w:val="22"/>
              </w:rPr>
              <w:t>SF</w:t>
            </w:r>
            <w:r w:rsidRPr="004461D7">
              <w:rPr>
                <w:rFonts w:asciiTheme="minorHAnsi" w:hAnsiTheme="minorHAnsi" w:cstheme="minorHAnsi"/>
                <w:sz w:val="22"/>
                <w:szCs w:val="22"/>
                <w:vertAlign w:val="subscript"/>
              </w:rPr>
              <w:t>6</w:t>
            </w:r>
          </w:p>
        </w:tc>
        <w:tc>
          <w:tcPr>
            <w:tcW w:w="1361" w:type="dxa"/>
            <w:noWrap/>
            <w:vAlign w:val="center"/>
          </w:tcPr>
          <w:p w14:paraId="3380CBFA" w14:textId="77777777" w:rsidR="006469FF" w:rsidRPr="004461D7" w:rsidRDefault="006469FF"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9,35</w:t>
            </w:r>
          </w:p>
        </w:tc>
        <w:tc>
          <w:tcPr>
            <w:tcW w:w="1361" w:type="dxa"/>
            <w:vAlign w:val="center"/>
          </w:tcPr>
          <w:p w14:paraId="03A1B555" w14:textId="75B05568" w:rsidR="006469FF" w:rsidRPr="004461D7" w:rsidRDefault="006469FF" w:rsidP="00314350">
            <w:pPr>
              <w:spacing w:beforeLines="20" w:before="48" w:afterLines="20" w:after="48"/>
              <w:jc w:val="right"/>
              <w:rPr>
                <w:rFonts w:asciiTheme="minorHAnsi" w:hAnsiTheme="minorHAnsi" w:cstheme="minorHAnsi"/>
                <w:sz w:val="22"/>
                <w:szCs w:val="22"/>
              </w:rPr>
            </w:pPr>
            <w:r w:rsidRPr="006469FF">
              <w:rPr>
                <w:rFonts w:asciiTheme="minorHAnsi" w:hAnsiTheme="minorHAnsi" w:cstheme="minorHAnsi"/>
                <w:sz w:val="22"/>
                <w:szCs w:val="22"/>
              </w:rPr>
              <w:t>10,00</w:t>
            </w:r>
          </w:p>
        </w:tc>
        <w:tc>
          <w:tcPr>
            <w:tcW w:w="1361" w:type="dxa"/>
            <w:vAlign w:val="center"/>
          </w:tcPr>
          <w:p w14:paraId="6F1DF642" w14:textId="130360B5" w:rsidR="006469FF" w:rsidRPr="00EA7C77" w:rsidRDefault="006469FF" w:rsidP="00314350">
            <w:pPr>
              <w:spacing w:beforeLines="20" w:before="48" w:afterLines="20" w:after="48"/>
              <w:jc w:val="right"/>
              <w:rPr>
                <w:rFonts w:asciiTheme="minorHAnsi" w:hAnsiTheme="minorHAnsi" w:cstheme="minorHAnsi"/>
                <w:sz w:val="22"/>
                <w:szCs w:val="22"/>
              </w:rPr>
            </w:pPr>
            <w:r w:rsidRPr="00EA7C77">
              <w:rPr>
                <w:rFonts w:asciiTheme="minorHAnsi" w:hAnsiTheme="minorHAnsi" w:cstheme="minorHAnsi"/>
                <w:sz w:val="22"/>
                <w:szCs w:val="22"/>
              </w:rPr>
              <w:t>8,10</w:t>
            </w:r>
          </w:p>
        </w:tc>
        <w:tc>
          <w:tcPr>
            <w:tcW w:w="1361" w:type="dxa"/>
            <w:noWrap/>
            <w:vAlign w:val="center"/>
          </w:tcPr>
          <w:p w14:paraId="6B7D23E8" w14:textId="77777777" w:rsidR="006469FF" w:rsidRPr="00EA7C77" w:rsidRDefault="006469FF" w:rsidP="00314350">
            <w:pPr>
              <w:spacing w:beforeLines="20" w:before="48" w:afterLines="20" w:after="48"/>
              <w:jc w:val="right"/>
              <w:rPr>
                <w:rFonts w:asciiTheme="minorHAnsi" w:hAnsiTheme="minorHAnsi" w:cstheme="minorHAnsi"/>
                <w:sz w:val="22"/>
                <w:szCs w:val="22"/>
              </w:rPr>
            </w:pPr>
            <w:r w:rsidRPr="00EA7C77">
              <w:rPr>
                <w:rFonts w:asciiTheme="minorHAnsi" w:hAnsiTheme="minorHAnsi" w:cstheme="minorHAnsi"/>
                <w:sz w:val="22"/>
                <w:szCs w:val="22"/>
              </w:rPr>
              <w:t>4,95</w:t>
            </w:r>
          </w:p>
        </w:tc>
        <w:tc>
          <w:tcPr>
            <w:tcW w:w="1361" w:type="dxa"/>
            <w:vAlign w:val="center"/>
          </w:tcPr>
          <w:p w14:paraId="3AD764B5" w14:textId="77777777" w:rsidR="006469FF" w:rsidRPr="00EA7C77" w:rsidRDefault="006469FF" w:rsidP="00314350">
            <w:pPr>
              <w:spacing w:beforeLines="20" w:before="48" w:afterLines="20" w:after="48"/>
              <w:jc w:val="right"/>
              <w:rPr>
                <w:rFonts w:asciiTheme="minorHAnsi" w:hAnsiTheme="minorHAnsi" w:cstheme="minorHAnsi"/>
                <w:sz w:val="22"/>
                <w:szCs w:val="22"/>
              </w:rPr>
            </w:pPr>
            <w:r w:rsidRPr="00EA7C77">
              <w:rPr>
                <w:rFonts w:asciiTheme="minorHAnsi" w:hAnsiTheme="minorHAnsi" w:cstheme="minorHAnsi"/>
                <w:sz w:val="22"/>
                <w:szCs w:val="22"/>
              </w:rPr>
              <w:t>3,70</w:t>
            </w:r>
          </w:p>
        </w:tc>
        <w:tc>
          <w:tcPr>
            <w:tcW w:w="1361" w:type="dxa"/>
            <w:noWrap/>
            <w:vAlign w:val="center"/>
          </w:tcPr>
          <w:p w14:paraId="743F3D1B" w14:textId="77777777" w:rsidR="006469FF" w:rsidRPr="00EA7C77" w:rsidRDefault="006469FF" w:rsidP="00314350">
            <w:pPr>
              <w:spacing w:beforeLines="20" w:before="48" w:afterLines="20" w:after="48"/>
              <w:jc w:val="right"/>
              <w:rPr>
                <w:rFonts w:asciiTheme="minorHAnsi" w:hAnsiTheme="minorHAnsi" w:cstheme="minorHAnsi"/>
                <w:sz w:val="22"/>
                <w:szCs w:val="22"/>
              </w:rPr>
            </w:pPr>
            <w:r w:rsidRPr="00EA7C77">
              <w:rPr>
                <w:rFonts w:asciiTheme="minorHAnsi" w:hAnsiTheme="minorHAnsi" w:cstheme="minorHAnsi"/>
                <w:sz w:val="22"/>
                <w:szCs w:val="22"/>
              </w:rPr>
              <w:t>2,45</w:t>
            </w:r>
          </w:p>
        </w:tc>
      </w:tr>
      <w:tr w:rsidR="00EA7C77" w:rsidRPr="00304E83" w14:paraId="68C0848A" w14:textId="77777777" w:rsidTr="002F75BA">
        <w:trPr>
          <w:trHeight w:val="288"/>
          <w:jc w:val="center"/>
        </w:trPr>
        <w:tc>
          <w:tcPr>
            <w:tcW w:w="1701" w:type="dxa"/>
            <w:noWrap/>
            <w:vAlign w:val="center"/>
          </w:tcPr>
          <w:p w14:paraId="6FB6B16B" w14:textId="77777777" w:rsidR="00EA7C77" w:rsidRPr="005C0B12" w:rsidRDefault="00EA7C77" w:rsidP="00314350">
            <w:pPr>
              <w:spacing w:beforeLines="20" w:before="48" w:afterLines="20" w:after="48"/>
              <w:rPr>
                <w:rFonts w:asciiTheme="minorHAnsi" w:hAnsiTheme="minorHAnsi" w:cstheme="minorHAnsi"/>
                <w:b/>
                <w:bCs/>
                <w:sz w:val="22"/>
                <w:szCs w:val="22"/>
              </w:rPr>
            </w:pPr>
            <w:r w:rsidRPr="005C0B12">
              <w:rPr>
                <w:rFonts w:asciiTheme="minorHAnsi" w:hAnsiTheme="minorHAnsi" w:cstheme="minorHAnsi"/>
                <w:b/>
                <w:bCs/>
                <w:sz w:val="22"/>
                <w:szCs w:val="22"/>
              </w:rPr>
              <w:t>Ukupno</w:t>
            </w:r>
          </w:p>
        </w:tc>
        <w:tc>
          <w:tcPr>
            <w:tcW w:w="1361" w:type="dxa"/>
            <w:noWrap/>
            <w:vAlign w:val="center"/>
          </w:tcPr>
          <w:p w14:paraId="4EC152B3" w14:textId="77777777" w:rsidR="00EA7C77" w:rsidRPr="005C0B12" w:rsidRDefault="00EA7C77" w:rsidP="00314350">
            <w:pPr>
              <w:spacing w:beforeLines="20" w:before="48" w:afterLines="20" w:after="48"/>
              <w:jc w:val="right"/>
              <w:rPr>
                <w:rFonts w:asciiTheme="minorHAnsi" w:hAnsiTheme="minorHAnsi" w:cstheme="minorHAnsi"/>
                <w:b/>
                <w:bCs/>
                <w:sz w:val="22"/>
                <w:szCs w:val="22"/>
              </w:rPr>
            </w:pPr>
            <w:r w:rsidRPr="005C0B12">
              <w:rPr>
                <w:rFonts w:asciiTheme="minorHAnsi" w:hAnsiTheme="minorHAnsi" w:cstheme="minorHAnsi"/>
                <w:b/>
                <w:bCs/>
                <w:sz w:val="22"/>
                <w:szCs w:val="22"/>
              </w:rPr>
              <w:t>18.255,88</w:t>
            </w:r>
          </w:p>
        </w:tc>
        <w:tc>
          <w:tcPr>
            <w:tcW w:w="1361" w:type="dxa"/>
            <w:vAlign w:val="center"/>
          </w:tcPr>
          <w:p w14:paraId="6CEECD11" w14:textId="08C96AA0" w:rsidR="00EA7C77" w:rsidRPr="005C0B12" w:rsidRDefault="00EA7C77" w:rsidP="00314350">
            <w:pPr>
              <w:spacing w:beforeLines="20" w:before="48" w:afterLines="20" w:after="48"/>
              <w:jc w:val="right"/>
              <w:rPr>
                <w:rFonts w:asciiTheme="minorHAnsi" w:hAnsiTheme="minorHAnsi" w:cstheme="minorHAnsi"/>
                <w:b/>
                <w:bCs/>
                <w:sz w:val="22"/>
                <w:szCs w:val="22"/>
              </w:rPr>
            </w:pPr>
            <w:r w:rsidRPr="005C0B12">
              <w:rPr>
                <w:rFonts w:asciiTheme="minorHAnsi" w:hAnsiTheme="minorHAnsi" w:cstheme="minorHAnsi"/>
                <w:b/>
                <w:bCs/>
                <w:sz w:val="22"/>
                <w:szCs w:val="22"/>
              </w:rPr>
              <w:t>19.684,82</w:t>
            </w:r>
          </w:p>
        </w:tc>
        <w:tc>
          <w:tcPr>
            <w:tcW w:w="1361" w:type="dxa"/>
            <w:vAlign w:val="center"/>
          </w:tcPr>
          <w:p w14:paraId="698E8E8B" w14:textId="186D3CA2" w:rsidR="00EA7C77" w:rsidRPr="00F200F4" w:rsidRDefault="00EA7C77" w:rsidP="00314350">
            <w:pPr>
              <w:spacing w:beforeLines="20" w:before="48" w:afterLines="20" w:after="48"/>
              <w:jc w:val="right"/>
              <w:rPr>
                <w:rFonts w:asciiTheme="minorHAnsi" w:hAnsiTheme="minorHAnsi" w:cstheme="minorHAnsi"/>
                <w:b/>
                <w:bCs/>
                <w:sz w:val="22"/>
                <w:szCs w:val="22"/>
              </w:rPr>
            </w:pPr>
            <w:r w:rsidRPr="005C0B12">
              <w:rPr>
                <w:b/>
                <w:bCs/>
                <w:sz w:val="22"/>
                <w:szCs w:val="22"/>
              </w:rPr>
              <w:t>19.319,64</w:t>
            </w:r>
          </w:p>
        </w:tc>
        <w:tc>
          <w:tcPr>
            <w:tcW w:w="1361" w:type="dxa"/>
            <w:noWrap/>
            <w:vAlign w:val="center"/>
          </w:tcPr>
          <w:p w14:paraId="1CFF4B75" w14:textId="31BBDAEF" w:rsidR="00EA7C77" w:rsidRPr="00F200F4" w:rsidRDefault="00EA7C77" w:rsidP="00314350">
            <w:pPr>
              <w:spacing w:beforeLines="20" w:before="48" w:afterLines="20" w:after="48"/>
              <w:jc w:val="right"/>
              <w:rPr>
                <w:rFonts w:asciiTheme="minorHAnsi" w:hAnsiTheme="minorHAnsi" w:cstheme="minorHAnsi"/>
                <w:b/>
                <w:bCs/>
                <w:sz w:val="22"/>
                <w:szCs w:val="22"/>
              </w:rPr>
            </w:pPr>
            <w:r w:rsidRPr="00F200F4">
              <w:rPr>
                <w:b/>
                <w:bCs/>
                <w:sz w:val="22"/>
                <w:szCs w:val="22"/>
              </w:rPr>
              <w:t>19.438,70</w:t>
            </w:r>
          </w:p>
        </w:tc>
        <w:tc>
          <w:tcPr>
            <w:tcW w:w="1361" w:type="dxa"/>
            <w:vAlign w:val="center"/>
          </w:tcPr>
          <w:p w14:paraId="08FE7CA2" w14:textId="0ECAD2A0" w:rsidR="00EA7C77" w:rsidRPr="00F200F4" w:rsidRDefault="00EA7C77" w:rsidP="00314350">
            <w:pPr>
              <w:spacing w:beforeLines="20" w:before="48" w:afterLines="20" w:after="48"/>
              <w:jc w:val="right"/>
              <w:rPr>
                <w:rFonts w:asciiTheme="minorHAnsi" w:hAnsiTheme="minorHAnsi" w:cstheme="minorHAnsi"/>
                <w:b/>
                <w:bCs/>
                <w:sz w:val="22"/>
                <w:szCs w:val="22"/>
              </w:rPr>
            </w:pPr>
            <w:r w:rsidRPr="00F200F4">
              <w:rPr>
                <w:b/>
                <w:bCs/>
                <w:sz w:val="22"/>
                <w:szCs w:val="22"/>
              </w:rPr>
              <w:t>17.701,46</w:t>
            </w:r>
          </w:p>
        </w:tc>
        <w:tc>
          <w:tcPr>
            <w:tcW w:w="1361" w:type="dxa"/>
            <w:noWrap/>
            <w:vAlign w:val="center"/>
          </w:tcPr>
          <w:p w14:paraId="25FFFE03" w14:textId="15FF08C3" w:rsidR="00EA7C77" w:rsidRPr="00F200F4" w:rsidRDefault="00EA7C77" w:rsidP="00314350">
            <w:pPr>
              <w:spacing w:beforeLines="20" w:before="48" w:afterLines="20" w:after="48"/>
              <w:jc w:val="right"/>
              <w:rPr>
                <w:rFonts w:asciiTheme="minorHAnsi" w:hAnsiTheme="minorHAnsi" w:cstheme="minorHAnsi"/>
                <w:b/>
                <w:bCs/>
                <w:sz w:val="22"/>
                <w:szCs w:val="22"/>
              </w:rPr>
            </w:pPr>
            <w:r w:rsidRPr="00F200F4">
              <w:rPr>
                <w:b/>
                <w:bCs/>
                <w:sz w:val="22"/>
                <w:szCs w:val="22"/>
              </w:rPr>
              <w:t>15.648,96</w:t>
            </w:r>
          </w:p>
        </w:tc>
      </w:tr>
      <w:tr w:rsidR="006469FF" w:rsidRPr="00304E83" w14:paraId="2851FBB2" w14:textId="77777777" w:rsidTr="002F75BA">
        <w:trPr>
          <w:trHeight w:val="288"/>
          <w:jc w:val="center"/>
        </w:trPr>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3CA99EF7" w14:textId="31CFA014" w:rsidR="006469FF" w:rsidRPr="006469FF" w:rsidRDefault="006469FF" w:rsidP="00314350">
            <w:pPr>
              <w:spacing w:beforeLines="20" w:before="48" w:afterLines="20" w:after="48"/>
              <w:rPr>
                <w:rFonts w:asciiTheme="minorHAnsi" w:hAnsiTheme="minorHAnsi" w:cstheme="minorHAnsi"/>
                <w:b/>
                <w:bCs/>
                <w:sz w:val="22"/>
                <w:szCs w:val="22"/>
              </w:rPr>
            </w:pPr>
            <w:r w:rsidRPr="006469FF">
              <w:rPr>
                <w:rFonts w:asciiTheme="minorHAnsi" w:hAnsiTheme="minorHAnsi" w:cstheme="minorHAnsi"/>
                <w:b/>
                <w:bCs/>
                <w:sz w:val="22"/>
                <w:szCs w:val="22"/>
              </w:rPr>
              <w:t>WAM</w:t>
            </w:r>
            <w:r w:rsidR="002F7D55">
              <w:rPr>
                <w:rFonts w:asciiTheme="minorHAnsi" w:hAnsiTheme="minorHAnsi" w:cstheme="minorHAnsi"/>
                <w:b/>
                <w:bCs/>
                <w:sz w:val="22"/>
                <w:szCs w:val="22"/>
              </w:rPr>
              <w:t>*</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524434BC" w14:textId="77777777" w:rsidR="006469FF" w:rsidRPr="006469FF" w:rsidRDefault="006469FF" w:rsidP="00314350">
            <w:pPr>
              <w:spacing w:beforeLines="20" w:before="48" w:afterLines="20" w:after="48"/>
              <w:jc w:val="center"/>
              <w:rPr>
                <w:rFonts w:asciiTheme="minorHAnsi" w:hAnsiTheme="minorHAnsi" w:cstheme="minorHAnsi"/>
                <w:b/>
                <w:bCs/>
                <w:sz w:val="22"/>
                <w:szCs w:val="22"/>
              </w:rPr>
            </w:pPr>
            <w:r w:rsidRPr="006469FF">
              <w:rPr>
                <w:rFonts w:asciiTheme="minorHAnsi" w:hAnsiTheme="minorHAnsi" w:cstheme="minorHAnsi"/>
                <w:b/>
                <w:bCs/>
                <w:sz w:val="22"/>
                <w:szCs w:val="22"/>
              </w:rPr>
              <w:t>2020.</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CB45FBC" w14:textId="320C28B5" w:rsidR="006469FF" w:rsidRPr="006469FF" w:rsidRDefault="006469FF" w:rsidP="00314350">
            <w:pPr>
              <w:spacing w:beforeLines="20" w:before="48" w:afterLines="20" w:after="48"/>
              <w:jc w:val="center"/>
              <w:rPr>
                <w:rFonts w:asciiTheme="minorHAnsi" w:hAnsiTheme="minorHAnsi" w:cstheme="minorHAnsi"/>
                <w:b/>
                <w:bCs/>
                <w:sz w:val="22"/>
                <w:szCs w:val="22"/>
              </w:rPr>
            </w:pPr>
            <w:r w:rsidRPr="006469FF">
              <w:rPr>
                <w:b/>
                <w:bCs/>
                <w:color w:val="000000"/>
                <w:lang w:eastAsia="hr-HR"/>
              </w:rPr>
              <w:t>2022.</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DA7E352" w14:textId="7897A57B" w:rsidR="006469FF" w:rsidRPr="006469FF" w:rsidRDefault="006469FF" w:rsidP="00314350">
            <w:pPr>
              <w:spacing w:beforeLines="20" w:before="48" w:afterLines="20" w:after="48"/>
              <w:jc w:val="center"/>
              <w:rPr>
                <w:rFonts w:asciiTheme="minorHAnsi" w:hAnsiTheme="minorHAnsi" w:cstheme="minorHAnsi"/>
                <w:b/>
                <w:bCs/>
                <w:sz w:val="22"/>
                <w:szCs w:val="22"/>
              </w:rPr>
            </w:pPr>
            <w:r w:rsidRPr="006469FF">
              <w:rPr>
                <w:rFonts w:asciiTheme="minorHAnsi" w:hAnsiTheme="minorHAnsi" w:cstheme="minorHAnsi"/>
                <w:b/>
                <w:bCs/>
                <w:sz w:val="22"/>
                <w:szCs w:val="22"/>
              </w:rPr>
              <w:t>2025.</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4CC87E28" w14:textId="77777777" w:rsidR="006469FF" w:rsidRPr="006469FF" w:rsidRDefault="006469FF" w:rsidP="00314350">
            <w:pPr>
              <w:spacing w:beforeLines="20" w:before="48" w:afterLines="20" w:after="48"/>
              <w:jc w:val="center"/>
              <w:rPr>
                <w:rFonts w:asciiTheme="minorHAnsi" w:hAnsiTheme="minorHAnsi" w:cstheme="minorHAnsi"/>
                <w:b/>
                <w:bCs/>
                <w:sz w:val="22"/>
                <w:szCs w:val="22"/>
              </w:rPr>
            </w:pPr>
            <w:r w:rsidRPr="006469FF">
              <w:rPr>
                <w:rFonts w:asciiTheme="minorHAnsi" w:hAnsiTheme="minorHAnsi" w:cstheme="minorHAnsi"/>
                <w:b/>
                <w:bCs/>
                <w:sz w:val="22"/>
                <w:szCs w:val="22"/>
              </w:rPr>
              <w:t>2030.</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29C954E" w14:textId="77777777" w:rsidR="006469FF" w:rsidRPr="006469FF" w:rsidRDefault="006469FF" w:rsidP="00314350">
            <w:pPr>
              <w:spacing w:beforeLines="20" w:before="48" w:afterLines="20" w:after="48"/>
              <w:jc w:val="center"/>
              <w:rPr>
                <w:rFonts w:asciiTheme="minorHAnsi" w:hAnsiTheme="minorHAnsi" w:cstheme="minorHAnsi"/>
                <w:b/>
                <w:bCs/>
                <w:sz w:val="22"/>
                <w:szCs w:val="22"/>
              </w:rPr>
            </w:pPr>
            <w:r w:rsidRPr="006469FF">
              <w:rPr>
                <w:rFonts w:asciiTheme="minorHAnsi" w:hAnsiTheme="minorHAnsi" w:cstheme="minorHAnsi"/>
                <w:b/>
                <w:bCs/>
                <w:sz w:val="22"/>
                <w:szCs w:val="22"/>
              </w:rPr>
              <w:t>2035.</w:t>
            </w:r>
          </w:p>
        </w:tc>
        <w:tc>
          <w:tcPr>
            <w:tcW w:w="136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0C18A3D6" w14:textId="77777777" w:rsidR="006469FF" w:rsidRPr="006469FF" w:rsidRDefault="006469FF" w:rsidP="00314350">
            <w:pPr>
              <w:spacing w:beforeLines="20" w:before="48" w:afterLines="20" w:after="48"/>
              <w:jc w:val="center"/>
              <w:rPr>
                <w:rFonts w:asciiTheme="minorHAnsi" w:hAnsiTheme="minorHAnsi" w:cstheme="minorHAnsi"/>
                <w:b/>
                <w:bCs/>
                <w:sz w:val="22"/>
                <w:szCs w:val="22"/>
              </w:rPr>
            </w:pPr>
            <w:r w:rsidRPr="006469FF">
              <w:rPr>
                <w:rFonts w:asciiTheme="minorHAnsi" w:hAnsiTheme="minorHAnsi" w:cstheme="minorHAnsi"/>
                <w:b/>
                <w:bCs/>
                <w:sz w:val="22"/>
                <w:szCs w:val="22"/>
              </w:rPr>
              <w:t>2040.</w:t>
            </w:r>
          </w:p>
        </w:tc>
      </w:tr>
      <w:tr w:rsidR="00320F5A" w:rsidRPr="00304E83" w14:paraId="09531A48" w14:textId="77777777" w:rsidTr="002F75BA">
        <w:trPr>
          <w:trHeight w:val="288"/>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6C31A2EB" w14:textId="77777777" w:rsidR="00320F5A" w:rsidRPr="004461D7" w:rsidRDefault="00320F5A" w:rsidP="00314350">
            <w:pPr>
              <w:spacing w:beforeLines="20" w:before="48" w:afterLines="20" w:after="48"/>
              <w:rPr>
                <w:rFonts w:asciiTheme="minorHAnsi" w:hAnsiTheme="minorHAnsi" w:cstheme="minorHAnsi"/>
                <w:sz w:val="22"/>
                <w:szCs w:val="22"/>
              </w:rPr>
            </w:pPr>
            <w:r w:rsidRPr="004461D7">
              <w:rPr>
                <w:rFonts w:asciiTheme="minorHAnsi" w:hAnsiTheme="minorHAnsi" w:cstheme="minorHAnsi"/>
                <w:sz w:val="22"/>
                <w:szCs w:val="22"/>
              </w:rPr>
              <w:t>CO</w:t>
            </w:r>
            <w:r w:rsidRPr="00AE081E">
              <w:rPr>
                <w:rFonts w:asciiTheme="minorHAnsi" w:hAnsiTheme="minorHAnsi" w:cstheme="minorHAnsi"/>
                <w:sz w:val="22"/>
                <w:szCs w:val="22"/>
                <w:vertAlign w:val="subscript"/>
              </w:rPr>
              <w:t>2</w:t>
            </w:r>
          </w:p>
        </w:tc>
        <w:tc>
          <w:tcPr>
            <w:tcW w:w="1361" w:type="dxa"/>
            <w:tcBorders>
              <w:top w:val="single" w:sz="4" w:space="0" w:color="auto"/>
              <w:left w:val="single" w:sz="4" w:space="0" w:color="auto"/>
              <w:bottom w:val="single" w:sz="4" w:space="0" w:color="auto"/>
              <w:right w:val="single" w:sz="4" w:space="0" w:color="auto"/>
            </w:tcBorders>
            <w:noWrap/>
            <w:vAlign w:val="center"/>
          </w:tcPr>
          <w:p w14:paraId="4744079C" w14:textId="77777777" w:rsidR="00320F5A" w:rsidRPr="004461D7" w:rsidRDefault="00320F5A"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11.002,74</w:t>
            </w:r>
          </w:p>
        </w:tc>
        <w:tc>
          <w:tcPr>
            <w:tcW w:w="1361" w:type="dxa"/>
            <w:tcBorders>
              <w:top w:val="single" w:sz="4" w:space="0" w:color="auto"/>
              <w:left w:val="single" w:sz="4" w:space="0" w:color="auto"/>
              <w:bottom w:val="single" w:sz="4" w:space="0" w:color="auto"/>
              <w:right w:val="single" w:sz="4" w:space="0" w:color="auto"/>
            </w:tcBorders>
            <w:vAlign w:val="center"/>
          </w:tcPr>
          <w:p w14:paraId="0C5BF762" w14:textId="17828485" w:rsidR="00320F5A" w:rsidRPr="004461D7" w:rsidRDefault="00320F5A" w:rsidP="00314350">
            <w:pPr>
              <w:spacing w:beforeLines="20" w:before="48" w:afterLines="20" w:after="48"/>
              <w:jc w:val="right"/>
              <w:rPr>
                <w:rFonts w:asciiTheme="minorHAnsi" w:hAnsiTheme="minorHAnsi" w:cstheme="minorHAnsi"/>
                <w:sz w:val="22"/>
                <w:szCs w:val="22"/>
              </w:rPr>
            </w:pPr>
            <w:r w:rsidRPr="006469FF">
              <w:rPr>
                <w:rFonts w:asciiTheme="minorHAnsi" w:hAnsiTheme="minorHAnsi" w:cstheme="minorHAnsi"/>
                <w:sz w:val="22"/>
                <w:szCs w:val="22"/>
              </w:rPr>
              <w:t>12.534,15</w:t>
            </w:r>
          </w:p>
        </w:tc>
        <w:tc>
          <w:tcPr>
            <w:tcW w:w="1361" w:type="dxa"/>
            <w:tcBorders>
              <w:top w:val="single" w:sz="4" w:space="0" w:color="auto"/>
              <w:left w:val="single" w:sz="4" w:space="0" w:color="auto"/>
              <w:bottom w:val="single" w:sz="4" w:space="0" w:color="auto"/>
              <w:right w:val="single" w:sz="4" w:space="0" w:color="auto"/>
            </w:tcBorders>
            <w:vAlign w:val="center"/>
          </w:tcPr>
          <w:p w14:paraId="17E4B76D" w14:textId="12985428" w:rsidR="00320F5A" w:rsidRPr="00320F5A" w:rsidRDefault="00320F5A" w:rsidP="00314350">
            <w:pPr>
              <w:spacing w:beforeLines="20" w:before="48" w:afterLines="20" w:after="48"/>
              <w:jc w:val="right"/>
              <w:rPr>
                <w:rFonts w:asciiTheme="minorHAnsi" w:hAnsiTheme="minorHAnsi" w:cstheme="minorHAnsi"/>
                <w:sz w:val="22"/>
                <w:szCs w:val="22"/>
              </w:rPr>
            </w:pPr>
            <w:r w:rsidRPr="005C0B12">
              <w:rPr>
                <w:sz w:val="22"/>
                <w:szCs w:val="22"/>
              </w:rPr>
              <w:t>11</w:t>
            </w:r>
            <w:r w:rsidR="00574104">
              <w:rPr>
                <w:sz w:val="22"/>
                <w:szCs w:val="22"/>
              </w:rPr>
              <w:t>.</w:t>
            </w:r>
            <w:r w:rsidRPr="005C0B12">
              <w:rPr>
                <w:sz w:val="22"/>
                <w:szCs w:val="22"/>
              </w:rPr>
              <w:t>396,98</w:t>
            </w:r>
          </w:p>
        </w:tc>
        <w:tc>
          <w:tcPr>
            <w:tcW w:w="1361" w:type="dxa"/>
            <w:tcBorders>
              <w:top w:val="single" w:sz="4" w:space="0" w:color="auto"/>
              <w:left w:val="single" w:sz="4" w:space="0" w:color="auto"/>
              <w:bottom w:val="single" w:sz="4" w:space="0" w:color="auto"/>
              <w:right w:val="single" w:sz="4" w:space="0" w:color="auto"/>
            </w:tcBorders>
            <w:noWrap/>
            <w:vAlign w:val="center"/>
          </w:tcPr>
          <w:p w14:paraId="3C5D9C93" w14:textId="59DDDA3B" w:rsidR="00320F5A" w:rsidRPr="00320F5A" w:rsidRDefault="00320F5A" w:rsidP="00314350">
            <w:pPr>
              <w:spacing w:beforeLines="20" w:before="48" w:afterLines="20" w:after="48"/>
              <w:jc w:val="right"/>
              <w:rPr>
                <w:rFonts w:asciiTheme="minorHAnsi" w:hAnsiTheme="minorHAnsi" w:cstheme="minorHAnsi"/>
                <w:sz w:val="22"/>
                <w:szCs w:val="22"/>
              </w:rPr>
            </w:pPr>
            <w:r w:rsidRPr="005C0B12">
              <w:rPr>
                <w:sz w:val="22"/>
                <w:szCs w:val="22"/>
              </w:rPr>
              <w:t>9</w:t>
            </w:r>
            <w:r w:rsidR="00574104">
              <w:rPr>
                <w:sz w:val="22"/>
                <w:szCs w:val="22"/>
              </w:rPr>
              <w:t>.</w:t>
            </w:r>
            <w:r w:rsidRPr="005C0B12">
              <w:rPr>
                <w:sz w:val="22"/>
                <w:szCs w:val="22"/>
              </w:rPr>
              <w:t>448,63</w:t>
            </w:r>
          </w:p>
        </w:tc>
        <w:tc>
          <w:tcPr>
            <w:tcW w:w="1361" w:type="dxa"/>
            <w:tcBorders>
              <w:top w:val="single" w:sz="4" w:space="0" w:color="auto"/>
              <w:left w:val="single" w:sz="4" w:space="0" w:color="auto"/>
              <w:bottom w:val="single" w:sz="4" w:space="0" w:color="auto"/>
              <w:right w:val="single" w:sz="4" w:space="0" w:color="auto"/>
            </w:tcBorders>
            <w:vAlign w:val="center"/>
          </w:tcPr>
          <w:p w14:paraId="6E4C9448" w14:textId="370CCFBC" w:rsidR="00320F5A" w:rsidRPr="00320F5A" w:rsidRDefault="00320F5A" w:rsidP="00314350">
            <w:pPr>
              <w:spacing w:beforeLines="20" w:before="48" w:afterLines="20" w:after="48"/>
              <w:jc w:val="right"/>
              <w:rPr>
                <w:rFonts w:asciiTheme="minorHAnsi" w:hAnsiTheme="minorHAnsi" w:cstheme="minorHAnsi"/>
                <w:sz w:val="22"/>
                <w:szCs w:val="22"/>
              </w:rPr>
            </w:pPr>
            <w:r w:rsidRPr="005C0B12">
              <w:rPr>
                <w:sz w:val="22"/>
                <w:szCs w:val="22"/>
              </w:rPr>
              <w:t>6</w:t>
            </w:r>
            <w:r w:rsidR="00574104">
              <w:rPr>
                <w:sz w:val="22"/>
                <w:szCs w:val="22"/>
              </w:rPr>
              <w:t>.</w:t>
            </w:r>
            <w:r w:rsidRPr="005C0B12">
              <w:rPr>
                <w:sz w:val="22"/>
                <w:szCs w:val="22"/>
              </w:rPr>
              <w:t>626,41</w:t>
            </w:r>
          </w:p>
        </w:tc>
        <w:tc>
          <w:tcPr>
            <w:tcW w:w="1361" w:type="dxa"/>
            <w:tcBorders>
              <w:top w:val="single" w:sz="4" w:space="0" w:color="auto"/>
              <w:left w:val="single" w:sz="4" w:space="0" w:color="auto"/>
              <w:bottom w:val="single" w:sz="4" w:space="0" w:color="auto"/>
              <w:right w:val="single" w:sz="4" w:space="0" w:color="auto"/>
            </w:tcBorders>
            <w:noWrap/>
            <w:vAlign w:val="center"/>
          </w:tcPr>
          <w:p w14:paraId="0AE1890B" w14:textId="2B69ADC7" w:rsidR="00320F5A" w:rsidRPr="00320F5A" w:rsidRDefault="00320F5A" w:rsidP="00314350">
            <w:pPr>
              <w:spacing w:beforeLines="20" w:before="48" w:afterLines="20" w:after="48"/>
              <w:jc w:val="right"/>
              <w:rPr>
                <w:rFonts w:asciiTheme="minorHAnsi" w:hAnsiTheme="minorHAnsi" w:cstheme="minorHAnsi"/>
                <w:sz w:val="22"/>
                <w:szCs w:val="22"/>
              </w:rPr>
            </w:pPr>
            <w:r w:rsidRPr="005C0B12">
              <w:rPr>
                <w:sz w:val="22"/>
                <w:szCs w:val="22"/>
              </w:rPr>
              <w:t>2</w:t>
            </w:r>
            <w:r w:rsidR="00574104">
              <w:rPr>
                <w:sz w:val="22"/>
                <w:szCs w:val="22"/>
              </w:rPr>
              <w:t>.</w:t>
            </w:r>
            <w:r w:rsidRPr="005C0B12">
              <w:rPr>
                <w:sz w:val="22"/>
                <w:szCs w:val="22"/>
              </w:rPr>
              <w:t>493,06</w:t>
            </w:r>
          </w:p>
        </w:tc>
      </w:tr>
      <w:tr w:rsidR="00320F5A" w:rsidRPr="00304E83" w14:paraId="763B30A3" w14:textId="77777777" w:rsidTr="002F75BA">
        <w:trPr>
          <w:trHeight w:val="288"/>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5423E0DF" w14:textId="77777777" w:rsidR="00320F5A" w:rsidRPr="004461D7" w:rsidRDefault="00320F5A" w:rsidP="00314350">
            <w:pPr>
              <w:spacing w:beforeLines="20" w:before="48" w:afterLines="20" w:after="48"/>
              <w:rPr>
                <w:rFonts w:asciiTheme="minorHAnsi" w:hAnsiTheme="minorHAnsi" w:cstheme="minorHAnsi"/>
                <w:sz w:val="22"/>
                <w:szCs w:val="22"/>
              </w:rPr>
            </w:pPr>
            <w:r w:rsidRPr="004461D7">
              <w:rPr>
                <w:rFonts w:asciiTheme="minorHAnsi" w:hAnsiTheme="minorHAnsi" w:cstheme="minorHAnsi"/>
                <w:sz w:val="22"/>
                <w:szCs w:val="22"/>
              </w:rPr>
              <w:t>CH</w:t>
            </w:r>
            <w:r w:rsidRPr="00AE081E">
              <w:rPr>
                <w:rFonts w:asciiTheme="minorHAnsi" w:hAnsiTheme="minorHAnsi" w:cstheme="minorHAnsi"/>
                <w:sz w:val="22"/>
                <w:szCs w:val="22"/>
                <w:vertAlign w:val="subscript"/>
              </w:rPr>
              <w:t>4</w:t>
            </w:r>
          </w:p>
        </w:tc>
        <w:tc>
          <w:tcPr>
            <w:tcW w:w="1361" w:type="dxa"/>
            <w:tcBorders>
              <w:top w:val="single" w:sz="4" w:space="0" w:color="auto"/>
              <w:left w:val="single" w:sz="4" w:space="0" w:color="auto"/>
              <w:bottom w:val="single" w:sz="4" w:space="0" w:color="auto"/>
              <w:right w:val="single" w:sz="4" w:space="0" w:color="auto"/>
            </w:tcBorders>
            <w:noWrap/>
            <w:vAlign w:val="center"/>
          </w:tcPr>
          <w:p w14:paraId="7F76A4FF" w14:textId="77777777" w:rsidR="00320F5A" w:rsidRPr="004461D7" w:rsidRDefault="00320F5A"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4.034,76</w:t>
            </w:r>
          </w:p>
        </w:tc>
        <w:tc>
          <w:tcPr>
            <w:tcW w:w="1361" w:type="dxa"/>
            <w:tcBorders>
              <w:top w:val="single" w:sz="4" w:space="0" w:color="auto"/>
              <w:left w:val="single" w:sz="4" w:space="0" w:color="auto"/>
              <w:bottom w:val="single" w:sz="4" w:space="0" w:color="auto"/>
              <w:right w:val="single" w:sz="4" w:space="0" w:color="auto"/>
            </w:tcBorders>
            <w:vAlign w:val="center"/>
          </w:tcPr>
          <w:p w14:paraId="68048BDE" w14:textId="052290DA" w:rsidR="00320F5A" w:rsidRPr="004461D7" w:rsidRDefault="00320F5A" w:rsidP="00314350">
            <w:pPr>
              <w:spacing w:beforeLines="20" w:before="48" w:afterLines="20" w:after="48"/>
              <w:jc w:val="right"/>
              <w:rPr>
                <w:rFonts w:asciiTheme="minorHAnsi" w:hAnsiTheme="minorHAnsi" w:cstheme="minorHAnsi"/>
                <w:sz w:val="22"/>
                <w:szCs w:val="22"/>
              </w:rPr>
            </w:pPr>
            <w:r w:rsidRPr="006469FF">
              <w:rPr>
                <w:rFonts w:asciiTheme="minorHAnsi" w:hAnsiTheme="minorHAnsi" w:cstheme="minorHAnsi"/>
                <w:sz w:val="22"/>
                <w:szCs w:val="22"/>
              </w:rPr>
              <w:t>3.834,08</w:t>
            </w:r>
          </w:p>
        </w:tc>
        <w:tc>
          <w:tcPr>
            <w:tcW w:w="1361" w:type="dxa"/>
            <w:tcBorders>
              <w:top w:val="single" w:sz="4" w:space="0" w:color="auto"/>
              <w:left w:val="single" w:sz="4" w:space="0" w:color="auto"/>
              <w:bottom w:val="single" w:sz="4" w:space="0" w:color="auto"/>
              <w:right w:val="single" w:sz="4" w:space="0" w:color="auto"/>
            </w:tcBorders>
            <w:vAlign w:val="center"/>
          </w:tcPr>
          <w:p w14:paraId="05A4D09D" w14:textId="7DC3ED44" w:rsidR="00320F5A" w:rsidRPr="00320F5A" w:rsidRDefault="00320F5A" w:rsidP="00314350">
            <w:pPr>
              <w:spacing w:beforeLines="20" w:before="48" w:afterLines="20" w:after="48"/>
              <w:jc w:val="right"/>
              <w:rPr>
                <w:rFonts w:asciiTheme="minorHAnsi" w:hAnsiTheme="minorHAnsi" w:cstheme="minorHAnsi"/>
                <w:sz w:val="22"/>
                <w:szCs w:val="22"/>
              </w:rPr>
            </w:pPr>
            <w:r w:rsidRPr="005C0B12">
              <w:rPr>
                <w:sz w:val="22"/>
                <w:szCs w:val="22"/>
              </w:rPr>
              <w:t>3</w:t>
            </w:r>
            <w:r w:rsidR="00574104">
              <w:rPr>
                <w:sz w:val="22"/>
                <w:szCs w:val="22"/>
              </w:rPr>
              <w:t>.</w:t>
            </w:r>
            <w:r w:rsidRPr="005C0B12">
              <w:rPr>
                <w:sz w:val="22"/>
                <w:szCs w:val="22"/>
              </w:rPr>
              <w:t>478,90</w:t>
            </w:r>
          </w:p>
        </w:tc>
        <w:tc>
          <w:tcPr>
            <w:tcW w:w="1361" w:type="dxa"/>
            <w:tcBorders>
              <w:top w:val="single" w:sz="4" w:space="0" w:color="auto"/>
              <w:left w:val="single" w:sz="4" w:space="0" w:color="auto"/>
              <w:bottom w:val="single" w:sz="4" w:space="0" w:color="auto"/>
              <w:right w:val="single" w:sz="4" w:space="0" w:color="auto"/>
            </w:tcBorders>
            <w:noWrap/>
            <w:vAlign w:val="center"/>
          </w:tcPr>
          <w:p w14:paraId="1EE3C1D2" w14:textId="72538788" w:rsidR="00320F5A" w:rsidRPr="00320F5A" w:rsidRDefault="00320F5A" w:rsidP="00314350">
            <w:pPr>
              <w:spacing w:beforeLines="20" w:before="48" w:afterLines="20" w:after="48"/>
              <w:jc w:val="right"/>
              <w:rPr>
                <w:rFonts w:asciiTheme="minorHAnsi" w:hAnsiTheme="minorHAnsi" w:cstheme="minorHAnsi"/>
                <w:sz w:val="22"/>
                <w:szCs w:val="22"/>
              </w:rPr>
            </w:pPr>
            <w:r w:rsidRPr="005C0B12">
              <w:rPr>
                <w:sz w:val="22"/>
                <w:szCs w:val="22"/>
              </w:rPr>
              <w:t>2</w:t>
            </w:r>
            <w:r w:rsidR="00574104">
              <w:rPr>
                <w:sz w:val="22"/>
                <w:szCs w:val="22"/>
              </w:rPr>
              <w:t>.</w:t>
            </w:r>
            <w:r w:rsidRPr="005C0B12">
              <w:rPr>
                <w:sz w:val="22"/>
                <w:szCs w:val="22"/>
              </w:rPr>
              <w:t>934,84</w:t>
            </w:r>
          </w:p>
        </w:tc>
        <w:tc>
          <w:tcPr>
            <w:tcW w:w="1361" w:type="dxa"/>
            <w:tcBorders>
              <w:top w:val="single" w:sz="4" w:space="0" w:color="auto"/>
              <w:left w:val="single" w:sz="4" w:space="0" w:color="auto"/>
              <w:bottom w:val="single" w:sz="4" w:space="0" w:color="auto"/>
              <w:right w:val="single" w:sz="4" w:space="0" w:color="auto"/>
            </w:tcBorders>
            <w:vAlign w:val="center"/>
          </w:tcPr>
          <w:p w14:paraId="228F6444" w14:textId="599C5544" w:rsidR="00320F5A" w:rsidRPr="00320F5A" w:rsidRDefault="00320F5A" w:rsidP="00314350">
            <w:pPr>
              <w:spacing w:beforeLines="20" w:before="48" w:afterLines="20" w:after="48"/>
              <w:jc w:val="right"/>
              <w:rPr>
                <w:rFonts w:asciiTheme="minorHAnsi" w:hAnsiTheme="minorHAnsi" w:cstheme="minorHAnsi"/>
                <w:sz w:val="22"/>
                <w:szCs w:val="22"/>
              </w:rPr>
            </w:pPr>
            <w:r w:rsidRPr="005C0B12">
              <w:rPr>
                <w:sz w:val="22"/>
                <w:szCs w:val="22"/>
              </w:rPr>
              <w:t>2</w:t>
            </w:r>
            <w:r w:rsidR="00574104">
              <w:rPr>
                <w:sz w:val="22"/>
                <w:szCs w:val="22"/>
              </w:rPr>
              <w:t>.</w:t>
            </w:r>
            <w:r w:rsidRPr="005C0B12">
              <w:rPr>
                <w:sz w:val="22"/>
                <w:szCs w:val="22"/>
              </w:rPr>
              <w:t>657,96</w:t>
            </w:r>
          </w:p>
        </w:tc>
        <w:tc>
          <w:tcPr>
            <w:tcW w:w="1361" w:type="dxa"/>
            <w:tcBorders>
              <w:top w:val="single" w:sz="4" w:space="0" w:color="auto"/>
              <w:left w:val="single" w:sz="4" w:space="0" w:color="auto"/>
              <w:bottom w:val="single" w:sz="4" w:space="0" w:color="auto"/>
              <w:right w:val="single" w:sz="4" w:space="0" w:color="auto"/>
            </w:tcBorders>
            <w:noWrap/>
            <w:vAlign w:val="center"/>
          </w:tcPr>
          <w:p w14:paraId="72064969" w14:textId="286DCDFE" w:rsidR="00320F5A" w:rsidRPr="00320F5A" w:rsidRDefault="00320F5A" w:rsidP="00314350">
            <w:pPr>
              <w:spacing w:beforeLines="20" w:before="48" w:afterLines="20" w:after="48"/>
              <w:jc w:val="right"/>
              <w:rPr>
                <w:rFonts w:asciiTheme="minorHAnsi" w:hAnsiTheme="minorHAnsi" w:cstheme="minorHAnsi"/>
                <w:sz w:val="22"/>
                <w:szCs w:val="22"/>
              </w:rPr>
            </w:pPr>
            <w:r w:rsidRPr="005C0B12">
              <w:rPr>
                <w:sz w:val="22"/>
                <w:szCs w:val="22"/>
              </w:rPr>
              <w:t>2</w:t>
            </w:r>
            <w:r w:rsidR="00574104">
              <w:rPr>
                <w:sz w:val="22"/>
                <w:szCs w:val="22"/>
              </w:rPr>
              <w:t>.</w:t>
            </w:r>
            <w:r w:rsidRPr="005C0B12">
              <w:rPr>
                <w:sz w:val="22"/>
                <w:szCs w:val="22"/>
              </w:rPr>
              <w:t>385,15</w:t>
            </w:r>
          </w:p>
        </w:tc>
      </w:tr>
      <w:tr w:rsidR="00320F5A" w:rsidRPr="00304E83" w14:paraId="2935A1C3" w14:textId="77777777" w:rsidTr="002F75BA">
        <w:trPr>
          <w:trHeight w:val="288"/>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57C5C1D8" w14:textId="77777777" w:rsidR="00320F5A" w:rsidRPr="004461D7" w:rsidRDefault="00320F5A" w:rsidP="00314350">
            <w:pPr>
              <w:spacing w:beforeLines="20" w:before="48" w:afterLines="20" w:after="48"/>
              <w:rPr>
                <w:rFonts w:asciiTheme="minorHAnsi" w:hAnsiTheme="minorHAnsi" w:cstheme="minorHAnsi"/>
                <w:sz w:val="22"/>
                <w:szCs w:val="22"/>
              </w:rPr>
            </w:pPr>
            <w:r w:rsidRPr="004461D7">
              <w:rPr>
                <w:rFonts w:asciiTheme="minorHAnsi" w:hAnsiTheme="minorHAnsi" w:cstheme="minorHAnsi"/>
                <w:sz w:val="22"/>
                <w:szCs w:val="22"/>
              </w:rPr>
              <w:t>N</w:t>
            </w:r>
            <w:r w:rsidRPr="00AE081E">
              <w:rPr>
                <w:rFonts w:asciiTheme="minorHAnsi" w:hAnsiTheme="minorHAnsi" w:cstheme="minorHAnsi"/>
                <w:sz w:val="22"/>
                <w:szCs w:val="22"/>
                <w:vertAlign w:val="subscript"/>
              </w:rPr>
              <w:t>2</w:t>
            </w:r>
            <w:r w:rsidRPr="004461D7">
              <w:rPr>
                <w:rFonts w:asciiTheme="minorHAnsi" w:hAnsiTheme="minorHAnsi" w:cstheme="minorHAnsi"/>
                <w:sz w:val="22"/>
                <w:szCs w:val="22"/>
              </w:rPr>
              <w:t>O</w:t>
            </w:r>
          </w:p>
        </w:tc>
        <w:tc>
          <w:tcPr>
            <w:tcW w:w="1361" w:type="dxa"/>
            <w:tcBorders>
              <w:top w:val="single" w:sz="4" w:space="0" w:color="auto"/>
              <w:left w:val="single" w:sz="4" w:space="0" w:color="auto"/>
              <w:bottom w:val="single" w:sz="4" w:space="0" w:color="auto"/>
              <w:right w:val="single" w:sz="4" w:space="0" w:color="auto"/>
            </w:tcBorders>
            <w:noWrap/>
            <w:vAlign w:val="center"/>
          </w:tcPr>
          <w:p w14:paraId="58AA5335" w14:textId="77777777" w:rsidR="00320F5A" w:rsidRPr="004461D7" w:rsidRDefault="00320F5A"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1.636,79</w:t>
            </w:r>
          </w:p>
        </w:tc>
        <w:tc>
          <w:tcPr>
            <w:tcW w:w="1361" w:type="dxa"/>
            <w:tcBorders>
              <w:top w:val="single" w:sz="4" w:space="0" w:color="auto"/>
              <w:left w:val="single" w:sz="4" w:space="0" w:color="auto"/>
              <w:bottom w:val="single" w:sz="4" w:space="0" w:color="auto"/>
              <w:right w:val="single" w:sz="4" w:space="0" w:color="auto"/>
            </w:tcBorders>
            <w:vAlign w:val="center"/>
          </w:tcPr>
          <w:p w14:paraId="627DD380" w14:textId="1A1BA6F5" w:rsidR="00320F5A" w:rsidRPr="004461D7" w:rsidRDefault="00320F5A" w:rsidP="00314350">
            <w:pPr>
              <w:spacing w:beforeLines="20" w:before="48" w:afterLines="20" w:after="48"/>
              <w:jc w:val="right"/>
              <w:rPr>
                <w:rFonts w:asciiTheme="minorHAnsi" w:hAnsiTheme="minorHAnsi" w:cstheme="minorHAnsi"/>
                <w:sz w:val="22"/>
                <w:szCs w:val="22"/>
              </w:rPr>
            </w:pPr>
            <w:r w:rsidRPr="006469FF">
              <w:rPr>
                <w:rFonts w:asciiTheme="minorHAnsi" w:hAnsiTheme="minorHAnsi" w:cstheme="minorHAnsi"/>
                <w:sz w:val="22"/>
                <w:szCs w:val="22"/>
              </w:rPr>
              <w:t>1.494,54</w:t>
            </w:r>
          </w:p>
        </w:tc>
        <w:tc>
          <w:tcPr>
            <w:tcW w:w="1361" w:type="dxa"/>
            <w:tcBorders>
              <w:top w:val="single" w:sz="4" w:space="0" w:color="auto"/>
              <w:left w:val="single" w:sz="4" w:space="0" w:color="auto"/>
              <w:bottom w:val="single" w:sz="4" w:space="0" w:color="auto"/>
              <w:right w:val="single" w:sz="4" w:space="0" w:color="auto"/>
            </w:tcBorders>
            <w:vAlign w:val="center"/>
          </w:tcPr>
          <w:p w14:paraId="19470CFF" w14:textId="55664949" w:rsidR="00320F5A" w:rsidRPr="00320F5A" w:rsidRDefault="00320F5A" w:rsidP="00314350">
            <w:pPr>
              <w:spacing w:beforeLines="20" w:before="48" w:afterLines="20" w:after="48"/>
              <w:jc w:val="right"/>
              <w:rPr>
                <w:rFonts w:asciiTheme="minorHAnsi" w:hAnsiTheme="minorHAnsi" w:cstheme="minorHAnsi"/>
                <w:sz w:val="22"/>
                <w:szCs w:val="22"/>
              </w:rPr>
            </w:pPr>
            <w:r w:rsidRPr="005C0B12">
              <w:rPr>
                <w:sz w:val="22"/>
                <w:szCs w:val="22"/>
              </w:rPr>
              <w:t>1.532,79</w:t>
            </w:r>
          </w:p>
        </w:tc>
        <w:tc>
          <w:tcPr>
            <w:tcW w:w="1361" w:type="dxa"/>
            <w:tcBorders>
              <w:top w:val="single" w:sz="4" w:space="0" w:color="auto"/>
              <w:left w:val="single" w:sz="4" w:space="0" w:color="auto"/>
              <w:bottom w:val="single" w:sz="4" w:space="0" w:color="auto"/>
              <w:right w:val="single" w:sz="4" w:space="0" w:color="auto"/>
            </w:tcBorders>
            <w:noWrap/>
            <w:vAlign w:val="center"/>
          </w:tcPr>
          <w:p w14:paraId="55CA45F6" w14:textId="501650B5" w:rsidR="00320F5A" w:rsidRPr="00320F5A" w:rsidRDefault="00320F5A" w:rsidP="00314350">
            <w:pPr>
              <w:spacing w:beforeLines="20" w:before="48" w:afterLines="20" w:after="48"/>
              <w:jc w:val="right"/>
              <w:rPr>
                <w:rFonts w:asciiTheme="minorHAnsi" w:hAnsiTheme="minorHAnsi" w:cstheme="minorHAnsi"/>
                <w:sz w:val="22"/>
                <w:szCs w:val="22"/>
              </w:rPr>
            </w:pPr>
            <w:r w:rsidRPr="005C0B12">
              <w:rPr>
                <w:sz w:val="22"/>
                <w:szCs w:val="22"/>
              </w:rPr>
              <w:t>1.496,85</w:t>
            </w:r>
          </w:p>
        </w:tc>
        <w:tc>
          <w:tcPr>
            <w:tcW w:w="1361" w:type="dxa"/>
            <w:tcBorders>
              <w:top w:val="single" w:sz="4" w:space="0" w:color="auto"/>
              <w:left w:val="single" w:sz="4" w:space="0" w:color="auto"/>
              <w:bottom w:val="single" w:sz="4" w:space="0" w:color="auto"/>
              <w:right w:val="single" w:sz="4" w:space="0" w:color="auto"/>
            </w:tcBorders>
            <w:vAlign w:val="center"/>
          </w:tcPr>
          <w:p w14:paraId="4BEAD877" w14:textId="03230BC5" w:rsidR="00320F5A" w:rsidRPr="00320F5A" w:rsidRDefault="00320F5A" w:rsidP="00314350">
            <w:pPr>
              <w:spacing w:beforeLines="20" w:before="48" w:afterLines="20" w:after="48"/>
              <w:jc w:val="right"/>
              <w:rPr>
                <w:rFonts w:asciiTheme="minorHAnsi" w:hAnsiTheme="minorHAnsi" w:cstheme="minorHAnsi"/>
                <w:sz w:val="22"/>
                <w:szCs w:val="22"/>
              </w:rPr>
            </w:pPr>
            <w:r w:rsidRPr="005C0B12">
              <w:rPr>
                <w:sz w:val="22"/>
                <w:szCs w:val="22"/>
              </w:rPr>
              <w:t>1.444,16</w:t>
            </w:r>
          </w:p>
        </w:tc>
        <w:tc>
          <w:tcPr>
            <w:tcW w:w="1361" w:type="dxa"/>
            <w:tcBorders>
              <w:top w:val="single" w:sz="4" w:space="0" w:color="auto"/>
              <w:left w:val="single" w:sz="4" w:space="0" w:color="auto"/>
              <w:bottom w:val="single" w:sz="4" w:space="0" w:color="auto"/>
              <w:right w:val="single" w:sz="4" w:space="0" w:color="auto"/>
            </w:tcBorders>
            <w:noWrap/>
            <w:vAlign w:val="center"/>
          </w:tcPr>
          <w:p w14:paraId="0B7F2EDE" w14:textId="72873A23" w:rsidR="00320F5A" w:rsidRPr="00320F5A" w:rsidRDefault="00320F5A" w:rsidP="00314350">
            <w:pPr>
              <w:spacing w:beforeLines="20" w:before="48" w:afterLines="20" w:after="48"/>
              <w:jc w:val="right"/>
              <w:rPr>
                <w:rFonts w:asciiTheme="minorHAnsi" w:hAnsiTheme="minorHAnsi" w:cstheme="minorHAnsi"/>
                <w:sz w:val="22"/>
                <w:szCs w:val="22"/>
              </w:rPr>
            </w:pPr>
            <w:r w:rsidRPr="005C0B12">
              <w:rPr>
                <w:sz w:val="22"/>
                <w:szCs w:val="22"/>
              </w:rPr>
              <w:t>1.395,25</w:t>
            </w:r>
          </w:p>
        </w:tc>
      </w:tr>
      <w:tr w:rsidR="006469FF" w:rsidRPr="00304E83" w14:paraId="7788955E" w14:textId="77777777" w:rsidTr="002F75BA">
        <w:trPr>
          <w:trHeight w:val="288"/>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098B88A4" w14:textId="77777777" w:rsidR="006469FF" w:rsidRPr="004461D7" w:rsidRDefault="006469FF" w:rsidP="00314350">
            <w:pPr>
              <w:spacing w:beforeLines="20" w:before="48" w:afterLines="20" w:after="48"/>
              <w:rPr>
                <w:rFonts w:asciiTheme="minorHAnsi" w:hAnsiTheme="minorHAnsi" w:cstheme="minorHAnsi"/>
                <w:sz w:val="22"/>
                <w:szCs w:val="22"/>
              </w:rPr>
            </w:pPr>
            <w:r w:rsidRPr="004461D7">
              <w:rPr>
                <w:rFonts w:asciiTheme="minorHAnsi" w:hAnsiTheme="minorHAnsi" w:cstheme="minorHAnsi"/>
                <w:sz w:val="22"/>
                <w:szCs w:val="22"/>
              </w:rPr>
              <w:t>HFC</w:t>
            </w:r>
          </w:p>
        </w:tc>
        <w:tc>
          <w:tcPr>
            <w:tcW w:w="1361" w:type="dxa"/>
            <w:tcBorders>
              <w:top w:val="single" w:sz="4" w:space="0" w:color="auto"/>
              <w:left w:val="single" w:sz="4" w:space="0" w:color="auto"/>
              <w:bottom w:val="single" w:sz="4" w:space="0" w:color="auto"/>
              <w:right w:val="single" w:sz="4" w:space="0" w:color="auto"/>
            </w:tcBorders>
            <w:noWrap/>
            <w:vAlign w:val="center"/>
          </w:tcPr>
          <w:p w14:paraId="4905A40A" w14:textId="77777777" w:rsidR="006469FF" w:rsidRPr="004461D7" w:rsidRDefault="006469FF"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1.572,23</w:t>
            </w:r>
          </w:p>
        </w:tc>
        <w:tc>
          <w:tcPr>
            <w:tcW w:w="1361" w:type="dxa"/>
            <w:tcBorders>
              <w:top w:val="single" w:sz="4" w:space="0" w:color="auto"/>
              <w:left w:val="single" w:sz="4" w:space="0" w:color="auto"/>
              <w:bottom w:val="single" w:sz="4" w:space="0" w:color="auto"/>
              <w:right w:val="single" w:sz="4" w:space="0" w:color="auto"/>
            </w:tcBorders>
            <w:vAlign w:val="center"/>
          </w:tcPr>
          <w:p w14:paraId="5AB0B098" w14:textId="31E0BB7A" w:rsidR="006469FF" w:rsidRPr="004461D7" w:rsidRDefault="006469FF" w:rsidP="00314350">
            <w:pPr>
              <w:spacing w:beforeLines="20" w:before="48" w:afterLines="20" w:after="48"/>
              <w:jc w:val="right"/>
              <w:rPr>
                <w:rFonts w:asciiTheme="minorHAnsi" w:hAnsiTheme="minorHAnsi" w:cstheme="minorHAnsi"/>
                <w:sz w:val="22"/>
                <w:szCs w:val="22"/>
              </w:rPr>
            </w:pPr>
            <w:r w:rsidRPr="006469FF">
              <w:rPr>
                <w:rFonts w:asciiTheme="minorHAnsi" w:hAnsiTheme="minorHAnsi" w:cstheme="minorHAnsi"/>
                <w:sz w:val="22"/>
                <w:szCs w:val="22"/>
              </w:rPr>
              <w:t>1.812,05</w:t>
            </w:r>
          </w:p>
        </w:tc>
        <w:tc>
          <w:tcPr>
            <w:tcW w:w="1361" w:type="dxa"/>
            <w:tcBorders>
              <w:top w:val="single" w:sz="4" w:space="0" w:color="auto"/>
              <w:left w:val="single" w:sz="4" w:space="0" w:color="auto"/>
              <w:bottom w:val="single" w:sz="4" w:space="0" w:color="auto"/>
              <w:right w:val="single" w:sz="4" w:space="0" w:color="auto"/>
            </w:tcBorders>
            <w:vAlign w:val="center"/>
          </w:tcPr>
          <w:p w14:paraId="7872F0C4" w14:textId="6B453FE2" w:rsidR="006469FF" w:rsidRPr="004461D7" w:rsidRDefault="006469FF"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1.503,21</w:t>
            </w:r>
          </w:p>
        </w:tc>
        <w:tc>
          <w:tcPr>
            <w:tcW w:w="1361" w:type="dxa"/>
            <w:tcBorders>
              <w:top w:val="single" w:sz="4" w:space="0" w:color="auto"/>
              <w:left w:val="single" w:sz="4" w:space="0" w:color="auto"/>
              <w:bottom w:val="single" w:sz="4" w:space="0" w:color="auto"/>
              <w:right w:val="single" w:sz="4" w:space="0" w:color="auto"/>
            </w:tcBorders>
            <w:noWrap/>
            <w:vAlign w:val="center"/>
          </w:tcPr>
          <w:p w14:paraId="6C8B86F0" w14:textId="77777777" w:rsidR="006469FF" w:rsidRPr="004461D7" w:rsidRDefault="006469FF"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988,46</w:t>
            </w:r>
          </w:p>
        </w:tc>
        <w:tc>
          <w:tcPr>
            <w:tcW w:w="1361" w:type="dxa"/>
            <w:tcBorders>
              <w:top w:val="single" w:sz="4" w:space="0" w:color="auto"/>
              <w:left w:val="single" w:sz="4" w:space="0" w:color="auto"/>
              <w:bottom w:val="single" w:sz="4" w:space="0" w:color="auto"/>
              <w:right w:val="single" w:sz="4" w:space="0" w:color="auto"/>
            </w:tcBorders>
            <w:vAlign w:val="center"/>
          </w:tcPr>
          <w:p w14:paraId="3FC48938" w14:textId="77777777" w:rsidR="006469FF" w:rsidRPr="004461D7" w:rsidRDefault="006469FF"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763,83</w:t>
            </w:r>
          </w:p>
        </w:tc>
        <w:tc>
          <w:tcPr>
            <w:tcW w:w="1361" w:type="dxa"/>
            <w:tcBorders>
              <w:top w:val="single" w:sz="4" w:space="0" w:color="auto"/>
              <w:left w:val="single" w:sz="4" w:space="0" w:color="auto"/>
              <w:bottom w:val="single" w:sz="4" w:space="0" w:color="auto"/>
              <w:right w:val="single" w:sz="4" w:space="0" w:color="auto"/>
            </w:tcBorders>
            <w:noWrap/>
            <w:vAlign w:val="center"/>
          </w:tcPr>
          <w:p w14:paraId="71D0EFB3" w14:textId="77777777" w:rsidR="006469FF" w:rsidRPr="004461D7" w:rsidRDefault="006469FF"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539,20</w:t>
            </w:r>
          </w:p>
        </w:tc>
      </w:tr>
      <w:tr w:rsidR="006469FF" w:rsidRPr="00304E83" w14:paraId="29BACCC4" w14:textId="77777777" w:rsidTr="002F75BA">
        <w:trPr>
          <w:trHeight w:val="288"/>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4DD7345A" w14:textId="77777777" w:rsidR="006469FF" w:rsidRPr="004461D7" w:rsidRDefault="006469FF" w:rsidP="00314350">
            <w:pPr>
              <w:spacing w:beforeLines="20" w:before="48" w:afterLines="20" w:after="48"/>
              <w:rPr>
                <w:rFonts w:asciiTheme="minorHAnsi" w:hAnsiTheme="minorHAnsi" w:cstheme="minorHAnsi"/>
                <w:sz w:val="22"/>
                <w:szCs w:val="22"/>
              </w:rPr>
            </w:pPr>
            <w:r w:rsidRPr="004461D7">
              <w:rPr>
                <w:rFonts w:asciiTheme="minorHAnsi" w:hAnsiTheme="minorHAnsi" w:cstheme="minorHAnsi"/>
                <w:sz w:val="22"/>
                <w:szCs w:val="22"/>
              </w:rPr>
              <w:t>SF</w:t>
            </w:r>
            <w:r w:rsidRPr="001D6176">
              <w:rPr>
                <w:rFonts w:asciiTheme="minorHAnsi" w:hAnsiTheme="minorHAnsi" w:cstheme="minorHAnsi"/>
                <w:sz w:val="22"/>
                <w:szCs w:val="22"/>
                <w:vertAlign w:val="subscript"/>
              </w:rPr>
              <w:t>6</w:t>
            </w:r>
          </w:p>
        </w:tc>
        <w:tc>
          <w:tcPr>
            <w:tcW w:w="1361" w:type="dxa"/>
            <w:tcBorders>
              <w:top w:val="single" w:sz="4" w:space="0" w:color="auto"/>
              <w:left w:val="single" w:sz="4" w:space="0" w:color="auto"/>
              <w:bottom w:val="single" w:sz="4" w:space="0" w:color="auto"/>
              <w:right w:val="single" w:sz="4" w:space="0" w:color="auto"/>
            </w:tcBorders>
            <w:noWrap/>
            <w:vAlign w:val="center"/>
          </w:tcPr>
          <w:p w14:paraId="54004E9D" w14:textId="77777777" w:rsidR="006469FF" w:rsidRPr="004461D7" w:rsidRDefault="006469FF"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9,35</w:t>
            </w:r>
          </w:p>
        </w:tc>
        <w:tc>
          <w:tcPr>
            <w:tcW w:w="1361" w:type="dxa"/>
            <w:tcBorders>
              <w:top w:val="single" w:sz="4" w:space="0" w:color="auto"/>
              <w:left w:val="single" w:sz="4" w:space="0" w:color="auto"/>
              <w:bottom w:val="single" w:sz="4" w:space="0" w:color="auto"/>
              <w:right w:val="single" w:sz="4" w:space="0" w:color="auto"/>
            </w:tcBorders>
            <w:vAlign w:val="center"/>
          </w:tcPr>
          <w:p w14:paraId="230CE618" w14:textId="1585132F" w:rsidR="006469FF" w:rsidRPr="004461D7" w:rsidRDefault="006469FF" w:rsidP="00314350">
            <w:pPr>
              <w:spacing w:beforeLines="20" w:before="48" w:afterLines="20" w:after="48"/>
              <w:jc w:val="right"/>
              <w:rPr>
                <w:rFonts w:asciiTheme="minorHAnsi" w:hAnsiTheme="minorHAnsi" w:cstheme="minorHAnsi"/>
                <w:sz w:val="22"/>
                <w:szCs w:val="22"/>
              </w:rPr>
            </w:pPr>
            <w:r w:rsidRPr="006469FF">
              <w:rPr>
                <w:rFonts w:asciiTheme="minorHAnsi" w:hAnsiTheme="minorHAnsi" w:cstheme="minorHAnsi"/>
                <w:sz w:val="22"/>
                <w:szCs w:val="22"/>
              </w:rPr>
              <w:t>10,00</w:t>
            </w:r>
          </w:p>
        </w:tc>
        <w:tc>
          <w:tcPr>
            <w:tcW w:w="1361" w:type="dxa"/>
            <w:tcBorders>
              <w:top w:val="single" w:sz="4" w:space="0" w:color="auto"/>
              <w:left w:val="single" w:sz="4" w:space="0" w:color="auto"/>
              <w:bottom w:val="single" w:sz="4" w:space="0" w:color="auto"/>
              <w:right w:val="single" w:sz="4" w:space="0" w:color="auto"/>
            </w:tcBorders>
            <w:vAlign w:val="center"/>
          </w:tcPr>
          <w:p w14:paraId="2AD4C8C9" w14:textId="4E7614E8" w:rsidR="006469FF" w:rsidRPr="004461D7" w:rsidRDefault="006469FF"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8,06</w:t>
            </w:r>
          </w:p>
        </w:tc>
        <w:tc>
          <w:tcPr>
            <w:tcW w:w="1361" w:type="dxa"/>
            <w:tcBorders>
              <w:top w:val="single" w:sz="4" w:space="0" w:color="auto"/>
              <w:left w:val="single" w:sz="4" w:space="0" w:color="auto"/>
              <w:bottom w:val="single" w:sz="4" w:space="0" w:color="auto"/>
              <w:right w:val="single" w:sz="4" w:space="0" w:color="auto"/>
            </w:tcBorders>
            <w:noWrap/>
            <w:vAlign w:val="center"/>
          </w:tcPr>
          <w:p w14:paraId="40278223" w14:textId="77777777" w:rsidR="006469FF" w:rsidRPr="004461D7" w:rsidRDefault="006469FF"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4,83</w:t>
            </w:r>
          </w:p>
        </w:tc>
        <w:tc>
          <w:tcPr>
            <w:tcW w:w="1361" w:type="dxa"/>
            <w:tcBorders>
              <w:top w:val="single" w:sz="4" w:space="0" w:color="auto"/>
              <w:left w:val="single" w:sz="4" w:space="0" w:color="auto"/>
              <w:bottom w:val="single" w:sz="4" w:space="0" w:color="auto"/>
              <w:right w:val="single" w:sz="4" w:space="0" w:color="auto"/>
            </w:tcBorders>
            <w:vAlign w:val="center"/>
          </w:tcPr>
          <w:p w14:paraId="46B85E9E" w14:textId="77777777" w:rsidR="006469FF" w:rsidRPr="004461D7" w:rsidRDefault="006469FF"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3,58</w:t>
            </w:r>
          </w:p>
        </w:tc>
        <w:tc>
          <w:tcPr>
            <w:tcW w:w="1361" w:type="dxa"/>
            <w:tcBorders>
              <w:top w:val="single" w:sz="4" w:space="0" w:color="auto"/>
              <w:left w:val="single" w:sz="4" w:space="0" w:color="auto"/>
              <w:bottom w:val="single" w:sz="4" w:space="0" w:color="auto"/>
              <w:right w:val="single" w:sz="4" w:space="0" w:color="auto"/>
            </w:tcBorders>
            <w:noWrap/>
            <w:vAlign w:val="center"/>
          </w:tcPr>
          <w:p w14:paraId="2A12AE70" w14:textId="77777777" w:rsidR="006469FF" w:rsidRPr="004461D7" w:rsidRDefault="006469FF" w:rsidP="00314350">
            <w:pPr>
              <w:spacing w:beforeLines="20" w:before="48" w:afterLines="20" w:after="48"/>
              <w:jc w:val="right"/>
              <w:rPr>
                <w:rFonts w:asciiTheme="minorHAnsi" w:hAnsiTheme="minorHAnsi" w:cstheme="minorHAnsi"/>
                <w:sz w:val="22"/>
                <w:szCs w:val="22"/>
              </w:rPr>
            </w:pPr>
            <w:r w:rsidRPr="004461D7">
              <w:rPr>
                <w:rFonts w:asciiTheme="minorHAnsi" w:hAnsiTheme="minorHAnsi" w:cstheme="minorHAnsi"/>
                <w:sz w:val="22"/>
                <w:szCs w:val="22"/>
              </w:rPr>
              <w:t>2,33</w:t>
            </w:r>
          </w:p>
        </w:tc>
      </w:tr>
      <w:tr w:rsidR="00C2498B" w:rsidRPr="00885EB0" w14:paraId="48F88C8D" w14:textId="77777777" w:rsidTr="002F75BA">
        <w:trPr>
          <w:trHeight w:val="288"/>
          <w:jc w:val="center"/>
        </w:trPr>
        <w:tc>
          <w:tcPr>
            <w:tcW w:w="1701" w:type="dxa"/>
            <w:tcBorders>
              <w:top w:val="single" w:sz="4" w:space="0" w:color="auto"/>
              <w:left w:val="single" w:sz="4" w:space="0" w:color="auto"/>
              <w:bottom w:val="single" w:sz="4" w:space="0" w:color="auto"/>
              <w:right w:val="single" w:sz="4" w:space="0" w:color="auto"/>
            </w:tcBorders>
            <w:noWrap/>
            <w:vAlign w:val="center"/>
          </w:tcPr>
          <w:p w14:paraId="7E4E3904" w14:textId="77777777" w:rsidR="00C2498B" w:rsidRPr="00455501" w:rsidRDefault="00C2498B" w:rsidP="00314350">
            <w:pPr>
              <w:spacing w:beforeLines="20" w:before="48" w:afterLines="20" w:after="48"/>
              <w:rPr>
                <w:rFonts w:asciiTheme="minorHAnsi" w:hAnsiTheme="minorHAnsi" w:cstheme="minorHAnsi"/>
                <w:b/>
                <w:bCs/>
                <w:sz w:val="22"/>
                <w:szCs w:val="22"/>
              </w:rPr>
            </w:pPr>
            <w:r w:rsidRPr="00455501">
              <w:rPr>
                <w:rFonts w:asciiTheme="minorHAnsi" w:hAnsiTheme="minorHAnsi" w:cstheme="minorHAnsi"/>
                <w:b/>
                <w:bCs/>
                <w:sz w:val="22"/>
                <w:szCs w:val="22"/>
              </w:rPr>
              <w:t>Ukupno</w:t>
            </w:r>
          </w:p>
        </w:tc>
        <w:tc>
          <w:tcPr>
            <w:tcW w:w="1361" w:type="dxa"/>
            <w:tcBorders>
              <w:top w:val="single" w:sz="4" w:space="0" w:color="auto"/>
              <w:left w:val="single" w:sz="4" w:space="0" w:color="auto"/>
              <w:bottom w:val="single" w:sz="4" w:space="0" w:color="auto"/>
              <w:right w:val="single" w:sz="4" w:space="0" w:color="auto"/>
            </w:tcBorders>
            <w:noWrap/>
            <w:vAlign w:val="center"/>
          </w:tcPr>
          <w:p w14:paraId="19EE490A" w14:textId="77777777" w:rsidR="00C2498B" w:rsidRPr="00455501" w:rsidRDefault="00C2498B" w:rsidP="00314350">
            <w:pPr>
              <w:spacing w:beforeLines="20" w:before="48" w:afterLines="20" w:after="48"/>
              <w:jc w:val="right"/>
              <w:rPr>
                <w:rFonts w:asciiTheme="minorHAnsi" w:hAnsiTheme="minorHAnsi" w:cstheme="minorHAnsi"/>
                <w:b/>
                <w:bCs/>
                <w:sz w:val="22"/>
                <w:szCs w:val="22"/>
              </w:rPr>
            </w:pPr>
            <w:r w:rsidRPr="00455501">
              <w:rPr>
                <w:rFonts w:asciiTheme="minorHAnsi" w:hAnsiTheme="minorHAnsi" w:cstheme="minorHAnsi"/>
                <w:b/>
                <w:bCs/>
                <w:sz w:val="22"/>
                <w:szCs w:val="22"/>
              </w:rPr>
              <w:t>18.255,88</w:t>
            </w:r>
          </w:p>
        </w:tc>
        <w:tc>
          <w:tcPr>
            <w:tcW w:w="1361" w:type="dxa"/>
            <w:tcBorders>
              <w:top w:val="single" w:sz="4" w:space="0" w:color="auto"/>
              <w:left w:val="single" w:sz="4" w:space="0" w:color="auto"/>
              <w:bottom w:val="single" w:sz="4" w:space="0" w:color="auto"/>
              <w:right w:val="single" w:sz="4" w:space="0" w:color="auto"/>
            </w:tcBorders>
            <w:vAlign w:val="center"/>
          </w:tcPr>
          <w:p w14:paraId="077FF992" w14:textId="2D3DC013" w:rsidR="00C2498B" w:rsidRPr="00455501" w:rsidRDefault="00C2498B" w:rsidP="00314350">
            <w:pPr>
              <w:spacing w:beforeLines="20" w:before="48" w:afterLines="20" w:after="48"/>
              <w:jc w:val="right"/>
              <w:rPr>
                <w:rFonts w:asciiTheme="minorHAnsi" w:hAnsiTheme="minorHAnsi" w:cstheme="minorHAnsi"/>
                <w:b/>
                <w:bCs/>
                <w:sz w:val="22"/>
                <w:szCs w:val="22"/>
              </w:rPr>
            </w:pPr>
            <w:r w:rsidRPr="006469FF">
              <w:rPr>
                <w:rFonts w:asciiTheme="minorHAnsi" w:hAnsiTheme="minorHAnsi" w:cstheme="minorHAnsi"/>
                <w:b/>
                <w:bCs/>
                <w:sz w:val="22"/>
                <w:szCs w:val="22"/>
              </w:rPr>
              <w:t>19.684,82</w:t>
            </w:r>
          </w:p>
        </w:tc>
        <w:tc>
          <w:tcPr>
            <w:tcW w:w="1361" w:type="dxa"/>
            <w:tcBorders>
              <w:top w:val="single" w:sz="4" w:space="0" w:color="auto"/>
              <w:left w:val="single" w:sz="4" w:space="0" w:color="auto"/>
              <w:bottom w:val="single" w:sz="4" w:space="0" w:color="auto"/>
              <w:right w:val="single" w:sz="4" w:space="0" w:color="auto"/>
            </w:tcBorders>
            <w:vAlign w:val="center"/>
          </w:tcPr>
          <w:p w14:paraId="6574BE67" w14:textId="48CE4C0D" w:rsidR="00C2498B" w:rsidRPr="00C2498B" w:rsidRDefault="00C2498B" w:rsidP="00314350">
            <w:pPr>
              <w:spacing w:beforeLines="20" w:before="48" w:afterLines="20" w:after="48"/>
              <w:jc w:val="right"/>
              <w:rPr>
                <w:rFonts w:asciiTheme="minorHAnsi" w:hAnsiTheme="minorHAnsi" w:cstheme="minorHAnsi"/>
                <w:b/>
                <w:bCs/>
                <w:sz w:val="22"/>
                <w:szCs w:val="22"/>
              </w:rPr>
            </w:pPr>
            <w:r w:rsidRPr="005C0B12">
              <w:rPr>
                <w:b/>
                <w:bCs/>
                <w:sz w:val="22"/>
                <w:szCs w:val="22"/>
              </w:rPr>
              <w:t>17.919,93</w:t>
            </w:r>
          </w:p>
        </w:tc>
        <w:tc>
          <w:tcPr>
            <w:tcW w:w="1361" w:type="dxa"/>
            <w:tcBorders>
              <w:top w:val="single" w:sz="4" w:space="0" w:color="auto"/>
              <w:left w:val="single" w:sz="4" w:space="0" w:color="auto"/>
              <w:bottom w:val="single" w:sz="4" w:space="0" w:color="auto"/>
              <w:right w:val="single" w:sz="4" w:space="0" w:color="auto"/>
            </w:tcBorders>
            <w:noWrap/>
            <w:vAlign w:val="center"/>
          </w:tcPr>
          <w:p w14:paraId="4AB950FB" w14:textId="2D485887" w:rsidR="00C2498B" w:rsidRPr="00C2498B" w:rsidRDefault="00C2498B" w:rsidP="00314350">
            <w:pPr>
              <w:spacing w:beforeLines="20" w:before="48" w:afterLines="20" w:after="48"/>
              <w:jc w:val="right"/>
              <w:rPr>
                <w:rFonts w:asciiTheme="minorHAnsi" w:hAnsiTheme="minorHAnsi" w:cstheme="minorHAnsi"/>
                <w:b/>
                <w:bCs/>
                <w:sz w:val="22"/>
                <w:szCs w:val="22"/>
              </w:rPr>
            </w:pPr>
            <w:r w:rsidRPr="005C0B12">
              <w:rPr>
                <w:b/>
                <w:bCs/>
                <w:sz w:val="22"/>
                <w:szCs w:val="22"/>
              </w:rPr>
              <w:t>14.873,60</w:t>
            </w:r>
          </w:p>
        </w:tc>
        <w:tc>
          <w:tcPr>
            <w:tcW w:w="1361" w:type="dxa"/>
            <w:tcBorders>
              <w:top w:val="single" w:sz="4" w:space="0" w:color="auto"/>
              <w:left w:val="single" w:sz="4" w:space="0" w:color="auto"/>
              <w:bottom w:val="single" w:sz="4" w:space="0" w:color="auto"/>
              <w:right w:val="single" w:sz="4" w:space="0" w:color="auto"/>
            </w:tcBorders>
            <w:vAlign w:val="center"/>
          </w:tcPr>
          <w:p w14:paraId="426485AD" w14:textId="4B7909A9" w:rsidR="00C2498B" w:rsidRPr="00C2498B" w:rsidRDefault="00C2498B" w:rsidP="00314350">
            <w:pPr>
              <w:spacing w:beforeLines="20" w:before="48" w:afterLines="20" w:after="48"/>
              <w:jc w:val="right"/>
              <w:rPr>
                <w:rFonts w:asciiTheme="minorHAnsi" w:hAnsiTheme="minorHAnsi" w:cstheme="minorHAnsi"/>
                <w:b/>
                <w:bCs/>
                <w:sz w:val="22"/>
                <w:szCs w:val="22"/>
              </w:rPr>
            </w:pPr>
            <w:r w:rsidRPr="005C0B12">
              <w:rPr>
                <w:b/>
                <w:bCs/>
                <w:sz w:val="22"/>
                <w:szCs w:val="22"/>
              </w:rPr>
              <w:t>11.495,94</w:t>
            </w:r>
          </w:p>
        </w:tc>
        <w:tc>
          <w:tcPr>
            <w:tcW w:w="1361" w:type="dxa"/>
            <w:tcBorders>
              <w:top w:val="single" w:sz="4" w:space="0" w:color="auto"/>
              <w:left w:val="single" w:sz="4" w:space="0" w:color="auto"/>
              <w:bottom w:val="single" w:sz="4" w:space="0" w:color="auto"/>
              <w:right w:val="single" w:sz="4" w:space="0" w:color="auto"/>
            </w:tcBorders>
            <w:noWrap/>
            <w:vAlign w:val="center"/>
          </w:tcPr>
          <w:p w14:paraId="2569052E" w14:textId="7D747155" w:rsidR="00C2498B" w:rsidRPr="00C2498B" w:rsidRDefault="00C2498B" w:rsidP="00314350">
            <w:pPr>
              <w:spacing w:beforeLines="20" w:before="48" w:afterLines="20" w:after="48"/>
              <w:jc w:val="right"/>
              <w:rPr>
                <w:rFonts w:asciiTheme="minorHAnsi" w:hAnsiTheme="minorHAnsi" w:cstheme="minorHAnsi"/>
                <w:b/>
                <w:bCs/>
                <w:sz w:val="22"/>
                <w:szCs w:val="22"/>
              </w:rPr>
            </w:pPr>
            <w:r w:rsidRPr="005C0B12">
              <w:rPr>
                <w:b/>
                <w:bCs/>
                <w:sz w:val="22"/>
                <w:szCs w:val="22"/>
              </w:rPr>
              <w:t>6.814,98</w:t>
            </w:r>
          </w:p>
        </w:tc>
      </w:tr>
    </w:tbl>
    <w:p w14:paraId="54D00D4B" w14:textId="2ABC8A1D" w:rsidR="001F4F0F" w:rsidRPr="002F7D55" w:rsidRDefault="002F7D55" w:rsidP="004623DD">
      <w:pPr>
        <w:rPr>
          <w:i/>
          <w:iCs/>
        </w:rPr>
      </w:pPr>
      <w:r w:rsidRPr="00D97020">
        <w:rPr>
          <w:i/>
          <w:iCs/>
        </w:rPr>
        <w:t>* - ne uključuje emisije iz međunarodnog pomorskog i zračnog prometa</w:t>
      </w:r>
    </w:p>
    <w:p w14:paraId="69D3FAAB" w14:textId="77777777" w:rsidR="001C5741" w:rsidRDefault="001C5741" w:rsidP="004623DD"/>
    <w:p w14:paraId="6ADA00D2" w14:textId="77777777" w:rsidR="00DF3687" w:rsidRDefault="00DF3687" w:rsidP="004623DD"/>
    <w:p w14:paraId="7411BD25" w14:textId="77777777" w:rsidR="004D275A" w:rsidRDefault="004D275A" w:rsidP="004623DD"/>
    <w:p w14:paraId="6BADE92D" w14:textId="41C2293B" w:rsidR="004E18EA" w:rsidRPr="00304E83" w:rsidRDefault="004E18EA" w:rsidP="004E18EA">
      <w:pPr>
        <w:pStyle w:val="Caption"/>
      </w:pPr>
      <w:bookmarkStart w:id="701" w:name="_Toc193035975"/>
      <w:r w:rsidRPr="63259912">
        <w:t xml:space="preserve">Tablica </w:t>
      </w:r>
      <w:r>
        <w:fldChar w:fldCharType="begin"/>
      </w:r>
      <w:r>
        <w:instrText>STYLEREF 1 \s</w:instrText>
      </w:r>
      <w:r>
        <w:fldChar w:fldCharType="separate"/>
      </w:r>
      <w:r w:rsidRPr="63259912">
        <w:rPr>
          <w:noProof/>
        </w:rPr>
        <w:t>5</w:t>
      </w:r>
      <w:r>
        <w:fldChar w:fldCharType="end"/>
      </w:r>
      <w:r w:rsidRPr="00304E83">
        <w:noBreakHyphen/>
      </w:r>
      <w:r>
        <w:fldChar w:fldCharType="begin"/>
      </w:r>
      <w:r>
        <w:instrText>SEQ Tablica \* ARABIC \s 1</w:instrText>
      </w:r>
      <w:r>
        <w:fldChar w:fldCharType="separate"/>
      </w:r>
      <w:r w:rsidR="00274B3B">
        <w:rPr>
          <w:noProof/>
        </w:rPr>
        <w:t>4</w:t>
      </w:r>
      <w:r>
        <w:fldChar w:fldCharType="end"/>
      </w:r>
      <w:r w:rsidRPr="63259912">
        <w:t xml:space="preserve">. Projekcije emisija stakleničkih plinova </w:t>
      </w:r>
      <w:r>
        <w:t>prema sektorima</w:t>
      </w:r>
      <w:r w:rsidRPr="63259912">
        <w:t>, kt CO</w:t>
      </w:r>
      <w:r w:rsidRPr="63259912">
        <w:rPr>
          <w:vertAlign w:val="subscript"/>
        </w:rPr>
        <w:t>2</w:t>
      </w:r>
      <w:r w:rsidRPr="63259912">
        <w:t>e</w:t>
      </w:r>
      <w:bookmarkEnd w:id="701"/>
    </w:p>
    <w:tbl>
      <w:tblPr>
        <w:tblStyle w:val="TableGrid"/>
        <w:tblW w:w="907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3402"/>
        <w:gridCol w:w="1134"/>
        <w:gridCol w:w="1134"/>
        <w:gridCol w:w="1134"/>
        <w:gridCol w:w="1134"/>
        <w:gridCol w:w="1134"/>
      </w:tblGrid>
      <w:tr w:rsidR="004F549E" w:rsidRPr="00285133" w14:paraId="59D6E5F0" w14:textId="77777777" w:rsidTr="00314350">
        <w:trPr>
          <w:trHeight w:val="283"/>
        </w:trPr>
        <w:tc>
          <w:tcPr>
            <w:tcW w:w="3402" w:type="dxa"/>
            <w:tcBorders>
              <w:top w:val="single" w:sz="8" w:space="0" w:color="auto"/>
              <w:left w:val="single" w:sz="8" w:space="0" w:color="auto"/>
              <w:bottom w:val="single" w:sz="4" w:space="0" w:color="auto"/>
              <w:right w:val="single" w:sz="8" w:space="0" w:color="auto"/>
            </w:tcBorders>
            <w:shd w:val="clear" w:color="auto" w:fill="D9E2F3" w:themeFill="accent5" w:themeFillTint="33"/>
            <w:hideMark/>
          </w:tcPr>
          <w:p w14:paraId="7A8E5D7B" w14:textId="6E9602A0" w:rsidR="004F549E" w:rsidRPr="00285133" w:rsidRDefault="004F549E" w:rsidP="00A92867">
            <w:pPr>
              <w:spacing w:before="40" w:after="40"/>
              <w:contextualSpacing w:val="0"/>
              <w:rPr>
                <w:rFonts w:asciiTheme="minorHAnsi" w:hAnsiTheme="minorHAnsi" w:cstheme="minorHAnsi"/>
                <w:b/>
                <w:sz w:val="20"/>
                <w:szCs w:val="20"/>
              </w:rPr>
            </w:pPr>
            <w:r w:rsidRPr="00285133">
              <w:rPr>
                <w:rFonts w:asciiTheme="minorHAnsi" w:hAnsiTheme="minorHAnsi" w:cstheme="minorHAnsi"/>
                <w:b/>
                <w:sz w:val="20"/>
                <w:szCs w:val="20"/>
              </w:rPr>
              <w:t>WEM</w:t>
            </w:r>
            <w:r w:rsidR="003F4D78">
              <w:rPr>
                <w:rFonts w:asciiTheme="minorHAnsi" w:hAnsiTheme="minorHAnsi" w:cstheme="minorHAnsi"/>
                <w:b/>
                <w:sz w:val="20"/>
                <w:szCs w:val="20"/>
              </w:rPr>
              <w:t>*</w:t>
            </w:r>
          </w:p>
        </w:tc>
        <w:tc>
          <w:tcPr>
            <w:tcW w:w="1134" w:type="dxa"/>
            <w:tcBorders>
              <w:top w:val="single" w:sz="8" w:space="0" w:color="auto"/>
              <w:left w:val="single" w:sz="8" w:space="0" w:color="auto"/>
              <w:bottom w:val="single" w:sz="4" w:space="0" w:color="auto"/>
              <w:right w:val="single" w:sz="8" w:space="0" w:color="auto"/>
            </w:tcBorders>
            <w:shd w:val="clear" w:color="auto" w:fill="D9E2F3" w:themeFill="accent5" w:themeFillTint="33"/>
            <w:hideMark/>
          </w:tcPr>
          <w:p w14:paraId="42A53A5C" w14:textId="77777777" w:rsidR="004F549E" w:rsidRPr="00285133" w:rsidRDefault="004F549E" w:rsidP="00A92867">
            <w:pPr>
              <w:spacing w:before="40" w:after="40"/>
              <w:contextualSpacing w:val="0"/>
              <w:jc w:val="center"/>
              <w:rPr>
                <w:rFonts w:asciiTheme="minorHAnsi" w:hAnsiTheme="minorHAnsi" w:cstheme="minorHAnsi"/>
                <w:b/>
                <w:sz w:val="20"/>
                <w:szCs w:val="20"/>
              </w:rPr>
            </w:pPr>
            <w:r w:rsidRPr="00285133">
              <w:rPr>
                <w:rFonts w:asciiTheme="minorHAnsi" w:hAnsiTheme="minorHAnsi" w:cstheme="minorHAnsi"/>
                <w:b/>
                <w:sz w:val="20"/>
                <w:szCs w:val="20"/>
              </w:rPr>
              <w:t>2022</w:t>
            </w:r>
          </w:p>
        </w:tc>
        <w:tc>
          <w:tcPr>
            <w:tcW w:w="1134" w:type="dxa"/>
            <w:tcBorders>
              <w:top w:val="single" w:sz="8" w:space="0" w:color="auto"/>
              <w:left w:val="single" w:sz="8" w:space="0" w:color="auto"/>
              <w:bottom w:val="single" w:sz="4" w:space="0" w:color="auto"/>
              <w:right w:val="single" w:sz="4" w:space="0" w:color="auto"/>
            </w:tcBorders>
            <w:shd w:val="clear" w:color="auto" w:fill="D9E2F3" w:themeFill="accent5" w:themeFillTint="33"/>
            <w:hideMark/>
          </w:tcPr>
          <w:p w14:paraId="57BCACDE" w14:textId="77777777" w:rsidR="004F549E" w:rsidRPr="00285133" w:rsidRDefault="004F549E" w:rsidP="00A92867">
            <w:pPr>
              <w:spacing w:before="40" w:after="40"/>
              <w:contextualSpacing w:val="0"/>
              <w:jc w:val="center"/>
              <w:rPr>
                <w:rFonts w:asciiTheme="minorHAnsi" w:hAnsiTheme="minorHAnsi" w:cstheme="minorHAnsi"/>
                <w:b/>
                <w:sz w:val="20"/>
                <w:szCs w:val="20"/>
              </w:rPr>
            </w:pPr>
            <w:r w:rsidRPr="00285133">
              <w:rPr>
                <w:rFonts w:asciiTheme="minorHAnsi" w:hAnsiTheme="minorHAnsi" w:cstheme="minorHAnsi"/>
                <w:b/>
                <w:sz w:val="20"/>
                <w:szCs w:val="20"/>
              </w:rPr>
              <w:t>2025</w:t>
            </w:r>
          </w:p>
        </w:tc>
        <w:tc>
          <w:tcPr>
            <w:tcW w:w="1134" w:type="dxa"/>
            <w:tcBorders>
              <w:top w:val="single" w:sz="8" w:space="0" w:color="auto"/>
              <w:left w:val="single" w:sz="4" w:space="0" w:color="auto"/>
              <w:bottom w:val="single" w:sz="4" w:space="0" w:color="auto"/>
              <w:right w:val="single" w:sz="4" w:space="0" w:color="auto"/>
            </w:tcBorders>
            <w:shd w:val="clear" w:color="auto" w:fill="D9E2F3" w:themeFill="accent5" w:themeFillTint="33"/>
            <w:hideMark/>
          </w:tcPr>
          <w:p w14:paraId="7C40AB7E" w14:textId="77777777" w:rsidR="004F549E" w:rsidRPr="00285133" w:rsidRDefault="004F549E" w:rsidP="00A92867">
            <w:pPr>
              <w:spacing w:before="40" w:after="40"/>
              <w:contextualSpacing w:val="0"/>
              <w:jc w:val="center"/>
              <w:rPr>
                <w:rFonts w:asciiTheme="minorHAnsi" w:hAnsiTheme="minorHAnsi" w:cstheme="minorHAnsi"/>
                <w:b/>
                <w:sz w:val="20"/>
                <w:szCs w:val="20"/>
              </w:rPr>
            </w:pPr>
            <w:r w:rsidRPr="00285133">
              <w:rPr>
                <w:rFonts w:asciiTheme="minorHAnsi" w:hAnsiTheme="minorHAnsi" w:cstheme="minorHAnsi"/>
                <w:b/>
                <w:sz w:val="20"/>
                <w:szCs w:val="20"/>
              </w:rPr>
              <w:t>2030</w:t>
            </w:r>
          </w:p>
        </w:tc>
        <w:tc>
          <w:tcPr>
            <w:tcW w:w="1134" w:type="dxa"/>
            <w:tcBorders>
              <w:top w:val="single" w:sz="8" w:space="0" w:color="auto"/>
              <w:left w:val="single" w:sz="4" w:space="0" w:color="auto"/>
              <w:bottom w:val="single" w:sz="4" w:space="0" w:color="auto"/>
              <w:right w:val="single" w:sz="4" w:space="0" w:color="auto"/>
            </w:tcBorders>
            <w:shd w:val="clear" w:color="auto" w:fill="D9E2F3" w:themeFill="accent5" w:themeFillTint="33"/>
            <w:hideMark/>
          </w:tcPr>
          <w:p w14:paraId="580001B9" w14:textId="77777777" w:rsidR="004F549E" w:rsidRPr="00285133" w:rsidRDefault="004F549E" w:rsidP="00A92867">
            <w:pPr>
              <w:spacing w:before="40" w:after="40"/>
              <w:contextualSpacing w:val="0"/>
              <w:jc w:val="center"/>
              <w:rPr>
                <w:rFonts w:asciiTheme="minorHAnsi" w:hAnsiTheme="minorHAnsi" w:cstheme="minorHAnsi"/>
                <w:b/>
                <w:sz w:val="20"/>
                <w:szCs w:val="20"/>
              </w:rPr>
            </w:pPr>
            <w:r w:rsidRPr="00285133">
              <w:rPr>
                <w:rFonts w:asciiTheme="minorHAnsi" w:hAnsiTheme="minorHAnsi" w:cstheme="minorHAnsi"/>
                <w:b/>
                <w:sz w:val="20"/>
                <w:szCs w:val="20"/>
              </w:rPr>
              <w:t>2035</w:t>
            </w:r>
          </w:p>
        </w:tc>
        <w:tc>
          <w:tcPr>
            <w:tcW w:w="1134" w:type="dxa"/>
            <w:tcBorders>
              <w:top w:val="single" w:sz="8" w:space="0" w:color="auto"/>
              <w:left w:val="single" w:sz="4" w:space="0" w:color="auto"/>
              <w:bottom w:val="single" w:sz="4" w:space="0" w:color="auto"/>
              <w:right w:val="single" w:sz="4" w:space="0" w:color="auto"/>
            </w:tcBorders>
            <w:shd w:val="clear" w:color="auto" w:fill="D9E2F3" w:themeFill="accent5" w:themeFillTint="33"/>
            <w:hideMark/>
          </w:tcPr>
          <w:p w14:paraId="134F0747" w14:textId="77777777" w:rsidR="004F549E" w:rsidRPr="00285133" w:rsidRDefault="004F549E" w:rsidP="00A92867">
            <w:pPr>
              <w:spacing w:before="40" w:after="40"/>
              <w:contextualSpacing w:val="0"/>
              <w:jc w:val="center"/>
              <w:rPr>
                <w:rFonts w:asciiTheme="minorHAnsi" w:hAnsiTheme="minorHAnsi" w:cstheme="minorHAnsi"/>
                <w:b/>
                <w:sz w:val="20"/>
                <w:szCs w:val="20"/>
              </w:rPr>
            </w:pPr>
            <w:r w:rsidRPr="00285133">
              <w:rPr>
                <w:rFonts w:asciiTheme="minorHAnsi" w:hAnsiTheme="minorHAnsi" w:cstheme="minorHAnsi"/>
                <w:b/>
                <w:sz w:val="20"/>
                <w:szCs w:val="20"/>
              </w:rPr>
              <w:t>2040</w:t>
            </w:r>
          </w:p>
        </w:tc>
      </w:tr>
      <w:tr w:rsidR="004F549E" w:rsidRPr="00285133" w14:paraId="15E4214E" w14:textId="77777777" w:rsidTr="002F75BA">
        <w:trPr>
          <w:trHeight w:val="283"/>
        </w:trPr>
        <w:tc>
          <w:tcPr>
            <w:tcW w:w="3402" w:type="dxa"/>
            <w:tcBorders>
              <w:top w:val="single" w:sz="4" w:space="0" w:color="auto"/>
              <w:left w:val="single" w:sz="8" w:space="0" w:color="auto"/>
              <w:bottom w:val="single" w:sz="4" w:space="0" w:color="auto"/>
              <w:right w:val="single" w:sz="8" w:space="0" w:color="auto"/>
            </w:tcBorders>
            <w:shd w:val="clear" w:color="auto" w:fill="auto"/>
            <w:hideMark/>
          </w:tcPr>
          <w:p w14:paraId="24401C67" w14:textId="01DA82C6" w:rsidR="004F549E" w:rsidRPr="00285133" w:rsidRDefault="004F549E" w:rsidP="00A92867">
            <w:pPr>
              <w:keepNext/>
              <w:spacing w:before="40" w:after="40"/>
              <w:rPr>
                <w:rFonts w:asciiTheme="minorHAnsi" w:hAnsiTheme="minorHAnsi" w:cstheme="minorHAnsi"/>
                <w:sz w:val="20"/>
                <w:szCs w:val="20"/>
              </w:rPr>
            </w:pPr>
            <w:r w:rsidRPr="00285133">
              <w:rPr>
                <w:rFonts w:asciiTheme="minorHAnsi" w:hAnsiTheme="minorHAnsi" w:cstheme="minorHAnsi"/>
                <w:sz w:val="20"/>
                <w:szCs w:val="20"/>
              </w:rPr>
              <w:t>Ener</w:t>
            </w:r>
            <w:r w:rsidR="003524B2" w:rsidRPr="00285133">
              <w:rPr>
                <w:rFonts w:asciiTheme="minorHAnsi" w:hAnsiTheme="minorHAnsi" w:cstheme="minorHAnsi"/>
                <w:sz w:val="20"/>
                <w:szCs w:val="20"/>
              </w:rPr>
              <w:t>getika</w:t>
            </w:r>
          </w:p>
        </w:tc>
        <w:tc>
          <w:tcPr>
            <w:tcW w:w="1134" w:type="dxa"/>
            <w:tcBorders>
              <w:top w:val="single" w:sz="4" w:space="0" w:color="auto"/>
              <w:left w:val="single" w:sz="8" w:space="0" w:color="auto"/>
              <w:bottom w:val="single" w:sz="4" w:space="0" w:color="auto"/>
              <w:right w:val="single" w:sz="8" w:space="0" w:color="auto"/>
            </w:tcBorders>
            <w:shd w:val="clear" w:color="auto" w:fill="auto"/>
            <w:hideMark/>
          </w:tcPr>
          <w:p w14:paraId="4A8E6AB1" w14:textId="64253028"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10</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140</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8</w:t>
            </w:r>
          </w:p>
        </w:tc>
        <w:tc>
          <w:tcPr>
            <w:tcW w:w="1134" w:type="dxa"/>
            <w:tcBorders>
              <w:top w:val="single" w:sz="4" w:space="0" w:color="auto"/>
              <w:left w:val="single" w:sz="8" w:space="0" w:color="auto"/>
              <w:bottom w:val="single" w:sz="4" w:space="0" w:color="auto"/>
              <w:right w:val="single" w:sz="4" w:space="0" w:color="auto"/>
            </w:tcBorders>
            <w:shd w:val="clear" w:color="auto" w:fill="auto"/>
            <w:hideMark/>
          </w:tcPr>
          <w:p w14:paraId="549FE8E2" w14:textId="7E4C6671"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10</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088</w:t>
            </w:r>
            <w:r w:rsidR="008E2EDD" w:rsidRPr="00285133">
              <w:rPr>
                <w:rFonts w:asciiTheme="minorHAnsi" w:hAnsiTheme="minorHAnsi" w:cstheme="minorHAnsi"/>
                <w:sz w:val="20"/>
                <w:szCs w:val="20"/>
              </w:rPr>
              <w:t>,</w:t>
            </w:r>
            <w:r w:rsidRPr="00285133">
              <w:rPr>
                <w:rFonts w:asciiTheme="minorHAnsi" w:hAnsiTheme="minorHAnsi" w:cstheme="minorHAnsi"/>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5B6051D" w14:textId="5F44760F"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10</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375</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2EEE94E" w14:textId="061A3A78"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9</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354</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278F88E" w14:textId="3E27CD40"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8</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333</w:t>
            </w:r>
            <w:r w:rsidR="00105F84" w:rsidRPr="00285133">
              <w:rPr>
                <w:rFonts w:asciiTheme="minorHAnsi" w:hAnsiTheme="minorHAnsi" w:cstheme="minorHAnsi"/>
                <w:sz w:val="20"/>
                <w:szCs w:val="20"/>
              </w:rPr>
              <w:t>,</w:t>
            </w:r>
            <w:r w:rsidR="00FD4533" w:rsidRPr="00285133">
              <w:rPr>
                <w:rFonts w:asciiTheme="minorHAnsi" w:hAnsiTheme="minorHAnsi" w:cstheme="minorHAnsi"/>
                <w:sz w:val="20"/>
                <w:szCs w:val="20"/>
              </w:rPr>
              <w:t>5</w:t>
            </w:r>
          </w:p>
        </w:tc>
      </w:tr>
      <w:tr w:rsidR="004F549E" w:rsidRPr="00285133" w14:paraId="7C4E2343" w14:textId="77777777" w:rsidTr="002F75BA">
        <w:trPr>
          <w:trHeight w:val="283"/>
        </w:trPr>
        <w:tc>
          <w:tcPr>
            <w:tcW w:w="3402" w:type="dxa"/>
            <w:tcBorders>
              <w:top w:val="single" w:sz="4" w:space="0" w:color="auto"/>
              <w:left w:val="single" w:sz="8" w:space="0" w:color="auto"/>
              <w:bottom w:val="single" w:sz="4" w:space="0" w:color="auto"/>
              <w:right w:val="single" w:sz="8" w:space="0" w:color="auto"/>
            </w:tcBorders>
            <w:shd w:val="clear" w:color="auto" w:fill="auto"/>
            <w:hideMark/>
          </w:tcPr>
          <w:p w14:paraId="6BDE5CEA" w14:textId="73C7C672" w:rsidR="004F549E" w:rsidRPr="00285133" w:rsidRDefault="003524B2" w:rsidP="00A92867">
            <w:pPr>
              <w:keepNext/>
              <w:spacing w:before="40" w:after="40"/>
              <w:rPr>
                <w:rFonts w:asciiTheme="minorHAnsi" w:hAnsiTheme="minorHAnsi" w:cstheme="minorHAnsi"/>
                <w:sz w:val="20"/>
                <w:szCs w:val="20"/>
              </w:rPr>
            </w:pPr>
            <w:r w:rsidRPr="00285133">
              <w:rPr>
                <w:rFonts w:asciiTheme="minorHAnsi" w:hAnsiTheme="minorHAnsi" w:cstheme="minorHAnsi"/>
                <w:sz w:val="20"/>
                <w:szCs w:val="20"/>
              </w:rPr>
              <w:t>Promet</w:t>
            </w:r>
          </w:p>
        </w:tc>
        <w:tc>
          <w:tcPr>
            <w:tcW w:w="1134" w:type="dxa"/>
            <w:tcBorders>
              <w:top w:val="single" w:sz="4" w:space="0" w:color="auto"/>
              <w:left w:val="single" w:sz="8" w:space="0" w:color="auto"/>
              <w:bottom w:val="single" w:sz="4" w:space="0" w:color="auto"/>
              <w:right w:val="single" w:sz="8" w:space="0" w:color="auto"/>
            </w:tcBorders>
            <w:shd w:val="clear" w:color="auto" w:fill="auto"/>
            <w:hideMark/>
          </w:tcPr>
          <w:p w14:paraId="4C9F63F5" w14:textId="23F6870E"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6</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7310</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0</w:t>
            </w:r>
          </w:p>
        </w:tc>
        <w:tc>
          <w:tcPr>
            <w:tcW w:w="1134" w:type="dxa"/>
            <w:tcBorders>
              <w:top w:val="single" w:sz="4" w:space="0" w:color="auto"/>
              <w:left w:val="single" w:sz="8" w:space="0" w:color="auto"/>
              <w:bottom w:val="single" w:sz="4" w:space="0" w:color="auto"/>
              <w:right w:val="single" w:sz="4" w:space="0" w:color="auto"/>
            </w:tcBorders>
            <w:shd w:val="clear" w:color="auto" w:fill="auto"/>
            <w:hideMark/>
          </w:tcPr>
          <w:p w14:paraId="19CA9E06" w14:textId="25E8AA80"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6</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291</w:t>
            </w:r>
            <w:r w:rsidR="008E2EDD" w:rsidRPr="00285133">
              <w:rPr>
                <w:rFonts w:asciiTheme="minorHAnsi" w:hAnsiTheme="minorHAnsi" w:cstheme="minorHAnsi"/>
                <w:sz w:val="20"/>
                <w:szCs w:val="20"/>
              </w:rPr>
              <w:t>,</w:t>
            </w:r>
            <w:r w:rsidR="00FD4533" w:rsidRPr="00285133">
              <w:rPr>
                <w:rFonts w:asciiTheme="minorHAnsi" w:hAnsiTheme="minorHAnsi" w:cstheme="minorHAnsi"/>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D1D14DD" w14:textId="1102EE38"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6</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394</w:t>
            </w:r>
            <w:r w:rsidR="00FD4533" w:rsidRPr="00285133">
              <w:rPr>
                <w:rFonts w:asciiTheme="minorHAnsi" w:hAnsiTheme="minorHAnsi" w:cstheme="minorHAnsi"/>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FB61D1B" w14:textId="703F8538"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6</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066</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8875ED6" w14:textId="68E40E0B"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5</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738</w:t>
            </w:r>
            <w:r w:rsidR="00105F84" w:rsidRPr="00285133">
              <w:rPr>
                <w:rFonts w:asciiTheme="minorHAnsi" w:hAnsiTheme="minorHAnsi" w:cstheme="minorHAnsi"/>
                <w:sz w:val="20"/>
                <w:szCs w:val="20"/>
              </w:rPr>
              <w:t>,</w:t>
            </w:r>
            <w:r w:rsidR="00FD4533" w:rsidRPr="00285133">
              <w:rPr>
                <w:rFonts w:asciiTheme="minorHAnsi" w:hAnsiTheme="minorHAnsi" w:cstheme="minorHAnsi"/>
                <w:sz w:val="20"/>
                <w:szCs w:val="20"/>
              </w:rPr>
              <w:t>6</w:t>
            </w:r>
          </w:p>
        </w:tc>
      </w:tr>
      <w:tr w:rsidR="004F549E" w:rsidRPr="00285133" w14:paraId="4133068B" w14:textId="77777777" w:rsidTr="002F75BA">
        <w:trPr>
          <w:trHeight w:val="283"/>
        </w:trPr>
        <w:tc>
          <w:tcPr>
            <w:tcW w:w="3402" w:type="dxa"/>
            <w:tcBorders>
              <w:top w:val="single" w:sz="4" w:space="0" w:color="auto"/>
              <w:left w:val="single" w:sz="8" w:space="0" w:color="auto"/>
              <w:bottom w:val="single" w:sz="4" w:space="0" w:color="auto"/>
              <w:right w:val="single" w:sz="8" w:space="0" w:color="auto"/>
            </w:tcBorders>
            <w:shd w:val="clear" w:color="auto" w:fill="auto"/>
            <w:hideMark/>
          </w:tcPr>
          <w:p w14:paraId="5CABB45A" w14:textId="4B1EA889" w:rsidR="004F549E" w:rsidRPr="00285133" w:rsidRDefault="003524B2" w:rsidP="00A92867">
            <w:pPr>
              <w:keepNext/>
              <w:spacing w:before="40" w:after="40"/>
              <w:rPr>
                <w:rFonts w:asciiTheme="minorHAnsi" w:hAnsiTheme="minorHAnsi" w:cstheme="minorHAnsi"/>
                <w:sz w:val="20"/>
                <w:szCs w:val="20"/>
              </w:rPr>
            </w:pPr>
            <w:r w:rsidRPr="00285133">
              <w:rPr>
                <w:rFonts w:asciiTheme="minorHAnsi" w:hAnsiTheme="minorHAnsi" w:cstheme="minorHAnsi"/>
                <w:sz w:val="20"/>
                <w:szCs w:val="20"/>
              </w:rPr>
              <w:t>Industrijski procesi i upotreba proizvoda</w:t>
            </w:r>
          </w:p>
        </w:tc>
        <w:tc>
          <w:tcPr>
            <w:tcW w:w="1134" w:type="dxa"/>
            <w:tcBorders>
              <w:top w:val="single" w:sz="4" w:space="0" w:color="auto"/>
              <w:left w:val="single" w:sz="8" w:space="0" w:color="auto"/>
              <w:bottom w:val="single" w:sz="4" w:space="0" w:color="auto"/>
              <w:right w:val="single" w:sz="8" w:space="0" w:color="auto"/>
            </w:tcBorders>
            <w:shd w:val="clear" w:color="auto" w:fill="auto"/>
            <w:hideMark/>
          </w:tcPr>
          <w:p w14:paraId="4232DA01" w14:textId="1B6F9C2F"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3</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277</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1</w:t>
            </w:r>
          </w:p>
        </w:tc>
        <w:tc>
          <w:tcPr>
            <w:tcW w:w="1134" w:type="dxa"/>
            <w:tcBorders>
              <w:top w:val="single" w:sz="4" w:space="0" w:color="auto"/>
              <w:left w:val="single" w:sz="8" w:space="0" w:color="auto"/>
              <w:bottom w:val="single" w:sz="4" w:space="0" w:color="auto"/>
              <w:right w:val="single" w:sz="4" w:space="0" w:color="auto"/>
            </w:tcBorders>
            <w:shd w:val="clear" w:color="auto" w:fill="auto"/>
            <w:hideMark/>
          </w:tcPr>
          <w:p w14:paraId="33E23520" w14:textId="69E1C5D7"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3</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226</w:t>
            </w:r>
            <w:r w:rsidR="008E2EDD" w:rsidRPr="00285133">
              <w:rPr>
                <w:rFonts w:asciiTheme="minorHAnsi" w:hAnsiTheme="minorHAnsi" w:cstheme="minorHAnsi"/>
                <w:sz w:val="20"/>
                <w:szCs w:val="20"/>
              </w:rPr>
              <w:t>,</w:t>
            </w:r>
            <w:r w:rsidRPr="00285133">
              <w:rPr>
                <w:rFonts w:asciiTheme="minorHAnsi" w:hAnsiTheme="minorHAnsi" w:cstheme="minorHAnsi"/>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81CE186" w14:textId="2BC69181"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830</w:t>
            </w:r>
            <w:r w:rsidR="00FD4533" w:rsidRPr="00285133">
              <w:rPr>
                <w:rFonts w:asciiTheme="minorHAnsi" w:hAnsiTheme="minorHAnsi" w:cstheme="minorHAnsi"/>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7047D70" w14:textId="5CE45AD0"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613</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24D0E86" w14:textId="456A597A"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397</w:t>
            </w:r>
            <w:r w:rsidR="00105F84" w:rsidRPr="00285133">
              <w:rPr>
                <w:rFonts w:asciiTheme="minorHAnsi" w:hAnsiTheme="minorHAnsi" w:cstheme="minorHAnsi"/>
                <w:sz w:val="20"/>
                <w:szCs w:val="20"/>
              </w:rPr>
              <w:t>,</w:t>
            </w:r>
            <w:r w:rsidR="00FD4533" w:rsidRPr="00285133">
              <w:rPr>
                <w:rFonts w:asciiTheme="minorHAnsi" w:hAnsiTheme="minorHAnsi" w:cstheme="minorHAnsi"/>
                <w:sz w:val="20"/>
                <w:szCs w:val="20"/>
              </w:rPr>
              <w:t>4</w:t>
            </w:r>
          </w:p>
        </w:tc>
      </w:tr>
      <w:tr w:rsidR="004F549E" w:rsidRPr="00285133" w14:paraId="6BABD43D" w14:textId="77777777" w:rsidTr="002F75BA">
        <w:trPr>
          <w:trHeight w:val="283"/>
        </w:trPr>
        <w:tc>
          <w:tcPr>
            <w:tcW w:w="3402" w:type="dxa"/>
            <w:tcBorders>
              <w:top w:val="single" w:sz="4" w:space="0" w:color="auto"/>
              <w:left w:val="single" w:sz="8" w:space="0" w:color="auto"/>
              <w:bottom w:val="single" w:sz="4" w:space="0" w:color="auto"/>
              <w:right w:val="single" w:sz="8" w:space="0" w:color="auto"/>
            </w:tcBorders>
            <w:shd w:val="clear" w:color="auto" w:fill="auto"/>
            <w:hideMark/>
          </w:tcPr>
          <w:p w14:paraId="5D8ED07F" w14:textId="13F351E8" w:rsidR="004F549E" w:rsidRPr="00285133" w:rsidRDefault="003524B2" w:rsidP="00A92867">
            <w:pPr>
              <w:keepNext/>
              <w:spacing w:before="40" w:after="40"/>
              <w:rPr>
                <w:rFonts w:asciiTheme="minorHAnsi" w:hAnsiTheme="minorHAnsi" w:cstheme="minorHAnsi"/>
                <w:sz w:val="20"/>
                <w:szCs w:val="20"/>
              </w:rPr>
            </w:pPr>
            <w:r w:rsidRPr="00285133">
              <w:rPr>
                <w:rFonts w:asciiTheme="minorHAnsi" w:hAnsiTheme="minorHAnsi" w:cstheme="minorHAnsi"/>
                <w:sz w:val="20"/>
                <w:szCs w:val="20"/>
              </w:rPr>
              <w:t>Otpad</w:t>
            </w:r>
          </w:p>
        </w:tc>
        <w:tc>
          <w:tcPr>
            <w:tcW w:w="1134" w:type="dxa"/>
            <w:tcBorders>
              <w:top w:val="single" w:sz="4" w:space="0" w:color="auto"/>
              <w:left w:val="single" w:sz="8" w:space="0" w:color="auto"/>
              <w:bottom w:val="single" w:sz="4" w:space="0" w:color="auto"/>
              <w:right w:val="single" w:sz="8" w:space="0" w:color="auto"/>
            </w:tcBorders>
            <w:shd w:val="clear" w:color="auto" w:fill="auto"/>
            <w:hideMark/>
          </w:tcPr>
          <w:p w14:paraId="4AE17559" w14:textId="38154971"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935</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3</w:t>
            </w:r>
          </w:p>
        </w:tc>
        <w:tc>
          <w:tcPr>
            <w:tcW w:w="1134" w:type="dxa"/>
            <w:tcBorders>
              <w:top w:val="single" w:sz="4" w:space="0" w:color="auto"/>
              <w:left w:val="single" w:sz="8" w:space="0" w:color="auto"/>
              <w:bottom w:val="single" w:sz="4" w:space="0" w:color="auto"/>
              <w:right w:val="single" w:sz="4" w:space="0" w:color="auto"/>
            </w:tcBorders>
            <w:shd w:val="clear" w:color="auto" w:fill="auto"/>
            <w:hideMark/>
          </w:tcPr>
          <w:p w14:paraId="465FAFAC" w14:textId="156FC50A"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681</w:t>
            </w:r>
            <w:r w:rsidR="008E2EDD" w:rsidRPr="00285133">
              <w:rPr>
                <w:rFonts w:asciiTheme="minorHAnsi" w:hAnsiTheme="minorHAnsi" w:cstheme="minorHAnsi"/>
                <w:sz w:val="20"/>
                <w:szCs w:val="20"/>
              </w:rPr>
              <w:t>,</w:t>
            </w:r>
            <w:r w:rsidRPr="00285133">
              <w:rPr>
                <w:rFonts w:asciiTheme="minorHAnsi" w:hAnsiTheme="minorHAnsi" w:cstheme="minorHAnsi"/>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FE3393E" w14:textId="60AD5C13"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252</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B17DE9C" w14:textId="336BA45A"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081</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DC3CD67" w14:textId="01805C1A"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914</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2</w:t>
            </w:r>
          </w:p>
        </w:tc>
      </w:tr>
      <w:tr w:rsidR="004F549E" w:rsidRPr="00285133" w14:paraId="40BE8812" w14:textId="77777777" w:rsidTr="002F75BA">
        <w:trPr>
          <w:trHeight w:val="283"/>
        </w:trPr>
        <w:tc>
          <w:tcPr>
            <w:tcW w:w="3402" w:type="dxa"/>
            <w:tcBorders>
              <w:top w:val="single" w:sz="4" w:space="0" w:color="auto"/>
              <w:left w:val="single" w:sz="8" w:space="0" w:color="auto"/>
              <w:bottom w:val="single" w:sz="4" w:space="0" w:color="auto"/>
              <w:right w:val="single" w:sz="8" w:space="0" w:color="auto"/>
            </w:tcBorders>
            <w:shd w:val="clear" w:color="auto" w:fill="auto"/>
            <w:hideMark/>
          </w:tcPr>
          <w:p w14:paraId="39FA109C" w14:textId="59666125" w:rsidR="004F549E" w:rsidRPr="00285133" w:rsidRDefault="003524B2" w:rsidP="00A92867">
            <w:pPr>
              <w:keepNext/>
              <w:spacing w:before="40" w:after="40"/>
              <w:rPr>
                <w:rFonts w:asciiTheme="minorHAnsi" w:hAnsiTheme="minorHAnsi" w:cstheme="minorHAnsi"/>
                <w:sz w:val="20"/>
                <w:szCs w:val="20"/>
              </w:rPr>
            </w:pPr>
            <w:r w:rsidRPr="00285133">
              <w:rPr>
                <w:rFonts w:asciiTheme="minorHAnsi" w:hAnsiTheme="minorHAnsi" w:cstheme="minorHAnsi"/>
                <w:sz w:val="20"/>
                <w:szCs w:val="20"/>
              </w:rPr>
              <w:t>Poljoprivreda</w:t>
            </w:r>
          </w:p>
        </w:tc>
        <w:tc>
          <w:tcPr>
            <w:tcW w:w="1134" w:type="dxa"/>
            <w:tcBorders>
              <w:top w:val="single" w:sz="4" w:space="0" w:color="auto"/>
              <w:left w:val="single" w:sz="8" w:space="0" w:color="auto"/>
              <w:bottom w:val="single" w:sz="4" w:space="0" w:color="auto"/>
              <w:right w:val="single" w:sz="8" w:space="0" w:color="auto"/>
            </w:tcBorders>
            <w:shd w:val="clear" w:color="auto" w:fill="auto"/>
            <w:hideMark/>
          </w:tcPr>
          <w:p w14:paraId="495C129A" w14:textId="16B0BC7D"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467</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9</w:t>
            </w:r>
          </w:p>
        </w:tc>
        <w:tc>
          <w:tcPr>
            <w:tcW w:w="1134" w:type="dxa"/>
            <w:tcBorders>
              <w:top w:val="single" w:sz="4" w:space="0" w:color="auto"/>
              <w:left w:val="single" w:sz="8" w:space="0" w:color="auto"/>
              <w:bottom w:val="single" w:sz="4" w:space="0" w:color="auto"/>
              <w:right w:val="single" w:sz="4" w:space="0" w:color="auto"/>
            </w:tcBorders>
            <w:shd w:val="clear" w:color="auto" w:fill="auto"/>
            <w:hideMark/>
          </w:tcPr>
          <w:p w14:paraId="6C42874B" w14:textId="7BE6D4BD"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566</w:t>
            </w:r>
            <w:r w:rsidR="008E2EDD" w:rsidRPr="00285133">
              <w:rPr>
                <w:rFonts w:asciiTheme="minorHAnsi" w:hAnsiTheme="minorHAnsi" w:cstheme="minorHAnsi"/>
                <w:sz w:val="20"/>
                <w:szCs w:val="20"/>
              </w:rPr>
              <w:t>,</w:t>
            </w:r>
            <w:r w:rsidRPr="00285133">
              <w:rPr>
                <w:rFonts w:asciiTheme="minorHAnsi" w:hAnsiTheme="minorHAnsi" w:cstheme="minorHAnsi"/>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F4D30EC" w14:textId="4EB6A0A9"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543</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F5A9E21" w14:textId="0E455002"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526</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271545F" w14:textId="7D61990F"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512</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5</w:t>
            </w:r>
          </w:p>
        </w:tc>
      </w:tr>
      <w:tr w:rsidR="004F549E" w:rsidRPr="00285133" w14:paraId="0743CB8E" w14:textId="77777777" w:rsidTr="002F75BA">
        <w:trPr>
          <w:trHeight w:val="283"/>
        </w:trPr>
        <w:tc>
          <w:tcPr>
            <w:tcW w:w="3402" w:type="dxa"/>
            <w:tcBorders>
              <w:top w:val="single" w:sz="4" w:space="0" w:color="auto"/>
              <w:left w:val="single" w:sz="8" w:space="0" w:color="auto"/>
              <w:bottom w:val="single" w:sz="4" w:space="0" w:color="auto"/>
              <w:right w:val="single" w:sz="8" w:space="0" w:color="auto"/>
            </w:tcBorders>
            <w:shd w:val="clear" w:color="auto" w:fill="auto"/>
            <w:hideMark/>
          </w:tcPr>
          <w:p w14:paraId="6876DFEC" w14:textId="77777777" w:rsidR="004F549E" w:rsidRPr="00285133" w:rsidRDefault="004F549E" w:rsidP="00A92867">
            <w:pPr>
              <w:keepNext/>
              <w:spacing w:before="40" w:after="40"/>
              <w:rPr>
                <w:rFonts w:asciiTheme="minorHAnsi" w:hAnsiTheme="minorHAnsi" w:cstheme="minorHAnsi"/>
                <w:sz w:val="20"/>
                <w:szCs w:val="20"/>
              </w:rPr>
            </w:pPr>
            <w:r w:rsidRPr="00285133">
              <w:rPr>
                <w:rFonts w:asciiTheme="minorHAnsi" w:hAnsiTheme="minorHAnsi" w:cstheme="minorHAnsi"/>
                <w:sz w:val="20"/>
                <w:szCs w:val="20"/>
              </w:rPr>
              <w:t>LULUCF</w:t>
            </w:r>
          </w:p>
        </w:tc>
        <w:tc>
          <w:tcPr>
            <w:tcW w:w="1134" w:type="dxa"/>
            <w:tcBorders>
              <w:top w:val="single" w:sz="4" w:space="0" w:color="auto"/>
              <w:left w:val="single" w:sz="8" w:space="0" w:color="auto"/>
              <w:bottom w:val="single" w:sz="4" w:space="0" w:color="auto"/>
              <w:right w:val="single" w:sz="8" w:space="0" w:color="auto"/>
            </w:tcBorders>
            <w:shd w:val="clear" w:color="auto" w:fill="auto"/>
            <w:hideMark/>
          </w:tcPr>
          <w:p w14:paraId="33794238" w14:textId="2E46F61B"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-4</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867</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2</w:t>
            </w:r>
          </w:p>
        </w:tc>
        <w:tc>
          <w:tcPr>
            <w:tcW w:w="1134" w:type="dxa"/>
            <w:tcBorders>
              <w:top w:val="single" w:sz="4" w:space="0" w:color="auto"/>
              <w:left w:val="single" w:sz="8" w:space="0" w:color="auto"/>
              <w:bottom w:val="single" w:sz="4" w:space="0" w:color="auto"/>
              <w:right w:val="single" w:sz="4" w:space="0" w:color="auto"/>
            </w:tcBorders>
            <w:shd w:val="clear" w:color="auto" w:fill="auto"/>
            <w:hideMark/>
          </w:tcPr>
          <w:p w14:paraId="4DEE1DE2" w14:textId="75695F69"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-4</w:t>
            </w:r>
            <w:r w:rsidR="006B1D61" w:rsidRPr="00285133">
              <w:rPr>
                <w:rFonts w:asciiTheme="minorHAnsi" w:hAnsiTheme="minorHAnsi" w:cstheme="minorHAnsi"/>
                <w:sz w:val="20"/>
                <w:szCs w:val="20"/>
              </w:rPr>
              <w:t>.</w:t>
            </w:r>
            <w:r w:rsidRPr="00285133">
              <w:rPr>
                <w:rFonts w:asciiTheme="minorHAnsi" w:hAnsiTheme="minorHAnsi" w:cstheme="minorHAnsi"/>
                <w:sz w:val="20"/>
                <w:szCs w:val="20"/>
              </w:rPr>
              <w:t>53</w:t>
            </w:r>
            <w:r w:rsidR="008E2EDD" w:rsidRPr="00285133">
              <w:rPr>
                <w:rFonts w:asciiTheme="minorHAnsi" w:hAnsiTheme="minorHAnsi" w:cstheme="minorHAnsi"/>
                <w:sz w:val="20"/>
                <w:szCs w:val="20"/>
              </w:rPr>
              <w:t>,</w:t>
            </w:r>
            <w:r w:rsidRPr="00285133">
              <w:rPr>
                <w:rFonts w:asciiTheme="minorHAnsi" w:hAnsiTheme="minorHAnsi" w:cstheme="minorHAnsi"/>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2FD4224" w14:textId="2242DE33"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-3</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957</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8DF2D28" w14:textId="6DAE0809"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-3</w:t>
            </w:r>
            <w:r w:rsidR="00FD4533" w:rsidRPr="00285133">
              <w:rPr>
                <w:rFonts w:asciiTheme="minorHAnsi" w:hAnsiTheme="minorHAnsi" w:cstheme="minorHAnsi"/>
                <w:sz w:val="20"/>
                <w:szCs w:val="20"/>
              </w:rPr>
              <w:t>.</w:t>
            </w:r>
            <w:r w:rsidRPr="00285133">
              <w:rPr>
                <w:rFonts w:asciiTheme="minorHAnsi" w:hAnsiTheme="minorHAnsi" w:cstheme="minorHAnsi"/>
                <w:sz w:val="20"/>
                <w:szCs w:val="20"/>
              </w:rPr>
              <w:t>941</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4D41558" w14:textId="57DE00B1" w:rsidR="004F549E" w:rsidRPr="00285133" w:rsidRDefault="004F549E" w:rsidP="00A92867">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-4</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247</w:t>
            </w:r>
            <w:r w:rsidR="00105F84" w:rsidRPr="00285133">
              <w:rPr>
                <w:rFonts w:asciiTheme="minorHAnsi" w:hAnsiTheme="minorHAnsi" w:cstheme="minorHAnsi"/>
                <w:sz w:val="20"/>
                <w:szCs w:val="20"/>
              </w:rPr>
              <w:t>,</w:t>
            </w:r>
            <w:r w:rsidRPr="00285133">
              <w:rPr>
                <w:rFonts w:asciiTheme="minorHAnsi" w:hAnsiTheme="minorHAnsi" w:cstheme="minorHAnsi"/>
                <w:sz w:val="20"/>
                <w:szCs w:val="20"/>
              </w:rPr>
              <w:t>2</w:t>
            </w:r>
          </w:p>
        </w:tc>
      </w:tr>
      <w:tr w:rsidR="004F549E" w:rsidRPr="00285133" w14:paraId="047540C9" w14:textId="77777777" w:rsidTr="002F75BA">
        <w:trPr>
          <w:trHeight w:val="283"/>
        </w:trPr>
        <w:tc>
          <w:tcPr>
            <w:tcW w:w="3402" w:type="dxa"/>
            <w:tcBorders>
              <w:top w:val="single" w:sz="4" w:space="0" w:color="auto"/>
              <w:left w:val="single" w:sz="8" w:space="0" w:color="auto"/>
              <w:bottom w:val="single" w:sz="4" w:space="0" w:color="auto"/>
              <w:right w:val="single" w:sz="8" w:space="0" w:color="auto"/>
            </w:tcBorders>
            <w:shd w:val="clear" w:color="auto" w:fill="auto"/>
            <w:hideMark/>
          </w:tcPr>
          <w:p w14:paraId="4EE4C05B" w14:textId="0F14EA93" w:rsidR="004F549E" w:rsidRPr="00285133" w:rsidRDefault="003524B2" w:rsidP="00A92867">
            <w:pPr>
              <w:keepNext/>
              <w:spacing w:before="40" w:after="40"/>
              <w:rPr>
                <w:rFonts w:asciiTheme="minorHAnsi" w:hAnsiTheme="minorHAnsi" w:cstheme="minorHAnsi"/>
                <w:b/>
                <w:bCs/>
                <w:sz w:val="20"/>
                <w:szCs w:val="20"/>
              </w:rPr>
            </w:pPr>
            <w:r w:rsidRPr="00285133">
              <w:rPr>
                <w:rFonts w:asciiTheme="minorHAnsi" w:hAnsiTheme="minorHAnsi" w:cstheme="minorHAnsi"/>
                <w:b/>
                <w:bCs/>
                <w:sz w:val="20"/>
                <w:szCs w:val="20"/>
              </w:rPr>
              <w:t>Ukupno</w:t>
            </w:r>
            <w:r w:rsidR="004F549E" w:rsidRPr="00285133">
              <w:rPr>
                <w:rFonts w:asciiTheme="minorHAnsi" w:hAnsiTheme="minorHAnsi" w:cstheme="minorHAnsi"/>
                <w:b/>
                <w:bCs/>
                <w:sz w:val="20"/>
                <w:szCs w:val="20"/>
              </w:rPr>
              <w:t xml:space="preserve"> (</w:t>
            </w:r>
            <w:r w:rsidRPr="00285133">
              <w:rPr>
                <w:rFonts w:asciiTheme="minorHAnsi" w:hAnsiTheme="minorHAnsi" w:cstheme="minorHAnsi"/>
                <w:b/>
                <w:bCs/>
                <w:sz w:val="20"/>
                <w:szCs w:val="20"/>
              </w:rPr>
              <w:t>bez</w:t>
            </w:r>
            <w:r w:rsidR="004F549E" w:rsidRPr="00285133">
              <w:rPr>
                <w:rFonts w:asciiTheme="minorHAnsi" w:hAnsiTheme="minorHAnsi" w:cstheme="minorHAnsi"/>
                <w:b/>
                <w:bCs/>
                <w:sz w:val="20"/>
                <w:szCs w:val="20"/>
              </w:rPr>
              <w:t xml:space="preserve"> LULUCF)</w:t>
            </w:r>
          </w:p>
        </w:tc>
        <w:tc>
          <w:tcPr>
            <w:tcW w:w="1134" w:type="dxa"/>
            <w:tcBorders>
              <w:top w:val="single" w:sz="4" w:space="0" w:color="auto"/>
              <w:left w:val="single" w:sz="8" w:space="0" w:color="auto"/>
              <w:bottom w:val="single" w:sz="4" w:space="0" w:color="auto"/>
              <w:right w:val="single" w:sz="8" w:space="0" w:color="auto"/>
            </w:tcBorders>
            <w:shd w:val="clear" w:color="auto" w:fill="auto"/>
            <w:hideMark/>
          </w:tcPr>
          <w:p w14:paraId="38B43E9F" w14:textId="4F80E574" w:rsidR="004F549E" w:rsidRPr="00285133" w:rsidRDefault="004F549E" w:rsidP="00A92867">
            <w:pPr>
              <w:spacing w:before="40" w:after="40"/>
              <w:contextualSpacing w:val="0"/>
              <w:jc w:val="right"/>
              <w:rPr>
                <w:rFonts w:asciiTheme="minorHAnsi" w:hAnsiTheme="minorHAnsi" w:cstheme="minorHAnsi"/>
                <w:b/>
                <w:bCs/>
                <w:sz w:val="20"/>
                <w:szCs w:val="20"/>
              </w:rPr>
            </w:pPr>
            <w:r w:rsidRPr="00285133">
              <w:rPr>
                <w:rFonts w:asciiTheme="minorHAnsi" w:hAnsiTheme="minorHAnsi" w:cstheme="minorHAnsi"/>
                <w:b/>
                <w:bCs/>
                <w:sz w:val="20"/>
                <w:szCs w:val="20"/>
              </w:rPr>
              <w:t>24</w:t>
            </w:r>
            <w:r w:rsidR="006B1D61" w:rsidRPr="00285133">
              <w:rPr>
                <w:rFonts w:asciiTheme="minorHAnsi" w:hAnsiTheme="minorHAnsi" w:cstheme="minorHAnsi"/>
                <w:b/>
                <w:bCs/>
                <w:sz w:val="20"/>
                <w:szCs w:val="20"/>
              </w:rPr>
              <w:t>.</w:t>
            </w:r>
            <w:r w:rsidRPr="00285133">
              <w:rPr>
                <w:rFonts w:asciiTheme="minorHAnsi" w:hAnsiTheme="minorHAnsi" w:cstheme="minorHAnsi"/>
                <w:b/>
                <w:bCs/>
                <w:sz w:val="20"/>
                <w:szCs w:val="20"/>
              </w:rPr>
              <w:t>552</w:t>
            </w:r>
            <w:r w:rsidR="008E2EDD" w:rsidRPr="00285133">
              <w:rPr>
                <w:rFonts w:asciiTheme="minorHAnsi" w:hAnsiTheme="minorHAnsi" w:cstheme="minorHAnsi"/>
                <w:b/>
                <w:bCs/>
                <w:sz w:val="20"/>
                <w:szCs w:val="20"/>
              </w:rPr>
              <w:t>,</w:t>
            </w:r>
            <w:r w:rsidRPr="00285133">
              <w:rPr>
                <w:rFonts w:asciiTheme="minorHAnsi" w:hAnsiTheme="minorHAnsi" w:cstheme="minorHAnsi"/>
                <w:b/>
                <w:bCs/>
                <w:sz w:val="20"/>
                <w:szCs w:val="20"/>
              </w:rPr>
              <w:t>0</w:t>
            </w:r>
          </w:p>
        </w:tc>
        <w:tc>
          <w:tcPr>
            <w:tcW w:w="1134" w:type="dxa"/>
            <w:tcBorders>
              <w:top w:val="single" w:sz="4" w:space="0" w:color="auto"/>
              <w:left w:val="single" w:sz="8" w:space="0" w:color="auto"/>
              <w:bottom w:val="single" w:sz="4" w:space="0" w:color="auto"/>
              <w:right w:val="single" w:sz="4" w:space="0" w:color="auto"/>
            </w:tcBorders>
            <w:shd w:val="clear" w:color="auto" w:fill="auto"/>
          </w:tcPr>
          <w:p w14:paraId="75D33240" w14:textId="109C75C2" w:rsidR="004F549E" w:rsidRPr="00285133" w:rsidRDefault="004F549E" w:rsidP="00A92867">
            <w:pPr>
              <w:spacing w:before="40" w:after="40"/>
              <w:contextualSpacing w:val="0"/>
              <w:jc w:val="right"/>
              <w:rPr>
                <w:rFonts w:asciiTheme="minorHAnsi" w:hAnsiTheme="minorHAnsi" w:cstheme="minorHAnsi"/>
                <w:b/>
                <w:bCs/>
                <w:sz w:val="20"/>
                <w:szCs w:val="20"/>
              </w:rPr>
            </w:pPr>
            <w:r w:rsidRPr="00285133">
              <w:rPr>
                <w:rFonts w:asciiTheme="minorHAnsi" w:hAnsiTheme="minorHAnsi" w:cstheme="minorHAnsi"/>
                <w:b/>
                <w:bCs/>
                <w:sz w:val="20"/>
                <w:szCs w:val="20"/>
              </w:rPr>
              <w:t>23</w:t>
            </w:r>
            <w:r w:rsidR="006B1D61" w:rsidRPr="00285133">
              <w:rPr>
                <w:rFonts w:asciiTheme="minorHAnsi" w:hAnsiTheme="minorHAnsi" w:cstheme="minorHAnsi"/>
                <w:b/>
                <w:bCs/>
                <w:sz w:val="20"/>
                <w:szCs w:val="20"/>
              </w:rPr>
              <w:t>.</w:t>
            </w:r>
            <w:r w:rsidRPr="00285133">
              <w:rPr>
                <w:rFonts w:asciiTheme="minorHAnsi" w:hAnsiTheme="minorHAnsi" w:cstheme="minorHAnsi"/>
                <w:b/>
                <w:bCs/>
                <w:sz w:val="20"/>
                <w:szCs w:val="20"/>
              </w:rPr>
              <w:t>853</w:t>
            </w:r>
            <w:r w:rsidR="008E2EDD" w:rsidRPr="00285133">
              <w:rPr>
                <w:rFonts w:asciiTheme="minorHAnsi" w:hAnsiTheme="minorHAnsi" w:cstheme="minorHAnsi"/>
                <w:b/>
                <w:bCs/>
                <w:sz w:val="20"/>
                <w:szCs w:val="20"/>
              </w:rPr>
              <w:t>,</w:t>
            </w:r>
            <w:r w:rsidRPr="00285133">
              <w:rPr>
                <w:rFonts w:asciiTheme="minorHAnsi" w:hAnsiTheme="minorHAnsi" w:cstheme="minorHAnsi"/>
                <w:b/>
                <w:bCs/>
                <w:sz w:val="20"/>
                <w:szCs w:val="20"/>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3BAEF2" w14:textId="5D1AFBB5" w:rsidR="004F549E" w:rsidRPr="00285133" w:rsidRDefault="004F549E" w:rsidP="00A92867">
            <w:pPr>
              <w:spacing w:before="40" w:after="40"/>
              <w:contextualSpacing w:val="0"/>
              <w:jc w:val="right"/>
              <w:rPr>
                <w:rFonts w:asciiTheme="minorHAnsi" w:hAnsiTheme="minorHAnsi" w:cstheme="minorHAnsi"/>
                <w:b/>
                <w:bCs/>
                <w:sz w:val="20"/>
                <w:szCs w:val="20"/>
              </w:rPr>
            </w:pPr>
            <w:r w:rsidRPr="00285133">
              <w:rPr>
                <w:rFonts w:asciiTheme="minorHAnsi" w:hAnsiTheme="minorHAnsi" w:cstheme="minorHAnsi"/>
                <w:b/>
                <w:bCs/>
                <w:sz w:val="20"/>
                <w:szCs w:val="20"/>
              </w:rPr>
              <w:t>23</w:t>
            </w:r>
            <w:r w:rsidR="00FD4533" w:rsidRPr="00285133">
              <w:rPr>
                <w:rFonts w:asciiTheme="minorHAnsi" w:hAnsiTheme="minorHAnsi" w:cstheme="minorHAnsi"/>
                <w:b/>
                <w:bCs/>
                <w:sz w:val="20"/>
                <w:szCs w:val="20"/>
              </w:rPr>
              <w:t>.</w:t>
            </w:r>
            <w:r w:rsidRPr="00285133">
              <w:rPr>
                <w:rFonts w:asciiTheme="minorHAnsi" w:hAnsiTheme="minorHAnsi" w:cstheme="minorHAnsi"/>
                <w:b/>
                <w:bCs/>
                <w:sz w:val="20"/>
                <w:szCs w:val="20"/>
              </w:rPr>
              <w:t>396</w:t>
            </w:r>
            <w:r w:rsidR="00FD4533" w:rsidRPr="00285133">
              <w:rPr>
                <w:rFonts w:asciiTheme="minorHAnsi" w:hAnsiTheme="minorHAnsi" w:cstheme="minorHAnsi"/>
                <w:b/>
                <w:bCs/>
                <w:sz w:val="20"/>
                <w:szCs w:val="20"/>
              </w:rPr>
              <w:t>,</w:t>
            </w:r>
            <w:r w:rsidRPr="00285133">
              <w:rPr>
                <w:rFonts w:asciiTheme="minorHAnsi" w:hAnsiTheme="minorHAnsi" w:cstheme="minorHAnsi"/>
                <w:b/>
                <w:bCs/>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B350C3" w14:textId="1DA823B7" w:rsidR="004F549E" w:rsidRPr="00285133" w:rsidRDefault="004F549E" w:rsidP="00A92867">
            <w:pPr>
              <w:spacing w:before="40" w:after="40"/>
              <w:contextualSpacing w:val="0"/>
              <w:jc w:val="right"/>
              <w:rPr>
                <w:rFonts w:asciiTheme="minorHAnsi" w:hAnsiTheme="minorHAnsi" w:cstheme="minorHAnsi"/>
                <w:b/>
                <w:bCs/>
                <w:sz w:val="20"/>
                <w:szCs w:val="20"/>
              </w:rPr>
            </w:pPr>
            <w:r w:rsidRPr="00285133">
              <w:rPr>
                <w:rFonts w:asciiTheme="minorHAnsi" w:hAnsiTheme="minorHAnsi" w:cstheme="minorHAnsi"/>
                <w:b/>
                <w:bCs/>
                <w:sz w:val="20"/>
                <w:szCs w:val="20"/>
              </w:rPr>
              <w:t>21</w:t>
            </w:r>
            <w:r w:rsidR="00FD4533" w:rsidRPr="00285133">
              <w:rPr>
                <w:rFonts w:asciiTheme="minorHAnsi" w:hAnsiTheme="minorHAnsi" w:cstheme="minorHAnsi"/>
                <w:b/>
                <w:bCs/>
                <w:sz w:val="20"/>
                <w:szCs w:val="20"/>
              </w:rPr>
              <w:t>.</w:t>
            </w:r>
            <w:r w:rsidRPr="00285133">
              <w:rPr>
                <w:rFonts w:asciiTheme="minorHAnsi" w:hAnsiTheme="minorHAnsi" w:cstheme="minorHAnsi"/>
                <w:b/>
                <w:bCs/>
                <w:sz w:val="20"/>
                <w:szCs w:val="20"/>
              </w:rPr>
              <w:t>642</w:t>
            </w:r>
            <w:r w:rsidR="00105F84" w:rsidRPr="00285133">
              <w:rPr>
                <w:rFonts w:asciiTheme="minorHAnsi" w:hAnsiTheme="minorHAnsi" w:cstheme="minorHAnsi"/>
                <w:b/>
                <w:bCs/>
                <w:sz w:val="20"/>
                <w:szCs w:val="20"/>
              </w:rPr>
              <w:t>,</w:t>
            </w:r>
            <w:r w:rsidRPr="00285133">
              <w:rPr>
                <w:rFonts w:asciiTheme="minorHAnsi" w:hAnsiTheme="minorHAnsi" w:cstheme="minorHAnsi"/>
                <w:b/>
                <w:bCs/>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2DE9F6" w14:textId="345871F7" w:rsidR="004F549E" w:rsidRPr="00285133" w:rsidRDefault="004F549E" w:rsidP="00A92867">
            <w:pPr>
              <w:spacing w:before="40" w:after="40"/>
              <w:contextualSpacing w:val="0"/>
              <w:jc w:val="right"/>
              <w:rPr>
                <w:rFonts w:asciiTheme="minorHAnsi" w:hAnsiTheme="minorHAnsi" w:cstheme="minorHAnsi"/>
                <w:b/>
                <w:bCs/>
                <w:sz w:val="20"/>
                <w:szCs w:val="20"/>
              </w:rPr>
            </w:pPr>
            <w:r w:rsidRPr="00285133">
              <w:rPr>
                <w:rFonts w:asciiTheme="minorHAnsi" w:hAnsiTheme="minorHAnsi" w:cstheme="minorHAnsi"/>
                <w:b/>
                <w:bCs/>
                <w:sz w:val="20"/>
                <w:szCs w:val="20"/>
              </w:rPr>
              <w:t>19</w:t>
            </w:r>
            <w:r w:rsidR="00105F84" w:rsidRPr="00285133">
              <w:rPr>
                <w:rFonts w:asciiTheme="minorHAnsi" w:hAnsiTheme="minorHAnsi" w:cstheme="minorHAnsi"/>
                <w:b/>
                <w:bCs/>
                <w:sz w:val="20"/>
                <w:szCs w:val="20"/>
              </w:rPr>
              <w:t>.</w:t>
            </w:r>
            <w:r w:rsidRPr="00285133">
              <w:rPr>
                <w:rFonts w:asciiTheme="minorHAnsi" w:hAnsiTheme="minorHAnsi" w:cstheme="minorHAnsi"/>
                <w:b/>
                <w:bCs/>
                <w:sz w:val="20"/>
                <w:szCs w:val="20"/>
              </w:rPr>
              <w:t>896</w:t>
            </w:r>
            <w:r w:rsidR="00105F84" w:rsidRPr="00285133">
              <w:rPr>
                <w:rFonts w:asciiTheme="minorHAnsi" w:hAnsiTheme="minorHAnsi" w:cstheme="minorHAnsi"/>
                <w:b/>
                <w:bCs/>
                <w:sz w:val="20"/>
                <w:szCs w:val="20"/>
              </w:rPr>
              <w:t>,</w:t>
            </w:r>
            <w:r w:rsidRPr="00285133">
              <w:rPr>
                <w:rFonts w:asciiTheme="minorHAnsi" w:hAnsiTheme="minorHAnsi" w:cstheme="minorHAnsi"/>
                <w:b/>
                <w:bCs/>
                <w:sz w:val="20"/>
                <w:szCs w:val="20"/>
              </w:rPr>
              <w:t>1</w:t>
            </w:r>
          </w:p>
        </w:tc>
      </w:tr>
      <w:tr w:rsidR="004F549E" w:rsidRPr="00285133" w14:paraId="361BDEE6" w14:textId="77777777" w:rsidTr="00314350">
        <w:trPr>
          <w:trHeight w:val="283"/>
        </w:trPr>
        <w:tc>
          <w:tcPr>
            <w:tcW w:w="3402" w:type="dxa"/>
            <w:tcBorders>
              <w:top w:val="single" w:sz="4" w:space="0" w:color="auto"/>
              <w:left w:val="single" w:sz="8" w:space="0" w:color="auto"/>
              <w:bottom w:val="single" w:sz="8" w:space="0" w:color="auto"/>
              <w:right w:val="single" w:sz="8" w:space="0" w:color="auto"/>
            </w:tcBorders>
            <w:shd w:val="clear" w:color="auto" w:fill="auto"/>
            <w:hideMark/>
          </w:tcPr>
          <w:p w14:paraId="21431E43" w14:textId="59A97C88" w:rsidR="004F549E" w:rsidRPr="00123DE4" w:rsidRDefault="003524B2" w:rsidP="00A92867">
            <w:pPr>
              <w:spacing w:before="40" w:after="40"/>
              <w:rPr>
                <w:rFonts w:asciiTheme="minorHAnsi" w:hAnsiTheme="minorHAnsi" w:cstheme="minorHAnsi"/>
                <w:b/>
                <w:bCs/>
                <w:sz w:val="20"/>
                <w:szCs w:val="20"/>
              </w:rPr>
            </w:pPr>
            <w:r w:rsidRPr="00123DE4">
              <w:rPr>
                <w:rFonts w:asciiTheme="minorHAnsi" w:hAnsiTheme="minorHAnsi" w:cstheme="minorHAnsi"/>
                <w:b/>
                <w:bCs/>
                <w:sz w:val="20"/>
                <w:szCs w:val="20"/>
              </w:rPr>
              <w:t>Ukupno</w:t>
            </w:r>
            <w:r w:rsidR="004F549E" w:rsidRPr="00123DE4">
              <w:rPr>
                <w:rFonts w:asciiTheme="minorHAnsi" w:hAnsiTheme="minorHAnsi" w:cstheme="minorHAnsi"/>
                <w:b/>
                <w:bCs/>
                <w:sz w:val="20"/>
                <w:szCs w:val="20"/>
              </w:rPr>
              <w:t xml:space="preserve"> (</w:t>
            </w:r>
            <w:r w:rsidRPr="00123DE4">
              <w:rPr>
                <w:rFonts w:asciiTheme="minorHAnsi" w:hAnsiTheme="minorHAnsi" w:cstheme="minorHAnsi"/>
                <w:b/>
                <w:bCs/>
                <w:sz w:val="20"/>
                <w:szCs w:val="20"/>
              </w:rPr>
              <w:t>uključujući</w:t>
            </w:r>
            <w:r w:rsidR="004F549E" w:rsidRPr="00123DE4">
              <w:rPr>
                <w:rFonts w:asciiTheme="minorHAnsi" w:hAnsiTheme="minorHAnsi" w:cstheme="minorHAnsi"/>
                <w:b/>
                <w:bCs/>
                <w:sz w:val="20"/>
                <w:szCs w:val="20"/>
              </w:rPr>
              <w:t xml:space="preserve"> LULUCF)</w:t>
            </w:r>
          </w:p>
        </w:tc>
        <w:tc>
          <w:tcPr>
            <w:tcW w:w="1134" w:type="dxa"/>
            <w:tcBorders>
              <w:top w:val="single" w:sz="4" w:space="0" w:color="auto"/>
              <w:left w:val="single" w:sz="8" w:space="0" w:color="auto"/>
              <w:bottom w:val="single" w:sz="8" w:space="0" w:color="auto"/>
              <w:right w:val="single" w:sz="8" w:space="0" w:color="auto"/>
            </w:tcBorders>
            <w:shd w:val="clear" w:color="auto" w:fill="auto"/>
            <w:hideMark/>
          </w:tcPr>
          <w:p w14:paraId="26ECAF82" w14:textId="646251C4" w:rsidR="004F549E" w:rsidRPr="00123DE4" w:rsidRDefault="004F549E" w:rsidP="00A92867">
            <w:pPr>
              <w:spacing w:before="40" w:after="40"/>
              <w:contextualSpacing w:val="0"/>
              <w:jc w:val="right"/>
              <w:rPr>
                <w:rFonts w:asciiTheme="minorHAnsi" w:hAnsiTheme="minorHAnsi" w:cstheme="minorHAnsi"/>
                <w:b/>
                <w:bCs/>
                <w:sz w:val="20"/>
                <w:szCs w:val="20"/>
              </w:rPr>
            </w:pPr>
            <w:r w:rsidRPr="00123DE4">
              <w:rPr>
                <w:rFonts w:asciiTheme="minorHAnsi" w:hAnsiTheme="minorHAnsi" w:cstheme="minorHAnsi"/>
                <w:b/>
                <w:bCs/>
                <w:sz w:val="20"/>
                <w:szCs w:val="20"/>
              </w:rPr>
              <w:t>19</w:t>
            </w:r>
            <w:r w:rsidR="006B1D61" w:rsidRPr="00123DE4">
              <w:rPr>
                <w:rFonts w:asciiTheme="minorHAnsi" w:hAnsiTheme="minorHAnsi" w:cstheme="minorHAnsi"/>
                <w:b/>
                <w:bCs/>
                <w:sz w:val="20"/>
                <w:szCs w:val="20"/>
              </w:rPr>
              <w:t>.</w:t>
            </w:r>
            <w:r w:rsidRPr="00123DE4">
              <w:rPr>
                <w:rFonts w:asciiTheme="minorHAnsi" w:hAnsiTheme="minorHAnsi" w:cstheme="minorHAnsi"/>
                <w:b/>
                <w:bCs/>
                <w:sz w:val="20"/>
                <w:szCs w:val="20"/>
              </w:rPr>
              <w:t>684</w:t>
            </w:r>
            <w:r w:rsidR="008E2EDD" w:rsidRPr="00123DE4">
              <w:rPr>
                <w:rFonts w:asciiTheme="minorHAnsi" w:hAnsiTheme="minorHAnsi" w:cstheme="minorHAnsi"/>
                <w:b/>
                <w:bCs/>
                <w:sz w:val="20"/>
                <w:szCs w:val="20"/>
              </w:rPr>
              <w:t>,</w:t>
            </w:r>
            <w:r w:rsidRPr="00123DE4">
              <w:rPr>
                <w:rFonts w:asciiTheme="minorHAnsi" w:hAnsiTheme="minorHAnsi" w:cstheme="minorHAnsi"/>
                <w:b/>
                <w:bCs/>
                <w:sz w:val="20"/>
                <w:szCs w:val="20"/>
              </w:rPr>
              <w:t>8</w:t>
            </w:r>
          </w:p>
        </w:tc>
        <w:tc>
          <w:tcPr>
            <w:tcW w:w="1134" w:type="dxa"/>
            <w:tcBorders>
              <w:top w:val="single" w:sz="4" w:space="0" w:color="auto"/>
              <w:left w:val="single" w:sz="8" w:space="0" w:color="auto"/>
              <w:bottom w:val="single" w:sz="8" w:space="0" w:color="auto"/>
              <w:right w:val="single" w:sz="4" w:space="0" w:color="auto"/>
            </w:tcBorders>
            <w:shd w:val="clear" w:color="auto" w:fill="auto"/>
          </w:tcPr>
          <w:p w14:paraId="6115C66C" w14:textId="617C5B22" w:rsidR="004F549E" w:rsidRPr="00123DE4" w:rsidRDefault="004F549E" w:rsidP="00A92867">
            <w:pPr>
              <w:spacing w:before="40" w:after="40"/>
              <w:contextualSpacing w:val="0"/>
              <w:jc w:val="right"/>
              <w:rPr>
                <w:rFonts w:asciiTheme="minorHAnsi" w:hAnsiTheme="minorHAnsi" w:cstheme="minorHAnsi"/>
                <w:b/>
                <w:bCs/>
                <w:sz w:val="20"/>
                <w:szCs w:val="20"/>
              </w:rPr>
            </w:pPr>
            <w:r w:rsidRPr="00123DE4">
              <w:rPr>
                <w:rFonts w:asciiTheme="minorHAnsi" w:hAnsiTheme="minorHAnsi" w:cstheme="minorHAnsi"/>
                <w:b/>
                <w:bCs/>
                <w:sz w:val="20"/>
                <w:szCs w:val="20"/>
              </w:rPr>
              <w:t>19</w:t>
            </w:r>
            <w:r w:rsidR="006B1D61" w:rsidRPr="00123DE4">
              <w:rPr>
                <w:rFonts w:asciiTheme="minorHAnsi" w:hAnsiTheme="minorHAnsi" w:cstheme="minorHAnsi"/>
                <w:b/>
                <w:bCs/>
                <w:sz w:val="20"/>
                <w:szCs w:val="20"/>
              </w:rPr>
              <w:t>.</w:t>
            </w:r>
            <w:r w:rsidRPr="00123DE4">
              <w:rPr>
                <w:rFonts w:asciiTheme="minorHAnsi" w:hAnsiTheme="minorHAnsi" w:cstheme="minorHAnsi"/>
                <w:b/>
                <w:bCs/>
                <w:sz w:val="20"/>
                <w:szCs w:val="20"/>
              </w:rPr>
              <w:t>319</w:t>
            </w:r>
            <w:r w:rsidR="008E2EDD" w:rsidRPr="00123DE4">
              <w:rPr>
                <w:rFonts w:asciiTheme="minorHAnsi" w:hAnsiTheme="minorHAnsi" w:cstheme="minorHAnsi"/>
                <w:b/>
                <w:bCs/>
                <w:sz w:val="20"/>
                <w:szCs w:val="20"/>
              </w:rPr>
              <w:t>,</w:t>
            </w:r>
            <w:r w:rsidRPr="00123DE4">
              <w:rPr>
                <w:rFonts w:asciiTheme="minorHAnsi" w:hAnsiTheme="minorHAnsi" w:cstheme="minorHAnsi"/>
                <w:b/>
                <w:bCs/>
                <w:sz w:val="20"/>
                <w:szCs w:val="20"/>
              </w:rPr>
              <w:t>6</w:t>
            </w:r>
          </w:p>
        </w:tc>
        <w:tc>
          <w:tcPr>
            <w:tcW w:w="1134" w:type="dxa"/>
            <w:tcBorders>
              <w:top w:val="single" w:sz="4" w:space="0" w:color="auto"/>
              <w:left w:val="single" w:sz="4" w:space="0" w:color="auto"/>
              <w:bottom w:val="single" w:sz="8" w:space="0" w:color="auto"/>
              <w:right w:val="single" w:sz="4" w:space="0" w:color="auto"/>
            </w:tcBorders>
            <w:shd w:val="clear" w:color="auto" w:fill="auto"/>
          </w:tcPr>
          <w:p w14:paraId="1B69FFEB" w14:textId="326D9D45" w:rsidR="004F549E" w:rsidRPr="00123DE4" w:rsidRDefault="004F549E" w:rsidP="00A92867">
            <w:pPr>
              <w:spacing w:before="40" w:after="40"/>
              <w:contextualSpacing w:val="0"/>
              <w:jc w:val="right"/>
              <w:rPr>
                <w:rFonts w:asciiTheme="minorHAnsi" w:hAnsiTheme="minorHAnsi" w:cstheme="minorHAnsi"/>
                <w:b/>
                <w:bCs/>
                <w:sz w:val="20"/>
                <w:szCs w:val="20"/>
              </w:rPr>
            </w:pPr>
            <w:r w:rsidRPr="00123DE4">
              <w:rPr>
                <w:rFonts w:asciiTheme="minorHAnsi" w:hAnsiTheme="minorHAnsi" w:cstheme="minorHAnsi"/>
                <w:b/>
                <w:bCs/>
                <w:sz w:val="20"/>
                <w:szCs w:val="20"/>
              </w:rPr>
              <w:t>19</w:t>
            </w:r>
            <w:r w:rsidR="00FD4533" w:rsidRPr="00123DE4">
              <w:rPr>
                <w:rFonts w:asciiTheme="minorHAnsi" w:hAnsiTheme="minorHAnsi" w:cstheme="minorHAnsi"/>
                <w:b/>
                <w:bCs/>
                <w:sz w:val="20"/>
                <w:szCs w:val="20"/>
              </w:rPr>
              <w:t>.</w:t>
            </w:r>
            <w:r w:rsidRPr="00123DE4">
              <w:rPr>
                <w:rFonts w:asciiTheme="minorHAnsi" w:hAnsiTheme="minorHAnsi" w:cstheme="minorHAnsi"/>
                <w:b/>
                <w:bCs/>
                <w:sz w:val="20"/>
                <w:szCs w:val="20"/>
              </w:rPr>
              <w:t>438</w:t>
            </w:r>
            <w:r w:rsidR="00FD4533" w:rsidRPr="00123DE4">
              <w:rPr>
                <w:rFonts w:asciiTheme="minorHAnsi" w:hAnsiTheme="minorHAnsi" w:cstheme="minorHAnsi"/>
                <w:b/>
                <w:bCs/>
                <w:sz w:val="20"/>
                <w:szCs w:val="20"/>
              </w:rPr>
              <w:t>,</w:t>
            </w:r>
            <w:r w:rsidRPr="00123DE4">
              <w:rPr>
                <w:rFonts w:asciiTheme="minorHAnsi" w:hAnsiTheme="minorHAnsi" w:cstheme="minorHAnsi"/>
                <w:b/>
                <w:bCs/>
                <w:sz w:val="20"/>
                <w:szCs w:val="20"/>
              </w:rPr>
              <w:t>7</w:t>
            </w:r>
          </w:p>
        </w:tc>
        <w:tc>
          <w:tcPr>
            <w:tcW w:w="1134" w:type="dxa"/>
            <w:tcBorders>
              <w:top w:val="single" w:sz="4" w:space="0" w:color="auto"/>
              <w:left w:val="single" w:sz="4" w:space="0" w:color="auto"/>
              <w:bottom w:val="single" w:sz="8" w:space="0" w:color="auto"/>
              <w:right w:val="single" w:sz="4" w:space="0" w:color="auto"/>
            </w:tcBorders>
            <w:shd w:val="clear" w:color="auto" w:fill="auto"/>
          </w:tcPr>
          <w:p w14:paraId="4C8B9650" w14:textId="77A34ADE" w:rsidR="004F549E" w:rsidRPr="00123DE4" w:rsidRDefault="004F549E" w:rsidP="00A92867">
            <w:pPr>
              <w:spacing w:before="40" w:after="40"/>
              <w:contextualSpacing w:val="0"/>
              <w:jc w:val="right"/>
              <w:rPr>
                <w:rFonts w:asciiTheme="minorHAnsi" w:hAnsiTheme="minorHAnsi" w:cstheme="minorHAnsi"/>
                <w:b/>
                <w:bCs/>
                <w:sz w:val="20"/>
                <w:szCs w:val="20"/>
              </w:rPr>
            </w:pPr>
            <w:r w:rsidRPr="00123DE4">
              <w:rPr>
                <w:rFonts w:asciiTheme="minorHAnsi" w:hAnsiTheme="minorHAnsi" w:cstheme="minorHAnsi"/>
                <w:b/>
                <w:bCs/>
                <w:sz w:val="20"/>
                <w:szCs w:val="20"/>
              </w:rPr>
              <w:t>17</w:t>
            </w:r>
            <w:r w:rsidR="00FD4533" w:rsidRPr="00123DE4">
              <w:rPr>
                <w:rFonts w:asciiTheme="minorHAnsi" w:hAnsiTheme="minorHAnsi" w:cstheme="minorHAnsi"/>
                <w:b/>
                <w:bCs/>
                <w:sz w:val="20"/>
                <w:szCs w:val="20"/>
              </w:rPr>
              <w:t>.</w:t>
            </w:r>
            <w:r w:rsidRPr="00123DE4">
              <w:rPr>
                <w:rFonts w:asciiTheme="minorHAnsi" w:hAnsiTheme="minorHAnsi" w:cstheme="minorHAnsi"/>
                <w:b/>
                <w:bCs/>
                <w:sz w:val="20"/>
                <w:szCs w:val="20"/>
              </w:rPr>
              <w:t>701</w:t>
            </w:r>
            <w:r w:rsidR="00105F84" w:rsidRPr="00123DE4">
              <w:rPr>
                <w:rFonts w:asciiTheme="minorHAnsi" w:hAnsiTheme="minorHAnsi" w:cstheme="minorHAnsi"/>
                <w:b/>
                <w:bCs/>
                <w:sz w:val="20"/>
                <w:szCs w:val="20"/>
              </w:rPr>
              <w:t>,</w:t>
            </w:r>
            <w:r w:rsidR="00FD4533" w:rsidRPr="00123DE4">
              <w:rPr>
                <w:rFonts w:asciiTheme="minorHAnsi" w:hAnsiTheme="minorHAnsi" w:cstheme="minorHAnsi"/>
                <w:b/>
                <w:bCs/>
                <w:sz w:val="20"/>
                <w:szCs w:val="20"/>
              </w:rPr>
              <w:t>5</w:t>
            </w:r>
          </w:p>
        </w:tc>
        <w:tc>
          <w:tcPr>
            <w:tcW w:w="1134" w:type="dxa"/>
            <w:tcBorders>
              <w:top w:val="single" w:sz="4" w:space="0" w:color="auto"/>
              <w:left w:val="single" w:sz="4" w:space="0" w:color="auto"/>
              <w:bottom w:val="single" w:sz="8" w:space="0" w:color="auto"/>
              <w:right w:val="single" w:sz="4" w:space="0" w:color="auto"/>
            </w:tcBorders>
            <w:shd w:val="clear" w:color="auto" w:fill="auto"/>
          </w:tcPr>
          <w:p w14:paraId="221260E4" w14:textId="1702B3AE" w:rsidR="004F549E" w:rsidRPr="00123DE4" w:rsidRDefault="004F549E" w:rsidP="00A92867">
            <w:pPr>
              <w:spacing w:before="40" w:after="40"/>
              <w:contextualSpacing w:val="0"/>
              <w:jc w:val="right"/>
              <w:rPr>
                <w:rFonts w:asciiTheme="minorHAnsi" w:hAnsiTheme="minorHAnsi" w:cstheme="minorHAnsi"/>
                <w:b/>
                <w:bCs/>
                <w:sz w:val="20"/>
                <w:szCs w:val="20"/>
              </w:rPr>
            </w:pPr>
            <w:r w:rsidRPr="00123DE4">
              <w:rPr>
                <w:rFonts w:asciiTheme="minorHAnsi" w:hAnsiTheme="minorHAnsi" w:cstheme="minorHAnsi"/>
                <w:b/>
                <w:bCs/>
                <w:sz w:val="20"/>
                <w:szCs w:val="20"/>
              </w:rPr>
              <w:t>15</w:t>
            </w:r>
            <w:r w:rsidR="00105F84" w:rsidRPr="00123DE4">
              <w:rPr>
                <w:rFonts w:asciiTheme="minorHAnsi" w:hAnsiTheme="minorHAnsi" w:cstheme="minorHAnsi"/>
                <w:b/>
                <w:bCs/>
                <w:sz w:val="20"/>
                <w:szCs w:val="20"/>
              </w:rPr>
              <w:t>.</w:t>
            </w:r>
            <w:r w:rsidRPr="00123DE4">
              <w:rPr>
                <w:rFonts w:asciiTheme="minorHAnsi" w:hAnsiTheme="minorHAnsi" w:cstheme="minorHAnsi"/>
                <w:b/>
                <w:bCs/>
                <w:sz w:val="20"/>
                <w:szCs w:val="20"/>
              </w:rPr>
              <w:t>648</w:t>
            </w:r>
            <w:r w:rsidR="00105F84" w:rsidRPr="00123DE4">
              <w:rPr>
                <w:rFonts w:asciiTheme="minorHAnsi" w:hAnsiTheme="minorHAnsi" w:cstheme="minorHAnsi"/>
                <w:b/>
                <w:bCs/>
                <w:sz w:val="20"/>
                <w:szCs w:val="20"/>
              </w:rPr>
              <w:t>,</w:t>
            </w:r>
            <w:r w:rsidRPr="00123DE4">
              <w:rPr>
                <w:rFonts w:asciiTheme="minorHAnsi" w:hAnsiTheme="minorHAnsi" w:cstheme="minorHAnsi"/>
                <w:b/>
                <w:bCs/>
                <w:sz w:val="20"/>
                <w:szCs w:val="20"/>
              </w:rPr>
              <w:t>9</w:t>
            </w:r>
          </w:p>
        </w:tc>
      </w:tr>
      <w:tr w:rsidR="00314350" w:rsidRPr="00285133" w14:paraId="4920F0C5" w14:textId="77777777" w:rsidTr="00314350">
        <w:tblPrEx>
          <w:tblBorders>
            <w:top w:val="single" w:sz="4" w:space="0" w:color="auto"/>
            <w:left w:val="single" w:sz="4" w:space="0" w:color="auto"/>
            <w:bottom w:val="single" w:sz="4" w:space="0" w:color="auto"/>
            <w:right w:val="single" w:sz="4" w:space="0" w:color="auto"/>
          </w:tblBorders>
        </w:tblPrEx>
        <w:trPr>
          <w:trHeight w:val="283"/>
        </w:trPr>
        <w:tc>
          <w:tcPr>
            <w:tcW w:w="3402" w:type="dxa"/>
            <w:tcBorders>
              <w:top w:val="single" w:sz="8" w:space="0" w:color="auto"/>
            </w:tcBorders>
            <w:shd w:val="clear" w:color="auto" w:fill="D9E2F3" w:themeFill="accent5" w:themeFillTint="33"/>
            <w:hideMark/>
          </w:tcPr>
          <w:p w14:paraId="106A5B51" w14:textId="0BEF984F" w:rsidR="000C1148" w:rsidRPr="00285133" w:rsidRDefault="000C1148" w:rsidP="00A92867">
            <w:pPr>
              <w:spacing w:before="40" w:after="40"/>
              <w:contextualSpacing w:val="0"/>
              <w:rPr>
                <w:rFonts w:asciiTheme="minorHAnsi" w:hAnsiTheme="minorHAnsi" w:cstheme="minorHAnsi"/>
                <w:b/>
                <w:sz w:val="20"/>
                <w:szCs w:val="20"/>
              </w:rPr>
            </w:pPr>
            <w:r w:rsidRPr="00285133">
              <w:rPr>
                <w:rFonts w:asciiTheme="minorHAnsi" w:hAnsiTheme="minorHAnsi" w:cstheme="minorHAnsi"/>
                <w:b/>
                <w:sz w:val="20"/>
                <w:szCs w:val="20"/>
              </w:rPr>
              <w:t>WAM</w:t>
            </w:r>
            <w:r w:rsidR="003F4D78">
              <w:rPr>
                <w:rFonts w:asciiTheme="minorHAnsi" w:hAnsiTheme="minorHAnsi" w:cstheme="minorHAnsi"/>
                <w:b/>
                <w:sz w:val="20"/>
                <w:szCs w:val="20"/>
              </w:rPr>
              <w:t>*</w:t>
            </w:r>
          </w:p>
        </w:tc>
        <w:tc>
          <w:tcPr>
            <w:tcW w:w="1134" w:type="dxa"/>
            <w:tcBorders>
              <w:top w:val="single" w:sz="8" w:space="0" w:color="auto"/>
            </w:tcBorders>
            <w:shd w:val="clear" w:color="auto" w:fill="D9E2F3" w:themeFill="accent5" w:themeFillTint="33"/>
            <w:hideMark/>
          </w:tcPr>
          <w:p w14:paraId="5B3DED18" w14:textId="77777777" w:rsidR="000C1148" w:rsidRPr="00285133" w:rsidRDefault="000C1148" w:rsidP="00A92867">
            <w:pPr>
              <w:spacing w:before="40" w:after="40"/>
              <w:contextualSpacing w:val="0"/>
              <w:jc w:val="center"/>
              <w:rPr>
                <w:rFonts w:asciiTheme="minorHAnsi" w:hAnsiTheme="minorHAnsi" w:cstheme="minorHAnsi"/>
                <w:b/>
                <w:sz w:val="20"/>
                <w:szCs w:val="20"/>
              </w:rPr>
            </w:pPr>
            <w:r w:rsidRPr="00285133">
              <w:rPr>
                <w:rFonts w:asciiTheme="minorHAnsi" w:hAnsiTheme="minorHAnsi" w:cstheme="minorHAnsi"/>
                <w:b/>
                <w:sz w:val="20"/>
                <w:szCs w:val="20"/>
              </w:rPr>
              <w:t>2022</w:t>
            </w:r>
          </w:p>
        </w:tc>
        <w:tc>
          <w:tcPr>
            <w:tcW w:w="1134" w:type="dxa"/>
            <w:tcBorders>
              <w:top w:val="single" w:sz="8" w:space="0" w:color="auto"/>
            </w:tcBorders>
            <w:shd w:val="clear" w:color="auto" w:fill="D9E2F3" w:themeFill="accent5" w:themeFillTint="33"/>
            <w:hideMark/>
          </w:tcPr>
          <w:p w14:paraId="71BD942C" w14:textId="77777777" w:rsidR="000C1148" w:rsidRPr="00285133" w:rsidRDefault="000C1148" w:rsidP="00A92867">
            <w:pPr>
              <w:spacing w:before="40" w:after="40"/>
              <w:contextualSpacing w:val="0"/>
              <w:jc w:val="center"/>
              <w:rPr>
                <w:rFonts w:asciiTheme="minorHAnsi" w:hAnsiTheme="minorHAnsi" w:cstheme="minorHAnsi"/>
                <w:b/>
                <w:sz w:val="20"/>
                <w:szCs w:val="20"/>
              </w:rPr>
            </w:pPr>
            <w:r w:rsidRPr="00285133">
              <w:rPr>
                <w:rFonts w:asciiTheme="minorHAnsi" w:hAnsiTheme="minorHAnsi" w:cstheme="minorHAnsi"/>
                <w:b/>
                <w:sz w:val="20"/>
                <w:szCs w:val="20"/>
              </w:rPr>
              <w:t>2025</w:t>
            </w:r>
          </w:p>
        </w:tc>
        <w:tc>
          <w:tcPr>
            <w:tcW w:w="1134" w:type="dxa"/>
            <w:tcBorders>
              <w:top w:val="single" w:sz="8" w:space="0" w:color="auto"/>
            </w:tcBorders>
            <w:shd w:val="clear" w:color="auto" w:fill="D9E2F3" w:themeFill="accent5" w:themeFillTint="33"/>
            <w:hideMark/>
          </w:tcPr>
          <w:p w14:paraId="10EA4FC0" w14:textId="77777777" w:rsidR="000C1148" w:rsidRPr="00285133" w:rsidRDefault="000C1148" w:rsidP="00A92867">
            <w:pPr>
              <w:spacing w:before="40" w:after="40"/>
              <w:contextualSpacing w:val="0"/>
              <w:jc w:val="center"/>
              <w:rPr>
                <w:rFonts w:asciiTheme="minorHAnsi" w:hAnsiTheme="minorHAnsi" w:cstheme="minorHAnsi"/>
                <w:b/>
                <w:sz w:val="20"/>
                <w:szCs w:val="20"/>
              </w:rPr>
            </w:pPr>
            <w:r w:rsidRPr="00285133">
              <w:rPr>
                <w:rFonts w:asciiTheme="minorHAnsi" w:hAnsiTheme="minorHAnsi" w:cstheme="minorHAnsi"/>
                <w:b/>
                <w:sz w:val="20"/>
                <w:szCs w:val="20"/>
              </w:rPr>
              <w:t>2030</w:t>
            </w:r>
          </w:p>
        </w:tc>
        <w:tc>
          <w:tcPr>
            <w:tcW w:w="1134" w:type="dxa"/>
            <w:tcBorders>
              <w:top w:val="single" w:sz="8" w:space="0" w:color="auto"/>
            </w:tcBorders>
            <w:shd w:val="clear" w:color="auto" w:fill="D9E2F3" w:themeFill="accent5" w:themeFillTint="33"/>
            <w:hideMark/>
          </w:tcPr>
          <w:p w14:paraId="080244A8" w14:textId="77777777" w:rsidR="000C1148" w:rsidRPr="00285133" w:rsidRDefault="000C1148" w:rsidP="00A92867">
            <w:pPr>
              <w:spacing w:before="40" w:after="40"/>
              <w:contextualSpacing w:val="0"/>
              <w:jc w:val="center"/>
              <w:rPr>
                <w:rFonts w:asciiTheme="minorHAnsi" w:hAnsiTheme="minorHAnsi" w:cstheme="minorHAnsi"/>
                <w:b/>
                <w:sz w:val="20"/>
                <w:szCs w:val="20"/>
              </w:rPr>
            </w:pPr>
            <w:r w:rsidRPr="00285133">
              <w:rPr>
                <w:rFonts w:asciiTheme="minorHAnsi" w:hAnsiTheme="minorHAnsi" w:cstheme="minorHAnsi"/>
                <w:b/>
                <w:sz w:val="20"/>
                <w:szCs w:val="20"/>
              </w:rPr>
              <w:t>2035</w:t>
            </w:r>
          </w:p>
        </w:tc>
        <w:tc>
          <w:tcPr>
            <w:tcW w:w="1134" w:type="dxa"/>
            <w:tcBorders>
              <w:top w:val="single" w:sz="8" w:space="0" w:color="auto"/>
            </w:tcBorders>
            <w:shd w:val="clear" w:color="auto" w:fill="D9E2F3" w:themeFill="accent5" w:themeFillTint="33"/>
            <w:hideMark/>
          </w:tcPr>
          <w:p w14:paraId="5A109495" w14:textId="77777777" w:rsidR="000C1148" w:rsidRPr="00285133" w:rsidRDefault="000C1148" w:rsidP="00A92867">
            <w:pPr>
              <w:spacing w:before="40" w:after="40"/>
              <w:contextualSpacing w:val="0"/>
              <w:jc w:val="center"/>
              <w:rPr>
                <w:rFonts w:asciiTheme="minorHAnsi" w:hAnsiTheme="minorHAnsi" w:cstheme="minorHAnsi"/>
                <w:b/>
                <w:sz w:val="20"/>
                <w:szCs w:val="20"/>
              </w:rPr>
            </w:pPr>
            <w:r w:rsidRPr="00285133">
              <w:rPr>
                <w:rFonts w:asciiTheme="minorHAnsi" w:hAnsiTheme="minorHAnsi" w:cstheme="minorHAnsi"/>
                <w:b/>
                <w:sz w:val="20"/>
                <w:szCs w:val="20"/>
              </w:rPr>
              <w:t>2040</w:t>
            </w:r>
          </w:p>
        </w:tc>
      </w:tr>
      <w:tr w:rsidR="003524B2" w:rsidRPr="00285133" w14:paraId="0754BFFC" w14:textId="77777777" w:rsidTr="002F75BA">
        <w:tblPrEx>
          <w:tblBorders>
            <w:top w:val="single" w:sz="4" w:space="0" w:color="auto"/>
            <w:left w:val="single" w:sz="4" w:space="0" w:color="auto"/>
            <w:bottom w:val="single" w:sz="4" w:space="0" w:color="auto"/>
            <w:right w:val="single" w:sz="4" w:space="0" w:color="auto"/>
          </w:tblBorders>
        </w:tblPrEx>
        <w:trPr>
          <w:trHeight w:val="283"/>
        </w:trPr>
        <w:tc>
          <w:tcPr>
            <w:tcW w:w="3402" w:type="dxa"/>
            <w:shd w:val="clear" w:color="auto" w:fill="auto"/>
            <w:hideMark/>
          </w:tcPr>
          <w:p w14:paraId="0FC18AD7" w14:textId="6A73F037" w:rsidR="003524B2" w:rsidRPr="00285133" w:rsidRDefault="003524B2" w:rsidP="003524B2">
            <w:pPr>
              <w:keepNext/>
              <w:spacing w:before="40" w:after="40"/>
              <w:rPr>
                <w:rFonts w:asciiTheme="minorHAnsi" w:hAnsiTheme="minorHAnsi" w:cstheme="minorHAnsi"/>
                <w:sz w:val="20"/>
                <w:szCs w:val="20"/>
              </w:rPr>
            </w:pPr>
            <w:r w:rsidRPr="00285133">
              <w:rPr>
                <w:rFonts w:asciiTheme="minorHAnsi" w:hAnsiTheme="minorHAnsi" w:cstheme="minorHAnsi"/>
                <w:sz w:val="20"/>
                <w:szCs w:val="20"/>
              </w:rPr>
              <w:t>Energetika</w:t>
            </w:r>
          </w:p>
        </w:tc>
        <w:tc>
          <w:tcPr>
            <w:tcW w:w="1134" w:type="dxa"/>
            <w:shd w:val="clear" w:color="auto" w:fill="auto"/>
            <w:hideMark/>
          </w:tcPr>
          <w:p w14:paraId="0EF80258" w14:textId="5B8C6CA3"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10.140,8</w:t>
            </w:r>
          </w:p>
        </w:tc>
        <w:tc>
          <w:tcPr>
            <w:tcW w:w="1134" w:type="dxa"/>
            <w:shd w:val="clear" w:color="auto" w:fill="auto"/>
            <w:hideMark/>
          </w:tcPr>
          <w:p w14:paraId="5B7EB233" w14:textId="13C92466"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9.070,3</w:t>
            </w:r>
          </w:p>
        </w:tc>
        <w:tc>
          <w:tcPr>
            <w:tcW w:w="1134" w:type="dxa"/>
            <w:shd w:val="clear" w:color="auto" w:fill="auto"/>
            <w:hideMark/>
          </w:tcPr>
          <w:p w14:paraId="26872C44" w14:textId="308B9DC4"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7.445,4</w:t>
            </w:r>
          </w:p>
        </w:tc>
        <w:tc>
          <w:tcPr>
            <w:tcW w:w="1134" w:type="dxa"/>
            <w:shd w:val="clear" w:color="auto" w:fill="auto"/>
            <w:hideMark/>
          </w:tcPr>
          <w:p w14:paraId="2AB9E919" w14:textId="30D900B3"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5.762,0</w:t>
            </w:r>
          </w:p>
        </w:tc>
        <w:tc>
          <w:tcPr>
            <w:tcW w:w="1134" w:type="dxa"/>
            <w:shd w:val="clear" w:color="auto" w:fill="auto"/>
            <w:hideMark/>
          </w:tcPr>
          <w:p w14:paraId="393026FE" w14:textId="0CC776DA"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3.528,0</w:t>
            </w:r>
          </w:p>
        </w:tc>
      </w:tr>
      <w:tr w:rsidR="003524B2" w:rsidRPr="00285133" w14:paraId="15A227B7" w14:textId="77777777" w:rsidTr="002F75BA">
        <w:tblPrEx>
          <w:tblBorders>
            <w:top w:val="single" w:sz="4" w:space="0" w:color="auto"/>
            <w:left w:val="single" w:sz="4" w:space="0" w:color="auto"/>
            <w:bottom w:val="single" w:sz="4" w:space="0" w:color="auto"/>
            <w:right w:val="single" w:sz="4" w:space="0" w:color="auto"/>
          </w:tblBorders>
        </w:tblPrEx>
        <w:trPr>
          <w:trHeight w:val="283"/>
        </w:trPr>
        <w:tc>
          <w:tcPr>
            <w:tcW w:w="3402" w:type="dxa"/>
            <w:shd w:val="clear" w:color="auto" w:fill="auto"/>
            <w:hideMark/>
          </w:tcPr>
          <w:p w14:paraId="5955D4A0" w14:textId="55F4B5B8" w:rsidR="003524B2" w:rsidRPr="00285133" w:rsidRDefault="003524B2" w:rsidP="003524B2">
            <w:pPr>
              <w:keepNext/>
              <w:spacing w:before="40" w:after="40"/>
              <w:rPr>
                <w:rFonts w:asciiTheme="minorHAnsi" w:hAnsiTheme="minorHAnsi" w:cstheme="minorHAnsi"/>
                <w:sz w:val="20"/>
                <w:szCs w:val="20"/>
              </w:rPr>
            </w:pPr>
            <w:r w:rsidRPr="00285133">
              <w:rPr>
                <w:rFonts w:asciiTheme="minorHAnsi" w:hAnsiTheme="minorHAnsi" w:cstheme="minorHAnsi"/>
                <w:sz w:val="20"/>
                <w:szCs w:val="20"/>
              </w:rPr>
              <w:t>Promet</w:t>
            </w:r>
          </w:p>
        </w:tc>
        <w:tc>
          <w:tcPr>
            <w:tcW w:w="1134" w:type="dxa"/>
            <w:shd w:val="clear" w:color="auto" w:fill="auto"/>
            <w:hideMark/>
          </w:tcPr>
          <w:p w14:paraId="4CCAF32A" w14:textId="21823D5D"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6.310,0</w:t>
            </w:r>
          </w:p>
        </w:tc>
        <w:tc>
          <w:tcPr>
            <w:tcW w:w="1134" w:type="dxa"/>
            <w:shd w:val="clear" w:color="auto" w:fill="auto"/>
            <w:hideMark/>
          </w:tcPr>
          <w:p w14:paraId="20DF6176" w14:textId="03262133"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5.997,9</w:t>
            </w:r>
          </w:p>
        </w:tc>
        <w:tc>
          <w:tcPr>
            <w:tcW w:w="1134" w:type="dxa"/>
            <w:shd w:val="clear" w:color="auto" w:fill="auto"/>
            <w:hideMark/>
          </w:tcPr>
          <w:p w14:paraId="34AA9F1F" w14:textId="0D859E29"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5.610,4</w:t>
            </w:r>
          </w:p>
        </w:tc>
        <w:tc>
          <w:tcPr>
            <w:tcW w:w="1134" w:type="dxa"/>
            <w:shd w:val="clear" w:color="auto" w:fill="auto"/>
            <w:hideMark/>
          </w:tcPr>
          <w:p w14:paraId="10A72508" w14:textId="694D2BAA"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4.377,3</w:t>
            </w:r>
          </w:p>
        </w:tc>
        <w:tc>
          <w:tcPr>
            <w:tcW w:w="1134" w:type="dxa"/>
            <w:shd w:val="clear" w:color="auto" w:fill="auto"/>
            <w:hideMark/>
          </w:tcPr>
          <w:p w14:paraId="7744634B" w14:textId="0CDC1250"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3.147,4</w:t>
            </w:r>
          </w:p>
        </w:tc>
      </w:tr>
      <w:tr w:rsidR="003524B2" w:rsidRPr="00285133" w14:paraId="7599E310" w14:textId="77777777" w:rsidTr="002F75BA">
        <w:tblPrEx>
          <w:tblBorders>
            <w:top w:val="single" w:sz="4" w:space="0" w:color="auto"/>
            <w:left w:val="single" w:sz="4" w:space="0" w:color="auto"/>
            <w:bottom w:val="single" w:sz="4" w:space="0" w:color="auto"/>
            <w:right w:val="single" w:sz="4" w:space="0" w:color="auto"/>
          </w:tblBorders>
        </w:tblPrEx>
        <w:trPr>
          <w:trHeight w:val="283"/>
        </w:trPr>
        <w:tc>
          <w:tcPr>
            <w:tcW w:w="3402" w:type="dxa"/>
            <w:shd w:val="clear" w:color="auto" w:fill="auto"/>
            <w:hideMark/>
          </w:tcPr>
          <w:p w14:paraId="08DA4783" w14:textId="2D47C5BA" w:rsidR="003524B2" w:rsidRPr="00285133" w:rsidRDefault="003524B2" w:rsidP="003524B2">
            <w:pPr>
              <w:keepNext/>
              <w:spacing w:before="40" w:after="40"/>
              <w:rPr>
                <w:rFonts w:asciiTheme="minorHAnsi" w:hAnsiTheme="minorHAnsi" w:cstheme="minorHAnsi"/>
                <w:sz w:val="20"/>
                <w:szCs w:val="20"/>
              </w:rPr>
            </w:pPr>
            <w:r w:rsidRPr="00285133">
              <w:rPr>
                <w:rFonts w:asciiTheme="minorHAnsi" w:hAnsiTheme="minorHAnsi" w:cstheme="minorHAnsi"/>
                <w:sz w:val="20"/>
                <w:szCs w:val="20"/>
              </w:rPr>
              <w:t>Industrijski procesi i upotreba proizvoda</w:t>
            </w:r>
          </w:p>
        </w:tc>
        <w:tc>
          <w:tcPr>
            <w:tcW w:w="1134" w:type="dxa"/>
            <w:shd w:val="clear" w:color="auto" w:fill="auto"/>
            <w:hideMark/>
          </w:tcPr>
          <w:p w14:paraId="38F630A0" w14:textId="3682535E"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3.277,1</w:t>
            </w:r>
          </w:p>
        </w:tc>
        <w:tc>
          <w:tcPr>
            <w:tcW w:w="1134" w:type="dxa"/>
            <w:shd w:val="clear" w:color="auto" w:fill="auto"/>
            <w:hideMark/>
          </w:tcPr>
          <w:p w14:paraId="57B44144" w14:textId="33E7E362"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3.216,5</w:t>
            </w:r>
          </w:p>
        </w:tc>
        <w:tc>
          <w:tcPr>
            <w:tcW w:w="1134" w:type="dxa"/>
            <w:shd w:val="clear" w:color="auto" w:fill="auto"/>
            <w:hideMark/>
          </w:tcPr>
          <w:p w14:paraId="3938B10F" w14:textId="624217CE"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2.092,6</w:t>
            </w:r>
          </w:p>
        </w:tc>
        <w:tc>
          <w:tcPr>
            <w:tcW w:w="1134" w:type="dxa"/>
            <w:shd w:val="clear" w:color="auto" w:fill="auto"/>
            <w:hideMark/>
          </w:tcPr>
          <w:p w14:paraId="4EED60BE" w14:textId="69B6A431"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1.835,2</w:t>
            </w:r>
          </w:p>
        </w:tc>
        <w:tc>
          <w:tcPr>
            <w:tcW w:w="1134" w:type="dxa"/>
            <w:shd w:val="clear" w:color="auto" w:fill="auto"/>
            <w:hideMark/>
          </w:tcPr>
          <w:p w14:paraId="03A54021" w14:textId="1E3F06F2"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1.140,7</w:t>
            </w:r>
          </w:p>
        </w:tc>
      </w:tr>
      <w:tr w:rsidR="003524B2" w:rsidRPr="00285133" w14:paraId="76B6A170" w14:textId="77777777" w:rsidTr="002F75BA">
        <w:tblPrEx>
          <w:tblBorders>
            <w:top w:val="single" w:sz="4" w:space="0" w:color="auto"/>
            <w:left w:val="single" w:sz="4" w:space="0" w:color="auto"/>
            <w:bottom w:val="single" w:sz="4" w:space="0" w:color="auto"/>
            <w:right w:val="single" w:sz="4" w:space="0" w:color="auto"/>
          </w:tblBorders>
        </w:tblPrEx>
        <w:trPr>
          <w:trHeight w:val="283"/>
        </w:trPr>
        <w:tc>
          <w:tcPr>
            <w:tcW w:w="3402" w:type="dxa"/>
            <w:shd w:val="clear" w:color="auto" w:fill="auto"/>
            <w:hideMark/>
          </w:tcPr>
          <w:p w14:paraId="2BA8DC0B" w14:textId="0711C7E0" w:rsidR="003524B2" w:rsidRPr="00285133" w:rsidRDefault="003524B2" w:rsidP="003524B2">
            <w:pPr>
              <w:keepNext/>
              <w:spacing w:before="40" w:after="40"/>
              <w:rPr>
                <w:rFonts w:asciiTheme="minorHAnsi" w:hAnsiTheme="minorHAnsi" w:cstheme="minorHAnsi"/>
                <w:sz w:val="20"/>
                <w:szCs w:val="20"/>
              </w:rPr>
            </w:pPr>
            <w:r w:rsidRPr="00285133">
              <w:rPr>
                <w:rFonts w:asciiTheme="minorHAnsi" w:hAnsiTheme="minorHAnsi" w:cstheme="minorHAnsi"/>
                <w:sz w:val="20"/>
                <w:szCs w:val="20"/>
              </w:rPr>
              <w:t>Otpad</w:t>
            </w:r>
          </w:p>
        </w:tc>
        <w:tc>
          <w:tcPr>
            <w:tcW w:w="1134" w:type="dxa"/>
            <w:shd w:val="clear" w:color="auto" w:fill="auto"/>
            <w:hideMark/>
          </w:tcPr>
          <w:p w14:paraId="080E55F6" w14:textId="6069839C"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1.935,3</w:t>
            </w:r>
          </w:p>
        </w:tc>
        <w:tc>
          <w:tcPr>
            <w:tcW w:w="1134" w:type="dxa"/>
            <w:shd w:val="clear" w:color="auto" w:fill="auto"/>
            <w:hideMark/>
          </w:tcPr>
          <w:p w14:paraId="2904682E" w14:textId="5C2814B2"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1.681,7</w:t>
            </w:r>
          </w:p>
        </w:tc>
        <w:tc>
          <w:tcPr>
            <w:tcW w:w="1134" w:type="dxa"/>
            <w:shd w:val="clear" w:color="auto" w:fill="auto"/>
            <w:hideMark/>
          </w:tcPr>
          <w:p w14:paraId="291D6DD3" w14:textId="1131E5C8"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1.252,7</w:t>
            </w:r>
          </w:p>
        </w:tc>
        <w:tc>
          <w:tcPr>
            <w:tcW w:w="1134" w:type="dxa"/>
            <w:shd w:val="clear" w:color="auto" w:fill="auto"/>
            <w:hideMark/>
          </w:tcPr>
          <w:p w14:paraId="690B0B92" w14:textId="27D3CCDE"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1.081,6</w:t>
            </w:r>
          </w:p>
        </w:tc>
        <w:tc>
          <w:tcPr>
            <w:tcW w:w="1134" w:type="dxa"/>
            <w:shd w:val="clear" w:color="auto" w:fill="auto"/>
            <w:hideMark/>
          </w:tcPr>
          <w:p w14:paraId="67C7CAA9" w14:textId="014B4113"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914,2</w:t>
            </w:r>
          </w:p>
        </w:tc>
      </w:tr>
      <w:tr w:rsidR="003524B2" w:rsidRPr="00285133" w14:paraId="2F64D88D" w14:textId="77777777" w:rsidTr="002F75BA">
        <w:tblPrEx>
          <w:tblBorders>
            <w:top w:val="single" w:sz="4" w:space="0" w:color="auto"/>
            <w:left w:val="single" w:sz="4" w:space="0" w:color="auto"/>
            <w:bottom w:val="single" w:sz="4" w:space="0" w:color="auto"/>
            <w:right w:val="single" w:sz="4" w:space="0" w:color="auto"/>
          </w:tblBorders>
        </w:tblPrEx>
        <w:trPr>
          <w:trHeight w:val="283"/>
        </w:trPr>
        <w:tc>
          <w:tcPr>
            <w:tcW w:w="3402" w:type="dxa"/>
            <w:shd w:val="clear" w:color="auto" w:fill="auto"/>
            <w:hideMark/>
          </w:tcPr>
          <w:p w14:paraId="575C430B" w14:textId="7EC671EF" w:rsidR="003524B2" w:rsidRPr="00285133" w:rsidRDefault="003524B2" w:rsidP="003524B2">
            <w:pPr>
              <w:keepNext/>
              <w:spacing w:before="40" w:after="40"/>
              <w:rPr>
                <w:rFonts w:asciiTheme="minorHAnsi" w:hAnsiTheme="minorHAnsi" w:cstheme="minorHAnsi"/>
                <w:sz w:val="20"/>
                <w:szCs w:val="20"/>
              </w:rPr>
            </w:pPr>
            <w:r w:rsidRPr="00285133">
              <w:rPr>
                <w:rFonts w:asciiTheme="minorHAnsi" w:hAnsiTheme="minorHAnsi" w:cstheme="minorHAnsi"/>
                <w:sz w:val="20"/>
                <w:szCs w:val="20"/>
              </w:rPr>
              <w:t>Poljoprivreda</w:t>
            </w:r>
          </w:p>
        </w:tc>
        <w:tc>
          <w:tcPr>
            <w:tcW w:w="1134" w:type="dxa"/>
            <w:shd w:val="clear" w:color="auto" w:fill="auto"/>
            <w:hideMark/>
          </w:tcPr>
          <w:p w14:paraId="0984D27E" w14:textId="32A184A5"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2.467,9</w:t>
            </w:r>
          </w:p>
        </w:tc>
        <w:tc>
          <w:tcPr>
            <w:tcW w:w="1134" w:type="dxa"/>
            <w:shd w:val="clear" w:color="auto" w:fill="auto"/>
            <w:hideMark/>
          </w:tcPr>
          <w:p w14:paraId="478BE8EA" w14:textId="3498A8AA"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2.487,4</w:t>
            </w:r>
          </w:p>
        </w:tc>
        <w:tc>
          <w:tcPr>
            <w:tcW w:w="1134" w:type="dxa"/>
            <w:shd w:val="clear" w:color="auto" w:fill="auto"/>
            <w:hideMark/>
          </w:tcPr>
          <w:p w14:paraId="5D733B3D" w14:textId="01832594"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2.430,5</w:t>
            </w:r>
          </w:p>
        </w:tc>
        <w:tc>
          <w:tcPr>
            <w:tcW w:w="1134" w:type="dxa"/>
            <w:shd w:val="clear" w:color="auto" w:fill="auto"/>
            <w:hideMark/>
          </w:tcPr>
          <w:p w14:paraId="28B47205" w14:textId="280278B1"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2.380,8</w:t>
            </w:r>
          </w:p>
        </w:tc>
        <w:tc>
          <w:tcPr>
            <w:tcW w:w="1134" w:type="dxa"/>
            <w:shd w:val="clear" w:color="auto" w:fill="auto"/>
            <w:hideMark/>
          </w:tcPr>
          <w:p w14:paraId="2D870202" w14:textId="4EF2D30D"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2.331,9</w:t>
            </w:r>
          </w:p>
        </w:tc>
      </w:tr>
      <w:tr w:rsidR="003524B2" w:rsidRPr="00285133" w14:paraId="00761188" w14:textId="77777777" w:rsidTr="002F75BA">
        <w:tblPrEx>
          <w:tblBorders>
            <w:top w:val="single" w:sz="4" w:space="0" w:color="auto"/>
            <w:left w:val="single" w:sz="4" w:space="0" w:color="auto"/>
            <w:bottom w:val="single" w:sz="4" w:space="0" w:color="auto"/>
            <w:right w:val="single" w:sz="4" w:space="0" w:color="auto"/>
          </w:tblBorders>
        </w:tblPrEx>
        <w:trPr>
          <w:trHeight w:val="283"/>
        </w:trPr>
        <w:tc>
          <w:tcPr>
            <w:tcW w:w="3402" w:type="dxa"/>
            <w:shd w:val="clear" w:color="auto" w:fill="auto"/>
            <w:hideMark/>
          </w:tcPr>
          <w:p w14:paraId="4AD45A2F" w14:textId="135C57B1" w:rsidR="003524B2" w:rsidRPr="00285133" w:rsidRDefault="003524B2" w:rsidP="003524B2">
            <w:pPr>
              <w:keepNext/>
              <w:spacing w:before="40" w:after="40"/>
              <w:rPr>
                <w:rFonts w:asciiTheme="minorHAnsi" w:hAnsiTheme="minorHAnsi" w:cstheme="minorHAnsi"/>
                <w:sz w:val="20"/>
                <w:szCs w:val="20"/>
              </w:rPr>
            </w:pPr>
            <w:r w:rsidRPr="00285133">
              <w:rPr>
                <w:rFonts w:asciiTheme="minorHAnsi" w:hAnsiTheme="minorHAnsi" w:cstheme="minorHAnsi"/>
                <w:sz w:val="20"/>
                <w:szCs w:val="20"/>
              </w:rPr>
              <w:t>LULUCF</w:t>
            </w:r>
          </w:p>
        </w:tc>
        <w:tc>
          <w:tcPr>
            <w:tcW w:w="1134" w:type="dxa"/>
            <w:shd w:val="clear" w:color="auto" w:fill="auto"/>
            <w:hideMark/>
          </w:tcPr>
          <w:p w14:paraId="4F94A96B" w14:textId="03D718A3"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-4.867,2</w:t>
            </w:r>
          </w:p>
        </w:tc>
        <w:tc>
          <w:tcPr>
            <w:tcW w:w="1134" w:type="dxa"/>
            <w:shd w:val="clear" w:color="auto" w:fill="auto"/>
            <w:hideMark/>
          </w:tcPr>
          <w:p w14:paraId="153460BD" w14:textId="00D2A7EC"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-4.533,9</w:t>
            </w:r>
          </w:p>
        </w:tc>
        <w:tc>
          <w:tcPr>
            <w:tcW w:w="1134" w:type="dxa"/>
            <w:shd w:val="clear" w:color="auto" w:fill="auto"/>
            <w:hideMark/>
          </w:tcPr>
          <w:p w14:paraId="156FF799" w14:textId="4062B25A"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-3.957,9</w:t>
            </w:r>
          </w:p>
        </w:tc>
        <w:tc>
          <w:tcPr>
            <w:tcW w:w="1134" w:type="dxa"/>
            <w:shd w:val="clear" w:color="auto" w:fill="auto"/>
            <w:hideMark/>
          </w:tcPr>
          <w:p w14:paraId="037A6042" w14:textId="10E3FFE6"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-3.941,0</w:t>
            </w:r>
          </w:p>
        </w:tc>
        <w:tc>
          <w:tcPr>
            <w:tcW w:w="1134" w:type="dxa"/>
            <w:shd w:val="clear" w:color="auto" w:fill="auto"/>
            <w:hideMark/>
          </w:tcPr>
          <w:p w14:paraId="08CB75E2" w14:textId="524A40B3" w:rsidR="003524B2" w:rsidRPr="00285133" w:rsidRDefault="003524B2" w:rsidP="003524B2">
            <w:pPr>
              <w:spacing w:before="40" w:after="40"/>
              <w:contextualSpacing w:val="0"/>
              <w:jc w:val="right"/>
              <w:rPr>
                <w:rFonts w:asciiTheme="minorHAnsi" w:hAnsiTheme="minorHAnsi" w:cstheme="minorHAnsi"/>
                <w:sz w:val="20"/>
                <w:szCs w:val="20"/>
              </w:rPr>
            </w:pPr>
            <w:r w:rsidRPr="00285133">
              <w:rPr>
                <w:rFonts w:asciiTheme="minorHAnsi" w:hAnsiTheme="minorHAnsi" w:cstheme="minorHAnsi"/>
                <w:sz w:val="20"/>
                <w:szCs w:val="20"/>
              </w:rPr>
              <w:t>-4.247,2</w:t>
            </w:r>
          </w:p>
        </w:tc>
      </w:tr>
      <w:tr w:rsidR="003524B2" w:rsidRPr="00285133" w14:paraId="2CA0A215" w14:textId="77777777" w:rsidTr="002F75BA">
        <w:tblPrEx>
          <w:tblBorders>
            <w:top w:val="single" w:sz="4" w:space="0" w:color="auto"/>
            <w:left w:val="single" w:sz="4" w:space="0" w:color="auto"/>
            <w:bottom w:val="single" w:sz="4" w:space="0" w:color="auto"/>
            <w:right w:val="single" w:sz="4" w:space="0" w:color="auto"/>
          </w:tblBorders>
        </w:tblPrEx>
        <w:trPr>
          <w:trHeight w:val="283"/>
        </w:trPr>
        <w:tc>
          <w:tcPr>
            <w:tcW w:w="3402" w:type="dxa"/>
            <w:shd w:val="clear" w:color="auto" w:fill="auto"/>
            <w:hideMark/>
          </w:tcPr>
          <w:p w14:paraId="4C8B4B3F" w14:textId="153C7537" w:rsidR="003524B2" w:rsidRPr="00285133" w:rsidRDefault="003524B2" w:rsidP="003524B2">
            <w:pPr>
              <w:keepNext/>
              <w:spacing w:before="40" w:after="40"/>
              <w:rPr>
                <w:rFonts w:asciiTheme="minorHAnsi" w:hAnsiTheme="minorHAnsi" w:cstheme="minorHAnsi"/>
                <w:b/>
                <w:bCs/>
                <w:sz w:val="20"/>
                <w:szCs w:val="20"/>
              </w:rPr>
            </w:pPr>
            <w:r w:rsidRPr="00285133">
              <w:rPr>
                <w:rFonts w:asciiTheme="minorHAnsi" w:hAnsiTheme="minorHAnsi" w:cstheme="minorHAnsi"/>
                <w:b/>
                <w:bCs/>
                <w:sz w:val="20"/>
                <w:szCs w:val="20"/>
              </w:rPr>
              <w:t>Ukupno (bez LULUCF)</w:t>
            </w:r>
          </w:p>
        </w:tc>
        <w:tc>
          <w:tcPr>
            <w:tcW w:w="1134" w:type="dxa"/>
            <w:shd w:val="clear" w:color="auto" w:fill="auto"/>
            <w:hideMark/>
          </w:tcPr>
          <w:p w14:paraId="16D29C9D" w14:textId="34CF7B06" w:rsidR="003524B2" w:rsidRPr="00285133" w:rsidRDefault="003524B2" w:rsidP="003524B2">
            <w:pPr>
              <w:spacing w:before="40" w:after="40"/>
              <w:contextualSpacing w:val="0"/>
              <w:jc w:val="right"/>
              <w:rPr>
                <w:rFonts w:asciiTheme="minorHAnsi" w:hAnsiTheme="minorHAnsi" w:cstheme="minorHAnsi"/>
                <w:b/>
                <w:bCs/>
                <w:sz w:val="20"/>
                <w:szCs w:val="20"/>
              </w:rPr>
            </w:pPr>
            <w:r w:rsidRPr="00285133">
              <w:rPr>
                <w:rFonts w:asciiTheme="minorHAnsi" w:hAnsiTheme="minorHAnsi" w:cstheme="minorHAnsi"/>
                <w:b/>
                <w:bCs/>
                <w:sz w:val="20"/>
                <w:szCs w:val="20"/>
              </w:rPr>
              <w:t>24.552,0</w:t>
            </w:r>
          </w:p>
        </w:tc>
        <w:tc>
          <w:tcPr>
            <w:tcW w:w="1134" w:type="dxa"/>
            <w:shd w:val="clear" w:color="auto" w:fill="auto"/>
          </w:tcPr>
          <w:p w14:paraId="28CEE11E" w14:textId="602BE786" w:rsidR="003524B2" w:rsidRPr="00285133" w:rsidRDefault="003524B2" w:rsidP="003524B2">
            <w:pPr>
              <w:spacing w:before="40" w:after="40"/>
              <w:contextualSpacing w:val="0"/>
              <w:jc w:val="right"/>
              <w:rPr>
                <w:rFonts w:asciiTheme="minorHAnsi" w:hAnsiTheme="minorHAnsi" w:cstheme="minorHAnsi"/>
                <w:b/>
                <w:bCs/>
                <w:sz w:val="20"/>
                <w:szCs w:val="20"/>
              </w:rPr>
            </w:pPr>
            <w:r w:rsidRPr="00285133">
              <w:rPr>
                <w:rFonts w:asciiTheme="minorHAnsi" w:hAnsiTheme="minorHAnsi" w:cstheme="minorHAnsi"/>
                <w:b/>
                <w:bCs/>
                <w:sz w:val="20"/>
                <w:szCs w:val="20"/>
              </w:rPr>
              <w:t>22.453,8</w:t>
            </w:r>
          </w:p>
        </w:tc>
        <w:tc>
          <w:tcPr>
            <w:tcW w:w="1134" w:type="dxa"/>
            <w:shd w:val="clear" w:color="auto" w:fill="auto"/>
          </w:tcPr>
          <w:p w14:paraId="239F0A93" w14:textId="17960FF1" w:rsidR="003524B2" w:rsidRPr="00285133" w:rsidRDefault="003524B2" w:rsidP="003524B2">
            <w:pPr>
              <w:spacing w:before="40" w:after="40"/>
              <w:contextualSpacing w:val="0"/>
              <w:jc w:val="right"/>
              <w:rPr>
                <w:rFonts w:asciiTheme="minorHAnsi" w:hAnsiTheme="minorHAnsi" w:cstheme="minorHAnsi"/>
                <w:b/>
                <w:bCs/>
                <w:sz w:val="20"/>
                <w:szCs w:val="20"/>
              </w:rPr>
            </w:pPr>
            <w:r w:rsidRPr="00285133">
              <w:rPr>
                <w:rFonts w:asciiTheme="minorHAnsi" w:hAnsiTheme="minorHAnsi" w:cstheme="minorHAnsi"/>
                <w:b/>
                <w:bCs/>
                <w:sz w:val="20"/>
                <w:szCs w:val="20"/>
              </w:rPr>
              <w:t>18.831,5</w:t>
            </w:r>
          </w:p>
        </w:tc>
        <w:tc>
          <w:tcPr>
            <w:tcW w:w="1134" w:type="dxa"/>
            <w:shd w:val="clear" w:color="auto" w:fill="auto"/>
          </w:tcPr>
          <w:p w14:paraId="2765789A" w14:textId="51BF3E41" w:rsidR="003524B2" w:rsidRPr="00285133" w:rsidRDefault="003524B2" w:rsidP="003524B2">
            <w:pPr>
              <w:spacing w:before="40" w:after="40"/>
              <w:contextualSpacing w:val="0"/>
              <w:jc w:val="right"/>
              <w:rPr>
                <w:rFonts w:asciiTheme="minorHAnsi" w:hAnsiTheme="minorHAnsi" w:cstheme="minorHAnsi"/>
                <w:b/>
                <w:bCs/>
                <w:sz w:val="20"/>
                <w:szCs w:val="20"/>
              </w:rPr>
            </w:pPr>
            <w:r w:rsidRPr="00285133">
              <w:rPr>
                <w:rFonts w:asciiTheme="minorHAnsi" w:hAnsiTheme="minorHAnsi" w:cstheme="minorHAnsi"/>
                <w:b/>
                <w:bCs/>
                <w:sz w:val="20"/>
                <w:szCs w:val="20"/>
              </w:rPr>
              <w:t>15.436,9</w:t>
            </w:r>
          </w:p>
        </w:tc>
        <w:tc>
          <w:tcPr>
            <w:tcW w:w="1134" w:type="dxa"/>
            <w:shd w:val="clear" w:color="auto" w:fill="auto"/>
          </w:tcPr>
          <w:p w14:paraId="7AD0858E" w14:textId="086CC0AE" w:rsidR="003524B2" w:rsidRPr="00285133" w:rsidRDefault="003524B2" w:rsidP="003524B2">
            <w:pPr>
              <w:spacing w:before="40" w:after="40"/>
              <w:contextualSpacing w:val="0"/>
              <w:jc w:val="right"/>
              <w:rPr>
                <w:rFonts w:asciiTheme="minorHAnsi" w:hAnsiTheme="minorHAnsi" w:cstheme="minorHAnsi"/>
                <w:b/>
                <w:bCs/>
                <w:sz w:val="20"/>
                <w:szCs w:val="20"/>
              </w:rPr>
            </w:pPr>
            <w:r w:rsidRPr="00285133">
              <w:rPr>
                <w:rFonts w:asciiTheme="minorHAnsi" w:hAnsiTheme="minorHAnsi" w:cstheme="minorHAnsi"/>
                <w:b/>
                <w:bCs/>
                <w:sz w:val="20"/>
                <w:szCs w:val="20"/>
              </w:rPr>
              <w:t>11.062,2</w:t>
            </w:r>
          </w:p>
        </w:tc>
      </w:tr>
      <w:tr w:rsidR="003524B2" w:rsidRPr="00285133" w14:paraId="27EF8E99" w14:textId="77777777" w:rsidTr="002F75BA">
        <w:tblPrEx>
          <w:tblBorders>
            <w:top w:val="single" w:sz="4" w:space="0" w:color="auto"/>
            <w:left w:val="single" w:sz="4" w:space="0" w:color="auto"/>
            <w:bottom w:val="single" w:sz="4" w:space="0" w:color="auto"/>
            <w:right w:val="single" w:sz="4" w:space="0" w:color="auto"/>
          </w:tblBorders>
        </w:tblPrEx>
        <w:trPr>
          <w:trHeight w:val="283"/>
        </w:trPr>
        <w:tc>
          <w:tcPr>
            <w:tcW w:w="3402" w:type="dxa"/>
            <w:shd w:val="clear" w:color="auto" w:fill="auto"/>
            <w:hideMark/>
          </w:tcPr>
          <w:p w14:paraId="2976BF18" w14:textId="29B748E4" w:rsidR="003524B2" w:rsidRPr="00123DE4" w:rsidRDefault="003524B2" w:rsidP="003524B2">
            <w:pPr>
              <w:spacing w:before="40" w:after="40"/>
              <w:rPr>
                <w:rFonts w:asciiTheme="minorHAnsi" w:hAnsiTheme="minorHAnsi" w:cstheme="minorHAnsi"/>
                <w:b/>
                <w:bCs/>
                <w:sz w:val="20"/>
                <w:szCs w:val="20"/>
              </w:rPr>
            </w:pPr>
            <w:r w:rsidRPr="00123DE4">
              <w:rPr>
                <w:rFonts w:asciiTheme="minorHAnsi" w:hAnsiTheme="minorHAnsi" w:cstheme="minorHAnsi"/>
                <w:b/>
                <w:bCs/>
                <w:sz w:val="20"/>
                <w:szCs w:val="20"/>
              </w:rPr>
              <w:t>Ukupno (uključujući LULUCF)</w:t>
            </w:r>
          </w:p>
        </w:tc>
        <w:tc>
          <w:tcPr>
            <w:tcW w:w="1134" w:type="dxa"/>
            <w:shd w:val="clear" w:color="auto" w:fill="auto"/>
            <w:hideMark/>
          </w:tcPr>
          <w:p w14:paraId="4B8DCFCA" w14:textId="60E17FE7" w:rsidR="003524B2" w:rsidRPr="00123DE4" w:rsidRDefault="003524B2" w:rsidP="003524B2">
            <w:pPr>
              <w:spacing w:before="40" w:after="40"/>
              <w:contextualSpacing w:val="0"/>
              <w:jc w:val="right"/>
              <w:rPr>
                <w:rFonts w:asciiTheme="minorHAnsi" w:hAnsiTheme="minorHAnsi" w:cstheme="minorHAnsi"/>
                <w:b/>
                <w:bCs/>
                <w:sz w:val="20"/>
                <w:szCs w:val="20"/>
              </w:rPr>
            </w:pPr>
            <w:r w:rsidRPr="00123DE4">
              <w:rPr>
                <w:rFonts w:asciiTheme="minorHAnsi" w:hAnsiTheme="minorHAnsi" w:cstheme="minorHAnsi"/>
                <w:b/>
                <w:bCs/>
                <w:sz w:val="20"/>
                <w:szCs w:val="20"/>
              </w:rPr>
              <w:t>19.684,8</w:t>
            </w:r>
          </w:p>
        </w:tc>
        <w:tc>
          <w:tcPr>
            <w:tcW w:w="1134" w:type="dxa"/>
            <w:shd w:val="clear" w:color="auto" w:fill="auto"/>
          </w:tcPr>
          <w:p w14:paraId="1A694A95" w14:textId="20EE282E" w:rsidR="003524B2" w:rsidRPr="00123DE4" w:rsidRDefault="003524B2" w:rsidP="003524B2">
            <w:pPr>
              <w:spacing w:before="40" w:after="40"/>
              <w:contextualSpacing w:val="0"/>
              <w:jc w:val="right"/>
              <w:rPr>
                <w:rFonts w:asciiTheme="minorHAnsi" w:hAnsiTheme="minorHAnsi" w:cstheme="minorHAnsi"/>
                <w:b/>
                <w:bCs/>
                <w:sz w:val="20"/>
                <w:szCs w:val="20"/>
              </w:rPr>
            </w:pPr>
            <w:r w:rsidRPr="00123DE4">
              <w:rPr>
                <w:rFonts w:asciiTheme="minorHAnsi" w:hAnsiTheme="minorHAnsi" w:cstheme="minorHAnsi"/>
                <w:b/>
                <w:bCs/>
                <w:sz w:val="20"/>
                <w:szCs w:val="20"/>
              </w:rPr>
              <w:t>17.919,9</w:t>
            </w:r>
          </w:p>
        </w:tc>
        <w:tc>
          <w:tcPr>
            <w:tcW w:w="1134" w:type="dxa"/>
            <w:shd w:val="clear" w:color="auto" w:fill="auto"/>
          </w:tcPr>
          <w:p w14:paraId="545EF392" w14:textId="38EB5B45" w:rsidR="003524B2" w:rsidRPr="00123DE4" w:rsidRDefault="003524B2" w:rsidP="003524B2">
            <w:pPr>
              <w:spacing w:before="40" w:after="40"/>
              <w:contextualSpacing w:val="0"/>
              <w:jc w:val="right"/>
              <w:rPr>
                <w:rFonts w:asciiTheme="minorHAnsi" w:hAnsiTheme="minorHAnsi" w:cstheme="minorHAnsi"/>
                <w:b/>
                <w:bCs/>
                <w:sz w:val="20"/>
                <w:szCs w:val="20"/>
              </w:rPr>
            </w:pPr>
            <w:r w:rsidRPr="00123DE4">
              <w:rPr>
                <w:rFonts w:asciiTheme="minorHAnsi" w:hAnsiTheme="minorHAnsi" w:cstheme="minorHAnsi"/>
                <w:b/>
                <w:bCs/>
                <w:sz w:val="20"/>
                <w:szCs w:val="20"/>
              </w:rPr>
              <w:t>14.873,6</w:t>
            </w:r>
          </w:p>
        </w:tc>
        <w:tc>
          <w:tcPr>
            <w:tcW w:w="1134" w:type="dxa"/>
            <w:shd w:val="clear" w:color="auto" w:fill="auto"/>
          </w:tcPr>
          <w:p w14:paraId="59B2FFC7" w14:textId="7045CA51" w:rsidR="003524B2" w:rsidRPr="00123DE4" w:rsidRDefault="003524B2" w:rsidP="003524B2">
            <w:pPr>
              <w:spacing w:before="40" w:after="40"/>
              <w:contextualSpacing w:val="0"/>
              <w:jc w:val="right"/>
              <w:rPr>
                <w:rFonts w:asciiTheme="minorHAnsi" w:hAnsiTheme="minorHAnsi" w:cstheme="minorHAnsi"/>
                <w:b/>
                <w:bCs/>
                <w:sz w:val="20"/>
                <w:szCs w:val="20"/>
              </w:rPr>
            </w:pPr>
            <w:r w:rsidRPr="00123DE4">
              <w:rPr>
                <w:rFonts w:asciiTheme="minorHAnsi" w:hAnsiTheme="minorHAnsi" w:cstheme="minorHAnsi"/>
                <w:b/>
                <w:bCs/>
                <w:sz w:val="20"/>
                <w:szCs w:val="20"/>
              </w:rPr>
              <w:t>11.495,9</w:t>
            </w:r>
          </w:p>
        </w:tc>
        <w:tc>
          <w:tcPr>
            <w:tcW w:w="1134" w:type="dxa"/>
            <w:shd w:val="clear" w:color="auto" w:fill="auto"/>
          </w:tcPr>
          <w:p w14:paraId="430B6A08" w14:textId="6042856D" w:rsidR="003524B2" w:rsidRPr="00123DE4" w:rsidRDefault="003524B2" w:rsidP="003524B2">
            <w:pPr>
              <w:spacing w:before="40" w:after="40"/>
              <w:contextualSpacing w:val="0"/>
              <w:jc w:val="right"/>
              <w:rPr>
                <w:rFonts w:asciiTheme="minorHAnsi" w:hAnsiTheme="minorHAnsi" w:cstheme="minorHAnsi"/>
                <w:b/>
                <w:bCs/>
                <w:sz w:val="20"/>
                <w:szCs w:val="20"/>
              </w:rPr>
            </w:pPr>
            <w:r w:rsidRPr="00123DE4">
              <w:rPr>
                <w:rFonts w:asciiTheme="minorHAnsi" w:hAnsiTheme="minorHAnsi" w:cstheme="minorHAnsi"/>
                <w:b/>
                <w:bCs/>
                <w:sz w:val="20"/>
                <w:szCs w:val="20"/>
              </w:rPr>
              <w:t>6.814,9</w:t>
            </w:r>
          </w:p>
        </w:tc>
      </w:tr>
    </w:tbl>
    <w:p w14:paraId="4BF1E4BA" w14:textId="401984F2" w:rsidR="001C5741" w:rsidRPr="00D97020" w:rsidRDefault="00B821BC" w:rsidP="00B821BC">
      <w:pPr>
        <w:rPr>
          <w:i/>
          <w:iCs/>
        </w:rPr>
      </w:pPr>
      <w:r w:rsidRPr="00D97020">
        <w:rPr>
          <w:i/>
          <w:iCs/>
        </w:rPr>
        <w:t xml:space="preserve">* - ne uključuje emisije iz međunarodnog pomorskog </w:t>
      </w:r>
      <w:r w:rsidR="00D97020" w:rsidRPr="00D97020">
        <w:rPr>
          <w:i/>
          <w:iCs/>
        </w:rPr>
        <w:t>i zračnog prometa</w:t>
      </w:r>
    </w:p>
    <w:p w14:paraId="50FEA11A" w14:textId="34983134" w:rsidR="00FC780E" w:rsidRDefault="00FC780E" w:rsidP="00FC780E">
      <w:r>
        <w:t>Ciljna vrijednost neto uklanjanja u 2030. godini za Republiku Hrvatsku iznosi -5.527 ktCO</w:t>
      </w:r>
      <w:r w:rsidRPr="006A7692">
        <w:rPr>
          <w:vertAlign w:val="subscript"/>
        </w:rPr>
        <w:t>2</w:t>
      </w:r>
      <w:r>
        <w:t>eq.</w:t>
      </w:r>
    </w:p>
    <w:p w14:paraId="5D540851" w14:textId="2E37029D" w:rsidR="001C5741" w:rsidRPr="00FC54BD" w:rsidRDefault="006A7692" w:rsidP="004623DD">
      <w:pPr>
        <w:rPr>
          <w:rFonts w:eastAsia="Times New Roman"/>
        </w:rPr>
      </w:pPr>
      <w:r w:rsidRPr="006A7692">
        <w:rPr>
          <w:rFonts w:eastAsia="Times New Roman"/>
        </w:rPr>
        <w:t>U prethodnoj tablici, za WAM scenarij prikazane su emisije iz LULUCF sektora jednake kao u WEM scenariju, a implementacijom mjere LUF-8 izraditi će se WAM scenarij kojim se postiže ostvarenje nacionalnog cilja LULUCF-a u iznosu od -5.527 ktCO</w:t>
      </w:r>
      <w:r w:rsidRPr="006A7692">
        <w:rPr>
          <w:rFonts w:eastAsia="Times New Roman"/>
          <w:vertAlign w:val="subscript"/>
        </w:rPr>
        <w:t>2</w:t>
      </w:r>
      <w:r w:rsidRPr="006A7692">
        <w:rPr>
          <w:rFonts w:eastAsia="Times New Roman"/>
        </w:rPr>
        <w:t xml:space="preserve">eq do 2030. </w:t>
      </w:r>
      <w:r>
        <w:rPr>
          <w:rFonts w:eastAsia="Times New Roman"/>
        </w:rPr>
        <w:t>g</w:t>
      </w:r>
      <w:r w:rsidRPr="006A7692">
        <w:rPr>
          <w:rFonts w:eastAsia="Times New Roman"/>
        </w:rPr>
        <w:t>odine.</w:t>
      </w:r>
    </w:p>
    <w:p w14:paraId="394ADA6F" w14:textId="0F71AC36" w:rsidR="006C4D23" w:rsidRDefault="006C4D23" w:rsidP="004623DD">
      <w:r w:rsidRPr="00B47BDA">
        <w:t xml:space="preserve">Republika Hrvatska </w:t>
      </w:r>
      <w:r w:rsidR="00927414" w:rsidRPr="00B47BDA">
        <w:t>scenarijem s postojećim mjerama (WEM) ne</w:t>
      </w:r>
      <w:r w:rsidRPr="00B47BDA">
        <w:t xml:space="preserve"> ispunjava obvezu smanjenja emisije stakleničkih plinova iz sektora izvan ETS-a za 2030.</w:t>
      </w:r>
      <w:r w:rsidR="00522272" w:rsidRPr="00B47BDA">
        <w:t xml:space="preserve"> (</w:t>
      </w:r>
      <w:r w:rsidR="008F1DD4" w:rsidRPr="00B47BDA">
        <w:t>-</w:t>
      </w:r>
      <w:r w:rsidR="00927414" w:rsidRPr="00B47BDA">
        <w:t>16,</w:t>
      </w:r>
      <w:r w:rsidR="008F1DD4" w:rsidRPr="00B47BDA">
        <w:t>7</w:t>
      </w:r>
      <w:r w:rsidR="00FC702C">
        <w:t> </w:t>
      </w:r>
      <w:r w:rsidR="00927414" w:rsidRPr="00B47BDA">
        <w:t>% u odnosu na 2005.), dok sa scenarijem s dodatnim mjerama ispunjava navedenu obvezu.</w:t>
      </w:r>
      <w:r w:rsidRPr="00B47BDA">
        <w:t xml:space="preserve"> Smanjenje emisije iz sektora</w:t>
      </w:r>
      <w:r w:rsidR="00DC24F6" w:rsidRPr="00B47BDA">
        <w:t xml:space="preserve"> izvan ETS-a</w:t>
      </w:r>
      <w:r w:rsidRPr="00B47BDA">
        <w:t xml:space="preserve"> bi iznosilo </w:t>
      </w:r>
      <w:r w:rsidR="00927414" w:rsidRPr="00B47BDA">
        <w:t xml:space="preserve">od </w:t>
      </w:r>
      <w:r w:rsidR="00FC386E">
        <w:t>8,2</w:t>
      </w:r>
      <w:r w:rsidR="00927414" w:rsidRPr="00B47BDA">
        <w:t xml:space="preserve"> do </w:t>
      </w:r>
      <w:r w:rsidR="00FC702C">
        <w:t>21,3</w:t>
      </w:r>
      <w:r w:rsidR="004C43B7" w:rsidRPr="00B47BDA">
        <w:t xml:space="preserve"> </w:t>
      </w:r>
      <w:r w:rsidRPr="00B47BDA">
        <w:t>%</w:t>
      </w:r>
      <w:r w:rsidR="00FC702C">
        <w:t> </w:t>
      </w:r>
      <w:r w:rsidRPr="00B47BDA">
        <w:t>do 2030. godine, u odnosu na emisiju iz 2005. godine</w:t>
      </w:r>
      <w:r w:rsidRPr="00B47BDA">
        <w:rPr>
          <w:highlight w:val="yellow"/>
        </w:rPr>
        <w:t xml:space="preserve"> </w:t>
      </w:r>
      <w:r w:rsidR="00294E57" w:rsidRPr="00B47BDA">
        <w:t>(</w:t>
      </w:r>
      <w:r w:rsidR="00C01B98" w:rsidRPr="00B47BDA">
        <w:fldChar w:fldCharType="begin"/>
      </w:r>
      <w:r w:rsidR="00C01B98" w:rsidRPr="00B47BDA">
        <w:instrText xml:space="preserve"> REF _Ref531872629 \h </w:instrText>
      </w:r>
      <w:r w:rsidR="00C01442" w:rsidRPr="00B47BDA">
        <w:instrText xml:space="preserve"> \* MERGEFORMAT </w:instrText>
      </w:r>
      <w:r w:rsidR="00C01B98" w:rsidRPr="00B47BDA">
        <w:fldChar w:fldCharType="separate"/>
      </w:r>
      <w:r w:rsidR="00274B3B" w:rsidRPr="00DF0B1D">
        <w:t xml:space="preserve">Slika </w:t>
      </w:r>
      <w:r w:rsidR="00274B3B">
        <w:t>5–</w:t>
      </w:r>
      <w:r w:rsidR="00274B3B">
        <w:rPr>
          <w:noProof/>
        </w:rPr>
        <w:t>4</w:t>
      </w:r>
      <w:r w:rsidR="00C01B98" w:rsidRPr="00B47BDA">
        <w:fldChar w:fldCharType="end"/>
      </w:r>
      <w:r w:rsidR="00294E57" w:rsidRPr="00B47BDA">
        <w:t>).</w:t>
      </w:r>
    </w:p>
    <w:p w14:paraId="22025D9C" w14:textId="77777777" w:rsidR="00945513" w:rsidRPr="00B47BDA" w:rsidRDefault="00945513" w:rsidP="004623DD">
      <w:pPr>
        <w:rPr>
          <w:highlight w:val="yellow"/>
        </w:rPr>
      </w:pPr>
    </w:p>
    <w:p w14:paraId="07AAB429" w14:textId="1503948F" w:rsidR="006C4D23" w:rsidRPr="00B47BDA" w:rsidRDefault="005A54D7" w:rsidP="00651675">
      <w:pPr>
        <w:jc w:val="center"/>
        <w:rPr>
          <w:highlight w:val="yellow"/>
        </w:rPr>
      </w:pPr>
      <w:r>
        <w:rPr>
          <w:noProof/>
          <w:lang w:eastAsia="hr-HR"/>
        </w:rPr>
        <w:lastRenderedPageBreak/>
        <w:drawing>
          <wp:inline distT="0" distB="0" distL="0" distR="0" wp14:anchorId="2115B717" wp14:editId="591DAB65">
            <wp:extent cx="4942205" cy="3317240"/>
            <wp:effectExtent l="0" t="0" r="0" b="0"/>
            <wp:docPr id="1679483507" name="Slika 2"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83507" name="Slika 2" descr="A graph with red and blue lines&#10;&#10;Description automatically generated"/>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42205" cy="3317240"/>
                    </a:xfrm>
                    <a:prstGeom prst="rect">
                      <a:avLst/>
                    </a:prstGeom>
                    <a:noFill/>
                  </pic:spPr>
                </pic:pic>
              </a:graphicData>
            </a:graphic>
          </wp:inline>
        </w:drawing>
      </w:r>
      <w:r>
        <w:rPr>
          <w:noProof/>
        </w:rPr>
        <w:t xml:space="preserve"> </w:t>
      </w:r>
    </w:p>
    <w:p w14:paraId="3ACE4896" w14:textId="181C79CA" w:rsidR="006C4D23" w:rsidRPr="00B47BDA" w:rsidRDefault="00C01B98" w:rsidP="004623DD">
      <w:pPr>
        <w:pStyle w:val="Caption"/>
      </w:pPr>
      <w:bookmarkStart w:id="702" w:name="_Ref531872629"/>
      <w:bookmarkStart w:id="703" w:name="_Toc185605279"/>
      <w:bookmarkStart w:id="704" w:name="_Toc193035925"/>
      <w:r w:rsidRPr="00DF0B1D">
        <w:t xml:space="preserve">Slika </w:t>
      </w:r>
      <w:r>
        <w:fldChar w:fldCharType="begin"/>
      </w:r>
      <w:r>
        <w:instrText>STYLEREF 1 \s</w:instrText>
      </w:r>
      <w:r>
        <w:fldChar w:fldCharType="separate"/>
      </w:r>
      <w:r w:rsidR="00AD324D">
        <w:rPr>
          <w:noProof/>
        </w:rPr>
        <w:t>5</w:t>
      </w:r>
      <w:r>
        <w:fldChar w:fldCharType="end"/>
      </w:r>
      <w:r w:rsidR="00257B39">
        <w:t>–</w:t>
      </w:r>
      <w:r>
        <w:fldChar w:fldCharType="begin"/>
      </w:r>
      <w:r>
        <w:instrText>SEQ Slika \* ARABIC \s 1</w:instrText>
      </w:r>
      <w:r>
        <w:fldChar w:fldCharType="separate"/>
      </w:r>
      <w:r w:rsidR="00274B3B">
        <w:rPr>
          <w:noProof/>
        </w:rPr>
        <w:t>4</w:t>
      </w:r>
      <w:r>
        <w:fldChar w:fldCharType="end"/>
      </w:r>
      <w:bookmarkEnd w:id="702"/>
      <w:r w:rsidRPr="00DF0B1D">
        <w:t>.</w:t>
      </w:r>
      <w:r w:rsidR="008E00CE" w:rsidRPr="00DF0B1D">
        <w:t xml:space="preserve"> </w:t>
      </w:r>
      <w:r w:rsidRPr="00DF0B1D">
        <w:t>Projekcija emisija stakleničkih plinova iz sektora izvan ETS-a, za scenarij s postojećim mjerama i scenarij s dodatnim mjerama</w:t>
      </w:r>
      <w:bookmarkEnd w:id="703"/>
      <w:bookmarkEnd w:id="704"/>
    </w:p>
    <w:p w14:paraId="1C4F0339" w14:textId="06295DE2" w:rsidR="000B4344" w:rsidRPr="00B61BC9" w:rsidRDefault="00FE31C5" w:rsidP="00B61BC9">
      <w:r w:rsidRPr="00B47BDA">
        <w:t xml:space="preserve">Smanjenje emisija u ETS sektoru bi 2030. godine bilo </w:t>
      </w:r>
      <w:r w:rsidR="008C18DA">
        <w:t xml:space="preserve">od </w:t>
      </w:r>
      <w:r w:rsidR="00F9531C">
        <w:t>40</w:t>
      </w:r>
      <w:r w:rsidR="00780DA3">
        <w:t>,7</w:t>
      </w:r>
      <w:r w:rsidR="00F9531C">
        <w:t xml:space="preserve"> do 60,0</w:t>
      </w:r>
      <w:r w:rsidR="00FC702C">
        <w:t> </w:t>
      </w:r>
      <w:r w:rsidR="007D64B2" w:rsidRPr="00B47BDA">
        <w:t>% u odnosu na razine emisije iz 2005. godine.</w:t>
      </w:r>
      <w:r w:rsidR="00294E57" w:rsidRPr="00B47BDA">
        <w:t xml:space="preserve"> Projekciju emisija stakleničkih plinova za ETS sektor prikazuje </w:t>
      </w:r>
      <w:r w:rsidR="005F7E30" w:rsidRPr="00B47BDA">
        <w:fldChar w:fldCharType="begin"/>
      </w:r>
      <w:r w:rsidR="005F7E30" w:rsidRPr="00B47BDA">
        <w:rPr>
          <w:highlight w:val="yellow"/>
        </w:rPr>
        <w:instrText xml:space="preserve"> REF _Ref532204639 \h  \* MERGEFORMAT </w:instrText>
      </w:r>
      <w:r w:rsidR="005F7E30" w:rsidRPr="00B47BDA">
        <w:fldChar w:fldCharType="separate"/>
      </w:r>
      <w:r w:rsidR="00AD324D" w:rsidRPr="00ED2C06">
        <w:t xml:space="preserve">Slika </w:t>
      </w:r>
      <w:r w:rsidR="00AD324D">
        <w:t>5</w:t>
      </w:r>
      <w:r w:rsidR="00AD324D">
        <w:noBreakHyphen/>
        <w:t>5</w:t>
      </w:r>
      <w:r w:rsidR="005F7E30" w:rsidRPr="00B47BDA">
        <w:fldChar w:fldCharType="end"/>
      </w:r>
      <w:r w:rsidR="00FC0488" w:rsidRPr="00B47BDA">
        <w:t>.</w:t>
      </w:r>
      <w:r w:rsidR="00857DF0">
        <w:t xml:space="preserve"> </w:t>
      </w:r>
      <w:r w:rsidR="00822428">
        <w:t xml:space="preserve">Dio emisija koji se neće smanjiti na samom postrojenju </w:t>
      </w:r>
      <w:r w:rsidR="00BD2931">
        <w:t>će se nadoknaditi kupovinom emisijskih jedinica na tržištu</w:t>
      </w:r>
      <w:r w:rsidR="00840293">
        <w:t>.</w:t>
      </w:r>
    </w:p>
    <w:p w14:paraId="0A4D7BEF" w14:textId="5CEDDC1E" w:rsidR="00F9531C" w:rsidRPr="00B47BDA" w:rsidDel="006C4D23" w:rsidRDefault="00172C7C" w:rsidP="00651675">
      <w:pPr>
        <w:jc w:val="center"/>
        <w:rPr>
          <w:highlight w:val="yellow"/>
        </w:rPr>
      </w:pPr>
      <w:r>
        <w:rPr>
          <w:noProof/>
        </w:rPr>
        <w:drawing>
          <wp:inline distT="0" distB="0" distL="0" distR="0" wp14:anchorId="2C2244BD" wp14:editId="5966EA36">
            <wp:extent cx="4458906" cy="3017890"/>
            <wp:effectExtent l="0" t="0" r="0" b="0"/>
            <wp:docPr id="39913993" name="Slika 7"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3993" name="Slika 7" descr="A graph with red and blue lines&#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2788" cy="3027286"/>
                    </a:xfrm>
                    <a:prstGeom prst="rect">
                      <a:avLst/>
                    </a:prstGeom>
                    <a:noFill/>
                  </pic:spPr>
                </pic:pic>
              </a:graphicData>
            </a:graphic>
          </wp:inline>
        </w:drawing>
      </w:r>
    </w:p>
    <w:p w14:paraId="6DB2291B" w14:textId="297C0DAA" w:rsidR="002B6D39" w:rsidRPr="00B47BDA" w:rsidRDefault="693874E5" w:rsidP="40A57B62">
      <w:pPr>
        <w:pStyle w:val="Caption"/>
      </w:pPr>
      <w:bookmarkStart w:id="705" w:name="_Ref532204639"/>
      <w:bookmarkStart w:id="706" w:name="_Ref531872663"/>
      <w:bookmarkStart w:id="707" w:name="_Toc185605280"/>
      <w:bookmarkStart w:id="708" w:name="_Toc193035926"/>
      <w:r w:rsidRPr="00ED2C06">
        <w:t xml:space="preserve">Slika </w:t>
      </w:r>
      <w:r w:rsidR="00A87274">
        <w:fldChar w:fldCharType="begin"/>
      </w:r>
      <w:r w:rsidR="00A87274">
        <w:instrText>STYLEREF 1 \s</w:instrText>
      </w:r>
      <w:r w:rsidR="00A87274">
        <w:fldChar w:fldCharType="separate"/>
      </w:r>
      <w:r w:rsidR="00AD324D">
        <w:rPr>
          <w:noProof/>
        </w:rPr>
        <w:t>5</w:t>
      </w:r>
      <w:r w:rsidR="00A87274">
        <w:fldChar w:fldCharType="end"/>
      </w:r>
      <w:r w:rsidR="00257B39">
        <w:t>–</w:t>
      </w:r>
      <w:r w:rsidR="00A87274">
        <w:fldChar w:fldCharType="begin"/>
      </w:r>
      <w:r w:rsidR="00A87274">
        <w:instrText>SEQ Slika \* ARABIC \s 1</w:instrText>
      </w:r>
      <w:r w:rsidR="00A87274">
        <w:fldChar w:fldCharType="separate"/>
      </w:r>
      <w:r w:rsidR="00AD324D">
        <w:rPr>
          <w:noProof/>
        </w:rPr>
        <w:t>5</w:t>
      </w:r>
      <w:r w:rsidR="00A87274">
        <w:fldChar w:fldCharType="end"/>
      </w:r>
      <w:bookmarkEnd w:id="705"/>
      <w:r w:rsidR="1CDF530E" w:rsidRPr="00ED2C06">
        <w:t xml:space="preserve">. </w:t>
      </w:r>
      <w:r w:rsidRPr="00ED2C06">
        <w:t xml:space="preserve">Projekcija emisija stakleničkih plinova iz ETS sektora, za scenarij s postojećim mjerama </w:t>
      </w:r>
      <w:r w:rsidR="13BFDF7C" w:rsidRPr="00ED2C06">
        <w:t>(WEM)</w:t>
      </w:r>
      <w:r w:rsidRPr="00ED2C06">
        <w:t xml:space="preserve"> i scenarij s dodatnim mjerama</w:t>
      </w:r>
      <w:bookmarkEnd w:id="706"/>
      <w:r w:rsidR="13BFDF7C" w:rsidRPr="00ED2C06">
        <w:t xml:space="preserve"> (WAM)</w:t>
      </w:r>
      <w:bookmarkEnd w:id="707"/>
      <w:bookmarkEnd w:id="708"/>
    </w:p>
    <w:p w14:paraId="4BA22E2F" w14:textId="498F79FD" w:rsidR="00D724CE" w:rsidRPr="00B47BDA" w:rsidRDefault="00900603" w:rsidP="004623DD">
      <w:r w:rsidRPr="00B47BDA">
        <w:t xml:space="preserve">Za scenarij s postojećim mjerama </w:t>
      </w:r>
      <w:r w:rsidR="00CA4A3C" w:rsidRPr="00B47BDA">
        <w:t xml:space="preserve">(WEM) i scenarij s dodatnim mjerama (WAM) izračunate su i emisije stakleničkih plinova </w:t>
      </w:r>
      <w:r w:rsidR="00120BE9" w:rsidRPr="00B47BDA">
        <w:t xml:space="preserve">za međunarodni zračni </w:t>
      </w:r>
      <w:r w:rsidR="00617809">
        <w:t>0</w:t>
      </w:r>
      <w:r w:rsidR="0034253A" w:rsidRPr="00B47BDA">
        <w:t>promet</w:t>
      </w:r>
      <w:r w:rsidR="002728A3" w:rsidRPr="00B47BDA">
        <w:t>, temelj</w:t>
      </w:r>
      <w:r w:rsidR="00B70A78" w:rsidRPr="00B47BDA">
        <w:t>e</w:t>
      </w:r>
      <w:r w:rsidR="002728A3" w:rsidRPr="00B47BDA">
        <w:t xml:space="preserve">m </w:t>
      </w:r>
      <w:r w:rsidR="00DF5082" w:rsidRPr="00B47BDA">
        <w:t xml:space="preserve">podataka </w:t>
      </w:r>
      <w:r w:rsidR="00E16A34" w:rsidRPr="00B47BDA">
        <w:t xml:space="preserve">iz </w:t>
      </w:r>
      <w:r w:rsidR="00306CB9" w:rsidRPr="00B47BDA">
        <w:lastRenderedPageBreak/>
        <w:t xml:space="preserve">energetskih bilanci </w:t>
      </w:r>
      <w:r w:rsidR="00F516D6" w:rsidRPr="00B47BDA">
        <w:t xml:space="preserve">za projekcijsko razdoblje od </w:t>
      </w:r>
      <w:r w:rsidR="0037752C" w:rsidRPr="00B47BDA">
        <w:t>2025.</w:t>
      </w:r>
      <w:r w:rsidR="00F516D6" w:rsidRPr="00B47BDA">
        <w:t xml:space="preserve"> do 2040. godine. Proje</w:t>
      </w:r>
      <w:r w:rsidR="00CF62BD" w:rsidRPr="00B47BDA">
        <w:t>kcije</w:t>
      </w:r>
      <w:r w:rsidR="00F516D6" w:rsidRPr="00B47BDA">
        <w:t xml:space="preserve"> emisij</w:t>
      </w:r>
      <w:r w:rsidR="00E80577" w:rsidRPr="00B47BDA">
        <w:t>a</w:t>
      </w:r>
      <w:r w:rsidR="00F516D6" w:rsidRPr="00B47BDA">
        <w:t xml:space="preserve"> stakleničkih plinova </w:t>
      </w:r>
      <w:r w:rsidR="00CF62BD" w:rsidRPr="00B47BDA">
        <w:t>su jednake za oba analizirana scenarija</w:t>
      </w:r>
      <w:r w:rsidR="001A00DD" w:rsidRPr="00B47BDA">
        <w:t xml:space="preserve"> (Tablica 5-</w:t>
      </w:r>
      <w:r w:rsidR="00274B3B">
        <w:t>5</w:t>
      </w:r>
      <w:r w:rsidR="00651675">
        <w:t>.</w:t>
      </w:r>
      <w:r w:rsidR="001A00DD" w:rsidRPr="00B47BDA">
        <w:t>).</w:t>
      </w:r>
    </w:p>
    <w:p w14:paraId="7CE41C7D" w14:textId="71A54E17" w:rsidR="007954F4" w:rsidRPr="00B47BDA" w:rsidRDefault="007954F4" w:rsidP="004623DD">
      <w:pPr>
        <w:pStyle w:val="Caption"/>
      </w:pPr>
      <w:bookmarkStart w:id="709" w:name="_Toc193035976"/>
      <w:r w:rsidRPr="00B47BDA">
        <w:t xml:space="preserve">Tablica </w:t>
      </w:r>
      <w:r>
        <w:fldChar w:fldCharType="begin"/>
      </w:r>
      <w:r>
        <w:instrText>STYLEREF 1 \s</w:instrText>
      </w:r>
      <w:r>
        <w:fldChar w:fldCharType="separate"/>
      </w:r>
      <w:r w:rsidR="00AD324D">
        <w:rPr>
          <w:noProof/>
        </w:rPr>
        <w:t>5</w:t>
      </w:r>
      <w:r>
        <w:fldChar w:fldCharType="end"/>
      </w:r>
      <w:r w:rsidR="00DE7F11" w:rsidRPr="00B47BDA">
        <w:noBreakHyphen/>
      </w:r>
      <w:r>
        <w:fldChar w:fldCharType="begin"/>
      </w:r>
      <w:r>
        <w:instrText>SEQ Tablica \* ARABIC \s 1</w:instrText>
      </w:r>
      <w:r>
        <w:fldChar w:fldCharType="separate"/>
      </w:r>
      <w:r w:rsidR="00274B3B">
        <w:rPr>
          <w:noProof/>
        </w:rPr>
        <w:t>5</w:t>
      </w:r>
      <w:r>
        <w:fldChar w:fldCharType="end"/>
      </w:r>
      <w:r w:rsidRPr="00B47BDA">
        <w:t xml:space="preserve">. </w:t>
      </w:r>
      <w:r w:rsidR="00B07C75" w:rsidRPr="00B47BDA">
        <w:t>Emisije stakleničkih plinova iz međunarodnog zračnog prometa</w:t>
      </w:r>
      <w:bookmarkEnd w:id="709"/>
    </w:p>
    <w:tbl>
      <w:tblPr>
        <w:tblW w:w="7600" w:type="dxa"/>
        <w:jc w:val="center"/>
        <w:tblLayout w:type="fixed"/>
        <w:tblLook w:val="04A0" w:firstRow="1" w:lastRow="0" w:firstColumn="1" w:lastColumn="0" w:noHBand="0" w:noVBand="1"/>
      </w:tblPr>
      <w:tblGrid>
        <w:gridCol w:w="3408"/>
        <w:gridCol w:w="1048"/>
        <w:gridCol w:w="1048"/>
        <w:gridCol w:w="1048"/>
        <w:gridCol w:w="1048"/>
      </w:tblGrid>
      <w:tr w:rsidR="00FE1D9A" w:rsidRPr="00651675" w14:paraId="34A6B11C" w14:textId="77777777" w:rsidTr="63259912">
        <w:trPr>
          <w:trHeight w:val="255"/>
          <w:jc w:val="center"/>
        </w:trPr>
        <w:tc>
          <w:tcPr>
            <w:tcW w:w="340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47EE3C01" w14:textId="77777777" w:rsidR="00FE1D9A" w:rsidRPr="002B44FD" w:rsidRDefault="00FE1D9A" w:rsidP="63259912">
            <w:pPr>
              <w:rPr>
                <w:sz w:val="22"/>
                <w:szCs w:val="22"/>
                <w:lang w:eastAsia="hr-HR"/>
              </w:rPr>
            </w:pPr>
            <w:r w:rsidRPr="63259912">
              <w:rPr>
                <w:sz w:val="22"/>
                <w:szCs w:val="22"/>
                <w:lang w:eastAsia="hr-HR"/>
              </w:rPr>
              <w:t>Emisija CO</w:t>
            </w:r>
            <w:r w:rsidRPr="63259912">
              <w:rPr>
                <w:sz w:val="22"/>
                <w:szCs w:val="22"/>
                <w:vertAlign w:val="subscript"/>
                <w:lang w:eastAsia="hr-HR"/>
              </w:rPr>
              <w:t>2</w:t>
            </w:r>
            <w:r w:rsidRPr="63259912">
              <w:rPr>
                <w:sz w:val="22"/>
                <w:szCs w:val="22"/>
                <w:lang w:eastAsia="hr-HR"/>
              </w:rPr>
              <w:t>e (kt)</w:t>
            </w:r>
          </w:p>
        </w:tc>
        <w:tc>
          <w:tcPr>
            <w:tcW w:w="1048" w:type="dxa"/>
            <w:tcBorders>
              <w:top w:val="single" w:sz="4" w:space="0" w:color="auto"/>
              <w:left w:val="nil"/>
              <w:bottom w:val="single" w:sz="4" w:space="0" w:color="auto"/>
              <w:right w:val="single" w:sz="4" w:space="0" w:color="auto"/>
            </w:tcBorders>
            <w:shd w:val="clear" w:color="auto" w:fill="DEEAF6" w:themeFill="accent1" w:themeFillTint="33"/>
          </w:tcPr>
          <w:p w14:paraId="1980D798" w14:textId="77777777" w:rsidR="00FE1D9A" w:rsidRPr="002B44FD" w:rsidRDefault="00FE1D9A" w:rsidP="00651675">
            <w:pPr>
              <w:jc w:val="center"/>
              <w:rPr>
                <w:b/>
                <w:sz w:val="22"/>
                <w:szCs w:val="22"/>
                <w:lang w:eastAsia="hr-HR"/>
              </w:rPr>
            </w:pPr>
            <w:r w:rsidRPr="002B44FD">
              <w:rPr>
                <w:b/>
                <w:sz w:val="22"/>
                <w:szCs w:val="22"/>
                <w:lang w:eastAsia="hr-HR"/>
              </w:rPr>
              <w:t>2025.</w:t>
            </w:r>
          </w:p>
        </w:tc>
        <w:tc>
          <w:tcPr>
            <w:tcW w:w="104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EDBA4E7" w14:textId="77777777" w:rsidR="00FE1D9A" w:rsidRPr="002B44FD" w:rsidRDefault="00FE1D9A" w:rsidP="00651675">
            <w:pPr>
              <w:jc w:val="center"/>
              <w:rPr>
                <w:b/>
                <w:sz w:val="22"/>
                <w:szCs w:val="22"/>
                <w:lang w:eastAsia="hr-HR"/>
              </w:rPr>
            </w:pPr>
            <w:r w:rsidRPr="002B44FD">
              <w:rPr>
                <w:b/>
                <w:sz w:val="22"/>
                <w:szCs w:val="22"/>
                <w:lang w:eastAsia="hr-HR"/>
              </w:rPr>
              <w:t>2030.</w:t>
            </w:r>
          </w:p>
        </w:tc>
        <w:tc>
          <w:tcPr>
            <w:tcW w:w="104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B522515" w14:textId="77777777" w:rsidR="00FE1D9A" w:rsidRPr="002B44FD" w:rsidRDefault="00FE1D9A" w:rsidP="00651675">
            <w:pPr>
              <w:jc w:val="center"/>
              <w:rPr>
                <w:b/>
                <w:sz w:val="22"/>
                <w:szCs w:val="22"/>
                <w:lang w:eastAsia="hr-HR"/>
              </w:rPr>
            </w:pPr>
            <w:r w:rsidRPr="002B44FD">
              <w:rPr>
                <w:b/>
                <w:sz w:val="22"/>
                <w:szCs w:val="22"/>
                <w:lang w:eastAsia="hr-HR"/>
              </w:rPr>
              <w:t>2035.</w:t>
            </w:r>
          </w:p>
        </w:tc>
        <w:tc>
          <w:tcPr>
            <w:tcW w:w="104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9657783" w14:textId="77777777" w:rsidR="00FE1D9A" w:rsidRPr="002B44FD" w:rsidRDefault="00FE1D9A" w:rsidP="00651675">
            <w:pPr>
              <w:jc w:val="center"/>
              <w:rPr>
                <w:b/>
                <w:sz w:val="22"/>
                <w:szCs w:val="22"/>
                <w:lang w:eastAsia="hr-HR"/>
              </w:rPr>
            </w:pPr>
            <w:r w:rsidRPr="002B44FD">
              <w:rPr>
                <w:b/>
                <w:sz w:val="22"/>
                <w:szCs w:val="22"/>
                <w:lang w:eastAsia="hr-HR"/>
              </w:rPr>
              <w:t>2040.</w:t>
            </w:r>
          </w:p>
        </w:tc>
      </w:tr>
      <w:tr w:rsidR="000A497D" w:rsidRPr="00651675" w14:paraId="0597F852" w14:textId="77777777" w:rsidTr="63259912">
        <w:trPr>
          <w:trHeight w:val="255"/>
          <w:jc w:val="center"/>
        </w:trPr>
        <w:tc>
          <w:tcPr>
            <w:tcW w:w="3408" w:type="dxa"/>
            <w:tcBorders>
              <w:top w:val="nil"/>
              <w:left w:val="single" w:sz="4" w:space="0" w:color="auto"/>
              <w:bottom w:val="single" w:sz="4" w:space="0" w:color="auto"/>
              <w:right w:val="single" w:sz="4" w:space="0" w:color="auto"/>
            </w:tcBorders>
            <w:noWrap/>
            <w:vAlign w:val="bottom"/>
            <w:hideMark/>
          </w:tcPr>
          <w:p w14:paraId="79E554D0" w14:textId="77777777" w:rsidR="000A497D" w:rsidRPr="002B44FD" w:rsidRDefault="000A497D" w:rsidP="000A497D">
            <w:pPr>
              <w:rPr>
                <w:sz w:val="22"/>
                <w:szCs w:val="22"/>
                <w:lang w:eastAsia="hr-HR"/>
              </w:rPr>
            </w:pPr>
            <w:r w:rsidRPr="002B44FD">
              <w:rPr>
                <w:sz w:val="22"/>
                <w:szCs w:val="22"/>
                <w:lang w:eastAsia="hr-HR"/>
              </w:rPr>
              <w:t>Međunarodni zračni promet (WEM=WAM)</w:t>
            </w:r>
          </w:p>
        </w:tc>
        <w:tc>
          <w:tcPr>
            <w:tcW w:w="1048" w:type="dxa"/>
            <w:tcBorders>
              <w:top w:val="single" w:sz="4" w:space="0" w:color="auto"/>
              <w:left w:val="nil"/>
              <w:bottom w:val="single" w:sz="4" w:space="0" w:color="auto"/>
              <w:right w:val="single" w:sz="4" w:space="0" w:color="auto"/>
            </w:tcBorders>
            <w:vAlign w:val="center"/>
          </w:tcPr>
          <w:p w14:paraId="6DF3A100" w14:textId="6C1B5DA9" w:rsidR="000A497D" w:rsidRPr="000A497D" w:rsidRDefault="000A497D" w:rsidP="000A497D">
            <w:pPr>
              <w:jc w:val="right"/>
              <w:rPr>
                <w:sz w:val="22"/>
                <w:szCs w:val="22"/>
                <w:lang w:eastAsia="hr-HR"/>
              </w:rPr>
            </w:pPr>
            <w:r w:rsidRPr="000A497D">
              <w:rPr>
                <w:sz w:val="22"/>
                <w:szCs w:val="22"/>
                <w:lang w:eastAsia="hr-HR"/>
              </w:rPr>
              <w:t>350,00</w:t>
            </w:r>
          </w:p>
        </w:tc>
        <w:tc>
          <w:tcPr>
            <w:tcW w:w="1048" w:type="dxa"/>
            <w:tcBorders>
              <w:top w:val="nil"/>
              <w:left w:val="single" w:sz="4" w:space="0" w:color="auto"/>
              <w:bottom w:val="single" w:sz="4" w:space="0" w:color="auto"/>
              <w:right w:val="single" w:sz="4" w:space="0" w:color="auto"/>
            </w:tcBorders>
            <w:noWrap/>
            <w:vAlign w:val="center"/>
            <w:hideMark/>
          </w:tcPr>
          <w:p w14:paraId="36747D81" w14:textId="70E5006C" w:rsidR="000A497D" w:rsidRPr="000A497D" w:rsidRDefault="000A497D" w:rsidP="000A497D">
            <w:pPr>
              <w:jc w:val="right"/>
              <w:rPr>
                <w:sz w:val="22"/>
                <w:szCs w:val="22"/>
                <w:lang w:eastAsia="hr-HR"/>
              </w:rPr>
            </w:pPr>
            <w:r w:rsidRPr="000A497D">
              <w:rPr>
                <w:sz w:val="22"/>
                <w:szCs w:val="22"/>
                <w:lang w:eastAsia="hr-HR"/>
              </w:rPr>
              <w:t>401,66</w:t>
            </w:r>
          </w:p>
        </w:tc>
        <w:tc>
          <w:tcPr>
            <w:tcW w:w="1048" w:type="dxa"/>
            <w:tcBorders>
              <w:top w:val="nil"/>
              <w:left w:val="nil"/>
              <w:bottom w:val="single" w:sz="4" w:space="0" w:color="auto"/>
              <w:right w:val="single" w:sz="4" w:space="0" w:color="auto"/>
            </w:tcBorders>
            <w:noWrap/>
            <w:vAlign w:val="center"/>
            <w:hideMark/>
          </w:tcPr>
          <w:p w14:paraId="2DFF851F" w14:textId="1C4E1BF5" w:rsidR="000A497D" w:rsidRPr="000A497D" w:rsidRDefault="000A497D" w:rsidP="000A497D">
            <w:pPr>
              <w:jc w:val="right"/>
              <w:rPr>
                <w:sz w:val="22"/>
                <w:szCs w:val="22"/>
                <w:lang w:eastAsia="hr-HR"/>
              </w:rPr>
            </w:pPr>
            <w:r w:rsidRPr="000A497D">
              <w:rPr>
                <w:sz w:val="22"/>
                <w:szCs w:val="22"/>
                <w:lang w:eastAsia="hr-HR"/>
              </w:rPr>
              <w:t>385,62</w:t>
            </w:r>
          </w:p>
        </w:tc>
        <w:tc>
          <w:tcPr>
            <w:tcW w:w="1048" w:type="dxa"/>
            <w:tcBorders>
              <w:top w:val="nil"/>
              <w:left w:val="nil"/>
              <w:bottom w:val="single" w:sz="4" w:space="0" w:color="auto"/>
              <w:right w:val="single" w:sz="4" w:space="0" w:color="auto"/>
            </w:tcBorders>
            <w:noWrap/>
            <w:vAlign w:val="center"/>
            <w:hideMark/>
          </w:tcPr>
          <w:p w14:paraId="3EA2C623" w14:textId="7B934F0E" w:rsidR="000A497D" w:rsidRPr="000A497D" w:rsidRDefault="000A497D" w:rsidP="000A497D">
            <w:pPr>
              <w:jc w:val="right"/>
              <w:rPr>
                <w:sz w:val="22"/>
                <w:szCs w:val="22"/>
                <w:lang w:eastAsia="hr-HR"/>
              </w:rPr>
            </w:pPr>
            <w:r w:rsidRPr="000A497D">
              <w:rPr>
                <w:sz w:val="22"/>
                <w:szCs w:val="22"/>
                <w:lang w:eastAsia="hr-HR"/>
              </w:rPr>
              <w:t>421,24</w:t>
            </w:r>
          </w:p>
        </w:tc>
      </w:tr>
    </w:tbl>
    <w:p w14:paraId="1958654B" w14:textId="77777777" w:rsidR="00F66674" w:rsidRPr="00B47BDA" w:rsidRDefault="00F66674" w:rsidP="004623DD"/>
    <w:p w14:paraId="36ACF947" w14:textId="72046863" w:rsidR="0056392F" w:rsidRPr="00B47BDA" w:rsidRDefault="00122838" w:rsidP="005C2C7E">
      <w:pPr>
        <w:pStyle w:val="Heading4"/>
        <w:numPr>
          <w:ilvl w:val="3"/>
          <w:numId w:val="175"/>
        </w:numPr>
        <w:ind w:hanging="580"/>
      </w:pPr>
      <w:r w:rsidRPr="00B47BDA">
        <w:t>Procjena međudjelovanja politika (međudjelovanje između postojećih i planiranih politika i mjera u okviru jedne dimenzije i međudjelovanje između postojećih i planiranih politika i mjera različitih dimenzija) barem do posljednje godine razdoblja obuhvaćenog planom, posebno kako bi se u potpunosti razumio učinak politika energetske učinkovitosti/uštede energije na utvrđivanje veličine energetskog sustava te smanjio rizik od izgubljenih investicija u području opskrbe energijom</w:t>
      </w:r>
    </w:p>
    <w:p w14:paraId="384CF314" w14:textId="78B40F81" w:rsidR="00AC3A92" w:rsidRPr="00B47BDA" w:rsidRDefault="001C4CAD" w:rsidP="004623DD">
      <w:r w:rsidRPr="00B47BDA">
        <w:t>U opisu svake mjere naveden</w:t>
      </w:r>
      <w:r w:rsidR="003D2EEF" w:rsidRPr="00B47BDA">
        <w:t>e su dimenzije na koje dotična mjera ima učinak.</w:t>
      </w:r>
    </w:p>
    <w:p w14:paraId="3DE616C9" w14:textId="0E7161B1" w:rsidR="00122838" w:rsidRPr="00B47BDA" w:rsidRDefault="00122838" w:rsidP="005C2C7E">
      <w:pPr>
        <w:pStyle w:val="Heading4"/>
        <w:numPr>
          <w:ilvl w:val="3"/>
          <w:numId w:val="175"/>
        </w:numPr>
        <w:ind w:hanging="580"/>
      </w:pPr>
      <w:r w:rsidRPr="00B47BDA">
        <w:t>Procjena interakcija između postojećih politika i mjera te planiranih politika i mjera, kao i između tih politika i mjera te politike Unije u području klime i energije</w:t>
      </w:r>
    </w:p>
    <w:p w14:paraId="67B0FA89" w14:textId="77777777" w:rsidR="00AB4C0E" w:rsidRDefault="00AB4C0E" w:rsidP="004623DD">
      <w:r w:rsidRPr="00B47BDA">
        <w:t>U opisu svake mjere navedene su dimenzije na koje dotična mjera ima učinak.</w:t>
      </w:r>
    </w:p>
    <w:p w14:paraId="74D6CE57" w14:textId="6FB6E74C" w:rsidR="00651675" w:rsidRDefault="00651675">
      <w:pPr>
        <w:spacing w:after="0"/>
      </w:pPr>
      <w:r>
        <w:br w:type="page"/>
      </w:r>
    </w:p>
    <w:p w14:paraId="2318F85E" w14:textId="1FBE23A4" w:rsidR="00C21988" w:rsidRPr="00B47BDA" w:rsidRDefault="00460CCC" w:rsidP="005C2C7E">
      <w:pPr>
        <w:pStyle w:val="Heading2"/>
        <w:numPr>
          <w:ilvl w:val="1"/>
          <w:numId w:val="175"/>
        </w:numPr>
      </w:pPr>
      <w:bookmarkStart w:id="710" w:name="_Toc531801585"/>
      <w:bookmarkStart w:id="711" w:name="_Toc531801712"/>
      <w:bookmarkStart w:id="712" w:name="_Toc531801840"/>
      <w:bookmarkStart w:id="713" w:name="_Toc531801968"/>
      <w:bookmarkStart w:id="714" w:name="_Toc531801586"/>
      <w:bookmarkStart w:id="715" w:name="_Toc531801713"/>
      <w:bookmarkStart w:id="716" w:name="_Toc531801841"/>
      <w:bookmarkStart w:id="717" w:name="_Toc531801969"/>
      <w:bookmarkStart w:id="718" w:name="_Toc531801587"/>
      <w:bookmarkStart w:id="719" w:name="_Toc531801714"/>
      <w:bookmarkStart w:id="720" w:name="_Toc531801842"/>
      <w:bookmarkStart w:id="721" w:name="_Toc531801970"/>
      <w:bookmarkStart w:id="722" w:name="_Toc531801588"/>
      <w:bookmarkStart w:id="723" w:name="_Toc531801715"/>
      <w:bookmarkStart w:id="724" w:name="_Toc531801843"/>
      <w:bookmarkStart w:id="725" w:name="_Toc531801971"/>
      <w:bookmarkStart w:id="726" w:name="_Toc531801589"/>
      <w:bookmarkStart w:id="727" w:name="_Toc531801716"/>
      <w:bookmarkStart w:id="728" w:name="_Toc531801844"/>
      <w:bookmarkStart w:id="729" w:name="_Toc531801972"/>
      <w:bookmarkStart w:id="730" w:name="_Toc531801590"/>
      <w:bookmarkStart w:id="731" w:name="_Toc531801717"/>
      <w:bookmarkStart w:id="732" w:name="_Toc531801845"/>
      <w:bookmarkStart w:id="733" w:name="_Toc531801973"/>
      <w:bookmarkStart w:id="734" w:name="_Toc531801591"/>
      <w:bookmarkStart w:id="735" w:name="_Toc531801718"/>
      <w:bookmarkStart w:id="736" w:name="_Toc531801846"/>
      <w:bookmarkStart w:id="737" w:name="_Toc531801974"/>
      <w:bookmarkStart w:id="738" w:name="_Toc531801592"/>
      <w:bookmarkStart w:id="739" w:name="_Toc531801719"/>
      <w:bookmarkStart w:id="740" w:name="_Toc531801847"/>
      <w:bookmarkStart w:id="741" w:name="_Toc531801975"/>
      <w:bookmarkStart w:id="742" w:name="_Toc187418371"/>
      <w:bookmarkStart w:id="743" w:name="_Toc193043296"/>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r w:rsidRPr="00B47BDA">
        <w:lastRenderedPageBreak/>
        <w:t xml:space="preserve">Makroekonomski i, u mjeri u kojoj je to moguće, zdravstveni i okolišni učinci, učinci u pogledu zapošljavanja i obrazovanja, socijalni učinci i učinci na vještine (u smislu troškova i koristi, kao i ekonomičnosti) planiranih politika i mjera </w:t>
      </w:r>
      <w:r w:rsidRPr="003F100C">
        <w:t>opisanih u točki 3. barem</w:t>
      </w:r>
      <w:r w:rsidRPr="00B47BDA">
        <w:t xml:space="preserve"> do posljednje godine razdoblja obuhvaćenog planom, uključujući usporedbu s projekcijama nastalim na temelju postojećih politika i mjera</w:t>
      </w:r>
      <w:bookmarkEnd w:id="742"/>
      <w:bookmarkEnd w:id="743"/>
    </w:p>
    <w:p w14:paraId="7C2A7194" w14:textId="4CD2C4B4" w:rsidR="00922CC4" w:rsidRPr="00627449" w:rsidRDefault="00F84702" w:rsidP="004623DD">
      <w:r w:rsidRPr="63259912">
        <w:t>M</w:t>
      </w:r>
      <w:r w:rsidR="00922CC4" w:rsidRPr="63259912">
        <w:t>akroekonomski učin</w:t>
      </w:r>
      <w:r w:rsidR="00133938" w:rsidRPr="63259912">
        <w:t>ci analizirani su na temelju</w:t>
      </w:r>
      <w:r w:rsidR="00922CC4" w:rsidRPr="63259912">
        <w:t xml:space="preserve"> </w:t>
      </w:r>
      <w:r w:rsidR="00133938" w:rsidRPr="63259912">
        <w:t>p</w:t>
      </w:r>
      <w:r w:rsidR="00922CC4" w:rsidRPr="63259912">
        <w:t>rocjen</w:t>
      </w:r>
      <w:r w:rsidR="00133938" w:rsidRPr="63259912">
        <w:t>e</w:t>
      </w:r>
      <w:r w:rsidR="00922CC4" w:rsidRPr="63259912">
        <w:t xml:space="preserve"> ukupnih ulaganja u razdoblju od 202</w:t>
      </w:r>
      <w:r w:rsidR="00495311" w:rsidRPr="63259912">
        <w:t>4</w:t>
      </w:r>
      <w:r w:rsidR="00922CC4" w:rsidRPr="63259912">
        <w:t xml:space="preserve">. do 2050. godine. </w:t>
      </w:r>
      <w:r w:rsidR="008D205E" w:rsidRPr="63259912">
        <w:t>U</w:t>
      </w:r>
      <w:r w:rsidR="00922CC4" w:rsidRPr="63259912">
        <w:t xml:space="preserve">kupna investicijska ulaganja </w:t>
      </w:r>
      <w:r w:rsidR="008D205E" w:rsidRPr="63259912">
        <w:t xml:space="preserve">procijenjena </w:t>
      </w:r>
      <w:r w:rsidR="005D1A41" w:rsidRPr="63259912">
        <w:t>su</w:t>
      </w:r>
      <w:r w:rsidR="00922CC4" w:rsidRPr="63259912">
        <w:t xml:space="preserve"> u iznosu od </w:t>
      </w:r>
      <w:r w:rsidR="00E561F3" w:rsidRPr="63259912">
        <w:t>11</w:t>
      </w:r>
      <w:r w:rsidR="00236EF9" w:rsidRPr="63259912">
        <w:t>2</w:t>
      </w:r>
      <w:r w:rsidR="00282F6D" w:rsidRPr="63259912">
        <w:t>,</w:t>
      </w:r>
      <w:r w:rsidR="00236EF9" w:rsidRPr="63259912">
        <w:t>2</w:t>
      </w:r>
      <w:r w:rsidR="00922CC4" w:rsidRPr="63259912">
        <w:t xml:space="preserve"> milijard</w:t>
      </w:r>
      <w:r w:rsidR="0035559D" w:rsidRPr="63259912">
        <w:t>e</w:t>
      </w:r>
      <w:r w:rsidR="00922CC4" w:rsidRPr="63259912">
        <w:t xml:space="preserve"> </w:t>
      </w:r>
      <w:r w:rsidR="00E561F3" w:rsidRPr="63259912">
        <w:t>EUR</w:t>
      </w:r>
      <w:r w:rsidR="008E51D0" w:rsidRPr="63259912">
        <w:t xml:space="preserve"> (uključujući </w:t>
      </w:r>
      <w:r w:rsidR="00BB1BD1" w:rsidRPr="63259912">
        <w:t>investicije u nZEB novogradnju)</w:t>
      </w:r>
      <w:r w:rsidR="00922CC4" w:rsidRPr="63259912">
        <w:t>, od čega u razdoblju od 202</w:t>
      </w:r>
      <w:r w:rsidR="00E561F3" w:rsidRPr="63259912">
        <w:t>4</w:t>
      </w:r>
      <w:r w:rsidR="00922CC4" w:rsidRPr="63259912">
        <w:t xml:space="preserve">. do 2030. godine </w:t>
      </w:r>
      <w:r w:rsidR="00E91535" w:rsidRPr="63259912">
        <w:t>4</w:t>
      </w:r>
      <w:r w:rsidR="00282F6D" w:rsidRPr="63259912">
        <w:t>5,</w:t>
      </w:r>
      <w:r w:rsidR="0035559D" w:rsidRPr="63259912">
        <w:t>5</w:t>
      </w:r>
      <w:r w:rsidR="00922CC4" w:rsidRPr="63259912">
        <w:t xml:space="preserve"> milijard</w:t>
      </w:r>
      <w:r w:rsidR="0035559D" w:rsidRPr="63259912">
        <w:t>i</w:t>
      </w:r>
      <w:r w:rsidR="00922CC4" w:rsidRPr="63259912">
        <w:t xml:space="preserve"> </w:t>
      </w:r>
      <w:r w:rsidR="003245CC" w:rsidRPr="63259912">
        <w:t>EUR,</w:t>
      </w:r>
      <w:r w:rsidR="00922CC4" w:rsidRPr="63259912">
        <w:t xml:space="preserve"> a u razdoblju od 2031. do 2050. godine </w:t>
      </w:r>
      <w:r w:rsidR="00E91535" w:rsidRPr="63259912">
        <w:t>6</w:t>
      </w:r>
      <w:r w:rsidR="00282F6D" w:rsidRPr="63259912">
        <w:t>6,</w:t>
      </w:r>
      <w:r w:rsidR="0035559D" w:rsidRPr="63259912">
        <w:t>7</w:t>
      </w:r>
      <w:r w:rsidR="00922CC4" w:rsidRPr="63259912">
        <w:t xml:space="preserve"> milijard</w:t>
      </w:r>
      <w:r w:rsidR="0035559D" w:rsidRPr="63259912">
        <w:t>i</w:t>
      </w:r>
      <w:r w:rsidR="00922CC4" w:rsidRPr="63259912">
        <w:t xml:space="preserve"> </w:t>
      </w:r>
      <w:r w:rsidR="003245CC" w:rsidRPr="63259912">
        <w:t>EUR</w:t>
      </w:r>
      <w:r w:rsidR="00922CC4" w:rsidRPr="63259912">
        <w:t xml:space="preserve">. Pretpostavka analize je da su investicije linearno raspoređene po godinama odnosno da se prosječno godišnje u prvom razdoblju investira </w:t>
      </w:r>
      <w:r w:rsidR="00F27CDF" w:rsidRPr="63259912">
        <w:t>6,</w:t>
      </w:r>
      <w:r w:rsidR="005B3DB3" w:rsidRPr="63259912">
        <w:t>5</w:t>
      </w:r>
      <w:r w:rsidR="00922CC4" w:rsidRPr="63259912">
        <w:t xml:space="preserve"> milijard</w:t>
      </w:r>
      <w:r w:rsidR="005B3DB3" w:rsidRPr="63259912">
        <w:t>i</w:t>
      </w:r>
      <w:r w:rsidR="00922CC4" w:rsidRPr="63259912">
        <w:t xml:space="preserve"> </w:t>
      </w:r>
      <w:r w:rsidR="00801EFC" w:rsidRPr="63259912">
        <w:t>EUR</w:t>
      </w:r>
      <w:r w:rsidR="00922CC4" w:rsidRPr="63259912">
        <w:t xml:space="preserve"> odnosno </w:t>
      </w:r>
      <w:r w:rsidR="00801EFC" w:rsidRPr="63259912">
        <w:t>3,</w:t>
      </w:r>
      <w:r w:rsidR="005B3DB3" w:rsidRPr="63259912">
        <w:t>3</w:t>
      </w:r>
      <w:r w:rsidR="00922CC4" w:rsidRPr="63259912">
        <w:t xml:space="preserve"> milijard</w:t>
      </w:r>
      <w:r w:rsidR="003D02D5" w:rsidRPr="63259912">
        <w:t>e</w:t>
      </w:r>
      <w:r w:rsidR="00922CC4" w:rsidRPr="63259912">
        <w:t xml:space="preserve"> </w:t>
      </w:r>
      <w:r w:rsidR="00901065" w:rsidRPr="63259912">
        <w:t>EUR</w:t>
      </w:r>
      <w:r w:rsidR="00922CC4" w:rsidRPr="63259912">
        <w:t xml:space="preserve"> u drugom razdoblju. </w:t>
      </w:r>
    </w:p>
    <w:p w14:paraId="03542697" w14:textId="31777F10" w:rsidR="00922CC4" w:rsidRPr="00627449" w:rsidRDefault="00922CC4" w:rsidP="004623DD">
      <w:r w:rsidRPr="63259912">
        <w:t>Makroekonomski učinci su računati input-output analizom koja se temelji na input-output tablici za Republiku Hrvatsku. Analiza u obzir uzima izravne (direktne) i neizravne (indirektne), multiplikativne, učinke investicija koje su različitim procjenama disagregirane na pojedine djelatnosti (od ukupno 65 djelatnosti) koje se nalaze u simetričnoj input-output tablici a</w:t>
      </w:r>
      <w:r w:rsidR="003367B7" w:rsidRPr="63259912">
        <w:t>,</w:t>
      </w:r>
      <w:r w:rsidRPr="63259912">
        <w:t xml:space="preserve"> s obzirom na specifičnost svake investicije. Izravni učinci obuhvaćaju dodatnu zaposlenost, odnosno dohodak, u sektorima koji proizvode dobra i usluge za potrebe zadovoljavanja dodatne finalne potražnje. Neizravni učinci obuhvaćaju neizravnu zaposlenost, odnosno dohodak, drugih sektora koji povećavaju razinu proizvodnje kako bi isporučili intermedijarne inpute potrebne za proizvodnju u sektoru koji izravno isporučuje output za potrebe finalne potražnje. Input-output model obuhvaća postojeće tehnološke veze između 65 različitih djelatnosti odnosno sektora hrvatskog gospodarstva.</w:t>
      </w:r>
    </w:p>
    <w:p w14:paraId="0DBC1F7F" w14:textId="739A1D69" w:rsidR="00B66B1B" w:rsidRDefault="00922CC4" w:rsidP="004623DD">
      <w:r w:rsidRPr="00627449">
        <w:t>Rezultati analize su podijeljeni na dva razdoblja: od 202</w:t>
      </w:r>
      <w:r w:rsidR="002C7DFA" w:rsidRPr="00627449">
        <w:t>4</w:t>
      </w:r>
      <w:r w:rsidRPr="00627449">
        <w:t xml:space="preserve">. do 2030. i od 2031. do 2050. godine. </w:t>
      </w:r>
    </w:p>
    <w:p w14:paraId="57E6B6AB" w14:textId="38FF1719" w:rsidR="00B66B1B" w:rsidRPr="00B66B1B" w:rsidRDefault="00B66B1B" w:rsidP="004623DD">
      <w:r w:rsidRPr="63259912">
        <w:t xml:space="preserve">U prvom analiziranom razdoblju </w:t>
      </w:r>
      <w:r w:rsidR="00E45EBC" w:rsidRPr="63259912">
        <w:t xml:space="preserve">od 2024. do 2030. godine, </w:t>
      </w:r>
      <w:r w:rsidRPr="63259912">
        <w:t xml:space="preserve">uz predviđene godišnje investicije od </w:t>
      </w:r>
      <w:r w:rsidR="003D02D5" w:rsidRPr="63259912">
        <w:t>6,</w:t>
      </w:r>
      <w:r w:rsidR="005B3DB3" w:rsidRPr="63259912">
        <w:t>5</w:t>
      </w:r>
      <w:r w:rsidRPr="63259912">
        <w:t xml:space="preserve"> mlrd. </w:t>
      </w:r>
      <w:r w:rsidR="003E0529" w:rsidRPr="63259912">
        <w:t>EUR</w:t>
      </w:r>
      <w:r w:rsidRPr="63259912">
        <w:t xml:space="preserve"> zaposlenost bi porasla za oko </w:t>
      </w:r>
      <w:r w:rsidR="003E0529" w:rsidRPr="63259912">
        <w:t>1</w:t>
      </w:r>
      <w:r w:rsidR="007D273E" w:rsidRPr="63259912">
        <w:t>3</w:t>
      </w:r>
      <w:r w:rsidR="00495311" w:rsidRPr="63259912">
        <w:t>2</w:t>
      </w:r>
      <w:r w:rsidRPr="63259912">
        <w:t xml:space="preserve">.000 zaposlenih, dodana vrijednost za </w:t>
      </w:r>
      <w:r w:rsidR="00854BB3" w:rsidRPr="63259912">
        <w:t>3,8</w:t>
      </w:r>
      <w:r w:rsidR="00CC338E" w:rsidRPr="63259912">
        <w:t xml:space="preserve"> </w:t>
      </w:r>
      <w:r w:rsidRPr="63259912">
        <w:t xml:space="preserve">mlrd. </w:t>
      </w:r>
      <w:r w:rsidR="000242B1" w:rsidRPr="63259912">
        <w:t>EUR</w:t>
      </w:r>
      <w:r w:rsidR="00982455" w:rsidRPr="63259912">
        <w:t>/god.</w:t>
      </w:r>
      <w:r w:rsidRPr="63259912">
        <w:t xml:space="preserve">, a BDP bi porastao za </w:t>
      </w:r>
      <w:r w:rsidR="00CC338E" w:rsidRPr="63259912">
        <w:t>4</w:t>
      </w:r>
      <w:r w:rsidR="000242B1" w:rsidRPr="63259912">
        <w:t>,</w:t>
      </w:r>
      <w:r w:rsidR="00854BB3" w:rsidRPr="63259912">
        <w:t>5</w:t>
      </w:r>
      <w:r w:rsidRPr="63259912">
        <w:t xml:space="preserve"> mlrd. </w:t>
      </w:r>
      <w:r w:rsidR="000242B1" w:rsidRPr="63259912">
        <w:t>EUR</w:t>
      </w:r>
      <w:r w:rsidR="00982455" w:rsidRPr="63259912">
        <w:t>/god</w:t>
      </w:r>
      <w:r w:rsidRPr="63259912">
        <w:t xml:space="preserve">. </w:t>
      </w:r>
    </w:p>
    <w:p w14:paraId="7B999573" w14:textId="2D25FBDD" w:rsidR="00B66B1B" w:rsidRDefault="00B66B1B" w:rsidP="004623DD">
      <w:r w:rsidRPr="63259912">
        <w:t xml:space="preserve">U razdoblju </w:t>
      </w:r>
      <w:r w:rsidR="002A4FCF" w:rsidRPr="63259912">
        <w:t xml:space="preserve">između 2031. i 2050. godine, </w:t>
      </w:r>
      <w:r w:rsidRPr="63259912">
        <w:t xml:space="preserve">uz predviđene godišnje investicije od </w:t>
      </w:r>
      <w:r w:rsidR="00C21273" w:rsidRPr="63259912">
        <w:t>3,</w:t>
      </w:r>
      <w:r w:rsidR="00FC61D2" w:rsidRPr="63259912">
        <w:t>3</w:t>
      </w:r>
      <w:r w:rsidRPr="63259912">
        <w:t xml:space="preserve"> mlrd. </w:t>
      </w:r>
      <w:r w:rsidR="004D7F21" w:rsidRPr="63259912">
        <w:t>EUR-a,</w:t>
      </w:r>
      <w:r w:rsidRPr="63259912">
        <w:t xml:space="preserve"> zaposlenost bi porasla za oko </w:t>
      </w:r>
      <w:r w:rsidR="00B13264" w:rsidRPr="63259912">
        <w:t>1</w:t>
      </w:r>
      <w:r w:rsidR="003A2D37" w:rsidRPr="63259912">
        <w:t>4</w:t>
      </w:r>
      <w:r w:rsidR="00B91047" w:rsidRPr="63259912">
        <w:t>1</w:t>
      </w:r>
      <w:r w:rsidR="000E4910" w:rsidRPr="63259912">
        <w:t>.</w:t>
      </w:r>
      <w:r w:rsidR="003A2D37" w:rsidRPr="63259912">
        <w:t>0</w:t>
      </w:r>
      <w:r w:rsidR="000E4910" w:rsidRPr="63259912">
        <w:t>00</w:t>
      </w:r>
      <w:r w:rsidRPr="63259912">
        <w:t>, dodana vrijednost za 2</w:t>
      </w:r>
      <w:r w:rsidR="00874E0E" w:rsidRPr="63259912">
        <w:t>,</w:t>
      </w:r>
      <w:r w:rsidR="00B91047" w:rsidRPr="63259912">
        <w:t>0</w:t>
      </w:r>
      <w:r w:rsidRPr="63259912">
        <w:t xml:space="preserve"> mlrd. </w:t>
      </w:r>
      <w:r w:rsidR="00874E0E" w:rsidRPr="63259912">
        <w:t>EUR</w:t>
      </w:r>
      <w:r w:rsidR="00FA6C0A" w:rsidRPr="63259912">
        <w:t>/god</w:t>
      </w:r>
      <w:r w:rsidRPr="63259912">
        <w:t xml:space="preserve">, a BDP bi porastao za </w:t>
      </w:r>
      <w:r w:rsidR="006F62B1" w:rsidRPr="63259912">
        <w:t>2,</w:t>
      </w:r>
      <w:r w:rsidR="00B91047" w:rsidRPr="63259912">
        <w:t>4</w:t>
      </w:r>
      <w:r w:rsidRPr="63259912">
        <w:t xml:space="preserve"> mlrd. </w:t>
      </w:r>
      <w:r w:rsidR="00874E0E" w:rsidRPr="63259912">
        <w:t>EUR</w:t>
      </w:r>
      <w:r w:rsidR="00222CC2" w:rsidRPr="63259912">
        <w:t>/</w:t>
      </w:r>
      <w:r w:rsidR="00467A4F" w:rsidRPr="63259912">
        <w:t>god</w:t>
      </w:r>
      <w:r w:rsidRPr="63259912">
        <w:t>.</w:t>
      </w:r>
    </w:p>
    <w:p w14:paraId="09EBCD5A" w14:textId="77777777" w:rsidR="00B66B1B" w:rsidRDefault="00B66B1B" w:rsidP="004623DD"/>
    <w:p w14:paraId="2C365782" w14:textId="3C6EFF31" w:rsidR="00B66B1B" w:rsidRDefault="00B66B1B" w:rsidP="00982455">
      <w:pPr>
        <w:jc w:val="center"/>
      </w:pPr>
    </w:p>
    <w:p w14:paraId="584B9006" w14:textId="4E92F3B1" w:rsidR="005C52E9" w:rsidRDefault="00511829" w:rsidP="00982455">
      <w:pPr>
        <w:jc w:val="center"/>
      </w:pPr>
      <w:r w:rsidRPr="00511829">
        <w:rPr>
          <w:noProof/>
        </w:rPr>
        <w:lastRenderedPageBreak/>
        <w:drawing>
          <wp:inline distT="0" distB="0" distL="0" distR="0" wp14:anchorId="708AB811" wp14:editId="1BFD3441">
            <wp:extent cx="5471160" cy="3221168"/>
            <wp:effectExtent l="0" t="0" r="0" b="0"/>
            <wp:docPr id="299456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73322" cy="3222441"/>
                    </a:xfrm>
                    <a:prstGeom prst="rect">
                      <a:avLst/>
                    </a:prstGeom>
                    <a:noFill/>
                    <a:ln>
                      <a:noFill/>
                    </a:ln>
                  </pic:spPr>
                </pic:pic>
              </a:graphicData>
            </a:graphic>
          </wp:inline>
        </w:drawing>
      </w:r>
    </w:p>
    <w:p w14:paraId="53FEC37D" w14:textId="4980C2EF" w:rsidR="00BC0FED" w:rsidRPr="00652D60" w:rsidRDefault="00652D60" w:rsidP="004623DD">
      <w:pPr>
        <w:pStyle w:val="Caption"/>
        <w:rPr>
          <w:szCs w:val="20"/>
        </w:rPr>
      </w:pPr>
      <w:bookmarkStart w:id="744" w:name="_Toc185605281"/>
      <w:bookmarkStart w:id="745" w:name="_Toc193035927"/>
      <w:r w:rsidRPr="00ED2C06">
        <w:t xml:space="preserve">Slika </w:t>
      </w:r>
      <w:r>
        <w:fldChar w:fldCharType="begin"/>
      </w:r>
      <w:r>
        <w:instrText>STYLEREF 1 \s</w:instrText>
      </w:r>
      <w:r>
        <w:fldChar w:fldCharType="separate"/>
      </w:r>
      <w:r w:rsidR="00AD324D">
        <w:rPr>
          <w:noProof/>
        </w:rPr>
        <w:t>5</w:t>
      </w:r>
      <w:r>
        <w:fldChar w:fldCharType="end"/>
      </w:r>
      <w:r w:rsidR="00257B39">
        <w:t>–</w:t>
      </w:r>
      <w:r>
        <w:fldChar w:fldCharType="begin"/>
      </w:r>
      <w:r>
        <w:instrText>SEQ Slika \* ARABIC \s 1</w:instrText>
      </w:r>
      <w:r>
        <w:fldChar w:fldCharType="separate"/>
      </w:r>
      <w:r w:rsidR="004152B1">
        <w:rPr>
          <w:noProof/>
        </w:rPr>
        <w:t>6</w:t>
      </w:r>
      <w:r>
        <w:fldChar w:fldCharType="end"/>
      </w:r>
      <w:r w:rsidRPr="00ED2C06">
        <w:t xml:space="preserve">. </w:t>
      </w:r>
      <w:r>
        <w:t>Apsolutni godišnji učinci ulaganja prema razdobljima</w:t>
      </w:r>
      <w:bookmarkEnd w:id="744"/>
      <w:bookmarkEnd w:id="745"/>
    </w:p>
    <w:p w14:paraId="4EBA4F34" w14:textId="7CD42844" w:rsidR="00922CC4" w:rsidRPr="00CC344A" w:rsidRDefault="00922CC4" w:rsidP="004623DD">
      <w:r w:rsidRPr="00CC344A">
        <w:t>Provedene analize i dobiveni rezultati ukazuju na značajne makroekonomske učinke integriranog nacionalnog energetskog i klimatskog plana na hrvatsko gospodarstvo prikazano kroz utjecaj na BDP i zaposlenost, kako ukupnu tako i po sektorima.</w:t>
      </w:r>
    </w:p>
    <w:p w14:paraId="560879C6" w14:textId="1E5A07AC" w:rsidR="00996931" w:rsidRDefault="00922CC4" w:rsidP="004623DD">
      <w:r w:rsidRPr="63259912">
        <w:t>Provedena analiza je u određenoj mjeri limitirana dostupnošću i kvalitetom potrebnih ulaznih podataka gdje se prije svega misli na disagregaciju ukupnih investicija po sektorima hrvatskog gospodarstva te omjere uvozne i domaće komponente po sektorima. Input-output analiza je statička analiza te ne uzima u obzir buduće promjene u tehnološkim vezama među različitim djelatnostima.</w:t>
      </w:r>
    </w:p>
    <w:p w14:paraId="6CED22A8" w14:textId="175F2C65" w:rsidR="00495174" w:rsidRDefault="00A067FF" w:rsidP="00495174">
      <w:r>
        <w:t>S obzirom na trenutnu hrvatsku makroekonomsku situaciju i stanje na tržištu rada, kao i demografske trendove, potencijalni negativni društveni učinci zelene tranzicije nisu značajni</w:t>
      </w:r>
      <w:r w:rsidR="008F57B6">
        <w:t xml:space="preserve"> i pretežito </w:t>
      </w:r>
      <w:r w:rsidR="00810348">
        <w:t xml:space="preserve">bi mogli biti ograničeni na </w:t>
      </w:r>
      <w:r w:rsidR="008F57B6">
        <w:t>lokaln</w:t>
      </w:r>
      <w:r w:rsidR="00810348">
        <w:t>e</w:t>
      </w:r>
      <w:r w:rsidR="008F57B6">
        <w:t xml:space="preserve"> učink</w:t>
      </w:r>
      <w:r w:rsidR="00810348">
        <w:t>e</w:t>
      </w:r>
      <w:r>
        <w:t xml:space="preserve">. Naprotiv, ulaganja potrebna za uspješnu zelenu tranziciju stvorit će potražnju za </w:t>
      </w:r>
      <w:r w:rsidR="008F57B6">
        <w:t>novim radnim mjestima</w:t>
      </w:r>
      <w:r>
        <w:t>. S obzirom na to da će se značajan dio investicija realizirati u građevinskom sektoru, koji uglavnom zapošljava radnike</w:t>
      </w:r>
      <w:r w:rsidR="008F57B6">
        <w:t xml:space="preserve"> niske i srednje stručne spreme</w:t>
      </w:r>
      <w:r>
        <w:t>, potražnja za takvim radnicima će biti sve veća. To znači da takvi radnici nisu u</w:t>
      </w:r>
      <w:r w:rsidR="008E1DFB">
        <w:t>groženi</w:t>
      </w:r>
      <w:r>
        <w:t xml:space="preserve"> zeleno</w:t>
      </w:r>
      <w:r w:rsidR="008E1DFB">
        <w:t>m</w:t>
      </w:r>
      <w:r>
        <w:t xml:space="preserve"> tranzicij</w:t>
      </w:r>
      <w:r w:rsidR="008E1DFB">
        <w:t>om</w:t>
      </w:r>
      <w:r>
        <w:t xml:space="preserve">, naprotiv, potražnja za takvim radom stvorena investicijama mogla bi povećati njihove plaće i smanjiti </w:t>
      </w:r>
      <w:r w:rsidR="008E1DFB">
        <w:t>dohodovnu</w:t>
      </w:r>
      <w:r>
        <w:t xml:space="preserve"> nejednakost. </w:t>
      </w:r>
      <w:r w:rsidR="00495174">
        <w:t>Kako bi dodatno unaprijedio zelene vještine hrvatske radne snage, Hrvatski zavod za zapošljavanje je 2022. godine pokrenuo program vaučera za obrazovanje, koji uključuju tzv. „zelene programe“. Zeleni programi trenutno su dostupni i za zaposlene i za nezaposlene osobe, a sredstva su osigurana iz Nacionalnog plana oporavka i otpornosti 2021.-2026. i Europskog socijalnog fonda.</w:t>
      </w:r>
    </w:p>
    <w:p w14:paraId="531337DB" w14:textId="10B8F8DA" w:rsidR="00A067FF" w:rsidRDefault="00A067FF" w:rsidP="00A067FF">
      <w:r>
        <w:t xml:space="preserve">Međutim, lokalizirani negativni učinci bi se i dalje mogli pojaviti, na primjer u gradovima koji se </w:t>
      </w:r>
      <w:r w:rsidR="000E4C6B">
        <w:t>snažno</w:t>
      </w:r>
      <w:r>
        <w:t xml:space="preserve"> </w:t>
      </w:r>
      <w:r w:rsidR="000E4C6B">
        <w:t xml:space="preserve">ekonomski </w:t>
      </w:r>
      <w:r>
        <w:t xml:space="preserve">oslanjaju na </w:t>
      </w:r>
      <w:r w:rsidR="000E4C6B">
        <w:t>grane</w:t>
      </w:r>
      <w:r>
        <w:t xml:space="preserve"> industrij</w:t>
      </w:r>
      <w:r w:rsidR="000E4C6B">
        <w:t>e</w:t>
      </w:r>
      <w:r>
        <w:t xml:space="preserve"> </w:t>
      </w:r>
      <w:r w:rsidR="000E4C6B">
        <w:t>koje</w:t>
      </w:r>
      <w:r>
        <w:t xml:space="preserve"> zagađuj</w:t>
      </w:r>
      <w:r w:rsidR="000E4C6B">
        <w:t>u</w:t>
      </w:r>
      <w:r>
        <w:t xml:space="preserve"> okoliš.</w:t>
      </w:r>
    </w:p>
    <w:p w14:paraId="2352A43A" w14:textId="71EB832C" w:rsidR="001C5E71" w:rsidRDefault="001C5E71" w:rsidP="001C5E71">
      <w:r w:rsidRPr="63259912">
        <w:t xml:space="preserve">Izvješće za Hrvatsku 2020., Prilog D identificira Istarsku županiju (IŽ) i Sisačko-moslavačku županiju (SMŽ) kao prioritetne regije u procesu tranzicije, obzirom na proizvodnju el. energije </w:t>
      </w:r>
      <w:r w:rsidRPr="63259912">
        <w:lastRenderedPageBreak/>
        <w:t xml:space="preserve">iz ugljena i industriju ovisnu o fosilnim gorivima te obzirom da su to područja na koje bi smanjenje emisija </w:t>
      </w:r>
      <w:r w:rsidR="002647B9" w:rsidRPr="63259912">
        <w:t xml:space="preserve">stakleničkih plinova (u daljnjem tekstu: </w:t>
      </w:r>
      <w:r w:rsidRPr="63259912">
        <w:t>GHG</w:t>
      </w:r>
      <w:r w:rsidR="002647B9" w:rsidRPr="63259912">
        <w:t>)</w:t>
      </w:r>
      <w:r w:rsidRPr="63259912">
        <w:t xml:space="preserve"> moglo imati najznačajniji utjecaj. Izazovi tranzicije u IŽ povezani su s proizvodnjom cementa i ukidanjem proizvodnje el. energije iz ugljena. SMŽ je gotovo najsiromašnija županija u RH (indeks regionalnog razvoja u </w:t>
      </w:r>
      <w:r w:rsidR="00D90E59" w:rsidRPr="63259912">
        <w:t>2024</w:t>
      </w:r>
      <w:r w:rsidRPr="63259912">
        <w:t xml:space="preserve">., svrstava je na </w:t>
      </w:r>
      <w:r w:rsidR="00D90E59" w:rsidRPr="63259912">
        <w:t>18</w:t>
      </w:r>
      <w:r w:rsidRPr="63259912">
        <w:t>. mjesto od 21.), koje su dodatno osiromašili potresi u 2020. ostavljajući velike socijalno-ekonomske posljedice. Emisije GHG u SMŽ proizlaze iz kemijske industrije i prerade nafte. Ove energetski intenzivne industrije zapošljavaju značajan broj ljudi, pa dekarbonizacija zahtijeva dugoročna ulaganja u klimatski neutralne tehnologije, pri tome koristeći potencijal lokalne radne snage.</w:t>
      </w:r>
    </w:p>
    <w:p w14:paraId="3CB28222" w14:textId="6DE8CF1F" w:rsidR="001C5E71" w:rsidRDefault="001C5E71" w:rsidP="001C5E71">
      <w:r w:rsidRPr="63259912">
        <w:t>Proizvodni sektor u IŽ doprinosi najvećim udjelom emisija GHG, s oko 25</w:t>
      </w:r>
      <w:r w:rsidR="00627039" w:rsidRPr="63259912">
        <w:t> </w:t>
      </w:r>
      <w:r w:rsidRPr="63259912">
        <w:t>% regionalnog BDP-a i 20</w:t>
      </w:r>
      <w:r w:rsidR="00627039" w:rsidRPr="63259912">
        <w:t> </w:t>
      </w:r>
      <w:r w:rsidRPr="63259912">
        <w:t>% zaposlenosti. Postupno ukidanje korištenja fosilnih goriva u proizvodnim procesima može dovesti do gubitka radnih mjesta u industriji te zahtijeva diversifikaciju gospodarstva. Značajno oslanjanje područja Labinštine na energetski intenzivne gospodarske subjekte moglo bi potencijalno imati značajne negativne učinke u slučaju gašenja gospodarskih subjekata, njihovih operacija ili smanjenja njihove radne snage. Svaka promjena u strukturi zaposlenosti unutar gospodarskih subjekata snažno će se osjetiti na tržištu rada. Ekonomski učinak gospodarskih subjekata izuzetno je značajan i bilo kakve promjene u njihovom poslovanju ili budućim poslovnim planovima će uvelike utjecati na lokalne zajednice. Broj ugroženih radnih mjesta procijenjen je na 2.800 i dodatnih 1.000 od kojih je više od 90</w:t>
      </w:r>
      <w:r w:rsidR="006D117F" w:rsidRPr="63259912">
        <w:t> </w:t>
      </w:r>
      <w:r w:rsidRPr="63259912">
        <w:t>% s prebivalištem u obuhvaćenim područjima.</w:t>
      </w:r>
    </w:p>
    <w:p w14:paraId="0748CC46" w14:textId="30377F60" w:rsidR="001C5E71" w:rsidRDefault="001C5E71" w:rsidP="001C5E71">
      <w:r w:rsidRPr="63259912">
        <w:t xml:space="preserve">Iz perspektive klimatske tranzicije u SMŽ najznačajniji je proizvodni sektor koji pridonosi najvećem udjelu emisija GHG i zapošljava 24% regionalne radne snage. Gospodarski subjekti odnosno industrijska postrojenja ukupno zapošljavaju oko 2.325 osoba u SMŽ. Promatrajući izravno i neizravno zapošljavanje koje pružaju subjekti, sigurno </w:t>
      </w:r>
      <w:r w:rsidR="000D7515" w:rsidRPr="63259912">
        <w:t xml:space="preserve">je </w:t>
      </w:r>
      <w:r w:rsidRPr="63259912">
        <w:t xml:space="preserve">kako ta postrojenja imaju velik utjecaj na ponudu radnih mjesta u lokalnoj zajednici, ali i županiji kao cjelini. Zatvaranje subjekta ili restrukturiranje radne snage ili mreže dobavljača, će predstavljati značajan negativan utjecaj na SMŽ. Proces tranzicije prema niskougljičnom gospodarstvu SMŽ omogućit će znatne promjene u strukturi gospodarstva županije, kao i u traženim zanimanjima te će biti nužna prekvalifikacija pogođenih radnika u održiva zanimanja za kojima postoji potražnja na tržištu. </w:t>
      </w:r>
    </w:p>
    <w:p w14:paraId="0FBC63BB" w14:textId="291408A5" w:rsidR="001C5E71" w:rsidRDefault="001C5E71" w:rsidP="001C5E71">
      <w:r>
        <w:t xml:space="preserve">Integrirani teritorijalni program 2021. - 2027. (ITP) uključuje korištenje Europskog fonda za regionalni razvoj i Fonda za pravednu tranziciju (FPT). FPT je zamišljen kao ključni financijski mehanizam za potporu društveno-ekonomski najugroženijim područjima u njihovom procesu tranzicije prema klimatskoj neutralnosti i za sprečavanje rasta regionalnih razlika do kojih bi tom prilikom moglo doći. Sredstva iz FPT-a u iznosu od 185,9 milijuna </w:t>
      </w:r>
      <w:r w:rsidR="00153539">
        <w:t>EUR</w:t>
      </w:r>
      <w:r>
        <w:t xml:space="preserve"> za razdoblje 2021.–2027. koristit će se na području Sisačko-moslavačke (SMŽ) i Istarske županije (IŽ) u okviru ITP-a, Specifičnog cilja JSO8.1. Omogućivanje regijama i ljudima da ublaže socijalne i gospodarske učinke te učinke na zapošljavanje i okoliš koji su posljedica tranzicije prema ostvarenju klimatskih i energetskih ciljnih vrijednosti Unije do 2030. i klimatski neutralnom gospodarstvu Unije do 2050., na temelju Pariškog sporazuma. Konačni teritorijalni i tematski opseg potpore FPT-a definiran je Teritorijalnim planom za pravednu tranziciju (TPPT), koji je prilog ITP-u.</w:t>
      </w:r>
    </w:p>
    <w:p w14:paraId="525B726F" w14:textId="77777777" w:rsidR="001C5E71" w:rsidRDefault="001C5E71" w:rsidP="001C5E71">
      <w:r>
        <w:t>U okviru spomenutog Specifičnog cilja, odnosno Prioriteta 4. Pravedna tranzicija ITP-a, predviđene se sljedeće povezane vrste djelovanja:</w:t>
      </w:r>
    </w:p>
    <w:p w14:paraId="133B477F" w14:textId="77777777" w:rsidR="001C5E71" w:rsidRDefault="001C5E71" w:rsidP="001C5E71">
      <w:r w:rsidRPr="63259912">
        <w:lastRenderedPageBreak/>
        <w:t>•</w:t>
      </w:r>
      <w:r>
        <w:tab/>
      </w:r>
      <w:r w:rsidRPr="63259912">
        <w:t>Ulaganja u poduzetničku infrastrukturu, primarno usmjerenoj prema zelenoj i digitalnoj ekonomiji kao okosnici budućeg razvoja uključenog područja, osobito u kontekstu procesa dekarbonizacije i napuštanja, odnosno zamjene dotrajalih tehnologija temeljenih na fosilnim gorivima s visokim emisijom stakleničkih plinova. Navedena aktivnost uključuje ulaganja poduzetničke potporne institucije (coworking prostori, tehnološkoinovacijski inkubatori, centre (HUB) znanja, kreativnosti i inovacija) u poduzetničke zone. Ova intervencija ne uključuje ulaganja u ETS instalacije, pošto je ulaganje u tehnologiju hvatanja i skladištenja ugljika u Holcim d.o.o. jedino ETS ulaganje koje će se financirati kroz FPT. (IŽ)</w:t>
      </w:r>
    </w:p>
    <w:p w14:paraId="64329BE4" w14:textId="77777777" w:rsidR="001C5E71" w:rsidRDefault="001C5E71" w:rsidP="001C5E71">
      <w:r w:rsidRPr="63259912">
        <w:t>•</w:t>
      </w:r>
      <w:r>
        <w:tab/>
      </w:r>
      <w:r w:rsidRPr="63259912">
        <w:t>Razvoj poljoprivredne i prehrambene poduzetničke infrastrukture u IŽ kroz uspostavu centra za agropoduzetništvo. (IŽ)</w:t>
      </w:r>
    </w:p>
    <w:p w14:paraId="049361FB" w14:textId="77777777" w:rsidR="001C5E71" w:rsidRDefault="001C5E71" w:rsidP="001C5E71">
      <w:r>
        <w:t>•</w:t>
      </w:r>
      <w:r>
        <w:tab/>
        <w:t>Poticanje istraživačkih i inovacijskih aktivnosti putem ulaganja u visokorazvijeni sektor istraživanja, razvoja i inovacija (IRI), rekonstrukcije i opremanja javnih istraživačkih ustanova, izvođenja primijenjenih istraživanja; aktivnosti vezanih za transfer znanja i tehnologije; zapošljavanje osoblja; izrade istraživačkih studija; eksperimentalni razvoj, aktivnosti poticanja MSP-ova na korištenje inovacija u zelenim i digitalnim tehnologijama u vlastitom poslovanju. (IŽ)</w:t>
      </w:r>
    </w:p>
    <w:p w14:paraId="2522A018" w14:textId="328350D4" w:rsidR="001C5E71" w:rsidRDefault="001C5E71" w:rsidP="001C5E71">
      <w:r w:rsidRPr="63259912">
        <w:t>•</w:t>
      </w:r>
      <w:r>
        <w:tab/>
      </w:r>
      <w:r w:rsidRPr="63259912">
        <w:t>Ulaganje u unaprjeđenje kružnog gospodarstva putem aktivnosti izgradnje i opremanja reciklažnih dvorišta, stvaranja tehničkih preduvjeta za učinkovitu ponovnu uporabu otpada te uz provođenje ciljanih informativno-obrazovnih aktivnosti. (IŽ)</w:t>
      </w:r>
    </w:p>
    <w:p w14:paraId="3C647E41" w14:textId="77777777" w:rsidR="001C5E71" w:rsidRDefault="001C5E71" w:rsidP="001C5E71">
      <w:r>
        <w:t>•</w:t>
      </w:r>
      <w:r>
        <w:tab/>
        <w:t>Provedba programa usmjerenih prema budućim kompetencijama putem prekvalifikacija, karijernog savjetovanja obrazovanja odraslih (poput zaposlenih osoba, socijalno ugroženih osoba, osoba u nepovoljnom položaju) s naglaskom na tehnološke smjerove i zanimanja koja prate razvojne smjernice lokalnog gospodarstva. (IŽ)</w:t>
      </w:r>
    </w:p>
    <w:p w14:paraId="764C4CAA" w14:textId="77777777" w:rsidR="001C5E71" w:rsidRDefault="001C5E71" w:rsidP="001C5E71">
      <w:r>
        <w:t>•</w:t>
      </w:r>
      <w:r>
        <w:tab/>
        <w:t>Provedba programa usmjerenih prema budućim kompetencijama putem izgradnje i opremanja odgojno-obrazovnih institucija s ciljem unaprjeđenja obrazovnih programa usmjerenih na kompetencije učenika. (IŽ)</w:t>
      </w:r>
    </w:p>
    <w:p w14:paraId="682619C8" w14:textId="6BD0D09D" w:rsidR="001C5E71" w:rsidRDefault="1E771CB5" w:rsidP="001C5E71">
      <w:r>
        <w:t>•</w:t>
      </w:r>
      <w:r w:rsidR="001C5E71">
        <w:tab/>
      </w:r>
      <w:r>
        <w:t>Mobilizirati ETS sektor za smanjenje udjela regionalnih emisija stakleničkih plinova u ukupnom nacionalnom računu putem izravnih ulaganja koja doprinose smanjivanju cjelokupnih emisija CO2, u skladu s klimatskim ciljevima Europskog zelenog plana o ugljičnoj neutralnosti (Holcim d.o.o., tehnologija hvatanja i skladištenja ugljika). (IŽ)</w:t>
      </w:r>
    </w:p>
    <w:p w14:paraId="62894130" w14:textId="2DB96C03" w:rsidR="001C5E71" w:rsidRDefault="001C5E71" w:rsidP="001C5E71">
      <w:r>
        <w:t>•</w:t>
      </w:r>
      <w:r>
        <w:tab/>
        <w:t>Doprinos smanjenju udjela regionalnih emisija stakleničkih plinova u ukupnom nacionalnom računu putem programa ulaganja u proizvodne inovacije MSP-ova koje za cilj imaju poboljšati efikasnost proizvodnih i poslovnih procesa na inovativan način, a sve u kontekstu prelaska na emisijski neutralno gospodarstvo. (IŽ)</w:t>
      </w:r>
    </w:p>
    <w:p w14:paraId="4696A787" w14:textId="77777777" w:rsidR="001C5E71" w:rsidRDefault="001C5E71" w:rsidP="001C5E71">
      <w:r>
        <w:t>•</w:t>
      </w:r>
      <w:r>
        <w:tab/>
        <w:t>Provedba programa usmjerenih na razvoj vještina i mogućnosti zapošljavanja u regiji kroz ulaganje u izgradnju i opremanje Majstorske škole. (SMŽ)</w:t>
      </w:r>
    </w:p>
    <w:p w14:paraId="1CA5BEC3" w14:textId="14C82B09" w:rsidR="001C5E71" w:rsidRDefault="001C5E71" w:rsidP="001C5E71">
      <w:r w:rsidRPr="63259912">
        <w:t>•</w:t>
      </w:r>
      <w:r>
        <w:tab/>
      </w:r>
      <w:r w:rsidRPr="63259912">
        <w:t>Razvoj IKT industrije kao pokretača zapošljavanja s visokom dodanom vrijednosti i povećanje mogućnosti zapošljavanja radne snage koja je uslijed tranzicije izgubila radno mjesto, kroz ulaganje u pokretanje kampusa gaming industrije u gradu Novskoj, uz pružanje podrške MSP-ovima i start-upovima u gaming industriji, ali i ostalim sektorima (drv</w:t>
      </w:r>
      <w:r w:rsidR="00BC3FE9" w:rsidRPr="63259912">
        <w:t>n</w:t>
      </w:r>
      <w:r w:rsidRPr="63259912">
        <w:t>a industrija, metalurška industrija, turizam, poljoprivreda, obrazovanje itd.) uključujući i pružanje inovativnih digitalnih usluga. Tehnologije koje će se koristiti u svrhu digitalne transformacije MSP-ova su Game-</w:t>
      </w:r>
      <w:r w:rsidRPr="63259912">
        <w:lastRenderedPageBreak/>
        <w:t>development (gamification) with Virtual reality and Augmented reality, Blockchain technologies and Internet of Things (IoT). (SMŽ)</w:t>
      </w:r>
    </w:p>
    <w:p w14:paraId="1D93F4B7" w14:textId="77777777" w:rsidR="001C5E71" w:rsidRDefault="001C5E71" w:rsidP="001C5E71">
      <w:r>
        <w:t>•</w:t>
      </w:r>
      <w:r>
        <w:tab/>
        <w:t>Poticanje konkurentnosti i prepoznatljivosti obrtnika i poduzetnika s područja županije kroz uspostavu infrastrukture (uključujući i opremanje) za razvoj novih poduzetničkih inkubatora na području cijele SMŽ. (SMŽ)</w:t>
      </w:r>
    </w:p>
    <w:p w14:paraId="501FDAF5" w14:textId="77777777" w:rsidR="001C5E71" w:rsidRDefault="001C5E71" w:rsidP="001C5E71">
      <w:r>
        <w:t>Glavne ciljne skupine su jedinice lokalne i (područne) regionalne samouprave; poduzetnici i obrtnici; radno aktivno stanovništvo, radnici, nezaposleni, učenici, studenti i ostalo lokalno stanovništvo; istraživačke i obrazovne ustanove; organizacije civilnog društva.</w:t>
      </w:r>
    </w:p>
    <w:p w14:paraId="2547F9D8" w14:textId="77777777" w:rsidR="00A13A76" w:rsidRDefault="001C5E71" w:rsidP="001C5E71">
      <w:r>
        <w:t>Procjenjuje se da će predviđena ulaganja u ove dvije županije stvoriti direktna, ali i indirektna radna mjesta te utjecati na osposobljavanje i prekvalificiranje osoba.</w:t>
      </w:r>
    </w:p>
    <w:p w14:paraId="40EB5195" w14:textId="041E9BB4" w:rsidR="00D76CD3" w:rsidRDefault="0000175E" w:rsidP="001C5E71">
      <w:r w:rsidRPr="0000175E">
        <w:t>Izmjenom Karte regionalnih potpora za RH za razdoblje 2022. - 2027., om</w:t>
      </w:r>
      <w:r>
        <w:t>o</w:t>
      </w:r>
      <w:r w:rsidRPr="0000175E">
        <w:t>gućeno je na podru</w:t>
      </w:r>
      <w:r>
        <w:t>č</w:t>
      </w:r>
      <w:r w:rsidRPr="0000175E">
        <w:t>ju SMŽ, kao području koje je utvrđeno za potporu iz Fonda za pravednu tranziciju, uvećanje maksimalnih intenziteta potpore za 10 postotnih bodova.</w:t>
      </w:r>
    </w:p>
    <w:p w14:paraId="7EE51B47" w14:textId="77777777" w:rsidR="00996931" w:rsidRDefault="00996931">
      <w:pPr>
        <w:spacing w:after="0"/>
      </w:pPr>
      <w:r>
        <w:br w:type="page"/>
      </w:r>
    </w:p>
    <w:p w14:paraId="78E596C7" w14:textId="0B527EB9" w:rsidR="00920EBC" w:rsidRPr="00B47BDA" w:rsidRDefault="00D839FC" w:rsidP="005C2C7E">
      <w:pPr>
        <w:pStyle w:val="Heading2"/>
        <w:numPr>
          <w:ilvl w:val="1"/>
          <w:numId w:val="175"/>
        </w:numPr>
      </w:pPr>
      <w:bookmarkStart w:id="746" w:name="_Toc531935273"/>
      <w:bookmarkStart w:id="747" w:name="_Toc531945135"/>
      <w:bookmarkStart w:id="748" w:name="_Toc6302393"/>
      <w:r w:rsidRPr="00B47BDA">
        <w:lastRenderedPageBreak/>
        <w:tab/>
      </w:r>
      <w:bookmarkStart w:id="749" w:name="_Toc187418372"/>
      <w:bookmarkStart w:id="750" w:name="_Toc193043297"/>
      <w:r w:rsidR="001C7248" w:rsidRPr="00B47BDA">
        <w:t>Pregled potrebnih ulaganja</w:t>
      </w:r>
      <w:bookmarkEnd w:id="749"/>
      <w:bookmarkEnd w:id="750"/>
    </w:p>
    <w:p w14:paraId="472928AF" w14:textId="77777777" w:rsidR="00E85956" w:rsidRPr="00B47BDA" w:rsidRDefault="00E85956" w:rsidP="005C2C7E">
      <w:pPr>
        <w:pStyle w:val="Heading4"/>
        <w:numPr>
          <w:ilvl w:val="3"/>
          <w:numId w:val="175"/>
        </w:numPr>
        <w:ind w:hanging="580"/>
      </w:pPr>
      <w:r w:rsidRPr="00B47BDA">
        <w:t>Postojeći tokovi ulaganja i predviđanja budućih ulaganja u odnosu na planirane politike i mjere</w:t>
      </w:r>
    </w:p>
    <w:p w14:paraId="63B660A7" w14:textId="68475F74" w:rsidR="00A56A7B" w:rsidRPr="00B47BDA" w:rsidRDefault="00BD29EE" w:rsidP="004623DD">
      <w:r w:rsidRPr="00B47BDA">
        <w:rPr>
          <w:rFonts w:cs="Tahoma"/>
          <w:lang w:eastAsia="ar-SA"/>
        </w:rPr>
        <w:fldChar w:fldCharType="begin"/>
      </w:r>
      <w:r w:rsidRPr="00B47BDA">
        <w:instrText xml:space="preserve"> REF _Ref19965510 \h </w:instrText>
      </w:r>
      <w:r w:rsidR="006E1C44" w:rsidRPr="00B47BDA">
        <w:rPr>
          <w:rFonts w:cs="Tahoma"/>
          <w:lang w:eastAsia="ar-SA"/>
        </w:rPr>
        <w:instrText xml:space="preserve"> \* MERGEFORMAT </w:instrText>
      </w:r>
      <w:r w:rsidRPr="00B47BDA">
        <w:rPr>
          <w:rFonts w:cs="Tahoma"/>
          <w:lang w:eastAsia="ar-SA"/>
        </w:rPr>
      </w:r>
      <w:r w:rsidRPr="00B47BDA">
        <w:rPr>
          <w:rFonts w:cs="Tahoma"/>
          <w:lang w:eastAsia="ar-SA"/>
        </w:rPr>
        <w:fldChar w:fldCharType="separate"/>
      </w:r>
      <w:r w:rsidR="00274B3B" w:rsidRPr="00652D60">
        <w:t xml:space="preserve">Tablica </w:t>
      </w:r>
      <w:r w:rsidR="00274B3B">
        <w:t>5</w:t>
      </w:r>
      <w:r w:rsidR="00274B3B" w:rsidRPr="00652D60">
        <w:noBreakHyphen/>
      </w:r>
      <w:r w:rsidR="00274B3B">
        <w:t>6</w:t>
      </w:r>
      <w:r w:rsidRPr="00B47BDA">
        <w:rPr>
          <w:rFonts w:cs="Tahoma"/>
          <w:lang w:eastAsia="ar-SA"/>
        </w:rPr>
        <w:fldChar w:fldCharType="end"/>
      </w:r>
      <w:r w:rsidR="00BB4DA0" w:rsidRPr="63259912">
        <w:rPr>
          <w:rFonts w:cs="Tahoma"/>
          <w:lang w:eastAsia="ar-SA"/>
        </w:rPr>
        <w:t>.</w:t>
      </w:r>
      <w:r w:rsidRPr="63259912">
        <w:t xml:space="preserve"> </w:t>
      </w:r>
      <w:r w:rsidR="00651675" w:rsidRPr="63259912">
        <w:t>i 5-</w:t>
      </w:r>
      <w:r w:rsidR="00274B3B">
        <w:t>7</w:t>
      </w:r>
      <w:r w:rsidR="00BB4DA0" w:rsidRPr="63259912">
        <w:t>.</w:t>
      </w:r>
      <w:r w:rsidR="00651675" w:rsidRPr="63259912">
        <w:t xml:space="preserve"> </w:t>
      </w:r>
      <w:r w:rsidR="00A56A7B" w:rsidRPr="63259912">
        <w:t>prikazuj</w:t>
      </w:r>
      <w:r w:rsidR="00651675" w:rsidRPr="63259912">
        <w:t>u</w:t>
      </w:r>
      <w:r w:rsidR="00A56A7B" w:rsidRPr="63259912">
        <w:t xml:space="preserve"> </w:t>
      </w:r>
      <w:r w:rsidR="00BE4062" w:rsidRPr="63259912">
        <w:t>procjenu ukupnih ulaganja za razdoblje 202</w:t>
      </w:r>
      <w:r w:rsidR="002B42E7" w:rsidRPr="63259912">
        <w:t>4</w:t>
      </w:r>
      <w:r w:rsidR="00BE4062" w:rsidRPr="63259912">
        <w:t>. – 2030.</w:t>
      </w:r>
      <w:r w:rsidR="00BB4DA0" w:rsidRPr="63259912">
        <w:t xml:space="preserve"> godine</w:t>
      </w:r>
      <w:r w:rsidR="00BE4062" w:rsidRPr="63259912">
        <w:t xml:space="preserve"> kao i za razdoblje 2031. – 2050.</w:t>
      </w:r>
      <w:r w:rsidR="00BB1BD1" w:rsidRPr="63259912">
        <w:t xml:space="preserve"> </w:t>
      </w:r>
      <w:r w:rsidR="00BB4DA0" w:rsidRPr="63259912">
        <w:t xml:space="preserve">godine. </w:t>
      </w:r>
      <w:r w:rsidR="005A3295" w:rsidRPr="63259912">
        <w:t xml:space="preserve">Ukupna procijenjena ulaganja do 2030. godine, uključujući i potrebne investicije u </w:t>
      </w:r>
      <w:r w:rsidR="002D0685" w:rsidRPr="63259912">
        <w:t>izgradnju novih zgrada (nZEB novogradnja) iznose oko 4</w:t>
      </w:r>
      <w:r w:rsidR="00132090" w:rsidRPr="63259912">
        <w:t>5</w:t>
      </w:r>
      <w:r w:rsidR="002D0685" w:rsidRPr="63259912">
        <w:t xml:space="preserve"> milijardi EUR.</w:t>
      </w:r>
    </w:p>
    <w:p w14:paraId="0D3A3174" w14:textId="7170D055" w:rsidR="003F4C53" w:rsidRPr="00652D60" w:rsidRDefault="00C91927" w:rsidP="004623DD">
      <w:pPr>
        <w:pStyle w:val="Caption"/>
      </w:pPr>
      <w:bookmarkStart w:id="751" w:name="_Ref19965510"/>
      <w:bookmarkStart w:id="752" w:name="_Toc193035977"/>
      <w:r w:rsidRPr="00652D60">
        <w:t xml:space="preserve">Tablica </w:t>
      </w:r>
      <w:r>
        <w:fldChar w:fldCharType="begin"/>
      </w:r>
      <w:r>
        <w:instrText>STYLEREF 1 \s</w:instrText>
      </w:r>
      <w:r>
        <w:fldChar w:fldCharType="separate"/>
      </w:r>
      <w:r w:rsidR="00AD324D">
        <w:rPr>
          <w:noProof/>
        </w:rPr>
        <w:t>5</w:t>
      </w:r>
      <w:r>
        <w:fldChar w:fldCharType="end"/>
      </w:r>
      <w:r w:rsidR="00DE7F11" w:rsidRPr="00652D60">
        <w:noBreakHyphen/>
      </w:r>
      <w:r>
        <w:fldChar w:fldCharType="begin"/>
      </w:r>
      <w:r>
        <w:instrText>SEQ Tablica \* ARABIC \s 1</w:instrText>
      </w:r>
      <w:r>
        <w:fldChar w:fldCharType="separate"/>
      </w:r>
      <w:r w:rsidR="00274B3B">
        <w:rPr>
          <w:noProof/>
        </w:rPr>
        <w:t>6</w:t>
      </w:r>
      <w:r>
        <w:fldChar w:fldCharType="end"/>
      </w:r>
      <w:bookmarkEnd w:id="751"/>
      <w:r w:rsidRPr="00652D60">
        <w:t xml:space="preserve">. </w:t>
      </w:r>
      <w:r w:rsidR="003F4C53" w:rsidRPr="00652D60">
        <w:t xml:space="preserve">Procjena ulaganja </w:t>
      </w:r>
      <w:r w:rsidR="00B870B1" w:rsidRPr="00652D60">
        <w:t xml:space="preserve">u energetski sektor </w:t>
      </w:r>
      <w:r w:rsidR="00294FC3" w:rsidRPr="00652D60">
        <w:t>do</w:t>
      </w:r>
      <w:r w:rsidR="003F4C53" w:rsidRPr="00652D60">
        <w:t xml:space="preserve"> 2050.</w:t>
      </w:r>
      <w:r w:rsidR="00294FC3" w:rsidRPr="00652D60">
        <w:t xml:space="preserve"> godine</w:t>
      </w:r>
      <w:bookmarkEnd w:id="752"/>
    </w:p>
    <w:tbl>
      <w:tblPr>
        <w:tblW w:w="6642" w:type="dxa"/>
        <w:jc w:val="center"/>
        <w:tblLook w:val="04A0" w:firstRow="1" w:lastRow="0" w:firstColumn="1" w:lastColumn="0" w:noHBand="0" w:noVBand="1"/>
      </w:tblPr>
      <w:tblGrid>
        <w:gridCol w:w="3614"/>
        <w:gridCol w:w="1449"/>
        <w:gridCol w:w="1579"/>
      </w:tblGrid>
      <w:tr w:rsidR="001C6F2E" w:rsidRPr="00651675" w14:paraId="79660CAB" w14:textId="77777777" w:rsidTr="63259912">
        <w:trPr>
          <w:trHeight w:val="288"/>
          <w:jc w:val="center"/>
        </w:trPr>
        <w:tc>
          <w:tcPr>
            <w:tcW w:w="3614"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02C08EA0"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milijuna EUR</w:t>
            </w:r>
          </w:p>
        </w:tc>
        <w:tc>
          <w:tcPr>
            <w:tcW w:w="1449"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14:paraId="302C4C98" w14:textId="77777777" w:rsidR="001C6F2E" w:rsidRPr="00546669" w:rsidRDefault="001C6F2E" w:rsidP="00651675">
            <w:pPr>
              <w:jc w:val="center"/>
              <w:rPr>
                <w:rFonts w:asciiTheme="minorHAnsi" w:hAnsiTheme="minorHAnsi" w:cstheme="minorHAnsi"/>
                <w:b/>
                <w:sz w:val="22"/>
                <w:szCs w:val="22"/>
              </w:rPr>
            </w:pPr>
            <w:r w:rsidRPr="00546669">
              <w:rPr>
                <w:rFonts w:asciiTheme="minorHAnsi" w:hAnsiTheme="minorHAnsi" w:cstheme="minorHAnsi"/>
                <w:b/>
                <w:sz w:val="22"/>
                <w:szCs w:val="22"/>
              </w:rPr>
              <w:t>2024.–2030.</w:t>
            </w:r>
          </w:p>
        </w:tc>
        <w:tc>
          <w:tcPr>
            <w:tcW w:w="1579"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14:paraId="2E832D1A" w14:textId="77777777" w:rsidR="001C6F2E" w:rsidRPr="00546669" w:rsidRDefault="001C6F2E" w:rsidP="00651675">
            <w:pPr>
              <w:jc w:val="center"/>
              <w:rPr>
                <w:rFonts w:asciiTheme="minorHAnsi" w:hAnsiTheme="minorHAnsi" w:cstheme="minorHAnsi"/>
                <w:b/>
                <w:sz w:val="22"/>
                <w:szCs w:val="22"/>
              </w:rPr>
            </w:pPr>
            <w:r w:rsidRPr="00546669">
              <w:rPr>
                <w:rFonts w:asciiTheme="minorHAnsi" w:hAnsiTheme="minorHAnsi" w:cstheme="minorHAnsi"/>
                <w:b/>
                <w:sz w:val="22"/>
                <w:szCs w:val="22"/>
              </w:rPr>
              <w:t>2031.–2050.</w:t>
            </w:r>
          </w:p>
        </w:tc>
      </w:tr>
      <w:tr w:rsidR="001C6F2E" w:rsidRPr="00651675" w14:paraId="40F784FE"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5B00EE3C"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Proizvodnja električne energije</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4DC06636" w14:textId="396EC079" w:rsidR="001C6F2E" w:rsidRPr="00546669" w:rsidRDefault="0001737A" w:rsidP="00651675">
            <w:pPr>
              <w:jc w:val="center"/>
              <w:rPr>
                <w:rFonts w:asciiTheme="minorHAnsi" w:hAnsiTheme="minorHAnsi" w:cstheme="minorHAnsi"/>
                <w:sz w:val="22"/>
                <w:szCs w:val="22"/>
              </w:rPr>
            </w:pPr>
            <w:r w:rsidRPr="00546669">
              <w:rPr>
                <w:rFonts w:asciiTheme="minorHAnsi" w:hAnsiTheme="minorHAnsi" w:cstheme="minorHAnsi"/>
                <w:sz w:val="22"/>
                <w:szCs w:val="22"/>
              </w:rPr>
              <w:t>5.028</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691E0D77" w14:textId="68DAB19B" w:rsidR="001C6F2E" w:rsidRPr="00546669" w:rsidRDefault="0001737A" w:rsidP="00651675">
            <w:pPr>
              <w:jc w:val="center"/>
              <w:rPr>
                <w:rFonts w:asciiTheme="minorHAnsi" w:hAnsiTheme="minorHAnsi" w:cstheme="minorHAnsi"/>
                <w:sz w:val="22"/>
                <w:szCs w:val="22"/>
              </w:rPr>
            </w:pPr>
            <w:r w:rsidRPr="00546669">
              <w:rPr>
                <w:rFonts w:asciiTheme="minorHAnsi" w:hAnsiTheme="minorHAnsi" w:cstheme="minorHAnsi"/>
                <w:sz w:val="22"/>
                <w:szCs w:val="22"/>
              </w:rPr>
              <w:t>8.096</w:t>
            </w:r>
          </w:p>
        </w:tc>
      </w:tr>
      <w:tr w:rsidR="001C6F2E" w:rsidRPr="00651675" w14:paraId="59E19514"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62B461E5"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Prijenos električne energije</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3D1C8A59" w14:textId="28DC645F" w:rsidR="001C6F2E" w:rsidRPr="00546669" w:rsidRDefault="00085068" w:rsidP="00651675">
            <w:pPr>
              <w:jc w:val="center"/>
              <w:rPr>
                <w:rFonts w:asciiTheme="minorHAnsi" w:hAnsiTheme="minorHAnsi" w:cstheme="minorHAnsi"/>
                <w:sz w:val="22"/>
                <w:szCs w:val="22"/>
              </w:rPr>
            </w:pPr>
            <w:r>
              <w:rPr>
                <w:rFonts w:asciiTheme="minorHAnsi" w:hAnsiTheme="minorHAnsi" w:cstheme="minorHAnsi"/>
                <w:sz w:val="22"/>
                <w:szCs w:val="22"/>
              </w:rPr>
              <w:t>1.045</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0AF4515A"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2.500</w:t>
            </w:r>
          </w:p>
        </w:tc>
      </w:tr>
      <w:tr w:rsidR="001C6F2E" w:rsidRPr="00651675" w14:paraId="576777C4"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3E2100A0"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Distribucija električne energije</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1321C43B" w14:textId="7603BEFD" w:rsidR="001C6F2E" w:rsidRPr="00911E18" w:rsidRDefault="00085068" w:rsidP="00651675">
            <w:pPr>
              <w:jc w:val="center"/>
              <w:rPr>
                <w:rFonts w:asciiTheme="minorHAnsi" w:hAnsiTheme="minorHAnsi" w:cstheme="minorHAnsi"/>
                <w:sz w:val="22"/>
                <w:szCs w:val="22"/>
              </w:rPr>
            </w:pPr>
            <w:r w:rsidRPr="00911E18">
              <w:rPr>
                <w:rFonts w:asciiTheme="minorHAnsi" w:hAnsiTheme="minorHAnsi" w:cstheme="minorHAnsi"/>
                <w:sz w:val="22"/>
                <w:szCs w:val="22"/>
              </w:rPr>
              <w:t>1.</w:t>
            </w:r>
            <w:r w:rsidR="00314406" w:rsidRPr="00911E18">
              <w:rPr>
                <w:rFonts w:asciiTheme="minorHAnsi" w:hAnsiTheme="minorHAnsi" w:cstheme="minorHAnsi"/>
                <w:sz w:val="22"/>
                <w:szCs w:val="22"/>
              </w:rPr>
              <w:t>780</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1171D790" w14:textId="08C2E194" w:rsidR="001C6F2E" w:rsidRPr="00911E18" w:rsidRDefault="001C6F2E" w:rsidP="00651675">
            <w:pPr>
              <w:jc w:val="center"/>
              <w:rPr>
                <w:rFonts w:asciiTheme="minorHAnsi" w:hAnsiTheme="minorHAnsi" w:cstheme="minorHAnsi"/>
                <w:sz w:val="22"/>
                <w:szCs w:val="22"/>
              </w:rPr>
            </w:pPr>
            <w:r w:rsidRPr="00911E18">
              <w:rPr>
                <w:rFonts w:asciiTheme="minorHAnsi" w:hAnsiTheme="minorHAnsi" w:cstheme="minorHAnsi"/>
                <w:sz w:val="22"/>
                <w:szCs w:val="22"/>
              </w:rPr>
              <w:t>4.</w:t>
            </w:r>
            <w:r w:rsidR="00F534C4" w:rsidRPr="00911E18">
              <w:rPr>
                <w:rFonts w:asciiTheme="minorHAnsi" w:hAnsiTheme="minorHAnsi" w:cstheme="minorHAnsi"/>
                <w:sz w:val="22"/>
                <w:szCs w:val="22"/>
              </w:rPr>
              <w:t>400</w:t>
            </w:r>
          </w:p>
        </w:tc>
      </w:tr>
      <w:tr w:rsidR="001C6F2E" w:rsidRPr="00651675" w14:paraId="02A6CAEF"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376A8CD8"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Toplinarstvo</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0DAA10DD" w14:textId="5DC3AB02" w:rsidR="001C6F2E" w:rsidRPr="00546669" w:rsidRDefault="008B336F" w:rsidP="00651675">
            <w:pPr>
              <w:jc w:val="center"/>
              <w:rPr>
                <w:rFonts w:asciiTheme="minorHAnsi" w:hAnsiTheme="minorHAnsi" w:cstheme="minorHAnsi"/>
                <w:sz w:val="22"/>
                <w:szCs w:val="22"/>
              </w:rPr>
            </w:pPr>
            <w:r>
              <w:rPr>
                <w:rFonts w:asciiTheme="minorHAnsi" w:hAnsiTheme="minorHAnsi" w:cstheme="minorHAnsi"/>
                <w:sz w:val="22"/>
                <w:szCs w:val="22"/>
              </w:rPr>
              <w:t>1.371</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5055B252"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510</w:t>
            </w:r>
          </w:p>
        </w:tc>
      </w:tr>
      <w:tr w:rsidR="001C6F2E" w:rsidRPr="00651675" w14:paraId="18B22528"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53C3EFD1"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 xml:space="preserve">   - infrastruktura (mreža)</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1ED3F93A" w14:textId="36844A10" w:rsidR="001C6F2E" w:rsidRPr="00546669" w:rsidRDefault="008B336F" w:rsidP="00651675">
            <w:pPr>
              <w:jc w:val="center"/>
              <w:rPr>
                <w:rFonts w:asciiTheme="minorHAnsi" w:hAnsiTheme="minorHAnsi" w:cstheme="minorHAnsi"/>
                <w:sz w:val="22"/>
                <w:szCs w:val="22"/>
              </w:rPr>
            </w:pPr>
            <w:r>
              <w:rPr>
                <w:rFonts w:asciiTheme="minorHAnsi" w:hAnsiTheme="minorHAnsi" w:cstheme="minorHAnsi"/>
                <w:sz w:val="22"/>
                <w:szCs w:val="22"/>
              </w:rPr>
              <w:t>401</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450CD773"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w:t>
            </w:r>
          </w:p>
        </w:tc>
      </w:tr>
      <w:tr w:rsidR="001C6F2E" w:rsidRPr="00651675" w14:paraId="37FCDA3C"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054822DC"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 xml:space="preserve">   - geotermalna energija</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3B6E15A8"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770</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0941AFAB"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290</w:t>
            </w:r>
          </w:p>
        </w:tc>
      </w:tr>
      <w:tr w:rsidR="001C6F2E" w:rsidRPr="00651675" w14:paraId="488950CC"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7A4D0297"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 xml:space="preserve">   - solarni sustavi</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7769500A"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90</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1E309322"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20</w:t>
            </w:r>
          </w:p>
        </w:tc>
      </w:tr>
      <w:tr w:rsidR="001C6F2E" w:rsidRPr="00651675" w14:paraId="0B9A9D61"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56ED8CF5"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 xml:space="preserve">   - toplinske pumpe</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72456D97"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110</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6C8A2AD8"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200</w:t>
            </w:r>
          </w:p>
        </w:tc>
      </w:tr>
      <w:tr w:rsidR="001C6F2E" w:rsidRPr="00651675" w14:paraId="3B5DFB16"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45943DEC" w14:textId="77777777" w:rsidR="001C6F2E" w:rsidRPr="00546669" w:rsidRDefault="001C6F2E" w:rsidP="63259912">
            <w:pPr>
              <w:rPr>
                <w:rFonts w:asciiTheme="minorHAnsi" w:hAnsiTheme="minorHAnsi" w:cstheme="minorBidi"/>
                <w:sz w:val="22"/>
                <w:szCs w:val="22"/>
              </w:rPr>
            </w:pPr>
            <w:r w:rsidRPr="63259912">
              <w:rPr>
                <w:rFonts w:asciiTheme="minorHAnsi" w:hAnsiTheme="minorHAnsi" w:cstheme="minorBidi"/>
                <w:sz w:val="22"/>
                <w:szCs w:val="22"/>
              </w:rPr>
              <w:t>Sunčani toplinski sustavi (izuzev korišteni u toplinarstvu)</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63185C9A"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140</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38A55FEE"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200</w:t>
            </w:r>
          </w:p>
        </w:tc>
      </w:tr>
      <w:tr w:rsidR="001C6F2E" w:rsidRPr="00651675" w14:paraId="7CBF1E69"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1F765BBA" w14:textId="5529A1E1"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Transport i distribucija prirodnog plina</w:t>
            </w:r>
            <w:r w:rsidR="00DB1742">
              <w:rPr>
                <w:rFonts w:asciiTheme="minorHAnsi" w:hAnsiTheme="minorHAnsi" w:cstheme="minorHAnsi"/>
                <w:sz w:val="22"/>
                <w:szCs w:val="22"/>
              </w:rPr>
              <w:t xml:space="preserve"> (vodika)</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1AA9B528" w14:textId="0C1A159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1.</w:t>
            </w:r>
            <w:r w:rsidR="00DB1742">
              <w:rPr>
                <w:rFonts w:asciiTheme="minorHAnsi" w:hAnsiTheme="minorHAnsi" w:cstheme="minorHAnsi"/>
                <w:sz w:val="22"/>
                <w:szCs w:val="22"/>
              </w:rPr>
              <w:t>733</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7B97770D"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54</w:t>
            </w:r>
          </w:p>
        </w:tc>
      </w:tr>
      <w:tr w:rsidR="00FF2C44" w:rsidRPr="00651675" w14:paraId="54712355"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tcPr>
          <w:p w14:paraId="7062FF0A" w14:textId="24070A73" w:rsidR="00FF2C44" w:rsidRPr="00546669" w:rsidRDefault="00FF2C44" w:rsidP="004623DD">
            <w:pPr>
              <w:rPr>
                <w:rFonts w:asciiTheme="minorHAnsi" w:hAnsiTheme="minorHAnsi" w:cstheme="minorHAnsi"/>
                <w:sz w:val="22"/>
                <w:szCs w:val="22"/>
              </w:rPr>
            </w:pPr>
            <w:r w:rsidRPr="00546669">
              <w:rPr>
                <w:rFonts w:asciiTheme="minorHAnsi" w:hAnsiTheme="minorHAnsi" w:cstheme="minorHAnsi"/>
                <w:sz w:val="22"/>
                <w:szCs w:val="22"/>
              </w:rPr>
              <w:t>Povećanje kapaciteta terminala za UPP</w:t>
            </w:r>
          </w:p>
        </w:tc>
        <w:tc>
          <w:tcPr>
            <w:tcW w:w="1449" w:type="dxa"/>
            <w:tcBorders>
              <w:top w:val="nil"/>
              <w:left w:val="nil"/>
              <w:bottom w:val="single" w:sz="8" w:space="0" w:color="auto"/>
              <w:right w:val="single" w:sz="8" w:space="0" w:color="auto"/>
            </w:tcBorders>
            <w:shd w:val="clear" w:color="auto" w:fill="FFFFFF" w:themeFill="background1"/>
            <w:vAlign w:val="center"/>
          </w:tcPr>
          <w:p w14:paraId="20DF24B6" w14:textId="38BA6960" w:rsidR="00FF2C44" w:rsidRPr="00546669" w:rsidRDefault="00FF2C44" w:rsidP="00651675">
            <w:pPr>
              <w:jc w:val="center"/>
              <w:rPr>
                <w:rFonts w:asciiTheme="minorHAnsi" w:hAnsiTheme="minorHAnsi" w:cstheme="minorHAnsi"/>
                <w:sz w:val="22"/>
                <w:szCs w:val="22"/>
              </w:rPr>
            </w:pPr>
            <w:r w:rsidRPr="00546669">
              <w:rPr>
                <w:rFonts w:asciiTheme="minorHAnsi" w:hAnsiTheme="minorHAnsi" w:cstheme="minorHAnsi"/>
                <w:sz w:val="22"/>
                <w:szCs w:val="22"/>
              </w:rPr>
              <w:t>180</w:t>
            </w:r>
          </w:p>
        </w:tc>
        <w:tc>
          <w:tcPr>
            <w:tcW w:w="1579" w:type="dxa"/>
            <w:tcBorders>
              <w:top w:val="nil"/>
              <w:left w:val="nil"/>
              <w:bottom w:val="single" w:sz="8" w:space="0" w:color="auto"/>
              <w:right w:val="single" w:sz="8" w:space="0" w:color="auto"/>
            </w:tcBorders>
            <w:shd w:val="clear" w:color="auto" w:fill="FFFFFF" w:themeFill="background1"/>
            <w:vAlign w:val="center"/>
          </w:tcPr>
          <w:p w14:paraId="2B902892" w14:textId="2CFF6562" w:rsidR="00FF2C44" w:rsidRPr="00546669" w:rsidRDefault="00FF2C44" w:rsidP="00651675">
            <w:pPr>
              <w:jc w:val="center"/>
              <w:rPr>
                <w:rFonts w:asciiTheme="minorHAnsi" w:hAnsiTheme="minorHAnsi" w:cstheme="minorHAnsi"/>
                <w:sz w:val="22"/>
                <w:szCs w:val="22"/>
              </w:rPr>
            </w:pPr>
            <w:r w:rsidRPr="00546669">
              <w:rPr>
                <w:rFonts w:asciiTheme="minorHAnsi" w:hAnsiTheme="minorHAnsi" w:cstheme="minorHAnsi"/>
                <w:sz w:val="22"/>
                <w:szCs w:val="22"/>
              </w:rPr>
              <w:t>-</w:t>
            </w:r>
          </w:p>
        </w:tc>
      </w:tr>
      <w:tr w:rsidR="001C6F2E" w:rsidRPr="00651675" w14:paraId="623B6CB1"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4AFEA98A" w14:textId="77777777" w:rsidR="001C6F2E" w:rsidRPr="00546669" w:rsidRDefault="001C6F2E" w:rsidP="004623DD">
            <w:pPr>
              <w:rPr>
                <w:sz w:val="20"/>
                <w:szCs w:val="20"/>
              </w:rPr>
            </w:pPr>
            <w:r w:rsidRPr="00811413">
              <w:rPr>
                <w:rFonts w:asciiTheme="minorHAnsi" w:hAnsiTheme="minorHAnsi" w:cstheme="minorHAnsi"/>
                <w:sz w:val="22"/>
                <w:szCs w:val="22"/>
              </w:rPr>
              <w:t>Istraživanje ugljikovodika</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26BAF5AA" w14:textId="7FEB36B8" w:rsidR="001C6F2E" w:rsidRPr="00546669" w:rsidRDefault="0008329F" w:rsidP="00651675">
            <w:pPr>
              <w:jc w:val="center"/>
              <w:rPr>
                <w:sz w:val="20"/>
                <w:szCs w:val="20"/>
              </w:rPr>
            </w:pPr>
            <w:r w:rsidRPr="00811413">
              <w:rPr>
                <w:rFonts w:asciiTheme="minorHAnsi" w:hAnsiTheme="minorHAnsi" w:cstheme="minorHAnsi"/>
                <w:sz w:val="22"/>
                <w:szCs w:val="22"/>
              </w:rPr>
              <w:t>323</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6D6F4F20" w14:textId="7D9F1BFD" w:rsidR="001C6F2E" w:rsidRPr="00546669" w:rsidRDefault="0008329F" w:rsidP="00651675">
            <w:pPr>
              <w:jc w:val="center"/>
              <w:rPr>
                <w:sz w:val="20"/>
                <w:szCs w:val="20"/>
              </w:rPr>
            </w:pPr>
            <w:r w:rsidRPr="00811413">
              <w:rPr>
                <w:rFonts w:asciiTheme="minorHAnsi" w:hAnsiTheme="minorHAnsi" w:cstheme="minorHAnsi"/>
                <w:sz w:val="22"/>
                <w:szCs w:val="22"/>
              </w:rPr>
              <w:t>323</w:t>
            </w:r>
          </w:p>
        </w:tc>
      </w:tr>
      <w:tr w:rsidR="001C6F2E" w:rsidRPr="00651675" w14:paraId="26AEDEAF"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1CC5BC10"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Zgradarstvo – energetska obnova zgrada</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68CC6BA8" w14:textId="5FBB0A29" w:rsidR="001C6F2E" w:rsidRPr="00546669" w:rsidRDefault="008B1DFF" w:rsidP="00651675">
            <w:pPr>
              <w:jc w:val="center"/>
              <w:rPr>
                <w:rFonts w:asciiTheme="minorHAnsi" w:hAnsiTheme="minorHAnsi" w:cstheme="minorHAnsi"/>
                <w:sz w:val="22"/>
                <w:szCs w:val="22"/>
              </w:rPr>
            </w:pPr>
            <w:r>
              <w:rPr>
                <w:rFonts w:asciiTheme="minorHAnsi" w:hAnsiTheme="minorHAnsi" w:cstheme="minorHAnsi"/>
                <w:sz w:val="22"/>
                <w:szCs w:val="22"/>
              </w:rPr>
              <w:t>10.950</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054AEE91" w14:textId="2581AB9A" w:rsidR="001C6F2E" w:rsidRPr="00546669" w:rsidRDefault="001A034A" w:rsidP="00651675">
            <w:pPr>
              <w:jc w:val="center"/>
              <w:rPr>
                <w:rFonts w:asciiTheme="minorHAnsi" w:hAnsiTheme="minorHAnsi" w:cstheme="minorHAnsi"/>
                <w:sz w:val="22"/>
                <w:szCs w:val="22"/>
              </w:rPr>
            </w:pPr>
            <w:r>
              <w:rPr>
                <w:rFonts w:asciiTheme="minorHAnsi" w:hAnsiTheme="minorHAnsi" w:cstheme="minorHAnsi"/>
                <w:sz w:val="22"/>
                <w:szCs w:val="22"/>
              </w:rPr>
              <w:t>16.788</w:t>
            </w:r>
          </w:p>
        </w:tc>
      </w:tr>
      <w:tr w:rsidR="001C6F2E" w:rsidRPr="00651675" w14:paraId="6F6AD999"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1DA1A748" w14:textId="77777777" w:rsidR="001C6F2E" w:rsidRPr="00546669" w:rsidRDefault="001C6F2E" w:rsidP="63259912">
            <w:pPr>
              <w:rPr>
                <w:rFonts w:asciiTheme="minorHAnsi" w:hAnsiTheme="minorHAnsi" w:cstheme="minorBidi"/>
                <w:sz w:val="22"/>
                <w:szCs w:val="22"/>
              </w:rPr>
            </w:pPr>
            <w:r w:rsidRPr="63259912">
              <w:rPr>
                <w:rFonts w:asciiTheme="minorHAnsi" w:hAnsiTheme="minorHAnsi" w:cstheme="minorBidi"/>
                <w:sz w:val="22"/>
                <w:szCs w:val="22"/>
              </w:rPr>
              <w:t>Zgradarstvo – nZEB novogradnja</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5D9B487A"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15.624</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29384990"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26.544</w:t>
            </w:r>
          </w:p>
        </w:tc>
      </w:tr>
      <w:tr w:rsidR="001C6F2E" w:rsidRPr="00651675" w14:paraId="58E3EB78"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712ABCF0"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Promet</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0F9F34DB" w14:textId="7AA0EB37" w:rsidR="001C6F2E" w:rsidRPr="00546669" w:rsidRDefault="00D73C3E" w:rsidP="00651675">
            <w:pPr>
              <w:jc w:val="center"/>
              <w:rPr>
                <w:rFonts w:asciiTheme="minorHAnsi" w:hAnsiTheme="minorHAnsi" w:cstheme="minorHAnsi"/>
                <w:sz w:val="22"/>
                <w:szCs w:val="22"/>
              </w:rPr>
            </w:pPr>
            <w:r w:rsidRPr="00546669">
              <w:rPr>
                <w:rFonts w:asciiTheme="minorHAnsi" w:hAnsiTheme="minorHAnsi" w:cstheme="minorHAnsi"/>
                <w:sz w:val="22"/>
                <w:szCs w:val="22"/>
              </w:rPr>
              <w:t>5.</w:t>
            </w:r>
            <w:r w:rsidR="00E20B8A">
              <w:rPr>
                <w:rFonts w:asciiTheme="minorHAnsi" w:hAnsiTheme="minorHAnsi" w:cstheme="minorHAnsi"/>
                <w:sz w:val="22"/>
                <w:szCs w:val="22"/>
              </w:rPr>
              <w:t>208</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69BB7E29" w14:textId="0A6C86A2" w:rsidR="001C6F2E" w:rsidRPr="00546669" w:rsidRDefault="00E20B8A" w:rsidP="00651675">
            <w:pPr>
              <w:jc w:val="center"/>
              <w:rPr>
                <w:rFonts w:asciiTheme="minorHAnsi" w:hAnsiTheme="minorHAnsi" w:cstheme="minorHAnsi"/>
                <w:sz w:val="22"/>
                <w:szCs w:val="22"/>
              </w:rPr>
            </w:pPr>
            <w:r>
              <w:rPr>
                <w:rFonts w:asciiTheme="minorHAnsi" w:hAnsiTheme="minorHAnsi" w:cstheme="minorHAnsi"/>
                <w:sz w:val="22"/>
                <w:szCs w:val="22"/>
              </w:rPr>
              <w:t>5.022</w:t>
            </w:r>
          </w:p>
        </w:tc>
      </w:tr>
      <w:tr w:rsidR="001C6F2E" w:rsidRPr="00651675" w14:paraId="4EC28207"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3ACD4F1C"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 xml:space="preserve">   - cestovni promet</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7160A9F4" w14:textId="0075ACD4" w:rsidR="001C6F2E" w:rsidRPr="00546669" w:rsidRDefault="00923089" w:rsidP="00651675">
            <w:pPr>
              <w:jc w:val="center"/>
              <w:rPr>
                <w:rFonts w:asciiTheme="minorHAnsi" w:hAnsiTheme="minorHAnsi" w:cstheme="minorHAnsi"/>
                <w:sz w:val="22"/>
                <w:szCs w:val="22"/>
              </w:rPr>
            </w:pPr>
            <w:r>
              <w:rPr>
                <w:rFonts w:asciiTheme="minorHAnsi" w:hAnsiTheme="minorHAnsi" w:cstheme="minorHAnsi"/>
                <w:sz w:val="22"/>
                <w:szCs w:val="22"/>
              </w:rPr>
              <w:t>440</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2464EC1B"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1.540</w:t>
            </w:r>
          </w:p>
        </w:tc>
      </w:tr>
      <w:tr w:rsidR="001C6F2E" w:rsidRPr="00651675" w14:paraId="66E10BA7"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1703258E"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 xml:space="preserve">   - željeznički promet</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6EC47859" w14:textId="3D73E86E" w:rsidR="001C6F2E" w:rsidRPr="00546669" w:rsidRDefault="00D310D6" w:rsidP="00651675">
            <w:pPr>
              <w:jc w:val="center"/>
              <w:rPr>
                <w:rFonts w:asciiTheme="minorHAnsi" w:hAnsiTheme="minorHAnsi" w:cstheme="minorHAnsi"/>
                <w:sz w:val="22"/>
                <w:szCs w:val="22"/>
              </w:rPr>
            </w:pPr>
            <w:r w:rsidRPr="00546669">
              <w:rPr>
                <w:rFonts w:asciiTheme="minorHAnsi" w:hAnsiTheme="minorHAnsi" w:cstheme="minorHAnsi"/>
                <w:sz w:val="22"/>
                <w:szCs w:val="22"/>
              </w:rPr>
              <w:t>4.040</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0249DE47" w14:textId="22A88C45" w:rsidR="001C6F2E" w:rsidRPr="00546669" w:rsidRDefault="00D310D6" w:rsidP="00651675">
            <w:pPr>
              <w:jc w:val="center"/>
              <w:rPr>
                <w:rFonts w:asciiTheme="minorHAnsi" w:hAnsiTheme="minorHAnsi" w:cstheme="minorHAnsi"/>
                <w:sz w:val="22"/>
                <w:szCs w:val="22"/>
              </w:rPr>
            </w:pPr>
            <w:r w:rsidRPr="00546669">
              <w:rPr>
                <w:rFonts w:asciiTheme="minorHAnsi" w:hAnsiTheme="minorHAnsi" w:cstheme="minorHAnsi"/>
                <w:sz w:val="22"/>
                <w:szCs w:val="22"/>
              </w:rPr>
              <w:t>2.000</w:t>
            </w:r>
          </w:p>
        </w:tc>
      </w:tr>
      <w:tr w:rsidR="001C6F2E" w:rsidRPr="00651675" w14:paraId="1E1C5A50"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6288F8E9"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 xml:space="preserve">   - pomorski promet i promet unutarnje plovidbe</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3BC1DB0F" w14:textId="3719FCDF" w:rsidR="001C6F2E" w:rsidRPr="00546669" w:rsidRDefault="005500EE" w:rsidP="00651675">
            <w:pPr>
              <w:jc w:val="center"/>
              <w:rPr>
                <w:rFonts w:asciiTheme="minorHAnsi" w:hAnsiTheme="minorHAnsi" w:cstheme="minorHAnsi"/>
                <w:sz w:val="22"/>
                <w:szCs w:val="22"/>
              </w:rPr>
            </w:pPr>
            <w:r w:rsidRPr="00546669">
              <w:rPr>
                <w:rFonts w:asciiTheme="minorHAnsi" w:hAnsiTheme="minorHAnsi" w:cstheme="minorHAnsi"/>
                <w:sz w:val="22"/>
                <w:szCs w:val="22"/>
              </w:rPr>
              <w:t>205</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16FDB52E"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180</w:t>
            </w:r>
          </w:p>
        </w:tc>
      </w:tr>
      <w:tr w:rsidR="001C6F2E" w:rsidRPr="00651675" w14:paraId="3EC80D6C"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40C1762B"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 xml:space="preserve">   - zračni promet</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58DF37EC"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52</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06712C95"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182</w:t>
            </w:r>
          </w:p>
        </w:tc>
      </w:tr>
      <w:tr w:rsidR="001C6F2E" w:rsidRPr="00651675" w14:paraId="0840D2A8"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1BB7B20B" w14:textId="77777777" w:rsidR="001C6F2E" w:rsidRPr="00546669" w:rsidRDefault="001C6F2E" w:rsidP="004623DD">
            <w:pPr>
              <w:rPr>
                <w:rFonts w:asciiTheme="minorHAnsi" w:hAnsiTheme="minorHAnsi" w:cstheme="minorHAnsi"/>
                <w:sz w:val="22"/>
                <w:szCs w:val="22"/>
              </w:rPr>
            </w:pPr>
            <w:r w:rsidRPr="00546669">
              <w:rPr>
                <w:rFonts w:asciiTheme="minorHAnsi" w:hAnsiTheme="minorHAnsi" w:cstheme="minorHAnsi"/>
                <w:sz w:val="22"/>
                <w:szCs w:val="22"/>
              </w:rPr>
              <w:t xml:space="preserve">   - javni prijevoz i integrirani promet</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7136003F" w14:textId="7B06CDA0" w:rsidR="001C6F2E" w:rsidRPr="00546669" w:rsidRDefault="00895466" w:rsidP="00651675">
            <w:pPr>
              <w:jc w:val="center"/>
              <w:rPr>
                <w:rFonts w:asciiTheme="minorHAnsi" w:hAnsiTheme="minorHAnsi" w:cstheme="minorHAnsi"/>
                <w:sz w:val="22"/>
                <w:szCs w:val="22"/>
              </w:rPr>
            </w:pPr>
            <w:r w:rsidRPr="00546669">
              <w:rPr>
                <w:rFonts w:asciiTheme="minorHAnsi" w:hAnsiTheme="minorHAnsi" w:cstheme="minorHAnsi"/>
                <w:sz w:val="22"/>
                <w:szCs w:val="22"/>
              </w:rPr>
              <w:t>470</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3FB47031"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1.120</w:t>
            </w:r>
          </w:p>
        </w:tc>
      </w:tr>
      <w:tr w:rsidR="001C6F2E" w:rsidRPr="00651675" w14:paraId="30ED3FCA" w14:textId="77777777" w:rsidTr="63259912">
        <w:trPr>
          <w:trHeight w:val="324"/>
          <w:jc w:val="center"/>
        </w:trPr>
        <w:tc>
          <w:tcPr>
            <w:tcW w:w="3614" w:type="dxa"/>
            <w:tcBorders>
              <w:top w:val="nil"/>
              <w:left w:val="single" w:sz="8" w:space="0" w:color="auto"/>
              <w:bottom w:val="single" w:sz="4" w:space="0" w:color="auto"/>
              <w:right w:val="single" w:sz="8" w:space="0" w:color="auto"/>
            </w:tcBorders>
            <w:shd w:val="clear" w:color="auto" w:fill="FFFFFF" w:themeFill="background1"/>
            <w:vAlign w:val="center"/>
            <w:hideMark/>
          </w:tcPr>
          <w:p w14:paraId="39DE3C1E" w14:textId="4F0B726D" w:rsidR="001C6F2E" w:rsidRPr="00546669" w:rsidRDefault="00A86C66" w:rsidP="63259912">
            <w:pPr>
              <w:rPr>
                <w:rFonts w:asciiTheme="minorHAnsi" w:hAnsiTheme="minorHAnsi" w:cstheme="minorBidi"/>
                <w:sz w:val="22"/>
                <w:szCs w:val="22"/>
              </w:rPr>
            </w:pPr>
            <w:r w:rsidRPr="63259912">
              <w:rPr>
                <w:rFonts w:asciiTheme="minorHAnsi" w:hAnsiTheme="minorHAnsi" w:cstheme="minorBidi"/>
                <w:sz w:val="22"/>
                <w:szCs w:val="22"/>
              </w:rPr>
              <w:t>P</w:t>
            </w:r>
            <w:r w:rsidR="001C6F2E" w:rsidRPr="63259912">
              <w:rPr>
                <w:rFonts w:asciiTheme="minorHAnsi" w:hAnsiTheme="minorHAnsi" w:cstheme="minorBidi"/>
                <w:sz w:val="22"/>
                <w:szCs w:val="22"/>
              </w:rPr>
              <w:t>roizvodnja niskougljičnih goriva</w:t>
            </w:r>
          </w:p>
        </w:tc>
        <w:tc>
          <w:tcPr>
            <w:tcW w:w="1449" w:type="dxa"/>
            <w:tcBorders>
              <w:top w:val="nil"/>
              <w:left w:val="nil"/>
              <w:bottom w:val="single" w:sz="4" w:space="0" w:color="auto"/>
              <w:right w:val="single" w:sz="8" w:space="0" w:color="auto"/>
            </w:tcBorders>
            <w:shd w:val="clear" w:color="auto" w:fill="FFFFFF" w:themeFill="background1"/>
            <w:vAlign w:val="center"/>
            <w:hideMark/>
          </w:tcPr>
          <w:p w14:paraId="1DB51082" w14:textId="0531B0D1" w:rsidR="001C6F2E" w:rsidRPr="00546669" w:rsidRDefault="00A86C66" w:rsidP="00651675">
            <w:pPr>
              <w:jc w:val="center"/>
              <w:rPr>
                <w:rFonts w:asciiTheme="minorHAnsi" w:hAnsiTheme="minorHAnsi" w:cstheme="minorHAnsi"/>
                <w:sz w:val="22"/>
                <w:szCs w:val="22"/>
              </w:rPr>
            </w:pPr>
            <w:r>
              <w:rPr>
                <w:rFonts w:asciiTheme="minorHAnsi" w:hAnsiTheme="minorHAnsi" w:cstheme="minorHAnsi"/>
                <w:sz w:val="22"/>
                <w:szCs w:val="22"/>
              </w:rPr>
              <w:t>319</w:t>
            </w:r>
          </w:p>
        </w:tc>
        <w:tc>
          <w:tcPr>
            <w:tcW w:w="1579" w:type="dxa"/>
            <w:tcBorders>
              <w:top w:val="nil"/>
              <w:left w:val="nil"/>
              <w:bottom w:val="single" w:sz="4" w:space="0" w:color="auto"/>
              <w:right w:val="single" w:sz="8" w:space="0" w:color="auto"/>
            </w:tcBorders>
            <w:shd w:val="clear" w:color="auto" w:fill="FFFFFF" w:themeFill="background1"/>
            <w:vAlign w:val="center"/>
            <w:hideMark/>
          </w:tcPr>
          <w:p w14:paraId="46471B40" w14:textId="77777777" w:rsidR="001C6F2E" w:rsidRPr="00546669" w:rsidRDefault="001C6F2E" w:rsidP="00651675">
            <w:pPr>
              <w:jc w:val="center"/>
              <w:rPr>
                <w:rFonts w:asciiTheme="minorHAnsi" w:hAnsiTheme="minorHAnsi" w:cstheme="minorHAnsi"/>
                <w:sz w:val="22"/>
                <w:szCs w:val="22"/>
              </w:rPr>
            </w:pPr>
            <w:r w:rsidRPr="00546669">
              <w:rPr>
                <w:rFonts w:asciiTheme="minorHAnsi" w:hAnsiTheme="minorHAnsi" w:cstheme="minorHAnsi"/>
                <w:sz w:val="22"/>
                <w:szCs w:val="22"/>
              </w:rPr>
              <w:t>599</w:t>
            </w:r>
          </w:p>
        </w:tc>
      </w:tr>
      <w:tr w:rsidR="00A201C7" w:rsidRPr="00651675" w14:paraId="1760BD14" w14:textId="77777777" w:rsidTr="63259912">
        <w:trPr>
          <w:trHeight w:val="324"/>
          <w:jc w:val="center"/>
        </w:trPr>
        <w:tc>
          <w:tcPr>
            <w:tcW w:w="3614" w:type="dxa"/>
            <w:tcBorders>
              <w:top w:val="single" w:sz="4" w:space="0" w:color="auto"/>
              <w:left w:val="single" w:sz="8" w:space="0" w:color="auto"/>
              <w:bottom w:val="single" w:sz="8" w:space="0" w:color="auto"/>
              <w:right w:val="single" w:sz="8" w:space="0" w:color="auto"/>
            </w:tcBorders>
            <w:shd w:val="clear" w:color="auto" w:fill="FFFFFF" w:themeFill="background1"/>
            <w:vAlign w:val="center"/>
          </w:tcPr>
          <w:p w14:paraId="4E6F4B9D" w14:textId="7B6592B0" w:rsidR="00A201C7" w:rsidRPr="00A023D9" w:rsidRDefault="000F5BF4" w:rsidP="004623DD">
            <w:pPr>
              <w:rPr>
                <w:rFonts w:asciiTheme="minorHAnsi" w:hAnsiTheme="minorHAnsi" w:cstheme="minorHAnsi"/>
                <w:sz w:val="22"/>
                <w:szCs w:val="22"/>
              </w:rPr>
            </w:pPr>
            <w:r>
              <w:rPr>
                <w:rFonts w:asciiTheme="minorHAnsi" w:hAnsiTheme="minorHAnsi" w:cstheme="minorHAnsi"/>
                <w:sz w:val="22"/>
                <w:szCs w:val="22"/>
              </w:rPr>
              <w:lastRenderedPageBreak/>
              <w:t>Spremnici energije</w:t>
            </w:r>
          </w:p>
        </w:tc>
        <w:tc>
          <w:tcPr>
            <w:tcW w:w="1449" w:type="dxa"/>
            <w:tcBorders>
              <w:top w:val="single" w:sz="4" w:space="0" w:color="auto"/>
              <w:left w:val="nil"/>
              <w:bottom w:val="single" w:sz="8" w:space="0" w:color="auto"/>
              <w:right w:val="single" w:sz="8" w:space="0" w:color="auto"/>
            </w:tcBorders>
            <w:shd w:val="clear" w:color="auto" w:fill="FFFFFF" w:themeFill="background1"/>
            <w:vAlign w:val="center"/>
          </w:tcPr>
          <w:p w14:paraId="1EB49ADB" w14:textId="634A3B82" w:rsidR="00A201C7" w:rsidRPr="00A023D9" w:rsidRDefault="009366FA" w:rsidP="00651675">
            <w:pPr>
              <w:jc w:val="center"/>
              <w:rPr>
                <w:rFonts w:asciiTheme="minorHAnsi" w:hAnsiTheme="minorHAnsi" w:cstheme="minorHAnsi"/>
                <w:sz w:val="22"/>
                <w:szCs w:val="22"/>
              </w:rPr>
            </w:pPr>
            <w:r>
              <w:rPr>
                <w:rFonts w:asciiTheme="minorHAnsi" w:hAnsiTheme="minorHAnsi" w:cstheme="minorHAnsi"/>
                <w:sz w:val="22"/>
                <w:szCs w:val="22"/>
              </w:rPr>
              <w:t>250</w:t>
            </w:r>
          </w:p>
        </w:tc>
        <w:tc>
          <w:tcPr>
            <w:tcW w:w="1579" w:type="dxa"/>
            <w:tcBorders>
              <w:top w:val="single" w:sz="4" w:space="0" w:color="auto"/>
              <w:left w:val="nil"/>
              <w:bottom w:val="single" w:sz="8" w:space="0" w:color="auto"/>
              <w:right w:val="single" w:sz="8" w:space="0" w:color="auto"/>
            </w:tcBorders>
            <w:shd w:val="clear" w:color="auto" w:fill="FFFFFF" w:themeFill="background1"/>
            <w:vAlign w:val="center"/>
          </w:tcPr>
          <w:p w14:paraId="11A58EB7" w14:textId="46A26C9E" w:rsidR="00A201C7" w:rsidRPr="00A023D9" w:rsidRDefault="00A84E3F" w:rsidP="00651675">
            <w:pPr>
              <w:jc w:val="center"/>
              <w:rPr>
                <w:rFonts w:asciiTheme="minorHAnsi" w:hAnsiTheme="minorHAnsi" w:cstheme="minorHAnsi"/>
                <w:sz w:val="22"/>
                <w:szCs w:val="22"/>
              </w:rPr>
            </w:pPr>
            <w:r>
              <w:rPr>
                <w:rFonts w:asciiTheme="minorHAnsi" w:hAnsiTheme="minorHAnsi" w:cstheme="minorHAnsi"/>
                <w:sz w:val="22"/>
                <w:szCs w:val="22"/>
              </w:rPr>
              <w:t>4</w:t>
            </w:r>
            <w:r w:rsidR="009366FA">
              <w:rPr>
                <w:rFonts w:asciiTheme="minorHAnsi" w:hAnsiTheme="minorHAnsi" w:cstheme="minorHAnsi"/>
                <w:sz w:val="22"/>
                <w:szCs w:val="22"/>
              </w:rPr>
              <w:t>20</w:t>
            </w:r>
          </w:p>
        </w:tc>
      </w:tr>
      <w:tr w:rsidR="00C12F0F" w:rsidRPr="00651675" w14:paraId="1036A54B"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tcPr>
          <w:p w14:paraId="30A64D26" w14:textId="72DDD37D" w:rsidR="00C12F0F" w:rsidRPr="00A023D9" w:rsidRDefault="000255E3" w:rsidP="004623DD">
            <w:pPr>
              <w:rPr>
                <w:rFonts w:asciiTheme="minorHAnsi" w:hAnsiTheme="minorHAnsi" w:cstheme="minorHAnsi"/>
                <w:sz w:val="22"/>
                <w:szCs w:val="22"/>
              </w:rPr>
            </w:pPr>
            <w:r w:rsidRPr="00A023D9">
              <w:rPr>
                <w:rFonts w:asciiTheme="minorHAnsi" w:hAnsiTheme="minorHAnsi" w:cstheme="minorHAnsi"/>
                <w:sz w:val="22"/>
                <w:szCs w:val="22"/>
              </w:rPr>
              <w:t>Izdvajanje i geo</w:t>
            </w:r>
            <w:r w:rsidR="00EF62F5" w:rsidRPr="00A023D9">
              <w:rPr>
                <w:rFonts w:asciiTheme="minorHAnsi" w:hAnsiTheme="minorHAnsi" w:cstheme="minorHAnsi"/>
                <w:sz w:val="22"/>
                <w:szCs w:val="22"/>
              </w:rPr>
              <w:t>loško skladištenje CO</w:t>
            </w:r>
            <w:r w:rsidR="00EF62F5" w:rsidRPr="00A023D9">
              <w:rPr>
                <w:rFonts w:asciiTheme="minorHAnsi" w:hAnsiTheme="minorHAnsi" w:cstheme="minorHAnsi"/>
                <w:sz w:val="22"/>
                <w:szCs w:val="22"/>
                <w:vertAlign w:val="subscript"/>
              </w:rPr>
              <w:t>2</w:t>
            </w:r>
          </w:p>
        </w:tc>
        <w:tc>
          <w:tcPr>
            <w:tcW w:w="1449" w:type="dxa"/>
            <w:tcBorders>
              <w:top w:val="nil"/>
              <w:left w:val="nil"/>
              <w:bottom w:val="single" w:sz="8" w:space="0" w:color="auto"/>
              <w:right w:val="single" w:sz="8" w:space="0" w:color="auto"/>
            </w:tcBorders>
            <w:shd w:val="clear" w:color="auto" w:fill="FFFFFF" w:themeFill="background1"/>
            <w:vAlign w:val="center"/>
          </w:tcPr>
          <w:p w14:paraId="76EA7714" w14:textId="1A5ADA81" w:rsidR="00C12F0F" w:rsidRPr="00A023D9" w:rsidRDefault="00400EC3" w:rsidP="00651675">
            <w:pPr>
              <w:jc w:val="center"/>
              <w:rPr>
                <w:rFonts w:asciiTheme="minorHAnsi" w:hAnsiTheme="minorHAnsi" w:cstheme="minorHAnsi"/>
                <w:sz w:val="22"/>
                <w:szCs w:val="22"/>
              </w:rPr>
            </w:pPr>
            <w:r w:rsidRPr="00A023D9">
              <w:rPr>
                <w:rFonts w:asciiTheme="minorHAnsi" w:hAnsiTheme="minorHAnsi" w:cstheme="minorHAnsi"/>
                <w:sz w:val="22"/>
                <w:szCs w:val="22"/>
              </w:rPr>
              <w:t>251,3</w:t>
            </w:r>
          </w:p>
        </w:tc>
        <w:tc>
          <w:tcPr>
            <w:tcW w:w="1579" w:type="dxa"/>
            <w:tcBorders>
              <w:top w:val="nil"/>
              <w:left w:val="nil"/>
              <w:bottom w:val="single" w:sz="8" w:space="0" w:color="auto"/>
              <w:right w:val="single" w:sz="8" w:space="0" w:color="auto"/>
            </w:tcBorders>
            <w:shd w:val="clear" w:color="auto" w:fill="FFFFFF" w:themeFill="background1"/>
            <w:vAlign w:val="center"/>
          </w:tcPr>
          <w:p w14:paraId="1BE73706" w14:textId="2A7D34F2" w:rsidR="00C12F0F" w:rsidRPr="00A023D9" w:rsidRDefault="007A145E" w:rsidP="00651675">
            <w:pPr>
              <w:jc w:val="center"/>
              <w:rPr>
                <w:rFonts w:asciiTheme="minorHAnsi" w:hAnsiTheme="minorHAnsi" w:cstheme="minorHAnsi"/>
                <w:sz w:val="22"/>
                <w:szCs w:val="22"/>
              </w:rPr>
            </w:pPr>
            <w:r w:rsidRPr="00A023D9">
              <w:rPr>
                <w:rFonts w:asciiTheme="minorHAnsi" w:hAnsiTheme="minorHAnsi" w:cstheme="minorHAnsi"/>
                <w:sz w:val="22"/>
                <w:szCs w:val="22"/>
              </w:rPr>
              <w:t>460</w:t>
            </w:r>
          </w:p>
        </w:tc>
      </w:tr>
      <w:tr w:rsidR="00AA1E47" w:rsidRPr="00651675" w14:paraId="0E09A07A"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tcPr>
          <w:p w14:paraId="529AA93B" w14:textId="7A816376" w:rsidR="00AA1E47" w:rsidRPr="00A023D9" w:rsidRDefault="00AA1E47" w:rsidP="63259912">
            <w:pPr>
              <w:rPr>
                <w:rFonts w:asciiTheme="minorHAnsi" w:hAnsiTheme="minorHAnsi" w:cstheme="minorBidi"/>
                <w:sz w:val="22"/>
                <w:szCs w:val="22"/>
              </w:rPr>
            </w:pPr>
            <w:r w:rsidRPr="63259912">
              <w:rPr>
                <w:rFonts w:asciiTheme="minorHAnsi" w:hAnsiTheme="minorHAnsi" w:cstheme="minorBidi"/>
                <w:sz w:val="22"/>
                <w:szCs w:val="22"/>
              </w:rPr>
              <w:t>Smanjenje fugitivnih emisija</w:t>
            </w:r>
          </w:p>
        </w:tc>
        <w:tc>
          <w:tcPr>
            <w:tcW w:w="1449" w:type="dxa"/>
            <w:tcBorders>
              <w:top w:val="nil"/>
              <w:left w:val="nil"/>
              <w:bottom w:val="single" w:sz="8" w:space="0" w:color="auto"/>
              <w:right w:val="single" w:sz="8" w:space="0" w:color="auto"/>
            </w:tcBorders>
            <w:shd w:val="clear" w:color="auto" w:fill="FFFFFF" w:themeFill="background1"/>
            <w:vAlign w:val="center"/>
          </w:tcPr>
          <w:p w14:paraId="125B3140" w14:textId="06E7FC0C" w:rsidR="00AA1E47" w:rsidRPr="00A023D9" w:rsidRDefault="00B52F0F" w:rsidP="00651675">
            <w:pPr>
              <w:jc w:val="center"/>
              <w:rPr>
                <w:rFonts w:asciiTheme="minorHAnsi" w:hAnsiTheme="minorHAnsi" w:cstheme="minorHAnsi"/>
                <w:sz w:val="22"/>
                <w:szCs w:val="22"/>
              </w:rPr>
            </w:pPr>
            <w:r w:rsidRPr="00A023D9">
              <w:rPr>
                <w:rFonts w:asciiTheme="minorHAnsi" w:hAnsiTheme="minorHAnsi" w:cstheme="minorHAnsi"/>
                <w:sz w:val="22"/>
                <w:szCs w:val="22"/>
              </w:rPr>
              <w:t>179</w:t>
            </w:r>
          </w:p>
        </w:tc>
        <w:tc>
          <w:tcPr>
            <w:tcW w:w="1579" w:type="dxa"/>
            <w:tcBorders>
              <w:top w:val="nil"/>
              <w:left w:val="nil"/>
              <w:bottom w:val="single" w:sz="8" w:space="0" w:color="auto"/>
              <w:right w:val="single" w:sz="8" w:space="0" w:color="auto"/>
            </w:tcBorders>
            <w:shd w:val="clear" w:color="auto" w:fill="FFFFFF" w:themeFill="background1"/>
            <w:vAlign w:val="center"/>
          </w:tcPr>
          <w:p w14:paraId="4F7D1E8B" w14:textId="42844294" w:rsidR="00AA1E47" w:rsidRPr="00A023D9" w:rsidRDefault="00E8116C" w:rsidP="00651675">
            <w:pPr>
              <w:jc w:val="center"/>
              <w:rPr>
                <w:rFonts w:asciiTheme="minorHAnsi" w:hAnsiTheme="minorHAnsi" w:cstheme="minorHAnsi"/>
                <w:sz w:val="22"/>
                <w:szCs w:val="22"/>
              </w:rPr>
            </w:pPr>
            <w:r w:rsidRPr="00A023D9">
              <w:rPr>
                <w:rFonts w:asciiTheme="minorHAnsi" w:hAnsiTheme="minorHAnsi" w:cstheme="minorHAnsi"/>
                <w:sz w:val="22"/>
                <w:szCs w:val="22"/>
              </w:rPr>
              <w:t>-</w:t>
            </w:r>
          </w:p>
        </w:tc>
      </w:tr>
      <w:tr w:rsidR="00AA29AC" w:rsidRPr="00651675" w14:paraId="41D23336"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tcPr>
          <w:p w14:paraId="108151E1" w14:textId="026E1CBB" w:rsidR="00AA29AC" w:rsidRPr="00A023D9" w:rsidRDefault="00AA29AC" w:rsidP="004623DD">
            <w:pPr>
              <w:rPr>
                <w:rFonts w:asciiTheme="minorHAnsi" w:hAnsiTheme="minorHAnsi" w:cstheme="minorHAnsi"/>
                <w:sz w:val="22"/>
                <w:szCs w:val="22"/>
              </w:rPr>
            </w:pPr>
            <w:r>
              <w:rPr>
                <w:rFonts w:asciiTheme="minorHAnsi" w:hAnsiTheme="minorHAnsi" w:cstheme="minorHAnsi"/>
                <w:sz w:val="22"/>
                <w:szCs w:val="22"/>
              </w:rPr>
              <w:t>Kibernetička sigurnost</w:t>
            </w:r>
          </w:p>
        </w:tc>
        <w:tc>
          <w:tcPr>
            <w:tcW w:w="1449" w:type="dxa"/>
            <w:tcBorders>
              <w:top w:val="nil"/>
              <w:left w:val="nil"/>
              <w:bottom w:val="single" w:sz="8" w:space="0" w:color="auto"/>
              <w:right w:val="single" w:sz="8" w:space="0" w:color="auto"/>
            </w:tcBorders>
            <w:shd w:val="clear" w:color="auto" w:fill="FFFFFF" w:themeFill="background1"/>
            <w:vAlign w:val="center"/>
          </w:tcPr>
          <w:p w14:paraId="4C2ED55E" w14:textId="7C32CF20" w:rsidR="00AA29AC" w:rsidRPr="00A023D9" w:rsidRDefault="00AA29AC" w:rsidP="00651675">
            <w:pPr>
              <w:jc w:val="center"/>
              <w:rPr>
                <w:rFonts w:asciiTheme="minorHAnsi" w:hAnsiTheme="minorHAnsi" w:cstheme="minorHAnsi"/>
                <w:sz w:val="22"/>
                <w:szCs w:val="22"/>
              </w:rPr>
            </w:pPr>
            <w:r>
              <w:rPr>
                <w:rFonts w:asciiTheme="minorHAnsi" w:hAnsiTheme="minorHAnsi" w:cstheme="minorHAnsi"/>
                <w:sz w:val="22"/>
                <w:szCs w:val="22"/>
              </w:rPr>
              <w:t>2</w:t>
            </w:r>
          </w:p>
        </w:tc>
        <w:tc>
          <w:tcPr>
            <w:tcW w:w="1579" w:type="dxa"/>
            <w:tcBorders>
              <w:top w:val="nil"/>
              <w:left w:val="nil"/>
              <w:bottom w:val="single" w:sz="8" w:space="0" w:color="auto"/>
              <w:right w:val="single" w:sz="8" w:space="0" w:color="auto"/>
            </w:tcBorders>
            <w:shd w:val="clear" w:color="auto" w:fill="FFFFFF" w:themeFill="background1"/>
            <w:vAlign w:val="center"/>
          </w:tcPr>
          <w:p w14:paraId="3BBC4C91" w14:textId="4F174FD0" w:rsidR="00AA29AC" w:rsidRPr="00A023D9" w:rsidRDefault="00FA4C26" w:rsidP="00651675">
            <w:pPr>
              <w:jc w:val="center"/>
              <w:rPr>
                <w:rFonts w:asciiTheme="minorHAnsi" w:hAnsiTheme="minorHAnsi" w:cstheme="minorHAnsi"/>
                <w:sz w:val="22"/>
                <w:szCs w:val="22"/>
              </w:rPr>
            </w:pPr>
            <w:r>
              <w:rPr>
                <w:rFonts w:asciiTheme="minorHAnsi" w:hAnsiTheme="minorHAnsi" w:cstheme="minorHAnsi"/>
                <w:sz w:val="22"/>
                <w:szCs w:val="22"/>
              </w:rPr>
              <w:t>-</w:t>
            </w:r>
          </w:p>
        </w:tc>
      </w:tr>
      <w:tr w:rsidR="00377434" w:rsidRPr="00651675" w14:paraId="532F5F54"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tcPr>
          <w:p w14:paraId="7C995573" w14:textId="19F8FEE9" w:rsidR="00377434" w:rsidRPr="00A023D9" w:rsidRDefault="00377434" w:rsidP="004623DD">
            <w:pPr>
              <w:rPr>
                <w:rFonts w:asciiTheme="minorHAnsi" w:hAnsiTheme="minorHAnsi" w:cstheme="minorHAnsi"/>
                <w:sz w:val="22"/>
                <w:szCs w:val="22"/>
              </w:rPr>
            </w:pPr>
            <w:r>
              <w:rPr>
                <w:rFonts w:asciiTheme="minorHAnsi" w:hAnsiTheme="minorHAnsi" w:cstheme="minorHAnsi"/>
                <w:sz w:val="22"/>
                <w:szCs w:val="22"/>
              </w:rPr>
              <w:t xml:space="preserve">Unaprjeđenje </w:t>
            </w:r>
            <w:r w:rsidR="004F61E1">
              <w:rPr>
                <w:rFonts w:asciiTheme="minorHAnsi" w:hAnsiTheme="minorHAnsi" w:cstheme="minorHAnsi"/>
                <w:sz w:val="22"/>
                <w:szCs w:val="22"/>
              </w:rPr>
              <w:t>održivosti urbanih sredina</w:t>
            </w:r>
          </w:p>
        </w:tc>
        <w:tc>
          <w:tcPr>
            <w:tcW w:w="1449" w:type="dxa"/>
            <w:tcBorders>
              <w:top w:val="nil"/>
              <w:left w:val="nil"/>
              <w:bottom w:val="single" w:sz="8" w:space="0" w:color="auto"/>
              <w:right w:val="single" w:sz="8" w:space="0" w:color="auto"/>
            </w:tcBorders>
            <w:shd w:val="clear" w:color="auto" w:fill="FFFFFF" w:themeFill="background1"/>
            <w:vAlign w:val="center"/>
          </w:tcPr>
          <w:p w14:paraId="21700C46" w14:textId="77A9E66A" w:rsidR="00377434" w:rsidRPr="00A023D9" w:rsidRDefault="004F61E1" w:rsidP="00651675">
            <w:pPr>
              <w:jc w:val="center"/>
              <w:rPr>
                <w:rFonts w:asciiTheme="minorHAnsi" w:hAnsiTheme="minorHAnsi" w:cstheme="minorHAnsi"/>
                <w:sz w:val="22"/>
                <w:szCs w:val="22"/>
              </w:rPr>
            </w:pPr>
            <w:r>
              <w:rPr>
                <w:rFonts w:asciiTheme="minorHAnsi" w:hAnsiTheme="minorHAnsi" w:cstheme="minorHAnsi"/>
                <w:sz w:val="22"/>
                <w:szCs w:val="22"/>
              </w:rPr>
              <w:t>1.143</w:t>
            </w:r>
          </w:p>
        </w:tc>
        <w:tc>
          <w:tcPr>
            <w:tcW w:w="1579" w:type="dxa"/>
            <w:tcBorders>
              <w:top w:val="nil"/>
              <w:left w:val="nil"/>
              <w:bottom w:val="single" w:sz="8" w:space="0" w:color="auto"/>
              <w:right w:val="single" w:sz="8" w:space="0" w:color="auto"/>
            </w:tcBorders>
            <w:shd w:val="clear" w:color="auto" w:fill="FFFFFF" w:themeFill="background1"/>
            <w:vAlign w:val="center"/>
          </w:tcPr>
          <w:p w14:paraId="629397B1" w14:textId="3AAF2317" w:rsidR="00377434" w:rsidRPr="00A023D9" w:rsidRDefault="004F61E1" w:rsidP="00651675">
            <w:pPr>
              <w:jc w:val="center"/>
              <w:rPr>
                <w:rFonts w:asciiTheme="minorHAnsi" w:hAnsiTheme="minorHAnsi" w:cstheme="minorHAnsi"/>
                <w:sz w:val="22"/>
                <w:szCs w:val="22"/>
              </w:rPr>
            </w:pPr>
            <w:r>
              <w:rPr>
                <w:rFonts w:asciiTheme="minorHAnsi" w:hAnsiTheme="minorHAnsi" w:cstheme="minorHAnsi"/>
                <w:sz w:val="22"/>
                <w:szCs w:val="22"/>
              </w:rPr>
              <w:t>-</w:t>
            </w:r>
          </w:p>
        </w:tc>
      </w:tr>
      <w:tr w:rsidR="001C6F2E" w:rsidRPr="00651675" w14:paraId="36E98150" w14:textId="77777777" w:rsidTr="63259912">
        <w:trPr>
          <w:trHeight w:val="324"/>
          <w:jc w:val="center"/>
        </w:trPr>
        <w:tc>
          <w:tcPr>
            <w:tcW w:w="3614" w:type="dxa"/>
            <w:tcBorders>
              <w:top w:val="nil"/>
              <w:left w:val="single" w:sz="8" w:space="0" w:color="auto"/>
              <w:bottom w:val="single" w:sz="8" w:space="0" w:color="auto"/>
              <w:right w:val="single" w:sz="8" w:space="0" w:color="auto"/>
            </w:tcBorders>
            <w:shd w:val="clear" w:color="auto" w:fill="FFFFFF" w:themeFill="background1"/>
            <w:vAlign w:val="center"/>
            <w:hideMark/>
          </w:tcPr>
          <w:p w14:paraId="1750FC81" w14:textId="77777777" w:rsidR="001C6F2E" w:rsidRPr="00A023D9" w:rsidRDefault="001C6F2E" w:rsidP="004623DD">
            <w:pPr>
              <w:rPr>
                <w:rFonts w:asciiTheme="minorHAnsi" w:hAnsiTheme="minorHAnsi" w:cstheme="minorHAnsi"/>
                <w:b/>
                <w:sz w:val="22"/>
                <w:szCs w:val="22"/>
              </w:rPr>
            </w:pPr>
            <w:r w:rsidRPr="00A023D9">
              <w:rPr>
                <w:rFonts w:asciiTheme="minorHAnsi" w:hAnsiTheme="minorHAnsi" w:cstheme="minorHAnsi"/>
                <w:b/>
                <w:sz w:val="22"/>
                <w:szCs w:val="22"/>
              </w:rPr>
              <w:t>Ukupno</w:t>
            </w:r>
          </w:p>
        </w:tc>
        <w:tc>
          <w:tcPr>
            <w:tcW w:w="1449" w:type="dxa"/>
            <w:tcBorders>
              <w:top w:val="nil"/>
              <w:left w:val="nil"/>
              <w:bottom w:val="single" w:sz="8" w:space="0" w:color="auto"/>
              <w:right w:val="single" w:sz="8" w:space="0" w:color="auto"/>
            </w:tcBorders>
            <w:shd w:val="clear" w:color="auto" w:fill="FFFFFF" w:themeFill="background1"/>
            <w:vAlign w:val="center"/>
            <w:hideMark/>
          </w:tcPr>
          <w:p w14:paraId="18F39E88" w14:textId="0C37BB59" w:rsidR="001C6F2E" w:rsidRPr="00247798" w:rsidRDefault="009362B6" w:rsidP="00651675">
            <w:pPr>
              <w:jc w:val="center"/>
              <w:rPr>
                <w:rFonts w:asciiTheme="minorHAnsi" w:hAnsiTheme="minorHAnsi" w:cstheme="minorHAnsi"/>
                <w:b/>
                <w:sz w:val="22"/>
                <w:szCs w:val="22"/>
              </w:rPr>
            </w:pPr>
            <w:r>
              <w:rPr>
                <w:rFonts w:asciiTheme="minorHAnsi" w:hAnsiTheme="minorHAnsi" w:cstheme="minorHAnsi"/>
                <w:b/>
                <w:sz w:val="22"/>
                <w:szCs w:val="22"/>
              </w:rPr>
              <w:t>4</w:t>
            </w:r>
            <w:r w:rsidR="008E6A88">
              <w:rPr>
                <w:rFonts w:asciiTheme="minorHAnsi" w:hAnsiTheme="minorHAnsi" w:cstheme="minorHAnsi"/>
                <w:b/>
                <w:sz w:val="22"/>
                <w:szCs w:val="22"/>
              </w:rPr>
              <w:t>5</w:t>
            </w:r>
            <w:r w:rsidR="00D51B05">
              <w:rPr>
                <w:rFonts w:asciiTheme="minorHAnsi" w:hAnsiTheme="minorHAnsi" w:cstheme="minorHAnsi"/>
                <w:b/>
                <w:sz w:val="22"/>
                <w:szCs w:val="22"/>
              </w:rPr>
              <w:t>.</w:t>
            </w:r>
            <w:r w:rsidR="004B01F0">
              <w:rPr>
                <w:rFonts w:asciiTheme="minorHAnsi" w:hAnsiTheme="minorHAnsi" w:cstheme="minorHAnsi"/>
                <w:b/>
                <w:sz w:val="22"/>
                <w:szCs w:val="22"/>
              </w:rPr>
              <w:t>523</w:t>
            </w:r>
          </w:p>
        </w:tc>
        <w:tc>
          <w:tcPr>
            <w:tcW w:w="1579" w:type="dxa"/>
            <w:tcBorders>
              <w:top w:val="nil"/>
              <w:left w:val="nil"/>
              <w:bottom w:val="single" w:sz="8" w:space="0" w:color="auto"/>
              <w:right w:val="single" w:sz="8" w:space="0" w:color="auto"/>
            </w:tcBorders>
            <w:shd w:val="clear" w:color="auto" w:fill="FFFFFF" w:themeFill="background1"/>
            <w:vAlign w:val="center"/>
            <w:hideMark/>
          </w:tcPr>
          <w:p w14:paraId="55158DB0" w14:textId="511B0432" w:rsidR="001C6F2E" w:rsidRPr="00247798" w:rsidRDefault="00D51B05" w:rsidP="00651675">
            <w:pPr>
              <w:jc w:val="center"/>
              <w:rPr>
                <w:rFonts w:asciiTheme="minorHAnsi" w:hAnsiTheme="minorHAnsi" w:cstheme="minorHAnsi"/>
                <w:b/>
                <w:sz w:val="22"/>
                <w:szCs w:val="22"/>
              </w:rPr>
            </w:pPr>
            <w:r>
              <w:rPr>
                <w:rFonts w:asciiTheme="minorHAnsi" w:hAnsiTheme="minorHAnsi" w:cstheme="minorHAnsi"/>
                <w:b/>
                <w:sz w:val="22"/>
                <w:szCs w:val="22"/>
              </w:rPr>
              <w:t>6</w:t>
            </w:r>
            <w:r w:rsidR="0008329F">
              <w:rPr>
                <w:rFonts w:asciiTheme="minorHAnsi" w:hAnsiTheme="minorHAnsi" w:cstheme="minorHAnsi"/>
                <w:b/>
                <w:sz w:val="22"/>
                <w:szCs w:val="22"/>
              </w:rPr>
              <w:t>6.</w:t>
            </w:r>
            <w:r w:rsidR="004B01F0">
              <w:rPr>
                <w:rFonts w:asciiTheme="minorHAnsi" w:hAnsiTheme="minorHAnsi" w:cstheme="minorHAnsi"/>
                <w:b/>
                <w:sz w:val="22"/>
                <w:szCs w:val="22"/>
              </w:rPr>
              <w:t>725</w:t>
            </w:r>
          </w:p>
        </w:tc>
      </w:tr>
    </w:tbl>
    <w:p w14:paraId="34B212B5" w14:textId="77777777" w:rsidR="00B97F3A" w:rsidRPr="00B47BDA" w:rsidRDefault="00B97F3A" w:rsidP="004623DD">
      <w:pPr>
        <w:rPr>
          <w:highlight w:val="yellow"/>
        </w:rPr>
      </w:pPr>
    </w:p>
    <w:p w14:paraId="7634E70C" w14:textId="5893B900" w:rsidR="008A5A0F" w:rsidRPr="00F00C86" w:rsidRDefault="00294FC3" w:rsidP="004623DD">
      <w:pPr>
        <w:pStyle w:val="Caption"/>
      </w:pPr>
      <w:bookmarkStart w:id="753" w:name="_Toc193035978"/>
      <w:r w:rsidRPr="00F00C86">
        <w:t xml:space="preserve">Tablica </w:t>
      </w:r>
      <w:r>
        <w:fldChar w:fldCharType="begin"/>
      </w:r>
      <w:r>
        <w:instrText>STYLEREF 1 \s</w:instrText>
      </w:r>
      <w:r>
        <w:fldChar w:fldCharType="separate"/>
      </w:r>
      <w:r w:rsidR="00AD324D">
        <w:rPr>
          <w:noProof/>
        </w:rPr>
        <w:t>5</w:t>
      </w:r>
      <w:r>
        <w:fldChar w:fldCharType="end"/>
      </w:r>
      <w:r w:rsidRPr="00F00C86">
        <w:noBreakHyphen/>
      </w:r>
      <w:r>
        <w:fldChar w:fldCharType="begin"/>
      </w:r>
      <w:r>
        <w:instrText>SEQ Tablica \* ARABIC \s 1</w:instrText>
      </w:r>
      <w:r>
        <w:fldChar w:fldCharType="separate"/>
      </w:r>
      <w:r w:rsidR="00274B3B">
        <w:rPr>
          <w:noProof/>
        </w:rPr>
        <w:t>7</w:t>
      </w:r>
      <w:r>
        <w:fldChar w:fldCharType="end"/>
      </w:r>
      <w:r w:rsidRPr="00F00C86">
        <w:t>. Procjena potrebnih ulaganja u ne-energetski sektor do 2050. godine</w:t>
      </w:r>
      <w:bookmarkEnd w:id="753"/>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34"/>
        <w:gridCol w:w="1990"/>
        <w:gridCol w:w="1701"/>
      </w:tblGrid>
      <w:tr w:rsidR="00F70B15" w:rsidRPr="00651675" w14:paraId="16CE75C2" w14:textId="77777777" w:rsidTr="00A023D9">
        <w:trPr>
          <w:jc w:val="center"/>
        </w:trPr>
        <w:tc>
          <w:tcPr>
            <w:tcW w:w="3534" w:type="dxa"/>
            <w:shd w:val="clear" w:color="auto" w:fill="DEEAF6" w:themeFill="accent1" w:themeFillTint="33"/>
          </w:tcPr>
          <w:p w14:paraId="46DF66F3" w14:textId="77777777" w:rsidR="00F70B15" w:rsidRPr="00A023D9" w:rsidRDefault="00F70B15" w:rsidP="00651675">
            <w:pPr>
              <w:spacing w:before="60" w:after="60"/>
              <w:rPr>
                <w:sz w:val="22"/>
                <w:szCs w:val="22"/>
                <w:lang w:eastAsia="hr-HR"/>
              </w:rPr>
            </w:pPr>
            <w:r w:rsidRPr="00A023D9">
              <w:rPr>
                <w:sz w:val="22"/>
                <w:szCs w:val="22"/>
                <w:lang w:eastAsia="hr-HR"/>
              </w:rPr>
              <w:t>Milijun EUR</w:t>
            </w:r>
          </w:p>
        </w:tc>
        <w:tc>
          <w:tcPr>
            <w:tcW w:w="1990" w:type="dxa"/>
            <w:shd w:val="clear" w:color="auto" w:fill="DEEAF6" w:themeFill="accent1" w:themeFillTint="33"/>
          </w:tcPr>
          <w:p w14:paraId="037D4D1A" w14:textId="69F4A36D" w:rsidR="00F70B15" w:rsidRPr="00A023D9" w:rsidRDefault="00F70B15" w:rsidP="00651675">
            <w:pPr>
              <w:spacing w:before="60" w:after="60"/>
              <w:jc w:val="center"/>
              <w:rPr>
                <w:b/>
                <w:sz w:val="22"/>
                <w:szCs w:val="22"/>
                <w:lang w:eastAsia="hr-HR"/>
              </w:rPr>
            </w:pPr>
            <w:r w:rsidRPr="00A023D9">
              <w:rPr>
                <w:b/>
                <w:sz w:val="22"/>
                <w:szCs w:val="22"/>
                <w:lang w:eastAsia="hr-HR"/>
              </w:rPr>
              <w:t>202</w:t>
            </w:r>
            <w:r w:rsidR="00334C0C" w:rsidRPr="00A023D9">
              <w:rPr>
                <w:b/>
                <w:sz w:val="22"/>
                <w:szCs w:val="22"/>
                <w:lang w:eastAsia="hr-HR"/>
              </w:rPr>
              <w:t>4</w:t>
            </w:r>
            <w:r w:rsidRPr="00A023D9">
              <w:rPr>
                <w:b/>
                <w:sz w:val="22"/>
                <w:szCs w:val="22"/>
                <w:lang w:eastAsia="hr-HR"/>
              </w:rPr>
              <w:t>.–2030.</w:t>
            </w:r>
          </w:p>
        </w:tc>
        <w:tc>
          <w:tcPr>
            <w:tcW w:w="1701" w:type="dxa"/>
            <w:shd w:val="clear" w:color="auto" w:fill="DEEAF6" w:themeFill="accent1" w:themeFillTint="33"/>
          </w:tcPr>
          <w:p w14:paraId="7903833B" w14:textId="77777777" w:rsidR="00F70B15" w:rsidRPr="00A023D9" w:rsidRDefault="00F70B15" w:rsidP="00651675">
            <w:pPr>
              <w:spacing w:before="60" w:after="60"/>
              <w:jc w:val="center"/>
              <w:rPr>
                <w:b/>
                <w:sz w:val="22"/>
                <w:szCs w:val="22"/>
                <w:lang w:eastAsia="hr-HR"/>
              </w:rPr>
            </w:pPr>
            <w:r w:rsidRPr="00A023D9">
              <w:rPr>
                <w:b/>
                <w:sz w:val="22"/>
                <w:szCs w:val="22"/>
                <w:lang w:eastAsia="hr-HR"/>
              </w:rPr>
              <w:t>2031.–2050.</w:t>
            </w:r>
          </w:p>
        </w:tc>
      </w:tr>
      <w:tr w:rsidR="00F70B15" w:rsidRPr="00651675" w14:paraId="3788C33C" w14:textId="77777777" w:rsidTr="00A023D9">
        <w:trPr>
          <w:jc w:val="center"/>
        </w:trPr>
        <w:tc>
          <w:tcPr>
            <w:tcW w:w="3534" w:type="dxa"/>
            <w:shd w:val="clear" w:color="auto" w:fill="FFFFFF" w:themeFill="background1"/>
          </w:tcPr>
          <w:p w14:paraId="098848C1" w14:textId="5AE155F8" w:rsidR="00F70B15" w:rsidRPr="00A023D9" w:rsidRDefault="00F70B15" w:rsidP="00651675">
            <w:pPr>
              <w:spacing w:before="60" w:after="60"/>
              <w:rPr>
                <w:sz w:val="22"/>
                <w:szCs w:val="22"/>
                <w:lang w:eastAsia="hr-HR"/>
              </w:rPr>
            </w:pPr>
            <w:r w:rsidRPr="00A023D9">
              <w:rPr>
                <w:sz w:val="22"/>
                <w:szCs w:val="22"/>
                <w:lang w:eastAsia="hr-HR"/>
              </w:rPr>
              <w:t>Industrijski procesi i upotreba proizvoda</w:t>
            </w:r>
            <w:r w:rsidR="00F925C3" w:rsidRPr="00A023D9">
              <w:rPr>
                <w:sz w:val="22"/>
                <w:szCs w:val="22"/>
                <w:lang w:eastAsia="hr-HR"/>
              </w:rPr>
              <w:t>*</w:t>
            </w:r>
          </w:p>
        </w:tc>
        <w:tc>
          <w:tcPr>
            <w:tcW w:w="1990" w:type="dxa"/>
            <w:shd w:val="clear" w:color="auto" w:fill="FFFFFF" w:themeFill="background1"/>
          </w:tcPr>
          <w:p w14:paraId="4C5BCD35" w14:textId="77777777" w:rsidR="00F70B15" w:rsidRPr="00A023D9" w:rsidRDefault="00F70B15" w:rsidP="00651675">
            <w:pPr>
              <w:spacing w:before="60" w:after="60"/>
              <w:jc w:val="center"/>
              <w:rPr>
                <w:sz w:val="22"/>
                <w:szCs w:val="22"/>
                <w:lang w:eastAsia="hr-HR"/>
              </w:rPr>
            </w:pPr>
            <w:r w:rsidRPr="00A023D9">
              <w:rPr>
                <w:sz w:val="22"/>
                <w:szCs w:val="22"/>
                <w:lang w:eastAsia="hr-HR"/>
              </w:rPr>
              <w:t>2</w:t>
            </w:r>
          </w:p>
        </w:tc>
        <w:tc>
          <w:tcPr>
            <w:tcW w:w="1701" w:type="dxa"/>
            <w:shd w:val="clear" w:color="auto" w:fill="FFFFFF" w:themeFill="background1"/>
          </w:tcPr>
          <w:p w14:paraId="78DC53D3" w14:textId="77777777" w:rsidR="00F70B15" w:rsidRPr="00A023D9" w:rsidRDefault="00F70B15" w:rsidP="00651675">
            <w:pPr>
              <w:spacing w:before="60" w:after="60"/>
              <w:jc w:val="center"/>
              <w:rPr>
                <w:sz w:val="22"/>
                <w:szCs w:val="22"/>
                <w:lang w:eastAsia="hr-HR"/>
              </w:rPr>
            </w:pPr>
            <w:r w:rsidRPr="00A023D9">
              <w:rPr>
                <w:sz w:val="22"/>
                <w:szCs w:val="22"/>
                <w:lang w:eastAsia="hr-HR"/>
              </w:rPr>
              <w:t>4</w:t>
            </w:r>
          </w:p>
        </w:tc>
      </w:tr>
      <w:tr w:rsidR="00F70B15" w:rsidRPr="00651675" w14:paraId="477B8193" w14:textId="77777777" w:rsidTr="00A023D9">
        <w:trPr>
          <w:jc w:val="center"/>
        </w:trPr>
        <w:tc>
          <w:tcPr>
            <w:tcW w:w="3534" w:type="dxa"/>
            <w:shd w:val="clear" w:color="auto" w:fill="FFFFFF" w:themeFill="background1"/>
          </w:tcPr>
          <w:p w14:paraId="14B698C3" w14:textId="77777777" w:rsidR="00F70B15" w:rsidRPr="00A023D9" w:rsidRDefault="00F70B15" w:rsidP="00651675">
            <w:pPr>
              <w:spacing w:before="60" w:after="60"/>
              <w:rPr>
                <w:sz w:val="22"/>
                <w:szCs w:val="22"/>
                <w:lang w:eastAsia="hr-HR"/>
              </w:rPr>
            </w:pPr>
            <w:r w:rsidRPr="00A023D9">
              <w:rPr>
                <w:sz w:val="22"/>
                <w:szCs w:val="22"/>
                <w:lang w:eastAsia="hr-HR"/>
              </w:rPr>
              <w:t>Poljoprivreda</w:t>
            </w:r>
          </w:p>
        </w:tc>
        <w:tc>
          <w:tcPr>
            <w:tcW w:w="1990" w:type="dxa"/>
            <w:shd w:val="clear" w:color="auto" w:fill="FFFFFF" w:themeFill="background1"/>
          </w:tcPr>
          <w:p w14:paraId="3C0F1AA7" w14:textId="03DC53B1" w:rsidR="00F70B15" w:rsidRPr="00A023D9" w:rsidRDefault="00612573" w:rsidP="00651675">
            <w:pPr>
              <w:spacing w:before="60" w:after="60"/>
              <w:jc w:val="center"/>
              <w:rPr>
                <w:sz w:val="22"/>
                <w:szCs w:val="22"/>
                <w:lang w:eastAsia="hr-HR"/>
              </w:rPr>
            </w:pPr>
            <w:r>
              <w:rPr>
                <w:sz w:val="22"/>
                <w:szCs w:val="22"/>
                <w:lang w:eastAsia="hr-HR"/>
              </w:rPr>
              <w:t>865,4</w:t>
            </w:r>
          </w:p>
        </w:tc>
        <w:tc>
          <w:tcPr>
            <w:tcW w:w="1701" w:type="dxa"/>
            <w:shd w:val="clear" w:color="auto" w:fill="FFFFFF" w:themeFill="background1"/>
          </w:tcPr>
          <w:p w14:paraId="2A7E39C8" w14:textId="368357C9" w:rsidR="00F70B15" w:rsidRPr="00A023D9" w:rsidRDefault="00F70B15" w:rsidP="00651675">
            <w:pPr>
              <w:spacing w:before="60" w:after="60"/>
              <w:jc w:val="center"/>
              <w:rPr>
                <w:sz w:val="22"/>
                <w:szCs w:val="22"/>
                <w:lang w:eastAsia="hr-HR"/>
              </w:rPr>
            </w:pPr>
            <w:r w:rsidRPr="00A023D9">
              <w:rPr>
                <w:sz w:val="22"/>
                <w:szCs w:val="22"/>
                <w:lang w:eastAsia="hr-HR"/>
              </w:rPr>
              <w:t>57</w:t>
            </w:r>
            <w:r w:rsidR="00842B5D">
              <w:rPr>
                <w:sz w:val="22"/>
                <w:szCs w:val="22"/>
                <w:lang w:eastAsia="hr-HR"/>
              </w:rPr>
              <w:t>1,4</w:t>
            </w:r>
          </w:p>
        </w:tc>
      </w:tr>
      <w:tr w:rsidR="00F70B15" w:rsidRPr="00651675" w14:paraId="148A3945" w14:textId="77777777" w:rsidTr="00A023D9">
        <w:trPr>
          <w:jc w:val="center"/>
        </w:trPr>
        <w:tc>
          <w:tcPr>
            <w:tcW w:w="3534" w:type="dxa"/>
            <w:shd w:val="clear" w:color="auto" w:fill="FFFFFF" w:themeFill="background1"/>
          </w:tcPr>
          <w:p w14:paraId="41FD03F8" w14:textId="3DD40C66" w:rsidR="00F70B15" w:rsidRPr="00A023D9" w:rsidRDefault="00F70B15" w:rsidP="00651675">
            <w:pPr>
              <w:spacing w:before="60" w:after="60"/>
              <w:rPr>
                <w:sz w:val="22"/>
                <w:szCs w:val="22"/>
                <w:lang w:eastAsia="hr-HR"/>
              </w:rPr>
            </w:pPr>
            <w:r w:rsidRPr="00A023D9">
              <w:rPr>
                <w:sz w:val="22"/>
                <w:szCs w:val="22"/>
                <w:lang w:eastAsia="hr-HR"/>
              </w:rPr>
              <w:t>Otpad</w:t>
            </w:r>
            <w:r w:rsidR="00842B5D">
              <w:rPr>
                <w:sz w:val="22"/>
                <w:szCs w:val="22"/>
                <w:lang w:eastAsia="hr-HR"/>
              </w:rPr>
              <w:t>**</w:t>
            </w:r>
          </w:p>
        </w:tc>
        <w:tc>
          <w:tcPr>
            <w:tcW w:w="1990" w:type="dxa"/>
            <w:shd w:val="clear" w:color="auto" w:fill="FFFFFF" w:themeFill="background1"/>
          </w:tcPr>
          <w:p w14:paraId="228E2773" w14:textId="67CB937B" w:rsidR="00F70B15" w:rsidRPr="00A023D9" w:rsidRDefault="00842B5D" w:rsidP="00651675">
            <w:pPr>
              <w:spacing w:before="60" w:after="60"/>
              <w:jc w:val="center"/>
              <w:rPr>
                <w:sz w:val="22"/>
                <w:szCs w:val="22"/>
                <w:lang w:eastAsia="hr-HR"/>
              </w:rPr>
            </w:pPr>
            <w:r>
              <w:rPr>
                <w:sz w:val="22"/>
                <w:szCs w:val="22"/>
                <w:lang w:eastAsia="hr-HR"/>
              </w:rPr>
              <w:t>2187</w:t>
            </w:r>
          </w:p>
        </w:tc>
        <w:tc>
          <w:tcPr>
            <w:tcW w:w="1701" w:type="dxa"/>
            <w:shd w:val="clear" w:color="auto" w:fill="FFFFFF" w:themeFill="background1"/>
          </w:tcPr>
          <w:p w14:paraId="428C1EE6" w14:textId="77777777" w:rsidR="00F70B15" w:rsidRPr="00A023D9" w:rsidRDefault="00F70B15" w:rsidP="00651675">
            <w:pPr>
              <w:spacing w:before="60" w:after="60"/>
              <w:jc w:val="center"/>
              <w:rPr>
                <w:sz w:val="22"/>
                <w:szCs w:val="22"/>
                <w:lang w:eastAsia="hr-HR"/>
              </w:rPr>
            </w:pPr>
            <w:r w:rsidRPr="00A023D9">
              <w:rPr>
                <w:sz w:val="22"/>
                <w:szCs w:val="22"/>
                <w:lang w:eastAsia="hr-HR"/>
              </w:rPr>
              <w:t>-</w:t>
            </w:r>
          </w:p>
        </w:tc>
      </w:tr>
      <w:tr w:rsidR="00842B5D" w:rsidRPr="00651675" w14:paraId="05F3B539" w14:textId="77777777" w:rsidTr="00A023D9">
        <w:trPr>
          <w:jc w:val="center"/>
        </w:trPr>
        <w:tc>
          <w:tcPr>
            <w:tcW w:w="3534" w:type="dxa"/>
            <w:shd w:val="clear" w:color="auto" w:fill="FFFFFF" w:themeFill="background1"/>
          </w:tcPr>
          <w:p w14:paraId="2491C672" w14:textId="0D366BE0" w:rsidR="00842B5D" w:rsidRPr="00247798" w:rsidRDefault="00842B5D" w:rsidP="00842B5D">
            <w:pPr>
              <w:spacing w:before="60" w:after="60"/>
              <w:rPr>
                <w:sz w:val="22"/>
                <w:szCs w:val="22"/>
                <w:lang w:eastAsia="hr-HR"/>
              </w:rPr>
            </w:pPr>
            <w:r w:rsidRPr="00247798">
              <w:rPr>
                <w:sz w:val="20"/>
                <w:szCs w:val="20"/>
              </w:rPr>
              <w:t>LULUCF</w:t>
            </w:r>
          </w:p>
        </w:tc>
        <w:tc>
          <w:tcPr>
            <w:tcW w:w="1990" w:type="dxa"/>
            <w:shd w:val="clear" w:color="auto" w:fill="FFFFFF" w:themeFill="background1"/>
          </w:tcPr>
          <w:p w14:paraId="0776BB77" w14:textId="7CD31447" w:rsidR="00842B5D" w:rsidRPr="00247798" w:rsidRDefault="001D5D6D" w:rsidP="00842B5D">
            <w:pPr>
              <w:spacing w:before="60" w:after="60"/>
              <w:jc w:val="center"/>
              <w:rPr>
                <w:sz w:val="22"/>
                <w:szCs w:val="22"/>
                <w:lang w:eastAsia="hr-HR"/>
              </w:rPr>
            </w:pPr>
            <w:r w:rsidRPr="00247798">
              <w:rPr>
                <w:sz w:val="20"/>
                <w:szCs w:val="20"/>
              </w:rPr>
              <w:t>471,5</w:t>
            </w:r>
          </w:p>
        </w:tc>
        <w:tc>
          <w:tcPr>
            <w:tcW w:w="1701" w:type="dxa"/>
            <w:shd w:val="clear" w:color="auto" w:fill="FFFFFF" w:themeFill="background1"/>
          </w:tcPr>
          <w:p w14:paraId="7102729C" w14:textId="454CD1D3" w:rsidR="00842B5D" w:rsidRPr="00247798" w:rsidRDefault="00842B5D" w:rsidP="00842B5D">
            <w:pPr>
              <w:spacing w:before="60" w:after="60"/>
              <w:jc w:val="center"/>
              <w:rPr>
                <w:sz w:val="22"/>
                <w:szCs w:val="22"/>
                <w:lang w:eastAsia="hr-HR"/>
              </w:rPr>
            </w:pPr>
            <w:r w:rsidRPr="00247798">
              <w:rPr>
                <w:sz w:val="20"/>
                <w:szCs w:val="20"/>
              </w:rPr>
              <w:t>-</w:t>
            </w:r>
          </w:p>
        </w:tc>
      </w:tr>
      <w:tr w:rsidR="00F70B15" w:rsidRPr="00651675" w14:paraId="3E4A3361" w14:textId="77777777" w:rsidTr="00A023D9">
        <w:trPr>
          <w:jc w:val="center"/>
        </w:trPr>
        <w:tc>
          <w:tcPr>
            <w:tcW w:w="3534" w:type="dxa"/>
            <w:shd w:val="clear" w:color="auto" w:fill="FFFFFF" w:themeFill="background1"/>
          </w:tcPr>
          <w:p w14:paraId="15C3CC22" w14:textId="77777777" w:rsidR="00F70B15" w:rsidRPr="00A023D9" w:rsidRDefault="00F70B15" w:rsidP="00651675">
            <w:pPr>
              <w:spacing w:before="60" w:after="60"/>
              <w:rPr>
                <w:b/>
                <w:sz w:val="22"/>
                <w:szCs w:val="22"/>
                <w:lang w:eastAsia="hr-HR"/>
              </w:rPr>
            </w:pPr>
            <w:r w:rsidRPr="00A023D9">
              <w:rPr>
                <w:b/>
                <w:sz w:val="22"/>
                <w:szCs w:val="22"/>
                <w:lang w:eastAsia="hr-HR"/>
              </w:rPr>
              <w:t>Ukupno</w:t>
            </w:r>
          </w:p>
        </w:tc>
        <w:tc>
          <w:tcPr>
            <w:tcW w:w="1990" w:type="dxa"/>
            <w:shd w:val="clear" w:color="auto" w:fill="FFFFFF" w:themeFill="background1"/>
          </w:tcPr>
          <w:p w14:paraId="137AF372" w14:textId="07E5D13E" w:rsidR="00F70B15" w:rsidRPr="00A023D9" w:rsidRDefault="00D443D0" w:rsidP="00651675">
            <w:pPr>
              <w:spacing w:before="60" w:after="60"/>
              <w:jc w:val="center"/>
              <w:rPr>
                <w:b/>
                <w:sz w:val="22"/>
                <w:szCs w:val="22"/>
                <w:lang w:eastAsia="hr-HR"/>
              </w:rPr>
            </w:pPr>
            <w:r>
              <w:rPr>
                <w:b/>
                <w:sz w:val="22"/>
                <w:szCs w:val="22"/>
                <w:lang w:eastAsia="hr-HR"/>
              </w:rPr>
              <w:t>3.525,9</w:t>
            </w:r>
          </w:p>
        </w:tc>
        <w:tc>
          <w:tcPr>
            <w:tcW w:w="1701" w:type="dxa"/>
            <w:shd w:val="clear" w:color="auto" w:fill="FFFFFF" w:themeFill="background1"/>
          </w:tcPr>
          <w:p w14:paraId="6EDA0DA4" w14:textId="203C3642" w:rsidR="00F70B15" w:rsidRPr="00A023D9" w:rsidRDefault="001753E1" w:rsidP="00651675">
            <w:pPr>
              <w:spacing w:before="60" w:after="60"/>
              <w:jc w:val="center"/>
              <w:rPr>
                <w:b/>
                <w:sz w:val="22"/>
                <w:szCs w:val="22"/>
                <w:lang w:eastAsia="hr-HR"/>
              </w:rPr>
            </w:pPr>
            <w:r w:rsidRPr="00A023D9">
              <w:rPr>
                <w:b/>
                <w:sz w:val="22"/>
                <w:szCs w:val="22"/>
                <w:lang w:eastAsia="hr-HR"/>
              </w:rPr>
              <w:t>57</w:t>
            </w:r>
            <w:r w:rsidR="00D443D0">
              <w:rPr>
                <w:b/>
                <w:sz w:val="22"/>
                <w:szCs w:val="22"/>
                <w:lang w:eastAsia="hr-HR"/>
              </w:rPr>
              <w:t>5,</w:t>
            </w:r>
            <w:r w:rsidRPr="00A023D9">
              <w:rPr>
                <w:b/>
                <w:sz w:val="22"/>
                <w:szCs w:val="22"/>
                <w:lang w:eastAsia="hr-HR"/>
              </w:rPr>
              <w:t>4</w:t>
            </w:r>
          </w:p>
        </w:tc>
      </w:tr>
    </w:tbl>
    <w:p w14:paraId="763A065D" w14:textId="77777777" w:rsidR="00097F49" w:rsidRPr="00651675" w:rsidRDefault="00097F49" w:rsidP="004623DD">
      <w:pPr>
        <w:rPr>
          <w:i/>
          <w:iCs/>
          <w:sz w:val="20"/>
          <w:szCs w:val="20"/>
        </w:rPr>
      </w:pPr>
      <w:bookmarkStart w:id="754" w:name="_Hlk135815304"/>
      <w:r w:rsidRPr="00651675">
        <w:rPr>
          <w:i/>
          <w:iCs/>
          <w:sz w:val="20"/>
          <w:szCs w:val="20"/>
        </w:rPr>
        <w:t>*Procjena ukupnih ulaganja koja se odnose samo na projekte ne-energetskih izvora i upotrebe proizvoda. Ulaganja u projekte energetskih izvora u industriji te na izgradnju CCS sustava prikazuju se u sklopu sektora energetike (Industrija i građevinarstvo).</w:t>
      </w:r>
    </w:p>
    <w:bookmarkEnd w:id="754"/>
    <w:p w14:paraId="7DC2D0D5" w14:textId="5A4F62FF" w:rsidR="008A5A0F" w:rsidRPr="004C599B" w:rsidRDefault="00842B5D" w:rsidP="004623DD">
      <w:pPr>
        <w:rPr>
          <w:i/>
          <w:iCs/>
          <w:sz w:val="20"/>
          <w:szCs w:val="20"/>
        </w:rPr>
      </w:pPr>
      <w:r w:rsidRPr="00842B5D">
        <w:rPr>
          <w:i/>
          <w:iCs/>
          <w:sz w:val="20"/>
          <w:szCs w:val="20"/>
        </w:rPr>
        <w:t xml:space="preserve">** Za procjenu financijskih sredstava za provedbu mjera u razdoblju 2024. - 2030. godine korištena je procjena financijskih sredstava za provedbu mjera Plana gospodarenja otpadom Republike Hrvatske za razdoblje 2023. - 2028. godine u iznosu od ukupno 2.181.070.900 </w:t>
      </w:r>
      <w:r w:rsidR="00E15532">
        <w:rPr>
          <w:i/>
          <w:iCs/>
          <w:sz w:val="20"/>
          <w:szCs w:val="20"/>
        </w:rPr>
        <w:t>EUR</w:t>
      </w:r>
      <w:r w:rsidRPr="00842B5D">
        <w:rPr>
          <w:i/>
          <w:iCs/>
          <w:sz w:val="20"/>
          <w:szCs w:val="20"/>
        </w:rPr>
        <w:t xml:space="preserve"> + financijska sredstva za provedbu Plana sprječavanja i smanjenja nastajanja otpada od hrane Republike Hrvatske za razdoblje od 2023. do 2028. godine i procijenjeni trošak provedbe mjere C1.5. R4 Unaprjeđenje sustava doniranja hrane iz Nacionalnog plana oporavka i otpornosti 2021. - 2026. u iznosu od ukupno 6.000.000 </w:t>
      </w:r>
      <w:r w:rsidR="00E15532">
        <w:rPr>
          <w:i/>
          <w:iCs/>
          <w:sz w:val="20"/>
          <w:szCs w:val="20"/>
        </w:rPr>
        <w:t>EUR</w:t>
      </w:r>
    </w:p>
    <w:p w14:paraId="3C2DC005" w14:textId="40EBFDAE" w:rsidR="00FF2619" w:rsidRDefault="0001578B" w:rsidP="004623DD">
      <w:r w:rsidRPr="63259912">
        <w:t>Najve</w:t>
      </w:r>
      <w:r w:rsidR="00CB4D3B" w:rsidRPr="63259912">
        <w:t>ća ulaganja očekuju se u</w:t>
      </w:r>
      <w:r w:rsidR="00284DB4" w:rsidRPr="63259912">
        <w:t xml:space="preserve"> zgradarstvo, i to izgradnju zgrada i kuća gotovo nulte energije te </w:t>
      </w:r>
      <w:r w:rsidR="00CB4D3B" w:rsidRPr="63259912">
        <w:t>postrojenja za proizvodnju električne energije (glavnina od čega će biti ulaganja u postrojenja koja koriste obnovljive izvore energije)</w:t>
      </w:r>
      <w:r w:rsidR="00835F80" w:rsidRPr="63259912">
        <w:t xml:space="preserve">. </w:t>
      </w:r>
      <w:r w:rsidR="00701CF4" w:rsidRPr="63259912">
        <w:t xml:space="preserve">U pogledu neophodnih poticaja, najveće će potrebe biti </w:t>
      </w:r>
      <w:r w:rsidR="00812A8D" w:rsidRPr="63259912">
        <w:t>u</w:t>
      </w:r>
      <w:r w:rsidR="00701CF4" w:rsidRPr="63259912">
        <w:t xml:space="preserve"> </w:t>
      </w:r>
      <w:r w:rsidR="004777DE" w:rsidRPr="63259912">
        <w:t xml:space="preserve">dekarbonizaciji sektora prometa te </w:t>
      </w:r>
      <w:r w:rsidR="00701CF4" w:rsidRPr="63259912">
        <w:t>energetsk</w:t>
      </w:r>
      <w:r w:rsidR="00812A8D" w:rsidRPr="63259912">
        <w:t>oj</w:t>
      </w:r>
      <w:r w:rsidR="00701CF4" w:rsidRPr="63259912">
        <w:t xml:space="preserve"> obnov</w:t>
      </w:r>
      <w:r w:rsidR="00812A8D" w:rsidRPr="63259912">
        <w:t>i</w:t>
      </w:r>
      <w:r w:rsidR="00701CF4" w:rsidRPr="63259912">
        <w:t xml:space="preserve"> postojećeg fonda zgrada</w:t>
      </w:r>
      <w:r w:rsidR="00812A8D" w:rsidRPr="63259912">
        <w:t>.</w:t>
      </w:r>
    </w:p>
    <w:p w14:paraId="3FEDCBF2" w14:textId="12D0816D" w:rsidR="004C599B" w:rsidRDefault="002D0685" w:rsidP="004623DD">
      <w:r w:rsidRPr="63259912">
        <w:t>Na slici u nastavku prikazan</w:t>
      </w:r>
      <w:r w:rsidR="00DF31BC" w:rsidRPr="63259912">
        <w:t xml:space="preserve">a su ukupna potrebna ulaganja </w:t>
      </w:r>
      <w:r w:rsidR="00833419" w:rsidRPr="63259912">
        <w:t xml:space="preserve">do 2030. godine, </w:t>
      </w:r>
      <w:r w:rsidR="00DF31BC" w:rsidRPr="63259912">
        <w:t>prema skupinama mjera</w:t>
      </w:r>
      <w:r w:rsidR="00833419" w:rsidRPr="63259912">
        <w:t xml:space="preserve">. </w:t>
      </w:r>
      <w:r w:rsidR="00815FC6" w:rsidRPr="63259912">
        <w:t xml:space="preserve">U navedena ulaganja nisu uključene investicije u izgradnju novih stambenih i poslovnih zgrada (n-ZEB novogradnja). </w:t>
      </w:r>
      <w:r w:rsidR="00791319" w:rsidRPr="63259912">
        <w:t xml:space="preserve">Potrebna ulaganja za provedbu mjera procijenjena su na </w:t>
      </w:r>
      <w:r w:rsidR="00C22557" w:rsidRPr="63259912">
        <w:t>oko 3</w:t>
      </w:r>
      <w:r w:rsidR="003B3ED3" w:rsidRPr="63259912">
        <w:t>3,</w:t>
      </w:r>
      <w:r w:rsidR="00C918B4" w:rsidRPr="63259912">
        <w:t>8</w:t>
      </w:r>
      <w:r w:rsidR="00C22557" w:rsidRPr="63259912">
        <w:t xml:space="preserve"> milijardi EUR </w:t>
      </w:r>
      <w:r w:rsidR="004842CB" w:rsidRPr="63259912">
        <w:t xml:space="preserve">od čega je </w:t>
      </w:r>
      <w:r w:rsidR="00DC0CAA" w:rsidRPr="63259912">
        <w:t xml:space="preserve">moguće financirati </w:t>
      </w:r>
      <w:r w:rsidR="003D7A5A" w:rsidRPr="63259912">
        <w:t xml:space="preserve">oko </w:t>
      </w:r>
      <w:r w:rsidR="009372D2" w:rsidRPr="63259912">
        <w:t>32</w:t>
      </w:r>
      <w:r w:rsidR="00B538FF" w:rsidRPr="63259912">
        <w:t> </w:t>
      </w:r>
      <w:r w:rsidR="003D7A5A" w:rsidRPr="63259912">
        <w:t>% (</w:t>
      </w:r>
      <w:r w:rsidR="009372D2" w:rsidRPr="63259912">
        <w:t>10</w:t>
      </w:r>
      <w:r w:rsidR="00DC0CAA" w:rsidRPr="63259912">
        <w:t xml:space="preserve">,8 milijardi EUR) iz različitih </w:t>
      </w:r>
      <w:r w:rsidR="00435C3D" w:rsidRPr="63259912">
        <w:t xml:space="preserve">programa </w:t>
      </w:r>
      <w:r w:rsidR="00DC0CAA" w:rsidRPr="63259912">
        <w:t>(</w:t>
      </w:r>
      <w:r w:rsidR="00853A5D" w:rsidRPr="63259912">
        <w:t>NPOO, PKK, Repower</w:t>
      </w:r>
      <w:r w:rsidR="00F701FA" w:rsidRPr="63259912">
        <w:t>,</w:t>
      </w:r>
      <w:r w:rsidR="00853A5D" w:rsidRPr="63259912">
        <w:t xml:space="preserve"> </w:t>
      </w:r>
      <w:r w:rsidR="00F701FA" w:rsidRPr="63259912">
        <w:t>Modernizacijski fond</w:t>
      </w:r>
      <w:r w:rsidR="009372D2" w:rsidRPr="63259912">
        <w:t>, Socijalni fond, EU ETS-2</w:t>
      </w:r>
      <w:r w:rsidR="00F701FA" w:rsidRPr="63259912">
        <w:t xml:space="preserve"> </w:t>
      </w:r>
      <w:r w:rsidR="00853A5D" w:rsidRPr="63259912">
        <w:t xml:space="preserve">i dr.) </w:t>
      </w:r>
    </w:p>
    <w:p w14:paraId="58771725" w14:textId="2A0D50A6" w:rsidR="0065793D" w:rsidRDefault="00A82E07" w:rsidP="0065793D">
      <w:pPr>
        <w:jc w:val="center"/>
      </w:pPr>
      <w:r w:rsidRPr="00A82E07">
        <w:rPr>
          <w:noProof/>
        </w:rPr>
        <w:lastRenderedPageBreak/>
        <w:t xml:space="preserve"> </w:t>
      </w:r>
      <w:r>
        <w:rPr>
          <w:noProof/>
        </w:rPr>
        <w:drawing>
          <wp:inline distT="0" distB="0" distL="0" distR="0" wp14:anchorId="02E553D1" wp14:editId="077AD0B4">
            <wp:extent cx="5759450" cy="5759450"/>
            <wp:effectExtent l="0" t="0" r="0" b="0"/>
            <wp:docPr id="5" name="Picture 4">
              <a:extLst xmlns:a="http://schemas.openxmlformats.org/drawingml/2006/main">
                <a:ext uri="{FF2B5EF4-FFF2-40B4-BE49-F238E27FC236}">
                  <a16:creationId xmlns:a16="http://schemas.microsoft.com/office/drawing/2014/main" id="{A0261E24-DCCC-12C8-0564-F435ECAC8F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0261E24-DCCC-12C8-0564-F435ECAC8F68}"/>
                        </a:ext>
                      </a:extLst>
                    </pic:cNvPr>
                    <pic:cNvPicPr>
                      <a:picLocks noChangeAspect="1"/>
                    </pic:cNvPicPr>
                  </pic:nvPicPr>
                  <pic:blipFill>
                    <a:blip r:embed="rId84"/>
                    <a:stretch>
                      <a:fillRect/>
                    </a:stretch>
                  </pic:blipFill>
                  <pic:spPr>
                    <a:xfrm>
                      <a:off x="0" y="0"/>
                      <a:ext cx="5759450" cy="5759450"/>
                    </a:xfrm>
                    <a:prstGeom prst="rect">
                      <a:avLst/>
                    </a:prstGeom>
                  </pic:spPr>
                </pic:pic>
              </a:graphicData>
            </a:graphic>
          </wp:inline>
        </w:drawing>
      </w:r>
    </w:p>
    <w:p w14:paraId="1340373D" w14:textId="0E1367AB" w:rsidR="003E2ED0" w:rsidRPr="00652D60" w:rsidRDefault="003E2ED0" w:rsidP="003E2ED0">
      <w:pPr>
        <w:pStyle w:val="Caption"/>
        <w:rPr>
          <w:szCs w:val="20"/>
        </w:rPr>
      </w:pPr>
      <w:bookmarkStart w:id="755" w:name="_Toc185605282"/>
      <w:bookmarkStart w:id="756" w:name="_Toc193035928"/>
      <w:r w:rsidRPr="00ED2C06">
        <w:t xml:space="preserve">Slika </w:t>
      </w:r>
      <w:r>
        <w:fldChar w:fldCharType="begin"/>
      </w:r>
      <w:r>
        <w:instrText>STYLEREF 1 \s</w:instrText>
      </w:r>
      <w:r>
        <w:fldChar w:fldCharType="separate"/>
      </w:r>
      <w:r w:rsidR="00AD324D">
        <w:rPr>
          <w:noProof/>
        </w:rPr>
        <w:t>5</w:t>
      </w:r>
      <w:r>
        <w:fldChar w:fldCharType="end"/>
      </w:r>
      <w:r w:rsidR="00257B39">
        <w:t>–</w:t>
      </w:r>
      <w:r>
        <w:fldChar w:fldCharType="begin"/>
      </w:r>
      <w:r>
        <w:instrText>SEQ Slika \* ARABIC \s 1</w:instrText>
      </w:r>
      <w:r>
        <w:fldChar w:fldCharType="separate"/>
      </w:r>
      <w:r w:rsidR="002E4A4B">
        <w:rPr>
          <w:noProof/>
        </w:rPr>
        <w:t>7</w:t>
      </w:r>
      <w:r>
        <w:fldChar w:fldCharType="end"/>
      </w:r>
      <w:r w:rsidRPr="00ED2C06">
        <w:t xml:space="preserve">. </w:t>
      </w:r>
      <w:r>
        <w:t>Investicije potrebne za provedbu mjera definiranih NECP-om</w:t>
      </w:r>
      <w:bookmarkEnd w:id="755"/>
      <w:r w:rsidR="004D2FFE">
        <w:t xml:space="preserve"> (</w:t>
      </w:r>
      <w:r w:rsidR="00027192">
        <w:t>milijuna</w:t>
      </w:r>
      <w:r w:rsidR="004D2FFE">
        <w:t xml:space="preserve"> EUR)</w:t>
      </w:r>
      <w:bookmarkEnd w:id="756"/>
    </w:p>
    <w:p w14:paraId="5038C355" w14:textId="77777777" w:rsidR="0065793D" w:rsidRPr="00B47BDA" w:rsidRDefault="0065793D" w:rsidP="0065793D">
      <w:pPr>
        <w:jc w:val="center"/>
      </w:pPr>
    </w:p>
    <w:p w14:paraId="4C4DD929" w14:textId="77777777" w:rsidR="00E26CE1" w:rsidRPr="00B47BDA" w:rsidRDefault="00E26CE1" w:rsidP="005C2C7E">
      <w:pPr>
        <w:pStyle w:val="Heading4"/>
        <w:numPr>
          <w:ilvl w:val="3"/>
          <w:numId w:val="175"/>
        </w:numPr>
        <w:ind w:hanging="580"/>
      </w:pPr>
      <w:r w:rsidRPr="00B47BDA">
        <w:t>Čimbenici rizika sektora ili tržišta ili prepreke u nacionalnom ili regionalnom kontekstu;</w:t>
      </w:r>
    </w:p>
    <w:p w14:paraId="5C1DC148" w14:textId="7770E1EF" w:rsidR="00A64E78" w:rsidRPr="00284DB4" w:rsidRDefault="003B7C6B" w:rsidP="004623DD">
      <w:r w:rsidRPr="00284DB4">
        <w:t xml:space="preserve">Najvažniji rizici su povezani s kašnjenjem u provedbi regulatornih mjera </w:t>
      </w:r>
      <w:r w:rsidR="0080799F" w:rsidRPr="00284DB4">
        <w:t xml:space="preserve">i nedostatna sredstva za provedbu </w:t>
      </w:r>
      <w:r w:rsidR="00E570CD" w:rsidRPr="00284DB4">
        <w:t>financijskih mjera.</w:t>
      </w:r>
    </w:p>
    <w:p w14:paraId="31DBA19A" w14:textId="40B92154" w:rsidR="00A64E78" w:rsidRPr="00B47BDA" w:rsidRDefault="008426CA" w:rsidP="004623DD">
      <w:r w:rsidRPr="00284DB4">
        <w:t xml:space="preserve">Navedeni će se rizici umanjiti </w:t>
      </w:r>
      <w:r w:rsidR="0087465C" w:rsidRPr="00284DB4">
        <w:t>kontinuiranim praćenjem provedbe mjera i</w:t>
      </w:r>
      <w:r w:rsidR="00DB4F00" w:rsidRPr="00284DB4">
        <w:t>, po potrebi,</w:t>
      </w:r>
      <w:r w:rsidR="0087465C" w:rsidRPr="00284DB4">
        <w:t xml:space="preserve"> </w:t>
      </w:r>
      <w:r w:rsidR="00DB4F00" w:rsidRPr="00284DB4">
        <w:t>poduzimanjem korektivnih mjera.</w:t>
      </w:r>
    </w:p>
    <w:p w14:paraId="20FA5ED6" w14:textId="77777777" w:rsidR="00660614" w:rsidRPr="00B47BDA" w:rsidRDefault="00660614" w:rsidP="63259912">
      <w:pPr>
        <w:pStyle w:val="Heading4"/>
        <w:ind w:hanging="580"/>
      </w:pPr>
      <w:r w:rsidRPr="63259912">
        <w:lastRenderedPageBreak/>
        <w:t>Analiza dodatne potpore javnih financija ili izvora za popunjavanje nedostataka utvrđenih u okviru podtočke ii.</w:t>
      </w:r>
    </w:p>
    <w:p w14:paraId="0D103757" w14:textId="43D87EE6" w:rsidR="004C0E15" w:rsidRPr="00AD22ED" w:rsidRDefault="00AD22ED" w:rsidP="00AD22ED">
      <w:pPr>
        <w:spacing w:before="60" w:after="60"/>
        <w:rPr>
          <w:rStyle w:val="fontstyle01"/>
          <w:rFonts w:asciiTheme="minorHAnsi" w:hAnsiTheme="minorHAnsi" w:cstheme="minorHAnsi"/>
        </w:rPr>
      </w:pPr>
      <w:r w:rsidRPr="00AD22ED">
        <w:rPr>
          <w:rFonts w:cstheme="minorHAnsi"/>
          <w:lang w:eastAsia="hr-HR"/>
        </w:rPr>
        <w:t xml:space="preserve">Provedba mjera </w:t>
      </w:r>
      <w:r w:rsidR="004C0E15" w:rsidRPr="00AD22ED">
        <w:rPr>
          <w:rFonts w:cstheme="minorHAnsi"/>
          <w:lang w:eastAsia="hr-HR"/>
        </w:rPr>
        <w:t>realizirat</w:t>
      </w:r>
      <w:r w:rsidR="00146766" w:rsidRPr="00AD22ED">
        <w:rPr>
          <w:rFonts w:cstheme="minorHAnsi"/>
          <w:lang w:eastAsia="hr-HR"/>
        </w:rPr>
        <w:t xml:space="preserve"> će </w:t>
      </w:r>
      <w:r w:rsidRPr="00AD22ED">
        <w:rPr>
          <w:rFonts w:cstheme="minorHAnsi"/>
          <w:lang w:eastAsia="hr-HR"/>
        </w:rPr>
        <w:t>se</w:t>
      </w:r>
      <w:r w:rsidR="004C0E15" w:rsidRPr="00AD22ED">
        <w:rPr>
          <w:rFonts w:cstheme="minorHAnsi"/>
          <w:lang w:eastAsia="hr-HR"/>
        </w:rPr>
        <w:t xml:space="preserve"> kroz financiranje ili sufinanciranje projekata iz 1) javnih sredstava u obliku sredstava </w:t>
      </w:r>
      <w:r w:rsidR="004C0E15" w:rsidRPr="00AD22ED">
        <w:rPr>
          <w:rStyle w:val="fontstyle01"/>
          <w:rFonts w:asciiTheme="minorHAnsi" w:hAnsiTheme="minorHAnsi" w:cstheme="minorHAnsi"/>
        </w:rPr>
        <w:t>planiranih u gradskim ili općinskim proračunima jedinica lokalne samouprave, 2) privatnih sredstava te 3) nacionalnih i međunarodnih izvora financiranja za projekte energetske učinkovitosti i obnovljivih izvora energije koji uključuju kreditna i bespovratna sredstva.</w:t>
      </w:r>
    </w:p>
    <w:p w14:paraId="4227B695" w14:textId="0100999C" w:rsidR="004C0E15" w:rsidRPr="00AD22ED" w:rsidRDefault="004C0E15" w:rsidP="00AD22ED">
      <w:pPr>
        <w:spacing w:before="60" w:after="60"/>
        <w:rPr>
          <w:rFonts w:cstheme="minorHAnsi"/>
          <w:lang w:eastAsia="hr-HR"/>
        </w:rPr>
      </w:pPr>
      <w:r w:rsidRPr="00AD22ED">
        <w:rPr>
          <w:rFonts w:cstheme="minorHAnsi"/>
          <w:lang w:eastAsia="hr-HR"/>
        </w:rPr>
        <w:t xml:space="preserve">S obzirom da opseg potrebnih ulaganja često nadilazi kapacitete javnog sektora, potiče se usmjeravanje privatnih financijskih tokova u financiranje projektnih aktivnosti i ulaganja u razvoj infrastrukture, što je u skladu s ciljevima održivog financiranja Europske unije. Privatni interes za održiva ulaganja posljednjih se godina znatno povećao, jednako kao i korištenje dostupnih EU sredstava za financiranje raznovrsnih projekata energetske i klimatske tranzicije. </w:t>
      </w:r>
    </w:p>
    <w:p w14:paraId="376E8B8A" w14:textId="77777777" w:rsidR="00361ECE" w:rsidRPr="00EA2465" w:rsidRDefault="004C0E15" w:rsidP="00361ECE">
      <w:pPr>
        <w:spacing w:before="60" w:after="60"/>
        <w:rPr>
          <w:rFonts w:cstheme="minorHAnsi"/>
          <w:lang w:eastAsia="hr-HR"/>
        </w:rPr>
      </w:pPr>
      <w:r w:rsidRPr="00EA2465">
        <w:rPr>
          <w:rFonts w:cstheme="minorHAnsi"/>
          <w:lang w:eastAsia="hr-HR"/>
        </w:rPr>
        <w:t>Nacionalni izvori financiranja obuhvaćaju fondove i banke sa sjedištem u Hrvatskoj, specijalizirane za financiranje projekata u sektoru energetike i prometa. Osim klasičnih oblika kreditiranja, investitorima su na raspolaganju i bespovratna sredstva. Važno je spomenuti kako su i komercijalne banke prepoznale investicijski potencijal u ovom sektoru o čemu govori pokretanje kreditnih linija za projekte energetske učinkovitosti i obnovljivih izvora energije.</w:t>
      </w:r>
      <w:r w:rsidRPr="00EA2465">
        <w:rPr>
          <w:rFonts w:cstheme="minorHAnsi"/>
          <w:lang w:eastAsia="hr-HR"/>
        </w:rPr>
        <w:br/>
        <w:t xml:space="preserve">Jedan od najvećih izvora financiranja na nacionalnoj razini je </w:t>
      </w:r>
      <w:r w:rsidRPr="00EA2465">
        <w:rPr>
          <w:rFonts w:cstheme="minorHAnsi"/>
          <w:i/>
          <w:lang w:eastAsia="hr-HR"/>
        </w:rPr>
        <w:t>Fond za zaštitu okoliša i energetsku učinkovitost</w:t>
      </w:r>
      <w:r w:rsidRPr="00EA2465">
        <w:rPr>
          <w:rFonts w:cstheme="minorHAnsi"/>
          <w:lang w:eastAsia="hr-HR"/>
        </w:rPr>
        <w:t xml:space="preserve"> koji je osnovan kao izvanproračunski fond s ciljem financiranja nacionalnih energetskih programa. </w:t>
      </w:r>
      <w:r w:rsidRPr="00EA2465">
        <w:rPr>
          <w:rFonts w:cstheme="minorHAnsi"/>
          <w:i/>
          <w:lang w:eastAsia="hr-HR"/>
        </w:rPr>
        <w:t xml:space="preserve">Hrvatska banka za obnovu i razvitak (HBOR) </w:t>
      </w:r>
      <w:r w:rsidRPr="00EA2465">
        <w:rPr>
          <w:rFonts w:cstheme="minorHAnsi"/>
          <w:lang w:eastAsia="hr-HR"/>
        </w:rPr>
        <w:t xml:space="preserve">je razvojna i izvozna banka </w:t>
      </w:r>
      <w:r w:rsidR="00E30130" w:rsidRPr="00E30130">
        <w:rPr>
          <w:rFonts w:cstheme="minorHAnsi"/>
          <w:lang w:eastAsia="hr-HR"/>
        </w:rPr>
        <w:t>s osnovnim ciljem poticanja razvitka hrvatskog gospodarstva</w:t>
      </w:r>
      <w:r w:rsidR="00A06DB9">
        <w:rPr>
          <w:rFonts w:cstheme="minorHAnsi"/>
          <w:lang w:eastAsia="hr-HR"/>
        </w:rPr>
        <w:t xml:space="preserve">. </w:t>
      </w:r>
      <w:r w:rsidR="00A06DB9" w:rsidRPr="00A06DB9">
        <w:rPr>
          <w:rFonts w:cstheme="minorHAnsi"/>
          <w:lang w:eastAsia="hr-HR"/>
        </w:rPr>
        <w:t>U domaćem financijskom sustavu HBOR ima ulogu razvojne banke, izvozne banke i izvozno kreditne agencije Republike Hrvatske</w:t>
      </w:r>
      <w:r w:rsidR="00361ECE">
        <w:rPr>
          <w:rFonts w:cstheme="minorHAnsi"/>
          <w:lang w:eastAsia="hr-HR"/>
        </w:rPr>
        <w:t xml:space="preserve"> </w:t>
      </w:r>
      <w:r w:rsidR="00361ECE" w:rsidRPr="00EA2465">
        <w:rPr>
          <w:rFonts w:cstheme="minorHAnsi"/>
          <w:lang w:eastAsia="hr-HR"/>
        </w:rPr>
        <w:t>koja omogućuje pružanje financijske potpore i poticanje ulaganja u projekte zaštite okoliša, energetske učinkovitosti i korištenja obnovljivih izvora energije.</w:t>
      </w:r>
    </w:p>
    <w:p w14:paraId="089451E4" w14:textId="274D5BB2" w:rsidR="004C0E15" w:rsidRPr="00EA2465" w:rsidRDefault="00932242" w:rsidP="63259912">
      <w:pPr>
        <w:spacing w:before="60" w:after="60"/>
        <w:rPr>
          <w:rFonts w:cstheme="minorBidi"/>
          <w:lang w:eastAsia="hr-HR"/>
        </w:rPr>
      </w:pPr>
      <w:r w:rsidRPr="63259912">
        <w:rPr>
          <w:rFonts w:cstheme="minorBidi"/>
          <w:lang w:eastAsia="hr-HR"/>
        </w:rPr>
        <w:t>Pored kreditne i garancijske aktivnosti HBOR je i aktivni sudionik i nositelj razvoja alternativnih izvora financiranja (private equity i venture capital fondovi).</w:t>
      </w:r>
      <w:r w:rsidR="00BA3D7F" w:rsidRPr="63259912">
        <w:rPr>
          <w:rFonts w:cstheme="minorBidi"/>
          <w:lang w:eastAsia="hr-HR"/>
        </w:rPr>
        <w:t xml:space="preserve"> </w:t>
      </w:r>
      <w:r w:rsidR="00E30130" w:rsidRPr="63259912">
        <w:rPr>
          <w:rFonts w:cstheme="minorBidi"/>
          <w:lang w:eastAsia="hr-HR"/>
        </w:rPr>
        <w:t xml:space="preserve"> </w:t>
      </w:r>
    </w:p>
    <w:p w14:paraId="3D16508D" w14:textId="4869F2C5" w:rsidR="004C0E15" w:rsidRPr="00BF7070" w:rsidRDefault="00BF7070" w:rsidP="00AD22ED">
      <w:pPr>
        <w:spacing w:before="60" w:after="60"/>
        <w:rPr>
          <w:rFonts w:cstheme="minorHAnsi"/>
          <w:lang w:eastAsia="hr-HR"/>
        </w:rPr>
      </w:pPr>
      <w:r w:rsidRPr="00BF7070">
        <w:rPr>
          <w:rFonts w:cstheme="minorHAnsi"/>
          <w:lang w:eastAsia="hr-HR"/>
        </w:rPr>
        <w:t>P</w:t>
      </w:r>
      <w:r w:rsidR="004C0E15" w:rsidRPr="00BF7070">
        <w:rPr>
          <w:rFonts w:cstheme="minorHAnsi"/>
          <w:lang w:eastAsia="hr-HR"/>
        </w:rPr>
        <w:t>rednosti korištenja EU sredstava za financiranje projektnih aktivnosti sadržane su u mogućnosti financiranja širokog raspona projektnih aktivnosti, od najnižih razina tehnološke spremnosti (TRL) koje obuhvaćaju temeljna istraživanja i formuliranje tehnološkog koncepta, do demonstracijskih aktivnosti i uspješno dokazane tehnologije (konkurentna proizvodnja). Ovisno o željenim i ciljanim rezultatima, za projektno financiranje prihvatljiv je raznovrstan profil prijavitelja, od tijela javnog sektora i organizacija za istraživanje i širenje znanja do privatnih prijavitelja iz gospodarstva, posebno malih i srednjih poduzetnika za koje su nerijetko namjenski i ciljano objavljeni i dostupni pozivi za financiranje pojedinih projektnih aktivnosti.</w:t>
      </w:r>
    </w:p>
    <w:p w14:paraId="1C1CF7F5" w14:textId="29A2B135" w:rsidR="004C0E15" w:rsidRPr="00AD22ED" w:rsidRDefault="004C0E15" w:rsidP="63259912">
      <w:pPr>
        <w:spacing w:before="60" w:after="60"/>
        <w:rPr>
          <w:rFonts w:cstheme="minorBidi"/>
          <w:highlight w:val="yellow"/>
          <w:lang w:eastAsia="hr-HR"/>
        </w:rPr>
      </w:pPr>
      <w:r w:rsidRPr="63259912">
        <w:rPr>
          <w:rFonts w:cstheme="minorBidi"/>
          <w:lang w:eastAsia="hr-HR"/>
        </w:rPr>
        <w:t>Sredstva EU za projektno financiranje te privatna i javna sredstva trebala bi se kombinirati i koristiti sinergistički kako bi se zajedno stvorile nove prilike za poduzeća i ulagatelje. EU izvori financiranja trebali bi djelovati kao katalizator za djelotvornu mobilizaciju i raspodjelu privatnih i javnih sredstava u svrhu održivih ulaganja.</w:t>
      </w:r>
      <w:r w:rsidRPr="63259912">
        <w:rPr>
          <w:rFonts w:cstheme="minorBidi"/>
        </w:rPr>
        <w:t xml:space="preserve"> </w:t>
      </w:r>
      <w:r w:rsidRPr="63259912">
        <w:rPr>
          <w:rFonts w:cstheme="minorBidi"/>
          <w:lang w:eastAsia="hr-HR"/>
        </w:rPr>
        <w:t xml:space="preserve">Sukladno ciljevima Europskog zelenog plana, financiranje programa i projekata u sektoru energetike i prometa općenito, osigurano je u sklopu </w:t>
      </w:r>
      <w:r w:rsidRPr="63259912">
        <w:rPr>
          <w:rFonts w:cstheme="minorBidi"/>
          <w:b/>
          <w:bCs/>
          <w:lang w:eastAsia="hr-HR"/>
        </w:rPr>
        <w:t>višegodišnjeg financijskog okvira (VFO) za razdoblje 2021.–2027</w:t>
      </w:r>
      <w:r w:rsidRPr="63259912">
        <w:rPr>
          <w:rFonts w:cstheme="minorBidi"/>
          <w:lang w:eastAsia="hr-HR"/>
        </w:rPr>
        <w:t xml:space="preserve">. i instrumenta </w:t>
      </w:r>
      <w:r w:rsidR="00B52625" w:rsidRPr="63259912">
        <w:rPr>
          <w:rFonts w:cstheme="minorBidi"/>
          <w:b/>
          <w:bCs/>
          <w:lang w:eastAsia="hr-HR"/>
        </w:rPr>
        <w:t>EU sljedeće generacije</w:t>
      </w:r>
      <w:r w:rsidR="00B52625" w:rsidRPr="63259912">
        <w:rPr>
          <w:rFonts w:cstheme="minorBidi"/>
          <w:lang w:eastAsia="hr-HR"/>
        </w:rPr>
        <w:t xml:space="preserve"> </w:t>
      </w:r>
      <w:r w:rsidR="00B52625" w:rsidRPr="63259912">
        <w:rPr>
          <w:rFonts w:cstheme="minorBidi"/>
          <w:b/>
          <w:bCs/>
          <w:lang w:eastAsia="hr-HR"/>
        </w:rPr>
        <w:t>(</w:t>
      </w:r>
      <w:r w:rsidR="00B52625" w:rsidRPr="63259912">
        <w:rPr>
          <w:rFonts w:cstheme="minorBidi"/>
          <w:lang w:eastAsia="hr-HR"/>
        </w:rPr>
        <w:t xml:space="preserve">eng. </w:t>
      </w:r>
      <w:r w:rsidRPr="63259912">
        <w:rPr>
          <w:rFonts w:cstheme="minorBidi"/>
          <w:lang w:eastAsia="hr-HR"/>
        </w:rPr>
        <w:t>NextGenerationEU</w:t>
      </w:r>
      <w:r w:rsidR="00B52625" w:rsidRPr="63259912">
        <w:rPr>
          <w:rFonts w:cstheme="minorBidi"/>
          <w:lang w:eastAsia="hr-HR"/>
        </w:rPr>
        <w:t xml:space="preserve"> -</w:t>
      </w:r>
      <w:r w:rsidRPr="63259912">
        <w:rPr>
          <w:rFonts w:cstheme="minorBidi"/>
          <w:lang w:eastAsia="hr-HR"/>
        </w:rPr>
        <w:t xml:space="preserve"> NGEU). Iz oba izvora sredstava dostupni su pojedini financijski mehanizmi i instrumenti koji omogućavaju financiranje za sektor energetike te održive projektne aktivnosti.</w:t>
      </w:r>
    </w:p>
    <w:p w14:paraId="449D8E42" w14:textId="2B8E58EA" w:rsidR="004C0E15" w:rsidRPr="0087445C" w:rsidRDefault="004C0E15" w:rsidP="63259912">
      <w:pPr>
        <w:spacing w:before="60" w:after="60"/>
        <w:rPr>
          <w:rFonts w:cstheme="minorBidi"/>
          <w:lang w:eastAsia="hr-HR"/>
        </w:rPr>
      </w:pPr>
      <w:r w:rsidRPr="63259912">
        <w:rPr>
          <w:rFonts w:cstheme="minorBidi"/>
          <w:lang w:eastAsia="hr-HR"/>
        </w:rPr>
        <w:lastRenderedPageBreak/>
        <w:t xml:space="preserve">U okviru instrumenta „EU sljedeće generacije - NGEU“ uveden je </w:t>
      </w:r>
      <w:r w:rsidRPr="63259912">
        <w:rPr>
          <w:rFonts w:cstheme="minorBidi"/>
          <w:b/>
          <w:bCs/>
          <w:lang w:eastAsia="hr-HR"/>
        </w:rPr>
        <w:t>Mehanizam za oporavak i otpornost</w:t>
      </w:r>
      <w:r w:rsidRPr="63259912">
        <w:rPr>
          <w:rFonts w:cstheme="minorBidi"/>
          <w:lang w:eastAsia="hr-HR"/>
        </w:rPr>
        <w:t xml:space="preserve"> (eng. Recovery and Resilience Facility</w:t>
      </w:r>
      <w:r w:rsidRPr="63259912">
        <w:rPr>
          <w:rFonts w:cstheme="minorBidi"/>
          <w:i/>
          <w:iCs/>
          <w:lang w:eastAsia="hr-HR"/>
        </w:rPr>
        <w:t xml:space="preserve"> – </w:t>
      </w:r>
      <w:r w:rsidRPr="63259912">
        <w:rPr>
          <w:rFonts w:cstheme="minorBidi"/>
          <w:lang w:eastAsia="hr-HR"/>
        </w:rPr>
        <w:t>RRF) iz kojeg će se državama članicama, kroz vlastite nacionalne planove za oporavak i otpornost omogućiti korištenje bespovratnih sredstava i zajmova za financiranje reformi i povezanih investicija kojima se ubrzava oporavak te povećava otpornost gospodarstva i društva. Mehanizam za oporavak i otpornost</w:t>
      </w:r>
      <w:r w:rsidRPr="63259912">
        <w:rPr>
          <w:rFonts w:cstheme="minorBidi"/>
          <w:b/>
          <w:bCs/>
          <w:lang w:eastAsia="hr-HR"/>
        </w:rPr>
        <w:t xml:space="preserve"> </w:t>
      </w:r>
      <w:r w:rsidRPr="63259912">
        <w:rPr>
          <w:rFonts w:cstheme="minorBidi"/>
          <w:lang w:eastAsia="hr-HR"/>
        </w:rPr>
        <w:t>ima za cilj ublažiti gospodarske i socijalne posljedice pandemije koronavirusa i učiniti europska gospodarstva i društva održivijima, otpornijima i spremnijima za izazove i prilike koje donose zelena i digitalna tranzicija.</w:t>
      </w:r>
      <w:r w:rsidRPr="63259912">
        <w:rPr>
          <w:rFonts w:cstheme="minorBidi"/>
          <w:b/>
          <w:bCs/>
          <w:color w:val="E50100"/>
          <w:lang w:eastAsia="hr-HR"/>
        </w:rPr>
        <w:t xml:space="preserve"> </w:t>
      </w:r>
      <w:r w:rsidRPr="63259912">
        <w:rPr>
          <w:rFonts w:cstheme="minorBidi"/>
          <w:lang w:eastAsia="hr-HR"/>
        </w:rPr>
        <w:t>Mehanizam se temelji na šest stupova: zelena tranzicija; digitalna transformacija; gospodarska kohezija, produktivnost i konkurentnost, socijalna i teritorijalna kohezija; otpornost zdravstvenih, gospodarskih i socijalnih sektora i institucija te politike za sljedeću generaciju. Hrvatsk</w:t>
      </w:r>
      <w:r w:rsidR="0087445C" w:rsidRPr="63259912">
        <w:rPr>
          <w:rFonts w:cstheme="minorBidi"/>
          <w:lang w:eastAsia="hr-HR"/>
        </w:rPr>
        <w:t>i</w:t>
      </w:r>
      <w:r w:rsidRPr="63259912">
        <w:rPr>
          <w:rFonts w:cstheme="minorBidi"/>
          <w:lang w:eastAsia="hr-HR"/>
        </w:rPr>
        <w:t xml:space="preserve"> </w:t>
      </w:r>
      <w:r w:rsidRPr="63259912">
        <w:rPr>
          <w:rFonts w:cstheme="minorBidi"/>
          <w:b/>
          <w:bCs/>
          <w:lang w:eastAsia="hr-HR"/>
        </w:rPr>
        <w:t>Nacionaln</w:t>
      </w:r>
      <w:r w:rsidR="0087445C" w:rsidRPr="63259912">
        <w:rPr>
          <w:rFonts w:cstheme="minorBidi"/>
          <w:b/>
          <w:bCs/>
          <w:lang w:eastAsia="hr-HR"/>
        </w:rPr>
        <w:t>i</w:t>
      </w:r>
      <w:r w:rsidRPr="63259912">
        <w:rPr>
          <w:rFonts w:cstheme="minorBidi"/>
          <w:b/>
          <w:bCs/>
          <w:lang w:eastAsia="hr-HR"/>
        </w:rPr>
        <w:t xml:space="preserve"> plan za oporavak i otpornost (NPOO</w:t>
      </w:r>
      <w:r w:rsidR="0087445C" w:rsidRPr="63259912">
        <w:rPr>
          <w:rFonts w:cstheme="minorBidi"/>
          <w:b/>
          <w:bCs/>
          <w:lang w:eastAsia="hr-HR"/>
        </w:rPr>
        <w:t>)</w:t>
      </w:r>
      <w:r w:rsidRPr="63259912">
        <w:rPr>
          <w:rFonts w:cstheme="minorBidi"/>
          <w:lang w:eastAsia="hr-HR"/>
        </w:rPr>
        <w:t xml:space="preserve"> </w:t>
      </w:r>
      <w:r w:rsidR="0087445C" w:rsidRPr="63259912">
        <w:rPr>
          <w:rFonts w:cstheme="minorBidi"/>
          <w:lang w:eastAsia="hr-HR"/>
        </w:rPr>
        <w:t>usklađen je s nacionalnim strateškim razvojnim dokumentima, kao i s europskim prioritetima usmjerenih na digitalnu i zelenu tranziciju, koji se zasnivaju na modernizaciji gospodarstva i društva na temelju većeg ulaganja u inovacije i nove tehnologije.</w:t>
      </w:r>
    </w:p>
    <w:p w14:paraId="773ADCC2" w14:textId="5DB12F33" w:rsidR="004C0E15" w:rsidRPr="0087445C" w:rsidRDefault="004C0E15" w:rsidP="63259912">
      <w:pPr>
        <w:spacing w:before="60" w:after="60"/>
        <w:rPr>
          <w:rFonts w:cstheme="minorBidi"/>
          <w:lang w:eastAsia="hr-HR"/>
        </w:rPr>
      </w:pPr>
      <w:r w:rsidRPr="63259912">
        <w:rPr>
          <w:rFonts w:cstheme="minorBidi"/>
          <w:b/>
          <w:bCs/>
          <w:lang w:eastAsia="hr-HR"/>
        </w:rPr>
        <w:t xml:space="preserve">Instrument za povezivanje Europe </w:t>
      </w:r>
      <w:r w:rsidR="001E011E" w:rsidRPr="63259912">
        <w:rPr>
          <w:rFonts w:cstheme="minorBidi"/>
          <w:lang w:eastAsia="hr-HR"/>
        </w:rPr>
        <w:t>(eng.</w:t>
      </w:r>
      <w:r w:rsidRPr="63259912">
        <w:rPr>
          <w:rFonts w:cstheme="minorBidi"/>
          <w:lang w:eastAsia="hr-HR"/>
        </w:rPr>
        <w:t xml:space="preserve"> Connecting Europe Facility</w:t>
      </w:r>
      <w:r w:rsidRPr="63259912">
        <w:rPr>
          <w:rFonts w:cstheme="minorBidi"/>
          <w:b/>
          <w:bCs/>
          <w:lang w:eastAsia="hr-HR"/>
        </w:rPr>
        <w:t xml:space="preserve"> </w:t>
      </w:r>
      <w:r w:rsidR="001E011E" w:rsidRPr="63259912">
        <w:rPr>
          <w:rFonts w:cstheme="minorBidi"/>
          <w:lang w:eastAsia="hr-HR"/>
        </w:rPr>
        <w:t xml:space="preserve">- </w:t>
      </w:r>
      <w:r w:rsidRPr="63259912">
        <w:rPr>
          <w:rFonts w:cstheme="minorBidi"/>
          <w:lang w:eastAsia="hr-HR"/>
        </w:rPr>
        <w:t>CEF) je financijski instrument osnovan za dodatna ulaganja u izgradnju nove te unaprjeđenje postojeće prometne, energetske i telekomunikacijske infrastrukture, iz kojeg države članice mogu financirati projekte na devet koridora Osnovne mreže Transeuropske prometne mreže (TEN-T). Ukupna sredstva CEF-a namijenjena prometu za razdoblje od 2021. do 2027. iznose 25</w:t>
      </w:r>
      <w:r w:rsidR="0087445C" w:rsidRPr="63259912">
        <w:rPr>
          <w:rFonts w:cstheme="minorBidi"/>
          <w:lang w:eastAsia="hr-HR"/>
        </w:rPr>
        <w:t>,</w:t>
      </w:r>
      <w:r w:rsidRPr="63259912">
        <w:rPr>
          <w:rFonts w:cstheme="minorBidi"/>
          <w:lang w:eastAsia="hr-HR"/>
        </w:rPr>
        <w:t xml:space="preserve">81 milijardi </w:t>
      </w:r>
      <w:r w:rsidR="00AC36C6" w:rsidRPr="63259912">
        <w:rPr>
          <w:rFonts w:cstheme="minorBidi"/>
          <w:lang w:eastAsia="hr-HR"/>
        </w:rPr>
        <w:t>EUR</w:t>
      </w:r>
      <w:r w:rsidRPr="63259912">
        <w:rPr>
          <w:rFonts w:cstheme="minorBidi"/>
          <w:lang w:eastAsia="hr-HR"/>
        </w:rPr>
        <w:t xml:space="preserve">. U području prometa programom CEF 2.0 promicat će se međusobno povezane i multimodalne mreže za razvoj i modernizaciju željezničke, cestovne i pomorske infrastrukture, kao i infrastrukture unutarnjih plovnih putova te doprinijeti sigurnoj mobilnosti. Za sredstva CEF-a prijaviti se mogu sve države članice Europske unije, međunarodne organizacije, istraživački centri, lokalne i regionalne vlasti i sl. </w:t>
      </w:r>
    </w:p>
    <w:p w14:paraId="6AD88C52" w14:textId="7BB26C01" w:rsidR="004C0E15" w:rsidRPr="0087445C" w:rsidRDefault="004C0E15" w:rsidP="00AD22ED">
      <w:pPr>
        <w:pStyle w:val="NormalWeb"/>
        <w:spacing w:before="60" w:beforeAutospacing="0" w:after="60" w:afterAutospacing="0"/>
        <w:rPr>
          <w:rFonts w:cstheme="minorHAnsi"/>
        </w:rPr>
      </w:pPr>
      <w:r w:rsidRPr="0087445C">
        <w:rPr>
          <w:rFonts w:cstheme="minorHAnsi"/>
          <w:b/>
        </w:rPr>
        <w:t>Obzor Europa</w:t>
      </w:r>
      <w:r w:rsidRPr="0087445C">
        <w:rPr>
          <w:rFonts w:cstheme="minorHAnsi"/>
        </w:rPr>
        <w:t xml:space="preserve"> je</w:t>
      </w:r>
      <w:r w:rsidR="00AB77EA">
        <w:rPr>
          <w:rFonts w:cstheme="minorHAnsi"/>
        </w:rPr>
        <w:t xml:space="preserve"> </w:t>
      </w:r>
      <w:r w:rsidRPr="0087445C">
        <w:rPr>
          <w:rFonts w:cstheme="minorHAnsi"/>
        </w:rPr>
        <w:t>Okvirni program Europske unije za istraživanja i inovacije za razdoblje od 2021. do 2027. godine, i jedan je od ključnih instrumenata Unije za jačanje Europskog istraživačkog prostora, osnaživanje europske konkurentnosti, usmjeravanje i ubrzavanje digitalne i zelene tranzicije, europskog oporavka, pripravnosti i otpornosti. To ga čini najambicioznijim te ujedno i najvećim transnacionalnim okvirnim programom za istraživanje i inovacije u svijetu.</w:t>
      </w:r>
    </w:p>
    <w:p w14:paraId="108C2193" w14:textId="5D0C2A0B" w:rsidR="004C0E15" w:rsidRPr="00946676" w:rsidRDefault="004C0E15" w:rsidP="00AD22ED">
      <w:pPr>
        <w:spacing w:before="60" w:after="60"/>
        <w:rPr>
          <w:rFonts w:cstheme="minorHAnsi"/>
          <w:lang w:eastAsia="hr-HR"/>
        </w:rPr>
      </w:pPr>
      <w:r w:rsidRPr="00946676">
        <w:rPr>
          <w:rFonts w:cstheme="minorHAnsi"/>
          <w:lang w:eastAsia="hr-HR"/>
        </w:rPr>
        <w:t xml:space="preserve">Kroz specifične ciljeve i stupove koji čine strukturu programa Globalni izazovi i europska industrijska konkurentnost podržava se stvaranje i prijenos novih znanja, tehnologija i održivih rješenja s ciljem poticanja konkurentnosti industrije država članica te jačanja utjecaja istraživanja i inovacija u provedbi politika Unije. Posebno je naglašeno poticanje razvoja inovativnih rješenja u malim, srednjim te novoosnovanim poduzećima te u društvu, s ciljem rješavanje globalnih izazova. Također, kroz aktivnosti unutar trećeg stupa Inovativna Europa potiču se razvoj, prijenos i primjena svih oblika inovacija, a posebno u malim i srednjim poduzećima, istodobno doprinoseći ostalim specifičnim ciljevima Programa. </w:t>
      </w:r>
    </w:p>
    <w:p w14:paraId="6AF0BA93" w14:textId="77777777" w:rsidR="004C0E15" w:rsidRPr="00946676" w:rsidRDefault="004C0E15" w:rsidP="00AD22ED">
      <w:pPr>
        <w:pStyle w:val="paragraph"/>
        <w:spacing w:before="60" w:beforeAutospacing="0" w:after="60" w:afterAutospacing="0"/>
        <w:rPr>
          <w:rFonts w:asciiTheme="minorHAnsi" w:hAnsiTheme="minorHAnsi" w:cstheme="minorHAnsi"/>
        </w:rPr>
      </w:pPr>
      <w:r w:rsidRPr="00946676">
        <w:rPr>
          <w:rFonts w:asciiTheme="minorHAnsi" w:hAnsiTheme="minorHAnsi" w:cstheme="minorHAnsi"/>
        </w:rPr>
        <w:t>Prvim strateškim planom programa Obzor Europa za razdoblje 2021. – 2024. utvrdile su se strateške smjernice za usmjeravanje ulaganja u prve četiri godine njegove provedbe temeljene na:</w:t>
      </w:r>
    </w:p>
    <w:p w14:paraId="30327FC1" w14:textId="77777777" w:rsidR="004C0E15" w:rsidRPr="00946676" w:rsidRDefault="004C0E15" w:rsidP="00A563AA">
      <w:pPr>
        <w:pStyle w:val="paragraph"/>
        <w:numPr>
          <w:ilvl w:val="0"/>
          <w:numId w:val="120"/>
        </w:numPr>
        <w:spacing w:before="60" w:beforeAutospacing="0" w:after="60" w:afterAutospacing="0"/>
        <w:ind w:left="840"/>
        <w:rPr>
          <w:rFonts w:asciiTheme="minorHAnsi" w:hAnsiTheme="minorHAnsi" w:cstheme="minorHAnsi"/>
        </w:rPr>
      </w:pPr>
      <w:r w:rsidRPr="00946676">
        <w:rPr>
          <w:rFonts w:asciiTheme="minorHAnsi" w:hAnsiTheme="minorHAnsi" w:cstheme="minorHAnsi"/>
        </w:rPr>
        <w:t>promicanju otvorene strateške autonomije vođenjem razvoja ključnih digitalnih, razvojnih i novih tehnologija, sektora i vrijednosnih lanaca</w:t>
      </w:r>
    </w:p>
    <w:p w14:paraId="1C5BEDC0" w14:textId="77777777" w:rsidR="004C0E15" w:rsidRPr="00946676" w:rsidRDefault="004C0E15" w:rsidP="00A563AA">
      <w:pPr>
        <w:pStyle w:val="paragraph"/>
        <w:numPr>
          <w:ilvl w:val="0"/>
          <w:numId w:val="120"/>
        </w:numPr>
        <w:spacing w:before="60" w:beforeAutospacing="0" w:after="60" w:afterAutospacing="0"/>
        <w:ind w:left="840"/>
        <w:rPr>
          <w:rFonts w:asciiTheme="minorHAnsi" w:hAnsiTheme="minorHAnsi" w:cstheme="minorHAnsi"/>
        </w:rPr>
      </w:pPr>
      <w:r w:rsidRPr="00946676">
        <w:rPr>
          <w:rFonts w:asciiTheme="minorHAnsi" w:hAnsiTheme="minorHAnsi" w:cstheme="minorHAnsi"/>
        </w:rPr>
        <w:t>obnovi europskih ekosustava i bioraznolikosti te održivo upravljanje prirodnim resursima</w:t>
      </w:r>
    </w:p>
    <w:p w14:paraId="0DBCA20A" w14:textId="77777777" w:rsidR="004C0E15" w:rsidRPr="00946676" w:rsidRDefault="004C0E15" w:rsidP="00A563AA">
      <w:pPr>
        <w:pStyle w:val="paragraph"/>
        <w:numPr>
          <w:ilvl w:val="0"/>
          <w:numId w:val="120"/>
        </w:numPr>
        <w:spacing w:before="60" w:beforeAutospacing="0" w:after="60" w:afterAutospacing="0"/>
        <w:ind w:left="840"/>
        <w:rPr>
          <w:rFonts w:asciiTheme="minorHAnsi" w:hAnsiTheme="minorHAnsi" w:cstheme="minorHAnsi"/>
        </w:rPr>
      </w:pPr>
      <w:r w:rsidRPr="00946676">
        <w:rPr>
          <w:rFonts w:asciiTheme="minorHAnsi" w:hAnsiTheme="minorHAnsi" w:cstheme="minorHAnsi"/>
        </w:rPr>
        <w:lastRenderedPageBreak/>
        <w:t>digitalnom putu prema Europi kao prvom kružnom, klimatski neutralnom i održivom gospodarstvu</w:t>
      </w:r>
    </w:p>
    <w:p w14:paraId="18A11175" w14:textId="77777777" w:rsidR="004C0E15" w:rsidRPr="00946676" w:rsidRDefault="004C0E15" w:rsidP="63259912">
      <w:pPr>
        <w:pStyle w:val="paragraph"/>
        <w:numPr>
          <w:ilvl w:val="0"/>
          <w:numId w:val="120"/>
        </w:numPr>
        <w:spacing w:before="60" w:beforeAutospacing="0" w:after="60" w:afterAutospacing="0"/>
        <w:ind w:left="840"/>
        <w:rPr>
          <w:rFonts w:asciiTheme="minorHAnsi" w:hAnsiTheme="minorHAnsi" w:cstheme="minorBidi"/>
        </w:rPr>
      </w:pPr>
      <w:r w:rsidRPr="63259912">
        <w:rPr>
          <w:rFonts w:asciiTheme="minorHAnsi" w:hAnsiTheme="minorHAnsi" w:cstheme="minorBidi"/>
        </w:rPr>
        <w:t>stvaranju otpornijeg, uključivijeg i demokratskijeg europskog društva.</w:t>
      </w:r>
    </w:p>
    <w:p w14:paraId="76277557" w14:textId="77777777" w:rsidR="004C0E15" w:rsidRPr="00946676" w:rsidRDefault="004C0E15" w:rsidP="00AD22ED">
      <w:pPr>
        <w:spacing w:before="60" w:after="60"/>
        <w:rPr>
          <w:rFonts w:cstheme="minorHAnsi"/>
          <w:lang w:eastAsia="hr-HR"/>
        </w:rPr>
      </w:pPr>
      <w:r w:rsidRPr="00946676">
        <w:rPr>
          <w:rFonts w:cstheme="minorHAnsi"/>
          <w:lang w:eastAsia="hr-HR"/>
        </w:rPr>
        <w:t xml:space="preserve">Unutar navedenoga razvidna je mogućnost korištenja sredstava za aktivnosti istraživanja, razvoja i inovacija primjene alternativnih goriva. </w:t>
      </w:r>
    </w:p>
    <w:p w14:paraId="445D2AA7" w14:textId="6F609911" w:rsidR="00047D46" w:rsidRDefault="004C0E15" w:rsidP="00AD22ED">
      <w:pPr>
        <w:spacing w:before="60" w:after="60"/>
        <w:rPr>
          <w:rFonts w:cstheme="minorBidi"/>
          <w:lang w:eastAsia="hr-HR"/>
        </w:rPr>
      </w:pPr>
      <w:r w:rsidRPr="20C1EDF1">
        <w:rPr>
          <w:rFonts w:cstheme="minorBidi"/>
          <w:lang w:eastAsia="hr-HR"/>
        </w:rPr>
        <w:t xml:space="preserve">Sredstva koja su dodijeljena Republici Hrvatskoj za financijsko razdoblje 2021.-2027. u tekućim cijenama iznose više od 14 milijardi </w:t>
      </w:r>
      <w:r w:rsidR="001B0B99">
        <w:rPr>
          <w:rFonts w:cstheme="minorBidi"/>
          <w:lang w:eastAsia="hr-HR"/>
        </w:rPr>
        <w:t>EUR</w:t>
      </w:r>
      <w:r w:rsidRPr="20C1EDF1">
        <w:rPr>
          <w:rFonts w:cstheme="minorBidi"/>
          <w:lang w:eastAsia="hr-HR"/>
        </w:rPr>
        <w:t xml:space="preserve"> iz VFO-a te nešto više od 11 milijardi </w:t>
      </w:r>
      <w:r w:rsidR="001B0B99">
        <w:rPr>
          <w:rFonts w:cstheme="minorBidi"/>
          <w:lang w:eastAsia="hr-HR"/>
        </w:rPr>
        <w:t>EUR</w:t>
      </w:r>
      <w:r w:rsidRPr="20C1EDF1">
        <w:rPr>
          <w:rFonts w:cstheme="minorBidi"/>
          <w:lang w:eastAsia="hr-HR"/>
        </w:rPr>
        <w:t xml:space="preserve"> iz NGEU. Značajan dio navedenih sredstava odnosi se upravo na fondove koji će se provoditi sukladno </w:t>
      </w:r>
      <w:r w:rsidR="004C59B3" w:rsidRPr="004C59B3">
        <w:rPr>
          <w:rFonts w:cstheme="minorBidi"/>
          <w:lang w:eastAsia="hr-HR"/>
        </w:rPr>
        <w:t>Uredb</w:t>
      </w:r>
      <w:r w:rsidR="004C59B3">
        <w:rPr>
          <w:rFonts w:cstheme="minorBidi"/>
          <w:lang w:eastAsia="hr-HR"/>
        </w:rPr>
        <w:t>i</w:t>
      </w:r>
      <w:r w:rsidR="004C59B3" w:rsidRPr="004C59B3">
        <w:rPr>
          <w:rFonts w:cstheme="minorBidi"/>
          <w:lang w:eastAsia="hr-HR"/>
        </w:rPr>
        <w:t xml:space="preserve"> (EU) 2021/1060 Europskog parlamenta i Vijeća od 24. lipnja 2021. o utvrđivanju zajedničkih odredaba o Europskom fondu za regionalni razvoj, Europskom socijalnom fondu plus, Kohezijskom fondu, Fondu za pravednu tranziciju i Europskom fondu za pomorstvo, ribarstvo i akvakulturu te financijskih pravila za njih i za Fond za azil, migracije i integraciju, Fond za unutarnju sigurnost i Instrument za financijsku potporu u području upravljanja granicama i vizne politike</w:t>
      </w:r>
      <w:r w:rsidR="004C59B3" w:rsidRPr="004C59B3" w:rsidDel="004C59B3">
        <w:rPr>
          <w:rFonts w:cstheme="minorBidi"/>
          <w:lang w:eastAsia="hr-HR"/>
        </w:rPr>
        <w:t xml:space="preserve"> </w:t>
      </w:r>
      <w:r w:rsidR="00E32E76">
        <w:rPr>
          <w:rFonts w:cstheme="minorBidi"/>
          <w:lang w:eastAsia="hr-HR"/>
        </w:rPr>
        <w:t xml:space="preserve">(SL </w:t>
      </w:r>
      <w:r w:rsidR="00E32E76" w:rsidRPr="00E32E76">
        <w:rPr>
          <w:rFonts w:cstheme="minorBidi"/>
          <w:lang w:eastAsia="hr-HR"/>
        </w:rPr>
        <w:t xml:space="preserve"> L 231, 30. </w:t>
      </w:r>
      <w:r w:rsidR="00F267E4">
        <w:rPr>
          <w:rFonts w:cstheme="minorBidi"/>
          <w:lang w:eastAsia="hr-HR"/>
        </w:rPr>
        <w:t xml:space="preserve">6. </w:t>
      </w:r>
      <w:r w:rsidR="00E32E76" w:rsidRPr="00E32E76">
        <w:rPr>
          <w:rFonts w:cstheme="minorBidi"/>
          <w:lang w:eastAsia="hr-HR"/>
        </w:rPr>
        <w:t>2021</w:t>
      </w:r>
      <w:r w:rsidR="00F267E4">
        <w:rPr>
          <w:rFonts w:cstheme="minorBidi"/>
          <w:lang w:eastAsia="hr-HR"/>
        </w:rPr>
        <w:t>.)</w:t>
      </w:r>
      <w:r w:rsidR="00E32E76" w:rsidRPr="00E32E76" w:rsidDel="004C59B3">
        <w:rPr>
          <w:rFonts w:cstheme="minorBidi"/>
          <w:lang w:eastAsia="hr-HR"/>
        </w:rPr>
        <w:t xml:space="preserve"> </w:t>
      </w:r>
      <w:r w:rsidRPr="20C1EDF1">
        <w:rPr>
          <w:rFonts w:cstheme="minorBidi"/>
          <w:lang w:eastAsia="hr-HR"/>
        </w:rPr>
        <w:t>(</w:t>
      </w:r>
      <w:r w:rsidR="00F267E4">
        <w:rPr>
          <w:rFonts w:cstheme="minorBidi"/>
          <w:lang w:eastAsia="hr-HR"/>
        </w:rPr>
        <w:t xml:space="preserve">u daljnjem tekstu: </w:t>
      </w:r>
      <w:r w:rsidRPr="20C1EDF1">
        <w:rPr>
          <w:rFonts w:cstheme="minorBidi"/>
          <w:lang w:eastAsia="hr-HR"/>
        </w:rPr>
        <w:t>Uredba o zajedničkim odredbama</w:t>
      </w:r>
      <w:r w:rsidR="001D6CC7">
        <w:rPr>
          <w:rFonts w:cstheme="minorBidi"/>
          <w:lang w:eastAsia="hr-HR"/>
        </w:rPr>
        <w:t>/</w:t>
      </w:r>
      <w:r w:rsidRPr="20C1EDF1">
        <w:rPr>
          <w:rFonts w:cstheme="minorBidi"/>
          <w:lang w:eastAsia="hr-HR"/>
        </w:rPr>
        <w:t>CPR)</w:t>
      </w:r>
      <w:r w:rsidRPr="20C1EDF1">
        <w:rPr>
          <w:rStyle w:val="FootnoteReference"/>
          <w:rFonts w:asciiTheme="minorHAnsi" w:hAnsiTheme="minorHAnsi" w:cstheme="minorBidi"/>
          <w:sz w:val="24"/>
          <w:lang w:eastAsia="hr-HR"/>
        </w:rPr>
        <w:footnoteReference w:id="42"/>
      </w:r>
      <w:r w:rsidRPr="20C1EDF1">
        <w:rPr>
          <w:rFonts w:cstheme="minorBidi"/>
          <w:lang w:eastAsia="hr-HR"/>
        </w:rPr>
        <w:t xml:space="preserve">. </w:t>
      </w:r>
    </w:p>
    <w:p w14:paraId="00EE88FD" w14:textId="211BD8E9" w:rsidR="004C0E15" w:rsidRPr="00946676" w:rsidRDefault="004C0E15" w:rsidP="00AD22ED">
      <w:pPr>
        <w:spacing w:before="60" w:after="60"/>
        <w:rPr>
          <w:rFonts w:cstheme="minorBidi"/>
          <w:lang w:eastAsia="hr-HR"/>
        </w:rPr>
      </w:pPr>
      <w:r w:rsidRPr="20C1EDF1">
        <w:rPr>
          <w:rFonts w:cstheme="minorBidi"/>
          <w:lang w:eastAsia="hr-HR"/>
        </w:rPr>
        <w:t xml:space="preserve">Iz </w:t>
      </w:r>
      <w:r w:rsidRPr="20C1EDF1">
        <w:rPr>
          <w:rFonts w:cstheme="minorBidi"/>
          <w:b/>
          <w:lang w:eastAsia="hr-HR"/>
        </w:rPr>
        <w:t>Europskog fonda za regionalni razvoj (EFRR)</w:t>
      </w:r>
      <w:r w:rsidRPr="20C1EDF1">
        <w:rPr>
          <w:rFonts w:cstheme="minorBidi"/>
          <w:lang w:eastAsia="hr-HR"/>
        </w:rPr>
        <w:t xml:space="preserve"> financiranje je moguće za ulaganja u infrastrukturu; istraživanje i inovacije, produktivna ulaganja u MSP-ove i ulaganja usmjerena na očuvanje postojećih i otvaranje novih radnih mjesta, opremu, softver i nematerijalnu imovinu te umrežavanje, suradnju i razmjenu iskustava. Iz </w:t>
      </w:r>
      <w:r w:rsidRPr="20C1EDF1">
        <w:rPr>
          <w:rFonts w:cstheme="minorBidi"/>
          <w:b/>
          <w:lang w:eastAsia="hr-HR"/>
        </w:rPr>
        <w:t>Kohezijskog fonda (KF)</w:t>
      </w:r>
      <w:r w:rsidRPr="20C1EDF1">
        <w:rPr>
          <w:rFonts w:cstheme="minorBidi"/>
          <w:lang w:eastAsia="hr-HR"/>
        </w:rPr>
        <w:t xml:space="preserve"> podupiru se ulaganja u području prometa i okoliša, uz poseban naglasak na obnovljivoj energiji te ulaganja u TEN-T. U Republici Hrvatskoj ulaganja u potporu izgradnji infrastrukture za uporabu alternativnih goriva predviđena su u okviru </w:t>
      </w:r>
      <w:r w:rsidR="50BCE62B" w:rsidRPr="20C1EDF1">
        <w:rPr>
          <w:rFonts w:cstheme="minorBidi"/>
          <w:b/>
          <w:bCs/>
          <w:i/>
          <w:iCs/>
          <w:lang w:eastAsia="hr-HR"/>
        </w:rPr>
        <w:t>P</w:t>
      </w:r>
      <w:r w:rsidR="74B99D85" w:rsidRPr="20C1EDF1">
        <w:rPr>
          <w:rFonts w:cstheme="minorBidi"/>
          <w:b/>
          <w:bCs/>
          <w:i/>
          <w:iCs/>
          <w:lang w:eastAsia="hr-HR"/>
        </w:rPr>
        <w:t>rograma</w:t>
      </w:r>
      <w:r w:rsidRPr="20C1EDF1">
        <w:rPr>
          <w:rFonts w:cstheme="minorBidi"/>
          <w:b/>
          <w:i/>
          <w:lang w:eastAsia="hr-HR"/>
        </w:rPr>
        <w:t xml:space="preserve"> Konkurentnost i kohezija 2021.-2027.</w:t>
      </w:r>
      <w:r w:rsidRPr="20C1EDF1">
        <w:rPr>
          <w:rFonts w:cstheme="minorBidi"/>
          <w:b/>
          <w:lang w:eastAsia="hr-HR"/>
        </w:rPr>
        <w:t xml:space="preserve"> (PKK)</w:t>
      </w:r>
      <w:r w:rsidRPr="20C1EDF1">
        <w:rPr>
          <w:rFonts w:cstheme="minorBidi"/>
          <w:lang w:eastAsia="hr-HR"/>
        </w:rPr>
        <w:t xml:space="preserve"> financiranog iz Europskog fonda za regionalni razvoj i Kohezijskog fonda u okviru Kohezijske politike EU.</w:t>
      </w:r>
    </w:p>
    <w:p w14:paraId="4A8F3A64" w14:textId="3E8AB311" w:rsidR="004C0E15" w:rsidRPr="00946676" w:rsidRDefault="004C0E15" w:rsidP="63259912">
      <w:pPr>
        <w:pStyle w:val="NormalWeb"/>
        <w:spacing w:before="60" w:beforeAutospacing="0" w:after="60" w:afterAutospacing="0"/>
        <w:rPr>
          <w:rFonts w:cstheme="minorBidi"/>
        </w:rPr>
      </w:pPr>
      <w:r w:rsidRPr="63259912">
        <w:rPr>
          <w:rFonts w:cstheme="minorBidi"/>
        </w:rPr>
        <w:t xml:space="preserve">Program </w:t>
      </w:r>
      <w:r w:rsidRPr="63259912">
        <w:rPr>
          <w:rFonts w:cstheme="minorBidi"/>
          <w:b/>
          <w:bCs/>
        </w:rPr>
        <w:t>InvestEU</w:t>
      </w:r>
      <w:r w:rsidRPr="63259912">
        <w:rPr>
          <w:rFonts w:cstheme="minorBidi"/>
        </w:rPr>
        <w:t xml:space="preserve"> koji se nadovezuje na Europski fond za strateška ulaganja, ima za cilj privući ulaganja iz privatnog sektora, uključujući ulaganja u održivu energiju i promet, kako bi se gospodarstvima u tim regijama osigurali novi izvori rasta. Ovim programom uspostavlja se jamstvo EU-a u iznosu od oko 26,2 milijarde </w:t>
      </w:r>
      <w:r w:rsidR="003A1868" w:rsidRPr="63259912">
        <w:rPr>
          <w:rFonts w:cstheme="minorBidi"/>
        </w:rPr>
        <w:t>EUR</w:t>
      </w:r>
      <w:r w:rsidRPr="63259912">
        <w:rPr>
          <w:rFonts w:cstheme="minorBidi"/>
        </w:rPr>
        <w:t xml:space="preserve"> kojim se investicijskim partnerima omogućava preuzimanje većih rizika i podrška projektima od kojih bi inače odustali. Jamstvo EU-a namijenjeno je za četiri područja: održivu infrastrukturu (9,9 milijardi </w:t>
      </w:r>
      <w:r w:rsidR="003A1868" w:rsidRPr="63259912">
        <w:rPr>
          <w:rFonts w:cstheme="minorBidi"/>
        </w:rPr>
        <w:t>EUR</w:t>
      </w:r>
      <w:r w:rsidRPr="63259912">
        <w:rPr>
          <w:rFonts w:cstheme="minorBidi"/>
        </w:rPr>
        <w:t xml:space="preserve">), istraživanje, inovacije i digitalizaciju: 6,6 milijardi </w:t>
      </w:r>
      <w:r w:rsidR="003A1868" w:rsidRPr="63259912">
        <w:rPr>
          <w:rFonts w:cstheme="minorBidi"/>
        </w:rPr>
        <w:t>EUR</w:t>
      </w:r>
      <w:r w:rsidRPr="63259912">
        <w:rPr>
          <w:rFonts w:cstheme="minorBidi"/>
        </w:rPr>
        <w:t xml:space="preserve">, mala i srednja poduzeća) (6,9 milijardi </w:t>
      </w:r>
      <w:r w:rsidR="003A1868" w:rsidRPr="63259912">
        <w:rPr>
          <w:rFonts w:cstheme="minorBidi"/>
        </w:rPr>
        <w:t>EUR</w:t>
      </w:r>
      <w:r w:rsidRPr="63259912">
        <w:rPr>
          <w:rFonts w:cstheme="minorBidi"/>
        </w:rPr>
        <w:t xml:space="preserve">), socijalna ulaganja i vještine (2,8 milijardi </w:t>
      </w:r>
      <w:r w:rsidR="003A1868" w:rsidRPr="63259912">
        <w:rPr>
          <w:rFonts w:cstheme="minorBidi"/>
        </w:rPr>
        <w:t>EUR</w:t>
      </w:r>
      <w:r w:rsidRPr="63259912">
        <w:rPr>
          <w:rFonts w:cstheme="minorBidi"/>
        </w:rPr>
        <w:t>). Sva četiri područja uključivat će projekte za potporu pravednoj tranziciji prema klimatskoj neutralnosti u EU-u.</w:t>
      </w:r>
    </w:p>
    <w:p w14:paraId="2617B5D4" w14:textId="67DD251F" w:rsidR="004C0E15" w:rsidRPr="00946676" w:rsidRDefault="7C9A81D7" w:rsidP="1CF834AB">
      <w:pPr>
        <w:spacing w:before="60" w:after="60"/>
        <w:rPr>
          <w:rFonts w:cstheme="minorBidi"/>
          <w:lang w:eastAsia="hr-HR"/>
        </w:rPr>
      </w:pPr>
      <w:r w:rsidRPr="1CF834AB">
        <w:rPr>
          <w:rFonts w:cstheme="minorBidi"/>
          <w:lang w:eastAsia="hr-HR"/>
        </w:rPr>
        <w:t xml:space="preserve">Osim financijskih instrumenata i mehanizama definiranih </w:t>
      </w:r>
      <w:r w:rsidRPr="00CF796D">
        <w:rPr>
          <w:rFonts w:cstheme="minorBidi"/>
          <w:lang w:eastAsia="hr-HR"/>
        </w:rPr>
        <w:t xml:space="preserve">Uredbom </w:t>
      </w:r>
      <w:r w:rsidR="00C56C27">
        <w:rPr>
          <w:rFonts w:cstheme="minorBidi"/>
          <w:lang w:eastAsia="hr-HR"/>
        </w:rPr>
        <w:t>o zajedničkim odredbama/CPR</w:t>
      </w:r>
      <w:r w:rsidRPr="1CF834AB">
        <w:rPr>
          <w:rFonts w:cstheme="minorBidi"/>
          <w:lang w:eastAsia="hr-HR"/>
        </w:rPr>
        <w:t xml:space="preserve"> vezanih uz potporu infrastrukturi za alternativna goriva dostupni su i sljedeći izvori financiranja:</w:t>
      </w:r>
    </w:p>
    <w:p w14:paraId="76A73F7C" w14:textId="77777777" w:rsidR="004C0E15" w:rsidRPr="00946676" w:rsidRDefault="004C0E15" w:rsidP="00AD22ED">
      <w:pPr>
        <w:spacing w:before="60" w:after="60"/>
        <w:rPr>
          <w:rFonts w:cstheme="minorHAnsi"/>
          <w:lang w:eastAsia="hr-HR"/>
        </w:rPr>
      </w:pPr>
      <w:r w:rsidRPr="00946676">
        <w:rPr>
          <w:rFonts w:cstheme="minorHAnsi"/>
          <w:b/>
          <w:lang w:eastAsia="hr-HR"/>
        </w:rPr>
        <w:t xml:space="preserve">Inovacijski fond </w:t>
      </w:r>
      <w:r w:rsidRPr="00946676">
        <w:rPr>
          <w:rFonts w:cstheme="minorHAnsi"/>
          <w:lang w:eastAsia="hr-HR"/>
        </w:rPr>
        <w:t>je jedan od najvećih fondova za inovativne nisko-ugljične tehnologije, kojim se podupire vizija klimatski neutralne Europe do 2050 godine</w:t>
      </w:r>
      <w:r w:rsidRPr="00946676">
        <w:rPr>
          <w:rStyle w:val="FootnoteReference"/>
          <w:rFonts w:asciiTheme="minorHAnsi" w:hAnsiTheme="minorHAnsi" w:cstheme="minorHAnsi"/>
          <w:sz w:val="24"/>
          <w:lang w:eastAsia="hr-HR"/>
        </w:rPr>
        <w:footnoteReference w:id="43"/>
      </w:r>
      <w:r w:rsidRPr="00946676">
        <w:rPr>
          <w:rFonts w:cstheme="minorHAnsi"/>
          <w:lang w:eastAsia="hr-HR"/>
        </w:rPr>
        <w:t xml:space="preserve">. Svrha Inovacijskog fonda jest </w:t>
      </w:r>
      <w:r w:rsidRPr="00946676">
        <w:rPr>
          <w:rFonts w:cstheme="minorHAnsi"/>
          <w:lang w:eastAsia="hr-HR"/>
        </w:rPr>
        <w:lastRenderedPageBreak/>
        <w:t>potaknuti ulaganja s niskim udjelom ugljika u svim državama članicama za ubrzanje europske tranzicije u prvi klimatski neutralni kontinent. Inovacijski fond podupire projekte demonstracije visoko-inovativne tehnologije, procesa ili proizvoda sa značajnim potencijalom smanjenja emisija stakleničkih plinova. Namijenjen je projektima koji su u visokom stupnju spremnosti te mogu brzo donijeti nova rješenja na tržište. Podrška se pruža projektima u okviru 4 tematska područja: Inovativna proizvodnja i upotreba obnovljivih izvora energije, uključujući proizvodnju komponenata, Izdvajanje i korištenje ili skladištenje ugljika (CCU i CCS), Energetski intenzivne industrije, uključujući proizvode koji zamjenjuju ugljično intenzivne te Skladištenje energije, uključujući postrojenja za proizvodnju komponenata.</w:t>
      </w:r>
    </w:p>
    <w:p w14:paraId="2C25F3C6" w14:textId="7A3AED6F" w:rsidR="00AB77EA" w:rsidRDefault="004C0E15" w:rsidP="00251E89">
      <w:pPr>
        <w:spacing w:before="60" w:after="60"/>
        <w:rPr>
          <w:rFonts w:cstheme="minorBidi"/>
          <w:lang w:eastAsia="hr-HR"/>
        </w:rPr>
      </w:pPr>
      <w:r w:rsidRPr="1C9377BF">
        <w:rPr>
          <w:rFonts w:cstheme="minorBidi"/>
          <w:b/>
          <w:lang w:eastAsia="hr-HR"/>
        </w:rPr>
        <w:t>Modernizacijski fond</w:t>
      </w:r>
      <w:r w:rsidRPr="1C9377BF">
        <w:rPr>
          <w:rFonts w:cstheme="minorBidi"/>
          <w:lang w:eastAsia="hr-HR"/>
        </w:rPr>
        <w:t xml:space="preserve"> podržava ulaganja u skladu s klimatskim i energetskim ciljevima Europske Unije do 2030. godine odnosno ulaganja koja su usklađena s Pariškim sporazumom</w:t>
      </w:r>
      <w:r w:rsidRPr="1C9377BF">
        <w:rPr>
          <w:rStyle w:val="FootnoteReference"/>
          <w:rFonts w:asciiTheme="minorHAnsi" w:hAnsiTheme="minorHAnsi" w:cstheme="minorBidi"/>
          <w:sz w:val="24"/>
          <w:lang w:eastAsia="hr-HR"/>
        </w:rPr>
        <w:footnoteReference w:id="44"/>
      </w:r>
      <w:r w:rsidRPr="1C9377BF">
        <w:rPr>
          <w:rFonts w:cstheme="minorBidi"/>
          <w:lang w:eastAsia="hr-HR"/>
        </w:rPr>
        <w:t xml:space="preserve">. </w:t>
      </w:r>
      <w:r w:rsidR="4EC0850B" w:rsidRPr="305619F3">
        <w:rPr>
          <w:rFonts w:cstheme="minorBidi"/>
          <w:lang w:eastAsia="hr-HR"/>
        </w:rPr>
        <w:t xml:space="preserve"> Uspostavljen</w:t>
      </w:r>
      <w:r w:rsidR="7E9BE873" w:rsidRPr="305619F3">
        <w:rPr>
          <w:rFonts w:cstheme="minorBidi"/>
          <w:lang w:eastAsia="hr-HR"/>
        </w:rPr>
        <w:t xml:space="preserve"> je za razdoblje od 2021. do 2030. za potporu ulaganjima u modernizaciju energetskog sustava i poboljšanje energetske učinkovitosti u slabije razvijenim državama članicama </w:t>
      </w:r>
      <w:r w:rsidR="00251E89" w:rsidRPr="00251E89">
        <w:rPr>
          <w:rFonts w:cstheme="minorBidi"/>
          <w:lang w:eastAsia="hr-HR"/>
        </w:rPr>
        <w:t>Direktiv</w:t>
      </w:r>
      <w:r w:rsidR="00251E89">
        <w:rPr>
          <w:rFonts w:cstheme="minorBidi"/>
          <w:lang w:eastAsia="hr-HR"/>
        </w:rPr>
        <w:t>om</w:t>
      </w:r>
      <w:r w:rsidR="00251E89" w:rsidRPr="00251E89">
        <w:rPr>
          <w:rFonts w:cstheme="minorBidi"/>
          <w:lang w:eastAsia="hr-HR"/>
        </w:rPr>
        <w:t xml:space="preserve"> 2003/87/EZ Europskog parlamenta i Vijeća od 13. listopada 2003. o uspostavi sustava trgovanja emisijskim jedinicama stakleničkih plinova unutar Zajednice i o izmjeni Direktive Vijeća 96/61/EZ </w:t>
      </w:r>
      <w:r w:rsidR="00251E89">
        <w:rPr>
          <w:rFonts w:cstheme="minorBidi"/>
          <w:lang w:eastAsia="hr-HR"/>
        </w:rPr>
        <w:t>(</w:t>
      </w:r>
      <w:r w:rsidR="00251E89" w:rsidRPr="00251E89">
        <w:rPr>
          <w:rFonts w:cstheme="minorBidi"/>
          <w:lang w:eastAsia="hr-HR"/>
        </w:rPr>
        <w:t>Tekst značajan za EGP</w:t>
      </w:r>
      <w:r w:rsidR="00251E89">
        <w:rPr>
          <w:rFonts w:cstheme="minorBidi"/>
          <w:lang w:eastAsia="hr-HR"/>
        </w:rPr>
        <w:t>) (</w:t>
      </w:r>
      <w:r w:rsidR="00251E89" w:rsidRPr="00251E89">
        <w:rPr>
          <w:rFonts w:cstheme="minorBidi"/>
          <w:lang w:eastAsia="hr-HR"/>
        </w:rPr>
        <w:t>SL L 275, 25.10.200</w:t>
      </w:r>
      <w:r w:rsidR="00717C20">
        <w:rPr>
          <w:rFonts w:cstheme="minorBidi"/>
          <w:lang w:eastAsia="hr-HR"/>
        </w:rPr>
        <w:t>3.)</w:t>
      </w:r>
      <w:r w:rsidR="00251E89" w:rsidRPr="00251E89" w:rsidDel="00251E89">
        <w:rPr>
          <w:rFonts w:cstheme="minorBidi"/>
          <w:lang w:eastAsia="hr-HR"/>
        </w:rPr>
        <w:t xml:space="preserve"> </w:t>
      </w:r>
      <w:r w:rsidR="4EC0850B" w:rsidRPr="305619F3">
        <w:rPr>
          <w:rFonts w:cstheme="minorBidi"/>
          <w:lang w:eastAsia="hr-HR"/>
        </w:rPr>
        <w:t>(</w:t>
      </w:r>
      <w:r w:rsidR="00717C20">
        <w:rPr>
          <w:rFonts w:cstheme="minorBidi"/>
          <w:lang w:eastAsia="hr-HR"/>
        </w:rPr>
        <w:t xml:space="preserve">u daljnjem tekstu: </w:t>
      </w:r>
      <w:r w:rsidR="4EC0850B" w:rsidRPr="305619F3">
        <w:rPr>
          <w:rFonts w:cstheme="minorBidi"/>
          <w:lang w:eastAsia="hr-HR"/>
        </w:rPr>
        <w:t xml:space="preserve">EU ETS Direktiva).  </w:t>
      </w:r>
      <w:r w:rsidRPr="1C9377BF">
        <w:rPr>
          <w:rFonts w:cstheme="minorBidi"/>
          <w:lang w:eastAsia="hr-HR"/>
        </w:rPr>
        <w:t xml:space="preserve">Na temelju analize potreba za ulaganjem, zrelosti investicija, prioriteta politika te utjecaja i potencijala za korištenje ostalih izvora financiranja, Modernizacijski fond će u Hrvatskoj financirati investicije </w:t>
      </w:r>
      <w:r w:rsidR="08C23B5C" w:rsidRPr="2C803DCB">
        <w:rPr>
          <w:rFonts w:cstheme="minorBidi"/>
          <w:lang w:eastAsia="hr-HR"/>
        </w:rPr>
        <w:t>ulaganja u:</w:t>
      </w:r>
      <w:r w:rsidR="06151FF0" w:rsidRPr="00AB77EA">
        <w:rPr>
          <w:rFonts w:cstheme="minorBidi"/>
          <w:lang w:eastAsia="hr-HR"/>
        </w:rPr>
        <w:t xml:space="preserve"> </w:t>
      </w:r>
    </w:p>
    <w:p w14:paraId="63D3EE32" w14:textId="77777777" w:rsidR="00AB77EA" w:rsidRPr="00AB77EA" w:rsidRDefault="06151FF0" w:rsidP="00AB77EA">
      <w:pPr>
        <w:pStyle w:val="ListParagraph"/>
        <w:numPr>
          <w:ilvl w:val="2"/>
          <w:numId w:val="136"/>
        </w:numPr>
        <w:spacing w:before="60" w:after="60"/>
        <w:ind w:left="426"/>
        <w:rPr>
          <w:rFonts w:cstheme="minorHAnsi"/>
          <w:lang w:eastAsia="hr-HR"/>
        </w:rPr>
      </w:pPr>
      <w:r w:rsidRPr="00AB77EA">
        <w:rPr>
          <w:rFonts w:cstheme="minorBidi"/>
          <w:lang w:eastAsia="hr-HR"/>
        </w:rPr>
        <w:t>proizvodnja i upotreba električne energije iz obnovljivih izvora, uključujući vodik iz obnovljivih izvora;</w:t>
      </w:r>
      <w:r w:rsidR="5AD5801B" w:rsidRPr="00AB77EA">
        <w:rPr>
          <w:rFonts w:cstheme="minorBidi"/>
          <w:lang w:eastAsia="hr-HR"/>
        </w:rPr>
        <w:t xml:space="preserve"> </w:t>
      </w:r>
    </w:p>
    <w:p w14:paraId="4613476B" w14:textId="77777777" w:rsidR="00AB77EA" w:rsidRPr="00AB77EA" w:rsidRDefault="06151FF0" w:rsidP="00AB77EA">
      <w:pPr>
        <w:pStyle w:val="ListParagraph"/>
        <w:numPr>
          <w:ilvl w:val="2"/>
          <w:numId w:val="136"/>
        </w:numPr>
        <w:spacing w:before="60" w:after="60"/>
        <w:ind w:left="426"/>
        <w:rPr>
          <w:rFonts w:cstheme="minorHAnsi"/>
          <w:lang w:eastAsia="hr-HR"/>
        </w:rPr>
      </w:pPr>
      <w:r w:rsidRPr="00AB77EA">
        <w:rPr>
          <w:rFonts w:cstheme="minorBidi"/>
          <w:lang w:eastAsia="hr-HR"/>
        </w:rPr>
        <w:t>grijanje i hlađenje iz obnovljivih izvora energije;</w:t>
      </w:r>
      <w:r w:rsidR="587B3C76" w:rsidRPr="00AB77EA">
        <w:rPr>
          <w:rFonts w:cstheme="minorBidi"/>
          <w:lang w:eastAsia="hr-HR"/>
        </w:rPr>
        <w:t xml:space="preserve"> </w:t>
      </w:r>
    </w:p>
    <w:p w14:paraId="7680DF24" w14:textId="77777777" w:rsidR="00AB77EA" w:rsidRPr="00AB77EA" w:rsidRDefault="06151FF0" w:rsidP="00AB77EA">
      <w:pPr>
        <w:pStyle w:val="ListParagraph"/>
        <w:numPr>
          <w:ilvl w:val="2"/>
          <w:numId w:val="136"/>
        </w:numPr>
        <w:spacing w:before="60" w:after="60"/>
        <w:ind w:left="426"/>
        <w:rPr>
          <w:rFonts w:cstheme="minorHAnsi"/>
          <w:lang w:eastAsia="hr-HR"/>
        </w:rPr>
      </w:pPr>
      <w:r w:rsidRPr="00AB77EA">
        <w:rPr>
          <w:rFonts w:cstheme="minorBidi"/>
          <w:lang w:eastAsia="hr-HR"/>
        </w:rPr>
        <w:t>smanjenje ukupne potrošnje energije zbog energetske učinkovitosti, među ostalim u području industrije, prometa i otpada;</w:t>
      </w:r>
      <w:r w:rsidR="37688468" w:rsidRPr="00AB77EA">
        <w:rPr>
          <w:rFonts w:cstheme="minorBidi"/>
          <w:lang w:eastAsia="hr-HR"/>
        </w:rPr>
        <w:t xml:space="preserve"> </w:t>
      </w:r>
    </w:p>
    <w:p w14:paraId="210ECAB1" w14:textId="77777777" w:rsidR="007878C9" w:rsidRPr="007878C9" w:rsidRDefault="06151FF0" w:rsidP="00AB77EA">
      <w:pPr>
        <w:pStyle w:val="ListParagraph"/>
        <w:numPr>
          <w:ilvl w:val="2"/>
          <w:numId w:val="136"/>
        </w:numPr>
        <w:spacing w:before="60" w:after="60"/>
        <w:ind w:left="426"/>
        <w:rPr>
          <w:rFonts w:cstheme="minorHAnsi"/>
          <w:lang w:eastAsia="hr-HR"/>
        </w:rPr>
      </w:pPr>
      <w:r w:rsidRPr="00AB77EA">
        <w:rPr>
          <w:rFonts w:cstheme="minorBidi"/>
          <w:lang w:eastAsia="hr-HR"/>
        </w:rPr>
        <w:t>skladištenje energije i modernizacija energetskih mreža, uključujući upravljanje potrošnjom, cjevovode za centralizirano grijanje, elektroenergetske prijenosne mreže, povećanje međusobne povezanosti država članica i infrastruktura za mobilnost s nultom stopom emisije</w:t>
      </w:r>
      <w:r w:rsidR="007878C9">
        <w:rPr>
          <w:rFonts w:cstheme="minorBidi"/>
          <w:lang w:eastAsia="hr-HR"/>
        </w:rPr>
        <w:t>.</w:t>
      </w:r>
    </w:p>
    <w:p w14:paraId="74870525" w14:textId="0057DE71" w:rsidR="00AB77EA" w:rsidRPr="007878C9" w:rsidRDefault="03AE8267" w:rsidP="007878C9">
      <w:pPr>
        <w:spacing w:before="60" w:after="60"/>
        <w:ind w:left="66"/>
        <w:rPr>
          <w:rFonts w:cstheme="minorHAnsi"/>
          <w:lang w:eastAsia="hr-HR"/>
        </w:rPr>
      </w:pPr>
      <w:r w:rsidRPr="007878C9">
        <w:rPr>
          <w:rFonts w:cstheme="minorBidi"/>
          <w:lang w:eastAsia="hr-HR"/>
        </w:rPr>
        <w:t>Fond se financira dražbovanjem 2% ukupne količine emisijskih jedinica u EU sustavu trgovanja emisijama (u daljnjem tekstu</w:t>
      </w:r>
      <w:r w:rsidR="00E001BB">
        <w:rPr>
          <w:rFonts w:cstheme="minorBidi"/>
          <w:lang w:eastAsia="hr-HR"/>
        </w:rPr>
        <w:t>:</w:t>
      </w:r>
      <w:r w:rsidRPr="007878C9">
        <w:rPr>
          <w:rFonts w:cstheme="minorBidi"/>
          <w:lang w:eastAsia="hr-HR"/>
        </w:rPr>
        <w:t xml:space="preserve"> EU ETS) te se procjenjuje da je Republici Hrvatskoj na raspolaganju </w:t>
      </w:r>
      <w:r w:rsidR="69634DAF" w:rsidRPr="007878C9">
        <w:rPr>
          <w:rFonts w:cstheme="minorBidi"/>
          <w:lang w:eastAsia="hr-HR"/>
        </w:rPr>
        <w:t>1</w:t>
      </w:r>
      <w:r w:rsidR="007878C9">
        <w:rPr>
          <w:rFonts w:cstheme="minorBidi"/>
          <w:lang w:eastAsia="hr-HR"/>
        </w:rPr>
        <w:t>,</w:t>
      </w:r>
      <w:r w:rsidR="69634DAF" w:rsidRPr="007878C9">
        <w:rPr>
          <w:rFonts w:cstheme="minorBidi"/>
          <w:lang w:eastAsia="hr-HR"/>
        </w:rPr>
        <w:t>3 m</w:t>
      </w:r>
      <w:r w:rsidRPr="007878C9">
        <w:rPr>
          <w:rFonts w:cstheme="minorBidi"/>
          <w:lang w:eastAsia="hr-HR"/>
        </w:rPr>
        <w:t>ilijard</w:t>
      </w:r>
      <w:r w:rsidR="3DB6B856" w:rsidRPr="007878C9">
        <w:rPr>
          <w:rFonts w:cstheme="minorBidi"/>
          <w:lang w:eastAsia="hr-HR"/>
        </w:rPr>
        <w:t>e</w:t>
      </w:r>
      <w:r w:rsidRPr="007878C9">
        <w:rPr>
          <w:rFonts w:cstheme="minorBidi"/>
          <w:lang w:eastAsia="hr-HR"/>
        </w:rPr>
        <w:t xml:space="preserve"> </w:t>
      </w:r>
      <w:r w:rsidR="00153539">
        <w:rPr>
          <w:rFonts w:cstheme="minorBidi"/>
          <w:lang w:eastAsia="hr-HR"/>
        </w:rPr>
        <w:t>EUR</w:t>
      </w:r>
      <w:r w:rsidRPr="007878C9">
        <w:rPr>
          <w:rFonts w:cstheme="minorBidi"/>
          <w:lang w:eastAsia="hr-HR"/>
        </w:rPr>
        <w:t xml:space="preserve"> u razdoblju od 2021. do 2030. godine.</w:t>
      </w:r>
      <w:r w:rsidR="00AB77EA" w:rsidRPr="007878C9">
        <w:rPr>
          <w:rFonts w:cstheme="minorBidi"/>
          <w:lang w:eastAsia="hr-HR"/>
        </w:rPr>
        <w:t xml:space="preserve"> </w:t>
      </w:r>
    </w:p>
    <w:p w14:paraId="4595CE35" w14:textId="0EAEB079" w:rsidR="004C0E15" w:rsidRPr="00AB77EA" w:rsidRDefault="004C0E15" w:rsidP="63259912">
      <w:pPr>
        <w:spacing w:before="60" w:after="60"/>
        <w:ind w:left="66"/>
        <w:rPr>
          <w:rFonts w:cstheme="minorBidi"/>
          <w:lang w:eastAsia="hr-HR"/>
        </w:rPr>
      </w:pPr>
      <w:r w:rsidRPr="63259912">
        <w:rPr>
          <w:rFonts w:cstheme="minorBidi"/>
          <w:b/>
          <w:bCs/>
          <w:lang w:eastAsia="hr-HR"/>
        </w:rPr>
        <w:t>Mehanizam za pravednu tranziciju</w:t>
      </w:r>
      <w:r w:rsidRPr="63259912">
        <w:rPr>
          <w:rFonts w:cstheme="minorBidi"/>
          <w:lang w:eastAsia="hr-HR"/>
        </w:rPr>
        <w:t xml:space="preserve"> najvažniji je alat za pravednu tranziciju prema klimatski neutralnom gospodarstvu. Iako će svim regijama trebati financijska pomoć, što je i predviđeno planom ulaganja za europski zeleni plan, u okviru mehanizma u razdoblju 2021. – 2027. mobilizirat će se najmanje 100 milijardi </w:t>
      </w:r>
      <w:r w:rsidR="003A1868" w:rsidRPr="63259912">
        <w:rPr>
          <w:rFonts w:cstheme="minorBidi"/>
          <w:lang w:eastAsia="hr-HR"/>
        </w:rPr>
        <w:t>EUR</w:t>
      </w:r>
      <w:r w:rsidRPr="63259912">
        <w:rPr>
          <w:rFonts w:cstheme="minorBidi"/>
          <w:lang w:eastAsia="hr-HR"/>
        </w:rPr>
        <w:t xml:space="preserve"> u obliku ciljane potpore za ublažavanje socioekonomskih posljedica tranzicije u najpogođenijim regijama. Mehanizmom će se potaknuti potrebna ulaganja kako bi se pomoglo radnicima i zajednicama koje ovise o </w:t>
      </w:r>
      <w:r w:rsidRPr="63259912">
        <w:rPr>
          <w:rFonts w:cstheme="minorBidi"/>
          <w:lang w:eastAsia="hr-HR"/>
        </w:rPr>
        <w:lastRenderedPageBreak/>
        <w:t>industriji fosilnih goriva. Povrh toga, iz proračuna EU-a izdvajaju se znatna sredstva putem instrumenata koji su izravno relevantni za tranziciju</w:t>
      </w:r>
      <w:r w:rsidRPr="63259912">
        <w:rPr>
          <w:rStyle w:val="FootnoteReference"/>
          <w:rFonts w:asciiTheme="minorHAnsi" w:hAnsiTheme="minorHAnsi" w:cstheme="minorBidi"/>
          <w:sz w:val="24"/>
          <w:lang w:eastAsia="hr-HR"/>
        </w:rPr>
        <w:footnoteReference w:id="45"/>
      </w:r>
      <w:r w:rsidRPr="63259912">
        <w:rPr>
          <w:rFonts w:cstheme="minorBidi"/>
          <w:lang w:eastAsia="hr-HR"/>
        </w:rPr>
        <w:t>.</w:t>
      </w:r>
    </w:p>
    <w:p w14:paraId="1F149B07" w14:textId="77777777" w:rsidR="004C0E15" w:rsidRPr="00946676" w:rsidRDefault="004C0E15" w:rsidP="00AD22ED">
      <w:pPr>
        <w:spacing w:before="60" w:after="60"/>
        <w:rPr>
          <w:rFonts w:cstheme="minorHAnsi"/>
          <w:lang w:eastAsia="hr-HR"/>
        </w:rPr>
      </w:pPr>
      <w:r w:rsidRPr="00946676">
        <w:rPr>
          <w:rFonts w:cstheme="minorHAnsi"/>
          <w:lang w:eastAsia="hr-HR"/>
        </w:rPr>
        <w:t>Mehanizam za pravednu tranziciju obuhvaćat će tri glavna izvora financiranja:</w:t>
      </w:r>
    </w:p>
    <w:p w14:paraId="748C11DD" w14:textId="7D51AFDF" w:rsidR="004C0E15" w:rsidRPr="00475E9E" w:rsidRDefault="004C0E15" w:rsidP="00AD22ED">
      <w:pPr>
        <w:spacing w:before="60" w:after="60"/>
        <w:ind w:left="426" w:hanging="426"/>
        <w:rPr>
          <w:rFonts w:cstheme="minorBidi"/>
          <w:lang w:eastAsia="hr-HR"/>
        </w:rPr>
      </w:pPr>
      <w:r w:rsidRPr="128ED258">
        <w:rPr>
          <w:rFonts w:cstheme="minorBidi"/>
          <w:lang w:eastAsia="hr-HR"/>
        </w:rPr>
        <w:t>1. </w:t>
      </w:r>
      <w:r w:rsidRPr="128ED258">
        <w:rPr>
          <w:rFonts w:cstheme="minorBidi"/>
          <w:b/>
          <w:lang w:eastAsia="hr-HR"/>
        </w:rPr>
        <w:t>Fond za pravednu tranziciju</w:t>
      </w:r>
      <w:r w:rsidRPr="128ED258">
        <w:rPr>
          <w:rFonts w:cstheme="minorBidi"/>
          <w:lang w:eastAsia="hr-HR"/>
        </w:rPr>
        <w:t xml:space="preserve">, </w:t>
      </w:r>
      <w:r w:rsidR="00C20285">
        <w:rPr>
          <w:rFonts w:cstheme="minorBidi"/>
          <w:lang w:eastAsia="hr-HR"/>
        </w:rPr>
        <w:t xml:space="preserve">koji </w:t>
      </w:r>
      <w:r w:rsidR="00C20285" w:rsidRPr="00C20285">
        <w:rPr>
          <w:rFonts w:cstheme="minorBidi"/>
          <w:lang w:eastAsia="hr-HR"/>
        </w:rPr>
        <w:t>raspolaže sredstvima u  iznosu od 8,4</w:t>
      </w:r>
      <w:r w:rsidR="00104DB6">
        <w:rPr>
          <w:rFonts w:cstheme="minorBidi"/>
          <w:lang w:eastAsia="hr-HR"/>
        </w:rPr>
        <w:t xml:space="preserve"> </w:t>
      </w:r>
      <w:r w:rsidR="00C20285" w:rsidRPr="00C20285">
        <w:rPr>
          <w:rFonts w:cstheme="minorBidi"/>
          <w:lang w:eastAsia="hr-HR"/>
        </w:rPr>
        <w:t>milijardi EUR u tekućim cijenama iz višegodišnjeg financijskog okvira za razdoblje 2021.–202</w:t>
      </w:r>
      <w:r w:rsidRPr="128ED258">
        <w:rPr>
          <w:rFonts w:cstheme="minorBidi"/>
          <w:lang w:eastAsia="hr-HR"/>
        </w:rPr>
        <w:t xml:space="preserve">. Kako bi mogle povući svoj dio sredstava iz Fonda, države članice moraju u dijalogu s Komisijom izraditi teritorijalne planove za pravednu tranziciju te u njima utvrditi teritorije kojima je potrebna pomoć. Još više sredstava dostupno im je iz Europskog fonda za regionalni razvoj i Europskog socijalnog fonda plus, a same će osigurati i dodatna sredstva na nacionalnoj razini. Ukupna vrijednost tih sredstava iznosit će 30 – 50 milijardi </w:t>
      </w:r>
      <w:r w:rsidR="000A3C42">
        <w:rPr>
          <w:rFonts w:cstheme="minorBidi"/>
          <w:lang w:eastAsia="hr-HR"/>
        </w:rPr>
        <w:t>EUR</w:t>
      </w:r>
      <w:r w:rsidRPr="128ED258">
        <w:rPr>
          <w:rFonts w:cstheme="minorBidi"/>
          <w:lang w:eastAsia="hr-HR"/>
        </w:rPr>
        <w:t xml:space="preserve">, čime će se mobilizirati još veća ulaganja. Bespovratna sredstva iz Fonda za pravednu tranziciju prvenstveno su namijenjena regijama. Konkretno, davat će se potpora radnicima za razvoj vještina i kompetencija za tržište rada budućnosti, a MSP-ovima, novoosnovanim poduzećima i inkubatorima pomoći u stvaranju novih gospodarskih prilika u tim regijama. </w:t>
      </w:r>
      <w:r w:rsidRPr="00CA2729">
        <w:rPr>
          <w:rFonts w:cstheme="minorBidi"/>
          <w:lang w:eastAsia="hr-HR"/>
        </w:rPr>
        <w:t>Podupirat će se i ulaganja u prelazak na čistu energiju, primjerice ulaganja u energetsku učinkovitost</w:t>
      </w:r>
      <w:r w:rsidRPr="00CA2729">
        <w:rPr>
          <w:rStyle w:val="FootnoteReference"/>
          <w:rFonts w:asciiTheme="minorHAnsi" w:hAnsiTheme="minorHAnsi" w:cstheme="minorBidi"/>
          <w:sz w:val="24"/>
          <w:lang w:eastAsia="hr-HR"/>
        </w:rPr>
        <w:footnoteReference w:id="46"/>
      </w:r>
      <w:r w:rsidRPr="00CA2729">
        <w:rPr>
          <w:rFonts w:cstheme="minorBidi"/>
          <w:lang w:eastAsia="hr-HR"/>
        </w:rPr>
        <w:t>.</w:t>
      </w:r>
    </w:p>
    <w:p w14:paraId="3C963F93" w14:textId="6398EC5E" w:rsidR="004C0E15" w:rsidRPr="00475E9E" w:rsidRDefault="004C0E15" w:rsidP="63259912">
      <w:pPr>
        <w:spacing w:before="60" w:after="60"/>
        <w:ind w:left="426" w:hanging="426"/>
        <w:rPr>
          <w:rFonts w:cstheme="minorBidi"/>
          <w:lang w:eastAsia="hr-HR"/>
        </w:rPr>
      </w:pPr>
      <w:r w:rsidRPr="63259912">
        <w:rPr>
          <w:rFonts w:cstheme="minorBidi"/>
          <w:lang w:eastAsia="hr-HR"/>
        </w:rPr>
        <w:t xml:space="preserve">2. Poseban program za pravednu tranziciju u okviru programa InvestEU, kojim će se mobilizirati ulaganja u vrijednosti do 45 milijardi </w:t>
      </w:r>
      <w:r w:rsidR="000A3C42" w:rsidRPr="63259912">
        <w:rPr>
          <w:rFonts w:cstheme="minorBidi"/>
          <w:lang w:eastAsia="hr-HR"/>
        </w:rPr>
        <w:t>EUR</w:t>
      </w:r>
      <w:r w:rsidRPr="63259912">
        <w:rPr>
          <w:rFonts w:cstheme="minorBidi"/>
          <w:lang w:eastAsia="hr-HR"/>
        </w:rPr>
        <w:t xml:space="preserve">. </w:t>
      </w:r>
    </w:p>
    <w:p w14:paraId="6B11C0A4" w14:textId="24D54108" w:rsidR="004C0E15" w:rsidRPr="00475E9E" w:rsidRDefault="004C0E15" w:rsidP="00AD22ED">
      <w:pPr>
        <w:spacing w:before="60" w:after="60"/>
        <w:ind w:left="426" w:hanging="426"/>
        <w:rPr>
          <w:rFonts w:cstheme="minorHAnsi"/>
          <w:lang w:eastAsia="hr-HR"/>
        </w:rPr>
      </w:pPr>
      <w:r w:rsidRPr="00475E9E">
        <w:rPr>
          <w:rFonts w:cstheme="minorHAnsi"/>
          <w:lang w:eastAsia="hr-HR"/>
        </w:rPr>
        <w:t>3.</w:t>
      </w:r>
      <w:r w:rsidR="00A24873">
        <w:rPr>
          <w:rFonts w:cstheme="minorHAnsi"/>
          <w:lang w:eastAsia="hr-HR"/>
        </w:rPr>
        <w:t xml:space="preserve"> </w:t>
      </w:r>
      <w:r w:rsidRPr="00475E9E">
        <w:rPr>
          <w:rFonts w:cstheme="minorHAnsi"/>
          <w:lang w:eastAsia="hr-HR"/>
        </w:rPr>
        <w:t xml:space="preserve">Instrument za kreditiranje u javnom sektoru uz uključivanje Europske investicijske banke koji se podupire iz proračuna EU-a omogućit će mobilizaciju ulaganja u iznosu 25 – 30 milijardi </w:t>
      </w:r>
      <w:r w:rsidR="000A3C42">
        <w:rPr>
          <w:rFonts w:cstheme="minorHAnsi"/>
          <w:lang w:eastAsia="hr-HR"/>
        </w:rPr>
        <w:t>EUR</w:t>
      </w:r>
      <w:r w:rsidRPr="00475E9E">
        <w:rPr>
          <w:rFonts w:cstheme="minorHAnsi"/>
          <w:lang w:eastAsia="hr-HR"/>
        </w:rPr>
        <w:t xml:space="preserve">. Tim će se instrumentom osigurati zajmovi za javni sektor, primjerice za ulaganja u mreže centraliziranoga grijanja i obnovu zgrada. </w:t>
      </w:r>
    </w:p>
    <w:p w14:paraId="23185668" w14:textId="00A50A9F" w:rsidR="004C0E15" w:rsidRPr="00475E9E" w:rsidRDefault="004C0E15" w:rsidP="00AD22ED">
      <w:pPr>
        <w:spacing w:before="60" w:after="60"/>
        <w:rPr>
          <w:rFonts w:cstheme="minorHAnsi"/>
          <w:lang w:eastAsia="hr-HR"/>
        </w:rPr>
      </w:pPr>
      <w:r w:rsidRPr="00475E9E">
        <w:rPr>
          <w:rFonts w:cstheme="minorHAnsi"/>
          <w:lang w:eastAsia="hr-HR"/>
        </w:rPr>
        <w:t>Mehanizam za pravednu tranziciju ne nudi samo financijska sredstva preko platforme za pravednu tranziciju</w:t>
      </w:r>
      <w:r w:rsidR="00333322">
        <w:rPr>
          <w:rFonts w:cstheme="minorHAnsi"/>
          <w:lang w:eastAsia="hr-HR"/>
        </w:rPr>
        <w:t>.</w:t>
      </w:r>
      <w:r w:rsidRPr="00475E9E">
        <w:rPr>
          <w:rFonts w:cstheme="minorHAnsi"/>
          <w:lang w:eastAsia="hr-HR"/>
        </w:rPr>
        <w:t xml:space="preserve"> Komisija će davati tehničku podršku državama članicama i ulagateljima te uključiti relevantne zajednice, lokalna tijela, socijalne partnere i nevladine organizacije. Mehanizam za pravednu tranziciju uključivat će snažan okvir za upravljanje koji će se temeljiti na teritorijalnim planovima za pravednu tranziciju.</w:t>
      </w:r>
    </w:p>
    <w:p w14:paraId="57A736D2" w14:textId="77777777" w:rsidR="004C0E15" w:rsidRPr="00EC6ED5" w:rsidRDefault="004C0E15" w:rsidP="00AD22ED">
      <w:pPr>
        <w:spacing w:before="60" w:after="60"/>
        <w:rPr>
          <w:rFonts w:cstheme="minorHAnsi"/>
          <w:lang w:eastAsia="hr-HR"/>
        </w:rPr>
      </w:pPr>
      <w:r w:rsidRPr="00EC6ED5">
        <w:rPr>
          <w:rFonts w:cstheme="minorHAnsi"/>
          <w:b/>
          <w:lang w:eastAsia="hr-HR"/>
        </w:rPr>
        <w:t>Program za okoliš i klimatske aktivnosti (LIFE)</w:t>
      </w:r>
      <w:r w:rsidRPr="00EC6ED5">
        <w:rPr>
          <w:rFonts w:cstheme="minorHAnsi"/>
          <w:lang w:eastAsia="hr-HR"/>
        </w:rPr>
        <w:t xml:space="preserve"> - </w:t>
      </w:r>
      <w:r w:rsidRPr="00EC6ED5">
        <w:rPr>
          <w:rFonts w:cstheme="minorHAnsi"/>
        </w:rPr>
        <w:t>Novom</w:t>
      </w:r>
      <w:r w:rsidRPr="00EC6ED5">
        <w:rPr>
          <w:rStyle w:val="Strong"/>
          <w:rFonts w:cstheme="minorHAnsi"/>
        </w:rPr>
        <w:t xml:space="preserve"> </w:t>
      </w:r>
      <w:r w:rsidRPr="00EC6ED5">
        <w:rPr>
          <w:rFonts w:cstheme="minorHAnsi"/>
        </w:rPr>
        <w:t>Uredbom</w:t>
      </w:r>
      <w:r w:rsidRPr="006829AA">
        <w:rPr>
          <w:rStyle w:val="FootnoteReference"/>
          <w:rFonts w:asciiTheme="minorHAnsi" w:hAnsiTheme="minorHAnsi" w:cstheme="minorHAnsi"/>
          <w:bCs/>
          <w:sz w:val="24"/>
        </w:rPr>
        <w:footnoteReference w:id="47"/>
      </w:r>
      <w:r w:rsidRPr="006829AA">
        <w:rPr>
          <w:rFonts w:cstheme="minorHAnsi"/>
          <w:bCs/>
        </w:rPr>
        <w:t xml:space="preserve"> </w:t>
      </w:r>
      <w:r w:rsidRPr="00EC6ED5">
        <w:rPr>
          <w:rFonts w:cstheme="minorHAnsi"/>
        </w:rPr>
        <w:t>Program LIFE u potpunosti daje podršku ciljevima Europskog zelenog plana u području transformacije EU u ravnopravno i prosperitetno društvo s modernim, resursno učinkovitim i konkurentnim gospodarstvom u kojem nema emisija stakleničkih plinova u 2050. godini i gdje je gospodarski rast odvojen od korištenja resursa. U novom programskom razdoblju 2021. – 2027. program LIFE podijeljen je u dva područja, svaki s dva potprograma:</w:t>
      </w:r>
    </w:p>
    <w:p w14:paraId="44EEE989" w14:textId="77777777" w:rsidR="004C0E15" w:rsidRPr="00EC6ED5" w:rsidRDefault="004C0E15" w:rsidP="00A563AA">
      <w:pPr>
        <w:numPr>
          <w:ilvl w:val="0"/>
          <w:numId w:val="121"/>
        </w:numPr>
        <w:tabs>
          <w:tab w:val="clear" w:pos="720"/>
          <w:tab w:val="num" w:pos="426"/>
        </w:tabs>
        <w:spacing w:before="60" w:after="60"/>
        <w:ind w:hanging="578"/>
        <w:rPr>
          <w:rFonts w:cstheme="minorHAnsi"/>
        </w:rPr>
      </w:pPr>
      <w:r w:rsidRPr="00EC6ED5">
        <w:rPr>
          <w:rStyle w:val="Strong"/>
          <w:rFonts w:cstheme="minorHAnsi"/>
        </w:rPr>
        <w:t>Područje Okoliša:</w:t>
      </w:r>
    </w:p>
    <w:p w14:paraId="1C81FF0B" w14:textId="77777777" w:rsidR="004C0E15" w:rsidRPr="00EC6ED5" w:rsidRDefault="004C0E15" w:rsidP="00A563AA">
      <w:pPr>
        <w:numPr>
          <w:ilvl w:val="0"/>
          <w:numId w:val="122"/>
        </w:numPr>
        <w:spacing w:before="60" w:after="60"/>
        <w:rPr>
          <w:rFonts w:cstheme="minorHAnsi"/>
        </w:rPr>
      </w:pPr>
      <w:r w:rsidRPr="00EC6ED5">
        <w:rPr>
          <w:rFonts w:cstheme="minorHAnsi"/>
        </w:rPr>
        <w:t>potprogram „Priroda i bioraznolikost“</w:t>
      </w:r>
    </w:p>
    <w:p w14:paraId="42220D68" w14:textId="77777777" w:rsidR="004C0E15" w:rsidRPr="00EC6ED5" w:rsidRDefault="004C0E15" w:rsidP="00A563AA">
      <w:pPr>
        <w:numPr>
          <w:ilvl w:val="0"/>
          <w:numId w:val="122"/>
        </w:numPr>
        <w:spacing w:before="60" w:after="60"/>
        <w:rPr>
          <w:rFonts w:cstheme="minorHAnsi"/>
        </w:rPr>
      </w:pPr>
      <w:r w:rsidRPr="00EC6ED5">
        <w:rPr>
          <w:rFonts w:cstheme="minorHAnsi"/>
        </w:rPr>
        <w:t>potprogram „Kružno gospodarstvo i kvaliteta života“</w:t>
      </w:r>
    </w:p>
    <w:p w14:paraId="2F692267" w14:textId="77777777" w:rsidR="004C0E15" w:rsidRPr="00EC6ED5" w:rsidRDefault="004C0E15" w:rsidP="00A563AA">
      <w:pPr>
        <w:numPr>
          <w:ilvl w:val="0"/>
          <w:numId w:val="123"/>
        </w:numPr>
        <w:tabs>
          <w:tab w:val="clear" w:pos="720"/>
          <w:tab w:val="num" w:pos="426"/>
        </w:tabs>
        <w:spacing w:before="60" w:after="60"/>
        <w:ind w:hanging="578"/>
        <w:rPr>
          <w:rFonts w:cstheme="minorHAnsi"/>
        </w:rPr>
      </w:pPr>
      <w:r w:rsidRPr="00EC6ED5">
        <w:rPr>
          <w:rStyle w:val="Strong"/>
          <w:rFonts w:cstheme="minorHAnsi"/>
        </w:rPr>
        <w:lastRenderedPageBreak/>
        <w:t>Područje Djelovanje u području klime:</w:t>
      </w:r>
    </w:p>
    <w:p w14:paraId="6F59982A" w14:textId="77777777" w:rsidR="004C0E15" w:rsidRPr="00EC6ED5" w:rsidRDefault="004C0E15" w:rsidP="00A563AA">
      <w:pPr>
        <w:numPr>
          <w:ilvl w:val="0"/>
          <w:numId w:val="124"/>
        </w:numPr>
        <w:spacing w:before="60" w:after="60"/>
        <w:rPr>
          <w:rFonts w:cstheme="minorHAnsi"/>
        </w:rPr>
      </w:pPr>
      <w:r w:rsidRPr="00EC6ED5">
        <w:rPr>
          <w:rFonts w:cstheme="minorHAnsi"/>
        </w:rPr>
        <w:t>potprogram „Ublažavanje i prilagodba klimatskih promjena“</w:t>
      </w:r>
    </w:p>
    <w:p w14:paraId="5B2F7FCA" w14:textId="77777777" w:rsidR="004C0E15" w:rsidRPr="00EC6ED5" w:rsidRDefault="004C0E15" w:rsidP="00A563AA">
      <w:pPr>
        <w:numPr>
          <w:ilvl w:val="0"/>
          <w:numId w:val="124"/>
        </w:numPr>
        <w:spacing w:before="60" w:after="60"/>
        <w:rPr>
          <w:rFonts w:cstheme="minorHAnsi"/>
        </w:rPr>
      </w:pPr>
      <w:r w:rsidRPr="00EC6ED5">
        <w:rPr>
          <w:rFonts w:cstheme="minorHAnsi"/>
        </w:rPr>
        <w:t>potprogram „Prijelaz na čistu energiju“.</w:t>
      </w:r>
    </w:p>
    <w:p w14:paraId="48463E07" w14:textId="0566835C" w:rsidR="004C0E15" w:rsidRPr="00EC6ED5" w:rsidRDefault="004C0E15" w:rsidP="00AD22ED">
      <w:pPr>
        <w:pStyle w:val="NormalWeb"/>
        <w:spacing w:before="60" w:beforeAutospacing="0" w:after="60" w:afterAutospacing="0"/>
        <w:rPr>
          <w:rFonts w:cstheme="minorHAnsi"/>
          <w:b/>
        </w:rPr>
      </w:pPr>
      <w:r w:rsidRPr="00EC6ED5">
        <w:rPr>
          <w:rFonts w:cstheme="minorHAnsi"/>
        </w:rPr>
        <w:t>Financijska omotnica za provedbu programa LIFE za razdoblje od 2021.-2027. iznosi</w:t>
      </w:r>
      <w:r w:rsidR="00A24873">
        <w:rPr>
          <w:rFonts w:cstheme="minorHAnsi"/>
        </w:rPr>
        <w:t xml:space="preserve"> </w:t>
      </w:r>
      <w:r w:rsidRPr="00EC6ED5">
        <w:rPr>
          <w:rStyle w:val="Strong"/>
          <w:rFonts w:cstheme="minorHAnsi"/>
        </w:rPr>
        <w:t>5</w:t>
      </w:r>
      <w:r w:rsidR="00EC6ED5" w:rsidRPr="00EC6ED5">
        <w:rPr>
          <w:rStyle w:val="Strong"/>
          <w:rFonts w:cstheme="minorHAnsi"/>
        </w:rPr>
        <w:t> </w:t>
      </w:r>
      <w:r w:rsidRPr="00EC6ED5">
        <w:rPr>
          <w:rStyle w:val="Strong"/>
          <w:rFonts w:cstheme="minorHAnsi"/>
        </w:rPr>
        <w:t>432</w:t>
      </w:r>
      <w:r w:rsidR="00EC6ED5" w:rsidRPr="00EC6ED5">
        <w:rPr>
          <w:rStyle w:val="Strong"/>
          <w:rFonts w:cstheme="minorHAnsi"/>
        </w:rPr>
        <w:t> </w:t>
      </w:r>
      <w:r w:rsidRPr="00EC6ED5">
        <w:rPr>
          <w:rStyle w:val="Strong"/>
          <w:rFonts w:cstheme="minorHAnsi"/>
        </w:rPr>
        <w:t>000</w:t>
      </w:r>
      <w:r w:rsidR="00EC6ED5" w:rsidRPr="00EC6ED5">
        <w:rPr>
          <w:rStyle w:val="Strong"/>
          <w:rFonts w:cstheme="minorHAnsi"/>
        </w:rPr>
        <w:t> </w:t>
      </w:r>
      <w:r w:rsidRPr="00EC6ED5">
        <w:rPr>
          <w:rStyle w:val="Strong"/>
          <w:rFonts w:cstheme="minorHAnsi"/>
        </w:rPr>
        <w:t>000 EUR te u</w:t>
      </w:r>
      <w:r w:rsidRPr="00EC6ED5">
        <w:rPr>
          <w:rFonts w:cstheme="minorHAnsi"/>
        </w:rPr>
        <w:t xml:space="preserve"> skladu s Uredbom, program LIFE može pružiti različite vrste bespovratnih sredstava za različite vrste projekata (projekti standardnih djelovanja, strateški projekti za prirodu, strateški integrirani projekti, projekti tehničke pomoći te djelovanja koordinacije i potpore).</w:t>
      </w:r>
      <w:r w:rsidRPr="00EC6ED5">
        <w:rPr>
          <w:rFonts w:cstheme="minorHAnsi"/>
          <w:b/>
        </w:rPr>
        <w:t xml:space="preserve"> </w:t>
      </w:r>
      <w:r w:rsidRPr="00EC6ED5">
        <w:rPr>
          <w:rFonts w:cstheme="minorHAnsi"/>
        </w:rPr>
        <w:t xml:space="preserve">Stopa sufinanciranja kroz Program LIFE je do 60% ukupnih prihvatljivih troškova, odnosno do visine 75% za prioritetne vrste iz potprograma Priroda i </w:t>
      </w:r>
      <w:r w:rsidR="008A62C8">
        <w:rPr>
          <w:rFonts w:cstheme="minorHAnsi"/>
        </w:rPr>
        <w:t>bio</w:t>
      </w:r>
      <w:r w:rsidRPr="00EC6ED5">
        <w:rPr>
          <w:rFonts w:cstheme="minorHAnsi"/>
        </w:rPr>
        <w:t>raznolikost, dok je prihvatljivi prijavitelj svaka pravna osoba registrirana na području Europske unije: javna tijela, privatne komercijalne organizacije i neprofitne organizacije.</w:t>
      </w:r>
    </w:p>
    <w:p w14:paraId="157E69B2" w14:textId="77777777" w:rsidR="00A24873" w:rsidRDefault="00A24873" w:rsidP="00AD22ED">
      <w:pPr>
        <w:spacing w:before="60" w:after="60"/>
        <w:rPr>
          <w:rFonts w:cstheme="minorHAnsi"/>
          <w:b/>
          <w:lang w:eastAsia="hr-HR"/>
        </w:rPr>
      </w:pPr>
    </w:p>
    <w:p w14:paraId="5A0276C0" w14:textId="35764694" w:rsidR="004C0E15" w:rsidRPr="00EC6ED5" w:rsidRDefault="004C0E15" w:rsidP="00AD22ED">
      <w:pPr>
        <w:spacing w:before="60" w:after="60"/>
        <w:rPr>
          <w:rFonts w:cstheme="minorHAnsi"/>
          <w:b/>
          <w:lang w:eastAsia="hr-HR"/>
        </w:rPr>
      </w:pPr>
      <w:r w:rsidRPr="00EC6ED5">
        <w:rPr>
          <w:rFonts w:cstheme="minorHAnsi"/>
          <w:b/>
          <w:lang w:eastAsia="hr-HR"/>
        </w:rPr>
        <w:t>Ostali međunarodni izvori financiranja</w:t>
      </w:r>
    </w:p>
    <w:p w14:paraId="04687D04" w14:textId="1B20651E" w:rsidR="004C0E15" w:rsidRPr="00D275DB" w:rsidRDefault="004C0E15" w:rsidP="63259912">
      <w:pPr>
        <w:spacing w:before="60" w:after="60"/>
        <w:rPr>
          <w:rFonts w:cstheme="minorBidi"/>
          <w:lang w:eastAsia="hr-HR"/>
        </w:rPr>
      </w:pPr>
      <w:r w:rsidRPr="63259912">
        <w:rPr>
          <w:rFonts w:cstheme="minorBidi"/>
          <w:lang w:eastAsia="hr-HR"/>
        </w:rPr>
        <w:t>Ostali međunarodni izvori financiranja obuhvaćaju specijalizirane fondove i banke u stranom vlasništvu, koje imaju posebne linije namijenjene projektima energetske učinkovitosti i obnovljivih izvora energije. Dvije najaktivnije europske financijske institucije, Europska investicijska banka (EIB) i Europska banka za obnovu i razvoj (EBRD) već su dulje vrijeme u Hrvatskoj prisutne kao financijski partneri na velikim infrastrukturnim projektima. </w:t>
      </w:r>
      <w:r>
        <w:br/>
      </w:r>
      <w:r>
        <w:br/>
      </w:r>
      <w:r w:rsidRPr="63259912">
        <w:rPr>
          <w:rFonts w:cstheme="minorBidi"/>
          <w:b/>
          <w:bCs/>
          <w:lang w:eastAsia="hr-HR"/>
        </w:rPr>
        <w:t>Europska investicijska banka</w:t>
      </w:r>
      <w:r w:rsidRPr="63259912">
        <w:rPr>
          <w:rFonts w:cstheme="minorBidi"/>
          <w:lang w:eastAsia="hr-HR"/>
        </w:rPr>
        <w:t xml:space="preserve"> je neprofitna financijska institucija Europske unije specijalizirana za dugoročno financiranje projekata koji podupiru razvojnu politiku EU. Projekti koje financira EIB nisu usko specijalizirani za jedan sektor stoga je moguće dobiti sredstva za razne infrastrukturne projekte, uključujući i projekte energetske učinkovitosti i obnovljivih izvora energije.</w:t>
      </w:r>
      <w:r>
        <w:br/>
      </w:r>
      <w:r>
        <w:br/>
      </w:r>
      <w:r w:rsidRPr="63259912">
        <w:rPr>
          <w:rFonts w:cstheme="minorBidi"/>
          <w:b/>
          <w:bCs/>
          <w:lang w:eastAsia="hr-HR"/>
        </w:rPr>
        <w:t>European Local Energy Assistance (ELENA)</w:t>
      </w:r>
      <w:r w:rsidRPr="63259912">
        <w:rPr>
          <w:rFonts w:cstheme="minorBidi"/>
          <w:lang w:eastAsia="hr-HR"/>
        </w:rPr>
        <w:t xml:space="preserve"> je usluga tehničke pomoći pokrenuta u suradnji Europske komisije i Europske investicijske banke krajem 2009. Tehnička pomoć pružat će se gradovima i regijama pri razvoju projekata iz sektora energetike koji doprinose inicijativi </w:t>
      </w:r>
      <w:r w:rsidRPr="63259912">
        <w:rPr>
          <w:rFonts w:cstheme="minorBidi"/>
          <w:i/>
          <w:iCs/>
          <w:lang w:eastAsia="hr-HR"/>
        </w:rPr>
        <w:t>20-20-20</w:t>
      </w:r>
      <w:r w:rsidRPr="63259912">
        <w:rPr>
          <w:rFonts w:cstheme="minorBidi"/>
          <w:lang w:eastAsia="hr-HR"/>
        </w:rPr>
        <w:t xml:space="preserve"> i </w:t>
      </w:r>
      <w:r w:rsidRPr="63259912">
        <w:rPr>
          <w:rFonts w:cstheme="minorBidi"/>
          <w:i/>
          <w:iCs/>
          <w:lang w:eastAsia="hr-HR"/>
        </w:rPr>
        <w:t>Sporazumu gradonačelnika</w:t>
      </w:r>
      <w:r w:rsidRPr="63259912">
        <w:rPr>
          <w:rFonts w:cstheme="minorBidi"/>
          <w:lang w:eastAsia="hr-HR"/>
        </w:rPr>
        <w:t xml:space="preserve"> (engl. </w:t>
      </w:r>
      <w:r w:rsidRPr="63259912">
        <w:rPr>
          <w:rFonts w:cstheme="minorBidi"/>
          <w:i/>
          <w:iCs/>
          <w:lang w:eastAsia="hr-HR"/>
        </w:rPr>
        <w:t>Covenant of Mayors</w:t>
      </w:r>
      <w:r w:rsidRPr="63259912">
        <w:rPr>
          <w:rFonts w:cstheme="minorBidi"/>
          <w:lang w:eastAsia="hr-HR"/>
        </w:rPr>
        <w:t xml:space="preserve">). </w:t>
      </w:r>
    </w:p>
    <w:p w14:paraId="2D54BAC2" w14:textId="77777777" w:rsidR="00362A8F" w:rsidRDefault="004C0E15" w:rsidP="00D275DB">
      <w:pPr>
        <w:spacing w:before="60" w:after="60"/>
        <w:rPr>
          <w:rFonts w:cstheme="minorHAnsi"/>
          <w:i/>
          <w:lang w:eastAsia="hr-HR"/>
        </w:rPr>
      </w:pPr>
      <w:r w:rsidRPr="00D275DB">
        <w:rPr>
          <w:rFonts w:cstheme="minorHAnsi"/>
          <w:lang w:eastAsia="hr-HR"/>
        </w:rPr>
        <w:br/>
      </w:r>
      <w:r w:rsidRPr="00D275DB">
        <w:rPr>
          <w:rFonts w:cstheme="minorHAnsi"/>
          <w:b/>
          <w:lang w:eastAsia="hr-HR"/>
        </w:rPr>
        <w:t>Europska banka za obnovu i razvoj (EBRD)</w:t>
      </w:r>
      <w:r w:rsidRPr="00D275DB">
        <w:rPr>
          <w:rFonts w:cstheme="minorHAnsi"/>
          <w:i/>
          <w:lang w:eastAsia="hr-HR"/>
        </w:rPr>
        <w:t xml:space="preserve"> </w:t>
      </w:r>
      <w:r w:rsidRPr="00D275DB">
        <w:rPr>
          <w:rFonts w:cstheme="minorHAnsi"/>
          <w:lang w:eastAsia="hr-HR"/>
        </w:rPr>
        <w:t>kao međunarodna financijska institucija za pomoć tranzicijskim zemljama pri prelasku na tržišnu ekonomiju i demokratsko uređenje. Korisnici sredstava primarno dolaze iz privatnog sektora, međutim EBRD usko surađuje i s regionalnim bankama pri financiranju projekata u javnom sektoru. EBRD standardno financira projekte na području poljoprivrede, energetske učinkovitosti i opskrbe energijom, industrijske proizvodnje, infrastrukture lokalne zajednice, turizma, telekomunikacija i transporta.</w:t>
      </w:r>
    </w:p>
    <w:p w14:paraId="7EEB96B0" w14:textId="77777777" w:rsidR="00362A8F" w:rsidRDefault="00362A8F" w:rsidP="00D275DB">
      <w:pPr>
        <w:spacing w:before="60" w:after="60"/>
        <w:rPr>
          <w:rFonts w:cstheme="minorHAnsi"/>
          <w:b/>
          <w:lang w:eastAsia="hr-HR"/>
        </w:rPr>
      </w:pPr>
    </w:p>
    <w:p w14:paraId="572AD51A" w14:textId="18F80BDB" w:rsidR="00A24873" w:rsidRPr="00362A8F" w:rsidRDefault="004C0E15" w:rsidP="63259912">
      <w:pPr>
        <w:spacing w:before="60" w:after="60"/>
        <w:rPr>
          <w:rFonts w:cstheme="minorBidi"/>
          <w:i/>
          <w:iCs/>
          <w:lang w:eastAsia="hr-HR"/>
        </w:rPr>
      </w:pPr>
      <w:r w:rsidRPr="63259912">
        <w:rPr>
          <w:rFonts w:cstheme="minorBidi"/>
          <w:b/>
          <w:bCs/>
          <w:lang w:eastAsia="hr-HR"/>
        </w:rPr>
        <w:t>Europska investicijska (EIB) i Njemačka razvojna banka (KfW)</w:t>
      </w:r>
      <w:r w:rsidRPr="63259912">
        <w:rPr>
          <w:rFonts w:cstheme="minorBidi"/>
          <w:lang w:eastAsia="hr-HR"/>
        </w:rPr>
        <w:t xml:space="preserve"> pokrenuli su uz potporu Europske komisije, </w:t>
      </w:r>
      <w:r w:rsidRPr="63259912">
        <w:rPr>
          <w:rFonts w:cstheme="minorBidi"/>
          <w:b/>
          <w:bCs/>
          <w:lang w:eastAsia="hr-HR"/>
        </w:rPr>
        <w:t>Green for Growth Fund – Southeast Europe</w:t>
      </w:r>
      <w:r w:rsidRPr="63259912">
        <w:rPr>
          <w:rFonts w:cstheme="minorBidi"/>
          <w:lang w:eastAsia="hr-HR"/>
        </w:rPr>
        <w:t xml:space="preserve"> krajem 2009. Primarni cilj Fonda koji djeluje na području zemalja jugoistočne Europe jest poticanje razvoja financijskog tržišta namijenjenog kreditiranju projekata energetske učinkovitosti i obnovljivih izvora energije.</w:t>
      </w:r>
    </w:p>
    <w:p w14:paraId="279B4685" w14:textId="374C1FE9" w:rsidR="007558D3" w:rsidRDefault="004A6004" w:rsidP="00F93CAF">
      <w:pPr>
        <w:spacing w:after="0"/>
        <w:rPr>
          <w:rFonts w:cstheme="minorHAnsi"/>
          <w:iCs/>
          <w:lang w:eastAsia="hr-HR"/>
        </w:rPr>
      </w:pPr>
      <w:r>
        <w:rPr>
          <w:rFonts w:cstheme="minorHAnsi"/>
          <w:iCs/>
          <w:lang w:eastAsia="hr-HR"/>
        </w:rPr>
        <w:t xml:space="preserve">Osim </w:t>
      </w:r>
      <w:r w:rsidR="00515BB7">
        <w:rPr>
          <w:rFonts w:cstheme="minorHAnsi"/>
          <w:iCs/>
          <w:lang w:eastAsia="hr-HR"/>
        </w:rPr>
        <w:t>javnih</w:t>
      </w:r>
      <w:r>
        <w:rPr>
          <w:rFonts w:cstheme="minorHAnsi"/>
          <w:iCs/>
          <w:lang w:eastAsia="hr-HR"/>
        </w:rPr>
        <w:t xml:space="preserve"> izvora, </w:t>
      </w:r>
      <w:r w:rsidR="00C06811">
        <w:rPr>
          <w:rFonts w:cstheme="minorHAnsi"/>
          <w:iCs/>
          <w:lang w:eastAsia="hr-HR"/>
        </w:rPr>
        <w:t xml:space="preserve">važnu ulogu u financiranju </w:t>
      </w:r>
      <w:r w:rsidR="00515BB7">
        <w:rPr>
          <w:rFonts w:cstheme="minorHAnsi"/>
          <w:iCs/>
          <w:lang w:eastAsia="hr-HR"/>
        </w:rPr>
        <w:t>im</w:t>
      </w:r>
      <w:r w:rsidR="00A023D9">
        <w:rPr>
          <w:rFonts w:cstheme="minorHAnsi"/>
          <w:iCs/>
          <w:lang w:eastAsia="hr-HR"/>
        </w:rPr>
        <w:t>a</w:t>
      </w:r>
      <w:r w:rsidR="00515BB7">
        <w:rPr>
          <w:rFonts w:cstheme="minorHAnsi"/>
          <w:iCs/>
          <w:lang w:eastAsia="hr-HR"/>
        </w:rPr>
        <w:t xml:space="preserve">ti će i privatni sektor. </w:t>
      </w:r>
      <w:r w:rsidR="00F93CAF" w:rsidRPr="00F93CAF">
        <w:rPr>
          <w:rFonts w:cstheme="minorHAnsi"/>
          <w:iCs/>
          <w:lang w:eastAsia="hr-HR"/>
        </w:rPr>
        <w:t xml:space="preserve">Vlada Republike Hrvatske je Zaključkom od 21. prosinca 2023. godine osnovala Forum za podršku održivom </w:t>
      </w:r>
      <w:r w:rsidR="00F93CAF" w:rsidRPr="00F93CAF">
        <w:rPr>
          <w:rFonts w:cstheme="minorHAnsi"/>
          <w:iCs/>
          <w:lang w:eastAsia="hr-HR"/>
        </w:rPr>
        <w:lastRenderedPageBreak/>
        <w:t xml:space="preserve">financiranju (dalje u tekstu: Forum). Cilj Foruma je stvoriti platformu kako bi se povezali sudionici financijskog sektora (bankarskog i </w:t>
      </w:r>
      <w:r w:rsidR="00591FEA" w:rsidRPr="00F93CAF">
        <w:rPr>
          <w:rFonts w:cstheme="minorHAnsi"/>
          <w:iCs/>
          <w:lang w:eastAsia="hr-HR"/>
        </w:rPr>
        <w:t>nebankarskog</w:t>
      </w:r>
      <w:r w:rsidR="00F93CAF" w:rsidRPr="00F93CAF">
        <w:rPr>
          <w:rFonts w:cstheme="minorHAnsi"/>
          <w:iCs/>
          <w:lang w:eastAsia="hr-HR"/>
        </w:rPr>
        <w:t>) s resornim ministarstvima i nadzornim tijelima. Forum će poticati zajedničku suradnju s ciljem sprječavanja ili uklanjanja prepreka održivom financiranju, podizati svijest o financijskim posljedicama koje mogu nastati zbog neupravljanja ili lošeg upravljanja ESG rizicima. Forum će osigurati da financijski sektor služi interesima održivog financiranja u RH te će omogućiti otvoreni dijalog kroz strateške rasprave i razmjenu informacija među dionicima kako bi se utjecalo na usmjeravanje tokova kapitala privatnog sektora u obnovljive izvore energije, naglašavajući potrebu ulaganja u zelenu infrastrukturu.</w:t>
      </w:r>
    </w:p>
    <w:p w14:paraId="1042B13F" w14:textId="65ECA266" w:rsidR="00A24873" w:rsidRDefault="00F93CAF" w:rsidP="002F33E3">
      <w:pPr>
        <w:spacing w:after="0"/>
        <w:rPr>
          <w:rFonts w:cstheme="minorHAnsi"/>
          <w:iCs/>
          <w:lang w:eastAsia="hr-HR"/>
        </w:rPr>
      </w:pPr>
      <w:r w:rsidRPr="00F93CAF">
        <w:rPr>
          <w:rFonts w:cstheme="minorHAnsi"/>
          <w:iCs/>
          <w:lang w:eastAsia="hr-HR"/>
        </w:rPr>
        <w:t xml:space="preserve">Forum će pružati podršku pravovremenoj prilagodbi financijskog sektora EU regulatornim zahtjevima (Taksonomija, CSRD, ESRS, EGS rejtinzi i dr.) na način da će organizirati održavanje edukacija i radionica. </w:t>
      </w:r>
      <w:r w:rsidR="00A24873">
        <w:rPr>
          <w:rFonts w:cstheme="minorHAnsi"/>
          <w:iCs/>
          <w:lang w:eastAsia="hr-HR"/>
        </w:rPr>
        <w:br w:type="page"/>
      </w:r>
    </w:p>
    <w:p w14:paraId="78D20A75" w14:textId="59412FE4" w:rsidR="00C21988" w:rsidRPr="00B47BDA" w:rsidRDefault="00C21988" w:rsidP="005C2C7E">
      <w:pPr>
        <w:pStyle w:val="Heading2"/>
        <w:numPr>
          <w:ilvl w:val="1"/>
          <w:numId w:val="175"/>
        </w:numPr>
      </w:pPr>
      <w:bookmarkStart w:id="757" w:name="_Toc187418373"/>
      <w:bookmarkStart w:id="758" w:name="_Toc193043298"/>
      <w:r w:rsidRPr="00B47BDA">
        <w:lastRenderedPageBreak/>
        <w:t xml:space="preserve">Učinci planiranih politika i mjera opisanih u </w:t>
      </w:r>
      <w:r w:rsidR="007266F7">
        <w:t>točki</w:t>
      </w:r>
      <w:r w:rsidR="007266F7" w:rsidRPr="00B47BDA">
        <w:t xml:space="preserve"> </w:t>
      </w:r>
      <w:r w:rsidRPr="00B47BDA">
        <w:t>3. na druge države članice i na regionalnu suradnju barem do posljednje godine razdoblja obuhvaćenog planom, uključujući usporedbu s projekcijama nastalim na temelju postojećih politika i mjera</w:t>
      </w:r>
      <w:bookmarkEnd w:id="746"/>
      <w:bookmarkEnd w:id="747"/>
      <w:bookmarkEnd w:id="748"/>
      <w:bookmarkEnd w:id="757"/>
      <w:bookmarkEnd w:id="758"/>
    </w:p>
    <w:p w14:paraId="13F757AD" w14:textId="77777777" w:rsidR="00715ECB" w:rsidRPr="00B47BDA" w:rsidRDefault="00715ECB" w:rsidP="005C2C7E">
      <w:pPr>
        <w:pStyle w:val="Heading4"/>
        <w:numPr>
          <w:ilvl w:val="3"/>
          <w:numId w:val="175"/>
        </w:numPr>
        <w:ind w:hanging="580"/>
      </w:pPr>
      <w:r w:rsidRPr="00B47BDA">
        <w:t>U mjeri u kojoj je to moguće, učinci na energetski sustav susjednih država i drugih država članica u regiji</w:t>
      </w:r>
    </w:p>
    <w:p w14:paraId="36C8E10B" w14:textId="15743E18" w:rsidR="006817E1" w:rsidRPr="00B47BDA" w:rsidRDefault="004E72DB" w:rsidP="004623DD">
      <w:r w:rsidRPr="63259912">
        <w:t>Očekuje se kako će prekogranično i regionalno povezivanje energetskih tržišta dovesti do smanjenja cijena energije i energenata.</w:t>
      </w:r>
      <w:r w:rsidR="001A714C" w:rsidRPr="63259912">
        <w:t xml:space="preserve"> Istovremeno, </w:t>
      </w:r>
      <w:r w:rsidR="006E62C8" w:rsidRPr="63259912">
        <w:t xml:space="preserve">veća integracija varijabilnih obnovljivih izvora energije u nacionalne elektroenergetske sustave uzrokovat će povećanu varijabilnost prekograničnih tokova električne energije koja će zahtijevati izgradnju robusnijih prijenosnih mreža i eventualno izgradnju novih interkonektivnih dalekovoda, </w:t>
      </w:r>
      <w:r w:rsidR="008A593F" w:rsidRPr="63259912">
        <w:t xml:space="preserve">što </w:t>
      </w:r>
      <w:r w:rsidR="006E62C8" w:rsidRPr="63259912">
        <w:t>može umanjiti kvalitetu električne energije isporučene kupcima te potencijalno ugroziti stabilnost pogona sustava radi očekivano niže inercije i većih brzina promjena frekvencije.</w:t>
      </w:r>
      <w:r w:rsidR="006817E1" w:rsidRPr="63259912">
        <w:t xml:space="preserve"> Očekuje se kako će se problemi s kvalitetom i smanjenom inercijom sustava rješavati na europskoj razini.</w:t>
      </w:r>
    </w:p>
    <w:p w14:paraId="0DB6F8D5" w14:textId="77777777" w:rsidR="000D62C0" w:rsidRPr="00B47BDA" w:rsidRDefault="000D62C0" w:rsidP="005C2C7E">
      <w:pPr>
        <w:pStyle w:val="Heading4"/>
        <w:numPr>
          <w:ilvl w:val="3"/>
          <w:numId w:val="175"/>
        </w:numPr>
        <w:ind w:hanging="580"/>
      </w:pPr>
      <w:r w:rsidRPr="00B47BDA">
        <w:t>Učinci na cijene energije, komunalne usluge i integraciju energetskog tržišta</w:t>
      </w:r>
    </w:p>
    <w:p w14:paraId="76CD3598" w14:textId="74015714" w:rsidR="00D175B2" w:rsidRPr="00604192" w:rsidRDefault="00D175B2" w:rsidP="004623DD">
      <w:r w:rsidRPr="00604192">
        <w:t xml:space="preserve">Promjene koje se očekuju u energetskom sektoru su ekonomski održive i u konačnici neće izazvati veće troškove. </w:t>
      </w:r>
      <w:r w:rsidR="005B5184" w:rsidRPr="00604192">
        <w:t>Pri tome će se mijenjati</w:t>
      </w:r>
      <w:r w:rsidRPr="00604192">
        <w:t xml:space="preserve"> karakter troškova </w:t>
      </w:r>
      <w:r w:rsidR="005B5184" w:rsidRPr="00604192">
        <w:t xml:space="preserve">– </w:t>
      </w:r>
      <w:r w:rsidRPr="00604192">
        <w:t>povećava</w:t>
      </w:r>
      <w:r w:rsidR="000A7DEF" w:rsidRPr="00604192">
        <w:t>t će</w:t>
      </w:r>
      <w:r w:rsidRPr="00604192">
        <w:t xml:space="preserve"> se investicijski troškovi, a smanj</w:t>
      </w:r>
      <w:r w:rsidR="000A7DEF" w:rsidRPr="00604192">
        <w:t>ivati</w:t>
      </w:r>
      <w:r w:rsidRPr="00604192">
        <w:t xml:space="preserve"> operativni troškovi i troškovi za energiju.</w:t>
      </w:r>
    </w:p>
    <w:p w14:paraId="33359E0D" w14:textId="36D1C45B" w:rsidR="001142BA" w:rsidRPr="00604192" w:rsidRDefault="001142BA" w:rsidP="004623DD">
      <w:r w:rsidRPr="00604192">
        <w:t>Energetska tržišta će se u konačnici potpuno integrirati</w:t>
      </w:r>
      <w:r w:rsidR="00890B29" w:rsidRPr="00604192">
        <w:t>,</w:t>
      </w:r>
      <w:r w:rsidRPr="00604192">
        <w:t xml:space="preserve"> kako geografski</w:t>
      </w:r>
      <w:r w:rsidR="00890B29" w:rsidRPr="00604192">
        <w:t xml:space="preserve"> – na razini Europske unije i susjednih zemalja</w:t>
      </w:r>
      <w:r w:rsidRPr="00604192">
        <w:t xml:space="preserve">, tako </w:t>
      </w:r>
      <w:r w:rsidR="00890B29" w:rsidRPr="00604192">
        <w:t>i</w:t>
      </w:r>
      <w:r w:rsidRPr="00604192">
        <w:t xml:space="preserve"> sektorski</w:t>
      </w:r>
      <w:r w:rsidR="00890B29" w:rsidRPr="00604192">
        <w:t xml:space="preserve"> – </w:t>
      </w:r>
      <w:r w:rsidR="001773E5" w:rsidRPr="00604192">
        <w:t>doći će do povezivanja</w:t>
      </w:r>
      <w:r w:rsidR="00890B29" w:rsidRPr="00604192">
        <w:t xml:space="preserve"> elektroenergetsk</w:t>
      </w:r>
      <w:r w:rsidR="001773E5" w:rsidRPr="00604192">
        <w:t>og</w:t>
      </w:r>
      <w:r w:rsidR="00890B29" w:rsidRPr="00604192">
        <w:t xml:space="preserve">, </w:t>
      </w:r>
      <w:r w:rsidR="001773E5" w:rsidRPr="00604192">
        <w:t>toplinskog, plinskog i prometnog sektora.</w:t>
      </w:r>
    </w:p>
    <w:p w14:paraId="3FDA9DC1" w14:textId="77777777" w:rsidR="00822414" w:rsidRPr="00B47BDA" w:rsidRDefault="00822414" w:rsidP="005C2C7E">
      <w:pPr>
        <w:pStyle w:val="Heading4"/>
        <w:numPr>
          <w:ilvl w:val="3"/>
          <w:numId w:val="175"/>
        </w:numPr>
        <w:ind w:hanging="580"/>
      </w:pPr>
      <w:r w:rsidRPr="00B47BDA">
        <w:t>Ako je relevantno, učinci na regionalnu suradnju</w:t>
      </w:r>
    </w:p>
    <w:p w14:paraId="064B8FF2" w14:textId="5F744163" w:rsidR="0063194E" w:rsidRPr="004F6281" w:rsidRDefault="009D13CB" w:rsidP="004623DD">
      <w:r w:rsidRPr="004F6281">
        <w:t>Bit će neophodno</w:t>
      </w:r>
      <w:r w:rsidR="00932FF8" w:rsidRPr="004F6281">
        <w:t xml:space="preserve"> dodatno</w:t>
      </w:r>
      <w:r w:rsidRPr="004F6281">
        <w:t xml:space="preserve"> ojačati prekograničnu i regionalnu suradnju</w:t>
      </w:r>
      <w:r w:rsidR="00932FF8" w:rsidRPr="004F6281">
        <w:t xml:space="preserve"> </w:t>
      </w:r>
      <w:r w:rsidR="006817E1" w:rsidRPr="004F6281">
        <w:t>u svim dimenzijama energetske unije</w:t>
      </w:r>
      <w:r w:rsidRPr="004F6281">
        <w:t>.</w:t>
      </w:r>
    </w:p>
    <w:bookmarkEnd w:id="248"/>
    <w:p w14:paraId="05474AAA" w14:textId="6A36EA50" w:rsidR="005965DD" w:rsidRPr="00B47BDA" w:rsidRDefault="005965DD" w:rsidP="004623DD">
      <w:r w:rsidRPr="00B47BDA">
        <w:br w:type="page"/>
      </w:r>
    </w:p>
    <w:p w14:paraId="392BA1EE" w14:textId="69639D36" w:rsidR="00D444FC" w:rsidRPr="00B47BDA" w:rsidRDefault="00D444FC" w:rsidP="001B6A5D">
      <w:pPr>
        <w:pStyle w:val="Heading1"/>
        <w:numPr>
          <w:ilvl w:val="0"/>
          <w:numId w:val="175"/>
        </w:numPr>
      </w:pPr>
      <w:bookmarkStart w:id="759" w:name="_Toc187418374"/>
      <w:bookmarkStart w:id="760" w:name="_Toc193043299"/>
      <w:bookmarkStart w:id="761" w:name="_Toc531935274"/>
      <w:bookmarkStart w:id="762" w:name="_Toc531945136"/>
      <w:bookmarkStart w:id="763" w:name="_Toc6302394"/>
      <w:r w:rsidRPr="00CC3E77">
        <w:lastRenderedPageBreak/>
        <w:t>REFERENCE</w:t>
      </w:r>
      <w:bookmarkEnd w:id="759"/>
      <w:bookmarkEnd w:id="760"/>
    </w:p>
    <w:p w14:paraId="73D402CF" w14:textId="36A99B65" w:rsidR="006F4072" w:rsidRPr="00B47BDA" w:rsidRDefault="6589056A" w:rsidP="004623DD">
      <w:pPr>
        <w:pStyle w:val="ListParagraph"/>
        <w:numPr>
          <w:ilvl w:val="0"/>
          <w:numId w:val="15"/>
        </w:numPr>
      </w:pPr>
      <w:bookmarkStart w:id="764" w:name="_Ref531604343"/>
      <w:bookmarkStart w:id="765" w:name="_Ref5879053"/>
      <w:bookmarkStart w:id="766" w:name="_Ref531599550"/>
      <w:r>
        <w:t>Osmo</w:t>
      </w:r>
      <w:r w:rsidR="00B93224" w:rsidRPr="00B47BDA">
        <w:t xml:space="preserve"> nacionalno izvješće </w:t>
      </w:r>
      <w:r w:rsidR="2C4982B7">
        <w:t xml:space="preserve">s prilogom </w:t>
      </w:r>
      <w:r w:rsidR="40E6D413">
        <w:t>Pe</w:t>
      </w:r>
      <w:r w:rsidR="03CC3CE7">
        <w:t>to</w:t>
      </w:r>
      <w:r w:rsidR="00B93224" w:rsidRPr="00B47BDA">
        <w:t xml:space="preserve"> dvogodišnje izvješće Republike Hrvatske prema Okvirnoj konvenciji Ujedinjenih Naroda o promjeni klime, M</w:t>
      </w:r>
      <w:r w:rsidR="00607C7E" w:rsidRPr="00B47BDA">
        <w:t>INGO</w:t>
      </w:r>
      <w:r w:rsidR="00B93224" w:rsidRPr="00B47BDA">
        <w:t xml:space="preserve">, </w:t>
      </w:r>
      <w:r w:rsidR="00B93224">
        <w:t>20</w:t>
      </w:r>
      <w:r w:rsidR="2B1A24FA">
        <w:t>24</w:t>
      </w:r>
      <w:bookmarkEnd w:id="764"/>
      <w:r w:rsidR="00B93224" w:rsidRPr="00B47BDA">
        <w:t>.</w:t>
      </w:r>
      <w:bookmarkEnd w:id="765"/>
      <w:bookmarkEnd w:id="766"/>
    </w:p>
    <w:p w14:paraId="549A78FC" w14:textId="3452945B" w:rsidR="005965DD" w:rsidRPr="00B47BDA" w:rsidRDefault="005965DD" w:rsidP="004623DD">
      <w:pPr>
        <w:pStyle w:val="ListParagraph"/>
        <w:numPr>
          <w:ilvl w:val="0"/>
          <w:numId w:val="15"/>
        </w:numPr>
      </w:pPr>
      <w:bookmarkStart w:id="767" w:name="_Ref531599476"/>
      <w:bookmarkStart w:id="768" w:name="_Ref19885351"/>
      <w:bookmarkEnd w:id="761"/>
      <w:bookmarkEnd w:id="762"/>
      <w:bookmarkEnd w:id="763"/>
      <w:r w:rsidRPr="00B47BDA">
        <w:t>Analize i podloge za izradu energetske strategije Republike Hrvatske</w:t>
      </w:r>
      <w:bookmarkEnd w:id="767"/>
      <w:r w:rsidR="0068666D" w:rsidRPr="00B47BDA">
        <w:t xml:space="preserve"> – Zelena knjiga</w:t>
      </w:r>
      <w:r w:rsidR="006B7F17" w:rsidRPr="00B47BDA">
        <w:t>, M</w:t>
      </w:r>
      <w:r w:rsidR="00607C7E" w:rsidRPr="00B47BDA">
        <w:t>INGO</w:t>
      </w:r>
      <w:r w:rsidR="006B7F17" w:rsidRPr="00B47BDA">
        <w:t xml:space="preserve"> 2018.</w:t>
      </w:r>
      <w:bookmarkEnd w:id="768"/>
    </w:p>
    <w:p w14:paraId="387AE781" w14:textId="688F8055" w:rsidR="00090325" w:rsidRPr="00922F75" w:rsidRDefault="00090325" w:rsidP="004623DD">
      <w:pPr>
        <w:pStyle w:val="ListParagraph"/>
        <w:numPr>
          <w:ilvl w:val="0"/>
          <w:numId w:val="15"/>
        </w:numPr>
      </w:pPr>
      <w:bookmarkStart w:id="769" w:name="_Ref19783836"/>
      <w:r w:rsidRPr="00922F75">
        <w:t>Strategij</w:t>
      </w:r>
      <w:r w:rsidR="003666E1" w:rsidRPr="00922F75">
        <w:t>a</w:t>
      </w:r>
      <w:r w:rsidRPr="00922F75">
        <w:t xml:space="preserve"> energetskog razvoja R</w:t>
      </w:r>
      <w:r w:rsidR="00984927">
        <w:t xml:space="preserve">epublike </w:t>
      </w:r>
      <w:r w:rsidRPr="00922F75">
        <w:t>H</w:t>
      </w:r>
      <w:r w:rsidR="00984927">
        <w:t>rvatske</w:t>
      </w:r>
      <w:r w:rsidRPr="00922F75">
        <w:t xml:space="preserve"> do 2030., s pogledom na 2050</w:t>
      </w:r>
      <w:bookmarkEnd w:id="769"/>
      <w:r w:rsidRPr="00922F75">
        <w:t>.</w:t>
      </w:r>
      <w:r w:rsidR="001F515E">
        <w:t xml:space="preserve"> godinu</w:t>
      </w:r>
      <w:r w:rsidR="00DE69CB" w:rsidRPr="00922F75">
        <w:t xml:space="preserve">, </w:t>
      </w:r>
      <w:r w:rsidR="00E93295" w:rsidRPr="00922F75">
        <w:t>Hrvatski sabor, 2020.</w:t>
      </w:r>
    </w:p>
    <w:p w14:paraId="345B8D7E" w14:textId="64B3A27E" w:rsidR="00A26178" w:rsidRPr="00B47BDA" w:rsidRDefault="0068666D" w:rsidP="004623DD">
      <w:pPr>
        <w:pStyle w:val="ListParagraph"/>
        <w:numPr>
          <w:ilvl w:val="0"/>
          <w:numId w:val="15"/>
        </w:numPr>
      </w:pPr>
      <w:bookmarkStart w:id="770" w:name="_Ref19784013"/>
      <w:r w:rsidRPr="00B47BDA">
        <w:t>Analize i podloge za izradu energetske strategije Republike Hrvatske – Bijela knjiga, M</w:t>
      </w:r>
      <w:r w:rsidR="00607C7E" w:rsidRPr="00B47BDA">
        <w:t>INGO</w:t>
      </w:r>
      <w:r w:rsidR="00B11656">
        <w:t>,</w:t>
      </w:r>
      <w:r w:rsidRPr="00B47BDA">
        <w:t xml:space="preserve"> 2018.</w:t>
      </w:r>
      <w:bookmarkEnd w:id="770"/>
    </w:p>
    <w:p w14:paraId="786DC52A" w14:textId="0655E7A9" w:rsidR="000C30F2" w:rsidRPr="00922F75" w:rsidRDefault="00EF6628" w:rsidP="004623DD">
      <w:pPr>
        <w:pStyle w:val="ListParagraph"/>
        <w:numPr>
          <w:ilvl w:val="0"/>
          <w:numId w:val="15"/>
        </w:numPr>
      </w:pPr>
      <w:bookmarkStart w:id="771" w:name="_Ref531599957"/>
      <w:r w:rsidRPr="63259912">
        <w:t>Strategija niskougljičnog razvoja Republike Hrvatske za razdoblje do 2030. godine, s pogledom na 2050. godinu</w:t>
      </w:r>
      <w:r w:rsidR="000E02B6" w:rsidRPr="63259912">
        <w:t xml:space="preserve">, </w:t>
      </w:r>
      <w:r w:rsidR="00E93295" w:rsidRPr="63259912">
        <w:t>Hrvatski sabor</w:t>
      </w:r>
      <w:r w:rsidR="0064126D" w:rsidRPr="63259912">
        <w:t xml:space="preserve">, </w:t>
      </w:r>
      <w:r w:rsidR="000C30F2" w:rsidRPr="63259912">
        <w:t>20</w:t>
      </w:r>
      <w:r w:rsidR="00D97B86" w:rsidRPr="63259912">
        <w:t>21</w:t>
      </w:r>
      <w:bookmarkEnd w:id="771"/>
      <w:r w:rsidR="000C30F2" w:rsidRPr="63259912">
        <w:t>.</w:t>
      </w:r>
    </w:p>
    <w:p w14:paraId="58C9A5E7" w14:textId="729B28EC" w:rsidR="00FA7B58" w:rsidRPr="00922F75" w:rsidRDefault="009A468B" w:rsidP="004623DD">
      <w:pPr>
        <w:pStyle w:val="ListParagraph"/>
        <w:numPr>
          <w:ilvl w:val="0"/>
          <w:numId w:val="15"/>
        </w:numPr>
      </w:pPr>
      <w:bookmarkStart w:id="772" w:name="_Ref531802168"/>
      <w:r w:rsidRPr="00922F75">
        <w:t>Strategij</w:t>
      </w:r>
      <w:r w:rsidR="00AE652B" w:rsidRPr="00922F75">
        <w:t>a</w:t>
      </w:r>
      <w:r w:rsidRPr="00922F75">
        <w:t xml:space="preserve"> prilagodbe klimatskim promjenama u Republici Hrvatskoj za razdoblje do 2040. godine s pogledom na 2070. godinu</w:t>
      </w:r>
      <w:r w:rsidR="00B11656" w:rsidRPr="00922F75">
        <w:t xml:space="preserve">, </w:t>
      </w:r>
      <w:r w:rsidR="00E93295" w:rsidRPr="00922F75">
        <w:t xml:space="preserve">Hrvatski sabor, </w:t>
      </w:r>
      <w:r w:rsidR="006A3AD7" w:rsidRPr="00922F75">
        <w:t>2020.</w:t>
      </w:r>
    </w:p>
    <w:p w14:paraId="7FAA6A9D" w14:textId="2F00DEBE" w:rsidR="00791A49" w:rsidRPr="00456D12" w:rsidRDefault="001C7B89" w:rsidP="004623DD">
      <w:pPr>
        <w:pStyle w:val="ListParagraph"/>
        <w:numPr>
          <w:ilvl w:val="0"/>
          <w:numId w:val="15"/>
        </w:numPr>
      </w:pPr>
      <w:bookmarkStart w:id="773" w:name="_Ref533752217"/>
      <w:r w:rsidRPr="00456D12">
        <w:t xml:space="preserve">Strategija obrazovanja, znanosti i tehnologije, </w:t>
      </w:r>
      <w:r w:rsidR="006A3AD7" w:rsidRPr="00456D12">
        <w:t xml:space="preserve">Hrvatski sabor, </w:t>
      </w:r>
      <w:r w:rsidRPr="00456D12">
        <w:t>2014.</w:t>
      </w:r>
      <w:bookmarkEnd w:id="773"/>
    </w:p>
    <w:p w14:paraId="1A57D51B" w14:textId="704F18F2" w:rsidR="00455DE5" w:rsidRPr="00456D12" w:rsidRDefault="00E01A33" w:rsidP="004623DD">
      <w:pPr>
        <w:pStyle w:val="ListParagraph"/>
        <w:numPr>
          <w:ilvl w:val="0"/>
          <w:numId w:val="15"/>
        </w:numPr>
      </w:pPr>
      <w:bookmarkStart w:id="774" w:name="_Ref531600731"/>
      <w:bookmarkStart w:id="775" w:name="_Ref5968872"/>
      <w:bookmarkEnd w:id="772"/>
      <w:r w:rsidRPr="00456D12">
        <w:t>Strategij</w:t>
      </w:r>
      <w:r w:rsidR="007266F7">
        <w:t>a</w:t>
      </w:r>
      <w:r w:rsidRPr="00456D12">
        <w:t xml:space="preserve"> pametne specijalizacije do 2029. </w:t>
      </w:r>
      <w:bookmarkEnd w:id="774"/>
      <w:bookmarkEnd w:id="775"/>
      <w:r w:rsidRPr="00456D12">
        <w:t>godine</w:t>
      </w:r>
      <w:r w:rsidR="00455DE5" w:rsidRPr="00456D12">
        <w:t xml:space="preserve">, </w:t>
      </w:r>
      <w:r w:rsidR="007266F7">
        <w:rPr>
          <w:rFonts w:ascii="Lucida Sans Unicode" w:hAnsi="Lucida Sans Unicode" w:cs="Lucida Sans Unicode"/>
          <w:color w:val="424242"/>
          <w:sz w:val="21"/>
          <w:szCs w:val="21"/>
          <w:shd w:val="clear" w:color="auto" w:fill="FFFFFF"/>
        </w:rPr>
        <w:t>Vlada Republike Hrvatske, 2023.</w:t>
      </w:r>
    </w:p>
    <w:p w14:paraId="2F85C29F" w14:textId="23DA088D" w:rsidR="00455DE5" w:rsidRPr="00B47BDA" w:rsidRDefault="0090031F" w:rsidP="004623DD">
      <w:pPr>
        <w:pStyle w:val="ListParagraph"/>
        <w:numPr>
          <w:ilvl w:val="0"/>
          <w:numId w:val="15"/>
        </w:numPr>
      </w:pPr>
      <w:bookmarkStart w:id="776" w:name="_Ref531600795"/>
      <w:r w:rsidRPr="00B47BDA">
        <w:t>Strategija poticanja inovacija Republike Hrvatske 2014. -2020.</w:t>
      </w:r>
      <w:bookmarkEnd w:id="776"/>
      <w:r w:rsidR="006B2E89" w:rsidRPr="00B47BDA">
        <w:t>, MINGO, 2014,</w:t>
      </w:r>
      <w:r w:rsidR="00C5739A" w:rsidRPr="00B47BDA">
        <w:t>.</w:t>
      </w:r>
    </w:p>
    <w:p w14:paraId="23B283F4" w14:textId="7E86D665" w:rsidR="0090031F" w:rsidRPr="00B47BDA" w:rsidRDefault="0090031F" w:rsidP="004623DD">
      <w:pPr>
        <w:pStyle w:val="ListParagraph"/>
        <w:numPr>
          <w:ilvl w:val="0"/>
          <w:numId w:val="15"/>
        </w:numPr>
      </w:pPr>
      <w:bookmarkStart w:id="777" w:name="_Ref531601146"/>
      <w:r w:rsidRPr="00B47BDA">
        <w:t>Energija u Hrvatskoj 20</w:t>
      </w:r>
      <w:bookmarkEnd w:id="777"/>
      <w:r w:rsidR="00F1083A">
        <w:t>2</w:t>
      </w:r>
      <w:r w:rsidR="002A0DA1">
        <w:t>2</w:t>
      </w:r>
      <w:r w:rsidR="0064126D" w:rsidRPr="00B47BDA">
        <w:t>, M</w:t>
      </w:r>
      <w:r w:rsidR="00D101FA" w:rsidRPr="00B47BDA">
        <w:t>INGO</w:t>
      </w:r>
      <w:r w:rsidR="0064126D" w:rsidRPr="00B47BDA">
        <w:t>, 20</w:t>
      </w:r>
      <w:r w:rsidR="00F1083A">
        <w:t>2</w:t>
      </w:r>
      <w:r w:rsidR="002A0DA1">
        <w:t>3</w:t>
      </w:r>
      <w:r w:rsidR="0064126D" w:rsidRPr="00B47BDA">
        <w:t>.</w:t>
      </w:r>
    </w:p>
    <w:p w14:paraId="5D037CA1" w14:textId="50DC5208" w:rsidR="00E00C7D" w:rsidRPr="00B47BDA" w:rsidRDefault="00E00C7D" w:rsidP="004623DD">
      <w:pPr>
        <w:pStyle w:val="ListParagraph"/>
        <w:numPr>
          <w:ilvl w:val="0"/>
          <w:numId w:val="15"/>
        </w:numPr>
      </w:pPr>
      <w:bookmarkStart w:id="778" w:name="_Ref531604458"/>
      <w:r w:rsidRPr="00B47BDA">
        <w:t>Izvješće o inventaru stakleničkih plinova na području Republike Hrvatske za razdoblje 1990. - 20</w:t>
      </w:r>
      <w:r w:rsidR="00CC2ACB">
        <w:t>22</w:t>
      </w:r>
      <w:r w:rsidRPr="00B47BDA">
        <w:t xml:space="preserve">. (NIR </w:t>
      </w:r>
      <w:bookmarkEnd w:id="778"/>
      <w:r w:rsidRPr="00B47BDA">
        <w:t>20</w:t>
      </w:r>
      <w:r w:rsidR="00677D4F" w:rsidRPr="00B47BDA">
        <w:t>2</w:t>
      </w:r>
      <w:r w:rsidR="00CC2ACB">
        <w:t>4</w:t>
      </w:r>
      <w:r w:rsidRPr="00B47BDA">
        <w:t xml:space="preserve">), </w:t>
      </w:r>
      <w:r w:rsidR="00BB66E6" w:rsidRPr="00B47BDA">
        <w:t>M</w:t>
      </w:r>
      <w:r w:rsidR="008A6223">
        <w:t>inistarstvo zaštite okoliša i zelene tranzicije</w:t>
      </w:r>
      <w:r w:rsidR="00BB66E6" w:rsidRPr="00B47BDA">
        <w:t xml:space="preserve">, </w:t>
      </w:r>
      <w:r w:rsidRPr="00B47BDA">
        <w:t>20</w:t>
      </w:r>
      <w:r w:rsidR="00912B52" w:rsidRPr="00B47BDA">
        <w:t>2</w:t>
      </w:r>
      <w:r w:rsidR="00A831AC">
        <w:t>4</w:t>
      </w:r>
      <w:r w:rsidR="00E23C10" w:rsidRPr="00B47BDA">
        <w:t>.</w:t>
      </w:r>
    </w:p>
    <w:p w14:paraId="703F21A4" w14:textId="7D6024E9" w:rsidR="005E3C10" w:rsidRPr="0006280F" w:rsidRDefault="00150A1D" w:rsidP="004623DD">
      <w:pPr>
        <w:pStyle w:val="ListParagraph"/>
        <w:numPr>
          <w:ilvl w:val="0"/>
          <w:numId w:val="15"/>
        </w:numPr>
      </w:pPr>
      <w:r w:rsidRPr="0006280F">
        <w:t>Strategija poljoprivrede</w:t>
      </w:r>
      <w:r w:rsidR="009C379B">
        <w:t xml:space="preserve"> do 2030. godine</w:t>
      </w:r>
      <w:r w:rsidR="0038037A" w:rsidRPr="0006280F">
        <w:t xml:space="preserve">, </w:t>
      </w:r>
      <w:r w:rsidR="0006280F" w:rsidRPr="0006280F">
        <w:t>Hrvatski sabor</w:t>
      </w:r>
      <w:r w:rsidR="007E254D" w:rsidRPr="0006280F">
        <w:t>, 20</w:t>
      </w:r>
      <w:r w:rsidR="0006280F" w:rsidRPr="0006280F">
        <w:t>22.</w:t>
      </w:r>
    </w:p>
    <w:p w14:paraId="4056C8E3" w14:textId="7DEF2CE8" w:rsidR="00B21A16" w:rsidRPr="00B47BDA" w:rsidRDefault="00B21A16" w:rsidP="004623DD">
      <w:pPr>
        <w:pStyle w:val="ListParagraph"/>
        <w:numPr>
          <w:ilvl w:val="0"/>
          <w:numId w:val="15"/>
        </w:numPr>
      </w:pPr>
      <w:bookmarkStart w:id="779" w:name="_Ref531608078"/>
      <w:r w:rsidRPr="00B47BDA">
        <w:t>Nacionalni akcijski plan energetsk</w:t>
      </w:r>
      <w:r w:rsidR="00F93998">
        <w:t>e</w:t>
      </w:r>
      <w:r w:rsidRPr="00B47BDA">
        <w:t xml:space="preserve"> učinkovitost</w:t>
      </w:r>
      <w:r w:rsidR="00F93998">
        <w:t>i</w:t>
      </w:r>
      <w:r w:rsidRPr="00B47BDA">
        <w:t xml:space="preserve"> za razdoblje od 20</w:t>
      </w:r>
      <w:r w:rsidR="00F93998">
        <w:t>22</w:t>
      </w:r>
      <w:r w:rsidRPr="00B47BDA">
        <w:t>. do 20</w:t>
      </w:r>
      <w:r w:rsidR="00F93998">
        <w:t>24</w:t>
      </w:r>
      <w:r w:rsidRPr="00B47BDA">
        <w:t>. godine, M</w:t>
      </w:r>
      <w:r w:rsidR="00D101FA" w:rsidRPr="00B47BDA">
        <w:t>INGO</w:t>
      </w:r>
      <w:r w:rsidRPr="00B47BDA">
        <w:t>, 20</w:t>
      </w:r>
      <w:bookmarkEnd w:id="779"/>
      <w:r w:rsidR="00F93998">
        <w:t>22</w:t>
      </w:r>
      <w:r w:rsidR="0006280F">
        <w:t>.</w:t>
      </w:r>
    </w:p>
    <w:p w14:paraId="79213375" w14:textId="78D65367" w:rsidR="00F20918" w:rsidRPr="00B47BDA" w:rsidRDefault="009927C2" w:rsidP="004623DD">
      <w:pPr>
        <w:pStyle w:val="ListParagraph"/>
        <w:numPr>
          <w:ilvl w:val="0"/>
          <w:numId w:val="15"/>
        </w:numPr>
      </w:pPr>
      <w:bookmarkStart w:id="780" w:name="_Ref531872061"/>
      <w:r w:rsidRPr="00B47BDA">
        <w:t>Procjena potencijala za povećanje energetske učinkovitosti infrastrukture za električnu energiju, EIHP, 2016.</w:t>
      </w:r>
      <w:bookmarkEnd w:id="780"/>
    </w:p>
    <w:p w14:paraId="421E9FA2" w14:textId="5A110DD4" w:rsidR="00240E85" w:rsidRPr="00B47BDA" w:rsidRDefault="00B01FEC" w:rsidP="004623DD">
      <w:pPr>
        <w:pStyle w:val="ListParagraph"/>
        <w:numPr>
          <w:ilvl w:val="0"/>
          <w:numId w:val="15"/>
        </w:numPr>
      </w:pPr>
      <w:bookmarkStart w:id="781" w:name="_Ref531628971"/>
      <w:bookmarkStart w:id="782" w:name="_Ref11839960"/>
      <w:r w:rsidRPr="00B47BDA">
        <w:t>Dugoročn</w:t>
      </w:r>
      <w:r w:rsidR="006A222F" w:rsidRPr="00B47BDA">
        <w:t>a</w:t>
      </w:r>
      <w:r w:rsidRPr="00B47BDA">
        <w:t xml:space="preserve"> </w:t>
      </w:r>
      <w:r w:rsidR="006A222F" w:rsidRPr="00B47BDA">
        <w:t xml:space="preserve">strategija </w:t>
      </w:r>
      <w:r w:rsidR="00CF7ED3">
        <w:t>obnove</w:t>
      </w:r>
      <w:r w:rsidRPr="00B47BDA">
        <w:t xml:space="preserve"> nacionalnog fonda zgrada Republike Hrvatske, </w:t>
      </w:r>
      <w:r w:rsidR="009F1C94">
        <w:t>MPGI</w:t>
      </w:r>
      <w:r w:rsidRPr="00B47BDA">
        <w:t>, 2017</w:t>
      </w:r>
      <w:r w:rsidR="00177508" w:rsidRPr="00B47BDA">
        <w:t>.</w:t>
      </w:r>
      <w:bookmarkEnd w:id="781"/>
      <w:bookmarkEnd w:id="782"/>
    </w:p>
    <w:p w14:paraId="34FDCA4C" w14:textId="14B3464E" w:rsidR="00184F37" w:rsidRPr="00B47BDA" w:rsidRDefault="00184F37" w:rsidP="004623DD">
      <w:pPr>
        <w:pStyle w:val="ListParagraph"/>
        <w:numPr>
          <w:ilvl w:val="0"/>
          <w:numId w:val="15"/>
        </w:numPr>
      </w:pPr>
      <w:bookmarkStart w:id="783" w:name="_Ref531862952"/>
      <w:bookmarkStart w:id="784" w:name="_Ref5966480"/>
      <w:r w:rsidRPr="63259912">
        <w:t>World Energy Outlook 20</w:t>
      </w:r>
      <w:bookmarkEnd w:id="783"/>
      <w:r w:rsidR="00CC3757" w:rsidRPr="63259912">
        <w:t>22</w:t>
      </w:r>
      <w:r w:rsidR="00D47AA4" w:rsidRPr="63259912">
        <w:t xml:space="preserve">, International Energy Agency, </w:t>
      </w:r>
      <w:r w:rsidR="005C61F7" w:rsidRPr="63259912">
        <w:t>20</w:t>
      </w:r>
      <w:r w:rsidR="00CC3757" w:rsidRPr="63259912">
        <w:t>22</w:t>
      </w:r>
      <w:r w:rsidR="005C61F7" w:rsidRPr="63259912">
        <w:t>.</w:t>
      </w:r>
      <w:bookmarkEnd w:id="784"/>
    </w:p>
    <w:p w14:paraId="3AED6364" w14:textId="795DC335" w:rsidR="00BA11DD" w:rsidRDefault="00BA11DD" w:rsidP="004623DD">
      <w:pPr>
        <w:pStyle w:val="ListParagraph"/>
        <w:numPr>
          <w:ilvl w:val="0"/>
          <w:numId w:val="15"/>
        </w:numPr>
      </w:pPr>
      <w:r w:rsidRPr="63259912">
        <w:t xml:space="preserve">Program energetske učinkovitosti za dekarbonizaciju energetskog sektora, Zagreb, studeni 2021. </w:t>
      </w:r>
    </w:p>
    <w:p w14:paraId="0E9E52D8" w14:textId="2F01CDE9" w:rsidR="00DE41C8" w:rsidRPr="00B47BDA" w:rsidRDefault="00DE41C8" w:rsidP="004623DD"/>
    <w:p w14:paraId="0663C9F8" w14:textId="2EFB04E7" w:rsidR="00BD3EBC" w:rsidRPr="00B47BDA" w:rsidRDefault="00210967" w:rsidP="001B6A5D">
      <w:pPr>
        <w:pStyle w:val="Heading1"/>
        <w:numPr>
          <w:ilvl w:val="0"/>
          <w:numId w:val="175"/>
        </w:numPr>
      </w:pPr>
      <w:bookmarkStart w:id="785" w:name="_Toc187418375"/>
      <w:bookmarkStart w:id="786" w:name="_Toc193043300"/>
      <w:bookmarkStart w:id="787" w:name="_Toc531935275"/>
      <w:bookmarkStart w:id="788" w:name="_Toc531945137"/>
      <w:bookmarkStart w:id="789" w:name="_Toc6302395"/>
      <w:r w:rsidRPr="00B47BDA">
        <w:lastRenderedPageBreak/>
        <w:t>POPIS SLIKA</w:t>
      </w:r>
      <w:bookmarkEnd w:id="785"/>
      <w:bookmarkEnd w:id="786"/>
    </w:p>
    <w:bookmarkEnd w:id="787"/>
    <w:bookmarkEnd w:id="788"/>
    <w:bookmarkEnd w:id="789"/>
    <w:p w14:paraId="77653701" w14:textId="6B18A1BF" w:rsidR="00A028FE" w:rsidRDefault="00921CA5">
      <w:pPr>
        <w:pStyle w:val="TableofFigures"/>
        <w:rPr>
          <w:rFonts w:asciiTheme="minorHAnsi" w:hAnsiTheme="minorHAnsi" w:cstheme="minorBidi"/>
          <w:noProof/>
          <w:kern w:val="2"/>
          <w:lang w:val="en-GB"/>
          <w14:ligatures w14:val="standardContextual"/>
        </w:rPr>
      </w:pPr>
      <w:r>
        <w:fldChar w:fldCharType="begin"/>
      </w:r>
      <w:r>
        <w:instrText xml:space="preserve"> TOC \h \z \c "Slika" </w:instrText>
      </w:r>
      <w:r>
        <w:fldChar w:fldCharType="separate"/>
      </w:r>
      <w:hyperlink w:anchor="_Toc193035873" w:history="1">
        <w:r w:rsidR="00A028FE" w:rsidRPr="00832286">
          <w:rPr>
            <w:rStyle w:val="Hyperlink"/>
          </w:rPr>
          <w:t>Slika 1–1. Osnovni pokazatelji razvoja potrošnje energije i ekonomski pokazatelji u RH u razdoblju 2017. - 2022. godine</w:t>
        </w:r>
        <w:r w:rsidR="00A028FE">
          <w:rPr>
            <w:noProof/>
            <w:webHidden/>
          </w:rPr>
          <w:tab/>
        </w:r>
        <w:r w:rsidR="00A028FE">
          <w:rPr>
            <w:noProof/>
            <w:webHidden/>
          </w:rPr>
          <w:fldChar w:fldCharType="begin"/>
        </w:r>
        <w:r w:rsidR="00A028FE">
          <w:rPr>
            <w:noProof/>
            <w:webHidden/>
          </w:rPr>
          <w:instrText xml:space="preserve"> PAGEREF _Toc193035873 \h </w:instrText>
        </w:r>
        <w:r w:rsidR="00A028FE">
          <w:rPr>
            <w:noProof/>
            <w:webHidden/>
          </w:rPr>
        </w:r>
        <w:r w:rsidR="00A028FE">
          <w:rPr>
            <w:noProof/>
            <w:webHidden/>
          </w:rPr>
          <w:fldChar w:fldCharType="separate"/>
        </w:r>
        <w:r w:rsidR="00DB579D">
          <w:rPr>
            <w:noProof/>
            <w:webHidden/>
          </w:rPr>
          <w:t>17</w:t>
        </w:r>
        <w:r w:rsidR="00A028FE">
          <w:rPr>
            <w:noProof/>
            <w:webHidden/>
          </w:rPr>
          <w:fldChar w:fldCharType="end"/>
        </w:r>
      </w:hyperlink>
    </w:p>
    <w:p w14:paraId="00FC204C" w14:textId="3B1F5339" w:rsidR="00A028FE" w:rsidRDefault="00A028FE">
      <w:pPr>
        <w:pStyle w:val="TableofFigures"/>
        <w:rPr>
          <w:rFonts w:asciiTheme="minorHAnsi" w:hAnsiTheme="minorHAnsi" w:cstheme="minorBidi"/>
          <w:noProof/>
          <w:kern w:val="2"/>
          <w:lang w:val="en-GB"/>
          <w14:ligatures w14:val="standardContextual"/>
        </w:rPr>
      </w:pPr>
      <w:hyperlink w:anchor="_Toc193035874" w:history="1">
        <w:r w:rsidRPr="00832286">
          <w:rPr>
            <w:rStyle w:val="Hyperlink"/>
          </w:rPr>
          <w:t>Slika 1–2. Proizvodnja primarne energije</w:t>
        </w:r>
        <w:r>
          <w:rPr>
            <w:noProof/>
            <w:webHidden/>
          </w:rPr>
          <w:tab/>
        </w:r>
        <w:r>
          <w:rPr>
            <w:noProof/>
            <w:webHidden/>
          </w:rPr>
          <w:fldChar w:fldCharType="begin"/>
        </w:r>
        <w:r>
          <w:rPr>
            <w:noProof/>
            <w:webHidden/>
          </w:rPr>
          <w:instrText xml:space="preserve"> PAGEREF _Toc193035874 \h </w:instrText>
        </w:r>
        <w:r>
          <w:rPr>
            <w:noProof/>
            <w:webHidden/>
          </w:rPr>
        </w:r>
        <w:r>
          <w:rPr>
            <w:noProof/>
            <w:webHidden/>
          </w:rPr>
          <w:fldChar w:fldCharType="separate"/>
        </w:r>
        <w:r w:rsidR="00DB579D">
          <w:rPr>
            <w:noProof/>
            <w:webHidden/>
          </w:rPr>
          <w:t>18</w:t>
        </w:r>
        <w:r>
          <w:rPr>
            <w:noProof/>
            <w:webHidden/>
          </w:rPr>
          <w:fldChar w:fldCharType="end"/>
        </w:r>
      </w:hyperlink>
    </w:p>
    <w:p w14:paraId="636FABB2" w14:textId="7A92A8C7" w:rsidR="00A028FE" w:rsidRDefault="00A028FE">
      <w:pPr>
        <w:pStyle w:val="TableofFigures"/>
        <w:rPr>
          <w:rFonts w:asciiTheme="minorHAnsi" w:hAnsiTheme="minorHAnsi" w:cstheme="minorBidi"/>
          <w:noProof/>
          <w:kern w:val="2"/>
          <w:lang w:val="en-GB"/>
          <w14:ligatures w14:val="standardContextual"/>
        </w:rPr>
      </w:pPr>
      <w:hyperlink w:anchor="_Toc193035875" w:history="1">
        <w:r w:rsidRPr="00832286">
          <w:rPr>
            <w:rStyle w:val="Hyperlink"/>
          </w:rPr>
          <w:t>Slika 1–3. Uvoz energije u Republiku Hrvatsku</w:t>
        </w:r>
        <w:r>
          <w:rPr>
            <w:noProof/>
            <w:webHidden/>
          </w:rPr>
          <w:tab/>
        </w:r>
        <w:r>
          <w:rPr>
            <w:noProof/>
            <w:webHidden/>
          </w:rPr>
          <w:fldChar w:fldCharType="begin"/>
        </w:r>
        <w:r>
          <w:rPr>
            <w:noProof/>
            <w:webHidden/>
          </w:rPr>
          <w:instrText xml:space="preserve"> PAGEREF _Toc193035875 \h </w:instrText>
        </w:r>
        <w:r>
          <w:rPr>
            <w:noProof/>
            <w:webHidden/>
          </w:rPr>
        </w:r>
        <w:r>
          <w:rPr>
            <w:noProof/>
            <w:webHidden/>
          </w:rPr>
          <w:fldChar w:fldCharType="separate"/>
        </w:r>
        <w:r w:rsidR="00DB579D">
          <w:rPr>
            <w:noProof/>
            <w:webHidden/>
          </w:rPr>
          <w:t>18</w:t>
        </w:r>
        <w:r>
          <w:rPr>
            <w:noProof/>
            <w:webHidden/>
          </w:rPr>
          <w:fldChar w:fldCharType="end"/>
        </w:r>
      </w:hyperlink>
    </w:p>
    <w:p w14:paraId="4E1AAC52" w14:textId="28DA02BF" w:rsidR="00A028FE" w:rsidRDefault="00A028FE">
      <w:pPr>
        <w:pStyle w:val="TableofFigures"/>
        <w:rPr>
          <w:rFonts w:asciiTheme="minorHAnsi" w:hAnsiTheme="minorHAnsi" w:cstheme="minorBidi"/>
          <w:noProof/>
          <w:kern w:val="2"/>
          <w:lang w:val="en-GB"/>
          <w14:ligatures w14:val="standardContextual"/>
        </w:rPr>
      </w:pPr>
      <w:hyperlink w:anchor="_Toc193035876" w:history="1">
        <w:r w:rsidRPr="00832286">
          <w:rPr>
            <w:rStyle w:val="Hyperlink"/>
          </w:rPr>
          <w:t>Slika 1–4. Ukupna potrošnja energije</w:t>
        </w:r>
        <w:r>
          <w:rPr>
            <w:noProof/>
            <w:webHidden/>
          </w:rPr>
          <w:tab/>
        </w:r>
        <w:r>
          <w:rPr>
            <w:noProof/>
            <w:webHidden/>
          </w:rPr>
          <w:fldChar w:fldCharType="begin"/>
        </w:r>
        <w:r>
          <w:rPr>
            <w:noProof/>
            <w:webHidden/>
          </w:rPr>
          <w:instrText xml:space="preserve"> PAGEREF _Toc193035876 \h </w:instrText>
        </w:r>
        <w:r>
          <w:rPr>
            <w:noProof/>
            <w:webHidden/>
          </w:rPr>
        </w:r>
        <w:r>
          <w:rPr>
            <w:noProof/>
            <w:webHidden/>
          </w:rPr>
          <w:fldChar w:fldCharType="separate"/>
        </w:r>
        <w:r w:rsidR="00DB579D">
          <w:rPr>
            <w:noProof/>
            <w:webHidden/>
          </w:rPr>
          <w:t>19</w:t>
        </w:r>
        <w:r>
          <w:rPr>
            <w:noProof/>
            <w:webHidden/>
          </w:rPr>
          <w:fldChar w:fldCharType="end"/>
        </w:r>
      </w:hyperlink>
    </w:p>
    <w:p w14:paraId="7051B73A" w14:textId="01A3E0C5" w:rsidR="00A028FE" w:rsidRDefault="00A028FE">
      <w:pPr>
        <w:pStyle w:val="TableofFigures"/>
        <w:rPr>
          <w:rFonts w:asciiTheme="minorHAnsi" w:hAnsiTheme="minorHAnsi" w:cstheme="minorBidi"/>
          <w:noProof/>
          <w:kern w:val="2"/>
          <w:lang w:val="en-GB"/>
          <w14:ligatures w14:val="standardContextual"/>
        </w:rPr>
      </w:pPr>
      <w:hyperlink w:anchor="_Toc193035877" w:history="1">
        <w:r w:rsidRPr="00832286">
          <w:rPr>
            <w:rStyle w:val="Hyperlink"/>
          </w:rPr>
          <w:t>Slika 1–5. Kretanje ostvarene potrošnje energije u razdoblju od 2014. do 2020. godine te projekcije potrošnje od 2021. do 2030. godine s postojećim mjerama</w:t>
        </w:r>
        <w:r>
          <w:rPr>
            <w:noProof/>
            <w:webHidden/>
          </w:rPr>
          <w:tab/>
        </w:r>
        <w:r>
          <w:rPr>
            <w:noProof/>
            <w:webHidden/>
          </w:rPr>
          <w:fldChar w:fldCharType="begin"/>
        </w:r>
        <w:r>
          <w:rPr>
            <w:noProof/>
            <w:webHidden/>
          </w:rPr>
          <w:instrText xml:space="preserve"> PAGEREF _Toc193035877 \h </w:instrText>
        </w:r>
        <w:r>
          <w:rPr>
            <w:noProof/>
            <w:webHidden/>
          </w:rPr>
        </w:r>
        <w:r>
          <w:rPr>
            <w:noProof/>
            <w:webHidden/>
          </w:rPr>
          <w:fldChar w:fldCharType="separate"/>
        </w:r>
        <w:r w:rsidR="00DB579D">
          <w:rPr>
            <w:noProof/>
            <w:webHidden/>
          </w:rPr>
          <w:t>44</w:t>
        </w:r>
        <w:r>
          <w:rPr>
            <w:noProof/>
            <w:webHidden/>
          </w:rPr>
          <w:fldChar w:fldCharType="end"/>
        </w:r>
      </w:hyperlink>
    </w:p>
    <w:p w14:paraId="09EF2C6D" w14:textId="1F1FAC8B" w:rsidR="00A028FE" w:rsidRDefault="00A028FE">
      <w:pPr>
        <w:pStyle w:val="TableofFigures"/>
        <w:rPr>
          <w:rFonts w:asciiTheme="minorHAnsi" w:hAnsiTheme="minorHAnsi" w:cstheme="minorBidi"/>
          <w:noProof/>
          <w:kern w:val="2"/>
          <w:lang w:val="en-GB"/>
          <w14:ligatures w14:val="standardContextual"/>
        </w:rPr>
      </w:pPr>
      <w:hyperlink w:anchor="_Toc193035878" w:history="1">
        <w:r w:rsidRPr="00832286">
          <w:rPr>
            <w:rStyle w:val="Hyperlink"/>
          </w:rPr>
          <w:t>Slika 2–1. Indikativna putanja udjela OIE u bruto neposrednoj potrošnji energije</w:t>
        </w:r>
        <w:r>
          <w:rPr>
            <w:noProof/>
            <w:webHidden/>
          </w:rPr>
          <w:tab/>
        </w:r>
        <w:r>
          <w:rPr>
            <w:noProof/>
            <w:webHidden/>
          </w:rPr>
          <w:fldChar w:fldCharType="begin"/>
        </w:r>
        <w:r>
          <w:rPr>
            <w:noProof/>
            <w:webHidden/>
          </w:rPr>
          <w:instrText xml:space="preserve"> PAGEREF _Toc193035878 \h </w:instrText>
        </w:r>
        <w:r>
          <w:rPr>
            <w:noProof/>
            <w:webHidden/>
          </w:rPr>
        </w:r>
        <w:r>
          <w:rPr>
            <w:noProof/>
            <w:webHidden/>
          </w:rPr>
          <w:fldChar w:fldCharType="separate"/>
        </w:r>
        <w:r w:rsidR="00DB579D">
          <w:rPr>
            <w:noProof/>
            <w:webHidden/>
          </w:rPr>
          <w:t>80</w:t>
        </w:r>
        <w:r>
          <w:rPr>
            <w:noProof/>
            <w:webHidden/>
          </w:rPr>
          <w:fldChar w:fldCharType="end"/>
        </w:r>
      </w:hyperlink>
    </w:p>
    <w:p w14:paraId="37880AEB" w14:textId="7C92AFC6" w:rsidR="00A028FE" w:rsidRDefault="00A028FE">
      <w:pPr>
        <w:pStyle w:val="TableofFigures"/>
        <w:rPr>
          <w:rFonts w:asciiTheme="minorHAnsi" w:hAnsiTheme="minorHAnsi" w:cstheme="minorBidi"/>
          <w:noProof/>
          <w:kern w:val="2"/>
          <w:lang w:val="en-GB"/>
          <w14:ligatures w14:val="standardContextual"/>
        </w:rPr>
      </w:pPr>
      <w:hyperlink w:anchor="_Toc193035879" w:history="1">
        <w:r w:rsidRPr="00832286">
          <w:rPr>
            <w:rStyle w:val="Hyperlink"/>
          </w:rPr>
          <w:t>Slika 2–2. Indikativna putanja udjela OIE u bruto neposrednoj potrošnji električne energije</w:t>
        </w:r>
        <w:r>
          <w:rPr>
            <w:noProof/>
            <w:webHidden/>
          </w:rPr>
          <w:tab/>
        </w:r>
        <w:r>
          <w:rPr>
            <w:noProof/>
            <w:webHidden/>
          </w:rPr>
          <w:fldChar w:fldCharType="begin"/>
        </w:r>
        <w:r>
          <w:rPr>
            <w:noProof/>
            <w:webHidden/>
          </w:rPr>
          <w:instrText xml:space="preserve"> PAGEREF _Toc193035879 \h </w:instrText>
        </w:r>
        <w:r>
          <w:rPr>
            <w:noProof/>
            <w:webHidden/>
          </w:rPr>
        </w:r>
        <w:r>
          <w:rPr>
            <w:noProof/>
            <w:webHidden/>
          </w:rPr>
          <w:fldChar w:fldCharType="separate"/>
        </w:r>
        <w:r w:rsidR="00DB579D">
          <w:rPr>
            <w:noProof/>
            <w:webHidden/>
          </w:rPr>
          <w:t>81</w:t>
        </w:r>
        <w:r>
          <w:rPr>
            <w:noProof/>
            <w:webHidden/>
          </w:rPr>
          <w:fldChar w:fldCharType="end"/>
        </w:r>
      </w:hyperlink>
    </w:p>
    <w:p w14:paraId="7917B17C" w14:textId="5946C3C5" w:rsidR="00A028FE" w:rsidRDefault="00A028FE">
      <w:pPr>
        <w:pStyle w:val="TableofFigures"/>
        <w:rPr>
          <w:rFonts w:asciiTheme="minorHAnsi" w:hAnsiTheme="minorHAnsi" w:cstheme="minorBidi"/>
          <w:noProof/>
          <w:kern w:val="2"/>
          <w:lang w:val="en-GB"/>
          <w14:ligatures w14:val="standardContextual"/>
        </w:rPr>
      </w:pPr>
      <w:hyperlink w:anchor="_Toc193035880" w:history="1">
        <w:r w:rsidRPr="00832286">
          <w:rPr>
            <w:rStyle w:val="Hyperlink"/>
          </w:rPr>
          <w:t>Slika 2–3. Indikativna putanja udjela OIE u grijanju i hlađenju</w:t>
        </w:r>
        <w:r>
          <w:rPr>
            <w:noProof/>
            <w:webHidden/>
          </w:rPr>
          <w:tab/>
        </w:r>
        <w:r>
          <w:rPr>
            <w:noProof/>
            <w:webHidden/>
          </w:rPr>
          <w:fldChar w:fldCharType="begin"/>
        </w:r>
        <w:r>
          <w:rPr>
            <w:noProof/>
            <w:webHidden/>
          </w:rPr>
          <w:instrText xml:space="preserve"> PAGEREF _Toc193035880 \h </w:instrText>
        </w:r>
        <w:r>
          <w:rPr>
            <w:noProof/>
            <w:webHidden/>
          </w:rPr>
        </w:r>
        <w:r>
          <w:rPr>
            <w:noProof/>
            <w:webHidden/>
          </w:rPr>
          <w:fldChar w:fldCharType="separate"/>
        </w:r>
        <w:r w:rsidR="00DB579D">
          <w:rPr>
            <w:noProof/>
            <w:webHidden/>
          </w:rPr>
          <w:t>81</w:t>
        </w:r>
        <w:r>
          <w:rPr>
            <w:noProof/>
            <w:webHidden/>
          </w:rPr>
          <w:fldChar w:fldCharType="end"/>
        </w:r>
      </w:hyperlink>
    </w:p>
    <w:p w14:paraId="1D00D344" w14:textId="5681046C" w:rsidR="00A028FE" w:rsidRDefault="00A028FE">
      <w:pPr>
        <w:pStyle w:val="TableofFigures"/>
        <w:rPr>
          <w:rFonts w:asciiTheme="minorHAnsi" w:hAnsiTheme="minorHAnsi" w:cstheme="minorBidi"/>
          <w:noProof/>
          <w:kern w:val="2"/>
          <w:lang w:val="en-GB"/>
          <w14:ligatures w14:val="standardContextual"/>
        </w:rPr>
      </w:pPr>
      <w:hyperlink w:anchor="_Toc193035881" w:history="1">
        <w:r w:rsidRPr="00832286">
          <w:rPr>
            <w:rStyle w:val="Hyperlink"/>
          </w:rPr>
          <w:t>Slika 2–4. Indikativna putanja udjela OIE u sustavima centraliziranog grijanja i hlađenja</w:t>
        </w:r>
        <w:r>
          <w:rPr>
            <w:noProof/>
            <w:webHidden/>
          </w:rPr>
          <w:tab/>
        </w:r>
        <w:r>
          <w:rPr>
            <w:noProof/>
            <w:webHidden/>
          </w:rPr>
          <w:fldChar w:fldCharType="begin"/>
        </w:r>
        <w:r>
          <w:rPr>
            <w:noProof/>
            <w:webHidden/>
          </w:rPr>
          <w:instrText xml:space="preserve"> PAGEREF _Toc193035881 \h </w:instrText>
        </w:r>
        <w:r>
          <w:rPr>
            <w:noProof/>
            <w:webHidden/>
          </w:rPr>
        </w:r>
        <w:r>
          <w:rPr>
            <w:noProof/>
            <w:webHidden/>
          </w:rPr>
          <w:fldChar w:fldCharType="separate"/>
        </w:r>
        <w:r w:rsidR="00DB579D">
          <w:rPr>
            <w:noProof/>
            <w:webHidden/>
          </w:rPr>
          <w:t>82</w:t>
        </w:r>
        <w:r>
          <w:rPr>
            <w:noProof/>
            <w:webHidden/>
          </w:rPr>
          <w:fldChar w:fldCharType="end"/>
        </w:r>
      </w:hyperlink>
    </w:p>
    <w:p w14:paraId="43B59CDD" w14:textId="6BDF3B54" w:rsidR="00A028FE" w:rsidRDefault="00A028FE">
      <w:pPr>
        <w:pStyle w:val="TableofFigures"/>
        <w:rPr>
          <w:rFonts w:asciiTheme="minorHAnsi" w:hAnsiTheme="minorHAnsi" w:cstheme="minorBidi"/>
          <w:noProof/>
          <w:kern w:val="2"/>
          <w:lang w:val="en-GB"/>
          <w14:ligatures w14:val="standardContextual"/>
        </w:rPr>
      </w:pPr>
      <w:hyperlink w:anchor="_Toc193035882" w:history="1">
        <w:r w:rsidRPr="00832286">
          <w:rPr>
            <w:rStyle w:val="Hyperlink"/>
          </w:rPr>
          <w:t>Slika 2–5. Indikativna putanja udjela OIE u industriji</w:t>
        </w:r>
        <w:r>
          <w:rPr>
            <w:noProof/>
            <w:webHidden/>
          </w:rPr>
          <w:tab/>
        </w:r>
        <w:r>
          <w:rPr>
            <w:noProof/>
            <w:webHidden/>
          </w:rPr>
          <w:fldChar w:fldCharType="begin"/>
        </w:r>
        <w:r>
          <w:rPr>
            <w:noProof/>
            <w:webHidden/>
          </w:rPr>
          <w:instrText xml:space="preserve"> PAGEREF _Toc193035882 \h </w:instrText>
        </w:r>
        <w:r>
          <w:rPr>
            <w:noProof/>
            <w:webHidden/>
          </w:rPr>
        </w:r>
        <w:r>
          <w:rPr>
            <w:noProof/>
            <w:webHidden/>
          </w:rPr>
          <w:fldChar w:fldCharType="separate"/>
        </w:r>
        <w:r w:rsidR="00DB579D">
          <w:rPr>
            <w:noProof/>
            <w:webHidden/>
          </w:rPr>
          <w:t>82</w:t>
        </w:r>
        <w:r>
          <w:rPr>
            <w:noProof/>
            <w:webHidden/>
          </w:rPr>
          <w:fldChar w:fldCharType="end"/>
        </w:r>
      </w:hyperlink>
    </w:p>
    <w:p w14:paraId="294F96DD" w14:textId="73F74B3E" w:rsidR="00A028FE" w:rsidRDefault="00A028FE">
      <w:pPr>
        <w:pStyle w:val="TableofFigures"/>
        <w:rPr>
          <w:rFonts w:asciiTheme="minorHAnsi" w:hAnsiTheme="minorHAnsi" w:cstheme="minorBidi"/>
          <w:noProof/>
          <w:kern w:val="2"/>
          <w:lang w:val="en-GB"/>
          <w14:ligatures w14:val="standardContextual"/>
        </w:rPr>
      </w:pPr>
      <w:hyperlink w:anchor="_Toc193035883" w:history="1">
        <w:r w:rsidRPr="00832286">
          <w:rPr>
            <w:rStyle w:val="Hyperlink"/>
          </w:rPr>
          <w:t>Slika 2–6. Indikativna putanja udjela OIE u sektorima kućanstva i usluga (zgradarstvo)</w:t>
        </w:r>
        <w:r>
          <w:rPr>
            <w:noProof/>
            <w:webHidden/>
          </w:rPr>
          <w:tab/>
        </w:r>
        <w:r>
          <w:rPr>
            <w:noProof/>
            <w:webHidden/>
          </w:rPr>
          <w:fldChar w:fldCharType="begin"/>
        </w:r>
        <w:r>
          <w:rPr>
            <w:noProof/>
            <w:webHidden/>
          </w:rPr>
          <w:instrText xml:space="preserve"> PAGEREF _Toc193035883 \h </w:instrText>
        </w:r>
        <w:r>
          <w:rPr>
            <w:noProof/>
            <w:webHidden/>
          </w:rPr>
        </w:r>
        <w:r>
          <w:rPr>
            <w:noProof/>
            <w:webHidden/>
          </w:rPr>
          <w:fldChar w:fldCharType="separate"/>
        </w:r>
        <w:r w:rsidR="00DB579D">
          <w:rPr>
            <w:noProof/>
            <w:webHidden/>
          </w:rPr>
          <w:t>83</w:t>
        </w:r>
        <w:r>
          <w:rPr>
            <w:noProof/>
            <w:webHidden/>
          </w:rPr>
          <w:fldChar w:fldCharType="end"/>
        </w:r>
      </w:hyperlink>
    </w:p>
    <w:p w14:paraId="6D5B682F" w14:textId="6239B357" w:rsidR="00A028FE" w:rsidRDefault="00A028FE">
      <w:pPr>
        <w:pStyle w:val="TableofFigures"/>
        <w:rPr>
          <w:rFonts w:asciiTheme="minorHAnsi" w:hAnsiTheme="minorHAnsi" w:cstheme="minorBidi"/>
          <w:noProof/>
          <w:kern w:val="2"/>
          <w:lang w:val="en-GB"/>
          <w14:ligatures w14:val="standardContextual"/>
        </w:rPr>
      </w:pPr>
      <w:hyperlink w:anchor="_Toc193035884" w:history="1">
        <w:r w:rsidRPr="00832286">
          <w:rPr>
            <w:rStyle w:val="Hyperlink"/>
          </w:rPr>
          <w:t>Slika 2–7. Indikativna putanja udjela OIE u prometu</w:t>
        </w:r>
        <w:r>
          <w:rPr>
            <w:noProof/>
            <w:webHidden/>
          </w:rPr>
          <w:tab/>
        </w:r>
        <w:r>
          <w:rPr>
            <w:noProof/>
            <w:webHidden/>
          </w:rPr>
          <w:fldChar w:fldCharType="begin"/>
        </w:r>
        <w:r>
          <w:rPr>
            <w:noProof/>
            <w:webHidden/>
          </w:rPr>
          <w:instrText xml:space="preserve"> PAGEREF _Toc193035884 \h </w:instrText>
        </w:r>
        <w:r>
          <w:rPr>
            <w:noProof/>
            <w:webHidden/>
          </w:rPr>
        </w:r>
        <w:r>
          <w:rPr>
            <w:noProof/>
            <w:webHidden/>
          </w:rPr>
          <w:fldChar w:fldCharType="separate"/>
        </w:r>
        <w:r w:rsidR="00DB579D">
          <w:rPr>
            <w:noProof/>
            <w:webHidden/>
          </w:rPr>
          <w:t>83</w:t>
        </w:r>
        <w:r>
          <w:rPr>
            <w:noProof/>
            <w:webHidden/>
          </w:rPr>
          <w:fldChar w:fldCharType="end"/>
        </w:r>
      </w:hyperlink>
    </w:p>
    <w:p w14:paraId="66B8D359" w14:textId="0D7ABDCD" w:rsidR="00A028FE" w:rsidRDefault="00A028FE">
      <w:pPr>
        <w:pStyle w:val="TableofFigures"/>
        <w:rPr>
          <w:rFonts w:asciiTheme="minorHAnsi" w:hAnsiTheme="minorHAnsi" w:cstheme="minorBidi"/>
          <w:noProof/>
          <w:kern w:val="2"/>
          <w:lang w:val="en-GB"/>
          <w14:ligatures w14:val="standardContextual"/>
        </w:rPr>
      </w:pPr>
      <w:hyperlink w:anchor="_Toc193035885" w:history="1">
        <w:r w:rsidRPr="00832286">
          <w:rPr>
            <w:rStyle w:val="Hyperlink"/>
          </w:rPr>
          <w:t>Slika 2–8. Nacionalni cilj za obnovljivu energiju u prijevozu i udio obveznika za razdoblje od 2023. do 2030. godine</w:t>
        </w:r>
        <w:r>
          <w:rPr>
            <w:noProof/>
            <w:webHidden/>
          </w:rPr>
          <w:tab/>
        </w:r>
        <w:r>
          <w:rPr>
            <w:noProof/>
            <w:webHidden/>
          </w:rPr>
          <w:fldChar w:fldCharType="begin"/>
        </w:r>
        <w:r>
          <w:rPr>
            <w:noProof/>
            <w:webHidden/>
          </w:rPr>
          <w:instrText xml:space="preserve"> PAGEREF _Toc193035885 \h </w:instrText>
        </w:r>
        <w:r>
          <w:rPr>
            <w:noProof/>
            <w:webHidden/>
          </w:rPr>
        </w:r>
        <w:r>
          <w:rPr>
            <w:noProof/>
            <w:webHidden/>
          </w:rPr>
          <w:fldChar w:fldCharType="separate"/>
        </w:r>
        <w:r w:rsidR="00DB579D">
          <w:rPr>
            <w:noProof/>
            <w:webHidden/>
          </w:rPr>
          <w:t>85</w:t>
        </w:r>
        <w:r>
          <w:rPr>
            <w:noProof/>
            <w:webHidden/>
          </w:rPr>
          <w:fldChar w:fldCharType="end"/>
        </w:r>
      </w:hyperlink>
    </w:p>
    <w:p w14:paraId="5B90FC56" w14:textId="4CF4D587" w:rsidR="00A028FE" w:rsidRDefault="00A028FE">
      <w:pPr>
        <w:pStyle w:val="TableofFigures"/>
        <w:rPr>
          <w:rFonts w:asciiTheme="minorHAnsi" w:hAnsiTheme="minorHAnsi" w:cstheme="minorBidi"/>
          <w:noProof/>
          <w:kern w:val="2"/>
          <w:lang w:val="en-GB"/>
          <w14:ligatures w14:val="standardContextual"/>
        </w:rPr>
      </w:pPr>
      <w:hyperlink w:anchor="_Toc193035886" w:history="1">
        <w:r w:rsidRPr="00832286">
          <w:rPr>
            <w:rStyle w:val="Hyperlink"/>
          </w:rPr>
          <w:t>Slika 2–9. Indikativna putanja korištenja OIE u sektoru zgradarstva</w:t>
        </w:r>
        <w:r>
          <w:rPr>
            <w:noProof/>
            <w:webHidden/>
          </w:rPr>
          <w:tab/>
        </w:r>
        <w:r>
          <w:rPr>
            <w:noProof/>
            <w:webHidden/>
          </w:rPr>
          <w:fldChar w:fldCharType="begin"/>
        </w:r>
        <w:r>
          <w:rPr>
            <w:noProof/>
            <w:webHidden/>
          </w:rPr>
          <w:instrText xml:space="preserve"> PAGEREF _Toc193035886 \h </w:instrText>
        </w:r>
        <w:r>
          <w:rPr>
            <w:noProof/>
            <w:webHidden/>
          </w:rPr>
        </w:r>
        <w:r>
          <w:rPr>
            <w:noProof/>
            <w:webHidden/>
          </w:rPr>
          <w:fldChar w:fldCharType="separate"/>
        </w:r>
        <w:r w:rsidR="00DB579D">
          <w:rPr>
            <w:noProof/>
            <w:webHidden/>
          </w:rPr>
          <w:t>85</w:t>
        </w:r>
        <w:r>
          <w:rPr>
            <w:noProof/>
            <w:webHidden/>
          </w:rPr>
          <w:fldChar w:fldCharType="end"/>
        </w:r>
      </w:hyperlink>
    </w:p>
    <w:p w14:paraId="642D4482" w14:textId="4D3D5EBB" w:rsidR="00A028FE" w:rsidRDefault="00A028FE">
      <w:pPr>
        <w:pStyle w:val="TableofFigures"/>
        <w:rPr>
          <w:rFonts w:asciiTheme="minorHAnsi" w:hAnsiTheme="minorHAnsi" w:cstheme="minorBidi"/>
          <w:noProof/>
          <w:kern w:val="2"/>
          <w:lang w:val="en-GB"/>
          <w14:ligatures w14:val="standardContextual"/>
        </w:rPr>
      </w:pPr>
      <w:hyperlink w:anchor="_Toc193035887" w:history="1">
        <w:r w:rsidRPr="00832286">
          <w:rPr>
            <w:rStyle w:val="Hyperlink"/>
          </w:rPr>
          <w:t>Slika 2–10. Indikativna putanja korištenja OIE u sektoru industrije</w:t>
        </w:r>
        <w:r>
          <w:rPr>
            <w:noProof/>
            <w:webHidden/>
          </w:rPr>
          <w:tab/>
        </w:r>
        <w:r>
          <w:rPr>
            <w:noProof/>
            <w:webHidden/>
          </w:rPr>
          <w:fldChar w:fldCharType="begin"/>
        </w:r>
        <w:r>
          <w:rPr>
            <w:noProof/>
            <w:webHidden/>
          </w:rPr>
          <w:instrText xml:space="preserve"> PAGEREF _Toc193035887 \h </w:instrText>
        </w:r>
        <w:r>
          <w:rPr>
            <w:noProof/>
            <w:webHidden/>
          </w:rPr>
        </w:r>
        <w:r>
          <w:rPr>
            <w:noProof/>
            <w:webHidden/>
          </w:rPr>
          <w:fldChar w:fldCharType="separate"/>
        </w:r>
        <w:r w:rsidR="00DB579D">
          <w:rPr>
            <w:noProof/>
            <w:webHidden/>
          </w:rPr>
          <w:t>86</w:t>
        </w:r>
        <w:r>
          <w:rPr>
            <w:noProof/>
            <w:webHidden/>
          </w:rPr>
          <w:fldChar w:fldCharType="end"/>
        </w:r>
      </w:hyperlink>
    </w:p>
    <w:p w14:paraId="37AA2431" w14:textId="5B759E4F" w:rsidR="00A028FE" w:rsidRDefault="00A028FE">
      <w:pPr>
        <w:pStyle w:val="TableofFigures"/>
        <w:rPr>
          <w:rFonts w:asciiTheme="minorHAnsi" w:hAnsiTheme="minorHAnsi" w:cstheme="minorBidi"/>
          <w:noProof/>
          <w:kern w:val="2"/>
          <w:lang w:val="en-GB"/>
          <w14:ligatures w14:val="standardContextual"/>
        </w:rPr>
      </w:pPr>
      <w:hyperlink w:anchor="_Toc193035888" w:history="1">
        <w:r w:rsidRPr="00832286">
          <w:rPr>
            <w:rStyle w:val="Hyperlink"/>
          </w:rPr>
          <w:t>Slika 2–11. Ocijenjeni doprinosi OIE tehnologija po sektorima</w:t>
        </w:r>
        <w:r>
          <w:rPr>
            <w:noProof/>
            <w:webHidden/>
          </w:rPr>
          <w:tab/>
        </w:r>
        <w:r>
          <w:rPr>
            <w:noProof/>
            <w:webHidden/>
          </w:rPr>
          <w:fldChar w:fldCharType="begin"/>
        </w:r>
        <w:r>
          <w:rPr>
            <w:noProof/>
            <w:webHidden/>
          </w:rPr>
          <w:instrText xml:space="preserve"> PAGEREF _Toc193035888 \h </w:instrText>
        </w:r>
        <w:r>
          <w:rPr>
            <w:noProof/>
            <w:webHidden/>
          </w:rPr>
        </w:r>
        <w:r>
          <w:rPr>
            <w:noProof/>
            <w:webHidden/>
          </w:rPr>
          <w:fldChar w:fldCharType="separate"/>
        </w:r>
        <w:r w:rsidR="00DB579D">
          <w:rPr>
            <w:noProof/>
            <w:webHidden/>
          </w:rPr>
          <w:t>88</w:t>
        </w:r>
        <w:r>
          <w:rPr>
            <w:noProof/>
            <w:webHidden/>
          </w:rPr>
          <w:fldChar w:fldCharType="end"/>
        </w:r>
      </w:hyperlink>
    </w:p>
    <w:p w14:paraId="153B3409" w14:textId="005A9D92" w:rsidR="00A028FE" w:rsidRDefault="00A028FE">
      <w:pPr>
        <w:pStyle w:val="TableofFigures"/>
        <w:rPr>
          <w:rFonts w:asciiTheme="minorHAnsi" w:hAnsiTheme="minorHAnsi" w:cstheme="minorBidi"/>
          <w:noProof/>
          <w:kern w:val="2"/>
          <w:lang w:val="en-GB"/>
          <w14:ligatures w14:val="standardContextual"/>
        </w:rPr>
      </w:pPr>
      <w:hyperlink w:anchor="_Toc193035889" w:history="1">
        <w:r w:rsidRPr="00832286">
          <w:rPr>
            <w:rStyle w:val="Hyperlink"/>
          </w:rPr>
          <w:t>Slika 2–12. Očekivana snaga elektrana u scenariju s dodatnim (WAM) mjerama</w:t>
        </w:r>
        <w:r>
          <w:rPr>
            <w:noProof/>
            <w:webHidden/>
          </w:rPr>
          <w:tab/>
        </w:r>
        <w:r>
          <w:rPr>
            <w:noProof/>
            <w:webHidden/>
          </w:rPr>
          <w:fldChar w:fldCharType="begin"/>
        </w:r>
        <w:r>
          <w:rPr>
            <w:noProof/>
            <w:webHidden/>
          </w:rPr>
          <w:instrText xml:space="preserve"> PAGEREF _Toc193035889 \h </w:instrText>
        </w:r>
        <w:r>
          <w:rPr>
            <w:noProof/>
            <w:webHidden/>
          </w:rPr>
        </w:r>
        <w:r>
          <w:rPr>
            <w:noProof/>
            <w:webHidden/>
          </w:rPr>
          <w:fldChar w:fldCharType="separate"/>
        </w:r>
        <w:r w:rsidR="00DB579D">
          <w:rPr>
            <w:noProof/>
            <w:webHidden/>
          </w:rPr>
          <w:t>89</w:t>
        </w:r>
        <w:r>
          <w:rPr>
            <w:noProof/>
            <w:webHidden/>
          </w:rPr>
          <w:fldChar w:fldCharType="end"/>
        </w:r>
      </w:hyperlink>
    </w:p>
    <w:p w14:paraId="1B47F4A5" w14:textId="02C2A837" w:rsidR="00A028FE" w:rsidRDefault="00A028FE">
      <w:pPr>
        <w:pStyle w:val="TableofFigures"/>
        <w:rPr>
          <w:rFonts w:asciiTheme="minorHAnsi" w:hAnsiTheme="minorHAnsi" w:cstheme="minorBidi"/>
          <w:noProof/>
          <w:kern w:val="2"/>
          <w:lang w:val="en-GB"/>
          <w14:ligatures w14:val="standardContextual"/>
        </w:rPr>
      </w:pPr>
      <w:hyperlink w:anchor="_Toc193035890" w:history="1">
        <w:r w:rsidRPr="00832286">
          <w:rPr>
            <w:rStyle w:val="Hyperlink"/>
          </w:rPr>
          <w:t>Slika 2–13. Procijenjena putanja potražnje za energijom biomase</w:t>
        </w:r>
        <w:r>
          <w:rPr>
            <w:noProof/>
            <w:webHidden/>
          </w:rPr>
          <w:tab/>
        </w:r>
        <w:r>
          <w:rPr>
            <w:noProof/>
            <w:webHidden/>
          </w:rPr>
          <w:fldChar w:fldCharType="begin"/>
        </w:r>
        <w:r>
          <w:rPr>
            <w:noProof/>
            <w:webHidden/>
          </w:rPr>
          <w:instrText xml:space="preserve"> PAGEREF _Toc193035890 \h </w:instrText>
        </w:r>
        <w:r>
          <w:rPr>
            <w:noProof/>
            <w:webHidden/>
          </w:rPr>
        </w:r>
        <w:r>
          <w:rPr>
            <w:noProof/>
            <w:webHidden/>
          </w:rPr>
          <w:fldChar w:fldCharType="separate"/>
        </w:r>
        <w:r w:rsidR="00DB579D">
          <w:rPr>
            <w:noProof/>
            <w:webHidden/>
          </w:rPr>
          <w:t>91</w:t>
        </w:r>
        <w:r>
          <w:rPr>
            <w:noProof/>
            <w:webHidden/>
          </w:rPr>
          <w:fldChar w:fldCharType="end"/>
        </w:r>
      </w:hyperlink>
    </w:p>
    <w:p w14:paraId="32811A56" w14:textId="2F6E1042" w:rsidR="00A028FE" w:rsidRDefault="00A028FE">
      <w:pPr>
        <w:pStyle w:val="TableofFigures"/>
        <w:rPr>
          <w:rFonts w:asciiTheme="minorHAnsi" w:hAnsiTheme="minorHAnsi" w:cstheme="minorBidi"/>
          <w:noProof/>
          <w:kern w:val="2"/>
          <w:lang w:val="en-GB"/>
          <w14:ligatures w14:val="standardContextual"/>
        </w:rPr>
      </w:pPr>
      <w:hyperlink w:anchor="_Toc193035891" w:history="1">
        <w:r w:rsidRPr="00832286">
          <w:rPr>
            <w:rStyle w:val="Hyperlink"/>
          </w:rPr>
          <w:t>Slika 2–14. Procijenjena putanja potražnje za energijom krute biomase</w:t>
        </w:r>
        <w:r>
          <w:rPr>
            <w:noProof/>
            <w:webHidden/>
          </w:rPr>
          <w:tab/>
        </w:r>
        <w:r>
          <w:rPr>
            <w:noProof/>
            <w:webHidden/>
          </w:rPr>
          <w:fldChar w:fldCharType="begin"/>
        </w:r>
        <w:r>
          <w:rPr>
            <w:noProof/>
            <w:webHidden/>
          </w:rPr>
          <w:instrText xml:space="preserve"> PAGEREF _Toc193035891 \h </w:instrText>
        </w:r>
        <w:r>
          <w:rPr>
            <w:noProof/>
            <w:webHidden/>
          </w:rPr>
        </w:r>
        <w:r>
          <w:rPr>
            <w:noProof/>
            <w:webHidden/>
          </w:rPr>
          <w:fldChar w:fldCharType="separate"/>
        </w:r>
        <w:r w:rsidR="00DB579D">
          <w:rPr>
            <w:noProof/>
            <w:webHidden/>
          </w:rPr>
          <w:t>92</w:t>
        </w:r>
        <w:r>
          <w:rPr>
            <w:noProof/>
            <w:webHidden/>
          </w:rPr>
          <w:fldChar w:fldCharType="end"/>
        </w:r>
      </w:hyperlink>
    </w:p>
    <w:p w14:paraId="1DDC1828" w14:textId="787942F2" w:rsidR="00A028FE" w:rsidRDefault="00A028FE">
      <w:pPr>
        <w:pStyle w:val="TableofFigures"/>
        <w:rPr>
          <w:rFonts w:asciiTheme="minorHAnsi" w:hAnsiTheme="minorHAnsi" w:cstheme="minorBidi"/>
          <w:noProof/>
          <w:kern w:val="2"/>
          <w:lang w:val="en-GB"/>
          <w14:ligatures w14:val="standardContextual"/>
        </w:rPr>
      </w:pPr>
      <w:hyperlink w:anchor="_Toc193035892" w:history="1">
        <w:r w:rsidRPr="00832286">
          <w:rPr>
            <w:rStyle w:val="Hyperlink"/>
          </w:rPr>
          <w:t>Slika 2–15. Kretanje primarne i neposredne potrošnje energije u razdoblju od 2021. do 2030. godine</w:t>
        </w:r>
        <w:r>
          <w:rPr>
            <w:noProof/>
            <w:webHidden/>
          </w:rPr>
          <w:tab/>
        </w:r>
        <w:r>
          <w:rPr>
            <w:noProof/>
            <w:webHidden/>
          </w:rPr>
          <w:fldChar w:fldCharType="begin"/>
        </w:r>
        <w:r>
          <w:rPr>
            <w:noProof/>
            <w:webHidden/>
          </w:rPr>
          <w:instrText xml:space="preserve"> PAGEREF _Toc193035892 \h </w:instrText>
        </w:r>
        <w:r>
          <w:rPr>
            <w:noProof/>
            <w:webHidden/>
          </w:rPr>
        </w:r>
        <w:r>
          <w:rPr>
            <w:noProof/>
            <w:webHidden/>
          </w:rPr>
          <w:fldChar w:fldCharType="separate"/>
        </w:r>
        <w:r w:rsidR="00DB579D">
          <w:rPr>
            <w:noProof/>
            <w:webHidden/>
          </w:rPr>
          <w:t>96</w:t>
        </w:r>
        <w:r>
          <w:rPr>
            <w:noProof/>
            <w:webHidden/>
          </w:rPr>
          <w:fldChar w:fldCharType="end"/>
        </w:r>
      </w:hyperlink>
    </w:p>
    <w:p w14:paraId="1F9771E0" w14:textId="63EC21B5" w:rsidR="00A028FE" w:rsidRDefault="00A028FE">
      <w:pPr>
        <w:pStyle w:val="TableofFigures"/>
        <w:rPr>
          <w:rFonts w:asciiTheme="minorHAnsi" w:hAnsiTheme="minorHAnsi" w:cstheme="minorBidi"/>
          <w:noProof/>
          <w:kern w:val="2"/>
          <w:lang w:val="en-GB"/>
          <w14:ligatures w14:val="standardContextual"/>
        </w:rPr>
      </w:pPr>
      <w:hyperlink w:anchor="_Toc193035893" w:history="1">
        <w:r w:rsidRPr="00832286">
          <w:rPr>
            <w:rStyle w:val="Hyperlink"/>
          </w:rPr>
          <w:t>Slika 2–16. Projekcija neposredne potrošnje energije prema energentima</w:t>
        </w:r>
        <w:r>
          <w:rPr>
            <w:noProof/>
            <w:webHidden/>
          </w:rPr>
          <w:tab/>
        </w:r>
        <w:r>
          <w:rPr>
            <w:noProof/>
            <w:webHidden/>
          </w:rPr>
          <w:fldChar w:fldCharType="begin"/>
        </w:r>
        <w:r>
          <w:rPr>
            <w:noProof/>
            <w:webHidden/>
          </w:rPr>
          <w:instrText xml:space="preserve"> PAGEREF _Toc193035893 \h </w:instrText>
        </w:r>
        <w:r>
          <w:rPr>
            <w:noProof/>
            <w:webHidden/>
          </w:rPr>
        </w:r>
        <w:r>
          <w:rPr>
            <w:noProof/>
            <w:webHidden/>
          </w:rPr>
          <w:fldChar w:fldCharType="separate"/>
        </w:r>
        <w:r w:rsidR="00DB579D">
          <w:rPr>
            <w:noProof/>
            <w:webHidden/>
          </w:rPr>
          <w:t>98</w:t>
        </w:r>
        <w:r>
          <w:rPr>
            <w:noProof/>
            <w:webHidden/>
          </w:rPr>
          <w:fldChar w:fldCharType="end"/>
        </w:r>
      </w:hyperlink>
    </w:p>
    <w:p w14:paraId="0FF872D3" w14:textId="79D5B8A8" w:rsidR="00A028FE" w:rsidRDefault="00A028FE">
      <w:pPr>
        <w:pStyle w:val="TableofFigures"/>
        <w:rPr>
          <w:rFonts w:asciiTheme="minorHAnsi" w:hAnsiTheme="minorHAnsi" w:cstheme="minorBidi"/>
          <w:noProof/>
          <w:kern w:val="2"/>
          <w:lang w:val="en-GB"/>
          <w14:ligatures w14:val="standardContextual"/>
        </w:rPr>
      </w:pPr>
      <w:hyperlink w:anchor="_Toc193035894" w:history="1">
        <w:r w:rsidRPr="00832286">
          <w:rPr>
            <w:rStyle w:val="Hyperlink"/>
          </w:rPr>
          <w:t>Slika 2–17. Projekcija neposredne potrošnje energije prema sektorima</w:t>
        </w:r>
        <w:r>
          <w:rPr>
            <w:noProof/>
            <w:webHidden/>
          </w:rPr>
          <w:tab/>
        </w:r>
        <w:r>
          <w:rPr>
            <w:noProof/>
            <w:webHidden/>
          </w:rPr>
          <w:fldChar w:fldCharType="begin"/>
        </w:r>
        <w:r>
          <w:rPr>
            <w:noProof/>
            <w:webHidden/>
          </w:rPr>
          <w:instrText xml:space="preserve"> PAGEREF _Toc193035894 \h </w:instrText>
        </w:r>
        <w:r>
          <w:rPr>
            <w:noProof/>
            <w:webHidden/>
          </w:rPr>
        </w:r>
        <w:r>
          <w:rPr>
            <w:noProof/>
            <w:webHidden/>
          </w:rPr>
          <w:fldChar w:fldCharType="separate"/>
        </w:r>
        <w:r w:rsidR="00DB579D">
          <w:rPr>
            <w:noProof/>
            <w:webHidden/>
          </w:rPr>
          <w:t>98</w:t>
        </w:r>
        <w:r>
          <w:rPr>
            <w:noProof/>
            <w:webHidden/>
          </w:rPr>
          <w:fldChar w:fldCharType="end"/>
        </w:r>
      </w:hyperlink>
    </w:p>
    <w:p w14:paraId="4959B0F7" w14:textId="6D0B3B3D" w:rsidR="00A028FE" w:rsidRDefault="00A028FE">
      <w:pPr>
        <w:pStyle w:val="TableofFigures"/>
        <w:rPr>
          <w:rFonts w:asciiTheme="minorHAnsi" w:hAnsiTheme="minorHAnsi" w:cstheme="minorBidi"/>
          <w:noProof/>
          <w:kern w:val="2"/>
          <w:lang w:val="en-GB"/>
          <w14:ligatures w14:val="standardContextual"/>
        </w:rPr>
      </w:pPr>
      <w:hyperlink w:anchor="_Toc193035895" w:history="1">
        <w:r w:rsidRPr="00832286">
          <w:rPr>
            <w:rStyle w:val="Hyperlink"/>
          </w:rPr>
          <w:t>Slika 2–18. Projekcija stopa obnove zgrada prema scenarijima</w:t>
        </w:r>
        <w:r>
          <w:rPr>
            <w:noProof/>
            <w:webHidden/>
          </w:rPr>
          <w:tab/>
        </w:r>
        <w:r>
          <w:rPr>
            <w:noProof/>
            <w:webHidden/>
          </w:rPr>
          <w:fldChar w:fldCharType="begin"/>
        </w:r>
        <w:r>
          <w:rPr>
            <w:noProof/>
            <w:webHidden/>
          </w:rPr>
          <w:instrText xml:space="preserve"> PAGEREF _Toc193035895 \h </w:instrText>
        </w:r>
        <w:r>
          <w:rPr>
            <w:noProof/>
            <w:webHidden/>
          </w:rPr>
        </w:r>
        <w:r>
          <w:rPr>
            <w:noProof/>
            <w:webHidden/>
          </w:rPr>
          <w:fldChar w:fldCharType="separate"/>
        </w:r>
        <w:r w:rsidR="00DB579D">
          <w:rPr>
            <w:noProof/>
            <w:webHidden/>
          </w:rPr>
          <w:t>101</w:t>
        </w:r>
        <w:r>
          <w:rPr>
            <w:noProof/>
            <w:webHidden/>
          </w:rPr>
          <w:fldChar w:fldCharType="end"/>
        </w:r>
      </w:hyperlink>
    </w:p>
    <w:p w14:paraId="10E6C2EF" w14:textId="5C18BD06" w:rsidR="00A028FE" w:rsidRDefault="00A028FE">
      <w:pPr>
        <w:pStyle w:val="TableofFigures"/>
        <w:rPr>
          <w:rFonts w:asciiTheme="minorHAnsi" w:hAnsiTheme="minorHAnsi" w:cstheme="minorBidi"/>
          <w:noProof/>
          <w:kern w:val="2"/>
          <w:lang w:val="en-GB"/>
          <w14:ligatures w14:val="standardContextual"/>
        </w:rPr>
      </w:pPr>
      <w:hyperlink w:anchor="_Toc193035896" w:history="1">
        <w:r w:rsidRPr="00832286">
          <w:rPr>
            <w:rStyle w:val="Hyperlink"/>
          </w:rPr>
          <w:t>Slika 4–1. Indeks promjene cijene goriva do 2050. godine</w:t>
        </w:r>
        <w:r>
          <w:rPr>
            <w:noProof/>
            <w:webHidden/>
          </w:rPr>
          <w:tab/>
        </w:r>
        <w:r>
          <w:rPr>
            <w:noProof/>
            <w:webHidden/>
          </w:rPr>
          <w:fldChar w:fldCharType="begin"/>
        </w:r>
        <w:r>
          <w:rPr>
            <w:noProof/>
            <w:webHidden/>
          </w:rPr>
          <w:instrText xml:space="preserve"> PAGEREF _Toc193035896 \h </w:instrText>
        </w:r>
        <w:r>
          <w:rPr>
            <w:noProof/>
            <w:webHidden/>
          </w:rPr>
        </w:r>
        <w:r>
          <w:rPr>
            <w:noProof/>
            <w:webHidden/>
          </w:rPr>
          <w:fldChar w:fldCharType="separate"/>
        </w:r>
        <w:r w:rsidR="00DB579D">
          <w:rPr>
            <w:noProof/>
            <w:webHidden/>
          </w:rPr>
          <w:t>279</w:t>
        </w:r>
        <w:r>
          <w:rPr>
            <w:noProof/>
            <w:webHidden/>
          </w:rPr>
          <w:fldChar w:fldCharType="end"/>
        </w:r>
      </w:hyperlink>
    </w:p>
    <w:p w14:paraId="7FD0FE12" w14:textId="2CEDD52E" w:rsidR="00A028FE" w:rsidRDefault="00A028FE">
      <w:pPr>
        <w:pStyle w:val="TableofFigures"/>
        <w:rPr>
          <w:rFonts w:asciiTheme="minorHAnsi" w:hAnsiTheme="minorHAnsi" w:cstheme="minorBidi"/>
          <w:noProof/>
          <w:kern w:val="2"/>
          <w:lang w:val="en-GB"/>
          <w14:ligatures w14:val="standardContextual"/>
        </w:rPr>
      </w:pPr>
      <w:hyperlink w:anchor="_Toc193035897" w:history="1">
        <w:r w:rsidRPr="00832286">
          <w:rPr>
            <w:rStyle w:val="Hyperlink"/>
          </w:rPr>
          <w:t>Slika 4–2. Preporučeni raspon cijene prirodnog plina za analize osjetljivosti</w:t>
        </w:r>
        <w:r>
          <w:rPr>
            <w:noProof/>
            <w:webHidden/>
          </w:rPr>
          <w:tab/>
        </w:r>
        <w:r>
          <w:rPr>
            <w:noProof/>
            <w:webHidden/>
          </w:rPr>
          <w:fldChar w:fldCharType="begin"/>
        </w:r>
        <w:r>
          <w:rPr>
            <w:noProof/>
            <w:webHidden/>
          </w:rPr>
          <w:instrText xml:space="preserve"> PAGEREF _Toc193035897 \h </w:instrText>
        </w:r>
        <w:r>
          <w:rPr>
            <w:noProof/>
            <w:webHidden/>
          </w:rPr>
        </w:r>
        <w:r>
          <w:rPr>
            <w:noProof/>
            <w:webHidden/>
          </w:rPr>
          <w:fldChar w:fldCharType="separate"/>
        </w:r>
        <w:r w:rsidR="00DB579D">
          <w:rPr>
            <w:noProof/>
            <w:webHidden/>
          </w:rPr>
          <w:t>280</w:t>
        </w:r>
        <w:r>
          <w:rPr>
            <w:noProof/>
            <w:webHidden/>
          </w:rPr>
          <w:fldChar w:fldCharType="end"/>
        </w:r>
      </w:hyperlink>
    </w:p>
    <w:p w14:paraId="0FB00209" w14:textId="2317D727" w:rsidR="00A028FE" w:rsidRDefault="00A028FE">
      <w:pPr>
        <w:pStyle w:val="TableofFigures"/>
        <w:rPr>
          <w:rFonts w:asciiTheme="minorHAnsi" w:hAnsiTheme="minorHAnsi" w:cstheme="minorBidi"/>
          <w:noProof/>
          <w:kern w:val="2"/>
          <w:lang w:val="en-GB"/>
          <w14:ligatures w14:val="standardContextual"/>
        </w:rPr>
      </w:pPr>
      <w:hyperlink w:anchor="_Toc193035898" w:history="1">
        <w:r w:rsidRPr="00832286">
          <w:rPr>
            <w:rStyle w:val="Hyperlink"/>
          </w:rPr>
          <w:t>Slika 4–3. Trend emisija stakleničkih plinova u Republici Hrvatskoj</w:t>
        </w:r>
        <w:r>
          <w:rPr>
            <w:noProof/>
            <w:webHidden/>
          </w:rPr>
          <w:tab/>
        </w:r>
        <w:r>
          <w:rPr>
            <w:noProof/>
            <w:webHidden/>
          </w:rPr>
          <w:fldChar w:fldCharType="begin"/>
        </w:r>
        <w:r>
          <w:rPr>
            <w:noProof/>
            <w:webHidden/>
          </w:rPr>
          <w:instrText xml:space="preserve"> PAGEREF _Toc193035898 \h </w:instrText>
        </w:r>
        <w:r>
          <w:rPr>
            <w:noProof/>
            <w:webHidden/>
          </w:rPr>
        </w:r>
        <w:r>
          <w:rPr>
            <w:noProof/>
            <w:webHidden/>
          </w:rPr>
          <w:fldChar w:fldCharType="separate"/>
        </w:r>
        <w:r w:rsidR="00DB579D">
          <w:rPr>
            <w:noProof/>
            <w:webHidden/>
          </w:rPr>
          <w:t>284</w:t>
        </w:r>
        <w:r>
          <w:rPr>
            <w:noProof/>
            <w:webHidden/>
          </w:rPr>
          <w:fldChar w:fldCharType="end"/>
        </w:r>
      </w:hyperlink>
    </w:p>
    <w:p w14:paraId="6E4AD2BB" w14:textId="232E516F" w:rsidR="00A028FE" w:rsidRDefault="00A028FE">
      <w:pPr>
        <w:pStyle w:val="TableofFigures"/>
        <w:rPr>
          <w:rFonts w:asciiTheme="minorHAnsi" w:hAnsiTheme="minorHAnsi" w:cstheme="minorBidi"/>
          <w:noProof/>
          <w:kern w:val="2"/>
          <w:lang w:val="en-GB"/>
          <w14:ligatures w14:val="standardContextual"/>
        </w:rPr>
      </w:pPr>
      <w:hyperlink w:anchor="_Toc193035899" w:history="1">
        <w:r w:rsidRPr="00832286">
          <w:rPr>
            <w:rStyle w:val="Hyperlink"/>
          </w:rPr>
          <w:t>Slika 4–4. Trend emisija stakleničkih plinova iz ETS sektora i sektora izvan ETS-a u Republici Hrvatskoj</w:t>
        </w:r>
        <w:r>
          <w:rPr>
            <w:noProof/>
            <w:webHidden/>
          </w:rPr>
          <w:tab/>
        </w:r>
        <w:r>
          <w:rPr>
            <w:noProof/>
            <w:webHidden/>
          </w:rPr>
          <w:fldChar w:fldCharType="begin"/>
        </w:r>
        <w:r>
          <w:rPr>
            <w:noProof/>
            <w:webHidden/>
          </w:rPr>
          <w:instrText xml:space="preserve"> PAGEREF _Toc193035899 \h </w:instrText>
        </w:r>
        <w:r>
          <w:rPr>
            <w:noProof/>
            <w:webHidden/>
          </w:rPr>
        </w:r>
        <w:r>
          <w:rPr>
            <w:noProof/>
            <w:webHidden/>
          </w:rPr>
          <w:fldChar w:fldCharType="separate"/>
        </w:r>
        <w:r w:rsidR="00DB579D">
          <w:rPr>
            <w:noProof/>
            <w:webHidden/>
          </w:rPr>
          <w:t>285</w:t>
        </w:r>
        <w:r>
          <w:rPr>
            <w:noProof/>
            <w:webHidden/>
          </w:rPr>
          <w:fldChar w:fldCharType="end"/>
        </w:r>
      </w:hyperlink>
    </w:p>
    <w:p w14:paraId="47834A5E" w14:textId="7AEC5F05" w:rsidR="00A028FE" w:rsidRDefault="00A028FE">
      <w:pPr>
        <w:pStyle w:val="TableofFigures"/>
        <w:rPr>
          <w:rFonts w:asciiTheme="minorHAnsi" w:hAnsiTheme="minorHAnsi" w:cstheme="minorBidi"/>
          <w:noProof/>
          <w:kern w:val="2"/>
          <w:lang w:val="en-GB"/>
          <w14:ligatures w14:val="standardContextual"/>
        </w:rPr>
      </w:pPr>
      <w:hyperlink w:anchor="_Toc193035900" w:history="1">
        <w:r w:rsidRPr="00832286">
          <w:rPr>
            <w:rStyle w:val="Hyperlink"/>
          </w:rPr>
          <w:t>Slika 4–5. Projekcija emisija i ponora stakleničkih plinova, uz postojeće mjere – WEM scenarij</w:t>
        </w:r>
        <w:r>
          <w:rPr>
            <w:noProof/>
            <w:webHidden/>
          </w:rPr>
          <w:tab/>
        </w:r>
        <w:r>
          <w:rPr>
            <w:noProof/>
            <w:webHidden/>
          </w:rPr>
          <w:fldChar w:fldCharType="begin"/>
        </w:r>
        <w:r>
          <w:rPr>
            <w:noProof/>
            <w:webHidden/>
          </w:rPr>
          <w:instrText xml:space="preserve"> PAGEREF _Toc193035900 \h </w:instrText>
        </w:r>
        <w:r>
          <w:rPr>
            <w:noProof/>
            <w:webHidden/>
          </w:rPr>
        </w:r>
        <w:r>
          <w:rPr>
            <w:noProof/>
            <w:webHidden/>
          </w:rPr>
          <w:fldChar w:fldCharType="separate"/>
        </w:r>
        <w:r w:rsidR="00DB579D">
          <w:rPr>
            <w:noProof/>
            <w:webHidden/>
          </w:rPr>
          <w:t>285</w:t>
        </w:r>
        <w:r>
          <w:rPr>
            <w:noProof/>
            <w:webHidden/>
          </w:rPr>
          <w:fldChar w:fldCharType="end"/>
        </w:r>
      </w:hyperlink>
    </w:p>
    <w:p w14:paraId="12C8CA7F" w14:textId="55C923E3" w:rsidR="00A028FE" w:rsidRDefault="00A028FE">
      <w:pPr>
        <w:pStyle w:val="TableofFigures"/>
        <w:rPr>
          <w:rFonts w:asciiTheme="minorHAnsi" w:hAnsiTheme="minorHAnsi" w:cstheme="minorBidi"/>
          <w:noProof/>
          <w:kern w:val="2"/>
          <w:lang w:val="en-GB"/>
          <w14:ligatures w14:val="standardContextual"/>
        </w:rPr>
      </w:pPr>
      <w:hyperlink w:anchor="_Toc193035901" w:history="1">
        <w:r w:rsidRPr="00832286">
          <w:rPr>
            <w:rStyle w:val="Hyperlink"/>
          </w:rPr>
          <w:t>Slika 4–6. Indikativna putanja udjela OIE u bruto neposrednoj potrošnji energije (WEM scenarij)</w:t>
        </w:r>
        <w:r>
          <w:rPr>
            <w:noProof/>
            <w:webHidden/>
          </w:rPr>
          <w:tab/>
        </w:r>
        <w:r>
          <w:rPr>
            <w:noProof/>
            <w:webHidden/>
          </w:rPr>
          <w:fldChar w:fldCharType="begin"/>
        </w:r>
        <w:r>
          <w:rPr>
            <w:noProof/>
            <w:webHidden/>
          </w:rPr>
          <w:instrText xml:space="preserve"> PAGEREF _Toc193035901 \h </w:instrText>
        </w:r>
        <w:r>
          <w:rPr>
            <w:noProof/>
            <w:webHidden/>
          </w:rPr>
        </w:r>
        <w:r>
          <w:rPr>
            <w:noProof/>
            <w:webHidden/>
          </w:rPr>
          <w:fldChar w:fldCharType="separate"/>
        </w:r>
        <w:r w:rsidR="00DB579D">
          <w:rPr>
            <w:noProof/>
            <w:webHidden/>
          </w:rPr>
          <w:t>287</w:t>
        </w:r>
        <w:r>
          <w:rPr>
            <w:noProof/>
            <w:webHidden/>
          </w:rPr>
          <w:fldChar w:fldCharType="end"/>
        </w:r>
      </w:hyperlink>
    </w:p>
    <w:p w14:paraId="3C0D3584" w14:textId="72379967" w:rsidR="00A028FE" w:rsidRDefault="00A028FE">
      <w:pPr>
        <w:pStyle w:val="TableofFigures"/>
        <w:rPr>
          <w:rFonts w:asciiTheme="minorHAnsi" w:hAnsiTheme="minorHAnsi" w:cstheme="minorBidi"/>
          <w:noProof/>
          <w:kern w:val="2"/>
          <w:lang w:val="en-GB"/>
          <w14:ligatures w14:val="standardContextual"/>
        </w:rPr>
      </w:pPr>
      <w:hyperlink w:anchor="_Toc193035902" w:history="1">
        <w:r w:rsidRPr="00832286">
          <w:rPr>
            <w:rStyle w:val="Hyperlink"/>
          </w:rPr>
          <w:t>Slika 4–7. Indikativna putanja udjela OIE u električnoj energiji za scenarij s postojećim mjerama</w:t>
        </w:r>
        <w:r>
          <w:rPr>
            <w:noProof/>
            <w:webHidden/>
          </w:rPr>
          <w:tab/>
        </w:r>
        <w:r>
          <w:rPr>
            <w:noProof/>
            <w:webHidden/>
          </w:rPr>
          <w:fldChar w:fldCharType="begin"/>
        </w:r>
        <w:r>
          <w:rPr>
            <w:noProof/>
            <w:webHidden/>
          </w:rPr>
          <w:instrText xml:space="preserve"> PAGEREF _Toc193035902 \h </w:instrText>
        </w:r>
        <w:r>
          <w:rPr>
            <w:noProof/>
            <w:webHidden/>
          </w:rPr>
        </w:r>
        <w:r>
          <w:rPr>
            <w:noProof/>
            <w:webHidden/>
          </w:rPr>
          <w:fldChar w:fldCharType="separate"/>
        </w:r>
        <w:r w:rsidR="00DB579D">
          <w:rPr>
            <w:noProof/>
            <w:webHidden/>
          </w:rPr>
          <w:t>287</w:t>
        </w:r>
        <w:r>
          <w:rPr>
            <w:noProof/>
            <w:webHidden/>
          </w:rPr>
          <w:fldChar w:fldCharType="end"/>
        </w:r>
      </w:hyperlink>
    </w:p>
    <w:p w14:paraId="61CAD873" w14:textId="77577150" w:rsidR="00A028FE" w:rsidRDefault="00A028FE">
      <w:pPr>
        <w:pStyle w:val="TableofFigures"/>
        <w:rPr>
          <w:rFonts w:asciiTheme="minorHAnsi" w:hAnsiTheme="minorHAnsi" w:cstheme="minorBidi"/>
          <w:noProof/>
          <w:kern w:val="2"/>
          <w:lang w:val="en-GB"/>
          <w14:ligatures w14:val="standardContextual"/>
        </w:rPr>
      </w:pPr>
      <w:hyperlink w:anchor="_Toc193035903" w:history="1">
        <w:r w:rsidRPr="00832286">
          <w:rPr>
            <w:rStyle w:val="Hyperlink"/>
          </w:rPr>
          <w:t>Slika 4–8. Indikativna putanja udjela OIE u grijanju i hlađenju za scenarij s postojećim mjerama</w:t>
        </w:r>
        <w:r>
          <w:rPr>
            <w:noProof/>
            <w:webHidden/>
          </w:rPr>
          <w:tab/>
        </w:r>
        <w:r>
          <w:rPr>
            <w:noProof/>
            <w:webHidden/>
          </w:rPr>
          <w:fldChar w:fldCharType="begin"/>
        </w:r>
        <w:r>
          <w:rPr>
            <w:noProof/>
            <w:webHidden/>
          </w:rPr>
          <w:instrText xml:space="preserve"> PAGEREF _Toc193035903 \h </w:instrText>
        </w:r>
        <w:r>
          <w:rPr>
            <w:noProof/>
            <w:webHidden/>
          </w:rPr>
        </w:r>
        <w:r>
          <w:rPr>
            <w:noProof/>
            <w:webHidden/>
          </w:rPr>
          <w:fldChar w:fldCharType="separate"/>
        </w:r>
        <w:r w:rsidR="00DB579D">
          <w:rPr>
            <w:noProof/>
            <w:webHidden/>
          </w:rPr>
          <w:t>288</w:t>
        </w:r>
        <w:r>
          <w:rPr>
            <w:noProof/>
            <w:webHidden/>
          </w:rPr>
          <w:fldChar w:fldCharType="end"/>
        </w:r>
      </w:hyperlink>
    </w:p>
    <w:p w14:paraId="3DDEA944" w14:textId="62438AA2" w:rsidR="00A028FE" w:rsidRDefault="00A028FE">
      <w:pPr>
        <w:pStyle w:val="TableofFigures"/>
        <w:rPr>
          <w:rFonts w:asciiTheme="minorHAnsi" w:hAnsiTheme="minorHAnsi" w:cstheme="minorBidi"/>
          <w:noProof/>
          <w:kern w:val="2"/>
          <w:lang w:val="en-GB"/>
          <w14:ligatures w14:val="standardContextual"/>
        </w:rPr>
      </w:pPr>
      <w:hyperlink w:anchor="_Toc193035904" w:history="1">
        <w:r w:rsidRPr="00832286">
          <w:rPr>
            <w:rStyle w:val="Hyperlink"/>
          </w:rPr>
          <w:t>Slika 4–9. Indikativna putanja udjela OIE u prometu za scenarij s postojećim mjerama</w:t>
        </w:r>
        <w:r>
          <w:rPr>
            <w:noProof/>
            <w:webHidden/>
          </w:rPr>
          <w:tab/>
        </w:r>
        <w:r>
          <w:rPr>
            <w:noProof/>
            <w:webHidden/>
          </w:rPr>
          <w:fldChar w:fldCharType="begin"/>
        </w:r>
        <w:r>
          <w:rPr>
            <w:noProof/>
            <w:webHidden/>
          </w:rPr>
          <w:instrText xml:space="preserve"> PAGEREF _Toc193035904 \h </w:instrText>
        </w:r>
        <w:r>
          <w:rPr>
            <w:noProof/>
            <w:webHidden/>
          </w:rPr>
        </w:r>
        <w:r>
          <w:rPr>
            <w:noProof/>
            <w:webHidden/>
          </w:rPr>
          <w:fldChar w:fldCharType="separate"/>
        </w:r>
        <w:r w:rsidR="00DB579D">
          <w:rPr>
            <w:noProof/>
            <w:webHidden/>
          </w:rPr>
          <w:t>288</w:t>
        </w:r>
        <w:r>
          <w:rPr>
            <w:noProof/>
            <w:webHidden/>
          </w:rPr>
          <w:fldChar w:fldCharType="end"/>
        </w:r>
      </w:hyperlink>
    </w:p>
    <w:p w14:paraId="2210685A" w14:textId="68FAB26C" w:rsidR="00A028FE" w:rsidRDefault="00A028FE">
      <w:pPr>
        <w:pStyle w:val="TableofFigures"/>
        <w:rPr>
          <w:rFonts w:asciiTheme="minorHAnsi" w:hAnsiTheme="minorHAnsi" w:cstheme="minorBidi"/>
          <w:noProof/>
          <w:kern w:val="2"/>
          <w:lang w:val="en-GB"/>
          <w14:ligatures w14:val="standardContextual"/>
        </w:rPr>
      </w:pPr>
      <w:hyperlink w:anchor="_Toc193035905" w:history="1">
        <w:r w:rsidRPr="00832286">
          <w:rPr>
            <w:rStyle w:val="Hyperlink"/>
          </w:rPr>
          <w:t>Slika 4–10. Ocijenjeni doprinosi OIE tehnologija po sektorima (WEM scenarij)</w:t>
        </w:r>
        <w:r>
          <w:rPr>
            <w:noProof/>
            <w:webHidden/>
          </w:rPr>
          <w:tab/>
        </w:r>
        <w:r>
          <w:rPr>
            <w:noProof/>
            <w:webHidden/>
          </w:rPr>
          <w:fldChar w:fldCharType="begin"/>
        </w:r>
        <w:r>
          <w:rPr>
            <w:noProof/>
            <w:webHidden/>
          </w:rPr>
          <w:instrText xml:space="preserve"> PAGEREF _Toc193035905 \h </w:instrText>
        </w:r>
        <w:r>
          <w:rPr>
            <w:noProof/>
            <w:webHidden/>
          </w:rPr>
        </w:r>
        <w:r>
          <w:rPr>
            <w:noProof/>
            <w:webHidden/>
          </w:rPr>
          <w:fldChar w:fldCharType="separate"/>
        </w:r>
        <w:r w:rsidR="00DB579D">
          <w:rPr>
            <w:noProof/>
            <w:webHidden/>
          </w:rPr>
          <w:t>290</w:t>
        </w:r>
        <w:r>
          <w:rPr>
            <w:noProof/>
            <w:webHidden/>
          </w:rPr>
          <w:fldChar w:fldCharType="end"/>
        </w:r>
      </w:hyperlink>
    </w:p>
    <w:p w14:paraId="6A800595" w14:textId="6DD77D67" w:rsidR="00A028FE" w:rsidRDefault="00A028FE">
      <w:pPr>
        <w:pStyle w:val="TableofFigures"/>
        <w:rPr>
          <w:rFonts w:asciiTheme="minorHAnsi" w:hAnsiTheme="minorHAnsi" w:cstheme="minorBidi"/>
          <w:noProof/>
          <w:kern w:val="2"/>
          <w:lang w:val="en-GB"/>
          <w14:ligatures w14:val="standardContextual"/>
        </w:rPr>
      </w:pPr>
      <w:hyperlink w:anchor="_Toc193035906" w:history="1">
        <w:r w:rsidRPr="00832286">
          <w:rPr>
            <w:rStyle w:val="Hyperlink"/>
          </w:rPr>
          <w:t>Slika 4–11. Očekivana snaga elektrana u scenariju s postojećim mjerama (WEM scenarij)</w:t>
        </w:r>
        <w:r>
          <w:rPr>
            <w:noProof/>
            <w:webHidden/>
          </w:rPr>
          <w:tab/>
        </w:r>
        <w:r>
          <w:rPr>
            <w:noProof/>
            <w:webHidden/>
          </w:rPr>
          <w:fldChar w:fldCharType="begin"/>
        </w:r>
        <w:r>
          <w:rPr>
            <w:noProof/>
            <w:webHidden/>
          </w:rPr>
          <w:instrText xml:space="preserve"> PAGEREF _Toc193035906 \h </w:instrText>
        </w:r>
        <w:r>
          <w:rPr>
            <w:noProof/>
            <w:webHidden/>
          </w:rPr>
        </w:r>
        <w:r>
          <w:rPr>
            <w:noProof/>
            <w:webHidden/>
          </w:rPr>
          <w:fldChar w:fldCharType="separate"/>
        </w:r>
        <w:r w:rsidR="00DB579D">
          <w:rPr>
            <w:noProof/>
            <w:webHidden/>
          </w:rPr>
          <w:t>291</w:t>
        </w:r>
        <w:r>
          <w:rPr>
            <w:noProof/>
            <w:webHidden/>
          </w:rPr>
          <w:fldChar w:fldCharType="end"/>
        </w:r>
      </w:hyperlink>
    </w:p>
    <w:p w14:paraId="4C630A82" w14:textId="2B2DC48F" w:rsidR="00A028FE" w:rsidRDefault="00A028FE">
      <w:pPr>
        <w:pStyle w:val="TableofFigures"/>
        <w:rPr>
          <w:rFonts w:asciiTheme="minorHAnsi" w:hAnsiTheme="minorHAnsi" w:cstheme="minorBidi"/>
          <w:noProof/>
          <w:kern w:val="2"/>
          <w:lang w:val="en-GB"/>
          <w14:ligatures w14:val="standardContextual"/>
        </w:rPr>
      </w:pPr>
      <w:hyperlink w:anchor="_Toc193035907" w:history="1">
        <w:r w:rsidRPr="00832286">
          <w:rPr>
            <w:rStyle w:val="Hyperlink"/>
          </w:rPr>
          <w:t>Slika 4–12. Projekcija potrošnje energije do 2040. godine uz postojeće politike, mjere i programe energetske učinkovitosti (WEM scenarij)</w:t>
        </w:r>
        <w:r>
          <w:rPr>
            <w:noProof/>
            <w:webHidden/>
          </w:rPr>
          <w:tab/>
        </w:r>
        <w:r>
          <w:rPr>
            <w:noProof/>
            <w:webHidden/>
          </w:rPr>
          <w:fldChar w:fldCharType="begin"/>
        </w:r>
        <w:r>
          <w:rPr>
            <w:noProof/>
            <w:webHidden/>
          </w:rPr>
          <w:instrText xml:space="preserve"> PAGEREF _Toc193035907 \h </w:instrText>
        </w:r>
        <w:r>
          <w:rPr>
            <w:noProof/>
            <w:webHidden/>
          </w:rPr>
        </w:r>
        <w:r>
          <w:rPr>
            <w:noProof/>
            <w:webHidden/>
          </w:rPr>
          <w:fldChar w:fldCharType="separate"/>
        </w:r>
        <w:r w:rsidR="00DB579D">
          <w:rPr>
            <w:noProof/>
            <w:webHidden/>
          </w:rPr>
          <w:t>294</w:t>
        </w:r>
        <w:r>
          <w:rPr>
            <w:noProof/>
            <w:webHidden/>
          </w:rPr>
          <w:fldChar w:fldCharType="end"/>
        </w:r>
      </w:hyperlink>
    </w:p>
    <w:p w14:paraId="0E96EDDA" w14:textId="2F031A46" w:rsidR="00A028FE" w:rsidRDefault="00A028FE">
      <w:pPr>
        <w:pStyle w:val="TableofFigures"/>
        <w:rPr>
          <w:rFonts w:asciiTheme="minorHAnsi" w:hAnsiTheme="minorHAnsi" w:cstheme="minorBidi"/>
          <w:noProof/>
          <w:kern w:val="2"/>
          <w:lang w:val="en-GB"/>
          <w14:ligatures w14:val="standardContextual"/>
        </w:rPr>
      </w:pPr>
      <w:hyperlink w:anchor="_Toc193035908" w:history="1">
        <w:r w:rsidRPr="00832286">
          <w:rPr>
            <w:rStyle w:val="Hyperlink"/>
          </w:rPr>
          <w:t>Slika 4–13. Očekivana proizvodnja primarne energije – WEM scenarij</w:t>
        </w:r>
        <w:r>
          <w:rPr>
            <w:noProof/>
            <w:webHidden/>
          </w:rPr>
          <w:tab/>
        </w:r>
        <w:r>
          <w:rPr>
            <w:noProof/>
            <w:webHidden/>
          </w:rPr>
          <w:fldChar w:fldCharType="begin"/>
        </w:r>
        <w:r>
          <w:rPr>
            <w:noProof/>
            <w:webHidden/>
          </w:rPr>
          <w:instrText xml:space="preserve"> PAGEREF _Toc193035908 \h </w:instrText>
        </w:r>
        <w:r>
          <w:rPr>
            <w:noProof/>
            <w:webHidden/>
          </w:rPr>
        </w:r>
        <w:r>
          <w:rPr>
            <w:noProof/>
            <w:webHidden/>
          </w:rPr>
          <w:fldChar w:fldCharType="separate"/>
        </w:r>
        <w:r w:rsidR="00DB579D">
          <w:rPr>
            <w:noProof/>
            <w:webHidden/>
          </w:rPr>
          <w:t>297</w:t>
        </w:r>
        <w:r>
          <w:rPr>
            <w:noProof/>
            <w:webHidden/>
          </w:rPr>
          <w:fldChar w:fldCharType="end"/>
        </w:r>
      </w:hyperlink>
    </w:p>
    <w:p w14:paraId="4F2F88C1" w14:textId="1DCAAAF7" w:rsidR="00A028FE" w:rsidRDefault="00A028FE">
      <w:pPr>
        <w:pStyle w:val="TableofFigures"/>
        <w:rPr>
          <w:rFonts w:asciiTheme="minorHAnsi" w:hAnsiTheme="minorHAnsi" w:cstheme="minorBidi"/>
          <w:noProof/>
          <w:kern w:val="2"/>
          <w:lang w:val="en-GB"/>
          <w14:ligatures w14:val="standardContextual"/>
        </w:rPr>
      </w:pPr>
      <w:hyperlink w:anchor="_Toc193035909" w:history="1">
        <w:r w:rsidRPr="00832286">
          <w:rPr>
            <w:rStyle w:val="Hyperlink"/>
          </w:rPr>
          <w:t>Slika 4–14. Očekivana ukupna potrošnja energije – WEM scenarij</w:t>
        </w:r>
        <w:r>
          <w:rPr>
            <w:noProof/>
            <w:webHidden/>
          </w:rPr>
          <w:tab/>
        </w:r>
        <w:r>
          <w:rPr>
            <w:noProof/>
            <w:webHidden/>
          </w:rPr>
          <w:fldChar w:fldCharType="begin"/>
        </w:r>
        <w:r>
          <w:rPr>
            <w:noProof/>
            <w:webHidden/>
          </w:rPr>
          <w:instrText xml:space="preserve"> PAGEREF _Toc193035909 \h </w:instrText>
        </w:r>
        <w:r>
          <w:rPr>
            <w:noProof/>
            <w:webHidden/>
          </w:rPr>
        </w:r>
        <w:r>
          <w:rPr>
            <w:noProof/>
            <w:webHidden/>
          </w:rPr>
          <w:fldChar w:fldCharType="separate"/>
        </w:r>
        <w:r w:rsidR="00DB579D">
          <w:rPr>
            <w:noProof/>
            <w:webHidden/>
          </w:rPr>
          <w:t>297</w:t>
        </w:r>
        <w:r>
          <w:rPr>
            <w:noProof/>
            <w:webHidden/>
          </w:rPr>
          <w:fldChar w:fldCharType="end"/>
        </w:r>
      </w:hyperlink>
    </w:p>
    <w:p w14:paraId="6D9E35AB" w14:textId="65E74A0E" w:rsidR="00A028FE" w:rsidRDefault="00A028FE">
      <w:pPr>
        <w:pStyle w:val="TableofFigures"/>
        <w:rPr>
          <w:rFonts w:asciiTheme="minorHAnsi" w:hAnsiTheme="minorHAnsi" w:cstheme="minorBidi"/>
          <w:noProof/>
          <w:kern w:val="2"/>
          <w:lang w:val="en-GB"/>
          <w14:ligatures w14:val="standardContextual"/>
        </w:rPr>
      </w:pPr>
      <w:hyperlink w:anchor="_Toc193035910" w:history="1">
        <w:r w:rsidRPr="00832286">
          <w:rPr>
            <w:rStyle w:val="Hyperlink"/>
          </w:rPr>
          <w:t>Slika 4–15. Ukupna potrošnja energije i vlastita opskrbljenost - WEM scenarij</w:t>
        </w:r>
        <w:r>
          <w:rPr>
            <w:noProof/>
            <w:webHidden/>
          </w:rPr>
          <w:tab/>
        </w:r>
        <w:r>
          <w:rPr>
            <w:noProof/>
            <w:webHidden/>
          </w:rPr>
          <w:fldChar w:fldCharType="begin"/>
        </w:r>
        <w:r>
          <w:rPr>
            <w:noProof/>
            <w:webHidden/>
          </w:rPr>
          <w:instrText xml:space="preserve"> PAGEREF _Toc193035910 \h </w:instrText>
        </w:r>
        <w:r>
          <w:rPr>
            <w:noProof/>
            <w:webHidden/>
          </w:rPr>
        </w:r>
        <w:r>
          <w:rPr>
            <w:noProof/>
            <w:webHidden/>
          </w:rPr>
          <w:fldChar w:fldCharType="separate"/>
        </w:r>
        <w:r w:rsidR="00DB579D">
          <w:rPr>
            <w:noProof/>
            <w:webHidden/>
          </w:rPr>
          <w:t>298</w:t>
        </w:r>
        <w:r>
          <w:rPr>
            <w:noProof/>
            <w:webHidden/>
          </w:rPr>
          <w:fldChar w:fldCharType="end"/>
        </w:r>
      </w:hyperlink>
    </w:p>
    <w:p w14:paraId="697DCDFD" w14:textId="5A427A7F" w:rsidR="00A028FE" w:rsidRDefault="00A028FE">
      <w:pPr>
        <w:pStyle w:val="TableofFigures"/>
        <w:rPr>
          <w:rFonts w:asciiTheme="minorHAnsi" w:hAnsiTheme="minorHAnsi" w:cstheme="minorBidi"/>
          <w:noProof/>
          <w:kern w:val="2"/>
          <w:lang w:val="en-GB"/>
          <w14:ligatures w14:val="standardContextual"/>
        </w:rPr>
      </w:pPr>
      <w:hyperlink w:anchor="_Toc193035911" w:history="1">
        <w:r w:rsidRPr="00832286">
          <w:rPr>
            <w:rStyle w:val="Hyperlink"/>
          </w:rPr>
          <w:t>Slika 4–16. Razmjena električne energije sa susjednim državama, 2020., 2021. i 2022. godine</w:t>
        </w:r>
        <w:r>
          <w:rPr>
            <w:noProof/>
            <w:webHidden/>
          </w:rPr>
          <w:tab/>
        </w:r>
        <w:r>
          <w:rPr>
            <w:noProof/>
            <w:webHidden/>
          </w:rPr>
          <w:fldChar w:fldCharType="begin"/>
        </w:r>
        <w:r>
          <w:rPr>
            <w:noProof/>
            <w:webHidden/>
          </w:rPr>
          <w:instrText xml:space="preserve"> PAGEREF _Toc193035911 \h </w:instrText>
        </w:r>
        <w:r>
          <w:rPr>
            <w:noProof/>
            <w:webHidden/>
          </w:rPr>
        </w:r>
        <w:r>
          <w:rPr>
            <w:noProof/>
            <w:webHidden/>
          </w:rPr>
          <w:fldChar w:fldCharType="separate"/>
        </w:r>
        <w:r w:rsidR="00DB579D">
          <w:rPr>
            <w:noProof/>
            <w:webHidden/>
          </w:rPr>
          <w:t>299</w:t>
        </w:r>
        <w:r>
          <w:rPr>
            <w:noProof/>
            <w:webHidden/>
          </w:rPr>
          <w:fldChar w:fldCharType="end"/>
        </w:r>
      </w:hyperlink>
    </w:p>
    <w:p w14:paraId="1A546045" w14:textId="45C22492" w:rsidR="00A028FE" w:rsidRDefault="00A028FE">
      <w:pPr>
        <w:pStyle w:val="TableofFigures"/>
        <w:rPr>
          <w:rFonts w:asciiTheme="minorHAnsi" w:hAnsiTheme="minorHAnsi" w:cstheme="minorBidi"/>
          <w:noProof/>
          <w:kern w:val="2"/>
          <w:lang w:val="en-GB"/>
          <w14:ligatures w14:val="standardContextual"/>
        </w:rPr>
      </w:pPr>
      <w:hyperlink w:anchor="_Toc193035912" w:history="1">
        <w:r w:rsidRPr="00832286">
          <w:rPr>
            <w:rStyle w:val="Hyperlink"/>
          </w:rPr>
          <w:t>Slika 4–17. Hrvatska prijenosna elektroenergetska mreža s okruženjem</w:t>
        </w:r>
        <w:r>
          <w:rPr>
            <w:noProof/>
            <w:webHidden/>
          </w:rPr>
          <w:tab/>
        </w:r>
        <w:r>
          <w:rPr>
            <w:noProof/>
            <w:webHidden/>
          </w:rPr>
          <w:fldChar w:fldCharType="begin"/>
        </w:r>
        <w:r>
          <w:rPr>
            <w:noProof/>
            <w:webHidden/>
          </w:rPr>
          <w:instrText xml:space="preserve"> PAGEREF _Toc193035912 \h </w:instrText>
        </w:r>
        <w:r>
          <w:rPr>
            <w:noProof/>
            <w:webHidden/>
          </w:rPr>
        </w:r>
        <w:r>
          <w:rPr>
            <w:noProof/>
            <w:webHidden/>
          </w:rPr>
          <w:fldChar w:fldCharType="separate"/>
        </w:r>
        <w:r w:rsidR="00DB579D">
          <w:rPr>
            <w:noProof/>
            <w:webHidden/>
          </w:rPr>
          <w:t>301</w:t>
        </w:r>
        <w:r>
          <w:rPr>
            <w:noProof/>
            <w:webHidden/>
          </w:rPr>
          <w:fldChar w:fldCharType="end"/>
        </w:r>
      </w:hyperlink>
    </w:p>
    <w:p w14:paraId="31FDE61F" w14:textId="3466D6EB" w:rsidR="00A028FE" w:rsidRDefault="00A028FE">
      <w:pPr>
        <w:pStyle w:val="TableofFigures"/>
        <w:rPr>
          <w:rFonts w:asciiTheme="minorHAnsi" w:hAnsiTheme="minorHAnsi" w:cstheme="minorBidi"/>
          <w:noProof/>
          <w:kern w:val="2"/>
          <w:lang w:val="en-GB"/>
          <w14:ligatures w14:val="standardContextual"/>
        </w:rPr>
      </w:pPr>
      <w:hyperlink w:anchor="_Toc193035913" w:history="1">
        <w:r w:rsidRPr="00832286">
          <w:rPr>
            <w:rStyle w:val="Hyperlink"/>
          </w:rPr>
          <w:t>Slika 4–18. Instalirana snaga interkonektivnih vodova i instalirana snaga proizvodnje u odnosu na vršno opterećenje u europskim zemljama</w:t>
        </w:r>
        <w:r>
          <w:rPr>
            <w:noProof/>
            <w:webHidden/>
          </w:rPr>
          <w:tab/>
        </w:r>
        <w:r>
          <w:rPr>
            <w:noProof/>
            <w:webHidden/>
          </w:rPr>
          <w:fldChar w:fldCharType="begin"/>
        </w:r>
        <w:r>
          <w:rPr>
            <w:noProof/>
            <w:webHidden/>
          </w:rPr>
          <w:instrText xml:space="preserve"> PAGEREF _Toc193035913 \h </w:instrText>
        </w:r>
        <w:r>
          <w:rPr>
            <w:noProof/>
            <w:webHidden/>
          </w:rPr>
        </w:r>
        <w:r>
          <w:rPr>
            <w:noProof/>
            <w:webHidden/>
          </w:rPr>
          <w:fldChar w:fldCharType="separate"/>
        </w:r>
        <w:r w:rsidR="00DB579D">
          <w:rPr>
            <w:noProof/>
            <w:webHidden/>
          </w:rPr>
          <w:t>302</w:t>
        </w:r>
        <w:r>
          <w:rPr>
            <w:noProof/>
            <w:webHidden/>
          </w:rPr>
          <w:fldChar w:fldCharType="end"/>
        </w:r>
      </w:hyperlink>
    </w:p>
    <w:p w14:paraId="74720FCC" w14:textId="5D1F4D7A" w:rsidR="00A028FE" w:rsidRDefault="00A028FE">
      <w:pPr>
        <w:pStyle w:val="TableofFigures"/>
        <w:rPr>
          <w:rFonts w:asciiTheme="minorHAnsi" w:hAnsiTheme="minorHAnsi" w:cstheme="minorBidi"/>
          <w:noProof/>
          <w:kern w:val="2"/>
          <w:lang w:val="en-GB"/>
          <w14:ligatures w14:val="standardContextual"/>
        </w:rPr>
      </w:pPr>
      <w:hyperlink w:anchor="_Toc193035914" w:history="1">
        <w:r w:rsidRPr="00832286">
          <w:rPr>
            <w:rStyle w:val="Hyperlink"/>
          </w:rPr>
          <w:t>Slika 4–19. Plinski transportni sustav u Republici Hrvatskoj</w:t>
        </w:r>
        <w:r>
          <w:rPr>
            <w:noProof/>
            <w:webHidden/>
          </w:rPr>
          <w:tab/>
        </w:r>
        <w:r>
          <w:rPr>
            <w:noProof/>
            <w:webHidden/>
          </w:rPr>
          <w:fldChar w:fldCharType="begin"/>
        </w:r>
        <w:r>
          <w:rPr>
            <w:noProof/>
            <w:webHidden/>
          </w:rPr>
          <w:instrText xml:space="preserve"> PAGEREF _Toc193035914 \h </w:instrText>
        </w:r>
        <w:r>
          <w:rPr>
            <w:noProof/>
            <w:webHidden/>
          </w:rPr>
        </w:r>
        <w:r>
          <w:rPr>
            <w:noProof/>
            <w:webHidden/>
          </w:rPr>
          <w:fldChar w:fldCharType="separate"/>
        </w:r>
        <w:r w:rsidR="00DB579D">
          <w:rPr>
            <w:noProof/>
            <w:webHidden/>
          </w:rPr>
          <w:t>304</w:t>
        </w:r>
        <w:r>
          <w:rPr>
            <w:noProof/>
            <w:webHidden/>
          </w:rPr>
          <w:fldChar w:fldCharType="end"/>
        </w:r>
      </w:hyperlink>
    </w:p>
    <w:p w14:paraId="56D4EB76" w14:textId="4DB156D4" w:rsidR="00A028FE" w:rsidRDefault="00A028FE">
      <w:pPr>
        <w:pStyle w:val="TableofFigures"/>
        <w:rPr>
          <w:rFonts w:asciiTheme="minorHAnsi" w:hAnsiTheme="minorHAnsi" w:cstheme="minorBidi"/>
          <w:noProof/>
          <w:kern w:val="2"/>
          <w:lang w:val="en-GB"/>
          <w14:ligatures w14:val="standardContextual"/>
        </w:rPr>
      </w:pPr>
      <w:hyperlink w:anchor="_Toc193035915" w:history="1">
        <w:r w:rsidRPr="00832286">
          <w:rPr>
            <w:rStyle w:val="Hyperlink"/>
          </w:rPr>
          <w:t>Slika 4–20. Predvidiva topologija 400 kV i 220 kV mreže na području RH 2031. godine</w:t>
        </w:r>
        <w:r>
          <w:rPr>
            <w:noProof/>
            <w:webHidden/>
          </w:rPr>
          <w:tab/>
        </w:r>
        <w:r>
          <w:rPr>
            <w:noProof/>
            <w:webHidden/>
          </w:rPr>
          <w:fldChar w:fldCharType="begin"/>
        </w:r>
        <w:r>
          <w:rPr>
            <w:noProof/>
            <w:webHidden/>
          </w:rPr>
          <w:instrText xml:space="preserve"> PAGEREF _Toc193035915 \h </w:instrText>
        </w:r>
        <w:r>
          <w:rPr>
            <w:noProof/>
            <w:webHidden/>
          </w:rPr>
        </w:r>
        <w:r>
          <w:rPr>
            <w:noProof/>
            <w:webHidden/>
          </w:rPr>
          <w:fldChar w:fldCharType="separate"/>
        </w:r>
        <w:r w:rsidR="00DB579D">
          <w:rPr>
            <w:noProof/>
            <w:webHidden/>
          </w:rPr>
          <w:t>306</w:t>
        </w:r>
        <w:r>
          <w:rPr>
            <w:noProof/>
            <w:webHidden/>
          </w:rPr>
          <w:fldChar w:fldCharType="end"/>
        </w:r>
      </w:hyperlink>
    </w:p>
    <w:p w14:paraId="4159EC80" w14:textId="25F7562A" w:rsidR="00A028FE" w:rsidRDefault="00A028FE">
      <w:pPr>
        <w:pStyle w:val="TableofFigures"/>
        <w:rPr>
          <w:rFonts w:asciiTheme="minorHAnsi" w:hAnsiTheme="minorHAnsi" w:cstheme="minorBidi"/>
          <w:noProof/>
          <w:kern w:val="2"/>
          <w:lang w:val="en-GB"/>
          <w14:ligatures w14:val="standardContextual"/>
        </w:rPr>
      </w:pPr>
      <w:hyperlink w:anchor="_Toc193035916" w:history="1">
        <w:r w:rsidRPr="00832286">
          <w:rPr>
            <w:rStyle w:val="Hyperlink"/>
          </w:rPr>
          <w:t>Slika 4–21. Cijene električne energije za kupce u Hrvatskoj u kategoriji kućanstvo</w:t>
        </w:r>
        <w:r>
          <w:rPr>
            <w:noProof/>
            <w:webHidden/>
          </w:rPr>
          <w:tab/>
        </w:r>
        <w:r>
          <w:rPr>
            <w:noProof/>
            <w:webHidden/>
          </w:rPr>
          <w:fldChar w:fldCharType="begin"/>
        </w:r>
        <w:r>
          <w:rPr>
            <w:noProof/>
            <w:webHidden/>
          </w:rPr>
          <w:instrText xml:space="preserve"> PAGEREF _Toc193035916 \h </w:instrText>
        </w:r>
        <w:r>
          <w:rPr>
            <w:noProof/>
            <w:webHidden/>
          </w:rPr>
        </w:r>
        <w:r>
          <w:rPr>
            <w:noProof/>
            <w:webHidden/>
          </w:rPr>
          <w:fldChar w:fldCharType="separate"/>
        </w:r>
        <w:r w:rsidR="00DB579D">
          <w:rPr>
            <w:noProof/>
            <w:webHidden/>
          </w:rPr>
          <w:t>310</w:t>
        </w:r>
        <w:r>
          <w:rPr>
            <w:noProof/>
            <w:webHidden/>
          </w:rPr>
          <w:fldChar w:fldCharType="end"/>
        </w:r>
      </w:hyperlink>
    </w:p>
    <w:p w14:paraId="31D2D426" w14:textId="7465654C" w:rsidR="00A028FE" w:rsidRDefault="00A028FE">
      <w:pPr>
        <w:pStyle w:val="TableofFigures"/>
        <w:rPr>
          <w:rFonts w:asciiTheme="minorHAnsi" w:hAnsiTheme="minorHAnsi" w:cstheme="minorBidi"/>
          <w:noProof/>
          <w:kern w:val="2"/>
          <w:lang w:val="en-GB"/>
          <w14:ligatures w14:val="standardContextual"/>
        </w:rPr>
      </w:pPr>
      <w:hyperlink w:anchor="_Toc193035917" w:history="1">
        <w:r w:rsidRPr="00832286">
          <w:rPr>
            <w:rStyle w:val="Hyperlink"/>
          </w:rPr>
          <w:t>Slika 4–22. Cijene električne energije za kupce u Hrvatskoj u kategoriji poduzetništvo</w:t>
        </w:r>
        <w:r>
          <w:rPr>
            <w:noProof/>
            <w:webHidden/>
          </w:rPr>
          <w:tab/>
        </w:r>
        <w:r>
          <w:rPr>
            <w:noProof/>
            <w:webHidden/>
          </w:rPr>
          <w:fldChar w:fldCharType="begin"/>
        </w:r>
        <w:r>
          <w:rPr>
            <w:noProof/>
            <w:webHidden/>
          </w:rPr>
          <w:instrText xml:space="preserve"> PAGEREF _Toc193035917 \h </w:instrText>
        </w:r>
        <w:r>
          <w:rPr>
            <w:noProof/>
            <w:webHidden/>
          </w:rPr>
        </w:r>
        <w:r>
          <w:rPr>
            <w:noProof/>
            <w:webHidden/>
          </w:rPr>
          <w:fldChar w:fldCharType="separate"/>
        </w:r>
        <w:r w:rsidR="00DB579D">
          <w:rPr>
            <w:noProof/>
            <w:webHidden/>
          </w:rPr>
          <w:t>311</w:t>
        </w:r>
        <w:r>
          <w:rPr>
            <w:noProof/>
            <w:webHidden/>
          </w:rPr>
          <w:fldChar w:fldCharType="end"/>
        </w:r>
      </w:hyperlink>
    </w:p>
    <w:p w14:paraId="002193FE" w14:textId="7DB16072" w:rsidR="00A028FE" w:rsidRDefault="00A028FE">
      <w:pPr>
        <w:pStyle w:val="TableofFigures"/>
        <w:rPr>
          <w:rFonts w:asciiTheme="minorHAnsi" w:hAnsiTheme="minorHAnsi" w:cstheme="minorBidi"/>
          <w:noProof/>
          <w:kern w:val="2"/>
          <w:lang w:val="en-GB"/>
          <w14:ligatures w14:val="standardContextual"/>
        </w:rPr>
      </w:pPr>
      <w:hyperlink w:anchor="_Toc193035918" w:history="1">
        <w:r w:rsidRPr="00832286">
          <w:rPr>
            <w:rStyle w:val="Hyperlink"/>
          </w:rPr>
          <w:t>Slika 4–23. Cijene prirodnog plina za kupce u Hrvatskoj u kategoriji kućanstvo</w:t>
        </w:r>
        <w:r>
          <w:rPr>
            <w:noProof/>
            <w:webHidden/>
          </w:rPr>
          <w:tab/>
        </w:r>
        <w:r>
          <w:rPr>
            <w:noProof/>
            <w:webHidden/>
          </w:rPr>
          <w:fldChar w:fldCharType="begin"/>
        </w:r>
        <w:r>
          <w:rPr>
            <w:noProof/>
            <w:webHidden/>
          </w:rPr>
          <w:instrText xml:space="preserve"> PAGEREF _Toc193035918 \h </w:instrText>
        </w:r>
        <w:r>
          <w:rPr>
            <w:noProof/>
            <w:webHidden/>
          </w:rPr>
        </w:r>
        <w:r>
          <w:rPr>
            <w:noProof/>
            <w:webHidden/>
          </w:rPr>
          <w:fldChar w:fldCharType="separate"/>
        </w:r>
        <w:r w:rsidR="00DB579D">
          <w:rPr>
            <w:noProof/>
            <w:webHidden/>
          </w:rPr>
          <w:t>312</w:t>
        </w:r>
        <w:r>
          <w:rPr>
            <w:noProof/>
            <w:webHidden/>
          </w:rPr>
          <w:fldChar w:fldCharType="end"/>
        </w:r>
      </w:hyperlink>
    </w:p>
    <w:p w14:paraId="2337371D" w14:textId="1D904458" w:rsidR="00A028FE" w:rsidRDefault="00A028FE">
      <w:pPr>
        <w:pStyle w:val="TableofFigures"/>
        <w:rPr>
          <w:rFonts w:asciiTheme="minorHAnsi" w:hAnsiTheme="minorHAnsi" w:cstheme="minorBidi"/>
          <w:noProof/>
          <w:kern w:val="2"/>
          <w:lang w:val="en-GB"/>
          <w14:ligatures w14:val="standardContextual"/>
        </w:rPr>
      </w:pPr>
      <w:hyperlink w:anchor="_Toc193035919" w:history="1">
        <w:r w:rsidRPr="00832286">
          <w:rPr>
            <w:rStyle w:val="Hyperlink"/>
          </w:rPr>
          <w:t>Slika 4–24. Cijene prirodnog plina za kupce u Hrvatskoj u kategoriji poduzetništvo</w:t>
        </w:r>
        <w:r>
          <w:rPr>
            <w:noProof/>
            <w:webHidden/>
          </w:rPr>
          <w:tab/>
        </w:r>
        <w:r>
          <w:rPr>
            <w:noProof/>
            <w:webHidden/>
          </w:rPr>
          <w:fldChar w:fldCharType="begin"/>
        </w:r>
        <w:r>
          <w:rPr>
            <w:noProof/>
            <w:webHidden/>
          </w:rPr>
          <w:instrText xml:space="preserve"> PAGEREF _Toc193035919 \h </w:instrText>
        </w:r>
        <w:r>
          <w:rPr>
            <w:noProof/>
            <w:webHidden/>
          </w:rPr>
        </w:r>
        <w:r>
          <w:rPr>
            <w:noProof/>
            <w:webHidden/>
          </w:rPr>
          <w:fldChar w:fldCharType="separate"/>
        </w:r>
        <w:r w:rsidR="00DB579D">
          <w:rPr>
            <w:noProof/>
            <w:webHidden/>
          </w:rPr>
          <w:t>312</w:t>
        </w:r>
        <w:r>
          <w:rPr>
            <w:noProof/>
            <w:webHidden/>
          </w:rPr>
          <w:fldChar w:fldCharType="end"/>
        </w:r>
      </w:hyperlink>
    </w:p>
    <w:p w14:paraId="184A2416" w14:textId="7D37D6BE" w:rsidR="00A028FE" w:rsidRDefault="00A028FE">
      <w:pPr>
        <w:pStyle w:val="TableofFigures"/>
        <w:rPr>
          <w:rFonts w:asciiTheme="minorHAnsi" w:hAnsiTheme="minorHAnsi" w:cstheme="minorBidi"/>
          <w:noProof/>
          <w:kern w:val="2"/>
          <w:lang w:val="en-GB"/>
          <w14:ligatures w14:val="standardContextual"/>
        </w:rPr>
      </w:pPr>
      <w:hyperlink w:anchor="_Toc193035920" w:history="1">
        <w:r w:rsidRPr="00832286">
          <w:rPr>
            <w:rStyle w:val="Hyperlink"/>
          </w:rPr>
          <w:t>Slika 4–25.</w:t>
        </w:r>
        <w:r>
          <w:rPr>
            <w:rFonts w:asciiTheme="minorHAnsi" w:hAnsiTheme="minorHAnsi" w:cstheme="minorBidi"/>
            <w:noProof/>
            <w:kern w:val="2"/>
            <w:lang w:val="en-GB"/>
            <w14:ligatures w14:val="standardContextual"/>
          </w:rPr>
          <w:tab/>
        </w:r>
        <w:r w:rsidRPr="00832286">
          <w:rPr>
            <w:rStyle w:val="Hyperlink"/>
          </w:rPr>
          <w:t>Struktura maloprodajne cijene električne energije</w:t>
        </w:r>
        <w:r>
          <w:rPr>
            <w:noProof/>
            <w:webHidden/>
          </w:rPr>
          <w:tab/>
        </w:r>
        <w:r>
          <w:rPr>
            <w:noProof/>
            <w:webHidden/>
          </w:rPr>
          <w:fldChar w:fldCharType="begin"/>
        </w:r>
        <w:r>
          <w:rPr>
            <w:noProof/>
            <w:webHidden/>
          </w:rPr>
          <w:instrText xml:space="preserve"> PAGEREF _Toc193035920 \h </w:instrText>
        </w:r>
        <w:r>
          <w:rPr>
            <w:noProof/>
            <w:webHidden/>
          </w:rPr>
        </w:r>
        <w:r>
          <w:rPr>
            <w:noProof/>
            <w:webHidden/>
          </w:rPr>
          <w:fldChar w:fldCharType="separate"/>
        </w:r>
        <w:r w:rsidR="00DB579D">
          <w:rPr>
            <w:noProof/>
            <w:webHidden/>
          </w:rPr>
          <w:t>316</w:t>
        </w:r>
        <w:r>
          <w:rPr>
            <w:noProof/>
            <w:webHidden/>
          </w:rPr>
          <w:fldChar w:fldCharType="end"/>
        </w:r>
      </w:hyperlink>
    </w:p>
    <w:p w14:paraId="6F572BF8" w14:textId="315AEC29" w:rsidR="00A028FE" w:rsidRDefault="00A028FE">
      <w:pPr>
        <w:pStyle w:val="TableofFigures"/>
        <w:rPr>
          <w:rFonts w:asciiTheme="minorHAnsi" w:hAnsiTheme="minorHAnsi" w:cstheme="minorBidi"/>
          <w:noProof/>
          <w:kern w:val="2"/>
          <w:lang w:val="en-GB"/>
          <w14:ligatures w14:val="standardContextual"/>
        </w:rPr>
      </w:pPr>
      <w:hyperlink w:anchor="_Toc193035921" w:history="1">
        <w:r w:rsidRPr="00832286">
          <w:rPr>
            <w:rStyle w:val="Hyperlink"/>
          </w:rPr>
          <w:t>Slika 4–26.</w:t>
        </w:r>
        <w:r>
          <w:rPr>
            <w:rFonts w:asciiTheme="minorHAnsi" w:hAnsiTheme="minorHAnsi" w:cstheme="minorBidi"/>
            <w:noProof/>
            <w:kern w:val="2"/>
            <w:lang w:val="en-GB"/>
            <w14:ligatures w14:val="standardContextual"/>
          </w:rPr>
          <w:tab/>
        </w:r>
        <w:r w:rsidRPr="00832286">
          <w:rPr>
            <w:rStyle w:val="Hyperlink"/>
          </w:rPr>
          <w:t>Struktura ukupne cijene električne energije za krajnje kupce u Republici Hrvatskoj prema EUROSTAT-ovim razredima potrošnje u 2023. godini</w:t>
        </w:r>
        <w:r>
          <w:rPr>
            <w:noProof/>
            <w:webHidden/>
          </w:rPr>
          <w:tab/>
        </w:r>
        <w:r>
          <w:rPr>
            <w:noProof/>
            <w:webHidden/>
          </w:rPr>
          <w:fldChar w:fldCharType="begin"/>
        </w:r>
        <w:r>
          <w:rPr>
            <w:noProof/>
            <w:webHidden/>
          </w:rPr>
          <w:instrText xml:space="preserve"> PAGEREF _Toc193035921 \h </w:instrText>
        </w:r>
        <w:r>
          <w:rPr>
            <w:noProof/>
            <w:webHidden/>
          </w:rPr>
        </w:r>
        <w:r>
          <w:rPr>
            <w:noProof/>
            <w:webHidden/>
          </w:rPr>
          <w:fldChar w:fldCharType="separate"/>
        </w:r>
        <w:r w:rsidR="00DB579D">
          <w:rPr>
            <w:noProof/>
            <w:webHidden/>
          </w:rPr>
          <w:t>317</w:t>
        </w:r>
        <w:r>
          <w:rPr>
            <w:noProof/>
            <w:webHidden/>
          </w:rPr>
          <w:fldChar w:fldCharType="end"/>
        </w:r>
      </w:hyperlink>
    </w:p>
    <w:p w14:paraId="7E3EA9F9" w14:textId="74DFB376" w:rsidR="00A028FE" w:rsidRDefault="00A028FE">
      <w:pPr>
        <w:pStyle w:val="TableofFigures"/>
        <w:rPr>
          <w:rFonts w:asciiTheme="minorHAnsi" w:hAnsiTheme="minorHAnsi" w:cstheme="minorBidi"/>
          <w:noProof/>
          <w:kern w:val="2"/>
          <w:lang w:val="en-GB"/>
          <w14:ligatures w14:val="standardContextual"/>
        </w:rPr>
      </w:pPr>
      <w:hyperlink w:anchor="_Toc193035922" w:history="1">
        <w:r w:rsidRPr="00832286">
          <w:rPr>
            <w:rStyle w:val="Hyperlink"/>
          </w:rPr>
          <w:t>Slika 5–1. Projekcije emisija stakleničkih plinova za scenarij s postojećim mjerama (WEM) i scenarij s dodatnim mjerama (WAM) – energetski izvori</w:t>
        </w:r>
        <w:r>
          <w:rPr>
            <w:noProof/>
            <w:webHidden/>
          </w:rPr>
          <w:tab/>
        </w:r>
        <w:r>
          <w:rPr>
            <w:noProof/>
            <w:webHidden/>
          </w:rPr>
          <w:fldChar w:fldCharType="begin"/>
        </w:r>
        <w:r>
          <w:rPr>
            <w:noProof/>
            <w:webHidden/>
          </w:rPr>
          <w:instrText xml:space="preserve"> PAGEREF _Toc193035922 \h </w:instrText>
        </w:r>
        <w:r>
          <w:rPr>
            <w:noProof/>
            <w:webHidden/>
          </w:rPr>
        </w:r>
        <w:r>
          <w:rPr>
            <w:noProof/>
            <w:webHidden/>
          </w:rPr>
          <w:fldChar w:fldCharType="separate"/>
        </w:r>
        <w:r w:rsidR="00DB579D">
          <w:rPr>
            <w:noProof/>
            <w:webHidden/>
          </w:rPr>
          <w:t>323</w:t>
        </w:r>
        <w:r>
          <w:rPr>
            <w:noProof/>
            <w:webHidden/>
          </w:rPr>
          <w:fldChar w:fldCharType="end"/>
        </w:r>
      </w:hyperlink>
    </w:p>
    <w:p w14:paraId="450BB06A" w14:textId="1C693749" w:rsidR="00A028FE" w:rsidRDefault="00A028FE">
      <w:pPr>
        <w:pStyle w:val="TableofFigures"/>
        <w:rPr>
          <w:rFonts w:asciiTheme="minorHAnsi" w:hAnsiTheme="minorHAnsi" w:cstheme="minorBidi"/>
          <w:noProof/>
          <w:kern w:val="2"/>
          <w:lang w:val="en-GB"/>
          <w14:ligatures w14:val="standardContextual"/>
        </w:rPr>
      </w:pPr>
      <w:hyperlink w:anchor="_Toc193035923" w:history="1">
        <w:r w:rsidRPr="00832286">
          <w:rPr>
            <w:rStyle w:val="Hyperlink"/>
          </w:rPr>
          <w:t>Slika 5–2. Projekcije emisija stakleničkih plinova za scenarij s postojećim mjerama (WEM) i scenarij s dodatnim mjerama (WAM) – ne-energetski izvori</w:t>
        </w:r>
        <w:r>
          <w:rPr>
            <w:noProof/>
            <w:webHidden/>
          </w:rPr>
          <w:tab/>
        </w:r>
        <w:r>
          <w:rPr>
            <w:noProof/>
            <w:webHidden/>
          </w:rPr>
          <w:fldChar w:fldCharType="begin"/>
        </w:r>
        <w:r>
          <w:rPr>
            <w:noProof/>
            <w:webHidden/>
          </w:rPr>
          <w:instrText xml:space="preserve"> PAGEREF _Toc193035923 \h </w:instrText>
        </w:r>
        <w:r>
          <w:rPr>
            <w:noProof/>
            <w:webHidden/>
          </w:rPr>
        </w:r>
        <w:r>
          <w:rPr>
            <w:noProof/>
            <w:webHidden/>
          </w:rPr>
          <w:fldChar w:fldCharType="separate"/>
        </w:r>
        <w:r w:rsidR="00DB579D">
          <w:rPr>
            <w:noProof/>
            <w:webHidden/>
          </w:rPr>
          <w:t>324</w:t>
        </w:r>
        <w:r>
          <w:rPr>
            <w:noProof/>
            <w:webHidden/>
          </w:rPr>
          <w:fldChar w:fldCharType="end"/>
        </w:r>
      </w:hyperlink>
    </w:p>
    <w:p w14:paraId="6C7BAF31" w14:textId="0D6F41A0" w:rsidR="00A028FE" w:rsidRDefault="00A028FE">
      <w:pPr>
        <w:pStyle w:val="TableofFigures"/>
        <w:rPr>
          <w:rFonts w:asciiTheme="minorHAnsi" w:hAnsiTheme="minorHAnsi" w:cstheme="minorBidi"/>
          <w:noProof/>
          <w:kern w:val="2"/>
          <w:lang w:val="en-GB"/>
          <w14:ligatures w14:val="standardContextual"/>
        </w:rPr>
      </w:pPr>
      <w:hyperlink w:anchor="_Toc193035924" w:history="1">
        <w:r w:rsidRPr="00832286">
          <w:rPr>
            <w:rStyle w:val="Hyperlink"/>
          </w:rPr>
          <w:t>Slika 5–3. Projekcija ukupnih emisija stakleničkih plinova, za scenarij s postojećim mjerama (WEM) i scenarij s dodatnim mjerama (WAM)</w:t>
        </w:r>
        <w:r>
          <w:rPr>
            <w:noProof/>
            <w:webHidden/>
          </w:rPr>
          <w:tab/>
        </w:r>
        <w:r>
          <w:rPr>
            <w:noProof/>
            <w:webHidden/>
          </w:rPr>
          <w:fldChar w:fldCharType="begin"/>
        </w:r>
        <w:r>
          <w:rPr>
            <w:noProof/>
            <w:webHidden/>
          </w:rPr>
          <w:instrText xml:space="preserve"> PAGEREF _Toc193035924 \h </w:instrText>
        </w:r>
        <w:r>
          <w:rPr>
            <w:noProof/>
            <w:webHidden/>
          </w:rPr>
        </w:r>
        <w:r>
          <w:rPr>
            <w:noProof/>
            <w:webHidden/>
          </w:rPr>
          <w:fldChar w:fldCharType="separate"/>
        </w:r>
        <w:r w:rsidR="00DB579D">
          <w:rPr>
            <w:noProof/>
            <w:webHidden/>
          </w:rPr>
          <w:t>325</w:t>
        </w:r>
        <w:r>
          <w:rPr>
            <w:noProof/>
            <w:webHidden/>
          </w:rPr>
          <w:fldChar w:fldCharType="end"/>
        </w:r>
      </w:hyperlink>
    </w:p>
    <w:p w14:paraId="5FFCDF16" w14:textId="61C769BD" w:rsidR="00A028FE" w:rsidRDefault="00A028FE">
      <w:pPr>
        <w:pStyle w:val="TableofFigures"/>
        <w:rPr>
          <w:rFonts w:asciiTheme="minorHAnsi" w:hAnsiTheme="minorHAnsi" w:cstheme="minorBidi"/>
          <w:noProof/>
          <w:kern w:val="2"/>
          <w:lang w:val="en-GB"/>
          <w14:ligatures w14:val="standardContextual"/>
        </w:rPr>
      </w:pPr>
      <w:hyperlink w:anchor="_Toc193035925" w:history="1">
        <w:r w:rsidRPr="00832286">
          <w:rPr>
            <w:rStyle w:val="Hyperlink"/>
          </w:rPr>
          <w:t>Slika 5–4. Projekcija emisija stakleničkih plinova iz sektora izvan ETS-a, za scenarij s postojećim mjerama i scenarij s dodatnim mjerama</w:t>
        </w:r>
        <w:r>
          <w:rPr>
            <w:noProof/>
            <w:webHidden/>
          </w:rPr>
          <w:tab/>
        </w:r>
        <w:r>
          <w:rPr>
            <w:noProof/>
            <w:webHidden/>
          </w:rPr>
          <w:fldChar w:fldCharType="begin"/>
        </w:r>
        <w:r>
          <w:rPr>
            <w:noProof/>
            <w:webHidden/>
          </w:rPr>
          <w:instrText xml:space="preserve"> PAGEREF _Toc193035925 \h </w:instrText>
        </w:r>
        <w:r>
          <w:rPr>
            <w:noProof/>
            <w:webHidden/>
          </w:rPr>
        </w:r>
        <w:r>
          <w:rPr>
            <w:noProof/>
            <w:webHidden/>
          </w:rPr>
          <w:fldChar w:fldCharType="separate"/>
        </w:r>
        <w:r w:rsidR="00DB579D">
          <w:rPr>
            <w:noProof/>
            <w:webHidden/>
          </w:rPr>
          <w:t>327</w:t>
        </w:r>
        <w:r>
          <w:rPr>
            <w:noProof/>
            <w:webHidden/>
          </w:rPr>
          <w:fldChar w:fldCharType="end"/>
        </w:r>
      </w:hyperlink>
    </w:p>
    <w:p w14:paraId="03074B9A" w14:textId="53366118" w:rsidR="00A028FE" w:rsidRDefault="00A028FE">
      <w:pPr>
        <w:pStyle w:val="TableofFigures"/>
        <w:rPr>
          <w:rFonts w:asciiTheme="minorHAnsi" w:hAnsiTheme="minorHAnsi" w:cstheme="minorBidi"/>
          <w:noProof/>
          <w:kern w:val="2"/>
          <w:lang w:val="en-GB"/>
          <w14:ligatures w14:val="standardContextual"/>
        </w:rPr>
      </w:pPr>
      <w:hyperlink w:anchor="_Toc193035926" w:history="1">
        <w:r w:rsidRPr="00832286">
          <w:rPr>
            <w:rStyle w:val="Hyperlink"/>
          </w:rPr>
          <w:t>Slika 5–5. Projekcija emisija stakleničkih plinova iz ETS sektora, za scenarij s postojećim mjerama (WEM) i scenarij s dodatnim mjerama (WAM)</w:t>
        </w:r>
        <w:r>
          <w:rPr>
            <w:noProof/>
            <w:webHidden/>
          </w:rPr>
          <w:tab/>
        </w:r>
        <w:r>
          <w:rPr>
            <w:noProof/>
            <w:webHidden/>
          </w:rPr>
          <w:fldChar w:fldCharType="begin"/>
        </w:r>
        <w:r>
          <w:rPr>
            <w:noProof/>
            <w:webHidden/>
          </w:rPr>
          <w:instrText xml:space="preserve"> PAGEREF _Toc193035926 \h </w:instrText>
        </w:r>
        <w:r>
          <w:rPr>
            <w:noProof/>
            <w:webHidden/>
          </w:rPr>
        </w:r>
        <w:r>
          <w:rPr>
            <w:noProof/>
            <w:webHidden/>
          </w:rPr>
          <w:fldChar w:fldCharType="separate"/>
        </w:r>
        <w:r w:rsidR="00DB579D">
          <w:rPr>
            <w:noProof/>
            <w:webHidden/>
          </w:rPr>
          <w:t>327</w:t>
        </w:r>
        <w:r>
          <w:rPr>
            <w:noProof/>
            <w:webHidden/>
          </w:rPr>
          <w:fldChar w:fldCharType="end"/>
        </w:r>
      </w:hyperlink>
    </w:p>
    <w:p w14:paraId="49EC090B" w14:textId="43FC1131" w:rsidR="00A028FE" w:rsidRDefault="00A028FE">
      <w:pPr>
        <w:pStyle w:val="TableofFigures"/>
        <w:rPr>
          <w:rFonts w:asciiTheme="minorHAnsi" w:hAnsiTheme="minorHAnsi" w:cstheme="minorBidi"/>
          <w:noProof/>
          <w:kern w:val="2"/>
          <w:lang w:val="en-GB"/>
          <w14:ligatures w14:val="standardContextual"/>
        </w:rPr>
      </w:pPr>
      <w:hyperlink w:anchor="_Toc193035927" w:history="1">
        <w:r w:rsidRPr="00832286">
          <w:rPr>
            <w:rStyle w:val="Hyperlink"/>
          </w:rPr>
          <w:t>Slika 5–6. Apsolutni godišnji učinci ulaganja prema razdobljima</w:t>
        </w:r>
        <w:r>
          <w:rPr>
            <w:noProof/>
            <w:webHidden/>
          </w:rPr>
          <w:tab/>
        </w:r>
        <w:r>
          <w:rPr>
            <w:noProof/>
            <w:webHidden/>
          </w:rPr>
          <w:fldChar w:fldCharType="begin"/>
        </w:r>
        <w:r>
          <w:rPr>
            <w:noProof/>
            <w:webHidden/>
          </w:rPr>
          <w:instrText xml:space="preserve"> PAGEREF _Toc193035927 \h </w:instrText>
        </w:r>
        <w:r>
          <w:rPr>
            <w:noProof/>
            <w:webHidden/>
          </w:rPr>
        </w:r>
        <w:r>
          <w:rPr>
            <w:noProof/>
            <w:webHidden/>
          </w:rPr>
          <w:fldChar w:fldCharType="separate"/>
        </w:r>
        <w:r w:rsidR="00DB579D">
          <w:rPr>
            <w:noProof/>
            <w:webHidden/>
          </w:rPr>
          <w:t>330</w:t>
        </w:r>
        <w:r>
          <w:rPr>
            <w:noProof/>
            <w:webHidden/>
          </w:rPr>
          <w:fldChar w:fldCharType="end"/>
        </w:r>
      </w:hyperlink>
    </w:p>
    <w:p w14:paraId="7F23CA61" w14:textId="791F0836" w:rsidR="00A028FE" w:rsidRDefault="00A028FE">
      <w:pPr>
        <w:pStyle w:val="TableofFigures"/>
        <w:rPr>
          <w:rFonts w:asciiTheme="minorHAnsi" w:hAnsiTheme="minorHAnsi" w:cstheme="minorBidi"/>
          <w:noProof/>
          <w:kern w:val="2"/>
          <w:lang w:val="en-GB"/>
          <w14:ligatures w14:val="standardContextual"/>
        </w:rPr>
      </w:pPr>
      <w:hyperlink w:anchor="_Toc193035928" w:history="1">
        <w:r w:rsidRPr="00832286">
          <w:rPr>
            <w:rStyle w:val="Hyperlink"/>
          </w:rPr>
          <w:t>Slika 5–7. Investicije potrebne za provedbu mjera definiranih NECP-om (milijuna EUR)</w:t>
        </w:r>
        <w:r>
          <w:rPr>
            <w:noProof/>
            <w:webHidden/>
          </w:rPr>
          <w:tab/>
        </w:r>
        <w:r>
          <w:rPr>
            <w:noProof/>
            <w:webHidden/>
          </w:rPr>
          <w:fldChar w:fldCharType="begin"/>
        </w:r>
        <w:r>
          <w:rPr>
            <w:noProof/>
            <w:webHidden/>
          </w:rPr>
          <w:instrText xml:space="preserve"> PAGEREF _Toc193035928 \h </w:instrText>
        </w:r>
        <w:r>
          <w:rPr>
            <w:noProof/>
            <w:webHidden/>
          </w:rPr>
        </w:r>
        <w:r>
          <w:rPr>
            <w:noProof/>
            <w:webHidden/>
          </w:rPr>
          <w:fldChar w:fldCharType="separate"/>
        </w:r>
        <w:r w:rsidR="00DB579D">
          <w:rPr>
            <w:noProof/>
            <w:webHidden/>
          </w:rPr>
          <w:t>336</w:t>
        </w:r>
        <w:r>
          <w:rPr>
            <w:noProof/>
            <w:webHidden/>
          </w:rPr>
          <w:fldChar w:fldCharType="end"/>
        </w:r>
      </w:hyperlink>
    </w:p>
    <w:p w14:paraId="17CE82BB" w14:textId="1B17E4D9" w:rsidR="00921CA5" w:rsidRPr="00921CA5" w:rsidRDefault="00921CA5" w:rsidP="008711A2">
      <w:r>
        <w:fldChar w:fldCharType="end"/>
      </w:r>
    </w:p>
    <w:p w14:paraId="1567712B" w14:textId="29E37285" w:rsidR="00002693" w:rsidRPr="00B47BDA" w:rsidRDefault="00F458D6" w:rsidP="001B6A5D">
      <w:pPr>
        <w:pStyle w:val="Heading1"/>
        <w:numPr>
          <w:ilvl w:val="0"/>
          <w:numId w:val="175"/>
        </w:numPr>
      </w:pPr>
      <w:bookmarkStart w:id="790" w:name="_Toc187418376"/>
      <w:bookmarkStart w:id="791" w:name="_Toc193043301"/>
      <w:bookmarkStart w:id="792" w:name="_Toc531935276"/>
      <w:bookmarkStart w:id="793" w:name="_Toc531945138"/>
      <w:bookmarkStart w:id="794" w:name="_Toc6302396"/>
      <w:r w:rsidRPr="00B47BDA">
        <w:lastRenderedPageBreak/>
        <w:t>P</w:t>
      </w:r>
      <w:r w:rsidR="00210967" w:rsidRPr="00B47BDA">
        <w:t>OPIS TABLICA</w:t>
      </w:r>
      <w:bookmarkEnd w:id="790"/>
      <w:bookmarkEnd w:id="791"/>
    </w:p>
    <w:bookmarkEnd w:id="792"/>
    <w:bookmarkEnd w:id="793"/>
    <w:bookmarkEnd w:id="794"/>
    <w:p w14:paraId="06BA5AB6" w14:textId="6D213C9C" w:rsidR="00D4048C" w:rsidRDefault="00A87274">
      <w:pPr>
        <w:pStyle w:val="TableofFigures"/>
        <w:rPr>
          <w:rFonts w:asciiTheme="minorHAnsi" w:hAnsiTheme="minorHAnsi" w:cstheme="minorBidi"/>
          <w:noProof/>
          <w:kern w:val="2"/>
          <w:lang w:val="en-GB"/>
          <w14:ligatures w14:val="standardContextual"/>
        </w:rPr>
      </w:pPr>
      <w:r w:rsidRPr="00B47BDA">
        <w:fldChar w:fldCharType="begin"/>
      </w:r>
      <w:r>
        <w:instrText xml:space="preserve"> TOC \h \z \c "Tablica" </w:instrText>
      </w:r>
      <w:r w:rsidRPr="00B47BDA">
        <w:fldChar w:fldCharType="separate"/>
      </w:r>
      <w:hyperlink w:anchor="_Toc193035929" w:history="1">
        <w:r w:rsidR="00D4048C" w:rsidRPr="00456370">
          <w:rPr>
            <w:rStyle w:val="Hyperlink"/>
          </w:rPr>
          <w:t>Tablica 1</w:t>
        </w:r>
        <w:r w:rsidR="00D4048C" w:rsidRPr="00456370">
          <w:rPr>
            <w:rStyle w:val="Hyperlink"/>
          </w:rPr>
          <w:noBreakHyphen/>
          <w:t>1. Ciljevi smanjenja emisija stakleničkih plinova</w:t>
        </w:r>
        <w:r w:rsidR="00D4048C">
          <w:rPr>
            <w:noProof/>
            <w:webHidden/>
          </w:rPr>
          <w:tab/>
        </w:r>
        <w:r w:rsidR="00D4048C">
          <w:rPr>
            <w:noProof/>
            <w:webHidden/>
          </w:rPr>
          <w:fldChar w:fldCharType="begin"/>
        </w:r>
        <w:r w:rsidR="00D4048C">
          <w:rPr>
            <w:noProof/>
            <w:webHidden/>
          </w:rPr>
          <w:instrText xml:space="preserve"> PAGEREF _Toc193035929 \h </w:instrText>
        </w:r>
        <w:r w:rsidR="00D4048C">
          <w:rPr>
            <w:noProof/>
            <w:webHidden/>
          </w:rPr>
        </w:r>
        <w:r w:rsidR="00D4048C">
          <w:rPr>
            <w:noProof/>
            <w:webHidden/>
          </w:rPr>
          <w:fldChar w:fldCharType="separate"/>
        </w:r>
        <w:r w:rsidR="00DB579D">
          <w:rPr>
            <w:noProof/>
            <w:webHidden/>
          </w:rPr>
          <w:t>10</w:t>
        </w:r>
        <w:r w:rsidR="00D4048C">
          <w:rPr>
            <w:noProof/>
            <w:webHidden/>
          </w:rPr>
          <w:fldChar w:fldCharType="end"/>
        </w:r>
      </w:hyperlink>
    </w:p>
    <w:p w14:paraId="3636AEAA" w14:textId="72B434D5" w:rsidR="00D4048C" w:rsidRDefault="00D4048C">
      <w:pPr>
        <w:pStyle w:val="TableofFigures"/>
        <w:rPr>
          <w:rFonts w:asciiTheme="minorHAnsi" w:hAnsiTheme="minorHAnsi" w:cstheme="minorBidi"/>
          <w:noProof/>
          <w:kern w:val="2"/>
          <w:lang w:val="en-GB"/>
          <w14:ligatures w14:val="standardContextual"/>
        </w:rPr>
      </w:pPr>
      <w:hyperlink w:anchor="_Toc193035930" w:history="1">
        <w:r w:rsidRPr="00456370">
          <w:rPr>
            <w:rStyle w:val="Hyperlink"/>
          </w:rPr>
          <w:t>Tablica 1</w:t>
        </w:r>
        <w:r w:rsidRPr="00456370">
          <w:rPr>
            <w:rStyle w:val="Hyperlink"/>
          </w:rPr>
          <w:noBreakHyphen/>
          <w:t>2. Cilj povećanja neto uklanjanja ponorima stakleničkih plinova u sektoru LULUCF-a</w:t>
        </w:r>
        <w:r>
          <w:rPr>
            <w:noProof/>
            <w:webHidden/>
          </w:rPr>
          <w:tab/>
        </w:r>
        <w:r>
          <w:rPr>
            <w:noProof/>
            <w:webHidden/>
          </w:rPr>
          <w:fldChar w:fldCharType="begin"/>
        </w:r>
        <w:r>
          <w:rPr>
            <w:noProof/>
            <w:webHidden/>
          </w:rPr>
          <w:instrText xml:space="preserve"> PAGEREF _Toc193035930 \h </w:instrText>
        </w:r>
        <w:r>
          <w:rPr>
            <w:noProof/>
            <w:webHidden/>
          </w:rPr>
        </w:r>
        <w:r>
          <w:rPr>
            <w:noProof/>
            <w:webHidden/>
          </w:rPr>
          <w:fldChar w:fldCharType="separate"/>
        </w:r>
        <w:r w:rsidR="00DB579D">
          <w:rPr>
            <w:noProof/>
            <w:webHidden/>
          </w:rPr>
          <w:t>10</w:t>
        </w:r>
        <w:r>
          <w:rPr>
            <w:noProof/>
            <w:webHidden/>
          </w:rPr>
          <w:fldChar w:fldCharType="end"/>
        </w:r>
      </w:hyperlink>
    </w:p>
    <w:p w14:paraId="6AD79296" w14:textId="0047FE66" w:rsidR="00D4048C" w:rsidRDefault="00D4048C">
      <w:pPr>
        <w:pStyle w:val="TableofFigures"/>
        <w:rPr>
          <w:rFonts w:asciiTheme="minorHAnsi" w:hAnsiTheme="minorHAnsi" w:cstheme="minorBidi"/>
          <w:noProof/>
          <w:kern w:val="2"/>
          <w:lang w:val="en-GB"/>
          <w14:ligatures w14:val="standardContextual"/>
        </w:rPr>
      </w:pPr>
      <w:hyperlink w:anchor="_Toc193035931" w:history="1">
        <w:r w:rsidRPr="00456370">
          <w:rPr>
            <w:rStyle w:val="Hyperlink"/>
          </w:rPr>
          <w:t>Tablica 1</w:t>
        </w:r>
        <w:r w:rsidRPr="00456370">
          <w:rPr>
            <w:rStyle w:val="Hyperlink"/>
          </w:rPr>
          <w:noBreakHyphen/>
          <w:t>3. Projekcije vrijednosti ključnih indikatora</w:t>
        </w:r>
        <w:r>
          <w:rPr>
            <w:noProof/>
            <w:webHidden/>
          </w:rPr>
          <w:tab/>
        </w:r>
        <w:r>
          <w:rPr>
            <w:noProof/>
            <w:webHidden/>
          </w:rPr>
          <w:fldChar w:fldCharType="begin"/>
        </w:r>
        <w:r>
          <w:rPr>
            <w:noProof/>
            <w:webHidden/>
          </w:rPr>
          <w:instrText xml:space="preserve"> PAGEREF _Toc193035931 \h </w:instrText>
        </w:r>
        <w:r>
          <w:rPr>
            <w:noProof/>
            <w:webHidden/>
          </w:rPr>
        </w:r>
        <w:r>
          <w:rPr>
            <w:noProof/>
            <w:webHidden/>
          </w:rPr>
          <w:fldChar w:fldCharType="separate"/>
        </w:r>
        <w:r w:rsidR="00DB579D">
          <w:rPr>
            <w:noProof/>
            <w:webHidden/>
          </w:rPr>
          <w:t>10</w:t>
        </w:r>
        <w:r>
          <w:rPr>
            <w:noProof/>
            <w:webHidden/>
          </w:rPr>
          <w:fldChar w:fldCharType="end"/>
        </w:r>
      </w:hyperlink>
    </w:p>
    <w:p w14:paraId="6B1F74BC" w14:textId="50EA8166" w:rsidR="00D4048C" w:rsidRDefault="00D4048C">
      <w:pPr>
        <w:pStyle w:val="TableofFigures"/>
        <w:rPr>
          <w:rFonts w:asciiTheme="minorHAnsi" w:hAnsiTheme="minorHAnsi" w:cstheme="minorBidi"/>
          <w:noProof/>
          <w:kern w:val="2"/>
          <w:lang w:val="en-GB"/>
          <w14:ligatures w14:val="standardContextual"/>
        </w:rPr>
      </w:pPr>
      <w:hyperlink w:anchor="_Toc193035932" w:history="1">
        <w:r w:rsidRPr="00456370">
          <w:rPr>
            <w:rStyle w:val="Hyperlink"/>
          </w:rPr>
          <w:t>Tablica 1</w:t>
        </w:r>
        <w:r w:rsidRPr="00456370">
          <w:rPr>
            <w:rStyle w:val="Hyperlink"/>
          </w:rPr>
          <w:noBreakHyphen/>
          <w:t>4. Pregled mjera</w:t>
        </w:r>
        <w:r>
          <w:rPr>
            <w:noProof/>
            <w:webHidden/>
          </w:rPr>
          <w:tab/>
        </w:r>
        <w:r>
          <w:rPr>
            <w:noProof/>
            <w:webHidden/>
          </w:rPr>
          <w:fldChar w:fldCharType="begin"/>
        </w:r>
        <w:r>
          <w:rPr>
            <w:noProof/>
            <w:webHidden/>
          </w:rPr>
          <w:instrText xml:space="preserve"> PAGEREF _Toc193035932 \h </w:instrText>
        </w:r>
        <w:r>
          <w:rPr>
            <w:noProof/>
            <w:webHidden/>
          </w:rPr>
        </w:r>
        <w:r>
          <w:rPr>
            <w:noProof/>
            <w:webHidden/>
          </w:rPr>
          <w:fldChar w:fldCharType="separate"/>
        </w:r>
        <w:r w:rsidR="00DB579D">
          <w:rPr>
            <w:noProof/>
            <w:webHidden/>
          </w:rPr>
          <w:t>12</w:t>
        </w:r>
        <w:r>
          <w:rPr>
            <w:noProof/>
            <w:webHidden/>
          </w:rPr>
          <w:fldChar w:fldCharType="end"/>
        </w:r>
      </w:hyperlink>
    </w:p>
    <w:p w14:paraId="30CE2E09" w14:textId="79418BA4" w:rsidR="00D4048C" w:rsidRDefault="00D4048C">
      <w:pPr>
        <w:pStyle w:val="TableofFigures"/>
        <w:rPr>
          <w:rFonts w:asciiTheme="minorHAnsi" w:hAnsiTheme="minorHAnsi" w:cstheme="minorBidi"/>
          <w:noProof/>
          <w:kern w:val="2"/>
          <w:lang w:val="en-GB"/>
          <w14:ligatures w14:val="standardContextual"/>
        </w:rPr>
      </w:pPr>
      <w:hyperlink w:anchor="_Toc193035933" w:history="1">
        <w:r w:rsidRPr="00456370">
          <w:rPr>
            <w:rStyle w:val="Hyperlink"/>
          </w:rPr>
          <w:t>Tablica 1</w:t>
        </w:r>
        <w:r w:rsidRPr="00456370">
          <w:rPr>
            <w:rStyle w:val="Hyperlink"/>
          </w:rPr>
          <w:noBreakHyphen/>
          <w:t>5. Trenutne mjere unutar dimenzije dekarbonizacije</w:t>
        </w:r>
        <w:r>
          <w:rPr>
            <w:noProof/>
            <w:webHidden/>
          </w:rPr>
          <w:tab/>
        </w:r>
        <w:r>
          <w:rPr>
            <w:noProof/>
            <w:webHidden/>
          </w:rPr>
          <w:fldChar w:fldCharType="begin"/>
        </w:r>
        <w:r>
          <w:rPr>
            <w:noProof/>
            <w:webHidden/>
          </w:rPr>
          <w:instrText xml:space="preserve"> PAGEREF _Toc193035933 \h </w:instrText>
        </w:r>
        <w:r>
          <w:rPr>
            <w:noProof/>
            <w:webHidden/>
          </w:rPr>
        </w:r>
        <w:r>
          <w:rPr>
            <w:noProof/>
            <w:webHidden/>
          </w:rPr>
          <w:fldChar w:fldCharType="separate"/>
        </w:r>
        <w:r w:rsidR="00DB579D">
          <w:rPr>
            <w:noProof/>
            <w:webHidden/>
          </w:rPr>
          <w:t>25</w:t>
        </w:r>
        <w:r>
          <w:rPr>
            <w:noProof/>
            <w:webHidden/>
          </w:rPr>
          <w:fldChar w:fldCharType="end"/>
        </w:r>
      </w:hyperlink>
    </w:p>
    <w:p w14:paraId="70C8CBBC" w14:textId="25791F85" w:rsidR="00D4048C" w:rsidRDefault="00D4048C">
      <w:pPr>
        <w:pStyle w:val="TableofFigures"/>
        <w:rPr>
          <w:rFonts w:asciiTheme="minorHAnsi" w:hAnsiTheme="minorHAnsi" w:cstheme="minorBidi"/>
          <w:noProof/>
          <w:kern w:val="2"/>
          <w:lang w:val="en-GB"/>
          <w14:ligatures w14:val="standardContextual"/>
        </w:rPr>
      </w:pPr>
      <w:hyperlink w:anchor="_Toc193035934" w:history="1">
        <w:r w:rsidRPr="00456370">
          <w:rPr>
            <w:rStyle w:val="Hyperlink"/>
          </w:rPr>
          <w:t>Tablica 1</w:t>
        </w:r>
        <w:r w:rsidRPr="00456370">
          <w:rPr>
            <w:rStyle w:val="Hyperlink"/>
          </w:rPr>
          <w:noBreakHyphen/>
          <w:t>6. Pregled postojećih regulatornih mjera energetske učinkovitosti</w:t>
        </w:r>
        <w:r>
          <w:rPr>
            <w:noProof/>
            <w:webHidden/>
          </w:rPr>
          <w:tab/>
        </w:r>
        <w:r>
          <w:rPr>
            <w:noProof/>
            <w:webHidden/>
          </w:rPr>
          <w:fldChar w:fldCharType="begin"/>
        </w:r>
        <w:r>
          <w:rPr>
            <w:noProof/>
            <w:webHidden/>
          </w:rPr>
          <w:instrText xml:space="preserve"> PAGEREF _Toc193035934 \h </w:instrText>
        </w:r>
        <w:r>
          <w:rPr>
            <w:noProof/>
            <w:webHidden/>
          </w:rPr>
        </w:r>
        <w:r>
          <w:rPr>
            <w:noProof/>
            <w:webHidden/>
          </w:rPr>
          <w:fldChar w:fldCharType="separate"/>
        </w:r>
        <w:r w:rsidR="00DB579D">
          <w:rPr>
            <w:noProof/>
            <w:webHidden/>
          </w:rPr>
          <w:t>45</w:t>
        </w:r>
        <w:r>
          <w:rPr>
            <w:noProof/>
            <w:webHidden/>
          </w:rPr>
          <w:fldChar w:fldCharType="end"/>
        </w:r>
      </w:hyperlink>
    </w:p>
    <w:p w14:paraId="623CDB8A" w14:textId="2E42AE7B" w:rsidR="00D4048C" w:rsidRDefault="00D4048C">
      <w:pPr>
        <w:pStyle w:val="TableofFigures"/>
        <w:rPr>
          <w:rFonts w:asciiTheme="minorHAnsi" w:hAnsiTheme="minorHAnsi" w:cstheme="minorBidi"/>
          <w:noProof/>
          <w:kern w:val="2"/>
          <w:lang w:val="en-GB"/>
          <w14:ligatures w14:val="standardContextual"/>
        </w:rPr>
      </w:pPr>
      <w:hyperlink w:anchor="_Toc193035935" w:history="1">
        <w:r w:rsidRPr="00456370">
          <w:rPr>
            <w:rStyle w:val="Hyperlink"/>
          </w:rPr>
          <w:t>Tablica 1</w:t>
        </w:r>
        <w:r w:rsidRPr="00456370">
          <w:rPr>
            <w:rStyle w:val="Hyperlink"/>
          </w:rPr>
          <w:noBreakHyphen/>
          <w:t>7. Pregled postojećih ne-regulatornih mjera energetske učinkovitosti po sektorima neposredne potrošnje (bez prometa).</w:t>
        </w:r>
        <w:r>
          <w:rPr>
            <w:noProof/>
            <w:webHidden/>
          </w:rPr>
          <w:tab/>
        </w:r>
        <w:r>
          <w:rPr>
            <w:noProof/>
            <w:webHidden/>
          </w:rPr>
          <w:fldChar w:fldCharType="begin"/>
        </w:r>
        <w:r>
          <w:rPr>
            <w:noProof/>
            <w:webHidden/>
          </w:rPr>
          <w:instrText xml:space="preserve"> PAGEREF _Toc193035935 \h </w:instrText>
        </w:r>
        <w:r>
          <w:rPr>
            <w:noProof/>
            <w:webHidden/>
          </w:rPr>
        </w:r>
        <w:r>
          <w:rPr>
            <w:noProof/>
            <w:webHidden/>
          </w:rPr>
          <w:fldChar w:fldCharType="separate"/>
        </w:r>
        <w:r w:rsidR="00DB579D">
          <w:rPr>
            <w:noProof/>
            <w:webHidden/>
          </w:rPr>
          <w:t>48</w:t>
        </w:r>
        <w:r>
          <w:rPr>
            <w:noProof/>
            <w:webHidden/>
          </w:rPr>
          <w:fldChar w:fldCharType="end"/>
        </w:r>
      </w:hyperlink>
    </w:p>
    <w:p w14:paraId="53BF1ADE" w14:textId="612D2029" w:rsidR="00D4048C" w:rsidRDefault="00D4048C">
      <w:pPr>
        <w:pStyle w:val="TableofFigures"/>
        <w:rPr>
          <w:rFonts w:asciiTheme="minorHAnsi" w:hAnsiTheme="minorHAnsi" w:cstheme="minorBidi"/>
          <w:noProof/>
          <w:kern w:val="2"/>
          <w:lang w:val="en-GB"/>
          <w14:ligatures w14:val="standardContextual"/>
        </w:rPr>
      </w:pPr>
      <w:hyperlink w:anchor="_Toc193035936" w:history="1">
        <w:r w:rsidRPr="00456370">
          <w:rPr>
            <w:rStyle w:val="Hyperlink"/>
          </w:rPr>
          <w:t>Tablica 1</w:t>
        </w:r>
        <w:r w:rsidRPr="00456370">
          <w:rPr>
            <w:rStyle w:val="Hyperlink"/>
          </w:rPr>
          <w:noBreakHyphen/>
          <w:t>8. Pregled postojećih međusektorskih mjera energetske učinkovitosti</w:t>
        </w:r>
        <w:r>
          <w:rPr>
            <w:noProof/>
            <w:webHidden/>
          </w:rPr>
          <w:tab/>
        </w:r>
        <w:r>
          <w:rPr>
            <w:noProof/>
            <w:webHidden/>
          </w:rPr>
          <w:fldChar w:fldCharType="begin"/>
        </w:r>
        <w:r>
          <w:rPr>
            <w:noProof/>
            <w:webHidden/>
          </w:rPr>
          <w:instrText xml:space="preserve"> PAGEREF _Toc193035936 \h </w:instrText>
        </w:r>
        <w:r>
          <w:rPr>
            <w:noProof/>
            <w:webHidden/>
          </w:rPr>
        </w:r>
        <w:r>
          <w:rPr>
            <w:noProof/>
            <w:webHidden/>
          </w:rPr>
          <w:fldChar w:fldCharType="separate"/>
        </w:r>
        <w:r w:rsidR="00DB579D">
          <w:rPr>
            <w:noProof/>
            <w:webHidden/>
          </w:rPr>
          <w:t>50</w:t>
        </w:r>
        <w:r>
          <w:rPr>
            <w:noProof/>
            <w:webHidden/>
          </w:rPr>
          <w:fldChar w:fldCharType="end"/>
        </w:r>
      </w:hyperlink>
    </w:p>
    <w:p w14:paraId="65769967" w14:textId="4EAFC99B" w:rsidR="00D4048C" w:rsidRDefault="00D4048C">
      <w:pPr>
        <w:pStyle w:val="TableofFigures"/>
        <w:rPr>
          <w:rFonts w:asciiTheme="minorHAnsi" w:hAnsiTheme="minorHAnsi" w:cstheme="minorBidi"/>
          <w:noProof/>
          <w:kern w:val="2"/>
          <w:lang w:val="en-GB"/>
          <w14:ligatures w14:val="standardContextual"/>
        </w:rPr>
      </w:pPr>
      <w:hyperlink w:anchor="_Toc193035937" w:history="1">
        <w:r w:rsidRPr="00456370">
          <w:rPr>
            <w:rStyle w:val="Hyperlink"/>
          </w:rPr>
          <w:t>Tablica 1</w:t>
        </w:r>
        <w:r w:rsidRPr="00456370">
          <w:rPr>
            <w:rStyle w:val="Hyperlink"/>
          </w:rPr>
          <w:noBreakHyphen/>
          <w:t>9. Pregled postojećih mjera energetske učinkovitosti za energetsku infrastrukturu</w:t>
        </w:r>
        <w:r>
          <w:rPr>
            <w:noProof/>
            <w:webHidden/>
          </w:rPr>
          <w:tab/>
        </w:r>
        <w:r>
          <w:rPr>
            <w:noProof/>
            <w:webHidden/>
          </w:rPr>
          <w:fldChar w:fldCharType="begin"/>
        </w:r>
        <w:r>
          <w:rPr>
            <w:noProof/>
            <w:webHidden/>
          </w:rPr>
          <w:instrText xml:space="preserve"> PAGEREF _Toc193035937 \h </w:instrText>
        </w:r>
        <w:r>
          <w:rPr>
            <w:noProof/>
            <w:webHidden/>
          </w:rPr>
        </w:r>
        <w:r>
          <w:rPr>
            <w:noProof/>
            <w:webHidden/>
          </w:rPr>
          <w:fldChar w:fldCharType="separate"/>
        </w:r>
        <w:r w:rsidR="00DB579D">
          <w:rPr>
            <w:noProof/>
            <w:webHidden/>
          </w:rPr>
          <w:t>51</w:t>
        </w:r>
        <w:r>
          <w:rPr>
            <w:noProof/>
            <w:webHidden/>
          </w:rPr>
          <w:fldChar w:fldCharType="end"/>
        </w:r>
      </w:hyperlink>
    </w:p>
    <w:p w14:paraId="11E7EDB2" w14:textId="091ED9EB" w:rsidR="00D4048C" w:rsidRDefault="00D4048C">
      <w:pPr>
        <w:pStyle w:val="TableofFigures"/>
        <w:rPr>
          <w:rFonts w:asciiTheme="minorHAnsi" w:hAnsiTheme="minorHAnsi" w:cstheme="minorBidi"/>
          <w:noProof/>
          <w:kern w:val="2"/>
          <w:lang w:val="en-GB"/>
          <w14:ligatures w14:val="standardContextual"/>
        </w:rPr>
      </w:pPr>
      <w:hyperlink w:anchor="_Toc193035938" w:history="1">
        <w:r w:rsidRPr="00456370">
          <w:rPr>
            <w:rStyle w:val="Hyperlink"/>
          </w:rPr>
          <w:t>Tablica 1</w:t>
        </w:r>
        <w:r w:rsidRPr="00456370">
          <w:rPr>
            <w:rStyle w:val="Hyperlink"/>
          </w:rPr>
          <w:noBreakHyphen/>
          <w:t>10. Postojeće mjere osiguranja energetske sigurnosti</w:t>
        </w:r>
        <w:r>
          <w:rPr>
            <w:noProof/>
            <w:webHidden/>
          </w:rPr>
          <w:tab/>
        </w:r>
        <w:r>
          <w:rPr>
            <w:noProof/>
            <w:webHidden/>
          </w:rPr>
          <w:fldChar w:fldCharType="begin"/>
        </w:r>
        <w:r>
          <w:rPr>
            <w:noProof/>
            <w:webHidden/>
          </w:rPr>
          <w:instrText xml:space="preserve"> PAGEREF _Toc193035938 \h </w:instrText>
        </w:r>
        <w:r>
          <w:rPr>
            <w:noProof/>
            <w:webHidden/>
          </w:rPr>
        </w:r>
        <w:r>
          <w:rPr>
            <w:noProof/>
            <w:webHidden/>
          </w:rPr>
          <w:fldChar w:fldCharType="separate"/>
        </w:r>
        <w:r w:rsidR="00DB579D">
          <w:rPr>
            <w:noProof/>
            <w:webHidden/>
          </w:rPr>
          <w:t>54</w:t>
        </w:r>
        <w:r>
          <w:rPr>
            <w:noProof/>
            <w:webHidden/>
          </w:rPr>
          <w:fldChar w:fldCharType="end"/>
        </w:r>
      </w:hyperlink>
    </w:p>
    <w:p w14:paraId="09968103" w14:textId="1BC82464" w:rsidR="00D4048C" w:rsidRDefault="00D4048C">
      <w:pPr>
        <w:pStyle w:val="TableofFigures"/>
        <w:rPr>
          <w:rFonts w:asciiTheme="minorHAnsi" w:hAnsiTheme="minorHAnsi" w:cstheme="minorBidi"/>
          <w:noProof/>
          <w:kern w:val="2"/>
          <w:lang w:val="en-GB"/>
          <w14:ligatures w14:val="standardContextual"/>
        </w:rPr>
      </w:pPr>
      <w:hyperlink w:anchor="_Toc193035939" w:history="1">
        <w:r w:rsidRPr="00456370">
          <w:rPr>
            <w:rStyle w:val="Hyperlink"/>
          </w:rPr>
          <w:t>Tablica 1</w:t>
        </w:r>
        <w:r w:rsidRPr="00456370">
          <w:rPr>
            <w:rStyle w:val="Hyperlink"/>
          </w:rPr>
          <w:noBreakHyphen/>
          <w:t>11. Postojeće mjere za infrastrukturu za prijenos energije</w:t>
        </w:r>
        <w:r>
          <w:rPr>
            <w:noProof/>
            <w:webHidden/>
          </w:rPr>
          <w:tab/>
        </w:r>
        <w:r>
          <w:rPr>
            <w:noProof/>
            <w:webHidden/>
          </w:rPr>
          <w:fldChar w:fldCharType="begin"/>
        </w:r>
        <w:r>
          <w:rPr>
            <w:noProof/>
            <w:webHidden/>
          </w:rPr>
          <w:instrText xml:space="preserve"> PAGEREF _Toc193035939 \h </w:instrText>
        </w:r>
        <w:r>
          <w:rPr>
            <w:noProof/>
            <w:webHidden/>
          </w:rPr>
        </w:r>
        <w:r>
          <w:rPr>
            <w:noProof/>
            <w:webHidden/>
          </w:rPr>
          <w:fldChar w:fldCharType="separate"/>
        </w:r>
        <w:r w:rsidR="00DB579D">
          <w:rPr>
            <w:noProof/>
            <w:webHidden/>
          </w:rPr>
          <w:t>59</w:t>
        </w:r>
        <w:r>
          <w:rPr>
            <w:noProof/>
            <w:webHidden/>
          </w:rPr>
          <w:fldChar w:fldCharType="end"/>
        </w:r>
      </w:hyperlink>
    </w:p>
    <w:p w14:paraId="6DDFFE2B" w14:textId="3E0405F2" w:rsidR="00D4048C" w:rsidRDefault="00D4048C">
      <w:pPr>
        <w:pStyle w:val="TableofFigures"/>
        <w:rPr>
          <w:rFonts w:asciiTheme="minorHAnsi" w:hAnsiTheme="minorHAnsi" w:cstheme="minorBidi"/>
          <w:noProof/>
          <w:kern w:val="2"/>
          <w:lang w:val="en-GB"/>
          <w14:ligatures w14:val="standardContextual"/>
        </w:rPr>
      </w:pPr>
      <w:hyperlink w:anchor="_Toc193035940" w:history="1">
        <w:r w:rsidRPr="00456370">
          <w:rPr>
            <w:rStyle w:val="Hyperlink"/>
          </w:rPr>
          <w:t>Tablica 1</w:t>
        </w:r>
        <w:r w:rsidRPr="00456370">
          <w:rPr>
            <w:rStyle w:val="Hyperlink"/>
          </w:rPr>
          <w:noBreakHyphen/>
          <w:t>12. Postojeće mjere zaštite potrošača</w:t>
        </w:r>
        <w:r>
          <w:rPr>
            <w:noProof/>
            <w:webHidden/>
          </w:rPr>
          <w:tab/>
        </w:r>
        <w:r>
          <w:rPr>
            <w:noProof/>
            <w:webHidden/>
          </w:rPr>
          <w:fldChar w:fldCharType="begin"/>
        </w:r>
        <w:r>
          <w:rPr>
            <w:noProof/>
            <w:webHidden/>
          </w:rPr>
          <w:instrText xml:space="preserve"> PAGEREF _Toc193035940 \h </w:instrText>
        </w:r>
        <w:r>
          <w:rPr>
            <w:noProof/>
            <w:webHidden/>
          </w:rPr>
        </w:r>
        <w:r>
          <w:rPr>
            <w:noProof/>
            <w:webHidden/>
          </w:rPr>
          <w:fldChar w:fldCharType="separate"/>
        </w:r>
        <w:r w:rsidR="00DB579D">
          <w:rPr>
            <w:noProof/>
            <w:webHidden/>
          </w:rPr>
          <w:t>63</w:t>
        </w:r>
        <w:r>
          <w:rPr>
            <w:noProof/>
            <w:webHidden/>
          </w:rPr>
          <w:fldChar w:fldCharType="end"/>
        </w:r>
      </w:hyperlink>
    </w:p>
    <w:p w14:paraId="4526ACA9" w14:textId="0FFBA465" w:rsidR="00D4048C" w:rsidRDefault="00D4048C">
      <w:pPr>
        <w:pStyle w:val="TableofFigures"/>
        <w:rPr>
          <w:rFonts w:asciiTheme="minorHAnsi" w:hAnsiTheme="minorHAnsi" w:cstheme="minorBidi"/>
          <w:noProof/>
          <w:kern w:val="2"/>
          <w:lang w:val="en-GB"/>
          <w14:ligatures w14:val="standardContextual"/>
        </w:rPr>
      </w:pPr>
      <w:hyperlink w:anchor="_Toc193035941" w:history="1">
        <w:r w:rsidRPr="00456370">
          <w:rPr>
            <w:rStyle w:val="Hyperlink"/>
          </w:rPr>
          <w:t>Tablica 1</w:t>
        </w:r>
        <w:r w:rsidRPr="00456370">
          <w:rPr>
            <w:rStyle w:val="Hyperlink"/>
          </w:rPr>
          <w:noBreakHyphen/>
          <w:t>13. Postojeće mjere suzbijanja energetskog siromaštva</w:t>
        </w:r>
        <w:r>
          <w:rPr>
            <w:noProof/>
            <w:webHidden/>
          </w:rPr>
          <w:tab/>
        </w:r>
        <w:r>
          <w:rPr>
            <w:noProof/>
            <w:webHidden/>
          </w:rPr>
          <w:fldChar w:fldCharType="begin"/>
        </w:r>
        <w:r>
          <w:rPr>
            <w:noProof/>
            <w:webHidden/>
          </w:rPr>
          <w:instrText xml:space="preserve"> PAGEREF _Toc193035941 \h </w:instrText>
        </w:r>
        <w:r>
          <w:rPr>
            <w:noProof/>
            <w:webHidden/>
          </w:rPr>
        </w:r>
        <w:r>
          <w:rPr>
            <w:noProof/>
            <w:webHidden/>
          </w:rPr>
          <w:fldChar w:fldCharType="separate"/>
        </w:r>
        <w:r w:rsidR="00DB579D">
          <w:rPr>
            <w:noProof/>
            <w:webHidden/>
          </w:rPr>
          <w:t>64</w:t>
        </w:r>
        <w:r>
          <w:rPr>
            <w:noProof/>
            <w:webHidden/>
          </w:rPr>
          <w:fldChar w:fldCharType="end"/>
        </w:r>
      </w:hyperlink>
    </w:p>
    <w:p w14:paraId="77BA9EBE" w14:textId="443082D9" w:rsidR="00D4048C" w:rsidRDefault="00D4048C">
      <w:pPr>
        <w:pStyle w:val="TableofFigures"/>
        <w:rPr>
          <w:rFonts w:asciiTheme="minorHAnsi" w:hAnsiTheme="minorHAnsi" w:cstheme="minorBidi"/>
          <w:noProof/>
          <w:kern w:val="2"/>
          <w:lang w:val="en-GB"/>
          <w14:ligatures w14:val="standardContextual"/>
        </w:rPr>
      </w:pPr>
      <w:hyperlink w:anchor="_Toc193035942" w:history="1">
        <w:r w:rsidRPr="00456370">
          <w:rPr>
            <w:rStyle w:val="Hyperlink"/>
          </w:rPr>
          <w:t>Tablica 2</w:t>
        </w:r>
        <w:r w:rsidRPr="00456370">
          <w:rPr>
            <w:rStyle w:val="Hyperlink"/>
          </w:rPr>
          <w:noBreakHyphen/>
          <w:t>1. Indikativni nacionalni ciljevi za udjele OIE do 2030. godine</w:t>
        </w:r>
        <w:r>
          <w:rPr>
            <w:noProof/>
            <w:webHidden/>
          </w:rPr>
          <w:tab/>
        </w:r>
        <w:r>
          <w:rPr>
            <w:noProof/>
            <w:webHidden/>
          </w:rPr>
          <w:fldChar w:fldCharType="begin"/>
        </w:r>
        <w:r>
          <w:rPr>
            <w:noProof/>
            <w:webHidden/>
          </w:rPr>
          <w:instrText xml:space="preserve"> PAGEREF _Toc193035942 \h </w:instrText>
        </w:r>
        <w:r>
          <w:rPr>
            <w:noProof/>
            <w:webHidden/>
          </w:rPr>
        </w:r>
        <w:r>
          <w:rPr>
            <w:noProof/>
            <w:webHidden/>
          </w:rPr>
          <w:fldChar w:fldCharType="separate"/>
        </w:r>
        <w:r w:rsidR="00DB579D">
          <w:rPr>
            <w:noProof/>
            <w:webHidden/>
          </w:rPr>
          <w:t>80</w:t>
        </w:r>
        <w:r>
          <w:rPr>
            <w:noProof/>
            <w:webHidden/>
          </w:rPr>
          <w:fldChar w:fldCharType="end"/>
        </w:r>
      </w:hyperlink>
    </w:p>
    <w:p w14:paraId="4D68C693" w14:textId="3CDB1618" w:rsidR="00D4048C" w:rsidRDefault="00D4048C">
      <w:pPr>
        <w:pStyle w:val="TableofFigures"/>
        <w:rPr>
          <w:rFonts w:asciiTheme="minorHAnsi" w:hAnsiTheme="minorHAnsi" w:cstheme="minorBidi"/>
          <w:noProof/>
          <w:kern w:val="2"/>
          <w:lang w:val="en-GB"/>
          <w14:ligatures w14:val="standardContextual"/>
        </w:rPr>
      </w:pPr>
      <w:hyperlink w:anchor="_Toc193035943" w:history="1">
        <w:r w:rsidRPr="00456370">
          <w:rPr>
            <w:rStyle w:val="Hyperlink"/>
          </w:rPr>
          <w:t>Tablica 2</w:t>
        </w:r>
        <w:r w:rsidRPr="00456370">
          <w:rPr>
            <w:rStyle w:val="Hyperlink"/>
          </w:rPr>
          <w:noBreakHyphen/>
          <w:t>2. Ocijenjeni doprinos tehnologija za OIE u bruto neposrednoj potrošnji</w:t>
        </w:r>
        <w:r>
          <w:rPr>
            <w:noProof/>
            <w:webHidden/>
          </w:rPr>
          <w:tab/>
        </w:r>
        <w:r>
          <w:rPr>
            <w:noProof/>
            <w:webHidden/>
          </w:rPr>
          <w:fldChar w:fldCharType="begin"/>
        </w:r>
        <w:r>
          <w:rPr>
            <w:noProof/>
            <w:webHidden/>
          </w:rPr>
          <w:instrText xml:space="preserve"> PAGEREF _Toc193035943 \h </w:instrText>
        </w:r>
        <w:r>
          <w:rPr>
            <w:noProof/>
            <w:webHidden/>
          </w:rPr>
        </w:r>
        <w:r>
          <w:rPr>
            <w:noProof/>
            <w:webHidden/>
          </w:rPr>
          <w:fldChar w:fldCharType="separate"/>
        </w:r>
        <w:r w:rsidR="00DB579D">
          <w:rPr>
            <w:noProof/>
            <w:webHidden/>
          </w:rPr>
          <w:t>86</w:t>
        </w:r>
        <w:r>
          <w:rPr>
            <w:noProof/>
            <w:webHidden/>
          </w:rPr>
          <w:fldChar w:fldCharType="end"/>
        </w:r>
      </w:hyperlink>
    </w:p>
    <w:p w14:paraId="4796D071" w14:textId="4F4FFD0C" w:rsidR="00D4048C" w:rsidRDefault="00D4048C">
      <w:pPr>
        <w:pStyle w:val="TableofFigures"/>
        <w:rPr>
          <w:rFonts w:asciiTheme="minorHAnsi" w:hAnsiTheme="minorHAnsi" w:cstheme="minorBidi"/>
          <w:noProof/>
          <w:kern w:val="2"/>
          <w:lang w:val="en-GB"/>
          <w14:ligatures w14:val="standardContextual"/>
        </w:rPr>
      </w:pPr>
      <w:hyperlink w:anchor="_Toc193035944" w:history="1">
        <w:r w:rsidRPr="00456370">
          <w:rPr>
            <w:rStyle w:val="Hyperlink"/>
          </w:rPr>
          <w:t>Tablica 2</w:t>
        </w:r>
        <w:r w:rsidRPr="00456370">
          <w:rPr>
            <w:rStyle w:val="Hyperlink"/>
          </w:rPr>
          <w:noBreakHyphen/>
          <w:t>3. Ocijenjeni doprinos tehnologija za OIE u električnoj energiji</w:t>
        </w:r>
        <w:r>
          <w:rPr>
            <w:noProof/>
            <w:webHidden/>
          </w:rPr>
          <w:tab/>
        </w:r>
        <w:r>
          <w:rPr>
            <w:noProof/>
            <w:webHidden/>
          </w:rPr>
          <w:fldChar w:fldCharType="begin"/>
        </w:r>
        <w:r>
          <w:rPr>
            <w:noProof/>
            <w:webHidden/>
          </w:rPr>
          <w:instrText xml:space="preserve"> PAGEREF _Toc193035944 \h </w:instrText>
        </w:r>
        <w:r>
          <w:rPr>
            <w:noProof/>
            <w:webHidden/>
          </w:rPr>
        </w:r>
        <w:r>
          <w:rPr>
            <w:noProof/>
            <w:webHidden/>
          </w:rPr>
          <w:fldChar w:fldCharType="separate"/>
        </w:r>
        <w:r w:rsidR="00DB579D">
          <w:rPr>
            <w:noProof/>
            <w:webHidden/>
          </w:rPr>
          <w:t>87</w:t>
        </w:r>
        <w:r>
          <w:rPr>
            <w:noProof/>
            <w:webHidden/>
          </w:rPr>
          <w:fldChar w:fldCharType="end"/>
        </w:r>
      </w:hyperlink>
    </w:p>
    <w:p w14:paraId="7FC74D1F" w14:textId="73D51ABF" w:rsidR="00D4048C" w:rsidRDefault="00D4048C">
      <w:pPr>
        <w:pStyle w:val="TableofFigures"/>
        <w:rPr>
          <w:rFonts w:asciiTheme="minorHAnsi" w:hAnsiTheme="minorHAnsi" w:cstheme="minorBidi"/>
          <w:noProof/>
          <w:kern w:val="2"/>
          <w:lang w:val="en-GB"/>
          <w14:ligatures w14:val="standardContextual"/>
        </w:rPr>
      </w:pPr>
      <w:hyperlink w:anchor="_Toc193035945" w:history="1">
        <w:r w:rsidRPr="00456370">
          <w:rPr>
            <w:rStyle w:val="Hyperlink"/>
          </w:rPr>
          <w:t>Tablica 2</w:t>
        </w:r>
        <w:r w:rsidRPr="00456370">
          <w:rPr>
            <w:rStyle w:val="Hyperlink"/>
          </w:rPr>
          <w:noBreakHyphen/>
          <w:t>4. Ocijenjeni doprinos tehnologija za OIE u grijanju i hlađenju</w:t>
        </w:r>
        <w:r>
          <w:rPr>
            <w:noProof/>
            <w:webHidden/>
          </w:rPr>
          <w:tab/>
        </w:r>
        <w:r>
          <w:rPr>
            <w:noProof/>
            <w:webHidden/>
          </w:rPr>
          <w:fldChar w:fldCharType="begin"/>
        </w:r>
        <w:r>
          <w:rPr>
            <w:noProof/>
            <w:webHidden/>
          </w:rPr>
          <w:instrText xml:space="preserve"> PAGEREF _Toc193035945 \h </w:instrText>
        </w:r>
        <w:r>
          <w:rPr>
            <w:noProof/>
            <w:webHidden/>
          </w:rPr>
        </w:r>
        <w:r>
          <w:rPr>
            <w:noProof/>
            <w:webHidden/>
          </w:rPr>
          <w:fldChar w:fldCharType="separate"/>
        </w:r>
        <w:r w:rsidR="00DB579D">
          <w:rPr>
            <w:noProof/>
            <w:webHidden/>
          </w:rPr>
          <w:t>87</w:t>
        </w:r>
        <w:r>
          <w:rPr>
            <w:noProof/>
            <w:webHidden/>
          </w:rPr>
          <w:fldChar w:fldCharType="end"/>
        </w:r>
      </w:hyperlink>
    </w:p>
    <w:p w14:paraId="1BE6A8CF" w14:textId="2C9EA425" w:rsidR="00D4048C" w:rsidRDefault="00D4048C">
      <w:pPr>
        <w:pStyle w:val="TableofFigures"/>
        <w:rPr>
          <w:rFonts w:asciiTheme="minorHAnsi" w:hAnsiTheme="minorHAnsi" w:cstheme="minorBidi"/>
          <w:noProof/>
          <w:kern w:val="2"/>
          <w:lang w:val="en-GB"/>
          <w14:ligatures w14:val="standardContextual"/>
        </w:rPr>
      </w:pPr>
      <w:hyperlink w:anchor="_Toc193035946" w:history="1">
        <w:r w:rsidRPr="00456370">
          <w:rPr>
            <w:rStyle w:val="Hyperlink"/>
          </w:rPr>
          <w:t>Tablica 2</w:t>
        </w:r>
        <w:r w:rsidRPr="00456370">
          <w:rPr>
            <w:rStyle w:val="Hyperlink"/>
          </w:rPr>
          <w:noBreakHyphen/>
          <w:t>5. Ocijenjeni doprinos tehnologija za OIE u prometu</w:t>
        </w:r>
        <w:r>
          <w:rPr>
            <w:noProof/>
            <w:webHidden/>
          </w:rPr>
          <w:tab/>
        </w:r>
        <w:r>
          <w:rPr>
            <w:noProof/>
            <w:webHidden/>
          </w:rPr>
          <w:fldChar w:fldCharType="begin"/>
        </w:r>
        <w:r>
          <w:rPr>
            <w:noProof/>
            <w:webHidden/>
          </w:rPr>
          <w:instrText xml:space="preserve"> PAGEREF _Toc193035946 \h </w:instrText>
        </w:r>
        <w:r>
          <w:rPr>
            <w:noProof/>
            <w:webHidden/>
          </w:rPr>
        </w:r>
        <w:r>
          <w:rPr>
            <w:noProof/>
            <w:webHidden/>
          </w:rPr>
          <w:fldChar w:fldCharType="separate"/>
        </w:r>
        <w:r w:rsidR="00DB579D">
          <w:rPr>
            <w:noProof/>
            <w:webHidden/>
          </w:rPr>
          <w:t>87</w:t>
        </w:r>
        <w:r>
          <w:rPr>
            <w:noProof/>
            <w:webHidden/>
          </w:rPr>
          <w:fldChar w:fldCharType="end"/>
        </w:r>
      </w:hyperlink>
    </w:p>
    <w:p w14:paraId="7AE6BB21" w14:textId="1A2DD77C" w:rsidR="00D4048C" w:rsidRDefault="00D4048C">
      <w:pPr>
        <w:pStyle w:val="TableofFigures"/>
        <w:rPr>
          <w:rFonts w:asciiTheme="minorHAnsi" w:hAnsiTheme="minorHAnsi" w:cstheme="minorBidi"/>
          <w:noProof/>
          <w:kern w:val="2"/>
          <w:lang w:val="en-GB"/>
          <w14:ligatures w14:val="standardContextual"/>
        </w:rPr>
      </w:pPr>
      <w:hyperlink w:anchor="_Toc193035947" w:history="1">
        <w:r w:rsidRPr="00456370">
          <w:rPr>
            <w:rStyle w:val="Hyperlink"/>
          </w:rPr>
          <w:t>Tablica 2</w:t>
        </w:r>
        <w:r w:rsidRPr="00456370">
          <w:rPr>
            <w:rStyle w:val="Hyperlink"/>
          </w:rPr>
          <w:noBreakHyphen/>
          <w:t>6. Očekivana snaga elektrana u scenariju s dodatnim (WAM) mjerama (MW)</w:t>
        </w:r>
        <w:r>
          <w:rPr>
            <w:noProof/>
            <w:webHidden/>
          </w:rPr>
          <w:tab/>
        </w:r>
        <w:r>
          <w:rPr>
            <w:noProof/>
            <w:webHidden/>
          </w:rPr>
          <w:fldChar w:fldCharType="begin"/>
        </w:r>
        <w:r>
          <w:rPr>
            <w:noProof/>
            <w:webHidden/>
          </w:rPr>
          <w:instrText xml:space="preserve"> PAGEREF _Toc193035947 \h </w:instrText>
        </w:r>
        <w:r>
          <w:rPr>
            <w:noProof/>
            <w:webHidden/>
          </w:rPr>
        </w:r>
        <w:r>
          <w:rPr>
            <w:noProof/>
            <w:webHidden/>
          </w:rPr>
          <w:fldChar w:fldCharType="separate"/>
        </w:r>
        <w:r w:rsidR="00DB579D">
          <w:rPr>
            <w:noProof/>
            <w:webHidden/>
          </w:rPr>
          <w:t>89</w:t>
        </w:r>
        <w:r>
          <w:rPr>
            <w:noProof/>
            <w:webHidden/>
          </w:rPr>
          <w:fldChar w:fldCharType="end"/>
        </w:r>
      </w:hyperlink>
    </w:p>
    <w:p w14:paraId="00A5C818" w14:textId="03EFCC7C" w:rsidR="00D4048C" w:rsidRDefault="00D4048C">
      <w:pPr>
        <w:pStyle w:val="TableofFigures"/>
        <w:rPr>
          <w:rFonts w:asciiTheme="minorHAnsi" w:hAnsiTheme="minorHAnsi" w:cstheme="minorBidi"/>
          <w:noProof/>
          <w:kern w:val="2"/>
          <w:lang w:val="en-GB"/>
          <w14:ligatures w14:val="standardContextual"/>
        </w:rPr>
      </w:pPr>
      <w:hyperlink w:anchor="_Toc193035948" w:history="1">
        <w:r w:rsidRPr="00456370">
          <w:rPr>
            <w:rStyle w:val="Hyperlink"/>
          </w:rPr>
          <w:t>Tablica 2</w:t>
        </w:r>
        <w:r w:rsidRPr="00456370">
          <w:rPr>
            <w:rStyle w:val="Hyperlink"/>
          </w:rPr>
          <w:noBreakHyphen/>
          <w:t>7. Okvirni nacionalni ciljevi energetske učinkovitosti u 2030. godini</w:t>
        </w:r>
        <w:r>
          <w:rPr>
            <w:noProof/>
            <w:webHidden/>
          </w:rPr>
          <w:tab/>
        </w:r>
        <w:r>
          <w:rPr>
            <w:noProof/>
            <w:webHidden/>
          </w:rPr>
          <w:fldChar w:fldCharType="begin"/>
        </w:r>
        <w:r>
          <w:rPr>
            <w:noProof/>
            <w:webHidden/>
          </w:rPr>
          <w:instrText xml:space="preserve"> PAGEREF _Toc193035948 \h </w:instrText>
        </w:r>
        <w:r>
          <w:rPr>
            <w:noProof/>
            <w:webHidden/>
          </w:rPr>
        </w:r>
        <w:r>
          <w:rPr>
            <w:noProof/>
            <w:webHidden/>
          </w:rPr>
          <w:fldChar w:fldCharType="separate"/>
        </w:r>
        <w:r w:rsidR="00DB579D">
          <w:rPr>
            <w:noProof/>
            <w:webHidden/>
          </w:rPr>
          <w:t>96</w:t>
        </w:r>
        <w:r>
          <w:rPr>
            <w:noProof/>
            <w:webHidden/>
          </w:rPr>
          <w:fldChar w:fldCharType="end"/>
        </w:r>
      </w:hyperlink>
    </w:p>
    <w:p w14:paraId="72F9F1CB" w14:textId="3E55ED9C" w:rsidR="00D4048C" w:rsidRDefault="00D4048C">
      <w:pPr>
        <w:pStyle w:val="TableofFigures"/>
        <w:rPr>
          <w:rFonts w:asciiTheme="minorHAnsi" w:hAnsiTheme="minorHAnsi" w:cstheme="minorBidi"/>
          <w:noProof/>
          <w:kern w:val="2"/>
          <w:lang w:val="en-GB"/>
          <w14:ligatures w14:val="standardContextual"/>
        </w:rPr>
      </w:pPr>
      <w:hyperlink w:anchor="_Toc193035949" w:history="1">
        <w:r w:rsidRPr="00456370">
          <w:rPr>
            <w:rStyle w:val="Hyperlink"/>
          </w:rPr>
          <w:t>Tablica 2</w:t>
        </w:r>
        <w:r w:rsidRPr="00456370">
          <w:rPr>
            <w:rStyle w:val="Hyperlink"/>
          </w:rPr>
          <w:noBreakHyphen/>
          <w:t>8. Cilj kumulativnih ušteda energije u razdoblju od 2021. do 2030. godine u skladu s člankom 7. Direktive o energetskoj učinkovitosti</w:t>
        </w:r>
        <w:r>
          <w:rPr>
            <w:noProof/>
            <w:webHidden/>
          </w:rPr>
          <w:tab/>
        </w:r>
        <w:r>
          <w:rPr>
            <w:noProof/>
            <w:webHidden/>
          </w:rPr>
          <w:fldChar w:fldCharType="begin"/>
        </w:r>
        <w:r>
          <w:rPr>
            <w:noProof/>
            <w:webHidden/>
          </w:rPr>
          <w:instrText xml:space="preserve"> PAGEREF _Toc193035949 \h </w:instrText>
        </w:r>
        <w:r>
          <w:rPr>
            <w:noProof/>
            <w:webHidden/>
          </w:rPr>
        </w:r>
        <w:r>
          <w:rPr>
            <w:noProof/>
            <w:webHidden/>
          </w:rPr>
          <w:fldChar w:fldCharType="separate"/>
        </w:r>
        <w:r w:rsidR="00DB579D">
          <w:rPr>
            <w:noProof/>
            <w:webHidden/>
          </w:rPr>
          <w:t>99</w:t>
        </w:r>
        <w:r>
          <w:rPr>
            <w:noProof/>
            <w:webHidden/>
          </w:rPr>
          <w:fldChar w:fldCharType="end"/>
        </w:r>
      </w:hyperlink>
    </w:p>
    <w:p w14:paraId="79BDF7F9" w14:textId="4C33C31D" w:rsidR="00D4048C" w:rsidRDefault="00D4048C">
      <w:pPr>
        <w:pStyle w:val="TableofFigures"/>
        <w:rPr>
          <w:rFonts w:asciiTheme="minorHAnsi" w:hAnsiTheme="minorHAnsi" w:cstheme="minorBidi"/>
          <w:noProof/>
          <w:kern w:val="2"/>
          <w:lang w:val="en-GB"/>
          <w14:ligatures w14:val="standardContextual"/>
        </w:rPr>
      </w:pPr>
      <w:hyperlink w:anchor="_Toc193035950" w:history="1">
        <w:r w:rsidRPr="00456370">
          <w:rPr>
            <w:rStyle w:val="Hyperlink"/>
          </w:rPr>
          <w:t>Tablica 2</w:t>
        </w:r>
        <w:r w:rsidRPr="00456370">
          <w:rPr>
            <w:rStyle w:val="Hyperlink"/>
          </w:rPr>
          <w:noBreakHyphen/>
          <w:t>9. Indikativni ciljevi energetske obnove zgrada prema Dugoročnoj strategiji obnove nacionalnog fonda zgrada do 2050. godine</w:t>
        </w:r>
        <w:r>
          <w:rPr>
            <w:noProof/>
            <w:webHidden/>
          </w:rPr>
          <w:tab/>
        </w:r>
        <w:r>
          <w:rPr>
            <w:noProof/>
            <w:webHidden/>
          </w:rPr>
          <w:fldChar w:fldCharType="begin"/>
        </w:r>
        <w:r>
          <w:rPr>
            <w:noProof/>
            <w:webHidden/>
          </w:rPr>
          <w:instrText xml:space="preserve"> PAGEREF _Toc193035950 \h </w:instrText>
        </w:r>
        <w:r>
          <w:rPr>
            <w:noProof/>
            <w:webHidden/>
          </w:rPr>
        </w:r>
        <w:r>
          <w:rPr>
            <w:noProof/>
            <w:webHidden/>
          </w:rPr>
          <w:fldChar w:fldCharType="separate"/>
        </w:r>
        <w:r w:rsidR="00DB579D">
          <w:rPr>
            <w:noProof/>
            <w:webHidden/>
          </w:rPr>
          <w:t>100</w:t>
        </w:r>
        <w:r>
          <w:rPr>
            <w:noProof/>
            <w:webHidden/>
          </w:rPr>
          <w:fldChar w:fldCharType="end"/>
        </w:r>
      </w:hyperlink>
    </w:p>
    <w:p w14:paraId="07DF012C" w14:textId="04754758" w:rsidR="00D4048C" w:rsidRDefault="00D4048C">
      <w:pPr>
        <w:pStyle w:val="TableofFigures"/>
        <w:rPr>
          <w:rFonts w:asciiTheme="minorHAnsi" w:hAnsiTheme="minorHAnsi" w:cstheme="minorBidi"/>
          <w:noProof/>
          <w:kern w:val="2"/>
          <w:lang w:val="en-GB"/>
          <w14:ligatures w14:val="standardContextual"/>
        </w:rPr>
      </w:pPr>
      <w:hyperlink w:anchor="_Toc193035951" w:history="1">
        <w:r w:rsidRPr="00456370">
          <w:rPr>
            <w:rStyle w:val="Hyperlink"/>
          </w:rPr>
          <w:t>Tablica 3</w:t>
        </w:r>
        <w:r w:rsidRPr="00456370">
          <w:rPr>
            <w:rStyle w:val="Hyperlink"/>
          </w:rPr>
          <w:noBreakHyphen/>
          <w:t>1. Pregled raspoloživih izvora financiranja mjera energetske učinkovitosti</w:t>
        </w:r>
        <w:r>
          <w:rPr>
            <w:noProof/>
            <w:webHidden/>
          </w:rPr>
          <w:tab/>
        </w:r>
        <w:r>
          <w:rPr>
            <w:noProof/>
            <w:webHidden/>
          </w:rPr>
          <w:fldChar w:fldCharType="begin"/>
        </w:r>
        <w:r>
          <w:rPr>
            <w:noProof/>
            <w:webHidden/>
          </w:rPr>
          <w:instrText xml:space="preserve"> PAGEREF _Toc193035951 \h </w:instrText>
        </w:r>
        <w:r>
          <w:rPr>
            <w:noProof/>
            <w:webHidden/>
          </w:rPr>
        </w:r>
        <w:r>
          <w:rPr>
            <w:noProof/>
            <w:webHidden/>
          </w:rPr>
          <w:fldChar w:fldCharType="separate"/>
        </w:r>
        <w:r w:rsidR="00DB579D">
          <w:rPr>
            <w:noProof/>
            <w:webHidden/>
          </w:rPr>
          <w:t>244</w:t>
        </w:r>
        <w:r>
          <w:rPr>
            <w:noProof/>
            <w:webHidden/>
          </w:rPr>
          <w:fldChar w:fldCharType="end"/>
        </w:r>
      </w:hyperlink>
    </w:p>
    <w:p w14:paraId="113CB640" w14:textId="773EE951" w:rsidR="00D4048C" w:rsidRDefault="00D4048C">
      <w:pPr>
        <w:pStyle w:val="TableofFigures"/>
        <w:rPr>
          <w:rFonts w:asciiTheme="minorHAnsi" w:hAnsiTheme="minorHAnsi" w:cstheme="minorBidi"/>
          <w:noProof/>
          <w:kern w:val="2"/>
          <w:lang w:val="en-GB"/>
          <w14:ligatures w14:val="standardContextual"/>
        </w:rPr>
      </w:pPr>
      <w:hyperlink w:anchor="_Toc193035952" w:history="1">
        <w:r w:rsidRPr="00456370">
          <w:rPr>
            <w:rStyle w:val="Hyperlink"/>
          </w:rPr>
          <w:t>Tablica 4</w:t>
        </w:r>
        <w:r w:rsidRPr="00456370">
          <w:rPr>
            <w:rStyle w:val="Hyperlink"/>
          </w:rPr>
          <w:noBreakHyphen/>
          <w:t>1. Projekcije ekonomskih parametara na temelju srednjih demografskih projekcija</w:t>
        </w:r>
        <w:r>
          <w:rPr>
            <w:noProof/>
            <w:webHidden/>
          </w:rPr>
          <w:tab/>
        </w:r>
        <w:r>
          <w:rPr>
            <w:noProof/>
            <w:webHidden/>
          </w:rPr>
          <w:fldChar w:fldCharType="begin"/>
        </w:r>
        <w:r>
          <w:rPr>
            <w:noProof/>
            <w:webHidden/>
          </w:rPr>
          <w:instrText xml:space="preserve"> PAGEREF _Toc193035952 \h </w:instrText>
        </w:r>
        <w:r>
          <w:rPr>
            <w:noProof/>
            <w:webHidden/>
          </w:rPr>
        </w:r>
        <w:r>
          <w:rPr>
            <w:noProof/>
            <w:webHidden/>
          </w:rPr>
          <w:fldChar w:fldCharType="separate"/>
        </w:r>
        <w:r w:rsidR="00DB579D">
          <w:rPr>
            <w:noProof/>
            <w:webHidden/>
          </w:rPr>
          <w:t>275</w:t>
        </w:r>
        <w:r>
          <w:rPr>
            <w:noProof/>
            <w:webHidden/>
          </w:rPr>
          <w:fldChar w:fldCharType="end"/>
        </w:r>
      </w:hyperlink>
    </w:p>
    <w:p w14:paraId="612870BE" w14:textId="7EADAE7E" w:rsidR="00D4048C" w:rsidRDefault="00D4048C">
      <w:pPr>
        <w:pStyle w:val="TableofFigures"/>
        <w:rPr>
          <w:rFonts w:asciiTheme="minorHAnsi" w:hAnsiTheme="minorHAnsi" w:cstheme="minorBidi"/>
          <w:noProof/>
          <w:kern w:val="2"/>
          <w:lang w:val="en-GB"/>
          <w14:ligatures w14:val="standardContextual"/>
        </w:rPr>
      </w:pPr>
      <w:hyperlink w:anchor="_Toc193035953" w:history="1">
        <w:r w:rsidRPr="00456370">
          <w:rPr>
            <w:rStyle w:val="Hyperlink"/>
          </w:rPr>
          <w:t>Tablica 4</w:t>
        </w:r>
        <w:r w:rsidRPr="00456370">
          <w:rPr>
            <w:rStyle w:val="Hyperlink"/>
          </w:rPr>
          <w:noBreakHyphen/>
          <w:t>2. Pretpostavljene cijene goriva do 2050. godine</w:t>
        </w:r>
        <w:r>
          <w:rPr>
            <w:noProof/>
            <w:webHidden/>
          </w:rPr>
          <w:tab/>
        </w:r>
        <w:r>
          <w:rPr>
            <w:noProof/>
            <w:webHidden/>
          </w:rPr>
          <w:fldChar w:fldCharType="begin"/>
        </w:r>
        <w:r>
          <w:rPr>
            <w:noProof/>
            <w:webHidden/>
          </w:rPr>
          <w:instrText xml:space="preserve"> PAGEREF _Toc193035953 \h </w:instrText>
        </w:r>
        <w:r>
          <w:rPr>
            <w:noProof/>
            <w:webHidden/>
          </w:rPr>
        </w:r>
        <w:r>
          <w:rPr>
            <w:noProof/>
            <w:webHidden/>
          </w:rPr>
          <w:fldChar w:fldCharType="separate"/>
        </w:r>
        <w:r w:rsidR="00DB579D">
          <w:rPr>
            <w:noProof/>
            <w:webHidden/>
          </w:rPr>
          <w:t>278</w:t>
        </w:r>
        <w:r>
          <w:rPr>
            <w:noProof/>
            <w:webHidden/>
          </w:rPr>
          <w:fldChar w:fldCharType="end"/>
        </w:r>
      </w:hyperlink>
    </w:p>
    <w:p w14:paraId="677A0B67" w14:textId="31391F65" w:rsidR="00D4048C" w:rsidRDefault="00D4048C">
      <w:pPr>
        <w:pStyle w:val="TableofFigures"/>
        <w:rPr>
          <w:rFonts w:asciiTheme="minorHAnsi" w:hAnsiTheme="minorHAnsi" w:cstheme="minorBidi"/>
          <w:noProof/>
          <w:kern w:val="2"/>
          <w:lang w:val="en-GB"/>
          <w14:ligatures w14:val="standardContextual"/>
        </w:rPr>
      </w:pPr>
      <w:hyperlink w:anchor="_Toc193035954" w:history="1">
        <w:r w:rsidRPr="00456370">
          <w:rPr>
            <w:rStyle w:val="Hyperlink"/>
          </w:rPr>
          <w:t>Tablica 4</w:t>
        </w:r>
        <w:r w:rsidRPr="00456370">
          <w:rPr>
            <w:rStyle w:val="Hyperlink"/>
          </w:rPr>
          <w:noBreakHyphen/>
          <w:t>3. Projekcija cijena prirodnog plina</w:t>
        </w:r>
        <w:r>
          <w:rPr>
            <w:noProof/>
            <w:webHidden/>
          </w:rPr>
          <w:tab/>
        </w:r>
        <w:r>
          <w:rPr>
            <w:noProof/>
            <w:webHidden/>
          </w:rPr>
          <w:fldChar w:fldCharType="begin"/>
        </w:r>
        <w:r>
          <w:rPr>
            <w:noProof/>
            <w:webHidden/>
          </w:rPr>
          <w:instrText xml:space="preserve"> PAGEREF _Toc193035954 \h </w:instrText>
        </w:r>
        <w:r>
          <w:rPr>
            <w:noProof/>
            <w:webHidden/>
          </w:rPr>
        </w:r>
        <w:r>
          <w:rPr>
            <w:noProof/>
            <w:webHidden/>
          </w:rPr>
          <w:fldChar w:fldCharType="separate"/>
        </w:r>
        <w:r w:rsidR="00DB579D">
          <w:rPr>
            <w:noProof/>
            <w:webHidden/>
          </w:rPr>
          <w:t>279</w:t>
        </w:r>
        <w:r>
          <w:rPr>
            <w:noProof/>
            <w:webHidden/>
          </w:rPr>
          <w:fldChar w:fldCharType="end"/>
        </w:r>
      </w:hyperlink>
    </w:p>
    <w:p w14:paraId="50145B37" w14:textId="03137D47" w:rsidR="00D4048C" w:rsidRDefault="00D4048C">
      <w:pPr>
        <w:pStyle w:val="TableofFigures"/>
        <w:rPr>
          <w:rFonts w:asciiTheme="minorHAnsi" w:hAnsiTheme="minorHAnsi" w:cstheme="minorBidi"/>
          <w:noProof/>
          <w:kern w:val="2"/>
          <w:lang w:val="en-GB"/>
          <w14:ligatures w14:val="standardContextual"/>
        </w:rPr>
      </w:pPr>
      <w:hyperlink w:anchor="_Toc193035955" w:history="1">
        <w:r w:rsidRPr="00456370">
          <w:rPr>
            <w:rStyle w:val="Hyperlink"/>
          </w:rPr>
          <w:t>Tablica 4</w:t>
        </w:r>
        <w:r w:rsidRPr="00456370">
          <w:rPr>
            <w:rStyle w:val="Hyperlink"/>
          </w:rPr>
          <w:noBreakHyphen/>
          <w:t>4. Projekcije cijena goriva prema IEA</w:t>
        </w:r>
        <w:r>
          <w:rPr>
            <w:noProof/>
            <w:webHidden/>
          </w:rPr>
          <w:tab/>
        </w:r>
        <w:r>
          <w:rPr>
            <w:noProof/>
            <w:webHidden/>
          </w:rPr>
          <w:fldChar w:fldCharType="begin"/>
        </w:r>
        <w:r>
          <w:rPr>
            <w:noProof/>
            <w:webHidden/>
          </w:rPr>
          <w:instrText xml:space="preserve"> PAGEREF _Toc193035955 \h </w:instrText>
        </w:r>
        <w:r>
          <w:rPr>
            <w:noProof/>
            <w:webHidden/>
          </w:rPr>
        </w:r>
        <w:r>
          <w:rPr>
            <w:noProof/>
            <w:webHidden/>
          </w:rPr>
          <w:fldChar w:fldCharType="separate"/>
        </w:r>
        <w:r w:rsidR="00DB579D">
          <w:rPr>
            <w:noProof/>
            <w:webHidden/>
          </w:rPr>
          <w:t>280</w:t>
        </w:r>
        <w:r>
          <w:rPr>
            <w:noProof/>
            <w:webHidden/>
          </w:rPr>
          <w:fldChar w:fldCharType="end"/>
        </w:r>
      </w:hyperlink>
    </w:p>
    <w:p w14:paraId="37FC1CEE" w14:textId="3D3D9C9F" w:rsidR="00D4048C" w:rsidRDefault="00D4048C">
      <w:pPr>
        <w:pStyle w:val="TableofFigures"/>
        <w:rPr>
          <w:rFonts w:asciiTheme="minorHAnsi" w:hAnsiTheme="minorHAnsi" w:cstheme="minorBidi"/>
          <w:noProof/>
          <w:kern w:val="2"/>
          <w:lang w:val="en-GB"/>
          <w14:ligatures w14:val="standardContextual"/>
        </w:rPr>
      </w:pPr>
      <w:hyperlink w:anchor="_Toc193035956" w:history="1">
        <w:r w:rsidRPr="00456370">
          <w:rPr>
            <w:rStyle w:val="Hyperlink"/>
          </w:rPr>
          <w:t>Tablica 4</w:t>
        </w:r>
        <w:r w:rsidRPr="00456370">
          <w:rPr>
            <w:rStyle w:val="Hyperlink"/>
          </w:rPr>
          <w:noBreakHyphen/>
          <w:t>5. Preporučene cijene emisijskih jedinica do 2050. godine</w:t>
        </w:r>
        <w:r>
          <w:rPr>
            <w:noProof/>
            <w:webHidden/>
          </w:rPr>
          <w:tab/>
        </w:r>
        <w:r>
          <w:rPr>
            <w:noProof/>
            <w:webHidden/>
          </w:rPr>
          <w:fldChar w:fldCharType="begin"/>
        </w:r>
        <w:r>
          <w:rPr>
            <w:noProof/>
            <w:webHidden/>
          </w:rPr>
          <w:instrText xml:space="preserve"> PAGEREF _Toc193035956 \h </w:instrText>
        </w:r>
        <w:r>
          <w:rPr>
            <w:noProof/>
            <w:webHidden/>
          </w:rPr>
        </w:r>
        <w:r>
          <w:rPr>
            <w:noProof/>
            <w:webHidden/>
          </w:rPr>
          <w:fldChar w:fldCharType="separate"/>
        </w:r>
        <w:r w:rsidR="00DB579D">
          <w:rPr>
            <w:noProof/>
            <w:webHidden/>
          </w:rPr>
          <w:t>281</w:t>
        </w:r>
        <w:r>
          <w:rPr>
            <w:noProof/>
            <w:webHidden/>
          </w:rPr>
          <w:fldChar w:fldCharType="end"/>
        </w:r>
      </w:hyperlink>
    </w:p>
    <w:p w14:paraId="5DEEA908" w14:textId="56A63F2F" w:rsidR="00D4048C" w:rsidRDefault="00D4048C">
      <w:pPr>
        <w:pStyle w:val="TableofFigures"/>
        <w:rPr>
          <w:rFonts w:asciiTheme="minorHAnsi" w:hAnsiTheme="minorHAnsi" w:cstheme="minorBidi"/>
          <w:noProof/>
          <w:kern w:val="2"/>
          <w:lang w:val="en-GB"/>
          <w14:ligatures w14:val="standardContextual"/>
        </w:rPr>
      </w:pPr>
      <w:hyperlink w:anchor="_Toc193035957" w:history="1">
        <w:r w:rsidRPr="00456370">
          <w:rPr>
            <w:rStyle w:val="Hyperlink"/>
          </w:rPr>
          <w:t>Tablica 4</w:t>
        </w:r>
        <w:r w:rsidRPr="00456370">
          <w:rPr>
            <w:rStyle w:val="Hyperlink"/>
          </w:rPr>
          <w:noBreakHyphen/>
          <w:t>6. Pretpostavljena specifična ulaganja u elektrane</w:t>
        </w:r>
        <w:r>
          <w:rPr>
            <w:noProof/>
            <w:webHidden/>
          </w:rPr>
          <w:tab/>
        </w:r>
        <w:r>
          <w:rPr>
            <w:noProof/>
            <w:webHidden/>
          </w:rPr>
          <w:fldChar w:fldCharType="begin"/>
        </w:r>
        <w:r>
          <w:rPr>
            <w:noProof/>
            <w:webHidden/>
          </w:rPr>
          <w:instrText xml:space="preserve"> PAGEREF _Toc193035957 \h </w:instrText>
        </w:r>
        <w:r>
          <w:rPr>
            <w:noProof/>
            <w:webHidden/>
          </w:rPr>
        </w:r>
        <w:r>
          <w:rPr>
            <w:noProof/>
            <w:webHidden/>
          </w:rPr>
          <w:fldChar w:fldCharType="separate"/>
        </w:r>
        <w:r w:rsidR="00DB579D">
          <w:rPr>
            <w:noProof/>
            <w:webHidden/>
          </w:rPr>
          <w:t>281</w:t>
        </w:r>
        <w:r>
          <w:rPr>
            <w:noProof/>
            <w:webHidden/>
          </w:rPr>
          <w:fldChar w:fldCharType="end"/>
        </w:r>
      </w:hyperlink>
    </w:p>
    <w:p w14:paraId="27D77831" w14:textId="11040B78" w:rsidR="00D4048C" w:rsidRDefault="00D4048C">
      <w:pPr>
        <w:pStyle w:val="TableofFigures"/>
        <w:rPr>
          <w:rFonts w:asciiTheme="minorHAnsi" w:hAnsiTheme="minorHAnsi" w:cstheme="minorBidi"/>
          <w:noProof/>
          <w:kern w:val="2"/>
          <w:lang w:val="en-GB"/>
          <w14:ligatures w14:val="standardContextual"/>
        </w:rPr>
      </w:pPr>
      <w:hyperlink w:anchor="_Toc193035958" w:history="1">
        <w:r w:rsidRPr="00456370">
          <w:rPr>
            <w:rStyle w:val="Hyperlink"/>
          </w:rPr>
          <w:t>Tablica 4</w:t>
        </w:r>
        <w:r w:rsidRPr="00456370">
          <w:rPr>
            <w:rStyle w:val="Hyperlink"/>
          </w:rPr>
          <w:noBreakHyphen/>
          <w:t>7. Specifična ulaganja u baterijske sustave (4 sata spremanja)</w:t>
        </w:r>
        <w:r>
          <w:rPr>
            <w:noProof/>
            <w:webHidden/>
          </w:rPr>
          <w:tab/>
        </w:r>
        <w:r>
          <w:rPr>
            <w:noProof/>
            <w:webHidden/>
          </w:rPr>
          <w:fldChar w:fldCharType="begin"/>
        </w:r>
        <w:r>
          <w:rPr>
            <w:noProof/>
            <w:webHidden/>
          </w:rPr>
          <w:instrText xml:space="preserve"> PAGEREF _Toc193035958 \h </w:instrText>
        </w:r>
        <w:r>
          <w:rPr>
            <w:noProof/>
            <w:webHidden/>
          </w:rPr>
        </w:r>
        <w:r>
          <w:rPr>
            <w:noProof/>
            <w:webHidden/>
          </w:rPr>
          <w:fldChar w:fldCharType="separate"/>
        </w:r>
        <w:r w:rsidR="00DB579D">
          <w:rPr>
            <w:noProof/>
            <w:webHidden/>
          </w:rPr>
          <w:t>282</w:t>
        </w:r>
        <w:r>
          <w:rPr>
            <w:noProof/>
            <w:webHidden/>
          </w:rPr>
          <w:fldChar w:fldCharType="end"/>
        </w:r>
      </w:hyperlink>
    </w:p>
    <w:p w14:paraId="102AB2F1" w14:textId="2B981E86" w:rsidR="00D4048C" w:rsidRDefault="00D4048C">
      <w:pPr>
        <w:pStyle w:val="TableofFigures"/>
        <w:rPr>
          <w:rFonts w:asciiTheme="minorHAnsi" w:hAnsiTheme="minorHAnsi" w:cstheme="minorBidi"/>
          <w:noProof/>
          <w:kern w:val="2"/>
          <w:lang w:val="en-GB"/>
          <w14:ligatures w14:val="standardContextual"/>
        </w:rPr>
      </w:pPr>
      <w:hyperlink w:anchor="_Toc193035959" w:history="1">
        <w:r w:rsidRPr="00456370">
          <w:rPr>
            <w:rStyle w:val="Hyperlink"/>
          </w:rPr>
          <w:t>Tablica 4</w:t>
        </w:r>
        <w:r w:rsidRPr="00456370">
          <w:rPr>
            <w:rStyle w:val="Hyperlink"/>
          </w:rPr>
          <w:noBreakHyphen/>
          <w:t>8. Specifična ulaganja u postrojenja za proizvodnju vodika (elektroliza)</w:t>
        </w:r>
        <w:r>
          <w:rPr>
            <w:noProof/>
            <w:webHidden/>
          </w:rPr>
          <w:tab/>
        </w:r>
        <w:r>
          <w:rPr>
            <w:noProof/>
            <w:webHidden/>
          </w:rPr>
          <w:fldChar w:fldCharType="begin"/>
        </w:r>
        <w:r>
          <w:rPr>
            <w:noProof/>
            <w:webHidden/>
          </w:rPr>
          <w:instrText xml:space="preserve"> PAGEREF _Toc193035959 \h </w:instrText>
        </w:r>
        <w:r>
          <w:rPr>
            <w:noProof/>
            <w:webHidden/>
          </w:rPr>
        </w:r>
        <w:r>
          <w:rPr>
            <w:noProof/>
            <w:webHidden/>
          </w:rPr>
          <w:fldChar w:fldCharType="separate"/>
        </w:r>
        <w:r w:rsidR="00DB579D">
          <w:rPr>
            <w:noProof/>
            <w:webHidden/>
          </w:rPr>
          <w:t>282</w:t>
        </w:r>
        <w:r>
          <w:rPr>
            <w:noProof/>
            <w:webHidden/>
          </w:rPr>
          <w:fldChar w:fldCharType="end"/>
        </w:r>
      </w:hyperlink>
    </w:p>
    <w:p w14:paraId="511F716F" w14:textId="1419E41E" w:rsidR="00D4048C" w:rsidRDefault="00D4048C">
      <w:pPr>
        <w:pStyle w:val="TableofFigures"/>
        <w:rPr>
          <w:rFonts w:asciiTheme="minorHAnsi" w:hAnsiTheme="minorHAnsi" w:cstheme="minorBidi"/>
          <w:noProof/>
          <w:kern w:val="2"/>
          <w:lang w:val="en-GB"/>
          <w14:ligatures w14:val="standardContextual"/>
        </w:rPr>
      </w:pPr>
      <w:hyperlink w:anchor="_Toc193035960" w:history="1">
        <w:r w:rsidRPr="00456370">
          <w:rPr>
            <w:rStyle w:val="Hyperlink"/>
          </w:rPr>
          <w:t>Tablica 4</w:t>
        </w:r>
        <w:r w:rsidRPr="00456370">
          <w:rPr>
            <w:rStyle w:val="Hyperlink"/>
          </w:rPr>
          <w:noBreakHyphen/>
          <w:t>9. Projekcije emisija stakleničkih plinova CO</w:t>
        </w:r>
        <w:r w:rsidRPr="00456370">
          <w:rPr>
            <w:rStyle w:val="Hyperlink"/>
            <w:vertAlign w:val="subscript"/>
          </w:rPr>
          <w:t>2</w:t>
        </w:r>
        <w:r w:rsidRPr="00456370">
          <w:rPr>
            <w:rStyle w:val="Hyperlink"/>
          </w:rPr>
          <w:t>, CH</w:t>
        </w:r>
        <w:r w:rsidRPr="00456370">
          <w:rPr>
            <w:rStyle w:val="Hyperlink"/>
            <w:vertAlign w:val="subscript"/>
          </w:rPr>
          <w:t>4</w:t>
        </w:r>
        <w:r w:rsidRPr="00456370">
          <w:rPr>
            <w:rStyle w:val="Hyperlink"/>
          </w:rPr>
          <w:t>, N</w:t>
        </w:r>
        <w:r w:rsidRPr="00456370">
          <w:rPr>
            <w:rStyle w:val="Hyperlink"/>
            <w:vertAlign w:val="subscript"/>
          </w:rPr>
          <w:t>2</w:t>
        </w:r>
        <w:r w:rsidRPr="00456370">
          <w:rPr>
            <w:rStyle w:val="Hyperlink"/>
          </w:rPr>
          <w:t>O, HFC, SF</w:t>
        </w:r>
        <w:r w:rsidRPr="00456370">
          <w:rPr>
            <w:rStyle w:val="Hyperlink"/>
            <w:vertAlign w:val="subscript"/>
          </w:rPr>
          <w:t>6</w:t>
        </w:r>
        <w:r w:rsidRPr="00456370">
          <w:rPr>
            <w:rStyle w:val="Hyperlink"/>
          </w:rPr>
          <w:t>, za scenarij s postojećim mjerama, kt CO</w:t>
        </w:r>
        <w:r w:rsidRPr="00456370">
          <w:rPr>
            <w:rStyle w:val="Hyperlink"/>
            <w:vertAlign w:val="subscript"/>
          </w:rPr>
          <w:t>2</w:t>
        </w:r>
        <w:r w:rsidRPr="00456370">
          <w:rPr>
            <w:rStyle w:val="Hyperlink"/>
          </w:rPr>
          <w:t>e</w:t>
        </w:r>
        <w:r>
          <w:rPr>
            <w:noProof/>
            <w:webHidden/>
          </w:rPr>
          <w:tab/>
        </w:r>
        <w:r>
          <w:rPr>
            <w:noProof/>
            <w:webHidden/>
          </w:rPr>
          <w:fldChar w:fldCharType="begin"/>
        </w:r>
        <w:r>
          <w:rPr>
            <w:noProof/>
            <w:webHidden/>
          </w:rPr>
          <w:instrText xml:space="preserve"> PAGEREF _Toc193035960 \h </w:instrText>
        </w:r>
        <w:r>
          <w:rPr>
            <w:noProof/>
            <w:webHidden/>
          </w:rPr>
        </w:r>
        <w:r>
          <w:rPr>
            <w:noProof/>
            <w:webHidden/>
          </w:rPr>
          <w:fldChar w:fldCharType="separate"/>
        </w:r>
        <w:r w:rsidR="00DB579D">
          <w:rPr>
            <w:noProof/>
            <w:webHidden/>
          </w:rPr>
          <w:t>286</w:t>
        </w:r>
        <w:r>
          <w:rPr>
            <w:noProof/>
            <w:webHidden/>
          </w:rPr>
          <w:fldChar w:fldCharType="end"/>
        </w:r>
      </w:hyperlink>
    </w:p>
    <w:p w14:paraId="3E4F9DC5" w14:textId="4C21EC20" w:rsidR="00D4048C" w:rsidRDefault="00D4048C">
      <w:pPr>
        <w:pStyle w:val="TableofFigures"/>
        <w:rPr>
          <w:rFonts w:asciiTheme="minorHAnsi" w:hAnsiTheme="minorHAnsi" w:cstheme="minorBidi"/>
          <w:noProof/>
          <w:kern w:val="2"/>
          <w:lang w:val="en-GB"/>
          <w14:ligatures w14:val="standardContextual"/>
        </w:rPr>
      </w:pPr>
      <w:hyperlink w:anchor="_Toc193035961" w:history="1">
        <w:r w:rsidRPr="00456370">
          <w:rPr>
            <w:rStyle w:val="Hyperlink"/>
          </w:rPr>
          <w:t>Tablica 4</w:t>
        </w:r>
        <w:r w:rsidRPr="00456370">
          <w:rPr>
            <w:rStyle w:val="Hyperlink"/>
          </w:rPr>
          <w:noBreakHyphen/>
          <w:t>10. Indikativne putanje za udjele OIE do 2030. godine prema scenariju s postojećim mjerama (WEM)</w:t>
        </w:r>
        <w:r>
          <w:rPr>
            <w:noProof/>
            <w:webHidden/>
          </w:rPr>
          <w:tab/>
        </w:r>
        <w:r>
          <w:rPr>
            <w:noProof/>
            <w:webHidden/>
          </w:rPr>
          <w:fldChar w:fldCharType="begin"/>
        </w:r>
        <w:r>
          <w:rPr>
            <w:noProof/>
            <w:webHidden/>
          </w:rPr>
          <w:instrText xml:space="preserve"> PAGEREF _Toc193035961 \h </w:instrText>
        </w:r>
        <w:r>
          <w:rPr>
            <w:noProof/>
            <w:webHidden/>
          </w:rPr>
        </w:r>
        <w:r>
          <w:rPr>
            <w:noProof/>
            <w:webHidden/>
          </w:rPr>
          <w:fldChar w:fldCharType="separate"/>
        </w:r>
        <w:r w:rsidR="00DB579D">
          <w:rPr>
            <w:noProof/>
            <w:webHidden/>
          </w:rPr>
          <w:t>286</w:t>
        </w:r>
        <w:r>
          <w:rPr>
            <w:noProof/>
            <w:webHidden/>
          </w:rPr>
          <w:fldChar w:fldCharType="end"/>
        </w:r>
      </w:hyperlink>
    </w:p>
    <w:p w14:paraId="0F645E5E" w14:textId="45B072A7" w:rsidR="00D4048C" w:rsidRDefault="00D4048C">
      <w:pPr>
        <w:pStyle w:val="TableofFigures"/>
        <w:rPr>
          <w:rFonts w:asciiTheme="minorHAnsi" w:hAnsiTheme="minorHAnsi" w:cstheme="minorBidi"/>
          <w:noProof/>
          <w:kern w:val="2"/>
          <w:lang w:val="en-GB"/>
          <w14:ligatures w14:val="standardContextual"/>
        </w:rPr>
      </w:pPr>
      <w:hyperlink w:anchor="_Toc193035962" w:history="1">
        <w:r w:rsidRPr="00456370">
          <w:rPr>
            <w:rStyle w:val="Hyperlink"/>
          </w:rPr>
          <w:t>Tablica 4</w:t>
        </w:r>
        <w:r w:rsidRPr="00456370">
          <w:rPr>
            <w:rStyle w:val="Hyperlink"/>
          </w:rPr>
          <w:noBreakHyphen/>
          <w:t>11. Ocijenjeni doprinos tehnologija za OIE u bruto neposrednoj potrošnji (WEM scenarij)</w:t>
        </w:r>
        <w:r>
          <w:rPr>
            <w:noProof/>
            <w:webHidden/>
          </w:rPr>
          <w:tab/>
        </w:r>
        <w:r>
          <w:rPr>
            <w:noProof/>
            <w:webHidden/>
          </w:rPr>
          <w:fldChar w:fldCharType="begin"/>
        </w:r>
        <w:r>
          <w:rPr>
            <w:noProof/>
            <w:webHidden/>
          </w:rPr>
          <w:instrText xml:space="preserve"> PAGEREF _Toc193035962 \h </w:instrText>
        </w:r>
        <w:r>
          <w:rPr>
            <w:noProof/>
            <w:webHidden/>
          </w:rPr>
        </w:r>
        <w:r>
          <w:rPr>
            <w:noProof/>
            <w:webHidden/>
          </w:rPr>
          <w:fldChar w:fldCharType="separate"/>
        </w:r>
        <w:r w:rsidR="00DB579D">
          <w:rPr>
            <w:noProof/>
            <w:webHidden/>
          </w:rPr>
          <w:t>289</w:t>
        </w:r>
        <w:r>
          <w:rPr>
            <w:noProof/>
            <w:webHidden/>
          </w:rPr>
          <w:fldChar w:fldCharType="end"/>
        </w:r>
      </w:hyperlink>
    </w:p>
    <w:p w14:paraId="188500C9" w14:textId="510BC914" w:rsidR="00D4048C" w:rsidRDefault="00D4048C">
      <w:pPr>
        <w:pStyle w:val="TableofFigures"/>
        <w:rPr>
          <w:rFonts w:asciiTheme="minorHAnsi" w:hAnsiTheme="minorHAnsi" w:cstheme="minorBidi"/>
          <w:noProof/>
          <w:kern w:val="2"/>
          <w:lang w:val="en-GB"/>
          <w14:ligatures w14:val="standardContextual"/>
        </w:rPr>
      </w:pPr>
      <w:hyperlink w:anchor="_Toc193035963" w:history="1">
        <w:r w:rsidRPr="00456370">
          <w:rPr>
            <w:rStyle w:val="Hyperlink"/>
          </w:rPr>
          <w:t>Tablica 4</w:t>
        </w:r>
        <w:r w:rsidRPr="00456370">
          <w:rPr>
            <w:rStyle w:val="Hyperlink"/>
          </w:rPr>
          <w:noBreakHyphen/>
          <w:t>12. Ocijenjeni doprinos tehnologija za OIE u električnoj energiji (WEM scenarij)</w:t>
        </w:r>
        <w:r>
          <w:rPr>
            <w:noProof/>
            <w:webHidden/>
          </w:rPr>
          <w:tab/>
        </w:r>
        <w:r>
          <w:rPr>
            <w:noProof/>
            <w:webHidden/>
          </w:rPr>
          <w:fldChar w:fldCharType="begin"/>
        </w:r>
        <w:r>
          <w:rPr>
            <w:noProof/>
            <w:webHidden/>
          </w:rPr>
          <w:instrText xml:space="preserve"> PAGEREF _Toc193035963 \h </w:instrText>
        </w:r>
        <w:r>
          <w:rPr>
            <w:noProof/>
            <w:webHidden/>
          </w:rPr>
        </w:r>
        <w:r>
          <w:rPr>
            <w:noProof/>
            <w:webHidden/>
          </w:rPr>
          <w:fldChar w:fldCharType="separate"/>
        </w:r>
        <w:r w:rsidR="00DB579D">
          <w:rPr>
            <w:noProof/>
            <w:webHidden/>
          </w:rPr>
          <w:t>289</w:t>
        </w:r>
        <w:r>
          <w:rPr>
            <w:noProof/>
            <w:webHidden/>
          </w:rPr>
          <w:fldChar w:fldCharType="end"/>
        </w:r>
      </w:hyperlink>
    </w:p>
    <w:p w14:paraId="417BE12E" w14:textId="3E037D9D" w:rsidR="00D4048C" w:rsidRDefault="00D4048C">
      <w:pPr>
        <w:pStyle w:val="TableofFigures"/>
        <w:rPr>
          <w:rFonts w:asciiTheme="minorHAnsi" w:hAnsiTheme="minorHAnsi" w:cstheme="minorBidi"/>
          <w:noProof/>
          <w:kern w:val="2"/>
          <w:lang w:val="en-GB"/>
          <w14:ligatures w14:val="standardContextual"/>
        </w:rPr>
      </w:pPr>
      <w:hyperlink w:anchor="_Toc193035964" w:history="1">
        <w:r w:rsidRPr="00456370">
          <w:rPr>
            <w:rStyle w:val="Hyperlink"/>
          </w:rPr>
          <w:t>Tablica 4</w:t>
        </w:r>
        <w:r w:rsidRPr="00456370">
          <w:rPr>
            <w:rStyle w:val="Hyperlink"/>
          </w:rPr>
          <w:noBreakHyphen/>
          <w:t>13. Ocijenjeni doprinos tehnologija za OIE u grijanju i hlađenju (WEM scenarij)</w:t>
        </w:r>
        <w:r>
          <w:rPr>
            <w:noProof/>
            <w:webHidden/>
          </w:rPr>
          <w:tab/>
        </w:r>
        <w:r>
          <w:rPr>
            <w:noProof/>
            <w:webHidden/>
          </w:rPr>
          <w:fldChar w:fldCharType="begin"/>
        </w:r>
        <w:r>
          <w:rPr>
            <w:noProof/>
            <w:webHidden/>
          </w:rPr>
          <w:instrText xml:space="preserve"> PAGEREF _Toc193035964 \h </w:instrText>
        </w:r>
        <w:r>
          <w:rPr>
            <w:noProof/>
            <w:webHidden/>
          </w:rPr>
        </w:r>
        <w:r>
          <w:rPr>
            <w:noProof/>
            <w:webHidden/>
          </w:rPr>
          <w:fldChar w:fldCharType="separate"/>
        </w:r>
        <w:r w:rsidR="00DB579D">
          <w:rPr>
            <w:noProof/>
            <w:webHidden/>
          </w:rPr>
          <w:t>289</w:t>
        </w:r>
        <w:r>
          <w:rPr>
            <w:noProof/>
            <w:webHidden/>
          </w:rPr>
          <w:fldChar w:fldCharType="end"/>
        </w:r>
      </w:hyperlink>
    </w:p>
    <w:p w14:paraId="487A8A76" w14:textId="7174F029" w:rsidR="00D4048C" w:rsidRDefault="00D4048C">
      <w:pPr>
        <w:pStyle w:val="TableofFigures"/>
        <w:rPr>
          <w:rFonts w:asciiTheme="minorHAnsi" w:hAnsiTheme="minorHAnsi" w:cstheme="minorBidi"/>
          <w:noProof/>
          <w:kern w:val="2"/>
          <w:lang w:val="en-GB"/>
          <w14:ligatures w14:val="standardContextual"/>
        </w:rPr>
      </w:pPr>
      <w:hyperlink w:anchor="_Toc193035965" w:history="1">
        <w:r w:rsidRPr="00456370">
          <w:rPr>
            <w:rStyle w:val="Hyperlink"/>
          </w:rPr>
          <w:t>Tablica 4</w:t>
        </w:r>
        <w:r w:rsidRPr="00456370">
          <w:rPr>
            <w:rStyle w:val="Hyperlink"/>
          </w:rPr>
          <w:noBreakHyphen/>
          <w:t>14. Ocijenjeni doprinos tehnologija za OIE u prometu (WEM scenarij)</w:t>
        </w:r>
        <w:r>
          <w:rPr>
            <w:noProof/>
            <w:webHidden/>
          </w:rPr>
          <w:tab/>
        </w:r>
        <w:r>
          <w:rPr>
            <w:noProof/>
            <w:webHidden/>
          </w:rPr>
          <w:fldChar w:fldCharType="begin"/>
        </w:r>
        <w:r>
          <w:rPr>
            <w:noProof/>
            <w:webHidden/>
          </w:rPr>
          <w:instrText xml:space="preserve"> PAGEREF _Toc193035965 \h </w:instrText>
        </w:r>
        <w:r>
          <w:rPr>
            <w:noProof/>
            <w:webHidden/>
          </w:rPr>
        </w:r>
        <w:r>
          <w:rPr>
            <w:noProof/>
            <w:webHidden/>
          </w:rPr>
          <w:fldChar w:fldCharType="separate"/>
        </w:r>
        <w:r w:rsidR="00DB579D">
          <w:rPr>
            <w:noProof/>
            <w:webHidden/>
          </w:rPr>
          <w:t>289</w:t>
        </w:r>
        <w:r>
          <w:rPr>
            <w:noProof/>
            <w:webHidden/>
          </w:rPr>
          <w:fldChar w:fldCharType="end"/>
        </w:r>
      </w:hyperlink>
    </w:p>
    <w:p w14:paraId="201EA829" w14:textId="29854EDF" w:rsidR="00D4048C" w:rsidRDefault="00D4048C">
      <w:pPr>
        <w:pStyle w:val="TableofFigures"/>
        <w:rPr>
          <w:rFonts w:asciiTheme="minorHAnsi" w:hAnsiTheme="minorHAnsi" w:cstheme="minorBidi"/>
          <w:noProof/>
          <w:kern w:val="2"/>
          <w:lang w:val="en-GB"/>
          <w14:ligatures w14:val="standardContextual"/>
        </w:rPr>
      </w:pPr>
      <w:hyperlink w:anchor="_Toc193035966" w:history="1">
        <w:r w:rsidRPr="00456370">
          <w:rPr>
            <w:rStyle w:val="Hyperlink"/>
          </w:rPr>
          <w:t>Tablica 4</w:t>
        </w:r>
        <w:r w:rsidRPr="00456370">
          <w:rPr>
            <w:rStyle w:val="Hyperlink"/>
          </w:rPr>
          <w:noBreakHyphen/>
          <w:t>15. Očekivana snaga elektrana u scenariju s postojećim mjerama (WEM scenarij)</w:t>
        </w:r>
        <w:r>
          <w:rPr>
            <w:noProof/>
            <w:webHidden/>
          </w:rPr>
          <w:tab/>
        </w:r>
        <w:r>
          <w:rPr>
            <w:noProof/>
            <w:webHidden/>
          </w:rPr>
          <w:fldChar w:fldCharType="begin"/>
        </w:r>
        <w:r>
          <w:rPr>
            <w:noProof/>
            <w:webHidden/>
          </w:rPr>
          <w:instrText xml:space="preserve"> PAGEREF _Toc193035966 \h </w:instrText>
        </w:r>
        <w:r>
          <w:rPr>
            <w:noProof/>
            <w:webHidden/>
          </w:rPr>
        </w:r>
        <w:r>
          <w:rPr>
            <w:noProof/>
            <w:webHidden/>
          </w:rPr>
          <w:fldChar w:fldCharType="separate"/>
        </w:r>
        <w:r w:rsidR="00DB579D">
          <w:rPr>
            <w:noProof/>
            <w:webHidden/>
          </w:rPr>
          <w:t>290</w:t>
        </w:r>
        <w:r>
          <w:rPr>
            <w:noProof/>
            <w:webHidden/>
          </w:rPr>
          <w:fldChar w:fldCharType="end"/>
        </w:r>
      </w:hyperlink>
    </w:p>
    <w:p w14:paraId="5325F7D2" w14:textId="3E247A8F" w:rsidR="00D4048C" w:rsidRDefault="00D4048C">
      <w:pPr>
        <w:pStyle w:val="TableofFigures"/>
        <w:rPr>
          <w:rFonts w:asciiTheme="minorHAnsi" w:hAnsiTheme="minorHAnsi" w:cstheme="minorBidi"/>
          <w:noProof/>
          <w:kern w:val="2"/>
          <w:lang w:val="en-GB"/>
          <w14:ligatures w14:val="standardContextual"/>
        </w:rPr>
      </w:pPr>
      <w:hyperlink w:anchor="_Toc193035967" w:history="1">
        <w:r w:rsidRPr="00456370">
          <w:rPr>
            <w:rStyle w:val="Hyperlink"/>
          </w:rPr>
          <w:t>Tablica 4</w:t>
        </w:r>
        <w:r w:rsidRPr="00456370">
          <w:rPr>
            <w:rStyle w:val="Hyperlink"/>
          </w:rPr>
          <w:noBreakHyphen/>
          <w:t>16. Struktura potrošnje energije po sektorima u 2022. godini</w:t>
        </w:r>
        <w:r>
          <w:rPr>
            <w:noProof/>
            <w:webHidden/>
          </w:rPr>
          <w:tab/>
        </w:r>
        <w:r>
          <w:rPr>
            <w:noProof/>
            <w:webHidden/>
          </w:rPr>
          <w:fldChar w:fldCharType="begin"/>
        </w:r>
        <w:r>
          <w:rPr>
            <w:noProof/>
            <w:webHidden/>
          </w:rPr>
          <w:instrText xml:space="preserve"> PAGEREF _Toc193035967 \h </w:instrText>
        </w:r>
        <w:r>
          <w:rPr>
            <w:noProof/>
            <w:webHidden/>
          </w:rPr>
        </w:r>
        <w:r>
          <w:rPr>
            <w:noProof/>
            <w:webHidden/>
          </w:rPr>
          <w:fldChar w:fldCharType="separate"/>
        </w:r>
        <w:r w:rsidR="00DB579D">
          <w:rPr>
            <w:noProof/>
            <w:webHidden/>
          </w:rPr>
          <w:t>291</w:t>
        </w:r>
        <w:r>
          <w:rPr>
            <w:noProof/>
            <w:webHidden/>
          </w:rPr>
          <w:fldChar w:fldCharType="end"/>
        </w:r>
      </w:hyperlink>
    </w:p>
    <w:p w14:paraId="72A125B4" w14:textId="03FA4EA0" w:rsidR="00D4048C" w:rsidRDefault="00D4048C">
      <w:pPr>
        <w:pStyle w:val="TableofFigures"/>
        <w:rPr>
          <w:rFonts w:asciiTheme="minorHAnsi" w:hAnsiTheme="minorHAnsi" w:cstheme="minorBidi"/>
          <w:noProof/>
          <w:kern w:val="2"/>
          <w:lang w:val="en-GB"/>
          <w14:ligatures w14:val="standardContextual"/>
        </w:rPr>
      </w:pPr>
      <w:hyperlink w:anchor="_Toc193035968" w:history="1">
        <w:r w:rsidRPr="00456370">
          <w:rPr>
            <w:rStyle w:val="Hyperlink"/>
          </w:rPr>
          <w:t>Tablica 4</w:t>
        </w:r>
        <w:r w:rsidRPr="00456370">
          <w:rPr>
            <w:rStyle w:val="Hyperlink"/>
          </w:rPr>
          <w:noBreakHyphen/>
          <w:t>17. Struktura potrošnje energije po energentima u 2022. godini</w:t>
        </w:r>
        <w:r>
          <w:rPr>
            <w:noProof/>
            <w:webHidden/>
          </w:rPr>
          <w:tab/>
        </w:r>
        <w:r>
          <w:rPr>
            <w:noProof/>
            <w:webHidden/>
          </w:rPr>
          <w:fldChar w:fldCharType="begin"/>
        </w:r>
        <w:r>
          <w:rPr>
            <w:noProof/>
            <w:webHidden/>
          </w:rPr>
          <w:instrText xml:space="preserve"> PAGEREF _Toc193035968 \h </w:instrText>
        </w:r>
        <w:r>
          <w:rPr>
            <w:noProof/>
            <w:webHidden/>
          </w:rPr>
        </w:r>
        <w:r>
          <w:rPr>
            <w:noProof/>
            <w:webHidden/>
          </w:rPr>
          <w:fldChar w:fldCharType="separate"/>
        </w:r>
        <w:r w:rsidR="00DB579D">
          <w:rPr>
            <w:noProof/>
            <w:webHidden/>
          </w:rPr>
          <w:t>292</w:t>
        </w:r>
        <w:r>
          <w:rPr>
            <w:noProof/>
            <w:webHidden/>
          </w:rPr>
          <w:fldChar w:fldCharType="end"/>
        </w:r>
      </w:hyperlink>
    </w:p>
    <w:p w14:paraId="2B30523E" w14:textId="28B4C065" w:rsidR="00D4048C" w:rsidRDefault="00D4048C">
      <w:pPr>
        <w:pStyle w:val="TableofFigures"/>
        <w:rPr>
          <w:rFonts w:asciiTheme="minorHAnsi" w:hAnsiTheme="minorHAnsi" w:cstheme="minorBidi"/>
          <w:noProof/>
          <w:kern w:val="2"/>
          <w:lang w:val="en-GB"/>
          <w14:ligatures w14:val="standardContextual"/>
        </w:rPr>
      </w:pPr>
      <w:hyperlink w:anchor="_Toc193035969" w:history="1">
        <w:r w:rsidRPr="00456370">
          <w:rPr>
            <w:rStyle w:val="Hyperlink"/>
          </w:rPr>
          <w:t>Tablica 4</w:t>
        </w:r>
        <w:r w:rsidRPr="00456370">
          <w:rPr>
            <w:rStyle w:val="Hyperlink"/>
          </w:rPr>
          <w:noBreakHyphen/>
          <w:t>18. Ukupna godišnja isporučena energija na ulazu u distribucijsku mrežu centralnih toplinskih sustava u 2019., 2030. i 2050. godini – SIM scenarij</w:t>
        </w:r>
        <w:r>
          <w:rPr>
            <w:noProof/>
            <w:webHidden/>
          </w:rPr>
          <w:tab/>
        </w:r>
        <w:r>
          <w:rPr>
            <w:noProof/>
            <w:webHidden/>
          </w:rPr>
          <w:fldChar w:fldCharType="begin"/>
        </w:r>
        <w:r>
          <w:rPr>
            <w:noProof/>
            <w:webHidden/>
          </w:rPr>
          <w:instrText xml:space="preserve"> PAGEREF _Toc193035969 \h </w:instrText>
        </w:r>
        <w:r>
          <w:rPr>
            <w:noProof/>
            <w:webHidden/>
          </w:rPr>
        </w:r>
        <w:r>
          <w:rPr>
            <w:noProof/>
            <w:webHidden/>
          </w:rPr>
          <w:fldChar w:fldCharType="separate"/>
        </w:r>
        <w:r w:rsidR="00DB579D">
          <w:rPr>
            <w:noProof/>
            <w:webHidden/>
          </w:rPr>
          <w:t>293</w:t>
        </w:r>
        <w:r>
          <w:rPr>
            <w:noProof/>
            <w:webHidden/>
          </w:rPr>
          <w:fldChar w:fldCharType="end"/>
        </w:r>
      </w:hyperlink>
    </w:p>
    <w:p w14:paraId="77CFE511" w14:textId="4A185D30" w:rsidR="00D4048C" w:rsidRDefault="00D4048C">
      <w:pPr>
        <w:pStyle w:val="TableofFigures"/>
        <w:rPr>
          <w:rFonts w:asciiTheme="minorHAnsi" w:hAnsiTheme="minorHAnsi" w:cstheme="minorBidi"/>
          <w:noProof/>
          <w:kern w:val="2"/>
          <w:lang w:val="en-GB"/>
          <w14:ligatures w14:val="standardContextual"/>
        </w:rPr>
      </w:pPr>
      <w:hyperlink w:anchor="_Toc193035970" w:history="1">
        <w:r w:rsidRPr="00456370">
          <w:rPr>
            <w:rStyle w:val="Hyperlink"/>
          </w:rPr>
          <w:t>Tablica 4</w:t>
        </w:r>
        <w:r w:rsidRPr="00456370">
          <w:rPr>
            <w:rStyle w:val="Hyperlink"/>
          </w:rPr>
          <w:noBreakHyphen/>
          <w:t>19. Očekivana proizvodnja primarne energije – WEM scenarij</w:t>
        </w:r>
        <w:r>
          <w:rPr>
            <w:noProof/>
            <w:webHidden/>
          </w:rPr>
          <w:tab/>
        </w:r>
        <w:r>
          <w:rPr>
            <w:noProof/>
            <w:webHidden/>
          </w:rPr>
          <w:fldChar w:fldCharType="begin"/>
        </w:r>
        <w:r>
          <w:rPr>
            <w:noProof/>
            <w:webHidden/>
          </w:rPr>
          <w:instrText xml:space="preserve"> PAGEREF _Toc193035970 \h </w:instrText>
        </w:r>
        <w:r>
          <w:rPr>
            <w:noProof/>
            <w:webHidden/>
          </w:rPr>
        </w:r>
        <w:r>
          <w:rPr>
            <w:noProof/>
            <w:webHidden/>
          </w:rPr>
          <w:fldChar w:fldCharType="separate"/>
        </w:r>
        <w:r w:rsidR="00DB579D">
          <w:rPr>
            <w:noProof/>
            <w:webHidden/>
          </w:rPr>
          <w:t>296</w:t>
        </w:r>
        <w:r>
          <w:rPr>
            <w:noProof/>
            <w:webHidden/>
          </w:rPr>
          <w:fldChar w:fldCharType="end"/>
        </w:r>
      </w:hyperlink>
    </w:p>
    <w:p w14:paraId="7D93C77D" w14:textId="08BB9103" w:rsidR="00D4048C" w:rsidRDefault="00D4048C">
      <w:pPr>
        <w:pStyle w:val="TableofFigures"/>
        <w:rPr>
          <w:rFonts w:asciiTheme="minorHAnsi" w:hAnsiTheme="minorHAnsi" w:cstheme="minorBidi"/>
          <w:noProof/>
          <w:kern w:val="2"/>
          <w:lang w:val="en-GB"/>
          <w14:ligatures w14:val="standardContextual"/>
        </w:rPr>
      </w:pPr>
      <w:hyperlink w:anchor="_Toc193035971" w:history="1">
        <w:r w:rsidRPr="00456370">
          <w:rPr>
            <w:rStyle w:val="Hyperlink"/>
          </w:rPr>
          <w:t>Tablica 4</w:t>
        </w:r>
        <w:r w:rsidRPr="00456370">
          <w:rPr>
            <w:rStyle w:val="Hyperlink"/>
          </w:rPr>
          <w:noBreakHyphen/>
          <w:t>20. Očekivana ukupna potrošnja energije – WEM scenarij</w:t>
        </w:r>
        <w:r>
          <w:rPr>
            <w:noProof/>
            <w:webHidden/>
          </w:rPr>
          <w:tab/>
        </w:r>
        <w:r>
          <w:rPr>
            <w:noProof/>
            <w:webHidden/>
          </w:rPr>
          <w:fldChar w:fldCharType="begin"/>
        </w:r>
        <w:r>
          <w:rPr>
            <w:noProof/>
            <w:webHidden/>
          </w:rPr>
          <w:instrText xml:space="preserve"> PAGEREF _Toc193035971 \h </w:instrText>
        </w:r>
        <w:r>
          <w:rPr>
            <w:noProof/>
            <w:webHidden/>
          </w:rPr>
        </w:r>
        <w:r>
          <w:rPr>
            <w:noProof/>
            <w:webHidden/>
          </w:rPr>
          <w:fldChar w:fldCharType="separate"/>
        </w:r>
        <w:r w:rsidR="00DB579D">
          <w:rPr>
            <w:noProof/>
            <w:webHidden/>
          </w:rPr>
          <w:t>297</w:t>
        </w:r>
        <w:r>
          <w:rPr>
            <w:noProof/>
            <w:webHidden/>
          </w:rPr>
          <w:fldChar w:fldCharType="end"/>
        </w:r>
      </w:hyperlink>
    </w:p>
    <w:p w14:paraId="2959129A" w14:textId="6A52CD1E" w:rsidR="00D4048C" w:rsidRDefault="00D4048C">
      <w:pPr>
        <w:pStyle w:val="TableofFigures"/>
        <w:rPr>
          <w:rFonts w:asciiTheme="minorHAnsi" w:hAnsiTheme="minorHAnsi" w:cstheme="minorBidi"/>
          <w:noProof/>
          <w:kern w:val="2"/>
          <w:lang w:val="en-GB"/>
          <w14:ligatures w14:val="standardContextual"/>
        </w:rPr>
      </w:pPr>
      <w:hyperlink w:anchor="_Toc193035972" w:history="1">
        <w:r w:rsidRPr="00456370">
          <w:rPr>
            <w:rStyle w:val="Hyperlink"/>
          </w:rPr>
          <w:t>Tablica 5</w:t>
        </w:r>
        <w:r w:rsidRPr="00456370">
          <w:rPr>
            <w:rStyle w:val="Hyperlink"/>
          </w:rPr>
          <w:noBreakHyphen/>
          <w:t>1. Potencijal smanjenja emisije stakleničkih plinova dodatnih mjera (pokretni i nepokretni energetski izvori)</w:t>
        </w:r>
        <w:r>
          <w:rPr>
            <w:noProof/>
            <w:webHidden/>
          </w:rPr>
          <w:tab/>
        </w:r>
        <w:r>
          <w:rPr>
            <w:noProof/>
            <w:webHidden/>
          </w:rPr>
          <w:fldChar w:fldCharType="begin"/>
        </w:r>
        <w:r>
          <w:rPr>
            <w:noProof/>
            <w:webHidden/>
          </w:rPr>
          <w:instrText xml:space="preserve"> PAGEREF _Toc193035972 \h </w:instrText>
        </w:r>
        <w:r>
          <w:rPr>
            <w:noProof/>
            <w:webHidden/>
          </w:rPr>
        </w:r>
        <w:r>
          <w:rPr>
            <w:noProof/>
            <w:webHidden/>
          </w:rPr>
          <w:fldChar w:fldCharType="separate"/>
        </w:r>
        <w:r w:rsidR="00DB579D">
          <w:rPr>
            <w:noProof/>
            <w:webHidden/>
          </w:rPr>
          <w:t>323</w:t>
        </w:r>
        <w:r>
          <w:rPr>
            <w:noProof/>
            <w:webHidden/>
          </w:rPr>
          <w:fldChar w:fldCharType="end"/>
        </w:r>
      </w:hyperlink>
    </w:p>
    <w:p w14:paraId="592B7217" w14:textId="4982E5A8" w:rsidR="00D4048C" w:rsidRDefault="00D4048C">
      <w:pPr>
        <w:pStyle w:val="TableofFigures"/>
        <w:rPr>
          <w:rFonts w:asciiTheme="minorHAnsi" w:hAnsiTheme="minorHAnsi" w:cstheme="minorBidi"/>
          <w:noProof/>
          <w:kern w:val="2"/>
          <w:lang w:val="en-GB"/>
          <w14:ligatures w14:val="standardContextual"/>
        </w:rPr>
      </w:pPr>
      <w:hyperlink w:anchor="_Toc193035973" w:history="1">
        <w:r w:rsidRPr="00456370">
          <w:rPr>
            <w:rStyle w:val="Hyperlink"/>
          </w:rPr>
          <w:t>Tablica 5</w:t>
        </w:r>
        <w:r w:rsidRPr="00456370">
          <w:rPr>
            <w:rStyle w:val="Hyperlink"/>
          </w:rPr>
          <w:noBreakHyphen/>
          <w:t>2. Potencijal smanjenja emisije stakleničkih plinova dodatnih mjera (ne-energetski izvori)</w:t>
        </w:r>
        <w:r>
          <w:rPr>
            <w:noProof/>
            <w:webHidden/>
          </w:rPr>
          <w:tab/>
        </w:r>
        <w:r>
          <w:rPr>
            <w:noProof/>
            <w:webHidden/>
          </w:rPr>
          <w:fldChar w:fldCharType="begin"/>
        </w:r>
        <w:r>
          <w:rPr>
            <w:noProof/>
            <w:webHidden/>
          </w:rPr>
          <w:instrText xml:space="preserve"> PAGEREF _Toc193035973 \h </w:instrText>
        </w:r>
        <w:r>
          <w:rPr>
            <w:noProof/>
            <w:webHidden/>
          </w:rPr>
        </w:r>
        <w:r>
          <w:rPr>
            <w:noProof/>
            <w:webHidden/>
          </w:rPr>
          <w:fldChar w:fldCharType="separate"/>
        </w:r>
        <w:r w:rsidR="00DB579D">
          <w:rPr>
            <w:noProof/>
            <w:webHidden/>
          </w:rPr>
          <w:t>324</w:t>
        </w:r>
        <w:r>
          <w:rPr>
            <w:noProof/>
            <w:webHidden/>
          </w:rPr>
          <w:fldChar w:fldCharType="end"/>
        </w:r>
      </w:hyperlink>
    </w:p>
    <w:p w14:paraId="72C4B584" w14:textId="60C78139" w:rsidR="00D4048C" w:rsidRDefault="00D4048C">
      <w:pPr>
        <w:pStyle w:val="TableofFigures"/>
        <w:rPr>
          <w:rFonts w:asciiTheme="minorHAnsi" w:hAnsiTheme="minorHAnsi" w:cstheme="minorBidi"/>
          <w:noProof/>
          <w:kern w:val="2"/>
          <w:lang w:val="en-GB"/>
          <w14:ligatures w14:val="standardContextual"/>
        </w:rPr>
      </w:pPr>
      <w:hyperlink w:anchor="_Toc193035974" w:history="1">
        <w:r w:rsidRPr="00456370">
          <w:rPr>
            <w:rStyle w:val="Hyperlink"/>
          </w:rPr>
          <w:t>Tablica 5</w:t>
        </w:r>
        <w:r w:rsidRPr="00456370">
          <w:rPr>
            <w:rStyle w:val="Hyperlink"/>
          </w:rPr>
          <w:noBreakHyphen/>
          <w:t>3. Projekcije emisija stakleničkih plinova CO</w:t>
        </w:r>
        <w:r w:rsidRPr="00456370">
          <w:rPr>
            <w:rStyle w:val="Hyperlink"/>
            <w:vertAlign w:val="subscript"/>
          </w:rPr>
          <w:t>2</w:t>
        </w:r>
        <w:r w:rsidRPr="00456370">
          <w:rPr>
            <w:rStyle w:val="Hyperlink"/>
          </w:rPr>
          <w:t>, CH</w:t>
        </w:r>
        <w:r w:rsidRPr="00456370">
          <w:rPr>
            <w:rStyle w:val="Hyperlink"/>
            <w:vertAlign w:val="subscript"/>
          </w:rPr>
          <w:t>4</w:t>
        </w:r>
        <w:r w:rsidRPr="00456370">
          <w:rPr>
            <w:rStyle w:val="Hyperlink"/>
          </w:rPr>
          <w:t>, N</w:t>
        </w:r>
        <w:r w:rsidRPr="00456370">
          <w:rPr>
            <w:rStyle w:val="Hyperlink"/>
            <w:vertAlign w:val="subscript"/>
          </w:rPr>
          <w:t>2</w:t>
        </w:r>
        <w:r w:rsidRPr="00456370">
          <w:rPr>
            <w:rStyle w:val="Hyperlink"/>
          </w:rPr>
          <w:t>O, HFC, SF</w:t>
        </w:r>
        <w:r w:rsidRPr="00456370">
          <w:rPr>
            <w:rStyle w:val="Hyperlink"/>
            <w:vertAlign w:val="subscript"/>
          </w:rPr>
          <w:t>6</w:t>
        </w:r>
        <w:r w:rsidRPr="00456370">
          <w:rPr>
            <w:rStyle w:val="Hyperlink"/>
          </w:rPr>
          <w:t>, kt CO</w:t>
        </w:r>
        <w:r w:rsidRPr="00456370">
          <w:rPr>
            <w:rStyle w:val="Hyperlink"/>
            <w:vertAlign w:val="subscript"/>
          </w:rPr>
          <w:t>2</w:t>
        </w:r>
        <w:r w:rsidRPr="00456370">
          <w:rPr>
            <w:rStyle w:val="Hyperlink"/>
          </w:rPr>
          <w:t>e</w:t>
        </w:r>
        <w:r>
          <w:rPr>
            <w:noProof/>
            <w:webHidden/>
          </w:rPr>
          <w:tab/>
        </w:r>
        <w:r>
          <w:rPr>
            <w:noProof/>
            <w:webHidden/>
          </w:rPr>
          <w:fldChar w:fldCharType="begin"/>
        </w:r>
        <w:r>
          <w:rPr>
            <w:noProof/>
            <w:webHidden/>
          </w:rPr>
          <w:instrText xml:space="preserve"> PAGEREF _Toc193035974 \h </w:instrText>
        </w:r>
        <w:r>
          <w:rPr>
            <w:noProof/>
            <w:webHidden/>
          </w:rPr>
        </w:r>
        <w:r>
          <w:rPr>
            <w:noProof/>
            <w:webHidden/>
          </w:rPr>
          <w:fldChar w:fldCharType="separate"/>
        </w:r>
        <w:r w:rsidR="00DB579D">
          <w:rPr>
            <w:noProof/>
            <w:webHidden/>
          </w:rPr>
          <w:t>325</w:t>
        </w:r>
        <w:r>
          <w:rPr>
            <w:noProof/>
            <w:webHidden/>
          </w:rPr>
          <w:fldChar w:fldCharType="end"/>
        </w:r>
      </w:hyperlink>
    </w:p>
    <w:p w14:paraId="7F748EFF" w14:textId="2D472764" w:rsidR="00D4048C" w:rsidRDefault="00D4048C">
      <w:pPr>
        <w:pStyle w:val="TableofFigures"/>
        <w:rPr>
          <w:rFonts w:asciiTheme="minorHAnsi" w:hAnsiTheme="minorHAnsi" w:cstheme="minorBidi"/>
          <w:noProof/>
          <w:kern w:val="2"/>
          <w:lang w:val="en-GB"/>
          <w14:ligatures w14:val="standardContextual"/>
        </w:rPr>
      </w:pPr>
      <w:hyperlink w:anchor="_Toc193035975" w:history="1">
        <w:r w:rsidRPr="00456370">
          <w:rPr>
            <w:rStyle w:val="Hyperlink"/>
          </w:rPr>
          <w:t>Tablica 5</w:t>
        </w:r>
        <w:r w:rsidRPr="00456370">
          <w:rPr>
            <w:rStyle w:val="Hyperlink"/>
          </w:rPr>
          <w:noBreakHyphen/>
          <w:t>4. Projekcije emisija stakleničkih plinova prema sektorima, kt CO</w:t>
        </w:r>
        <w:r w:rsidRPr="00456370">
          <w:rPr>
            <w:rStyle w:val="Hyperlink"/>
            <w:vertAlign w:val="subscript"/>
          </w:rPr>
          <w:t>2</w:t>
        </w:r>
        <w:r w:rsidRPr="00456370">
          <w:rPr>
            <w:rStyle w:val="Hyperlink"/>
          </w:rPr>
          <w:t>e</w:t>
        </w:r>
        <w:r>
          <w:rPr>
            <w:noProof/>
            <w:webHidden/>
          </w:rPr>
          <w:tab/>
        </w:r>
        <w:r>
          <w:rPr>
            <w:noProof/>
            <w:webHidden/>
          </w:rPr>
          <w:fldChar w:fldCharType="begin"/>
        </w:r>
        <w:r>
          <w:rPr>
            <w:noProof/>
            <w:webHidden/>
          </w:rPr>
          <w:instrText xml:space="preserve"> PAGEREF _Toc193035975 \h </w:instrText>
        </w:r>
        <w:r>
          <w:rPr>
            <w:noProof/>
            <w:webHidden/>
          </w:rPr>
        </w:r>
        <w:r>
          <w:rPr>
            <w:noProof/>
            <w:webHidden/>
          </w:rPr>
          <w:fldChar w:fldCharType="separate"/>
        </w:r>
        <w:r w:rsidR="00DB579D">
          <w:rPr>
            <w:noProof/>
            <w:webHidden/>
          </w:rPr>
          <w:t>326</w:t>
        </w:r>
        <w:r>
          <w:rPr>
            <w:noProof/>
            <w:webHidden/>
          </w:rPr>
          <w:fldChar w:fldCharType="end"/>
        </w:r>
      </w:hyperlink>
    </w:p>
    <w:p w14:paraId="359ECB31" w14:textId="4742445A" w:rsidR="00D4048C" w:rsidRDefault="00D4048C">
      <w:pPr>
        <w:pStyle w:val="TableofFigures"/>
        <w:rPr>
          <w:rFonts w:asciiTheme="minorHAnsi" w:hAnsiTheme="minorHAnsi" w:cstheme="minorBidi"/>
          <w:noProof/>
          <w:kern w:val="2"/>
          <w:lang w:val="en-GB"/>
          <w14:ligatures w14:val="standardContextual"/>
        </w:rPr>
      </w:pPr>
      <w:hyperlink w:anchor="_Toc193035976" w:history="1">
        <w:r w:rsidRPr="00456370">
          <w:rPr>
            <w:rStyle w:val="Hyperlink"/>
          </w:rPr>
          <w:t>Tablica 5</w:t>
        </w:r>
        <w:r w:rsidRPr="00456370">
          <w:rPr>
            <w:rStyle w:val="Hyperlink"/>
          </w:rPr>
          <w:noBreakHyphen/>
          <w:t>5. Emisije stakleničkih plinova iz međunarodnog zračnog prometa</w:t>
        </w:r>
        <w:r>
          <w:rPr>
            <w:noProof/>
            <w:webHidden/>
          </w:rPr>
          <w:tab/>
        </w:r>
        <w:r>
          <w:rPr>
            <w:noProof/>
            <w:webHidden/>
          </w:rPr>
          <w:fldChar w:fldCharType="begin"/>
        </w:r>
        <w:r>
          <w:rPr>
            <w:noProof/>
            <w:webHidden/>
          </w:rPr>
          <w:instrText xml:space="preserve"> PAGEREF _Toc193035976 \h </w:instrText>
        </w:r>
        <w:r>
          <w:rPr>
            <w:noProof/>
            <w:webHidden/>
          </w:rPr>
        </w:r>
        <w:r>
          <w:rPr>
            <w:noProof/>
            <w:webHidden/>
          </w:rPr>
          <w:fldChar w:fldCharType="separate"/>
        </w:r>
        <w:r w:rsidR="00DB579D">
          <w:rPr>
            <w:noProof/>
            <w:webHidden/>
          </w:rPr>
          <w:t>328</w:t>
        </w:r>
        <w:r>
          <w:rPr>
            <w:noProof/>
            <w:webHidden/>
          </w:rPr>
          <w:fldChar w:fldCharType="end"/>
        </w:r>
      </w:hyperlink>
    </w:p>
    <w:p w14:paraId="27E5E8B3" w14:textId="36194B02" w:rsidR="00D4048C" w:rsidRDefault="00D4048C">
      <w:pPr>
        <w:pStyle w:val="TableofFigures"/>
        <w:rPr>
          <w:rFonts w:asciiTheme="minorHAnsi" w:hAnsiTheme="minorHAnsi" w:cstheme="minorBidi"/>
          <w:noProof/>
          <w:kern w:val="2"/>
          <w:lang w:val="en-GB"/>
          <w14:ligatures w14:val="standardContextual"/>
        </w:rPr>
      </w:pPr>
      <w:hyperlink w:anchor="_Toc193035977" w:history="1">
        <w:r w:rsidRPr="00456370">
          <w:rPr>
            <w:rStyle w:val="Hyperlink"/>
          </w:rPr>
          <w:t>Tablica 5</w:t>
        </w:r>
        <w:r w:rsidRPr="00456370">
          <w:rPr>
            <w:rStyle w:val="Hyperlink"/>
          </w:rPr>
          <w:noBreakHyphen/>
          <w:t>6. Procjena ulaganja u energetski sektor do 2050. godine</w:t>
        </w:r>
        <w:r>
          <w:rPr>
            <w:noProof/>
            <w:webHidden/>
          </w:rPr>
          <w:tab/>
        </w:r>
        <w:r>
          <w:rPr>
            <w:noProof/>
            <w:webHidden/>
          </w:rPr>
          <w:fldChar w:fldCharType="begin"/>
        </w:r>
        <w:r>
          <w:rPr>
            <w:noProof/>
            <w:webHidden/>
          </w:rPr>
          <w:instrText xml:space="preserve"> PAGEREF _Toc193035977 \h </w:instrText>
        </w:r>
        <w:r>
          <w:rPr>
            <w:noProof/>
            <w:webHidden/>
          </w:rPr>
        </w:r>
        <w:r>
          <w:rPr>
            <w:noProof/>
            <w:webHidden/>
          </w:rPr>
          <w:fldChar w:fldCharType="separate"/>
        </w:r>
        <w:r w:rsidR="00DB579D">
          <w:rPr>
            <w:noProof/>
            <w:webHidden/>
          </w:rPr>
          <w:t>334</w:t>
        </w:r>
        <w:r>
          <w:rPr>
            <w:noProof/>
            <w:webHidden/>
          </w:rPr>
          <w:fldChar w:fldCharType="end"/>
        </w:r>
      </w:hyperlink>
    </w:p>
    <w:p w14:paraId="3A1CE2F6" w14:textId="479D4E17" w:rsidR="00D4048C" w:rsidRDefault="00D4048C">
      <w:pPr>
        <w:pStyle w:val="TableofFigures"/>
        <w:rPr>
          <w:rFonts w:asciiTheme="minorHAnsi" w:hAnsiTheme="minorHAnsi" w:cstheme="minorBidi"/>
          <w:noProof/>
          <w:kern w:val="2"/>
          <w:lang w:val="en-GB"/>
          <w14:ligatures w14:val="standardContextual"/>
        </w:rPr>
      </w:pPr>
      <w:hyperlink w:anchor="_Toc193035978" w:history="1">
        <w:r w:rsidRPr="00456370">
          <w:rPr>
            <w:rStyle w:val="Hyperlink"/>
          </w:rPr>
          <w:t>Tablica 5</w:t>
        </w:r>
        <w:r w:rsidRPr="00456370">
          <w:rPr>
            <w:rStyle w:val="Hyperlink"/>
          </w:rPr>
          <w:noBreakHyphen/>
          <w:t>7. Procjena potrebnih ulaganja u ne-energetski sektor do 2050. godine</w:t>
        </w:r>
        <w:r>
          <w:rPr>
            <w:noProof/>
            <w:webHidden/>
          </w:rPr>
          <w:tab/>
        </w:r>
        <w:r>
          <w:rPr>
            <w:noProof/>
            <w:webHidden/>
          </w:rPr>
          <w:fldChar w:fldCharType="begin"/>
        </w:r>
        <w:r>
          <w:rPr>
            <w:noProof/>
            <w:webHidden/>
          </w:rPr>
          <w:instrText xml:space="preserve"> PAGEREF _Toc193035978 \h </w:instrText>
        </w:r>
        <w:r>
          <w:rPr>
            <w:noProof/>
            <w:webHidden/>
          </w:rPr>
        </w:r>
        <w:r>
          <w:rPr>
            <w:noProof/>
            <w:webHidden/>
          </w:rPr>
          <w:fldChar w:fldCharType="separate"/>
        </w:r>
        <w:r w:rsidR="00DB579D">
          <w:rPr>
            <w:noProof/>
            <w:webHidden/>
          </w:rPr>
          <w:t>335</w:t>
        </w:r>
        <w:r>
          <w:rPr>
            <w:noProof/>
            <w:webHidden/>
          </w:rPr>
          <w:fldChar w:fldCharType="end"/>
        </w:r>
      </w:hyperlink>
    </w:p>
    <w:p w14:paraId="54CBBDF6" w14:textId="013BB93C" w:rsidR="00A87274" w:rsidRPr="00B47BDA" w:rsidRDefault="00A87274" w:rsidP="004623DD">
      <w:r w:rsidRPr="00B47BDA">
        <w:fldChar w:fldCharType="end"/>
      </w:r>
    </w:p>
    <w:p w14:paraId="2E99EC58" w14:textId="02288932" w:rsidR="00935CE3" w:rsidRPr="00B47BDA" w:rsidRDefault="00661429" w:rsidP="001B6A5D">
      <w:pPr>
        <w:pStyle w:val="Heading1"/>
        <w:numPr>
          <w:ilvl w:val="0"/>
          <w:numId w:val="175"/>
        </w:numPr>
      </w:pPr>
      <w:bookmarkStart w:id="795" w:name="_Toc187418377"/>
      <w:bookmarkStart w:id="796" w:name="_Toc193043302"/>
      <w:bookmarkStart w:id="797" w:name="_Toc531935277"/>
      <w:bookmarkStart w:id="798" w:name="_Toc531945139"/>
      <w:bookmarkStart w:id="799" w:name="_Toc6302397"/>
      <w:r w:rsidRPr="00B47BDA">
        <w:lastRenderedPageBreak/>
        <w:t>POPIS KRATICA</w:t>
      </w:r>
      <w:bookmarkEnd w:id="795"/>
      <w:bookmarkEnd w:id="796"/>
    </w:p>
    <w:p w14:paraId="46174C00" w14:textId="4D590A19" w:rsidR="00D1079C" w:rsidRPr="00B47BDA" w:rsidRDefault="00D1079C" w:rsidP="004623DD">
      <w:r w:rsidRPr="00B47BDA">
        <w:t xml:space="preserve">AMPEU – Agencija za mobilnost i programe </w:t>
      </w:r>
      <w:r w:rsidR="4339CC29">
        <w:t>E</w:t>
      </w:r>
      <w:r w:rsidR="44F2BFAC">
        <w:t>uropske unije</w:t>
      </w:r>
    </w:p>
    <w:p w14:paraId="3169764A" w14:textId="40E20672" w:rsidR="00F7678C" w:rsidRPr="00B47BDA" w:rsidRDefault="00F7678C" w:rsidP="004623DD">
      <w:r w:rsidRPr="00B47BDA">
        <w:t>APN – Agencija za promet nekretninama</w:t>
      </w:r>
    </w:p>
    <w:p w14:paraId="41A168E9" w14:textId="6C479E96" w:rsidR="00B532DC" w:rsidRPr="00B47BDA" w:rsidRDefault="00B532DC" w:rsidP="004623DD">
      <w:r w:rsidRPr="00B47BDA">
        <w:t>AZOL</w:t>
      </w:r>
      <w:r w:rsidR="00FC1326" w:rsidRPr="00B47BDA">
        <w:t>P</w:t>
      </w:r>
      <w:r w:rsidRPr="00B47BDA">
        <w:t>P – Agencija za obalni linijski pomorski promet</w:t>
      </w:r>
    </w:p>
    <w:p w14:paraId="0D7FFBED" w14:textId="129BC533" w:rsidR="00DC6265" w:rsidRPr="00B47BDA" w:rsidRDefault="00DC6265" w:rsidP="004623DD">
      <w:r w:rsidRPr="00B47BDA">
        <w:t>AZU – Agencija za ugljikovodike</w:t>
      </w:r>
    </w:p>
    <w:p w14:paraId="612B7247" w14:textId="7CE8EDCC" w:rsidR="008E7233" w:rsidRPr="00B47BDA" w:rsidRDefault="008E7233" w:rsidP="004623DD">
      <w:r w:rsidRPr="00B47BDA">
        <w:t>AZVO – Agencija za znanost i visoko obrazovanje</w:t>
      </w:r>
    </w:p>
    <w:p w14:paraId="799B498A" w14:textId="6BE52E7B" w:rsidR="0094588F" w:rsidRPr="00B47BDA" w:rsidRDefault="0094588F" w:rsidP="004623DD">
      <w:r w:rsidRPr="00B47BDA">
        <w:t xml:space="preserve">BDP – </w:t>
      </w:r>
      <w:r w:rsidR="18EC9FA8">
        <w:t>B</w:t>
      </w:r>
      <w:r w:rsidR="107C7401">
        <w:t>ruto</w:t>
      </w:r>
      <w:r w:rsidRPr="00B47BDA">
        <w:t xml:space="preserve"> domaći proizvod</w:t>
      </w:r>
    </w:p>
    <w:p w14:paraId="61FCB33A" w14:textId="63AF32E0" w:rsidR="00D1079C" w:rsidRPr="00B47BDA" w:rsidRDefault="00D1079C" w:rsidP="004623DD">
      <w:r w:rsidRPr="20C1EDF1">
        <w:rPr>
          <w:lang w:val="en-US"/>
        </w:rPr>
        <w:t xml:space="preserve">CEF – Instrument za </w:t>
      </w:r>
      <w:proofErr w:type="spellStart"/>
      <w:r w:rsidRPr="20C1EDF1">
        <w:rPr>
          <w:lang w:val="en-US"/>
        </w:rPr>
        <w:t>povezivanje</w:t>
      </w:r>
      <w:proofErr w:type="spellEnd"/>
      <w:r w:rsidRPr="20C1EDF1">
        <w:rPr>
          <w:lang w:val="en-US"/>
        </w:rPr>
        <w:t xml:space="preserve"> Europe (</w:t>
      </w:r>
      <w:proofErr w:type="spellStart"/>
      <w:r w:rsidR="4339CC29" w:rsidRPr="20C1EDF1">
        <w:rPr>
          <w:lang w:val="en-US"/>
        </w:rPr>
        <w:t>eng</w:t>
      </w:r>
      <w:r w:rsidR="13A99E0E" w:rsidRPr="20C1EDF1">
        <w:rPr>
          <w:lang w:val="en-US"/>
        </w:rPr>
        <w:t>l</w:t>
      </w:r>
      <w:r w:rsidR="4339CC29" w:rsidRPr="20C1EDF1">
        <w:rPr>
          <w:lang w:val="en-US"/>
        </w:rPr>
        <w:t>.</w:t>
      </w:r>
      <w:proofErr w:type="spellEnd"/>
      <w:r w:rsidRPr="20C1EDF1">
        <w:rPr>
          <w:lang w:val="en-US"/>
        </w:rPr>
        <w:t xml:space="preserve"> </w:t>
      </w:r>
      <w:r w:rsidRPr="20C1EDF1">
        <w:rPr>
          <w:i/>
          <w:lang w:val="en-US"/>
        </w:rPr>
        <w:t>Connecting Europe Facility</w:t>
      </w:r>
      <w:r w:rsidRPr="20C1EDF1">
        <w:rPr>
          <w:lang w:val="en-US"/>
        </w:rPr>
        <w:t>)</w:t>
      </w:r>
    </w:p>
    <w:p w14:paraId="0449E56F" w14:textId="523516E0" w:rsidR="004358FC" w:rsidRPr="00B47BDA" w:rsidRDefault="004358FC" w:rsidP="004623DD">
      <w:r w:rsidRPr="00B47BDA">
        <w:t xml:space="preserve">CTS – </w:t>
      </w:r>
      <w:r w:rsidR="3A43C4C4">
        <w:t>C</w:t>
      </w:r>
      <w:r w:rsidRPr="00B47BDA">
        <w:t>entralizirani toplinski sustav</w:t>
      </w:r>
    </w:p>
    <w:p w14:paraId="56732EE8" w14:textId="2D63C05C" w:rsidR="004606DB" w:rsidRPr="00B47BDA" w:rsidRDefault="004606DB" w:rsidP="004623DD">
      <w:r w:rsidRPr="00B47BDA">
        <w:t>DZIV – Državni zavo</w:t>
      </w:r>
      <w:r w:rsidR="00DB094A" w:rsidRPr="00B47BDA">
        <w:t>d</w:t>
      </w:r>
      <w:r w:rsidRPr="00B47BDA">
        <w:t xml:space="preserve"> za intelektualno vlasništvo</w:t>
      </w:r>
    </w:p>
    <w:p w14:paraId="2A89D8E1" w14:textId="0090FF3C" w:rsidR="004606DB" w:rsidRPr="00B47BDA" w:rsidRDefault="004606DB" w:rsidP="004623DD">
      <w:r w:rsidRPr="00B47BDA">
        <w:t>DZS – Državni zavod za statistiku</w:t>
      </w:r>
    </w:p>
    <w:p w14:paraId="26DE84FA" w14:textId="59BB6252" w:rsidR="00DC6265" w:rsidRPr="00B47BDA" w:rsidRDefault="00DC6265" w:rsidP="004623DD">
      <w:r w:rsidRPr="00B47BDA">
        <w:t xml:space="preserve">EES – </w:t>
      </w:r>
      <w:r w:rsidR="669EE4EA">
        <w:t>E</w:t>
      </w:r>
      <w:r w:rsidR="3689688C">
        <w:t>lektroenergetski</w:t>
      </w:r>
      <w:r w:rsidRPr="00B47BDA">
        <w:t xml:space="preserve"> sustav</w:t>
      </w:r>
    </w:p>
    <w:p w14:paraId="615CCFA7" w14:textId="6A344946" w:rsidR="00856F25" w:rsidRPr="00B47BDA" w:rsidRDefault="00856F25" w:rsidP="004623DD">
      <w:r w:rsidRPr="00B47BDA">
        <w:t>EFRR – Europski fond za regionalni razvoj</w:t>
      </w:r>
    </w:p>
    <w:p w14:paraId="52CF0531" w14:textId="04B7C08E" w:rsidR="00A4765B" w:rsidRPr="00B47BDA" w:rsidRDefault="00A4765B" w:rsidP="004623DD">
      <w:r w:rsidRPr="63259912">
        <w:t xml:space="preserve">EnU – </w:t>
      </w:r>
      <w:r w:rsidR="0683E16D" w:rsidRPr="63259912">
        <w:t>E</w:t>
      </w:r>
      <w:r w:rsidR="5294BD2E" w:rsidRPr="63259912">
        <w:t>nergetska</w:t>
      </w:r>
      <w:r w:rsidRPr="63259912">
        <w:t xml:space="preserve"> učinkovitost</w:t>
      </w:r>
    </w:p>
    <w:p w14:paraId="6E6AEA76" w14:textId="1862B61F" w:rsidR="00DA7284" w:rsidRPr="00B47BDA" w:rsidRDefault="00DA7284" w:rsidP="004623DD">
      <w:r w:rsidRPr="0092643D">
        <w:t xml:space="preserve">ESCO </w:t>
      </w:r>
      <w:r w:rsidR="0002322F" w:rsidRPr="0092643D">
        <w:t>–</w:t>
      </w:r>
      <w:r w:rsidRPr="0092643D">
        <w:t xml:space="preserve"> </w:t>
      </w:r>
      <w:r w:rsidR="2DB8F247" w:rsidRPr="0092643D">
        <w:t>T</w:t>
      </w:r>
      <w:r w:rsidR="70236CE6" w:rsidRPr="0092643D">
        <w:t>vrtka</w:t>
      </w:r>
      <w:r w:rsidR="0002322F" w:rsidRPr="0092643D">
        <w:t xml:space="preserve"> za pružanje energetskih usluga (</w:t>
      </w:r>
      <w:r w:rsidR="70236CE6" w:rsidRPr="0092643D">
        <w:t>eng</w:t>
      </w:r>
      <w:r w:rsidR="5F7F61D2" w:rsidRPr="0092643D">
        <w:t>l</w:t>
      </w:r>
      <w:r w:rsidR="70236CE6" w:rsidRPr="0092643D">
        <w:t>.</w:t>
      </w:r>
      <w:r w:rsidR="0002322F" w:rsidRPr="0092643D">
        <w:t xml:space="preserve"> </w:t>
      </w:r>
      <w:r w:rsidR="0002322F" w:rsidRPr="20C1EDF1">
        <w:rPr>
          <w:i/>
          <w:lang w:val="en-US"/>
        </w:rPr>
        <w:t>Energy Service Company</w:t>
      </w:r>
      <w:r w:rsidR="0002322F" w:rsidRPr="20C1EDF1">
        <w:rPr>
          <w:lang w:val="en-US"/>
        </w:rPr>
        <w:t>)</w:t>
      </w:r>
    </w:p>
    <w:p w14:paraId="0F289EDD" w14:textId="1A938B12" w:rsidR="007A7028" w:rsidRPr="00B47BDA" w:rsidRDefault="007A7028" w:rsidP="004623DD">
      <w:r w:rsidRPr="0092643D">
        <w:rPr>
          <w:lang w:val="es-ES"/>
        </w:rPr>
        <w:t xml:space="preserve">ETS – </w:t>
      </w:r>
      <w:proofErr w:type="spellStart"/>
      <w:r w:rsidRPr="0092643D">
        <w:rPr>
          <w:lang w:val="es-ES"/>
        </w:rPr>
        <w:t>Sustav</w:t>
      </w:r>
      <w:proofErr w:type="spellEnd"/>
      <w:r w:rsidRPr="0092643D">
        <w:rPr>
          <w:lang w:val="es-ES"/>
        </w:rPr>
        <w:t xml:space="preserve"> </w:t>
      </w:r>
      <w:proofErr w:type="spellStart"/>
      <w:r w:rsidRPr="0092643D">
        <w:rPr>
          <w:lang w:val="es-ES"/>
        </w:rPr>
        <w:t>trgovanja</w:t>
      </w:r>
      <w:proofErr w:type="spellEnd"/>
      <w:r w:rsidRPr="0092643D">
        <w:rPr>
          <w:lang w:val="es-ES"/>
        </w:rPr>
        <w:t xml:space="preserve"> </w:t>
      </w:r>
      <w:proofErr w:type="spellStart"/>
      <w:r w:rsidRPr="0092643D">
        <w:rPr>
          <w:lang w:val="es-ES"/>
        </w:rPr>
        <w:t>emisijskim</w:t>
      </w:r>
      <w:proofErr w:type="spellEnd"/>
      <w:r w:rsidRPr="0092643D">
        <w:rPr>
          <w:lang w:val="es-ES"/>
        </w:rPr>
        <w:t xml:space="preserve"> </w:t>
      </w:r>
      <w:proofErr w:type="spellStart"/>
      <w:r w:rsidRPr="0092643D">
        <w:rPr>
          <w:lang w:val="es-ES"/>
        </w:rPr>
        <w:t>jedinicama</w:t>
      </w:r>
      <w:proofErr w:type="spellEnd"/>
      <w:r w:rsidR="0002322F" w:rsidRPr="0092643D">
        <w:rPr>
          <w:lang w:val="es-ES"/>
        </w:rPr>
        <w:t xml:space="preserve"> (</w:t>
      </w:r>
      <w:proofErr w:type="spellStart"/>
      <w:r w:rsidR="70236CE6" w:rsidRPr="0092643D">
        <w:rPr>
          <w:lang w:val="es-ES"/>
        </w:rPr>
        <w:t>eng</w:t>
      </w:r>
      <w:r w:rsidR="0BE613D4" w:rsidRPr="0092643D">
        <w:rPr>
          <w:lang w:val="es-ES"/>
        </w:rPr>
        <w:t>l</w:t>
      </w:r>
      <w:proofErr w:type="spellEnd"/>
      <w:r w:rsidR="70236CE6" w:rsidRPr="0092643D">
        <w:rPr>
          <w:lang w:val="es-ES"/>
        </w:rPr>
        <w:t>.</w:t>
      </w:r>
      <w:r w:rsidR="0002322F" w:rsidRPr="0092643D">
        <w:rPr>
          <w:lang w:val="es-ES"/>
        </w:rPr>
        <w:t xml:space="preserve"> </w:t>
      </w:r>
      <w:r w:rsidR="00C33952" w:rsidRPr="20C1EDF1">
        <w:rPr>
          <w:i/>
          <w:lang w:val="en-US"/>
        </w:rPr>
        <w:t>Emissions Trading System</w:t>
      </w:r>
      <w:r w:rsidR="0002322F" w:rsidRPr="20C1EDF1">
        <w:rPr>
          <w:lang w:val="en-US"/>
        </w:rPr>
        <w:t>)</w:t>
      </w:r>
    </w:p>
    <w:p w14:paraId="48D2B790" w14:textId="4303FB7C" w:rsidR="00935CE3" w:rsidRPr="00B47BDA" w:rsidRDefault="00184266" w:rsidP="004623DD">
      <w:r w:rsidRPr="00B47BDA">
        <w:t>EU</w:t>
      </w:r>
      <w:r w:rsidR="00356582" w:rsidRPr="00B47BDA">
        <w:t xml:space="preserve"> – Europska unija</w:t>
      </w:r>
    </w:p>
    <w:p w14:paraId="43718531" w14:textId="1DF16F06" w:rsidR="00AA0264" w:rsidRPr="00B47BDA" w:rsidRDefault="00AA0264" w:rsidP="004623DD">
      <w:r w:rsidRPr="00B47BDA">
        <w:t xml:space="preserve">FI – </w:t>
      </w:r>
      <w:r w:rsidR="0C7AAF27">
        <w:t>F</w:t>
      </w:r>
      <w:r w:rsidR="4929CEE6">
        <w:t>inancijski</w:t>
      </w:r>
      <w:r w:rsidRPr="00B47BDA">
        <w:t xml:space="preserve"> instrumenti</w:t>
      </w:r>
    </w:p>
    <w:p w14:paraId="13BCBEE9" w14:textId="523CEFA7" w:rsidR="00D1079C" w:rsidRPr="00B47BDA" w:rsidRDefault="00D1079C" w:rsidP="004623DD">
      <w:r w:rsidRPr="63259912">
        <w:t xml:space="preserve">FRL – </w:t>
      </w:r>
      <w:r w:rsidR="6AAA30E9" w:rsidRPr="63259912">
        <w:t>R</w:t>
      </w:r>
      <w:r w:rsidR="4339CC29" w:rsidRPr="63259912">
        <w:t>eferentna</w:t>
      </w:r>
      <w:r w:rsidRPr="63259912">
        <w:t xml:space="preserve"> razina za šume (</w:t>
      </w:r>
      <w:r w:rsidR="4339CC29" w:rsidRPr="63259912">
        <w:t>eng</w:t>
      </w:r>
      <w:r w:rsidR="6CEE4B70" w:rsidRPr="63259912">
        <w:t>l</w:t>
      </w:r>
      <w:r w:rsidR="4339CC29" w:rsidRPr="63259912">
        <w:t>.</w:t>
      </w:r>
      <w:r w:rsidRPr="63259912">
        <w:t xml:space="preserve"> </w:t>
      </w:r>
      <w:r w:rsidRPr="63259912">
        <w:rPr>
          <w:i/>
          <w:iCs/>
        </w:rPr>
        <w:t>Forest Reference Level</w:t>
      </w:r>
      <w:r w:rsidRPr="63259912">
        <w:t>)</w:t>
      </w:r>
    </w:p>
    <w:p w14:paraId="64A617C7" w14:textId="3ADACD42" w:rsidR="00DA7284" w:rsidRPr="00B47BDA" w:rsidRDefault="00DA7284" w:rsidP="004623DD">
      <w:r w:rsidRPr="00B47BDA">
        <w:t>FZOEU – Fond za zaštitu okoliša i energetsku učinkovitost</w:t>
      </w:r>
    </w:p>
    <w:p w14:paraId="71D3B6DB" w14:textId="346AA965" w:rsidR="00D1079C" w:rsidRPr="00B47BDA" w:rsidRDefault="00D1079C" w:rsidP="004623DD">
      <w:r w:rsidRPr="00B47BDA">
        <w:t>HAMAG-BICRO – Hrvatska agencija za malo gospodarstvo, inovacije i investicije</w:t>
      </w:r>
    </w:p>
    <w:p w14:paraId="7CF2E258" w14:textId="7AF1456E" w:rsidR="004358FC" w:rsidRPr="00B47BDA" w:rsidRDefault="004358FC" w:rsidP="004623DD">
      <w:r w:rsidRPr="00B47BDA">
        <w:t>HBOR – Hrvatska banka za obnovu i razvoj</w:t>
      </w:r>
    </w:p>
    <w:p w14:paraId="6AB643FF" w14:textId="06C2B589" w:rsidR="004358FC" w:rsidRPr="00B47BDA" w:rsidRDefault="6DD9DEAB" w:rsidP="004623DD">
      <w:r>
        <w:t xml:space="preserve">HE - </w:t>
      </w:r>
      <w:r w:rsidR="68AA1E21">
        <w:t>H</w:t>
      </w:r>
      <w:r>
        <w:t>idroelektrana</w:t>
      </w:r>
    </w:p>
    <w:p w14:paraId="6D5B8525" w14:textId="22ADABAA" w:rsidR="004358FC" w:rsidRPr="00B47BDA" w:rsidRDefault="004358FC" w:rsidP="004623DD">
      <w:r w:rsidRPr="00B47BDA">
        <w:t xml:space="preserve">HEP </w:t>
      </w:r>
      <w:bookmarkStart w:id="800" w:name="_Hlk132802870"/>
      <w:r w:rsidRPr="00B47BDA">
        <w:t>– Hrvatska elektroprivreda</w:t>
      </w:r>
      <w:bookmarkEnd w:id="800"/>
    </w:p>
    <w:p w14:paraId="58CA60D5" w14:textId="4A314519" w:rsidR="00260D35" w:rsidRPr="00B47BDA" w:rsidRDefault="00260D35" w:rsidP="004623DD">
      <w:r w:rsidRPr="00B47BDA">
        <w:t>HEP ODS</w:t>
      </w:r>
      <w:r w:rsidR="003F07A5" w:rsidRPr="00B47BDA">
        <w:t xml:space="preserve"> – HEP-Operator distribucijskog sustava</w:t>
      </w:r>
      <w:r w:rsidR="009D2775" w:rsidRPr="00B47BDA">
        <w:t xml:space="preserve"> d.o.o.</w:t>
      </w:r>
    </w:p>
    <w:p w14:paraId="6B0FD1C7" w14:textId="709E8790" w:rsidR="004358FC" w:rsidRPr="00B47BDA" w:rsidRDefault="004358FC" w:rsidP="004623DD">
      <w:r w:rsidRPr="00B47BDA">
        <w:t>HERA – Hrvatska energetska regulatorna agencija</w:t>
      </w:r>
    </w:p>
    <w:p w14:paraId="164A5F99" w14:textId="0CC39B8C" w:rsidR="004358FC" w:rsidRPr="00B47BDA" w:rsidRDefault="004358FC" w:rsidP="004623DD">
      <w:r w:rsidRPr="00B47BDA">
        <w:t>HGK – Hrvatska gospodarska komora</w:t>
      </w:r>
    </w:p>
    <w:p w14:paraId="28B9185D" w14:textId="473303A1" w:rsidR="00DC6265" w:rsidRPr="00B47BDA" w:rsidRDefault="00DC6265" w:rsidP="004623DD">
      <w:r w:rsidRPr="63259912">
        <w:t xml:space="preserve">HHI – Herfindahl-Hirschmanov </w:t>
      </w:r>
      <w:r w:rsidR="00D1079C" w:rsidRPr="63259912">
        <w:t>indeks</w:t>
      </w:r>
    </w:p>
    <w:p w14:paraId="6EB9DCE7" w14:textId="32685EB1" w:rsidR="004358FC" w:rsidRPr="00B47BDA" w:rsidRDefault="004358FC" w:rsidP="004623DD">
      <w:r w:rsidRPr="00B47BDA">
        <w:t>HOPS – Hrvatski op</w:t>
      </w:r>
      <w:r w:rsidR="00DB094A" w:rsidRPr="00B47BDA">
        <w:t>e</w:t>
      </w:r>
      <w:r w:rsidRPr="00B47BDA">
        <w:t>rator prijenosnog sustava</w:t>
      </w:r>
      <w:r w:rsidR="009D2775" w:rsidRPr="00B47BDA">
        <w:t xml:space="preserve"> d.d.</w:t>
      </w:r>
    </w:p>
    <w:p w14:paraId="0D0B0500" w14:textId="0B1F130E" w:rsidR="00DC6265" w:rsidRPr="00B47BDA" w:rsidRDefault="00DC6265" w:rsidP="004623DD">
      <w:r w:rsidRPr="00B47BDA">
        <w:t>HROTE - Hrvatski operator tržišta energije</w:t>
      </w:r>
    </w:p>
    <w:p w14:paraId="76E970DF" w14:textId="422AB237" w:rsidR="004606DB" w:rsidRPr="00B47BDA" w:rsidRDefault="004606DB" w:rsidP="004623DD">
      <w:r w:rsidRPr="00B47BDA">
        <w:t>HRZZ – Hrvatska zaklada za znanost</w:t>
      </w:r>
    </w:p>
    <w:p w14:paraId="19B2DE19" w14:textId="76BAF067" w:rsidR="004358FC" w:rsidRPr="00B47BDA" w:rsidRDefault="004358FC" w:rsidP="004623DD">
      <w:r w:rsidRPr="0092643D">
        <w:lastRenderedPageBreak/>
        <w:t xml:space="preserve">HTLS - </w:t>
      </w:r>
      <w:r w:rsidR="38F33401" w:rsidRPr="0092643D">
        <w:t>V</w:t>
      </w:r>
      <w:r w:rsidR="606FC882" w:rsidRPr="0092643D">
        <w:t>isokotemperaturni</w:t>
      </w:r>
      <w:r w:rsidR="00C33952" w:rsidRPr="0092643D">
        <w:t xml:space="preserve"> niskoprovjesni vodiči (</w:t>
      </w:r>
      <w:r w:rsidR="606FC882" w:rsidRPr="0092643D">
        <w:t>eng</w:t>
      </w:r>
      <w:r w:rsidR="673F36FC" w:rsidRPr="0092643D">
        <w:t>l</w:t>
      </w:r>
      <w:r w:rsidR="606FC882" w:rsidRPr="0092643D">
        <w:t>.</w:t>
      </w:r>
      <w:r w:rsidR="00C33952" w:rsidRPr="0092643D">
        <w:t xml:space="preserve"> </w:t>
      </w:r>
      <w:r w:rsidR="00C33952" w:rsidRPr="20C1EDF1">
        <w:rPr>
          <w:i/>
          <w:lang w:val="en-US"/>
        </w:rPr>
        <w:t>High Temperature Low Sag</w:t>
      </w:r>
      <w:r w:rsidR="0096279B" w:rsidRPr="20C1EDF1">
        <w:rPr>
          <w:lang w:val="en-US"/>
        </w:rPr>
        <w:t>)</w:t>
      </w:r>
    </w:p>
    <w:p w14:paraId="64EDD68E" w14:textId="6D1A01C6" w:rsidR="00361B2D" w:rsidRPr="00B47BDA" w:rsidRDefault="00361B2D" w:rsidP="004623DD">
      <w:r w:rsidRPr="00E54EB2">
        <w:rPr>
          <w:lang w:val="de-AT"/>
        </w:rPr>
        <w:t>IAP – Jonsko-jadranski plinovod (</w:t>
      </w:r>
      <w:r w:rsidR="1CB9ED21" w:rsidRPr="00E54EB2">
        <w:rPr>
          <w:lang w:val="de-AT"/>
        </w:rPr>
        <w:t>eng</w:t>
      </w:r>
      <w:r w:rsidR="147F5353" w:rsidRPr="00E54EB2">
        <w:rPr>
          <w:lang w:val="de-AT"/>
        </w:rPr>
        <w:t>l</w:t>
      </w:r>
      <w:r w:rsidR="1CB9ED21" w:rsidRPr="00E54EB2">
        <w:rPr>
          <w:lang w:val="de-AT"/>
        </w:rPr>
        <w:t>.</w:t>
      </w:r>
      <w:r w:rsidRPr="00E54EB2">
        <w:rPr>
          <w:lang w:val="de-AT"/>
        </w:rPr>
        <w:t xml:space="preserve"> </w:t>
      </w:r>
      <w:r w:rsidR="00E224D2" w:rsidRPr="20C1EDF1">
        <w:rPr>
          <w:i/>
          <w:lang w:val="en-US"/>
        </w:rPr>
        <w:t>Ionian Adriatic Pipeline</w:t>
      </w:r>
      <w:r w:rsidR="00E224D2" w:rsidRPr="20C1EDF1">
        <w:rPr>
          <w:lang w:val="en-US"/>
        </w:rPr>
        <w:t>)</w:t>
      </w:r>
    </w:p>
    <w:p w14:paraId="4CBC8D20" w14:textId="7CA5A2FD" w:rsidR="00453CB5" w:rsidRPr="00B47BDA" w:rsidRDefault="00453CB5" w:rsidP="004623DD">
      <w:r w:rsidRPr="00B47BDA">
        <w:t xml:space="preserve">ICT </w:t>
      </w:r>
      <w:r w:rsidR="008959CD" w:rsidRPr="00B47BDA">
        <w:t>–</w:t>
      </w:r>
      <w:r w:rsidRPr="00B47BDA">
        <w:t xml:space="preserve"> </w:t>
      </w:r>
      <w:r w:rsidR="62F76FB4">
        <w:t>I</w:t>
      </w:r>
      <w:r w:rsidR="532D08CA">
        <w:t>nformacijske</w:t>
      </w:r>
      <w:r w:rsidR="008959CD" w:rsidRPr="00B47BDA">
        <w:t xml:space="preserve"> i komunikacijske tehnologije</w:t>
      </w:r>
    </w:p>
    <w:p w14:paraId="40FB687C" w14:textId="15F767E7" w:rsidR="00DF2E7B" w:rsidRPr="00B47BDA" w:rsidRDefault="00DF2E7B" w:rsidP="004623DD">
      <w:r w:rsidRPr="63259912">
        <w:t>IEA – Međunarodna agencija za energiju (</w:t>
      </w:r>
      <w:r w:rsidR="4120BB69" w:rsidRPr="63259912">
        <w:t>eng</w:t>
      </w:r>
      <w:r w:rsidR="0BD42CE4" w:rsidRPr="63259912">
        <w:t>l</w:t>
      </w:r>
      <w:r w:rsidR="4120BB69" w:rsidRPr="63259912">
        <w:t>.</w:t>
      </w:r>
      <w:r w:rsidRPr="63259912">
        <w:t xml:space="preserve"> </w:t>
      </w:r>
      <w:r w:rsidR="00C33952" w:rsidRPr="63259912">
        <w:rPr>
          <w:i/>
          <w:iCs/>
        </w:rPr>
        <w:t>International Energy Agency</w:t>
      </w:r>
      <w:r w:rsidRPr="63259912">
        <w:t>)</w:t>
      </w:r>
    </w:p>
    <w:p w14:paraId="591A1D9C" w14:textId="7F87BC23" w:rsidR="007A7028" w:rsidRPr="00B47BDA" w:rsidRDefault="007A7028" w:rsidP="009F66A6">
      <w:pPr>
        <w:ind w:left="709" w:hanging="709"/>
      </w:pPr>
      <w:r w:rsidRPr="20C1EDF1">
        <w:rPr>
          <w:lang w:val="en-US"/>
        </w:rPr>
        <w:t xml:space="preserve">IPCC – </w:t>
      </w:r>
      <w:proofErr w:type="spellStart"/>
      <w:r w:rsidRPr="20C1EDF1">
        <w:rPr>
          <w:lang w:val="en-US"/>
        </w:rPr>
        <w:t>Međuvladin</w:t>
      </w:r>
      <w:proofErr w:type="spellEnd"/>
      <w:r w:rsidRPr="20C1EDF1">
        <w:rPr>
          <w:lang w:val="en-US"/>
        </w:rPr>
        <w:t xml:space="preserve"> panel za </w:t>
      </w:r>
      <w:proofErr w:type="spellStart"/>
      <w:r w:rsidRPr="20C1EDF1">
        <w:rPr>
          <w:lang w:val="en-US"/>
        </w:rPr>
        <w:t>klimatske</w:t>
      </w:r>
      <w:proofErr w:type="spellEnd"/>
      <w:r w:rsidRPr="20C1EDF1">
        <w:rPr>
          <w:lang w:val="en-US"/>
        </w:rPr>
        <w:t xml:space="preserve"> </w:t>
      </w:r>
      <w:proofErr w:type="spellStart"/>
      <w:r w:rsidRPr="20C1EDF1">
        <w:rPr>
          <w:lang w:val="en-US"/>
        </w:rPr>
        <w:t>promjene</w:t>
      </w:r>
      <w:proofErr w:type="spellEnd"/>
      <w:r w:rsidR="0002322F" w:rsidRPr="20C1EDF1">
        <w:rPr>
          <w:lang w:val="en-US"/>
        </w:rPr>
        <w:t xml:space="preserve"> (</w:t>
      </w:r>
      <w:proofErr w:type="spellStart"/>
      <w:r w:rsidR="70236CE6" w:rsidRPr="20C1EDF1">
        <w:rPr>
          <w:lang w:val="en-US"/>
        </w:rPr>
        <w:t>eng</w:t>
      </w:r>
      <w:r w:rsidR="0026257E" w:rsidRPr="20C1EDF1">
        <w:rPr>
          <w:lang w:val="en-US"/>
        </w:rPr>
        <w:t>l</w:t>
      </w:r>
      <w:r w:rsidR="70236CE6" w:rsidRPr="20C1EDF1">
        <w:rPr>
          <w:lang w:val="en-US"/>
        </w:rPr>
        <w:t>.</w:t>
      </w:r>
      <w:proofErr w:type="spellEnd"/>
      <w:r w:rsidR="0002322F" w:rsidRPr="20C1EDF1">
        <w:rPr>
          <w:lang w:val="en-US"/>
        </w:rPr>
        <w:t xml:space="preserve"> </w:t>
      </w:r>
      <w:r w:rsidR="00D17D23" w:rsidRPr="20C1EDF1">
        <w:rPr>
          <w:i/>
          <w:lang w:val="en-US"/>
        </w:rPr>
        <w:t>Intergovernmental Panel on Climate Change</w:t>
      </w:r>
      <w:r w:rsidR="0002322F" w:rsidRPr="20C1EDF1">
        <w:rPr>
          <w:lang w:val="en-US"/>
        </w:rPr>
        <w:t>)</w:t>
      </w:r>
    </w:p>
    <w:p w14:paraId="6BA51E15" w14:textId="27BE501E" w:rsidR="00CE58B5" w:rsidRPr="00B47BDA" w:rsidRDefault="00CE58B5" w:rsidP="004623DD">
      <w:r w:rsidRPr="00B47BDA">
        <w:t>ISGE – Informacijski sustav za gospodarenje energijom</w:t>
      </w:r>
    </w:p>
    <w:p w14:paraId="660D04BE" w14:textId="5884DD05" w:rsidR="007A7028" w:rsidRPr="00B47BDA" w:rsidRDefault="007A7028" w:rsidP="009F66A6">
      <w:pPr>
        <w:ind w:left="993" w:hanging="993"/>
      </w:pPr>
      <w:r w:rsidRPr="0092643D">
        <w:t xml:space="preserve">LULUCF </w:t>
      </w:r>
      <w:r w:rsidR="00DA7284" w:rsidRPr="0092643D">
        <w:t>–</w:t>
      </w:r>
      <w:r w:rsidRPr="0092643D">
        <w:t xml:space="preserve"> </w:t>
      </w:r>
      <w:r w:rsidR="00D1079C" w:rsidRPr="0092643D">
        <w:t>Korištenje zemljišta, prenamjena zemljišta i šumarstvo (</w:t>
      </w:r>
      <w:r w:rsidR="4339CC29" w:rsidRPr="0092643D">
        <w:t>eng</w:t>
      </w:r>
      <w:r w:rsidR="588EA8E1" w:rsidRPr="0092643D">
        <w:t>l</w:t>
      </w:r>
      <w:r w:rsidR="4339CC29" w:rsidRPr="0092643D">
        <w:t>.</w:t>
      </w:r>
      <w:r w:rsidR="00D1079C" w:rsidRPr="0092643D">
        <w:t xml:space="preserve"> </w:t>
      </w:r>
      <w:r w:rsidR="00D1079C" w:rsidRPr="20C1EDF1">
        <w:rPr>
          <w:i/>
          <w:lang w:val="en-US"/>
        </w:rPr>
        <w:t>Land Use, Land Use Change and Forestry</w:t>
      </w:r>
      <w:r w:rsidR="00D1079C" w:rsidRPr="20C1EDF1">
        <w:rPr>
          <w:lang w:val="en-US"/>
        </w:rPr>
        <w:t>)</w:t>
      </w:r>
    </w:p>
    <w:p w14:paraId="7505117D" w14:textId="73E483E0" w:rsidR="00DA7284" w:rsidRPr="00092B22" w:rsidRDefault="009F1C94" w:rsidP="004623DD">
      <w:r>
        <w:t>MPGI</w:t>
      </w:r>
      <w:r w:rsidR="00DA7284" w:rsidRPr="00092B22">
        <w:t xml:space="preserve"> – Ministarstvo </w:t>
      </w:r>
      <w:r w:rsidR="051D9432">
        <w:t>prostornog</w:t>
      </w:r>
      <w:r w:rsidR="75BAC330">
        <w:t>a</w:t>
      </w:r>
      <w:r w:rsidR="00DA7284" w:rsidRPr="00092B22">
        <w:t xml:space="preserve"> uređenja</w:t>
      </w:r>
      <w:r w:rsidR="000826FE" w:rsidRPr="00092B22">
        <w:t>, graditeljstva i državne imovine</w:t>
      </w:r>
    </w:p>
    <w:p w14:paraId="5BBE34C8" w14:textId="4B58A0FE" w:rsidR="00006A0B" w:rsidRDefault="00006A0B" w:rsidP="004623DD">
      <w:pPr>
        <w:rPr>
          <w:lang w:eastAsia="hr-HR"/>
        </w:rPr>
      </w:pPr>
      <w:r w:rsidRPr="00092B22">
        <w:t>M</w:t>
      </w:r>
      <w:r w:rsidR="00654F1A">
        <w:t>P</w:t>
      </w:r>
      <w:r w:rsidR="00ED27AF">
        <w:t>S</w:t>
      </w:r>
      <w:r w:rsidRPr="00092B22">
        <w:t xml:space="preserve"> – </w:t>
      </w:r>
      <w:r w:rsidR="00ED27AF">
        <w:t>Ministarstvo poljoprivrede</w:t>
      </w:r>
      <w:r w:rsidR="00ED27AF" w:rsidRPr="00AE6008">
        <w:rPr>
          <w:lang w:eastAsia="hr-HR"/>
        </w:rPr>
        <w:t>, šumarstva i ribarstva</w:t>
      </w:r>
    </w:p>
    <w:p w14:paraId="216F5702" w14:textId="64441A34" w:rsidR="00CA1B01" w:rsidRPr="00B47BDA" w:rsidRDefault="00CA1B01" w:rsidP="004623DD">
      <w:r>
        <w:rPr>
          <w:lang w:eastAsia="hr-HR"/>
        </w:rPr>
        <w:t>MZ – Ministarstvo zdravstva</w:t>
      </w:r>
    </w:p>
    <w:p w14:paraId="3BCF3F72" w14:textId="0397243C" w:rsidR="000F021C" w:rsidRDefault="000F021C" w:rsidP="004623DD">
      <w:r w:rsidRPr="00B47BDA">
        <w:t>MZO</w:t>
      </w:r>
      <w:r w:rsidR="00CB14A2">
        <w:t>M</w:t>
      </w:r>
      <w:r w:rsidRPr="00B47BDA">
        <w:t xml:space="preserve"> – Ministarstvo znanosti</w:t>
      </w:r>
      <w:r w:rsidR="00450692">
        <w:t>,</w:t>
      </w:r>
      <w:r w:rsidRPr="00B47BDA">
        <w:t xml:space="preserve"> obrazovanja</w:t>
      </w:r>
      <w:r w:rsidR="00450692">
        <w:t xml:space="preserve"> i mladih</w:t>
      </w:r>
    </w:p>
    <w:p w14:paraId="1BE823DB" w14:textId="730D498A" w:rsidR="006F5719" w:rsidRPr="00B47BDA" w:rsidRDefault="006F5719" w:rsidP="004623DD">
      <w:r>
        <w:t xml:space="preserve">MZOZT </w:t>
      </w:r>
      <w:r w:rsidR="008E295F">
        <w:t>– Ministarstvo zaštite okoliša i zelene tranzicije</w:t>
      </w:r>
    </w:p>
    <w:p w14:paraId="06F8206A" w14:textId="635A0B7C" w:rsidR="00D1079C" w:rsidRPr="00B47BDA" w:rsidRDefault="00D1079C" w:rsidP="004623DD">
      <w:r w:rsidRPr="00B47BDA">
        <w:t>M</w:t>
      </w:r>
      <w:r w:rsidR="00DC5CA8">
        <w:t>IN</w:t>
      </w:r>
      <w:r w:rsidR="007F51FF" w:rsidRPr="00B47BDA">
        <w:t xml:space="preserve">GO </w:t>
      </w:r>
      <w:r w:rsidRPr="00B47BDA">
        <w:t xml:space="preserve">– Ministarstvo </w:t>
      </w:r>
      <w:r w:rsidR="007F51FF" w:rsidRPr="00B47BDA">
        <w:t>gospodarstva</w:t>
      </w:r>
    </w:p>
    <w:p w14:paraId="24B11DC5" w14:textId="1536419F" w:rsidR="00D1079C" w:rsidRPr="00B47BDA" w:rsidRDefault="00D1079C" w:rsidP="004623DD">
      <w:r w:rsidRPr="63259912">
        <w:t>NAPEnU – Nacionalni akcijski plan energetske učinkovitosti</w:t>
      </w:r>
    </w:p>
    <w:p w14:paraId="2B7C83AB" w14:textId="62D05E7C" w:rsidR="00D1079C" w:rsidRPr="00B47BDA" w:rsidRDefault="00D1079C" w:rsidP="004623DD">
      <w:r w:rsidRPr="63259912">
        <w:t>NFAP – Nacionalni računski plan za šumarstvo (</w:t>
      </w:r>
      <w:r w:rsidR="4339CC29" w:rsidRPr="63259912">
        <w:t>eng</w:t>
      </w:r>
      <w:r w:rsidR="2BEC5D23" w:rsidRPr="63259912">
        <w:t>l</w:t>
      </w:r>
      <w:r w:rsidR="4339CC29" w:rsidRPr="63259912">
        <w:t>.</w:t>
      </w:r>
      <w:r w:rsidRPr="63259912">
        <w:t xml:space="preserve"> </w:t>
      </w:r>
      <w:r w:rsidRPr="63259912">
        <w:rPr>
          <w:i/>
          <w:iCs/>
        </w:rPr>
        <w:t>National Forestry Accounting Plan</w:t>
      </w:r>
      <w:r w:rsidRPr="63259912">
        <w:t>)</w:t>
      </w:r>
    </w:p>
    <w:p w14:paraId="39CFDBAB" w14:textId="0FAF72A6" w:rsidR="00D1079C" w:rsidRPr="00B47BDA" w:rsidRDefault="00D1079C" w:rsidP="004623DD">
      <w:r w:rsidRPr="00B47BDA">
        <w:t>NKT – Nacionalno koordinacijsko tijelo</w:t>
      </w:r>
    </w:p>
    <w:p w14:paraId="482F9566" w14:textId="75C6A2E5" w:rsidR="00D1079C" w:rsidRPr="00B47BDA" w:rsidRDefault="00D1079C" w:rsidP="004623DD">
      <w:r w:rsidRPr="00B47BDA">
        <w:t xml:space="preserve">NOP - Nacionalni okvir politike za uspostavu infrastrukture za alternativna goriva </w:t>
      </w:r>
      <w:r w:rsidR="4339CC29">
        <w:t>R</w:t>
      </w:r>
      <w:r w:rsidR="0708C70F">
        <w:t>epublike</w:t>
      </w:r>
    </w:p>
    <w:p w14:paraId="762B056F" w14:textId="1862C942" w:rsidR="00D1079C" w:rsidRPr="00B47BDA" w:rsidRDefault="0708C70F" w:rsidP="004623DD">
      <w:r>
        <w:t xml:space="preserve"> </w:t>
      </w:r>
      <w:r w:rsidR="4C7BFE51">
        <w:t xml:space="preserve">          </w:t>
      </w:r>
      <w:r w:rsidR="4339CC29">
        <w:t>H</w:t>
      </w:r>
      <w:r w:rsidR="3ED518DE">
        <w:t>rvatske</w:t>
      </w:r>
    </w:p>
    <w:p w14:paraId="4FC90C28" w14:textId="70371BE3" w:rsidR="00944D34" w:rsidRPr="00B47BDA" w:rsidRDefault="00944D34" w:rsidP="004623DD">
      <w:r w:rsidRPr="00B47BDA">
        <w:t>NPOO - Nacionalni plan oporavka i otpornosti 2021</w:t>
      </w:r>
      <w:r w:rsidR="6CD81E4F">
        <w:t>.</w:t>
      </w:r>
      <w:r w:rsidR="44CE9DC8">
        <w:t xml:space="preserve"> </w:t>
      </w:r>
      <w:r w:rsidR="6CD81E4F">
        <w:t>-</w:t>
      </w:r>
      <w:r w:rsidR="5015A00A">
        <w:t xml:space="preserve"> </w:t>
      </w:r>
      <w:r w:rsidRPr="00B47BDA">
        <w:t>2026.</w:t>
      </w:r>
    </w:p>
    <w:p w14:paraId="4087DF4F" w14:textId="14966657" w:rsidR="00A84EA7" w:rsidRPr="00B47BDA" w:rsidRDefault="00A84EA7" w:rsidP="004623DD">
      <w:r w:rsidRPr="63259912">
        <w:t>NTC – neto prijenosni kapacitet (</w:t>
      </w:r>
      <w:r w:rsidR="1F3E31B3" w:rsidRPr="63259912">
        <w:t>eng</w:t>
      </w:r>
      <w:r w:rsidR="075C72B8" w:rsidRPr="63259912">
        <w:t>l</w:t>
      </w:r>
      <w:r w:rsidR="1F3E31B3" w:rsidRPr="63259912">
        <w:t>.</w:t>
      </w:r>
      <w:r w:rsidR="008A5F24" w:rsidRPr="63259912">
        <w:t xml:space="preserve"> </w:t>
      </w:r>
      <w:r w:rsidR="008A5F24" w:rsidRPr="63259912">
        <w:rPr>
          <w:i/>
          <w:iCs/>
        </w:rPr>
        <w:t>Net Transfer Capacity</w:t>
      </w:r>
      <w:r w:rsidRPr="63259912">
        <w:t>)</w:t>
      </w:r>
    </w:p>
    <w:p w14:paraId="6B7C7D1D" w14:textId="6949F7EB" w:rsidR="00D1079C" w:rsidRPr="00B47BDA" w:rsidRDefault="00D1079C" w:rsidP="004623DD">
      <w:r w:rsidRPr="63259912">
        <w:t>nZEB – zgrada gotovo nulte energije (</w:t>
      </w:r>
      <w:r w:rsidR="4339CC29" w:rsidRPr="63259912">
        <w:t>eng</w:t>
      </w:r>
      <w:r w:rsidR="2139987D" w:rsidRPr="63259912">
        <w:t>l</w:t>
      </w:r>
      <w:r w:rsidR="4339CC29" w:rsidRPr="63259912">
        <w:t>.</w:t>
      </w:r>
      <w:r w:rsidRPr="63259912">
        <w:t xml:space="preserve"> </w:t>
      </w:r>
      <w:r w:rsidR="00D02B31" w:rsidRPr="63259912">
        <w:rPr>
          <w:i/>
          <w:iCs/>
        </w:rPr>
        <w:t>Nearly Zero Energy Building</w:t>
      </w:r>
      <w:r w:rsidRPr="63259912">
        <w:t>)</w:t>
      </w:r>
    </w:p>
    <w:p w14:paraId="5E61135D" w14:textId="0FB8E0DF" w:rsidR="00DC6265" w:rsidRPr="00B47BDA" w:rsidRDefault="00DC6265" w:rsidP="004623DD">
      <w:r w:rsidRPr="00B47BDA">
        <w:t xml:space="preserve">ODS – </w:t>
      </w:r>
      <w:r w:rsidR="40B544D3">
        <w:t>O</w:t>
      </w:r>
      <w:r w:rsidR="00420CC2" w:rsidRPr="00B47BDA">
        <w:t xml:space="preserve">perator </w:t>
      </w:r>
      <w:r w:rsidRPr="00B47BDA">
        <w:t>distribucijskog sustava</w:t>
      </w:r>
    </w:p>
    <w:p w14:paraId="4E7E7CB9" w14:textId="42978AC7" w:rsidR="00356582" w:rsidRPr="00B47BDA" w:rsidRDefault="00356582" w:rsidP="004623DD">
      <w:r w:rsidRPr="00B47BDA">
        <w:t xml:space="preserve">OIE – </w:t>
      </w:r>
      <w:r w:rsidR="5C48A18A">
        <w:t>O</w:t>
      </w:r>
      <w:r w:rsidRPr="00B47BDA">
        <w:t>bnovljivi izvori energije</w:t>
      </w:r>
    </w:p>
    <w:p w14:paraId="4F333C06" w14:textId="1C220E16" w:rsidR="00856F25" w:rsidRDefault="00856F25" w:rsidP="004623DD">
      <w:r w:rsidRPr="00B47BDA">
        <w:t xml:space="preserve">OPKK – Operativni program Konkurentnost i kohezija </w:t>
      </w:r>
      <w:r w:rsidR="00DA7284" w:rsidRPr="00B47BDA">
        <w:t>2014. – 2020.</w:t>
      </w:r>
    </w:p>
    <w:p w14:paraId="4080B652" w14:textId="4F029DA4" w:rsidR="00F976D8" w:rsidRPr="00B47BDA" w:rsidRDefault="00D14D55" w:rsidP="004623DD">
      <w:r>
        <w:t>PKK – Program Konkurentnost i kohezija 2021. – 2027.</w:t>
      </w:r>
    </w:p>
    <w:p w14:paraId="3257DCAA" w14:textId="67249329" w:rsidR="00D1079C" w:rsidRPr="00B47BDA" w:rsidRDefault="00D1079C" w:rsidP="004623DD">
      <w:r w:rsidRPr="00E54EB2">
        <w:rPr>
          <w:lang w:val="de-AT"/>
        </w:rPr>
        <w:t>PCI – Projekti od zajedničkog interesa (</w:t>
      </w:r>
      <w:r w:rsidR="4339CC29" w:rsidRPr="00E54EB2">
        <w:rPr>
          <w:lang w:val="de-AT"/>
        </w:rPr>
        <w:t>eng</w:t>
      </w:r>
      <w:r w:rsidR="57893FFF" w:rsidRPr="00E54EB2">
        <w:rPr>
          <w:lang w:val="de-AT"/>
        </w:rPr>
        <w:t>l</w:t>
      </w:r>
      <w:r w:rsidR="4339CC29" w:rsidRPr="00E54EB2">
        <w:rPr>
          <w:lang w:val="de-AT"/>
        </w:rPr>
        <w:t>.</w:t>
      </w:r>
      <w:r w:rsidRPr="00E54EB2">
        <w:rPr>
          <w:lang w:val="de-AT"/>
        </w:rPr>
        <w:t xml:space="preserve"> </w:t>
      </w:r>
      <w:r w:rsidRPr="20C1EDF1">
        <w:rPr>
          <w:i/>
          <w:lang w:val="en-US"/>
        </w:rPr>
        <w:t>Projects of Common Interest</w:t>
      </w:r>
      <w:r w:rsidRPr="20C1EDF1">
        <w:rPr>
          <w:lang w:val="en-US"/>
        </w:rPr>
        <w:t>)</w:t>
      </w:r>
    </w:p>
    <w:p w14:paraId="76906384" w14:textId="4AB3BDDF" w:rsidR="00DC6265" w:rsidRPr="00B47BDA" w:rsidRDefault="00DC6265" w:rsidP="004623DD">
      <w:r w:rsidRPr="00B47BDA">
        <w:t xml:space="preserve">SE – </w:t>
      </w:r>
      <w:r w:rsidR="6B558631">
        <w:t>S</w:t>
      </w:r>
      <w:r w:rsidRPr="00B47BDA">
        <w:t>unčana elektrana</w:t>
      </w:r>
    </w:p>
    <w:p w14:paraId="4D234AC3" w14:textId="0CAF0B4D" w:rsidR="00815A18" w:rsidRPr="00B47BDA" w:rsidRDefault="00815A18" w:rsidP="00216026">
      <w:pPr>
        <w:ind w:left="851" w:hanging="851"/>
      </w:pPr>
      <w:r w:rsidRPr="0092643D">
        <w:t>SECAP – Akcijski plan energetskog i klimatskog održivog razvoja (</w:t>
      </w:r>
      <w:r w:rsidR="1D83B77D" w:rsidRPr="0092643D">
        <w:t>eng</w:t>
      </w:r>
      <w:r w:rsidR="76EFB0EC" w:rsidRPr="0092643D">
        <w:t>l</w:t>
      </w:r>
      <w:r w:rsidR="1D83B77D" w:rsidRPr="0092643D">
        <w:t>.</w:t>
      </w:r>
      <w:r w:rsidRPr="0092643D">
        <w:t xml:space="preserve"> </w:t>
      </w:r>
      <w:r w:rsidR="00EA5FCE" w:rsidRPr="20C1EDF1">
        <w:rPr>
          <w:i/>
          <w:lang w:val="en-US"/>
        </w:rPr>
        <w:t>Sustainable Energy and Climate Action Plan</w:t>
      </w:r>
      <w:r w:rsidR="00EA5FCE" w:rsidRPr="20C1EDF1">
        <w:rPr>
          <w:lang w:val="en-US"/>
        </w:rPr>
        <w:t>)</w:t>
      </w:r>
    </w:p>
    <w:p w14:paraId="3302A871" w14:textId="21650CCE" w:rsidR="00CE58B5" w:rsidRDefault="00CE58B5" w:rsidP="004623DD">
      <w:r w:rsidRPr="63259912">
        <w:t>SMiV – Sustav za mjerenje i verifikaciju</w:t>
      </w:r>
    </w:p>
    <w:p w14:paraId="364071C3" w14:textId="44C53D68" w:rsidR="0061261F" w:rsidRPr="00B47BDA" w:rsidRDefault="0061261F" w:rsidP="004623DD">
      <w:r w:rsidRPr="63259912">
        <w:t xml:space="preserve">SMR </w:t>
      </w:r>
      <w:r w:rsidR="00C74EF0" w:rsidRPr="63259912">
        <w:t>–</w:t>
      </w:r>
      <w:r w:rsidRPr="63259912">
        <w:t xml:space="preserve"> </w:t>
      </w:r>
      <w:r w:rsidR="00C74EF0" w:rsidRPr="63259912">
        <w:t xml:space="preserve">Male modularne nuklearne elektrane </w:t>
      </w:r>
      <w:r w:rsidR="006E7E4E" w:rsidRPr="63259912">
        <w:t>(Small Modular Reactors)</w:t>
      </w:r>
    </w:p>
    <w:p w14:paraId="4DC99DFB" w14:textId="6C87FC16" w:rsidR="00A84EA7" w:rsidRPr="00B47BDA" w:rsidRDefault="00A84EA7" w:rsidP="004623DD">
      <w:r w:rsidRPr="00B47BDA">
        <w:t xml:space="preserve">SPP – </w:t>
      </w:r>
      <w:r w:rsidR="5DD9822F">
        <w:t>S</w:t>
      </w:r>
      <w:r w:rsidR="4C1F11C3">
        <w:t>tlačeni</w:t>
      </w:r>
      <w:r w:rsidRPr="00B47BDA">
        <w:t xml:space="preserve"> prirodni plin</w:t>
      </w:r>
    </w:p>
    <w:p w14:paraId="7F3D1F5E" w14:textId="37DEBD4C" w:rsidR="00DC6265" w:rsidRPr="00B47BDA" w:rsidRDefault="3689688C" w:rsidP="004623DD">
      <w:r>
        <w:lastRenderedPageBreak/>
        <w:t xml:space="preserve">TE – </w:t>
      </w:r>
      <w:r w:rsidR="4B8CE30D">
        <w:t>T</w:t>
      </w:r>
      <w:r>
        <w:t>ermoelektrana</w:t>
      </w:r>
    </w:p>
    <w:p w14:paraId="7FD7F16B" w14:textId="7710D643" w:rsidR="00DC6265" w:rsidRPr="00B47BDA" w:rsidRDefault="00DC6265" w:rsidP="004623DD">
      <w:r w:rsidRPr="00B47BDA">
        <w:t xml:space="preserve">TE-TO – </w:t>
      </w:r>
      <w:r w:rsidR="1371DC20">
        <w:t>T</w:t>
      </w:r>
      <w:r w:rsidR="3689688C">
        <w:t>ermoelektrana</w:t>
      </w:r>
      <w:r w:rsidRPr="00B47BDA">
        <w:t>-toplana</w:t>
      </w:r>
    </w:p>
    <w:p w14:paraId="2BADAFC8" w14:textId="5BF8B762" w:rsidR="00A84EA7" w:rsidRPr="00B47BDA" w:rsidRDefault="00A84EA7" w:rsidP="009F66A6">
      <w:pPr>
        <w:ind w:left="851" w:hanging="851"/>
      </w:pPr>
      <w:r w:rsidRPr="0092643D">
        <w:rPr>
          <w:lang w:val="es-ES"/>
        </w:rPr>
        <w:t xml:space="preserve">TYNDP – </w:t>
      </w:r>
      <w:proofErr w:type="spellStart"/>
      <w:r w:rsidR="238C71B8" w:rsidRPr="0092643D">
        <w:rPr>
          <w:lang w:val="es-ES"/>
        </w:rPr>
        <w:t>D</w:t>
      </w:r>
      <w:r w:rsidR="4C1F11C3" w:rsidRPr="0092643D">
        <w:rPr>
          <w:lang w:val="es-ES"/>
        </w:rPr>
        <w:t>esetogodišnji</w:t>
      </w:r>
      <w:proofErr w:type="spellEnd"/>
      <w:r w:rsidRPr="0092643D">
        <w:rPr>
          <w:lang w:val="es-ES"/>
        </w:rPr>
        <w:t xml:space="preserve"> plan </w:t>
      </w:r>
      <w:proofErr w:type="spellStart"/>
      <w:r w:rsidRPr="0092643D">
        <w:rPr>
          <w:lang w:val="es-ES"/>
        </w:rPr>
        <w:t>razvoja</w:t>
      </w:r>
      <w:proofErr w:type="spellEnd"/>
      <w:r w:rsidRPr="0092643D">
        <w:rPr>
          <w:lang w:val="es-ES"/>
        </w:rPr>
        <w:t xml:space="preserve"> </w:t>
      </w:r>
      <w:proofErr w:type="spellStart"/>
      <w:r w:rsidRPr="0092643D">
        <w:rPr>
          <w:lang w:val="es-ES"/>
        </w:rPr>
        <w:t>prijenosne</w:t>
      </w:r>
      <w:proofErr w:type="spellEnd"/>
      <w:r w:rsidRPr="0092643D">
        <w:rPr>
          <w:lang w:val="es-ES"/>
        </w:rPr>
        <w:t xml:space="preserve"> </w:t>
      </w:r>
      <w:proofErr w:type="spellStart"/>
      <w:r w:rsidRPr="0092643D">
        <w:rPr>
          <w:lang w:val="es-ES"/>
        </w:rPr>
        <w:t>mreže</w:t>
      </w:r>
      <w:proofErr w:type="spellEnd"/>
      <w:r w:rsidRPr="0092643D">
        <w:rPr>
          <w:lang w:val="es-ES"/>
        </w:rPr>
        <w:t xml:space="preserve"> (</w:t>
      </w:r>
      <w:proofErr w:type="spellStart"/>
      <w:r w:rsidR="4C1F11C3" w:rsidRPr="0092643D">
        <w:rPr>
          <w:lang w:val="es-ES"/>
        </w:rPr>
        <w:t>eng</w:t>
      </w:r>
      <w:r w:rsidR="43FCD8C8" w:rsidRPr="0092643D">
        <w:rPr>
          <w:lang w:val="es-ES"/>
        </w:rPr>
        <w:t>l</w:t>
      </w:r>
      <w:proofErr w:type="spellEnd"/>
      <w:r w:rsidR="4C1F11C3" w:rsidRPr="0092643D">
        <w:rPr>
          <w:lang w:val="es-ES"/>
        </w:rPr>
        <w:t>.</w:t>
      </w:r>
      <w:r w:rsidRPr="0092643D">
        <w:rPr>
          <w:lang w:val="es-ES"/>
        </w:rPr>
        <w:t xml:space="preserve"> </w:t>
      </w:r>
      <w:r w:rsidR="00706718" w:rsidRPr="20C1EDF1">
        <w:rPr>
          <w:i/>
          <w:lang w:val="en-US"/>
        </w:rPr>
        <w:t>Ten-Year Network Development Plan</w:t>
      </w:r>
      <w:r w:rsidRPr="20C1EDF1">
        <w:rPr>
          <w:lang w:val="en-US"/>
        </w:rPr>
        <w:t>)</w:t>
      </w:r>
    </w:p>
    <w:p w14:paraId="5E8222F8" w14:textId="2E25BAFB" w:rsidR="00356582" w:rsidRPr="00B47BDA" w:rsidRDefault="00356582" w:rsidP="004623DD">
      <w:r w:rsidRPr="00B47BDA">
        <w:t>UN – Ujedinjeni narodi</w:t>
      </w:r>
    </w:p>
    <w:p w14:paraId="2156CD1A" w14:textId="69F6A7CA" w:rsidR="00184266" w:rsidRPr="00B47BDA" w:rsidRDefault="00184266" w:rsidP="009F66A6">
      <w:pPr>
        <w:ind w:left="1134" w:hanging="1134"/>
      </w:pPr>
      <w:r w:rsidRPr="0092643D">
        <w:t>UNFCC</w:t>
      </w:r>
      <w:r w:rsidR="00356582" w:rsidRPr="0092643D">
        <w:t>C - Okvirn</w:t>
      </w:r>
      <w:r w:rsidR="00A4765B" w:rsidRPr="0092643D">
        <w:t>a</w:t>
      </w:r>
      <w:r w:rsidR="00356582" w:rsidRPr="0092643D">
        <w:t xml:space="preserve"> konvencij</w:t>
      </w:r>
      <w:r w:rsidR="00A4765B" w:rsidRPr="0092643D">
        <w:t>a</w:t>
      </w:r>
      <w:r w:rsidR="00356582" w:rsidRPr="0092643D">
        <w:t xml:space="preserve"> </w:t>
      </w:r>
      <w:r w:rsidR="564B80B8" w:rsidRPr="0092643D">
        <w:t>U</w:t>
      </w:r>
      <w:r w:rsidR="45B1AACB" w:rsidRPr="0092643D">
        <w:t>jedinjenih naroda</w:t>
      </w:r>
      <w:r w:rsidR="00356582" w:rsidRPr="0092643D">
        <w:t xml:space="preserve"> o promjeni klime</w:t>
      </w:r>
      <w:r w:rsidR="0002322F" w:rsidRPr="0092643D">
        <w:t xml:space="preserve"> (</w:t>
      </w:r>
      <w:r w:rsidR="70236CE6" w:rsidRPr="0092643D">
        <w:t>eng</w:t>
      </w:r>
      <w:r w:rsidR="15667811" w:rsidRPr="0092643D">
        <w:t>l</w:t>
      </w:r>
      <w:r w:rsidR="70236CE6" w:rsidRPr="0092643D">
        <w:t>.</w:t>
      </w:r>
      <w:r w:rsidR="0002322F" w:rsidRPr="0092643D">
        <w:t xml:space="preserve"> </w:t>
      </w:r>
      <w:r w:rsidR="007778B7" w:rsidRPr="20C1EDF1">
        <w:rPr>
          <w:i/>
          <w:lang w:val="en-US"/>
        </w:rPr>
        <w:t>United Nations Framework Convention on Climate Change</w:t>
      </w:r>
      <w:r w:rsidR="0002322F" w:rsidRPr="20C1EDF1">
        <w:rPr>
          <w:lang w:val="en-US"/>
        </w:rPr>
        <w:t>)</w:t>
      </w:r>
    </w:p>
    <w:p w14:paraId="1506AE7E" w14:textId="368FD3D0" w:rsidR="00A65A58" w:rsidRPr="00B47BDA" w:rsidRDefault="00A65A58" w:rsidP="004623DD">
      <w:r w:rsidRPr="00B47BDA">
        <w:t xml:space="preserve">UPP – </w:t>
      </w:r>
      <w:r w:rsidR="6D3BB9BE">
        <w:t>U</w:t>
      </w:r>
      <w:r w:rsidR="6AB50551">
        <w:t>kapljeni</w:t>
      </w:r>
      <w:r w:rsidRPr="00B47BDA">
        <w:t xml:space="preserve"> prirodni plin</w:t>
      </w:r>
    </w:p>
    <w:p w14:paraId="6C45D07C" w14:textId="46BDADD3" w:rsidR="00B04E60" w:rsidRPr="00B47BDA" w:rsidRDefault="00A9B6FD" w:rsidP="004623DD">
      <w:r>
        <w:t xml:space="preserve">VE – </w:t>
      </w:r>
      <w:r w:rsidR="3EBDD3C6">
        <w:t>V</w:t>
      </w:r>
      <w:r>
        <w:t>jetroelektrana</w:t>
      </w:r>
    </w:p>
    <w:p w14:paraId="617B536F" w14:textId="75C25AA1" w:rsidR="00C15F8E" w:rsidRPr="00B47BDA" w:rsidRDefault="00C15F8E" w:rsidP="004623DD">
      <w:r w:rsidRPr="00B47BDA">
        <w:t xml:space="preserve">VUK – </w:t>
      </w:r>
      <w:r w:rsidR="1C2E1FD0">
        <w:t>V</w:t>
      </w:r>
      <w:r w:rsidR="65E58461">
        <w:t>isokoučinkovita</w:t>
      </w:r>
      <w:r w:rsidRPr="00B47BDA">
        <w:t xml:space="preserve"> kogeneracija</w:t>
      </w:r>
    </w:p>
    <w:p w14:paraId="2FC8F8F8" w14:textId="3017DB84" w:rsidR="008A190E" w:rsidRPr="00B47BDA" w:rsidRDefault="008A190E" w:rsidP="004623DD">
      <w:r w:rsidRPr="63259912">
        <w:t>ZeJN – Zelena javna nabava</w:t>
      </w:r>
    </w:p>
    <w:bookmarkEnd w:id="797"/>
    <w:bookmarkEnd w:id="798"/>
    <w:bookmarkEnd w:id="799"/>
    <w:p w14:paraId="5BFB58A9" w14:textId="0C063619" w:rsidR="003F6B56" w:rsidRPr="00B47BDA" w:rsidRDefault="003F6B56" w:rsidP="004623DD"/>
    <w:p w14:paraId="14B93B9B" w14:textId="77777777" w:rsidR="003F6B56" w:rsidRPr="00B47BDA" w:rsidRDefault="003F6B56" w:rsidP="004623DD"/>
    <w:p w14:paraId="5952D1F3" w14:textId="77777777" w:rsidR="003F6B56" w:rsidRPr="00B47BDA" w:rsidRDefault="003F6B56" w:rsidP="004623DD"/>
    <w:p w14:paraId="00C574A9" w14:textId="77777777" w:rsidR="003F6B56" w:rsidRPr="00B47BDA" w:rsidRDefault="003F6B56" w:rsidP="004623DD"/>
    <w:p w14:paraId="0A2CC316" w14:textId="77777777" w:rsidR="003F6B56" w:rsidRPr="00B47BDA" w:rsidRDefault="003F6B56" w:rsidP="004623DD"/>
    <w:p w14:paraId="558CDF36" w14:textId="77777777" w:rsidR="003F6B56" w:rsidRPr="00B47BDA" w:rsidRDefault="003F6B56" w:rsidP="004623DD"/>
    <w:p w14:paraId="06BE599A" w14:textId="66647EF5" w:rsidR="00CC3E77" w:rsidRDefault="00CC3E77" w:rsidP="004623DD"/>
    <w:p w14:paraId="38676E85" w14:textId="77777777" w:rsidR="00CC3E77" w:rsidRPr="00B47BDA" w:rsidRDefault="00CC3E77" w:rsidP="004623DD"/>
    <w:sectPr w:rsidR="00CC3E77" w:rsidRPr="00B47BDA" w:rsidSect="00BA0382">
      <w:footerReference w:type="default" r:id="rId8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5F07B" w14:textId="77777777" w:rsidR="0067697B" w:rsidRDefault="0067697B">
      <w:r>
        <w:separator/>
      </w:r>
    </w:p>
    <w:p w14:paraId="4BC78602" w14:textId="77777777" w:rsidR="0067697B" w:rsidRDefault="0067697B"/>
    <w:p w14:paraId="406CE726" w14:textId="77777777" w:rsidR="0067697B" w:rsidRDefault="0067697B"/>
    <w:p w14:paraId="2CEC7047" w14:textId="77777777" w:rsidR="0067697B" w:rsidRDefault="0067697B"/>
  </w:endnote>
  <w:endnote w:type="continuationSeparator" w:id="0">
    <w:p w14:paraId="4FCF5CB8" w14:textId="77777777" w:rsidR="0067697B" w:rsidRDefault="0067697B">
      <w:r>
        <w:continuationSeparator/>
      </w:r>
    </w:p>
    <w:p w14:paraId="6124D396" w14:textId="77777777" w:rsidR="0067697B" w:rsidRDefault="0067697B"/>
    <w:p w14:paraId="5CD60C0A" w14:textId="77777777" w:rsidR="0067697B" w:rsidRDefault="0067697B"/>
    <w:p w14:paraId="1A98C0B7" w14:textId="77777777" w:rsidR="0067697B" w:rsidRDefault="0067697B"/>
  </w:endnote>
  <w:endnote w:type="continuationNotice" w:id="1">
    <w:p w14:paraId="553E697A" w14:textId="77777777" w:rsidR="0067697B" w:rsidRDefault="0067697B"/>
    <w:p w14:paraId="56614D74" w14:textId="77777777" w:rsidR="0067697B" w:rsidRDefault="006769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Cond">
    <w:altName w:val="Arial"/>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Myriad Pro">
    <w:altName w:val="Segoe UI"/>
    <w:panose1 w:val="00000000000000000000"/>
    <w:charset w:val="00"/>
    <w:family w:val="swiss"/>
    <w:notTrueType/>
    <w:pitch w:val="variable"/>
    <w:sig w:usb0="A00002AF" w:usb1="5000204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Roboto">
    <w:charset w:val="00"/>
    <w:family w:val="auto"/>
    <w:pitch w:val="variable"/>
    <w:sig w:usb0="E0000AFF" w:usb1="5000217F" w:usb2="00000021"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21531"/>
      <w:docPartObj>
        <w:docPartGallery w:val="Page Numbers (Bottom of Page)"/>
        <w:docPartUnique/>
      </w:docPartObj>
    </w:sdtPr>
    <w:sdtEndPr/>
    <w:sdtContent>
      <w:p w14:paraId="3C6E8108" w14:textId="3D7CC793" w:rsidR="00203695" w:rsidRDefault="00203695" w:rsidP="00FE0660">
        <w:pPr>
          <w:pStyle w:val="Footer"/>
        </w:pPr>
        <w:r>
          <w:fldChar w:fldCharType="begin"/>
        </w:r>
        <w:r>
          <w:instrText>PAGE   \* MERGEFORMAT</w:instrText>
        </w:r>
        <w:r>
          <w:fldChar w:fldCharType="separate"/>
        </w:r>
        <w:r w:rsidR="00C564F9" w:rsidRPr="00C564F9">
          <w:rPr>
            <w:noProof/>
            <w:lang w:val="hr-HR"/>
          </w:rPr>
          <w:t>214</w:t>
        </w:r>
        <w:r>
          <w:fldChar w:fldCharType="end"/>
        </w:r>
      </w:p>
    </w:sdtContent>
  </w:sdt>
  <w:p w14:paraId="42A85D51" w14:textId="77777777" w:rsidR="00203695" w:rsidRDefault="00203695">
    <w:pPr>
      <w:pStyle w:val="Footer"/>
    </w:pPr>
  </w:p>
  <w:p w14:paraId="609A24FC" w14:textId="77777777" w:rsidR="00203695" w:rsidRDefault="002036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9A73A" w14:textId="77777777" w:rsidR="0067697B" w:rsidRDefault="0067697B">
      <w:r>
        <w:separator/>
      </w:r>
    </w:p>
    <w:p w14:paraId="7FC13A7A" w14:textId="77777777" w:rsidR="0067697B" w:rsidRDefault="0067697B"/>
  </w:footnote>
  <w:footnote w:type="continuationSeparator" w:id="0">
    <w:p w14:paraId="55F32138" w14:textId="77777777" w:rsidR="0067697B" w:rsidRDefault="0067697B">
      <w:r>
        <w:continuationSeparator/>
      </w:r>
    </w:p>
    <w:p w14:paraId="6B4E4D63" w14:textId="77777777" w:rsidR="0067697B" w:rsidRDefault="0067697B"/>
    <w:p w14:paraId="35FBCC52" w14:textId="77777777" w:rsidR="0067697B" w:rsidRDefault="0067697B"/>
    <w:p w14:paraId="17DA3B49" w14:textId="77777777" w:rsidR="0067697B" w:rsidRDefault="0067697B"/>
  </w:footnote>
  <w:footnote w:type="continuationNotice" w:id="1">
    <w:p w14:paraId="535561A0" w14:textId="77777777" w:rsidR="0067697B" w:rsidRDefault="0067697B"/>
    <w:p w14:paraId="0D8F15FD" w14:textId="77777777" w:rsidR="0067697B" w:rsidRDefault="0067697B"/>
  </w:footnote>
  <w:footnote w:id="2">
    <w:p w14:paraId="2F2FFA37" w14:textId="5DCE2985" w:rsidR="00203695" w:rsidRPr="00670C5E" w:rsidRDefault="00203695">
      <w:pPr>
        <w:pStyle w:val="FootnoteText"/>
        <w:rPr>
          <w:lang w:val="en-US"/>
        </w:rPr>
      </w:pPr>
      <w:r>
        <w:rPr>
          <w:rStyle w:val="FootnoteReference"/>
        </w:rPr>
        <w:footnoteRef/>
      </w:r>
      <w:r w:rsidRPr="00670C5E">
        <w:t>https://mpgi.gov.hr/o-ministarstvu/djelokrug-50/energetska-ucinkovitost-u-zgradarstvu/strateski-dokumenti-programi-i-projekti/dugorocna-strategija-obnove-nacionalnog-fonda-zgrada-do-2050-godine/9055</w:t>
      </w:r>
    </w:p>
  </w:footnote>
  <w:footnote w:id="3">
    <w:p w14:paraId="0F488DDB" w14:textId="233D047F" w:rsidR="00203695" w:rsidRDefault="00203695">
      <w:pPr>
        <w:pStyle w:val="FootnoteText"/>
      </w:pPr>
      <w:r>
        <w:rPr>
          <w:rStyle w:val="FootnoteReference"/>
        </w:rPr>
        <w:footnoteRef/>
      </w:r>
      <w:r>
        <w:t xml:space="preserve"> </w:t>
      </w:r>
      <w:r w:rsidRPr="001F5173">
        <w:t>https://narodne-novine.nn.hr/clanci/sluzbeni/2017_10_106_2423.html</w:t>
      </w:r>
    </w:p>
  </w:footnote>
  <w:footnote w:id="4">
    <w:p w14:paraId="19999F10" w14:textId="77777777" w:rsidR="00203695" w:rsidRPr="008B3E7E" w:rsidRDefault="00203695" w:rsidP="00251DFC">
      <w:pPr>
        <w:pStyle w:val="FootnoteText"/>
      </w:pPr>
      <w:r w:rsidRPr="008B3E7E">
        <w:rPr>
          <w:rStyle w:val="FootnoteReference"/>
        </w:rPr>
        <w:footnoteRef/>
      </w:r>
      <w:r w:rsidRPr="008B3E7E">
        <w:t xml:space="preserve"> Potrošnja primarne energije, prema smjernicama EUROSTAT-a, definira se kao ukupna potrošnja </w:t>
      </w:r>
      <w:r w:rsidRPr="008B3E7E">
        <w:t>energije umanjena za neenergetsku potrošnju.</w:t>
      </w:r>
    </w:p>
  </w:footnote>
  <w:footnote w:id="5">
    <w:p w14:paraId="422F7BE1" w14:textId="1DA8C280" w:rsidR="00203695" w:rsidRPr="008B3E7E" w:rsidRDefault="00203695">
      <w:pPr>
        <w:pStyle w:val="FootnoteText"/>
      </w:pPr>
      <w:r w:rsidRPr="008B3E7E">
        <w:rPr>
          <w:rStyle w:val="FootnoteReference"/>
        </w:rPr>
        <w:footnoteRef/>
      </w:r>
      <w:r w:rsidRPr="008B3E7E">
        <w:t xml:space="preserve"> Prema dimenzijama energetske unije</w:t>
      </w:r>
    </w:p>
  </w:footnote>
  <w:footnote w:id="6">
    <w:p w14:paraId="5B576293" w14:textId="4193D98A" w:rsidR="00203695" w:rsidRPr="00444C71" w:rsidRDefault="00203695">
      <w:pPr>
        <w:pStyle w:val="FootnoteText"/>
      </w:pPr>
      <w:r w:rsidRPr="008B3E7E">
        <w:rPr>
          <w:rStyle w:val="FootnoteReference"/>
        </w:rPr>
        <w:footnoteRef/>
      </w:r>
      <w:r w:rsidRPr="008B3E7E">
        <w:t xml:space="preserve"> Prema sektorskoj podjeli sukladno IPCC metodologiji</w:t>
      </w:r>
      <w:r w:rsidRPr="00444C71" w:rsidDel="00352800">
        <w:t xml:space="preserve"> </w:t>
      </w:r>
    </w:p>
  </w:footnote>
  <w:footnote w:id="7">
    <w:p w14:paraId="26B4F162" w14:textId="43F4CE06" w:rsidR="0072157B" w:rsidRDefault="0072157B">
      <w:pPr>
        <w:pStyle w:val="FootnoteText"/>
      </w:pPr>
      <w:r>
        <w:rPr>
          <w:rStyle w:val="FootnoteReference"/>
        </w:rPr>
        <w:footnoteRef/>
      </w:r>
      <w:r>
        <w:t xml:space="preserve"> </w:t>
      </w:r>
      <w:hyperlink r:id="rId1" w:history="1">
        <w:r w:rsidR="001F0ABC" w:rsidRPr="00893F0A">
          <w:rPr>
            <w:rStyle w:val="Hyperlink"/>
            <w:noProof w:val="0"/>
          </w:rPr>
          <w:t>https://unfccc.int/documents/638337</w:t>
        </w:r>
      </w:hyperlink>
      <w:r w:rsidR="001F0ABC">
        <w:t xml:space="preserve"> </w:t>
      </w:r>
    </w:p>
  </w:footnote>
  <w:footnote w:id="8">
    <w:p w14:paraId="1DC9C959" w14:textId="416BEFB9" w:rsidR="00203695" w:rsidRPr="00F02565" w:rsidRDefault="00203695">
      <w:pPr>
        <w:pStyle w:val="FootnoteText"/>
      </w:pPr>
      <w:r w:rsidRPr="0037360A">
        <w:rPr>
          <w:rStyle w:val="FootnoteReference"/>
        </w:rPr>
        <w:footnoteRef/>
      </w:r>
      <w:r w:rsidRPr="0037360A">
        <w:t xml:space="preserve"> </w:t>
      </w:r>
      <w:hyperlink r:id="rId2" w:history="1">
        <w:r w:rsidRPr="0037360A">
          <w:rPr>
            <w:rStyle w:val="Hyperlink"/>
            <w:noProof w:val="0"/>
            <w:color w:val="auto"/>
          </w:rPr>
          <w:t>https://www.haop.hr/sites/default/files/uploads/dokumenti/012_klima/dostava_podataka/Izvjesca/HRV_RoP_2019.pdf</w:t>
        </w:r>
      </w:hyperlink>
      <w:r>
        <w:t xml:space="preserve"> </w:t>
      </w:r>
    </w:p>
  </w:footnote>
  <w:footnote w:id="9">
    <w:p w14:paraId="72663E28" w14:textId="702F7379" w:rsidR="00AC4412" w:rsidRPr="00AE0410" w:rsidRDefault="00AC4412">
      <w:pPr>
        <w:pStyle w:val="FootnoteText"/>
      </w:pPr>
      <w:r>
        <w:rPr>
          <w:rStyle w:val="FootnoteReference"/>
        </w:rPr>
        <w:footnoteRef/>
      </w:r>
      <w:r>
        <w:t xml:space="preserve"> </w:t>
      </w:r>
      <w:r w:rsidRPr="00AC4412">
        <w:t>Komunikacij</w:t>
      </w:r>
      <w:r>
        <w:t>a</w:t>
      </w:r>
      <w:r w:rsidRPr="00AC4412">
        <w:t xml:space="preserve"> </w:t>
      </w:r>
      <w:r w:rsidR="00C36C4D">
        <w:t xml:space="preserve">Komisije </w:t>
      </w:r>
      <w:r w:rsidRPr="00AC4412">
        <w:t xml:space="preserve">Europskom parlamentu, Europskom vijeću, Vijeću, Europskom gospodarskom i socijalnom odboru i Odboru regija – Europski zeleni </w:t>
      </w:r>
      <w:r w:rsidRPr="00AC4412">
        <w:t>plan (COM(2019) 640 final, 11.12.2019</w:t>
      </w:r>
      <w:r>
        <w:t>.</w:t>
      </w:r>
      <w:r w:rsidRPr="00AC4412">
        <w:t>)</w:t>
      </w:r>
    </w:p>
  </w:footnote>
  <w:footnote w:id="10">
    <w:p w14:paraId="74CFD2EF" w14:textId="590FF2D8" w:rsidR="00F81AFC" w:rsidRPr="00E54EB2" w:rsidRDefault="00F81AFC">
      <w:pPr>
        <w:pStyle w:val="FootnoteText"/>
        <w:rPr>
          <w:lang w:val="de-AT"/>
        </w:rPr>
      </w:pPr>
      <w:r>
        <w:rPr>
          <w:rStyle w:val="FootnoteReference"/>
        </w:rPr>
        <w:footnoteRef/>
      </w:r>
      <w:r>
        <w:t xml:space="preserve"> </w:t>
      </w:r>
      <w:r w:rsidRPr="00F81AFC">
        <w:t>Uredba (EU) 2021/1119 o uspostavi okvira za postizanje klimatske neutralnosti i o izmjeni uredaba (EZ) br. 401/2009 i (EU) 2018/1999 (SL L 243, 9. 7. 2021.)</w:t>
      </w:r>
    </w:p>
  </w:footnote>
  <w:footnote w:id="11">
    <w:p w14:paraId="79B974EE" w14:textId="2DEE2AD2" w:rsidR="00203695" w:rsidRDefault="00203695" w:rsidP="00093174">
      <w:pPr>
        <w:pStyle w:val="FootnoteText"/>
      </w:pPr>
      <w:r w:rsidRPr="00FE6134">
        <w:rPr>
          <w:rStyle w:val="FootnoteReference"/>
        </w:rPr>
        <w:footnoteRef/>
      </w:r>
      <w:r w:rsidRPr="00FE6134">
        <w:t xml:space="preserve"> </w:t>
      </w:r>
      <w:r w:rsidRPr="00154C6D">
        <w:rPr>
          <w:lang w:val="de-DE"/>
        </w:rPr>
        <w:t xml:space="preserve">Izvor: </w:t>
      </w:r>
      <w:hyperlink r:id="rId3" w:history="1">
        <w:r w:rsidRPr="002E71CB">
          <w:rPr>
            <w:rStyle w:val="Hyperlink"/>
            <w:noProof w:val="0"/>
          </w:rPr>
          <w:t>https://mpgi.gov.hr/o-ministarstvu/djelokrug-50/energetska-ucinkovitost-u-zgradarstvu/povelja-o-dekarbonizaciji-zgrada/8915</w:t>
        </w:r>
      </w:hyperlink>
    </w:p>
    <w:p w14:paraId="2EDDAA8B" w14:textId="56BECBF1" w:rsidR="00203695" w:rsidRPr="00154C6D" w:rsidRDefault="00203695" w:rsidP="00093174">
      <w:pPr>
        <w:pStyle w:val="FootnoteText"/>
        <w:rPr>
          <w:i/>
          <w:lang w:val="de-DE"/>
        </w:rPr>
      </w:pPr>
    </w:p>
  </w:footnote>
  <w:footnote w:id="12">
    <w:p w14:paraId="33B1375A" w14:textId="4104DBAF" w:rsidR="00203695" w:rsidRPr="00683F7B" w:rsidRDefault="00203695" w:rsidP="00954ECB">
      <w:pPr>
        <w:pStyle w:val="FootnoteText"/>
      </w:pPr>
      <w:r w:rsidRPr="00A070CD">
        <w:rPr>
          <w:rStyle w:val="FootnoteReference"/>
        </w:rPr>
        <w:footnoteRef/>
      </w:r>
      <w:hyperlink r:id="rId4" w:history="1">
        <w:r w:rsidRPr="00C40C75">
          <w:rPr>
            <w:rStyle w:val="Hyperlink"/>
            <w:noProof w:val="0"/>
          </w:rPr>
          <w:t>https://mingor.gov.hr/UserDocsImages/slike/Vijesti/2022/S3%20do%202029%20Tekst%20VRH%202023%2012%2013.pdf</w:t>
        </w:r>
      </w:hyperlink>
      <w:r>
        <w:t xml:space="preserve"> </w:t>
      </w:r>
    </w:p>
  </w:footnote>
  <w:footnote w:id="13">
    <w:p w14:paraId="08017181" w14:textId="77777777" w:rsidR="00203695" w:rsidRPr="001C052B" w:rsidRDefault="00203695" w:rsidP="00A070CD">
      <w:pPr>
        <w:rPr>
          <w:rFonts w:cstheme="minorHAnsi"/>
          <w:sz w:val="16"/>
          <w:szCs w:val="16"/>
        </w:rPr>
      </w:pPr>
      <w:r w:rsidRPr="001C052B">
        <w:rPr>
          <w:rStyle w:val="FootnoteReference"/>
        </w:rPr>
        <w:footnoteRef/>
      </w:r>
      <w:r w:rsidRPr="001C052B">
        <w:t xml:space="preserve"> </w:t>
      </w:r>
      <w:r w:rsidRPr="001C052B">
        <w:rPr>
          <w:rFonts w:cstheme="minorHAnsi"/>
          <w:sz w:val="16"/>
          <w:szCs w:val="16"/>
        </w:rPr>
        <w:t>U sklopu S3 do 2029. definirana su sljedeća tematska prioritetna područja: (i) personalizirana briga o zdravlju, (ii) pametna i čista energija, (iii) pametan i zeleni promet (iv) sigurnost i dvojna namjena – svijest, prevencija, odgovor, sanacija (v) održiva i kružna hrana, (vi) prilagođeni i integrirani proizvodi od drva te (vii) digitalni proizvodi i platforme.</w:t>
      </w:r>
    </w:p>
  </w:footnote>
  <w:footnote w:id="14">
    <w:p w14:paraId="63FC15D1" w14:textId="0F76C120" w:rsidR="00203695" w:rsidRPr="00F06036" w:rsidRDefault="00203695" w:rsidP="00A070CD">
      <w:pPr>
        <w:pStyle w:val="FootnoteText"/>
      </w:pPr>
      <w:r w:rsidRPr="00A070CD">
        <w:rPr>
          <w:rStyle w:val="FootnoteReference"/>
        </w:rPr>
        <w:footnoteRef/>
      </w:r>
      <w:hyperlink r:id="rId5" w:history="1">
        <w:r w:rsidRPr="00E54EB2">
          <w:rPr>
            <w:rStyle w:val="Hyperlink"/>
            <w:color w:val="auto"/>
            <w:u w:val="none"/>
          </w:rPr>
          <w:t xml:space="preserve">Ekonomski institut (2022). ANALITIČKO IZVJEŠĆE O PROVEDENOM ZNANSTVENOM I TEHNOLOGIJSKOM MAPIRANJU. </w:t>
        </w:r>
        <w:hyperlink r:id="rId6" w:history="1">
          <w:r w:rsidRPr="00E54EB2">
            <w:rPr>
              <w:rStyle w:val="Hyperlink"/>
              <w:color w:val="auto"/>
              <w:u w:val="none"/>
            </w:rPr>
            <w:t>Ministarstvo znanosti</w:t>
          </w:r>
          <w:r w:rsidR="00EA60C2" w:rsidRPr="00E54EB2">
            <w:rPr>
              <w:rStyle w:val="Hyperlink"/>
              <w:color w:val="auto"/>
              <w:u w:val="none"/>
            </w:rPr>
            <w:t xml:space="preserve">, </w:t>
          </w:r>
          <w:r w:rsidRPr="00E54EB2">
            <w:rPr>
              <w:rStyle w:val="Hyperlink"/>
              <w:color w:val="auto"/>
              <w:u w:val="none"/>
            </w:rPr>
            <w:t>obrazovanja</w:t>
          </w:r>
          <w:r w:rsidR="00EA60C2" w:rsidRPr="00E54EB2">
            <w:rPr>
              <w:rStyle w:val="Hyperlink"/>
              <w:color w:val="auto"/>
              <w:u w:val="none"/>
            </w:rPr>
            <w:t xml:space="preserve"> i mladih</w:t>
          </w:r>
          <w:r w:rsidRPr="00E54EB2">
            <w:rPr>
              <w:rStyle w:val="Hyperlink"/>
              <w:color w:val="auto"/>
              <w:u w:val="none"/>
            </w:rPr>
            <w:t xml:space="preserve"> - Provedeno znanstveno i tehnologijsko mapiranje u sklopu projekta Znanstveno i tehnologijsko predviđanje (gov.hr)</w:t>
          </w:r>
        </w:hyperlink>
      </w:hyperlink>
    </w:p>
  </w:footnote>
  <w:footnote w:id="15">
    <w:p w14:paraId="58DDD0F6" w14:textId="726FEC5A" w:rsidR="00203695" w:rsidRPr="00683F7B" w:rsidRDefault="00203695" w:rsidP="00785A08">
      <w:pPr>
        <w:pStyle w:val="FootnoteText"/>
      </w:pPr>
      <w:r w:rsidRPr="00662176">
        <w:rPr>
          <w:rStyle w:val="FootnoteReference"/>
        </w:rPr>
        <w:footnoteRef/>
      </w:r>
      <w:r w:rsidRPr="00662176">
        <w:t xml:space="preserve"> </w:t>
      </w:r>
      <w:hyperlink r:id="rId7" w:history="1">
        <w:r w:rsidRPr="00662176">
          <w:rPr>
            <w:rStyle w:val="Hyperlink"/>
            <w:color w:val="auto"/>
          </w:rPr>
          <w:t>https://esavjetovanja.gov.hr/Documents/List/22083</w:t>
        </w:r>
      </w:hyperlink>
    </w:p>
  </w:footnote>
  <w:footnote w:id="16">
    <w:p w14:paraId="668AF4CF" w14:textId="6D663718" w:rsidR="00203695" w:rsidRPr="00E54EB2" w:rsidRDefault="00203695">
      <w:pPr>
        <w:pStyle w:val="FootnoteText"/>
      </w:pPr>
      <w:r>
        <w:rPr>
          <w:rStyle w:val="FootnoteReference"/>
        </w:rPr>
        <w:footnoteRef/>
      </w:r>
      <w:r>
        <w:t xml:space="preserve"> </w:t>
      </w:r>
      <w:r w:rsidRPr="009823C4">
        <w:t>https://ec.europa.eu/energy/sites/ener/files/documents/hr_rec_en.pdf</w:t>
      </w:r>
    </w:p>
  </w:footnote>
  <w:footnote w:id="17">
    <w:p w14:paraId="712F012E" w14:textId="77777777" w:rsidR="00203695" w:rsidRPr="00931CB4" w:rsidRDefault="00203695" w:rsidP="00480381">
      <w:pPr>
        <w:pStyle w:val="FootnoteText"/>
        <w:rPr>
          <w:shd w:val="clear" w:color="auto" w:fill="FFFFFF"/>
        </w:rPr>
      </w:pPr>
      <w:r w:rsidRPr="00931CB4">
        <w:rPr>
          <w:rStyle w:val="FootnoteReference"/>
          <w:sz w:val="16"/>
          <w:szCs w:val="16"/>
        </w:rPr>
        <w:footnoteRef/>
      </w:r>
      <w:r w:rsidRPr="00931CB4">
        <w:rPr>
          <w:szCs w:val="16"/>
        </w:rPr>
        <w:t xml:space="preserve"> </w:t>
      </w:r>
      <w:r w:rsidRPr="00931CB4">
        <w:rPr>
          <w:shd w:val="clear" w:color="auto" w:fill="FFFFFF"/>
        </w:rPr>
        <w:t xml:space="preserve">Uredba Vijeća (EU) 2022/2577 od 22. prosinca 2022. o utvrđivanju okvira za ubrzavanje uvođenja energije iz obnovljivih izvora </w:t>
      </w:r>
    </w:p>
    <w:p w14:paraId="334D3434" w14:textId="77777777" w:rsidR="00203695" w:rsidRPr="00931CB4" w:rsidRDefault="00203695" w:rsidP="00480381">
      <w:pPr>
        <w:pStyle w:val="FootnoteText"/>
        <w:rPr>
          <w:rFonts w:ascii="Roboto" w:hAnsi="Roboto"/>
          <w:sz w:val="21"/>
          <w:szCs w:val="21"/>
          <w:shd w:val="clear" w:color="auto" w:fill="FFFFFF"/>
        </w:rPr>
      </w:pPr>
      <w:r w:rsidRPr="00931CB4">
        <w:rPr>
          <w:shd w:val="clear" w:color="auto" w:fill="FFFFFF"/>
        </w:rPr>
        <w:t>https://eur-lex.europa.eu/legal-content/HR/TXT/?uri=CELEX:32022R2577</w:t>
      </w:r>
    </w:p>
  </w:footnote>
  <w:footnote w:id="18">
    <w:p w14:paraId="4776692F" w14:textId="08A2D133" w:rsidR="00203695" w:rsidRDefault="00203695">
      <w:pPr>
        <w:pStyle w:val="FootnoteText"/>
      </w:pPr>
      <w:r>
        <w:rPr>
          <w:rStyle w:val="FootnoteReference"/>
        </w:rPr>
        <w:footnoteRef/>
      </w:r>
      <w:r w:rsidR="00817353">
        <w:t>K</w:t>
      </w:r>
      <w:r w:rsidR="00817353" w:rsidRPr="00931CB4">
        <w:t xml:space="preserve">omunikacija </w:t>
      </w:r>
      <w:r w:rsidR="00817353">
        <w:t>K</w:t>
      </w:r>
      <w:r w:rsidR="00817353" w:rsidRPr="00931CB4">
        <w:t xml:space="preserve">omisije </w:t>
      </w:r>
      <w:r w:rsidR="00817353">
        <w:t>E</w:t>
      </w:r>
      <w:r w:rsidR="00817353" w:rsidRPr="00931CB4">
        <w:t>uropskom parlamentu,</w:t>
      </w:r>
      <w:r w:rsidR="00817353">
        <w:t xml:space="preserve"> V</w:t>
      </w:r>
      <w:r w:rsidR="00817353" w:rsidRPr="00931CB4">
        <w:t xml:space="preserve">ijeću, </w:t>
      </w:r>
      <w:r w:rsidR="00817353">
        <w:t>E</w:t>
      </w:r>
      <w:r w:rsidR="00817353" w:rsidRPr="00931CB4">
        <w:t xml:space="preserve">uropskom gospodarskom i socijalnom odboru i odboru regija </w:t>
      </w:r>
      <w:r w:rsidRPr="00931CB4">
        <w:t xml:space="preserve">Strategija EU-a za </w:t>
      </w:r>
      <w:r w:rsidRPr="00931CB4">
        <w:t>solarnu energiju COM/2022/221 final, 18.5.2022.; https://eur-lex.europa.eu/legal-content/HR/TXT/?uri=CELEX:52022DC022</w:t>
      </w:r>
    </w:p>
    <w:p w14:paraId="073BCFB1" w14:textId="77777777" w:rsidR="007E1078" w:rsidRPr="0008261B" w:rsidRDefault="007E1078">
      <w:pPr>
        <w:pStyle w:val="FootnoteText"/>
      </w:pPr>
    </w:p>
  </w:footnote>
  <w:footnote w:id="19">
    <w:p w14:paraId="66C080CC" w14:textId="54B55014" w:rsidR="00203695" w:rsidRPr="00E10120" w:rsidRDefault="00203695">
      <w:pPr>
        <w:pStyle w:val="FootnoteText"/>
      </w:pPr>
      <w:r>
        <w:rPr>
          <w:rStyle w:val="FootnoteReference"/>
        </w:rPr>
        <w:footnoteRef/>
      </w:r>
      <w:r>
        <w:t xml:space="preserve"> </w:t>
      </w:r>
      <w:r w:rsidRPr="00902BB6">
        <w:t xml:space="preserve">ukupna </w:t>
      </w:r>
      <w:r w:rsidRPr="00902BB6">
        <w:t xml:space="preserve">potrošnja </w:t>
      </w:r>
      <w:r>
        <w:t xml:space="preserve">energije </w:t>
      </w:r>
      <w:r w:rsidRPr="00902BB6">
        <w:t>bez neenergetske potrošnje</w:t>
      </w:r>
    </w:p>
  </w:footnote>
  <w:footnote w:id="20">
    <w:p w14:paraId="6E20D59B" w14:textId="77777777" w:rsidR="00203695" w:rsidRDefault="00203695" w:rsidP="00C330B0">
      <w:pPr>
        <w:pStyle w:val="FootnoteText"/>
      </w:pPr>
      <w:r>
        <w:rPr>
          <w:rStyle w:val="FootnoteReference"/>
        </w:rPr>
        <w:footnoteRef/>
      </w:r>
      <w:r>
        <w:t xml:space="preserve"> Heaps, </w:t>
      </w:r>
      <w:r>
        <w:t xml:space="preserve">C.G., 2021. </w:t>
      </w:r>
      <w:r>
        <w:rPr>
          <w:i/>
          <w:iCs/>
        </w:rPr>
        <w:t>LEAP: The Low Emissions Analysis Platform.</w:t>
      </w:r>
      <w:r>
        <w:t xml:space="preserve"> [Software version: 2020.1.54] Stockholm Environment Institute. Somerville, MA, USA. https://leap.sei.org</w:t>
      </w:r>
    </w:p>
    <w:p w14:paraId="7CAF88A0" w14:textId="77777777" w:rsidR="00203695" w:rsidRPr="002F58F8" w:rsidRDefault="00203695" w:rsidP="00C330B0">
      <w:pPr>
        <w:pStyle w:val="FootnoteText"/>
      </w:pPr>
    </w:p>
  </w:footnote>
  <w:footnote w:id="21">
    <w:p w14:paraId="43DC21B9" w14:textId="51274A8D" w:rsidR="00203695" w:rsidRPr="00FF6485" w:rsidRDefault="00203695" w:rsidP="005C5052">
      <w:pPr>
        <w:pStyle w:val="FootnoteText"/>
      </w:pPr>
      <w:r>
        <w:rPr>
          <w:rStyle w:val="FootnoteReference"/>
        </w:rPr>
        <w:footnoteRef/>
      </w:r>
      <w:r>
        <w:t xml:space="preserve"> P</w:t>
      </w:r>
      <w:r w:rsidRPr="00FF6485">
        <w:t xml:space="preserve">otrebno </w:t>
      </w:r>
      <w:r>
        <w:t xml:space="preserve">je </w:t>
      </w:r>
      <w:r w:rsidRPr="00FF6485">
        <w:t>izraditi Program za suzbijanje energetskog siromaštva gdje bi se, između ostaloga, utvrdila definicija energetskog siromaštva.</w:t>
      </w:r>
    </w:p>
  </w:footnote>
  <w:footnote w:id="22">
    <w:p w14:paraId="6F069B95" w14:textId="77777777" w:rsidR="00203695" w:rsidRPr="005C6A8E" w:rsidRDefault="00203695" w:rsidP="005C5052">
      <w:pPr>
        <w:pStyle w:val="FootnoteText"/>
      </w:pPr>
      <w:r>
        <w:rPr>
          <w:rStyle w:val="FootnoteReference"/>
        </w:rPr>
        <w:footnoteRef/>
      </w:r>
      <w:r>
        <w:t xml:space="preserve"> </w:t>
      </w:r>
      <w:r w:rsidRPr="00327E9F">
        <w:t>Podaci nisu dostupni za 2021. i 2022. godinu te je prilikom izračuna uzeta vrijednost iz 2020. godine. Provođenjem dodatne analize utvrđeno je kako pokazatelj ima trend pada.</w:t>
      </w:r>
    </w:p>
  </w:footnote>
  <w:footnote w:id="23">
    <w:p w14:paraId="18779824" w14:textId="77777777" w:rsidR="00203695" w:rsidRPr="003309F5" w:rsidRDefault="00203695" w:rsidP="00B565DE">
      <w:pPr>
        <w:pStyle w:val="FootnoteText"/>
        <w:spacing w:after="60"/>
      </w:pPr>
      <w:r>
        <w:rPr>
          <w:rStyle w:val="FootnoteReference"/>
        </w:rPr>
        <w:footnoteRef/>
      </w:r>
      <w:r>
        <w:t xml:space="preserve"> Eurostat, 2023.</w:t>
      </w:r>
    </w:p>
  </w:footnote>
  <w:footnote w:id="24">
    <w:p w14:paraId="3F14568C" w14:textId="77777777" w:rsidR="00203695" w:rsidRPr="003309F5" w:rsidRDefault="00203695" w:rsidP="00B565DE">
      <w:pPr>
        <w:pStyle w:val="FootnoteText"/>
        <w:spacing w:after="60"/>
      </w:pPr>
      <w:r>
        <w:rPr>
          <w:rStyle w:val="FootnoteReference"/>
        </w:rPr>
        <w:footnoteRef/>
      </w:r>
      <w:r>
        <w:t xml:space="preserve"> Cilj do 2025. definiran je </w:t>
      </w:r>
      <w:r w:rsidRPr="00F94A2F">
        <w:t>Program</w:t>
      </w:r>
      <w:r>
        <w:t>om</w:t>
      </w:r>
      <w:r w:rsidRPr="00F94A2F">
        <w:t xml:space="preserve"> Vlade Republike Hrvatske 2020. – 2024.</w:t>
      </w:r>
      <w:r>
        <w:t xml:space="preserve">, a do 2030. Nacionalnom razvojnom strategijom RH do 2030. godine </w:t>
      </w:r>
    </w:p>
  </w:footnote>
  <w:footnote w:id="25">
    <w:p w14:paraId="0A491EEA" w14:textId="77777777" w:rsidR="00203695" w:rsidRPr="001238C4" w:rsidRDefault="00203695" w:rsidP="00B565DE">
      <w:pPr>
        <w:pStyle w:val="FootnoteText"/>
        <w:spacing w:after="60"/>
      </w:pPr>
      <w:r>
        <w:rPr>
          <w:rStyle w:val="FootnoteReference"/>
        </w:rPr>
        <w:footnoteRef/>
      </w:r>
      <w:r>
        <w:t xml:space="preserve"> </w:t>
      </w:r>
      <w:r>
        <w:t xml:space="preserve">Eurostat, </w:t>
      </w:r>
      <w:r w:rsidRPr="004065E4">
        <w:t xml:space="preserve">GBARD </w:t>
      </w:r>
      <w:r w:rsidRPr="001238C4">
        <w:t>by socioeconomic objectives, 2023</w:t>
      </w:r>
    </w:p>
  </w:footnote>
  <w:footnote w:id="26">
    <w:p w14:paraId="4D45F901" w14:textId="77777777" w:rsidR="00203695" w:rsidRPr="0076137A" w:rsidRDefault="00203695" w:rsidP="00E95FD3">
      <w:pPr>
        <w:pStyle w:val="FootnoteText"/>
        <w:rPr>
          <w:kern w:val="2"/>
        </w:rPr>
      </w:pPr>
      <w:r>
        <w:rPr>
          <w:rStyle w:val="FootnoteReference"/>
        </w:rPr>
        <w:footnoteRef/>
      </w:r>
      <w:r>
        <w:t xml:space="preserve"> </w:t>
      </w:r>
      <w:r w:rsidRPr="0076137A">
        <w:rPr>
          <w:kern w:val="2"/>
        </w:rPr>
        <w:t xml:space="preserve">Komunikacija Komisije Europskom parlamentu, Vijeću, Europskom gospodarskom i socijalnom odboru i Odboru </w:t>
      </w:r>
      <w:r w:rsidRPr="0076137A">
        <w:rPr>
          <w:kern w:val="2"/>
        </w:rPr>
        <w:t>regija - Održivo biogospodarstvo za Europu: Jačanje veze gospodarstva, društva i okoliša</w:t>
      </w:r>
    </w:p>
    <w:p w14:paraId="106E8098" w14:textId="77777777" w:rsidR="00203695" w:rsidRDefault="00203695" w:rsidP="00E95FD3">
      <w:pPr>
        <w:pStyle w:val="FootnoteText"/>
      </w:pPr>
    </w:p>
  </w:footnote>
  <w:footnote w:id="27">
    <w:p w14:paraId="748F1B55" w14:textId="77777777" w:rsidR="00203695" w:rsidRDefault="00203695" w:rsidP="005D0392">
      <w:pPr>
        <w:pStyle w:val="FootnoteText"/>
      </w:pPr>
      <w:r>
        <w:rPr>
          <w:rStyle w:val="FootnoteReference"/>
        </w:rPr>
        <w:footnoteRef/>
      </w:r>
      <w:r>
        <w:t xml:space="preserve"> </w:t>
      </w:r>
      <w:r w:rsidRPr="00DC6A0F">
        <w:t>https://knowledge4policy.ec.europa.eu/visualisation/biomass-flows_en</w:t>
      </w:r>
    </w:p>
  </w:footnote>
  <w:footnote w:id="28">
    <w:p w14:paraId="55541815" w14:textId="69405004" w:rsidR="00203695" w:rsidRPr="00460417" w:rsidRDefault="00203695" w:rsidP="00057576">
      <w:pPr>
        <w:pStyle w:val="FootnoteText"/>
        <w:rPr>
          <w:rFonts w:cstheme="minorHAnsi"/>
          <w:szCs w:val="16"/>
          <w:lang w:val="pl-PL"/>
        </w:rPr>
      </w:pPr>
      <w:r w:rsidRPr="002361D0">
        <w:rPr>
          <w:rStyle w:val="FootnoteReference"/>
          <w:rFonts w:asciiTheme="minorHAnsi" w:hAnsiTheme="minorHAnsi" w:cstheme="minorHAnsi"/>
          <w:sz w:val="16"/>
          <w:szCs w:val="16"/>
        </w:rPr>
        <w:footnoteRef/>
      </w:r>
      <w:r w:rsidRPr="002361D0">
        <w:rPr>
          <w:rFonts w:cstheme="minorHAnsi"/>
          <w:szCs w:val="16"/>
        </w:rPr>
        <w:t xml:space="preserve"> Komunikacija Komisije Europskom parlamentu, Vijeću, Europskom gospodarskom i socijalnom odboru i Odboru regija: Novi akcijski plan za kružno gospodarstvo - Za čišću i konkurentniju </w:t>
      </w:r>
      <w:r w:rsidRPr="002361D0">
        <w:rPr>
          <w:rFonts w:cstheme="minorHAnsi"/>
          <w:szCs w:val="16"/>
        </w:rPr>
        <w:t xml:space="preserve">Europu (COM(2020) 98 final) od 11.3.2020., </w:t>
      </w:r>
      <w:hyperlink r:id="rId8" w:history="1">
        <w:r w:rsidRPr="002361D0">
          <w:rPr>
            <w:rStyle w:val="Hyperlink"/>
            <w:rFonts w:cstheme="minorHAnsi"/>
            <w:noProof w:val="0"/>
            <w:szCs w:val="16"/>
          </w:rPr>
          <w:t>https://eur-lex.europa.eu/legal-content/HR/TXT/?qid=1585811887070&amp;uri=CELEX:52020DC0098</w:t>
        </w:r>
      </w:hyperlink>
    </w:p>
  </w:footnote>
  <w:footnote w:id="29">
    <w:p w14:paraId="162CC748" w14:textId="77777777" w:rsidR="00203695" w:rsidRPr="00BF31AD" w:rsidRDefault="00203695" w:rsidP="00057576">
      <w:pPr>
        <w:pStyle w:val="FootnoteText"/>
        <w:rPr>
          <w:rFonts w:cstheme="minorHAnsi"/>
          <w:szCs w:val="16"/>
          <w:lang w:val="pl-PL"/>
        </w:rPr>
      </w:pPr>
      <w:r w:rsidRPr="002361D0">
        <w:rPr>
          <w:rStyle w:val="FootnoteReference"/>
          <w:rFonts w:asciiTheme="minorHAnsi" w:hAnsiTheme="minorHAnsi" w:cstheme="minorHAnsi"/>
          <w:sz w:val="16"/>
          <w:szCs w:val="16"/>
        </w:rPr>
        <w:footnoteRef/>
      </w:r>
      <w:r w:rsidRPr="002361D0">
        <w:rPr>
          <w:rFonts w:cstheme="minorHAnsi"/>
          <w:szCs w:val="16"/>
        </w:rPr>
        <w:t xml:space="preserve"> Direktiva Vijeća 1999/31/EZ od 26. travnja 1999. o odlagalištima otpada (SL L 182, 16.7.1999.) kako je posljednji put izmijenjena Direktivom (EU) 2018/850 Europskog parlamenta i Vijeća od 30. svibnja 2018. o izmjeni Direktive 1999/31/EZ o odlagalištima otpada (SL L 150, 14.6.2018.),</w:t>
      </w:r>
      <w:r w:rsidRPr="00BF31AD">
        <w:rPr>
          <w:rFonts w:cstheme="minorHAnsi"/>
          <w:szCs w:val="16"/>
          <w:lang w:val="pl-PL"/>
        </w:rPr>
        <w:t xml:space="preserve"> </w:t>
      </w:r>
      <w:hyperlink r:id="rId9" w:history="1">
        <w:r w:rsidRPr="00BF31AD">
          <w:rPr>
            <w:rStyle w:val="Hyperlink"/>
            <w:rFonts w:cstheme="minorHAnsi"/>
            <w:szCs w:val="16"/>
            <w:lang w:val="pl-PL"/>
          </w:rPr>
          <w:t>https://eur-lex.europa.eu/legal-content/HR/TXT/?uri=celex%3A31999L0031</w:t>
        </w:r>
      </w:hyperlink>
    </w:p>
  </w:footnote>
  <w:footnote w:id="30">
    <w:p w14:paraId="5EAF4442" w14:textId="7978279A" w:rsidR="007939AC" w:rsidRDefault="007939AC" w:rsidP="007939AC">
      <w:pPr>
        <w:pStyle w:val="FootnoteText"/>
      </w:pPr>
      <w:r w:rsidRPr="00E54EB2">
        <w:rPr>
          <w:rStyle w:val="FootnoteReference"/>
          <w:rFonts w:asciiTheme="minorHAnsi" w:hAnsiTheme="minorHAnsi" w:cstheme="minorHAnsi"/>
          <w:sz w:val="16"/>
          <w:szCs w:val="16"/>
        </w:rPr>
        <w:footnoteRef/>
      </w:r>
      <w:r>
        <w:t xml:space="preserve"> Direktiva 2008/98/EZ Europskog parlamenta i Vijeća od 19. studenoga 2008. o otpadu i stavljanju izvan snage određenih direktiva Tekst značajan za EGP (SL L 312, 22.11.200</w:t>
      </w:r>
      <w:r w:rsidR="00341D9F">
        <w:t xml:space="preserve">8), </w:t>
      </w:r>
      <w:hyperlink r:id="rId10" w:history="1">
        <w:r w:rsidR="000A2645" w:rsidRPr="004A1F87">
          <w:rPr>
            <w:rStyle w:val="Hyperlink"/>
            <w:noProof w:val="0"/>
          </w:rPr>
          <w:t>https://eur-lex.europa.eu/legal-content/HR/TXT/?uri=CELEX:32008L0098</w:t>
        </w:r>
      </w:hyperlink>
    </w:p>
    <w:p w14:paraId="0ECD7EC0" w14:textId="77777777" w:rsidR="000A2645" w:rsidRPr="007939AC" w:rsidRDefault="000A2645" w:rsidP="007939AC">
      <w:pPr>
        <w:pStyle w:val="FootnoteText"/>
      </w:pPr>
    </w:p>
  </w:footnote>
  <w:footnote w:id="31">
    <w:p w14:paraId="5F2A37DE" w14:textId="17D57E11" w:rsidR="00203695" w:rsidRDefault="00203695">
      <w:pPr>
        <w:pStyle w:val="FootnoteText"/>
      </w:pPr>
      <w:r>
        <w:rPr>
          <w:rStyle w:val="FootnoteReference"/>
        </w:rPr>
        <w:footnoteRef/>
      </w:r>
      <w:r>
        <w:t xml:space="preserve"> </w:t>
      </w:r>
      <w:r w:rsidRPr="007C65DC">
        <w:t>https://mpgi.gov.hr/o-ministarstvu-15/djelokrug/zavod-za-prostorni-razvoj-4276/publikacije-i-strucne-podloge/4383</w:t>
      </w:r>
    </w:p>
  </w:footnote>
  <w:footnote w:id="32">
    <w:p w14:paraId="49C91B95" w14:textId="6BC75851" w:rsidR="00203695" w:rsidRDefault="00203695" w:rsidP="00BF5985">
      <w:pPr>
        <w:pStyle w:val="FootnoteText"/>
      </w:pPr>
      <w:r>
        <w:rPr>
          <w:rStyle w:val="FootnoteReference"/>
        </w:rPr>
        <w:footnoteRef/>
      </w:r>
      <w:r>
        <w:t xml:space="preserve"> Pravilnik o uvjetima i mjerilima za utvrđivanje sustava kvalitete usluga i radova za certificiranje instalatera obnovljivih izvora energije - fotonaponskih sustava (</w:t>
      </w:r>
      <w:r w:rsidR="00F00959">
        <w:t>„</w:t>
      </w:r>
      <w:r w:rsidR="00071A4F" w:rsidRPr="00071A4F">
        <w:t>Narodne Novine</w:t>
      </w:r>
      <w:r w:rsidR="00F00959">
        <w:t>“</w:t>
      </w:r>
      <w:r w:rsidR="00071A4F" w:rsidRPr="00071A4F">
        <w:t>, br</w:t>
      </w:r>
      <w:r w:rsidR="009D56BB">
        <w:t>.</w:t>
      </w:r>
      <w:r>
        <w:t xml:space="preserve"> 56</w:t>
      </w:r>
      <w:r w:rsidR="005B41DA">
        <w:t>/2015</w:t>
      </w:r>
      <w:r>
        <w:t>); Pravilnik o uvjetima i mjerilima za utvrđivanje sustava kvalitete usluga i radova za certificiranje instalatera obnovljivih izvora energije - solarnih toplinskih sustava (</w:t>
      </w:r>
      <w:r w:rsidR="00F00959">
        <w:t>„</w:t>
      </w:r>
      <w:r w:rsidR="00071A4F" w:rsidRPr="00071A4F">
        <w:t>Narodne Novine</w:t>
      </w:r>
      <w:r w:rsidR="00F00959">
        <w:t>“</w:t>
      </w:r>
      <w:r w:rsidR="00071A4F" w:rsidRPr="00071A4F">
        <w:t>, br</w:t>
      </w:r>
      <w:r w:rsidR="009D56BB">
        <w:t>.</w:t>
      </w:r>
      <w:r>
        <w:t xml:space="preserve"> 33</w:t>
      </w:r>
      <w:r w:rsidR="005B41DA">
        <w:t>/2015</w:t>
      </w:r>
      <w:r>
        <w:t>, 56</w:t>
      </w:r>
      <w:r w:rsidR="005B41DA">
        <w:t>/2015</w:t>
      </w:r>
      <w:r>
        <w:t xml:space="preserve"> i 12</w:t>
      </w:r>
      <w:r w:rsidR="005B41DA">
        <w:t>/2017</w:t>
      </w:r>
      <w:r>
        <w:t>); Pravilnik o uvjetima i mjerilima za utvrđivanje sustava kvalitete usluga i radova za certificiranje instalatera obnovljivih izvora energije – manjih kotlova i peći na biomasu (</w:t>
      </w:r>
      <w:r w:rsidR="00F00959">
        <w:t>„</w:t>
      </w:r>
      <w:r w:rsidR="00071A4F" w:rsidRPr="00071A4F">
        <w:t>Narodne Novine</w:t>
      </w:r>
      <w:r w:rsidR="00F00959">
        <w:t>“</w:t>
      </w:r>
      <w:r w:rsidR="00071A4F" w:rsidRPr="00071A4F">
        <w:t>, br</w:t>
      </w:r>
      <w:r w:rsidR="009D56BB">
        <w:t>.</w:t>
      </w:r>
      <w:r>
        <w:t xml:space="preserve"> 39</w:t>
      </w:r>
      <w:r w:rsidR="005B41DA">
        <w:t>/2015</w:t>
      </w:r>
      <w:r>
        <w:t>, 56</w:t>
      </w:r>
      <w:r w:rsidR="005B41DA">
        <w:t>/2015</w:t>
      </w:r>
      <w:r>
        <w:t xml:space="preserve"> i 12</w:t>
      </w:r>
      <w:r w:rsidR="005B41DA">
        <w:t>/2017</w:t>
      </w:r>
      <w:r>
        <w:t>); Pravilnik o uvjetima i mjerilima za utvrđivanje sustava kvalitete usluga i radova za certificiranje instalatera obnovljivih izvora energije – plitkih geotermalnih sustava i dizalica topline (</w:t>
      </w:r>
      <w:r w:rsidR="00F00959">
        <w:t>„</w:t>
      </w:r>
      <w:r w:rsidR="00071A4F" w:rsidRPr="00071A4F">
        <w:t>Narodne Novine</w:t>
      </w:r>
      <w:r w:rsidR="00F00959">
        <w:t>“</w:t>
      </w:r>
      <w:r w:rsidR="00071A4F" w:rsidRPr="00071A4F">
        <w:t>, br</w:t>
      </w:r>
      <w:r w:rsidR="009D56BB">
        <w:t>.</w:t>
      </w:r>
      <w:r>
        <w:t xml:space="preserve"> 56</w:t>
      </w:r>
      <w:r w:rsidR="005B41DA">
        <w:t>/2015</w:t>
      </w:r>
      <w:r>
        <w:t xml:space="preserve"> i 12</w:t>
      </w:r>
      <w:r w:rsidR="005B41DA">
        <w:t>/2017</w:t>
      </w:r>
      <w:r>
        <w:t>)</w:t>
      </w:r>
    </w:p>
  </w:footnote>
  <w:footnote w:id="33">
    <w:p w14:paraId="60A974A4" w14:textId="35A30AFD" w:rsidR="00203695" w:rsidRDefault="00203695">
      <w:pPr>
        <w:pStyle w:val="FootnoteText"/>
      </w:pPr>
      <w:r>
        <w:rPr>
          <w:rStyle w:val="FootnoteReference"/>
        </w:rPr>
        <w:footnoteRef/>
      </w:r>
      <w:r>
        <w:t xml:space="preserve"> Navedeni iznosi ulaganja i količina naprednih brojila i drugih sustava uključenih u naprednu mjernu infrastrukturu temelje se na rezultatima analiza za sveobuhvatno uvođenje naprednog mjerenja provedenih 2017. godine. Sukladno članku 31. Zakona o tržištu električne energije, u tijeku je</w:t>
      </w:r>
      <w:r w:rsidRPr="006C1CCB">
        <w:t xml:space="preserve"> </w:t>
      </w:r>
      <w:r>
        <w:t xml:space="preserve">provođenje </w:t>
      </w:r>
      <w:r w:rsidRPr="006C1CCB">
        <w:t>ekonomske procjene svih dugoročnih troškova i koristi takvog sustava za tržište i pojedinog krajnjeg kupca</w:t>
      </w:r>
      <w:r>
        <w:t xml:space="preserve"> te će procjena potrebnih sredstava i učinaka na smanjenje gubitaka električne energije biti revidirani.</w:t>
      </w:r>
    </w:p>
  </w:footnote>
  <w:footnote w:id="34">
    <w:p w14:paraId="29AEB3CF" w14:textId="1609B92D" w:rsidR="00203695" w:rsidRDefault="00203695" w:rsidP="002F58F8">
      <w:pPr>
        <w:pStyle w:val="FootnoteText"/>
      </w:pPr>
      <w:r>
        <w:rPr>
          <w:rStyle w:val="FootnoteReference"/>
        </w:rPr>
        <w:footnoteRef/>
      </w:r>
      <w:r>
        <w:t xml:space="preserve"> </w:t>
      </w:r>
      <w:r>
        <w:t xml:space="preserve">Heaps, C.G., 2021. </w:t>
      </w:r>
      <w:r>
        <w:rPr>
          <w:i/>
          <w:iCs/>
        </w:rPr>
        <w:t>LEAP: The Low Emissions Analysis Platform.</w:t>
      </w:r>
      <w:r>
        <w:t xml:space="preserve"> [Software version: 2020.1.54] Stockholm Environment Institute. Somerville, MA, USA. https://leap.sei.org</w:t>
      </w:r>
    </w:p>
    <w:p w14:paraId="7C93C2EC" w14:textId="2E34E54A" w:rsidR="00203695" w:rsidRPr="002F58F8" w:rsidRDefault="00203695">
      <w:pPr>
        <w:pStyle w:val="FootnoteText"/>
      </w:pPr>
    </w:p>
  </w:footnote>
  <w:footnote w:id="35">
    <w:p w14:paraId="2A697431" w14:textId="77777777" w:rsidR="00203695" w:rsidRDefault="00203695" w:rsidP="000E746E">
      <w:pPr>
        <w:pStyle w:val="FootnoteText"/>
      </w:pPr>
      <w:r>
        <w:rPr>
          <w:rStyle w:val="FootnoteReference"/>
        </w:rPr>
        <w:footnoteRef/>
      </w:r>
      <w:r>
        <w:t xml:space="preserve"> Recommended </w:t>
      </w:r>
      <w:r>
        <w:t>parameters for reporting on GHG projections in 2023, Version after consultation of WG2 under the Climate Change Committee on 10 March 2022, sharing of draft recommendation on 30 March 2022 and consultation of National Experts designated by members of WG2 on 26 April 2022, EUROPEAN COMMISSION DIRECTORATE-GENERAL CLIMATE ACTION</w:t>
      </w:r>
    </w:p>
  </w:footnote>
  <w:footnote w:id="36">
    <w:p w14:paraId="2A9B3499" w14:textId="77777777" w:rsidR="00203695" w:rsidRDefault="00203695" w:rsidP="000E746E">
      <w:pPr>
        <w:pStyle w:val="FootnoteText"/>
      </w:pPr>
      <w:r>
        <w:rPr>
          <w:rStyle w:val="FootnoteReference"/>
        </w:rPr>
        <w:footnoteRef/>
      </w:r>
      <w:r>
        <w:t xml:space="preserve"> IEA World Energy Outlook 2022</w:t>
      </w:r>
    </w:p>
  </w:footnote>
  <w:footnote w:id="37">
    <w:p w14:paraId="1275552B" w14:textId="37609397" w:rsidR="00203695" w:rsidRPr="00976062" w:rsidRDefault="00203695" w:rsidP="00032675">
      <w:pPr>
        <w:pStyle w:val="FootnoteText"/>
      </w:pPr>
      <w:r>
        <w:rPr>
          <w:rStyle w:val="FootnoteReference"/>
        </w:rPr>
        <w:footnoteRef/>
      </w:r>
      <w:r>
        <w:t xml:space="preserve"> </w:t>
      </w:r>
      <w:r w:rsidRPr="00976062">
        <w:t xml:space="preserve">Sva izvješća prema članku 5(2) Direktive 2010/31/EU i članku 6 Uredbe (EU) 244/2012 od 16.1.2012 o minimalnim zahtjevima na energetsko svojstvo navedenih vrsta zgrada dostupni su na mrežnim stranicama </w:t>
      </w:r>
      <w:r>
        <w:rPr>
          <w:rFonts w:eastAsia="Calibri"/>
        </w:rPr>
        <w:t>MPGI</w:t>
      </w:r>
      <w:r w:rsidRPr="00976062">
        <w:t xml:space="preserve">: </w:t>
      </w:r>
      <w:hyperlink r:id="rId11" w:history="1">
        <w:r w:rsidRPr="00976062">
          <w:rPr>
            <w:rStyle w:val="Hyperlink"/>
          </w:rPr>
          <w:t>http://mgipu.hr/default.aspx?id=12841</w:t>
        </w:r>
      </w:hyperlink>
      <w:r w:rsidRPr="00976062">
        <w:t xml:space="preserve"> (datum pristupa: 27.11.2018.)</w:t>
      </w:r>
    </w:p>
  </w:footnote>
  <w:footnote w:id="38">
    <w:p w14:paraId="70A98381" w14:textId="2A1337F0" w:rsidR="00203695" w:rsidRDefault="00203695" w:rsidP="004F777C">
      <w:pPr>
        <w:pStyle w:val="FootnoteText"/>
      </w:pPr>
      <w:r>
        <w:rPr>
          <w:rStyle w:val="FootnoteReference"/>
        </w:rPr>
        <w:footnoteRef/>
      </w:r>
      <w:r>
        <w:t xml:space="preserve"> Republika Hrvatska, </w:t>
      </w:r>
      <w:r>
        <w:t xml:space="preserve">Ministarstvo gospodarstva, Strategija niskougljičnog razvoja Republike Hrvatske do 2030. s pogledom na 2050. godinu, </w:t>
      </w:r>
      <w:hyperlink r:id="rId12" w:history="1">
        <w:r w:rsidRPr="006E2CA7">
          <w:rPr>
            <w:rStyle w:val="Hyperlink"/>
            <w:noProof w:val="0"/>
          </w:rPr>
          <w:t>https://ec.europa.eu/clima/sites/lts/lts_hr_hr.pdf</w:t>
        </w:r>
      </w:hyperlink>
      <w:r>
        <w:t>, str. 65</w:t>
      </w:r>
    </w:p>
  </w:footnote>
  <w:footnote w:id="39">
    <w:p w14:paraId="3E599ADB" w14:textId="77777777" w:rsidR="00203695" w:rsidRDefault="00203695" w:rsidP="00455501">
      <w:pPr>
        <w:pStyle w:val="FootnoteText"/>
        <w:jc w:val="left"/>
      </w:pPr>
      <w:r>
        <w:rPr>
          <w:rStyle w:val="FootnoteReference"/>
        </w:rPr>
        <w:footnoteRef/>
      </w:r>
      <w:r>
        <w:t xml:space="preserve"> </w:t>
      </w:r>
      <w:hyperlink r:id="rId13" w:history="1">
        <w:r w:rsidRPr="00872036">
          <w:rPr>
            <w:rStyle w:val="Hyperlink"/>
            <w:noProof w:val="0"/>
          </w:rPr>
          <w:t>https://podaci.dzs.hr/media/atbjbcfy/sdg-2023_hr.pdf</w:t>
        </w:r>
      </w:hyperlink>
      <w:r>
        <w:t xml:space="preserve">; </w:t>
      </w:r>
      <w:r w:rsidRPr="00275239">
        <w:t>https://www.epo.org/about-us/annual-reports-statistics/statistics/2021/statistics/patent-applications.html</w:t>
      </w:r>
    </w:p>
  </w:footnote>
  <w:footnote w:id="40">
    <w:p w14:paraId="4CF03BF6" w14:textId="77777777" w:rsidR="00203695" w:rsidRDefault="00203695" w:rsidP="00575B50">
      <w:pPr>
        <w:pStyle w:val="FootnoteText"/>
      </w:pPr>
      <w:r>
        <w:rPr>
          <w:rStyle w:val="FootnoteReference"/>
        </w:rPr>
        <w:footnoteRef/>
      </w:r>
      <w:r>
        <w:t xml:space="preserve"> </w:t>
      </w:r>
      <w:r w:rsidRPr="00275239">
        <w:t>https://podaci.dzs.hr/2023/hr/58335</w:t>
      </w:r>
    </w:p>
  </w:footnote>
  <w:footnote w:id="41">
    <w:p w14:paraId="536B6D8A" w14:textId="77777777" w:rsidR="00203695" w:rsidRDefault="00203695" w:rsidP="00126652">
      <w:pPr>
        <w:pStyle w:val="FootnoteText"/>
      </w:pPr>
      <w:r>
        <w:rPr>
          <w:rStyle w:val="FootnoteReference"/>
        </w:rPr>
        <w:footnoteRef/>
      </w:r>
      <w:r>
        <w:t xml:space="preserve"> </w:t>
      </w:r>
      <w:r w:rsidRPr="00275239">
        <w:t>https://podaci.dzs.hr/2023/hr/58335</w:t>
      </w:r>
    </w:p>
  </w:footnote>
  <w:footnote w:id="42">
    <w:p w14:paraId="42CC54C6" w14:textId="36B5D6F7" w:rsidR="00203695" w:rsidRPr="00546669" w:rsidRDefault="00203695" w:rsidP="004C0E15">
      <w:pPr>
        <w:pStyle w:val="FootnoteText"/>
        <w:rPr>
          <w:rFonts w:cstheme="minorHAnsi"/>
          <w:sz w:val="14"/>
          <w:szCs w:val="14"/>
        </w:rPr>
      </w:pPr>
      <w:r w:rsidRPr="00475E9E">
        <w:rPr>
          <w:rStyle w:val="FootnoteReference"/>
          <w:rFonts w:asciiTheme="minorHAnsi" w:hAnsiTheme="minorHAnsi" w:cstheme="minorHAnsi"/>
          <w:sz w:val="14"/>
          <w:szCs w:val="14"/>
        </w:rPr>
        <w:footnoteRef/>
      </w:r>
      <w:r w:rsidRPr="00475E9E">
        <w:rPr>
          <w:rFonts w:cstheme="minorHAnsi"/>
          <w:sz w:val="14"/>
          <w:szCs w:val="14"/>
        </w:rPr>
        <w:t xml:space="preserve"> </w:t>
      </w:r>
      <w:r w:rsidRPr="00546669">
        <w:rPr>
          <w:rFonts w:cstheme="minorHAnsi"/>
          <w:sz w:val="14"/>
          <w:szCs w:val="14"/>
        </w:rPr>
        <w:t xml:space="preserve">Uredba (EU) 2021/1060 Europskog parlamenta i Vijeća od 24. lipnja 2021. o utvrđivanju zajedničkih odredaba o Europskom Fondu za regionalni razvoj, Europskom socijalnom fondu plus, Kohezijskom fondu, Fondu za pravednu tranziciju i Europskom fondu za pomorstvo, ribarstvo i akvakulturu te financijskih pravila za njih i za Fond za azil, migracije i integraciju, Fond za unutarnju sigurnost i Instrument za financijsku potporu u području </w:t>
      </w:r>
    </w:p>
  </w:footnote>
  <w:footnote w:id="43">
    <w:p w14:paraId="267A7909" w14:textId="77777777" w:rsidR="00203695" w:rsidRPr="001F0ABC" w:rsidRDefault="00203695" w:rsidP="004C0E15">
      <w:pPr>
        <w:pStyle w:val="FootnoteText"/>
        <w:rPr>
          <w:rFonts w:cstheme="minorHAnsi"/>
          <w:sz w:val="14"/>
          <w:szCs w:val="14"/>
        </w:rPr>
      </w:pPr>
      <w:r w:rsidRPr="001F0ABC">
        <w:rPr>
          <w:rStyle w:val="FootnoteReference"/>
          <w:rFonts w:asciiTheme="minorHAnsi" w:hAnsiTheme="minorHAnsi" w:cstheme="minorHAnsi"/>
          <w:sz w:val="14"/>
          <w:szCs w:val="14"/>
        </w:rPr>
        <w:footnoteRef/>
      </w:r>
      <w:r w:rsidRPr="001F0ABC">
        <w:rPr>
          <w:rFonts w:cstheme="minorHAnsi"/>
          <w:sz w:val="14"/>
          <w:szCs w:val="14"/>
        </w:rPr>
        <w:t xml:space="preserve"> </w:t>
      </w:r>
      <w:hyperlink r:id="rId14" w:history="1">
        <w:r w:rsidRPr="00E54EB2">
          <w:rPr>
            <w:rStyle w:val="Hyperlink"/>
            <w:rFonts w:cstheme="minorHAnsi"/>
            <w:color w:val="auto"/>
            <w:sz w:val="14"/>
            <w:szCs w:val="14"/>
            <w:u w:val="none"/>
          </w:rPr>
          <w:t>Zakonodavni okvir Inovacijskog fonda</w:t>
        </w:r>
      </w:hyperlink>
    </w:p>
  </w:footnote>
  <w:footnote w:id="44">
    <w:p w14:paraId="43820471" w14:textId="7D9FABDC" w:rsidR="00203695" w:rsidRPr="00475E9E" w:rsidRDefault="00203695" w:rsidP="004C0E15">
      <w:pPr>
        <w:pStyle w:val="FootnoteText"/>
        <w:rPr>
          <w:rFonts w:cstheme="minorBidi"/>
          <w:sz w:val="14"/>
          <w:szCs w:val="14"/>
        </w:rPr>
      </w:pPr>
      <w:r w:rsidRPr="5DD0AEEC">
        <w:rPr>
          <w:rStyle w:val="FootnoteReference"/>
          <w:rFonts w:asciiTheme="minorHAnsi" w:hAnsiTheme="minorHAnsi" w:cstheme="minorBidi"/>
          <w:sz w:val="14"/>
          <w:szCs w:val="14"/>
        </w:rPr>
        <w:footnoteRef/>
      </w:r>
      <w:r w:rsidRPr="5DD0AEEC">
        <w:rPr>
          <w:rFonts w:cstheme="minorBidi"/>
          <w:sz w:val="14"/>
          <w:szCs w:val="14"/>
        </w:rPr>
        <w:t xml:space="preserve"> </w:t>
      </w:r>
      <w:r w:rsidR="00ED2151" w:rsidRPr="00ED2151">
        <w:rPr>
          <w:rFonts w:cstheme="minorBidi"/>
          <w:sz w:val="14"/>
          <w:szCs w:val="14"/>
        </w:rPr>
        <w:t>Provedben</w:t>
      </w:r>
      <w:r w:rsidR="00ED2151">
        <w:rPr>
          <w:rFonts w:cstheme="minorBidi"/>
          <w:sz w:val="14"/>
          <w:szCs w:val="14"/>
        </w:rPr>
        <w:t>a</w:t>
      </w:r>
      <w:r w:rsidR="00ED2151" w:rsidRPr="00ED2151">
        <w:rPr>
          <w:rFonts w:cstheme="minorBidi"/>
          <w:sz w:val="14"/>
          <w:szCs w:val="14"/>
        </w:rPr>
        <w:t xml:space="preserve"> Uredb</w:t>
      </w:r>
      <w:r w:rsidR="00ED2151">
        <w:rPr>
          <w:rFonts w:cstheme="minorBidi"/>
          <w:sz w:val="14"/>
          <w:szCs w:val="14"/>
        </w:rPr>
        <w:t>a</w:t>
      </w:r>
      <w:r w:rsidR="00ED2151" w:rsidRPr="00ED2151">
        <w:rPr>
          <w:rFonts w:cstheme="minorBidi"/>
          <w:sz w:val="14"/>
          <w:szCs w:val="14"/>
        </w:rPr>
        <w:t xml:space="preserve"> </w:t>
      </w:r>
      <w:r w:rsidR="00ED2151" w:rsidRPr="00ED2151">
        <w:rPr>
          <w:rFonts w:cstheme="minorBidi"/>
          <w:sz w:val="14"/>
          <w:szCs w:val="14"/>
        </w:rPr>
        <w:t xml:space="preserve">Komisije </w:t>
      </w:r>
      <w:r w:rsidRPr="5DD0AEEC">
        <w:rPr>
          <w:rFonts w:cstheme="minorBidi"/>
          <w:sz w:val="14"/>
          <w:szCs w:val="14"/>
        </w:rPr>
        <w:t>(EU) 2020/1001 оd 9. srpnja 2020. o utvrđivanju detaljnih pravila za primjenu Direktive 2003/87/EZ Europskog parlamenta i Vijeća u pogledu djelovanja Modernizacijskog fonda kojim se podupiru ulaganja u modernizaciju energetskih sustava i poboljšanje energetske učinkovitosti određenih država članica</w:t>
      </w:r>
      <w:r w:rsidR="00ED2151">
        <w:rPr>
          <w:rFonts w:cstheme="minorBidi"/>
          <w:sz w:val="14"/>
          <w:szCs w:val="14"/>
        </w:rPr>
        <w:t xml:space="preserve"> </w:t>
      </w:r>
      <w:r w:rsidR="00ED2151" w:rsidRPr="00ED2151">
        <w:rPr>
          <w:rFonts w:cstheme="minorBidi"/>
          <w:sz w:val="14"/>
          <w:szCs w:val="14"/>
        </w:rPr>
        <w:t>(</w:t>
      </w:r>
      <w:r w:rsidR="00ED2151" w:rsidRPr="00E54EB2">
        <w:rPr>
          <w:rFonts w:cstheme="minorBidi"/>
          <w:sz w:val="14"/>
          <w:szCs w:val="14"/>
        </w:rPr>
        <w:t>SL L 221, 10.7. 2020</w:t>
      </w:r>
      <w:r w:rsidR="00ED2151">
        <w:rPr>
          <w:rFonts w:cstheme="minorBidi"/>
          <w:b/>
          <w:bCs/>
          <w:sz w:val="14"/>
          <w:szCs w:val="14"/>
        </w:rPr>
        <w:t>)</w:t>
      </w:r>
      <w:r w:rsidR="5DD0AEEC" w:rsidRPr="5DD0AEEC">
        <w:rPr>
          <w:rFonts w:cstheme="minorBidi"/>
          <w:sz w:val="14"/>
          <w:szCs w:val="14"/>
        </w:rPr>
        <w:t xml:space="preserve"> i </w:t>
      </w:r>
      <w:r w:rsidR="00ED2151" w:rsidRPr="009A63C4">
        <w:rPr>
          <w:rFonts w:cstheme="minorBidi"/>
          <w:sz w:val="14"/>
          <w:szCs w:val="14"/>
        </w:rPr>
        <w:t>Provedben</w:t>
      </w:r>
      <w:r w:rsidR="00ED2151">
        <w:rPr>
          <w:rFonts w:cstheme="minorBidi"/>
          <w:sz w:val="14"/>
          <w:szCs w:val="14"/>
        </w:rPr>
        <w:t>a</w:t>
      </w:r>
      <w:r w:rsidR="00ED2151" w:rsidRPr="009A63C4">
        <w:rPr>
          <w:rFonts w:cstheme="minorBidi"/>
          <w:sz w:val="14"/>
          <w:szCs w:val="14"/>
        </w:rPr>
        <w:t xml:space="preserve"> Uredb</w:t>
      </w:r>
      <w:r w:rsidR="00ED2151">
        <w:rPr>
          <w:rFonts w:cstheme="minorBidi"/>
          <w:sz w:val="14"/>
          <w:szCs w:val="14"/>
        </w:rPr>
        <w:t>a</w:t>
      </w:r>
      <w:r w:rsidR="00ED2151" w:rsidRPr="009A63C4">
        <w:rPr>
          <w:rFonts w:cstheme="minorBidi"/>
          <w:sz w:val="14"/>
          <w:szCs w:val="14"/>
        </w:rPr>
        <w:t xml:space="preserve"> </w:t>
      </w:r>
      <w:r w:rsidR="5DD0AEEC" w:rsidRPr="009A63C4">
        <w:rPr>
          <w:rFonts w:cstheme="minorBidi"/>
          <w:sz w:val="14"/>
          <w:szCs w:val="14"/>
        </w:rPr>
        <w:t>Komisije (EU) 2023/2606 оd 22. studenoga 2023. o izmjeni Provedbene uredbe Komisije (EU) 2020/1001 o utvrđivanju detaljnih pravila za primjenu Direktive 2003/87/EZ Europskog parlamenta i Vijeća u pogledu djelovanja Modernizacijskog fonda kojim se podupiru ulaganja u modernizaciju energetskih sustava i poboljšanje energetske učinkovitosti određenih država članica</w:t>
      </w:r>
      <w:r w:rsidR="00792982">
        <w:rPr>
          <w:rFonts w:cstheme="minorBidi"/>
          <w:sz w:val="14"/>
          <w:szCs w:val="14"/>
        </w:rPr>
        <w:t xml:space="preserve"> (SL L </w:t>
      </w:r>
      <w:r w:rsidR="00792982" w:rsidRPr="00792982">
        <w:rPr>
          <w:rFonts w:cstheme="minorBidi"/>
          <w:sz w:val="14"/>
          <w:szCs w:val="14"/>
        </w:rPr>
        <w:t>2023/2606</w:t>
      </w:r>
      <w:r w:rsidR="00792982">
        <w:rPr>
          <w:rFonts w:cstheme="minorBidi"/>
          <w:sz w:val="14"/>
          <w:szCs w:val="14"/>
        </w:rPr>
        <w:t xml:space="preserve"> </w:t>
      </w:r>
      <w:r w:rsidR="000F7F3C">
        <w:rPr>
          <w:rFonts w:cstheme="minorBidi"/>
          <w:sz w:val="14"/>
          <w:szCs w:val="14"/>
        </w:rPr>
        <w:t>23.11.2023.)</w:t>
      </w:r>
    </w:p>
  </w:footnote>
  <w:footnote w:id="45">
    <w:p w14:paraId="6DF14966" w14:textId="77777777" w:rsidR="00203695" w:rsidRPr="001F0ABC" w:rsidRDefault="00203695" w:rsidP="004C0E15">
      <w:pPr>
        <w:spacing w:after="0"/>
        <w:rPr>
          <w:rFonts w:cstheme="minorHAnsi"/>
          <w:sz w:val="14"/>
          <w:szCs w:val="14"/>
          <w:lang w:eastAsia="hr-HR"/>
        </w:rPr>
      </w:pPr>
      <w:r w:rsidRPr="001F0ABC">
        <w:rPr>
          <w:rStyle w:val="FootnoteReference"/>
          <w:rFonts w:asciiTheme="minorHAnsi" w:hAnsiTheme="minorHAnsi" w:cstheme="minorHAnsi"/>
          <w:sz w:val="14"/>
          <w:szCs w:val="14"/>
        </w:rPr>
        <w:footnoteRef/>
      </w:r>
      <w:r w:rsidRPr="001F0ABC">
        <w:rPr>
          <w:rFonts w:cstheme="minorHAnsi"/>
          <w:sz w:val="14"/>
          <w:szCs w:val="14"/>
        </w:rPr>
        <w:t xml:space="preserve"> </w:t>
      </w:r>
      <w:hyperlink r:id="rId15" w:history="1">
        <w:r w:rsidRPr="00E54EB2">
          <w:rPr>
            <w:rFonts w:cstheme="minorHAnsi"/>
            <w:sz w:val="14"/>
            <w:szCs w:val="14"/>
            <w:lang w:eastAsia="hr-HR"/>
          </w:rPr>
          <w:t>MEMO: Detaljnije o planu ulaganja za europski zeleni plan i mehanizmu za pravednu tranziciju</w:t>
        </w:r>
      </w:hyperlink>
    </w:p>
  </w:footnote>
  <w:footnote w:id="46">
    <w:p w14:paraId="143CC3B5" w14:textId="2F90B7FC" w:rsidR="00203695" w:rsidRPr="007A343B" w:rsidRDefault="00203695" w:rsidP="00396282">
      <w:pPr>
        <w:rPr>
          <w:rFonts w:cstheme="minorHAnsi"/>
          <w:sz w:val="14"/>
          <w:szCs w:val="14"/>
        </w:rPr>
      </w:pPr>
      <w:r w:rsidRPr="00475E9E">
        <w:rPr>
          <w:rStyle w:val="FootnoteReference"/>
          <w:rFonts w:asciiTheme="minorHAnsi" w:hAnsiTheme="minorHAnsi" w:cstheme="minorHAnsi"/>
          <w:sz w:val="14"/>
          <w:szCs w:val="14"/>
        </w:rPr>
        <w:footnoteRef/>
      </w:r>
      <w:r w:rsidRPr="00475E9E">
        <w:rPr>
          <w:rFonts w:cstheme="minorHAnsi"/>
          <w:sz w:val="14"/>
          <w:szCs w:val="14"/>
        </w:rPr>
        <w:t xml:space="preserve"> </w:t>
      </w:r>
      <w:r w:rsidR="00396282" w:rsidRPr="00396282">
        <w:rPr>
          <w:rFonts w:cstheme="minorHAnsi"/>
          <w:sz w:val="14"/>
          <w:szCs w:val="14"/>
        </w:rPr>
        <w:t>Uredba (EU) 2021/</w:t>
      </w:r>
      <w:r w:rsidR="00AA4A59" w:rsidRPr="00AA4A59">
        <w:rPr>
          <w:rFonts w:cstheme="minorHAnsi"/>
          <w:sz w:val="14"/>
          <w:szCs w:val="14"/>
        </w:rPr>
        <w:t>1056</w:t>
      </w:r>
      <w:r w:rsidR="00396282" w:rsidRPr="00396282">
        <w:rPr>
          <w:rFonts w:cstheme="minorHAnsi"/>
          <w:sz w:val="14"/>
          <w:szCs w:val="14"/>
        </w:rPr>
        <w:t xml:space="preserve"> Europskog parlamenta i Vijeća od 24. lipnja 2021. </w:t>
      </w:r>
      <w:r w:rsidR="00AA4A59" w:rsidRPr="00AA4A59">
        <w:rPr>
          <w:rFonts w:cstheme="minorHAnsi"/>
          <w:sz w:val="14"/>
          <w:szCs w:val="14"/>
        </w:rPr>
        <w:t>o uspostavi Fonda za pravednu tranziciju</w:t>
      </w:r>
      <w:r w:rsidR="00AA4A59">
        <w:rPr>
          <w:rFonts w:cstheme="minorHAnsi"/>
          <w:sz w:val="14"/>
          <w:szCs w:val="14"/>
        </w:rPr>
        <w:t xml:space="preserve"> (</w:t>
      </w:r>
      <w:r w:rsidR="00AA4A59" w:rsidRPr="00AA4A59">
        <w:rPr>
          <w:rFonts w:cstheme="minorHAnsi"/>
          <w:sz w:val="14"/>
          <w:szCs w:val="14"/>
        </w:rPr>
        <w:t>SL L 231, 30.6.2021</w:t>
      </w:r>
      <w:r w:rsidR="00AA4A59">
        <w:rPr>
          <w:rFonts w:cstheme="minorHAnsi"/>
          <w:sz w:val="14"/>
          <w:szCs w:val="14"/>
        </w:rPr>
        <w:t>). Izmijenjena</w:t>
      </w:r>
      <w:r w:rsidR="00396282" w:rsidRPr="00396282">
        <w:rPr>
          <w:rFonts w:cstheme="minorHAnsi"/>
          <w:sz w:val="14"/>
          <w:szCs w:val="14"/>
        </w:rPr>
        <w:t xml:space="preserve"> je Uredbom (EU) 2024/795 Europskog parlamenta i Vijeća od 29. veljače 2024. o uspostavi Platforme za strateške tehnologije za Europu (STEP) i o izmjeni Direktive 2003/87/EZ te uredaba (EU) 2021/1058, </w:t>
      </w:r>
      <w:r w:rsidR="00396282" w:rsidRPr="00D92167">
        <w:rPr>
          <w:rFonts w:cstheme="minorHAnsi"/>
          <w:bCs/>
          <w:sz w:val="14"/>
          <w:szCs w:val="14"/>
        </w:rPr>
        <w:t>(EU) 2021/1056</w:t>
      </w:r>
      <w:r w:rsidR="00396282" w:rsidRPr="00E54EB2">
        <w:rPr>
          <w:rFonts w:cstheme="minorHAnsi"/>
          <w:b/>
          <w:sz w:val="14"/>
          <w:szCs w:val="14"/>
        </w:rPr>
        <w:t>,</w:t>
      </w:r>
      <w:r w:rsidR="00396282" w:rsidRPr="00396282">
        <w:rPr>
          <w:rFonts w:cstheme="minorHAnsi"/>
          <w:sz w:val="14"/>
          <w:szCs w:val="14"/>
        </w:rPr>
        <w:t xml:space="preserve"> (EU) 2021/1057, (EU) br. 1303/2013, (EU) br. 223/2014, (EU) 2021/1060, (EU) 2021/523, (EU) 2021/695, (EU) 2021/697 i (EU) 2021/241</w:t>
      </w:r>
      <w:r w:rsidR="00CA2A82">
        <w:rPr>
          <w:rFonts w:cstheme="minorHAnsi"/>
          <w:sz w:val="14"/>
          <w:szCs w:val="14"/>
        </w:rPr>
        <w:t xml:space="preserve"> </w:t>
      </w:r>
      <w:r w:rsidR="00396282" w:rsidRPr="00396282">
        <w:rPr>
          <w:rFonts w:cstheme="minorHAnsi"/>
          <w:sz w:val="14"/>
          <w:szCs w:val="14"/>
        </w:rPr>
        <w:t>(SL L, 2024/795, 29.2.2024</w:t>
      </w:r>
      <w:r w:rsidR="00CA2A82">
        <w:rPr>
          <w:rFonts w:cstheme="minorHAnsi"/>
          <w:sz w:val="14"/>
          <w:szCs w:val="14"/>
        </w:rPr>
        <w:t>.</w:t>
      </w:r>
      <w:r w:rsidR="00396282" w:rsidRPr="00CA2A82">
        <w:rPr>
          <w:rFonts w:cstheme="minorHAnsi"/>
          <w:sz w:val="14"/>
          <w:szCs w:val="14"/>
        </w:rPr>
        <w:t>)</w:t>
      </w:r>
      <w:r w:rsidR="00CA2A82" w:rsidRPr="00E54EB2">
        <w:rPr>
          <w:rFonts w:cstheme="minorHAnsi"/>
          <w:sz w:val="14"/>
          <w:szCs w:val="14"/>
        </w:rPr>
        <w:t>.</w:t>
      </w:r>
    </w:p>
  </w:footnote>
  <w:footnote w:id="47">
    <w:p w14:paraId="7A2CBDC8" w14:textId="6256F333" w:rsidR="00203695" w:rsidRPr="00A67114" w:rsidRDefault="00203695" w:rsidP="004C0E15">
      <w:pPr>
        <w:pStyle w:val="FootnoteText"/>
      </w:pPr>
      <w:r w:rsidRPr="00475E9E">
        <w:rPr>
          <w:rStyle w:val="FootnoteReference"/>
          <w:rFonts w:asciiTheme="minorHAnsi" w:hAnsiTheme="minorHAnsi" w:cstheme="minorHAnsi"/>
          <w:sz w:val="14"/>
          <w:szCs w:val="14"/>
        </w:rPr>
        <w:footnoteRef/>
      </w:r>
      <w:r w:rsidRPr="00475E9E">
        <w:rPr>
          <w:rFonts w:cstheme="minorHAnsi"/>
          <w:sz w:val="14"/>
          <w:szCs w:val="14"/>
        </w:rPr>
        <w:t xml:space="preserve"> Uredba (EU) 2021/783 Europskog parlamenta i Vijeća od 29. travnja 2021. o uspostavi Programa za okoliš i djelovanje u području klime (LIFE) i stavljanju izvan snage Uredbe (EU) br. 1293/2013 (Tekst značajan za EGP)</w:t>
      </w:r>
      <w:r>
        <w:rPr>
          <w:rFonts w:cstheme="minorHAnsi"/>
          <w:sz w:val="14"/>
          <w:szCs w:val="14"/>
        </w:rPr>
        <w:t xml:space="preserve"> (</w:t>
      </w:r>
      <w:r w:rsidRPr="00434996">
        <w:rPr>
          <w:rFonts w:cstheme="minorHAnsi"/>
          <w:sz w:val="14"/>
          <w:szCs w:val="14"/>
        </w:rPr>
        <w:t>SL L 172, 17.5.2021.</w:t>
      </w:r>
      <w:r>
        <w:rPr>
          <w:rFonts w:cstheme="minorHAnsi"/>
          <w:sz w:val="14"/>
          <w:szCs w:val="1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D26E7B28"/>
    <w:lvl w:ilvl="0">
      <w:start w:val="1"/>
      <w:numFmt w:val="bullet"/>
      <w:pStyle w:val="Literatura"/>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DB6408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5A305B"/>
    <w:multiLevelType w:val="hybridMultilevel"/>
    <w:tmpl w:val="7FF420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0C12BC7"/>
    <w:multiLevelType w:val="hybridMultilevel"/>
    <w:tmpl w:val="3BE8B1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1BD56BC"/>
    <w:multiLevelType w:val="hybridMultilevel"/>
    <w:tmpl w:val="7A9C2A7E"/>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027579F7"/>
    <w:multiLevelType w:val="hybridMultilevel"/>
    <w:tmpl w:val="9EDAA8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2B74807"/>
    <w:multiLevelType w:val="hybridMultilevel"/>
    <w:tmpl w:val="D3EA423A"/>
    <w:lvl w:ilvl="0" w:tplc="ADF40A0A">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312270"/>
    <w:multiLevelType w:val="hybridMultilevel"/>
    <w:tmpl w:val="15AE188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45435BC"/>
    <w:multiLevelType w:val="hybridMultilevel"/>
    <w:tmpl w:val="C9E4AFC0"/>
    <w:lvl w:ilvl="0" w:tplc="08090001">
      <w:start w:val="1"/>
      <w:numFmt w:val="bullet"/>
      <w:lvlText w:val=""/>
      <w:lvlJc w:val="left"/>
      <w:pPr>
        <w:ind w:left="720" w:hanging="360"/>
      </w:pPr>
      <w:rPr>
        <w:rFonts w:ascii="Symbol" w:hAnsi="Symbol" w:hint="default"/>
        <w:b w:val="0"/>
        <w:i w:val="0"/>
        <w:iCs/>
        <w:color w:val="auto"/>
        <w:sz w:val="20"/>
        <w:szCs w:val="20"/>
      </w:rPr>
    </w:lvl>
    <w:lvl w:ilvl="1" w:tplc="FFFFFFFF">
      <w:numFmt w:val="bullet"/>
      <w:lvlText w:val="-"/>
      <w:lvlJc w:val="left"/>
      <w:pPr>
        <w:ind w:left="1440" w:hanging="360"/>
      </w:pPr>
      <w:rPr>
        <w:rFonts w:ascii="Arial" w:eastAsia="Times New Roman"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5B23F56"/>
    <w:multiLevelType w:val="hybridMultilevel"/>
    <w:tmpl w:val="182A7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355A0C"/>
    <w:multiLevelType w:val="hybridMultilevel"/>
    <w:tmpl w:val="FFFFFFFF"/>
    <w:lvl w:ilvl="0" w:tplc="FFFFFFFF">
      <w:start w:val="1"/>
      <w:numFmt w:val="bullet"/>
      <w:lvlText w:val=""/>
      <w:lvlJc w:val="left"/>
      <w:pPr>
        <w:ind w:left="720" w:hanging="360"/>
      </w:pPr>
      <w:rPr>
        <w:rFonts w:ascii="Symbol" w:hAnsi="Symbol" w:hint="default"/>
      </w:rPr>
    </w:lvl>
    <w:lvl w:ilvl="1" w:tplc="10EEC21C">
      <w:numFmt w:val="bullet"/>
      <w:lvlText w:val="-"/>
      <w:lvlJc w:val="left"/>
      <w:pPr>
        <w:ind w:left="1440" w:hanging="360"/>
      </w:pPr>
      <w:rPr>
        <w:rFonts w:ascii="Calibri" w:eastAsia="Times New Roman"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7603A9"/>
    <w:multiLevelType w:val="multilevel"/>
    <w:tmpl w:val="2E4CA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81111E"/>
    <w:multiLevelType w:val="hybridMultilevel"/>
    <w:tmpl w:val="FFFFFFFF"/>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879396F"/>
    <w:multiLevelType w:val="multilevel"/>
    <w:tmpl w:val="137E0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B34C31"/>
    <w:multiLevelType w:val="hybridMultilevel"/>
    <w:tmpl w:val="FFFFFFFF"/>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9DF511A"/>
    <w:multiLevelType w:val="hybridMultilevel"/>
    <w:tmpl w:val="FFFFFFFF"/>
    <w:lvl w:ilvl="0" w:tplc="0B2265FC">
      <w:numFmt w:val="bullet"/>
      <w:lvlText w:val="-"/>
      <w:lvlJc w:val="left"/>
      <w:pPr>
        <w:ind w:left="720" w:hanging="360"/>
      </w:pPr>
      <w:rPr>
        <w:rFonts w:ascii="Calibri" w:hAnsi="Calibri" w:hint="default"/>
        <w:color w:val="auto"/>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A824681"/>
    <w:multiLevelType w:val="hybridMultilevel"/>
    <w:tmpl w:val="25F0AB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BC121EB"/>
    <w:multiLevelType w:val="hybridMultilevel"/>
    <w:tmpl w:val="C61239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C3D2CB9"/>
    <w:multiLevelType w:val="hybridMultilevel"/>
    <w:tmpl w:val="F7C264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0D372BAC"/>
    <w:multiLevelType w:val="hybridMultilevel"/>
    <w:tmpl w:val="1B8AFC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EFD36ED"/>
    <w:multiLevelType w:val="hybridMultilevel"/>
    <w:tmpl w:val="E13AF29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 w15:restartNumberingAfterBreak="0">
    <w:nsid w:val="0F590F3E"/>
    <w:multiLevelType w:val="hybridMultilevel"/>
    <w:tmpl w:val="030AE1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0FD16E90"/>
    <w:multiLevelType w:val="hybridMultilevel"/>
    <w:tmpl w:val="C18802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078106C"/>
    <w:multiLevelType w:val="hybridMultilevel"/>
    <w:tmpl w:val="7A7EB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0793396"/>
    <w:multiLevelType w:val="hybridMultilevel"/>
    <w:tmpl w:val="FFFFFFFF"/>
    <w:lvl w:ilvl="0" w:tplc="08090001">
      <w:start w:val="1"/>
      <w:numFmt w:val="bullet"/>
      <w:lvlText w:val=""/>
      <w:lvlJc w:val="left"/>
      <w:pPr>
        <w:ind w:left="1074" w:hanging="360"/>
      </w:pPr>
      <w:rPr>
        <w:rFonts w:ascii="Symbol" w:hAnsi="Symbol" w:hint="default"/>
      </w:rPr>
    </w:lvl>
    <w:lvl w:ilvl="1" w:tplc="FFFFFFFF" w:tentative="1">
      <w:start w:val="1"/>
      <w:numFmt w:val="bullet"/>
      <w:lvlText w:val="o"/>
      <w:lvlJc w:val="left"/>
      <w:pPr>
        <w:ind w:left="1797" w:hanging="360"/>
      </w:pPr>
      <w:rPr>
        <w:rFonts w:ascii="Courier New" w:hAnsi="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5" w15:restartNumberingAfterBreak="0">
    <w:nsid w:val="10D43614"/>
    <w:multiLevelType w:val="multilevel"/>
    <w:tmpl w:val="FFFFFFFF"/>
    <w:lvl w:ilvl="0">
      <w:start w:val="1"/>
      <w:numFmt w:val="decimal"/>
      <w:lvlText w:val="%1)"/>
      <w:lvlJc w:val="left"/>
      <w:pPr>
        <w:ind w:left="1242" w:hanging="360"/>
      </w:pPr>
      <w:rPr>
        <w:rFonts w:cs="Times New Roman"/>
      </w:rPr>
    </w:lvl>
    <w:lvl w:ilvl="1">
      <w:start w:val="1"/>
      <w:numFmt w:val="lowerLetter"/>
      <w:lvlText w:val="%2)"/>
      <w:lvlJc w:val="left"/>
      <w:pPr>
        <w:ind w:left="1602" w:hanging="360"/>
      </w:pPr>
      <w:rPr>
        <w:rFonts w:cs="Times New Roman"/>
      </w:rPr>
    </w:lvl>
    <w:lvl w:ilvl="2">
      <w:start w:val="1"/>
      <w:numFmt w:val="lowerRoman"/>
      <w:lvlText w:val="%3)"/>
      <w:lvlJc w:val="left"/>
      <w:pPr>
        <w:ind w:left="1962" w:hanging="360"/>
      </w:pPr>
      <w:rPr>
        <w:rFonts w:cs="Times New Roman"/>
      </w:rPr>
    </w:lvl>
    <w:lvl w:ilvl="3">
      <w:start w:val="1"/>
      <w:numFmt w:val="decimal"/>
      <w:lvlText w:val="(%4)"/>
      <w:lvlJc w:val="left"/>
      <w:pPr>
        <w:ind w:left="2322" w:hanging="360"/>
      </w:pPr>
      <w:rPr>
        <w:rFonts w:cs="Times New Roman"/>
      </w:rPr>
    </w:lvl>
    <w:lvl w:ilvl="4">
      <w:start w:val="1"/>
      <w:numFmt w:val="lowerLetter"/>
      <w:lvlText w:val="(%5)"/>
      <w:lvlJc w:val="left"/>
      <w:pPr>
        <w:ind w:left="2682" w:hanging="360"/>
      </w:pPr>
      <w:rPr>
        <w:rFonts w:cs="Times New Roman"/>
      </w:rPr>
    </w:lvl>
    <w:lvl w:ilvl="5">
      <w:start w:val="1"/>
      <w:numFmt w:val="lowerRoman"/>
      <w:lvlText w:val="(%6)"/>
      <w:lvlJc w:val="left"/>
      <w:pPr>
        <w:ind w:left="3042" w:hanging="360"/>
      </w:pPr>
      <w:rPr>
        <w:rFonts w:cs="Times New Roman"/>
      </w:rPr>
    </w:lvl>
    <w:lvl w:ilvl="6">
      <w:start w:val="1"/>
      <w:numFmt w:val="decimal"/>
      <w:lvlText w:val="%7."/>
      <w:lvlJc w:val="left"/>
      <w:pPr>
        <w:ind w:left="3402" w:hanging="360"/>
      </w:pPr>
      <w:rPr>
        <w:rFonts w:cs="Times New Roman"/>
      </w:rPr>
    </w:lvl>
    <w:lvl w:ilvl="7">
      <w:start w:val="1"/>
      <w:numFmt w:val="lowerLetter"/>
      <w:lvlText w:val="%8."/>
      <w:lvlJc w:val="left"/>
      <w:pPr>
        <w:ind w:left="3762" w:hanging="360"/>
      </w:pPr>
      <w:rPr>
        <w:rFonts w:cs="Times New Roman"/>
      </w:rPr>
    </w:lvl>
    <w:lvl w:ilvl="8">
      <w:start w:val="1"/>
      <w:numFmt w:val="lowerRoman"/>
      <w:lvlText w:val="%9."/>
      <w:lvlJc w:val="left"/>
      <w:pPr>
        <w:ind w:left="4122" w:hanging="360"/>
      </w:pPr>
      <w:rPr>
        <w:rFonts w:cs="Times New Roman"/>
      </w:rPr>
    </w:lvl>
  </w:abstractNum>
  <w:abstractNum w:abstractNumId="26" w15:restartNumberingAfterBreak="0">
    <w:nsid w:val="11A05FD1"/>
    <w:multiLevelType w:val="hybridMultilevel"/>
    <w:tmpl w:val="56928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2492D71"/>
    <w:multiLevelType w:val="hybridMultilevel"/>
    <w:tmpl w:val="14E62920"/>
    <w:lvl w:ilvl="0" w:tplc="08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1260D540"/>
    <w:multiLevelType w:val="hybridMultilevel"/>
    <w:tmpl w:val="FFFFFFFF"/>
    <w:lvl w:ilvl="0" w:tplc="FE7CA66E">
      <w:start w:val="1"/>
      <w:numFmt w:val="bullet"/>
      <w:lvlText w:val=""/>
      <w:lvlJc w:val="left"/>
      <w:pPr>
        <w:ind w:left="720" w:hanging="360"/>
      </w:pPr>
      <w:rPr>
        <w:rFonts w:ascii="Symbol" w:hAnsi="Symbol" w:hint="default"/>
      </w:rPr>
    </w:lvl>
    <w:lvl w:ilvl="1" w:tplc="42A05DC6">
      <w:start w:val="1"/>
      <w:numFmt w:val="bullet"/>
      <w:lvlText w:val="o"/>
      <w:lvlJc w:val="left"/>
      <w:pPr>
        <w:ind w:left="1440" w:hanging="360"/>
      </w:pPr>
      <w:rPr>
        <w:rFonts w:ascii="Courier New" w:hAnsi="Courier New" w:hint="default"/>
      </w:rPr>
    </w:lvl>
    <w:lvl w:ilvl="2" w:tplc="F5AEB8E4">
      <w:start w:val="1"/>
      <w:numFmt w:val="bullet"/>
      <w:lvlText w:val=""/>
      <w:lvlJc w:val="left"/>
      <w:pPr>
        <w:ind w:left="2160" w:hanging="360"/>
      </w:pPr>
      <w:rPr>
        <w:rFonts w:ascii="Wingdings" w:hAnsi="Wingdings" w:hint="default"/>
      </w:rPr>
    </w:lvl>
    <w:lvl w:ilvl="3" w:tplc="84E231BE">
      <w:start w:val="1"/>
      <w:numFmt w:val="bullet"/>
      <w:lvlText w:val=""/>
      <w:lvlJc w:val="left"/>
      <w:pPr>
        <w:ind w:left="2880" w:hanging="360"/>
      </w:pPr>
      <w:rPr>
        <w:rFonts w:ascii="Symbol" w:hAnsi="Symbol" w:hint="default"/>
      </w:rPr>
    </w:lvl>
    <w:lvl w:ilvl="4" w:tplc="CCD2082E">
      <w:start w:val="1"/>
      <w:numFmt w:val="bullet"/>
      <w:lvlText w:val="o"/>
      <w:lvlJc w:val="left"/>
      <w:pPr>
        <w:ind w:left="3600" w:hanging="360"/>
      </w:pPr>
      <w:rPr>
        <w:rFonts w:ascii="Courier New" w:hAnsi="Courier New" w:hint="default"/>
      </w:rPr>
    </w:lvl>
    <w:lvl w:ilvl="5" w:tplc="3600F5CE">
      <w:start w:val="1"/>
      <w:numFmt w:val="bullet"/>
      <w:lvlText w:val=""/>
      <w:lvlJc w:val="left"/>
      <w:pPr>
        <w:ind w:left="4320" w:hanging="360"/>
      </w:pPr>
      <w:rPr>
        <w:rFonts w:ascii="Wingdings" w:hAnsi="Wingdings" w:hint="default"/>
      </w:rPr>
    </w:lvl>
    <w:lvl w:ilvl="6" w:tplc="6CE06A24">
      <w:start w:val="1"/>
      <w:numFmt w:val="bullet"/>
      <w:lvlText w:val=""/>
      <w:lvlJc w:val="left"/>
      <w:pPr>
        <w:ind w:left="5040" w:hanging="360"/>
      </w:pPr>
      <w:rPr>
        <w:rFonts w:ascii="Symbol" w:hAnsi="Symbol" w:hint="default"/>
      </w:rPr>
    </w:lvl>
    <w:lvl w:ilvl="7" w:tplc="7788FAD8">
      <w:start w:val="1"/>
      <w:numFmt w:val="bullet"/>
      <w:lvlText w:val="o"/>
      <w:lvlJc w:val="left"/>
      <w:pPr>
        <w:ind w:left="5760" w:hanging="360"/>
      </w:pPr>
      <w:rPr>
        <w:rFonts w:ascii="Courier New" w:hAnsi="Courier New" w:hint="default"/>
      </w:rPr>
    </w:lvl>
    <w:lvl w:ilvl="8" w:tplc="D562D142">
      <w:start w:val="1"/>
      <w:numFmt w:val="bullet"/>
      <w:lvlText w:val=""/>
      <w:lvlJc w:val="left"/>
      <w:pPr>
        <w:ind w:left="6480" w:hanging="360"/>
      </w:pPr>
      <w:rPr>
        <w:rFonts w:ascii="Wingdings" w:hAnsi="Wingdings" w:hint="default"/>
      </w:rPr>
    </w:lvl>
  </w:abstractNum>
  <w:abstractNum w:abstractNumId="29" w15:restartNumberingAfterBreak="0">
    <w:nsid w:val="126E487A"/>
    <w:multiLevelType w:val="hybridMultilevel"/>
    <w:tmpl w:val="5D1A2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3D87990"/>
    <w:multiLevelType w:val="hybridMultilevel"/>
    <w:tmpl w:val="570831F4"/>
    <w:lvl w:ilvl="0" w:tplc="FFFFFFFF">
      <w:numFmt w:val="bullet"/>
      <w:lvlText w:val="•"/>
      <w:lvlJc w:val="left"/>
      <w:pPr>
        <w:ind w:left="2160" w:hanging="360"/>
      </w:pPr>
      <w:rPr>
        <w:rFonts w:hint="default"/>
        <w:lang w:val="bs" w:eastAsia="en-US" w:bidi="ar-SA"/>
      </w:rPr>
    </w:lvl>
    <w:lvl w:ilvl="1" w:tplc="7258244E">
      <w:numFmt w:val="bullet"/>
      <w:lvlText w:val="•"/>
      <w:lvlJc w:val="left"/>
      <w:pPr>
        <w:ind w:left="2880" w:hanging="360"/>
      </w:pPr>
      <w:rPr>
        <w:rFonts w:hint="default"/>
        <w:lang w:val="bs" w:eastAsia="en-US" w:bidi="ar-SA"/>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1" w15:restartNumberingAfterBreak="0">
    <w:nsid w:val="14937EE6"/>
    <w:multiLevelType w:val="hybridMultilevel"/>
    <w:tmpl w:val="F0D825FA"/>
    <w:lvl w:ilvl="0" w:tplc="D0E2028C">
      <w:start w:val="1"/>
      <w:numFmt w:val="bullet"/>
      <w:pStyle w:val="Bullets"/>
      <w:lvlText w:val=""/>
      <w:lvlJc w:val="left"/>
      <w:pPr>
        <w:tabs>
          <w:tab w:val="num" w:pos="643"/>
        </w:tabs>
        <w:ind w:left="643" w:hanging="28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0D5255"/>
    <w:multiLevelType w:val="hybridMultilevel"/>
    <w:tmpl w:val="81503F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61A12E2"/>
    <w:multiLevelType w:val="hybridMultilevel"/>
    <w:tmpl w:val="2EAA9E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62F3F20"/>
    <w:multiLevelType w:val="hybridMultilevel"/>
    <w:tmpl w:val="FB241C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6F5742A"/>
    <w:multiLevelType w:val="hybridMultilevel"/>
    <w:tmpl w:val="86280F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17467BCE"/>
    <w:multiLevelType w:val="hybridMultilevel"/>
    <w:tmpl w:val="C76060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7623C7B"/>
    <w:multiLevelType w:val="hybridMultilevel"/>
    <w:tmpl w:val="18F84C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9824991"/>
    <w:multiLevelType w:val="hybridMultilevel"/>
    <w:tmpl w:val="FFFFFFFF"/>
    <w:lvl w:ilvl="0" w:tplc="041A0001">
      <w:start w:val="1"/>
      <w:numFmt w:val="bullet"/>
      <w:lvlText w:val=""/>
      <w:lvlJc w:val="left"/>
      <w:pPr>
        <w:ind w:left="1353" w:hanging="360"/>
      </w:pPr>
      <w:rPr>
        <w:rFonts w:ascii="Symbol" w:hAnsi="Symbol" w:hint="default"/>
      </w:rPr>
    </w:lvl>
    <w:lvl w:ilvl="1" w:tplc="041A0003" w:tentative="1">
      <w:start w:val="1"/>
      <w:numFmt w:val="bullet"/>
      <w:lvlText w:val="o"/>
      <w:lvlJc w:val="left"/>
      <w:pPr>
        <w:ind w:left="2073" w:hanging="360"/>
      </w:pPr>
      <w:rPr>
        <w:rFonts w:ascii="Courier New" w:hAnsi="Courier New" w:hint="default"/>
      </w:rPr>
    </w:lvl>
    <w:lvl w:ilvl="2" w:tplc="041A0005" w:tentative="1">
      <w:start w:val="1"/>
      <w:numFmt w:val="bullet"/>
      <w:lvlText w:val=""/>
      <w:lvlJc w:val="left"/>
      <w:pPr>
        <w:ind w:left="2793" w:hanging="360"/>
      </w:pPr>
      <w:rPr>
        <w:rFonts w:ascii="Wingdings" w:hAnsi="Wingdings" w:hint="default"/>
      </w:rPr>
    </w:lvl>
    <w:lvl w:ilvl="3" w:tplc="041A0001" w:tentative="1">
      <w:start w:val="1"/>
      <w:numFmt w:val="bullet"/>
      <w:lvlText w:val=""/>
      <w:lvlJc w:val="left"/>
      <w:pPr>
        <w:ind w:left="3513" w:hanging="360"/>
      </w:pPr>
      <w:rPr>
        <w:rFonts w:ascii="Symbol" w:hAnsi="Symbol" w:hint="default"/>
      </w:rPr>
    </w:lvl>
    <w:lvl w:ilvl="4" w:tplc="041A0003" w:tentative="1">
      <w:start w:val="1"/>
      <w:numFmt w:val="bullet"/>
      <w:lvlText w:val="o"/>
      <w:lvlJc w:val="left"/>
      <w:pPr>
        <w:ind w:left="4233" w:hanging="360"/>
      </w:pPr>
      <w:rPr>
        <w:rFonts w:ascii="Courier New" w:hAnsi="Courier New" w:hint="default"/>
      </w:rPr>
    </w:lvl>
    <w:lvl w:ilvl="5" w:tplc="041A0005" w:tentative="1">
      <w:start w:val="1"/>
      <w:numFmt w:val="bullet"/>
      <w:lvlText w:val=""/>
      <w:lvlJc w:val="left"/>
      <w:pPr>
        <w:ind w:left="4953" w:hanging="360"/>
      </w:pPr>
      <w:rPr>
        <w:rFonts w:ascii="Wingdings" w:hAnsi="Wingdings" w:hint="default"/>
      </w:rPr>
    </w:lvl>
    <w:lvl w:ilvl="6" w:tplc="041A0001" w:tentative="1">
      <w:start w:val="1"/>
      <w:numFmt w:val="bullet"/>
      <w:lvlText w:val=""/>
      <w:lvlJc w:val="left"/>
      <w:pPr>
        <w:ind w:left="5673" w:hanging="360"/>
      </w:pPr>
      <w:rPr>
        <w:rFonts w:ascii="Symbol" w:hAnsi="Symbol" w:hint="default"/>
      </w:rPr>
    </w:lvl>
    <w:lvl w:ilvl="7" w:tplc="041A0003" w:tentative="1">
      <w:start w:val="1"/>
      <w:numFmt w:val="bullet"/>
      <w:lvlText w:val="o"/>
      <w:lvlJc w:val="left"/>
      <w:pPr>
        <w:ind w:left="6393" w:hanging="360"/>
      </w:pPr>
      <w:rPr>
        <w:rFonts w:ascii="Courier New" w:hAnsi="Courier New" w:hint="default"/>
      </w:rPr>
    </w:lvl>
    <w:lvl w:ilvl="8" w:tplc="041A0005" w:tentative="1">
      <w:start w:val="1"/>
      <w:numFmt w:val="bullet"/>
      <w:lvlText w:val=""/>
      <w:lvlJc w:val="left"/>
      <w:pPr>
        <w:ind w:left="7113" w:hanging="360"/>
      </w:pPr>
      <w:rPr>
        <w:rFonts w:ascii="Wingdings" w:hAnsi="Wingdings" w:hint="default"/>
      </w:rPr>
    </w:lvl>
  </w:abstractNum>
  <w:abstractNum w:abstractNumId="39" w15:restartNumberingAfterBreak="0">
    <w:nsid w:val="19FA3759"/>
    <w:multiLevelType w:val="hybridMultilevel"/>
    <w:tmpl w:val="2E329F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A281A05"/>
    <w:multiLevelType w:val="hybridMultilevel"/>
    <w:tmpl w:val="C0C01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B1E0235"/>
    <w:multiLevelType w:val="hybridMultilevel"/>
    <w:tmpl w:val="C52499E8"/>
    <w:lvl w:ilvl="0" w:tplc="7258244E">
      <w:numFmt w:val="bullet"/>
      <w:lvlText w:val="•"/>
      <w:lvlJc w:val="left"/>
      <w:pPr>
        <w:ind w:left="2160" w:hanging="360"/>
      </w:pPr>
      <w:rPr>
        <w:rFonts w:hint="default"/>
        <w:lang w:val="bs" w:eastAsia="en-US" w:bidi="ar-SA"/>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1B6B0EA9"/>
    <w:multiLevelType w:val="hybridMultilevel"/>
    <w:tmpl w:val="FFFFFFFF"/>
    <w:lvl w:ilvl="0" w:tplc="0B2265FC">
      <w:numFmt w:val="bullet"/>
      <w:lvlText w:val="-"/>
      <w:lvlJc w:val="left"/>
      <w:pPr>
        <w:ind w:left="801" w:hanging="360"/>
      </w:pPr>
      <w:rPr>
        <w:rFonts w:ascii="Calibri" w:hAnsi="Calibri" w:hint="default"/>
        <w:color w:val="auto"/>
      </w:rPr>
    </w:lvl>
    <w:lvl w:ilvl="1" w:tplc="FFFFFFFF" w:tentative="1">
      <w:start w:val="1"/>
      <w:numFmt w:val="bullet"/>
      <w:lvlText w:val="o"/>
      <w:lvlJc w:val="left"/>
      <w:pPr>
        <w:ind w:left="1521" w:hanging="360"/>
      </w:pPr>
      <w:rPr>
        <w:rFonts w:ascii="Courier New" w:hAnsi="Courier New" w:hint="default"/>
      </w:rPr>
    </w:lvl>
    <w:lvl w:ilvl="2" w:tplc="FFFFFFFF" w:tentative="1">
      <w:start w:val="1"/>
      <w:numFmt w:val="bullet"/>
      <w:lvlText w:val=""/>
      <w:lvlJc w:val="left"/>
      <w:pPr>
        <w:ind w:left="2241" w:hanging="360"/>
      </w:pPr>
      <w:rPr>
        <w:rFonts w:ascii="Wingdings" w:hAnsi="Wingdings" w:hint="default"/>
      </w:rPr>
    </w:lvl>
    <w:lvl w:ilvl="3" w:tplc="FFFFFFFF" w:tentative="1">
      <w:start w:val="1"/>
      <w:numFmt w:val="bullet"/>
      <w:lvlText w:val=""/>
      <w:lvlJc w:val="left"/>
      <w:pPr>
        <w:ind w:left="2961" w:hanging="360"/>
      </w:pPr>
      <w:rPr>
        <w:rFonts w:ascii="Symbol" w:hAnsi="Symbol" w:hint="default"/>
      </w:rPr>
    </w:lvl>
    <w:lvl w:ilvl="4" w:tplc="FFFFFFFF" w:tentative="1">
      <w:start w:val="1"/>
      <w:numFmt w:val="bullet"/>
      <w:lvlText w:val="o"/>
      <w:lvlJc w:val="left"/>
      <w:pPr>
        <w:ind w:left="3681" w:hanging="360"/>
      </w:pPr>
      <w:rPr>
        <w:rFonts w:ascii="Courier New" w:hAnsi="Courier New" w:hint="default"/>
      </w:rPr>
    </w:lvl>
    <w:lvl w:ilvl="5" w:tplc="FFFFFFFF" w:tentative="1">
      <w:start w:val="1"/>
      <w:numFmt w:val="bullet"/>
      <w:lvlText w:val=""/>
      <w:lvlJc w:val="left"/>
      <w:pPr>
        <w:ind w:left="4401" w:hanging="360"/>
      </w:pPr>
      <w:rPr>
        <w:rFonts w:ascii="Wingdings" w:hAnsi="Wingdings" w:hint="default"/>
      </w:rPr>
    </w:lvl>
    <w:lvl w:ilvl="6" w:tplc="FFFFFFFF" w:tentative="1">
      <w:start w:val="1"/>
      <w:numFmt w:val="bullet"/>
      <w:lvlText w:val=""/>
      <w:lvlJc w:val="left"/>
      <w:pPr>
        <w:ind w:left="5121" w:hanging="360"/>
      </w:pPr>
      <w:rPr>
        <w:rFonts w:ascii="Symbol" w:hAnsi="Symbol" w:hint="default"/>
      </w:rPr>
    </w:lvl>
    <w:lvl w:ilvl="7" w:tplc="FFFFFFFF" w:tentative="1">
      <w:start w:val="1"/>
      <w:numFmt w:val="bullet"/>
      <w:lvlText w:val="o"/>
      <w:lvlJc w:val="left"/>
      <w:pPr>
        <w:ind w:left="5841" w:hanging="360"/>
      </w:pPr>
      <w:rPr>
        <w:rFonts w:ascii="Courier New" w:hAnsi="Courier New" w:hint="default"/>
      </w:rPr>
    </w:lvl>
    <w:lvl w:ilvl="8" w:tplc="FFFFFFFF" w:tentative="1">
      <w:start w:val="1"/>
      <w:numFmt w:val="bullet"/>
      <w:lvlText w:val=""/>
      <w:lvlJc w:val="left"/>
      <w:pPr>
        <w:ind w:left="6561" w:hanging="360"/>
      </w:pPr>
      <w:rPr>
        <w:rFonts w:ascii="Wingdings" w:hAnsi="Wingdings" w:hint="default"/>
      </w:rPr>
    </w:lvl>
  </w:abstractNum>
  <w:abstractNum w:abstractNumId="43" w15:restartNumberingAfterBreak="0">
    <w:nsid w:val="1BB100FE"/>
    <w:multiLevelType w:val="hybridMultilevel"/>
    <w:tmpl w:val="76CE2E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1BD02A4F"/>
    <w:multiLevelType w:val="hybridMultilevel"/>
    <w:tmpl w:val="AB28CD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CB74A35"/>
    <w:multiLevelType w:val="hybridMultilevel"/>
    <w:tmpl w:val="2F204C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1D237CDE"/>
    <w:multiLevelType w:val="hybridMultilevel"/>
    <w:tmpl w:val="6E1A67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1DD99569"/>
    <w:multiLevelType w:val="hybridMultilevel"/>
    <w:tmpl w:val="FFFFFFFF"/>
    <w:lvl w:ilvl="0" w:tplc="E0A80D40">
      <w:start w:val="1"/>
      <w:numFmt w:val="bullet"/>
      <w:lvlText w:val=""/>
      <w:lvlJc w:val="left"/>
      <w:pPr>
        <w:ind w:left="720" w:hanging="360"/>
      </w:pPr>
      <w:rPr>
        <w:rFonts w:ascii="Symbol" w:hAnsi="Symbol" w:hint="default"/>
      </w:rPr>
    </w:lvl>
    <w:lvl w:ilvl="1" w:tplc="B440794A">
      <w:start w:val="1"/>
      <w:numFmt w:val="bullet"/>
      <w:lvlText w:val="o"/>
      <w:lvlJc w:val="left"/>
      <w:pPr>
        <w:ind w:left="1440" w:hanging="360"/>
      </w:pPr>
      <w:rPr>
        <w:rFonts w:ascii="Courier New" w:hAnsi="Courier New" w:hint="default"/>
      </w:rPr>
    </w:lvl>
    <w:lvl w:ilvl="2" w:tplc="7D36FEDE">
      <w:start w:val="1"/>
      <w:numFmt w:val="bullet"/>
      <w:lvlText w:val=""/>
      <w:lvlJc w:val="left"/>
      <w:pPr>
        <w:ind w:left="2160" w:hanging="360"/>
      </w:pPr>
      <w:rPr>
        <w:rFonts w:ascii="Wingdings" w:hAnsi="Wingdings" w:hint="default"/>
      </w:rPr>
    </w:lvl>
    <w:lvl w:ilvl="3" w:tplc="57D297D8">
      <w:start w:val="1"/>
      <w:numFmt w:val="bullet"/>
      <w:lvlText w:val=""/>
      <w:lvlJc w:val="left"/>
      <w:pPr>
        <w:ind w:left="2880" w:hanging="360"/>
      </w:pPr>
      <w:rPr>
        <w:rFonts w:ascii="Symbol" w:hAnsi="Symbol" w:hint="default"/>
      </w:rPr>
    </w:lvl>
    <w:lvl w:ilvl="4" w:tplc="AB2ADFD2">
      <w:start w:val="1"/>
      <w:numFmt w:val="bullet"/>
      <w:lvlText w:val="o"/>
      <w:lvlJc w:val="left"/>
      <w:pPr>
        <w:ind w:left="3600" w:hanging="360"/>
      </w:pPr>
      <w:rPr>
        <w:rFonts w:ascii="Courier New" w:hAnsi="Courier New" w:hint="default"/>
      </w:rPr>
    </w:lvl>
    <w:lvl w:ilvl="5" w:tplc="F7CE4474">
      <w:start w:val="1"/>
      <w:numFmt w:val="bullet"/>
      <w:lvlText w:val=""/>
      <w:lvlJc w:val="left"/>
      <w:pPr>
        <w:ind w:left="4320" w:hanging="360"/>
      </w:pPr>
      <w:rPr>
        <w:rFonts w:ascii="Wingdings" w:hAnsi="Wingdings" w:hint="default"/>
      </w:rPr>
    </w:lvl>
    <w:lvl w:ilvl="6" w:tplc="96BADC0A">
      <w:start w:val="1"/>
      <w:numFmt w:val="bullet"/>
      <w:lvlText w:val=""/>
      <w:lvlJc w:val="left"/>
      <w:pPr>
        <w:ind w:left="5040" w:hanging="360"/>
      </w:pPr>
      <w:rPr>
        <w:rFonts w:ascii="Symbol" w:hAnsi="Symbol" w:hint="default"/>
      </w:rPr>
    </w:lvl>
    <w:lvl w:ilvl="7" w:tplc="08F4FD14">
      <w:start w:val="1"/>
      <w:numFmt w:val="bullet"/>
      <w:lvlText w:val="o"/>
      <w:lvlJc w:val="left"/>
      <w:pPr>
        <w:ind w:left="5760" w:hanging="360"/>
      </w:pPr>
      <w:rPr>
        <w:rFonts w:ascii="Courier New" w:hAnsi="Courier New" w:hint="default"/>
      </w:rPr>
    </w:lvl>
    <w:lvl w:ilvl="8" w:tplc="A4ACF346">
      <w:start w:val="1"/>
      <w:numFmt w:val="bullet"/>
      <w:lvlText w:val=""/>
      <w:lvlJc w:val="left"/>
      <w:pPr>
        <w:ind w:left="6480" w:hanging="360"/>
      </w:pPr>
      <w:rPr>
        <w:rFonts w:ascii="Wingdings" w:hAnsi="Wingdings" w:hint="default"/>
      </w:rPr>
    </w:lvl>
  </w:abstractNum>
  <w:abstractNum w:abstractNumId="48" w15:restartNumberingAfterBreak="0">
    <w:nsid w:val="1F024A35"/>
    <w:multiLevelType w:val="hybridMultilevel"/>
    <w:tmpl w:val="1A708AEC"/>
    <w:lvl w:ilvl="0" w:tplc="0B5C477A">
      <w:numFmt w:val="bullet"/>
      <w:lvlText w:val="-"/>
      <w:lvlJc w:val="left"/>
      <w:pPr>
        <w:ind w:left="720" w:hanging="360"/>
      </w:pPr>
      <w:rPr>
        <w:rFonts w:ascii="Calibri" w:eastAsia="Calibri" w:hAnsi="Calibri" w:cs="Calibri" w:hint="default"/>
        <w:b w:val="0"/>
        <w:bCs w:val="0"/>
        <w:i w:val="0"/>
        <w:iCs w:val="0"/>
        <w:w w:val="100"/>
        <w:sz w:val="22"/>
        <w:szCs w:val="22"/>
        <w:lang w:val="b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F1C3AC1"/>
    <w:multiLevelType w:val="hybridMultilevel"/>
    <w:tmpl w:val="9A7AC7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1FAD65B6"/>
    <w:multiLevelType w:val="hybridMultilevel"/>
    <w:tmpl w:val="A02C5E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69"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FBF22FE"/>
    <w:multiLevelType w:val="hybridMultilevel"/>
    <w:tmpl w:val="68DE9A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18C2CEC"/>
    <w:multiLevelType w:val="hybridMultilevel"/>
    <w:tmpl w:val="167A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19513FF"/>
    <w:multiLevelType w:val="hybridMultilevel"/>
    <w:tmpl w:val="984038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23290ECA"/>
    <w:multiLevelType w:val="hybridMultilevel"/>
    <w:tmpl w:val="40B2380E"/>
    <w:lvl w:ilvl="0" w:tplc="041A0001">
      <w:start w:val="1"/>
      <w:numFmt w:val="bullet"/>
      <w:lvlText w:val=""/>
      <w:lvlJc w:val="left"/>
      <w:pPr>
        <w:ind w:left="720" w:hanging="360"/>
      </w:pPr>
      <w:rPr>
        <w:rFonts w:ascii="Symbol" w:hAnsi="Symbol" w:hint="default"/>
      </w:rPr>
    </w:lvl>
    <w:lvl w:ilvl="1" w:tplc="C9D802BE">
      <w:start w:val="4"/>
      <w:numFmt w:val="bullet"/>
      <w:lvlText w:val="-"/>
      <w:lvlJc w:val="left"/>
      <w:pPr>
        <w:ind w:left="1440" w:hanging="360"/>
      </w:pPr>
      <w:rPr>
        <w:rFonts w:ascii="Calibri" w:eastAsia="Calibri" w:hAnsi="Calibri" w:cs="Calibri"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5" w15:restartNumberingAfterBreak="0">
    <w:nsid w:val="247A2165"/>
    <w:multiLevelType w:val="hybridMultilevel"/>
    <w:tmpl w:val="B4D4C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47D0DE2"/>
    <w:multiLevelType w:val="hybridMultilevel"/>
    <w:tmpl w:val="A9D61DDA"/>
    <w:lvl w:ilvl="0" w:tplc="BDB45C00">
      <w:start w:val="1"/>
      <w:numFmt w:val="decimal"/>
      <w:lvlText w:val="%1."/>
      <w:lvlJc w:val="left"/>
      <w:pPr>
        <w:ind w:left="720" w:hanging="360"/>
      </w:pPr>
    </w:lvl>
    <w:lvl w:ilvl="1" w:tplc="F2EA99E0">
      <w:start w:val="1"/>
      <w:numFmt w:val="decimal"/>
      <w:lvlText w:val="%2."/>
      <w:lvlJc w:val="left"/>
      <w:pPr>
        <w:ind w:left="720" w:hanging="360"/>
      </w:pPr>
    </w:lvl>
    <w:lvl w:ilvl="2" w:tplc="CA98D55C">
      <w:start w:val="1"/>
      <w:numFmt w:val="decimal"/>
      <w:lvlText w:val="%3."/>
      <w:lvlJc w:val="left"/>
      <w:pPr>
        <w:ind w:left="720" w:hanging="360"/>
      </w:pPr>
    </w:lvl>
    <w:lvl w:ilvl="3" w:tplc="D7B24A00">
      <w:start w:val="1"/>
      <w:numFmt w:val="decimal"/>
      <w:lvlText w:val="%4."/>
      <w:lvlJc w:val="left"/>
      <w:pPr>
        <w:ind w:left="720" w:hanging="360"/>
      </w:pPr>
    </w:lvl>
    <w:lvl w:ilvl="4" w:tplc="56A69332">
      <w:start w:val="1"/>
      <w:numFmt w:val="decimal"/>
      <w:lvlText w:val="%5."/>
      <w:lvlJc w:val="left"/>
      <w:pPr>
        <w:ind w:left="720" w:hanging="360"/>
      </w:pPr>
    </w:lvl>
    <w:lvl w:ilvl="5" w:tplc="5EEAB182">
      <w:start w:val="1"/>
      <w:numFmt w:val="decimal"/>
      <w:lvlText w:val="%6."/>
      <w:lvlJc w:val="left"/>
      <w:pPr>
        <w:ind w:left="720" w:hanging="360"/>
      </w:pPr>
    </w:lvl>
    <w:lvl w:ilvl="6" w:tplc="6C16DF0E">
      <w:start w:val="1"/>
      <w:numFmt w:val="decimal"/>
      <w:lvlText w:val="%7."/>
      <w:lvlJc w:val="left"/>
      <w:pPr>
        <w:ind w:left="720" w:hanging="360"/>
      </w:pPr>
    </w:lvl>
    <w:lvl w:ilvl="7" w:tplc="E11C9C10">
      <w:start w:val="1"/>
      <w:numFmt w:val="decimal"/>
      <w:lvlText w:val="%8."/>
      <w:lvlJc w:val="left"/>
      <w:pPr>
        <w:ind w:left="720" w:hanging="360"/>
      </w:pPr>
    </w:lvl>
    <w:lvl w:ilvl="8" w:tplc="87C89354">
      <w:start w:val="1"/>
      <w:numFmt w:val="decimal"/>
      <w:lvlText w:val="%9."/>
      <w:lvlJc w:val="left"/>
      <w:pPr>
        <w:ind w:left="720" w:hanging="360"/>
      </w:pPr>
    </w:lvl>
  </w:abstractNum>
  <w:abstractNum w:abstractNumId="57" w15:restartNumberingAfterBreak="0">
    <w:nsid w:val="25363BBF"/>
    <w:multiLevelType w:val="hybridMultilevel"/>
    <w:tmpl w:val="FFFFFFFF"/>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25FE4560"/>
    <w:multiLevelType w:val="multilevel"/>
    <w:tmpl w:val="C21C2CEA"/>
    <w:lvl w:ilvl="0">
      <w:start w:val="1"/>
      <w:numFmt w:val="decimal"/>
      <w:pStyle w:val="ListBullet5"/>
      <w:lvlText w:val="%1"/>
      <w:lvlJc w:val="left"/>
      <w:pPr>
        <w:tabs>
          <w:tab w:val="num" w:pos="255"/>
        </w:tabs>
        <w:ind w:left="0" w:firstLine="0"/>
      </w:pPr>
      <w:rPr>
        <w:rFonts w:ascii="Myriad Pro Cond" w:hAnsi="Myriad Pro Cond" w:cs="Myriad Pro Cond" w:hint="default"/>
        <w:spacing w:val="0"/>
        <w:w w:val="100"/>
        <w:kern w:val="16"/>
        <w:position w:val="0"/>
        <w:sz w:val="144"/>
        <w:szCs w:val="144"/>
      </w:rPr>
    </w:lvl>
    <w:lvl w:ilvl="1">
      <w:start w:val="1"/>
      <w:numFmt w:val="decimal"/>
      <w:lvlRestart w:val="0"/>
      <w:lvlText w:val="%1.%2"/>
      <w:lvlJc w:val="left"/>
      <w:pPr>
        <w:tabs>
          <w:tab w:val="num" w:pos="-339"/>
        </w:tabs>
        <w:ind w:left="5160" w:hanging="4196"/>
      </w:pPr>
      <w:rPr>
        <w:rFonts w:hint="default"/>
      </w:rPr>
    </w:lvl>
    <w:lvl w:ilvl="2">
      <w:start w:val="1"/>
      <w:numFmt w:val="decimal"/>
      <w:lvlRestart w:val="0"/>
      <w:lvlText w:val="%1.%2.%3"/>
      <w:lvlJc w:val="left"/>
      <w:pPr>
        <w:tabs>
          <w:tab w:val="num" w:pos="-339"/>
        </w:tabs>
        <w:ind w:left="-339" w:hanging="851"/>
      </w:pPr>
      <w:rPr>
        <w:rFonts w:hint="default"/>
      </w:rPr>
    </w:lvl>
    <w:lvl w:ilvl="3">
      <w:start w:val="1"/>
      <w:numFmt w:val="decimal"/>
      <w:lvlText w:val="%1.%2.%3.%4"/>
      <w:lvlJc w:val="left"/>
      <w:pPr>
        <w:tabs>
          <w:tab w:val="num" w:pos="331"/>
        </w:tabs>
        <w:ind w:left="330" w:hanging="850"/>
      </w:pPr>
      <w:rPr>
        <w:rFonts w:hint="default"/>
      </w:rPr>
    </w:lvl>
    <w:lvl w:ilvl="4">
      <w:start w:val="1"/>
      <w:numFmt w:val="decimal"/>
      <w:lvlText w:val="%1.%2.%3.%4.%5"/>
      <w:lvlJc w:val="left"/>
      <w:pPr>
        <w:tabs>
          <w:tab w:val="num" w:pos="488"/>
        </w:tabs>
        <w:ind w:left="488" w:hanging="1008"/>
      </w:pPr>
      <w:rPr>
        <w:rFonts w:hint="default"/>
      </w:rPr>
    </w:lvl>
    <w:lvl w:ilvl="5">
      <w:start w:val="1"/>
      <w:numFmt w:val="decimal"/>
      <w:lvlText w:val="%1.%2.%3.%4.%5.%6"/>
      <w:lvlJc w:val="left"/>
      <w:pPr>
        <w:tabs>
          <w:tab w:val="num" w:pos="632"/>
        </w:tabs>
        <w:ind w:left="632" w:hanging="1152"/>
      </w:pPr>
      <w:rPr>
        <w:rFonts w:hint="default"/>
      </w:rPr>
    </w:lvl>
    <w:lvl w:ilvl="6">
      <w:start w:val="1"/>
      <w:numFmt w:val="decimal"/>
      <w:lvlText w:val="%1.%2.%3.%4.%5.%6.%7"/>
      <w:lvlJc w:val="left"/>
      <w:pPr>
        <w:tabs>
          <w:tab w:val="num" w:pos="776"/>
        </w:tabs>
        <w:ind w:left="776" w:hanging="1296"/>
      </w:pPr>
      <w:rPr>
        <w:rFonts w:hint="default"/>
      </w:rPr>
    </w:lvl>
    <w:lvl w:ilvl="7">
      <w:start w:val="1"/>
      <w:numFmt w:val="decimal"/>
      <w:lvlText w:val="%1.%2.%3.%4.%5.%6.%7.%8"/>
      <w:lvlJc w:val="left"/>
      <w:pPr>
        <w:tabs>
          <w:tab w:val="num" w:pos="920"/>
        </w:tabs>
        <w:ind w:left="920" w:hanging="1440"/>
      </w:pPr>
      <w:rPr>
        <w:rFonts w:hint="default"/>
      </w:rPr>
    </w:lvl>
    <w:lvl w:ilvl="8">
      <w:start w:val="1"/>
      <w:numFmt w:val="decimal"/>
      <w:lvlText w:val="%1.%2.%3.%4.%5.%6.%7.%8.%9"/>
      <w:lvlJc w:val="left"/>
      <w:pPr>
        <w:tabs>
          <w:tab w:val="num" w:pos="1064"/>
        </w:tabs>
        <w:ind w:left="1064" w:hanging="1584"/>
      </w:pPr>
      <w:rPr>
        <w:rFonts w:hint="default"/>
      </w:rPr>
    </w:lvl>
  </w:abstractNum>
  <w:abstractNum w:abstractNumId="59" w15:restartNumberingAfterBreak="0">
    <w:nsid w:val="26954C02"/>
    <w:multiLevelType w:val="hybridMultilevel"/>
    <w:tmpl w:val="FFFFFFFF"/>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8B8653A"/>
    <w:multiLevelType w:val="hybridMultilevel"/>
    <w:tmpl w:val="DDAA72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90D0DA0"/>
    <w:multiLevelType w:val="hybridMultilevel"/>
    <w:tmpl w:val="16F649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936474D"/>
    <w:multiLevelType w:val="hybridMultilevel"/>
    <w:tmpl w:val="555048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3" w15:restartNumberingAfterBreak="0">
    <w:nsid w:val="2A89734B"/>
    <w:multiLevelType w:val="hybridMultilevel"/>
    <w:tmpl w:val="85CA2406"/>
    <w:lvl w:ilvl="0" w:tplc="11625C32">
      <w:numFmt w:val="bullet"/>
      <w:lvlText w:val="-"/>
      <w:lvlJc w:val="left"/>
      <w:pPr>
        <w:ind w:left="1065" w:hanging="360"/>
      </w:pPr>
      <w:rPr>
        <w:rFonts w:ascii="Calibri" w:eastAsiaTheme="minorHAnsi" w:hAnsi="Calibri" w:cs="Calibri"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64" w15:restartNumberingAfterBreak="0">
    <w:nsid w:val="2AFA6203"/>
    <w:multiLevelType w:val="hybridMultilevel"/>
    <w:tmpl w:val="C4D4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B8A19C3"/>
    <w:multiLevelType w:val="multilevel"/>
    <w:tmpl w:val="7E3078CA"/>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lowerRoman"/>
      <w:pStyle w:val="Heading4"/>
      <w:lvlText w:val="%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6" w15:restartNumberingAfterBreak="0">
    <w:nsid w:val="2B940249"/>
    <w:multiLevelType w:val="hybridMultilevel"/>
    <w:tmpl w:val="FFFFFFFF"/>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7" w15:restartNumberingAfterBreak="0">
    <w:nsid w:val="2C8A6090"/>
    <w:multiLevelType w:val="hybridMultilevel"/>
    <w:tmpl w:val="9DFA15BE"/>
    <w:lvl w:ilvl="0" w:tplc="A2400218">
      <w:start w:val="1"/>
      <w:numFmt w:val="bullet"/>
      <w:lvlText w:val="-"/>
      <w:lvlJc w:val="left"/>
      <w:pPr>
        <w:tabs>
          <w:tab w:val="num" w:pos="720"/>
        </w:tabs>
        <w:ind w:left="720" w:hanging="360"/>
      </w:pPr>
      <w:rPr>
        <w:rFonts w:ascii="Times New Roman" w:hAnsi="Times New Roman" w:hint="default"/>
      </w:rPr>
    </w:lvl>
    <w:lvl w:ilvl="1" w:tplc="9E9671B2" w:tentative="1">
      <w:start w:val="1"/>
      <w:numFmt w:val="bullet"/>
      <w:lvlText w:val="-"/>
      <w:lvlJc w:val="left"/>
      <w:pPr>
        <w:tabs>
          <w:tab w:val="num" w:pos="1440"/>
        </w:tabs>
        <w:ind w:left="1440" w:hanging="360"/>
      </w:pPr>
      <w:rPr>
        <w:rFonts w:ascii="Times New Roman" w:hAnsi="Times New Roman" w:hint="default"/>
      </w:rPr>
    </w:lvl>
    <w:lvl w:ilvl="2" w:tplc="4180608A" w:tentative="1">
      <w:start w:val="1"/>
      <w:numFmt w:val="bullet"/>
      <w:lvlText w:val="-"/>
      <w:lvlJc w:val="left"/>
      <w:pPr>
        <w:tabs>
          <w:tab w:val="num" w:pos="2160"/>
        </w:tabs>
        <w:ind w:left="2160" w:hanging="360"/>
      </w:pPr>
      <w:rPr>
        <w:rFonts w:ascii="Times New Roman" w:hAnsi="Times New Roman" w:hint="default"/>
      </w:rPr>
    </w:lvl>
    <w:lvl w:ilvl="3" w:tplc="0688D4F4" w:tentative="1">
      <w:start w:val="1"/>
      <w:numFmt w:val="bullet"/>
      <w:lvlText w:val="-"/>
      <w:lvlJc w:val="left"/>
      <w:pPr>
        <w:tabs>
          <w:tab w:val="num" w:pos="2880"/>
        </w:tabs>
        <w:ind w:left="2880" w:hanging="360"/>
      </w:pPr>
      <w:rPr>
        <w:rFonts w:ascii="Times New Roman" w:hAnsi="Times New Roman" w:hint="default"/>
      </w:rPr>
    </w:lvl>
    <w:lvl w:ilvl="4" w:tplc="15165E5E" w:tentative="1">
      <w:start w:val="1"/>
      <w:numFmt w:val="bullet"/>
      <w:lvlText w:val="-"/>
      <w:lvlJc w:val="left"/>
      <w:pPr>
        <w:tabs>
          <w:tab w:val="num" w:pos="3600"/>
        </w:tabs>
        <w:ind w:left="3600" w:hanging="360"/>
      </w:pPr>
      <w:rPr>
        <w:rFonts w:ascii="Times New Roman" w:hAnsi="Times New Roman" w:hint="default"/>
      </w:rPr>
    </w:lvl>
    <w:lvl w:ilvl="5" w:tplc="C2A25154" w:tentative="1">
      <w:start w:val="1"/>
      <w:numFmt w:val="bullet"/>
      <w:lvlText w:val="-"/>
      <w:lvlJc w:val="left"/>
      <w:pPr>
        <w:tabs>
          <w:tab w:val="num" w:pos="4320"/>
        </w:tabs>
        <w:ind w:left="4320" w:hanging="360"/>
      </w:pPr>
      <w:rPr>
        <w:rFonts w:ascii="Times New Roman" w:hAnsi="Times New Roman" w:hint="default"/>
      </w:rPr>
    </w:lvl>
    <w:lvl w:ilvl="6" w:tplc="81A63AA4" w:tentative="1">
      <w:start w:val="1"/>
      <w:numFmt w:val="bullet"/>
      <w:lvlText w:val="-"/>
      <w:lvlJc w:val="left"/>
      <w:pPr>
        <w:tabs>
          <w:tab w:val="num" w:pos="5040"/>
        </w:tabs>
        <w:ind w:left="5040" w:hanging="360"/>
      </w:pPr>
      <w:rPr>
        <w:rFonts w:ascii="Times New Roman" w:hAnsi="Times New Roman" w:hint="default"/>
      </w:rPr>
    </w:lvl>
    <w:lvl w:ilvl="7" w:tplc="3864CF9E" w:tentative="1">
      <w:start w:val="1"/>
      <w:numFmt w:val="bullet"/>
      <w:lvlText w:val="-"/>
      <w:lvlJc w:val="left"/>
      <w:pPr>
        <w:tabs>
          <w:tab w:val="num" w:pos="5760"/>
        </w:tabs>
        <w:ind w:left="5760" w:hanging="360"/>
      </w:pPr>
      <w:rPr>
        <w:rFonts w:ascii="Times New Roman" w:hAnsi="Times New Roman" w:hint="default"/>
      </w:rPr>
    </w:lvl>
    <w:lvl w:ilvl="8" w:tplc="79D8C04E"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2DD73A97"/>
    <w:multiLevelType w:val="hybridMultilevel"/>
    <w:tmpl w:val="0B5655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2E203813"/>
    <w:multiLevelType w:val="hybridMultilevel"/>
    <w:tmpl w:val="E6EA617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0" w15:restartNumberingAfterBreak="0">
    <w:nsid w:val="2F1460DE"/>
    <w:multiLevelType w:val="hybridMultilevel"/>
    <w:tmpl w:val="DEACF99A"/>
    <w:lvl w:ilvl="0" w:tplc="0B5C477A">
      <w:numFmt w:val="bullet"/>
      <w:lvlText w:val="-"/>
      <w:lvlJc w:val="left"/>
      <w:pPr>
        <w:ind w:left="878" w:hanging="360"/>
      </w:pPr>
      <w:rPr>
        <w:rFonts w:ascii="Calibri" w:eastAsia="Calibri" w:hAnsi="Calibri" w:cs="Calibri" w:hint="default"/>
        <w:b w:val="0"/>
        <w:bCs w:val="0"/>
        <w:i w:val="0"/>
        <w:iCs w:val="0"/>
        <w:w w:val="100"/>
        <w:sz w:val="22"/>
        <w:szCs w:val="22"/>
        <w:lang w:val="b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F3A7C30"/>
    <w:multiLevelType w:val="hybridMultilevel"/>
    <w:tmpl w:val="72D02554"/>
    <w:lvl w:ilvl="0" w:tplc="041A000F">
      <w:start w:val="1"/>
      <w:numFmt w:val="decimal"/>
      <w:lvlText w:val="%1."/>
      <w:lvlJc w:val="left"/>
      <w:pPr>
        <w:ind w:left="1440" w:hanging="360"/>
      </w:pPr>
    </w:lvl>
    <w:lvl w:ilvl="1" w:tplc="51742EEC">
      <w:start w:val="6"/>
      <w:numFmt w:val="bullet"/>
      <w:lvlText w:val="-"/>
      <w:lvlJc w:val="left"/>
      <w:pPr>
        <w:ind w:left="2160" w:hanging="360"/>
      </w:pPr>
      <w:rPr>
        <w:rFonts w:ascii="Calibri" w:eastAsia="Calibri" w:hAnsi="Calibri" w:cs="Calibri" w:hint="default"/>
      </w:rPr>
    </w:lvl>
    <w:lvl w:ilvl="2" w:tplc="041A001B">
      <w:start w:val="1"/>
      <w:numFmt w:val="lowerRoman"/>
      <w:lvlText w:val="%3."/>
      <w:lvlJc w:val="right"/>
      <w:pPr>
        <w:ind w:left="2880" w:hanging="180"/>
      </w:pPr>
    </w:lvl>
    <w:lvl w:ilvl="3" w:tplc="041A000F">
      <w:start w:val="1"/>
      <w:numFmt w:val="decimal"/>
      <w:lvlText w:val="%4."/>
      <w:lvlJc w:val="left"/>
      <w:pPr>
        <w:ind w:left="3600" w:hanging="360"/>
      </w:pPr>
    </w:lvl>
    <w:lvl w:ilvl="4" w:tplc="041A0019">
      <w:start w:val="1"/>
      <w:numFmt w:val="lowerLetter"/>
      <w:lvlText w:val="%5."/>
      <w:lvlJc w:val="left"/>
      <w:pPr>
        <w:ind w:left="4320" w:hanging="360"/>
      </w:pPr>
    </w:lvl>
    <w:lvl w:ilvl="5" w:tplc="041A001B">
      <w:start w:val="1"/>
      <w:numFmt w:val="lowerRoman"/>
      <w:lvlText w:val="%6."/>
      <w:lvlJc w:val="right"/>
      <w:pPr>
        <w:ind w:left="5040" w:hanging="180"/>
      </w:pPr>
    </w:lvl>
    <w:lvl w:ilvl="6" w:tplc="041A000F">
      <w:start w:val="1"/>
      <w:numFmt w:val="decimal"/>
      <w:lvlText w:val="%7."/>
      <w:lvlJc w:val="left"/>
      <w:pPr>
        <w:ind w:left="5760" w:hanging="360"/>
      </w:pPr>
    </w:lvl>
    <w:lvl w:ilvl="7" w:tplc="041A0019">
      <w:start w:val="1"/>
      <w:numFmt w:val="lowerLetter"/>
      <w:lvlText w:val="%8."/>
      <w:lvlJc w:val="left"/>
      <w:pPr>
        <w:ind w:left="6480" w:hanging="360"/>
      </w:pPr>
    </w:lvl>
    <w:lvl w:ilvl="8" w:tplc="041A001B">
      <w:start w:val="1"/>
      <w:numFmt w:val="lowerRoman"/>
      <w:lvlText w:val="%9."/>
      <w:lvlJc w:val="right"/>
      <w:pPr>
        <w:ind w:left="7200" w:hanging="180"/>
      </w:pPr>
    </w:lvl>
  </w:abstractNum>
  <w:abstractNum w:abstractNumId="72" w15:restartNumberingAfterBreak="0">
    <w:nsid w:val="2FEA5B53"/>
    <w:multiLevelType w:val="hybridMultilevel"/>
    <w:tmpl w:val="87BA68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03F1206"/>
    <w:multiLevelType w:val="hybridMultilevel"/>
    <w:tmpl w:val="45C28192"/>
    <w:lvl w:ilvl="0" w:tplc="041A0001">
      <w:start w:val="1"/>
      <w:numFmt w:val="bullet"/>
      <w:lvlText w:val=""/>
      <w:lvlJc w:val="left"/>
      <w:pPr>
        <w:ind w:left="720" w:hanging="360"/>
      </w:pPr>
      <w:rPr>
        <w:rFonts w:ascii="Symbol" w:hAnsi="Symbol" w:hint="default"/>
      </w:rPr>
    </w:lvl>
    <w:lvl w:ilvl="1" w:tplc="AE7E9674">
      <w:start w:val="1"/>
      <w:numFmt w:val="bullet"/>
      <w:lvlText w:val="-"/>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4" w15:restartNumberingAfterBreak="0">
    <w:nsid w:val="312101BE"/>
    <w:multiLevelType w:val="hybridMultilevel"/>
    <w:tmpl w:val="ECD2DC06"/>
    <w:lvl w:ilvl="0" w:tplc="041A0001">
      <w:start w:val="1"/>
      <w:numFmt w:val="bullet"/>
      <w:lvlText w:val=""/>
      <w:lvlJc w:val="left"/>
      <w:pPr>
        <w:ind w:left="1077" w:hanging="360"/>
      </w:pPr>
      <w:rPr>
        <w:rFonts w:ascii="Symbol" w:hAnsi="Symbol"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75" w15:restartNumberingAfterBreak="0">
    <w:nsid w:val="31250EC5"/>
    <w:multiLevelType w:val="hybridMultilevel"/>
    <w:tmpl w:val="FFFFFFFF"/>
    <w:lvl w:ilvl="0" w:tplc="041A0001">
      <w:start w:val="1"/>
      <w:numFmt w:val="bullet"/>
      <w:lvlText w:val=""/>
      <w:lvlJc w:val="left"/>
      <w:pPr>
        <w:ind w:left="1389" w:hanging="360"/>
      </w:pPr>
      <w:rPr>
        <w:rFonts w:ascii="Symbol" w:hAnsi="Symbol" w:hint="default"/>
      </w:rPr>
    </w:lvl>
    <w:lvl w:ilvl="1" w:tplc="041A0003">
      <w:start w:val="1"/>
      <w:numFmt w:val="bullet"/>
      <w:lvlText w:val="o"/>
      <w:lvlJc w:val="left"/>
      <w:pPr>
        <w:ind w:left="2109" w:hanging="360"/>
      </w:pPr>
      <w:rPr>
        <w:rFonts w:ascii="Courier New" w:hAnsi="Courier New" w:hint="default"/>
      </w:rPr>
    </w:lvl>
    <w:lvl w:ilvl="2" w:tplc="041A0005" w:tentative="1">
      <w:start w:val="1"/>
      <w:numFmt w:val="bullet"/>
      <w:lvlText w:val=""/>
      <w:lvlJc w:val="left"/>
      <w:pPr>
        <w:ind w:left="2829" w:hanging="360"/>
      </w:pPr>
      <w:rPr>
        <w:rFonts w:ascii="Wingdings" w:hAnsi="Wingdings" w:hint="default"/>
      </w:rPr>
    </w:lvl>
    <w:lvl w:ilvl="3" w:tplc="041A0001" w:tentative="1">
      <w:start w:val="1"/>
      <w:numFmt w:val="bullet"/>
      <w:lvlText w:val=""/>
      <w:lvlJc w:val="left"/>
      <w:pPr>
        <w:ind w:left="3549" w:hanging="360"/>
      </w:pPr>
      <w:rPr>
        <w:rFonts w:ascii="Symbol" w:hAnsi="Symbol" w:hint="default"/>
      </w:rPr>
    </w:lvl>
    <w:lvl w:ilvl="4" w:tplc="041A0003" w:tentative="1">
      <w:start w:val="1"/>
      <w:numFmt w:val="bullet"/>
      <w:lvlText w:val="o"/>
      <w:lvlJc w:val="left"/>
      <w:pPr>
        <w:ind w:left="4269" w:hanging="360"/>
      </w:pPr>
      <w:rPr>
        <w:rFonts w:ascii="Courier New" w:hAnsi="Courier New" w:hint="default"/>
      </w:rPr>
    </w:lvl>
    <w:lvl w:ilvl="5" w:tplc="041A0005" w:tentative="1">
      <w:start w:val="1"/>
      <w:numFmt w:val="bullet"/>
      <w:lvlText w:val=""/>
      <w:lvlJc w:val="left"/>
      <w:pPr>
        <w:ind w:left="4989" w:hanging="360"/>
      </w:pPr>
      <w:rPr>
        <w:rFonts w:ascii="Wingdings" w:hAnsi="Wingdings" w:hint="default"/>
      </w:rPr>
    </w:lvl>
    <w:lvl w:ilvl="6" w:tplc="041A0001" w:tentative="1">
      <w:start w:val="1"/>
      <w:numFmt w:val="bullet"/>
      <w:lvlText w:val=""/>
      <w:lvlJc w:val="left"/>
      <w:pPr>
        <w:ind w:left="5709" w:hanging="360"/>
      </w:pPr>
      <w:rPr>
        <w:rFonts w:ascii="Symbol" w:hAnsi="Symbol" w:hint="default"/>
      </w:rPr>
    </w:lvl>
    <w:lvl w:ilvl="7" w:tplc="041A0003" w:tentative="1">
      <w:start w:val="1"/>
      <w:numFmt w:val="bullet"/>
      <w:lvlText w:val="o"/>
      <w:lvlJc w:val="left"/>
      <w:pPr>
        <w:ind w:left="6429" w:hanging="360"/>
      </w:pPr>
      <w:rPr>
        <w:rFonts w:ascii="Courier New" w:hAnsi="Courier New" w:hint="default"/>
      </w:rPr>
    </w:lvl>
    <w:lvl w:ilvl="8" w:tplc="041A0005" w:tentative="1">
      <w:start w:val="1"/>
      <w:numFmt w:val="bullet"/>
      <w:lvlText w:val=""/>
      <w:lvlJc w:val="left"/>
      <w:pPr>
        <w:ind w:left="7149" w:hanging="360"/>
      </w:pPr>
      <w:rPr>
        <w:rFonts w:ascii="Wingdings" w:hAnsi="Wingdings" w:hint="default"/>
      </w:rPr>
    </w:lvl>
  </w:abstractNum>
  <w:abstractNum w:abstractNumId="76" w15:restartNumberingAfterBreak="0">
    <w:nsid w:val="313E4188"/>
    <w:multiLevelType w:val="hybridMultilevel"/>
    <w:tmpl w:val="96082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15B1A99"/>
    <w:multiLevelType w:val="multilevel"/>
    <w:tmpl w:val="348C6A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27278BA"/>
    <w:multiLevelType w:val="hybridMultilevel"/>
    <w:tmpl w:val="FFFFFFFF"/>
    <w:lvl w:ilvl="0" w:tplc="325095EE">
      <w:start w:val="1"/>
      <w:numFmt w:val="decimal"/>
      <w:lvlText w:val="%1.)"/>
      <w:lvlJc w:val="left"/>
      <w:pPr>
        <w:ind w:left="720" w:hanging="360"/>
      </w:pPr>
      <w:rPr>
        <w:rFonts w:cs="Times New Roman" w:hint="default"/>
      </w:rPr>
    </w:lvl>
    <w:lvl w:ilvl="1" w:tplc="D9AAECC8">
      <w:numFmt w:val="bullet"/>
      <w:lvlText w:val="•"/>
      <w:lvlJc w:val="left"/>
      <w:pPr>
        <w:ind w:left="1440" w:hanging="360"/>
      </w:pPr>
      <w:rPr>
        <w:rFonts w:ascii="Arial" w:eastAsia="Times New Roman" w:hAnsi="Arial"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79" w15:restartNumberingAfterBreak="0">
    <w:nsid w:val="32EE9C4F"/>
    <w:multiLevelType w:val="hybridMultilevel"/>
    <w:tmpl w:val="FFFFFFFF"/>
    <w:lvl w:ilvl="0" w:tplc="352AFFBA">
      <w:start w:val="1"/>
      <w:numFmt w:val="bullet"/>
      <w:lvlText w:val=""/>
      <w:lvlJc w:val="left"/>
      <w:pPr>
        <w:ind w:left="720" w:hanging="360"/>
      </w:pPr>
      <w:rPr>
        <w:rFonts w:ascii="Symbol" w:hAnsi="Symbol" w:hint="default"/>
      </w:rPr>
    </w:lvl>
    <w:lvl w:ilvl="1" w:tplc="4858CC68">
      <w:start w:val="1"/>
      <w:numFmt w:val="bullet"/>
      <w:lvlText w:val="o"/>
      <w:lvlJc w:val="left"/>
      <w:pPr>
        <w:ind w:left="1440" w:hanging="360"/>
      </w:pPr>
      <w:rPr>
        <w:rFonts w:ascii="Courier New" w:hAnsi="Courier New" w:hint="default"/>
      </w:rPr>
    </w:lvl>
    <w:lvl w:ilvl="2" w:tplc="53D0E61E">
      <w:start w:val="1"/>
      <w:numFmt w:val="bullet"/>
      <w:lvlText w:val=""/>
      <w:lvlJc w:val="left"/>
      <w:pPr>
        <w:ind w:left="2160" w:hanging="360"/>
      </w:pPr>
      <w:rPr>
        <w:rFonts w:ascii="Wingdings" w:hAnsi="Wingdings" w:hint="default"/>
      </w:rPr>
    </w:lvl>
    <w:lvl w:ilvl="3" w:tplc="A3ACACF4">
      <w:start w:val="1"/>
      <w:numFmt w:val="bullet"/>
      <w:lvlText w:val=""/>
      <w:lvlJc w:val="left"/>
      <w:pPr>
        <w:ind w:left="2880" w:hanging="360"/>
      </w:pPr>
      <w:rPr>
        <w:rFonts w:ascii="Symbol" w:hAnsi="Symbol" w:hint="default"/>
      </w:rPr>
    </w:lvl>
    <w:lvl w:ilvl="4" w:tplc="B90A6696">
      <w:start w:val="1"/>
      <w:numFmt w:val="bullet"/>
      <w:lvlText w:val="o"/>
      <w:lvlJc w:val="left"/>
      <w:pPr>
        <w:ind w:left="3600" w:hanging="360"/>
      </w:pPr>
      <w:rPr>
        <w:rFonts w:ascii="Courier New" w:hAnsi="Courier New" w:hint="default"/>
      </w:rPr>
    </w:lvl>
    <w:lvl w:ilvl="5" w:tplc="DFA09FDA">
      <w:start w:val="1"/>
      <w:numFmt w:val="bullet"/>
      <w:lvlText w:val=""/>
      <w:lvlJc w:val="left"/>
      <w:pPr>
        <w:ind w:left="4320" w:hanging="360"/>
      </w:pPr>
      <w:rPr>
        <w:rFonts w:ascii="Wingdings" w:hAnsi="Wingdings" w:hint="default"/>
      </w:rPr>
    </w:lvl>
    <w:lvl w:ilvl="6" w:tplc="F3C67C5E">
      <w:start w:val="1"/>
      <w:numFmt w:val="bullet"/>
      <w:lvlText w:val=""/>
      <w:lvlJc w:val="left"/>
      <w:pPr>
        <w:ind w:left="5040" w:hanging="360"/>
      </w:pPr>
      <w:rPr>
        <w:rFonts w:ascii="Symbol" w:hAnsi="Symbol" w:hint="default"/>
      </w:rPr>
    </w:lvl>
    <w:lvl w:ilvl="7" w:tplc="B35E9FB4">
      <w:start w:val="1"/>
      <w:numFmt w:val="bullet"/>
      <w:lvlText w:val="o"/>
      <w:lvlJc w:val="left"/>
      <w:pPr>
        <w:ind w:left="5760" w:hanging="360"/>
      </w:pPr>
      <w:rPr>
        <w:rFonts w:ascii="Courier New" w:hAnsi="Courier New" w:hint="default"/>
      </w:rPr>
    </w:lvl>
    <w:lvl w:ilvl="8" w:tplc="479CC05A">
      <w:start w:val="1"/>
      <w:numFmt w:val="bullet"/>
      <w:lvlText w:val=""/>
      <w:lvlJc w:val="left"/>
      <w:pPr>
        <w:ind w:left="6480" w:hanging="360"/>
      </w:pPr>
      <w:rPr>
        <w:rFonts w:ascii="Wingdings" w:hAnsi="Wingdings" w:hint="default"/>
      </w:rPr>
    </w:lvl>
  </w:abstractNum>
  <w:abstractNum w:abstractNumId="80" w15:restartNumberingAfterBreak="0">
    <w:nsid w:val="34171F4B"/>
    <w:multiLevelType w:val="hybridMultilevel"/>
    <w:tmpl w:val="6BB470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34902C18"/>
    <w:multiLevelType w:val="hybridMultilevel"/>
    <w:tmpl w:val="82D4984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2" w15:restartNumberingAfterBreak="0">
    <w:nsid w:val="34931E28"/>
    <w:multiLevelType w:val="multilevel"/>
    <w:tmpl w:val="562C5444"/>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359B3FCD"/>
    <w:multiLevelType w:val="hybridMultilevel"/>
    <w:tmpl w:val="FFFFFFFF"/>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6FE622B"/>
    <w:multiLevelType w:val="hybridMultilevel"/>
    <w:tmpl w:val="98F0A51E"/>
    <w:lvl w:ilvl="0" w:tplc="0B5C477A">
      <w:numFmt w:val="bullet"/>
      <w:lvlText w:val="-"/>
      <w:lvlJc w:val="left"/>
      <w:pPr>
        <w:ind w:left="878" w:hanging="360"/>
      </w:pPr>
      <w:rPr>
        <w:rFonts w:ascii="Calibri" w:eastAsia="Calibri" w:hAnsi="Calibri" w:cs="Calibri" w:hint="default"/>
        <w:b w:val="0"/>
        <w:bCs w:val="0"/>
        <w:i w:val="0"/>
        <w:iCs w:val="0"/>
        <w:w w:val="100"/>
        <w:sz w:val="22"/>
        <w:szCs w:val="22"/>
        <w:lang w:val="bs" w:eastAsia="en-US" w:bidi="ar-SA"/>
      </w:rPr>
    </w:lvl>
    <w:lvl w:ilvl="1" w:tplc="7258244E">
      <w:numFmt w:val="bullet"/>
      <w:lvlText w:val="•"/>
      <w:lvlJc w:val="left"/>
      <w:pPr>
        <w:ind w:left="1748" w:hanging="360"/>
      </w:pPr>
      <w:rPr>
        <w:rFonts w:hint="default"/>
        <w:lang w:val="bs" w:eastAsia="en-US" w:bidi="ar-SA"/>
      </w:rPr>
    </w:lvl>
    <w:lvl w:ilvl="2" w:tplc="13B6A568">
      <w:numFmt w:val="bullet"/>
      <w:lvlText w:val="•"/>
      <w:lvlJc w:val="left"/>
      <w:pPr>
        <w:ind w:left="2617" w:hanging="360"/>
      </w:pPr>
      <w:rPr>
        <w:rFonts w:hint="default"/>
        <w:lang w:val="bs" w:eastAsia="en-US" w:bidi="ar-SA"/>
      </w:rPr>
    </w:lvl>
    <w:lvl w:ilvl="3" w:tplc="EF0E76B6">
      <w:numFmt w:val="bullet"/>
      <w:lvlText w:val="•"/>
      <w:lvlJc w:val="left"/>
      <w:pPr>
        <w:ind w:left="3485" w:hanging="360"/>
      </w:pPr>
      <w:rPr>
        <w:rFonts w:hint="default"/>
        <w:lang w:val="bs" w:eastAsia="en-US" w:bidi="ar-SA"/>
      </w:rPr>
    </w:lvl>
    <w:lvl w:ilvl="4" w:tplc="B9B011C8">
      <w:numFmt w:val="bullet"/>
      <w:lvlText w:val="•"/>
      <w:lvlJc w:val="left"/>
      <w:pPr>
        <w:ind w:left="4354" w:hanging="360"/>
      </w:pPr>
      <w:rPr>
        <w:rFonts w:hint="default"/>
        <w:lang w:val="bs" w:eastAsia="en-US" w:bidi="ar-SA"/>
      </w:rPr>
    </w:lvl>
    <w:lvl w:ilvl="5" w:tplc="9DA0A236">
      <w:numFmt w:val="bullet"/>
      <w:lvlText w:val="•"/>
      <w:lvlJc w:val="left"/>
      <w:pPr>
        <w:ind w:left="5223" w:hanging="360"/>
      </w:pPr>
      <w:rPr>
        <w:rFonts w:hint="default"/>
        <w:lang w:val="bs" w:eastAsia="en-US" w:bidi="ar-SA"/>
      </w:rPr>
    </w:lvl>
    <w:lvl w:ilvl="6" w:tplc="5868E7BE">
      <w:numFmt w:val="bullet"/>
      <w:lvlText w:val="•"/>
      <w:lvlJc w:val="left"/>
      <w:pPr>
        <w:ind w:left="6091" w:hanging="360"/>
      </w:pPr>
      <w:rPr>
        <w:rFonts w:hint="default"/>
        <w:lang w:val="bs" w:eastAsia="en-US" w:bidi="ar-SA"/>
      </w:rPr>
    </w:lvl>
    <w:lvl w:ilvl="7" w:tplc="05C825EE">
      <w:numFmt w:val="bullet"/>
      <w:lvlText w:val="•"/>
      <w:lvlJc w:val="left"/>
      <w:pPr>
        <w:ind w:left="6960" w:hanging="360"/>
      </w:pPr>
      <w:rPr>
        <w:rFonts w:hint="default"/>
        <w:lang w:val="bs" w:eastAsia="en-US" w:bidi="ar-SA"/>
      </w:rPr>
    </w:lvl>
    <w:lvl w:ilvl="8" w:tplc="67BAD8FA">
      <w:numFmt w:val="bullet"/>
      <w:lvlText w:val="•"/>
      <w:lvlJc w:val="left"/>
      <w:pPr>
        <w:ind w:left="7829" w:hanging="360"/>
      </w:pPr>
      <w:rPr>
        <w:rFonts w:hint="default"/>
        <w:lang w:val="bs" w:eastAsia="en-US" w:bidi="ar-SA"/>
      </w:rPr>
    </w:lvl>
  </w:abstractNum>
  <w:abstractNum w:abstractNumId="85" w15:restartNumberingAfterBreak="0">
    <w:nsid w:val="37BA0B43"/>
    <w:multiLevelType w:val="hybridMultilevel"/>
    <w:tmpl w:val="937688DC"/>
    <w:lvl w:ilvl="0" w:tplc="446C6824">
      <w:numFmt w:val="bullet"/>
      <w:lvlText w:val="-"/>
      <w:lvlJc w:val="left"/>
      <w:pPr>
        <w:ind w:left="720" w:hanging="360"/>
      </w:pPr>
      <w:rPr>
        <w:rFonts w:ascii="Myriad Pro" w:eastAsia="Myriad Pro" w:hAnsi="Myriad Pro" w:cs="Myriad Pro"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37D34E4E"/>
    <w:multiLevelType w:val="hybridMultilevel"/>
    <w:tmpl w:val="5EFC78D0"/>
    <w:lvl w:ilvl="0" w:tplc="C3E6E576">
      <w:numFmt w:val="bullet"/>
      <w:lvlText w:val="-"/>
      <w:lvlJc w:val="left"/>
      <w:pPr>
        <w:ind w:left="791" w:hanging="360"/>
      </w:pPr>
      <w:rPr>
        <w:rFonts w:ascii="Calibri" w:eastAsiaTheme="minorHAnsi" w:hAnsi="Calibri" w:cs="Calibri" w:hint="default"/>
      </w:rPr>
    </w:lvl>
    <w:lvl w:ilvl="1" w:tplc="041A0003" w:tentative="1">
      <w:start w:val="1"/>
      <w:numFmt w:val="bullet"/>
      <w:lvlText w:val="o"/>
      <w:lvlJc w:val="left"/>
      <w:pPr>
        <w:ind w:left="1511" w:hanging="360"/>
      </w:pPr>
      <w:rPr>
        <w:rFonts w:ascii="Courier New" w:hAnsi="Courier New" w:cs="Courier New" w:hint="default"/>
      </w:rPr>
    </w:lvl>
    <w:lvl w:ilvl="2" w:tplc="041A0005" w:tentative="1">
      <w:start w:val="1"/>
      <w:numFmt w:val="bullet"/>
      <w:lvlText w:val=""/>
      <w:lvlJc w:val="left"/>
      <w:pPr>
        <w:ind w:left="2231" w:hanging="360"/>
      </w:pPr>
      <w:rPr>
        <w:rFonts w:ascii="Wingdings" w:hAnsi="Wingdings" w:hint="default"/>
      </w:rPr>
    </w:lvl>
    <w:lvl w:ilvl="3" w:tplc="041A0001" w:tentative="1">
      <w:start w:val="1"/>
      <w:numFmt w:val="bullet"/>
      <w:lvlText w:val=""/>
      <w:lvlJc w:val="left"/>
      <w:pPr>
        <w:ind w:left="2951" w:hanging="360"/>
      </w:pPr>
      <w:rPr>
        <w:rFonts w:ascii="Symbol" w:hAnsi="Symbol" w:hint="default"/>
      </w:rPr>
    </w:lvl>
    <w:lvl w:ilvl="4" w:tplc="041A0003" w:tentative="1">
      <w:start w:val="1"/>
      <w:numFmt w:val="bullet"/>
      <w:lvlText w:val="o"/>
      <w:lvlJc w:val="left"/>
      <w:pPr>
        <w:ind w:left="3671" w:hanging="360"/>
      </w:pPr>
      <w:rPr>
        <w:rFonts w:ascii="Courier New" w:hAnsi="Courier New" w:cs="Courier New" w:hint="default"/>
      </w:rPr>
    </w:lvl>
    <w:lvl w:ilvl="5" w:tplc="041A0005" w:tentative="1">
      <w:start w:val="1"/>
      <w:numFmt w:val="bullet"/>
      <w:lvlText w:val=""/>
      <w:lvlJc w:val="left"/>
      <w:pPr>
        <w:ind w:left="4391" w:hanging="360"/>
      </w:pPr>
      <w:rPr>
        <w:rFonts w:ascii="Wingdings" w:hAnsi="Wingdings" w:hint="default"/>
      </w:rPr>
    </w:lvl>
    <w:lvl w:ilvl="6" w:tplc="041A0001" w:tentative="1">
      <w:start w:val="1"/>
      <w:numFmt w:val="bullet"/>
      <w:lvlText w:val=""/>
      <w:lvlJc w:val="left"/>
      <w:pPr>
        <w:ind w:left="5111" w:hanging="360"/>
      </w:pPr>
      <w:rPr>
        <w:rFonts w:ascii="Symbol" w:hAnsi="Symbol" w:hint="default"/>
      </w:rPr>
    </w:lvl>
    <w:lvl w:ilvl="7" w:tplc="041A0003" w:tentative="1">
      <w:start w:val="1"/>
      <w:numFmt w:val="bullet"/>
      <w:lvlText w:val="o"/>
      <w:lvlJc w:val="left"/>
      <w:pPr>
        <w:ind w:left="5831" w:hanging="360"/>
      </w:pPr>
      <w:rPr>
        <w:rFonts w:ascii="Courier New" w:hAnsi="Courier New" w:cs="Courier New" w:hint="default"/>
      </w:rPr>
    </w:lvl>
    <w:lvl w:ilvl="8" w:tplc="041A0005" w:tentative="1">
      <w:start w:val="1"/>
      <w:numFmt w:val="bullet"/>
      <w:lvlText w:val=""/>
      <w:lvlJc w:val="left"/>
      <w:pPr>
        <w:ind w:left="6551" w:hanging="360"/>
      </w:pPr>
      <w:rPr>
        <w:rFonts w:ascii="Wingdings" w:hAnsi="Wingdings" w:hint="default"/>
      </w:rPr>
    </w:lvl>
  </w:abstractNum>
  <w:abstractNum w:abstractNumId="87" w15:restartNumberingAfterBreak="0">
    <w:nsid w:val="38472DCD"/>
    <w:multiLevelType w:val="multilevel"/>
    <w:tmpl w:val="97AE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8931328"/>
    <w:multiLevelType w:val="hybridMultilevel"/>
    <w:tmpl w:val="25628E9A"/>
    <w:lvl w:ilvl="0" w:tplc="8C3092A8">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9C57173"/>
    <w:multiLevelType w:val="hybridMultilevel"/>
    <w:tmpl w:val="314A6FE4"/>
    <w:lvl w:ilvl="0" w:tplc="041A0001">
      <w:start w:val="1"/>
      <w:numFmt w:val="bullet"/>
      <w:lvlText w:val=""/>
      <w:lvlJc w:val="left"/>
      <w:pPr>
        <w:ind w:left="720" w:hanging="360"/>
      </w:pPr>
      <w:rPr>
        <w:rFonts w:ascii="Symbol" w:hAnsi="Symbol" w:hint="default"/>
      </w:rPr>
    </w:lvl>
    <w:lvl w:ilvl="1" w:tplc="041A000F">
      <w:start w:val="1"/>
      <w:numFmt w:val="decimal"/>
      <w:lvlText w:val="%2."/>
      <w:lvlJc w:val="left"/>
      <w:pPr>
        <w:ind w:left="1440" w:hanging="360"/>
      </w:p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0" w15:restartNumberingAfterBreak="0">
    <w:nsid w:val="3A644C30"/>
    <w:multiLevelType w:val="hybridMultilevel"/>
    <w:tmpl w:val="1AA201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3B6F3FC8"/>
    <w:multiLevelType w:val="hybridMultilevel"/>
    <w:tmpl w:val="46407E10"/>
    <w:lvl w:ilvl="0" w:tplc="446C6824">
      <w:numFmt w:val="bullet"/>
      <w:lvlText w:val="-"/>
      <w:lvlJc w:val="left"/>
      <w:pPr>
        <w:ind w:left="720" w:hanging="360"/>
      </w:pPr>
      <w:rPr>
        <w:rFonts w:ascii="Myriad Pro" w:eastAsia="Myriad Pro" w:hAnsi="Myriad Pro" w:cs="Myriad Pro"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3CD56C59"/>
    <w:multiLevelType w:val="hybridMultilevel"/>
    <w:tmpl w:val="FFFFFFFF"/>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3DA949E1"/>
    <w:multiLevelType w:val="hybridMultilevel"/>
    <w:tmpl w:val="DDCC7A8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3E2720D7"/>
    <w:multiLevelType w:val="hybridMultilevel"/>
    <w:tmpl w:val="1CCC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EC37511"/>
    <w:multiLevelType w:val="hybridMultilevel"/>
    <w:tmpl w:val="FFFFFFFF"/>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6" w15:restartNumberingAfterBreak="0">
    <w:nsid w:val="3EC43693"/>
    <w:multiLevelType w:val="hybridMultilevel"/>
    <w:tmpl w:val="B9E0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ED53BEA"/>
    <w:multiLevelType w:val="hybridMultilevel"/>
    <w:tmpl w:val="91C010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3F876649"/>
    <w:multiLevelType w:val="hybridMultilevel"/>
    <w:tmpl w:val="67827898"/>
    <w:lvl w:ilvl="0" w:tplc="ED0443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FE90DC3"/>
    <w:multiLevelType w:val="hybridMultilevel"/>
    <w:tmpl w:val="547A41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3FF85D5D"/>
    <w:multiLevelType w:val="hybridMultilevel"/>
    <w:tmpl w:val="E728A3E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1" w15:restartNumberingAfterBreak="0">
    <w:nsid w:val="40204828"/>
    <w:multiLevelType w:val="hybridMultilevel"/>
    <w:tmpl w:val="FFFFFFFF"/>
    <w:lvl w:ilvl="0" w:tplc="0B2265FC">
      <w:numFmt w:val="bullet"/>
      <w:lvlText w:val="-"/>
      <w:lvlJc w:val="left"/>
      <w:pPr>
        <w:ind w:left="1602" w:hanging="360"/>
      </w:pPr>
      <w:rPr>
        <w:rFonts w:ascii="Calibri" w:hAnsi="Calibri" w:hint="default"/>
        <w:color w:val="auto"/>
      </w:rPr>
    </w:lvl>
    <w:lvl w:ilvl="1" w:tplc="FFFFFFFF">
      <w:start w:val="1"/>
      <w:numFmt w:val="bullet"/>
      <w:lvlText w:val="o"/>
      <w:lvlJc w:val="left"/>
      <w:pPr>
        <w:ind w:left="2322" w:hanging="360"/>
      </w:pPr>
      <w:rPr>
        <w:rFonts w:ascii="Courier New" w:hAnsi="Courier New" w:hint="default"/>
      </w:rPr>
    </w:lvl>
    <w:lvl w:ilvl="2" w:tplc="FFFFFFFF" w:tentative="1">
      <w:start w:val="1"/>
      <w:numFmt w:val="bullet"/>
      <w:lvlText w:val=""/>
      <w:lvlJc w:val="left"/>
      <w:pPr>
        <w:ind w:left="3042" w:hanging="360"/>
      </w:pPr>
      <w:rPr>
        <w:rFonts w:ascii="Wingdings" w:hAnsi="Wingdings" w:hint="default"/>
      </w:rPr>
    </w:lvl>
    <w:lvl w:ilvl="3" w:tplc="FFFFFFFF" w:tentative="1">
      <w:start w:val="1"/>
      <w:numFmt w:val="bullet"/>
      <w:lvlText w:val=""/>
      <w:lvlJc w:val="left"/>
      <w:pPr>
        <w:ind w:left="3762" w:hanging="360"/>
      </w:pPr>
      <w:rPr>
        <w:rFonts w:ascii="Symbol" w:hAnsi="Symbol" w:hint="default"/>
      </w:rPr>
    </w:lvl>
    <w:lvl w:ilvl="4" w:tplc="FFFFFFFF" w:tentative="1">
      <w:start w:val="1"/>
      <w:numFmt w:val="bullet"/>
      <w:lvlText w:val="o"/>
      <w:lvlJc w:val="left"/>
      <w:pPr>
        <w:ind w:left="4482" w:hanging="360"/>
      </w:pPr>
      <w:rPr>
        <w:rFonts w:ascii="Courier New" w:hAnsi="Courier New" w:hint="default"/>
      </w:rPr>
    </w:lvl>
    <w:lvl w:ilvl="5" w:tplc="FFFFFFFF" w:tentative="1">
      <w:start w:val="1"/>
      <w:numFmt w:val="bullet"/>
      <w:lvlText w:val=""/>
      <w:lvlJc w:val="left"/>
      <w:pPr>
        <w:ind w:left="5202" w:hanging="360"/>
      </w:pPr>
      <w:rPr>
        <w:rFonts w:ascii="Wingdings" w:hAnsi="Wingdings" w:hint="default"/>
      </w:rPr>
    </w:lvl>
    <w:lvl w:ilvl="6" w:tplc="FFFFFFFF" w:tentative="1">
      <w:start w:val="1"/>
      <w:numFmt w:val="bullet"/>
      <w:lvlText w:val=""/>
      <w:lvlJc w:val="left"/>
      <w:pPr>
        <w:ind w:left="5922" w:hanging="360"/>
      </w:pPr>
      <w:rPr>
        <w:rFonts w:ascii="Symbol" w:hAnsi="Symbol" w:hint="default"/>
      </w:rPr>
    </w:lvl>
    <w:lvl w:ilvl="7" w:tplc="FFFFFFFF" w:tentative="1">
      <w:start w:val="1"/>
      <w:numFmt w:val="bullet"/>
      <w:lvlText w:val="o"/>
      <w:lvlJc w:val="left"/>
      <w:pPr>
        <w:ind w:left="6642" w:hanging="360"/>
      </w:pPr>
      <w:rPr>
        <w:rFonts w:ascii="Courier New" w:hAnsi="Courier New" w:hint="default"/>
      </w:rPr>
    </w:lvl>
    <w:lvl w:ilvl="8" w:tplc="FFFFFFFF" w:tentative="1">
      <w:start w:val="1"/>
      <w:numFmt w:val="bullet"/>
      <w:lvlText w:val=""/>
      <w:lvlJc w:val="left"/>
      <w:pPr>
        <w:ind w:left="7362" w:hanging="360"/>
      </w:pPr>
      <w:rPr>
        <w:rFonts w:ascii="Wingdings" w:hAnsi="Wingdings" w:hint="default"/>
      </w:rPr>
    </w:lvl>
  </w:abstractNum>
  <w:abstractNum w:abstractNumId="102" w15:restartNumberingAfterBreak="0">
    <w:nsid w:val="41552830"/>
    <w:multiLevelType w:val="hybridMultilevel"/>
    <w:tmpl w:val="0BD40D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418F4AC2"/>
    <w:multiLevelType w:val="hybridMultilevel"/>
    <w:tmpl w:val="96249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1F21E56"/>
    <w:multiLevelType w:val="hybridMultilevel"/>
    <w:tmpl w:val="F112D8EE"/>
    <w:name w:val="Headings"/>
    <w:lvl w:ilvl="0" w:tplc="FFFFFFFF">
      <w:start w:val="20"/>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2C3023D"/>
    <w:multiLevelType w:val="hybridMultilevel"/>
    <w:tmpl w:val="1A6016E4"/>
    <w:lvl w:ilvl="0" w:tplc="FFFFFFFF">
      <w:start w:val="1"/>
      <w:numFmt w:val="decimal"/>
      <w:pStyle w:val="zaglavlje"/>
      <w:lvlText w:val="%1."/>
      <w:lvlJc w:val="left"/>
      <w:pPr>
        <w:tabs>
          <w:tab w:val="num" w:pos="357"/>
        </w:tabs>
        <w:ind w:left="357"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42D05A1F"/>
    <w:multiLevelType w:val="hybridMultilevel"/>
    <w:tmpl w:val="1F3EED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7" w15:restartNumberingAfterBreak="0">
    <w:nsid w:val="42F85DFF"/>
    <w:multiLevelType w:val="multilevel"/>
    <w:tmpl w:val="858A96EC"/>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469871CF"/>
    <w:multiLevelType w:val="hybridMultilevel"/>
    <w:tmpl w:val="D40A20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6A4438C"/>
    <w:multiLevelType w:val="hybridMultilevel"/>
    <w:tmpl w:val="1FD816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471E096A"/>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1" w15:restartNumberingAfterBreak="0">
    <w:nsid w:val="475D036A"/>
    <w:multiLevelType w:val="hybridMultilevel"/>
    <w:tmpl w:val="7310C374"/>
    <w:lvl w:ilvl="0" w:tplc="041A0019">
      <w:start w:val="1"/>
      <w:numFmt w:val="lowerLetter"/>
      <w:lvlText w:val="%1."/>
      <w:lvlJc w:val="left"/>
      <w:pPr>
        <w:ind w:left="720" w:hanging="360"/>
      </w:pPr>
      <w:rPr>
        <w:rFonts w:hint="default"/>
      </w:rPr>
    </w:lvl>
    <w:lvl w:ilvl="1" w:tplc="7162372E">
      <w:numFmt w:val="bullet"/>
      <w:lvlText w:val="–"/>
      <w:lvlJc w:val="left"/>
      <w:pPr>
        <w:ind w:left="1440" w:hanging="360"/>
      </w:pPr>
      <w:rPr>
        <w:rFonts w:ascii="Arial Unicode MS" w:eastAsia="Arial Unicode MS" w:hAnsi="Arial Unicode MS" w:cs="Arial Unicode MS" w:hint="eastAsia"/>
      </w:rPr>
    </w:lvl>
    <w:lvl w:ilvl="2" w:tplc="C5CA4C1E">
      <w:numFmt w:val="bullet"/>
      <w:lvlText w:val="-"/>
      <w:lvlJc w:val="left"/>
      <w:pPr>
        <w:ind w:left="2340" w:hanging="360"/>
      </w:pPr>
      <w:rPr>
        <w:rFonts w:ascii="Arial Unicode MS" w:eastAsia="Arial Unicode MS" w:hAnsi="Arial Unicode MS" w:cs="Arial Unicode MS" w:hint="eastAsia"/>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7F00E07"/>
    <w:multiLevelType w:val="hybridMultilevel"/>
    <w:tmpl w:val="97BA6742"/>
    <w:lvl w:ilvl="0" w:tplc="FFFFFFFF">
      <w:start w:val="1"/>
      <w:numFmt w:val="lowerLetter"/>
      <w:lvlText w:val="%1."/>
      <w:lvlJc w:val="left"/>
      <w:pPr>
        <w:ind w:left="720" w:hanging="360"/>
      </w:pPr>
      <w:rPr>
        <w:rFonts w:hint="default"/>
      </w:rPr>
    </w:lvl>
    <w:lvl w:ilvl="1" w:tplc="041A0001">
      <w:start w:val="1"/>
      <w:numFmt w:val="bullet"/>
      <w:lvlText w:val=""/>
      <w:lvlJc w:val="left"/>
      <w:pPr>
        <w:ind w:left="720" w:hanging="360"/>
      </w:pPr>
      <w:rPr>
        <w:rFonts w:ascii="Symbol" w:hAnsi="Symbol" w:hint="default"/>
      </w:rPr>
    </w:lvl>
    <w:lvl w:ilvl="2" w:tplc="FFFFFFFF">
      <w:numFmt w:val="bullet"/>
      <w:lvlText w:val="-"/>
      <w:lvlJc w:val="left"/>
      <w:pPr>
        <w:ind w:left="2340" w:hanging="360"/>
      </w:pPr>
      <w:rPr>
        <w:rFonts w:ascii="Arial Unicode MS" w:eastAsia="Arial Unicode MS" w:hAnsi="Arial Unicode MS" w:cs="Arial Unicode MS" w:hint="eastAsi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48A78538"/>
    <w:multiLevelType w:val="hybridMultilevel"/>
    <w:tmpl w:val="68E46670"/>
    <w:lvl w:ilvl="0" w:tplc="3650E79C">
      <w:start w:val="1"/>
      <w:numFmt w:val="bullet"/>
      <w:lvlText w:val="o"/>
      <w:lvlJc w:val="left"/>
      <w:pPr>
        <w:ind w:left="720" w:hanging="360"/>
      </w:pPr>
      <w:rPr>
        <w:rFonts w:ascii="Courier New" w:hAnsi="Courier New" w:hint="default"/>
      </w:rPr>
    </w:lvl>
    <w:lvl w:ilvl="1" w:tplc="CA189692">
      <w:start w:val="1"/>
      <w:numFmt w:val="bullet"/>
      <w:lvlText w:val="o"/>
      <w:lvlJc w:val="left"/>
      <w:pPr>
        <w:ind w:left="1440" w:hanging="360"/>
      </w:pPr>
      <w:rPr>
        <w:rFonts w:ascii="Courier New" w:hAnsi="Courier New" w:hint="default"/>
      </w:rPr>
    </w:lvl>
    <w:lvl w:ilvl="2" w:tplc="E49494E8">
      <w:start w:val="1"/>
      <w:numFmt w:val="bullet"/>
      <w:lvlText w:val=""/>
      <w:lvlJc w:val="left"/>
      <w:pPr>
        <w:ind w:left="2160" w:hanging="360"/>
      </w:pPr>
      <w:rPr>
        <w:rFonts w:ascii="Wingdings" w:hAnsi="Wingdings" w:hint="default"/>
      </w:rPr>
    </w:lvl>
    <w:lvl w:ilvl="3" w:tplc="09240A9E">
      <w:start w:val="1"/>
      <w:numFmt w:val="bullet"/>
      <w:lvlText w:val=""/>
      <w:lvlJc w:val="left"/>
      <w:pPr>
        <w:ind w:left="2880" w:hanging="360"/>
      </w:pPr>
      <w:rPr>
        <w:rFonts w:ascii="Symbol" w:hAnsi="Symbol" w:hint="default"/>
      </w:rPr>
    </w:lvl>
    <w:lvl w:ilvl="4" w:tplc="B4362AF6">
      <w:start w:val="1"/>
      <w:numFmt w:val="bullet"/>
      <w:lvlText w:val="o"/>
      <w:lvlJc w:val="left"/>
      <w:pPr>
        <w:ind w:left="3600" w:hanging="360"/>
      </w:pPr>
      <w:rPr>
        <w:rFonts w:ascii="Courier New" w:hAnsi="Courier New" w:hint="default"/>
      </w:rPr>
    </w:lvl>
    <w:lvl w:ilvl="5" w:tplc="9B3CB860">
      <w:start w:val="1"/>
      <w:numFmt w:val="bullet"/>
      <w:lvlText w:val=""/>
      <w:lvlJc w:val="left"/>
      <w:pPr>
        <w:ind w:left="4320" w:hanging="360"/>
      </w:pPr>
      <w:rPr>
        <w:rFonts w:ascii="Wingdings" w:hAnsi="Wingdings" w:hint="default"/>
      </w:rPr>
    </w:lvl>
    <w:lvl w:ilvl="6" w:tplc="AC2C945C">
      <w:start w:val="1"/>
      <w:numFmt w:val="bullet"/>
      <w:lvlText w:val=""/>
      <w:lvlJc w:val="left"/>
      <w:pPr>
        <w:ind w:left="5040" w:hanging="360"/>
      </w:pPr>
      <w:rPr>
        <w:rFonts w:ascii="Symbol" w:hAnsi="Symbol" w:hint="default"/>
      </w:rPr>
    </w:lvl>
    <w:lvl w:ilvl="7" w:tplc="29363F36">
      <w:start w:val="1"/>
      <w:numFmt w:val="bullet"/>
      <w:lvlText w:val="o"/>
      <w:lvlJc w:val="left"/>
      <w:pPr>
        <w:ind w:left="5760" w:hanging="360"/>
      </w:pPr>
      <w:rPr>
        <w:rFonts w:ascii="Courier New" w:hAnsi="Courier New" w:hint="default"/>
      </w:rPr>
    </w:lvl>
    <w:lvl w:ilvl="8" w:tplc="6C4E7184">
      <w:start w:val="1"/>
      <w:numFmt w:val="bullet"/>
      <w:lvlText w:val=""/>
      <w:lvlJc w:val="left"/>
      <w:pPr>
        <w:ind w:left="6480" w:hanging="360"/>
      </w:pPr>
      <w:rPr>
        <w:rFonts w:ascii="Wingdings" w:hAnsi="Wingdings" w:hint="default"/>
      </w:rPr>
    </w:lvl>
  </w:abstractNum>
  <w:abstractNum w:abstractNumId="114" w15:restartNumberingAfterBreak="0">
    <w:nsid w:val="48F64419"/>
    <w:multiLevelType w:val="hybridMultilevel"/>
    <w:tmpl w:val="8C0297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49C85059"/>
    <w:multiLevelType w:val="hybridMultilevel"/>
    <w:tmpl w:val="FFFFFFFF"/>
    <w:lvl w:ilvl="0" w:tplc="0B2265FC">
      <w:numFmt w:val="bullet"/>
      <w:lvlText w:val="-"/>
      <w:lvlJc w:val="left"/>
      <w:pPr>
        <w:ind w:left="1602" w:hanging="360"/>
      </w:pPr>
      <w:rPr>
        <w:rFonts w:ascii="Calibri" w:hAnsi="Calibri" w:hint="default"/>
        <w:color w:val="auto"/>
      </w:rPr>
    </w:lvl>
    <w:lvl w:ilvl="1" w:tplc="FFFFFFFF">
      <w:start w:val="1"/>
      <w:numFmt w:val="bullet"/>
      <w:lvlText w:val="o"/>
      <w:lvlJc w:val="left"/>
      <w:pPr>
        <w:ind w:left="2322" w:hanging="360"/>
      </w:pPr>
      <w:rPr>
        <w:rFonts w:ascii="Courier New" w:hAnsi="Courier New" w:hint="default"/>
      </w:rPr>
    </w:lvl>
    <w:lvl w:ilvl="2" w:tplc="FFFFFFFF" w:tentative="1">
      <w:start w:val="1"/>
      <w:numFmt w:val="bullet"/>
      <w:lvlText w:val=""/>
      <w:lvlJc w:val="left"/>
      <w:pPr>
        <w:ind w:left="3042" w:hanging="360"/>
      </w:pPr>
      <w:rPr>
        <w:rFonts w:ascii="Wingdings" w:hAnsi="Wingdings" w:hint="default"/>
      </w:rPr>
    </w:lvl>
    <w:lvl w:ilvl="3" w:tplc="FFFFFFFF" w:tentative="1">
      <w:start w:val="1"/>
      <w:numFmt w:val="bullet"/>
      <w:lvlText w:val=""/>
      <w:lvlJc w:val="left"/>
      <w:pPr>
        <w:ind w:left="3762" w:hanging="360"/>
      </w:pPr>
      <w:rPr>
        <w:rFonts w:ascii="Symbol" w:hAnsi="Symbol" w:hint="default"/>
      </w:rPr>
    </w:lvl>
    <w:lvl w:ilvl="4" w:tplc="FFFFFFFF" w:tentative="1">
      <w:start w:val="1"/>
      <w:numFmt w:val="bullet"/>
      <w:lvlText w:val="o"/>
      <w:lvlJc w:val="left"/>
      <w:pPr>
        <w:ind w:left="4482" w:hanging="360"/>
      </w:pPr>
      <w:rPr>
        <w:rFonts w:ascii="Courier New" w:hAnsi="Courier New" w:hint="default"/>
      </w:rPr>
    </w:lvl>
    <w:lvl w:ilvl="5" w:tplc="FFFFFFFF" w:tentative="1">
      <w:start w:val="1"/>
      <w:numFmt w:val="bullet"/>
      <w:lvlText w:val=""/>
      <w:lvlJc w:val="left"/>
      <w:pPr>
        <w:ind w:left="5202" w:hanging="360"/>
      </w:pPr>
      <w:rPr>
        <w:rFonts w:ascii="Wingdings" w:hAnsi="Wingdings" w:hint="default"/>
      </w:rPr>
    </w:lvl>
    <w:lvl w:ilvl="6" w:tplc="FFFFFFFF" w:tentative="1">
      <w:start w:val="1"/>
      <w:numFmt w:val="bullet"/>
      <w:lvlText w:val=""/>
      <w:lvlJc w:val="left"/>
      <w:pPr>
        <w:ind w:left="5922" w:hanging="360"/>
      </w:pPr>
      <w:rPr>
        <w:rFonts w:ascii="Symbol" w:hAnsi="Symbol" w:hint="default"/>
      </w:rPr>
    </w:lvl>
    <w:lvl w:ilvl="7" w:tplc="FFFFFFFF" w:tentative="1">
      <w:start w:val="1"/>
      <w:numFmt w:val="bullet"/>
      <w:lvlText w:val="o"/>
      <w:lvlJc w:val="left"/>
      <w:pPr>
        <w:ind w:left="6642" w:hanging="360"/>
      </w:pPr>
      <w:rPr>
        <w:rFonts w:ascii="Courier New" w:hAnsi="Courier New" w:hint="default"/>
      </w:rPr>
    </w:lvl>
    <w:lvl w:ilvl="8" w:tplc="FFFFFFFF" w:tentative="1">
      <w:start w:val="1"/>
      <w:numFmt w:val="bullet"/>
      <w:lvlText w:val=""/>
      <w:lvlJc w:val="left"/>
      <w:pPr>
        <w:ind w:left="7362" w:hanging="360"/>
      </w:pPr>
      <w:rPr>
        <w:rFonts w:ascii="Wingdings" w:hAnsi="Wingdings" w:hint="default"/>
      </w:rPr>
    </w:lvl>
  </w:abstractNum>
  <w:abstractNum w:abstractNumId="116" w15:restartNumberingAfterBreak="0">
    <w:nsid w:val="4A486386"/>
    <w:multiLevelType w:val="hybridMultilevel"/>
    <w:tmpl w:val="9F8682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4AB84C31"/>
    <w:multiLevelType w:val="hybridMultilevel"/>
    <w:tmpl w:val="FFFFFFFF"/>
    <w:lvl w:ilvl="0" w:tplc="041A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4AF00EB8"/>
    <w:multiLevelType w:val="hybridMultilevel"/>
    <w:tmpl w:val="FFFFFFFF"/>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4B565A6C"/>
    <w:multiLevelType w:val="hybridMultilevel"/>
    <w:tmpl w:val="5DC018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4B606AEC"/>
    <w:multiLevelType w:val="hybridMultilevel"/>
    <w:tmpl w:val="5726E862"/>
    <w:lvl w:ilvl="0" w:tplc="446C6824">
      <w:numFmt w:val="bullet"/>
      <w:lvlText w:val="-"/>
      <w:lvlJc w:val="left"/>
      <w:pPr>
        <w:ind w:left="720" w:hanging="360"/>
      </w:pPr>
      <w:rPr>
        <w:rFonts w:ascii="Myriad Pro" w:eastAsia="Myriad Pro" w:hAnsi="Myriad Pro" w:cs="Myriad Pro"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4C6F0E27"/>
    <w:multiLevelType w:val="hybridMultilevel"/>
    <w:tmpl w:val="FFFFFFFF"/>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2" w15:restartNumberingAfterBreak="0">
    <w:nsid w:val="4CC73469"/>
    <w:multiLevelType w:val="hybridMultilevel"/>
    <w:tmpl w:val="ADF054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4CF93AD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DAE5F27"/>
    <w:multiLevelType w:val="hybridMultilevel"/>
    <w:tmpl w:val="710413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5" w15:restartNumberingAfterBreak="0">
    <w:nsid w:val="4E072935"/>
    <w:multiLevelType w:val="hybridMultilevel"/>
    <w:tmpl w:val="FFFFFFFF"/>
    <w:lvl w:ilvl="0" w:tplc="912A8C20">
      <w:start w:val="1"/>
      <w:numFmt w:val="decimal"/>
      <w:lvlText w:val="%1."/>
      <w:lvlJc w:val="left"/>
      <w:pPr>
        <w:ind w:left="720" w:hanging="360"/>
      </w:pPr>
      <w:rPr>
        <w:rFonts w:ascii="Arial" w:hAnsi="Arial" w:cs="Times New Roman" w:hint="default"/>
        <w:b w:val="0"/>
        <w:i w:val="0"/>
        <w:iCs/>
        <w:color w:val="auto"/>
        <w:sz w:val="20"/>
        <w:szCs w:val="20"/>
      </w:rPr>
    </w:lvl>
    <w:lvl w:ilvl="1" w:tplc="283ABD92">
      <w:numFmt w:val="bullet"/>
      <w:lvlText w:val="-"/>
      <w:lvlJc w:val="left"/>
      <w:pPr>
        <w:ind w:left="1440" w:hanging="360"/>
      </w:pPr>
      <w:rPr>
        <w:rFonts w:ascii="Arial" w:eastAsia="Times New Roman" w:hAnsi="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4E9A30C0"/>
    <w:multiLevelType w:val="hybridMultilevel"/>
    <w:tmpl w:val="DAD6F2CC"/>
    <w:lvl w:ilvl="0" w:tplc="AE7E9674">
      <w:start w:val="1"/>
      <w:numFmt w:val="bullet"/>
      <w:lvlText w:val="-"/>
      <w:lvlJc w:val="left"/>
      <w:pPr>
        <w:ind w:left="801" w:hanging="360"/>
      </w:pPr>
      <w:rPr>
        <w:rFonts w:ascii="Courier New" w:hAnsi="Courier New" w:cs="Times New Roman" w:hint="default"/>
      </w:rPr>
    </w:lvl>
    <w:lvl w:ilvl="1" w:tplc="041A0003">
      <w:start w:val="1"/>
      <w:numFmt w:val="bullet"/>
      <w:lvlText w:val="o"/>
      <w:lvlJc w:val="left"/>
      <w:pPr>
        <w:ind w:left="1521" w:hanging="360"/>
      </w:pPr>
      <w:rPr>
        <w:rFonts w:ascii="Courier New" w:hAnsi="Courier New" w:cs="Courier New" w:hint="default"/>
      </w:rPr>
    </w:lvl>
    <w:lvl w:ilvl="2" w:tplc="041A0005">
      <w:start w:val="1"/>
      <w:numFmt w:val="bullet"/>
      <w:lvlText w:val=""/>
      <w:lvlJc w:val="left"/>
      <w:pPr>
        <w:ind w:left="2241" w:hanging="360"/>
      </w:pPr>
      <w:rPr>
        <w:rFonts w:ascii="Wingdings" w:hAnsi="Wingdings" w:hint="default"/>
      </w:rPr>
    </w:lvl>
    <w:lvl w:ilvl="3" w:tplc="041A0001">
      <w:start w:val="1"/>
      <w:numFmt w:val="bullet"/>
      <w:lvlText w:val=""/>
      <w:lvlJc w:val="left"/>
      <w:pPr>
        <w:ind w:left="2961" w:hanging="360"/>
      </w:pPr>
      <w:rPr>
        <w:rFonts w:ascii="Symbol" w:hAnsi="Symbol" w:hint="default"/>
      </w:rPr>
    </w:lvl>
    <w:lvl w:ilvl="4" w:tplc="041A0003">
      <w:start w:val="1"/>
      <w:numFmt w:val="bullet"/>
      <w:lvlText w:val="o"/>
      <w:lvlJc w:val="left"/>
      <w:pPr>
        <w:ind w:left="3681" w:hanging="360"/>
      </w:pPr>
      <w:rPr>
        <w:rFonts w:ascii="Courier New" w:hAnsi="Courier New" w:cs="Courier New" w:hint="default"/>
      </w:rPr>
    </w:lvl>
    <w:lvl w:ilvl="5" w:tplc="041A0005">
      <w:start w:val="1"/>
      <w:numFmt w:val="bullet"/>
      <w:lvlText w:val=""/>
      <w:lvlJc w:val="left"/>
      <w:pPr>
        <w:ind w:left="4401" w:hanging="360"/>
      </w:pPr>
      <w:rPr>
        <w:rFonts w:ascii="Wingdings" w:hAnsi="Wingdings" w:hint="default"/>
      </w:rPr>
    </w:lvl>
    <w:lvl w:ilvl="6" w:tplc="041A0001">
      <w:start w:val="1"/>
      <w:numFmt w:val="bullet"/>
      <w:lvlText w:val=""/>
      <w:lvlJc w:val="left"/>
      <w:pPr>
        <w:ind w:left="5121" w:hanging="360"/>
      </w:pPr>
      <w:rPr>
        <w:rFonts w:ascii="Symbol" w:hAnsi="Symbol" w:hint="default"/>
      </w:rPr>
    </w:lvl>
    <w:lvl w:ilvl="7" w:tplc="041A0003">
      <w:start w:val="1"/>
      <w:numFmt w:val="bullet"/>
      <w:lvlText w:val="o"/>
      <w:lvlJc w:val="left"/>
      <w:pPr>
        <w:ind w:left="5841" w:hanging="360"/>
      </w:pPr>
      <w:rPr>
        <w:rFonts w:ascii="Courier New" w:hAnsi="Courier New" w:cs="Courier New" w:hint="default"/>
      </w:rPr>
    </w:lvl>
    <w:lvl w:ilvl="8" w:tplc="041A0005">
      <w:start w:val="1"/>
      <w:numFmt w:val="bullet"/>
      <w:lvlText w:val=""/>
      <w:lvlJc w:val="left"/>
      <w:pPr>
        <w:ind w:left="6561" w:hanging="360"/>
      </w:pPr>
      <w:rPr>
        <w:rFonts w:ascii="Wingdings" w:hAnsi="Wingdings" w:hint="default"/>
      </w:rPr>
    </w:lvl>
  </w:abstractNum>
  <w:abstractNum w:abstractNumId="127" w15:restartNumberingAfterBreak="0">
    <w:nsid w:val="4EB11CE5"/>
    <w:multiLevelType w:val="hybridMultilevel"/>
    <w:tmpl w:val="84CC03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4EDB6050"/>
    <w:multiLevelType w:val="hybridMultilevel"/>
    <w:tmpl w:val="B44C7D86"/>
    <w:lvl w:ilvl="0" w:tplc="10EEC21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4F5F22A1"/>
    <w:multiLevelType w:val="hybridMultilevel"/>
    <w:tmpl w:val="6DAE093E"/>
    <w:lvl w:ilvl="0" w:tplc="0B5C477A">
      <w:numFmt w:val="bullet"/>
      <w:lvlText w:val="-"/>
      <w:lvlJc w:val="left"/>
      <w:pPr>
        <w:ind w:left="1238" w:hanging="360"/>
      </w:pPr>
      <w:rPr>
        <w:rFonts w:ascii="Calibri" w:eastAsia="Calibri" w:hAnsi="Calibri" w:cs="Calibri" w:hint="default"/>
        <w:b w:val="0"/>
        <w:bCs w:val="0"/>
        <w:i w:val="0"/>
        <w:iCs w:val="0"/>
        <w:w w:val="100"/>
        <w:sz w:val="22"/>
        <w:szCs w:val="22"/>
        <w:lang w:val="b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0" w15:restartNumberingAfterBreak="0">
    <w:nsid w:val="512E0ADB"/>
    <w:multiLevelType w:val="hybridMultilevel"/>
    <w:tmpl w:val="FFFFFFFF"/>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51D76E2E"/>
    <w:multiLevelType w:val="multilevel"/>
    <w:tmpl w:val="5A9E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259559C"/>
    <w:multiLevelType w:val="hybridMultilevel"/>
    <w:tmpl w:val="1378484C"/>
    <w:lvl w:ilvl="0" w:tplc="40FA0D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52CD392F"/>
    <w:multiLevelType w:val="hybridMultilevel"/>
    <w:tmpl w:val="F37215F4"/>
    <w:lvl w:ilvl="0" w:tplc="10EEC2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53191B33"/>
    <w:multiLevelType w:val="hybridMultilevel"/>
    <w:tmpl w:val="57EECF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55BC5030"/>
    <w:multiLevelType w:val="hybridMultilevel"/>
    <w:tmpl w:val="0536262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5672294B"/>
    <w:multiLevelType w:val="multilevel"/>
    <w:tmpl w:val="AE90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67D335E"/>
    <w:multiLevelType w:val="hybridMultilevel"/>
    <w:tmpl w:val="D114A7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56803FEA"/>
    <w:multiLevelType w:val="hybridMultilevel"/>
    <w:tmpl w:val="FFFFFFFF"/>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572F6CC8"/>
    <w:multiLevelType w:val="hybridMultilevel"/>
    <w:tmpl w:val="02188C38"/>
    <w:lvl w:ilvl="0" w:tplc="C260671E">
      <w:start w:val="1"/>
      <w:numFmt w:val="bullet"/>
      <w:lvlText w:val="-"/>
      <w:lvlJc w:val="left"/>
      <w:pPr>
        <w:tabs>
          <w:tab w:val="num" w:pos="720"/>
        </w:tabs>
        <w:ind w:left="720" w:hanging="360"/>
      </w:pPr>
      <w:rPr>
        <w:rFonts w:ascii="Times New Roman" w:hAnsi="Times New Roman" w:hint="default"/>
      </w:rPr>
    </w:lvl>
    <w:lvl w:ilvl="1" w:tplc="41DCF1E2">
      <w:start w:val="1"/>
      <w:numFmt w:val="bullet"/>
      <w:lvlText w:val="-"/>
      <w:lvlJc w:val="left"/>
      <w:pPr>
        <w:tabs>
          <w:tab w:val="num" w:pos="1440"/>
        </w:tabs>
        <w:ind w:left="1440" w:hanging="360"/>
      </w:pPr>
      <w:rPr>
        <w:rFonts w:ascii="Times New Roman" w:hAnsi="Times New Roman" w:hint="default"/>
      </w:rPr>
    </w:lvl>
    <w:lvl w:ilvl="2" w:tplc="EFD423EA" w:tentative="1">
      <w:start w:val="1"/>
      <w:numFmt w:val="bullet"/>
      <w:lvlText w:val="-"/>
      <w:lvlJc w:val="left"/>
      <w:pPr>
        <w:tabs>
          <w:tab w:val="num" w:pos="2160"/>
        </w:tabs>
        <w:ind w:left="2160" w:hanging="360"/>
      </w:pPr>
      <w:rPr>
        <w:rFonts w:ascii="Times New Roman" w:hAnsi="Times New Roman" w:hint="default"/>
      </w:rPr>
    </w:lvl>
    <w:lvl w:ilvl="3" w:tplc="38E4D866" w:tentative="1">
      <w:start w:val="1"/>
      <w:numFmt w:val="bullet"/>
      <w:lvlText w:val="-"/>
      <w:lvlJc w:val="left"/>
      <w:pPr>
        <w:tabs>
          <w:tab w:val="num" w:pos="2880"/>
        </w:tabs>
        <w:ind w:left="2880" w:hanging="360"/>
      </w:pPr>
      <w:rPr>
        <w:rFonts w:ascii="Times New Roman" w:hAnsi="Times New Roman" w:hint="default"/>
      </w:rPr>
    </w:lvl>
    <w:lvl w:ilvl="4" w:tplc="451CAD10" w:tentative="1">
      <w:start w:val="1"/>
      <w:numFmt w:val="bullet"/>
      <w:lvlText w:val="-"/>
      <w:lvlJc w:val="left"/>
      <w:pPr>
        <w:tabs>
          <w:tab w:val="num" w:pos="3600"/>
        </w:tabs>
        <w:ind w:left="3600" w:hanging="360"/>
      </w:pPr>
      <w:rPr>
        <w:rFonts w:ascii="Times New Roman" w:hAnsi="Times New Roman" w:hint="default"/>
      </w:rPr>
    </w:lvl>
    <w:lvl w:ilvl="5" w:tplc="ABE63FF4" w:tentative="1">
      <w:start w:val="1"/>
      <w:numFmt w:val="bullet"/>
      <w:lvlText w:val="-"/>
      <w:lvlJc w:val="left"/>
      <w:pPr>
        <w:tabs>
          <w:tab w:val="num" w:pos="4320"/>
        </w:tabs>
        <w:ind w:left="4320" w:hanging="360"/>
      </w:pPr>
      <w:rPr>
        <w:rFonts w:ascii="Times New Roman" w:hAnsi="Times New Roman" w:hint="default"/>
      </w:rPr>
    </w:lvl>
    <w:lvl w:ilvl="6" w:tplc="EA1CD7A8" w:tentative="1">
      <w:start w:val="1"/>
      <w:numFmt w:val="bullet"/>
      <w:lvlText w:val="-"/>
      <w:lvlJc w:val="left"/>
      <w:pPr>
        <w:tabs>
          <w:tab w:val="num" w:pos="5040"/>
        </w:tabs>
        <w:ind w:left="5040" w:hanging="360"/>
      </w:pPr>
      <w:rPr>
        <w:rFonts w:ascii="Times New Roman" w:hAnsi="Times New Roman" w:hint="default"/>
      </w:rPr>
    </w:lvl>
    <w:lvl w:ilvl="7" w:tplc="085CEEAC" w:tentative="1">
      <w:start w:val="1"/>
      <w:numFmt w:val="bullet"/>
      <w:lvlText w:val="-"/>
      <w:lvlJc w:val="left"/>
      <w:pPr>
        <w:tabs>
          <w:tab w:val="num" w:pos="5760"/>
        </w:tabs>
        <w:ind w:left="5760" w:hanging="360"/>
      </w:pPr>
      <w:rPr>
        <w:rFonts w:ascii="Times New Roman" w:hAnsi="Times New Roman" w:hint="default"/>
      </w:rPr>
    </w:lvl>
    <w:lvl w:ilvl="8" w:tplc="CC1E48E8" w:tentative="1">
      <w:start w:val="1"/>
      <w:numFmt w:val="bullet"/>
      <w:lvlText w:val="-"/>
      <w:lvlJc w:val="left"/>
      <w:pPr>
        <w:tabs>
          <w:tab w:val="num" w:pos="6480"/>
        </w:tabs>
        <w:ind w:left="6480" w:hanging="360"/>
      </w:pPr>
      <w:rPr>
        <w:rFonts w:ascii="Times New Roman" w:hAnsi="Times New Roman" w:hint="default"/>
      </w:rPr>
    </w:lvl>
  </w:abstractNum>
  <w:abstractNum w:abstractNumId="140" w15:restartNumberingAfterBreak="0">
    <w:nsid w:val="5761707E"/>
    <w:multiLevelType w:val="hybridMultilevel"/>
    <w:tmpl w:val="14B4B0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57B73DBB"/>
    <w:multiLevelType w:val="hybridMultilevel"/>
    <w:tmpl w:val="F552DC5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2" w15:restartNumberingAfterBreak="0">
    <w:nsid w:val="57DD74EB"/>
    <w:multiLevelType w:val="hybridMultilevel"/>
    <w:tmpl w:val="5C4C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7DF4C81"/>
    <w:multiLevelType w:val="hybridMultilevel"/>
    <w:tmpl w:val="5A527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8FC7616"/>
    <w:multiLevelType w:val="hybridMultilevel"/>
    <w:tmpl w:val="D9F64D8E"/>
    <w:styleLink w:val="1ai"/>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5" w15:restartNumberingAfterBreak="0">
    <w:nsid w:val="597513EE"/>
    <w:multiLevelType w:val="hybridMultilevel"/>
    <w:tmpl w:val="92566A2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6" w15:restartNumberingAfterBreak="0">
    <w:nsid w:val="5A9E19EF"/>
    <w:multiLevelType w:val="hybridMultilevel"/>
    <w:tmpl w:val="4BBCF2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5C1907C2"/>
    <w:multiLevelType w:val="hybridMultilevel"/>
    <w:tmpl w:val="BAE2E7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15:restartNumberingAfterBreak="0">
    <w:nsid w:val="5C48123F"/>
    <w:multiLevelType w:val="hybridMultilevel"/>
    <w:tmpl w:val="499418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5DE017AE"/>
    <w:multiLevelType w:val="hybridMultilevel"/>
    <w:tmpl w:val="FFFFFFFF"/>
    <w:lvl w:ilvl="0" w:tplc="0B2265FC">
      <w:numFmt w:val="bullet"/>
      <w:lvlText w:val="-"/>
      <w:lvlJc w:val="left"/>
      <w:pPr>
        <w:ind w:left="720" w:hanging="360"/>
      </w:pPr>
      <w:rPr>
        <w:rFonts w:ascii="Calibri" w:hAnsi="Calibri"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5E0D6B9A"/>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EC211AE"/>
    <w:multiLevelType w:val="hybridMultilevel"/>
    <w:tmpl w:val="FAE25A50"/>
    <w:lvl w:ilvl="0" w:tplc="041A0001">
      <w:start w:val="1"/>
      <w:numFmt w:val="bullet"/>
      <w:lvlText w:val=""/>
      <w:lvlJc w:val="left"/>
      <w:pPr>
        <w:ind w:left="720" w:hanging="360"/>
      </w:pPr>
      <w:rPr>
        <w:rFonts w:ascii="Symbol" w:hAnsi="Symbol" w:hint="default"/>
      </w:rPr>
    </w:lvl>
    <w:lvl w:ilvl="1" w:tplc="AE7E9674">
      <w:start w:val="1"/>
      <w:numFmt w:val="bullet"/>
      <w:lvlText w:val="-"/>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2" w15:restartNumberingAfterBreak="0">
    <w:nsid w:val="60AB54B3"/>
    <w:multiLevelType w:val="hybridMultilevel"/>
    <w:tmpl w:val="FFFFFFFF"/>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60D4C055"/>
    <w:multiLevelType w:val="hybridMultilevel"/>
    <w:tmpl w:val="FFFFFFFF"/>
    <w:lvl w:ilvl="0" w:tplc="922E54E8">
      <w:start w:val="1"/>
      <w:numFmt w:val="bullet"/>
      <w:lvlText w:val=""/>
      <w:lvlJc w:val="left"/>
      <w:pPr>
        <w:ind w:left="720" w:hanging="360"/>
      </w:pPr>
      <w:rPr>
        <w:rFonts w:ascii="Symbol" w:hAnsi="Symbol" w:hint="default"/>
      </w:rPr>
    </w:lvl>
    <w:lvl w:ilvl="1" w:tplc="BB3A5422">
      <w:start w:val="1"/>
      <w:numFmt w:val="bullet"/>
      <w:lvlText w:val="o"/>
      <w:lvlJc w:val="left"/>
      <w:pPr>
        <w:ind w:left="1440" w:hanging="360"/>
      </w:pPr>
      <w:rPr>
        <w:rFonts w:ascii="Courier New" w:hAnsi="Courier New" w:hint="default"/>
      </w:rPr>
    </w:lvl>
    <w:lvl w:ilvl="2" w:tplc="F7181EBA">
      <w:start w:val="1"/>
      <w:numFmt w:val="bullet"/>
      <w:lvlText w:val=""/>
      <w:lvlJc w:val="left"/>
      <w:pPr>
        <w:ind w:left="2160" w:hanging="360"/>
      </w:pPr>
      <w:rPr>
        <w:rFonts w:ascii="Wingdings" w:hAnsi="Wingdings" w:hint="default"/>
      </w:rPr>
    </w:lvl>
    <w:lvl w:ilvl="3" w:tplc="3C806EB0">
      <w:start w:val="1"/>
      <w:numFmt w:val="bullet"/>
      <w:lvlText w:val=""/>
      <w:lvlJc w:val="left"/>
      <w:pPr>
        <w:ind w:left="2880" w:hanging="360"/>
      </w:pPr>
      <w:rPr>
        <w:rFonts w:ascii="Symbol" w:hAnsi="Symbol" w:hint="default"/>
      </w:rPr>
    </w:lvl>
    <w:lvl w:ilvl="4" w:tplc="D19E2BA0">
      <w:start w:val="1"/>
      <w:numFmt w:val="bullet"/>
      <w:lvlText w:val="o"/>
      <w:lvlJc w:val="left"/>
      <w:pPr>
        <w:ind w:left="3600" w:hanging="360"/>
      </w:pPr>
      <w:rPr>
        <w:rFonts w:ascii="Courier New" w:hAnsi="Courier New" w:hint="default"/>
      </w:rPr>
    </w:lvl>
    <w:lvl w:ilvl="5" w:tplc="FD24196E">
      <w:start w:val="1"/>
      <w:numFmt w:val="bullet"/>
      <w:lvlText w:val=""/>
      <w:lvlJc w:val="left"/>
      <w:pPr>
        <w:ind w:left="4320" w:hanging="360"/>
      </w:pPr>
      <w:rPr>
        <w:rFonts w:ascii="Wingdings" w:hAnsi="Wingdings" w:hint="default"/>
      </w:rPr>
    </w:lvl>
    <w:lvl w:ilvl="6" w:tplc="19FC31D2">
      <w:start w:val="1"/>
      <w:numFmt w:val="bullet"/>
      <w:lvlText w:val=""/>
      <w:lvlJc w:val="left"/>
      <w:pPr>
        <w:ind w:left="5040" w:hanging="360"/>
      </w:pPr>
      <w:rPr>
        <w:rFonts w:ascii="Symbol" w:hAnsi="Symbol" w:hint="default"/>
      </w:rPr>
    </w:lvl>
    <w:lvl w:ilvl="7" w:tplc="D056EE14">
      <w:start w:val="1"/>
      <w:numFmt w:val="bullet"/>
      <w:lvlText w:val="o"/>
      <w:lvlJc w:val="left"/>
      <w:pPr>
        <w:ind w:left="5760" w:hanging="360"/>
      </w:pPr>
      <w:rPr>
        <w:rFonts w:ascii="Courier New" w:hAnsi="Courier New" w:hint="default"/>
      </w:rPr>
    </w:lvl>
    <w:lvl w:ilvl="8" w:tplc="FD6841B2">
      <w:start w:val="1"/>
      <w:numFmt w:val="bullet"/>
      <w:lvlText w:val=""/>
      <w:lvlJc w:val="left"/>
      <w:pPr>
        <w:ind w:left="6480" w:hanging="360"/>
      </w:pPr>
      <w:rPr>
        <w:rFonts w:ascii="Wingdings" w:hAnsi="Wingdings" w:hint="default"/>
      </w:rPr>
    </w:lvl>
  </w:abstractNum>
  <w:abstractNum w:abstractNumId="154" w15:restartNumberingAfterBreak="0">
    <w:nsid w:val="61A84661"/>
    <w:multiLevelType w:val="hybridMultilevel"/>
    <w:tmpl w:val="8EE8022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5" w15:restartNumberingAfterBreak="0">
    <w:nsid w:val="62396459"/>
    <w:multiLevelType w:val="hybridMultilevel"/>
    <w:tmpl w:val="D85A7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297155F"/>
    <w:multiLevelType w:val="hybridMultilevel"/>
    <w:tmpl w:val="0D6A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2F0C7A3"/>
    <w:multiLevelType w:val="hybridMultilevel"/>
    <w:tmpl w:val="FFFFFFFF"/>
    <w:lvl w:ilvl="0" w:tplc="2F2C03BE">
      <w:start w:val="1"/>
      <w:numFmt w:val="bullet"/>
      <w:lvlText w:val=""/>
      <w:lvlJc w:val="left"/>
      <w:pPr>
        <w:ind w:left="720" w:hanging="360"/>
      </w:pPr>
      <w:rPr>
        <w:rFonts w:ascii="Symbol" w:hAnsi="Symbol" w:hint="default"/>
      </w:rPr>
    </w:lvl>
    <w:lvl w:ilvl="1" w:tplc="FAF2AE8A">
      <w:start w:val="1"/>
      <w:numFmt w:val="bullet"/>
      <w:lvlText w:val="o"/>
      <w:lvlJc w:val="left"/>
      <w:pPr>
        <w:ind w:left="1440" w:hanging="360"/>
      </w:pPr>
      <w:rPr>
        <w:rFonts w:ascii="Courier New" w:hAnsi="Courier New" w:hint="default"/>
      </w:rPr>
    </w:lvl>
    <w:lvl w:ilvl="2" w:tplc="88DE2112">
      <w:start w:val="1"/>
      <w:numFmt w:val="bullet"/>
      <w:lvlText w:val=""/>
      <w:lvlJc w:val="left"/>
      <w:pPr>
        <w:ind w:left="2160" w:hanging="360"/>
      </w:pPr>
      <w:rPr>
        <w:rFonts w:ascii="Wingdings" w:hAnsi="Wingdings" w:hint="default"/>
      </w:rPr>
    </w:lvl>
    <w:lvl w:ilvl="3" w:tplc="F078D332">
      <w:start w:val="1"/>
      <w:numFmt w:val="bullet"/>
      <w:lvlText w:val=""/>
      <w:lvlJc w:val="left"/>
      <w:pPr>
        <w:ind w:left="2880" w:hanging="360"/>
      </w:pPr>
      <w:rPr>
        <w:rFonts w:ascii="Symbol" w:hAnsi="Symbol" w:hint="default"/>
      </w:rPr>
    </w:lvl>
    <w:lvl w:ilvl="4" w:tplc="C14C117C">
      <w:start w:val="1"/>
      <w:numFmt w:val="bullet"/>
      <w:lvlText w:val="o"/>
      <w:lvlJc w:val="left"/>
      <w:pPr>
        <w:ind w:left="3600" w:hanging="360"/>
      </w:pPr>
      <w:rPr>
        <w:rFonts w:ascii="Courier New" w:hAnsi="Courier New" w:hint="default"/>
      </w:rPr>
    </w:lvl>
    <w:lvl w:ilvl="5" w:tplc="FDAA20F6">
      <w:start w:val="1"/>
      <w:numFmt w:val="bullet"/>
      <w:lvlText w:val=""/>
      <w:lvlJc w:val="left"/>
      <w:pPr>
        <w:ind w:left="4320" w:hanging="360"/>
      </w:pPr>
      <w:rPr>
        <w:rFonts w:ascii="Wingdings" w:hAnsi="Wingdings" w:hint="default"/>
      </w:rPr>
    </w:lvl>
    <w:lvl w:ilvl="6" w:tplc="ECE22708">
      <w:start w:val="1"/>
      <w:numFmt w:val="bullet"/>
      <w:lvlText w:val=""/>
      <w:lvlJc w:val="left"/>
      <w:pPr>
        <w:ind w:left="5040" w:hanging="360"/>
      </w:pPr>
      <w:rPr>
        <w:rFonts w:ascii="Symbol" w:hAnsi="Symbol" w:hint="default"/>
      </w:rPr>
    </w:lvl>
    <w:lvl w:ilvl="7" w:tplc="D2E8C002">
      <w:start w:val="1"/>
      <w:numFmt w:val="bullet"/>
      <w:lvlText w:val="o"/>
      <w:lvlJc w:val="left"/>
      <w:pPr>
        <w:ind w:left="5760" w:hanging="360"/>
      </w:pPr>
      <w:rPr>
        <w:rFonts w:ascii="Courier New" w:hAnsi="Courier New" w:hint="default"/>
      </w:rPr>
    </w:lvl>
    <w:lvl w:ilvl="8" w:tplc="838AABBC">
      <w:start w:val="1"/>
      <w:numFmt w:val="bullet"/>
      <w:lvlText w:val=""/>
      <w:lvlJc w:val="left"/>
      <w:pPr>
        <w:ind w:left="6480" w:hanging="360"/>
      </w:pPr>
      <w:rPr>
        <w:rFonts w:ascii="Wingdings" w:hAnsi="Wingdings" w:hint="default"/>
      </w:rPr>
    </w:lvl>
  </w:abstractNum>
  <w:abstractNum w:abstractNumId="158" w15:restartNumberingAfterBreak="0">
    <w:nsid w:val="64B12422"/>
    <w:multiLevelType w:val="hybridMultilevel"/>
    <w:tmpl w:val="B2EECABA"/>
    <w:styleLink w:val="111111"/>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9" w15:restartNumberingAfterBreak="0">
    <w:nsid w:val="653B4C88"/>
    <w:multiLevelType w:val="hybridMultilevel"/>
    <w:tmpl w:val="FFFFFFFF"/>
    <w:lvl w:ilvl="0" w:tplc="0B2265FC">
      <w:numFmt w:val="bullet"/>
      <w:lvlText w:val="-"/>
      <w:lvlJc w:val="left"/>
      <w:pPr>
        <w:ind w:left="2271" w:hanging="360"/>
      </w:pPr>
      <w:rPr>
        <w:rFonts w:ascii="Calibri" w:hAnsi="Calibri" w:hint="default"/>
        <w:color w:val="auto"/>
      </w:rPr>
    </w:lvl>
    <w:lvl w:ilvl="1" w:tplc="FFFFFFFF" w:tentative="1">
      <w:start w:val="1"/>
      <w:numFmt w:val="bullet"/>
      <w:lvlText w:val="o"/>
      <w:lvlJc w:val="left"/>
      <w:pPr>
        <w:ind w:left="2991" w:hanging="360"/>
      </w:pPr>
      <w:rPr>
        <w:rFonts w:ascii="Courier New" w:hAnsi="Courier New" w:hint="default"/>
      </w:rPr>
    </w:lvl>
    <w:lvl w:ilvl="2" w:tplc="FFFFFFFF" w:tentative="1">
      <w:start w:val="1"/>
      <w:numFmt w:val="bullet"/>
      <w:lvlText w:val=""/>
      <w:lvlJc w:val="left"/>
      <w:pPr>
        <w:ind w:left="3711" w:hanging="360"/>
      </w:pPr>
      <w:rPr>
        <w:rFonts w:ascii="Wingdings" w:hAnsi="Wingdings" w:hint="default"/>
      </w:rPr>
    </w:lvl>
    <w:lvl w:ilvl="3" w:tplc="FFFFFFFF" w:tentative="1">
      <w:start w:val="1"/>
      <w:numFmt w:val="bullet"/>
      <w:lvlText w:val=""/>
      <w:lvlJc w:val="left"/>
      <w:pPr>
        <w:ind w:left="4431" w:hanging="360"/>
      </w:pPr>
      <w:rPr>
        <w:rFonts w:ascii="Symbol" w:hAnsi="Symbol" w:hint="default"/>
      </w:rPr>
    </w:lvl>
    <w:lvl w:ilvl="4" w:tplc="FFFFFFFF" w:tentative="1">
      <w:start w:val="1"/>
      <w:numFmt w:val="bullet"/>
      <w:lvlText w:val="o"/>
      <w:lvlJc w:val="left"/>
      <w:pPr>
        <w:ind w:left="5151" w:hanging="360"/>
      </w:pPr>
      <w:rPr>
        <w:rFonts w:ascii="Courier New" w:hAnsi="Courier New" w:hint="default"/>
      </w:rPr>
    </w:lvl>
    <w:lvl w:ilvl="5" w:tplc="FFFFFFFF" w:tentative="1">
      <w:start w:val="1"/>
      <w:numFmt w:val="bullet"/>
      <w:lvlText w:val=""/>
      <w:lvlJc w:val="left"/>
      <w:pPr>
        <w:ind w:left="5871" w:hanging="360"/>
      </w:pPr>
      <w:rPr>
        <w:rFonts w:ascii="Wingdings" w:hAnsi="Wingdings" w:hint="default"/>
      </w:rPr>
    </w:lvl>
    <w:lvl w:ilvl="6" w:tplc="FFFFFFFF" w:tentative="1">
      <w:start w:val="1"/>
      <w:numFmt w:val="bullet"/>
      <w:lvlText w:val=""/>
      <w:lvlJc w:val="left"/>
      <w:pPr>
        <w:ind w:left="6591" w:hanging="360"/>
      </w:pPr>
      <w:rPr>
        <w:rFonts w:ascii="Symbol" w:hAnsi="Symbol" w:hint="default"/>
      </w:rPr>
    </w:lvl>
    <w:lvl w:ilvl="7" w:tplc="FFFFFFFF" w:tentative="1">
      <w:start w:val="1"/>
      <w:numFmt w:val="bullet"/>
      <w:lvlText w:val="o"/>
      <w:lvlJc w:val="left"/>
      <w:pPr>
        <w:ind w:left="7311" w:hanging="360"/>
      </w:pPr>
      <w:rPr>
        <w:rFonts w:ascii="Courier New" w:hAnsi="Courier New" w:hint="default"/>
      </w:rPr>
    </w:lvl>
    <w:lvl w:ilvl="8" w:tplc="FFFFFFFF" w:tentative="1">
      <w:start w:val="1"/>
      <w:numFmt w:val="bullet"/>
      <w:lvlText w:val=""/>
      <w:lvlJc w:val="left"/>
      <w:pPr>
        <w:ind w:left="8031" w:hanging="360"/>
      </w:pPr>
      <w:rPr>
        <w:rFonts w:ascii="Wingdings" w:hAnsi="Wingdings" w:hint="default"/>
      </w:rPr>
    </w:lvl>
  </w:abstractNum>
  <w:abstractNum w:abstractNumId="160" w15:restartNumberingAfterBreak="0">
    <w:nsid w:val="666F746D"/>
    <w:multiLevelType w:val="hybridMultilevel"/>
    <w:tmpl w:val="FFFFFFFF"/>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86D5856"/>
    <w:multiLevelType w:val="hybridMultilevel"/>
    <w:tmpl w:val="6428BA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692C7CD2"/>
    <w:multiLevelType w:val="hybridMultilevel"/>
    <w:tmpl w:val="B56EB5B2"/>
    <w:lvl w:ilvl="0" w:tplc="041A0001">
      <w:start w:val="1"/>
      <w:numFmt w:val="bullet"/>
      <w:lvlText w:val=""/>
      <w:lvlJc w:val="left"/>
      <w:pPr>
        <w:ind w:left="1077" w:hanging="360"/>
      </w:pPr>
      <w:rPr>
        <w:rFonts w:ascii="Symbol" w:hAnsi="Symbol"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163" w15:restartNumberingAfterBreak="0">
    <w:nsid w:val="6AD5386D"/>
    <w:multiLevelType w:val="hybridMultilevel"/>
    <w:tmpl w:val="E55E040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4" w15:restartNumberingAfterBreak="0">
    <w:nsid w:val="6B060764"/>
    <w:multiLevelType w:val="hybridMultilevel"/>
    <w:tmpl w:val="54C467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15:restartNumberingAfterBreak="0">
    <w:nsid w:val="6B66799E"/>
    <w:multiLevelType w:val="hybridMultilevel"/>
    <w:tmpl w:val="EF1A3A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15:restartNumberingAfterBreak="0">
    <w:nsid w:val="6BB84F45"/>
    <w:multiLevelType w:val="multilevel"/>
    <w:tmpl w:val="FFFFFFFF"/>
    <w:lvl w:ilvl="0">
      <w:start w:val="1"/>
      <w:numFmt w:val="decimal"/>
      <w:lvlText w:val="%1)"/>
      <w:lvlJc w:val="left"/>
      <w:pPr>
        <w:ind w:left="1977" w:hanging="360"/>
      </w:pPr>
      <w:rPr>
        <w:rFonts w:cs="Times New Roman"/>
      </w:rPr>
    </w:lvl>
    <w:lvl w:ilvl="1">
      <w:start w:val="1"/>
      <w:numFmt w:val="lowerLetter"/>
      <w:lvlText w:val="%2)"/>
      <w:lvlJc w:val="left"/>
      <w:pPr>
        <w:ind w:left="2337" w:hanging="360"/>
      </w:pPr>
      <w:rPr>
        <w:rFonts w:cs="Times New Roman"/>
      </w:rPr>
    </w:lvl>
    <w:lvl w:ilvl="2">
      <w:start w:val="1"/>
      <w:numFmt w:val="lowerRoman"/>
      <w:lvlText w:val="%3)"/>
      <w:lvlJc w:val="left"/>
      <w:pPr>
        <w:ind w:left="2697" w:hanging="360"/>
      </w:pPr>
      <w:rPr>
        <w:rFonts w:cs="Times New Roman"/>
      </w:rPr>
    </w:lvl>
    <w:lvl w:ilvl="3">
      <w:start w:val="1"/>
      <w:numFmt w:val="decimal"/>
      <w:lvlText w:val="(%4)"/>
      <w:lvlJc w:val="left"/>
      <w:pPr>
        <w:ind w:left="3057" w:hanging="360"/>
      </w:pPr>
      <w:rPr>
        <w:rFonts w:cs="Times New Roman"/>
      </w:rPr>
    </w:lvl>
    <w:lvl w:ilvl="4">
      <w:start w:val="1"/>
      <w:numFmt w:val="lowerLetter"/>
      <w:lvlText w:val="(%5)"/>
      <w:lvlJc w:val="left"/>
      <w:pPr>
        <w:ind w:left="3417" w:hanging="360"/>
      </w:pPr>
      <w:rPr>
        <w:rFonts w:cs="Times New Roman"/>
      </w:rPr>
    </w:lvl>
    <w:lvl w:ilvl="5">
      <w:start w:val="1"/>
      <w:numFmt w:val="lowerRoman"/>
      <w:lvlText w:val="(%6)"/>
      <w:lvlJc w:val="left"/>
      <w:pPr>
        <w:ind w:left="3777" w:hanging="360"/>
      </w:pPr>
      <w:rPr>
        <w:rFonts w:cs="Times New Roman"/>
      </w:rPr>
    </w:lvl>
    <w:lvl w:ilvl="6">
      <w:start w:val="1"/>
      <w:numFmt w:val="decimal"/>
      <w:lvlText w:val="%7."/>
      <w:lvlJc w:val="left"/>
      <w:pPr>
        <w:ind w:left="4137" w:hanging="360"/>
      </w:pPr>
      <w:rPr>
        <w:rFonts w:cs="Times New Roman"/>
      </w:rPr>
    </w:lvl>
    <w:lvl w:ilvl="7">
      <w:start w:val="1"/>
      <w:numFmt w:val="lowerLetter"/>
      <w:lvlText w:val="%8."/>
      <w:lvlJc w:val="left"/>
      <w:pPr>
        <w:ind w:left="4497" w:hanging="360"/>
      </w:pPr>
      <w:rPr>
        <w:rFonts w:cs="Times New Roman"/>
      </w:rPr>
    </w:lvl>
    <w:lvl w:ilvl="8">
      <w:start w:val="1"/>
      <w:numFmt w:val="lowerRoman"/>
      <w:lvlText w:val="%9."/>
      <w:lvlJc w:val="left"/>
      <w:pPr>
        <w:ind w:left="4857" w:hanging="360"/>
      </w:pPr>
      <w:rPr>
        <w:rFonts w:cs="Times New Roman"/>
      </w:rPr>
    </w:lvl>
  </w:abstractNum>
  <w:abstractNum w:abstractNumId="167" w15:restartNumberingAfterBreak="0">
    <w:nsid w:val="6C9F4D35"/>
    <w:multiLevelType w:val="hybridMultilevel"/>
    <w:tmpl w:val="3BCC79C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8" w15:restartNumberingAfterBreak="0">
    <w:nsid w:val="6CFE0D62"/>
    <w:multiLevelType w:val="hybridMultilevel"/>
    <w:tmpl w:val="0AC0CD88"/>
    <w:styleLink w:val="StyleBulleted"/>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9" w15:restartNumberingAfterBreak="0">
    <w:nsid w:val="6D81324D"/>
    <w:multiLevelType w:val="hybridMultilevel"/>
    <w:tmpl w:val="EFA4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DE7A85F"/>
    <w:multiLevelType w:val="hybridMultilevel"/>
    <w:tmpl w:val="FFFFFFFF"/>
    <w:lvl w:ilvl="0" w:tplc="D5663614">
      <w:start w:val="1"/>
      <w:numFmt w:val="bullet"/>
      <w:lvlText w:val=""/>
      <w:lvlJc w:val="left"/>
      <w:pPr>
        <w:ind w:left="720" w:hanging="360"/>
      </w:pPr>
      <w:rPr>
        <w:rFonts w:ascii="Symbol" w:hAnsi="Symbol" w:hint="default"/>
      </w:rPr>
    </w:lvl>
    <w:lvl w:ilvl="1" w:tplc="173A8298">
      <w:start w:val="1"/>
      <w:numFmt w:val="bullet"/>
      <w:lvlText w:val="o"/>
      <w:lvlJc w:val="left"/>
      <w:pPr>
        <w:ind w:left="1440" w:hanging="360"/>
      </w:pPr>
      <w:rPr>
        <w:rFonts w:ascii="Courier New" w:hAnsi="Courier New" w:hint="default"/>
      </w:rPr>
    </w:lvl>
    <w:lvl w:ilvl="2" w:tplc="875A1E14">
      <w:start w:val="1"/>
      <w:numFmt w:val="bullet"/>
      <w:lvlText w:val=""/>
      <w:lvlJc w:val="left"/>
      <w:pPr>
        <w:ind w:left="2160" w:hanging="360"/>
      </w:pPr>
      <w:rPr>
        <w:rFonts w:ascii="Wingdings" w:hAnsi="Wingdings" w:hint="default"/>
      </w:rPr>
    </w:lvl>
    <w:lvl w:ilvl="3" w:tplc="663C6934">
      <w:start w:val="1"/>
      <w:numFmt w:val="bullet"/>
      <w:lvlText w:val=""/>
      <w:lvlJc w:val="left"/>
      <w:pPr>
        <w:ind w:left="2880" w:hanging="360"/>
      </w:pPr>
      <w:rPr>
        <w:rFonts w:ascii="Symbol" w:hAnsi="Symbol" w:hint="default"/>
      </w:rPr>
    </w:lvl>
    <w:lvl w:ilvl="4" w:tplc="6A4EBC56">
      <w:start w:val="1"/>
      <w:numFmt w:val="bullet"/>
      <w:lvlText w:val="o"/>
      <w:lvlJc w:val="left"/>
      <w:pPr>
        <w:ind w:left="3600" w:hanging="360"/>
      </w:pPr>
      <w:rPr>
        <w:rFonts w:ascii="Courier New" w:hAnsi="Courier New" w:hint="default"/>
      </w:rPr>
    </w:lvl>
    <w:lvl w:ilvl="5" w:tplc="9EAE046A">
      <w:start w:val="1"/>
      <w:numFmt w:val="bullet"/>
      <w:lvlText w:val=""/>
      <w:lvlJc w:val="left"/>
      <w:pPr>
        <w:ind w:left="4320" w:hanging="360"/>
      </w:pPr>
      <w:rPr>
        <w:rFonts w:ascii="Wingdings" w:hAnsi="Wingdings" w:hint="default"/>
      </w:rPr>
    </w:lvl>
    <w:lvl w:ilvl="6" w:tplc="B27CE7BE">
      <w:start w:val="1"/>
      <w:numFmt w:val="bullet"/>
      <w:lvlText w:val=""/>
      <w:lvlJc w:val="left"/>
      <w:pPr>
        <w:ind w:left="5040" w:hanging="360"/>
      </w:pPr>
      <w:rPr>
        <w:rFonts w:ascii="Symbol" w:hAnsi="Symbol" w:hint="default"/>
      </w:rPr>
    </w:lvl>
    <w:lvl w:ilvl="7" w:tplc="E97E4480">
      <w:start w:val="1"/>
      <w:numFmt w:val="bullet"/>
      <w:lvlText w:val="o"/>
      <w:lvlJc w:val="left"/>
      <w:pPr>
        <w:ind w:left="5760" w:hanging="360"/>
      </w:pPr>
      <w:rPr>
        <w:rFonts w:ascii="Courier New" w:hAnsi="Courier New" w:hint="default"/>
      </w:rPr>
    </w:lvl>
    <w:lvl w:ilvl="8" w:tplc="72CC7000">
      <w:start w:val="1"/>
      <w:numFmt w:val="bullet"/>
      <w:lvlText w:val=""/>
      <w:lvlJc w:val="left"/>
      <w:pPr>
        <w:ind w:left="6480" w:hanging="360"/>
      </w:pPr>
      <w:rPr>
        <w:rFonts w:ascii="Wingdings" w:hAnsi="Wingdings" w:hint="default"/>
      </w:rPr>
    </w:lvl>
  </w:abstractNum>
  <w:abstractNum w:abstractNumId="171" w15:restartNumberingAfterBreak="0">
    <w:nsid w:val="6E8D779E"/>
    <w:multiLevelType w:val="hybridMultilevel"/>
    <w:tmpl w:val="FFFFFFFF"/>
    <w:lvl w:ilvl="0" w:tplc="0B2265FC">
      <w:numFmt w:val="bullet"/>
      <w:lvlText w:val="-"/>
      <w:lvlJc w:val="left"/>
      <w:pPr>
        <w:ind w:left="720" w:hanging="360"/>
      </w:pPr>
      <w:rPr>
        <w:rFonts w:ascii="Calibri" w:hAnsi="Calibri"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70692DB0"/>
    <w:multiLevelType w:val="hybridMultilevel"/>
    <w:tmpl w:val="FFFFFFFF"/>
    <w:lvl w:ilvl="0" w:tplc="0B2265FC">
      <w:numFmt w:val="bullet"/>
      <w:lvlText w:val="-"/>
      <w:lvlJc w:val="left"/>
      <w:pPr>
        <w:ind w:left="720" w:hanging="360"/>
      </w:pPr>
      <w:rPr>
        <w:rFonts w:ascii="Calibri" w:hAnsi="Calibri"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711F0ECC"/>
    <w:multiLevelType w:val="hybridMultilevel"/>
    <w:tmpl w:val="BAAAC6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4" w15:restartNumberingAfterBreak="0">
    <w:nsid w:val="71301BBB"/>
    <w:multiLevelType w:val="hybridMultilevel"/>
    <w:tmpl w:val="0F64E7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5" w15:restartNumberingAfterBreak="0">
    <w:nsid w:val="717E4557"/>
    <w:multiLevelType w:val="hybridMultilevel"/>
    <w:tmpl w:val="BC36F2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722D76A0"/>
    <w:multiLevelType w:val="hybridMultilevel"/>
    <w:tmpl w:val="4B4E69AE"/>
    <w:lvl w:ilvl="0" w:tplc="AE7E9674">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15:restartNumberingAfterBreak="0">
    <w:nsid w:val="738C0117"/>
    <w:multiLevelType w:val="hybridMultilevel"/>
    <w:tmpl w:val="8360917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8" w15:restartNumberingAfterBreak="0">
    <w:nsid w:val="74831A87"/>
    <w:multiLevelType w:val="hybridMultilevel"/>
    <w:tmpl w:val="D17E8FAC"/>
    <w:lvl w:ilvl="0" w:tplc="CE72AA74">
      <w:numFmt w:val="bullet"/>
      <w:lvlText w:val=""/>
      <w:lvlJc w:val="left"/>
      <w:pPr>
        <w:ind w:left="720" w:hanging="360"/>
      </w:pPr>
      <w:rPr>
        <w:rFonts w:ascii="Symbol" w:eastAsia="Aptos"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9" w15:restartNumberingAfterBreak="0">
    <w:nsid w:val="7523193F"/>
    <w:multiLevelType w:val="hybridMultilevel"/>
    <w:tmpl w:val="137848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76DF09C2"/>
    <w:multiLevelType w:val="hybridMultilevel"/>
    <w:tmpl w:val="06682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74A11E3"/>
    <w:multiLevelType w:val="hybridMultilevel"/>
    <w:tmpl w:val="B95EE8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2" w15:restartNumberingAfterBreak="0">
    <w:nsid w:val="78326DC4"/>
    <w:multiLevelType w:val="hybridMultilevel"/>
    <w:tmpl w:val="3968AE92"/>
    <w:lvl w:ilvl="0" w:tplc="7258244E">
      <w:numFmt w:val="bullet"/>
      <w:lvlText w:val="•"/>
      <w:lvlJc w:val="left"/>
      <w:pPr>
        <w:ind w:left="720" w:hanging="360"/>
      </w:pPr>
      <w:rPr>
        <w:rFonts w:hint="default"/>
        <w:lang w:val="bs" w:eastAsia="en-US" w:bidi="ar-SA"/>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3" w15:restartNumberingAfterBreak="0">
    <w:nsid w:val="794232B3"/>
    <w:multiLevelType w:val="hybridMultilevel"/>
    <w:tmpl w:val="BAA4D5A0"/>
    <w:lvl w:ilvl="0" w:tplc="8C3092A8">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A2B0E7A"/>
    <w:multiLevelType w:val="hybridMultilevel"/>
    <w:tmpl w:val="9D043212"/>
    <w:lvl w:ilvl="0" w:tplc="08090001">
      <w:start w:val="1"/>
      <w:numFmt w:val="bullet"/>
      <w:lvlText w:val=""/>
      <w:lvlJc w:val="left"/>
      <w:pPr>
        <w:ind w:left="801" w:hanging="360"/>
      </w:pPr>
      <w:rPr>
        <w:rFonts w:ascii="Symbol" w:hAnsi="Symbol" w:hint="default"/>
        <w:color w:val="auto"/>
      </w:rPr>
    </w:lvl>
    <w:lvl w:ilvl="1" w:tplc="FFFFFFFF" w:tentative="1">
      <w:start w:val="1"/>
      <w:numFmt w:val="bullet"/>
      <w:lvlText w:val="o"/>
      <w:lvlJc w:val="left"/>
      <w:pPr>
        <w:ind w:left="1521" w:hanging="360"/>
      </w:pPr>
      <w:rPr>
        <w:rFonts w:ascii="Courier New" w:hAnsi="Courier New" w:hint="default"/>
      </w:rPr>
    </w:lvl>
    <w:lvl w:ilvl="2" w:tplc="FFFFFFFF" w:tentative="1">
      <w:start w:val="1"/>
      <w:numFmt w:val="bullet"/>
      <w:lvlText w:val=""/>
      <w:lvlJc w:val="left"/>
      <w:pPr>
        <w:ind w:left="2241" w:hanging="360"/>
      </w:pPr>
      <w:rPr>
        <w:rFonts w:ascii="Wingdings" w:hAnsi="Wingdings" w:hint="default"/>
      </w:rPr>
    </w:lvl>
    <w:lvl w:ilvl="3" w:tplc="FFFFFFFF" w:tentative="1">
      <w:start w:val="1"/>
      <w:numFmt w:val="bullet"/>
      <w:lvlText w:val=""/>
      <w:lvlJc w:val="left"/>
      <w:pPr>
        <w:ind w:left="2961" w:hanging="360"/>
      </w:pPr>
      <w:rPr>
        <w:rFonts w:ascii="Symbol" w:hAnsi="Symbol" w:hint="default"/>
      </w:rPr>
    </w:lvl>
    <w:lvl w:ilvl="4" w:tplc="FFFFFFFF" w:tentative="1">
      <w:start w:val="1"/>
      <w:numFmt w:val="bullet"/>
      <w:lvlText w:val="o"/>
      <w:lvlJc w:val="left"/>
      <w:pPr>
        <w:ind w:left="3681" w:hanging="360"/>
      </w:pPr>
      <w:rPr>
        <w:rFonts w:ascii="Courier New" w:hAnsi="Courier New" w:hint="default"/>
      </w:rPr>
    </w:lvl>
    <w:lvl w:ilvl="5" w:tplc="FFFFFFFF" w:tentative="1">
      <w:start w:val="1"/>
      <w:numFmt w:val="bullet"/>
      <w:lvlText w:val=""/>
      <w:lvlJc w:val="left"/>
      <w:pPr>
        <w:ind w:left="4401" w:hanging="360"/>
      </w:pPr>
      <w:rPr>
        <w:rFonts w:ascii="Wingdings" w:hAnsi="Wingdings" w:hint="default"/>
      </w:rPr>
    </w:lvl>
    <w:lvl w:ilvl="6" w:tplc="FFFFFFFF" w:tentative="1">
      <w:start w:val="1"/>
      <w:numFmt w:val="bullet"/>
      <w:lvlText w:val=""/>
      <w:lvlJc w:val="left"/>
      <w:pPr>
        <w:ind w:left="5121" w:hanging="360"/>
      </w:pPr>
      <w:rPr>
        <w:rFonts w:ascii="Symbol" w:hAnsi="Symbol" w:hint="default"/>
      </w:rPr>
    </w:lvl>
    <w:lvl w:ilvl="7" w:tplc="FFFFFFFF" w:tentative="1">
      <w:start w:val="1"/>
      <w:numFmt w:val="bullet"/>
      <w:lvlText w:val="o"/>
      <w:lvlJc w:val="left"/>
      <w:pPr>
        <w:ind w:left="5841" w:hanging="360"/>
      </w:pPr>
      <w:rPr>
        <w:rFonts w:ascii="Courier New" w:hAnsi="Courier New" w:hint="default"/>
      </w:rPr>
    </w:lvl>
    <w:lvl w:ilvl="8" w:tplc="FFFFFFFF" w:tentative="1">
      <w:start w:val="1"/>
      <w:numFmt w:val="bullet"/>
      <w:lvlText w:val=""/>
      <w:lvlJc w:val="left"/>
      <w:pPr>
        <w:ind w:left="6561" w:hanging="360"/>
      </w:pPr>
      <w:rPr>
        <w:rFonts w:ascii="Wingdings" w:hAnsi="Wingdings" w:hint="default"/>
      </w:rPr>
    </w:lvl>
  </w:abstractNum>
  <w:abstractNum w:abstractNumId="185" w15:restartNumberingAfterBreak="0">
    <w:nsid w:val="7A31019E"/>
    <w:multiLevelType w:val="hybridMultilevel"/>
    <w:tmpl w:val="FFFFFFFF"/>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6" w15:restartNumberingAfterBreak="0">
    <w:nsid w:val="7A43325C"/>
    <w:multiLevelType w:val="hybridMultilevel"/>
    <w:tmpl w:val="740A3A06"/>
    <w:lvl w:ilvl="0" w:tplc="2D2C51F4">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87" w15:restartNumberingAfterBreak="0">
    <w:nsid w:val="7F611323"/>
    <w:multiLevelType w:val="hybridMultilevel"/>
    <w:tmpl w:val="92D4742C"/>
    <w:lvl w:ilvl="0" w:tplc="2C76261C">
      <w:numFmt w:val="bullet"/>
      <w:lvlText w:val=""/>
      <w:lvlJc w:val="left"/>
      <w:pPr>
        <w:ind w:left="878" w:hanging="360"/>
      </w:pPr>
      <w:rPr>
        <w:rFonts w:ascii="Symbol" w:eastAsia="Symbol" w:hAnsi="Symbol" w:cs="Symbol" w:hint="default"/>
        <w:b w:val="0"/>
        <w:bCs w:val="0"/>
        <w:i w:val="0"/>
        <w:iCs w:val="0"/>
        <w:w w:val="100"/>
        <w:sz w:val="22"/>
        <w:szCs w:val="22"/>
        <w:lang w:val="bs" w:eastAsia="en-US" w:bidi="ar-SA"/>
      </w:rPr>
    </w:lvl>
    <w:lvl w:ilvl="1" w:tplc="435A3A84">
      <w:numFmt w:val="bullet"/>
      <w:lvlText w:val="•"/>
      <w:lvlJc w:val="left"/>
      <w:pPr>
        <w:ind w:left="1748" w:hanging="360"/>
      </w:pPr>
      <w:rPr>
        <w:rFonts w:hint="default"/>
        <w:lang w:val="bs" w:eastAsia="en-US" w:bidi="ar-SA"/>
      </w:rPr>
    </w:lvl>
    <w:lvl w:ilvl="2" w:tplc="45CE83AC">
      <w:numFmt w:val="bullet"/>
      <w:lvlText w:val="•"/>
      <w:lvlJc w:val="left"/>
      <w:pPr>
        <w:ind w:left="2617" w:hanging="360"/>
      </w:pPr>
      <w:rPr>
        <w:rFonts w:hint="default"/>
        <w:lang w:val="bs" w:eastAsia="en-US" w:bidi="ar-SA"/>
      </w:rPr>
    </w:lvl>
    <w:lvl w:ilvl="3" w:tplc="D91EF7D6">
      <w:numFmt w:val="bullet"/>
      <w:lvlText w:val="•"/>
      <w:lvlJc w:val="left"/>
      <w:pPr>
        <w:ind w:left="3485" w:hanging="360"/>
      </w:pPr>
      <w:rPr>
        <w:rFonts w:hint="default"/>
        <w:lang w:val="bs" w:eastAsia="en-US" w:bidi="ar-SA"/>
      </w:rPr>
    </w:lvl>
    <w:lvl w:ilvl="4" w:tplc="8BACE662">
      <w:numFmt w:val="bullet"/>
      <w:lvlText w:val="•"/>
      <w:lvlJc w:val="left"/>
      <w:pPr>
        <w:ind w:left="4354" w:hanging="360"/>
      </w:pPr>
      <w:rPr>
        <w:rFonts w:hint="default"/>
        <w:lang w:val="bs" w:eastAsia="en-US" w:bidi="ar-SA"/>
      </w:rPr>
    </w:lvl>
    <w:lvl w:ilvl="5" w:tplc="F0A468A2">
      <w:numFmt w:val="bullet"/>
      <w:lvlText w:val="•"/>
      <w:lvlJc w:val="left"/>
      <w:pPr>
        <w:ind w:left="5223" w:hanging="360"/>
      </w:pPr>
      <w:rPr>
        <w:rFonts w:hint="default"/>
        <w:lang w:val="bs" w:eastAsia="en-US" w:bidi="ar-SA"/>
      </w:rPr>
    </w:lvl>
    <w:lvl w:ilvl="6" w:tplc="74EC26F6">
      <w:numFmt w:val="bullet"/>
      <w:lvlText w:val="•"/>
      <w:lvlJc w:val="left"/>
      <w:pPr>
        <w:ind w:left="6091" w:hanging="360"/>
      </w:pPr>
      <w:rPr>
        <w:rFonts w:hint="default"/>
        <w:lang w:val="bs" w:eastAsia="en-US" w:bidi="ar-SA"/>
      </w:rPr>
    </w:lvl>
    <w:lvl w:ilvl="7" w:tplc="07F6DCF4">
      <w:numFmt w:val="bullet"/>
      <w:lvlText w:val="•"/>
      <w:lvlJc w:val="left"/>
      <w:pPr>
        <w:ind w:left="6960" w:hanging="360"/>
      </w:pPr>
      <w:rPr>
        <w:rFonts w:hint="default"/>
        <w:lang w:val="bs" w:eastAsia="en-US" w:bidi="ar-SA"/>
      </w:rPr>
    </w:lvl>
    <w:lvl w:ilvl="8" w:tplc="FDC8A104">
      <w:numFmt w:val="bullet"/>
      <w:lvlText w:val="•"/>
      <w:lvlJc w:val="left"/>
      <w:pPr>
        <w:ind w:left="7829" w:hanging="360"/>
      </w:pPr>
      <w:rPr>
        <w:rFonts w:hint="default"/>
        <w:lang w:val="bs" w:eastAsia="en-US" w:bidi="ar-SA"/>
      </w:rPr>
    </w:lvl>
  </w:abstractNum>
  <w:abstractNum w:abstractNumId="188" w15:restartNumberingAfterBreak="0">
    <w:nsid w:val="7FA23C11"/>
    <w:multiLevelType w:val="hybridMultilevel"/>
    <w:tmpl w:val="FFFFFFFF"/>
    <w:lvl w:ilvl="0" w:tplc="0809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10331056">
    <w:abstractNumId w:val="0"/>
  </w:num>
  <w:num w:numId="2" w16cid:durableId="1729301836">
    <w:abstractNumId w:val="105"/>
  </w:num>
  <w:num w:numId="3" w16cid:durableId="1564097793">
    <w:abstractNumId w:val="58"/>
  </w:num>
  <w:num w:numId="4" w16cid:durableId="679697214">
    <w:abstractNumId w:val="1"/>
  </w:num>
  <w:num w:numId="5" w16cid:durableId="2125262">
    <w:abstractNumId w:val="31"/>
  </w:num>
  <w:num w:numId="6" w16cid:durableId="945625087">
    <w:abstractNumId w:val="62"/>
  </w:num>
  <w:num w:numId="7" w16cid:durableId="2109346961">
    <w:abstractNumId w:val="168"/>
  </w:num>
  <w:num w:numId="8" w16cid:durableId="1624845154">
    <w:abstractNumId w:val="158"/>
  </w:num>
  <w:num w:numId="9" w16cid:durableId="255331804">
    <w:abstractNumId w:val="144"/>
  </w:num>
  <w:num w:numId="10" w16cid:durableId="599484292">
    <w:abstractNumId w:val="133"/>
  </w:num>
  <w:num w:numId="11" w16cid:durableId="1224297201">
    <w:abstractNumId w:val="22"/>
  </w:num>
  <w:num w:numId="12" w16cid:durableId="1720201364">
    <w:abstractNumId w:val="2"/>
  </w:num>
  <w:num w:numId="13" w16cid:durableId="883060528">
    <w:abstractNumId w:val="176"/>
  </w:num>
  <w:num w:numId="14" w16cid:durableId="1800681171">
    <w:abstractNumId w:val="174"/>
  </w:num>
  <w:num w:numId="15" w16cid:durableId="1598904304">
    <w:abstractNumId w:val="124"/>
  </w:num>
  <w:num w:numId="16" w16cid:durableId="1645040993">
    <w:abstractNumId w:val="45"/>
  </w:num>
  <w:num w:numId="17" w16cid:durableId="1695884838">
    <w:abstractNumId w:val="68"/>
  </w:num>
  <w:num w:numId="18" w16cid:durableId="760177185">
    <w:abstractNumId w:val="81"/>
  </w:num>
  <w:num w:numId="19" w16cid:durableId="561645475">
    <w:abstractNumId w:val="141"/>
  </w:num>
  <w:num w:numId="20" w16cid:durableId="509563682">
    <w:abstractNumId w:val="86"/>
  </w:num>
  <w:num w:numId="21" w16cid:durableId="29576860">
    <w:abstractNumId w:val="85"/>
  </w:num>
  <w:num w:numId="22" w16cid:durableId="1049954386">
    <w:abstractNumId w:val="91"/>
  </w:num>
  <w:num w:numId="23" w16cid:durableId="1300653634">
    <w:abstractNumId w:val="120"/>
  </w:num>
  <w:num w:numId="24" w16cid:durableId="1869180403">
    <w:abstractNumId w:val="126"/>
  </w:num>
  <w:num w:numId="25" w16cid:durableId="1462386995">
    <w:abstractNumId w:val="122"/>
  </w:num>
  <w:num w:numId="26" w16cid:durableId="1273170159">
    <w:abstractNumId w:val="63"/>
  </w:num>
  <w:num w:numId="27" w16cid:durableId="830020025">
    <w:abstractNumId w:val="106"/>
  </w:num>
  <w:num w:numId="28" w16cid:durableId="1710908286">
    <w:abstractNumId w:val="46"/>
  </w:num>
  <w:num w:numId="29" w16cid:durableId="70390610">
    <w:abstractNumId w:val="72"/>
  </w:num>
  <w:num w:numId="30" w16cid:durableId="2001763460">
    <w:abstractNumId w:val="162"/>
  </w:num>
  <w:num w:numId="31" w16cid:durableId="1307515997">
    <w:abstractNumId w:val="74"/>
  </w:num>
  <w:num w:numId="32" w16cid:durableId="1450706768">
    <w:abstractNumId w:val="102"/>
  </w:num>
  <w:num w:numId="33" w16cid:durableId="1623730837">
    <w:abstractNumId w:val="148"/>
  </w:num>
  <w:num w:numId="34" w16cid:durableId="646933039">
    <w:abstractNumId w:val="33"/>
  </w:num>
  <w:num w:numId="35" w16cid:durableId="1998069722">
    <w:abstractNumId w:val="181"/>
  </w:num>
  <w:num w:numId="36" w16cid:durableId="1349141744">
    <w:abstractNumId w:val="51"/>
  </w:num>
  <w:num w:numId="37" w16cid:durableId="2118020536">
    <w:abstractNumId w:val="175"/>
  </w:num>
  <w:num w:numId="38" w16cid:durableId="408843175">
    <w:abstractNumId w:val="145"/>
  </w:num>
  <w:num w:numId="39" w16cid:durableId="2092001702">
    <w:abstractNumId w:val="4"/>
  </w:num>
  <w:num w:numId="40" w16cid:durableId="1290818821">
    <w:abstractNumId w:val="163"/>
  </w:num>
  <w:num w:numId="41" w16cid:durableId="1046953339">
    <w:abstractNumId w:val="54"/>
  </w:num>
  <w:num w:numId="42" w16cid:durableId="962464275">
    <w:abstractNumId w:val="89"/>
  </w:num>
  <w:num w:numId="43" w16cid:durableId="943416230">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78018123">
    <w:abstractNumId w:val="177"/>
  </w:num>
  <w:num w:numId="45" w16cid:durableId="1752703360">
    <w:abstractNumId w:val="73"/>
  </w:num>
  <w:num w:numId="46" w16cid:durableId="2135905309">
    <w:abstractNumId w:val="151"/>
  </w:num>
  <w:num w:numId="47" w16cid:durableId="745231124">
    <w:abstractNumId w:val="20"/>
  </w:num>
  <w:num w:numId="48" w16cid:durableId="1063677261">
    <w:abstractNumId w:val="127"/>
  </w:num>
  <w:num w:numId="49" w16cid:durableId="452598849">
    <w:abstractNumId w:val="100"/>
  </w:num>
  <w:num w:numId="50" w16cid:durableId="838155621">
    <w:abstractNumId w:val="114"/>
  </w:num>
  <w:num w:numId="51" w16cid:durableId="479077119">
    <w:abstractNumId w:val="13"/>
  </w:num>
  <w:num w:numId="52" w16cid:durableId="1322852316">
    <w:abstractNumId w:val="137"/>
  </w:num>
  <w:num w:numId="53" w16cid:durableId="1006371244">
    <w:abstractNumId w:val="167"/>
  </w:num>
  <w:num w:numId="54" w16cid:durableId="287856129">
    <w:abstractNumId w:val="80"/>
  </w:num>
  <w:num w:numId="55" w16cid:durableId="1282684833">
    <w:abstractNumId w:val="154"/>
  </w:num>
  <w:num w:numId="56" w16cid:durableId="759760024">
    <w:abstractNumId w:val="49"/>
  </w:num>
  <w:num w:numId="57" w16cid:durableId="1474788370">
    <w:abstractNumId w:val="32"/>
  </w:num>
  <w:num w:numId="58" w16cid:durableId="340745908">
    <w:abstractNumId w:val="93"/>
  </w:num>
  <w:num w:numId="59" w16cid:durableId="117456472">
    <w:abstractNumId w:val="19"/>
  </w:num>
  <w:num w:numId="60" w16cid:durableId="1306467097">
    <w:abstractNumId w:val="84"/>
  </w:num>
  <w:num w:numId="61" w16cid:durableId="1868054473">
    <w:abstractNumId w:val="187"/>
  </w:num>
  <w:num w:numId="62" w16cid:durableId="830019874">
    <w:abstractNumId w:val="98"/>
  </w:num>
  <w:num w:numId="63" w16cid:durableId="1370842235">
    <w:abstractNumId w:val="43"/>
  </w:num>
  <w:num w:numId="64" w16cid:durableId="597254145">
    <w:abstractNumId w:val="150"/>
  </w:num>
  <w:num w:numId="65" w16cid:durableId="520244862">
    <w:abstractNumId w:val="140"/>
  </w:num>
  <w:num w:numId="66" w16cid:durableId="1707172395">
    <w:abstractNumId w:val="17"/>
  </w:num>
  <w:num w:numId="67" w16cid:durableId="777721468">
    <w:abstractNumId w:val="173"/>
  </w:num>
  <w:num w:numId="68" w16cid:durableId="1482313856">
    <w:abstractNumId w:val="147"/>
  </w:num>
  <w:num w:numId="69" w16cid:durableId="1029793088">
    <w:abstractNumId w:val="60"/>
  </w:num>
  <w:num w:numId="70" w16cid:durableId="606039204">
    <w:abstractNumId w:val="97"/>
  </w:num>
  <w:num w:numId="71" w16cid:durableId="400636184">
    <w:abstractNumId w:val="90"/>
  </w:num>
  <w:num w:numId="72" w16cid:durableId="215356504">
    <w:abstractNumId w:val="116"/>
  </w:num>
  <w:num w:numId="73" w16cid:durableId="1324314877">
    <w:abstractNumId w:val="99"/>
  </w:num>
  <w:num w:numId="74" w16cid:durableId="1942907524">
    <w:abstractNumId w:val="39"/>
  </w:num>
  <w:num w:numId="75" w16cid:durableId="1205170859">
    <w:abstractNumId w:val="21"/>
  </w:num>
  <w:num w:numId="76" w16cid:durableId="617953287">
    <w:abstractNumId w:val="109"/>
  </w:num>
  <w:num w:numId="77" w16cid:durableId="1988977291">
    <w:abstractNumId w:val="134"/>
  </w:num>
  <w:num w:numId="78" w16cid:durableId="173153797">
    <w:abstractNumId w:val="53"/>
  </w:num>
  <w:num w:numId="79" w16cid:durableId="1276137539">
    <w:abstractNumId w:val="3"/>
  </w:num>
  <w:num w:numId="80" w16cid:durableId="672413512">
    <w:abstractNumId w:val="11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85051401">
    <w:abstractNumId w:val="165"/>
  </w:num>
  <w:num w:numId="82" w16cid:durableId="1317490972">
    <w:abstractNumId w:val="135"/>
  </w:num>
  <w:num w:numId="83" w16cid:durableId="1626346331">
    <w:abstractNumId w:val="161"/>
  </w:num>
  <w:num w:numId="84" w16cid:durableId="2114858268">
    <w:abstractNumId w:val="108"/>
  </w:num>
  <w:num w:numId="85" w16cid:durableId="1687904449">
    <w:abstractNumId w:val="160"/>
  </w:num>
  <w:num w:numId="86" w16cid:durableId="1194685976">
    <w:abstractNumId w:val="125"/>
  </w:num>
  <w:num w:numId="87" w16cid:durableId="1789012110">
    <w:abstractNumId w:val="12"/>
  </w:num>
  <w:num w:numId="88" w16cid:durableId="700471323">
    <w:abstractNumId w:val="78"/>
  </w:num>
  <w:num w:numId="89" w16cid:durableId="1728532088">
    <w:abstractNumId w:val="24"/>
  </w:num>
  <w:num w:numId="90" w16cid:durableId="466237783">
    <w:abstractNumId w:val="123"/>
  </w:num>
  <w:num w:numId="91" w16cid:durableId="1553275358">
    <w:abstractNumId w:val="57"/>
  </w:num>
  <w:num w:numId="92" w16cid:durableId="1220092393">
    <w:abstractNumId w:val="166"/>
  </w:num>
  <w:num w:numId="93" w16cid:durableId="1100100311">
    <w:abstractNumId w:val="159"/>
  </w:num>
  <w:num w:numId="94" w16cid:durableId="556742001">
    <w:abstractNumId w:val="149"/>
  </w:num>
  <w:num w:numId="95" w16cid:durableId="150874770">
    <w:abstractNumId w:val="25"/>
  </w:num>
  <w:num w:numId="96" w16cid:durableId="1742942225">
    <w:abstractNumId w:val="101"/>
  </w:num>
  <w:num w:numId="97" w16cid:durableId="251553921">
    <w:abstractNumId w:val="115"/>
  </w:num>
  <w:num w:numId="98" w16cid:durableId="1856528901">
    <w:abstractNumId w:val="171"/>
  </w:num>
  <w:num w:numId="99" w16cid:durableId="1294867194">
    <w:abstractNumId w:val="42"/>
  </w:num>
  <w:num w:numId="100" w16cid:durableId="253588294">
    <w:abstractNumId w:val="172"/>
  </w:num>
  <w:num w:numId="101" w16cid:durableId="1396663293">
    <w:abstractNumId w:val="185"/>
  </w:num>
  <w:num w:numId="102" w16cid:durableId="1331830081">
    <w:abstractNumId w:val="152"/>
  </w:num>
  <w:num w:numId="103" w16cid:durableId="748423144">
    <w:abstractNumId w:val="59"/>
  </w:num>
  <w:num w:numId="104" w16cid:durableId="2084524140">
    <w:abstractNumId w:val="118"/>
  </w:num>
  <w:num w:numId="105" w16cid:durableId="2031027780">
    <w:abstractNumId w:val="92"/>
  </w:num>
  <w:num w:numId="106" w16cid:durableId="2122724344">
    <w:abstractNumId w:val="138"/>
  </w:num>
  <w:num w:numId="107" w16cid:durableId="624652192">
    <w:abstractNumId w:val="15"/>
  </w:num>
  <w:num w:numId="108" w16cid:durableId="916787358">
    <w:abstractNumId w:val="44"/>
  </w:num>
  <w:num w:numId="109" w16cid:durableId="2107992919">
    <w:abstractNumId w:val="156"/>
  </w:num>
  <w:num w:numId="110" w16cid:durableId="1075585412">
    <w:abstractNumId w:val="29"/>
  </w:num>
  <w:num w:numId="111" w16cid:durableId="105199440">
    <w:abstractNumId w:val="180"/>
  </w:num>
  <w:num w:numId="112" w16cid:durableId="267156390">
    <w:abstractNumId w:val="183"/>
  </w:num>
  <w:num w:numId="113" w16cid:durableId="2082679132">
    <w:abstractNumId w:val="88"/>
  </w:num>
  <w:num w:numId="114" w16cid:durableId="1034501439">
    <w:abstractNumId w:val="119"/>
  </w:num>
  <w:num w:numId="115" w16cid:durableId="1684431207">
    <w:abstractNumId w:val="18"/>
  </w:num>
  <w:num w:numId="116" w16cid:durableId="81371448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457182524">
    <w:abstractNumId w:val="34"/>
  </w:num>
  <w:num w:numId="118" w16cid:durableId="1414546879">
    <w:abstractNumId w:val="36"/>
  </w:num>
  <w:num w:numId="119" w16cid:durableId="1417747713">
    <w:abstractNumId w:val="65"/>
  </w:num>
  <w:num w:numId="120" w16cid:durableId="862323720">
    <w:abstractNumId w:val="136"/>
  </w:num>
  <w:num w:numId="121" w16cid:durableId="1249582889">
    <w:abstractNumId w:val="11"/>
  </w:num>
  <w:num w:numId="122" w16cid:durableId="1412266795">
    <w:abstractNumId w:val="87"/>
  </w:num>
  <w:num w:numId="123" w16cid:durableId="183591171">
    <w:abstractNumId w:val="77"/>
  </w:num>
  <w:num w:numId="124" w16cid:durableId="387458228">
    <w:abstractNumId w:val="131"/>
  </w:num>
  <w:num w:numId="125" w16cid:durableId="99962458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528326470">
    <w:abstractNumId w:val="110"/>
  </w:num>
  <w:num w:numId="127" w16cid:durableId="1894383727">
    <w:abstractNumId w:val="10"/>
  </w:num>
  <w:num w:numId="128" w16cid:durableId="439956393">
    <w:abstractNumId w:val="71"/>
  </w:num>
  <w:num w:numId="129" w16cid:durableId="86317610">
    <w:abstractNumId w:val="16"/>
  </w:num>
  <w:num w:numId="130" w16cid:durableId="186917698">
    <w:abstractNumId w:val="75"/>
  </w:num>
  <w:num w:numId="131" w16cid:durableId="1575894695">
    <w:abstractNumId w:val="27"/>
  </w:num>
  <w:num w:numId="132" w16cid:durableId="1394813139">
    <w:abstractNumId w:val="41"/>
  </w:num>
  <w:num w:numId="133" w16cid:durableId="888415168">
    <w:abstractNumId w:val="30"/>
  </w:num>
  <w:num w:numId="134" w16cid:durableId="710760894">
    <w:abstractNumId w:val="83"/>
  </w:num>
  <w:num w:numId="135" w16cid:durableId="402338554">
    <w:abstractNumId w:val="111"/>
  </w:num>
  <w:num w:numId="136" w16cid:durableId="2519857">
    <w:abstractNumId w:val="112"/>
  </w:num>
  <w:num w:numId="137" w16cid:durableId="1370379714">
    <w:abstractNumId w:val="143"/>
  </w:num>
  <w:num w:numId="138" w16cid:durableId="715465984">
    <w:abstractNumId w:val="50"/>
  </w:num>
  <w:num w:numId="139" w16cid:durableId="113913652">
    <w:abstractNumId w:val="169"/>
  </w:num>
  <w:num w:numId="140" w16cid:durableId="1432354851">
    <w:abstractNumId w:val="155"/>
  </w:num>
  <w:num w:numId="141" w16cid:durableId="747000435">
    <w:abstractNumId w:val="94"/>
  </w:num>
  <w:num w:numId="142" w16cid:durableId="41828883">
    <w:abstractNumId w:val="76"/>
  </w:num>
  <w:num w:numId="143" w16cid:durableId="530991189">
    <w:abstractNumId w:val="9"/>
  </w:num>
  <w:num w:numId="144" w16cid:durableId="1022971477">
    <w:abstractNumId w:val="128"/>
  </w:num>
  <w:num w:numId="145" w16cid:durableId="618222982">
    <w:abstractNumId w:val="61"/>
  </w:num>
  <w:num w:numId="146" w16cid:durableId="821582418">
    <w:abstractNumId w:val="52"/>
  </w:num>
  <w:num w:numId="147" w16cid:durableId="55593806">
    <w:abstractNumId w:val="64"/>
  </w:num>
  <w:num w:numId="148" w16cid:durableId="816843145">
    <w:abstractNumId w:val="5"/>
  </w:num>
  <w:num w:numId="149" w16cid:durableId="36440633">
    <w:abstractNumId w:val="38"/>
  </w:num>
  <w:num w:numId="150" w16cid:durableId="1296065991">
    <w:abstractNumId w:val="130"/>
  </w:num>
  <w:num w:numId="151" w16cid:durableId="1169175868">
    <w:abstractNumId w:val="14"/>
  </w:num>
  <w:num w:numId="152" w16cid:durableId="1532915643">
    <w:abstractNumId w:val="66"/>
  </w:num>
  <w:num w:numId="153" w16cid:durableId="1622344740">
    <w:abstractNumId w:val="121"/>
  </w:num>
  <w:num w:numId="154" w16cid:durableId="1261374768">
    <w:abstractNumId w:val="55"/>
  </w:num>
  <w:num w:numId="155" w16cid:durableId="1977953397">
    <w:abstractNumId w:val="117"/>
  </w:num>
  <w:num w:numId="156" w16cid:durableId="530848196">
    <w:abstractNumId w:val="95"/>
  </w:num>
  <w:num w:numId="157" w16cid:durableId="1174489757">
    <w:abstractNumId w:val="23"/>
  </w:num>
  <w:num w:numId="158" w16cid:durableId="748962949">
    <w:abstractNumId w:val="7"/>
  </w:num>
  <w:num w:numId="159" w16cid:durableId="1703477822">
    <w:abstractNumId w:val="40"/>
  </w:num>
  <w:num w:numId="160" w16cid:durableId="1457681260">
    <w:abstractNumId w:val="142"/>
  </w:num>
  <w:num w:numId="161" w16cid:durableId="174392579">
    <w:abstractNumId w:val="82"/>
  </w:num>
  <w:num w:numId="162" w16cid:durableId="1852137384">
    <w:abstractNumId w:val="107"/>
  </w:num>
  <w:num w:numId="163" w16cid:durableId="190998823">
    <w:abstractNumId w:val="96"/>
  </w:num>
  <w:num w:numId="164" w16cid:durableId="1564566473">
    <w:abstractNumId w:val="113"/>
  </w:num>
  <w:num w:numId="165" w16cid:durableId="6568109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553224249">
    <w:abstractNumId w:val="153"/>
  </w:num>
  <w:num w:numId="167" w16cid:durableId="217667590">
    <w:abstractNumId w:val="47"/>
  </w:num>
  <w:num w:numId="168" w16cid:durableId="993804207">
    <w:abstractNumId w:val="170"/>
  </w:num>
  <w:num w:numId="169" w16cid:durableId="287245650">
    <w:abstractNumId w:val="79"/>
  </w:num>
  <w:num w:numId="170" w16cid:durableId="1281109467">
    <w:abstractNumId w:val="157"/>
  </w:num>
  <w:num w:numId="171" w16cid:durableId="1268003232">
    <w:abstractNumId w:val="28"/>
  </w:num>
  <w:num w:numId="172" w16cid:durableId="780495563">
    <w:abstractNumId w:val="139"/>
  </w:num>
  <w:num w:numId="173" w16cid:durableId="2039768734">
    <w:abstractNumId w:val="67"/>
  </w:num>
  <w:num w:numId="174" w16cid:durableId="1281301172">
    <w:abstractNumId w:val="35"/>
  </w:num>
  <w:num w:numId="175" w16cid:durableId="1370571745">
    <w:abstractNumId w:val="65"/>
  </w:num>
  <w:num w:numId="176" w16cid:durableId="934946868">
    <w:abstractNumId w:val="182"/>
  </w:num>
  <w:num w:numId="177" w16cid:durableId="1124233423">
    <w:abstractNumId w:val="6"/>
  </w:num>
  <w:num w:numId="178" w16cid:durableId="341664391">
    <w:abstractNumId w:val="65"/>
  </w:num>
  <w:num w:numId="179" w16cid:durableId="785731313">
    <w:abstractNumId w:val="65"/>
  </w:num>
  <w:num w:numId="180" w16cid:durableId="2130472828">
    <w:abstractNumId w:val="65"/>
  </w:num>
  <w:num w:numId="181" w16cid:durableId="1610745113">
    <w:abstractNumId w:val="65"/>
  </w:num>
  <w:num w:numId="182" w16cid:durableId="542324230">
    <w:abstractNumId w:val="65"/>
  </w:num>
  <w:num w:numId="183" w16cid:durableId="460541873">
    <w:abstractNumId w:val="65"/>
  </w:num>
  <w:num w:numId="184" w16cid:durableId="1228954764">
    <w:abstractNumId w:val="65"/>
  </w:num>
  <w:num w:numId="185" w16cid:durableId="2034383743">
    <w:abstractNumId w:val="65"/>
  </w:num>
  <w:num w:numId="186" w16cid:durableId="68164420">
    <w:abstractNumId w:val="65"/>
  </w:num>
  <w:num w:numId="187" w16cid:durableId="1505244055">
    <w:abstractNumId w:val="65"/>
  </w:num>
  <w:num w:numId="188" w16cid:durableId="791827517">
    <w:abstractNumId w:val="65"/>
  </w:num>
  <w:num w:numId="189" w16cid:durableId="515965169">
    <w:abstractNumId w:val="65"/>
  </w:num>
  <w:num w:numId="190" w16cid:durableId="1692680337">
    <w:abstractNumId w:val="65"/>
  </w:num>
  <w:num w:numId="191" w16cid:durableId="185019703">
    <w:abstractNumId w:val="65"/>
  </w:num>
  <w:num w:numId="192" w16cid:durableId="976033287">
    <w:abstractNumId w:val="65"/>
  </w:num>
  <w:num w:numId="193" w16cid:durableId="952126135">
    <w:abstractNumId w:val="65"/>
  </w:num>
  <w:num w:numId="194" w16cid:durableId="285357719">
    <w:abstractNumId w:val="65"/>
  </w:num>
  <w:num w:numId="195" w16cid:durableId="1823813545">
    <w:abstractNumId w:val="65"/>
  </w:num>
  <w:num w:numId="196" w16cid:durableId="1754206382">
    <w:abstractNumId w:val="65"/>
  </w:num>
  <w:num w:numId="197" w16cid:durableId="500855952">
    <w:abstractNumId w:val="65"/>
  </w:num>
  <w:num w:numId="198" w16cid:durableId="9183979">
    <w:abstractNumId w:val="188"/>
  </w:num>
  <w:num w:numId="199" w16cid:durableId="1516262927">
    <w:abstractNumId w:val="132"/>
  </w:num>
  <w:num w:numId="200" w16cid:durableId="1280137393">
    <w:abstractNumId w:val="179"/>
  </w:num>
  <w:num w:numId="201" w16cid:durableId="1566380594">
    <w:abstractNumId w:val="103"/>
  </w:num>
  <w:num w:numId="202" w16cid:durableId="971129256">
    <w:abstractNumId w:val="56"/>
  </w:num>
  <w:num w:numId="203" w16cid:durableId="463817399">
    <w:abstractNumId w:val="48"/>
  </w:num>
  <w:num w:numId="204" w16cid:durableId="1993020414">
    <w:abstractNumId w:val="70"/>
  </w:num>
  <w:num w:numId="205" w16cid:durableId="233901525">
    <w:abstractNumId w:val="129"/>
  </w:num>
  <w:num w:numId="206" w16cid:durableId="1427850396">
    <w:abstractNumId w:val="178"/>
  </w:num>
  <w:num w:numId="207" w16cid:durableId="1886991246">
    <w:abstractNumId w:val="164"/>
  </w:num>
  <w:num w:numId="208" w16cid:durableId="2112315229">
    <w:abstractNumId w:val="37"/>
  </w:num>
  <w:num w:numId="209" w16cid:durableId="1885556549">
    <w:abstractNumId w:val="146"/>
  </w:num>
  <w:num w:numId="210" w16cid:durableId="544832018">
    <w:abstractNumId w:val="8"/>
  </w:num>
  <w:num w:numId="211" w16cid:durableId="436296521">
    <w:abstractNumId w:val="184"/>
  </w:num>
  <w:num w:numId="212" w16cid:durableId="391320147">
    <w:abstractNumId w:val="69"/>
  </w:num>
  <w:num w:numId="213" w16cid:durableId="641540488">
    <w:abstractNumId w:val="26"/>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AT" w:vendorID="64" w:dllVersion="0" w:nlCheck="1" w:checkStyle="0"/>
  <w:activeWritingStyle w:appName="MSWord" w:lang="de-DE" w:vendorID="64" w:dllVersion="0" w:nlCheck="1" w:checkStyle="0"/>
  <w:activeWritingStyle w:appName="MSWord" w:lang="en-IE" w:vendorID="64" w:dllVersion="0" w:nlCheck="1" w:checkStyle="0"/>
  <w:proofState w:spelling="clean" w:grammar="clean"/>
  <w:stylePaneFormatFilter w:val="0401" w:allStyles="1" w:customStyles="0" w:latentStyles="0" w:stylesInUse="0" w:headingStyles="0" w:numberingStyles="0" w:tableStyles="0" w:directFormattingOnRuns="0" w:directFormattingOnParagraphs="0" w:directFormattingOnNumbering="1" w:directFormattingOnTables="0" w:clearFormatting="0" w:top3HeadingStyles="0" w:visibleStyles="0" w:alternateStyleNames="0"/>
  <w:defaultTabStop w:val="147"/>
  <w:hyphenationZone w:val="425"/>
  <w:doNotHyphenateCaps/>
  <w:defaultTableStyle w:val="TableGrid"/>
  <w:drawingGridHorizontalSpacing w:val="110"/>
  <w:drawingGridVerticalSpacing w:val="120"/>
  <w:displayHorizontalDrawingGridEvery w:val="0"/>
  <w:displayVerticalDrawingGridEvery w:val="3"/>
  <w:doNotShadeFormData/>
  <w:characterSpacingControl w:val="compressPunctuation"/>
  <w:noLineBreaksAfter w:lang="ja-JP" w:val="#$(@[{§ĄŁ‘“€"/>
  <w:noLineBreaksBefore w:lang="ja-JP" w:val="!%),-.:;?]}~°·˘–—’”•…‰"/>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U2NjYzMjC1MDK2NDZQ0lEKTi0uzszPAymwMKoFAO+g2jgtAAAA"/>
  </w:docVars>
  <w:rsids>
    <w:rsidRoot w:val="001235A1"/>
    <w:rsid w:val="00000031"/>
    <w:rsid w:val="00000178"/>
    <w:rsid w:val="000001B5"/>
    <w:rsid w:val="000001EC"/>
    <w:rsid w:val="00000463"/>
    <w:rsid w:val="000004A3"/>
    <w:rsid w:val="000004CB"/>
    <w:rsid w:val="000006EA"/>
    <w:rsid w:val="00000712"/>
    <w:rsid w:val="00000713"/>
    <w:rsid w:val="00000755"/>
    <w:rsid w:val="000008D4"/>
    <w:rsid w:val="000008EE"/>
    <w:rsid w:val="000009CF"/>
    <w:rsid w:val="00000A05"/>
    <w:rsid w:val="00000A11"/>
    <w:rsid w:val="00000AF1"/>
    <w:rsid w:val="00000BB7"/>
    <w:rsid w:val="00000C27"/>
    <w:rsid w:val="00000C32"/>
    <w:rsid w:val="00000C6A"/>
    <w:rsid w:val="00000C75"/>
    <w:rsid w:val="00000CC5"/>
    <w:rsid w:val="00000D02"/>
    <w:rsid w:val="00000D8F"/>
    <w:rsid w:val="00000D91"/>
    <w:rsid w:val="00000DCE"/>
    <w:rsid w:val="00000E1D"/>
    <w:rsid w:val="00000E9A"/>
    <w:rsid w:val="00000F24"/>
    <w:rsid w:val="00001052"/>
    <w:rsid w:val="00001105"/>
    <w:rsid w:val="00001135"/>
    <w:rsid w:val="0000118D"/>
    <w:rsid w:val="00001301"/>
    <w:rsid w:val="000013F2"/>
    <w:rsid w:val="000014B3"/>
    <w:rsid w:val="000016AD"/>
    <w:rsid w:val="0000175E"/>
    <w:rsid w:val="00001766"/>
    <w:rsid w:val="00001773"/>
    <w:rsid w:val="00001808"/>
    <w:rsid w:val="0000193C"/>
    <w:rsid w:val="000019F1"/>
    <w:rsid w:val="00001AAA"/>
    <w:rsid w:val="00001BB3"/>
    <w:rsid w:val="00001CA6"/>
    <w:rsid w:val="00001E51"/>
    <w:rsid w:val="00001EAB"/>
    <w:rsid w:val="00002049"/>
    <w:rsid w:val="00002064"/>
    <w:rsid w:val="000020BF"/>
    <w:rsid w:val="000020F3"/>
    <w:rsid w:val="0000218F"/>
    <w:rsid w:val="000021C7"/>
    <w:rsid w:val="0000223A"/>
    <w:rsid w:val="00002389"/>
    <w:rsid w:val="00002537"/>
    <w:rsid w:val="0000262A"/>
    <w:rsid w:val="00002693"/>
    <w:rsid w:val="000027F5"/>
    <w:rsid w:val="0000284D"/>
    <w:rsid w:val="00002922"/>
    <w:rsid w:val="0000293B"/>
    <w:rsid w:val="00002A20"/>
    <w:rsid w:val="00002AD9"/>
    <w:rsid w:val="00002B34"/>
    <w:rsid w:val="00002B6A"/>
    <w:rsid w:val="00002C0A"/>
    <w:rsid w:val="00002CE6"/>
    <w:rsid w:val="00002CE8"/>
    <w:rsid w:val="00002DA3"/>
    <w:rsid w:val="00002E7F"/>
    <w:rsid w:val="00002EA4"/>
    <w:rsid w:val="00002F57"/>
    <w:rsid w:val="00002F64"/>
    <w:rsid w:val="00002FDE"/>
    <w:rsid w:val="00003143"/>
    <w:rsid w:val="0000343D"/>
    <w:rsid w:val="000034D7"/>
    <w:rsid w:val="000035A0"/>
    <w:rsid w:val="000035D8"/>
    <w:rsid w:val="00003675"/>
    <w:rsid w:val="000036FB"/>
    <w:rsid w:val="00003737"/>
    <w:rsid w:val="000037AE"/>
    <w:rsid w:val="00003806"/>
    <w:rsid w:val="00003835"/>
    <w:rsid w:val="00003A58"/>
    <w:rsid w:val="00003A7E"/>
    <w:rsid w:val="00003B0C"/>
    <w:rsid w:val="00003DAA"/>
    <w:rsid w:val="00003DAC"/>
    <w:rsid w:val="00003DF2"/>
    <w:rsid w:val="00003E80"/>
    <w:rsid w:val="00003EF6"/>
    <w:rsid w:val="0000407E"/>
    <w:rsid w:val="0000407F"/>
    <w:rsid w:val="000040CC"/>
    <w:rsid w:val="000040DF"/>
    <w:rsid w:val="00004196"/>
    <w:rsid w:val="0000429F"/>
    <w:rsid w:val="0000430F"/>
    <w:rsid w:val="0000431C"/>
    <w:rsid w:val="00004324"/>
    <w:rsid w:val="000043EE"/>
    <w:rsid w:val="0000449C"/>
    <w:rsid w:val="00004508"/>
    <w:rsid w:val="00004560"/>
    <w:rsid w:val="00004613"/>
    <w:rsid w:val="00004684"/>
    <w:rsid w:val="000046B5"/>
    <w:rsid w:val="0000475B"/>
    <w:rsid w:val="000047B8"/>
    <w:rsid w:val="0000482F"/>
    <w:rsid w:val="000048F6"/>
    <w:rsid w:val="0000490A"/>
    <w:rsid w:val="00004964"/>
    <w:rsid w:val="0000498E"/>
    <w:rsid w:val="00004A58"/>
    <w:rsid w:val="00004A7F"/>
    <w:rsid w:val="00004A9A"/>
    <w:rsid w:val="00004ABF"/>
    <w:rsid w:val="00004BB0"/>
    <w:rsid w:val="00004BC5"/>
    <w:rsid w:val="00004E89"/>
    <w:rsid w:val="00004E96"/>
    <w:rsid w:val="00004ED4"/>
    <w:rsid w:val="00004F87"/>
    <w:rsid w:val="00005019"/>
    <w:rsid w:val="00005050"/>
    <w:rsid w:val="0000506A"/>
    <w:rsid w:val="000050BB"/>
    <w:rsid w:val="00005159"/>
    <w:rsid w:val="000052A9"/>
    <w:rsid w:val="00005365"/>
    <w:rsid w:val="00005421"/>
    <w:rsid w:val="0000546E"/>
    <w:rsid w:val="00005510"/>
    <w:rsid w:val="00005645"/>
    <w:rsid w:val="00005779"/>
    <w:rsid w:val="00005839"/>
    <w:rsid w:val="000058CB"/>
    <w:rsid w:val="00005989"/>
    <w:rsid w:val="000059E1"/>
    <w:rsid w:val="00005A20"/>
    <w:rsid w:val="00005A40"/>
    <w:rsid w:val="00005AB5"/>
    <w:rsid w:val="00005AF6"/>
    <w:rsid w:val="00005BCF"/>
    <w:rsid w:val="00005CD0"/>
    <w:rsid w:val="00005D35"/>
    <w:rsid w:val="00005D6D"/>
    <w:rsid w:val="00005D6E"/>
    <w:rsid w:val="00005E80"/>
    <w:rsid w:val="00005F83"/>
    <w:rsid w:val="00005F9B"/>
    <w:rsid w:val="0000605D"/>
    <w:rsid w:val="00006077"/>
    <w:rsid w:val="000060D2"/>
    <w:rsid w:val="00006153"/>
    <w:rsid w:val="0000627F"/>
    <w:rsid w:val="000062DE"/>
    <w:rsid w:val="000063A2"/>
    <w:rsid w:val="000063DB"/>
    <w:rsid w:val="0000666D"/>
    <w:rsid w:val="00006670"/>
    <w:rsid w:val="000067BA"/>
    <w:rsid w:val="0000684C"/>
    <w:rsid w:val="000068EE"/>
    <w:rsid w:val="00006913"/>
    <w:rsid w:val="00006942"/>
    <w:rsid w:val="00006A0B"/>
    <w:rsid w:val="00006A60"/>
    <w:rsid w:val="00006ABF"/>
    <w:rsid w:val="00006B3C"/>
    <w:rsid w:val="00006BDA"/>
    <w:rsid w:val="00006D35"/>
    <w:rsid w:val="00006E01"/>
    <w:rsid w:val="00006E87"/>
    <w:rsid w:val="00007016"/>
    <w:rsid w:val="0000717C"/>
    <w:rsid w:val="00007341"/>
    <w:rsid w:val="00007346"/>
    <w:rsid w:val="0000738F"/>
    <w:rsid w:val="00007474"/>
    <w:rsid w:val="0000751E"/>
    <w:rsid w:val="00007537"/>
    <w:rsid w:val="000075BE"/>
    <w:rsid w:val="000075D2"/>
    <w:rsid w:val="00007673"/>
    <w:rsid w:val="00007738"/>
    <w:rsid w:val="000077D8"/>
    <w:rsid w:val="0000791E"/>
    <w:rsid w:val="0000797B"/>
    <w:rsid w:val="00007A3F"/>
    <w:rsid w:val="00007A76"/>
    <w:rsid w:val="00007B69"/>
    <w:rsid w:val="00007B8D"/>
    <w:rsid w:val="00007B91"/>
    <w:rsid w:val="00007CAB"/>
    <w:rsid w:val="00007D8D"/>
    <w:rsid w:val="00007DD4"/>
    <w:rsid w:val="00007E1E"/>
    <w:rsid w:val="00007EC3"/>
    <w:rsid w:val="00007ECD"/>
    <w:rsid w:val="00007EFE"/>
    <w:rsid w:val="00007F19"/>
    <w:rsid w:val="000100FD"/>
    <w:rsid w:val="00010143"/>
    <w:rsid w:val="000101A9"/>
    <w:rsid w:val="000101C6"/>
    <w:rsid w:val="000102B1"/>
    <w:rsid w:val="000102CE"/>
    <w:rsid w:val="0001033C"/>
    <w:rsid w:val="00010543"/>
    <w:rsid w:val="000105F4"/>
    <w:rsid w:val="0001067C"/>
    <w:rsid w:val="00010818"/>
    <w:rsid w:val="00010848"/>
    <w:rsid w:val="000108B5"/>
    <w:rsid w:val="00010963"/>
    <w:rsid w:val="000109CA"/>
    <w:rsid w:val="00010A13"/>
    <w:rsid w:val="00010A2F"/>
    <w:rsid w:val="00010A88"/>
    <w:rsid w:val="00010AA4"/>
    <w:rsid w:val="00010C44"/>
    <w:rsid w:val="00010C80"/>
    <w:rsid w:val="00010CCD"/>
    <w:rsid w:val="00010DA1"/>
    <w:rsid w:val="00010DBB"/>
    <w:rsid w:val="00010DF3"/>
    <w:rsid w:val="00010DF4"/>
    <w:rsid w:val="00010DFB"/>
    <w:rsid w:val="00010ED2"/>
    <w:rsid w:val="00011011"/>
    <w:rsid w:val="00011184"/>
    <w:rsid w:val="0001118C"/>
    <w:rsid w:val="00011193"/>
    <w:rsid w:val="000113F6"/>
    <w:rsid w:val="000114FE"/>
    <w:rsid w:val="00011574"/>
    <w:rsid w:val="0001163F"/>
    <w:rsid w:val="00011750"/>
    <w:rsid w:val="000117BC"/>
    <w:rsid w:val="000117E6"/>
    <w:rsid w:val="000117F2"/>
    <w:rsid w:val="000118D1"/>
    <w:rsid w:val="000118E6"/>
    <w:rsid w:val="00011906"/>
    <w:rsid w:val="00011AF4"/>
    <w:rsid w:val="00011B07"/>
    <w:rsid w:val="00011BC0"/>
    <w:rsid w:val="00011BFD"/>
    <w:rsid w:val="00011C56"/>
    <w:rsid w:val="00011D51"/>
    <w:rsid w:val="00011E12"/>
    <w:rsid w:val="00011E24"/>
    <w:rsid w:val="00011E6A"/>
    <w:rsid w:val="00011FAE"/>
    <w:rsid w:val="00012074"/>
    <w:rsid w:val="0001214A"/>
    <w:rsid w:val="0001219A"/>
    <w:rsid w:val="000122C3"/>
    <w:rsid w:val="00012310"/>
    <w:rsid w:val="000123D0"/>
    <w:rsid w:val="000124A2"/>
    <w:rsid w:val="000124A6"/>
    <w:rsid w:val="00012522"/>
    <w:rsid w:val="0001257C"/>
    <w:rsid w:val="000125F5"/>
    <w:rsid w:val="000127BA"/>
    <w:rsid w:val="000127DD"/>
    <w:rsid w:val="000127E1"/>
    <w:rsid w:val="000127EE"/>
    <w:rsid w:val="000128AE"/>
    <w:rsid w:val="000128F2"/>
    <w:rsid w:val="00012932"/>
    <w:rsid w:val="0001299F"/>
    <w:rsid w:val="000129B3"/>
    <w:rsid w:val="00012A54"/>
    <w:rsid w:val="00012BDE"/>
    <w:rsid w:val="00012CC6"/>
    <w:rsid w:val="00012D91"/>
    <w:rsid w:val="00012DB0"/>
    <w:rsid w:val="00012DF5"/>
    <w:rsid w:val="00012FC0"/>
    <w:rsid w:val="00013027"/>
    <w:rsid w:val="000131BA"/>
    <w:rsid w:val="000132E9"/>
    <w:rsid w:val="000132F5"/>
    <w:rsid w:val="0001331F"/>
    <w:rsid w:val="00013365"/>
    <w:rsid w:val="00013372"/>
    <w:rsid w:val="000133B7"/>
    <w:rsid w:val="000133E3"/>
    <w:rsid w:val="00013511"/>
    <w:rsid w:val="0001360B"/>
    <w:rsid w:val="00013736"/>
    <w:rsid w:val="000137A2"/>
    <w:rsid w:val="000137BF"/>
    <w:rsid w:val="000138D5"/>
    <w:rsid w:val="00013942"/>
    <w:rsid w:val="00013A56"/>
    <w:rsid w:val="00013E53"/>
    <w:rsid w:val="00013F62"/>
    <w:rsid w:val="00013F73"/>
    <w:rsid w:val="000140BA"/>
    <w:rsid w:val="000140BC"/>
    <w:rsid w:val="000140F5"/>
    <w:rsid w:val="000141CE"/>
    <w:rsid w:val="00014264"/>
    <w:rsid w:val="000142D2"/>
    <w:rsid w:val="00014305"/>
    <w:rsid w:val="00014331"/>
    <w:rsid w:val="000144BD"/>
    <w:rsid w:val="00014522"/>
    <w:rsid w:val="00014559"/>
    <w:rsid w:val="000145D8"/>
    <w:rsid w:val="000145F9"/>
    <w:rsid w:val="000146CC"/>
    <w:rsid w:val="000146D6"/>
    <w:rsid w:val="000147C9"/>
    <w:rsid w:val="000148A4"/>
    <w:rsid w:val="00014944"/>
    <w:rsid w:val="00014B39"/>
    <w:rsid w:val="00014BC2"/>
    <w:rsid w:val="00014D47"/>
    <w:rsid w:val="00014DDA"/>
    <w:rsid w:val="00014EAE"/>
    <w:rsid w:val="00014FE6"/>
    <w:rsid w:val="00015097"/>
    <w:rsid w:val="000150DA"/>
    <w:rsid w:val="00015118"/>
    <w:rsid w:val="00015125"/>
    <w:rsid w:val="0001518F"/>
    <w:rsid w:val="000153DC"/>
    <w:rsid w:val="000156F9"/>
    <w:rsid w:val="0001572B"/>
    <w:rsid w:val="00015733"/>
    <w:rsid w:val="0001578B"/>
    <w:rsid w:val="00015795"/>
    <w:rsid w:val="000157A8"/>
    <w:rsid w:val="00015837"/>
    <w:rsid w:val="00015850"/>
    <w:rsid w:val="000158B8"/>
    <w:rsid w:val="00015936"/>
    <w:rsid w:val="00015B0B"/>
    <w:rsid w:val="00015BE6"/>
    <w:rsid w:val="00015C96"/>
    <w:rsid w:val="00015D5E"/>
    <w:rsid w:val="00015E53"/>
    <w:rsid w:val="00015F05"/>
    <w:rsid w:val="00015F0B"/>
    <w:rsid w:val="00015F64"/>
    <w:rsid w:val="00015F96"/>
    <w:rsid w:val="00015F9F"/>
    <w:rsid w:val="00015FF3"/>
    <w:rsid w:val="00016136"/>
    <w:rsid w:val="0001615C"/>
    <w:rsid w:val="00016193"/>
    <w:rsid w:val="00016297"/>
    <w:rsid w:val="00016307"/>
    <w:rsid w:val="00016393"/>
    <w:rsid w:val="00016439"/>
    <w:rsid w:val="00016478"/>
    <w:rsid w:val="00016484"/>
    <w:rsid w:val="000164D5"/>
    <w:rsid w:val="0001657E"/>
    <w:rsid w:val="00016601"/>
    <w:rsid w:val="00016614"/>
    <w:rsid w:val="00016698"/>
    <w:rsid w:val="000167E7"/>
    <w:rsid w:val="0001681F"/>
    <w:rsid w:val="00016862"/>
    <w:rsid w:val="000168E7"/>
    <w:rsid w:val="00016943"/>
    <w:rsid w:val="00016996"/>
    <w:rsid w:val="00016A16"/>
    <w:rsid w:val="00016BA9"/>
    <w:rsid w:val="00016C45"/>
    <w:rsid w:val="00016C6B"/>
    <w:rsid w:val="00016CCC"/>
    <w:rsid w:val="00016E33"/>
    <w:rsid w:val="00016E5C"/>
    <w:rsid w:val="00016F7A"/>
    <w:rsid w:val="00016FD7"/>
    <w:rsid w:val="0001708F"/>
    <w:rsid w:val="000170B3"/>
    <w:rsid w:val="000171A1"/>
    <w:rsid w:val="000171BC"/>
    <w:rsid w:val="0001724A"/>
    <w:rsid w:val="00017268"/>
    <w:rsid w:val="000172A1"/>
    <w:rsid w:val="0001737A"/>
    <w:rsid w:val="0001740A"/>
    <w:rsid w:val="00017443"/>
    <w:rsid w:val="00017594"/>
    <w:rsid w:val="000175B5"/>
    <w:rsid w:val="00017619"/>
    <w:rsid w:val="00017648"/>
    <w:rsid w:val="00017665"/>
    <w:rsid w:val="000177E5"/>
    <w:rsid w:val="00017836"/>
    <w:rsid w:val="000178A0"/>
    <w:rsid w:val="00017924"/>
    <w:rsid w:val="0001796B"/>
    <w:rsid w:val="000179AB"/>
    <w:rsid w:val="000179D7"/>
    <w:rsid w:val="00017A10"/>
    <w:rsid w:val="00017A2F"/>
    <w:rsid w:val="00017A31"/>
    <w:rsid w:val="00017A33"/>
    <w:rsid w:val="00017A5E"/>
    <w:rsid w:val="00017AD7"/>
    <w:rsid w:val="00017BA1"/>
    <w:rsid w:val="00017C08"/>
    <w:rsid w:val="00017CB0"/>
    <w:rsid w:val="00017D40"/>
    <w:rsid w:val="00017D99"/>
    <w:rsid w:val="00017E6D"/>
    <w:rsid w:val="00017E78"/>
    <w:rsid w:val="00017F41"/>
    <w:rsid w:val="00020061"/>
    <w:rsid w:val="0002006D"/>
    <w:rsid w:val="000200BD"/>
    <w:rsid w:val="000200EA"/>
    <w:rsid w:val="0002010C"/>
    <w:rsid w:val="000201F8"/>
    <w:rsid w:val="00020203"/>
    <w:rsid w:val="00020224"/>
    <w:rsid w:val="000202B9"/>
    <w:rsid w:val="000202EE"/>
    <w:rsid w:val="00020335"/>
    <w:rsid w:val="000203B8"/>
    <w:rsid w:val="000205E3"/>
    <w:rsid w:val="000205F3"/>
    <w:rsid w:val="000205F6"/>
    <w:rsid w:val="00020656"/>
    <w:rsid w:val="0002066D"/>
    <w:rsid w:val="00020676"/>
    <w:rsid w:val="000206AC"/>
    <w:rsid w:val="0002074D"/>
    <w:rsid w:val="0002076C"/>
    <w:rsid w:val="000208D1"/>
    <w:rsid w:val="00020A4C"/>
    <w:rsid w:val="00020BA4"/>
    <w:rsid w:val="00020BC9"/>
    <w:rsid w:val="00020BCF"/>
    <w:rsid w:val="00020C2B"/>
    <w:rsid w:val="00020C39"/>
    <w:rsid w:val="00020DB6"/>
    <w:rsid w:val="00020DD3"/>
    <w:rsid w:val="00020DEC"/>
    <w:rsid w:val="00020E56"/>
    <w:rsid w:val="00020EA8"/>
    <w:rsid w:val="00020F0A"/>
    <w:rsid w:val="00020F40"/>
    <w:rsid w:val="00020FDD"/>
    <w:rsid w:val="00020FEF"/>
    <w:rsid w:val="00021007"/>
    <w:rsid w:val="00021013"/>
    <w:rsid w:val="0002118B"/>
    <w:rsid w:val="00021245"/>
    <w:rsid w:val="0002128C"/>
    <w:rsid w:val="00021320"/>
    <w:rsid w:val="0002149A"/>
    <w:rsid w:val="000214DA"/>
    <w:rsid w:val="000214E2"/>
    <w:rsid w:val="000215A4"/>
    <w:rsid w:val="0002164E"/>
    <w:rsid w:val="00021725"/>
    <w:rsid w:val="00021757"/>
    <w:rsid w:val="000217F7"/>
    <w:rsid w:val="00021815"/>
    <w:rsid w:val="00021820"/>
    <w:rsid w:val="000218BB"/>
    <w:rsid w:val="00021976"/>
    <w:rsid w:val="000219E5"/>
    <w:rsid w:val="000219EE"/>
    <w:rsid w:val="00021B39"/>
    <w:rsid w:val="00021B96"/>
    <w:rsid w:val="00021BEB"/>
    <w:rsid w:val="00021CFA"/>
    <w:rsid w:val="00021D36"/>
    <w:rsid w:val="00021D3A"/>
    <w:rsid w:val="00021F4A"/>
    <w:rsid w:val="00021F5D"/>
    <w:rsid w:val="00021F66"/>
    <w:rsid w:val="00022046"/>
    <w:rsid w:val="00022066"/>
    <w:rsid w:val="00022180"/>
    <w:rsid w:val="0002233E"/>
    <w:rsid w:val="00022384"/>
    <w:rsid w:val="000224DC"/>
    <w:rsid w:val="00022575"/>
    <w:rsid w:val="000226E6"/>
    <w:rsid w:val="00022700"/>
    <w:rsid w:val="000227BB"/>
    <w:rsid w:val="00022854"/>
    <w:rsid w:val="0002292D"/>
    <w:rsid w:val="0002294E"/>
    <w:rsid w:val="00022BF7"/>
    <w:rsid w:val="00022CA0"/>
    <w:rsid w:val="00022CE9"/>
    <w:rsid w:val="00022CEB"/>
    <w:rsid w:val="00022ED6"/>
    <w:rsid w:val="00023016"/>
    <w:rsid w:val="00023031"/>
    <w:rsid w:val="0002312C"/>
    <w:rsid w:val="000231C4"/>
    <w:rsid w:val="0002322F"/>
    <w:rsid w:val="0002323F"/>
    <w:rsid w:val="000232D6"/>
    <w:rsid w:val="0002377B"/>
    <w:rsid w:val="000237E0"/>
    <w:rsid w:val="000239A5"/>
    <w:rsid w:val="00023B38"/>
    <w:rsid w:val="00023C03"/>
    <w:rsid w:val="00023C20"/>
    <w:rsid w:val="00023C21"/>
    <w:rsid w:val="00023C31"/>
    <w:rsid w:val="00023C32"/>
    <w:rsid w:val="00023CE9"/>
    <w:rsid w:val="00023D8D"/>
    <w:rsid w:val="00023E51"/>
    <w:rsid w:val="00023F5B"/>
    <w:rsid w:val="00023F6F"/>
    <w:rsid w:val="00023FC5"/>
    <w:rsid w:val="00023FD8"/>
    <w:rsid w:val="00023FF4"/>
    <w:rsid w:val="00024007"/>
    <w:rsid w:val="0002408C"/>
    <w:rsid w:val="000240B9"/>
    <w:rsid w:val="000241C1"/>
    <w:rsid w:val="000241E7"/>
    <w:rsid w:val="000242B1"/>
    <w:rsid w:val="0002435E"/>
    <w:rsid w:val="000243A1"/>
    <w:rsid w:val="000243FB"/>
    <w:rsid w:val="00024442"/>
    <w:rsid w:val="0002449B"/>
    <w:rsid w:val="000244A8"/>
    <w:rsid w:val="00024572"/>
    <w:rsid w:val="00024664"/>
    <w:rsid w:val="00024681"/>
    <w:rsid w:val="000246F0"/>
    <w:rsid w:val="00024A39"/>
    <w:rsid w:val="00024AA5"/>
    <w:rsid w:val="00024B6D"/>
    <w:rsid w:val="00024C68"/>
    <w:rsid w:val="00024D11"/>
    <w:rsid w:val="00024E91"/>
    <w:rsid w:val="00024EE4"/>
    <w:rsid w:val="00024F7B"/>
    <w:rsid w:val="00024F8F"/>
    <w:rsid w:val="00024FC0"/>
    <w:rsid w:val="00024FE9"/>
    <w:rsid w:val="00024FEA"/>
    <w:rsid w:val="00025063"/>
    <w:rsid w:val="0002508E"/>
    <w:rsid w:val="000250A9"/>
    <w:rsid w:val="0002513F"/>
    <w:rsid w:val="000251B0"/>
    <w:rsid w:val="000251E6"/>
    <w:rsid w:val="0002526B"/>
    <w:rsid w:val="00025273"/>
    <w:rsid w:val="00025308"/>
    <w:rsid w:val="00025486"/>
    <w:rsid w:val="000254FF"/>
    <w:rsid w:val="0002550C"/>
    <w:rsid w:val="000255D6"/>
    <w:rsid w:val="000255E3"/>
    <w:rsid w:val="00025689"/>
    <w:rsid w:val="00025800"/>
    <w:rsid w:val="0002587A"/>
    <w:rsid w:val="000258D4"/>
    <w:rsid w:val="000258E2"/>
    <w:rsid w:val="000258E5"/>
    <w:rsid w:val="00025A32"/>
    <w:rsid w:val="00025A48"/>
    <w:rsid w:val="00025AA7"/>
    <w:rsid w:val="00025AAE"/>
    <w:rsid w:val="00025AC7"/>
    <w:rsid w:val="00025B73"/>
    <w:rsid w:val="00025BAD"/>
    <w:rsid w:val="00025C8A"/>
    <w:rsid w:val="00025CA9"/>
    <w:rsid w:val="00025F3A"/>
    <w:rsid w:val="00025FEF"/>
    <w:rsid w:val="000260DC"/>
    <w:rsid w:val="000261A7"/>
    <w:rsid w:val="000261EA"/>
    <w:rsid w:val="0002620A"/>
    <w:rsid w:val="0002621E"/>
    <w:rsid w:val="00026222"/>
    <w:rsid w:val="00026338"/>
    <w:rsid w:val="000263FA"/>
    <w:rsid w:val="0002657A"/>
    <w:rsid w:val="000267AF"/>
    <w:rsid w:val="000267E1"/>
    <w:rsid w:val="00026810"/>
    <w:rsid w:val="00026824"/>
    <w:rsid w:val="000268AE"/>
    <w:rsid w:val="000268CB"/>
    <w:rsid w:val="00026B40"/>
    <w:rsid w:val="00026B64"/>
    <w:rsid w:val="00026BF7"/>
    <w:rsid w:val="00026C73"/>
    <w:rsid w:val="00026DB1"/>
    <w:rsid w:val="00026DD2"/>
    <w:rsid w:val="00026EB2"/>
    <w:rsid w:val="00026F07"/>
    <w:rsid w:val="00026F71"/>
    <w:rsid w:val="00026F91"/>
    <w:rsid w:val="00026FAB"/>
    <w:rsid w:val="00026FF4"/>
    <w:rsid w:val="000270B5"/>
    <w:rsid w:val="00027109"/>
    <w:rsid w:val="00027192"/>
    <w:rsid w:val="00027219"/>
    <w:rsid w:val="0002724E"/>
    <w:rsid w:val="0002725A"/>
    <w:rsid w:val="0002730E"/>
    <w:rsid w:val="000273A5"/>
    <w:rsid w:val="0002740A"/>
    <w:rsid w:val="0002747D"/>
    <w:rsid w:val="000275DC"/>
    <w:rsid w:val="000276CA"/>
    <w:rsid w:val="000278A2"/>
    <w:rsid w:val="00027A34"/>
    <w:rsid w:val="00027B6B"/>
    <w:rsid w:val="00027B9B"/>
    <w:rsid w:val="00027BEB"/>
    <w:rsid w:val="00027C53"/>
    <w:rsid w:val="00027CFD"/>
    <w:rsid w:val="00027D44"/>
    <w:rsid w:val="00027DBB"/>
    <w:rsid w:val="00027DC6"/>
    <w:rsid w:val="00027DDD"/>
    <w:rsid w:val="00027EA0"/>
    <w:rsid w:val="00027FBB"/>
    <w:rsid w:val="000300EF"/>
    <w:rsid w:val="00030278"/>
    <w:rsid w:val="00030313"/>
    <w:rsid w:val="00030388"/>
    <w:rsid w:val="00030411"/>
    <w:rsid w:val="00030518"/>
    <w:rsid w:val="0003051B"/>
    <w:rsid w:val="00030659"/>
    <w:rsid w:val="00030738"/>
    <w:rsid w:val="00030749"/>
    <w:rsid w:val="0003079D"/>
    <w:rsid w:val="00030827"/>
    <w:rsid w:val="0003083D"/>
    <w:rsid w:val="0003086B"/>
    <w:rsid w:val="0003086C"/>
    <w:rsid w:val="00030C7A"/>
    <w:rsid w:val="00030CB6"/>
    <w:rsid w:val="00030D4E"/>
    <w:rsid w:val="00030DAF"/>
    <w:rsid w:val="00030E0C"/>
    <w:rsid w:val="00030EA9"/>
    <w:rsid w:val="00030EB0"/>
    <w:rsid w:val="00030EFD"/>
    <w:rsid w:val="00030F3C"/>
    <w:rsid w:val="00030F51"/>
    <w:rsid w:val="00030FE5"/>
    <w:rsid w:val="00031028"/>
    <w:rsid w:val="0003112B"/>
    <w:rsid w:val="00031149"/>
    <w:rsid w:val="0003116F"/>
    <w:rsid w:val="000311C2"/>
    <w:rsid w:val="00031271"/>
    <w:rsid w:val="000312E3"/>
    <w:rsid w:val="00031326"/>
    <w:rsid w:val="00031414"/>
    <w:rsid w:val="00031425"/>
    <w:rsid w:val="00031426"/>
    <w:rsid w:val="00031428"/>
    <w:rsid w:val="00031549"/>
    <w:rsid w:val="00031584"/>
    <w:rsid w:val="000316A6"/>
    <w:rsid w:val="0003170D"/>
    <w:rsid w:val="00031790"/>
    <w:rsid w:val="00031999"/>
    <w:rsid w:val="000319DC"/>
    <w:rsid w:val="00031A36"/>
    <w:rsid w:val="00031A69"/>
    <w:rsid w:val="00031BAF"/>
    <w:rsid w:val="00031C33"/>
    <w:rsid w:val="00031C75"/>
    <w:rsid w:val="00031D2A"/>
    <w:rsid w:val="00031D8A"/>
    <w:rsid w:val="00031D9F"/>
    <w:rsid w:val="00031E35"/>
    <w:rsid w:val="00031F78"/>
    <w:rsid w:val="0003215E"/>
    <w:rsid w:val="00032170"/>
    <w:rsid w:val="000321AD"/>
    <w:rsid w:val="00032233"/>
    <w:rsid w:val="00032271"/>
    <w:rsid w:val="0003240E"/>
    <w:rsid w:val="00032462"/>
    <w:rsid w:val="00032491"/>
    <w:rsid w:val="0003249A"/>
    <w:rsid w:val="000325B1"/>
    <w:rsid w:val="0003264E"/>
    <w:rsid w:val="00032675"/>
    <w:rsid w:val="00032797"/>
    <w:rsid w:val="000327C1"/>
    <w:rsid w:val="000327DA"/>
    <w:rsid w:val="000327FB"/>
    <w:rsid w:val="00032809"/>
    <w:rsid w:val="00032817"/>
    <w:rsid w:val="00032AC0"/>
    <w:rsid w:val="00032ACA"/>
    <w:rsid w:val="00032BEE"/>
    <w:rsid w:val="00032C6C"/>
    <w:rsid w:val="00032D21"/>
    <w:rsid w:val="00032D26"/>
    <w:rsid w:val="00032D2A"/>
    <w:rsid w:val="00032F48"/>
    <w:rsid w:val="00032F56"/>
    <w:rsid w:val="00033089"/>
    <w:rsid w:val="000330B3"/>
    <w:rsid w:val="0003311D"/>
    <w:rsid w:val="0003317E"/>
    <w:rsid w:val="0003317F"/>
    <w:rsid w:val="00033203"/>
    <w:rsid w:val="000332D8"/>
    <w:rsid w:val="000332ED"/>
    <w:rsid w:val="000332F4"/>
    <w:rsid w:val="000333E1"/>
    <w:rsid w:val="000333EF"/>
    <w:rsid w:val="00033410"/>
    <w:rsid w:val="00033456"/>
    <w:rsid w:val="000334C6"/>
    <w:rsid w:val="0003354B"/>
    <w:rsid w:val="000336C7"/>
    <w:rsid w:val="0003393E"/>
    <w:rsid w:val="000339AC"/>
    <w:rsid w:val="00033BE3"/>
    <w:rsid w:val="00033C0B"/>
    <w:rsid w:val="00033C0C"/>
    <w:rsid w:val="00033D51"/>
    <w:rsid w:val="00033DC3"/>
    <w:rsid w:val="00033E90"/>
    <w:rsid w:val="00033F0B"/>
    <w:rsid w:val="00033F57"/>
    <w:rsid w:val="00033FA6"/>
    <w:rsid w:val="00034027"/>
    <w:rsid w:val="00034044"/>
    <w:rsid w:val="00034057"/>
    <w:rsid w:val="000340D8"/>
    <w:rsid w:val="00034132"/>
    <w:rsid w:val="0003413F"/>
    <w:rsid w:val="00034320"/>
    <w:rsid w:val="000343A6"/>
    <w:rsid w:val="00034450"/>
    <w:rsid w:val="000344ED"/>
    <w:rsid w:val="000345BD"/>
    <w:rsid w:val="00034656"/>
    <w:rsid w:val="000346B9"/>
    <w:rsid w:val="00034717"/>
    <w:rsid w:val="0003481E"/>
    <w:rsid w:val="0003486E"/>
    <w:rsid w:val="0003491F"/>
    <w:rsid w:val="0003494B"/>
    <w:rsid w:val="00034BB5"/>
    <w:rsid w:val="00034D5C"/>
    <w:rsid w:val="00035013"/>
    <w:rsid w:val="0003527E"/>
    <w:rsid w:val="0003528F"/>
    <w:rsid w:val="000352F0"/>
    <w:rsid w:val="0003534C"/>
    <w:rsid w:val="000353BD"/>
    <w:rsid w:val="000356E7"/>
    <w:rsid w:val="00035873"/>
    <w:rsid w:val="000358CB"/>
    <w:rsid w:val="000358CF"/>
    <w:rsid w:val="00035900"/>
    <w:rsid w:val="00035A91"/>
    <w:rsid w:val="00035ADC"/>
    <w:rsid w:val="00035B83"/>
    <w:rsid w:val="00035C1C"/>
    <w:rsid w:val="00035D5A"/>
    <w:rsid w:val="00035ECE"/>
    <w:rsid w:val="00035F4A"/>
    <w:rsid w:val="00036081"/>
    <w:rsid w:val="00036121"/>
    <w:rsid w:val="0003614A"/>
    <w:rsid w:val="000361AE"/>
    <w:rsid w:val="000361CF"/>
    <w:rsid w:val="0003626C"/>
    <w:rsid w:val="0003639E"/>
    <w:rsid w:val="000364A9"/>
    <w:rsid w:val="00036540"/>
    <w:rsid w:val="0003667A"/>
    <w:rsid w:val="000366E4"/>
    <w:rsid w:val="0003676B"/>
    <w:rsid w:val="00036910"/>
    <w:rsid w:val="000369B9"/>
    <w:rsid w:val="00036ADF"/>
    <w:rsid w:val="00036B9E"/>
    <w:rsid w:val="00036BA4"/>
    <w:rsid w:val="00036C9E"/>
    <w:rsid w:val="00036CA7"/>
    <w:rsid w:val="00036CF1"/>
    <w:rsid w:val="00036D1D"/>
    <w:rsid w:val="00036D70"/>
    <w:rsid w:val="00036DC5"/>
    <w:rsid w:val="00036DF2"/>
    <w:rsid w:val="00036E67"/>
    <w:rsid w:val="00036EBD"/>
    <w:rsid w:val="00036FE2"/>
    <w:rsid w:val="0003710E"/>
    <w:rsid w:val="0003726D"/>
    <w:rsid w:val="00037319"/>
    <w:rsid w:val="00037346"/>
    <w:rsid w:val="0003735E"/>
    <w:rsid w:val="000373F1"/>
    <w:rsid w:val="0003752A"/>
    <w:rsid w:val="0003756C"/>
    <w:rsid w:val="000375B5"/>
    <w:rsid w:val="000376C0"/>
    <w:rsid w:val="0003775B"/>
    <w:rsid w:val="000377BB"/>
    <w:rsid w:val="000377D5"/>
    <w:rsid w:val="000378B1"/>
    <w:rsid w:val="00037946"/>
    <w:rsid w:val="00037954"/>
    <w:rsid w:val="00037A42"/>
    <w:rsid w:val="00037A7E"/>
    <w:rsid w:val="00037A93"/>
    <w:rsid w:val="00037A97"/>
    <w:rsid w:val="00037AC7"/>
    <w:rsid w:val="00037D15"/>
    <w:rsid w:val="00037DAB"/>
    <w:rsid w:val="00037F4E"/>
    <w:rsid w:val="00040016"/>
    <w:rsid w:val="0004003E"/>
    <w:rsid w:val="00040151"/>
    <w:rsid w:val="000401CD"/>
    <w:rsid w:val="0004020A"/>
    <w:rsid w:val="0004023D"/>
    <w:rsid w:val="00040256"/>
    <w:rsid w:val="00040264"/>
    <w:rsid w:val="000402A5"/>
    <w:rsid w:val="0004031D"/>
    <w:rsid w:val="00040383"/>
    <w:rsid w:val="000403AA"/>
    <w:rsid w:val="0004049B"/>
    <w:rsid w:val="00040572"/>
    <w:rsid w:val="0004061E"/>
    <w:rsid w:val="0004069F"/>
    <w:rsid w:val="000407D3"/>
    <w:rsid w:val="000408F5"/>
    <w:rsid w:val="00040980"/>
    <w:rsid w:val="00040B08"/>
    <w:rsid w:val="00040B5C"/>
    <w:rsid w:val="00040C2E"/>
    <w:rsid w:val="00040C48"/>
    <w:rsid w:val="00040C55"/>
    <w:rsid w:val="00040C97"/>
    <w:rsid w:val="00040D2E"/>
    <w:rsid w:val="00040D3B"/>
    <w:rsid w:val="00040D99"/>
    <w:rsid w:val="00040DEF"/>
    <w:rsid w:val="00040EDA"/>
    <w:rsid w:val="00040F8C"/>
    <w:rsid w:val="000410BC"/>
    <w:rsid w:val="00041108"/>
    <w:rsid w:val="00041144"/>
    <w:rsid w:val="000411EA"/>
    <w:rsid w:val="000411FE"/>
    <w:rsid w:val="0004135A"/>
    <w:rsid w:val="00041399"/>
    <w:rsid w:val="0004149B"/>
    <w:rsid w:val="0004150F"/>
    <w:rsid w:val="00041518"/>
    <w:rsid w:val="00041592"/>
    <w:rsid w:val="000415BF"/>
    <w:rsid w:val="00041626"/>
    <w:rsid w:val="0004164D"/>
    <w:rsid w:val="0004167A"/>
    <w:rsid w:val="000416E6"/>
    <w:rsid w:val="00041736"/>
    <w:rsid w:val="00041786"/>
    <w:rsid w:val="0004182A"/>
    <w:rsid w:val="00041858"/>
    <w:rsid w:val="00041892"/>
    <w:rsid w:val="00041A4E"/>
    <w:rsid w:val="00041AC0"/>
    <w:rsid w:val="00041B6F"/>
    <w:rsid w:val="00041B7C"/>
    <w:rsid w:val="00041B86"/>
    <w:rsid w:val="00041C9D"/>
    <w:rsid w:val="00041D00"/>
    <w:rsid w:val="00041D76"/>
    <w:rsid w:val="00041DA8"/>
    <w:rsid w:val="00041E0D"/>
    <w:rsid w:val="00041FD1"/>
    <w:rsid w:val="00042156"/>
    <w:rsid w:val="0004217E"/>
    <w:rsid w:val="00042195"/>
    <w:rsid w:val="000421A6"/>
    <w:rsid w:val="000422D9"/>
    <w:rsid w:val="00042308"/>
    <w:rsid w:val="0004233E"/>
    <w:rsid w:val="0004236C"/>
    <w:rsid w:val="000423C1"/>
    <w:rsid w:val="000423EB"/>
    <w:rsid w:val="000424F4"/>
    <w:rsid w:val="00042536"/>
    <w:rsid w:val="0004253A"/>
    <w:rsid w:val="0004268F"/>
    <w:rsid w:val="00042751"/>
    <w:rsid w:val="00042845"/>
    <w:rsid w:val="000429CE"/>
    <w:rsid w:val="00042A0B"/>
    <w:rsid w:val="00042A68"/>
    <w:rsid w:val="00042A7B"/>
    <w:rsid w:val="00042AA5"/>
    <w:rsid w:val="00042B52"/>
    <w:rsid w:val="00042C3E"/>
    <w:rsid w:val="00042C4C"/>
    <w:rsid w:val="00042C6F"/>
    <w:rsid w:val="00042D19"/>
    <w:rsid w:val="00042D9A"/>
    <w:rsid w:val="00042DB5"/>
    <w:rsid w:val="00042F96"/>
    <w:rsid w:val="0004303F"/>
    <w:rsid w:val="000430E3"/>
    <w:rsid w:val="0004312B"/>
    <w:rsid w:val="00043132"/>
    <w:rsid w:val="000432D0"/>
    <w:rsid w:val="00043306"/>
    <w:rsid w:val="0004357A"/>
    <w:rsid w:val="0004362A"/>
    <w:rsid w:val="000436D2"/>
    <w:rsid w:val="0004372D"/>
    <w:rsid w:val="0004375E"/>
    <w:rsid w:val="00043874"/>
    <w:rsid w:val="000438BC"/>
    <w:rsid w:val="0004390E"/>
    <w:rsid w:val="00043934"/>
    <w:rsid w:val="0004393E"/>
    <w:rsid w:val="00043A22"/>
    <w:rsid w:val="00043AA2"/>
    <w:rsid w:val="00043AB9"/>
    <w:rsid w:val="00043C3D"/>
    <w:rsid w:val="00043D4B"/>
    <w:rsid w:val="00043DCB"/>
    <w:rsid w:val="00043DF5"/>
    <w:rsid w:val="00043F59"/>
    <w:rsid w:val="00044035"/>
    <w:rsid w:val="0004405F"/>
    <w:rsid w:val="000440BF"/>
    <w:rsid w:val="00044107"/>
    <w:rsid w:val="00044181"/>
    <w:rsid w:val="000441DC"/>
    <w:rsid w:val="000441EB"/>
    <w:rsid w:val="00044213"/>
    <w:rsid w:val="0004428D"/>
    <w:rsid w:val="0004428E"/>
    <w:rsid w:val="00044325"/>
    <w:rsid w:val="000443D3"/>
    <w:rsid w:val="000443D8"/>
    <w:rsid w:val="000444F7"/>
    <w:rsid w:val="0004455E"/>
    <w:rsid w:val="00044565"/>
    <w:rsid w:val="0004460D"/>
    <w:rsid w:val="00044647"/>
    <w:rsid w:val="0004467F"/>
    <w:rsid w:val="000446A4"/>
    <w:rsid w:val="000446DB"/>
    <w:rsid w:val="00044752"/>
    <w:rsid w:val="000447B5"/>
    <w:rsid w:val="000447D7"/>
    <w:rsid w:val="000447E5"/>
    <w:rsid w:val="000448AA"/>
    <w:rsid w:val="0004494D"/>
    <w:rsid w:val="000449C3"/>
    <w:rsid w:val="000449D2"/>
    <w:rsid w:val="000449F8"/>
    <w:rsid w:val="00044A81"/>
    <w:rsid w:val="00044ABB"/>
    <w:rsid w:val="00044B68"/>
    <w:rsid w:val="00044BE9"/>
    <w:rsid w:val="00044C06"/>
    <w:rsid w:val="00044C13"/>
    <w:rsid w:val="00044C47"/>
    <w:rsid w:val="00044C8D"/>
    <w:rsid w:val="00044CC0"/>
    <w:rsid w:val="00044D5D"/>
    <w:rsid w:val="00044EE7"/>
    <w:rsid w:val="00044F11"/>
    <w:rsid w:val="00044F28"/>
    <w:rsid w:val="00044F7A"/>
    <w:rsid w:val="00044FCC"/>
    <w:rsid w:val="00045008"/>
    <w:rsid w:val="00045027"/>
    <w:rsid w:val="00045140"/>
    <w:rsid w:val="00045148"/>
    <w:rsid w:val="00045155"/>
    <w:rsid w:val="00045196"/>
    <w:rsid w:val="00045213"/>
    <w:rsid w:val="00045242"/>
    <w:rsid w:val="0004529D"/>
    <w:rsid w:val="000452B7"/>
    <w:rsid w:val="000452BF"/>
    <w:rsid w:val="000452C4"/>
    <w:rsid w:val="00045347"/>
    <w:rsid w:val="000453C0"/>
    <w:rsid w:val="0004555B"/>
    <w:rsid w:val="00045627"/>
    <w:rsid w:val="000456D9"/>
    <w:rsid w:val="00045725"/>
    <w:rsid w:val="00045836"/>
    <w:rsid w:val="00045839"/>
    <w:rsid w:val="0004584E"/>
    <w:rsid w:val="00045865"/>
    <w:rsid w:val="000458B8"/>
    <w:rsid w:val="00045A3B"/>
    <w:rsid w:val="00045A40"/>
    <w:rsid w:val="00045A68"/>
    <w:rsid w:val="00045A8F"/>
    <w:rsid w:val="00045A9F"/>
    <w:rsid w:val="00045B60"/>
    <w:rsid w:val="00045B85"/>
    <w:rsid w:val="00045BC1"/>
    <w:rsid w:val="00045C68"/>
    <w:rsid w:val="00045CA1"/>
    <w:rsid w:val="00045D32"/>
    <w:rsid w:val="00045D36"/>
    <w:rsid w:val="00045DFF"/>
    <w:rsid w:val="00045E56"/>
    <w:rsid w:val="00045F23"/>
    <w:rsid w:val="00045F57"/>
    <w:rsid w:val="00045F9C"/>
    <w:rsid w:val="00046006"/>
    <w:rsid w:val="0004610D"/>
    <w:rsid w:val="000461BA"/>
    <w:rsid w:val="0004628C"/>
    <w:rsid w:val="000463D7"/>
    <w:rsid w:val="000465CA"/>
    <w:rsid w:val="000465E3"/>
    <w:rsid w:val="000465F6"/>
    <w:rsid w:val="0004673D"/>
    <w:rsid w:val="0004676E"/>
    <w:rsid w:val="000467E5"/>
    <w:rsid w:val="00046918"/>
    <w:rsid w:val="000469DB"/>
    <w:rsid w:val="00046AA4"/>
    <w:rsid w:val="00046AA6"/>
    <w:rsid w:val="00046B4B"/>
    <w:rsid w:val="00046C0D"/>
    <w:rsid w:val="00046D3E"/>
    <w:rsid w:val="00046D46"/>
    <w:rsid w:val="00046D89"/>
    <w:rsid w:val="00046F28"/>
    <w:rsid w:val="00046F43"/>
    <w:rsid w:val="00047039"/>
    <w:rsid w:val="00047123"/>
    <w:rsid w:val="00047196"/>
    <w:rsid w:val="000471CC"/>
    <w:rsid w:val="0004721B"/>
    <w:rsid w:val="000472B2"/>
    <w:rsid w:val="00047351"/>
    <w:rsid w:val="0004737B"/>
    <w:rsid w:val="0004737C"/>
    <w:rsid w:val="00047445"/>
    <w:rsid w:val="000474F3"/>
    <w:rsid w:val="000475C3"/>
    <w:rsid w:val="00047679"/>
    <w:rsid w:val="00047727"/>
    <w:rsid w:val="00047899"/>
    <w:rsid w:val="00047B33"/>
    <w:rsid w:val="00047C44"/>
    <w:rsid w:val="00047C4F"/>
    <w:rsid w:val="00047C91"/>
    <w:rsid w:val="00047D46"/>
    <w:rsid w:val="00047D71"/>
    <w:rsid w:val="00047D9C"/>
    <w:rsid w:val="00047E3F"/>
    <w:rsid w:val="00047FD6"/>
    <w:rsid w:val="00047FDB"/>
    <w:rsid w:val="0005002D"/>
    <w:rsid w:val="000500A3"/>
    <w:rsid w:val="000500C7"/>
    <w:rsid w:val="000501A3"/>
    <w:rsid w:val="000501AE"/>
    <w:rsid w:val="000501B3"/>
    <w:rsid w:val="000501D1"/>
    <w:rsid w:val="00050292"/>
    <w:rsid w:val="0005030E"/>
    <w:rsid w:val="00050386"/>
    <w:rsid w:val="000503F8"/>
    <w:rsid w:val="0005044A"/>
    <w:rsid w:val="00050481"/>
    <w:rsid w:val="000505EA"/>
    <w:rsid w:val="00050646"/>
    <w:rsid w:val="0005067F"/>
    <w:rsid w:val="00050773"/>
    <w:rsid w:val="00050913"/>
    <w:rsid w:val="00050944"/>
    <w:rsid w:val="0005099E"/>
    <w:rsid w:val="000509EA"/>
    <w:rsid w:val="00050B27"/>
    <w:rsid w:val="00050B44"/>
    <w:rsid w:val="00050C60"/>
    <w:rsid w:val="00050C68"/>
    <w:rsid w:val="00050D85"/>
    <w:rsid w:val="00050DB9"/>
    <w:rsid w:val="00050DFB"/>
    <w:rsid w:val="00050E13"/>
    <w:rsid w:val="00050E51"/>
    <w:rsid w:val="00050F4B"/>
    <w:rsid w:val="00051058"/>
    <w:rsid w:val="00051083"/>
    <w:rsid w:val="000510A1"/>
    <w:rsid w:val="000510AE"/>
    <w:rsid w:val="000510CC"/>
    <w:rsid w:val="00051193"/>
    <w:rsid w:val="000512C6"/>
    <w:rsid w:val="0005136A"/>
    <w:rsid w:val="00051406"/>
    <w:rsid w:val="00051428"/>
    <w:rsid w:val="00051434"/>
    <w:rsid w:val="0005155B"/>
    <w:rsid w:val="00051680"/>
    <w:rsid w:val="000518C5"/>
    <w:rsid w:val="000518D3"/>
    <w:rsid w:val="000518E4"/>
    <w:rsid w:val="0005192A"/>
    <w:rsid w:val="0005195C"/>
    <w:rsid w:val="00051989"/>
    <w:rsid w:val="00051ACE"/>
    <w:rsid w:val="00051C98"/>
    <w:rsid w:val="00051CFE"/>
    <w:rsid w:val="00051D4C"/>
    <w:rsid w:val="00051EF0"/>
    <w:rsid w:val="00051F0A"/>
    <w:rsid w:val="00051F41"/>
    <w:rsid w:val="00051FFD"/>
    <w:rsid w:val="0005213E"/>
    <w:rsid w:val="00052162"/>
    <w:rsid w:val="00052186"/>
    <w:rsid w:val="000521A5"/>
    <w:rsid w:val="000522FF"/>
    <w:rsid w:val="0005236B"/>
    <w:rsid w:val="000523C4"/>
    <w:rsid w:val="000523FA"/>
    <w:rsid w:val="00052448"/>
    <w:rsid w:val="000524A9"/>
    <w:rsid w:val="00052593"/>
    <w:rsid w:val="000526F2"/>
    <w:rsid w:val="000527D6"/>
    <w:rsid w:val="000527E2"/>
    <w:rsid w:val="000527F4"/>
    <w:rsid w:val="00052882"/>
    <w:rsid w:val="000529A6"/>
    <w:rsid w:val="00052A80"/>
    <w:rsid w:val="00052B00"/>
    <w:rsid w:val="00052B0D"/>
    <w:rsid w:val="00052C7D"/>
    <w:rsid w:val="00052C96"/>
    <w:rsid w:val="00052D36"/>
    <w:rsid w:val="00052DC5"/>
    <w:rsid w:val="00052DDC"/>
    <w:rsid w:val="0005302B"/>
    <w:rsid w:val="00053118"/>
    <w:rsid w:val="0005318F"/>
    <w:rsid w:val="000531A5"/>
    <w:rsid w:val="000531A9"/>
    <w:rsid w:val="000532F8"/>
    <w:rsid w:val="0005332D"/>
    <w:rsid w:val="0005335F"/>
    <w:rsid w:val="0005343B"/>
    <w:rsid w:val="000534B5"/>
    <w:rsid w:val="0005351F"/>
    <w:rsid w:val="00053620"/>
    <w:rsid w:val="00053689"/>
    <w:rsid w:val="00053806"/>
    <w:rsid w:val="00053898"/>
    <w:rsid w:val="000538DC"/>
    <w:rsid w:val="00053923"/>
    <w:rsid w:val="000539B3"/>
    <w:rsid w:val="000539E1"/>
    <w:rsid w:val="00053A3C"/>
    <w:rsid w:val="00053BF2"/>
    <w:rsid w:val="00053D09"/>
    <w:rsid w:val="00053DAD"/>
    <w:rsid w:val="00053DE0"/>
    <w:rsid w:val="00053E1B"/>
    <w:rsid w:val="00053F0D"/>
    <w:rsid w:val="00053FA0"/>
    <w:rsid w:val="00054185"/>
    <w:rsid w:val="00054207"/>
    <w:rsid w:val="000542F9"/>
    <w:rsid w:val="000543BF"/>
    <w:rsid w:val="000545F2"/>
    <w:rsid w:val="00054664"/>
    <w:rsid w:val="0005467A"/>
    <w:rsid w:val="000547C5"/>
    <w:rsid w:val="0005487D"/>
    <w:rsid w:val="000548BD"/>
    <w:rsid w:val="0005490B"/>
    <w:rsid w:val="00054916"/>
    <w:rsid w:val="0005492A"/>
    <w:rsid w:val="00054949"/>
    <w:rsid w:val="00054A10"/>
    <w:rsid w:val="00054B46"/>
    <w:rsid w:val="00054BC5"/>
    <w:rsid w:val="00054C13"/>
    <w:rsid w:val="00054C8B"/>
    <w:rsid w:val="00054CBE"/>
    <w:rsid w:val="00054CF4"/>
    <w:rsid w:val="00054D26"/>
    <w:rsid w:val="00054E1E"/>
    <w:rsid w:val="00054EC4"/>
    <w:rsid w:val="00054F07"/>
    <w:rsid w:val="00054FDC"/>
    <w:rsid w:val="00054FE9"/>
    <w:rsid w:val="000550D5"/>
    <w:rsid w:val="00055166"/>
    <w:rsid w:val="000551CC"/>
    <w:rsid w:val="0005521A"/>
    <w:rsid w:val="00055230"/>
    <w:rsid w:val="00055254"/>
    <w:rsid w:val="00055264"/>
    <w:rsid w:val="0005541A"/>
    <w:rsid w:val="0005545A"/>
    <w:rsid w:val="0005546C"/>
    <w:rsid w:val="0005549A"/>
    <w:rsid w:val="000554FA"/>
    <w:rsid w:val="00055544"/>
    <w:rsid w:val="000555B0"/>
    <w:rsid w:val="000555E1"/>
    <w:rsid w:val="000556AD"/>
    <w:rsid w:val="000556E8"/>
    <w:rsid w:val="0005571D"/>
    <w:rsid w:val="00055743"/>
    <w:rsid w:val="00055745"/>
    <w:rsid w:val="00055768"/>
    <w:rsid w:val="000557AE"/>
    <w:rsid w:val="00055821"/>
    <w:rsid w:val="000558B2"/>
    <w:rsid w:val="0005591A"/>
    <w:rsid w:val="00055961"/>
    <w:rsid w:val="000559C5"/>
    <w:rsid w:val="000559E3"/>
    <w:rsid w:val="00055AB2"/>
    <w:rsid w:val="00055C55"/>
    <w:rsid w:val="00055C8C"/>
    <w:rsid w:val="00055D79"/>
    <w:rsid w:val="00055DDD"/>
    <w:rsid w:val="00055E45"/>
    <w:rsid w:val="00055F3D"/>
    <w:rsid w:val="00055F52"/>
    <w:rsid w:val="00055F74"/>
    <w:rsid w:val="00055F95"/>
    <w:rsid w:val="00055FC2"/>
    <w:rsid w:val="00055FF5"/>
    <w:rsid w:val="000560A4"/>
    <w:rsid w:val="0005610E"/>
    <w:rsid w:val="00056146"/>
    <w:rsid w:val="000561DA"/>
    <w:rsid w:val="000564A5"/>
    <w:rsid w:val="000564E1"/>
    <w:rsid w:val="000565C0"/>
    <w:rsid w:val="000566E6"/>
    <w:rsid w:val="00056767"/>
    <w:rsid w:val="000567B0"/>
    <w:rsid w:val="000567BC"/>
    <w:rsid w:val="000567D8"/>
    <w:rsid w:val="0005681B"/>
    <w:rsid w:val="00056820"/>
    <w:rsid w:val="0005689F"/>
    <w:rsid w:val="000568D8"/>
    <w:rsid w:val="0005691F"/>
    <w:rsid w:val="00056997"/>
    <w:rsid w:val="00056B06"/>
    <w:rsid w:val="00056B2A"/>
    <w:rsid w:val="00056BC8"/>
    <w:rsid w:val="00056D36"/>
    <w:rsid w:val="00056DAF"/>
    <w:rsid w:val="00056E87"/>
    <w:rsid w:val="00056FB7"/>
    <w:rsid w:val="00057056"/>
    <w:rsid w:val="0005714E"/>
    <w:rsid w:val="00057345"/>
    <w:rsid w:val="0005738E"/>
    <w:rsid w:val="00057435"/>
    <w:rsid w:val="00057490"/>
    <w:rsid w:val="000574D5"/>
    <w:rsid w:val="00057560"/>
    <w:rsid w:val="00057576"/>
    <w:rsid w:val="000575CC"/>
    <w:rsid w:val="000575DE"/>
    <w:rsid w:val="0005776E"/>
    <w:rsid w:val="00057794"/>
    <w:rsid w:val="000578F6"/>
    <w:rsid w:val="0005799F"/>
    <w:rsid w:val="00057A3C"/>
    <w:rsid w:val="00057AC9"/>
    <w:rsid w:val="00057B72"/>
    <w:rsid w:val="00057BCB"/>
    <w:rsid w:val="00057BDB"/>
    <w:rsid w:val="00057C49"/>
    <w:rsid w:val="00057CAD"/>
    <w:rsid w:val="00057D69"/>
    <w:rsid w:val="00057DC6"/>
    <w:rsid w:val="00057E82"/>
    <w:rsid w:val="00057EA0"/>
    <w:rsid w:val="00057ED5"/>
    <w:rsid w:val="00057F8E"/>
    <w:rsid w:val="00057FC4"/>
    <w:rsid w:val="00057FD2"/>
    <w:rsid w:val="00060041"/>
    <w:rsid w:val="000600F1"/>
    <w:rsid w:val="00060130"/>
    <w:rsid w:val="00060359"/>
    <w:rsid w:val="00060422"/>
    <w:rsid w:val="00060441"/>
    <w:rsid w:val="0006048F"/>
    <w:rsid w:val="000604EB"/>
    <w:rsid w:val="0006057E"/>
    <w:rsid w:val="000605C3"/>
    <w:rsid w:val="000605FA"/>
    <w:rsid w:val="0006065A"/>
    <w:rsid w:val="00060740"/>
    <w:rsid w:val="00060853"/>
    <w:rsid w:val="000609FC"/>
    <w:rsid w:val="00060BCA"/>
    <w:rsid w:val="00060C19"/>
    <w:rsid w:val="00060CB0"/>
    <w:rsid w:val="00060CD3"/>
    <w:rsid w:val="00060D44"/>
    <w:rsid w:val="00060F54"/>
    <w:rsid w:val="00060FB5"/>
    <w:rsid w:val="00061096"/>
    <w:rsid w:val="000610C7"/>
    <w:rsid w:val="000614A8"/>
    <w:rsid w:val="00061529"/>
    <w:rsid w:val="00061532"/>
    <w:rsid w:val="0006155D"/>
    <w:rsid w:val="000615C5"/>
    <w:rsid w:val="00061847"/>
    <w:rsid w:val="000618B6"/>
    <w:rsid w:val="000618D7"/>
    <w:rsid w:val="0006195D"/>
    <w:rsid w:val="000619A4"/>
    <w:rsid w:val="00061A7D"/>
    <w:rsid w:val="00061B1F"/>
    <w:rsid w:val="00061BFD"/>
    <w:rsid w:val="00061D3A"/>
    <w:rsid w:val="00061E2A"/>
    <w:rsid w:val="00061F6B"/>
    <w:rsid w:val="00062017"/>
    <w:rsid w:val="000620CB"/>
    <w:rsid w:val="000621CA"/>
    <w:rsid w:val="0006222E"/>
    <w:rsid w:val="0006239D"/>
    <w:rsid w:val="000623AD"/>
    <w:rsid w:val="00062478"/>
    <w:rsid w:val="00062500"/>
    <w:rsid w:val="0006261F"/>
    <w:rsid w:val="0006262C"/>
    <w:rsid w:val="0006267B"/>
    <w:rsid w:val="000626B8"/>
    <w:rsid w:val="00062778"/>
    <w:rsid w:val="000627D5"/>
    <w:rsid w:val="000627E5"/>
    <w:rsid w:val="000627E6"/>
    <w:rsid w:val="00062801"/>
    <w:rsid w:val="0006280F"/>
    <w:rsid w:val="0006295F"/>
    <w:rsid w:val="000629B7"/>
    <w:rsid w:val="00062A18"/>
    <w:rsid w:val="00062A40"/>
    <w:rsid w:val="00062A9B"/>
    <w:rsid w:val="00062AEC"/>
    <w:rsid w:val="00062B76"/>
    <w:rsid w:val="00062C73"/>
    <w:rsid w:val="00062CC0"/>
    <w:rsid w:val="00062CC1"/>
    <w:rsid w:val="00062D0E"/>
    <w:rsid w:val="00062DBB"/>
    <w:rsid w:val="00062DE7"/>
    <w:rsid w:val="00062DE8"/>
    <w:rsid w:val="00062EDC"/>
    <w:rsid w:val="00062FF5"/>
    <w:rsid w:val="0006308A"/>
    <w:rsid w:val="000631B1"/>
    <w:rsid w:val="0006320A"/>
    <w:rsid w:val="0006327E"/>
    <w:rsid w:val="00063369"/>
    <w:rsid w:val="00063420"/>
    <w:rsid w:val="0006353A"/>
    <w:rsid w:val="000635AD"/>
    <w:rsid w:val="000635E2"/>
    <w:rsid w:val="00063676"/>
    <w:rsid w:val="00063762"/>
    <w:rsid w:val="0006376E"/>
    <w:rsid w:val="00063813"/>
    <w:rsid w:val="00063837"/>
    <w:rsid w:val="000638B6"/>
    <w:rsid w:val="00063978"/>
    <w:rsid w:val="00063A2E"/>
    <w:rsid w:val="00063A4B"/>
    <w:rsid w:val="00063A82"/>
    <w:rsid w:val="00063B89"/>
    <w:rsid w:val="00063BB2"/>
    <w:rsid w:val="00063CFA"/>
    <w:rsid w:val="00063E5F"/>
    <w:rsid w:val="00064109"/>
    <w:rsid w:val="000641F9"/>
    <w:rsid w:val="00064284"/>
    <w:rsid w:val="0006435B"/>
    <w:rsid w:val="00064442"/>
    <w:rsid w:val="00064491"/>
    <w:rsid w:val="000644CB"/>
    <w:rsid w:val="00064565"/>
    <w:rsid w:val="0006459D"/>
    <w:rsid w:val="0006459E"/>
    <w:rsid w:val="00064662"/>
    <w:rsid w:val="00064665"/>
    <w:rsid w:val="00064832"/>
    <w:rsid w:val="00064842"/>
    <w:rsid w:val="000648C9"/>
    <w:rsid w:val="00064914"/>
    <w:rsid w:val="00064A88"/>
    <w:rsid w:val="00064AA4"/>
    <w:rsid w:val="00064ADE"/>
    <w:rsid w:val="00064B01"/>
    <w:rsid w:val="00064B3A"/>
    <w:rsid w:val="00064B89"/>
    <w:rsid w:val="00064C00"/>
    <w:rsid w:val="00064C71"/>
    <w:rsid w:val="00064C7B"/>
    <w:rsid w:val="00064CC9"/>
    <w:rsid w:val="00064DB4"/>
    <w:rsid w:val="00064DCF"/>
    <w:rsid w:val="00064DE1"/>
    <w:rsid w:val="00064DF8"/>
    <w:rsid w:val="00064E89"/>
    <w:rsid w:val="00064EF9"/>
    <w:rsid w:val="00064F2D"/>
    <w:rsid w:val="00065018"/>
    <w:rsid w:val="000651D2"/>
    <w:rsid w:val="0006529A"/>
    <w:rsid w:val="00065383"/>
    <w:rsid w:val="00065410"/>
    <w:rsid w:val="000655D9"/>
    <w:rsid w:val="0006560F"/>
    <w:rsid w:val="00065639"/>
    <w:rsid w:val="00065678"/>
    <w:rsid w:val="00065711"/>
    <w:rsid w:val="00065715"/>
    <w:rsid w:val="00065755"/>
    <w:rsid w:val="000657AB"/>
    <w:rsid w:val="0006587E"/>
    <w:rsid w:val="000658AC"/>
    <w:rsid w:val="00065A82"/>
    <w:rsid w:val="00065B15"/>
    <w:rsid w:val="00065B34"/>
    <w:rsid w:val="00065C42"/>
    <w:rsid w:val="00065DF6"/>
    <w:rsid w:val="00065E51"/>
    <w:rsid w:val="00065F77"/>
    <w:rsid w:val="00066088"/>
    <w:rsid w:val="000661D5"/>
    <w:rsid w:val="0006623C"/>
    <w:rsid w:val="00066378"/>
    <w:rsid w:val="0006639C"/>
    <w:rsid w:val="000663E0"/>
    <w:rsid w:val="00066470"/>
    <w:rsid w:val="00066475"/>
    <w:rsid w:val="0006652D"/>
    <w:rsid w:val="00066592"/>
    <w:rsid w:val="000665CA"/>
    <w:rsid w:val="000665CF"/>
    <w:rsid w:val="00066650"/>
    <w:rsid w:val="00066675"/>
    <w:rsid w:val="00066687"/>
    <w:rsid w:val="0006674E"/>
    <w:rsid w:val="00066869"/>
    <w:rsid w:val="000668AC"/>
    <w:rsid w:val="000669EF"/>
    <w:rsid w:val="00066AEC"/>
    <w:rsid w:val="00066B1A"/>
    <w:rsid w:val="00066B43"/>
    <w:rsid w:val="00066B70"/>
    <w:rsid w:val="00066C60"/>
    <w:rsid w:val="00066D4B"/>
    <w:rsid w:val="00066DA9"/>
    <w:rsid w:val="00066F15"/>
    <w:rsid w:val="00066FA0"/>
    <w:rsid w:val="000671AD"/>
    <w:rsid w:val="000671E6"/>
    <w:rsid w:val="000671ED"/>
    <w:rsid w:val="0006728B"/>
    <w:rsid w:val="000672A3"/>
    <w:rsid w:val="00067307"/>
    <w:rsid w:val="000673B1"/>
    <w:rsid w:val="000674AE"/>
    <w:rsid w:val="00067680"/>
    <w:rsid w:val="00067710"/>
    <w:rsid w:val="00067734"/>
    <w:rsid w:val="000677B1"/>
    <w:rsid w:val="0006782D"/>
    <w:rsid w:val="000678A1"/>
    <w:rsid w:val="00067915"/>
    <w:rsid w:val="00067953"/>
    <w:rsid w:val="000679E0"/>
    <w:rsid w:val="00067AAA"/>
    <w:rsid w:val="00067ABB"/>
    <w:rsid w:val="00067AD0"/>
    <w:rsid w:val="00067C5D"/>
    <w:rsid w:val="00067CE0"/>
    <w:rsid w:val="00067D34"/>
    <w:rsid w:val="00067D9E"/>
    <w:rsid w:val="00067DB1"/>
    <w:rsid w:val="00067E6E"/>
    <w:rsid w:val="00067F1D"/>
    <w:rsid w:val="000700C2"/>
    <w:rsid w:val="000700C6"/>
    <w:rsid w:val="000700EB"/>
    <w:rsid w:val="00070176"/>
    <w:rsid w:val="000701B6"/>
    <w:rsid w:val="000701BB"/>
    <w:rsid w:val="00070266"/>
    <w:rsid w:val="000702A9"/>
    <w:rsid w:val="000702E5"/>
    <w:rsid w:val="000703B4"/>
    <w:rsid w:val="000704D9"/>
    <w:rsid w:val="00070648"/>
    <w:rsid w:val="00070768"/>
    <w:rsid w:val="000707E4"/>
    <w:rsid w:val="00070811"/>
    <w:rsid w:val="00070815"/>
    <w:rsid w:val="00070866"/>
    <w:rsid w:val="00070983"/>
    <w:rsid w:val="0007099E"/>
    <w:rsid w:val="000709C8"/>
    <w:rsid w:val="00070AE7"/>
    <w:rsid w:val="00070B62"/>
    <w:rsid w:val="00070C55"/>
    <w:rsid w:val="00070D06"/>
    <w:rsid w:val="00070DD0"/>
    <w:rsid w:val="00070F95"/>
    <w:rsid w:val="00070FC6"/>
    <w:rsid w:val="00071037"/>
    <w:rsid w:val="000710D4"/>
    <w:rsid w:val="00071167"/>
    <w:rsid w:val="000711DC"/>
    <w:rsid w:val="000711E5"/>
    <w:rsid w:val="00071284"/>
    <w:rsid w:val="000712CB"/>
    <w:rsid w:val="000715A0"/>
    <w:rsid w:val="0007177B"/>
    <w:rsid w:val="00071846"/>
    <w:rsid w:val="0007194B"/>
    <w:rsid w:val="000719FE"/>
    <w:rsid w:val="00071A30"/>
    <w:rsid w:val="00071A4F"/>
    <w:rsid w:val="00071C91"/>
    <w:rsid w:val="00071CE8"/>
    <w:rsid w:val="00071D62"/>
    <w:rsid w:val="00071D92"/>
    <w:rsid w:val="00071FE0"/>
    <w:rsid w:val="0007209E"/>
    <w:rsid w:val="0007212F"/>
    <w:rsid w:val="00072137"/>
    <w:rsid w:val="00072176"/>
    <w:rsid w:val="00072202"/>
    <w:rsid w:val="000722BE"/>
    <w:rsid w:val="000722D8"/>
    <w:rsid w:val="00072415"/>
    <w:rsid w:val="000726A1"/>
    <w:rsid w:val="000726A4"/>
    <w:rsid w:val="000726B5"/>
    <w:rsid w:val="00072712"/>
    <w:rsid w:val="0007274A"/>
    <w:rsid w:val="000727B5"/>
    <w:rsid w:val="00072852"/>
    <w:rsid w:val="00072893"/>
    <w:rsid w:val="000729C2"/>
    <w:rsid w:val="000729D9"/>
    <w:rsid w:val="000729EF"/>
    <w:rsid w:val="000729F4"/>
    <w:rsid w:val="00072AA8"/>
    <w:rsid w:val="00072BAC"/>
    <w:rsid w:val="00072C79"/>
    <w:rsid w:val="00072CB4"/>
    <w:rsid w:val="00072D89"/>
    <w:rsid w:val="00072E13"/>
    <w:rsid w:val="00072ED7"/>
    <w:rsid w:val="00072F87"/>
    <w:rsid w:val="00072FB4"/>
    <w:rsid w:val="00073004"/>
    <w:rsid w:val="00073021"/>
    <w:rsid w:val="00073039"/>
    <w:rsid w:val="000730CA"/>
    <w:rsid w:val="000730F4"/>
    <w:rsid w:val="000731F9"/>
    <w:rsid w:val="00073233"/>
    <w:rsid w:val="0007328D"/>
    <w:rsid w:val="000733CE"/>
    <w:rsid w:val="000734E7"/>
    <w:rsid w:val="00073535"/>
    <w:rsid w:val="0007353C"/>
    <w:rsid w:val="00073605"/>
    <w:rsid w:val="00073622"/>
    <w:rsid w:val="00073732"/>
    <w:rsid w:val="00073740"/>
    <w:rsid w:val="00073771"/>
    <w:rsid w:val="00073932"/>
    <w:rsid w:val="00073968"/>
    <w:rsid w:val="0007396E"/>
    <w:rsid w:val="00073998"/>
    <w:rsid w:val="00073A77"/>
    <w:rsid w:val="00073A91"/>
    <w:rsid w:val="00073BB2"/>
    <w:rsid w:val="00073BB3"/>
    <w:rsid w:val="00073D2D"/>
    <w:rsid w:val="00073D35"/>
    <w:rsid w:val="00073D54"/>
    <w:rsid w:val="00073D6F"/>
    <w:rsid w:val="00073EB0"/>
    <w:rsid w:val="00073EDD"/>
    <w:rsid w:val="00073EFE"/>
    <w:rsid w:val="00073F8F"/>
    <w:rsid w:val="00074124"/>
    <w:rsid w:val="0007430B"/>
    <w:rsid w:val="00074388"/>
    <w:rsid w:val="000743F6"/>
    <w:rsid w:val="00074582"/>
    <w:rsid w:val="000745CB"/>
    <w:rsid w:val="0007481D"/>
    <w:rsid w:val="00074B2B"/>
    <w:rsid w:val="00074C0D"/>
    <w:rsid w:val="00074C18"/>
    <w:rsid w:val="00074DC9"/>
    <w:rsid w:val="00074F33"/>
    <w:rsid w:val="00074F52"/>
    <w:rsid w:val="00074F5D"/>
    <w:rsid w:val="00075079"/>
    <w:rsid w:val="0007509C"/>
    <w:rsid w:val="000750B9"/>
    <w:rsid w:val="00075182"/>
    <w:rsid w:val="0007520A"/>
    <w:rsid w:val="000752A0"/>
    <w:rsid w:val="000752EF"/>
    <w:rsid w:val="00075335"/>
    <w:rsid w:val="00075402"/>
    <w:rsid w:val="00075409"/>
    <w:rsid w:val="0007570F"/>
    <w:rsid w:val="00075852"/>
    <w:rsid w:val="00075924"/>
    <w:rsid w:val="00075988"/>
    <w:rsid w:val="000759C0"/>
    <w:rsid w:val="00075A48"/>
    <w:rsid w:val="00075AC1"/>
    <w:rsid w:val="00075B8F"/>
    <w:rsid w:val="00075B91"/>
    <w:rsid w:val="00075BAE"/>
    <w:rsid w:val="00075BB8"/>
    <w:rsid w:val="00075BC0"/>
    <w:rsid w:val="00075C2C"/>
    <w:rsid w:val="00075DFF"/>
    <w:rsid w:val="00075E0B"/>
    <w:rsid w:val="00075E33"/>
    <w:rsid w:val="00075F20"/>
    <w:rsid w:val="00075FE8"/>
    <w:rsid w:val="0007603C"/>
    <w:rsid w:val="0007619A"/>
    <w:rsid w:val="00076208"/>
    <w:rsid w:val="00076256"/>
    <w:rsid w:val="00076286"/>
    <w:rsid w:val="000763CD"/>
    <w:rsid w:val="00076589"/>
    <w:rsid w:val="000765CA"/>
    <w:rsid w:val="000765E6"/>
    <w:rsid w:val="00076653"/>
    <w:rsid w:val="0007666D"/>
    <w:rsid w:val="0007666F"/>
    <w:rsid w:val="00076688"/>
    <w:rsid w:val="0007669D"/>
    <w:rsid w:val="00076712"/>
    <w:rsid w:val="000767DC"/>
    <w:rsid w:val="000767DD"/>
    <w:rsid w:val="0007688B"/>
    <w:rsid w:val="00076A3D"/>
    <w:rsid w:val="00076AD4"/>
    <w:rsid w:val="00076B4A"/>
    <w:rsid w:val="00076C1C"/>
    <w:rsid w:val="00076C73"/>
    <w:rsid w:val="00076C74"/>
    <w:rsid w:val="00076CAE"/>
    <w:rsid w:val="00076CCE"/>
    <w:rsid w:val="00076D09"/>
    <w:rsid w:val="00076D60"/>
    <w:rsid w:val="00076E06"/>
    <w:rsid w:val="00077076"/>
    <w:rsid w:val="00077080"/>
    <w:rsid w:val="0007727F"/>
    <w:rsid w:val="00077350"/>
    <w:rsid w:val="0007745A"/>
    <w:rsid w:val="0007752E"/>
    <w:rsid w:val="00077573"/>
    <w:rsid w:val="0007758E"/>
    <w:rsid w:val="000775B5"/>
    <w:rsid w:val="00077792"/>
    <w:rsid w:val="000777C9"/>
    <w:rsid w:val="00077854"/>
    <w:rsid w:val="00077856"/>
    <w:rsid w:val="000778C1"/>
    <w:rsid w:val="000779F0"/>
    <w:rsid w:val="00077AE6"/>
    <w:rsid w:val="00077BF7"/>
    <w:rsid w:val="00077C30"/>
    <w:rsid w:val="00077C3C"/>
    <w:rsid w:val="00077C6F"/>
    <w:rsid w:val="00077C7E"/>
    <w:rsid w:val="00077CBA"/>
    <w:rsid w:val="00077CDC"/>
    <w:rsid w:val="00077DF6"/>
    <w:rsid w:val="00077EEF"/>
    <w:rsid w:val="00077F3F"/>
    <w:rsid w:val="00077F4A"/>
    <w:rsid w:val="00077F8C"/>
    <w:rsid w:val="0007A85A"/>
    <w:rsid w:val="00080097"/>
    <w:rsid w:val="000800B3"/>
    <w:rsid w:val="000800E3"/>
    <w:rsid w:val="0008014F"/>
    <w:rsid w:val="00080161"/>
    <w:rsid w:val="0008016F"/>
    <w:rsid w:val="00080188"/>
    <w:rsid w:val="0008030C"/>
    <w:rsid w:val="0008038A"/>
    <w:rsid w:val="000803B6"/>
    <w:rsid w:val="00080516"/>
    <w:rsid w:val="0008065A"/>
    <w:rsid w:val="00080776"/>
    <w:rsid w:val="0008080B"/>
    <w:rsid w:val="00080936"/>
    <w:rsid w:val="00080965"/>
    <w:rsid w:val="00080979"/>
    <w:rsid w:val="00080B00"/>
    <w:rsid w:val="00080C73"/>
    <w:rsid w:val="00080CC1"/>
    <w:rsid w:val="00080D3B"/>
    <w:rsid w:val="00080D64"/>
    <w:rsid w:val="00080E99"/>
    <w:rsid w:val="00081066"/>
    <w:rsid w:val="000810B4"/>
    <w:rsid w:val="000810BD"/>
    <w:rsid w:val="000810BF"/>
    <w:rsid w:val="000810F4"/>
    <w:rsid w:val="000811FE"/>
    <w:rsid w:val="000812F8"/>
    <w:rsid w:val="00081330"/>
    <w:rsid w:val="00081355"/>
    <w:rsid w:val="000813A3"/>
    <w:rsid w:val="000813BB"/>
    <w:rsid w:val="0008158D"/>
    <w:rsid w:val="000815C4"/>
    <w:rsid w:val="000815E9"/>
    <w:rsid w:val="000815FE"/>
    <w:rsid w:val="00081779"/>
    <w:rsid w:val="000818E0"/>
    <w:rsid w:val="00081A9A"/>
    <w:rsid w:val="00081BC6"/>
    <w:rsid w:val="00081C43"/>
    <w:rsid w:val="00081C93"/>
    <w:rsid w:val="00081CB3"/>
    <w:rsid w:val="00081D28"/>
    <w:rsid w:val="00081E80"/>
    <w:rsid w:val="00081F58"/>
    <w:rsid w:val="00082078"/>
    <w:rsid w:val="000820BA"/>
    <w:rsid w:val="0008214F"/>
    <w:rsid w:val="0008217B"/>
    <w:rsid w:val="00082260"/>
    <w:rsid w:val="00082285"/>
    <w:rsid w:val="000825BD"/>
    <w:rsid w:val="000825C6"/>
    <w:rsid w:val="0008261B"/>
    <w:rsid w:val="000826FE"/>
    <w:rsid w:val="0008273F"/>
    <w:rsid w:val="0008276E"/>
    <w:rsid w:val="0008283C"/>
    <w:rsid w:val="000828AC"/>
    <w:rsid w:val="0008299A"/>
    <w:rsid w:val="000829A2"/>
    <w:rsid w:val="000829C4"/>
    <w:rsid w:val="000829D8"/>
    <w:rsid w:val="000829F9"/>
    <w:rsid w:val="00082B99"/>
    <w:rsid w:val="00082BD6"/>
    <w:rsid w:val="00082CDE"/>
    <w:rsid w:val="00082CEA"/>
    <w:rsid w:val="00082D1F"/>
    <w:rsid w:val="00082D91"/>
    <w:rsid w:val="00082DBB"/>
    <w:rsid w:val="00082DE1"/>
    <w:rsid w:val="00082F47"/>
    <w:rsid w:val="000830D6"/>
    <w:rsid w:val="0008311B"/>
    <w:rsid w:val="0008323D"/>
    <w:rsid w:val="0008329F"/>
    <w:rsid w:val="0008349D"/>
    <w:rsid w:val="000834DB"/>
    <w:rsid w:val="000834F1"/>
    <w:rsid w:val="00083617"/>
    <w:rsid w:val="000836C4"/>
    <w:rsid w:val="000836E6"/>
    <w:rsid w:val="0008383E"/>
    <w:rsid w:val="000838DA"/>
    <w:rsid w:val="000839C3"/>
    <w:rsid w:val="00083A8D"/>
    <w:rsid w:val="00083A96"/>
    <w:rsid w:val="00083AF9"/>
    <w:rsid w:val="00083B07"/>
    <w:rsid w:val="00083B46"/>
    <w:rsid w:val="00083BD1"/>
    <w:rsid w:val="00083C08"/>
    <w:rsid w:val="00083CF0"/>
    <w:rsid w:val="00083DE8"/>
    <w:rsid w:val="00083DF3"/>
    <w:rsid w:val="00083E79"/>
    <w:rsid w:val="00084065"/>
    <w:rsid w:val="000841B4"/>
    <w:rsid w:val="0008427D"/>
    <w:rsid w:val="000842A9"/>
    <w:rsid w:val="0008435B"/>
    <w:rsid w:val="00084400"/>
    <w:rsid w:val="0008441D"/>
    <w:rsid w:val="0008442B"/>
    <w:rsid w:val="00084453"/>
    <w:rsid w:val="000844B7"/>
    <w:rsid w:val="000845F8"/>
    <w:rsid w:val="0008464F"/>
    <w:rsid w:val="00084684"/>
    <w:rsid w:val="0008481A"/>
    <w:rsid w:val="00084939"/>
    <w:rsid w:val="00084977"/>
    <w:rsid w:val="00084C7D"/>
    <w:rsid w:val="00084C9A"/>
    <w:rsid w:val="00084CC3"/>
    <w:rsid w:val="00084CF9"/>
    <w:rsid w:val="00084D03"/>
    <w:rsid w:val="00084EFA"/>
    <w:rsid w:val="00084FF0"/>
    <w:rsid w:val="00085030"/>
    <w:rsid w:val="00085050"/>
    <w:rsid w:val="00085068"/>
    <w:rsid w:val="00085085"/>
    <w:rsid w:val="000850AF"/>
    <w:rsid w:val="0008512E"/>
    <w:rsid w:val="000851CC"/>
    <w:rsid w:val="0008525D"/>
    <w:rsid w:val="0008533A"/>
    <w:rsid w:val="0008534F"/>
    <w:rsid w:val="00085479"/>
    <w:rsid w:val="00085681"/>
    <w:rsid w:val="000857FE"/>
    <w:rsid w:val="0008588B"/>
    <w:rsid w:val="000858DE"/>
    <w:rsid w:val="0008592B"/>
    <w:rsid w:val="00085933"/>
    <w:rsid w:val="00085A6C"/>
    <w:rsid w:val="00085BED"/>
    <w:rsid w:val="00085E4D"/>
    <w:rsid w:val="00085EA2"/>
    <w:rsid w:val="00085EB3"/>
    <w:rsid w:val="00085EBD"/>
    <w:rsid w:val="00085F3F"/>
    <w:rsid w:val="00085F74"/>
    <w:rsid w:val="00085FAD"/>
    <w:rsid w:val="000861E5"/>
    <w:rsid w:val="00086214"/>
    <w:rsid w:val="00086471"/>
    <w:rsid w:val="0008647C"/>
    <w:rsid w:val="0008650B"/>
    <w:rsid w:val="00086510"/>
    <w:rsid w:val="0008658E"/>
    <w:rsid w:val="00086597"/>
    <w:rsid w:val="00086614"/>
    <w:rsid w:val="00086667"/>
    <w:rsid w:val="0008667D"/>
    <w:rsid w:val="00086799"/>
    <w:rsid w:val="00086877"/>
    <w:rsid w:val="00086923"/>
    <w:rsid w:val="000869C7"/>
    <w:rsid w:val="00086AA4"/>
    <w:rsid w:val="00086B0E"/>
    <w:rsid w:val="00086B90"/>
    <w:rsid w:val="00086C3D"/>
    <w:rsid w:val="00086EFA"/>
    <w:rsid w:val="00086F9D"/>
    <w:rsid w:val="00086FBC"/>
    <w:rsid w:val="00087020"/>
    <w:rsid w:val="0008709C"/>
    <w:rsid w:val="000870BD"/>
    <w:rsid w:val="000870D2"/>
    <w:rsid w:val="00087107"/>
    <w:rsid w:val="0008716C"/>
    <w:rsid w:val="00087239"/>
    <w:rsid w:val="00087292"/>
    <w:rsid w:val="00087449"/>
    <w:rsid w:val="00087509"/>
    <w:rsid w:val="00087527"/>
    <w:rsid w:val="000876A4"/>
    <w:rsid w:val="0008770D"/>
    <w:rsid w:val="00087779"/>
    <w:rsid w:val="000877BD"/>
    <w:rsid w:val="00087906"/>
    <w:rsid w:val="00087A9B"/>
    <w:rsid w:val="00087AB0"/>
    <w:rsid w:val="00087BA3"/>
    <w:rsid w:val="00087C79"/>
    <w:rsid w:val="00087DCE"/>
    <w:rsid w:val="00087E60"/>
    <w:rsid w:val="00087E7F"/>
    <w:rsid w:val="00087EC2"/>
    <w:rsid w:val="00087FDB"/>
    <w:rsid w:val="00087FE2"/>
    <w:rsid w:val="00090126"/>
    <w:rsid w:val="00090127"/>
    <w:rsid w:val="000901AA"/>
    <w:rsid w:val="000901C4"/>
    <w:rsid w:val="00090216"/>
    <w:rsid w:val="00090218"/>
    <w:rsid w:val="00090250"/>
    <w:rsid w:val="000902E6"/>
    <w:rsid w:val="00090325"/>
    <w:rsid w:val="00090421"/>
    <w:rsid w:val="00090432"/>
    <w:rsid w:val="000904E0"/>
    <w:rsid w:val="0009062A"/>
    <w:rsid w:val="000906B6"/>
    <w:rsid w:val="000906F1"/>
    <w:rsid w:val="000907D9"/>
    <w:rsid w:val="00090804"/>
    <w:rsid w:val="00090854"/>
    <w:rsid w:val="00090889"/>
    <w:rsid w:val="000908F7"/>
    <w:rsid w:val="00090938"/>
    <w:rsid w:val="00090959"/>
    <w:rsid w:val="00090A1C"/>
    <w:rsid w:val="00090ABE"/>
    <w:rsid w:val="00090B1D"/>
    <w:rsid w:val="00090B21"/>
    <w:rsid w:val="00090B4D"/>
    <w:rsid w:val="00090BF8"/>
    <w:rsid w:val="00090C43"/>
    <w:rsid w:val="00090C8B"/>
    <w:rsid w:val="00090CB4"/>
    <w:rsid w:val="00090E4C"/>
    <w:rsid w:val="00090F1B"/>
    <w:rsid w:val="00090F85"/>
    <w:rsid w:val="000910B0"/>
    <w:rsid w:val="00091211"/>
    <w:rsid w:val="0009122B"/>
    <w:rsid w:val="000912C5"/>
    <w:rsid w:val="000913B7"/>
    <w:rsid w:val="000913E3"/>
    <w:rsid w:val="00091440"/>
    <w:rsid w:val="0009146D"/>
    <w:rsid w:val="000915D2"/>
    <w:rsid w:val="00091640"/>
    <w:rsid w:val="00091679"/>
    <w:rsid w:val="00091753"/>
    <w:rsid w:val="00091768"/>
    <w:rsid w:val="0009177A"/>
    <w:rsid w:val="0009181B"/>
    <w:rsid w:val="000918E0"/>
    <w:rsid w:val="00091901"/>
    <w:rsid w:val="00091997"/>
    <w:rsid w:val="00091A0C"/>
    <w:rsid w:val="00091A64"/>
    <w:rsid w:val="00091A6A"/>
    <w:rsid w:val="00091A8A"/>
    <w:rsid w:val="00091AD7"/>
    <w:rsid w:val="00091B59"/>
    <w:rsid w:val="00091B89"/>
    <w:rsid w:val="00091B91"/>
    <w:rsid w:val="00091C34"/>
    <w:rsid w:val="00091C42"/>
    <w:rsid w:val="00091D3B"/>
    <w:rsid w:val="00091E67"/>
    <w:rsid w:val="00091FC5"/>
    <w:rsid w:val="0009221C"/>
    <w:rsid w:val="00092513"/>
    <w:rsid w:val="000925CB"/>
    <w:rsid w:val="000925E0"/>
    <w:rsid w:val="0009262D"/>
    <w:rsid w:val="000926EF"/>
    <w:rsid w:val="00092807"/>
    <w:rsid w:val="000928A6"/>
    <w:rsid w:val="0009294B"/>
    <w:rsid w:val="00092AC5"/>
    <w:rsid w:val="00092B22"/>
    <w:rsid w:val="00092B5D"/>
    <w:rsid w:val="00092B87"/>
    <w:rsid w:val="00092C7F"/>
    <w:rsid w:val="00092C9C"/>
    <w:rsid w:val="00092D1B"/>
    <w:rsid w:val="00092F24"/>
    <w:rsid w:val="00092F28"/>
    <w:rsid w:val="00092FCF"/>
    <w:rsid w:val="00092FD9"/>
    <w:rsid w:val="00092FEB"/>
    <w:rsid w:val="00093174"/>
    <w:rsid w:val="0009334A"/>
    <w:rsid w:val="000933E1"/>
    <w:rsid w:val="00093433"/>
    <w:rsid w:val="00093471"/>
    <w:rsid w:val="000934FE"/>
    <w:rsid w:val="0009355D"/>
    <w:rsid w:val="00093614"/>
    <w:rsid w:val="0009369C"/>
    <w:rsid w:val="00093700"/>
    <w:rsid w:val="00093777"/>
    <w:rsid w:val="00093781"/>
    <w:rsid w:val="000938C7"/>
    <w:rsid w:val="000938E2"/>
    <w:rsid w:val="0009394A"/>
    <w:rsid w:val="00093A09"/>
    <w:rsid w:val="00093B63"/>
    <w:rsid w:val="00093B6B"/>
    <w:rsid w:val="00093CF5"/>
    <w:rsid w:val="00093D1E"/>
    <w:rsid w:val="00093D97"/>
    <w:rsid w:val="00093F75"/>
    <w:rsid w:val="00094008"/>
    <w:rsid w:val="0009400E"/>
    <w:rsid w:val="00094018"/>
    <w:rsid w:val="00094058"/>
    <w:rsid w:val="000940EF"/>
    <w:rsid w:val="00094197"/>
    <w:rsid w:val="000941A6"/>
    <w:rsid w:val="00094237"/>
    <w:rsid w:val="00094244"/>
    <w:rsid w:val="00094375"/>
    <w:rsid w:val="0009437A"/>
    <w:rsid w:val="000943EC"/>
    <w:rsid w:val="00094559"/>
    <w:rsid w:val="00094604"/>
    <w:rsid w:val="000946D9"/>
    <w:rsid w:val="000947CC"/>
    <w:rsid w:val="00094866"/>
    <w:rsid w:val="0009488F"/>
    <w:rsid w:val="00094952"/>
    <w:rsid w:val="00094B37"/>
    <w:rsid w:val="00094B3F"/>
    <w:rsid w:val="00094B48"/>
    <w:rsid w:val="00094BB8"/>
    <w:rsid w:val="00094D20"/>
    <w:rsid w:val="00094EDC"/>
    <w:rsid w:val="00095114"/>
    <w:rsid w:val="00095178"/>
    <w:rsid w:val="000951ED"/>
    <w:rsid w:val="0009543A"/>
    <w:rsid w:val="000954E6"/>
    <w:rsid w:val="0009553C"/>
    <w:rsid w:val="0009555F"/>
    <w:rsid w:val="0009564B"/>
    <w:rsid w:val="000956C1"/>
    <w:rsid w:val="0009577A"/>
    <w:rsid w:val="000958C6"/>
    <w:rsid w:val="00095942"/>
    <w:rsid w:val="0009595F"/>
    <w:rsid w:val="000959A6"/>
    <w:rsid w:val="00095C5C"/>
    <w:rsid w:val="00095C61"/>
    <w:rsid w:val="00095C7B"/>
    <w:rsid w:val="00095CED"/>
    <w:rsid w:val="00095CF8"/>
    <w:rsid w:val="00095D47"/>
    <w:rsid w:val="00095D63"/>
    <w:rsid w:val="00095DDF"/>
    <w:rsid w:val="00095DF0"/>
    <w:rsid w:val="00095ED0"/>
    <w:rsid w:val="00095EF6"/>
    <w:rsid w:val="00095FC2"/>
    <w:rsid w:val="00095FE9"/>
    <w:rsid w:val="00096000"/>
    <w:rsid w:val="0009603D"/>
    <w:rsid w:val="00096078"/>
    <w:rsid w:val="00096114"/>
    <w:rsid w:val="0009611D"/>
    <w:rsid w:val="000961B4"/>
    <w:rsid w:val="000962E3"/>
    <w:rsid w:val="000962E6"/>
    <w:rsid w:val="00096487"/>
    <w:rsid w:val="000964BA"/>
    <w:rsid w:val="0009650B"/>
    <w:rsid w:val="00096699"/>
    <w:rsid w:val="00096777"/>
    <w:rsid w:val="00096839"/>
    <w:rsid w:val="000968A6"/>
    <w:rsid w:val="00096A52"/>
    <w:rsid w:val="00096B05"/>
    <w:rsid w:val="00096C52"/>
    <w:rsid w:val="00096CDF"/>
    <w:rsid w:val="00096E3B"/>
    <w:rsid w:val="00096F11"/>
    <w:rsid w:val="00096FB8"/>
    <w:rsid w:val="00096FCE"/>
    <w:rsid w:val="00096FFF"/>
    <w:rsid w:val="00097007"/>
    <w:rsid w:val="00097037"/>
    <w:rsid w:val="00097280"/>
    <w:rsid w:val="0009729E"/>
    <w:rsid w:val="000972D4"/>
    <w:rsid w:val="00097340"/>
    <w:rsid w:val="00097447"/>
    <w:rsid w:val="0009744A"/>
    <w:rsid w:val="00097488"/>
    <w:rsid w:val="000974BC"/>
    <w:rsid w:val="0009757D"/>
    <w:rsid w:val="00097679"/>
    <w:rsid w:val="000976F0"/>
    <w:rsid w:val="000976F6"/>
    <w:rsid w:val="000977F1"/>
    <w:rsid w:val="00097902"/>
    <w:rsid w:val="0009790E"/>
    <w:rsid w:val="00097B48"/>
    <w:rsid w:val="00097BDE"/>
    <w:rsid w:val="00097C4B"/>
    <w:rsid w:val="00097C99"/>
    <w:rsid w:val="00097D41"/>
    <w:rsid w:val="00097ECC"/>
    <w:rsid w:val="00097EF1"/>
    <w:rsid w:val="00097EF9"/>
    <w:rsid w:val="00097F49"/>
    <w:rsid w:val="000A0149"/>
    <w:rsid w:val="000A014A"/>
    <w:rsid w:val="000A019E"/>
    <w:rsid w:val="000A01FF"/>
    <w:rsid w:val="000A0210"/>
    <w:rsid w:val="000A025E"/>
    <w:rsid w:val="000A0311"/>
    <w:rsid w:val="000A03CC"/>
    <w:rsid w:val="000A04B5"/>
    <w:rsid w:val="000A053A"/>
    <w:rsid w:val="000A0708"/>
    <w:rsid w:val="000A072A"/>
    <w:rsid w:val="000A075C"/>
    <w:rsid w:val="000A0786"/>
    <w:rsid w:val="000A07DC"/>
    <w:rsid w:val="000A0895"/>
    <w:rsid w:val="000A08B1"/>
    <w:rsid w:val="000A0925"/>
    <w:rsid w:val="000A0B61"/>
    <w:rsid w:val="000A0BAE"/>
    <w:rsid w:val="000A0C08"/>
    <w:rsid w:val="000A0CE6"/>
    <w:rsid w:val="000A0CFC"/>
    <w:rsid w:val="000A0D07"/>
    <w:rsid w:val="000A0DA6"/>
    <w:rsid w:val="000A0E3A"/>
    <w:rsid w:val="000A0EB9"/>
    <w:rsid w:val="000A0FF0"/>
    <w:rsid w:val="000A1117"/>
    <w:rsid w:val="000A11E8"/>
    <w:rsid w:val="000A1222"/>
    <w:rsid w:val="000A1295"/>
    <w:rsid w:val="000A13B2"/>
    <w:rsid w:val="000A14F4"/>
    <w:rsid w:val="000A15B6"/>
    <w:rsid w:val="000A15BB"/>
    <w:rsid w:val="000A1623"/>
    <w:rsid w:val="000A1759"/>
    <w:rsid w:val="000A1781"/>
    <w:rsid w:val="000A17E7"/>
    <w:rsid w:val="000A18F0"/>
    <w:rsid w:val="000A1B5E"/>
    <w:rsid w:val="000A1BA1"/>
    <w:rsid w:val="000A1BFA"/>
    <w:rsid w:val="000A1C84"/>
    <w:rsid w:val="000A1D20"/>
    <w:rsid w:val="000A1E02"/>
    <w:rsid w:val="000A1E07"/>
    <w:rsid w:val="000A1EF7"/>
    <w:rsid w:val="000A1F2F"/>
    <w:rsid w:val="000A2077"/>
    <w:rsid w:val="000A2085"/>
    <w:rsid w:val="000A21AC"/>
    <w:rsid w:val="000A21E4"/>
    <w:rsid w:val="000A220F"/>
    <w:rsid w:val="000A22EF"/>
    <w:rsid w:val="000A2323"/>
    <w:rsid w:val="000A23C1"/>
    <w:rsid w:val="000A2411"/>
    <w:rsid w:val="000A2507"/>
    <w:rsid w:val="000A2645"/>
    <w:rsid w:val="000A287D"/>
    <w:rsid w:val="000A28FB"/>
    <w:rsid w:val="000A2901"/>
    <w:rsid w:val="000A2955"/>
    <w:rsid w:val="000A2A11"/>
    <w:rsid w:val="000A2A12"/>
    <w:rsid w:val="000A2A66"/>
    <w:rsid w:val="000A2AA4"/>
    <w:rsid w:val="000A2AAD"/>
    <w:rsid w:val="000A2B06"/>
    <w:rsid w:val="000A2B0A"/>
    <w:rsid w:val="000A2B78"/>
    <w:rsid w:val="000A2CD9"/>
    <w:rsid w:val="000A2CF2"/>
    <w:rsid w:val="000A2DC5"/>
    <w:rsid w:val="000A2E6F"/>
    <w:rsid w:val="000A2EFA"/>
    <w:rsid w:val="000A2EFF"/>
    <w:rsid w:val="000A2FEE"/>
    <w:rsid w:val="000A30B2"/>
    <w:rsid w:val="000A30BD"/>
    <w:rsid w:val="000A30CD"/>
    <w:rsid w:val="000A3211"/>
    <w:rsid w:val="000A3276"/>
    <w:rsid w:val="000A338F"/>
    <w:rsid w:val="000A3435"/>
    <w:rsid w:val="000A344A"/>
    <w:rsid w:val="000A3551"/>
    <w:rsid w:val="000A356A"/>
    <w:rsid w:val="000A35AA"/>
    <w:rsid w:val="000A36C2"/>
    <w:rsid w:val="000A377B"/>
    <w:rsid w:val="000A3846"/>
    <w:rsid w:val="000A3986"/>
    <w:rsid w:val="000A3C42"/>
    <w:rsid w:val="000A3D35"/>
    <w:rsid w:val="000A3DFD"/>
    <w:rsid w:val="000A3E11"/>
    <w:rsid w:val="000A403A"/>
    <w:rsid w:val="000A41A4"/>
    <w:rsid w:val="000A41F1"/>
    <w:rsid w:val="000A459C"/>
    <w:rsid w:val="000A45E0"/>
    <w:rsid w:val="000A4655"/>
    <w:rsid w:val="000A470D"/>
    <w:rsid w:val="000A472A"/>
    <w:rsid w:val="000A4800"/>
    <w:rsid w:val="000A48CE"/>
    <w:rsid w:val="000A493B"/>
    <w:rsid w:val="000A497D"/>
    <w:rsid w:val="000A49C2"/>
    <w:rsid w:val="000A4AB2"/>
    <w:rsid w:val="000A4AD4"/>
    <w:rsid w:val="000A4BEC"/>
    <w:rsid w:val="000A4C5E"/>
    <w:rsid w:val="000A4C76"/>
    <w:rsid w:val="000A4CB5"/>
    <w:rsid w:val="000A4D1F"/>
    <w:rsid w:val="000A4DA3"/>
    <w:rsid w:val="000A4DAF"/>
    <w:rsid w:val="000A4E71"/>
    <w:rsid w:val="000A4E90"/>
    <w:rsid w:val="000A506B"/>
    <w:rsid w:val="000A5175"/>
    <w:rsid w:val="000A51D4"/>
    <w:rsid w:val="000A52B9"/>
    <w:rsid w:val="000A52D0"/>
    <w:rsid w:val="000A52F8"/>
    <w:rsid w:val="000A530B"/>
    <w:rsid w:val="000A5540"/>
    <w:rsid w:val="000A55D0"/>
    <w:rsid w:val="000A5657"/>
    <w:rsid w:val="000A5684"/>
    <w:rsid w:val="000A5698"/>
    <w:rsid w:val="000A569B"/>
    <w:rsid w:val="000A56FA"/>
    <w:rsid w:val="000A56FB"/>
    <w:rsid w:val="000A579D"/>
    <w:rsid w:val="000A588A"/>
    <w:rsid w:val="000A5969"/>
    <w:rsid w:val="000A5A4D"/>
    <w:rsid w:val="000A5A7F"/>
    <w:rsid w:val="000A5B2C"/>
    <w:rsid w:val="000A5B3E"/>
    <w:rsid w:val="000A5BD7"/>
    <w:rsid w:val="000A5D14"/>
    <w:rsid w:val="000A5D35"/>
    <w:rsid w:val="000A5DF1"/>
    <w:rsid w:val="000A5E4B"/>
    <w:rsid w:val="000A5EBB"/>
    <w:rsid w:val="000A6082"/>
    <w:rsid w:val="000A60F2"/>
    <w:rsid w:val="000A61DA"/>
    <w:rsid w:val="000A61DE"/>
    <w:rsid w:val="000A62ED"/>
    <w:rsid w:val="000A62F1"/>
    <w:rsid w:val="000A6331"/>
    <w:rsid w:val="000A6336"/>
    <w:rsid w:val="000A6374"/>
    <w:rsid w:val="000A639A"/>
    <w:rsid w:val="000A640B"/>
    <w:rsid w:val="000A6483"/>
    <w:rsid w:val="000A64DB"/>
    <w:rsid w:val="000A64E8"/>
    <w:rsid w:val="000A6631"/>
    <w:rsid w:val="000A6706"/>
    <w:rsid w:val="000A671F"/>
    <w:rsid w:val="000A67E5"/>
    <w:rsid w:val="000A6A58"/>
    <w:rsid w:val="000A6B17"/>
    <w:rsid w:val="000A6BA4"/>
    <w:rsid w:val="000A6C56"/>
    <w:rsid w:val="000A6C60"/>
    <w:rsid w:val="000A6C77"/>
    <w:rsid w:val="000A6CEF"/>
    <w:rsid w:val="000A6E13"/>
    <w:rsid w:val="000A6F62"/>
    <w:rsid w:val="000A7182"/>
    <w:rsid w:val="000A71CA"/>
    <w:rsid w:val="000A72B3"/>
    <w:rsid w:val="000A734C"/>
    <w:rsid w:val="000A73F1"/>
    <w:rsid w:val="000A74C7"/>
    <w:rsid w:val="000A74F6"/>
    <w:rsid w:val="000A7631"/>
    <w:rsid w:val="000A7639"/>
    <w:rsid w:val="000A767F"/>
    <w:rsid w:val="000A7685"/>
    <w:rsid w:val="000A76C3"/>
    <w:rsid w:val="000A76CE"/>
    <w:rsid w:val="000A77B6"/>
    <w:rsid w:val="000A782E"/>
    <w:rsid w:val="000A7871"/>
    <w:rsid w:val="000A7994"/>
    <w:rsid w:val="000A79E9"/>
    <w:rsid w:val="000A7A19"/>
    <w:rsid w:val="000A7A83"/>
    <w:rsid w:val="000A7ADF"/>
    <w:rsid w:val="000A7CC9"/>
    <w:rsid w:val="000A7D47"/>
    <w:rsid w:val="000A7DA0"/>
    <w:rsid w:val="000A7DEF"/>
    <w:rsid w:val="000A7E4F"/>
    <w:rsid w:val="000A7F62"/>
    <w:rsid w:val="000A7FE5"/>
    <w:rsid w:val="000B000B"/>
    <w:rsid w:val="000B0054"/>
    <w:rsid w:val="000B008B"/>
    <w:rsid w:val="000B00BB"/>
    <w:rsid w:val="000B010A"/>
    <w:rsid w:val="000B0140"/>
    <w:rsid w:val="000B0151"/>
    <w:rsid w:val="000B0156"/>
    <w:rsid w:val="000B0166"/>
    <w:rsid w:val="000B01D6"/>
    <w:rsid w:val="000B0293"/>
    <w:rsid w:val="000B02F5"/>
    <w:rsid w:val="000B0302"/>
    <w:rsid w:val="000B03C6"/>
    <w:rsid w:val="000B04B2"/>
    <w:rsid w:val="000B05A8"/>
    <w:rsid w:val="000B062E"/>
    <w:rsid w:val="000B0670"/>
    <w:rsid w:val="000B06B5"/>
    <w:rsid w:val="000B0703"/>
    <w:rsid w:val="000B070A"/>
    <w:rsid w:val="000B07FE"/>
    <w:rsid w:val="000B0AFD"/>
    <w:rsid w:val="000B0B18"/>
    <w:rsid w:val="000B0B84"/>
    <w:rsid w:val="000B0C22"/>
    <w:rsid w:val="000B0C6E"/>
    <w:rsid w:val="000B0CAB"/>
    <w:rsid w:val="000B0D8A"/>
    <w:rsid w:val="000B0E32"/>
    <w:rsid w:val="000B0E48"/>
    <w:rsid w:val="000B0EAA"/>
    <w:rsid w:val="000B0EE3"/>
    <w:rsid w:val="000B0F34"/>
    <w:rsid w:val="000B0F37"/>
    <w:rsid w:val="000B0F54"/>
    <w:rsid w:val="000B0FB2"/>
    <w:rsid w:val="000B1009"/>
    <w:rsid w:val="000B1016"/>
    <w:rsid w:val="000B112C"/>
    <w:rsid w:val="000B114D"/>
    <w:rsid w:val="000B11BA"/>
    <w:rsid w:val="000B1233"/>
    <w:rsid w:val="000B124F"/>
    <w:rsid w:val="000B1303"/>
    <w:rsid w:val="000B131A"/>
    <w:rsid w:val="000B13EB"/>
    <w:rsid w:val="000B14C5"/>
    <w:rsid w:val="000B14F3"/>
    <w:rsid w:val="000B1604"/>
    <w:rsid w:val="000B1626"/>
    <w:rsid w:val="000B16DF"/>
    <w:rsid w:val="000B1733"/>
    <w:rsid w:val="000B17A2"/>
    <w:rsid w:val="000B17D6"/>
    <w:rsid w:val="000B17ED"/>
    <w:rsid w:val="000B1859"/>
    <w:rsid w:val="000B1894"/>
    <w:rsid w:val="000B1947"/>
    <w:rsid w:val="000B19EC"/>
    <w:rsid w:val="000B19EF"/>
    <w:rsid w:val="000B1A56"/>
    <w:rsid w:val="000B1A5F"/>
    <w:rsid w:val="000B1A63"/>
    <w:rsid w:val="000B1B51"/>
    <w:rsid w:val="000B1BAF"/>
    <w:rsid w:val="000B1BE2"/>
    <w:rsid w:val="000B1D0B"/>
    <w:rsid w:val="000B1D3B"/>
    <w:rsid w:val="000B1D43"/>
    <w:rsid w:val="000B1EE7"/>
    <w:rsid w:val="000B1F5E"/>
    <w:rsid w:val="000B1FC9"/>
    <w:rsid w:val="000B200E"/>
    <w:rsid w:val="000B2010"/>
    <w:rsid w:val="000B20B5"/>
    <w:rsid w:val="000B20E4"/>
    <w:rsid w:val="000B215D"/>
    <w:rsid w:val="000B2252"/>
    <w:rsid w:val="000B22EA"/>
    <w:rsid w:val="000B23A9"/>
    <w:rsid w:val="000B2400"/>
    <w:rsid w:val="000B2546"/>
    <w:rsid w:val="000B2561"/>
    <w:rsid w:val="000B262D"/>
    <w:rsid w:val="000B265E"/>
    <w:rsid w:val="000B26F4"/>
    <w:rsid w:val="000B28E0"/>
    <w:rsid w:val="000B2A4E"/>
    <w:rsid w:val="000B2AAA"/>
    <w:rsid w:val="000B2C01"/>
    <w:rsid w:val="000B2D10"/>
    <w:rsid w:val="000B2D2B"/>
    <w:rsid w:val="000B2D55"/>
    <w:rsid w:val="000B2D85"/>
    <w:rsid w:val="000B2E8C"/>
    <w:rsid w:val="000B2F4F"/>
    <w:rsid w:val="000B2F63"/>
    <w:rsid w:val="000B2FC8"/>
    <w:rsid w:val="000B2FC9"/>
    <w:rsid w:val="000B3145"/>
    <w:rsid w:val="000B314E"/>
    <w:rsid w:val="000B3166"/>
    <w:rsid w:val="000B3213"/>
    <w:rsid w:val="000B3287"/>
    <w:rsid w:val="000B32A4"/>
    <w:rsid w:val="000B33DE"/>
    <w:rsid w:val="000B343C"/>
    <w:rsid w:val="000B34C4"/>
    <w:rsid w:val="000B35A9"/>
    <w:rsid w:val="000B35DE"/>
    <w:rsid w:val="000B376C"/>
    <w:rsid w:val="000B3921"/>
    <w:rsid w:val="000B3986"/>
    <w:rsid w:val="000B39FF"/>
    <w:rsid w:val="000B3A05"/>
    <w:rsid w:val="000B3AAB"/>
    <w:rsid w:val="000B3AF1"/>
    <w:rsid w:val="000B3AFB"/>
    <w:rsid w:val="000B3C22"/>
    <w:rsid w:val="000B3C81"/>
    <w:rsid w:val="000B3D25"/>
    <w:rsid w:val="000B3DE0"/>
    <w:rsid w:val="000B3DF7"/>
    <w:rsid w:val="000B3E97"/>
    <w:rsid w:val="000B3FB0"/>
    <w:rsid w:val="000B3FF7"/>
    <w:rsid w:val="000B401B"/>
    <w:rsid w:val="000B4224"/>
    <w:rsid w:val="000B423F"/>
    <w:rsid w:val="000B427D"/>
    <w:rsid w:val="000B4306"/>
    <w:rsid w:val="000B4344"/>
    <w:rsid w:val="000B443D"/>
    <w:rsid w:val="000B444C"/>
    <w:rsid w:val="000B4471"/>
    <w:rsid w:val="000B44C8"/>
    <w:rsid w:val="000B44ED"/>
    <w:rsid w:val="000B4599"/>
    <w:rsid w:val="000B45CC"/>
    <w:rsid w:val="000B46EB"/>
    <w:rsid w:val="000B4718"/>
    <w:rsid w:val="000B4805"/>
    <w:rsid w:val="000B4887"/>
    <w:rsid w:val="000B498E"/>
    <w:rsid w:val="000B49B9"/>
    <w:rsid w:val="000B49DB"/>
    <w:rsid w:val="000B4A11"/>
    <w:rsid w:val="000B4CEE"/>
    <w:rsid w:val="000B4D38"/>
    <w:rsid w:val="000B4D9B"/>
    <w:rsid w:val="000B4E20"/>
    <w:rsid w:val="000B4E25"/>
    <w:rsid w:val="000B4E2D"/>
    <w:rsid w:val="000B4EC2"/>
    <w:rsid w:val="000B4EFA"/>
    <w:rsid w:val="000B4F66"/>
    <w:rsid w:val="000B4FC4"/>
    <w:rsid w:val="000B5247"/>
    <w:rsid w:val="000B52D1"/>
    <w:rsid w:val="000B532D"/>
    <w:rsid w:val="000B5342"/>
    <w:rsid w:val="000B5481"/>
    <w:rsid w:val="000B54E0"/>
    <w:rsid w:val="000B55C6"/>
    <w:rsid w:val="000B560A"/>
    <w:rsid w:val="000B579D"/>
    <w:rsid w:val="000B5967"/>
    <w:rsid w:val="000B599A"/>
    <w:rsid w:val="000B59AF"/>
    <w:rsid w:val="000B59BA"/>
    <w:rsid w:val="000B59E8"/>
    <w:rsid w:val="000B59F1"/>
    <w:rsid w:val="000B59F5"/>
    <w:rsid w:val="000B5AA1"/>
    <w:rsid w:val="000B5AAC"/>
    <w:rsid w:val="000B5AE4"/>
    <w:rsid w:val="000B5B19"/>
    <w:rsid w:val="000B5B68"/>
    <w:rsid w:val="000B5B6E"/>
    <w:rsid w:val="000B5D24"/>
    <w:rsid w:val="000B5D4C"/>
    <w:rsid w:val="000B5DED"/>
    <w:rsid w:val="000B5E99"/>
    <w:rsid w:val="000B5F9C"/>
    <w:rsid w:val="000B5FAB"/>
    <w:rsid w:val="000B5FEC"/>
    <w:rsid w:val="000B6173"/>
    <w:rsid w:val="000B6417"/>
    <w:rsid w:val="000B6433"/>
    <w:rsid w:val="000B658C"/>
    <w:rsid w:val="000B6608"/>
    <w:rsid w:val="000B66A7"/>
    <w:rsid w:val="000B670C"/>
    <w:rsid w:val="000B678C"/>
    <w:rsid w:val="000B67F2"/>
    <w:rsid w:val="000B6866"/>
    <w:rsid w:val="000B6900"/>
    <w:rsid w:val="000B6916"/>
    <w:rsid w:val="000B6A54"/>
    <w:rsid w:val="000B6B31"/>
    <w:rsid w:val="000B6BA4"/>
    <w:rsid w:val="000B6CEA"/>
    <w:rsid w:val="000B6D1C"/>
    <w:rsid w:val="000B6DC7"/>
    <w:rsid w:val="000B6E0B"/>
    <w:rsid w:val="000B6E2B"/>
    <w:rsid w:val="000B6EEB"/>
    <w:rsid w:val="000B71C2"/>
    <w:rsid w:val="000B7313"/>
    <w:rsid w:val="000B734F"/>
    <w:rsid w:val="000B73AB"/>
    <w:rsid w:val="000B7408"/>
    <w:rsid w:val="000B744C"/>
    <w:rsid w:val="000B752D"/>
    <w:rsid w:val="000B75A7"/>
    <w:rsid w:val="000B7755"/>
    <w:rsid w:val="000B7838"/>
    <w:rsid w:val="000B7915"/>
    <w:rsid w:val="000B7AAB"/>
    <w:rsid w:val="000B7B35"/>
    <w:rsid w:val="000B7B9E"/>
    <w:rsid w:val="000B7C11"/>
    <w:rsid w:val="000B7CD3"/>
    <w:rsid w:val="000B7D32"/>
    <w:rsid w:val="000B7E65"/>
    <w:rsid w:val="000B7F5E"/>
    <w:rsid w:val="000B7FE6"/>
    <w:rsid w:val="000C00E0"/>
    <w:rsid w:val="000C00FA"/>
    <w:rsid w:val="000C017D"/>
    <w:rsid w:val="000C029E"/>
    <w:rsid w:val="000C0369"/>
    <w:rsid w:val="000C03A9"/>
    <w:rsid w:val="000C0408"/>
    <w:rsid w:val="000C044C"/>
    <w:rsid w:val="000C04C6"/>
    <w:rsid w:val="000C0572"/>
    <w:rsid w:val="000C0629"/>
    <w:rsid w:val="000C0667"/>
    <w:rsid w:val="000C06FB"/>
    <w:rsid w:val="000C078F"/>
    <w:rsid w:val="000C08D0"/>
    <w:rsid w:val="000C0917"/>
    <w:rsid w:val="000C09BA"/>
    <w:rsid w:val="000C09DB"/>
    <w:rsid w:val="000C0A2D"/>
    <w:rsid w:val="000C0A9C"/>
    <w:rsid w:val="000C0AFF"/>
    <w:rsid w:val="000C0BD4"/>
    <w:rsid w:val="000C0DE0"/>
    <w:rsid w:val="000C0E07"/>
    <w:rsid w:val="000C0E90"/>
    <w:rsid w:val="000C0F24"/>
    <w:rsid w:val="000C0F31"/>
    <w:rsid w:val="000C1018"/>
    <w:rsid w:val="000C113E"/>
    <w:rsid w:val="000C1148"/>
    <w:rsid w:val="000C118A"/>
    <w:rsid w:val="000C1193"/>
    <w:rsid w:val="000C1301"/>
    <w:rsid w:val="000C13FF"/>
    <w:rsid w:val="000C146D"/>
    <w:rsid w:val="000C151A"/>
    <w:rsid w:val="000C1596"/>
    <w:rsid w:val="000C167F"/>
    <w:rsid w:val="000C1719"/>
    <w:rsid w:val="000C18A2"/>
    <w:rsid w:val="000C18A6"/>
    <w:rsid w:val="000C1915"/>
    <w:rsid w:val="000C19B5"/>
    <w:rsid w:val="000C19EE"/>
    <w:rsid w:val="000C19EF"/>
    <w:rsid w:val="000C1A8E"/>
    <w:rsid w:val="000C1AD0"/>
    <w:rsid w:val="000C1B6E"/>
    <w:rsid w:val="000C1C33"/>
    <w:rsid w:val="000C1C3B"/>
    <w:rsid w:val="000C1CC3"/>
    <w:rsid w:val="000C1D0A"/>
    <w:rsid w:val="000C1DB4"/>
    <w:rsid w:val="000C1E38"/>
    <w:rsid w:val="000C1F06"/>
    <w:rsid w:val="000C1F0C"/>
    <w:rsid w:val="000C1F42"/>
    <w:rsid w:val="000C206E"/>
    <w:rsid w:val="000C20BF"/>
    <w:rsid w:val="000C2192"/>
    <w:rsid w:val="000C21BE"/>
    <w:rsid w:val="000C232D"/>
    <w:rsid w:val="000C2364"/>
    <w:rsid w:val="000C23CF"/>
    <w:rsid w:val="000C24FC"/>
    <w:rsid w:val="000C252B"/>
    <w:rsid w:val="000C265C"/>
    <w:rsid w:val="000C2693"/>
    <w:rsid w:val="000C26C6"/>
    <w:rsid w:val="000C26EB"/>
    <w:rsid w:val="000C2709"/>
    <w:rsid w:val="000C270D"/>
    <w:rsid w:val="000C279B"/>
    <w:rsid w:val="000C287E"/>
    <w:rsid w:val="000C2928"/>
    <w:rsid w:val="000C2AC7"/>
    <w:rsid w:val="000C2BC8"/>
    <w:rsid w:val="000C2C2E"/>
    <w:rsid w:val="000C2C97"/>
    <w:rsid w:val="000C2CEF"/>
    <w:rsid w:val="000C2D12"/>
    <w:rsid w:val="000C2D68"/>
    <w:rsid w:val="000C2DBF"/>
    <w:rsid w:val="000C2DED"/>
    <w:rsid w:val="000C2E12"/>
    <w:rsid w:val="000C2E35"/>
    <w:rsid w:val="000C2FBF"/>
    <w:rsid w:val="000C3018"/>
    <w:rsid w:val="000C3086"/>
    <w:rsid w:val="000C30F2"/>
    <w:rsid w:val="000C3146"/>
    <w:rsid w:val="000C319A"/>
    <w:rsid w:val="000C3300"/>
    <w:rsid w:val="000C33D9"/>
    <w:rsid w:val="000C342E"/>
    <w:rsid w:val="000C353E"/>
    <w:rsid w:val="000C3549"/>
    <w:rsid w:val="000C35B7"/>
    <w:rsid w:val="000C3620"/>
    <w:rsid w:val="000C3679"/>
    <w:rsid w:val="000C36F6"/>
    <w:rsid w:val="000C36F7"/>
    <w:rsid w:val="000C3733"/>
    <w:rsid w:val="000C3756"/>
    <w:rsid w:val="000C3788"/>
    <w:rsid w:val="000C3798"/>
    <w:rsid w:val="000C37A8"/>
    <w:rsid w:val="000C37FE"/>
    <w:rsid w:val="000C38D1"/>
    <w:rsid w:val="000C3909"/>
    <w:rsid w:val="000C3A11"/>
    <w:rsid w:val="000C3B27"/>
    <w:rsid w:val="000C3BAD"/>
    <w:rsid w:val="000C3CC7"/>
    <w:rsid w:val="000C3D0C"/>
    <w:rsid w:val="000C3DCB"/>
    <w:rsid w:val="000C3DCE"/>
    <w:rsid w:val="000C3E42"/>
    <w:rsid w:val="000C3EC2"/>
    <w:rsid w:val="000C3EFD"/>
    <w:rsid w:val="000C3F4D"/>
    <w:rsid w:val="000C4037"/>
    <w:rsid w:val="000C40D3"/>
    <w:rsid w:val="000C41EB"/>
    <w:rsid w:val="000C422D"/>
    <w:rsid w:val="000C42DD"/>
    <w:rsid w:val="000C443B"/>
    <w:rsid w:val="000C4490"/>
    <w:rsid w:val="000C4525"/>
    <w:rsid w:val="000C45A3"/>
    <w:rsid w:val="000C45AA"/>
    <w:rsid w:val="000C45BD"/>
    <w:rsid w:val="000C463F"/>
    <w:rsid w:val="000C46F7"/>
    <w:rsid w:val="000C47E5"/>
    <w:rsid w:val="000C48C0"/>
    <w:rsid w:val="000C4903"/>
    <w:rsid w:val="000C4982"/>
    <w:rsid w:val="000C4CD1"/>
    <w:rsid w:val="000C4CDC"/>
    <w:rsid w:val="000C4CE7"/>
    <w:rsid w:val="000C4CFE"/>
    <w:rsid w:val="000C4D1D"/>
    <w:rsid w:val="000C4D24"/>
    <w:rsid w:val="000C4DC5"/>
    <w:rsid w:val="000C4F71"/>
    <w:rsid w:val="000C500B"/>
    <w:rsid w:val="000C5017"/>
    <w:rsid w:val="000C5067"/>
    <w:rsid w:val="000C5068"/>
    <w:rsid w:val="000C5083"/>
    <w:rsid w:val="000C50F6"/>
    <w:rsid w:val="000C525A"/>
    <w:rsid w:val="000C527A"/>
    <w:rsid w:val="000C5341"/>
    <w:rsid w:val="000C5343"/>
    <w:rsid w:val="000C5472"/>
    <w:rsid w:val="000C5488"/>
    <w:rsid w:val="000C55BB"/>
    <w:rsid w:val="000C55C1"/>
    <w:rsid w:val="000C55F0"/>
    <w:rsid w:val="000C55FB"/>
    <w:rsid w:val="000C563F"/>
    <w:rsid w:val="000C576C"/>
    <w:rsid w:val="000C584C"/>
    <w:rsid w:val="000C59F3"/>
    <w:rsid w:val="000C5BB7"/>
    <w:rsid w:val="000C5C31"/>
    <w:rsid w:val="000C5C59"/>
    <w:rsid w:val="000C5CB6"/>
    <w:rsid w:val="000C5D57"/>
    <w:rsid w:val="000C5D8A"/>
    <w:rsid w:val="000C5DD7"/>
    <w:rsid w:val="000C5E95"/>
    <w:rsid w:val="000C5F08"/>
    <w:rsid w:val="000C5F69"/>
    <w:rsid w:val="000C6021"/>
    <w:rsid w:val="000C607B"/>
    <w:rsid w:val="000C6093"/>
    <w:rsid w:val="000C6223"/>
    <w:rsid w:val="000C62F2"/>
    <w:rsid w:val="000C633E"/>
    <w:rsid w:val="000C63C2"/>
    <w:rsid w:val="000C63F7"/>
    <w:rsid w:val="000C6430"/>
    <w:rsid w:val="000C6498"/>
    <w:rsid w:val="000C651F"/>
    <w:rsid w:val="000C6553"/>
    <w:rsid w:val="000C665D"/>
    <w:rsid w:val="000C66EC"/>
    <w:rsid w:val="000C68D4"/>
    <w:rsid w:val="000C6943"/>
    <w:rsid w:val="000C6964"/>
    <w:rsid w:val="000C6A2F"/>
    <w:rsid w:val="000C6A46"/>
    <w:rsid w:val="000C6A81"/>
    <w:rsid w:val="000C6AE9"/>
    <w:rsid w:val="000C6AED"/>
    <w:rsid w:val="000C6B22"/>
    <w:rsid w:val="000C6B26"/>
    <w:rsid w:val="000C6B2E"/>
    <w:rsid w:val="000C6B8D"/>
    <w:rsid w:val="000C6CE5"/>
    <w:rsid w:val="000C6D74"/>
    <w:rsid w:val="000C6E66"/>
    <w:rsid w:val="000C6EA4"/>
    <w:rsid w:val="000C6F83"/>
    <w:rsid w:val="000C6F94"/>
    <w:rsid w:val="000C716B"/>
    <w:rsid w:val="000C71BE"/>
    <w:rsid w:val="000C726D"/>
    <w:rsid w:val="000C7276"/>
    <w:rsid w:val="000C7307"/>
    <w:rsid w:val="000C7335"/>
    <w:rsid w:val="000C7336"/>
    <w:rsid w:val="000C7362"/>
    <w:rsid w:val="000C74D5"/>
    <w:rsid w:val="000C74D6"/>
    <w:rsid w:val="000C7572"/>
    <w:rsid w:val="000C75F9"/>
    <w:rsid w:val="000C7668"/>
    <w:rsid w:val="000C7682"/>
    <w:rsid w:val="000C76BA"/>
    <w:rsid w:val="000C7802"/>
    <w:rsid w:val="000C7849"/>
    <w:rsid w:val="000C78AC"/>
    <w:rsid w:val="000C794A"/>
    <w:rsid w:val="000C79ED"/>
    <w:rsid w:val="000C79F0"/>
    <w:rsid w:val="000C7A09"/>
    <w:rsid w:val="000C7A8D"/>
    <w:rsid w:val="000C7B36"/>
    <w:rsid w:val="000C7B46"/>
    <w:rsid w:val="000C7B76"/>
    <w:rsid w:val="000C7C02"/>
    <w:rsid w:val="000C7C23"/>
    <w:rsid w:val="000C7C91"/>
    <w:rsid w:val="000C7CEC"/>
    <w:rsid w:val="000C7D95"/>
    <w:rsid w:val="000C7E09"/>
    <w:rsid w:val="000C7E22"/>
    <w:rsid w:val="000C7E44"/>
    <w:rsid w:val="000C7E58"/>
    <w:rsid w:val="000C7E74"/>
    <w:rsid w:val="000C7E8B"/>
    <w:rsid w:val="000C7EB5"/>
    <w:rsid w:val="000D001F"/>
    <w:rsid w:val="000D0048"/>
    <w:rsid w:val="000D01EA"/>
    <w:rsid w:val="000D0280"/>
    <w:rsid w:val="000D053C"/>
    <w:rsid w:val="000D06EB"/>
    <w:rsid w:val="000D0709"/>
    <w:rsid w:val="000D086F"/>
    <w:rsid w:val="000D093C"/>
    <w:rsid w:val="000D09FD"/>
    <w:rsid w:val="000D09FF"/>
    <w:rsid w:val="000D0A6E"/>
    <w:rsid w:val="000D0B1E"/>
    <w:rsid w:val="000D0C2E"/>
    <w:rsid w:val="000D0D5E"/>
    <w:rsid w:val="000D0DF5"/>
    <w:rsid w:val="000D0FF6"/>
    <w:rsid w:val="000D1070"/>
    <w:rsid w:val="000D10C2"/>
    <w:rsid w:val="000D1116"/>
    <w:rsid w:val="000D118A"/>
    <w:rsid w:val="000D1267"/>
    <w:rsid w:val="000D13A5"/>
    <w:rsid w:val="000D1614"/>
    <w:rsid w:val="000D167A"/>
    <w:rsid w:val="000D16F7"/>
    <w:rsid w:val="000D18B1"/>
    <w:rsid w:val="000D1982"/>
    <w:rsid w:val="000D19AF"/>
    <w:rsid w:val="000D1AE4"/>
    <w:rsid w:val="000D1B4D"/>
    <w:rsid w:val="000D1B90"/>
    <w:rsid w:val="000D1B9C"/>
    <w:rsid w:val="000D1CA8"/>
    <w:rsid w:val="000D1E86"/>
    <w:rsid w:val="000D1EA0"/>
    <w:rsid w:val="000D204A"/>
    <w:rsid w:val="000D2104"/>
    <w:rsid w:val="000D219E"/>
    <w:rsid w:val="000D22CE"/>
    <w:rsid w:val="000D22E8"/>
    <w:rsid w:val="000D2347"/>
    <w:rsid w:val="000D2492"/>
    <w:rsid w:val="000D24F3"/>
    <w:rsid w:val="000D269F"/>
    <w:rsid w:val="000D26F0"/>
    <w:rsid w:val="000D271A"/>
    <w:rsid w:val="000D2769"/>
    <w:rsid w:val="000D27DA"/>
    <w:rsid w:val="000D289B"/>
    <w:rsid w:val="000D28A7"/>
    <w:rsid w:val="000D2934"/>
    <w:rsid w:val="000D2997"/>
    <w:rsid w:val="000D2B3F"/>
    <w:rsid w:val="000D2BEA"/>
    <w:rsid w:val="000D2CE6"/>
    <w:rsid w:val="000D2F25"/>
    <w:rsid w:val="000D2F88"/>
    <w:rsid w:val="000D2F97"/>
    <w:rsid w:val="000D3040"/>
    <w:rsid w:val="000D313D"/>
    <w:rsid w:val="000D31CC"/>
    <w:rsid w:val="000D3234"/>
    <w:rsid w:val="000D3306"/>
    <w:rsid w:val="000D3339"/>
    <w:rsid w:val="000D33FE"/>
    <w:rsid w:val="000D346C"/>
    <w:rsid w:val="000D3512"/>
    <w:rsid w:val="000D353C"/>
    <w:rsid w:val="000D364A"/>
    <w:rsid w:val="000D36BD"/>
    <w:rsid w:val="000D36DD"/>
    <w:rsid w:val="000D371B"/>
    <w:rsid w:val="000D372B"/>
    <w:rsid w:val="000D376A"/>
    <w:rsid w:val="000D38B9"/>
    <w:rsid w:val="000D3980"/>
    <w:rsid w:val="000D3994"/>
    <w:rsid w:val="000D39EE"/>
    <w:rsid w:val="000D3A21"/>
    <w:rsid w:val="000D3AFF"/>
    <w:rsid w:val="000D3B11"/>
    <w:rsid w:val="000D3B20"/>
    <w:rsid w:val="000D3B39"/>
    <w:rsid w:val="000D3B40"/>
    <w:rsid w:val="000D3D9C"/>
    <w:rsid w:val="000D3DDD"/>
    <w:rsid w:val="000D3E1E"/>
    <w:rsid w:val="000D3E61"/>
    <w:rsid w:val="000D3E77"/>
    <w:rsid w:val="000D3EF8"/>
    <w:rsid w:val="000D3F63"/>
    <w:rsid w:val="000D3FF0"/>
    <w:rsid w:val="000D40C4"/>
    <w:rsid w:val="000D4185"/>
    <w:rsid w:val="000D42E0"/>
    <w:rsid w:val="000D4309"/>
    <w:rsid w:val="000D438D"/>
    <w:rsid w:val="000D4444"/>
    <w:rsid w:val="000D44FE"/>
    <w:rsid w:val="000D4608"/>
    <w:rsid w:val="000D4680"/>
    <w:rsid w:val="000D479C"/>
    <w:rsid w:val="000D47AA"/>
    <w:rsid w:val="000D480B"/>
    <w:rsid w:val="000D48AD"/>
    <w:rsid w:val="000D48C5"/>
    <w:rsid w:val="000D48D2"/>
    <w:rsid w:val="000D48DB"/>
    <w:rsid w:val="000D4974"/>
    <w:rsid w:val="000D49E5"/>
    <w:rsid w:val="000D4AF9"/>
    <w:rsid w:val="000D4C4F"/>
    <w:rsid w:val="000D4E90"/>
    <w:rsid w:val="000D4F1E"/>
    <w:rsid w:val="000D4F2A"/>
    <w:rsid w:val="000D4F99"/>
    <w:rsid w:val="000D4F9D"/>
    <w:rsid w:val="000D4FCD"/>
    <w:rsid w:val="000D5159"/>
    <w:rsid w:val="000D51DD"/>
    <w:rsid w:val="000D5200"/>
    <w:rsid w:val="000D521A"/>
    <w:rsid w:val="000D52A1"/>
    <w:rsid w:val="000D5557"/>
    <w:rsid w:val="000D55A1"/>
    <w:rsid w:val="000D55C6"/>
    <w:rsid w:val="000D5764"/>
    <w:rsid w:val="000D57E0"/>
    <w:rsid w:val="000D5808"/>
    <w:rsid w:val="000D583A"/>
    <w:rsid w:val="000D5A06"/>
    <w:rsid w:val="000D5A53"/>
    <w:rsid w:val="000D5BCE"/>
    <w:rsid w:val="000D5BD9"/>
    <w:rsid w:val="000D5C29"/>
    <w:rsid w:val="000D5D0A"/>
    <w:rsid w:val="000D5DCC"/>
    <w:rsid w:val="000D5ECC"/>
    <w:rsid w:val="000D5ECE"/>
    <w:rsid w:val="000D600C"/>
    <w:rsid w:val="000D601C"/>
    <w:rsid w:val="000D6128"/>
    <w:rsid w:val="000D6129"/>
    <w:rsid w:val="000D61F8"/>
    <w:rsid w:val="000D6209"/>
    <w:rsid w:val="000D62C0"/>
    <w:rsid w:val="000D638F"/>
    <w:rsid w:val="000D63CC"/>
    <w:rsid w:val="000D6402"/>
    <w:rsid w:val="000D644C"/>
    <w:rsid w:val="000D646B"/>
    <w:rsid w:val="000D6477"/>
    <w:rsid w:val="000D64C9"/>
    <w:rsid w:val="000D65CE"/>
    <w:rsid w:val="000D65EA"/>
    <w:rsid w:val="000D6645"/>
    <w:rsid w:val="000D6675"/>
    <w:rsid w:val="000D6740"/>
    <w:rsid w:val="000D6825"/>
    <w:rsid w:val="000D682A"/>
    <w:rsid w:val="000D6931"/>
    <w:rsid w:val="000D6A3F"/>
    <w:rsid w:val="000D6AF7"/>
    <w:rsid w:val="000D6BA5"/>
    <w:rsid w:val="000D6C42"/>
    <w:rsid w:val="000D6D92"/>
    <w:rsid w:val="000D6D98"/>
    <w:rsid w:val="000D6DDA"/>
    <w:rsid w:val="000D6E5A"/>
    <w:rsid w:val="000D6F26"/>
    <w:rsid w:val="000D6F91"/>
    <w:rsid w:val="000D7020"/>
    <w:rsid w:val="000D7028"/>
    <w:rsid w:val="000D70F2"/>
    <w:rsid w:val="000D7118"/>
    <w:rsid w:val="000D749E"/>
    <w:rsid w:val="000D7508"/>
    <w:rsid w:val="000D7515"/>
    <w:rsid w:val="000D7551"/>
    <w:rsid w:val="000D75BB"/>
    <w:rsid w:val="000D7629"/>
    <w:rsid w:val="000D7686"/>
    <w:rsid w:val="000D7816"/>
    <w:rsid w:val="000D78E7"/>
    <w:rsid w:val="000D78FF"/>
    <w:rsid w:val="000D7926"/>
    <w:rsid w:val="000D7946"/>
    <w:rsid w:val="000D7948"/>
    <w:rsid w:val="000D79A2"/>
    <w:rsid w:val="000D79D9"/>
    <w:rsid w:val="000D7A99"/>
    <w:rsid w:val="000D7AFF"/>
    <w:rsid w:val="000D7BE9"/>
    <w:rsid w:val="000D7C77"/>
    <w:rsid w:val="000D7E1C"/>
    <w:rsid w:val="000D7E8F"/>
    <w:rsid w:val="000D7F2F"/>
    <w:rsid w:val="000D7FD5"/>
    <w:rsid w:val="000E00DF"/>
    <w:rsid w:val="000E02B6"/>
    <w:rsid w:val="000E02FB"/>
    <w:rsid w:val="000E039A"/>
    <w:rsid w:val="000E0418"/>
    <w:rsid w:val="000E0567"/>
    <w:rsid w:val="000E05A8"/>
    <w:rsid w:val="000E05FF"/>
    <w:rsid w:val="000E069F"/>
    <w:rsid w:val="000E06DA"/>
    <w:rsid w:val="000E0792"/>
    <w:rsid w:val="000E082E"/>
    <w:rsid w:val="000E0913"/>
    <w:rsid w:val="000E09E2"/>
    <w:rsid w:val="000E0B01"/>
    <w:rsid w:val="000E0B7A"/>
    <w:rsid w:val="000E0BE5"/>
    <w:rsid w:val="000E0C1D"/>
    <w:rsid w:val="000E0CF9"/>
    <w:rsid w:val="000E0D13"/>
    <w:rsid w:val="000E0D2E"/>
    <w:rsid w:val="000E0D40"/>
    <w:rsid w:val="000E0DF0"/>
    <w:rsid w:val="000E0E08"/>
    <w:rsid w:val="000E0F1A"/>
    <w:rsid w:val="000E0FAA"/>
    <w:rsid w:val="000E107A"/>
    <w:rsid w:val="000E110C"/>
    <w:rsid w:val="000E1154"/>
    <w:rsid w:val="000E1229"/>
    <w:rsid w:val="000E12F7"/>
    <w:rsid w:val="000E1303"/>
    <w:rsid w:val="000E1382"/>
    <w:rsid w:val="000E1391"/>
    <w:rsid w:val="000E13BB"/>
    <w:rsid w:val="000E1515"/>
    <w:rsid w:val="000E1596"/>
    <w:rsid w:val="000E165C"/>
    <w:rsid w:val="000E16B6"/>
    <w:rsid w:val="000E16C7"/>
    <w:rsid w:val="000E16DF"/>
    <w:rsid w:val="000E17CA"/>
    <w:rsid w:val="000E182D"/>
    <w:rsid w:val="000E18F5"/>
    <w:rsid w:val="000E1973"/>
    <w:rsid w:val="000E1A58"/>
    <w:rsid w:val="000E1B1D"/>
    <w:rsid w:val="000E1BA8"/>
    <w:rsid w:val="000E1C3F"/>
    <w:rsid w:val="000E1C45"/>
    <w:rsid w:val="000E1D08"/>
    <w:rsid w:val="000E1E27"/>
    <w:rsid w:val="000E1E2D"/>
    <w:rsid w:val="000E2082"/>
    <w:rsid w:val="000E2083"/>
    <w:rsid w:val="000E20AB"/>
    <w:rsid w:val="000E2142"/>
    <w:rsid w:val="000E223C"/>
    <w:rsid w:val="000E2270"/>
    <w:rsid w:val="000E22EE"/>
    <w:rsid w:val="000E238C"/>
    <w:rsid w:val="000E24F3"/>
    <w:rsid w:val="000E285B"/>
    <w:rsid w:val="000E2888"/>
    <w:rsid w:val="000E29E8"/>
    <w:rsid w:val="000E29E9"/>
    <w:rsid w:val="000E2ACF"/>
    <w:rsid w:val="000E2B9E"/>
    <w:rsid w:val="000E2C7C"/>
    <w:rsid w:val="000E2D21"/>
    <w:rsid w:val="000E2DD6"/>
    <w:rsid w:val="000E2E29"/>
    <w:rsid w:val="000E2E66"/>
    <w:rsid w:val="000E2F61"/>
    <w:rsid w:val="000E2FE6"/>
    <w:rsid w:val="000E301F"/>
    <w:rsid w:val="000E3042"/>
    <w:rsid w:val="000E30AB"/>
    <w:rsid w:val="000E313B"/>
    <w:rsid w:val="000E3183"/>
    <w:rsid w:val="000E32F4"/>
    <w:rsid w:val="000E33EB"/>
    <w:rsid w:val="000E3424"/>
    <w:rsid w:val="000E3489"/>
    <w:rsid w:val="000E34EF"/>
    <w:rsid w:val="000E352E"/>
    <w:rsid w:val="000E3930"/>
    <w:rsid w:val="000E3A8A"/>
    <w:rsid w:val="000E3B78"/>
    <w:rsid w:val="000E3C21"/>
    <w:rsid w:val="000E3C55"/>
    <w:rsid w:val="000E3C78"/>
    <w:rsid w:val="000E3CBC"/>
    <w:rsid w:val="000E3D44"/>
    <w:rsid w:val="000E3D6F"/>
    <w:rsid w:val="000E3DCA"/>
    <w:rsid w:val="000E3E04"/>
    <w:rsid w:val="000E3E58"/>
    <w:rsid w:val="000E3F1E"/>
    <w:rsid w:val="000E3F2D"/>
    <w:rsid w:val="000E3F8C"/>
    <w:rsid w:val="000E4041"/>
    <w:rsid w:val="000E404F"/>
    <w:rsid w:val="000E41F5"/>
    <w:rsid w:val="000E420F"/>
    <w:rsid w:val="000E42B1"/>
    <w:rsid w:val="000E42D7"/>
    <w:rsid w:val="000E42E1"/>
    <w:rsid w:val="000E42E8"/>
    <w:rsid w:val="000E43E2"/>
    <w:rsid w:val="000E44C3"/>
    <w:rsid w:val="000E44C4"/>
    <w:rsid w:val="000E4518"/>
    <w:rsid w:val="000E462C"/>
    <w:rsid w:val="000E463A"/>
    <w:rsid w:val="000E464D"/>
    <w:rsid w:val="000E48C1"/>
    <w:rsid w:val="000E48CD"/>
    <w:rsid w:val="000E48E7"/>
    <w:rsid w:val="000E4910"/>
    <w:rsid w:val="000E49DF"/>
    <w:rsid w:val="000E4A4D"/>
    <w:rsid w:val="000E4AA1"/>
    <w:rsid w:val="000E4B5D"/>
    <w:rsid w:val="000E4C6B"/>
    <w:rsid w:val="000E4D2F"/>
    <w:rsid w:val="000E4DB8"/>
    <w:rsid w:val="000E4E2B"/>
    <w:rsid w:val="000E4E35"/>
    <w:rsid w:val="000E4EBE"/>
    <w:rsid w:val="000E4F0A"/>
    <w:rsid w:val="000E50CD"/>
    <w:rsid w:val="000E51E0"/>
    <w:rsid w:val="000E5273"/>
    <w:rsid w:val="000E5335"/>
    <w:rsid w:val="000E537A"/>
    <w:rsid w:val="000E5474"/>
    <w:rsid w:val="000E548D"/>
    <w:rsid w:val="000E550C"/>
    <w:rsid w:val="000E551B"/>
    <w:rsid w:val="000E559B"/>
    <w:rsid w:val="000E568D"/>
    <w:rsid w:val="000E56AE"/>
    <w:rsid w:val="000E56D1"/>
    <w:rsid w:val="000E56E0"/>
    <w:rsid w:val="000E56F0"/>
    <w:rsid w:val="000E5757"/>
    <w:rsid w:val="000E5AAB"/>
    <w:rsid w:val="000E5AE2"/>
    <w:rsid w:val="000E5AE9"/>
    <w:rsid w:val="000E5BE4"/>
    <w:rsid w:val="000E5D50"/>
    <w:rsid w:val="000E5EAF"/>
    <w:rsid w:val="000E600B"/>
    <w:rsid w:val="000E608A"/>
    <w:rsid w:val="000E6163"/>
    <w:rsid w:val="000E6178"/>
    <w:rsid w:val="000E61D1"/>
    <w:rsid w:val="000E62EF"/>
    <w:rsid w:val="000E6382"/>
    <w:rsid w:val="000E63D1"/>
    <w:rsid w:val="000E63D9"/>
    <w:rsid w:val="000E645D"/>
    <w:rsid w:val="000E64F5"/>
    <w:rsid w:val="000E6680"/>
    <w:rsid w:val="000E6760"/>
    <w:rsid w:val="000E681D"/>
    <w:rsid w:val="000E6952"/>
    <w:rsid w:val="000E6972"/>
    <w:rsid w:val="000E69C0"/>
    <w:rsid w:val="000E6C33"/>
    <w:rsid w:val="000E6C78"/>
    <w:rsid w:val="000E6DB4"/>
    <w:rsid w:val="000E6F20"/>
    <w:rsid w:val="000E6F2B"/>
    <w:rsid w:val="000E6F7C"/>
    <w:rsid w:val="000E7037"/>
    <w:rsid w:val="000E7075"/>
    <w:rsid w:val="000E709B"/>
    <w:rsid w:val="000E714B"/>
    <w:rsid w:val="000E7171"/>
    <w:rsid w:val="000E71F1"/>
    <w:rsid w:val="000E72C2"/>
    <w:rsid w:val="000E72FF"/>
    <w:rsid w:val="000E736B"/>
    <w:rsid w:val="000E73A4"/>
    <w:rsid w:val="000E73B8"/>
    <w:rsid w:val="000E745B"/>
    <w:rsid w:val="000E746E"/>
    <w:rsid w:val="000E749C"/>
    <w:rsid w:val="000E7516"/>
    <w:rsid w:val="000E7568"/>
    <w:rsid w:val="000E75F8"/>
    <w:rsid w:val="000E75FF"/>
    <w:rsid w:val="000E76E6"/>
    <w:rsid w:val="000E7750"/>
    <w:rsid w:val="000E777B"/>
    <w:rsid w:val="000E7906"/>
    <w:rsid w:val="000E7912"/>
    <w:rsid w:val="000E796B"/>
    <w:rsid w:val="000E79A4"/>
    <w:rsid w:val="000E7AB7"/>
    <w:rsid w:val="000E7B7D"/>
    <w:rsid w:val="000E7B84"/>
    <w:rsid w:val="000E7C33"/>
    <w:rsid w:val="000E7C7C"/>
    <w:rsid w:val="000E7CB3"/>
    <w:rsid w:val="000E7CD2"/>
    <w:rsid w:val="000E7D4F"/>
    <w:rsid w:val="000E7E5F"/>
    <w:rsid w:val="000E7E67"/>
    <w:rsid w:val="000E7EE0"/>
    <w:rsid w:val="000E7FA6"/>
    <w:rsid w:val="000E7FBB"/>
    <w:rsid w:val="000E7FC6"/>
    <w:rsid w:val="000F0003"/>
    <w:rsid w:val="000F0131"/>
    <w:rsid w:val="000F0204"/>
    <w:rsid w:val="000F021C"/>
    <w:rsid w:val="000F02F6"/>
    <w:rsid w:val="000F038E"/>
    <w:rsid w:val="000F03E1"/>
    <w:rsid w:val="000F04C0"/>
    <w:rsid w:val="000F060D"/>
    <w:rsid w:val="000F06B5"/>
    <w:rsid w:val="000F06D9"/>
    <w:rsid w:val="000F08AA"/>
    <w:rsid w:val="000F08CE"/>
    <w:rsid w:val="000F0A01"/>
    <w:rsid w:val="000F0A59"/>
    <w:rsid w:val="000F0A66"/>
    <w:rsid w:val="000F0AD9"/>
    <w:rsid w:val="000F0B01"/>
    <w:rsid w:val="000F0C1F"/>
    <w:rsid w:val="000F0D86"/>
    <w:rsid w:val="000F0D8E"/>
    <w:rsid w:val="000F0ECE"/>
    <w:rsid w:val="000F0F98"/>
    <w:rsid w:val="000F10BE"/>
    <w:rsid w:val="000F116E"/>
    <w:rsid w:val="000F120D"/>
    <w:rsid w:val="000F126B"/>
    <w:rsid w:val="000F13C2"/>
    <w:rsid w:val="000F1438"/>
    <w:rsid w:val="000F146E"/>
    <w:rsid w:val="000F1496"/>
    <w:rsid w:val="000F14BC"/>
    <w:rsid w:val="000F15A0"/>
    <w:rsid w:val="000F168D"/>
    <w:rsid w:val="000F16F9"/>
    <w:rsid w:val="000F170C"/>
    <w:rsid w:val="000F1861"/>
    <w:rsid w:val="000F1893"/>
    <w:rsid w:val="000F192C"/>
    <w:rsid w:val="000F1974"/>
    <w:rsid w:val="000F19DC"/>
    <w:rsid w:val="000F1A30"/>
    <w:rsid w:val="000F1B06"/>
    <w:rsid w:val="000F1C7F"/>
    <w:rsid w:val="000F1D46"/>
    <w:rsid w:val="000F1DA7"/>
    <w:rsid w:val="000F1E4C"/>
    <w:rsid w:val="000F1FD3"/>
    <w:rsid w:val="000F1FF3"/>
    <w:rsid w:val="000F1FFE"/>
    <w:rsid w:val="000F2025"/>
    <w:rsid w:val="000F207C"/>
    <w:rsid w:val="000F20BD"/>
    <w:rsid w:val="000F2107"/>
    <w:rsid w:val="000F237D"/>
    <w:rsid w:val="000F24B6"/>
    <w:rsid w:val="000F24E2"/>
    <w:rsid w:val="000F2537"/>
    <w:rsid w:val="000F255B"/>
    <w:rsid w:val="000F264E"/>
    <w:rsid w:val="000F26D6"/>
    <w:rsid w:val="000F2958"/>
    <w:rsid w:val="000F29CC"/>
    <w:rsid w:val="000F29FE"/>
    <w:rsid w:val="000F2B00"/>
    <w:rsid w:val="000F2BA7"/>
    <w:rsid w:val="000F2BC9"/>
    <w:rsid w:val="000F2DBA"/>
    <w:rsid w:val="000F2E37"/>
    <w:rsid w:val="000F2F0E"/>
    <w:rsid w:val="000F32AA"/>
    <w:rsid w:val="000F32E5"/>
    <w:rsid w:val="000F341C"/>
    <w:rsid w:val="000F34A2"/>
    <w:rsid w:val="000F35BC"/>
    <w:rsid w:val="000F35C8"/>
    <w:rsid w:val="000F35D7"/>
    <w:rsid w:val="000F364E"/>
    <w:rsid w:val="000F3748"/>
    <w:rsid w:val="000F3791"/>
    <w:rsid w:val="000F3802"/>
    <w:rsid w:val="000F380B"/>
    <w:rsid w:val="000F3956"/>
    <w:rsid w:val="000F39CE"/>
    <w:rsid w:val="000F39F4"/>
    <w:rsid w:val="000F3ADF"/>
    <w:rsid w:val="000F3AF0"/>
    <w:rsid w:val="000F3C27"/>
    <w:rsid w:val="000F3C7F"/>
    <w:rsid w:val="000F3CA8"/>
    <w:rsid w:val="000F3E19"/>
    <w:rsid w:val="000F3FCC"/>
    <w:rsid w:val="000F3FFB"/>
    <w:rsid w:val="000F4019"/>
    <w:rsid w:val="000F4062"/>
    <w:rsid w:val="000F4093"/>
    <w:rsid w:val="000F40E5"/>
    <w:rsid w:val="000F4118"/>
    <w:rsid w:val="000F4220"/>
    <w:rsid w:val="000F4238"/>
    <w:rsid w:val="000F42EA"/>
    <w:rsid w:val="000F4301"/>
    <w:rsid w:val="000F4359"/>
    <w:rsid w:val="000F4588"/>
    <w:rsid w:val="000F45C5"/>
    <w:rsid w:val="000F45CA"/>
    <w:rsid w:val="000F46B4"/>
    <w:rsid w:val="000F46D3"/>
    <w:rsid w:val="000F4925"/>
    <w:rsid w:val="000F49A6"/>
    <w:rsid w:val="000F4A9A"/>
    <w:rsid w:val="000F4ABE"/>
    <w:rsid w:val="000F4B9C"/>
    <w:rsid w:val="000F4D40"/>
    <w:rsid w:val="000F4D45"/>
    <w:rsid w:val="000F4D8A"/>
    <w:rsid w:val="000F4D9C"/>
    <w:rsid w:val="000F4EC4"/>
    <w:rsid w:val="000F4FF6"/>
    <w:rsid w:val="000F5021"/>
    <w:rsid w:val="000F5091"/>
    <w:rsid w:val="000F50CB"/>
    <w:rsid w:val="000F5249"/>
    <w:rsid w:val="000F5250"/>
    <w:rsid w:val="000F5277"/>
    <w:rsid w:val="000F52A4"/>
    <w:rsid w:val="000F52FF"/>
    <w:rsid w:val="000F550A"/>
    <w:rsid w:val="000F5659"/>
    <w:rsid w:val="000F5663"/>
    <w:rsid w:val="000F5675"/>
    <w:rsid w:val="000F56A8"/>
    <w:rsid w:val="000F5735"/>
    <w:rsid w:val="000F593F"/>
    <w:rsid w:val="000F59CB"/>
    <w:rsid w:val="000F59FF"/>
    <w:rsid w:val="000F5A59"/>
    <w:rsid w:val="000F5AAC"/>
    <w:rsid w:val="000F5B48"/>
    <w:rsid w:val="000F5BF4"/>
    <w:rsid w:val="000F5CD0"/>
    <w:rsid w:val="000F5D03"/>
    <w:rsid w:val="000F5D1F"/>
    <w:rsid w:val="000F5D9C"/>
    <w:rsid w:val="000F5E0B"/>
    <w:rsid w:val="000F5F5D"/>
    <w:rsid w:val="000F5F80"/>
    <w:rsid w:val="000F5FC1"/>
    <w:rsid w:val="000F6044"/>
    <w:rsid w:val="000F60B7"/>
    <w:rsid w:val="000F6273"/>
    <w:rsid w:val="000F62D9"/>
    <w:rsid w:val="000F6342"/>
    <w:rsid w:val="000F6354"/>
    <w:rsid w:val="000F6398"/>
    <w:rsid w:val="000F63CA"/>
    <w:rsid w:val="000F63D1"/>
    <w:rsid w:val="000F64D3"/>
    <w:rsid w:val="000F658A"/>
    <w:rsid w:val="000F6707"/>
    <w:rsid w:val="000F68A7"/>
    <w:rsid w:val="000F69F4"/>
    <w:rsid w:val="000F6A40"/>
    <w:rsid w:val="000F6B24"/>
    <w:rsid w:val="000F6BCA"/>
    <w:rsid w:val="000F6BFF"/>
    <w:rsid w:val="000F6C8C"/>
    <w:rsid w:val="000F6D21"/>
    <w:rsid w:val="000F6D4D"/>
    <w:rsid w:val="000F6D90"/>
    <w:rsid w:val="000F6E07"/>
    <w:rsid w:val="000F6E22"/>
    <w:rsid w:val="000F6EEF"/>
    <w:rsid w:val="000F6F32"/>
    <w:rsid w:val="000F6F74"/>
    <w:rsid w:val="000F702B"/>
    <w:rsid w:val="000F7064"/>
    <w:rsid w:val="000F70BF"/>
    <w:rsid w:val="000F7145"/>
    <w:rsid w:val="000F71CB"/>
    <w:rsid w:val="000F720F"/>
    <w:rsid w:val="000F7284"/>
    <w:rsid w:val="000F72BB"/>
    <w:rsid w:val="000F72CC"/>
    <w:rsid w:val="000F7312"/>
    <w:rsid w:val="000F736B"/>
    <w:rsid w:val="000F7422"/>
    <w:rsid w:val="000F7435"/>
    <w:rsid w:val="000F74CE"/>
    <w:rsid w:val="000F75C8"/>
    <w:rsid w:val="000F75ED"/>
    <w:rsid w:val="000F76A9"/>
    <w:rsid w:val="000F779D"/>
    <w:rsid w:val="000F7831"/>
    <w:rsid w:val="000F7843"/>
    <w:rsid w:val="000F7851"/>
    <w:rsid w:val="000F7881"/>
    <w:rsid w:val="000F788C"/>
    <w:rsid w:val="000F78E4"/>
    <w:rsid w:val="000F7970"/>
    <w:rsid w:val="000F7A68"/>
    <w:rsid w:val="000F7AB4"/>
    <w:rsid w:val="000F7B22"/>
    <w:rsid w:val="000F7B2C"/>
    <w:rsid w:val="000F7BEC"/>
    <w:rsid w:val="000F7C0E"/>
    <w:rsid w:val="000F7C4D"/>
    <w:rsid w:val="000F7D3A"/>
    <w:rsid w:val="000F7DED"/>
    <w:rsid w:val="000F7E4A"/>
    <w:rsid w:val="000F7EEE"/>
    <w:rsid w:val="000F7F04"/>
    <w:rsid w:val="000F7F12"/>
    <w:rsid w:val="000F7F3C"/>
    <w:rsid w:val="000F7F5F"/>
    <w:rsid w:val="00100263"/>
    <w:rsid w:val="00100325"/>
    <w:rsid w:val="00100368"/>
    <w:rsid w:val="0010038D"/>
    <w:rsid w:val="00100417"/>
    <w:rsid w:val="00100480"/>
    <w:rsid w:val="0010052C"/>
    <w:rsid w:val="00100698"/>
    <w:rsid w:val="001006EA"/>
    <w:rsid w:val="0010071B"/>
    <w:rsid w:val="001008F4"/>
    <w:rsid w:val="001008FC"/>
    <w:rsid w:val="00100932"/>
    <w:rsid w:val="0010095B"/>
    <w:rsid w:val="001009C2"/>
    <w:rsid w:val="00100ABE"/>
    <w:rsid w:val="00100B8F"/>
    <w:rsid w:val="00100C36"/>
    <w:rsid w:val="00100E62"/>
    <w:rsid w:val="001010AC"/>
    <w:rsid w:val="001010BE"/>
    <w:rsid w:val="001010D8"/>
    <w:rsid w:val="00101138"/>
    <w:rsid w:val="00101199"/>
    <w:rsid w:val="001012B9"/>
    <w:rsid w:val="00101383"/>
    <w:rsid w:val="0010142B"/>
    <w:rsid w:val="00101465"/>
    <w:rsid w:val="001014D4"/>
    <w:rsid w:val="0010170B"/>
    <w:rsid w:val="001017E9"/>
    <w:rsid w:val="001017FD"/>
    <w:rsid w:val="0010182D"/>
    <w:rsid w:val="001018A3"/>
    <w:rsid w:val="001018E4"/>
    <w:rsid w:val="00101A2B"/>
    <w:rsid w:val="00101A33"/>
    <w:rsid w:val="00101A58"/>
    <w:rsid w:val="00101B1A"/>
    <w:rsid w:val="00101B28"/>
    <w:rsid w:val="00101B75"/>
    <w:rsid w:val="00101B89"/>
    <w:rsid w:val="00101B99"/>
    <w:rsid w:val="00101BE4"/>
    <w:rsid w:val="00101C1E"/>
    <w:rsid w:val="00101C9D"/>
    <w:rsid w:val="00101DAC"/>
    <w:rsid w:val="00101EC6"/>
    <w:rsid w:val="00101F4A"/>
    <w:rsid w:val="00101FE0"/>
    <w:rsid w:val="00101FF2"/>
    <w:rsid w:val="0010204F"/>
    <w:rsid w:val="00102062"/>
    <w:rsid w:val="00102074"/>
    <w:rsid w:val="00102080"/>
    <w:rsid w:val="00102083"/>
    <w:rsid w:val="00102100"/>
    <w:rsid w:val="0010218F"/>
    <w:rsid w:val="001021A0"/>
    <w:rsid w:val="001021ED"/>
    <w:rsid w:val="001021F1"/>
    <w:rsid w:val="0010227D"/>
    <w:rsid w:val="0010233B"/>
    <w:rsid w:val="00102349"/>
    <w:rsid w:val="00102389"/>
    <w:rsid w:val="00102407"/>
    <w:rsid w:val="00102427"/>
    <w:rsid w:val="00102451"/>
    <w:rsid w:val="00102492"/>
    <w:rsid w:val="0010257B"/>
    <w:rsid w:val="00102610"/>
    <w:rsid w:val="0010264D"/>
    <w:rsid w:val="00102660"/>
    <w:rsid w:val="001026C4"/>
    <w:rsid w:val="0010271A"/>
    <w:rsid w:val="001027A9"/>
    <w:rsid w:val="001027E3"/>
    <w:rsid w:val="001028F7"/>
    <w:rsid w:val="00102AEE"/>
    <w:rsid w:val="00102B41"/>
    <w:rsid w:val="00102BD5"/>
    <w:rsid w:val="00102BF4"/>
    <w:rsid w:val="00102C85"/>
    <w:rsid w:val="00102CBB"/>
    <w:rsid w:val="00102CD9"/>
    <w:rsid w:val="00102CDE"/>
    <w:rsid w:val="00102CFD"/>
    <w:rsid w:val="00102D41"/>
    <w:rsid w:val="00102DBF"/>
    <w:rsid w:val="00102DC6"/>
    <w:rsid w:val="00102E9C"/>
    <w:rsid w:val="00102FBD"/>
    <w:rsid w:val="001030B7"/>
    <w:rsid w:val="001030EB"/>
    <w:rsid w:val="00103105"/>
    <w:rsid w:val="00103158"/>
    <w:rsid w:val="0010320F"/>
    <w:rsid w:val="001032D6"/>
    <w:rsid w:val="001032D9"/>
    <w:rsid w:val="00103322"/>
    <w:rsid w:val="00103330"/>
    <w:rsid w:val="001033CA"/>
    <w:rsid w:val="00103402"/>
    <w:rsid w:val="00103440"/>
    <w:rsid w:val="00103547"/>
    <w:rsid w:val="001035FB"/>
    <w:rsid w:val="00103615"/>
    <w:rsid w:val="00103623"/>
    <w:rsid w:val="00103633"/>
    <w:rsid w:val="001036A9"/>
    <w:rsid w:val="0010372C"/>
    <w:rsid w:val="001038C4"/>
    <w:rsid w:val="001038D2"/>
    <w:rsid w:val="00103915"/>
    <w:rsid w:val="00103926"/>
    <w:rsid w:val="0010394C"/>
    <w:rsid w:val="00103A53"/>
    <w:rsid w:val="00103A83"/>
    <w:rsid w:val="00103ACC"/>
    <w:rsid w:val="00103B5E"/>
    <w:rsid w:val="00103D8C"/>
    <w:rsid w:val="00103E5C"/>
    <w:rsid w:val="00103EDC"/>
    <w:rsid w:val="00103F46"/>
    <w:rsid w:val="0010402D"/>
    <w:rsid w:val="0010418C"/>
    <w:rsid w:val="00104265"/>
    <w:rsid w:val="001042DC"/>
    <w:rsid w:val="0010442D"/>
    <w:rsid w:val="001044A3"/>
    <w:rsid w:val="001044EA"/>
    <w:rsid w:val="001044F6"/>
    <w:rsid w:val="00104538"/>
    <w:rsid w:val="00104556"/>
    <w:rsid w:val="0010496D"/>
    <w:rsid w:val="00104A1B"/>
    <w:rsid w:val="00104A4E"/>
    <w:rsid w:val="00104AFA"/>
    <w:rsid w:val="00104B80"/>
    <w:rsid w:val="00104C31"/>
    <w:rsid w:val="00104C6B"/>
    <w:rsid w:val="00104DB6"/>
    <w:rsid w:val="00104DFD"/>
    <w:rsid w:val="00104E3F"/>
    <w:rsid w:val="00104EFF"/>
    <w:rsid w:val="00104F1C"/>
    <w:rsid w:val="00105058"/>
    <w:rsid w:val="001050A5"/>
    <w:rsid w:val="001050C2"/>
    <w:rsid w:val="001050D2"/>
    <w:rsid w:val="001051C5"/>
    <w:rsid w:val="00105265"/>
    <w:rsid w:val="00105421"/>
    <w:rsid w:val="00105433"/>
    <w:rsid w:val="00105471"/>
    <w:rsid w:val="00105480"/>
    <w:rsid w:val="0010549F"/>
    <w:rsid w:val="00105627"/>
    <w:rsid w:val="00105677"/>
    <w:rsid w:val="001056CE"/>
    <w:rsid w:val="001056D5"/>
    <w:rsid w:val="00105717"/>
    <w:rsid w:val="0010579C"/>
    <w:rsid w:val="00105882"/>
    <w:rsid w:val="001058F9"/>
    <w:rsid w:val="0010598E"/>
    <w:rsid w:val="001059BC"/>
    <w:rsid w:val="001059CF"/>
    <w:rsid w:val="00105A8D"/>
    <w:rsid w:val="00105BE3"/>
    <w:rsid w:val="00105C46"/>
    <w:rsid w:val="00105C5F"/>
    <w:rsid w:val="00105C68"/>
    <w:rsid w:val="00105CE0"/>
    <w:rsid w:val="00105E99"/>
    <w:rsid w:val="00105F84"/>
    <w:rsid w:val="00105FA9"/>
    <w:rsid w:val="00105FE2"/>
    <w:rsid w:val="00106124"/>
    <w:rsid w:val="0010618D"/>
    <w:rsid w:val="001061BB"/>
    <w:rsid w:val="001061D4"/>
    <w:rsid w:val="001062D9"/>
    <w:rsid w:val="001064F0"/>
    <w:rsid w:val="001065A1"/>
    <w:rsid w:val="001065D7"/>
    <w:rsid w:val="001065E3"/>
    <w:rsid w:val="0010669E"/>
    <w:rsid w:val="001066E1"/>
    <w:rsid w:val="00106822"/>
    <w:rsid w:val="001068B3"/>
    <w:rsid w:val="00106985"/>
    <w:rsid w:val="001069CB"/>
    <w:rsid w:val="00106A02"/>
    <w:rsid w:val="00106CFA"/>
    <w:rsid w:val="00106DD1"/>
    <w:rsid w:val="00106E78"/>
    <w:rsid w:val="0010701A"/>
    <w:rsid w:val="001071E5"/>
    <w:rsid w:val="00107281"/>
    <w:rsid w:val="001072FF"/>
    <w:rsid w:val="001073F3"/>
    <w:rsid w:val="00107407"/>
    <w:rsid w:val="00107465"/>
    <w:rsid w:val="001074EE"/>
    <w:rsid w:val="0010753B"/>
    <w:rsid w:val="0010754A"/>
    <w:rsid w:val="00107780"/>
    <w:rsid w:val="001077C5"/>
    <w:rsid w:val="00107A48"/>
    <w:rsid w:val="00107A9C"/>
    <w:rsid w:val="00107B43"/>
    <w:rsid w:val="00107BBF"/>
    <w:rsid w:val="00107C1E"/>
    <w:rsid w:val="00107C2A"/>
    <w:rsid w:val="00107C39"/>
    <w:rsid w:val="00107E50"/>
    <w:rsid w:val="00107E9E"/>
    <w:rsid w:val="00107FAC"/>
    <w:rsid w:val="0011000D"/>
    <w:rsid w:val="001100E8"/>
    <w:rsid w:val="0011016A"/>
    <w:rsid w:val="001101D6"/>
    <w:rsid w:val="00110218"/>
    <w:rsid w:val="0011021D"/>
    <w:rsid w:val="001102D2"/>
    <w:rsid w:val="001102E5"/>
    <w:rsid w:val="001102E8"/>
    <w:rsid w:val="00110386"/>
    <w:rsid w:val="001103CC"/>
    <w:rsid w:val="00110414"/>
    <w:rsid w:val="0011042D"/>
    <w:rsid w:val="0011046D"/>
    <w:rsid w:val="0011048D"/>
    <w:rsid w:val="00110546"/>
    <w:rsid w:val="00110618"/>
    <w:rsid w:val="00110761"/>
    <w:rsid w:val="0011084F"/>
    <w:rsid w:val="0011093B"/>
    <w:rsid w:val="00110964"/>
    <w:rsid w:val="001109F5"/>
    <w:rsid w:val="00110A0F"/>
    <w:rsid w:val="00110A6C"/>
    <w:rsid w:val="00110A78"/>
    <w:rsid w:val="00110AA7"/>
    <w:rsid w:val="00110B20"/>
    <w:rsid w:val="00110B57"/>
    <w:rsid w:val="00110B80"/>
    <w:rsid w:val="00110C25"/>
    <w:rsid w:val="00110C91"/>
    <w:rsid w:val="00110C9D"/>
    <w:rsid w:val="00110D51"/>
    <w:rsid w:val="00110DE1"/>
    <w:rsid w:val="00110E1B"/>
    <w:rsid w:val="00110E46"/>
    <w:rsid w:val="00110EAF"/>
    <w:rsid w:val="00110EBF"/>
    <w:rsid w:val="00110F22"/>
    <w:rsid w:val="00110F4B"/>
    <w:rsid w:val="00111018"/>
    <w:rsid w:val="0011114B"/>
    <w:rsid w:val="0011117D"/>
    <w:rsid w:val="001111AF"/>
    <w:rsid w:val="00111227"/>
    <w:rsid w:val="0011123C"/>
    <w:rsid w:val="001112B5"/>
    <w:rsid w:val="001113A0"/>
    <w:rsid w:val="0011141E"/>
    <w:rsid w:val="001114D9"/>
    <w:rsid w:val="001114E9"/>
    <w:rsid w:val="001115CF"/>
    <w:rsid w:val="0011173B"/>
    <w:rsid w:val="00111757"/>
    <w:rsid w:val="0011185F"/>
    <w:rsid w:val="001119A9"/>
    <w:rsid w:val="00111A07"/>
    <w:rsid w:val="00111A34"/>
    <w:rsid w:val="00111AE5"/>
    <w:rsid w:val="00111B42"/>
    <w:rsid w:val="00111BA6"/>
    <w:rsid w:val="00111CE3"/>
    <w:rsid w:val="00111DBC"/>
    <w:rsid w:val="00111DC9"/>
    <w:rsid w:val="00111EE1"/>
    <w:rsid w:val="00111F02"/>
    <w:rsid w:val="00111F15"/>
    <w:rsid w:val="00111F68"/>
    <w:rsid w:val="00112013"/>
    <w:rsid w:val="0011203E"/>
    <w:rsid w:val="001120B5"/>
    <w:rsid w:val="00112135"/>
    <w:rsid w:val="00112145"/>
    <w:rsid w:val="00112164"/>
    <w:rsid w:val="001121BC"/>
    <w:rsid w:val="00112239"/>
    <w:rsid w:val="00112339"/>
    <w:rsid w:val="00112380"/>
    <w:rsid w:val="0011244C"/>
    <w:rsid w:val="001124BA"/>
    <w:rsid w:val="00112519"/>
    <w:rsid w:val="00112534"/>
    <w:rsid w:val="001125B3"/>
    <w:rsid w:val="001125F3"/>
    <w:rsid w:val="00112653"/>
    <w:rsid w:val="0011271D"/>
    <w:rsid w:val="001127F5"/>
    <w:rsid w:val="001128FE"/>
    <w:rsid w:val="001129FB"/>
    <w:rsid w:val="00112A50"/>
    <w:rsid w:val="00112A51"/>
    <w:rsid w:val="00112AEF"/>
    <w:rsid w:val="00112B05"/>
    <w:rsid w:val="00112BBB"/>
    <w:rsid w:val="00112BDA"/>
    <w:rsid w:val="00112C12"/>
    <w:rsid w:val="00112C7B"/>
    <w:rsid w:val="00112D7F"/>
    <w:rsid w:val="00112E29"/>
    <w:rsid w:val="00112E98"/>
    <w:rsid w:val="00112F93"/>
    <w:rsid w:val="001130D9"/>
    <w:rsid w:val="001130E5"/>
    <w:rsid w:val="00113128"/>
    <w:rsid w:val="00113188"/>
    <w:rsid w:val="00113199"/>
    <w:rsid w:val="00113221"/>
    <w:rsid w:val="00113295"/>
    <w:rsid w:val="0011329F"/>
    <w:rsid w:val="001132A2"/>
    <w:rsid w:val="001132CC"/>
    <w:rsid w:val="00113364"/>
    <w:rsid w:val="00113473"/>
    <w:rsid w:val="001134A9"/>
    <w:rsid w:val="00113551"/>
    <w:rsid w:val="00113574"/>
    <w:rsid w:val="00113664"/>
    <w:rsid w:val="00113692"/>
    <w:rsid w:val="001136B1"/>
    <w:rsid w:val="00113730"/>
    <w:rsid w:val="00113771"/>
    <w:rsid w:val="00113797"/>
    <w:rsid w:val="00113830"/>
    <w:rsid w:val="0011392A"/>
    <w:rsid w:val="00113A6F"/>
    <w:rsid w:val="00113AEE"/>
    <w:rsid w:val="00113BE2"/>
    <w:rsid w:val="00113BE8"/>
    <w:rsid w:val="00113C3C"/>
    <w:rsid w:val="00113D51"/>
    <w:rsid w:val="00113E2A"/>
    <w:rsid w:val="00113ED4"/>
    <w:rsid w:val="00113F4A"/>
    <w:rsid w:val="00113FA3"/>
    <w:rsid w:val="00114044"/>
    <w:rsid w:val="0011415A"/>
    <w:rsid w:val="00114167"/>
    <w:rsid w:val="001141C6"/>
    <w:rsid w:val="001142BA"/>
    <w:rsid w:val="001143A8"/>
    <w:rsid w:val="00114460"/>
    <w:rsid w:val="001144DC"/>
    <w:rsid w:val="0011452A"/>
    <w:rsid w:val="00114539"/>
    <w:rsid w:val="0011458E"/>
    <w:rsid w:val="001145C9"/>
    <w:rsid w:val="001146F1"/>
    <w:rsid w:val="00114704"/>
    <w:rsid w:val="00114753"/>
    <w:rsid w:val="0011492A"/>
    <w:rsid w:val="00114A15"/>
    <w:rsid w:val="00114A20"/>
    <w:rsid w:val="00114A3E"/>
    <w:rsid w:val="00114BCE"/>
    <w:rsid w:val="00114BF1"/>
    <w:rsid w:val="00114C21"/>
    <w:rsid w:val="00114C23"/>
    <w:rsid w:val="00114CC8"/>
    <w:rsid w:val="00114EA1"/>
    <w:rsid w:val="00114EE6"/>
    <w:rsid w:val="00114F60"/>
    <w:rsid w:val="00114F9F"/>
    <w:rsid w:val="00114FDE"/>
    <w:rsid w:val="00115042"/>
    <w:rsid w:val="001150FA"/>
    <w:rsid w:val="00115106"/>
    <w:rsid w:val="0011522B"/>
    <w:rsid w:val="00115253"/>
    <w:rsid w:val="001152B1"/>
    <w:rsid w:val="001152E5"/>
    <w:rsid w:val="001152EF"/>
    <w:rsid w:val="0011531B"/>
    <w:rsid w:val="00115458"/>
    <w:rsid w:val="0011550C"/>
    <w:rsid w:val="00115516"/>
    <w:rsid w:val="00115526"/>
    <w:rsid w:val="001155A4"/>
    <w:rsid w:val="0011569E"/>
    <w:rsid w:val="0011571A"/>
    <w:rsid w:val="0011578C"/>
    <w:rsid w:val="0011588F"/>
    <w:rsid w:val="001158E2"/>
    <w:rsid w:val="001158EE"/>
    <w:rsid w:val="0011592F"/>
    <w:rsid w:val="00115992"/>
    <w:rsid w:val="00115B43"/>
    <w:rsid w:val="00115C88"/>
    <w:rsid w:val="00115D6D"/>
    <w:rsid w:val="00115E93"/>
    <w:rsid w:val="00115EA9"/>
    <w:rsid w:val="00115F0C"/>
    <w:rsid w:val="0011603A"/>
    <w:rsid w:val="0011619A"/>
    <w:rsid w:val="0011637A"/>
    <w:rsid w:val="0011644D"/>
    <w:rsid w:val="0011649A"/>
    <w:rsid w:val="00116607"/>
    <w:rsid w:val="0011661D"/>
    <w:rsid w:val="001166A6"/>
    <w:rsid w:val="001166D2"/>
    <w:rsid w:val="00116748"/>
    <w:rsid w:val="001167CE"/>
    <w:rsid w:val="001168D3"/>
    <w:rsid w:val="0011691B"/>
    <w:rsid w:val="0011696B"/>
    <w:rsid w:val="001169E9"/>
    <w:rsid w:val="001169FA"/>
    <w:rsid w:val="00116AC6"/>
    <w:rsid w:val="00116C12"/>
    <w:rsid w:val="00116C80"/>
    <w:rsid w:val="00116DFF"/>
    <w:rsid w:val="00116E76"/>
    <w:rsid w:val="00116ED6"/>
    <w:rsid w:val="00116EE0"/>
    <w:rsid w:val="00116F18"/>
    <w:rsid w:val="001170BB"/>
    <w:rsid w:val="001170D5"/>
    <w:rsid w:val="00117264"/>
    <w:rsid w:val="00117373"/>
    <w:rsid w:val="0011739A"/>
    <w:rsid w:val="001173F0"/>
    <w:rsid w:val="00117466"/>
    <w:rsid w:val="00117670"/>
    <w:rsid w:val="00117694"/>
    <w:rsid w:val="00117863"/>
    <w:rsid w:val="001178BF"/>
    <w:rsid w:val="001179B9"/>
    <w:rsid w:val="001179BC"/>
    <w:rsid w:val="001179DF"/>
    <w:rsid w:val="00117B73"/>
    <w:rsid w:val="00117C94"/>
    <w:rsid w:val="00117CEB"/>
    <w:rsid w:val="00117CFE"/>
    <w:rsid w:val="00117D56"/>
    <w:rsid w:val="00117EAE"/>
    <w:rsid w:val="0012003B"/>
    <w:rsid w:val="0012006B"/>
    <w:rsid w:val="00120089"/>
    <w:rsid w:val="00120098"/>
    <w:rsid w:val="001200EA"/>
    <w:rsid w:val="001201FE"/>
    <w:rsid w:val="00120327"/>
    <w:rsid w:val="0012039A"/>
    <w:rsid w:val="0012040A"/>
    <w:rsid w:val="00120426"/>
    <w:rsid w:val="00120436"/>
    <w:rsid w:val="001205F8"/>
    <w:rsid w:val="001206D8"/>
    <w:rsid w:val="00120789"/>
    <w:rsid w:val="00120796"/>
    <w:rsid w:val="001207BA"/>
    <w:rsid w:val="001208C0"/>
    <w:rsid w:val="00120AEC"/>
    <w:rsid w:val="00120B75"/>
    <w:rsid w:val="00120B8B"/>
    <w:rsid w:val="00120BE9"/>
    <w:rsid w:val="00120C1A"/>
    <w:rsid w:val="00120C2B"/>
    <w:rsid w:val="00120C40"/>
    <w:rsid w:val="00120C49"/>
    <w:rsid w:val="00120C4E"/>
    <w:rsid w:val="00120C6B"/>
    <w:rsid w:val="00120C89"/>
    <w:rsid w:val="00120D04"/>
    <w:rsid w:val="00120D88"/>
    <w:rsid w:val="00120DC7"/>
    <w:rsid w:val="00120E1C"/>
    <w:rsid w:val="00120E41"/>
    <w:rsid w:val="00120EAA"/>
    <w:rsid w:val="00120EC1"/>
    <w:rsid w:val="00120F00"/>
    <w:rsid w:val="00120F40"/>
    <w:rsid w:val="00120FBB"/>
    <w:rsid w:val="00120FE4"/>
    <w:rsid w:val="001210BA"/>
    <w:rsid w:val="001211AE"/>
    <w:rsid w:val="001211EB"/>
    <w:rsid w:val="00121298"/>
    <w:rsid w:val="001212B8"/>
    <w:rsid w:val="001215AF"/>
    <w:rsid w:val="001216F8"/>
    <w:rsid w:val="0012171B"/>
    <w:rsid w:val="001217ED"/>
    <w:rsid w:val="00121846"/>
    <w:rsid w:val="001218E0"/>
    <w:rsid w:val="0012193C"/>
    <w:rsid w:val="00121972"/>
    <w:rsid w:val="0012198B"/>
    <w:rsid w:val="001219BC"/>
    <w:rsid w:val="001219DE"/>
    <w:rsid w:val="00121A39"/>
    <w:rsid w:val="00121BD9"/>
    <w:rsid w:val="00121C81"/>
    <w:rsid w:val="00121D0C"/>
    <w:rsid w:val="00121DAB"/>
    <w:rsid w:val="00121DCE"/>
    <w:rsid w:val="00121E55"/>
    <w:rsid w:val="00121F04"/>
    <w:rsid w:val="00121F32"/>
    <w:rsid w:val="00121F4A"/>
    <w:rsid w:val="00121F6A"/>
    <w:rsid w:val="00121F82"/>
    <w:rsid w:val="00121F8E"/>
    <w:rsid w:val="00121FA2"/>
    <w:rsid w:val="00121FB4"/>
    <w:rsid w:val="00122085"/>
    <w:rsid w:val="0012213C"/>
    <w:rsid w:val="0012219D"/>
    <w:rsid w:val="001221A5"/>
    <w:rsid w:val="001221EB"/>
    <w:rsid w:val="00122297"/>
    <w:rsid w:val="0012230D"/>
    <w:rsid w:val="00122310"/>
    <w:rsid w:val="0012232D"/>
    <w:rsid w:val="00122378"/>
    <w:rsid w:val="00122467"/>
    <w:rsid w:val="00122492"/>
    <w:rsid w:val="001224A2"/>
    <w:rsid w:val="001224AF"/>
    <w:rsid w:val="001225A3"/>
    <w:rsid w:val="00122652"/>
    <w:rsid w:val="00122693"/>
    <w:rsid w:val="001226AF"/>
    <w:rsid w:val="00122701"/>
    <w:rsid w:val="001227B7"/>
    <w:rsid w:val="00122832"/>
    <w:rsid w:val="00122838"/>
    <w:rsid w:val="001228CF"/>
    <w:rsid w:val="001228D2"/>
    <w:rsid w:val="001228FB"/>
    <w:rsid w:val="001229D7"/>
    <w:rsid w:val="00122B18"/>
    <w:rsid w:val="00122D68"/>
    <w:rsid w:val="00122E3B"/>
    <w:rsid w:val="00122EEB"/>
    <w:rsid w:val="00122F04"/>
    <w:rsid w:val="00123191"/>
    <w:rsid w:val="0012332F"/>
    <w:rsid w:val="00123485"/>
    <w:rsid w:val="00123582"/>
    <w:rsid w:val="001235A1"/>
    <w:rsid w:val="00123770"/>
    <w:rsid w:val="001237D9"/>
    <w:rsid w:val="001238C4"/>
    <w:rsid w:val="00123964"/>
    <w:rsid w:val="0012398C"/>
    <w:rsid w:val="00123AE2"/>
    <w:rsid w:val="00123BE5"/>
    <w:rsid w:val="00123BF2"/>
    <w:rsid w:val="00123C44"/>
    <w:rsid w:val="00123D34"/>
    <w:rsid w:val="00123DE4"/>
    <w:rsid w:val="00123E0E"/>
    <w:rsid w:val="00123E20"/>
    <w:rsid w:val="00123EE9"/>
    <w:rsid w:val="00123F53"/>
    <w:rsid w:val="00123FC5"/>
    <w:rsid w:val="001240A9"/>
    <w:rsid w:val="0012415F"/>
    <w:rsid w:val="00124175"/>
    <w:rsid w:val="001243C4"/>
    <w:rsid w:val="0012441E"/>
    <w:rsid w:val="0012442F"/>
    <w:rsid w:val="00124457"/>
    <w:rsid w:val="00124469"/>
    <w:rsid w:val="00124540"/>
    <w:rsid w:val="001245BB"/>
    <w:rsid w:val="001245E9"/>
    <w:rsid w:val="001246A1"/>
    <w:rsid w:val="001246CD"/>
    <w:rsid w:val="001246D5"/>
    <w:rsid w:val="0012479E"/>
    <w:rsid w:val="0012482F"/>
    <w:rsid w:val="00124893"/>
    <w:rsid w:val="001248BD"/>
    <w:rsid w:val="001248D3"/>
    <w:rsid w:val="00124954"/>
    <w:rsid w:val="0012498F"/>
    <w:rsid w:val="00124AC8"/>
    <w:rsid w:val="00124AE4"/>
    <w:rsid w:val="00124B02"/>
    <w:rsid w:val="00124B58"/>
    <w:rsid w:val="00124B7E"/>
    <w:rsid w:val="00124C36"/>
    <w:rsid w:val="00124C8F"/>
    <w:rsid w:val="00124D30"/>
    <w:rsid w:val="00124D90"/>
    <w:rsid w:val="00124F3B"/>
    <w:rsid w:val="00124F50"/>
    <w:rsid w:val="00124F90"/>
    <w:rsid w:val="00124FCF"/>
    <w:rsid w:val="00124FDE"/>
    <w:rsid w:val="00125059"/>
    <w:rsid w:val="0012512C"/>
    <w:rsid w:val="0012522F"/>
    <w:rsid w:val="00125357"/>
    <w:rsid w:val="00125375"/>
    <w:rsid w:val="00125425"/>
    <w:rsid w:val="001254A1"/>
    <w:rsid w:val="00125522"/>
    <w:rsid w:val="00125652"/>
    <w:rsid w:val="0012568E"/>
    <w:rsid w:val="001256AC"/>
    <w:rsid w:val="0012571D"/>
    <w:rsid w:val="001257A5"/>
    <w:rsid w:val="00125864"/>
    <w:rsid w:val="00125883"/>
    <w:rsid w:val="001258F5"/>
    <w:rsid w:val="00125928"/>
    <w:rsid w:val="00125954"/>
    <w:rsid w:val="00125A0E"/>
    <w:rsid w:val="00125A1A"/>
    <w:rsid w:val="00125ABD"/>
    <w:rsid w:val="00125B76"/>
    <w:rsid w:val="00125D08"/>
    <w:rsid w:val="00125D39"/>
    <w:rsid w:val="00125D94"/>
    <w:rsid w:val="00125DDD"/>
    <w:rsid w:val="00125DFE"/>
    <w:rsid w:val="00125E62"/>
    <w:rsid w:val="00126004"/>
    <w:rsid w:val="0012603F"/>
    <w:rsid w:val="00126094"/>
    <w:rsid w:val="0012609A"/>
    <w:rsid w:val="001260CD"/>
    <w:rsid w:val="00126119"/>
    <w:rsid w:val="00126123"/>
    <w:rsid w:val="00126232"/>
    <w:rsid w:val="00126263"/>
    <w:rsid w:val="0012628E"/>
    <w:rsid w:val="00126367"/>
    <w:rsid w:val="00126431"/>
    <w:rsid w:val="001265C2"/>
    <w:rsid w:val="001265CB"/>
    <w:rsid w:val="001265E2"/>
    <w:rsid w:val="00126652"/>
    <w:rsid w:val="00126708"/>
    <w:rsid w:val="0012670F"/>
    <w:rsid w:val="00126727"/>
    <w:rsid w:val="001267DF"/>
    <w:rsid w:val="00126809"/>
    <w:rsid w:val="00126A56"/>
    <w:rsid w:val="00126B61"/>
    <w:rsid w:val="00126CE1"/>
    <w:rsid w:val="00126CEA"/>
    <w:rsid w:val="00126CFF"/>
    <w:rsid w:val="00126D3C"/>
    <w:rsid w:val="00126D4D"/>
    <w:rsid w:val="00126E15"/>
    <w:rsid w:val="00126E5A"/>
    <w:rsid w:val="00126F6E"/>
    <w:rsid w:val="00126F7E"/>
    <w:rsid w:val="00126F8F"/>
    <w:rsid w:val="001270AA"/>
    <w:rsid w:val="001271D4"/>
    <w:rsid w:val="0012721C"/>
    <w:rsid w:val="0012727E"/>
    <w:rsid w:val="00127461"/>
    <w:rsid w:val="0012768E"/>
    <w:rsid w:val="00127849"/>
    <w:rsid w:val="001278A9"/>
    <w:rsid w:val="001279E4"/>
    <w:rsid w:val="00127A61"/>
    <w:rsid w:val="00127AA9"/>
    <w:rsid w:val="00127B36"/>
    <w:rsid w:val="00127B97"/>
    <w:rsid w:val="00127BB5"/>
    <w:rsid w:val="00127C60"/>
    <w:rsid w:val="00127C64"/>
    <w:rsid w:val="00127CA0"/>
    <w:rsid w:val="00127CBC"/>
    <w:rsid w:val="00127E64"/>
    <w:rsid w:val="00127E93"/>
    <w:rsid w:val="00127ED4"/>
    <w:rsid w:val="00127F1E"/>
    <w:rsid w:val="00127FF7"/>
    <w:rsid w:val="0013006D"/>
    <w:rsid w:val="001300C6"/>
    <w:rsid w:val="00130173"/>
    <w:rsid w:val="00130318"/>
    <w:rsid w:val="00130345"/>
    <w:rsid w:val="001304CC"/>
    <w:rsid w:val="001306CE"/>
    <w:rsid w:val="00130701"/>
    <w:rsid w:val="0013072C"/>
    <w:rsid w:val="0013080D"/>
    <w:rsid w:val="00130842"/>
    <w:rsid w:val="0013097E"/>
    <w:rsid w:val="001309EF"/>
    <w:rsid w:val="00130A8E"/>
    <w:rsid w:val="00130B80"/>
    <w:rsid w:val="00130BED"/>
    <w:rsid w:val="00130C9A"/>
    <w:rsid w:val="00130CA3"/>
    <w:rsid w:val="00130D8D"/>
    <w:rsid w:val="00130E17"/>
    <w:rsid w:val="00130E4A"/>
    <w:rsid w:val="00130EB7"/>
    <w:rsid w:val="0013101A"/>
    <w:rsid w:val="001311B5"/>
    <w:rsid w:val="00131206"/>
    <w:rsid w:val="00131250"/>
    <w:rsid w:val="001312B0"/>
    <w:rsid w:val="0013130D"/>
    <w:rsid w:val="00131311"/>
    <w:rsid w:val="00131321"/>
    <w:rsid w:val="0013133B"/>
    <w:rsid w:val="00131432"/>
    <w:rsid w:val="0013158F"/>
    <w:rsid w:val="001315CF"/>
    <w:rsid w:val="00131655"/>
    <w:rsid w:val="00131667"/>
    <w:rsid w:val="00131689"/>
    <w:rsid w:val="00131769"/>
    <w:rsid w:val="0013177E"/>
    <w:rsid w:val="001317B1"/>
    <w:rsid w:val="00131841"/>
    <w:rsid w:val="00131915"/>
    <w:rsid w:val="00131980"/>
    <w:rsid w:val="001319EE"/>
    <w:rsid w:val="00131A8D"/>
    <w:rsid w:val="00131ADF"/>
    <w:rsid w:val="00131B33"/>
    <w:rsid w:val="00131B61"/>
    <w:rsid w:val="00131D67"/>
    <w:rsid w:val="00131DF3"/>
    <w:rsid w:val="00131EEB"/>
    <w:rsid w:val="00131FD3"/>
    <w:rsid w:val="00132090"/>
    <w:rsid w:val="001321EA"/>
    <w:rsid w:val="00132298"/>
    <w:rsid w:val="001322BF"/>
    <w:rsid w:val="001324B5"/>
    <w:rsid w:val="00132596"/>
    <w:rsid w:val="001325D0"/>
    <w:rsid w:val="001325E4"/>
    <w:rsid w:val="0013274F"/>
    <w:rsid w:val="001327B4"/>
    <w:rsid w:val="00132863"/>
    <w:rsid w:val="001328D3"/>
    <w:rsid w:val="001328E1"/>
    <w:rsid w:val="00132AF1"/>
    <w:rsid w:val="00132B6A"/>
    <w:rsid w:val="00132BE9"/>
    <w:rsid w:val="00132DC7"/>
    <w:rsid w:val="00132DE0"/>
    <w:rsid w:val="00132E14"/>
    <w:rsid w:val="00132E54"/>
    <w:rsid w:val="00132EFF"/>
    <w:rsid w:val="001330D1"/>
    <w:rsid w:val="0013312A"/>
    <w:rsid w:val="00133170"/>
    <w:rsid w:val="00133180"/>
    <w:rsid w:val="0013319D"/>
    <w:rsid w:val="001331CB"/>
    <w:rsid w:val="0013320D"/>
    <w:rsid w:val="001332BA"/>
    <w:rsid w:val="001332CB"/>
    <w:rsid w:val="001332D8"/>
    <w:rsid w:val="001332FE"/>
    <w:rsid w:val="00133346"/>
    <w:rsid w:val="001333C5"/>
    <w:rsid w:val="0013345F"/>
    <w:rsid w:val="00133467"/>
    <w:rsid w:val="001334A1"/>
    <w:rsid w:val="001334E3"/>
    <w:rsid w:val="001334F4"/>
    <w:rsid w:val="0013352D"/>
    <w:rsid w:val="00133583"/>
    <w:rsid w:val="0013361C"/>
    <w:rsid w:val="00133687"/>
    <w:rsid w:val="001337E8"/>
    <w:rsid w:val="00133843"/>
    <w:rsid w:val="0013388B"/>
    <w:rsid w:val="0013389E"/>
    <w:rsid w:val="00133938"/>
    <w:rsid w:val="00133975"/>
    <w:rsid w:val="001339F8"/>
    <w:rsid w:val="00133A2D"/>
    <w:rsid w:val="00133A9F"/>
    <w:rsid w:val="00133B29"/>
    <w:rsid w:val="00133B7F"/>
    <w:rsid w:val="00133C44"/>
    <w:rsid w:val="00133C82"/>
    <w:rsid w:val="00133CFE"/>
    <w:rsid w:val="00133D11"/>
    <w:rsid w:val="00133D4D"/>
    <w:rsid w:val="00133D8A"/>
    <w:rsid w:val="00133D91"/>
    <w:rsid w:val="00133DB5"/>
    <w:rsid w:val="00133E2A"/>
    <w:rsid w:val="00133E3B"/>
    <w:rsid w:val="00133EAB"/>
    <w:rsid w:val="00133F2F"/>
    <w:rsid w:val="00133F5A"/>
    <w:rsid w:val="00133F9E"/>
    <w:rsid w:val="00134020"/>
    <w:rsid w:val="00134116"/>
    <w:rsid w:val="00134168"/>
    <w:rsid w:val="001341D2"/>
    <w:rsid w:val="0013426C"/>
    <w:rsid w:val="00134284"/>
    <w:rsid w:val="001342C5"/>
    <w:rsid w:val="001343B4"/>
    <w:rsid w:val="00134620"/>
    <w:rsid w:val="0013467F"/>
    <w:rsid w:val="0013473C"/>
    <w:rsid w:val="00134771"/>
    <w:rsid w:val="00134804"/>
    <w:rsid w:val="001349B8"/>
    <w:rsid w:val="001349E9"/>
    <w:rsid w:val="00134A75"/>
    <w:rsid w:val="00134ABE"/>
    <w:rsid w:val="00134B0B"/>
    <w:rsid w:val="00134B71"/>
    <w:rsid w:val="00134D80"/>
    <w:rsid w:val="00134FB1"/>
    <w:rsid w:val="00134FE4"/>
    <w:rsid w:val="0013508B"/>
    <w:rsid w:val="00135226"/>
    <w:rsid w:val="00135352"/>
    <w:rsid w:val="00135391"/>
    <w:rsid w:val="001353DB"/>
    <w:rsid w:val="0013545D"/>
    <w:rsid w:val="0013557F"/>
    <w:rsid w:val="001355C3"/>
    <w:rsid w:val="001355CA"/>
    <w:rsid w:val="00135698"/>
    <w:rsid w:val="0013570A"/>
    <w:rsid w:val="0013578C"/>
    <w:rsid w:val="001357C1"/>
    <w:rsid w:val="00135838"/>
    <w:rsid w:val="00135864"/>
    <w:rsid w:val="001358A6"/>
    <w:rsid w:val="001358FE"/>
    <w:rsid w:val="00135952"/>
    <w:rsid w:val="001359BB"/>
    <w:rsid w:val="00135AE1"/>
    <w:rsid w:val="00135BBA"/>
    <w:rsid w:val="00135C22"/>
    <w:rsid w:val="00135C49"/>
    <w:rsid w:val="00135C65"/>
    <w:rsid w:val="00135C6C"/>
    <w:rsid w:val="00135E1A"/>
    <w:rsid w:val="00135E79"/>
    <w:rsid w:val="00135F07"/>
    <w:rsid w:val="00135F71"/>
    <w:rsid w:val="00136116"/>
    <w:rsid w:val="00136156"/>
    <w:rsid w:val="001361E5"/>
    <w:rsid w:val="00136363"/>
    <w:rsid w:val="001363B3"/>
    <w:rsid w:val="00136409"/>
    <w:rsid w:val="001365D4"/>
    <w:rsid w:val="001365EF"/>
    <w:rsid w:val="00136747"/>
    <w:rsid w:val="001368D5"/>
    <w:rsid w:val="00136912"/>
    <w:rsid w:val="00136998"/>
    <w:rsid w:val="001369EC"/>
    <w:rsid w:val="00136A1C"/>
    <w:rsid w:val="00136A27"/>
    <w:rsid w:val="00136B1C"/>
    <w:rsid w:val="00136C2E"/>
    <w:rsid w:val="00136C49"/>
    <w:rsid w:val="00136CB4"/>
    <w:rsid w:val="00136D58"/>
    <w:rsid w:val="00136FA9"/>
    <w:rsid w:val="001370A9"/>
    <w:rsid w:val="001370AE"/>
    <w:rsid w:val="001371FD"/>
    <w:rsid w:val="0013721F"/>
    <w:rsid w:val="00137289"/>
    <w:rsid w:val="001372AC"/>
    <w:rsid w:val="00137300"/>
    <w:rsid w:val="00137362"/>
    <w:rsid w:val="0013744C"/>
    <w:rsid w:val="001374CB"/>
    <w:rsid w:val="001374D8"/>
    <w:rsid w:val="00137505"/>
    <w:rsid w:val="00137517"/>
    <w:rsid w:val="001375CD"/>
    <w:rsid w:val="00137612"/>
    <w:rsid w:val="001376AE"/>
    <w:rsid w:val="001376CA"/>
    <w:rsid w:val="00137734"/>
    <w:rsid w:val="001377D6"/>
    <w:rsid w:val="001377DE"/>
    <w:rsid w:val="00137823"/>
    <w:rsid w:val="0013782A"/>
    <w:rsid w:val="0013785A"/>
    <w:rsid w:val="0013786E"/>
    <w:rsid w:val="00137888"/>
    <w:rsid w:val="001378BB"/>
    <w:rsid w:val="001378E0"/>
    <w:rsid w:val="0013798B"/>
    <w:rsid w:val="001379DE"/>
    <w:rsid w:val="001379F3"/>
    <w:rsid w:val="00137A21"/>
    <w:rsid w:val="00137E36"/>
    <w:rsid w:val="00137EA4"/>
    <w:rsid w:val="00137EDE"/>
    <w:rsid w:val="00140051"/>
    <w:rsid w:val="00140122"/>
    <w:rsid w:val="0014016B"/>
    <w:rsid w:val="0014018C"/>
    <w:rsid w:val="0014019F"/>
    <w:rsid w:val="001401AE"/>
    <w:rsid w:val="001401DA"/>
    <w:rsid w:val="001403E0"/>
    <w:rsid w:val="001404FB"/>
    <w:rsid w:val="00140589"/>
    <w:rsid w:val="001405E1"/>
    <w:rsid w:val="001405E8"/>
    <w:rsid w:val="001407A3"/>
    <w:rsid w:val="001408EE"/>
    <w:rsid w:val="00140958"/>
    <w:rsid w:val="00140A1F"/>
    <w:rsid w:val="00140A62"/>
    <w:rsid w:val="00140B42"/>
    <w:rsid w:val="00140C09"/>
    <w:rsid w:val="00140D09"/>
    <w:rsid w:val="00140D20"/>
    <w:rsid w:val="00140D5E"/>
    <w:rsid w:val="00140E2A"/>
    <w:rsid w:val="00140E50"/>
    <w:rsid w:val="00140EC3"/>
    <w:rsid w:val="00140EED"/>
    <w:rsid w:val="00140F2D"/>
    <w:rsid w:val="00140FAB"/>
    <w:rsid w:val="00140FC8"/>
    <w:rsid w:val="0014103D"/>
    <w:rsid w:val="0014106D"/>
    <w:rsid w:val="00141076"/>
    <w:rsid w:val="0014107B"/>
    <w:rsid w:val="00141484"/>
    <w:rsid w:val="0014148A"/>
    <w:rsid w:val="001415A2"/>
    <w:rsid w:val="001415A8"/>
    <w:rsid w:val="00141689"/>
    <w:rsid w:val="00141753"/>
    <w:rsid w:val="00141805"/>
    <w:rsid w:val="0014184E"/>
    <w:rsid w:val="00141883"/>
    <w:rsid w:val="0014189A"/>
    <w:rsid w:val="00141941"/>
    <w:rsid w:val="00141964"/>
    <w:rsid w:val="00141998"/>
    <w:rsid w:val="001419A2"/>
    <w:rsid w:val="00141A35"/>
    <w:rsid w:val="00141A61"/>
    <w:rsid w:val="00141ADE"/>
    <w:rsid w:val="00141B19"/>
    <w:rsid w:val="00141B60"/>
    <w:rsid w:val="00141B73"/>
    <w:rsid w:val="00141BD6"/>
    <w:rsid w:val="00141C9D"/>
    <w:rsid w:val="00141DD8"/>
    <w:rsid w:val="00141E08"/>
    <w:rsid w:val="00141FF9"/>
    <w:rsid w:val="001420A6"/>
    <w:rsid w:val="001420BB"/>
    <w:rsid w:val="001420ED"/>
    <w:rsid w:val="0014224B"/>
    <w:rsid w:val="00142297"/>
    <w:rsid w:val="001422E8"/>
    <w:rsid w:val="001423D9"/>
    <w:rsid w:val="001424A8"/>
    <w:rsid w:val="001424F6"/>
    <w:rsid w:val="00142506"/>
    <w:rsid w:val="00142650"/>
    <w:rsid w:val="00142697"/>
    <w:rsid w:val="001426D9"/>
    <w:rsid w:val="00142742"/>
    <w:rsid w:val="0014294B"/>
    <w:rsid w:val="00142950"/>
    <w:rsid w:val="00142980"/>
    <w:rsid w:val="001429DB"/>
    <w:rsid w:val="00142AE3"/>
    <w:rsid w:val="00142B81"/>
    <w:rsid w:val="00142C5E"/>
    <w:rsid w:val="00142C8B"/>
    <w:rsid w:val="00142D61"/>
    <w:rsid w:val="00142D72"/>
    <w:rsid w:val="00142D7B"/>
    <w:rsid w:val="00142E37"/>
    <w:rsid w:val="00142FED"/>
    <w:rsid w:val="001430BD"/>
    <w:rsid w:val="0014316D"/>
    <w:rsid w:val="0014325E"/>
    <w:rsid w:val="00143261"/>
    <w:rsid w:val="001432E0"/>
    <w:rsid w:val="001432EA"/>
    <w:rsid w:val="00143460"/>
    <w:rsid w:val="001434CE"/>
    <w:rsid w:val="0014350A"/>
    <w:rsid w:val="00143595"/>
    <w:rsid w:val="0014372D"/>
    <w:rsid w:val="001437EB"/>
    <w:rsid w:val="00143845"/>
    <w:rsid w:val="001438AD"/>
    <w:rsid w:val="001438B1"/>
    <w:rsid w:val="00143904"/>
    <w:rsid w:val="0014397F"/>
    <w:rsid w:val="001439E5"/>
    <w:rsid w:val="00143B43"/>
    <w:rsid w:val="00143B44"/>
    <w:rsid w:val="00143BC2"/>
    <w:rsid w:val="00143C22"/>
    <w:rsid w:val="00143C31"/>
    <w:rsid w:val="00143CFA"/>
    <w:rsid w:val="00143E3C"/>
    <w:rsid w:val="00143EFF"/>
    <w:rsid w:val="00143F32"/>
    <w:rsid w:val="00143FBD"/>
    <w:rsid w:val="0014406E"/>
    <w:rsid w:val="0014415C"/>
    <w:rsid w:val="00144168"/>
    <w:rsid w:val="00144196"/>
    <w:rsid w:val="00144202"/>
    <w:rsid w:val="001442B2"/>
    <w:rsid w:val="001442ED"/>
    <w:rsid w:val="00144389"/>
    <w:rsid w:val="0014439F"/>
    <w:rsid w:val="0014447D"/>
    <w:rsid w:val="0014457C"/>
    <w:rsid w:val="00144665"/>
    <w:rsid w:val="00144750"/>
    <w:rsid w:val="001447F5"/>
    <w:rsid w:val="00144920"/>
    <w:rsid w:val="00144CB8"/>
    <w:rsid w:val="00144D88"/>
    <w:rsid w:val="00144DE7"/>
    <w:rsid w:val="00144E72"/>
    <w:rsid w:val="00144F5D"/>
    <w:rsid w:val="00144F8C"/>
    <w:rsid w:val="00145001"/>
    <w:rsid w:val="001450CB"/>
    <w:rsid w:val="001451B8"/>
    <w:rsid w:val="00145227"/>
    <w:rsid w:val="001452D5"/>
    <w:rsid w:val="00145305"/>
    <w:rsid w:val="0014532C"/>
    <w:rsid w:val="0014538C"/>
    <w:rsid w:val="001453E9"/>
    <w:rsid w:val="00145407"/>
    <w:rsid w:val="00145417"/>
    <w:rsid w:val="00145433"/>
    <w:rsid w:val="0014546A"/>
    <w:rsid w:val="00145731"/>
    <w:rsid w:val="00145743"/>
    <w:rsid w:val="00145813"/>
    <w:rsid w:val="00145838"/>
    <w:rsid w:val="00145860"/>
    <w:rsid w:val="00145881"/>
    <w:rsid w:val="0014599C"/>
    <w:rsid w:val="001459CA"/>
    <w:rsid w:val="001459E4"/>
    <w:rsid w:val="00145A2B"/>
    <w:rsid w:val="00145A4C"/>
    <w:rsid w:val="00145AD8"/>
    <w:rsid w:val="00145BA2"/>
    <w:rsid w:val="00145C52"/>
    <w:rsid w:val="00145D14"/>
    <w:rsid w:val="00145D7C"/>
    <w:rsid w:val="00145D7D"/>
    <w:rsid w:val="00145DA3"/>
    <w:rsid w:val="00145DBE"/>
    <w:rsid w:val="00145E08"/>
    <w:rsid w:val="00145E62"/>
    <w:rsid w:val="00145F1D"/>
    <w:rsid w:val="00145F75"/>
    <w:rsid w:val="00145FAB"/>
    <w:rsid w:val="0014602E"/>
    <w:rsid w:val="00146138"/>
    <w:rsid w:val="001461DB"/>
    <w:rsid w:val="001461E0"/>
    <w:rsid w:val="0014625E"/>
    <w:rsid w:val="00146387"/>
    <w:rsid w:val="001463B4"/>
    <w:rsid w:val="001464AF"/>
    <w:rsid w:val="001464FE"/>
    <w:rsid w:val="00146537"/>
    <w:rsid w:val="00146730"/>
    <w:rsid w:val="00146766"/>
    <w:rsid w:val="001467AF"/>
    <w:rsid w:val="001467C7"/>
    <w:rsid w:val="001467FF"/>
    <w:rsid w:val="00146884"/>
    <w:rsid w:val="00146911"/>
    <w:rsid w:val="001469F9"/>
    <w:rsid w:val="00146A1C"/>
    <w:rsid w:val="00146A93"/>
    <w:rsid w:val="00146AEC"/>
    <w:rsid w:val="00146D04"/>
    <w:rsid w:val="00146D11"/>
    <w:rsid w:val="00146D16"/>
    <w:rsid w:val="00146D26"/>
    <w:rsid w:val="00146DA3"/>
    <w:rsid w:val="00146DB0"/>
    <w:rsid w:val="00146DE5"/>
    <w:rsid w:val="00146EE7"/>
    <w:rsid w:val="00146FF1"/>
    <w:rsid w:val="001470FF"/>
    <w:rsid w:val="0014711A"/>
    <w:rsid w:val="0014712E"/>
    <w:rsid w:val="001471F5"/>
    <w:rsid w:val="00147231"/>
    <w:rsid w:val="001472F0"/>
    <w:rsid w:val="0014759B"/>
    <w:rsid w:val="0014768D"/>
    <w:rsid w:val="001476E6"/>
    <w:rsid w:val="0014792A"/>
    <w:rsid w:val="0014796C"/>
    <w:rsid w:val="00147A38"/>
    <w:rsid w:val="00147A6D"/>
    <w:rsid w:val="00147AAF"/>
    <w:rsid w:val="00147BE1"/>
    <w:rsid w:val="00147C4B"/>
    <w:rsid w:val="00147E50"/>
    <w:rsid w:val="00147E69"/>
    <w:rsid w:val="00147F99"/>
    <w:rsid w:val="00147FF1"/>
    <w:rsid w:val="0014926B"/>
    <w:rsid w:val="00150042"/>
    <w:rsid w:val="0015005F"/>
    <w:rsid w:val="00150185"/>
    <w:rsid w:val="001501E4"/>
    <w:rsid w:val="0015023F"/>
    <w:rsid w:val="001502DA"/>
    <w:rsid w:val="0015048A"/>
    <w:rsid w:val="001504AA"/>
    <w:rsid w:val="00150554"/>
    <w:rsid w:val="001505E9"/>
    <w:rsid w:val="00150654"/>
    <w:rsid w:val="001506C5"/>
    <w:rsid w:val="0015075C"/>
    <w:rsid w:val="0015076C"/>
    <w:rsid w:val="001507B9"/>
    <w:rsid w:val="00150806"/>
    <w:rsid w:val="001508E1"/>
    <w:rsid w:val="00150931"/>
    <w:rsid w:val="00150946"/>
    <w:rsid w:val="0015094B"/>
    <w:rsid w:val="00150A1D"/>
    <w:rsid w:val="00150ABD"/>
    <w:rsid w:val="00150BF2"/>
    <w:rsid w:val="00150C3E"/>
    <w:rsid w:val="00150C60"/>
    <w:rsid w:val="00150CB1"/>
    <w:rsid w:val="00150D57"/>
    <w:rsid w:val="00150D71"/>
    <w:rsid w:val="00150D8E"/>
    <w:rsid w:val="00150E44"/>
    <w:rsid w:val="00150EEC"/>
    <w:rsid w:val="00150F3F"/>
    <w:rsid w:val="00150FC9"/>
    <w:rsid w:val="0015103D"/>
    <w:rsid w:val="00151064"/>
    <w:rsid w:val="001510EC"/>
    <w:rsid w:val="001512F5"/>
    <w:rsid w:val="0015132E"/>
    <w:rsid w:val="00151387"/>
    <w:rsid w:val="00151448"/>
    <w:rsid w:val="00151471"/>
    <w:rsid w:val="0015148F"/>
    <w:rsid w:val="00151541"/>
    <w:rsid w:val="0015156A"/>
    <w:rsid w:val="0015158D"/>
    <w:rsid w:val="001515EE"/>
    <w:rsid w:val="0015160C"/>
    <w:rsid w:val="00151675"/>
    <w:rsid w:val="00151710"/>
    <w:rsid w:val="00151728"/>
    <w:rsid w:val="00151759"/>
    <w:rsid w:val="00151825"/>
    <w:rsid w:val="00151842"/>
    <w:rsid w:val="001518CA"/>
    <w:rsid w:val="00151930"/>
    <w:rsid w:val="001519C2"/>
    <w:rsid w:val="001519DA"/>
    <w:rsid w:val="001519F2"/>
    <w:rsid w:val="00151AA8"/>
    <w:rsid w:val="00151AD0"/>
    <w:rsid w:val="00151B4C"/>
    <w:rsid w:val="00151D01"/>
    <w:rsid w:val="00151D15"/>
    <w:rsid w:val="00151D1E"/>
    <w:rsid w:val="00151E23"/>
    <w:rsid w:val="00151E5F"/>
    <w:rsid w:val="00151F10"/>
    <w:rsid w:val="00151F2D"/>
    <w:rsid w:val="00151F98"/>
    <w:rsid w:val="00151FF6"/>
    <w:rsid w:val="00152037"/>
    <w:rsid w:val="001520EB"/>
    <w:rsid w:val="00152197"/>
    <w:rsid w:val="00152264"/>
    <w:rsid w:val="00152322"/>
    <w:rsid w:val="00152363"/>
    <w:rsid w:val="001524E1"/>
    <w:rsid w:val="00152617"/>
    <w:rsid w:val="0015274C"/>
    <w:rsid w:val="0015296C"/>
    <w:rsid w:val="00152971"/>
    <w:rsid w:val="001529C8"/>
    <w:rsid w:val="00152AEB"/>
    <w:rsid w:val="00152AF9"/>
    <w:rsid w:val="00152B7B"/>
    <w:rsid w:val="00152EAB"/>
    <w:rsid w:val="00152EF4"/>
    <w:rsid w:val="00153005"/>
    <w:rsid w:val="001530D1"/>
    <w:rsid w:val="001530E7"/>
    <w:rsid w:val="00153177"/>
    <w:rsid w:val="00153229"/>
    <w:rsid w:val="001532DC"/>
    <w:rsid w:val="001533BD"/>
    <w:rsid w:val="00153539"/>
    <w:rsid w:val="0015358E"/>
    <w:rsid w:val="001536BE"/>
    <w:rsid w:val="0015371B"/>
    <w:rsid w:val="00153733"/>
    <w:rsid w:val="001537A3"/>
    <w:rsid w:val="0015384A"/>
    <w:rsid w:val="001538AA"/>
    <w:rsid w:val="0015394B"/>
    <w:rsid w:val="0015398D"/>
    <w:rsid w:val="001539D3"/>
    <w:rsid w:val="00153A5C"/>
    <w:rsid w:val="00153A67"/>
    <w:rsid w:val="00153A70"/>
    <w:rsid w:val="00153B9F"/>
    <w:rsid w:val="00153BDF"/>
    <w:rsid w:val="00153C1F"/>
    <w:rsid w:val="00153D10"/>
    <w:rsid w:val="00153D19"/>
    <w:rsid w:val="00153D7E"/>
    <w:rsid w:val="00153E11"/>
    <w:rsid w:val="00153F12"/>
    <w:rsid w:val="001541BA"/>
    <w:rsid w:val="001542F2"/>
    <w:rsid w:val="0015440E"/>
    <w:rsid w:val="0015444D"/>
    <w:rsid w:val="00154561"/>
    <w:rsid w:val="00154565"/>
    <w:rsid w:val="0015456F"/>
    <w:rsid w:val="001546B0"/>
    <w:rsid w:val="00154752"/>
    <w:rsid w:val="00154785"/>
    <w:rsid w:val="001547FB"/>
    <w:rsid w:val="0015484D"/>
    <w:rsid w:val="001548F7"/>
    <w:rsid w:val="001549BC"/>
    <w:rsid w:val="00154A12"/>
    <w:rsid w:val="00154AC3"/>
    <w:rsid w:val="00154B6E"/>
    <w:rsid w:val="00154BDB"/>
    <w:rsid w:val="00154C64"/>
    <w:rsid w:val="00154E63"/>
    <w:rsid w:val="00154F6D"/>
    <w:rsid w:val="00154F78"/>
    <w:rsid w:val="0015502D"/>
    <w:rsid w:val="00155062"/>
    <w:rsid w:val="001550B4"/>
    <w:rsid w:val="0015525E"/>
    <w:rsid w:val="00155299"/>
    <w:rsid w:val="001553F9"/>
    <w:rsid w:val="001554CB"/>
    <w:rsid w:val="00155550"/>
    <w:rsid w:val="0015558E"/>
    <w:rsid w:val="001555B3"/>
    <w:rsid w:val="001555B4"/>
    <w:rsid w:val="001555EC"/>
    <w:rsid w:val="0015562A"/>
    <w:rsid w:val="001556B3"/>
    <w:rsid w:val="00155789"/>
    <w:rsid w:val="00155870"/>
    <w:rsid w:val="00155962"/>
    <w:rsid w:val="00155AFC"/>
    <w:rsid w:val="00155CC8"/>
    <w:rsid w:val="00155DBB"/>
    <w:rsid w:val="00155DE6"/>
    <w:rsid w:val="00155E52"/>
    <w:rsid w:val="00155EA0"/>
    <w:rsid w:val="00155F46"/>
    <w:rsid w:val="00155F52"/>
    <w:rsid w:val="00156005"/>
    <w:rsid w:val="00156021"/>
    <w:rsid w:val="00156118"/>
    <w:rsid w:val="001561D3"/>
    <w:rsid w:val="0015633E"/>
    <w:rsid w:val="001563BB"/>
    <w:rsid w:val="001563DC"/>
    <w:rsid w:val="001563E1"/>
    <w:rsid w:val="001563F2"/>
    <w:rsid w:val="00156429"/>
    <w:rsid w:val="0015643A"/>
    <w:rsid w:val="0015653C"/>
    <w:rsid w:val="00156550"/>
    <w:rsid w:val="0015666F"/>
    <w:rsid w:val="00156707"/>
    <w:rsid w:val="0015671B"/>
    <w:rsid w:val="0015671C"/>
    <w:rsid w:val="00156791"/>
    <w:rsid w:val="0015686A"/>
    <w:rsid w:val="001568E3"/>
    <w:rsid w:val="001568FB"/>
    <w:rsid w:val="001569C9"/>
    <w:rsid w:val="00156CED"/>
    <w:rsid w:val="00156CF0"/>
    <w:rsid w:val="00156E49"/>
    <w:rsid w:val="00156EB2"/>
    <w:rsid w:val="00156EDC"/>
    <w:rsid w:val="00156FB3"/>
    <w:rsid w:val="00157089"/>
    <w:rsid w:val="001570A1"/>
    <w:rsid w:val="00157158"/>
    <w:rsid w:val="0015718E"/>
    <w:rsid w:val="00157220"/>
    <w:rsid w:val="00157433"/>
    <w:rsid w:val="0015748D"/>
    <w:rsid w:val="001574FD"/>
    <w:rsid w:val="0015750D"/>
    <w:rsid w:val="0015755D"/>
    <w:rsid w:val="001575CF"/>
    <w:rsid w:val="001576B5"/>
    <w:rsid w:val="001576C7"/>
    <w:rsid w:val="001576E4"/>
    <w:rsid w:val="00157778"/>
    <w:rsid w:val="00157942"/>
    <w:rsid w:val="00157957"/>
    <w:rsid w:val="00157980"/>
    <w:rsid w:val="001579A0"/>
    <w:rsid w:val="00157A40"/>
    <w:rsid w:val="00157A6D"/>
    <w:rsid w:val="00157A7B"/>
    <w:rsid w:val="00157C3A"/>
    <w:rsid w:val="00157C94"/>
    <w:rsid w:val="00157ECF"/>
    <w:rsid w:val="00157F05"/>
    <w:rsid w:val="001600DA"/>
    <w:rsid w:val="001600F7"/>
    <w:rsid w:val="00160186"/>
    <w:rsid w:val="001601FD"/>
    <w:rsid w:val="00160378"/>
    <w:rsid w:val="0016037E"/>
    <w:rsid w:val="001603E5"/>
    <w:rsid w:val="00160407"/>
    <w:rsid w:val="00160408"/>
    <w:rsid w:val="00160467"/>
    <w:rsid w:val="001604C7"/>
    <w:rsid w:val="001604D1"/>
    <w:rsid w:val="00160570"/>
    <w:rsid w:val="0016059A"/>
    <w:rsid w:val="001606FB"/>
    <w:rsid w:val="00160790"/>
    <w:rsid w:val="00160A79"/>
    <w:rsid w:val="00160C36"/>
    <w:rsid w:val="00160C53"/>
    <w:rsid w:val="00160C6B"/>
    <w:rsid w:val="00160C98"/>
    <w:rsid w:val="00160CCD"/>
    <w:rsid w:val="00160D21"/>
    <w:rsid w:val="00160D55"/>
    <w:rsid w:val="00160DC7"/>
    <w:rsid w:val="00160E6A"/>
    <w:rsid w:val="00160EBA"/>
    <w:rsid w:val="00160F0C"/>
    <w:rsid w:val="00160F4E"/>
    <w:rsid w:val="001611BE"/>
    <w:rsid w:val="00161318"/>
    <w:rsid w:val="0016135C"/>
    <w:rsid w:val="00161474"/>
    <w:rsid w:val="0016159A"/>
    <w:rsid w:val="001616A7"/>
    <w:rsid w:val="001616E8"/>
    <w:rsid w:val="001619A5"/>
    <w:rsid w:val="00161BD8"/>
    <w:rsid w:val="00161C0C"/>
    <w:rsid w:val="00161CCB"/>
    <w:rsid w:val="00161D1E"/>
    <w:rsid w:val="00161D64"/>
    <w:rsid w:val="00161F49"/>
    <w:rsid w:val="00161F7D"/>
    <w:rsid w:val="00161F9B"/>
    <w:rsid w:val="00161FE9"/>
    <w:rsid w:val="00162016"/>
    <w:rsid w:val="00162058"/>
    <w:rsid w:val="00162089"/>
    <w:rsid w:val="001620A5"/>
    <w:rsid w:val="0016212D"/>
    <w:rsid w:val="00162201"/>
    <w:rsid w:val="00162211"/>
    <w:rsid w:val="0016227F"/>
    <w:rsid w:val="0016232F"/>
    <w:rsid w:val="001624BE"/>
    <w:rsid w:val="001624E5"/>
    <w:rsid w:val="0016254B"/>
    <w:rsid w:val="0016256E"/>
    <w:rsid w:val="001625B6"/>
    <w:rsid w:val="0016268B"/>
    <w:rsid w:val="00162694"/>
    <w:rsid w:val="001626DF"/>
    <w:rsid w:val="001627B4"/>
    <w:rsid w:val="001627C5"/>
    <w:rsid w:val="001629AA"/>
    <w:rsid w:val="00162A82"/>
    <w:rsid w:val="00162ACE"/>
    <w:rsid w:val="00162B79"/>
    <w:rsid w:val="00162BA5"/>
    <w:rsid w:val="00162BC8"/>
    <w:rsid w:val="00162D29"/>
    <w:rsid w:val="00162D96"/>
    <w:rsid w:val="00162D97"/>
    <w:rsid w:val="00162E48"/>
    <w:rsid w:val="00162F08"/>
    <w:rsid w:val="00162F4E"/>
    <w:rsid w:val="00163121"/>
    <w:rsid w:val="0016312D"/>
    <w:rsid w:val="00163135"/>
    <w:rsid w:val="0016320A"/>
    <w:rsid w:val="001632F8"/>
    <w:rsid w:val="0016333F"/>
    <w:rsid w:val="001633B5"/>
    <w:rsid w:val="0016381C"/>
    <w:rsid w:val="00163823"/>
    <w:rsid w:val="0016384D"/>
    <w:rsid w:val="0016386D"/>
    <w:rsid w:val="0016388F"/>
    <w:rsid w:val="00163918"/>
    <w:rsid w:val="001639C3"/>
    <w:rsid w:val="00163A18"/>
    <w:rsid w:val="00163A2F"/>
    <w:rsid w:val="00163A58"/>
    <w:rsid w:val="00163CA3"/>
    <w:rsid w:val="00163DE7"/>
    <w:rsid w:val="00163E10"/>
    <w:rsid w:val="00163F70"/>
    <w:rsid w:val="001640BC"/>
    <w:rsid w:val="001640FE"/>
    <w:rsid w:val="0016412B"/>
    <w:rsid w:val="001643CF"/>
    <w:rsid w:val="00164437"/>
    <w:rsid w:val="00164483"/>
    <w:rsid w:val="001644A3"/>
    <w:rsid w:val="0016453E"/>
    <w:rsid w:val="001645F8"/>
    <w:rsid w:val="0016463B"/>
    <w:rsid w:val="00164681"/>
    <w:rsid w:val="001646FE"/>
    <w:rsid w:val="0016477D"/>
    <w:rsid w:val="001647E5"/>
    <w:rsid w:val="00164856"/>
    <w:rsid w:val="001648A0"/>
    <w:rsid w:val="001648EE"/>
    <w:rsid w:val="00164A12"/>
    <w:rsid w:val="00164A9B"/>
    <w:rsid w:val="00164ADA"/>
    <w:rsid w:val="00164AF7"/>
    <w:rsid w:val="00164B5C"/>
    <w:rsid w:val="00164C67"/>
    <w:rsid w:val="00164CEC"/>
    <w:rsid w:val="00164D4A"/>
    <w:rsid w:val="00164E22"/>
    <w:rsid w:val="00164E92"/>
    <w:rsid w:val="00164EA3"/>
    <w:rsid w:val="00164EDB"/>
    <w:rsid w:val="00164F0F"/>
    <w:rsid w:val="00164F3F"/>
    <w:rsid w:val="00164F71"/>
    <w:rsid w:val="00164FB6"/>
    <w:rsid w:val="00164FF7"/>
    <w:rsid w:val="00165035"/>
    <w:rsid w:val="00165156"/>
    <w:rsid w:val="00165177"/>
    <w:rsid w:val="00165189"/>
    <w:rsid w:val="00165313"/>
    <w:rsid w:val="00165568"/>
    <w:rsid w:val="001655D2"/>
    <w:rsid w:val="001656B3"/>
    <w:rsid w:val="001656C9"/>
    <w:rsid w:val="00165793"/>
    <w:rsid w:val="001657B7"/>
    <w:rsid w:val="00165A0C"/>
    <w:rsid w:val="00165A19"/>
    <w:rsid w:val="00165A7D"/>
    <w:rsid w:val="00165A97"/>
    <w:rsid w:val="00165B22"/>
    <w:rsid w:val="00165BDD"/>
    <w:rsid w:val="00165C28"/>
    <w:rsid w:val="00165C5E"/>
    <w:rsid w:val="00165CEA"/>
    <w:rsid w:val="00165E78"/>
    <w:rsid w:val="00165FD9"/>
    <w:rsid w:val="0016601D"/>
    <w:rsid w:val="001660B0"/>
    <w:rsid w:val="001661A1"/>
    <w:rsid w:val="001661D6"/>
    <w:rsid w:val="0016623F"/>
    <w:rsid w:val="00166271"/>
    <w:rsid w:val="00166381"/>
    <w:rsid w:val="00166401"/>
    <w:rsid w:val="00166404"/>
    <w:rsid w:val="0016642F"/>
    <w:rsid w:val="00166448"/>
    <w:rsid w:val="0016655F"/>
    <w:rsid w:val="0016658D"/>
    <w:rsid w:val="00166794"/>
    <w:rsid w:val="001669A7"/>
    <w:rsid w:val="001669DF"/>
    <w:rsid w:val="00166AB5"/>
    <w:rsid w:val="00166AFC"/>
    <w:rsid w:val="00166B6B"/>
    <w:rsid w:val="00166B9F"/>
    <w:rsid w:val="00166C31"/>
    <w:rsid w:val="00166C5B"/>
    <w:rsid w:val="00166C5C"/>
    <w:rsid w:val="00166D19"/>
    <w:rsid w:val="00166D2A"/>
    <w:rsid w:val="00166F5B"/>
    <w:rsid w:val="00167029"/>
    <w:rsid w:val="00167069"/>
    <w:rsid w:val="00167077"/>
    <w:rsid w:val="00167163"/>
    <w:rsid w:val="00167196"/>
    <w:rsid w:val="00167198"/>
    <w:rsid w:val="001672FE"/>
    <w:rsid w:val="00167330"/>
    <w:rsid w:val="00167343"/>
    <w:rsid w:val="00167372"/>
    <w:rsid w:val="0016740A"/>
    <w:rsid w:val="001674E2"/>
    <w:rsid w:val="0016759C"/>
    <w:rsid w:val="00167757"/>
    <w:rsid w:val="001677D2"/>
    <w:rsid w:val="001679C9"/>
    <w:rsid w:val="00167AA1"/>
    <w:rsid w:val="00167B09"/>
    <w:rsid w:val="00167BB9"/>
    <w:rsid w:val="00167BC3"/>
    <w:rsid w:val="00167D33"/>
    <w:rsid w:val="00167DE2"/>
    <w:rsid w:val="00167DE6"/>
    <w:rsid w:val="00167E75"/>
    <w:rsid w:val="00167E82"/>
    <w:rsid w:val="00167EEF"/>
    <w:rsid w:val="00167F60"/>
    <w:rsid w:val="0017009C"/>
    <w:rsid w:val="001701B1"/>
    <w:rsid w:val="0017030B"/>
    <w:rsid w:val="00170378"/>
    <w:rsid w:val="001705DB"/>
    <w:rsid w:val="0017078C"/>
    <w:rsid w:val="001707E3"/>
    <w:rsid w:val="001707F0"/>
    <w:rsid w:val="0017084D"/>
    <w:rsid w:val="001708DE"/>
    <w:rsid w:val="001708F9"/>
    <w:rsid w:val="001708FA"/>
    <w:rsid w:val="00170969"/>
    <w:rsid w:val="00170A9A"/>
    <w:rsid w:val="00170B62"/>
    <w:rsid w:val="00170D3B"/>
    <w:rsid w:val="00170D3D"/>
    <w:rsid w:val="00170E15"/>
    <w:rsid w:val="00170E73"/>
    <w:rsid w:val="00170EDC"/>
    <w:rsid w:val="00170F3D"/>
    <w:rsid w:val="00170F43"/>
    <w:rsid w:val="00170F4F"/>
    <w:rsid w:val="00170F8E"/>
    <w:rsid w:val="0017107F"/>
    <w:rsid w:val="0017109D"/>
    <w:rsid w:val="001710D9"/>
    <w:rsid w:val="001710F4"/>
    <w:rsid w:val="0017115A"/>
    <w:rsid w:val="001711E7"/>
    <w:rsid w:val="0017123F"/>
    <w:rsid w:val="0017135D"/>
    <w:rsid w:val="001713D3"/>
    <w:rsid w:val="001714BC"/>
    <w:rsid w:val="001714F3"/>
    <w:rsid w:val="00171605"/>
    <w:rsid w:val="00171671"/>
    <w:rsid w:val="0017171F"/>
    <w:rsid w:val="0017176D"/>
    <w:rsid w:val="001717DB"/>
    <w:rsid w:val="00171800"/>
    <w:rsid w:val="00171846"/>
    <w:rsid w:val="00171864"/>
    <w:rsid w:val="001718C4"/>
    <w:rsid w:val="00171901"/>
    <w:rsid w:val="00171931"/>
    <w:rsid w:val="0017197B"/>
    <w:rsid w:val="00171A13"/>
    <w:rsid w:val="00171A85"/>
    <w:rsid w:val="00171AE3"/>
    <w:rsid w:val="00171B84"/>
    <w:rsid w:val="00171BA4"/>
    <w:rsid w:val="00171D24"/>
    <w:rsid w:val="00171ED0"/>
    <w:rsid w:val="00171EF6"/>
    <w:rsid w:val="00171F5C"/>
    <w:rsid w:val="00171F6E"/>
    <w:rsid w:val="00171FBD"/>
    <w:rsid w:val="00172033"/>
    <w:rsid w:val="0017210F"/>
    <w:rsid w:val="00172134"/>
    <w:rsid w:val="00172214"/>
    <w:rsid w:val="00172225"/>
    <w:rsid w:val="001722F4"/>
    <w:rsid w:val="0017230F"/>
    <w:rsid w:val="00172395"/>
    <w:rsid w:val="001723A5"/>
    <w:rsid w:val="001723E8"/>
    <w:rsid w:val="00172424"/>
    <w:rsid w:val="001724B8"/>
    <w:rsid w:val="001724BE"/>
    <w:rsid w:val="0017252F"/>
    <w:rsid w:val="001725A4"/>
    <w:rsid w:val="001726AB"/>
    <w:rsid w:val="00172758"/>
    <w:rsid w:val="00172763"/>
    <w:rsid w:val="001727CE"/>
    <w:rsid w:val="00172887"/>
    <w:rsid w:val="001728A1"/>
    <w:rsid w:val="001729A8"/>
    <w:rsid w:val="00172BE1"/>
    <w:rsid w:val="00172C7C"/>
    <w:rsid w:val="00172C7F"/>
    <w:rsid w:val="00172D53"/>
    <w:rsid w:val="00172D6C"/>
    <w:rsid w:val="00172D98"/>
    <w:rsid w:val="00172EBC"/>
    <w:rsid w:val="00172F10"/>
    <w:rsid w:val="00172F5D"/>
    <w:rsid w:val="00172FA6"/>
    <w:rsid w:val="00172FBE"/>
    <w:rsid w:val="0017302F"/>
    <w:rsid w:val="001730B4"/>
    <w:rsid w:val="00173118"/>
    <w:rsid w:val="0017313D"/>
    <w:rsid w:val="00173175"/>
    <w:rsid w:val="001731DE"/>
    <w:rsid w:val="00173266"/>
    <w:rsid w:val="001733D5"/>
    <w:rsid w:val="00173411"/>
    <w:rsid w:val="001734F5"/>
    <w:rsid w:val="00173588"/>
    <w:rsid w:val="0017358C"/>
    <w:rsid w:val="00173662"/>
    <w:rsid w:val="00173718"/>
    <w:rsid w:val="00173751"/>
    <w:rsid w:val="001737A1"/>
    <w:rsid w:val="001738BF"/>
    <w:rsid w:val="00173BB1"/>
    <w:rsid w:val="00173BB2"/>
    <w:rsid w:val="00173C43"/>
    <w:rsid w:val="00173C52"/>
    <w:rsid w:val="00173CDD"/>
    <w:rsid w:val="00173CF4"/>
    <w:rsid w:val="00173DC6"/>
    <w:rsid w:val="00173DE9"/>
    <w:rsid w:val="00173E4B"/>
    <w:rsid w:val="00173E78"/>
    <w:rsid w:val="00174026"/>
    <w:rsid w:val="0017408A"/>
    <w:rsid w:val="00174127"/>
    <w:rsid w:val="00174263"/>
    <w:rsid w:val="001742D5"/>
    <w:rsid w:val="001742D8"/>
    <w:rsid w:val="001742ED"/>
    <w:rsid w:val="0017432E"/>
    <w:rsid w:val="0017439A"/>
    <w:rsid w:val="001743AC"/>
    <w:rsid w:val="00174507"/>
    <w:rsid w:val="001745DF"/>
    <w:rsid w:val="0017464E"/>
    <w:rsid w:val="00174665"/>
    <w:rsid w:val="001747CC"/>
    <w:rsid w:val="00174841"/>
    <w:rsid w:val="001749F6"/>
    <w:rsid w:val="00174A1B"/>
    <w:rsid w:val="00174A91"/>
    <w:rsid w:val="00174B9A"/>
    <w:rsid w:val="00174C8A"/>
    <w:rsid w:val="00174CEF"/>
    <w:rsid w:val="00174D1F"/>
    <w:rsid w:val="00174DC6"/>
    <w:rsid w:val="00174DCA"/>
    <w:rsid w:val="00174E7B"/>
    <w:rsid w:val="00174EC0"/>
    <w:rsid w:val="00174EF0"/>
    <w:rsid w:val="00174F68"/>
    <w:rsid w:val="00174F72"/>
    <w:rsid w:val="00175007"/>
    <w:rsid w:val="00175085"/>
    <w:rsid w:val="001750E2"/>
    <w:rsid w:val="00175299"/>
    <w:rsid w:val="001752DA"/>
    <w:rsid w:val="00175334"/>
    <w:rsid w:val="00175368"/>
    <w:rsid w:val="001753E1"/>
    <w:rsid w:val="001754EA"/>
    <w:rsid w:val="00175584"/>
    <w:rsid w:val="001755B3"/>
    <w:rsid w:val="00175606"/>
    <w:rsid w:val="0017560E"/>
    <w:rsid w:val="00175729"/>
    <w:rsid w:val="001757B1"/>
    <w:rsid w:val="00175852"/>
    <w:rsid w:val="001758D3"/>
    <w:rsid w:val="00175933"/>
    <w:rsid w:val="00175A0F"/>
    <w:rsid w:val="00175B8C"/>
    <w:rsid w:val="00175B8E"/>
    <w:rsid w:val="00175B98"/>
    <w:rsid w:val="00175D18"/>
    <w:rsid w:val="00175F0D"/>
    <w:rsid w:val="00175F9D"/>
    <w:rsid w:val="00175FC0"/>
    <w:rsid w:val="0017609A"/>
    <w:rsid w:val="001760C7"/>
    <w:rsid w:val="00176241"/>
    <w:rsid w:val="0017624D"/>
    <w:rsid w:val="0017625F"/>
    <w:rsid w:val="001762AE"/>
    <w:rsid w:val="00176363"/>
    <w:rsid w:val="001763D6"/>
    <w:rsid w:val="00176405"/>
    <w:rsid w:val="00176422"/>
    <w:rsid w:val="001764A7"/>
    <w:rsid w:val="0017651C"/>
    <w:rsid w:val="001765A8"/>
    <w:rsid w:val="001766BC"/>
    <w:rsid w:val="00176875"/>
    <w:rsid w:val="0017697F"/>
    <w:rsid w:val="001769C5"/>
    <w:rsid w:val="00176A5E"/>
    <w:rsid w:val="00176A9C"/>
    <w:rsid w:val="00176AF1"/>
    <w:rsid w:val="00176D67"/>
    <w:rsid w:val="00176DAA"/>
    <w:rsid w:val="00176DE6"/>
    <w:rsid w:val="00176F03"/>
    <w:rsid w:val="00176F0E"/>
    <w:rsid w:val="001770E7"/>
    <w:rsid w:val="001771A6"/>
    <w:rsid w:val="001771BB"/>
    <w:rsid w:val="00177278"/>
    <w:rsid w:val="001772E2"/>
    <w:rsid w:val="00177314"/>
    <w:rsid w:val="00177389"/>
    <w:rsid w:val="001773E5"/>
    <w:rsid w:val="0017741F"/>
    <w:rsid w:val="00177441"/>
    <w:rsid w:val="001774D7"/>
    <w:rsid w:val="001774DF"/>
    <w:rsid w:val="00177508"/>
    <w:rsid w:val="00177522"/>
    <w:rsid w:val="00177548"/>
    <w:rsid w:val="00177568"/>
    <w:rsid w:val="001775E1"/>
    <w:rsid w:val="0017761D"/>
    <w:rsid w:val="00177623"/>
    <w:rsid w:val="0017763B"/>
    <w:rsid w:val="0017766D"/>
    <w:rsid w:val="00177750"/>
    <w:rsid w:val="00177799"/>
    <w:rsid w:val="00177862"/>
    <w:rsid w:val="001778CF"/>
    <w:rsid w:val="00177917"/>
    <w:rsid w:val="0017796A"/>
    <w:rsid w:val="001779A4"/>
    <w:rsid w:val="001779BC"/>
    <w:rsid w:val="00177AE5"/>
    <w:rsid w:val="00177C2F"/>
    <w:rsid w:val="00177C39"/>
    <w:rsid w:val="00177C61"/>
    <w:rsid w:val="00177CC5"/>
    <w:rsid w:val="00177CD1"/>
    <w:rsid w:val="00177D0B"/>
    <w:rsid w:val="00177E27"/>
    <w:rsid w:val="00177E2B"/>
    <w:rsid w:val="00177E4A"/>
    <w:rsid w:val="00177E91"/>
    <w:rsid w:val="00177FDB"/>
    <w:rsid w:val="0017C14C"/>
    <w:rsid w:val="001800AE"/>
    <w:rsid w:val="001800B1"/>
    <w:rsid w:val="00180185"/>
    <w:rsid w:val="001801C2"/>
    <w:rsid w:val="0018021F"/>
    <w:rsid w:val="00180286"/>
    <w:rsid w:val="001802C5"/>
    <w:rsid w:val="00180335"/>
    <w:rsid w:val="00180385"/>
    <w:rsid w:val="001803E8"/>
    <w:rsid w:val="001804CB"/>
    <w:rsid w:val="00180632"/>
    <w:rsid w:val="00180753"/>
    <w:rsid w:val="00180781"/>
    <w:rsid w:val="001807E5"/>
    <w:rsid w:val="00180947"/>
    <w:rsid w:val="00180951"/>
    <w:rsid w:val="00180996"/>
    <w:rsid w:val="00180A50"/>
    <w:rsid w:val="00180A6A"/>
    <w:rsid w:val="00180A86"/>
    <w:rsid w:val="00180ABF"/>
    <w:rsid w:val="00180B90"/>
    <w:rsid w:val="00180BD6"/>
    <w:rsid w:val="00180CE6"/>
    <w:rsid w:val="00180D38"/>
    <w:rsid w:val="00180D62"/>
    <w:rsid w:val="00180D8E"/>
    <w:rsid w:val="00180D98"/>
    <w:rsid w:val="00180E65"/>
    <w:rsid w:val="00180ED0"/>
    <w:rsid w:val="00180F7C"/>
    <w:rsid w:val="00181014"/>
    <w:rsid w:val="00181055"/>
    <w:rsid w:val="001810F3"/>
    <w:rsid w:val="0018118D"/>
    <w:rsid w:val="00181347"/>
    <w:rsid w:val="0018136A"/>
    <w:rsid w:val="0018136B"/>
    <w:rsid w:val="001813AB"/>
    <w:rsid w:val="001813D1"/>
    <w:rsid w:val="001814EE"/>
    <w:rsid w:val="001815FF"/>
    <w:rsid w:val="0018169A"/>
    <w:rsid w:val="001816E9"/>
    <w:rsid w:val="0018187D"/>
    <w:rsid w:val="001818DA"/>
    <w:rsid w:val="0018195C"/>
    <w:rsid w:val="00181AFA"/>
    <w:rsid w:val="00181BC9"/>
    <w:rsid w:val="00181DAF"/>
    <w:rsid w:val="00181DFA"/>
    <w:rsid w:val="00181F9F"/>
    <w:rsid w:val="00181FC8"/>
    <w:rsid w:val="0018201B"/>
    <w:rsid w:val="001820A5"/>
    <w:rsid w:val="001820F3"/>
    <w:rsid w:val="00182170"/>
    <w:rsid w:val="00182171"/>
    <w:rsid w:val="0018217D"/>
    <w:rsid w:val="001821F1"/>
    <w:rsid w:val="0018223B"/>
    <w:rsid w:val="00182242"/>
    <w:rsid w:val="001822CC"/>
    <w:rsid w:val="0018233C"/>
    <w:rsid w:val="00182384"/>
    <w:rsid w:val="001823A4"/>
    <w:rsid w:val="001823CA"/>
    <w:rsid w:val="001823F3"/>
    <w:rsid w:val="00182404"/>
    <w:rsid w:val="0018245B"/>
    <w:rsid w:val="00182492"/>
    <w:rsid w:val="001825EA"/>
    <w:rsid w:val="001826C6"/>
    <w:rsid w:val="00182888"/>
    <w:rsid w:val="001828E5"/>
    <w:rsid w:val="001828FF"/>
    <w:rsid w:val="001829CD"/>
    <w:rsid w:val="001829FA"/>
    <w:rsid w:val="00182A8A"/>
    <w:rsid w:val="00182B83"/>
    <w:rsid w:val="00182C96"/>
    <w:rsid w:val="00182F07"/>
    <w:rsid w:val="00182F0E"/>
    <w:rsid w:val="00182F78"/>
    <w:rsid w:val="00182F81"/>
    <w:rsid w:val="00183009"/>
    <w:rsid w:val="0018306F"/>
    <w:rsid w:val="001830CB"/>
    <w:rsid w:val="00183320"/>
    <w:rsid w:val="0018332C"/>
    <w:rsid w:val="001834E0"/>
    <w:rsid w:val="00183634"/>
    <w:rsid w:val="00183771"/>
    <w:rsid w:val="0018378D"/>
    <w:rsid w:val="0018386F"/>
    <w:rsid w:val="00183A89"/>
    <w:rsid w:val="00183B91"/>
    <w:rsid w:val="00183BB9"/>
    <w:rsid w:val="00183C64"/>
    <w:rsid w:val="00183D11"/>
    <w:rsid w:val="00183D26"/>
    <w:rsid w:val="00183DFA"/>
    <w:rsid w:val="00183E10"/>
    <w:rsid w:val="00183E30"/>
    <w:rsid w:val="00183E5E"/>
    <w:rsid w:val="00183EAD"/>
    <w:rsid w:val="00183F12"/>
    <w:rsid w:val="00183F76"/>
    <w:rsid w:val="00183F88"/>
    <w:rsid w:val="00184266"/>
    <w:rsid w:val="0018430A"/>
    <w:rsid w:val="00184324"/>
    <w:rsid w:val="00184372"/>
    <w:rsid w:val="00184426"/>
    <w:rsid w:val="00184532"/>
    <w:rsid w:val="001845BC"/>
    <w:rsid w:val="0018460A"/>
    <w:rsid w:val="00184615"/>
    <w:rsid w:val="001846D8"/>
    <w:rsid w:val="00184710"/>
    <w:rsid w:val="001847B8"/>
    <w:rsid w:val="00184817"/>
    <w:rsid w:val="00184843"/>
    <w:rsid w:val="0018493B"/>
    <w:rsid w:val="00184A70"/>
    <w:rsid w:val="00184B10"/>
    <w:rsid w:val="00184BC3"/>
    <w:rsid w:val="00184C08"/>
    <w:rsid w:val="00184C47"/>
    <w:rsid w:val="00184CF4"/>
    <w:rsid w:val="00184D72"/>
    <w:rsid w:val="00184E21"/>
    <w:rsid w:val="00184EDE"/>
    <w:rsid w:val="00184F37"/>
    <w:rsid w:val="00184FD3"/>
    <w:rsid w:val="00184FEA"/>
    <w:rsid w:val="0018505C"/>
    <w:rsid w:val="00185124"/>
    <w:rsid w:val="001851F3"/>
    <w:rsid w:val="001852F5"/>
    <w:rsid w:val="00185351"/>
    <w:rsid w:val="00185425"/>
    <w:rsid w:val="00185457"/>
    <w:rsid w:val="001855BD"/>
    <w:rsid w:val="001857A3"/>
    <w:rsid w:val="001857B7"/>
    <w:rsid w:val="00185835"/>
    <w:rsid w:val="00185868"/>
    <w:rsid w:val="0018590D"/>
    <w:rsid w:val="001859A4"/>
    <w:rsid w:val="001859C7"/>
    <w:rsid w:val="00185A3F"/>
    <w:rsid w:val="00185A4C"/>
    <w:rsid w:val="00185C29"/>
    <w:rsid w:val="00185C66"/>
    <w:rsid w:val="00185C7E"/>
    <w:rsid w:val="00185C84"/>
    <w:rsid w:val="00185D12"/>
    <w:rsid w:val="00185DA7"/>
    <w:rsid w:val="00185E73"/>
    <w:rsid w:val="00185EB1"/>
    <w:rsid w:val="00185F82"/>
    <w:rsid w:val="00185FF1"/>
    <w:rsid w:val="00186010"/>
    <w:rsid w:val="001860FF"/>
    <w:rsid w:val="00186122"/>
    <w:rsid w:val="0018612B"/>
    <w:rsid w:val="00186177"/>
    <w:rsid w:val="001861CC"/>
    <w:rsid w:val="00186282"/>
    <w:rsid w:val="001864E4"/>
    <w:rsid w:val="0018654F"/>
    <w:rsid w:val="0018659F"/>
    <w:rsid w:val="00186699"/>
    <w:rsid w:val="00186724"/>
    <w:rsid w:val="00186798"/>
    <w:rsid w:val="00186A8A"/>
    <w:rsid w:val="00186B4A"/>
    <w:rsid w:val="00186B70"/>
    <w:rsid w:val="00186BD4"/>
    <w:rsid w:val="00186BFA"/>
    <w:rsid w:val="00186C38"/>
    <w:rsid w:val="00186C75"/>
    <w:rsid w:val="00186D22"/>
    <w:rsid w:val="00186E98"/>
    <w:rsid w:val="00186ED6"/>
    <w:rsid w:val="00186F42"/>
    <w:rsid w:val="00186F96"/>
    <w:rsid w:val="00186FAD"/>
    <w:rsid w:val="001870E7"/>
    <w:rsid w:val="0018714A"/>
    <w:rsid w:val="00187168"/>
    <w:rsid w:val="0018718A"/>
    <w:rsid w:val="0018722B"/>
    <w:rsid w:val="001872CE"/>
    <w:rsid w:val="0018734E"/>
    <w:rsid w:val="001873AF"/>
    <w:rsid w:val="00187404"/>
    <w:rsid w:val="00187501"/>
    <w:rsid w:val="0018753B"/>
    <w:rsid w:val="00187716"/>
    <w:rsid w:val="0018783E"/>
    <w:rsid w:val="001878E8"/>
    <w:rsid w:val="00187964"/>
    <w:rsid w:val="0018799D"/>
    <w:rsid w:val="001879C4"/>
    <w:rsid w:val="00187C04"/>
    <w:rsid w:val="00187C12"/>
    <w:rsid w:val="00187EB4"/>
    <w:rsid w:val="00187EC0"/>
    <w:rsid w:val="00187F07"/>
    <w:rsid w:val="00187F79"/>
    <w:rsid w:val="00187F88"/>
    <w:rsid w:val="00187FAA"/>
    <w:rsid w:val="001900CB"/>
    <w:rsid w:val="00190337"/>
    <w:rsid w:val="00190360"/>
    <w:rsid w:val="00190377"/>
    <w:rsid w:val="00190427"/>
    <w:rsid w:val="00190461"/>
    <w:rsid w:val="001904CC"/>
    <w:rsid w:val="001904DC"/>
    <w:rsid w:val="0019069B"/>
    <w:rsid w:val="00190777"/>
    <w:rsid w:val="0019078D"/>
    <w:rsid w:val="00190891"/>
    <w:rsid w:val="001908BB"/>
    <w:rsid w:val="001908D1"/>
    <w:rsid w:val="0019093E"/>
    <w:rsid w:val="001909A7"/>
    <w:rsid w:val="001909DB"/>
    <w:rsid w:val="00190AB0"/>
    <w:rsid w:val="00190B3B"/>
    <w:rsid w:val="00190C89"/>
    <w:rsid w:val="00190CA6"/>
    <w:rsid w:val="00190D23"/>
    <w:rsid w:val="00190D51"/>
    <w:rsid w:val="00190DFD"/>
    <w:rsid w:val="00190E9B"/>
    <w:rsid w:val="00190ED0"/>
    <w:rsid w:val="00190F08"/>
    <w:rsid w:val="0019101B"/>
    <w:rsid w:val="001910FF"/>
    <w:rsid w:val="00191178"/>
    <w:rsid w:val="001912B6"/>
    <w:rsid w:val="001912C3"/>
    <w:rsid w:val="001912E7"/>
    <w:rsid w:val="00191376"/>
    <w:rsid w:val="0019139D"/>
    <w:rsid w:val="001913E8"/>
    <w:rsid w:val="00191478"/>
    <w:rsid w:val="001914E2"/>
    <w:rsid w:val="001915EE"/>
    <w:rsid w:val="00191618"/>
    <w:rsid w:val="00191664"/>
    <w:rsid w:val="00191690"/>
    <w:rsid w:val="00191695"/>
    <w:rsid w:val="00191711"/>
    <w:rsid w:val="00191723"/>
    <w:rsid w:val="0019173D"/>
    <w:rsid w:val="00191890"/>
    <w:rsid w:val="001918A0"/>
    <w:rsid w:val="001918CF"/>
    <w:rsid w:val="00191AAC"/>
    <w:rsid w:val="00191B52"/>
    <w:rsid w:val="00191C8E"/>
    <w:rsid w:val="00191D13"/>
    <w:rsid w:val="00191D27"/>
    <w:rsid w:val="00191D48"/>
    <w:rsid w:val="00191ECF"/>
    <w:rsid w:val="0019200F"/>
    <w:rsid w:val="001920F4"/>
    <w:rsid w:val="00192187"/>
    <w:rsid w:val="00192366"/>
    <w:rsid w:val="0019240E"/>
    <w:rsid w:val="00192457"/>
    <w:rsid w:val="001924BC"/>
    <w:rsid w:val="00192540"/>
    <w:rsid w:val="00192689"/>
    <w:rsid w:val="0019271F"/>
    <w:rsid w:val="00192762"/>
    <w:rsid w:val="00192783"/>
    <w:rsid w:val="001927CC"/>
    <w:rsid w:val="0019287A"/>
    <w:rsid w:val="001928A2"/>
    <w:rsid w:val="001928A8"/>
    <w:rsid w:val="001928B1"/>
    <w:rsid w:val="0019297B"/>
    <w:rsid w:val="001929B8"/>
    <w:rsid w:val="001929E9"/>
    <w:rsid w:val="00192A1D"/>
    <w:rsid w:val="00192A47"/>
    <w:rsid w:val="00192B42"/>
    <w:rsid w:val="00192B67"/>
    <w:rsid w:val="00192C06"/>
    <w:rsid w:val="00192C8C"/>
    <w:rsid w:val="00192E52"/>
    <w:rsid w:val="00192EAD"/>
    <w:rsid w:val="00192EE6"/>
    <w:rsid w:val="00193003"/>
    <w:rsid w:val="001930D2"/>
    <w:rsid w:val="0019312E"/>
    <w:rsid w:val="00193143"/>
    <w:rsid w:val="001933A4"/>
    <w:rsid w:val="001935ED"/>
    <w:rsid w:val="0019366D"/>
    <w:rsid w:val="001936C2"/>
    <w:rsid w:val="00193765"/>
    <w:rsid w:val="0019382A"/>
    <w:rsid w:val="0019386B"/>
    <w:rsid w:val="00193A3F"/>
    <w:rsid w:val="00193AAB"/>
    <w:rsid w:val="00193B9F"/>
    <w:rsid w:val="00193CFE"/>
    <w:rsid w:val="00193D40"/>
    <w:rsid w:val="00193D99"/>
    <w:rsid w:val="00193DC2"/>
    <w:rsid w:val="00193EB0"/>
    <w:rsid w:val="00193F92"/>
    <w:rsid w:val="00193FE7"/>
    <w:rsid w:val="0019409C"/>
    <w:rsid w:val="001942D5"/>
    <w:rsid w:val="001942FF"/>
    <w:rsid w:val="0019437F"/>
    <w:rsid w:val="001943BF"/>
    <w:rsid w:val="001943E9"/>
    <w:rsid w:val="00194434"/>
    <w:rsid w:val="001944A3"/>
    <w:rsid w:val="00194534"/>
    <w:rsid w:val="00194566"/>
    <w:rsid w:val="001945E7"/>
    <w:rsid w:val="001946AA"/>
    <w:rsid w:val="00194975"/>
    <w:rsid w:val="001949BF"/>
    <w:rsid w:val="00194BF3"/>
    <w:rsid w:val="00194CAA"/>
    <w:rsid w:val="00194D04"/>
    <w:rsid w:val="00194D07"/>
    <w:rsid w:val="00194D84"/>
    <w:rsid w:val="00194DF5"/>
    <w:rsid w:val="00194E69"/>
    <w:rsid w:val="00194E88"/>
    <w:rsid w:val="00194EA9"/>
    <w:rsid w:val="00194EAD"/>
    <w:rsid w:val="00194F72"/>
    <w:rsid w:val="0019505A"/>
    <w:rsid w:val="0019506C"/>
    <w:rsid w:val="00195078"/>
    <w:rsid w:val="00195082"/>
    <w:rsid w:val="00195110"/>
    <w:rsid w:val="00195147"/>
    <w:rsid w:val="0019545E"/>
    <w:rsid w:val="0019551E"/>
    <w:rsid w:val="001955B2"/>
    <w:rsid w:val="001955EE"/>
    <w:rsid w:val="001955FF"/>
    <w:rsid w:val="00195708"/>
    <w:rsid w:val="0019570A"/>
    <w:rsid w:val="0019572E"/>
    <w:rsid w:val="001957C7"/>
    <w:rsid w:val="001957ED"/>
    <w:rsid w:val="00195800"/>
    <w:rsid w:val="00195894"/>
    <w:rsid w:val="0019589A"/>
    <w:rsid w:val="001958C4"/>
    <w:rsid w:val="00195922"/>
    <w:rsid w:val="00195993"/>
    <w:rsid w:val="001959B2"/>
    <w:rsid w:val="00195A06"/>
    <w:rsid w:val="00195A97"/>
    <w:rsid w:val="00195ADF"/>
    <w:rsid w:val="00195B05"/>
    <w:rsid w:val="00195B36"/>
    <w:rsid w:val="00195BC8"/>
    <w:rsid w:val="00195C01"/>
    <w:rsid w:val="00195C5A"/>
    <w:rsid w:val="00195D71"/>
    <w:rsid w:val="00195D9F"/>
    <w:rsid w:val="00195DA5"/>
    <w:rsid w:val="00195DAB"/>
    <w:rsid w:val="00195ECC"/>
    <w:rsid w:val="00196045"/>
    <w:rsid w:val="00196215"/>
    <w:rsid w:val="001962EB"/>
    <w:rsid w:val="0019638C"/>
    <w:rsid w:val="00196422"/>
    <w:rsid w:val="0019649F"/>
    <w:rsid w:val="001964A0"/>
    <w:rsid w:val="00196535"/>
    <w:rsid w:val="001965EE"/>
    <w:rsid w:val="0019668B"/>
    <w:rsid w:val="0019668C"/>
    <w:rsid w:val="001966BC"/>
    <w:rsid w:val="001966F9"/>
    <w:rsid w:val="00196707"/>
    <w:rsid w:val="00196870"/>
    <w:rsid w:val="001968AB"/>
    <w:rsid w:val="001969AA"/>
    <w:rsid w:val="00196A30"/>
    <w:rsid w:val="00196A32"/>
    <w:rsid w:val="00196A39"/>
    <w:rsid w:val="00196ACF"/>
    <w:rsid w:val="00196B24"/>
    <w:rsid w:val="00196B6C"/>
    <w:rsid w:val="00196C6A"/>
    <w:rsid w:val="00196CA7"/>
    <w:rsid w:val="00196CD5"/>
    <w:rsid w:val="00196D97"/>
    <w:rsid w:val="00196DBA"/>
    <w:rsid w:val="00196E02"/>
    <w:rsid w:val="00196FBB"/>
    <w:rsid w:val="00196FD6"/>
    <w:rsid w:val="00197033"/>
    <w:rsid w:val="0019709F"/>
    <w:rsid w:val="00197125"/>
    <w:rsid w:val="001971EC"/>
    <w:rsid w:val="001972DE"/>
    <w:rsid w:val="00197468"/>
    <w:rsid w:val="00197484"/>
    <w:rsid w:val="0019748D"/>
    <w:rsid w:val="001974CE"/>
    <w:rsid w:val="00197562"/>
    <w:rsid w:val="00197570"/>
    <w:rsid w:val="001976D3"/>
    <w:rsid w:val="001977A3"/>
    <w:rsid w:val="001977A4"/>
    <w:rsid w:val="0019790E"/>
    <w:rsid w:val="00197968"/>
    <w:rsid w:val="00197A4F"/>
    <w:rsid w:val="00197B2D"/>
    <w:rsid w:val="00197B7E"/>
    <w:rsid w:val="00197BFA"/>
    <w:rsid w:val="00197C02"/>
    <w:rsid w:val="00197D2D"/>
    <w:rsid w:val="00197DBF"/>
    <w:rsid w:val="00197EA1"/>
    <w:rsid w:val="00197EE5"/>
    <w:rsid w:val="00197F10"/>
    <w:rsid w:val="00197F3A"/>
    <w:rsid w:val="00197F68"/>
    <w:rsid w:val="00197F8A"/>
    <w:rsid w:val="00197FFA"/>
    <w:rsid w:val="001A00DD"/>
    <w:rsid w:val="001A0111"/>
    <w:rsid w:val="001A01CB"/>
    <w:rsid w:val="001A01F9"/>
    <w:rsid w:val="001A0225"/>
    <w:rsid w:val="001A0230"/>
    <w:rsid w:val="001A02F9"/>
    <w:rsid w:val="001A0312"/>
    <w:rsid w:val="001A031B"/>
    <w:rsid w:val="001A034A"/>
    <w:rsid w:val="001A03AF"/>
    <w:rsid w:val="001A03C8"/>
    <w:rsid w:val="001A0684"/>
    <w:rsid w:val="001A06E3"/>
    <w:rsid w:val="001A06FE"/>
    <w:rsid w:val="001A07A1"/>
    <w:rsid w:val="001A0878"/>
    <w:rsid w:val="001A08BA"/>
    <w:rsid w:val="001A0A1D"/>
    <w:rsid w:val="001A0A68"/>
    <w:rsid w:val="001A0A7E"/>
    <w:rsid w:val="001A0B87"/>
    <w:rsid w:val="001A0B8D"/>
    <w:rsid w:val="001A0BAE"/>
    <w:rsid w:val="001A0BBC"/>
    <w:rsid w:val="001A0C66"/>
    <w:rsid w:val="001A0C69"/>
    <w:rsid w:val="001A0D40"/>
    <w:rsid w:val="001A0F6C"/>
    <w:rsid w:val="001A0F79"/>
    <w:rsid w:val="001A1034"/>
    <w:rsid w:val="001A10BF"/>
    <w:rsid w:val="001A111E"/>
    <w:rsid w:val="001A1160"/>
    <w:rsid w:val="001A1170"/>
    <w:rsid w:val="001A124C"/>
    <w:rsid w:val="001A12FA"/>
    <w:rsid w:val="001A1365"/>
    <w:rsid w:val="001A13A3"/>
    <w:rsid w:val="001A1498"/>
    <w:rsid w:val="001A1528"/>
    <w:rsid w:val="001A1535"/>
    <w:rsid w:val="001A1706"/>
    <w:rsid w:val="001A1804"/>
    <w:rsid w:val="001A18CB"/>
    <w:rsid w:val="001A191E"/>
    <w:rsid w:val="001A1954"/>
    <w:rsid w:val="001A1A8C"/>
    <w:rsid w:val="001A1BC4"/>
    <w:rsid w:val="001A1BC9"/>
    <w:rsid w:val="001A1CC5"/>
    <w:rsid w:val="001A1CE5"/>
    <w:rsid w:val="001A1CE9"/>
    <w:rsid w:val="001A1EB4"/>
    <w:rsid w:val="001A2002"/>
    <w:rsid w:val="001A211E"/>
    <w:rsid w:val="001A2215"/>
    <w:rsid w:val="001A229B"/>
    <w:rsid w:val="001A22F4"/>
    <w:rsid w:val="001A2328"/>
    <w:rsid w:val="001A2377"/>
    <w:rsid w:val="001A23A6"/>
    <w:rsid w:val="001A23E3"/>
    <w:rsid w:val="001A23E5"/>
    <w:rsid w:val="001A240A"/>
    <w:rsid w:val="001A2480"/>
    <w:rsid w:val="001A2491"/>
    <w:rsid w:val="001A24D9"/>
    <w:rsid w:val="001A2506"/>
    <w:rsid w:val="001A2559"/>
    <w:rsid w:val="001A2595"/>
    <w:rsid w:val="001A25A9"/>
    <w:rsid w:val="001A2665"/>
    <w:rsid w:val="001A2685"/>
    <w:rsid w:val="001A2788"/>
    <w:rsid w:val="001A27AC"/>
    <w:rsid w:val="001A27E2"/>
    <w:rsid w:val="001A2894"/>
    <w:rsid w:val="001A2898"/>
    <w:rsid w:val="001A28B9"/>
    <w:rsid w:val="001A290A"/>
    <w:rsid w:val="001A298B"/>
    <w:rsid w:val="001A2A3F"/>
    <w:rsid w:val="001A2AFF"/>
    <w:rsid w:val="001A2D87"/>
    <w:rsid w:val="001A2DD7"/>
    <w:rsid w:val="001A2DFB"/>
    <w:rsid w:val="001A2E2D"/>
    <w:rsid w:val="001A2ED3"/>
    <w:rsid w:val="001A2F7C"/>
    <w:rsid w:val="001A3080"/>
    <w:rsid w:val="001A3134"/>
    <w:rsid w:val="001A31B0"/>
    <w:rsid w:val="001A31FD"/>
    <w:rsid w:val="001A3200"/>
    <w:rsid w:val="001A32BC"/>
    <w:rsid w:val="001A32C9"/>
    <w:rsid w:val="001A32CD"/>
    <w:rsid w:val="001A35BE"/>
    <w:rsid w:val="001A36D2"/>
    <w:rsid w:val="001A3711"/>
    <w:rsid w:val="001A371D"/>
    <w:rsid w:val="001A380F"/>
    <w:rsid w:val="001A386B"/>
    <w:rsid w:val="001A3870"/>
    <w:rsid w:val="001A3922"/>
    <w:rsid w:val="001A394D"/>
    <w:rsid w:val="001A395B"/>
    <w:rsid w:val="001A39F6"/>
    <w:rsid w:val="001A3A23"/>
    <w:rsid w:val="001A3B0A"/>
    <w:rsid w:val="001A3BA3"/>
    <w:rsid w:val="001A3C71"/>
    <w:rsid w:val="001A3C81"/>
    <w:rsid w:val="001A3CA5"/>
    <w:rsid w:val="001A3CD1"/>
    <w:rsid w:val="001A3F4D"/>
    <w:rsid w:val="001A3FC0"/>
    <w:rsid w:val="001A3FDD"/>
    <w:rsid w:val="001A4072"/>
    <w:rsid w:val="001A4109"/>
    <w:rsid w:val="001A410E"/>
    <w:rsid w:val="001A421B"/>
    <w:rsid w:val="001A4368"/>
    <w:rsid w:val="001A4435"/>
    <w:rsid w:val="001A44B4"/>
    <w:rsid w:val="001A4570"/>
    <w:rsid w:val="001A46A4"/>
    <w:rsid w:val="001A46FA"/>
    <w:rsid w:val="001A474A"/>
    <w:rsid w:val="001A4793"/>
    <w:rsid w:val="001A4822"/>
    <w:rsid w:val="001A483D"/>
    <w:rsid w:val="001A4931"/>
    <w:rsid w:val="001A4A95"/>
    <w:rsid w:val="001A4AB2"/>
    <w:rsid w:val="001A4B3B"/>
    <w:rsid w:val="001A4BE5"/>
    <w:rsid w:val="001A4CF8"/>
    <w:rsid w:val="001A4D8D"/>
    <w:rsid w:val="001A4D9F"/>
    <w:rsid w:val="001A4DDA"/>
    <w:rsid w:val="001A4E20"/>
    <w:rsid w:val="001A4E5D"/>
    <w:rsid w:val="001A4F09"/>
    <w:rsid w:val="001A4F5A"/>
    <w:rsid w:val="001A4FE5"/>
    <w:rsid w:val="001A5014"/>
    <w:rsid w:val="001A5108"/>
    <w:rsid w:val="001A5158"/>
    <w:rsid w:val="001A51F6"/>
    <w:rsid w:val="001A544D"/>
    <w:rsid w:val="001A54E4"/>
    <w:rsid w:val="001A55A2"/>
    <w:rsid w:val="001A567E"/>
    <w:rsid w:val="001A56F7"/>
    <w:rsid w:val="001A5746"/>
    <w:rsid w:val="001A577A"/>
    <w:rsid w:val="001A579F"/>
    <w:rsid w:val="001A57B5"/>
    <w:rsid w:val="001A580B"/>
    <w:rsid w:val="001A5813"/>
    <w:rsid w:val="001A587F"/>
    <w:rsid w:val="001A58AB"/>
    <w:rsid w:val="001A58F0"/>
    <w:rsid w:val="001A58F1"/>
    <w:rsid w:val="001A58F4"/>
    <w:rsid w:val="001A597D"/>
    <w:rsid w:val="001A5AC6"/>
    <w:rsid w:val="001A5AC8"/>
    <w:rsid w:val="001A5B6F"/>
    <w:rsid w:val="001A5B8D"/>
    <w:rsid w:val="001A5CFA"/>
    <w:rsid w:val="001A5DBA"/>
    <w:rsid w:val="001A606B"/>
    <w:rsid w:val="001A611F"/>
    <w:rsid w:val="001A6159"/>
    <w:rsid w:val="001A615F"/>
    <w:rsid w:val="001A62DD"/>
    <w:rsid w:val="001A636B"/>
    <w:rsid w:val="001A63F7"/>
    <w:rsid w:val="001A641E"/>
    <w:rsid w:val="001A64A6"/>
    <w:rsid w:val="001A655A"/>
    <w:rsid w:val="001A657F"/>
    <w:rsid w:val="001A65F1"/>
    <w:rsid w:val="001A6684"/>
    <w:rsid w:val="001A66F7"/>
    <w:rsid w:val="001A6729"/>
    <w:rsid w:val="001A675D"/>
    <w:rsid w:val="001A68D5"/>
    <w:rsid w:val="001A697F"/>
    <w:rsid w:val="001A6987"/>
    <w:rsid w:val="001A69A8"/>
    <w:rsid w:val="001A6A0B"/>
    <w:rsid w:val="001A6BC4"/>
    <w:rsid w:val="001A6C26"/>
    <w:rsid w:val="001A6C5B"/>
    <w:rsid w:val="001A6CA0"/>
    <w:rsid w:val="001A6CAF"/>
    <w:rsid w:val="001A6E09"/>
    <w:rsid w:val="001A6E0C"/>
    <w:rsid w:val="001A6F5C"/>
    <w:rsid w:val="001A704A"/>
    <w:rsid w:val="001A706A"/>
    <w:rsid w:val="001A706E"/>
    <w:rsid w:val="001A70BF"/>
    <w:rsid w:val="001A70F0"/>
    <w:rsid w:val="001A714C"/>
    <w:rsid w:val="001A7208"/>
    <w:rsid w:val="001A7242"/>
    <w:rsid w:val="001A726A"/>
    <w:rsid w:val="001A728E"/>
    <w:rsid w:val="001A735E"/>
    <w:rsid w:val="001A7368"/>
    <w:rsid w:val="001A748A"/>
    <w:rsid w:val="001A7532"/>
    <w:rsid w:val="001A755C"/>
    <w:rsid w:val="001A7562"/>
    <w:rsid w:val="001A7588"/>
    <w:rsid w:val="001A7699"/>
    <w:rsid w:val="001A76BD"/>
    <w:rsid w:val="001A7745"/>
    <w:rsid w:val="001A7772"/>
    <w:rsid w:val="001A781D"/>
    <w:rsid w:val="001A7934"/>
    <w:rsid w:val="001A796C"/>
    <w:rsid w:val="001A7988"/>
    <w:rsid w:val="001A798E"/>
    <w:rsid w:val="001A7AFD"/>
    <w:rsid w:val="001A7C5C"/>
    <w:rsid w:val="001A7CE1"/>
    <w:rsid w:val="001A7D16"/>
    <w:rsid w:val="001A7E1C"/>
    <w:rsid w:val="001A7F0F"/>
    <w:rsid w:val="001A7FC8"/>
    <w:rsid w:val="001B0093"/>
    <w:rsid w:val="001B00E5"/>
    <w:rsid w:val="001B0133"/>
    <w:rsid w:val="001B013E"/>
    <w:rsid w:val="001B03CD"/>
    <w:rsid w:val="001B03EB"/>
    <w:rsid w:val="001B0455"/>
    <w:rsid w:val="001B04F4"/>
    <w:rsid w:val="001B04F7"/>
    <w:rsid w:val="001B0511"/>
    <w:rsid w:val="001B05AA"/>
    <w:rsid w:val="001B0608"/>
    <w:rsid w:val="001B06EE"/>
    <w:rsid w:val="001B07A5"/>
    <w:rsid w:val="001B07B1"/>
    <w:rsid w:val="001B087A"/>
    <w:rsid w:val="001B0B8F"/>
    <w:rsid w:val="001B0B99"/>
    <w:rsid w:val="001B0BD5"/>
    <w:rsid w:val="001B0C23"/>
    <w:rsid w:val="001B0D5E"/>
    <w:rsid w:val="001B0D94"/>
    <w:rsid w:val="001B0D9B"/>
    <w:rsid w:val="001B0EFC"/>
    <w:rsid w:val="001B0F06"/>
    <w:rsid w:val="001B0F84"/>
    <w:rsid w:val="001B1130"/>
    <w:rsid w:val="001B11C8"/>
    <w:rsid w:val="001B1308"/>
    <w:rsid w:val="001B1372"/>
    <w:rsid w:val="001B13AD"/>
    <w:rsid w:val="001B1492"/>
    <w:rsid w:val="001B1515"/>
    <w:rsid w:val="001B15B5"/>
    <w:rsid w:val="001B1631"/>
    <w:rsid w:val="001B1A8D"/>
    <w:rsid w:val="001B1CEE"/>
    <w:rsid w:val="001B1D40"/>
    <w:rsid w:val="001B1D43"/>
    <w:rsid w:val="001B1D84"/>
    <w:rsid w:val="001B1DA9"/>
    <w:rsid w:val="001B1DB9"/>
    <w:rsid w:val="001B1E0A"/>
    <w:rsid w:val="001B1EB7"/>
    <w:rsid w:val="001B201D"/>
    <w:rsid w:val="001B209D"/>
    <w:rsid w:val="001B20DE"/>
    <w:rsid w:val="001B21B7"/>
    <w:rsid w:val="001B2315"/>
    <w:rsid w:val="001B2381"/>
    <w:rsid w:val="001B2509"/>
    <w:rsid w:val="001B253D"/>
    <w:rsid w:val="001B2614"/>
    <w:rsid w:val="001B289B"/>
    <w:rsid w:val="001B28E3"/>
    <w:rsid w:val="001B293F"/>
    <w:rsid w:val="001B298D"/>
    <w:rsid w:val="001B29D5"/>
    <w:rsid w:val="001B2A09"/>
    <w:rsid w:val="001B2A16"/>
    <w:rsid w:val="001B2AD1"/>
    <w:rsid w:val="001B2AF3"/>
    <w:rsid w:val="001B2C1F"/>
    <w:rsid w:val="001B2C3B"/>
    <w:rsid w:val="001B2C48"/>
    <w:rsid w:val="001B2C82"/>
    <w:rsid w:val="001B2E97"/>
    <w:rsid w:val="001B2F28"/>
    <w:rsid w:val="001B2FB4"/>
    <w:rsid w:val="001B3063"/>
    <w:rsid w:val="001B307F"/>
    <w:rsid w:val="001B3108"/>
    <w:rsid w:val="001B325F"/>
    <w:rsid w:val="001B32AC"/>
    <w:rsid w:val="001B338F"/>
    <w:rsid w:val="001B34DA"/>
    <w:rsid w:val="001B34E8"/>
    <w:rsid w:val="001B34FC"/>
    <w:rsid w:val="001B3580"/>
    <w:rsid w:val="001B360F"/>
    <w:rsid w:val="001B3681"/>
    <w:rsid w:val="001B36B3"/>
    <w:rsid w:val="001B375D"/>
    <w:rsid w:val="001B38C1"/>
    <w:rsid w:val="001B38FD"/>
    <w:rsid w:val="001B3940"/>
    <w:rsid w:val="001B394E"/>
    <w:rsid w:val="001B3962"/>
    <w:rsid w:val="001B3A21"/>
    <w:rsid w:val="001B3A41"/>
    <w:rsid w:val="001B3C29"/>
    <w:rsid w:val="001B3D46"/>
    <w:rsid w:val="001B3DE2"/>
    <w:rsid w:val="001B3E85"/>
    <w:rsid w:val="001B3EBA"/>
    <w:rsid w:val="001B3ED7"/>
    <w:rsid w:val="001B3FDC"/>
    <w:rsid w:val="001B3FEF"/>
    <w:rsid w:val="001B4051"/>
    <w:rsid w:val="001B40E0"/>
    <w:rsid w:val="001B410F"/>
    <w:rsid w:val="001B414D"/>
    <w:rsid w:val="001B4200"/>
    <w:rsid w:val="001B426C"/>
    <w:rsid w:val="001B435F"/>
    <w:rsid w:val="001B43B1"/>
    <w:rsid w:val="001B47AF"/>
    <w:rsid w:val="001B482A"/>
    <w:rsid w:val="001B491D"/>
    <w:rsid w:val="001B4966"/>
    <w:rsid w:val="001B49B9"/>
    <w:rsid w:val="001B49CE"/>
    <w:rsid w:val="001B49FF"/>
    <w:rsid w:val="001B4A96"/>
    <w:rsid w:val="001B4B56"/>
    <w:rsid w:val="001B4B6C"/>
    <w:rsid w:val="001B4BFF"/>
    <w:rsid w:val="001B4C79"/>
    <w:rsid w:val="001B4C9C"/>
    <w:rsid w:val="001B4CB0"/>
    <w:rsid w:val="001B4CCE"/>
    <w:rsid w:val="001B4DAC"/>
    <w:rsid w:val="001B4DCD"/>
    <w:rsid w:val="001B4E07"/>
    <w:rsid w:val="001B4F03"/>
    <w:rsid w:val="001B4F70"/>
    <w:rsid w:val="001B4FC9"/>
    <w:rsid w:val="001B5061"/>
    <w:rsid w:val="001B5125"/>
    <w:rsid w:val="001B52F6"/>
    <w:rsid w:val="001B535F"/>
    <w:rsid w:val="001B5372"/>
    <w:rsid w:val="001B5396"/>
    <w:rsid w:val="001B559E"/>
    <w:rsid w:val="001B55B4"/>
    <w:rsid w:val="001B565D"/>
    <w:rsid w:val="001B5693"/>
    <w:rsid w:val="001B56B7"/>
    <w:rsid w:val="001B570B"/>
    <w:rsid w:val="001B5829"/>
    <w:rsid w:val="001B5A08"/>
    <w:rsid w:val="001B5A9D"/>
    <w:rsid w:val="001B5AB8"/>
    <w:rsid w:val="001B5B8D"/>
    <w:rsid w:val="001B5BD0"/>
    <w:rsid w:val="001B5C06"/>
    <w:rsid w:val="001B5C81"/>
    <w:rsid w:val="001B5D33"/>
    <w:rsid w:val="001B5E06"/>
    <w:rsid w:val="001B5F35"/>
    <w:rsid w:val="001B5F51"/>
    <w:rsid w:val="001B5FC8"/>
    <w:rsid w:val="001B5FDF"/>
    <w:rsid w:val="001B6055"/>
    <w:rsid w:val="001B6180"/>
    <w:rsid w:val="001B61B5"/>
    <w:rsid w:val="001B6231"/>
    <w:rsid w:val="001B6254"/>
    <w:rsid w:val="001B625C"/>
    <w:rsid w:val="001B62AA"/>
    <w:rsid w:val="001B62FA"/>
    <w:rsid w:val="001B6319"/>
    <w:rsid w:val="001B645B"/>
    <w:rsid w:val="001B6473"/>
    <w:rsid w:val="001B6569"/>
    <w:rsid w:val="001B65DC"/>
    <w:rsid w:val="001B663B"/>
    <w:rsid w:val="001B66B7"/>
    <w:rsid w:val="001B66E9"/>
    <w:rsid w:val="001B6715"/>
    <w:rsid w:val="001B6963"/>
    <w:rsid w:val="001B6A15"/>
    <w:rsid w:val="001B6A2A"/>
    <w:rsid w:val="001B6A5D"/>
    <w:rsid w:val="001B6A9F"/>
    <w:rsid w:val="001B6AB4"/>
    <w:rsid w:val="001B6B2E"/>
    <w:rsid w:val="001B6B71"/>
    <w:rsid w:val="001B6C46"/>
    <w:rsid w:val="001B6C58"/>
    <w:rsid w:val="001B6C7B"/>
    <w:rsid w:val="001B6DF8"/>
    <w:rsid w:val="001B6E2B"/>
    <w:rsid w:val="001B6F6D"/>
    <w:rsid w:val="001B702B"/>
    <w:rsid w:val="001B70A4"/>
    <w:rsid w:val="001B70C7"/>
    <w:rsid w:val="001B70E0"/>
    <w:rsid w:val="001B7237"/>
    <w:rsid w:val="001B7382"/>
    <w:rsid w:val="001B73F6"/>
    <w:rsid w:val="001B74C2"/>
    <w:rsid w:val="001B7533"/>
    <w:rsid w:val="001B7558"/>
    <w:rsid w:val="001B7693"/>
    <w:rsid w:val="001B76FD"/>
    <w:rsid w:val="001B77F5"/>
    <w:rsid w:val="001B7951"/>
    <w:rsid w:val="001B7AA5"/>
    <w:rsid w:val="001B7BD3"/>
    <w:rsid w:val="001B7C39"/>
    <w:rsid w:val="001B7CC6"/>
    <w:rsid w:val="001B7D13"/>
    <w:rsid w:val="001B7D20"/>
    <w:rsid w:val="001B7E69"/>
    <w:rsid w:val="001B7F01"/>
    <w:rsid w:val="001C004A"/>
    <w:rsid w:val="001C0071"/>
    <w:rsid w:val="001C009D"/>
    <w:rsid w:val="001C015B"/>
    <w:rsid w:val="001C0334"/>
    <w:rsid w:val="001C03DF"/>
    <w:rsid w:val="001C03F2"/>
    <w:rsid w:val="001C0423"/>
    <w:rsid w:val="001C04C3"/>
    <w:rsid w:val="001C052B"/>
    <w:rsid w:val="001C082B"/>
    <w:rsid w:val="001C0845"/>
    <w:rsid w:val="001C0916"/>
    <w:rsid w:val="001C0944"/>
    <w:rsid w:val="001C0B16"/>
    <w:rsid w:val="001C0B99"/>
    <w:rsid w:val="001C0C1E"/>
    <w:rsid w:val="001C0CAD"/>
    <w:rsid w:val="001C0CD4"/>
    <w:rsid w:val="001C0D47"/>
    <w:rsid w:val="001C0DB8"/>
    <w:rsid w:val="001C0E0E"/>
    <w:rsid w:val="001C0FC4"/>
    <w:rsid w:val="001C0FD6"/>
    <w:rsid w:val="001C107A"/>
    <w:rsid w:val="001C10B5"/>
    <w:rsid w:val="001C1107"/>
    <w:rsid w:val="001C11ED"/>
    <w:rsid w:val="001C1245"/>
    <w:rsid w:val="001C13AC"/>
    <w:rsid w:val="001C13D2"/>
    <w:rsid w:val="001C13F7"/>
    <w:rsid w:val="001C141A"/>
    <w:rsid w:val="001C1484"/>
    <w:rsid w:val="001C149E"/>
    <w:rsid w:val="001C1507"/>
    <w:rsid w:val="001C1508"/>
    <w:rsid w:val="001C1672"/>
    <w:rsid w:val="001C16ED"/>
    <w:rsid w:val="001C177D"/>
    <w:rsid w:val="001C17A0"/>
    <w:rsid w:val="001C189F"/>
    <w:rsid w:val="001C195F"/>
    <w:rsid w:val="001C1A0F"/>
    <w:rsid w:val="001C1BB0"/>
    <w:rsid w:val="001C1C71"/>
    <w:rsid w:val="001C1D49"/>
    <w:rsid w:val="001C1D5B"/>
    <w:rsid w:val="001C1DB3"/>
    <w:rsid w:val="001C1E75"/>
    <w:rsid w:val="001C1F15"/>
    <w:rsid w:val="001C1FF8"/>
    <w:rsid w:val="001C20A0"/>
    <w:rsid w:val="001C20AC"/>
    <w:rsid w:val="001C212C"/>
    <w:rsid w:val="001C2285"/>
    <w:rsid w:val="001C22C0"/>
    <w:rsid w:val="001C235D"/>
    <w:rsid w:val="001C23C8"/>
    <w:rsid w:val="001C25B7"/>
    <w:rsid w:val="001C25E4"/>
    <w:rsid w:val="001C2622"/>
    <w:rsid w:val="001C26DB"/>
    <w:rsid w:val="001C27CA"/>
    <w:rsid w:val="001C289C"/>
    <w:rsid w:val="001C29C6"/>
    <w:rsid w:val="001C29E5"/>
    <w:rsid w:val="001C2A99"/>
    <w:rsid w:val="001C2A9D"/>
    <w:rsid w:val="001C2D0C"/>
    <w:rsid w:val="001C2E8C"/>
    <w:rsid w:val="001C2EC8"/>
    <w:rsid w:val="001C2F24"/>
    <w:rsid w:val="001C2F45"/>
    <w:rsid w:val="001C2F64"/>
    <w:rsid w:val="001C2FB9"/>
    <w:rsid w:val="001C305A"/>
    <w:rsid w:val="001C31AC"/>
    <w:rsid w:val="001C31C6"/>
    <w:rsid w:val="001C3286"/>
    <w:rsid w:val="001C3297"/>
    <w:rsid w:val="001C34C9"/>
    <w:rsid w:val="001C351D"/>
    <w:rsid w:val="001C351F"/>
    <w:rsid w:val="001C3587"/>
    <w:rsid w:val="001C37B6"/>
    <w:rsid w:val="001C38B2"/>
    <w:rsid w:val="001C392D"/>
    <w:rsid w:val="001C3A5E"/>
    <w:rsid w:val="001C3C81"/>
    <w:rsid w:val="001C3DF4"/>
    <w:rsid w:val="001C3E04"/>
    <w:rsid w:val="001C3E0D"/>
    <w:rsid w:val="001C3E17"/>
    <w:rsid w:val="001C3EAB"/>
    <w:rsid w:val="001C3EF9"/>
    <w:rsid w:val="001C3F9F"/>
    <w:rsid w:val="001C40AD"/>
    <w:rsid w:val="001C40B3"/>
    <w:rsid w:val="001C4260"/>
    <w:rsid w:val="001C42D5"/>
    <w:rsid w:val="001C4318"/>
    <w:rsid w:val="001C433D"/>
    <w:rsid w:val="001C439C"/>
    <w:rsid w:val="001C43E5"/>
    <w:rsid w:val="001C440D"/>
    <w:rsid w:val="001C4499"/>
    <w:rsid w:val="001C44DE"/>
    <w:rsid w:val="001C453E"/>
    <w:rsid w:val="001C4577"/>
    <w:rsid w:val="001C4856"/>
    <w:rsid w:val="001C48FC"/>
    <w:rsid w:val="001C4985"/>
    <w:rsid w:val="001C4997"/>
    <w:rsid w:val="001C49CA"/>
    <w:rsid w:val="001C4B67"/>
    <w:rsid w:val="001C4B9C"/>
    <w:rsid w:val="001C4C15"/>
    <w:rsid w:val="001C4CAD"/>
    <w:rsid w:val="001C4CB1"/>
    <w:rsid w:val="001C4CBD"/>
    <w:rsid w:val="001C4D14"/>
    <w:rsid w:val="001C4D40"/>
    <w:rsid w:val="001C4D78"/>
    <w:rsid w:val="001C4E31"/>
    <w:rsid w:val="001C4E8A"/>
    <w:rsid w:val="001C4F4B"/>
    <w:rsid w:val="001C506B"/>
    <w:rsid w:val="001C5095"/>
    <w:rsid w:val="001C50FA"/>
    <w:rsid w:val="001C510C"/>
    <w:rsid w:val="001C513B"/>
    <w:rsid w:val="001C5162"/>
    <w:rsid w:val="001C51B9"/>
    <w:rsid w:val="001C51C7"/>
    <w:rsid w:val="001C5357"/>
    <w:rsid w:val="001C540C"/>
    <w:rsid w:val="001C5492"/>
    <w:rsid w:val="001C54B6"/>
    <w:rsid w:val="001C54E6"/>
    <w:rsid w:val="001C557C"/>
    <w:rsid w:val="001C55A4"/>
    <w:rsid w:val="001C5604"/>
    <w:rsid w:val="001C56E8"/>
    <w:rsid w:val="001C5741"/>
    <w:rsid w:val="001C5807"/>
    <w:rsid w:val="001C58D5"/>
    <w:rsid w:val="001C58F7"/>
    <w:rsid w:val="001C59B7"/>
    <w:rsid w:val="001C59BA"/>
    <w:rsid w:val="001C5C12"/>
    <w:rsid w:val="001C5C8A"/>
    <w:rsid w:val="001C5CE7"/>
    <w:rsid w:val="001C5E45"/>
    <w:rsid w:val="001C5E71"/>
    <w:rsid w:val="001C5F77"/>
    <w:rsid w:val="001C5FC8"/>
    <w:rsid w:val="001C604C"/>
    <w:rsid w:val="001C61D8"/>
    <w:rsid w:val="001C61DF"/>
    <w:rsid w:val="001C62B3"/>
    <w:rsid w:val="001C643B"/>
    <w:rsid w:val="001C6459"/>
    <w:rsid w:val="001C64EF"/>
    <w:rsid w:val="001C6616"/>
    <w:rsid w:val="001C66C7"/>
    <w:rsid w:val="001C67FA"/>
    <w:rsid w:val="001C6833"/>
    <w:rsid w:val="001C688F"/>
    <w:rsid w:val="001C68C7"/>
    <w:rsid w:val="001C68FE"/>
    <w:rsid w:val="001C6930"/>
    <w:rsid w:val="001C6965"/>
    <w:rsid w:val="001C6985"/>
    <w:rsid w:val="001C6993"/>
    <w:rsid w:val="001C69E7"/>
    <w:rsid w:val="001C6A8D"/>
    <w:rsid w:val="001C6B53"/>
    <w:rsid w:val="001C6CC6"/>
    <w:rsid w:val="001C6E5F"/>
    <w:rsid w:val="001C6F2E"/>
    <w:rsid w:val="001C6FCA"/>
    <w:rsid w:val="001C7001"/>
    <w:rsid w:val="001C7041"/>
    <w:rsid w:val="001C7122"/>
    <w:rsid w:val="001C7248"/>
    <w:rsid w:val="001C7272"/>
    <w:rsid w:val="001C72CF"/>
    <w:rsid w:val="001C7329"/>
    <w:rsid w:val="001C73FC"/>
    <w:rsid w:val="001C741A"/>
    <w:rsid w:val="001C7464"/>
    <w:rsid w:val="001C7505"/>
    <w:rsid w:val="001C752A"/>
    <w:rsid w:val="001C767F"/>
    <w:rsid w:val="001C76F9"/>
    <w:rsid w:val="001C770D"/>
    <w:rsid w:val="001C7734"/>
    <w:rsid w:val="001C77CB"/>
    <w:rsid w:val="001C77D7"/>
    <w:rsid w:val="001C7846"/>
    <w:rsid w:val="001C7AD1"/>
    <w:rsid w:val="001C7B65"/>
    <w:rsid w:val="001C7B89"/>
    <w:rsid w:val="001C7BBE"/>
    <w:rsid w:val="001C7BCA"/>
    <w:rsid w:val="001C7C7C"/>
    <w:rsid w:val="001C7C94"/>
    <w:rsid w:val="001C7CED"/>
    <w:rsid w:val="001C7D0D"/>
    <w:rsid w:val="001C7DC7"/>
    <w:rsid w:val="001C7E75"/>
    <w:rsid w:val="001C7ED1"/>
    <w:rsid w:val="001C7EE2"/>
    <w:rsid w:val="001C7F4D"/>
    <w:rsid w:val="001C7F8B"/>
    <w:rsid w:val="001D00DA"/>
    <w:rsid w:val="001D00EC"/>
    <w:rsid w:val="001D0307"/>
    <w:rsid w:val="001D031F"/>
    <w:rsid w:val="001D0346"/>
    <w:rsid w:val="001D0588"/>
    <w:rsid w:val="001D05FA"/>
    <w:rsid w:val="001D06BE"/>
    <w:rsid w:val="001D06F6"/>
    <w:rsid w:val="001D0780"/>
    <w:rsid w:val="001D081B"/>
    <w:rsid w:val="001D086D"/>
    <w:rsid w:val="001D08EC"/>
    <w:rsid w:val="001D090F"/>
    <w:rsid w:val="001D0A81"/>
    <w:rsid w:val="001D0ADC"/>
    <w:rsid w:val="001D0B3A"/>
    <w:rsid w:val="001D0C92"/>
    <w:rsid w:val="001D0CFC"/>
    <w:rsid w:val="001D0D5E"/>
    <w:rsid w:val="001D0FA1"/>
    <w:rsid w:val="001D0FA7"/>
    <w:rsid w:val="001D0FDA"/>
    <w:rsid w:val="001D1033"/>
    <w:rsid w:val="001D11FE"/>
    <w:rsid w:val="001D133B"/>
    <w:rsid w:val="001D1461"/>
    <w:rsid w:val="001D15C4"/>
    <w:rsid w:val="001D15D3"/>
    <w:rsid w:val="001D1627"/>
    <w:rsid w:val="001D1657"/>
    <w:rsid w:val="001D16C7"/>
    <w:rsid w:val="001D17BC"/>
    <w:rsid w:val="001D1819"/>
    <w:rsid w:val="001D1849"/>
    <w:rsid w:val="001D19F5"/>
    <w:rsid w:val="001D1A19"/>
    <w:rsid w:val="001D1AA0"/>
    <w:rsid w:val="001D1C11"/>
    <w:rsid w:val="001D1C37"/>
    <w:rsid w:val="001D1C67"/>
    <w:rsid w:val="001D1C98"/>
    <w:rsid w:val="001D1D2F"/>
    <w:rsid w:val="001D1D8A"/>
    <w:rsid w:val="001D1DD9"/>
    <w:rsid w:val="001D1EEC"/>
    <w:rsid w:val="001D1F6D"/>
    <w:rsid w:val="001D2001"/>
    <w:rsid w:val="001D20B3"/>
    <w:rsid w:val="001D22BA"/>
    <w:rsid w:val="001D231A"/>
    <w:rsid w:val="001D2321"/>
    <w:rsid w:val="001D2334"/>
    <w:rsid w:val="001D237B"/>
    <w:rsid w:val="001D2439"/>
    <w:rsid w:val="001D2563"/>
    <w:rsid w:val="001D2573"/>
    <w:rsid w:val="001D2576"/>
    <w:rsid w:val="001D2577"/>
    <w:rsid w:val="001D27BE"/>
    <w:rsid w:val="001D2834"/>
    <w:rsid w:val="001D2836"/>
    <w:rsid w:val="001D2877"/>
    <w:rsid w:val="001D29CA"/>
    <w:rsid w:val="001D29EE"/>
    <w:rsid w:val="001D2A6F"/>
    <w:rsid w:val="001D2B96"/>
    <w:rsid w:val="001D2BCF"/>
    <w:rsid w:val="001D2C7F"/>
    <w:rsid w:val="001D2D04"/>
    <w:rsid w:val="001D2DF3"/>
    <w:rsid w:val="001D2E1A"/>
    <w:rsid w:val="001D2FA5"/>
    <w:rsid w:val="001D2FE5"/>
    <w:rsid w:val="001D3016"/>
    <w:rsid w:val="001D31A0"/>
    <w:rsid w:val="001D31F7"/>
    <w:rsid w:val="001D32B7"/>
    <w:rsid w:val="001D3302"/>
    <w:rsid w:val="001D333E"/>
    <w:rsid w:val="001D352E"/>
    <w:rsid w:val="001D35DD"/>
    <w:rsid w:val="001D3651"/>
    <w:rsid w:val="001D381F"/>
    <w:rsid w:val="001D38B3"/>
    <w:rsid w:val="001D3AC3"/>
    <w:rsid w:val="001D3AD1"/>
    <w:rsid w:val="001D3B98"/>
    <w:rsid w:val="001D3BAA"/>
    <w:rsid w:val="001D3C67"/>
    <w:rsid w:val="001D3CE6"/>
    <w:rsid w:val="001D3D35"/>
    <w:rsid w:val="001D3D72"/>
    <w:rsid w:val="001D3DB6"/>
    <w:rsid w:val="001D3DEB"/>
    <w:rsid w:val="001D3E0C"/>
    <w:rsid w:val="001D3E25"/>
    <w:rsid w:val="001D3E5C"/>
    <w:rsid w:val="001D3ED2"/>
    <w:rsid w:val="001D3F57"/>
    <w:rsid w:val="001D3F69"/>
    <w:rsid w:val="001D40A6"/>
    <w:rsid w:val="001D411F"/>
    <w:rsid w:val="001D416B"/>
    <w:rsid w:val="001D4283"/>
    <w:rsid w:val="001D43F7"/>
    <w:rsid w:val="001D4418"/>
    <w:rsid w:val="001D44EE"/>
    <w:rsid w:val="001D4726"/>
    <w:rsid w:val="001D4749"/>
    <w:rsid w:val="001D4834"/>
    <w:rsid w:val="001D4882"/>
    <w:rsid w:val="001D4911"/>
    <w:rsid w:val="001D4940"/>
    <w:rsid w:val="001D4A05"/>
    <w:rsid w:val="001D4A8C"/>
    <w:rsid w:val="001D4BBA"/>
    <w:rsid w:val="001D4C74"/>
    <w:rsid w:val="001D4CA8"/>
    <w:rsid w:val="001D4D04"/>
    <w:rsid w:val="001D4D9D"/>
    <w:rsid w:val="001D4DAB"/>
    <w:rsid w:val="001D4DBD"/>
    <w:rsid w:val="001D4DDA"/>
    <w:rsid w:val="001D4DE7"/>
    <w:rsid w:val="001D4E28"/>
    <w:rsid w:val="001D4E37"/>
    <w:rsid w:val="001D4EE4"/>
    <w:rsid w:val="001D4F2F"/>
    <w:rsid w:val="001D4FB8"/>
    <w:rsid w:val="001D506F"/>
    <w:rsid w:val="001D513E"/>
    <w:rsid w:val="001D51CD"/>
    <w:rsid w:val="001D52B7"/>
    <w:rsid w:val="001D532E"/>
    <w:rsid w:val="001D5342"/>
    <w:rsid w:val="001D53B0"/>
    <w:rsid w:val="001D53B4"/>
    <w:rsid w:val="001D53DB"/>
    <w:rsid w:val="001D558A"/>
    <w:rsid w:val="001D55ED"/>
    <w:rsid w:val="001D56F4"/>
    <w:rsid w:val="001D5767"/>
    <w:rsid w:val="001D5885"/>
    <w:rsid w:val="001D58B8"/>
    <w:rsid w:val="001D58CA"/>
    <w:rsid w:val="001D5906"/>
    <w:rsid w:val="001D5943"/>
    <w:rsid w:val="001D5A58"/>
    <w:rsid w:val="001D5A78"/>
    <w:rsid w:val="001D5B7C"/>
    <w:rsid w:val="001D5BBB"/>
    <w:rsid w:val="001D5C1B"/>
    <w:rsid w:val="001D5CD2"/>
    <w:rsid w:val="001D5CDD"/>
    <w:rsid w:val="001D5D6D"/>
    <w:rsid w:val="001D5DFA"/>
    <w:rsid w:val="001D5E70"/>
    <w:rsid w:val="001D5EBC"/>
    <w:rsid w:val="001D5F4E"/>
    <w:rsid w:val="001D5F8C"/>
    <w:rsid w:val="001D6067"/>
    <w:rsid w:val="001D6078"/>
    <w:rsid w:val="001D6131"/>
    <w:rsid w:val="001D6176"/>
    <w:rsid w:val="001D61D4"/>
    <w:rsid w:val="001D61E5"/>
    <w:rsid w:val="001D61E9"/>
    <w:rsid w:val="001D62D8"/>
    <w:rsid w:val="001D6358"/>
    <w:rsid w:val="001D6390"/>
    <w:rsid w:val="001D6588"/>
    <w:rsid w:val="001D6610"/>
    <w:rsid w:val="001D66DC"/>
    <w:rsid w:val="001D6811"/>
    <w:rsid w:val="001D6867"/>
    <w:rsid w:val="001D6899"/>
    <w:rsid w:val="001D68A1"/>
    <w:rsid w:val="001D694C"/>
    <w:rsid w:val="001D6B5A"/>
    <w:rsid w:val="001D6B8F"/>
    <w:rsid w:val="001D6BA0"/>
    <w:rsid w:val="001D6BB6"/>
    <w:rsid w:val="001D6BBB"/>
    <w:rsid w:val="001D6C31"/>
    <w:rsid w:val="001D6C93"/>
    <w:rsid w:val="001D6CC7"/>
    <w:rsid w:val="001D6CE5"/>
    <w:rsid w:val="001D6E21"/>
    <w:rsid w:val="001D6E4F"/>
    <w:rsid w:val="001D6E99"/>
    <w:rsid w:val="001D6E9A"/>
    <w:rsid w:val="001D6E9E"/>
    <w:rsid w:val="001D6F31"/>
    <w:rsid w:val="001D6F35"/>
    <w:rsid w:val="001D6FB7"/>
    <w:rsid w:val="001D7059"/>
    <w:rsid w:val="001D70A9"/>
    <w:rsid w:val="001D71B0"/>
    <w:rsid w:val="001D7201"/>
    <w:rsid w:val="001D7422"/>
    <w:rsid w:val="001D7429"/>
    <w:rsid w:val="001D743C"/>
    <w:rsid w:val="001D7576"/>
    <w:rsid w:val="001D75FA"/>
    <w:rsid w:val="001D768D"/>
    <w:rsid w:val="001D770E"/>
    <w:rsid w:val="001D780E"/>
    <w:rsid w:val="001D7818"/>
    <w:rsid w:val="001D7926"/>
    <w:rsid w:val="001D7A92"/>
    <w:rsid w:val="001D7AD5"/>
    <w:rsid w:val="001D7BA4"/>
    <w:rsid w:val="001D7CBE"/>
    <w:rsid w:val="001D7CE6"/>
    <w:rsid w:val="001D7E83"/>
    <w:rsid w:val="001D7ED0"/>
    <w:rsid w:val="001D7FB9"/>
    <w:rsid w:val="001E0028"/>
    <w:rsid w:val="001E00EF"/>
    <w:rsid w:val="001E0117"/>
    <w:rsid w:val="001E011E"/>
    <w:rsid w:val="001E0162"/>
    <w:rsid w:val="001E01D8"/>
    <w:rsid w:val="001E01E7"/>
    <w:rsid w:val="001E0454"/>
    <w:rsid w:val="001E046E"/>
    <w:rsid w:val="001E0471"/>
    <w:rsid w:val="001E04D5"/>
    <w:rsid w:val="001E05CA"/>
    <w:rsid w:val="001E0605"/>
    <w:rsid w:val="001E06D7"/>
    <w:rsid w:val="001E0748"/>
    <w:rsid w:val="001E0812"/>
    <w:rsid w:val="001E0821"/>
    <w:rsid w:val="001E0A24"/>
    <w:rsid w:val="001E0A37"/>
    <w:rsid w:val="001E0AD8"/>
    <w:rsid w:val="001E0C49"/>
    <w:rsid w:val="001E0C8E"/>
    <w:rsid w:val="001E0D7E"/>
    <w:rsid w:val="001E0DB3"/>
    <w:rsid w:val="001E0E25"/>
    <w:rsid w:val="001E0E79"/>
    <w:rsid w:val="001E0E81"/>
    <w:rsid w:val="001E0F23"/>
    <w:rsid w:val="001E0FEC"/>
    <w:rsid w:val="001E1131"/>
    <w:rsid w:val="001E116E"/>
    <w:rsid w:val="001E1392"/>
    <w:rsid w:val="001E13BC"/>
    <w:rsid w:val="001E13D5"/>
    <w:rsid w:val="001E14CB"/>
    <w:rsid w:val="001E1502"/>
    <w:rsid w:val="001E158B"/>
    <w:rsid w:val="001E1692"/>
    <w:rsid w:val="001E17CD"/>
    <w:rsid w:val="001E188B"/>
    <w:rsid w:val="001E18D8"/>
    <w:rsid w:val="001E1905"/>
    <w:rsid w:val="001E1925"/>
    <w:rsid w:val="001E1960"/>
    <w:rsid w:val="001E19F0"/>
    <w:rsid w:val="001E1A2C"/>
    <w:rsid w:val="001E1A76"/>
    <w:rsid w:val="001E1B8D"/>
    <w:rsid w:val="001E1C56"/>
    <w:rsid w:val="001E1CDC"/>
    <w:rsid w:val="001E1D88"/>
    <w:rsid w:val="001E1DD9"/>
    <w:rsid w:val="001E2041"/>
    <w:rsid w:val="001E2067"/>
    <w:rsid w:val="001E213B"/>
    <w:rsid w:val="001E21B8"/>
    <w:rsid w:val="001E226A"/>
    <w:rsid w:val="001E22D8"/>
    <w:rsid w:val="001E242E"/>
    <w:rsid w:val="001E2469"/>
    <w:rsid w:val="001E2496"/>
    <w:rsid w:val="001E25AB"/>
    <w:rsid w:val="001E280B"/>
    <w:rsid w:val="001E2859"/>
    <w:rsid w:val="001E29BD"/>
    <w:rsid w:val="001E2A0A"/>
    <w:rsid w:val="001E2ADA"/>
    <w:rsid w:val="001E2B81"/>
    <w:rsid w:val="001E2D38"/>
    <w:rsid w:val="001E2D6B"/>
    <w:rsid w:val="001E2D79"/>
    <w:rsid w:val="001E2D95"/>
    <w:rsid w:val="001E2DFD"/>
    <w:rsid w:val="001E2F54"/>
    <w:rsid w:val="001E3001"/>
    <w:rsid w:val="001E3032"/>
    <w:rsid w:val="001E3046"/>
    <w:rsid w:val="001E3231"/>
    <w:rsid w:val="001E32D5"/>
    <w:rsid w:val="001E32F6"/>
    <w:rsid w:val="001E33AF"/>
    <w:rsid w:val="001E3480"/>
    <w:rsid w:val="001E3557"/>
    <w:rsid w:val="001E3659"/>
    <w:rsid w:val="001E3666"/>
    <w:rsid w:val="001E36C3"/>
    <w:rsid w:val="001E3701"/>
    <w:rsid w:val="001E3794"/>
    <w:rsid w:val="001E37CF"/>
    <w:rsid w:val="001E3A61"/>
    <w:rsid w:val="001E3A84"/>
    <w:rsid w:val="001E3B82"/>
    <w:rsid w:val="001E3BD0"/>
    <w:rsid w:val="001E3C36"/>
    <w:rsid w:val="001E3C69"/>
    <w:rsid w:val="001E3C6E"/>
    <w:rsid w:val="001E3CC1"/>
    <w:rsid w:val="001E3CE7"/>
    <w:rsid w:val="001E3F5D"/>
    <w:rsid w:val="001E4035"/>
    <w:rsid w:val="001E4090"/>
    <w:rsid w:val="001E4235"/>
    <w:rsid w:val="001E42DF"/>
    <w:rsid w:val="001E43E9"/>
    <w:rsid w:val="001E4461"/>
    <w:rsid w:val="001E454A"/>
    <w:rsid w:val="001E457D"/>
    <w:rsid w:val="001E4590"/>
    <w:rsid w:val="001E46AC"/>
    <w:rsid w:val="001E4758"/>
    <w:rsid w:val="001E48AC"/>
    <w:rsid w:val="001E490B"/>
    <w:rsid w:val="001E4960"/>
    <w:rsid w:val="001E49A9"/>
    <w:rsid w:val="001E4A49"/>
    <w:rsid w:val="001E4A81"/>
    <w:rsid w:val="001E4B2E"/>
    <w:rsid w:val="001E4B99"/>
    <w:rsid w:val="001E4BDF"/>
    <w:rsid w:val="001E4CDB"/>
    <w:rsid w:val="001E4E03"/>
    <w:rsid w:val="001E4E55"/>
    <w:rsid w:val="001E4E59"/>
    <w:rsid w:val="001E4E7E"/>
    <w:rsid w:val="001E5019"/>
    <w:rsid w:val="001E5072"/>
    <w:rsid w:val="001E50FA"/>
    <w:rsid w:val="001E5104"/>
    <w:rsid w:val="001E5110"/>
    <w:rsid w:val="001E5184"/>
    <w:rsid w:val="001E518C"/>
    <w:rsid w:val="001E5248"/>
    <w:rsid w:val="001E52A9"/>
    <w:rsid w:val="001E531A"/>
    <w:rsid w:val="001E538D"/>
    <w:rsid w:val="001E543C"/>
    <w:rsid w:val="001E5566"/>
    <w:rsid w:val="001E5568"/>
    <w:rsid w:val="001E5598"/>
    <w:rsid w:val="001E55B5"/>
    <w:rsid w:val="001E5658"/>
    <w:rsid w:val="001E5732"/>
    <w:rsid w:val="001E57B6"/>
    <w:rsid w:val="001E5829"/>
    <w:rsid w:val="001E58A1"/>
    <w:rsid w:val="001E58C2"/>
    <w:rsid w:val="001E58F5"/>
    <w:rsid w:val="001E5997"/>
    <w:rsid w:val="001E59C4"/>
    <w:rsid w:val="001E5A5F"/>
    <w:rsid w:val="001E5AF7"/>
    <w:rsid w:val="001E5B18"/>
    <w:rsid w:val="001E5C10"/>
    <w:rsid w:val="001E5C58"/>
    <w:rsid w:val="001E5C9B"/>
    <w:rsid w:val="001E5D10"/>
    <w:rsid w:val="001E5D1A"/>
    <w:rsid w:val="001E5EAF"/>
    <w:rsid w:val="001E5F6F"/>
    <w:rsid w:val="001E5FFF"/>
    <w:rsid w:val="001E6019"/>
    <w:rsid w:val="001E6043"/>
    <w:rsid w:val="001E60B8"/>
    <w:rsid w:val="001E6119"/>
    <w:rsid w:val="001E6120"/>
    <w:rsid w:val="001E6181"/>
    <w:rsid w:val="001E62C7"/>
    <w:rsid w:val="001E62E2"/>
    <w:rsid w:val="001E62E7"/>
    <w:rsid w:val="001E650B"/>
    <w:rsid w:val="001E654C"/>
    <w:rsid w:val="001E658F"/>
    <w:rsid w:val="001E65C1"/>
    <w:rsid w:val="001E65C8"/>
    <w:rsid w:val="001E66AD"/>
    <w:rsid w:val="001E66EB"/>
    <w:rsid w:val="001E678F"/>
    <w:rsid w:val="001E681F"/>
    <w:rsid w:val="001E6850"/>
    <w:rsid w:val="001E6896"/>
    <w:rsid w:val="001E6973"/>
    <w:rsid w:val="001E6994"/>
    <w:rsid w:val="001E6DAD"/>
    <w:rsid w:val="001E70F0"/>
    <w:rsid w:val="001E710E"/>
    <w:rsid w:val="001E7228"/>
    <w:rsid w:val="001E72FA"/>
    <w:rsid w:val="001E73DD"/>
    <w:rsid w:val="001E74B9"/>
    <w:rsid w:val="001E7577"/>
    <w:rsid w:val="001E75AD"/>
    <w:rsid w:val="001E75D0"/>
    <w:rsid w:val="001E75D6"/>
    <w:rsid w:val="001E7676"/>
    <w:rsid w:val="001E76FB"/>
    <w:rsid w:val="001E7751"/>
    <w:rsid w:val="001E78AC"/>
    <w:rsid w:val="001E78B0"/>
    <w:rsid w:val="001E7905"/>
    <w:rsid w:val="001E79D8"/>
    <w:rsid w:val="001E7B4A"/>
    <w:rsid w:val="001E7B4E"/>
    <w:rsid w:val="001E7B50"/>
    <w:rsid w:val="001E7C35"/>
    <w:rsid w:val="001E7D4F"/>
    <w:rsid w:val="001E7D9F"/>
    <w:rsid w:val="001E7EF4"/>
    <w:rsid w:val="001F01CA"/>
    <w:rsid w:val="001F0221"/>
    <w:rsid w:val="001F025A"/>
    <w:rsid w:val="001F027E"/>
    <w:rsid w:val="001F02DA"/>
    <w:rsid w:val="001F037C"/>
    <w:rsid w:val="001F03BB"/>
    <w:rsid w:val="001F03DC"/>
    <w:rsid w:val="001F03F5"/>
    <w:rsid w:val="001F0460"/>
    <w:rsid w:val="001F062F"/>
    <w:rsid w:val="001F06BA"/>
    <w:rsid w:val="001F0726"/>
    <w:rsid w:val="001F0825"/>
    <w:rsid w:val="001F0829"/>
    <w:rsid w:val="001F0830"/>
    <w:rsid w:val="001F0941"/>
    <w:rsid w:val="001F0985"/>
    <w:rsid w:val="001F09B3"/>
    <w:rsid w:val="001F0ABC"/>
    <w:rsid w:val="001F0ABD"/>
    <w:rsid w:val="001F0B5E"/>
    <w:rsid w:val="001F0BF0"/>
    <w:rsid w:val="001F0BFD"/>
    <w:rsid w:val="001F0C50"/>
    <w:rsid w:val="001F0CA8"/>
    <w:rsid w:val="001F0D38"/>
    <w:rsid w:val="001F0E14"/>
    <w:rsid w:val="001F0EAD"/>
    <w:rsid w:val="001F0F7B"/>
    <w:rsid w:val="001F131E"/>
    <w:rsid w:val="001F14AC"/>
    <w:rsid w:val="001F15AC"/>
    <w:rsid w:val="001F15E7"/>
    <w:rsid w:val="001F16AD"/>
    <w:rsid w:val="001F16E3"/>
    <w:rsid w:val="001F1834"/>
    <w:rsid w:val="001F18A6"/>
    <w:rsid w:val="001F194F"/>
    <w:rsid w:val="001F197A"/>
    <w:rsid w:val="001F1A64"/>
    <w:rsid w:val="001F1B63"/>
    <w:rsid w:val="001F1BBC"/>
    <w:rsid w:val="001F1CAF"/>
    <w:rsid w:val="001F1D66"/>
    <w:rsid w:val="001F1DDA"/>
    <w:rsid w:val="001F1DE0"/>
    <w:rsid w:val="001F1E3A"/>
    <w:rsid w:val="001F206D"/>
    <w:rsid w:val="001F208A"/>
    <w:rsid w:val="001F2096"/>
    <w:rsid w:val="001F2313"/>
    <w:rsid w:val="001F24A0"/>
    <w:rsid w:val="001F24C8"/>
    <w:rsid w:val="001F2574"/>
    <w:rsid w:val="001F261B"/>
    <w:rsid w:val="001F2697"/>
    <w:rsid w:val="001F2770"/>
    <w:rsid w:val="001F2833"/>
    <w:rsid w:val="001F28CC"/>
    <w:rsid w:val="001F2912"/>
    <w:rsid w:val="001F2929"/>
    <w:rsid w:val="001F29D2"/>
    <w:rsid w:val="001F2A79"/>
    <w:rsid w:val="001F2A89"/>
    <w:rsid w:val="001F2C85"/>
    <w:rsid w:val="001F2FD5"/>
    <w:rsid w:val="001F3076"/>
    <w:rsid w:val="001F3122"/>
    <w:rsid w:val="001F3253"/>
    <w:rsid w:val="001F3362"/>
    <w:rsid w:val="001F33A8"/>
    <w:rsid w:val="001F34F8"/>
    <w:rsid w:val="001F353B"/>
    <w:rsid w:val="001F3569"/>
    <w:rsid w:val="001F37A2"/>
    <w:rsid w:val="001F37E5"/>
    <w:rsid w:val="001F382A"/>
    <w:rsid w:val="001F383B"/>
    <w:rsid w:val="001F3860"/>
    <w:rsid w:val="001F392B"/>
    <w:rsid w:val="001F3981"/>
    <w:rsid w:val="001F3999"/>
    <w:rsid w:val="001F3ACA"/>
    <w:rsid w:val="001F3B23"/>
    <w:rsid w:val="001F3B27"/>
    <w:rsid w:val="001F3F2E"/>
    <w:rsid w:val="001F3FAE"/>
    <w:rsid w:val="001F4025"/>
    <w:rsid w:val="001F41F4"/>
    <w:rsid w:val="001F42B4"/>
    <w:rsid w:val="001F42E1"/>
    <w:rsid w:val="001F433F"/>
    <w:rsid w:val="001F4358"/>
    <w:rsid w:val="001F437D"/>
    <w:rsid w:val="001F438A"/>
    <w:rsid w:val="001F43A1"/>
    <w:rsid w:val="001F445F"/>
    <w:rsid w:val="001F44C4"/>
    <w:rsid w:val="001F44F3"/>
    <w:rsid w:val="001F4571"/>
    <w:rsid w:val="001F4578"/>
    <w:rsid w:val="001F45A0"/>
    <w:rsid w:val="001F4689"/>
    <w:rsid w:val="001F46FA"/>
    <w:rsid w:val="001F46FC"/>
    <w:rsid w:val="001F47EE"/>
    <w:rsid w:val="001F480D"/>
    <w:rsid w:val="001F48D9"/>
    <w:rsid w:val="001F493A"/>
    <w:rsid w:val="001F4993"/>
    <w:rsid w:val="001F49A3"/>
    <w:rsid w:val="001F4A54"/>
    <w:rsid w:val="001F4A78"/>
    <w:rsid w:val="001F4AD8"/>
    <w:rsid w:val="001F4B22"/>
    <w:rsid w:val="001F4BDA"/>
    <w:rsid w:val="001F4CCC"/>
    <w:rsid w:val="001F4D95"/>
    <w:rsid w:val="001F4DF2"/>
    <w:rsid w:val="001F4E0B"/>
    <w:rsid w:val="001F4F0F"/>
    <w:rsid w:val="001F507F"/>
    <w:rsid w:val="001F5094"/>
    <w:rsid w:val="001F515E"/>
    <w:rsid w:val="001F5173"/>
    <w:rsid w:val="001F5190"/>
    <w:rsid w:val="001F5199"/>
    <w:rsid w:val="001F51D1"/>
    <w:rsid w:val="001F52F7"/>
    <w:rsid w:val="001F5306"/>
    <w:rsid w:val="001F5388"/>
    <w:rsid w:val="001F5413"/>
    <w:rsid w:val="001F5441"/>
    <w:rsid w:val="001F556B"/>
    <w:rsid w:val="001F56E3"/>
    <w:rsid w:val="001F570F"/>
    <w:rsid w:val="001F57EF"/>
    <w:rsid w:val="001F5966"/>
    <w:rsid w:val="001F5984"/>
    <w:rsid w:val="001F5A77"/>
    <w:rsid w:val="001F5A8C"/>
    <w:rsid w:val="001F5AA7"/>
    <w:rsid w:val="001F5B15"/>
    <w:rsid w:val="001F5B3C"/>
    <w:rsid w:val="001F5C8B"/>
    <w:rsid w:val="001F5CF0"/>
    <w:rsid w:val="001F5DAC"/>
    <w:rsid w:val="001F5DAF"/>
    <w:rsid w:val="001F5E21"/>
    <w:rsid w:val="001F5E8F"/>
    <w:rsid w:val="001F5F88"/>
    <w:rsid w:val="001F5FC3"/>
    <w:rsid w:val="001F6104"/>
    <w:rsid w:val="001F6119"/>
    <w:rsid w:val="001F6207"/>
    <w:rsid w:val="001F6226"/>
    <w:rsid w:val="001F623F"/>
    <w:rsid w:val="001F64C9"/>
    <w:rsid w:val="001F6559"/>
    <w:rsid w:val="001F6600"/>
    <w:rsid w:val="001F6619"/>
    <w:rsid w:val="001F674E"/>
    <w:rsid w:val="001F67D4"/>
    <w:rsid w:val="001F69AA"/>
    <w:rsid w:val="001F6B88"/>
    <w:rsid w:val="001F6C94"/>
    <w:rsid w:val="001F6CDD"/>
    <w:rsid w:val="001F6D83"/>
    <w:rsid w:val="001F6E75"/>
    <w:rsid w:val="001F6E9E"/>
    <w:rsid w:val="001F6EEB"/>
    <w:rsid w:val="001F6F69"/>
    <w:rsid w:val="001F6F94"/>
    <w:rsid w:val="001F6FDB"/>
    <w:rsid w:val="001F7006"/>
    <w:rsid w:val="001F7281"/>
    <w:rsid w:val="001F72A5"/>
    <w:rsid w:val="001F72E5"/>
    <w:rsid w:val="001F7404"/>
    <w:rsid w:val="001F7424"/>
    <w:rsid w:val="001F7552"/>
    <w:rsid w:val="001F77CF"/>
    <w:rsid w:val="001F77DD"/>
    <w:rsid w:val="001F784E"/>
    <w:rsid w:val="001F78AB"/>
    <w:rsid w:val="001F79C5"/>
    <w:rsid w:val="001F79F1"/>
    <w:rsid w:val="001F7A02"/>
    <w:rsid w:val="001F7A34"/>
    <w:rsid w:val="001F7CC6"/>
    <w:rsid w:val="002000ED"/>
    <w:rsid w:val="002000F9"/>
    <w:rsid w:val="002000FE"/>
    <w:rsid w:val="00200103"/>
    <w:rsid w:val="00200170"/>
    <w:rsid w:val="00200190"/>
    <w:rsid w:val="0020024B"/>
    <w:rsid w:val="0020037D"/>
    <w:rsid w:val="00200403"/>
    <w:rsid w:val="002004F5"/>
    <w:rsid w:val="002005AD"/>
    <w:rsid w:val="002005BB"/>
    <w:rsid w:val="00200770"/>
    <w:rsid w:val="002007B4"/>
    <w:rsid w:val="002008D3"/>
    <w:rsid w:val="00200954"/>
    <w:rsid w:val="00200970"/>
    <w:rsid w:val="002009B1"/>
    <w:rsid w:val="002009D6"/>
    <w:rsid w:val="00200AAB"/>
    <w:rsid w:val="00200B0F"/>
    <w:rsid w:val="00200B7F"/>
    <w:rsid w:val="00200B8A"/>
    <w:rsid w:val="00200C47"/>
    <w:rsid w:val="00200D3E"/>
    <w:rsid w:val="00200D9B"/>
    <w:rsid w:val="00200DAB"/>
    <w:rsid w:val="00200E05"/>
    <w:rsid w:val="00200E71"/>
    <w:rsid w:val="00200F96"/>
    <w:rsid w:val="00200FB2"/>
    <w:rsid w:val="00201013"/>
    <w:rsid w:val="0020102C"/>
    <w:rsid w:val="002010B8"/>
    <w:rsid w:val="002010FE"/>
    <w:rsid w:val="002011EF"/>
    <w:rsid w:val="0020125C"/>
    <w:rsid w:val="002012DF"/>
    <w:rsid w:val="00201344"/>
    <w:rsid w:val="0020136B"/>
    <w:rsid w:val="00201529"/>
    <w:rsid w:val="00201699"/>
    <w:rsid w:val="002016F0"/>
    <w:rsid w:val="00201705"/>
    <w:rsid w:val="002017A9"/>
    <w:rsid w:val="002017C0"/>
    <w:rsid w:val="00201812"/>
    <w:rsid w:val="00201892"/>
    <w:rsid w:val="00201916"/>
    <w:rsid w:val="00201944"/>
    <w:rsid w:val="00201A46"/>
    <w:rsid w:val="00201A72"/>
    <w:rsid w:val="00201B0E"/>
    <w:rsid w:val="00201B5C"/>
    <w:rsid w:val="00201B7F"/>
    <w:rsid w:val="00201D4B"/>
    <w:rsid w:val="00201DD7"/>
    <w:rsid w:val="00201DEC"/>
    <w:rsid w:val="00201E01"/>
    <w:rsid w:val="00201ECF"/>
    <w:rsid w:val="00202124"/>
    <w:rsid w:val="0020217A"/>
    <w:rsid w:val="00202197"/>
    <w:rsid w:val="0020247C"/>
    <w:rsid w:val="002024BE"/>
    <w:rsid w:val="0020251A"/>
    <w:rsid w:val="00202531"/>
    <w:rsid w:val="002025F6"/>
    <w:rsid w:val="0020261E"/>
    <w:rsid w:val="0020261F"/>
    <w:rsid w:val="002026D2"/>
    <w:rsid w:val="00202797"/>
    <w:rsid w:val="002027E9"/>
    <w:rsid w:val="002028A9"/>
    <w:rsid w:val="002028B5"/>
    <w:rsid w:val="002028FE"/>
    <w:rsid w:val="00202956"/>
    <w:rsid w:val="00202A59"/>
    <w:rsid w:val="00202ABC"/>
    <w:rsid w:val="00202AE2"/>
    <w:rsid w:val="00202AF6"/>
    <w:rsid w:val="00202AFB"/>
    <w:rsid w:val="00202AFF"/>
    <w:rsid w:val="00202B58"/>
    <w:rsid w:val="00202B5D"/>
    <w:rsid w:val="00202B83"/>
    <w:rsid w:val="00202C7C"/>
    <w:rsid w:val="00202D26"/>
    <w:rsid w:val="00202D29"/>
    <w:rsid w:val="00202DBF"/>
    <w:rsid w:val="00202E27"/>
    <w:rsid w:val="00202E8A"/>
    <w:rsid w:val="00202E8E"/>
    <w:rsid w:val="00202E90"/>
    <w:rsid w:val="0020303C"/>
    <w:rsid w:val="002030B3"/>
    <w:rsid w:val="0020313F"/>
    <w:rsid w:val="0020336B"/>
    <w:rsid w:val="002033F5"/>
    <w:rsid w:val="002033FE"/>
    <w:rsid w:val="002034AC"/>
    <w:rsid w:val="00203695"/>
    <w:rsid w:val="0020391C"/>
    <w:rsid w:val="002039F9"/>
    <w:rsid w:val="00203A79"/>
    <w:rsid w:val="00203A9E"/>
    <w:rsid w:val="00203B54"/>
    <w:rsid w:val="00203C26"/>
    <w:rsid w:val="00203D75"/>
    <w:rsid w:val="00203DE3"/>
    <w:rsid w:val="00203E95"/>
    <w:rsid w:val="00203F0B"/>
    <w:rsid w:val="00203FE4"/>
    <w:rsid w:val="00204088"/>
    <w:rsid w:val="002040AB"/>
    <w:rsid w:val="002040E5"/>
    <w:rsid w:val="0020412D"/>
    <w:rsid w:val="002041C3"/>
    <w:rsid w:val="002043A4"/>
    <w:rsid w:val="002044FB"/>
    <w:rsid w:val="00204700"/>
    <w:rsid w:val="0020477F"/>
    <w:rsid w:val="002048E7"/>
    <w:rsid w:val="00204994"/>
    <w:rsid w:val="002049C9"/>
    <w:rsid w:val="002049CA"/>
    <w:rsid w:val="002049CB"/>
    <w:rsid w:val="002049CC"/>
    <w:rsid w:val="00204A06"/>
    <w:rsid w:val="00204A0B"/>
    <w:rsid w:val="00204B41"/>
    <w:rsid w:val="00204C0A"/>
    <w:rsid w:val="00204C16"/>
    <w:rsid w:val="00204CA6"/>
    <w:rsid w:val="00204CF0"/>
    <w:rsid w:val="00204CF1"/>
    <w:rsid w:val="00204E3C"/>
    <w:rsid w:val="00204EE8"/>
    <w:rsid w:val="00204F08"/>
    <w:rsid w:val="002050C4"/>
    <w:rsid w:val="002050F3"/>
    <w:rsid w:val="0020521C"/>
    <w:rsid w:val="0020522B"/>
    <w:rsid w:val="0020535A"/>
    <w:rsid w:val="0020542D"/>
    <w:rsid w:val="0020546F"/>
    <w:rsid w:val="00205505"/>
    <w:rsid w:val="00205518"/>
    <w:rsid w:val="00205550"/>
    <w:rsid w:val="00205687"/>
    <w:rsid w:val="00205692"/>
    <w:rsid w:val="002057BF"/>
    <w:rsid w:val="002058A1"/>
    <w:rsid w:val="002058BE"/>
    <w:rsid w:val="00205999"/>
    <w:rsid w:val="002059C4"/>
    <w:rsid w:val="00205A5C"/>
    <w:rsid w:val="00205A92"/>
    <w:rsid w:val="00205B0E"/>
    <w:rsid w:val="00205B4D"/>
    <w:rsid w:val="00205BDA"/>
    <w:rsid w:val="00205CE8"/>
    <w:rsid w:val="00205D51"/>
    <w:rsid w:val="00205DC7"/>
    <w:rsid w:val="00205E50"/>
    <w:rsid w:val="00205E63"/>
    <w:rsid w:val="00205F36"/>
    <w:rsid w:val="00205F3D"/>
    <w:rsid w:val="002062AF"/>
    <w:rsid w:val="002062E6"/>
    <w:rsid w:val="0020632F"/>
    <w:rsid w:val="002063D7"/>
    <w:rsid w:val="00206431"/>
    <w:rsid w:val="002064E3"/>
    <w:rsid w:val="0020655D"/>
    <w:rsid w:val="00206645"/>
    <w:rsid w:val="00206A36"/>
    <w:rsid w:val="00206A4F"/>
    <w:rsid w:val="00206A8F"/>
    <w:rsid w:val="00206AAD"/>
    <w:rsid w:val="00206ACB"/>
    <w:rsid w:val="00206AD3"/>
    <w:rsid w:val="00206B63"/>
    <w:rsid w:val="00206B71"/>
    <w:rsid w:val="00206CE7"/>
    <w:rsid w:val="00206DAD"/>
    <w:rsid w:val="00206E54"/>
    <w:rsid w:val="00206F40"/>
    <w:rsid w:val="00206F87"/>
    <w:rsid w:val="00206FA3"/>
    <w:rsid w:val="00206FE6"/>
    <w:rsid w:val="00206FFF"/>
    <w:rsid w:val="0020706E"/>
    <w:rsid w:val="0020712D"/>
    <w:rsid w:val="002071CA"/>
    <w:rsid w:val="002072BC"/>
    <w:rsid w:val="00207334"/>
    <w:rsid w:val="0020736F"/>
    <w:rsid w:val="002073FF"/>
    <w:rsid w:val="00207565"/>
    <w:rsid w:val="00207572"/>
    <w:rsid w:val="002075ED"/>
    <w:rsid w:val="00207648"/>
    <w:rsid w:val="0020787D"/>
    <w:rsid w:val="00207922"/>
    <w:rsid w:val="0020792E"/>
    <w:rsid w:val="002079B9"/>
    <w:rsid w:val="00207AD0"/>
    <w:rsid w:val="00207AFA"/>
    <w:rsid w:val="00207DA6"/>
    <w:rsid w:val="00207DDF"/>
    <w:rsid w:val="00207E11"/>
    <w:rsid w:val="00207E3C"/>
    <w:rsid w:val="00207E46"/>
    <w:rsid w:val="00207E7F"/>
    <w:rsid w:val="00207ED0"/>
    <w:rsid w:val="00207ED4"/>
    <w:rsid w:val="00207F8E"/>
    <w:rsid w:val="00207FE0"/>
    <w:rsid w:val="00207FFB"/>
    <w:rsid w:val="00210065"/>
    <w:rsid w:val="00210067"/>
    <w:rsid w:val="002100B4"/>
    <w:rsid w:val="00210182"/>
    <w:rsid w:val="0021030C"/>
    <w:rsid w:val="00210544"/>
    <w:rsid w:val="00210570"/>
    <w:rsid w:val="002105B4"/>
    <w:rsid w:val="0021063F"/>
    <w:rsid w:val="00210648"/>
    <w:rsid w:val="00210683"/>
    <w:rsid w:val="002107CF"/>
    <w:rsid w:val="0021081C"/>
    <w:rsid w:val="002108FE"/>
    <w:rsid w:val="00210967"/>
    <w:rsid w:val="00210A14"/>
    <w:rsid w:val="00210ADE"/>
    <w:rsid w:val="00210BD1"/>
    <w:rsid w:val="00210CBB"/>
    <w:rsid w:val="00210CD1"/>
    <w:rsid w:val="00210D29"/>
    <w:rsid w:val="00210DC2"/>
    <w:rsid w:val="00210DE5"/>
    <w:rsid w:val="00210E9A"/>
    <w:rsid w:val="00210FC6"/>
    <w:rsid w:val="00211009"/>
    <w:rsid w:val="00211120"/>
    <w:rsid w:val="00211178"/>
    <w:rsid w:val="002112CB"/>
    <w:rsid w:val="002113B1"/>
    <w:rsid w:val="0021144B"/>
    <w:rsid w:val="0021148C"/>
    <w:rsid w:val="00211645"/>
    <w:rsid w:val="00211696"/>
    <w:rsid w:val="002117BF"/>
    <w:rsid w:val="0021189B"/>
    <w:rsid w:val="002118B3"/>
    <w:rsid w:val="00211B26"/>
    <w:rsid w:val="00211B2D"/>
    <w:rsid w:val="00211B35"/>
    <w:rsid w:val="00211BDE"/>
    <w:rsid w:val="00211D81"/>
    <w:rsid w:val="00211D9E"/>
    <w:rsid w:val="00211DBC"/>
    <w:rsid w:val="00211EE6"/>
    <w:rsid w:val="00211F0B"/>
    <w:rsid w:val="0021206C"/>
    <w:rsid w:val="002121E7"/>
    <w:rsid w:val="002122C6"/>
    <w:rsid w:val="002122DC"/>
    <w:rsid w:val="002123AC"/>
    <w:rsid w:val="002123DD"/>
    <w:rsid w:val="00212404"/>
    <w:rsid w:val="00212557"/>
    <w:rsid w:val="002125B9"/>
    <w:rsid w:val="002125DE"/>
    <w:rsid w:val="0021266F"/>
    <w:rsid w:val="00212689"/>
    <w:rsid w:val="002126E0"/>
    <w:rsid w:val="00212702"/>
    <w:rsid w:val="0021277B"/>
    <w:rsid w:val="002127FD"/>
    <w:rsid w:val="00212839"/>
    <w:rsid w:val="002128BB"/>
    <w:rsid w:val="00212952"/>
    <w:rsid w:val="00212A5B"/>
    <w:rsid w:val="00212AA9"/>
    <w:rsid w:val="00212B49"/>
    <w:rsid w:val="00212BC0"/>
    <w:rsid w:val="00212BD8"/>
    <w:rsid w:val="00212D27"/>
    <w:rsid w:val="00212DC6"/>
    <w:rsid w:val="00212E49"/>
    <w:rsid w:val="00212E72"/>
    <w:rsid w:val="00212EC1"/>
    <w:rsid w:val="00212FFB"/>
    <w:rsid w:val="00213086"/>
    <w:rsid w:val="0021316B"/>
    <w:rsid w:val="00213284"/>
    <w:rsid w:val="002133F0"/>
    <w:rsid w:val="00213463"/>
    <w:rsid w:val="00213498"/>
    <w:rsid w:val="002134C4"/>
    <w:rsid w:val="0021356F"/>
    <w:rsid w:val="00213605"/>
    <w:rsid w:val="002137BC"/>
    <w:rsid w:val="00213833"/>
    <w:rsid w:val="00213880"/>
    <w:rsid w:val="0021389F"/>
    <w:rsid w:val="00213941"/>
    <w:rsid w:val="00213BD1"/>
    <w:rsid w:val="00213C90"/>
    <w:rsid w:val="00213EC3"/>
    <w:rsid w:val="00213F20"/>
    <w:rsid w:val="00213F8B"/>
    <w:rsid w:val="00213F92"/>
    <w:rsid w:val="00213FAF"/>
    <w:rsid w:val="00213FE8"/>
    <w:rsid w:val="00214076"/>
    <w:rsid w:val="002140BC"/>
    <w:rsid w:val="002141C2"/>
    <w:rsid w:val="0021426B"/>
    <w:rsid w:val="0021436C"/>
    <w:rsid w:val="00214466"/>
    <w:rsid w:val="0021452B"/>
    <w:rsid w:val="00214580"/>
    <w:rsid w:val="002146C5"/>
    <w:rsid w:val="002146D1"/>
    <w:rsid w:val="00214722"/>
    <w:rsid w:val="00214725"/>
    <w:rsid w:val="0021497A"/>
    <w:rsid w:val="00214A44"/>
    <w:rsid w:val="00214B02"/>
    <w:rsid w:val="00214CE1"/>
    <w:rsid w:val="00214D26"/>
    <w:rsid w:val="00214D67"/>
    <w:rsid w:val="00214D84"/>
    <w:rsid w:val="00214DEE"/>
    <w:rsid w:val="00214DF6"/>
    <w:rsid w:val="00214F02"/>
    <w:rsid w:val="00214F36"/>
    <w:rsid w:val="00214FEE"/>
    <w:rsid w:val="00215039"/>
    <w:rsid w:val="0021504F"/>
    <w:rsid w:val="00215153"/>
    <w:rsid w:val="00215197"/>
    <w:rsid w:val="002151BD"/>
    <w:rsid w:val="00215302"/>
    <w:rsid w:val="00215306"/>
    <w:rsid w:val="00215342"/>
    <w:rsid w:val="00215347"/>
    <w:rsid w:val="00215376"/>
    <w:rsid w:val="00215558"/>
    <w:rsid w:val="00215650"/>
    <w:rsid w:val="00215742"/>
    <w:rsid w:val="00215821"/>
    <w:rsid w:val="002158A5"/>
    <w:rsid w:val="00215922"/>
    <w:rsid w:val="00215935"/>
    <w:rsid w:val="00215947"/>
    <w:rsid w:val="00215987"/>
    <w:rsid w:val="00215A33"/>
    <w:rsid w:val="00215A6D"/>
    <w:rsid w:val="00215BC8"/>
    <w:rsid w:val="00215DA1"/>
    <w:rsid w:val="00215DD9"/>
    <w:rsid w:val="00215E75"/>
    <w:rsid w:val="00215E86"/>
    <w:rsid w:val="00215F67"/>
    <w:rsid w:val="00215F8E"/>
    <w:rsid w:val="00216026"/>
    <w:rsid w:val="00216105"/>
    <w:rsid w:val="00216164"/>
    <w:rsid w:val="002161C9"/>
    <w:rsid w:val="002161E3"/>
    <w:rsid w:val="00216267"/>
    <w:rsid w:val="002162F6"/>
    <w:rsid w:val="00216322"/>
    <w:rsid w:val="00216328"/>
    <w:rsid w:val="0021636A"/>
    <w:rsid w:val="00216493"/>
    <w:rsid w:val="002164C4"/>
    <w:rsid w:val="0021651B"/>
    <w:rsid w:val="00216542"/>
    <w:rsid w:val="002165CA"/>
    <w:rsid w:val="00216627"/>
    <w:rsid w:val="0021662E"/>
    <w:rsid w:val="002166B9"/>
    <w:rsid w:val="002166BF"/>
    <w:rsid w:val="002166C5"/>
    <w:rsid w:val="0021685D"/>
    <w:rsid w:val="00216A66"/>
    <w:rsid w:val="00216B52"/>
    <w:rsid w:val="00216BE9"/>
    <w:rsid w:val="00216DE6"/>
    <w:rsid w:val="00216EEB"/>
    <w:rsid w:val="00216F37"/>
    <w:rsid w:val="0021707C"/>
    <w:rsid w:val="00217152"/>
    <w:rsid w:val="0021719E"/>
    <w:rsid w:val="002171FA"/>
    <w:rsid w:val="00217211"/>
    <w:rsid w:val="0021741E"/>
    <w:rsid w:val="00217488"/>
    <w:rsid w:val="002174EB"/>
    <w:rsid w:val="00217503"/>
    <w:rsid w:val="00217648"/>
    <w:rsid w:val="0021769F"/>
    <w:rsid w:val="0021772D"/>
    <w:rsid w:val="002179F6"/>
    <w:rsid w:val="00217AD2"/>
    <w:rsid w:val="00217C56"/>
    <w:rsid w:val="00217D01"/>
    <w:rsid w:val="00217D72"/>
    <w:rsid w:val="00217DD5"/>
    <w:rsid w:val="00217DE5"/>
    <w:rsid w:val="0022005C"/>
    <w:rsid w:val="00220090"/>
    <w:rsid w:val="00220103"/>
    <w:rsid w:val="00220105"/>
    <w:rsid w:val="00220220"/>
    <w:rsid w:val="00220245"/>
    <w:rsid w:val="00220296"/>
    <w:rsid w:val="002202B3"/>
    <w:rsid w:val="002202BC"/>
    <w:rsid w:val="0022032A"/>
    <w:rsid w:val="00220366"/>
    <w:rsid w:val="00220381"/>
    <w:rsid w:val="002204B6"/>
    <w:rsid w:val="0022051D"/>
    <w:rsid w:val="0022054F"/>
    <w:rsid w:val="00220578"/>
    <w:rsid w:val="0022061C"/>
    <w:rsid w:val="002206D3"/>
    <w:rsid w:val="002208B2"/>
    <w:rsid w:val="002208FD"/>
    <w:rsid w:val="002209CE"/>
    <w:rsid w:val="002209DE"/>
    <w:rsid w:val="00220A10"/>
    <w:rsid w:val="00220B56"/>
    <w:rsid w:val="00220B5D"/>
    <w:rsid w:val="00220C05"/>
    <w:rsid w:val="00220C4F"/>
    <w:rsid w:val="00220CDE"/>
    <w:rsid w:val="00220DA3"/>
    <w:rsid w:val="00220E42"/>
    <w:rsid w:val="00220EAD"/>
    <w:rsid w:val="00220EEE"/>
    <w:rsid w:val="00220FD7"/>
    <w:rsid w:val="00220FE5"/>
    <w:rsid w:val="00220FED"/>
    <w:rsid w:val="0022118D"/>
    <w:rsid w:val="0022119F"/>
    <w:rsid w:val="00221263"/>
    <w:rsid w:val="0022129D"/>
    <w:rsid w:val="002213D9"/>
    <w:rsid w:val="002214CF"/>
    <w:rsid w:val="002214EE"/>
    <w:rsid w:val="0022152B"/>
    <w:rsid w:val="002216A4"/>
    <w:rsid w:val="002216B9"/>
    <w:rsid w:val="00221703"/>
    <w:rsid w:val="0022188B"/>
    <w:rsid w:val="00221899"/>
    <w:rsid w:val="00221927"/>
    <w:rsid w:val="00221B6F"/>
    <w:rsid w:val="00221C13"/>
    <w:rsid w:val="00221C2C"/>
    <w:rsid w:val="00221C6B"/>
    <w:rsid w:val="00221CB0"/>
    <w:rsid w:val="00221CCF"/>
    <w:rsid w:val="00221D17"/>
    <w:rsid w:val="00221D62"/>
    <w:rsid w:val="00221D72"/>
    <w:rsid w:val="00221DCB"/>
    <w:rsid w:val="00221E84"/>
    <w:rsid w:val="00221FC6"/>
    <w:rsid w:val="00222015"/>
    <w:rsid w:val="002220DC"/>
    <w:rsid w:val="002220DD"/>
    <w:rsid w:val="002221F9"/>
    <w:rsid w:val="0022220B"/>
    <w:rsid w:val="00222298"/>
    <w:rsid w:val="00222371"/>
    <w:rsid w:val="00222380"/>
    <w:rsid w:val="00222424"/>
    <w:rsid w:val="002225B5"/>
    <w:rsid w:val="002225E4"/>
    <w:rsid w:val="002225F3"/>
    <w:rsid w:val="002226C5"/>
    <w:rsid w:val="002226D0"/>
    <w:rsid w:val="00222700"/>
    <w:rsid w:val="00222771"/>
    <w:rsid w:val="00222C14"/>
    <w:rsid w:val="00222C2B"/>
    <w:rsid w:val="00222C4A"/>
    <w:rsid w:val="00222C8B"/>
    <w:rsid w:val="00222C9D"/>
    <w:rsid w:val="00222CC2"/>
    <w:rsid w:val="00222CF2"/>
    <w:rsid w:val="00222DC0"/>
    <w:rsid w:val="00222E08"/>
    <w:rsid w:val="00222E54"/>
    <w:rsid w:val="00222EB1"/>
    <w:rsid w:val="00222F81"/>
    <w:rsid w:val="00222FCC"/>
    <w:rsid w:val="0022300A"/>
    <w:rsid w:val="0022301A"/>
    <w:rsid w:val="002230A1"/>
    <w:rsid w:val="0022314C"/>
    <w:rsid w:val="00223150"/>
    <w:rsid w:val="002231FA"/>
    <w:rsid w:val="002232D1"/>
    <w:rsid w:val="00223347"/>
    <w:rsid w:val="00223590"/>
    <w:rsid w:val="0022363D"/>
    <w:rsid w:val="00223658"/>
    <w:rsid w:val="002236AA"/>
    <w:rsid w:val="002236D6"/>
    <w:rsid w:val="00223702"/>
    <w:rsid w:val="00223709"/>
    <w:rsid w:val="0022370C"/>
    <w:rsid w:val="002237C0"/>
    <w:rsid w:val="00223859"/>
    <w:rsid w:val="0022386F"/>
    <w:rsid w:val="002238AA"/>
    <w:rsid w:val="0022391F"/>
    <w:rsid w:val="00223934"/>
    <w:rsid w:val="00223A38"/>
    <w:rsid w:val="00223A98"/>
    <w:rsid w:val="00223B27"/>
    <w:rsid w:val="00223B7C"/>
    <w:rsid w:val="00223B92"/>
    <w:rsid w:val="00223C02"/>
    <w:rsid w:val="00223CE8"/>
    <w:rsid w:val="00223CEE"/>
    <w:rsid w:val="00223DA4"/>
    <w:rsid w:val="00223E75"/>
    <w:rsid w:val="00224006"/>
    <w:rsid w:val="0022403F"/>
    <w:rsid w:val="002240A0"/>
    <w:rsid w:val="0022410A"/>
    <w:rsid w:val="00224247"/>
    <w:rsid w:val="00224250"/>
    <w:rsid w:val="002242B4"/>
    <w:rsid w:val="002242E6"/>
    <w:rsid w:val="0022449B"/>
    <w:rsid w:val="002244E5"/>
    <w:rsid w:val="0022454B"/>
    <w:rsid w:val="00224555"/>
    <w:rsid w:val="0022455E"/>
    <w:rsid w:val="00224577"/>
    <w:rsid w:val="00224579"/>
    <w:rsid w:val="00224619"/>
    <w:rsid w:val="00224646"/>
    <w:rsid w:val="00224663"/>
    <w:rsid w:val="002246BF"/>
    <w:rsid w:val="002246E8"/>
    <w:rsid w:val="00224776"/>
    <w:rsid w:val="002249A1"/>
    <w:rsid w:val="00224A94"/>
    <w:rsid w:val="00224AE3"/>
    <w:rsid w:val="00224B6F"/>
    <w:rsid w:val="00224B9F"/>
    <w:rsid w:val="00224CA4"/>
    <w:rsid w:val="00224E33"/>
    <w:rsid w:val="00224E41"/>
    <w:rsid w:val="00224E80"/>
    <w:rsid w:val="00224EA8"/>
    <w:rsid w:val="00224EB3"/>
    <w:rsid w:val="00224ECD"/>
    <w:rsid w:val="00225107"/>
    <w:rsid w:val="00225179"/>
    <w:rsid w:val="002252E5"/>
    <w:rsid w:val="002252F0"/>
    <w:rsid w:val="0022531B"/>
    <w:rsid w:val="002253F6"/>
    <w:rsid w:val="002253F8"/>
    <w:rsid w:val="00225423"/>
    <w:rsid w:val="00225471"/>
    <w:rsid w:val="002254B9"/>
    <w:rsid w:val="002254BB"/>
    <w:rsid w:val="00225583"/>
    <w:rsid w:val="00225681"/>
    <w:rsid w:val="002256D1"/>
    <w:rsid w:val="00225720"/>
    <w:rsid w:val="0022594D"/>
    <w:rsid w:val="00225A1B"/>
    <w:rsid w:val="00225A9F"/>
    <w:rsid w:val="00225ACD"/>
    <w:rsid w:val="00225B77"/>
    <w:rsid w:val="00225C74"/>
    <w:rsid w:val="00225D72"/>
    <w:rsid w:val="00225DE4"/>
    <w:rsid w:val="00225E55"/>
    <w:rsid w:val="00225F0D"/>
    <w:rsid w:val="00225F85"/>
    <w:rsid w:val="00225FA8"/>
    <w:rsid w:val="00225FB1"/>
    <w:rsid w:val="0022618C"/>
    <w:rsid w:val="002261AF"/>
    <w:rsid w:val="002261D3"/>
    <w:rsid w:val="0022629A"/>
    <w:rsid w:val="002263CE"/>
    <w:rsid w:val="002263DD"/>
    <w:rsid w:val="00226588"/>
    <w:rsid w:val="0022658B"/>
    <w:rsid w:val="002265D8"/>
    <w:rsid w:val="00226693"/>
    <w:rsid w:val="002266B6"/>
    <w:rsid w:val="002266E1"/>
    <w:rsid w:val="002267A4"/>
    <w:rsid w:val="002267B6"/>
    <w:rsid w:val="002267B7"/>
    <w:rsid w:val="002267D2"/>
    <w:rsid w:val="00226887"/>
    <w:rsid w:val="002268E4"/>
    <w:rsid w:val="00226935"/>
    <w:rsid w:val="00226AB5"/>
    <w:rsid w:val="00226B0F"/>
    <w:rsid w:val="00226B34"/>
    <w:rsid w:val="00226C27"/>
    <w:rsid w:val="00226E04"/>
    <w:rsid w:val="00226E2E"/>
    <w:rsid w:val="00226EF6"/>
    <w:rsid w:val="00226F1F"/>
    <w:rsid w:val="00226F5F"/>
    <w:rsid w:val="00226FA4"/>
    <w:rsid w:val="00226FAE"/>
    <w:rsid w:val="00227011"/>
    <w:rsid w:val="002270C0"/>
    <w:rsid w:val="002271C4"/>
    <w:rsid w:val="002271D0"/>
    <w:rsid w:val="002271FF"/>
    <w:rsid w:val="00227235"/>
    <w:rsid w:val="002272B8"/>
    <w:rsid w:val="00227301"/>
    <w:rsid w:val="00227331"/>
    <w:rsid w:val="002273CF"/>
    <w:rsid w:val="00227422"/>
    <w:rsid w:val="00227450"/>
    <w:rsid w:val="00227549"/>
    <w:rsid w:val="00227626"/>
    <w:rsid w:val="00227641"/>
    <w:rsid w:val="002276E7"/>
    <w:rsid w:val="002276EF"/>
    <w:rsid w:val="00227716"/>
    <w:rsid w:val="002278F7"/>
    <w:rsid w:val="00227BA4"/>
    <w:rsid w:val="00227CE2"/>
    <w:rsid w:val="00227D4F"/>
    <w:rsid w:val="00227D72"/>
    <w:rsid w:val="00227DF9"/>
    <w:rsid w:val="00227E77"/>
    <w:rsid w:val="00227EBF"/>
    <w:rsid w:val="00227FC2"/>
    <w:rsid w:val="00227FF4"/>
    <w:rsid w:val="0023001E"/>
    <w:rsid w:val="00230071"/>
    <w:rsid w:val="0023028D"/>
    <w:rsid w:val="00230305"/>
    <w:rsid w:val="00230485"/>
    <w:rsid w:val="00230519"/>
    <w:rsid w:val="00230545"/>
    <w:rsid w:val="0023065E"/>
    <w:rsid w:val="0023069C"/>
    <w:rsid w:val="00230778"/>
    <w:rsid w:val="002307D4"/>
    <w:rsid w:val="002309C3"/>
    <w:rsid w:val="002309E1"/>
    <w:rsid w:val="00230A0D"/>
    <w:rsid w:val="00230A3E"/>
    <w:rsid w:val="00230A61"/>
    <w:rsid w:val="00230B55"/>
    <w:rsid w:val="00230C18"/>
    <w:rsid w:val="00230C8E"/>
    <w:rsid w:val="00230D50"/>
    <w:rsid w:val="00230DD5"/>
    <w:rsid w:val="00230E79"/>
    <w:rsid w:val="00230EE7"/>
    <w:rsid w:val="00230FF1"/>
    <w:rsid w:val="0023117A"/>
    <w:rsid w:val="002312ED"/>
    <w:rsid w:val="0023130D"/>
    <w:rsid w:val="002313E1"/>
    <w:rsid w:val="002313E4"/>
    <w:rsid w:val="0023146B"/>
    <w:rsid w:val="002315DC"/>
    <w:rsid w:val="002316A3"/>
    <w:rsid w:val="00231730"/>
    <w:rsid w:val="00231760"/>
    <w:rsid w:val="002317D9"/>
    <w:rsid w:val="002317DE"/>
    <w:rsid w:val="0023186D"/>
    <w:rsid w:val="0023189C"/>
    <w:rsid w:val="0023190D"/>
    <w:rsid w:val="00231952"/>
    <w:rsid w:val="002319BE"/>
    <w:rsid w:val="00231A0C"/>
    <w:rsid w:val="00231A4F"/>
    <w:rsid w:val="00231A7A"/>
    <w:rsid w:val="00231B7D"/>
    <w:rsid w:val="00231CF5"/>
    <w:rsid w:val="00231E1B"/>
    <w:rsid w:val="00231EF1"/>
    <w:rsid w:val="00231F29"/>
    <w:rsid w:val="00231F54"/>
    <w:rsid w:val="00231FA1"/>
    <w:rsid w:val="00231FE9"/>
    <w:rsid w:val="0023215C"/>
    <w:rsid w:val="00232208"/>
    <w:rsid w:val="002322F5"/>
    <w:rsid w:val="002322FA"/>
    <w:rsid w:val="00232343"/>
    <w:rsid w:val="00232370"/>
    <w:rsid w:val="00232379"/>
    <w:rsid w:val="002323AE"/>
    <w:rsid w:val="00232463"/>
    <w:rsid w:val="002324DE"/>
    <w:rsid w:val="00232508"/>
    <w:rsid w:val="002325D1"/>
    <w:rsid w:val="00232694"/>
    <w:rsid w:val="002326BB"/>
    <w:rsid w:val="00232796"/>
    <w:rsid w:val="00232837"/>
    <w:rsid w:val="002328B1"/>
    <w:rsid w:val="0023294E"/>
    <w:rsid w:val="00232A1B"/>
    <w:rsid w:val="00232A49"/>
    <w:rsid w:val="00232B2E"/>
    <w:rsid w:val="00232BE1"/>
    <w:rsid w:val="00232C84"/>
    <w:rsid w:val="00232CF4"/>
    <w:rsid w:val="00232E92"/>
    <w:rsid w:val="00232EC2"/>
    <w:rsid w:val="00232F74"/>
    <w:rsid w:val="00232F9B"/>
    <w:rsid w:val="00232FA1"/>
    <w:rsid w:val="0023304D"/>
    <w:rsid w:val="00233239"/>
    <w:rsid w:val="0023326C"/>
    <w:rsid w:val="002332C0"/>
    <w:rsid w:val="002332FD"/>
    <w:rsid w:val="00233304"/>
    <w:rsid w:val="00233423"/>
    <w:rsid w:val="00233548"/>
    <w:rsid w:val="0023359B"/>
    <w:rsid w:val="0023366A"/>
    <w:rsid w:val="002336AB"/>
    <w:rsid w:val="002336B9"/>
    <w:rsid w:val="002337C8"/>
    <w:rsid w:val="0023382A"/>
    <w:rsid w:val="00233834"/>
    <w:rsid w:val="002339A0"/>
    <w:rsid w:val="00233A0D"/>
    <w:rsid w:val="00233A78"/>
    <w:rsid w:val="00233B0C"/>
    <w:rsid w:val="00233B36"/>
    <w:rsid w:val="00233C71"/>
    <w:rsid w:val="00233C8B"/>
    <w:rsid w:val="00233CE3"/>
    <w:rsid w:val="00233D3A"/>
    <w:rsid w:val="00233E90"/>
    <w:rsid w:val="00233F29"/>
    <w:rsid w:val="002340D0"/>
    <w:rsid w:val="00234267"/>
    <w:rsid w:val="00234301"/>
    <w:rsid w:val="00234399"/>
    <w:rsid w:val="002343A1"/>
    <w:rsid w:val="002343B5"/>
    <w:rsid w:val="00234467"/>
    <w:rsid w:val="00234469"/>
    <w:rsid w:val="002344CE"/>
    <w:rsid w:val="00234683"/>
    <w:rsid w:val="00234703"/>
    <w:rsid w:val="00234766"/>
    <w:rsid w:val="00234877"/>
    <w:rsid w:val="002348BD"/>
    <w:rsid w:val="002348C3"/>
    <w:rsid w:val="002348E0"/>
    <w:rsid w:val="002349C9"/>
    <w:rsid w:val="00234AEC"/>
    <w:rsid w:val="00234B50"/>
    <w:rsid w:val="00234BE9"/>
    <w:rsid w:val="00234C5E"/>
    <w:rsid w:val="00234CF8"/>
    <w:rsid w:val="00234E33"/>
    <w:rsid w:val="00234E5E"/>
    <w:rsid w:val="00234E70"/>
    <w:rsid w:val="00234F11"/>
    <w:rsid w:val="00234F56"/>
    <w:rsid w:val="00235019"/>
    <w:rsid w:val="0023511A"/>
    <w:rsid w:val="002351D6"/>
    <w:rsid w:val="0023522D"/>
    <w:rsid w:val="002352E6"/>
    <w:rsid w:val="00235347"/>
    <w:rsid w:val="00235381"/>
    <w:rsid w:val="002354A1"/>
    <w:rsid w:val="002354FA"/>
    <w:rsid w:val="0023554B"/>
    <w:rsid w:val="002355AA"/>
    <w:rsid w:val="002355BD"/>
    <w:rsid w:val="0023564C"/>
    <w:rsid w:val="00235681"/>
    <w:rsid w:val="002356F6"/>
    <w:rsid w:val="00235703"/>
    <w:rsid w:val="00235819"/>
    <w:rsid w:val="00235993"/>
    <w:rsid w:val="00235A2A"/>
    <w:rsid w:val="00235A7D"/>
    <w:rsid w:val="00235A94"/>
    <w:rsid w:val="00235AA6"/>
    <w:rsid w:val="00235AED"/>
    <w:rsid w:val="00235BDC"/>
    <w:rsid w:val="00235C1F"/>
    <w:rsid w:val="00235CB7"/>
    <w:rsid w:val="00235CD1"/>
    <w:rsid w:val="00235CFD"/>
    <w:rsid w:val="00235E11"/>
    <w:rsid w:val="00235ED2"/>
    <w:rsid w:val="00235F48"/>
    <w:rsid w:val="00236034"/>
    <w:rsid w:val="00236178"/>
    <w:rsid w:val="00236240"/>
    <w:rsid w:val="00236269"/>
    <w:rsid w:val="0023630D"/>
    <w:rsid w:val="0023631C"/>
    <w:rsid w:val="00236365"/>
    <w:rsid w:val="00236506"/>
    <w:rsid w:val="00236560"/>
    <w:rsid w:val="0023660D"/>
    <w:rsid w:val="00236616"/>
    <w:rsid w:val="0023686C"/>
    <w:rsid w:val="002368CE"/>
    <w:rsid w:val="0023692F"/>
    <w:rsid w:val="00236A93"/>
    <w:rsid w:val="00236AB9"/>
    <w:rsid w:val="00236AE6"/>
    <w:rsid w:val="00236B48"/>
    <w:rsid w:val="00236B6C"/>
    <w:rsid w:val="00236B76"/>
    <w:rsid w:val="00236BB6"/>
    <w:rsid w:val="00236D87"/>
    <w:rsid w:val="00236DFD"/>
    <w:rsid w:val="00236E1A"/>
    <w:rsid w:val="00236E76"/>
    <w:rsid w:val="00236EF9"/>
    <w:rsid w:val="00236F6A"/>
    <w:rsid w:val="0023711D"/>
    <w:rsid w:val="0023723B"/>
    <w:rsid w:val="0023728C"/>
    <w:rsid w:val="00237321"/>
    <w:rsid w:val="002373AD"/>
    <w:rsid w:val="0023741B"/>
    <w:rsid w:val="00237467"/>
    <w:rsid w:val="002374B7"/>
    <w:rsid w:val="0023764B"/>
    <w:rsid w:val="0023765D"/>
    <w:rsid w:val="0023767C"/>
    <w:rsid w:val="0023769D"/>
    <w:rsid w:val="002376B4"/>
    <w:rsid w:val="00237813"/>
    <w:rsid w:val="00237857"/>
    <w:rsid w:val="00237866"/>
    <w:rsid w:val="0023793E"/>
    <w:rsid w:val="00237A77"/>
    <w:rsid w:val="00237B4D"/>
    <w:rsid w:val="00237B6F"/>
    <w:rsid w:val="00237BE1"/>
    <w:rsid w:val="00237C2E"/>
    <w:rsid w:val="00237C98"/>
    <w:rsid w:val="00237D4F"/>
    <w:rsid w:val="00237DF5"/>
    <w:rsid w:val="00237F26"/>
    <w:rsid w:val="00237F68"/>
    <w:rsid w:val="00237F7F"/>
    <w:rsid w:val="00237FF9"/>
    <w:rsid w:val="00240000"/>
    <w:rsid w:val="00240055"/>
    <w:rsid w:val="0024006B"/>
    <w:rsid w:val="002400A3"/>
    <w:rsid w:val="00240115"/>
    <w:rsid w:val="0024019F"/>
    <w:rsid w:val="002402DC"/>
    <w:rsid w:val="002402EC"/>
    <w:rsid w:val="002403E8"/>
    <w:rsid w:val="002405E4"/>
    <w:rsid w:val="002405F5"/>
    <w:rsid w:val="002406F3"/>
    <w:rsid w:val="0024076F"/>
    <w:rsid w:val="002407DC"/>
    <w:rsid w:val="002408EE"/>
    <w:rsid w:val="002409C0"/>
    <w:rsid w:val="00240A60"/>
    <w:rsid w:val="00240A66"/>
    <w:rsid w:val="00240B00"/>
    <w:rsid w:val="00240B51"/>
    <w:rsid w:val="00240BA3"/>
    <w:rsid w:val="00240D55"/>
    <w:rsid w:val="00240E61"/>
    <w:rsid w:val="00240E85"/>
    <w:rsid w:val="00240F4D"/>
    <w:rsid w:val="00240FE5"/>
    <w:rsid w:val="00240FF0"/>
    <w:rsid w:val="00241136"/>
    <w:rsid w:val="002411C2"/>
    <w:rsid w:val="00241262"/>
    <w:rsid w:val="002412CB"/>
    <w:rsid w:val="002413DC"/>
    <w:rsid w:val="002414B1"/>
    <w:rsid w:val="00241507"/>
    <w:rsid w:val="002415C4"/>
    <w:rsid w:val="0024168C"/>
    <w:rsid w:val="002416BB"/>
    <w:rsid w:val="002416FF"/>
    <w:rsid w:val="00241717"/>
    <w:rsid w:val="00241719"/>
    <w:rsid w:val="0024174F"/>
    <w:rsid w:val="00241803"/>
    <w:rsid w:val="00241840"/>
    <w:rsid w:val="00241859"/>
    <w:rsid w:val="002418AE"/>
    <w:rsid w:val="00241953"/>
    <w:rsid w:val="0024195A"/>
    <w:rsid w:val="00241974"/>
    <w:rsid w:val="002419A9"/>
    <w:rsid w:val="00241A06"/>
    <w:rsid w:val="00241A28"/>
    <w:rsid w:val="00241B98"/>
    <w:rsid w:val="00241C1F"/>
    <w:rsid w:val="00241C40"/>
    <w:rsid w:val="00241CCD"/>
    <w:rsid w:val="00241E64"/>
    <w:rsid w:val="00241EB5"/>
    <w:rsid w:val="00241EC9"/>
    <w:rsid w:val="00241F97"/>
    <w:rsid w:val="00241FB1"/>
    <w:rsid w:val="0024204C"/>
    <w:rsid w:val="00242184"/>
    <w:rsid w:val="002421C0"/>
    <w:rsid w:val="0024234C"/>
    <w:rsid w:val="0024237A"/>
    <w:rsid w:val="0024241C"/>
    <w:rsid w:val="0024244E"/>
    <w:rsid w:val="00242454"/>
    <w:rsid w:val="00242487"/>
    <w:rsid w:val="00242492"/>
    <w:rsid w:val="0024251A"/>
    <w:rsid w:val="0024256D"/>
    <w:rsid w:val="002425AC"/>
    <w:rsid w:val="00242726"/>
    <w:rsid w:val="002427A0"/>
    <w:rsid w:val="002427EA"/>
    <w:rsid w:val="00242886"/>
    <w:rsid w:val="00242921"/>
    <w:rsid w:val="0024299D"/>
    <w:rsid w:val="002429DD"/>
    <w:rsid w:val="00242CD0"/>
    <w:rsid w:val="00242D2A"/>
    <w:rsid w:val="00242DC8"/>
    <w:rsid w:val="00242E46"/>
    <w:rsid w:val="00242FE1"/>
    <w:rsid w:val="0024305D"/>
    <w:rsid w:val="002430BD"/>
    <w:rsid w:val="002430E1"/>
    <w:rsid w:val="002431A8"/>
    <w:rsid w:val="002431F6"/>
    <w:rsid w:val="00243225"/>
    <w:rsid w:val="00243296"/>
    <w:rsid w:val="00243348"/>
    <w:rsid w:val="0024337F"/>
    <w:rsid w:val="0024344E"/>
    <w:rsid w:val="00243546"/>
    <w:rsid w:val="002435CD"/>
    <w:rsid w:val="002435E9"/>
    <w:rsid w:val="002435FE"/>
    <w:rsid w:val="00243603"/>
    <w:rsid w:val="00243731"/>
    <w:rsid w:val="00243821"/>
    <w:rsid w:val="00243844"/>
    <w:rsid w:val="0024386C"/>
    <w:rsid w:val="002438A0"/>
    <w:rsid w:val="002439E4"/>
    <w:rsid w:val="00243A46"/>
    <w:rsid w:val="00243A66"/>
    <w:rsid w:val="00243AC3"/>
    <w:rsid w:val="00243BDC"/>
    <w:rsid w:val="00243C1F"/>
    <w:rsid w:val="00243C43"/>
    <w:rsid w:val="00243C61"/>
    <w:rsid w:val="00243E12"/>
    <w:rsid w:val="00243E3D"/>
    <w:rsid w:val="00243E58"/>
    <w:rsid w:val="00243E5A"/>
    <w:rsid w:val="00243EC6"/>
    <w:rsid w:val="00243EF7"/>
    <w:rsid w:val="00243FDC"/>
    <w:rsid w:val="00244048"/>
    <w:rsid w:val="0024413B"/>
    <w:rsid w:val="00244272"/>
    <w:rsid w:val="00244361"/>
    <w:rsid w:val="0024436A"/>
    <w:rsid w:val="002443C2"/>
    <w:rsid w:val="0024441A"/>
    <w:rsid w:val="0024458E"/>
    <w:rsid w:val="0024465C"/>
    <w:rsid w:val="002446C3"/>
    <w:rsid w:val="002446D7"/>
    <w:rsid w:val="00244913"/>
    <w:rsid w:val="002449D0"/>
    <w:rsid w:val="00244A36"/>
    <w:rsid w:val="00244C9F"/>
    <w:rsid w:val="00244D51"/>
    <w:rsid w:val="00244D86"/>
    <w:rsid w:val="00244DC2"/>
    <w:rsid w:val="00244DE8"/>
    <w:rsid w:val="00244E1D"/>
    <w:rsid w:val="00244E9E"/>
    <w:rsid w:val="00244F3E"/>
    <w:rsid w:val="00244F6E"/>
    <w:rsid w:val="0024515D"/>
    <w:rsid w:val="00245193"/>
    <w:rsid w:val="00245254"/>
    <w:rsid w:val="002452B5"/>
    <w:rsid w:val="00245360"/>
    <w:rsid w:val="002453B6"/>
    <w:rsid w:val="00245480"/>
    <w:rsid w:val="002454B4"/>
    <w:rsid w:val="00245504"/>
    <w:rsid w:val="002455F9"/>
    <w:rsid w:val="002456E7"/>
    <w:rsid w:val="00245720"/>
    <w:rsid w:val="00245747"/>
    <w:rsid w:val="00245763"/>
    <w:rsid w:val="0024577F"/>
    <w:rsid w:val="002459CE"/>
    <w:rsid w:val="00245A41"/>
    <w:rsid w:val="00245A8D"/>
    <w:rsid w:val="00245B00"/>
    <w:rsid w:val="00245B89"/>
    <w:rsid w:val="00245C91"/>
    <w:rsid w:val="00245D4F"/>
    <w:rsid w:val="00245DB8"/>
    <w:rsid w:val="00245DFB"/>
    <w:rsid w:val="00245E40"/>
    <w:rsid w:val="00245E9A"/>
    <w:rsid w:val="00245F85"/>
    <w:rsid w:val="0024607A"/>
    <w:rsid w:val="00246097"/>
    <w:rsid w:val="002460D0"/>
    <w:rsid w:val="002461A4"/>
    <w:rsid w:val="002461D1"/>
    <w:rsid w:val="002461DA"/>
    <w:rsid w:val="002461E8"/>
    <w:rsid w:val="00246239"/>
    <w:rsid w:val="00246290"/>
    <w:rsid w:val="00246385"/>
    <w:rsid w:val="00246419"/>
    <w:rsid w:val="002464BE"/>
    <w:rsid w:val="002464E6"/>
    <w:rsid w:val="00246523"/>
    <w:rsid w:val="00246591"/>
    <w:rsid w:val="002465F1"/>
    <w:rsid w:val="002465F6"/>
    <w:rsid w:val="00246785"/>
    <w:rsid w:val="002467A5"/>
    <w:rsid w:val="0024680A"/>
    <w:rsid w:val="0024681E"/>
    <w:rsid w:val="00246859"/>
    <w:rsid w:val="00246935"/>
    <w:rsid w:val="00246AB6"/>
    <w:rsid w:val="00246BAD"/>
    <w:rsid w:val="00246BE9"/>
    <w:rsid w:val="00246C34"/>
    <w:rsid w:val="00246CA9"/>
    <w:rsid w:val="00246CC1"/>
    <w:rsid w:val="00246DA3"/>
    <w:rsid w:val="00246E7E"/>
    <w:rsid w:val="00246EB1"/>
    <w:rsid w:val="00246EE5"/>
    <w:rsid w:val="00246F05"/>
    <w:rsid w:val="0024706D"/>
    <w:rsid w:val="00247122"/>
    <w:rsid w:val="00247125"/>
    <w:rsid w:val="00247375"/>
    <w:rsid w:val="002475E7"/>
    <w:rsid w:val="00247657"/>
    <w:rsid w:val="00247669"/>
    <w:rsid w:val="00247778"/>
    <w:rsid w:val="00247798"/>
    <w:rsid w:val="002477B1"/>
    <w:rsid w:val="00247821"/>
    <w:rsid w:val="00247A7A"/>
    <w:rsid w:val="00247AE6"/>
    <w:rsid w:val="00247D79"/>
    <w:rsid w:val="00247DEA"/>
    <w:rsid w:val="00247E0B"/>
    <w:rsid w:val="00247E34"/>
    <w:rsid w:val="00247E89"/>
    <w:rsid w:val="0025002F"/>
    <w:rsid w:val="00250074"/>
    <w:rsid w:val="0025008D"/>
    <w:rsid w:val="0025018F"/>
    <w:rsid w:val="00250257"/>
    <w:rsid w:val="00250548"/>
    <w:rsid w:val="002505A6"/>
    <w:rsid w:val="0025060A"/>
    <w:rsid w:val="00250654"/>
    <w:rsid w:val="002506C2"/>
    <w:rsid w:val="002507E7"/>
    <w:rsid w:val="0025081F"/>
    <w:rsid w:val="002508D0"/>
    <w:rsid w:val="00250909"/>
    <w:rsid w:val="00250965"/>
    <w:rsid w:val="0025099B"/>
    <w:rsid w:val="002509D6"/>
    <w:rsid w:val="00250A2A"/>
    <w:rsid w:val="00250A92"/>
    <w:rsid w:val="00250BB8"/>
    <w:rsid w:val="00250C09"/>
    <w:rsid w:val="00250C99"/>
    <w:rsid w:val="00250D2F"/>
    <w:rsid w:val="00250D31"/>
    <w:rsid w:val="00250DF6"/>
    <w:rsid w:val="00250E50"/>
    <w:rsid w:val="00250EA8"/>
    <w:rsid w:val="00250EE2"/>
    <w:rsid w:val="0025109A"/>
    <w:rsid w:val="002510B0"/>
    <w:rsid w:val="00251122"/>
    <w:rsid w:val="00251123"/>
    <w:rsid w:val="002511E0"/>
    <w:rsid w:val="0025122A"/>
    <w:rsid w:val="00251231"/>
    <w:rsid w:val="00251249"/>
    <w:rsid w:val="00251316"/>
    <w:rsid w:val="00251338"/>
    <w:rsid w:val="0025141D"/>
    <w:rsid w:val="0025144C"/>
    <w:rsid w:val="0025145F"/>
    <w:rsid w:val="00251465"/>
    <w:rsid w:val="0025146B"/>
    <w:rsid w:val="002514B2"/>
    <w:rsid w:val="00251543"/>
    <w:rsid w:val="00251585"/>
    <w:rsid w:val="00251615"/>
    <w:rsid w:val="0025162D"/>
    <w:rsid w:val="002516CD"/>
    <w:rsid w:val="002516D1"/>
    <w:rsid w:val="00251765"/>
    <w:rsid w:val="00251797"/>
    <w:rsid w:val="002517DE"/>
    <w:rsid w:val="00251937"/>
    <w:rsid w:val="0025194E"/>
    <w:rsid w:val="002519B3"/>
    <w:rsid w:val="00251A35"/>
    <w:rsid w:val="00251B82"/>
    <w:rsid w:val="00251BF0"/>
    <w:rsid w:val="00251BF8"/>
    <w:rsid w:val="00251C0C"/>
    <w:rsid w:val="00251C17"/>
    <w:rsid w:val="00251C4D"/>
    <w:rsid w:val="00251D12"/>
    <w:rsid w:val="00251DAB"/>
    <w:rsid w:val="00251DB2"/>
    <w:rsid w:val="00251DFC"/>
    <w:rsid w:val="00251E23"/>
    <w:rsid w:val="00251E79"/>
    <w:rsid w:val="00251E89"/>
    <w:rsid w:val="00251EE3"/>
    <w:rsid w:val="00251F43"/>
    <w:rsid w:val="00251F74"/>
    <w:rsid w:val="00251F86"/>
    <w:rsid w:val="002520B2"/>
    <w:rsid w:val="002520E4"/>
    <w:rsid w:val="0025218A"/>
    <w:rsid w:val="002521B4"/>
    <w:rsid w:val="002522C6"/>
    <w:rsid w:val="002522D1"/>
    <w:rsid w:val="00252314"/>
    <w:rsid w:val="002523A7"/>
    <w:rsid w:val="002523D0"/>
    <w:rsid w:val="00252570"/>
    <w:rsid w:val="002525BF"/>
    <w:rsid w:val="0025266B"/>
    <w:rsid w:val="002527EF"/>
    <w:rsid w:val="00252846"/>
    <w:rsid w:val="0025293C"/>
    <w:rsid w:val="00252A14"/>
    <w:rsid w:val="00252A4D"/>
    <w:rsid w:val="00252A59"/>
    <w:rsid w:val="00252A5B"/>
    <w:rsid w:val="00252AF9"/>
    <w:rsid w:val="00252C90"/>
    <w:rsid w:val="00252D7E"/>
    <w:rsid w:val="00252E70"/>
    <w:rsid w:val="00252EEF"/>
    <w:rsid w:val="00252F90"/>
    <w:rsid w:val="002531EB"/>
    <w:rsid w:val="002532F5"/>
    <w:rsid w:val="0025332E"/>
    <w:rsid w:val="0025337B"/>
    <w:rsid w:val="0025338D"/>
    <w:rsid w:val="002533D3"/>
    <w:rsid w:val="002533E0"/>
    <w:rsid w:val="00253448"/>
    <w:rsid w:val="00253534"/>
    <w:rsid w:val="002536A2"/>
    <w:rsid w:val="0025388A"/>
    <w:rsid w:val="002538F3"/>
    <w:rsid w:val="002539EA"/>
    <w:rsid w:val="00253A9B"/>
    <w:rsid w:val="00253D52"/>
    <w:rsid w:val="00253E32"/>
    <w:rsid w:val="00253E63"/>
    <w:rsid w:val="00253F20"/>
    <w:rsid w:val="00254021"/>
    <w:rsid w:val="00254074"/>
    <w:rsid w:val="00254148"/>
    <w:rsid w:val="00254254"/>
    <w:rsid w:val="00254299"/>
    <w:rsid w:val="002542C6"/>
    <w:rsid w:val="002542E9"/>
    <w:rsid w:val="0025436F"/>
    <w:rsid w:val="00254377"/>
    <w:rsid w:val="00254394"/>
    <w:rsid w:val="00254438"/>
    <w:rsid w:val="002545A4"/>
    <w:rsid w:val="002545B1"/>
    <w:rsid w:val="00254607"/>
    <w:rsid w:val="002546BB"/>
    <w:rsid w:val="002547A4"/>
    <w:rsid w:val="002547A7"/>
    <w:rsid w:val="00254933"/>
    <w:rsid w:val="00254B98"/>
    <w:rsid w:val="00254C67"/>
    <w:rsid w:val="00254CEE"/>
    <w:rsid w:val="00254D0F"/>
    <w:rsid w:val="00254D1B"/>
    <w:rsid w:val="00254DB9"/>
    <w:rsid w:val="00254E67"/>
    <w:rsid w:val="0025501C"/>
    <w:rsid w:val="0025505A"/>
    <w:rsid w:val="002550B0"/>
    <w:rsid w:val="002551DB"/>
    <w:rsid w:val="0025526F"/>
    <w:rsid w:val="002553AC"/>
    <w:rsid w:val="002554CE"/>
    <w:rsid w:val="00255540"/>
    <w:rsid w:val="002555FD"/>
    <w:rsid w:val="00255844"/>
    <w:rsid w:val="002558DE"/>
    <w:rsid w:val="0025592F"/>
    <w:rsid w:val="002559BC"/>
    <w:rsid w:val="00255ABF"/>
    <w:rsid w:val="00255ACF"/>
    <w:rsid w:val="00255BF5"/>
    <w:rsid w:val="00255C11"/>
    <w:rsid w:val="00255C9D"/>
    <w:rsid w:val="00255CE1"/>
    <w:rsid w:val="00255EB7"/>
    <w:rsid w:val="00255EDE"/>
    <w:rsid w:val="00255F06"/>
    <w:rsid w:val="00255F09"/>
    <w:rsid w:val="00255F10"/>
    <w:rsid w:val="00256045"/>
    <w:rsid w:val="00256163"/>
    <w:rsid w:val="00256288"/>
    <w:rsid w:val="002562CD"/>
    <w:rsid w:val="00256387"/>
    <w:rsid w:val="00256428"/>
    <w:rsid w:val="0025666A"/>
    <w:rsid w:val="002566A9"/>
    <w:rsid w:val="0025679C"/>
    <w:rsid w:val="00256892"/>
    <w:rsid w:val="002568C2"/>
    <w:rsid w:val="002569B1"/>
    <w:rsid w:val="002569CB"/>
    <w:rsid w:val="00256A52"/>
    <w:rsid w:val="00256B5F"/>
    <w:rsid w:val="00256C1C"/>
    <w:rsid w:val="00256C1F"/>
    <w:rsid w:val="00256C84"/>
    <w:rsid w:val="00256CEE"/>
    <w:rsid w:val="00256D3E"/>
    <w:rsid w:val="00256E2C"/>
    <w:rsid w:val="00256EA6"/>
    <w:rsid w:val="00256F13"/>
    <w:rsid w:val="00257009"/>
    <w:rsid w:val="002571CA"/>
    <w:rsid w:val="00257201"/>
    <w:rsid w:val="0025726F"/>
    <w:rsid w:val="0025734D"/>
    <w:rsid w:val="00257392"/>
    <w:rsid w:val="002573C0"/>
    <w:rsid w:val="00257409"/>
    <w:rsid w:val="0025746B"/>
    <w:rsid w:val="002574B2"/>
    <w:rsid w:val="002575AA"/>
    <w:rsid w:val="002575EE"/>
    <w:rsid w:val="002575FB"/>
    <w:rsid w:val="00257610"/>
    <w:rsid w:val="00257637"/>
    <w:rsid w:val="002576EF"/>
    <w:rsid w:val="002576F7"/>
    <w:rsid w:val="002577CB"/>
    <w:rsid w:val="002577E4"/>
    <w:rsid w:val="0025780A"/>
    <w:rsid w:val="0025788E"/>
    <w:rsid w:val="00257922"/>
    <w:rsid w:val="00257984"/>
    <w:rsid w:val="002579DA"/>
    <w:rsid w:val="00257A2C"/>
    <w:rsid w:val="00257AAE"/>
    <w:rsid w:val="00257B39"/>
    <w:rsid w:val="00257B3E"/>
    <w:rsid w:val="00257C45"/>
    <w:rsid w:val="00257C83"/>
    <w:rsid w:val="00257C9E"/>
    <w:rsid w:val="00257D0E"/>
    <w:rsid w:val="00257D20"/>
    <w:rsid w:val="00257EAC"/>
    <w:rsid w:val="00257F4C"/>
    <w:rsid w:val="00257F59"/>
    <w:rsid w:val="00260048"/>
    <w:rsid w:val="002600A9"/>
    <w:rsid w:val="00260255"/>
    <w:rsid w:val="002602C3"/>
    <w:rsid w:val="00260305"/>
    <w:rsid w:val="002603CE"/>
    <w:rsid w:val="00260461"/>
    <w:rsid w:val="00260541"/>
    <w:rsid w:val="00260590"/>
    <w:rsid w:val="002605B9"/>
    <w:rsid w:val="0026065F"/>
    <w:rsid w:val="002607EC"/>
    <w:rsid w:val="00260849"/>
    <w:rsid w:val="00260857"/>
    <w:rsid w:val="00260889"/>
    <w:rsid w:val="002608E0"/>
    <w:rsid w:val="00260BBD"/>
    <w:rsid w:val="00260BD9"/>
    <w:rsid w:val="00260D18"/>
    <w:rsid w:val="00260D35"/>
    <w:rsid w:val="00260E32"/>
    <w:rsid w:val="00260EAD"/>
    <w:rsid w:val="00260FDE"/>
    <w:rsid w:val="00260FEE"/>
    <w:rsid w:val="00261080"/>
    <w:rsid w:val="0026126C"/>
    <w:rsid w:val="0026134C"/>
    <w:rsid w:val="00261368"/>
    <w:rsid w:val="0026147E"/>
    <w:rsid w:val="00261566"/>
    <w:rsid w:val="002615B7"/>
    <w:rsid w:val="00261655"/>
    <w:rsid w:val="0026171A"/>
    <w:rsid w:val="0026173B"/>
    <w:rsid w:val="0026179A"/>
    <w:rsid w:val="00261857"/>
    <w:rsid w:val="00261997"/>
    <w:rsid w:val="00261A0F"/>
    <w:rsid w:val="00261A43"/>
    <w:rsid w:val="00261A91"/>
    <w:rsid w:val="00261BAC"/>
    <w:rsid w:val="00261C01"/>
    <w:rsid w:val="00261CA0"/>
    <w:rsid w:val="00261D14"/>
    <w:rsid w:val="00261D54"/>
    <w:rsid w:val="00261DA1"/>
    <w:rsid w:val="00261DD6"/>
    <w:rsid w:val="00261FC1"/>
    <w:rsid w:val="002620BE"/>
    <w:rsid w:val="0026215F"/>
    <w:rsid w:val="00262173"/>
    <w:rsid w:val="00262384"/>
    <w:rsid w:val="00262445"/>
    <w:rsid w:val="00262499"/>
    <w:rsid w:val="0026257E"/>
    <w:rsid w:val="00262589"/>
    <w:rsid w:val="002625B7"/>
    <w:rsid w:val="00262630"/>
    <w:rsid w:val="0026272D"/>
    <w:rsid w:val="0026275F"/>
    <w:rsid w:val="0026277B"/>
    <w:rsid w:val="0026277D"/>
    <w:rsid w:val="002627A6"/>
    <w:rsid w:val="002627DF"/>
    <w:rsid w:val="002627EE"/>
    <w:rsid w:val="00262814"/>
    <w:rsid w:val="0026284E"/>
    <w:rsid w:val="0026295B"/>
    <w:rsid w:val="00262968"/>
    <w:rsid w:val="00262A38"/>
    <w:rsid w:val="00262A5D"/>
    <w:rsid w:val="00262B01"/>
    <w:rsid w:val="00262B1F"/>
    <w:rsid w:val="00262B87"/>
    <w:rsid w:val="00262BC6"/>
    <w:rsid w:val="00262BCD"/>
    <w:rsid w:val="00262BF7"/>
    <w:rsid w:val="00262C93"/>
    <w:rsid w:val="00262D1E"/>
    <w:rsid w:val="00262D42"/>
    <w:rsid w:val="00262D53"/>
    <w:rsid w:val="00262D70"/>
    <w:rsid w:val="00262E1C"/>
    <w:rsid w:val="00262E3B"/>
    <w:rsid w:val="00262E76"/>
    <w:rsid w:val="00262EC2"/>
    <w:rsid w:val="00262FE4"/>
    <w:rsid w:val="0026307D"/>
    <w:rsid w:val="002630C1"/>
    <w:rsid w:val="0026311C"/>
    <w:rsid w:val="0026316C"/>
    <w:rsid w:val="00263171"/>
    <w:rsid w:val="002631BD"/>
    <w:rsid w:val="00263320"/>
    <w:rsid w:val="00263337"/>
    <w:rsid w:val="002633D8"/>
    <w:rsid w:val="002633E9"/>
    <w:rsid w:val="00263631"/>
    <w:rsid w:val="00263675"/>
    <w:rsid w:val="0026368E"/>
    <w:rsid w:val="002636D8"/>
    <w:rsid w:val="002637F2"/>
    <w:rsid w:val="002638A9"/>
    <w:rsid w:val="002638BD"/>
    <w:rsid w:val="00263955"/>
    <w:rsid w:val="0026396B"/>
    <w:rsid w:val="002639A4"/>
    <w:rsid w:val="00263A23"/>
    <w:rsid w:val="00263A62"/>
    <w:rsid w:val="00263AC8"/>
    <w:rsid w:val="00263B62"/>
    <w:rsid w:val="00263BEE"/>
    <w:rsid w:val="00263D1F"/>
    <w:rsid w:val="00263DF1"/>
    <w:rsid w:val="00263DF4"/>
    <w:rsid w:val="00263EA7"/>
    <w:rsid w:val="00263F58"/>
    <w:rsid w:val="00263F95"/>
    <w:rsid w:val="00263FF8"/>
    <w:rsid w:val="00264010"/>
    <w:rsid w:val="00264064"/>
    <w:rsid w:val="00264119"/>
    <w:rsid w:val="002641C2"/>
    <w:rsid w:val="00264268"/>
    <w:rsid w:val="002642D8"/>
    <w:rsid w:val="002642FA"/>
    <w:rsid w:val="0026432C"/>
    <w:rsid w:val="002643A4"/>
    <w:rsid w:val="002643AD"/>
    <w:rsid w:val="00264518"/>
    <w:rsid w:val="002645AA"/>
    <w:rsid w:val="00264677"/>
    <w:rsid w:val="002646BC"/>
    <w:rsid w:val="002646CD"/>
    <w:rsid w:val="002647B9"/>
    <w:rsid w:val="00264834"/>
    <w:rsid w:val="00264995"/>
    <w:rsid w:val="00264A4C"/>
    <w:rsid w:val="00264AA5"/>
    <w:rsid w:val="00264AD8"/>
    <w:rsid w:val="00264AEC"/>
    <w:rsid w:val="00264B19"/>
    <w:rsid w:val="00264DB7"/>
    <w:rsid w:val="00264E17"/>
    <w:rsid w:val="00264F3C"/>
    <w:rsid w:val="00264F3D"/>
    <w:rsid w:val="00265018"/>
    <w:rsid w:val="0026504B"/>
    <w:rsid w:val="00265058"/>
    <w:rsid w:val="0026506B"/>
    <w:rsid w:val="002652E9"/>
    <w:rsid w:val="002653BF"/>
    <w:rsid w:val="00265457"/>
    <w:rsid w:val="00265517"/>
    <w:rsid w:val="00265524"/>
    <w:rsid w:val="00265592"/>
    <w:rsid w:val="002655D6"/>
    <w:rsid w:val="00265693"/>
    <w:rsid w:val="002656C7"/>
    <w:rsid w:val="0026574D"/>
    <w:rsid w:val="00265802"/>
    <w:rsid w:val="002658C5"/>
    <w:rsid w:val="00265925"/>
    <w:rsid w:val="0026595F"/>
    <w:rsid w:val="00265982"/>
    <w:rsid w:val="00265A08"/>
    <w:rsid w:val="00265AFD"/>
    <w:rsid w:val="00265BD5"/>
    <w:rsid w:val="00265BFB"/>
    <w:rsid w:val="00265C8B"/>
    <w:rsid w:val="00265D56"/>
    <w:rsid w:val="00265DCE"/>
    <w:rsid w:val="00265E3F"/>
    <w:rsid w:val="00265E77"/>
    <w:rsid w:val="00265F11"/>
    <w:rsid w:val="00266049"/>
    <w:rsid w:val="002660A4"/>
    <w:rsid w:val="00266150"/>
    <w:rsid w:val="002662A1"/>
    <w:rsid w:val="002662E1"/>
    <w:rsid w:val="00266338"/>
    <w:rsid w:val="002663FB"/>
    <w:rsid w:val="002664A9"/>
    <w:rsid w:val="002664AA"/>
    <w:rsid w:val="00266520"/>
    <w:rsid w:val="00266665"/>
    <w:rsid w:val="002666B2"/>
    <w:rsid w:val="002666B5"/>
    <w:rsid w:val="00266732"/>
    <w:rsid w:val="0026675F"/>
    <w:rsid w:val="00266788"/>
    <w:rsid w:val="00266794"/>
    <w:rsid w:val="00266890"/>
    <w:rsid w:val="002668B7"/>
    <w:rsid w:val="00266915"/>
    <w:rsid w:val="0026693F"/>
    <w:rsid w:val="00266ACA"/>
    <w:rsid w:val="00266B29"/>
    <w:rsid w:val="00266B3F"/>
    <w:rsid w:val="00266BE1"/>
    <w:rsid w:val="00266C85"/>
    <w:rsid w:val="00266CD9"/>
    <w:rsid w:val="00266CE8"/>
    <w:rsid w:val="00266D6F"/>
    <w:rsid w:val="00266DD8"/>
    <w:rsid w:val="00266DDD"/>
    <w:rsid w:val="00266ECB"/>
    <w:rsid w:val="00266F4B"/>
    <w:rsid w:val="00266FDF"/>
    <w:rsid w:val="002670A6"/>
    <w:rsid w:val="00267226"/>
    <w:rsid w:val="002673A4"/>
    <w:rsid w:val="0026741C"/>
    <w:rsid w:val="00267698"/>
    <w:rsid w:val="00267753"/>
    <w:rsid w:val="00267816"/>
    <w:rsid w:val="0026788E"/>
    <w:rsid w:val="002678B8"/>
    <w:rsid w:val="00267913"/>
    <w:rsid w:val="00267A21"/>
    <w:rsid w:val="00267BF4"/>
    <w:rsid w:val="00267C42"/>
    <w:rsid w:val="00267D31"/>
    <w:rsid w:val="00267DEF"/>
    <w:rsid w:val="00267E01"/>
    <w:rsid w:val="00267F91"/>
    <w:rsid w:val="00270008"/>
    <w:rsid w:val="00270180"/>
    <w:rsid w:val="002702B3"/>
    <w:rsid w:val="002702C7"/>
    <w:rsid w:val="002702F8"/>
    <w:rsid w:val="00270343"/>
    <w:rsid w:val="002703DA"/>
    <w:rsid w:val="00270420"/>
    <w:rsid w:val="002704DB"/>
    <w:rsid w:val="00270582"/>
    <w:rsid w:val="002705A1"/>
    <w:rsid w:val="002705D1"/>
    <w:rsid w:val="0027060F"/>
    <w:rsid w:val="00270622"/>
    <w:rsid w:val="0027066E"/>
    <w:rsid w:val="002706C2"/>
    <w:rsid w:val="00270724"/>
    <w:rsid w:val="0027072E"/>
    <w:rsid w:val="00270746"/>
    <w:rsid w:val="002708DF"/>
    <w:rsid w:val="0027091E"/>
    <w:rsid w:val="0027092A"/>
    <w:rsid w:val="00270949"/>
    <w:rsid w:val="002709C5"/>
    <w:rsid w:val="00270AAB"/>
    <w:rsid w:val="00270AE3"/>
    <w:rsid w:val="00270BA8"/>
    <w:rsid w:val="00270BBA"/>
    <w:rsid w:val="00270C30"/>
    <w:rsid w:val="00270C3B"/>
    <w:rsid w:val="00270D47"/>
    <w:rsid w:val="00270F37"/>
    <w:rsid w:val="00270FF3"/>
    <w:rsid w:val="00271033"/>
    <w:rsid w:val="00271041"/>
    <w:rsid w:val="00271145"/>
    <w:rsid w:val="0027114D"/>
    <w:rsid w:val="00271168"/>
    <w:rsid w:val="00271264"/>
    <w:rsid w:val="002712B4"/>
    <w:rsid w:val="00271361"/>
    <w:rsid w:val="0027136B"/>
    <w:rsid w:val="002713A2"/>
    <w:rsid w:val="00271552"/>
    <w:rsid w:val="00271565"/>
    <w:rsid w:val="00271642"/>
    <w:rsid w:val="002716B8"/>
    <w:rsid w:val="002716DD"/>
    <w:rsid w:val="002717F5"/>
    <w:rsid w:val="002719A1"/>
    <w:rsid w:val="002719D3"/>
    <w:rsid w:val="00271A0F"/>
    <w:rsid w:val="00271A74"/>
    <w:rsid w:val="00271AAD"/>
    <w:rsid w:val="00271B83"/>
    <w:rsid w:val="00271C4B"/>
    <w:rsid w:val="00271C5B"/>
    <w:rsid w:val="00271D74"/>
    <w:rsid w:val="00271E60"/>
    <w:rsid w:val="0027200F"/>
    <w:rsid w:val="00272030"/>
    <w:rsid w:val="002720B6"/>
    <w:rsid w:val="0027212C"/>
    <w:rsid w:val="002721C8"/>
    <w:rsid w:val="00272247"/>
    <w:rsid w:val="002722DC"/>
    <w:rsid w:val="00272302"/>
    <w:rsid w:val="00272348"/>
    <w:rsid w:val="0027250F"/>
    <w:rsid w:val="0027255E"/>
    <w:rsid w:val="00272581"/>
    <w:rsid w:val="00272696"/>
    <w:rsid w:val="00272710"/>
    <w:rsid w:val="002727A8"/>
    <w:rsid w:val="002727AC"/>
    <w:rsid w:val="00272859"/>
    <w:rsid w:val="002728A3"/>
    <w:rsid w:val="002728BB"/>
    <w:rsid w:val="002728F1"/>
    <w:rsid w:val="00272921"/>
    <w:rsid w:val="00272978"/>
    <w:rsid w:val="0027298D"/>
    <w:rsid w:val="002729E8"/>
    <w:rsid w:val="00272A12"/>
    <w:rsid w:val="00272A40"/>
    <w:rsid w:val="00272A70"/>
    <w:rsid w:val="00272B3A"/>
    <w:rsid w:val="00272B5A"/>
    <w:rsid w:val="00272C0D"/>
    <w:rsid w:val="00272D5E"/>
    <w:rsid w:val="00272DD8"/>
    <w:rsid w:val="00272E06"/>
    <w:rsid w:val="00272FC1"/>
    <w:rsid w:val="00272FEB"/>
    <w:rsid w:val="00273010"/>
    <w:rsid w:val="00273062"/>
    <w:rsid w:val="00273090"/>
    <w:rsid w:val="002730D5"/>
    <w:rsid w:val="002730E5"/>
    <w:rsid w:val="002731A0"/>
    <w:rsid w:val="00273333"/>
    <w:rsid w:val="0027337F"/>
    <w:rsid w:val="00273389"/>
    <w:rsid w:val="002733DB"/>
    <w:rsid w:val="0027342C"/>
    <w:rsid w:val="0027346C"/>
    <w:rsid w:val="00273476"/>
    <w:rsid w:val="00273504"/>
    <w:rsid w:val="0027355E"/>
    <w:rsid w:val="002735E8"/>
    <w:rsid w:val="002736C3"/>
    <w:rsid w:val="002737DE"/>
    <w:rsid w:val="0027381B"/>
    <w:rsid w:val="00273883"/>
    <w:rsid w:val="00273916"/>
    <w:rsid w:val="002739EB"/>
    <w:rsid w:val="00273A24"/>
    <w:rsid w:val="00273A57"/>
    <w:rsid w:val="00273A5D"/>
    <w:rsid w:val="00273B95"/>
    <w:rsid w:val="00273C47"/>
    <w:rsid w:val="00273DF1"/>
    <w:rsid w:val="00273DF4"/>
    <w:rsid w:val="00273E31"/>
    <w:rsid w:val="00273EBA"/>
    <w:rsid w:val="00273ECE"/>
    <w:rsid w:val="00273F32"/>
    <w:rsid w:val="0027400E"/>
    <w:rsid w:val="00274058"/>
    <w:rsid w:val="00274180"/>
    <w:rsid w:val="00274195"/>
    <w:rsid w:val="002741A5"/>
    <w:rsid w:val="0027425D"/>
    <w:rsid w:val="00274288"/>
    <w:rsid w:val="0027439F"/>
    <w:rsid w:val="0027440C"/>
    <w:rsid w:val="002745F5"/>
    <w:rsid w:val="00274625"/>
    <w:rsid w:val="002746C0"/>
    <w:rsid w:val="002747A2"/>
    <w:rsid w:val="002748EB"/>
    <w:rsid w:val="002749F6"/>
    <w:rsid w:val="00274A1E"/>
    <w:rsid w:val="00274A1F"/>
    <w:rsid w:val="00274AA2"/>
    <w:rsid w:val="00274AB5"/>
    <w:rsid w:val="00274B3B"/>
    <w:rsid w:val="00274CC8"/>
    <w:rsid w:val="00274CD3"/>
    <w:rsid w:val="00274D5F"/>
    <w:rsid w:val="00274E0C"/>
    <w:rsid w:val="00274E69"/>
    <w:rsid w:val="00274E81"/>
    <w:rsid w:val="00274E88"/>
    <w:rsid w:val="00274EDE"/>
    <w:rsid w:val="00274F19"/>
    <w:rsid w:val="00274F89"/>
    <w:rsid w:val="002750B4"/>
    <w:rsid w:val="0027525C"/>
    <w:rsid w:val="0027548E"/>
    <w:rsid w:val="00275545"/>
    <w:rsid w:val="00275566"/>
    <w:rsid w:val="002755DA"/>
    <w:rsid w:val="002755E2"/>
    <w:rsid w:val="0027580E"/>
    <w:rsid w:val="002758EE"/>
    <w:rsid w:val="00275928"/>
    <w:rsid w:val="00275941"/>
    <w:rsid w:val="0027597D"/>
    <w:rsid w:val="002759D8"/>
    <w:rsid w:val="00275AA9"/>
    <w:rsid w:val="00275AB6"/>
    <w:rsid w:val="00275B02"/>
    <w:rsid w:val="00275B03"/>
    <w:rsid w:val="00275B18"/>
    <w:rsid w:val="00275BF5"/>
    <w:rsid w:val="00275BF9"/>
    <w:rsid w:val="00275C58"/>
    <w:rsid w:val="00275DC6"/>
    <w:rsid w:val="00275E1F"/>
    <w:rsid w:val="00275F91"/>
    <w:rsid w:val="00276227"/>
    <w:rsid w:val="0027622C"/>
    <w:rsid w:val="002762B8"/>
    <w:rsid w:val="00276320"/>
    <w:rsid w:val="00276322"/>
    <w:rsid w:val="0027634B"/>
    <w:rsid w:val="0027642E"/>
    <w:rsid w:val="00276489"/>
    <w:rsid w:val="002766B5"/>
    <w:rsid w:val="002766DA"/>
    <w:rsid w:val="00276726"/>
    <w:rsid w:val="002767E1"/>
    <w:rsid w:val="00276818"/>
    <w:rsid w:val="00276880"/>
    <w:rsid w:val="002768B1"/>
    <w:rsid w:val="002768C7"/>
    <w:rsid w:val="002768D0"/>
    <w:rsid w:val="00276A49"/>
    <w:rsid w:val="00276A74"/>
    <w:rsid w:val="00276B01"/>
    <w:rsid w:val="00276C2F"/>
    <w:rsid w:val="00276C49"/>
    <w:rsid w:val="00276C68"/>
    <w:rsid w:val="00276CC8"/>
    <w:rsid w:val="00276CE9"/>
    <w:rsid w:val="00276DAE"/>
    <w:rsid w:val="00276E56"/>
    <w:rsid w:val="00276FA7"/>
    <w:rsid w:val="0027700F"/>
    <w:rsid w:val="00277070"/>
    <w:rsid w:val="002770AB"/>
    <w:rsid w:val="00277119"/>
    <w:rsid w:val="00277122"/>
    <w:rsid w:val="00277175"/>
    <w:rsid w:val="00277210"/>
    <w:rsid w:val="002772C6"/>
    <w:rsid w:val="00277353"/>
    <w:rsid w:val="00277400"/>
    <w:rsid w:val="002774DB"/>
    <w:rsid w:val="0027753D"/>
    <w:rsid w:val="002775F5"/>
    <w:rsid w:val="00277669"/>
    <w:rsid w:val="00277675"/>
    <w:rsid w:val="00277698"/>
    <w:rsid w:val="00277813"/>
    <w:rsid w:val="002778A4"/>
    <w:rsid w:val="00277984"/>
    <w:rsid w:val="00277AF6"/>
    <w:rsid w:val="00277B17"/>
    <w:rsid w:val="00277B9E"/>
    <w:rsid w:val="00277C4C"/>
    <w:rsid w:val="00277C8D"/>
    <w:rsid w:val="00277D47"/>
    <w:rsid w:val="00277E58"/>
    <w:rsid w:val="00277E6E"/>
    <w:rsid w:val="00277EBB"/>
    <w:rsid w:val="00277EFB"/>
    <w:rsid w:val="00277F12"/>
    <w:rsid w:val="00277F64"/>
    <w:rsid w:val="00277FE7"/>
    <w:rsid w:val="00280061"/>
    <w:rsid w:val="0028013A"/>
    <w:rsid w:val="0028015B"/>
    <w:rsid w:val="002801F3"/>
    <w:rsid w:val="002802C9"/>
    <w:rsid w:val="0028033E"/>
    <w:rsid w:val="0028034A"/>
    <w:rsid w:val="002803B1"/>
    <w:rsid w:val="002803CF"/>
    <w:rsid w:val="00280401"/>
    <w:rsid w:val="00280529"/>
    <w:rsid w:val="00280567"/>
    <w:rsid w:val="0028070B"/>
    <w:rsid w:val="0028080A"/>
    <w:rsid w:val="002808A9"/>
    <w:rsid w:val="00280912"/>
    <w:rsid w:val="00280A24"/>
    <w:rsid w:val="00280BFA"/>
    <w:rsid w:val="00280D2C"/>
    <w:rsid w:val="00280DD4"/>
    <w:rsid w:val="00280ED3"/>
    <w:rsid w:val="002811D5"/>
    <w:rsid w:val="00281217"/>
    <w:rsid w:val="002812EE"/>
    <w:rsid w:val="00281367"/>
    <w:rsid w:val="002813CB"/>
    <w:rsid w:val="00281458"/>
    <w:rsid w:val="002814B4"/>
    <w:rsid w:val="002814C9"/>
    <w:rsid w:val="002815F2"/>
    <w:rsid w:val="00281613"/>
    <w:rsid w:val="0028162D"/>
    <w:rsid w:val="00281649"/>
    <w:rsid w:val="0028170E"/>
    <w:rsid w:val="00281755"/>
    <w:rsid w:val="00281896"/>
    <w:rsid w:val="00281921"/>
    <w:rsid w:val="0028195E"/>
    <w:rsid w:val="002819BC"/>
    <w:rsid w:val="002819DD"/>
    <w:rsid w:val="00281B62"/>
    <w:rsid w:val="00281BD5"/>
    <w:rsid w:val="00281D5B"/>
    <w:rsid w:val="00281E08"/>
    <w:rsid w:val="00281E76"/>
    <w:rsid w:val="00281E8B"/>
    <w:rsid w:val="00281EEE"/>
    <w:rsid w:val="00281F32"/>
    <w:rsid w:val="00281F89"/>
    <w:rsid w:val="00282009"/>
    <w:rsid w:val="00282098"/>
    <w:rsid w:val="0028212A"/>
    <w:rsid w:val="00282166"/>
    <w:rsid w:val="002821D7"/>
    <w:rsid w:val="002822DD"/>
    <w:rsid w:val="0028236B"/>
    <w:rsid w:val="00282398"/>
    <w:rsid w:val="00282445"/>
    <w:rsid w:val="002824E2"/>
    <w:rsid w:val="002825CD"/>
    <w:rsid w:val="0028260C"/>
    <w:rsid w:val="00282656"/>
    <w:rsid w:val="002826CC"/>
    <w:rsid w:val="002826F2"/>
    <w:rsid w:val="00282818"/>
    <w:rsid w:val="002828D8"/>
    <w:rsid w:val="00282932"/>
    <w:rsid w:val="00282AB1"/>
    <w:rsid w:val="00282B72"/>
    <w:rsid w:val="00282BFE"/>
    <w:rsid w:val="00282DF9"/>
    <w:rsid w:val="00282F6D"/>
    <w:rsid w:val="00283036"/>
    <w:rsid w:val="0028318D"/>
    <w:rsid w:val="0028328A"/>
    <w:rsid w:val="002832CB"/>
    <w:rsid w:val="002832D6"/>
    <w:rsid w:val="00283316"/>
    <w:rsid w:val="0028331B"/>
    <w:rsid w:val="00283333"/>
    <w:rsid w:val="002834F7"/>
    <w:rsid w:val="00283527"/>
    <w:rsid w:val="00283622"/>
    <w:rsid w:val="002836B8"/>
    <w:rsid w:val="002836CC"/>
    <w:rsid w:val="00283711"/>
    <w:rsid w:val="0028378C"/>
    <w:rsid w:val="002837FD"/>
    <w:rsid w:val="0028382B"/>
    <w:rsid w:val="00283968"/>
    <w:rsid w:val="00283A9C"/>
    <w:rsid w:val="00283B28"/>
    <w:rsid w:val="00283B45"/>
    <w:rsid w:val="00283B60"/>
    <w:rsid w:val="00283BBE"/>
    <w:rsid w:val="00283BF8"/>
    <w:rsid w:val="00283C0B"/>
    <w:rsid w:val="00283CCE"/>
    <w:rsid w:val="00283D3E"/>
    <w:rsid w:val="00283D59"/>
    <w:rsid w:val="00283DCE"/>
    <w:rsid w:val="00283EAA"/>
    <w:rsid w:val="00283F7A"/>
    <w:rsid w:val="00283FE7"/>
    <w:rsid w:val="00284016"/>
    <w:rsid w:val="0028416E"/>
    <w:rsid w:val="002843C8"/>
    <w:rsid w:val="00284420"/>
    <w:rsid w:val="00284447"/>
    <w:rsid w:val="002844D1"/>
    <w:rsid w:val="002844E2"/>
    <w:rsid w:val="002844F2"/>
    <w:rsid w:val="0028457C"/>
    <w:rsid w:val="00284583"/>
    <w:rsid w:val="002845C9"/>
    <w:rsid w:val="002846EF"/>
    <w:rsid w:val="00284757"/>
    <w:rsid w:val="002847FA"/>
    <w:rsid w:val="0028486E"/>
    <w:rsid w:val="002848F5"/>
    <w:rsid w:val="00284A63"/>
    <w:rsid w:val="00284AC5"/>
    <w:rsid w:val="00284B98"/>
    <w:rsid w:val="00284C75"/>
    <w:rsid w:val="00284D31"/>
    <w:rsid w:val="00284D7D"/>
    <w:rsid w:val="00284DB4"/>
    <w:rsid w:val="00284E12"/>
    <w:rsid w:val="00284E4B"/>
    <w:rsid w:val="00284EF4"/>
    <w:rsid w:val="00285089"/>
    <w:rsid w:val="00285133"/>
    <w:rsid w:val="00285164"/>
    <w:rsid w:val="002852DF"/>
    <w:rsid w:val="0028553A"/>
    <w:rsid w:val="00285597"/>
    <w:rsid w:val="002855C4"/>
    <w:rsid w:val="0028567E"/>
    <w:rsid w:val="00285746"/>
    <w:rsid w:val="00285758"/>
    <w:rsid w:val="0028578E"/>
    <w:rsid w:val="00285976"/>
    <w:rsid w:val="002859B2"/>
    <w:rsid w:val="002859EE"/>
    <w:rsid w:val="00285AD9"/>
    <w:rsid w:val="00285C93"/>
    <w:rsid w:val="00285D28"/>
    <w:rsid w:val="00285D44"/>
    <w:rsid w:val="00285D49"/>
    <w:rsid w:val="00285E9A"/>
    <w:rsid w:val="00285EFC"/>
    <w:rsid w:val="00285F2A"/>
    <w:rsid w:val="00285F70"/>
    <w:rsid w:val="00285F8E"/>
    <w:rsid w:val="00285FAF"/>
    <w:rsid w:val="00286033"/>
    <w:rsid w:val="00286127"/>
    <w:rsid w:val="0028615F"/>
    <w:rsid w:val="00286162"/>
    <w:rsid w:val="0028630E"/>
    <w:rsid w:val="00286384"/>
    <w:rsid w:val="00286398"/>
    <w:rsid w:val="0028639E"/>
    <w:rsid w:val="002863E6"/>
    <w:rsid w:val="002864BA"/>
    <w:rsid w:val="0028659C"/>
    <w:rsid w:val="0028665F"/>
    <w:rsid w:val="002866E2"/>
    <w:rsid w:val="002866EA"/>
    <w:rsid w:val="0028672A"/>
    <w:rsid w:val="0028677C"/>
    <w:rsid w:val="00286948"/>
    <w:rsid w:val="00286963"/>
    <w:rsid w:val="0028697F"/>
    <w:rsid w:val="00286986"/>
    <w:rsid w:val="0028698C"/>
    <w:rsid w:val="00286A04"/>
    <w:rsid w:val="00286B4C"/>
    <w:rsid w:val="00286B8D"/>
    <w:rsid w:val="00286C7F"/>
    <w:rsid w:val="00286C89"/>
    <w:rsid w:val="00286D7C"/>
    <w:rsid w:val="00286EA8"/>
    <w:rsid w:val="00286EED"/>
    <w:rsid w:val="00286F3D"/>
    <w:rsid w:val="00286FA4"/>
    <w:rsid w:val="002870AF"/>
    <w:rsid w:val="002871BC"/>
    <w:rsid w:val="002872A1"/>
    <w:rsid w:val="002872EF"/>
    <w:rsid w:val="002874CE"/>
    <w:rsid w:val="00287583"/>
    <w:rsid w:val="002875D1"/>
    <w:rsid w:val="0028767F"/>
    <w:rsid w:val="0028785A"/>
    <w:rsid w:val="00287878"/>
    <w:rsid w:val="0028789A"/>
    <w:rsid w:val="0028798A"/>
    <w:rsid w:val="002879A2"/>
    <w:rsid w:val="002879BA"/>
    <w:rsid w:val="00287A80"/>
    <w:rsid w:val="00287A96"/>
    <w:rsid w:val="00287BA1"/>
    <w:rsid w:val="00287CE6"/>
    <w:rsid w:val="00287D36"/>
    <w:rsid w:val="00287DEF"/>
    <w:rsid w:val="00287F4F"/>
    <w:rsid w:val="0029009B"/>
    <w:rsid w:val="00290183"/>
    <w:rsid w:val="00290314"/>
    <w:rsid w:val="0029032E"/>
    <w:rsid w:val="002903C5"/>
    <w:rsid w:val="0029049F"/>
    <w:rsid w:val="00290553"/>
    <w:rsid w:val="0029055E"/>
    <w:rsid w:val="00290585"/>
    <w:rsid w:val="0029059B"/>
    <w:rsid w:val="002905AF"/>
    <w:rsid w:val="0029063D"/>
    <w:rsid w:val="0029070B"/>
    <w:rsid w:val="00290711"/>
    <w:rsid w:val="0029088D"/>
    <w:rsid w:val="0029091B"/>
    <w:rsid w:val="00290927"/>
    <w:rsid w:val="00290957"/>
    <w:rsid w:val="002909AE"/>
    <w:rsid w:val="002909E8"/>
    <w:rsid w:val="00290B11"/>
    <w:rsid w:val="00290B3D"/>
    <w:rsid w:val="00290C06"/>
    <w:rsid w:val="00290DCE"/>
    <w:rsid w:val="00290ED3"/>
    <w:rsid w:val="0029105F"/>
    <w:rsid w:val="00291131"/>
    <w:rsid w:val="002911B0"/>
    <w:rsid w:val="002912D5"/>
    <w:rsid w:val="00291320"/>
    <w:rsid w:val="00291414"/>
    <w:rsid w:val="0029142D"/>
    <w:rsid w:val="0029143E"/>
    <w:rsid w:val="00291488"/>
    <w:rsid w:val="002914CC"/>
    <w:rsid w:val="00291592"/>
    <w:rsid w:val="00291650"/>
    <w:rsid w:val="00291723"/>
    <w:rsid w:val="002918A1"/>
    <w:rsid w:val="002918A3"/>
    <w:rsid w:val="002918CA"/>
    <w:rsid w:val="00291980"/>
    <w:rsid w:val="0029198A"/>
    <w:rsid w:val="00291B0A"/>
    <w:rsid w:val="00291BA2"/>
    <w:rsid w:val="00291D09"/>
    <w:rsid w:val="00291D42"/>
    <w:rsid w:val="00291D54"/>
    <w:rsid w:val="00291D7A"/>
    <w:rsid w:val="00291DC8"/>
    <w:rsid w:val="00291DD4"/>
    <w:rsid w:val="00291F19"/>
    <w:rsid w:val="00292016"/>
    <w:rsid w:val="00292025"/>
    <w:rsid w:val="002920AE"/>
    <w:rsid w:val="00292263"/>
    <w:rsid w:val="0029237F"/>
    <w:rsid w:val="0029238A"/>
    <w:rsid w:val="0029238E"/>
    <w:rsid w:val="002923B2"/>
    <w:rsid w:val="0029241E"/>
    <w:rsid w:val="0029243C"/>
    <w:rsid w:val="00292573"/>
    <w:rsid w:val="002925CC"/>
    <w:rsid w:val="002925E2"/>
    <w:rsid w:val="0029262A"/>
    <w:rsid w:val="002926FC"/>
    <w:rsid w:val="00292775"/>
    <w:rsid w:val="00292919"/>
    <w:rsid w:val="00292A11"/>
    <w:rsid w:val="00292A58"/>
    <w:rsid w:val="00292B70"/>
    <w:rsid w:val="00292BDE"/>
    <w:rsid w:val="00292C56"/>
    <w:rsid w:val="00292DED"/>
    <w:rsid w:val="00292E7F"/>
    <w:rsid w:val="00293061"/>
    <w:rsid w:val="002930F1"/>
    <w:rsid w:val="002931B9"/>
    <w:rsid w:val="002931E7"/>
    <w:rsid w:val="0029328A"/>
    <w:rsid w:val="0029348D"/>
    <w:rsid w:val="002935EE"/>
    <w:rsid w:val="0029363E"/>
    <w:rsid w:val="00293647"/>
    <w:rsid w:val="002936E9"/>
    <w:rsid w:val="0029380F"/>
    <w:rsid w:val="0029395A"/>
    <w:rsid w:val="002939BE"/>
    <w:rsid w:val="002939E2"/>
    <w:rsid w:val="00293A66"/>
    <w:rsid w:val="00293AD2"/>
    <w:rsid w:val="00293B13"/>
    <w:rsid w:val="00293C43"/>
    <w:rsid w:val="00293CCC"/>
    <w:rsid w:val="00293E63"/>
    <w:rsid w:val="00293EB5"/>
    <w:rsid w:val="002940F6"/>
    <w:rsid w:val="00294190"/>
    <w:rsid w:val="0029419C"/>
    <w:rsid w:val="002941C3"/>
    <w:rsid w:val="00294212"/>
    <w:rsid w:val="0029429E"/>
    <w:rsid w:val="0029438C"/>
    <w:rsid w:val="002944B0"/>
    <w:rsid w:val="00294592"/>
    <w:rsid w:val="002945D4"/>
    <w:rsid w:val="00294606"/>
    <w:rsid w:val="00294734"/>
    <w:rsid w:val="00294760"/>
    <w:rsid w:val="002948C7"/>
    <w:rsid w:val="0029491A"/>
    <w:rsid w:val="0029493B"/>
    <w:rsid w:val="0029497B"/>
    <w:rsid w:val="00294A3F"/>
    <w:rsid w:val="00294A94"/>
    <w:rsid w:val="00294AEF"/>
    <w:rsid w:val="00294B23"/>
    <w:rsid w:val="00294BA7"/>
    <w:rsid w:val="00294BD2"/>
    <w:rsid w:val="00294BE4"/>
    <w:rsid w:val="00294BFC"/>
    <w:rsid w:val="00294C6E"/>
    <w:rsid w:val="00294C8D"/>
    <w:rsid w:val="00294CA0"/>
    <w:rsid w:val="00294CAC"/>
    <w:rsid w:val="00294D91"/>
    <w:rsid w:val="00294DE2"/>
    <w:rsid w:val="00294DE4"/>
    <w:rsid w:val="00294DFA"/>
    <w:rsid w:val="00294E35"/>
    <w:rsid w:val="00294E57"/>
    <w:rsid w:val="00294E89"/>
    <w:rsid w:val="00294E95"/>
    <w:rsid w:val="00294EA7"/>
    <w:rsid w:val="00294EBB"/>
    <w:rsid w:val="00294EE9"/>
    <w:rsid w:val="00294F72"/>
    <w:rsid w:val="00294FC3"/>
    <w:rsid w:val="00294FE8"/>
    <w:rsid w:val="00295161"/>
    <w:rsid w:val="00295168"/>
    <w:rsid w:val="00295211"/>
    <w:rsid w:val="0029527C"/>
    <w:rsid w:val="002952B0"/>
    <w:rsid w:val="002952D4"/>
    <w:rsid w:val="00295339"/>
    <w:rsid w:val="0029538E"/>
    <w:rsid w:val="0029540A"/>
    <w:rsid w:val="0029543D"/>
    <w:rsid w:val="00295446"/>
    <w:rsid w:val="0029548C"/>
    <w:rsid w:val="002957A0"/>
    <w:rsid w:val="00295813"/>
    <w:rsid w:val="00295849"/>
    <w:rsid w:val="002958AC"/>
    <w:rsid w:val="002958FB"/>
    <w:rsid w:val="00295931"/>
    <w:rsid w:val="0029598A"/>
    <w:rsid w:val="002959D1"/>
    <w:rsid w:val="00295A40"/>
    <w:rsid w:val="00295A48"/>
    <w:rsid w:val="00295B3D"/>
    <w:rsid w:val="00295B63"/>
    <w:rsid w:val="00295B91"/>
    <w:rsid w:val="00295D25"/>
    <w:rsid w:val="00295DA3"/>
    <w:rsid w:val="00295DA6"/>
    <w:rsid w:val="00295F52"/>
    <w:rsid w:val="00295FB9"/>
    <w:rsid w:val="00296030"/>
    <w:rsid w:val="002960D8"/>
    <w:rsid w:val="00296139"/>
    <w:rsid w:val="00296297"/>
    <w:rsid w:val="002962EA"/>
    <w:rsid w:val="00296320"/>
    <w:rsid w:val="00296365"/>
    <w:rsid w:val="0029673A"/>
    <w:rsid w:val="002969AD"/>
    <w:rsid w:val="002969B6"/>
    <w:rsid w:val="00296A12"/>
    <w:rsid w:val="00296A16"/>
    <w:rsid w:val="00296A40"/>
    <w:rsid w:val="00296AB1"/>
    <w:rsid w:val="00296AEC"/>
    <w:rsid w:val="00296B04"/>
    <w:rsid w:val="00296B4B"/>
    <w:rsid w:val="00296C94"/>
    <w:rsid w:val="00296D23"/>
    <w:rsid w:val="00296E2C"/>
    <w:rsid w:val="00296E4A"/>
    <w:rsid w:val="00296F37"/>
    <w:rsid w:val="00297105"/>
    <w:rsid w:val="0029726A"/>
    <w:rsid w:val="00297298"/>
    <w:rsid w:val="002972D0"/>
    <w:rsid w:val="00297318"/>
    <w:rsid w:val="00297370"/>
    <w:rsid w:val="002973EE"/>
    <w:rsid w:val="00297463"/>
    <w:rsid w:val="0029757B"/>
    <w:rsid w:val="0029762E"/>
    <w:rsid w:val="00297720"/>
    <w:rsid w:val="002977C9"/>
    <w:rsid w:val="002977CB"/>
    <w:rsid w:val="002977D5"/>
    <w:rsid w:val="002977F4"/>
    <w:rsid w:val="00297861"/>
    <w:rsid w:val="002978D2"/>
    <w:rsid w:val="002978FA"/>
    <w:rsid w:val="00297991"/>
    <w:rsid w:val="00297A0D"/>
    <w:rsid w:val="00297B2A"/>
    <w:rsid w:val="00297B4C"/>
    <w:rsid w:val="00297B6F"/>
    <w:rsid w:val="00297B75"/>
    <w:rsid w:val="00297B8F"/>
    <w:rsid w:val="00297C4A"/>
    <w:rsid w:val="00297CEA"/>
    <w:rsid w:val="00297D10"/>
    <w:rsid w:val="00297E03"/>
    <w:rsid w:val="00297E52"/>
    <w:rsid w:val="00297EBC"/>
    <w:rsid w:val="00297FB0"/>
    <w:rsid w:val="002A000A"/>
    <w:rsid w:val="002A006A"/>
    <w:rsid w:val="002A0075"/>
    <w:rsid w:val="002A0088"/>
    <w:rsid w:val="002A00A4"/>
    <w:rsid w:val="002A00C5"/>
    <w:rsid w:val="002A02AF"/>
    <w:rsid w:val="002A031E"/>
    <w:rsid w:val="002A0496"/>
    <w:rsid w:val="002A04D5"/>
    <w:rsid w:val="002A0513"/>
    <w:rsid w:val="002A05C1"/>
    <w:rsid w:val="002A0717"/>
    <w:rsid w:val="002A0740"/>
    <w:rsid w:val="002A074A"/>
    <w:rsid w:val="002A0761"/>
    <w:rsid w:val="002A0879"/>
    <w:rsid w:val="002A0889"/>
    <w:rsid w:val="002A0974"/>
    <w:rsid w:val="002A09F7"/>
    <w:rsid w:val="002A0ACF"/>
    <w:rsid w:val="002A0CAD"/>
    <w:rsid w:val="002A0CB6"/>
    <w:rsid w:val="002A0D84"/>
    <w:rsid w:val="002A0DA1"/>
    <w:rsid w:val="002A0E06"/>
    <w:rsid w:val="002A1057"/>
    <w:rsid w:val="002A107E"/>
    <w:rsid w:val="002A10A2"/>
    <w:rsid w:val="002A10D3"/>
    <w:rsid w:val="002A10D9"/>
    <w:rsid w:val="002A10E0"/>
    <w:rsid w:val="002A10E1"/>
    <w:rsid w:val="002A1125"/>
    <w:rsid w:val="002A11BD"/>
    <w:rsid w:val="002A1211"/>
    <w:rsid w:val="002A1278"/>
    <w:rsid w:val="002A127C"/>
    <w:rsid w:val="002A12D6"/>
    <w:rsid w:val="002A137C"/>
    <w:rsid w:val="002A13B7"/>
    <w:rsid w:val="002A13D9"/>
    <w:rsid w:val="002A13F6"/>
    <w:rsid w:val="002A143C"/>
    <w:rsid w:val="002A1446"/>
    <w:rsid w:val="002A1477"/>
    <w:rsid w:val="002A1502"/>
    <w:rsid w:val="002A1521"/>
    <w:rsid w:val="002A15AE"/>
    <w:rsid w:val="002A15B3"/>
    <w:rsid w:val="002A1606"/>
    <w:rsid w:val="002A1677"/>
    <w:rsid w:val="002A16F2"/>
    <w:rsid w:val="002A17A3"/>
    <w:rsid w:val="002A183C"/>
    <w:rsid w:val="002A18CB"/>
    <w:rsid w:val="002A1980"/>
    <w:rsid w:val="002A1995"/>
    <w:rsid w:val="002A1A8D"/>
    <w:rsid w:val="002A1B2C"/>
    <w:rsid w:val="002A1B8F"/>
    <w:rsid w:val="002A1BC8"/>
    <w:rsid w:val="002A1F51"/>
    <w:rsid w:val="002A21C6"/>
    <w:rsid w:val="002A227D"/>
    <w:rsid w:val="002A22A5"/>
    <w:rsid w:val="002A22B3"/>
    <w:rsid w:val="002A2453"/>
    <w:rsid w:val="002A2467"/>
    <w:rsid w:val="002A258C"/>
    <w:rsid w:val="002A26F2"/>
    <w:rsid w:val="002A2714"/>
    <w:rsid w:val="002A27FD"/>
    <w:rsid w:val="002A297E"/>
    <w:rsid w:val="002A298C"/>
    <w:rsid w:val="002A2A10"/>
    <w:rsid w:val="002A2B57"/>
    <w:rsid w:val="002A2C0F"/>
    <w:rsid w:val="002A2D08"/>
    <w:rsid w:val="002A2D22"/>
    <w:rsid w:val="002A2D29"/>
    <w:rsid w:val="002A2E5F"/>
    <w:rsid w:val="002A2E8D"/>
    <w:rsid w:val="002A3090"/>
    <w:rsid w:val="002A30BA"/>
    <w:rsid w:val="002A3128"/>
    <w:rsid w:val="002A31B2"/>
    <w:rsid w:val="002A3224"/>
    <w:rsid w:val="002A3265"/>
    <w:rsid w:val="002A3363"/>
    <w:rsid w:val="002A33B7"/>
    <w:rsid w:val="002A3406"/>
    <w:rsid w:val="002A341E"/>
    <w:rsid w:val="002A3606"/>
    <w:rsid w:val="002A36E9"/>
    <w:rsid w:val="002A37C1"/>
    <w:rsid w:val="002A3834"/>
    <w:rsid w:val="002A3891"/>
    <w:rsid w:val="002A3976"/>
    <w:rsid w:val="002A3A11"/>
    <w:rsid w:val="002A3C96"/>
    <w:rsid w:val="002A3CA9"/>
    <w:rsid w:val="002A3D53"/>
    <w:rsid w:val="002A3D75"/>
    <w:rsid w:val="002A3D7E"/>
    <w:rsid w:val="002A3DD1"/>
    <w:rsid w:val="002A3FA6"/>
    <w:rsid w:val="002A3FE0"/>
    <w:rsid w:val="002A4077"/>
    <w:rsid w:val="002A41A6"/>
    <w:rsid w:val="002A4252"/>
    <w:rsid w:val="002A4278"/>
    <w:rsid w:val="002A433E"/>
    <w:rsid w:val="002A4347"/>
    <w:rsid w:val="002A4362"/>
    <w:rsid w:val="002A4394"/>
    <w:rsid w:val="002A44A2"/>
    <w:rsid w:val="002A45A4"/>
    <w:rsid w:val="002A45A9"/>
    <w:rsid w:val="002A4629"/>
    <w:rsid w:val="002A4828"/>
    <w:rsid w:val="002A4841"/>
    <w:rsid w:val="002A498E"/>
    <w:rsid w:val="002A4A55"/>
    <w:rsid w:val="002A4AA2"/>
    <w:rsid w:val="002A4BF7"/>
    <w:rsid w:val="002A4CA3"/>
    <w:rsid w:val="002A4CE1"/>
    <w:rsid w:val="002A4D1E"/>
    <w:rsid w:val="002A4D29"/>
    <w:rsid w:val="002A4D2A"/>
    <w:rsid w:val="002A4D7E"/>
    <w:rsid w:val="002A4D8D"/>
    <w:rsid w:val="002A4DE1"/>
    <w:rsid w:val="002A4E2F"/>
    <w:rsid w:val="002A4E63"/>
    <w:rsid w:val="002A4EAB"/>
    <w:rsid w:val="002A4EC0"/>
    <w:rsid w:val="002A4F06"/>
    <w:rsid w:val="002A4F68"/>
    <w:rsid w:val="002A4FCF"/>
    <w:rsid w:val="002A5014"/>
    <w:rsid w:val="002A5018"/>
    <w:rsid w:val="002A5065"/>
    <w:rsid w:val="002A50B4"/>
    <w:rsid w:val="002A50B7"/>
    <w:rsid w:val="002A5183"/>
    <w:rsid w:val="002A519E"/>
    <w:rsid w:val="002A51D4"/>
    <w:rsid w:val="002A5242"/>
    <w:rsid w:val="002A5243"/>
    <w:rsid w:val="002A525A"/>
    <w:rsid w:val="002A53EA"/>
    <w:rsid w:val="002A5491"/>
    <w:rsid w:val="002A5495"/>
    <w:rsid w:val="002A54EE"/>
    <w:rsid w:val="002A559D"/>
    <w:rsid w:val="002A5649"/>
    <w:rsid w:val="002A566B"/>
    <w:rsid w:val="002A57C8"/>
    <w:rsid w:val="002A57D2"/>
    <w:rsid w:val="002A5807"/>
    <w:rsid w:val="002A5815"/>
    <w:rsid w:val="002A590B"/>
    <w:rsid w:val="002A5B4C"/>
    <w:rsid w:val="002A5B88"/>
    <w:rsid w:val="002A5BBE"/>
    <w:rsid w:val="002A5CBE"/>
    <w:rsid w:val="002A5CF3"/>
    <w:rsid w:val="002A5DF2"/>
    <w:rsid w:val="002A5F25"/>
    <w:rsid w:val="002A5F30"/>
    <w:rsid w:val="002A60DC"/>
    <w:rsid w:val="002A61CB"/>
    <w:rsid w:val="002A6235"/>
    <w:rsid w:val="002A6239"/>
    <w:rsid w:val="002A6263"/>
    <w:rsid w:val="002A62A2"/>
    <w:rsid w:val="002A6401"/>
    <w:rsid w:val="002A6408"/>
    <w:rsid w:val="002A644A"/>
    <w:rsid w:val="002A649A"/>
    <w:rsid w:val="002A64FC"/>
    <w:rsid w:val="002A65D7"/>
    <w:rsid w:val="002A65FD"/>
    <w:rsid w:val="002A6673"/>
    <w:rsid w:val="002A670C"/>
    <w:rsid w:val="002A6710"/>
    <w:rsid w:val="002A675B"/>
    <w:rsid w:val="002A67ED"/>
    <w:rsid w:val="002A6843"/>
    <w:rsid w:val="002A6845"/>
    <w:rsid w:val="002A68C1"/>
    <w:rsid w:val="002A69B1"/>
    <w:rsid w:val="002A6A9E"/>
    <w:rsid w:val="002A6B84"/>
    <w:rsid w:val="002A6BBD"/>
    <w:rsid w:val="002A6BD2"/>
    <w:rsid w:val="002A6C45"/>
    <w:rsid w:val="002A6D91"/>
    <w:rsid w:val="002A6E0F"/>
    <w:rsid w:val="002A6E51"/>
    <w:rsid w:val="002A6EFA"/>
    <w:rsid w:val="002A6F20"/>
    <w:rsid w:val="002A6F4A"/>
    <w:rsid w:val="002A6F73"/>
    <w:rsid w:val="002A7027"/>
    <w:rsid w:val="002A7093"/>
    <w:rsid w:val="002A7123"/>
    <w:rsid w:val="002A726E"/>
    <w:rsid w:val="002A72CF"/>
    <w:rsid w:val="002A735F"/>
    <w:rsid w:val="002A73F7"/>
    <w:rsid w:val="002A740A"/>
    <w:rsid w:val="002A7558"/>
    <w:rsid w:val="002A755E"/>
    <w:rsid w:val="002A7650"/>
    <w:rsid w:val="002A7668"/>
    <w:rsid w:val="002A7742"/>
    <w:rsid w:val="002A7771"/>
    <w:rsid w:val="002A779F"/>
    <w:rsid w:val="002A78BF"/>
    <w:rsid w:val="002A78E3"/>
    <w:rsid w:val="002A7978"/>
    <w:rsid w:val="002A7A72"/>
    <w:rsid w:val="002A7B4E"/>
    <w:rsid w:val="002A7C31"/>
    <w:rsid w:val="002A7C7F"/>
    <w:rsid w:val="002A7CB7"/>
    <w:rsid w:val="002A7CE4"/>
    <w:rsid w:val="002A7E2D"/>
    <w:rsid w:val="002A7E2F"/>
    <w:rsid w:val="002A7E52"/>
    <w:rsid w:val="002A7F2A"/>
    <w:rsid w:val="002AA858"/>
    <w:rsid w:val="002B00A1"/>
    <w:rsid w:val="002B01CC"/>
    <w:rsid w:val="002B02F9"/>
    <w:rsid w:val="002B0378"/>
    <w:rsid w:val="002B0520"/>
    <w:rsid w:val="002B0522"/>
    <w:rsid w:val="002B0527"/>
    <w:rsid w:val="002B0590"/>
    <w:rsid w:val="002B05E4"/>
    <w:rsid w:val="002B07F9"/>
    <w:rsid w:val="002B082B"/>
    <w:rsid w:val="002B08B7"/>
    <w:rsid w:val="002B08E1"/>
    <w:rsid w:val="002B09E7"/>
    <w:rsid w:val="002B0AFF"/>
    <w:rsid w:val="002B0B30"/>
    <w:rsid w:val="002B0B73"/>
    <w:rsid w:val="002B0B9F"/>
    <w:rsid w:val="002B0BC2"/>
    <w:rsid w:val="002B0CF6"/>
    <w:rsid w:val="002B0D05"/>
    <w:rsid w:val="002B0D07"/>
    <w:rsid w:val="002B0D11"/>
    <w:rsid w:val="002B0D95"/>
    <w:rsid w:val="002B0DBB"/>
    <w:rsid w:val="002B0E60"/>
    <w:rsid w:val="002B0EA1"/>
    <w:rsid w:val="002B0EB1"/>
    <w:rsid w:val="002B0F44"/>
    <w:rsid w:val="002B0F50"/>
    <w:rsid w:val="002B0F87"/>
    <w:rsid w:val="002B108B"/>
    <w:rsid w:val="002B1315"/>
    <w:rsid w:val="002B132A"/>
    <w:rsid w:val="002B13C8"/>
    <w:rsid w:val="002B14D4"/>
    <w:rsid w:val="002B1680"/>
    <w:rsid w:val="002B16DA"/>
    <w:rsid w:val="002B1713"/>
    <w:rsid w:val="002B178B"/>
    <w:rsid w:val="002B182B"/>
    <w:rsid w:val="002B1904"/>
    <w:rsid w:val="002B19DB"/>
    <w:rsid w:val="002B1A18"/>
    <w:rsid w:val="002B1A34"/>
    <w:rsid w:val="002B1BE3"/>
    <w:rsid w:val="002B1CEC"/>
    <w:rsid w:val="002B1F14"/>
    <w:rsid w:val="002B1F98"/>
    <w:rsid w:val="002B1FE5"/>
    <w:rsid w:val="002B205E"/>
    <w:rsid w:val="002B2137"/>
    <w:rsid w:val="002B223D"/>
    <w:rsid w:val="002B22F6"/>
    <w:rsid w:val="002B22FF"/>
    <w:rsid w:val="002B2305"/>
    <w:rsid w:val="002B23A2"/>
    <w:rsid w:val="002B247A"/>
    <w:rsid w:val="002B2597"/>
    <w:rsid w:val="002B25B8"/>
    <w:rsid w:val="002B2608"/>
    <w:rsid w:val="002B269D"/>
    <w:rsid w:val="002B26D0"/>
    <w:rsid w:val="002B26E1"/>
    <w:rsid w:val="002B273C"/>
    <w:rsid w:val="002B284A"/>
    <w:rsid w:val="002B2947"/>
    <w:rsid w:val="002B296D"/>
    <w:rsid w:val="002B2B5C"/>
    <w:rsid w:val="002B2D01"/>
    <w:rsid w:val="002B2D37"/>
    <w:rsid w:val="002B2EA4"/>
    <w:rsid w:val="002B2EA7"/>
    <w:rsid w:val="002B2F39"/>
    <w:rsid w:val="002B30D2"/>
    <w:rsid w:val="002B31B4"/>
    <w:rsid w:val="002B31B6"/>
    <w:rsid w:val="002B31B8"/>
    <w:rsid w:val="002B31ED"/>
    <w:rsid w:val="002B33BE"/>
    <w:rsid w:val="002B3442"/>
    <w:rsid w:val="002B34BF"/>
    <w:rsid w:val="002B34DE"/>
    <w:rsid w:val="002B3739"/>
    <w:rsid w:val="002B378D"/>
    <w:rsid w:val="002B38D6"/>
    <w:rsid w:val="002B3A0C"/>
    <w:rsid w:val="002B3A43"/>
    <w:rsid w:val="002B3D79"/>
    <w:rsid w:val="002B3DB7"/>
    <w:rsid w:val="002B3DD3"/>
    <w:rsid w:val="002B3E1E"/>
    <w:rsid w:val="002B3F05"/>
    <w:rsid w:val="002B3F54"/>
    <w:rsid w:val="002B3FA3"/>
    <w:rsid w:val="002B3FB0"/>
    <w:rsid w:val="002B4027"/>
    <w:rsid w:val="002B4141"/>
    <w:rsid w:val="002B4147"/>
    <w:rsid w:val="002B420C"/>
    <w:rsid w:val="002B4219"/>
    <w:rsid w:val="002B4247"/>
    <w:rsid w:val="002B4254"/>
    <w:rsid w:val="002B42E7"/>
    <w:rsid w:val="002B4339"/>
    <w:rsid w:val="002B4436"/>
    <w:rsid w:val="002B44FD"/>
    <w:rsid w:val="002B4539"/>
    <w:rsid w:val="002B46AD"/>
    <w:rsid w:val="002B476D"/>
    <w:rsid w:val="002B4784"/>
    <w:rsid w:val="002B4792"/>
    <w:rsid w:val="002B48AF"/>
    <w:rsid w:val="002B48D8"/>
    <w:rsid w:val="002B4908"/>
    <w:rsid w:val="002B4958"/>
    <w:rsid w:val="002B49B0"/>
    <w:rsid w:val="002B4A28"/>
    <w:rsid w:val="002B4BFE"/>
    <w:rsid w:val="002B4CBA"/>
    <w:rsid w:val="002B4D04"/>
    <w:rsid w:val="002B4D7E"/>
    <w:rsid w:val="002B4DCB"/>
    <w:rsid w:val="002B4DD8"/>
    <w:rsid w:val="002B5024"/>
    <w:rsid w:val="002B5249"/>
    <w:rsid w:val="002B5301"/>
    <w:rsid w:val="002B5330"/>
    <w:rsid w:val="002B5407"/>
    <w:rsid w:val="002B5466"/>
    <w:rsid w:val="002B54C9"/>
    <w:rsid w:val="002B54FA"/>
    <w:rsid w:val="002B56BD"/>
    <w:rsid w:val="002B5768"/>
    <w:rsid w:val="002B57C9"/>
    <w:rsid w:val="002B57CB"/>
    <w:rsid w:val="002B57D8"/>
    <w:rsid w:val="002B5940"/>
    <w:rsid w:val="002B59DF"/>
    <w:rsid w:val="002B5A49"/>
    <w:rsid w:val="002B5A94"/>
    <w:rsid w:val="002B5B3E"/>
    <w:rsid w:val="002B5BB6"/>
    <w:rsid w:val="002B5C54"/>
    <w:rsid w:val="002B5CC0"/>
    <w:rsid w:val="002B5DCD"/>
    <w:rsid w:val="002B5EB8"/>
    <w:rsid w:val="002B6040"/>
    <w:rsid w:val="002B60DA"/>
    <w:rsid w:val="002B61BB"/>
    <w:rsid w:val="002B6254"/>
    <w:rsid w:val="002B62AB"/>
    <w:rsid w:val="002B6368"/>
    <w:rsid w:val="002B6435"/>
    <w:rsid w:val="002B6450"/>
    <w:rsid w:val="002B6485"/>
    <w:rsid w:val="002B662A"/>
    <w:rsid w:val="002B666A"/>
    <w:rsid w:val="002B670B"/>
    <w:rsid w:val="002B678B"/>
    <w:rsid w:val="002B68B2"/>
    <w:rsid w:val="002B68E8"/>
    <w:rsid w:val="002B6995"/>
    <w:rsid w:val="002B6A26"/>
    <w:rsid w:val="002B6ADF"/>
    <w:rsid w:val="002B6C66"/>
    <w:rsid w:val="002B6CD9"/>
    <w:rsid w:val="002B6D24"/>
    <w:rsid w:val="002B6D39"/>
    <w:rsid w:val="002B6E26"/>
    <w:rsid w:val="002B6E5B"/>
    <w:rsid w:val="002B6E92"/>
    <w:rsid w:val="002B6FB0"/>
    <w:rsid w:val="002B6FB7"/>
    <w:rsid w:val="002B701C"/>
    <w:rsid w:val="002B71D0"/>
    <w:rsid w:val="002B753D"/>
    <w:rsid w:val="002B75AD"/>
    <w:rsid w:val="002B7686"/>
    <w:rsid w:val="002B770E"/>
    <w:rsid w:val="002B7725"/>
    <w:rsid w:val="002B7754"/>
    <w:rsid w:val="002B7760"/>
    <w:rsid w:val="002B7773"/>
    <w:rsid w:val="002B7854"/>
    <w:rsid w:val="002B7921"/>
    <w:rsid w:val="002B79AD"/>
    <w:rsid w:val="002B7A5C"/>
    <w:rsid w:val="002B7AD7"/>
    <w:rsid w:val="002B7C3B"/>
    <w:rsid w:val="002B7D33"/>
    <w:rsid w:val="002B7D36"/>
    <w:rsid w:val="002B7D94"/>
    <w:rsid w:val="002B7E5D"/>
    <w:rsid w:val="002B7EF1"/>
    <w:rsid w:val="002B7F7F"/>
    <w:rsid w:val="002B7F8A"/>
    <w:rsid w:val="002C0065"/>
    <w:rsid w:val="002C013B"/>
    <w:rsid w:val="002C015B"/>
    <w:rsid w:val="002C01FA"/>
    <w:rsid w:val="002C0294"/>
    <w:rsid w:val="002C051D"/>
    <w:rsid w:val="002C055B"/>
    <w:rsid w:val="002C0697"/>
    <w:rsid w:val="002C06CC"/>
    <w:rsid w:val="002C0803"/>
    <w:rsid w:val="002C088D"/>
    <w:rsid w:val="002C08AE"/>
    <w:rsid w:val="002C0B90"/>
    <w:rsid w:val="002C0BBD"/>
    <w:rsid w:val="002C0C0C"/>
    <w:rsid w:val="002C0C84"/>
    <w:rsid w:val="002C0DDF"/>
    <w:rsid w:val="002C0F2F"/>
    <w:rsid w:val="002C0F4A"/>
    <w:rsid w:val="002C104F"/>
    <w:rsid w:val="002C113C"/>
    <w:rsid w:val="002C12B9"/>
    <w:rsid w:val="002C1452"/>
    <w:rsid w:val="002C1683"/>
    <w:rsid w:val="002C1691"/>
    <w:rsid w:val="002C16EE"/>
    <w:rsid w:val="002C1787"/>
    <w:rsid w:val="002C17CB"/>
    <w:rsid w:val="002C1817"/>
    <w:rsid w:val="002C18DA"/>
    <w:rsid w:val="002C19E3"/>
    <w:rsid w:val="002C1A50"/>
    <w:rsid w:val="002C1AD1"/>
    <w:rsid w:val="002C1AD2"/>
    <w:rsid w:val="002C1B48"/>
    <w:rsid w:val="002C1BD3"/>
    <w:rsid w:val="002C1C3C"/>
    <w:rsid w:val="002C1CB9"/>
    <w:rsid w:val="002C1D6E"/>
    <w:rsid w:val="002C1D85"/>
    <w:rsid w:val="002C1DA7"/>
    <w:rsid w:val="002C1DFA"/>
    <w:rsid w:val="002C1F07"/>
    <w:rsid w:val="002C1FBE"/>
    <w:rsid w:val="002C21CC"/>
    <w:rsid w:val="002C21F0"/>
    <w:rsid w:val="002C221A"/>
    <w:rsid w:val="002C22A5"/>
    <w:rsid w:val="002C22C8"/>
    <w:rsid w:val="002C22CB"/>
    <w:rsid w:val="002C233C"/>
    <w:rsid w:val="002C2353"/>
    <w:rsid w:val="002C237E"/>
    <w:rsid w:val="002C2409"/>
    <w:rsid w:val="002C240B"/>
    <w:rsid w:val="002C2415"/>
    <w:rsid w:val="002C2439"/>
    <w:rsid w:val="002C244F"/>
    <w:rsid w:val="002C2457"/>
    <w:rsid w:val="002C249B"/>
    <w:rsid w:val="002C24A7"/>
    <w:rsid w:val="002C24D1"/>
    <w:rsid w:val="002C2518"/>
    <w:rsid w:val="002C26D4"/>
    <w:rsid w:val="002C280E"/>
    <w:rsid w:val="002C288A"/>
    <w:rsid w:val="002C28CF"/>
    <w:rsid w:val="002C28DD"/>
    <w:rsid w:val="002C2918"/>
    <w:rsid w:val="002C2949"/>
    <w:rsid w:val="002C2975"/>
    <w:rsid w:val="002C2A87"/>
    <w:rsid w:val="002C2AA8"/>
    <w:rsid w:val="002C2CFC"/>
    <w:rsid w:val="002C2E47"/>
    <w:rsid w:val="002C2E7C"/>
    <w:rsid w:val="002C2EFA"/>
    <w:rsid w:val="002C2F5A"/>
    <w:rsid w:val="002C30A5"/>
    <w:rsid w:val="002C30DB"/>
    <w:rsid w:val="002C30FD"/>
    <w:rsid w:val="002C3293"/>
    <w:rsid w:val="002C32E5"/>
    <w:rsid w:val="002C3337"/>
    <w:rsid w:val="002C341A"/>
    <w:rsid w:val="002C358E"/>
    <w:rsid w:val="002C3628"/>
    <w:rsid w:val="002C369F"/>
    <w:rsid w:val="002C36AC"/>
    <w:rsid w:val="002C36D9"/>
    <w:rsid w:val="002C377B"/>
    <w:rsid w:val="002C3819"/>
    <w:rsid w:val="002C3A30"/>
    <w:rsid w:val="002C3AD5"/>
    <w:rsid w:val="002C3AF9"/>
    <w:rsid w:val="002C3B18"/>
    <w:rsid w:val="002C3B1D"/>
    <w:rsid w:val="002C3C4B"/>
    <w:rsid w:val="002C3D52"/>
    <w:rsid w:val="002C3D57"/>
    <w:rsid w:val="002C3DAC"/>
    <w:rsid w:val="002C3F04"/>
    <w:rsid w:val="002C3FB7"/>
    <w:rsid w:val="002C40B6"/>
    <w:rsid w:val="002C415C"/>
    <w:rsid w:val="002C4174"/>
    <w:rsid w:val="002C41D8"/>
    <w:rsid w:val="002C4229"/>
    <w:rsid w:val="002C423A"/>
    <w:rsid w:val="002C425F"/>
    <w:rsid w:val="002C448B"/>
    <w:rsid w:val="002C451B"/>
    <w:rsid w:val="002C45BC"/>
    <w:rsid w:val="002C45D1"/>
    <w:rsid w:val="002C487E"/>
    <w:rsid w:val="002C49DB"/>
    <w:rsid w:val="002C4C4A"/>
    <w:rsid w:val="002C4C5E"/>
    <w:rsid w:val="002C4C91"/>
    <w:rsid w:val="002C4F54"/>
    <w:rsid w:val="002C4FFA"/>
    <w:rsid w:val="002C510A"/>
    <w:rsid w:val="002C5126"/>
    <w:rsid w:val="002C5138"/>
    <w:rsid w:val="002C51A2"/>
    <w:rsid w:val="002C5261"/>
    <w:rsid w:val="002C52AA"/>
    <w:rsid w:val="002C52D6"/>
    <w:rsid w:val="002C52F5"/>
    <w:rsid w:val="002C530A"/>
    <w:rsid w:val="002C5384"/>
    <w:rsid w:val="002C538A"/>
    <w:rsid w:val="002C53B2"/>
    <w:rsid w:val="002C543E"/>
    <w:rsid w:val="002C5468"/>
    <w:rsid w:val="002C54F0"/>
    <w:rsid w:val="002C54FC"/>
    <w:rsid w:val="002C556C"/>
    <w:rsid w:val="002C5575"/>
    <w:rsid w:val="002C5654"/>
    <w:rsid w:val="002C5679"/>
    <w:rsid w:val="002C567B"/>
    <w:rsid w:val="002C56C4"/>
    <w:rsid w:val="002C5799"/>
    <w:rsid w:val="002C5800"/>
    <w:rsid w:val="002C5808"/>
    <w:rsid w:val="002C5823"/>
    <w:rsid w:val="002C582D"/>
    <w:rsid w:val="002C59A1"/>
    <w:rsid w:val="002C59AD"/>
    <w:rsid w:val="002C5A24"/>
    <w:rsid w:val="002C5B27"/>
    <w:rsid w:val="002C5C16"/>
    <w:rsid w:val="002C5CD4"/>
    <w:rsid w:val="002C5E3C"/>
    <w:rsid w:val="002C5F3B"/>
    <w:rsid w:val="002C5F4A"/>
    <w:rsid w:val="002C6083"/>
    <w:rsid w:val="002C6113"/>
    <w:rsid w:val="002C62FE"/>
    <w:rsid w:val="002C631A"/>
    <w:rsid w:val="002C63F8"/>
    <w:rsid w:val="002C644A"/>
    <w:rsid w:val="002C64B6"/>
    <w:rsid w:val="002C6575"/>
    <w:rsid w:val="002C65A8"/>
    <w:rsid w:val="002C661C"/>
    <w:rsid w:val="002C6797"/>
    <w:rsid w:val="002C68A3"/>
    <w:rsid w:val="002C6992"/>
    <w:rsid w:val="002C6A2E"/>
    <w:rsid w:val="002C6A92"/>
    <w:rsid w:val="002C6BE3"/>
    <w:rsid w:val="002C6C3C"/>
    <w:rsid w:val="002C6C67"/>
    <w:rsid w:val="002C6CBB"/>
    <w:rsid w:val="002C6CC9"/>
    <w:rsid w:val="002C6CD4"/>
    <w:rsid w:val="002C6D34"/>
    <w:rsid w:val="002C6D92"/>
    <w:rsid w:val="002C6F6C"/>
    <w:rsid w:val="002C707E"/>
    <w:rsid w:val="002C73C7"/>
    <w:rsid w:val="002C73F9"/>
    <w:rsid w:val="002C740C"/>
    <w:rsid w:val="002C7439"/>
    <w:rsid w:val="002C751A"/>
    <w:rsid w:val="002C75FE"/>
    <w:rsid w:val="002C7649"/>
    <w:rsid w:val="002C776F"/>
    <w:rsid w:val="002C786C"/>
    <w:rsid w:val="002C78AD"/>
    <w:rsid w:val="002C7908"/>
    <w:rsid w:val="002C7A16"/>
    <w:rsid w:val="002C7A36"/>
    <w:rsid w:val="002C7B2B"/>
    <w:rsid w:val="002C7B95"/>
    <w:rsid w:val="002C7B98"/>
    <w:rsid w:val="002C7BAC"/>
    <w:rsid w:val="002C7CE1"/>
    <w:rsid w:val="002C7CE4"/>
    <w:rsid w:val="002C7DBB"/>
    <w:rsid w:val="002C7DFA"/>
    <w:rsid w:val="002C7EC0"/>
    <w:rsid w:val="002C7F68"/>
    <w:rsid w:val="002C7F85"/>
    <w:rsid w:val="002C7F9D"/>
    <w:rsid w:val="002C7FE5"/>
    <w:rsid w:val="002D0007"/>
    <w:rsid w:val="002D00B8"/>
    <w:rsid w:val="002D00D9"/>
    <w:rsid w:val="002D0125"/>
    <w:rsid w:val="002D017B"/>
    <w:rsid w:val="002D0238"/>
    <w:rsid w:val="002D032D"/>
    <w:rsid w:val="002D049E"/>
    <w:rsid w:val="002D0508"/>
    <w:rsid w:val="002D0600"/>
    <w:rsid w:val="002D060F"/>
    <w:rsid w:val="002D0685"/>
    <w:rsid w:val="002D06FE"/>
    <w:rsid w:val="002D0774"/>
    <w:rsid w:val="002D077C"/>
    <w:rsid w:val="002D0825"/>
    <w:rsid w:val="002D0859"/>
    <w:rsid w:val="002D08A9"/>
    <w:rsid w:val="002D08CC"/>
    <w:rsid w:val="002D0910"/>
    <w:rsid w:val="002D091C"/>
    <w:rsid w:val="002D0947"/>
    <w:rsid w:val="002D09D9"/>
    <w:rsid w:val="002D0A3C"/>
    <w:rsid w:val="002D0A49"/>
    <w:rsid w:val="002D0DF3"/>
    <w:rsid w:val="002D0E00"/>
    <w:rsid w:val="002D0E62"/>
    <w:rsid w:val="002D0E9E"/>
    <w:rsid w:val="002D0EEA"/>
    <w:rsid w:val="002D0F36"/>
    <w:rsid w:val="002D1013"/>
    <w:rsid w:val="002D1021"/>
    <w:rsid w:val="002D103E"/>
    <w:rsid w:val="002D11B0"/>
    <w:rsid w:val="002D11D7"/>
    <w:rsid w:val="002D122D"/>
    <w:rsid w:val="002D123F"/>
    <w:rsid w:val="002D12AC"/>
    <w:rsid w:val="002D12C4"/>
    <w:rsid w:val="002D12EC"/>
    <w:rsid w:val="002D130B"/>
    <w:rsid w:val="002D1323"/>
    <w:rsid w:val="002D1470"/>
    <w:rsid w:val="002D156F"/>
    <w:rsid w:val="002D1756"/>
    <w:rsid w:val="002D1763"/>
    <w:rsid w:val="002D179C"/>
    <w:rsid w:val="002D180D"/>
    <w:rsid w:val="002D1889"/>
    <w:rsid w:val="002D1A69"/>
    <w:rsid w:val="002D1C74"/>
    <w:rsid w:val="002D1D27"/>
    <w:rsid w:val="002D1D36"/>
    <w:rsid w:val="002D1DC5"/>
    <w:rsid w:val="002D1DCF"/>
    <w:rsid w:val="002D1DDF"/>
    <w:rsid w:val="002D1E7E"/>
    <w:rsid w:val="002D1E85"/>
    <w:rsid w:val="002D1E86"/>
    <w:rsid w:val="002D1F10"/>
    <w:rsid w:val="002D200E"/>
    <w:rsid w:val="002D2035"/>
    <w:rsid w:val="002D2091"/>
    <w:rsid w:val="002D2092"/>
    <w:rsid w:val="002D220E"/>
    <w:rsid w:val="002D2288"/>
    <w:rsid w:val="002D22AE"/>
    <w:rsid w:val="002D23C9"/>
    <w:rsid w:val="002D24A2"/>
    <w:rsid w:val="002D24F9"/>
    <w:rsid w:val="002D250E"/>
    <w:rsid w:val="002D2613"/>
    <w:rsid w:val="002D2656"/>
    <w:rsid w:val="002D2675"/>
    <w:rsid w:val="002D278A"/>
    <w:rsid w:val="002D27A3"/>
    <w:rsid w:val="002D27A9"/>
    <w:rsid w:val="002D27B7"/>
    <w:rsid w:val="002D27F8"/>
    <w:rsid w:val="002D27FA"/>
    <w:rsid w:val="002D2839"/>
    <w:rsid w:val="002D29D3"/>
    <w:rsid w:val="002D2AF3"/>
    <w:rsid w:val="002D2C55"/>
    <w:rsid w:val="002D2CEB"/>
    <w:rsid w:val="002D2D67"/>
    <w:rsid w:val="002D2E52"/>
    <w:rsid w:val="002D2F92"/>
    <w:rsid w:val="002D2FFD"/>
    <w:rsid w:val="002D3004"/>
    <w:rsid w:val="002D30C5"/>
    <w:rsid w:val="002D3108"/>
    <w:rsid w:val="002D3269"/>
    <w:rsid w:val="002D32E9"/>
    <w:rsid w:val="002D3302"/>
    <w:rsid w:val="002D3398"/>
    <w:rsid w:val="002D33FB"/>
    <w:rsid w:val="002D3576"/>
    <w:rsid w:val="002D3583"/>
    <w:rsid w:val="002D3592"/>
    <w:rsid w:val="002D35AE"/>
    <w:rsid w:val="002D3873"/>
    <w:rsid w:val="002D38D8"/>
    <w:rsid w:val="002D395E"/>
    <w:rsid w:val="002D3A6A"/>
    <w:rsid w:val="002D3AC7"/>
    <w:rsid w:val="002D3AE0"/>
    <w:rsid w:val="002D3AF0"/>
    <w:rsid w:val="002D3C69"/>
    <w:rsid w:val="002D3D4D"/>
    <w:rsid w:val="002D3DC6"/>
    <w:rsid w:val="002D3DFC"/>
    <w:rsid w:val="002D3E4A"/>
    <w:rsid w:val="002D3EFF"/>
    <w:rsid w:val="002D3F9E"/>
    <w:rsid w:val="002D400E"/>
    <w:rsid w:val="002D4056"/>
    <w:rsid w:val="002D40D4"/>
    <w:rsid w:val="002D412A"/>
    <w:rsid w:val="002D4243"/>
    <w:rsid w:val="002D427B"/>
    <w:rsid w:val="002D443A"/>
    <w:rsid w:val="002D44CD"/>
    <w:rsid w:val="002D44FB"/>
    <w:rsid w:val="002D450C"/>
    <w:rsid w:val="002D4571"/>
    <w:rsid w:val="002D45F8"/>
    <w:rsid w:val="002D4625"/>
    <w:rsid w:val="002D4637"/>
    <w:rsid w:val="002D46EA"/>
    <w:rsid w:val="002D4734"/>
    <w:rsid w:val="002D480F"/>
    <w:rsid w:val="002D4887"/>
    <w:rsid w:val="002D48D6"/>
    <w:rsid w:val="002D48FB"/>
    <w:rsid w:val="002D49FA"/>
    <w:rsid w:val="002D4A29"/>
    <w:rsid w:val="002D4AEB"/>
    <w:rsid w:val="002D4B1A"/>
    <w:rsid w:val="002D4DA9"/>
    <w:rsid w:val="002D4DCA"/>
    <w:rsid w:val="002D4E6B"/>
    <w:rsid w:val="002D4E95"/>
    <w:rsid w:val="002D4EFE"/>
    <w:rsid w:val="002D4F7B"/>
    <w:rsid w:val="002D4FB3"/>
    <w:rsid w:val="002D5105"/>
    <w:rsid w:val="002D5136"/>
    <w:rsid w:val="002D5235"/>
    <w:rsid w:val="002D528B"/>
    <w:rsid w:val="002D5295"/>
    <w:rsid w:val="002D52CA"/>
    <w:rsid w:val="002D538D"/>
    <w:rsid w:val="002D53A3"/>
    <w:rsid w:val="002D53AF"/>
    <w:rsid w:val="002D55F4"/>
    <w:rsid w:val="002D5649"/>
    <w:rsid w:val="002D5752"/>
    <w:rsid w:val="002D595A"/>
    <w:rsid w:val="002D5A08"/>
    <w:rsid w:val="002D5B40"/>
    <w:rsid w:val="002D5B58"/>
    <w:rsid w:val="002D5B9A"/>
    <w:rsid w:val="002D5BB8"/>
    <w:rsid w:val="002D5C66"/>
    <w:rsid w:val="002D5D52"/>
    <w:rsid w:val="002D5EFA"/>
    <w:rsid w:val="002D5F39"/>
    <w:rsid w:val="002D5F6D"/>
    <w:rsid w:val="002D602E"/>
    <w:rsid w:val="002D60AD"/>
    <w:rsid w:val="002D6101"/>
    <w:rsid w:val="002D613A"/>
    <w:rsid w:val="002D6341"/>
    <w:rsid w:val="002D6363"/>
    <w:rsid w:val="002D6379"/>
    <w:rsid w:val="002D645C"/>
    <w:rsid w:val="002D650F"/>
    <w:rsid w:val="002D6609"/>
    <w:rsid w:val="002D6614"/>
    <w:rsid w:val="002D6639"/>
    <w:rsid w:val="002D6646"/>
    <w:rsid w:val="002D66CB"/>
    <w:rsid w:val="002D6738"/>
    <w:rsid w:val="002D67AD"/>
    <w:rsid w:val="002D67B4"/>
    <w:rsid w:val="002D67BD"/>
    <w:rsid w:val="002D6887"/>
    <w:rsid w:val="002D688C"/>
    <w:rsid w:val="002D6AFF"/>
    <w:rsid w:val="002D6B23"/>
    <w:rsid w:val="002D6D67"/>
    <w:rsid w:val="002D6E00"/>
    <w:rsid w:val="002D6E53"/>
    <w:rsid w:val="002D6FED"/>
    <w:rsid w:val="002D706A"/>
    <w:rsid w:val="002D70CB"/>
    <w:rsid w:val="002D7121"/>
    <w:rsid w:val="002D715D"/>
    <w:rsid w:val="002D7282"/>
    <w:rsid w:val="002D7293"/>
    <w:rsid w:val="002D72DD"/>
    <w:rsid w:val="002D73E8"/>
    <w:rsid w:val="002D7602"/>
    <w:rsid w:val="002D7710"/>
    <w:rsid w:val="002D778C"/>
    <w:rsid w:val="002D783E"/>
    <w:rsid w:val="002D7B55"/>
    <w:rsid w:val="002D7B7E"/>
    <w:rsid w:val="002D7C4F"/>
    <w:rsid w:val="002D7D04"/>
    <w:rsid w:val="002D7D7D"/>
    <w:rsid w:val="002D7DA5"/>
    <w:rsid w:val="002D7EF5"/>
    <w:rsid w:val="002D7F2D"/>
    <w:rsid w:val="002D7F94"/>
    <w:rsid w:val="002E0015"/>
    <w:rsid w:val="002E00C6"/>
    <w:rsid w:val="002E00F2"/>
    <w:rsid w:val="002E0124"/>
    <w:rsid w:val="002E012D"/>
    <w:rsid w:val="002E0228"/>
    <w:rsid w:val="002E026A"/>
    <w:rsid w:val="002E0315"/>
    <w:rsid w:val="002E04C2"/>
    <w:rsid w:val="002E0535"/>
    <w:rsid w:val="002E05AE"/>
    <w:rsid w:val="002E0625"/>
    <w:rsid w:val="002E07E9"/>
    <w:rsid w:val="002E0806"/>
    <w:rsid w:val="002E08C8"/>
    <w:rsid w:val="002E09CE"/>
    <w:rsid w:val="002E0AB9"/>
    <w:rsid w:val="002E0BA1"/>
    <w:rsid w:val="002E0C8D"/>
    <w:rsid w:val="002E0D67"/>
    <w:rsid w:val="002E0EA1"/>
    <w:rsid w:val="002E0F77"/>
    <w:rsid w:val="002E0F93"/>
    <w:rsid w:val="002E0FDB"/>
    <w:rsid w:val="002E114D"/>
    <w:rsid w:val="002E1164"/>
    <w:rsid w:val="002E1247"/>
    <w:rsid w:val="002E1286"/>
    <w:rsid w:val="002E12BC"/>
    <w:rsid w:val="002E12F8"/>
    <w:rsid w:val="002E1401"/>
    <w:rsid w:val="002E147B"/>
    <w:rsid w:val="002E14BA"/>
    <w:rsid w:val="002E1581"/>
    <w:rsid w:val="002E15DB"/>
    <w:rsid w:val="002E1718"/>
    <w:rsid w:val="002E17C5"/>
    <w:rsid w:val="002E17D7"/>
    <w:rsid w:val="002E182D"/>
    <w:rsid w:val="002E18D1"/>
    <w:rsid w:val="002E1933"/>
    <w:rsid w:val="002E19A1"/>
    <w:rsid w:val="002E19F4"/>
    <w:rsid w:val="002E1B6C"/>
    <w:rsid w:val="002E1BB7"/>
    <w:rsid w:val="002E1D7E"/>
    <w:rsid w:val="002E1F78"/>
    <w:rsid w:val="002E1F98"/>
    <w:rsid w:val="002E202B"/>
    <w:rsid w:val="002E2044"/>
    <w:rsid w:val="002E20F1"/>
    <w:rsid w:val="002E20FF"/>
    <w:rsid w:val="002E2127"/>
    <w:rsid w:val="002E21AF"/>
    <w:rsid w:val="002E21B0"/>
    <w:rsid w:val="002E21EC"/>
    <w:rsid w:val="002E22A6"/>
    <w:rsid w:val="002E22CE"/>
    <w:rsid w:val="002E233B"/>
    <w:rsid w:val="002E2447"/>
    <w:rsid w:val="002E259E"/>
    <w:rsid w:val="002E264D"/>
    <w:rsid w:val="002E2797"/>
    <w:rsid w:val="002E27F2"/>
    <w:rsid w:val="002E281C"/>
    <w:rsid w:val="002E289E"/>
    <w:rsid w:val="002E292F"/>
    <w:rsid w:val="002E2AC2"/>
    <w:rsid w:val="002E2C22"/>
    <w:rsid w:val="002E2CB9"/>
    <w:rsid w:val="002E2D06"/>
    <w:rsid w:val="002E2DC0"/>
    <w:rsid w:val="002E2E4D"/>
    <w:rsid w:val="002E2EE0"/>
    <w:rsid w:val="002E2EE3"/>
    <w:rsid w:val="002E2FFC"/>
    <w:rsid w:val="002E30C1"/>
    <w:rsid w:val="002E31C0"/>
    <w:rsid w:val="002E335A"/>
    <w:rsid w:val="002E335D"/>
    <w:rsid w:val="002E349F"/>
    <w:rsid w:val="002E34B2"/>
    <w:rsid w:val="002E36D5"/>
    <w:rsid w:val="002E3728"/>
    <w:rsid w:val="002E378E"/>
    <w:rsid w:val="002E37CE"/>
    <w:rsid w:val="002E3956"/>
    <w:rsid w:val="002E3982"/>
    <w:rsid w:val="002E3A0A"/>
    <w:rsid w:val="002E3A18"/>
    <w:rsid w:val="002E3A5B"/>
    <w:rsid w:val="002E3ACA"/>
    <w:rsid w:val="002E3ADD"/>
    <w:rsid w:val="002E3CEC"/>
    <w:rsid w:val="002E3D60"/>
    <w:rsid w:val="002E3D64"/>
    <w:rsid w:val="002E3DEA"/>
    <w:rsid w:val="002E3EDE"/>
    <w:rsid w:val="002E3F71"/>
    <w:rsid w:val="002E3F76"/>
    <w:rsid w:val="002E3FE7"/>
    <w:rsid w:val="002E40D2"/>
    <w:rsid w:val="002E4169"/>
    <w:rsid w:val="002E42D2"/>
    <w:rsid w:val="002E42FC"/>
    <w:rsid w:val="002E430F"/>
    <w:rsid w:val="002E4481"/>
    <w:rsid w:val="002E44C0"/>
    <w:rsid w:val="002E44CB"/>
    <w:rsid w:val="002E4532"/>
    <w:rsid w:val="002E45E7"/>
    <w:rsid w:val="002E46B1"/>
    <w:rsid w:val="002E47A6"/>
    <w:rsid w:val="002E47D2"/>
    <w:rsid w:val="002E4880"/>
    <w:rsid w:val="002E48FA"/>
    <w:rsid w:val="002E494E"/>
    <w:rsid w:val="002E497D"/>
    <w:rsid w:val="002E4990"/>
    <w:rsid w:val="002E4A4B"/>
    <w:rsid w:val="002E4A88"/>
    <w:rsid w:val="002E4B28"/>
    <w:rsid w:val="002E4BAF"/>
    <w:rsid w:val="002E4C28"/>
    <w:rsid w:val="002E4D74"/>
    <w:rsid w:val="002E4DA9"/>
    <w:rsid w:val="002E4DF7"/>
    <w:rsid w:val="002E4E93"/>
    <w:rsid w:val="002E4F23"/>
    <w:rsid w:val="002E4FD9"/>
    <w:rsid w:val="002E508C"/>
    <w:rsid w:val="002E5150"/>
    <w:rsid w:val="002E539F"/>
    <w:rsid w:val="002E53CD"/>
    <w:rsid w:val="002E5428"/>
    <w:rsid w:val="002E5506"/>
    <w:rsid w:val="002E552A"/>
    <w:rsid w:val="002E5566"/>
    <w:rsid w:val="002E5700"/>
    <w:rsid w:val="002E58DE"/>
    <w:rsid w:val="002E5935"/>
    <w:rsid w:val="002E595A"/>
    <w:rsid w:val="002E5996"/>
    <w:rsid w:val="002E5A65"/>
    <w:rsid w:val="002E5BD6"/>
    <w:rsid w:val="002E5C61"/>
    <w:rsid w:val="002E5D46"/>
    <w:rsid w:val="002E5D63"/>
    <w:rsid w:val="002E5D96"/>
    <w:rsid w:val="002E5DFF"/>
    <w:rsid w:val="002E5E24"/>
    <w:rsid w:val="002E5E5D"/>
    <w:rsid w:val="002E5E7B"/>
    <w:rsid w:val="002E5E81"/>
    <w:rsid w:val="002E5EE3"/>
    <w:rsid w:val="002E5F12"/>
    <w:rsid w:val="002E5F2E"/>
    <w:rsid w:val="002E6239"/>
    <w:rsid w:val="002E62D7"/>
    <w:rsid w:val="002E6428"/>
    <w:rsid w:val="002E64EE"/>
    <w:rsid w:val="002E6594"/>
    <w:rsid w:val="002E65E3"/>
    <w:rsid w:val="002E6686"/>
    <w:rsid w:val="002E679A"/>
    <w:rsid w:val="002E67A8"/>
    <w:rsid w:val="002E687E"/>
    <w:rsid w:val="002E6886"/>
    <w:rsid w:val="002E68BF"/>
    <w:rsid w:val="002E69AF"/>
    <w:rsid w:val="002E6A68"/>
    <w:rsid w:val="002E6A9A"/>
    <w:rsid w:val="002E6B29"/>
    <w:rsid w:val="002E6CC0"/>
    <w:rsid w:val="002E6CDA"/>
    <w:rsid w:val="002E6CF7"/>
    <w:rsid w:val="002E6DE4"/>
    <w:rsid w:val="002E6E25"/>
    <w:rsid w:val="002E6E2E"/>
    <w:rsid w:val="002E6E99"/>
    <w:rsid w:val="002E6EEF"/>
    <w:rsid w:val="002E6F0C"/>
    <w:rsid w:val="002E6FF6"/>
    <w:rsid w:val="002E709D"/>
    <w:rsid w:val="002E71C7"/>
    <w:rsid w:val="002E72AB"/>
    <w:rsid w:val="002E72F8"/>
    <w:rsid w:val="002E7308"/>
    <w:rsid w:val="002E73CC"/>
    <w:rsid w:val="002E749D"/>
    <w:rsid w:val="002E74AD"/>
    <w:rsid w:val="002E7559"/>
    <w:rsid w:val="002E75AB"/>
    <w:rsid w:val="002E75E2"/>
    <w:rsid w:val="002E75F9"/>
    <w:rsid w:val="002E7653"/>
    <w:rsid w:val="002E76B8"/>
    <w:rsid w:val="002E76E7"/>
    <w:rsid w:val="002E77DE"/>
    <w:rsid w:val="002E7810"/>
    <w:rsid w:val="002E7941"/>
    <w:rsid w:val="002E796C"/>
    <w:rsid w:val="002E7986"/>
    <w:rsid w:val="002E7B6F"/>
    <w:rsid w:val="002E7C6B"/>
    <w:rsid w:val="002E7CB4"/>
    <w:rsid w:val="002E7EE0"/>
    <w:rsid w:val="002E7FDD"/>
    <w:rsid w:val="002F003E"/>
    <w:rsid w:val="002F0058"/>
    <w:rsid w:val="002F0138"/>
    <w:rsid w:val="002F02CC"/>
    <w:rsid w:val="002F0460"/>
    <w:rsid w:val="002F048A"/>
    <w:rsid w:val="002F04AC"/>
    <w:rsid w:val="002F04D2"/>
    <w:rsid w:val="002F04F2"/>
    <w:rsid w:val="002F056A"/>
    <w:rsid w:val="002F05BA"/>
    <w:rsid w:val="002F06A6"/>
    <w:rsid w:val="002F073B"/>
    <w:rsid w:val="002F0855"/>
    <w:rsid w:val="002F089C"/>
    <w:rsid w:val="002F08EF"/>
    <w:rsid w:val="002F0931"/>
    <w:rsid w:val="002F09D0"/>
    <w:rsid w:val="002F09D8"/>
    <w:rsid w:val="002F0A6B"/>
    <w:rsid w:val="002F0A9F"/>
    <w:rsid w:val="002F0B31"/>
    <w:rsid w:val="002F0B35"/>
    <w:rsid w:val="002F0BB9"/>
    <w:rsid w:val="002F0C74"/>
    <w:rsid w:val="002F0D7A"/>
    <w:rsid w:val="002F0E44"/>
    <w:rsid w:val="002F0F3F"/>
    <w:rsid w:val="002F0F78"/>
    <w:rsid w:val="002F10D4"/>
    <w:rsid w:val="002F1170"/>
    <w:rsid w:val="002F11D7"/>
    <w:rsid w:val="002F1229"/>
    <w:rsid w:val="002F124B"/>
    <w:rsid w:val="002F13BF"/>
    <w:rsid w:val="002F1418"/>
    <w:rsid w:val="002F144B"/>
    <w:rsid w:val="002F1481"/>
    <w:rsid w:val="002F164E"/>
    <w:rsid w:val="002F1655"/>
    <w:rsid w:val="002F1665"/>
    <w:rsid w:val="002F1673"/>
    <w:rsid w:val="002F17E0"/>
    <w:rsid w:val="002F1857"/>
    <w:rsid w:val="002F189D"/>
    <w:rsid w:val="002F18E9"/>
    <w:rsid w:val="002F18FC"/>
    <w:rsid w:val="002F1938"/>
    <w:rsid w:val="002F1A5F"/>
    <w:rsid w:val="002F1ADF"/>
    <w:rsid w:val="002F1B63"/>
    <w:rsid w:val="002F1B64"/>
    <w:rsid w:val="002F1B82"/>
    <w:rsid w:val="002F1BEE"/>
    <w:rsid w:val="002F1C82"/>
    <w:rsid w:val="002F1D5C"/>
    <w:rsid w:val="002F1DA3"/>
    <w:rsid w:val="002F1DC7"/>
    <w:rsid w:val="002F1E73"/>
    <w:rsid w:val="002F1EEF"/>
    <w:rsid w:val="002F20D0"/>
    <w:rsid w:val="002F2267"/>
    <w:rsid w:val="002F2346"/>
    <w:rsid w:val="002F2410"/>
    <w:rsid w:val="002F2435"/>
    <w:rsid w:val="002F24ED"/>
    <w:rsid w:val="002F256C"/>
    <w:rsid w:val="002F260E"/>
    <w:rsid w:val="002F265A"/>
    <w:rsid w:val="002F2674"/>
    <w:rsid w:val="002F271B"/>
    <w:rsid w:val="002F271E"/>
    <w:rsid w:val="002F275C"/>
    <w:rsid w:val="002F27BF"/>
    <w:rsid w:val="002F286F"/>
    <w:rsid w:val="002F28CB"/>
    <w:rsid w:val="002F290D"/>
    <w:rsid w:val="002F297D"/>
    <w:rsid w:val="002F2AED"/>
    <w:rsid w:val="002F2BB8"/>
    <w:rsid w:val="002F2C4A"/>
    <w:rsid w:val="002F2C81"/>
    <w:rsid w:val="002F2E53"/>
    <w:rsid w:val="002F2F1E"/>
    <w:rsid w:val="002F304B"/>
    <w:rsid w:val="002F31D0"/>
    <w:rsid w:val="002F3211"/>
    <w:rsid w:val="002F326D"/>
    <w:rsid w:val="002F3366"/>
    <w:rsid w:val="002F33E3"/>
    <w:rsid w:val="002F3423"/>
    <w:rsid w:val="002F3425"/>
    <w:rsid w:val="002F3524"/>
    <w:rsid w:val="002F3540"/>
    <w:rsid w:val="002F3566"/>
    <w:rsid w:val="002F3591"/>
    <w:rsid w:val="002F35A5"/>
    <w:rsid w:val="002F35C9"/>
    <w:rsid w:val="002F35DD"/>
    <w:rsid w:val="002F3615"/>
    <w:rsid w:val="002F3766"/>
    <w:rsid w:val="002F37BD"/>
    <w:rsid w:val="002F386B"/>
    <w:rsid w:val="002F3AB5"/>
    <w:rsid w:val="002F3B4E"/>
    <w:rsid w:val="002F3B94"/>
    <w:rsid w:val="002F3CA3"/>
    <w:rsid w:val="002F3DB2"/>
    <w:rsid w:val="002F3DC2"/>
    <w:rsid w:val="002F3EE7"/>
    <w:rsid w:val="002F3F0E"/>
    <w:rsid w:val="002F3F2D"/>
    <w:rsid w:val="002F3F39"/>
    <w:rsid w:val="002F3F59"/>
    <w:rsid w:val="002F3FF1"/>
    <w:rsid w:val="002F3FFD"/>
    <w:rsid w:val="002F4028"/>
    <w:rsid w:val="002F413E"/>
    <w:rsid w:val="002F4177"/>
    <w:rsid w:val="002F41FE"/>
    <w:rsid w:val="002F4260"/>
    <w:rsid w:val="002F4277"/>
    <w:rsid w:val="002F429C"/>
    <w:rsid w:val="002F4325"/>
    <w:rsid w:val="002F4390"/>
    <w:rsid w:val="002F43F4"/>
    <w:rsid w:val="002F4509"/>
    <w:rsid w:val="002F4516"/>
    <w:rsid w:val="002F4630"/>
    <w:rsid w:val="002F46DD"/>
    <w:rsid w:val="002F46ED"/>
    <w:rsid w:val="002F471F"/>
    <w:rsid w:val="002F474B"/>
    <w:rsid w:val="002F47AA"/>
    <w:rsid w:val="002F4806"/>
    <w:rsid w:val="002F482F"/>
    <w:rsid w:val="002F4885"/>
    <w:rsid w:val="002F4894"/>
    <w:rsid w:val="002F4922"/>
    <w:rsid w:val="002F4970"/>
    <w:rsid w:val="002F499E"/>
    <w:rsid w:val="002F49DB"/>
    <w:rsid w:val="002F4A0C"/>
    <w:rsid w:val="002F4A12"/>
    <w:rsid w:val="002F4A42"/>
    <w:rsid w:val="002F4A88"/>
    <w:rsid w:val="002F4B2D"/>
    <w:rsid w:val="002F4B88"/>
    <w:rsid w:val="002F4CBB"/>
    <w:rsid w:val="002F4D2C"/>
    <w:rsid w:val="002F4D7D"/>
    <w:rsid w:val="002F4DBD"/>
    <w:rsid w:val="002F4DCC"/>
    <w:rsid w:val="002F4F64"/>
    <w:rsid w:val="002F4FB2"/>
    <w:rsid w:val="002F4FE7"/>
    <w:rsid w:val="002F5082"/>
    <w:rsid w:val="002F5092"/>
    <w:rsid w:val="002F519D"/>
    <w:rsid w:val="002F51E3"/>
    <w:rsid w:val="002F5496"/>
    <w:rsid w:val="002F54DA"/>
    <w:rsid w:val="002F5586"/>
    <w:rsid w:val="002F55DC"/>
    <w:rsid w:val="002F565D"/>
    <w:rsid w:val="002F5781"/>
    <w:rsid w:val="002F5789"/>
    <w:rsid w:val="002F579D"/>
    <w:rsid w:val="002F5817"/>
    <w:rsid w:val="002F58F8"/>
    <w:rsid w:val="002F595E"/>
    <w:rsid w:val="002F59A7"/>
    <w:rsid w:val="002F5AA3"/>
    <w:rsid w:val="002F5BFB"/>
    <w:rsid w:val="002F5C52"/>
    <w:rsid w:val="002F5C67"/>
    <w:rsid w:val="002F5D89"/>
    <w:rsid w:val="002F5EC8"/>
    <w:rsid w:val="002F5F1E"/>
    <w:rsid w:val="002F6006"/>
    <w:rsid w:val="002F6023"/>
    <w:rsid w:val="002F6045"/>
    <w:rsid w:val="002F614B"/>
    <w:rsid w:val="002F61DB"/>
    <w:rsid w:val="002F62B7"/>
    <w:rsid w:val="002F62CE"/>
    <w:rsid w:val="002F62FC"/>
    <w:rsid w:val="002F6378"/>
    <w:rsid w:val="002F6489"/>
    <w:rsid w:val="002F64A3"/>
    <w:rsid w:val="002F6538"/>
    <w:rsid w:val="002F65E9"/>
    <w:rsid w:val="002F6607"/>
    <w:rsid w:val="002F6643"/>
    <w:rsid w:val="002F66E3"/>
    <w:rsid w:val="002F674C"/>
    <w:rsid w:val="002F6751"/>
    <w:rsid w:val="002F67EB"/>
    <w:rsid w:val="002F6836"/>
    <w:rsid w:val="002F686A"/>
    <w:rsid w:val="002F68F6"/>
    <w:rsid w:val="002F69AB"/>
    <w:rsid w:val="002F69C8"/>
    <w:rsid w:val="002F6A7F"/>
    <w:rsid w:val="002F6A8B"/>
    <w:rsid w:val="002F6B03"/>
    <w:rsid w:val="002F6BEA"/>
    <w:rsid w:val="002F6C15"/>
    <w:rsid w:val="002F6C7E"/>
    <w:rsid w:val="002F6C96"/>
    <w:rsid w:val="002F6D06"/>
    <w:rsid w:val="002F6DFA"/>
    <w:rsid w:val="002F6EE2"/>
    <w:rsid w:val="002F70D5"/>
    <w:rsid w:val="002F7166"/>
    <w:rsid w:val="002F716A"/>
    <w:rsid w:val="002F7198"/>
    <w:rsid w:val="002F7236"/>
    <w:rsid w:val="002F72B6"/>
    <w:rsid w:val="002F742D"/>
    <w:rsid w:val="002F746D"/>
    <w:rsid w:val="002F748E"/>
    <w:rsid w:val="002F74EA"/>
    <w:rsid w:val="002F74EF"/>
    <w:rsid w:val="002F75B1"/>
    <w:rsid w:val="002F75B4"/>
    <w:rsid w:val="002F75BA"/>
    <w:rsid w:val="002F764F"/>
    <w:rsid w:val="002F7659"/>
    <w:rsid w:val="002F773C"/>
    <w:rsid w:val="002F77A0"/>
    <w:rsid w:val="002F7825"/>
    <w:rsid w:val="002F7896"/>
    <w:rsid w:val="002F78F5"/>
    <w:rsid w:val="002F790F"/>
    <w:rsid w:val="002F7960"/>
    <w:rsid w:val="002F797E"/>
    <w:rsid w:val="002F7A0B"/>
    <w:rsid w:val="002F7A6C"/>
    <w:rsid w:val="002F7A9F"/>
    <w:rsid w:val="002F7ACB"/>
    <w:rsid w:val="002F7B3E"/>
    <w:rsid w:val="002F7BFE"/>
    <w:rsid w:val="002F7D55"/>
    <w:rsid w:val="002F7DAD"/>
    <w:rsid w:val="002F7DCB"/>
    <w:rsid w:val="002F7DD6"/>
    <w:rsid w:val="002F7E59"/>
    <w:rsid w:val="002F7F89"/>
    <w:rsid w:val="002F7F9E"/>
    <w:rsid w:val="003000E7"/>
    <w:rsid w:val="00300187"/>
    <w:rsid w:val="00300295"/>
    <w:rsid w:val="00300297"/>
    <w:rsid w:val="00300355"/>
    <w:rsid w:val="00300453"/>
    <w:rsid w:val="0030045D"/>
    <w:rsid w:val="00300469"/>
    <w:rsid w:val="003004F2"/>
    <w:rsid w:val="00300567"/>
    <w:rsid w:val="00300569"/>
    <w:rsid w:val="003006E6"/>
    <w:rsid w:val="00300746"/>
    <w:rsid w:val="00300888"/>
    <w:rsid w:val="003008C8"/>
    <w:rsid w:val="003009EF"/>
    <w:rsid w:val="00300A47"/>
    <w:rsid w:val="00300A79"/>
    <w:rsid w:val="00300AD7"/>
    <w:rsid w:val="00300B58"/>
    <w:rsid w:val="00300B59"/>
    <w:rsid w:val="00300EBA"/>
    <w:rsid w:val="00300EBD"/>
    <w:rsid w:val="00300F2A"/>
    <w:rsid w:val="00301031"/>
    <w:rsid w:val="00301232"/>
    <w:rsid w:val="003012AB"/>
    <w:rsid w:val="003012E3"/>
    <w:rsid w:val="003012F9"/>
    <w:rsid w:val="003013B0"/>
    <w:rsid w:val="0030146C"/>
    <w:rsid w:val="0030149A"/>
    <w:rsid w:val="003014B4"/>
    <w:rsid w:val="0030152E"/>
    <w:rsid w:val="003016B0"/>
    <w:rsid w:val="003016BD"/>
    <w:rsid w:val="00301725"/>
    <w:rsid w:val="00301778"/>
    <w:rsid w:val="003018D8"/>
    <w:rsid w:val="0030194C"/>
    <w:rsid w:val="00301A35"/>
    <w:rsid w:val="00301A7A"/>
    <w:rsid w:val="00301B57"/>
    <w:rsid w:val="00301B7A"/>
    <w:rsid w:val="00301F2A"/>
    <w:rsid w:val="00302019"/>
    <w:rsid w:val="00302043"/>
    <w:rsid w:val="00302061"/>
    <w:rsid w:val="0030208D"/>
    <w:rsid w:val="0030223D"/>
    <w:rsid w:val="0030223F"/>
    <w:rsid w:val="00302302"/>
    <w:rsid w:val="003024B8"/>
    <w:rsid w:val="00302549"/>
    <w:rsid w:val="00302596"/>
    <w:rsid w:val="0030262B"/>
    <w:rsid w:val="00302671"/>
    <w:rsid w:val="003026B5"/>
    <w:rsid w:val="0030272C"/>
    <w:rsid w:val="0030283C"/>
    <w:rsid w:val="00302844"/>
    <w:rsid w:val="0030289C"/>
    <w:rsid w:val="003029B3"/>
    <w:rsid w:val="00302B3C"/>
    <w:rsid w:val="00302B44"/>
    <w:rsid w:val="00302B89"/>
    <w:rsid w:val="00302BBE"/>
    <w:rsid w:val="00302BCD"/>
    <w:rsid w:val="00302C62"/>
    <w:rsid w:val="00302D7C"/>
    <w:rsid w:val="00302DF8"/>
    <w:rsid w:val="00302E3B"/>
    <w:rsid w:val="00302EC6"/>
    <w:rsid w:val="00302F69"/>
    <w:rsid w:val="00302F91"/>
    <w:rsid w:val="00303023"/>
    <w:rsid w:val="003030B5"/>
    <w:rsid w:val="003030E3"/>
    <w:rsid w:val="0030322C"/>
    <w:rsid w:val="00303239"/>
    <w:rsid w:val="00303280"/>
    <w:rsid w:val="00303284"/>
    <w:rsid w:val="003032D8"/>
    <w:rsid w:val="003033B3"/>
    <w:rsid w:val="0030349F"/>
    <w:rsid w:val="00303590"/>
    <w:rsid w:val="003035DD"/>
    <w:rsid w:val="00303606"/>
    <w:rsid w:val="00303643"/>
    <w:rsid w:val="003036CF"/>
    <w:rsid w:val="00303718"/>
    <w:rsid w:val="00303772"/>
    <w:rsid w:val="003037AE"/>
    <w:rsid w:val="0030382C"/>
    <w:rsid w:val="0030390D"/>
    <w:rsid w:val="00303950"/>
    <w:rsid w:val="00303A00"/>
    <w:rsid w:val="00303A10"/>
    <w:rsid w:val="00303A89"/>
    <w:rsid w:val="00303BC2"/>
    <w:rsid w:val="00303BE1"/>
    <w:rsid w:val="00303C0B"/>
    <w:rsid w:val="00303D36"/>
    <w:rsid w:val="00303E30"/>
    <w:rsid w:val="00303EC4"/>
    <w:rsid w:val="00303F39"/>
    <w:rsid w:val="00303FB1"/>
    <w:rsid w:val="00303FD6"/>
    <w:rsid w:val="00303FDC"/>
    <w:rsid w:val="00304005"/>
    <w:rsid w:val="00304017"/>
    <w:rsid w:val="003040F7"/>
    <w:rsid w:val="0030411E"/>
    <w:rsid w:val="00304277"/>
    <w:rsid w:val="00304334"/>
    <w:rsid w:val="003043AE"/>
    <w:rsid w:val="003043D2"/>
    <w:rsid w:val="003043D6"/>
    <w:rsid w:val="003044CC"/>
    <w:rsid w:val="003044F6"/>
    <w:rsid w:val="00304562"/>
    <w:rsid w:val="003045F2"/>
    <w:rsid w:val="00304702"/>
    <w:rsid w:val="003047C4"/>
    <w:rsid w:val="00304807"/>
    <w:rsid w:val="00304871"/>
    <w:rsid w:val="00304935"/>
    <w:rsid w:val="00304C00"/>
    <w:rsid w:val="00304C5A"/>
    <w:rsid w:val="00304E21"/>
    <w:rsid w:val="00304E83"/>
    <w:rsid w:val="003050A4"/>
    <w:rsid w:val="003050C5"/>
    <w:rsid w:val="003051D0"/>
    <w:rsid w:val="003053A4"/>
    <w:rsid w:val="00305444"/>
    <w:rsid w:val="003058BE"/>
    <w:rsid w:val="003059C9"/>
    <w:rsid w:val="00305A74"/>
    <w:rsid w:val="00305B8F"/>
    <w:rsid w:val="00305C25"/>
    <w:rsid w:val="00305C76"/>
    <w:rsid w:val="00305CED"/>
    <w:rsid w:val="00305D10"/>
    <w:rsid w:val="00305D39"/>
    <w:rsid w:val="00305F63"/>
    <w:rsid w:val="00305FB7"/>
    <w:rsid w:val="0030605A"/>
    <w:rsid w:val="00306081"/>
    <w:rsid w:val="003060F8"/>
    <w:rsid w:val="003061E2"/>
    <w:rsid w:val="0030623B"/>
    <w:rsid w:val="00306271"/>
    <w:rsid w:val="003063ED"/>
    <w:rsid w:val="0030642A"/>
    <w:rsid w:val="00306464"/>
    <w:rsid w:val="003064F6"/>
    <w:rsid w:val="003065E2"/>
    <w:rsid w:val="003066E7"/>
    <w:rsid w:val="00306742"/>
    <w:rsid w:val="0030676F"/>
    <w:rsid w:val="00306774"/>
    <w:rsid w:val="00306868"/>
    <w:rsid w:val="00306880"/>
    <w:rsid w:val="00306893"/>
    <w:rsid w:val="003068EC"/>
    <w:rsid w:val="00306AB1"/>
    <w:rsid w:val="00306B78"/>
    <w:rsid w:val="00306BB3"/>
    <w:rsid w:val="00306C09"/>
    <w:rsid w:val="00306C63"/>
    <w:rsid w:val="00306C7D"/>
    <w:rsid w:val="00306CB9"/>
    <w:rsid w:val="00306CC6"/>
    <w:rsid w:val="00306D2B"/>
    <w:rsid w:val="00306D7E"/>
    <w:rsid w:val="00306DEF"/>
    <w:rsid w:val="00306E8F"/>
    <w:rsid w:val="00306EBF"/>
    <w:rsid w:val="00306F4B"/>
    <w:rsid w:val="0030703E"/>
    <w:rsid w:val="0030736C"/>
    <w:rsid w:val="0030751A"/>
    <w:rsid w:val="00307641"/>
    <w:rsid w:val="00307681"/>
    <w:rsid w:val="003077D5"/>
    <w:rsid w:val="00307851"/>
    <w:rsid w:val="00307880"/>
    <w:rsid w:val="00307897"/>
    <w:rsid w:val="00307921"/>
    <w:rsid w:val="0030792E"/>
    <w:rsid w:val="0030795C"/>
    <w:rsid w:val="003079AF"/>
    <w:rsid w:val="00307A05"/>
    <w:rsid w:val="00307A8C"/>
    <w:rsid w:val="00307AAD"/>
    <w:rsid w:val="00307AB2"/>
    <w:rsid w:val="00307B98"/>
    <w:rsid w:val="00307CBB"/>
    <w:rsid w:val="00307D63"/>
    <w:rsid w:val="00307D6E"/>
    <w:rsid w:val="00307D73"/>
    <w:rsid w:val="00307DD6"/>
    <w:rsid w:val="00307F47"/>
    <w:rsid w:val="00307FB4"/>
    <w:rsid w:val="00310082"/>
    <w:rsid w:val="003102C1"/>
    <w:rsid w:val="0031034B"/>
    <w:rsid w:val="00310350"/>
    <w:rsid w:val="0031036E"/>
    <w:rsid w:val="0031037A"/>
    <w:rsid w:val="003103F3"/>
    <w:rsid w:val="00310463"/>
    <w:rsid w:val="00310569"/>
    <w:rsid w:val="003105B0"/>
    <w:rsid w:val="003105C2"/>
    <w:rsid w:val="003105D1"/>
    <w:rsid w:val="003105DC"/>
    <w:rsid w:val="003106AC"/>
    <w:rsid w:val="00310722"/>
    <w:rsid w:val="003107B3"/>
    <w:rsid w:val="00310821"/>
    <w:rsid w:val="003109CE"/>
    <w:rsid w:val="00310A0B"/>
    <w:rsid w:val="00310A2E"/>
    <w:rsid w:val="00310A7E"/>
    <w:rsid w:val="00310BC8"/>
    <w:rsid w:val="00310C1C"/>
    <w:rsid w:val="00310C4F"/>
    <w:rsid w:val="00310C7C"/>
    <w:rsid w:val="00310D4E"/>
    <w:rsid w:val="00310E62"/>
    <w:rsid w:val="00310EF5"/>
    <w:rsid w:val="00311057"/>
    <w:rsid w:val="003110CF"/>
    <w:rsid w:val="0031112F"/>
    <w:rsid w:val="00311370"/>
    <w:rsid w:val="00311371"/>
    <w:rsid w:val="00311467"/>
    <w:rsid w:val="003114DB"/>
    <w:rsid w:val="00311532"/>
    <w:rsid w:val="00311602"/>
    <w:rsid w:val="003116E1"/>
    <w:rsid w:val="00311772"/>
    <w:rsid w:val="003117C5"/>
    <w:rsid w:val="003119BF"/>
    <w:rsid w:val="00311A02"/>
    <w:rsid w:val="00311A3B"/>
    <w:rsid w:val="00311A88"/>
    <w:rsid w:val="00311B50"/>
    <w:rsid w:val="00311C01"/>
    <w:rsid w:val="00311C9D"/>
    <w:rsid w:val="00311CB2"/>
    <w:rsid w:val="00311D09"/>
    <w:rsid w:val="00311D12"/>
    <w:rsid w:val="00311D7C"/>
    <w:rsid w:val="00311DB5"/>
    <w:rsid w:val="00311DF0"/>
    <w:rsid w:val="00311E42"/>
    <w:rsid w:val="00311FCD"/>
    <w:rsid w:val="00312017"/>
    <w:rsid w:val="0031203D"/>
    <w:rsid w:val="00312049"/>
    <w:rsid w:val="003120CF"/>
    <w:rsid w:val="00312179"/>
    <w:rsid w:val="003121EF"/>
    <w:rsid w:val="00312251"/>
    <w:rsid w:val="00312262"/>
    <w:rsid w:val="00312285"/>
    <w:rsid w:val="0031229D"/>
    <w:rsid w:val="00312304"/>
    <w:rsid w:val="0031235F"/>
    <w:rsid w:val="0031238B"/>
    <w:rsid w:val="00312399"/>
    <w:rsid w:val="003123A6"/>
    <w:rsid w:val="0031247C"/>
    <w:rsid w:val="00312514"/>
    <w:rsid w:val="00312582"/>
    <w:rsid w:val="003125D3"/>
    <w:rsid w:val="00312627"/>
    <w:rsid w:val="00312698"/>
    <w:rsid w:val="003126D1"/>
    <w:rsid w:val="00312792"/>
    <w:rsid w:val="003127AB"/>
    <w:rsid w:val="003129A6"/>
    <w:rsid w:val="003129B9"/>
    <w:rsid w:val="003129FD"/>
    <w:rsid w:val="00312AEE"/>
    <w:rsid w:val="00312B21"/>
    <w:rsid w:val="00312BA3"/>
    <w:rsid w:val="00312BD7"/>
    <w:rsid w:val="00312CD3"/>
    <w:rsid w:val="00312E8D"/>
    <w:rsid w:val="00312ECF"/>
    <w:rsid w:val="00312F67"/>
    <w:rsid w:val="00312F7A"/>
    <w:rsid w:val="00312FD8"/>
    <w:rsid w:val="00312FED"/>
    <w:rsid w:val="00313042"/>
    <w:rsid w:val="0031309D"/>
    <w:rsid w:val="0031317C"/>
    <w:rsid w:val="0031320D"/>
    <w:rsid w:val="003132A3"/>
    <w:rsid w:val="003132D4"/>
    <w:rsid w:val="003132E2"/>
    <w:rsid w:val="0031330B"/>
    <w:rsid w:val="0031331C"/>
    <w:rsid w:val="00313345"/>
    <w:rsid w:val="00313348"/>
    <w:rsid w:val="003134ED"/>
    <w:rsid w:val="0031351A"/>
    <w:rsid w:val="00313563"/>
    <w:rsid w:val="003135E2"/>
    <w:rsid w:val="003135FE"/>
    <w:rsid w:val="00313817"/>
    <w:rsid w:val="003138B0"/>
    <w:rsid w:val="00313904"/>
    <w:rsid w:val="00313922"/>
    <w:rsid w:val="0031396A"/>
    <w:rsid w:val="003139F3"/>
    <w:rsid w:val="00313A07"/>
    <w:rsid w:val="00313A5F"/>
    <w:rsid w:val="00313A67"/>
    <w:rsid w:val="00313A68"/>
    <w:rsid w:val="00313AFB"/>
    <w:rsid w:val="00313BB6"/>
    <w:rsid w:val="00313BED"/>
    <w:rsid w:val="00313D32"/>
    <w:rsid w:val="00313DC3"/>
    <w:rsid w:val="00313DF8"/>
    <w:rsid w:val="00313E6C"/>
    <w:rsid w:val="00313EF1"/>
    <w:rsid w:val="00313F21"/>
    <w:rsid w:val="00313F22"/>
    <w:rsid w:val="00313F66"/>
    <w:rsid w:val="00314034"/>
    <w:rsid w:val="003140B9"/>
    <w:rsid w:val="0031415D"/>
    <w:rsid w:val="003142C0"/>
    <w:rsid w:val="003142CF"/>
    <w:rsid w:val="00314350"/>
    <w:rsid w:val="003143D9"/>
    <w:rsid w:val="003143FB"/>
    <w:rsid w:val="00314406"/>
    <w:rsid w:val="0031443F"/>
    <w:rsid w:val="0031450C"/>
    <w:rsid w:val="00314538"/>
    <w:rsid w:val="00314566"/>
    <w:rsid w:val="0031467E"/>
    <w:rsid w:val="0031467F"/>
    <w:rsid w:val="0031468E"/>
    <w:rsid w:val="0031468F"/>
    <w:rsid w:val="00314720"/>
    <w:rsid w:val="0031473E"/>
    <w:rsid w:val="003148FA"/>
    <w:rsid w:val="003149C9"/>
    <w:rsid w:val="00314B8A"/>
    <w:rsid w:val="00314BE6"/>
    <w:rsid w:val="00314CCB"/>
    <w:rsid w:val="00314D2C"/>
    <w:rsid w:val="00314DBB"/>
    <w:rsid w:val="00314F4D"/>
    <w:rsid w:val="00314F5A"/>
    <w:rsid w:val="00314FE2"/>
    <w:rsid w:val="00315058"/>
    <w:rsid w:val="0031511B"/>
    <w:rsid w:val="00315127"/>
    <w:rsid w:val="00315194"/>
    <w:rsid w:val="003151A7"/>
    <w:rsid w:val="003151C6"/>
    <w:rsid w:val="00315298"/>
    <w:rsid w:val="003152B7"/>
    <w:rsid w:val="003152BC"/>
    <w:rsid w:val="0031530F"/>
    <w:rsid w:val="00315366"/>
    <w:rsid w:val="00315455"/>
    <w:rsid w:val="0031546A"/>
    <w:rsid w:val="003154E5"/>
    <w:rsid w:val="0031554F"/>
    <w:rsid w:val="00315653"/>
    <w:rsid w:val="00315657"/>
    <w:rsid w:val="003156BA"/>
    <w:rsid w:val="003157F8"/>
    <w:rsid w:val="003157FA"/>
    <w:rsid w:val="00315845"/>
    <w:rsid w:val="00315895"/>
    <w:rsid w:val="00315900"/>
    <w:rsid w:val="00315914"/>
    <w:rsid w:val="003159C7"/>
    <w:rsid w:val="003159F6"/>
    <w:rsid w:val="00315ABA"/>
    <w:rsid w:val="00315AE7"/>
    <w:rsid w:val="00315BB1"/>
    <w:rsid w:val="00315BE6"/>
    <w:rsid w:val="00315C1F"/>
    <w:rsid w:val="00315CBB"/>
    <w:rsid w:val="00315F64"/>
    <w:rsid w:val="00315FAA"/>
    <w:rsid w:val="003161A4"/>
    <w:rsid w:val="0031621E"/>
    <w:rsid w:val="00316224"/>
    <w:rsid w:val="00316255"/>
    <w:rsid w:val="0031629D"/>
    <w:rsid w:val="0031649B"/>
    <w:rsid w:val="003164BF"/>
    <w:rsid w:val="00316593"/>
    <w:rsid w:val="003165B0"/>
    <w:rsid w:val="003166BA"/>
    <w:rsid w:val="0031671F"/>
    <w:rsid w:val="00316745"/>
    <w:rsid w:val="0031675E"/>
    <w:rsid w:val="003167B5"/>
    <w:rsid w:val="003168A0"/>
    <w:rsid w:val="003168E1"/>
    <w:rsid w:val="0031690F"/>
    <w:rsid w:val="00316A86"/>
    <w:rsid w:val="00316A9D"/>
    <w:rsid w:val="00316C2A"/>
    <w:rsid w:val="00316C67"/>
    <w:rsid w:val="00316C68"/>
    <w:rsid w:val="00316EE4"/>
    <w:rsid w:val="00316FC3"/>
    <w:rsid w:val="0031714E"/>
    <w:rsid w:val="0031715F"/>
    <w:rsid w:val="0031717F"/>
    <w:rsid w:val="003171E6"/>
    <w:rsid w:val="0031721C"/>
    <w:rsid w:val="00317253"/>
    <w:rsid w:val="003172B0"/>
    <w:rsid w:val="003172E2"/>
    <w:rsid w:val="00317362"/>
    <w:rsid w:val="00317596"/>
    <w:rsid w:val="003175E7"/>
    <w:rsid w:val="00317669"/>
    <w:rsid w:val="0031768C"/>
    <w:rsid w:val="00317732"/>
    <w:rsid w:val="00317734"/>
    <w:rsid w:val="00317763"/>
    <w:rsid w:val="00317978"/>
    <w:rsid w:val="0031799B"/>
    <w:rsid w:val="00317A5B"/>
    <w:rsid w:val="00317BAA"/>
    <w:rsid w:val="00317C16"/>
    <w:rsid w:val="00317C2F"/>
    <w:rsid w:val="00317C4A"/>
    <w:rsid w:val="00317CA9"/>
    <w:rsid w:val="00317CE3"/>
    <w:rsid w:val="00317D40"/>
    <w:rsid w:val="00317D7E"/>
    <w:rsid w:val="00317D7F"/>
    <w:rsid w:val="00317DAE"/>
    <w:rsid w:val="00317DDC"/>
    <w:rsid w:val="00317F40"/>
    <w:rsid w:val="00320105"/>
    <w:rsid w:val="00320122"/>
    <w:rsid w:val="0032014F"/>
    <w:rsid w:val="0032018F"/>
    <w:rsid w:val="003201F2"/>
    <w:rsid w:val="003203A6"/>
    <w:rsid w:val="003203BB"/>
    <w:rsid w:val="0032041E"/>
    <w:rsid w:val="0032044A"/>
    <w:rsid w:val="003204BF"/>
    <w:rsid w:val="003204C2"/>
    <w:rsid w:val="003204EE"/>
    <w:rsid w:val="003205C1"/>
    <w:rsid w:val="003205E6"/>
    <w:rsid w:val="0032071A"/>
    <w:rsid w:val="003207C3"/>
    <w:rsid w:val="00320811"/>
    <w:rsid w:val="00320813"/>
    <w:rsid w:val="003208FF"/>
    <w:rsid w:val="00320B1D"/>
    <w:rsid w:val="00320B8D"/>
    <w:rsid w:val="00320D14"/>
    <w:rsid w:val="00320F5A"/>
    <w:rsid w:val="00321038"/>
    <w:rsid w:val="0032109A"/>
    <w:rsid w:val="003211EB"/>
    <w:rsid w:val="0032126A"/>
    <w:rsid w:val="003212B9"/>
    <w:rsid w:val="003212C4"/>
    <w:rsid w:val="003215B0"/>
    <w:rsid w:val="00321616"/>
    <w:rsid w:val="00321781"/>
    <w:rsid w:val="00321790"/>
    <w:rsid w:val="003218CF"/>
    <w:rsid w:val="00321919"/>
    <w:rsid w:val="00321A26"/>
    <w:rsid w:val="00321BE9"/>
    <w:rsid w:val="00321BF1"/>
    <w:rsid w:val="00321C0E"/>
    <w:rsid w:val="00321C5A"/>
    <w:rsid w:val="00321C60"/>
    <w:rsid w:val="00321CD3"/>
    <w:rsid w:val="00321D1E"/>
    <w:rsid w:val="00321DB6"/>
    <w:rsid w:val="00321E5A"/>
    <w:rsid w:val="00321E72"/>
    <w:rsid w:val="0032202D"/>
    <w:rsid w:val="00322074"/>
    <w:rsid w:val="003220D3"/>
    <w:rsid w:val="0032224C"/>
    <w:rsid w:val="003222C1"/>
    <w:rsid w:val="003222DF"/>
    <w:rsid w:val="00322358"/>
    <w:rsid w:val="003223C5"/>
    <w:rsid w:val="003224D3"/>
    <w:rsid w:val="003224D8"/>
    <w:rsid w:val="003225D2"/>
    <w:rsid w:val="00322616"/>
    <w:rsid w:val="0032263D"/>
    <w:rsid w:val="003226B2"/>
    <w:rsid w:val="003226F0"/>
    <w:rsid w:val="00322896"/>
    <w:rsid w:val="003228AE"/>
    <w:rsid w:val="003228D8"/>
    <w:rsid w:val="003228DC"/>
    <w:rsid w:val="0032294A"/>
    <w:rsid w:val="003229C6"/>
    <w:rsid w:val="00322A84"/>
    <w:rsid w:val="00322B74"/>
    <w:rsid w:val="00322BE8"/>
    <w:rsid w:val="00322CCF"/>
    <w:rsid w:val="00322F29"/>
    <w:rsid w:val="00323017"/>
    <w:rsid w:val="00323068"/>
    <w:rsid w:val="003231CA"/>
    <w:rsid w:val="003231FB"/>
    <w:rsid w:val="0032320A"/>
    <w:rsid w:val="0032321C"/>
    <w:rsid w:val="00323237"/>
    <w:rsid w:val="00323245"/>
    <w:rsid w:val="00323305"/>
    <w:rsid w:val="003233B7"/>
    <w:rsid w:val="0032343B"/>
    <w:rsid w:val="0032345F"/>
    <w:rsid w:val="003235BA"/>
    <w:rsid w:val="00323683"/>
    <w:rsid w:val="0032378F"/>
    <w:rsid w:val="00323793"/>
    <w:rsid w:val="003237BA"/>
    <w:rsid w:val="003237D5"/>
    <w:rsid w:val="00323869"/>
    <w:rsid w:val="00323873"/>
    <w:rsid w:val="003238BF"/>
    <w:rsid w:val="00323AE9"/>
    <w:rsid w:val="00323BF9"/>
    <w:rsid w:val="00323C07"/>
    <w:rsid w:val="00323C74"/>
    <w:rsid w:val="00323CF8"/>
    <w:rsid w:val="00323D4E"/>
    <w:rsid w:val="00323D59"/>
    <w:rsid w:val="00323D65"/>
    <w:rsid w:val="00323DA5"/>
    <w:rsid w:val="00323DEF"/>
    <w:rsid w:val="00323E49"/>
    <w:rsid w:val="00323E51"/>
    <w:rsid w:val="00323F07"/>
    <w:rsid w:val="00324021"/>
    <w:rsid w:val="0032404F"/>
    <w:rsid w:val="00324077"/>
    <w:rsid w:val="003240E0"/>
    <w:rsid w:val="00324232"/>
    <w:rsid w:val="003242D8"/>
    <w:rsid w:val="00324566"/>
    <w:rsid w:val="003245CC"/>
    <w:rsid w:val="003245E9"/>
    <w:rsid w:val="0032461D"/>
    <w:rsid w:val="003246CC"/>
    <w:rsid w:val="00324747"/>
    <w:rsid w:val="00324798"/>
    <w:rsid w:val="00324893"/>
    <w:rsid w:val="00324896"/>
    <w:rsid w:val="003248B9"/>
    <w:rsid w:val="003248E7"/>
    <w:rsid w:val="00324949"/>
    <w:rsid w:val="00324981"/>
    <w:rsid w:val="003249F4"/>
    <w:rsid w:val="00324A67"/>
    <w:rsid w:val="00324AD0"/>
    <w:rsid w:val="00324B34"/>
    <w:rsid w:val="00324B72"/>
    <w:rsid w:val="00324B89"/>
    <w:rsid w:val="00324BCC"/>
    <w:rsid w:val="00324C12"/>
    <w:rsid w:val="00324C6C"/>
    <w:rsid w:val="00324C9D"/>
    <w:rsid w:val="00324E2E"/>
    <w:rsid w:val="00324F5C"/>
    <w:rsid w:val="003250B5"/>
    <w:rsid w:val="00325285"/>
    <w:rsid w:val="003252FD"/>
    <w:rsid w:val="0032548C"/>
    <w:rsid w:val="003254D2"/>
    <w:rsid w:val="00325625"/>
    <w:rsid w:val="0032564E"/>
    <w:rsid w:val="00325733"/>
    <w:rsid w:val="00325841"/>
    <w:rsid w:val="003258C4"/>
    <w:rsid w:val="00325968"/>
    <w:rsid w:val="00325A2F"/>
    <w:rsid w:val="00325AAA"/>
    <w:rsid w:val="00325B35"/>
    <w:rsid w:val="00325B93"/>
    <w:rsid w:val="00325B9C"/>
    <w:rsid w:val="00325BA6"/>
    <w:rsid w:val="00325BAD"/>
    <w:rsid w:val="00325CB7"/>
    <w:rsid w:val="00326070"/>
    <w:rsid w:val="0032611E"/>
    <w:rsid w:val="00326178"/>
    <w:rsid w:val="003261B2"/>
    <w:rsid w:val="00326206"/>
    <w:rsid w:val="00326244"/>
    <w:rsid w:val="003262C7"/>
    <w:rsid w:val="003264C0"/>
    <w:rsid w:val="003266A0"/>
    <w:rsid w:val="003267B6"/>
    <w:rsid w:val="00326826"/>
    <w:rsid w:val="00326882"/>
    <w:rsid w:val="0032691F"/>
    <w:rsid w:val="00326979"/>
    <w:rsid w:val="00326A96"/>
    <w:rsid w:val="00326AD6"/>
    <w:rsid w:val="00326B21"/>
    <w:rsid w:val="00326B54"/>
    <w:rsid w:val="00326C95"/>
    <w:rsid w:val="00326CF5"/>
    <w:rsid w:val="00326D1F"/>
    <w:rsid w:val="00326D41"/>
    <w:rsid w:val="00326D44"/>
    <w:rsid w:val="00326E46"/>
    <w:rsid w:val="00326E48"/>
    <w:rsid w:val="00326ECD"/>
    <w:rsid w:val="00326ED8"/>
    <w:rsid w:val="00326EE0"/>
    <w:rsid w:val="00326EFA"/>
    <w:rsid w:val="00326F65"/>
    <w:rsid w:val="00326F74"/>
    <w:rsid w:val="00326FA7"/>
    <w:rsid w:val="003270EB"/>
    <w:rsid w:val="003270F9"/>
    <w:rsid w:val="00327105"/>
    <w:rsid w:val="0032717F"/>
    <w:rsid w:val="003271B5"/>
    <w:rsid w:val="003271E9"/>
    <w:rsid w:val="0032721D"/>
    <w:rsid w:val="00327289"/>
    <w:rsid w:val="00327383"/>
    <w:rsid w:val="00327457"/>
    <w:rsid w:val="003274BC"/>
    <w:rsid w:val="0032751F"/>
    <w:rsid w:val="00327537"/>
    <w:rsid w:val="00327590"/>
    <w:rsid w:val="003275A1"/>
    <w:rsid w:val="003275C5"/>
    <w:rsid w:val="00327606"/>
    <w:rsid w:val="0032760D"/>
    <w:rsid w:val="00327643"/>
    <w:rsid w:val="003276B7"/>
    <w:rsid w:val="00327706"/>
    <w:rsid w:val="00327936"/>
    <w:rsid w:val="00327943"/>
    <w:rsid w:val="0032799B"/>
    <w:rsid w:val="003279BC"/>
    <w:rsid w:val="003279D5"/>
    <w:rsid w:val="003279D9"/>
    <w:rsid w:val="00327C29"/>
    <w:rsid w:val="00327CFF"/>
    <w:rsid w:val="00327D16"/>
    <w:rsid w:val="00327E79"/>
    <w:rsid w:val="00327E9F"/>
    <w:rsid w:val="00327EC4"/>
    <w:rsid w:val="00327FCB"/>
    <w:rsid w:val="00327FE5"/>
    <w:rsid w:val="00330227"/>
    <w:rsid w:val="0033024E"/>
    <w:rsid w:val="00330428"/>
    <w:rsid w:val="00330509"/>
    <w:rsid w:val="00330589"/>
    <w:rsid w:val="003306FB"/>
    <w:rsid w:val="00330703"/>
    <w:rsid w:val="0033075F"/>
    <w:rsid w:val="003308C6"/>
    <w:rsid w:val="00330917"/>
    <w:rsid w:val="00330971"/>
    <w:rsid w:val="003309F4"/>
    <w:rsid w:val="00330A38"/>
    <w:rsid w:val="00330A55"/>
    <w:rsid w:val="00330A7F"/>
    <w:rsid w:val="00330ACF"/>
    <w:rsid w:val="00330AD0"/>
    <w:rsid w:val="00330C61"/>
    <w:rsid w:val="00330D88"/>
    <w:rsid w:val="00330DA8"/>
    <w:rsid w:val="00330DEC"/>
    <w:rsid w:val="0033100C"/>
    <w:rsid w:val="0033102D"/>
    <w:rsid w:val="00331093"/>
    <w:rsid w:val="003310B6"/>
    <w:rsid w:val="0033117D"/>
    <w:rsid w:val="003312CB"/>
    <w:rsid w:val="00331324"/>
    <w:rsid w:val="0033138B"/>
    <w:rsid w:val="003313C1"/>
    <w:rsid w:val="003313C8"/>
    <w:rsid w:val="0033163E"/>
    <w:rsid w:val="0033165D"/>
    <w:rsid w:val="003316BD"/>
    <w:rsid w:val="003316D4"/>
    <w:rsid w:val="00331717"/>
    <w:rsid w:val="0033173D"/>
    <w:rsid w:val="003317FD"/>
    <w:rsid w:val="003318EC"/>
    <w:rsid w:val="003318EF"/>
    <w:rsid w:val="003319A8"/>
    <w:rsid w:val="003319E7"/>
    <w:rsid w:val="003319ED"/>
    <w:rsid w:val="00331B1A"/>
    <w:rsid w:val="00331BF7"/>
    <w:rsid w:val="00331D4C"/>
    <w:rsid w:val="00331D4D"/>
    <w:rsid w:val="00331D60"/>
    <w:rsid w:val="00331E57"/>
    <w:rsid w:val="00331EB9"/>
    <w:rsid w:val="00331F11"/>
    <w:rsid w:val="00331FAA"/>
    <w:rsid w:val="00331FBC"/>
    <w:rsid w:val="00332046"/>
    <w:rsid w:val="00332089"/>
    <w:rsid w:val="003320A5"/>
    <w:rsid w:val="003320DF"/>
    <w:rsid w:val="003320F8"/>
    <w:rsid w:val="00332141"/>
    <w:rsid w:val="003322E4"/>
    <w:rsid w:val="00332301"/>
    <w:rsid w:val="00332340"/>
    <w:rsid w:val="00332480"/>
    <w:rsid w:val="00332482"/>
    <w:rsid w:val="0033262F"/>
    <w:rsid w:val="0033267D"/>
    <w:rsid w:val="003326C0"/>
    <w:rsid w:val="003327A5"/>
    <w:rsid w:val="00332920"/>
    <w:rsid w:val="003329DD"/>
    <w:rsid w:val="00332A5C"/>
    <w:rsid w:val="00332B25"/>
    <w:rsid w:val="00332B39"/>
    <w:rsid w:val="00332B93"/>
    <w:rsid w:val="00332BD2"/>
    <w:rsid w:val="00332C33"/>
    <w:rsid w:val="00332DF6"/>
    <w:rsid w:val="00332DFB"/>
    <w:rsid w:val="00332E3F"/>
    <w:rsid w:val="00332E9C"/>
    <w:rsid w:val="00332F8B"/>
    <w:rsid w:val="0033301D"/>
    <w:rsid w:val="00333171"/>
    <w:rsid w:val="003331BD"/>
    <w:rsid w:val="00333310"/>
    <w:rsid w:val="00333322"/>
    <w:rsid w:val="003333CC"/>
    <w:rsid w:val="003333CD"/>
    <w:rsid w:val="00333441"/>
    <w:rsid w:val="0033344B"/>
    <w:rsid w:val="00333519"/>
    <w:rsid w:val="0033352B"/>
    <w:rsid w:val="003336F9"/>
    <w:rsid w:val="003337A1"/>
    <w:rsid w:val="0033381F"/>
    <w:rsid w:val="00333821"/>
    <w:rsid w:val="003338C7"/>
    <w:rsid w:val="003338CD"/>
    <w:rsid w:val="003338E6"/>
    <w:rsid w:val="003338F1"/>
    <w:rsid w:val="003338F8"/>
    <w:rsid w:val="0033395C"/>
    <w:rsid w:val="00333AF8"/>
    <w:rsid w:val="00333BC8"/>
    <w:rsid w:val="00333BE4"/>
    <w:rsid w:val="00333C56"/>
    <w:rsid w:val="00333CE6"/>
    <w:rsid w:val="00333CFE"/>
    <w:rsid w:val="00333DB7"/>
    <w:rsid w:val="00333E47"/>
    <w:rsid w:val="00333E9F"/>
    <w:rsid w:val="00333F50"/>
    <w:rsid w:val="00333FA9"/>
    <w:rsid w:val="0033403C"/>
    <w:rsid w:val="00334142"/>
    <w:rsid w:val="0033423C"/>
    <w:rsid w:val="00334256"/>
    <w:rsid w:val="0033425A"/>
    <w:rsid w:val="00334285"/>
    <w:rsid w:val="003342AF"/>
    <w:rsid w:val="003342B2"/>
    <w:rsid w:val="00334326"/>
    <w:rsid w:val="0033435C"/>
    <w:rsid w:val="0033439A"/>
    <w:rsid w:val="003343E3"/>
    <w:rsid w:val="0033450E"/>
    <w:rsid w:val="0033453B"/>
    <w:rsid w:val="003345F1"/>
    <w:rsid w:val="0033462A"/>
    <w:rsid w:val="0033462B"/>
    <w:rsid w:val="003348AC"/>
    <w:rsid w:val="003348C4"/>
    <w:rsid w:val="003349A6"/>
    <w:rsid w:val="003349D4"/>
    <w:rsid w:val="00334A24"/>
    <w:rsid w:val="00334A48"/>
    <w:rsid w:val="00334AC7"/>
    <w:rsid w:val="00334B54"/>
    <w:rsid w:val="00334B56"/>
    <w:rsid w:val="00334B7B"/>
    <w:rsid w:val="00334C0C"/>
    <w:rsid w:val="00334C54"/>
    <w:rsid w:val="00334C94"/>
    <w:rsid w:val="00334CE0"/>
    <w:rsid w:val="00334D01"/>
    <w:rsid w:val="00334D60"/>
    <w:rsid w:val="00334D86"/>
    <w:rsid w:val="00334D92"/>
    <w:rsid w:val="00334DC2"/>
    <w:rsid w:val="00334E70"/>
    <w:rsid w:val="00334F3E"/>
    <w:rsid w:val="003350BF"/>
    <w:rsid w:val="00335212"/>
    <w:rsid w:val="003353AE"/>
    <w:rsid w:val="00335428"/>
    <w:rsid w:val="003354B0"/>
    <w:rsid w:val="0033551E"/>
    <w:rsid w:val="0033559D"/>
    <w:rsid w:val="003355DB"/>
    <w:rsid w:val="00335693"/>
    <w:rsid w:val="003356EE"/>
    <w:rsid w:val="0033583D"/>
    <w:rsid w:val="00335844"/>
    <w:rsid w:val="0033585A"/>
    <w:rsid w:val="00335872"/>
    <w:rsid w:val="00335AC2"/>
    <w:rsid w:val="00335B07"/>
    <w:rsid w:val="00335B0A"/>
    <w:rsid w:val="00335C5C"/>
    <w:rsid w:val="00335CAB"/>
    <w:rsid w:val="00335CAF"/>
    <w:rsid w:val="00335CEA"/>
    <w:rsid w:val="00335D14"/>
    <w:rsid w:val="00335D9E"/>
    <w:rsid w:val="00335E49"/>
    <w:rsid w:val="00335E88"/>
    <w:rsid w:val="00335E8B"/>
    <w:rsid w:val="00335F02"/>
    <w:rsid w:val="00336064"/>
    <w:rsid w:val="003360C9"/>
    <w:rsid w:val="00336141"/>
    <w:rsid w:val="00336211"/>
    <w:rsid w:val="00336224"/>
    <w:rsid w:val="00336254"/>
    <w:rsid w:val="00336265"/>
    <w:rsid w:val="0033628E"/>
    <w:rsid w:val="003362E9"/>
    <w:rsid w:val="0033630E"/>
    <w:rsid w:val="00336315"/>
    <w:rsid w:val="0033638D"/>
    <w:rsid w:val="003363D2"/>
    <w:rsid w:val="0033645D"/>
    <w:rsid w:val="003365BB"/>
    <w:rsid w:val="003365CF"/>
    <w:rsid w:val="003366E3"/>
    <w:rsid w:val="003366E6"/>
    <w:rsid w:val="003366E7"/>
    <w:rsid w:val="003366F8"/>
    <w:rsid w:val="00336701"/>
    <w:rsid w:val="003367B7"/>
    <w:rsid w:val="003368C7"/>
    <w:rsid w:val="003368D1"/>
    <w:rsid w:val="0033694E"/>
    <w:rsid w:val="003369C0"/>
    <w:rsid w:val="003369C7"/>
    <w:rsid w:val="00336A4E"/>
    <w:rsid w:val="00336A50"/>
    <w:rsid w:val="00336A7A"/>
    <w:rsid w:val="00336AE1"/>
    <w:rsid w:val="00336B58"/>
    <w:rsid w:val="00336B8C"/>
    <w:rsid w:val="00336F09"/>
    <w:rsid w:val="00336F2C"/>
    <w:rsid w:val="00336FB5"/>
    <w:rsid w:val="00336FF7"/>
    <w:rsid w:val="00337099"/>
    <w:rsid w:val="003370DE"/>
    <w:rsid w:val="0033722F"/>
    <w:rsid w:val="003373B5"/>
    <w:rsid w:val="0033744C"/>
    <w:rsid w:val="00337472"/>
    <w:rsid w:val="00337481"/>
    <w:rsid w:val="003374F6"/>
    <w:rsid w:val="0033754E"/>
    <w:rsid w:val="00337755"/>
    <w:rsid w:val="003377B3"/>
    <w:rsid w:val="0033793A"/>
    <w:rsid w:val="00337A4E"/>
    <w:rsid w:val="00337AB3"/>
    <w:rsid w:val="00337BFD"/>
    <w:rsid w:val="00337C25"/>
    <w:rsid w:val="00337E09"/>
    <w:rsid w:val="00337E2E"/>
    <w:rsid w:val="00337F47"/>
    <w:rsid w:val="00340043"/>
    <w:rsid w:val="003401C2"/>
    <w:rsid w:val="003401E6"/>
    <w:rsid w:val="0034020A"/>
    <w:rsid w:val="00340385"/>
    <w:rsid w:val="00340473"/>
    <w:rsid w:val="003404E4"/>
    <w:rsid w:val="0034051B"/>
    <w:rsid w:val="00340521"/>
    <w:rsid w:val="00340588"/>
    <w:rsid w:val="003405DD"/>
    <w:rsid w:val="003405DF"/>
    <w:rsid w:val="00340643"/>
    <w:rsid w:val="00340767"/>
    <w:rsid w:val="003407ED"/>
    <w:rsid w:val="0034080F"/>
    <w:rsid w:val="00340819"/>
    <w:rsid w:val="0034084B"/>
    <w:rsid w:val="00340942"/>
    <w:rsid w:val="00340AEF"/>
    <w:rsid w:val="00340B5B"/>
    <w:rsid w:val="00340B8A"/>
    <w:rsid w:val="00340C33"/>
    <w:rsid w:val="00340D19"/>
    <w:rsid w:val="00340F24"/>
    <w:rsid w:val="00340FE9"/>
    <w:rsid w:val="0034103D"/>
    <w:rsid w:val="003410E8"/>
    <w:rsid w:val="00341227"/>
    <w:rsid w:val="00341259"/>
    <w:rsid w:val="00341283"/>
    <w:rsid w:val="003412F1"/>
    <w:rsid w:val="003414A6"/>
    <w:rsid w:val="00341598"/>
    <w:rsid w:val="0034175C"/>
    <w:rsid w:val="003417CC"/>
    <w:rsid w:val="003417DE"/>
    <w:rsid w:val="0034193D"/>
    <w:rsid w:val="0034197F"/>
    <w:rsid w:val="00341AA0"/>
    <w:rsid w:val="00341C09"/>
    <w:rsid w:val="00341C33"/>
    <w:rsid w:val="00341C4C"/>
    <w:rsid w:val="00341D86"/>
    <w:rsid w:val="00341D9F"/>
    <w:rsid w:val="00341E58"/>
    <w:rsid w:val="00341F18"/>
    <w:rsid w:val="00341F39"/>
    <w:rsid w:val="00341FD1"/>
    <w:rsid w:val="00342044"/>
    <w:rsid w:val="003420BD"/>
    <w:rsid w:val="003420ED"/>
    <w:rsid w:val="0034211B"/>
    <w:rsid w:val="003421D8"/>
    <w:rsid w:val="003421E3"/>
    <w:rsid w:val="0034226C"/>
    <w:rsid w:val="003423AD"/>
    <w:rsid w:val="003423F4"/>
    <w:rsid w:val="0034251B"/>
    <w:rsid w:val="0034253A"/>
    <w:rsid w:val="0034256C"/>
    <w:rsid w:val="003425CF"/>
    <w:rsid w:val="0034262D"/>
    <w:rsid w:val="00342668"/>
    <w:rsid w:val="0034270F"/>
    <w:rsid w:val="0034276A"/>
    <w:rsid w:val="003427AA"/>
    <w:rsid w:val="003427B3"/>
    <w:rsid w:val="003427E4"/>
    <w:rsid w:val="0034286F"/>
    <w:rsid w:val="003429A1"/>
    <w:rsid w:val="003429BA"/>
    <w:rsid w:val="003429FF"/>
    <w:rsid w:val="00342A17"/>
    <w:rsid w:val="00342AC8"/>
    <w:rsid w:val="00342B0E"/>
    <w:rsid w:val="00342C4A"/>
    <w:rsid w:val="00342CC3"/>
    <w:rsid w:val="00342DA8"/>
    <w:rsid w:val="00342EE1"/>
    <w:rsid w:val="00342F0B"/>
    <w:rsid w:val="00342F36"/>
    <w:rsid w:val="00342F47"/>
    <w:rsid w:val="00342FC2"/>
    <w:rsid w:val="00342FF6"/>
    <w:rsid w:val="00343011"/>
    <w:rsid w:val="0034307D"/>
    <w:rsid w:val="00343170"/>
    <w:rsid w:val="00343277"/>
    <w:rsid w:val="00343390"/>
    <w:rsid w:val="003433F8"/>
    <w:rsid w:val="00343480"/>
    <w:rsid w:val="00343499"/>
    <w:rsid w:val="0034350E"/>
    <w:rsid w:val="00343622"/>
    <w:rsid w:val="0034378E"/>
    <w:rsid w:val="003437A9"/>
    <w:rsid w:val="003437E6"/>
    <w:rsid w:val="003437EA"/>
    <w:rsid w:val="00343991"/>
    <w:rsid w:val="003439FB"/>
    <w:rsid w:val="00343AC0"/>
    <w:rsid w:val="00343AFF"/>
    <w:rsid w:val="00343B54"/>
    <w:rsid w:val="00343D3E"/>
    <w:rsid w:val="00343D6A"/>
    <w:rsid w:val="00343D8C"/>
    <w:rsid w:val="00343E96"/>
    <w:rsid w:val="00343F21"/>
    <w:rsid w:val="00343F37"/>
    <w:rsid w:val="00343F75"/>
    <w:rsid w:val="00344024"/>
    <w:rsid w:val="003440A5"/>
    <w:rsid w:val="003442A3"/>
    <w:rsid w:val="0034436E"/>
    <w:rsid w:val="0034437F"/>
    <w:rsid w:val="0034440B"/>
    <w:rsid w:val="003444B4"/>
    <w:rsid w:val="003444C9"/>
    <w:rsid w:val="00344521"/>
    <w:rsid w:val="00344542"/>
    <w:rsid w:val="003445B1"/>
    <w:rsid w:val="003445C4"/>
    <w:rsid w:val="00344657"/>
    <w:rsid w:val="00344697"/>
    <w:rsid w:val="0034477E"/>
    <w:rsid w:val="0034488A"/>
    <w:rsid w:val="00344937"/>
    <w:rsid w:val="00344BE2"/>
    <w:rsid w:val="00344BF5"/>
    <w:rsid w:val="00344C25"/>
    <w:rsid w:val="00344D08"/>
    <w:rsid w:val="00344D77"/>
    <w:rsid w:val="00344DB5"/>
    <w:rsid w:val="00344E35"/>
    <w:rsid w:val="00344E94"/>
    <w:rsid w:val="00344EFB"/>
    <w:rsid w:val="00344F93"/>
    <w:rsid w:val="00344FA3"/>
    <w:rsid w:val="00344FBF"/>
    <w:rsid w:val="00344FD7"/>
    <w:rsid w:val="00344FF8"/>
    <w:rsid w:val="00345063"/>
    <w:rsid w:val="003451A3"/>
    <w:rsid w:val="003451A8"/>
    <w:rsid w:val="00345210"/>
    <w:rsid w:val="0034543B"/>
    <w:rsid w:val="0034544E"/>
    <w:rsid w:val="0034545D"/>
    <w:rsid w:val="003455A6"/>
    <w:rsid w:val="0034585A"/>
    <w:rsid w:val="00345887"/>
    <w:rsid w:val="003458CA"/>
    <w:rsid w:val="003458F4"/>
    <w:rsid w:val="00345925"/>
    <w:rsid w:val="003459BB"/>
    <w:rsid w:val="00345A6C"/>
    <w:rsid w:val="00345AE2"/>
    <w:rsid w:val="00345B0C"/>
    <w:rsid w:val="00345BD3"/>
    <w:rsid w:val="00345CB9"/>
    <w:rsid w:val="00345CCD"/>
    <w:rsid w:val="00345DCF"/>
    <w:rsid w:val="00345E77"/>
    <w:rsid w:val="00345F27"/>
    <w:rsid w:val="00345F31"/>
    <w:rsid w:val="00345F86"/>
    <w:rsid w:val="00345F8C"/>
    <w:rsid w:val="00346061"/>
    <w:rsid w:val="00346111"/>
    <w:rsid w:val="00346112"/>
    <w:rsid w:val="00346150"/>
    <w:rsid w:val="0034615F"/>
    <w:rsid w:val="00346160"/>
    <w:rsid w:val="003461EB"/>
    <w:rsid w:val="003463E0"/>
    <w:rsid w:val="003463E7"/>
    <w:rsid w:val="00346430"/>
    <w:rsid w:val="00346463"/>
    <w:rsid w:val="003464B2"/>
    <w:rsid w:val="0034650E"/>
    <w:rsid w:val="003465BF"/>
    <w:rsid w:val="00346631"/>
    <w:rsid w:val="00346815"/>
    <w:rsid w:val="00346944"/>
    <w:rsid w:val="003469CB"/>
    <w:rsid w:val="00346A0D"/>
    <w:rsid w:val="00346A29"/>
    <w:rsid w:val="00346B7A"/>
    <w:rsid w:val="00346D35"/>
    <w:rsid w:val="00346D79"/>
    <w:rsid w:val="00346EC6"/>
    <w:rsid w:val="00346F1D"/>
    <w:rsid w:val="00347018"/>
    <w:rsid w:val="003471A7"/>
    <w:rsid w:val="00347250"/>
    <w:rsid w:val="003472A0"/>
    <w:rsid w:val="003472B4"/>
    <w:rsid w:val="003472C5"/>
    <w:rsid w:val="003472D2"/>
    <w:rsid w:val="003472D8"/>
    <w:rsid w:val="00347302"/>
    <w:rsid w:val="003473E0"/>
    <w:rsid w:val="003473E2"/>
    <w:rsid w:val="003473E5"/>
    <w:rsid w:val="00347539"/>
    <w:rsid w:val="00347580"/>
    <w:rsid w:val="003476DA"/>
    <w:rsid w:val="00347701"/>
    <w:rsid w:val="003477B4"/>
    <w:rsid w:val="003478C5"/>
    <w:rsid w:val="00347925"/>
    <w:rsid w:val="00347A17"/>
    <w:rsid w:val="00347ABF"/>
    <w:rsid w:val="00347ACE"/>
    <w:rsid w:val="00347B07"/>
    <w:rsid w:val="00347B2C"/>
    <w:rsid w:val="00347BD8"/>
    <w:rsid w:val="00347C41"/>
    <w:rsid w:val="00347D0F"/>
    <w:rsid w:val="00347D51"/>
    <w:rsid w:val="00347D66"/>
    <w:rsid w:val="00347DDB"/>
    <w:rsid w:val="00347E07"/>
    <w:rsid w:val="00347E70"/>
    <w:rsid w:val="00347E80"/>
    <w:rsid w:val="00347FCB"/>
    <w:rsid w:val="00347FCF"/>
    <w:rsid w:val="00349809"/>
    <w:rsid w:val="00350090"/>
    <w:rsid w:val="003500B0"/>
    <w:rsid w:val="00350102"/>
    <w:rsid w:val="00350118"/>
    <w:rsid w:val="0035011B"/>
    <w:rsid w:val="0035012A"/>
    <w:rsid w:val="003502D0"/>
    <w:rsid w:val="0035030E"/>
    <w:rsid w:val="00350489"/>
    <w:rsid w:val="0035048F"/>
    <w:rsid w:val="00350527"/>
    <w:rsid w:val="0035054F"/>
    <w:rsid w:val="00350841"/>
    <w:rsid w:val="003508D4"/>
    <w:rsid w:val="00350951"/>
    <w:rsid w:val="003509C8"/>
    <w:rsid w:val="00350A07"/>
    <w:rsid w:val="00350A3C"/>
    <w:rsid w:val="00350AF0"/>
    <w:rsid w:val="00350B4D"/>
    <w:rsid w:val="00350BA5"/>
    <w:rsid w:val="00350C95"/>
    <w:rsid w:val="00350CDD"/>
    <w:rsid w:val="00350D4D"/>
    <w:rsid w:val="00350D4F"/>
    <w:rsid w:val="00350D9D"/>
    <w:rsid w:val="00350DA7"/>
    <w:rsid w:val="00350DAA"/>
    <w:rsid w:val="00350E4D"/>
    <w:rsid w:val="00350E7A"/>
    <w:rsid w:val="00350E7D"/>
    <w:rsid w:val="00350EBD"/>
    <w:rsid w:val="00350EEF"/>
    <w:rsid w:val="00350EFE"/>
    <w:rsid w:val="00350F80"/>
    <w:rsid w:val="00350FC1"/>
    <w:rsid w:val="00351129"/>
    <w:rsid w:val="00351195"/>
    <w:rsid w:val="003512A7"/>
    <w:rsid w:val="003513C9"/>
    <w:rsid w:val="00351420"/>
    <w:rsid w:val="0035146C"/>
    <w:rsid w:val="00351528"/>
    <w:rsid w:val="0035160B"/>
    <w:rsid w:val="00351687"/>
    <w:rsid w:val="0035180B"/>
    <w:rsid w:val="00351849"/>
    <w:rsid w:val="00351880"/>
    <w:rsid w:val="0035189F"/>
    <w:rsid w:val="00351904"/>
    <w:rsid w:val="003519EB"/>
    <w:rsid w:val="003519F6"/>
    <w:rsid w:val="00351A6D"/>
    <w:rsid w:val="00351B49"/>
    <w:rsid w:val="00351BDA"/>
    <w:rsid w:val="00351BED"/>
    <w:rsid w:val="00351C1E"/>
    <w:rsid w:val="00351C3A"/>
    <w:rsid w:val="00351C9E"/>
    <w:rsid w:val="00351CEB"/>
    <w:rsid w:val="00351D15"/>
    <w:rsid w:val="00351DBB"/>
    <w:rsid w:val="00351E25"/>
    <w:rsid w:val="00351F07"/>
    <w:rsid w:val="00351FA5"/>
    <w:rsid w:val="00352052"/>
    <w:rsid w:val="0035208B"/>
    <w:rsid w:val="003520BE"/>
    <w:rsid w:val="003520DD"/>
    <w:rsid w:val="003520DE"/>
    <w:rsid w:val="0035215D"/>
    <w:rsid w:val="003521BF"/>
    <w:rsid w:val="00352218"/>
    <w:rsid w:val="003523B2"/>
    <w:rsid w:val="0035249F"/>
    <w:rsid w:val="003524B2"/>
    <w:rsid w:val="0035251F"/>
    <w:rsid w:val="00352561"/>
    <w:rsid w:val="0035272E"/>
    <w:rsid w:val="003527B3"/>
    <w:rsid w:val="00352800"/>
    <w:rsid w:val="00352804"/>
    <w:rsid w:val="00352848"/>
    <w:rsid w:val="0035290D"/>
    <w:rsid w:val="003529E3"/>
    <w:rsid w:val="003529EE"/>
    <w:rsid w:val="00352ACE"/>
    <w:rsid w:val="00352DC1"/>
    <w:rsid w:val="00352E32"/>
    <w:rsid w:val="00353076"/>
    <w:rsid w:val="0035312C"/>
    <w:rsid w:val="003531BD"/>
    <w:rsid w:val="00353336"/>
    <w:rsid w:val="003534D5"/>
    <w:rsid w:val="003534DD"/>
    <w:rsid w:val="003535DD"/>
    <w:rsid w:val="00353621"/>
    <w:rsid w:val="003536E4"/>
    <w:rsid w:val="00353769"/>
    <w:rsid w:val="00353806"/>
    <w:rsid w:val="00353882"/>
    <w:rsid w:val="00353931"/>
    <w:rsid w:val="00353A25"/>
    <w:rsid w:val="00353A31"/>
    <w:rsid w:val="00353A79"/>
    <w:rsid w:val="00353BCF"/>
    <w:rsid w:val="00353BFC"/>
    <w:rsid w:val="00353D68"/>
    <w:rsid w:val="00353DF0"/>
    <w:rsid w:val="00353E14"/>
    <w:rsid w:val="00353E56"/>
    <w:rsid w:val="00353EE0"/>
    <w:rsid w:val="00353F63"/>
    <w:rsid w:val="00353FBF"/>
    <w:rsid w:val="003540C5"/>
    <w:rsid w:val="0035422E"/>
    <w:rsid w:val="003542E2"/>
    <w:rsid w:val="003542E5"/>
    <w:rsid w:val="00354363"/>
    <w:rsid w:val="00354376"/>
    <w:rsid w:val="00354594"/>
    <w:rsid w:val="003546B2"/>
    <w:rsid w:val="003546C9"/>
    <w:rsid w:val="003546D5"/>
    <w:rsid w:val="003546FB"/>
    <w:rsid w:val="00354847"/>
    <w:rsid w:val="00354951"/>
    <w:rsid w:val="0035497D"/>
    <w:rsid w:val="00354984"/>
    <w:rsid w:val="00354997"/>
    <w:rsid w:val="00354A54"/>
    <w:rsid w:val="00354A56"/>
    <w:rsid w:val="00354A87"/>
    <w:rsid w:val="00354B96"/>
    <w:rsid w:val="00354BCF"/>
    <w:rsid w:val="00354BD2"/>
    <w:rsid w:val="00354C80"/>
    <w:rsid w:val="00354EAA"/>
    <w:rsid w:val="00354F0C"/>
    <w:rsid w:val="00354F9A"/>
    <w:rsid w:val="0035509D"/>
    <w:rsid w:val="0035513B"/>
    <w:rsid w:val="00355213"/>
    <w:rsid w:val="003553D5"/>
    <w:rsid w:val="00355420"/>
    <w:rsid w:val="003554FF"/>
    <w:rsid w:val="00355576"/>
    <w:rsid w:val="0035559D"/>
    <w:rsid w:val="0035560A"/>
    <w:rsid w:val="003556CB"/>
    <w:rsid w:val="0035574C"/>
    <w:rsid w:val="003557CA"/>
    <w:rsid w:val="00355809"/>
    <w:rsid w:val="0035585A"/>
    <w:rsid w:val="003558D0"/>
    <w:rsid w:val="003558D9"/>
    <w:rsid w:val="003559E1"/>
    <w:rsid w:val="003559F9"/>
    <w:rsid w:val="003559FF"/>
    <w:rsid w:val="00355A2D"/>
    <w:rsid w:val="00355A3C"/>
    <w:rsid w:val="00355B8C"/>
    <w:rsid w:val="00355C11"/>
    <w:rsid w:val="00355CA8"/>
    <w:rsid w:val="00355DA7"/>
    <w:rsid w:val="00355E1A"/>
    <w:rsid w:val="00355E52"/>
    <w:rsid w:val="00355E96"/>
    <w:rsid w:val="00355F4D"/>
    <w:rsid w:val="00355FAE"/>
    <w:rsid w:val="00355FD5"/>
    <w:rsid w:val="0035601C"/>
    <w:rsid w:val="0035608F"/>
    <w:rsid w:val="00356107"/>
    <w:rsid w:val="0035623C"/>
    <w:rsid w:val="003562FC"/>
    <w:rsid w:val="0035632A"/>
    <w:rsid w:val="00356395"/>
    <w:rsid w:val="0035648D"/>
    <w:rsid w:val="00356582"/>
    <w:rsid w:val="00356761"/>
    <w:rsid w:val="003567F0"/>
    <w:rsid w:val="0035686E"/>
    <w:rsid w:val="003568B2"/>
    <w:rsid w:val="00356903"/>
    <w:rsid w:val="003569A1"/>
    <w:rsid w:val="00356A17"/>
    <w:rsid w:val="00356B7C"/>
    <w:rsid w:val="00356BBA"/>
    <w:rsid w:val="00356C29"/>
    <w:rsid w:val="00356C70"/>
    <w:rsid w:val="00356CE5"/>
    <w:rsid w:val="00356D3D"/>
    <w:rsid w:val="00356D7C"/>
    <w:rsid w:val="00356D94"/>
    <w:rsid w:val="00356E32"/>
    <w:rsid w:val="00356E67"/>
    <w:rsid w:val="00357092"/>
    <w:rsid w:val="003571FA"/>
    <w:rsid w:val="00357223"/>
    <w:rsid w:val="0035725B"/>
    <w:rsid w:val="0035739E"/>
    <w:rsid w:val="003573A3"/>
    <w:rsid w:val="003573A5"/>
    <w:rsid w:val="0035740B"/>
    <w:rsid w:val="003574AA"/>
    <w:rsid w:val="003574BB"/>
    <w:rsid w:val="0035753D"/>
    <w:rsid w:val="0035758B"/>
    <w:rsid w:val="00357598"/>
    <w:rsid w:val="00357739"/>
    <w:rsid w:val="003577CB"/>
    <w:rsid w:val="003578E6"/>
    <w:rsid w:val="00357957"/>
    <w:rsid w:val="0035795C"/>
    <w:rsid w:val="00357991"/>
    <w:rsid w:val="003579B6"/>
    <w:rsid w:val="003579F0"/>
    <w:rsid w:val="00357A39"/>
    <w:rsid w:val="00357B8A"/>
    <w:rsid w:val="00357D22"/>
    <w:rsid w:val="00357F90"/>
    <w:rsid w:val="00357FAD"/>
    <w:rsid w:val="003600A1"/>
    <w:rsid w:val="00360196"/>
    <w:rsid w:val="00360299"/>
    <w:rsid w:val="00360355"/>
    <w:rsid w:val="003603A1"/>
    <w:rsid w:val="003603B0"/>
    <w:rsid w:val="003603E2"/>
    <w:rsid w:val="003603FC"/>
    <w:rsid w:val="0036044C"/>
    <w:rsid w:val="003604BC"/>
    <w:rsid w:val="00360546"/>
    <w:rsid w:val="00360601"/>
    <w:rsid w:val="00360612"/>
    <w:rsid w:val="003606A8"/>
    <w:rsid w:val="003606DC"/>
    <w:rsid w:val="00360710"/>
    <w:rsid w:val="0036078C"/>
    <w:rsid w:val="00360798"/>
    <w:rsid w:val="0036080D"/>
    <w:rsid w:val="0036088C"/>
    <w:rsid w:val="0036095C"/>
    <w:rsid w:val="00360A4A"/>
    <w:rsid w:val="00360BFD"/>
    <w:rsid w:val="00360C53"/>
    <w:rsid w:val="00360C63"/>
    <w:rsid w:val="00360D15"/>
    <w:rsid w:val="00360DD1"/>
    <w:rsid w:val="00360E73"/>
    <w:rsid w:val="00360F3D"/>
    <w:rsid w:val="00360F90"/>
    <w:rsid w:val="00360FAE"/>
    <w:rsid w:val="00361030"/>
    <w:rsid w:val="0036118F"/>
    <w:rsid w:val="00361217"/>
    <w:rsid w:val="00361340"/>
    <w:rsid w:val="003613E2"/>
    <w:rsid w:val="003614B7"/>
    <w:rsid w:val="003614BA"/>
    <w:rsid w:val="0036157B"/>
    <w:rsid w:val="00361586"/>
    <w:rsid w:val="0036159C"/>
    <w:rsid w:val="00361722"/>
    <w:rsid w:val="0036175E"/>
    <w:rsid w:val="00361770"/>
    <w:rsid w:val="00361839"/>
    <w:rsid w:val="00361886"/>
    <w:rsid w:val="003618BA"/>
    <w:rsid w:val="003618D7"/>
    <w:rsid w:val="00361942"/>
    <w:rsid w:val="00361985"/>
    <w:rsid w:val="003619E0"/>
    <w:rsid w:val="00361A86"/>
    <w:rsid w:val="00361B2D"/>
    <w:rsid w:val="00361BA5"/>
    <w:rsid w:val="00361D2F"/>
    <w:rsid w:val="00361DBF"/>
    <w:rsid w:val="00361E13"/>
    <w:rsid w:val="00361ECE"/>
    <w:rsid w:val="003621F0"/>
    <w:rsid w:val="003621F9"/>
    <w:rsid w:val="0036220C"/>
    <w:rsid w:val="0036221C"/>
    <w:rsid w:val="0036222F"/>
    <w:rsid w:val="0036223E"/>
    <w:rsid w:val="003622CC"/>
    <w:rsid w:val="00362336"/>
    <w:rsid w:val="0036235B"/>
    <w:rsid w:val="00362389"/>
    <w:rsid w:val="0036247C"/>
    <w:rsid w:val="0036254D"/>
    <w:rsid w:val="0036257E"/>
    <w:rsid w:val="003625A5"/>
    <w:rsid w:val="0036269E"/>
    <w:rsid w:val="003626AB"/>
    <w:rsid w:val="003628BB"/>
    <w:rsid w:val="003628E3"/>
    <w:rsid w:val="003628EF"/>
    <w:rsid w:val="0036299A"/>
    <w:rsid w:val="003629D9"/>
    <w:rsid w:val="00362A8F"/>
    <w:rsid w:val="00362B0E"/>
    <w:rsid w:val="00362B18"/>
    <w:rsid w:val="00362B71"/>
    <w:rsid w:val="00362BBD"/>
    <w:rsid w:val="00362BDB"/>
    <w:rsid w:val="00362C9E"/>
    <w:rsid w:val="00362CAE"/>
    <w:rsid w:val="00362D10"/>
    <w:rsid w:val="00362D21"/>
    <w:rsid w:val="00362DF0"/>
    <w:rsid w:val="00362EBF"/>
    <w:rsid w:val="00362F47"/>
    <w:rsid w:val="00362F49"/>
    <w:rsid w:val="00362F58"/>
    <w:rsid w:val="003630EE"/>
    <w:rsid w:val="003630EF"/>
    <w:rsid w:val="0036317E"/>
    <w:rsid w:val="00363181"/>
    <w:rsid w:val="003632DA"/>
    <w:rsid w:val="003632ED"/>
    <w:rsid w:val="003632F4"/>
    <w:rsid w:val="00363303"/>
    <w:rsid w:val="00363405"/>
    <w:rsid w:val="0036344F"/>
    <w:rsid w:val="0036351F"/>
    <w:rsid w:val="0036359A"/>
    <w:rsid w:val="00363657"/>
    <w:rsid w:val="00363683"/>
    <w:rsid w:val="00363734"/>
    <w:rsid w:val="00363747"/>
    <w:rsid w:val="003637A2"/>
    <w:rsid w:val="003637E8"/>
    <w:rsid w:val="00363805"/>
    <w:rsid w:val="00363881"/>
    <w:rsid w:val="003638A8"/>
    <w:rsid w:val="003638EA"/>
    <w:rsid w:val="003639B2"/>
    <w:rsid w:val="003639C7"/>
    <w:rsid w:val="00363BEF"/>
    <w:rsid w:val="00363DA0"/>
    <w:rsid w:val="00363E1F"/>
    <w:rsid w:val="00363F7E"/>
    <w:rsid w:val="0036400A"/>
    <w:rsid w:val="003640B9"/>
    <w:rsid w:val="00364106"/>
    <w:rsid w:val="0036416D"/>
    <w:rsid w:val="00364176"/>
    <w:rsid w:val="00364249"/>
    <w:rsid w:val="003642FD"/>
    <w:rsid w:val="00364312"/>
    <w:rsid w:val="0036432F"/>
    <w:rsid w:val="00364359"/>
    <w:rsid w:val="003643A0"/>
    <w:rsid w:val="00364459"/>
    <w:rsid w:val="00364543"/>
    <w:rsid w:val="00364565"/>
    <w:rsid w:val="0036466C"/>
    <w:rsid w:val="003646AC"/>
    <w:rsid w:val="003646D8"/>
    <w:rsid w:val="00364708"/>
    <w:rsid w:val="003647AA"/>
    <w:rsid w:val="00364868"/>
    <w:rsid w:val="00364908"/>
    <w:rsid w:val="00364B5F"/>
    <w:rsid w:val="00364BF1"/>
    <w:rsid w:val="00364C80"/>
    <w:rsid w:val="00364CF1"/>
    <w:rsid w:val="00364D22"/>
    <w:rsid w:val="00364D4B"/>
    <w:rsid w:val="00364DBE"/>
    <w:rsid w:val="00364DCC"/>
    <w:rsid w:val="00364DDB"/>
    <w:rsid w:val="00364DE7"/>
    <w:rsid w:val="00364DE9"/>
    <w:rsid w:val="00364E19"/>
    <w:rsid w:val="00364E80"/>
    <w:rsid w:val="00364F5A"/>
    <w:rsid w:val="00364F6E"/>
    <w:rsid w:val="00364FCC"/>
    <w:rsid w:val="00364FF1"/>
    <w:rsid w:val="003650E2"/>
    <w:rsid w:val="00365104"/>
    <w:rsid w:val="003651F0"/>
    <w:rsid w:val="00365229"/>
    <w:rsid w:val="003652B3"/>
    <w:rsid w:val="0036531A"/>
    <w:rsid w:val="003653B3"/>
    <w:rsid w:val="00365419"/>
    <w:rsid w:val="00365459"/>
    <w:rsid w:val="00365485"/>
    <w:rsid w:val="0036548C"/>
    <w:rsid w:val="00365571"/>
    <w:rsid w:val="003655E5"/>
    <w:rsid w:val="00365693"/>
    <w:rsid w:val="0036584A"/>
    <w:rsid w:val="00365A57"/>
    <w:rsid w:val="00365C41"/>
    <w:rsid w:val="00365C88"/>
    <w:rsid w:val="00365CCB"/>
    <w:rsid w:val="00365DAA"/>
    <w:rsid w:val="00365DE8"/>
    <w:rsid w:val="00365E8E"/>
    <w:rsid w:val="00365F21"/>
    <w:rsid w:val="00365FAC"/>
    <w:rsid w:val="00365FBD"/>
    <w:rsid w:val="00365FE5"/>
    <w:rsid w:val="00366021"/>
    <w:rsid w:val="00366058"/>
    <w:rsid w:val="00366066"/>
    <w:rsid w:val="003660D0"/>
    <w:rsid w:val="0036614C"/>
    <w:rsid w:val="00366268"/>
    <w:rsid w:val="00366333"/>
    <w:rsid w:val="00366367"/>
    <w:rsid w:val="003663E3"/>
    <w:rsid w:val="003666E1"/>
    <w:rsid w:val="00366799"/>
    <w:rsid w:val="003667DC"/>
    <w:rsid w:val="003667FE"/>
    <w:rsid w:val="00366900"/>
    <w:rsid w:val="003669AA"/>
    <w:rsid w:val="003669B0"/>
    <w:rsid w:val="003669C3"/>
    <w:rsid w:val="00366BC0"/>
    <w:rsid w:val="00366C56"/>
    <w:rsid w:val="00366CD1"/>
    <w:rsid w:val="00366CF5"/>
    <w:rsid w:val="00366D9A"/>
    <w:rsid w:val="00366E18"/>
    <w:rsid w:val="00366E9B"/>
    <w:rsid w:val="00367090"/>
    <w:rsid w:val="0036715B"/>
    <w:rsid w:val="0036725B"/>
    <w:rsid w:val="003673B6"/>
    <w:rsid w:val="00367448"/>
    <w:rsid w:val="0036751F"/>
    <w:rsid w:val="00367538"/>
    <w:rsid w:val="00367629"/>
    <w:rsid w:val="0036767E"/>
    <w:rsid w:val="00367745"/>
    <w:rsid w:val="003677A1"/>
    <w:rsid w:val="00367927"/>
    <w:rsid w:val="0036793D"/>
    <w:rsid w:val="00367950"/>
    <w:rsid w:val="00367986"/>
    <w:rsid w:val="003679D1"/>
    <w:rsid w:val="00367A13"/>
    <w:rsid w:val="00367A58"/>
    <w:rsid w:val="00367B12"/>
    <w:rsid w:val="00367B20"/>
    <w:rsid w:val="00367C57"/>
    <w:rsid w:val="00367C90"/>
    <w:rsid w:val="00367C9C"/>
    <w:rsid w:val="00367DA0"/>
    <w:rsid w:val="00367ECA"/>
    <w:rsid w:val="00367FF6"/>
    <w:rsid w:val="00370142"/>
    <w:rsid w:val="003701F7"/>
    <w:rsid w:val="00370241"/>
    <w:rsid w:val="003705DA"/>
    <w:rsid w:val="00370698"/>
    <w:rsid w:val="0037077F"/>
    <w:rsid w:val="003707BF"/>
    <w:rsid w:val="003707C7"/>
    <w:rsid w:val="003707D5"/>
    <w:rsid w:val="003708D2"/>
    <w:rsid w:val="00370928"/>
    <w:rsid w:val="0037093C"/>
    <w:rsid w:val="003709DB"/>
    <w:rsid w:val="003709F0"/>
    <w:rsid w:val="00370AA1"/>
    <w:rsid w:val="00370AAE"/>
    <w:rsid w:val="00370BA7"/>
    <w:rsid w:val="00370DD6"/>
    <w:rsid w:val="00370E7B"/>
    <w:rsid w:val="00370F08"/>
    <w:rsid w:val="00370F32"/>
    <w:rsid w:val="00370F3A"/>
    <w:rsid w:val="003711AD"/>
    <w:rsid w:val="003711E8"/>
    <w:rsid w:val="0037129B"/>
    <w:rsid w:val="0037131F"/>
    <w:rsid w:val="00371485"/>
    <w:rsid w:val="003714CD"/>
    <w:rsid w:val="00371584"/>
    <w:rsid w:val="003715A4"/>
    <w:rsid w:val="0037166B"/>
    <w:rsid w:val="00371760"/>
    <w:rsid w:val="003717F3"/>
    <w:rsid w:val="0037184B"/>
    <w:rsid w:val="0037187E"/>
    <w:rsid w:val="003718B5"/>
    <w:rsid w:val="003718C8"/>
    <w:rsid w:val="00371943"/>
    <w:rsid w:val="003719FA"/>
    <w:rsid w:val="00371B02"/>
    <w:rsid w:val="00371B4B"/>
    <w:rsid w:val="00371BAA"/>
    <w:rsid w:val="00371BC0"/>
    <w:rsid w:val="00371C27"/>
    <w:rsid w:val="00371CA5"/>
    <w:rsid w:val="00371DF4"/>
    <w:rsid w:val="00371E33"/>
    <w:rsid w:val="00371E87"/>
    <w:rsid w:val="00371EA5"/>
    <w:rsid w:val="00371F37"/>
    <w:rsid w:val="00372079"/>
    <w:rsid w:val="00372082"/>
    <w:rsid w:val="003720C9"/>
    <w:rsid w:val="003721F5"/>
    <w:rsid w:val="00372212"/>
    <w:rsid w:val="0037226E"/>
    <w:rsid w:val="00372299"/>
    <w:rsid w:val="0037247A"/>
    <w:rsid w:val="0037272A"/>
    <w:rsid w:val="0037272B"/>
    <w:rsid w:val="0037273D"/>
    <w:rsid w:val="00372AF7"/>
    <w:rsid w:val="00372B89"/>
    <w:rsid w:val="00372BE7"/>
    <w:rsid w:val="00372C5A"/>
    <w:rsid w:val="00372C9A"/>
    <w:rsid w:val="00372CBA"/>
    <w:rsid w:val="00372CFD"/>
    <w:rsid w:val="00372D2A"/>
    <w:rsid w:val="00372D55"/>
    <w:rsid w:val="00372D87"/>
    <w:rsid w:val="00372DC9"/>
    <w:rsid w:val="00372EF2"/>
    <w:rsid w:val="00372F10"/>
    <w:rsid w:val="00372F90"/>
    <w:rsid w:val="00372FC4"/>
    <w:rsid w:val="0037307C"/>
    <w:rsid w:val="0037316E"/>
    <w:rsid w:val="00373180"/>
    <w:rsid w:val="003731CB"/>
    <w:rsid w:val="0037322B"/>
    <w:rsid w:val="00373249"/>
    <w:rsid w:val="003732BF"/>
    <w:rsid w:val="003732D9"/>
    <w:rsid w:val="00373357"/>
    <w:rsid w:val="003733AF"/>
    <w:rsid w:val="003735BC"/>
    <w:rsid w:val="0037360A"/>
    <w:rsid w:val="00373659"/>
    <w:rsid w:val="003736FB"/>
    <w:rsid w:val="00373711"/>
    <w:rsid w:val="00373742"/>
    <w:rsid w:val="00373860"/>
    <w:rsid w:val="00373890"/>
    <w:rsid w:val="00373926"/>
    <w:rsid w:val="00373A4D"/>
    <w:rsid w:val="00373B12"/>
    <w:rsid w:val="00373B72"/>
    <w:rsid w:val="00373CFE"/>
    <w:rsid w:val="00373D64"/>
    <w:rsid w:val="00373E9C"/>
    <w:rsid w:val="00373EBA"/>
    <w:rsid w:val="00373EC7"/>
    <w:rsid w:val="00373EDD"/>
    <w:rsid w:val="00373F1D"/>
    <w:rsid w:val="00374053"/>
    <w:rsid w:val="00374158"/>
    <w:rsid w:val="0037425E"/>
    <w:rsid w:val="00374318"/>
    <w:rsid w:val="00374347"/>
    <w:rsid w:val="0037439A"/>
    <w:rsid w:val="0037441D"/>
    <w:rsid w:val="0037442B"/>
    <w:rsid w:val="003744C0"/>
    <w:rsid w:val="0037451F"/>
    <w:rsid w:val="0037456E"/>
    <w:rsid w:val="003745BB"/>
    <w:rsid w:val="00374665"/>
    <w:rsid w:val="003746C7"/>
    <w:rsid w:val="003746E2"/>
    <w:rsid w:val="00374737"/>
    <w:rsid w:val="00374AA7"/>
    <w:rsid w:val="00374B73"/>
    <w:rsid w:val="00374BF2"/>
    <w:rsid w:val="00374C4F"/>
    <w:rsid w:val="00374C59"/>
    <w:rsid w:val="00374E98"/>
    <w:rsid w:val="00374EC6"/>
    <w:rsid w:val="0037505C"/>
    <w:rsid w:val="003750C7"/>
    <w:rsid w:val="003752A3"/>
    <w:rsid w:val="00375360"/>
    <w:rsid w:val="003754CB"/>
    <w:rsid w:val="003755FE"/>
    <w:rsid w:val="00375672"/>
    <w:rsid w:val="003758BF"/>
    <w:rsid w:val="0037596E"/>
    <w:rsid w:val="00375A33"/>
    <w:rsid w:val="00375AC6"/>
    <w:rsid w:val="00375B8F"/>
    <w:rsid w:val="00375D12"/>
    <w:rsid w:val="00375D19"/>
    <w:rsid w:val="00375DCF"/>
    <w:rsid w:val="00375EC2"/>
    <w:rsid w:val="003760A5"/>
    <w:rsid w:val="0037615C"/>
    <w:rsid w:val="0037631F"/>
    <w:rsid w:val="00376333"/>
    <w:rsid w:val="003763E2"/>
    <w:rsid w:val="003764C5"/>
    <w:rsid w:val="003764EF"/>
    <w:rsid w:val="003765BF"/>
    <w:rsid w:val="003765C5"/>
    <w:rsid w:val="00376620"/>
    <w:rsid w:val="00376643"/>
    <w:rsid w:val="003766A7"/>
    <w:rsid w:val="00376704"/>
    <w:rsid w:val="00376706"/>
    <w:rsid w:val="003767E3"/>
    <w:rsid w:val="0037680E"/>
    <w:rsid w:val="00376857"/>
    <w:rsid w:val="0037690D"/>
    <w:rsid w:val="00376AAE"/>
    <w:rsid w:val="00376ABC"/>
    <w:rsid w:val="00376AC4"/>
    <w:rsid w:val="00376B79"/>
    <w:rsid w:val="00376CE1"/>
    <w:rsid w:val="00376D11"/>
    <w:rsid w:val="00376D21"/>
    <w:rsid w:val="00376D9E"/>
    <w:rsid w:val="00376DE0"/>
    <w:rsid w:val="00376DE2"/>
    <w:rsid w:val="0037700A"/>
    <w:rsid w:val="00377051"/>
    <w:rsid w:val="003771CA"/>
    <w:rsid w:val="00377230"/>
    <w:rsid w:val="003772AD"/>
    <w:rsid w:val="003772E6"/>
    <w:rsid w:val="0037738D"/>
    <w:rsid w:val="003773FF"/>
    <w:rsid w:val="00377434"/>
    <w:rsid w:val="00377446"/>
    <w:rsid w:val="0037752C"/>
    <w:rsid w:val="0037757E"/>
    <w:rsid w:val="00377585"/>
    <w:rsid w:val="003777AB"/>
    <w:rsid w:val="0037785D"/>
    <w:rsid w:val="00377888"/>
    <w:rsid w:val="003778CC"/>
    <w:rsid w:val="0037795D"/>
    <w:rsid w:val="003779E0"/>
    <w:rsid w:val="00377A1E"/>
    <w:rsid w:val="00377AB7"/>
    <w:rsid w:val="00377BD4"/>
    <w:rsid w:val="00377D03"/>
    <w:rsid w:val="00377D93"/>
    <w:rsid w:val="00377EC9"/>
    <w:rsid w:val="00377FDB"/>
    <w:rsid w:val="0038002A"/>
    <w:rsid w:val="00380127"/>
    <w:rsid w:val="003801E2"/>
    <w:rsid w:val="00380296"/>
    <w:rsid w:val="0038037A"/>
    <w:rsid w:val="0038037C"/>
    <w:rsid w:val="0038039C"/>
    <w:rsid w:val="003803E6"/>
    <w:rsid w:val="00380468"/>
    <w:rsid w:val="00380503"/>
    <w:rsid w:val="0038054C"/>
    <w:rsid w:val="00380576"/>
    <w:rsid w:val="0038067B"/>
    <w:rsid w:val="003806E7"/>
    <w:rsid w:val="00380726"/>
    <w:rsid w:val="003807E9"/>
    <w:rsid w:val="003808C6"/>
    <w:rsid w:val="003808E6"/>
    <w:rsid w:val="00380931"/>
    <w:rsid w:val="00380A46"/>
    <w:rsid w:val="00380B21"/>
    <w:rsid w:val="00380B38"/>
    <w:rsid w:val="00380C33"/>
    <w:rsid w:val="00380C88"/>
    <w:rsid w:val="00380D0A"/>
    <w:rsid w:val="00380D2D"/>
    <w:rsid w:val="00380D77"/>
    <w:rsid w:val="00380D91"/>
    <w:rsid w:val="00380DC1"/>
    <w:rsid w:val="00380E2C"/>
    <w:rsid w:val="00380E77"/>
    <w:rsid w:val="00380E8E"/>
    <w:rsid w:val="00380F72"/>
    <w:rsid w:val="003810CF"/>
    <w:rsid w:val="003810DE"/>
    <w:rsid w:val="003810FB"/>
    <w:rsid w:val="003811B6"/>
    <w:rsid w:val="003811E5"/>
    <w:rsid w:val="003811F6"/>
    <w:rsid w:val="00381223"/>
    <w:rsid w:val="00381286"/>
    <w:rsid w:val="003812E1"/>
    <w:rsid w:val="0038130E"/>
    <w:rsid w:val="003813A6"/>
    <w:rsid w:val="003814CB"/>
    <w:rsid w:val="003814D7"/>
    <w:rsid w:val="003814E6"/>
    <w:rsid w:val="00381529"/>
    <w:rsid w:val="0038155E"/>
    <w:rsid w:val="00381645"/>
    <w:rsid w:val="0038165D"/>
    <w:rsid w:val="003816D8"/>
    <w:rsid w:val="0038175A"/>
    <w:rsid w:val="0038189B"/>
    <w:rsid w:val="003818E1"/>
    <w:rsid w:val="00381936"/>
    <w:rsid w:val="003819B1"/>
    <w:rsid w:val="003819BC"/>
    <w:rsid w:val="00381A3B"/>
    <w:rsid w:val="00381AB4"/>
    <w:rsid w:val="00381AFC"/>
    <w:rsid w:val="00381B44"/>
    <w:rsid w:val="00381B65"/>
    <w:rsid w:val="00381C7B"/>
    <w:rsid w:val="00381C7D"/>
    <w:rsid w:val="00381CA5"/>
    <w:rsid w:val="00381D06"/>
    <w:rsid w:val="00381D26"/>
    <w:rsid w:val="00381D96"/>
    <w:rsid w:val="00381E21"/>
    <w:rsid w:val="00381E51"/>
    <w:rsid w:val="00381E95"/>
    <w:rsid w:val="00381F2E"/>
    <w:rsid w:val="00381F43"/>
    <w:rsid w:val="00381F53"/>
    <w:rsid w:val="003821BF"/>
    <w:rsid w:val="00382276"/>
    <w:rsid w:val="003822C4"/>
    <w:rsid w:val="003822D0"/>
    <w:rsid w:val="0038230B"/>
    <w:rsid w:val="00382323"/>
    <w:rsid w:val="00382356"/>
    <w:rsid w:val="003823A0"/>
    <w:rsid w:val="0038252B"/>
    <w:rsid w:val="0038255B"/>
    <w:rsid w:val="003825DE"/>
    <w:rsid w:val="00382673"/>
    <w:rsid w:val="003826D5"/>
    <w:rsid w:val="003827F7"/>
    <w:rsid w:val="00382856"/>
    <w:rsid w:val="00382868"/>
    <w:rsid w:val="003828B0"/>
    <w:rsid w:val="003828DC"/>
    <w:rsid w:val="003829BF"/>
    <w:rsid w:val="003829E0"/>
    <w:rsid w:val="00382A4D"/>
    <w:rsid w:val="00382B06"/>
    <w:rsid w:val="00382B50"/>
    <w:rsid w:val="00382B85"/>
    <w:rsid w:val="00382B99"/>
    <w:rsid w:val="00382BB3"/>
    <w:rsid w:val="00382BB9"/>
    <w:rsid w:val="00382BFF"/>
    <w:rsid w:val="00382CD7"/>
    <w:rsid w:val="00382E55"/>
    <w:rsid w:val="00382E97"/>
    <w:rsid w:val="00382F17"/>
    <w:rsid w:val="00382F68"/>
    <w:rsid w:val="00383071"/>
    <w:rsid w:val="0038316B"/>
    <w:rsid w:val="003831C5"/>
    <w:rsid w:val="00383345"/>
    <w:rsid w:val="003833AF"/>
    <w:rsid w:val="0038341F"/>
    <w:rsid w:val="0038342A"/>
    <w:rsid w:val="00383430"/>
    <w:rsid w:val="0038348A"/>
    <w:rsid w:val="0038366C"/>
    <w:rsid w:val="0038368A"/>
    <w:rsid w:val="003838D3"/>
    <w:rsid w:val="0038391D"/>
    <w:rsid w:val="00383944"/>
    <w:rsid w:val="00383970"/>
    <w:rsid w:val="00383985"/>
    <w:rsid w:val="0038399E"/>
    <w:rsid w:val="003839FC"/>
    <w:rsid w:val="00383B79"/>
    <w:rsid w:val="00383BAD"/>
    <w:rsid w:val="00383BE9"/>
    <w:rsid w:val="00383C3E"/>
    <w:rsid w:val="00383C6A"/>
    <w:rsid w:val="00383C9D"/>
    <w:rsid w:val="00383D05"/>
    <w:rsid w:val="00383D13"/>
    <w:rsid w:val="00383D73"/>
    <w:rsid w:val="00383EF5"/>
    <w:rsid w:val="00383F79"/>
    <w:rsid w:val="0038412F"/>
    <w:rsid w:val="00384141"/>
    <w:rsid w:val="003841F1"/>
    <w:rsid w:val="00384271"/>
    <w:rsid w:val="003842FA"/>
    <w:rsid w:val="003844E5"/>
    <w:rsid w:val="003844E9"/>
    <w:rsid w:val="00384513"/>
    <w:rsid w:val="0038461A"/>
    <w:rsid w:val="00384627"/>
    <w:rsid w:val="00384660"/>
    <w:rsid w:val="0038467F"/>
    <w:rsid w:val="003846A1"/>
    <w:rsid w:val="00384770"/>
    <w:rsid w:val="003847F1"/>
    <w:rsid w:val="003848A3"/>
    <w:rsid w:val="003848B2"/>
    <w:rsid w:val="003849D3"/>
    <w:rsid w:val="00384A15"/>
    <w:rsid w:val="00384ABA"/>
    <w:rsid w:val="00384BD2"/>
    <w:rsid w:val="00384BD4"/>
    <w:rsid w:val="00384C99"/>
    <w:rsid w:val="00384D30"/>
    <w:rsid w:val="00384E69"/>
    <w:rsid w:val="00384FC0"/>
    <w:rsid w:val="00385019"/>
    <w:rsid w:val="00385058"/>
    <w:rsid w:val="00385124"/>
    <w:rsid w:val="00385126"/>
    <w:rsid w:val="00385140"/>
    <w:rsid w:val="0038529B"/>
    <w:rsid w:val="003852EA"/>
    <w:rsid w:val="00385311"/>
    <w:rsid w:val="00385413"/>
    <w:rsid w:val="00385491"/>
    <w:rsid w:val="00385591"/>
    <w:rsid w:val="003856C2"/>
    <w:rsid w:val="00385707"/>
    <w:rsid w:val="00385789"/>
    <w:rsid w:val="0038579D"/>
    <w:rsid w:val="003857D7"/>
    <w:rsid w:val="00385832"/>
    <w:rsid w:val="003858D4"/>
    <w:rsid w:val="003859F4"/>
    <w:rsid w:val="00385AAC"/>
    <w:rsid w:val="00385AFF"/>
    <w:rsid w:val="00385B93"/>
    <w:rsid w:val="00385BA5"/>
    <w:rsid w:val="00385BF6"/>
    <w:rsid w:val="00385C5C"/>
    <w:rsid w:val="00385C9F"/>
    <w:rsid w:val="00385CE2"/>
    <w:rsid w:val="00385D88"/>
    <w:rsid w:val="00385DC0"/>
    <w:rsid w:val="00385DDC"/>
    <w:rsid w:val="00385ECC"/>
    <w:rsid w:val="00385FAE"/>
    <w:rsid w:val="00385FFE"/>
    <w:rsid w:val="003860B4"/>
    <w:rsid w:val="0038619C"/>
    <w:rsid w:val="00386279"/>
    <w:rsid w:val="003862C5"/>
    <w:rsid w:val="0038633D"/>
    <w:rsid w:val="003863F7"/>
    <w:rsid w:val="0038649D"/>
    <w:rsid w:val="003864FC"/>
    <w:rsid w:val="00386507"/>
    <w:rsid w:val="00386559"/>
    <w:rsid w:val="00386679"/>
    <w:rsid w:val="00386687"/>
    <w:rsid w:val="00386698"/>
    <w:rsid w:val="00386980"/>
    <w:rsid w:val="003869BF"/>
    <w:rsid w:val="00386A2D"/>
    <w:rsid w:val="00386A47"/>
    <w:rsid w:val="00386AF3"/>
    <w:rsid w:val="00386B9C"/>
    <w:rsid w:val="00386C62"/>
    <w:rsid w:val="00386C7B"/>
    <w:rsid w:val="00386CD1"/>
    <w:rsid w:val="00386D00"/>
    <w:rsid w:val="00386D3E"/>
    <w:rsid w:val="00386D8E"/>
    <w:rsid w:val="00386E15"/>
    <w:rsid w:val="00386E23"/>
    <w:rsid w:val="00386E5F"/>
    <w:rsid w:val="00386EE4"/>
    <w:rsid w:val="00386F2F"/>
    <w:rsid w:val="00386F6E"/>
    <w:rsid w:val="00387105"/>
    <w:rsid w:val="0038710F"/>
    <w:rsid w:val="00387182"/>
    <w:rsid w:val="003871B8"/>
    <w:rsid w:val="003873A6"/>
    <w:rsid w:val="00387447"/>
    <w:rsid w:val="003874F8"/>
    <w:rsid w:val="00387520"/>
    <w:rsid w:val="003875AA"/>
    <w:rsid w:val="00387630"/>
    <w:rsid w:val="003877B0"/>
    <w:rsid w:val="00387862"/>
    <w:rsid w:val="003878E1"/>
    <w:rsid w:val="003879EB"/>
    <w:rsid w:val="00387A4F"/>
    <w:rsid w:val="00387A84"/>
    <w:rsid w:val="00387AB9"/>
    <w:rsid w:val="00387BE0"/>
    <w:rsid w:val="00387C73"/>
    <w:rsid w:val="00387C95"/>
    <w:rsid w:val="00387CC2"/>
    <w:rsid w:val="00387DA2"/>
    <w:rsid w:val="00387F01"/>
    <w:rsid w:val="00387F55"/>
    <w:rsid w:val="00390007"/>
    <w:rsid w:val="003900F8"/>
    <w:rsid w:val="00390210"/>
    <w:rsid w:val="00390246"/>
    <w:rsid w:val="00390248"/>
    <w:rsid w:val="00390357"/>
    <w:rsid w:val="003903F3"/>
    <w:rsid w:val="003903F6"/>
    <w:rsid w:val="00390555"/>
    <w:rsid w:val="00390561"/>
    <w:rsid w:val="003905EA"/>
    <w:rsid w:val="00390608"/>
    <w:rsid w:val="003906E2"/>
    <w:rsid w:val="003906F0"/>
    <w:rsid w:val="00390724"/>
    <w:rsid w:val="00390727"/>
    <w:rsid w:val="00390776"/>
    <w:rsid w:val="003907D1"/>
    <w:rsid w:val="0039093D"/>
    <w:rsid w:val="00390971"/>
    <w:rsid w:val="00390A53"/>
    <w:rsid w:val="00390A75"/>
    <w:rsid w:val="00390AA1"/>
    <w:rsid w:val="00390B53"/>
    <w:rsid w:val="00390BC4"/>
    <w:rsid w:val="00390BF7"/>
    <w:rsid w:val="00390C51"/>
    <w:rsid w:val="00390C54"/>
    <w:rsid w:val="00390D65"/>
    <w:rsid w:val="00390D6B"/>
    <w:rsid w:val="00390DBB"/>
    <w:rsid w:val="00390E00"/>
    <w:rsid w:val="00390F13"/>
    <w:rsid w:val="00390F8A"/>
    <w:rsid w:val="00390F8C"/>
    <w:rsid w:val="00391004"/>
    <w:rsid w:val="00391188"/>
    <w:rsid w:val="0039118E"/>
    <w:rsid w:val="003911A1"/>
    <w:rsid w:val="00391320"/>
    <w:rsid w:val="0039135F"/>
    <w:rsid w:val="0039139D"/>
    <w:rsid w:val="003913D8"/>
    <w:rsid w:val="003913EB"/>
    <w:rsid w:val="003915D5"/>
    <w:rsid w:val="00391701"/>
    <w:rsid w:val="0039177A"/>
    <w:rsid w:val="003917C9"/>
    <w:rsid w:val="003918AE"/>
    <w:rsid w:val="003918B9"/>
    <w:rsid w:val="003918CE"/>
    <w:rsid w:val="0039190E"/>
    <w:rsid w:val="00391911"/>
    <w:rsid w:val="00391960"/>
    <w:rsid w:val="00391C23"/>
    <w:rsid w:val="00391C2C"/>
    <w:rsid w:val="00391C57"/>
    <w:rsid w:val="00391D15"/>
    <w:rsid w:val="00391D3C"/>
    <w:rsid w:val="00391D41"/>
    <w:rsid w:val="00391EB3"/>
    <w:rsid w:val="00391F69"/>
    <w:rsid w:val="00392077"/>
    <w:rsid w:val="00392079"/>
    <w:rsid w:val="003920BF"/>
    <w:rsid w:val="0039215B"/>
    <w:rsid w:val="00392171"/>
    <w:rsid w:val="0039219B"/>
    <w:rsid w:val="0039228C"/>
    <w:rsid w:val="003922FC"/>
    <w:rsid w:val="003923A2"/>
    <w:rsid w:val="0039241D"/>
    <w:rsid w:val="00392478"/>
    <w:rsid w:val="0039247B"/>
    <w:rsid w:val="00392501"/>
    <w:rsid w:val="00392554"/>
    <w:rsid w:val="00392565"/>
    <w:rsid w:val="00392648"/>
    <w:rsid w:val="00392663"/>
    <w:rsid w:val="00392733"/>
    <w:rsid w:val="0039275F"/>
    <w:rsid w:val="00392767"/>
    <w:rsid w:val="003928A5"/>
    <w:rsid w:val="00392B04"/>
    <w:rsid w:val="00392C15"/>
    <w:rsid w:val="00392DF7"/>
    <w:rsid w:val="00392E76"/>
    <w:rsid w:val="00392EA9"/>
    <w:rsid w:val="00392EE6"/>
    <w:rsid w:val="0039304E"/>
    <w:rsid w:val="003930CB"/>
    <w:rsid w:val="0039320E"/>
    <w:rsid w:val="003932A2"/>
    <w:rsid w:val="003932F2"/>
    <w:rsid w:val="0039331A"/>
    <w:rsid w:val="0039350B"/>
    <w:rsid w:val="00393555"/>
    <w:rsid w:val="00393625"/>
    <w:rsid w:val="00393651"/>
    <w:rsid w:val="00393659"/>
    <w:rsid w:val="003936FD"/>
    <w:rsid w:val="00393767"/>
    <w:rsid w:val="00393885"/>
    <w:rsid w:val="003938CE"/>
    <w:rsid w:val="00393997"/>
    <w:rsid w:val="00393B14"/>
    <w:rsid w:val="00393B21"/>
    <w:rsid w:val="00393B5A"/>
    <w:rsid w:val="00393B76"/>
    <w:rsid w:val="00393B89"/>
    <w:rsid w:val="00393BCA"/>
    <w:rsid w:val="00393C2E"/>
    <w:rsid w:val="00393C9C"/>
    <w:rsid w:val="00393CDE"/>
    <w:rsid w:val="00393E18"/>
    <w:rsid w:val="00393E50"/>
    <w:rsid w:val="00393E8B"/>
    <w:rsid w:val="00393F2A"/>
    <w:rsid w:val="003940A9"/>
    <w:rsid w:val="0039415E"/>
    <w:rsid w:val="003941B5"/>
    <w:rsid w:val="0039426D"/>
    <w:rsid w:val="00394292"/>
    <w:rsid w:val="003942F3"/>
    <w:rsid w:val="00394302"/>
    <w:rsid w:val="0039431F"/>
    <w:rsid w:val="0039442F"/>
    <w:rsid w:val="0039459F"/>
    <w:rsid w:val="003946A8"/>
    <w:rsid w:val="003947C1"/>
    <w:rsid w:val="003947D3"/>
    <w:rsid w:val="00394829"/>
    <w:rsid w:val="00394944"/>
    <w:rsid w:val="00394972"/>
    <w:rsid w:val="00394AEC"/>
    <w:rsid w:val="00394B1F"/>
    <w:rsid w:val="00394B60"/>
    <w:rsid w:val="00394C08"/>
    <w:rsid w:val="00394C9C"/>
    <w:rsid w:val="00394CAC"/>
    <w:rsid w:val="00394D2B"/>
    <w:rsid w:val="00394D85"/>
    <w:rsid w:val="00394DC4"/>
    <w:rsid w:val="00394DD1"/>
    <w:rsid w:val="00394E5C"/>
    <w:rsid w:val="00394ED1"/>
    <w:rsid w:val="00395001"/>
    <w:rsid w:val="003951ED"/>
    <w:rsid w:val="0039522F"/>
    <w:rsid w:val="003952F6"/>
    <w:rsid w:val="00395422"/>
    <w:rsid w:val="00395493"/>
    <w:rsid w:val="00395513"/>
    <w:rsid w:val="00395568"/>
    <w:rsid w:val="00395592"/>
    <w:rsid w:val="0039564B"/>
    <w:rsid w:val="003956D0"/>
    <w:rsid w:val="0039587E"/>
    <w:rsid w:val="00395944"/>
    <w:rsid w:val="0039595A"/>
    <w:rsid w:val="00395967"/>
    <w:rsid w:val="00395973"/>
    <w:rsid w:val="003959B4"/>
    <w:rsid w:val="00395B36"/>
    <w:rsid w:val="00395B78"/>
    <w:rsid w:val="00395C51"/>
    <w:rsid w:val="00395CD4"/>
    <w:rsid w:val="00395DC0"/>
    <w:rsid w:val="00395E57"/>
    <w:rsid w:val="00395EEE"/>
    <w:rsid w:val="00395EF0"/>
    <w:rsid w:val="00395F4D"/>
    <w:rsid w:val="00395FA6"/>
    <w:rsid w:val="00395FB8"/>
    <w:rsid w:val="0039602A"/>
    <w:rsid w:val="00396111"/>
    <w:rsid w:val="00396173"/>
    <w:rsid w:val="0039617E"/>
    <w:rsid w:val="00396236"/>
    <w:rsid w:val="00396282"/>
    <w:rsid w:val="0039632B"/>
    <w:rsid w:val="00396381"/>
    <w:rsid w:val="003963CC"/>
    <w:rsid w:val="00396554"/>
    <w:rsid w:val="00396645"/>
    <w:rsid w:val="00396686"/>
    <w:rsid w:val="003966BB"/>
    <w:rsid w:val="003966CC"/>
    <w:rsid w:val="003966DA"/>
    <w:rsid w:val="00396761"/>
    <w:rsid w:val="00396811"/>
    <w:rsid w:val="0039688A"/>
    <w:rsid w:val="0039688B"/>
    <w:rsid w:val="0039691C"/>
    <w:rsid w:val="0039696E"/>
    <w:rsid w:val="00396A81"/>
    <w:rsid w:val="00396AF8"/>
    <w:rsid w:val="00396B34"/>
    <w:rsid w:val="00396B3C"/>
    <w:rsid w:val="00396BC2"/>
    <w:rsid w:val="00396C8A"/>
    <w:rsid w:val="00396CBC"/>
    <w:rsid w:val="00396D15"/>
    <w:rsid w:val="00396DAF"/>
    <w:rsid w:val="00396DFA"/>
    <w:rsid w:val="00396E4E"/>
    <w:rsid w:val="00396F14"/>
    <w:rsid w:val="00397065"/>
    <w:rsid w:val="00397080"/>
    <w:rsid w:val="003970D2"/>
    <w:rsid w:val="0039714F"/>
    <w:rsid w:val="00397228"/>
    <w:rsid w:val="003973A7"/>
    <w:rsid w:val="0039750F"/>
    <w:rsid w:val="003975F8"/>
    <w:rsid w:val="00397836"/>
    <w:rsid w:val="003978BB"/>
    <w:rsid w:val="003979DA"/>
    <w:rsid w:val="003979FC"/>
    <w:rsid w:val="00397AB1"/>
    <w:rsid w:val="00397C81"/>
    <w:rsid w:val="00397C97"/>
    <w:rsid w:val="00397E9C"/>
    <w:rsid w:val="00397F42"/>
    <w:rsid w:val="00397F6F"/>
    <w:rsid w:val="003A0024"/>
    <w:rsid w:val="003A005B"/>
    <w:rsid w:val="003A006C"/>
    <w:rsid w:val="003A00A4"/>
    <w:rsid w:val="003A0159"/>
    <w:rsid w:val="003A029A"/>
    <w:rsid w:val="003A02B7"/>
    <w:rsid w:val="003A0358"/>
    <w:rsid w:val="003A043D"/>
    <w:rsid w:val="003A0498"/>
    <w:rsid w:val="003A04D4"/>
    <w:rsid w:val="003A052F"/>
    <w:rsid w:val="003A053B"/>
    <w:rsid w:val="003A057F"/>
    <w:rsid w:val="003A05D8"/>
    <w:rsid w:val="003A0664"/>
    <w:rsid w:val="003A06D0"/>
    <w:rsid w:val="003A075E"/>
    <w:rsid w:val="003A0839"/>
    <w:rsid w:val="003A0BEF"/>
    <w:rsid w:val="003A0C00"/>
    <w:rsid w:val="003A0C64"/>
    <w:rsid w:val="003A0CC7"/>
    <w:rsid w:val="003A0CD4"/>
    <w:rsid w:val="003A0D36"/>
    <w:rsid w:val="003A0D38"/>
    <w:rsid w:val="003A0D4B"/>
    <w:rsid w:val="003A0DD7"/>
    <w:rsid w:val="003A0DDC"/>
    <w:rsid w:val="003A1138"/>
    <w:rsid w:val="003A1162"/>
    <w:rsid w:val="003A11BF"/>
    <w:rsid w:val="003A12E7"/>
    <w:rsid w:val="003A1334"/>
    <w:rsid w:val="003A1355"/>
    <w:rsid w:val="003A141E"/>
    <w:rsid w:val="003A144E"/>
    <w:rsid w:val="003A1459"/>
    <w:rsid w:val="003A146E"/>
    <w:rsid w:val="003A1511"/>
    <w:rsid w:val="003A1565"/>
    <w:rsid w:val="003A15BA"/>
    <w:rsid w:val="003A16ED"/>
    <w:rsid w:val="003A1783"/>
    <w:rsid w:val="003A17C3"/>
    <w:rsid w:val="003A17F0"/>
    <w:rsid w:val="003A180E"/>
    <w:rsid w:val="003A1868"/>
    <w:rsid w:val="003A18F8"/>
    <w:rsid w:val="003A1911"/>
    <w:rsid w:val="003A1A0C"/>
    <w:rsid w:val="003A1A7B"/>
    <w:rsid w:val="003A1C00"/>
    <w:rsid w:val="003A1DA1"/>
    <w:rsid w:val="003A1E1A"/>
    <w:rsid w:val="003A1E86"/>
    <w:rsid w:val="003A1EAF"/>
    <w:rsid w:val="003A1EF7"/>
    <w:rsid w:val="003A1FB5"/>
    <w:rsid w:val="003A20BD"/>
    <w:rsid w:val="003A2223"/>
    <w:rsid w:val="003A22AA"/>
    <w:rsid w:val="003A23EE"/>
    <w:rsid w:val="003A24E4"/>
    <w:rsid w:val="003A2563"/>
    <w:rsid w:val="003A2642"/>
    <w:rsid w:val="003A266E"/>
    <w:rsid w:val="003A26A3"/>
    <w:rsid w:val="003A26AF"/>
    <w:rsid w:val="003A27C4"/>
    <w:rsid w:val="003A27FF"/>
    <w:rsid w:val="003A28CC"/>
    <w:rsid w:val="003A2981"/>
    <w:rsid w:val="003A2A5F"/>
    <w:rsid w:val="003A2A86"/>
    <w:rsid w:val="003A2AC2"/>
    <w:rsid w:val="003A2ACE"/>
    <w:rsid w:val="003A2BE0"/>
    <w:rsid w:val="003A2C5E"/>
    <w:rsid w:val="003A2CDE"/>
    <w:rsid w:val="003A2D05"/>
    <w:rsid w:val="003A2D37"/>
    <w:rsid w:val="003A2EDA"/>
    <w:rsid w:val="003A2F3C"/>
    <w:rsid w:val="003A2FE8"/>
    <w:rsid w:val="003A309C"/>
    <w:rsid w:val="003A30C6"/>
    <w:rsid w:val="003A31D2"/>
    <w:rsid w:val="003A31E5"/>
    <w:rsid w:val="003A3203"/>
    <w:rsid w:val="003A3302"/>
    <w:rsid w:val="003A3371"/>
    <w:rsid w:val="003A3413"/>
    <w:rsid w:val="003A3524"/>
    <w:rsid w:val="003A3559"/>
    <w:rsid w:val="003A3594"/>
    <w:rsid w:val="003A35F6"/>
    <w:rsid w:val="003A3684"/>
    <w:rsid w:val="003A36A6"/>
    <w:rsid w:val="003A36BE"/>
    <w:rsid w:val="003A3795"/>
    <w:rsid w:val="003A37CA"/>
    <w:rsid w:val="003A3A0A"/>
    <w:rsid w:val="003A3A92"/>
    <w:rsid w:val="003A3ACD"/>
    <w:rsid w:val="003A3B01"/>
    <w:rsid w:val="003A3B85"/>
    <w:rsid w:val="003A3BF4"/>
    <w:rsid w:val="003A3C37"/>
    <w:rsid w:val="003A3C3A"/>
    <w:rsid w:val="003A3C8D"/>
    <w:rsid w:val="003A3DB1"/>
    <w:rsid w:val="003A3DCF"/>
    <w:rsid w:val="003A3E24"/>
    <w:rsid w:val="003A3E37"/>
    <w:rsid w:val="003A3E84"/>
    <w:rsid w:val="003A3EF2"/>
    <w:rsid w:val="003A3FB2"/>
    <w:rsid w:val="003A4108"/>
    <w:rsid w:val="003A416B"/>
    <w:rsid w:val="003A4193"/>
    <w:rsid w:val="003A42D8"/>
    <w:rsid w:val="003A4308"/>
    <w:rsid w:val="003A4349"/>
    <w:rsid w:val="003A43B7"/>
    <w:rsid w:val="003A43F5"/>
    <w:rsid w:val="003A448E"/>
    <w:rsid w:val="003A453D"/>
    <w:rsid w:val="003A456B"/>
    <w:rsid w:val="003A45B3"/>
    <w:rsid w:val="003A4677"/>
    <w:rsid w:val="003A46BB"/>
    <w:rsid w:val="003A48EC"/>
    <w:rsid w:val="003A48FD"/>
    <w:rsid w:val="003A4987"/>
    <w:rsid w:val="003A4B21"/>
    <w:rsid w:val="003A4CDE"/>
    <w:rsid w:val="003A4D35"/>
    <w:rsid w:val="003A4DA7"/>
    <w:rsid w:val="003A4DE7"/>
    <w:rsid w:val="003A4E14"/>
    <w:rsid w:val="003A4E88"/>
    <w:rsid w:val="003A4F8F"/>
    <w:rsid w:val="003A5027"/>
    <w:rsid w:val="003A503C"/>
    <w:rsid w:val="003A51B4"/>
    <w:rsid w:val="003A52A4"/>
    <w:rsid w:val="003A52B6"/>
    <w:rsid w:val="003A5308"/>
    <w:rsid w:val="003A53D5"/>
    <w:rsid w:val="003A556D"/>
    <w:rsid w:val="003A5687"/>
    <w:rsid w:val="003A56A5"/>
    <w:rsid w:val="003A574D"/>
    <w:rsid w:val="003A57EE"/>
    <w:rsid w:val="003A5910"/>
    <w:rsid w:val="003A599B"/>
    <w:rsid w:val="003A59A9"/>
    <w:rsid w:val="003A5A08"/>
    <w:rsid w:val="003A5A9D"/>
    <w:rsid w:val="003A5BD3"/>
    <w:rsid w:val="003A5C6F"/>
    <w:rsid w:val="003A5CB6"/>
    <w:rsid w:val="003A5D0E"/>
    <w:rsid w:val="003A5D74"/>
    <w:rsid w:val="003A5E62"/>
    <w:rsid w:val="003A5E7B"/>
    <w:rsid w:val="003A5F68"/>
    <w:rsid w:val="003A5F86"/>
    <w:rsid w:val="003A5FFF"/>
    <w:rsid w:val="003A6075"/>
    <w:rsid w:val="003A6103"/>
    <w:rsid w:val="003A6169"/>
    <w:rsid w:val="003A6173"/>
    <w:rsid w:val="003A6197"/>
    <w:rsid w:val="003A61E8"/>
    <w:rsid w:val="003A6303"/>
    <w:rsid w:val="003A649C"/>
    <w:rsid w:val="003A6521"/>
    <w:rsid w:val="003A65BB"/>
    <w:rsid w:val="003A65E4"/>
    <w:rsid w:val="003A6631"/>
    <w:rsid w:val="003A664F"/>
    <w:rsid w:val="003A6668"/>
    <w:rsid w:val="003A66F2"/>
    <w:rsid w:val="003A6913"/>
    <w:rsid w:val="003A69BB"/>
    <w:rsid w:val="003A69BC"/>
    <w:rsid w:val="003A6A2D"/>
    <w:rsid w:val="003A6AF5"/>
    <w:rsid w:val="003A6B82"/>
    <w:rsid w:val="003A6C4B"/>
    <w:rsid w:val="003A6CCA"/>
    <w:rsid w:val="003A6CCC"/>
    <w:rsid w:val="003A6E01"/>
    <w:rsid w:val="003A6E3E"/>
    <w:rsid w:val="003A6E48"/>
    <w:rsid w:val="003A6E82"/>
    <w:rsid w:val="003A6E8E"/>
    <w:rsid w:val="003A701F"/>
    <w:rsid w:val="003A70EC"/>
    <w:rsid w:val="003A7106"/>
    <w:rsid w:val="003A711D"/>
    <w:rsid w:val="003A715C"/>
    <w:rsid w:val="003A72F7"/>
    <w:rsid w:val="003A73DA"/>
    <w:rsid w:val="003A74A9"/>
    <w:rsid w:val="003A75CA"/>
    <w:rsid w:val="003A75D4"/>
    <w:rsid w:val="003A7692"/>
    <w:rsid w:val="003A7763"/>
    <w:rsid w:val="003A7798"/>
    <w:rsid w:val="003A77B2"/>
    <w:rsid w:val="003A780C"/>
    <w:rsid w:val="003A786E"/>
    <w:rsid w:val="003A7997"/>
    <w:rsid w:val="003A7A4E"/>
    <w:rsid w:val="003A7B18"/>
    <w:rsid w:val="003A7BE1"/>
    <w:rsid w:val="003A7C33"/>
    <w:rsid w:val="003A7C6E"/>
    <w:rsid w:val="003A7D33"/>
    <w:rsid w:val="003A7DC2"/>
    <w:rsid w:val="003A7E45"/>
    <w:rsid w:val="003A7E84"/>
    <w:rsid w:val="003A7FC2"/>
    <w:rsid w:val="003A7FE9"/>
    <w:rsid w:val="003B003F"/>
    <w:rsid w:val="003B00A1"/>
    <w:rsid w:val="003B00C6"/>
    <w:rsid w:val="003B0162"/>
    <w:rsid w:val="003B0184"/>
    <w:rsid w:val="003B0193"/>
    <w:rsid w:val="003B01FB"/>
    <w:rsid w:val="003B037E"/>
    <w:rsid w:val="003B0397"/>
    <w:rsid w:val="003B03A8"/>
    <w:rsid w:val="003B0441"/>
    <w:rsid w:val="003B054A"/>
    <w:rsid w:val="003B05A2"/>
    <w:rsid w:val="003B05CB"/>
    <w:rsid w:val="003B0680"/>
    <w:rsid w:val="003B076C"/>
    <w:rsid w:val="003B0852"/>
    <w:rsid w:val="003B099B"/>
    <w:rsid w:val="003B0A25"/>
    <w:rsid w:val="003B0A8D"/>
    <w:rsid w:val="003B0B27"/>
    <w:rsid w:val="003B0BEC"/>
    <w:rsid w:val="003B0C78"/>
    <w:rsid w:val="003B0EC2"/>
    <w:rsid w:val="003B12E6"/>
    <w:rsid w:val="003B1493"/>
    <w:rsid w:val="003B14AF"/>
    <w:rsid w:val="003B1626"/>
    <w:rsid w:val="003B1766"/>
    <w:rsid w:val="003B18C9"/>
    <w:rsid w:val="003B18D3"/>
    <w:rsid w:val="003B19B9"/>
    <w:rsid w:val="003B1A21"/>
    <w:rsid w:val="003B1D69"/>
    <w:rsid w:val="003B1E07"/>
    <w:rsid w:val="003B1E3E"/>
    <w:rsid w:val="003B1E7F"/>
    <w:rsid w:val="003B1F22"/>
    <w:rsid w:val="003B1F52"/>
    <w:rsid w:val="003B1FF8"/>
    <w:rsid w:val="003B2133"/>
    <w:rsid w:val="003B2154"/>
    <w:rsid w:val="003B2189"/>
    <w:rsid w:val="003B21BC"/>
    <w:rsid w:val="003B2254"/>
    <w:rsid w:val="003B2280"/>
    <w:rsid w:val="003B228E"/>
    <w:rsid w:val="003B2309"/>
    <w:rsid w:val="003B2345"/>
    <w:rsid w:val="003B2391"/>
    <w:rsid w:val="003B2453"/>
    <w:rsid w:val="003B25AF"/>
    <w:rsid w:val="003B25DE"/>
    <w:rsid w:val="003B261F"/>
    <w:rsid w:val="003B26C3"/>
    <w:rsid w:val="003B2934"/>
    <w:rsid w:val="003B295A"/>
    <w:rsid w:val="003B2B3F"/>
    <w:rsid w:val="003B2C3C"/>
    <w:rsid w:val="003B2D1A"/>
    <w:rsid w:val="003B2DBA"/>
    <w:rsid w:val="003B2F06"/>
    <w:rsid w:val="003B2F30"/>
    <w:rsid w:val="003B2FA7"/>
    <w:rsid w:val="003B2FF7"/>
    <w:rsid w:val="003B3085"/>
    <w:rsid w:val="003B32F2"/>
    <w:rsid w:val="003B332E"/>
    <w:rsid w:val="003B3448"/>
    <w:rsid w:val="003B3457"/>
    <w:rsid w:val="003B3467"/>
    <w:rsid w:val="003B3632"/>
    <w:rsid w:val="003B36C6"/>
    <w:rsid w:val="003B36FD"/>
    <w:rsid w:val="003B37DC"/>
    <w:rsid w:val="003B3870"/>
    <w:rsid w:val="003B38EC"/>
    <w:rsid w:val="003B393D"/>
    <w:rsid w:val="003B3956"/>
    <w:rsid w:val="003B3958"/>
    <w:rsid w:val="003B39C4"/>
    <w:rsid w:val="003B3A88"/>
    <w:rsid w:val="003B3AE4"/>
    <w:rsid w:val="003B3B2C"/>
    <w:rsid w:val="003B3BC4"/>
    <w:rsid w:val="003B3BEC"/>
    <w:rsid w:val="003B3CAE"/>
    <w:rsid w:val="003B3CC1"/>
    <w:rsid w:val="003B3D8A"/>
    <w:rsid w:val="003B3DD7"/>
    <w:rsid w:val="003B3E5B"/>
    <w:rsid w:val="003B3E8E"/>
    <w:rsid w:val="003B3EBB"/>
    <w:rsid w:val="003B3ED3"/>
    <w:rsid w:val="003B3F2F"/>
    <w:rsid w:val="003B3F61"/>
    <w:rsid w:val="003B3F7C"/>
    <w:rsid w:val="003B3FFF"/>
    <w:rsid w:val="003B4048"/>
    <w:rsid w:val="003B4153"/>
    <w:rsid w:val="003B415F"/>
    <w:rsid w:val="003B41A5"/>
    <w:rsid w:val="003B4225"/>
    <w:rsid w:val="003B4227"/>
    <w:rsid w:val="003B42DC"/>
    <w:rsid w:val="003B4398"/>
    <w:rsid w:val="003B4454"/>
    <w:rsid w:val="003B46BE"/>
    <w:rsid w:val="003B4777"/>
    <w:rsid w:val="003B4816"/>
    <w:rsid w:val="003B4A6F"/>
    <w:rsid w:val="003B4BD1"/>
    <w:rsid w:val="003B4C0B"/>
    <w:rsid w:val="003B4C22"/>
    <w:rsid w:val="003B4D19"/>
    <w:rsid w:val="003B4D60"/>
    <w:rsid w:val="003B501C"/>
    <w:rsid w:val="003B5074"/>
    <w:rsid w:val="003B5085"/>
    <w:rsid w:val="003B5167"/>
    <w:rsid w:val="003B524C"/>
    <w:rsid w:val="003B52E2"/>
    <w:rsid w:val="003B530D"/>
    <w:rsid w:val="003B532C"/>
    <w:rsid w:val="003B5336"/>
    <w:rsid w:val="003B5406"/>
    <w:rsid w:val="003B5505"/>
    <w:rsid w:val="003B55A3"/>
    <w:rsid w:val="003B5621"/>
    <w:rsid w:val="003B5624"/>
    <w:rsid w:val="003B5727"/>
    <w:rsid w:val="003B5989"/>
    <w:rsid w:val="003B598F"/>
    <w:rsid w:val="003B59D9"/>
    <w:rsid w:val="003B5A32"/>
    <w:rsid w:val="003B5AB3"/>
    <w:rsid w:val="003B5AEC"/>
    <w:rsid w:val="003B5B0C"/>
    <w:rsid w:val="003B5B3C"/>
    <w:rsid w:val="003B5B61"/>
    <w:rsid w:val="003B5B86"/>
    <w:rsid w:val="003B5B98"/>
    <w:rsid w:val="003B5BA7"/>
    <w:rsid w:val="003B5C9D"/>
    <w:rsid w:val="003B5D63"/>
    <w:rsid w:val="003B5D8F"/>
    <w:rsid w:val="003B5DAC"/>
    <w:rsid w:val="003B5DBC"/>
    <w:rsid w:val="003B5DE1"/>
    <w:rsid w:val="003B5E43"/>
    <w:rsid w:val="003B5E5C"/>
    <w:rsid w:val="003B5F0D"/>
    <w:rsid w:val="003B5F70"/>
    <w:rsid w:val="003B6001"/>
    <w:rsid w:val="003B603E"/>
    <w:rsid w:val="003B60A9"/>
    <w:rsid w:val="003B61CF"/>
    <w:rsid w:val="003B6289"/>
    <w:rsid w:val="003B62C9"/>
    <w:rsid w:val="003B6327"/>
    <w:rsid w:val="003B635F"/>
    <w:rsid w:val="003B64BD"/>
    <w:rsid w:val="003B6676"/>
    <w:rsid w:val="003B671E"/>
    <w:rsid w:val="003B6738"/>
    <w:rsid w:val="003B6794"/>
    <w:rsid w:val="003B67F7"/>
    <w:rsid w:val="003B681A"/>
    <w:rsid w:val="003B6A75"/>
    <w:rsid w:val="003B6AB4"/>
    <w:rsid w:val="003B6B4E"/>
    <w:rsid w:val="003B6CEB"/>
    <w:rsid w:val="003B6D16"/>
    <w:rsid w:val="003B6D6C"/>
    <w:rsid w:val="003B6E58"/>
    <w:rsid w:val="003B6E5B"/>
    <w:rsid w:val="003B6E78"/>
    <w:rsid w:val="003B6FD2"/>
    <w:rsid w:val="003B6FD4"/>
    <w:rsid w:val="003B7171"/>
    <w:rsid w:val="003B7224"/>
    <w:rsid w:val="003B7241"/>
    <w:rsid w:val="003B72D6"/>
    <w:rsid w:val="003B72F2"/>
    <w:rsid w:val="003B7369"/>
    <w:rsid w:val="003B73CC"/>
    <w:rsid w:val="003B73EB"/>
    <w:rsid w:val="003B74C6"/>
    <w:rsid w:val="003B74DD"/>
    <w:rsid w:val="003B7550"/>
    <w:rsid w:val="003B756C"/>
    <w:rsid w:val="003B7592"/>
    <w:rsid w:val="003B7594"/>
    <w:rsid w:val="003B75CF"/>
    <w:rsid w:val="003B75E2"/>
    <w:rsid w:val="003B75F5"/>
    <w:rsid w:val="003B764B"/>
    <w:rsid w:val="003B76B8"/>
    <w:rsid w:val="003B7791"/>
    <w:rsid w:val="003B77A2"/>
    <w:rsid w:val="003B77D3"/>
    <w:rsid w:val="003B7861"/>
    <w:rsid w:val="003B78D3"/>
    <w:rsid w:val="003B79C4"/>
    <w:rsid w:val="003B7AE0"/>
    <w:rsid w:val="003B7B29"/>
    <w:rsid w:val="003B7C6B"/>
    <w:rsid w:val="003B7D1C"/>
    <w:rsid w:val="003B7F05"/>
    <w:rsid w:val="003B7F75"/>
    <w:rsid w:val="003B7F87"/>
    <w:rsid w:val="003B7FF5"/>
    <w:rsid w:val="003C0154"/>
    <w:rsid w:val="003C0161"/>
    <w:rsid w:val="003C0213"/>
    <w:rsid w:val="003C0345"/>
    <w:rsid w:val="003C0363"/>
    <w:rsid w:val="003C03B6"/>
    <w:rsid w:val="003C0408"/>
    <w:rsid w:val="003C0470"/>
    <w:rsid w:val="003C04AA"/>
    <w:rsid w:val="003C05B7"/>
    <w:rsid w:val="003C05F2"/>
    <w:rsid w:val="003C0630"/>
    <w:rsid w:val="003C064C"/>
    <w:rsid w:val="003C0673"/>
    <w:rsid w:val="003C06B3"/>
    <w:rsid w:val="003C06DA"/>
    <w:rsid w:val="003C06FA"/>
    <w:rsid w:val="003C06FF"/>
    <w:rsid w:val="003C072A"/>
    <w:rsid w:val="003C0841"/>
    <w:rsid w:val="003C0846"/>
    <w:rsid w:val="003C09B3"/>
    <w:rsid w:val="003C0A0A"/>
    <w:rsid w:val="003C0C15"/>
    <w:rsid w:val="003C0C1D"/>
    <w:rsid w:val="003C0C66"/>
    <w:rsid w:val="003C0CA3"/>
    <w:rsid w:val="003C0CBE"/>
    <w:rsid w:val="003C0D02"/>
    <w:rsid w:val="003C0D21"/>
    <w:rsid w:val="003C0D87"/>
    <w:rsid w:val="003C0E61"/>
    <w:rsid w:val="003C0F68"/>
    <w:rsid w:val="003C10A0"/>
    <w:rsid w:val="003C1118"/>
    <w:rsid w:val="003C116F"/>
    <w:rsid w:val="003C136C"/>
    <w:rsid w:val="003C13B5"/>
    <w:rsid w:val="003C1568"/>
    <w:rsid w:val="003C16BB"/>
    <w:rsid w:val="003C16F9"/>
    <w:rsid w:val="003C1762"/>
    <w:rsid w:val="003C17AE"/>
    <w:rsid w:val="003C1889"/>
    <w:rsid w:val="003C194C"/>
    <w:rsid w:val="003C1981"/>
    <w:rsid w:val="003C1A2E"/>
    <w:rsid w:val="003C1A9F"/>
    <w:rsid w:val="003C1B5F"/>
    <w:rsid w:val="003C1BA2"/>
    <w:rsid w:val="003C1BCC"/>
    <w:rsid w:val="003C1C57"/>
    <w:rsid w:val="003C1CBA"/>
    <w:rsid w:val="003C1CE5"/>
    <w:rsid w:val="003C1CE8"/>
    <w:rsid w:val="003C1D88"/>
    <w:rsid w:val="003C1DF9"/>
    <w:rsid w:val="003C1EF0"/>
    <w:rsid w:val="003C1F20"/>
    <w:rsid w:val="003C1F4F"/>
    <w:rsid w:val="003C1F81"/>
    <w:rsid w:val="003C1FBA"/>
    <w:rsid w:val="003C1FCF"/>
    <w:rsid w:val="003C20FE"/>
    <w:rsid w:val="003C21BD"/>
    <w:rsid w:val="003C21C8"/>
    <w:rsid w:val="003C2204"/>
    <w:rsid w:val="003C223A"/>
    <w:rsid w:val="003C22D8"/>
    <w:rsid w:val="003C23B2"/>
    <w:rsid w:val="003C23B6"/>
    <w:rsid w:val="003C2408"/>
    <w:rsid w:val="003C2485"/>
    <w:rsid w:val="003C2689"/>
    <w:rsid w:val="003C26CB"/>
    <w:rsid w:val="003C2796"/>
    <w:rsid w:val="003C2800"/>
    <w:rsid w:val="003C2863"/>
    <w:rsid w:val="003C28B7"/>
    <w:rsid w:val="003C29FD"/>
    <w:rsid w:val="003C2A78"/>
    <w:rsid w:val="003C2ABB"/>
    <w:rsid w:val="003C2B02"/>
    <w:rsid w:val="003C2B93"/>
    <w:rsid w:val="003C2C26"/>
    <w:rsid w:val="003C2C61"/>
    <w:rsid w:val="003C2C6B"/>
    <w:rsid w:val="003C2C6C"/>
    <w:rsid w:val="003C2D12"/>
    <w:rsid w:val="003C2D80"/>
    <w:rsid w:val="003C2E94"/>
    <w:rsid w:val="003C2E96"/>
    <w:rsid w:val="003C2FE4"/>
    <w:rsid w:val="003C30A9"/>
    <w:rsid w:val="003C310F"/>
    <w:rsid w:val="003C3138"/>
    <w:rsid w:val="003C31D9"/>
    <w:rsid w:val="003C321B"/>
    <w:rsid w:val="003C324B"/>
    <w:rsid w:val="003C326C"/>
    <w:rsid w:val="003C327F"/>
    <w:rsid w:val="003C32C0"/>
    <w:rsid w:val="003C33C7"/>
    <w:rsid w:val="003C3516"/>
    <w:rsid w:val="003C35DA"/>
    <w:rsid w:val="003C362D"/>
    <w:rsid w:val="003C3652"/>
    <w:rsid w:val="003C36C0"/>
    <w:rsid w:val="003C3705"/>
    <w:rsid w:val="003C3778"/>
    <w:rsid w:val="003C38E3"/>
    <w:rsid w:val="003C3988"/>
    <w:rsid w:val="003C3ADD"/>
    <w:rsid w:val="003C3AF6"/>
    <w:rsid w:val="003C3B4B"/>
    <w:rsid w:val="003C3B86"/>
    <w:rsid w:val="003C3B95"/>
    <w:rsid w:val="003C3C1E"/>
    <w:rsid w:val="003C3C5D"/>
    <w:rsid w:val="003C3CF2"/>
    <w:rsid w:val="003C3E77"/>
    <w:rsid w:val="003C3EBF"/>
    <w:rsid w:val="003C3EC8"/>
    <w:rsid w:val="003C3EDB"/>
    <w:rsid w:val="003C3EE7"/>
    <w:rsid w:val="003C3FDE"/>
    <w:rsid w:val="003C4085"/>
    <w:rsid w:val="003C4146"/>
    <w:rsid w:val="003C41E1"/>
    <w:rsid w:val="003C428F"/>
    <w:rsid w:val="003C42BE"/>
    <w:rsid w:val="003C4319"/>
    <w:rsid w:val="003C44AA"/>
    <w:rsid w:val="003C45A5"/>
    <w:rsid w:val="003C4717"/>
    <w:rsid w:val="003C48F8"/>
    <w:rsid w:val="003C4930"/>
    <w:rsid w:val="003C4978"/>
    <w:rsid w:val="003C4B64"/>
    <w:rsid w:val="003C4B91"/>
    <w:rsid w:val="003C4BA8"/>
    <w:rsid w:val="003C4C4F"/>
    <w:rsid w:val="003C4D2E"/>
    <w:rsid w:val="003C4D74"/>
    <w:rsid w:val="003C4E5A"/>
    <w:rsid w:val="003C50D6"/>
    <w:rsid w:val="003C50F0"/>
    <w:rsid w:val="003C5160"/>
    <w:rsid w:val="003C5174"/>
    <w:rsid w:val="003C5181"/>
    <w:rsid w:val="003C51A3"/>
    <w:rsid w:val="003C51A6"/>
    <w:rsid w:val="003C51DD"/>
    <w:rsid w:val="003C52FB"/>
    <w:rsid w:val="003C5334"/>
    <w:rsid w:val="003C53E3"/>
    <w:rsid w:val="003C53F6"/>
    <w:rsid w:val="003C542D"/>
    <w:rsid w:val="003C5565"/>
    <w:rsid w:val="003C5665"/>
    <w:rsid w:val="003C580A"/>
    <w:rsid w:val="003C5959"/>
    <w:rsid w:val="003C59A4"/>
    <w:rsid w:val="003C59A6"/>
    <w:rsid w:val="003C59E5"/>
    <w:rsid w:val="003C5A15"/>
    <w:rsid w:val="003C5B65"/>
    <w:rsid w:val="003C5B72"/>
    <w:rsid w:val="003C5CA0"/>
    <w:rsid w:val="003C5CC4"/>
    <w:rsid w:val="003C5DC2"/>
    <w:rsid w:val="003C5E5F"/>
    <w:rsid w:val="003C5E62"/>
    <w:rsid w:val="003C5EAE"/>
    <w:rsid w:val="003C604E"/>
    <w:rsid w:val="003C605A"/>
    <w:rsid w:val="003C6062"/>
    <w:rsid w:val="003C6088"/>
    <w:rsid w:val="003C60A4"/>
    <w:rsid w:val="003C610A"/>
    <w:rsid w:val="003C61E1"/>
    <w:rsid w:val="003C6284"/>
    <w:rsid w:val="003C6311"/>
    <w:rsid w:val="003C6423"/>
    <w:rsid w:val="003C642E"/>
    <w:rsid w:val="003C6436"/>
    <w:rsid w:val="003C64F2"/>
    <w:rsid w:val="003C658D"/>
    <w:rsid w:val="003C6601"/>
    <w:rsid w:val="003C6658"/>
    <w:rsid w:val="003C66E1"/>
    <w:rsid w:val="003C66E9"/>
    <w:rsid w:val="003C66F0"/>
    <w:rsid w:val="003C676A"/>
    <w:rsid w:val="003C67B7"/>
    <w:rsid w:val="003C6820"/>
    <w:rsid w:val="003C6858"/>
    <w:rsid w:val="003C69E3"/>
    <w:rsid w:val="003C6B3C"/>
    <w:rsid w:val="003C6CCD"/>
    <w:rsid w:val="003C6DBF"/>
    <w:rsid w:val="003C6E0D"/>
    <w:rsid w:val="003C6E8D"/>
    <w:rsid w:val="003C6E9A"/>
    <w:rsid w:val="003C6EB4"/>
    <w:rsid w:val="003C6F55"/>
    <w:rsid w:val="003C707D"/>
    <w:rsid w:val="003C70D6"/>
    <w:rsid w:val="003C734E"/>
    <w:rsid w:val="003C73B7"/>
    <w:rsid w:val="003C73FA"/>
    <w:rsid w:val="003C77D5"/>
    <w:rsid w:val="003C7821"/>
    <w:rsid w:val="003C78FD"/>
    <w:rsid w:val="003C7929"/>
    <w:rsid w:val="003C7951"/>
    <w:rsid w:val="003C79F2"/>
    <w:rsid w:val="003C7A1B"/>
    <w:rsid w:val="003C7A23"/>
    <w:rsid w:val="003C7A9B"/>
    <w:rsid w:val="003C7AD2"/>
    <w:rsid w:val="003C7B58"/>
    <w:rsid w:val="003C7B7F"/>
    <w:rsid w:val="003C7CD9"/>
    <w:rsid w:val="003C7D54"/>
    <w:rsid w:val="003C7E45"/>
    <w:rsid w:val="003C7EB2"/>
    <w:rsid w:val="003C7ED8"/>
    <w:rsid w:val="003C7EF4"/>
    <w:rsid w:val="003C7FD2"/>
    <w:rsid w:val="003D00D3"/>
    <w:rsid w:val="003D00FC"/>
    <w:rsid w:val="003D0158"/>
    <w:rsid w:val="003D01C9"/>
    <w:rsid w:val="003D021E"/>
    <w:rsid w:val="003D02D5"/>
    <w:rsid w:val="003D02F2"/>
    <w:rsid w:val="003D0301"/>
    <w:rsid w:val="003D0345"/>
    <w:rsid w:val="003D0679"/>
    <w:rsid w:val="003D06E8"/>
    <w:rsid w:val="003D07CB"/>
    <w:rsid w:val="003D0979"/>
    <w:rsid w:val="003D09A5"/>
    <w:rsid w:val="003D0ABA"/>
    <w:rsid w:val="003D0B46"/>
    <w:rsid w:val="003D0B88"/>
    <w:rsid w:val="003D0E5B"/>
    <w:rsid w:val="003D0E75"/>
    <w:rsid w:val="003D0EA7"/>
    <w:rsid w:val="003D0EEC"/>
    <w:rsid w:val="003D1045"/>
    <w:rsid w:val="003D106A"/>
    <w:rsid w:val="003D10FB"/>
    <w:rsid w:val="003D1220"/>
    <w:rsid w:val="003D126F"/>
    <w:rsid w:val="003D12A0"/>
    <w:rsid w:val="003D12B5"/>
    <w:rsid w:val="003D1325"/>
    <w:rsid w:val="003D1391"/>
    <w:rsid w:val="003D1578"/>
    <w:rsid w:val="003D1797"/>
    <w:rsid w:val="003D1912"/>
    <w:rsid w:val="003D1993"/>
    <w:rsid w:val="003D19E8"/>
    <w:rsid w:val="003D1A1C"/>
    <w:rsid w:val="003D1A42"/>
    <w:rsid w:val="003D1AEE"/>
    <w:rsid w:val="003D1C4A"/>
    <w:rsid w:val="003D1C5E"/>
    <w:rsid w:val="003D1CCA"/>
    <w:rsid w:val="003D1CD5"/>
    <w:rsid w:val="003D1D6B"/>
    <w:rsid w:val="003D1DFE"/>
    <w:rsid w:val="003D1E4C"/>
    <w:rsid w:val="003D1ECA"/>
    <w:rsid w:val="003D1F20"/>
    <w:rsid w:val="003D1F82"/>
    <w:rsid w:val="003D1FF9"/>
    <w:rsid w:val="003D2120"/>
    <w:rsid w:val="003D21E5"/>
    <w:rsid w:val="003D228B"/>
    <w:rsid w:val="003D228D"/>
    <w:rsid w:val="003D2451"/>
    <w:rsid w:val="003D24B8"/>
    <w:rsid w:val="003D256A"/>
    <w:rsid w:val="003D25A3"/>
    <w:rsid w:val="003D26E4"/>
    <w:rsid w:val="003D2716"/>
    <w:rsid w:val="003D2740"/>
    <w:rsid w:val="003D29EE"/>
    <w:rsid w:val="003D2A10"/>
    <w:rsid w:val="003D2B97"/>
    <w:rsid w:val="003D2BA4"/>
    <w:rsid w:val="003D2C90"/>
    <w:rsid w:val="003D2DB8"/>
    <w:rsid w:val="003D2E1F"/>
    <w:rsid w:val="003D2E55"/>
    <w:rsid w:val="003D2EEF"/>
    <w:rsid w:val="003D2FC0"/>
    <w:rsid w:val="003D31A3"/>
    <w:rsid w:val="003D323E"/>
    <w:rsid w:val="003D3294"/>
    <w:rsid w:val="003D330B"/>
    <w:rsid w:val="003D3392"/>
    <w:rsid w:val="003D33A4"/>
    <w:rsid w:val="003D347B"/>
    <w:rsid w:val="003D34D7"/>
    <w:rsid w:val="003D34FE"/>
    <w:rsid w:val="003D3510"/>
    <w:rsid w:val="003D356F"/>
    <w:rsid w:val="003D36EA"/>
    <w:rsid w:val="003D36F7"/>
    <w:rsid w:val="003D37C0"/>
    <w:rsid w:val="003D3837"/>
    <w:rsid w:val="003D384A"/>
    <w:rsid w:val="003D386C"/>
    <w:rsid w:val="003D388F"/>
    <w:rsid w:val="003D3921"/>
    <w:rsid w:val="003D3928"/>
    <w:rsid w:val="003D3A3D"/>
    <w:rsid w:val="003D3B1C"/>
    <w:rsid w:val="003D3B41"/>
    <w:rsid w:val="003D3B56"/>
    <w:rsid w:val="003D3C84"/>
    <w:rsid w:val="003D3CEB"/>
    <w:rsid w:val="003D3D5D"/>
    <w:rsid w:val="003D3DD5"/>
    <w:rsid w:val="003D3E2D"/>
    <w:rsid w:val="003D3E51"/>
    <w:rsid w:val="003D3EB6"/>
    <w:rsid w:val="003D4268"/>
    <w:rsid w:val="003D42C9"/>
    <w:rsid w:val="003D43A5"/>
    <w:rsid w:val="003D43E3"/>
    <w:rsid w:val="003D4479"/>
    <w:rsid w:val="003D44BF"/>
    <w:rsid w:val="003D44F4"/>
    <w:rsid w:val="003D4607"/>
    <w:rsid w:val="003D46C0"/>
    <w:rsid w:val="003D46D2"/>
    <w:rsid w:val="003D479F"/>
    <w:rsid w:val="003D4813"/>
    <w:rsid w:val="003D4886"/>
    <w:rsid w:val="003D497E"/>
    <w:rsid w:val="003D49A0"/>
    <w:rsid w:val="003D4BE8"/>
    <w:rsid w:val="003D4DFD"/>
    <w:rsid w:val="003D4E44"/>
    <w:rsid w:val="003D4E72"/>
    <w:rsid w:val="003D4E9C"/>
    <w:rsid w:val="003D4EAB"/>
    <w:rsid w:val="003D4EAC"/>
    <w:rsid w:val="003D4ECA"/>
    <w:rsid w:val="003D4FB7"/>
    <w:rsid w:val="003D4FF4"/>
    <w:rsid w:val="003D500A"/>
    <w:rsid w:val="003D50FF"/>
    <w:rsid w:val="003D5266"/>
    <w:rsid w:val="003D5290"/>
    <w:rsid w:val="003D53F5"/>
    <w:rsid w:val="003D5471"/>
    <w:rsid w:val="003D54BB"/>
    <w:rsid w:val="003D54C7"/>
    <w:rsid w:val="003D55C9"/>
    <w:rsid w:val="003D5667"/>
    <w:rsid w:val="003D56D4"/>
    <w:rsid w:val="003D5786"/>
    <w:rsid w:val="003D57B7"/>
    <w:rsid w:val="003D584C"/>
    <w:rsid w:val="003D5924"/>
    <w:rsid w:val="003D595E"/>
    <w:rsid w:val="003D5991"/>
    <w:rsid w:val="003D5AB6"/>
    <w:rsid w:val="003D5B07"/>
    <w:rsid w:val="003D5CB0"/>
    <w:rsid w:val="003D5CB5"/>
    <w:rsid w:val="003D5CF7"/>
    <w:rsid w:val="003D5D08"/>
    <w:rsid w:val="003D5D84"/>
    <w:rsid w:val="003D5D8C"/>
    <w:rsid w:val="003D5E13"/>
    <w:rsid w:val="003D5E73"/>
    <w:rsid w:val="003D5EFE"/>
    <w:rsid w:val="003D5F52"/>
    <w:rsid w:val="003D5F5E"/>
    <w:rsid w:val="003D5F69"/>
    <w:rsid w:val="003D5FA5"/>
    <w:rsid w:val="003D6050"/>
    <w:rsid w:val="003D609D"/>
    <w:rsid w:val="003D6298"/>
    <w:rsid w:val="003D6340"/>
    <w:rsid w:val="003D6388"/>
    <w:rsid w:val="003D65CF"/>
    <w:rsid w:val="003D66CE"/>
    <w:rsid w:val="003D670A"/>
    <w:rsid w:val="003D67B1"/>
    <w:rsid w:val="003D67D1"/>
    <w:rsid w:val="003D68C8"/>
    <w:rsid w:val="003D6938"/>
    <w:rsid w:val="003D699F"/>
    <w:rsid w:val="003D69B4"/>
    <w:rsid w:val="003D6A3A"/>
    <w:rsid w:val="003D6A53"/>
    <w:rsid w:val="003D6E7B"/>
    <w:rsid w:val="003D6F7B"/>
    <w:rsid w:val="003D6F93"/>
    <w:rsid w:val="003D7067"/>
    <w:rsid w:val="003D7140"/>
    <w:rsid w:val="003D71AB"/>
    <w:rsid w:val="003D71F1"/>
    <w:rsid w:val="003D726C"/>
    <w:rsid w:val="003D72A0"/>
    <w:rsid w:val="003D7340"/>
    <w:rsid w:val="003D7376"/>
    <w:rsid w:val="003D7427"/>
    <w:rsid w:val="003D7488"/>
    <w:rsid w:val="003D74A3"/>
    <w:rsid w:val="003D7602"/>
    <w:rsid w:val="003D778F"/>
    <w:rsid w:val="003D77D5"/>
    <w:rsid w:val="003D77EB"/>
    <w:rsid w:val="003D781F"/>
    <w:rsid w:val="003D78C5"/>
    <w:rsid w:val="003D78FA"/>
    <w:rsid w:val="003D791F"/>
    <w:rsid w:val="003D794E"/>
    <w:rsid w:val="003D7A5A"/>
    <w:rsid w:val="003D7ABC"/>
    <w:rsid w:val="003D7B09"/>
    <w:rsid w:val="003D7C3D"/>
    <w:rsid w:val="003D7C72"/>
    <w:rsid w:val="003D7D34"/>
    <w:rsid w:val="003D7D43"/>
    <w:rsid w:val="003D7D59"/>
    <w:rsid w:val="003D7E0B"/>
    <w:rsid w:val="003D7F63"/>
    <w:rsid w:val="003D7F72"/>
    <w:rsid w:val="003E01EE"/>
    <w:rsid w:val="003E027A"/>
    <w:rsid w:val="003E02D6"/>
    <w:rsid w:val="003E0382"/>
    <w:rsid w:val="003E0384"/>
    <w:rsid w:val="003E0411"/>
    <w:rsid w:val="003E0529"/>
    <w:rsid w:val="003E0550"/>
    <w:rsid w:val="003E05B7"/>
    <w:rsid w:val="003E0655"/>
    <w:rsid w:val="003E0775"/>
    <w:rsid w:val="003E0830"/>
    <w:rsid w:val="003E0B59"/>
    <w:rsid w:val="003E0B94"/>
    <w:rsid w:val="003E0CE2"/>
    <w:rsid w:val="003E0D16"/>
    <w:rsid w:val="003E0EAE"/>
    <w:rsid w:val="003E0EBE"/>
    <w:rsid w:val="003E0EEE"/>
    <w:rsid w:val="003E0F19"/>
    <w:rsid w:val="003E0F3D"/>
    <w:rsid w:val="003E0FA6"/>
    <w:rsid w:val="003E1060"/>
    <w:rsid w:val="003E126D"/>
    <w:rsid w:val="003E135A"/>
    <w:rsid w:val="003E1527"/>
    <w:rsid w:val="003E1556"/>
    <w:rsid w:val="003E1648"/>
    <w:rsid w:val="003E17AD"/>
    <w:rsid w:val="003E195F"/>
    <w:rsid w:val="003E1A12"/>
    <w:rsid w:val="003E1CA6"/>
    <w:rsid w:val="003E1D39"/>
    <w:rsid w:val="003E1D71"/>
    <w:rsid w:val="003E1DB2"/>
    <w:rsid w:val="003E1DC3"/>
    <w:rsid w:val="003E1E03"/>
    <w:rsid w:val="003E1F48"/>
    <w:rsid w:val="003E2125"/>
    <w:rsid w:val="003E21BE"/>
    <w:rsid w:val="003E21E6"/>
    <w:rsid w:val="003E224A"/>
    <w:rsid w:val="003E226E"/>
    <w:rsid w:val="003E2274"/>
    <w:rsid w:val="003E227D"/>
    <w:rsid w:val="003E22A6"/>
    <w:rsid w:val="003E22A9"/>
    <w:rsid w:val="003E22E0"/>
    <w:rsid w:val="003E23BE"/>
    <w:rsid w:val="003E24AE"/>
    <w:rsid w:val="003E24E2"/>
    <w:rsid w:val="003E25B2"/>
    <w:rsid w:val="003E25D6"/>
    <w:rsid w:val="003E2601"/>
    <w:rsid w:val="003E26AC"/>
    <w:rsid w:val="003E272D"/>
    <w:rsid w:val="003E2745"/>
    <w:rsid w:val="003E2751"/>
    <w:rsid w:val="003E28C7"/>
    <w:rsid w:val="003E2942"/>
    <w:rsid w:val="003E2A84"/>
    <w:rsid w:val="003E2AB3"/>
    <w:rsid w:val="003E2B43"/>
    <w:rsid w:val="003E2C7C"/>
    <w:rsid w:val="003E2CD6"/>
    <w:rsid w:val="003E2D11"/>
    <w:rsid w:val="003E2D7B"/>
    <w:rsid w:val="003E2ED0"/>
    <w:rsid w:val="003E2F5A"/>
    <w:rsid w:val="003E2F8F"/>
    <w:rsid w:val="003E2FC2"/>
    <w:rsid w:val="003E300B"/>
    <w:rsid w:val="003E30C8"/>
    <w:rsid w:val="003E3115"/>
    <w:rsid w:val="003E3131"/>
    <w:rsid w:val="003E317D"/>
    <w:rsid w:val="003E318C"/>
    <w:rsid w:val="003E31BB"/>
    <w:rsid w:val="003E326E"/>
    <w:rsid w:val="003E33DE"/>
    <w:rsid w:val="003E34CA"/>
    <w:rsid w:val="003E35C1"/>
    <w:rsid w:val="003E36EC"/>
    <w:rsid w:val="003E38D9"/>
    <w:rsid w:val="003E38F2"/>
    <w:rsid w:val="003E394C"/>
    <w:rsid w:val="003E3A3D"/>
    <w:rsid w:val="003E3A7C"/>
    <w:rsid w:val="003E3A9B"/>
    <w:rsid w:val="003E3AF2"/>
    <w:rsid w:val="003E3B22"/>
    <w:rsid w:val="003E3B3E"/>
    <w:rsid w:val="003E3BAB"/>
    <w:rsid w:val="003E3BD3"/>
    <w:rsid w:val="003E3CE5"/>
    <w:rsid w:val="003E3D6B"/>
    <w:rsid w:val="003E3FF5"/>
    <w:rsid w:val="003E414D"/>
    <w:rsid w:val="003E415B"/>
    <w:rsid w:val="003E41D3"/>
    <w:rsid w:val="003E42C4"/>
    <w:rsid w:val="003E4321"/>
    <w:rsid w:val="003E4433"/>
    <w:rsid w:val="003E444D"/>
    <w:rsid w:val="003E447B"/>
    <w:rsid w:val="003E4481"/>
    <w:rsid w:val="003E4598"/>
    <w:rsid w:val="003E45BF"/>
    <w:rsid w:val="003E467D"/>
    <w:rsid w:val="003E4692"/>
    <w:rsid w:val="003E4716"/>
    <w:rsid w:val="003E486D"/>
    <w:rsid w:val="003E4872"/>
    <w:rsid w:val="003E48F7"/>
    <w:rsid w:val="003E498B"/>
    <w:rsid w:val="003E4AC5"/>
    <w:rsid w:val="003E4E27"/>
    <w:rsid w:val="003E4E2B"/>
    <w:rsid w:val="003E4ED7"/>
    <w:rsid w:val="003E4F1C"/>
    <w:rsid w:val="003E4F7D"/>
    <w:rsid w:val="003E4F97"/>
    <w:rsid w:val="003E50C9"/>
    <w:rsid w:val="003E50E9"/>
    <w:rsid w:val="003E520B"/>
    <w:rsid w:val="003E5226"/>
    <w:rsid w:val="003E52C4"/>
    <w:rsid w:val="003E536B"/>
    <w:rsid w:val="003E5390"/>
    <w:rsid w:val="003E53F1"/>
    <w:rsid w:val="003E5525"/>
    <w:rsid w:val="003E5580"/>
    <w:rsid w:val="003E5582"/>
    <w:rsid w:val="003E55B5"/>
    <w:rsid w:val="003E56B2"/>
    <w:rsid w:val="003E56FF"/>
    <w:rsid w:val="003E570D"/>
    <w:rsid w:val="003E578D"/>
    <w:rsid w:val="003E57A5"/>
    <w:rsid w:val="003E5A8B"/>
    <w:rsid w:val="003E5B2D"/>
    <w:rsid w:val="003E5BDE"/>
    <w:rsid w:val="003E5CAF"/>
    <w:rsid w:val="003E5D6A"/>
    <w:rsid w:val="003E5DD5"/>
    <w:rsid w:val="003E5E00"/>
    <w:rsid w:val="003E5F49"/>
    <w:rsid w:val="003E600A"/>
    <w:rsid w:val="003E60ED"/>
    <w:rsid w:val="003E618D"/>
    <w:rsid w:val="003E62D1"/>
    <w:rsid w:val="003E63AF"/>
    <w:rsid w:val="003E63F2"/>
    <w:rsid w:val="003E6438"/>
    <w:rsid w:val="003E65AC"/>
    <w:rsid w:val="003E6605"/>
    <w:rsid w:val="003E6607"/>
    <w:rsid w:val="003E6623"/>
    <w:rsid w:val="003E665D"/>
    <w:rsid w:val="003E66D9"/>
    <w:rsid w:val="003E6723"/>
    <w:rsid w:val="003E67C6"/>
    <w:rsid w:val="003E6807"/>
    <w:rsid w:val="003E680F"/>
    <w:rsid w:val="003E685C"/>
    <w:rsid w:val="003E6868"/>
    <w:rsid w:val="003E6885"/>
    <w:rsid w:val="003E6945"/>
    <w:rsid w:val="003E699E"/>
    <w:rsid w:val="003E69D5"/>
    <w:rsid w:val="003E69F6"/>
    <w:rsid w:val="003E6B30"/>
    <w:rsid w:val="003E6B99"/>
    <w:rsid w:val="003E6BC4"/>
    <w:rsid w:val="003E6C58"/>
    <w:rsid w:val="003E6CC5"/>
    <w:rsid w:val="003E6CE5"/>
    <w:rsid w:val="003E6D10"/>
    <w:rsid w:val="003E6E63"/>
    <w:rsid w:val="003E6E7B"/>
    <w:rsid w:val="003E6F53"/>
    <w:rsid w:val="003E6FB0"/>
    <w:rsid w:val="003E6FDC"/>
    <w:rsid w:val="003E7286"/>
    <w:rsid w:val="003E7287"/>
    <w:rsid w:val="003E733D"/>
    <w:rsid w:val="003E7427"/>
    <w:rsid w:val="003E75A9"/>
    <w:rsid w:val="003E75E5"/>
    <w:rsid w:val="003E7614"/>
    <w:rsid w:val="003E7618"/>
    <w:rsid w:val="003E7720"/>
    <w:rsid w:val="003E7780"/>
    <w:rsid w:val="003E77E3"/>
    <w:rsid w:val="003E77F8"/>
    <w:rsid w:val="003E781E"/>
    <w:rsid w:val="003E7829"/>
    <w:rsid w:val="003E7869"/>
    <w:rsid w:val="003E790F"/>
    <w:rsid w:val="003E7A90"/>
    <w:rsid w:val="003E7B7E"/>
    <w:rsid w:val="003E7C54"/>
    <w:rsid w:val="003E7C84"/>
    <w:rsid w:val="003E7D46"/>
    <w:rsid w:val="003E7D58"/>
    <w:rsid w:val="003E7DDC"/>
    <w:rsid w:val="003E7EB5"/>
    <w:rsid w:val="003E7F25"/>
    <w:rsid w:val="003E7F6A"/>
    <w:rsid w:val="003E7FE8"/>
    <w:rsid w:val="003E84C0"/>
    <w:rsid w:val="003E871B"/>
    <w:rsid w:val="003F003C"/>
    <w:rsid w:val="003F010D"/>
    <w:rsid w:val="003F017D"/>
    <w:rsid w:val="003F020C"/>
    <w:rsid w:val="003F02AF"/>
    <w:rsid w:val="003F0300"/>
    <w:rsid w:val="003F03C3"/>
    <w:rsid w:val="003F0440"/>
    <w:rsid w:val="003F050B"/>
    <w:rsid w:val="003F0511"/>
    <w:rsid w:val="003F0557"/>
    <w:rsid w:val="003F05BF"/>
    <w:rsid w:val="003F0624"/>
    <w:rsid w:val="003F06CA"/>
    <w:rsid w:val="003F07A5"/>
    <w:rsid w:val="003F0851"/>
    <w:rsid w:val="003F08CA"/>
    <w:rsid w:val="003F0934"/>
    <w:rsid w:val="003F0BB1"/>
    <w:rsid w:val="003F0BE2"/>
    <w:rsid w:val="003F0C0E"/>
    <w:rsid w:val="003F0C11"/>
    <w:rsid w:val="003F0C9F"/>
    <w:rsid w:val="003F0CF7"/>
    <w:rsid w:val="003F0D18"/>
    <w:rsid w:val="003F0D9B"/>
    <w:rsid w:val="003F0E6D"/>
    <w:rsid w:val="003F0EB9"/>
    <w:rsid w:val="003F0F6A"/>
    <w:rsid w:val="003F0FD6"/>
    <w:rsid w:val="003F100C"/>
    <w:rsid w:val="003F1181"/>
    <w:rsid w:val="003F1261"/>
    <w:rsid w:val="003F12EB"/>
    <w:rsid w:val="003F1351"/>
    <w:rsid w:val="003F13A5"/>
    <w:rsid w:val="003F143F"/>
    <w:rsid w:val="003F14A3"/>
    <w:rsid w:val="003F163B"/>
    <w:rsid w:val="003F164B"/>
    <w:rsid w:val="003F1676"/>
    <w:rsid w:val="003F1792"/>
    <w:rsid w:val="003F17CD"/>
    <w:rsid w:val="003F1809"/>
    <w:rsid w:val="003F1813"/>
    <w:rsid w:val="003F184D"/>
    <w:rsid w:val="003F18F2"/>
    <w:rsid w:val="003F18FB"/>
    <w:rsid w:val="003F197B"/>
    <w:rsid w:val="003F1987"/>
    <w:rsid w:val="003F1A48"/>
    <w:rsid w:val="003F1A6A"/>
    <w:rsid w:val="003F1AB9"/>
    <w:rsid w:val="003F1ADC"/>
    <w:rsid w:val="003F1B14"/>
    <w:rsid w:val="003F1BF4"/>
    <w:rsid w:val="003F1D25"/>
    <w:rsid w:val="003F1D2B"/>
    <w:rsid w:val="003F1D71"/>
    <w:rsid w:val="003F1E54"/>
    <w:rsid w:val="003F1EB1"/>
    <w:rsid w:val="003F1F10"/>
    <w:rsid w:val="003F1FD0"/>
    <w:rsid w:val="003F204A"/>
    <w:rsid w:val="003F2071"/>
    <w:rsid w:val="003F2157"/>
    <w:rsid w:val="003F2245"/>
    <w:rsid w:val="003F22AE"/>
    <w:rsid w:val="003F22C6"/>
    <w:rsid w:val="003F238D"/>
    <w:rsid w:val="003F24A5"/>
    <w:rsid w:val="003F2508"/>
    <w:rsid w:val="003F26FE"/>
    <w:rsid w:val="003F274E"/>
    <w:rsid w:val="003F2794"/>
    <w:rsid w:val="003F2946"/>
    <w:rsid w:val="003F2969"/>
    <w:rsid w:val="003F299F"/>
    <w:rsid w:val="003F29D3"/>
    <w:rsid w:val="003F2A3C"/>
    <w:rsid w:val="003F2AEC"/>
    <w:rsid w:val="003F2B5E"/>
    <w:rsid w:val="003F2BA9"/>
    <w:rsid w:val="003F2C32"/>
    <w:rsid w:val="003F2CB8"/>
    <w:rsid w:val="003F2CC8"/>
    <w:rsid w:val="003F2D0C"/>
    <w:rsid w:val="003F2D56"/>
    <w:rsid w:val="003F2D5D"/>
    <w:rsid w:val="003F2D60"/>
    <w:rsid w:val="003F2DE0"/>
    <w:rsid w:val="003F2EDA"/>
    <w:rsid w:val="003F2FA6"/>
    <w:rsid w:val="003F3048"/>
    <w:rsid w:val="003F3082"/>
    <w:rsid w:val="003F311A"/>
    <w:rsid w:val="003F318A"/>
    <w:rsid w:val="003F31FE"/>
    <w:rsid w:val="003F32E7"/>
    <w:rsid w:val="003F3534"/>
    <w:rsid w:val="003F353E"/>
    <w:rsid w:val="003F3540"/>
    <w:rsid w:val="003F354C"/>
    <w:rsid w:val="003F363D"/>
    <w:rsid w:val="003F3652"/>
    <w:rsid w:val="003F3657"/>
    <w:rsid w:val="003F3664"/>
    <w:rsid w:val="003F3683"/>
    <w:rsid w:val="003F36A9"/>
    <w:rsid w:val="003F36DA"/>
    <w:rsid w:val="003F3802"/>
    <w:rsid w:val="003F388C"/>
    <w:rsid w:val="003F3998"/>
    <w:rsid w:val="003F39AC"/>
    <w:rsid w:val="003F3AA7"/>
    <w:rsid w:val="003F3B8D"/>
    <w:rsid w:val="003F3C11"/>
    <w:rsid w:val="003F3CDA"/>
    <w:rsid w:val="003F3D57"/>
    <w:rsid w:val="003F3F78"/>
    <w:rsid w:val="003F3FC9"/>
    <w:rsid w:val="003F3FCC"/>
    <w:rsid w:val="003F40D9"/>
    <w:rsid w:val="003F40F3"/>
    <w:rsid w:val="003F41E6"/>
    <w:rsid w:val="003F421C"/>
    <w:rsid w:val="003F42CF"/>
    <w:rsid w:val="003F4332"/>
    <w:rsid w:val="003F44F1"/>
    <w:rsid w:val="003F461A"/>
    <w:rsid w:val="003F467F"/>
    <w:rsid w:val="003F4715"/>
    <w:rsid w:val="003F482C"/>
    <w:rsid w:val="003F4A31"/>
    <w:rsid w:val="003F4A7A"/>
    <w:rsid w:val="003F4A8E"/>
    <w:rsid w:val="003F4A97"/>
    <w:rsid w:val="003F4BD7"/>
    <w:rsid w:val="003F4C53"/>
    <w:rsid w:val="003F4C8F"/>
    <w:rsid w:val="003F4CCF"/>
    <w:rsid w:val="003F4D78"/>
    <w:rsid w:val="003F4E59"/>
    <w:rsid w:val="003F4EBD"/>
    <w:rsid w:val="003F50CA"/>
    <w:rsid w:val="003F513F"/>
    <w:rsid w:val="003F51D3"/>
    <w:rsid w:val="003F5384"/>
    <w:rsid w:val="003F5394"/>
    <w:rsid w:val="003F54FA"/>
    <w:rsid w:val="003F5586"/>
    <w:rsid w:val="003F572C"/>
    <w:rsid w:val="003F5797"/>
    <w:rsid w:val="003F57A9"/>
    <w:rsid w:val="003F57E4"/>
    <w:rsid w:val="003F57F7"/>
    <w:rsid w:val="003F5810"/>
    <w:rsid w:val="003F58D4"/>
    <w:rsid w:val="003F5900"/>
    <w:rsid w:val="003F5929"/>
    <w:rsid w:val="003F5963"/>
    <w:rsid w:val="003F5A17"/>
    <w:rsid w:val="003F5A4C"/>
    <w:rsid w:val="003F5AC3"/>
    <w:rsid w:val="003F5B90"/>
    <w:rsid w:val="003F5BAB"/>
    <w:rsid w:val="003F5BE2"/>
    <w:rsid w:val="003F5CC1"/>
    <w:rsid w:val="003F5D0A"/>
    <w:rsid w:val="003F5E13"/>
    <w:rsid w:val="003F5FB0"/>
    <w:rsid w:val="003F601A"/>
    <w:rsid w:val="003F607F"/>
    <w:rsid w:val="003F6123"/>
    <w:rsid w:val="003F616A"/>
    <w:rsid w:val="003F6219"/>
    <w:rsid w:val="003F63A0"/>
    <w:rsid w:val="003F6428"/>
    <w:rsid w:val="003F6522"/>
    <w:rsid w:val="003F657C"/>
    <w:rsid w:val="003F6711"/>
    <w:rsid w:val="003F6713"/>
    <w:rsid w:val="003F678D"/>
    <w:rsid w:val="003F67A8"/>
    <w:rsid w:val="003F6816"/>
    <w:rsid w:val="003F6848"/>
    <w:rsid w:val="003F6955"/>
    <w:rsid w:val="003F6B56"/>
    <w:rsid w:val="003F6BC4"/>
    <w:rsid w:val="003F6C41"/>
    <w:rsid w:val="003F6CA2"/>
    <w:rsid w:val="003F6CB8"/>
    <w:rsid w:val="003F6CC2"/>
    <w:rsid w:val="003F6DFE"/>
    <w:rsid w:val="003F6E0C"/>
    <w:rsid w:val="003F6F6F"/>
    <w:rsid w:val="003F6FC3"/>
    <w:rsid w:val="003F709A"/>
    <w:rsid w:val="003F70A3"/>
    <w:rsid w:val="003F726A"/>
    <w:rsid w:val="003F729E"/>
    <w:rsid w:val="003F72E7"/>
    <w:rsid w:val="003F733D"/>
    <w:rsid w:val="003F73E2"/>
    <w:rsid w:val="003F740E"/>
    <w:rsid w:val="003F74E6"/>
    <w:rsid w:val="003F74E7"/>
    <w:rsid w:val="003F7500"/>
    <w:rsid w:val="003F752C"/>
    <w:rsid w:val="003F7579"/>
    <w:rsid w:val="003F768E"/>
    <w:rsid w:val="003F76FF"/>
    <w:rsid w:val="003F7785"/>
    <w:rsid w:val="003F783D"/>
    <w:rsid w:val="003F787E"/>
    <w:rsid w:val="003F78DF"/>
    <w:rsid w:val="003F7A28"/>
    <w:rsid w:val="003F7BF2"/>
    <w:rsid w:val="003F7CD5"/>
    <w:rsid w:val="003F7D63"/>
    <w:rsid w:val="003F7DE5"/>
    <w:rsid w:val="003F7DEA"/>
    <w:rsid w:val="003F7E18"/>
    <w:rsid w:val="003F7E4E"/>
    <w:rsid w:val="003F7EC2"/>
    <w:rsid w:val="003F7FEF"/>
    <w:rsid w:val="004000DC"/>
    <w:rsid w:val="004001EE"/>
    <w:rsid w:val="004002F6"/>
    <w:rsid w:val="0040043F"/>
    <w:rsid w:val="00400447"/>
    <w:rsid w:val="0040049F"/>
    <w:rsid w:val="004004CB"/>
    <w:rsid w:val="004005B9"/>
    <w:rsid w:val="00400666"/>
    <w:rsid w:val="004006A1"/>
    <w:rsid w:val="004006AD"/>
    <w:rsid w:val="004006BB"/>
    <w:rsid w:val="00400760"/>
    <w:rsid w:val="004007EC"/>
    <w:rsid w:val="0040080D"/>
    <w:rsid w:val="0040082E"/>
    <w:rsid w:val="0040094E"/>
    <w:rsid w:val="00400A40"/>
    <w:rsid w:val="00400A43"/>
    <w:rsid w:val="00400A6F"/>
    <w:rsid w:val="00400B27"/>
    <w:rsid w:val="00400B7C"/>
    <w:rsid w:val="00400B89"/>
    <w:rsid w:val="00400C26"/>
    <w:rsid w:val="00400C6D"/>
    <w:rsid w:val="00400C75"/>
    <w:rsid w:val="00400C9B"/>
    <w:rsid w:val="00400D22"/>
    <w:rsid w:val="00400DD4"/>
    <w:rsid w:val="00400DF0"/>
    <w:rsid w:val="00400DFF"/>
    <w:rsid w:val="00400E78"/>
    <w:rsid w:val="00400E82"/>
    <w:rsid w:val="00400EA2"/>
    <w:rsid w:val="00400EC3"/>
    <w:rsid w:val="00400F5A"/>
    <w:rsid w:val="00400F60"/>
    <w:rsid w:val="00400F98"/>
    <w:rsid w:val="0040108F"/>
    <w:rsid w:val="004010AC"/>
    <w:rsid w:val="0040110B"/>
    <w:rsid w:val="00401135"/>
    <w:rsid w:val="00401136"/>
    <w:rsid w:val="00401144"/>
    <w:rsid w:val="004011FE"/>
    <w:rsid w:val="00401383"/>
    <w:rsid w:val="00401391"/>
    <w:rsid w:val="004013A1"/>
    <w:rsid w:val="004013C2"/>
    <w:rsid w:val="0040144F"/>
    <w:rsid w:val="00401488"/>
    <w:rsid w:val="004014AA"/>
    <w:rsid w:val="0040160B"/>
    <w:rsid w:val="0040163F"/>
    <w:rsid w:val="00401688"/>
    <w:rsid w:val="0040173A"/>
    <w:rsid w:val="004017BE"/>
    <w:rsid w:val="004017F4"/>
    <w:rsid w:val="0040187B"/>
    <w:rsid w:val="00401894"/>
    <w:rsid w:val="004018B4"/>
    <w:rsid w:val="00401A80"/>
    <w:rsid w:val="00401B79"/>
    <w:rsid w:val="00401B7B"/>
    <w:rsid w:val="00401CB6"/>
    <w:rsid w:val="00401CC1"/>
    <w:rsid w:val="00401D6A"/>
    <w:rsid w:val="00401DBE"/>
    <w:rsid w:val="004020D5"/>
    <w:rsid w:val="00402161"/>
    <w:rsid w:val="004022B6"/>
    <w:rsid w:val="004022E4"/>
    <w:rsid w:val="00402305"/>
    <w:rsid w:val="0040238C"/>
    <w:rsid w:val="0040239F"/>
    <w:rsid w:val="00402420"/>
    <w:rsid w:val="00402450"/>
    <w:rsid w:val="004024DE"/>
    <w:rsid w:val="0040261F"/>
    <w:rsid w:val="0040264C"/>
    <w:rsid w:val="0040265A"/>
    <w:rsid w:val="00402689"/>
    <w:rsid w:val="004027AB"/>
    <w:rsid w:val="004027C5"/>
    <w:rsid w:val="004028FD"/>
    <w:rsid w:val="0040290E"/>
    <w:rsid w:val="004029A2"/>
    <w:rsid w:val="00402AC5"/>
    <w:rsid w:val="00402C2A"/>
    <w:rsid w:val="00402C2D"/>
    <w:rsid w:val="00402C49"/>
    <w:rsid w:val="00402DC1"/>
    <w:rsid w:val="00402E07"/>
    <w:rsid w:val="00402E86"/>
    <w:rsid w:val="00402EAC"/>
    <w:rsid w:val="00402F0B"/>
    <w:rsid w:val="00402F7F"/>
    <w:rsid w:val="0040302B"/>
    <w:rsid w:val="00403227"/>
    <w:rsid w:val="00403290"/>
    <w:rsid w:val="00403383"/>
    <w:rsid w:val="00403456"/>
    <w:rsid w:val="004034C1"/>
    <w:rsid w:val="00403565"/>
    <w:rsid w:val="0040379E"/>
    <w:rsid w:val="0040382A"/>
    <w:rsid w:val="004038F0"/>
    <w:rsid w:val="0040395B"/>
    <w:rsid w:val="00403D05"/>
    <w:rsid w:val="00403D8B"/>
    <w:rsid w:val="004040BA"/>
    <w:rsid w:val="0040414D"/>
    <w:rsid w:val="00404199"/>
    <w:rsid w:val="0040423D"/>
    <w:rsid w:val="00404386"/>
    <w:rsid w:val="0040445E"/>
    <w:rsid w:val="004044C9"/>
    <w:rsid w:val="00404501"/>
    <w:rsid w:val="00404558"/>
    <w:rsid w:val="00404585"/>
    <w:rsid w:val="004045CA"/>
    <w:rsid w:val="00404612"/>
    <w:rsid w:val="004046E3"/>
    <w:rsid w:val="0040477F"/>
    <w:rsid w:val="0040479C"/>
    <w:rsid w:val="004047FD"/>
    <w:rsid w:val="0040480D"/>
    <w:rsid w:val="00404825"/>
    <w:rsid w:val="004048A7"/>
    <w:rsid w:val="004048C4"/>
    <w:rsid w:val="004048FE"/>
    <w:rsid w:val="00404903"/>
    <w:rsid w:val="0040495F"/>
    <w:rsid w:val="004049A8"/>
    <w:rsid w:val="004049BD"/>
    <w:rsid w:val="00404B1A"/>
    <w:rsid w:val="00404CF3"/>
    <w:rsid w:val="00404D0D"/>
    <w:rsid w:val="00404D34"/>
    <w:rsid w:val="00404DD0"/>
    <w:rsid w:val="00404E3A"/>
    <w:rsid w:val="00404F30"/>
    <w:rsid w:val="00405051"/>
    <w:rsid w:val="00405087"/>
    <w:rsid w:val="00405127"/>
    <w:rsid w:val="004051F0"/>
    <w:rsid w:val="00405209"/>
    <w:rsid w:val="00405315"/>
    <w:rsid w:val="0040534A"/>
    <w:rsid w:val="004053A2"/>
    <w:rsid w:val="00405445"/>
    <w:rsid w:val="00405482"/>
    <w:rsid w:val="00405548"/>
    <w:rsid w:val="004055B2"/>
    <w:rsid w:val="0040563A"/>
    <w:rsid w:val="004056B8"/>
    <w:rsid w:val="00405726"/>
    <w:rsid w:val="00405BD8"/>
    <w:rsid w:val="00405BE0"/>
    <w:rsid w:val="00405E39"/>
    <w:rsid w:val="00405E65"/>
    <w:rsid w:val="00405EB0"/>
    <w:rsid w:val="00405EF7"/>
    <w:rsid w:val="00405FF6"/>
    <w:rsid w:val="00405FF9"/>
    <w:rsid w:val="00406113"/>
    <w:rsid w:val="0040616E"/>
    <w:rsid w:val="00406230"/>
    <w:rsid w:val="00406239"/>
    <w:rsid w:val="00406263"/>
    <w:rsid w:val="004062E9"/>
    <w:rsid w:val="004063D8"/>
    <w:rsid w:val="0040643D"/>
    <w:rsid w:val="004065A4"/>
    <w:rsid w:val="00406695"/>
    <w:rsid w:val="004066FB"/>
    <w:rsid w:val="00406714"/>
    <w:rsid w:val="004067BE"/>
    <w:rsid w:val="004067D6"/>
    <w:rsid w:val="00406808"/>
    <w:rsid w:val="00406848"/>
    <w:rsid w:val="00406984"/>
    <w:rsid w:val="0040699C"/>
    <w:rsid w:val="00406A4F"/>
    <w:rsid w:val="00406AD1"/>
    <w:rsid w:val="00406B9C"/>
    <w:rsid w:val="00406C54"/>
    <w:rsid w:val="00406C76"/>
    <w:rsid w:val="00406CCD"/>
    <w:rsid w:val="00406E72"/>
    <w:rsid w:val="00406F07"/>
    <w:rsid w:val="00406F62"/>
    <w:rsid w:val="00406F65"/>
    <w:rsid w:val="00407067"/>
    <w:rsid w:val="004072B1"/>
    <w:rsid w:val="0040733A"/>
    <w:rsid w:val="0040740E"/>
    <w:rsid w:val="0040759A"/>
    <w:rsid w:val="004076B7"/>
    <w:rsid w:val="004076E9"/>
    <w:rsid w:val="00407729"/>
    <w:rsid w:val="00407737"/>
    <w:rsid w:val="00407765"/>
    <w:rsid w:val="0040778C"/>
    <w:rsid w:val="004077A7"/>
    <w:rsid w:val="00407806"/>
    <w:rsid w:val="00407817"/>
    <w:rsid w:val="00407833"/>
    <w:rsid w:val="00407843"/>
    <w:rsid w:val="00407848"/>
    <w:rsid w:val="0040789F"/>
    <w:rsid w:val="004078B0"/>
    <w:rsid w:val="00407AAD"/>
    <w:rsid w:val="00407B6A"/>
    <w:rsid w:val="00407B85"/>
    <w:rsid w:val="00407BC0"/>
    <w:rsid w:val="00407C08"/>
    <w:rsid w:val="00407C39"/>
    <w:rsid w:val="00407D6B"/>
    <w:rsid w:val="00407D8D"/>
    <w:rsid w:val="00407E1A"/>
    <w:rsid w:val="00407E29"/>
    <w:rsid w:val="00407F4B"/>
    <w:rsid w:val="00407FA3"/>
    <w:rsid w:val="0041002C"/>
    <w:rsid w:val="00410077"/>
    <w:rsid w:val="00410128"/>
    <w:rsid w:val="004101A6"/>
    <w:rsid w:val="004101DB"/>
    <w:rsid w:val="0041021D"/>
    <w:rsid w:val="004102B4"/>
    <w:rsid w:val="004102D6"/>
    <w:rsid w:val="00410300"/>
    <w:rsid w:val="00410434"/>
    <w:rsid w:val="004104B5"/>
    <w:rsid w:val="0041064F"/>
    <w:rsid w:val="00410690"/>
    <w:rsid w:val="0041083F"/>
    <w:rsid w:val="00410921"/>
    <w:rsid w:val="00410A11"/>
    <w:rsid w:val="00410BD1"/>
    <w:rsid w:val="00410C1D"/>
    <w:rsid w:val="00410DEE"/>
    <w:rsid w:val="00410E26"/>
    <w:rsid w:val="00410E7C"/>
    <w:rsid w:val="00410FA0"/>
    <w:rsid w:val="00410FE7"/>
    <w:rsid w:val="00411066"/>
    <w:rsid w:val="00411169"/>
    <w:rsid w:val="004111AB"/>
    <w:rsid w:val="00411211"/>
    <w:rsid w:val="0041150A"/>
    <w:rsid w:val="00411596"/>
    <w:rsid w:val="00411598"/>
    <w:rsid w:val="004115A5"/>
    <w:rsid w:val="004115E1"/>
    <w:rsid w:val="004116F6"/>
    <w:rsid w:val="00411723"/>
    <w:rsid w:val="004117DA"/>
    <w:rsid w:val="00411925"/>
    <w:rsid w:val="00411C1E"/>
    <w:rsid w:val="00411CBD"/>
    <w:rsid w:val="00411CC6"/>
    <w:rsid w:val="00411E5F"/>
    <w:rsid w:val="00411E6D"/>
    <w:rsid w:val="00411E8C"/>
    <w:rsid w:val="00412098"/>
    <w:rsid w:val="004120C6"/>
    <w:rsid w:val="004120D8"/>
    <w:rsid w:val="004120E7"/>
    <w:rsid w:val="0041214D"/>
    <w:rsid w:val="0041226A"/>
    <w:rsid w:val="0041228F"/>
    <w:rsid w:val="004122F1"/>
    <w:rsid w:val="0041232E"/>
    <w:rsid w:val="004123F6"/>
    <w:rsid w:val="0041253B"/>
    <w:rsid w:val="004125A4"/>
    <w:rsid w:val="004125B3"/>
    <w:rsid w:val="0041260D"/>
    <w:rsid w:val="00412613"/>
    <w:rsid w:val="004126D8"/>
    <w:rsid w:val="00412786"/>
    <w:rsid w:val="004127A8"/>
    <w:rsid w:val="0041288A"/>
    <w:rsid w:val="00412899"/>
    <w:rsid w:val="004128C7"/>
    <w:rsid w:val="0041290D"/>
    <w:rsid w:val="0041298C"/>
    <w:rsid w:val="00412995"/>
    <w:rsid w:val="004129DB"/>
    <w:rsid w:val="00412A98"/>
    <w:rsid w:val="00412C80"/>
    <w:rsid w:val="00412C98"/>
    <w:rsid w:val="00412D32"/>
    <w:rsid w:val="00412DB0"/>
    <w:rsid w:val="00412DC5"/>
    <w:rsid w:val="00412F40"/>
    <w:rsid w:val="00413048"/>
    <w:rsid w:val="004130BF"/>
    <w:rsid w:val="00413107"/>
    <w:rsid w:val="00413278"/>
    <w:rsid w:val="004132A7"/>
    <w:rsid w:val="0041337B"/>
    <w:rsid w:val="004133BE"/>
    <w:rsid w:val="004133C9"/>
    <w:rsid w:val="0041343C"/>
    <w:rsid w:val="00413470"/>
    <w:rsid w:val="0041349C"/>
    <w:rsid w:val="004135E6"/>
    <w:rsid w:val="0041368D"/>
    <w:rsid w:val="004136C3"/>
    <w:rsid w:val="00413754"/>
    <w:rsid w:val="00413991"/>
    <w:rsid w:val="00413994"/>
    <w:rsid w:val="00413A7C"/>
    <w:rsid w:val="00413B56"/>
    <w:rsid w:val="00413BDD"/>
    <w:rsid w:val="00413C1C"/>
    <w:rsid w:val="00413C6B"/>
    <w:rsid w:val="00413CC5"/>
    <w:rsid w:val="00413E69"/>
    <w:rsid w:val="00413FAC"/>
    <w:rsid w:val="00413FAF"/>
    <w:rsid w:val="00414055"/>
    <w:rsid w:val="00414078"/>
    <w:rsid w:val="00414086"/>
    <w:rsid w:val="0041408A"/>
    <w:rsid w:val="004140F5"/>
    <w:rsid w:val="0041414E"/>
    <w:rsid w:val="00414193"/>
    <w:rsid w:val="0041421B"/>
    <w:rsid w:val="00414287"/>
    <w:rsid w:val="004143EB"/>
    <w:rsid w:val="0041445F"/>
    <w:rsid w:val="004144C1"/>
    <w:rsid w:val="0041452B"/>
    <w:rsid w:val="00414578"/>
    <w:rsid w:val="004145CF"/>
    <w:rsid w:val="004145DF"/>
    <w:rsid w:val="0041464A"/>
    <w:rsid w:val="00414665"/>
    <w:rsid w:val="0041494C"/>
    <w:rsid w:val="00414A75"/>
    <w:rsid w:val="00414A91"/>
    <w:rsid w:val="00414B26"/>
    <w:rsid w:val="00414BBC"/>
    <w:rsid w:val="00414BE9"/>
    <w:rsid w:val="00414C5B"/>
    <w:rsid w:val="00414C8E"/>
    <w:rsid w:val="00414D2F"/>
    <w:rsid w:val="00414E40"/>
    <w:rsid w:val="00414F82"/>
    <w:rsid w:val="00414FE6"/>
    <w:rsid w:val="00415092"/>
    <w:rsid w:val="004150A8"/>
    <w:rsid w:val="004150EA"/>
    <w:rsid w:val="004151BB"/>
    <w:rsid w:val="004151C5"/>
    <w:rsid w:val="004152B1"/>
    <w:rsid w:val="004152C3"/>
    <w:rsid w:val="004152C5"/>
    <w:rsid w:val="0041535B"/>
    <w:rsid w:val="00415375"/>
    <w:rsid w:val="00415387"/>
    <w:rsid w:val="004153BB"/>
    <w:rsid w:val="00415599"/>
    <w:rsid w:val="004155B0"/>
    <w:rsid w:val="004155BD"/>
    <w:rsid w:val="00415633"/>
    <w:rsid w:val="00415643"/>
    <w:rsid w:val="004156DD"/>
    <w:rsid w:val="00415760"/>
    <w:rsid w:val="00415777"/>
    <w:rsid w:val="004157FE"/>
    <w:rsid w:val="00415881"/>
    <w:rsid w:val="004159A3"/>
    <w:rsid w:val="00415AF4"/>
    <w:rsid w:val="00415AFB"/>
    <w:rsid w:val="00415C13"/>
    <w:rsid w:val="00415C79"/>
    <w:rsid w:val="00415CAF"/>
    <w:rsid w:val="00415DA3"/>
    <w:rsid w:val="00415E27"/>
    <w:rsid w:val="00415E47"/>
    <w:rsid w:val="00415EF1"/>
    <w:rsid w:val="00415EFE"/>
    <w:rsid w:val="00415F08"/>
    <w:rsid w:val="00415FBA"/>
    <w:rsid w:val="004160DA"/>
    <w:rsid w:val="004160E2"/>
    <w:rsid w:val="00416140"/>
    <w:rsid w:val="00416144"/>
    <w:rsid w:val="00416169"/>
    <w:rsid w:val="004162A0"/>
    <w:rsid w:val="004162C4"/>
    <w:rsid w:val="004163B6"/>
    <w:rsid w:val="00416449"/>
    <w:rsid w:val="00416533"/>
    <w:rsid w:val="00416556"/>
    <w:rsid w:val="0041674D"/>
    <w:rsid w:val="0041679C"/>
    <w:rsid w:val="004167E4"/>
    <w:rsid w:val="004168D6"/>
    <w:rsid w:val="00416977"/>
    <w:rsid w:val="00416998"/>
    <w:rsid w:val="00416A01"/>
    <w:rsid w:val="00416A45"/>
    <w:rsid w:val="00416C60"/>
    <w:rsid w:val="00416D38"/>
    <w:rsid w:val="00416DB8"/>
    <w:rsid w:val="00416E19"/>
    <w:rsid w:val="00416F6A"/>
    <w:rsid w:val="0041702D"/>
    <w:rsid w:val="004170CA"/>
    <w:rsid w:val="00417165"/>
    <w:rsid w:val="004171B3"/>
    <w:rsid w:val="004171FC"/>
    <w:rsid w:val="00417217"/>
    <w:rsid w:val="00417262"/>
    <w:rsid w:val="0041738D"/>
    <w:rsid w:val="0041747E"/>
    <w:rsid w:val="0041753B"/>
    <w:rsid w:val="00417679"/>
    <w:rsid w:val="004177BD"/>
    <w:rsid w:val="0041795A"/>
    <w:rsid w:val="00417A3E"/>
    <w:rsid w:val="00417A4A"/>
    <w:rsid w:val="00417AC5"/>
    <w:rsid w:val="00417E0D"/>
    <w:rsid w:val="00417E45"/>
    <w:rsid w:val="00417F32"/>
    <w:rsid w:val="00417FAB"/>
    <w:rsid w:val="0042007A"/>
    <w:rsid w:val="00420147"/>
    <w:rsid w:val="00420189"/>
    <w:rsid w:val="00420214"/>
    <w:rsid w:val="004202D5"/>
    <w:rsid w:val="004203A3"/>
    <w:rsid w:val="00420477"/>
    <w:rsid w:val="0042054F"/>
    <w:rsid w:val="004205B0"/>
    <w:rsid w:val="004206E0"/>
    <w:rsid w:val="004206E7"/>
    <w:rsid w:val="00420794"/>
    <w:rsid w:val="004207A5"/>
    <w:rsid w:val="00420964"/>
    <w:rsid w:val="00420AD7"/>
    <w:rsid w:val="00420B77"/>
    <w:rsid w:val="00420B8D"/>
    <w:rsid w:val="00420BCC"/>
    <w:rsid w:val="00420C08"/>
    <w:rsid w:val="00420C99"/>
    <w:rsid w:val="00420CC2"/>
    <w:rsid w:val="00420CE0"/>
    <w:rsid w:val="00420D03"/>
    <w:rsid w:val="00420D60"/>
    <w:rsid w:val="00420E85"/>
    <w:rsid w:val="00420EAD"/>
    <w:rsid w:val="00420EBD"/>
    <w:rsid w:val="00420F6D"/>
    <w:rsid w:val="0042113C"/>
    <w:rsid w:val="004211DC"/>
    <w:rsid w:val="004211F6"/>
    <w:rsid w:val="00421306"/>
    <w:rsid w:val="004214D6"/>
    <w:rsid w:val="004214F9"/>
    <w:rsid w:val="00421500"/>
    <w:rsid w:val="00421516"/>
    <w:rsid w:val="0042151E"/>
    <w:rsid w:val="00421568"/>
    <w:rsid w:val="004215B4"/>
    <w:rsid w:val="00421675"/>
    <w:rsid w:val="00421750"/>
    <w:rsid w:val="00421768"/>
    <w:rsid w:val="00421788"/>
    <w:rsid w:val="0042182B"/>
    <w:rsid w:val="00421860"/>
    <w:rsid w:val="00421A10"/>
    <w:rsid w:val="00421A48"/>
    <w:rsid w:val="00421B53"/>
    <w:rsid w:val="00421B92"/>
    <w:rsid w:val="00421CF2"/>
    <w:rsid w:val="00421D21"/>
    <w:rsid w:val="00421D40"/>
    <w:rsid w:val="00421D56"/>
    <w:rsid w:val="00421D68"/>
    <w:rsid w:val="00421D6C"/>
    <w:rsid w:val="00421E68"/>
    <w:rsid w:val="00421EA6"/>
    <w:rsid w:val="00421EA9"/>
    <w:rsid w:val="00421F84"/>
    <w:rsid w:val="00421F91"/>
    <w:rsid w:val="00422095"/>
    <w:rsid w:val="0042215F"/>
    <w:rsid w:val="00422167"/>
    <w:rsid w:val="00422255"/>
    <w:rsid w:val="00422526"/>
    <w:rsid w:val="004227BF"/>
    <w:rsid w:val="00422820"/>
    <w:rsid w:val="0042295C"/>
    <w:rsid w:val="004229A2"/>
    <w:rsid w:val="00422A66"/>
    <w:rsid w:val="00422AA3"/>
    <w:rsid w:val="00422C78"/>
    <w:rsid w:val="00422DFB"/>
    <w:rsid w:val="00422E93"/>
    <w:rsid w:val="00422F4A"/>
    <w:rsid w:val="00422FF1"/>
    <w:rsid w:val="00422FFD"/>
    <w:rsid w:val="00423034"/>
    <w:rsid w:val="00423178"/>
    <w:rsid w:val="0042318F"/>
    <w:rsid w:val="00423277"/>
    <w:rsid w:val="00423297"/>
    <w:rsid w:val="004232DF"/>
    <w:rsid w:val="004233BD"/>
    <w:rsid w:val="004233E0"/>
    <w:rsid w:val="0042345E"/>
    <w:rsid w:val="004234E1"/>
    <w:rsid w:val="00423553"/>
    <w:rsid w:val="004235ED"/>
    <w:rsid w:val="00423629"/>
    <w:rsid w:val="0042369D"/>
    <w:rsid w:val="004236FC"/>
    <w:rsid w:val="0042370B"/>
    <w:rsid w:val="00423761"/>
    <w:rsid w:val="004237BD"/>
    <w:rsid w:val="004237CC"/>
    <w:rsid w:val="004238C1"/>
    <w:rsid w:val="004238C5"/>
    <w:rsid w:val="00423979"/>
    <w:rsid w:val="004239B2"/>
    <w:rsid w:val="004239D9"/>
    <w:rsid w:val="00423A12"/>
    <w:rsid w:val="00423A83"/>
    <w:rsid w:val="00423C6D"/>
    <w:rsid w:val="00423CBC"/>
    <w:rsid w:val="00423D28"/>
    <w:rsid w:val="00423D78"/>
    <w:rsid w:val="00423D88"/>
    <w:rsid w:val="00423DAE"/>
    <w:rsid w:val="00423F58"/>
    <w:rsid w:val="00423FB6"/>
    <w:rsid w:val="0042407F"/>
    <w:rsid w:val="00424099"/>
    <w:rsid w:val="00424126"/>
    <w:rsid w:val="00424190"/>
    <w:rsid w:val="004241E7"/>
    <w:rsid w:val="0042433A"/>
    <w:rsid w:val="00424372"/>
    <w:rsid w:val="0042443A"/>
    <w:rsid w:val="004244A1"/>
    <w:rsid w:val="004246E5"/>
    <w:rsid w:val="004246ED"/>
    <w:rsid w:val="0042477A"/>
    <w:rsid w:val="0042478B"/>
    <w:rsid w:val="004247A7"/>
    <w:rsid w:val="00424804"/>
    <w:rsid w:val="0042486A"/>
    <w:rsid w:val="00424966"/>
    <w:rsid w:val="00424A13"/>
    <w:rsid w:val="00424A30"/>
    <w:rsid w:val="00424A47"/>
    <w:rsid w:val="00424B53"/>
    <w:rsid w:val="00424C39"/>
    <w:rsid w:val="00424E14"/>
    <w:rsid w:val="00424E72"/>
    <w:rsid w:val="00424EC5"/>
    <w:rsid w:val="00424EFF"/>
    <w:rsid w:val="00424F4E"/>
    <w:rsid w:val="00424FD1"/>
    <w:rsid w:val="00425012"/>
    <w:rsid w:val="004250F5"/>
    <w:rsid w:val="004251FE"/>
    <w:rsid w:val="00425286"/>
    <w:rsid w:val="0042539C"/>
    <w:rsid w:val="0042539F"/>
    <w:rsid w:val="004254AA"/>
    <w:rsid w:val="00425588"/>
    <w:rsid w:val="004255C2"/>
    <w:rsid w:val="004255E3"/>
    <w:rsid w:val="004256AB"/>
    <w:rsid w:val="00425740"/>
    <w:rsid w:val="00425790"/>
    <w:rsid w:val="00425841"/>
    <w:rsid w:val="004258C1"/>
    <w:rsid w:val="0042593D"/>
    <w:rsid w:val="0042594E"/>
    <w:rsid w:val="004259C6"/>
    <w:rsid w:val="004259E7"/>
    <w:rsid w:val="00425A36"/>
    <w:rsid w:val="00425A37"/>
    <w:rsid w:val="00425A6C"/>
    <w:rsid w:val="00425B34"/>
    <w:rsid w:val="00425B37"/>
    <w:rsid w:val="00425C66"/>
    <w:rsid w:val="00425CED"/>
    <w:rsid w:val="00425D0D"/>
    <w:rsid w:val="00425D7F"/>
    <w:rsid w:val="00425DAF"/>
    <w:rsid w:val="00425DD9"/>
    <w:rsid w:val="00425ED5"/>
    <w:rsid w:val="00425F86"/>
    <w:rsid w:val="00425F9E"/>
    <w:rsid w:val="00425FA1"/>
    <w:rsid w:val="004260EA"/>
    <w:rsid w:val="004260EE"/>
    <w:rsid w:val="004261EF"/>
    <w:rsid w:val="0042630B"/>
    <w:rsid w:val="00426400"/>
    <w:rsid w:val="0042649A"/>
    <w:rsid w:val="0042650A"/>
    <w:rsid w:val="004266E2"/>
    <w:rsid w:val="0042670F"/>
    <w:rsid w:val="00426726"/>
    <w:rsid w:val="0042672B"/>
    <w:rsid w:val="004267D9"/>
    <w:rsid w:val="00426969"/>
    <w:rsid w:val="004269C4"/>
    <w:rsid w:val="00426A10"/>
    <w:rsid w:val="00426A26"/>
    <w:rsid w:val="00426AB7"/>
    <w:rsid w:val="00426B27"/>
    <w:rsid w:val="00426B47"/>
    <w:rsid w:val="00426BE8"/>
    <w:rsid w:val="00426CB9"/>
    <w:rsid w:val="00426F72"/>
    <w:rsid w:val="00426FAB"/>
    <w:rsid w:val="00426FFE"/>
    <w:rsid w:val="00427147"/>
    <w:rsid w:val="00427148"/>
    <w:rsid w:val="00427203"/>
    <w:rsid w:val="00427232"/>
    <w:rsid w:val="00427249"/>
    <w:rsid w:val="00427320"/>
    <w:rsid w:val="004273AC"/>
    <w:rsid w:val="004274C3"/>
    <w:rsid w:val="004275EA"/>
    <w:rsid w:val="00427632"/>
    <w:rsid w:val="004276C0"/>
    <w:rsid w:val="0042776E"/>
    <w:rsid w:val="0042794C"/>
    <w:rsid w:val="00427995"/>
    <w:rsid w:val="00427A74"/>
    <w:rsid w:val="00427B1A"/>
    <w:rsid w:val="00427C31"/>
    <w:rsid w:val="00427C97"/>
    <w:rsid w:val="00427C9C"/>
    <w:rsid w:val="00427CE5"/>
    <w:rsid w:val="00427D2F"/>
    <w:rsid w:val="00427DAD"/>
    <w:rsid w:val="00430066"/>
    <w:rsid w:val="0043007D"/>
    <w:rsid w:val="00430088"/>
    <w:rsid w:val="004300BA"/>
    <w:rsid w:val="004300CC"/>
    <w:rsid w:val="00430132"/>
    <w:rsid w:val="00430178"/>
    <w:rsid w:val="0043017F"/>
    <w:rsid w:val="004301CD"/>
    <w:rsid w:val="00430397"/>
    <w:rsid w:val="004303C9"/>
    <w:rsid w:val="00430414"/>
    <w:rsid w:val="0043041F"/>
    <w:rsid w:val="004304AE"/>
    <w:rsid w:val="004305B1"/>
    <w:rsid w:val="004305EC"/>
    <w:rsid w:val="004306EF"/>
    <w:rsid w:val="00430776"/>
    <w:rsid w:val="004307AB"/>
    <w:rsid w:val="004307B8"/>
    <w:rsid w:val="00430A8F"/>
    <w:rsid w:val="00430A96"/>
    <w:rsid w:val="00430AA7"/>
    <w:rsid w:val="00430AD5"/>
    <w:rsid w:val="00430C26"/>
    <w:rsid w:val="00430C78"/>
    <w:rsid w:val="00430C80"/>
    <w:rsid w:val="00430C88"/>
    <w:rsid w:val="00430D63"/>
    <w:rsid w:val="00430D9F"/>
    <w:rsid w:val="00430E1C"/>
    <w:rsid w:val="00430E6B"/>
    <w:rsid w:val="00430F2F"/>
    <w:rsid w:val="00431073"/>
    <w:rsid w:val="0043108F"/>
    <w:rsid w:val="004310DD"/>
    <w:rsid w:val="004310F5"/>
    <w:rsid w:val="00431176"/>
    <w:rsid w:val="004311BE"/>
    <w:rsid w:val="004311F3"/>
    <w:rsid w:val="00431347"/>
    <w:rsid w:val="0043134D"/>
    <w:rsid w:val="0043144C"/>
    <w:rsid w:val="004314D9"/>
    <w:rsid w:val="00431570"/>
    <w:rsid w:val="004315A0"/>
    <w:rsid w:val="004316CD"/>
    <w:rsid w:val="004316EE"/>
    <w:rsid w:val="00431743"/>
    <w:rsid w:val="00431769"/>
    <w:rsid w:val="004317E7"/>
    <w:rsid w:val="0043180A"/>
    <w:rsid w:val="0043182B"/>
    <w:rsid w:val="004318E4"/>
    <w:rsid w:val="00431A06"/>
    <w:rsid w:val="00431A14"/>
    <w:rsid w:val="00431B3A"/>
    <w:rsid w:val="00431C31"/>
    <w:rsid w:val="00431D38"/>
    <w:rsid w:val="00431E0D"/>
    <w:rsid w:val="00431E10"/>
    <w:rsid w:val="00431E1C"/>
    <w:rsid w:val="00431E67"/>
    <w:rsid w:val="00431ED5"/>
    <w:rsid w:val="0043204D"/>
    <w:rsid w:val="0043209A"/>
    <w:rsid w:val="004320FC"/>
    <w:rsid w:val="004320FE"/>
    <w:rsid w:val="00432103"/>
    <w:rsid w:val="0043213C"/>
    <w:rsid w:val="0043219C"/>
    <w:rsid w:val="004321E7"/>
    <w:rsid w:val="00432353"/>
    <w:rsid w:val="00432554"/>
    <w:rsid w:val="004325B3"/>
    <w:rsid w:val="004325EB"/>
    <w:rsid w:val="00432624"/>
    <w:rsid w:val="0043265C"/>
    <w:rsid w:val="004327C7"/>
    <w:rsid w:val="004327E7"/>
    <w:rsid w:val="004328B4"/>
    <w:rsid w:val="004328E5"/>
    <w:rsid w:val="0043299B"/>
    <w:rsid w:val="004329A6"/>
    <w:rsid w:val="00432AF3"/>
    <w:rsid w:val="00432B00"/>
    <w:rsid w:val="00432C19"/>
    <w:rsid w:val="00432C84"/>
    <w:rsid w:val="00432D4E"/>
    <w:rsid w:val="00432DDC"/>
    <w:rsid w:val="00432DEF"/>
    <w:rsid w:val="00432E20"/>
    <w:rsid w:val="00433030"/>
    <w:rsid w:val="004330C6"/>
    <w:rsid w:val="004330FA"/>
    <w:rsid w:val="00433241"/>
    <w:rsid w:val="0043331E"/>
    <w:rsid w:val="0043339E"/>
    <w:rsid w:val="00433401"/>
    <w:rsid w:val="0043340D"/>
    <w:rsid w:val="0043350A"/>
    <w:rsid w:val="00433517"/>
    <w:rsid w:val="00433547"/>
    <w:rsid w:val="0043360E"/>
    <w:rsid w:val="0043363D"/>
    <w:rsid w:val="00433666"/>
    <w:rsid w:val="00433701"/>
    <w:rsid w:val="00433746"/>
    <w:rsid w:val="004337D0"/>
    <w:rsid w:val="0043398C"/>
    <w:rsid w:val="00433A16"/>
    <w:rsid w:val="00433C23"/>
    <w:rsid w:val="00433C83"/>
    <w:rsid w:val="00433EE2"/>
    <w:rsid w:val="00433F81"/>
    <w:rsid w:val="0043404F"/>
    <w:rsid w:val="00434131"/>
    <w:rsid w:val="004341C0"/>
    <w:rsid w:val="00434218"/>
    <w:rsid w:val="00434397"/>
    <w:rsid w:val="00434514"/>
    <w:rsid w:val="00434550"/>
    <w:rsid w:val="004345A2"/>
    <w:rsid w:val="004345CA"/>
    <w:rsid w:val="004345CD"/>
    <w:rsid w:val="004346B3"/>
    <w:rsid w:val="004346FA"/>
    <w:rsid w:val="00434778"/>
    <w:rsid w:val="00434888"/>
    <w:rsid w:val="0043489A"/>
    <w:rsid w:val="00434996"/>
    <w:rsid w:val="00434A65"/>
    <w:rsid w:val="00434A88"/>
    <w:rsid w:val="00434A94"/>
    <w:rsid w:val="00434BE9"/>
    <w:rsid w:val="00434C10"/>
    <w:rsid w:val="00434C51"/>
    <w:rsid w:val="00434D5D"/>
    <w:rsid w:val="00434DAB"/>
    <w:rsid w:val="00434DE9"/>
    <w:rsid w:val="00434FAD"/>
    <w:rsid w:val="00435061"/>
    <w:rsid w:val="00435084"/>
    <w:rsid w:val="0043518C"/>
    <w:rsid w:val="00435196"/>
    <w:rsid w:val="004352F5"/>
    <w:rsid w:val="0043543C"/>
    <w:rsid w:val="00435467"/>
    <w:rsid w:val="004354DD"/>
    <w:rsid w:val="004355B6"/>
    <w:rsid w:val="004355F9"/>
    <w:rsid w:val="004356DD"/>
    <w:rsid w:val="004356EA"/>
    <w:rsid w:val="004356FC"/>
    <w:rsid w:val="00435703"/>
    <w:rsid w:val="004358D6"/>
    <w:rsid w:val="004358FC"/>
    <w:rsid w:val="00435A18"/>
    <w:rsid w:val="00435AA3"/>
    <w:rsid w:val="00435B40"/>
    <w:rsid w:val="00435C3D"/>
    <w:rsid w:val="00435C71"/>
    <w:rsid w:val="00435C98"/>
    <w:rsid w:val="00435DE4"/>
    <w:rsid w:val="00435EF4"/>
    <w:rsid w:val="00435F96"/>
    <w:rsid w:val="00436032"/>
    <w:rsid w:val="0043603E"/>
    <w:rsid w:val="00436179"/>
    <w:rsid w:val="004361BE"/>
    <w:rsid w:val="004361C5"/>
    <w:rsid w:val="00436328"/>
    <w:rsid w:val="004364FC"/>
    <w:rsid w:val="004365C4"/>
    <w:rsid w:val="0043665D"/>
    <w:rsid w:val="00436717"/>
    <w:rsid w:val="004367A6"/>
    <w:rsid w:val="004367CD"/>
    <w:rsid w:val="004367DA"/>
    <w:rsid w:val="00436930"/>
    <w:rsid w:val="004369E9"/>
    <w:rsid w:val="00436A85"/>
    <w:rsid w:val="00436C98"/>
    <w:rsid w:val="00436CC0"/>
    <w:rsid w:val="00436D55"/>
    <w:rsid w:val="00436DF9"/>
    <w:rsid w:val="00436E59"/>
    <w:rsid w:val="00436F40"/>
    <w:rsid w:val="00436FCE"/>
    <w:rsid w:val="0043701B"/>
    <w:rsid w:val="004370D7"/>
    <w:rsid w:val="004370EF"/>
    <w:rsid w:val="004371DC"/>
    <w:rsid w:val="004371DF"/>
    <w:rsid w:val="00437293"/>
    <w:rsid w:val="004372E4"/>
    <w:rsid w:val="0043730C"/>
    <w:rsid w:val="004373A7"/>
    <w:rsid w:val="00437485"/>
    <w:rsid w:val="004374D7"/>
    <w:rsid w:val="0043761A"/>
    <w:rsid w:val="0043772B"/>
    <w:rsid w:val="0043775C"/>
    <w:rsid w:val="004377EA"/>
    <w:rsid w:val="0043782B"/>
    <w:rsid w:val="00437919"/>
    <w:rsid w:val="00437941"/>
    <w:rsid w:val="00437A16"/>
    <w:rsid w:val="00437AD0"/>
    <w:rsid w:val="00437BD1"/>
    <w:rsid w:val="00437BEE"/>
    <w:rsid w:val="00437BFC"/>
    <w:rsid w:val="00437C41"/>
    <w:rsid w:val="00437CDC"/>
    <w:rsid w:val="00437CE4"/>
    <w:rsid w:val="00437D0F"/>
    <w:rsid w:val="00437D2D"/>
    <w:rsid w:val="00437E00"/>
    <w:rsid w:val="00437E16"/>
    <w:rsid w:val="00437EF8"/>
    <w:rsid w:val="00437F1C"/>
    <w:rsid w:val="00437F40"/>
    <w:rsid w:val="00437FD0"/>
    <w:rsid w:val="0044017D"/>
    <w:rsid w:val="004401DF"/>
    <w:rsid w:val="00440247"/>
    <w:rsid w:val="004402FB"/>
    <w:rsid w:val="004403D6"/>
    <w:rsid w:val="004403DD"/>
    <w:rsid w:val="0044040E"/>
    <w:rsid w:val="00440653"/>
    <w:rsid w:val="0044085C"/>
    <w:rsid w:val="004408AB"/>
    <w:rsid w:val="004408DF"/>
    <w:rsid w:val="00440900"/>
    <w:rsid w:val="0044093A"/>
    <w:rsid w:val="0044094C"/>
    <w:rsid w:val="00440BD2"/>
    <w:rsid w:val="00440CED"/>
    <w:rsid w:val="00440D95"/>
    <w:rsid w:val="00440DB6"/>
    <w:rsid w:val="00440E12"/>
    <w:rsid w:val="00440E39"/>
    <w:rsid w:val="00440E40"/>
    <w:rsid w:val="00441065"/>
    <w:rsid w:val="00441106"/>
    <w:rsid w:val="00441136"/>
    <w:rsid w:val="00441224"/>
    <w:rsid w:val="0044122D"/>
    <w:rsid w:val="0044128C"/>
    <w:rsid w:val="00441440"/>
    <w:rsid w:val="00441464"/>
    <w:rsid w:val="004414A3"/>
    <w:rsid w:val="004414D7"/>
    <w:rsid w:val="00441532"/>
    <w:rsid w:val="0044161A"/>
    <w:rsid w:val="00441697"/>
    <w:rsid w:val="0044176F"/>
    <w:rsid w:val="0044187D"/>
    <w:rsid w:val="004418B2"/>
    <w:rsid w:val="0044195E"/>
    <w:rsid w:val="004419A0"/>
    <w:rsid w:val="004419A5"/>
    <w:rsid w:val="00441ACA"/>
    <w:rsid w:val="00441ACC"/>
    <w:rsid w:val="00441B73"/>
    <w:rsid w:val="00441BAB"/>
    <w:rsid w:val="00441BCE"/>
    <w:rsid w:val="00441BDE"/>
    <w:rsid w:val="00441C17"/>
    <w:rsid w:val="00441C23"/>
    <w:rsid w:val="00441C8E"/>
    <w:rsid w:val="00441CE5"/>
    <w:rsid w:val="00441D98"/>
    <w:rsid w:val="00441DE2"/>
    <w:rsid w:val="00441E3C"/>
    <w:rsid w:val="00441F89"/>
    <w:rsid w:val="0044202A"/>
    <w:rsid w:val="004420B1"/>
    <w:rsid w:val="00442175"/>
    <w:rsid w:val="004421E0"/>
    <w:rsid w:val="00442223"/>
    <w:rsid w:val="0044223D"/>
    <w:rsid w:val="00442280"/>
    <w:rsid w:val="004423AA"/>
    <w:rsid w:val="004424AB"/>
    <w:rsid w:val="004424C1"/>
    <w:rsid w:val="004424D1"/>
    <w:rsid w:val="0044259F"/>
    <w:rsid w:val="004425B5"/>
    <w:rsid w:val="00442782"/>
    <w:rsid w:val="0044282A"/>
    <w:rsid w:val="004428DC"/>
    <w:rsid w:val="0044290A"/>
    <w:rsid w:val="00442A6B"/>
    <w:rsid w:val="00442B00"/>
    <w:rsid w:val="00442B29"/>
    <w:rsid w:val="00442BA4"/>
    <w:rsid w:val="00442C7D"/>
    <w:rsid w:val="00442D9D"/>
    <w:rsid w:val="00442EB4"/>
    <w:rsid w:val="00442F5F"/>
    <w:rsid w:val="00442FC3"/>
    <w:rsid w:val="00443043"/>
    <w:rsid w:val="00443055"/>
    <w:rsid w:val="0044306D"/>
    <w:rsid w:val="00443122"/>
    <w:rsid w:val="00443266"/>
    <w:rsid w:val="004432C0"/>
    <w:rsid w:val="004432E2"/>
    <w:rsid w:val="00443330"/>
    <w:rsid w:val="004433A1"/>
    <w:rsid w:val="00443412"/>
    <w:rsid w:val="00443446"/>
    <w:rsid w:val="0044344A"/>
    <w:rsid w:val="00443588"/>
    <w:rsid w:val="004436D1"/>
    <w:rsid w:val="00443795"/>
    <w:rsid w:val="0044387B"/>
    <w:rsid w:val="00443885"/>
    <w:rsid w:val="0044393E"/>
    <w:rsid w:val="00443A05"/>
    <w:rsid w:val="00443A53"/>
    <w:rsid w:val="00443AC7"/>
    <w:rsid w:val="00443ACA"/>
    <w:rsid w:val="00443B4E"/>
    <w:rsid w:val="00443C6E"/>
    <w:rsid w:val="00443DD0"/>
    <w:rsid w:val="00443DEE"/>
    <w:rsid w:val="00444025"/>
    <w:rsid w:val="004440EB"/>
    <w:rsid w:val="004440F6"/>
    <w:rsid w:val="00444268"/>
    <w:rsid w:val="004442C3"/>
    <w:rsid w:val="00444305"/>
    <w:rsid w:val="0044445D"/>
    <w:rsid w:val="004445B8"/>
    <w:rsid w:val="004445D9"/>
    <w:rsid w:val="0044464B"/>
    <w:rsid w:val="0044470B"/>
    <w:rsid w:val="00444732"/>
    <w:rsid w:val="00444739"/>
    <w:rsid w:val="0044494E"/>
    <w:rsid w:val="004449A5"/>
    <w:rsid w:val="00444AD5"/>
    <w:rsid w:val="00444C54"/>
    <w:rsid w:val="00444C71"/>
    <w:rsid w:val="00444E47"/>
    <w:rsid w:val="00444E8A"/>
    <w:rsid w:val="00444F20"/>
    <w:rsid w:val="004450CB"/>
    <w:rsid w:val="00445192"/>
    <w:rsid w:val="004451D6"/>
    <w:rsid w:val="004451FA"/>
    <w:rsid w:val="0044526F"/>
    <w:rsid w:val="00445303"/>
    <w:rsid w:val="0044532D"/>
    <w:rsid w:val="0044533D"/>
    <w:rsid w:val="00445486"/>
    <w:rsid w:val="00445506"/>
    <w:rsid w:val="004456A4"/>
    <w:rsid w:val="00445753"/>
    <w:rsid w:val="004457C3"/>
    <w:rsid w:val="0044584C"/>
    <w:rsid w:val="00445949"/>
    <w:rsid w:val="00445A6E"/>
    <w:rsid w:val="00445A77"/>
    <w:rsid w:val="00445AA6"/>
    <w:rsid w:val="00445C1A"/>
    <w:rsid w:val="00445D11"/>
    <w:rsid w:val="00445D19"/>
    <w:rsid w:val="00445D20"/>
    <w:rsid w:val="00445DAB"/>
    <w:rsid w:val="00445E10"/>
    <w:rsid w:val="00445F13"/>
    <w:rsid w:val="00445FEA"/>
    <w:rsid w:val="00445FF5"/>
    <w:rsid w:val="00446030"/>
    <w:rsid w:val="004461D7"/>
    <w:rsid w:val="00446372"/>
    <w:rsid w:val="004463A5"/>
    <w:rsid w:val="004464B1"/>
    <w:rsid w:val="004464DC"/>
    <w:rsid w:val="004465C5"/>
    <w:rsid w:val="004465DC"/>
    <w:rsid w:val="00446636"/>
    <w:rsid w:val="00446651"/>
    <w:rsid w:val="004466CF"/>
    <w:rsid w:val="00446717"/>
    <w:rsid w:val="00446841"/>
    <w:rsid w:val="004468DF"/>
    <w:rsid w:val="004469A6"/>
    <w:rsid w:val="004469D4"/>
    <w:rsid w:val="00446BED"/>
    <w:rsid w:val="00446C2D"/>
    <w:rsid w:val="00446C4F"/>
    <w:rsid w:val="00446C8C"/>
    <w:rsid w:val="00446D5A"/>
    <w:rsid w:val="00446EC9"/>
    <w:rsid w:val="00446F1A"/>
    <w:rsid w:val="00446F59"/>
    <w:rsid w:val="00446F8B"/>
    <w:rsid w:val="00446F94"/>
    <w:rsid w:val="00446FFB"/>
    <w:rsid w:val="00447057"/>
    <w:rsid w:val="00447189"/>
    <w:rsid w:val="00447246"/>
    <w:rsid w:val="00447346"/>
    <w:rsid w:val="0044739E"/>
    <w:rsid w:val="004473C2"/>
    <w:rsid w:val="004475D9"/>
    <w:rsid w:val="0044760B"/>
    <w:rsid w:val="004476EE"/>
    <w:rsid w:val="00447807"/>
    <w:rsid w:val="0044780C"/>
    <w:rsid w:val="00447841"/>
    <w:rsid w:val="00447851"/>
    <w:rsid w:val="00447862"/>
    <w:rsid w:val="00447929"/>
    <w:rsid w:val="00447956"/>
    <w:rsid w:val="00447A73"/>
    <w:rsid w:val="00447B16"/>
    <w:rsid w:val="00447B5B"/>
    <w:rsid w:val="00447CB5"/>
    <w:rsid w:val="00447CB8"/>
    <w:rsid w:val="00447CEB"/>
    <w:rsid w:val="00447CF0"/>
    <w:rsid w:val="00447D62"/>
    <w:rsid w:val="00447D76"/>
    <w:rsid w:val="00447D91"/>
    <w:rsid w:val="00447DB0"/>
    <w:rsid w:val="00447E5A"/>
    <w:rsid w:val="00447E79"/>
    <w:rsid w:val="00447EB1"/>
    <w:rsid w:val="00447EED"/>
    <w:rsid w:val="00447EF6"/>
    <w:rsid w:val="00447F2F"/>
    <w:rsid w:val="00447F47"/>
    <w:rsid w:val="0045004F"/>
    <w:rsid w:val="00450074"/>
    <w:rsid w:val="00450077"/>
    <w:rsid w:val="004500F6"/>
    <w:rsid w:val="00450107"/>
    <w:rsid w:val="0045011E"/>
    <w:rsid w:val="004501ED"/>
    <w:rsid w:val="00450363"/>
    <w:rsid w:val="00450387"/>
    <w:rsid w:val="00450476"/>
    <w:rsid w:val="00450496"/>
    <w:rsid w:val="0045052A"/>
    <w:rsid w:val="00450577"/>
    <w:rsid w:val="0045058D"/>
    <w:rsid w:val="004505C3"/>
    <w:rsid w:val="00450635"/>
    <w:rsid w:val="00450692"/>
    <w:rsid w:val="00450697"/>
    <w:rsid w:val="004506A5"/>
    <w:rsid w:val="004506C7"/>
    <w:rsid w:val="004506FD"/>
    <w:rsid w:val="0045079F"/>
    <w:rsid w:val="004507EA"/>
    <w:rsid w:val="00450821"/>
    <w:rsid w:val="004509C1"/>
    <w:rsid w:val="00450A95"/>
    <w:rsid w:val="00450AC4"/>
    <w:rsid w:val="00450B3A"/>
    <w:rsid w:val="00450B44"/>
    <w:rsid w:val="00450C0C"/>
    <w:rsid w:val="00450C42"/>
    <w:rsid w:val="00450C82"/>
    <w:rsid w:val="00450CA9"/>
    <w:rsid w:val="00450CC0"/>
    <w:rsid w:val="00450D16"/>
    <w:rsid w:val="00450D78"/>
    <w:rsid w:val="00450E69"/>
    <w:rsid w:val="00450E8E"/>
    <w:rsid w:val="00450EF4"/>
    <w:rsid w:val="00450F05"/>
    <w:rsid w:val="00450FA5"/>
    <w:rsid w:val="00450FA9"/>
    <w:rsid w:val="00450FCD"/>
    <w:rsid w:val="00451022"/>
    <w:rsid w:val="004510AE"/>
    <w:rsid w:val="004510B4"/>
    <w:rsid w:val="004511AC"/>
    <w:rsid w:val="00451303"/>
    <w:rsid w:val="00451377"/>
    <w:rsid w:val="004513D0"/>
    <w:rsid w:val="0045142B"/>
    <w:rsid w:val="00451505"/>
    <w:rsid w:val="0045155D"/>
    <w:rsid w:val="00451659"/>
    <w:rsid w:val="00451682"/>
    <w:rsid w:val="00451846"/>
    <w:rsid w:val="004518A2"/>
    <w:rsid w:val="004518D6"/>
    <w:rsid w:val="00451A85"/>
    <w:rsid w:val="00451A94"/>
    <w:rsid w:val="00451ADA"/>
    <w:rsid w:val="00451ADE"/>
    <w:rsid w:val="00451B84"/>
    <w:rsid w:val="00451B94"/>
    <w:rsid w:val="00451D29"/>
    <w:rsid w:val="00451D7E"/>
    <w:rsid w:val="00451D91"/>
    <w:rsid w:val="00451DED"/>
    <w:rsid w:val="00451E05"/>
    <w:rsid w:val="00451E47"/>
    <w:rsid w:val="00451E6B"/>
    <w:rsid w:val="00451EB9"/>
    <w:rsid w:val="00451F06"/>
    <w:rsid w:val="00451F69"/>
    <w:rsid w:val="00451FEF"/>
    <w:rsid w:val="00452020"/>
    <w:rsid w:val="00452223"/>
    <w:rsid w:val="0045223D"/>
    <w:rsid w:val="0045227A"/>
    <w:rsid w:val="0045267E"/>
    <w:rsid w:val="004526D6"/>
    <w:rsid w:val="004527B9"/>
    <w:rsid w:val="0045283F"/>
    <w:rsid w:val="0045284D"/>
    <w:rsid w:val="00452951"/>
    <w:rsid w:val="0045298B"/>
    <w:rsid w:val="004529F4"/>
    <w:rsid w:val="004529F9"/>
    <w:rsid w:val="00452A93"/>
    <w:rsid w:val="00452AB4"/>
    <w:rsid w:val="00452B5F"/>
    <w:rsid w:val="00452B9B"/>
    <w:rsid w:val="00452C9C"/>
    <w:rsid w:val="00452CDF"/>
    <w:rsid w:val="00452D89"/>
    <w:rsid w:val="00452E64"/>
    <w:rsid w:val="00452E6F"/>
    <w:rsid w:val="004531A1"/>
    <w:rsid w:val="004531EB"/>
    <w:rsid w:val="0045336C"/>
    <w:rsid w:val="004533CF"/>
    <w:rsid w:val="004533F1"/>
    <w:rsid w:val="00453510"/>
    <w:rsid w:val="0045364C"/>
    <w:rsid w:val="00453689"/>
    <w:rsid w:val="004536ED"/>
    <w:rsid w:val="00453721"/>
    <w:rsid w:val="004537C6"/>
    <w:rsid w:val="0045388E"/>
    <w:rsid w:val="0045393A"/>
    <w:rsid w:val="00453972"/>
    <w:rsid w:val="00453A1D"/>
    <w:rsid w:val="00453A3F"/>
    <w:rsid w:val="00453ADA"/>
    <w:rsid w:val="00453B29"/>
    <w:rsid w:val="00453B4E"/>
    <w:rsid w:val="00453C3B"/>
    <w:rsid w:val="00453C89"/>
    <w:rsid w:val="00453CB5"/>
    <w:rsid w:val="00453D0F"/>
    <w:rsid w:val="00453DAD"/>
    <w:rsid w:val="00453E21"/>
    <w:rsid w:val="00453EFA"/>
    <w:rsid w:val="00453EFD"/>
    <w:rsid w:val="00453F03"/>
    <w:rsid w:val="00453F1A"/>
    <w:rsid w:val="004540C8"/>
    <w:rsid w:val="004540F5"/>
    <w:rsid w:val="0045414E"/>
    <w:rsid w:val="004541E2"/>
    <w:rsid w:val="004541FC"/>
    <w:rsid w:val="0045434A"/>
    <w:rsid w:val="004543D3"/>
    <w:rsid w:val="00454420"/>
    <w:rsid w:val="004545E8"/>
    <w:rsid w:val="00454634"/>
    <w:rsid w:val="00454679"/>
    <w:rsid w:val="004546A2"/>
    <w:rsid w:val="004546E0"/>
    <w:rsid w:val="004546EA"/>
    <w:rsid w:val="0045477A"/>
    <w:rsid w:val="0045480B"/>
    <w:rsid w:val="0045482B"/>
    <w:rsid w:val="004548FE"/>
    <w:rsid w:val="00454A40"/>
    <w:rsid w:val="00454B4C"/>
    <w:rsid w:val="00454B9D"/>
    <w:rsid w:val="00454D28"/>
    <w:rsid w:val="00454EB5"/>
    <w:rsid w:val="00454F1C"/>
    <w:rsid w:val="00454FD8"/>
    <w:rsid w:val="004550B7"/>
    <w:rsid w:val="0045515C"/>
    <w:rsid w:val="0045523D"/>
    <w:rsid w:val="004552B1"/>
    <w:rsid w:val="004552D5"/>
    <w:rsid w:val="004553D9"/>
    <w:rsid w:val="00455501"/>
    <w:rsid w:val="0045553C"/>
    <w:rsid w:val="0045557A"/>
    <w:rsid w:val="004555CE"/>
    <w:rsid w:val="004556C0"/>
    <w:rsid w:val="004557C1"/>
    <w:rsid w:val="004559A2"/>
    <w:rsid w:val="004559B2"/>
    <w:rsid w:val="004559E5"/>
    <w:rsid w:val="00455A65"/>
    <w:rsid w:val="00455D82"/>
    <w:rsid w:val="00455DE5"/>
    <w:rsid w:val="00455E0B"/>
    <w:rsid w:val="00455E1D"/>
    <w:rsid w:val="00456034"/>
    <w:rsid w:val="00456174"/>
    <w:rsid w:val="00456294"/>
    <w:rsid w:val="00456357"/>
    <w:rsid w:val="0045641F"/>
    <w:rsid w:val="00456450"/>
    <w:rsid w:val="0045648D"/>
    <w:rsid w:val="0045652D"/>
    <w:rsid w:val="004565C7"/>
    <w:rsid w:val="004566C3"/>
    <w:rsid w:val="00456718"/>
    <w:rsid w:val="0045674A"/>
    <w:rsid w:val="00456793"/>
    <w:rsid w:val="004567AE"/>
    <w:rsid w:val="004567D2"/>
    <w:rsid w:val="004567E9"/>
    <w:rsid w:val="00456803"/>
    <w:rsid w:val="00456894"/>
    <w:rsid w:val="00456A5C"/>
    <w:rsid w:val="00456B1B"/>
    <w:rsid w:val="00456C2B"/>
    <w:rsid w:val="00456C95"/>
    <w:rsid w:val="00456CE6"/>
    <w:rsid w:val="00456CFB"/>
    <w:rsid w:val="00456D12"/>
    <w:rsid w:val="00456E69"/>
    <w:rsid w:val="00456FD7"/>
    <w:rsid w:val="00456FDA"/>
    <w:rsid w:val="00456FFD"/>
    <w:rsid w:val="00457019"/>
    <w:rsid w:val="0045701E"/>
    <w:rsid w:val="004570EA"/>
    <w:rsid w:val="00457170"/>
    <w:rsid w:val="0045732C"/>
    <w:rsid w:val="0045735B"/>
    <w:rsid w:val="0045740F"/>
    <w:rsid w:val="00457435"/>
    <w:rsid w:val="00457443"/>
    <w:rsid w:val="004574A6"/>
    <w:rsid w:val="0045752B"/>
    <w:rsid w:val="0045755A"/>
    <w:rsid w:val="004575FA"/>
    <w:rsid w:val="0045763E"/>
    <w:rsid w:val="004576B1"/>
    <w:rsid w:val="00457723"/>
    <w:rsid w:val="00457759"/>
    <w:rsid w:val="0045777A"/>
    <w:rsid w:val="00457837"/>
    <w:rsid w:val="00457A23"/>
    <w:rsid w:val="00457B11"/>
    <w:rsid w:val="00457BD3"/>
    <w:rsid w:val="00457C07"/>
    <w:rsid w:val="00457CC3"/>
    <w:rsid w:val="00457E76"/>
    <w:rsid w:val="00457F2F"/>
    <w:rsid w:val="00457FDB"/>
    <w:rsid w:val="00457FF1"/>
    <w:rsid w:val="004600DC"/>
    <w:rsid w:val="0046016A"/>
    <w:rsid w:val="0046019E"/>
    <w:rsid w:val="004601B3"/>
    <w:rsid w:val="004601C0"/>
    <w:rsid w:val="00460287"/>
    <w:rsid w:val="00460322"/>
    <w:rsid w:val="00460330"/>
    <w:rsid w:val="0046036E"/>
    <w:rsid w:val="00460417"/>
    <w:rsid w:val="004604E4"/>
    <w:rsid w:val="004605E6"/>
    <w:rsid w:val="004605F6"/>
    <w:rsid w:val="004606DB"/>
    <w:rsid w:val="00460772"/>
    <w:rsid w:val="00460870"/>
    <w:rsid w:val="00460875"/>
    <w:rsid w:val="004608E3"/>
    <w:rsid w:val="00460916"/>
    <w:rsid w:val="00460917"/>
    <w:rsid w:val="00460A13"/>
    <w:rsid w:val="00460AB9"/>
    <w:rsid w:val="00460BCD"/>
    <w:rsid w:val="00460C44"/>
    <w:rsid w:val="00460C9E"/>
    <w:rsid w:val="00460CCC"/>
    <w:rsid w:val="00460D7C"/>
    <w:rsid w:val="00460DB1"/>
    <w:rsid w:val="00460DF5"/>
    <w:rsid w:val="00460E61"/>
    <w:rsid w:val="00460F7B"/>
    <w:rsid w:val="00461257"/>
    <w:rsid w:val="00461309"/>
    <w:rsid w:val="00461329"/>
    <w:rsid w:val="0046134B"/>
    <w:rsid w:val="004613A5"/>
    <w:rsid w:val="004613CF"/>
    <w:rsid w:val="004614F7"/>
    <w:rsid w:val="00461524"/>
    <w:rsid w:val="0046158D"/>
    <w:rsid w:val="0046158E"/>
    <w:rsid w:val="004615FF"/>
    <w:rsid w:val="00461612"/>
    <w:rsid w:val="004616A1"/>
    <w:rsid w:val="00461782"/>
    <w:rsid w:val="00461939"/>
    <w:rsid w:val="0046197D"/>
    <w:rsid w:val="004619FE"/>
    <w:rsid w:val="00461A54"/>
    <w:rsid w:val="00461AA6"/>
    <w:rsid w:val="00461AD9"/>
    <w:rsid w:val="00461AED"/>
    <w:rsid w:val="00461BA8"/>
    <w:rsid w:val="00461CF2"/>
    <w:rsid w:val="00461D05"/>
    <w:rsid w:val="00461E73"/>
    <w:rsid w:val="00462015"/>
    <w:rsid w:val="00462059"/>
    <w:rsid w:val="004620B1"/>
    <w:rsid w:val="004620B8"/>
    <w:rsid w:val="004621C9"/>
    <w:rsid w:val="00462256"/>
    <w:rsid w:val="004622C3"/>
    <w:rsid w:val="00462310"/>
    <w:rsid w:val="00462350"/>
    <w:rsid w:val="00462354"/>
    <w:rsid w:val="004623DD"/>
    <w:rsid w:val="00462531"/>
    <w:rsid w:val="00462541"/>
    <w:rsid w:val="00462569"/>
    <w:rsid w:val="00462599"/>
    <w:rsid w:val="004625A3"/>
    <w:rsid w:val="004625AD"/>
    <w:rsid w:val="0046261F"/>
    <w:rsid w:val="00462718"/>
    <w:rsid w:val="00462719"/>
    <w:rsid w:val="0046278E"/>
    <w:rsid w:val="004627CC"/>
    <w:rsid w:val="0046290C"/>
    <w:rsid w:val="00462914"/>
    <w:rsid w:val="0046299C"/>
    <w:rsid w:val="00462AD9"/>
    <w:rsid w:val="00462BE9"/>
    <w:rsid w:val="00462C2F"/>
    <w:rsid w:val="00462CCF"/>
    <w:rsid w:val="00462CFB"/>
    <w:rsid w:val="00462D3A"/>
    <w:rsid w:val="00462DA7"/>
    <w:rsid w:val="00462DAB"/>
    <w:rsid w:val="00462E1F"/>
    <w:rsid w:val="00462E42"/>
    <w:rsid w:val="00462E64"/>
    <w:rsid w:val="00462F21"/>
    <w:rsid w:val="00462FDA"/>
    <w:rsid w:val="00463104"/>
    <w:rsid w:val="004632B0"/>
    <w:rsid w:val="00463326"/>
    <w:rsid w:val="004633FD"/>
    <w:rsid w:val="0046344E"/>
    <w:rsid w:val="0046349D"/>
    <w:rsid w:val="0046358E"/>
    <w:rsid w:val="004635A0"/>
    <w:rsid w:val="004635B9"/>
    <w:rsid w:val="00463615"/>
    <w:rsid w:val="00463637"/>
    <w:rsid w:val="004636F5"/>
    <w:rsid w:val="0046388C"/>
    <w:rsid w:val="00463987"/>
    <w:rsid w:val="004639DB"/>
    <w:rsid w:val="00463A40"/>
    <w:rsid w:val="00463A4F"/>
    <w:rsid w:val="00463A8F"/>
    <w:rsid w:val="00463C27"/>
    <w:rsid w:val="0046406D"/>
    <w:rsid w:val="00464079"/>
    <w:rsid w:val="0046412A"/>
    <w:rsid w:val="0046415C"/>
    <w:rsid w:val="00464275"/>
    <w:rsid w:val="004643EC"/>
    <w:rsid w:val="004643F9"/>
    <w:rsid w:val="00464467"/>
    <w:rsid w:val="004644CF"/>
    <w:rsid w:val="0046474A"/>
    <w:rsid w:val="0046474C"/>
    <w:rsid w:val="0046492A"/>
    <w:rsid w:val="00464A84"/>
    <w:rsid w:val="00464AC7"/>
    <w:rsid w:val="00464ADC"/>
    <w:rsid w:val="00464C79"/>
    <w:rsid w:val="00464D2B"/>
    <w:rsid w:val="00464E3D"/>
    <w:rsid w:val="00464EE4"/>
    <w:rsid w:val="00464EF9"/>
    <w:rsid w:val="00464F3F"/>
    <w:rsid w:val="00464F42"/>
    <w:rsid w:val="00464F95"/>
    <w:rsid w:val="00464FE2"/>
    <w:rsid w:val="00464FEC"/>
    <w:rsid w:val="0046502B"/>
    <w:rsid w:val="004650CF"/>
    <w:rsid w:val="004651A1"/>
    <w:rsid w:val="004651DD"/>
    <w:rsid w:val="004652AD"/>
    <w:rsid w:val="004652C8"/>
    <w:rsid w:val="00465476"/>
    <w:rsid w:val="0046549E"/>
    <w:rsid w:val="004654CF"/>
    <w:rsid w:val="004655E1"/>
    <w:rsid w:val="00465738"/>
    <w:rsid w:val="00465760"/>
    <w:rsid w:val="00465774"/>
    <w:rsid w:val="0046580D"/>
    <w:rsid w:val="004658FC"/>
    <w:rsid w:val="00465901"/>
    <w:rsid w:val="00465928"/>
    <w:rsid w:val="0046594E"/>
    <w:rsid w:val="00465950"/>
    <w:rsid w:val="00465BD9"/>
    <w:rsid w:val="00465C84"/>
    <w:rsid w:val="00465CEB"/>
    <w:rsid w:val="00465D85"/>
    <w:rsid w:val="00465E20"/>
    <w:rsid w:val="00465E28"/>
    <w:rsid w:val="00465E3A"/>
    <w:rsid w:val="00465E6A"/>
    <w:rsid w:val="00466122"/>
    <w:rsid w:val="00466277"/>
    <w:rsid w:val="00466289"/>
    <w:rsid w:val="004662D1"/>
    <w:rsid w:val="004662E5"/>
    <w:rsid w:val="00466387"/>
    <w:rsid w:val="004663E2"/>
    <w:rsid w:val="00466460"/>
    <w:rsid w:val="004664B7"/>
    <w:rsid w:val="004664F5"/>
    <w:rsid w:val="004665CC"/>
    <w:rsid w:val="00466616"/>
    <w:rsid w:val="0046661C"/>
    <w:rsid w:val="004666A6"/>
    <w:rsid w:val="00466786"/>
    <w:rsid w:val="004667E8"/>
    <w:rsid w:val="00466812"/>
    <w:rsid w:val="0046683C"/>
    <w:rsid w:val="0046688D"/>
    <w:rsid w:val="004669A1"/>
    <w:rsid w:val="00466A0E"/>
    <w:rsid w:val="00466A13"/>
    <w:rsid w:val="00466A2A"/>
    <w:rsid w:val="00466BA1"/>
    <w:rsid w:val="00466BF8"/>
    <w:rsid w:val="00466CAE"/>
    <w:rsid w:val="00466D09"/>
    <w:rsid w:val="00466D36"/>
    <w:rsid w:val="00466D6D"/>
    <w:rsid w:val="00466D8C"/>
    <w:rsid w:val="00466DE1"/>
    <w:rsid w:val="004671C6"/>
    <w:rsid w:val="004673B8"/>
    <w:rsid w:val="004673ED"/>
    <w:rsid w:val="00467413"/>
    <w:rsid w:val="00467432"/>
    <w:rsid w:val="004674D5"/>
    <w:rsid w:val="00467517"/>
    <w:rsid w:val="00467786"/>
    <w:rsid w:val="00467796"/>
    <w:rsid w:val="004677D5"/>
    <w:rsid w:val="0046788F"/>
    <w:rsid w:val="00467960"/>
    <w:rsid w:val="00467A4F"/>
    <w:rsid w:val="00467AD5"/>
    <w:rsid w:val="00467B5C"/>
    <w:rsid w:val="00467B7D"/>
    <w:rsid w:val="00467C5F"/>
    <w:rsid w:val="00467C65"/>
    <w:rsid w:val="00467E04"/>
    <w:rsid w:val="00467E98"/>
    <w:rsid w:val="00467E99"/>
    <w:rsid w:val="00467F49"/>
    <w:rsid w:val="00467F8C"/>
    <w:rsid w:val="0047019E"/>
    <w:rsid w:val="00470207"/>
    <w:rsid w:val="00470235"/>
    <w:rsid w:val="004702E8"/>
    <w:rsid w:val="00470362"/>
    <w:rsid w:val="004703F8"/>
    <w:rsid w:val="00470435"/>
    <w:rsid w:val="00470442"/>
    <w:rsid w:val="00470584"/>
    <w:rsid w:val="00470587"/>
    <w:rsid w:val="004705CE"/>
    <w:rsid w:val="00470705"/>
    <w:rsid w:val="0047074C"/>
    <w:rsid w:val="0047076B"/>
    <w:rsid w:val="004707C5"/>
    <w:rsid w:val="0047081F"/>
    <w:rsid w:val="00470822"/>
    <w:rsid w:val="0047089B"/>
    <w:rsid w:val="004709EB"/>
    <w:rsid w:val="00470A1E"/>
    <w:rsid w:val="00470A37"/>
    <w:rsid w:val="00470A8F"/>
    <w:rsid w:val="00470B27"/>
    <w:rsid w:val="00470B6F"/>
    <w:rsid w:val="00470B9D"/>
    <w:rsid w:val="00470DB6"/>
    <w:rsid w:val="00470DCF"/>
    <w:rsid w:val="00470E00"/>
    <w:rsid w:val="00470E9D"/>
    <w:rsid w:val="00470F76"/>
    <w:rsid w:val="00470F7A"/>
    <w:rsid w:val="00470F95"/>
    <w:rsid w:val="0047100C"/>
    <w:rsid w:val="00471017"/>
    <w:rsid w:val="004710C7"/>
    <w:rsid w:val="0047113F"/>
    <w:rsid w:val="00471191"/>
    <w:rsid w:val="0047121E"/>
    <w:rsid w:val="00471231"/>
    <w:rsid w:val="004712E5"/>
    <w:rsid w:val="00471356"/>
    <w:rsid w:val="004713A0"/>
    <w:rsid w:val="004713CD"/>
    <w:rsid w:val="00471401"/>
    <w:rsid w:val="00471419"/>
    <w:rsid w:val="0047144D"/>
    <w:rsid w:val="00471458"/>
    <w:rsid w:val="004714A7"/>
    <w:rsid w:val="004715EC"/>
    <w:rsid w:val="004716BA"/>
    <w:rsid w:val="00471708"/>
    <w:rsid w:val="0047185E"/>
    <w:rsid w:val="004718D1"/>
    <w:rsid w:val="0047196B"/>
    <w:rsid w:val="00471972"/>
    <w:rsid w:val="004719D0"/>
    <w:rsid w:val="004719EA"/>
    <w:rsid w:val="004719F4"/>
    <w:rsid w:val="00471A5A"/>
    <w:rsid w:val="00471A64"/>
    <w:rsid w:val="00471B28"/>
    <w:rsid w:val="00471B45"/>
    <w:rsid w:val="00471BF6"/>
    <w:rsid w:val="00471C1D"/>
    <w:rsid w:val="00471CC6"/>
    <w:rsid w:val="00471DC2"/>
    <w:rsid w:val="00471DF7"/>
    <w:rsid w:val="00471E32"/>
    <w:rsid w:val="00471E55"/>
    <w:rsid w:val="00471E9F"/>
    <w:rsid w:val="00471FFD"/>
    <w:rsid w:val="0047204F"/>
    <w:rsid w:val="00472084"/>
    <w:rsid w:val="004720AE"/>
    <w:rsid w:val="004720E6"/>
    <w:rsid w:val="00472181"/>
    <w:rsid w:val="004722C9"/>
    <w:rsid w:val="004722CA"/>
    <w:rsid w:val="0047240B"/>
    <w:rsid w:val="00472467"/>
    <w:rsid w:val="004724B4"/>
    <w:rsid w:val="004725BE"/>
    <w:rsid w:val="0047262A"/>
    <w:rsid w:val="0047270E"/>
    <w:rsid w:val="004727A6"/>
    <w:rsid w:val="00472818"/>
    <w:rsid w:val="004728D8"/>
    <w:rsid w:val="00472934"/>
    <w:rsid w:val="00472A45"/>
    <w:rsid w:val="00472A56"/>
    <w:rsid w:val="00472A5C"/>
    <w:rsid w:val="00472A9B"/>
    <w:rsid w:val="00472B18"/>
    <w:rsid w:val="00472C0F"/>
    <w:rsid w:val="00472CEF"/>
    <w:rsid w:val="00472E18"/>
    <w:rsid w:val="00472EAD"/>
    <w:rsid w:val="00472EB2"/>
    <w:rsid w:val="00472F2A"/>
    <w:rsid w:val="00472F62"/>
    <w:rsid w:val="00472FED"/>
    <w:rsid w:val="00473095"/>
    <w:rsid w:val="0047309F"/>
    <w:rsid w:val="00473196"/>
    <w:rsid w:val="00473230"/>
    <w:rsid w:val="004732CF"/>
    <w:rsid w:val="0047339D"/>
    <w:rsid w:val="00473433"/>
    <w:rsid w:val="00473435"/>
    <w:rsid w:val="00473520"/>
    <w:rsid w:val="00473538"/>
    <w:rsid w:val="00473610"/>
    <w:rsid w:val="00473617"/>
    <w:rsid w:val="004736F4"/>
    <w:rsid w:val="004736FC"/>
    <w:rsid w:val="00473763"/>
    <w:rsid w:val="0047377B"/>
    <w:rsid w:val="00473994"/>
    <w:rsid w:val="004739A1"/>
    <w:rsid w:val="00473A43"/>
    <w:rsid w:val="00473B08"/>
    <w:rsid w:val="00473B26"/>
    <w:rsid w:val="00473B4F"/>
    <w:rsid w:val="00473CF5"/>
    <w:rsid w:val="00473D32"/>
    <w:rsid w:val="00473D93"/>
    <w:rsid w:val="00473E79"/>
    <w:rsid w:val="00473F3E"/>
    <w:rsid w:val="00473F59"/>
    <w:rsid w:val="0047409B"/>
    <w:rsid w:val="004740A8"/>
    <w:rsid w:val="004740BD"/>
    <w:rsid w:val="00474123"/>
    <w:rsid w:val="00474128"/>
    <w:rsid w:val="0047418F"/>
    <w:rsid w:val="004741A1"/>
    <w:rsid w:val="004741D5"/>
    <w:rsid w:val="0047422D"/>
    <w:rsid w:val="004742BC"/>
    <w:rsid w:val="00474322"/>
    <w:rsid w:val="004743D7"/>
    <w:rsid w:val="0047444E"/>
    <w:rsid w:val="00474481"/>
    <w:rsid w:val="004744E8"/>
    <w:rsid w:val="00474505"/>
    <w:rsid w:val="0047457B"/>
    <w:rsid w:val="0047465E"/>
    <w:rsid w:val="00474686"/>
    <w:rsid w:val="00474799"/>
    <w:rsid w:val="004748B5"/>
    <w:rsid w:val="004748B7"/>
    <w:rsid w:val="00474A61"/>
    <w:rsid w:val="00474A91"/>
    <w:rsid w:val="00474AD4"/>
    <w:rsid w:val="00474AED"/>
    <w:rsid w:val="00474C25"/>
    <w:rsid w:val="004750E7"/>
    <w:rsid w:val="00475126"/>
    <w:rsid w:val="00475262"/>
    <w:rsid w:val="00475291"/>
    <w:rsid w:val="0047550E"/>
    <w:rsid w:val="0047554F"/>
    <w:rsid w:val="004755CE"/>
    <w:rsid w:val="004756DD"/>
    <w:rsid w:val="0047570A"/>
    <w:rsid w:val="00475793"/>
    <w:rsid w:val="004757F8"/>
    <w:rsid w:val="00475853"/>
    <w:rsid w:val="004758DD"/>
    <w:rsid w:val="00475988"/>
    <w:rsid w:val="00475996"/>
    <w:rsid w:val="004759AA"/>
    <w:rsid w:val="00475A1E"/>
    <w:rsid w:val="00475A6E"/>
    <w:rsid w:val="00475AA3"/>
    <w:rsid w:val="00475AE1"/>
    <w:rsid w:val="00475AF4"/>
    <w:rsid w:val="00475B15"/>
    <w:rsid w:val="00475BBA"/>
    <w:rsid w:val="00475BEA"/>
    <w:rsid w:val="00475BFF"/>
    <w:rsid w:val="00475C06"/>
    <w:rsid w:val="00475CA4"/>
    <w:rsid w:val="00475D20"/>
    <w:rsid w:val="00475DA4"/>
    <w:rsid w:val="00475E9E"/>
    <w:rsid w:val="00475EA7"/>
    <w:rsid w:val="00475F43"/>
    <w:rsid w:val="00475F6E"/>
    <w:rsid w:val="004761A7"/>
    <w:rsid w:val="004761DC"/>
    <w:rsid w:val="004761E6"/>
    <w:rsid w:val="00476247"/>
    <w:rsid w:val="00476333"/>
    <w:rsid w:val="00476381"/>
    <w:rsid w:val="004764D4"/>
    <w:rsid w:val="0047659F"/>
    <w:rsid w:val="0047674F"/>
    <w:rsid w:val="004768D3"/>
    <w:rsid w:val="00476916"/>
    <w:rsid w:val="00476985"/>
    <w:rsid w:val="004769A3"/>
    <w:rsid w:val="00476A03"/>
    <w:rsid w:val="00476A62"/>
    <w:rsid w:val="00476B4A"/>
    <w:rsid w:val="00476B61"/>
    <w:rsid w:val="00476B9C"/>
    <w:rsid w:val="00476BB1"/>
    <w:rsid w:val="00476C4E"/>
    <w:rsid w:val="00476CA9"/>
    <w:rsid w:val="00476D33"/>
    <w:rsid w:val="00476DC5"/>
    <w:rsid w:val="00476DC9"/>
    <w:rsid w:val="00476E9A"/>
    <w:rsid w:val="00476EA7"/>
    <w:rsid w:val="00476FAB"/>
    <w:rsid w:val="00477009"/>
    <w:rsid w:val="0047702D"/>
    <w:rsid w:val="0047703A"/>
    <w:rsid w:val="004771D5"/>
    <w:rsid w:val="00477239"/>
    <w:rsid w:val="0047737F"/>
    <w:rsid w:val="004773CE"/>
    <w:rsid w:val="0047746E"/>
    <w:rsid w:val="004774B8"/>
    <w:rsid w:val="004774BE"/>
    <w:rsid w:val="004774D5"/>
    <w:rsid w:val="004775A5"/>
    <w:rsid w:val="004775D2"/>
    <w:rsid w:val="00477674"/>
    <w:rsid w:val="004776B3"/>
    <w:rsid w:val="004776B9"/>
    <w:rsid w:val="0047778B"/>
    <w:rsid w:val="004777DE"/>
    <w:rsid w:val="00477853"/>
    <w:rsid w:val="00477912"/>
    <w:rsid w:val="0047794A"/>
    <w:rsid w:val="00477954"/>
    <w:rsid w:val="00477970"/>
    <w:rsid w:val="00477972"/>
    <w:rsid w:val="00477A07"/>
    <w:rsid w:val="00477AD4"/>
    <w:rsid w:val="00477BC5"/>
    <w:rsid w:val="00477CA4"/>
    <w:rsid w:val="00477CED"/>
    <w:rsid w:val="00477D99"/>
    <w:rsid w:val="00477F26"/>
    <w:rsid w:val="00477F58"/>
    <w:rsid w:val="00477F61"/>
    <w:rsid w:val="00477FBE"/>
    <w:rsid w:val="0048006B"/>
    <w:rsid w:val="004801C5"/>
    <w:rsid w:val="00480201"/>
    <w:rsid w:val="004802BC"/>
    <w:rsid w:val="0048034C"/>
    <w:rsid w:val="00480381"/>
    <w:rsid w:val="004803FA"/>
    <w:rsid w:val="0048057A"/>
    <w:rsid w:val="0048063F"/>
    <w:rsid w:val="004806DA"/>
    <w:rsid w:val="004808FA"/>
    <w:rsid w:val="00480923"/>
    <w:rsid w:val="00480989"/>
    <w:rsid w:val="004809D0"/>
    <w:rsid w:val="00480A44"/>
    <w:rsid w:val="00480B54"/>
    <w:rsid w:val="00480C03"/>
    <w:rsid w:val="00480ECF"/>
    <w:rsid w:val="00480F7F"/>
    <w:rsid w:val="00480F8D"/>
    <w:rsid w:val="00481046"/>
    <w:rsid w:val="00481085"/>
    <w:rsid w:val="004812C0"/>
    <w:rsid w:val="004812C7"/>
    <w:rsid w:val="0048138A"/>
    <w:rsid w:val="00481446"/>
    <w:rsid w:val="0048149C"/>
    <w:rsid w:val="004814BE"/>
    <w:rsid w:val="004814C5"/>
    <w:rsid w:val="004814F1"/>
    <w:rsid w:val="0048157F"/>
    <w:rsid w:val="004816E7"/>
    <w:rsid w:val="00481820"/>
    <w:rsid w:val="0048199B"/>
    <w:rsid w:val="004819CA"/>
    <w:rsid w:val="00481BCE"/>
    <w:rsid w:val="00481C39"/>
    <w:rsid w:val="00481C49"/>
    <w:rsid w:val="00481CD9"/>
    <w:rsid w:val="00481DD2"/>
    <w:rsid w:val="00481DEA"/>
    <w:rsid w:val="00481E38"/>
    <w:rsid w:val="00481FA0"/>
    <w:rsid w:val="0048204C"/>
    <w:rsid w:val="004820AD"/>
    <w:rsid w:val="0048217A"/>
    <w:rsid w:val="004821F8"/>
    <w:rsid w:val="0048221E"/>
    <w:rsid w:val="00482274"/>
    <w:rsid w:val="00482332"/>
    <w:rsid w:val="0048254F"/>
    <w:rsid w:val="00482565"/>
    <w:rsid w:val="0048256E"/>
    <w:rsid w:val="004825E9"/>
    <w:rsid w:val="00482612"/>
    <w:rsid w:val="00482645"/>
    <w:rsid w:val="004826BB"/>
    <w:rsid w:val="004826D4"/>
    <w:rsid w:val="0048283A"/>
    <w:rsid w:val="0048285E"/>
    <w:rsid w:val="004829C3"/>
    <w:rsid w:val="004829EC"/>
    <w:rsid w:val="00482B33"/>
    <w:rsid w:val="00482B4B"/>
    <w:rsid w:val="00482C36"/>
    <w:rsid w:val="00482CEC"/>
    <w:rsid w:val="00482E27"/>
    <w:rsid w:val="00482EA7"/>
    <w:rsid w:val="00482F9D"/>
    <w:rsid w:val="00482FD2"/>
    <w:rsid w:val="00483053"/>
    <w:rsid w:val="00483136"/>
    <w:rsid w:val="0048314A"/>
    <w:rsid w:val="00483294"/>
    <w:rsid w:val="004832C8"/>
    <w:rsid w:val="004832F1"/>
    <w:rsid w:val="0048332D"/>
    <w:rsid w:val="00483447"/>
    <w:rsid w:val="004834F0"/>
    <w:rsid w:val="0048353C"/>
    <w:rsid w:val="0048356B"/>
    <w:rsid w:val="004835C1"/>
    <w:rsid w:val="0048360B"/>
    <w:rsid w:val="00483668"/>
    <w:rsid w:val="0048366B"/>
    <w:rsid w:val="004836D6"/>
    <w:rsid w:val="0048376D"/>
    <w:rsid w:val="004837A7"/>
    <w:rsid w:val="004837FA"/>
    <w:rsid w:val="00483837"/>
    <w:rsid w:val="0048383A"/>
    <w:rsid w:val="0048384A"/>
    <w:rsid w:val="004838CF"/>
    <w:rsid w:val="0048399D"/>
    <w:rsid w:val="004839A7"/>
    <w:rsid w:val="00483ABC"/>
    <w:rsid w:val="00483ACB"/>
    <w:rsid w:val="00483AD8"/>
    <w:rsid w:val="00483B70"/>
    <w:rsid w:val="00483BC0"/>
    <w:rsid w:val="00483D4C"/>
    <w:rsid w:val="00483D6A"/>
    <w:rsid w:val="00483DDC"/>
    <w:rsid w:val="00483E17"/>
    <w:rsid w:val="00483F6E"/>
    <w:rsid w:val="00483F9E"/>
    <w:rsid w:val="00484002"/>
    <w:rsid w:val="00484009"/>
    <w:rsid w:val="00484018"/>
    <w:rsid w:val="004840CB"/>
    <w:rsid w:val="004840D1"/>
    <w:rsid w:val="0048419E"/>
    <w:rsid w:val="00484228"/>
    <w:rsid w:val="004842A5"/>
    <w:rsid w:val="004842C9"/>
    <w:rsid w:val="004842CB"/>
    <w:rsid w:val="0048433C"/>
    <w:rsid w:val="004843E2"/>
    <w:rsid w:val="00484458"/>
    <w:rsid w:val="00484476"/>
    <w:rsid w:val="00484534"/>
    <w:rsid w:val="004845F0"/>
    <w:rsid w:val="004846FF"/>
    <w:rsid w:val="00484766"/>
    <w:rsid w:val="0048477B"/>
    <w:rsid w:val="004847DA"/>
    <w:rsid w:val="00484818"/>
    <w:rsid w:val="0048497B"/>
    <w:rsid w:val="004849A5"/>
    <w:rsid w:val="00484A11"/>
    <w:rsid w:val="00484ADD"/>
    <w:rsid w:val="00484AEA"/>
    <w:rsid w:val="00484B2B"/>
    <w:rsid w:val="00484B62"/>
    <w:rsid w:val="00484B9F"/>
    <w:rsid w:val="00484C9B"/>
    <w:rsid w:val="00484D2F"/>
    <w:rsid w:val="00484D3A"/>
    <w:rsid w:val="00484DB1"/>
    <w:rsid w:val="00484DC9"/>
    <w:rsid w:val="00484DE9"/>
    <w:rsid w:val="00485158"/>
    <w:rsid w:val="00485218"/>
    <w:rsid w:val="0048523F"/>
    <w:rsid w:val="0048527A"/>
    <w:rsid w:val="00485312"/>
    <w:rsid w:val="00485330"/>
    <w:rsid w:val="00485336"/>
    <w:rsid w:val="0048538F"/>
    <w:rsid w:val="00485422"/>
    <w:rsid w:val="0048543D"/>
    <w:rsid w:val="00485446"/>
    <w:rsid w:val="004854DB"/>
    <w:rsid w:val="0048551B"/>
    <w:rsid w:val="00485559"/>
    <w:rsid w:val="00485589"/>
    <w:rsid w:val="004855A8"/>
    <w:rsid w:val="004855C0"/>
    <w:rsid w:val="0048563C"/>
    <w:rsid w:val="004856B9"/>
    <w:rsid w:val="0048598F"/>
    <w:rsid w:val="00485AD1"/>
    <w:rsid w:val="00485B01"/>
    <w:rsid w:val="00485B74"/>
    <w:rsid w:val="00485B87"/>
    <w:rsid w:val="00485C23"/>
    <w:rsid w:val="00485C52"/>
    <w:rsid w:val="00485C6B"/>
    <w:rsid w:val="00485CB3"/>
    <w:rsid w:val="00485CCB"/>
    <w:rsid w:val="00485CDC"/>
    <w:rsid w:val="00485CF3"/>
    <w:rsid w:val="00485D4F"/>
    <w:rsid w:val="00485DE6"/>
    <w:rsid w:val="00485E0E"/>
    <w:rsid w:val="00485E93"/>
    <w:rsid w:val="00485EDF"/>
    <w:rsid w:val="00485F1C"/>
    <w:rsid w:val="00485F3A"/>
    <w:rsid w:val="00485F47"/>
    <w:rsid w:val="00486057"/>
    <w:rsid w:val="0048616F"/>
    <w:rsid w:val="004861C1"/>
    <w:rsid w:val="00486234"/>
    <w:rsid w:val="00486416"/>
    <w:rsid w:val="0048653D"/>
    <w:rsid w:val="004865EE"/>
    <w:rsid w:val="0048668B"/>
    <w:rsid w:val="0048669F"/>
    <w:rsid w:val="00486788"/>
    <w:rsid w:val="0048696F"/>
    <w:rsid w:val="004869A3"/>
    <w:rsid w:val="00486B97"/>
    <w:rsid w:val="00486C7B"/>
    <w:rsid w:val="00486CCD"/>
    <w:rsid w:val="00486D4E"/>
    <w:rsid w:val="00486D73"/>
    <w:rsid w:val="00486E13"/>
    <w:rsid w:val="00486E69"/>
    <w:rsid w:val="00486EEA"/>
    <w:rsid w:val="00487062"/>
    <w:rsid w:val="004870FC"/>
    <w:rsid w:val="0048718C"/>
    <w:rsid w:val="00487193"/>
    <w:rsid w:val="004871C8"/>
    <w:rsid w:val="00487246"/>
    <w:rsid w:val="00487253"/>
    <w:rsid w:val="004872A0"/>
    <w:rsid w:val="00487355"/>
    <w:rsid w:val="00487412"/>
    <w:rsid w:val="0048744C"/>
    <w:rsid w:val="00487580"/>
    <w:rsid w:val="00487617"/>
    <w:rsid w:val="00487773"/>
    <w:rsid w:val="004879B5"/>
    <w:rsid w:val="004879D4"/>
    <w:rsid w:val="00487ABE"/>
    <w:rsid w:val="00487B49"/>
    <w:rsid w:val="00487BE0"/>
    <w:rsid w:val="00487C35"/>
    <w:rsid w:val="00487C6F"/>
    <w:rsid w:val="00487C74"/>
    <w:rsid w:val="00487C7D"/>
    <w:rsid w:val="00487D60"/>
    <w:rsid w:val="00487DB7"/>
    <w:rsid w:val="00487DCF"/>
    <w:rsid w:val="00487EDA"/>
    <w:rsid w:val="00487F03"/>
    <w:rsid w:val="0048E4DE"/>
    <w:rsid w:val="004900E7"/>
    <w:rsid w:val="004901C0"/>
    <w:rsid w:val="004901D5"/>
    <w:rsid w:val="00490206"/>
    <w:rsid w:val="00490232"/>
    <w:rsid w:val="0049024F"/>
    <w:rsid w:val="0049025A"/>
    <w:rsid w:val="004903E7"/>
    <w:rsid w:val="00490400"/>
    <w:rsid w:val="00490417"/>
    <w:rsid w:val="0049044D"/>
    <w:rsid w:val="0049045F"/>
    <w:rsid w:val="0049049D"/>
    <w:rsid w:val="004904A9"/>
    <w:rsid w:val="004904CB"/>
    <w:rsid w:val="004904E0"/>
    <w:rsid w:val="004904EA"/>
    <w:rsid w:val="004905D9"/>
    <w:rsid w:val="00490662"/>
    <w:rsid w:val="004906AB"/>
    <w:rsid w:val="0049073F"/>
    <w:rsid w:val="004907AD"/>
    <w:rsid w:val="004907D3"/>
    <w:rsid w:val="004907E9"/>
    <w:rsid w:val="00490839"/>
    <w:rsid w:val="00490858"/>
    <w:rsid w:val="004908F7"/>
    <w:rsid w:val="0049097A"/>
    <w:rsid w:val="004909E1"/>
    <w:rsid w:val="00490B09"/>
    <w:rsid w:val="00490B80"/>
    <w:rsid w:val="00490BDF"/>
    <w:rsid w:val="00490C04"/>
    <w:rsid w:val="00490CC2"/>
    <w:rsid w:val="00490D52"/>
    <w:rsid w:val="00490EFE"/>
    <w:rsid w:val="00490F26"/>
    <w:rsid w:val="0049108F"/>
    <w:rsid w:val="0049114E"/>
    <w:rsid w:val="004911B8"/>
    <w:rsid w:val="004912C3"/>
    <w:rsid w:val="00491301"/>
    <w:rsid w:val="004913A1"/>
    <w:rsid w:val="004913B9"/>
    <w:rsid w:val="004913EE"/>
    <w:rsid w:val="0049141A"/>
    <w:rsid w:val="00491590"/>
    <w:rsid w:val="004915FA"/>
    <w:rsid w:val="00491678"/>
    <w:rsid w:val="00491687"/>
    <w:rsid w:val="004916BE"/>
    <w:rsid w:val="004916C6"/>
    <w:rsid w:val="00491702"/>
    <w:rsid w:val="0049180E"/>
    <w:rsid w:val="00491817"/>
    <w:rsid w:val="00491841"/>
    <w:rsid w:val="00491859"/>
    <w:rsid w:val="00491937"/>
    <w:rsid w:val="00491993"/>
    <w:rsid w:val="004919A8"/>
    <w:rsid w:val="004919CD"/>
    <w:rsid w:val="004919FA"/>
    <w:rsid w:val="00491A2F"/>
    <w:rsid w:val="00491A39"/>
    <w:rsid w:val="00491A4E"/>
    <w:rsid w:val="00491A6A"/>
    <w:rsid w:val="00491A73"/>
    <w:rsid w:val="00491ACD"/>
    <w:rsid w:val="00491AE7"/>
    <w:rsid w:val="00491B35"/>
    <w:rsid w:val="00491B9A"/>
    <w:rsid w:val="00491BC1"/>
    <w:rsid w:val="00491C0A"/>
    <w:rsid w:val="00491C98"/>
    <w:rsid w:val="00491CD6"/>
    <w:rsid w:val="00491CDD"/>
    <w:rsid w:val="00491D1F"/>
    <w:rsid w:val="00491E27"/>
    <w:rsid w:val="00491EA1"/>
    <w:rsid w:val="00491F23"/>
    <w:rsid w:val="00492048"/>
    <w:rsid w:val="0049217B"/>
    <w:rsid w:val="004922ED"/>
    <w:rsid w:val="00492333"/>
    <w:rsid w:val="00492348"/>
    <w:rsid w:val="0049241A"/>
    <w:rsid w:val="0049247D"/>
    <w:rsid w:val="004924B2"/>
    <w:rsid w:val="004924B7"/>
    <w:rsid w:val="00492516"/>
    <w:rsid w:val="00492531"/>
    <w:rsid w:val="0049253F"/>
    <w:rsid w:val="0049258B"/>
    <w:rsid w:val="004925F5"/>
    <w:rsid w:val="00492682"/>
    <w:rsid w:val="0049273F"/>
    <w:rsid w:val="00492745"/>
    <w:rsid w:val="004927DE"/>
    <w:rsid w:val="00492843"/>
    <w:rsid w:val="00492930"/>
    <w:rsid w:val="00492A20"/>
    <w:rsid w:val="00492A4D"/>
    <w:rsid w:val="00492AD4"/>
    <w:rsid w:val="00492B56"/>
    <w:rsid w:val="00492BC7"/>
    <w:rsid w:val="00492C0D"/>
    <w:rsid w:val="00492C29"/>
    <w:rsid w:val="00492CA1"/>
    <w:rsid w:val="00492D3A"/>
    <w:rsid w:val="00492DD3"/>
    <w:rsid w:val="00492EC0"/>
    <w:rsid w:val="00492F30"/>
    <w:rsid w:val="00492FCB"/>
    <w:rsid w:val="00492FE2"/>
    <w:rsid w:val="0049302D"/>
    <w:rsid w:val="004930A2"/>
    <w:rsid w:val="004930F7"/>
    <w:rsid w:val="00493107"/>
    <w:rsid w:val="0049310E"/>
    <w:rsid w:val="00493122"/>
    <w:rsid w:val="0049316A"/>
    <w:rsid w:val="0049323A"/>
    <w:rsid w:val="0049330A"/>
    <w:rsid w:val="0049330E"/>
    <w:rsid w:val="0049332F"/>
    <w:rsid w:val="00493371"/>
    <w:rsid w:val="00493380"/>
    <w:rsid w:val="0049345D"/>
    <w:rsid w:val="00493464"/>
    <w:rsid w:val="0049347F"/>
    <w:rsid w:val="004934F6"/>
    <w:rsid w:val="00493580"/>
    <w:rsid w:val="0049367C"/>
    <w:rsid w:val="004936A6"/>
    <w:rsid w:val="00493726"/>
    <w:rsid w:val="00493791"/>
    <w:rsid w:val="004937AA"/>
    <w:rsid w:val="004938B8"/>
    <w:rsid w:val="004938C4"/>
    <w:rsid w:val="00493A06"/>
    <w:rsid w:val="00493B4B"/>
    <w:rsid w:val="00493D94"/>
    <w:rsid w:val="00493DB7"/>
    <w:rsid w:val="00493F73"/>
    <w:rsid w:val="00493FE0"/>
    <w:rsid w:val="00494078"/>
    <w:rsid w:val="00494098"/>
    <w:rsid w:val="004940CA"/>
    <w:rsid w:val="004941B4"/>
    <w:rsid w:val="004942AA"/>
    <w:rsid w:val="004942DB"/>
    <w:rsid w:val="0049453F"/>
    <w:rsid w:val="0049458F"/>
    <w:rsid w:val="004945C4"/>
    <w:rsid w:val="004945EB"/>
    <w:rsid w:val="00494622"/>
    <w:rsid w:val="00494668"/>
    <w:rsid w:val="0049477A"/>
    <w:rsid w:val="0049486A"/>
    <w:rsid w:val="00494979"/>
    <w:rsid w:val="00494A02"/>
    <w:rsid w:val="00494A9D"/>
    <w:rsid w:val="00494AB9"/>
    <w:rsid w:val="00494B37"/>
    <w:rsid w:val="00494B3D"/>
    <w:rsid w:val="00494B46"/>
    <w:rsid w:val="00494C4A"/>
    <w:rsid w:val="00494C8A"/>
    <w:rsid w:val="00494D1A"/>
    <w:rsid w:val="00494D2F"/>
    <w:rsid w:val="00494D43"/>
    <w:rsid w:val="00494D6B"/>
    <w:rsid w:val="00494EBD"/>
    <w:rsid w:val="00494F2E"/>
    <w:rsid w:val="0049506D"/>
    <w:rsid w:val="00495136"/>
    <w:rsid w:val="00495174"/>
    <w:rsid w:val="004951B3"/>
    <w:rsid w:val="004951B7"/>
    <w:rsid w:val="00495311"/>
    <w:rsid w:val="0049533A"/>
    <w:rsid w:val="0049537D"/>
    <w:rsid w:val="0049538D"/>
    <w:rsid w:val="00495408"/>
    <w:rsid w:val="00495429"/>
    <w:rsid w:val="0049569D"/>
    <w:rsid w:val="004958EE"/>
    <w:rsid w:val="00495910"/>
    <w:rsid w:val="0049591E"/>
    <w:rsid w:val="00495A53"/>
    <w:rsid w:val="00495A96"/>
    <w:rsid w:val="00495B42"/>
    <w:rsid w:val="00495B5F"/>
    <w:rsid w:val="00495C45"/>
    <w:rsid w:val="00495C4C"/>
    <w:rsid w:val="00495D67"/>
    <w:rsid w:val="00495DF9"/>
    <w:rsid w:val="00495E63"/>
    <w:rsid w:val="00495F18"/>
    <w:rsid w:val="00495F5D"/>
    <w:rsid w:val="00495FA4"/>
    <w:rsid w:val="00495FC3"/>
    <w:rsid w:val="00495FF9"/>
    <w:rsid w:val="00496025"/>
    <w:rsid w:val="00496076"/>
    <w:rsid w:val="00496133"/>
    <w:rsid w:val="0049613B"/>
    <w:rsid w:val="00496176"/>
    <w:rsid w:val="00496204"/>
    <w:rsid w:val="00496491"/>
    <w:rsid w:val="00496551"/>
    <w:rsid w:val="004966B5"/>
    <w:rsid w:val="004966C7"/>
    <w:rsid w:val="00496736"/>
    <w:rsid w:val="004967AC"/>
    <w:rsid w:val="0049697F"/>
    <w:rsid w:val="00496987"/>
    <w:rsid w:val="004969E8"/>
    <w:rsid w:val="00496ADC"/>
    <w:rsid w:val="00496AF6"/>
    <w:rsid w:val="00496B5B"/>
    <w:rsid w:val="00496D07"/>
    <w:rsid w:val="00496D81"/>
    <w:rsid w:val="00496ED6"/>
    <w:rsid w:val="00496F17"/>
    <w:rsid w:val="00496F49"/>
    <w:rsid w:val="0049703B"/>
    <w:rsid w:val="004970B2"/>
    <w:rsid w:val="0049712F"/>
    <w:rsid w:val="0049734E"/>
    <w:rsid w:val="004973CA"/>
    <w:rsid w:val="004973CC"/>
    <w:rsid w:val="004973E7"/>
    <w:rsid w:val="00497457"/>
    <w:rsid w:val="004975F6"/>
    <w:rsid w:val="0049762A"/>
    <w:rsid w:val="004976E3"/>
    <w:rsid w:val="004976E8"/>
    <w:rsid w:val="00497822"/>
    <w:rsid w:val="0049782F"/>
    <w:rsid w:val="00497850"/>
    <w:rsid w:val="004978C9"/>
    <w:rsid w:val="004978F8"/>
    <w:rsid w:val="004979BA"/>
    <w:rsid w:val="00497AB5"/>
    <w:rsid w:val="00497AB8"/>
    <w:rsid w:val="00497AC9"/>
    <w:rsid w:val="00497BB2"/>
    <w:rsid w:val="00497BF6"/>
    <w:rsid w:val="00497C53"/>
    <w:rsid w:val="00497C58"/>
    <w:rsid w:val="00497CAE"/>
    <w:rsid w:val="00497CB7"/>
    <w:rsid w:val="00497DB3"/>
    <w:rsid w:val="00497E3A"/>
    <w:rsid w:val="00497E78"/>
    <w:rsid w:val="00497F1D"/>
    <w:rsid w:val="00497F56"/>
    <w:rsid w:val="004A007B"/>
    <w:rsid w:val="004A00B9"/>
    <w:rsid w:val="004A00BA"/>
    <w:rsid w:val="004A0209"/>
    <w:rsid w:val="004A023B"/>
    <w:rsid w:val="004A0250"/>
    <w:rsid w:val="004A02A0"/>
    <w:rsid w:val="004A032A"/>
    <w:rsid w:val="004A044F"/>
    <w:rsid w:val="004A0451"/>
    <w:rsid w:val="004A0629"/>
    <w:rsid w:val="004A06EC"/>
    <w:rsid w:val="004A0783"/>
    <w:rsid w:val="004A07B2"/>
    <w:rsid w:val="004A0873"/>
    <w:rsid w:val="004A08A9"/>
    <w:rsid w:val="004A08BF"/>
    <w:rsid w:val="004A095D"/>
    <w:rsid w:val="004A09FC"/>
    <w:rsid w:val="004A0AFB"/>
    <w:rsid w:val="004A0BED"/>
    <w:rsid w:val="004A0C57"/>
    <w:rsid w:val="004A0D45"/>
    <w:rsid w:val="004A0E2A"/>
    <w:rsid w:val="004A0F26"/>
    <w:rsid w:val="004A10E2"/>
    <w:rsid w:val="004A11A4"/>
    <w:rsid w:val="004A11BE"/>
    <w:rsid w:val="004A121C"/>
    <w:rsid w:val="004A1225"/>
    <w:rsid w:val="004A12B8"/>
    <w:rsid w:val="004A137F"/>
    <w:rsid w:val="004A13E4"/>
    <w:rsid w:val="004A1513"/>
    <w:rsid w:val="004A1595"/>
    <w:rsid w:val="004A1599"/>
    <w:rsid w:val="004A1601"/>
    <w:rsid w:val="004A167E"/>
    <w:rsid w:val="004A1683"/>
    <w:rsid w:val="004A177F"/>
    <w:rsid w:val="004A17FF"/>
    <w:rsid w:val="004A1826"/>
    <w:rsid w:val="004A18CA"/>
    <w:rsid w:val="004A18F0"/>
    <w:rsid w:val="004A19DC"/>
    <w:rsid w:val="004A19F0"/>
    <w:rsid w:val="004A1A63"/>
    <w:rsid w:val="004A1B5C"/>
    <w:rsid w:val="004A1BE8"/>
    <w:rsid w:val="004A1D0E"/>
    <w:rsid w:val="004A1D0F"/>
    <w:rsid w:val="004A1F2B"/>
    <w:rsid w:val="004A1F8D"/>
    <w:rsid w:val="004A2001"/>
    <w:rsid w:val="004A2059"/>
    <w:rsid w:val="004A20A3"/>
    <w:rsid w:val="004A20EB"/>
    <w:rsid w:val="004A2294"/>
    <w:rsid w:val="004A23A3"/>
    <w:rsid w:val="004A23BA"/>
    <w:rsid w:val="004A2498"/>
    <w:rsid w:val="004A25D5"/>
    <w:rsid w:val="004A25F9"/>
    <w:rsid w:val="004A2678"/>
    <w:rsid w:val="004A26EF"/>
    <w:rsid w:val="004A27FA"/>
    <w:rsid w:val="004A2896"/>
    <w:rsid w:val="004A28B1"/>
    <w:rsid w:val="004A2928"/>
    <w:rsid w:val="004A29AE"/>
    <w:rsid w:val="004A29D6"/>
    <w:rsid w:val="004A2A20"/>
    <w:rsid w:val="004A2A67"/>
    <w:rsid w:val="004A2A77"/>
    <w:rsid w:val="004A2C88"/>
    <w:rsid w:val="004A2D03"/>
    <w:rsid w:val="004A2ED8"/>
    <w:rsid w:val="004A2F33"/>
    <w:rsid w:val="004A2F3C"/>
    <w:rsid w:val="004A2F85"/>
    <w:rsid w:val="004A2F8B"/>
    <w:rsid w:val="004A3030"/>
    <w:rsid w:val="004A3162"/>
    <w:rsid w:val="004A3170"/>
    <w:rsid w:val="004A31A7"/>
    <w:rsid w:val="004A327C"/>
    <w:rsid w:val="004A3299"/>
    <w:rsid w:val="004A3329"/>
    <w:rsid w:val="004A3345"/>
    <w:rsid w:val="004A33B8"/>
    <w:rsid w:val="004A3401"/>
    <w:rsid w:val="004A3411"/>
    <w:rsid w:val="004A34F8"/>
    <w:rsid w:val="004A3559"/>
    <w:rsid w:val="004A359D"/>
    <w:rsid w:val="004A35D8"/>
    <w:rsid w:val="004A363C"/>
    <w:rsid w:val="004A367E"/>
    <w:rsid w:val="004A36B7"/>
    <w:rsid w:val="004A36DC"/>
    <w:rsid w:val="004A36E5"/>
    <w:rsid w:val="004A375A"/>
    <w:rsid w:val="004A375E"/>
    <w:rsid w:val="004A37C4"/>
    <w:rsid w:val="004A38C2"/>
    <w:rsid w:val="004A397E"/>
    <w:rsid w:val="004A39F0"/>
    <w:rsid w:val="004A39F8"/>
    <w:rsid w:val="004A3ACC"/>
    <w:rsid w:val="004A3AE1"/>
    <w:rsid w:val="004A3B6E"/>
    <w:rsid w:val="004A3D27"/>
    <w:rsid w:val="004A3D3C"/>
    <w:rsid w:val="004A3D68"/>
    <w:rsid w:val="004A3DBC"/>
    <w:rsid w:val="004A3E2A"/>
    <w:rsid w:val="004A3E51"/>
    <w:rsid w:val="004A406B"/>
    <w:rsid w:val="004A40B2"/>
    <w:rsid w:val="004A4157"/>
    <w:rsid w:val="004A41F1"/>
    <w:rsid w:val="004A4203"/>
    <w:rsid w:val="004A4211"/>
    <w:rsid w:val="004A429C"/>
    <w:rsid w:val="004A4353"/>
    <w:rsid w:val="004A4362"/>
    <w:rsid w:val="004A43A2"/>
    <w:rsid w:val="004A43EE"/>
    <w:rsid w:val="004A4402"/>
    <w:rsid w:val="004A4413"/>
    <w:rsid w:val="004A449B"/>
    <w:rsid w:val="004A44E8"/>
    <w:rsid w:val="004A44F9"/>
    <w:rsid w:val="004A45BA"/>
    <w:rsid w:val="004A4659"/>
    <w:rsid w:val="004A4692"/>
    <w:rsid w:val="004A4700"/>
    <w:rsid w:val="004A4731"/>
    <w:rsid w:val="004A47F6"/>
    <w:rsid w:val="004A48C2"/>
    <w:rsid w:val="004A48DE"/>
    <w:rsid w:val="004A496B"/>
    <w:rsid w:val="004A4A39"/>
    <w:rsid w:val="004A4A4A"/>
    <w:rsid w:val="004A4B50"/>
    <w:rsid w:val="004A4BA0"/>
    <w:rsid w:val="004A4C7D"/>
    <w:rsid w:val="004A4CB5"/>
    <w:rsid w:val="004A4D3E"/>
    <w:rsid w:val="004A4DAC"/>
    <w:rsid w:val="004A4DB8"/>
    <w:rsid w:val="004A4DE6"/>
    <w:rsid w:val="004A4E42"/>
    <w:rsid w:val="004A4EB1"/>
    <w:rsid w:val="004A4EB6"/>
    <w:rsid w:val="004A4ED5"/>
    <w:rsid w:val="004A4F08"/>
    <w:rsid w:val="004A5015"/>
    <w:rsid w:val="004A5044"/>
    <w:rsid w:val="004A5097"/>
    <w:rsid w:val="004A50A6"/>
    <w:rsid w:val="004A5101"/>
    <w:rsid w:val="004A5113"/>
    <w:rsid w:val="004A5193"/>
    <w:rsid w:val="004A51BF"/>
    <w:rsid w:val="004A52B3"/>
    <w:rsid w:val="004A5390"/>
    <w:rsid w:val="004A53AF"/>
    <w:rsid w:val="004A53EC"/>
    <w:rsid w:val="004A53F2"/>
    <w:rsid w:val="004A5580"/>
    <w:rsid w:val="004A5584"/>
    <w:rsid w:val="004A5659"/>
    <w:rsid w:val="004A5913"/>
    <w:rsid w:val="004A5951"/>
    <w:rsid w:val="004A595D"/>
    <w:rsid w:val="004A5981"/>
    <w:rsid w:val="004A59A5"/>
    <w:rsid w:val="004A59A7"/>
    <w:rsid w:val="004A5AD0"/>
    <w:rsid w:val="004A5AD7"/>
    <w:rsid w:val="004A5EB3"/>
    <w:rsid w:val="004A5FC5"/>
    <w:rsid w:val="004A5FFD"/>
    <w:rsid w:val="004A6004"/>
    <w:rsid w:val="004A611F"/>
    <w:rsid w:val="004A6182"/>
    <w:rsid w:val="004A61A5"/>
    <w:rsid w:val="004A61B5"/>
    <w:rsid w:val="004A6396"/>
    <w:rsid w:val="004A6539"/>
    <w:rsid w:val="004A6586"/>
    <w:rsid w:val="004A6835"/>
    <w:rsid w:val="004A6854"/>
    <w:rsid w:val="004A692B"/>
    <w:rsid w:val="004A6AB3"/>
    <w:rsid w:val="004A6AD9"/>
    <w:rsid w:val="004A6BF2"/>
    <w:rsid w:val="004A6C34"/>
    <w:rsid w:val="004A6C5F"/>
    <w:rsid w:val="004A6CBB"/>
    <w:rsid w:val="004A6E10"/>
    <w:rsid w:val="004A6E1F"/>
    <w:rsid w:val="004A6EA4"/>
    <w:rsid w:val="004A6F62"/>
    <w:rsid w:val="004A6F63"/>
    <w:rsid w:val="004A6FB8"/>
    <w:rsid w:val="004A7012"/>
    <w:rsid w:val="004A70B3"/>
    <w:rsid w:val="004A70DC"/>
    <w:rsid w:val="004A71A4"/>
    <w:rsid w:val="004A722C"/>
    <w:rsid w:val="004A7270"/>
    <w:rsid w:val="004A73FA"/>
    <w:rsid w:val="004A74F3"/>
    <w:rsid w:val="004A7574"/>
    <w:rsid w:val="004A7588"/>
    <w:rsid w:val="004A7676"/>
    <w:rsid w:val="004A7720"/>
    <w:rsid w:val="004A7791"/>
    <w:rsid w:val="004A7910"/>
    <w:rsid w:val="004A7971"/>
    <w:rsid w:val="004A7A28"/>
    <w:rsid w:val="004A7AA1"/>
    <w:rsid w:val="004A7B05"/>
    <w:rsid w:val="004A7BAC"/>
    <w:rsid w:val="004A7BB3"/>
    <w:rsid w:val="004A7C0D"/>
    <w:rsid w:val="004A7C4C"/>
    <w:rsid w:val="004A7C57"/>
    <w:rsid w:val="004A7C5D"/>
    <w:rsid w:val="004A7CAC"/>
    <w:rsid w:val="004A7D62"/>
    <w:rsid w:val="004A7E6F"/>
    <w:rsid w:val="004A7E9E"/>
    <w:rsid w:val="004B001E"/>
    <w:rsid w:val="004B004C"/>
    <w:rsid w:val="004B009C"/>
    <w:rsid w:val="004B010F"/>
    <w:rsid w:val="004B0133"/>
    <w:rsid w:val="004B01B4"/>
    <w:rsid w:val="004B01D5"/>
    <w:rsid w:val="004B01F0"/>
    <w:rsid w:val="004B02F9"/>
    <w:rsid w:val="004B045A"/>
    <w:rsid w:val="004B04CB"/>
    <w:rsid w:val="004B04F7"/>
    <w:rsid w:val="004B0511"/>
    <w:rsid w:val="004B05AC"/>
    <w:rsid w:val="004B0711"/>
    <w:rsid w:val="004B0749"/>
    <w:rsid w:val="004B075E"/>
    <w:rsid w:val="004B0790"/>
    <w:rsid w:val="004B08B4"/>
    <w:rsid w:val="004B09E7"/>
    <w:rsid w:val="004B09ED"/>
    <w:rsid w:val="004B0A07"/>
    <w:rsid w:val="004B0A08"/>
    <w:rsid w:val="004B0A0B"/>
    <w:rsid w:val="004B0AC7"/>
    <w:rsid w:val="004B0B3E"/>
    <w:rsid w:val="004B0B8B"/>
    <w:rsid w:val="004B0C22"/>
    <w:rsid w:val="004B0C2C"/>
    <w:rsid w:val="004B0DBA"/>
    <w:rsid w:val="004B0DF3"/>
    <w:rsid w:val="004B0F24"/>
    <w:rsid w:val="004B0FA5"/>
    <w:rsid w:val="004B10A5"/>
    <w:rsid w:val="004B10BF"/>
    <w:rsid w:val="004B10EC"/>
    <w:rsid w:val="004B125B"/>
    <w:rsid w:val="004B130B"/>
    <w:rsid w:val="004B137D"/>
    <w:rsid w:val="004B1398"/>
    <w:rsid w:val="004B1452"/>
    <w:rsid w:val="004B1494"/>
    <w:rsid w:val="004B1756"/>
    <w:rsid w:val="004B186E"/>
    <w:rsid w:val="004B188D"/>
    <w:rsid w:val="004B18AF"/>
    <w:rsid w:val="004B1916"/>
    <w:rsid w:val="004B1A14"/>
    <w:rsid w:val="004B1A15"/>
    <w:rsid w:val="004B1A39"/>
    <w:rsid w:val="004B1B53"/>
    <w:rsid w:val="004B1B9C"/>
    <w:rsid w:val="004B1CBA"/>
    <w:rsid w:val="004B1CE9"/>
    <w:rsid w:val="004B1DF0"/>
    <w:rsid w:val="004B1E0F"/>
    <w:rsid w:val="004B1E31"/>
    <w:rsid w:val="004B1E71"/>
    <w:rsid w:val="004B202C"/>
    <w:rsid w:val="004B20A1"/>
    <w:rsid w:val="004B20BB"/>
    <w:rsid w:val="004B2189"/>
    <w:rsid w:val="004B2210"/>
    <w:rsid w:val="004B2308"/>
    <w:rsid w:val="004B2338"/>
    <w:rsid w:val="004B2361"/>
    <w:rsid w:val="004B23AA"/>
    <w:rsid w:val="004B23EE"/>
    <w:rsid w:val="004B2434"/>
    <w:rsid w:val="004B2592"/>
    <w:rsid w:val="004B25AB"/>
    <w:rsid w:val="004B25C6"/>
    <w:rsid w:val="004B25D3"/>
    <w:rsid w:val="004B25D4"/>
    <w:rsid w:val="004B25D8"/>
    <w:rsid w:val="004B2602"/>
    <w:rsid w:val="004B262D"/>
    <w:rsid w:val="004B2646"/>
    <w:rsid w:val="004B27A9"/>
    <w:rsid w:val="004B27B2"/>
    <w:rsid w:val="004B281E"/>
    <w:rsid w:val="004B2932"/>
    <w:rsid w:val="004B2943"/>
    <w:rsid w:val="004B29E8"/>
    <w:rsid w:val="004B2A8F"/>
    <w:rsid w:val="004B2AAF"/>
    <w:rsid w:val="004B2B9F"/>
    <w:rsid w:val="004B2C5A"/>
    <w:rsid w:val="004B2C6D"/>
    <w:rsid w:val="004B2CE3"/>
    <w:rsid w:val="004B2CEF"/>
    <w:rsid w:val="004B2D0B"/>
    <w:rsid w:val="004B2DA6"/>
    <w:rsid w:val="004B2F12"/>
    <w:rsid w:val="004B2F32"/>
    <w:rsid w:val="004B2FD5"/>
    <w:rsid w:val="004B2FF6"/>
    <w:rsid w:val="004B3038"/>
    <w:rsid w:val="004B3067"/>
    <w:rsid w:val="004B31C6"/>
    <w:rsid w:val="004B32A2"/>
    <w:rsid w:val="004B3471"/>
    <w:rsid w:val="004B34C2"/>
    <w:rsid w:val="004B35B2"/>
    <w:rsid w:val="004B3628"/>
    <w:rsid w:val="004B3713"/>
    <w:rsid w:val="004B3745"/>
    <w:rsid w:val="004B3814"/>
    <w:rsid w:val="004B383D"/>
    <w:rsid w:val="004B3990"/>
    <w:rsid w:val="004B39BE"/>
    <w:rsid w:val="004B3AEB"/>
    <w:rsid w:val="004B3B39"/>
    <w:rsid w:val="004B3B9F"/>
    <w:rsid w:val="004B3C1D"/>
    <w:rsid w:val="004B3C23"/>
    <w:rsid w:val="004B3CA2"/>
    <w:rsid w:val="004B3CAB"/>
    <w:rsid w:val="004B3CBA"/>
    <w:rsid w:val="004B3D28"/>
    <w:rsid w:val="004B3DDD"/>
    <w:rsid w:val="004B3E13"/>
    <w:rsid w:val="004B3E90"/>
    <w:rsid w:val="004B3FCC"/>
    <w:rsid w:val="004B3FEE"/>
    <w:rsid w:val="004B4022"/>
    <w:rsid w:val="004B405F"/>
    <w:rsid w:val="004B412B"/>
    <w:rsid w:val="004B417C"/>
    <w:rsid w:val="004B41CD"/>
    <w:rsid w:val="004B446E"/>
    <w:rsid w:val="004B44D5"/>
    <w:rsid w:val="004B44DC"/>
    <w:rsid w:val="004B455B"/>
    <w:rsid w:val="004B4590"/>
    <w:rsid w:val="004B4593"/>
    <w:rsid w:val="004B4597"/>
    <w:rsid w:val="004B4599"/>
    <w:rsid w:val="004B46E6"/>
    <w:rsid w:val="004B46F8"/>
    <w:rsid w:val="004B4751"/>
    <w:rsid w:val="004B47FA"/>
    <w:rsid w:val="004B48A9"/>
    <w:rsid w:val="004B4906"/>
    <w:rsid w:val="004B4910"/>
    <w:rsid w:val="004B49F5"/>
    <w:rsid w:val="004B49F8"/>
    <w:rsid w:val="004B49FC"/>
    <w:rsid w:val="004B4A40"/>
    <w:rsid w:val="004B4A73"/>
    <w:rsid w:val="004B4B4A"/>
    <w:rsid w:val="004B4BBF"/>
    <w:rsid w:val="004B4BC1"/>
    <w:rsid w:val="004B4CED"/>
    <w:rsid w:val="004B4D1F"/>
    <w:rsid w:val="004B4DE9"/>
    <w:rsid w:val="004B4EFA"/>
    <w:rsid w:val="004B4F92"/>
    <w:rsid w:val="004B5024"/>
    <w:rsid w:val="004B50B6"/>
    <w:rsid w:val="004B515A"/>
    <w:rsid w:val="004B5168"/>
    <w:rsid w:val="004B5247"/>
    <w:rsid w:val="004B546B"/>
    <w:rsid w:val="004B54A7"/>
    <w:rsid w:val="004B54FA"/>
    <w:rsid w:val="004B5548"/>
    <w:rsid w:val="004B55A7"/>
    <w:rsid w:val="004B591E"/>
    <w:rsid w:val="004B5942"/>
    <w:rsid w:val="004B5963"/>
    <w:rsid w:val="004B59EE"/>
    <w:rsid w:val="004B5A10"/>
    <w:rsid w:val="004B5B4D"/>
    <w:rsid w:val="004B5BEC"/>
    <w:rsid w:val="004B5D23"/>
    <w:rsid w:val="004B5D5F"/>
    <w:rsid w:val="004B5D91"/>
    <w:rsid w:val="004B5DBA"/>
    <w:rsid w:val="004B5DD7"/>
    <w:rsid w:val="004B5FB3"/>
    <w:rsid w:val="004B5FE8"/>
    <w:rsid w:val="004B60AA"/>
    <w:rsid w:val="004B6214"/>
    <w:rsid w:val="004B624E"/>
    <w:rsid w:val="004B63AE"/>
    <w:rsid w:val="004B6417"/>
    <w:rsid w:val="004B644A"/>
    <w:rsid w:val="004B654B"/>
    <w:rsid w:val="004B6576"/>
    <w:rsid w:val="004B65EA"/>
    <w:rsid w:val="004B6670"/>
    <w:rsid w:val="004B692D"/>
    <w:rsid w:val="004B6BB6"/>
    <w:rsid w:val="004B6BFE"/>
    <w:rsid w:val="004B6C1F"/>
    <w:rsid w:val="004B6CB9"/>
    <w:rsid w:val="004B6D36"/>
    <w:rsid w:val="004B6D38"/>
    <w:rsid w:val="004B6D9D"/>
    <w:rsid w:val="004B6E01"/>
    <w:rsid w:val="004B6E68"/>
    <w:rsid w:val="004B6E6B"/>
    <w:rsid w:val="004B6EEC"/>
    <w:rsid w:val="004B6F05"/>
    <w:rsid w:val="004B6F71"/>
    <w:rsid w:val="004B6FDE"/>
    <w:rsid w:val="004B7040"/>
    <w:rsid w:val="004B7062"/>
    <w:rsid w:val="004B70B3"/>
    <w:rsid w:val="004B70D3"/>
    <w:rsid w:val="004B71D7"/>
    <w:rsid w:val="004B71F1"/>
    <w:rsid w:val="004B732F"/>
    <w:rsid w:val="004B740F"/>
    <w:rsid w:val="004B75AA"/>
    <w:rsid w:val="004B75BD"/>
    <w:rsid w:val="004B7697"/>
    <w:rsid w:val="004B7848"/>
    <w:rsid w:val="004B794A"/>
    <w:rsid w:val="004B79C6"/>
    <w:rsid w:val="004B79F2"/>
    <w:rsid w:val="004B7A12"/>
    <w:rsid w:val="004B7B1A"/>
    <w:rsid w:val="004B7B5C"/>
    <w:rsid w:val="004B7B76"/>
    <w:rsid w:val="004B7C07"/>
    <w:rsid w:val="004B7CD0"/>
    <w:rsid w:val="004B7D39"/>
    <w:rsid w:val="004B7D5B"/>
    <w:rsid w:val="004B7E2B"/>
    <w:rsid w:val="004B7E45"/>
    <w:rsid w:val="004B7F67"/>
    <w:rsid w:val="004B7FF5"/>
    <w:rsid w:val="004C00BF"/>
    <w:rsid w:val="004C00EF"/>
    <w:rsid w:val="004C013D"/>
    <w:rsid w:val="004C0148"/>
    <w:rsid w:val="004C0187"/>
    <w:rsid w:val="004C02A6"/>
    <w:rsid w:val="004C04BB"/>
    <w:rsid w:val="004C0579"/>
    <w:rsid w:val="004C05BA"/>
    <w:rsid w:val="004C05C2"/>
    <w:rsid w:val="004C061B"/>
    <w:rsid w:val="004C0671"/>
    <w:rsid w:val="004C06EE"/>
    <w:rsid w:val="004C07B2"/>
    <w:rsid w:val="004C08C3"/>
    <w:rsid w:val="004C08F6"/>
    <w:rsid w:val="004C0972"/>
    <w:rsid w:val="004C0B11"/>
    <w:rsid w:val="004C0B95"/>
    <w:rsid w:val="004C0BB1"/>
    <w:rsid w:val="004C0C5F"/>
    <w:rsid w:val="004C0E15"/>
    <w:rsid w:val="004C0FE2"/>
    <w:rsid w:val="004C109B"/>
    <w:rsid w:val="004C1115"/>
    <w:rsid w:val="004C127A"/>
    <w:rsid w:val="004C13A5"/>
    <w:rsid w:val="004C1598"/>
    <w:rsid w:val="004C15B4"/>
    <w:rsid w:val="004C15BA"/>
    <w:rsid w:val="004C15E1"/>
    <w:rsid w:val="004C15ED"/>
    <w:rsid w:val="004C161F"/>
    <w:rsid w:val="004C1627"/>
    <w:rsid w:val="004C16B1"/>
    <w:rsid w:val="004C174F"/>
    <w:rsid w:val="004C1773"/>
    <w:rsid w:val="004C1908"/>
    <w:rsid w:val="004C195D"/>
    <w:rsid w:val="004C1963"/>
    <w:rsid w:val="004C197F"/>
    <w:rsid w:val="004C1A93"/>
    <w:rsid w:val="004C1B07"/>
    <w:rsid w:val="004C1B33"/>
    <w:rsid w:val="004C1B52"/>
    <w:rsid w:val="004C1C08"/>
    <w:rsid w:val="004C1CBA"/>
    <w:rsid w:val="004C1E55"/>
    <w:rsid w:val="004C202E"/>
    <w:rsid w:val="004C228C"/>
    <w:rsid w:val="004C22D7"/>
    <w:rsid w:val="004C237D"/>
    <w:rsid w:val="004C2406"/>
    <w:rsid w:val="004C24CB"/>
    <w:rsid w:val="004C2525"/>
    <w:rsid w:val="004C26BB"/>
    <w:rsid w:val="004C275E"/>
    <w:rsid w:val="004C2790"/>
    <w:rsid w:val="004C27E3"/>
    <w:rsid w:val="004C2894"/>
    <w:rsid w:val="004C292A"/>
    <w:rsid w:val="004C2966"/>
    <w:rsid w:val="004C2B6B"/>
    <w:rsid w:val="004C2B79"/>
    <w:rsid w:val="004C2C72"/>
    <w:rsid w:val="004C2CC3"/>
    <w:rsid w:val="004C2D1D"/>
    <w:rsid w:val="004C2DB0"/>
    <w:rsid w:val="004C2F58"/>
    <w:rsid w:val="004C2FB3"/>
    <w:rsid w:val="004C30F6"/>
    <w:rsid w:val="004C3108"/>
    <w:rsid w:val="004C3195"/>
    <w:rsid w:val="004C31AC"/>
    <w:rsid w:val="004C31D9"/>
    <w:rsid w:val="004C320D"/>
    <w:rsid w:val="004C3224"/>
    <w:rsid w:val="004C3231"/>
    <w:rsid w:val="004C3409"/>
    <w:rsid w:val="004C3596"/>
    <w:rsid w:val="004C35EA"/>
    <w:rsid w:val="004C360F"/>
    <w:rsid w:val="004C3649"/>
    <w:rsid w:val="004C374C"/>
    <w:rsid w:val="004C3751"/>
    <w:rsid w:val="004C37BC"/>
    <w:rsid w:val="004C3935"/>
    <w:rsid w:val="004C3A07"/>
    <w:rsid w:val="004C3A3D"/>
    <w:rsid w:val="004C3A52"/>
    <w:rsid w:val="004C3ABE"/>
    <w:rsid w:val="004C3BA0"/>
    <w:rsid w:val="004C3BDF"/>
    <w:rsid w:val="004C3C07"/>
    <w:rsid w:val="004C3CA5"/>
    <w:rsid w:val="004C3CE7"/>
    <w:rsid w:val="004C3CF1"/>
    <w:rsid w:val="004C3D9C"/>
    <w:rsid w:val="004C3DCC"/>
    <w:rsid w:val="004C3DFB"/>
    <w:rsid w:val="004C3E71"/>
    <w:rsid w:val="004C3F63"/>
    <w:rsid w:val="004C3F7E"/>
    <w:rsid w:val="004C3FAE"/>
    <w:rsid w:val="004C3FD2"/>
    <w:rsid w:val="004C3FE9"/>
    <w:rsid w:val="004C4111"/>
    <w:rsid w:val="004C4118"/>
    <w:rsid w:val="004C4267"/>
    <w:rsid w:val="004C42A8"/>
    <w:rsid w:val="004C4320"/>
    <w:rsid w:val="004C438C"/>
    <w:rsid w:val="004C43B7"/>
    <w:rsid w:val="004C441F"/>
    <w:rsid w:val="004C452B"/>
    <w:rsid w:val="004C4628"/>
    <w:rsid w:val="004C467A"/>
    <w:rsid w:val="004C46ED"/>
    <w:rsid w:val="004C4710"/>
    <w:rsid w:val="004C473C"/>
    <w:rsid w:val="004C4827"/>
    <w:rsid w:val="004C48F8"/>
    <w:rsid w:val="004C4977"/>
    <w:rsid w:val="004C497F"/>
    <w:rsid w:val="004C49A9"/>
    <w:rsid w:val="004C4A0F"/>
    <w:rsid w:val="004C4B3F"/>
    <w:rsid w:val="004C4B70"/>
    <w:rsid w:val="004C4CB2"/>
    <w:rsid w:val="004C4D59"/>
    <w:rsid w:val="004C4D7C"/>
    <w:rsid w:val="004C4EBB"/>
    <w:rsid w:val="004C4FD6"/>
    <w:rsid w:val="004C519D"/>
    <w:rsid w:val="004C5385"/>
    <w:rsid w:val="004C54F3"/>
    <w:rsid w:val="004C5536"/>
    <w:rsid w:val="004C5558"/>
    <w:rsid w:val="004C5609"/>
    <w:rsid w:val="004C560E"/>
    <w:rsid w:val="004C568C"/>
    <w:rsid w:val="004C56B9"/>
    <w:rsid w:val="004C5797"/>
    <w:rsid w:val="004C57E3"/>
    <w:rsid w:val="004C5806"/>
    <w:rsid w:val="004C599B"/>
    <w:rsid w:val="004C59B1"/>
    <w:rsid w:val="004C59B3"/>
    <w:rsid w:val="004C5A84"/>
    <w:rsid w:val="004C5ADE"/>
    <w:rsid w:val="004C5B5C"/>
    <w:rsid w:val="004C5D87"/>
    <w:rsid w:val="004C5E31"/>
    <w:rsid w:val="004C5EE6"/>
    <w:rsid w:val="004C5FBE"/>
    <w:rsid w:val="004C5FFC"/>
    <w:rsid w:val="004C6046"/>
    <w:rsid w:val="004C60D9"/>
    <w:rsid w:val="004C617D"/>
    <w:rsid w:val="004C6299"/>
    <w:rsid w:val="004C62FE"/>
    <w:rsid w:val="004C631C"/>
    <w:rsid w:val="004C6370"/>
    <w:rsid w:val="004C653A"/>
    <w:rsid w:val="004C6582"/>
    <w:rsid w:val="004C6594"/>
    <w:rsid w:val="004C660F"/>
    <w:rsid w:val="004C6633"/>
    <w:rsid w:val="004C669B"/>
    <w:rsid w:val="004C671A"/>
    <w:rsid w:val="004C675A"/>
    <w:rsid w:val="004C67D9"/>
    <w:rsid w:val="004C681E"/>
    <w:rsid w:val="004C6860"/>
    <w:rsid w:val="004C6865"/>
    <w:rsid w:val="004C68F6"/>
    <w:rsid w:val="004C6986"/>
    <w:rsid w:val="004C6ADF"/>
    <w:rsid w:val="004C6AE9"/>
    <w:rsid w:val="004C6B47"/>
    <w:rsid w:val="004C6C4A"/>
    <w:rsid w:val="004C6C9D"/>
    <w:rsid w:val="004C6CBC"/>
    <w:rsid w:val="004C6D01"/>
    <w:rsid w:val="004C6E7F"/>
    <w:rsid w:val="004C6FB6"/>
    <w:rsid w:val="004C6FC2"/>
    <w:rsid w:val="004C703F"/>
    <w:rsid w:val="004C70C2"/>
    <w:rsid w:val="004C71A7"/>
    <w:rsid w:val="004C72BD"/>
    <w:rsid w:val="004C72DB"/>
    <w:rsid w:val="004C72FB"/>
    <w:rsid w:val="004C7342"/>
    <w:rsid w:val="004C7393"/>
    <w:rsid w:val="004C73AF"/>
    <w:rsid w:val="004C73B4"/>
    <w:rsid w:val="004C73BE"/>
    <w:rsid w:val="004C73DE"/>
    <w:rsid w:val="004C7408"/>
    <w:rsid w:val="004C7442"/>
    <w:rsid w:val="004C74D3"/>
    <w:rsid w:val="004C74FB"/>
    <w:rsid w:val="004C757F"/>
    <w:rsid w:val="004C75BC"/>
    <w:rsid w:val="004C76D8"/>
    <w:rsid w:val="004C7753"/>
    <w:rsid w:val="004C77A2"/>
    <w:rsid w:val="004C77A5"/>
    <w:rsid w:val="004C77AD"/>
    <w:rsid w:val="004C77D1"/>
    <w:rsid w:val="004C77D8"/>
    <w:rsid w:val="004C7865"/>
    <w:rsid w:val="004C7886"/>
    <w:rsid w:val="004C792F"/>
    <w:rsid w:val="004C7968"/>
    <w:rsid w:val="004C7A5C"/>
    <w:rsid w:val="004C7A80"/>
    <w:rsid w:val="004C7BEA"/>
    <w:rsid w:val="004C7C66"/>
    <w:rsid w:val="004C7CB3"/>
    <w:rsid w:val="004C7CCA"/>
    <w:rsid w:val="004C7CD4"/>
    <w:rsid w:val="004C7DB1"/>
    <w:rsid w:val="004C7DB5"/>
    <w:rsid w:val="004C7EB8"/>
    <w:rsid w:val="004C7ECD"/>
    <w:rsid w:val="004C7FEF"/>
    <w:rsid w:val="004D001C"/>
    <w:rsid w:val="004D00B9"/>
    <w:rsid w:val="004D010C"/>
    <w:rsid w:val="004D0189"/>
    <w:rsid w:val="004D01AD"/>
    <w:rsid w:val="004D01AE"/>
    <w:rsid w:val="004D01E6"/>
    <w:rsid w:val="004D0297"/>
    <w:rsid w:val="004D02A2"/>
    <w:rsid w:val="004D02AA"/>
    <w:rsid w:val="004D02BA"/>
    <w:rsid w:val="004D0438"/>
    <w:rsid w:val="004D0472"/>
    <w:rsid w:val="004D0520"/>
    <w:rsid w:val="004D06B6"/>
    <w:rsid w:val="004D07A5"/>
    <w:rsid w:val="004D07C0"/>
    <w:rsid w:val="004D0815"/>
    <w:rsid w:val="004D081E"/>
    <w:rsid w:val="004D08B1"/>
    <w:rsid w:val="004D090F"/>
    <w:rsid w:val="004D097F"/>
    <w:rsid w:val="004D0998"/>
    <w:rsid w:val="004D0A3F"/>
    <w:rsid w:val="004D0AB5"/>
    <w:rsid w:val="004D0ABF"/>
    <w:rsid w:val="004D0B1E"/>
    <w:rsid w:val="004D0B39"/>
    <w:rsid w:val="004D0B8C"/>
    <w:rsid w:val="004D0BA4"/>
    <w:rsid w:val="004D0BB5"/>
    <w:rsid w:val="004D0BCE"/>
    <w:rsid w:val="004D0BEC"/>
    <w:rsid w:val="004D0CDC"/>
    <w:rsid w:val="004D0E2B"/>
    <w:rsid w:val="004D0EB7"/>
    <w:rsid w:val="004D0F76"/>
    <w:rsid w:val="004D11CB"/>
    <w:rsid w:val="004D1375"/>
    <w:rsid w:val="004D140C"/>
    <w:rsid w:val="004D142E"/>
    <w:rsid w:val="004D1491"/>
    <w:rsid w:val="004D14AC"/>
    <w:rsid w:val="004D14C3"/>
    <w:rsid w:val="004D1559"/>
    <w:rsid w:val="004D1723"/>
    <w:rsid w:val="004D17A1"/>
    <w:rsid w:val="004D1AD5"/>
    <w:rsid w:val="004D1AFE"/>
    <w:rsid w:val="004D1B12"/>
    <w:rsid w:val="004D1B81"/>
    <w:rsid w:val="004D1BA5"/>
    <w:rsid w:val="004D1BD8"/>
    <w:rsid w:val="004D1C84"/>
    <w:rsid w:val="004D1C96"/>
    <w:rsid w:val="004D1CDF"/>
    <w:rsid w:val="004D1D07"/>
    <w:rsid w:val="004D1DDD"/>
    <w:rsid w:val="004D1DEB"/>
    <w:rsid w:val="004D1E92"/>
    <w:rsid w:val="004D1F31"/>
    <w:rsid w:val="004D1F69"/>
    <w:rsid w:val="004D20F5"/>
    <w:rsid w:val="004D2108"/>
    <w:rsid w:val="004D213A"/>
    <w:rsid w:val="004D22ED"/>
    <w:rsid w:val="004D22FB"/>
    <w:rsid w:val="004D23F3"/>
    <w:rsid w:val="004D2401"/>
    <w:rsid w:val="004D2407"/>
    <w:rsid w:val="004D2415"/>
    <w:rsid w:val="004D2440"/>
    <w:rsid w:val="004D2448"/>
    <w:rsid w:val="004D2521"/>
    <w:rsid w:val="004D2609"/>
    <w:rsid w:val="004D2634"/>
    <w:rsid w:val="004D268C"/>
    <w:rsid w:val="004D26B3"/>
    <w:rsid w:val="004D26B9"/>
    <w:rsid w:val="004D26EC"/>
    <w:rsid w:val="004D275A"/>
    <w:rsid w:val="004D2778"/>
    <w:rsid w:val="004D27AF"/>
    <w:rsid w:val="004D2808"/>
    <w:rsid w:val="004D28D7"/>
    <w:rsid w:val="004D2966"/>
    <w:rsid w:val="004D2A52"/>
    <w:rsid w:val="004D2C4A"/>
    <w:rsid w:val="004D2CCE"/>
    <w:rsid w:val="004D2D9B"/>
    <w:rsid w:val="004D2DAC"/>
    <w:rsid w:val="004D2E25"/>
    <w:rsid w:val="004D2E95"/>
    <w:rsid w:val="004D2EB1"/>
    <w:rsid w:val="004D2EE6"/>
    <w:rsid w:val="004D2FFC"/>
    <w:rsid w:val="004D2FFE"/>
    <w:rsid w:val="004D30CC"/>
    <w:rsid w:val="004D3141"/>
    <w:rsid w:val="004D33B2"/>
    <w:rsid w:val="004D3416"/>
    <w:rsid w:val="004D34BC"/>
    <w:rsid w:val="004D352F"/>
    <w:rsid w:val="004D3577"/>
    <w:rsid w:val="004D359B"/>
    <w:rsid w:val="004D35C1"/>
    <w:rsid w:val="004D35C9"/>
    <w:rsid w:val="004D362D"/>
    <w:rsid w:val="004D381E"/>
    <w:rsid w:val="004D383A"/>
    <w:rsid w:val="004D38E4"/>
    <w:rsid w:val="004D3938"/>
    <w:rsid w:val="004D3947"/>
    <w:rsid w:val="004D3BCE"/>
    <w:rsid w:val="004D3CA7"/>
    <w:rsid w:val="004D3CF2"/>
    <w:rsid w:val="004D3D26"/>
    <w:rsid w:val="004D3D9A"/>
    <w:rsid w:val="004D3E1B"/>
    <w:rsid w:val="004D3F01"/>
    <w:rsid w:val="004D3F75"/>
    <w:rsid w:val="004D3FB8"/>
    <w:rsid w:val="004D3FEE"/>
    <w:rsid w:val="004D4023"/>
    <w:rsid w:val="004D40DF"/>
    <w:rsid w:val="004D4160"/>
    <w:rsid w:val="004D4262"/>
    <w:rsid w:val="004D42BF"/>
    <w:rsid w:val="004D4667"/>
    <w:rsid w:val="004D4671"/>
    <w:rsid w:val="004D46C4"/>
    <w:rsid w:val="004D46E6"/>
    <w:rsid w:val="004D473A"/>
    <w:rsid w:val="004D473B"/>
    <w:rsid w:val="004D473C"/>
    <w:rsid w:val="004D47B6"/>
    <w:rsid w:val="004D4814"/>
    <w:rsid w:val="004D4832"/>
    <w:rsid w:val="004D4916"/>
    <w:rsid w:val="004D497C"/>
    <w:rsid w:val="004D49B7"/>
    <w:rsid w:val="004D49FA"/>
    <w:rsid w:val="004D4A59"/>
    <w:rsid w:val="004D4BE1"/>
    <w:rsid w:val="004D4CD0"/>
    <w:rsid w:val="004D4CF2"/>
    <w:rsid w:val="004D4E52"/>
    <w:rsid w:val="004D5063"/>
    <w:rsid w:val="004D5071"/>
    <w:rsid w:val="004D51FF"/>
    <w:rsid w:val="004D5201"/>
    <w:rsid w:val="004D532B"/>
    <w:rsid w:val="004D5346"/>
    <w:rsid w:val="004D536F"/>
    <w:rsid w:val="004D53E9"/>
    <w:rsid w:val="004D5459"/>
    <w:rsid w:val="004D5633"/>
    <w:rsid w:val="004D56F2"/>
    <w:rsid w:val="004D56FC"/>
    <w:rsid w:val="004D5756"/>
    <w:rsid w:val="004D5784"/>
    <w:rsid w:val="004D57DE"/>
    <w:rsid w:val="004D5848"/>
    <w:rsid w:val="004D58C9"/>
    <w:rsid w:val="004D58E9"/>
    <w:rsid w:val="004D59D9"/>
    <w:rsid w:val="004D5A81"/>
    <w:rsid w:val="004D5C37"/>
    <w:rsid w:val="004D5C4D"/>
    <w:rsid w:val="004D5C6B"/>
    <w:rsid w:val="004D5D6C"/>
    <w:rsid w:val="004D5E96"/>
    <w:rsid w:val="004D5F1C"/>
    <w:rsid w:val="004D5F6D"/>
    <w:rsid w:val="004D6112"/>
    <w:rsid w:val="004D61DE"/>
    <w:rsid w:val="004D6240"/>
    <w:rsid w:val="004D6260"/>
    <w:rsid w:val="004D63AD"/>
    <w:rsid w:val="004D6499"/>
    <w:rsid w:val="004D64EE"/>
    <w:rsid w:val="004D6517"/>
    <w:rsid w:val="004D653F"/>
    <w:rsid w:val="004D654A"/>
    <w:rsid w:val="004D65A0"/>
    <w:rsid w:val="004D65F5"/>
    <w:rsid w:val="004D6635"/>
    <w:rsid w:val="004D6640"/>
    <w:rsid w:val="004D6711"/>
    <w:rsid w:val="004D67AD"/>
    <w:rsid w:val="004D67F1"/>
    <w:rsid w:val="004D6888"/>
    <w:rsid w:val="004D69DD"/>
    <w:rsid w:val="004D6A49"/>
    <w:rsid w:val="004D6B7A"/>
    <w:rsid w:val="004D6C3B"/>
    <w:rsid w:val="004D6C89"/>
    <w:rsid w:val="004D6D02"/>
    <w:rsid w:val="004D6D19"/>
    <w:rsid w:val="004D6D55"/>
    <w:rsid w:val="004D6DAC"/>
    <w:rsid w:val="004D6DB2"/>
    <w:rsid w:val="004D6ED1"/>
    <w:rsid w:val="004D6EFA"/>
    <w:rsid w:val="004D6F3F"/>
    <w:rsid w:val="004D72A4"/>
    <w:rsid w:val="004D72CE"/>
    <w:rsid w:val="004D732A"/>
    <w:rsid w:val="004D7479"/>
    <w:rsid w:val="004D7511"/>
    <w:rsid w:val="004D753C"/>
    <w:rsid w:val="004D758B"/>
    <w:rsid w:val="004D7643"/>
    <w:rsid w:val="004D768E"/>
    <w:rsid w:val="004D76A1"/>
    <w:rsid w:val="004D76D9"/>
    <w:rsid w:val="004D7826"/>
    <w:rsid w:val="004D7863"/>
    <w:rsid w:val="004D78B9"/>
    <w:rsid w:val="004D7923"/>
    <w:rsid w:val="004D7A59"/>
    <w:rsid w:val="004D7ABB"/>
    <w:rsid w:val="004D7B74"/>
    <w:rsid w:val="004D7BAB"/>
    <w:rsid w:val="004D7BE7"/>
    <w:rsid w:val="004D7C85"/>
    <w:rsid w:val="004D7CD5"/>
    <w:rsid w:val="004D7D08"/>
    <w:rsid w:val="004D7D16"/>
    <w:rsid w:val="004D7E32"/>
    <w:rsid w:val="004D7F21"/>
    <w:rsid w:val="004E0025"/>
    <w:rsid w:val="004E0030"/>
    <w:rsid w:val="004E0076"/>
    <w:rsid w:val="004E0093"/>
    <w:rsid w:val="004E00EB"/>
    <w:rsid w:val="004E0186"/>
    <w:rsid w:val="004E027A"/>
    <w:rsid w:val="004E0287"/>
    <w:rsid w:val="004E0420"/>
    <w:rsid w:val="004E0459"/>
    <w:rsid w:val="004E0469"/>
    <w:rsid w:val="004E04A2"/>
    <w:rsid w:val="004E04B5"/>
    <w:rsid w:val="004E054A"/>
    <w:rsid w:val="004E0631"/>
    <w:rsid w:val="004E0676"/>
    <w:rsid w:val="004E0694"/>
    <w:rsid w:val="004E07AA"/>
    <w:rsid w:val="004E07E2"/>
    <w:rsid w:val="004E088B"/>
    <w:rsid w:val="004E0A21"/>
    <w:rsid w:val="004E0A5B"/>
    <w:rsid w:val="004E0B82"/>
    <w:rsid w:val="004E0D77"/>
    <w:rsid w:val="004E0DA1"/>
    <w:rsid w:val="004E0DAB"/>
    <w:rsid w:val="004E0DCE"/>
    <w:rsid w:val="004E11A9"/>
    <w:rsid w:val="004E1202"/>
    <w:rsid w:val="004E1245"/>
    <w:rsid w:val="004E13C8"/>
    <w:rsid w:val="004E13E0"/>
    <w:rsid w:val="004E1473"/>
    <w:rsid w:val="004E14F7"/>
    <w:rsid w:val="004E15B6"/>
    <w:rsid w:val="004E16BA"/>
    <w:rsid w:val="004E16F5"/>
    <w:rsid w:val="004E1729"/>
    <w:rsid w:val="004E17A5"/>
    <w:rsid w:val="004E17E1"/>
    <w:rsid w:val="004E17E4"/>
    <w:rsid w:val="004E17E5"/>
    <w:rsid w:val="004E184B"/>
    <w:rsid w:val="004E1853"/>
    <w:rsid w:val="004E1894"/>
    <w:rsid w:val="004E18D5"/>
    <w:rsid w:val="004E18EA"/>
    <w:rsid w:val="004E1AA4"/>
    <w:rsid w:val="004E1AD8"/>
    <w:rsid w:val="004E1AFC"/>
    <w:rsid w:val="004E1C85"/>
    <w:rsid w:val="004E1D27"/>
    <w:rsid w:val="004E1E83"/>
    <w:rsid w:val="004E1F9B"/>
    <w:rsid w:val="004E1FB6"/>
    <w:rsid w:val="004E2048"/>
    <w:rsid w:val="004E2077"/>
    <w:rsid w:val="004E208B"/>
    <w:rsid w:val="004E20C3"/>
    <w:rsid w:val="004E20DE"/>
    <w:rsid w:val="004E21DE"/>
    <w:rsid w:val="004E23F6"/>
    <w:rsid w:val="004E240D"/>
    <w:rsid w:val="004E2411"/>
    <w:rsid w:val="004E2428"/>
    <w:rsid w:val="004E2497"/>
    <w:rsid w:val="004E2552"/>
    <w:rsid w:val="004E2624"/>
    <w:rsid w:val="004E269D"/>
    <w:rsid w:val="004E26BD"/>
    <w:rsid w:val="004E27CA"/>
    <w:rsid w:val="004E288B"/>
    <w:rsid w:val="004E28F2"/>
    <w:rsid w:val="004E2987"/>
    <w:rsid w:val="004E2991"/>
    <w:rsid w:val="004E2A00"/>
    <w:rsid w:val="004E2B21"/>
    <w:rsid w:val="004E2C14"/>
    <w:rsid w:val="004E2D05"/>
    <w:rsid w:val="004E2D37"/>
    <w:rsid w:val="004E2E84"/>
    <w:rsid w:val="004E2E8C"/>
    <w:rsid w:val="004E2F00"/>
    <w:rsid w:val="004E2F1A"/>
    <w:rsid w:val="004E304D"/>
    <w:rsid w:val="004E309A"/>
    <w:rsid w:val="004E322A"/>
    <w:rsid w:val="004E32C0"/>
    <w:rsid w:val="004E346B"/>
    <w:rsid w:val="004E350F"/>
    <w:rsid w:val="004E3561"/>
    <w:rsid w:val="004E3616"/>
    <w:rsid w:val="004E36AA"/>
    <w:rsid w:val="004E36BF"/>
    <w:rsid w:val="004E3770"/>
    <w:rsid w:val="004E3829"/>
    <w:rsid w:val="004E387F"/>
    <w:rsid w:val="004E3982"/>
    <w:rsid w:val="004E39E6"/>
    <w:rsid w:val="004E3AF7"/>
    <w:rsid w:val="004E3B19"/>
    <w:rsid w:val="004E3B65"/>
    <w:rsid w:val="004E3BD2"/>
    <w:rsid w:val="004E3C12"/>
    <w:rsid w:val="004E3D1A"/>
    <w:rsid w:val="004E3D26"/>
    <w:rsid w:val="004E3D65"/>
    <w:rsid w:val="004E3E8F"/>
    <w:rsid w:val="004E3E9C"/>
    <w:rsid w:val="004E3F2A"/>
    <w:rsid w:val="004E3FB7"/>
    <w:rsid w:val="004E4000"/>
    <w:rsid w:val="004E4063"/>
    <w:rsid w:val="004E40FF"/>
    <w:rsid w:val="004E416D"/>
    <w:rsid w:val="004E421A"/>
    <w:rsid w:val="004E421D"/>
    <w:rsid w:val="004E4281"/>
    <w:rsid w:val="004E4362"/>
    <w:rsid w:val="004E43E3"/>
    <w:rsid w:val="004E46C0"/>
    <w:rsid w:val="004E46D9"/>
    <w:rsid w:val="004E472A"/>
    <w:rsid w:val="004E4787"/>
    <w:rsid w:val="004E47AD"/>
    <w:rsid w:val="004E4884"/>
    <w:rsid w:val="004E48F3"/>
    <w:rsid w:val="004E4A5D"/>
    <w:rsid w:val="004E4AC2"/>
    <w:rsid w:val="004E4C4B"/>
    <w:rsid w:val="004E4D48"/>
    <w:rsid w:val="004E4DF2"/>
    <w:rsid w:val="004E4ED3"/>
    <w:rsid w:val="004E4F49"/>
    <w:rsid w:val="004E5187"/>
    <w:rsid w:val="004E51DB"/>
    <w:rsid w:val="004E523E"/>
    <w:rsid w:val="004E524D"/>
    <w:rsid w:val="004E52CD"/>
    <w:rsid w:val="004E5360"/>
    <w:rsid w:val="004E5393"/>
    <w:rsid w:val="004E53C4"/>
    <w:rsid w:val="004E53E8"/>
    <w:rsid w:val="004E5430"/>
    <w:rsid w:val="004E5542"/>
    <w:rsid w:val="004E5618"/>
    <w:rsid w:val="004E566F"/>
    <w:rsid w:val="004E5726"/>
    <w:rsid w:val="004E5874"/>
    <w:rsid w:val="004E592D"/>
    <w:rsid w:val="004E5994"/>
    <w:rsid w:val="004E5A74"/>
    <w:rsid w:val="004E5AE8"/>
    <w:rsid w:val="004E5B96"/>
    <w:rsid w:val="004E5BAA"/>
    <w:rsid w:val="004E5BC9"/>
    <w:rsid w:val="004E5C6B"/>
    <w:rsid w:val="004E5D06"/>
    <w:rsid w:val="004E5E83"/>
    <w:rsid w:val="004E5EA0"/>
    <w:rsid w:val="004E5F23"/>
    <w:rsid w:val="004E5F2C"/>
    <w:rsid w:val="004E5FE1"/>
    <w:rsid w:val="004E6059"/>
    <w:rsid w:val="004E61E4"/>
    <w:rsid w:val="004E61F5"/>
    <w:rsid w:val="004E62B3"/>
    <w:rsid w:val="004E6330"/>
    <w:rsid w:val="004E63D5"/>
    <w:rsid w:val="004E63F9"/>
    <w:rsid w:val="004E647B"/>
    <w:rsid w:val="004E6489"/>
    <w:rsid w:val="004E6551"/>
    <w:rsid w:val="004E65FB"/>
    <w:rsid w:val="004E660E"/>
    <w:rsid w:val="004E6611"/>
    <w:rsid w:val="004E66BC"/>
    <w:rsid w:val="004E6893"/>
    <w:rsid w:val="004E68CF"/>
    <w:rsid w:val="004E6953"/>
    <w:rsid w:val="004E69A4"/>
    <w:rsid w:val="004E6B94"/>
    <w:rsid w:val="004E6C4F"/>
    <w:rsid w:val="004E6CFB"/>
    <w:rsid w:val="004E6E56"/>
    <w:rsid w:val="004E6E77"/>
    <w:rsid w:val="004E6F3A"/>
    <w:rsid w:val="004E6FE3"/>
    <w:rsid w:val="004E6FE4"/>
    <w:rsid w:val="004E700D"/>
    <w:rsid w:val="004E7039"/>
    <w:rsid w:val="004E7062"/>
    <w:rsid w:val="004E712D"/>
    <w:rsid w:val="004E714A"/>
    <w:rsid w:val="004E72DB"/>
    <w:rsid w:val="004E7384"/>
    <w:rsid w:val="004E73D0"/>
    <w:rsid w:val="004E73D7"/>
    <w:rsid w:val="004E74E4"/>
    <w:rsid w:val="004E7551"/>
    <w:rsid w:val="004E7566"/>
    <w:rsid w:val="004E7896"/>
    <w:rsid w:val="004E79FC"/>
    <w:rsid w:val="004E7A08"/>
    <w:rsid w:val="004E7AB1"/>
    <w:rsid w:val="004E7BFC"/>
    <w:rsid w:val="004E7D81"/>
    <w:rsid w:val="004E7E5A"/>
    <w:rsid w:val="004E7FD0"/>
    <w:rsid w:val="004F00DF"/>
    <w:rsid w:val="004F023A"/>
    <w:rsid w:val="004F0274"/>
    <w:rsid w:val="004F0276"/>
    <w:rsid w:val="004F027D"/>
    <w:rsid w:val="004F02D7"/>
    <w:rsid w:val="004F03B3"/>
    <w:rsid w:val="004F03F9"/>
    <w:rsid w:val="004F0574"/>
    <w:rsid w:val="004F05BD"/>
    <w:rsid w:val="004F0921"/>
    <w:rsid w:val="004F095B"/>
    <w:rsid w:val="004F095D"/>
    <w:rsid w:val="004F0A3E"/>
    <w:rsid w:val="004F0AB9"/>
    <w:rsid w:val="004F0BBB"/>
    <w:rsid w:val="004F0BE3"/>
    <w:rsid w:val="004F0C33"/>
    <w:rsid w:val="004F0DC8"/>
    <w:rsid w:val="004F0DE3"/>
    <w:rsid w:val="004F0E6B"/>
    <w:rsid w:val="004F0EF1"/>
    <w:rsid w:val="004F0F1C"/>
    <w:rsid w:val="004F0FA1"/>
    <w:rsid w:val="004F1024"/>
    <w:rsid w:val="004F1093"/>
    <w:rsid w:val="004F11A0"/>
    <w:rsid w:val="004F120E"/>
    <w:rsid w:val="004F1218"/>
    <w:rsid w:val="004F12F6"/>
    <w:rsid w:val="004F149B"/>
    <w:rsid w:val="004F15B0"/>
    <w:rsid w:val="004F15C4"/>
    <w:rsid w:val="004F1657"/>
    <w:rsid w:val="004F16BE"/>
    <w:rsid w:val="004F17C7"/>
    <w:rsid w:val="004F1804"/>
    <w:rsid w:val="004F1971"/>
    <w:rsid w:val="004F1ABF"/>
    <w:rsid w:val="004F1BC0"/>
    <w:rsid w:val="004F215C"/>
    <w:rsid w:val="004F21DB"/>
    <w:rsid w:val="004F22E4"/>
    <w:rsid w:val="004F23F6"/>
    <w:rsid w:val="004F24A4"/>
    <w:rsid w:val="004F24C8"/>
    <w:rsid w:val="004F24D5"/>
    <w:rsid w:val="004F2575"/>
    <w:rsid w:val="004F258E"/>
    <w:rsid w:val="004F25AA"/>
    <w:rsid w:val="004F266B"/>
    <w:rsid w:val="004F268B"/>
    <w:rsid w:val="004F2692"/>
    <w:rsid w:val="004F276B"/>
    <w:rsid w:val="004F27CD"/>
    <w:rsid w:val="004F2814"/>
    <w:rsid w:val="004F2964"/>
    <w:rsid w:val="004F2A88"/>
    <w:rsid w:val="004F2B1E"/>
    <w:rsid w:val="004F2B3E"/>
    <w:rsid w:val="004F2B62"/>
    <w:rsid w:val="004F2C4F"/>
    <w:rsid w:val="004F2C79"/>
    <w:rsid w:val="004F2CCE"/>
    <w:rsid w:val="004F2D6F"/>
    <w:rsid w:val="004F2E32"/>
    <w:rsid w:val="004F302F"/>
    <w:rsid w:val="004F30E7"/>
    <w:rsid w:val="004F324C"/>
    <w:rsid w:val="004F32C4"/>
    <w:rsid w:val="004F32DC"/>
    <w:rsid w:val="004F332C"/>
    <w:rsid w:val="004F3344"/>
    <w:rsid w:val="004F3359"/>
    <w:rsid w:val="004F34B5"/>
    <w:rsid w:val="004F3552"/>
    <w:rsid w:val="004F35D8"/>
    <w:rsid w:val="004F3617"/>
    <w:rsid w:val="004F3626"/>
    <w:rsid w:val="004F3667"/>
    <w:rsid w:val="004F37D6"/>
    <w:rsid w:val="004F383E"/>
    <w:rsid w:val="004F390B"/>
    <w:rsid w:val="004F392C"/>
    <w:rsid w:val="004F3A18"/>
    <w:rsid w:val="004F3BBE"/>
    <w:rsid w:val="004F3C24"/>
    <w:rsid w:val="004F3C5F"/>
    <w:rsid w:val="004F3C9D"/>
    <w:rsid w:val="004F3D0B"/>
    <w:rsid w:val="004F3D9E"/>
    <w:rsid w:val="004F3F0D"/>
    <w:rsid w:val="004F3F59"/>
    <w:rsid w:val="004F3FFA"/>
    <w:rsid w:val="004F4018"/>
    <w:rsid w:val="004F40F7"/>
    <w:rsid w:val="004F4102"/>
    <w:rsid w:val="004F417D"/>
    <w:rsid w:val="004F41DF"/>
    <w:rsid w:val="004F41FD"/>
    <w:rsid w:val="004F424A"/>
    <w:rsid w:val="004F43C0"/>
    <w:rsid w:val="004F43C5"/>
    <w:rsid w:val="004F44C6"/>
    <w:rsid w:val="004F44F6"/>
    <w:rsid w:val="004F451B"/>
    <w:rsid w:val="004F458C"/>
    <w:rsid w:val="004F45DD"/>
    <w:rsid w:val="004F46BE"/>
    <w:rsid w:val="004F4723"/>
    <w:rsid w:val="004F49B8"/>
    <w:rsid w:val="004F49EB"/>
    <w:rsid w:val="004F4A8A"/>
    <w:rsid w:val="004F4B25"/>
    <w:rsid w:val="004F4C28"/>
    <w:rsid w:val="004F4D39"/>
    <w:rsid w:val="004F4DEB"/>
    <w:rsid w:val="004F4E27"/>
    <w:rsid w:val="004F4E8D"/>
    <w:rsid w:val="004F4ED4"/>
    <w:rsid w:val="004F4FD3"/>
    <w:rsid w:val="004F503E"/>
    <w:rsid w:val="004F5049"/>
    <w:rsid w:val="004F50CB"/>
    <w:rsid w:val="004F50FD"/>
    <w:rsid w:val="004F51C6"/>
    <w:rsid w:val="004F524F"/>
    <w:rsid w:val="004F5304"/>
    <w:rsid w:val="004F530A"/>
    <w:rsid w:val="004F5425"/>
    <w:rsid w:val="004F549E"/>
    <w:rsid w:val="004F55E7"/>
    <w:rsid w:val="004F566A"/>
    <w:rsid w:val="004F5734"/>
    <w:rsid w:val="004F5753"/>
    <w:rsid w:val="004F5786"/>
    <w:rsid w:val="004F58AF"/>
    <w:rsid w:val="004F595D"/>
    <w:rsid w:val="004F5A9E"/>
    <w:rsid w:val="004F5B61"/>
    <w:rsid w:val="004F5B6A"/>
    <w:rsid w:val="004F5C0C"/>
    <w:rsid w:val="004F5C49"/>
    <w:rsid w:val="004F5CE6"/>
    <w:rsid w:val="004F5F2F"/>
    <w:rsid w:val="004F5FA4"/>
    <w:rsid w:val="004F5FB0"/>
    <w:rsid w:val="004F6042"/>
    <w:rsid w:val="004F60EF"/>
    <w:rsid w:val="004F61E1"/>
    <w:rsid w:val="004F620A"/>
    <w:rsid w:val="004F6281"/>
    <w:rsid w:val="004F6283"/>
    <w:rsid w:val="004F628C"/>
    <w:rsid w:val="004F62D9"/>
    <w:rsid w:val="004F637D"/>
    <w:rsid w:val="004F6420"/>
    <w:rsid w:val="004F6463"/>
    <w:rsid w:val="004F64C1"/>
    <w:rsid w:val="004F64F3"/>
    <w:rsid w:val="004F66B6"/>
    <w:rsid w:val="004F686A"/>
    <w:rsid w:val="004F6882"/>
    <w:rsid w:val="004F688A"/>
    <w:rsid w:val="004F68F1"/>
    <w:rsid w:val="004F69AC"/>
    <w:rsid w:val="004F69F1"/>
    <w:rsid w:val="004F6AD9"/>
    <w:rsid w:val="004F6AEF"/>
    <w:rsid w:val="004F6B02"/>
    <w:rsid w:val="004F6B14"/>
    <w:rsid w:val="004F6C1F"/>
    <w:rsid w:val="004F6DED"/>
    <w:rsid w:val="004F6E74"/>
    <w:rsid w:val="004F6EAB"/>
    <w:rsid w:val="004F6EC2"/>
    <w:rsid w:val="004F6F10"/>
    <w:rsid w:val="004F704A"/>
    <w:rsid w:val="004F704F"/>
    <w:rsid w:val="004F7070"/>
    <w:rsid w:val="004F709C"/>
    <w:rsid w:val="004F70E3"/>
    <w:rsid w:val="004F7135"/>
    <w:rsid w:val="004F727C"/>
    <w:rsid w:val="004F72B4"/>
    <w:rsid w:val="004F72E1"/>
    <w:rsid w:val="004F7393"/>
    <w:rsid w:val="004F73EE"/>
    <w:rsid w:val="004F7457"/>
    <w:rsid w:val="004F7549"/>
    <w:rsid w:val="004F7563"/>
    <w:rsid w:val="004F75B2"/>
    <w:rsid w:val="004F75EC"/>
    <w:rsid w:val="004F7610"/>
    <w:rsid w:val="004F7648"/>
    <w:rsid w:val="004F766D"/>
    <w:rsid w:val="004F76CF"/>
    <w:rsid w:val="004F774B"/>
    <w:rsid w:val="004F7775"/>
    <w:rsid w:val="004F777C"/>
    <w:rsid w:val="004F782C"/>
    <w:rsid w:val="004F7888"/>
    <w:rsid w:val="004F78AB"/>
    <w:rsid w:val="004F78BE"/>
    <w:rsid w:val="004F78C3"/>
    <w:rsid w:val="004F7A0B"/>
    <w:rsid w:val="004F7A63"/>
    <w:rsid w:val="004F7AA6"/>
    <w:rsid w:val="004F7B65"/>
    <w:rsid w:val="004F7BC2"/>
    <w:rsid w:val="004F7C0C"/>
    <w:rsid w:val="004F7C6A"/>
    <w:rsid w:val="004F7C6F"/>
    <w:rsid w:val="004F7CD3"/>
    <w:rsid w:val="004F7D28"/>
    <w:rsid w:val="004F7E04"/>
    <w:rsid w:val="004F7E68"/>
    <w:rsid w:val="004F7E8F"/>
    <w:rsid w:val="004F7EA0"/>
    <w:rsid w:val="004F7F25"/>
    <w:rsid w:val="004F7FBA"/>
    <w:rsid w:val="0050032E"/>
    <w:rsid w:val="0050038A"/>
    <w:rsid w:val="00500484"/>
    <w:rsid w:val="0050053D"/>
    <w:rsid w:val="005005D3"/>
    <w:rsid w:val="00500790"/>
    <w:rsid w:val="005007D5"/>
    <w:rsid w:val="00500846"/>
    <w:rsid w:val="0050084E"/>
    <w:rsid w:val="0050088C"/>
    <w:rsid w:val="00500894"/>
    <w:rsid w:val="005008A0"/>
    <w:rsid w:val="005008A9"/>
    <w:rsid w:val="00500960"/>
    <w:rsid w:val="00500973"/>
    <w:rsid w:val="0050098F"/>
    <w:rsid w:val="005009E4"/>
    <w:rsid w:val="005009E9"/>
    <w:rsid w:val="00500B62"/>
    <w:rsid w:val="00500C17"/>
    <w:rsid w:val="00500C3C"/>
    <w:rsid w:val="00500C5C"/>
    <w:rsid w:val="00500CCF"/>
    <w:rsid w:val="00500CD3"/>
    <w:rsid w:val="00500D02"/>
    <w:rsid w:val="00500D13"/>
    <w:rsid w:val="00500D8E"/>
    <w:rsid w:val="00500D9D"/>
    <w:rsid w:val="00500D9F"/>
    <w:rsid w:val="00500ECF"/>
    <w:rsid w:val="00500FC4"/>
    <w:rsid w:val="00500FD0"/>
    <w:rsid w:val="0050101C"/>
    <w:rsid w:val="00501060"/>
    <w:rsid w:val="005010A3"/>
    <w:rsid w:val="0050117F"/>
    <w:rsid w:val="00501217"/>
    <w:rsid w:val="005013A1"/>
    <w:rsid w:val="005013D4"/>
    <w:rsid w:val="005013F3"/>
    <w:rsid w:val="00501420"/>
    <w:rsid w:val="0050142A"/>
    <w:rsid w:val="0050144F"/>
    <w:rsid w:val="0050145D"/>
    <w:rsid w:val="0050147E"/>
    <w:rsid w:val="005014DA"/>
    <w:rsid w:val="0050152B"/>
    <w:rsid w:val="00501645"/>
    <w:rsid w:val="0050171A"/>
    <w:rsid w:val="00501745"/>
    <w:rsid w:val="00501758"/>
    <w:rsid w:val="005018D0"/>
    <w:rsid w:val="00501998"/>
    <w:rsid w:val="005019FD"/>
    <w:rsid w:val="00501AB0"/>
    <w:rsid w:val="00501AED"/>
    <w:rsid w:val="00501B28"/>
    <w:rsid w:val="00501B97"/>
    <w:rsid w:val="00501BD8"/>
    <w:rsid w:val="00501BDA"/>
    <w:rsid w:val="00501C66"/>
    <w:rsid w:val="00501C97"/>
    <w:rsid w:val="00501CDF"/>
    <w:rsid w:val="00501E82"/>
    <w:rsid w:val="00501F11"/>
    <w:rsid w:val="00501F4A"/>
    <w:rsid w:val="005020B3"/>
    <w:rsid w:val="0050211F"/>
    <w:rsid w:val="00502142"/>
    <w:rsid w:val="005021DB"/>
    <w:rsid w:val="00502214"/>
    <w:rsid w:val="005023D2"/>
    <w:rsid w:val="005023FF"/>
    <w:rsid w:val="00502472"/>
    <w:rsid w:val="005024D1"/>
    <w:rsid w:val="0050259C"/>
    <w:rsid w:val="005025A9"/>
    <w:rsid w:val="00502637"/>
    <w:rsid w:val="005027B4"/>
    <w:rsid w:val="005027BB"/>
    <w:rsid w:val="0050298A"/>
    <w:rsid w:val="0050298D"/>
    <w:rsid w:val="005029AE"/>
    <w:rsid w:val="00502A47"/>
    <w:rsid w:val="00502A50"/>
    <w:rsid w:val="00502A81"/>
    <w:rsid w:val="00502ABA"/>
    <w:rsid w:val="00502AD0"/>
    <w:rsid w:val="00502BF0"/>
    <w:rsid w:val="00502C1C"/>
    <w:rsid w:val="00502C5A"/>
    <w:rsid w:val="00502CCB"/>
    <w:rsid w:val="00502D51"/>
    <w:rsid w:val="00502EE4"/>
    <w:rsid w:val="00502F0E"/>
    <w:rsid w:val="00502F14"/>
    <w:rsid w:val="00503178"/>
    <w:rsid w:val="00503188"/>
    <w:rsid w:val="00503299"/>
    <w:rsid w:val="0050339B"/>
    <w:rsid w:val="005033BF"/>
    <w:rsid w:val="005034CB"/>
    <w:rsid w:val="005034FE"/>
    <w:rsid w:val="00503541"/>
    <w:rsid w:val="005035BC"/>
    <w:rsid w:val="00503603"/>
    <w:rsid w:val="00503656"/>
    <w:rsid w:val="005036F8"/>
    <w:rsid w:val="00503729"/>
    <w:rsid w:val="005037E9"/>
    <w:rsid w:val="00503ADB"/>
    <w:rsid w:val="00503AE3"/>
    <w:rsid w:val="00503BFA"/>
    <w:rsid w:val="00503C93"/>
    <w:rsid w:val="00503D00"/>
    <w:rsid w:val="00503D29"/>
    <w:rsid w:val="0050406A"/>
    <w:rsid w:val="005041F8"/>
    <w:rsid w:val="00504203"/>
    <w:rsid w:val="0050430A"/>
    <w:rsid w:val="00504391"/>
    <w:rsid w:val="00504430"/>
    <w:rsid w:val="005044FA"/>
    <w:rsid w:val="00504506"/>
    <w:rsid w:val="005045F6"/>
    <w:rsid w:val="00504611"/>
    <w:rsid w:val="00504779"/>
    <w:rsid w:val="005047A4"/>
    <w:rsid w:val="00504915"/>
    <w:rsid w:val="00504951"/>
    <w:rsid w:val="005049D5"/>
    <w:rsid w:val="005049E3"/>
    <w:rsid w:val="00504A7F"/>
    <w:rsid w:val="00504B13"/>
    <w:rsid w:val="00504B22"/>
    <w:rsid w:val="00504B3D"/>
    <w:rsid w:val="00504B61"/>
    <w:rsid w:val="00504BB6"/>
    <w:rsid w:val="00504D2A"/>
    <w:rsid w:val="00504D45"/>
    <w:rsid w:val="00504DBA"/>
    <w:rsid w:val="00504DD3"/>
    <w:rsid w:val="00504DDC"/>
    <w:rsid w:val="00504E0C"/>
    <w:rsid w:val="00504E22"/>
    <w:rsid w:val="00504EA3"/>
    <w:rsid w:val="0050513B"/>
    <w:rsid w:val="00505145"/>
    <w:rsid w:val="00505166"/>
    <w:rsid w:val="005051BA"/>
    <w:rsid w:val="0050524B"/>
    <w:rsid w:val="005053D4"/>
    <w:rsid w:val="00505500"/>
    <w:rsid w:val="005055C5"/>
    <w:rsid w:val="00505673"/>
    <w:rsid w:val="00505681"/>
    <w:rsid w:val="005056E0"/>
    <w:rsid w:val="00505764"/>
    <w:rsid w:val="00505769"/>
    <w:rsid w:val="00505798"/>
    <w:rsid w:val="0050589D"/>
    <w:rsid w:val="0050590D"/>
    <w:rsid w:val="0050591B"/>
    <w:rsid w:val="00505966"/>
    <w:rsid w:val="005059CA"/>
    <w:rsid w:val="00505A5E"/>
    <w:rsid w:val="00505AA7"/>
    <w:rsid w:val="00505AC9"/>
    <w:rsid w:val="00505B4E"/>
    <w:rsid w:val="00505D3E"/>
    <w:rsid w:val="00505DD4"/>
    <w:rsid w:val="00505DEC"/>
    <w:rsid w:val="00505EEF"/>
    <w:rsid w:val="00505F53"/>
    <w:rsid w:val="00505F59"/>
    <w:rsid w:val="00505FDD"/>
    <w:rsid w:val="005060F8"/>
    <w:rsid w:val="0050611F"/>
    <w:rsid w:val="0050612A"/>
    <w:rsid w:val="005061E6"/>
    <w:rsid w:val="005063B0"/>
    <w:rsid w:val="00506599"/>
    <w:rsid w:val="0050663D"/>
    <w:rsid w:val="0050663E"/>
    <w:rsid w:val="00506641"/>
    <w:rsid w:val="0050665A"/>
    <w:rsid w:val="005068A0"/>
    <w:rsid w:val="00506917"/>
    <w:rsid w:val="005069D0"/>
    <w:rsid w:val="00506B68"/>
    <w:rsid w:val="00506B81"/>
    <w:rsid w:val="00506C8F"/>
    <w:rsid w:val="00506C95"/>
    <w:rsid w:val="00506CC4"/>
    <w:rsid w:val="00506CE6"/>
    <w:rsid w:val="00506D43"/>
    <w:rsid w:val="00506DFE"/>
    <w:rsid w:val="00506EB8"/>
    <w:rsid w:val="00506F07"/>
    <w:rsid w:val="00506F59"/>
    <w:rsid w:val="00506F97"/>
    <w:rsid w:val="00506FEB"/>
    <w:rsid w:val="0050700F"/>
    <w:rsid w:val="005070D1"/>
    <w:rsid w:val="00507174"/>
    <w:rsid w:val="00507184"/>
    <w:rsid w:val="0050718D"/>
    <w:rsid w:val="005071ED"/>
    <w:rsid w:val="0050723A"/>
    <w:rsid w:val="00507440"/>
    <w:rsid w:val="005074B2"/>
    <w:rsid w:val="005074BD"/>
    <w:rsid w:val="005074D2"/>
    <w:rsid w:val="00507542"/>
    <w:rsid w:val="0050766D"/>
    <w:rsid w:val="005076C4"/>
    <w:rsid w:val="005078AD"/>
    <w:rsid w:val="00507908"/>
    <w:rsid w:val="00507A1C"/>
    <w:rsid w:val="00507AFC"/>
    <w:rsid w:val="00507B5D"/>
    <w:rsid w:val="00507BA2"/>
    <w:rsid w:val="00507BED"/>
    <w:rsid w:val="00507D57"/>
    <w:rsid w:val="00507D6C"/>
    <w:rsid w:val="00507D79"/>
    <w:rsid w:val="00507DAC"/>
    <w:rsid w:val="00507E12"/>
    <w:rsid w:val="00507E2B"/>
    <w:rsid w:val="00507E31"/>
    <w:rsid w:val="00507F60"/>
    <w:rsid w:val="00510079"/>
    <w:rsid w:val="005100CC"/>
    <w:rsid w:val="005101C3"/>
    <w:rsid w:val="0051025B"/>
    <w:rsid w:val="00510362"/>
    <w:rsid w:val="005103E7"/>
    <w:rsid w:val="005103F7"/>
    <w:rsid w:val="00510418"/>
    <w:rsid w:val="00510509"/>
    <w:rsid w:val="00510644"/>
    <w:rsid w:val="0051066C"/>
    <w:rsid w:val="00510718"/>
    <w:rsid w:val="0051077F"/>
    <w:rsid w:val="00510820"/>
    <w:rsid w:val="00510852"/>
    <w:rsid w:val="0051091D"/>
    <w:rsid w:val="00510937"/>
    <w:rsid w:val="005109F8"/>
    <w:rsid w:val="00510A64"/>
    <w:rsid w:val="00510A74"/>
    <w:rsid w:val="00510ABD"/>
    <w:rsid w:val="00510B01"/>
    <w:rsid w:val="00510B02"/>
    <w:rsid w:val="00510B2E"/>
    <w:rsid w:val="00510CC2"/>
    <w:rsid w:val="00510CE2"/>
    <w:rsid w:val="00510D49"/>
    <w:rsid w:val="00510E18"/>
    <w:rsid w:val="00510FE2"/>
    <w:rsid w:val="00511058"/>
    <w:rsid w:val="005110A8"/>
    <w:rsid w:val="005110BF"/>
    <w:rsid w:val="0051129B"/>
    <w:rsid w:val="005112AF"/>
    <w:rsid w:val="005112BA"/>
    <w:rsid w:val="0051132E"/>
    <w:rsid w:val="0051133D"/>
    <w:rsid w:val="005113ED"/>
    <w:rsid w:val="00511486"/>
    <w:rsid w:val="005114C1"/>
    <w:rsid w:val="005114D3"/>
    <w:rsid w:val="005114EF"/>
    <w:rsid w:val="00511528"/>
    <w:rsid w:val="0051160F"/>
    <w:rsid w:val="00511660"/>
    <w:rsid w:val="0051169C"/>
    <w:rsid w:val="0051173C"/>
    <w:rsid w:val="0051180C"/>
    <w:rsid w:val="00511829"/>
    <w:rsid w:val="005118FF"/>
    <w:rsid w:val="00511933"/>
    <w:rsid w:val="0051195F"/>
    <w:rsid w:val="0051198F"/>
    <w:rsid w:val="00511B47"/>
    <w:rsid w:val="00511B86"/>
    <w:rsid w:val="00511C1A"/>
    <w:rsid w:val="00511D4D"/>
    <w:rsid w:val="00511DA8"/>
    <w:rsid w:val="00511E6F"/>
    <w:rsid w:val="00511E86"/>
    <w:rsid w:val="00511E93"/>
    <w:rsid w:val="00511ECE"/>
    <w:rsid w:val="00511F56"/>
    <w:rsid w:val="00511F88"/>
    <w:rsid w:val="00511FB9"/>
    <w:rsid w:val="00511FC8"/>
    <w:rsid w:val="005120C1"/>
    <w:rsid w:val="005121B3"/>
    <w:rsid w:val="005122F7"/>
    <w:rsid w:val="0051240C"/>
    <w:rsid w:val="00512445"/>
    <w:rsid w:val="0051245F"/>
    <w:rsid w:val="00512551"/>
    <w:rsid w:val="005128B6"/>
    <w:rsid w:val="0051290A"/>
    <w:rsid w:val="0051296A"/>
    <w:rsid w:val="005129A1"/>
    <w:rsid w:val="00512A93"/>
    <w:rsid w:val="00512AB1"/>
    <w:rsid w:val="00512B29"/>
    <w:rsid w:val="00512BDE"/>
    <w:rsid w:val="00512C1F"/>
    <w:rsid w:val="00512CD0"/>
    <w:rsid w:val="00512D57"/>
    <w:rsid w:val="00512DD7"/>
    <w:rsid w:val="00512E6A"/>
    <w:rsid w:val="00512EAA"/>
    <w:rsid w:val="00512F88"/>
    <w:rsid w:val="0051305A"/>
    <w:rsid w:val="00513108"/>
    <w:rsid w:val="00513148"/>
    <w:rsid w:val="00513312"/>
    <w:rsid w:val="00513372"/>
    <w:rsid w:val="00513455"/>
    <w:rsid w:val="00513566"/>
    <w:rsid w:val="005135D3"/>
    <w:rsid w:val="0051361D"/>
    <w:rsid w:val="00513659"/>
    <w:rsid w:val="005136C9"/>
    <w:rsid w:val="0051375F"/>
    <w:rsid w:val="0051385F"/>
    <w:rsid w:val="005138A4"/>
    <w:rsid w:val="00513983"/>
    <w:rsid w:val="0051398C"/>
    <w:rsid w:val="00513A79"/>
    <w:rsid w:val="00513A9A"/>
    <w:rsid w:val="00513ABA"/>
    <w:rsid w:val="00513AC8"/>
    <w:rsid w:val="00513B2E"/>
    <w:rsid w:val="00513BF1"/>
    <w:rsid w:val="00513C9D"/>
    <w:rsid w:val="00513CA6"/>
    <w:rsid w:val="00513CBF"/>
    <w:rsid w:val="00513D97"/>
    <w:rsid w:val="00513DB4"/>
    <w:rsid w:val="00513E08"/>
    <w:rsid w:val="00513E62"/>
    <w:rsid w:val="00513EDB"/>
    <w:rsid w:val="0051401F"/>
    <w:rsid w:val="0051414C"/>
    <w:rsid w:val="005141A1"/>
    <w:rsid w:val="005141C4"/>
    <w:rsid w:val="00514270"/>
    <w:rsid w:val="0051432E"/>
    <w:rsid w:val="00514346"/>
    <w:rsid w:val="00514491"/>
    <w:rsid w:val="00514570"/>
    <w:rsid w:val="0051460A"/>
    <w:rsid w:val="0051462B"/>
    <w:rsid w:val="00514657"/>
    <w:rsid w:val="0051465C"/>
    <w:rsid w:val="005147E2"/>
    <w:rsid w:val="005148D2"/>
    <w:rsid w:val="00514904"/>
    <w:rsid w:val="00514946"/>
    <w:rsid w:val="0051497B"/>
    <w:rsid w:val="00514985"/>
    <w:rsid w:val="005149A4"/>
    <w:rsid w:val="00514B17"/>
    <w:rsid w:val="00514BA4"/>
    <w:rsid w:val="00514C4B"/>
    <w:rsid w:val="00514D0B"/>
    <w:rsid w:val="00514D58"/>
    <w:rsid w:val="00514EC1"/>
    <w:rsid w:val="00514F68"/>
    <w:rsid w:val="00515009"/>
    <w:rsid w:val="00515014"/>
    <w:rsid w:val="0051507B"/>
    <w:rsid w:val="00515093"/>
    <w:rsid w:val="005150D8"/>
    <w:rsid w:val="005151F9"/>
    <w:rsid w:val="00515210"/>
    <w:rsid w:val="005152C9"/>
    <w:rsid w:val="005152FA"/>
    <w:rsid w:val="005153E3"/>
    <w:rsid w:val="0051554E"/>
    <w:rsid w:val="005155A5"/>
    <w:rsid w:val="00515617"/>
    <w:rsid w:val="0051568B"/>
    <w:rsid w:val="0051574A"/>
    <w:rsid w:val="0051578D"/>
    <w:rsid w:val="005157C2"/>
    <w:rsid w:val="005157FC"/>
    <w:rsid w:val="00515931"/>
    <w:rsid w:val="00515982"/>
    <w:rsid w:val="00515A03"/>
    <w:rsid w:val="00515A93"/>
    <w:rsid w:val="00515AED"/>
    <w:rsid w:val="00515B10"/>
    <w:rsid w:val="00515BB7"/>
    <w:rsid w:val="00515D6B"/>
    <w:rsid w:val="00515E5F"/>
    <w:rsid w:val="00515E8D"/>
    <w:rsid w:val="00515F9C"/>
    <w:rsid w:val="00515FE8"/>
    <w:rsid w:val="0051602C"/>
    <w:rsid w:val="00516056"/>
    <w:rsid w:val="0051611B"/>
    <w:rsid w:val="00516171"/>
    <w:rsid w:val="00516256"/>
    <w:rsid w:val="00516269"/>
    <w:rsid w:val="0051629C"/>
    <w:rsid w:val="005162C6"/>
    <w:rsid w:val="005162D0"/>
    <w:rsid w:val="005162DD"/>
    <w:rsid w:val="0051635C"/>
    <w:rsid w:val="005163AD"/>
    <w:rsid w:val="00516459"/>
    <w:rsid w:val="00516477"/>
    <w:rsid w:val="005164CE"/>
    <w:rsid w:val="00516572"/>
    <w:rsid w:val="005166A5"/>
    <w:rsid w:val="005166AA"/>
    <w:rsid w:val="00516716"/>
    <w:rsid w:val="00516722"/>
    <w:rsid w:val="00516735"/>
    <w:rsid w:val="005167F2"/>
    <w:rsid w:val="0051685A"/>
    <w:rsid w:val="005168AC"/>
    <w:rsid w:val="005168AF"/>
    <w:rsid w:val="005168ED"/>
    <w:rsid w:val="00516B64"/>
    <w:rsid w:val="00516C13"/>
    <w:rsid w:val="00516C33"/>
    <w:rsid w:val="00516CA8"/>
    <w:rsid w:val="00516D9C"/>
    <w:rsid w:val="00516EDE"/>
    <w:rsid w:val="00516EE5"/>
    <w:rsid w:val="00516F3C"/>
    <w:rsid w:val="00516F4C"/>
    <w:rsid w:val="005170A0"/>
    <w:rsid w:val="0051711B"/>
    <w:rsid w:val="0051714E"/>
    <w:rsid w:val="005171CD"/>
    <w:rsid w:val="005171E1"/>
    <w:rsid w:val="00517244"/>
    <w:rsid w:val="00517255"/>
    <w:rsid w:val="005172B4"/>
    <w:rsid w:val="00517351"/>
    <w:rsid w:val="005173A3"/>
    <w:rsid w:val="005174F8"/>
    <w:rsid w:val="005175FF"/>
    <w:rsid w:val="005176A8"/>
    <w:rsid w:val="00517702"/>
    <w:rsid w:val="005179B8"/>
    <w:rsid w:val="005179EA"/>
    <w:rsid w:val="00517A22"/>
    <w:rsid w:val="00517A2E"/>
    <w:rsid w:val="00517AE7"/>
    <w:rsid w:val="00517B15"/>
    <w:rsid w:val="00517BC7"/>
    <w:rsid w:val="00517BE6"/>
    <w:rsid w:val="00517BF5"/>
    <w:rsid w:val="00517C01"/>
    <w:rsid w:val="00517C23"/>
    <w:rsid w:val="00517C3E"/>
    <w:rsid w:val="00517C60"/>
    <w:rsid w:val="00517C9F"/>
    <w:rsid w:val="00517EB4"/>
    <w:rsid w:val="00517EFE"/>
    <w:rsid w:val="00517F74"/>
    <w:rsid w:val="00517F9D"/>
    <w:rsid w:val="00517FC1"/>
    <w:rsid w:val="00520125"/>
    <w:rsid w:val="00520169"/>
    <w:rsid w:val="0052028B"/>
    <w:rsid w:val="005202DC"/>
    <w:rsid w:val="00520331"/>
    <w:rsid w:val="005203E7"/>
    <w:rsid w:val="005204F7"/>
    <w:rsid w:val="0052050B"/>
    <w:rsid w:val="0052068A"/>
    <w:rsid w:val="0052069F"/>
    <w:rsid w:val="0052080A"/>
    <w:rsid w:val="005209BF"/>
    <w:rsid w:val="00520A2D"/>
    <w:rsid w:val="00520BBA"/>
    <w:rsid w:val="00520BC5"/>
    <w:rsid w:val="00520C03"/>
    <w:rsid w:val="00520C71"/>
    <w:rsid w:val="00520FA2"/>
    <w:rsid w:val="00521015"/>
    <w:rsid w:val="0052110E"/>
    <w:rsid w:val="0052111E"/>
    <w:rsid w:val="005211B7"/>
    <w:rsid w:val="005211FE"/>
    <w:rsid w:val="005212F6"/>
    <w:rsid w:val="00521387"/>
    <w:rsid w:val="005213C2"/>
    <w:rsid w:val="005214D2"/>
    <w:rsid w:val="005214E8"/>
    <w:rsid w:val="00521550"/>
    <w:rsid w:val="005215C1"/>
    <w:rsid w:val="005215F1"/>
    <w:rsid w:val="005216AE"/>
    <w:rsid w:val="0052177A"/>
    <w:rsid w:val="005217C8"/>
    <w:rsid w:val="005217D4"/>
    <w:rsid w:val="00521895"/>
    <w:rsid w:val="00521973"/>
    <w:rsid w:val="00521A5A"/>
    <w:rsid w:val="00521AFC"/>
    <w:rsid w:val="00521B1A"/>
    <w:rsid w:val="00521BB6"/>
    <w:rsid w:val="00521BFF"/>
    <w:rsid w:val="00521C06"/>
    <w:rsid w:val="00521C37"/>
    <w:rsid w:val="00521CBD"/>
    <w:rsid w:val="00521CF6"/>
    <w:rsid w:val="00521DF2"/>
    <w:rsid w:val="00521DFC"/>
    <w:rsid w:val="00521E0C"/>
    <w:rsid w:val="00521E3A"/>
    <w:rsid w:val="00521E42"/>
    <w:rsid w:val="00521E51"/>
    <w:rsid w:val="0052200D"/>
    <w:rsid w:val="00522027"/>
    <w:rsid w:val="0052202B"/>
    <w:rsid w:val="00522126"/>
    <w:rsid w:val="005221EF"/>
    <w:rsid w:val="005221F0"/>
    <w:rsid w:val="00522272"/>
    <w:rsid w:val="005223CA"/>
    <w:rsid w:val="00522485"/>
    <w:rsid w:val="005225D9"/>
    <w:rsid w:val="005225DB"/>
    <w:rsid w:val="005226BC"/>
    <w:rsid w:val="00522866"/>
    <w:rsid w:val="00522896"/>
    <w:rsid w:val="005228C9"/>
    <w:rsid w:val="00522918"/>
    <w:rsid w:val="00522927"/>
    <w:rsid w:val="0052294D"/>
    <w:rsid w:val="00522A23"/>
    <w:rsid w:val="00522A90"/>
    <w:rsid w:val="00522ADD"/>
    <w:rsid w:val="00522B2A"/>
    <w:rsid w:val="00522B2F"/>
    <w:rsid w:val="00522B93"/>
    <w:rsid w:val="00522C27"/>
    <w:rsid w:val="00522C6F"/>
    <w:rsid w:val="00522CEB"/>
    <w:rsid w:val="00522D6D"/>
    <w:rsid w:val="00522D98"/>
    <w:rsid w:val="00522DA1"/>
    <w:rsid w:val="00522DC2"/>
    <w:rsid w:val="00522DC9"/>
    <w:rsid w:val="00522DDC"/>
    <w:rsid w:val="00522E11"/>
    <w:rsid w:val="00522E13"/>
    <w:rsid w:val="00523067"/>
    <w:rsid w:val="00523194"/>
    <w:rsid w:val="0052319F"/>
    <w:rsid w:val="005231EE"/>
    <w:rsid w:val="00523204"/>
    <w:rsid w:val="00523297"/>
    <w:rsid w:val="0052333F"/>
    <w:rsid w:val="00523385"/>
    <w:rsid w:val="0052339A"/>
    <w:rsid w:val="00523472"/>
    <w:rsid w:val="00523632"/>
    <w:rsid w:val="00523633"/>
    <w:rsid w:val="005236FE"/>
    <w:rsid w:val="005237E3"/>
    <w:rsid w:val="005238AF"/>
    <w:rsid w:val="00523A7B"/>
    <w:rsid w:val="00523C80"/>
    <w:rsid w:val="00523F2D"/>
    <w:rsid w:val="00523F43"/>
    <w:rsid w:val="00524046"/>
    <w:rsid w:val="005240E6"/>
    <w:rsid w:val="00524143"/>
    <w:rsid w:val="0052414D"/>
    <w:rsid w:val="005241BB"/>
    <w:rsid w:val="005243D2"/>
    <w:rsid w:val="00524443"/>
    <w:rsid w:val="005244F4"/>
    <w:rsid w:val="0052450E"/>
    <w:rsid w:val="0052456E"/>
    <w:rsid w:val="0052459C"/>
    <w:rsid w:val="005245E1"/>
    <w:rsid w:val="00524687"/>
    <w:rsid w:val="005246D0"/>
    <w:rsid w:val="00524723"/>
    <w:rsid w:val="00524829"/>
    <w:rsid w:val="00524867"/>
    <w:rsid w:val="005249DC"/>
    <w:rsid w:val="00524A9C"/>
    <w:rsid w:val="00524AF4"/>
    <w:rsid w:val="00524BC1"/>
    <w:rsid w:val="00524E9D"/>
    <w:rsid w:val="00524F4E"/>
    <w:rsid w:val="00524FA9"/>
    <w:rsid w:val="00525072"/>
    <w:rsid w:val="005251A9"/>
    <w:rsid w:val="005251FB"/>
    <w:rsid w:val="0052547F"/>
    <w:rsid w:val="00525484"/>
    <w:rsid w:val="005254AE"/>
    <w:rsid w:val="00525684"/>
    <w:rsid w:val="00525724"/>
    <w:rsid w:val="00525756"/>
    <w:rsid w:val="00525871"/>
    <w:rsid w:val="00525972"/>
    <w:rsid w:val="00525990"/>
    <w:rsid w:val="005259FD"/>
    <w:rsid w:val="00525A37"/>
    <w:rsid w:val="00525AC8"/>
    <w:rsid w:val="00525C34"/>
    <w:rsid w:val="00525D4A"/>
    <w:rsid w:val="00525DB2"/>
    <w:rsid w:val="00525DD1"/>
    <w:rsid w:val="00525FCB"/>
    <w:rsid w:val="0052601C"/>
    <w:rsid w:val="005260DE"/>
    <w:rsid w:val="0052619E"/>
    <w:rsid w:val="005261A1"/>
    <w:rsid w:val="00526250"/>
    <w:rsid w:val="0052629D"/>
    <w:rsid w:val="00526438"/>
    <w:rsid w:val="00526505"/>
    <w:rsid w:val="00526611"/>
    <w:rsid w:val="005266C7"/>
    <w:rsid w:val="00526705"/>
    <w:rsid w:val="0052672A"/>
    <w:rsid w:val="0052674B"/>
    <w:rsid w:val="005267C2"/>
    <w:rsid w:val="00526837"/>
    <w:rsid w:val="00526913"/>
    <w:rsid w:val="005269C7"/>
    <w:rsid w:val="005269D7"/>
    <w:rsid w:val="005269FF"/>
    <w:rsid w:val="00526B88"/>
    <w:rsid w:val="00526C45"/>
    <w:rsid w:val="00526CD9"/>
    <w:rsid w:val="00526E34"/>
    <w:rsid w:val="00526EA0"/>
    <w:rsid w:val="00526FFE"/>
    <w:rsid w:val="0052701A"/>
    <w:rsid w:val="00527058"/>
    <w:rsid w:val="005270BC"/>
    <w:rsid w:val="005270C6"/>
    <w:rsid w:val="005270FA"/>
    <w:rsid w:val="00527128"/>
    <w:rsid w:val="00527276"/>
    <w:rsid w:val="00527332"/>
    <w:rsid w:val="0052738D"/>
    <w:rsid w:val="00527411"/>
    <w:rsid w:val="00527589"/>
    <w:rsid w:val="005275FC"/>
    <w:rsid w:val="005277A3"/>
    <w:rsid w:val="005277E7"/>
    <w:rsid w:val="005278B2"/>
    <w:rsid w:val="005278CD"/>
    <w:rsid w:val="00527923"/>
    <w:rsid w:val="00527927"/>
    <w:rsid w:val="00527932"/>
    <w:rsid w:val="00527A29"/>
    <w:rsid w:val="00527AB5"/>
    <w:rsid w:val="00527AE8"/>
    <w:rsid w:val="00527B01"/>
    <w:rsid w:val="00527B10"/>
    <w:rsid w:val="00527BA0"/>
    <w:rsid w:val="00527BAF"/>
    <w:rsid w:val="00527C63"/>
    <w:rsid w:val="00527D9D"/>
    <w:rsid w:val="00527DB2"/>
    <w:rsid w:val="00527DF1"/>
    <w:rsid w:val="00527E18"/>
    <w:rsid w:val="00527EA5"/>
    <w:rsid w:val="00527EBA"/>
    <w:rsid w:val="00527FBA"/>
    <w:rsid w:val="0052D0CA"/>
    <w:rsid w:val="0053002D"/>
    <w:rsid w:val="005300AF"/>
    <w:rsid w:val="005300CB"/>
    <w:rsid w:val="00530296"/>
    <w:rsid w:val="00530306"/>
    <w:rsid w:val="0053033E"/>
    <w:rsid w:val="00530453"/>
    <w:rsid w:val="0053049F"/>
    <w:rsid w:val="005308B8"/>
    <w:rsid w:val="00530976"/>
    <w:rsid w:val="005309C0"/>
    <w:rsid w:val="00530A14"/>
    <w:rsid w:val="00530A47"/>
    <w:rsid w:val="00530A51"/>
    <w:rsid w:val="00530A6F"/>
    <w:rsid w:val="00530B75"/>
    <w:rsid w:val="00530B94"/>
    <w:rsid w:val="00530C0E"/>
    <w:rsid w:val="00530C7D"/>
    <w:rsid w:val="00530C7F"/>
    <w:rsid w:val="00530CCA"/>
    <w:rsid w:val="00530D21"/>
    <w:rsid w:val="00530D91"/>
    <w:rsid w:val="00530E0A"/>
    <w:rsid w:val="00530E48"/>
    <w:rsid w:val="00530EC8"/>
    <w:rsid w:val="00530F41"/>
    <w:rsid w:val="00530F50"/>
    <w:rsid w:val="00531030"/>
    <w:rsid w:val="0053103D"/>
    <w:rsid w:val="005310E4"/>
    <w:rsid w:val="005311E7"/>
    <w:rsid w:val="00531244"/>
    <w:rsid w:val="00531356"/>
    <w:rsid w:val="00531372"/>
    <w:rsid w:val="00531399"/>
    <w:rsid w:val="005313AE"/>
    <w:rsid w:val="005313FF"/>
    <w:rsid w:val="00531499"/>
    <w:rsid w:val="00531598"/>
    <w:rsid w:val="005315C9"/>
    <w:rsid w:val="0053160C"/>
    <w:rsid w:val="00531629"/>
    <w:rsid w:val="00531678"/>
    <w:rsid w:val="0053172A"/>
    <w:rsid w:val="005317E5"/>
    <w:rsid w:val="005318B0"/>
    <w:rsid w:val="005319CB"/>
    <w:rsid w:val="00531A03"/>
    <w:rsid w:val="00531A5C"/>
    <w:rsid w:val="00531B15"/>
    <w:rsid w:val="00531B34"/>
    <w:rsid w:val="00531B59"/>
    <w:rsid w:val="00531BA0"/>
    <w:rsid w:val="00531D47"/>
    <w:rsid w:val="00531F32"/>
    <w:rsid w:val="00531F71"/>
    <w:rsid w:val="0053205A"/>
    <w:rsid w:val="005320A7"/>
    <w:rsid w:val="005320E6"/>
    <w:rsid w:val="0053216D"/>
    <w:rsid w:val="005322A5"/>
    <w:rsid w:val="005323E9"/>
    <w:rsid w:val="00532419"/>
    <w:rsid w:val="005324F1"/>
    <w:rsid w:val="00532627"/>
    <w:rsid w:val="00532630"/>
    <w:rsid w:val="00532654"/>
    <w:rsid w:val="005326A6"/>
    <w:rsid w:val="005326AD"/>
    <w:rsid w:val="00532700"/>
    <w:rsid w:val="0053276D"/>
    <w:rsid w:val="00532818"/>
    <w:rsid w:val="005328D1"/>
    <w:rsid w:val="005328E4"/>
    <w:rsid w:val="005329D5"/>
    <w:rsid w:val="00532A14"/>
    <w:rsid w:val="00532AA5"/>
    <w:rsid w:val="00532AE8"/>
    <w:rsid w:val="00532C75"/>
    <w:rsid w:val="00532C82"/>
    <w:rsid w:val="00532C9A"/>
    <w:rsid w:val="00532CDB"/>
    <w:rsid w:val="00532D3D"/>
    <w:rsid w:val="00532D6F"/>
    <w:rsid w:val="00532D76"/>
    <w:rsid w:val="00532DB6"/>
    <w:rsid w:val="00532E07"/>
    <w:rsid w:val="00532E7F"/>
    <w:rsid w:val="00532E8E"/>
    <w:rsid w:val="00532EA5"/>
    <w:rsid w:val="00533015"/>
    <w:rsid w:val="005330DF"/>
    <w:rsid w:val="005331ED"/>
    <w:rsid w:val="00533276"/>
    <w:rsid w:val="005332BA"/>
    <w:rsid w:val="0053334B"/>
    <w:rsid w:val="005333E9"/>
    <w:rsid w:val="0053350C"/>
    <w:rsid w:val="0053366D"/>
    <w:rsid w:val="00533677"/>
    <w:rsid w:val="0053385B"/>
    <w:rsid w:val="00533885"/>
    <w:rsid w:val="00533889"/>
    <w:rsid w:val="005339DC"/>
    <w:rsid w:val="00533AA1"/>
    <w:rsid w:val="00533B25"/>
    <w:rsid w:val="00533C05"/>
    <w:rsid w:val="00533C8F"/>
    <w:rsid w:val="00533D1E"/>
    <w:rsid w:val="00533D82"/>
    <w:rsid w:val="00533DE7"/>
    <w:rsid w:val="00533EFA"/>
    <w:rsid w:val="00533F75"/>
    <w:rsid w:val="0053402D"/>
    <w:rsid w:val="00534054"/>
    <w:rsid w:val="00534107"/>
    <w:rsid w:val="005341A6"/>
    <w:rsid w:val="005341CE"/>
    <w:rsid w:val="00534210"/>
    <w:rsid w:val="0053422D"/>
    <w:rsid w:val="005343AC"/>
    <w:rsid w:val="00534551"/>
    <w:rsid w:val="005345DA"/>
    <w:rsid w:val="0053462B"/>
    <w:rsid w:val="00534648"/>
    <w:rsid w:val="00534657"/>
    <w:rsid w:val="005346C2"/>
    <w:rsid w:val="00534749"/>
    <w:rsid w:val="005347E4"/>
    <w:rsid w:val="005348E5"/>
    <w:rsid w:val="0053491A"/>
    <w:rsid w:val="00534A22"/>
    <w:rsid w:val="00534A88"/>
    <w:rsid w:val="00534AB9"/>
    <w:rsid w:val="00534CAB"/>
    <w:rsid w:val="00534D61"/>
    <w:rsid w:val="00534E65"/>
    <w:rsid w:val="00534E9B"/>
    <w:rsid w:val="00534EC0"/>
    <w:rsid w:val="00534FB2"/>
    <w:rsid w:val="0053500F"/>
    <w:rsid w:val="00535111"/>
    <w:rsid w:val="00535227"/>
    <w:rsid w:val="0053522C"/>
    <w:rsid w:val="00535291"/>
    <w:rsid w:val="00535328"/>
    <w:rsid w:val="00535415"/>
    <w:rsid w:val="005354C6"/>
    <w:rsid w:val="00535544"/>
    <w:rsid w:val="005355AC"/>
    <w:rsid w:val="005355EC"/>
    <w:rsid w:val="005356C4"/>
    <w:rsid w:val="005356D1"/>
    <w:rsid w:val="00535746"/>
    <w:rsid w:val="00535867"/>
    <w:rsid w:val="00535B05"/>
    <w:rsid w:val="00535CA7"/>
    <w:rsid w:val="00535CB8"/>
    <w:rsid w:val="00535CCE"/>
    <w:rsid w:val="00535CDA"/>
    <w:rsid w:val="00535D01"/>
    <w:rsid w:val="00535DCB"/>
    <w:rsid w:val="00535DFE"/>
    <w:rsid w:val="00535ECA"/>
    <w:rsid w:val="00535FBD"/>
    <w:rsid w:val="00536002"/>
    <w:rsid w:val="0053602F"/>
    <w:rsid w:val="00536069"/>
    <w:rsid w:val="00536096"/>
    <w:rsid w:val="005360AE"/>
    <w:rsid w:val="00536195"/>
    <w:rsid w:val="0053619E"/>
    <w:rsid w:val="005361A2"/>
    <w:rsid w:val="005361C4"/>
    <w:rsid w:val="005361FB"/>
    <w:rsid w:val="0053622C"/>
    <w:rsid w:val="0053626B"/>
    <w:rsid w:val="0053628B"/>
    <w:rsid w:val="005362D1"/>
    <w:rsid w:val="00536364"/>
    <w:rsid w:val="005363CC"/>
    <w:rsid w:val="005363D9"/>
    <w:rsid w:val="005363F3"/>
    <w:rsid w:val="00536448"/>
    <w:rsid w:val="00536496"/>
    <w:rsid w:val="005365A6"/>
    <w:rsid w:val="00536665"/>
    <w:rsid w:val="005367F2"/>
    <w:rsid w:val="0053691F"/>
    <w:rsid w:val="00536A20"/>
    <w:rsid w:val="00536A23"/>
    <w:rsid w:val="00536A83"/>
    <w:rsid w:val="00536AD0"/>
    <w:rsid w:val="00536AF0"/>
    <w:rsid w:val="00536B18"/>
    <w:rsid w:val="00536B85"/>
    <w:rsid w:val="00536BC9"/>
    <w:rsid w:val="00536D13"/>
    <w:rsid w:val="00536D73"/>
    <w:rsid w:val="00536EF3"/>
    <w:rsid w:val="00536F1D"/>
    <w:rsid w:val="00536F52"/>
    <w:rsid w:val="00536F90"/>
    <w:rsid w:val="00536FC7"/>
    <w:rsid w:val="00537157"/>
    <w:rsid w:val="00537217"/>
    <w:rsid w:val="00537224"/>
    <w:rsid w:val="005372AB"/>
    <w:rsid w:val="0053730B"/>
    <w:rsid w:val="00537391"/>
    <w:rsid w:val="005373B2"/>
    <w:rsid w:val="005373B3"/>
    <w:rsid w:val="005373F5"/>
    <w:rsid w:val="00537599"/>
    <w:rsid w:val="005377C8"/>
    <w:rsid w:val="0053784F"/>
    <w:rsid w:val="00537889"/>
    <w:rsid w:val="005378E7"/>
    <w:rsid w:val="00537A53"/>
    <w:rsid w:val="00537A62"/>
    <w:rsid w:val="00537B69"/>
    <w:rsid w:val="00537B7D"/>
    <w:rsid w:val="00537B8A"/>
    <w:rsid w:val="00537C8B"/>
    <w:rsid w:val="00537CFB"/>
    <w:rsid w:val="00537D32"/>
    <w:rsid w:val="00537D92"/>
    <w:rsid w:val="00537F05"/>
    <w:rsid w:val="00537F92"/>
    <w:rsid w:val="00537F97"/>
    <w:rsid w:val="00537FF8"/>
    <w:rsid w:val="005401C6"/>
    <w:rsid w:val="00540206"/>
    <w:rsid w:val="005402DC"/>
    <w:rsid w:val="0054051D"/>
    <w:rsid w:val="005406B2"/>
    <w:rsid w:val="00540755"/>
    <w:rsid w:val="00540765"/>
    <w:rsid w:val="00540828"/>
    <w:rsid w:val="00540922"/>
    <w:rsid w:val="00540986"/>
    <w:rsid w:val="0054099B"/>
    <w:rsid w:val="00540A38"/>
    <w:rsid w:val="00540A6D"/>
    <w:rsid w:val="00540AD5"/>
    <w:rsid w:val="00540B97"/>
    <w:rsid w:val="00540BD8"/>
    <w:rsid w:val="00540C40"/>
    <w:rsid w:val="00540C54"/>
    <w:rsid w:val="00540CBB"/>
    <w:rsid w:val="00540CF6"/>
    <w:rsid w:val="00540D4D"/>
    <w:rsid w:val="00540D97"/>
    <w:rsid w:val="00540E35"/>
    <w:rsid w:val="00540F64"/>
    <w:rsid w:val="00540FBD"/>
    <w:rsid w:val="005410F6"/>
    <w:rsid w:val="0054114F"/>
    <w:rsid w:val="005411B6"/>
    <w:rsid w:val="00541380"/>
    <w:rsid w:val="005413FB"/>
    <w:rsid w:val="00541421"/>
    <w:rsid w:val="00541492"/>
    <w:rsid w:val="0054152A"/>
    <w:rsid w:val="0054155A"/>
    <w:rsid w:val="005415E9"/>
    <w:rsid w:val="00541608"/>
    <w:rsid w:val="00541666"/>
    <w:rsid w:val="0054166A"/>
    <w:rsid w:val="00541694"/>
    <w:rsid w:val="005416B9"/>
    <w:rsid w:val="005416ED"/>
    <w:rsid w:val="00541771"/>
    <w:rsid w:val="005418BC"/>
    <w:rsid w:val="005419CB"/>
    <w:rsid w:val="00541A26"/>
    <w:rsid w:val="00541B4C"/>
    <w:rsid w:val="00541B9F"/>
    <w:rsid w:val="00541BFB"/>
    <w:rsid w:val="00541C0C"/>
    <w:rsid w:val="00541C32"/>
    <w:rsid w:val="00541CF3"/>
    <w:rsid w:val="00541DDA"/>
    <w:rsid w:val="00541DF2"/>
    <w:rsid w:val="00541EE3"/>
    <w:rsid w:val="00541F32"/>
    <w:rsid w:val="00541F63"/>
    <w:rsid w:val="005421D2"/>
    <w:rsid w:val="0054228D"/>
    <w:rsid w:val="005422D2"/>
    <w:rsid w:val="005422EC"/>
    <w:rsid w:val="005423B1"/>
    <w:rsid w:val="0054252D"/>
    <w:rsid w:val="00542534"/>
    <w:rsid w:val="00542552"/>
    <w:rsid w:val="0054256A"/>
    <w:rsid w:val="005425AF"/>
    <w:rsid w:val="005425B6"/>
    <w:rsid w:val="005425C2"/>
    <w:rsid w:val="00542610"/>
    <w:rsid w:val="0054290F"/>
    <w:rsid w:val="00542928"/>
    <w:rsid w:val="0054296A"/>
    <w:rsid w:val="00542B40"/>
    <w:rsid w:val="00542B41"/>
    <w:rsid w:val="00542BA7"/>
    <w:rsid w:val="00542DE3"/>
    <w:rsid w:val="00542EFA"/>
    <w:rsid w:val="00542F4C"/>
    <w:rsid w:val="00542F6B"/>
    <w:rsid w:val="00542F76"/>
    <w:rsid w:val="00542F8B"/>
    <w:rsid w:val="00542F95"/>
    <w:rsid w:val="00542FCA"/>
    <w:rsid w:val="00543218"/>
    <w:rsid w:val="005432D8"/>
    <w:rsid w:val="0054334F"/>
    <w:rsid w:val="005433EB"/>
    <w:rsid w:val="0054345A"/>
    <w:rsid w:val="0054351A"/>
    <w:rsid w:val="00543561"/>
    <w:rsid w:val="0054356D"/>
    <w:rsid w:val="00543573"/>
    <w:rsid w:val="00543603"/>
    <w:rsid w:val="00543716"/>
    <w:rsid w:val="0054371A"/>
    <w:rsid w:val="00543741"/>
    <w:rsid w:val="00543760"/>
    <w:rsid w:val="005438A6"/>
    <w:rsid w:val="005438AA"/>
    <w:rsid w:val="00543976"/>
    <w:rsid w:val="00543A21"/>
    <w:rsid w:val="00543C2A"/>
    <w:rsid w:val="00543D39"/>
    <w:rsid w:val="00543D75"/>
    <w:rsid w:val="00543F12"/>
    <w:rsid w:val="00543FA6"/>
    <w:rsid w:val="0054402C"/>
    <w:rsid w:val="005440EB"/>
    <w:rsid w:val="00544193"/>
    <w:rsid w:val="00544376"/>
    <w:rsid w:val="0054439B"/>
    <w:rsid w:val="00544410"/>
    <w:rsid w:val="00544415"/>
    <w:rsid w:val="005444AE"/>
    <w:rsid w:val="00544509"/>
    <w:rsid w:val="00544610"/>
    <w:rsid w:val="00544861"/>
    <w:rsid w:val="0054488E"/>
    <w:rsid w:val="00544972"/>
    <w:rsid w:val="005449B0"/>
    <w:rsid w:val="00544A21"/>
    <w:rsid w:val="00544B13"/>
    <w:rsid w:val="00544B5A"/>
    <w:rsid w:val="00544B5B"/>
    <w:rsid w:val="00544B79"/>
    <w:rsid w:val="00544B8A"/>
    <w:rsid w:val="00544C52"/>
    <w:rsid w:val="00544C93"/>
    <w:rsid w:val="00544D5B"/>
    <w:rsid w:val="00544D70"/>
    <w:rsid w:val="00544DBE"/>
    <w:rsid w:val="00544E2C"/>
    <w:rsid w:val="00544E60"/>
    <w:rsid w:val="00544F2A"/>
    <w:rsid w:val="00544F2E"/>
    <w:rsid w:val="00544F42"/>
    <w:rsid w:val="00544F5C"/>
    <w:rsid w:val="00544FB6"/>
    <w:rsid w:val="0054504F"/>
    <w:rsid w:val="0054513E"/>
    <w:rsid w:val="005451CB"/>
    <w:rsid w:val="00545420"/>
    <w:rsid w:val="005454F7"/>
    <w:rsid w:val="00545544"/>
    <w:rsid w:val="005455F3"/>
    <w:rsid w:val="0054561B"/>
    <w:rsid w:val="00545626"/>
    <w:rsid w:val="005456E1"/>
    <w:rsid w:val="00545701"/>
    <w:rsid w:val="0054571E"/>
    <w:rsid w:val="0054579C"/>
    <w:rsid w:val="005457A7"/>
    <w:rsid w:val="005457FF"/>
    <w:rsid w:val="00545882"/>
    <w:rsid w:val="00545B70"/>
    <w:rsid w:val="00545B73"/>
    <w:rsid w:val="00545BAE"/>
    <w:rsid w:val="00545BCD"/>
    <w:rsid w:val="00545C1B"/>
    <w:rsid w:val="00545C78"/>
    <w:rsid w:val="00545CB9"/>
    <w:rsid w:val="00545D04"/>
    <w:rsid w:val="00545D32"/>
    <w:rsid w:val="00545D5A"/>
    <w:rsid w:val="00545EFD"/>
    <w:rsid w:val="00545F4D"/>
    <w:rsid w:val="0054608D"/>
    <w:rsid w:val="005460BE"/>
    <w:rsid w:val="005460E5"/>
    <w:rsid w:val="005462AE"/>
    <w:rsid w:val="0054639B"/>
    <w:rsid w:val="0054645B"/>
    <w:rsid w:val="005464B2"/>
    <w:rsid w:val="00546554"/>
    <w:rsid w:val="00546564"/>
    <w:rsid w:val="005465B4"/>
    <w:rsid w:val="00546603"/>
    <w:rsid w:val="00546669"/>
    <w:rsid w:val="005466D1"/>
    <w:rsid w:val="005466E2"/>
    <w:rsid w:val="005467DA"/>
    <w:rsid w:val="005467EE"/>
    <w:rsid w:val="005468C5"/>
    <w:rsid w:val="0054693A"/>
    <w:rsid w:val="0054697E"/>
    <w:rsid w:val="005469A6"/>
    <w:rsid w:val="00546A85"/>
    <w:rsid w:val="00546CC5"/>
    <w:rsid w:val="00546EAC"/>
    <w:rsid w:val="00546EDF"/>
    <w:rsid w:val="00546F26"/>
    <w:rsid w:val="0054701C"/>
    <w:rsid w:val="00547085"/>
    <w:rsid w:val="005470B0"/>
    <w:rsid w:val="0054712B"/>
    <w:rsid w:val="0054724C"/>
    <w:rsid w:val="005472AE"/>
    <w:rsid w:val="00547345"/>
    <w:rsid w:val="005474D6"/>
    <w:rsid w:val="00547623"/>
    <w:rsid w:val="0054769C"/>
    <w:rsid w:val="00547803"/>
    <w:rsid w:val="00547909"/>
    <w:rsid w:val="00547955"/>
    <w:rsid w:val="00547A23"/>
    <w:rsid w:val="00547C9F"/>
    <w:rsid w:val="00547E2A"/>
    <w:rsid w:val="00547E69"/>
    <w:rsid w:val="00547F3C"/>
    <w:rsid w:val="005500AB"/>
    <w:rsid w:val="005500EE"/>
    <w:rsid w:val="005501AD"/>
    <w:rsid w:val="005501DD"/>
    <w:rsid w:val="00550278"/>
    <w:rsid w:val="00550365"/>
    <w:rsid w:val="005503E5"/>
    <w:rsid w:val="00550409"/>
    <w:rsid w:val="005504A7"/>
    <w:rsid w:val="00550503"/>
    <w:rsid w:val="00550545"/>
    <w:rsid w:val="0055057D"/>
    <w:rsid w:val="00550674"/>
    <w:rsid w:val="005506C1"/>
    <w:rsid w:val="0055082E"/>
    <w:rsid w:val="00550885"/>
    <w:rsid w:val="00550A34"/>
    <w:rsid w:val="00550B5B"/>
    <w:rsid w:val="00550B85"/>
    <w:rsid w:val="00550BB1"/>
    <w:rsid w:val="00550C6D"/>
    <w:rsid w:val="00550EAE"/>
    <w:rsid w:val="00550EC2"/>
    <w:rsid w:val="00550F1A"/>
    <w:rsid w:val="00550FCE"/>
    <w:rsid w:val="005510F1"/>
    <w:rsid w:val="0055110E"/>
    <w:rsid w:val="0055118E"/>
    <w:rsid w:val="005511E0"/>
    <w:rsid w:val="00551256"/>
    <w:rsid w:val="0055142F"/>
    <w:rsid w:val="0055149E"/>
    <w:rsid w:val="00551510"/>
    <w:rsid w:val="00551619"/>
    <w:rsid w:val="005516A4"/>
    <w:rsid w:val="0055175C"/>
    <w:rsid w:val="005519A8"/>
    <w:rsid w:val="00551A32"/>
    <w:rsid w:val="00551AB7"/>
    <w:rsid w:val="00551BDF"/>
    <w:rsid w:val="00551BE2"/>
    <w:rsid w:val="00551C40"/>
    <w:rsid w:val="00551C83"/>
    <w:rsid w:val="00551CFB"/>
    <w:rsid w:val="00551D12"/>
    <w:rsid w:val="00551D2F"/>
    <w:rsid w:val="00551DBD"/>
    <w:rsid w:val="00551E25"/>
    <w:rsid w:val="00551E55"/>
    <w:rsid w:val="00551E65"/>
    <w:rsid w:val="00551F4F"/>
    <w:rsid w:val="00551F55"/>
    <w:rsid w:val="00551F57"/>
    <w:rsid w:val="00552014"/>
    <w:rsid w:val="00552061"/>
    <w:rsid w:val="00552103"/>
    <w:rsid w:val="005521EA"/>
    <w:rsid w:val="0055229C"/>
    <w:rsid w:val="0055231B"/>
    <w:rsid w:val="00552351"/>
    <w:rsid w:val="00552471"/>
    <w:rsid w:val="005524EB"/>
    <w:rsid w:val="00552536"/>
    <w:rsid w:val="00552695"/>
    <w:rsid w:val="005526B0"/>
    <w:rsid w:val="0055276B"/>
    <w:rsid w:val="0055280D"/>
    <w:rsid w:val="00552850"/>
    <w:rsid w:val="0055292D"/>
    <w:rsid w:val="005529BD"/>
    <w:rsid w:val="005529DC"/>
    <w:rsid w:val="00552A8D"/>
    <w:rsid w:val="00552B30"/>
    <w:rsid w:val="00552BFB"/>
    <w:rsid w:val="00552C32"/>
    <w:rsid w:val="00552C78"/>
    <w:rsid w:val="00552D0A"/>
    <w:rsid w:val="00552D27"/>
    <w:rsid w:val="00552D2A"/>
    <w:rsid w:val="00552D52"/>
    <w:rsid w:val="00552D79"/>
    <w:rsid w:val="00552F37"/>
    <w:rsid w:val="00552F65"/>
    <w:rsid w:val="00552FA0"/>
    <w:rsid w:val="00553024"/>
    <w:rsid w:val="00553025"/>
    <w:rsid w:val="00553102"/>
    <w:rsid w:val="00553297"/>
    <w:rsid w:val="0055336D"/>
    <w:rsid w:val="005533D4"/>
    <w:rsid w:val="0055340B"/>
    <w:rsid w:val="005534BE"/>
    <w:rsid w:val="00553590"/>
    <w:rsid w:val="00553711"/>
    <w:rsid w:val="005537BB"/>
    <w:rsid w:val="005537F8"/>
    <w:rsid w:val="005539DA"/>
    <w:rsid w:val="005539E6"/>
    <w:rsid w:val="00553A00"/>
    <w:rsid w:val="00553B08"/>
    <w:rsid w:val="00553B0F"/>
    <w:rsid w:val="00553B10"/>
    <w:rsid w:val="00553B1A"/>
    <w:rsid w:val="00553C3F"/>
    <w:rsid w:val="00553DA3"/>
    <w:rsid w:val="00553E97"/>
    <w:rsid w:val="00553EDC"/>
    <w:rsid w:val="00553EE0"/>
    <w:rsid w:val="00553EE1"/>
    <w:rsid w:val="00553F2D"/>
    <w:rsid w:val="00553FA1"/>
    <w:rsid w:val="00553FA2"/>
    <w:rsid w:val="00554011"/>
    <w:rsid w:val="00554021"/>
    <w:rsid w:val="00554124"/>
    <w:rsid w:val="00554414"/>
    <w:rsid w:val="00554590"/>
    <w:rsid w:val="0055459F"/>
    <w:rsid w:val="005545E0"/>
    <w:rsid w:val="0055461C"/>
    <w:rsid w:val="0055469C"/>
    <w:rsid w:val="005546AE"/>
    <w:rsid w:val="00554715"/>
    <w:rsid w:val="005549EE"/>
    <w:rsid w:val="00554C0E"/>
    <w:rsid w:val="00554CA8"/>
    <w:rsid w:val="00554CBA"/>
    <w:rsid w:val="00554CD1"/>
    <w:rsid w:val="00554ED4"/>
    <w:rsid w:val="00554F5D"/>
    <w:rsid w:val="00555133"/>
    <w:rsid w:val="0055513C"/>
    <w:rsid w:val="005551E3"/>
    <w:rsid w:val="00555227"/>
    <w:rsid w:val="0055525B"/>
    <w:rsid w:val="005552D5"/>
    <w:rsid w:val="0055536A"/>
    <w:rsid w:val="005553CB"/>
    <w:rsid w:val="005554E5"/>
    <w:rsid w:val="00555589"/>
    <w:rsid w:val="00555591"/>
    <w:rsid w:val="005555AF"/>
    <w:rsid w:val="00555623"/>
    <w:rsid w:val="0055562F"/>
    <w:rsid w:val="00555655"/>
    <w:rsid w:val="005556F0"/>
    <w:rsid w:val="00555743"/>
    <w:rsid w:val="005557AC"/>
    <w:rsid w:val="005557C8"/>
    <w:rsid w:val="00555804"/>
    <w:rsid w:val="00555852"/>
    <w:rsid w:val="0055587B"/>
    <w:rsid w:val="005558EE"/>
    <w:rsid w:val="00555936"/>
    <w:rsid w:val="00555943"/>
    <w:rsid w:val="00555A3D"/>
    <w:rsid w:val="00555A75"/>
    <w:rsid w:val="00555B35"/>
    <w:rsid w:val="00555B73"/>
    <w:rsid w:val="00555E26"/>
    <w:rsid w:val="00555E72"/>
    <w:rsid w:val="00555E90"/>
    <w:rsid w:val="00555EA7"/>
    <w:rsid w:val="00555F28"/>
    <w:rsid w:val="0055607D"/>
    <w:rsid w:val="00556140"/>
    <w:rsid w:val="00556173"/>
    <w:rsid w:val="00556246"/>
    <w:rsid w:val="0055627D"/>
    <w:rsid w:val="00556286"/>
    <w:rsid w:val="0055628E"/>
    <w:rsid w:val="005562C4"/>
    <w:rsid w:val="005562F3"/>
    <w:rsid w:val="0055630B"/>
    <w:rsid w:val="00556389"/>
    <w:rsid w:val="005563A1"/>
    <w:rsid w:val="00556403"/>
    <w:rsid w:val="00556406"/>
    <w:rsid w:val="005564F7"/>
    <w:rsid w:val="00556604"/>
    <w:rsid w:val="0055689D"/>
    <w:rsid w:val="005569C6"/>
    <w:rsid w:val="00556A77"/>
    <w:rsid w:val="00556B56"/>
    <w:rsid w:val="00556BDB"/>
    <w:rsid w:val="00556CC6"/>
    <w:rsid w:val="00556D20"/>
    <w:rsid w:val="00556D22"/>
    <w:rsid w:val="00556D6B"/>
    <w:rsid w:val="00556DA2"/>
    <w:rsid w:val="00556DB3"/>
    <w:rsid w:val="00556DD8"/>
    <w:rsid w:val="00556E5F"/>
    <w:rsid w:val="00556EB4"/>
    <w:rsid w:val="00556EB7"/>
    <w:rsid w:val="00556F60"/>
    <w:rsid w:val="005570B2"/>
    <w:rsid w:val="005570D4"/>
    <w:rsid w:val="005570EE"/>
    <w:rsid w:val="0055715B"/>
    <w:rsid w:val="00557170"/>
    <w:rsid w:val="005571F4"/>
    <w:rsid w:val="00557203"/>
    <w:rsid w:val="00557207"/>
    <w:rsid w:val="0055726D"/>
    <w:rsid w:val="00557276"/>
    <w:rsid w:val="0055728D"/>
    <w:rsid w:val="005572AD"/>
    <w:rsid w:val="0055732A"/>
    <w:rsid w:val="00557411"/>
    <w:rsid w:val="00557443"/>
    <w:rsid w:val="00557452"/>
    <w:rsid w:val="0055749A"/>
    <w:rsid w:val="005574CD"/>
    <w:rsid w:val="00557530"/>
    <w:rsid w:val="00557549"/>
    <w:rsid w:val="0055762A"/>
    <w:rsid w:val="005576D5"/>
    <w:rsid w:val="00557762"/>
    <w:rsid w:val="00557797"/>
    <w:rsid w:val="005577F4"/>
    <w:rsid w:val="005578DE"/>
    <w:rsid w:val="00557989"/>
    <w:rsid w:val="00557992"/>
    <w:rsid w:val="00557A21"/>
    <w:rsid w:val="00557BF7"/>
    <w:rsid w:val="00557CE7"/>
    <w:rsid w:val="00557DC3"/>
    <w:rsid w:val="00557E8F"/>
    <w:rsid w:val="00557F20"/>
    <w:rsid w:val="00557F21"/>
    <w:rsid w:val="00557F37"/>
    <w:rsid w:val="0056000C"/>
    <w:rsid w:val="00560013"/>
    <w:rsid w:val="005600E6"/>
    <w:rsid w:val="005600EE"/>
    <w:rsid w:val="005600FC"/>
    <w:rsid w:val="0056013B"/>
    <w:rsid w:val="00560141"/>
    <w:rsid w:val="0056023C"/>
    <w:rsid w:val="0056032C"/>
    <w:rsid w:val="005603EC"/>
    <w:rsid w:val="005603F0"/>
    <w:rsid w:val="00560409"/>
    <w:rsid w:val="0056046C"/>
    <w:rsid w:val="00560487"/>
    <w:rsid w:val="0056060A"/>
    <w:rsid w:val="0056065D"/>
    <w:rsid w:val="0056066E"/>
    <w:rsid w:val="0056066F"/>
    <w:rsid w:val="00560682"/>
    <w:rsid w:val="00560689"/>
    <w:rsid w:val="005606B3"/>
    <w:rsid w:val="005606D0"/>
    <w:rsid w:val="0056075F"/>
    <w:rsid w:val="0056076C"/>
    <w:rsid w:val="005607AA"/>
    <w:rsid w:val="00560866"/>
    <w:rsid w:val="005608CB"/>
    <w:rsid w:val="00560A1E"/>
    <w:rsid w:val="00560A9E"/>
    <w:rsid w:val="00560B02"/>
    <w:rsid w:val="00560BDE"/>
    <w:rsid w:val="00560C47"/>
    <w:rsid w:val="00560D31"/>
    <w:rsid w:val="00560D6F"/>
    <w:rsid w:val="00560DAE"/>
    <w:rsid w:val="00560E3F"/>
    <w:rsid w:val="00560EE8"/>
    <w:rsid w:val="00560EEE"/>
    <w:rsid w:val="00560FA0"/>
    <w:rsid w:val="00560FAB"/>
    <w:rsid w:val="00560FD0"/>
    <w:rsid w:val="00560FFD"/>
    <w:rsid w:val="00561147"/>
    <w:rsid w:val="00561154"/>
    <w:rsid w:val="00561155"/>
    <w:rsid w:val="005611AD"/>
    <w:rsid w:val="00561223"/>
    <w:rsid w:val="00561235"/>
    <w:rsid w:val="00561295"/>
    <w:rsid w:val="005612C9"/>
    <w:rsid w:val="005612E4"/>
    <w:rsid w:val="005612E9"/>
    <w:rsid w:val="00561342"/>
    <w:rsid w:val="00561344"/>
    <w:rsid w:val="00561429"/>
    <w:rsid w:val="00561442"/>
    <w:rsid w:val="005614D6"/>
    <w:rsid w:val="005614EE"/>
    <w:rsid w:val="00561593"/>
    <w:rsid w:val="0056159A"/>
    <w:rsid w:val="005615A7"/>
    <w:rsid w:val="0056173F"/>
    <w:rsid w:val="0056174C"/>
    <w:rsid w:val="005617BA"/>
    <w:rsid w:val="005618A4"/>
    <w:rsid w:val="005618FD"/>
    <w:rsid w:val="00561919"/>
    <w:rsid w:val="00561C1F"/>
    <w:rsid w:val="00561C3A"/>
    <w:rsid w:val="00561CC4"/>
    <w:rsid w:val="00561CCD"/>
    <w:rsid w:val="00561D3B"/>
    <w:rsid w:val="00561DA8"/>
    <w:rsid w:val="00561DDC"/>
    <w:rsid w:val="00561E9D"/>
    <w:rsid w:val="00561EBB"/>
    <w:rsid w:val="00561EE4"/>
    <w:rsid w:val="00561EF0"/>
    <w:rsid w:val="00561F8E"/>
    <w:rsid w:val="00561FD5"/>
    <w:rsid w:val="005620C8"/>
    <w:rsid w:val="005620F2"/>
    <w:rsid w:val="00562152"/>
    <w:rsid w:val="005621A7"/>
    <w:rsid w:val="005621BE"/>
    <w:rsid w:val="0056229D"/>
    <w:rsid w:val="00562367"/>
    <w:rsid w:val="005623B6"/>
    <w:rsid w:val="0056243A"/>
    <w:rsid w:val="005624C7"/>
    <w:rsid w:val="0056259E"/>
    <w:rsid w:val="0056275F"/>
    <w:rsid w:val="00562923"/>
    <w:rsid w:val="00562931"/>
    <w:rsid w:val="00562990"/>
    <w:rsid w:val="005629D3"/>
    <w:rsid w:val="00562A16"/>
    <w:rsid w:val="00562D58"/>
    <w:rsid w:val="00562D6F"/>
    <w:rsid w:val="00562D85"/>
    <w:rsid w:val="00562D9D"/>
    <w:rsid w:val="00562DF0"/>
    <w:rsid w:val="00562E21"/>
    <w:rsid w:val="00562E9A"/>
    <w:rsid w:val="00562F50"/>
    <w:rsid w:val="00562FD5"/>
    <w:rsid w:val="0056304A"/>
    <w:rsid w:val="005630FE"/>
    <w:rsid w:val="0056312F"/>
    <w:rsid w:val="00563164"/>
    <w:rsid w:val="005631BA"/>
    <w:rsid w:val="005631F0"/>
    <w:rsid w:val="0056341F"/>
    <w:rsid w:val="005634BD"/>
    <w:rsid w:val="00563515"/>
    <w:rsid w:val="00563647"/>
    <w:rsid w:val="005636CB"/>
    <w:rsid w:val="00563843"/>
    <w:rsid w:val="0056392F"/>
    <w:rsid w:val="005639BE"/>
    <w:rsid w:val="00563A2C"/>
    <w:rsid w:val="00563BF4"/>
    <w:rsid w:val="00563C34"/>
    <w:rsid w:val="00563CC6"/>
    <w:rsid w:val="00563D52"/>
    <w:rsid w:val="00563DFC"/>
    <w:rsid w:val="00563EFA"/>
    <w:rsid w:val="005640A6"/>
    <w:rsid w:val="005640E3"/>
    <w:rsid w:val="00564265"/>
    <w:rsid w:val="005642A5"/>
    <w:rsid w:val="00564353"/>
    <w:rsid w:val="00564401"/>
    <w:rsid w:val="0056446F"/>
    <w:rsid w:val="005644C6"/>
    <w:rsid w:val="0056454F"/>
    <w:rsid w:val="005645A9"/>
    <w:rsid w:val="00564639"/>
    <w:rsid w:val="0056464E"/>
    <w:rsid w:val="0056469E"/>
    <w:rsid w:val="00564709"/>
    <w:rsid w:val="0056470B"/>
    <w:rsid w:val="005647AA"/>
    <w:rsid w:val="005647F0"/>
    <w:rsid w:val="0056482C"/>
    <w:rsid w:val="00564888"/>
    <w:rsid w:val="005648A3"/>
    <w:rsid w:val="005649C3"/>
    <w:rsid w:val="00564A2B"/>
    <w:rsid w:val="00564B41"/>
    <w:rsid w:val="00564C99"/>
    <w:rsid w:val="00564CA4"/>
    <w:rsid w:val="00564D08"/>
    <w:rsid w:val="00564D97"/>
    <w:rsid w:val="00564E47"/>
    <w:rsid w:val="00564FC4"/>
    <w:rsid w:val="0056501D"/>
    <w:rsid w:val="00565051"/>
    <w:rsid w:val="005651C0"/>
    <w:rsid w:val="00565290"/>
    <w:rsid w:val="00565291"/>
    <w:rsid w:val="0056531B"/>
    <w:rsid w:val="00565332"/>
    <w:rsid w:val="0056535B"/>
    <w:rsid w:val="005653DC"/>
    <w:rsid w:val="005653E6"/>
    <w:rsid w:val="0056544E"/>
    <w:rsid w:val="00565464"/>
    <w:rsid w:val="005654A7"/>
    <w:rsid w:val="00565527"/>
    <w:rsid w:val="0056556D"/>
    <w:rsid w:val="00565581"/>
    <w:rsid w:val="005655BB"/>
    <w:rsid w:val="005655F8"/>
    <w:rsid w:val="005656CC"/>
    <w:rsid w:val="00565775"/>
    <w:rsid w:val="005657A2"/>
    <w:rsid w:val="005658FD"/>
    <w:rsid w:val="0056592D"/>
    <w:rsid w:val="0056598A"/>
    <w:rsid w:val="005659DB"/>
    <w:rsid w:val="00565A38"/>
    <w:rsid w:val="00565AA0"/>
    <w:rsid w:val="00565B4A"/>
    <w:rsid w:val="00565B78"/>
    <w:rsid w:val="00565BE2"/>
    <w:rsid w:val="00565C38"/>
    <w:rsid w:val="00565C83"/>
    <w:rsid w:val="00565F08"/>
    <w:rsid w:val="00565F36"/>
    <w:rsid w:val="00565F5D"/>
    <w:rsid w:val="005660CD"/>
    <w:rsid w:val="005660D6"/>
    <w:rsid w:val="00566109"/>
    <w:rsid w:val="0056611E"/>
    <w:rsid w:val="0056628D"/>
    <w:rsid w:val="005662DF"/>
    <w:rsid w:val="005664AB"/>
    <w:rsid w:val="005664CD"/>
    <w:rsid w:val="0056653E"/>
    <w:rsid w:val="00566571"/>
    <w:rsid w:val="00566578"/>
    <w:rsid w:val="0056663A"/>
    <w:rsid w:val="005667D9"/>
    <w:rsid w:val="00566876"/>
    <w:rsid w:val="00566924"/>
    <w:rsid w:val="005669A6"/>
    <w:rsid w:val="005669CE"/>
    <w:rsid w:val="00566AE9"/>
    <w:rsid w:val="00566B5C"/>
    <w:rsid w:val="00566BCC"/>
    <w:rsid w:val="00566C04"/>
    <w:rsid w:val="00566C60"/>
    <w:rsid w:val="00566C9E"/>
    <w:rsid w:val="00566F2F"/>
    <w:rsid w:val="00566F96"/>
    <w:rsid w:val="00567044"/>
    <w:rsid w:val="005671C4"/>
    <w:rsid w:val="00567234"/>
    <w:rsid w:val="00567269"/>
    <w:rsid w:val="0056727F"/>
    <w:rsid w:val="00567286"/>
    <w:rsid w:val="005672EE"/>
    <w:rsid w:val="00567497"/>
    <w:rsid w:val="0056750A"/>
    <w:rsid w:val="00567523"/>
    <w:rsid w:val="00567683"/>
    <w:rsid w:val="0056768F"/>
    <w:rsid w:val="00567763"/>
    <w:rsid w:val="00567785"/>
    <w:rsid w:val="005678BD"/>
    <w:rsid w:val="005678E5"/>
    <w:rsid w:val="00567A02"/>
    <w:rsid w:val="00567AFA"/>
    <w:rsid w:val="00567B75"/>
    <w:rsid w:val="00567C4F"/>
    <w:rsid w:val="00567C5F"/>
    <w:rsid w:val="00567CEF"/>
    <w:rsid w:val="00567DE7"/>
    <w:rsid w:val="00567E2A"/>
    <w:rsid w:val="00567E87"/>
    <w:rsid w:val="00567E96"/>
    <w:rsid w:val="00570068"/>
    <w:rsid w:val="005700B6"/>
    <w:rsid w:val="00570188"/>
    <w:rsid w:val="00570479"/>
    <w:rsid w:val="005706A6"/>
    <w:rsid w:val="005707D4"/>
    <w:rsid w:val="00570962"/>
    <w:rsid w:val="00570A3E"/>
    <w:rsid w:val="00570A6C"/>
    <w:rsid w:val="00570A85"/>
    <w:rsid w:val="00570BAF"/>
    <w:rsid w:val="00570C40"/>
    <w:rsid w:val="00570CA2"/>
    <w:rsid w:val="00570DF3"/>
    <w:rsid w:val="00570E6B"/>
    <w:rsid w:val="00571082"/>
    <w:rsid w:val="00571173"/>
    <w:rsid w:val="005711B7"/>
    <w:rsid w:val="00571474"/>
    <w:rsid w:val="00571489"/>
    <w:rsid w:val="005714C3"/>
    <w:rsid w:val="0057154F"/>
    <w:rsid w:val="00571574"/>
    <w:rsid w:val="00571596"/>
    <w:rsid w:val="005715D1"/>
    <w:rsid w:val="00571717"/>
    <w:rsid w:val="00571729"/>
    <w:rsid w:val="00571750"/>
    <w:rsid w:val="005717CE"/>
    <w:rsid w:val="005718E6"/>
    <w:rsid w:val="005718FB"/>
    <w:rsid w:val="00571917"/>
    <w:rsid w:val="00571965"/>
    <w:rsid w:val="005719E6"/>
    <w:rsid w:val="00571A55"/>
    <w:rsid w:val="00571B5C"/>
    <w:rsid w:val="00571B79"/>
    <w:rsid w:val="00571C4E"/>
    <w:rsid w:val="00571C95"/>
    <w:rsid w:val="00571D03"/>
    <w:rsid w:val="00571D3B"/>
    <w:rsid w:val="00571DB2"/>
    <w:rsid w:val="00571E69"/>
    <w:rsid w:val="00571EE1"/>
    <w:rsid w:val="00571F18"/>
    <w:rsid w:val="00572047"/>
    <w:rsid w:val="0057215B"/>
    <w:rsid w:val="005721DA"/>
    <w:rsid w:val="0057230C"/>
    <w:rsid w:val="00572321"/>
    <w:rsid w:val="0057235A"/>
    <w:rsid w:val="00572371"/>
    <w:rsid w:val="005724A9"/>
    <w:rsid w:val="005724E5"/>
    <w:rsid w:val="00572621"/>
    <w:rsid w:val="0057265B"/>
    <w:rsid w:val="00572661"/>
    <w:rsid w:val="00572688"/>
    <w:rsid w:val="0057272D"/>
    <w:rsid w:val="0057275D"/>
    <w:rsid w:val="00572779"/>
    <w:rsid w:val="00572787"/>
    <w:rsid w:val="00572805"/>
    <w:rsid w:val="00572836"/>
    <w:rsid w:val="00572B43"/>
    <w:rsid w:val="00572B5E"/>
    <w:rsid w:val="00572C18"/>
    <w:rsid w:val="00572CDB"/>
    <w:rsid w:val="0057307C"/>
    <w:rsid w:val="00573098"/>
    <w:rsid w:val="005730E4"/>
    <w:rsid w:val="0057313A"/>
    <w:rsid w:val="005732ED"/>
    <w:rsid w:val="00573348"/>
    <w:rsid w:val="00573368"/>
    <w:rsid w:val="0057340C"/>
    <w:rsid w:val="00573416"/>
    <w:rsid w:val="00573599"/>
    <w:rsid w:val="005735AE"/>
    <w:rsid w:val="0057361C"/>
    <w:rsid w:val="00573650"/>
    <w:rsid w:val="005736AE"/>
    <w:rsid w:val="00573743"/>
    <w:rsid w:val="0057399F"/>
    <w:rsid w:val="00573A33"/>
    <w:rsid w:val="00573A46"/>
    <w:rsid w:val="00573ACE"/>
    <w:rsid w:val="00573AE7"/>
    <w:rsid w:val="00573BF6"/>
    <w:rsid w:val="00573C0C"/>
    <w:rsid w:val="00573C67"/>
    <w:rsid w:val="00573D39"/>
    <w:rsid w:val="00573D46"/>
    <w:rsid w:val="00573D50"/>
    <w:rsid w:val="00573E0A"/>
    <w:rsid w:val="00573E90"/>
    <w:rsid w:val="00573FAC"/>
    <w:rsid w:val="005740E3"/>
    <w:rsid w:val="00574104"/>
    <w:rsid w:val="00574194"/>
    <w:rsid w:val="005742C0"/>
    <w:rsid w:val="00574339"/>
    <w:rsid w:val="005743FA"/>
    <w:rsid w:val="005746E3"/>
    <w:rsid w:val="005749A2"/>
    <w:rsid w:val="005749E0"/>
    <w:rsid w:val="00574A15"/>
    <w:rsid w:val="00574A65"/>
    <w:rsid w:val="00574A98"/>
    <w:rsid w:val="00574ADC"/>
    <w:rsid w:val="00574C19"/>
    <w:rsid w:val="00574C7D"/>
    <w:rsid w:val="00574D05"/>
    <w:rsid w:val="00574E5C"/>
    <w:rsid w:val="00574EFF"/>
    <w:rsid w:val="00574F97"/>
    <w:rsid w:val="00574FC1"/>
    <w:rsid w:val="00574FE6"/>
    <w:rsid w:val="00575154"/>
    <w:rsid w:val="00575242"/>
    <w:rsid w:val="0057537E"/>
    <w:rsid w:val="005753DE"/>
    <w:rsid w:val="005754F2"/>
    <w:rsid w:val="005755A6"/>
    <w:rsid w:val="005755F3"/>
    <w:rsid w:val="005756D0"/>
    <w:rsid w:val="005756E0"/>
    <w:rsid w:val="005756E1"/>
    <w:rsid w:val="005757AD"/>
    <w:rsid w:val="00575880"/>
    <w:rsid w:val="005759CF"/>
    <w:rsid w:val="00575A33"/>
    <w:rsid w:val="00575A5D"/>
    <w:rsid w:val="00575A6C"/>
    <w:rsid w:val="00575A7D"/>
    <w:rsid w:val="00575A81"/>
    <w:rsid w:val="00575ABD"/>
    <w:rsid w:val="00575B50"/>
    <w:rsid w:val="00575CAB"/>
    <w:rsid w:val="00575D66"/>
    <w:rsid w:val="00575D90"/>
    <w:rsid w:val="00575E91"/>
    <w:rsid w:val="0057601E"/>
    <w:rsid w:val="0057615F"/>
    <w:rsid w:val="005761DC"/>
    <w:rsid w:val="0057624D"/>
    <w:rsid w:val="00576277"/>
    <w:rsid w:val="005762AC"/>
    <w:rsid w:val="005762D4"/>
    <w:rsid w:val="0057636D"/>
    <w:rsid w:val="005764B2"/>
    <w:rsid w:val="005764B7"/>
    <w:rsid w:val="0057654D"/>
    <w:rsid w:val="0057668B"/>
    <w:rsid w:val="0057668E"/>
    <w:rsid w:val="00576864"/>
    <w:rsid w:val="00576979"/>
    <w:rsid w:val="00576A1D"/>
    <w:rsid w:val="00576A66"/>
    <w:rsid w:val="00576C31"/>
    <w:rsid w:val="00576D02"/>
    <w:rsid w:val="00576D14"/>
    <w:rsid w:val="00576D1F"/>
    <w:rsid w:val="00576D5C"/>
    <w:rsid w:val="00576DF1"/>
    <w:rsid w:val="00576DF5"/>
    <w:rsid w:val="00576F0B"/>
    <w:rsid w:val="00576FAD"/>
    <w:rsid w:val="00576FC4"/>
    <w:rsid w:val="005770F9"/>
    <w:rsid w:val="005771BB"/>
    <w:rsid w:val="005773CB"/>
    <w:rsid w:val="005774A4"/>
    <w:rsid w:val="005774E9"/>
    <w:rsid w:val="00577520"/>
    <w:rsid w:val="00577575"/>
    <w:rsid w:val="005775EE"/>
    <w:rsid w:val="005775EF"/>
    <w:rsid w:val="00577809"/>
    <w:rsid w:val="005779AA"/>
    <w:rsid w:val="005779BC"/>
    <w:rsid w:val="00577A4E"/>
    <w:rsid w:val="00577A73"/>
    <w:rsid w:val="00577AD2"/>
    <w:rsid w:val="00577AEC"/>
    <w:rsid w:val="00577CB9"/>
    <w:rsid w:val="00577DA7"/>
    <w:rsid w:val="00577FB7"/>
    <w:rsid w:val="00577FD9"/>
    <w:rsid w:val="00580037"/>
    <w:rsid w:val="00580085"/>
    <w:rsid w:val="005800C8"/>
    <w:rsid w:val="005801FB"/>
    <w:rsid w:val="005802FA"/>
    <w:rsid w:val="00580550"/>
    <w:rsid w:val="00580559"/>
    <w:rsid w:val="00580716"/>
    <w:rsid w:val="005807A4"/>
    <w:rsid w:val="00580851"/>
    <w:rsid w:val="0058094F"/>
    <w:rsid w:val="00580AA5"/>
    <w:rsid w:val="00580AB2"/>
    <w:rsid w:val="00580AC3"/>
    <w:rsid w:val="00580ADA"/>
    <w:rsid w:val="00580C7C"/>
    <w:rsid w:val="00580CBC"/>
    <w:rsid w:val="00580D45"/>
    <w:rsid w:val="00580EAF"/>
    <w:rsid w:val="00580EE0"/>
    <w:rsid w:val="00580EF7"/>
    <w:rsid w:val="00580F87"/>
    <w:rsid w:val="00580FFD"/>
    <w:rsid w:val="00581016"/>
    <w:rsid w:val="00581155"/>
    <w:rsid w:val="0058121B"/>
    <w:rsid w:val="0058122C"/>
    <w:rsid w:val="00581242"/>
    <w:rsid w:val="0058124C"/>
    <w:rsid w:val="00581267"/>
    <w:rsid w:val="00581412"/>
    <w:rsid w:val="0058141D"/>
    <w:rsid w:val="00581451"/>
    <w:rsid w:val="005814C1"/>
    <w:rsid w:val="0058152B"/>
    <w:rsid w:val="00581603"/>
    <w:rsid w:val="00581641"/>
    <w:rsid w:val="0058168D"/>
    <w:rsid w:val="005817EC"/>
    <w:rsid w:val="005819CC"/>
    <w:rsid w:val="00581B43"/>
    <w:rsid w:val="00581B5F"/>
    <w:rsid w:val="00581C42"/>
    <w:rsid w:val="00581D11"/>
    <w:rsid w:val="00581DD5"/>
    <w:rsid w:val="00581E02"/>
    <w:rsid w:val="00581E31"/>
    <w:rsid w:val="00581EFB"/>
    <w:rsid w:val="00581F99"/>
    <w:rsid w:val="00581FB8"/>
    <w:rsid w:val="00581FDB"/>
    <w:rsid w:val="00581FE0"/>
    <w:rsid w:val="005820C4"/>
    <w:rsid w:val="005820F3"/>
    <w:rsid w:val="00582108"/>
    <w:rsid w:val="0058212A"/>
    <w:rsid w:val="005822F8"/>
    <w:rsid w:val="00582360"/>
    <w:rsid w:val="0058244C"/>
    <w:rsid w:val="005824E0"/>
    <w:rsid w:val="005824F0"/>
    <w:rsid w:val="005824FD"/>
    <w:rsid w:val="00582525"/>
    <w:rsid w:val="005825D8"/>
    <w:rsid w:val="0058261F"/>
    <w:rsid w:val="005826CB"/>
    <w:rsid w:val="00582894"/>
    <w:rsid w:val="005828E8"/>
    <w:rsid w:val="005829A9"/>
    <w:rsid w:val="005829C2"/>
    <w:rsid w:val="00582A34"/>
    <w:rsid w:val="00582B98"/>
    <w:rsid w:val="00582C6A"/>
    <w:rsid w:val="00582C98"/>
    <w:rsid w:val="00582DB5"/>
    <w:rsid w:val="00582DE7"/>
    <w:rsid w:val="00582E13"/>
    <w:rsid w:val="00582E53"/>
    <w:rsid w:val="00582E62"/>
    <w:rsid w:val="00582FBD"/>
    <w:rsid w:val="00582FD2"/>
    <w:rsid w:val="005831AD"/>
    <w:rsid w:val="005831E5"/>
    <w:rsid w:val="00583240"/>
    <w:rsid w:val="00583388"/>
    <w:rsid w:val="0058360E"/>
    <w:rsid w:val="00583658"/>
    <w:rsid w:val="0058369B"/>
    <w:rsid w:val="00583767"/>
    <w:rsid w:val="0058376A"/>
    <w:rsid w:val="005837AC"/>
    <w:rsid w:val="005837C6"/>
    <w:rsid w:val="005837CC"/>
    <w:rsid w:val="005837F3"/>
    <w:rsid w:val="00583811"/>
    <w:rsid w:val="00583820"/>
    <w:rsid w:val="005838C6"/>
    <w:rsid w:val="00583922"/>
    <w:rsid w:val="0058395A"/>
    <w:rsid w:val="005839D3"/>
    <w:rsid w:val="00583A23"/>
    <w:rsid w:val="00583A5E"/>
    <w:rsid w:val="00583A63"/>
    <w:rsid w:val="00583B3D"/>
    <w:rsid w:val="00583B76"/>
    <w:rsid w:val="00583C1D"/>
    <w:rsid w:val="00583C3B"/>
    <w:rsid w:val="00583C48"/>
    <w:rsid w:val="00583C66"/>
    <w:rsid w:val="00583D29"/>
    <w:rsid w:val="00583D51"/>
    <w:rsid w:val="00583E51"/>
    <w:rsid w:val="00583EAF"/>
    <w:rsid w:val="00583F3D"/>
    <w:rsid w:val="00583F6E"/>
    <w:rsid w:val="0058406A"/>
    <w:rsid w:val="005840E8"/>
    <w:rsid w:val="0058410E"/>
    <w:rsid w:val="00584152"/>
    <w:rsid w:val="0058415D"/>
    <w:rsid w:val="0058417F"/>
    <w:rsid w:val="0058418A"/>
    <w:rsid w:val="005841AF"/>
    <w:rsid w:val="0058430F"/>
    <w:rsid w:val="00584321"/>
    <w:rsid w:val="00584480"/>
    <w:rsid w:val="0058449A"/>
    <w:rsid w:val="005844C6"/>
    <w:rsid w:val="0058452F"/>
    <w:rsid w:val="00584531"/>
    <w:rsid w:val="0058456F"/>
    <w:rsid w:val="005845DF"/>
    <w:rsid w:val="00584603"/>
    <w:rsid w:val="00584622"/>
    <w:rsid w:val="00584645"/>
    <w:rsid w:val="0058467E"/>
    <w:rsid w:val="005846B3"/>
    <w:rsid w:val="005846ED"/>
    <w:rsid w:val="00584718"/>
    <w:rsid w:val="005847EF"/>
    <w:rsid w:val="00584837"/>
    <w:rsid w:val="005848A8"/>
    <w:rsid w:val="005848D0"/>
    <w:rsid w:val="0058496C"/>
    <w:rsid w:val="0058499C"/>
    <w:rsid w:val="00584A57"/>
    <w:rsid w:val="00584C62"/>
    <w:rsid w:val="00584D52"/>
    <w:rsid w:val="00584E54"/>
    <w:rsid w:val="00584E6B"/>
    <w:rsid w:val="00584F6D"/>
    <w:rsid w:val="00584F80"/>
    <w:rsid w:val="00584F9A"/>
    <w:rsid w:val="00585074"/>
    <w:rsid w:val="00585132"/>
    <w:rsid w:val="00585294"/>
    <w:rsid w:val="005852CE"/>
    <w:rsid w:val="00585348"/>
    <w:rsid w:val="005853C3"/>
    <w:rsid w:val="0058547F"/>
    <w:rsid w:val="0058562C"/>
    <w:rsid w:val="0058567A"/>
    <w:rsid w:val="005856E7"/>
    <w:rsid w:val="0058573B"/>
    <w:rsid w:val="0058576F"/>
    <w:rsid w:val="00585832"/>
    <w:rsid w:val="005858B2"/>
    <w:rsid w:val="005858F2"/>
    <w:rsid w:val="005858FB"/>
    <w:rsid w:val="00585978"/>
    <w:rsid w:val="0058599C"/>
    <w:rsid w:val="005859E3"/>
    <w:rsid w:val="005859FF"/>
    <w:rsid w:val="00585A38"/>
    <w:rsid w:val="00585ABB"/>
    <w:rsid w:val="00585BD0"/>
    <w:rsid w:val="00585BDF"/>
    <w:rsid w:val="00585C18"/>
    <w:rsid w:val="00585C19"/>
    <w:rsid w:val="00585D27"/>
    <w:rsid w:val="00585E8D"/>
    <w:rsid w:val="00585EF6"/>
    <w:rsid w:val="00585F3C"/>
    <w:rsid w:val="00585F93"/>
    <w:rsid w:val="00586013"/>
    <w:rsid w:val="005861B4"/>
    <w:rsid w:val="0058648F"/>
    <w:rsid w:val="0058674F"/>
    <w:rsid w:val="0058675C"/>
    <w:rsid w:val="005867DE"/>
    <w:rsid w:val="005867FE"/>
    <w:rsid w:val="00586843"/>
    <w:rsid w:val="005868A6"/>
    <w:rsid w:val="005868DB"/>
    <w:rsid w:val="005868F0"/>
    <w:rsid w:val="0058697E"/>
    <w:rsid w:val="00586A0D"/>
    <w:rsid w:val="00586A55"/>
    <w:rsid w:val="00586A86"/>
    <w:rsid w:val="00586BCC"/>
    <w:rsid w:val="00586C07"/>
    <w:rsid w:val="00586D9B"/>
    <w:rsid w:val="00586DA8"/>
    <w:rsid w:val="00586DBF"/>
    <w:rsid w:val="00586E68"/>
    <w:rsid w:val="00586EDE"/>
    <w:rsid w:val="005870AA"/>
    <w:rsid w:val="005870D4"/>
    <w:rsid w:val="0058724F"/>
    <w:rsid w:val="00587252"/>
    <w:rsid w:val="00587267"/>
    <w:rsid w:val="005872F8"/>
    <w:rsid w:val="00587363"/>
    <w:rsid w:val="00587461"/>
    <w:rsid w:val="00587499"/>
    <w:rsid w:val="005874C2"/>
    <w:rsid w:val="005874E8"/>
    <w:rsid w:val="0058756E"/>
    <w:rsid w:val="005875AA"/>
    <w:rsid w:val="005875CF"/>
    <w:rsid w:val="00587609"/>
    <w:rsid w:val="00587648"/>
    <w:rsid w:val="0058764A"/>
    <w:rsid w:val="00587666"/>
    <w:rsid w:val="005876AE"/>
    <w:rsid w:val="005877BC"/>
    <w:rsid w:val="005878F7"/>
    <w:rsid w:val="00587928"/>
    <w:rsid w:val="005879D9"/>
    <w:rsid w:val="00587B0E"/>
    <w:rsid w:val="00587B2C"/>
    <w:rsid w:val="00587BAF"/>
    <w:rsid w:val="00587BE3"/>
    <w:rsid w:val="00587D08"/>
    <w:rsid w:val="00587DE6"/>
    <w:rsid w:val="00587F6C"/>
    <w:rsid w:val="00587F8D"/>
    <w:rsid w:val="0059002C"/>
    <w:rsid w:val="005900DA"/>
    <w:rsid w:val="00590133"/>
    <w:rsid w:val="005902DA"/>
    <w:rsid w:val="005903D6"/>
    <w:rsid w:val="00590449"/>
    <w:rsid w:val="0059044D"/>
    <w:rsid w:val="005904A5"/>
    <w:rsid w:val="005904E3"/>
    <w:rsid w:val="00590583"/>
    <w:rsid w:val="005905E7"/>
    <w:rsid w:val="00590651"/>
    <w:rsid w:val="005907D0"/>
    <w:rsid w:val="005907F9"/>
    <w:rsid w:val="00590AEC"/>
    <w:rsid w:val="00590C94"/>
    <w:rsid w:val="00590CF3"/>
    <w:rsid w:val="00590FEB"/>
    <w:rsid w:val="0059101B"/>
    <w:rsid w:val="00591061"/>
    <w:rsid w:val="00591093"/>
    <w:rsid w:val="005912BE"/>
    <w:rsid w:val="005912F8"/>
    <w:rsid w:val="0059148B"/>
    <w:rsid w:val="005914B4"/>
    <w:rsid w:val="00591517"/>
    <w:rsid w:val="00591518"/>
    <w:rsid w:val="005915EA"/>
    <w:rsid w:val="00591613"/>
    <w:rsid w:val="00591718"/>
    <w:rsid w:val="005917B9"/>
    <w:rsid w:val="0059198E"/>
    <w:rsid w:val="00591A9A"/>
    <w:rsid w:val="00591AFF"/>
    <w:rsid w:val="00591B65"/>
    <w:rsid w:val="00591BFF"/>
    <w:rsid w:val="00591D38"/>
    <w:rsid w:val="00591D73"/>
    <w:rsid w:val="00591DD9"/>
    <w:rsid w:val="00591FEA"/>
    <w:rsid w:val="0059218C"/>
    <w:rsid w:val="0059220A"/>
    <w:rsid w:val="00592234"/>
    <w:rsid w:val="005922CE"/>
    <w:rsid w:val="005922FC"/>
    <w:rsid w:val="0059249D"/>
    <w:rsid w:val="00592519"/>
    <w:rsid w:val="00592549"/>
    <w:rsid w:val="005926A9"/>
    <w:rsid w:val="0059283E"/>
    <w:rsid w:val="005928B4"/>
    <w:rsid w:val="0059296F"/>
    <w:rsid w:val="00592986"/>
    <w:rsid w:val="00592A2D"/>
    <w:rsid w:val="00592A66"/>
    <w:rsid w:val="00592A95"/>
    <w:rsid w:val="00592B6A"/>
    <w:rsid w:val="00592B70"/>
    <w:rsid w:val="00592BF9"/>
    <w:rsid w:val="00592C80"/>
    <w:rsid w:val="00592D68"/>
    <w:rsid w:val="00592E4B"/>
    <w:rsid w:val="00592F4E"/>
    <w:rsid w:val="005930E8"/>
    <w:rsid w:val="00593144"/>
    <w:rsid w:val="0059316E"/>
    <w:rsid w:val="005931D8"/>
    <w:rsid w:val="00593212"/>
    <w:rsid w:val="005933C0"/>
    <w:rsid w:val="0059346C"/>
    <w:rsid w:val="005934B7"/>
    <w:rsid w:val="0059356B"/>
    <w:rsid w:val="005935EA"/>
    <w:rsid w:val="00593692"/>
    <w:rsid w:val="00593737"/>
    <w:rsid w:val="00593769"/>
    <w:rsid w:val="005937E1"/>
    <w:rsid w:val="0059388C"/>
    <w:rsid w:val="00593896"/>
    <w:rsid w:val="005938C2"/>
    <w:rsid w:val="0059392D"/>
    <w:rsid w:val="005939BD"/>
    <w:rsid w:val="00593A28"/>
    <w:rsid w:val="00593CE3"/>
    <w:rsid w:val="00593DD0"/>
    <w:rsid w:val="00593E76"/>
    <w:rsid w:val="00593E9A"/>
    <w:rsid w:val="00593EF4"/>
    <w:rsid w:val="00593EF7"/>
    <w:rsid w:val="00593F2D"/>
    <w:rsid w:val="00593F57"/>
    <w:rsid w:val="00593FAB"/>
    <w:rsid w:val="00593FEA"/>
    <w:rsid w:val="005941EA"/>
    <w:rsid w:val="0059427C"/>
    <w:rsid w:val="005942D7"/>
    <w:rsid w:val="0059434E"/>
    <w:rsid w:val="00594355"/>
    <w:rsid w:val="005943ED"/>
    <w:rsid w:val="0059442E"/>
    <w:rsid w:val="0059443E"/>
    <w:rsid w:val="0059452F"/>
    <w:rsid w:val="00594551"/>
    <w:rsid w:val="005946AB"/>
    <w:rsid w:val="0059470A"/>
    <w:rsid w:val="005947C4"/>
    <w:rsid w:val="0059482A"/>
    <w:rsid w:val="00594843"/>
    <w:rsid w:val="00594878"/>
    <w:rsid w:val="005948CB"/>
    <w:rsid w:val="0059492F"/>
    <w:rsid w:val="00594952"/>
    <w:rsid w:val="005949B6"/>
    <w:rsid w:val="00594AB1"/>
    <w:rsid w:val="00594AF3"/>
    <w:rsid w:val="00594B1E"/>
    <w:rsid w:val="00594BAC"/>
    <w:rsid w:val="00594BC7"/>
    <w:rsid w:val="00594BE5"/>
    <w:rsid w:val="00594BEE"/>
    <w:rsid w:val="00594C54"/>
    <w:rsid w:val="00594C77"/>
    <w:rsid w:val="00594D20"/>
    <w:rsid w:val="00594DA5"/>
    <w:rsid w:val="00594E9E"/>
    <w:rsid w:val="00594ED2"/>
    <w:rsid w:val="00594F06"/>
    <w:rsid w:val="00594F5E"/>
    <w:rsid w:val="00594FDA"/>
    <w:rsid w:val="0059502F"/>
    <w:rsid w:val="0059506F"/>
    <w:rsid w:val="00595108"/>
    <w:rsid w:val="0059519B"/>
    <w:rsid w:val="0059521E"/>
    <w:rsid w:val="005952B7"/>
    <w:rsid w:val="00595375"/>
    <w:rsid w:val="00595486"/>
    <w:rsid w:val="0059552B"/>
    <w:rsid w:val="005955D5"/>
    <w:rsid w:val="0059561C"/>
    <w:rsid w:val="00595686"/>
    <w:rsid w:val="00595746"/>
    <w:rsid w:val="0059590C"/>
    <w:rsid w:val="0059594E"/>
    <w:rsid w:val="00595A26"/>
    <w:rsid w:val="00595A35"/>
    <w:rsid w:val="00595A66"/>
    <w:rsid w:val="00595A6E"/>
    <w:rsid w:val="00595B7C"/>
    <w:rsid w:val="00595CBC"/>
    <w:rsid w:val="00595D19"/>
    <w:rsid w:val="00595D1C"/>
    <w:rsid w:val="00595DFB"/>
    <w:rsid w:val="00595E8E"/>
    <w:rsid w:val="00595F9A"/>
    <w:rsid w:val="00596239"/>
    <w:rsid w:val="005962E8"/>
    <w:rsid w:val="00596516"/>
    <w:rsid w:val="005965DD"/>
    <w:rsid w:val="0059660D"/>
    <w:rsid w:val="0059669A"/>
    <w:rsid w:val="005967BC"/>
    <w:rsid w:val="00596859"/>
    <w:rsid w:val="00596864"/>
    <w:rsid w:val="00596866"/>
    <w:rsid w:val="005968CF"/>
    <w:rsid w:val="00596930"/>
    <w:rsid w:val="00596950"/>
    <w:rsid w:val="00596A5D"/>
    <w:rsid w:val="00596BBD"/>
    <w:rsid w:val="00596C73"/>
    <w:rsid w:val="00596D83"/>
    <w:rsid w:val="00596D86"/>
    <w:rsid w:val="00596E4F"/>
    <w:rsid w:val="00596E51"/>
    <w:rsid w:val="00596ECA"/>
    <w:rsid w:val="00596ED2"/>
    <w:rsid w:val="00596F20"/>
    <w:rsid w:val="00596F4C"/>
    <w:rsid w:val="0059702A"/>
    <w:rsid w:val="0059706A"/>
    <w:rsid w:val="0059707C"/>
    <w:rsid w:val="005970CC"/>
    <w:rsid w:val="005970E8"/>
    <w:rsid w:val="00597231"/>
    <w:rsid w:val="00597432"/>
    <w:rsid w:val="0059753E"/>
    <w:rsid w:val="0059777C"/>
    <w:rsid w:val="005977A5"/>
    <w:rsid w:val="0059789C"/>
    <w:rsid w:val="005978FC"/>
    <w:rsid w:val="00597914"/>
    <w:rsid w:val="005979F3"/>
    <w:rsid w:val="00597A76"/>
    <w:rsid w:val="00597A8B"/>
    <w:rsid w:val="00597B7D"/>
    <w:rsid w:val="00597BDF"/>
    <w:rsid w:val="00597C0B"/>
    <w:rsid w:val="00597C5A"/>
    <w:rsid w:val="00597CE2"/>
    <w:rsid w:val="00597CEA"/>
    <w:rsid w:val="00597D1E"/>
    <w:rsid w:val="00597DCC"/>
    <w:rsid w:val="00597DE1"/>
    <w:rsid w:val="00597F83"/>
    <w:rsid w:val="005A0028"/>
    <w:rsid w:val="005A0046"/>
    <w:rsid w:val="005A03A4"/>
    <w:rsid w:val="005A05BA"/>
    <w:rsid w:val="005A05CB"/>
    <w:rsid w:val="005A05D9"/>
    <w:rsid w:val="005A0628"/>
    <w:rsid w:val="005A071B"/>
    <w:rsid w:val="005A07A3"/>
    <w:rsid w:val="005A07BC"/>
    <w:rsid w:val="005A08A9"/>
    <w:rsid w:val="005A08AA"/>
    <w:rsid w:val="005A08AF"/>
    <w:rsid w:val="005A0955"/>
    <w:rsid w:val="005A09A0"/>
    <w:rsid w:val="005A0A4C"/>
    <w:rsid w:val="005A0A82"/>
    <w:rsid w:val="005A0B20"/>
    <w:rsid w:val="005A0C96"/>
    <w:rsid w:val="005A0CAD"/>
    <w:rsid w:val="005A0CBE"/>
    <w:rsid w:val="005A0CEE"/>
    <w:rsid w:val="005A0CFF"/>
    <w:rsid w:val="005A0D01"/>
    <w:rsid w:val="005A0DD7"/>
    <w:rsid w:val="005A0F83"/>
    <w:rsid w:val="005A100E"/>
    <w:rsid w:val="005A107C"/>
    <w:rsid w:val="005A10E3"/>
    <w:rsid w:val="005A1296"/>
    <w:rsid w:val="005A1346"/>
    <w:rsid w:val="005A13DF"/>
    <w:rsid w:val="005A145E"/>
    <w:rsid w:val="005A1484"/>
    <w:rsid w:val="005A14EC"/>
    <w:rsid w:val="005A1513"/>
    <w:rsid w:val="005A1598"/>
    <w:rsid w:val="005A160B"/>
    <w:rsid w:val="005A1701"/>
    <w:rsid w:val="005A1878"/>
    <w:rsid w:val="005A1972"/>
    <w:rsid w:val="005A1AE7"/>
    <w:rsid w:val="005A1B11"/>
    <w:rsid w:val="005A1B5D"/>
    <w:rsid w:val="005A1BA8"/>
    <w:rsid w:val="005A1BB7"/>
    <w:rsid w:val="005A1CD4"/>
    <w:rsid w:val="005A1D59"/>
    <w:rsid w:val="005A2059"/>
    <w:rsid w:val="005A20A6"/>
    <w:rsid w:val="005A20D9"/>
    <w:rsid w:val="005A21C0"/>
    <w:rsid w:val="005A228C"/>
    <w:rsid w:val="005A2301"/>
    <w:rsid w:val="005A230B"/>
    <w:rsid w:val="005A23FB"/>
    <w:rsid w:val="005A240A"/>
    <w:rsid w:val="005A24D3"/>
    <w:rsid w:val="005A24DB"/>
    <w:rsid w:val="005A24F8"/>
    <w:rsid w:val="005A2543"/>
    <w:rsid w:val="005A258A"/>
    <w:rsid w:val="005A25C9"/>
    <w:rsid w:val="005A2689"/>
    <w:rsid w:val="005A26D1"/>
    <w:rsid w:val="005A274D"/>
    <w:rsid w:val="005A2853"/>
    <w:rsid w:val="005A289B"/>
    <w:rsid w:val="005A2932"/>
    <w:rsid w:val="005A2A48"/>
    <w:rsid w:val="005A2AF7"/>
    <w:rsid w:val="005A2CA8"/>
    <w:rsid w:val="005A2CAA"/>
    <w:rsid w:val="005A2CCF"/>
    <w:rsid w:val="005A2D27"/>
    <w:rsid w:val="005A2F2D"/>
    <w:rsid w:val="005A30FA"/>
    <w:rsid w:val="005A3110"/>
    <w:rsid w:val="005A3119"/>
    <w:rsid w:val="005A3295"/>
    <w:rsid w:val="005A33F4"/>
    <w:rsid w:val="005A3587"/>
    <w:rsid w:val="005A35A9"/>
    <w:rsid w:val="005A36FA"/>
    <w:rsid w:val="005A382C"/>
    <w:rsid w:val="005A3959"/>
    <w:rsid w:val="005A39F1"/>
    <w:rsid w:val="005A3A13"/>
    <w:rsid w:val="005A3A87"/>
    <w:rsid w:val="005A3B0A"/>
    <w:rsid w:val="005A3B7A"/>
    <w:rsid w:val="005A3B8E"/>
    <w:rsid w:val="005A3B94"/>
    <w:rsid w:val="005A3D33"/>
    <w:rsid w:val="005A3DE6"/>
    <w:rsid w:val="005A3DF8"/>
    <w:rsid w:val="005A3E3B"/>
    <w:rsid w:val="005A3FA8"/>
    <w:rsid w:val="005A401B"/>
    <w:rsid w:val="005A40AF"/>
    <w:rsid w:val="005A4117"/>
    <w:rsid w:val="005A412A"/>
    <w:rsid w:val="005A419B"/>
    <w:rsid w:val="005A41A1"/>
    <w:rsid w:val="005A4243"/>
    <w:rsid w:val="005A4245"/>
    <w:rsid w:val="005A42F9"/>
    <w:rsid w:val="005A4368"/>
    <w:rsid w:val="005A43BD"/>
    <w:rsid w:val="005A44E6"/>
    <w:rsid w:val="005A4549"/>
    <w:rsid w:val="005A4559"/>
    <w:rsid w:val="005A4681"/>
    <w:rsid w:val="005A4696"/>
    <w:rsid w:val="005A4711"/>
    <w:rsid w:val="005A482D"/>
    <w:rsid w:val="005A48EF"/>
    <w:rsid w:val="005A4A84"/>
    <w:rsid w:val="005A4ADB"/>
    <w:rsid w:val="005A4C06"/>
    <w:rsid w:val="005A4CE1"/>
    <w:rsid w:val="005A4D12"/>
    <w:rsid w:val="005A4DCE"/>
    <w:rsid w:val="005A4E17"/>
    <w:rsid w:val="005A4FB0"/>
    <w:rsid w:val="005A526A"/>
    <w:rsid w:val="005A5380"/>
    <w:rsid w:val="005A53D1"/>
    <w:rsid w:val="005A54D7"/>
    <w:rsid w:val="005A54FC"/>
    <w:rsid w:val="005A5678"/>
    <w:rsid w:val="005A572C"/>
    <w:rsid w:val="005A575E"/>
    <w:rsid w:val="005A5862"/>
    <w:rsid w:val="005A5B03"/>
    <w:rsid w:val="005A5B21"/>
    <w:rsid w:val="005A5C81"/>
    <w:rsid w:val="005A5CBF"/>
    <w:rsid w:val="005A5CC8"/>
    <w:rsid w:val="005A5D0D"/>
    <w:rsid w:val="005A5D29"/>
    <w:rsid w:val="005A5DAA"/>
    <w:rsid w:val="005A5EAE"/>
    <w:rsid w:val="005A5F29"/>
    <w:rsid w:val="005A5F3B"/>
    <w:rsid w:val="005A5FCC"/>
    <w:rsid w:val="005A6095"/>
    <w:rsid w:val="005A62B2"/>
    <w:rsid w:val="005A62CB"/>
    <w:rsid w:val="005A63EC"/>
    <w:rsid w:val="005A65E6"/>
    <w:rsid w:val="005A671F"/>
    <w:rsid w:val="005A678E"/>
    <w:rsid w:val="005A67ED"/>
    <w:rsid w:val="005A6855"/>
    <w:rsid w:val="005A6B3F"/>
    <w:rsid w:val="005A6B73"/>
    <w:rsid w:val="005A6B7F"/>
    <w:rsid w:val="005A6C3E"/>
    <w:rsid w:val="005A6D36"/>
    <w:rsid w:val="005A6D46"/>
    <w:rsid w:val="005A6DB3"/>
    <w:rsid w:val="005A6EEE"/>
    <w:rsid w:val="005A6F2E"/>
    <w:rsid w:val="005A6FCD"/>
    <w:rsid w:val="005A7057"/>
    <w:rsid w:val="005A7131"/>
    <w:rsid w:val="005A715A"/>
    <w:rsid w:val="005A71EF"/>
    <w:rsid w:val="005A7411"/>
    <w:rsid w:val="005A7447"/>
    <w:rsid w:val="005A751B"/>
    <w:rsid w:val="005A76B1"/>
    <w:rsid w:val="005A76BF"/>
    <w:rsid w:val="005A7702"/>
    <w:rsid w:val="005A7728"/>
    <w:rsid w:val="005A77AA"/>
    <w:rsid w:val="005A7B78"/>
    <w:rsid w:val="005A7B87"/>
    <w:rsid w:val="005A7C50"/>
    <w:rsid w:val="005A7DBE"/>
    <w:rsid w:val="005A7E31"/>
    <w:rsid w:val="005B000C"/>
    <w:rsid w:val="005B0076"/>
    <w:rsid w:val="005B00B1"/>
    <w:rsid w:val="005B00B9"/>
    <w:rsid w:val="005B00E9"/>
    <w:rsid w:val="005B0246"/>
    <w:rsid w:val="005B029E"/>
    <w:rsid w:val="005B0322"/>
    <w:rsid w:val="005B03B4"/>
    <w:rsid w:val="005B04E0"/>
    <w:rsid w:val="005B07FA"/>
    <w:rsid w:val="005B0810"/>
    <w:rsid w:val="005B081C"/>
    <w:rsid w:val="005B0931"/>
    <w:rsid w:val="005B0A02"/>
    <w:rsid w:val="005B0AE2"/>
    <w:rsid w:val="005B0AEF"/>
    <w:rsid w:val="005B0B29"/>
    <w:rsid w:val="005B0B4A"/>
    <w:rsid w:val="005B0B50"/>
    <w:rsid w:val="005B0BDF"/>
    <w:rsid w:val="005B0BE6"/>
    <w:rsid w:val="005B0CEF"/>
    <w:rsid w:val="005B0D02"/>
    <w:rsid w:val="005B0DF8"/>
    <w:rsid w:val="005B0F25"/>
    <w:rsid w:val="005B0F49"/>
    <w:rsid w:val="005B0F8D"/>
    <w:rsid w:val="005B0FEC"/>
    <w:rsid w:val="005B106F"/>
    <w:rsid w:val="005B1070"/>
    <w:rsid w:val="005B10F4"/>
    <w:rsid w:val="005B117F"/>
    <w:rsid w:val="005B11A2"/>
    <w:rsid w:val="005B11C2"/>
    <w:rsid w:val="005B12F1"/>
    <w:rsid w:val="005B12FE"/>
    <w:rsid w:val="005B1373"/>
    <w:rsid w:val="005B14E3"/>
    <w:rsid w:val="005B1582"/>
    <w:rsid w:val="005B15A4"/>
    <w:rsid w:val="005B15D9"/>
    <w:rsid w:val="005B162A"/>
    <w:rsid w:val="005B16B2"/>
    <w:rsid w:val="005B16D4"/>
    <w:rsid w:val="005B16F8"/>
    <w:rsid w:val="005B17A8"/>
    <w:rsid w:val="005B17BB"/>
    <w:rsid w:val="005B1894"/>
    <w:rsid w:val="005B1943"/>
    <w:rsid w:val="005B1B06"/>
    <w:rsid w:val="005B1B41"/>
    <w:rsid w:val="005B1BAF"/>
    <w:rsid w:val="005B1BDD"/>
    <w:rsid w:val="005B1C25"/>
    <w:rsid w:val="005B1D98"/>
    <w:rsid w:val="005B1DDD"/>
    <w:rsid w:val="005B1E59"/>
    <w:rsid w:val="005B1FCE"/>
    <w:rsid w:val="005B2016"/>
    <w:rsid w:val="005B2059"/>
    <w:rsid w:val="005B2146"/>
    <w:rsid w:val="005B2312"/>
    <w:rsid w:val="005B2316"/>
    <w:rsid w:val="005B23FB"/>
    <w:rsid w:val="005B248B"/>
    <w:rsid w:val="005B24DB"/>
    <w:rsid w:val="005B251A"/>
    <w:rsid w:val="005B2526"/>
    <w:rsid w:val="005B2720"/>
    <w:rsid w:val="005B278D"/>
    <w:rsid w:val="005B28B4"/>
    <w:rsid w:val="005B2A4C"/>
    <w:rsid w:val="005B2AB9"/>
    <w:rsid w:val="005B2B4D"/>
    <w:rsid w:val="005B2BC7"/>
    <w:rsid w:val="005B2BD2"/>
    <w:rsid w:val="005B2CCB"/>
    <w:rsid w:val="005B2D2D"/>
    <w:rsid w:val="005B2D8F"/>
    <w:rsid w:val="005B2DAA"/>
    <w:rsid w:val="005B2F5E"/>
    <w:rsid w:val="005B300B"/>
    <w:rsid w:val="005B3021"/>
    <w:rsid w:val="005B3176"/>
    <w:rsid w:val="005B317C"/>
    <w:rsid w:val="005B31E7"/>
    <w:rsid w:val="005B3292"/>
    <w:rsid w:val="005B32C6"/>
    <w:rsid w:val="005B3344"/>
    <w:rsid w:val="005B338A"/>
    <w:rsid w:val="005B3400"/>
    <w:rsid w:val="005B340E"/>
    <w:rsid w:val="005B3414"/>
    <w:rsid w:val="005B352E"/>
    <w:rsid w:val="005B35AC"/>
    <w:rsid w:val="005B3602"/>
    <w:rsid w:val="005B377E"/>
    <w:rsid w:val="005B37B8"/>
    <w:rsid w:val="005B38F8"/>
    <w:rsid w:val="005B392B"/>
    <w:rsid w:val="005B392E"/>
    <w:rsid w:val="005B3998"/>
    <w:rsid w:val="005B3A0A"/>
    <w:rsid w:val="005B3AA4"/>
    <w:rsid w:val="005B3AEB"/>
    <w:rsid w:val="005B3B13"/>
    <w:rsid w:val="005B3D40"/>
    <w:rsid w:val="005B3DB3"/>
    <w:rsid w:val="005B3EE7"/>
    <w:rsid w:val="005B3EF6"/>
    <w:rsid w:val="005B3FF7"/>
    <w:rsid w:val="005B4170"/>
    <w:rsid w:val="005B41DA"/>
    <w:rsid w:val="005B4291"/>
    <w:rsid w:val="005B42C1"/>
    <w:rsid w:val="005B444F"/>
    <w:rsid w:val="005B446C"/>
    <w:rsid w:val="005B45F3"/>
    <w:rsid w:val="005B460D"/>
    <w:rsid w:val="005B4615"/>
    <w:rsid w:val="005B46F5"/>
    <w:rsid w:val="005B4729"/>
    <w:rsid w:val="005B472A"/>
    <w:rsid w:val="005B4804"/>
    <w:rsid w:val="005B483F"/>
    <w:rsid w:val="005B4843"/>
    <w:rsid w:val="005B4A21"/>
    <w:rsid w:val="005B4A5A"/>
    <w:rsid w:val="005B4A91"/>
    <w:rsid w:val="005B4AD5"/>
    <w:rsid w:val="005B4AF2"/>
    <w:rsid w:val="005B4AF8"/>
    <w:rsid w:val="005B4B0C"/>
    <w:rsid w:val="005B4BCB"/>
    <w:rsid w:val="005B4C0B"/>
    <w:rsid w:val="005B4C32"/>
    <w:rsid w:val="005B4CE0"/>
    <w:rsid w:val="005B4D82"/>
    <w:rsid w:val="005B4DA5"/>
    <w:rsid w:val="005B4DE3"/>
    <w:rsid w:val="005B4DF2"/>
    <w:rsid w:val="005B4F29"/>
    <w:rsid w:val="005B4F65"/>
    <w:rsid w:val="005B5068"/>
    <w:rsid w:val="005B5113"/>
    <w:rsid w:val="005B5184"/>
    <w:rsid w:val="005B5205"/>
    <w:rsid w:val="005B52DD"/>
    <w:rsid w:val="005B5317"/>
    <w:rsid w:val="005B53EE"/>
    <w:rsid w:val="005B5556"/>
    <w:rsid w:val="005B55C1"/>
    <w:rsid w:val="005B5631"/>
    <w:rsid w:val="005B5664"/>
    <w:rsid w:val="005B56F0"/>
    <w:rsid w:val="005B5715"/>
    <w:rsid w:val="005B57E7"/>
    <w:rsid w:val="005B5874"/>
    <w:rsid w:val="005B5877"/>
    <w:rsid w:val="005B5924"/>
    <w:rsid w:val="005B59C8"/>
    <w:rsid w:val="005B59F6"/>
    <w:rsid w:val="005B5A35"/>
    <w:rsid w:val="005B5AD4"/>
    <w:rsid w:val="005B5BF7"/>
    <w:rsid w:val="005B5D34"/>
    <w:rsid w:val="005B5F6E"/>
    <w:rsid w:val="005B61CB"/>
    <w:rsid w:val="005B61CC"/>
    <w:rsid w:val="005B624D"/>
    <w:rsid w:val="005B627F"/>
    <w:rsid w:val="005B6323"/>
    <w:rsid w:val="005B63BC"/>
    <w:rsid w:val="005B63E9"/>
    <w:rsid w:val="005B641C"/>
    <w:rsid w:val="005B6483"/>
    <w:rsid w:val="005B6490"/>
    <w:rsid w:val="005B64B2"/>
    <w:rsid w:val="005B6554"/>
    <w:rsid w:val="005B6575"/>
    <w:rsid w:val="005B65AC"/>
    <w:rsid w:val="005B6632"/>
    <w:rsid w:val="005B665A"/>
    <w:rsid w:val="005B668F"/>
    <w:rsid w:val="005B66A4"/>
    <w:rsid w:val="005B66F9"/>
    <w:rsid w:val="005B684F"/>
    <w:rsid w:val="005B6945"/>
    <w:rsid w:val="005B695D"/>
    <w:rsid w:val="005B69C1"/>
    <w:rsid w:val="005B6B81"/>
    <w:rsid w:val="005B6BE2"/>
    <w:rsid w:val="005B6CE9"/>
    <w:rsid w:val="005B6D04"/>
    <w:rsid w:val="005B6F11"/>
    <w:rsid w:val="005B7033"/>
    <w:rsid w:val="005B7121"/>
    <w:rsid w:val="005B71B3"/>
    <w:rsid w:val="005B7212"/>
    <w:rsid w:val="005B7263"/>
    <w:rsid w:val="005B7370"/>
    <w:rsid w:val="005B73EC"/>
    <w:rsid w:val="005B7496"/>
    <w:rsid w:val="005B75E8"/>
    <w:rsid w:val="005B778C"/>
    <w:rsid w:val="005B779D"/>
    <w:rsid w:val="005B786D"/>
    <w:rsid w:val="005B78B0"/>
    <w:rsid w:val="005B792B"/>
    <w:rsid w:val="005B7968"/>
    <w:rsid w:val="005B79DF"/>
    <w:rsid w:val="005B79E7"/>
    <w:rsid w:val="005B7ABE"/>
    <w:rsid w:val="005B7ACF"/>
    <w:rsid w:val="005B7D60"/>
    <w:rsid w:val="005B7D9E"/>
    <w:rsid w:val="005C003B"/>
    <w:rsid w:val="005C0064"/>
    <w:rsid w:val="005C007F"/>
    <w:rsid w:val="005C0097"/>
    <w:rsid w:val="005C00F7"/>
    <w:rsid w:val="005C02B0"/>
    <w:rsid w:val="005C02C0"/>
    <w:rsid w:val="005C02D4"/>
    <w:rsid w:val="005C03D8"/>
    <w:rsid w:val="005C03ED"/>
    <w:rsid w:val="005C041B"/>
    <w:rsid w:val="005C042A"/>
    <w:rsid w:val="005C04EF"/>
    <w:rsid w:val="005C061C"/>
    <w:rsid w:val="005C0669"/>
    <w:rsid w:val="005C06CB"/>
    <w:rsid w:val="005C0738"/>
    <w:rsid w:val="005C074A"/>
    <w:rsid w:val="005C07AF"/>
    <w:rsid w:val="005C07DD"/>
    <w:rsid w:val="005C081E"/>
    <w:rsid w:val="005C0AD1"/>
    <w:rsid w:val="005C0B01"/>
    <w:rsid w:val="005C0B12"/>
    <w:rsid w:val="005C0CB2"/>
    <w:rsid w:val="005C0CFA"/>
    <w:rsid w:val="005C0D68"/>
    <w:rsid w:val="005C0DE1"/>
    <w:rsid w:val="005C0E93"/>
    <w:rsid w:val="005C0FA5"/>
    <w:rsid w:val="005C10DA"/>
    <w:rsid w:val="005C10DC"/>
    <w:rsid w:val="005C1222"/>
    <w:rsid w:val="005C1224"/>
    <w:rsid w:val="005C1262"/>
    <w:rsid w:val="005C1344"/>
    <w:rsid w:val="005C137E"/>
    <w:rsid w:val="005C14C7"/>
    <w:rsid w:val="005C14E0"/>
    <w:rsid w:val="005C15B5"/>
    <w:rsid w:val="005C164E"/>
    <w:rsid w:val="005C16DD"/>
    <w:rsid w:val="005C1748"/>
    <w:rsid w:val="005C1869"/>
    <w:rsid w:val="005C18C5"/>
    <w:rsid w:val="005C193B"/>
    <w:rsid w:val="005C19EB"/>
    <w:rsid w:val="005C19F3"/>
    <w:rsid w:val="005C1A74"/>
    <w:rsid w:val="005C1B44"/>
    <w:rsid w:val="005C1BB7"/>
    <w:rsid w:val="005C1C7C"/>
    <w:rsid w:val="005C1E47"/>
    <w:rsid w:val="005C1E53"/>
    <w:rsid w:val="005C1EC1"/>
    <w:rsid w:val="005C1F0D"/>
    <w:rsid w:val="005C1F6F"/>
    <w:rsid w:val="005C2036"/>
    <w:rsid w:val="005C205C"/>
    <w:rsid w:val="005C2065"/>
    <w:rsid w:val="005C2126"/>
    <w:rsid w:val="005C215A"/>
    <w:rsid w:val="005C21AC"/>
    <w:rsid w:val="005C221A"/>
    <w:rsid w:val="005C2344"/>
    <w:rsid w:val="005C23AC"/>
    <w:rsid w:val="005C246F"/>
    <w:rsid w:val="005C249B"/>
    <w:rsid w:val="005C2580"/>
    <w:rsid w:val="005C25B1"/>
    <w:rsid w:val="005C25EA"/>
    <w:rsid w:val="005C270E"/>
    <w:rsid w:val="005C2744"/>
    <w:rsid w:val="005C282C"/>
    <w:rsid w:val="005C2A1C"/>
    <w:rsid w:val="005C2A3E"/>
    <w:rsid w:val="005C2A96"/>
    <w:rsid w:val="005C2BD1"/>
    <w:rsid w:val="005C2C3F"/>
    <w:rsid w:val="005C2C45"/>
    <w:rsid w:val="005C2C7E"/>
    <w:rsid w:val="005C2D20"/>
    <w:rsid w:val="005C2E0A"/>
    <w:rsid w:val="005C2E75"/>
    <w:rsid w:val="005C2EA4"/>
    <w:rsid w:val="005C30A1"/>
    <w:rsid w:val="005C30DE"/>
    <w:rsid w:val="005C312B"/>
    <w:rsid w:val="005C3216"/>
    <w:rsid w:val="005C3228"/>
    <w:rsid w:val="005C32F7"/>
    <w:rsid w:val="005C32FF"/>
    <w:rsid w:val="005C3304"/>
    <w:rsid w:val="005C3333"/>
    <w:rsid w:val="005C334B"/>
    <w:rsid w:val="005C33AD"/>
    <w:rsid w:val="005C33D8"/>
    <w:rsid w:val="005C33E9"/>
    <w:rsid w:val="005C3441"/>
    <w:rsid w:val="005C34AB"/>
    <w:rsid w:val="005C3551"/>
    <w:rsid w:val="005C359F"/>
    <w:rsid w:val="005C363D"/>
    <w:rsid w:val="005C3673"/>
    <w:rsid w:val="005C3807"/>
    <w:rsid w:val="005C38B6"/>
    <w:rsid w:val="005C3A45"/>
    <w:rsid w:val="005C3A59"/>
    <w:rsid w:val="005C3AD3"/>
    <w:rsid w:val="005C3B95"/>
    <w:rsid w:val="005C3CD1"/>
    <w:rsid w:val="005C3CFC"/>
    <w:rsid w:val="005C3D7E"/>
    <w:rsid w:val="005C3D8E"/>
    <w:rsid w:val="005C3DEB"/>
    <w:rsid w:val="005C3F14"/>
    <w:rsid w:val="005C3F2D"/>
    <w:rsid w:val="005C3F41"/>
    <w:rsid w:val="005C3F9D"/>
    <w:rsid w:val="005C3FAD"/>
    <w:rsid w:val="005C4092"/>
    <w:rsid w:val="005C40C3"/>
    <w:rsid w:val="005C4154"/>
    <w:rsid w:val="005C43D3"/>
    <w:rsid w:val="005C43D6"/>
    <w:rsid w:val="005C44B1"/>
    <w:rsid w:val="005C452C"/>
    <w:rsid w:val="005C45FF"/>
    <w:rsid w:val="005C4754"/>
    <w:rsid w:val="005C476D"/>
    <w:rsid w:val="005C482E"/>
    <w:rsid w:val="005C48A2"/>
    <w:rsid w:val="005C4970"/>
    <w:rsid w:val="005C4A2D"/>
    <w:rsid w:val="005C4AA8"/>
    <w:rsid w:val="005C4BB4"/>
    <w:rsid w:val="005C4BBD"/>
    <w:rsid w:val="005C4C6A"/>
    <w:rsid w:val="005C4CA6"/>
    <w:rsid w:val="005C4DBE"/>
    <w:rsid w:val="005C4E0C"/>
    <w:rsid w:val="005C4F2E"/>
    <w:rsid w:val="005C4F58"/>
    <w:rsid w:val="005C4FD6"/>
    <w:rsid w:val="005C5027"/>
    <w:rsid w:val="005C503B"/>
    <w:rsid w:val="005C503E"/>
    <w:rsid w:val="005C5052"/>
    <w:rsid w:val="005C50DE"/>
    <w:rsid w:val="005C50EA"/>
    <w:rsid w:val="005C5166"/>
    <w:rsid w:val="005C5186"/>
    <w:rsid w:val="005C52E9"/>
    <w:rsid w:val="005C5320"/>
    <w:rsid w:val="005C559C"/>
    <w:rsid w:val="005C5669"/>
    <w:rsid w:val="005C5693"/>
    <w:rsid w:val="005C56AC"/>
    <w:rsid w:val="005C56BF"/>
    <w:rsid w:val="005C56CC"/>
    <w:rsid w:val="005C56DE"/>
    <w:rsid w:val="005C5793"/>
    <w:rsid w:val="005C57A8"/>
    <w:rsid w:val="005C5812"/>
    <w:rsid w:val="005C58B7"/>
    <w:rsid w:val="005C58E2"/>
    <w:rsid w:val="005C5AED"/>
    <w:rsid w:val="005C5B8C"/>
    <w:rsid w:val="005C5BE6"/>
    <w:rsid w:val="005C5C61"/>
    <w:rsid w:val="005C5CC8"/>
    <w:rsid w:val="005C5CFC"/>
    <w:rsid w:val="005C5D05"/>
    <w:rsid w:val="005C5E1C"/>
    <w:rsid w:val="005C5E44"/>
    <w:rsid w:val="005C5F4D"/>
    <w:rsid w:val="005C5F77"/>
    <w:rsid w:val="005C6011"/>
    <w:rsid w:val="005C6131"/>
    <w:rsid w:val="005C6185"/>
    <w:rsid w:val="005C61F7"/>
    <w:rsid w:val="005C62D0"/>
    <w:rsid w:val="005C62DB"/>
    <w:rsid w:val="005C630D"/>
    <w:rsid w:val="005C6350"/>
    <w:rsid w:val="005C6362"/>
    <w:rsid w:val="005C636F"/>
    <w:rsid w:val="005C646A"/>
    <w:rsid w:val="005C64AA"/>
    <w:rsid w:val="005C64E7"/>
    <w:rsid w:val="005C667A"/>
    <w:rsid w:val="005C66E8"/>
    <w:rsid w:val="005C670D"/>
    <w:rsid w:val="005C6771"/>
    <w:rsid w:val="005C68B6"/>
    <w:rsid w:val="005C68C7"/>
    <w:rsid w:val="005C6A8E"/>
    <w:rsid w:val="005C6A90"/>
    <w:rsid w:val="005C6AF2"/>
    <w:rsid w:val="005C6B7A"/>
    <w:rsid w:val="005C6B93"/>
    <w:rsid w:val="005C6DB7"/>
    <w:rsid w:val="005C6E32"/>
    <w:rsid w:val="005C6F1B"/>
    <w:rsid w:val="005C700F"/>
    <w:rsid w:val="005C707B"/>
    <w:rsid w:val="005C707D"/>
    <w:rsid w:val="005C7095"/>
    <w:rsid w:val="005C7129"/>
    <w:rsid w:val="005C715E"/>
    <w:rsid w:val="005C7224"/>
    <w:rsid w:val="005C72C3"/>
    <w:rsid w:val="005C73B1"/>
    <w:rsid w:val="005C73BE"/>
    <w:rsid w:val="005C746A"/>
    <w:rsid w:val="005C7492"/>
    <w:rsid w:val="005C7685"/>
    <w:rsid w:val="005C7694"/>
    <w:rsid w:val="005C789A"/>
    <w:rsid w:val="005C7AE4"/>
    <w:rsid w:val="005C7C58"/>
    <w:rsid w:val="005C7C79"/>
    <w:rsid w:val="005C7CBA"/>
    <w:rsid w:val="005C7CDA"/>
    <w:rsid w:val="005C7D84"/>
    <w:rsid w:val="005C7DCE"/>
    <w:rsid w:val="005C7DF4"/>
    <w:rsid w:val="005C7E6F"/>
    <w:rsid w:val="005C7E91"/>
    <w:rsid w:val="005D0003"/>
    <w:rsid w:val="005D004F"/>
    <w:rsid w:val="005D0065"/>
    <w:rsid w:val="005D0093"/>
    <w:rsid w:val="005D0166"/>
    <w:rsid w:val="005D01E3"/>
    <w:rsid w:val="005D022C"/>
    <w:rsid w:val="005D0314"/>
    <w:rsid w:val="005D0315"/>
    <w:rsid w:val="005D0343"/>
    <w:rsid w:val="005D0392"/>
    <w:rsid w:val="005D0406"/>
    <w:rsid w:val="005D045F"/>
    <w:rsid w:val="005D0519"/>
    <w:rsid w:val="005D0590"/>
    <w:rsid w:val="005D064E"/>
    <w:rsid w:val="005D06A2"/>
    <w:rsid w:val="005D0774"/>
    <w:rsid w:val="005D07B1"/>
    <w:rsid w:val="005D07D9"/>
    <w:rsid w:val="005D07DE"/>
    <w:rsid w:val="005D097A"/>
    <w:rsid w:val="005D09E7"/>
    <w:rsid w:val="005D09EE"/>
    <w:rsid w:val="005D0A27"/>
    <w:rsid w:val="005D0A48"/>
    <w:rsid w:val="005D0BC0"/>
    <w:rsid w:val="005D0BEA"/>
    <w:rsid w:val="005D0BEE"/>
    <w:rsid w:val="005D0CDF"/>
    <w:rsid w:val="005D0D1D"/>
    <w:rsid w:val="005D0D54"/>
    <w:rsid w:val="005D0EF7"/>
    <w:rsid w:val="005D0F2A"/>
    <w:rsid w:val="005D11D1"/>
    <w:rsid w:val="005D13B5"/>
    <w:rsid w:val="005D1407"/>
    <w:rsid w:val="005D1663"/>
    <w:rsid w:val="005D1741"/>
    <w:rsid w:val="005D1887"/>
    <w:rsid w:val="005D18E0"/>
    <w:rsid w:val="005D1922"/>
    <w:rsid w:val="005D19BD"/>
    <w:rsid w:val="005D1A41"/>
    <w:rsid w:val="005D1A6E"/>
    <w:rsid w:val="005D1B9F"/>
    <w:rsid w:val="005D1BCA"/>
    <w:rsid w:val="005D1C5F"/>
    <w:rsid w:val="005D1C71"/>
    <w:rsid w:val="005D1E17"/>
    <w:rsid w:val="005D1E2F"/>
    <w:rsid w:val="005D1E67"/>
    <w:rsid w:val="005D1F21"/>
    <w:rsid w:val="005D1F49"/>
    <w:rsid w:val="005D1F8B"/>
    <w:rsid w:val="005D1FBA"/>
    <w:rsid w:val="005D1FF7"/>
    <w:rsid w:val="005D201D"/>
    <w:rsid w:val="005D20A0"/>
    <w:rsid w:val="005D20CC"/>
    <w:rsid w:val="005D2116"/>
    <w:rsid w:val="005D217A"/>
    <w:rsid w:val="005D2291"/>
    <w:rsid w:val="005D2307"/>
    <w:rsid w:val="005D23FC"/>
    <w:rsid w:val="005D2465"/>
    <w:rsid w:val="005D2478"/>
    <w:rsid w:val="005D24B9"/>
    <w:rsid w:val="005D255E"/>
    <w:rsid w:val="005D25A6"/>
    <w:rsid w:val="005D26E6"/>
    <w:rsid w:val="005D292A"/>
    <w:rsid w:val="005D2B8A"/>
    <w:rsid w:val="005D2C77"/>
    <w:rsid w:val="005D2CDC"/>
    <w:rsid w:val="005D2D15"/>
    <w:rsid w:val="005D2D80"/>
    <w:rsid w:val="005D2DC2"/>
    <w:rsid w:val="005D2DCB"/>
    <w:rsid w:val="005D2F06"/>
    <w:rsid w:val="005D3072"/>
    <w:rsid w:val="005D308C"/>
    <w:rsid w:val="005D313A"/>
    <w:rsid w:val="005D32D3"/>
    <w:rsid w:val="005D333A"/>
    <w:rsid w:val="005D344C"/>
    <w:rsid w:val="005D34B4"/>
    <w:rsid w:val="005D35C6"/>
    <w:rsid w:val="005D35D4"/>
    <w:rsid w:val="005D361B"/>
    <w:rsid w:val="005D369F"/>
    <w:rsid w:val="005D36FD"/>
    <w:rsid w:val="005D37BA"/>
    <w:rsid w:val="005D37DC"/>
    <w:rsid w:val="005D381C"/>
    <w:rsid w:val="005D38BA"/>
    <w:rsid w:val="005D38CC"/>
    <w:rsid w:val="005D38E2"/>
    <w:rsid w:val="005D3923"/>
    <w:rsid w:val="005D3926"/>
    <w:rsid w:val="005D398D"/>
    <w:rsid w:val="005D3991"/>
    <w:rsid w:val="005D3A18"/>
    <w:rsid w:val="005D3ABD"/>
    <w:rsid w:val="005D3ADE"/>
    <w:rsid w:val="005D3B2E"/>
    <w:rsid w:val="005D3B5F"/>
    <w:rsid w:val="005D3C35"/>
    <w:rsid w:val="005D3C39"/>
    <w:rsid w:val="005D3F65"/>
    <w:rsid w:val="005D3FD1"/>
    <w:rsid w:val="005D4115"/>
    <w:rsid w:val="005D41CA"/>
    <w:rsid w:val="005D42CA"/>
    <w:rsid w:val="005D4306"/>
    <w:rsid w:val="005D4377"/>
    <w:rsid w:val="005D4385"/>
    <w:rsid w:val="005D43E6"/>
    <w:rsid w:val="005D45A9"/>
    <w:rsid w:val="005D45C0"/>
    <w:rsid w:val="005D45C7"/>
    <w:rsid w:val="005D469F"/>
    <w:rsid w:val="005D485E"/>
    <w:rsid w:val="005D48C4"/>
    <w:rsid w:val="005D48F7"/>
    <w:rsid w:val="005D49E9"/>
    <w:rsid w:val="005D4A1D"/>
    <w:rsid w:val="005D4A68"/>
    <w:rsid w:val="005D4AFB"/>
    <w:rsid w:val="005D4B45"/>
    <w:rsid w:val="005D4C68"/>
    <w:rsid w:val="005D4DAF"/>
    <w:rsid w:val="005D4DBC"/>
    <w:rsid w:val="005D4E3E"/>
    <w:rsid w:val="005D4FE2"/>
    <w:rsid w:val="005D4FEB"/>
    <w:rsid w:val="005D5142"/>
    <w:rsid w:val="005D5163"/>
    <w:rsid w:val="005D5192"/>
    <w:rsid w:val="005D520C"/>
    <w:rsid w:val="005D5216"/>
    <w:rsid w:val="005D5278"/>
    <w:rsid w:val="005D5290"/>
    <w:rsid w:val="005D531A"/>
    <w:rsid w:val="005D549B"/>
    <w:rsid w:val="005D54E8"/>
    <w:rsid w:val="005D565E"/>
    <w:rsid w:val="005D57B8"/>
    <w:rsid w:val="005D5842"/>
    <w:rsid w:val="005D5867"/>
    <w:rsid w:val="005D58DD"/>
    <w:rsid w:val="005D59EA"/>
    <w:rsid w:val="005D5A0D"/>
    <w:rsid w:val="005D5B1C"/>
    <w:rsid w:val="005D5BF2"/>
    <w:rsid w:val="005D5DD3"/>
    <w:rsid w:val="005D5F45"/>
    <w:rsid w:val="005D60A0"/>
    <w:rsid w:val="005D6121"/>
    <w:rsid w:val="005D612F"/>
    <w:rsid w:val="005D6148"/>
    <w:rsid w:val="005D61BE"/>
    <w:rsid w:val="005D61E1"/>
    <w:rsid w:val="005D620B"/>
    <w:rsid w:val="005D6293"/>
    <w:rsid w:val="005D640F"/>
    <w:rsid w:val="005D651C"/>
    <w:rsid w:val="005D65EC"/>
    <w:rsid w:val="005D6907"/>
    <w:rsid w:val="005D6A84"/>
    <w:rsid w:val="005D6AC9"/>
    <w:rsid w:val="005D6C5D"/>
    <w:rsid w:val="005D6C6A"/>
    <w:rsid w:val="005D6C84"/>
    <w:rsid w:val="005D6C91"/>
    <w:rsid w:val="005D6CF9"/>
    <w:rsid w:val="005D6D60"/>
    <w:rsid w:val="005D6EEE"/>
    <w:rsid w:val="005D6F10"/>
    <w:rsid w:val="005D6F1E"/>
    <w:rsid w:val="005D7022"/>
    <w:rsid w:val="005D71ED"/>
    <w:rsid w:val="005D71F5"/>
    <w:rsid w:val="005D71FE"/>
    <w:rsid w:val="005D7227"/>
    <w:rsid w:val="005D7229"/>
    <w:rsid w:val="005D7291"/>
    <w:rsid w:val="005D7339"/>
    <w:rsid w:val="005D7348"/>
    <w:rsid w:val="005D7357"/>
    <w:rsid w:val="005D7436"/>
    <w:rsid w:val="005D7451"/>
    <w:rsid w:val="005D74CD"/>
    <w:rsid w:val="005D7558"/>
    <w:rsid w:val="005D7587"/>
    <w:rsid w:val="005D758B"/>
    <w:rsid w:val="005D769B"/>
    <w:rsid w:val="005D76A6"/>
    <w:rsid w:val="005D776B"/>
    <w:rsid w:val="005D7822"/>
    <w:rsid w:val="005D7834"/>
    <w:rsid w:val="005D789D"/>
    <w:rsid w:val="005D78A3"/>
    <w:rsid w:val="005D7924"/>
    <w:rsid w:val="005D7972"/>
    <w:rsid w:val="005D7979"/>
    <w:rsid w:val="005D79B8"/>
    <w:rsid w:val="005D7B83"/>
    <w:rsid w:val="005D7D04"/>
    <w:rsid w:val="005D7D0E"/>
    <w:rsid w:val="005D7E5D"/>
    <w:rsid w:val="005D7E82"/>
    <w:rsid w:val="005D7EC2"/>
    <w:rsid w:val="005D7ED2"/>
    <w:rsid w:val="005D7EF4"/>
    <w:rsid w:val="005D7F1F"/>
    <w:rsid w:val="005D7F54"/>
    <w:rsid w:val="005E0037"/>
    <w:rsid w:val="005E0081"/>
    <w:rsid w:val="005E00B9"/>
    <w:rsid w:val="005E0125"/>
    <w:rsid w:val="005E02C0"/>
    <w:rsid w:val="005E02F5"/>
    <w:rsid w:val="005E0325"/>
    <w:rsid w:val="005E0399"/>
    <w:rsid w:val="005E044D"/>
    <w:rsid w:val="005E048B"/>
    <w:rsid w:val="005E04A1"/>
    <w:rsid w:val="005E050C"/>
    <w:rsid w:val="005E05A9"/>
    <w:rsid w:val="005E05E6"/>
    <w:rsid w:val="005E06FD"/>
    <w:rsid w:val="005E0766"/>
    <w:rsid w:val="005E0862"/>
    <w:rsid w:val="005E0960"/>
    <w:rsid w:val="005E0A1D"/>
    <w:rsid w:val="005E0BC7"/>
    <w:rsid w:val="005E0BF7"/>
    <w:rsid w:val="005E0C47"/>
    <w:rsid w:val="005E0CDE"/>
    <w:rsid w:val="005E0E4E"/>
    <w:rsid w:val="005E0EAF"/>
    <w:rsid w:val="005E10BB"/>
    <w:rsid w:val="005E110C"/>
    <w:rsid w:val="005E11BC"/>
    <w:rsid w:val="005E11DE"/>
    <w:rsid w:val="005E1205"/>
    <w:rsid w:val="005E12C2"/>
    <w:rsid w:val="005E12D9"/>
    <w:rsid w:val="005E137E"/>
    <w:rsid w:val="005E13B4"/>
    <w:rsid w:val="005E14B7"/>
    <w:rsid w:val="005E15E9"/>
    <w:rsid w:val="005E184F"/>
    <w:rsid w:val="005E1921"/>
    <w:rsid w:val="005E1BA0"/>
    <w:rsid w:val="005E1BD5"/>
    <w:rsid w:val="005E1BF4"/>
    <w:rsid w:val="005E1C86"/>
    <w:rsid w:val="005E1CB5"/>
    <w:rsid w:val="005E1CE9"/>
    <w:rsid w:val="005E1D40"/>
    <w:rsid w:val="005E1D8A"/>
    <w:rsid w:val="005E1ED5"/>
    <w:rsid w:val="005E1F2F"/>
    <w:rsid w:val="005E1F81"/>
    <w:rsid w:val="005E1F8B"/>
    <w:rsid w:val="005E1F94"/>
    <w:rsid w:val="005E1FE4"/>
    <w:rsid w:val="005E2073"/>
    <w:rsid w:val="005E220F"/>
    <w:rsid w:val="005E2234"/>
    <w:rsid w:val="005E22FD"/>
    <w:rsid w:val="005E252B"/>
    <w:rsid w:val="005E252F"/>
    <w:rsid w:val="005E2565"/>
    <w:rsid w:val="005E2592"/>
    <w:rsid w:val="005E2658"/>
    <w:rsid w:val="005E266B"/>
    <w:rsid w:val="005E27BD"/>
    <w:rsid w:val="005E27E3"/>
    <w:rsid w:val="005E28FB"/>
    <w:rsid w:val="005E296A"/>
    <w:rsid w:val="005E2B53"/>
    <w:rsid w:val="005E2C22"/>
    <w:rsid w:val="005E2C32"/>
    <w:rsid w:val="005E2C69"/>
    <w:rsid w:val="005E2C82"/>
    <w:rsid w:val="005E2CAC"/>
    <w:rsid w:val="005E2D7A"/>
    <w:rsid w:val="005E2DB7"/>
    <w:rsid w:val="005E2E9C"/>
    <w:rsid w:val="005E2F5C"/>
    <w:rsid w:val="005E2FDA"/>
    <w:rsid w:val="005E31C9"/>
    <w:rsid w:val="005E31E9"/>
    <w:rsid w:val="005E3228"/>
    <w:rsid w:val="005E33BA"/>
    <w:rsid w:val="005E341C"/>
    <w:rsid w:val="005E342F"/>
    <w:rsid w:val="005E3435"/>
    <w:rsid w:val="005E3447"/>
    <w:rsid w:val="005E348B"/>
    <w:rsid w:val="005E35F8"/>
    <w:rsid w:val="005E3623"/>
    <w:rsid w:val="005E365C"/>
    <w:rsid w:val="005E36BA"/>
    <w:rsid w:val="005E36C8"/>
    <w:rsid w:val="005E371F"/>
    <w:rsid w:val="005E375D"/>
    <w:rsid w:val="005E3814"/>
    <w:rsid w:val="005E3902"/>
    <w:rsid w:val="005E39FD"/>
    <w:rsid w:val="005E3A9F"/>
    <w:rsid w:val="005E3B86"/>
    <w:rsid w:val="005E3BA6"/>
    <w:rsid w:val="005E3C07"/>
    <w:rsid w:val="005E3C10"/>
    <w:rsid w:val="005E3C20"/>
    <w:rsid w:val="005E3DAA"/>
    <w:rsid w:val="005E3E84"/>
    <w:rsid w:val="005E3ECD"/>
    <w:rsid w:val="005E3FB7"/>
    <w:rsid w:val="005E3FF6"/>
    <w:rsid w:val="005E4002"/>
    <w:rsid w:val="005E40D4"/>
    <w:rsid w:val="005E410F"/>
    <w:rsid w:val="005E4118"/>
    <w:rsid w:val="005E4261"/>
    <w:rsid w:val="005E4276"/>
    <w:rsid w:val="005E427E"/>
    <w:rsid w:val="005E432B"/>
    <w:rsid w:val="005E43E8"/>
    <w:rsid w:val="005E4428"/>
    <w:rsid w:val="005E4458"/>
    <w:rsid w:val="005E461D"/>
    <w:rsid w:val="005E464C"/>
    <w:rsid w:val="005E469F"/>
    <w:rsid w:val="005E46DE"/>
    <w:rsid w:val="005E475C"/>
    <w:rsid w:val="005E4908"/>
    <w:rsid w:val="005E4993"/>
    <w:rsid w:val="005E4A70"/>
    <w:rsid w:val="005E4AD4"/>
    <w:rsid w:val="005E4BB7"/>
    <w:rsid w:val="005E4CA1"/>
    <w:rsid w:val="005E4D4D"/>
    <w:rsid w:val="005E4DAB"/>
    <w:rsid w:val="005E4DC2"/>
    <w:rsid w:val="005E4FBE"/>
    <w:rsid w:val="005E5082"/>
    <w:rsid w:val="005E50C9"/>
    <w:rsid w:val="005E5273"/>
    <w:rsid w:val="005E5285"/>
    <w:rsid w:val="005E52CB"/>
    <w:rsid w:val="005E52E3"/>
    <w:rsid w:val="005E52FD"/>
    <w:rsid w:val="005E538B"/>
    <w:rsid w:val="005E53F2"/>
    <w:rsid w:val="005E5413"/>
    <w:rsid w:val="005E5430"/>
    <w:rsid w:val="005E5504"/>
    <w:rsid w:val="005E553E"/>
    <w:rsid w:val="005E55C6"/>
    <w:rsid w:val="005E5608"/>
    <w:rsid w:val="005E569E"/>
    <w:rsid w:val="005E56DE"/>
    <w:rsid w:val="005E5732"/>
    <w:rsid w:val="005E5897"/>
    <w:rsid w:val="005E58F7"/>
    <w:rsid w:val="005E5AF4"/>
    <w:rsid w:val="005E5BD5"/>
    <w:rsid w:val="005E5BE9"/>
    <w:rsid w:val="005E5C26"/>
    <w:rsid w:val="005E5C66"/>
    <w:rsid w:val="005E5C8E"/>
    <w:rsid w:val="005E5E12"/>
    <w:rsid w:val="005E5E6A"/>
    <w:rsid w:val="005E6039"/>
    <w:rsid w:val="005E60E9"/>
    <w:rsid w:val="005E6176"/>
    <w:rsid w:val="005E6241"/>
    <w:rsid w:val="005E62B9"/>
    <w:rsid w:val="005E6302"/>
    <w:rsid w:val="005E6487"/>
    <w:rsid w:val="005E650D"/>
    <w:rsid w:val="005E6601"/>
    <w:rsid w:val="005E6607"/>
    <w:rsid w:val="005E661A"/>
    <w:rsid w:val="005E666B"/>
    <w:rsid w:val="005E6680"/>
    <w:rsid w:val="005E66D6"/>
    <w:rsid w:val="005E66F5"/>
    <w:rsid w:val="005E68F6"/>
    <w:rsid w:val="005E6967"/>
    <w:rsid w:val="005E6997"/>
    <w:rsid w:val="005E6A73"/>
    <w:rsid w:val="005E6AC0"/>
    <w:rsid w:val="005E6AF5"/>
    <w:rsid w:val="005E6BBF"/>
    <w:rsid w:val="005E6CA0"/>
    <w:rsid w:val="005E6D23"/>
    <w:rsid w:val="005E6E7D"/>
    <w:rsid w:val="005E6E8E"/>
    <w:rsid w:val="005E6EEA"/>
    <w:rsid w:val="005E6EF6"/>
    <w:rsid w:val="005E7032"/>
    <w:rsid w:val="005E7092"/>
    <w:rsid w:val="005E711F"/>
    <w:rsid w:val="005E71B7"/>
    <w:rsid w:val="005E71ED"/>
    <w:rsid w:val="005E726C"/>
    <w:rsid w:val="005E72AC"/>
    <w:rsid w:val="005E733E"/>
    <w:rsid w:val="005E736B"/>
    <w:rsid w:val="005E7583"/>
    <w:rsid w:val="005E75E4"/>
    <w:rsid w:val="005E7643"/>
    <w:rsid w:val="005E7736"/>
    <w:rsid w:val="005E77A1"/>
    <w:rsid w:val="005E7856"/>
    <w:rsid w:val="005E7AED"/>
    <w:rsid w:val="005E7BC7"/>
    <w:rsid w:val="005E7DEE"/>
    <w:rsid w:val="005E7E33"/>
    <w:rsid w:val="005E7E79"/>
    <w:rsid w:val="005E7EC4"/>
    <w:rsid w:val="005E7F38"/>
    <w:rsid w:val="005E7FE0"/>
    <w:rsid w:val="005EBFCD"/>
    <w:rsid w:val="005F0142"/>
    <w:rsid w:val="005F01BE"/>
    <w:rsid w:val="005F01D3"/>
    <w:rsid w:val="005F0328"/>
    <w:rsid w:val="005F03D7"/>
    <w:rsid w:val="005F0443"/>
    <w:rsid w:val="005F04AD"/>
    <w:rsid w:val="005F04D1"/>
    <w:rsid w:val="005F058C"/>
    <w:rsid w:val="005F05A6"/>
    <w:rsid w:val="005F05DF"/>
    <w:rsid w:val="005F0662"/>
    <w:rsid w:val="005F0769"/>
    <w:rsid w:val="005F07E8"/>
    <w:rsid w:val="005F081F"/>
    <w:rsid w:val="005F0861"/>
    <w:rsid w:val="005F0B4C"/>
    <w:rsid w:val="005F0C11"/>
    <w:rsid w:val="005F0C33"/>
    <w:rsid w:val="005F0C62"/>
    <w:rsid w:val="005F0E42"/>
    <w:rsid w:val="005F0E7A"/>
    <w:rsid w:val="005F0F20"/>
    <w:rsid w:val="005F0FE2"/>
    <w:rsid w:val="005F1038"/>
    <w:rsid w:val="005F1058"/>
    <w:rsid w:val="005F10B2"/>
    <w:rsid w:val="005F125F"/>
    <w:rsid w:val="005F1287"/>
    <w:rsid w:val="005F134D"/>
    <w:rsid w:val="005F13DE"/>
    <w:rsid w:val="005F1471"/>
    <w:rsid w:val="005F1563"/>
    <w:rsid w:val="005F1590"/>
    <w:rsid w:val="005F15D0"/>
    <w:rsid w:val="005F15D4"/>
    <w:rsid w:val="005F1654"/>
    <w:rsid w:val="005F16FF"/>
    <w:rsid w:val="005F1721"/>
    <w:rsid w:val="005F1728"/>
    <w:rsid w:val="005F18DB"/>
    <w:rsid w:val="005F198D"/>
    <w:rsid w:val="005F1A96"/>
    <w:rsid w:val="005F1A9C"/>
    <w:rsid w:val="005F1B48"/>
    <w:rsid w:val="005F1C44"/>
    <w:rsid w:val="005F1CFA"/>
    <w:rsid w:val="005F1DF8"/>
    <w:rsid w:val="005F1F41"/>
    <w:rsid w:val="005F1F5C"/>
    <w:rsid w:val="005F1F60"/>
    <w:rsid w:val="005F1FB0"/>
    <w:rsid w:val="005F20BA"/>
    <w:rsid w:val="005F20CD"/>
    <w:rsid w:val="005F21A3"/>
    <w:rsid w:val="005F22BC"/>
    <w:rsid w:val="005F22E5"/>
    <w:rsid w:val="005F237C"/>
    <w:rsid w:val="005F247C"/>
    <w:rsid w:val="005F25F0"/>
    <w:rsid w:val="005F2632"/>
    <w:rsid w:val="005F263C"/>
    <w:rsid w:val="005F2658"/>
    <w:rsid w:val="005F27D5"/>
    <w:rsid w:val="005F29A5"/>
    <w:rsid w:val="005F2A0A"/>
    <w:rsid w:val="005F2B41"/>
    <w:rsid w:val="005F2B94"/>
    <w:rsid w:val="005F2BA6"/>
    <w:rsid w:val="005F2BC3"/>
    <w:rsid w:val="005F2C3A"/>
    <w:rsid w:val="005F2D8C"/>
    <w:rsid w:val="005F2DB5"/>
    <w:rsid w:val="005F2DCD"/>
    <w:rsid w:val="005F2E43"/>
    <w:rsid w:val="005F2EA2"/>
    <w:rsid w:val="005F30F0"/>
    <w:rsid w:val="005F3101"/>
    <w:rsid w:val="005F3163"/>
    <w:rsid w:val="005F32BB"/>
    <w:rsid w:val="005F33F3"/>
    <w:rsid w:val="005F342B"/>
    <w:rsid w:val="005F3494"/>
    <w:rsid w:val="005F357C"/>
    <w:rsid w:val="005F359D"/>
    <w:rsid w:val="005F367C"/>
    <w:rsid w:val="005F3709"/>
    <w:rsid w:val="005F3765"/>
    <w:rsid w:val="005F37C4"/>
    <w:rsid w:val="005F3826"/>
    <w:rsid w:val="005F3861"/>
    <w:rsid w:val="005F38CE"/>
    <w:rsid w:val="005F3904"/>
    <w:rsid w:val="005F3956"/>
    <w:rsid w:val="005F3BAA"/>
    <w:rsid w:val="005F3BAD"/>
    <w:rsid w:val="005F3CBF"/>
    <w:rsid w:val="005F3DB5"/>
    <w:rsid w:val="005F3E81"/>
    <w:rsid w:val="005F3EC7"/>
    <w:rsid w:val="005F3F21"/>
    <w:rsid w:val="005F3F29"/>
    <w:rsid w:val="005F4107"/>
    <w:rsid w:val="005F4117"/>
    <w:rsid w:val="005F4119"/>
    <w:rsid w:val="005F4168"/>
    <w:rsid w:val="005F421E"/>
    <w:rsid w:val="005F426A"/>
    <w:rsid w:val="005F4277"/>
    <w:rsid w:val="005F431B"/>
    <w:rsid w:val="005F436B"/>
    <w:rsid w:val="005F4384"/>
    <w:rsid w:val="005F43A7"/>
    <w:rsid w:val="005F43E1"/>
    <w:rsid w:val="005F4455"/>
    <w:rsid w:val="005F44C6"/>
    <w:rsid w:val="005F4749"/>
    <w:rsid w:val="005F48D1"/>
    <w:rsid w:val="005F4918"/>
    <w:rsid w:val="005F496B"/>
    <w:rsid w:val="005F49AE"/>
    <w:rsid w:val="005F49DB"/>
    <w:rsid w:val="005F4A73"/>
    <w:rsid w:val="005F4AD9"/>
    <w:rsid w:val="005F4BBD"/>
    <w:rsid w:val="005F4BFB"/>
    <w:rsid w:val="005F4C2E"/>
    <w:rsid w:val="005F4C65"/>
    <w:rsid w:val="005F4C68"/>
    <w:rsid w:val="005F4D51"/>
    <w:rsid w:val="005F4F6A"/>
    <w:rsid w:val="005F507E"/>
    <w:rsid w:val="005F50AB"/>
    <w:rsid w:val="005F50D5"/>
    <w:rsid w:val="005F51DE"/>
    <w:rsid w:val="005F5261"/>
    <w:rsid w:val="005F5372"/>
    <w:rsid w:val="005F5395"/>
    <w:rsid w:val="005F53E0"/>
    <w:rsid w:val="005F5486"/>
    <w:rsid w:val="005F5496"/>
    <w:rsid w:val="005F5558"/>
    <w:rsid w:val="005F555A"/>
    <w:rsid w:val="005F55EB"/>
    <w:rsid w:val="005F55FA"/>
    <w:rsid w:val="005F5722"/>
    <w:rsid w:val="005F584B"/>
    <w:rsid w:val="005F58DF"/>
    <w:rsid w:val="005F590A"/>
    <w:rsid w:val="005F59D7"/>
    <w:rsid w:val="005F5A26"/>
    <w:rsid w:val="005F5C6A"/>
    <w:rsid w:val="005F5CDA"/>
    <w:rsid w:val="005F5D0B"/>
    <w:rsid w:val="005F5D9D"/>
    <w:rsid w:val="005F5E2D"/>
    <w:rsid w:val="005F5E91"/>
    <w:rsid w:val="005F5EC6"/>
    <w:rsid w:val="005F5F41"/>
    <w:rsid w:val="005F6139"/>
    <w:rsid w:val="005F61F0"/>
    <w:rsid w:val="005F629D"/>
    <w:rsid w:val="005F6340"/>
    <w:rsid w:val="005F63A0"/>
    <w:rsid w:val="005F6487"/>
    <w:rsid w:val="005F64CA"/>
    <w:rsid w:val="005F6529"/>
    <w:rsid w:val="005F657B"/>
    <w:rsid w:val="005F659B"/>
    <w:rsid w:val="005F6631"/>
    <w:rsid w:val="005F6680"/>
    <w:rsid w:val="005F6684"/>
    <w:rsid w:val="005F67A8"/>
    <w:rsid w:val="005F6851"/>
    <w:rsid w:val="005F6987"/>
    <w:rsid w:val="005F69D3"/>
    <w:rsid w:val="005F69F3"/>
    <w:rsid w:val="005F6AC5"/>
    <w:rsid w:val="005F6B03"/>
    <w:rsid w:val="005F6B62"/>
    <w:rsid w:val="005F6BA2"/>
    <w:rsid w:val="005F6D76"/>
    <w:rsid w:val="005F6DEC"/>
    <w:rsid w:val="005F6EE0"/>
    <w:rsid w:val="005F7041"/>
    <w:rsid w:val="005F7045"/>
    <w:rsid w:val="005F710A"/>
    <w:rsid w:val="005F7113"/>
    <w:rsid w:val="005F7172"/>
    <w:rsid w:val="005F71EE"/>
    <w:rsid w:val="005F728E"/>
    <w:rsid w:val="005F7396"/>
    <w:rsid w:val="005F73DC"/>
    <w:rsid w:val="005F741A"/>
    <w:rsid w:val="005F743B"/>
    <w:rsid w:val="005F7541"/>
    <w:rsid w:val="005F7594"/>
    <w:rsid w:val="005F75B0"/>
    <w:rsid w:val="005F7775"/>
    <w:rsid w:val="005F7794"/>
    <w:rsid w:val="005F78BD"/>
    <w:rsid w:val="005F78E1"/>
    <w:rsid w:val="005F791D"/>
    <w:rsid w:val="005F79FA"/>
    <w:rsid w:val="005F7A13"/>
    <w:rsid w:val="005F7AB9"/>
    <w:rsid w:val="005F7AE4"/>
    <w:rsid w:val="005F7B3F"/>
    <w:rsid w:val="005F7BFE"/>
    <w:rsid w:val="005F7CF1"/>
    <w:rsid w:val="005F7D83"/>
    <w:rsid w:val="005F7E1A"/>
    <w:rsid w:val="005F7E30"/>
    <w:rsid w:val="005F7EA2"/>
    <w:rsid w:val="0060005F"/>
    <w:rsid w:val="0060006D"/>
    <w:rsid w:val="00600083"/>
    <w:rsid w:val="00600089"/>
    <w:rsid w:val="006000A1"/>
    <w:rsid w:val="0060011C"/>
    <w:rsid w:val="00600120"/>
    <w:rsid w:val="00600199"/>
    <w:rsid w:val="006001D5"/>
    <w:rsid w:val="00600334"/>
    <w:rsid w:val="006003D7"/>
    <w:rsid w:val="0060041A"/>
    <w:rsid w:val="00600519"/>
    <w:rsid w:val="00600583"/>
    <w:rsid w:val="006005B1"/>
    <w:rsid w:val="006005B4"/>
    <w:rsid w:val="00600860"/>
    <w:rsid w:val="00600880"/>
    <w:rsid w:val="006008C7"/>
    <w:rsid w:val="00600A69"/>
    <w:rsid w:val="00600A8B"/>
    <w:rsid w:val="00600B21"/>
    <w:rsid w:val="00600BC3"/>
    <w:rsid w:val="00600BC7"/>
    <w:rsid w:val="00600CFC"/>
    <w:rsid w:val="00600DFD"/>
    <w:rsid w:val="00600E63"/>
    <w:rsid w:val="00600E94"/>
    <w:rsid w:val="00600F55"/>
    <w:rsid w:val="00600F8A"/>
    <w:rsid w:val="00600FE3"/>
    <w:rsid w:val="00601095"/>
    <w:rsid w:val="00601103"/>
    <w:rsid w:val="006011FC"/>
    <w:rsid w:val="0060129F"/>
    <w:rsid w:val="00601356"/>
    <w:rsid w:val="00601398"/>
    <w:rsid w:val="00601421"/>
    <w:rsid w:val="006014B3"/>
    <w:rsid w:val="00601535"/>
    <w:rsid w:val="006015A3"/>
    <w:rsid w:val="006015EC"/>
    <w:rsid w:val="006016CF"/>
    <w:rsid w:val="00601778"/>
    <w:rsid w:val="006018AA"/>
    <w:rsid w:val="0060199E"/>
    <w:rsid w:val="00601A67"/>
    <w:rsid w:val="00601AA8"/>
    <w:rsid w:val="00601AB1"/>
    <w:rsid w:val="00601B53"/>
    <w:rsid w:val="00601BC4"/>
    <w:rsid w:val="00601BCE"/>
    <w:rsid w:val="00601C78"/>
    <w:rsid w:val="00601C83"/>
    <w:rsid w:val="00601C84"/>
    <w:rsid w:val="00601CF1"/>
    <w:rsid w:val="00601D80"/>
    <w:rsid w:val="00601D87"/>
    <w:rsid w:val="00601E1E"/>
    <w:rsid w:val="00601F8D"/>
    <w:rsid w:val="00601FAC"/>
    <w:rsid w:val="00601FC0"/>
    <w:rsid w:val="0060207D"/>
    <w:rsid w:val="00602129"/>
    <w:rsid w:val="0060226D"/>
    <w:rsid w:val="006022AC"/>
    <w:rsid w:val="006022CE"/>
    <w:rsid w:val="00602398"/>
    <w:rsid w:val="006023C9"/>
    <w:rsid w:val="00602482"/>
    <w:rsid w:val="006024F3"/>
    <w:rsid w:val="00602568"/>
    <w:rsid w:val="00602645"/>
    <w:rsid w:val="00602680"/>
    <w:rsid w:val="00602693"/>
    <w:rsid w:val="006026FE"/>
    <w:rsid w:val="006027AC"/>
    <w:rsid w:val="006027DD"/>
    <w:rsid w:val="00602853"/>
    <w:rsid w:val="006028A6"/>
    <w:rsid w:val="00602928"/>
    <w:rsid w:val="006029AD"/>
    <w:rsid w:val="00602C57"/>
    <w:rsid w:val="00602C79"/>
    <w:rsid w:val="00602D8B"/>
    <w:rsid w:val="00602DAF"/>
    <w:rsid w:val="00602F38"/>
    <w:rsid w:val="00603052"/>
    <w:rsid w:val="006031CC"/>
    <w:rsid w:val="00603229"/>
    <w:rsid w:val="006032BA"/>
    <w:rsid w:val="006032EE"/>
    <w:rsid w:val="00603377"/>
    <w:rsid w:val="00603379"/>
    <w:rsid w:val="00603385"/>
    <w:rsid w:val="006034E5"/>
    <w:rsid w:val="00603688"/>
    <w:rsid w:val="006036D5"/>
    <w:rsid w:val="006036F3"/>
    <w:rsid w:val="00603841"/>
    <w:rsid w:val="00603886"/>
    <w:rsid w:val="006038BB"/>
    <w:rsid w:val="006038C2"/>
    <w:rsid w:val="006039A5"/>
    <w:rsid w:val="00603C70"/>
    <w:rsid w:val="00603D26"/>
    <w:rsid w:val="00603D4A"/>
    <w:rsid w:val="00603E3F"/>
    <w:rsid w:val="00603EFD"/>
    <w:rsid w:val="0060406B"/>
    <w:rsid w:val="00604192"/>
    <w:rsid w:val="006041F5"/>
    <w:rsid w:val="0060424F"/>
    <w:rsid w:val="006042C2"/>
    <w:rsid w:val="00604304"/>
    <w:rsid w:val="00604360"/>
    <w:rsid w:val="006043F2"/>
    <w:rsid w:val="00604438"/>
    <w:rsid w:val="006045AE"/>
    <w:rsid w:val="00604788"/>
    <w:rsid w:val="0060479F"/>
    <w:rsid w:val="00604828"/>
    <w:rsid w:val="0060483C"/>
    <w:rsid w:val="0060486E"/>
    <w:rsid w:val="00604AC1"/>
    <w:rsid w:val="00604B0C"/>
    <w:rsid w:val="00604B1A"/>
    <w:rsid w:val="00604BDB"/>
    <w:rsid w:val="00604CE7"/>
    <w:rsid w:val="00604DAC"/>
    <w:rsid w:val="00604DEF"/>
    <w:rsid w:val="00604E11"/>
    <w:rsid w:val="00604ED5"/>
    <w:rsid w:val="00604F39"/>
    <w:rsid w:val="00604F63"/>
    <w:rsid w:val="00604FF8"/>
    <w:rsid w:val="0060501E"/>
    <w:rsid w:val="00605117"/>
    <w:rsid w:val="006051E4"/>
    <w:rsid w:val="006052D2"/>
    <w:rsid w:val="00605380"/>
    <w:rsid w:val="00605422"/>
    <w:rsid w:val="00605436"/>
    <w:rsid w:val="00605458"/>
    <w:rsid w:val="00605583"/>
    <w:rsid w:val="0060560E"/>
    <w:rsid w:val="00605669"/>
    <w:rsid w:val="006056D5"/>
    <w:rsid w:val="0060576D"/>
    <w:rsid w:val="00605787"/>
    <w:rsid w:val="006057EF"/>
    <w:rsid w:val="006058DE"/>
    <w:rsid w:val="00605953"/>
    <w:rsid w:val="00605980"/>
    <w:rsid w:val="00605B13"/>
    <w:rsid w:val="00605B1B"/>
    <w:rsid w:val="00605BEE"/>
    <w:rsid w:val="00605C19"/>
    <w:rsid w:val="00605C71"/>
    <w:rsid w:val="00605D0F"/>
    <w:rsid w:val="00605E1A"/>
    <w:rsid w:val="00605E53"/>
    <w:rsid w:val="00605E5D"/>
    <w:rsid w:val="00605E6F"/>
    <w:rsid w:val="00605E78"/>
    <w:rsid w:val="00605E95"/>
    <w:rsid w:val="00605F2C"/>
    <w:rsid w:val="00606083"/>
    <w:rsid w:val="00606095"/>
    <w:rsid w:val="006060C2"/>
    <w:rsid w:val="00606108"/>
    <w:rsid w:val="0060619E"/>
    <w:rsid w:val="006061FD"/>
    <w:rsid w:val="0060628E"/>
    <w:rsid w:val="006062D9"/>
    <w:rsid w:val="00606347"/>
    <w:rsid w:val="00606432"/>
    <w:rsid w:val="00606504"/>
    <w:rsid w:val="0060652C"/>
    <w:rsid w:val="006065F7"/>
    <w:rsid w:val="00606729"/>
    <w:rsid w:val="0060687D"/>
    <w:rsid w:val="00606906"/>
    <w:rsid w:val="006069B5"/>
    <w:rsid w:val="00606A2C"/>
    <w:rsid w:val="00606CEF"/>
    <w:rsid w:val="00606D2D"/>
    <w:rsid w:val="00606DF2"/>
    <w:rsid w:val="00606DFB"/>
    <w:rsid w:val="00606ECC"/>
    <w:rsid w:val="00606F4D"/>
    <w:rsid w:val="00606F69"/>
    <w:rsid w:val="00606FA3"/>
    <w:rsid w:val="00606FE5"/>
    <w:rsid w:val="00606FE9"/>
    <w:rsid w:val="00607076"/>
    <w:rsid w:val="0060709F"/>
    <w:rsid w:val="006070CB"/>
    <w:rsid w:val="006072F0"/>
    <w:rsid w:val="006072F3"/>
    <w:rsid w:val="006074B6"/>
    <w:rsid w:val="006075A6"/>
    <w:rsid w:val="006077B4"/>
    <w:rsid w:val="00607810"/>
    <w:rsid w:val="0060792A"/>
    <w:rsid w:val="0060793A"/>
    <w:rsid w:val="00607996"/>
    <w:rsid w:val="00607C7E"/>
    <w:rsid w:val="00607C9C"/>
    <w:rsid w:val="00607CAB"/>
    <w:rsid w:val="00607E61"/>
    <w:rsid w:val="00607E7B"/>
    <w:rsid w:val="00607F26"/>
    <w:rsid w:val="00607F89"/>
    <w:rsid w:val="00607F95"/>
    <w:rsid w:val="00607FAB"/>
    <w:rsid w:val="00607FF0"/>
    <w:rsid w:val="0061000E"/>
    <w:rsid w:val="0061013C"/>
    <w:rsid w:val="00610188"/>
    <w:rsid w:val="006101C1"/>
    <w:rsid w:val="0061029D"/>
    <w:rsid w:val="006102C4"/>
    <w:rsid w:val="0061032C"/>
    <w:rsid w:val="006104CC"/>
    <w:rsid w:val="0061053C"/>
    <w:rsid w:val="00610674"/>
    <w:rsid w:val="0061077B"/>
    <w:rsid w:val="0061084A"/>
    <w:rsid w:val="0061088C"/>
    <w:rsid w:val="0061097B"/>
    <w:rsid w:val="00610B84"/>
    <w:rsid w:val="00610BA3"/>
    <w:rsid w:val="00610BDD"/>
    <w:rsid w:val="00610C46"/>
    <w:rsid w:val="00610DC3"/>
    <w:rsid w:val="00610DEB"/>
    <w:rsid w:val="00610E4F"/>
    <w:rsid w:val="00610F2E"/>
    <w:rsid w:val="00610F82"/>
    <w:rsid w:val="00610FC2"/>
    <w:rsid w:val="00611114"/>
    <w:rsid w:val="00611387"/>
    <w:rsid w:val="00611498"/>
    <w:rsid w:val="00611576"/>
    <w:rsid w:val="006115B6"/>
    <w:rsid w:val="0061162E"/>
    <w:rsid w:val="0061167F"/>
    <w:rsid w:val="00611872"/>
    <w:rsid w:val="00611922"/>
    <w:rsid w:val="006119C9"/>
    <w:rsid w:val="00611A91"/>
    <w:rsid w:val="00611B80"/>
    <w:rsid w:val="00611B8D"/>
    <w:rsid w:val="00611BCD"/>
    <w:rsid w:val="00611C1C"/>
    <w:rsid w:val="00611C2F"/>
    <w:rsid w:val="00611C6B"/>
    <w:rsid w:val="00611DBA"/>
    <w:rsid w:val="00611DC5"/>
    <w:rsid w:val="00611EB7"/>
    <w:rsid w:val="006120F1"/>
    <w:rsid w:val="00612227"/>
    <w:rsid w:val="00612264"/>
    <w:rsid w:val="00612267"/>
    <w:rsid w:val="00612298"/>
    <w:rsid w:val="0061232E"/>
    <w:rsid w:val="0061233E"/>
    <w:rsid w:val="0061236C"/>
    <w:rsid w:val="006123A6"/>
    <w:rsid w:val="006123E9"/>
    <w:rsid w:val="0061248A"/>
    <w:rsid w:val="00612539"/>
    <w:rsid w:val="00612573"/>
    <w:rsid w:val="00612602"/>
    <w:rsid w:val="0061261F"/>
    <w:rsid w:val="00612794"/>
    <w:rsid w:val="00612814"/>
    <w:rsid w:val="00612887"/>
    <w:rsid w:val="00612897"/>
    <w:rsid w:val="0061291C"/>
    <w:rsid w:val="0061294B"/>
    <w:rsid w:val="00612A7C"/>
    <w:rsid w:val="00612A98"/>
    <w:rsid w:val="00612ABB"/>
    <w:rsid w:val="00612AC6"/>
    <w:rsid w:val="00612AD2"/>
    <w:rsid w:val="00612AF0"/>
    <w:rsid w:val="00612B1D"/>
    <w:rsid w:val="00612B32"/>
    <w:rsid w:val="00612B91"/>
    <w:rsid w:val="00612C20"/>
    <w:rsid w:val="00612C2A"/>
    <w:rsid w:val="00612C3B"/>
    <w:rsid w:val="00612C42"/>
    <w:rsid w:val="00612E5C"/>
    <w:rsid w:val="00612E68"/>
    <w:rsid w:val="00613023"/>
    <w:rsid w:val="006130FD"/>
    <w:rsid w:val="00613146"/>
    <w:rsid w:val="006131E1"/>
    <w:rsid w:val="006132C9"/>
    <w:rsid w:val="006132CE"/>
    <w:rsid w:val="006132E2"/>
    <w:rsid w:val="006133C2"/>
    <w:rsid w:val="006133DA"/>
    <w:rsid w:val="00613443"/>
    <w:rsid w:val="00613461"/>
    <w:rsid w:val="006134DF"/>
    <w:rsid w:val="00613503"/>
    <w:rsid w:val="00613549"/>
    <w:rsid w:val="00613569"/>
    <w:rsid w:val="0061359A"/>
    <w:rsid w:val="006135B0"/>
    <w:rsid w:val="00613644"/>
    <w:rsid w:val="006136A1"/>
    <w:rsid w:val="006136BA"/>
    <w:rsid w:val="006136E5"/>
    <w:rsid w:val="006137A7"/>
    <w:rsid w:val="006137E5"/>
    <w:rsid w:val="006137E6"/>
    <w:rsid w:val="0061380E"/>
    <w:rsid w:val="0061390E"/>
    <w:rsid w:val="0061395A"/>
    <w:rsid w:val="006139EA"/>
    <w:rsid w:val="00613A0D"/>
    <w:rsid w:val="00613A5F"/>
    <w:rsid w:val="00613A76"/>
    <w:rsid w:val="00613C02"/>
    <w:rsid w:val="00613C69"/>
    <w:rsid w:val="00613D6D"/>
    <w:rsid w:val="00613E87"/>
    <w:rsid w:val="00613F50"/>
    <w:rsid w:val="00613F6A"/>
    <w:rsid w:val="00613FDB"/>
    <w:rsid w:val="00614095"/>
    <w:rsid w:val="006140E1"/>
    <w:rsid w:val="00614107"/>
    <w:rsid w:val="0061412F"/>
    <w:rsid w:val="00614199"/>
    <w:rsid w:val="006141EC"/>
    <w:rsid w:val="0061420A"/>
    <w:rsid w:val="00614256"/>
    <w:rsid w:val="006142E2"/>
    <w:rsid w:val="0061439B"/>
    <w:rsid w:val="006143F8"/>
    <w:rsid w:val="0061448A"/>
    <w:rsid w:val="006144A0"/>
    <w:rsid w:val="006144F3"/>
    <w:rsid w:val="006146CE"/>
    <w:rsid w:val="00614775"/>
    <w:rsid w:val="00614804"/>
    <w:rsid w:val="00614813"/>
    <w:rsid w:val="00614830"/>
    <w:rsid w:val="00614898"/>
    <w:rsid w:val="006148C8"/>
    <w:rsid w:val="00614A1E"/>
    <w:rsid w:val="00614B00"/>
    <w:rsid w:val="00614CCF"/>
    <w:rsid w:val="00614D0A"/>
    <w:rsid w:val="00614D91"/>
    <w:rsid w:val="00614E20"/>
    <w:rsid w:val="00614E6F"/>
    <w:rsid w:val="00614F88"/>
    <w:rsid w:val="00615052"/>
    <w:rsid w:val="00615077"/>
    <w:rsid w:val="006151B4"/>
    <w:rsid w:val="006151DE"/>
    <w:rsid w:val="006152DB"/>
    <w:rsid w:val="00615457"/>
    <w:rsid w:val="006154F8"/>
    <w:rsid w:val="006156F2"/>
    <w:rsid w:val="0061573A"/>
    <w:rsid w:val="006157BF"/>
    <w:rsid w:val="0061583E"/>
    <w:rsid w:val="0061590A"/>
    <w:rsid w:val="0061596E"/>
    <w:rsid w:val="006159E5"/>
    <w:rsid w:val="00615A45"/>
    <w:rsid w:val="00615AA1"/>
    <w:rsid w:val="00615BB2"/>
    <w:rsid w:val="00615C36"/>
    <w:rsid w:val="00615D4E"/>
    <w:rsid w:val="00615D71"/>
    <w:rsid w:val="00615E31"/>
    <w:rsid w:val="00615F23"/>
    <w:rsid w:val="00615F63"/>
    <w:rsid w:val="00615FC3"/>
    <w:rsid w:val="006160B1"/>
    <w:rsid w:val="006161DC"/>
    <w:rsid w:val="006161EA"/>
    <w:rsid w:val="00616231"/>
    <w:rsid w:val="0061628C"/>
    <w:rsid w:val="006163DA"/>
    <w:rsid w:val="006163EC"/>
    <w:rsid w:val="0061643E"/>
    <w:rsid w:val="006168E7"/>
    <w:rsid w:val="006169A8"/>
    <w:rsid w:val="00616A9C"/>
    <w:rsid w:val="00616B9E"/>
    <w:rsid w:val="00616BAB"/>
    <w:rsid w:val="00616C35"/>
    <w:rsid w:val="00616C44"/>
    <w:rsid w:val="00616CDA"/>
    <w:rsid w:val="00616CDD"/>
    <w:rsid w:val="00616D3A"/>
    <w:rsid w:val="00616D9D"/>
    <w:rsid w:val="00616ED0"/>
    <w:rsid w:val="00616F41"/>
    <w:rsid w:val="00616FA5"/>
    <w:rsid w:val="0061701C"/>
    <w:rsid w:val="00617161"/>
    <w:rsid w:val="0061719B"/>
    <w:rsid w:val="00617214"/>
    <w:rsid w:val="0061721D"/>
    <w:rsid w:val="0061725C"/>
    <w:rsid w:val="00617334"/>
    <w:rsid w:val="00617394"/>
    <w:rsid w:val="0061739C"/>
    <w:rsid w:val="006173E4"/>
    <w:rsid w:val="006173ED"/>
    <w:rsid w:val="00617511"/>
    <w:rsid w:val="00617524"/>
    <w:rsid w:val="00617530"/>
    <w:rsid w:val="00617532"/>
    <w:rsid w:val="0061753E"/>
    <w:rsid w:val="0061754E"/>
    <w:rsid w:val="006175B6"/>
    <w:rsid w:val="006175CF"/>
    <w:rsid w:val="006176D6"/>
    <w:rsid w:val="00617775"/>
    <w:rsid w:val="00617809"/>
    <w:rsid w:val="00617916"/>
    <w:rsid w:val="00617A9D"/>
    <w:rsid w:val="00617ADD"/>
    <w:rsid w:val="00617C91"/>
    <w:rsid w:val="00617CC7"/>
    <w:rsid w:val="00617D2C"/>
    <w:rsid w:val="00617E76"/>
    <w:rsid w:val="0062001C"/>
    <w:rsid w:val="0062002D"/>
    <w:rsid w:val="00620086"/>
    <w:rsid w:val="0062012E"/>
    <w:rsid w:val="0062017F"/>
    <w:rsid w:val="00620240"/>
    <w:rsid w:val="00620278"/>
    <w:rsid w:val="00620399"/>
    <w:rsid w:val="0062040B"/>
    <w:rsid w:val="00620473"/>
    <w:rsid w:val="006205D1"/>
    <w:rsid w:val="006205D6"/>
    <w:rsid w:val="006205DA"/>
    <w:rsid w:val="00620633"/>
    <w:rsid w:val="00620652"/>
    <w:rsid w:val="00620688"/>
    <w:rsid w:val="006206A7"/>
    <w:rsid w:val="006206D7"/>
    <w:rsid w:val="006207BF"/>
    <w:rsid w:val="006208A9"/>
    <w:rsid w:val="006208DA"/>
    <w:rsid w:val="006208E9"/>
    <w:rsid w:val="00620981"/>
    <w:rsid w:val="006209D2"/>
    <w:rsid w:val="006209F8"/>
    <w:rsid w:val="00620C4B"/>
    <w:rsid w:val="00620CB7"/>
    <w:rsid w:val="00620EA2"/>
    <w:rsid w:val="00620F04"/>
    <w:rsid w:val="00620F68"/>
    <w:rsid w:val="00620FA1"/>
    <w:rsid w:val="0062104F"/>
    <w:rsid w:val="006210AB"/>
    <w:rsid w:val="006210C1"/>
    <w:rsid w:val="006211DA"/>
    <w:rsid w:val="006211F0"/>
    <w:rsid w:val="00621272"/>
    <w:rsid w:val="006212DC"/>
    <w:rsid w:val="00621307"/>
    <w:rsid w:val="0062139B"/>
    <w:rsid w:val="00621406"/>
    <w:rsid w:val="0062144E"/>
    <w:rsid w:val="00621456"/>
    <w:rsid w:val="00621595"/>
    <w:rsid w:val="0062175F"/>
    <w:rsid w:val="006217E4"/>
    <w:rsid w:val="006217E5"/>
    <w:rsid w:val="00621833"/>
    <w:rsid w:val="0062183A"/>
    <w:rsid w:val="00621856"/>
    <w:rsid w:val="006218A1"/>
    <w:rsid w:val="006218A6"/>
    <w:rsid w:val="006218FD"/>
    <w:rsid w:val="00621AA9"/>
    <w:rsid w:val="00621C12"/>
    <w:rsid w:val="00621C70"/>
    <w:rsid w:val="00621D14"/>
    <w:rsid w:val="00621DF3"/>
    <w:rsid w:val="00621E98"/>
    <w:rsid w:val="00621EFA"/>
    <w:rsid w:val="00621F06"/>
    <w:rsid w:val="00621F7A"/>
    <w:rsid w:val="006221CE"/>
    <w:rsid w:val="006221E6"/>
    <w:rsid w:val="00622349"/>
    <w:rsid w:val="006223C5"/>
    <w:rsid w:val="00622464"/>
    <w:rsid w:val="0062251F"/>
    <w:rsid w:val="00622520"/>
    <w:rsid w:val="00622626"/>
    <w:rsid w:val="006226B0"/>
    <w:rsid w:val="00622799"/>
    <w:rsid w:val="00622858"/>
    <w:rsid w:val="00622964"/>
    <w:rsid w:val="006229D9"/>
    <w:rsid w:val="006229E3"/>
    <w:rsid w:val="00622BFC"/>
    <w:rsid w:val="00622D67"/>
    <w:rsid w:val="00622D74"/>
    <w:rsid w:val="00622D83"/>
    <w:rsid w:val="00622DB1"/>
    <w:rsid w:val="00622E37"/>
    <w:rsid w:val="00622E9C"/>
    <w:rsid w:val="00622ED1"/>
    <w:rsid w:val="00622F72"/>
    <w:rsid w:val="00622F74"/>
    <w:rsid w:val="00622FC3"/>
    <w:rsid w:val="00622FD9"/>
    <w:rsid w:val="00623035"/>
    <w:rsid w:val="00623186"/>
    <w:rsid w:val="006231A6"/>
    <w:rsid w:val="00623349"/>
    <w:rsid w:val="006233B3"/>
    <w:rsid w:val="0062346A"/>
    <w:rsid w:val="00623593"/>
    <w:rsid w:val="006235D9"/>
    <w:rsid w:val="00623635"/>
    <w:rsid w:val="00623640"/>
    <w:rsid w:val="00623770"/>
    <w:rsid w:val="006237B2"/>
    <w:rsid w:val="006237E8"/>
    <w:rsid w:val="00623840"/>
    <w:rsid w:val="00623928"/>
    <w:rsid w:val="006239CD"/>
    <w:rsid w:val="00623B31"/>
    <w:rsid w:val="00623B84"/>
    <w:rsid w:val="00623C63"/>
    <w:rsid w:val="00623D64"/>
    <w:rsid w:val="00623FCD"/>
    <w:rsid w:val="006240CF"/>
    <w:rsid w:val="006240E1"/>
    <w:rsid w:val="006241F7"/>
    <w:rsid w:val="00624221"/>
    <w:rsid w:val="00624239"/>
    <w:rsid w:val="00624282"/>
    <w:rsid w:val="0062428E"/>
    <w:rsid w:val="006243CA"/>
    <w:rsid w:val="006244CC"/>
    <w:rsid w:val="006244DD"/>
    <w:rsid w:val="0062453B"/>
    <w:rsid w:val="00624695"/>
    <w:rsid w:val="006246EF"/>
    <w:rsid w:val="006246F5"/>
    <w:rsid w:val="0062482D"/>
    <w:rsid w:val="00624903"/>
    <w:rsid w:val="006249A8"/>
    <w:rsid w:val="006249F2"/>
    <w:rsid w:val="006249F6"/>
    <w:rsid w:val="00624A80"/>
    <w:rsid w:val="00624B05"/>
    <w:rsid w:val="00624B17"/>
    <w:rsid w:val="00624B76"/>
    <w:rsid w:val="00624BC2"/>
    <w:rsid w:val="00624C85"/>
    <w:rsid w:val="00624C86"/>
    <w:rsid w:val="00624D16"/>
    <w:rsid w:val="00624E09"/>
    <w:rsid w:val="00624E0A"/>
    <w:rsid w:val="00624EBE"/>
    <w:rsid w:val="00624F04"/>
    <w:rsid w:val="00624F65"/>
    <w:rsid w:val="00625070"/>
    <w:rsid w:val="00625120"/>
    <w:rsid w:val="006251A3"/>
    <w:rsid w:val="0062521E"/>
    <w:rsid w:val="00625227"/>
    <w:rsid w:val="00625312"/>
    <w:rsid w:val="00625342"/>
    <w:rsid w:val="00625370"/>
    <w:rsid w:val="006253B3"/>
    <w:rsid w:val="0062564C"/>
    <w:rsid w:val="00625796"/>
    <w:rsid w:val="006257E1"/>
    <w:rsid w:val="00625823"/>
    <w:rsid w:val="0062584A"/>
    <w:rsid w:val="006258CE"/>
    <w:rsid w:val="0062597B"/>
    <w:rsid w:val="00625A63"/>
    <w:rsid w:val="00625A6D"/>
    <w:rsid w:val="00625A6F"/>
    <w:rsid w:val="00625B1D"/>
    <w:rsid w:val="00625B21"/>
    <w:rsid w:val="00625DE0"/>
    <w:rsid w:val="00625ED5"/>
    <w:rsid w:val="00625F28"/>
    <w:rsid w:val="00625F74"/>
    <w:rsid w:val="0062607F"/>
    <w:rsid w:val="006260E9"/>
    <w:rsid w:val="0062610F"/>
    <w:rsid w:val="006261A6"/>
    <w:rsid w:val="006261FE"/>
    <w:rsid w:val="00626213"/>
    <w:rsid w:val="0062625F"/>
    <w:rsid w:val="006262D1"/>
    <w:rsid w:val="00626344"/>
    <w:rsid w:val="0062636B"/>
    <w:rsid w:val="006263FE"/>
    <w:rsid w:val="00626405"/>
    <w:rsid w:val="006264DC"/>
    <w:rsid w:val="006265CC"/>
    <w:rsid w:val="006265F7"/>
    <w:rsid w:val="00626658"/>
    <w:rsid w:val="006266B7"/>
    <w:rsid w:val="006266E2"/>
    <w:rsid w:val="00626783"/>
    <w:rsid w:val="006267E2"/>
    <w:rsid w:val="0062681D"/>
    <w:rsid w:val="0062691F"/>
    <w:rsid w:val="0062695D"/>
    <w:rsid w:val="006269A3"/>
    <w:rsid w:val="00626A11"/>
    <w:rsid w:val="00626AE7"/>
    <w:rsid w:val="00626B07"/>
    <w:rsid w:val="00626B27"/>
    <w:rsid w:val="00626B5B"/>
    <w:rsid w:val="00626B80"/>
    <w:rsid w:val="00626DE9"/>
    <w:rsid w:val="00626F47"/>
    <w:rsid w:val="00626FCC"/>
    <w:rsid w:val="00627039"/>
    <w:rsid w:val="0062703B"/>
    <w:rsid w:val="00627077"/>
    <w:rsid w:val="0062708A"/>
    <w:rsid w:val="006270CD"/>
    <w:rsid w:val="00627115"/>
    <w:rsid w:val="0062723C"/>
    <w:rsid w:val="006272B7"/>
    <w:rsid w:val="00627449"/>
    <w:rsid w:val="006274A2"/>
    <w:rsid w:val="006275E9"/>
    <w:rsid w:val="00627611"/>
    <w:rsid w:val="0062765C"/>
    <w:rsid w:val="0062769C"/>
    <w:rsid w:val="00627726"/>
    <w:rsid w:val="00627750"/>
    <w:rsid w:val="006277AF"/>
    <w:rsid w:val="006277F4"/>
    <w:rsid w:val="0062781B"/>
    <w:rsid w:val="00627827"/>
    <w:rsid w:val="0062782E"/>
    <w:rsid w:val="006278EB"/>
    <w:rsid w:val="006279A5"/>
    <w:rsid w:val="006279C5"/>
    <w:rsid w:val="00627B52"/>
    <w:rsid w:val="00627C6F"/>
    <w:rsid w:val="00627DAA"/>
    <w:rsid w:val="00627DD7"/>
    <w:rsid w:val="00627E50"/>
    <w:rsid w:val="00627EAB"/>
    <w:rsid w:val="0063008E"/>
    <w:rsid w:val="006301F9"/>
    <w:rsid w:val="0063024A"/>
    <w:rsid w:val="006302F2"/>
    <w:rsid w:val="00630414"/>
    <w:rsid w:val="0063052C"/>
    <w:rsid w:val="00630566"/>
    <w:rsid w:val="0063056E"/>
    <w:rsid w:val="00630598"/>
    <w:rsid w:val="00630620"/>
    <w:rsid w:val="00630663"/>
    <w:rsid w:val="0063073A"/>
    <w:rsid w:val="0063090B"/>
    <w:rsid w:val="0063094C"/>
    <w:rsid w:val="006309A9"/>
    <w:rsid w:val="00630A64"/>
    <w:rsid w:val="00630A7B"/>
    <w:rsid w:val="00630AE4"/>
    <w:rsid w:val="00630BAF"/>
    <w:rsid w:val="00630C25"/>
    <w:rsid w:val="00630D8D"/>
    <w:rsid w:val="00630DDE"/>
    <w:rsid w:val="00631011"/>
    <w:rsid w:val="00631012"/>
    <w:rsid w:val="0063107A"/>
    <w:rsid w:val="006310E5"/>
    <w:rsid w:val="00631165"/>
    <w:rsid w:val="00631175"/>
    <w:rsid w:val="00631240"/>
    <w:rsid w:val="006312A5"/>
    <w:rsid w:val="0063134B"/>
    <w:rsid w:val="0063137A"/>
    <w:rsid w:val="006313F5"/>
    <w:rsid w:val="00631470"/>
    <w:rsid w:val="00631569"/>
    <w:rsid w:val="00631573"/>
    <w:rsid w:val="00631589"/>
    <w:rsid w:val="006315D3"/>
    <w:rsid w:val="0063168B"/>
    <w:rsid w:val="006316B6"/>
    <w:rsid w:val="0063175C"/>
    <w:rsid w:val="006317A3"/>
    <w:rsid w:val="006318C7"/>
    <w:rsid w:val="0063194E"/>
    <w:rsid w:val="0063195D"/>
    <w:rsid w:val="00631A0F"/>
    <w:rsid w:val="00631A65"/>
    <w:rsid w:val="00631B95"/>
    <w:rsid w:val="00631D76"/>
    <w:rsid w:val="00631DF7"/>
    <w:rsid w:val="00631E87"/>
    <w:rsid w:val="00631EBD"/>
    <w:rsid w:val="00631ED7"/>
    <w:rsid w:val="00631F6E"/>
    <w:rsid w:val="00631FE4"/>
    <w:rsid w:val="00632093"/>
    <w:rsid w:val="00632116"/>
    <w:rsid w:val="00632152"/>
    <w:rsid w:val="006321F9"/>
    <w:rsid w:val="0063222E"/>
    <w:rsid w:val="0063258F"/>
    <w:rsid w:val="00632660"/>
    <w:rsid w:val="00632672"/>
    <w:rsid w:val="00632686"/>
    <w:rsid w:val="006326BF"/>
    <w:rsid w:val="0063272C"/>
    <w:rsid w:val="0063274D"/>
    <w:rsid w:val="006327A0"/>
    <w:rsid w:val="006327EC"/>
    <w:rsid w:val="00632872"/>
    <w:rsid w:val="006328E7"/>
    <w:rsid w:val="00632957"/>
    <w:rsid w:val="00632A61"/>
    <w:rsid w:val="00632C01"/>
    <w:rsid w:val="00632C9B"/>
    <w:rsid w:val="00632D4E"/>
    <w:rsid w:val="00632DA5"/>
    <w:rsid w:val="00632DA6"/>
    <w:rsid w:val="00632DA7"/>
    <w:rsid w:val="00632EDD"/>
    <w:rsid w:val="00632EDE"/>
    <w:rsid w:val="00632EFA"/>
    <w:rsid w:val="00632EFE"/>
    <w:rsid w:val="00632F43"/>
    <w:rsid w:val="00632FC4"/>
    <w:rsid w:val="00633017"/>
    <w:rsid w:val="0063312E"/>
    <w:rsid w:val="00633250"/>
    <w:rsid w:val="0063328A"/>
    <w:rsid w:val="006332F9"/>
    <w:rsid w:val="0063356D"/>
    <w:rsid w:val="0063371A"/>
    <w:rsid w:val="006337C0"/>
    <w:rsid w:val="006337E1"/>
    <w:rsid w:val="006337F4"/>
    <w:rsid w:val="006339E1"/>
    <w:rsid w:val="00633A7D"/>
    <w:rsid w:val="00633B39"/>
    <w:rsid w:val="00633B65"/>
    <w:rsid w:val="00633BCE"/>
    <w:rsid w:val="00633C29"/>
    <w:rsid w:val="00633C4D"/>
    <w:rsid w:val="00633C51"/>
    <w:rsid w:val="00633D10"/>
    <w:rsid w:val="00633D2E"/>
    <w:rsid w:val="00633E02"/>
    <w:rsid w:val="00633E06"/>
    <w:rsid w:val="00633EFB"/>
    <w:rsid w:val="00633FB8"/>
    <w:rsid w:val="00633FC4"/>
    <w:rsid w:val="00633FD6"/>
    <w:rsid w:val="0063409C"/>
    <w:rsid w:val="006340AA"/>
    <w:rsid w:val="00634116"/>
    <w:rsid w:val="00634262"/>
    <w:rsid w:val="0063427C"/>
    <w:rsid w:val="00634313"/>
    <w:rsid w:val="00634386"/>
    <w:rsid w:val="00634431"/>
    <w:rsid w:val="006344BE"/>
    <w:rsid w:val="006344E1"/>
    <w:rsid w:val="0063473C"/>
    <w:rsid w:val="006347A4"/>
    <w:rsid w:val="006347B0"/>
    <w:rsid w:val="006347BB"/>
    <w:rsid w:val="00634822"/>
    <w:rsid w:val="006348AC"/>
    <w:rsid w:val="006348D5"/>
    <w:rsid w:val="006348E7"/>
    <w:rsid w:val="00634940"/>
    <w:rsid w:val="00634956"/>
    <w:rsid w:val="006349B9"/>
    <w:rsid w:val="006349D0"/>
    <w:rsid w:val="006349D7"/>
    <w:rsid w:val="006349F6"/>
    <w:rsid w:val="00634B7C"/>
    <w:rsid w:val="00634B95"/>
    <w:rsid w:val="00634BC3"/>
    <w:rsid w:val="00634CE5"/>
    <w:rsid w:val="00634D09"/>
    <w:rsid w:val="00634D32"/>
    <w:rsid w:val="00634F99"/>
    <w:rsid w:val="0063507C"/>
    <w:rsid w:val="00635087"/>
    <w:rsid w:val="0063508C"/>
    <w:rsid w:val="006351C0"/>
    <w:rsid w:val="006351CF"/>
    <w:rsid w:val="00635337"/>
    <w:rsid w:val="006354A5"/>
    <w:rsid w:val="006354CB"/>
    <w:rsid w:val="00635599"/>
    <w:rsid w:val="006355CD"/>
    <w:rsid w:val="00635692"/>
    <w:rsid w:val="0063573B"/>
    <w:rsid w:val="006358BC"/>
    <w:rsid w:val="006358EC"/>
    <w:rsid w:val="0063596C"/>
    <w:rsid w:val="006359E5"/>
    <w:rsid w:val="00635B11"/>
    <w:rsid w:val="00635B67"/>
    <w:rsid w:val="00635C2A"/>
    <w:rsid w:val="00635CC8"/>
    <w:rsid w:val="00635D81"/>
    <w:rsid w:val="00635DAA"/>
    <w:rsid w:val="00635F5F"/>
    <w:rsid w:val="00635F63"/>
    <w:rsid w:val="0063603A"/>
    <w:rsid w:val="0063610B"/>
    <w:rsid w:val="006361F4"/>
    <w:rsid w:val="006362C7"/>
    <w:rsid w:val="0063654A"/>
    <w:rsid w:val="00636582"/>
    <w:rsid w:val="006365EB"/>
    <w:rsid w:val="006366BD"/>
    <w:rsid w:val="006366D4"/>
    <w:rsid w:val="00636712"/>
    <w:rsid w:val="00636725"/>
    <w:rsid w:val="00636799"/>
    <w:rsid w:val="006367C9"/>
    <w:rsid w:val="006369D0"/>
    <w:rsid w:val="00636AD6"/>
    <w:rsid w:val="00636B28"/>
    <w:rsid w:val="00636DA1"/>
    <w:rsid w:val="00636EBF"/>
    <w:rsid w:val="00636EE6"/>
    <w:rsid w:val="00636F55"/>
    <w:rsid w:val="00636F9B"/>
    <w:rsid w:val="00636FCA"/>
    <w:rsid w:val="0063718E"/>
    <w:rsid w:val="00637351"/>
    <w:rsid w:val="0063738D"/>
    <w:rsid w:val="00637434"/>
    <w:rsid w:val="00637569"/>
    <w:rsid w:val="00637572"/>
    <w:rsid w:val="006375AB"/>
    <w:rsid w:val="006375CB"/>
    <w:rsid w:val="006376BE"/>
    <w:rsid w:val="0063770B"/>
    <w:rsid w:val="00637777"/>
    <w:rsid w:val="00637840"/>
    <w:rsid w:val="006378C4"/>
    <w:rsid w:val="0063791D"/>
    <w:rsid w:val="006379D9"/>
    <w:rsid w:val="00637A4A"/>
    <w:rsid w:val="00637B09"/>
    <w:rsid w:val="00637CCD"/>
    <w:rsid w:val="00637E49"/>
    <w:rsid w:val="00637EF3"/>
    <w:rsid w:val="00640028"/>
    <w:rsid w:val="006400C3"/>
    <w:rsid w:val="00640154"/>
    <w:rsid w:val="00640156"/>
    <w:rsid w:val="006401B6"/>
    <w:rsid w:val="00640214"/>
    <w:rsid w:val="0064025E"/>
    <w:rsid w:val="006402A6"/>
    <w:rsid w:val="006402AC"/>
    <w:rsid w:val="006403B5"/>
    <w:rsid w:val="00640423"/>
    <w:rsid w:val="006404A9"/>
    <w:rsid w:val="006405C2"/>
    <w:rsid w:val="00640611"/>
    <w:rsid w:val="006406E1"/>
    <w:rsid w:val="00640801"/>
    <w:rsid w:val="006408AF"/>
    <w:rsid w:val="006409C9"/>
    <w:rsid w:val="00640A50"/>
    <w:rsid w:val="00640A5E"/>
    <w:rsid w:val="00640ADE"/>
    <w:rsid w:val="00640AF4"/>
    <w:rsid w:val="00640B5F"/>
    <w:rsid w:val="00640B80"/>
    <w:rsid w:val="00640B9A"/>
    <w:rsid w:val="00640C3D"/>
    <w:rsid w:val="00640C77"/>
    <w:rsid w:val="00640C80"/>
    <w:rsid w:val="00640D89"/>
    <w:rsid w:val="00640EBA"/>
    <w:rsid w:val="00640EC0"/>
    <w:rsid w:val="00641037"/>
    <w:rsid w:val="00641072"/>
    <w:rsid w:val="00641089"/>
    <w:rsid w:val="00641097"/>
    <w:rsid w:val="0064126D"/>
    <w:rsid w:val="00641311"/>
    <w:rsid w:val="006413D3"/>
    <w:rsid w:val="0064145A"/>
    <w:rsid w:val="00641472"/>
    <w:rsid w:val="0064148B"/>
    <w:rsid w:val="00641564"/>
    <w:rsid w:val="006415AA"/>
    <w:rsid w:val="006415D6"/>
    <w:rsid w:val="0064175E"/>
    <w:rsid w:val="00641760"/>
    <w:rsid w:val="006417BB"/>
    <w:rsid w:val="006417F0"/>
    <w:rsid w:val="006418BF"/>
    <w:rsid w:val="00641954"/>
    <w:rsid w:val="00641A0D"/>
    <w:rsid w:val="00641A8C"/>
    <w:rsid w:val="00641B39"/>
    <w:rsid w:val="00641BFF"/>
    <w:rsid w:val="00641C0F"/>
    <w:rsid w:val="00641C76"/>
    <w:rsid w:val="00641D88"/>
    <w:rsid w:val="00641DCC"/>
    <w:rsid w:val="00641E1C"/>
    <w:rsid w:val="00641E8A"/>
    <w:rsid w:val="00641F3F"/>
    <w:rsid w:val="00641F46"/>
    <w:rsid w:val="00641FFB"/>
    <w:rsid w:val="00642142"/>
    <w:rsid w:val="006422F5"/>
    <w:rsid w:val="00642390"/>
    <w:rsid w:val="00642482"/>
    <w:rsid w:val="006424B3"/>
    <w:rsid w:val="006424E7"/>
    <w:rsid w:val="0064260F"/>
    <w:rsid w:val="006426FD"/>
    <w:rsid w:val="00642772"/>
    <w:rsid w:val="00642856"/>
    <w:rsid w:val="00642879"/>
    <w:rsid w:val="006428CB"/>
    <w:rsid w:val="00642AC3"/>
    <w:rsid w:val="00642B7C"/>
    <w:rsid w:val="00642BF0"/>
    <w:rsid w:val="00642C08"/>
    <w:rsid w:val="00642C93"/>
    <w:rsid w:val="00642D44"/>
    <w:rsid w:val="00642DF9"/>
    <w:rsid w:val="00642F0C"/>
    <w:rsid w:val="00642F67"/>
    <w:rsid w:val="0064307E"/>
    <w:rsid w:val="0064326A"/>
    <w:rsid w:val="006432C9"/>
    <w:rsid w:val="0064332B"/>
    <w:rsid w:val="0064335D"/>
    <w:rsid w:val="006433A4"/>
    <w:rsid w:val="0064343B"/>
    <w:rsid w:val="00643489"/>
    <w:rsid w:val="006434AD"/>
    <w:rsid w:val="00643565"/>
    <w:rsid w:val="006435B9"/>
    <w:rsid w:val="006435C7"/>
    <w:rsid w:val="00643614"/>
    <w:rsid w:val="006438DA"/>
    <w:rsid w:val="00643ABF"/>
    <w:rsid w:val="00643ACD"/>
    <w:rsid w:val="00643B2D"/>
    <w:rsid w:val="00643B7C"/>
    <w:rsid w:val="00643BE6"/>
    <w:rsid w:val="00643CC7"/>
    <w:rsid w:val="00643CDB"/>
    <w:rsid w:val="00643D24"/>
    <w:rsid w:val="00643D91"/>
    <w:rsid w:val="00643E68"/>
    <w:rsid w:val="00643E79"/>
    <w:rsid w:val="00643EBC"/>
    <w:rsid w:val="00643EED"/>
    <w:rsid w:val="00643F01"/>
    <w:rsid w:val="00643F76"/>
    <w:rsid w:val="00643FA1"/>
    <w:rsid w:val="006440B0"/>
    <w:rsid w:val="0064414F"/>
    <w:rsid w:val="00644210"/>
    <w:rsid w:val="00644220"/>
    <w:rsid w:val="00644277"/>
    <w:rsid w:val="006443B3"/>
    <w:rsid w:val="00644477"/>
    <w:rsid w:val="00644530"/>
    <w:rsid w:val="00644531"/>
    <w:rsid w:val="00644806"/>
    <w:rsid w:val="0064488F"/>
    <w:rsid w:val="006448D7"/>
    <w:rsid w:val="00644901"/>
    <w:rsid w:val="006449F8"/>
    <w:rsid w:val="00644A37"/>
    <w:rsid w:val="00644A4C"/>
    <w:rsid w:val="00644A99"/>
    <w:rsid w:val="00644AAE"/>
    <w:rsid w:val="00644DFE"/>
    <w:rsid w:val="00644EB3"/>
    <w:rsid w:val="0064508F"/>
    <w:rsid w:val="00645193"/>
    <w:rsid w:val="006451A6"/>
    <w:rsid w:val="00645209"/>
    <w:rsid w:val="006452A5"/>
    <w:rsid w:val="006452F1"/>
    <w:rsid w:val="0064541E"/>
    <w:rsid w:val="0064545D"/>
    <w:rsid w:val="0064546D"/>
    <w:rsid w:val="006454DF"/>
    <w:rsid w:val="0064551D"/>
    <w:rsid w:val="006455B1"/>
    <w:rsid w:val="006455DA"/>
    <w:rsid w:val="00645618"/>
    <w:rsid w:val="00645630"/>
    <w:rsid w:val="006456FF"/>
    <w:rsid w:val="0064573C"/>
    <w:rsid w:val="00645740"/>
    <w:rsid w:val="006457BE"/>
    <w:rsid w:val="00645A32"/>
    <w:rsid w:val="00645ACA"/>
    <w:rsid w:val="00645B0E"/>
    <w:rsid w:val="00645B7F"/>
    <w:rsid w:val="00645B9B"/>
    <w:rsid w:val="00645CE6"/>
    <w:rsid w:val="00645D23"/>
    <w:rsid w:val="00645D26"/>
    <w:rsid w:val="00645E15"/>
    <w:rsid w:val="00645F6E"/>
    <w:rsid w:val="00645F79"/>
    <w:rsid w:val="00645F8B"/>
    <w:rsid w:val="006460BF"/>
    <w:rsid w:val="0064618F"/>
    <w:rsid w:val="006461AC"/>
    <w:rsid w:val="006461B1"/>
    <w:rsid w:val="006461FC"/>
    <w:rsid w:val="00646222"/>
    <w:rsid w:val="0064637B"/>
    <w:rsid w:val="00646420"/>
    <w:rsid w:val="00646483"/>
    <w:rsid w:val="006464B7"/>
    <w:rsid w:val="006465FF"/>
    <w:rsid w:val="006466F4"/>
    <w:rsid w:val="006467CF"/>
    <w:rsid w:val="006467DF"/>
    <w:rsid w:val="0064680B"/>
    <w:rsid w:val="00646957"/>
    <w:rsid w:val="006469B3"/>
    <w:rsid w:val="006469BE"/>
    <w:rsid w:val="006469FF"/>
    <w:rsid w:val="00646ADF"/>
    <w:rsid w:val="00646B25"/>
    <w:rsid w:val="00646B5A"/>
    <w:rsid w:val="00646C0A"/>
    <w:rsid w:val="00646C15"/>
    <w:rsid w:val="00646CFC"/>
    <w:rsid w:val="00646DCA"/>
    <w:rsid w:val="00646E3F"/>
    <w:rsid w:val="00646EEB"/>
    <w:rsid w:val="00646EFC"/>
    <w:rsid w:val="00646F50"/>
    <w:rsid w:val="00646F52"/>
    <w:rsid w:val="00647047"/>
    <w:rsid w:val="00647074"/>
    <w:rsid w:val="006470DA"/>
    <w:rsid w:val="006470FF"/>
    <w:rsid w:val="006471AE"/>
    <w:rsid w:val="0064726F"/>
    <w:rsid w:val="006472AE"/>
    <w:rsid w:val="006472FE"/>
    <w:rsid w:val="00647325"/>
    <w:rsid w:val="00647368"/>
    <w:rsid w:val="006473D4"/>
    <w:rsid w:val="006474EB"/>
    <w:rsid w:val="00647500"/>
    <w:rsid w:val="006476F0"/>
    <w:rsid w:val="0064777F"/>
    <w:rsid w:val="006477DC"/>
    <w:rsid w:val="00647A0E"/>
    <w:rsid w:val="00647BA5"/>
    <w:rsid w:val="00647BF4"/>
    <w:rsid w:val="00647CD1"/>
    <w:rsid w:val="00647CF2"/>
    <w:rsid w:val="00647DAC"/>
    <w:rsid w:val="00647DBE"/>
    <w:rsid w:val="00647EA5"/>
    <w:rsid w:val="00647ECB"/>
    <w:rsid w:val="00647F03"/>
    <w:rsid w:val="00647F1B"/>
    <w:rsid w:val="00647F87"/>
    <w:rsid w:val="00647F8D"/>
    <w:rsid w:val="00647FB5"/>
    <w:rsid w:val="00650011"/>
    <w:rsid w:val="0065009D"/>
    <w:rsid w:val="006502BE"/>
    <w:rsid w:val="006502C4"/>
    <w:rsid w:val="00650330"/>
    <w:rsid w:val="0065038E"/>
    <w:rsid w:val="00650393"/>
    <w:rsid w:val="006503E8"/>
    <w:rsid w:val="00650478"/>
    <w:rsid w:val="00650491"/>
    <w:rsid w:val="00650595"/>
    <w:rsid w:val="006505DB"/>
    <w:rsid w:val="00650782"/>
    <w:rsid w:val="006507CD"/>
    <w:rsid w:val="006507D5"/>
    <w:rsid w:val="006508ED"/>
    <w:rsid w:val="006508F9"/>
    <w:rsid w:val="0065091B"/>
    <w:rsid w:val="006509CC"/>
    <w:rsid w:val="00650A34"/>
    <w:rsid w:val="00650B0E"/>
    <w:rsid w:val="00650B9C"/>
    <w:rsid w:val="00650BC9"/>
    <w:rsid w:val="00650C42"/>
    <w:rsid w:val="00650C4F"/>
    <w:rsid w:val="00650C55"/>
    <w:rsid w:val="00650CB8"/>
    <w:rsid w:val="00650CED"/>
    <w:rsid w:val="00650D56"/>
    <w:rsid w:val="00650D9B"/>
    <w:rsid w:val="00650E99"/>
    <w:rsid w:val="006510D6"/>
    <w:rsid w:val="006510DF"/>
    <w:rsid w:val="00651202"/>
    <w:rsid w:val="0065122C"/>
    <w:rsid w:val="00651231"/>
    <w:rsid w:val="00651275"/>
    <w:rsid w:val="006512D8"/>
    <w:rsid w:val="006512FF"/>
    <w:rsid w:val="00651302"/>
    <w:rsid w:val="006513DB"/>
    <w:rsid w:val="0065143F"/>
    <w:rsid w:val="0065150F"/>
    <w:rsid w:val="006515DB"/>
    <w:rsid w:val="0065166A"/>
    <w:rsid w:val="00651672"/>
    <w:rsid w:val="00651675"/>
    <w:rsid w:val="00651844"/>
    <w:rsid w:val="00651893"/>
    <w:rsid w:val="006518BD"/>
    <w:rsid w:val="006518D2"/>
    <w:rsid w:val="006518F7"/>
    <w:rsid w:val="006519EF"/>
    <w:rsid w:val="00651A05"/>
    <w:rsid w:val="00651BB5"/>
    <w:rsid w:val="00651C0B"/>
    <w:rsid w:val="00651C43"/>
    <w:rsid w:val="00651C6B"/>
    <w:rsid w:val="00651CC7"/>
    <w:rsid w:val="00651CFA"/>
    <w:rsid w:val="00651D06"/>
    <w:rsid w:val="00651D0F"/>
    <w:rsid w:val="00651D1A"/>
    <w:rsid w:val="00651EC2"/>
    <w:rsid w:val="00651F11"/>
    <w:rsid w:val="00651F36"/>
    <w:rsid w:val="00651F5A"/>
    <w:rsid w:val="00651FE4"/>
    <w:rsid w:val="0065205D"/>
    <w:rsid w:val="00652107"/>
    <w:rsid w:val="0065212B"/>
    <w:rsid w:val="0065233E"/>
    <w:rsid w:val="00652399"/>
    <w:rsid w:val="00652468"/>
    <w:rsid w:val="00652484"/>
    <w:rsid w:val="006524D3"/>
    <w:rsid w:val="006526C4"/>
    <w:rsid w:val="006526CA"/>
    <w:rsid w:val="00652736"/>
    <w:rsid w:val="00652772"/>
    <w:rsid w:val="00652882"/>
    <w:rsid w:val="006528F8"/>
    <w:rsid w:val="00652A51"/>
    <w:rsid w:val="00652B21"/>
    <w:rsid w:val="00652B3E"/>
    <w:rsid w:val="00652B78"/>
    <w:rsid w:val="00652D1F"/>
    <w:rsid w:val="00652D60"/>
    <w:rsid w:val="00652D66"/>
    <w:rsid w:val="00652DA5"/>
    <w:rsid w:val="00652E19"/>
    <w:rsid w:val="00652E99"/>
    <w:rsid w:val="00652EA1"/>
    <w:rsid w:val="00652F53"/>
    <w:rsid w:val="0065330C"/>
    <w:rsid w:val="006533FF"/>
    <w:rsid w:val="00653474"/>
    <w:rsid w:val="0065374B"/>
    <w:rsid w:val="0065378E"/>
    <w:rsid w:val="0065385B"/>
    <w:rsid w:val="006538DE"/>
    <w:rsid w:val="0065394E"/>
    <w:rsid w:val="00653973"/>
    <w:rsid w:val="00653A07"/>
    <w:rsid w:val="00653A15"/>
    <w:rsid w:val="00653A37"/>
    <w:rsid w:val="00653A50"/>
    <w:rsid w:val="00653A73"/>
    <w:rsid w:val="00653AE8"/>
    <w:rsid w:val="00653B68"/>
    <w:rsid w:val="00653CEC"/>
    <w:rsid w:val="00653DF4"/>
    <w:rsid w:val="00653DF6"/>
    <w:rsid w:val="00653E26"/>
    <w:rsid w:val="00653ECE"/>
    <w:rsid w:val="00653FC7"/>
    <w:rsid w:val="0065406C"/>
    <w:rsid w:val="00654122"/>
    <w:rsid w:val="00654144"/>
    <w:rsid w:val="0065422F"/>
    <w:rsid w:val="00654336"/>
    <w:rsid w:val="006543DC"/>
    <w:rsid w:val="006544C2"/>
    <w:rsid w:val="00654534"/>
    <w:rsid w:val="00654575"/>
    <w:rsid w:val="00654587"/>
    <w:rsid w:val="00654676"/>
    <w:rsid w:val="006547C9"/>
    <w:rsid w:val="0065480F"/>
    <w:rsid w:val="00654942"/>
    <w:rsid w:val="006549C0"/>
    <w:rsid w:val="006549EC"/>
    <w:rsid w:val="00654A1E"/>
    <w:rsid w:val="00654A36"/>
    <w:rsid w:val="00654A4C"/>
    <w:rsid w:val="00654A9A"/>
    <w:rsid w:val="00654AC2"/>
    <w:rsid w:val="00654AE2"/>
    <w:rsid w:val="00654B43"/>
    <w:rsid w:val="00654B90"/>
    <w:rsid w:val="00654BFE"/>
    <w:rsid w:val="00654C67"/>
    <w:rsid w:val="00654DD6"/>
    <w:rsid w:val="00654E18"/>
    <w:rsid w:val="00654F1A"/>
    <w:rsid w:val="00654F75"/>
    <w:rsid w:val="00654FC1"/>
    <w:rsid w:val="00654FD9"/>
    <w:rsid w:val="00655004"/>
    <w:rsid w:val="006550A1"/>
    <w:rsid w:val="006550CA"/>
    <w:rsid w:val="00655254"/>
    <w:rsid w:val="00655364"/>
    <w:rsid w:val="006553EF"/>
    <w:rsid w:val="006553F3"/>
    <w:rsid w:val="006554D7"/>
    <w:rsid w:val="0065560D"/>
    <w:rsid w:val="00655844"/>
    <w:rsid w:val="0065589D"/>
    <w:rsid w:val="006558D0"/>
    <w:rsid w:val="00655AA5"/>
    <w:rsid w:val="00655AAC"/>
    <w:rsid w:val="00655B73"/>
    <w:rsid w:val="00655BB1"/>
    <w:rsid w:val="00655C04"/>
    <w:rsid w:val="00655C93"/>
    <w:rsid w:val="00655CBA"/>
    <w:rsid w:val="00655DD9"/>
    <w:rsid w:val="00655DF7"/>
    <w:rsid w:val="00656063"/>
    <w:rsid w:val="006562D4"/>
    <w:rsid w:val="006562EA"/>
    <w:rsid w:val="00656334"/>
    <w:rsid w:val="006563AB"/>
    <w:rsid w:val="006563B6"/>
    <w:rsid w:val="006563EA"/>
    <w:rsid w:val="00656426"/>
    <w:rsid w:val="006564D0"/>
    <w:rsid w:val="0065650F"/>
    <w:rsid w:val="0065657C"/>
    <w:rsid w:val="006565AD"/>
    <w:rsid w:val="006565D1"/>
    <w:rsid w:val="00656671"/>
    <w:rsid w:val="0065668D"/>
    <w:rsid w:val="00656733"/>
    <w:rsid w:val="0065684D"/>
    <w:rsid w:val="006568B0"/>
    <w:rsid w:val="00656903"/>
    <w:rsid w:val="00656928"/>
    <w:rsid w:val="0065695A"/>
    <w:rsid w:val="00656963"/>
    <w:rsid w:val="006569DA"/>
    <w:rsid w:val="00656A6A"/>
    <w:rsid w:val="00656B22"/>
    <w:rsid w:val="00656DDC"/>
    <w:rsid w:val="00656DF8"/>
    <w:rsid w:val="00657095"/>
    <w:rsid w:val="0065714A"/>
    <w:rsid w:val="0065714F"/>
    <w:rsid w:val="006571F8"/>
    <w:rsid w:val="00657224"/>
    <w:rsid w:val="00657265"/>
    <w:rsid w:val="00657289"/>
    <w:rsid w:val="006572A4"/>
    <w:rsid w:val="006572AF"/>
    <w:rsid w:val="006572FE"/>
    <w:rsid w:val="0065741D"/>
    <w:rsid w:val="0065743C"/>
    <w:rsid w:val="0065745C"/>
    <w:rsid w:val="006574AC"/>
    <w:rsid w:val="006575A8"/>
    <w:rsid w:val="006576DB"/>
    <w:rsid w:val="006577EE"/>
    <w:rsid w:val="0065789E"/>
    <w:rsid w:val="006578E9"/>
    <w:rsid w:val="0065793D"/>
    <w:rsid w:val="00657A23"/>
    <w:rsid w:val="00657A24"/>
    <w:rsid w:val="00657A90"/>
    <w:rsid w:val="00657B4B"/>
    <w:rsid w:val="00657C70"/>
    <w:rsid w:val="00657C90"/>
    <w:rsid w:val="00657CBA"/>
    <w:rsid w:val="00657D46"/>
    <w:rsid w:val="00657D5F"/>
    <w:rsid w:val="00657E6C"/>
    <w:rsid w:val="00657F89"/>
    <w:rsid w:val="00657FB5"/>
    <w:rsid w:val="0066007F"/>
    <w:rsid w:val="006600AC"/>
    <w:rsid w:val="006600DC"/>
    <w:rsid w:val="006601A1"/>
    <w:rsid w:val="006601BD"/>
    <w:rsid w:val="006602FA"/>
    <w:rsid w:val="00660314"/>
    <w:rsid w:val="0066032A"/>
    <w:rsid w:val="0066043B"/>
    <w:rsid w:val="00660474"/>
    <w:rsid w:val="006604C9"/>
    <w:rsid w:val="0066057A"/>
    <w:rsid w:val="00660588"/>
    <w:rsid w:val="00660614"/>
    <w:rsid w:val="00660661"/>
    <w:rsid w:val="00660663"/>
    <w:rsid w:val="006606E6"/>
    <w:rsid w:val="0066075E"/>
    <w:rsid w:val="0066078E"/>
    <w:rsid w:val="006607F9"/>
    <w:rsid w:val="00660883"/>
    <w:rsid w:val="0066088B"/>
    <w:rsid w:val="00660A30"/>
    <w:rsid w:val="00660A52"/>
    <w:rsid w:val="00660B03"/>
    <w:rsid w:val="00660C8B"/>
    <w:rsid w:val="00660CF7"/>
    <w:rsid w:val="00660D28"/>
    <w:rsid w:val="00660FA9"/>
    <w:rsid w:val="00660FFC"/>
    <w:rsid w:val="00661088"/>
    <w:rsid w:val="00661165"/>
    <w:rsid w:val="006611AE"/>
    <w:rsid w:val="006611D0"/>
    <w:rsid w:val="006611EC"/>
    <w:rsid w:val="006613C8"/>
    <w:rsid w:val="006613CF"/>
    <w:rsid w:val="00661429"/>
    <w:rsid w:val="00661441"/>
    <w:rsid w:val="00661492"/>
    <w:rsid w:val="00661514"/>
    <w:rsid w:val="00661520"/>
    <w:rsid w:val="0066154E"/>
    <w:rsid w:val="0066157F"/>
    <w:rsid w:val="00661590"/>
    <w:rsid w:val="006615E2"/>
    <w:rsid w:val="0066161C"/>
    <w:rsid w:val="0066171B"/>
    <w:rsid w:val="00661736"/>
    <w:rsid w:val="006618B7"/>
    <w:rsid w:val="00661946"/>
    <w:rsid w:val="00661948"/>
    <w:rsid w:val="0066194A"/>
    <w:rsid w:val="00661A38"/>
    <w:rsid w:val="00661AD8"/>
    <w:rsid w:val="00661AF3"/>
    <w:rsid w:val="00661DD9"/>
    <w:rsid w:val="00661E4B"/>
    <w:rsid w:val="00661ED2"/>
    <w:rsid w:val="00661F30"/>
    <w:rsid w:val="00661F41"/>
    <w:rsid w:val="00661F55"/>
    <w:rsid w:val="00662176"/>
    <w:rsid w:val="00662186"/>
    <w:rsid w:val="0066222B"/>
    <w:rsid w:val="00662240"/>
    <w:rsid w:val="006622BF"/>
    <w:rsid w:val="006622C3"/>
    <w:rsid w:val="006622D6"/>
    <w:rsid w:val="00662319"/>
    <w:rsid w:val="00662372"/>
    <w:rsid w:val="0066237E"/>
    <w:rsid w:val="00662391"/>
    <w:rsid w:val="006623CF"/>
    <w:rsid w:val="006624B7"/>
    <w:rsid w:val="006624DB"/>
    <w:rsid w:val="00662538"/>
    <w:rsid w:val="0066255F"/>
    <w:rsid w:val="006625C9"/>
    <w:rsid w:val="006626D6"/>
    <w:rsid w:val="006626D9"/>
    <w:rsid w:val="00662756"/>
    <w:rsid w:val="0066279E"/>
    <w:rsid w:val="00662806"/>
    <w:rsid w:val="006628BB"/>
    <w:rsid w:val="00662965"/>
    <w:rsid w:val="006629A4"/>
    <w:rsid w:val="00662A1F"/>
    <w:rsid w:val="00662A4B"/>
    <w:rsid w:val="00662A78"/>
    <w:rsid w:val="00662AEA"/>
    <w:rsid w:val="00662B38"/>
    <w:rsid w:val="00662B43"/>
    <w:rsid w:val="00662BB4"/>
    <w:rsid w:val="00662C26"/>
    <w:rsid w:val="00662CA4"/>
    <w:rsid w:val="00662CB5"/>
    <w:rsid w:val="00662CD5"/>
    <w:rsid w:val="00662D1F"/>
    <w:rsid w:val="00662E29"/>
    <w:rsid w:val="00662F6F"/>
    <w:rsid w:val="0066300A"/>
    <w:rsid w:val="00663037"/>
    <w:rsid w:val="0066308D"/>
    <w:rsid w:val="006630D0"/>
    <w:rsid w:val="00663177"/>
    <w:rsid w:val="0066328C"/>
    <w:rsid w:val="00663351"/>
    <w:rsid w:val="00663491"/>
    <w:rsid w:val="006634EF"/>
    <w:rsid w:val="0066354B"/>
    <w:rsid w:val="006636D9"/>
    <w:rsid w:val="0066372A"/>
    <w:rsid w:val="0066375C"/>
    <w:rsid w:val="0066378C"/>
    <w:rsid w:val="006638A0"/>
    <w:rsid w:val="006639E3"/>
    <w:rsid w:val="006639F2"/>
    <w:rsid w:val="00663B0D"/>
    <w:rsid w:val="00663B1D"/>
    <w:rsid w:val="00663B24"/>
    <w:rsid w:val="00663C0F"/>
    <w:rsid w:val="00663CF5"/>
    <w:rsid w:val="00663E14"/>
    <w:rsid w:val="00663FA4"/>
    <w:rsid w:val="00663FB4"/>
    <w:rsid w:val="006640CA"/>
    <w:rsid w:val="00664100"/>
    <w:rsid w:val="006641D9"/>
    <w:rsid w:val="00664262"/>
    <w:rsid w:val="006642E4"/>
    <w:rsid w:val="00664392"/>
    <w:rsid w:val="00664634"/>
    <w:rsid w:val="00664677"/>
    <w:rsid w:val="006646D5"/>
    <w:rsid w:val="006647B5"/>
    <w:rsid w:val="006648B6"/>
    <w:rsid w:val="006648DD"/>
    <w:rsid w:val="0066492D"/>
    <w:rsid w:val="00664936"/>
    <w:rsid w:val="00664A22"/>
    <w:rsid w:val="00664A3C"/>
    <w:rsid w:val="00664BC7"/>
    <w:rsid w:val="00664D92"/>
    <w:rsid w:val="00664DC1"/>
    <w:rsid w:val="00664E56"/>
    <w:rsid w:val="00664F61"/>
    <w:rsid w:val="00664F98"/>
    <w:rsid w:val="0066517D"/>
    <w:rsid w:val="00665243"/>
    <w:rsid w:val="0066529A"/>
    <w:rsid w:val="006652B5"/>
    <w:rsid w:val="0066536D"/>
    <w:rsid w:val="00665436"/>
    <w:rsid w:val="00665457"/>
    <w:rsid w:val="006654E7"/>
    <w:rsid w:val="00665503"/>
    <w:rsid w:val="00665653"/>
    <w:rsid w:val="00665747"/>
    <w:rsid w:val="00665774"/>
    <w:rsid w:val="0066578F"/>
    <w:rsid w:val="006657C7"/>
    <w:rsid w:val="00665844"/>
    <w:rsid w:val="00665868"/>
    <w:rsid w:val="006658A4"/>
    <w:rsid w:val="00665945"/>
    <w:rsid w:val="00665985"/>
    <w:rsid w:val="006659E7"/>
    <w:rsid w:val="00665AE1"/>
    <w:rsid w:val="00665BE1"/>
    <w:rsid w:val="00665D5E"/>
    <w:rsid w:val="00665DB3"/>
    <w:rsid w:val="00665E12"/>
    <w:rsid w:val="00665E89"/>
    <w:rsid w:val="00665EBD"/>
    <w:rsid w:val="00665F5E"/>
    <w:rsid w:val="00665FB1"/>
    <w:rsid w:val="00666033"/>
    <w:rsid w:val="006660AF"/>
    <w:rsid w:val="006660C4"/>
    <w:rsid w:val="006660F7"/>
    <w:rsid w:val="006661BC"/>
    <w:rsid w:val="006661C5"/>
    <w:rsid w:val="006661FF"/>
    <w:rsid w:val="0066622E"/>
    <w:rsid w:val="00666263"/>
    <w:rsid w:val="0066639A"/>
    <w:rsid w:val="006663FC"/>
    <w:rsid w:val="0066641D"/>
    <w:rsid w:val="006664BC"/>
    <w:rsid w:val="00666560"/>
    <w:rsid w:val="006665A1"/>
    <w:rsid w:val="006665FE"/>
    <w:rsid w:val="0066660A"/>
    <w:rsid w:val="0066661D"/>
    <w:rsid w:val="006666B8"/>
    <w:rsid w:val="006667ED"/>
    <w:rsid w:val="00666804"/>
    <w:rsid w:val="0066682D"/>
    <w:rsid w:val="00666852"/>
    <w:rsid w:val="00666873"/>
    <w:rsid w:val="006668A7"/>
    <w:rsid w:val="006668B9"/>
    <w:rsid w:val="0066694D"/>
    <w:rsid w:val="006669CE"/>
    <w:rsid w:val="00666A70"/>
    <w:rsid w:val="00666AD4"/>
    <w:rsid w:val="00666B5A"/>
    <w:rsid w:val="00666C7E"/>
    <w:rsid w:val="00666D18"/>
    <w:rsid w:val="00666D37"/>
    <w:rsid w:val="00666D5B"/>
    <w:rsid w:val="00666DA5"/>
    <w:rsid w:val="00666E47"/>
    <w:rsid w:val="0066716A"/>
    <w:rsid w:val="0066743D"/>
    <w:rsid w:val="006674C5"/>
    <w:rsid w:val="006675CD"/>
    <w:rsid w:val="00667603"/>
    <w:rsid w:val="0066760B"/>
    <w:rsid w:val="00667703"/>
    <w:rsid w:val="0066774B"/>
    <w:rsid w:val="006678B1"/>
    <w:rsid w:val="00667954"/>
    <w:rsid w:val="00667A1B"/>
    <w:rsid w:val="00667A60"/>
    <w:rsid w:val="00667BE1"/>
    <w:rsid w:val="00667BF1"/>
    <w:rsid w:val="00667CE5"/>
    <w:rsid w:val="00667D37"/>
    <w:rsid w:val="00667E4B"/>
    <w:rsid w:val="00667F0B"/>
    <w:rsid w:val="00667FA9"/>
    <w:rsid w:val="00667FB6"/>
    <w:rsid w:val="0066D50E"/>
    <w:rsid w:val="006700D6"/>
    <w:rsid w:val="006701DA"/>
    <w:rsid w:val="00670291"/>
    <w:rsid w:val="006703A4"/>
    <w:rsid w:val="006703AC"/>
    <w:rsid w:val="00670440"/>
    <w:rsid w:val="006704A8"/>
    <w:rsid w:val="006705BF"/>
    <w:rsid w:val="006705F9"/>
    <w:rsid w:val="006706E4"/>
    <w:rsid w:val="0067086A"/>
    <w:rsid w:val="006708D3"/>
    <w:rsid w:val="00670901"/>
    <w:rsid w:val="00670A52"/>
    <w:rsid w:val="00670AF5"/>
    <w:rsid w:val="00670B70"/>
    <w:rsid w:val="00670B71"/>
    <w:rsid w:val="00670BCF"/>
    <w:rsid w:val="00670C5E"/>
    <w:rsid w:val="00670CE0"/>
    <w:rsid w:val="00670D97"/>
    <w:rsid w:val="00670DD1"/>
    <w:rsid w:val="00670E87"/>
    <w:rsid w:val="00670EAF"/>
    <w:rsid w:val="00670EBA"/>
    <w:rsid w:val="00670EBE"/>
    <w:rsid w:val="00670FDD"/>
    <w:rsid w:val="00671126"/>
    <w:rsid w:val="00671200"/>
    <w:rsid w:val="006712F6"/>
    <w:rsid w:val="0067132D"/>
    <w:rsid w:val="00671499"/>
    <w:rsid w:val="00671550"/>
    <w:rsid w:val="006715EA"/>
    <w:rsid w:val="006715F9"/>
    <w:rsid w:val="00671661"/>
    <w:rsid w:val="0067173B"/>
    <w:rsid w:val="006717A4"/>
    <w:rsid w:val="006717AA"/>
    <w:rsid w:val="006717E6"/>
    <w:rsid w:val="00671816"/>
    <w:rsid w:val="006718E5"/>
    <w:rsid w:val="006719C4"/>
    <w:rsid w:val="00671AC1"/>
    <w:rsid w:val="00671C88"/>
    <w:rsid w:val="00671D58"/>
    <w:rsid w:val="00671D78"/>
    <w:rsid w:val="00671E98"/>
    <w:rsid w:val="0067218C"/>
    <w:rsid w:val="006721B4"/>
    <w:rsid w:val="0067220B"/>
    <w:rsid w:val="006723B1"/>
    <w:rsid w:val="006723F0"/>
    <w:rsid w:val="006724CC"/>
    <w:rsid w:val="00672697"/>
    <w:rsid w:val="006726C4"/>
    <w:rsid w:val="006727FA"/>
    <w:rsid w:val="006728A4"/>
    <w:rsid w:val="006728CD"/>
    <w:rsid w:val="0067296E"/>
    <w:rsid w:val="00672A4D"/>
    <w:rsid w:val="00672A7C"/>
    <w:rsid w:val="00672A9F"/>
    <w:rsid w:val="00672B1E"/>
    <w:rsid w:val="00672C59"/>
    <w:rsid w:val="00672C7B"/>
    <w:rsid w:val="00672CBF"/>
    <w:rsid w:val="00672DB0"/>
    <w:rsid w:val="00672E30"/>
    <w:rsid w:val="00672EE3"/>
    <w:rsid w:val="00672F23"/>
    <w:rsid w:val="00672FB7"/>
    <w:rsid w:val="0067300E"/>
    <w:rsid w:val="00673010"/>
    <w:rsid w:val="00673038"/>
    <w:rsid w:val="00673149"/>
    <w:rsid w:val="00673227"/>
    <w:rsid w:val="006732F9"/>
    <w:rsid w:val="00673364"/>
    <w:rsid w:val="00673634"/>
    <w:rsid w:val="00673661"/>
    <w:rsid w:val="0067385D"/>
    <w:rsid w:val="006739A1"/>
    <w:rsid w:val="00673BD3"/>
    <w:rsid w:val="00673BEB"/>
    <w:rsid w:val="00673CD8"/>
    <w:rsid w:val="00673DBB"/>
    <w:rsid w:val="00673DD2"/>
    <w:rsid w:val="00673E1A"/>
    <w:rsid w:val="00673EDD"/>
    <w:rsid w:val="00673F4C"/>
    <w:rsid w:val="00673FA8"/>
    <w:rsid w:val="00673FBD"/>
    <w:rsid w:val="00674078"/>
    <w:rsid w:val="0067408E"/>
    <w:rsid w:val="006740AE"/>
    <w:rsid w:val="0067422D"/>
    <w:rsid w:val="0067428F"/>
    <w:rsid w:val="00674367"/>
    <w:rsid w:val="006743CE"/>
    <w:rsid w:val="006743DB"/>
    <w:rsid w:val="00674495"/>
    <w:rsid w:val="006745A8"/>
    <w:rsid w:val="00674624"/>
    <w:rsid w:val="006746E3"/>
    <w:rsid w:val="00674700"/>
    <w:rsid w:val="00674752"/>
    <w:rsid w:val="006747A2"/>
    <w:rsid w:val="00674828"/>
    <w:rsid w:val="0067487B"/>
    <w:rsid w:val="00674948"/>
    <w:rsid w:val="0067496E"/>
    <w:rsid w:val="006749C8"/>
    <w:rsid w:val="00674AE5"/>
    <w:rsid w:val="00674B45"/>
    <w:rsid w:val="00674B83"/>
    <w:rsid w:val="00674C4D"/>
    <w:rsid w:val="00674C93"/>
    <w:rsid w:val="00674D71"/>
    <w:rsid w:val="00674E04"/>
    <w:rsid w:val="00674E3F"/>
    <w:rsid w:val="00674F68"/>
    <w:rsid w:val="00674FCF"/>
    <w:rsid w:val="00675016"/>
    <w:rsid w:val="006750C3"/>
    <w:rsid w:val="00675178"/>
    <w:rsid w:val="00675190"/>
    <w:rsid w:val="00675220"/>
    <w:rsid w:val="006752A0"/>
    <w:rsid w:val="006752A1"/>
    <w:rsid w:val="00675355"/>
    <w:rsid w:val="0067542F"/>
    <w:rsid w:val="00675552"/>
    <w:rsid w:val="00675563"/>
    <w:rsid w:val="0067565A"/>
    <w:rsid w:val="006756D4"/>
    <w:rsid w:val="006756FB"/>
    <w:rsid w:val="006757E3"/>
    <w:rsid w:val="006757FB"/>
    <w:rsid w:val="00675982"/>
    <w:rsid w:val="006759A0"/>
    <w:rsid w:val="006759BA"/>
    <w:rsid w:val="006759CD"/>
    <w:rsid w:val="00675A8E"/>
    <w:rsid w:val="00675A9F"/>
    <w:rsid w:val="00675AE9"/>
    <w:rsid w:val="00675D01"/>
    <w:rsid w:val="00675D1E"/>
    <w:rsid w:val="00675E7F"/>
    <w:rsid w:val="00675EBF"/>
    <w:rsid w:val="00675F4B"/>
    <w:rsid w:val="00675F51"/>
    <w:rsid w:val="00675FE6"/>
    <w:rsid w:val="0067600F"/>
    <w:rsid w:val="0067603E"/>
    <w:rsid w:val="00676040"/>
    <w:rsid w:val="00676114"/>
    <w:rsid w:val="006761B3"/>
    <w:rsid w:val="006761CC"/>
    <w:rsid w:val="006762A7"/>
    <w:rsid w:val="00676341"/>
    <w:rsid w:val="006764A6"/>
    <w:rsid w:val="006764F2"/>
    <w:rsid w:val="00676591"/>
    <w:rsid w:val="006765BE"/>
    <w:rsid w:val="0067663D"/>
    <w:rsid w:val="0067673D"/>
    <w:rsid w:val="00676802"/>
    <w:rsid w:val="00676848"/>
    <w:rsid w:val="0067697B"/>
    <w:rsid w:val="00676982"/>
    <w:rsid w:val="00676A46"/>
    <w:rsid w:val="00676AAC"/>
    <w:rsid w:val="00676AD3"/>
    <w:rsid w:val="00676BCC"/>
    <w:rsid w:val="00676C75"/>
    <w:rsid w:val="00676D40"/>
    <w:rsid w:val="00676EBC"/>
    <w:rsid w:val="0067701E"/>
    <w:rsid w:val="00677094"/>
    <w:rsid w:val="00677140"/>
    <w:rsid w:val="0067717C"/>
    <w:rsid w:val="0067719C"/>
    <w:rsid w:val="006771BB"/>
    <w:rsid w:val="00677359"/>
    <w:rsid w:val="006773D5"/>
    <w:rsid w:val="00677400"/>
    <w:rsid w:val="00677564"/>
    <w:rsid w:val="006776B6"/>
    <w:rsid w:val="006776FF"/>
    <w:rsid w:val="006778B6"/>
    <w:rsid w:val="0067797F"/>
    <w:rsid w:val="00677A63"/>
    <w:rsid w:val="00677AD2"/>
    <w:rsid w:val="00677B98"/>
    <w:rsid w:val="00677BB0"/>
    <w:rsid w:val="00677C31"/>
    <w:rsid w:val="00677C35"/>
    <w:rsid w:val="00677C46"/>
    <w:rsid w:val="00677C56"/>
    <w:rsid w:val="00677CB5"/>
    <w:rsid w:val="00677D0C"/>
    <w:rsid w:val="00677D4F"/>
    <w:rsid w:val="00677DA3"/>
    <w:rsid w:val="00677DC6"/>
    <w:rsid w:val="00677DF6"/>
    <w:rsid w:val="00677E2A"/>
    <w:rsid w:val="00677E7D"/>
    <w:rsid w:val="00677E9A"/>
    <w:rsid w:val="00677ED6"/>
    <w:rsid w:val="00677FD9"/>
    <w:rsid w:val="006800F1"/>
    <w:rsid w:val="0068010F"/>
    <w:rsid w:val="0068011E"/>
    <w:rsid w:val="00680243"/>
    <w:rsid w:val="006802B0"/>
    <w:rsid w:val="006802EC"/>
    <w:rsid w:val="00680358"/>
    <w:rsid w:val="006803C3"/>
    <w:rsid w:val="006803E0"/>
    <w:rsid w:val="00680414"/>
    <w:rsid w:val="00680502"/>
    <w:rsid w:val="0068050C"/>
    <w:rsid w:val="0068068E"/>
    <w:rsid w:val="006806CA"/>
    <w:rsid w:val="00680740"/>
    <w:rsid w:val="00680785"/>
    <w:rsid w:val="00680BCD"/>
    <w:rsid w:val="00680BE8"/>
    <w:rsid w:val="00680C7E"/>
    <w:rsid w:val="00680CA7"/>
    <w:rsid w:val="00680D83"/>
    <w:rsid w:val="00680E0A"/>
    <w:rsid w:val="00680E9B"/>
    <w:rsid w:val="00680ED6"/>
    <w:rsid w:val="00680F2C"/>
    <w:rsid w:val="00681016"/>
    <w:rsid w:val="00681184"/>
    <w:rsid w:val="0068120D"/>
    <w:rsid w:val="00681220"/>
    <w:rsid w:val="00681227"/>
    <w:rsid w:val="0068122E"/>
    <w:rsid w:val="00681303"/>
    <w:rsid w:val="0068137A"/>
    <w:rsid w:val="006813E7"/>
    <w:rsid w:val="006813FF"/>
    <w:rsid w:val="00681407"/>
    <w:rsid w:val="0068152F"/>
    <w:rsid w:val="00681579"/>
    <w:rsid w:val="006815DB"/>
    <w:rsid w:val="006815DF"/>
    <w:rsid w:val="0068160D"/>
    <w:rsid w:val="00681635"/>
    <w:rsid w:val="0068171B"/>
    <w:rsid w:val="0068178B"/>
    <w:rsid w:val="006817E1"/>
    <w:rsid w:val="00681872"/>
    <w:rsid w:val="00681A3C"/>
    <w:rsid w:val="00681A3E"/>
    <w:rsid w:val="00681A95"/>
    <w:rsid w:val="00681B25"/>
    <w:rsid w:val="00681B38"/>
    <w:rsid w:val="00681D30"/>
    <w:rsid w:val="00681DE7"/>
    <w:rsid w:val="00681E23"/>
    <w:rsid w:val="00681EBF"/>
    <w:rsid w:val="00681EDA"/>
    <w:rsid w:val="00681FAD"/>
    <w:rsid w:val="0068200D"/>
    <w:rsid w:val="00682057"/>
    <w:rsid w:val="006820E2"/>
    <w:rsid w:val="00682113"/>
    <w:rsid w:val="00682117"/>
    <w:rsid w:val="00682119"/>
    <w:rsid w:val="00682179"/>
    <w:rsid w:val="006822B2"/>
    <w:rsid w:val="006822E6"/>
    <w:rsid w:val="00682387"/>
    <w:rsid w:val="006823BD"/>
    <w:rsid w:val="006825D9"/>
    <w:rsid w:val="0068269E"/>
    <w:rsid w:val="00682724"/>
    <w:rsid w:val="00682831"/>
    <w:rsid w:val="006829AA"/>
    <w:rsid w:val="00682A5F"/>
    <w:rsid w:val="00682A6C"/>
    <w:rsid w:val="00682B30"/>
    <w:rsid w:val="00682B9B"/>
    <w:rsid w:val="00682BB6"/>
    <w:rsid w:val="00682C61"/>
    <w:rsid w:val="00682C77"/>
    <w:rsid w:val="00682DA2"/>
    <w:rsid w:val="00683094"/>
    <w:rsid w:val="006832D1"/>
    <w:rsid w:val="00683327"/>
    <w:rsid w:val="006833DF"/>
    <w:rsid w:val="00683447"/>
    <w:rsid w:val="006834EC"/>
    <w:rsid w:val="0068350F"/>
    <w:rsid w:val="00683561"/>
    <w:rsid w:val="006837BB"/>
    <w:rsid w:val="0068389C"/>
    <w:rsid w:val="006838B7"/>
    <w:rsid w:val="00683A4C"/>
    <w:rsid w:val="00683A7C"/>
    <w:rsid w:val="00683A7F"/>
    <w:rsid w:val="00683AFA"/>
    <w:rsid w:val="00683B70"/>
    <w:rsid w:val="00683C14"/>
    <w:rsid w:val="00683C93"/>
    <w:rsid w:val="00683D01"/>
    <w:rsid w:val="00683D75"/>
    <w:rsid w:val="00683E50"/>
    <w:rsid w:val="00683EF3"/>
    <w:rsid w:val="00683F3A"/>
    <w:rsid w:val="00683F52"/>
    <w:rsid w:val="00683FCB"/>
    <w:rsid w:val="00684087"/>
    <w:rsid w:val="006842F7"/>
    <w:rsid w:val="006843D7"/>
    <w:rsid w:val="00684429"/>
    <w:rsid w:val="00684434"/>
    <w:rsid w:val="00684654"/>
    <w:rsid w:val="0068467E"/>
    <w:rsid w:val="0068476E"/>
    <w:rsid w:val="006847CF"/>
    <w:rsid w:val="0068493C"/>
    <w:rsid w:val="00684AE3"/>
    <w:rsid w:val="00684AF8"/>
    <w:rsid w:val="00684AFD"/>
    <w:rsid w:val="00684B16"/>
    <w:rsid w:val="00684B61"/>
    <w:rsid w:val="00684BCC"/>
    <w:rsid w:val="00684C86"/>
    <w:rsid w:val="00684CF4"/>
    <w:rsid w:val="00684DB8"/>
    <w:rsid w:val="00684DD3"/>
    <w:rsid w:val="00684E49"/>
    <w:rsid w:val="00684EB3"/>
    <w:rsid w:val="00684FB9"/>
    <w:rsid w:val="00685068"/>
    <w:rsid w:val="00685085"/>
    <w:rsid w:val="0068518A"/>
    <w:rsid w:val="00685435"/>
    <w:rsid w:val="0068543B"/>
    <w:rsid w:val="0068548C"/>
    <w:rsid w:val="006854A3"/>
    <w:rsid w:val="006854ED"/>
    <w:rsid w:val="00685554"/>
    <w:rsid w:val="0068556A"/>
    <w:rsid w:val="00685648"/>
    <w:rsid w:val="006856D8"/>
    <w:rsid w:val="006857DB"/>
    <w:rsid w:val="006857FF"/>
    <w:rsid w:val="00685884"/>
    <w:rsid w:val="00685966"/>
    <w:rsid w:val="006859D9"/>
    <w:rsid w:val="00685ADC"/>
    <w:rsid w:val="00685B4D"/>
    <w:rsid w:val="00685CDE"/>
    <w:rsid w:val="00685D09"/>
    <w:rsid w:val="00685D49"/>
    <w:rsid w:val="00685D79"/>
    <w:rsid w:val="00685E9C"/>
    <w:rsid w:val="00685ED7"/>
    <w:rsid w:val="00685FD0"/>
    <w:rsid w:val="006860DF"/>
    <w:rsid w:val="006862BE"/>
    <w:rsid w:val="006864DD"/>
    <w:rsid w:val="0068666D"/>
    <w:rsid w:val="0068670F"/>
    <w:rsid w:val="00686797"/>
    <w:rsid w:val="0068681A"/>
    <w:rsid w:val="0068684D"/>
    <w:rsid w:val="00686890"/>
    <w:rsid w:val="006869CC"/>
    <w:rsid w:val="00686AA1"/>
    <w:rsid w:val="00686B27"/>
    <w:rsid w:val="00686B50"/>
    <w:rsid w:val="00686BB0"/>
    <w:rsid w:val="00686BDB"/>
    <w:rsid w:val="00686CDD"/>
    <w:rsid w:val="00686E0C"/>
    <w:rsid w:val="00686F0A"/>
    <w:rsid w:val="00686FD5"/>
    <w:rsid w:val="0068709B"/>
    <w:rsid w:val="006870A6"/>
    <w:rsid w:val="0068727D"/>
    <w:rsid w:val="006873E8"/>
    <w:rsid w:val="006873FE"/>
    <w:rsid w:val="00687468"/>
    <w:rsid w:val="00687470"/>
    <w:rsid w:val="006874A9"/>
    <w:rsid w:val="006874EF"/>
    <w:rsid w:val="00687622"/>
    <w:rsid w:val="00687654"/>
    <w:rsid w:val="00687726"/>
    <w:rsid w:val="00687872"/>
    <w:rsid w:val="00687B00"/>
    <w:rsid w:val="00687BC3"/>
    <w:rsid w:val="00687CBB"/>
    <w:rsid w:val="00687CEC"/>
    <w:rsid w:val="00687DF7"/>
    <w:rsid w:val="00687ED9"/>
    <w:rsid w:val="00687EDB"/>
    <w:rsid w:val="00687EEC"/>
    <w:rsid w:val="00687F97"/>
    <w:rsid w:val="00687FCA"/>
    <w:rsid w:val="00690006"/>
    <w:rsid w:val="0069002B"/>
    <w:rsid w:val="006900CB"/>
    <w:rsid w:val="0069014D"/>
    <w:rsid w:val="00690288"/>
    <w:rsid w:val="0069037F"/>
    <w:rsid w:val="0069038A"/>
    <w:rsid w:val="006903B8"/>
    <w:rsid w:val="006903F8"/>
    <w:rsid w:val="00690416"/>
    <w:rsid w:val="00690429"/>
    <w:rsid w:val="0069049E"/>
    <w:rsid w:val="0069057A"/>
    <w:rsid w:val="006905A0"/>
    <w:rsid w:val="00690679"/>
    <w:rsid w:val="006906B2"/>
    <w:rsid w:val="00690713"/>
    <w:rsid w:val="00690749"/>
    <w:rsid w:val="006908AC"/>
    <w:rsid w:val="006908C7"/>
    <w:rsid w:val="00690907"/>
    <w:rsid w:val="006909CC"/>
    <w:rsid w:val="00690A8E"/>
    <w:rsid w:val="00690C12"/>
    <w:rsid w:val="00690C57"/>
    <w:rsid w:val="00690CE0"/>
    <w:rsid w:val="00690D2E"/>
    <w:rsid w:val="00690EA9"/>
    <w:rsid w:val="00690EE6"/>
    <w:rsid w:val="00690FCC"/>
    <w:rsid w:val="00691022"/>
    <w:rsid w:val="00691029"/>
    <w:rsid w:val="00691040"/>
    <w:rsid w:val="00691097"/>
    <w:rsid w:val="00691106"/>
    <w:rsid w:val="0069110B"/>
    <w:rsid w:val="00691188"/>
    <w:rsid w:val="00691224"/>
    <w:rsid w:val="00691263"/>
    <w:rsid w:val="00691290"/>
    <w:rsid w:val="00691299"/>
    <w:rsid w:val="006912CF"/>
    <w:rsid w:val="006913B9"/>
    <w:rsid w:val="006913EB"/>
    <w:rsid w:val="00691408"/>
    <w:rsid w:val="00691483"/>
    <w:rsid w:val="006914AB"/>
    <w:rsid w:val="00691639"/>
    <w:rsid w:val="00691652"/>
    <w:rsid w:val="0069172F"/>
    <w:rsid w:val="00691746"/>
    <w:rsid w:val="006917AF"/>
    <w:rsid w:val="0069185D"/>
    <w:rsid w:val="00691961"/>
    <w:rsid w:val="00691ACC"/>
    <w:rsid w:val="00691BFF"/>
    <w:rsid w:val="00691C35"/>
    <w:rsid w:val="00691C7C"/>
    <w:rsid w:val="00691D31"/>
    <w:rsid w:val="00691F2D"/>
    <w:rsid w:val="00691F43"/>
    <w:rsid w:val="00691F72"/>
    <w:rsid w:val="006920A4"/>
    <w:rsid w:val="00692127"/>
    <w:rsid w:val="00692136"/>
    <w:rsid w:val="006921BA"/>
    <w:rsid w:val="006921F2"/>
    <w:rsid w:val="0069221A"/>
    <w:rsid w:val="00692289"/>
    <w:rsid w:val="006922FB"/>
    <w:rsid w:val="0069237C"/>
    <w:rsid w:val="006923F9"/>
    <w:rsid w:val="006924A5"/>
    <w:rsid w:val="006926B5"/>
    <w:rsid w:val="00692725"/>
    <w:rsid w:val="0069279F"/>
    <w:rsid w:val="006927B0"/>
    <w:rsid w:val="00692858"/>
    <w:rsid w:val="00692871"/>
    <w:rsid w:val="006928D4"/>
    <w:rsid w:val="006928FC"/>
    <w:rsid w:val="0069298D"/>
    <w:rsid w:val="006929F9"/>
    <w:rsid w:val="00692A39"/>
    <w:rsid w:val="00692A47"/>
    <w:rsid w:val="00692A6C"/>
    <w:rsid w:val="00692B43"/>
    <w:rsid w:val="00692C9A"/>
    <w:rsid w:val="00692D09"/>
    <w:rsid w:val="00692D7F"/>
    <w:rsid w:val="00692D97"/>
    <w:rsid w:val="00692E2A"/>
    <w:rsid w:val="00692F86"/>
    <w:rsid w:val="00692FC4"/>
    <w:rsid w:val="00693082"/>
    <w:rsid w:val="00693091"/>
    <w:rsid w:val="006930BA"/>
    <w:rsid w:val="006930F3"/>
    <w:rsid w:val="00693102"/>
    <w:rsid w:val="0069315E"/>
    <w:rsid w:val="0069319E"/>
    <w:rsid w:val="006932A0"/>
    <w:rsid w:val="0069339C"/>
    <w:rsid w:val="006933E3"/>
    <w:rsid w:val="0069340D"/>
    <w:rsid w:val="006934C8"/>
    <w:rsid w:val="006935A5"/>
    <w:rsid w:val="006935E6"/>
    <w:rsid w:val="006936CD"/>
    <w:rsid w:val="006936ED"/>
    <w:rsid w:val="00693758"/>
    <w:rsid w:val="0069375E"/>
    <w:rsid w:val="00693772"/>
    <w:rsid w:val="0069389D"/>
    <w:rsid w:val="00693914"/>
    <w:rsid w:val="00693B4C"/>
    <w:rsid w:val="00693B51"/>
    <w:rsid w:val="00693C16"/>
    <w:rsid w:val="00693D64"/>
    <w:rsid w:val="00693E2F"/>
    <w:rsid w:val="00693E70"/>
    <w:rsid w:val="00693F25"/>
    <w:rsid w:val="00693F29"/>
    <w:rsid w:val="006940AB"/>
    <w:rsid w:val="006940E2"/>
    <w:rsid w:val="00694111"/>
    <w:rsid w:val="00694118"/>
    <w:rsid w:val="006941FC"/>
    <w:rsid w:val="006941FD"/>
    <w:rsid w:val="00694289"/>
    <w:rsid w:val="006942CF"/>
    <w:rsid w:val="006943DE"/>
    <w:rsid w:val="00694444"/>
    <w:rsid w:val="006944D9"/>
    <w:rsid w:val="006945F2"/>
    <w:rsid w:val="0069465E"/>
    <w:rsid w:val="00694678"/>
    <w:rsid w:val="00694692"/>
    <w:rsid w:val="00694712"/>
    <w:rsid w:val="006947BE"/>
    <w:rsid w:val="006947DE"/>
    <w:rsid w:val="0069489A"/>
    <w:rsid w:val="00694904"/>
    <w:rsid w:val="00694969"/>
    <w:rsid w:val="006949E5"/>
    <w:rsid w:val="006949EE"/>
    <w:rsid w:val="00694A27"/>
    <w:rsid w:val="00694A67"/>
    <w:rsid w:val="00694AC4"/>
    <w:rsid w:val="00694B19"/>
    <w:rsid w:val="00694BAF"/>
    <w:rsid w:val="00694C71"/>
    <w:rsid w:val="00694C74"/>
    <w:rsid w:val="00694C92"/>
    <w:rsid w:val="00694CCC"/>
    <w:rsid w:val="00694CE7"/>
    <w:rsid w:val="00694DE6"/>
    <w:rsid w:val="00694EF2"/>
    <w:rsid w:val="00694F73"/>
    <w:rsid w:val="00694F97"/>
    <w:rsid w:val="006950AE"/>
    <w:rsid w:val="00695133"/>
    <w:rsid w:val="00695137"/>
    <w:rsid w:val="006951EE"/>
    <w:rsid w:val="0069530C"/>
    <w:rsid w:val="0069545F"/>
    <w:rsid w:val="00695467"/>
    <w:rsid w:val="006954D9"/>
    <w:rsid w:val="0069553A"/>
    <w:rsid w:val="006955EB"/>
    <w:rsid w:val="006957B2"/>
    <w:rsid w:val="0069582F"/>
    <w:rsid w:val="0069599C"/>
    <w:rsid w:val="006959EF"/>
    <w:rsid w:val="006959F4"/>
    <w:rsid w:val="00695B23"/>
    <w:rsid w:val="00695BA6"/>
    <w:rsid w:val="00695C0F"/>
    <w:rsid w:val="00695C2A"/>
    <w:rsid w:val="00695C52"/>
    <w:rsid w:val="00695C65"/>
    <w:rsid w:val="00695D64"/>
    <w:rsid w:val="00695D8E"/>
    <w:rsid w:val="00695E8A"/>
    <w:rsid w:val="00695FA1"/>
    <w:rsid w:val="00695FCE"/>
    <w:rsid w:val="0069602E"/>
    <w:rsid w:val="006960D0"/>
    <w:rsid w:val="006960FB"/>
    <w:rsid w:val="00696100"/>
    <w:rsid w:val="00696125"/>
    <w:rsid w:val="00696133"/>
    <w:rsid w:val="0069613C"/>
    <w:rsid w:val="00696179"/>
    <w:rsid w:val="006961CA"/>
    <w:rsid w:val="00696264"/>
    <w:rsid w:val="006962B8"/>
    <w:rsid w:val="0069632E"/>
    <w:rsid w:val="0069641B"/>
    <w:rsid w:val="00696442"/>
    <w:rsid w:val="006964CC"/>
    <w:rsid w:val="006965CE"/>
    <w:rsid w:val="0069668A"/>
    <w:rsid w:val="006966A7"/>
    <w:rsid w:val="006966BB"/>
    <w:rsid w:val="00696712"/>
    <w:rsid w:val="00696776"/>
    <w:rsid w:val="00696784"/>
    <w:rsid w:val="00696A8D"/>
    <w:rsid w:val="00696AAE"/>
    <w:rsid w:val="00696AEB"/>
    <w:rsid w:val="00696B93"/>
    <w:rsid w:val="00696CCE"/>
    <w:rsid w:val="00696D31"/>
    <w:rsid w:val="00696DBE"/>
    <w:rsid w:val="00696DFC"/>
    <w:rsid w:val="00696DFE"/>
    <w:rsid w:val="00697041"/>
    <w:rsid w:val="00697057"/>
    <w:rsid w:val="00697158"/>
    <w:rsid w:val="006971CE"/>
    <w:rsid w:val="00697299"/>
    <w:rsid w:val="006972D9"/>
    <w:rsid w:val="00697350"/>
    <w:rsid w:val="006973E6"/>
    <w:rsid w:val="0069745D"/>
    <w:rsid w:val="0069747D"/>
    <w:rsid w:val="0069751F"/>
    <w:rsid w:val="0069758D"/>
    <w:rsid w:val="006977D9"/>
    <w:rsid w:val="00697865"/>
    <w:rsid w:val="0069795A"/>
    <w:rsid w:val="006979D7"/>
    <w:rsid w:val="00697A38"/>
    <w:rsid w:val="00697AFE"/>
    <w:rsid w:val="00697B75"/>
    <w:rsid w:val="00697CED"/>
    <w:rsid w:val="00697D19"/>
    <w:rsid w:val="00697EDD"/>
    <w:rsid w:val="006A00DB"/>
    <w:rsid w:val="006A010F"/>
    <w:rsid w:val="006A0193"/>
    <w:rsid w:val="006A01D1"/>
    <w:rsid w:val="006A02E6"/>
    <w:rsid w:val="006A0335"/>
    <w:rsid w:val="006A0385"/>
    <w:rsid w:val="006A03A6"/>
    <w:rsid w:val="006A042E"/>
    <w:rsid w:val="006A047F"/>
    <w:rsid w:val="006A05A7"/>
    <w:rsid w:val="006A05D4"/>
    <w:rsid w:val="006A0643"/>
    <w:rsid w:val="006A06AF"/>
    <w:rsid w:val="006A0703"/>
    <w:rsid w:val="006A079D"/>
    <w:rsid w:val="006A0802"/>
    <w:rsid w:val="006A08AC"/>
    <w:rsid w:val="006A0938"/>
    <w:rsid w:val="006A0B1B"/>
    <w:rsid w:val="006A0B5C"/>
    <w:rsid w:val="006A0C80"/>
    <w:rsid w:val="006A0C8F"/>
    <w:rsid w:val="006A0CA6"/>
    <w:rsid w:val="006A0E6F"/>
    <w:rsid w:val="006A0F0E"/>
    <w:rsid w:val="006A0F42"/>
    <w:rsid w:val="006A0F50"/>
    <w:rsid w:val="006A0F95"/>
    <w:rsid w:val="006A0FD0"/>
    <w:rsid w:val="006A1033"/>
    <w:rsid w:val="006A1097"/>
    <w:rsid w:val="006A10EA"/>
    <w:rsid w:val="006A1143"/>
    <w:rsid w:val="006A11C6"/>
    <w:rsid w:val="006A1207"/>
    <w:rsid w:val="006A1211"/>
    <w:rsid w:val="006A12B5"/>
    <w:rsid w:val="006A134E"/>
    <w:rsid w:val="006A1382"/>
    <w:rsid w:val="006A13B1"/>
    <w:rsid w:val="006A141A"/>
    <w:rsid w:val="006A1493"/>
    <w:rsid w:val="006A15CB"/>
    <w:rsid w:val="006A171D"/>
    <w:rsid w:val="006A1743"/>
    <w:rsid w:val="006A1747"/>
    <w:rsid w:val="006A1890"/>
    <w:rsid w:val="006A18C0"/>
    <w:rsid w:val="006A1A43"/>
    <w:rsid w:val="006A1A91"/>
    <w:rsid w:val="006A1AA9"/>
    <w:rsid w:val="006A1AE0"/>
    <w:rsid w:val="006A1BE7"/>
    <w:rsid w:val="006A1C1C"/>
    <w:rsid w:val="006A1CC2"/>
    <w:rsid w:val="006A1CD7"/>
    <w:rsid w:val="006A1CE9"/>
    <w:rsid w:val="006A1F97"/>
    <w:rsid w:val="006A1F9A"/>
    <w:rsid w:val="006A2028"/>
    <w:rsid w:val="006A2101"/>
    <w:rsid w:val="006A222F"/>
    <w:rsid w:val="006A2373"/>
    <w:rsid w:val="006A23A6"/>
    <w:rsid w:val="006A23DA"/>
    <w:rsid w:val="006A24C4"/>
    <w:rsid w:val="006A256E"/>
    <w:rsid w:val="006A26E1"/>
    <w:rsid w:val="006A273A"/>
    <w:rsid w:val="006A28D8"/>
    <w:rsid w:val="006A2903"/>
    <w:rsid w:val="006A2961"/>
    <w:rsid w:val="006A2996"/>
    <w:rsid w:val="006A29AF"/>
    <w:rsid w:val="006A2A7B"/>
    <w:rsid w:val="006A2ABF"/>
    <w:rsid w:val="006A2AC6"/>
    <w:rsid w:val="006A2AEE"/>
    <w:rsid w:val="006A2AFB"/>
    <w:rsid w:val="006A2AFC"/>
    <w:rsid w:val="006A2B3B"/>
    <w:rsid w:val="006A2BBD"/>
    <w:rsid w:val="006A2D5F"/>
    <w:rsid w:val="006A2D97"/>
    <w:rsid w:val="006A2E12"/>
    <w:rsid w:val="006A302E"/>
    <w:rsid w:val="006A3076"/>
    <w:rsid w:val="006A30A8"/>
    <w:rsid w:val="006A30DB"/>
    <w:rsid w:val="006A315D"/>
    <w:rsid w:val="006A31B6"/>
    <w:rsid w:val="006A31EB"/>
    <w:rsid w:val="006A326A"/>
    <w:rsid w:val="006A32E2"/>
    <w:rsid w:val="006A330E"/>
    <w:rsid w:val="006A3389"/>
    <w:rsid w:val="006A33B9"/>
    <w:rsid w:val="006A347A"/>
    <w:rsid w:val="006A347F"/>
    <w:rsid w:val="006A34CE"/>
    <w:rsid w:val="006A34EC"/>
    <w:rsid w:val="006A34FD"/>
    <w:rsid w:val="006A34FE"/>
    <w:rsid w:val="006A3616"/>
    <w:rsid w:val="006A36C5"/>
    <w:rsid w:val="006A36E8"/>
    <w:rsid w:val="006A37B7"/>
    <w:rsid w:val="006A38C7"/>
    <w:rsid w:val="006A390F"/>
    <w:rsid w:val="006A39CF"/>
    <w:rsid w:val="006A39E7"/>
    <w:rsid w:val="006A3A37"/>
    <w:rsid w:val="006A3A45"/>
    <w:rsid w:val="006A3A5D"/>
    <w:rsid w:val="006A3AA1"/>
    <w:rsid w:val="006A3AC7"/>
    <w:rsid w:val="006A3AD7"/>
    <w:rsid w:val="006A3AE0"/>
    <w:rsid w:val="006A3B54"/>
    <w:rsid w:val="006A3BE8"/>
    <w:rsid w:val="006A3BF7"/>
    <w:rsid w:val="006A3C02"/>
    <w:rsid w:val="006A3C63"/>
    <w:rsid w:val="006A3CF1"/>
    <w:rsid w:val="006A3DA4"/>
    <w:rsid w:val="006A3DF6"/>
    <w:rsid w:val="006A3E8D"/>
    <w:rsid w:val="006A3EB9"/>
    <w:rsid w:val="006A40E9"/>
    <w:rsid w:val="006A4125"/>
    <w:rsid w:val="006A427C"/>
    <w:rsid w:val="006A429D"/>
    <w:rsid w:val="006A439B"/>
    <w:rsid w:val="006A4409"/>
    <w:rsid w:val="006A45A0"/>
    <w:rsid w:val="006A4879"/>
    <w:rsid w:val="006A48E7"/>
    <w:rsid w:val="006A4961"/>
    <w:rsid w:val="006A496D"/>
    <w:rsid w:val="006A49D8"/>
    <w:rsid w:val="006A4A28"/>
    <w:rsid w:val="006A4A45"/>
    <w:rsid w:val="006A4B72"/>
    <w:rsid w:val="006A4B94"/>
    <w:rsid w:val="006A4C49"/>
    <w:rsid w:val="006A4C5A"/>
    <w:rsid w:val="006A4C84"/>
    <w:rsid w:val="006A4CD4"/>
    <w:rsid w:val="006A4CF9"/>
    <w:rsid w:val="006A4E49"/>
    <w:rsid w:val="006A4E85"/>
    <w:rsid w:val="006A4EB2"/>
    <w:rsid w:val="006A4EF5"/>
    <w:rsid w:val="006A4F90"/>
    <w:rsid w:val="006A4FDC"/>
    <w:rsid w:val="006A504E"/>
    <w:rsid w:val="006A508E"/>
    <w:rsid w:val="006A509B"/>
    <w:rsid w:val="006A50FA"/>
    <w:rsid w:val="006A5117"/>
    <w:rsid w:val="006A5172"/>
    <w:rsid w:val="006A51A6"/>
    <w:rsid w:val="006A51D2"/>
    <w:rsid w:val="006A5261"/>
    <w:rsid w:val="006A53ED"/>
    <w:rsid w:val="006A54AE"/>
    <w:rsid w:val="006A54E2"/>
    <w:rsid w:val="006A54FC"/>
    <w:rsid w:val="006A5567"/>
    <w:rsid w:val="006A55E8"/>
    <w:rsid w:val="006A577A"/>
    <w:rsid w:val="006A58C5"/>
    <w:rsid w:val="006A58C9"/>
    <w:rsid w:val="006A58CB"/>
    <w:rsid w:val="006A58E7"/>
    <w:rsid w:val="006A59A9"/>
    <w:rsid w:val="006A5B1F"/>
    <w:rsid w:val="006A5C8A"/>
    <w:rsid w:val="006A5F30"/>
    <w:rsid w:val="006A6169"/>
    <w:rsid w:val="006A62C9"/>
    <w:rsid w:val="006A63EA"/>
    <w:rsid w:val="006A6559"/>
    <w:rsid w:val="006A65CE"/>
    <w:rsid w:val="006A65ED"/>
    <w:rsid w:val="006A6627"/>
    <w:rsid w:val="006A6653"/>
    <w:rsid w:val="006A665D"/>
    <w:rsid w:val="006A6679"/>
    <w:rsid w:val="006A6708"/>
    <w:rsid w:val="006A675E"/>
    <w:rsid w:val="006A684B"/>
    <w:rsid w:val="006A686F"/>
    <w:rsid w:val="006A687A"/>
    <w:rsid w:val="006A68FC"/>
    <w:rsid w:val="006A6A6B"/>
    <w:rsid w:val="006A6C3D"/>
    <w:rsid w:val="006A6C65"/>
    <w:rsid w:val="006A6C8E"/>
    <w:rsid w:val="006A6CEB"/>
    <w:rsid w:val="006A6DB2"/>
    <w:rsid w:val="006A6E06"/>
    <w:rsid w:val="006A6E4D"/>
    <w:rsid w:val="006A6ECC"/>
    <w:rsid w:val="006A6F4C"/>
    <w:rsid w:val="006A6F4E"/>
    <w:rsid w:val="006A6F85"/>
    <w:rsid w:val="006A701F"/>
    <w:rsid w:val="006A704F"/>
    <w:rsid w:val="006A70C3"/>
    <w:rsid w:val="006A70D0"/>
    <w:rsid w:val="006A738C"/>
    <w:rsid w:val="006A747A"/>
    <w:rsid w:val="006A7692"/>
    <w:rsid w:val="006A7725"/>
    <w:rsid w:val="006A78AF"/>
    <w:rsid w:val="006A78E6"/>
    <w:rsid w:val="006A7970"/>
    <w:rsid w:val="006A7A54"/>
    <w:rsid w:val="006A7AAE"/>
    <w:rsid w:val="006A7B12"/>
    <w:rsid w:val="006A7B63"/>
    <w:rsid w:val="006A7B7F"/>
    <w:rsid w:val="006A7BBC"/>
    <w:rsid w:val="006A7C1C"/>
    <w:rsid w:val="006A7C40"/>
    <w:rsid w:val="006A7C71"/>
    <w:rsid w:val="006A7CEB"/>
    <w:rsid w:val="006A7D12"/>
    <w:rsid w:val="006A7D2F"/>
    <w:rsid w:val="006A7D30"/>
    <w:rsid w:val="006A7D53"/>
    <w:rsid w:val="006A7DFF"/>
    <w:rsid w:val="006A7E59"/>
    <w:rsid w:val="006A7FF3"/>
    <w:rsid w:val="006B0003"/>
    <w:rsid w:val="006B004D"/>
    <w:rsid w:val="006B00ED"/>
    <w:rsid w:val="006B00F7"/>
    <w:rsid w:val="006B010E"/>
    <w:rsid w:val="006B026D"/>
    <w:rsid w:val="006B02A4"/>
    <w:rsid w:val="006B02AA"/>
    <w:rsid w:val="006B030F"/>
    <w:rsid w:val="006B0349"/>
    <w:rsid w:val="006B0547"/>
    <w:rsid w:val="006B05FE"/>
    <w:rsid w:val="006B06FD"/>
    <w:rsid w:val="006B0A94"/>
    <w:rsid w:val="006B0BC9"/>
    <w:rsid w:val="006B0C04"/>
    <w:rsid w:val="006B0C05"/>
    <w:rsid w:val="006B0C1E"/>
    <w:rsid w:val="006B0C99"/>
    <w:rsid w:val="006B0D3B"/>
    <w:rsid w:val="006B0E4F"/>
    <w:rsid w:val="006B0F4A"/>
    <w:rsid w:val="006B0F64"/>
    <w:rsid w:val="006B0F73"/>
    <w:rsid w:val="006B1012"/>
    <w:rsid w:val="006B1019"/>
    <w:rsid w:val="006B101A"/>
    <w:rsid w:val="006B1198"/>
    <w:rsid w:val="006B1266"/>
    <w:rsid w:val="006B12F5"/>
    <w:rsid w:val="006B1481"/>
    <w:rsid w:val="006B154B"/>
    <w:rsid w:val="006B15C2"/>
    <w:rsid w:val="006B15D0"/>
    <w:rsid w:val="006B1677"/>
    <w:rsid w:val="006B16B8"/>
    <w:rsid w:val="006B17BA"/>
    <w:rsid w:val="006B18BA"/>
    <w:rsid w:val="006B18BF"/>
    <w:rsid w:val="006B18F4"/>
    <w:rsid w:val="006B1927"/>
    <w:rsid w:val="006B19DC"/>
    <w:rsid w:val="006B1A28"/>
    <w:rsid w:val="006B1B05"/>
    <w:rsid w:val="006B1B13"/>
    <w:rsid w:val="006B1D47"/>
    <w:rsid w:val="006B1D61"/>
    <w:rsid w:val="006B1F80"/>
    <w:rsid w:val="006B20A7"/>
    <w:rsid w:val="006B20DA"/>
    <w:rsid w:val="006B213E"/>
    <w:rsid w:val="006B2183"/>
    <w:rsid w:val="006B21A9"/>
    <w:rsid w:val="006B2213"/>
    <w:rsid w:val="006B222C"/>
    <w:rsid w:val="006B235A"/>
    <w:rsid w:val="006B23C5"/>
    <w:rsid w:val="006B23DA"/>
    <w:rsid w:val="006B245E"/>
    <w:rsid w:val="006B251A"/>
    <w:rsid w:val="006B25D7"/>
    <w:rsid w:val="006B2631"/>
    <w:rsid w:val="006B26B4"/>
    <w:rsid w:val="006B26C8"/>
    <w:rsid w:val="006B26CA"/>
    <w:rsid w:val="006B27C1"/>
    <w:rsid w:val="006B27F3"/>
    <w:rsid w:val="006B28C0"/>
    <w:rsid w:val="006B2916"/>
    <w:rsid w:val="006B293F"/>
    <w:rsid w:val="006B29B6"/>
    <w:rsid w:val="006B29BB"/>
    <w:rsid w:val="006B2A2D"/>
    <w:rsid w:val="006B2B31"/>
    <w:rsid w:val="006B2D1B"/>
    <w:rsid w:val="006B2E21"/>
    <w:rsid w:val="006B2E89"/>
    <w:rsid w:val="006B2EDB"/>
    <w:rsid w:val="006B2F22"/>
    <w:rsid w:val="006B2F57"/>
    <w:rsid w:val="006B2FDD"/>
    <w:rsid w:val="006B3120"/>
    <w:rsid w:val="006B32D3"/>
    <w:rsid w:val="006B32D9"/>
    <w:rsid w:val="006B33D1"/>
    <w:rsid w:val="006B3405"/>
    <w:rsid w:val="006B34DD"/>
    <w:rsid w:val="006B34E5"/>
    <w:rsid w:val="006B3559"/>
    <w:rsid w:val="006B36F4"/>
    <w:rsid w:val="006B3745"/>
    <w:rsid w:val="006B393A"/>
    <w:rsid w:val="006B3979"/>
    <w:rsid w:val="006B3A28"/>
    <w:rsid w:val="006B3AD1"/>
    <w:rsid w:val="006B3ADF"/>
    <w:rsid w:val="006B3B74"/>
    <w:rsid w:val="006B3F71"/>
    <w:rsid w:val="006B3FBE"/>
    <w:rsid w:val="006B3FD7"/>
    <w:rsid w:val="006B3FF0"/>
    <w:rsid w:val="006B401E"/>
    <w:rsid w:val="006B4049"/>
    <w:rsid w:val="006B41F2"/>
    <w:rsid w:val="006B42AF"/>
    <w:rsid w:val="006B4330"/>
    <w:rsid w:val="006B43CE"/>
    <w:rsid w:val="006B43D7"/>
    <w:rsid w:val="006B444E"/>
    <w:rsid w:val="006B44FC"/>
    <w:rsid w:val="006B4695"/>
    <w:rsid w:val="006B46A3"/>
    <w:rsid w:val="006B46C6"/>
    <w:rsid w:val="006B46F0"/>
    <w:rsid w:val="006B46FB"/>
    <w:rsid w:val="006B4739"/>
    <w:rsid w:val="006B47A2"/>
    <w:rsid w:val="006B47AC"/>
    <w:rsid w:val="006B49ED"/>
    <w:rsid w:val="006B4ABD"/>
    <w:rsid w:val="006B4B64"/>
    <w:rsid w:val="006B4BE7"/>
    <w:rsid w:val="006B4C63"/>
    <w:rsid w:val="006B4C79"/>
    <w:rsid w:val="006B4D8F"/>
    <w:rsid w:val="006B4DEF"/>
    <w:rsid w:val="006B4E33"/>
    <w:rsid w:val="006B5099"/>
    <w:rsid w:val="006B50CE"/>
    <w:rsid w:val="006B51DE"/>
    <w:rsid w:val="006B5200"/>
    <w:rsid w:val="006B5206"/>
    <w:rsid w:val="006B524A"/>
    <w:rsid w:val="006B5334"/>
    <w:rsid w:val="006B53AD"/>
    <w:rsid w:val="006B53ED"/>
    <w:rsid w:val="006B53F8"/>
    <w:rsid w:val="006B54C0"/>
    <w:rsid w:val="006B55BA"/>
    <w:rsid w:val="006B560F"/>
    <w:rsid w:val="006B57EC"/>
    <w:rsid w:val="006B5838"/>
    <w:rsid w:val="006B5873"/>
    <w:rsid w:val="006B58E8"/>
    <w:rsid w:val="006B5A33"/>
    <w:rsid w:val="006B5A4B"/>
    <w:rsid w:val="006B5CE1"/>
    <w:rsid w:val="006B5D89"/>
    <w:rsid w:val="006B5E93"/>
    <w:rsid w:val="006B5F53"/>
    <w:rsid w:val="006B5FA5"/>
    <w:rsid w:val="006B6037"/>
    <w:rsid w:val="006B603B"/>
    <w:rsid w:val="006B606C"/>
    <w:rsid w:val="006B60E8"/>
    <w:rsid w:val="006B615E"/>
    <w:rsid w:val="006B6178"/>
    <w:rsid w:val="006B65AD"/>
    <w:rsid w:val="006B6689"/>
    <w:rsid w:val="006B66C9"/>
    <w:rsid w:val="006B67BB"/>
    <w:rsid w:val="006B6811"/>
    <w:rsid w:val="006B6832"/>
    <w:rsid w:val="006B6893"/>
    <w:rsid w:val="006B691D"/>
    <w:rsid w:val="006B69D8"/>
    <w:rsid w:val="006B6B50"/>
    <w:rsid w:val="006B6BB0"/>
    <w:rsid w:val="006B6BBB"/>
    <w:rsid w:val="006B6D04"/>
    <w:rsid w:val="006B6D27"/>
    <w:rsid w:val="006B6E73"/>
    <w:rsid w:val="006B6ED6"/>
    <w:rsid w:val="006B6F5F"/>
    <w:rsid w:val="006B6F83"/>
    <w:rsid w:val="006B7086"/>
    <w:rsid w:val="006B7088"/>
    <w:rsid w:val="006B709C"/>
    <w:rsid w:val="006B70D4"/>
    <w:rsid w:val="006B70EA"/>
    <w:rsid w:val="006B723A"/>
    <w:rsid w:val="006B72DA"/>
    <w:rsid w:val="006B72EB"/>
    <w:rsid w:val="006B733D"/>
    <w:rsid w:val="006B737F"/>
    <w:rsid w:val="006B73DC"/>
    <w:rsid w:val="006B7444"/>
    <w:rsid w:val="006B7580"/>
    <w:rsid w:val="006B759A"/>
    <w:rsid w:val="006B75E6"/>
    <w:rsid w:val="006B7640"/>
    <w:rsid w:val="006B76C7"/>
    <w:rsid w:val="006B7749"/>
    <w:rsid w:val="006B77E8"/>
    <w:rsid w:val="006B77EF"/>
    <w:rsid w:val="006B77F2"/>
    <w:rsid w:val="006B77FC"/>
    <w:rsid w:val="006B784A"/>
    <w:rsid w:val="006B787E"/>
    <w:rsid w:val="006B7B05"/>
    <w:rsid w:val="006B7B77"/>
    <w:rsid w:val="006B7C4E"/>
    <w:rsid w:val="006B7E2D"/>
    <w:rsid w:val="006B7E5B"/>
    <w:rsid w:val="006B7E80"/>
    <w:rsid w:val="006B7E86"/>
    <w:rsid w:val="006B7F17"/>
    <w:rsid w:val="006B7FD7"/>
    <w:rsid w:val="006C0055"/>
    <w:rsid w:val="006C00F7"/>
    <w:rsid w:val="006C0142"/>
    <w:rsid w:val="006C016B"/>
    <w:rsid w:val="006C0245"/>
    <w:rsid w:val="006C0247"/>
    <w:rsid w:val="006C0281"/>
    <w:rsid w:val="006C02C3"/>
    <w:rsid w:val="006C02FD"/>
    <w:rsid w:val="006C0455"/>
    <w:rsid w:val="006C0461"/>
    <w:rsid w:val="006C049C"/>
    <w:rsid w:val="006C04D9"/>
    <w:rsid w:val="006C0611"/>
    <w:rsid w:val="006C06BA"/>
    <w:rsid w:val="006C06D1"/>
    <w:rsid w:val="006C07C3"/>
    <w:rsid w:val="006C0875"/>
    <w:rsid w:val="006C08B5"/>
    <w:rsid w:val="006C0B19"/>
    <w:rsid w:val="006C0B49"/>
    <w:rsid w:val="006C0C2F"/>
    <w:rsid w:val="006C0CD4"/>
    <w:rsid w:val="006C0D65"/>
    <w:rsid w:val="006C0DF3"/>
    <w:rsid w:val="006C1046"/>
    <w:rsid w:val="006C1087"/>
    <w:rsid w:val="006C10DD"/>
    <w:rsid w:val="006C1155"/>
    <w:rsid w:val="006C1347"/>
    <w:rsid w:val="006C135C"/>
    <w:rsid w:val="006C1396"/>
    <w:rsid w:val="006C144C"/>
    <w:rsid w:val="006C145C"/>
    <w:rsid w:val="006C1559"/>
    <w:rsid w:val="006C1565"/>
    <w:rsid w:val="006C1584"/>
    <w:rsid w:val="006C15BE"/>
    <w:rsid w:val="006C1616"/>
    <w:rsid w:val="006C161B"/>
    <w:rsid w:val="006C168C"/>
    <w:rsid w:val="006C1703"/>
    <w:rsid w:val="006C1783"/>
    <w:rsid w:val="006C1AA1"/>
    <w:rsid w:val="006C1BEB"/>
    <w:rsid w:val="006C1CCB"/>
    <w:rsid w:val="006C1D15"/>
    <w:rsid w:val="006C1F5E"/>
    <w:rsid w:val="006C1F7A"/>
    <w:rsid w:val="006C208C"/>
    <w:rsid w:val="006C20DD"/>
    <w:rsid w:val="006C2162"/>
    <w:rsid w:val="006C21C3"/>
    <w:rsid w:val="006C2230"/>
    <w:rsid w:val="006C2274"/>
    <w:rsid w:val="006C252D"/>
    <w:rsid w:val="006C2704"/>
    <w:rsid w:val="006C296F"/>
    <w:rsid w:val="006C2A9A"/>
    <w:rsid w:val="006C2BBE"/>
    <w:rsid w:val="006C2BFE"/>
    <w:rsid w:val="006C2C19"/>
    <w:rsid w:val="006C2D06"/>
    <w:rsid w:val="006C2D21"/>
    <w:rsid w:val="006C2EB7"/>
    <w:rsid w:val="006C2EC4"/>
    <w:rsid w:val="006C305D"/>
    <w:rsid w:val="006C30A1"/>
    <w:rsid w:val="006C30AD"/>
    <w:rsid w:val="006C3102"/>
    <w:rsid w:val="006C319B"/>
    <w:rsid w:val="006C31CE"/>
    <w:rsid w:val="006C3392"/>
    <w:rsid w:val="006C33DF"/>
    <w:rsid w:val="006C33EB"/>
    <w:rsid w:val="006C36C4"/>
    <w:rsid w:val="006C3716"/>
    <w:rsid w:val="006C373B"/>
    <w:rsid w:val="006C383D"/>
    <w:rsid w:val="006C3890"/>
    <w:rsid w:val="006C38B5"/>
    <w:rsid w:val="006C38DB"/>
    <w:rsid w:val="006C3AB1"/>
    <w:rsid w:val="006C3AB5"/>
    <w:rsid w:val="006C3ADE"/>
    <w:rsid w:val="006C3B16"/>
    <w:rsid w:val="006C3B1B"/>
    <w:rsid w:val="006C3BD8"/>
    <w:rsid w:val="006C3C51"/>
    <w:rsid w:val="006C3C8E"/>
    <w:rsid w:val="006C3C91"/>
    <w:rsid w:val="006C3D9A"/>
    <w:rsid w:val="006C3DB3"/>
    <w:rsid w:val="006C3DF9"/>
    <w:rsid w:val="006C3EFA"/>
    <w:rsid w:val="006C40A9"/>
    <w:rsid w:val="006C40FA"/>
    <w:rsid w:val="006C4126"/>
    <w:rsid w:val="006C4170"/>
    <w:rsid w:val="006C4182"/>
    <w:rsid w:val="006C43BA"/>
    <w:rsid w:val="006C43BB"/>
    <w:rsid w:val="006C442F"/>
    <w:rsid w:val="006C4439"/>
    <w:rsid w:val="006C4478"/>
    <w:rsid w:val="006C44A9"/>
    <w:rsid w:val="006C44EE"/>
    <w:rsid w:val="006C45CC"/>
    <w:rsid w:val="006C45F1"/>
    <w:rsid w:val="006C46B2"/>
    <w:rsid w:val="006C46C0"/>
    <w:rsid w:val="006C46C7"/>
    <w:rsid w:val="006C472E"/>
    <w:rsid w:val="006C474B"/>
    <w:rsid w:val="006C47B7"/>
    <w:rsid w:val="006C49E0"/>
    <w:rsid w:val="006C49E9"/>
    <w:rsid w:val="006C4A96"/>
    <w:rsid w:val="006C4C12"/>
    <w:rsid w:val="006C4C64"/>
    <w:rsid w:val="006C4D23"/>
    <w:rsid w:val="006C4D80"/>
    <w:rsid w:val="006C4E9B"/>
    <w:rsid w:val="006C4ED9"/>
    <w:rsid w:val="006C4FD9"/>
    <w:rsid w:val="006C515D"/>
    <w:rsid w:val="006C517E"/>
    <w:rsid w:val="006C51F6"/>
    <w:rsid w:val="006C51FC"/>
    <w:rsid w:val="006C5303"/>
    <w:rsid w:val="006C535E"/>
    <w:rsid w:val="006C53FC"/>
    <w:rsid w:val="006C5433"/>
    <w:rsid w:val="006C544C"/>
    <w:rsid w:val="006C5454"/>
    <w:rsid w:val="006C5730"/>
    <w:rsid w:val="006C581D"/>
    <w:rsid w:val="006C58F1"/>
    <w:rsid w:val="006C58F5"/>
    <w:rsid w:val="006C58FB"/>
    <w:rsid w:val="006C592A"/>
    <w:rsid w:val="006C5934"/>
    <w:rsid w:val="006C59DD"/>
    <w:rsid w:val="006C59EC"/>
    <w:rsid w:val="006C5A1C"/>
    <w:rsid w:val="006C5BDA"/>
    <w:rsid w:val="006C5C2F"/>
    <w:rsid w:val="006C5CE3"/>
    <w:rsid w:val="006C5CFA"/>
    <w:rsid w:val="006C5D9D"/>
    <w:rsid w:val="006C5E10"/>
    <w:rsid w:val="006C5EFF"/>
    <w:rsid w:val="006C6039"/>
    <w:rsid w:val="006C60D3"/>
    <w:rsid w:val="006C60E0"/>
    <w:rsid w:val="006C618F"/>
    <w:rsid w:val="006C6260"/>
    <w:rsid w:val="006C6356"/>
    <w:rsid w:val="006C63B3"/>
    <w:rsid w:val="006C64C7"/>
    <w:rsid w:val="006C652F"/>
    <w:rsid w:val="006C6544"/>
    <w:rsid w:val="006C6652"/>
    <w:rsid w:val="006C6670"/>
    <w:rsid w:val="006C6683"/>
    <w:rsid w:val="006C66B0"/>
    <w:rsid w:val="006C66DE"/>
    <w:rsid w:val="006C6702"/>
    <w:rsid w:val="006C6789"/>
    <w:rsid w:val="006C68E8"/>
    <w:rsid w:val="006C69B6"/>
    <w:rsid w:val="006C69C8"/>
    <w:rsid w:val="006C69CE"/>
    <w:rsid w:val="006C6A8D"/>
    <w:rsid w:val="006C6AA2"/>
    <w:rsid w:val="006C6ADE"/>
    <w:rsid w:val="006C6AE9"/>
    <w:rsid w:val="006C6B30"/>
    <w:rsid w:val="006C6B70"/>
    <w:rsid w:val="006C6BB8"/>
    <w:rsid w:val="006C6C55"/>
    <w:rsid w:val="006C6C91"/>
    <w:rsid w:val="006C6CA3"/>
    <w:rsid w:val="006C6CFC"/>
    <w:rsid w:val="006C6D04"/>
    <w:rsid w:val="006C6D42"/>
    <w:rsid w:val="006C6E54"/>
    <w:rsid w:val="006C6EE0"/>
    <w:rsid w:val="006C6FF1"/>
    <w:rsid w:val="006C7130"/>
    <w:rsid w:val="006C718E"/>
    <w:rsid w:val="006C71E8"/>
    <w:rsid w:val="006C72A6"/>
    <w:rsid w:val="006C736C"/>
    <w:rsid w:val="006C73D6"/>
    <w:rsid w:val="006C7406"/>
    <w:rsid w:val="006C7425"/>
    <w:rsid w:val="006C7781"/>
    <w:rsid w:val="006C77C2"/>
    <w:rsid w:val="006C7811"/>
    <w:rsid w:val="006C7976"/>
    <w:rsid w:val="006C7BAA"/>
    <w:rsid w:val="006C7C4C"/>
    <w:rsid w:val="006C7D4F"/>
    <w:rsid w:val="006C7D73"/>
    <w:rsid w:val="006C7D78"/>
    <w:rsid w:val="006C7EA6"/>
    <w:rsid w:val="006C7F9E"/>
    <w:rsid w:val="006C7FFB"/>
    <w:rsid w:val="006D006D"/>
    <w:rsid w:val="006D0093"/>
    <w:rsid w:val="006D009A"/>
    <w:rsid w:val="006D0263"/>
    <w:rsid w:val="006D0297"/>
    <w:rsid w:val="006D0302"/>
    <w:rsid w:val="006D039D"/>
    <w:rsid w:val="006D0469"/>
    <w:rsid w:val="006D0569"/>
    <w:rsid w:val="006D05B8"/>
    <w:rsid w:val="006D0619"/>
    <w:rsid w:val="006D0632"/>
    <w:rsid w:val="006D064F"/>
    <w:rsid w:val="006D06FD"/>
    <w:rsid w:val="006D0881"/>
    <w:rsid w:val="006D08BE"/>
    <w:rsid w:val="006D08D9"/>
    <w:rsid w:val="006D08E4"/>
    <w:rsid w:val="006D08E5"/>
    <w:rsid w:val="006D0975"/>
    <w:rsid w:val="006D098C"/>
    <w:rsid w:val="006D0A3E"/>
    <w:rsid w:val="006D0A53"/>
    <w:rsid w:val="006D0AE0"/>
    <w:rsid w:val="006D0BEA"/>
    <w:rsid w:val="006D0BEC"/>
    <w:rsid w:val="006D0D37"/>
    <w:rsid w:val="006D0EE1"/>
    <w:rsid w:val="006D0F52"/>
    <w:rsid w:val="006D1037"/>
    <w:rsid w:val="006D1060"/>
    <w:rsid w:val="006D117F"/>
    <w:rsid w:val="006D11CF"/>
    <w:rsid w:val="006D1279"/>
    <w:rsid w:val="006D12EB"/>
    <w:rsid w:val="006D1363"/>
    <w:rsid w:val="006D1464"/>
    <w:rsid w:val="006D147E"/>
    <w:rsid w:val="006D14A3"/>
    <w:rsid w:val="006D1505"/>
    <w:rsid w:val="006D1509"/>
    <w:rsid w:val="006D1521"/>
    <w:rsid w:val="006D152D"/>
    <w:rsid w:val="006D156F"/>
    <w:rsid w:val="006D1585"/>
    <w:rsid w:val="006D15C4"/>
    <w:rsid w:val="006D15DE"/>
    <w:rsid w:val="006D1605"/>
    <w:rsid w:val="006D1684"/>
    <w:rsid w:val="006D1780"/>
    <w:rsid w:val="006D1820"/>
    <w:rsid w:val="006D19A2"/>
    <w:rsid w:val="006D19C5"/>
    <w:rsid w:val="006D19CE"/>
    <w:rsid w:val="006D19F3"/>
    <w:rsid w:val="006D1C4C"/>
    <w:rsid w:val="006D1C77"/>
    <w:rsid w:val="006D1DA4"/>
    <w:rsid w:val="006D1DF8"/>
    <w:rsid w:val="006D1DFE"/>
    <w:rsid w:val="006D1EAA"/>
    <w:rsid w:val="006D1ECB"/>
    <w:rsid w:val="006D1F5C"/>
    <w:rsid w:val="006D1F84"/>
    <w:rsid w:val="006D205F"/>
    <w:rsid w:val="006D235A"/>
    <w:rsid w:val="006D23DF"/>
    <w:rsid w:val="006D24DB"/>
    <w:rsid w:val="006D2518"/>
    <w:rsid w:val="006D253C"/>
    <w:rsid w:val="006D2625"/>
    <w:rsid w:val="006D277F"/>
    <w:rsid w:val="006D281F"/>
    <w:rsid w:val="006D287D"/>
    <w:rsid w:val="006D2883"/>
    <w:rsid w:val="006D2889"/>
    <w:rsid w:val="006D28B9"/>
    <w:rsid w:val="006D291D"/>
    <w:rsid w:val="006D29C3"/>
    <w:rsid w:val="006D2A00"/>
    <w:rsid w:val="006D2B55"/>
    <w:rsid w:val="006D2C1B"/>
    <w:rsid w:val="006D2CB1"/>
    <w:rsid w:val="006D2E30"/>
    <w:rsid w:val="006D2F88"/>
    <w:rsid w:val="006D2FC9"/>
    <w:rsid w:val="006D2FF6"/>
    <w:rsid w:val="006D3104"/>
    <w:rsid w:val="006D316E"/>
    <w:rsid w:val="006D3187"/>
    <w:rsid w:val="006D31B3"/>
    <w:rsid w:val="006D3251"/>
    <w:rsid w:val="006D33B9"/>
    <w:rsid w:val="006D34A0"/>
    <w:rsid w:val="006D351F"/>
    <w:rsid w:val="006D357A"/>
    <w:rsid w:val="006D35CC"/>
    <w:rsid w:val="006D35FA"/>
    <w:rsid w:val="006D360B"/>
    <w:rsid w:val="006D3745"/>
    <w:rsid w:val="006D37D1"/>
    <w:rsid w:val="006D385E"/>
    <w:rsid w:val="006D3888"/>
    <w:rsid w:val="006D38A7"/>
    <w:rsid w:val="006D39CC"/>
    <w:rsid w:val="006D3AC1"/>
    <w:rsid w:val="006D3BAC"/>
    <w:rsid w:val="006D3C2F"/>
    <w:rsid w:val="006D3CEE"/>
    <w:rsid w:val="006D3DB4"/>
    <w:rsid w:val="006D3E23"/>
    <w:rsid w:val="006D3EAE"/>
    <w:rsid w:val="006D3F7E"/>
    <w:rsid w:val="006D402D"/>
    <w:rsid w:val="006D406E"/>
    <w:rsid w:val="006D4075"/>
    <w:rsid w:val="006D40A9"/>
    <w:rsid w:val="006D41AC"/>
    <w:rsid w:val="006D41D3"/>
    <w:rsid w:val="006D4409"/>
    <w:rsid w:val="006D44AA"/>
    <w:rsid w:val="006D44FB"/>
    <w:rsid w:val="006D4506"/>
    <w:rsid w:val="006D45D2"/>
    <w:rsid w:val="006D4643"/>
    <w:rsid w:val="006D469E"/>
    <w:rsid w:val="006D46C9"/>
    <w:rsid w:val="006D471F"/>
    <w:rsid w:val="006D477F"/>
    <w:rsid w:val="006D4801"/>
    <w:rsid w:val="006D4831"/>
    <w:rsid w:val="006D48AC"/>
    <w:rsid w:val="006D4998"/>
    <w:rsid w:val="006D4CAC"/>
    <w:rsid w:val="006D4D6C"/>
    <w:rsid w:val="006D4D77"/>
    <w:rsid w:val="006D4DFB"/>
    <w:rsid w:val="006D4E28"/>
    <w:rsid w:val="006D4F0E"/>
    <w:rsid w:val="006D5157"/>
    <w:rsid w:val="006D51DD"/>
    <w:rsid w:val="006D52B5"/>
    <w:rsid w:val="006D5386"/>
    <w:rsid w:val="006D53A6"/>
    <w:rsid w:val="006D54B5"/>
    <w:rsid w:val="006D554F"/>
    <w:rsid w:val="006D5555"/>
    <w:rsid w:val="006D5558"/>
    <w:rsid w:val="006D562D"/>
    <w:rsid w:val="006D583F"/>
    <w:rsid w:val="006D5957"/>
    <w:rsid w:val="006D59BF"/>
    <w:rsid w:val="006D5A10"/>
    <w:rsid w:val="006D5A65"/>
    <w:rsid w:val="006D5B53"/>
    <w:rsid w:val="006D5C0F"/>
    <w:rsid w:val="006D5C85"/>
    <w:rsid w:val="006D5DC6"/>
    <w:rsid w:val="006D5E20"/>
    <w:rsid w:val="006D5F4A"/>
    <w:rsid w:val="006D5F61"/>
    <w:rsid w:val="006D5F83"/>
    <w:rsid w:val="006D6079"/>
    <w:rsid w:val="006D60F2"/>
    <w:rsid w:val="006D619F"/>
    <w:rsid w:val="006D629D"/>
    <w:rsid w:val="006D62A5"/>
    <w:rsid w:val="006D6359"/>
    <w:rsid w:val="006D641B"/>
    <w:rsid w:val="006D6483"/>
    <w:rsid w:val="006D6526"/>
    <w:rsid w:val="006D6627"/>
    <w:rsid w:val="006D66AF"/>
    <w:rsid w:val="006D6AEF"/>
    <w:rsid w:val="006D6B78"/>
    <w:rsid w:val="006D6B90"/>
    <w:rsid w:val="006D6C74"/>
    <w:rsid w:val="006D6E69"/>
    <w:rsid w:val="006D6ED3"/>
    <w:rsid w:val="006D6EE1"/>
    <w:rsid w:val="006D6EFA"/>
    <w:rsid w:val="006D6F13"/>
    <w:rsid w:val="006D6FED"/>
    <w:rsid w:val="006D70E2"/>
    <w:rsid w:val="006D7222"/>
    <w:rsid w:val="006D7365"/>
    <w:rsid w:val="006D73A3"/>
    <w:rsid w:val="006D73B4"/>
    <w:rsid w:val="006D76D1"/>
    <w:rsid w:val="006D76F7"/>
    <w:rsid w:val="006D7846"/>
    <w:rsid w:val="006D786F"/>
    <w:rsid w:val="006D78BC"/>
    <w:rsid w:val="006D790F"/>
    <w:rsid w:val="006D7926"/>
    <w:rsid w:val="006D7984"/>
    <w:rsid w:val="006D7A75"/>
    <w:rsid w:val="006D7AA7"/>
    <w:rsid w:val="006D7B05"/>
    <w:rsid w:val="006D7B55"/>
    <w:rsid w:val="006D7BB4"/>
    <w:rsid w:val="006D7C06"/>
    <w:rsid w:val="006D7C2B"/>
    <w:rsid w:val="006D7C41"/>
    <w:rsid w:val="006D7C52"/>
    <w:rsid w:val="006D7DC7"/>
    <w:rsid w:val="006D7DF6"/>
    <w:rsid w:val="006D7F11"/>
    <w:rsid w:val="006D7F5D"/>
    <w:rsid w:val="006E0038"/>
    <w:rsid w:val="006E003B"/>
    <w:rsid w:val="006E0116"/>
    <w:rsid w:val="006E0155"/>
    <w:rsid w:val="006E0218"/>
    <w:rsid w:val="006E03CB"/>
    <w:rsid w:val="006E058B"/>
    <w:rsid w:val="006E05DE"/>
    <w:rsid w:val="006E06DF"/>
    <w:rsid w:val="006E0769"/>
    <w:rsid w:val="006E076A"/>
    <w:rsid w:val="006E0943"/>
    <w:rsid w:val="006E09F0"/>
    <w:rsid w:val="006E0A1B"/>
    <w:rsid w:val="006E0A50"/>
    <w:rsid w:val="006E0B43"/>
    <w:rsid w:val="006E0BDD"/>
    <w:rsid w:val="006E0E01"/>
    <w:rsid w:val="006E0E65"/>
    <w:rsid w:val="006E0FB2"/>
    <w:rsid w:val="006E1033"/>
    <w:rsid w:val="006E1046"/>
    <w:rsid w:val="006E10CC"/>
    <w:rsid w:val="006E12ED"/>
    <w:rsid w:val="006E144E"/>
    <w:rsid w:val="006E14FA"/>
    <w:rsid w:val="006E14FD"/>
    <w:rsid w:val="006E151E"/>
    <w:rsid w:val="006E16A4"/>
    <w:rsid w:val="006E16FE"/>
    <w:rsid w:val="006E185C"/>
    <w:rsid w:val="006E1864"/>
    <w:rsid w:val="006E188F"/>
    <w:rsid w:val="006E18BF"/>
    <w:rsid w:val="006E19BA"/>
    <w:rsid w:val="006E19D5"/>
    <w:rsid w:val="006E1A97"/>
    <w:rsid w:val="006E1A9E"/>
    <w:rsid w:val="006E1B9C"/>
    <w:rsid w:val="006E1C04"/>
    <w:rsid w:val="006E1C44"/>
    <w:rsid w:val="006E1D5C"/>
    <w:rsid w:val="006E1E18"/>
    <w:rsid w:val="006E1E44"/>
    <w:rsid w:val="006E1E6B"/>
    <w:rsid w:val="006E1F1E"/>
    <w:rsid w:val="006E1FC9"/>
    <w:rsid w:val="006E1FD5"/>
    <w:rsid w:val="006E211A"/>
    <w:rsid w:val="006E21AE"/>
    <w:rsid w:val="006E22A5"/>
    <w:rsid w:val="006E233C"/>
    <w:rsid w:val="006E23F2"/>
    <w:rsid w:val="006E245B"/>
    <w:rsid w:val="006E25D0"/>
    <w:rsid w:val="006E264B"/>
    <w:rsid w:val="006E265D"/>
    <w:rsid w:val="006E2695"/>
    <w:rsid w:val="006E26B0"/>
    <w:rsid w:val="006E26C6"/>
    <w:rsid w:val="006E2723"/>
    <w:rsid w:val="006E27CA"/>
    <w:rsid w:val="006E28AE"/>
    <w:rsid w:val="006E294D"/>
    <w:rsid w:val="006E2982"/>
    <w:rsid w:val="006E29A9"/>
    <w:rsid w:val="006E29DF"/>
    <w:rsid w:val="006E2A70"/>
    <w:rsid w:val="006E2B0E"/>
    <w:rsid w:val="006E2CE8"/>
    <w:rsid w:val="006E2DD2"/>
    <w:rsid w:val="006E2E29"/>
    <w:rsid w:val="006E2E8B"/>
    <w:rsid w:val="006E2F8A"/>
    <w:rsid w:val="006E305A"/>
    <w:rsid w:val="006E306B"/>
    <w:rsid w:val="006E3083"/>
    <w:rsid w:val="006E3132"/>
    <w:rsid w:val="006E338C"/>
    <w:rsid w:val="006E33CF"/>
    <w:rsid w:val="006E33D8"/>
    <w:rsid w:val="006E3431"/>
    <w:rsid w:val="006E34BB"/>
    <w:rsid w:val="006E34CD"/>
    <w:rsid w:val="006E359E"/>
    <w:rsid w:val="006E3697"/>
    <w:rsid w:val="006E370E"/>
    <w:rsid w:val="006E37F3"/>
    <w:rsid w:val="006E380C"/>
    <w:rsid w:val="006E381A"/>
    <w:rsid w:val="006E384C"/>
    <w:rsid w:val="006E3942"/>
    <w:rsid w:val="006E3B8F"/>
    <w:rsid w:val="006E3BEA"/>
    <w:rsid w:val="006E3BF1"/>
    <w:rsid w:val="006E3C51"/>
    <w:rsid w:val="006E3C56"/>
    <w:rsid w:val="006E3CCF"/>
    <w:rsid w:val="006E3DDE"/>
    <w:rsid w:val="006E3E5F"/>
    <w:rsid w:val="006E3EEC"/>
    <w:rsid w:val="006E3F92"/>
    <w:rsid w:val="006E3FAD"/>
    <w:rsid w:val="006E4023"/>
    <w:rsid w:val="006E40FF"/>
    <w:rsid w:val="006E4119"/>
    <w:rsid w:val="006E4122"/>
    <w:rsid w:val="006E4197"/>
    <w:rsid w:val="006E41DA"/>
    <w:rsid w:val="006E42A8"/>
    <w:rsid w:val="006E42C1"/>
    <w:rsid w:val="006E4337"/>
    <w:rsid w:val="006E436C"/>
    <w:rsid w:val="006E4528"/>
    <w:rsid w:val="006E452E"/>
    <w:rsid w:val="006E4561"/>
    <w:rsid w:val="006E45A7"/>
    <w:rsid w:val="006E45FE"/>
    <w:rsid w:val="006E4624"/>
    <w:rsid w:val="006E463C"/>
    <w:rsid w:val="006E473F"/>
    <w:rsid w:val="006E4950"/>
    <w:rsid w:val="006E496C"/>
    <w:rsid w:val="006E4A24"/>
    <w:rsid w:val="006E4AF0"/>
    <w:rsid w:val="006E4B0D"/>
    <w:rsid w:val="006E4B71"/>
    <w:rsid w:val="006E4C22"/>
    <w:rsid w:val="006E4CCE"/>
    <w:rsid w:val="006E4D1D"/>
    <w:rsid w:val="006E4D43"/>
    <w:rsid w:val="006E4E92"/>
    <w:rsid w:val="006E4F13"/>
    <w:rsid w:val="006E4F4B"/>
    <w:rsid w:val="006E4F6F"/>
    <w:rsid w:val="006E4FCC"/>
    <w:rsid w:val="006E5051"/>
    <w:rsid w:val="006E50C8"/>
    <w:rsid w:val="006E51ED"/>
    <w:rsid w:val="006E5249"/>
    <w:rsid w:val="006E5299"/>
    <w:rsid w:val="006E5302"/>
    <w:rsid w:val="006E532F"/>
    <w:rsid w:val="006E534A"/>
    <w:rsid w:val="006E5357"/>
    <w:rsid w:val="006E5474"/>
    <w:rsid w:val="006E54B1"/>
    <w:rsid w:val="006E54F4"/>
    <w:rsid w:val="006E55F3"/>
    <w:rsid w:val="006E56BE"/>
    <w:rsid w:val="006E56E0"/>
    <w:rsid w:val="006E5734"/>
    <w:rsid w:val="006E58E4"/>
    <w:rsid w:val="006E58F0"/>
    <w:rsid w:val="006E5904"/>
    <w:rsid w:val="006E599D"/>
    <w:rsid w:val="006E5AAC"/>
    <w:rsid w:val="006E5AD3"/>
    <w:rsid w:val="006E5C4B"/>
    <w:rsid w:val="006E5C4C"/>
    <w:rsid w:val="006E5CE0"/>
    <w:rsid w:val="006E5D05"/>
    <w:rsid w:val="006E5E4C"/>
    <w:rsid w:val="006E5E5F"/>
    <w:rsid w:val="006E5F06"/>
    <w:rsid w:val="006E5F3B"/>
    <w:rsid w:val="006E60B3"/>
    <w:rsid w:val="006E6182"/>
    <w:rsid w:val="006E62C8"/>
    <w:rsid w:val="006E643D"/>
    <w:rsid w:val="006E6474"/>
    <w:rsid w:val="006E6524"/>
    <w:rsid w:val="006E655A"/>
    <w:rsid w:val="006E656E"/>
    <w:rsid w:val="006E6597"/>
    <w:rsid w:val="006E65F0"/>
    <w:rsid w:val="006E665C"/>
    <w:rsid w:val="006E667C"/>
    <w:rsid w:val="006E6682"/>
    <w:rsid w:val="006E66AC"/>
    <w:rsid w:val="006E66F6"/>
    <w:rsid w:val="006E6749"/>
    <w:rsid w:val="006E6784"/>
    <w:rsid w:val="006E67D7"/>
    <w:rsid w:val="006E6807"/>
    <w:rsid w:val="006E6995"/>
    <w:rsid w:val="006E69A4"/>
    <w:rsid w:val="006E69F9"/>
    <w:rsid w:val="006E6A3F"/>
    <w:rsid w:val="006E6AB2"/>
    <w:rsid w:val="006E6B30"/>
    <w:rsid w:val="006E6B88"/>
    <w:rsid w:val="006E6B97"/>
    <w:rsid w:val="006E6BDF"/>
    <w:rsid w:val="006E6BE3"/>
    <w:rsid w:val="006E6BE9"/>
    <w:rsid w:val="006E6CD4"/>
    <w:rsid w:val="006E6E17"/>
    <w:rsid w:val="006E6F8C"/>
    <w:rsid w:val="006E7027"/>
    <w:rsid w:val="006E7064"/>
    <w:rsid w:val="006E70BA"/>
    <w:rsid w:val="006E7172"/>
    <w:rsid w:val="006E7178"/>
    <w:rsid w:val="006E71AB"/>
    <w:rsid w:val="006E7325"/>
    <w:rsid w:val="006E7369"/>
    <w:rsid w:val="006E73C7"/>
    <w:rsid w:val="006E73CF"/>
    <w:rsid w:val="006E7576"/>
    <w:rsid w:val="006E7619"/>
    <w:rsid w:val="006E7654"/>
    <w:rsid w:val="006E7668"/>
    <w:rsid w:val="006E76DE"/>
    <w:rsid w:val="006E76F0"/>
    <w:rsid w:val="006E7700"/>
    <w:rsid w:val="006E7720"/>
    <w:rsid w:val="006E778F"/>
    <w:rsid w:val="006E7794"/>
    <w:rsid w:val="006E787B"/>
    <w:rsid w:val="006E787F"/>
    <w:rsid w:val="006E78DB"/>
    <w:rsid w:val="006E798E"/>
    <w:rsid w:val="006E79D8"/>
    <w:rsid w:val="006E7A26"/>
    <w:rsid w:val="006E7AC3"/>
    <w:rsid w:val="006E7AC5"/>
    <w:rsid w:val="006E7B0C"/>
    <w:rsid w:val="006E7C0E"/>
    <w:rsid w:val="006E7C3E"/>
    <w:rsid w:val="006E7E09"/>
    <w:rsid w:val="006E7E4E"/>
    <w:rsid w:val="006E7E62"/>
    <w:rsid w:val="006E7E7A"/>
    <w:rsid w:val="006E7ED2"/>
    <w:rsid w:val="006F0307"/>
    <w:rsid w:val="006F03D8"/>
    <w:rsid w:val="006F046B"/>
    <w:rsid w:val="006F04B1"/>
    <w:rsid w:val="006F050E"/>
    <w:rsid w:val="006F0543"/>
    <w:rsid w:val="006F06B4"/>
    <w:rsid w:val="006F06C4"/>
    <w:rsid w:val="006F06EB"/>
    <w:rsid w:val="006F07DE"/>
    <w:rsid w:val="006F07DF"/>
    <w:rsid w:val="006F07E1"/>
    <w:rsid w:val="006F080F"/>
    <w:rsid w:val="006F0919"/>
    <w:rsid w:val="006F0A4F"/>
    <w:rsid w:val="006F0A99"/>
    <w:rsid w:val="006F0B5E"/>
    <w:rsid w:val="006F0B90"/>
    <w:rsid w:val="006F0D8D"/>
    <w:rsid w:val="006F0E34"/>
    <w:rsid w:val="006F0EE4"/>
    <w:rsid w:val="006F0FFE"/>
    <w:rsid w:val="006F1053"/>
    <w:rsid w:val="006F10BA"/>
    <w:rsid w:val="006F10F9"/>
    <w:rsid w:val="006F10FE"/>
    <w:rsid w:val="006F113E"/>
    <w:rsid w:val="006F114B"/>
    <w:rsid w:val="006F1183"/>
    <w:rsid w:val="006F11A5"/>
    <w:rsid w:val="006F123D"/>
    <w:rsid w:val="006F1270"/>
    <w:rsid w:val="006F13B1"/>
    <w:rsid w:val="006F1542"/>
    <w:rsid w:val="006F1569"/>
    <w:rsid w:val="006F1574"/>
    <w:rsid w:val="006F15B9"/>
    <w:rsid w:val="006F15E0"/>
    <w:rsid w:val="006F1661"/>
    <w:rsid w:val="006F16F2"/>
    <w:rsid w:val="006F1886"/>
    <w:rsid w:val="006F18BF"/>
    <w:rsid w:val="006F18D2"/>
    <w:rsid w:val="006F1A2C"/>
    <w:rsid w:val="006F1ADA"/>
    <w:rsid w:val="006F1AF5"/>
    <w:rsid w:val="006F1B1E"/>
    <w:rsid w:val="006F1BF4"/>
    <w:rsid w:val="006F1C0F"/>
    <w:rsid w:val="006F1C8E"/>
    <w:rsid w:val="006F1D8A"/>
    <w:rsid w:val="006F1E16"/>
    <w:rsid w:val="006F1E38"/>
    <w:rsid w:val="006F1E55"/>
    <w:rsid w:val="006F1E78"/>
    <w:rsid w:val="006F1F50"/>
    <w:rsid w:val="006F1F7C"/>
    <w:rsid w:val="006F1F86"/>
    <w:rsid w:val="006F1FB5"/>
    <w:rsid w:val="006F2005"/>
    <w:rsid w:val="006F208F"/>
    <w:rsid w:val="006F20CB"/>
    <w:rsid w:val="006F211B"/>
    <w:rsid w:val="006F215C"/>
    <w:rsid w:val="006F21EF"/>
    <w:rsid w:val="006F2364"/>
    <w:rsid w:val="006F2403"/>
    <w:rsid w:val="006F2415"/>
    <w:rsid w:val="006F2519"/>
    <w:rsid w:val="006F26A9"/>
    <w:rsid w:val="006F2758"/>
    <w:rsid w:val="006F2779"/>
    <w:rsid w:val="006F27F2"/>
    <w:rsid w:val="006F27F4"/>
    <w:rsid w:val="006F2AE4"/>
    <w:rsid w:val="006F2B12"/>
    <w:rsid w:val="006F2B7D"/>
    <w:rsid w:val="006F2B82"/>
    <w:rsid w:val="006F2BC9"/>
    <w:rsid w:val="006F2BE1"/>
    <w:rsid w:val="006F2D9E"/>
    <w:rsid w:val="006F2DF7"/>
    <w:rsid w:val="006F2FE5"/>
    <w:rsid w:val="006F314D"/>
    <w:rsid w:val="006F3286"/>
    <w:rsid w:val="006F33EC"/>
    <w:rsid w:val="006F34C6"/>
    <w:rsid w:val="006F34EB"/>
    <w:rsid w:val="006F357A"/>
    <w:rsid w:val="006F35A2"/>
    <w:rsid w:val="006F35B2"/>
    <w:rsid w:val="006F36C5"/>
    <w:rsid w:val="006F37BF"/>
    <w:rsid w:val="006F3874"/>
    <w:rsid w:val="006F3A10"/>
    <w:rsid w:val="006F3BA8"/>
    <w:rsid w:val="006F3C78"/>
    <w:rsid w:val="006F3CD9"/>
    <w:rsid w:val="006F3D59"/>
    <w:rsid w:val="006F3D93"/>
    <w:rsid w:val="006F3E7E"/>
    <w:rsid w:val="006F3EFF"/>
    <w:rsid w:val="006F4028"/>
    <w:rsid w:val="006F4068"/>
    <w:rsid w:val="006F4072"/>
    <w:rsid w:val="006F408E"/>
    <w:rsid w:val="006F40EB"/>
    <w:rsid w:val="006F4195"/>
    <w:rsid w:val="006F427B"/>
    <w:rsid w:val="006F4310"/>
    <w:rsid w:val="006F432F"/>
    <w:rsid w:val="006F444B"/>
    <w:rsid w:val="006F44D6"/>
    <w:rsid w:val="006F4518"/>
    <w:rsid w:val="006F455C"/>
    <w:rsid w:val="006F455E"/>
    <w:rsid w:val="006F46B1"/>
    <w:rsid w:val="006F46CD"/>
    <w:rsid w:val="006F46FC"/>
    <w:rsid w:val="006F48B8"/>
    <w:rsid w:val="006F48BE"/>
    <w:rsid w:val="006F48C8"/>
    <w:rsid w:val="006F48F0"/>
    <w:rsid w:val="006F4B82"/>
    <w:rsid w:val="006F4C18"/>
    <w:rsid w:val="006F4CC9"/>
    <w:rsid w:val="006F4CDA"/>
    <w:rsid w:val="006F4F65"/>
    <w:rsid w:val="006F4FEC"/>
    <w:rsid w:val="006F5189"/>
    <w:rsid w:val="006F52C8"/>
    <w:rsid w:val="006F5332"/>
    <w:rsid w:val="006F5377"/>
    <w:rsid w:val="006F540B"/>
    <w:rsid w:val="006F5473"/>
    <w:rsid w:val="006F54F6"/>
    <w:rsid w:val="006F5590"/>
    <w:rsid w:val="006F559F"/>
    <w:rsid w:val="006F5660"/>
    <w:rsid w:val="006F56D0"/>
    <w:rsid w:val="006F5719"/>
    <w:rsid w:val="006F57E6"/>
    <w:rsid w:val="006F5848"/>
    <w:rsid w:val="006F587A"/>
    <w:rsid w:val="006F58FE"/>
    <w:rsid w:val="006F5969"/>
    <w:rsid w:val="006F5985"/>
    <w:rsid w:val="006F59AD"/>
    <w:rsid w:val="006F5A76"/>
    <w:rsid w:val="006F5AC9"/>
    <w:rsid w:val="006F5B65"/>
    <w:rsid w:val="006F5BA1"/>
    <w:rsid w:val="006F5D04"/>
    <w:rsid w:val="006F5D6D"/>
    <w:rsid w:val="006F5D8B"/>
    <w:rsid w:val="006F5DA1"/>
    <w:rsid w:val="006F5EDA"/>
    <w:rsid w:val="006F5F04"/>
    <w:rsid w:val="006F5F2B"/>
    <w:rsid w:val="006F5F48"/>
    <w:rsid w:val="006F6007"/>
    <w:rsid w:val="006F60A2"/>
    <w:rsid w:val="006F6102"/>
    <w:rsid w:val="006F6118"/>
    <w:rsid w:val="006F61AF"/>
    <w:rsid w:val="006F6244"/>
    <w:rsid w:val="006F62B1"/>
    <w:rsid w:val="006F62C0"/>
    <w:rsid w:val="006F62CF"/>
    <w:rsid w:val="006F6368"/>
    <w:rsid w:val="006F64BF"/>
    <w:rsid w:val="006F655A"/>
    <w:rsid w:val="006F6664"/>
    <w:rsid w:val="006F66B9"/>
    <w:rsid w:val="006F6798"/>
    <w:rsid w:val="006F6838"/>
    <w:rsid w:val="006F6892"/>
    <w:rsid w:val="006F6A56"/>
    <w:rsid w:val="006F6A76"/>
    <w:rsid w:val="006F6A77"/>
    <w:rsid w:val="006F6AF9"/>
    <w:rsid w:val="006F6B54"/>
    <w:rsid w:val="006F6BB2"/>
    <w:rsid w:val="006F6BE4"/>
    <w:rsid w:val="006F6BEF"/>
    <w:rsid w:val="006F6C50"/>
    <w:rsid w:val="006F6C8F"/>
    <w:rsid w:val="006F6CCE"/>
    <w:rsid w:val="006F6D66"/>
    <w:rsid w:val="006F6D8A"/>
    <w:rsid w:val="006F6E92"/>
    <w:rsid w:val="006F6E9F"/>
    <w:rsid w:val="006F6EC7"/>
    <w:rsid w:val="006F6ED3"/>
    <w:rsid w:val="006F6F03"/>
    <w:rsid w:val="006F6F0F"/>
    <w:rsid w:val="006F6FF8"/>
    <w:rsid w:val="006F7007"/>
    <w:rsid w:val="006F7087"/>
    <w:rsid w:val="006F708E"/>
    <w:rsid w:val="006F7131"/>
    <w:rsid w:val="006F7166"/>
    <w:rsid w:val="006F719A"/>
    <w:rsid w:val="006F72AE"/>
    <w:rsid w:val="006F7409"/>
    <w:rsid w:val="006F7442"/>
    <w:rsid w:val="006F748F"/>
    <w:rsid w:val="006F74BB"/>
    <w:rsid w:val="006F7645"/>
    <w:rsid w:val="006F7701"/>
    <w:rsid w:val="006F77EB"/>
    <w:rsid w:val="006F7835"/>
    <w:rsid w:val="006F7898"/>
    <w:rsid w:val="006F78AB"/>
    <w:rsid w:val="006F7A0E"/>
    <w:rsid w:val="006F7B54"/>
    <w:rsid w:val="006F7B5C"/>
    <w:rsid w:val="006F7BA1"/>
    <w:rsid w:val="006F7C50"/>
    <w:rsid w:val="006F7D18"/>
    <w:rsid w:val="006F7D3E"/>
    <w:rsid w:val="006F7DBA"/>
    <w:rsid w:val="006F7DC9"/>
    <w:rsid w:val="006F7E97"/>
    <w:rsid w:val="006F7EA2"/>
    <w:rsid w:val="00700101"/>
    <w:rsid w:val="00700103"/>
    <w:rsid w:val="0070014E"/>
    <w:rsid w:val="0070019C"/>
    <w:rsid w:val="00700290"/>
    <w:rsid w:val="007002C9"/>
    <w:rsid w:val="007002D6"/>
    <w:rsid w:val="0070030B"/>
    <w:rsid w:val="007003B8"/>
    <w:rsid w:val="0070044B"/>
    <w:rsid w:val="00700538"/>
    <w:rsid w:val="00700550"/>
    <w:rsid w:val="00700609"/>
    <w:rsid w:val="0070060E"/>
    <w:rsid w:val="00700639"/>
    <w:rsid w:val="007006E5"/>
    <w:rsid w:val="0070079F"/>
    <w:rsid w:val="007007E6"/>
    <w:rsid w:val="00700947"/>
    <w:rsid w:val="00700963"/>
    <w:rsid w:val="0070097E"/>
    <w:rsid w:val="00700994"/>
    <w:rsid w:val="007009C0"/>
    <w:rsid w:val="00700AD5"/>
    <w:rsid w:val="00700B06"/>
    <w:rsid w:val="00700B3C"/>
    <w:rsid w:val="00700CDC"/>
    <w:rsid w:val="00700DBB"/>
    <w:rsid w:val="00700F6F"/>
    <w:rsid w:val="00701039"/>
    <w:rsid w:val="007011F7"/>
    <w:rsid w:val="0070128E"/>
    <w:rsid w:val="007012F6"/>
    <w:rsid w:val="007013D1"/>
    <w:rsid w:val="00701442"/>
    <w:rsid w:val="00701461"/>
    <w:rsid w:val="00701755"/>
    <w:rsid w:val="00701775"/>
    <w:rsid w:val="00701777"/>
    <w:rsid w:val="00701822"/>
    <w:rsid w:val="007018A5"/>
    <w:rsid w:val="007018F1"/>
    <w:rsid w:val="00701A31"/>
    <w:rsid w:val="00701A61"/>
    <w:rsid w:val="00701AFF"/>
    <w:rsid w:val="00701B8F"/>
    <w:rsid w:val="00701BEF"/>
    <w:rsid w:val="00701BF1"/>
    <w:rsid w:val="00701CF4"/>
    <w:rsid w:val="00701EBA"/>
    <w:rsid w:val="00701F8E"/>
    <w:rsid w:val="007020DE"/>
    <w:rsid w:val="0070212E"/>
    <w:rsid w:val="007022C6"/>
    <w:rsid w:val="0070232A"/>
    <w:rsid w:val="0070234D"/>
    <w:rsid w:val="007023F0"/>
    <w:rsid w:val="00702528"/>
    <w:rsid w:val="00702751"/>
    <w:rsid w:val="00702778"/>
    <w:rsid w:val="007027C2"/>
    <w:rsid w:val="00702800"/>
    <w:rsid w:val="0070286D"/>
    <w:rsid w:val="00702985"/>
    <w:rsid w:val="00702AAE"/>
    <w:rsid w:val="00702D55"/>
    <w:rsid w:val="00702E57"/>
    <w:rsid w:val="00702E83"/>
    <w:rsid w:val="00702ED9"/>
    <w:rsid w:val="00702EDE"/>
    <w:rsid w:val="00702EE0"/>
    <w:rsid w:val="00702F2A"/>
    <w:rsid w:val="00702F58"/>
    <w:rsid w:val="00702F6E"/>
    <w:rsid w:val="0070308D"/>
    <w:rsid w:val="007031CA"/>
    <w:rsid w:val="007031EB"/>
    <w:rsid w:val="0070325E"/>
    <w:rsid w:val="00703420"/>
    <w:rsid w:val="00703456"/>
    <w:rsid w:val="0070348F"/>
    <w:rsid w:val="0070353E"/>
    <w:rsid w:val="00703561"/>
    <w:rsid w:val="007035ED"/>
    <w:rsid w:val="00703723"/>
    <w:rsid w:val="0070381C"/>
    <w:rsid w:val="0070389E"/>
    <w:rsid w:val="00703903"/>
    <w:rsid w:val="007039F4"/>
    <w:rsid w:val="00703A57"/>
    <w:rsid w:val="00703A80"/>
    <w:rsid w:val="00703A8E"/>
    <w:rsid w:val="00703BEA"/>
    <w:rsid w:val="00703C41"/>
    <w:rsid w:val="00703CB1"/>
    <w:rsid w:val="00703DB6"/>
    <w:rsid w:val="00703DDE"/>
    <w:rsid w:val="00703E07"/>
    <w:rsid w:val="00703F19"/>
    <w:rsid w:val="00703F72"/>
    <w:rsid w:val="00704031"/>
    <w:rsid w:val="007040EC"/>
    <w:rsid w:val="00704213"/>
    <w:rsid w:val="007042EB"/>
    <w:rsid w:val="00704475"/>
    <w:rsid w:val="0070448C"/>
    <w:rsid w:val="00704576"/>
    <w:rsid w:val="0070459D"/>
    <w:rsid w:val="007047F0"/>
    <w:rsid w:val="0070480A"/>
    <w:rsid w:val="007048F6"/>
    <w:rsid w:val="00704965"/>
    <w:rsid w:val="0070498E"/>
    <w:rsid w:val="007049DB"/>
    <w:rsid w:val="00704B64"/>
    <w:rsid w:val="00704B73"/>
    <w:rsid w:val="00704C3B"/>
    <w:rsid w:val="00704C48"/>
    <w:rsid w:val="00704C66"/>
    <w:rsid w:val="00704CDE"/>
    <w:rsid w:val="00704CE6"/>
    <w:rsid w:val="00704D88"/>
    <w:rsid w:val="00704D8B"/>
    <w:rsid w:val="00704F1F"/>
    <w:rsid w:val="00704F2F"/>
    <w:rsid w:val="00704F5B"/>
    <w:rsid w:val="00704FBC"/>
    <w:rsid w:val="0070502F"/>
    <w:rsid w:val="0070503D"/>
    <w:rsid w:val="00705075"/>
    <w:rsid w:val="0070509A"/>
    <w:rsid w:val="007050CB"/>
    <w:rsid w:val="007050E6"/>
    <w:rsid w:val="00705149"/>
    <w:rsid w:val="0070526A"/>
    <w:rsid w:val="00705351"/>
    <w:rsid w:val="007053C3"/>
    <w:rsid w:val="00705409"/>
    <w:rsid w:val="0070555E"/>
    <w:rsid w:val="007055C5"/>
    <w:rsid w:val="007055EB"/>
    <w:rsid w:val="0070562D"/>
    <w:rsid w:val="007056AC"/>
    <w:rsid w:val="00705743"/>
    <w:rsid w:val="007057C9"/>
    <w:rsid w:val="007058B9"/>
    <w:rsid w:val="00705915"/>
    <w:rsid w:val="0070599C"/>
    <w:rsid w:val="007059B0"/>
    <w:rsid w:val="007059B7"/>
    <w:rsid w:val="00705AB4"/>
    <w:rsid w:val="00705B08"/>
    <w:rsid w:val="00705B2C"/>
    <w:rsid w:val="00705BAC"/>
    <w:rsid w:val="00705C63"/>
    <w:rsid w:val="00705CFA"/>
    <w:rsid w:val="00705D0F"/>
    <w:rsid w:val="00705DCE"/>
    <w:rsid w:val="00705E13"/>
    <w:rsid w:val="00705F4B"/>
    <w:rsid w:val="00705F91"/>
    <w:rsid w:val="00705FDE"/>
    <w:rsid w:val="00706017"/>
    <w:rsid w:val="0070601F"/>
    <w:rsid w:val="0070614F"/>
    <w:rsid w:val="00706210"/>
    <w:rsid w:val="00706228"/>
    <w:rsid w:val="0070622D"/>
    <w:rsid w:val="0070632C"/>
    <w:rsid w:val="00706526"/>
    <w:rsid w:val="00706596"/>
    <w:rsid w:val="0070662D"/>
    <w:rsid w:val="00706671"/>
    <w:rsid w:val="00706718"/>
    <w:rsid w:val="0070672E"/>
    <w:rsid w:val="0070674C"/>
    <w:rsid w:val="007067DE"/>
    <w:rsid w:val="00706853"/>
    <w:rsid w:val="00706856"/>
    <w:rsid w:val="00706948"/>
    <w:rsid w:val="007069B3"/>
    <w:rsid w:val="00706AB2"/>
    <w:rsid w:val="00706B30"/>
    <w:rsid w:val="00706B3F"/>
    <w:rsid w:val="00706B50"/>
    <w:rsid w:val="00706C37"/>
    <w:rsid w:val="00706C3E"/>
    <w:rsid w:val="00706C8A"/>
    <w:rsid w:val="00706D00"/>
    <w:rsid w:val="00706D6A"/>
    <w:rsid w:val="00706DCB"/>
    <w:rsid w:val="00706FC6"/>
    <w:rsid w:val="00706FCB"/>
    <w:rsid w:val="00706FEA"/>
    <w:rsid w:val="00707045"/>
    <w:rsid w:val="007070B5"/>
    <w:rsid w:val="007070CA"/>
    <w:rsid w:val="0070718E"/>
    <w:rsid w:val="007071B3"/>
    <w:rsid w:val="007071C8"/>
    <w:rsid w:val="0070722D"/>
    <w:rsid w:val="00707272"/>
    <w:rsid w:val="00707313"/>
    <w:rsid w:val="0070739B"/>
    <w:rsid w:val="0070748F"/>
    <w:rsid w:val="00707513"/>
    <w:rsid w:val="0070766C"/>
    <w:rsid w:val="007076ED"/>
    <w:rsid w:val="00707784"/>
    <w:rsid w:val="007078B9"/>
    <w:rsid w:val="007078F6"/>
    <w:rsid w:val="00707998"/>
    <w:rsid w:val="00707A8C"/>
    <w:rsid w:val="00707BB4"/>
    <w:rsid w:val="00707C6E"/>
    <w:rsid w:val="00707D17"/>
    <w:rsid w:val="00707D38"/>
    <w:rsid w:val="00707E62"/>
    <w:rsid w:val="00707EC6"/>
    <w:rsid w:val="00707EC8"/>
    <w:rsid w:val="00707FD7"/>
    <w:rsid w:val="00707FDD"/>
    <w:rsid w:val="00707FDE"/>
    <w:rsid w:val="00707FE3"/>
    <w:rsid w:val="0070D36B"/>
    <w:rsid w:val="00710078"/>
    <w:rsid w:val="007100E3"/>
    <w:rsid w:val="0071010A"/>
    <w:rsid w:val="00710137"/>
    <w:rsid w:val="007101DD"/>
    <w:rsid w:val="00710260"/>
    <w:rsid w:val="0071027F"/>
    <w:rsid w:val="007102BB"/>
    <w:rsid w:val="00710393"/>
    <w:rsid w:val="007103E0"/>
    <w:rsid w:val="0071042E"/>
    <w:rsid w:val="007104CE"/>
    <w:rsid w:val="00710581"/>
    <w:rsid w:val="00710598"/>
    <w:rsid w:val="007106C0"/>
    <w:rsid w:val="00710783"/>
    <w:rsid w:val="007108AB"/>
    <w:rsid w:val="00710C1A"/>
    <w:rsid w:val="00710C5F"/>
    <w:rsid w:val="00710CB4"/>
    <w:rsid w:val="00710D6A"/>
    <w:rsid w:val="00710E7E"/>
    <w:rsid w:val="00710EAA"/>
    <w:rsid w:val="00710EC3"/>
    <w:rsid w:val="00710EEA"/>
    <w:rsid w:val="00710F69"/>
    <w:rsid w:val="00710F6D"/>
    <w:rsid w:val="00710FBA"/>
    <w:rsid w:val="00711065"/>
    <w:rsid w:val="007110D8"/>
    <w:rsid w:val="00711105"/>
    <w:rsid w:val="00711191"/>
    <w:rsid w:val="007111A2"/>
    <w:rsid w:val="007111E8"/>
    <w:rsid w:val="00711313"/>
    <w:rsid w:val="0071141D"/>
    <w:rsid w:val="007114B8"/>
    <w:rsid w:val="0071153F"/>
    <w:rsid w:val="00711587"/>
    <w:rsid w:val="007115D4"/>
    <w:rsid w:val="00711633"/>
    <w:rsid w:val="00711792"/>
    <w:rsid w:val="00711969"/>
    <w:rsid w:val="007119A2"/>
    <w:rsid w:val="00711ABD"/>
    <w:rsid w:val="00711AFF"/>
    <w:rsid w:val="00711B7C"/>
    <w:rsid w:val="00711B86"/>
    <w:rsid w:val="00711C32"/>
    <w:rsid w:val="00711C9B"/>
    <w:rsid w:val="00711D00"/>
    <w:rsid w:val="00711D2F"/>
    <w:rsid w:val="00711D60"/>
    <w:rsid w:val="00711DE3"/>
    <w:rsid w:val="00711E72"/>
    <w:rsid w:val="00711F24"/>
    <w:rsid w:val="00711F49"/>
    <w:rsid w:val="00711F6C"/>
    <w:rsid w:val="00711FA7"/>
    <w:rsid w:val="00712038"/>
    <w:rsid w:val="007120A6"/>
    <w:rsid w:val="007120B1"/>
    <w:rsid w:val="007120C9"/>
    <w:rsid w:val="00712151"/>
    <w:rsid w:val="007121FA"/>
    <w:rsid w:val="0071225B"/>
    <w:rsid w:val="00712314"/>
    <w:rsid w:val="0071233B"/>
    <w:rsid w:val="00712364"/>
    <w:rsid w:val="00712392"/>
    <w:rsid w:val="0071249F"/>
    <w:rsid w:val="00712534"/>
    <w:rsid w:val="0071255B"/>
    <w:rsid w:val="00712573"/>
    <w:rsid w:val="0071257A"/>
    <w:rsid w:val="00712793"/>
    <w:rsid w:val="007127F2"/>
    <w:rsid w:val="007127FB"/>
    <w:rsid w:val="0071282C"/>
    <w:rsid w:val="0071286A"/>
    <w:rsid w:val="00712876"/>
    <w:rsid w:val="00712877"/>
    <w:rsid w:val="00712B9D"/>
    <w:rsid w:val="00712D1A"/>
    <w:rsid w:val="00712D48"/>
    <w:rsid w:val="00712D50"/>
    <w:rsid w:val="00712E33"/>
    <w:rsid w:val="00712E8A"/>
    <w:rsid w:val="00712F54"/>
    <w:rsid w:val="007130AC"/>
    <w:rsid w:val="00713137"/>
    <w:rsid w:val="0071328E"/>
    <w:rsid w:val="007132A6"/>
    <w:rsid w:val="007132FB"/>
    <w:rsid w:val="00713456"/>
    <w:rsid w:val="007134D7"/>
    <w:rsid w:val="007135B4"/>
    <w:rsid w:val="00713619"/>
    <w:rsid w:val="0071369A"/>
    <w:rsid w:val="007136A4"/>
    <w:rsid w:val="007136CD"/>
    <w:rsid w:val="007136ED"/>
    <w:rsid w:val="007136F8"/>
    <w:rsid w:val="00713736"/>
    <w:rsid w:val="00713770"/>
    <w:rsid w:val="00713773"/>
    <w:rsid w:val="00713908"/>
    <w:rsid w:val="00713A94"/>
    <w:rsid w:val="00713B88"/>
    <w:rsid w:val="00713C04"/>
    <w:rsid w:val="00713CAD"/>
    <w:rsid w:val="00713EB6"/>
    <w:rsid w:val="00713EC5"/>
    <w:rsid w:val="00713EE2"/>
    <w:rsid w:val="00713F62"/>
    <w:rsid w:val="00713F97"/>
    <w:rsid w:val="00713FFF"/>
    <w:rsid w:val="007140D8"/>
    <w:rsid w:val="0071412B"/>
    <w:rsid w:val="0071421D"/>
    <w:rsid w:val="00714221"/>
    <w:rsid w:val="00714288"/>
    <w:rsid w:val="00714302"/>
    <w:rsid w:val="0071439D"/>
    <w:rsid w:val="007143AA"/>
    <w:rsid w:val="007143C4"/>
    <w:rsid w:val="007143F9"/>
    <w:rsid w:val="00714413"/>
    <w:rsid w:val="00714444"/>
    <w:rsid w:val="00714548"/>
    <w:rsid w:val="0071459B"/>
    <w:rsid w:val="007145ED"/>
    <w:rsid w:val="0071468E"/>
    <w:rsid w:val="00714801"/>
    <w:rsid w:val="00714876"/>
    <w:rsid w:val="007148AB"/>
    <w:rsid w:val="00714911"/>
    <w:rsid w:val="0071497A"/>
    <w:rsid w:val="00714A8C"/>
    <w:rsid w:val="00714ABA"/>
    <w:rsid w:val="00714CB3"/>
    <w:rsid w:val="00714CB6"/>
    <w:rsid w:val="00714D1B"/>
    <w:rsid w:val="00714D44"/>
    <w:rsid w:val="00714DC5"/>
    <w:rsid w:val="00714E48"/>
    <w:rsid w:val="00714F3C"/>
    <w:rsid w:val="00714F67"/>
    <w:rsid w:val="00715101"/>
    <w:rsid w:val="0071512B"/>
    <w:rsid w:val="0071539C"/>
    <w:rsid w:val="007154F7"/>
    <w:rsid w:val="00715534"/>
    <w:rsid w:val="0071555F"/>
    <w:rsid w:val="00715595"/>
    <w:rsid w:val="007155AC"/>
    <w:rsid w:val="0071562A"/>
    <w:rsid w:val="007156D0"/>
    <w:rsid w:val="007157C9"/>
    <w:rsid w:val="007157EC"/>
    <w:rsid w:val="00715816"/>
    <w:rsid w:val="007158FC"/>
    <w:rsid w:val="00715A19"/>
    <w:rsid w:val="00715ABD"/>
    <w:rsid w:val="00715ACA"/>
    <w:rsid w:val="00715C59"/>
    <w:rsid w:val="00715E67"/>
    <w:rsid w:val="00715E6C"/>
    <w:rsid w:val="00715E8C"/>
    <w:rsid w:val="00715ECB"/>
    <w:rsid w:val="00715EF3"/>
    <w:rsid w:val="00715F75"/>
    <w:rsid w:val="00716150"/>
    <w:rsid w:val="0071624B"/>
    <w:rsid w:val="007163B0"/>
    <w:rsid w:val="007163D8"/>
    <w:rsid w:val="00716455"/>
    <w:rsid w:val="007165F9"/>
    <w:rsid w:val="0071668E"/>
    <w:rsid w:val="00716691"/>
    <w:rsid w:val="007166A5"/>
    <w:rsid w:val="00716A0D"/>
    <w:rsid w:val="00716D23"/>
    <w:rsid w:val="00716D57"/>
    <w:rsid w:val="00716D9F"/>
    <w:rsid w:val="00716E40"/>
    <w:rsid w:val="00716EAF"/>
    <w:rsid w:val="00716F79"/>
    <w:rsid w:val="00716FD2"/>
    <w:rsid w:val="007170D4"/>
    <w:rsid w:val="00717231"/>
    <w:rsid w:val="0071738E"/>
    <w:rsid w:val="00717425"/>
    <w:rsid w:val="00717435"/>
    <w:rsid w:val="0071746E"/>
    <w:rsid w:val="0071760A"/>
    <w:rsid w:val="00717687"/>
    <w:rsid w:val="0071772A"/>
    <w:rsid w:val="00717750"/>
    <w:rsid w:val="00717755"/>
    <w:rsid w:val="007177A7"/>
    <w:rsid w:val="0071792F"/>
    <w:rsid w:val="00717A17"/>
    <w:rsid w:val="00717A2F"/>
    <w:rsid w:val="00717AFD"/>
    <w:rsid w:val="00717B07"/>
    <w:rsid w:val="00717C01"/>
    <w:rsid w:val="00717C20"/>
    <w:rsid w:val="00717CA5"/>
    <w:rsid w:val="00717CBF"/>
    <w:rsid w:val="00717D59"/>
    <w:rsid w:val="00717D86"/>
    <w:rsid w:val="00717DA1"/>
    <w:rsid w:val="00717DDD"/>
    <w:rsid w:val="00720043"/>
    <w:rsid w:val="0072005B"/>
    <w:rsid w:val="007200FB"/>
    <w:rsid w:val="007201EC"/>
    <w:rsid w:val="007202FF"/>
    <w:rsid w:val="00720332"/>
    <w:rsid w:val="00720347"/>
    <w:rsid w:val="0072038E"/>
    <w:rsid w:val="007203C1"/>
    <w:rsid w:val="007204C3"/>
    <w:rsid w:val="007206CE"/>
    <w:rsid w:val="0072072A"/>
    <w:rsid w:val="007207EB"/>
    <w:rsid w:val="007208D2"/>
    <w:rsid w:val="00720A62"/>
    <w:rsid w:val="00720B42"/>
    <w:rsid w:val="00720B88"/>
    <w:rsid w:val="00720C73"/>
    <w:rsid w:val="00720D30"/>
    <w:rsid w:val="00720DF3"/>
    <w:rsid w:val="00720EF5"/>
    <w:rsid w:val="00720F23"/>
    <w:rsid w:val="00720F2B"/>
    <w:rsid w:val="00720FF7"/>
    <w:rsid w:val="00721015"/>
    <w:rsid w:val="0072105E"/>
    <w:rsid w:val="007211CD"/>
    <w:rsid w:val="007211F5"/>
    <w:rsid w:val="00721249"/>
    <w:rsid w:val="0072125F"/>
    <w:rsid w:val="00721310"/>
    <w:rsid w:val="007213F1"/>
    <w:rsid w:val="007213F6"/>
    <w:rsid w:val="0072149C"/>
    <w:rsid w:val="0072157B"/>
    <w:rsid w:val="007215DD"/>
    <w:rsid w:val="00721707"/>
    <w:rsid w:val="007217B6"/>
    <w:rsid w:val="00721844"/>
    <w:rsid w:val="007218C5"/>
    <w:rsid w:val="00721BBB"/>
    <w:rsid w:val="00721BDE"/>
    <w:rsid w:val="00721C59"/>
    <w:rsid w:val="00721C82"/>
    <w:rsid w:val="00721CAB"/>
    <w:rsid w:val="00721CDB"/>
    <w:rsid w:val="00721E4C"/>
    <w:rsid w:val="00721EAA"/>
    <w:rsid w:val="00721F73"/>
    <w:rsid w:val="00721F75"/>
    <w:rsid w:val="0072211E"/>
    <w:rsid w:val="00722184"/>
    <w:rsid w:val="0072218D"/>
    <w:rsid w:val="007222E2"/>
    <w:rsid w:val="00722355"/>
    <w:rsid w:val="0072238A"/>
    <w:rsid w:val="00722404"/>
    <w:rsid w:val="00722475"/>
    <w:rsid w:val="00722485"/>
    <w:rsid w:val="00722526"/>
    <w:rsid w:val="00722534"/>
    <w:rsid w:val="00722556"/>
    <w:rsid w:val="007225B4"/>
    <w:rsid w:val="00722678"/>
    <w:rsid w:val="00722682"/>
    <w:rsid w:val="007226AF"/>
    <w:rsid w:val="00722704"/>
    <w:rsid w:val="00722862"/>
    <w:rsid w:val="007229FC"/>
    <w:rsid w:val="00722A1B"/>
    <w:rsid w:val="00722A48"/>
    <w:rsid w:val="00722A74"/>
    <w:rsid w:val="00722C38"/>
    <w:rsid w:val="00722C6C"/>
    <w:rsid w:val="00722CD3"/>
    <w:rsid w:val="00722DE6"/>
    <w:rsid w:val="00722DFD"/>
    <w:rsid w:val="00722E48"/>
    <w:rsid w:val="00722EEE"/>
    <w:rsid w:val="00722F24"/>
    <w:rsid w:val="00722FF9"/>
    <w:rsid w:val="00723061"/>
    <w:rsid w:val="00723112"/>
    <w:rsid w:val="0072314B"/>
    <w:rsid w:val="007231FF"/>
    <w:rsid w:val="00723237"/>
    <w:rsid w:val="0072335F"/>
    <w:rsid w:val="007233B3"/>
    <w:rsid w:val="00723483"/>
    <w:rsid w:val="0072349D"/>
    <w:rsid w:val="007234AB"/>
    <w:rsid w:val="00723557"/>
    <w:rsid w:val="00723568"/>
    <w:rsid w:val="00723597"/>
    <w:rsid w:val="007236C6"/>
    <w:rsid w:val="007236F3"/>
    <w:rsid w:val="007237D2"/>
    <w:rsid w:val="0072388B"/>
    <w:rsid w:val="007239C6"/>
    <w:rsid w:val="007239C7"/>
    <w:rsid w:val="007239E1"/>
    <w:rsid w:val="00723A30"/>
    <w:rsid w:val="00723A81"/>
    <w:rsid w:val="00723B2D"/>
    <w:rsid w:val="00723C3E"/>
    <w:rsid w:val="00723C98"/>
    <w:rsid w:val="00723D15"/>
    <w:rsid w:val="00723D38"/>
    <w:rsid w:val="00723D5A"/>
    <w:rsid w:val="00723D7A"/>
    <w:rsid w:val="00723F41"/>
    <w:rsid w:val="00723F4C"/>
    <w:rsid w:val="0072406C"/>
    <w:rsid w:val="0072417B"/>
    <w:rsid w:val="00724203"/>
    <w:rsid w:val="00724290"/>
    <w:rsid w:val="007242A4"/>
    <w:rsid w:val="00724324"/>
    <w:rsid w:val="0072434B"/>
    <w:rsid w:val="00724510"/>
    <w:rsid w:val="007245B1"/>
    <w:rsid w:val="007245E0"/>
    <w:rsid w:val="0072486C"/>
    <w:rsid w:val="007248C2"/>
    <w:rsid w:val="00724ACB"/>
    <w:rsid w:val="00724BA3"/>
    <w:rsid w:val="00724C9B"/>
    <w:rsid w:val="00724C9C"/>
    <w:rsid w:val="00724CEA"/>
    <w:rsid w:val="00724D25"/>
    <w:rsid w:val="00724DDB"/>
    <w:rsid w:val="00724E74"/>
    <w:rsid w:val="00724EC4"/>
    <w:rsid w:val="007250AD"/>
    <w:rsid w:val="00725206"/>
    <w:rsid w:val="00725326"/>
    <w:rsid w:val="00725360"/>
    <w:rsid w:val="00725439"/>
    <w:rsid w:val="0072566A"/>
    <w:rsid w:val="007257E6"/>
    <w:rsid w:val="00725946"/>
    <w:rsid w:val="0072596A"/>
    <w:rsid w:val="00725A38"/>
    <w:rsid w:val="00725A6D"/>
    <w:rsid w:val="00725AA1"/>
    <w:rsid w:val="00725BE1"/>
    <w:rsid w:val="00725BEF"/>
    <w:rsid w:val="00725E5C"/>
    <w:rsid w:val="00725F99"/>
    <w:rsid w:val="00725FBF"/>
    <w:rsid w:val="00726151"/>
    <w:rsid w:val="00726179"/>
    <w:rsid w:val="007261BD"/>
    <w:rsid w:val="0072637A"/>
    <w:rsid w:val="007264A1"/>
    <w:rsid w:val="00726544"/>
    <w:rsid w:val="0072664C"/>
    <w:rsid w:val="007266F7"/>
    <w:rsid w:val="00726718"/>
    <w:rsid w:val="0072671B"/>
    <w:rsid w:val="0072698D"/>
    <w:rsid w:val="007269DF"/>
    <w:rsid w:val="00726A07"/>
    <w:rsid w:val="00726A47"/>
    <w:rsid w:val="00726A9F"/>
    <w:rsid w:val="00726BBE"/>
    <w:rsid w:val="00726C0D"/>
    <w:rsid w:val="00726C2C"/>
    <w:rsid w:val="00726D5D"/>
    <w:rsid w:val="00726DCB"/>
    <w:rsid w:val="00726F7C"/>
    <w:rsid w:val="00727140"/>
    <w:rsid w:val="00727145"/>
    <w:rsid w:val="0072714E"/>
    <w:rsid w:val="007271FF"/>
    <w:rsid w:val="0072725E"/>
    <w:rsid w:val="00727263"/>
    <w:rsid w:val="007273CA"/>
    <w:rsid w:val="007273F1"/>
    <w:rsid w:val="007274A4"/>
    <w:rsid w:val="007274DC"/>
    <w:rsid w:val="0072757B"/>
    <w:rsid w:val="0072765A"/>
    <w:rsid w:val="0072768D"/>
    <w:rsid w:val="00727726"/>
    <w:rsid w:val="0072775F"/>
    <w:rsid w:val="007277C1"/>
    <w:rsid w:val="00727823"/>
    <w:rsid w:val="00727876"/>
    <w:rsid w:val="007278F4"/>
    <w:rsid w:val="007279F3"/>
    <w:rsid w:val="00727A57"/>
    <w:rsid w:val="00727AF2"/>
    <w:rsid w:val="00727B78"/>
    <w:rsid w:val="00727BEE"/>
    <w:rsid w:val="00727C01"/>
    <w:rsid w:val="00727D46"/>
    <w:rsid w:val="00727E94"/>
    <w:rsid w:val="0073007D"/>
    <w:rsid w:val="007300C4"/>
    <w:rsid w:val="007300D6"/>
    <w:rsid w:val="007300EA"/>
    <w:rsid w:val="00730111"/>
    <w:rsid w:val="007301E5"/>
    <w:rsid w:val="007301F1"/>
    <w:rsid w:val="00730313"/>
    <w:rsid w:val="00730316"/>
    <w:rsid w:val="0073034F"/>
    <w:rsid w:val="007303DA"/>
    <w:rsid w:val="00730578"/>
    <w:rsid w:val="00730747"/>
    <w:rsid w:val="007307A0"/>
    <w:rsid w:val="007307E7"/>
    <w:rsid w:val="0073082E"/>
    <w:rsid w:val="0073084E"/>
    <w:rsid w:val="007308E6"/>
    <w:rsid w:val="00730965"/>
    <w:rsid w:val="00730B1F"/>
    <w:rsid w:val="00730B8A"/>
    <w:rsid w:val="00730C1F"/>
    <w:rsid w:val="00730C90"/>
    <w:rsid w:val="00730D90"/>
    <w:rsid w:val="00730D9D"/>
    <w:rsid w:val="00730F4A"/>
    <w:rsid w:val="00730F8E"/>
    <w:rsid w:val="00730FD1"/>
    <w:rsid w:val="00730FDF"/>
    <w:rsid w:val="00731082"/>
    <w:rsid w:val="00731135"/>
    <w:rsid w:val="0073115B"/>
    <w:rsid w:val="00731390"/>
    <w:rsid w:val="007313BD"/>
    <w:rsid w:val="007314FC"/>
    <w:rsid w:val="00731503"/>
    <w:rsid w:val="007315CD"/>
    <w:rsid w:val="007316DF"/>
    <w:rsid w:val="007316F3"/>
    <w:rsid w:val="00731931"/>
    <w:rsid w:val="007319DC"/>
    <w:rsid w:val="00731A22"/>
    <w:rsid w:val="00731A8E"/>
    <w:rsid w:val="00731B1C"/>
    <w:rsid w:val="00731B51"/>
    <w:rsid w:val="00731D46"/>
    <w:rsid w:val="00731DE3"/>
    <w:rsid w:val="00731E21"/>
    <w:rsid w:val="00731E88"/>
    <w:rsid w:val="00731EF6"/>
    <w:rsid w:val="00731F00"/>
    <w:rsid w:val="00731F79"/>
    <w:rsid w:val="00732013"/>
    <w:rsid w:val="0073201C"/>
    <w:rsid w:val="00732031"/>
    <w:rsid w:val="007321BD"/>
    <w:rsid w:val="00732351"/>
    <w:rsid w:val="007323BE"/>
    <w:rsid w:val="007324D0"/>
    <w:rsid w:val="007325F1"/>
    <w:rsid w:val="0073271C"/>
    <w:rsid w:val="00732762"/>
    <w:rsid w:val="00732793"/>
    <w:rsid w:val="007327C3"/>
    <w:rsid w:val="007327CD"/>
    <w:rsid w:val="00732825"/>
    <w:rsid w:val="007328B5"/>
    <w:rsid w:val="00732921"/>
    <w:rsid w:val="00732923"/>
    <w:rsid w:val="00732988"/>
    <w:rsid w:val="00732AEB"/>
    <w:rsid w:val="00732B1B"/>
    <w:rsid w:val="00732B22"/>
    <w:rsid w:val="00732C14"/>
    <w:rsid w:val="00732CA8"/>
    <w:rsid w:val="00732D3C"/>
    <w:rsid w:val="00732E7C"/>
    <w:rsid w:val="00732ED1"/>
    <w:rsid w:val="00732F6F"/>
    <w:rsid w:val="00733006"/>
    <w:rsid w:val="00733129"/>
    <w:rsid w:val="0073312E"/>
    <w:rsid w:val="007331BD"/>
    <w:rsid w:val="0073339D"/>
    <w:rsid w:val="0073340D"/>
    <w:rsid w:val="007335C5"/>
    <w:rsid w:val="007335F9"/>
    <w:rsid w:val="0073361E"/>
    <w:rsid w:val="00733624"/>
    <w:rsid w:val="00733653"/>
    <w:rsid w:val="0073368D"/>
    <w:rsid w:val="0073369E"/>
    <w:rsid w:val="00733872"/>
    <w:rsid w:val="0073394A"/>
    <w:rsid w:val="0073394B"/>
    <w:rsid w:val="00733954"/>
    <w:rsid w:val="00733986"/>
    <w:rsid w:val="007339C9"/>
    <w:rsid w:val="00733A01"/>
    <w:rsid w:val="00733BB5"/>
    <w:rsid w:val="00733BE6"/>
    <w:rsid w:val="00733C2F"/>
    <w:rsid w:val="00733D55"/>
    <w:rsid w:val="00733DB8"/>
    <w:rsid w:val="00733E5C"/>
    <w:rsid w:val="00733F5E"/>
    <w:rsid w:val="00733FAB"/>
    <w:rsid w:val="00733FFE"/>
    <w:rsid w:val="0073404C"/>
    <w:rsid w:val="00734071"/>
    <w:rsid w:val="0073407D"/>
    <w:rsid w:val="00734175"/>
    <w:rsid w:val="007343B0"/>
    <w:rsid w:val="007344B6"/>
    <w:rsid w:val="007344FB"/>
    <w:rsid w:val="00734549"/>
    <w:rsid w:val="007345D6"/>
    <w:rsid w:val="007345F2"/>
    <w:rsid w:val="00734762"/>
    <w:rsid w:val="00734765"/>
    <w:rsid w:val="0073490C"/>
    <w:rsid w:val="00734953"/>
    <w:rsid w:val="00734B11"/>
    <w:rsid w:val="00734B8F"/>
    <w:rsid w:val="00734D2C"/>
    <w:rsid w:val="00734D45"/>
    <w:rsid w:val="00734DC1"/>
    <w:rsid w:val="00734E9F"/>
    <w:rsid w:val="00734EFF"/>
    <w:rsid w:val="00734F13"/>
    <w:rsid w:val="0073500D"/>
    <w:rsid w:val="0073512E"/>
    <w:rsid w:val="00735192"/>
    <w:rsid w:val="007351E9"/>
    <w:rsid w:val="007351F3"/>
    <w:rsid w:val="007351F8"/>
    <w:rsid w:val="0073522F"/>
    <w:rsid w:val="00735290"/>
    <w:rsid w:val="00735295"/>
    <w:rsid w:val="007352AA"/>
    <w:rsid w:val="007352B7"/>
    <w:rsid w:val="007352CD"/>
    <w:rsid w:val="007353F8"/>
    <w:rsid w:val="00735426"/>
    <w:rsid w:val="007354CB"/>
    <w:rsid w:val="007354E6"/>
    <w:rsid w:val="007354FB"/>
    <w:rsid w:val="00735553"/>
    <w:rsid w:val="00735771"/>
    <w:rsid w:val="007357D5"/>
    <w:rsid w:val="00735AC1"/>
    <w:rsid w:val="00735CA4"/>
    <w:rsid w:val="00735D2D"/>
    <w:rsid w:val="00735D5F"/>
    <w:rsid w:val="00735DEA"/>
    <w:rsid w:val="00735DEC"/>
    <w:rsid w:val="00735DF8"/>
    <w:rsid w:val="00735EEA"/>
    <w:rsid w:val="00735F3C"/>
    <w:rsid w:val="00735F4F"/>
    <w:rsid w:val="00736016"/>
    <w:rsid w:val="00736038"/>
    <w:rsid w:val="0073608B"/>
    <w:rsid w:val="007360DC"/>
    <w:rsid w:val="007360FA"/>
    <w:rsid w:val="007361DD"/>
    <w:rsid w:val="00736354"/>
    <w:rsid w:val="0073640E"/>
    <w:rsid w:val="0073644F"/>
    <w:rsid w:val="007364DF"/>
    <w:rsid w:val="007364F3"/>
    <w:rsid w:val="00736506"/>
    <w:rsid w:val="0073653C"/>
    <w:rsid w:val="00736580"/>
    <w:rsid w:val="007366AF"/>
    <w:rsid w:val="0073677A"/>
    <w:rsid w:val="007367D9"/>
    <w:rsid w:val="007367DB"/>
    <w:rsid w:val="00736807"/>
    <w:rsid w:val="007369DC"/>
    <w:rsid w:val="00736B07"/>
    <w:rsid w:val="00736B21"/>
    <w:rsid w:val="00736BCF"/>
    <w:rsid w:val="00736C33"/>
    <w:rsid w:val="00736C9F"/>
    <w:rsid w:val="00736D55"/>
    <w:rsid w:val="00736D78"/>
    <w:rsid w:val="00736D7C"/>
    <w:rsid w:val="00736D9D"/>
    <w:rsid w:val="00736DB5"/>
    <w:rsid w:val="00736DEA"/>
    <w:rsid w:val="00736E6A"/>
    <w:rsid w:val="00736EB8"/>
    <w:rsid w:val="00736EC2"/>
    <w:rsid w:val="00736F73"/>
    <w:rsid w:val="00736FEF"/>
    <w:rsid w:val="007370B0"/>
    <w:rsid w:val="0073712D"/>
    <w:rsid w:val="007371C5"/>
    <w:rsid w:val="007371D8"/>
    <w:rsid w:val="00737207"/>
    <w:rsid w:val="00737208"/>
    <w:rsid w:val="00737229"/>
    <w:rsid w:val="0073729D"/>
    <w:rsid w:val="007372B5"/>
    <w:rsid w:val="007372C0"/>
    <w:rsid w:val="007373FD"/>
    <w:rsid w:val="0073740A"/>
    <w:rsid w:val="0073742C"/>
    <w:rsid w:val="00737459"/>
    <w:rsid w:val="00737489"/>
    <w:rsid w:val="00737610"/>
    <w:rsid w:val="0073763B"/>
    <w:rsid w:val="0073769D"/>
    <w:rsid w:val="007376BA"/>
    <w:rsid w:val="007376EB"/>
    <w:rsid w:val="00737773"/>
    <w:rsid w:val="00737776"/>
    <w:rsid w:val="00737777"/>
    <w:rsid w:val="007377EB"/>
    <w:rsid w:val="007378CB"/>
    <w:rsid w:val="00737909"/>
    <w:rsid w:val="00737930"/>
    <w:rsid w:val="00737981"/>
    <w:rsid w:val="007379DA"/>
    <w:rsid w:val="00737C4C"/>
    <w:rsid w:val="00737C6B"/>
    <w:rsid w:val="00737CF3"/>
    <w:rsid w:val="00737D07"/>
    <w:rsid w:val="00737DF9"/>
    <w:rsid w:val="00737F45"/>
    <w:rsid w:val="0074004A"/>
    <w:rsid w:val="0074008C"/>
    <w:rsid w:val="007400D7"/>
    <w:rsid w:val="00740211"/>
    <w:rsid w:val="00740224"/>
    <w:rsid w:val="0074022C"/>
    <w:rsid w:val="007402A3"/>
    <w:rsid w:val="007402CE"/>
    <w:rsid w:val="0074041C"/>
    <w:rsid w:val="00740461"/>
    <w:rsid w:val="00740550"/>
    <w:rsid w:val="0074056D"/>
    <w:rsid w:val="007405A2"/>
    <w:rsid w:val="007405B2"/>
    <w:rsid w:val="007405DC"/>
    <w:rsid w:val="0074063B"/>
    <w:rsid w:val="0074063C"/>
    <w:rsid w:val="007406AB"/>
    <w:rsid w:val="0074075E"/>
    <w:rsid w:val="007407BD"/>
    <w:rsid w:val="007407D4"/>
    <w:rsid w:val="007407F6"/>
    <w:rsid w:val="00740929"/>
    <w:rsid w:val="00740A1E"/>
    <w:rsid w:val="00740A92"/>
    <w:rsid w:val="00740B3A"/>
    <w:rsid w:val="00740DA6"/>
    <w:rsid w:val="00740DEA"/>
    <w:rsid w:val="00740F05"/>
    <w:rsid w:val="00740F57"/>
    <w:rsid w:val="00741077"/>
    <w:rsid w:val="0074108E"/>
    <w:rsid w:val="0074111C"/>
    <w:rsid w:val="00741163"/>
    <w:rsid w:val="00741228"/>
    <w:rsid w:val="00741240"/>
    <w:rsid w:val="007412D3"/>
    <w:rsid w:val="0074133C"/>
    <w:rsid w:val="0074137E"/>
    <w:rsid w:val="00741394"/>
    <w:rsid w:val="00741630"/>
    <w:rsid w:val="00741696"/>
    <w:rsid w:val="0074179F"/>
    <w:rsid w:val="007417B8"/>
    <w:rsid w:val="0074193E"/>
    <w:rsid w:val="007419BD"/>
    <w:rsid w:val="00741A1C"/>
    <w:rsid w:val="00741A27"/>
    <w:rsid w:val="00741AC1"/>
    <w:rsid w:val="00741AD8"/>
    <w:rsid w:val="00741B1B"/>
    <w:rsid w:val="00741D90"/>
    <w:rsid w:val="00741EBC"/>
    <w:rsid w:val="00741F77"/>
    <w:rsid w:val="00742059"/>
    <w:rsid w:val="00742062"/>
    <w:rsid w:val="007420AD"/>
    <w:rsid w:val="00742162"/>
    <w:rsid w:val="007421B9"/>
    <w:rsid w:val="00742269"/>
    <w:rsid w:val="00742489"/>
    <w:rsid w:val="0074248B"/>
    <w:rsid w:val="00742524"/>
    <w:rsid w:val="00742541"/>
    <w:rsid w:val="00742555"/>
    <w:rsid w:val="00742625"/>
    <w:rsid w:val="0074263E"/>
    <w:rsid w:val="007426FF"/>
    <w:rsid w:val="0074279A"/>
    <w:rsid w:val="007427A1"/>
    <w:rsid w:val="007427D5"/>
    <w:rsid w:val="0074282E"/>
    <w:rsid w:val="00742860"/>
    <w:rsid w:val="007429F6"/>
    <w:rsid w:val="00742B74"/>
    <w:rsid w:val="00742C88"/>
    <w:rsid w:val="00742CCB"/>
    <w:rsid w:val="00742D0C"/>
    <w:rsid w:val="00742D18"/>
    <w:rsid w:val="00742D85"/>
    <w:rsid w:val="00743056"/>
    <w:rsid w:val="007430FF"/>
    <w:rsid w:val="0074319A"/>
    <w:rsid w:val="007431C8"/>
    <w:rsid w:val="007431CE"/>
    <w:rsid w:val="007431F0"/>
    <w:rsid w:val="00743216"/>
    <w:rsid w:val="00743326"/>
    <w:rsid w:val="00743334"/>
    <w:rsid w:val="007434A9"/>
    <w:rsid w:val="00743680"/>
    <w:rsid w:val="007436A6"/>
    <w:rsid w:val="0074374C"/>
    <w:rsid w:val="007437C1"/>
    <w:rsid w:val="00743817"/>
    <w:rsid w:val="0074381E"/>
    <w:rsid w:val="00743931"/>
    <w:rsid w:val="00743946"/>
    <w:rsid w:val="00743967"/>
    <w:rsid w:val="00743AA6"/>
    <w:rsid w:val="00743AAF"/>
    <w:rsid w:val="00743ADC"/>
    <w:rsid w:val="00743BB2"/>
    <w:rsid w:val="00743D7F"/>
    <w:rsid w:val="00743E5A"/>
    <w:rsid w:val="00743E64"/>
    <w:rsid w:val="00743FF9"/>
    <w:rsid w:val="00744018"/>
    <w:rsid w:val="00744121"/>
    <w:rsid w:val="00744217"/>
    <w:rsid w:val="00744237"/>
    <w:rsid w:val="0074428F"/>
    <w:rsid w:val="00744308"/>
    <w:rsid w:val="0074446D"/>
    <w:rsid w:val="00744496"/>
    <w:rsid w:val="00744568"/>
    <w:rsid w:val="00744570"/>
    <w:rsid w:val="007445FA"/>
    <w:rsid w:val="007446E2"/>
    <w:rsid w:val="00744733"/>
    <w:rsid w:val="00744772"/>
    <w:rsid w:val="00744783"/>
    <w:rsid w:val="00744826"/>
    <w:rsid w:val="0074491A"/>
    <w:rsid w:val="00744931"/>
    <w:rsid w:val="00744950"/>
    <w:rsid w:val="00744A30"/>
    <w:rsid w:val="00744AD8"/>
    <w:rsid w:val="00744AEE"/>
    <w:rsid w:val="00744B78"/>
    <w:rsid w:val="00744B7D"/>
    <w:rsid w:val="00744BD1"/>
    <w:rsid w:val="00744CC6"/>
    <w:rsid w:val="00744CD9"/>
    <w:rsid w:val="00744DD2"/>
    <w:rsid w:val="00744E45"/>
    <w:rsid w:val="00744EAC"/>
    <w:rsid w:val="00744EEC"/>
    <w:rsid w:val="00745068"/>
    <w:rsid w:val="0074508F"/>
    <w:rsid w:val="00745110"/>
    <w:rsid w:val="0074524F"/>
    <w:rsid w:val="007452AF"/>
    <w:rsid w:val="0074533E"/>
    <w:rsid w:val="00745366"/>
    <w:rsid w:val="00745500"/>
    <w:rsid w:val="00745512"/>
    <w:rsid w:val="00745524"/>
    <w:rsid w:val="007455AB"/>
    <w:rsid w:val="007456BB"/>
    <w:rsid w:val="0074576C"/>
    <w:rsid w:val="00745775"/>
    <w:rsid w:val="0074594E"/>
    <w:rsid w:val="00745964"/>
    <w:rsid w:val="007459D6"/>
    <w:rsid w:val="00745AD3"/>
    <w:rsid w:val="00745B18"/>
    <w:rsid w:val="00745C5E"/>
    <w:rsid w:val="00745C94"/>
    <w:rsid w:val="00745CC7"/>
    <w:rsid w:val="00745D84"/>
    <w:rsid w:val="00745DB6"/>
    <w:rsid w:val="00745F3A"/>
    <w:rsid w:val="00745FD2"/>
    <w:rsid w:val="00746014"/>
    <w:rsid w:val="00746051"/>
    <w:rsid w:val="00746127"/>
    <w:rsid w:val="00746133"/>
    <w:rsid w:val="00746186"/>
    <w:rsid w:val="007461FE"/>
    <w:rsid w:val="00746252"/>
    <w:rsid w:val="007462AE"/>
    <w:rsid w:val="007462F2"/>
    <w:rsid w:val="0074633E"/>
    <w:rsid w:val="007463FF"/>
    <w:rsid w:val="00746451"/>
    <w:rsid w:val="00746475"/>
    <w:rsid w:val="00746479"/>
    <w:rsid w:val="00746624"/>
    <w:rsid w:val="00746641"/>
    <w:rsid w:val="007467F2"/>
    <w:rsid w:val="00746974"/>
    <w:rsid w:val="007469A6"/>
    <w:rsid w:val="00746A8F"/>
    <w:rsid w:val="00746B69"/>
    <w:rsid w:val="00746BD7"/>
    <w:rsid w:val="00746D0C"/>
    <w:rsid w:val="00746D25"/>
    <w:rsid w:val="00746DA2"/>
    <w:rsid w:val="00746DB1"/>
    <w:rsid w:val="00746E1A"/>
    <w:rsid w:val="00746F1C"/>
    <w:rsid w:val="00746F64"/>
    <w:rsid w:val="00746FA5"/>
    <w:rsid w:val="00746FAC"/>
    <w:rsid w:val="00746FB0"/>
    <w:rsid w:val="00747094"/>
    <w:rsid w:val="007470BA"/>
    <w:rsid w:val="007470C0"/>
    <w:rsid w:val="007470D4"/>
    <w:rsid w:val="0074727B"/>
    <w:rsid w:val="007472CE"/>
    <w:rsid w:val="007472DA"/>
    <w:rsid w:val="007473FA"/>
    <w:rsid w:val="0074740C"/>
    <w:rsid w:val="00747549"/>
    <w:rsid w:val="0074757C"/>
    <w:rsid w:val="007475A4"/>
    <w:rsid w:val="007475CB"/>
    <w:rsid w:val="007475EC"/>
    <w:rsid w:val="007475FC"/>
    <w:rsid w:val="00747635"/>
    <w:rsid w:val="0074763D"/>
    <w:rsid w:val="00747713"/>
    <w:rsid w:val="00747837"/>
    <w:rsid w:val="00747904"/>
    <w:rsid w:val="00747938"/>
    <w:rsid w:val="0074794D"/>
    <w:rsid w:val="0074797D"/>
    <w:rsid w:val="00747981"/>
    <w:rsid w:val="00747A43"/>
    <w:rsid w:val="00747A65"/>
    <w:rsid w:val="00747ADA"/>
    <w:rsid w:val="00747ADD"/>
    <w:rsid w:val="00747B76"/>
    <w:rsid w:val="00747C2E"/>
    <w:rsid w:val="00747CEB"/>
    <w:rsid w:val="00747E35"/>
    <w:rsid w:val="00747FE3"/>
    <w:rsid w:val="00750074"/>
    <w:rsid w:val="00750234"/>
    <w:rsid w:val="0075031C"/>
    <w:rsid w:val="00750343"/>
    <w:rsid w:val="0075044E"/>
    <w:rsid w:val="00750452"/>
    <w:rsid w:val="00750490"/>
    <w:rsid w:val="007504BA"/>
    <w:rsid w:val="007504C6"/>
    <w:rsid w:val="0075057E"/>
    <w:rsid w:val="00750585"/>
    <w:rsid w:val="00750629"/>
    <w:rsid w:val="00750635"/>
    <w:rsid w:val="007506A0"/>
    <w:rsid w:val="00750709"/>
    <w:rsid w:val="0075079E"/>
    <w:rsid w:val="007508CF"/>
    <w:rsid w:val="00750A0A"/>
    <w:rsid w:val="00750B02"/>
    <w:rsid w:val="00750B74"/>
    <w:rsid w:val="00750C12"/>
    <w:rsid w:val="00750CA7"/>
    <w:rsid w:val="00750D62"/>
    <w:rsid w:val="00750DED"/>
    <w:rsid w:val="00750E56"/>
    <w:rsid w:val="00750E74"/>
    <w:rsid w:val="00750F07"/>
    <w:rsid w:val="00750F4C"/>
    <w:rsid w:val="0075103F"/>
    <w:rsid w:val="007510B7"/>
    <w:rsid w:val="007510C6"/>
    <w:rsid w:val="0075110A"/>
    <w:rsid w:val="00751130"/>
    <w:rsid w:val="00751286"/>
    <w:rsid w:val="00751333"/>
    <w:rsid w:val="007514AE"/>
    <w:rsid w:val="007514CE"/>
    <w:rsid w:val="007515BF"/>
    <w:rsid w:val="0075164E"/>
    <w:rsid w:val="0075175E"/>
    <w:rsid w:val="007517B5"/>
    <w:rsid w:val="0075183F"/>
    <w:rsid w:val="00751858"/>
    <w:rsid w:val="007519C8"/>
    <w:rsid w:val="00751A7D"/>
    <w:rsid w:val="00751B6A"/>
    <w:rsid w:val="00751BC3"/>
    <w:rsid w:val="00751C04"/>
    <w:rsid w:val="00751D48"/>
    <w:rsid w:val="00751D5C"/>
    <w:rsid w:val="00751DCD"/>
    <w:rsid w:val="00751F52"/>
    <w:rsid w:val="00751F6A"/>
    <w:rsid w:val="00751FEF"/>
    <w:rsid w:val="00752008"/>
    <w:rsid w:val="00752088"/>
    <w:rsid w:val="00752149"/>
    <w:rsid w:val="007521EB"/>
    <w:rsid w:val="00752236"/>
    <w:rsid w:val="00752238"/>
    <w:rsid w:val="0075223D"/>
    <w:rsid w:val="007522A6"/>
    <w:rsid w:val="0075233B"/>
    <w:rsid w:val="00752587"/>
    <w:rsid w:val="007526B2"/>
    <w:rsid w:val="00752785"/>
    <w:rsid w:val="00752788"/>
    <w:rsid w:val="007527DA"/>
    <w:rsid w:val="007528BF"/>
    <w:rsid w:val="00752959"/>
    <w:rsid w:val="007529A9"/>
    <w:rsid w:val="007529B0"/>
    <w:rsid w:val="00752AD3"/>
    <w:rsid w:val="00752BA9"/>
    <w:rsid w:val="00752BF0"/>
    <w:rsid w:val="00752BFC"/>
    <w:rsid w:val="00752CAD"/>
    <w:rsid w:val="00752CEC"/>
    <w:rsid w:val="00752D42"/>
    <w:rsid w:val="00752D7A"/>
    <w:rsid w:val="00752DA5"/>
    <w:rsid w:val="00752DD2"/>
    <w:rsid w:val="00752DF2"/>
    <w:rsid w:val="00752E2D"/>
    <w:rsid w:val="00752F3C"/>
    <w:rsid w:val="00753049"/>
    <w:rsid w:val="0075305E"/>
    <w:rsid w:val="0075323C"/>
    <w:rsid w:val="007532B0"/>
    <w:rsid w:val="0075348B"/>
    <w:rsid w:val="007534EE"/>
    <w:rsid w:val="007536A5"/>
    <w:rsid w:val="00753753"/>
    <w:rsid w:val="0075377A"/>
    <w:rsid w:val="007538B1"/>
    <w:rsid w:val="007538EC"/>
    <w:rsid w:val="007538F5"/>
    <w:rsid w:val="00753A9A"/>
    <w:rsid w:val="00753AB7"/>
    <w:rsid w:val="00753AC9"/>
    <w:rsid w:val="00753AE5"/>
    <w:rsid w:val="00753B06"/>
    <w:rsid w:val="00753BC8"/>
    <w:rsid w:val="00753C49"/>
    <w:rsid w:val="00753D4C"/>
    <w:rsid w:val="00753E05"/>
    <w:rsid w:val="00753E3B"/>
    <w:rsid w:val="00753E40"/>
    <w:rsid w:val="00753F57"/>
    <w:rsid w:val="00753F72"/>
    <w:rsid w:val="00753FC3"/>
    <w:rsid w:val="00754170"/>
    <w:rsid w:val="00754172"/>
    <w:rsid w:val="007541F0"/>
    <w:rsid w:val="0075423C"/>
    <w:rsid w:val="007542EC"/>
    <w:rsid w:val="007543F3"/>
    <w:rsid w:val="0075449D"/>
    <w:rsid w:val="007544C3"/>
    <w:rsid w:val="007545FB"/>
    <w:rsid w:val="0075462A"/>
    <w:rsid w:val="00754636"/>
    <w:rsid w:val="0075485B"/>
    <w:rsid w:val="0075485D"/>
    <w:rsid w:val="0075489F"/>
    <w:rsid w:val="00754916"/>
    <w:rsid w:val="0075494E"/>
    <w:rsid w:val="007549F8"/>
    <w:rsid w:val="00754AC1"/>
    <w:rsid w:val="00754BA5"/>
    <w:rsid w:val="00754C66"/>
    <w:rsid w:val="00754DAB"/>
    <w:rsid w:val="00754F06"/>
    <w:rsid w:val="00754FD8"/>
    <w:rsid w:val="0075506F"/>
    <w:rsid w:val="00755075"/>
    <w:rsid w:val="007550F7"/>
    <w:rsid w:val="0075529A"/>
    <w:rsid w:val="00755323"/>
    <w:rsid w:val="00755602"/>
    <w:rsid w:val="00755684"/>
    <w:rsid w:val="007556FB"/>
    <w:rsid w:val="00755731"/>
    <w:rsid w:val="007557A2"/>
    <w:rsid w:val="007557AF"/>
    <w:rsid w:val="007557F5"/>
    <w:rsid w:val="00755874"/>
    <w:rsid w:val="00755876"/>
    <w:rsid w:val="007558D3"/>
    <w:rsid w:val="00755A85"/>
    <w:rsid w:val="00755A99"/>
    <w:rsid w:val="00755AA7"/>
    <w:rsid w:val="00755B0E"/>
    <w:rsid w:val="00755B0F"/>
    <w:rsid w:val="00755BAA"/>
    <w:rsid w:val="00755D65"/>
    <w:rsid w:val="00755E2D"/>
    <w:rsid w:val="00755EB5"/>
    <w:rsid w:val="00755EC3"/>
    <w:rsid w:val="00755F8E"/>
    <w:rsid w:val="00755FEB"/>
    <w:rsid w:val="00756085"/>
    <w:rsid w:val="00756144"/>
    <w:rsid w:val="00756154"/>
    <w:rsid w:val="007561D6"/>
    <w:rsid w:val="007561F2"/>
    <w:rsid w:val="007562C3"/>
    <w:rsid w:val="0075630F"/>
    <w:rsid w:val="00756411"/>
    <w:rsid w:val="00756421"/>
    <w:rsid w:val="007564D9"/>
    <w:rsid w:val="0075663A"/>
    <w:rsid w:val="00756817"/>
    <w:rsid w:val="00756831"/>
    <w:rsid w:val="00756888"/>
    <w:rsid w:val="0075691F"/>
    <w:rsid w:val="007569E4"/>
    <w:rsid w:val="00756B00"/>
    <w:rsid w:val="00756BEE"/>
    <w:rsid w:val="00756C7B"/>
    <w:rsid w:val="00756C80"/>
    <w:rsid w:val="00756CB3"/>
    <w:rsid w:val="00756D5A"/>
    <w:rsid w:val="00756DCB"/>
    <w:rsid w:val="00756DEC"/>
    <w:rsid w:val="00756E54"/>
    <w:rsid w:val="0075706E"/>
    <w:rsid w:val="00757154"/>
    <w:rsid w:val="007572BA"/>
    <w:rsid w:val="0075737D"/>
    <w:rsid w:val="00757573"/>
    <w:rsid w:val="00757589"/>
    <w:rsid w:val="007575B2"/>
    <w:rsid w:val="00757721"/>
    <w:rsid w:val="00757913"/>
    <w:rsid w:val="007579DF"/>
    <w:rsid w:val="00757A2E"/>
    <w:rsid w:val="00757A9B"/>
    <w:rsid w:val="00757C3A"/>
    <w:rsid w:val="00757CD5"/>
    <w:rsid w:val="00757CDB"/>
    <w:rsid w:val="00757CF8"/>
    <w:rsid w:val="00757D39"/>
    <w:rsid w:val="00757D74"/>
    <w:rsid w:val="00757DE2"/>
    <w:rsid w:val="00757F32"/>
    <w:rsid w:val="00757FBB"/>
    <w:rsid w:val="0076001A"/>
    <w:rsid w:val="0076004B"/>
    <w:rsid w:val="007600CA"/>
    <w:rsid w:val="007600CD"/>
    <w:rsid w:val="007601B0"/>
    <w:rsid w:val="0076024C"/>
    <w:rsid w:val="0076025E"/>
    <w:rsid w:val="007602F7"/>
    <w:rsid w:val="007603F4"/>
    <w:rsid w:val="007603F5"/>
    <w:rsid w:val="00760430"/>
    <w:rsid w:val="0076056D"/>
    <w:rsid w:val="00760669"/>
    <w:rsid w:val="00760696"/>
    <w:rsid w:val="007606A7"/>
    <w:rsid w:val="007607C2"/>
    <w:rsid w:val="007607D5"/>
    <w:rsid w:val="007607D7"/>
    <w:rsid w:val="0076081C"/>
    <w:rsid w:val="00760837"/>
    <w:rsid w:val="00760849"/>
    <w:rsid w:val="00760900"/>
    <w:rsid w:val="00760AEE"/>
    <w:rsid w:val="00760C5B"/>
    <w:rsid w:val="00760CB8"/>
    <w:rsid w:val="00760D13"/>
    <w:rsid w:val="00760E00"/>
    <w:rsid w:val="00760F1A"/>
    <w:rsid w:val="00760FB8"/>
    <w:rsid w:val="00760FDD"/>
    <w:rsid w:val="00761014"/>
    <w:rsid w:val="00761046"/>
    <w:rsid w:val="0076107D"/>
    <w:rsid w:val="00761161"/>
    <w:rsid w:val="00761195"/>
    <w:rsid w:val="0076119A"/>
    <w:rsid w:val="007611DE"/>
    <w:rsid w:val="00761394"/>
    <w:rsid w:val="007613C0"/>
    <w:rsid w:val="00761415"/>
    <w:rsid w:val="0076141C"/>
    <w:rsid w:val="00761616"/>
    <w:rsid w:val="00761640"/>
    <w:rsid w:val="00761661"/>
    <w:rsid w:val="007616B7"/>
    <w:rsid w:val="00761728"/>
    <w:rsid w:val="00761791"/>
    <w:rsid w:val="00761815"/>
    <w:rsid w:val="007619BD"/>
    <w:rsid w:val="00761A51"/>
    <w:rsid w:val="00761B51"/>
    <w:rsid w:val="00761BAC"/>
    <w:rsid w:val="00761C26"/>
    <w:rsid w:val="00761CD8"/>
    <w:rsid w:val="00761D6F"/>
    <w:rsid w:val="00761DA2"/>
    <w:rsid w:val="00761DDC"/>
    <w:rsid w:val="00761E44"/>
    <w:rsid w:val="00761EDB"/>
    <w:rsid w:val="00761EE4"/>
    <w:rsid w:val="00761F63"/>
    <w:rsid w:val="00761FCA"/>
    <w:rsid w:val="00762208"/>
    <w:rsid w:val="0076220F"/>
    <w:rsid w:val="007622A3"/>
    <w:rsid w:val="007623C0"/>
    <w:rsid w:val="00762588"/>
    <w:rsid w:val="007625F1"/>
    <w:rsid w:val="0076267D"/>
    <w:rsid w:val="00762735"/>
    <w:rsid w:val="0076287E"/>
    <w:rsid w:val="00762883"/>
    <w:rsid w:val="007628AF"/>
    <w:rsid w:val="007629C6"/>
    <w:rsid w:val="00762A6F"/>
    <w:rsid w:val="00762B25"/>
    <w:rsid w:val="00762B8A"/>
    <w:rsid w:val="00762BF0"/>
    <w:rsid w:val="00762C70"/>
    <w:rsid w:val="00762E0F"/>
    <w:rsid w:val="00762EAE"/>
    <w:rsid w:val="00762F9C"/>
    <w:rsid w:val="00762FB3"/>
    <w:rsid w:val="00763031"/>
    <w:rsid w:val="007630A1"/>
    <w:rsid w:val="00763114"/>
    <w:rsid w:val="00763125"/>
    <w:rsid w:val="00763212"/>
    <w:rsid w:val="007632CB"/>
    <w:rsid w:val="007632F8"/>
    <w:rsid w:val="0076337F"/>
    <w:rsid w:val="007633A9"/>
    <w:rsid w:val="007634ED"/>
    <w:rsid w:val="0076356E"/>
    <w:rsid w:val="007636B8"/>
    <w:rsid w:val="007636C3"/>
    <w:rsid w:val="007637A1"/>
    <w:rsid w:val="007637E2"/>
    <w:rsid w:val="0076387B"/>
    <w:rsid w:val="00763A58"/>
    <w:rsid w:val="00763A6C"/>
    <w:rsid w:val="00763B62"/>
    <w:rsid w:val="00763D27"/>
    <w:rsid w:val="00763D4D"/>
    <w:rsid w:val="00763D80"/>
    <w:rsid w:val="00763EBF"/>
    <w:rsid w:val="00764074"/>
    <w:rsid w:val="007641EB"/>
    <w:rsid w:val="007641FC"/>
    <w:rsid w:val="007642C5"/>
    <w:rsid w:val="00764356"/>
    <w:rsid w:val="00764368"/>
    <w:rsid w:val="0076437B"/>
    <w:rsid w:val="007643EE"/>
    <w:rsid w:val="0076440C"/>
    <w:rsid w:val="007645D7"/>
    <w:rsid w:val="007646B8"/>
    <w:rsid w:val="007646DF"/>
    <w:rsid w:val="00764750"/>
    <w:rsid w:val="0076479E"/>
    <w:rsid w:val="007647E9"/>
    <w:rsid w:val="0076480C"/>
    <w:rsid w:val="00764814"/>
    <w:rsid w:val="00764929"/>
    <w:rsid w:val="00764B49"/>
    <w:rsid w:val="00764B97"/>
    <w:rsid w:val="00764BD9"/>
    <w:rsid w:val="00764C28"/>
    <w:rsid w:val="00764C40"/>
    <w:rsid w:val="00764C6D"/>
    <w:rsid w:val="00764D20"/>
    <w:rsid w:val="00764D87"/>
    <w:rsid w:val="00764DB5"/>
    <w:rsid w:val="00764E55"/>
    <w:rsid w:val="00764EB0"/>
    <w:rsid w:val="00764EE1"/>
    <w:rsid w:val="00765097"/>
    <w:rsid w:val="00765296"/>
    <w:rsid w:val="00765328"/>
    <w:rsid w:val="007653B7"/>
    <w:rsid w:val="007653BB"/>
    <w:rsid w:val="007653D3"/>
    <w:rsid w:val="00765446"/>
    <w:rsid w:val="007654C1"/>
    <w:rsid w:val="00765588"/>
    <w:rsid w:val="007655C2"/>
    <w:rsid w:val="007655C8"/>
    <w:rsid w:val="0076563C"/>
    <w:rsid w:val="00765778"/>
    <w:rsid w:val="0076580E"/>
    <w:rsid w:val="0076589B"/>
    <w:rsid w:val="007658DE"/>
    <w:rsid w:val="00765952"/>
    <w:rsid w:val="00765969"/>
    <w:rsid w:val="0076599E"/>
    <w:rsid w:val="00765B07"/>
    <w:rsid w:val="00765BA5"/>
    <w:rsid w:val="00765C25"/>
    <w:rsid w:val="00765CA4"/>
    <w:rsid w:val="00765D9F"/>
    <w:rsid w:val="00765EC0"/>
    <w:rsid w:val="00765EE8"/>
    <w:rsid w:val="00765EFA"/>
    <w:rsid w:val="00765F04"/>
    <w:rsid w:val="00765F3D"/>
    <w:rsid w:val="00765FCA"/>
    <w:rsid w:val="00766030"/>
    <w:rsid w:val="00766102"/>
    <w:rsid w:val="00766144"/>
    <w:rsid w:val="007661BA"/>
    <w:rsid w:val="00766257"/>
    <w:rsid w:val="007662F7"/>
    <w:rsid w:val="0076631A"/>
    <w:rsid w:val="00766327"/>
    <w:rsid w:val="00766385"/>
    <w:rsid w:val="00766386"/>
    <w:rsid w:val="007663AD"/>
    <w:rsid w:val="007663F9"/>
    <w:rsid w:val="007664D7"/>
    <w:rsid w:val="00766533"/>
    <w:rsid w:val="00766574"/>
    <w:rsid w:val="00766639"/>
    <w:rsid w:val="0076680D"/>
    <w:rsid w:val="0076695F"/>
    <w:rsid w:val="00766A57"/>
    <w:rsid w:val="00766AD8"/>
    <w:rsid w:val="00766BB2"/>
    <w:rsid w:val="00766BBE"/>
    <w:rsid w:val="00766C4F"/>
    <w:rsid w:val="00766D60"/>
    <w:rsid w:val="00766E97"/>
    <w:rsid w:val="00766E9C"/>
    <w:rsid w:val="00766F0D"/>
    <w:rsid w:val="00766F36"/>
    <w:rsid w:val="00766F4C"/>
    <w:rsid w:val="00766FA4"/>
    <w:rsid w:val="00766FF0"/>
    <w:rsid w:val="00767069"/>
    <w:rsid w:val="007670A8"/>
    <w:rsid w:val="00767104"/>
    <w:rsid w:val="007671B3"/>
    <w:rsid w:val="007671EE"/>
    <w:rsid w:val="007672BB"/>
    <w:rsid w:val="0076735C"/>
    <w:rsid w:val="007673CA"/>
    <w:rsid w:val="00767425"/>
    <w:rsid w:val="007674FA"/>
    <w:rsid w:val="007675E5"/>
    <w:rsid w:val="0076761A"/>
    <w:rsid w:val="00767702"/>
    <w:rsid w:val="0076781B"/>
    <w:rsid w:val="007678FB"/>
    <w:rsid w:val="00767918"/>
    <w:rsid w:val="0076794E"/>
    <w:rsid w:val="00767977"/>
    <w:rsid w:val="007679D9"/>
    <w:rsid w:val="00767A52"/>
    <w:rsid w:val="00767ACE"/>
    <w:rsid w:val="00767AD8"/>
    <w:rsid w:val="00767B80"/>
    <w:rsid w:val="00767BEA"/>
    <w:rsid w:val="00767C64"/>
    <w:rsid w:val="00767C92"/>
    <w:rsid w:val="00767CB6"/>
    <w:rsid w:val="00767D75"/>
    <w:rsid w:val="00767DB5"/>
    <w:rsid w:val="00767DBD"/>
    <w:rsid w:val="00767DFB"/>
    <w:rsid w:val="00767EC5"/>
    <w:rsid w:val="00767F72"/>
    <w:rsid w:val="00767FE8"/>
    <w:rsid w:val="0076D796"/>
    <w:rsid w:val="007700BF"/>
    <w:rsid w:val="00770309"/>
    <w:rsid w:val="007703A7"/>
    <w:rsid w:val="007703D6"/>
    <w:rsid w:val="007703F5"/>
    <w:rsid w:val="007704D5"/>
    <w:rsid w:val="00770553"/>
    <w:rsid w:val="00770732"/>
    <w:rsid w:val="007708B3"/>
    <w:rsid w:val="007708C1"/>
    <w:rsid w:val="0077091E"/>
    <w:rsid w:val="00770949"/>
    <w:rsid w:val="00770B29"/>
    <w:rsid w:val="00770BA5"/>
    <w:rsid w:val="00770E4C"/>
    <w:rsid w:val="00770EA9"/>
    <w:rsid w:val="00770F69"/>
    <w:rsid w:val="00770F96"/>
    <w:rsid w:val="0077103D"/>
    <w:rsid w:val="00771111"/>
    <w:rsid w:val="007711D6"/>
    <w:rsid w:val="007712D1"/>
    <w:rsid w:val="00771330"/>
    <w:rsid w:val="00771411"/>
    <w:rsid w:val="0077150A"/>
    <w:rsid w:val="0077152D"/>
    <w:rsid w:val="007715B3"/>
    <w:rsid w:val="007715E1"/>
    <w:rsid w:val="007716DB"/>
    <w:rsid w:val="00771730"/>
    <w:rsid w:val="00771736"/>
    <w:rsid w:val="007717E7"/>
    <w:rsid w:val="00771811"/>
    <w:rsid w:val="00771819"/>
    <w:rsid w:val="007718EF"/>
    <w:rsid w:val="00771975"/>
    <w:rsid w:val="00771A93"/>
    <w:rsid w:val="00771AE6"/>
    <w:rsid w:val="00771B3C"/>
    <w:rsid w:val="00771B70"/>
    <w:rsid w:val="00771C6D"/>
    <w:rsid w:val="00771CCA"/>
    <w:rsid w:val="00771DC4"/>
    <w:rsid w:val="00771E8A"/>
    <w:rsid w:val="00771EA9"/>
    <w:rsid w:val="00771F38"/>
    <w:rsid w:val="00772261"/>
    <w:rsid w:val="00772275"/>
    <w:rsid w:val="0077242F"/>
    <w:rsid w:val="007724B6"/>
    <w:rsid w:val="007724BA"/>
    <w:rsid w:val="0077259A"/>
    <w:rsid w:val="007725AE"/>
    <w:rsid w:val="007725C5"/>
    <w:rsid w:val="0077260C"/>
    <w:rsid w:val="00772626"/>
    <w:rsid w:val="0077262B"/>
    <w:rsid w:val="0077273C"/>
    <w:rsid w:val="007727A8"/>
    <w:rsid w:val="007729B9"/>
    <w:rsid w:val="007729C0"/>
    <w:rsid w:val="00772A91"/>
    <w:rsid w:val="00772AD0"/>
    <w:rsid w:val="00772AEB"/>
    <w:rsid w:val="00772BFE"/>
    <w:rsid w:val="00772C8D"/>
    <w:rsid w:val="00772CBF"/>
    <w:rsid w:val="00772CFE"/>
    <w:rsid w:val="00772D6B"/>
    <w:rsid w:val="00772E3E"/>
    <w:rsid w:val="00772F66"/>
    <w:rsid w:val="0077328B"/>
    <w:rsid w:val="007732A7"/>
    <w:rsid w:val="00773402"/>
    <w:rsid w:val="0077342B"/>
    <w:rsid w:val="00773436"/>
    <w:rsid w:val="0077344F"/>
    <w:rsid w:val="007734FC"/>
    <w:rsid w:val="00773517"/>
    <w:rsid w:val="0077352D"/>
    <w:rsid w:val="0077353E"/>
    <w:rsid w:val="00773562"/>
    <w:rsid w:val="00773586"/>
    <w:rsid w:val="007735BC"/>
    <w:rsid w:val="007735EE"/>
    <w:rsid w:val="007736C0"/>
    <w:rsid w:val="007736C2"/>
    <w:rsid w:val="007736D3"/>
    <w:rsid w:val="00773846"/>
    <w:rsid w:val="007738A8"/>
    <w:rsid w:val="00773955"/>
    <w:rsid w:val="00773963"/>
    <w:rsid w:val="00773AB7"/>
    <w:rsid w:val="00773AE5"/>
    <w:rsid w:val="00773AE7"/>
    <w:rsid w:val="00773B10"/>
    <w:rsid w:val="00773B36"/>
    <w:rsid w:val="00773BB5"/>
    <w:rsid w:val="00773DE9"/>
    <w:rsid w:val="00773E66"/>
    <w:rsid w:val="00774045"/>
    <w:rsid w:val="00774064"/>
    <w:rsid w:val="00774157"/>
    <w:rsid w:val="00774251"/>
    <w:rsid w:val="0077439E"/>
    <w:rsid w:val="0077443A"/>
    <w:rsid w:val="00774461"/>
    <w:rsid w:val="007744DD"/>
    <w:rsid w:val="00774514"/>
    <w:rsid w:val="007745B3"/>
    <w:rsid w:val="007745C6"/>
    <w:rsid w:val="00774629"/>
    <w:rsid w:val="00774745"/>
    <w:rsid w:val="00774797"/>
    <w:rsid w:val="007747FB"/>
    <w:rsid w:val="00774873"/>
    <w:rsid w:val="0077490D"/>
    <w:rsid w:val="00774982"/>
    <w:rsid w:val="007749C7"/>
    <w:rsid w:val="007749CB"/>
    <w:rsid w:val="007749EE"/>
    <w:rsid w:val="00774A28"/>
    <w:rsid w:val="00774B0F"/>
    <w:rsid w:val="00774BF5"/>
    <w:rsid w:val="00774C81"/>
    <w:rsid w:val="00774D75"/>
    <w:rsid w:val="00774D87"/>
    <w:rsid w:val="00774F54"/>
    <w:rsid w:val="00774FBA"/>
    <w:rsid w:val="00774FCB"/>
    <w:rsid w:val="00774FF9"/>
    <w:rsid w:val="007750A5"/>
    <w:rsid w:val="00775124"/>
    <w:rsid w:val="0077514E"/>
    <w:rsid w:val="007751F2"/>
    <w:rsid w:val="007752E1"/>
    <w:rsid w:val="007752E3"/>
    <w:rsid w:val="007752FD"/>
    <w:rsid w:val="0077531F"/>
    <w:rsid w:val="00775332"/>
    <w:rsid w:val="0077542A"/>
    <w:rsid w:val="0077548B"/>
    <w:rsid w:val="0077549C"/>
    <w:rsid w:val="00775598"/>
    <w:rsid w:val="007755D6"/>
    <w:rsid w:val="00775697"/>
    <w:rsid w:val="007756F2"/>
    <w:rsid w:val="0077570F"/>
    <w:rsid w:val="0077578D"/>
    <w:rsid w:val="007757C9"/>
    <w:rsid w:val="00775881"/>
    <w:rsid w:val="0077589D"/>
    <w:rsid w:val="007758F5"/>
    <w:rsid w:val="007759BC"/>
    <w:rsid w:val="00775AE9"/>
    <w:rsid w:val="00775B1B"/>
    <w:rsid w:val="00775BF9"/>
    <w:rsid w:val="00775CE8"/>
    <w:rsid w:val="00775D4B"/>
    <w:rsid w:val="00775DD3"/>
    <w:rsid w:val="007760CC"/>
    <w:rsid w:val="0077615F"/>
    <w:rsid w:val="007761BD"/>
    <w:rsid w:val="00776207"/>
    <w:rsid w:val="0077621F"/>
    <w:rsid w:val="00776298"/>
    <w:rsid w:val="00776379"/>
    <w:rsid w:val="007763A0"/>
    <w:rsid w:val="007764AF"/>
    <w:rsid w:val="00776605"/>
    <w:rsid w:val="0077661A"/>
    <w:rsid w:val="0077665A"/>
    <w:rsid w:val="00776793"/>
    <w:rsid w:val="007767A7"/>
    <w:rsid w:val="0077680E"/>
    <w:rsid w:val="007768A4"/>
    <w:rsid w:val="007768DB"/>
    <w:rsid w:val="00776931"/>
    <w:rsid w:val="0077696F"/>
    <w:rsid w:val="00776A0D"/>
    <w:rsid w:val="00776A78"/>
    <w:rsid w:val="00776AAD"/>
    <w:rsid w:val="00776B14"/>
    <w:rsid w:val="00776C67"/>
    <w:rsid w:val="00776CCE"/>
    <w:rsid w:val="00776D66"/>
    <w:rsid w:val="00776D95"/>
    <w:rsid w:val="00776FBE"/>
    <w:rsid w:val="00776FCF"/>
    <w:rsid w:val="0077703A"/>
    <w:rsid w:val="00777103"/>
    <w:rsid w:val="00777125"/>
    <w:rsid w:val="00777149"/>
    <w:rsid w:val="0077729B"/>
    <w:rsid w:val="007773FA"/>
    <w:rsid w:val="00777414"/>
    <w:rsid w:val="00777430"/>
    <w:rsid w:val="00777447"/>
    <w:rsid w:val="00777478"/>
    <w:rsid w:val="007774CC"/>
    <w:rsid w:val="00777516"/>
    <w:rsid w:val="007775AC"/>
    <w:rsid w:val="0077768C"/>
    <w:rsid w:val="0077772B"/>
    <w:rsid w:val="0077780D"/>
    <w:rsid w:val="0077782D"/>
    <w:rsid w:val="00777831"/>
    <w:rsid w:val="0077783B"/>
    <w:rsid w:val="00777862"/>
    <w:rsid w:val="007778B7"/>
    <w:rsid w:val="0077799F"/>
    <w:rsid w:val="00777A99"/>
    <w:rsid w:val="00777B24"/>
    <w:rsid w:val="00777BBC"/>
    <w:rsid w:val="00777C4C"/>
    <w:rsid w:val="00777C5B"/>
    <w:rsid w:val="00777CAD"/>
    <w:rsid w:val="00777D93"/>
    <w:rsid w:val="00777E3B"/>
    <w:rsid w:val="00777F45"/>
    <w:rsid w:val="00777F6D"/>
    <w:rsid w:val="00777FC2"/>
    <w:rsid w:val="00777FD6"/>
    <w:rsid w:val="0078000E"/>
    <w:rsid w:val="00780050"/>
    <w:rsid w:val="007800A1"/>
    <w:rsid w:val="007800AE"/>
    <w:rsid w:val="007800D4"/>
    <w:rsid w:val="007800E4"/>
    <w:rsid w:val="007800F4"/>
    <w:rsid w:val="00780196"/>
    <w:rsid w:val="007801BB"/>
    <w:rsid w:val="007801E1"/>
    <w:rsid w:val="00780296"/>
    <w:rsid w:val="00780319"/>
    <w:rsid w:val="0078036E"/>
    <w:rsid w:val="00780613"/>
    <w:rsid w:val="0078063F"/>
    <w:rsid w:val="00780646"/>
    <w:rsid w:val="007806D3"/>
    <w:rsid w:val="00780704"/>
    <w:rsid w:val="0078078F"/>
    <w:rsid w:val="00780993"/>
    <w:rsid w:val="007809EA"/>
    <w:rsid w:val="00780A7A"/>
    <w:rsid w:val="00780B47"/>
    <w:rsid w:val="00780BCD"/>
    <w:rsid w:val="00780C03"/>
    <w:rsid w:val="00780C47"/>
    <w:rsid w:val="00780C65"/>
    <w:rsid w:val="00780CAB"/>
    <w:rsid w:val="00780DA3"/>
    <w:rsid w:val="00780E41"/>
    <w:rsid w:val="00780F47"/>
    <w:rsid w:val="00780F69"/>
    <w:rsid w:val="00780FB3"/>
    <w:rsid w:val="00781099"/>
    <w:rsid w:val="007810BA"/>
    <w:rsid w:val="007810F1"/>
    <w:rsid w:val="00781180"/>
    <w:rsid w:val="00781211"/>
    <w:rsid w:val="00781273"/>
    <w:rsid w:val="007812B8"/>
    <w:rsid w:val="007812BF"/>
    <w:rsid w:val="00781379"/>
    <w:rsid w:val="007813B4"/>
    <w:rsid w:val="00781513"/>
    <w:rsid w:val="00781542"/>
    <w:rsid w:val="00781547"/>
    <w:rsid w:val="00781584"/>
    <w:rsid w:val="0078164F"/>
    <w:rsid w:val="007816AE"/>
    <w:rsid w:val="00781748"/>
    <w:rsid w:val="007817E3"/>
    <w:rsid w:val="0078183E"/>
    <w:rsid w:val="00781932"/>
    <w:rsid w:val="00781988"/>
    <w:rsid w:val="00781A56"/>
    <w:rsid w:val="00781ACF"/>
    <w:rsid w:val="00781AFD"/>
    <w:rsid w:val="00781B5D"/>
    <w:rsid w:val="00781B86"/>
    <w:rsid w:val="00781C0F"/>
    <w:rsid w:val="00781C86"/>
    <w:rsid w:val="00781CB7"/>
    <w:rsid w:val="00781CBB"/>
    <w:rsid w:val="00781D72"/>
    <w:rsid w:val="00781D94"/>
    <w:rsid w:val="00781DCE"/>
    <w:rsid w:val="00781E18"/>
    <w:rsid w:val="00781EE6"/>
    <w:rsid w:val="0078207C"/>
    <w:rsid w:val="007820C8"/>
    <w:rsid w:val="00782101"/>
    <w:rsid w:val="00782113"/>
    <w:rsid w:val="0078212E"/>
    <w:rsid w:val="00782132"/>
    <w:rsid w:val="0078218A"/>
    <w:rsid w:val="0078218F"/>
    <w:rsid w:val="0078219C"/>
    <w:rsid w:val="007822E6"/>
    <w:rsid w:val="00782377"/>
    <w:rsid w:val="007823C3"/>
    <w:rsid w:val="007823F5"/>
    <w:rsid w:val="00782446"/>
    <w:rsid w:val="0078247F"/>
    <w:rsid w:val="00782495"/>
    <w:rsid w:val="00782579"/>
    <w:rsid w:val="007825A8"/>
    <w:rsid w:val="00782661"/>
    <w:rsid w:val="0078273D"/>
    <w:rsid w:val="00782795"/>
    <w:rsid w:val="007827B1"/>
    <w:rsid w:val="00782835"/>
    <w:rsid w:val="00782B78"/>
    <w:rsid w:val="00782C5A"/>
    <w:rsid w:val="00782C96"/>
    <w:rsid w:val="00782D11"/>
    <w:rsid w:val="00782E6B"/>
    <w:rsid w:val="00782EFC"/>
    <w:rsid w:val="00782F90"/>
    <w:rsid w:val="0078313E"/>
    <w:rsid w:val="00783196"/>
    <w:rsid w:val="0078324E"/>
    <w:rsid w:val="007832D9"/>
    <w:rsid w:val="007833C0"/>
    <w:rsid w:val="0078352E"/>
    <w:rsid w:val="007835A1"/>
    <w:rsid w:val="007835BF"/>
    <w:rsid w:val="007835F9"/>
    <w:rsid w:val="00783757"/>
    <w:rsid w:val="007837DA"/>
    <w:rsid w:val="007838D8"/>
    <w:rsid w:val="00783900"/>
    <w:rsid w:val="00783908"/>
    <w:rsid w:val="0078392B"/>
    <w:rsid w:val="00783A8B"/>
    <w:rsid w:val="00783D96"/>
    <w:rsid w:val="00783DA4"/>
    <w:rsid w:val="007840E7"/>
    <w:rsid w:val="00784101"/>
    <w:rsid w:val="00784190"/>
    <w:rsid w:val="0078419C"/>
    <w:rsid w:val="007842D9"/>
    <w:rsid w:val="007843A7"/>
    <w:rsid w:val="0078441B"/>
    <w:rsid w:val="007844F2"/>
    <w:rsid w:val="00784509"/>
    <w:rsid w:val="00784566"/>
    <w:rsid w:val="00784621"/>
    <w:rsid w:val="0078463B"/>
    <w:rsid w:val="00784719"/>
    <w:rsid w:val="007848A5"/>
    <w:rsid w:val="007848F9"/>
    <w:rsid w:val="0078491D"/>
    <w:rsid w:val="0078494E"/>
    <w:rsid w:val="00784A0D"/>
    <w:rsid w:val="00784AD5"/>
    <w:rsid w:val="00784BAA"/>
    <w:rsid w:val="00784C06"/>
    <w:rsid w:val="00784C31"/>
    <w:rsid w:val="00784CD3"/>
    <w:rsid w:val="00784D7E"/>
    <w:rsid w:val="00784D84"/>
    <w:rsid w:val="00784DCD"/>
    <w:rsid w:val="00784DD7"/>
    <w:rsid w:val="00784E3A"/>
    <w:rsid w:val="00784F64"/>
    <w:rsid w:val="0078501C"/>
    <w:rsid w:val="0078502B"/>
    <w:rsid w:val="007850A3"/>
    <w:rsid w:val="0078512C"/>
    <w:rsid w:val="00785132"/>
    <w:rsid w:val="00785141"/>
    <w:rsid w:val="007851E3"/>
    <w:rsid w:val="00785261"/>
    <w:rsid w:val="007852CD"/>
    <w:rsid w:val="00785351"/>
    <w:rsid w:val="0078547A"/>
    <w:rsid w:val="007856AD"/>
    <w:rsid w:val="0078572D"/>
    <w:rsid w:val="00785861"/>
    <w:rsid w:val="00785905"/>
    <w:rsid w:val="0078594E"/>
    <w:rsid w:val="00785959"/>
    <w:rsid w:val="007859F7"/>
    <w:rsid w:val="00785A08"/>
    <w:rsid w:val="00785A15"/>
    <w:rsid w:val="00785AD0"/>
    <w:rsid w:val="00785BE2"/>
    <w:rsid w:val="00785C1F"/>
    <w:rsid w:val="00785C25"/>
    <w:rsid w:val="00785C5B"/>
    <w:rsid w:val="00785C67"/>
    <w:rsid w:val="00785D06"/>
    <w:rsid w:val="00785D8B"/>
    <w:rsid w:val="00785DF3"/>
    <w:rsid w:val="00785ECE"/>
    <w:rsid w:val="00785ED2"/>
    <w:rsid w:val="00785F14"/>
    <w:rsid w:val="00785F1A"/>
    <w:rsid w:val="00785F3C"/>
    <w:rsid w:val="00785F48"/>
    <w:rsid w:val="00785F90"/>
    <w:rsid w:val="0078615F"/>
    <w:rsid w:val="007862E4"/>
    <w:rsid w:val="007862FE"/>
    <w:rsid w:val="00786385"/>
    <w:rsid w:val="007865CF"/>
    <w:rsid w:val="00786605"/>
    <w:rsid w:val="007866A5"/>
    <w:rsid w:val="0078674D"/>
    <w:rsid w:val="00786801"/>
    <w:rsid w:val="0078684F"/>
    <w:rsid w:val="00786881"/>
    <w:rsid w:val="00786919"/>
    <w:rsid w:val="0078691A"/>
    <w:rsid w:val="0078695F"/>
    <w:rsid w:val="007869A0"/>
    <w:rsid w:val="00786AA4"/>
    <w:rsid w:val="00786AD8"/>
    <w:rsid w:val="00786B9F"/>
    <w:rsid w:val="00786C0B"/>
    <w:rsid w:val="00786C21"/>
    <w:rsid w:val="00786E05"/>
    <w:rsid w:val="00786E1C"/>
    <w:rsid w:val="00786ECA"/>
    <w:rsid w:val="00786F83"/>
    <w:rsid w:val="0078701A"/>
    <w:rsid w:val="00787083"/>
    <w:rsid w:val="00787137"/>
    <w:rsid w:val="007871BD"/>
    <w:rsid w:val="00787203"/>
    <w:rsid w:val="0078723F"/>
    <w:rsid w:val="007874B8"/>
    <w:rsid w:val="007874D8"/>
    <w:rsid w:val="0078751B"/>
    <w:rsid w:val="007875FF"/>
    <w:rsid w:val="007876A6"/>
    <w:rsid w:val="007878C9"/>
    <w:rsid w:val="00787947"/>
    <w:rsid w:val="00787964"/>
    <w:rsid w:val="007879AE"/>
    <w:rsid w:val="007879D8"/>
    <w:rsid w:val="00787A1E"/>
    <w:rsid w:val="00787ACD"/>
    <w:rsid w:val="00787B07"/>
    <w:rsid w:val="00787CAB"/>
    <w:rsid w:val="00787D38"/>
    <w:rsid w:val="00787D72"/>
    <w:rsid w:val="00787E11"/>
    <w:rsid w:val="00787E61"/>
    <w:rsid w:val="00790019"/>
    <w:rsid w:val="00790031"/>
    <w:rsid w:val="00790147"/>
    <w:rsid w:val="00790165"/>
    <w:rsid w:val="007901AE"/>
    <w:rsid w:val="007901F8"/>
    <w:rsid w:val="00790323"/>
    <w:rsid w:val="00790385"/>
    <w:rsid w:val="00790433"/>
    <w:rsid w:val="0079057C"/>
    <w:rsid w:val="00790648"/>
    <w:rsid w:val="00790677"/>
    <w:rsid w:val="00790807"/>
    <w:rsid w:val="0079090F"/>
    <w:rsid w:val="007909CB"/>
    <w:rsid w:val="00790AF9"/>
    <w:rsid w:val="00790BA5"/>
    <w:rsid w:val="00790D77"/>
    <w:rsid w:val="00791018"/>
    <w:rsid w:val="0079101C"/>
    <w:rsid w:val="0079102B"/>
    <w:rsid w:val="0079107A"/>
    <w:rsid w:val="007910C1"/>
    <w:rsid w:val="00791163"/>
    <w:rsid w:val="007912DA"/>
    <w:rsid w:val="00791319"/>
    <w:rsid w:val="0079138C"/>
    <w:rsid w:val="00791586"/>
    <w:rsid w:val="007918CB"/>
    <w:rsid w:val="00791944"/>
    <w:rsid w:val="007919D2"/>
    <w:rsid w:val="00791A49"/>
    <w:rsid w:val="00791AAA"/>
    <w:rsid w:val="00791B42"/>
    <w:rsid w:val="00791B67"/>
    <w:rsid w:val="00791B85"/>
    <w:rsid w:val="00791BA2"/>
    <w:rsid w:val="00791C1F"/>
    <w:rsid w:val="00791C22"/>
    <w:rsid w:val="00791E30"/>
    <w:rsid w:val="00791EA7"/>
    <w:rsid w:val="007920BE"/>
    <w:rsid w:val="007921E4"/>
    <w:rsid w:val="00792269"/>
    <w:rsid w:val="007923E9"/>
    <w:rsid w:val="007924D9"/>
    <w:rsid w:val="0079255D"/>
    <w:rsid w:val="00792594"/>
    <w:rsid w:val="007925A2"/>
    <w:rsid w:val="00792636"/>
    <w:rsid w:val="0079268C"/>
    <w:rsid w:val="00792771"/>
    <w:rsid w:val="0079284A"/>
    <w:rsid w:val="007928AE"/>
    <w:rsid w:val="00792982"/>
    <w:rsid w:val="00792995"/>
    <w:rsid w:val="00792A8F"/>
    <w:rsid w:val="00792A93"/>
    <w:rsid w:val="00792ACA"/>
    <w:rsid w:val="00792BB1"/>
    <w:rsid w:val="00792C2A"/>
    <w:rsid w:val="00792C6B"/>
    <w:rsid w:val="00792C81"/>
    <w:rsid w:val="00792DD8"/>
    <w:rsid w:val="00792DF7"/>
    <w:rsid w:val="00792E4D"/>
    <w:rsid w:val="00792E5C"/>
    <w:rsid w:val="0079303A"/>
    <w:rsid w:val="00793043"/>
    <w:rsid w:val="00793078"/>
    <w:rsid w:val="0079309F"/>
    <w:rsid w:val="007930AC"/>
    <w:rsid w:val="007931A4"/>
    <w:rsid w:val="007931C7"/>
    <w:rsid w:val="007933AA"/>
    <w:rsid w:val="007933D6"/>
    <w:rsid w:val="00793419"/>
    <w:rsid w:val="00793574"/>
    <w:rsid w:val="007935BD"/>
    <w:rsid w:val="00793697"/>
    <w:rsid w:val="00793788"/>
    <w:rsid w:val="007937D0"/>
    <w:rsid w:val="00793931"/>
    <w:rsid w:val="00793975"/>
    <w:rsid w:val="007939AC"/>
    <w:rsid w:val="007939DF"/>
    <w:rsid w:val="00793AE4"/>
    <w:rsid w:val="00793C33"/>
    <w:rsid w:val="00793CD6"/>
    <w:rsid w:val="00793D97"/>
    <w:rsid w:val="00793DED"/>
    <w:rsid w:val="00793F82"/>
    <w:rsid w:val="00793FB2"/>
    <w:rsid w:val="0079408F"/>
    <w:rsid w:val="007940A2"/>
    <w:rsid w:val="007940C8"/>
    <w:rsid w:val="0079410C"/>
    <w:rsid w:val="00794153"/>
    <w:rsid w:val="00794289"/>
    <w:rsid w:val="007942D5"/>
    <w:rsid w:val="007944AC"/>
    <w:rsid w:val="0079450B"/>
    <w:rsid w:val="007945B3"/>
    <w:rsid w:val="007945E8"/>
    <w:rsid w:val="0079460A"/>
    <w:rsid w:val="00794711"/>
    <w:rsid w:val="00794778"/>
    <w:rsid w:val="00794821"/>
    <w:rsid w:val="00794844"/>
    <w:rsid w:val="00794B64"/>
    <w:rsid w:val="00794C46"/>
    <w:rsid w:val="00794C49"/>
    <w:rsid w:val="00794D74"/>
    <w:rsid w:val="00794E30"/>
    <w:rsid w:val="00794E37"/>
    <w:rsid w:val="00794EE5"/>
    <w:rsid w:val="00794F11"/>
    <w:rsid w:val="00794F97"/>
    <w:rsid w:val="00795021"/>
    <w:rsid w:val="0079514B"/>
    <w:rsid w:val="00795152"/>
    <w:rsid w:val="00795184"/>
    <w:rsid w:val="0079519B"/>
    <w:rsid w:val="00795204"/>
    <w:rsid w:val="0079520D"/>
    <w:rsid w:val="00795424"/>
    <w:rsid w:val="0079543B"/>
    <w:rsid w:val="007954F4"/>
    <w:rsid w:val="007954FA"/>
    <w:rsid w:val="007955AB"/>
    <w:rsid w:val="007955C1"/>
    <w:rsid w:val="00795652"/>
    <w:rsid w:val="00795782"/>
    <w:rsid w:val="007957A1"/>
    <w:rsid w:val="007957CC"/>
    <w:rsid w:val="00795839"/>
    <w:rsid w:val="0079585C"/>
    <w:rsid w:val="007958D2"/>
    <w:rsid w:val="007958ED"/>
    <w:rsid w:val="007958F4"/>
    <w:rsid w:val="00795914"/>
    <w:rsid w:val="00795ADC"/>
    <w:rsid w:val="00795BBE"/>
    <w:rsid w:val="00795BC0"/>
    <w:rsid w:val="00795C0D"/>
    <w:rsid w:val="00795CEB"/>
    <w:rsid w:val="00795D47"/>
    <w:rsid w:val="00795D57"/>
    <w:rsid w:val="00795DDB"/>
    <w:rsid w:val="00795E5F"/>
    <w:rsid w:val="00795EAF"/>
    <w:rsid w:val="00795F4B"/>
    <w:rsid w:val="00795F8E"/>
    <w:rsid w:val="00795FBA"/>
    <w:rsid w:val="0079609E"/>
    <w:rsid w:val="0079610E"/>
    <w:rsid w:val="00796112"/>
    <w:rsid w:val="007962E3"/>
    <w:rsid w:val="0079644D"/>
    <w:rsid w:val="007964B6"/>
    <w:rsid w:val="007965E3"/>
    <w:rsid w:val="007965EC"/>
    <w:rsid w:val="00796683"/>
    <w:rsid w:val="00796697"/>
    <w:rsid w:val="00796816"/>
    <w:rsid w:val="0079682A"/>
    <w:rsid w:val="007968C7"/>
    <w:rsid w:val="007968CD"/>
    <w:rsid w:val="00796974"/>
    <w:rsid w:val="00796AFE"/>
    <w:rsid w:val="00796CBB"/>
    <w:rsid w:val="00796CD6"/>
    <w:rsid w:val="00796D68"/>
    <w:rsid w:val="00796D81"/>
    <w:rsid w:val="00796F7A"/>
    <w:rsid w:val="00796FEB"/>
    <w:rsid w:val="0079706C"/>
    <w:rsid w:val="00797152"/>
    <w:rsid w:val="007973DA"/>
    <w:rsid w:val="007973F3"/>
    <w:rsid w:val="00797407"/>
    <w:rsid w:val="0079742D"/>
    <w:rsid w:val="00797447"/>
    <w:rsid w:val="0079745E"/>
    <w:rsid w:val="00797546"/>
    <w:rsid w:val="0079758B"/>
    <w:rsid w:val="007975EE"/>
    <w:rsid w:val="00797786"/>
    <w:rsid w:val="00797797"/>
    <w:rsid w:val="0079784C"/>
    <w:rsid w:val="00797889"/>
    <w:rsid w:val="0079788B"/>
    <w:rsid w:val="007978E8"/>
    <w:rsid w:val="00797903"/>
    <w:rsid w:val="0079791E"/>
    <w:rsid w:val="0079793C"/>
    <w:rsid w:val="00797A83"/>
    <w:rsid w:val="00797BB4"/>
    <w:rsid w:val="00797BEF"/>
    <w:rsid w:val="00797C91"/>
    <w:rsid w:val="00797D38"/>
    <w:rsid w:val="00797D65"/>
    <w:rsid w:val="00797DD4"/>
    <w:rsid w:val="00797F17"/>
    <w:rsid w:val="007A006B"/>
    <w:rsid w:val="007A00B7"/>
    <w:rsid w:val="007A00DD"/>
    <w:rsid w:val="007A015E"/>
    <w:rsid w:val="007A0181"/>
    <w:rsid w:val="007A01FE"/>
    <w:rsid w:val="007A0259"/>
    <w:rsid w:val="007A0281"/>
    <w:rsid w:val="007A02A1"/>
    <w:rsid w:val="007A02BA"/>
    <w:rsid w:val="007A0338"/>
    <w:rsid w:val="007A03E2"/>
    <w:rsid w:val="007A0428"/>
    <w:rsid w:val="007A05D1"/>
    <w:rsid w:val="007A072E"/>
    <w:rsid w:val="007A0746"/>
    <w:rsid w:val="007A085D"/>
    <w:rsid w:val="007A091E"/>
    <w:rsid w:val="007A093A"/>
    <w:rsid w:val="007A0A7F"/>
    <w:rsid w:val="007A0A90"/>
    <w:rsid w:val="007A0AF1"/>
    <w:rsid w:val="007A0BE5"/>
    <w:rsid w:val="007A0C1C"/>
    <w:rsid w:val="007A0CE6"/>
    <w:rsid w:val="007A0F57"/>
    <w:rsid w:val="007A0F94"/>
    <w:rsid w:val="007A114D"/>
    <w:rsid w:val="007A11AB"/>
    <w:rsid w:val="007A1380"/>
    <w:rsid w:val="007A13AD"/>
    <w:rsid w:val="007A13EF"/>
    <w:rsid w:val="007A13F0"/>
    <w:rsid w:val="007A145E"/>
    <w:rsid w:val="007A1470"/>
    <w:rsid w:val="007A14EF"/>
    <w:rsid w:val="007A150E"/>
    <w:rsid w:val="007A15BC"/>
    <w:rsid w:val="007A15F7"/>
    <w:rsid w:val="007A1690"/>
    <w:rsid w:val="007A16A2"/>
    <w:rsid w:val="007A17C8"/>
    <w:rsid w:val="007A1816"/>
    <w:rsid w:val="007A18FF"/>
    <w:rsid w:val="007A192C"/>
    <w:rsid w:val="007A1970"/>
    <w:rsid w:val="007A1984"/>
    <w:rsid w:val="007A19D6"/>
    <w:rsid w:val="007A1A08"/>
    <w:rsid w:val="007A1A5B"/>
    <w:rsid w:val="007A1A65"/>
    <w:rsid w:val="007A1ACE"/>
    <w:rsid w:val="007A1B24"/>
    <w:rsid w:val="007A1BD7"/>
    <w:rsid w:val="007A1BF2"/>
    <w:rsid w:val="007A1C2C"/>
    <w:rsid w:val="007A1C42"/>
    <w:rsid w:val="007A1D17"/>
    <w:rsid w:val="007A1E23"/>
    <w:rsid w:val="007A1E43"/>
    <w:rsid w:val="007A1EAA"/>
    <w:rsid w:val="007A1F2E"/>
    <w:rsid w:val="007A20E0"/>
    <w:rsid w:val="007A2101"/>
    <w:rsid w:val="007A217E"/>
    <w:rsid w:val="007A2247"/>
    <w:rsid w:val="007A224F"/>
    <w:rsid w:val="007A23FA"/>
    <w:rsid w:val="007A24DD"/>
    <w:rsid w:val="007A2503"/>
    <w:rsid w:val="007A2662"/>
    <w:rsid w:val="007A2675"/>
    <w:rsid w:val="007A2884"/>
    <w:rsid w:val="007A28AE"/>
    <w:rsid w:val="007A29B4"/>
    <w:rsid w:val="007A29E5"/>
    <w:rsid w:val="007A2C62"/>
    <w:rsid w:val="007A2CA0"/>
    <w:rsid w:val="007A2CA8"/>
    <w:rsid w:val="007A2D7C"/>
    <w:rsid w:val="007A2E50"/>
    <w:rsid w:val="007A2E9E"/>
    <w:rsid w:val="007A2F25"/>
    <w:rsid w:val="007A3011"/>
    <w:rsid w:val="007A305A"/>
    <w:rsid w:val="007A3070"/>
    <w:rsid w:val="007A3188"/>
    <w:rsid w:val="007A31FE"/>
    <w:rsid w:val="007A3284"/>
    <w:rsid w:val="007A32DE"/>
    <w:rsid w:val="007A3323"/>
    <w:rsid w:val="007A33CD"/>
    <w:rsid w:val="007A343B"/>
    <w:rsid w:val="007A349F"/>
    <w:rsid w:val="007A34F3"/>
    <w:rsid w:val="007A3512"/>
    <w:rsid w:val="007A358D"/>
    <w:rsid w:val="007A3674"/>
    <w:rsid w:val="007A36A1"/>
    <w:rsid w:val="007A3743"/>
    <w:rsid w:val="007A3777"/>
    <w:rsid w:val="007A3851"/>
    <w:rsid w:val="007A3890"/>
    <w:rsid w:val="007A3891"/>
    <w:rsid w:val="007A3897"/>
    <w:rsid w:val="007A3912"/>
    <w:rsid w:val="007A3929"/>
    <w:rsid w:val="007A3A31"/>
    <w:rsid w:val="007A3B85"/>
    <w:rsid w:val="007A3C3B"/>
    <w:rsid w:val="007A3CAC"/>
    <w:rsid w:val="007A3D09"/>
    <w:rsid w:val="007A3D42"/>
    <w:rsid w:val="007A3E1E"/>
    <w:rsid w:val="007A3E42"/>
    <w:rsid w:val="007A3E6D"/>
    <w:rsid w:val="007A3EEE"/>
    <w:rsid w:val="007A3F9A"/>
    <w:rsid w:val="007A3FD5"/>
    <w:rsid w:val="007A41A6"/>
    <w:rsid w:val="007A43BE"/>
    <w:rsid w:val="007A4534"/>
    <w:rsid w:val="007A45DE"/>
    <w:rsid w:val="007A4613"/>
    <w:rsid w:val="007A4831"/>
    <w:rsid w:val="007A4A11"/>
    <w:rsid w:val="007A4A60"/>
    <w:rsid w:val="007A4ACA"/>
    <w:rsid w:val="007A4B38"/>
    <w:rsid w:val="007A4B59"/>
    <w:rsid w:val="007A4D98"/>
    <w:rsid w:val="007A4E3A"/>
    <w:rsid w:val="007A4E6A"/>
    <w:rsid w:val="007A4E96"/>
    <w:rsid w:val="007A4EC8"/>
    <w:rsid w:val="007A4F0E"/>
    <w:rsid w:val="007A4F8C"/>
    <w:rsid w:val="007A4FA7"/>
    <w:rsid w:val="007A4FDB"/>
    <w:rsid w:val="007A50BE"/>
    <w:rsid w:val="007A5245"/>
    <w:rsid w:val="007A5271"/>
    <w:rsid w:val="007A5309"/>
    <w:rsid w:val="007A544F"/>
    <w:rsid w:val="007A5622"/>
    <w:rsid w:val="007A56DE"/>
    <w:rsid w:val="007A5730"/>
    <w:rsid w:val="007A5761"/>
    <w:rsid w:val="007A57C0"/>
    <w:rsid w:val="007A581C"/>
    <w:rsid w:val="007A5876"/>
    <w:rsid w:val="007A587D"/>
    <w:rsid w:val="007A5891"/>
    <w:rsid w:val="007A5963"/>
    <w:rsid w:val="007A5A7B"/>
    <w:rsid w:val="007A5AD3"/>
    <w:rsid w:val="007A5C89"/>
    <w:rsid w:val="007A5D1E"/>
    <w:rsid w:val="007A5DDD"/>
    <w:rsid w:val="007A5E7F"/>
    <w:rsid w:val="007A5F83"/>
    <w:rsid w:val="007A5FF5"/>
    <w:rsid w:val="007A6016"/>
    <w:rsid w:val="007A602C"/>
    <w:rsid w:val="007A6088"/>
    <w:rsid w:val="007A60AE"/>
    <w:rsid w:val="007A615E"/>
    <w:rsid w:val="007A6203"/>
    <w:rsid w:val="007A6228"/>
    <w:rsid w:val="007A622C"/>
    <w:rsid w:val="007A627E"/>
    <w:rsid w:val="007A63E2"/>
    <w:rsid w:val="007A63E8"/>
    <w:rsid w:val="007A652E"/>
    <w:rsid w:val="007A66BD"/>
    <w:rsid w:val="007A66D4"/>
    <w:rsid w:val="007A6765"/>
    <w:rsid w:val="007A6851"/>
    <w:rsid w:val="007A690C"/>
    <w:rsid w:val="007A6945"/>
    <w:rsid w:val="007A69F0"/>
    <w:rsid w:val="007A6A55"/>
    <w:rsid w:val="007A6A8D"/>
    <w:rsid w:val="007A6B76"/>
    <w:rsid w:val="007A6BC0"/>
    <w:rsid w:val="007A6C7A"/>
    <w:rsid w:val="007A6D09"/>
    <w:rsid w:val="007A6D45"/>
    <w:rsid w:val="007A6E83"/>
    <w:rsid w:val="007A6F57"/>
    <w:rsid w:val="007A7028"/>
    <w:rsid w:val="007A7029"/>
    <w:rsid w:val="007A7123"/>
    <w:rsid w:val="007A7454"/>
    <w:rsid w:val="007A76D6"/>
    <w:rsid w:val="007A7707"/>
    <w:rsid w:val="007A7755"/>
    <w:rsid w:val="007A77B6"/>
    <w:rsid w:val="007A78BF"/>
    <w:rsid w:val="007A7939"/>
    <w:rsid w:val="007A79EC"/>
    <w:rsid w:val="007A79F4"/>
    <w:rsid w:val="007A7A19"/>
    <w:rsid w:val="007A7B1F"/>
    <w:rsid w:val="007A7B81"/>
    <w:rsid w:val="007A7B8F"/>
    <w:rsid w:val="007A7C89"/>
    <w:rsid w:val="007A7C95"/>
    <w:rsid w:val="007A7C96"/>
    <w:rsid w:val="007A7C9E"/>
    <w:rsid w:val="007A7D15"/>
    <w:rsid w:val="007A7E4D"/>
    <w:rsid w:val="007A7E6A"/>
    <w:rsid w:val="007A7EAC"/>
    <w:rsid w:val="007A7EB0"/>
    <w:rsid w:val="007A7F78"/>
    <w:rsid w:val="007B0071"/>
    <w:rsid w:val="007B01DD"/>
    <w:rsid w:val="007B0214"/>
    <w:rsid w:val="007B035C"/>
    <w:rsid w:val="007B03B5"/>
    <w:rsid w:val="007B03E9"/>
    <w:rsid w:val="007B041B"/>
    <w:rsid w:val="007B0439"/>
    <w:rsid w:val="007B051E"/>
    <w:rsid w:val="007B0571"/>
    <w:rsid w:val="007B05AE"/>
    <w:rsid w:val="007B05C4"/>
    <w:rsid w:val="007B05C8"/>
    <w:rsid w:val="007B05C9"/>
    <w:rsid w:val="007B0622"/>
    <w:rsid w:val="007B0642"/>
    <w:rsid w:val="007B06DF"/>
    <w:rsid w:val="007B0722"/>
    <w:rsid w:val="007B085A"/>
    <w:rsid w:val="007B0929"/>
    <w:rsid w:val="007B0A96"/>
    <w:rsid w:val="007B0B3C"/>
    <w:rsid w:val="007B0C8E"/>
    <w:rsid w:val="007B0D28"/>
    <w:rsid w:val="007B0E23"/>
    <w:rsid w:val="007B0E3C"/>
    <w:rsid w:val="007B0EA9"/>
    <w:rsid w:val="007B0FC6"/>
    <w:rsid w:val="007B100B"/>
    <w:rsid w:val="007B1033"/>
    <w:rsid w:val="007B1041"/>
    <w:rsid w:val="007B109B"/>
    <w:rsid w:val="007B11CB"/>
    <w:rsid w:val="007B1234"/>
    <w:rsid w:val="007B1249"/>
    <w:rsid w:val="007B1256"/>
    <w:rsid w:val="007B1338"/>
    <w:rsid w:val="007B1358"/>
    <w:rsid w:val="007B1497"/>
    <w:rsid w:val="007B1526"/>
    <w:rsid w:val="007B1535"/>
    <w:rsid w:val="007B1695"/>
    <w:rsid w:val="007B1742"/>
    <w:rsid w:val="007B1942"/>
    <w:rsid w:val="007B19EB"/>
    <w:rsid w:val="007B19EC"/>
    <w:rsid w:val="007B1AA8"/>
    <w:rsid w:val="007B1B39"/>
    <w:rsid w:val="007B1BD9"/>
    <w:rsid w:val="007B1CB0"/>
    <w:rsid w:val="007B1D24"/>
    <w:rsid w:val="007B1DE0"/>
    <w:rsid w:val="007B1E23"/>
    <w:rsid w:val="007B1F94"/>
    <w:rsid w:val="007B1FBD"/>
    <w:rsid w:val="007B207F"/>
    <w:rsid w:val="007B21D0"/>
    <w:rsid w:val="007B222E"/>
    <w:rsid w:val="007B2289"/>
    <w:rsid w:val="007B2299"/>
    <w:rsid w:val="007B2342"/>
    <w:rsid w:val="007B2353"/>
    <w:rsid w:val="007B2412"/>
    <w:rsid w:val="007B24BD"/>
    <w:rsid w:val="007B24DD"/>
    <w:rsid w:val="007B24E2"/>
    <w:rsid w:val="007B24FB"/>
    <w:rsid w:val="007B251B"/>
    <w:rsid w:val="007B258F"/>
    <w:rsid w:val="007B263B"/>
    <w:rsid w:val="007B26DE"/>
    <w:rsid w:val="007B2775"/>
    <w:rsid w:val="007B27CA"/>
    <w:rsid w:val="007B2895"/>
    <w:rsid w:val="007B28E2"/>
    <w:rsid w:val="007B2927"/>
    <w:rsid w:val="007B2966"/>
    <w:rsid w:val="007B2A0C"/>
    <w:rsid w:val="007B2AA3"/>
    <w:rsid w:val="007B2AC9"/>
    <w:rsid w:val="007B2B17"/>
    <w:rsid w:val="007B2B1E"/>
    <w:rsid w:val="007B2B2C"/>
    <w:rsid w:val="007B2B4F"/>
    <w:rsid w:val="007B2BDE"/>
    <w:rsid w:val="007B2DA0"/>
    <w:rsid w:val="007B2DD0"/>
    <w:rsid w:val="007B2F31"/>
    <w:rsid w:val="007B2FB7"/>
    <w:rsid w:val="007B2FC2"/>
    <w:rsid w:val="007B2FE6"/>
    <w:rsid w:val="007B3007"/>
    <w:rsid w:val="007B30D7"/>
    <w:rsid w:val="007B317A"/>
    <w:rsid w:val="007B3324"/>
    <w:rsid w:val="007B376D"/>
    <w:rsid w:val="007B376F"/>
    <w:rsid w:val="007B3810"/>
    <w:rsid w:val="007B3841"/>
    <w:rsid w:val="007B3A19"/>
    <w:rsid w:val="007B3BB8"/>
    <w:rsid w:val="007B3C26"/>
    <w:rsid w:val="007B3C2F"/>
    <w:rsid w:val="007B3C46"/>
    <w:rsid w:val="007B3D7C"/>
    <w:rsid w:val="007B3E35"/>
    <w:rsid w:val="007B3E6F"/>
    <w:rsid w:val="007B3E9C"/>
    <w:rsid w:val="007B3F7F"/>
    <w:rsid w:val="007B3F80"/>
    <w:rsid w:val="007B406F"/>
    <w:rsid w:val="007B4075"/>
    <w:rsid w:val="007B4221"/>
    <w:rsid w:val="007B425A"/>
    <w:rsid w:val="007B42BE"/>
    <w:rsid w:val="007B4465"/>
    <w:rsid w:val="007B459C"/>
    <w:rsid w:val="007B45BB"/>
    <w:rsid w:val="007B45CE"/>
    <w:rsid w:val="007B466F"/>
    <w:rsid w:val="007B46A8"/>
    <w:rsid w:val="007B46CB"/>
    <w:rsid w:val="007B4863"/>
    <w:rsid w:val="007B4973"/>
    <w:rsid w:val="007B49F5"/>
    <w:rsid w:val="007B4A27"/>
    <w:rsid w:val="007B4B7C"/>
    <w:rsid w:val="007B4B99"/>
    <w:rsid w:val="007B4B9B"/>
    <w:rsid w:val="007B4BB7"/>
    <w:rsid w:val="007B4D7E"/>
    <w:rsid w:val="007B4D89"/>
    <w:rsid w:val="007B4EDA"/>
    <w:rsid w:val="007B4EF2"/>
    <w:rsid w:val="007B4FFA"/>
    <w:rsid w:val="007B5085"/>
    <w:rsid w:val="007B50EA"/>
    <w:rsid w:val="007B51C7"/>
    <w:rsid w:val="007B52C6"/>
    <w:rsid w:val="007B52F3"/>
    <w:rsid w:val="007B53BD"/>
    <w:rsid w:val="007B548E"/>
    <w:rsid w:val="007B54B7"/>
    <w:rsid w:val="007B57D1"/>
    <w:rsid w:val="007B57FC"/>
    <w:rsid w:val="007B591A"/>
    <w:rsid w:val="007B5B1B"/>
    <w:rsid w:val="007B5B39"/>
    <w:rsid w:val="007B5B6E"/>
    <w:rsid w:val="007B5C20"/>
    <w:rsid w:val="007B5C52"/>
    <w:rsid w:val="007B5E25"/>
    <w:rsid w:val="007B5F87"/>
    <w:rsid w:val="007B6072"/>
    <w:rsid w:val="007B61BB"/>
    <w:rsid w:val="007B61DB"/>
    <w:rsid w:val="007B6214"/>
    <w:rsid w:val="007B625C"/>
    <w:rsid w:val="007B62E4"/>
    <w:rsid w:val="007B647A"/>
    <w:rsid w:val="007B65B7"/>
    <w:rsid w:val="007B6604"/>
    <w:rsid w:val="007B667B"/>
    <w:rsid w:val="007B670B"/>
    <w:rsid w:val="007B68B0"/>
    <w:rsid w:val="007B6A99"/>
    <w:rsid w:val="007B6B62"/>
    <w:rsid w:val="007B6C6B"/>
    <w:rsid w:val="007B6C8A"/>
    <w:rsid w:val="007B6C9A"/>
    <w:rsid w:val="007B6CD9"/>
    <w:rsid w:val="007B6EBA"/>
    <w:rsid w:val="007B6EE0"/>
    <w:rsid w:val="007B6EF5"/>
    <w:rsid w:val="007B6F93"/>
    <w:rsid w:val="007B70FD"/>
    <w:rsid w:val="007B7154"/>
    <w:rsid w:val="007B72E1"/>
    <w:rsid w:val="007B73A1"/>
    <w:rsid w:val="007B73ED"/>
    <w:rsid w:val="007B743D"/>
    <w:rsid w:val="007B74D3"/>
    <w:rsid w:val="007B754A"/>
    <w:rsid w:val="007B75BD"/>
    <w:rsid w:val="007B75CC"/>
    <w:rsid w:val="007B7633"/>
    <w:rsid w:val="007B76B3"/>
    <w:rsid w:val="007B7704"/>
    <w:rsid w:val="007B773D"/>
    <w:rsid w:val="007B782C"/>
    <w:rsid w:val="007B789E"/>
    <w:rsid w:val="007B7A27"/>
    <w:rsid w:val="007B7AFE"/>
    <w:rsid w:val="007B7B14"/>
    <w:rsid w:val="007B7B66"/>
    <w:rsid w:val="007B7DA3"/>
    <w:rsid w:val="007B7E16"/>
    <w:rsid w:val="007B7E4F"/>
    <w:rsid w:val="007B7F6D"/>
    <w:rsid w:val="007B7FCE"/>
    <w:rsid w:val="007B7FD9"/>
    <w:rsid w:val="007C015B"/>
    <w:rsid w:val="007C01C2"/>
    <w:rsid w:val="007C021F"/>
    <w:rsid w:val="007C02E8"/>
    <w:rsid w:val="007C033C"/>
    <w:rsid w:val="007C036A"/>
    <w:rsid w:val="007C03A3"/>
    <w:rsid w:val="007C0523"/>
    <w:rsid w:val="007C05A0"/>
    <w:rsid w:val="007C06DE"/>
    <w:rsid w:val="007C0705"/>
    <w:rsid w:val="007C074D"/>
    <w:rsid w:val="007C0841"/>
    <w:rsid w:val="007C088C"/>
    <w:rsid w:val="007C08BF"/>
    <w:rsid w:val="007C0AE5"/>
    <w:rsid w:val="007C0B38"/>
    <w:rsid w:val="007C0B78"/>
    <w:rsid w:val="007C0C4C"/>
    <w:rsid w:val="007C0C9F"/>
    <w:rsid w:val="007C0D33"/>
    <w:rsid w:val="007C0D34"/>
    <w:rsid w:val="007C0DAB"/>
    <w:rsid w:val="007C0E49"/>
    <w:rsid w:val="007C0EBF"/>
    <w:rsid w:val="007C0EC4"/>
    <w:rsid w:val="007C0F0A"/>
    <w:rsid w:val="007C0F4E"/>
    <w:rsid w:val="007C0F7D"/>
    <w:rsid w:val="007C10C0"/>
    <w:rsid w:val="007C10F8"/>
    <w:rsid w:val="007C12FA"/>
    <w:rsid w:val="007C1345"/>
    <w:rsid w:val="007C13E0"/>
    <w:rsid w:val="007C13F1"/>
    <w:rsid w:val="007C146D"/>
    <w:rsid w:val="007C14A1"/>
    <w:rsid w:val="007C1604"/>
    <w:rsid w:val="007C1681"/>
    <w:rsid w:val="007C16C9"/>
    <w:rsid w:val="007C16D8"/>
    <w:rsid w:val="007C1703"/>
    <w:rsid w:val="007C174E"/>
    <w:rsid w:val="007C17D7"/>
    <w:rsid w:val="007C18D7"/>
    <w:rsid w:val="007C1969"/>
    <w:rsid w:val="007C196B"/>
    <w:rsid w:val="007C19BE"/>
    <w:rsid w:val="007C19DD"/>
    <w:rsid w:val="007C1A20"/>
    <w:rsid w:val="007C1AAA"/>
    <w:rsid w:val="007C1ACB"/>
    <w:rsid w:val="007C1AEE"/>
    <w:rsid w:val="007C1B81"/>
    <w:rsid w:val="007C1C1A"/>
    <w:rsid w:val="007C1C65"/>
    <w:rsid w:val="007C1C87"/>
    <w:rsid w:val="007C1D71"/>
    <w:rsid w:val="007C1DE9"/>
    <w:rsid w:val="007C1ECA"/>
    <w:rsid w:val="007C1ECB"/>
    <w:rsid w:val="007C1F0D"/>
    <w:rsid w:val="007C200E"/>
    <w:rsid w:val="007C20FD"/>
    <w:rsid w:val="007C2186"/>
    <w:rsid w:val="007C21C6"/>
    <w:rsid w:val="007C2277"/>
    <w:rsid w:val="007C232A"/>
    <w:rsid w:val="007C2340"/>
    <w:rsid w:val="007C2383"/>
    <w:rsid w:val="007C23E6"/>
    <w:rsid w:val="007C254F"/>
    <w:rsid w:val="007C2577"/>
    <w:rsid w:val="007C25A8"/>
    <w:rsid w:val="007C25D9"/>
    <w:rsid w:val="007C25E0"/>
    <w:rsid w:val="007C2622"/>
    <w:rsid w:val="007C2660"/>
    <w:rsid w:val="007C27EC"/>
    <w:rsid w:val="007C2891"/>
    <w:rsid w:val="007C28C7"/>
    <w:rsid w:val="007C2AF2"/>
    <w:rsid w:val="007C2B00"/>
    <w:rsid w:val="007C2B6D"/>
    <w:rsid w:val="007C2BAF"/>
    <w:rsid w:val="007C2BEB"/>
    <w:rsid w:val="007C2CAA"/>
    <w:rsid w:val="007C2D23"/>
    <w:rsid w:val="007C2DB1"/>
    <w:rsid w:val="007C2DD1"/>
    <w:rsid w:val="007C2DD8"/>
    <w:rsid w:val="007C2E31"/>
    <w:rsid w:val="007C2EB3"/>
    <w:rsid w:val="007C2ED4"/>
    <w:rsid w:val="007C2FD3"/>
    <w:rsid w:val="007C2FEA"/>
    <w:rsid w:val="007C30DB"/>
    <w:rsid w:val="007C313E"/>
    <w:rsid w:val="007C31F1"/>
    <w:rsid w:val="007C32F3"/>
    <w:rsid w:val="007C32FD"/>
    <w:rsid w:val="007C3396"/>
    <w:rsid w:val="007C33AF"/>
    <w:rsid w:val="007C343C"/>
    <w:rsid w:val="007C3518"/>
    <w:rsid w:val="007C3606"/>
    <w:rsid w:val="007C3655"/>
    <w:rsid w:val="007C36A4"/>
    <w:rsid w:val="007C36BD"/>
    <w:rsid w:val="007C3820"/>
    <w:rsid w:val="007C38B6"/>
    <w:rsid w:val="007C38FD"/>
    <w:rsid w:val="007C3A76"/>
    <w:rsid w:val="007C3B5D"/>
    <w:rsid w:val="007C3C4A"/>
    <w:rsid w:val="007C3D24"/>
    <w:rsid w:val="007C3D38"/>
    <w:rsid w:val="007C3D81"/>
    <w:rsid w:val="007C3DAB"/>
    <w:rsid w:val="007C3E33"/>
    <w:rsid w:val="007C3E8A"/>
    <w:rsid w:val="007C40D8"/>
    <w:rsid w:val="007C40F2"/>
    <w:rsid w:val="007C4240"/>
    <w:rsid w:val="007C4281"/>
    <w:rsid w:val="007C42BC"/>
    <w:rsid w:val="007C4361"/>
    <w:rsid w:val="007C436C"/>
    <w:rsid w:val="007C43CA"/>
    <w:rsid w:val="007C43F0"/>
    <w:rsid w:val="007C4464"/>
    <w:rsid w:val="007C4524"/>
    <w:rsid w:val="007C4599"/>
    <w:rsid w:val="007C46B1"/>
    <w:rsid w:val="007C476B"/>
    <w:rsid w:val="007C47AA"/>
    <w:rsid w:val="007C48D6"/>
    <w:rsid w:val="007C494F"/>
    <w:rsid w:val="007C49D1"/>
    <w:rsid w:val="007C4ADB"/>
    <w:rsid w:val="007C4B30"/>
    <w:rsid w:val="007C4BBF"/>
    <w:rsid w:val="007C4D3C"/>
    <w:rsid w:val="007C4D5F"/>
    <w:rsid w:val="007C4E4A"/>
    <w:rsid w:val="007C4EB6"/>
    <w:rsid w:val="007C4F08"/>
    <w:rsid w:val="007C4F31"/>
    <w:rsid w:val="007C506F"/>
    <w:rsid w:val="007C50A0"/>
    <w:rsid w:val="007C5184"/>
    <w:rsid w:val="007C51D6"/>
    <w:rsid w:val="007C52E6"/>
    <w:rsid w:val="007C54FB"/>
    <w:rsid w:val="007C551B"/>
    <w:rsid w:val="007C558A"/>
    <w:rsid w:val="007C563C"/>
    <w:rsid w:val="007C5642"/>
    <w:rsid w:val="007C5649"/>
    <w:rsid w:val="007C564B"/>
    <w:rsid w:val="007C5696"/>
    <w:rsid w:val="007C569D"/>
    <w:rsid w:val="007C5735"/>
    <w:rsid w:val="007C5741"/>
    <w:rsid w:val="007C57F6"/>
    <w:rsid w:val="007C58B4"/>
    <w:rsid w:val="007C591F"/>
    <w:rsid w:val="007C5947"/>
    <w:rsid w:val="007C5A4A"/>
    <w:rsid w:val="007C5A76"/>
    <w:rsid w:val="007C5AD5"/>
    <w:rsid w:val="007C5BA8"/>
    <w:rsid w:val="007C5BE5"/>
    <w:rsid w:val="007C5C03"/>
    <w:rsid w:val="007C5C2A"/>
    <w:rsid w:val="007C5CCB"/>
    <w:rsid w:val="007C5D8C"/>
    <w:rsid w:val="007C5E24"/>
    <w:rsid w:val="007C5EBE"/>
    <w:rsid w:val="007C5FB7"/>
    <w:rsid w:val="007C5FDA"/>
    <w:rsid w:val="007C6014"/>
    <w:rsid w:val="007C617F"/>
    <w:rsid w:val="007C61F1"/>
    <w:rsid w:val="007C62B4"/>
    <w:rsid w:val="007C632A"/>
    <w:rsid w:val="007C633F"/>
    <w:rsid w:val="007C634A"/>
    <w:rsid w:val="007C63B3"/>
    <w:rsid w:val="007C63B6"/>
    <w:rsid w:val="007C6455"/>
    <w:rsid w:val="007C6550"/>
    <w:rsid w:val="007C65D5"/>
    <w:rsid w:val="007C65DC"/>
    <w:rsid w:val="007C6698"/>
    <w:rsid w:val="007C673C"/>
    <w:rsid w:val="007C692D"/>
    <w:rsid w:val="007C6967"/>
    <w:rsid w:val="007C697A"/>
    <w:rsid w:val="007C6AB4"/>
    <w:rsid w:val="007C6B80"/>
    <w:rsid w:val="007C6BAB"/>
    <w:rsid w:val="007C6C40"/>
    <w:rsid w:val="007C6D5D"/>
    <w:rsid w:val="007C6D74"/>
    <w:rsid w:val="007C6E8D"/>
    <w:rsid w:val="007C6EC5"/>
    <w:rsid w:val="007C6F4B"/>
    <w:rsid w:val="007C6F65"/>
    <w:rsid w:val="007C7168"/>
    <w:rsid w:val="007C71DD"/>
    <w:rsid w:val="007C7390"/>
    <w:rsid w:val="007C7397"/>
    <w:rsid w:val="007C7448"/>
    <w:rsid w:val="007C745F"/>
    <w:rsid w:val="007C754D"/>
    <w:rsid w:val="007C767F"/>
    <w:rsid w:val="007C78B0"/>
    <w:rsid w:val="007C79E6"/>
    <w:rsid w:val="007C7A15"/>
    <w:rsid w:val="007C7C20"/>
    <w:rsid w:val="007C7CA0"/>
    <w:rsid w:val="007C7CDA"/>
    <w:rsid w:val="007C7D9F"/>
    <w:rsid w:val="007D0118"/>
    <w:rsid w:val="007D014C"/>
    <w:rsid w:val="007D02B0"/>
    <w:rsid w:val="007D0348"/>
    <w:rsid w:val="007D03FB"/>
    <w:rsid w:val="007D040F"/>
    <w:rsid w:val="007D046B"/>
    <w:rsid w:val="007D049A"/>
    <w:rsid w:val="007D055E"/>
    <w:rsid w:val="007D05D4"/>
    <w:rsid w:val="007D07E6"/>
    <w:rsid w:val="007D090D"/>
    <w:rsid w:val="007D09FD"/>
    <w:rsid w:val="007D0A4F"/>
    <w:rsid w:val="007D0B0E"/>
    <w:rsid w:val="007D0B1A"/>
    <w:rsid w:val="007D0B1C"/>
    <w:rsid w:val="007D0B79"/>
    <w:rsid w:val="007D0C98"/>
    <w:rsid w:val="007D0F5A"/>
    <w:rsid w:val="007D0FC3"/>
    <w:rsid w:val="007D0FE3"/>
    <w:rsid w:val="007D104B"/>
    <w:rsid w:val="007D1087"/>
    <w:rsid w:val="007D114A"/>
    <w:rsid w:val="007D11B6"/>
    <w:rsid w:val="007D11C9"/>
    <w:rsid w:val="007D12D9"/>
    <w:rsid w:val="007D1301"/>
    <w:rsid w:val="007D1393"/>
    <w:rsid w:val="007D13CF"/>
    <w:rsid w:val="007D13D3"/>
    <w:rsid w:val="007D1474"/>
    <w:rsid w:val="007D147A"/>
    <w:rsid w:val="007D15A6"/>
    <w:rsid w:val="007D1643"/>
    <w:rsid w:val="007D18DA"/>
    <w:rsid w:val="007D18FC"/>
    <w:rsid w:val="007D190B"/>
    <w:rsid w:val="007D1ADD"/>
    <w:rsid w:val="007D1C05"/>
    <w:rsid w:val="007D1C69"/>
    <w:rsid w:val="007D1C93"/>
    <w:rsid w:val="007D1DA0"/>
    <w:rsid w:val="007D1DD7"/>
    <w:rsid w:val="007D1EF2"/>
    <w:rsid w:val="007D20DF"/>
    <w:rsid w:val="007D21EB"/>
    <w:rsid w:val="007D223A"/>
    <w:rsid w:val="007D227E"/>
    <w:rsid w:val="007D2288"/>
    <w:rsid w:val="007D22E6"/>
    <w:rsid w:val="007D2363"/>
    <w:rsid w:val="007D2393"/>
    <w:rsid w:val="007D23C6"/>
    <w:rsid w:val="007D24DD"/>
    <w:rsid w:val="007D25F1"/>
    <w:rsid w:val="007D2628"/>
    <w:rsid w:val="007D264E"/>
    <w:rsid w:val="007D26A7"/>
    <w:rsid w:val="007D26FD"/>
    <w:rsid w:val="007D273E"/>
    <w:rsid w:val="007D277B"/>
    <w:rsid w:val="007D27AD"/>
    <w:rsid w:val="007D283D"/>
    <w:rsid w:val="007D28B7"/>
    <w:rsid w:val="007D28DA"/>
    <w:rsid w:val="007D28E8"/>
    <w:rsid w:val="007D29E1"/>
    <w:rsid w:val="007D2A23"/>
    <w:rsid w:val="007D2BCF"/>
    <w:rsid w:val="007D2BE5"/>
    <w:rsid w:val="007D2C23"/>
    <w:rsid w:val="007D2CF7"/>
    <w:rsid w:val="007D2DBC"/>
    <w:rsid w:val="007D2DCB"/>
    <w:rsid w:val="007D2DD2"/>
    <w:rsid w:val="007D2E12"/>
    <w:rsid w:val="007D2E1B"/>
    <w:rsid w:val="007D2EBD"/>
    <w:rsid w:val="007D2F0A"/>
    <w:rsid w:val="007D2F3B"/>
    <w:rsid w:val="007D2F8D"/>
    <w:rsid w:val="007D301D"/>
    <w:rsid w:val="007D30B3"/>
    <w:rsid w:val="007D3104"/>
    <w:rsid w:val="007D3115"/>
    <w:rsid w:val="007D31F7"/>
    <w:rsid w:val="007D320A"/>
    <w:rsid w:val="007D32C5"/>
    <w:rsid w:val="007D333A"/>
    <w:rsid w:val="007D3440"/>
    <w:rsid w:val="007D350B"/>
    <w:rsid w:val="007D35B7"/>
    <w:rsid w:val="007D3660"/>
    <w:rsid w:val="007D3850"/>
    <w:rsid w:val="007D3AD1"/>
    <w:rsid w:val="007D3AE8"/>
    <w:rsid w:val="007D3B5F"/>
    <w:rsid w:val="007D3B99"/>
    <w:rsid w:val="007D3FAE"/>
    <w:rsid w:val="007D3FFD"/>
    <w:rsid w:val="007D4022"/>
    <w:rsid w:val="007D42F8"/>
    <w:rsid w:val="007D4306"/>
    <w:rsid w:val="007D4355"/>
    <w:rsid w:val="007D4437"/>
    <w:rsid w:val="007D4484"/>
    <w:rsid w:val="007D4485"/>
    <w:rsid w:val="007D44D4"/>
    <w:rsid w:val="007D44FD"/>
    <w:rsid w:val="007D4582"/>
    <w:rsid w:val="007D45F3"/>
    <w:rsid w:val="007D4812"/>
    <w:rsid w:val="007D4854"/>
    <w:rsid w:val="007D4994"/>
    <w:rsid w:val="007D4A66"/>
    <w:rsid w:val="007D4A82"/>
    <w:rsid w:val="007D4A92"/>
    <w:rsid w:val="007D4AFB"/>
    <w:rsid w:val="007D4B17"/>
    <w:rsid w:val="007D4BCE"/>
    <w:rsid w:val="007D4C18"/>
    <w:rsid w:val="007D4CAD"/>
    <w:rsid w:val="007D4CCC"/>
    <w:rsid w:val="007D4D63"/>
    <w:rsid w:val="007D4D84"/>
    <w:rsid w:val="007D4DDB"/>
    <w:rsid w:val="007D4E0B"/>
    <w:rsid w:val="007D4E7B"/>
    <w:rsid w:val="007D4F5A"/>
    <w:rsid w:val="007D4FD2"/>
    <w:rsid w:val="007D4FF2"/>
    <w:rsid w:val="007D50AD"/>
    <w:rsid w:val="007D517F"/>
    <w:rsid w:val="007D51F1"/>
    <w:rsid w:val="007D529F"/>
    <w:rsid w:val="007D535D"/>
    <w:rsid w:val="007D537D"/>
    <w:rsid w:val="007D54B9"/>
    <w:rsid w:val="007D55EF"/>
    <w:rsid w:val="007D5621"/>
    <w:rsid w:val="007D56B7"/>
    <w:rsid w:val="007D56D4"/>
    <w:rsid w:val="007D56DA"/>
    <w:rsid w:val="007D5726"/>
    <w:rsid w:val="007D573D"/>
    <w:rsid w:val="007D58A0"/>
    <w:rsid w:val="007D58BC"/>
    <w:rsid w:val="007D59F0"/>
    <w:rsid w:val="007D5AE1"/>
    <w:rsid w:val="007D5B2C"/>
    <w:rsid w:val="007D5B67"/>
    <w:rsid w:val="007D5BDD"/>
    <w:rsid w:val="007D5C66"/>
    <w:rsid w:val="007D5C68"/>
    <w:rsid w:val="007D5D80"/>
    <w:rsid w:val="007D5DD4"/>
    <w:rsid w:val="007D5DD5"/>
    <w:rsid w:val="007D5DE7"/>
    <w:rsid w:val="007D5E06"/>
    <w:rsid w:val="007D5F07"/>
    <w:rsid w:val="007D5FD9"/>
    <w:rsid w:val="007D6038"/>
    <w:rsid w:val="007D61EF"/>
    <w:rsid w:val="007D626C"/>
    <w:rsid w:val="007D62AC"/>
    <w:rsid w:val="007D6376"/>
    <w:rsid w:val="007D6393"/>
    <w:rsid w:val="007D63C0"/>
    <w:rsid w:val="007D6454"/>
    <w:rsid w:val="007D64B2"/>
    <w:rsid w:val="007D672B"/>
    <w:rsid w:val="007D691D"/>
    <w:rsid w:val="007D69C4"/>
    <w:rsid w:val="007D6B26"/>
    <w:rsid w:val="007D6B95"/>
    <w:rsid w:val="007D6D17"/>
    <w:rsid w:val="007D6D44"/>
    <w:rsid w:val="007D6D4E"/>
    <w:rsid w:val="007D6DC8"/>
    <w:rsid w:val="007D6F4B"/>
    <w:rsid w:val="007D6FEE"/>
    <w:rsid w:val="007D7122"/>
    <w:rsid w:val="007D734C"/>
    <w:rsid w:val="007D740A"/>
    <w:rsid w:val="007D7440"/>
    <w:rsid w:val="007D747B"/>
    <w:rsid w:val="007D74C3"/>
    <w:rsid w:val="007D768E"/>
    <w:rsid w:val="007D76B8"/>
    <w:rsid w:val="007D7748"/>
    <w:rsid w:val="007D78F0"/>
    <w:rsid w:val="007D7946"/>
    <w:rsid w:val="007D79C3"/>
    <w:rsid w:val="007D7A08"/>
    <w:rsid w:val="007D7A24"/>
    <w:rsid w:val="007D7A3F"/>
    <w:rsid w:val="007D7B1C"/>
    <w:rsid w:val="007D7B4A"/>
    <w:rsid w:val="007D7B52"/>
    <w:rsid w:val="007D7BFF"/>
    <w:rsid w:val="007D7CDB"/>
    <w:rsid w:val="007D7D9E"/>
    <w:rsid w:val="007D7E74"/>
    <w:rsid w:val="007D7F3F"/>
    <w:rsid w:val="007D7FA0"/>
    <w:rsid w:val="007D7FC8"/>
    <w:rsid w:val="007E0035"/>
    <w:rsid w:val="007E00C1"/>
    <w:rsid w:val="007E016D"/>
    <w:rsid w:val="007E02A1"/>
    <w:rsid w:val="007E0333"/>
    <w:rsid w:val="007E0499"/>
    <w:rsid w:val="007E04A6"/>
    <w:rsid w:val="007E04BF"/>
    <w:rsid w:val="007E04EB"/>
    <w:rsid w:val="007E06F3"/>
    <w:rsid w:val="007E070F"/>
    <w:rsid w:val="007E0858"/>
    <w:rsid w:val="007E0866"/>
    <w:rsid w:val="007E08BF"/>
    <w:rsid w:val="007E096C"/>
    <w:rsid w:val="007E0A30"/>
    <w:rsid w:val="007E0A81"/>
    <w:rsid w:val="007E0AC1"/>
    <w:rsid w:val="007E0B8C"/>
    <w:rsid w:val="007E0C2D"/>
    <w:rsid w:val="007E0CDA"/>
    <w:rsid w:val="007E0D3F"/>
    <w:rsid w:val="007E0DEE"/>
    <w:rsid w:val="007E0E66"/>
    <w:rsid w:val="007E0F15"/>
    <w:rsid w:val="007E0F5E"/>
    <w:rsid w:val="007E0F6C"/>
    <w:rsid w:val="007E0F75"/>
    <w:rsid w:val="007E1078"/>
    <w:rsid w:val="007E1144"/>
    <w:rsid w:val="007E11B6"/>
    <w:rsid w:val="007E11F7"/>
    <w:rsid w:val="007E1226"/>
    <w:rsid w:val="007E12B1"/>
    <w:rsid w:val="007E1330"/>
    <w:rsid w:val="007E1352"/>
    <w:rsid w:val="007E1358"/>
    <w:rsid w:val="007E1383"/>
    <w:rsid w:val="007E13CC"/>
    <w:rsid w:val="007E1498"/>
    <w:rsid w:val="007E14CA"/>
    <w:rsid w:val="007E1760"/>
    <w:rsid w:val="007E1765"/>
    <w:rsid w:val="007E17F7"/>
    <w:rsid w:val="007E1821"/>
    <w:rsid w:val="007E188D"/>
    <w:rsid w:val="007E1AEC"/>
    <w:rsid w:val="007E1B32"/>
    <w:rsid w:val="007E1BDE"/>
    <w:rsid w:val="007E1C71"/>
    <w:rsid w:val="007E1D9F"/>
    <w:rsid w:val="007E1DA8"/>
    <w:rsid w:val="007E1FB8"/>
    <w:rsid w:val="007E2192"/>
    <w:rsid w:val="007E2224"/>
    <w:rsid w:val="007E22A5"/>
    <w:rsid w:val="007E22CD"/>
    <w:rsid w:val="007E2313"/>
    <w:rsid w:val="007E2327"/>
    <w:rsid w:val="007E234F"/>
    <w:rsid w:val="007E2350"/>
    <w:rsid w:val="007E244B"/>
    <w:rsid w:val="007E2469"/>
    <w:rsid w:val="007E24A1"/>
    <w:rsid w:val="007E24E9"/>
    <w:rsid w:val="007E24F5"/>
    <w:rsid w:val="007E2531"/>
    <w:rsid w:val="007E254D"/>
    <w:rsid w:val="007E256A"/>
    <w:rsid w:val="007E268E"/>
    <w:rsid w:val="007E26EB"/>
    <w:rsid w:val="007E26F0"/>
    <w:rsid w:val="007E2740"/>
    <w:rsid w:val="007E27B1"/>
    <w:rsid w:val="007E27BF"/>
    <w:rsid w:val="007E280A"/>
    <w:rsid w:val="007E282A"/>
    <w:rsid w:val="007E2850"/>
    <w:rsid w:val="007E290E"/>
    <w:rsid w:val="007E29B4"/>
    <w:rsid w:val="007E2A21"/>
    <w:rsid w:val="007E2B3E"/>
    <w:rsid w:val="007E2B8C"/>
    <w:rsid w:val="007E2BD4"/>
    <w:rsid w:val="007E2BE3"/>
    <w:rsid w:val="007E2D34"/>
    <w:rsid w:val="007E2D9E"/>
    <w:rsid w:val="007E2E5E"/>
    <w:rsid w:val="007E2E64"/>
    <w:rsid w:val="007E2EAC"/>
    <w:rsid w:val="007E2F3A"/>
    <w:rsid w:val="007E309A"/>
    <w:rsid w:val="007E310F"/>
    <w:rsid w:val="007E3146"/>
    <w:rsid w:val="007E31F3"/>
    <w:rsid w:val="007E3222"/>
    <w:rsid w:val="007E324E"/>
    <w:rsid w:val="007E32AF"/>
    <w:rsid w:val="007E33A8"/>
    <w:rsid w:val="007E33AA"/>
    <w:rsid w:val="007E3463"/>
    <w:rsid w:val="007E34BB"/>
    <w:rsid w:val="007E34D3"/>
    <w:rsid w:val="007E3506"/>
    <w:rsid w:val="007E35A1"/>
    <w:rsid w:val="007E35A3"/>
    <w:rsid w:val="007E35FC"/>
    <w:rsid w:val="007E3693"/>
    <w:rsid w:val="007E37B7"/>
    <w:rsid w:val="007E37BC"/>
    <w:rsid w:val="007E3917"/>
    <w:rsid w:val="007E3983"/>
    <w:rsid w:val="007E3A88"/>
    <w:rsid w:val="007E3AA4"/>
    <w:rsid w:val="007E3BDE"/>
    <w:rsid w:val="007E3C30"/>
    <w:rsid w:val="007E3D28"/>
    <w:rsid w:val="007E3D53"/>
    <w:rsid w:val="007E3DCA"/>
    <w:rsid w:val="007E3E13"/>
    <w:rsid w:val="007E3E31"/>
    <w:rsid w:val="007E3E79"/>
    <w:rsid w:val="007E4034"/>
    <w:rsid w:val="007E4071"/>
    <w:rsid w:val="007E4155"/>
    <w:rsid w:val="007E416B"/>
    <w:rsid w:val="007E425C"/>
    <w:rsid w:val="007E42A4"/>
    <w:rsid w:val="007E42B0"/>
    <w:rsid w:val="007E42EF"/>
    <w:rsid w:val="007E4431"/>
    <w:rsid w:val="007E451A"/>
    <w:rsid w:val="007E453D"/>
    <w:rsid w:val="007E456E"/>
    <w:rsid w:val="007E4594"/>
    <w:rsid w:val="007E466D"/>
    <w:rsid w:val="007E46FE"/>
    <w:rsid w:val="007E4780"/>
    <w:rsid w:val="007E48BC"/>
    <w:rsid w:val="007E48E7"/>
    <w:rsid w:val="007E4946"/>
    <w:rsid w:val="007E4949"/>
    <w:rsid w:val="007E496B"/>
    <w:rsid w:val="007E4A42"/>
    <w:rsid w:val="007E4B12"/>
    <w:rsid w:val="007E4B52"/>
    <w:rsid w:val="007E4B71"/>
    <w:rsid w:val="007E4BA3"/>
    <w:rsid w:val="007E4BBB"/>
    <w:rsid w:val="007E4BE8"/>
    <w:rsid w:val="007E4FAF"/>
    <w:rsid w:val="007E5128"/>
    <w:rsid w:val="007E524F"/>
    <w:rsid w:val="007E526E"/>
    <w:rsid w:val="007E5271"/>
    <w:rsid w:val="007E5276"/>
    <w:rsid w:val="007E5298"/>
    <w:rsid w:val="007E530F"/>
    <w:rsid w:val="007E53DF"/>
    <w:rsid w:val="007E5436"/>
    <w:rsid w:val="007E54BF"/>
    <w:rsid w:val="007E557F"/>
    <w:rsid w:val="007E56B5"/>
    <w:rsid w:val="007E56D0"/>
    <w:rsid w:val="007E56D4"/>
    <w:rsid w:val="007E5742"/>
    <w:rsid w:val="007E588E"/>
    <w:rsid w:val="007E5AA2"/>
    <w:rsid w:val="007E5B6B"/>
    <w:rsid w:val="007E5BC1"/>
    <w:rsid w:val="007E5C01"/>
    <w:rsid w:val="007E5C17"/>
    <w:rsid w:val="007E5D93"/>
    <w:rsid w:val="007E5E4E"/>
    <w:rsid w:val="007E5ED0"/>
    <w:rsid w:val="007E5F89"/>
    <w:rsid w:val="007E5FA9"/>
    <w:rsid w:val="007E6002"/>
    <w:rsid w:val="007E6054"/>
    <w:rsid w:val="007E60F6"/>
    <w:rsid w:val="007E6102"/>
    <w:rsid w:val="007E619A"/>
    <w:rsid w:val="007E61DF"/>
    <w:rsid w:val="007E61FE"/>
    <w:rsid w:val="007E6392"/>
    <w:rsid w:val="007E63BF"/>
    <w:rsid w:val="007E63D7"/>
    <w:rsid w:val="007E6421"/>
    <w:rsid w:val="007E6579"/>
    <w:rsid w:val="007E6723"/>
    <w:rsid w:val="007E6738"/>
    <w:rsid w:val="007E678A"/>
    <w:rsid w:val="007E687A"/>
    <w:rsid w:val="007E6895"/>
    <w:rsid w:val="007E692E"/>
    <w:rsid w:val="007E6A04"/>
    <w:rsid w:val="007E6A17"/>
    <w:rsid w:val="007E6A29"/>
    <w:rsid w:val="007E6A48"/>
    <w:rsid w:val="007E6B7D"/>
    <w:rsid w:val="007E6B81"/>
    <w:rsid w:val="007E6BC6"/>
    <w:rsid w:val="007E6BEB"/>
    <w:rsid w:val="007E6C71"/>
    <w:rsid w:val="007E6C75"/>
    <w:rsid w:val="007E6C92"/>
    <w:rsid w:val="007E6D73"/>
    <w:rsid w:val="007E6E13"/>
    <w:rsid w:val="007E6E25"/>
    <w:rsid w:val="007E6E80"/>
    <w:rsid w:val="007E6E9F"/>
    <w:rsid w:val="007E6FA8"/>
    <w:rsid w:val="007E6FAA"/>
    <w:rsid w:val="007E715D"/>
    <w:rsid w:val="007E71CB"/>
    <w:rsid w:val="007E71F4"/>
    <w:rsid w:val="007E71FD"/>
    <w:rsid w:val="007E7290"/>
    <w:rsid w:val="007E72D9"/>
    <w:rsid w:val="007E7370"/>
    <w:rsid w:val="007E740F"/>
    <w:rsid w:val="007E7482"/>
    <w:rsid w:val="007E74FE"/>
    <w:rsid w:val="007E7500"/>
    <w:rsid w:val="007E7506"/>
    <w:rsid w:val="007E76BE"/>
    <w:rsid w:val="007E77DF"/>
    <w:rsid w:val="007E7865"/>
    <w:rsid w:val="007E7926"/>
    <w:rsid w:val="007E7972"/>
    <w:rsid w:val="007E7A2C"/>
    <w:rsid w:val="007E7A6A"/>
    <w:rsid w:val="007E7BD7"/>
    <w:rsid w:val="007E7C42"/>
    <w:rsid w:val="007E7CAC"/>
    <w:rsid w:val="007E7D7E"/>
    <w:rsid w:val="007E7DDF"/>
    <w:rsid w:val="007E7F16"/>
    <w:rsid w:val="007F0016"/>
    <w:rsid w:val="007F006F"/>
    <w:rsid w:val="007F00BD"/>
    <w:rsid w:val="007F01FD"/>
    <w:rsid w:val="007F02A6"/>
    <w:rsid w:val="007F02D6"/>
    <w:rsid w:val="007F02DF"/>
    <w:rsid w:val="007F035E"/>
    <w:rsid w:val="007F038A"/>
    <w:rsid w:val="007F0404"/>
    <w:rsid w:val="007F0500"/>
    <w:rsid w:val="007F054E"/>
    <w:rsid w:val="007F0619"/>
    <w:rsid w:val="007F0647"/>
    <w:rsid w:val="007F06EE"/>
    <w:rsid w:val="007F0771"/>
    <w:rsid w:val="007F0862"/>
    <w:rsid w:val="007F088F"/>
    <w:rsid w:val="007F08EE"/>
    <w:rsid w:val="007F094F"/>
    <w:rsid w:val="007F098E"/>
    <w:rsid w:val="007F0A34"/>
    <w:rsid w:val="007F0A87"/>
    <w:rsid w:val="007F0ADB"/>
    <w:rsid w:val="007F0B0D"/>
    <w:rsid w:val="007F0CA4"/>
    <w:rsid w:val="007F0D03"/>
    <w:rsid w:val="007F0E0E"/>
    <w:rsid w:val="007F0EB1"/>
    <w:rsid w:val="007F0EC9"/>
    <w:rsid w:val="007F0ED8"/>
    <w:rsid w:val="007F0F43"/>
    <w:rsid w:val="007F0F63"/>
    <w:rsid w:val="007F0F84"/>
    <w:rsid w:val="007F0F9F"/>
    <w:rsid w:val="007F0FCB"/>
    <w:rsid w:val="007F0FCD"/>
    <w:rsid w:val="007F102F"/>
    <w:rsid w:val="007F10EF"/>
    <w:rsid w:val="007F1168"/>
    <w:rsid w:val="007F144B"/>
    <w:rsid w:val="007F145C"/>
    <w:rsid w:val="007F148F"/>
    <w:rsid w:val="007F157E"/>
    <w:rsid w:val="007F1771"/>
    <w:rsid w:val="007F17DE"/>
    <w:rsid w:val="007F190C"/>
    <w:rsid w:val="007F1A1E"/>
    <w:rsid w:val="007F1A33"/>
    <w:rsid w:val="007F1AB9"/>
    <w:rsid w:val="007F1B75"/>
    <w:rsid w:val="007F1C17"/>
    <w:rsid w:val="007F1C80"/>
    <w:rsid w:val="007F1CF2"/>
    <w:rsid w:val="007F1EC8"/>
    <w:rsid w:val="007F1F71"/>
    <w:rsid w:val="007F1F76"/>
    <w:rsid w:val="007F1F8F"/>
    <w:rsid w:val="007F2034"/>
    <w:rsid w:val="007F2140"/>
    <w:rsid w:val="007F2187"/>
    <w:rsid w:val="007F2209"/>
    <w:rsid w:val="007F2270"/>
    <w:rsid w:val="007F237D"/>
    <w:rsid w:val="007F2397"/>
    <w:rsid w:val="007F249D"/>
    <w:rsid w:val="007F250B"/>
    <w:rsid w:val="007F25CE"/>
    <w:rsid w:val="007F25E0"/>
    <w:rsid w:val="007F264A"/>
    <w:rsid w:val="007F26BD"/>
    <w:rsid w:val="007F26CE"/>
    <w:rsid w:val="007F2795"/>
    <w:rsid w:val="007F27F5"/>
    <w:rsid w:val="007F27FE"/>
    <w:rsid w:val="007F2839"/>
    <w:rsid w:val="007F28FB"/>
    <w:rsid w:val="007F2B92"/>
    <w:rsid w:val="007F2BA3"/>
    <w:rsid w:val="007F2C2C"/>
    <w:rsid w:val="007F2EAC"/>
    <w:rsid w:val="007F2F09"/>
    <w:rsid w:val="007F2F10"/>
    <w:rsid w:val="007F2F34"/>
    <w:rsid w:val="007F2F58"/>
    <w:rsid w:val="007F2FA8"/>
    <w:rsid w:val="007F3081"/>
    <w:rsid w:val="007F30BC"/>
    <w:rsid w:val="007F318D"/>
    <w:rsid w:val="007F321A"/>
    <w:rsid w:val="007F3281"/>
    <w:rsid w:val="007F32A1"/>
    <w:rsid w:val="007F32B3"/>
    <w:rsid w:val="007F3339"/>
    <w:rsid w:val="007F33DD"/>
    <w:rsid w:val="007F33E7"/>
    <w:rsid w:val="007F33F3"/>
    <w:rsid w:val="007F348A"/>
    <w:rsid w:val="007F349C"/>
    <w:rsid w:val="007F34EA"/>
    <w:rsid w:val="007F3535"/>
    <w:rsid w:val="007F3595"/>
    <w:rsid w:val="007F3629"/>
    <w:rsid w:val="007F362F"/>
    <w:rsid w:val="007F3749"/>
    <w:rsid w:val="007F386E"/>
    <w:rsid w:val="007F3879"/>
    <w:rsid w:val="007F3A01"/>
    <w:rsid w:val="007F3A39"/>
    <w:rsid w:val="007F3C3C"/>
    <w:rsid w:val="007F3C3E"/>
    <w:rsid w:val="007F3CFF"/>
    <w:rsid w:val="007F3D40"/>
    <w:rsid w:val="007F3D4A"/>
    <w:rsid w:val="007F3D71"/>
    <w:rsid w:val="007F3DCD"/>
    <w:rsid w:val="007F3E51"/>
    <w:rsid w:val="007F3FE4"/>
    <w:rsid w:val="007F4077"/>
    <w:rsid w:val="007F40EA"/>
    <w:rsid w:val="007F4198"/>
    <w:rsid w:val="007F4248"/>
    <w:rsid w:val="007F4272"/>
    <w:rsid w:val="007F42B9"/>
    <w:rsid w:val="007F42D3"/>
    <w:rsid w:val="007F4348"/>
    <w:rsid w:val="007F43F1"/>
    <w:rsid w:val="007F4481"/>
    <w:rsid w:val="007F44CA"/>
    <w:rsid w:val="007F4565"/>
    <w:rsid w:val="007F46BB"/>
    <w:rsid w:val="007F46D4"/>
    <w:rsid w:val="007F4720"/>
    <w:rsid w:val="007F47D7"/>
    <w:rsid w:val="007F480A"/>
    <w:rsid w:val="007F4850"/>
    <w:rsid w:val="007F4A63"/>
    <w:rsid w:val="007F4AAA"/>
    <w:rsid w:val="007F4B0C"/>
    <w:rsid w:val="007F4D10"/>
    <w:rsid w:val="007F4D99"/>
    <w:rsid w:val="007F4E47"/>
    <w:rsid w:val="007F4E7E"/>
    <w:rsid w:val="007F5125"/>
    <w:rsid w:val="007F512D"/>
    <w:rsid w:val="007F51BE"/>
    <w:rsid w:val="007F51FF"/>
    <w:rsid w:val="007F5271"/>
    <w:rsid w:val="007F5297"/>
    <w:rsid w:val="007F5325"/>
    <w:rsid w:val="007F54D1"/>
    <w:rsid w:val="007F58D6"/>
    <w:rsid w:val="007F58E1"/>
    <w:rsid w:val="007F596E"/>
    <w:rsid w:val="007F597B"/>
    <w:rsid w:val="007F5AC4"/>
    <w:rsid w:val="007F5B81"/>
    <w:rsid w:val="007F5D6A"/>
    <w:rsid w:val="007F5DCB"/>
    <w:rsid w:val="007F5DDC"/>
    <w:rsid w:val="007F5E09"/>
    <w:rsid w:val="007F5ED0"/>
    <w:rsid w:val="007F5F2F"/>
    <w:rsid w:val="007F5F32"/>
    <w:rsid w:val="007F5FD3"/>
    <w:rsid w:val="007F6054"/>
    <w:rsid w:val="007F6114"/>
    <w:rsid w:val="007F619C"/>
    <w:rsid w:val="007F61BA"/>
    <w:rsid w:val="007F62AF"/>
    <w:rsid w:val="007F63B0"/>
    <w:rsid w:val="007F63DF"/>
    <w:rsid w:val="007F6429"/>
    <w:rsid w:val="007F65FC"/>
    <w:rsid w:val="007F66A8"/>
    <w:rsid w:val="007F66D3"/>
    <w:rsid w:val="007F66E5"/>
    <w:rsid w:val="007F673D"/>
    <w:rsid w:val="007F692B"/>
    <w:rsid w:val="007F69D2"/>
    <w:rsid w:val="007F69F4"/>
    <w:rsid w:val="007F69F6"/>
    <w:rsid w:val="007F6A2B"/>
    <w:rsid w:val="007F6A6B"/>
    <w:rsid w:val="007F6B29"/>
    <w:rsid w:val="007F6C28"/>
    <w:rsid w:val="007F6CC0"/>
    <w:rsid w:val="007F6CEE"/>
    <w:rsid w:val="007F6E02"/>
    <w:rsid w:val="007F6FD9"/>
    <w:rsid w:val="007F726A"/>
    <w:rsid w:val="007F72B4"/>
    <w:rsid w:val="007F7363"/>
    <w:rsid w:val="007F7419"/>
    <w:rsid w:val="007F7529"/>
    <w:rsid w:val="007F759F"/>
    <w:rsid w:val="007F762B"/>
    <w:rsid w:val="007F7876"/>
    <w:rsid w:val="007F78D8"/>
    <w:rsid w:val="007F794F"/>
    <w:rsid w:val="007F7987"/>
    <w:rsid w:val="007F79C0"/>
    <w:rsid w:val="007F7A09"/>
    <w:rsid w:val="007F7A40"/>
    <w:rsid w:val="007F7ADA"/>
    <w:rsid w:val="007F7BBA"/>
    <w:rsid w:val="007F7C6F"/>
    <w:rsid w:val="007F7D36"/>
    <w:rsid w:val="007F7DB1"/>
    <w:rsid w:val="007F7E03"/>
    <w:rsid w:val="007F7E66"/>
    <w:rsid w:val="007F7F14"/>
    <w:rsid w:val="007FA61D"/>
    <w:rsid w:val="0080002B"/>
    <w:rsid w:val="008000F6"/>
    <w:rsid w:val="00800271"/>
    <w:rsid w:val="008003AF"/>
    <w:rsid w:val="008003E5"/>
    <w:rsid w:val="0080047C"/>
    <w:rsid w:val="008004B1"/>
    <w:rsid w:val="008004BF"/>
    <w:rsid w:val="00800599"/>
    <w:rsid w:val="008006E0"/>
    <w:rsid w:val="0080077E"/>
    <w:rsid w:val="0080086B"/>
    <w:rsid w:val="008009F2"/>
    <w:rsid w:val="00800AFC"/>
    <w:rsid w:val="00800B0F"/>
    <w:rsid w:val="00800C46"/>
    <w:rsid w:val="00800C62"/>
    <w:rsid w:val="00800D26"/>
    <w:rsid w:val="00800D9C"/>
    <w:rsid w:val="00800F06"/>
    <w:rsid w:val="00800F52"/>
    <w:rsid w:val="00800FF5"/>
    <w:rsid w:val="00800FFF"/>
    <w:rsid w:val="0080100B"/>
    <w:rsid w:val="00801014"/>
    <w:rsid w:val="008010DB"/>
    <w:rsid w:val="008010E8"/>
    <w:rsid w:val="00801165"/>
    <w:rsid w:val="008011BC"/>
    <w:rsid w:val="0080136C"/>
    <w:rsid w:val="00801491"/>
    <w:rsid w:val="008014CC"/>
    <w:rsid w:val="00801559"/>
    <w:rsid w:val="008015E0"/>
    <w:rsid w:val="0080164F"/>
    <w:rsid w:val="0080165B"/>
    <w:rsid w:val="0080178B"/>
    <w:rsid w:val="00801845"/>
    <w:rsid w:val="00801867"/>
    <w:rsid w:val="00801878"/>
    <w:rsid w:val="00801950"/>
    <w:rsid w:val="008019C7"/>
    <w:rsid w:val="00801A12"/>
    <w:rsid w:val="00801A8C"/>
    <w:rsid w:val="00801AB0"/>
    <w:rsid w:val="00801B1E"/>
    <w:rsid w:val="00801B37"/>
    <w:rsid w:val="00801B77"/>
    <w:rsid w:val="00801C64"/>
    <w:rsid w:val="00801C70"/>
    <w:rsid w:val="00801E89"/>
    <w:rsid w:val="00801EFC"/>
    <w:rsid w:val="00801F78"/>
    <w:rsid w:val="00801F7A"/>
    <w:rsid w:val="00801FC3"/>
    <w:rsid w:val="008020BF"/>
    <w:rsid w:val="00802135"/>
    <w:rsid w:val="00802222"/>
    <w:rsid w:val="00802227"/>
    <w:rsid w:val="008023B5"/>
    <w:rsid w:val="0080242D"/>
    <w:rsid w:val="00802603"/>
    <w:rsid w:val="00802657"/>
    <w:rsid w:val="0080274F"/>
    <w:rsid w:val="00802798"/>
    <w:rsid w:val="008027AD"/>
    <w:rsid w:val="008027FE"/>
    <w:rsid w:val="0080284D"/>
    <w:rsid w:val="00802863"/>
    <w:rsid w:val="00802865"/>
    <w:rsid w:val="0080289F"/>
    <w:rsid w:val="008028FF"/>
    <w:rsid w:val="0080290F"/>
    <w:rsid w:val="00802970"/>
    <w:rsid w:val="008029D0"/>
    <w:rsid w:val="00802A73"/>
    <w:rsid w:val="00802A81"/>
    <w:rsid w:val="00802AD9"/>
    <w:rsid w:val="00802ADB"/>
    <w:rsid w:val="00802B46"/>
    <w:rsid w:val="00802B4A"/>
    <w:rsid w:val="00802B73"/>
    <w:rsid w:val="00802BE2"/>
    <w:rsid w:val="00802C92"/>
    <w:rsid w:val="00802CB3"/>
    <w:rsid w:val="00802D0F"/>
    <w:rsid w:val="00802EF3"/>
    <w:rsid w:val="008030F9"/>
    <w:rsid w:val="008031BC"/>
    <w:rsid w:val="008031F8"/>
    <w:rsid w:val="0080322B"/>
    <w:rsid w:val="00803250"/>
    <w:rsid w:val="008032F5"/>
    <w:rsid w:val="00803340"/>
    <w:rsid w:val="00803373"/>
    <w:rsid w:val="00803378"/>
    <w:rsid w:val="0080348D"/>
    <w:rsid w:val="00803494"/>
    <w:rsid w:val="008034D0"/>
    <w:rsid w:val="008037E6"/>
    <w:rsid w:val="008037FB"/>
    <w:rsid w:val="00803846"/>
    <w:rsid w:val="0080390F"/>
    <w:rsid w:val="00803A26"/>
    <w:rsid w:val="00803ABB"/>
    <w:rsid w:val="00803C3E"/>
    <w:rsid w:val="00803C93"/>
    <w:rsid w:val="00803D02"/>
    <w:rsid w:val="00803D6D"/>
    <w:rsid w:val="00803DFA"/>
    <w:rsid w:val="00803F06"/>
    <w:rsid w:val="00803F0F"/>
    <w:rsid w:val="00803F97"/>
    <w:rsid w:val="00803FA3"/>
    <w:rsid w:val="00804018"/>
    <w:rsid w:val="008041A1"/>
    <w:rsid w:val="00804237"/>
    <w:rsid w:val="008042D7"/>
    <w:rsid w:val="00804315"/>
    <w:rsid w:val="008043B8"/>
    <w:rsid w:val="00804404"/>
    <w:rsid w:val="008044A3"/>
    <w:rsid w:val="00804602"/>
    <w:rsid w:val="00804677"/>
    <w:rsid w:val="008046E4"/>
    <w:rsid w:val="008046EA"/>
    <w:rsid w:val="0080475B"/>
    <w:rsid w:val="0080479D"/>
    <w:rsid w:val="0080494D"/>
    <w:rsid w:val="00804A40"/>
    <w:rsid w:val="00804A50"/>
    <w:rsid w:val="00804A8D"/>
    <w:rsid w:val="00804CCF"/>
    <w:rsid w:val="00804CD8"/>
    <w:rsid w:val="00804D6B"/>
    <w:rsid w:val="00804E1B"/>
    <w:rsid w:val="00804F25"/>
    <w:rsid w:val="00804F73"/>
    <w:rsid w:val="00804FB6"/>
    <w:rsid w:val="00804FC4"/>
    <w:rsid w:val="00805065"/>
    <w:rsid w:val="008050AF"/>
    <w:rsid w:val="00805183"/>
    <w:rsid w:val="00805295"/>
    <w:rsid w:val="008052DA"/>
    <w:rsid w:val="00805329"/>
    <w:rsid w:val="0080532F"/>
    <w:rsid w:val="00805330"/>
    <w:rsid w:val="00805370"/>
    <w:rsid w:val="008053C8"/>
    <w:rsid w:val="008053D5"/>
    <w:rsid w:val="0080541E"/>
    <w:rsid w:val="00805443"/>
    <w:rsid w:val="008054AF"/>
    <w:rsid w:val="008054FE"/>
    <w:rsid w:val="0080567B"/>
    <w:rsid w:val="008056D3"/>
    <w:rsid w:val="008056F9"/>
    <w:rsid w:val="00805767"/>
    <w:rsid w:val="008057A9"/>
    <w:rsid w:val="00805903"/>
    <w:rsid w:val="0080596A"/>
    <w:rsid w:val="00805A7D"/>
    <w:rsid w:val="00805B9C"/>
    <w:rsid w:val="00805C0F"/>
    <w:rsid w:val="00805CE6"/>
    <w:rsid w:val="00805D33"/>
    <w:rsid w:val="00805DC3"/>
    <w:rsid w:val="00805DE8"/>
    <w:rsid w:val="00805E43"/>
    <w:rsid w:val="00805E9E"/>
    <w:rsid w:val="00805F66"/>
    <w:rsid w:val="00806033"/>
    <w:rsid w:val="00806091"/>
    <w:rsid w:val="00806274"/>
    <w:rsid w:val="00806316"/>
    <w:rsid w:val="00806387"/>
    <w:rsid w:val="008063AF"/>
    <w:rsid w:val="0080643A"/>
    <w:rsid w:val="00806480"/>
    <w:rsid w:val="0080649F"/>
    <w:rsid w:val="00806516"/>
    <w:rsid w:val="00806524"/>
    <w:rsid w:val="00806594"/>
    <w:rsid w:val="00806596"/>
    <w:rsid w:val="008065C9"/>
    <w:rsid w:val="008065DF"/>
    <w:rsid w:val="0080663F"/>
    <w:rsid w:val="008066FB"/>
    <w:rsid w:val="008067BC"/>
    <w:rsid w:val="0080680D"/>
    <w:rsid w:val="0080682C"/>
    <w:rsid w:val="008068FD"/>
    <w:rsid w:val="00806938"/>
    <w:rsid w:val="00806977"/>
    <w:rsid w:val="008069B0"/>
    <w:rsid w:val="008069D5"/>
    <w:rsid w:val="00806A22"/>
    <w:rsid w:val="00806C27"/>
    <w:rsid w:val="00806C46"/>
    <w:rsid w:val="00806C7F"/>
    <w:rsid w:val="00806C99"/>
    <w:rsid w:val="00806CB7"/>
    <w:rsid w:val="00806CF8"/>
    <w:rsid w:val="00806CF9"/>
    <w:rsid w:val="00806DC2"/>
    <w:rsid w:val="00806E3C"/>
    <w:rsid w:val="00806E43"/>
    <w:rsid w:val="00806F63"/>
    <w:rsid w:val="00806FF5"/>
    <w:rsid w:val="008070D7"/>
    <w:rsid w:val="008071D4"/>
    <w:rsid w:val="008072C6"/>
    <w:rsid w:val="00807351"/>
    <w:rsid w:val="008073C8"/>
    <w:rsid w:val="00807489"/>
    <w:rsid w:val="008074C2"/>
    <w:rsid w:val="008074C5"/>
    <w:rsid w:val="00807528"/>
    <w:rsid w:val="00807556"/>
    <w:rsid w:val="0080755E"/>
    <w:rsid w:val="00807655"/>
    <w:rsid w:val="008076CD"/>
    <w:rsid w:val="00807729"/>
    <w:rsid w:val="00807758"/>
    <w:rsid w:val="00807772"/>
    <w:rsid w:val="0080781D"/>
    <w:rsid w:val="00807864"/>
    <w:rsid w:val="00807994"/>
    <w:rsid w:val="0080799F"/>
    <w:rsid w:val="00807A08"/>
    <w:rsid w:val="00807A60"/>
    <w:rsid w:val="00807AF2"/>
    <w:rsid w:val="00807CF4"/>
    <w:rsid w:val="00807D0C"/>
    <w:rsid w:val="00807D3E"/>
    <w:rsid w:val="00807D60"/>
    <w:rsid w:val="00807D8D"/>
    <w:rsid w:val="00807D96"/>
    <w:rsid w:val="00807E3B"/>
    <w:rsid w:val="00807E75"/>
    <w:rsid w:val="00807FB7"/>
    <w:rsid w:val="0081005F"/>
    <w:rsid w:val="00810167"/>
    <w:rsid w:val="008101A0"/>
    <w:rsid w:val="00810206"/>
    <w:rsid w:val="00810348"/>
    <w:rsid w:val="00810409"/>
    <w:rsid w:val="00810429"/>
    <w:rsid w:val="0081046C"/>
    <w:rsid w:val="0081050D"/>
    <w:rsid w:val="008105A1"/>
    <w:rsid w:val="00810672"/>
    <w:rsid w:val="008107F4"/>
    <w:rsid w:val="00810834"/>
    <w:rsid w:val="0081091B"/>
    <w:rsid w:val="0081091E"/>
    <w:rsid w:val="00810928"/>
    <w:rsid w:val="008109BF"/>
    <w:rsid w:val="00810A44"/>
    <w:rsid w:val="00810A49"/>
    <w:rsid w:val="00810A5B"/>
    <w:rsid w:val="00810ADE"/>
    <w:rsid w:val="00810BF8"/>
    <w:rsid w:val="00810C8C"/>
    <w:rsid w:val="00810DAD"/>
    <w:rsid w:val="00810F26"/>
    <w:rsid w:val="00810F4F"/>
    <w:rsid w:val="00811001"/>
    <w:rsid w:val="008110B6"/>
    <w:rsid w:val="0081111D"/>
    <w:rsid w:val="008111D0"/>
    <w:rsid w:val="00811413"/>
    <w:rsid w:val="00811460"/>
    <w:rsid w:val="00811504"/>
    <w:rsid w:val="00811614"/>
    <w:rsid w:val="00811617"/>
    <w:rsid w:val="0081162F"/>
    <w:rsid w:val="00811779"/>
    <w:rsid w:val="008117A7"/>
    <w:rsid w:val="008117EC"/>
    <w:rsid w:val="00811835"/>
    <w:rsid w:val="008118C1"/>
    <w:rsid w:val="008118CB"/>
    <w:rsid w:val="00811965"/>
    <w:rsid w:val="008119EB"/>
    <w:rsid w:val="00811A7F"/>
    <w:rsid w:val="00811B64"/>
    <w:rsid w:val="00811BA3"/>
    <w:rsid w:val="00811C50"/>
    <w:rsid w:val="00811C97"/>
    <w:rsid w:val="00811D75"/>
    <w:rsid w:val="00811D98"/>
    <w:rsid w:val="00811E2C"/>
    <w:rsid w:val="00811E3E"/>
    <w:rsid w:val="00811E76"/>
    <w:rsid w:val="00811F7F"/>
    <w:rsid w:val="00811FA8"/>
    <w:rsid w:val="00811FC2"/>
    <w:rsid w:val="00812073"/>
    <w:rsid w:val="00812088"/>
    <w:rsid w:val="008121E1"/>
    <w:rsid w:val="00812204"/>
    <w:rsid w:val="00812369"/>
    <w:rsid w:val="00812397"/>
    <w:rsid w:val="0081239A"/>
    <w:rsid w:val="008123B3"/>
    <w:rsid w:val="00812652"/>
    <w:rsid w:val="0081289D"/>
    <w:rsid w:val="008129A3"/>
    <w:rsid w:val="00812A02"/>
    <w:rsid w:val="00812A8D"/>
    <w:rsid w:val="00812B02"/>
    <w:rsid w:val="00812B24"/>
    <w:rsid w:val="00812CAB"/>
    <w:rsid w:val="00812CDC"/>
    <w:rsid w:val="00812D00"/>
    <w:rsid w:val="00812E5F"/>
    <w:rsid w:val="00812FFD"/>
    <w:rsid w:val="00813241"/>
    <w:rsid w:val="008132CC"/>
    <w:rsid w:val="00813300"/>
    <w:rsid w:val="0081334F"/>
    <w:rsid w:val="008133D9"/>
    <w:rsid w:val="00813418"/>
    <w:rsid w:val="008134AA"/>
    <w:rsid w:val="0081354E"/>
    <w:rsid w:val="00813565"/>
    <w:rsid w:val="008135B1"/>
    <w:rsid w:val="008135BD"/>
    <w:rsid w:val="008135EA"/>
    <w:rsid w:val="00813630"/>
    <w:rsid w:val="008136DB"/>
    <w:rsid w:val="0081379F"/>
    <w:rsid w:val="008137DA"/>
    <w:rsid w:val="00813844"/>
    <w:rsid w:val="00813879"/>
    <w:rsid w:val="008138AC"/>
    <w:rsid w:val="008138C4"/>
    <w:rsid w:val="008138CC"/>
    <w:rsid w:val="008138F3"/>
    <w:rsid w:val="0081395B"/>
    <w:rsid w:val="008139EE"/>
    <w:rsid w:val="00813A09"/>
    <w:rsid w:val="00813A13"/>
    <w:rsid w:val="00813B4B"/>
    <w:rsid w:val="00813BB4"/>
    <w:rsid w:val="00813BD2"/>
    <w:rsid w:val="00813BDA"/>
    <w:rsid w:val="00813C62"/>
    <w:rsid w:val="00813C9B"/>
    <w:rsid w:val="00813D37"/>
    <w:rsid w:val="00813DB1"/>
    <w:rsid w:val="00813DD8"/>
    <w:rsid w:val="00813DF3"/>
    <w:rsid w:val="00813F74"/>
    <w:rsid w:val="00814148"/>
    <w:rsid w:val="0081417A"/>
    <w:rsid w:val="008141C8"/>
    <w:rsid w:val="00814209"/>
    <w:rsid w:val="00814219"/>
    <w:rsid w:val="008142F0"/>
    <w:rsid w:val="0081433E"/>
    <w:rsid w:val="0081436A"/>
    <w:rsid w:val="00814392"/>
    <w:rsid w:val="008144B1"/>
    <w:rsid w:val="008145A8"/>
    <w:rsid w:val="008145DE"/>
    <w:rsid w:val="008145E2"/>
    <w:rsid w:val="0081463A"/>
    <w:rsid w:val="00814872"/>
    <w:rsid w:val="00814AC2"/>
    <w:rsid w:val="00814B33"/>
    <w:rsid w:val="00814B51"/>
    <w:rsid w:val="00814BB5"/>
    <w:rsid w:val="00814C55"/>
    <w:rsid w:val="00815013"/>
    <w:rsid w:val="00815108"/>
    <w:rsid w:val="00815196"/>
    <w:rsid w:val="0081519A"/>
    <w:rsid w:val="008151A4"/>
    <w:rsid w:val="0081525C"/>
    <w:rsid w:val="0081528C"/>
    <w:rsid w:val="0081534C"/>
    <w:rsid w:val="0081540F"/>
    <w:rsid w:val="00815493"/>
    <w:rsid w:val="008154BE"/>
    <w:rsid w:val="00815547"/>
    <w:rsid w:val="008155C6"/>
    <w:rsid w:val="00815635"/>
    <w:rsid w:val="0081563E"/>
    <w:rsid w:val="008156F7"/>
    <w:rsid w:val="0081587C"/>
    <w:rsid w:val="008158DC"/>
    <w:rsid w:val="00815904"/>
    <w:rsid w:val="00815913"/>
    <w:rsid w:val="00815995"/>
    <w:rsid w:val="00815A18"/>
    <w:rsid w:val="00815B1F"/>
    <w:rsid w:val="00815D2F"/>
    <w:rsid w:val="00815DF7"/>
    <w:rsid w:val="00815E9E"/>
    <w:rsid w:val="00815F07"/>
    <w:rsid w:val="00815F6F"/>
    <w:rsid w:val="00815FC6"/>
    <w:rsid w:val="00815FD4"/>
    <w:rsid w:val="00815FDC"/>
    <w:rsid w:val="00816000"/>
    <w:rsid w:val="00816079"/>
    <w:rsid w:val="008160CB"/>
    <w:rsid w:val="008161F1"/>
    <w:rsid w:val="008161FE"/>
    <w:rsid w:val="00816212"/>
    <w:rsid w:val="00816218"/>
    <w:rsid w:val="0081634F"/>
    <w:rsid w:val="00816397"/>
    <w:rsid w:val="008163C0"/>
    <w:rsid w:val="0081647A"/>
    <w:rsid w:val="008164CC"/>
    <w:rsid w:val="008164D6"/>
    <w:rsid w:val="0081678D"/>
    <w:rsid w:val="008167B2"/>
    <w:rsid w:val="00816897"/>
    <w:rsid w:val="008168E2"/>
    <w:rsid w:val="0081691F"/>
    <w:rsid w:val="00816A34"/>
    <w:rsid w:val="00816A84"/>
    <w:rsid w:val="00816DA1"/>
    <w:rsid w:val="00816E86"/>
    <w:rsid w:val="00816EE3"/>
    <w:rsid w:val="00816F29"/>
    <w:rsid w:val="00816FFD"/>
    <w:rsid w:val="008171B4"/>
    <w:rsid w:val="0081725B"/>
    <w:rsid w:val="008172B0"/>
    <w:rsid w:val="008172F7"/>
    <w:rsid w:val="00817352"/>
    <w:rsid w:val="00817353"/>
    <w:rsid w:val="00817356"/>
    <w:rsid w:val="0081742C"/>
    <w:rsid w:val="0081743C"/>
    <w:rsid w:val="00817498"/>
    <w:rsid w:val="008174E4"/>
    <w:rsid w:val="00817566"/>
    <w:rsid w:val="008175AA"/>
    <w:rsid w:val="008175D3"/>
    <w:rsid w:val="0081767B"/>
    <w:rsid w:val="008176CE"/>
    <w:rsid w:val="008177C6"/>
    <w:rsid w:val="00817821"/>
    <w:rsid w:val="00817857"/>
    <w:rsid w:val="008178BD"/>
    <w:rsid w:val="00817984"/>
    <w:rsid w:val="008179B3"/>
    <w:rsid w:val="00817A18"/>
    <w:rsid w:val="00817A4C"/>
    <w:rsid w:val="00817AC0"/>
    <w:rsid w:val="00817B06"/>
    <w:rsid w:val="00817BAA"/>
    <w:rsid w:val="00817BFB"/>
    <w:rsid w:val="00817D24"/>
    <w:rsid w:val="00817DDF"/>
    <w:rsid w:val="00817DEA"/>
    <w:rsid w:val="00817E22"/>
    <w:rsid w:val="00817F47"/>
    <w:rsid w:val="00817F6F"/>
    <w:rsid w:val="00817F73"/>
    <w:rsid w:val="00817FAD"/>
    <w:rsid w:val="00820015"/>
    <w:rsid w:val="0082003A"/>
    <w:rsid w:val="00820072"/>
    <w:rsid w:val="0082010E"/>
    <w:rsid w:val="008201E1"/>
    <w:rsid w:val="0082023B"/>
    <w:rsid w:val="008202DA"/>
    <w:rsid w:val="00820367"/>
    <w:rsid w:val="0082048D"/>
    <w:rsid w:val="00820563"/>
    <w:rsid w:val="00820572"/>
    <w:rsid w:val="008205BD"/>
    <w:rsid w:val="008205E8"/>
    <w:rsid w:val="008206CD"/>
    <w:rsid w:val="008206D1"/>
    <w:rsid w:val="00820734"/>
    <w:rsid w:val="00820978"/>
    <w:rsid w:val="00820C8D"/>
    <w:rsid w:val="00820D39"/>
    <w:rsid w:val="00820D89"/>
    <w:rsid w:val="00820E35"/>
    <w:rsid w:val="00820F70"/>
    <w:rsid w:val="00821024"/>
    <w:rsid w:val="00821141"/>
    <w:rsid w:val="00821167"/>
    <w:rsid w:val="008211E1"/>
    <w:rsid w:val="0082139B"/>
    <w:rsid w:val="00821510"/>
    <w:rsid w:val="00821523"/>
    <w:rsid w:val="008215B0"/>
    <w:rsid w:val="008215E5"/>
    <w:rsid w:val="00821655"/>
    <w:rsid w:val="00821727"/>
    <w:rsid w:val="0082178C"/>
    <w:rsid w:val="008217D0"/>
    <w:rsid w:val="00821829"/>
    <w:rsid w:val="00821850"/>
    <w:rsid w:val="00821A00"/>
    <w:rsid w:val="00821B09"/>
    <w:rsid w:val="00821B3C"/>
    <w:rsid w:val="00821BC7"/>
    <w:rsid w:val="00821C65"/>
    <w:rsid w:val="00821C6F"/>
    <w:rsid w:val="00821D07"/>
    <w:rsid w:val="00821DB2"/>
    <w:rsid w:val="00821DDD"/>
    <w:rsid w:val="00821DEC"/>
    <w:rsid w:val="00821DFD"/>
    <w:rsid w:val="00821DFE"/>
    <w:rsid w:val="00821F2A"/>
    <w:rsid w:val="00821F57"/>
    <w:rsid w:val="00821FB8"/>
    <w:rsid w:val="0082201F"/>
    <w:rsid w:val="00822024"/>
    <w:rsid w:val="0082221E"/>
    <w:rsid w:val="00822395"/>
    <w:rsid w:val="008223AD"/>
    <w:rsid w:val="00822414"/>
    <w:rsid w:val="00822428"/>
    <w:rsid w:val="00822430"/>
    <w:rsid w:val="00822438"/>
    <w:rsid w:val="008224AA"/>
    <w:rsid w:val="008224BA"/>
    <w:rsid w:val="008225BF"/>
    <w:rsid w:val="00822664"/>
    <w:rsid w:val="00822693"/>
    <w:rsid w:val="008226A1"/>
    <w:rsid w:val="0082276E"/>
    <w:rsid w:val="00822789"/>
    <w:rsid w:val="008227AB"/>
    <w:rsid w:val="008227AC"/>
    <w:rsid w:val="00822823"/>
    <w:rsid w:val="00822835"/>
    <w:rsid w:val="00822957"/>
    <w:rsid w:val="00822980"/>
    <w:rsid w:val="008229CF"/>
    <w:rsid w:val="00822A60"/>
    <w:rsid w:val="00822AA2"/>
    <w:rsid w:val="00822AEF"/>
    <w:rsid w:val="00822BBF"/>
    <w:rsid w:val="00822BCD"/>
    <w:rsid w:val="00822CBA"/>
    <w:rsid w:val="00822CEB"/>
    <w:rsid w:val="00822D16"/>
    <w:rsid w:val="00822D2A"/>
    <w:rsid w:val="00822DD5"/>
    <w:rsid w:val="00822E81"/>
    <w:rsid w:val="00822EB7"/>
    <w:rsid w:val="00822F18"/>
    <w:rsid w:val="00822FA9"/>
    <w:rsid w:val="00822FFF"/>
    <w:rsid w:val="00823018"/>
    <w:rsid w:val="00823051"/>
    <w:rsid w:val="00823057"/>
    <w:rsid w:val="00823065"/>
    <w:rsid w:val="00823083"/>
    <w:rsid w:val="008230A6"/>
    <w:rsid w:val="008230AA"/>
    <w:rsid w:val="00823201"/>
    <w:rsid w:val="008233F1"/>
    <w:rsid w:val="00823427"/>
    <w:rsid w:val="00823670"/>
    <w:rsid w:val="00823682"/>
    <w:rsid w:val="008236DE"/>
    <w:rsid w:val="008236EB"/>
    <w:rsid w:val="00823722"/>
    <w:rsid w:val="00823A84"/>
    <w:rsid w:val="00823B21"/>
    <w:rsid w:val="00823C20"/>
    <w:rsid w:val="00823CC0"/>
    <w:rsid w:val="00823E37"/>
    <w:rsid w:val="00823F8E"/>
    <w:rsid w:val="00824005"/>
    <w:rsid w:val="00824008"/>
    <w:rsid w:val="008240F4"/>
    <w:rsid w:val="0082411D"/>
    <w:rsid w:val="00824127"/>
    <w:rsid w:val="0082421F"/>
    <w:rsid w:val="00824226"/>
    <w:rsid w:val="0082423D"/>
    <w:rsid w:val="008242B9"/>
    <w:rsid w:val="008242FC"/>
    <w:rsid w:val="0082432F"/>
    <w:rsid w:val="00824401"/>
    <w:rsid w:val="00824427"/>
    <w:rsid w:val="008244EA"/>
    <w:rsid w:val="0082450A"/>
    <w:rsid w:val="00824556"/>
    <w:rsid w:val="008245A1"/>
    <w:rsid w:val="00824688"/>
    <w:rsid w:val="0082475E"/>
    <w:rsid w:val="0082483B"/>
    <w:rsid w:val="0082487D"/>
    <w:rsid w:val="0082496B"/>
    <w:rsid w:val="008249B9"/>
    <w:rsid w:val="00824A72"/>
    <w:rsid w:val="00824A8E"/>
    <w:rsid w:val="00824A92"/>
    <w:rsid w:val="00824A9E"/>
    <w:rsid w:val="00824D6F"/>
    <w:rsid w:val="00824DC4"/>
    <w:rsid w:val="00824DF3"/>
    <w:rsid w:val="00824E95"/>
    <w:rsid w:val="00824F1C"/>
    <w:rsid w:val="00825050"/>
    <w:rsid w:val="00825171"/>
    <w:rsid w:val="0082518E"/>
    <w:rsid w:val="00825217"/>
    <w:rsid w:val="008252DB"/>
    <w:rsid w:val="008253F2"/>
    <w:rsid w:val="008254FA"/>
    <w:rsid w:val="00825515"/>
    <w:rsid w:val="00825563"/>
    <w:rsid w:val="00825597"/>
    <w:rsid w:val="00825752"/>
    <w:rsid w:val="00825754"/>
    <w:rsid w:val="0082584E"/>
    <w:rsid w:val="00825974"/>
    <w:rsid w:val="00825A90"/>
    <w:rsid w:val="00825B54"/>
    <w:rsid w:val="00825C27"/>
    <w:rsid w:val="00825C65"/>
    <w:rsid w:val="00825CA4"/>
    <w:rsid w:val="00825DAD"/>
    <w:rsid w:val="00825E6F"/>
    <w:rsid w:val="00825EB1"/>
    <w:rsid w:val="008260AF"/>
    <w:rsid w:val="00826168"/>
    <w:rsid w:val="00826197"/>
    <w:rsid w:val="008261EB"/>
    <w:rsid w:val="00826216"/>
    <w:rsid w:val="0082628F"/>
    <w:rsid w:val="008262AB"/>
    <w:rsid w:val="00826327"/>
    <w:rsid w:val="00826382"/>
    <w:rsid w:val="00826450"/>
    <w:rsid w:val="008264AD"/>
    <w:rsid w:val="00826571"/>
    <w:rsid w:val="008266A8"/>
    <w:rsid w:val="0082670A"/>
    <w:rsid w:val="0082681A"/>
    <w:rsid w:val="008268BB"/>
    <w:rsid w:val="0082697D"/>
    <w:rsid w:val="00826A2E"/>
    <w:rsid w:val="00826A5E"/>
    <w:rsid w:val="00826B91"/>
    <w:rsid w:val="00826C34"/>
    <w:rsid w:val="00826CCF"/>
    <w:rsid w:val="00826D75"/>
    <w:rsid w:val="00827042"/>
    <w:rsid w:val="00827045"/>
    <w:rsid w:val="00827077"/>
    <w:rsid w:val="0082719A"/>
    <w:rsid w:val="0082723C"/>
    <w:rsid w:val="00827292"/>
    <w:rsid w:val="008272D6"/>
    <w:rsid w:val="008272EB"/>
    <w:rsid w:val="00827425"/>
    <w:rsid w:val="00827585"/>
    <w:rsid w:val="008275C4"/>
    <w:rsid w:val="00827614"/>
    <w:rsid w:val="00827666"/>
    <w:rsid w:val="0082773F"/>
    <w:rsid w:val="008277FB"/>
    <w:rsid w:val="00827834"/>
    <w:rsid w:val="00827853"/>
    <w:rsid w:val="00827871"/>
    <w:rsid w:val="008278CB"/>
    <w:rsid w:val="0082795B"/>
    <w:rsid w:val="00827A65"/>
    <w:rsid w:val="00827AE5"/>
    <w:rsid w:val="00827C0B"/>
    <w:rsid w:val="00827C2A"/>
    <w:rsid w:val="00827C87"/>
    <w:rsid w:val="00827CA2"/>
    <w:rsid w:val="00827CBF"/>
    <w:rsid w:val="00827CFC"/>
    <w:rsid w:val="00827D23"/>
    <w:rsid w:val="00827F05"/>
    <w:rsid w:val="00827F69"/>
    <w:rsid w:val="0083000B"/>
    <w:rsid w:val="0083004B"/>
    <w:rsid w:val="00830185"/>
    <w:rsid w:val="008301F5"/>
    <w:rsid w:val="0083033A"/>
    <w:rsid w:val="00830365"/>
    <w:rsid w:val="0083037A"/>
    <w:rsid w:val="008303D7"/>
    <w:rsid w:val="008303D9"/>
    <w:rsid w:val="0083048B"/>
    <w:rsid w:val="008304EE"/>
    <w:rsid w:val="00830508"/>
    <w:rsid w:val="00830543"/>
    <w:rsid w:val="0083063F"/>
    <w:rsid w:val="008306FF"/>
    <w:rsid w:val="00830786"/>
    <w:rsid w:val="00830852"/>
    <w:rsid w:val="00830877"/>
    <w:rsid w:val="008308C9"/>
    <w:rsid w:val="00830973"/>
    <w:rsid w:val="008309CF"/>
    <w:rsid w:val="008309F2"/>
    <w:rsid w:val="00830A66"/>
    <w:rsid w:val="00830B47"/>
    <w:rsid w:val="00830B4D"/>
    <w:rsid w:val="00830B9E"/>
    <w:rsid w:val="00830BF6"/>
    <w:rsid w:val="00830C79"/>
    <w:rsid w:val="00830D02"/>
    <w:rsid w:val="00830D0F"/>
    <w:rsid w:val="00830D12"/>
    <w:rsid w:val="00830E02"/>
    <w:rsid w:val="00830EA1"/>
    <w:rsid w:val="00830F76"/>
    <w:rsid w:val="00830FB2"/>
    <w:rsid w:val="00831157"/>
    <w:rsid w:val="008311C9"/>
    <w:rsid w:val="008312ED"/>
    <w:rsid w:val="008313A8"/>
    <w:rsid w:val="008313B5"/>
    <w:rsid w:val="0083143B"/>
    <w:rsid w:val="00831487"/>
    <w:rsid w:val="008314A9"/>
    <w:rsid w:val="008314F8"/>
    <w:rsid w:val="0083159E"/>
    <w:rsid w:val="008315B6"/>
    <w:rsid w:val="00831699"/>
    <w:rsid w:val="0083169C"/>
    <w:rsid w:val="00831884"/>
    <w:rsid w:val="0083192C"/>
    <w:rsid w:val="008319C0"/>
    <w:rsid w:val="008319F6"/>
    <w:rsid w:val="00831A66"/>
    <w:rsid w:val="00831AD3"/>
    <w:rsid w:val="00831B47"/>
    <w:rsid w:val="00831BA0"/>
    <w:rsid w:val="00831C04"/>
    <w:rsid w:val="00831C80"/>
    <w:rsid w:val="00831D34"/>
    <w:rsid w:val="00831DE9"/>
    <w:rsid w:val="00831E77"/>
    <w:rsid w:val="00831F47"/>
    <w:rsid w:val="00831F81"/>
    <w:rsid w:val="00831FBB"/>
    <w:rsid w:val="008321B4"/>
    <w:rsid w:val="00832237"/>
    <w:rsid w:val="008322E2"/>
    <w:rsid w:val="008324D7"/>
    <w:rsid w:val="00832533"/>
    <w:rsid w:val="00832630"/>
    <w:rsid w:val="00832639"/>
    <w:rsid w:val="00832663"/>
    <w:rsid w:val="0083269D"/>
    <w:rsid w:val="00832724"/>
    <w:rsid w:val="00832742"/>
    <w:rsid w:val="008327C8"/>
    <w:rsid w:val="0083284F"/>
    <w:rsid w:val="00832895"/>
    <w:rsid w:val="00832989"/>
    <w:rsid w:val="008329F5"/>
    <w:rsid w:val="00832A7D"/>
    <w:rsid w:val="00832B3A"/>
    <w:rsid w:val="00832B71"/>
    <w:rsid w:val="00832D26"/>
    <w:rsid w:val="0083305B"/>
    <w:rsid w:val="00833098"/>
    <w:rsid w:val="008330C5"/>
    <w:rsid w:val="008331C7"/>
    <w:rsid w:val="008331E6"/>
    <w:rsid w:val="008331EB"/>
    <w:rsid w:val="008332B4"/>
    <w:rsid w:val="00833329"/>
    <w:rsid w:val="00833340"/>
    <w:rsid w:val="008333F6"/>
    <w:rsid w:val="00833419"/>
    <w:rsid w:val="00833548"/>
    <w:rsid w:val="0083357F"/>
    <w:rsid w:val="00833587"/>
    <w:rsid w:val="0083362E"/>
    <w:rsid w:val="00833638"/>
    <w:rsid w:val="00833639"/>
    <w:rsid w:val="008336A5"/>
    <w:rsid w:val="008336C8"/>
    <w:rsid w:val="008337EE"/>
    <w:rsid w:val="0083390F"/>
    <w:rsid w:val="0083391A"/>
    <w:rsid w:val="0083392B"/>
    <w:rsid w:val="00833A54"/>
    <w:rsid w:val="00833A8D"/>
    <w:rsid w:val="00833B12"/>
    <w:rsid w:val="00833B5F"/>
    <w:rsid w:val="00833BC0"/>
    <w:rsid w:val="00833C4E"/>
    <w:rsid w:val="00833CC3"/>
    <w:rsid w:val="00833E03"/>
    <w:rsid w:val="00833E04"/>
    <w:rsid w:val="00833E0F"/>
    <w:rsid w:val="00833EE5"/>
    <w:rsid w:val="00833FD1"/>
    <w:rsid w:val="0083404B"/>
    <w:rsid w:val="008340C6"/>
    <w:rsid w:val="00834180"/>
    <w:rsid w:val="0083422B"/>
    <w:rsid w:val="00834245"/>
    <w:rsid w:val="00834255"/>
    <w:rsid w:val="008343E4"/>
    <w:rsid w:val="008344A8"/>
    <w:rsid w:val="0083454A"/>
    <w:rsid w:val="00834604"/>
    <w:rsid w:val="008347B2"/>
    <w:rsid w:val="00834907"/>
    <w:rsid w:val="0083493C"/>
    <w:rsid w:val="00834977"/>
    <w:rsid w:val="00834A30"/>
    <w:rsid w:val="00834A85"/>
    <w:rsid w:val="00834AAB"/>
    <w:rsid w:val="00834AB3"/>
    <w:rsid w:val="00834BAE"/>
    <w:rsid w:val="00834BCE"/>
    <w:rsid w:val="00834D6B"/>
    <w:rsid w:val="00834E22"/>
    <w:rsid w:val="00834E47"/>
    <w:rsid w:val="00834E7D"/>
    <w:rsid w:val="00834EB8"/>
    <w:rsid w:val="00834FE9"/>
    <w:rsid w:val="0083501D"/>
    <w:rsid w:val="008350EC"/>
    <w:rsid w:val="00835118"/>
    <w:rsid w:val="0083536D"/>
    <w:rsid w:val="008353FD"/>
    <w:rsid w:val="008354A0"/>
    <w:rsid w:val="00835504"/>
    <w:rsid w:val="008356C3"/>
    <w:rsid w:val="0083574E"/>
    <w:rsid w:val="00835757"/>
    <w:rsid w:val="00835901"/>
    <w:rsid w:val="00835909"/>
    <w:rsid w:val="00835976"/>
    <w:rsid w:val="00835A06"/>
    <w:rsid w:val="00835A36"/>
    <w:rsid w:val="00835A57"/>
    <w:rsid w:val="00835A7F"/>
    <w:rsid w:val="00835ABA"/>
    <w:rsid w:val="00835B2F"/>
    <w:rsid w:val="00835B38"/>
    <w:rsid w:val="00835B81"/>
    <w:rsid w:val="00835BB8"/>
    <w:rsid w:val="00835C67"/>
    <w:rsid w:val="00835CBC"/>
    <w:rsid w:val="00835CC5"/>
    <w:rsid w:val="00835CDC"/>
    <w:rsid w:val="00835D1C"/>
    <w:rsid w:val="00835D58"/>
    <w:rsid w:val="00835E22"/>
    <w:rsid w:val="00835E2E"/>
    <w:rsid w:val="00835F3A"/>
    <w:rsid w:val="00835F80"/>
    <w:rsid w:val="00836113"/>
    <w:rsid w:val="0083611D"/>
    <w:rsid w:val="008361BE"/>
    <w:rsid w:val="008361DE"/>
    <w:rsid w:val="00836370"/>
    <w:rsid w:val="00836448"/>
    <w:rsid w:val="00836450"/>
    <w:rsid w:val="008364AD"/>
    <w:rsid w:val="008364EB"/>
    <w:rsid w:val="008365B3"/>
    <w:rsid w:val="008366DA"/>
    <w:rsid w:val="00836759"/>
    <w:rsid w:val="0083685A"/>
    <w:rsid w:val="00836874"/>
    <w:rsid w:val="00836892"/>
    <w:rsid w:val="00836907"/>
    <w:rsid w:val="00836AD8"/>
    <w:rsid w:val="00836AFC"/>
    <w:rsid w:val="00836B37"/>
    <w:rsid w:val="00836B4B"/>
    <w:rsid w:val="00836BDE"/>
    <w:rsid w:val="00836C9D"/>
    <w:rsid w:val="00836CA5"/>
    <w:rsid w:val="00836CB7"/>
    <w:rsid w:val="00836CED"/>
    <w:rsid w:val="00836D6A"/>
    <w:rsid w:val="00836E3D"/>
    <w:rsid w:val="00836E48"/>
    <w:rsid w:val="00836F04"/>
    <w:rsid w:val="00836F0B"/>
    <w:rsid w:val="00836F93"/>
    <w:rsid w:val="00836F9A"/>
    <w:rsid w:val="00836FB1"/>
    <w:rsid w:val="00836FC6"/>
    <w:rsid w:val="008370B0"/>
    <w:rsid w:val="008370FF"/>
    <w:rsid w:val="00837183"/>
    <w:rsid w:val="008373C6"/>
    <w:rsid w:val="008374D6"/>
    <w:rsid w:val="008374F0"/>
    <w:rsid w:val="008376D7"/>
    <w:rsid w:val="00837706"/>
    <w:rsid w:val="008377B1"/>
    <w:rsid w:val="00837816"/>
    <w:rsid w:val="008379EC"/>
    <w:rsid w:val="00837A02"/>
    <w:rsid w:val="00837AA1"/>
    <w:rsid w:val="00837B79"/>
    <w:rsid w:val="00837BF9"/>
    <w:rsid w:val="00837D57"/>
    <w:rsid w:val="00837DA8"/>
    <w:rsid w:val="00837E28"/>
    <w:rsid w:val="00837E6A"/>
    <w:rsid w:val="00837E87"/>
    <w:rsid w:val="00837E93"/>
    <w:rsid w:val="00837FA6"/>
    <w:rsid w:val="0084001D"/>
    <w:rsid w:val="0084003C"/>
    <w:rsid w:val="008400DD"/>
    <w:rsid w:val="008401E3"/>
    <w:rsid w:val="0084028C"/>
    <w:rsid w:val="00840293"/>
    <w:rsid w:val="0084031E"/>
    <w:rsid w:val="0084037F"/>
    <w:rsid w:val="0084047B"/>
    <w:rsid w:val="008404AE"/>
    <w:rsid w:val="008404BD"/>
    <w:rsid w:val="008404F8"/>
    <w:rsid w:val="0084054D"/>
    <w:rsid w:val="00840562"/>
    <w:rsid w:val="0084056D"/>
    <w:rsid w:val="00840622"/>
    <w:rsid w:val="00840750"/>
    <w:rsid w:val="008407A5"/>
    <w:rsid w:val="00840991"/>
    <w:rsid w:val="008409D9"/>
    <w:rsid w:val="00840A1E"/>
    <w:rsid w:val="00840A3D"/>
    <w:rsid w:val="00840B2E"/>
    <w:rsid w:val="00840B8B"/>
    <w:rsid w:val="00840C74"/>
    <w:rsid w:val="00840D2B"/>
    <w:rsid w:val="00840E21"/>
    <w:rsid w:val="00840E2E"/>
    <w:rsid w:val="00840EE0"/>
    <w:rsid w:val="00840F32"/>
    <w:rsid w:val="00840F8E"/>
    <w:rsid w:val="00841035"/>
    <w:rsid w:val="00841062"/>
    <w:rsid w:val="00841088"/>
    <w:rsid w:val="008410C5"/>
    <w:rsid w:val="008410F5"/>
    <w:rsid w:val="0084115F"/>
    <w:rsid w:val="008411A1"/>
    <w:rsid w:val="008411A2"/>
    <w:rsid w:val="0084123B"/>
    <w:rsid w:val="00841255"/>
    <w:rsid w:val="008412B6"/>
    <w:rsid w:val="00841316"/>
    <w:rsid w:val="0084137E"/>
    <w:rsid w:val="008413DA"/>
    <w:rsid w:val="0084143E"/>
    <w:rsid w:val="00841557"/>
    <w:rsid w:val="00841612"/>
    <w:rsid w:val="008416B5"/>
    <w:rsid w:val="00841768"/>
    <w:rsid w:val="008417D9"/>
    <w:rsid w:val="008417E7"/>
    <w:rsid w:val="0084185E"/>
    <w:rsid w:val="00841A64"/>
    <w:rsid w:val="00841A82"/>
    <w:rsid w:val="00841AA4"/>
    <w:rsid w:val="00841C62"/>
    <w:rsid w:val="00841C8D"/>
    <w:rsid w:val="00841CD6"/>
    <w:rsid w:val="00841D05"/>
    <w:rsid w:val="00841D43"/>
    <w:rsid w:val="00841D53"/>
    <w:rsid w:val="00841E24"/>
    <w:rsid w:val="00841EE5"/>
    <w:rsid w:val="00841EE9"/>
    <w:rsid w:val="00841F70"/>
    <w:rsid w:val="00841F7D"/>
    <w:rsid w:val="0084211E"/>
    <w:rsid w:val="0084214D"/>
    <w:rsid w:val="00842164"/>
    <w:rsid w:val="008421B4"/>
    <w:rsid w:val="008422B2"/>
    <w:rsid w:val="008422C4"/>
    <w:rsid w:val="008423AA"/>
    <w:rsid w:val="008423C1"/>
    <w:rsid w:val="00842467"/>
    <w:rsid w:val="0084246C"/>
    <w:rsid w:val="008425B6"/>
    <w:rsid w:val="008425DA"/>
    <w:rsid w:val="008425EB"/>
    <w:rsid w:val="0084265A"/>
    <w:rsid w:val="00842666"/>
    <w:rsid w:val="008426CA"/>
    <w:rsid w:val="008427FB"/>
    <w:rsid w:val="00842862"/>
    <w:rsid w:val="008428CC"/>
    <w:rsid w:val="00842A7E"/>
    <w:rsid w:val="00842A82"/>
    <w:rsid w:val="00842AAB"/>
    <w:rsid w:val="00842AAC"/>
    <w:rsid w:val="00842B58"/>
    <w:rsid w:val="00842B5D"/>
    <w:rsid w:val="00842BA3"/>
    <w:rsid w:val="00842BAD"/>
    <w:rsid w:val="00842BF6"/>
    <w:rsid w:val="00842C7E"/>
    <w:rsid w:val="00842DDD"/>
    <w:rsid w:val="00842E40"/>
    <w:rsid w:val="00842E4B"/>
    <w:rsid w:val="00842F15"/>
    <w:rsid w:val="00842FD6"/>
    <w:rsid w:val="008431A5"/>
    <w:rsid w:val="008431EE"/>
    <w:rsid w:val="008432B2"/>
    <w:rsid w:val="00843301"/>
    <w:rsid w:val="00843306"/>
    <w:rsid w:val="00843422"/>
    <w:rsid w:val="008434A6"/>
    <w:rsid w:val="00843516"/>
    <w:rsid w:val="008435BF"/>
    <w:rsid w:val="008435DF"/>
    <w:rsid w:val="008436F0"/>
    <w:rsid w:val="008437AB"/>
    <w:rsid w:val="008437D1"/>
    <w:rsid w:val="0084390E"/>
    <w:rsid w:val="00843956"/>
    <w:rsid w:val="00843A34"/>
    <w:rsid w:val="00843ABD"/>
    <w:rsid w:val="00843B1D"/>
    <w:rsid w:val="00843B7D"/>
    <w:rsid w:val="00843C37"/>
    <w:rsid w:val="00843C6F"/>
    <w:rsid w:val="00843D8A"/>
    <w:rsid w:val="00843E13"/>
    <w:rsid w:val="008440A8"/>
    <w:rsid w:val="008441B5"/>
    <w:rsid w:val="008441C4"/>
    <w:rsid w:val="008441FA"/>
    <w:rsid w:val="0084423B"/>
    <w:rsid w:val="0084425B"/>
    <w:rsid w:val="008442DF"/>
    <w:rsid w:val="00844395"/>
    <w:rsid w:val="0084439D"/>
    <w:rsid w:val="008443E8"/>
    <w:rsid w:val="0084442D"/>
    <w:rsid w:val="008444D5"/>
    <w:rsid w:val="008444F3"/>
    <w:rsid w:val="0084454D"/>
    <w:rsid w:val="008446D3"/>
    <w:rsid w:val="00844711"/>
    <w:rsid w:val="0084472B"/>
    <w:rsid w:val="008447DB"/>
    <w:rsid w:val="00844815"/>
    <w:rsid w:val="00844834"/>
    <w:rsid w:val="00844878"/>
    <w:rsid w:val="00844A2E"/>
    <w:rsid w:val="00844A6E"/>
    <w:rsid w:val="00844AE2"/>
    <w:rsid w:val="00844B0A"/>
    <w:rsid w:val="00844B67"/>
    <w:rsid w:val="00844BCF"/>
    <w:rsid w:val="00844C36"/>
    <w:rsid w:val="00844C54"/>
    <w:rsid w:val="00844C66"/>
    <w:rsid w:val="00844CB1"/>
    <w:rsid w:val="00844E06"/>
    <w:rsid w:val="00844EAF"/>
    <w:rsid w:val="00844EB9"/>
    <w:rsid w:val="00844EBF"/>
    <w:rsid w:val="00844EDD"/>
    <w:rsid w:val="00844EDF"/>
    <w:rsid w:val="00844F8E"/>
    <w:rsid w:val="00844FDC"/>
    <w:rsid w:val="00844FEF"/>
    <w:rsid w:val="0084511F"/>
    <w:rsid w:val="008451D9"/>
    <w:rsid w:val="00845285"/>
    <w:rsid w:val="008452DB"/>
    <w:rsid w:val="008452F1"/>
    <w:rsid w:val="00845396"/>
    <w:rsid w:val="008453E6"/>
    <w:rsid w:val="008453FB"/>
    <w:rsid w:val="00845401"/>
    <w:rsid w:val="008454E9"/>
    <w:rsid w:val="008455A2"/>
    <w:rsid w:val="00845655"/>
    <w:rsid w:val="00845684"/>
    <w:rsid w:val="008457BC"/>
    <w:rsid w:val="00845836"/>
    <w:rsid w:val="00845868"/>
    <w:rsid w:val="00845869"/>
    <w:rsid w:val="00845878"/>
    <w:rsid w:val="0084589F"/>
    <w:rsid w:val="008458F5"/>
    <w:rsid w:val="008459C5"/>
    <w:rsid w:val="00845A89"/>
    <w:rsid w:val="00845AAD"/>
    <w:rsid w:val="00845B06"/>
    <w:rsid w:val="00845B56"/>
    <w:rsid w:val="00845B9D"/>
    <w:rsid w:val="00845C14"/>
    <w:rsid w:val="00845D34"/>
    <w:rsid w:val="00845D88"/>
    <w:rsid w:val="00845D92"/>
    <w:rsid w:val="00845ECA"/>
    <w:rsid w:val="00845ECC"/>
    <w:rsid w:val="00845F40"/>
    <w:rsid w:val="00845F7F"/>
    <w:rsid w:val="0084603E"/>
    <w:rsid w:val="0084604C"/>
    <w:rsid w:val="00846059"/>
    <w:rsid w:val="00846076"/>
    <w:rsid w:val="0084607F"/>
    <w:rsid w:val="00846176"/>
    <w:rsid w:val="00846195"/>
    <w:rsid w:val="008461AE"/>
    <w:rsid w:val="00846275"/>
    <w:rsid w:val="0084628F"/>
    <w:rsid w:val="00846325"/>
    <w:rsid w:val="00846408"/>
    <w:rsid w:val="008465D3"/>
    <w:rsid w:val="0084666A"/>
    <w:rsid w:val="00846695"/>
    <w:rsid w:val="00846758"/>
    <w:rsid w:val="0084678E"/>
    <w:rsid w:val="008467BC"/>
    <w:rsid w:val="00846842"/>
    <w:rsid w:val="00846AB8"/>
    <w:rsid w:val="00846AE2"/>
    <w:rsid w:val="00846AFD"/>
    <w:rsid w:val="00846B39"/>
    <w:rsid w:val="00846BD8"/>
    <w:rsid w:val="00846CAF"/>
    <w:rsid w:val="00846CC1"/>
    <w:rsid w:val="00846D02"/>
    <w:rsid w:val="00846DD5"/>
    <w:rsid w:val="00846E57"/>
    <w:rsid w:val="00846E9D"/>
    <w:rsid w:val="00846F9F"/>
    <w:rsid w:val="00847248"/>
    <w:rsid w:val="00847343"/>
    <w:rsid w:val="00847374"/>
    <w:rsid w:val="008473F3"/>
    <w:rsid w:val="00847465"/>
    <w:rsid w:val="00847466"/>
    <w:rsid w:val="008474F3"/>
    <w:rsid w:val="0084758E"/>
    <w:rsid w:val="00847621"/>
    <w:rsid w:val="008476FD"/>
    <w:rsid w:val="00847702"/>
    <w:rsid w:val="00847746"/>
    <w:rsid w:val="00847753"/>
    <w:rsid w:val="0084778B"/>
    <w:rsid w:val="00847794"/>
    <w:rsid w:val="008477DF"/>
    <w:rsid w:val="008478B9"/>
    <w:rsid w:val="00847A0D"/>
    <w:rsid w:val="00847AF2"/>
    <w:rsid w:val="00847BE4"/>
    <w:rsid w:val="00847C20"/>
    <w:rsid w:val="00847CB5"/>
    <w:rsid w:val="00847CD2"/>
    <w:rsid w:val="00847D41"/>
    <w:rsid w:val="00847D44"/>
    <w:rsid w:val="00847E19"/>
    <w:rsid w:val="00847E2F"/>
    <w:rsid w:val="00847E96"/>
    <w:rsid w:val="00847E9D"/>
    <w:rsid w:val="00847F31"/>
    <w:rsid w:val="00847F42"/>
    <w:rsid w:val="0085008E"/>
    <w:rsid w:val="0085010C"/>
    <w:rsid w:val="0085012A"/>
    <w:rsid w:val="00850264"/>
    <w:rsid w:val="008502E4"/>
    <w:rsid w:val="00850315"/>
    <w:rsid w:val="00850396"/>
    <w:rsid w:val="0085043F"/>
    <w:rsid w:val="0085050B"/>
    <w:rsid w:val="008505E0"/>
    <w:rsid w:val="0085075B"/>
    <w:rsid w:val="00850938"/>
    <w:rsid w:val="008509C9"/>
    <w:rsid w:val="00850AA7"/>
    <w:rsid w:val="00850C93"/>
    <w:rsid w:val="00850CA4"/>
    <w:rsid w:val="00850CB3"/>
    <w:rsid w:val="00850DDC"/>
    <w:rsid w:val="00850EFC"/>
    <w:rsid w:val="00850F08"/>
    <w:rsid w:val="008510AB"/>
    <w:rsid w:val="00851226"/>
    <w:rsid w:val="00851266"/>
    <w:rsid w:val="00851430"/>
    <w:rsid w:val="008514B7"/>
    <w:rsid w:val="00851522"/>
    <w:rsid w:val="0085152F"/>
    <w:rsid w:val="00851535"/>
    <w:rsid w:val="008515AD"/>
    <w:rsid w:val="008515D8"/>
    <w:rsid w:val="00851673"/>
    <w:rsid w:val="008517C7"/>
    <w:rsid w:val="008518CB"/>
    <w:rsid w:val="008518E7"/>
    <w:rsid w:val="0085191C"/>
    <w:rsid w:val="00851992"/>
    <w:rsid w:val="008519D7"/>
    <w:rsid w:val="00851A3D"/>
    <w:rsid w:val="00851A94"/>
    <w:rsid w:val="00851ACB"/>
    <w:rsid w:val="00851B2C"/>
    <w:rsid w:val="00851DA6"/>
    <w:rsid w:val="00851E3D"/>
    <w:rsid w:val="00851E64"/>
    <w:rsid w:val="00851F39"/>
    <w:rsid w:val="00851F8C"/>
    <w:rsid w:val="00851FD7"/>
    <w:rsid w:val="0085205E"/>
    <w:rsid w:val="00852082"/>
    <w:rsid w:val="00852100"/>
    <w:rsid w:val="00852267"/>
    <w:rsid w:val="00852331"/>
    <w:rsid w:val="008524CE"/>
    <w:rsid w:val="0085266A"/>
    <w:rsid w:val="00852737"/>
    <w:rsid w:val="00852895"/>
    <w:rsid w:val="0085292B"/>
    <w:rsid w:val="0085299F"/>
    <w:rsid w:val="008529DB"/>
    <w:rsid w:val="00852AE9"/>
    <w:rsid w:val="00852BBE"/>
    <w:rsid w:val="00852C0B"/>
    <w:rsid w:val="00852CC8"/>
    <w:rsid w:val="00852CD8"/>
    <w:rsid w:val="00852CEA"/>
    <w:rsid w:val="00852D02"/>
    <w:rsid w:val="00852E01"/>
    <w:rsid w:val="00852E42"/>
    <w:rsid w:val="00852E85"/>
    <w:rsid w:val="00852F09"/>
    <w:rsid w:val="00852F71"/>
    <w:rsid w:val="00853080"/>
    <w:rsid w:val="00853112"/>
    <w:rsid w:val="0085311A"/>
    <w:rsid w:val="0085312A"/>
    <w:rsid w:val="008531B6"/>
    <w:rsid w:val="008532BF"/>
    <w:rsid w:val="00853412"/>
    <w:rsid w:val="00853690"/>
    <w:rsid w:val="00853782"/>
    <w:rsid w:val="008537A9"/>
    <w:rsid w:val="008537C8"/>
    <w:rsid w:val="00853826"/>
    <w:rsid w:val="008538AC"/>
    <w:rsid w:val="0085394F"/>
    <w:rsid w:val="00853A41"/>
    <w:rsid w:val="00853A5D"/>
    <w:rsid w:val="00853A7A"/>
    <w:rsid w:val="00853AA1"/>
    <w:rsid w:val="00853B26"/>
    <w:rsid w:val="00853B61"/>
    <w:rsid w:val="00853D11"/>
    <w:rsid w:val="00853D59"/>
    <w:rsid w:val="00853D86"/>
    <w:rsid w:val="00853E9A"/>
    <w:rsid w:val="00853EBF"/>
    <w:rsid w:val="00853ED0"/>
    <w:rsid w:val="00853F9B"/>
    <w:rsid w:val="00854141"/>
    <w:rsid w:val="00854173"/>
    <w:rsid w:val="008541D6"/>
    <w:rsid w:val="00854303"/>
    <w:rsid w:val="00854338"/>
    <w:rsid w:val="00854362"/>
    <w:rsid w:val="008543A0"/>
    <w:rsid w:val="008544B7"/>
    <w:rsid w:val="008544E7"/>
    <w:rsid w:val="008545BF"/>
    <w:rsid w:val="008546A3"/>
    <w:rsid w:val="008547CF"/>
    <w:rsid w:val="0085484F"/>
    <w:rsid w:val="008549B5"/>
    <w:rsid w:val="008549CC"/>
    <w:rsid w:val="008549F4"/>
    <w:rsid w:val="00854BB3"/>
    <w:rsid w:val="00854BC5"/>
    <w:rsid w:val="00854BE3"/>
    <w:rsid w:val="00854BEB"/>
    <w:rsid w:val="00854CB3"/>
    <w:rsid w:val="00854D4C"/>
    <w:rsid w:val="00854D52"/>
    <w:rsid w:val="00854E22"/>
    <w:rsid w:val="00854E78"/>
    <w:rsid w:val="00854FDE"/>
    <w:rsid w:val="00854FF9"/>
    <w:rsid w:val="00855001"/>
    <w:rsid w:val="00855051"/>
    <w:rsid w:val="00855056"/>
    <w:rsid w:val="008550C0"/>
    <w:rsid w:val="008550D0"/>
    <w:rsid w:val="00855128"/>
    <w:rsid w:val="00855136"/>
    <w:rsid w:val="00855157"/>
    <w:rsid w:val="008551C5"/>
    <w:rsid w:val="008551DE"/>
    <w:rsid w:val="00855338"/>
    <w:rsid w:val="00855445"/>
    <w:rsid w:val="0085544E"/>
    <w:rsid w:val="0085567C"/>
    <w:rsid w:val="00855694"/>
    <w:rsid w:val="008557B9"/>
    <w:rsid w:val="0085589E"/>
    <w:rsid w:val="008558E6"/>
    <w:rsid w:val="00855906"/>
    <w:rsid w:val="0085598A"/>
    <w:rsid w:val="008559FD"/>
    <w:rsid w:val="00855A80"/>
    <w:rsid w:val="00855C75"/>
    <w:rsid w:val="00855CEF"/>
    <w:rsid w:val="00855D0E"/>
    <w:rsid w:val="00855DB2"/>
    <w:rsid w:val="00855DD2"/>
    <w:rsid w:val="00855E63"/>
    <w:rsid w:val="00855E93"/>
    <w:rsid w:val="00855E9A"/>
    <w:rsid w:val="00855F37"/>
    <w:rsid w:val="00855F49"/>
    <w:rsid w:val="00856031"/>
    <w:rsid w:val="00856044"/>
    <w:rsid w:val="00856089"/>
    <w:rsid w:val="008560A9"/>
    <w:rsid w:val="008560D1"/>
    <w:rsid w:val="00856100"/>
    <w:rsid w:val="00856131"/>
    <w:rsid w:val="0085615F"/>
    <w:rsid w:val="00856321"/>
    <w:rsid w:val="00856375"/>
    <w:rsid w:val="008563F3"/>
    <w:rsid w:val="0085641F"/>
    <w:rsid w:val="008564BA"/>
    <w:rsid w:val="008564EC"/>
    <w:rsid w:val="0085657E"/>
    <w:rsid w:val="008565DD"/>
    <w:rsid w:val="00856668"/>
    <w:rsid w:val="00856670"/>
    <w:rsid w:val="00856843"/>
    <w:rsid w:val="008568DF"/>
    <w:rsid w:val="00856914"/>
    <w:rsid w:val="00856AAF"/>
    <w:rsid w:val="00856B3C"/>
    <w:rsid w:val="00856B69"/>
    <w:rsid w:val="00856CC5"/>
    <w:rsid w:val="00856CD5"/>
    <w:rsid w:val="00856D24"/>
    <w:rsid w:val="00856D97"/>
    <w:rsid w:val="00856DEE"/>
    <w:rsid w:val="00856EFF"/>
    <w:rsid w:val="00856F25"/>
    <w:rsid w:val="00856F54"/>
    <w:rsid w:val="00856F91"/>
    <w:rsid w:val="0085704E"/>
    <w:rsid w:val="008570F2"/>
    <w:rsid w:val="00857183"/>
    <w:rsid w:val="0085721D"/>
    <w:rsid w:val="00857244"/>
    <w:rsid w:val="00857251"/>
    <w:rsid w:val="00857330"/>
    <w:rsid w:val="0085741F"/>
    <w:rsid w:val="0085767D"/>
    <w:rsid w:val="0085774A"/>
    <w:rsid w:val="00857775"/>
    <w:rsid w:val="008577C5"/>
    <w:rsid w:val="0085793A"/>
    <w:rsid w:val="008579EE"/>
    <w:rsid w:val="00857A7C"/>
    <w:rsid w:val="00857A80"/>
    <w:rsid w:val="00857B7D"/>
    <w:rsid w:val="00857BC2"/>
    <w:rsid w:val="00857C4A"/>
    <w:rsid w:val="00857D20"/>
    <w:rsid w:val="00857DAE"/>
    <w:rsid w:val="00857DF0"/>
    <w:rsid w:val="00857E54"/>
    <w:rsid w:val="00857E81"/>
    <w:rsid w:val="00857EA1"/>
    <w:rsid w:val="00857F17"/>
    <w:rsid w:val="00857F8C"/>
    <w:rsid w:val="00860136"/>
    <w:rsid w:val="00860247"/>
    <w:rsid w:val="00860276"/>
    <w:rsid w:val="008602BD"/>
    <w:rsid w:val="008602D0"/>
    <w:rsid w:val="00860484"/>
    <w:rsid w:val="008604CE"/>
    <w:rsid w:val="008604EE"/>
    <w:rsid w:val="008605CF"/>
    <w:rsid w:val="00860661"/>
    <w:rsid w:val="008608C0"/>
    <w:rsid w:val="008608C5"/>
    <w:rsid w:val="008608D5"/>
    <w:rsid w:val="008608EC"/>
    <w:rsid w:val="0086090D"/>
    <w:rsid w:val="008609B3"/>
    <w:rsid w:val="00860A9E"/>
    <w:rsid w:val="00860AE9"/>
    <w:rsid w:val="00860B8E"/>
    <w:rsid w:val="00860C7D"/>
    <w:rsid w:val="00860C81"/>
    <w:rsid w:val="00860CDC"/>
    <w:rsid w:val="00860CF5"/>
    <w:rsid w:val="00860D11"/>
    <w:rsid w:val="00860D76"/>
    <w:rsid w:val="00860E01"/>
    <w:rsid w:val="00860ECE"/>
    <w:rsid w:val="00860F6D"/>
    <w:rsid w:val="00860F83"/>
    <w:rsid w:val="00861186"/>
    <w:rsid w:val="008611D9"/>
    <w:rsid w:val="008611DD"/>
    <w:rsid w:val="0086128C"/>
    <w:rsid w:val="008612FD"/>
    <w:rsid w:val="00861401"/>
    <w:rsid w:val="00861444"/>
    <w:rsid w:val="00861454"/>
    <w:rsid w:val="008615AA"/>
    <w:rsid w:val="008615CE"/>
    <w:rsid w:val="00861642"/>
    <w:rsid w:val="008616F5"/>
    <w:rsid w:val="0086171C"/>
    <w:rsid w:val="0086171E"/>
    <w:rsid w:val="00861778"/>
    <w:rsid w:val="008618C3"/>
    <w:rsid w:val="00861B76"/>
    <w:rsid w:val="00861C31"/>
    <w:rsid w:val="00861C49"/>
    <w:rsid w:val="00861C55"/>
    <w:rsid w:val="00861C7D"/>
    <w:rsid w:val="00861D70"/>
    <w:rsid w:val="00861DC2"/>
    <w:rsid w:val="0086202C"/>
    <w:rsid w:val="00862070"/>
    <w:rsid w:val="0086207E"/>
    <w:rsid w:val="008620EE"/>
    <w:rsid w:val="00862201"/>
    <w:rsid w:val="008622F2"/>
    <w:rsid w:val="0086239C"/>
    <w:rsid w:val="008623C9"/>
    <w:rsid w:val="008625F2"/>
    <w:rsid w:val="0086268A"/>
    <w:rsid w:val="008626B9"/>
    <w:rsid w:val="008626E8"/>
    <w:rsid w:val="0086272A"/>
    <w:rsid w:val="0086279E"/>
    <w:rsid w:val="008628E3"/>
    <w:rsid w:val="0086292C"/>
    <w:rsid w:val="00862956"/>
    <w:rsid w:val="00862ACD"/>
    <w:rsid w:val="00862B97"/>
    <w:rsid w:val="00862C5F"/>
    <w:rsid w:val="00862C99"/>
    <w:rsid w:val="00862D0D"/>
    <w:rsid w:val="00862D7E"/>
    <w:rsid w:val="00862DDB"/>
    <w:rsid w:val="00862F3D"/>
    <w:rsid w:val="00862F3F"/>
    <w:rsid w:val="0086329E"/>
    <w:rsid w:val="008632F8"/>
    <w:rsid w:val="0086343C"/>
    <w:rsid w:val="0086346F"/>
    <w:rsid w:val="00863491"/>
    <w:rsid w:val="008634A5"/>
    <w:rsid w:val="008634B5"/>
    <w:rsid w:val="0086358F"/>
    <w:rsid w:val="008636BE"/>
    <w:rsid w:val="008636EA"/>
    <w:rsid w:val="008636F2"/>
    <w:rsid w:val="008638EC"/>
    <w:rsid w:val="00863966"/>
    <w:rsid w:val="008639A1"/>
    <w:rsid w:val="00863A55"/>
    <w:rsid w:val="00863AB0"/>
    <w:rsid w:val="00863D04"/>
    <w:rsid w:val="00863D93"/>
    <w:rsid w:val="00863F88"/>
    <w:rsid w:val="00863FAC"/>
    <w:rsid w:val="008640C0"/>
    <w:rsid w:val="00864204"/>
    <w:rsid w:val="00864217"/>
    <w:rsid w:val="0086430D"/>
    <w:rsid w:val="00864380"/>
    <w:rsid w:val="008643B3"/>
    <w:rsid w:val="00864430"/>
    <w:rsid w:val="00864442"/>
    <w:rsid w:val="008644F6"/>
    <w:rsid w:val="00864508"/>
    <w:rsid w:val="0086451F"/>
    <w:rsid w:val="00864562"/>
    <w:rsid w:val="00864624"/>
    <w:rsid w:val="008646CC"/>
    <w:rsid w:val="008646FD"/>
    <w:rsid w:val="00864715"/>
    <w:rsid w:val="0086472B"/>
    <w:rsid w:val="00864736"/>
    <w:rsid w:val="0086475A"/>
    <w:rsid w:val="008647CD"/>
    <w:rsid w:val="00864870"/>
    <w:rsid w:val="0086491F"/>
    <w:rsid w:val="00864A38"/>
    <w:rsid w:val="00864A69"/>
    <w:rsid w:val="00864AD5"/>
    <w:rsid w:val="00864AE3"/>
    <w:rsid w:val="00864B03"/>
    <w:rsid w:val="00864BD8"/>
    <w:rsid w:val="00864BF5"/>
    <w:rsid w:val="00864D95"/>
    <w:rsid w:val="00864E27"/>
    <w:rsid w:val="00864F53"/>
    <w:rsid w:val="008650ED"/>
    <w:rsid w:val="0086512F"/>
    <w:rsid w:val="0086513A"/>
    <w:rsid w:val="00865155"/>
    <w:rsid w:val="00865199"/>
    <w:rsid w:val="008652E1"/>
    <w:rsid w:val="00865573"/>
    <w:rsid w:val="008655FA"/>
    <w:rsid w:val="00865610"/>
    <w:rsid w:val="00865683"/>
    <w:rsid w:val="00865696"/>
    <w:rsid w:val="00865720"/>
    <w:rsid w:val="008657D0"/>
    <w:rsid w:val="008657D7"/>
    <w:rsid w:val="008658C8"/>
    <w:rsid w:val="0086598B"/>
    <w:rsid w:val="008659F4"/>
    <w:rsid w:val="00865A2B"/>
    <w:rsid w:val="00865AB2"/>
    <w:rsid w:val="00865B19"/>
    <w:rsid w:val="00865B37"/>
    <w:rsid w:val="00865B6D"/>
    <w:rsid w:val="00865B94"/>
    <w:rsid w:val="00865BF1"/>
    <w:rsid w:val="00865BF8"/>
    <w:rsid w:val="00865C41"/>
    <w:rsid w:val="00865CA2"/>
    <w:rsid w:val="00865D2C"/>
    <w:rsid w:val="00865E4A"/>
    <w:rsid w:val="00865FF4"/>
    <w:rsid w:val="00866018"/>
    <w:rsid w:val="008660D3"/>
    <w:rsid w:val="00866207"/>
    <w:rsid w:val="00866239"/>
    <w:rsid w:val="00866272"/>
    <w:rsid w:val="00866318"/>
    <w:rsid w:val="00866379"/>
    <w:rsid w:val="0086645F"/>
    <w:rsid w:val="00866490"/>
    <w:rsid w:val="008664D7"/>
    <w:rsid w:val="00866578"/>
    <w:rsid w:val="0086665B"/>
    <w:rsid w:val="00866673"/>
    <w:rsid w:val="00866744"/>
    <w:rsid w:val="008667C2"/>
    <w:rsid w:val="00866889"/>
    <w:rsid w:val="00866974"/>
    <w:rsid w:val="00866A2A"/>
    <w:rsid w:val="00866AAB"/>
    <w:rsid w:val="00866B4B"/>
    <w:rsid w:val="00866B50"/>
    <w:rsid w:val="00866B93"/>
    <w:rsid w:val="00866CE3"/>
    <w:rsid w:val="00866E14"/>
    <w:rsid w:val="00866FEF"/>
    <w:rsid w:val="0086705E"/>
    <w:rsid w:val="0086707E"/>
    <w:rsid w:val="008670AB"/>
    <w:rsid w:val="008670AC"/>
    <w:rsid w:val="00867188"/>
    <w:rsid w:val="0086726A"/>
    <w:rsid w:val="008672A5"/>
    <w:rsid w:val="0086734A"/>
    <w:rsid w:val="00867370"/>
    <w:rsid w:val="008673B6"/>
    <w:rsid w:val="008673C2"/>
    <w:rsid w:val="008674DD"/>
    <w:rsid w:val="00867702"/>
    <w:rsid w:val="00867747"/>
    <w:rsid w:val="0086776E"/>
    <w:rsid w:val="00867943"/>
    <w:rsid w:val="00867972"/>
    <w:rsid w:val="008679EC"/>
    <w:rsid w:val="00867A16"/>
    <w:rsid w:val="00867A4B"/>
    <w:rsid w:val="00867ACB"/>
    <w:rsid w:val="00867B25"/>
    <w:rsid w:val="00867B4C"/>
    <w:rsid w:val="00867B89"/>
    <w:rsid w:val="00867BA5"/>
    <w:rsid w:val="00867C21"/>
    <w:rsid w:val="00867C9F"/>
    <w:rsid w:val="00867D35"/>
    <w:rsid w:val="00867E34"/>
    <w:rsid w:val="00867E7A"/>
    <w:rsid w:val="00867EE3"/>
    <w:rsid w:val="0087014A"/>
    <w:rsid w:val="008701CB"/>
    <w:rsid w:val="00870344"/>
    <w:rsid w:val="0087042E"/>
    <w:rsid w:val="00870575"/>
    <w:rsid w:val="008705DD"/>
    <w:rsid w:val="0087072E"/>
    <w:rsid w:val="00870768"/>
    <w:rsid w:val="00870777"/>
    <w:rsid w:val="00870792"/>
    <w:rsid w:val="0087079B"/>
    <w:rsid w:val="008707B5"/>
    <w:rsid w:val="008707C6"/>
    <w:rsid w:val="0087087A"/>
    <w:rsid w:val="008708CA"/>
    <w:rsid w:val="008708F1"/>
    <w:rsid w:val="0087093E"/>
    <w:rsid w:val="008709B1"/>
    <w:rsid w:val="00870ABB"/>
    <w:rsid w:val="00870B03"/>
    <w:rsid w:val="00870C62"/>
    <w:rsid w:val="00870C82"/>
    <w:rsid w:val="00870CA9"/>
    <w:rsid w:val="00870DB7"/>
    <w:rsid w:val="00870F7E"/>
    <w:rsid w:val="00871068"/>
    <w:rsid w:val="00871192"/>
    <w:rsid w:val="008711A2"/>
    <w:rsid w:val="00871292"/>
    <w:rsid w:val="008712A8"/>
    <w:rsid w:val="0087141D"/>
    <w:rsid w:val="00871433"/>
    <w:rsid w:val="0087147F"/>
    <w:rsid w:val="008714C4"/>
    <w:rsid w:val="00871526"/>
    <w:rsid w:val="00871598"/>
    <w:rsid w:val="008715C6"/>
    <w:rsid w:val="008715CC"/>
    <w:rsid w:val="00871658"/>
    <w:rsid w:val="008716C6"/>
    <w:rsid w:val="00871725"/>
    <w:rsid w:val="0087176E"/>
    <w:rsid w:val="0087180E"/>
    <w:rsid w:val="0087187F"/>
    <w:rsid w:val="00871902"/>
    <w:rsid w:val="00871BC7"/>
    <w:rsid w:val="00871CD9"/>
    <w:rsid w:val="00871CE8"/>
    <w:rsid w:val="00871CF1"/>
    <w:rsid w:val="00871DC8"/>
    <w:rsid w:val="00871E86"/>
    <w:rsid w:val="00871EE9"/>
    <w:rsid w:val="00871F50"/>
    <w:rsid w:val="00872077"/>
    <w:rsid w:val="0087207B"/>
    <w:rsid w:val="008721A0"/>
    <w:rsid w:val="008721A9"/>
    <w:rsid w:val="00872257"/>
    <w:rsid w:val="008722E7"/>
    <w:rsid w:val="00872405"/>
    <w:rsid w:val="00872585"/>
    <w:rsid w:val="00872634"/>
    <w:rsid w:val="00872661"/>
    <w:rsid w:val="008726B2"/>
    <w:rsid w:val="00872741"/>
    <w:rsid w:val="008727E9"/>
    <w:rsid w:val="0087283B"/>
    <w:rsid w:val="0087287B"/>
    <w:rsid w:val="0087289E"/>
    <w:rsid w:val="008728F2"/>
    <w:rsid w:val="00872A2D"/>
    <w:rsid w:val="00872A65"/>
    <w:rsid w:val="00872E46"/>
    <w:rsid w:val="00872E86"/>
    <w:rsid w:val="00872EA7"/>
    <w:rsid w:val="00872EAE"/>
    <w:rsid w:val="00872EFC"/>
    <w:rsid w:val="00872F28"/>
    <w:rsid w:val="00872F83"/>
    <w:rsid w:val="00873049"/>
    <w:rsid w:val="0087307B"/>
    <w:rsid w:val="00873111"/>
    <w:rsid w:val="00873201"/>
    <w:rsid w:val="00873323"/>
    <w:rsid w:val="00873384"/>
    <w:rsid w:val="0087340E"/>
    <w:rsid w:val="00873499"/>
    <w:rsid w:val="008734F8"/>
    <w:rsid w:val="00873693"/>
    <w:rsid w:val="0087374D"/>
    <w:rsid w:val="00873913"/>
    <w:rsid w:val="00873ABD"/>
    <w:rsid w:val="00873BFB"/>
    <w:rsid w:val="00873C40"/>
    <w:rsid w:val="00873DE4"/>
    <w:rsid w:val="00873DFF"/>
    <w:rsid w:val="00873EDD"/>
    <w:rsid w:val="00874005"/>
    <w:rsid w:val="008740DC"/>
    <w:rsid w:val="0087413B"/>
    <w:rsid w:val="0087417A"/>
    <w:rsid w:val="008741A0"/>
    <w:rsid w:val="00874241"/>
    <w:rsid w:val="00874258"/>
    <w:rsid w:val="00874307"/>
    <w:rsid w:val="0087433C"/>
    <w:rsid w:val="0087435B"/>
    <w:rsid w:val="00874380"/>
    <w:rsid w:val="00874395"/>
    <w:rsid w:val="00874424"/>
    <w:rsid w:val="0087445C"/>
    <w:rsid w:val="00874470"/>
    <w:rsid w:val="00874551"/>
    <w:rsid w:val="0087459B"/>
    <w:rsid w:val="00874605"/>
    <w:rsid w:val="00874641"/>
    <w:rsid w:val="0087465C"/>
    <w:rsid w:val="0087466B"/>
    <w:rsid w:val="0087467F"/>
    <w:rsid w:val="008746C3"/>
    <w:rsid w:val="00874748"/>
    <w:rsid w:val="008747D7"/>
    <w:rsid w:val="0087482F"/>
    <w:rsid w:val="008748D4"/>
    <w:rsid w:val="008748DC"/>
    <w:rsid w:val="008748F1"/>
    <w:rsid w:val="00874995"/>
    <w:rsid w:val="00874B13"/>
    <w:rsid w:val="00874C83"/>
    <w:rsid w:val="00874D05"/>
    <w:rsid w:val="00874D12"/>
    <w:rsid w:val="00874D21"/>
    <w:rsid w:val="00874D42"/>
    <w:rsid w:val="00874E00"/>
    <w:rsid w:val="00874E0E"/>
    <w:rsid w:val="00874E61"/>
    <w:rsid w:val="00874E9D"/>
    <w:rsid w:val="0087500E"/>
    <w:rsid w:val="0087507F"/>
    <w:rsid w:val="00875115"/>
    <w:rsid w:val="008751E7"/>
    <w:rsid w:val="00875290"/>
    <w:rsid w:val="00875348"/>
    <w:rsid w:val="0087537E"/>
    <w:rsid w:val="0087540F"/>
    <w:rsid w:val="0087558C"/>
    <w:rsid w:val="008755D2"/>
    <w:rsid w:val="008756F0"/>
    <w:rsid w:val="00875721"/>
    <w:rsid w:val="00875725"/>
    <w:rsid w:val="00875736"/>
    <w:rsid w:val="008757AC"/>
    <w:rsid w:val="008757F6"/>
    <w:rsid w:val="00875826"/>
    <w:rsid w:val="0087598C"/>
    <w:rsid w:val="00875B06"/>
    <w:rsid w:val="00875B8F"/>
    <w:rsid w:val="00875C17"/>
    <w:rsid w:val="00875CC2"/>
    <w:rsid w:val="00875DC8"/>
    <w:rsid w:val="00875E5A"/>
    <w:rsid w:val="00875E86"/>
    <w:rsid w:val="00875F60"/>
    <w:rsid w:val="00876058"/>
    <w:rsid w:val="00876059"/>
    <w:rsid w:val="00876167"/>
    <w:rsid w:val="0087628B"/>
    <w:rsid w:val="008763AA"/>
    <w:rsid w:val="008763AC"/>
    <w:rsid w:val="00876439"/>
    <w:rsid w:val="00876460"/>
    <w:rsid w:val="00876487"/>
    <w:rsid w:val="0087658B"/>
    <w:rsid w:val="00876593"/>
    <w:rsid w:val="00876680"/>
    <w:rsid w:val="00876724"/>
    <w:rsid w:val="008767AE"/>
    <w:rsid w:val="008768B3"/>
    <w:rsid w:val="008769E4"/>
    <w:rsid w:val="00876AB1"/>
    <w:rsid w:val="00876B57"/>
    <w:rsid w:val="00876E2E"/>
    <w:rsid w:val="00876E4D"/>
    <w:rsid w:val="00876E4F"/>
    <w:rsid w:val="00876EF1"/>
    <w:rsid w:val="00877039"/>
    <w:rsid w:val="0087707F"/>
    <w:rsid w:val="00877129"/>
    <w:rsid w:val="0087712F"/>
    <w:rsid w:val="0087713C"/>
    <w:rsid w:val="00877151"/>
    <w:rsid w:val="00877252"/>
    <w:rsid w:val="008772BF"/>
    <w:rsid w:val="0087739F"/>
    <w:rsid w:val="008773E3"/>
    <w:rsid w:val="0087741A"/>
    <w:rsid w:val="0087751D"/>
    <w:rsid w:val="00877545"/>
    <w:rsid w:val="00877736"/>
    <w:rsid w:val="00877977"/>
    <w:rsid w:val="00877985"/>
    <w:rsid w:val="008779F5"/>
    <w:rsid w:val="00877AF4"/>
    <w:rsid w:val="00877BF6"/>
    <w:rsid w:val="00877C6D"/>
    <w:rsid w:val="00877E25"/>
    <w:rsid w:val="00877E42"/>
    <w:rsid w:val="00877F25"/>
    <w:rsid w:val="00877F50"/>
    <w:rsid w:val="0088001C"/>
    <w:rsid w:val="00880022"/>
    <w:rsid w:val="00880054"/>
    <w:rsid w:val="0088007C"/>
    <w:rsid w:val="008801AF"/>
    <w:rsid w:val="00880206"/>
    <w:rsid w:val="0088027D"/>
    <w:rsid w:val="0088037B"/>
    <w:rsid w:val="00880429"/>
    <w:rsid w:val="008804AD"/>
    <w:rsid w:val="008804BA"/>
    <w:rsid w:val="0088054E"/>
    <w:rsid w:val="00880582"/>
    <w:rsid w:val="008806D3"/>
    <w:rsid w:val="00880796"/>
    <w:rsid w:val="008807E0"/>
    <w:rsid w:val="0088083E"/>
    <w:rsid w:val="00880852"/>
    <w:rsid w:val="0088095E"/>
    <w:rsid w:val="008809D1"/>
    <w:rsid w:val="00880B6F"/>
    <w:rsid w:val="00880B7F"/>
    <w:rsid w:val="00880B9B"/>
    <w:rsid w:val="00880DA7"/>
    <w:rsid w:val="00880E36"/>
    <w:rsid w:val="00880F70"/>
    <w:rsid w:val="008810E8"/>
    <w:rsid w:val="00881118"/>
    <w:rsid w:val="0088112D"/>
    <w:rsid w:val="00881227"/>
    <w:rsid w:val="00881471"/>
    <w:rsid w:val="008814C7"/>
    <w:rsid w:val="008814D3"/>
    <w:rsid w:val="0088158F"/>
    <w:rsid w:val="008815BF"/>
    <w:rsid w:val="008815E6"/>
    <w:rsid w:val="008816E7"/>
    <w:rsid w:val="00881762"/>
    <w:rsid w:val="00881790"/>
    <w:rsid w:val="008818B9"/>
    <w:rsid w:val="008818C5"/>
    <w:rsid w:val="008819CF"/>
    <w:rsid w:val="00881AB9"/>
    <w:rsid w:val="00881AEE"/>
    <w:rsid w:val="00881AF5"/>
    <w:rsid w:val="00881B72"/>
    <w:rsid w:val="00881C39"/>
    <w:rsid w:val="00881CA4"/>
    <w:rsid w:val="00881D0C"/>
    <w:rsid w:val="00881D29"/>
    <w:rsid w:val="00881D35"/>
    <w:rsid w:val="00881E1A"/>
    <w:rsid w:val="008820DC"/>
    <w:rsid w:val="00882145"/>
    <w:rsid w:val="008821D9"/>
    <w:rsid w:val="008822CF"/>
    <w:rsid w:val="0088237A"/>
    <w:rsid w:val="00882395"/>
    <w:rsid w:val="008825E0"/>
    <w:rsid w:val="008826EB"/>
    <w:rsid w:val="00882702"/>
    <w:rsid w:val="0088274D"/>
    <w:rsid w:val="00882751"/>
    <w:rsid w:val="0088277A"/>
    <w:rsid w:val="008828E2"/>
    <w:rsid w:val="0088290E"/>
    <w:rsid w:val="008829A3"/>
    <w:rsid w:val="00882B21"/>
    <w:rsid w:val="00882B92"/>
    <w:rsid w:val="00882C66"/>
    <w:rsid w:val="00882CD6"/>
    <w:rsid w:val="00882E93"/>
    <w:rsid w:val="00882F01"/>
    <w:rsid w:val="00882F35"/>
    <w:rsid w:val="00882F3F"/>
    <w:rsid w:val="00882F96"/>
    <w:rsid w:val="008830F7"/>
    <w:rsid w:val="00883141"/>
    <w:rsid w:val="00883168"/>
    <w:rsid w:val="008831AB"/>
    <w:rsid w:val="0088324F"/>
    <w:rsid w:val="008832A6"/>
    <w:rsid w:val="008832CD"/>
    <w:rsid w:val="008834CA"/>
    <w:rsid w:val="008834CF"/>
    <w:rsid w:val="0088356B"/>
    <w:rsid w:val="00883612"/>
    <w:rsid w:val="008836BC"/>
    <w:rsid w:val="0088374C"/>
    <w:rsid w:val="00883A0F"/>
    <w:rsid w:val="00883AB8"/>
    <w:rsid w:val="00883B64"/>
    <w:rsid w:val="00883BC8"/>
    <w:rsid w:val="00883C4A"/>
    <w:rsid w:val="00883C6A"/>
    <w:rsid w:val="00883C85"/>
    <w:rsid w:val="00883D19"/>
    <w:rsid w:val="00883D1C"/>
    <w:rsid w:val="00883E2B"/>
    <w:rsid w:val="00883E72"/>
    <w:rsid w:val="00883EBE"/>
    <w:rsid w:val="00883F00"/>
    <w:rsid w:val="00884116"/>
    <w:rsid w:val="00884224"/>
    <w:rsid w:val="0088427A"/>
    <w:rsid w:val="0088443A"/>
    <w:rsid w:val="00884453"/>
    <w:rsid w:val="00884505"/>
    <w:rsid w:val="0088451C"/>
    <w:rsid w:val="00884656"/>
    <w:rsid w:val="00884820"/>
    <w:rsid w:val="00884828"/>
    <w:rsid w:val="00884ABB"/>
    <w:rsid w:val="00884B2B"/>
    <w:rsid w:val="00884BAA"/>
    <w:rsid w:val="00884C26"/>
    <w:rsid w:val="00884CDB"/>
    <w:rsid w:val="00884F2B"/>
    <w:rsid w:val="00884F44"/>
    <w:rsid w:val="00884F6A"/>
    <w:rsid w:val="00884F6F"/>
    <w:rsid w:val="0088502E"/>
    <w:rsid w:val="00885031"/>
    <w:rsid w:val="00885075"/>
    <w:rsid w:val="00885097"/>
    <w:rsid w:val="00885123"/>
    <w:rsid w:val="0088516B"/>
    <w:rsid w:val="008851AA"/>
    <w:rsid w:val="008852B0"/>
    <w:rsid w:val="008852BC"/>
    <w:rsid w:val="008853C6"/>
    <w:rsid w:val="008853E2"/>
    <w:rsid w:val="00885482"/>
    <w:rsid w:val="008854C6"/>
    <w:rsid w:val="00885517"/>
    <w:rsid w:val="00885533"/>
    <w:rsid w:val="0088553D"/>
    <w:rsid w:val="008856C1"/>
    <w:rsid w:val="00885720"/>
    <w:rsid w:val="008857D6"/>
    <w:rsid w:val="008857DD"/>
    <w:rsid w:val="008857FF"/>
    <w:rsid w:val="00885827"/>
    <w:rsid w:val="0088583A"/>
    <w:rsid w:val="00885873"/>
    <w:rsid w:val="008858D6"/>
    <w:rsid w:val="008859C6"/>
    <w:rsid w:val="008859D1"/>
    <w:rsid w:val="00885A5B"/>
    <w:rsid w:val="00885A6B"/>
    <w:rsid w:val="00885AD7"/>
    <w:rsid w:val="00885B6C"/>
    <w:rsid w:val="00885BBB"/>
    <w:rsid w:val="00885D36"/>
    <w:rsid w:val="00885E73"/>
    <w:rsid w:val="00885EB1"/>
    <w:rsid w:val="00885F20"/>
    <w:rsid w:val="00885F44"/>
    <w:rsid w:val="0088604D"/>
    <w:rsid w:val="00886077"/>
    <w:rsid w:val="00886143"/>
    <w:rsid w:val="008861CE"/>
    <w:rsid w:val="008862A0"/>
    <w:rsid w:val="00886330"/>
    <w:rsid w:val="00886345"/>
    <w:rsid w:val="008863EF"/>
    <w:rsid w:val="00886428"/>
    <w:rsid w:val="008864EC"/>
    <w:rsid w:val="0088654D"/>
    <w:rsid w:val="008865E2"/>
    <w:rsid w:val="00886628"/>
    <w:rsid w:val="0088662B"/>
    <w:rsid w:val="008866E2"/>
    <w:rsid w:val="008867BE"/>
    <w:rsid w:val="008867E5"/>
    <w:rsid w:val="0088680D"/>
    <w:rsid w:val="00886884"/>
    <w:rsid w:val="00886904"/>
    <w:rsid w:val="00886906"/>
    <w:rsid w:val="00886927"/>
    <w:rsid w:val="008869C2"/>
    <w:rsid w:val="00886A76"/>
    <w:rsid w:val="00886A99"/>
    <w:rsid w:val="00886AA2"/>
    <w:rsid w:val="00886B17"/>
    <w:rsid w:val="00886B96"/>
    <w:rsid w:val="00886C15"/>
    <w:rsid w:val="00886D85"/>
    <w:rsid w:val="00886D8B"/>
    <w:rsid w:val="00886E49"/>
    <w:rsid w:val="00886E9A"/>
    <w:rsid w:val="00886EC6"/>
    <w:rsid w:val="00886EE5"/>
    <w:rsid w:val="00886EFF"/>
    <w:rsid w:val="00886F3A"/>
    <w:rsid w:val="00887033"/>
    <w:rsid w:val="0088705B"/>
    <w:rsid w:val="008870B5"/>
    <w:rsid w:val="008871A1"/>
    <w:rsid w:val="008871A5"/>
    <w:rsid w:val="00887220"/>
    <w:rsid w:val="0088739C"/>
    <w:rsid w:val="008873B2"/>
    <w:rsid w:val="0088741B"/>
    <w:rsid w:val="0088749A"/>
    <w:rsid w:val="00887550"/>
    <w:rsid w:val="00887569"/>
    <w:rsid w:val="008876AC"/>
    <w:rsid w:val="00887783"/>
    <w:rsid w:val="00887872"/>
    <w:rsid w:val="0088792C"/>
    <w:rsid w:val="00887C2E"/>
    <w:rsid w:val="00887D0D"/>
    <w:rsid w:val="00887DC4"/>
    <w:rsid w:val="00887E81"/>
    <w:rsid w:val="00890043"/>
    <w:rsid w:val="008900CA"/>
    <w:rsid w:val="00890151"/>
    <w:rsid w:val="0089019E"/>
    <w:rsid w:val="008901BB"/>
    <w:rsid w:val="008902BE"/>
    <w:rsid w:val="008902C9"/>
    <w:rsid w:val="008902FE"/>
    <w:rsid w:val="00890498"/>
    <w:rsid w:val="008906CD"/>
    <w:rsid w:val="00890ABE"/>
    <w:rsid w:val="00890AE8"/>
    <w:rsid w:val="00890B29"/>
    <w:rsid w:val="00890BEA"/>
    <w:rsid w:val="00890C8D"/>
    <w:rsid w:val="00890C8F"/>
    <w:rsid w:val="00890C9D"/>
    <w:rsid w:val="00890D3B"/>
    <w:rsid w:val="00890DF4"/>
    <w:rsid w:val="00890E1C"/>
    <w:rsid w:val="00890E6F"/>
    <w:rsid w:val="00890F6E"/>
    <w:rsid w:val="00891006"/>
    <w:rsid w:val="00891083"/>
    <w:rsid w:val="008910C1"/>
    <w:rsid w:val="00891145"/>
    <w:rsid w:val="0089124F"/>
    <w:rsid w:val="00891251"/>
    <w:rsid w:val="00891252"/>
    <w:rsid w:val="0089128A"/>
    <w:rsid w:val="00891322"/>
    <w:rsid w:val="00891329"/>
    <w:rsid w:val="0089141C"/>
    <w:rsid w:val="0089141F"/>
    <w:rsid w:val="0089149D"/>
    <w:rsid w:val="008914CA"/>
    <w:rsid w:val="00891512"/>
    <w:rsid w:val="00891523"/>
    <w:rsid w:val="00891625"/>
    <w:rsid w:val="008916FE"/>
    <w:rsid w:val="0089175D"/>
    <w:rsid w:val="00891862"/>
    <w:rsid w:val="00891888"/>
    <w:rsid w:val="00891B38"/>
    <w:rsid w:val="00891B3A"/>
    <w:rsid w:val="00891BB2"/>
    <w:rsid w:val="00891C07"/>
    <w:rsid w:val="00891C0B"/>
    <w:rsid w:val="00891C5C"/>
    <w:rsid w:val="00891D60"/>
    <w:rsid w:val="00891D87"/>
    <w:rsid w:val="00891DC2"/>
    <w:rsid w:val="00891EB9"/>
    <w:rsid w:val="00891F1A"/>
    <w:rsid w:val="00891F9F"/>
    <w:rsid w:val="00891FD5"/>
    <w:rsid w:val="008920B8"/>
    <w:rsid w:val="0089210C"/>
    <w:rsid w:val="0089220C"/>
    <w:rsid w:val="008923F5"/>
    <w:rsid w:val="00892407"/>
    <w:rsid w:val="00892555"/>
    <w:rsid w:val="00892697"/>
    <w:rsid w:val="008926EC"/>
    <w:rsid w:val="00892733"/>
    <w:rsid w:val="00892757"/>
    <w:rsid w:val="0089282E"/>
    <w:rsid w:val="008928E7"/>
    <w:rsid w:val="0089297B"/>
    <w:rsid w:val="00892A72"/>
    <w:rsid w:val="00892B76"/>
    <w:rsid w:val="00892B7C"/>
    <w:rsid w:val="00892DE5"/>
    <w:rsid w:val="00892E4F"/>
    <w:rsid w:val="00892EC8"/>
    <w:rsid w:val="00892F54"/>
    <w:rsid w:val="00892F9A"/>
    <w:rsid w:val="00892FFE"/>
    <w:rsid w:val="0089313A"/>
    <w:rsid w:val="00893207"/>
    <w:rsid w:val="00893262"/>
    <w:rsid w:val="0089328B"/>
    <w:rsid w:val="00893297"/>
    <w:rsid w:val="0089333F"/>
    <w:rsid w:val="008933F2"/>
    <w:rsid w:val="00893535"/>
    <w:rsid w:val="00893561"/>
    <w:rsid w:val="0089358C"/>
    <w:rsid w:val="0089362B"/>
    <w:rsid w:val="00893640"/>
    <w:rsid w:val="00893656"/>
    <w:rsid w:val="008937B5"/>
    <w:rsid w:val="008937E5"/>
    <w:rsid w:val="00893884"/>
    <w:rsid w:val="008938D8"/>
    <w:rsid w:val="0089390B"/>
    <w:rsid w:val="00893A41"/>
    <w:rsid w:val="00893B40"/>
    <w:rsid w:val="00893BC9"/>
    <w:rsid w:val="00893CB4"/>
    <w:rsid w:val="00893D99"/>
    <w:rsid w:val="00893DC4"/>
    <w:rsid w:val="00893F4D"/>
    <w:rsid w:val="00893FDE"/>
    <w:rsid w:val="00893FE0"/>
    <w:rsid w:val="008940FB"/>
    <w:rsid w:val="00894391"/>
    <w:rsid w:val="008943C2"/>
    <w:rsid w:val="00894404"/>
    <w:rsid w:val="0089440D"/>
    <w:rsid w:val="008944BA"/>
    <w:rsid w:val="0089454D"/>
    <w:rsid w:val="008945FC"/>
    <w:rsid w:val="00894609"/>
    <w:rsid w:val="0089461E"/>
    <w:rsid w:val="008946FD"/>
    <w:rsid w:val="0089472A"/>
    <w:rsid w:val="00894744"/>
    <w:rsid w:val="00894821"/>
    <w:rsid w:val="00894842"/>
    <w:rsid w:val="00894846"/>
    <w:rsid w:val="00894854"/>
    <w:rsid w:val="00894880"/>
    <w:rsid w:val="008948B9"/>
    <w:rsid w:val="008948E7"/>
    <w:rsid w:val="008949B0"/>
    <w:rsid w:val="00894A01"/>
    <w:rsid w:val="00894A82"/>
    <w:rsid w:val="00894ACE"/>
    <w:rsid w:val="00894B59"/>
    <w:rsid w:val="00894CAC"/>
    <w:rsid w:val="00894D11"/>
    <w:rsid w:val="00894E22"/>
    <w:rsid w:val="00894E55"/>
    <w:rsid w:val="00894E77"/>
    <w:rsid w:val="00894EF7"/>
    <w:rsid w:val="00894F16"/>
    <w:rsid w:val="00895044"/>
    <w:rsid w:val="0089509C"/>
    <w:rsid w:val="00895183"/>
    <w:rsid w:val="00895252"/>
    <w:rsid w:val="008953B5"/>
    <w:rsid w:val="008953BB"/>
    <w:rsid w:val="00895409"/>
    <w:rsid w:val="00895412"/>
    <w:rsid w:val="00895466"/>
    <w:rsid w:val="008954B7"/>
    <w:rsid w:val="008954E6"/>
    <w:rsid w:val="008955B3"/>
    <w:rsid w:val="0089560A"/>
    <w:rsid w:val="00895647"/>
    <w:rsid w:val="00895669"/>
    <w:rsid w:val="0089568A"/>
    <w:rsid w:val="0089583E"/>
    <w:rsid w:val="0089586B"/>
    <w:rsid w:val="008959CD"/>
    <w:rsid w:val="00895A65"/>
    <w:rsid w:val="00895A72"/>
    <w:rsid w:val="00895B3C"/>
    <w:rsid w:val="00895B66"/>
    <w:rsid w:val="00895BED"/>
    <w:rsid w:val="00895BF2"/>
    <w:rsid w:val="00895CE1"/>
    <w:rsid w:val="00895D0B"/>
    <w:rsid w:val="00895D1F"/>
    <w:rsid w:val="00895D56"/>
    <w:rsid w:val="00895DF2"/>
    <w:rsid w:val="00895E6E"/>
    <w:rsid w:val="00895E76"/>
    <w:rsid w:val="00895EA1"/>
    <w:rsid w:val="00896174"/>
    <w:rsid w:val="00896192"/>
    <w:rsid w:val="0089619F"/>
    <w:rsid w:val="0089625D"/>
    <w:rsid w:val="0089626E"/>
    <w:rsid w:val="00896273"/>
    <w:rsid w:val="008962DF"/>
    <w:rsid w:val="008962E0"/>
    <w:rsid w:val="0089638F"/>
    <w:rsid w:val="00896395"/>
    <w:rsid w:val="008964F0"/>
    <w:rsid w:val="0089651B"/>
    <w:rsid w:val="0089652E"/>
    <w:rsid w:val="008965F9"/>
    <w:rsid w:val="00896613"/>
    <w:rsid w:val="0089674D"/>
    <w:rsid w:val="0089679C"/>
    <w:rsid w:val="008967EE"/>
    <w:rsid w:val="00896884"/>
    <w:rsid w:val="008968CE"/>
    <w:rsid w:val="008969D9"/>
    <w:rsid w:val="00896A3A"/>
    <w:rsid w:val="00896ABA"/>
    <w:rsid w:val="00896B23"/>
    <w:rsid w:val="00896B83"/>
    <w:rsid w:val="00896BAF"/>
    <w:rsid w:val="00896BCD"/>
    <w:rsid w:val="00896C31"/>
    <w:rsid w:val="00896C53"/>
    <w:rsid w:val="00896D27"/>
    <w:rsid w:val="00896DC2"/>
    <w:rsid w:val="00896E09"/>
    <w:rsid w:val="00896E0A"/>
    <w:rsid w:val="00896E74"/>
    <w:rsid w:val="00896EA5"/>
    <w:rsid w:val="00896F34"/>
    <w:rsid w:val="00896F70"/>
    <w:rsid w:val="00897054"/>
    <w:rsid w:val="00897090"/>
    <w:rsid w:val="008970B6"/>
    <w:rsid w:val="00897201"/>
    <w:rsid w:val="00897212"/>
    <w:rsid w:val="00897371"/>
    <w:rsid w:val="008973CB"/>
    <w:rsid w:val="008973CD"/>
    <w:rsid w:val="00897452"/>
    <w:rsid w:val="00897577"/>
    <w:rsid w:val="0089759F"/>
    <w:rsid w:val="0089763C"/>
    <w:rsid w:val="0089765D"/>
    <w:rsid w:val="0089772B"/>
    <w:rsid w:val="00897730"/>
    <w:rsid w:val="008977AD"/>
    <w:rsid w:val="00897835"/>
    <w:rsid w:val="0089799F"/>
    <w:rsid w:val="00897B15"/>
    <w:rsid w:val="00897C96"/>
    <w:rsid w:val="00897CF9"/>
    <w:rsid w:val="00897E07"/>
    <w:rsid w:val="00897EB6"/>
    <w:rsid w:val="00897FE8"/>
    <w:rsid w:val="008A0035"/>
    <w:rsid w:val="008A00A4"/>
    <w:rsid w:val="008A00F7"/>
    <w:rsid w:val="008A0106"/>
    <w:rsid w:val="008A020F"/>
    <w:rsid w:val="008A0265"/>
    <w:rsid w:val="008A026B"/>
    <w:rsid w:val="008A032B"/>
    <w:rsid w:val="008A033C"/>
    <w:rsid w:val="008A033E"/>
    <w:rsid w:val="008A05B7"/>
    <w:rsid w:val="008A05D8"/>
    <w:rsid w:val="008A05F7"/>
    <w:rsid w:val="008A0606"/>
    <w:rsid w:val="008A0765"/>
    <w:rsid w:val="008A07A2"/>
    <w:rsid w:val="008A07E4"/>
    <w:rsid w:val="008A085D"/>
    <w:rsid w:val="008A0865"/>
    <w:rsid w:val="008A08E2"/>
    <w:rsid w:val="008A0941"/>
    <w:rsid w:val="008A09AB"/>
    <w:rsid w:val="008A0A62"/>
    <w:rsid w:val="008A0B00"/>
    <w:rsid w:val="008A0B6A"/>
    <w:rsid w:val="008A0BDA"/>
    <w:rsid w:val="008A0C19"/>
    <w:rsid w:val="008A0C4C"/>
    <w:rsid w:val="008A0C51"/>
    <w:rsid w:val="008A0C7E"/>
    <w:rsid w:val="008A0CAE"/>
    <w:rsid w:val="008A0CC6"/>
    <w:rsid w:val="008A0CD5"/>
    <w:rsid w:val="008A0DB6"/>
    <w:rsid w:val="008A0E51"/>
    <w:rsid w:val="008A0E6E"/>
    <w:rsid w:val="008A0F3E"/>
    <w:rsid w:val="008A0FDB"/>
    <w:rsid w:val="008A1033"/>
    <w:rsid w:val="008A1266"/>
    <w:rsid w:val="008A127F"/>
    <w:rsid w:val="008A13C8"/>
    <w:rsid w:val="008A13E4"/>
    <w:rsid w:val="008A145C"/>
    <w:rsid w:val="008A14F3"/>
    <w:rsid w:val="008A15A7"/>
    <w:rsid w:val="008A172F"/>
    <w:rsid w:val="008A183D"/>
    <w:rsid w:val="008A184B"/>
    <w:rsid w:val="008A190E"/>
    <w:rsid w:val="008A1A79"/>
    <w:rsid w:val="008A1A7E"/>
    <w:rsid w:val="008A1A98"/>
    <w:rsid w:val="008A1B00"/>
    <w:rsid w:val="008A1BF0"/>
    <w:rsid w:val="008A1CE5"/>
    <w:rsid w:val="008A1D9E"/>
    <w:rsid w:val="008A1DC5"/>
    <w:rsid w:val="008A1E5A"/>
    <w:rsid w:val="008A1E8F"/>
    <w:rsid w:val="008A1F02"/>
    <w:rsid w:val="008A1F1E"/>
    <w:rsid w:val="008A1F93"/>
    <w:rsid w:val="008A2044"/>
    <w:rsid w:val="008A2112"/>
    <w:rsid w:val="008A2172"/>
    <w:rsid w:val="008A2176"/>
    <w:rsid w:val="008A2297"/>
    <w:rsid w:val="008A22B0"/>
    <w:rsid w:val="008A2349"/>
    <w:rsid w:val="008A23F2"/>
    <w:rsid w:val="008A2411"/>
    <w:rsid w:val="008A24FA"/>
    <w:rsid w:val="008A256F"/>
    <w:rsid w:val="008A261B"/>
    <w:rsid w:val="008A26D9"/>
    <w:rsid w:val="008A27AC"/>
    <w:rsid w:val="008A27BD"/>
    <w:rsid w:val="008A27C2"/>
    <w:rsid w:val="008A27CF"/>
    <w:rsid w:val="008A2956"/>
    <w:rsid w:val="008A295B"/>
    <w:rsid w:val="008A29D3"/>
    <w:rsid w:val="008A29EC"/>
    <w:rsid w:val="008A2B02"/>
    <w:rsid w:val="008A2B2A"/>
    <w:rsid w:val="008A2B31"/>
    <w:rsid w:val="008A2CE9"/>
    <w:rsid w:val="008A2CEE"/>
    <w:rsid w:val="008A2D1D"/>
    <w:rsid w:val="008A2E51"/>
    <w:rsid w:val="008A30AF"/>
    <w:rsid w:val="008A30F9"/>
    <w:rsid w:val="008A30FF"/>
    <w:rsid w:val="008A32E1"/>
    <w:rsid w:val="008A34D7"/>
    <w:rsid w:val="008A356D"/>
    <w:rsid w:val="008A35E8"/>
    <w:rsid w:val="008A371E"/>
    <w:rsid w:val="008A37B4"/>
    <w:rsid w:val="008A3964"/>
    <w:rsid w:val="008A3ABC"/>
    <w:rsid w:val="008A3AC2"/>
    <w:rsid w:val="008A3BFC"/>
    <w:rsid w:val="008A3BFE"/>
    <w:rsid w:val="008A3CA5"/>
    <w:rsid w:val="008A3D3F"/>
    <w:rsid w:val="008A3E49"/>
    <w:rsid w:val="008A3F0D"/>
    <w:rsid w:val="008A3F57"/>
    <w:rsid w:val="008A3F72"/>
    <w:rsid w:val="008A3F82"/>
    <w:rsid w:val="008A3FD2"/>
    <w:rsid w:val="008A3FD3"/>
    <w:rsid w:val="008A400E"/>
    <w:rsid w:val="008A41AC"/>
    <w:rsid w:val="008A41B3"/>
    <w:rsid w:val="008A41EB"/>
    <w:rsid w:val="008A428B"/>
    <w:rsid w:val="008A43E6"/>
    <w:rsid w:val="008A4423"/>
    <w:rsid w:val="008A456C"/>
    <w:rsid w:val="008A4586"/>
    <w:rsid w:val="008A45E8"/>
    <w:rsid w:val="008A4765"/>
    <w:rsid w:val="008A476D"/>
    <w:rsid w:val="008A477A"/>
    <w:rsid w:val="008A477B"/>
    <w:rsid w:val="008A488B"/>
    <w:rsid w:val="008A4AF5"/>
    <w:rsid w:val="008A4BC6"/>
    <w:rsid w:val="008A4C3A"/>
    <w:rsid w:val="008A4D34"/>
    <w:rsid w:val="008A4DF2"/>
    <w:rsid w:val="008A4E7D"/>
    <w:rsid w:val="008A4EA9"/>
    <w:rsid w:val="008A5018"/>
    <w:rsid w:val="008A513F"/>
    <w:rsid w:val="008A520B"/>
    <w:rsid w:val="008A5267"/>
    <w:rsid w:val="008A52B0"/>
    <w:rsid w:val="008A5368"/>
    <w:rsid w:val="008A53AF"/>
    <w:rsid w:val="008A5460"/>
    <w:rsid w:val="008A55C4"/>
    <w:rsid w:val="008A55E2"/>
    <w:rsid w:val="008A5640"/>
    <w:rsid w:val="008A56FE"/>
    <w:rsid w:val="008A5789"/>
    <w:rsid w:val="008A5891"/>
    <w:rsid w:val="008A58C8"/>
    <w:rsid w:val="008A58DD"/>
    <w:rsid w:val="008A592D"/>
    <w:rsid w:val="008A593F"/>
    <w:rsid w:val="008A5A0F"/>
    <w:rsid w:val="008A5A23"/>
    <w:rsid w:val="008A5A47"/>
    <w:rsid w:val="008A5B5E"/>
    <w:rsid w:val="008A5B79"/>
    <w:rsid w:val="008A5DDD"/>
    <w:rsid w:val="008A5EFF"/>
    <w:rsid w:val="008A5F24"/>
    <w:rsid w:val="008A5FA8"/>
    <w:rsid w:val="008A5FD2"/>
    <w:rsid w:val="008A6001"/>
    <w:rsid w:val="008A610D"/>
    <w:rsid w:val="008A612B"/>
    <w:rsid w:val="008A6216"/>
    <w:rsid w:val="008A6223"/>
    <w:rsid w:val="008A62BE"/>
    <w:rsid w:val="008A62C8"/>
    <w:rsid w:val="008A636C"/>
    <w:rsid w:val="008A63A4"/>
    <w:rsid w:val="008A64DA"/>
    <w:rsid w:val="008A6550"/>
    <w:rsid w:val="008A6667"/>
    <w:rsid w:val="008A66AF"/>
    <w:rsid w:val="008A6806"/>
    <w:rsid w:val="008A68D4"/>
    <w:rsid w:val="008A692C"/>
    <w:rsid w:val="008A6A14"/>
    <w:rsid w:val="008A6A37"/>
    <w:rsid w:val="008A6C07"/>
    <w:rsid w:val="008A6C54"/>
    <w:rsid w:val="008A6D26"/>
    <w:rsid w:val="008A6D46"/>
    <w:rsid w:val="008A6E33"/>
    <w:rsid w:val="008A6E4E"/>
    <w:rsid w:val="008A6E6D"/>
    <w:rsid w:val="008A6E78"/>
    <w:rsid w:val="008A6EF7"/>
    <w:rsid w:val="008A707F"/>
    <w:rsid w:val="008A70D6"/>
    <w:rsid w:val="008A70E9"/>
    <w:rsid w:val="008A70F3"/>
    <w:rsid w:val="008A7168"/>
    <w:rsid w:val="008A7226"/>
    <w:rsid w:val="008A725E"/>
    <w:rsid w:val="008A729C"/>
    <w:rsid w:val="008A72B5"/>
    <w:rsid w:val="008A730C"/>
    <w:rsid w:val="008A740A"/>
    <w:rsid w:val="008A7445"/>
    <w:rsid w:val="008A745D"/>
    <w:rsid w:val="008A747E"/>
    <w:rsid w:val="008A7485"/>
    <w:rsid w:val="008A7496"/>
    <w:rsid w:val="008A753C"/>
    <w:rsid w:val="008A75C0"/>
    <w:rsid w:val="008A7688"/>
    <w:rsid w:val="008A76D9"/>
    <w:rsid w:val="008A77D1"/>
    <w:rsid w:val="008A77EE"/>
    <w:rsid w:val="008A77FA"/>
    <w:rsid w:val="008A7872"/>
    <w:rsid w:val="008A78A6"/>
    <w:rsid w:val="008A78CA"/>
    <w:rsid w:val="008A79B6"/>
    <w:rsid w:val="008A7A35"/>
    <w:rsid w:val="008A7A62"/>
    <w:rsid w:val="008A7ACF"/>
    <w:rsid w:val="008A7B23"/>
    <w:rsid w:val="008A7C8B"/>
    <w:rsid w:val="008A7CDD"/>
    <w:rsid w:val="008A7D04"/>
    <w:rsid w:val="008A7D1B"/>
    <w:rsid w:val="008A7D2A"/>
    <w:rsid w:val="008B005C"/>
    <w:rsid w:val="008B0064"/>
    <w:rsid w:val="008B00D7"/>
    <w:rsid w:val="008B0116"/>
    <w:rsid w:val="008B0170"/>
    <w:rsid w:val="008B01AF"/>
    <w:rsid w:val="008B0231"/>
    <w:rsid w:val="008B024D"/>
    <w:rsid w:val="008B0285"/>
    <w:rsid w:val="008B0323"/>
    <w:rsid w:val="008B0430"/>
    <w:rsid w:val="008B0434"/>
    <w:rsid w:val="008B04DC"/>
    <w:rsid w:val="008B04EA"/>
    <w:rsid w:val="008B05B0"/>
    <w:rsid w:val="008B05BD"/>
    <w:rsid w:val="008B05C9"/>
    <w:rsid w:val="008B05F9"/>
    <w:rsid w:val="008B0614"/>
    <w:rsid w:val="008B0705"/>
    <w:rsid w:val="008B072C"/>
    <w:rsid w:val="008B07AB"/>
    <w:rsid w:val="008B07C0"/>
    <w:rsid w:val="008B08A3"/>
    <w:rsid w:val="008B0953"/>
    <w:rsid w:val="008B0963"/>
    <w:rsid w:val="008B09DB"/>
    <w:rsid w:val="008B0C2D"/>
    <w:rsid w:val="008B0C7B"/>
    <w:rsid w:val="008B0C90"/>
    <w:rsid w:val="008B0D5A"/>
    <w:rsid w:val="008B0E16"/>
    <w:rsid w:val="008B0FA1"/>
    <w:rsid w:val="008B1006"/>
    <w:rsid w:val="008B10DC"/>
    <w:rsid w:val="008B113F"/>
    <w:rsid w:val="008B114D"/>
    <w:rsid w:val="008B11B4"/>
    <w:rsid w:val="008B127C"/>
    <w:rsid w:val="008B12A0"/>
    <w:rsid w:val="008B1302"/>
    <w:rsid w:val="008B1359"/>
    <w:rsid w:val="008B13DC"/>
    <w:rsid w:val="008B13E3"/>
    <w:rsid w:val="008B1415"/>
    <w:rsid w:val="008B1423"/>
    <w:rsid w:val="008B153A"/>
    <w:rsid w:val="008B1676"/>
    <w:rsid w:val="008B169C"/>
    <w:rsid w:val="008B179A"/>
    <w:rsid w:val="008B17BE"/>
    <w:rsid w:val="008B1863"/>
    <w:rsid w:val="008B1927"/>
    <w:rsid w:val="008B19ED"/>
    <w:rsid w:val="008B1C0A"/>
    <w:rsid w:val="008B1D4C"/>
    <w:rsid w:val="008B1D9C"/>
    <w:rsid w:val="008B1DFF"/>
    <w:rsid w:val="008B1E88"/>
    <w:rsid w:val="008B2064"/>
    <w:rsid w:val="008B206E"/>
    <w:rsid w:val="008B2102"/>
    <w:rsid w:val="008B21F2"/>
    <w:rsid w:val="008B22E6"/>
    <w:rsid w:val="008B22F0"/>
    <w:rsid w:val="008B2412"/>
    <w:rsid w:val="008B24F2"/>
    <w:rsid w:val="008B2521"/>
    <w:rsid w:val="008B2542"/>
    <w:rsid w:val="008B25E2"/>
    <w:rsid w:val="008B2A50"/>
    <w:rsid w:val="008B2A94"/>
    <w:rsid w:val="008B2AEF"/>
    <w:rsid w:val="008B2B6A"/>
    <w:rsid w:val="008B2E53"/>
    <w:rsid w:val="008B2EE5"/>
    <w:rsid w:val="008B2F03"/>
    <w:rsid w:val="008B309C"/>
    <w:rsid w:val="008B30B7"/>
    <w:rsid w:val="008B30DC"/>
    <w:rsid w:val="008B30F0"/>
    <w:rsid w:val="008B30FD"/>
    <w:rsid w:val="008B31ED"/>
    <w:rsid w:val="008B3208"/>
    <w:rsid w:val="008B3215"/>
    <w:rsid w:val="008B325D"/>
    <w:rsid w:val="008B32A6"/>
    <w:rsid w:val="008B32F9"/>
    <w:rsid w:val="008B336F"/>
    <w:rsid w:val="008B3551"/>
    <w:rsid w:val="008B36D1"/>
    <w:rsid w:val="008B36F1"/>
    <w:rsid w:val="008B378A"/>
    <w:rsid w:val="008B38B2"/>
    <w:rsid w:val="008B390B"/>
    <w:rsid w:val="008B39E4"/>
    <w:rsid w:val="008B3AFC"/>
    <w:rsid w:val="008B3BF4"/>
    <w:rsid w:val="008B3D13"/>
    <w:rsid w:val="008B3D18"/>
    <w:rsid w:val="008B3D1F"/>
    <w:rsid w:val="008B3D35"/>
    <w:rsid w:val="008B3D5C"/>
    <w:rsid w:val="008B3E22"/>
    <w:rsid w:val="008B3E2A"/>
    <w:rsid w:val="008B3E7E"/>
    <w:rsid w:val="008B3F14"/>
    <w:rsid w:val="008B3F98"/>
    <w:rsid w:val="008B3FD4"/>
    <w:rsid w:val="008B40CE"/>
    <w:rsid w:val="008B40F1"/>
    <w:rsid w:val="008B40F3"/>
    <w:rsid w:val="008B4106"/>
    <w:rsid w:val="008B41CF"/>
    <w:rsid w:val="008B4227"/>
    <w:rsid w:val="008B4238"/>
    <w:rsid w:val="008B4286"/>
    <w:rsid w:val="008B4366"/>
    <w:rsid w:val="008B43EC"/>
    <w:rsid w:val="008B4494"/>
    <w:rsid w:val="008B44A9"/>
    <w:rsid w:val="008B4555"/>
    <w:rsid w:val="008B4560"/>
    <w:rsid w:val="008B467C"/>
    <w:rsid w:val="008B4701"/>
    <w:rsid w:val="008B4709"/>
    <w:rsid w:val="008B47CC"/>
    <w:rsid w:val="008B48A9"/>
    <w:rsid w:val="008B48C6"/>
    <w:rsid w:val="008B48CF"/>
    <w:rsid w:val="008B49E8"/>
    <w:rsid w:val="008B4A99"/>
    <w:rsid w:val="008B4AC6"/>
    <w:rsid w:val="008B4AD1"/>
    <w:rsid w:val="008B4B5B"/>
    <w:rsid w:val="008B4BA8"/>
    <w:rsid w:val="008B4BCB"/>
    <w:rsid w:val="008B4C47"/>
    <w:rsid w:val="008B4DE6"/>
    <w:rsid w:val="008B4F63"/>
    <w:rsid w:val="008B4FA2"/>
    <w:rsid w:val="008B5018"/>
    <w:rsid w:val="008B505D"/>
    <w:rsid w:val="008B5060"/>
    <w:rsid w:val="008B51C7"/>
    <w:rsid w:val="008B5262"/>
    <w:rsid w:val="008B54D8"/>
    <w:rsid w:val="008B5505"/>
    <w:rsid w:val="008B55E5"/>
    <w:rsid w:val="008B56A4"/>
    <w:rsid w:val="008B57CA"/>
    <w:rsid w:val="008B5814"/>
    <w:rsid w:val="008B5997"/>
    <w:rsid w:val="008B599A"/>
    <w:rsid w:val="008B5A66"/>
    <w:rsid w:val="008B5B14"/>
    <w:rsid w:val="008B5B29"/>
    <w:rsid w:val="008B5B61"/>
    <w:rsid w:val="008B5B98"/>
    <w:rsid w:val="008B5BF3"/>
    <w:rsid w:val="008B5C1B"/>
    <w:rsid w:val="008B5DF7"/>
    <w:rsid w:val="008B5E1F"/>
    <w:rsid w:val="008B5FF3"/>
    <w:rsid w:val="008B6173"/>
    <w:rsid w:val="008B61A9"/>
    <w:rsid w:val="008B6209"/>
    <w:rsid w:val="008B62D0"/>
    <w:rsid w:val="008B6487"/>
    <w:rsid w:val="008B64C6"/>
    <w:rsid w:val="008B6502"/>
    <w:rsid w:val="008B6551"/>
    <w:rsid w:val="008B657F"/>
    <w:rsid w:val="008B6667"/>
    <w:rsid w:val="008B6688"/>
    <w:rsid w:val="008B66EF"/>
    <w:rsid w:val="008B672C"/>
    <w:rsid w:val="008B676B"/>
    <w:rsid w:val="008B6961"/>
    <w:rsid w:val="008B6978"/>
    <w:rsid w:val="008B6985"/>
    <w:rsid w:val="008B69F2"/>
    <w:rsid w:val="008B6A0A"/>
    <w:rsid w:val="008B6B4A"/>
    <w:rsid w:val="008B6B4C"/>
    <w:rsid w:val="008B6C81"/>
    <w:rsid w:val="008B6C87"/>
    <w:rsid w:val="008B6CC5"/>
    <w:rsid w:val="008B6D35"/>
    <w:rsid w:val="008B6D5E"/>
    <w:rsid w:val="008B6DE9"/>
    <w:rsid w:val="008B6ECC"/>
    <w:rsid w:val="008B6FA9"/>
    <w:rsid w:val="008B6FFA"/>
    <w:rsid w:val="008B7012"/>
    <w:rsid w:val="008B7164"/>
    <w:rsid w:val="008B7192"/>
    <w:rsid w:val="008B71CC"/>
    <w:rsid w:val="008B7202"/>
    <w:rsid w:val="008B7210"/>
    <w:rsid w:val="008B723A"/>
    <w:rsid w:val="008B7344"/>
    <w:rsid w:val="008B73A3"/>
    <w:rsid w:val="008B77F0"/>
    <w:rsid w:val="008B79B9"/>
    <w:rsid w:val="008B7A5B"/>
    <w:rsid w:val="008B7CBD"/>
    <w:rsid w:val="008B7DE4"/>
    <w:rsid w:val="008B7EE4"/>
    <w:rsid w:val="008B7EED"/>
    <w:rsid w:val="008B7EFC"/>
    <w:rsid w:val="008B7FE8"/>
    <w:rsid w:val="008C001A"/>
    <w:rsid w:val="008C002E"/>
    <w:rsid w:val="008C0136"/>
    <w:rsid w:val="008C01E8"/>
    <w:rsid w:val="008C0233"/>
    <w:rsid w:val="008C0265"/>
    <w:rsid w:val="008C02A6"/>
    <w:rsid w:val="008C0382"/>
    <w:rsid w:val="008C04FF"/>
    <w:rsid w:val="008C0586"/>
    <w:rsid w:val="008C05ED"/>
    <w:rsid w:val="008C06B8"/>
    <w:rsid w:val="008C0706"/>
    <w:rsid w:val="008C0784"/>
    <w:rsid w:val="008C07BF"/>
    <w:rsid w:val="008C0855"/>
    <w:rsid w:val="008C0966"/>
    <w:rsid w:val="008C098D"/>
    <w:rsid w:val="008C09A5"/>
    <w:rsid w:val="008C09C2"/>
    <w:rsid w:val="008C0A21"/>
    <w:rsid w:val="008C0C13"/>
    <w:rsid w:val="008C0C22"/>
    <w:rsid w:val="008C0C3D"/>
    <w:rsid w:val="008C0C3F"/>
    <w:rsid w:val="008C0CEF"/>
    <w:rsid w:val="008C0D44"/>
    <w:rsid w:val="008C0D5F"/>
    <w:rsid w:val="008C0EE3"/>
    <w:rsid w:val="008C0F72"/>
    <w:rsid w:val="008C0FFC"/>
    <w:rsid w:val="008C1051"/>
    <w:rsid w:val="008C10BA"/>
    <w:rsid w:val="008C1172"/>
    <w:rsid w:val="008C1237"/>
    <w:rsid w:val="008C124F"/>
    <w:rsid w:val="008C12CF"/>
    <w:rsid w:val="008C1354"/>
    <w:rsid w:val="008C14F4"/>
    <w:rsid w:val="008C15D1"/>
    <w:rsid w:val="008C15E2"/>
    <w:rsid w:val="008C1606"/>
    <w:rsid w:val="008C165D"/>
    <w:rsid w:val="008C1762"/>
    <w:rsid w:val="008C1766"/>
    <w:rsid w:val="008C1788"/>
    <w:rsid w:val="008C1841"/>
    <w:rsid w:val="008C1842"/>
    <w:rsid w:val="008C1873"/>
    <w:rsid w:val="008C18A9"/>
    <w:rsid w:val="008C18DA"/>
    <w:rsid w:val="008C18F5"/>
    <w:rsid w:val="008C19B4"/>
    <w:rsid w:val="008C1A99"/>
    <w:rsid w:val="008C1AA2"/>
    <w:rsid w:val="008C1C22"/>
    <w:rsid w:val="008C1CD8"/>
    <w:rsid w:val="008C1CE4"/>
    <w:rsid w:val="008C1D56"/>
    <w:rsid w:val="008C1F3C"/>
    <w:rsid w:val="008C1FB4"/>
    <w:rsid w:val="008C1FD7"/>
    <w:rsid w:val="008C2031"/>
    <w:rsid w:val="008C2080"/>
    <w:rsid w:val="008C2095"/>
    <w:rsid w:val="008C2166"/>
    <w:rsid w:val="008C21A8"/>
    <w:rsid w:val="008C2269"/>
    <w:rsid w:val="008C2284"/>
    <w:rsid w:val="008C22D6"/>
    <w:rsid w:val="008C23BB"/>
    <w:rsid w:val="008C242D"/>
    <w:rsid w:val="008C247F"/>
    <w:rsid w:val="008C264C"/>
    <w:rsid w:val="008C2694"/>
    <w:rsid w:val="008C2855"/>
    <w:rsid w:val="008C28B9"/>
    <w:rsid w:val="008C2A24"/>
    <w:rsid w:val="008C2A2F"/>
    <w:rsid w:val="008C2A39"/>
    <w:rsid w:val="008C2AF7"/>
    <w:rsid w:val="008C2B00"/>
    <w:rsid w:val="008C2B70"/>
    <w:rsid w:val="008C2C58"/>
    <w:rsid w:val="008C2D0D"/>
    <w:rsid w:val="008C2D73"/>
    <w:rsid w:val="008C2DCC"/>
    <w:rsid w:val="008C2E29"/>
    <w:rsid w:val="008C2E71"/>
    <w:rsid w:val="008C2F00"/>
    <w:rsid w:val="008C2F10"/>
    <w:rsid w:val="008C2F33"/>
    <w:rsid w:val="008C30FA"/>
    <w:rsid w:val="008C318C"/>
    <w:rsid w:val="008C32E2"/>
    <w:rsid w:val="008C336D"/>
    <w:rsid w:val="008C3377"/>
    <w:rsid w:val="008C349F"/>
    <w:rsid w:val="008C34BC"/>
    <w:rsid w:val="008C35A2"/>
    <w:rsid w:val="008C35EA"/>
    <w:rsid w:val="008C35F8"/>
    <w:rsid w:val="008C373F"/>
    <w:rsid w:val="008C37A4"/>
    <w:rsid w:val="008C37B5"/>
    <w:rsid w:val="008C37F1"/>
    <w:rsid w:val="008C393C"/>
    <w:rsid w:val="008C3A3D"/>
    <w:rsid w:val="008C3B23"/>
    <w:rsid w:val="008C3B3F"/>
    <w:rsid w:val="008C3B43"/>
    <w:rsid w:val="008C3BF5"/>
    <w:rsid w:val="008C3C19"/>
    <w:rsid w:val="008C3C57"/>
    <w:rsid w:val="008C3C63"/>
    <w:rsid w:val="008C3C95"/>
    <w:rsid w:val="008C3CD5"/>
    <w:rsid w:val="008C3CEF"/>
    <w:rsid w:val="008C3F5B"/>
    <w:rsid w:val="008C3F5E"/>
    <w:rsid w:val="008C3F66"/>
    <w:rsid w:val="008C3FC5"/>
    <w:rsid w:val="008C3FC8"/>
    <w:rsid w:val="008C3FED"/>
    <w:rsid w:val="008C4141"/>
    <w:rsid w:val="008C41B6"/>
    <w:rsid w:val="008C41FA"/>
    <w:rsid w:val="008C42C1"/>
    <w:rsid w:val="008C4307"/>
    <w:rsid w:val="008C433D"/>
    <w:rsid w:val="008C4384"/>
    <w:rsid w:val="008C4391"/>
    <w:rsid w:val="008C44BF"/>
    <w:rsid w:val="008C44C2"/>
    <w:rsid w:val="008C4503"/>
    <w:rsid w:val="008C4566"/>
    <w:rsid w:val="008C45B4"/>
    <w:rsid w:val="008C479A"/>
    <w:rsid w:val="008C47D3"/>
    <w:rsid w:val="008C47EC"/>
    <w:rsid w:val="008C4845"/>
    <w:rsid w:val="008C4849"/>
    <w:rsid w:val="008C489F"/>
    <w:rsid w:val="008C48C6"/>
    <w:rsid w:val="008C4AD6"/>
    <w:rsid w:val="008C4B10"/>
    <w:rsid w:val="008C4B2F"/>
    <w:rsid w:val="008C4B3E"/>
    <w:rsid w:val="008C4B5C"/>
    <w:rsid w:val="008C4B81"/>
    <w:rsid w:val="008C4B9D"/>
    <w:rsid w:val="008C4C18"/>
    <w:rsid w:val="008C4E1D"/>
    <w:rsid w:val="008C4E60"/>
    <w:rsid w:val="008C4FE4"/>
    <w:rsid w:val="008C5035"/>
    <w:rsid w:val="008C513F"/>
    <w:rsid w:val="008C529C"/>
    <w:rsid w:val="008C52EB"/>
    <w:rsid w:val="008C53A1"/>
    <w:rsid w:val="008C53F5"/>
    <w:rsid w:val="008C542A"/>
    <w:rsid w:val="008C545B"/>
    <w:rsid w:val="008C54FC"/>
    <w:rsid w:val="008C5514"/>
    <w:rsid w:val="008C5530"/>
    <w:rsid w:val="008C5535"/>
    <w:rsid w:val="008C55FD"/>
    <w:rsid w:val="008C5635"/>
    <w:rsid w:val="008C568C"/>
    <w:rsid w:val="008C574D"/>
    <w:rsid w:val="008C5770"/>
    <w:rsid w:val="008C5780"/>
    <w:rsid w:val="008C5884"/>
    <w:rsid w:val="008C58F8"/>
    <w:rsid w:val="008C5983"/>
    <w:rsid w:val="008C5A02"/>
    <w:rsid w:val="008C5A6B"/>
    <w:rsid w:val="008C5AA2"/>
    <w:rsid w:val="008C5C00"/>
    <w:rsid w:val="008C5C6F"/>
    <w:rsid w:val="008C5DE9"/>
    <w:rsid w:val="008C5E5B"/>
    <w:rsid w:val="008C5ED1"/>
    <w:rsid w:val="008C609F"/>
    <w:rsid w:val="008C61E8"/>
    <w:rsid w:val="008C6299"/>
    <w:rsid w:val="008C62B4"/>
    <w:rsid w:val="008C6323"/>
    <w:rsid w:val="008C634D"/>
    <w:rsid w:val="008C63F3"/>
    <w:rsid w:val="008C6418"/>
    <w:rsid w:val="008C647D"/>
    <w:rsid w:val="008C64D1"/>
    <w:rsid w:val="008C6725"/>
    <w:rsid w:val="008C67B8"/>
    <w:rsid w:val="008C6A07"/>
    <w:rsid w:val="008C6A6F"/>
    <w:rsid w:val="008C6C57"/>
    <w:rsid w:val="008C6D97"/>
    <w:rsid w:val="008C6DA8"/>
    <w:rsid w:val="008C6DAF"/>
    <w:rsid w:val="008C6EC5"/>
    <w:rsid w:val="008C6ECC"/>
    <w:rsid w:val="008C6F0D"/>
    <w:rsid w:val="008C6F2D"/>
    <w:rsid w:val="008C6F95"/>
    <w:rsid w:val="008C6FBE"/>
    <w:rsid w:val="008C71E8"/>
    <w:rsid w:val="008C7262"/>
    <w:rsid w:val="008C7350"/>
    <w:rsid w:val="008C73A7"/>
    <w:rsid w:val="008C743C"/>
    <w:rsid w:val="008C74B4"/>
    <w:rsid w:val="008C7539"/>
    <w:rsid w:val="008C76A0"/>
    <w:rsid w:val="008C76F9"/>
    <w:rsid w:val="008C772E"/>
    <w:rsid w:val="008C77B4"/>
    <w:rsid w:val="008C7807"/>
    <w:rsid w:val="008C7860"/>
    <w:rsid w:val="008C788E"/>
    <w:rsid w:val="008C793D"/>
    <w:rsid w:val="008C799E"/>
    <w:rsid w:val="008C7A1F"/>
    <w:rsid w:val="008C7A2A"/>
    <w:rsid w:val="008C7AD5"/>
    <w:rsid w:val="008C7AE5"/>
    <w:rsid w:val="008C7C66"/>
    <w:rsid w:val="008C7C83"/>
    <w:rsid w:val="008C7CBC"/>
    <w:rsid w:val="008C7CFE"/>
    <w:rsid w:val="008C7D5D"/>
    <w:rsid w:val="008C7F7C"/>
    <w:rsid w:val="008C7F97"/>
    <w:rsid w:val="008D009D"/>
    <w:rsid w:val="008D0158"/>
    <w:rsid w:val="008D02BA"/>
    <w:rsid w:val="008D02FA"/>
    <w:rsid w:val="008D0355"/>
    <w:rsid w:val="008D03BA"/>
    <w:rsid w:val="008D044C"/>
    <w:rsid w:val="008D046B"/>
    <w:rsid w:val="008D0639"/>
    <w:rsid w:val="008D06A6"/>
    <w:rsid w:val="008D0735"/>
    <w:rsid w:val="008D0765"/>
    <w:rsid w:val="008D080D"/>
    <w:rsid w:val="008D092A"/>
    <w:rsid w:val="008D096B"/>
    <w:rsid w:val="008D09A7"/>
    <w:rsid w:val="008D09A8"/>
    <w:rsid w:val="008D0B13"/>
    <w:rsid w:val="008D0B54"/>
    <w:rsid w:val="008D0BBC"/>
    <w:rsid w:val="008D0C1D"/>
    <w:rsid w:val="008D0C67"/>
    <w:rsid w:val="008D0D6C"/>
    <w:rsid w:val="008D0E52"/>
    <w:rsid w:val="008D0E5E"/>
    <w:rsid w:val="008D0F0D"/>
    <w:rsid w:val="008D0FEB"/>
    <w:rsid w:val="008D100D"/>
    <w:rsid w:val="008D105D"/>
    <w:rsid w:val="008D10D5"/>
    <w:rsid w:val="008D11D6"/>
    <w:rsid w:val="008D1289"/>
    <w:rsid w:val="008D136E"/>
    <w:rsid w:val="008D1396"/>
    <w:rsid w:val="008D13B5"/>
    <w:rsid w:val="008D13E4"/>
    <w:rsid w:val="008D13F1"/>
    <w:rsid w:val="008D1418"/>
    <w:rsid w:val="008D1457"/>
    <w:rsid w:val="008D14C1"/>
    <w:rsid w:val="008D14C3"/>
    <w:rsid w:val="008D1550"/>
    <w:rsid w:val="008D174A"/>
    <w:rsid w:val="008D1855"/>
    <w:rsid w:val="008D18D9"/>
    <w:rsid w:val="008D1926"/>
    <w:rsid w:val="008D1C60"/>
    <w:rsid w:val="008D1D1F"/>
    <w:rsid w:val="008D1D86"/>
    <w:rsid w:val="008D1DF7"/>
    <w:rsid w:val="008D1E4E"/>
    <w:rsid w:val="008D1E78"/>
    <w:rsid w:val="008D1E8D"/>
    <w:rsid w:val="008D1F40"/>
    <w:rsid w:val="008D1F72"/>
    <w:rsid w:val="008D1FBB"/>
    <w:rsid w:val="008D204A"/>
    <w:rsid w:val="008D205E"/>
    <w:rsid w:val="008D20E1"/>
    <w:rsid w:val="008D2185"/>
    <w:rsid w:val="008D224D"/>
    <w:rsid w:val="008D225E"/>
    <w:rsid w:val="008D22A0"/>
    <w:rsid w:val="008D23A0"/>
    <w:rsid w:val="008D243D"/>
    <w:rsid w:val="008D245C"/>
    <w:rsid w:val="008D24FF"/>
    <w:rsid w:val="008D25E1"/>
    <w:rsid w:val="008D273D"/>
    <w:rsid w:val="008D2886"/>
    <w:rsid w:val="008D289C"/>
    <w:rsid w:val="008D29AC"/>
    <w:rsid w:val="008D29C8"/>
    <w:rsid w:val="008D2A01"/>
    <w:rsid w:val="008D2A99"/>
    <w:rsid w:val="008D2AAD"/>
    <w:rsid w:val="008D2C0E"/>
    <w:rsid w:val="008D2C3C"/>
    <w:rsid w:val="008D2CED"/>
    <w:rsid w:val="008D2D6A"/>
    <w:rsid w:val="008D2E25"/>
    <w:rsid w:val="008D2E3B"/>
    <w:rsid w:val="008D309F"/>
    <w:rsid w:val="008D30F0"/>
    <w:rsid w:val="008D3156"/>
    <w:rsid w:val="008D3310"/>
    <w:rsid w:val="008D3328"/>
    <w:rsid w:val="008D347F"/>
    <w:rsid w:val="008D3484"/>
    <w:rsid w:val="008D3486"/>
    <w:rsid w:val="008D34A8"/>
    <w:rsid w:val="008D352C"/>
    <w:rsid w:val="008D35FF"/>
    <w:rsid w:val="008D3642"/>
    <w:rsid w:val="008D3657"/>
    <w:rsid w:val="008D365E"/>
    <w:rsid w:val="008D3694"/>
    <w:rsid w:val="008D3717"/>
    <w:rsid w:val="008D3794"/>
    <w:rsid w:val="008D38F1"/>
    <w:rsid w:val="008D39C4"/>
    <w:rsid w:val="008D3A24"/>
    <w:rsid w:val="008D3ABE"/>
    <w:rsid w:val="008D3ACE"/>
    <w:rsid w:val="008D3B0D"/>
    <w:rsid w:val="008D3BD4"/>
    <w:rsid w:val="008D3D67"/>
    <w:rsid w:val="008D3DBB"/>
    <w:rsid w:val="008D3EB3"/>
    <w:rsid w:val="008D3EE2"/>
    <w:rsid w:val="008D3F68"/>
    <w:rsid w:val="008D3F8B"/>
    <w:rsid w:val="008D3FF2"/>
    <w:rsid w:val="008D4018"/>
    <w:rsid w:val="008D406A"/>
    <w:rsid w:val="008D4113"/>
    <w:rsid w:val="008D41E6"/>
    <w:rsid w:val="008D4315"/>
    <w:rsid w:val="008D4440"/>
    <w:rsid w:val="008D44A5"/>
    <w:rsid w:val="008D459D"/>
    <w:rsid w:val="008D45AB"/>
    <w:rsid w:val="008D4712"/>
    <w:rsid w:val="008D471A"/>
    <w:rsid w:val="008D471F"/>
    <w:rsid w:val="008D4723"/>
    <w:rsid w:val="008D4724"/>
    <w:rsid w:val="008D4766"/>
    <w:rsid w:val="008D47A5"/>
    <w:rsid w:val="008D4837"/>
    <w:rsid w:val="008D4897"/>
    <w:rsid w:val="008D48B4"/>
    <w:rsid w:val="008D48BA"/>
    <w:rsid w:val="008D48FE"/>
    <w:rsid w:val="008D49A4"/>
    <w:rsid w:val="008D49BB"/>
    <w:rsid w:val="008D4B21"/>
    <w:rsid w:val="008D4C2B"/>
    <w:rsid w:val="008D4CBA"/>
    <w:rsid w:val="008D4CEE"/>
    <w:rsid w:val="008D4DA1"/>
    <w:rsid w:val="008D4E25"/>
    <w:rsid w:val="008D4E99"/>
    <w:rsid w:val="008D4F65"/>
    <w:rsid w:val="008D4FB5"/>
    <w:rsid w:val="008D505C"/>
    <w:rsid w:val="008D5103"/>
    <w:rsid w:val="008D517C"/>
    <w:rsid w:val="008D523D"/>
    <w:rsid w:val="008D53C9"/>
    <w:rsid w:val="008D5426"/>
    <w:rsid w:val="008D543D"/>
    <w:rsid w:val="008D54B0"/>
    <w:rsid w:val="008D5521"/>
    <w:rsid w:val="008D5540"/>
    <w:rsid w:val="008D55AB"/>
    <w:rsid w:val="008D5643"/>
    <w:rsid w:val="008D5645"/>
    <w:rsid w:val="008D57E2"/>
    <w:rsid w:val="008D5956"/>
    <w:rsid w:val="008D59BB"/>
    <w:rsid w:val="008D59BD"/>
    <w:rsid w:val="008D5A0C"/>
    <w:rsid w:val="008D5A6C"/>
    <w:rsid w:val="008D5A82"/>
    <w:rsid w:val="008D5B5D"/>
    <w:rsid w:val="008D5CB5"/>
    <w:rsid w:val="008D5D42"/>
    <w:rsid w:val="008D5DCB"/>
    <w:rsid w:val="008D5F35"/>
    <w:rsid w:val="008D5FC2"/>
    <w:rsid w:val="008D5FC6"/>
    <w:rsid w:val="008D6095"/>
    <w:rsid w:val="008D60BD"/>
    <w:rsid w:val="008D60FF"/>
    <w:rsid w:val="008D6104"/>
    <w:rsid w:val="008D6199"/>
    <w:rsid w:val="008D62AF"/>
    <w:rsid w:val="008D6358"/>
    <w:rsid w:val="008D636E"/>
    <w:rsid w:val="008D6495"/>
    <w:rsid w:val="008D649C"/>
    <w:rsid w:val="008D653C"/>
    <w:rsid w:val="008D6567"/>
    <w:rsid w:val="008D6667"/>
    <w:rsid w:val="008D668A"/>
    <w:rsid w:val="008D6786"/>
    <w:rsid w:val="008D67F6"/>
    <w:rsid w:val="008D6831"/>
    <w:rsid w:val="008D6849"/>
    <w:rsid w:val="008D68C7"/>
    <w:rsid w:val="008D69C3"/>
    <w:rsid w:val="008D6A3E"/>
    <w:rsid w:val="008D6AEE"/>
    <w:rsid w:val="008D6B84"/>
    <w:rsid w:val="008D6B89"/>
    <w:rsid w:val="008D6BE2"/>
    <w:rsid w:val="008D6C06"/>
    <w:rsid w:val="008D6D0F"/>
    <w:rsid w:val="008D6D24"/>
    <w:rsid w:val="008D6D53"/>
    <w:rsid w:val="008D7023"/>
    <w:rsid w:val="008D7076"/>
    <w:rsid w:val="008D710E"/>
    <w:rsid w:val="008D717C"/>
    <w:rsid w:val="008D71FD"/>
    <w:rsid w:val="008D728F"/>
    <w:rsid w:val="008D7290"/>
    <w:rsid w:val="008D732E"/>
    <w:rsid w:val="008D7381"/>
    <w:rsid w:val="008D7443"/>
    <w:rsid w:val="008D75E3"/>
    <w:rsid w:val="008D7641"/>
    <w:rsid w:val="008D76CE"/>
    <w:rsid w:val="008D77BF"/>
    <w:rsid w:val="008D77D1"/>
    <w:rsid w:val="008D7878"/>
    <w:rsid w:val="008D7908"/>
    <w:rsid w:val="008D7945"/>
    <w:rsid w:val="008D7955"/>
    <w:rsid w:val="008D7993"/>
    <w:rsid w:val="008D7A2D"/>
    <w:rsid w:val="008D7AC4"/>
    <w:rsid w:val="008D7B29"/>
    <w:rsid w:val="008D7BDE"/>
    <w:rsid w:val="008D7C5E"/>
    <w:rsid w:val="008E00C8"/>
    <w:rsid w:val="008E00CE"/>
    <w:rsid w:val="008E0105"/>
    <w:rsid w:val="008E0137"/>
    <w:rsid w:val="008E01E5"/>
    <w:rsid w:val="008E01F4"/>
    <w:rsid w:val="008E01FA"/>
    <w:rsid w:val="008E02C1"/>
    <w:rsid w:val="008E032D"/>
    <w:rsid w:val="008E0378"/>
    <w:rsid w:val="008E046A"/>
    <w:rsid w:val="008E051D"/>
    <w:rsid w:val="008E0540"/>
    <w:rsid w:val="008E059D"/>
    <w:rsid w:val="008E0683"/>
    <w:rsid w:val="008E068D"/>
    <w:rsid w:val="008E06C0"/>
    <w:rsid w:val="008E06DD"/>
    <w:rsid w:val="008E0751"/>
    <w:rsid w:val="008E08FE"/>
    <w:rsid w:val="008E0913"/>
    <w:rsid w:val="008E0935"/>
    <w:rsid w:val="008E0AC1"/>
    <w:rsid w:val="008E0B11"/>
    <w:rsid w:val="008E0B75"/>
    <w:rsid w:val="008E0BD2"/>
    <w:rsid w:val="008E0BF3"/>
    <w:rsid w:val="008E0CFF"/>
    <w:rsid w:val="008E0D3D"/>
    <w:rsid w:val="008E0D4C"/>
    <w:rsid w:val="008E0DF5"/>
    <w:rsid w:val="008E0E28"/>
    <w:rsid w:val="008E0F13"/>
    <w:rsid w:val="008E104E"/>
    <w:rsid w:val="008E11A1"/>
    <w:rsid w:val="008E1257"/>
    <w:rsid w:val="008E138A"/>
    <w:rsid w:val="008E13C8"/>
    <w:rsid w:val="008E150B"/>
    <w:rsid w:val="008E162C"/>
    <w:rsid w:val="008E16BA"/>
    <w:rsid w:val="008E1704"/>
    <w:rsid w:val="008E1728"/>
    <w:rsid w:val="008E1791"/>
    <w:rsid w:val="008E182F"/>
    <w:rsid w:val="008E1852"/>
    <w:rsid w:val="008E1857"/>
    <w:rsid w:val="008E1862"/>
    <w:rsid w:val="008E18AC"/>
    <w:rsid w:val="008E18CC"/>
    <w:rsid w:val="008E191E"/>
    <w:rsid w:val="008E1940"/>
    <w:rsid w:val="008E1943"/>
    <w:rsid w:val="008E198C"/>
    <w:rsid w:val="008E19B9"/>
    <w:rsid w:val="008E1A40"/>
    <w:rsid w:val="008E1A7B"/>
    <w:rsid w:val="008E1AA4"/>
    <w:rsid w:val="008E1B12"/>
    <w:rsid w:val="008E1B1E"/>
    <w:rsid w:val="008E1B62"/>
    <w:rsid w:val="008E1BFB"/>
    <w:rsid w:val="008E1C2F"/>
    <w:rsid w:val="008E1DFB"/>
    <w:rsid w:val="008E1F2C"/>
    <w:rsid w:val="008E2000"/>
    <w:rsid w:val="008E20E9"/>
    <w:rsid w:val="008E2231"/>
    <w:rsid w:val="008E2369"/>
    <w:rsid w:val="008E236D"/>
    <w:rsid w:val="008E248F"/>
    <w:rsid w:val="008E2606"/>
    <w:rsid w:val="008E28E2"/>
    <w:rsid w:val="008E295F"/>
    <w:rsid w:val="008E2B70"/>
    <w:rsid w:val="008E2CD8"/>
    <w:rsid w:val="008E2D47"/>
    <w:rsid w:val="008E2E08"/>
    <w:rsid w:val="008E2EDD"/>
    <w:rsid w:val="008E2FA4"/>
    <w:rsid w:val="008E31D5"/>
    <w:rsid w:val="008E31ED"/>
    <w:rsid w:val="008E3239"/>
    <w:rsid w:val="008E3252"/>
    <w:rsid w:val="008E338A"/>
    <w:rsid w:val="008E340C"/>
    <w:rsid w:val="008E34B4"/>
    <w:rsid w:val="008E364B"/>
    <w:rsid w:val="008E3662"/>
    <w:rsid w:val="008E376A"/>
    <w:rsid w:val="008E3811"/>
    <w:rsid w:val="008E385C"/>
    <w:rsid w:val="008E38DA"/>
    <w:rsid w:val="008E38EB"/>
    <w:rsid w:val="008E38F3"/>
    <w:rsid w:val="008E3990"/>
    <w:rsid w:val="008E3996"/>
    <w:rsid w:val="008E39C3"/>
    <w:rsid w:val="008E3BEB"/>
    <w:rsid w:val="008E3C41"/>
    <w:rsid w:val="008E3C58"/>
    <w:rsid w:val="008E3CFE"/>
    <w:rsid w:val="008E3D21"/>
    <w:rsid w:val="008E3D22"/>
    <w:rsid w:val="008E3F31"/>
    <w:rsid w:val="008E4073"/>
    <w:rsid w:val="008E41F9"/>
    <w:rsid w:val="008E425F"/>
    <w:rsid w:val="008E432A"/>
    <w:rsid w:val="008E4341"/>
    <w:rsid w:val="008E435B"/>
    <w:rsid w:val="008E4397"/>
    <w:rsid w:val="008E4458"/>
    <w:rsid w:val="008E44F4"/>
    <w:rsid w:val="008E452C"/>
    <w:rsid w:val="008E45EE"/>
    <w:rsid w:val="008E46B8"/>
    <w:rsid w:val="008E4838"/>
    <w:rsid w:val="008E4949"/>
    <w:rsid w:val="008E4A20"/>
    <w:rsid w:val="008E4A47"/>
    <w:rsid w:val="008E4BF0"/>
    <w:rsid w:val="008E4C94"/>
    <w:rsid w:val="008E4CDD"/>
    <w:rsid w:val="008E4D35"/>
    <w:rsid w:val="008E4D9C"/>
    <w:rsid w:val="008E4DBC"/>
    <w:rsid w:val="008E4E11"/>
    <w:rsid w:val="008E4E2F"/>
    <w:rsid w:val="008E4E40"/>
    <w:rsid w:val="008E4F8E"/>
    <w:rsid w:val="008E5023"/>
    <w:rsid w:val="008E504A"/>
    <w:rsid w:val="008E504E"/>
    <w:rsid w:val="008E509C"/>
    <w:rsid w:val="008E5194"/>
    <w:rsid w:val="008E51D0"/>
    <w:rsid w:val="008E545E"/>
    <w:rsid w:val="008E54A4"/>
    <w:rsid w:val="008E54AD"/>
    <w:rsid w:val="008E54E8"/>
    <w:rsid w:val="008E54EB"/>
    <w:rsid w:val="008E54F5"/>
    <w:rsid w:val="008E5669"/>
    <w:rsid w:val="008E566F"/>
    <w:rsid w:val="008E56FF"/>
    <w:rsid w:val="008E5728"/>
    <w:rsid w:val="008E572E"/>
    <w:rsid w:val="008E5743"/>
    <w:rsid w:val="008E575A"/>
    <w:rsid w:val="008E5768"/>
    <w:rsid w:val="008E58E1"/>
    <w:rsid w:val="008E5946"/>
    <w:rsid w:val="008E5999"/>
    <w:rsid w:val="008E5A0A"/>
    <w:rsid w:val="008E5A31"/>
    <w:rsid w:val="008E5A75"/>
    <w:rsid w:val="008E5A83"/>
    <w:rsid w:val="008E5AAC"/>
    <w:rsid w:val="008E5B83"/>
    <w:rsid w:val="008E5DE6"/>
    <w:rsid w:val="008E5F37"/>
    <w:rsid w:val="008E618B"/>
    <w:rsid w:val="008E6288"/>
    <w:rsid w:val="008E629B"/>
    <w:rsid w:val="008E6375"/>
    <w:rsid w:val="008E63CE"/>
    <w:rsid w:val="008E63D8"/>
    <w:rsid w:val="008E64F5"/>
    <w:rsid w:val="008E6565"/>
    <w:rsid w:val="008E656E"/>
    <w:rsid w:val="008E6595"/>
    <w:rsid w:val="008E6596"/>
    <w:rsid w:val="008E6713"/>
    <w:rsid w:val="008E6737"/>
    <w:rsid w:val="008E68D3"/>
    <w:rsid w:val="008E69C0"/>
    <w:rsid w:val="008E6A7C"/>
    <w:rsid w:val="008E6A88"/>
    <w:rsid w:val="008E6B44"/>
    <w:rsid w:val="008E6BFD"/>
    <w:rsid w:val="008E6C9F"/>
    <w:rsid w:val="008E6D14"/>
    <w:rsid w:val="008E6F21"/>
    <w:rsid w:val="008E6F24"/>
    <w:rsid w:val="008E70C1"/>
    <w:rsid w:val="008E7233"/>
    <w:rsid w:val="008E73D3"/>
    <w:rsid w:val="008E7402"/>
    <w:rsid w:val="008E74BC"/>
    <w:rsid w:val="008E7502"/>
    <w:rsid w:val="008E754B"/>
    <w:rsid w:val="008E759E"/>
    <w:rsid w:val="008E76C0"/>
    <w:rsid w:val="008E7B68"/>
    <w:rsid w:val="008E7C8B"/>
    <w:rsid w:val="008E7CE0"/>
    <w:rsid w:val="008E7D0C"/>
    <w:rsid w:val="008E7D4C"/>
    <w:rsid w:val="008E7DD6"/>
    <w:rsid w:val="008E7E9C"/>
    <w:rsid w:val="008E7F2D"/>
    <w:rsid w:val="008E7F8A"/>
    <w:rsid w:val="008E7FBE"/>
    <w:rsid w:val="008E7FF8"/>
    <w:rsid w:val="008F0139"/>
    <w:rsid w:val="008F01D5"/>
    <w:rsid w:val="008F027E"/>
    <w:rsid w:val="008F0332"/>
    <w:rsid w:val="008F0492"/>
    <w:rsid w:val="008F0534"/>
    <w:rsid w:val="008F0617"/>
    <w:rsid w:val="008F06F9"/>
    <w:rsid w:val="008F077D"/>
    <w:rsid w:val="008F07C2"/>
    <w:rsid w:val="008F0805"/>
    <w:rsid w:val="008F095C"/>
    <w:rsid w:val="008F0A61"/>
    <w:rsid w:val="008F0A86"/>
    <w:rsid w:val="008F0AC9"/>
    <w:rsid w:val="008F0BC0"/>
    <w:rsid w:val="008F0C42"/>
    <w:rsid w:val="008F0C4E"/>
    <w:rsid w:val="008F0C74"/>
    <w:rsid w:val="008F0DD1"/>
    <w:rsid w:val="008F0E05"/>
    <w:rsid w:val="008F0E4E"/>
    <w:rsid w:val="008F0E90"/>
    <w:rsid w:val="008F0F03"/>
    <w:rsid w:val="008F0F53"/>
    <w:rsid w:val="008F0F6B"/>
    <w:rsid w:val="008F0FE7"/>
    <w:rsid w:val="008F1011"/>
    <w:rsid w:val="008F1043"/>
    <w:rsid w:val="008F1050"/>
    <w:rsid w:val="008F1158"/>
    <w:rsid w:val="008F1259"/>
    <w:rsid w:val="008F1318"/>
    <w:rsid w:val="008F1347"/>
    <w:rsid w:val="008F1425"/>
    <w:rsid w:val="008F1519"/>
    <w:rsid w:val="008F152F"/>
    <w:rsid w:val="008F1617"/>
    <w:rsid w:val="008F1678"/>
    <w:rsid w:val="008F1709"/>
    <w:rsid w:val="008F176A"/>
    <w:rsid w:val="008F186A"/>
    <w:rsid w:val="008F18AA"/>
    <w:rsid w:val="008F18B9"/>
    <w:rsid w:val="008F18EF"/>
    <w:rsid w:val="008F1903"/>
    <w:rsid w:val="008F1A92"/>
    <w:rsid w:val="008F1AA1"/>
    <w:rsid w:val="008F1B70"/>
    <w:rsid w:val="008F1CC6"/>
    <w:rsid w:val="008F1D03"/>
    <w:rsid w:val="008F1D9D"/>
    <w:rsid w:val="008F1DCD"/>
    <w:rsid w:val="008F1DD4"/>
    <w:rsid w:val="008F1E07"/>
    <w:rsid w:val="008F1E65"/>
    <w:rsid w:val="008F1F87"/>
    <w:rsid w:val="008F204B"/>
    <w:rsid w:val="008F20A8"/>
    <w:rsid w:val="008F2235"/>
    <w:rsid w:val="008F2262"/>
    <w:rsid w:val="008F24B2"/>
    <w:rsid w:val="008F261E"/>
    <w:rsid w:val="008F262A"/>
    <w:rsid w:val="008F2632"/>
    <w:rsid w:val="008F2721"/>
    <w:rsid w:val="008F2781"/>
    <w:rsid w:val="008F27D2"/>
    <w:rsid w:val="008F28C0"/>
    <w:rsid w:val="008F28EE"/>
    <w:rsid w:val="008F293C"/>
    <w:rsid w:val="008F296E"/>
    <w:rsid w:val="008F2996"/>
    <w:rsid w:val="008F29E3"/>
    <w:rsid w:val="008F2A20"/>
    <w:rsid w:val="008F2A9A"/>
    <w:rsid w:val="008F2B87"/>
    <w:rsid w:val="008F2C14"/>
    <w:rsid w:val="008F2C9A"/>
    <w:rsid w:val="008F2CD9"/>
    <w:rsid w:val="008F2D3D"/>
    <w:rsid w:val="008F2DAE"/>
    <w:rsid w:val="008F2DB8"/>
    <w:rsid w:val="008F2F83"/>
    <w:rsid w:val="008F2FB6"/>
    <w:rsid w:val="008F2FD7"/>
    <w:rsid w:val="008F2FF8"/>
    <w:rsid w:val="008F303C"/>
    <w:rsid w:val="008F3139"/>
    <w:rsid w:val="008F319A"/>
    <w:rsid w:val="008F31FE"/>
    <w:rsid w:val="008F3218"/>
    <w:rsid w:val="008F3492"/>
    <w:rsid w:val="008F35B8"/>
    <w:rsid w:val="008F3767"/>
    <w:rsid w:val="008F3985"/>
    <w:rsid w:val="008F398A"/>
    <w:rsid w:val="008F39D7"/>
    <w:rsid w:val="008F3BA9"/>
    <w:rsid w:val="008F3BFD"/>
    <w:rsid w:val="008F3C24"/>
    <w:rsid w:val="008F3CDD"/>
    <w:rsid w:val="008F3D0D"/>
    <w:rsid w:val="008F3D12"/>
    <w:rsid w:val="008F3DB0"/>
    <w:rsid w:val="008F3E05"/>
    <w:rsid w:val="008F3EDE"/>
    <w:rsid w:val="008F4069"/>
    <w:rsid w:val="008F4371"/>
    <w:rsid w:val="008F43A7"/>
    <w:rsid w:val="008F43DD"/>
    <w:rsid w:val="008F4437"/>
    <w:rsid w:val="008F45EE"/>
    <w:rsid w:val="008F462E"/>
    <w:rsid w:val="008F46F5"/>
    <w:rsid w:val="008F473A"/>
    <w:rsid w:val="008F47E7"/>
    <w:rsid w:val="008F48FF"/>
    <w:rsid w:val="008F4B05"/>
    <w:rsid w:val="008F4BA1"/>
    <w:rsid w:val="008F4BD6"/>
    <w:rsid w:val="008F4CD4"/>
    <w:rsid w:val="008F4D46"/>
    <w:rsid w:val="008F4DAB"/>
    <w:rsid w:val="008F4EBB"/>
    <w:rsid w:val="008F4F72"/>
    <w:rsid w:val="008F4F8B"/>
    <w:rsid w:val="008F4FB3"/>
    <w:rsid w:val="008F4FC3"/>
    <w:rsid w:val="008F5054"/>
    <w:rsid w:val="008F50A5"/>
    <w:rsid w:val="008F510E"/>
    <w:rsid w:val="008F5142"/>
    <w:rsid w:val="008F517C"/>
    <w:rsid w:val="008F5181"/>
    <w:rsid w:val="008F51ED"/>
    <w:rsid w:val="008F528D"/>
    <w:rsid w:val="008F5462"/>
    <w:rsid w:val="008F54A6"/>
    <w:rsid w:val="008F54E2"/>
    <w:rsid w:val="008F54FD"/>
    <w:rsid w:val="008F5638"/>
    <w:rsid w:val="008F5655"/>
    <w:rsid w:val="008F565D"/>
    <w:rsid w:val="008F5669"/>
    <w:rsid w:val="008F5677"/>
    <w:rsid w:val="008F57B6"/>
    <w:rsid w:val="008F5A2C"/>
    <w:rsid w:val="008F5D18"/>
    <w:rsid w:val="008F5DAA"/>
    <w:rsid w:val="008F5DD6"/>
    <w:rsid w:val="008F5E52"/>
    <w:rsid w:val="008F5ED4"/>
    <w:rsid w:val="008F5F55"/>
    <w:rsid w:val="008F5F91"/>
    <w:rsid w:val="008F5FE5"/>
    <w:rsid w:val="008F603A"/>
    <w:rsid w:val="008F60B5"/>
    <w:rsid w:val="008F6119"/>
    <w:rsid w:val="008F621E"/>
    <w:rsid w:val="008F6244"/>
    <w:rsid w:val="008F62BF"/>
    <w:rsid w:val="008F64B3"/>
    <w:rsid w:val="008F6500"/>
    <w:rsid w:val="008F65F8"/>
    <w:rsid w:val="008F67BD"/>
    <w:rsid w:val="008F6CB6"/>
    <w:rsid w:val="008F6EC7"/>
    <w:rsid w:val="008F6F29"/>
    <w:rsid w:val="008F700D"/>
    <w:rsid w:val="008F706E"/>
    <w:rsid w:val="008F7239"/>
    <w:rsid w:val="008F728C"/>
    <w:rsid w:val="008F72A2"/>
    <w:rsid w:val="008F72F0"/>
    <w:rsid w:val="008F733C"/>
    <w:rsid w:val="008F737A"/>
    <w:rsid w:val="008F7502"/>
    <w:rsid w:val="008F760F"/>
    <w:rsid w:val="008F7633"/>
    <w:rsid w:val="008F76D6"/>
    <w:rsid w:val="008F7855"/>
    <w:rsid w:val="008F7A0F"/>
    <w:rsid w:val="008F7B02"/>
    <w:rsid w:val="008F7C50"/>
    <w:rsid w:val="008F7F0C"/>
    <w:rsid w:val="008F7F46"/>
    <w:rsid w:val="008F7F5A"/>
    <w:rsid w:val="008F7F7B"/>
    <w:rsid w:val="0090000A"/>
    <w:rsid w:val="0090004C"/>
    <w:rsid w:val="00900135"/>
    <w:rsid w:val="00900155"/>
    <w:rsid w:val="00900277"/>
    <w:rsid w:val="0090031F"/>
    <w:rsid w:val="00900350"/>
    <w:rsid w:val="00900377"/>
    <w:rsid w:val="009003AD"/>
    <w:rsid w:val="009003D5"/>
    <w:rsid w:val="0090050E"/>
    <w:rsid w:val="00900510"/>
    <w:rsid w:val="009005B6"/>
    <w:rsid w:val="00900603"/>
    <w:rsid w:val="00900655"/>
    <w:rsid w:val="009006C1"/>
    <w:rsid w:val="009006F5"/>
    <w:rsid w:val="009006FD"/>
    <w:rsid w:val="00900712"/>
    <w:rsid w:val="009007AF"/>
    <w:rsid w:val="00900827"/>
    <w:rsid w:val="00900883"/>
    <w:rsid w:val="0090089F"/>
    <w:rsid w:val="0090090A"/>
    <w:rsid w:val="0090093E"/>
    <w:rsid w:val="009009F7"/>
    <w:rsid w:val="00900A1E"/>
    <w:rsid w:val="00900A33"/>
    <w:rsid w:val="00900A45"/>
    <w:rsid w:val="00900AAB"/>
    <w:rsid w:val="00900AF8"/>
    <w:rsid w:val="00900C33"/>
    <w:rsid w:val="00900CAF"/>
    <w:rsid w:val="00900D1F"/>
    <w:rsid w:val="00901037"/>
    <w:rsid w:val="00901065"/>
    <w:rsid w:val="009010F4"/>
    <w:rsid w:val="00901100"/>
    <w:rsid w:val="009011BB"/>
    <w:rsid w:val="009011E9"/>
    <w:rsid w:val="009012DB"/>
    <w:rsid w:val="00901327"/>
    <w:rsid w:val="00901345"/>
    <w:rsid w:val="009013A7"/>
    <w:rsid w:val="009013C9"/>
    <w:rsid w:val="00901494"/>
    <w:rsid w:val="0090165F"/>
    <w:rsid w:val="0090176C"/>
    <w:rsid w:val="00901808"/>
    <w:rsid w:val="0090180F"/>
    <w:rsid w:val="009018D2"/>
    <w:rsid w:val="00901937"/>
    <w:rsid w:val="00901962"/>
    <w:rsid w:val="009019F4"/>
    <w:rsid w:val="00901AD1"/>
    <w:rsid w:val="00901ADB"/>
    <w:rsid w:val="00901B0A"/>
    <w:rsid w:val="00901B4B"/>
    <w:rsid w:val="00901B52"/>
    <w:rsid w:val="00901B7C"/>
    <w:rsid w:val="00901BBD"/>
    <w:rsid w:val="00901C84"/>
    <w:rsid w:val="00901C9F"/>
    <w:rsid w:val="00901D12"/>
    <w:rsid w:val="00901E26"/>
    <w:rsid w:val="00901EEB"/>
    <w:rsid w:val="009020A3"/>
    <w:rsid w:val="009020C6"/>
    <w:rsid w:val="00902134"/>
    <w:rsid w:val="00902140"/>
    <w:rsid w:val="0090259E"/>
    <w:rsid w:val="009027DE"/>
    <w:rsid w:val="00902811"/>
    <w:rsid w:val="009029CF"/>
    <w:rsid w:val="00902A17"/>
    <w:rsid w:val="00902A6B"/>
    <w:rsid w:val="00902B83"/>
    <w:rsid w:val="00902BD4"/>
    <w:rsid w:val="00902C2C"/>
    <w:rsid w:val="00902C43"/>
    <w:rsid w:val="00902CFF"/>
    <w:rsid w:val="00902E19"/>
    <w:rsid w:val="00902E2B"/>
    <w:rsid w:val="00902E30"/>
    <w:rsid w:val="00902F49"/>
    <w:rsid w:val="00903042"/>
    <w:rsid w:val="0090308F"/>
    <w:rsid w:val="0090311C"/>
    <w:rsid w:val="009031DE"/>
    <w:rsid w:val="0090320D"/>
    <w:rsid w:val="0090336A"/>
    <w:rsid w:val="009033BB"/>
    <w:rsid w:val="0090341C"/>
    <w:rsid w:val="00903496"/>
    <w:rsid w:val="009034B5"/>
    <w:rsid w:val="009035F4"/>
    <w:rsid w:val="0090373E"/>
    <w:rsid w:val="0090388B"/>
    <w:rsid w:val="00903928"/>
    <w:rsid w:val="009039EE"/>
    <w:rsid w:val="00903A64"/>
    <w:rsid w:val="00903A8D"/>
    <w:rsid w:val="00903B2C"/>
    <w:rsid w:val="00903C70"/>
    <w:rsid w:val="00903C9F"/>
    <w:rsid w:val="00903CA6"/>
    <w:rsid w:val="00903CDF"/>
    <w:rsid w:val="00903CF2"/>
    <w:rsid w:val="00903F33"/>
    <w:rsid w:val="00903FDA"/>
    <w:rsid w:val="00903FDF"/>
    <w:rsid w:val="00903FE0"/>
    <w:rsid w:val="009040B5"/>
    <w:rsid w:val="009040EA"/>
    <w:rsid w:val="0090416D"/>
    <w:rsid w:val="00904173"/>
    <w:rsid w:val="009041B5"/>
    <w:rsid w:val="009041E7"/>
    <w:rsid w:val="00904285"/>
    <w:rsid w:val="0090428C"/>
    <w:rsid w:val="00904356"/>
    <w:rsid w:val="0090439A"/>
    <w:rsid w:val="00904454"/>
    <w:rsid w:val="00904532"/>
    <w:rsid w:val="00904730"/>
    <w:rsid w:val="009047D6"/>
    <w:rsid w:val="0090484B"/>
    <w:rsid w:val="00904865"/>
    <w:rsid w:val="009048E9"/>
    <w:rsid w:val="0090490F"/>
    <w:rsid w:val="009049D4"/>
    <w:rsid w:val="00904A7C"/>
    <w:rsid w:val="00904B00"/>
    <w:rsid w:val="00904C22"/>
    <w:rsid w:val="00904D6C"/>
    <w:rsid w:val="00904DD5"/>
    <w:rsid w:val="00904DE7"/>
    <w:rsid w:val="00904DEA"/>
    <w:rsid w:val="00904EC2"/>
    <w:rsid w:val="00904EC3"/>
    <w:rsid w:val="00904F55"/>
    <w:rsid w:val="00904F66"/>
    <w:rsid w:val="00904F6E"/>
    <w:rsid w:val="00904F85"/>
    <w:rsid w:val="00904F9D"/>
    <w:rsid w:val="00904FC2"/>
    <w:rsid w:val="00905080"/>
    <w:rsid w:val="00905151"/>
    <w:rsid w:val="0090527F"/>
    <w:rsid w:val="009052F1"/>
    <w:rsid w:val="009053F7"/>
    <w:rsid w:val="00905546"/>
    <w:rsid w:val="009055F7"/>
    <w:rsid w:val="009056A5"/>
    <w:rsid w:val="009056F9"/>
    <w:rsid w:val="0090582C"/>
    <w:rsid w:val="009058E5"/>
    <w:rsid w:val="009058FE"/>
    <w:rsid w:val="00905911"/>
    <w:rsid w:val="0090596A"/>
    <w:rsid w:val="009059BA"/>
    <w:rsid w:val="00905AE3"/>
    <w:rsid w:val="00905D85"/>
    <w:rsid w:val="00905DCA"/>
    <w:rsid w:val="00905DD1"/>
    <w:rsid w:val="00905E1C"/>
    <w:rsid w:val="00905ED0"/>
    <w:rsid w:val="00905F2C"/>
    <w:rsid w:val="00905F37"/>
    <w:rsid w:val="00905FDA"/>
    <w:rsid w:val="00906097"/>
    <w:rsid w:val="00906099"/>
    <w:rsid w:val="009060B3"/>
    <w:rsid w:val="009060CF"/>
    <w:rsid w:val="009061DF"/>
    <w:rsid w:val="009062A0"/>
    <w:rsid w:val="00906456"/>
    <w:rsid w:val="00906484"/>
    <w:rsid w:val="009064C8"/>
    <w:rsid w:val="009064D5"/>
    <w:rsid w:val="00906518"/>
    <w:rsid w:val="009066D7"/>
    <w:rsid w:val="009066F5"/>
    <w:rsid w:val="0090671F"/>
    <w:rsid w:val="009068F9"/>
    <w:rsid w:val="00906A7A"/>
    <w:rsid w:val="00906B3B"/>
    <w:rsid w:val="00906B46"/>
    <w:rsid w:val="00906C5C"/>
    <w:rsid w:val="00906CA1"/>
    <w:rsid w:val="00906DC5"/>
    <w:rsid w:val="00906DE6"/>
    <w:rsid w:val="00906E22"/>
    <w:rsid w:val="00906EB4"/>
    <w:rsid w:val="00906EFE"/>
    <w:rsid w:val="00906F54"/>
    <w:rsid w:val="00906FB5"/>
    <w:rsid w:val="00906FC3"/>
    <w:rsid w:val="0090703C"/>
    <w:rsid w:val="009070A8"/>
    <w:rsid w:val="0090711C"/>
    <w:rsid w:val="00907147"/>
    <w:rsid w:val="00907213"/>
    <w:rsid w:val="00907250"/>
    <w:rsid w:val="00907258"/>
    <w:rsid w:val="0090727E"/>
    <w:rsid w:val="00907345"/>
    <w:rsid w:val="0090735A"/>
    <w:rsid w:val="009073BC"/>
    <w:rsid w:val="009073FC"/>
    <w:rsid w:val="009074FE"/>
    <w:rsid w:val="0090760F"/>
    <w:rsid w:val="00907681"/>
    <w:rsid w:val="009077A2"/>
    <w:rsid w:val="00907807"/>
    <w:rsid w:val="0090780C"/>
    <w:rsid w:val="0090782F"/>
    <w:rsid w:val="0090788C"/>
    <w:rsid w:val="009078A4"/>
    <w:rsid w:val="00907969"/>
    <w:rsid w:val="009079B0"/>
    <w:rsid w:val="00907ABF"/>
    <w:rsid w:val="00907B7E"/>
    <w:rsid w:val="00907BBA"/>
    <w:rsid w:val="00907D55"/>
    <w:rsid w:val="00907F64"/>
    <w:rsid w:val="00907FFE"/>
    <w:rsid w:val="00910011"/>
    <w:rsid w:val="00910066"/>
    <w:rsid w:val="00910079"/>
    <w:rsid w:val="00910119"/>
    <w:rsid w:val="0091029D"/>
    <w:rsid w:val="00910335"/>
    <w:rsid w:val="009103E3"/>
    <w:rsid w:val="00910428"/>
    <w:rsid w:val="009104BE"/>
    <w:rsid w:val="009104E0"/>
    <w:rsid w:val="009104F8"/>
    <w:rsid w:val="009105E2"/>
    <w:rsid w:val="00910636"/>
    <w:rsid w:val="009107C9"/>
    <w:rsid w:val="0091086C"/>
    <w:rsid w:val="00910934"/>
    <w:rsid w:val="00910A18"/>
    <w:rsid w:val="00910A24"/>
    <w:rsid w:val="00910AD9"/>
    <w:rsid w:val="00910B11"/>
    <w:rsid w:val="00910C98"/>
    <w:rsid w:val="00910D16"/>
    <w:rsid w:val="00910E21"/>
    <w:rsid w:val="00910EBF"/>
    <w:rsid w:val="00911119"/>
    <w:rsid w:val="0091112B"/>
    <w:rsid w:val="0091131D"/>
    <w:rsid w:val="009113D9"/>
    <w:rsid w:val="009113F6"/>
    <w:rsid w:val="009114B5"/>
    <w:rsid w:val="009114E3"/>
    <w:rsid w:val="009114FD"/>
    <w:rsid w:val="00911558"/>
    <w:rsid w:val="0091156E"/>
    <w:rsid w:val="009115AF"/>
    <w:rsid w:val="009115FB"/>
    <w:rsid w:val="00911623"/>
    <w:rsid w:val="0091166C"/>
    <w:rsid w:val="00911674"/>
    <w:rsid w:val="00911848"/>
    <w:rsid w:val="0091191A"/>
    <w:rsid w:val="00911954"/>
    <w:rsid w:val="00911A83"/>
    <w:rsid w:val="00911A8B"/>
    <w:rsid w:val="00911D39"/>
    <w:rsid w:val="00911D3F"/>
    <w:rsid w:val="00911D68"/>
    <w:rsid w:val="00911D97"/>
    <w:rsid w:val="00911E18"/>
    <w:rsid w:val="00911E3A"/>
    <w:rsid w:val="00911EF4"/>
    <w:rsid w:val="00911F45"/>
    <w:rsid w:val="00911F58"/>
    <w:rsid w:val="00912016"/>
    <w:rsid w:val="00912250"/>
    <w:rsid w:val="00912292"/>
    <w:rsid w:val="009122C3"/>
    <w:rsid w:val="009122E6"/>
    <w:rsid w:val="0091230F"/>
    <w:rsid w:val="00912326"/>
    <w:rsid w:val="00912340"/>
    <w:rsid w:val="0091252E"/>
    <w:rsid w:val="009126DE"/>
    <w:rsid w:val="00912713"/>
    <w:rsid w:val="0091273D"/>
    <w:rsid w:val="0091278A"/>
    <w:rsid w:val="0091285A"/>
    <w:rsid w:val="009128C9"/>
    <w:rsid w:val="009129F8"/>
    <w:rsid w:val="00912A31"/>
    <w:rsid w:val="00912ACC"/>
    <w:rsid w:val="00912B52"/>
    <w:rsid w:val="00912BC3"/>
    <w:rsid w:val="00912C66"/>
    <w:rsid w:val="00912D1E"/>
    <w:rsid w:val="00912D5A"/>
    <w:rsid w:val="00912DBC"/>
    <w:rsid w:val="00912DF6"/>
    <w:rsid w:val="00912E54"/>
    <w:rsid w:val="00912F8C"/>
    <w:rsid w:val="00912FC4"/>
    <w:rsid w:val="00912FCE"/>
    <w:rsid w:val="00913135"/>
    <w:rsid w:val="009131B1"/>
    <w:rsid w:val="0091323B"/>
    <w:rsid w:val="00913338"/>
    <w:rsid w:val="00913343"/>
    <w:rsid w:val="009134B3"/>
    <w:rsid w:val="009134BA"/>
    <w:rsid w:val="009134D5"/>
    <w:rsid w:val="009134E2"/>
    <w:rsid w:val="00913520"/>
    <w:rsid w:val="00913582"/>
    <w:rsid w:val="00913655"/>
    <w:rsid w:val="009136A2"/>
    <w:rsid w:val="00913713"/>
    <w:rsid w:val="009137C3"/>
    <w:rsid w:val="009137D2"/>
    <w:rsid w:val="0091381A"/>
    <w:rsid w:val="00913862"/>
    <w:rsid w:val="00913877"/>
    <w:rsid w:val="00913882"/>
    <w:rsid w:val="009139D2"/>
    <w:rsid w:val="00913A53"/>
    <w:rsid w:val="00913A55"/>
    <w:rsid w:val="00913B06"/>
    <w:rsid w:val="00913B7A"/>
    <w:rsid w:val="00913BD9"/>
    <w:rsid w:val="00913D15"/>
    <w:rsid w:val="00913EB9"/>
    <w:rsid w:val="00913FA7"/>
    <w:rsid w:val="00914098"/>
    <w:rsid w:val="0091416F"/>
    <w:rsid w:val="009141FC"/>
    <w:rsid w:val="009142CA"/>
    <w:rsid w:val="009142DC"/>
    <w:rsid w:val="009143DD"/>
    <w:rsid w:val="009144EB"/>
    <w:rsid w:val="00914504"/>
    <w:rsid w:val="00914555"/>
    <w:rsid w:val="00914598"/>
    <w:rsid w:val="0091464E"/>
    <w:rsid w:val="009146A1"/>
    <w:rsid w:val="009146ED"/>
    <w:rsid w:val="009146F3"/>
    <w:rsid w:val="00914734"/>
    <w:rsid w:val="00914787"/>
    <w:rsid w:val="009147E1"/>
    <w:rsid w:val="009147E8"/>
    <w:rsid w:val="00914805"/>
    <w:rsid w:val="00914983"/>
    <w:rsid w:val="009149D3"/>
    <w:rsid w:val="009149FC"/>
    <w:rsid w:val="00914AB5"/>
    <w:rsid w:val="00914AB7"/>
    <w:rsid w:val="00914CDF"/>
    <w:rsid w:val="00914CE1"/>
    <w:rsid w:val="00914E20"/>
    <w:rsid w:val="00914E22"/>
    <w:rsid w:val="00914EAE"/>
    <w:rsid w:val="00914F8E"/>
    <w:rsid w:val="00914FD3"/>
    <w:rsid w:val="00914FD7"/>
    <w:rsid w:val="0091508B"/>
    <w:rsid w:val="00915142"/>
    <w:rsid w:val="00915152"/>
    <w:rsid w:val="00915173"/>
    <w:rsid w:val="00915242"/>
    <w:rsid w:val="00915257"/>
    <w:rsid w:val="00915351"/>
    <w:rsid w:val="0091536B"/>
    <w:rsid w:val="00915381"/>
    <w:rsid w:val="009153AD"/>
    <w:rsid w:val="009153EE"/>
    <w:rsid w:val="00915746"/>
    <w:rsid w:val="009157E1"/>
    <w:rsid w:val="009158A8"/>
    <w:rsid w:val="009158FA"/>
    <w:rsid w:val="00915914"/>
    <w:rsid w:val="00915980"/>
    <w:rsid w:val="00915AC0"/>
    <w:rsid w:val="00915C2B"/>
    <w:rsid w:val="00915CE3"/>
    <w:rsid w:val="00915DBD"/>
    <w:rsid w:val="00915E95"/>
    <w:rsid w:val="00915E9E"/>
    <w:rsid w:val="00915ED7"/>
    <w:rsid w:val="00915EDA"/>
    <w:rsid w:val="00915FB3"/>
    <w:rsid w:val="00915FBB"/>
    <w:rsid w:val="009160EA"/>
    <w:rsid w:val="009162EC"/>
    <w:rsid w:val="00916381"/>
    <w:rsid w:val="009163A5"/>
    <w:rsid w:val="00916447"/>
    <w:rsid w:val="00916484"/>
    <w:rsid w:val="009164D7"/>
    <w:rsid w:val="009164DB"/>
    <w:rsid w:val="009164FF"/>
    <w:rsid w:val="0091656D"/>
    <w:rsid w:val="009167AB"/>
    <w:rsid w:val="009167B8"/>
    <w:rsid w:val="009167C0"/>
    <w:rsid w:val="009167E8"/>
    <w:rsid w:val="00916A73"/>
    <w:rsid w:val="00916B81"/>
    <w:rsid w:val="00916BB5"/>
    <w:rsid w:val="00916C2A"/>
    <w:rsid w:val="00916C6D"/>
    <w:rsid w:val="00916C7A"/>
    <w:rsid w:val="00916D1D"/>
    <w:rsid w:val="00916D2D"/>
    <w:rsid w:val="00916D83"/>
    <w:rsid w:val="00916F64"/>
    <w:rsid w:val="00917080"/>
    <w:rsid w:val="009170A6"/>
    <w:rsid w:val="009170D4"/>
    <w:rsid w:val="009171DA"/>
    <w:rsid w:val="009171EC"/>
    <w:rsid w:val="009171F5"/>
    <w:rsid w:val="009171F8"/>
    <w:rsid w:val="0091720D"/>
    <w:rsid w:val="00917213"/>
    <w:rsid w:val="00917326"/>
    <w:rsid w:val="00917358"/>
    <w:rsid w:val="009173F4"/>
    <w:rsid w:val="00917423"/>
    <w:rsid w:val="0091749B"/>
    <w:rsid w:val="009174A9"/>
    <w:rsid w:val="0091760C"/>
    <w:rsid w:val="00917639"/>
    <w:rsid w:val="009176CD"/>
    <w:rsid w:val="009177E7"/>
    <w:rsid w:val="00917848"/>
    <w:rsid w:val="00917A0A"/>
    <w:rsid w:val="00917A32"/>
    <w:rsid w:val="00917AAA"/>
    <w:rsid w:val="00917ABF"/>
    <w:rsid w:val="00917B77"/>
    <w:rsid w:val="00917C04"/>
    <w:rsid w:val="00917C74"/>
    <w:rsid w:val="00917F49"/>
    <w:rsid w:val="00917FAA"/>
    <w:rsid w:val="00920084"/>
    <w:rsid w:val="009200DC"/>
    <w:rsid w:val="009200E3"/>
    <w:rsid w:val="00920154"/>
    <w:rsid w:val="0092015E"/>
    <w:rsid w:val="0092020F"/>
    <w:rsid w:val="00920364"/>
    <w:rsid w:val="009203B1"/>
    <w:rsid w:val="0092041D"/>
    <w:rsid w:val="00920428"/>
    <w:rsid w:val="0092049D"/>
    <w:rsid w:val="00920560"/>
    <w:rsid w:val="00920567"/>
    <w:rsid w:val="009206EA"/>
    <w:rsid w:val="00920842"/>
    <w:rsid w:val="00920895"/>
    <w:rsid w:val="009208AD"/>
    <w:rsid w:val="00920959"/>
    <w:rsid w:val="00920AC3"/>
    <w:rsid w:val="00920B09"/>
    <w:rsid w:val="00920B60"/>
    <w:rsid w:val="00920C47"/>
    <w:rsid w:val="00920CD9"/>
    <w:rsid w:val="00920D89"/>
    <w:rsid w:val="00920E77"/>
    <w:rsid w:val="00920EBC"/>
    <w:rsid w:val="00920FC4"/>
    <w:rsid w:val="00920FDE"/>
    <w:rsid w:val="009210A2"/>
    <w:rsid w:val="009210EA"/>
    <w:rsid w:val="00921187"/>
    <w:rsid w:val="00921190"/>
    <w:rsid w:val="00921259"/>
    <w:rsid w:val="00921310"/>
    <w:rsid w:val="00921506"/>
    <w:rsid w:val="0092152C"/>
    <w:rsid w:val="009215BA"/>
    <w:rsid w:val="009215D7"/>
    <w:rsid w:val="009216CC"/>
    <w:rsid w:val="009216EC"/>
    <w:rsid w:val="0092176A"/>
    <w:rsid w:val="0092182A"/>
    <w:rsid w:val="00921938"/>
    <w:rsid w:val="009219CB"/>
    <w:rsid w:val="009219FF"/>
    <w:rsid w:val="00921A20"/>
    <w:rsid w:val="00921A87"/>
    <w:rsid w:val="00921B4B"/>
    <w:rsid w:val="00921CA5"/>
    <w:rsid w:val="00921CC5"/>
    <w:rsid w:val="00921D31"/>
    <w:rsid w:val="00921DA9"/>
    <w:rsid w:val="00921ECA"/>
    <w:rsid w:val="00921FFB"/>
    <w:rsid w:val="00922082"/>
    <w:rsid w:val="009220CA"/>
    <w:rsid w:val="0092213A"/>
    <w:rsid w:val="00922159"/>
    <w:rsid w:val="009221EC"/>
    <w:rsid w:val="0092225B"/>
    <w:rsid w:val="00922269"/>
    <w:rsid w:val="00922292"/>
    <w:rsid w:val="009222DE"/>
    <w:rsid w:val="009225B7"/>
    <w:rsid w:val="00922642"/>
    <w:rsid w:val="0092285F"/>
    <w:rsid w:val="00922871"/>
    <w:rsid w:val="009228B1"/>
    <w:rsid w:val="00922944"/>
    <w:rsid w:val="00922974"/>
    <w:rsid w:val="009229AE"/>
    <w:rsid w:val="00922A94"/>
    <w:rsid w:val="00922ADC"/>
    <w:rsid w:val="00922AE4"/>
    <w:rsid w:val="00922BF1"/>
    <w:rsid w:val="00922CC4"/>
    <w:rsid w:val="00922D08"/>
    <w:rsid w:val="00922D1B"/>
    <w:rsid w:val="00922D22"/>
    <w:rsid w:val="00922D34"/>
    <w:rsid w:val="00922E89"/>
    <w:rsid w:val="00922F06"/>
    <w:rsid w:val="00922F33"/>
    <w:rsid w:val="00922F75"/>
    <w:rsid w:val="00923059"/>
    <w:rsid w:val="00923089"/>
    <w:rsid w:val="00923202"/>
    <w:rsid w:val="0092323C"/>
    <w:rsid w:val="00923283"/>
    <w:rsid w:val="009232FF"/>
    <w:rsid w:val="00923361"/>
    <w:rsid w:val="00923363"/>
    <w:rsid w:val="009233F3"/>
    <w:rsid w:val="0092354B"/>
    <w:rsid w:val="0092361A"/>
    <w:rsid w:val="00923665"/>
    <w:rsid w:val="009236AF"/>
    <w:rsid w:val="009236E7"/>
    <w:rsid w:val="00923775"/>
    <w:rsid w:val="009237D8"/>
    <w:rsid w:val="00923811"/>
    <w:rsid w:val="009238FC"/>
    <w:rsid w:val="00923A36"/>
    <w:rsid w:val="00923A98"/>
    <w:rsid w:val="00923B67"/>
    <w:rsid w:val="00923C7A"/>
    <w:rsid w:val="00923C7D"/>
    <w:rsid w:val="00923CD1"/>
    <w:rsid w:val="00923D67"/>
    <w:rsid w:val="00923D7B"/>
    <w:rsid w:val="00923E12"/>
    <w:rsid w:val="00923E76"/>
    <w:rsid w:val="00923EEC"/>
    <w:rsid w:val="00923F1A"/>
    <w:rsid w:val="00923F69"/>
    <w:rsid w:val="009240DF"/>
    <w:rsid w:val="0092419D"/>
    <w:rsid w:val="00924246"/>
    <w:rsid w:val="00924261"/>
    <w:rsid w:val="00924265"/>
    <w:rsid w:val="00924374"/>
    <w:rsid w:val="0092437D"/>
    <w:rsid w:val="00924390"/>
    <w:rsid w:val="009243B4"/>
    <w:rsid w:val="00924427"/>
    <w:rsid w:val="009244EE"/>
    <w:rsid w:val="009245A4"/>
    <w:rsid w:val="009245E7"/>
    <w:rsid w:val="00924604"/>
    <w:rsid w:val="009246AD"/>
    <w:rsid w:val="00924755"/>
    <w:rsid w:val="00924761"/>
    <w:rsid w:val="00924776"/>
    <w:rsid w:val="00924831"/>
    <w:rsid w:val="009248E8"/>
    <w:rsid w:val="009249EC"/>
    <w:rsid w:val="00924A68"/>
    <w:rsid w:val="00924AC0"/>
    <w:rsid w:val="00924AF3"/>
    <w:rsid w:val="00924B59"/>
    <w:rsid w:val="00924D31"/>
    <w:rsid w:val="00924E30"/>
    <w:rsid w:val="00924E6D"/>
    <w:rsid w:val="00924F0D"/>
    <w:rsid w:val="00924F66"/>
    <w:rsid w:val="00924F7F"/>
    <w:rsid w:val="00924FA2"/>
    <w:rsid w:val="00925063"/>
    <w:rsid w:val="00925088"/>
    <w:rsid w:val="00925095"/>
    <w:rsid w:val="009250C8"/>
    <w:rsid w:val="00925122"/>
    <w:rsid w:val="00925187"/>
    <w:rsid w:val="00925241"/>
    <w:rsid w:val="00925298"/>
    <w:rsid w:val="009252A2"/>
    <w:rsid w:val="009253A2"/>
    <w:rsid w:val="009253CF"/>
    <w:rsid w:val="009253FA"/>
    <w:rsid w:val="0092549E"/>
    <w:rsid w:val="00925557"/>
    <w:rsid w:val="0092556E"/>
    <w:rsid w:val="00925589"/>
    <w:rsid w:val="009255B1"/>
    <w:rsid w:val="009255DA"/>
    <w:rsid w:val="009255E5"/>
    <w:rsid w:val="009255FE"/>
    <w:rsid w:val="00925676"/>
    <w:rsid w:val="009256A9"/>
    <w:rsid w:val="009256C5"/>
    <w:rsid w:val="00925706"/>
    <w:rsid w:val="009257CF"/>
    <w:rsid w:val="009258BE"/>
    <w:rsid w:val="009258D7"/>
    <w:rsid w:val="009258DD"/>
    <w:rsid w:val="00925948"/>
    <w:rsid w:val="00925982"/>
    <w:rsid w:val="009259C5"/>
    <w:rsid w:val="009259D5"/>
    <w:rsid w:val="009259E0"/>
    <w:rsid w:val="00925A87"/>
    <w:rsid w:val="00925D1C"/>
    <w:rsid w:val="00925E12"/>
    <w:rsid w:val="00926003"/>
    <w:rsid w:val="00926050"/>
    <w:rsid w:val="00926114"/>
    <w:rsid w:val="00926143"/>
    <w:rsid w:val="00926302"/>
    <w:rsid w:val="009263D3"/>
    <w:rsid w:val="00926428"/>
    <w:rsid w:val="0092643D"/>
    <w:rsid w:val="0092649D"/>
    <w:rsid w:val="0092658F"/>
    <w:rsid w:val="0092663B"/>
    <w:rsid w:val="00926658"/>
    <w:rsid w:val="0092666C"/>
    <w:rsid w:val="0092668D"/>
    <w:rsid w:val="009266DE"/>
    <w:rsid w:val="009268A4"/>
    <w:rsid w:val="00926938"/>
    <w:rsid w:val="0092693C"/>
    <w:rsid w:val="00926A18"/>
    <w:rsid w:val="00926A60"/>
    <w:rsid w:val="00926AC0"/>
    <w:rsid w:val="00926C62"/>
    <w:rsid w:val="00926C65"/>
    <w:rsid w:val="00926C7C"/>
    <w:rsid w:val="00926CA8"/>
    <w:rsid w:val="00926D12"/>
    <w:rsid w:val="00926D85"/>
    <w:rsid w:val="00926D87"/>
    <w:rsid w:val="00926E89"/>
    <w:rsid w:val="00926EE4"/>
    <w:rsid w:val="00926F55"/>
    <w:rsid w:val="00926F89"/>
    <w:rsid w:val="009270B7"/>
    <w:rsid w:val="009270D2"/>
    <w:rsid w:val="00927149"/>
    <w:rsid w:val="00927159"/>
    <w:rsid w:val="00927223"/>
    <w:rsid w:val="00927245"/>
    <w:rsid w:val="009272F4"/>
    <w:rsid w:val="00927414"/>
    <w:rsid w:val="00927691"/>
    <w:rsid w:val="00927726"/>
    <w:rsid w:val="009277E8"/>
    <w:rsid w:val="009277F1"/>
    <w:rsid w:val="0092786C"/>
    <w:rsid w:val="009278EA"/>
    <w:rsid w:val="0092791D"/>
    <w:rsid w:val="00927952"/>
    <w:rsid w:val="0092799B"/>
    <w:rsid w:val="00927A3C"/>
    <w:rsid w:val="00927AFB"/>
    <w:rsid w:val="00927D70"/>
    <w:rsid w:val="00927D77"/>
    <w:rsid w:val="00927DB1"/>
    <w:rsid w:val="00927DC5"/>
    <w:rsid w:val="00927DE7"/>
    <w:rsid w:val="00927E0D"/>
    <w:rsid w:val="00927E51"/>
    <w:rsid w:val="00927E64"/>
    <w:rsid w:val="00927F1B"/>
    <w:rsid w:val="00927F68"/>
    <w:rsid w:val="0093001E"/>
    <w:rsid w:val="00930051"/>
    <w:rsid w:val="00930068"/>
    <w:rsid w:val="009301FC"/>
    <w:rsid w:val="009302CB"/>
    <w:rsid w:val="0093030D"/>
    <w:rsid w:val="0093035A"/>
    <w:rsid w:val="0093055D"/>
    <w:rsid w:val="00930563"/>
    <w:rsid w:val="0093057A"/>
    <w:rsid w:val="00930586"/>
    <w:rsid w:val="009305FF"/>
    <w:rsid w:val="00930702"/>
    <w:rsid w:val="00930A3A"/>
    <w:rsid w:val="00930A5E"/>
    <w:rsid w:val="00930A76"/>
    <w:rsid w:val="00930B79"/>
    <w:rsid w:val="00930BFF"/>
    <w:rsid w:val="00930C89"/>
    <w:rsid w:val="00930CA9"/>
    <w:rsid w:val="00930D0D"/>
    <w:rsid w:val="00930D3A"/>
    <w:rsid w:val="00930DF0"/>
    <w:rsid w:val="00930E74"/>
    <w:rsid w:val="00930EB5"/>
    <w:rsid w:val="00930EFC"/>
    <w:rsid w:val="00930FF1"/>
    <w:rsid w:val="00931155"/>
    <w:rsid w:val="0093116A"/>
    <w:rsid w:val="0093125B"/>
    <w:rsid w:val="00931270"/>
    <w:rsid w:val="009312A8"/>
    <w:rsid w:val="009312F1"/>
    <w:rsid w:val="00931313"/>
    <w:rsid w:val="00931384"/>
    <w:rsid w:val="009313A3"/>
    <w:rsid w:val="009313E5"/>
    <w:rsid w:val="009313F0"/>
    <w:rsid w:val="009314AD"/>
    <w:rsid w:val="00931617"/>
    <w:rsid w:val="009316F7"/>
    <w:rsid w:val="0093171F"/>
    <w:rsid w:val="00931752"/>
    <w:rsid w:val="009317D6"/>
    <w:rsid w:val="0093180D"/>
    <w:rsid w:val="00931816"/>
    <w:rsid w:val="0093183C"/>
    <w:rsid w:val="00931875"/>
    <w:rsid w:val="009318FF"/>
    <w:rsid w:val="00931A04"/>
    <w:rsid w:val="00931B0A"/>
    <w:rsid w:val="00931CB4"/>
    <w:rsid w:val="00931DB7"/>
    <w:rsid w:val="00931F0A"/>
    <w:rsid w:val="009320DD"/>
    <w:rsid w:val="009321AC"/>
    <w:rsid w:val="009321FA"/>
    <w:rsid w:val="0093221B"/>
    <w:rsid w:val="00932242"/>
    <w:rsid w:val="009322CD"/>
    <w:rsid w:val="0093249D"/>
    <w:rsid w:val="00932590"/>
    <w:rsid w:val="00932596"/>
    <w:rsid w:val="0093260C"/>
    <w:rsid w:val="00932698"/>
    <w:rsid w:val="009326E3"/>
    <w:rsid w:val="0093287F"/>
    <w:rsid w:val="0093288E"/>
    <w:rsid w:val="00932906"/>
    <w:rsid w:val="00932A9D"/>
    <w:rsid w:val="00932B4C"/>
    <w:rsid w:val="00932C0A"/>
    <w:rsid w:val="00932C45"/>
    <w:rsid w:val="00932E4B"/>
    <w:rsid w:val="00932FBE"/>
    <w:rsid w:val="00932FF8"/>
    <w:rsid w:val="00933001"/>
    <w:rsid w:val="0093307D"/>
    <w:rsid w:val="00933103"/>
    <w:rsid w:val="00933158"/>
    <w:rsid w:val="009332F3"/>
    <w:rsid w:val="009333AC"/>
    <w:rsid w:val="009334B7"/>
    <w:rsid w:val="009335DC"/>
    <w:rsid w:val="00933642"/>
    <w:rsid w:val="00933653"/>
    <w:rsid w:val="009336BE"/>
    <w:rsid w:val="009338B9"/>
    <w:rsid w:val="0093397E"/>
    <w:rsid w:val="00933A5E"/>
    <w:rsid w:val="00933C15"/>
    <w:rsid w:val="00933C59"/>
    <w:rsid w:val="00933CC4"/>
    <w:rsid w:val="00933CF1"/>
    <w:rsid w:val="00933D8B"/>
    <w:rsid w:val="00933DA9"/>
    <w:rsid w:val="00933DFD"/>
    <w:rsid w:val="00933ECA"/>
    <w:rsid w:val="00933F95"/>
    <w:rsid w:val="00933FB2"/>
    <w:rsid w:val="00934001"/>
    <w:rsid w:val="00934016"/>
    <w:rsid w:val="009341D6"/>
    <w:rsid w:val="009341EE"/>
    <w:rsid w:val="0093420B"/>
    <w:rsid w:val="0093424C"/>
    <w:rsid w:val="009342A9"/>
    <w:rsid w:val="009342CF"/>
    <w:rsid w:val="009344ED"/>
    <w:rsid w:val="00934609"/>
    <w:rsid w:val="00934832"/>
    <w:rsid w:val="009348B9"/>
    <w:rsid w:val="009348DF"/>
    <w:rsid w:val="009349BB"/>
    <w:rsid w:val="009349DC"/>
    <w:rsid w:val="009349E7"/>
    <w:rsid w:val="00934AA0"/>
    <w:rsid w:val="00934B2F"/>
    <w:rsid w:val="00934B8B"/>
    <w:rsid w:val="00934B91"/>
    <w:rsid w:val="00934E7A"/>
    <w:rsid w:val="00934F95"/>
    <w:rsid w:val="00934FA1"/>
    <w:rsid w:val="00934FD8"/>
    <w:rsid w:val="009351D5"/>
    <w:rsid w:val="009352D3"/>
    <w:rsid w:val="009352DD"/>
    <w:rsid w:val="00935370"/>
    <w:rsid w:val="0093541F"/>
    <w:rsid w:val="009354D2"/>
    <w:rsid w:val="00935523"/>
    <w:rsid w:val="0093553A"/>
    <w:rsid w:val="0093553C"/>
    <w:rsid w:val="009355DA"/>
    <w:rsid w:val="00935659"/>
    <w:rsid w:val="00935664"/>
    <w:rsid w:val="0093577A"/>
    <w:rsid w:val="0093586B"/>
    <w:rsid w:val="0093589F"/>
    <w:rsid w:val="009358E7"/>
    <w:rsid w:val="00935A2F"/>
    <w:rsid w:val="00935A72"/>
    <w:rsid w:val="00935B8D"/>
    <w:rsid w:val="00935BA0"/>
    <w:rsid w:val="00935C1D"/>
    <w:rsid w:val="00935C53"/>
    <w:rsid w:val="00935CC1"/>
    <w:rsid w:val="00935CE3"/>
    <w:rsid w:val="00935CF4"/>
    <w:rsid w:val="00935DC9"/>
    <w:rsid w:val="00935E44"/>
    <w:rsid w:val="00935EA0"/>
    <w:rsid w:val="00935EA7"/>
    <w:rsid w:val="00935F08"/>
    <w:rsid w:val="00935F6B"/>
    <w:rsid w:val="00936000"/>
    <w:rsid w:val="00936028"/>
    <w:rsid w:val="0093609B"/>
    <w:rsid w:val="009360A5"/>
    <w:rsid w:val="00936169"/>
    <w:rsid w:val="00936186"/>
    <w:rsid w:val="0093619B"/>
    <w:rsid w:val="009361B8"/>
    <w:rsid w:val="009361CA"/>
    <w:rsid w:val="00936252"/>
    <w:rsid w:val="009362B1"/>
    <w:rsid w:val="009362B4"/>
    <w:rsid w:val="009362B6"/>
    <w:rsid w:val="009362CD"/>
    <w:rsid w:val="00936340"/>
    <w:rsid w:val="009363A0"/>
    <w:rsid w:val="00936422"/>
    <w:rsid w:val="0093647A"/>
    <w:rsid w:val="009365AF"/>
    <w:rsid w:val="009366B6"/>
    <w:rsid w:val="009366FA"/>
    <w:rsid w:val="00936759"/>
    <w:rsid w:val="009367B6"/>
    <w:rsid w:val="009367D7"/>
    <w:rsid w:val="00936869"/>
    <w:rsid w:val="00936883"/>
    <w:rsid w:val="009368C3"/>
    <w:rsid w:val="0093693C"/>
    <w:rsid w:val="009369F4"/>
    <w:rsid w:val="00936B7C"/>
    <w:rsid w:val="00936B99"/>
    <w:rsid w:val="00936BE2"/>
    <w:rsid w:val="00936C83"/>
    <w:rsid w:val="00936CD6"/>
    <w:rsid w:val="00936CFD"/>
    <w:rsid w:val="00936CFE"/>
    <w:rsid w:val="00936D77"/>
    <w:rsid w:val="00936DB0"/>
    <w:rsid w:val="00936E3C"/>
    <w:rsid w:val="00936F7B"/>
    <w:rsid w:val="00936FC3"/>
    <w:rsid w:val="009371B7"/>
    <w:rsid w:val="0093728B"/>
    <w:rsid w:val="009372B7"/>
    <w:rsid w:val="009372D2"/>
    <w:rsid w:val="009372E0"/>
    <w:rsid w:val="00937302"/>
    <w:rsid w:val="00937310"/>
    <w:rsid w:val="00937396"/>
    <w:rsid w:val="009373D1"/>
    <w:rsid w:val="0093753C"/>
    <w:rsid w:val="0093754E"/>
    <w:rsid w:val="00937566"/>
    <w:rsid w:val="00937598"/>
    <w:rsid w:val="0093761D"/>
    <w:rsid w:val="009376B5"/>
    <w:rsid w:val="00937707"/>
    <w:rsid w:val="009377FD"/>
    <w:rsid w:val="00937831"/>
    <w:rsid w:val="00937887"/>
    <w:rsid w:val="00937888"/>
    <w:rsid w:val="009378E7"/>
    <w:rsid w:val="0093796E"/>
    <w:rsid w:val="00937989"/>
    <w:rsid w:val="009379BF"/>
    <w:rsid w:val="009379D2"/>
    <w:rsid w:val="00937ABD"/>
    <w:rsid w:val="00937B33"/>
    <w:rsid w:val="00937C0E"/>
    <w:rsid w:val="00937C5A"/>
    <w:rsid w:val="00937D38"/>
    <w:rsid w:val="00937D84"/>
    <w:rsid w:val="00937DC1"/>
    <w:rsid w:val="00937E19"/>
    <w:rsid w:val="00937E58"/>
    <w:rsid w:val="00937EFD"/>
    <w:rsid w:val="00937F0E"/>
    <w:rsid w:val="00937F57"/>
    <w:rsid w:val="00937F97"/>
    <w:rsid w:val="00937FD6"/>
    <w:rsid w:val="00940240"/>
    <w:rsid w:val="00940328"/>
    <w:rsid w:val="009403AE"/>
    <w:rsid w:val="00940413"/>
    <w:rsid w:val="00940477"/>
    <w:rsid w:val="009404FE"/>
    <w:rsid w:val="00940535"/>
    <w:rsid w:val="009405B6"/>
    <w:rsid w:val="0094062B"/>
    <w:rsid w:val="0094067A"/>
    <w:rsid w:val="009407D1"/>
    <w:rsid w:val="00940827"/>
    <w:rsid w:val="0094085F"/>
    <w:rsid w:val="00940899"/>
    <w:rsid w:val="00940924"/>
    <w:rsid w:val="009409AD"/>
    <w:rsid w:val="00940A35"/>
    <w:rsid w:val="00940A69"/>
    <w:rsid w:val="00940BC6"/>
    <w:rsid w:val="00940BD3"/>
    <w:rsid w:val="00940D25"/>
    <w:rsid w:val="00940D4F"/>
    <w:rsid w:val="00940D84"/>
    <w:rsid w:val="00940E42"/>
    <w:rsid w:val="00940EB2"/>
    <w:rsid w:val="00940F31"/>
    <w:rsid w:val="00940F7C"/>
    <w:rsid w:val="00941011"/>
    <w:rsid w:val="00941239"/>
    <w:rsid w:val="0094139A"/>
    <w:rsid w:val="0094154D"/>
    <w:rsid w:val="009415CA"/>
    <w:rsid w:val="00941632"/>
    <w:rsid w:val="0094172F"/>
    <w:rsid w:val="009418D5"/>
    <w:rsid w:val="00941932"/>
    <w:rsid w:val="009419B1"/>
    <w:rsid w:val="00941A71"/>
    <w:rsid w:val="00941ABE"/>
    <w:rsid w:val="00941B3F"/>
    <w:rsid w:val="00941BE8"/>
    <w:rsid w:val="00941C6F"/>
    <w:rsid w:val="00941C9D"/>
    <w:rsid w:val="00941D02"/>
    <w:rsid w:val="00941DBA"/>
    <w:rsid w:val="00941EA1"/>
    <w:rsid w:val="00941EAD"/>
    <w:rsid w:val="0094204C"/>
    <w:rsid w:val="009420AF"/>
    <w:rsid w:val="009420F9"/>
    <w:rsid w:val="009423E9"/>
    <w:rsid w:val="00942625"/>
    <w:rsid w:val="00942661"/>
    <w:rsid w:val="0094281F"/>
    <w:rsid w:val="00942906"/>
    <w:rsid w:val="009429FE"/>
    <w:rsid w:val="00942A2A"/>
    <w:rsid w:val="00942A8B"/>
    <w:rsid w:val="00942BC8"/>
    <w:rsid w:val="00942D6E"/>
    <w:rsid w:val="00942E8B"/>
    <w:rsid w:val="00942ED4"/>
    <w:rsid w:val="00942EE8"/>
    <w:rsid w:val="00943002"/>
    <w:rsid w:val="009431B5"/>
    <w:rsid w:val="009431B8"/>
    <w:rsid w:val="0094329E"/>
    <w:rsid w:val="00943353"/>
    <w:rsid w:val="0094340B"/>
    <w:rsid w:val="0094341D"/>
    <w:rsid w:val="0094342A"/>
    <w:rsid w:val="00943458"/>
    <w:rsid w:val="0094345B"/>
    <w:rsid w:val="009434F5"/>
    <w:rsid w:val="009435DC"/>
    <w:rsid w:val="00943640"/>
    <w:rsid w:val="00943666"/>
    <w:rsid w:val="009436D6"/>
    <w:rsid w:val="00943776"/>
    <w:rsid w:val="009437B5"/>
    <w:rsid w:val="00943816"/>
    <w:rsid w:val="00943820"/>
    <w:rsid w:val="009439E0"/>
    <w:rsid w:val="00943AB7"/>
    <w:rsid w:val="00943B32"/>
    <w:rsid w:val="00943BB3"/>
    <w:rsid w:val="00943E83"/>
    <w:rsid w:val="00943F0C"/>
    <w:rsid w:val="00943F73"/>
    <w:rsid w:val="00943F94"/>
    <w:rsid w:val="00943FE0"/>
    <w:rsid w:val="0094406F"/>
    <w:rsid w:val="00944082"/>
    <w:rsid w:val="00944122"/>
    <w:rsid w:val="00944155"/>
    <w:rsid w:val="00944259"/>
    <w:rsid w:val="00944342"/>
    <w:rsid w:val="009443B2"/>
    <w:rsid w:val="0094441C"/>
    <w:rsid w:val="00944618"/>
    <w:rsid w:val="00944666"/>
    <w:rsid w:val="009446E8"/>
    <w:rsid w:val="00944851"/>
    <w:rsid w:val="00944878"/>
    <w:rsid w:val="009448A5"/>
    <w:rsid w:val="0094496B"/>
    <w:rsid w:val="00944A08"/>
    <w:rsid w:val="00944A30"/>
    <w:rsid w:val="00944A99"/>
    <w:rsid w:val="00944AB4"/>
    <w:rsid w:val="00944B95"/>
    <w:rsid w:val="00944B9F"/>
    <w:rsid w:val="00944C27"/>
    <w:rsid w:val="00944C2D"/>
    <w:rsid w:val="00944C51"/>
    <w:rsid w:val="00944CA6"/>
    <w:rsid w:val="00944D34"/>
    <w:rsid w:val="00944D76"/>
    <w:rsid w:val="00944E9D"/>
    <w:rsid w:val="00945052"/>
    <w:rsid w:val="009450B2"/>
    <w:rsid w:val="009450F5"/>
    <w:rsid w:val="00945224"/>
    <w:rsid w:val="00945239"/>
    <w:rsid w:val="009452BB"/>
    <w:rsid w:val="0094543E"/>
    <w:rsid w:val="0094546E"/>
    <w:rsid w:val="00945496"/>
    <w:rsid w:val="009454EB"/>
    <w:rsid w:val="00945513"/>
    <w:rsid w:val="009455A6"/>
    <w:rsid w:val="00945605"/>
    <w:rsid w:val="0094579B"/>
    <w:rsid w:val="00945853"/>
    <w:rsid w:val="00945884"/>
    <w:rsid w:val="0094588F"/>
    <w:rsid w:val="00945890"/>
    <w:rsid w:val="00945911"/>
    <w:rsid w:val="009459C3"/>
    <w:rsid w:val="00945A62"/>
    <w:rsid w:val="00945C40"/>
    <w:rsid w:val="00945C9E"/>
    <w:rsid w:val="00945CB8"/>
    <w:rsid w:val="00945CCB"/>
    <w:rsid w:val="00945CDF"/>
    <w:rsid w:val="00945DBC"/>
    <w:rsid w:val="00945FB2"/>
    <w:rsid w:val="0094608D"/>
    <w:rsid w:val="009460F7"/>
    <w:rsid w:val="009461B3"/>
    <w:rsid w:val="00946209"/>
    <w:rsid w:val="0094622A"/>
    <w:rsid w:val="009462B8"/>
    <w:rsid w:val="009462E3"/>
    <w:rsid w:val="009462E6"/>
    <w:rsid w:val="009463E6"/>
    <w:rsid w:val="009464E8"/>
    <w:rsid w:val="009464F8"/>
    <w:rsid w:val="009465D2"/>
    <w:rsid w:val="00946676"/>
    <w:rsid w:val="009466F7"/>
    <w:rsid w:val="0094671D"/>
    <w:rsid w:val="009468C1"/>
    <w:rsid w:val="00946913"/>
    <w:rsid w:val="009469D0"/>
    <w:rsid w:val="00946A5E"/>
    <w:rsid w:val="00946BDB"/>
    <w:rsid w:val="00946CE4"/>
    <w:rsid w:val="00946E73"/>
    <w:rsid w:val="00946EAA"/>
    <w:rsid w:val="00946EDE"/>
    <w:rsid w:val="00946F4E"/>
    <w:rsid w:val="00947024"/>
    <w:rsid w:val="00947075"/>
    <w:rsid w:val="00947160"/>
    <w:rsid w:val="00947388"/>
    <w:rsid w:val="009473CD"/>
    <w:rsid w:val="009473E7"/>
    <w:rsid w:val="00947448"/>
    <w:rsid w:val="0094744B"/>
    <w:rsid w:val="009475FC"/>
    <w:rsid w:val="009476BA"/>
    <w:rsid w:val="00947753"/>
    <w:rsid w:val="00947764"/>
    <w:rsid w:val="009477C1"/>
    <w:rsid w:val="009477CD"/>
    <w:rsid w:val="00947817"/>
    <w:rsid w:val="00947879"/>
    <w:rsid w:val="00947944"/>
    <w:rsid w:val="00947B54"/>
    <w:rsid w:val="00947C7E"/>
    <w:rsid w:val="00947D4F"/>
    <w:rsid w:val="00947DD5"/>
    <w:rsid w:val="00947F81"/>
    <w:rsid w:val="00950057"/>
    <w:rsid w:val="009501E4"/>
    <w:rsid w:val="00950216"/>
    <w:rsid w:val="00950230"/>
    <w:rsid w:val="009502C3"/>
    <w:rsid w:val="009502F3"/>
    <w:rsid w:val="009502F5"/>
    <w:rsid w:val="0095081C"/>
    <w:rsid w:val="00950878"/>
    <w:rsid w:val="009508CA"/>
    <w:rsid w:val="00950A65"/>
    <w:rsid w:val="00950AC5"/>
    <w:rsid w:val="00950AD2"/>
    <w:rsid w:val="00950B4E"/>
    <w:rsid w:val="00950B7D"/>
    <w:rsid w:val="00950C49"/>
    <w:rsid w:val="00950C62"/>
    <w:rsid w:val="00950CC8"/>
    <w:rsid w:val="00950CFB"/>
    <w:rsid w:val="00950D45"/>
    <w:rsid w:val="00950D77"/>
    <w:rsid w:val="00950E3B"/>
    <w:rsid w:val="00950EEE"/>
    <w:rsid w:val="00950F71"/>
    <w:rsid w:val="0095116A"/>
    <w:rsid w:val="00951233"/>
    <w:rsid w:val="00951251"/>
    <w:rsid w:val="009512F6"/>
    <w:rsid w:val="009513B9"/>
    <w:rsid w:val="0095140C"/>
    <w:rsid w:val="009516FF"/>
    <w:rsid w:val="009517CC"/>
    <w:rsid w:val="009517E0"/>
    <w:rsid w:val="0095183C"/>
    <w:rsid w:val="00951925"/>
    <w:rsid w:val="009519AF"/>
    <w:rsid w:val="009519D1"/>
    <w:rsid w:val="00951A35"/>
    <w:rsid w:val="00951AA8"/>
    <w:rsid w:val="00951B26"/>
    <w:rsid w:val="00951B28"/>
    <w:rsid w:val="00951B5F"/>
    <w:rsid w:val="00951BF9"/>
    <w:rsid w:val="00951C25"/>
    <w:rsid w:val="00951C64"/>
    <w:rsid w:val="00951CAD"/>
    <w:rsid w:val="00951CEB"/>
    <w:rsid w:val="00951D21"/>
    <w:rsid w:val="00951DE9"/>
    <w:rsid w:val="00951DEC"/>
    <w:rsid w:val="00951E32"/>
    <w:rsid w:val="00951E6D"/>
    <w:rsid w:val="00951F13"/>
    <w:rsid w:val="0095201A"/>
    <w:rsid w:val="00952023"/>
    <w:rsid w:val="009520F0"/>
    <w:rsid w:val="009522AC"/>
    <w:rsid w:val="009522E9"/>
    <w:rsid w:val="009522FC"/>
    <w:rsid w:val="00952306"/>
    <w:rsid w:val="009523EC"/>
    <w:rsid w:val="00952518"/>
    <w:rsid w:val="009525FF"/>
    <w:rsid w:val="00952633"/>
    <w:rsid w:val="00952801"/>
    <w:rsid w:val="00952820"/>
    <w:rsid w:val="00952838"/>
    <w:rsid w:val="00952861"/>
    <w:rsid w:val="00952871"/>
    <w:rsid w:val="009528B4"/>
    <w:rsid w:val="00952A93"/>
    <w:rsid w:val="00952AE2"/>
    <w:rsid w:val="00952AFC"/>
    <w:rsid w:val="00952B0B"/>
    <w:rsid w:val="00952B72"/>
    <w:rsid w:val="00952BA7"/>
    <w:rsid w:val="00952BF4"/>
    <w:rsid w:val="00952C36"/>
    <w:rsid w:val="00952CA3"/>
    <w:rsid w:val="00952DC6"/>
    <w:rsid w:val="00952E9C"/>
    <w:rsid w:val="00952EDB"/>
    <w:rsid w:val="00952F16"/>
    <w:rsid w:val="00953057"/>
    <w:rsid w:val="00953058"/>
    <w:rsid w:val="009530A4"/>
    <w:rsid w:val="00953153"/>
    <w:rsid w:val="00953171"/>
    <w:rsid w:val="00953176"/>
    <w:rsid w:val="0095319B"/>
    <w:rsid w:val="009531F8"/>
    <w:rsid w:val="00953332"/>
    <w:rsid w:val="00953385"/>
    <w:rsid w:val="00953424"/>
    <w:rsid w:val="00953462"/>
    <w:rsid w:val="0095357F"/>
    <w:rsid w:val="009535DE"/>
    <w:rsid w:val="009535ED"/>
    <w:rsid w:val="00953678"/>
    <w:rsid w:val="00953762"/>
    <w:rsid w:val="00953811"/>
    <w:rsid w:val="0095389B"/>
    <w:rsid w:val="009538CD"/>
    <w:rsid w:val="009538FC"/>
    <w:rsid w:val="009539B5"/>
    <w:rsid w:val="009539EC"/>
    <w:rsid w:val="00953AC8"/>
    <w:rsid w:val="00953AE0"/>
    <w:rsid w:val="00953B20"/>
    <w:rsid w:val="00953BC3"/>
    <w:rsid w:val="00953C39"/>
    <w:rsid w:val="00953E0D"/>
    <w:rsid w:val="00953E8B"/>
    <w:rsid w:val="00953EA6"/>
    <w:rsid w:val="00953EAB"/>
    <w:rsid w:val="00953EB9"/>
    <w:rsid w:val="00953EFA"/>
    <w:rsid w:val="00953F3C"/>
    <w:rsid w:val="00953FCC"/>
    <w:rsid w:val="009541C0"/>
    <w:rsid w:val="009541D0"/>
    <w:rsid w:val="0095441A"/>
    <w:rsid w:val="00954421"/>
    <w:rsid w:val="00954577"/>
    <w:rsid w:val="00954586"/>
    <w:rsid w:val="00954635"/>
    <w:rsid w:val="00954684"/>
    <w:rsid w:val="0095469D"/>
    <w:rsid w:val="0095472C"/>
    <w:rsid w:val="00954746"/>
    <w:rsid w:val="009547AD"/>
    <w:rsid w:val="009547B2"/>
    <w:rsid w:val="009547E5"/>
    <w:rsid w:val="009547FF"/>
    <w:rsid w:val="0095483B"/>
    <w:rsid w:val="00954860"/>
    <w:rsid w:val="00954AF3"/>
    <w:rsid w:val="00954BE9"/>
    <w:rsid w:val="00954C15"/>
    <w:rsid w:val="00954D25"/>
    <w:rsid w:val="00954D3B"/>
    <w:rsid w:val="00954D60"/>
    <w:rsid w:val="00954DA1"/>
    <w:rsid w:val="00954EBE"/>
    <w:rsid w:val="00954ECB"/>
    <w:rsid w:val="0095509A"/>
    <w:rsid w:val="0095526E"/>
    <w:rsid w:val="00955284"/>
    <w:rsid w:val="009552FD"/>
    <w:rsid w:val="0095531E"/>
    <w:rsid w:val="009553B3"/>
    <w:rsid w:val="009553D6"/>
    <w:rsid w:val="0095546C"/>
    <w:rsid w:val="009554A0"/>
    <w:rsid w:val="00955520"/>
    <w:rsid w:val="0095552E"/>
    <w:rsid w:val="009555D6"/>
    <w:rsid w:val="009557AF"/>
    <w:rsid w:val="009557DE"/>
    <w:rsid w:val="00955A5F"/>
    <w:rsid w:val="00955A6C"/>
    <w:rsid w:val="00955AE6"/>
    <w:rsid w:val="00955AF6"/>
    <w:rsid w:val="00955CFF"/>
    <w:rsid w:val="00955D8B"/>
    <w:rsid w:val="00955E3B"/>
    <w:rsid w:val="00955E4F"/>
    <w:rsid w:val="00955ED5"/>
    <w:rsid w:val="00955F5E"/>
    <w:rsid w:val="00956002"/>
    <w:rsid w:val="0095600B"/>
    <w:rsid w:val="00956081"/>
    <w:rsid w:val="00956096"/>
    <w:rsid w:val="00956182"/>
    <w:rsid w:val="009561AF"/>
    <w:rsid w:val="009563F9"/>
    <w:rsid w:val="0095640E"/>
    <w:rsid w:val="00956416"/>
    <w:rsid w:val="00956581"/>
    <w:rsid w:val="0095659B"/>
    <w:rsid w:val="009566AD"/>
    <w:rsid w:val="009566B6"/>
    <w:rsid w:val="009566D5"/>
    <w:rsid w:val="00956993"/>
    <w:rsid w:val="0095699C"/>
    <w:rsid w:val="009569B4"/>
    <w:rsid w:val="00956A8C"/>
    <w:rsid w:val="00956CC7"/>
    <w:rsid w:val="00956D1F"/>
    <w:rsid w:val="00956DD1"/>
    <w:rsid w:val="00956F81"/>
    <w:rsid w:val="00956F89"/>
    <w:rsid w:val="00957018"/>
    <w:rsid w:val="009572DD"/>
    <w:rsid w:val="009573BD"/>
    <w:rsid w:val="00957439"/>
    <w:rsid w:val="009574F4"/>
    <w:rsid w:val="009575AF"/>
    <w:rsid w:val="0095763E"/>
    <w:rsid w:val="0095788C"/>
    <w:rsid w:val="009578E6"/>
    <w:rsid w:val="00957940"/>
    <w:rsid w:val="00957978"/>
    <w:rsid w:val="0095797C"/>
    <w:rsid w:val="00957B45"/>
    <w:rsid w:val="00957B7A"/>
    <w:rsid w:val="00957C73"/>
    <w:rsid w:val="00957D43"/>
    <w:rsid w:val="00957D69"/>
    <w:rsid w:val="00957DE0"/>
    <w:rsid w:val="00957EAE"/>
    <w:rsid w:val="00957EBD"/>
    <w:rsid w:val="00957EF5"/>
    <w:rsid w:val="00957F12"/>
    <w:rsid w:val="00957FB3"/>
    <w:rsid w:val="00957FEB"/>
    <w:rsid w:val="009600F1"/>
    <w:rsid w:val="009601B1"/>
    <w:rsid w:val="009601CD"/>
    <w:rsid w:val="00960219"/>
    <w:rsid w:val="0096031F"/>
    <w:rsid w:val="00960539"/>
    <w:rsid w:val="0096053F"/>
    <w:rsid w:val="00960668"/>
    <w:rsid w:val="0096067F"/>
    <w:rsid w:val="00960756"/>
    <w:rsid w:val="00960859"/>
    <w:rsid w:val="00960993"/>
    <w:rsid w:val="0096099E"/>
    <w:rsid w:val="00960AA3"/>
    <w:rsid w:val="00960ADB"/>
    <w:rsid w:val="00960AEE"/>
    <w:rsid w:val="00960BD8"/>
    <w:rsid w:val="00960C46"/>
    <w:rsid w:val="00960C57"/>
    <w:rsid w:val="00960D6C"/>
    <w:rsid w:val="00960DAB"/>
    <w:rsid w:val="00960E83"/>
    <w:rsid w:val="00960EBD"/>
    <w:rsid w:val="00960EEA"/>
    <w:rsid w:val="00960F07"/>
    <w:rsid w:val="00960F11"/>
    <w:rsid w:val="00960FB0"/>
    <w:rsid w:val="00960FD9"/>
    <w:rsid w:val="00960FE9"/>
    <w:rsid w:val="009610F0"/>
    <w:rsid w:val="0096116C"/>
    <w:rsid w:val="009611B3"/>
    <w:rsid w:val="00961274"/>
    <w:rsid w:val="009614D0"/>
    <w:rsid w:val="0096154E"/>
    <w:rsid w:val="00961722"/>
    <w:rsid w:val="00961811"/>
    <w:rsid w:val="00961813"/>
    <w:rsid w:val="0096190C"/>
    <w:rsid w:val="0096191F"/>
    <w:rsid w:val="00961A90"/>
    <w:rsid w:val="00961B1C"/>
    <w:rsid w:val="00961B1F"/>
    <w:rsid w:val="00961B81"/>
    <w:rsid w:val="00961BD3"/>
    <w:rsid w:val="00961C20"/>
    <w:rsid w:val="00961C48"/>
    <w:rsid w:val="00961C4A"/>
    <w:rsid w:val="00961D6F"/>
    <w:rsid w:val="00961E80"/>
    <w:rsid w:val="00961EBF"/>
    <w:rsid w:val="00961F6C"/>
    <w:rsid w:val="0096200D"/>
    <w:rsid w:val="0096201A"/>
    <w:rsid w:val="00962087"/>
    <w:rsid w:val="00962111"/>
    <w:rsid w:val="00962148"/>
    <w:rsid w:val="009621AC"/>
    <w:rsid w:val="0096221B"/>
    <w:rsid w:val="00962251"/>
    <w:rsid w:val="009622AA"/>
    <w:rsid w:val="0096231F"/>
    <w:rsid w:val="0096235D"/>
    <w:rsid w:val="00962364"/>
    <w:rsid w:val="009623EE"/>
    <w:rsid w:val="00962415"/>
    <w:rsid w:val="009624EE"/>
    <w:rsid w:val="009624F1"/>
    <w:rsid w:val="0096250E"/>
    <w:rsid w:val="009626E2"/>
    <w:rsid w:val="0096277C"/>
    <w:rsid w:val="00962786"/>
    <w:rsid w:val="0096279B"/>
    <w:rsid w:val="00962A90"/>
    <w:rsid w:val="00962AEC"/>
    <w:rsid w:val="00962B59"/>
    <w:rsid w:val="00962C40"/>
    <w:rsid w:val="00962D42"/>
    <w:rsid w:val="00962DD8"/>
    <w:rsid w:val="00962E44"/>
    <w:rsid w:val="00962E4C"/>
    <w:rsid w:val="00962FD9"/>
    <w:rsid w:val="00963018"/>
    <w:rsid w:val="0096303E"/>
    <w:rsid w:val="00963125"/>
    <w:rsid w:val="009631B9"/>
    <w:rsid w:val="009632E8"/>
    <w:rsid w:val="0096335A"/>
    <w:rsid w:val="0096336D"/>
    <w:rsid w:val="00963423"/>
    <w:rsid w:val="00963438"/>
    <w:rsid w:val="00963493"/>
    <w:rsid w:val="009634FA"/>
    <w:rsid w:val="00963562"/>
    <w:rsid w:val="00963576"/>
    <w:rsid w:val="0096374B"/>
    <w:rsid w:val="0096375B"/>
    <w:rsid w:val="009637AB"/>
    <w:rsid w:val="0096390D"/>
    <w:rsid w:val="00963A11"/>
    <w:rsid w:val="00963A12"/>
    <w:rsid w:val="00963A27"/>
    <w:rsid w:val="00963A67"/>
    <w:rsid w:val="00963A69"/>
    <w:rsid w:val="00963B2A"/>
    <w:rsid w:val="00963B75"/>
    <w:rsid w:val="00963B94"/>
    <w:rsid w:val="00963BAA"/>
    <w:rsid w:val="00963BB1"/>
    <w:rsid w:val="00963BCE"/>
    <w:rsid w:val="00963D00"/>
    <w:rsid w:val="00963F62"/>
    <w:rsid w:val="00963FD4"/>
    <w:rsid w:val="00964068"/>
    <w:rsid w:val="0096418A"/>
    <w:rsid w:val="009641BB"/>
    <w:rsid w:val="00964206"/>
    <w:rsid w:val="0096421D"/>
    <w:rsid w:val="0096442A"/>
    <w:rsid w:val="00964444"/>
    <w:rsid w:val="0096448E"/>
    <w:rsid w:val="009644AD"/>
    <w:rsid w:val="0096452E"/>
    <w:rsid w:val="00964550"/>
    <w:rsid w:val="009645B2"/>
    <w:rsid w:val="009645C3"/>
    <w:rsid w:val="009645FD"/>
    <w:rsid w:val="009646EB"/>
    <w:rsid w:val="0096479A"/>
    <w:rsid w:val="00964829"/>
    <w:rsid w:val="0096483B"/>
    <w:rsid w:val="00964880"/>
    <w:rsid w:val="009648EC"/>
    <w:rsid w:val="00964903"/>
    <w:rsid w:val="0096493D"/>
    <w:rsid w:val="009649AB"/>
    <w:rsid w:val="00964A56"/>
    <w:rsid w:val="00964ABD"/>
    <w:rsid w:val="00964D7F"/>
    <w:rsid w:val="00964DB8"/>
    <w:rsid w:val="00964DCA"/>
    <w:rsid w:val="00964DD6"/>
    <w:rsid w:val="00964E0A"/>
    <w:rsid w:val="00964E92"/>
    <w:rsid w:val="00964F46"/>
    <w:rsid w:val="0096510F"/>
    <w:rsid w:val="00965214"/>
    <w:rsid w:val="0096522A"/>
    <w:rsid w:val="0096529E"/>
    <w:rsid w:val="00965399"/>
    <w:rsid w:val="009653B6"/>
    <w:rsid w:val="00965494"/>
    <w:rsid w:val="009656A6"/>
    <w:rsid w:val="009656A8"/>
    <w:rsid w:val="00965720"/>
    <w:rsid w:val="00965784"/>
    <w:rsid w:val="009657F6"/>
    <w:rsid w:val="00965944"/>
    <w:rsid w:val="00965967"/>
    <w:rsid w:val="009659D7"/>
    <w:rsid w:val="00965A46"/>
    <w:rsid w:val="00965A65"/>
    <w:rsid w:val="00965ADC"/>
    <w:rsid w:val="00965BE3"/>
    <w:rsid w:val="00965C2A"/>
    <w:rsid w:val="00965C55"/>
    <w:rsid w:val="00965C83"/>
    <w:rsid w:val="00965E3A"/>
    <w:rsid w:val="00965EE2"/>
    <w:rsid w:val="00965F95"/>
    <w:rsid w:val="009660C2"/>
    <w:rsid w:val="00966117"/>
    <w:rsid w:val="00966264"/>
    <w:rsid w:val="0096626B"/>
    <w:rsid w:val="009662EE"/>
    <w:rsid w:val="00966300"/>
    <w:rsid w:val="0096644D"/>
    <w:rsid w:val="00966455"/>
    <w:rsid w:val="00966493"/>
    <w:rsid w:val="00966601"/>
    <w:rsid w:val="009666CC"/>
    <w:rsid w:val="009666DC"/>
    <w:rsid w:val="009666EA"/>
    <w:rsid w:val="0096671D"/>
    <w:rsid w:val="009667BE"/>
    <w:rsid w:val="00966837"/>
    <w:rsid w:val="0096689A"/>
    <w:rsid w:val="00966952"/>
    <w:rsid w:val="00966A0B"/>
    <w:rsid w:val="00966AC9"/>
    <w:rsid w:val="00966B8C"/>
    <w:rsid w:val="00966CAE"/>
    <w:rsid w:val="00966D58"/>
    <w:rsid w:val="00966D8A"/>
    <w:rsid w:val="00966E01"/>
    <w:rsid w:val="00966E92"/>
    <w:rsid w:val="00966FDC"/>
    <w:rsid w:val="00967152"/>
    <w:rsid w:val="0096719B"/>
    <w:rsid w:val="009672FC"/>
    <w:rsid w:val="0096733A"/>
    <w:rsid w:val="009673CF"/>
    <w:rsid w:val="0096743A"/>
    <w:rsid w:val="00967454"/>
    <w:rsid w:val="009674CA"/>
    <w:rsid w:val="00967571"/>
    <w:rsid w:val="009675CD"/>
    <w:rsid w:val="0096769E"/>
    <w:rsid w:val="00967712"/>
    <w:rsid w:val="00967774"/>
    <w:rsid w:val="0096785B"/>
    <w:rsid w:val="0096787C"/>
    <w:rsid w:val="009678F2"/>
    <w:rsid w:val="00967971"/>
    <w:rsid w:val="00967A5D"/>
    <w:rsid w:val="00967A64"/>
    <w:rsid w:val="00967AC7"/>
    <w:rsid w:val="00967B25"/>
    <w:rsid w:val="00967BB0"/>
    <w:rsid w:val="00967C5B"/>
    <w:rsid w:val="00967CBC"/>
    <w:rsid w:val="00967CD1"/>
    <w:rsid w:val="00967D01"/>
    <w:rsid w:val="00967D3D"/>
    <w:rsid w:val="00967D45"/>
    <w:rsid w:val="00967F46"/>
    <w:rsid w:val="00970032"/>
    <w:rsid w:val="0097003B"/>
    <w:rsid w:val="00970081"/>
    <w:rsid w:val="00970279"/>
    <w:rsid w:val="00970296"/>
    <w:rsid w:val="00970386"/>
    <w:rsid w:val="0097040C"/>
    <w:rsid w:val="0097043A"/>
    <w:rsid w:val="0097044D"/>
    <w:rsid w:val="009704AA"/>
    <w:rsid w:val="009704E6"/>
    <w:rsid w:val="00970536"/>
    <w:rsid w:val="00970578"/>
    <w:rsid w:val="0097059F"/>
    <w:rsid w:val="0097063B"/>
    <w:rsid w:val="009706CF"/>
    <w:rsid w:val="009706F9"/>
    <w:rsid w:val="0097078C"/>
    <w:rsid w:val="009708D3"/>
    <w:rsid w:val="00970A07"/>
    <w:rsid w:val="00970A0A"/>
    <w:rsid w:val="00970A79"/>
    <w:rsid w:val="00970AB0"/>
    <w:rsid w:val="00970AF0"/>
    <w:rsid w:val="00970B0E"/>
    <w:rsid w:val="00970C28"/>
    <w:rsid w:val="00970C50"/>
    <w:rsid w:val="00970C5E"/>
    <w:rsid w:val="00970D87"/>
    <w:rsid w:val="00970E87"/>
    <w:rsid w:val="00970FF1"/>
    <w:rsid w:val="00971071"/>
    <w:rsid w:val="00971266"/>
    <w:rsid w:val="009718C9"/>
    <w:rsid w:val="00971900"/>
    <w:rsid w:val="0097191A"/>
    <w:rsid w:val="00971939"/>
    <w:rsid w:val="00971B31"/>
    <w:rsid w:val="00971B43"/>
    <w:rsid w:val="00971B72"/>
    <w:rsid w:val="00971BCF"/>
    <w:rsid w:val="00971C3A"/>
    <w:rsid w:val="00971C96"/>
    <w:rsid w:val="00971CF5"/>
    <w:rsid w:val="00971D76"/>
    <w:rsid w:val="00971E99"/>
    <w:rsid w:val="00971F14"/>
    <w:rsid w:val="00971F8B"/>
    <w:rsid w:val="00971FA4"/>
    <w:rsid w:val="00972004"/>
    <w:rsid w:val="00972099"/>
    <w:rsid w:val="009720CF"/>
    <w:rsid w:val="009720DB"/>
    <w:rsid w:val="0097227D"/>
    <w:rsid w:val="009722C7"/>
    <w:rsid w:val="00972353"/>
    <w:rsid w:val="00972483"/>
    <w:rsid w:val="009724ED"/>
    <w:rsid w:val="00972565"/>
    <w:rsid w:val="00972625"/>
    <w:rsid w:val="0097267A"/>
    <w:rsid w:val="0097275C"/>
    <w:rsid w:val="00972764"/>
    <w:rsid w:val="00972855"/>
    <w:rsid w:val="00972997"/>
    <w:rsid w:val="0097299A"/>
    <w:rsid w:val="009729BB"/>
    <w:rsid w:val="00972B4B"/>
    <w:rsid w:val="00972B75"/>
    <w:rsid w:val="00972C06"/>
    <w:rsid w:val="00972C26"/>
    <w:rsid w:val="00972C6A"/>
    <w:rsid w:val="00972D86"/>
    <w:rsid w:val="00972E3D"/>
    <w:rsid w:val="009730E6"/>
    <w:rsid w:val="00973104"/>
    <w:rsid w:val="0097318F"/>
    <w:rsid w:val="0097321D"/>
    <w:rsid w:val="0097327F"/>
    <w:rsid w:val="0097333C"/>
    <w:rsid w:val="0097345E"/>
    <w:rsid w:val="0097345F"/>
    <w:rsid w:val="00973503"/>
    <w:rsid w:val="00973590"/>
    <w:rsid w:val="009735E5"/>
    <w:rsid w:val="0097364F"/>
    <w:rsid w:val="00973720"/>
    <w:rsid w:val="009737D3"/>
    <w:rsid w:val="009737E2"/>
    <w:rsid w:val="0097388A"/>
    <w:rsid w:val="009738BF"/>
    <w:rsid w:val="00973A41"/>
    <w:rsid w:val="00973A44"/>
    <w:rsid w:val="00973BF5"/>
    <w:rsid w:val="00973BFB"/>
    <w:rsid w:val="00973D61"/>
    <w:rsid w:val="00973DF9"/>
    <w:rsid w:val="00973E47"/>
    <w:rsid w:val="00973E6D"/>
    <w:rsid w:val="00973FE1"/>
    <w:rsid w:val="00974000"/>
    <w:rsid w:val="00974063"/>
    <w:rsid w:val="00974178"/>
    <w:rsid w:val="00974245"/>
    <w:rsid w:val="009742B4"/>
    <w:rsid w:val="009742C7"/>
    <w:rsid w:val="009742FA"/>
    <w:rsid w:val="0097432C"/>
    <w:rsid w:val="00974449"/>
    <w:rsid w:val="009744A7"/>
    <w:rsid w:val="00974513"/>
    <w:rsid w:val="00974518"/>
    <w:rsid w:val="009746DD"/>
    <w:rsid w:val="00974735"/>
    <w:rsid w:val="00974775"/>
    <w:rsid w:val="009748D7"/>
    <w:rsid w:val="0097498F"/>
    <w:rsid w:val="009749C5"/>
    <w:rsid w:val="009749F2"/>
    <w:rsid w:val="00974A74"/>
    <w:rsid w:val="00974D29"/>
    <w:rsid w:val="00974D47"/>
    <w:rsid w:val="00974D7B"/>
    <w:rsid w:val="00974D97"/>
    <w:rsid w:val="00974E17"/>
    <w:rsid w:val="00974EF1"/>
    <w:rsid w:val="00974F2A"/>
    <w:rsid w:val="009750A3"/>
    <w:rsid w:val="00975182"/>
    <w:rsid w:val="00975261"/>
    <w:rsid w:val="009752E2"/>
    <w:rsid w:val="0097537B"/>
    <w:rsid w:val="0097540C"/>
    <w:rsid w:val="00975417"/>
    <w:rsid w:val="0097547A"/>
    <w:rsid w:val="00975523"/>
    <w:rsid w:val="009756D9"/>
    <w:rsid w:val="00975722"/>
    <w:rsid w:val="00975805"/>
    <w:rsid w:val="00975884"/>
    <w:rsid w:val="00975A8A"/>
    <w:rsid w:val="00975AF3"/>
    <w:rsid w:val="00975BA3"/>
    <w:rsid w:val="00975BCC"/>
    <w:rsid w:val="00975C31"/>
    <w:rsid w:val="00975CE0"/>
    <w:rsid w:val="00975D0D"/>
    <w:rsid w:val="00975D2B"/>
    <w:rsid w:val="00975DBC"/>
    <w:rsid w:val="00975DC5"/>
    <w:rsid w:val="00975E72"/>
    <w:rsid w:val="00975E93"/>
    <w:rsid w:val="00975ED2"/>
    <w:rsid w:val="00975F3F"/>
    <w:rsid w:val="00975FB1"/>
    <w:rsid w:val="00976062"/>
    <w:rsid w:val="00976071"/>
    <w:rsid w:val="009761A9"/>
    <w:rsid w:val="009761BE"/>
    <w:rsid w:val="009762A1"/>
    <w:rsid w:val="00976362"/>
    <w:rsid w:val="0097646B"/>
    <w:rsid w:val="009765EB"/>
    <w:rsid w:val="00976611"/>
    <w:rsid w:val="00976700"/>
    <w:rsid w:val="00976787"/>
    <w:rsid w:val="009767A6"/>
    <w:rsid w:val="00976822"/>
    <w:rsid w:val="00976866"/>
    <w:rsid w:val="00976885"/>
    <w:rsid w:val="009768D7"/>
    <w:rsid w:val="009769A1"/>
    <w:rsid w:val="00976B13"/>
    <w:rsid w:val="00976B4B"/>
    <w:rsid w:val="00976BED"/>
    <w:rsid w:val="00976C0D"/>
    <w:rsid w:val="00976CA6"/>
    <w:rsid w:val="00976CFA"/>
    <w:rsid w:val="00976D36"/>
    <w:rsid w:val="00976E63"/>
    <w:rsid w:val="00976E99"/>
    <w:rsid w:val="00976F03"/>
    <w:rsid w:val="00976FA5"/>
    <w:rsid w:val="00977072"/>
    <w:rsid w:val="009770C9"/>
    <w:rsid w:val="009771D9"/>
    <w:rsid w:val="009771F0"/>
    <w:rsid w:val="009773EC"/>
    <w:rsid w:val="009773F6"/>
    <w:rsid w:val="00977458"/>
    <w:rsid w:val="0097746C"/>
    <w:rsid w:val="009774B4"/>
    <w:rsid w:val="00977503"/>
    <w:rsid w:val="00977507"/>
    <w:rsid w:val="009775A1"/>
    <w:rsid w:val="00977626"/>
    <w:rsid w:val="009776DA"/>
    <w:rsid w:val="009776F9"/>
    <w:rsid w:val="0097771C"/>
    <w:rsid w:val="0097773B"/>
    <w:rsid w:val="00977818"/>
    <w:rsid w:val="00977954"/>
    <w:rsid w:val="00977A01"/>
    <w:rsid w:val="00977A48"/>
    <w:rsid w:val="00977A68"/>
    <w:rsid w:val="00977A99"/>
    <w:rsid w:val="00977AEE"/>
    <w:rsid w:val="00977BA9"/>
    <w:rsid w:val="00977BEC"/>
    <w:rsid w:val="00977CAA"/>
    <w:rsid w:val="00977D4B"/>
    <w:rsid w:val="00977D70"/>
    <w:rsid w:val="00977D8A"/>
    <w:rsid w:val="00977DC2"/>
    <w:rsid w:val="00977DD2"/>
    <w:rsid w:val="00977DFD"/>
    <w:rsid w:val="00977E73"/>
    <w:rsid w:val="00977F1D"/>
    <w:rsid w:val="00977F8D"/>
    <w:rsid w:val="00980035"/>
    <w:rsid w:val="009800AB"/>
    <w:rsid w:val="009800CE"/>
    <w:rsid w:val="009800E8"/>
    <w:rsid w:val="009800EE"/>
    <w:rsid w:val="00980121"/>
    <w:rsid w:val="009801A8"/>
    <w:rsid w:val="00980292"/>
    <w:rsid w:val="00980387"/>
    <w:rsid w:val="009803C4"/>
    <w:rsid w:val="009803DD"/>
    <w:rsid w:val="0098051B"/>
    <w:rsid w:val="00980565"/>
    <w:rsid w:val="009805BC"/>
    <w:rsid w:val="00980606"/>
    <w:rsid w:val="0098061B"/>
    <w:rsid w:val="00980669"/>
    <w:rsid w:val="009806D8"/>
    <w:rsid w:val="00980726"/>
    <w:rsid w:val="00980750"/>
    <w:rsid w:val="0098077E"/>
    <w:rsid w:val="0098079D"/>
    <w:rsid w:val="009807E3"/>
    <w:rsid w:val="009808EB"/>
    <w:rsid w:val="0098090A"/>
    <w:rsid w:val="00980A02"/>
    <w:rsid w:val="00980AAF"/>
    <w:rsid w:val="00980AE9"/>
    <w:rsid w:val="00980B11"/>
    <w:rsid w:val="00980C12"/>
    <w:rsid w:val="00980D82"/>
    <w:rsid w:val="00980EE5"/>
    <w:rsid w:val="00980F1D"/>
    <w:rsid w:val="00980F9D"/>
    <w:rsid w:val="0098105C"/>
    <w:rsid w:val="009811FA"/>
    <w:rsid w:val="0098125F"/>
    <w:rsid w:val="00981357"/>
    <w:rsid w:val="009813DB"/>
    <w:rsid w:val="009813F1"/>
    <w:rsid w:val="0098147A"/>
    <w:rsid w:val="0098177F"/>
    <w:rsid w:val="0098193D"/>
    <w:rsid w:val="0098195F"/>
    <w:rsid w:val="0098196B"/>
    <w:rsid w:val="009819B8"/>
    <w:rsid w:val="009819E5"/>
    <w:rsid w:val="009819F8"/>
    <w:rsid w:val="00981AAB"/>
    <w:rsid w:val="00981ADE"/>
    <w:rsid w:val="00981B4A"/>
    <w:rsid w:val="00981B55"/>
    <w:rsid w:val="00981C8C"/>
    <w:rsid w:val="00981D36"/>
    <w:rsid w:val="00981DD3"/>
    <w:rsid w:val="00981DEB"/>
    <w:rsid w:val="00981DFE"/>
    <w:rsid w:val="00981E2B"/>
    <w:rsid w:val="00981F3E"/>
    <w:rsid w:val="00982012"/>
    <w:rsid w:val="0098203A"/>
    <w:rsid w:val="00982041"/>
    <w:rsid w:val="0098218C"/>
    <w:rsid w:val="0098218F"/>
    <w:rsid w:val="009822C2"/>
    <w:rsid w:val="0098232E"/>
    <w:rsid w:val="00982354"/>
    <w:rsid w:val="009823C4"/>
    <w:rsid w:val="00982406"/>
    <w:rsid w:val="00982412"/>
    <w:rsid w:val="00982455"/>
    <w:rsid w:val="0098247A"/>
    <w:rsid w:val="0098259C"/>
    <w:rsid w:val="00982770"/>
    <w:rsid w:val="0098285A"/>
    <w:rsid w:val="00982924"/>
    <w:rsid w:val="0098293A"/>
    <w:rsid w:val="0098297A"/>
    <w:rsid w:val="009829BF"/>
    <w:rsid w:val="00982AB5"/>
    <w:rsid w:val="00982B2B"/>
    <w:rsid w:val="00982C03"/>
    <w:rsid w:val="00982C08"/>
    <w:rsid w:val="00982E08"/>
    <w:rsid w:val="00982E60"/>
    <w:rsid w:val="00982EE9"/>
    <w:rsid w:val="00982F0D"/>
    <w:rsid w:val="00982F16"/>
    <w:rsid w:val="00982F30"/>
    <w:rsid w:val="00982F51"/>
    <w:rsid w:val="0098300F"/>
    <w:rsid w:val="00983038"/>
    <w:rsid w:val="009830B2"/>
    <w:rsid w:val="009830CB"/>
    <w:rsid w:val="009830EC"/>
    <w:rsid w:val="00983105"/>
    <w:rsid w:val="0098325E"/>
    <w:rsid w:val="0098333E"/>
    <w:rsid w:val="0098338B"/>
    <w:rsid w:val="009833D5"/>
    <w:rsid w:val="009833F7"/>
    <w:rsid w:val="0098352E"/>
    <w:rsid w:val="009835CE"/>
    <w:rsid w:val="00983711"/>
    <w:rsid w:val="00983774"/>
    <w:rsid w:val="009837A5"/>
    <w:rsid w:val="009838E4"/>
    <w:rsid w:val="009839B6"/>
    <w:rsid w:val="00983A12"/>
    <w:rsid w:val="00983BA5"/>
    <w:rsid w:val="00983BC4"/>
    <w:rsid w:val="00983C7F"/>
    <w:rsid w:val="00983D68"/>
    <w:rsid w:val="00983D88"/>
    <w:rsid w:val="00983DB9"/>
    <w:rsid w:val="00983DFF"/>
    <w:rsid w:val="00984089"/>
    <w:rsid w:val="00984141"/>
    <w:rsid w:val="009841C9"/>
    <w:rsid w:val="00984246"/>
    <w:rsid w:val="0098429F"/>
    <w:rsid w:val="009843C3"/>
    <w:rsid w:val="0098445F"/>
    <w:rsid w:val="0098450A"/>
    <w:rsid w:val="0098458F"/>
    <w:rsid w:val="009847AA"/>
    <w:rsid w:val="009847BE"/>
    <w:rsid w:val="00984813"/>
    <w:rsid w:val="00984898"/>
    <w:rsid w:val="009848A9"/>
    <w:rsid w:val="00984927"/>
    <w:rsid w:val="0098498D"/>
    <w:rsid w:val="009849B8"/>
    <w:rsid w:val="009849C7"/>
    <w:rsid w:val="009849DC"/>
    <w:rsid w:val="00984A5B"/>
    <w:rsid w:val="00984A7A"/>
    <w:rsid w:val="00984B41"/>
    <w:rsid w:val="00984BA6"/>
    <w:rsid w:val="00984BC0"/>
    <w:rsid w:val="00984BC6"/>
    <w:rsid w:val="00984C3E"/>
    <w:rsid w:val="00984C55"/>
    <w:rsid w:val="00984C89"/>
    <w:rsid w:val="00984DAA"/>
    <w:rsid w:val="00984F16"/>
    <w:rsid w:val="00984F47"/>
    <w:rsid w:val="00984FD2"/>
    <w:rsid w:val="00985049"/>
    <w:rsid w:val="009850A0"/>
    <w:rsid w:val="00985205"/>
    <w:rsid w:val="00985332"/>
    <w:rsid w:val="009853C4"/>
    <w:rsid w:val="00985403"/>
    <w:rsid w:val="0098540F"/>
    <w:rsid w:val="0098547C"/>
    <w:rsid w:val="009857CC"/>
    <w:rsid w:val="009859AF"/>
    <w:rsid w:val="009859BC"/>
    <w:rsid w:val="00985A72"/>
    <w:rsid w:val="00985A8E"/>
    <w:rsid w:val="00985B26"/>
    <w:rsid w:val="00985BA9"/>
    <w:rsid w:val="00985C1C"/>
    <w:rsid w:val="00985C8B"/>
    <w:rsid w:val="00985D1B"/>
    <w:rsid w:val="00985DC6"/>
    <w:rsid w:val="00985E48"/>
    <w:rsid w:val="00985E80"/>
    <w:rsid w:val="00985F54"/>
    <w:rsid w:val="00985F87"/>
    <w:rsid w:val="009860C9"/>
    <w:rsid w:val="0098612E"/>
    <w:rsid w:val="009861F9"/>
    <w:rsid w:val="00986215"/>
    <w:rsid w:val="00986247"/>
    <w:rsid w:val="009863C2"/>
    <w:rsid w:val="00986463"/>
    <w:rsid w:val="009865CF"/>
    <w:rsid w:val="009865F0"/>
    <w:rsid w:val="00986640"/>
    <w:rsid w:val="009866E6"/>
    <w:rsid w:val="009867EA"/>
    <w:rsid w:val="00986853"/>
    <w:rsid w:val="0098687C"/>
    <w:rsid w:val="0098696C"/>
    <w:rsid w:val="0098699D"/>
    <w:rsid w:val="009869E8"/>
    <w:rsid w:val="00986AA1"/>
    <w:rsid w:val="00986B4B"/>
    <w:rsid w:val="00986C3A"/>
    <w:rsid w:val="00986CB3"/>
    <w:rsid w:val="00986D2C"/>
    <w:rsid w:val="00986D91"/>
    <w:rsid w:val="00986E43"/>
    <w:rsid w:val="00986EAB"/>
    <w:rsid w:val="00987058"/>
    <w:rsid w:val="0098714D"/>
    <w:rsid w:val="00987159"/>
    <w:rsid w:val="0098724B"/>
    <w:rsid w:val="0098731D"/>
    <w:rsid w:val="00987383"/>
    <w:rsid w:val="009873D1"/>
    <w:rsid w:val="009873D9"/>
    <w:rsid w:val="009873F6"/>
    <w:rsid w:val="009873F9"/>
    <w:rsid w:val="009874B4"/>
    <w:rsid w:val="009874B6"/>
    <w:rsid w:val="009875AF"/>
    <w:rsid w:val="00987690"/>
    <w:rsid w:val="009876DD"/>
    <w:rsid w:val="009876EC"/>
    <w:rsid w:val="009878AC"/>
    <w:rsid w:val="00987924"/>
    <w:rsid w:val="00987A1C"/>
    <w:rsid w:val="00987A4B"/>
    <w:rsid w:val="00987A90"/>
    <w:rsid w:val="00987B1A"/>
    <w:rsid w:val="00987B3C"/>
    <w:rsid w:val="00987BCD"/>
    <w:rsid w:val="00987D18"/>
    <w:rsid w:val="00987D7B"/>
    <w:rsid w:val="00987DD5"/>
    <w:rsid w:val="00987E57"/>
    <w:rsid w:val="00987EBD"/>
    <w:rsid w:val="00987EDD"/>
    <w:rsid w:val="00987EEE"/>
    <w:rsid w:val="00987F44"/>
    <w:rsid w:val="00990075"/>
    <w:rsid w:val="009900EB"/>
    <w:rsid w:val="00990114"/>
    <w:rsid w:val="00990128"/>
    <w:rsid w:val="0099020E"/>
    <w:rsid w:val="009903DB"/>
    <w:rsid w:val="00990458"/>
    <w:rsid w:val="009904BB"/>
    <w:rsid w:val="00990502"/>
    <w:rsid w:val="0099050F"/>
    <w:rsid w:val="00990516"/>
    <w:rsid w:val="009905BE"/>
    <w:rsid w:val="009905CC"/>
    <w:rsid w:val="0099070A"/>
    <w:rsid w:val="00990724"/>
    <w:rsid w:val="0099074D"/>
    <w:rsid w:val="00990796"/>
    <w:rsid w:val="0099080D"/>
    <w:rsid w:val="0099084F"/>
    <w:rsid w:val="00990923"/>
    <w:rsid w:val="00990A02"/>
    <w:rsid w:val="00990A6F"/>
    <w:rsid w:val="00990AB1"/>
    <w:rsid w:val="00990B55"/>
    <w:rsid w:val="00990BE3"/>
    <w:rsid w:val="00990C35"/>
    <w:rsid w:val="00990CDE"/>
    <w:rsid w:val="00990D47"/>
    <w:rsid w:val="00990EB8"/>
    <w:rsid w:val="00990FCB"/>
    <w:rsid w:val="0099104C"/>
    <w:rsid w:val="00991057"/>
    <w:rsid w:val="009910BE"/>
    <w:rsid w:val="00991235"/>
    <w:rsid w:val="0099127F"/>
    <w:rsid w:val="009913B5"/>
    <w:rsid w:val="009913D4"/>
    <w:rsid w:val="0099158D"/>
    <w:rsid w:val="0099159C"/>
    <w:rsid w:val="00991671"/>
    <w:rsid w:val="00991684"/>
    <w:rsid w:val="009916A6"/>
    <w:rsid w:val="009916FA"/>
    <w:rsid w:val="009918C4"/>
    <w:rsid w:val="009918E6"/>
    <w:rsid w:val="0099196B"/>
    <w:rsid w:val="009919E4"/>
    <w:rsid w:val="00991AFA"/>
    <w:rsid w:val="00991C23"/>
    <w:rsid w:val="00991C71"/>
    <w:rsid w:val="00991CE0"/>
    <w:rsid w:val="00991CE5"/>
    <w:rsid w:val="00991D2F"/>
    <w:rsid w:val="00991D47"/>
    <w:rsid w:val="00991DC5"/>
    <w:rsid w:val="00991DE9"/>
    <w:rsid w:val="00991E04"/>
    <w:rsid w:val="00991E8E"/>
    <w:rsid w:val="00991EB3"/>
    <w:rsid w:val="00991FDE"/>
    <w:rsid w:val="00992032"/>
    <w:rsid w:val="009920BA"/>
    <w:rsid w:val="009921F3"/>
    <w:rsid w:val="009921FB"/>
    <w:rsid w:val="00992364"/>
    <w:rsid w:val="00992374"/>
    <w:rsid w:val="0099239F"/>
    <w:rsid w:val="009923C9"/>
    <w:rsid w:val="009923EF"/>
    <w:rsid w:val="00992454"/>
    <w:rsid w:val="00992459"/>
    <w:rsid w:val="009924D0"/>
    <w:rsid w:val="00992744"/>
    <w:rsid w:val="00992777"/>
    <w:rsid w:val="009927A7"/>
    <w:rsid w:val="009927C2"/>
    <w:rsid w:val="00992935"/>
    <w:rsid w:val="0099295E"/>
    <w:rsid w:val="009929AC"/>
    <w:rsid w:val="009929CB"/>
    <w:rsid w:val="009929D0"/>
    <w:rsid w:val="00992A82"/>
    <w:rsid w:val="00992B47"/>
    <w:rsid w:val="00992B82"/>
    <w:rsid w:val="00992BA0"/>
    <w:rsid w:val="00992BD0"/>
    <w:rsid w:val="00992C41"/>
    <w:rsid w:val="00992C56"/>
    <w:rsid w:val="00992D78"/>
    <w:rsid w:val="00992D82"/>
    <w:rsid w:val="00992DCF"/>
    <w:rsid w:val="00992E0D"/>
    <w:rsid w:val="00992FA4"/>
    <w:rsid w:val="009930BD"/>
    <w:rsid w:val="0099315F"/>
    <w:rsid w:val="009932C0"/>
    <w:rsid w:val="00993334"/>
    <w:rsid w:val="00993363"/>
    <w:rsid w:val="00993375"/>
    <w:rsid w:val="009933A8"/>
    <w:rsid w:val="00993400"/>
    <w:rsid w:val="00993430"/>
    <w:rsid w:val="0099343C"/>
    <w:rsid w:val="00993507"/>
    <w:rsid w:val="0099361A"/>
    <w:rsid w:val="00993650"/>
    <w:rsid w:val="0099368A"/>
    <w:rsid w:val="0099368D"/>
    <w:rsid w:val="00993757"/>
    <w:rsid w:val="009938B1"/>
    <w:rsid w:val="009939AB"/>
    <w:rsid w:val="00993A62"/>
    <w:rsid w:val="00993B29"/>
    <w:rsid w:val="00993C33"/>
    <w:rsid w:val="00993CB6"/>
    <w:rsid w:val="00993D35"/>
    <w:rsid w:val="00993E44"/>
    <w:rsid w:val="00993F3C"/>
    <w:rsid w:val="00993F94"/>
    <w:rsid w:val="00993FA3"/>
    <w:rsid w:val="00994106"/>
    <w:rsid w:val="009941C1"/>
    <w:rsid w:val="009941DE"/>
    <w:rsid w:val="00994265"/>
    <w:rsid w:val="009943FE"/>
    <w:rsid w:val="009944CB"/>
    <w:rsid w:val="00994507"/>
    <w:rsid w:val="00994515"/>
    <w:rsid w:val="00994541"/>
    <w:rsid w:val="0099457C"/>
    <w:rsid w:val="0099460F"/>
    <w:rsid w:val="00994719"/>
    <w:rsid w:val="00994759"/>
    <w:rsid w:val="0099487A"/>
    <w:rsid w:val="00994933"/>
    <w:rsid w:val="00994B0D"/>
    <w:rsid w:val="00994CA8"/>
    <w:rsid w:val="00994CBA"/>
    <w:rsid w:val="00994CD5"/>
    <w:rsid w:val="00994CFD"/>
    <w:rsid w:val="00994D17"/>
    <w:rsid w:val="00994D24"/>
    <w:rsid w:val="00994E04"/>
    <w:rsid w:val="00994F6B"/>
    <w:rsid w:val="00994FA9"/>
    <w:rsid w:val="00994FF7"/>
    <w:rsid w:val="00995061"/>
    <w:rsid w:val="009950EE"/>
    <w:rsid w:val="0099511D"/>
    <w:rsid w:val="009951C8"/>
    <w:rsid w:val="009951D4"/>
    <w:rsid w:val="00995230"/>
    <w:rsid w:val="009952A9"/>
    <w:rsid w:val="00995371"/>
    <w:rsid w:val="00995415"/>
    <w:rsid w:val="0099550B"/>
    <w:rsid w:val="00995534"/>
    <w:rsid w:val="0099553D"/>
    <w:rsid w:val="0099555F"/>
    <w:rsid w:val="00995594"/>
    <w:rsid w:val="009959E7"/>
    <w:rsid w:val="009959E8"/>
    <w:rsid w:val="00995B26"/>
    <w:rsid w:val="00995BB9"/>
    <w:rsid w:val="00995BC6"/>
    <w:rsid w:val="00995BCF"/>
    <w:rsid w:val="00995C04"/>
    <w:rsid w:val="00995CA9"/>
    <w:rsid w:val="00995CAA"/>
    <w:rsid w:val="00995D80"/>
    <w:rsid w:val="00995DB4"/>
    <w:rsid w:val="00995DB9"/>
    <w:rsid w:val="00995EF9"/>
    <w:rsid w:val="00995FCD"/>
    <w:rsid w:val="00996002"/>
    <w:rsid w:val="00996030"/>
    <w:rsid w:val="0099603C"/>
    <w:rsid w:val="0099604A"/>
    <w:rsid w:val="00996089"/>
    <w:rsid w:val="00996091"/>
    <w:rsid w:val="0099609E"/>
    <w:rsid w:val="009961BF"/>
    <w:rsid w:val="0099625D"/>
    <w:rsid w:val="0099644F"/>
    <w:rsid w:val="0099645D"/>
    <w:rsid w:val="0099647B"/>
    <w:rsid w:val="009964B6"/>
    <w:rsid w:val="009964F4"/>
    <w:rsid w:val="0099651E"/>
    <w:rsid w:val="00996610"/>
    <w:rsid w:val="00996615"/>
    <w:rsid w:val="00996642"/>
    <w:rsid w:val="009966A1"/>
    <w:rsid w:val="009966B8"/>
    <w:rsid w:val="0099670C"/>
    <w:rsid w:val="00996729"/>
    <w:rsid w:val="009967B7"/>
    <w:rsid w:val="0099680E"/>
    <w:rsid w:val="00996824"/>
    <w:rsid w:val="00996931"/>
    <w:rsid w:val="00996932"/>
    <w:rsid w:val="009969B1"/>
    <w:rsid w:val="009969B2"/>
    <w:rsid w:val="009969B4"/>
    <w:rsid w:val="009969CC"/>
    <w:rsid w:val="00996A28"/>
    <w:rsid w:val="00996ABE"/>
    <w:rsid w:val="00996B29"/>
    <w:rsid w:val="00996B93"/>
    <w:rsid w:val="00996BD7"/>
    <w:rsid w:val="00996C2F"/>
    <w:rsid w:val="00996C84"/>
    <w:rsid w:val="00996C9F"/>
    <w:rsid w:val="00996CB9"/>
    <w:rsid w:val="00996CF2"/>
    <w:rsid w:val="00996DCD"/>
    <w:rsid w:val="00996FAA"/>
    <w:rsid w:val="00996FC1"/>
    <w:rsid w:val="0099703F"/>
    <w:rsid w:val="009970D3"/>
    <w:rsid w:val="00997170"/>
    <w:rsid w:val="009971BC"/>
    <w:rsid w:val="00997253"/>
    <w:rsid w:val="00997294"/>
    <w:rsid w:val="009974F0"/>
    <w:rsid w:val="009974F8"/>
    <w:rsid w:val="00997541"/>
    <w:rsid w:val="00997546"/>
    <w:rsid w:val="009975FA"/>
    <w:rsid w:val="00997619"/>
    <w:rsid w:val="00997669"/>
    <w:rsid w:val="0099768D"/>
    <w:rsid w:val="009976F8"/>
    <w:rsid w:val="009977C8"/>
    <w:rsid w:val="009977EF"/>
    <w:rsid w:val="00997832"/>
    <w:rsid w:val="0099794B"/>
    <w:rsid w:val="00997A20"/>
    <w:rsid w:val="00997B80"/>
    <w:rsid w:val="00997BD9"/>
    <w:rsid w:val="00997CC3"/>
    <w:rsid w:val="00997CCB"/>
    <w:rsid w:val="00997CED"/>
    <w:rsid w:val="00997DC7"/>
    <w:rsid w:val="00997E4A"/>
    <w:rsid w:val="00997F11"/>
    <w:rsid w:val="00997F77"/>
    <w:rsid w:val="009A0005"/>
    <w:rsid w:val="009A0170"/>
    <w:rsid w:val="009A01C4"/>
    <w:rsid w:val="009A023B"/>
    <w:rsid w:val="009A0251"/>
    <w:rsid w:val="009A02AB"/>
    <w:rsid w:val="009A02B7"/>
    <w:rsid w:val="009A040B"/>
    <w:rsid w:val="009A041F"/>
    <w:rsid w:val="009A0498"/>
    <w:rsid w:val="009A052E"/>
    <w:rsid w:val="009A0760"/>
    <w:rsid w:val="009A0786"/>
    <w:rsid w:val="009A07C7"/>
    <w:rsid w:val="009A07E1"/>
    <w:rsid w:val="009A093F"/>
    <w:rsid w:val="009A095E"/>
    <w:rsid w:val="009A0970"/>
    <w:rsid w:val="009A09E3"/>
    <w:rsid w:val="009A0A24"/>
    <w:rsid w:val="009A0BA5"/>
    <w:rsid w:val="009A0BCC"/>
    <w:rsid w:val="009A0C51"/>
    <w:rsid w:val="009A0C7A"/>
    <w:rsid w:val="009A0CC7"/>
    <w:rsid w:val="009A0D75"/>
    <w:rsid w:val="009A0E97"/>
    <w:rsid w:val="009A0ECE"/>
    <w:rsid w:val="009A0F4B"/>
    <w:rsid w:val="009A0F4E"/>
    <w:rsid w:val="009A0F75"/>
    <w:rsid w:val="009A100D"/>
    <w:rsid w:val="009A105E"/>
    <w:rsid w:val="009A10D1"/>
    <w:rsid w:val="009A1241"/>
    <w:rsid w:val="009A1244"/>
    <w:rsid w:val="009A12DA"/>
    <w:rsid w:val="009A12F6"/>
    <w:rsid w:val="009A135B"/>
    <w:rsid w:val="009A1450"/>
    <w:rsid w:val="009A1544"/>
    <w:rsid w:val="009A1636"/>
    <w:rsid w:val="009A166E"/>
    <w:rsid w:val="009A16E2"/>
    <w:rsid w:val="009A16E5"/>
    <w:rsid w:val="009A1746"/>
    <w:rsid w:val="009A17DD"/>
    <w:rsid w:val="009A1959"/>
    <w:rsid w:val="009A1960"/>
    <w:rsid w:val="009A1966"/>
    <w:rsid w:val="009A19A7"/>
    <w:rsid w:val="009A19D1"/>
    <w:rsid w:val="009A1A4A"/>
    <w:rsid w:val="009A1A5A"/>
    <w:rsid w:val="009A1A67"/>
    <w:rsid w:val="009A1B26"/>
    <w:rsid w:val="009A1C84"/>
    <w:rsid w:val="009A1D83"/>
    <w:rsid w:val="009A1DF9"/>
    <w:rsid w:val="009A1EEC"/>
    <w:rsid w:val="009A1FF9"/>
    <w:rsid w:val="009A2055"/>
    <w:rsid w:val="009A2144"/>
    <w:rsid w:val="009A21F5"/>
    <w:rsid w:val="009A2378"/>
    <w:rsid w:val="009A2466"/>
    <w:rsid w:val="009A2486"/>
    <w:rsid w:val="009A24A0"/>
    <w:rsid w:val="009A24CC"/>
    <w:rsid w:val="009A2562"/>
    <w:rsid w:val="009A25AA"/>
    <w:rsid w:val="009A25AC"/>
    <w:rsid w:val="009A266B"/>
    <w:rsid w:val="009A26BA"/>
    <w:rsid w:val="009A27C7"/>
    <w:rsid w:val="009A27D8"/>
    <w:rsid w:val="009A2838"/>
    <w:rsid w:val="009A2902"/>
    <w:rsid w:val="009A2920"/>
    <w:rsid w:val="009A2930"/>
    <w:rsid w:val="009A29BD"/>
    <w:rsid w:val="009A29C8"/>
    <w:rsid w:val="009A2B39"/>
    <w:rsid w:val="009A2B69"/>
    <w:rsid w:val="009A2BE2"/>
    <w:rsid w:val="009A2C00"/>
    <w:rsid w:val="009A2C60"/>
    <w:rsid w:val="009A2C75"/>
    <w:rsid w:val="009A2CDA"/>
    <w:rsid w:val="009A2DF4"/>
    <w:rsid w:val="009A2EB5"/>
    <w:rsid w:val="009A2EFF"/>
    <w:rsid w:val="009A2FC6"/>
    <w:rsid w:val="009A31A7"/>
    <w:rsid w:val="009A31DC"/>
    <w:rsid w:val="009A3308"/>
    <w:rsid w:val="009A330A"/>
    <w:rsid w:val="009A3325"/>
    <w:rsid w:val="009A3347"/>
    <w:rsid w:val="009A338E"/>
    <w:rsid w:val="009A3441"/>
    <w:rsid w:val="009A3476"/>
    <w:rsid w:val="009A34BC"/>
    <w:rsid w:val="009A34FC"/>
    <w:rsid w:val="009A351D"/>
    <w:rsid w:val="009A355A"/>
    <w:rsid w:val="009A35FE"/>
    <w:rsid w:val="009A376C"/>
    <w:rsid w:val="009A3797"/>
    <w:rsid w:val="009A39D2"/>
    <w:rsid w:val="009A3A8D"/>
    <w:rsid w:val="009A3C03"/>
    <w:rsid w:val="009A3C7C"/>
    <w:rsid w:val="009A3D20"/>
    <w:rsid w:val="009A3E81"/>
    <w:rsid w:val="009A3E84"/>
    <w:rsid w:val="009A3EF6"/>
    <w:rsid w:val="009A3F9F"/>
    <w:rsid w:val="009A3FB4"/>
    <w:rsid w:val="009A40B0"/>
    <w:rsid w:val="009A40B9"/>
    <w:rsid w:val="009A4156"/>
    <w:rsid w:val="009A41EB"/>
    <w:rsid w:val="009A4215"/>
    <w:rsid w:val="009A4252"/>
    <w:rsid w:val="009A4309"/>
    <w:rsid w:val="009A4311"/>
    <w:rsid w:val="009A43CC"/>
    <w:rsid w:val="009A4436"/>
    <w:rsid w:val="009A44FE"/>
    <w:rsid w:val="009A4528"/>
    <w:rsid w:val="009A45AE"/>
    <w:rsid w:val="009A4615"/>
    <w:rsid w:val="009A468B"/>
    <w:rsid w:val="009A471B"/>
    <w:rsid w:val="009A4743"/>
    <w:rsid w:val="009A474F"/>
    <w:rsid w:val="009A487A"/>
    <w:rsid w:val="009A4A2B"/>
    <w:rsid w:val="009A4A4E"/>
    <w:rsid w:val="009A4AFF"/>
    <w:rsid w:val="009A4B0A"/>
    <w:rsid w:val="009A4B77"/>
    <w:rsid w:val="009A4C20"/>
    <w:rsid w:val="009A4CF8"/>
    <w:rsid w:val="009A4EFD"/>
    <w:rsid w:val="009A4F91"/>
    <w:rsid w:val="009A4FE7"/>
    <w:rsid w:val="009A50D9"/>
    <w:rsid w:val="009A50F8"/>
    <w:rsid w:val="009A5158"/>
    <w:rsid w:val="009A519B"/>
    <w:rsid w:val="009A525E"/>
    <w:rsid w:val="009A52F5"/>
    <w:rsid w:val="009A5351"/>
    <w:rsid w:val="009A5422"/>
    <w:rsid w:val="009A5673"/>
    <w:rsid w:val="009A5814"/>
    <w:rsid w:val="009A582D"/>
    <w:rsid w:val="009A588B"/>
    <w:rsid w:val="009A5907"/>
    <w:rsid w:val="009A5925"/>
    <w:rsid w:val="009A5A9F"/>
    <w:rsid w:val="009A5AB1"/>
    <w:rsid w:val="009A5B56"/>
    <w:rsid w:val="009A5BB8"/>
    <w:rsid w:val="009A5BBB"/>
    <w:rsid w:val="009A5C32"/>
    <w:rsid w:val="009A5C53"/>
    <w:rsid w:val="009A5C5D"/>
    <w:rsid w:val="009A5C6B"/>
    <w:rsid w:val="009A5F63"/>
    <w:rsid w:val="009A61F5"/>
    <w:rsid w:val="009A6287"/>
    <w:rsid w:val="009A632E"/>
    <w:rsid w:val="009A63AD"/>
    <w:rsid w:val="009A63C4"/>
    <w:rsid w:val="009A65E1"/>
    <w:rsid w:val="009A662B"/>
    <w:rsid w:val="009A6749"/>
    <w:rsid w:val="009A687F"/>
    <w:rsid w:val="009A688D"/>
    <w:rsid w:val="009A6963"/>
    <w:rsid w:val="009A6997"/>
    <w:rsid w:val="009A6A0D"/>
    <w:rsid w:val="009A6A27"/>
    <w:rsid w:val="009A6A5F"/>
    <w:rsid w:val="009A6AA7"/>
    <w:rsid w:val="009A6CC2"/>
    <w:rsid w:val="009A6D7B"/>
    <w:rsid w:val="009A6D89"/>
    <w:rsid w:val="009A6F5A"/>
    <w:rsid w:val="009A6F82"/>
    <w:rsid w:val="009A710B"/>
    <w:rsid w:val="009A716A"/>
    <w:rsid w:val="009A7264"/>
    <w:rsid w:val="009A72E7"/>
    <w:rsid w:val="009A72EA"/>
    <w:rsid w:val="009A72FE"/>
    <w:rsid w:val="009A7425"/>
    <w:rsid w:val="009A747F"/>
    <w:rsid w:val="009A7489"/>
    <w:rsid w:val="009A763A"/>
    <w:rsid w:val="009A7758"/>
    <w:rsid w:val="009A77A1"/>
    <w:rsid w:val="009A7861"/>
    <w:rsid w:val="009A791B"/>
    <w:rsid w:val="009A7980"/>
    <w:rsid w:val="009A7981"/>
    <w:rsid w:val="009A79DE"/>
    <w:rsid w:val="009A7A2B"/>
    <w:rsid w:val="009A7A6A"/>
    <w:rsid w:val="009A7BDD"/>
    <w:rsid w:val="009A7C54"/>
    <w:rsid w:val="009A7D67"/>
    <w:rsid w:val="009A7DF5"/>
    <w:rsid w:val="009A7E34"/>
    <w:rsid w:val="009A7E4E"/>
    <w:rsid w:val="009A7F0D"/>
    <w:rsid w:val="009A7F70"/>
    <w:rsid w:val="009B0000"/>
    <w:rsid w:val="009B003B"/>
    <w:rsid w:val="009B0099"/>
    <w:rsid w:val="009B00BB"/>
    <w:rsid w:val="009B00EE"/>
    <w:rsid w:val="009B01F0"/>
    <w:rsid w:val="009B0250"/>
    <w:rsid w:val="009B030C"/>
    <w:rsid w:val="009B031F"/>
    <w:rsid w:val="009B0341"/>
    <w:rsid w:val="009B03E4"/>
    <w:rsid w:val="009B042F"/>
    <w:rsid w:val="009B0451"/>
    <w:rsid w:val="009B049B"/>
    <w:rsid w:val="009B0653"/>
    <w:rsid w:val="009B06A8"/>
    <w:rsid w:val="009B06E1"/>
    <w:rsid w:val="009B06FF"/>
    <w:rsid w:val="009B072C"/>
    <w:rsid w:val="009B0796"/>
    <w:rsid w:val="009B08DE"/>
    <w:rsid w:val="009B0928"/>
    <w:rsid w:val="009B0B41"/>
    <w:rsid w:val="009B0CA3"/>
    <w:rsid w:val="009B0CF2"/>
    <w:rsid w:val="009B0D38"/>
    <w:rsid w:val="009B0E15"/>
    <w:rsid w:val="009B0E31"/>
    <w:rsid w:val="009B0E44"/>
    <w:rsid w:val="009B0E83"/>
    <w:rsid w:val="009B0EB0"/>
    <w:rsid w:val="009B0F1E"/>
    <w:rsid w:val="009B0F54"/>
    <w:rsid w:val="009B104D"/>
    <w:rsid w:val="009B10B5"/>
    <w:rsid w:val="009B11B6"/>
    <w:rsid w:val="009B11D2"/>
    <w:rsid w:val="009B1253"/>
    <w:rsid w:val="009B15C7"/>
    <w:rsid w:val="009B180E"/>
    <w:rsid w:val="009B19FC"/>
    <w:rsid w:val="009B1A75"/>
    <w:rsid w:val="009B1AF0"/>
    <w:rsid w:val="009B1AFD"/>
    <w:rsid w:val="009B1B0A"/>
    <w:rsid w:val="009B1C39"/>
    <w:rsid w:val="009B1C49"/>
    <w:rsid w:val="009B1DEF"/>
    <w:rsid w:val="009B1EFB"/>
    <w:rsid w:val="009B1F33"/>
    <w:rsid w:val="009B208E"/>
    <w:rsid w:val="009B20C1"/>
    <w:rsid w:val="009B2168"/>
    <w:rsid w:val="009B21D3"/>
    <w:rsid w:val="009B21ED"/>
    <w:rsid w:val="009B2238"/>
    <w:rsid w:val="009B23E7"/>
    <w:rsid w:val="009B2411"/>
    <w:rsid w:val="009B25B5"/>
    <w:rsid w:val="009B2670"/>
    <w:rsid w:val="009B27AA"/>
    <w:rsid w:val="009B27E2"/>
    <w:rsid w:val="009B27FC"/>
    <w:rsid w:val="009B280F"/>
    <w:rsid w:val="009B29D6"/>
    <w:rsid w:val="009B2AE5"/>
    <w:rsid w:val="009B2BCB"/>
    <w:rsid w:val="009B2C37"/>
    <w:rsid w:val="009B2CF5"/>
    <w:rsid w:val="009B2D4D"/>
    <w:rsid w:val="009B2E0C"/>
    <w:rsid w:val="009B2F74"/>
    <w:rsid w:val="009B300B"/>
    <w:rsid w:val="009B3017"/>
    <w:rsid w:val="009B30DA"/>
    <w:rsid w:val="009B30F8"/>
    <w:rsid w:val="009B31EC"/>
    <w:rsid w:val="009B327D"/>
    <w:rsid w:val="009B3289"/>
    <w:rsid w:val="009B32E1"/>
    <w:rsid w:val="009B32F0"/>
    <w:rsid w:val="009B333E"/>
    <w:rsid w:val="009B3430"/>
    <w:rsid w:val="009B3433"/>
    <w:rsid w:val="009B34A8"/>
    <w:rsid w:val="009B34AE"/>
    <w:rsid w:val="009B3532"/>
    <w:rsid w:val="009B3553"/>
    <w:rsid w:val="009B3640"/>
    <w:rsid w:val="009B379B"/>
    <w:rsid w:val="009B37B9"/>
    <w:rsid w:val="009B37E9"/>
    <w:rsid w:val="009B37ED"/>
    <w:rsid w:val="009B3866"/>
    <w:rsid w:val="009B3898"/>
    <w:rsid w:val="009B39A7"/>
    <w:rsid w:val="009B39C9"/>
    <w:rsid w:val="009B3ABE"/>
    <w:rsid w:val="009B3B62"/>
    <w:rsid w:val="009B3B64"/>
    <w:rsid w:val="009B3B89"/>
    <w:rsid w:val="009B3C45"/>
    <w:rsid w:val="009B3CA6"/>
    <w:rsid w:val="009B3CE5"/>
    <w:rsid w:val="009B3DE7"/>
    <w:rsid w:val="009B3DF6"/>
    <w:rsid w:val="009B3FAB"/>
    <w:rsid w:val="009B4144"/>
    <w:rsid w:val="009B4155"/>
    <w:rsid w:val="009B4159"/>
    <w:rsid w:val="009B4292"/>
    <w:rsid w:val="009B43A1"/>
    <w:rsid w:val="009B440A"/>
    <w:rsid w:val="009B4506"/>
    <w:rsid w:val="009B450F"/>
    <w:rsid w:val="009B4534"/>
    <w:rsid w:val="009B4728"/>
    <w:rsid w:val="009B4782"/>
    <w:rsid w:val="009B4828"/>
    <w:rsid w:val="009B4945"/>
    <w:rsid w:val="009B4A84"/>
    <w:rsid w:val="009B4BB6"/>
    <w:rsid w:val="009B4BCC"/>
    <w:rsid w:val="009B4C06"/>
    <w:rsid w:val="009B4C17"/>
    <w:rsid w:val="009B4CE3"/>
    <w:rsid w:val="009B4D23"/>
    <w:rsid w:val="009B4D50"/>
    <w:rsid w:val="009B4D7C"/>
    <w:rsid w:val="009B4E0B"/>
    <w:rsid w:val="009B4E50"/>
    <w:rsid w:val="009B4E57"/>
    <w:rsid w:val="009B4EE5"/>
    <w:rsid w:val="009B525A"/>
    <w:rsid w:val="009B529B"/>
    <w:rsid w:val="009B53A7"/>
    <w:rsid w:val="009B544E"/>
    <w:rsid w:val="009B54EF"/>
    <w:rsid w:val="009B553E"/>
    <w:rsid w:val="009B5542"/>
    <w:rsid w:val="009B55CA"/>
    <w:rsid w:val="009B55D4"/>
    <w:rsid w:val="009B5620"/>
    <w:rsid w:val="009B56A3"/>
    <w:rsid w:val="009B5753"/>
    <w:rsid w:val="009B5812"/>
    <w:rsid w:val="009B586D"/>
    <w:rsid w:val="009B58F3"/>
    <w:rsid w:val="009B5927"/>
    <w:rsid w:val="009B5958"/>
    <w:rsid w:val="009B595A"/>
    <w:rsid w:val="009B5A77"/>
    <w:rsid w:val="009B5A8D"/>
    <w:rsid w:val="009B5AAD"/>
    <w:rsid w:val="009B5AD3"/>
    <w:rsid w:val="009B5B4D"/>
    <w:rsid w:val="009B5BA1"/>
    <w:rsid w:val="009B5BCF"/>
    <w:rsid w:val="009B5C19"/>
    <w:rsid w:val="009B5C95"/>
    <w:rsid w:val="009B5D08"/>
    <w:rsid w:val="009B5DC6"/>
    <w:rsid w:val="009B5E68"/>
    <w:rsid w:val="009B5E71"/>
    <w:rsid w:val="009B5F15"/>
    <w:rsid w:val="009B5F74"/>
    <w:rsid w:val="009B5F8D"/>
    <w:rsid w:val="009B617E"/>
    <w:rsid w:val="009B624E"/>
    <w:rsid w:val="009B633A"/>
    <w:rsid w:val="009B6406"/>
    <w:rsid w:val="009B643B"/>
    <w:rsid w:val="009B64D6"/>
    <w:rsid w:val="009B64DF"/>
    <w:rsid w:val="009B65AE"/>
    <w:rsid w:val="009B662A"/>
    <w:rsid w:val="009B666E"/>
    <w:rsid w:val="009B66E7"/>
    <w:rsid w:val="009B6756"/>
    <w:rsid w:val="009B6832"/>
    <w:rsid w:val="009B69A7"/>
    <w:rsid w:val="009B69DF"/>
    <w:rsid w:val="009B69EA"/>
    <w:rsid w:val="009B6A09"/>
    <w:rsid w:val="009B6A49"/>
    <w:rsid w:val="009B6A67"/>
    <w:rsid w:val="009B6A72"/>
    <w:rsid w:val="009B6C93"/>
    <w:rsid w:val="009B6D42"/>
    <w:rsid w:val="009B6E46"/>
    <w:rsid w:val="009B6EBD"/>
    <w:rsid w:val="009B70A0"/>
    <w:rsid w:val="009B70E0"/>
    <w:rsid w:val="009B7116"/>
    <w:rsid w:val="009B723F"/>
    <w:rsid w:val="009B7373"/>
    <w:rsid w:val="009B73B2"/>
    <w:rsid w:val="009B7450"/>
    <w:rsid w:val="009B745A"/>
    <w:rsid w:val="009B745C"/>
    <w:rsid w:val="009B74C9"/>
    <w:rsid w:val="009B7506"/>
    <w:rsid w:val="009B7525"/>
    <w:rsid w:val="009B75A8"/>
    <w:rsid w:val="009B75D3"/>
    <w:rsid w:val="009B765F"/>
    <w:rsid w:val="009B769C"/>
    <w:rsid w:val="009B76D5"/>
    <w:rsid w:val="009B77E3"/>
    <w:rsid w:val="009B780A"/>
    <w:rsid w:val="009B78D7"/>
    <w:rsid w:val="009B78FE"/>
    <w:rsid w:val="009B7956"/>
    <w:rsid w:val="009B7A04"/>
    <w:rsid w:val="009B7A21"/>
    <w:rsid w:val="009B7A92"/>
    <w:rsid w:val="009B7B02"/>
    <w:rsid w:val="009B7B46"/>
    <w:rsid w:val="009B7B6D"/>
    <w:rsid w:val="009B7B9E"/>
    <w:rsid w:val="009B7BE3"/>
    <w:rsid w:val="009B7C1F"/>
    <w:rsid w:val="009B7D40"/>
    <w:rsid w:val="009B7D49"/>
    <w:rsid w:val="009B7F7C"/>
    <w:rsid w:val="009C01B0"/>
    <w:rsid w:val="009C01D5"/>
    <w:rsid w:val="009C01FE"/>
    <w:rsid w:val="009C02B3"/>
    <w:rsid w:val="009C02E8"/>
    <w:rsid w:val="009C045D"/>
    <w:rsid w:val="009C0473"/>
    <w:rsid w:val="009C050E"/>
    <w:rsid w:val="009C0567"/>
    <w:rsid w:val="009C0577"/>
    <w:rsid w:val="009C0673"/>
    <w:rsid w:val="009C06E8"/>
    <w:rsid w:val="009C06FA"/>
    <w:rsid w:val="009C0722"/>
    <w:rsid w:val="009C0733"/>
    <w:rsid w:val="009C073B"/>
    <w:rsid w:val="009C0796"/>
    <w:rsid w:val="009C08CA"/>
    <w:rsid w:val="009C0A77"/>
    <w:rsid w:val="009C0A81"/>
    <w:rsid w:val="009C0A8F"/>
    <w:rsid w:val="009C0B0E"/>
    <w:rsid w:val="009C0B58"/>
    <w:rsid w:val="009C0BAA"/>
    <w:rsid w:val="009C0D00"/>
    <w:rsid w:val="009C0D8A"/>
    <w:rsid w:val="009C0DB6"/>
    <w:rsid w:val="009C0F46"/>
    <w:rsid w:val="009C0F58"/>
    <w:rsid w:val="009C0FEC"/>
    <w:rsid w:val="009C1010"/>
    <w:rsid w:val="009C101F"/>
    <w:rsid w:val="009C1187"/>
    <w:rsid w:val="009C118A"/>
    <w:rsid w:val="009C1222"/>
    <w:rsid w:val="009C124B"/>
    <w:rsid w:val="009C13E1"/>
    <w:rsid w:val="009C1471"/>
    <w:rsid w:val="009C14F0"/>
    <w:rsid w:val="009C1516"/>
    <w:rsid w:val="009C15C8"/>
    <w:rsid w:val="009C15D4"/>
    <w:rsid w:val="009C15DE"/>
    <w:rsid w:val="009C1649"/>
    <w:rsid w:val="009C1692"/>
    <w:rsid w:val="009C1824"/>
    <w:rsid w:val="009C195F"/>
    <w:rsid w:val="009C1AC0"/>
    <w:rsid w:val="009C1B9B"/>
    <w:rsid w:val="009C1CD2"/>
    <w:rsid w:val="009C1D4F"/>
    <w:rsid w:val="009C1D97"/>
    <w:rsid w:val="009C1DFB"/>
    <w:rsid w:val="009C1E41"/>
    <w:rsid w:val="009C1FCF"/>
    <w:rsid w:val="009C2035"/>
    <w:rsid w:val="009C2155"/>
    <w:rsid w:val="009C21FE"/>
    <w:rsid w:val="009C22B4"/>
    <w:rsid w:val="009C238A"/>
    <w:rsid w:val="009C23B6"/>
    <w:rsid w:val="009C24C4"/>
    <w:rsid w:val="009C24E0"/>
    <w:rsid w:val="009C25C1"/>
    <w:rsid w:val="009C25CA"/>
    <w:rsid w:val="009C2657"/>
    <w:rsid w:val="009C2685"/>
    <w:rsid w:val="009C2727"/>
    <w:rsid w:val="009C27A5"/>
    <w:rsid w:val="009C28AD"/>
    <w:rsid w:val="009C2907"/>
    <w:rsid w:val="009C2960"/>
    <w:rsid w:val="009C2976"/>
    <w:rsid w:val="009C2988"/>
    <w:rsid w:val="009C2996"/>
    <w:rsid w:val="009C29D9"/>
    <w:rsid w:val="009C29E5"/>
    <w:rsid w:val="009C2B78"/>
    <w:rsid w:val="009C2DA6"/>
    <w:rsid w:val="009C2E01"/>
    <w:rsid w:val="009C2E4D"/>
    <w:rsid w:val="009C2E5D"/>
    <w:rsid w:val="009C3096"/>
    <w:rsid w:val="009C30AA"/>
    <w:rsid w:val="009C30B5"/>
    <w:rsid w:val="009C3146"/>
    <w:rsid w:val="009C31FD"/>
    <w:rsid w:val="009C32E7"/>
    <w:rsid w:val="009C33B4"/>
    <w:rsid w:val="009C33D2"/>
    <w:rsid w:val="009C33DA"/>
    <w:rsid w:val="009C3416"/>
    <w:rsid w:val="009C3435"/>
    <w:rsid w:val="009C3550"/>
    <w:rsid w:val="009C357A"/>
    <w:rsid w:val="009C35B6"/>
    <w:rsid w:val="009C360A"/>
    <w:rsid w:val="009C3674"/>
    <w:rsid w:val="009C3675"/>
    <w:rsid w:val="009C36C2"/>
    <w:rsid w:val="009C36F2"/>
    <w:rsid w:val="009C375E"/>
    <w:rsid w:val="009C379B"/>
    <w:rsid w:val="009C3842"/>
    <w:rsid w:val="009C387D"/>
    <w:rsid w:val="009C3887"/>
    <w:rsid w:val="009C3913"/>
    <w:rsid w:val="009C3A33"/>
    <w:rsid w:val="009C3A8E"/>
    <w:rsid w:val="009C3ABD"/>
    <w:rsid w:val="009C3BDF"/>
    <w:rsid w:val="009C3C13"/>
    <w:rsid w:val="009C3C45"/>
    <w:rsid w:val="009C3C7E"/>
    <w:rsid w:val="009C3CB9"/>
    <w:rsid w:val="009C3CC7"/>
    <w:rsid w:val="009C3D1D"/>
    <w:rsid w:val="009C3D2D"/>
    <w:rsid w:val="009C3DC4"/>
    <w:rsid w:val="009C3DF7"/>
    <w:rsid w:val="009C3F3A"/>
    <w:rsid w:val="009C3F42"/>
    <w:rsid w:val="009C3F7F"/>
    <w:rsid w:val="009C40CF"/>
    <w:rsid w:val="009C4100"/>
    <w:rsid w:val="009C417E"/>
    <w:rsid w:val="009C41CA"/>
    <w:rsid w:val="009C41CB"/>
    <w:rsid w:val="009C4209"/>
    <w:rsid w:val="009C42C2"/>
    <w:rsid w:val="009C42EB"/>
    <w:rsid w:val="009C43B0"/>
    <w:rsid w:val="009C43F9"/>
    <w:rsid w:val="009C442D"/>
    <w:rsid w:val="009C46D5"/>
    <w:rsid w:val="009C46DC"/>
    <w:rsid w:val="009C4728"/>
    <w:rsid w:val="009C4785"/>
    <w:rsid w:val="009C47BD"/>
    <w:rsid w:val="009C47E9"/>
    <w:rsid w:val="009C486D"/>
    <w:rsid w:val="009C4910"/>
    <w:rsid w:val="009C492D"/>
    <w:rsid w:val="009C49E8"/>
    <w:rsid w:val="009C4B0C"/>
    <w:rsid w:val="009C4B7B"/>
    <w:rsid w:val="009C4B94"/>
    <w:rsid w:val="009C4C11"/>
    <w:rsid w:val="009C4C6E"/>
    <w:rsid w:val="009C4D31"/>
    <w:rsid w:val="009C4E37"/>
    <w:rsid w:val="009C4E75"/>
    <w:rsid w:val="009C4EE7"/>
    <w:rsid w:val="009C501D"/>
    <w:rsid w:val="009C5146"/>
    <w:rsid w:val="009C522E"/>
    <w:rsid w:val="009C5233"/>
    <w:rsid w:val="009C52E0"/>
    <w:rsid w:val="009C5357"/>
    <w:rsid w:val="009C541C"/>
    <w:rsid w:val="009C5443"/>
    <w:rsid w:val="009C5483"/>
    <w:rsid w:val="009C54B9"/>
    <w:rsid w:val="009C54D1"/>
    <w:rsid w:val="009C5640"/>
    <w:rsid w:val="009C56F1"/>
    <w:rsid w:val="009C5759"/>
    <w:rsid w:val="009C575A"/>
    <w:rsid w:val="009C5853"/>
    <w:rsid w:val="009C5889"/>
    <w:rsid w:val="009C58E8"/>
    <w:rsid w:val="009C5996"/>
    <w:rsid w:val="009C59D9"/>
    <w:rsid w:val="009C59ED"/>
    <w:rsid w:val="009C59F8"/>
    <w:rsid w:val="009C5A69"/>
    <w:rsid w:val="009C5ABE"/>
    <w:rsid w:val="009C5AF7"/>
    <w:rsid w:val="009C5B51"/>
    <w:rsid w:val="009C5BA6"/>
    <w:rsid w:val="009C5BBC"/>
    <w:rsid w:val="009C61F5"/>
    <w:rsid w:val="009C6240"/>
    <w:rsid w:val="009C62C4"/>
    <w:rsid w:val="009C6387"/>
    <w:rsid w:val="009C63C8"/>
    <w:rsid w:val="009C64FA"/>
    <w:rsid w:val="009C652B"/>
    <w:rsid w:val="009C6609"/>
    <w:rsid w:val="009C661D"/>
    <w:rsid w:val="009C6655"/>
    <w:rsid w:val="009C66D4"/>
    <w:rsid w:val="009C6859"/>
    <w:rsid w:val="009C6980"/>
    <w:rsid w:val="009C6984"/>
    <w:rsid w:val="009C698D"/>
    <w:rsid w:val="009C69B7"/>
    <w:rsid w:val="009C6A24"/>
    <w:rsid w:val="009C6A74"/>
    <w:rsid w:val="009C6B45"/>
    <w:rsid w:val="009C6B73"/>
    <w:rsid w:val="009C6C34"/>
    <w:rsid w:val="009C6CA9"/>
    <w:rsid w:val="009C6D14"/>
    <w:rsid w:val="009C6E8F"/>
    <w:rsid w:val="009C6F4B"/>
    <w:rsid w:val="009C6FC1"/>
    <w:rsid w:val="009C7162"/>
    <w:rsid w:val="009C7194"/>
    <w:rsid w:val="009C7290"/>
    <w:rsid w:val="009C72D7"/>
    <w:rsid w:val="009C72F7"/>
    <w:rsid w:val="009C7344"/>
    <w:rsid w:val="009C7437"/>
    <w:rsid w:val="009C754A"/>
    <w:rsid w:val="009C7611"/>
    <w:rsid w:val="009C765B"/>
    <w:rsid w:val="009C7663"/>
    <w:rsid w:val="009C768E"/>
    <w:rsid w:val="009C76BB"/>
    <w:rsid w:val="009C77F8"/>
    <w:rsid w:val="009C783C"/>
    <w:rsid w:val="009C7B79"/>
    <w:rsid w:val="009C7B8A"/>
    <w:rsid w:val="009C7B93"/>
    <w:rsid w:val="009C7BD9"/>
    <w:rsid w:val="009C7D5F"/>
    <w:rsid w:val="009C7DA1"/>
    <w:rsid w:val="009C7DB1"/>
    <w:rsid w:val="009C7DE3"/>
    <w:rsid w:val="009D0041"/>
    <w:rsid w:val="009D00F2"/>
    <w:rsid w:val="009D01A7"/>
    <w:rsid w:val="009D02D1"/>
    <w:rsid w:val="009D0317"/>
    <w:rsid w:val="009D033E"/>
    <w:rsid w:val="009D03C2"/>
    <w:rsid w:val="009D04F5"/>
    <w:rsid w:val="009D06A8"/>
    <w:rsid w:val="009D071E"/>
    <w:rsid w:val="009D0742"/>
    <w:rsid w:val="009D0809"/>
    <w:rsid w:val="009D08C7"/>
    <w:rsid w:val="009D0915"/>
    <w:rsid w:val="009D0A34"/>
    <w:rsid w:val="009D0B8C"/>
    <w:rsid w:val="009D0BFE"/>
    <w:rsid w:val="009D0C54"/>
    <w:rsid w:val="009D0D4C"/>
    <w:rsid w:val="009D0D8B"/>
    <w:rsid w:val="009D0DA1"/>
    <w:rsid w:val="009D0E0F"/>
    <w:rsid w:val="009D0F02"/>
    <w:rsid w:val="009D0FBF"/>
    <w:rsid w:val="009D100F"/>
    <w:rsid w:val="009D1109"/>
    <w:rsid w:val="009D1155"/>
    <w:rsid w:val="009D11FF"/>
    <w:rsid w:val="009D1313"/>
    <w:rsid w:val="009D1341"/>
    <w:rsid w:val="009D1353"/>
    <w:rsid w:val="009D13C4"/>
    <w:rsid w:val="009D13CB"/>
    <w:rsid w:val="009D1581"/>
    <w:rsid w:val="009D161E"/>
    <w:rsid w:val="009D16D5"/>
    <w:rsid w:val="009D175B"/>
    <w:rsid w:val="009D179C"/>
    <w:rsid w:val="009D17BC"/>
    <w:rsid w:val="009D18BD"/>
    <w:rsid w:val="009D18E7"/>
    <w:rsid w:val="009D1979"/>
    <w:rsid w:val="009D1AC9"/>
    <w:rsid w:val="009D1AE8"/>
    <w:rsid w:val="009D1BBA"/>
    <w:rsid w:val="009D1CFB"/>
    <w:rsid w:val="009D1D05"/>
    <w:rsid w:val="009D1E5B"/>
    <w:rsid w:val="009D1E98"/>
    <w:rsid w:val="009D1ECE"/>
    <w:rsid w:val="009D1F68"/>
    <w:rsid w:val="009D1F6B"/>
    <w:rsid w:val="009D1FAC"/>
    <w:rsid w:val="009D1FD4"/>
    <w:rsid w:val="009D1FF5"/>
    <w:rsid w:val="009D2056"/>
    <w:rsid w:val="009D21A4"/>
    <w:rsid w:val="009D227B"/>
    <w:rsid w:val="009D2368"/>
    <w:rsid w:val="009D23AB"/>
    <w:rsid w:val="009D24A2"/>
    <w:rsid w:val="009D25F3"/>
    <w:rsid w:val="009D2601"/>
    <w:rsid w:val="009D2674"/>
    <w:rsid w:val="009D2711"/>
    <w:rsid w:val="009D2775"/>
    <w:rsid w:val="009D279B"/>
    <w:rsid w:val="009D27D1"/>
    <w:rsid w:val="009D2830"/>
    <w:rsid w:val="009D28B3"/>
    <w:rsid w:val="009D295F"/>
    <w:rsid w:val="009D2984"/>
    <w:rsid w:val="009D2A28"/>
    <w:rsid w:val="009D2C53"/>
    <w:rsid w:val="009D2E47"/>
    <w:rsid w:val="009D2EB9"/>
    <w:rsid w:val="009D3002"/>
    <w:rsid w:val="009D3043"/>
    <w:rsid w:val="009D306B"/>
    <w:rsid w:val="009D3073"/>
    <w:rsid w:val="009D3104"/>
    <w:rsid w:val="009D3163"/>
    <w:rsid w:val="009D3166"/>
    <w:rsid w:val="009D3177"/>
    <w:rsid w:val="009D31BF"/>
    <w:rsid w:val="009D3235"/>
    <w:rsid w:val="009D3332"/>
    <w:rsid w:val="009D3378"/>
    <w:rsid w:val="009D33C9"/>
    <w:rsid w:val="009D33E8"/>
    <w:rsid w:val="009D349A"/>
    <w:rsid w:val="009D3523"/>
    <w:rsid w:val="009D367B"/>
    <w:rsid w:val="009D3704"/>
    <w:rsid w:val="009D37C6"/>
    <w:rsid w:val="009D381A"/>
    <w:rsid w:val="009D3827"/>
    <w:rsid w:val="009D3A6B"/>
    <w:rsid w:val="009D3BA7"/>
    <w:rsid w:val="009D3C3C"/>
    <w:rsid w:val="009D3C65"/>
    <w:rsid w:val="009D3C6D"/>
    <w:rsid w:val="009D3C81"/>
    <w:rsid w:val="009D3CF3"/>
    <w:rsid w:val="009D3D8E"/>
    <w:rsid w:val="009D3D97"/>
    <w:rsid w:val="009D3DAA"/>
    <w:rsid w:val="009D3DFA"/>
    <w:rsid w:val="009D3E44"/>
    <w:rsid w:val="009D3F99"/>
    <w:rsid w:val="009D41AE"/>
    <w:rsid w:val="009D41D3"/>
    <w:rsid w:val="009D4328"/>
    <w:rsid w:val="009D435B"/>
    <w:rsid w:val="009D442B"/>
    <w:rsid w:val="009D44A3"/>
    <w:rsid w:val="009D452C"/>
    <w:rsid w:val="009D4656"/>
    <w:rsid w:val="009D46DA"/>
    <w:rsid w:val="009D46EB"/>
    <w:rsid w:val="009D4902"/>
    <w:rsid w:val="009D4A5F"/>
    <w:rsid w:val="009D4A73"/>
    <w:rsid w:val="009D4B16"/>
    <w:rsid w:val="009D4B71"/>
    <w:rsid w:val="009D4C0F"/>
    <w:rsid w:val="009D4CC6"/>
    <w:rsid w:val="009D4CDF"/>
    <w:rsid w:val="009D4D28"/>
    <w:rsid w:val="009D4DC9"/>
    <w:rsid w:val="009D4DD7"/>
    <w:rsid w:val="009D4E46"/>
    <w:rsid w:val="009D4F9E"/>
    <w:rsid w:val="009D4FAE"/>
    <w:rsid w:val="009D5068"/>
    <w:rsid w:val="009D508C"/>
    <w:rsid w:val="009D5205"/>
    <w:rsid w:val="009D5407"/>
    <w:rsid w:val="009D5518"/>
    <w:rsid w:val="009D5535"/>
    <w:rsid w:val="009D567F"/>
    <w:rsid w:val="009D56BB"/>
    <w:rsid w:val="009D56C9"/>
    <w:rsid w:val="009D5874"/>
    <w:rsid w:val="009D589F"/>
    <w:rsid w:val="009D5982"/>
    <w:rsid w:val="009D5987"/>
    <w:rsid w:val="009D5A6D"/>
    <w:rsid w:val="009D5B9B"/>
    <w:rsid w:val="009D5E96"/>
    <w:rsid w:val="009D5EA5"/>
    <w:rsid w:val="009D5FA2"/>
    <w:rsid w:val="009D5FE0"/>
    <w:rsid w:val="009D601F"/>
    <w:rsid w:val="009D6117"/>
    <w:rsid w:val="009D6155"/>
    <w:rsid w:val="009D6186"/>
    <w:rsid w:val="009D636B"/>
    <w:rsid w:val="009D642F"/>
    <w:rsid w:val="009D665D"/>
    <w:rsid w:val="009D66F4"/>
    <w:rsid w:val="009D66F9"/>
    <w:rsid w:val="009D6809"/>
    <w:rsid w:val="009D6933"/>
    <w:rsid w:val="009D69E6"/>
    <w:rsid w:val="009D6AE1"/>
    <w:rsid w:val="009D6AE6"/>
    <w:rsid w:val="009D6AEE"/>
    <w:rsid w:val="009D6BA3"/>
    <w:rsid w:val="009D6C3B"/>
    <w:rsid w:val="009D6D75"/>
    <w:rsid w:val="009D6E18"/>
    <w:rsid w:val="009D6E35"/>
    <w:rsid w:val="009D6E97"/>
    <w:rsid w:val="009D6EA8"/>
    <w:rsid w:val="009D6F34"/>
    <w:rsid w:val="009D6F56"/>
    <w:rsid w:val="009D6F76"/>
    <w:rsid w:val="009D6FE9"/>
    <w:rsid w:val="009D7011"/>
    <w:rsid w:val="009D7040"/>
    <w:rsid w:val="009D70AA"/>
    <w:rsid w:val="009D70D7"/>
    <w:rsid w:val="009D71D1"/>
    <w:rsid w:val="009D71F4"/>
    <w:rsid w:val="009D72FF"/>
    <w:rsid w:val="009D7344"/>
    <w:rsid w:val="009D7368"/>
    <w:rsid w:val="009D73AF"/>
    <w:rsid w:val="009D76A0"/>
    <w:rsid w:val="009D76AD"/>
    <w:rsid w:val="009D76E1"/>
    <w:rsid w:val="009D770F"/>
    <w:rsid w:val="009D77AF"/>
    <w:rsid w:val="009D7820"/>
    <w:rsid w:val="009D78A3"/>
    <w:rsid w:val="009D790B"/>
    <w:rsid w:val="009D7943"/>
    <w:rsid w:val="009D7A64"/>
    <w:rsid w:val="009D7ACF"/>
    <w:rsid w:val="009D7B0F"/>
    <w:rsid w:val="009D7B23"/>
    <w:rsid w:val="009D7BE9"/>
    <w:rsid w:val="009D7BF9"/>
    <w:rsid w:val="009D7CAF"/>
    <w:rsid w:val="009D7D2C"/>
    <w:rsid w:val="009D7EA0"/>
    <w:rsid w:val="009E0003"/>
    <w:rsid w:val="009E0080"/>
    <w:rsid w:val="009E00D3"/>
    <w:rsid w:val="009E00D9"/>
    <w:rsid w:val="009E013B"/>
    <w:rsid w:val="009E0154"/>
    <w:rsid w:val="009E01E0"/>
    <w:rsid w:val="009E0205"/>
    <w:rsid w:val="009E023A"/>
    <w:rsid w:val="009E0412"/>
    <w:rsid w:val="009E042E"/>
    <w:rsid w:val="009E0456"/>
    <w:rsid w:val="009E05EC"/>
    <w:rsid w:val="009E060B"/>
    <w:rsid w:val="009E0623"/>
    <w:rsid w:val="009E0659"/>
    <w:rsid w:val="009E070E"/>
    <w:rsid w:val="009E0791"/>
    <w:rsid w:val="009E07A4"/>
    <w:rsid w:val="009E07BB"/>
    <w:rsid w:val="009E082A"/>
    <w:rsid w:val="009E0860"/>
    <w:rsid w:val="009E09F8"/>
    <w:rsid w:val="009E0A3A"/>
    <w:rsid w:val="009E0A72"/>
    <w:rsid w:val="009E0A7C"/>
    <w:rsid w:val="009E0ADA"/>
    <w:rsid w:val="009E0AEE"/>
    <w:rsid w:val="009E0AEF"/>
    <w:rsid w:val="009E0B46"/>
    <w:rsid w:val="009E0C48"/>
    <w:rsid w:val="009E0C8C"/>
    <w:rsid w:val="009E0D40"/>
    <w:rsid w:val="009E0DDF"/>
    <w:rsid w:val="009E0E94"/>
    <w:rsid w:val="009E0EFF"/>
    <w:rsid w:val="009E0F9A"/>
    <w:rsid w:val="009E0FB0"/>
    <w:rsid w:val="009E103D"/>
    <w:rsid w:val="009E11D2"/>
    <w:rsid w:val="009E1212"/>
    <w:rsid w:val="009E1292"/>
    <w:rsid w:val="009E12A8"/>
    <w:rsid w:val="009E12DF"/>
    <w:rsid w:val="009E1309"/>
    <w:rsid w:val="009E1511"/>
    <w:rsid w:val="009E1673"/>
    <w:rsid w:val="009E16D2"/>
    <w:rsid w:val="009E172F"/>
    <w:rsid w:val="009E1754"/>
    <w:rsid w:val="009E181E"/>
    <w:rsid w:val="009E198C"/>
    <w:rsid w:val="009E19C2"/>
    <w:rsid w:val="009E1A6E"/>
    <w:rsid w:val="009E1AE0"/>
    <w:rsid w:val="009E1AFD"/>
    <w:rsid w:val="009E1B75"/>
    <w:rsid w:val="009E1BA4"/>
    <w:rsid w:val="009E1C09"/>
    <w:rsid w:val="009E1DE1"/>
    <w:rsid w:val="009E1E77"/>
    <w:rsid w:val="009E1EC6"/>
    <w:rsid w:val="009E1F16"/>
    <w:rsid w:val="009E1F1F"/>
    <w:rsid w:val="009E1F34"/>
    <w:rsid w:val="009E1FC4"/>
    <w:rsid w:val="009E2209"/>
    <w:rsid w:val="009E221F"/>
    <w:rsid w:val="009E22FA"/>
    <w:rsid w:val="009E23CE"/>
    <w:rsid w:val="009E251F"/>
    <w:rsid w:val="009E2535"/>
    <w:rsid w:val="009E2875"/>
    <w:rsid w:val="009E28E6"/>
    <w:rsid w:val="009E2915"/>
    <w:rsid w:val="009E298F"/>
    <w:rsid w:val="009E2A8F"/>
    <w:rsid w:val="009E2AA5"/>
    <w:rsid w:val="009E2B95"/>
    <w:rsid w:val="009E2C22"/>
    <w:rsid w:val="009E2C4D"/>
    <w:rsid w:val="009E2CCC"/>
    <w:rsid w:val="009E2CD6"/>
    <w:rsid w:val="009E2CE7"/>
    <w:rsid w:val="009E2D85"/>
    <w:rsid w:val="009E2D9E"/>
    <w:rsid w:val="009E2E36"/>
    <w:rsid w:val="009E2E4D"/>
    <w:rsid w:val="009E300F"/>
    <w:rsid w:val="009E3158"/>
    <w:rsid w:val="009E315A"/>
    <w:rsid w:val="009E318C"/>
    <w:rsid w:val="009E346B"/>
    <w:rsid w:val="009E34AD"/>
    <w:rsid w:val="009E34B6"/>
    <w:rsid w:val="009E3538"/>
    <w:rsid w:val="009E35B0"/>
    <w:rsid w:val="009E36D2"/>
    <w:rsid w:val="009E36F4"/>
    <w:rsid w:val="009E3707"/>
    <w:rsid w:val="009E3713"/>
    <w:rsid w:val="009E38AD"/>
    <w:rsid w:val="009E38EF"/>
    <w:rsid w:val="009E3951"/>
    <w:rsid w:val="009E39B1"/>
    <w:rsid w:val="009E3A45"/>
    <w:rsid w:val="009E3A62"/>
    <w:rsid w:val="009E3A9E"/>
    <w:rsid w:val="009E3CFF"/>
    <w:rsid w:val="009E3E27"/>
    <w:rsid w:val="009E3E5D"/>
    <w:rsid w:val="009E3E7B"/>
    <w:rsid w:val="009E3ED5"/>
    <w:rsid w:val="009E3EE0"/>
    <w:rsid w:val="009E3EF0"/>
    <w:rsid w:val="009E3FA6"/>
    <w:rsid w:val="009E40AF"/>
    <w:rsid w:val="009E40FB"/>
    <w:rsid w:val="009E4187"/>
    <w:rsid w:val="009E4189"/>
    <w:rsid w:val="009E42E6"/>
    <w:rsid w:val="009E43C4"/>
    <w:rsid w:val="009E445E"/>
    <w:rsid w:val="009E4509"/>
    <w:rsid w:val="009E4539"/>
    <w:rsid w:val="009E4589"/>
    <w:rsid w:val="009E458B"/>
    <w:rsid w:val="009E4659"/>
    <w:rsid w:val="009E472E"/>
    <w:rsid w:val="009E4735"/>
    <w:rsid w:val="009E4766"/>
    <w:rsid w:val="009E4794"/>
    <w:rsid w:val="009E4918"/>
    <w:rsid w:val="009E4A14"/>
    <w:rsid w:val="009E4A70"/>
    <w:rsid w:val="009E4B05"/>
    <w:rsid w:val="009E4BDE"/>
    <w:rsid w:val="009E4C28"/>
    <w:rsid w:val="009E4C32"/>
    <w:rsid w:val="009E4DBA"/>
    <w:rsid w:val="009E4E03"/>
    <w:rsid w:val="009E4E70"/>
    <w:rsid w:val="009E4E7E"/>
    <w:rsid w:val="009E4EEF"/>
    <w:rsid w:val="009E5020"/>
    <w:rsid w:val="009E5065"/>
    <w:rsid w:val="009E50B1"/>
    <w:rsid w:val="009E5155"/>
    <w:rsid w:val="009E51D9"/>
    <w:rsid w:val="009E5216"/>
    <w:rsid w:val="009E5290"/>
    <w:rsid w:val="009E530B"/>
    <w:rsid w:val="009E539D"/>
    <w:rsid w:val="009E53E5"/>
    <w:rsid w:val="009E54FB"/>
    <w:rsid w:val="009E5521"/>
    <w:rsid w:val="009E5687"/>
    <w:rsid w:val="009E5703"/>
    <w:rsid w:val="009E5753"/>
    <w:rsid w:val="009E5872"/>
    <w:rsid w:val="009E5951"/>
    <w:rsid w:val="009E5AF8"/>
    <w:rsid w:val="009E5B33"/>
    <w:rsid w:val="009E5E1D"/>
    <w:rsid w:val="009E5E92"/>
    <w:rsid w:val="009E5E93"/>
    <w:rsid w:val="009E5EAE"/>
    <w:rsid w:val="009E5F00"/>
    <w:rsid w:val="009E5FCA"/>
    <w:rsid w:val="009E603A"/>
    <w:rsid w:val="009E60F1"/>
    <w:rsid w:val="009E61A2"/>
    <w:rsid w:val="009E61A9"/>
    <w:rsid w:val="009E6223"/>
    <w:rsid w:val="009E6250"/>
    <w:rsid w:val="009E62B1"/>
    <w:rsid w:val="009E62EC"/>
    <w:rsid w:val="009E6310"/>
    <w:rsid w:val="009E63E7"/>
    <w:rsid w:val="009E6467"/>
    <w:rsid w:val="009E647D"/>
    <w:rsid w:val="009E6494"/>
    <w:rsid w:val="009E64D3"/>
    <w:rsid w:val="009E653A"/>
    <w:rsid w:val="009E65AB"/>
    <w:rsid w:val="009E65FD"/>
    <w:rsid w:val="009E67D6"/>
    <w:rsid w:val="009E6865"/>
    <w:rsid w:val="009E6868"/>
    <w:rsid w:val="009E6898"/>
    <w:rsid w:val="009E68A7"/>
    <w:rsid w:val="009E6934"/>
    <w:rsid w:val="009E693D"/>
    <w:rsid w:val="009E6981"/>
    <w:rsid w:val="009E6B3E"/>
    <w:rsid w:val="009E6C36"/>
    <w:rsid w:val="009E6C88"/>
    <w:rsid w:val="009E6DDA"/>
    <w:rsid w:val="009E6E1A"/>
    <w:rsid w:val="009E6E31"/>
    <w:rsid w:val="009E6EAA"/>
    <w:rsid w:val="009E6F27"/>
    <w:rsid w:val="009E726A"/>
    <w:rsid w:val="009E7446"/>
    <w:rsid w:val="009E7449"/>
    <w:rsid w:val="009E755D"/>
    <w:rsid w:val="009E756C"/>
    <w:rsid w:val="009E7596"/>
    <w:rsid w:val="009E75D9"/>
    <w:rsid w:val="009E7637"/>
    <w:rsid w:val="009E763E"/>
    <w:rsid w:val="009E764D"/>
    <w:rsid w:val="009E7700"/>
    <w:rsid w:val="009E7CDB"/>
    <w:rsid w:val="009E7D0F"/>
    <w:rsid w:val="009E7D5B"/>
    <w:rsid w:val="009E7D99"/>
    <w:rsid w:val="009E7E16"/>
    <w:rsid w:val="009E7EEF"/>
    <w:rsid w:val="009E7F03"/>
    <w:rsid w:val="009E7FF2"/>
    <w:rsid w:val="009F0017"/>
    <w:rsid w:val="009F0020"/>
    <w:rsid w:val="009F0035"/>
    <w:rsid w:val="009F0063"/>
    <w:rsid w:val="009F0085"/>
    <w:rsid w:val="009F01BB"/>
    <w:rsid w:val="009F01FC"/>
    <w:rsid w:val="009F020E"/>
    <w:rsid w:val="009F0220"/>
    <w:rsid w:val="009F026A"/>
    <w:rsid w:val="009F02B2"/>
    <w:rsid w:val="009F039F"/>
    <w:rsid w:val="009F0519"/>
    <w:rsid w:val="009F05B9"/>
    <w:rsid w:val="009F0664"/>
    <w:rsid w:val="009F0777"/>
    <w:rsid w:val="009F0847"/>
    <w:rsid w:val="009F0880"/>
    <w:rsid w:val="009F0890"/>
    <w:rsid w:val="009F0895"/>
    <w:rsid w:val="009F0896"/>
    <w:rsid w:val="009F0953"/>
    <w:rsid w:val="009F09CE"/>
    <w:rsid w:val="009F0A59"/>
    <w:rsid w:val="009F0A80"/>
    <w:rsid w:val="009F0ACB"/>
    <w:rsid w:val="009F0BC3"/>
    <w:rsid w:val="009F0C27"/>
    <w:rsid w:val="009F0D6D"/>
    <w:rsid w:val="009F0E19"/>
    <w:rsid w:val="009F0E84"/>
    <w:rsid w:val="009F0EE3"/>
    <w:rsid w:val="009F1057"/>
    <w:rsid w:val="009F10A2"/>
    <w:rsid w:val="009F11DB"/>
    <w:rsid w:val="009F1242"/>
    <w:rsid w:val="009F12C2"/>
    <w:rsid w:val="009F13A2"/>
    <w:rsid w:val="009F13C4"/>
    <w:rsid w:val="009F1402"/>
    <w:rsid w:val="009F14D9"/>
    <w:rsid w:val="009F14FD"/>
    <w:rsid w:val="009F1502"/>
    <w:rsid w:val="009F157C"/>
    <w:rsid w:val="009F178E"/>
    <w:rsid w:val="009F179C"/>
    <w:rsid w:val="009F17BE"/>
    <w:rsid w:val="009F189B"/>
    <w:rsid w:val="009F18AC"/>
    <w:rsid w:val="009F1A09"/>
    <w:rsid w:val="009F1A3E"/>
    <w:rsid w:val="009F1A44"/>
    <w:rsid w:val="009F1A72"/>
    <w:rsid w:val="009F1B5C"/>
    <w:rsid w:val="009F1B64"/>
    <w:rsid w:val="009F1B7B"/>
    <w:rsid w:val="009F1C94"/>
    <w:rsid w:val="009F1CA1"/>
    <w:rsid w:val="009F1D8D"/>
    <w:rsid w:val="009F1DA0"/>
    <w:rsid w:val="009F1E67"/>
    <w:rsid w:val="009F1E6C"/>
    <w:rsid w:val="009F1E9F"/>
    <w:rsid w:val="009F1F27"/>
    <w:rsid w:val="009F1F87"/>
    <w:rsid w:val="009F1FF8"/>
    <w:rsid w:val="009F201F"/>
    <w:rsid w:val="009F203C"/>
    <w:rsid w:val="009F20B1"/>
    <w:rsid w:val="009F20DE"/>
    <w:rsid w:val="009F219C"/>
    <w:rsid w:val="009F21AE"/>
    <w:rsid w:val="009F21D3"/>
    <w:rsid w:val="009F2251"/>
    <w:rsid w:val="009F2382"/>
    <w:rsid w:val="009F23C0"/>
    <w:rsid w:val="009F241A"/>
    <w:rsid w:val="009F24C8"/>
    <w:rsid w:val="009F24D7"/>
    <w:rsid w:val="009F24EF"/>
    <w:rsid w:val="009F251D"/>
    <w:rsid w:val="009F2562"/>
    <w:rsid w:val="009F25BA"/>
    <w:rsid w:val="009F2604"/>
    <w:rsid w:val="009F266C"/>
    <w:rsid w:val="009F2689"/>
    <w:rsid w:val="009F26B1"/>
    <w:rsid w:val="009F2774"/>
    <w:rsid w:val="009F27A6"/>
    <w:rsid w:val="009F2B13"/>
    <w:rsid w:val="009F2BCC"/>
    <w:rsid w:val="009F2C83"/>
    <w:rsid w:val="009F2D37"/>
    <w:rsid w:val="009F2EA5"/>
    <w:rsid w:val="009F2F45"/>
    <w:rsid w:val="009F2F6E"/>
    <w:rsid w:val="009F301A"/>
    <w:rsid w:val="009F3049"/>
    <w:rsid w:val="009F3101"/>
    <w:rsid w:val="009F311E"/>
    <w:rsid w:val="009F31BE"/>
    <w:rsid w:val="009F329F"/>
    <w:rsid w:val="009F32C0"/>
    <w:rsid w:val="009F33C5"/>
    <w:rsid w:val="009F33E1"/>
    <w:rsid w:val="009F33FE"/>
    <w:rsid w:val="009F3459"/>
    <w:rsid w:val="009F34AB"/>
    <w:rsid w:val="009F34FA"/>
    <w:rsid w:val="009F3522"/>
    <w:rsid w:val="009F3599"/>
    <w:rsid w:val="009F37A0"/>
    <w:rsid w:val="009F37B9"/>
    <w:rsid w:val="009F397A"/>
    <w:rsid w:val="009F39D9"/>
    <w:rsid w:val="009F3B46"/>
    <w:rsid w:val="009F3BE7"/>
    <w:rsid w:val="009F3BED"/>
    <w:rsid w:val="009F3CF8"/>
    <w:rsid w:val="009F3E0F"/>
    <w:rsid w:val="009F3E23"/>
    <w:rsid w:val="009F403F"/>
    <w:rsid w:val="009F4080"/>
    <w:rsid w:val="009F410D"/>
    <w:rsid w:val="009F412B"/>
    <w:rsid w:val="009F42FA"/>
    <w:rsid w:val="009F4316"/>
    <w:rsid w:val="009F4357"/>
    <w:rsid w:val="009F4372"/>
    <w:rsid w:val="009F4380"/>
    <w:rsid w:val="009F43C2"/>
    <w:rsid w:val="009F43FB"/>
    <w:rsid w:val="009F456E"/>
    <w:rsid w:val="009F4641"/>
    <w:rsid w:val="009F46A8"/>
    <w:rsid w:val="009F4752"/>
    <w:rsid w:val="009F47C6"/>
    <w:rsid w:val="009F4828"/>
    <w:rsid w:val="009F48DC"/>
    <w:rsid w:val="009F495B"/>
    <w:rsid w:val="009F4A90"/>
    <w:rsid w:val="009F4AAE"/>
    <w:rsid w:val="009F4AB0"/>
    <w:rsid w:val="009F4B27"/>
    <w:rsid w:val="009F4C9A"/>
    <w:rsid w:val="009F4D40"/>
    <w:rsid w:val="009F4E35"/>
    <w:rsid w:val="009F4EE1"/>
    <w:rsid w:val="009F5081"/>
    <w:rsid w:val="009F50DD"/>
    <w:rsid w:val="009F5185"/>
    <w:rsid w:val="009F51C2"/>
    <w:rsid w:val="009F51D2"/>
    <w:rsid w:val="009F533F"/>
    <w:rsid w:val="009F552D"/>
    <w:rsid w:val="009F5677"/>
    <w:rsid w:val="009F5694"/>
    <w:rsid w:val="009F56B4"/>
    <w:rsid w:val="009F572E"/>
    <w:rsid w:val="009F57DA"/>
    <w:rsid w:val="009F5840"/>
    <w:rsid w:val="009F592C"/>
    <w:rsid w:val="009F596E"/>
    <w:rsid w:val="009F5B22"/>
    <w:rsid w:val="009F5C11"/>
    <w:rsid w:val="009F5C34"/>
    <w:rsid w:val="009F5C8C"/>
    <w:rsid w:val="009F5CAC"/>
    <w:rsid w:val="009F5F72"/>
    <w:rsid w:val="009F5FB3"/>
    <w:rsid w:val="009F5FCB"/>
    <w:rsid w:val="009F5FED"/>
    <w:rsid w:val="009F609E"/>
    <w:rsid w:val="009F60C3"/>
    <w:rsid w:val="009F6124"/>
    <w:rsid w:val="009F61AC"/>
    <w:rsid w:val="009F6204"/>
    <w:rsid w:val="009F622B"/>
    <w:rsid w:val="009F623A"/>
    <w:rsid w:val="009F62CE"/>
    <w:rsid w:val="009F62ED"/>
    <w:rsid w:val="009F6317"/>
    <w:rsid w:val="009F650A"/>
    <w:rsid w:val="009F6545"/>
    <w:rsid w:val="009F6598"/>
    <w:rsid w:val="009F65A4"/>
    <w:rsid w:val="009F6632"/>
    <w:rsid w:val="009F66A6"/>
    <w:rsid w:val="009F66CC"/>
    <w:rsid w:val="009F6715"/>
    <w:rsid w:val="009F673E"/>
    <w:rsid w:val="009F67FC"/>
    <w:rsid w:val="009F6820"/>
    <w:rsid w:val="009F6823"/>
    <w:rsid w:val="009F6845"/>
    <w:rsid w:val="009F6857"/>
    <w:rsid w:val="009F688B"/>
    <w:rsid w:val="009F69FA"/>
    <w:rsid w:val="009F6A1C"/>
    <w:rsid w:val="009F6B33"/>
    <w:rsid w:val="009F6B99"/>
    <w:rsid w:val="009F6CAA"/>
    <w:rsid w:val="009F6CBA"/>
    <w:rsid w:val="009F6CFF"/>
    <w:rsid w:val="009F6E8C"/>
    <w:rsid w:val="009F6F23"/>
    <w:rsid w:val="009F6F32"/>
    <w:rsid w:val="009F70EB"/>
    <w:rsid w:val="009F7177"/>
    <w:rsid w:val="009F71FE"/>
    <w:rsid w:val="009F72BA"/>
    <w:rsid w:val="009F72DA"/>
    <w:rsid w:val="009F73DB"/>
    <w:rsid w:val="009F76F9"/>
    <w:rsid w:val="009F770F"/>
    <w:rsid w:val="009F7780"/>
    <w:rsid w:val="009F7800"/>
    <w:rsid w:val="009F7A45"/>
    <w:rsid w:val="009F7AA9"/>
    <w:rsid w:val="009F7AF3"/>
    <w:rsid w:val="009F7B29"/>
    <w:rsid w:val="009F7C45"/>
    <w:rsid w:val="009F7CBB"/>
    <w:rsid w:val="009F7D05"/>
    <w:rsid w:val="009F7D26"/>
    <w:rsid w:val="009F7D48"/>
    <w:rsid w:val="009F7F13"/>
    <w:rsid w:val="009F7F87"/>
    <w:rsid w:val="009F7FC4"/>
    <w:rsid w:val="009F7FD9"/>
    <w:rsid w:val="00A00071"/>
    <w:rsid w:val="00A001C6"/>
    <w:rsid w:val="00A002A9"/>
    <w:rsid w:val="00A002AA"/>
    <w:rsid w:val="00A0046F"/>
    <w:rsid w:val="00A0047D"/>
    <w:rsid w:val="00A004BA"/>
    <w:rsid w:val="00A005A4"/>
    <w:rsid w:val="00A005C7"/>
    <w:rsid w:val="00A0062E"/>
    <w:rsid w:val="00A00746"/>
    <w:rsid w:val="00A007EE"/>
    <w:rsid w:val="00A00848"/>
    <w:rsid w:val="00A0089B"/>
    <w:rsid w:val="00A008B6"/>
    <w:rsid w:val="00A00904"/>
    <w:rsid w:val="00A00A59"/>
    <w:rsid w:val="00A00C29"/>
    <w:rsid w:val="00A00D4F"/>
    <w:rsid w:val="00A00DF6"/>
    <w:rsid w:val="00A00ED8"/>
    <w:rsid w:val="00A00F0D"/>
    <w:rsid w:val="00A00FE2"/>
    <w:rsid w:val="00A01018"/>
    <w:rsid w:val="00A0107E"/>
    <w:rsid w:val="00A010BA"/>
    <w:rsid w:val="00A011A7"/>
    <w:rsid w:val="00A011DD"/>
    <w:rsid w:val="00A011F6"/>
    <w:rsid w:val="00A01286"/>
    <w:rsid w:val="00A01332"/>
    <w:rsid w:val="00A014CE"/>
    <w:rsid w:val="00A0153A"/>
    <w:rsid w:val="00A015DC"/>
    <w:rsid w:val="00A01714"/>
    <w:rsid w:val="00A01768"/>
    <w:rsid w:val="00A01778"/>
    <w:rsid w:val="00A01856"/>
    <w:rsid w:val="00A01886"/>
    <w:rsid w:val="00A01896"/>
    <w:rsid w:val="00A01942"/>
    <w:rsid w:val="00A01956"/>
    <w:rsid w:val="00A01A41"/>
    <w:rsid w:val="00A01B37"/>
    <w:rsid w:val="00A01C50"/>
    <w:rsid w:val="00A01C96"/>
    <w:rsid w:val="00A01D96"/>
    <w:rsid w:val="00A01E4E"/>
    <w:rsid w:val="00A01F53"/>
    <w:rsid w:val="00A01F56"/>
    <w:rsid w:val="00A01F8C"/>
    <w:rsid w:val="00A02049"/>
    <w:rsid w:val="00A020A6"/>
    <w:rsid w:val="00A02104"/>
    <w:rsid w:val="00A02213"/>
    <w:rsid w:val="00A02274"/>
    <w:rsid w:val="00A022B2"/>
    <w:rsid w:val="00A0237E"/>
    <w:rsid w:val="00A023BF"/>
    <w:rsid w:val="00A023D8"/>
    <w:rsid w:val="00A023D9"/>
    <w:rsid w:val="00A02400"/>
    <w:rsid w:val="00A02439"/>
    <w:rsid w:val="00A02473"/>
    <w:rsid w:val="00A02477"/>
    <w:rsid w:val="00A0248F"/>
    <w:rsid w:val="00A025BA"/>
    <w:rsid w:val="00A02638"/>
    <w:rsid w:val="00A026FC"/>
    <w:rsid w:val="00A0279E"/>
    <w:rsid w:val="00A027A8"/>
    <w:rsid w:val="00A028A3"/>
    <w:rsid w:val="00A028BE"/>
    <w:rsid w:val="00A028FE"/>
    <w:rsid w:val="00A02AB1"/>
    <w:rsid w:val="00A02B9D"/>
    <w:rsid w:val="00A02CBD"/>
    <w:rsid w:val="00A02D49"/>
    <w:rsid w:val="00A02E1D"/>
    <w:rsid w:val="00A02EB2"/>
    <w:rsid w:val="00A02EDD"/>
    <w:rsid w:val="00A02FFF"/>
    <w:rsid w:val="00A03014"/>
    <w:rsid w:val="00A032E6"/>
    <w:rsid w:val="00A033EC"/>
    <w:rsid w:val="00A0341E"/>
    <w:rsid w:val="00A0342C"/>
    <w:rsid w:val="00A0344F"/>
    <w:rsid w:val="00A0349E"/>
    <w:rsid w:val="00A034EE"/>
    <w:rsid w:val="00A034F5"/>
    <w:rsid w:val="00A03573"/>
    <w:rsid w:val="00A035D1"/>
    <w:rsid w:val="00A0365E"/>
    <w:rsid w:val="00A0367B"/>
    <w:rsid w:val="00A03797"/>
    <w:rsid w:val="00A03829"/>
    <w:rsid w:val="00A0386D"/>
    <w:rsid w:val="00A038C0"/>
    <w:rsid w:val="00A03A4D"/>
    <w:rsid w:val="00A03B64"/>
    <w:rsid w:val="00A03EEC"/>
    <w:rsid w:val="00A03EFD"/>
    <w:rsid w:val="00A03F73"/>
    <w:rsid w:val="00A04089"/>
    <w:rsid w:val="00A04108"/>
    <w:rsid w:val="00A0411F"/>
    <w:rsid w:val="00A04447"/>
    <w:rsid w:val="00A044F8"/>
    <w:rsid w:val="00A04535"/>
    <w:rsid w:val="00A0468C"/>
    <w:rsid w:val="00A046AD"/>
    <w:rsid w:val="00A04833"/>
    <w:rsid w:val="00A048CB"/>
    <w:rsid w:val="00A0491F"/>
    <w:rsid w:val="00A04943"/>
    <w:rsid w:val="00A04969"/>
    <w:rsid w:val="00A04AB2"/>
    <w:rsid w:val="00A04BDF"/>
    <w:rsid w:val="00A04C87"/>
    <w:rsid w:val="00A04CBC"/>
    <w:rsid w:val="00A04D59"/>
    <w:rsid w:val="00A04DC2"/>
    <w:rsid w:val="00A04DD8"/>
    <w:rsid w:val="00A04EF3"/>
    <w:rsid w:val="00A04FD2"/>
    <w:rsid w:val="00A050F0"/>
    <w:rsid w:val="00A051E8"/>
    <w:rsid w:val="00A0520E"/>
    <w:rsid w:val="00A052DC"/>
    <w:rsid w:val="00A05448"/>
    <w:rsid w:val="00A0562E"/>
    <w:rsid w:val="00A056D8"/>
    <w:rsid w:val="00A05760"/>
    <w:rsid w:val="00A05779"/>
    <w:rsid w:val="00A058BB"/>
    <w:rsid w:val="00A0591A"/>
    <w:rsid w:val="00A05999"/>
    <w:rsid w:val="00A05A06"/>
    <w:rsid w:val="00A05A27"/>
    <w:rsid w:val="00A05A42"/>
    <w:rsid w:val="00A05A74"/>
    <w:rsid w:val="00A05D0E"/>
    <w:rsid w:val="00A05D3E"/>
    <w:rsid w:val="00A05DD6"/>
    <w:rsid w:val="00A05DE6"/>
    <w:rsid w:val="00A05E2C"/>
    <w:rsid w:val="00A05EA5"/>
    <w:rsid w:val="00A05EEE"/>
    <w:rsid w:val="00A05EF1"/>
    <w:rsid w:val="00A05F4E"/>
    <w:rsid w:val="00A05F52"/>
    <w:rsid w:val="00A05F5B"/>
    <w:rsid w:val="00A05FA9"/>
    <w:rsid w:val="00A0609A"/>
    <w:rsid w:val="00A060DB"/>
    <w:rsid w:val="00A060E5"/>
    <w:rsid w:val="00A061B8"/>
    <w:rsid w:val="00A06230"/>
    <w:rsid w:val="00A0627F"/>
    <w:rsid w:val="00A0635B"/>
    <w:rsid w:val="00A06413"/>
    <w:rsid w:val="00A06577"/>
    <w:rsid w:val="00A06758"/>
    <w:rsid w:val="00A067FF"/>
    <w:rsid w:val="00A06843"/>
    <w:rsid w:val="00A06962"/>
    <w:rsid w:val="00A069B1"/>
    <w:rsid w:val="00A06B4E"/>
    <w:rsid w:val="00A06C12"/>
    <w:rsid w:val="00A06CDA"/>
    <w:rsid w:val="00A06D35"/>
    <w:rsid w:val="00A06DB9"/>
    <w:rsid w:val="00A06E24"/>
    <w:rsid w:val="00A06FF7"/>
    <w:rsid w:val="00A07068"/>
    <w:rsid w:val="00A07072"/>
    <w:rsid w:val="00A07098"/>
    <w:rsid w:val="00A070CD"/>
    <w:rsid w:val="00A07151"/>
    <w:rsid w:val="00A07390"/>
    <w:rsid w:val="00A073E6"/>
    <w:rsid w:val="00A07405"/>
    <w:rsid w:val="00A0752C"/>
    <w:rsid w:val="00A076EA"/>
    <w:rsid w:val="00A0770C"/>
    <w:rsid w:val="00A07768"/>
    <w:rsid w:val="00A077C4"/>
    <w:rsid w:val="00A077D9"/>
    <w:rsid w:val="00A077F9"/>
    <w:rsid w:val="00A078A9"/>
    <w:rsid w:val="00A078E4"/>
    <w:rsid w:val="00A0790C"/>
    <w:rsid w:val="00A07965"/>
    <w:rsid w:val="00A07A0C"/>
    <w:rsid w:val="00A07AE8"/>
    <w:rsid w:val="00A07BD4"/>
    <w:rsid w:val="00A07DF0"/>
    <w:rsid w:val="00A07E02"/>
    <w:rsid w:val="00A07E92"/>
    <w:rsid w:val="00A07EDA"/>
    <w:rsid w:val="00A07EF0"/>
    <w:rsid w:val="00A07F70"/>
    <w:rsid w:val="00A07F7F"/>
    <w:rsid w:val="00A10041"/>
    <w:rsid w:val="00A100E7"/>
    <w:rsid w:val="00A1012F"/>
    <w:rsid w:val="00A10168"/>
    <w:rsid w:val="00A101C1"/>
    <w:rsid w:val="00A10224"/>
    <w:rsid w:val="00A102E2"/>
    <w:rsid w:val="00A102FD"/>
    <w:rsid w:val="00A103E7"/>
    <w:rsid w:val="00A10404"/>
    <w:rsid w:val="00A10470"/>
    <w:rsid w:val="00A10667"/>
    <w:rsid w:val="00A1066D"/>
    <w:rsid w:val="00A10680"/>
    <w:rsid w:val="00A1078D"/>
    <w:rsid w:val="00A107D0"/>
    <w:rsid w:val="00A10949"/>
    <w:rsid w:val="00A109EF"/>
    <w:rsid w:val="00A10D11"/>
    <w:rsid w:val="00A10E10"/>
    <w:rsid w:val="00A10EF5"/>
    <w:rsid w:val="00A10EF7"/>
    <w:rsid w:val="00A10F36"/>
    <w:rsid w:val="00A10F62"/>
    <w:rsid w:val="00A1104C"/>
    <w:rsid w:val="00A11062"/>
    <w:rsid w:val="00A110D5"/>
    <w:rsid w:val="00A11260"/>
    <w:rsid w:val="00A1126F"/>
    <w:rsid w:val="00A112F0"/>
    <w:rsid w:val="00A113AE"/>
    <w:rsid w:val="00A1142A"/>
    <w:rsid w:val="00A11498"/>
    <w:rsid w:val="00A114F4"/>
    <w:rsid w:val="00A11513"/>
    <w:rsid w:val="00A11557"/>
    <w:rsid w:val="00A1165C"/>
    <w:rsid w:val="00A116C5"/>
    <w:rsid w:val="00A116D7"/>
    <w:rsid w:val="00A116F4"/>
    <w:rsid w:val="00A11703"/>
    <w:rsid w:val="00A11832"/>
    <w:rsid w:val="00A11876"/>
    <w:rsid w:val="00A118A6"/>
    <w:rsid w:val="00A118D2"/>
    <w:rsid w:val="00A119C3"/>
    <w:rsid w:val="00A11A55"/>
    <w:rsid w:val="00A11B66"/>
    <w:rsid w:val="00A11B67"/>
    <w:rsid w:val="00A11B95"/>
    <w:rsid w:val="00A11BC3"/>
    <w:rsid w:val="00A11C19"/>
    <w:rsid w:val="00A11C2C"/>
    <w:rsid w:val="00A11C39"/>
    <w:rsid w:val="00A11D8E"/>
    <w:rsid w:val="00A11ECA"/>
    <w:rsid w:val="00A11EFF"/>
    <w:rsid w:val="00A11FF1"/>
    <w:rsid w:val="00A1210E"/>
    <w:rsid w:val="00A1213A"/>
    <w:rsid w:val="00A121CC"/>
    <w:rsid w:val="00A12214"/>
    <w:rsid w:val="00A12216"/>
    <w:rsid w:val="00A12327"/>
    <w:rsid w:val="00A12408"/>
    <w:rsid w:val="00A12463"/>
    <w:rsid w:val="00A12562"/>
    <w:rsid w:val="00A125B5"/>
    <w:rsid w:val="00A127D3"/>
    <w:rsid w:val="00A127EE"/>
    <w:rsid w:val="00A127F3"/>
    <w:rsid w:val="00A128DF"/>
    <w:rsid w:val="00A129BB"/>
    <w:rsid w:val="00A12A28"/>
    <w:rsid w:val="00A12A5A"/>
    <w:rsid w:val="00A12A9F"/>
    <w:rsid w:val="00A12B57"/>
    <w:rsid w:val="00A12B77"/>
    <w:rsid w:val="00A12BA0"/>
    <w:rsid w:val="00A12BF6"/>
    <w:rsid w:val="00A12C7C"/>
    <w:rsid w:val="00A12E01"/>
    <w:rsid w:val="00A12E51"/>
    <w:rsid w:val="00A12F23"/>
    <w:rsid w:val="00A12F3F"/>
    <w:rsid w:val="00A13033"/>
    <w:rsid w:val="00A130E5"/>
    <w:rsid w:val="00A131A4"/>
    <w:rsid w:val="00A13213"/>
    <w:rsid w:val="00A13407"/>
    <w:rsid w:val="00A13457"/>
    <w:rsid w:val="00A13583"/>
    <w:rsid w:val="00A1362A"/>
    <w:rsid w:val="00A136AA"/>
    <w:rsid w:val="00A137DA"/>
    <w:rsid w:val="00A139DB"/>
    <w:rsid w:val="00A13A19"/>
    <w:rsid w:val="00A13A76"/>
    <w:rsid w:val="00A13A90"/>
    <w:rsid w:val="00A13B18"/>
    <w:rsid w:val="00A13B59"/>
    <w:rsid w:val="00A13BE2"/>
    <w:rsid w:val="00A13C9A"/>
    <w:rsid w:val="00A13CE8"/>
    <w:rsid w:val="00A13D70"/>
    <w:rsid w:val="00A13DA1"/>
    <w:rsid w:val="00A13DA5"/>
    <w:rsid w:val="00A13E5D"/>
    <w:rsid w:val="00A13EC9"/>
    <w:rsid w:val="00A13FE0"/>
    <w:rsid w:val="00A14112"/>
    <w:rsid w:val="00A14157"/>
    <w:rsid w:val="00A14186"/>
    <w:rsid w:val="00A14314"/>
    <w:rsid w:val="00A143E3"/>
    <w:rsid w:val="00A14430"/>
    <w:rsid w:val="00A14456"/>
    <w:rsid w:val="00A14570"/>
    <w:rsid w:val="00A145B2"/>
    <w:rsid w:val="00A14724"/>
    <w:rsid w:val="00A147BB"/>
    <w:rsid w:val="00A14833"/>
    <w:rsid w:val="00A148B0"/>
    <w:rsid w:val="00A14966"/>
    <w:rsid w:val="00A14A65"/>
    <w:rsid w:val="00A14BED"/>
    <w:rsid w:val="00A14C66"/>
    <w:rsid w:val="00A14D92"/>
    <w:rsid w:val="00A14E69"/>
    <w:rsid w:val="00A14E6C"/>
    <w:rsid w:val="00A14EA6"/>
    <w:rsid w:val="00A14F2F"/>
    <w:rsid w:val="00A14F33"/>
    <w:rsid w:val="00A14F58"/>
    <w:rsid w:val="00A14F9B"/>
    <w:rsid w:val="00A150A5"/>
    <w:rsid w:val="00A15131"/>
    <w:rsid w:val="00A15139"/>
    <w:rsid w:val="00A15149"/>
    <w:rsid w:val="00A154AA"/>
    <w:rsid w:val="00A154C4"/>
    <w:rsid w:val="00A154FC"/>
    <w:rsid w:val="00A1551A"/>
    <w:rsid w:val="00A1551C"/>
    <w:rsid w:val="00A1555B"/>
    <w:rsid w:val="00A155EE"/>
    <w:rsid w:val="00A156DE"/>
    <w:rsid w:val="00A15724"/>
    <w:rsid w:val="00A15783"/>
    <w:rsid w:val="00A15838"/>
    <w:rsid w:val="00A15863"/>
    <w:rsid w:val="00A15994"/>
    <w:rsid w:val="00A159C0"/>
    <w:rsid w:val="00A15B07"/>
    <w:rsid w:val="00A15BAC"/>
    <w:rsid w:val="00A15BBB"/>
    <w:rsid w:val="00A15C48"/>
    <w:rsid w:val="00A15C5F"/>
    <w:rsid w:val="00A15CB9"/>
    <w:rsid w:val="00A15CE4"/>
    <w:rsid w:val="00A15D59"/>
    <w:rsid w:val="00A15D5E"/>
    <w:rsid w:val="00A15E51"/>
    <w:rsid w:val="00A15E62"/>
    <w:rsid w:val="00A15E9D"/>
    <w:rsid w:val="00A16016"/>
    <w:rsid w:val="00A16163"/>
    <w:rsid w:val="00A161D2"/>
    <w:rsid w:val="00A162A4"/>
    <w:rsid w:val="00A16399"/>
    <w:rsid w:val="00A163E7"/>
    <w:rsid w:val="00A1644B"/>
    <w:rsid w:val="00A165C7"/>
    <w:rsid w:val="00A166FF"/>
    <w:rsid w:val="00A168A9"/>
    <w:rsid w:val="00A168AE"/>
    <w:rsid w:val="00A168BC"/>
    <w:rsid w:val="00A1693C"/>
    <w:rsid w:val="00A16A3E"/>
    <w:rsid w:val="00A16AE6"/>
    <w:rsid w:val="00A16B81"/>
    <w:rsid w:val="00A16B95"/>
    <w:rsid w:val="00A16BA9"/>
    <w:rsid w:val="00A16C03"/>
    <w:rsid w:val="00A16D13"/>
    <w:rsid w:val="00A16DB6"/>
    <w:rsid w:val="00A16FAB"/>
    <w:rsid w:val="00A1703E"/>
    <w:rsid w:val="00A17048"/>
    <w:rsid w:val="00A17059"/>
    <w:rsid w:val="00A1727A"/>
    <w:rsid w:val="00A172DD"/>
    <w:rsid w:val="00A17308"/>
    <w:rsid w:val="00A1736C"/>
    <w:rsid w:val="00A176A2"/>
    <w:rsid w:val="00A176FB"/>
    <w:rsid w:val="00A178FE"/>
    <w:rsid w:val="00A1791E"/>
    <w:rsid w:val="00A17A1C"/>
    <w:rsid w:val="00A17BFA"/>
    <w:rsid w:val="00A17C11"/>
    <w:rsid w:val="00A17CAC"/>
    <w:rsid w:val="00A17CE2"/>
    <w:rsid w:val="00A17D62"/>
    <w:rsid w:val="00A17D84"/>
    <w:rsid w:val="00A17DBB"/>
    <w:rsid w:val="00A17E09"/>
    <w:rsid w:val="00A17E63"/>
    <w:rsid w:val="00A17EA4"/>
    <w:rsid w:val="00A17F23"/>
    <w:rsid w:val="00A17F35"/>
    <w:rsid w:val="00A17F44"/>
    <w:rsid w:val="00A17F4B"/>
    <w:rsid w:val="00A17F78"/>
    <w:rsid w:val="00A17F79"/>
    <w:rsid w:val="00A2003A"/>
    <w:rsid w:val="00A2008C"/>
    <w:rsid w:val="00A20155"/>
    <w:rsid w:val="00A201C7"/>
    <w:rsid w:val="00A201EE"/>
    <w:rsid w:val="00A20204"/>
    <w:rsid w:val="00A20215"/>
    <w:rsid w:val="00A20231"/>
    <w:rsid w:val="00A2032B"/>
    <w:rsid w:val="00A20343"/>
    <w:rsid w:val="00A20477"/>
    <w:rsid w:val="00A204E3"/>
    <w:rsid w:val="00A20500"/>
    <w:rsid w:val="00A2057E"/>
    <w:rsid w:val="00A20585"/>
    <w:rsid w:val="00A205C6"/>
    <w:rsid w:val="00A206CD"/>
    <w:rsid w:val="00A2071B"/>
    <w:rsid w:val="00A2078D"/>
    <w:rsid w:val="00A207C1"/>
    <w:rsid w:val="00A20858"/>
    <w:rsid w:val="00A20908"/>
    <w:rsid w:val="00A20937"/>
    <w:rsid w:val="00A20A3C"/>
    <w:rsid w:val="00A20C0C"/>
    <w:rsid w:val="00A20C56"/>
    <w:rsid w:val="00A20E37"/>
    <w:rsid w:val="00A21279"/>
    <w:rsid w:val="00A212C3"/>
    <w:rsid w:val="00A212F8"/>
    <w:rsid w:val="00A2131B"/>
    <w:rsid w:val="00A2133F"/>
    <w:rsid w:val="00A2141B"/>
    <w:rsid w:val="00A2143C"/>
    <w:rsid w:val="00A214A3"/>
    <w:rsid w:val="00A21513"/>
    <w:rsid w:val="00A2153A"/>
    <w:rsid w:val="00A21577"/>
    <w:rsid w:val="00A2163E"/>
    <w:rsid w:val="00A2171E"/>
    <w:rsid w:val="00A2175C"/>
    <w:rsid w:val="00A217BF"/>
    <w:rsid w:val="00A21813"/>
    <w:rsid w:val="00A2191F"/>
    <w:rsid w:val="00A21998"/>
    <w:rsid w:val="00A21A93"/>
    <w:rsid w:val="00A21AA7"/>
    <w:rsid w:val="00A21B39"/>
    <w:rsid w:val="00A21B47"/>
    <w:rsid w:val="00A21B78"/>
    <w:rsid w:val="00A21C55"/>
    <w:rsid w:val="00A21CDF"/>
    <w:rsid w:val="00A21D13"/>
    <w:rsid w:val="00A21DF1"/>
    <w:rsid w:val="00A21E1F"/>
    <w:rsid w:val="00A21EE9"/>
    <w:rsid w:val="00A21F0D"/>
    <w:rsid w:val="00A21F91"/>
    <w:rsid w:val="00A21FBF"/>
    <w:rsid w:val="00A22056"/>
    <w:rsid w:val="00A220A2"/>
    <w:rsid w:val="00A223C8"/>
    <w:rsid w:val="00A22551"/>
    <w:rsid w:val="00A2272E"/>
    <w:rsid w:val="00A22959"/>
    <w:rsid w:val="00A229A3"/>
    <w:rsid w:val="00A229DB"/>
    <w:rsid w:val="00A22A3C"/>
    <w:rsid w:val="00A22A7A"/>
    <w:rsid w:val="00A22B48"/>
    <w:rsid w:val="00A22BE2"/>
    <w:rsid w:val="00A22C64"/>
    <w:rsid w:val="00A22D7A"/>
    <w:rsid w:val="00A22E28"/>
    <w:rsid w:val="00A22E58"/>
    <w:rsid w:val="00A22E7F"/>
    <w:rsid w:val="00A22ED1"/>
    <w:rsid w:val="00A22F60"/>
    <w:rsid w:val="00A22FF1"/>
    <w:rsid w:val="00A2310A"/>
    <w:rsid w:val="00A231C3"/>
    <w:rsid w:val="00A232AD"/>
    <w:rsid w:val="00A23421"/>
    <w:rsid w:val="00A234EB"/>
    <w:rsid w:val="00A23510"/>
    <w:rsid w:val="00A23575"/>
    <w:rsid w:val="00A235A6"/>
    <w:rsid w:val="00A23676"/>
    <w:rsid w:val="00A236FE"/>
    <w:rsid w:val="00A2371C"/>
    <w:rsid w:val="00A2378C"/>
    <w:rsid w:val="00A238B5"/>
    <w:rsid w:val="00A238EB"/>
    <w:rsid w:val="00A23ABC"/>
    <w:rsid w:val="00A23AFF"/>
    <w:rsid w:val="00A23B57"/>
    <w:rsid w:val="00A23C48"/>
    <w:rsid w:val="00A23C89"/>
    <w:rsid w:val="00A23CC6"/>
    <w:rsid w:val="00A23CD3"/>
    <w:rsid w:val="00A23DF0"/>
    <w:rsid w:val="00A23F53"/>
    <w:rsid w:val="00A23F73"/>
    <w:rsid w:val="00A23F79"/>
    <w:rsid w:val="00A2402B"/>
    <w:rsid w:val="00A24161"/>
    <w:rsid w:val="00A24229"/>
    <w:rsid w:val="00A24253"/>
    <w:rsid w:val="00A2426E"/>
    <w:rsid w:val="00A242A7"/>
    <w:rsid w:val="00A242E3"/>
    <w:rsid w:val="00A244D7"/>
    <w:rsid w:val="00A24572"/>
    <w:rsid w:val="00A24624"/>
    <w:rsid w:val="00A2462C"/>
    <w:rsid w:val="00A24650"/>
    <w:rsid w:val="00A24714"/>
    <w:rsid w:val="00A2473E"/>
    <w:rsid w:val="00A2479C"/>
    <w:rsid w:val="00A24873"/>
    <w:rsid w:val="00A2488E"/>
    <w:rsid w:val="00A248FA"/>
    <w:rsid w:val="00A24956"/>
    <w:rsid w:val="00A24980"/>
    <w:rsid w:val="00A249EC"/>
    <w:rsid w:val="00A24A23"/>
    <w:rsid w:val="00A24A51"/>
    <w:rsid w:val="00A24A8E"/>
    <w:rsid w:val="00A24B10"/>
    <w:rsid w:val="00A24B13"/>
    <w:rsid w:val="00A24BAD"/>
    <w:rsid w:val="00A24D01"/>
    <w:rsid w:val="00A24D09"/>
    <w:rsid w:val="00A24E36"/>
    <w:rsid w:val="00A24F65"/>
    <w:rsid w:val="00A24FB9"/>
    <w:rsid w:val="00A2504A"/>
    <w:rsid w:val="00A250AF"/>
    <w:rsid w:val="00A250DA"/>
    <w:rsid w:val="00A251C7"/>
    <w:rsid w:val="00A251DA"/>
    <w:rsid w:val="00A25265"/>
    <w:rsid w:val="00A2534B"/>
    <w:rsid w:val="00A25378"/>
    <w:rsid w:val="00A2539F"/>
    <w:rsid w:val="00A253DE"/>
    <w:rsid w:val="00A25414"/>
    <w:rsid w:val="00A25486"/>
    <w:rsid w:val="00A255FA"/>
    <w:rsid w:val="00A25601"/>
    <w:rsid w:val="00A2575A"/>
    <w:rsid w:val="00A2577B"/>
    <w:rsid w:val="00A2579E"/>
    <w:rsid w:val="00A25816"/>
    <w:rsid w:val="00A258DA"/>
    <w:rsid w:val="00A258F5"/>
    <w:rsid w:val="00A25A05"/>
    <w:rsid w:val="00A25A98"/>
    <w:rsid w:val="00A25BED"/>
    <w:rsid w:val="00A25BF9"/>
    <w:rsid w:val="00A25CEB"/>
    <w:rsid w:val="00A25D05"/>
    <w:rsid w:val="00A25D3C"/>
    <w:rsid w:val="00A25E63"/>
    <w:rsid w:val="00A25F08"/>
    <w:rsid w:val="00A25F4C"/>
    <w:rsid w:val="00A26004"/>
    <w:rsid w:val="00A2601F"/>
    <w:rsid w:val="00A26175"/>
    <w:rsid w:val="00A26178"/>
    <w:rsid w:val="00A261B4"/>
    <w:rsid w:val="00A26237"/>
    <w:rsid w:val="00A26251"/>
    <w:rsid w:val="00A262F0"/>
    <w:rsid w:val="00A26324"/>
    <w:rsid w:val="00A26506"/>
    <w:rsid w:val="00A26672"/>
    <w:rsid w:val="00A2669A"/>
    <w:rsid w:val="00A26722"/>
    <w:rsid w:val="00A2686D"/>
    <w:rsid w:val="00A2689F"/>
    <w:rsid w:val="00A26973"/>
    <w:rsid w:val="00A269E4"/>
    <w:rsid w:val="00A26ABA"/>
    <w:rsid w:val="00A26AEC"/>
    <w:rsid w:val="00A26AED"/>
    <w:rsid w:val="00A26B28"/>
    <w:rsid w:val="00A26B36"/>
    <w:rsid w:val="00A26CC7"/>
    <w:rsid w:val="00A26CD0"/>
    <w:rsid w:val="00A26D22"/>
    <w:rsid w:val="00A26F9A"/>
    <w:rsid w:val="00A2705F"/>
    <w:rsid w:val="00A270F6"/>
    <w:rsid w:val="00A27186"/>
    <w:rsid w:val="00A27187"/>
    <w:rsid w:val="00A271BE"/>
    <w:rsid w:val="00A271DE"/>
    <w:rsid w:val="00A27203"/>
    <w:rsid w:val="00A273B9"/>
    <w:rsid w:val="00A274E6"/>
    <w:rsid w:val="00A274FC"/>
    <w:rsid w:val="00A27540"/>
    <w:rsid w:val="00A275F6"/>
    <w:rsid w:val="00A27717"/>
    <w:rsid w:val="00A27773"/>
    <w:rsid w:val="00A27929"/>
    <w:rsid w:val="00A2795A"/>
    <w:rsid w:val="00A279D1"/>
    <w:rsid w:val="00A279ED"/>
    <w:rsid w:val="00A279F1"/>
    <w:rsid w:val="00A279F7"/>
    <w:rsid w:val="00A27AE8"/>
    <w:rsid w:val="00A27B15"/>
    <w:rsid w:val="00A27B97"/>
    <w:rsid w:val="00A27BA7"/>
    <w:rsid w:val="00A27BED"/>
    <w:rsid w:val="00A27D79"/>
    <w:rsid w:val="00A27DB4"/>
    <w:rsid w:val="00A27F6A"/>
    <w:rsid w:val="00A3004D"/>
    <w:rsid w:val="00A30091"/>
    <w:rsid w:val="00A301FD"/>
    <w:rsid w:val="00A3026D"/>
    <w:rsid w:val="00A30328"/>
    <w:rsid w:val="00A30357"/>
    <w:rsid w:val="00A30397"/>
    <w:rsid w:val="00A303E2"/>
    <w:rsid w:val="00A3047D"/>
    <w:rsid w:val="00A30481"/>
    <w:rsid w:val="00A304F9"/>
    <w:rsid w:val="00A304FB"/>
    <w:rsid w:val="00A306E6"/>
    <w:rsid w:val="00A3076B"/>
    <w:rsid w:val="00A30808"/>
    <w:rsid w:val="00A3080D"/>
    <w:rsid w:val="00A30855"/>
    <w:rsid w:val="00A309F0"/>
    <w:rsid w:val="00A30A6B"/>
    <w:rsid w:val="00A30C20"/>
    <w:rsid w:val="00A30C97"/>
    <w:rsid w:val="00A30CF6"/>
    <w:rsid w:val="00A30E5A"/>
    <w:rsid w:val="00A30E8F"/>
    <w:rsid w:val="00A30EAE"/>
    <w:rsid w:val="00A30FEE"/>
    <w:rsid w:val="00A3103E"/>
    <w:rsid w:val="00A3104F"/>
    <w:rsid w:val="00A310D0"/>
    <w:rsid w:val="00A310E8"/>
    <w:rsid w:val="00A312E1"/>
    <w:rsid w:val="00A312F4"/>
    <w:rsid w:val="00A31340"/>
    <w:rsid w:val="00A31422"/>
    <w:rsid w:val="00A314F6"/>
    <w:rsid w:val="00A315AE"/>
    <w:rsid w:val="00A3177D"/>
    <w:rsid w:val="00A31877"/>
    <w:rsid w:val="00A318FE"/>
    <w:rsid w:val="00A3193A"/>
    <w:rsid w:val="00A31955"/>
    <w:rsid w:val="00A31A2A"/>
    <w:rsid w:val="00A31AD3"/>
    <w:rsid w:val="00A31B90"/>
    <w:rsid w:val="00A31CDD"/>
    <w:rsid w:val="00A31E5B"/>
    <w:rsid w:val="00A31E8E"/>
    <w:rsid w:val="00A31F15"/>
    <w:rsid w:val="00A31F76"/>
    <w:rsid w:val="00A31FA2"/>
    <w:rsid w:val="00A3202C"/>
    <w:rsid w:val="00A32142"/>
    <w:rsid w:val="00A3216D"/>
    <w:rsid w:val="00A3217C"/>
    <w:rsid w:val="00A32225"/>
    <w:rsid w:val="00A3225D"/>
    <w:rsid w:val="00A32284"/>
    <w:rsid w:val="00A322D8"/>
    <w:rsid w:val="00A323DB"/>
    <w:rsid w:val="00A3246B"/>
    <w:rsid w:val="00A324B0"/>
    <w:rsid w:val="00A325CE"/>
    <w:rsid w:val="00A325DC"/>
    <w:rsid w:val="00A326B3"/>
    <w:rsid w:val="00A32705"/>
    <w:rsid w:val="00A32744"/>
    <w:rsid w:val="00A32750"/>
    <w:rsid w:val="00A3285F"/>
    <w:rsid w:val="00A328E4"/>
    <w:rsid w:val="00A32A1A"/>
    <w:rsid w:val="00A32BA5"/>
    <w:rsid w:val="00A32CF5"/>
    <w:rsid w:val="00A32D2F"/>
    <w:rsid w:val="00A32D8B"/>
    <w:rsid w:val="00A32E42"/>
    <w:rsid w:val="00A32F3D"/>
    <w:rsid w:val="00A32FB9"/>
    <w:rsid w:val="00A32FE1"/>
    <w:rsid w:val="00A330C2"/>
    <w:rsid w:val="00A330E8"/>
    <w:rsid w:val="00A33127"/>
    <w:rsid w:val="00A33218"/>
    <w:rsid w:val="00A332E5"/>
    <w:rsid w:val="00A33374"/>
    <w:rsid w:val="00A333FF"/>
    <w:rsid w:val="00A33452"/>
    <w:rsid w:val="00A335BB"/>
    <w:rsid w:val="00A335FC"/>
    <w:rsid w:val="00A3367E"/>
    <w:rsid w:val="00A336FF"/>
    <w:rsid w:val="00A33708"/>
    <w:rsid w:val="00A337DF"/>
    <w:rsid w:val="00A3384A"/>
    <w:rsid w:val="00A338BA"/>
    <w:rsid w:val="00A338E3"/>
    <w:rsid w:val="00A33947"/>
    <w:rsid w:val="00A33950"/>
    <w:rsid w:val="00A33A2B"/>
    <w:rsid w:val="00A33A8F"/>
    <w:rsid w:val="00A33BCA"/>
    <w:rsid w:val="00A33D14"/>
    <w:rsid w:val="00A33D4C"/>
    <w:rsid w:val="00A33DD1"/>
    <w:rsid w:val="00A33FB7"/>
    <w:rsid w:val="00A33FD4"/>
    <w:rsid w:val="00A33FEF"/>
    <w:rsid w:val="00A34000"/>
    <w:rsid w:val="00A34011"/>
    <w:rsid w:val="00A34037"/>
    <w:rsid w:val="00A34044"/>
    <w:rsid w:val="00A34275"/>
    <w:rsid w:val="00A34288"/>
    <w:rsid w:val="00A342CD"/>
    <w:rsid w:val="00A342DA"/>
    <w:rsid w:val="00A343D6"/>
    <w:rsid w:val="00A34424"/>
    <w:rsid w:val="00A3446E"/>
    <w:rsid w:val="00A3451D"/>
    <w:rsid w:val="00A34571"/>
    <w:rsid w:val="00A345D3"/>
    <w:rsid w:val="00A346E2"/>
    <w:rsid w:val="00A3475B"/>
    <w:rsid w:val="00A34769"/>
    <w:rsid w:val="00A34792"/>
    <w:rsid w:val="00A34825"/>
    <w:rsid w:val="00A34986"/>
    <w:rsid w:val="00A34999"/>
    <w:rsid w:val="00A34AB2"/>
    <w:rsid w:val="00A34B20"/>
    <w:rsid w:val="00A34B5F"/>
    <w:rsid w:val="00A34C14"/>
    <w:rsid w:val="00A34C36"/>
    <w:rsid w:val="00A34C94"/>
    <w:rsid w:val="00A34D27"/>
    <w:rsid w:val="00A34DF0"/>
    <w:rsid w:val="00A34EAC"/>
    <w:rsid w:val="00A34F04"/>
    <w:rsid w:val="00A34F0A"/>
    <w:rsid w:val="00A35101"/>
    <w:rsid w:val="00A35138"/>
    <w:rsid w:val="00A3528C"/>
    <w:rsid w:val="00A352DF"/>
    <w:rsid w:val="00A353CB"/>
    <w:rsid w:val="00A354EB"/>
    <w:rsid w:val="00A35523"/>
    <w:rsid w:val="00A35648"/>
    <w:rsid w:val="00A356AB"/>
    <w:rsid w:val="00A356F0"/>
    <w:rsid w:val="00A35724"/>
    <w:rsid w:val="00A35740"/>
    <w:rsid w:val="00A35755"/>
    <w:rsid w:val="00A357D2"/>
    <w:rsid w:val="00A3595C"/>
    <w:rsid w:val="00A35A0B"/>
    <w:rsid w:val="00A35AF1"/>
    <w:rsid w:val="00A35AF6"/>
    <w:rsid w:val="00A35D47"/>
    <w:rsid w:val="00A35D60"/>
    <w:rsid w:val="00A35D89"/>
    <w:rsid w:val="00A35DF1"/>
    <w:rsid w:val="00A35E33"/>
    <w:rsid w:val="00A35EA7"/>
    <w:rsid w:val="00A35EF5"/>
    <w:rsid w:val="00A35FD0"/>
    <w:rsid w:val="00A36042"/>
    <w:rsid w:val="00A3605A"/>
    <w:rsid w:val="00A36287"/>
    <w:rsid w:val="00A362ED"/>
    <w:rsid w:val="00A362FB"/>
    <w:rsid w:val="00A3632B"/>
    <w:rsid w:val="00A36352"/>
    <w:rsid w:val="00A364E8"/>
    <w:rsid w:val="00A3656B"/>
    <w:rsid w:val="00A36647"/>
    <w:rsid w:val="00A36674"/>
    <w:rsid w:val="00A36703"/>
    <w:rsid w:val="00A36751"/>
    <w:rsid w:val="00A36894"/>
    <w:rsid w:val="00A368C9"/>
    <w:rsid w:val="00A36978"/>
    <w:rsid w:val="00A36AE6"/>
    <w:rsid w:val="00A36BE0"/>
    <w:rsid w:val="00A36C1E"/>
    <w:rsid w:val="00A36F82"/>
    <w:rsid w:val="00A36FBF"/>
    <w:rsid w:val="00A3704F"/>
    <w:rsid w:val="00A3716F"/>
    <w:rsid w:val="00A37184"/>
    <w:rsid w:val="00A37193"/>
    <w:rsid w:val="00A3728A"/>
    <w:rsid w:val="00A372F6"/>
    <w:rsid w:val="00A3734F"/>
    <w:rsid w:val="00A373BF"/>
    <w:rsid w:val="00A373EA"/>
    <w:rsid w:val="00A37403"/>
    <w:rsid w:val="00A374DE"/>
    <w:rsid w:val="00A374EC"/>
    <w:rsid w:val="00A37513"/>
    <w:rsid w:val="00A3752F"/>
    <w:rsid w:val="00A37583"/>
    <w:rsid w:val="00A375C8"/>
    <w:rsid w:val="00A37739"/>
    <w:rsid w:val="00A3775A"/>
    <w:rsid w:val="00A37775"/>
    <w:rsid w:val="00A3788F"/>
    <w:rsid w:val="00A378A9"/>
    <w:rsid w:val="00A3793A"/>
    <w:rsid w:val="00A37970"/>
    <w:rsid w:val="00A3797A"/>
    <w:rsid w:val="00A37A0C"/>
    <w:rsid w:val="00A37ADE"/>
    <w:rsid w:val="00A37C0A"/>
    <w:rsid w:val="00A37C1F"/>
    <w:rsid w:val="00A37C90"/>
    <w:rsid w:val="00A37C92"/>
    <w:rsid w:val="00A37CA1"/>
    <w:rsid w:val="00A37D74"/>
    <w:rsid w:val="00A37DBB"/>
    <w:rsid w:val="00A37DFA"/>
    <w:rsid w:val="00A37E67"/>
    <w:rsid w:val="00A37EBA"/>
    <w:rsid w:val="00A37EEE"/>
    <w:rsid w:val="00A37F30"/>
    <w:rsid w:val="00A37F54"/>
    <w:rsid w:val="00A37FBE"/>
    <w:rsid w:val="00A40009"/>
    <w:rsid w:val="00A403E1"/>
    <w:rsid w:val="00A40409"/>
    <w:rsid w:val="00A4045C"/>
    <w:rsid w:val="00A4049C"/>
    <w:rsid w:val="00A404B6"/>
    <w:rsid w:val="00A40657"/>
    <w:rsid w:val="00A40658"/>
    <w:rsid w:val="00A407BD"/>
    <w:rsid w:val="00A40824"/>
    <w:rsid w:val="00A40932"/>
    <w:rsid w:val="00A40A08"/>
    <w:rsid w:val="00A40AA6"/>
    <w:rsid w:val="00A40AAD"/>
    <w:rsid w:val="00A40C16"/>
    <w:rsid w:val="00A40C9E"/>
    <w:rsid w:val="00A40D64"/>
    <w:rsid w:val="00A40DDD"/>
    <w:rsid w:val="00A40E2D"/>
    <w:rsid w:val="00A40E50"/>
    <w:rsid w:val="00A40ED1"/>
    <w:rsid w:val="00A40EEF"/>
    <w:rsid w:val="00A40F20"/>
    <w:rsid w:val="00A40FE8"/>
    <w:rsid w:val="00A41175"/>
    <w:rsid w:val="00A411BB"/>
    <w:rsid w:val="00A411D8"/>
    <w:rsid w:val="00A411E4"/>
    <w:rsid w:val="00A412B5"/>
    <w:rsid w:val="00A412E5"/>
    <w:rsid w:val="00A41543"/>
    <w:rsid w:val="00A4164C"/>
    <w:rsid w:val="00A416A8"/>
    <w:rsid w:val="00A416FC"/>
    <w:rsid w:val="00A41784"/>
    <w:rsid w:val="00A417AE"/>
    <w:rsid w:val="00A4180B"/>
    <w:rsid w:val="00A419A5"/>
    <w:rsid w:val="00A419C0"/>
    <w:rsid w:val="00A41A62"/>
    <w:rsid w:val="00A41A7C"/>
    <w:rsid w:val="00A41AAF"/>
    <w:rsid w:val="00A41B07"/>
    <w:rsid w:val="00A41B3A"/>
    <w:rsid w:val="00A41BD0"/>
    <w:rsid w:val="00A41CAD"/>
    <w:rsid w:val="00A41D87"/>
    <w:rsid w:val="00A41DBE"/>
    <w:rsid w:val="00A41E74"/>
    <w:rsid w:val="00A41ECB"/>
    <w:rsid w:val="00A41FBB"/>
    <w:rsid w:val="00A42012"/>
    <w:rsid w:val="00A42060"/>
    <w:rsid w:val="00A4208E"/>
    <w:rsid w:val="00A420EB"/>
    <w:rsid w:val="00A421B4"/>
    <w:rsid w:val="00A422CE"/>
    <w:rsid w:val="00A422F3"/>
    <w:rsid w:val="00A4235C"/>
    <w:rsid w:val="00A423B4"/>
    <w:rsid w:val="00A4242F"/>
    <w:rsid w:val="00A42584"/>
    <w:rsid w:val="00A425C5"/>
    <w:rsid w:val="00A426F2"/>
    <w:rsid w:val="00A42742"/>
    <w:rsid w:val="00A4278E"/>
    <w:rsid w:val="00A42801"/>
    <w:rsid w:val="00A4284A"/>
    <w:rsid w:val="00A42896"/>
    <w:rsid w:val="00A428AF"/>
    <w:rsid w:val="00A429ED"/>
    <w:rsid w:val="00A42AAA"/>
    <w:rsid w:val="00A42BAF"/>
    <w:rsid w:val="00A42CE8"/>
    <w:rsid w:val="00A42D08"/>
    <w:rsid w:val="00A42EB0"/>
    <w:rsid w:val="00A42EC4"/>
    <w:rsid w:val="00A42EF6"/>
    <w:rsid w:val="00A42F02"/>
    <w:rsid w:val="00A42FB8"/>
    <w:rsid w:val="00A43105"/>
    <w:rsid w:val="00A4319E"/>
    <w:rsid w:val="00A431A0"/>
    <w:rsid w:val="00A431B5"/>
    <w:rsid w:val="00A431E1"/>
    <w:rsid w:val="00A43268"/>
    <w:rsid w:val="00A432A5"/>
    <w:rsid w:val="00A432D4"/>
    <w:rsid w:val="00A4333D"/>
    <w:rsid w:val="00A4337F"/>
    <w:rsid w:val="00A433C2"/>
    <w:rsid w:val="00A433CA"/>
    <w:rsid w:val="00A433DA"/>
    <w:rsid w:val="00A43556"/>
    <w:rsid w:val="00A43691"/>
    <w:rsid w:val="00A437FA"/>
    <w:rsid w:val="00A4396A"/>
    <w:rsid w:val="00A43976"/>
    <w:rsid w:val="00A439CF"/>
    <w:rsid w:val="00A43A39"/>
    <w:rsid w:val="00A43E04"/>
    <w:rsid w:val="00A43F0D"/>
    <w:rsid w:val="00A44090"/>
    <w:rsid w:val="00A441DE"/>
    <w:rsid w:val="00A4423C"/>
    <w:rsid w:val="00A442E8"/>
    <w:rsid w:val="00A4430B"/>
    <w:rsid w:val="00A444A3"/>
    <w:rsid w:val="00A44544"/>
    <w:rsid w:val="00A4455E"/>
    <w:rsid w:val="00A44583"/>
    <w:rsid w:val="00A445C2"/>
    <w:rsid w:val="00A445D8"/>
    <w:rsid w:val="00A44670"/>
    <w:rsid w:val="00A446C3"/>
    <w:rsid w:val="00A446E7"/>
    <w:rsid w:val="00A44899"/>
    <w:rsid w:val="00A44988"/>
    <w:rsid w:val="00A449A3"/>
    <w:rsid w:val="00A44A05"/>
    <w:rsid w:val="00A44A07"/>
    <w:rsid w:val="00A44A75"/>
    <w:rsid w:val="00A44B46"/>
    <w:rsid w:val="00A44CC3"/>
    <w:rsid w:val="00A44D9E"/>
    <w:rsid w:val="00A44EA8"/>
    <w:rsid w:val="00A44ED8"/>
    <w:rsid w:val="00A44F33"/>
    <w:rsid w:val="00A450CC"/>
    <w:rsid w:val="00A45124"/>
    <w:rsid w:val="00A45156"/>
    <w:rsid w:val="00A451E6"/>
    <w:rsid w:val="00A451FA"/>
    <w:rsid w:val="00A45204"/>
    <w:rsid w:val="00A4522B"/>
    <w:rsid w:val="00A45286"/>
    <w:rsid w:val="00A452B0"/>
    <w:rsid w:val="00A45303"/>
    <w:rsid w:val="00A45443"/>
    <w:rsid w:val="00A4546B"/>
    <w:rsid w:val="00A454B8"/>
    <w:rsid w:val="00A455BA"/>
    <w:rsid w:val="00A455E1"/>
    <w:rsid w:val="00A455FA"/>
    <w:rsid w:val="00A45668"/>
    <w:rsid w:val="00A4567F"/>
    <w:rsid w:val="00A456CC"/>
    <w:rsid w:val="00A45701"/>
    <w:rsid w:val="00A4573B"/>
    <w:rsid w:val="00A4574F"/>
    <w:rsid w:val="00A457A0"/>
    <w:rsid w:val="00A45928"/>
    <w:rsid w:val="00A45959"/>
    <w:rsid w:val="00A45978"/>
    <w:rsid w:val="00A45983"/>
    <w:rsid w:val="00A459AD"/>
    <w:rsid w:val="00A45B9F"/>
    <w:rsid w:val="00A45BB5"/>
    <w:rsid w:val="00A45CFC"/>
    <w:rsid w:val="00A45D37"/>
    <w:rsid w:val="00A45D56"/>
    <w:rsid w:val="00A45DAE"/>
    <w:rsid w:val="00A45F28"/>
    <w:rsid w:val="00A45FC6"/>
    <w:rsid w:val="00A46014"/>
    <w:rsid w:val="00A46033"/>
    <w:rsid w:val="00A46138"/>
    <w:rsid w:val="00A461CF"/>
    <w:rsid w:val="00A461E3"/>
    <w:rsid w:val="00A462A2"/>
    <w:rsid w:val="00A462D8"/>
    <w:rsid w:val="00A463A9"/>
    <w:rsid w:val="00A466B1"/>
    <w:rsid w:val="00A466CD"/>
    <w:rsid w:val="00A46731"/>
    <w:rsid w:val="00A46746"/>
    <w:rsid w:val="00A46757"/>
    <w:rsid w:val="00A467D8"/>
    <w:rsid w:val="00A467EE"/>
    <w:rsid w:val="00A4680A"/>
    <w:rsid w:val="00A46938"/>
    <w:rsid w:val="00A46988"/>
    <w:rsid w:val="00A46B1A"/>
    <w:rsid w:val="00A46BF0"/>
    <w:rsid w:val="00A46D7F"/>
    <w:rsid w:val="00A46DBC"/>
    <w:rsid w:val="00A46DD5"/>
    <w:rsid w:val="00A46E0C"/>
    <w:rsid w:val="00A46F62"/>
    <w:rsid w:val="00A46F65"/>
    <w:rsid w:val="00A46FC5"/>
    <w:rsid w:val="00A46FE5"/>
    <w:rsid w:val="00A47053"/>
    <w:rsid w:val="00A470B3"/>
    <w:rsid w:val="00A470F6"/>
    <w:rsid w:val="00A47149"/>
    <w:rsid w:val="00A471FC"/>
    <w:rsid w:val="00A4727E"/>
    <w:rsid w:val="00A4736A"/>
    <w:rsid w:val="00A4741A"/>
    <w:rsid w:val="00A4755D"/>
    <w:rsid w:val="00A4756D"/>
    <w:rsid w:val="00A47623"/>
    <w:rsid w:val="00A4765B"/>
    <w:rsid w:val="00A4772F"/>
    <w:rsid w:val="00A4780E"/>
    <w:rsid w:val="00A47883"/>
    <w:rsid w:val="00A47967"/>
    <w:rsid w:val="00A479B6"/>
    <w:rsid w:val="00A47A8C"/>
    <w:rsid w:val="00A47AFA"/>
    <w:rsid w:val="00A47B11"/>
    <w:rsid w:val="00A47CCC"/>
    <w:rsid w:val="00A47DBF"/>
    <w:rsid w:val="00A47DD5"/>
    <w:rsid w:val="00A47E49"/>
    <w:rsid w:val="00A47E74"/>
    <w:rsid w:val="00A47EBE"/>
    <w:rsid w:val="00A47F06"/>
    <w:rsid w:val="00A47F97"/>
    <w:rsid w:val="00A47FB6"/>
    <w:rsid w:val="00A50061"/>
    <w:rsid w:val="00A50118"/>
    <w:rsid w:val="00A5014F"/>
    <w:rsid w:val="00A50252"/>
    <w:rsid w:val="00A502A8"/>
    <w:rsid w:val="00A503A1"/>
    <w:rsid w:val="00A503CC"/>
    <w:rsid w:val="00A5040B"/>
    <w:rsid w:val="00A5044F"/>
    <w:rsid w:val="00A50462"/>
    <w:rsid w:val="00A504B2"/>
    <w:rsid w:val="00A504DC"/>
    <w:rsid w:val="00A50598"/>
    <w:rsid w:val="00A505D4"/>
    <w:rsid w:val="00A5065C"/>
    <w:rsid w:val="00A50678"/>
    <w:rsid w:val="00A5069D"/>
    <w:rsid w:val="00A506F6"/>
    <w:rsid w:val="00A50737"/>
    <w:rsid w:val="00A50784"/>
    <w:rsid w:val="00A50852"/>
    <w:rsid w:val="00A5085E"/>
    <w:rsid w:val="00A5094B"/>
    <w:rsid w:val="00A50AA6"/>
    <w:rsid w:val="00A50AD7"/>
    <w:rsid w:val="00A50B50"/>
    <w:rsid w:val="00A50CB3"/>
    <w:rsid w:val="00A50CFD"/>
    <w:rsid w:val="00A50CFF"/>
    <w:rsid w:val="00A50DB1"/>
    <w:rsid w:val="00A50E05"/>
    <w:rsid w:val="00A50EB4"/>
    <w:rsid w:val="00A50F74"/>
    <w:rsid w:val="00A50FE9"/>
    <w:rsid w:val="00A50FF6"/>
    <w:rsid w:val="00A5103B"/>
    <w:rsid w:val="00A51075"/>
    <w:rsid w:val="00A51109"/>
    <w:rsid w:val="00A511B9"/>
    <w:rsid w:val="00A511E3"/>
    <w:rsid w:val="00A5122B"/>
    <w:rsid w:val="00A51256"/>
    <w:rsid w:val="00A5127E"/>
    <w:rsid w:val="00A5135E"/>
    <w:rsid w:val="00A513FB"/>
    <w:rsid w:val="00A5151A"/>
    <w:rsid w:val="00A51551"/>
    <w:rsid w:val="00A51726"/>
    <w:rsid w:val="00A51861"/>
    <w:rsid w:val="00A518AB"/>
    <w:rsid w:val="00A518B1"/>
    <w:rsid w:val="00A51980"/>
    <w:rsid w:val="00A519AB"/>
    <w:rsid w:val="00A519AD"/>
    <w:rsid w:val="00A51B10"/>
    <w:rsid w:val="00A51C62"/>
    <w:rsid w:val="00A51CA6"/>
    <w:rsid w:val="00A51D2C"/>
    <w:rsid w:val="00A51E43"/>
    <w:rsid w:val="00A51EB8"/>
    <w:rsid w:val="00A51F21"/>
    <w:rsid w:val="00A51F75"/>
    <w:rsid w:val="00A52217"/>
    <w:rsid w:val="00A52232"/>
    <w:rsid w:val="00A522FE"/>
    <w:rsid w:val="00A523D8"/>
    <w:rsid w:val="00A52487"/>
    <w:rsid w:val="00A52536"/>
    <w:rsid w:val="00A52540"/>
    <w:rsid w:val="00A525F3"/>
    <w:rsid w:val="00A525FC"/>
    <w:rsid w:val="00A5268A"/>
    <w:rsid w:val="00A5274D"/>
    <w:rsid w:val="00A52818"/>
    <w:rsid w:val="00A5283E"/>
    <w:rsid w:val="00A52A0A"/>
    <w:rsid w:val="00A52A36"/>
    <w:rsid w:val="00A52A3C"/>
    <w:rsid w:val="00A52A50"/>
    <w:rsid w:val="00A52B66"/>
    <w:rsid w:val="00A52B93"/>
    <w:rsid w:val="00A52C60"/>
    <w:rsid w:val="00A52D4D"/>
    <w:rsid w:val="00A52E0D"/>
    <w:rsid w:val="00A52E1C"/>
    <w:rsid w:val="00A52E4A"/>
    <w:rsid w:val="00A52EEB"/>
    <w:rsid w:val="00A52F4D"/>
    <w:rsid w:val="00A52F97"/>
    <w:rsid w:val="00A531C7"/>
    <w:rsid w:val="00A5320D"/>
    <w:rsid w:val="00A53276"/>
    <w:rsid w:val="00A532E0"/>
    <w:rsid w:val="00A532E6"/>
    <w:rsid w:val="00A53310"/>
    <w:rsid w:val="00A53315"/>
    <w:rsid w:val="00A53399"/>
    <w:rsid w:val="00A53422"/>
    <w:rsid w:val="00A5345A"/>
    <w:rsid w:val="00A534B0"/>
    <w:rsid w:val="00A534F9"/>
    <w:rsid w:val="00A53509"/>
    <w:rsid w:val="00A53580"/>
    <w:rsid w:val="00A535DF"/>
    <w:rsid w:val="00A53680"/>
    <w:rsid w:val="00A53694"/>
    <w:rsid w:val="00A53698"/>
    <w:rsid w:val="00A536B4"/>
    <w:rsid w:val="00A536CF"/>
    <w:rsid w:val="00A53889"/>
    <w:rsid w:val="00A5391F"/>
    <w:rsid w:val="00A5396D"/>
    <w:rsid w:val="00A53B51"/>
    <w:rsid w:val="00A53B84"/>
    <w:rsid w:val="00A53BE4"/>
    <w:rsid w:val="00A53CCB"/>
    <w:rsid w:val="00A53D24"/>
    <w:rsid w:val="00A53DC9"/>
    <w:rsid w:val="00A53E35"/>
    <w:rsid w:val="00A53EF1"/>
    <w:rsid w:val="00A54097"/>
    <w:rsid w:val="00A540C8"/>
    <w:rsid w:val="00A540D0"/>
    <w:rsid w:val="00A54146"/>
    <w:rsid w:val="00A54206"/>
    <w:rsid w:val="00A5424A"/>
    <w:rsid w:val="00A54259"/>
    <w:rsid w:val="00A542AD"/>
    <w:rsid w:val="00A542E7"/>
    <w:rsid w:val="00A542ED"/>
    <w:rsid w:val="00A5434D"/>
    <w:rsid w:val="00A5444A"/>
    <w:rsid w:val="00A54663"/>
    <w:rsid w:val="00A546C9"/>
    <w:rsid w:val="00A546CD"/>
    <w:rsid w:val="00A546E2"/>
    <w:rsid w:val="00A547D3"/>
    <w:rsid w:val="00A54855"/>
    <w:rsid w:val="00A5487D"/>
    <w:rsid w:val="00A548BD"/>
    <w:rsid w:val="00A54909"/>
    <w:rsid w:val="00A549C7"/>
    <w:rsid w:val="00A549E7"/>
    <w:rsid w:val="00A54A41"/>
    <w:rsid w:val="00A54B95"/>
    <w:rsid w:val="00A54C3F"/>
    <w:rsid w:val="00A54C54"/>
    <w:rsid w:val="00A54D9B"/>
    <w:rsid w:val="00A54E4D"/>
    <w:rsid w:val="00A54F88"/>
    <w:rsid w:val="00A54FA6"/>
    <w:rsid w:val="00A54FF1"/>
    <w:rsid w:val="00A55017"/>
    <w:rsid w:val="00A550F7"/>
    <w:rsid w:val="00A55144"/>
    <w:rsid w:val="00A551F2"/>
    <w:rsid w:val="00A5520F"/>
    <w:rsid w:val="00A55288"/>
    <w:rsid w:val="00A55291"/>
    <w:rsid w:val="00A55303"/>
    <w:rsid w:val="00A55369"/>
    <w:rsid w:val="00A555AE"/>
    <w:rsid w:val="00A5563F"/>
    <w:rsid w:val="00A556B6"/>
    <w:rsid w:val="00A556D9"/>
    <w:rsid w:val="00A55703"/>
    <w:rsid w:val="00A55777"/>
    <w:rsid w:val="00A557AE"/>
    <w:rsid w:val="00A557CA"/>
    <w:rsid w:val="00A557E4"/>
    <w:rsid w:val="00A55861"/>
    <w:rsid w:val="00A55884"/>
    <w:rsid w:val="00A5590A"/>
    <w:rsid w:val="00A55A05"/>
    <w:rsid w:val="00A55C0A"/>
    <w:rsid w:val="00A55C21"/>
    <w:rsid w:val="00A55CFA"/>
    <w:rsid w:val="00A55D7F"/>
    <w:rsid w:val="00A55DFD"/>
    <w:rsid w:val="00A55E16"/>
    <w:rsid w:val="00A55E53"/>
    <w:rsid w:val="00A55E71"/>
    <w:rsid w:val="00A55E8B"/>
    <w:rsid w:val="00A55F20"/>
    <w:rsid w:val="00A5605E"/>
    <w:rsid w:val="00A56069"/>
    <w:rsid w:val="00A560B9"/>
    <w:rsid w:val="00A560CD"/>
    <w:rsid w:val="00A56215"/>
    <w:rsid w:val="00A56218"/>
    <w:rsid w:val="00A563AA"/>
    <w:rsid w:val="00A565B1"/>
    <w:rsid w:val="00A565C1"/>
    <w:rsid w:val="00A56758"/>
    <w:rsid w:val="00A56771"/>
    <w:rsid w:val="00A567B1"/>
    <w:rsid w:val="00A567C6"/>
    <w:rsid w:val="00A569BC"/>
    <w:rsid w:val="00A569DD"/>
    <w:rsid w:val="00A569E8"/>
    <w:rsid w:val="00A56A12"/>
    <w:rsid w:val="00A56A20"/>
    <w:rsid w:val="00A56A7B"/>
    <w:rsid w:val="00A56B32"/>
    <w:rsid w:val="00A56B36"/>
    <w:rsid w:val="00A56BC0"/>
    <w:rsid w:val="00A56C16"/>
    <w:rsid w:val="00A56C2E"/>
    <w:rsid w:val="00A56C5C"/>
    <w:rsid w:val="00A56C81"/>
    <w:rsid w:val="00A56CB8"/>
    <w:rsid w:val="00A56CC5"/>
    <w:rsid w:val="00A56D0C"/>
    <w:rsid w:val="00A56D45"/>
    <w:rsid w:val="00A56E02"/>
    <w:rsid w:val="00A56F74"/>
    <w:rsid w:val="00A56FB7"/>
    <w:rsid w:val="00A57036"/>
    <w:rsid w:val="00A570B3"/>
    <w:rsid w:val="00A570E7"/>
    <w:rsid w:val="00A57116"/>
    <w:rsid w:val="00A5723D"/>
    <w:rsid w:val="00A5744C"/>
    <w:rsid w:val="00A574F9"/>
    <w:rsid w:val="00A57644"/>
    <w:rsid w:val="00A57712"/>
    <w:rsid w:val="00A57717"/>
    <w:rsid w:val="00A577C8"/>
    <w:rsid w:val="00A577CF"/>
    <w:rsid w:val="00A578B8"/>
    <w:rsid w:val="00A5794A"/>
    <w:rsid w:val="00A579CF"/>
    <w:rsid w:val="00A57B04"/>
    <w:rsid w:val="00A57BB6"/>
    <w:rsid w:val="00A57C3A"/>
    <w:rsid w:val="00A57C47"/>
    <w:rsid w:val="00A57E57"/>
    <w:rsid w:val="00A57E70"/>
    <w:rsid w:val="00A57F8D"/>
    <w:rsid w:val="00A57FC3"/>
    <w:rsid w:val="00A57FF3"/>
    <w:rsid w:val="00A57FF7"/>
    <w:rsid w:val="00A6009F"/>
    <w:rsid w:val="00A60228"/>
    <w:rsid w:val="00A60287"/>
    <w:rsid w:val="00A6041B"/>
    <w:rsid w:val="00A604AB"/>
    <w:rsid w:val="00A60551"/>
    <w:rsid w:val="00A60592"/>
    <w:rsid w:val="00A6061D"/>
    <w:rsid w:val="00A606D9"/>
    <w:rsid w:val="00A606DB"/>
    <w:rsid w:val="00A6071D"/>
    <w:rsid w:val="00A60824"/>
    <w:rsid w:val="00A608BB"/>
    <w:rsid w:val="00A60960"/>
    <w:rsid w:val="00A6098E"/>
    <w:rsid w:val="00A60A70"/>
    <w:rsid w:val="00A60A95"/>
    <w:rsid w:val="00A60AD7"/>
    <w:rsid w:val="00A60B31"/>
    <w:rsid w:val="00A60CB6"/>
    <w:rsid w:val="00A60DCD"/>
    <w:rsid w:val="00A60EA7"/>
    <w:rsid w:val="00A60EFB"/>
    <w:rsid w:val="00A60F47"/>
    <w:rsid w:val="00A60FB2"/>
    <w:rsid w:val="00A61054"/>
    <w:rsid w:val="00A61120"/>
    <w:rsid w:val="00A61244"/>
    <w:rsid w:val="00A61263"/>
    <w:rsid w:val="00A612F2"/>
    <w:rsid w:val="00A61344"/>
    <w:rsid w:val="00A61390"/>
    <w:rsid w:val="00A61441"/>
    <w:rsid w:val="00A614DA"/>
    <w:rsid w:val="00A6155A"/>
    <w:rsid w:val="00A61576"/>
    <w:rsid w:val="00A615F4"/>
    <w:rsid w:val="00A61768"/>
    <w:rsid w:val="00A61790"/>
    <w:rsid w:val="00A617A1"/>
    <w:rsid w:val="00A61840"/>
    <w:rsid w:val="00A61860"/>
    <w:rsid w:val="00A618EA"/>
    <w:rsid w:val="00A61A7B"/>
    <w:rsid w:val="00A61AAC"/>
    <w:rsid w:val="00A61B5C"/>
    <w:rsid w:val="00A61BCB"/>
    <w:rsid w:val="00A61BDC"/>
    <w:rsid w:val="00A61EB7"/>
    <w:rsid w:val="00A61FAC"/>
    <w:rsid w:val="00A6210F"/>
    <w:rsid w:val="00A62226"/>
    <w:rsid w:val="00A6223D"/>
    <w:rsid w:val="00A623BE"/>
    <w:rsid w:val="00A6240A"/>
    <w:rsid w:val="00A62452"/>
    <w:rsid w:val="00A624B6"/>
    <w:rsid w:val="00A625FD"/>
    <w:rsid w:val="00A626AB"/>
    <w:rsid w:val="00A626BC"/>
    <w:rsid w:val="00A62766"/>
    <w:rsid w:val="00A628D9"/>
    <w:rsid w:val="00A62A44"/>
    <w:rsid w:val="00A62C5E"/>
    <w:rsid w:val="00A62C81"/>
    <w:rsid w:val="00A62D0A"/>
    <w:rsid w:val="00A62D0C"/>
    <w:rsid w:val="00A62D3E"/>
    <w:rsid w:val="00A62D68"/>
    <w:rsid w:val="00A62DC1"/>
    <w:rsid w:val="00A62DF0"/>
    <w:rsid w:val="00A62E38"/>
    <w:rsid w:val="00A62E55"/>
    <w:rsid w:val="00A62EED"/>
    <w:rsid w:val="00A62F66"/>
    <w:rsid w:val="00A63059"/>
    <w:rsid w:val="00A634E0"/>
    <w:rsid w:val="00A635A3"/>
    <w:rsid w:val="00A635E6"/>
    <w:rsid w:val="00A63675"/>
    <w:rsid w:val="00A639B2"/>
    <w:rsid w:val="00A63A71"/>
    <w:rsid w:val="00A63C90"/>
    <w:rsid w:val="00A63CFD"/>
    <w:rsid w:val="00A63D74"/>
    <w:rsid w:val="00A63DA7"/>
    <w:rsid w:val="00A63E46"/>
    <w:rsid w:val="00A63E94"/>
    <w:rsid w:val="00A63EBC"/>
    <w:rsid w:val="00A63F0F"/>
    <w:rsid w:val="00A63FE6"/>
    <w:rsid w:val="00A64063"/>
    <w:rsid w:val="00A640FF"/>
    <w:rsid w:val="00A64138"/>
    <w:rsid w:val="00A64366"/>
    <w:rsid w:val="00A643C0"/>
    <w:rsid w:val="00A6442C"/>
    <w:rsid w:val="00A644B2"/>
    <w:rsid w:val="00A644B5"/>
    <w:rsid w:val="00A644CF"/>
    <w:rsid w:val="00A64517"/>
    <w:rsid w:val="00A64535"/>
    <w:rsid w:val="00A64579"/>
    <w:rsid w:val="00A646A2"/>
    <w:rsid w:val="00A646FF"/>
    <w:rsid w:val="00A64749"/>
    <w:rsid w:val="00A64769"/>
    <w:rsid w:val="00A6476C"/>
    <w:rsid w:val="00A64892"/>
    <w:rsid w:val="00A6489F"/>
    <w:rsid w:val="00A64B91"/>
    <w:rsid w:val="00A64BA3"/>
    <w:rsid w:val="00A64C6E"/>
    <w:rsid w:val="00A64CB7"/>
    <w:rsid w:val="00A64D88"/>
    <w:rsid w:val="00A64E78"/>
    <w:rsid w:val="00A64EE2"/>
    <w:rsid w:val="00A64FA7"/>
    <w:rsid w:val="00A65000"/>
    <w:rsid w:val="00A651EA"/>
    <w:rsid w:val="00A651EF"/>
    <w:rsid w:val="00A65207"/>
    <w:rsid w:val="00A65228"/>
    <w:rsid w:val="00A652DB"/>
    <w:rsid w:val="00A65360"/>
    <w:rsid w:val="00A653AB"/>
    <w:rsid w:val="00A65426"/>
    <w:rsid w:val="00A6543D"/>
    <w:rsid w:val="00A6545A"/>
    <w:rsid w:val="00A6545E"/>
    <w:rsid w:val="00A655EC"/>
    <w:rsid w:val="00A656A6"/>
    <w:rsid w:val="00A656BE"/>
    <w:rsid w:val="00A65752"/>
    <w:rsid w:val="00A6587F"/>
    <w:rsid w:val="00A65881"/>
    <w:rsid w:val="00A658DC"/>
    <w:rsid w:val="00A65927"/>
    <w:rsid w:val="00A659D3"/>
    <w:rsid w:val="00A65A0E"/>
    <w:rsid w:val="00A65A58"/>
    <w:rsid w:val="00A65A88"/>
    <w:rsid w:val="00A65B41"/>
    <w:rsid w:val="00A65B7C"/>
    <w:rsid w:val="00A65BBE"/>
    <w:rsid w:val="00A65CA1"/>
    <w:rsid w:val="00A65DD4"/>
    <w:rsid w:val="00A65E5D"/>
    <w:rsid w:val="00A65EE8"/>
    <w:rsid w:val="00A65FC9"/>
    <w:rsid w:val="00A660D4"/>
    <w:rsid w:val="00A66126"/>
    <w:rsid w:val="00A66142"/>
    <w:rsid w:val="00A661A5"/>
    <w:rsid w:val="00A6620F"/>
    <w:rsid w:val="00A66238"/>
    <w:rsid w:val="00A6648A"/>
    <w:rsid w:val="00A6659D"/>
    <w:rsid w:val="00A66625"/>
    <w:rsid w:val="00A6664C"/>
    <w:rsid w:val="00A666DA"/>
    <w:rsid w:val="00A66846"/>
    <w:rsid w:val="00A668D4"/>
    <w:rsid w:val="00A66954"/>
    <w:rsid w:val="00A6699D"/>
    <w:rsid w:val="00A669A4"/>
    <w:rsid w:val="00A66B22"/>
    <w:rsid w:val="00A66B61"/>
    <w:rsid w:val="00A66B82"/>
    <w:rsid w:val="00A66BD3"/>
    <w:rsid w:val="00A66C58"/>
    <w:rsid w:val="00A66DEB"/>
    <w:rsid w:val="00A66E74"/>
    <w:rsid w:val="00A67006"/>
    <w:rsid w:val="00A6701A"/>
    <w:rsid w:val="00A670F3"/>
    <w:rsid w:val="00A67107"/>
    <w:rsid w:val="00A67127"/>
    <w:rsid w:val="00A6718E"/>
    <w:rsid w:val="00A6725E"/>
    <w:rsid w:val="00A6727D"/>
    <w:rsid w:val="00A6749D"/>
    <w:rsid w:val="00A674C2"/>
    <w:rsid w:val="00A67572"/>
    <w:rsid w:val="00A675CA"/>
    <w:rsid w:val="00A6774F"/>
    <w:rsid w:val="00A67796"/>
    <w:rsid w:val="00A67812"/>
    <w:rsid w:val="00A67861"/>
    <w:rsid w:val="00A6788B"/>
    <w:rsid w:val="00A678EC"/>
    <w:rsid w:val="00A67939"/>
    <w:rsid w:val="00A67A53"/>
    <w:rsid w:val="00A67A9E"/>
    <w:rsid w:val="00A67B9B"/>
    <w:rsid w:val="00A67C27"/>
    <w:rsid w:val="00A67C87"/>
    <w:rsid w:val="00A67D37"/>
    <w:rsid w:val="00A67D79"/>
    <w:rsid w:val="00A67E03"/>
    <w:rsid w:val="00A67EC1"/>
    <w:rsid w:val="00A67F17"/>
    <w:rsid w:val="00A67FCA"/>
    <w:rsid w:val="00A6EFB1"/>
    <w:rsid w:val="00A70037"/>
    <w:rsid w:val="00A70244"/>
    <w:rsid w:val="00A70647"/>
    <w:rsid w:val="00A7072D"/>
    <w:rsid w:val="00A70748"/>
    <w:rsid w:val="00A707AB"/>
    <w:rsid w:val="00A707CB"/>
    <w:rsid w:val="00A709BE"/>
    <w:rsid w:val="00A709E3"/>
    <w:rsid w:val="00A70C21"/>
    <w:rsid w:val="00A70C51"/>
    <w:rsid w:val="00A70C96"/>
    <w:rsid w:val="00A70D49"/>
    <w:rsid w:val="00A70F84"/>
    <w:rsid w:val="00A70FD8"/>
    <w:rsid w:val="00A7117B"/>
    <w:rsid w:val="00A71203"/>
    <w:rsid w:val="00A7122D"/>
    <w:rsid w:val="00A712B9"/>
    <w:rsid w:val="00A712C6"/>
    <w:rsid w:val="00A71391"/>
    <w:rsid w:val="00A714CD"/>
    <w:rsid w:val="00A714F0"/>
    <w:rsid w:val="00A715A4"/>
    <w:rsid w:val="00A715CD"/>
    <w:rsid w:val="00A71770"/>
    <w:rsid w:val="00A71773"/>
    <w:rsid w:val="00A718FF"/>
    <w:rsid w:val="00A71960"/>
    <w:rsid w:val="00A719F7"/>
    <w:rsid w:val="00A71ADB"/>
    <w:rsid w:val="00A71C4E"/>
    <w:rsid w:val="00A71E5F"/>
    <w:rsid w:val="00A71E72"/>
    <w:rsid w:val="00A71F30"/>
    <w:rsid w:val="00A71F5A"/>
    <w:rsid w:val="00A71F9F"/>
    <w:rsid w:val="00A7205A"/>
    <w:rsid w:val="00A72170"/>
    <w:rsid w:val="00A722BD"/>
    <w:rsid w:val="00A722DC"/>
    <w:rsid w:val="00A72307"/>
    <w:rsid w:val="00A72318"/>
    <w:rsid w:val="00A7235C"/>
    <w:rsid w:val="00A7239F"/>
    <w:rsid w:val="00A72708"/>
    <w:rsid w:val="00A727B5"/>
    <w:rsid w:val="00A7283F"/>
    <w:rsid w:val="00A728AD"/>
    <w:rsid w:val="00A728E8"/>
    <w:rsid w:val="00A72A1D"/>
    <w:rsid w:val="00A72AEE"/>
    <w:rsid w:val="00A72AF9"/>
    <w:rsid w:val="00A72B0E"/>
    <w:rsid w:val="00A72B20"/>
    <w:rsid w:val="00A72B71"/>
    <w:rsid w:val="00A72C49"/>
    <w:rsid w:val="00A72DA8"/>
    <w:rsid w:val="00A72E36"/>
    <w:rsid w:val="00A72E8E"/>
    <w:rsid w:val="00A72F65"/>
    <w:rsid w:val="00A72FBC"/>
    <w:rsid w:val="00A73017"/>
    <w:rsid w:val="00A73033"/>
    <w:rsid w:val="00A730C0"/>
    <w:rsid w:val="00A73131"/>
    <w:rsid w:val="00A7319B"/>
    <w:rsid w:val="00A731A0"/>
    <w:rsid w:val="00A731DC"/>
    <w:rsid w:val="00A7327E"/>
    <w:rsid w:val="00A73433"/>
    <w:rsid w:val="00A735FA"/>
    <w:rsid w:val="00A73742"/>
    <w:rsid w:val="00A7374E"/>
    <w:rsid w:val="00A7382E"/>
    <w:rsid w:val="00A738D9"/>
    <w:rsid w:val="00A738EE"/>
    <w:rsid w:val="00A73983"/>
    <w:rsid w:val="00A739CF"/>
    <w:rsid w:val="00A73A0A"/>
    <w:rsid w:val="00A73A41"/>
    <w:rsid w:val="00A73A73"/>
    <w:rsid w:val="00A73A8B"/>
    <w:rsid w:val="00A73AA8"/>
    <w:rsid w:val="00A73BAE"/>
    <w:rsid w:val="00A73ED3"/>
    <w:rsid w:val="00A73EFC"/>
    <w:rsid w:val="00A74025"/>
    <w:rsid w:val="00A7403F"/>
    <w:rsid w:val="00A741E3"/>
    <w:rsid w:val="00A74277"/>
    <w:rsid w:val="00A74379"/>
    <w:rsid w:val="00A744F3"/>
    <w:rsid w:val="00A7455A"/>
    <w:rsid w:val="00A74575"/>
    <w:rsid w:val="00A745AC"/>
    <w:rsid w:val="00A745F5"/>
    <w:rsid w:val="00A74678"/>
    <w:rsid w:val="00A746B3"/>
    <w:rsid w:val="00A749DF"/>
    <w:rsid w:val="00A74AEA"/>
    <w:rsid w:val="00A74B96"/>
    <w:rsid w:val="00A74BA2"/>
    <w:rsid w:val="00A74BB8"/>
    <w:rsid w:val="00A74CBF"/>
    <w:rsid w:val="00A74D0F"/>
    <w:rsid w:val="00A74DD2"/>
    <w:rsid w:val="00A74EAB"/>
    <w:rsid w:val="00A74F7B"/>
    <w:rsid w:val="00A74FCB"/>
    <w:rsid w:val="00A7504C"/>
    <w:rsid w:val="00A75084"/>
    <w:rsid w:val="00A750BD"/>
    <w:rsid w:val="00A751E1"/>
    <w:rsid w:val="00A75272"/>
    <w:rsid w:val="00A752C1"/>
    <w:rsid w:val="00A752F9"/>
    <w:rsid w:val="00A7538B"/>
    <w:rsid w:val="00A754FA"/>
    <w:rsid w:val="00A75507"/>
    <w:rsid w:val="00A75594"/>
    <w:rsid w:val="00A75597"/>
    <w:rsid w:val="00A756B1"/>
    <w:rsid w:val="00A75818"/>
    <w:rsid w:val="00A75838"/>
    <w:rsid w:val="00A7584D"/>
    <w:rsid w:val="00A758BE"/>
    <w:rsid w:val="00A758C2"/>
    <w:rsid w:val="00A759BB"/>
    <w:rsid w:val="00A759DC"/>
    <w:rsid w:val="00A75A27"/>
    <w:rsid w:val="00A75AB3"/>
    <w:rsid w:val="00A75AD8"/>
    <w:rsid w:val="00A75C04"/>
    <w:rsid w:val="00A75D0F"/>
    <w:rsid w:val="00A75D2F"/>
    <w:rsid w:val="00A75D4D"/>
    <w:rsid w:val="00A75E58"/>
    <w:rsid w:val="00A75E8F"/>
    <w:rsid w:val="00A75EA0"/>
    <w:rsid w:val="00A75ECB"/>
    <w:rsid w:val="00A75F60"/>
    <w:rsid w:val="00A76014"/>
    <w:rsid w:val="00A76021"/>
    <w:rsid w:val="00A761C4"/>
    <w:rsid w:val="00A76221"/>
    <w:rsid w:val="00A76254"/>
    <w:rsid w:val="00A762F4"/>
    <w:rsid w:val="00A76389"/>
    <w:rsid w:val="00A76435"/>
    <w:rsid w:val="00A7644E"/>
    <w:rsid w:val="00A7647C"/>
    <w:rsid w:val="00A764AB"/>
    <w:rsid w:val="00A764C2"/>
    <w:rsid w:val="00A764EC"/>
    <w:rsid w:val="00A76627"/>
    <w:rsid w:val="00A76653"/>
    <w:rsid w:val="00A7668A"/>
    <w:rsid w:val="00A766AF"/>
    <w:rsid w:val="00A766FB"/>
    <w:rsid w:val="00A76753"/>
    <w:rsid w:val="00A76764"/>
    <w:rsid w:val="00A76998"/>
    <w:rsid w:val="00A76A4A"/>
    <w:rsid w:val="00A76B0E"/>
    <w:rsid w:val="00A76B5E"/>
    <w:rsid w:val="00A76C56"/>
    <w:rsid w:val="00A76C83"/>
    <w:rsid w:val="00A76C93"/>
    <w:rsid w:val="00A76CC3"/>
    <w:rsid w:val="00A76CC7"/>
    <w:rsid w:val="00A76D40"/>
    <w:rsid w:val="00A76DDF"/>
    <w:rsid w:val="00A76DE1"/>
    <w:rsid w:val="00A77053"/>
    <w:rsid w:val="00A770CA"/>
    <w:rsid w:val="00A770DA"/>
    <w:rsid w:val="00A7711B"/>
    <w:rsid w:val="00A771D2"/>
    <w:rsid w:val="00A77252"/>
    <w:rsid w:val="00A772B3"/>
    <w:rsid w:val="00A772EE"/>
    <w:rsid w:val="00A7733D"/>
    <w:rsid w:val="00A7735F"/>
    <w:rsid w:val="00A7752A"/>
    <w:rsid w:val="00A77614"/>
    <w:rsid w:val="00A77634"/>
    <w:rsid w:val="00A7768D"/>
    <w:rsid w:val="00A777F8"/>
    <w:rsid w:val="00A77954"/>
    <w:rsid w:val="00A7796C"/>
    <w:rsid w:val="00A77990"/>
    <w:rsid w:val="00A77A00"/>
    <w:rsid w:val="00A77B44"/>
    <w:rsid w:val="00A77C17"/>
    <w:rsid w:val="00A77CA7"/>
    <w:rsid w:val="00A77D7B"/>
    <w:rsid w:val="00A77FCF"/>
    <w:rsid w:val="00A80028"/>
    <w:rsid w:val="00A8003F"/>
    <w:rsid w:val="00A80081"/>
    <w:rsid w:val="00A8014F"/>
    <w:rsid w:val="00A8019E"/>
    <w:rsid w:val="00A80219"/>
    <w:rsid w:val="00A8034F"/>
    <w:rsid w:val="00A80376"/>
    <w:rsid w:val="00A803A0"/>
    <w:rsid w:val="00A803DF"/>
    <w:rsid w:val="00A8044C"/>
    <w:rsid w:val="00A804F5"/>
    <w:rsid w:val="00A804FA"/>
    <w:rsid w:val="00A80511"/>
    <w:rsid w:val="00A80514"/>
    <w:rsid w:val="00A8052D"/>
    <w:rsid w:val="00A8064A"/>
    <w:rsid w:val="00A80653"/>
    <w:rsid w:val="00A806D6"/>
    <w:rsid w:val="00A806EB"/>
    <w:rsid w:val="00A806F9"/>
    <w:rsid w:val="00A8075E"/>
    <w:rsid w:val="00A8076C"/>
    <w:rsid w:val="00A807D4"/>
    <w:rsid w:val="00A80937"/>
    <w:rsid w:val="00A809E6"/>
    <w:rsid w:val="00A80A86"/>
    <w:rsid w:val="00A80BAE"/>
    <w:rsid w:val="00A80BB7"/>
    <w:rsid w:val="00A80C2A"/>
    <w:rsid w:val="00A80C50"/>
    <w:rsid w:val="00A80C6B"/>
    <w:rsid w:val="00A80CB1"/>
    <w:rsid w:val="00A80E83"/>
    <w:rsid w:val="00A80EA2"/>
    <w:rsid w:val="00A8108E"/>
    <w:rsid w:val="00A810A0"/>
    <w:rsid w:val="00A81168"/>
    <w:rsid w:val="00A81172"/>
    <w:rsid w:val="00A8118D"/>
    <w:rsid w:val="00A811A7"/>
    <w:rsid w:val="00A81250"/>
    <w:rsid w:val="00A81264"/>
    <w:rsid w:val="00A81275"/>
    <w:rsid w:val="00A8135A"/>
    <w:rsid w:val="00A8139E"/>
    <w:rsid w:val="00A8140C"/>
    <w:rsid w:val="00A81411"/>
    <w:rsid w:val="00A81472"/>
    <w:rsid w:val="00A81526"/>
    <w:rsid w:val="00A81561"/>
    <w:rsid w:val="00A81703"/>
    <w:rsid w:val="00A81733"/>
    <w:rsid w:val="00A81780"/>
    <w:rsid w:val="00A817DE"/>
    <w:rsid w:val="00A817E1"/>
    <w:rsid w:val="00A81934"/>
    <w:rsid w:val="00A81B9E"/>
    <w:rsid w:val="00A81BFA"/>
    <w:rsid w:val="00A81CCC"/>
    <w:rsid w:val="00A81CD7"/>
    <w:rsid w:val="00A81CDB"/>
    <w:rsid w:val="00A81CE5"/>
    <w:rsid w:val="00A81DBA"/>
    <w:rsid w:val="00A81E67"/>
    <w:rsid w:val="00A81E8D"/>
    <w:rsid w:val="00A81FB0"/>
    <w:rsid w:val="00A81FD6"/>
    <w:rsid w:val="00A8205A"/>
    <w:rsid w:val="00A8205B"/>
    <w:rsid w:val="00A82135"/>
    <w:rsid w:val="00A82143"/>
    <w:rsid w:val="00A8217B"/>
    <w:rsid w:val="00A82236"/>
    <w:rsid w:val="00A822BD"/>
    <w:rsid w:val="00A822DB"/>
    <w:rsid w:val="00A82415"/>
    <w:rsid w:val="00A8245F"/>
    <w:rsid w:val="00A824B2"/>
    <w:rsid w:val="00A825F4"/>
    <w:rsid w:val="00A82673"/>
    <w:rsid w:val="00A82687"/>
    <w:rsid w:val="00A826BD"/>
    <w:rsid w:val="00A82845"/>
    <w:rsid w:val="00A82849"/>
    <w:rsid w:val="00A82909"/>
    <w:rsid w:val="00A82930"/>
    <w:rsid w:val="00A82969"/>
    <w:rsid w:val="00A82A4C"/>
    <w:rsid w:val="00A82A8C"/>
    <w:rsid w:val="00A82E07"/>
    <w:rsid w:val="00A82E36"/>
    <w:rsid w:val="00A8303E"/>
    <w:rsid w:val="00A830A8"/>
    <w:rsid w:val="00A830B7"/>
    <w:rsid w:val="00A830E4"/>
    <w:rsid w:val="00A83149"/>
    <w:rsid w:val="00A831AC"/>
    <w:rsid w:val="00A831CD"/>
    <w:rsid w:val="00A83277"/>
    <w:rsid w:val="00A83352"/>
    <w:rsid w:val="00A833D5"/>
    <w:rsid w:val="00A8342D"/>
    <w:rsid w:val="00A83478"/>
    <w:rsid w:val="00A83533"/>
    <w:rsid w:val="00A83555"/>
    <w:rsid w:val="00A8356D"/>
    <w:rsid w:val="00A8358C"/>
    <w:rsid w:val="00A83644"/>
    <w:rsid w:val="00A837C0"/>
    <w:rsid w:val="00A837EA"/>
    <w:rsid w:val="00A838EF"/>
    <w:rsid w:val="00A83935"/>
    <w:rsid w:val="00A83974"/>
    <w:rsid w:val="00A83997"/>
    <w:rsid w:val="00A83A6E"/>
    <w:rsid w:val="00A83B12"/>
    <w:rsid w:val="00A83B9A"/>
    <w:rsid w:val="00A83BB1"/>
    <w:rsid w:val="00A83CC6"/>
    <w:rsid w:val="00A83D18"/>
    <w:rsid w:val="00A83D37"/>
    <w:rsid w:val="00A83D57"/>
    <w:rsid w:val="00A83E16"/>
    <w:rsid w:val="00A83F4E"/>
    <w:rsid w:val="00A83FA1"/>
    <w:rsid w:val="00A83FFD"/>
    <w:rsid w:val="00A84008"/>
    <w:rsid w:val="00A84124"/>
    <w:rsid w:val="00A8418C"/>
    <w:rsid w:val="00A84272"/>
    <w:rsid w:val="00A8430D"/>
    <w:rsid w:val="00A84384"/>
    <w:rsid w:val="00A84388"/>
    <w:rsid w:val="00A84550"/>
    <w:rsid w:val="00A845AE"/>
    <w:rsid w:val="00A845C6"/>
    <w:rsid w:val="00A8468D"/>
    <w:rsid w:val="00A8469D"/>
    <w:rsid w:val="00A848A6"/>
    <w:rsid w:val="00A848C2"/>
    <w:rsid w:val="00A8491D"/>
    <w:rsid w:val="00A84948"/>
    <w:rsid w:val="00A84972"/>
    <w:rsid w:val="00A849A1"/>
    <w:rsid w:val="00A849B3"/>
    <w:rsid w:val="00A84A1F"/>
    <w:rsid w:val="00A84A75"/>
    <w:rsid w:val="00A84A89"/>
    <w:rsid w:val="00A84B29"/>
    <w:rsid w:val="00A84B4E"/>
    <w:rsid w:val="00A84B5D"/>
    <w:rsid w:val="00A84CBE"/>
    <w:rsid w:val="00A84E3F"/>
    <w:rsid w:val="00A84E64"/>
    <w:rsid w:val="00A84EA7"/>
    <w:rsid w:val="00A84EAD"/>
    <w:rsid w:val="00A84EE0"/>
    <w:rsid w:val="00A84F4A"/>
    <w:rsid w:val="00A84F51"/>
    <w:rsid w:val="00A84F94"/>
    <w:rsid w:val="00A84FE6"/>
    <w:rsid w:val="00A8500C"/>
    <w:rsid w:val="00A85031"/>
    <w:rsid w:val="00A8503E"/>
    <w:rsid w:val="00A8518C"/>
    <w:rsid w:val="00A851B4"/>
    <w:rsid w:val="00A851EB"/>
    <w:rsid w:val="00A851EE"/>
    <w:rsid w:val="00A851FE"/>
    <w:rsid w:val="00A852F8"/>
    <w:rsid w:val="00A855C8"/>
    <w:rsid w:val="00A8563E"/>
    <w:rsid w:val="00A856D2"/>
    <w:rsid w:val="00A859E9"/>
    <w:rsid w:val="00A85ADB"/>
    <w:rsid w:val="00A85B42"/>
    <w:rsid w:val="00A85D9D"/>
    <w:rsid w:val="00A85E41"/>
    <w:rsid w:val="00A85EAF"/>
    <w:rsid w:val="00A85F28"/>
    <w:rsid w:val="00A85F54"/>
    <w:rsid w:val="00A8608E"/>
    <w:rsid w:val="00A8615C"/>
    <w:rsid w:val="00A86304"/>
    <w:rsid w:val="00A8633A"/>
    <w:rsid w:val="00A86441"/>
    <w:rsid w:val="00A86616"/>
    <w:rsid w:val="00A8664B"/>
    <w:rsid w:val="00A8673E"/>
    <w:rsid w:val="00A86764"/>
    <w:rsid w:val="00A867AC"/>
    <w:rsid w:val="00A867B2"/>
    <w:rsid w:val="00A867B4"/>
    <w:rsid w:val="00A8696F"/>
    <w:rsid w:val="00A8699E"/>
    <w:rsid w:val="00A86A46"/>
    <w:rsid w:val="00A86B4E"/>
    <w:rsid w:val="00A86B4F"/>
    <w:rsid w:val="00A86B56"/>
    <w:rsid w:val="00A86C13"/>
    <w:rsid w:val="00A86C66"/>
    <w:rsid w:val="00A86D16"/>
    <w:rsid w:val="00A86D1E"/>
    <w:rsid w:val="00A86D52"/>
    <w:rsid w:val="00A86EE9"/>
    <w:rsid w:val="00A86FE0"/>
    <w:rsid w:val="00A87082"/>
    <w:rsid w:val="00A870CD"/>
    <w:rsid w:val="00A870D4"/>
    <w:rsid w:val="00A871DA"/>
    <w:rsid w:val="00A87274"/>
    <w:rsid w:val="00A872DF"/>
    <w:rsid w:val="00A872E5"/>
    <w:rsid w:val="00A873A2"/>
    <w:rsid w:val="00A873A6"/>
    <w:rsid w:val="00A873F0"/>
    <w:rsid w:val="00A8744E"/>
    <w:rsid w:val="00A8751A"/>
    <w:rsid w:val="00A875EE"/>
    <w:rsid w:val="00A87625"/>
    <w:rsid w:val="00A8765A"/>
    <w:rsid w:val="00A877A9"/>
    <w:rsid w:val="00A877D0"/>
    <w:rsid w:val="00A877E6"/>
    <w:rsid w:val="00A877F8"/>
    <w:rsid w:val="00A87893"/>
    <w:rsid w:val="00A878CC"/>
    <w:rsid w:val="00A878FC"/>
    <w:rsid w:val="00A87987"/>
    <w:rsid w:val="00A879C7"/>
    <w:rsid w:val="00A879E1"/>
    <w:rsid w:val="00A87A1D"/>
    <w:rsid w:val="00A87A4B"/>
    <w:rsid w:val="00A87A9F"/>
    <w:rsid w:val="00A87C49"/>
    <w:rsid w:val="00A87C61"/>
    <w:rsid w:val="00A87D06"/>
    <w:rsid w:val="00A87E09"/>
    <w:rsid w:val="00A87E2C"/>
    <w:rsid w:val="00A87E6A"/>
    <w:rsid w:val="00A87ECA"/>
    <w:rsid w:val="00A87F39"/>
    <w:rsid w:val="00A87FAB"/>
    <w:rsid w:val="00A90081"/>
    <w:rsid w:val="00A900DA"/>
    <w:rsid w:val="00A90191"/>
    <w:rsid w:val="00A901AD"/>
    <w:rsid w:val="00A901D7"/>
    <w:rsid w:val="00A902CF"/>
    <w:rsid w:val="00A903C2"/>
    <w:rsid w:val="00A903C5"/>
    <w:rsid w:val="00A90428"/>
    <w:rsid w:val="00A904C7"/>
    <w:rsid w:val="00A9053F"/>
    <w:rsid w:val="00A905C9"/>
    <w:rsid w:val="00A90612"/>
    <w:rsid w:val="00A9065D"/>
    <w:rsid w:val="00A906CE"/>
    <w:rsid w:val="00A907A5"/>
    <w:rsid w:val="00A907C3"/>
    <w:rsid w:val="00A9092C"/>
    <w:rsid w:val="00A909A6"/>
    <w:rsid w:val="00A909F7"/>
    <w:rsid w:val="00A90A7C"/>
    <w:rsid w:val="00A90B21"/>
    <w:rsid w:val="00A90B3A"/>
    <w:rsid w:val="00A90CE6"/>
    <w:rsid w:val="00A90D3B"/>
    <w:rsid w:val="00A90DA0"/>
    <w:rsid w:val="00A91065"/>
    <w:rsid w:val="00A910FC"/>
    <w:rsid w:val="00A91103"/>
    <w:rsid w:val="00A91108"/>
    <w:rsid w:val="00A9117D"/>
    <w:rsid w:val="00A911D6"/>
    <w:rsid w:val="00A91328"/>
    <w:rsid w:val="00A9134A"/>
    <w:rsid w:val="00A913C6"/>
    <w:rsid w:val="00A913EA"/>
    <w:rsid w:val="00A91435"/>
    <w:rsid w:val="00A914DD"/>
    <w:rsid w:val="00A9164E"/>
    <w:rsid w:val="00A916A1"/>
    <w:rsid w:val="00A917BE"/>
    <w:rsid w:val="00A917E2"/>
    <w:rsid w:val="00A91826"/>
    <w:rsid w:val="00A918A6"/>
    <w:rsid w:val="00A918C8"/>
    <w:rsid w:val="00A91A79"/>
    <w:rsid w:val="00A91B67"/>
    <w:rsid w:val="00A91C1F"/>
    <w:rsid w:val="00A91CBB"/>
    <w:rsid w:val="00A91D02"/>
    <w:rsid w:val="00A91D07"/>
    <w:rsid w:val="00A91EB3"/>
    <w:rsid w:val="00A92040"/>
    <w:rsid w:val="00A920A7"/>
    <w:rsid w:val="00A9213B"/>
    <w:rsid w:val="00A9245F"/>
    <w:rsid w:val="00A92464"/>
    <w:rsid w:val="00A92481"/>
    <w:rsid w:val="00A92553"/>
    <w:rsid w:val="00A925D7"/>
    <w:rsid w:val="00A92607"/>
    <w:rsid w:val="00A92697"/>
    <w:rsid w:val="00A92716"/>
    <w:rsid w:val="00A92766"/>
    <w:rsid w:val="00A92799"/>
    <w:rsid w:val="00A92867"/>
    <w:rsid w:val="00A9286C"/>
    <w:rsid w:val="00A92875"/>
    <w:rsid w:val="00A928FF"/>
    <w:rsid w:val="00A9290F"/>
    <w:rsid w:val="00A9291B"/>
    <w:rsid w:val="00A92A7B"/>
    <w:rsid w:val="00A92B8F"/>
    <w:rsid w:val="00A92CB7"/>
    <w:rsid w:val="00A92DED"/>
    <w:rsid w:val="00A92E0E"/>
    <w:rsid w:val="00A93032"/>
    <w:rsid w:val="00A93054"/>
    <w:rsid w:val="00A9309C"/>
    <w:rsid w:val="00A930D6"/>
    <w:rsid w:val="00A930EC"/>
    <w:rsid w:val="00A931EB"/>
    <w:rsid w:val="00A9344A"/>
    <w:rsid w:val="00A9350B"/>
    <w:rsid w:val="00A93545"/>
    <w:rsid w:val="00A9355A"/>
    <w:rsid w:val="00A93676"/>
    <w:rsid w:val="00A93695"/>
    <w:rsid w:val="00A937E3"/>
    <w:rsid w:val="00A93801"/>
    <w:rsid w:val="00A938BF"/>
    <w:rsid w:val="00A93930"/>
    <w:rsid w:val="00A93A94"/>
    <w:rsid w:val="00A93B0C"/>
    <w:rsid w:val="00A93B53"/>
    <w:rsid w:val="00A93B86"/>
    <w:rsid w:val="00A93DD6"/>
    <w:rsid w:val="00A93DDD"/>
    <w:rsid w:val="00A93E28"/>
    <w:rsid w:val="00A93E76"/>
    <w:rsid w:val="00A93E89"/>
    <w:rsid w:val="00A93E8E"/>
    <w:rsid w:val="00A93EDA"/>
    <w:rsid w:val="00A93F16"/>
    <w:rsid w:val="00A93F6B"/>
    <w:rsid w:val="00A94062"/>
    <w:rsid w:val="00A940BE"/>
    <w:rsid w:val="00A940FE"/>
    <w:rsid w:val="00A941B4"/>
    <w:rsid w:val="00A941B5"/>
    <w:rsid w:val="00A941ED"/>
    <w:rsid w:val="00A9420B"/>
    <w:rsid w:val="00A94279"/>
    <w:rsid w:val="00A9429D"/>
    <w:rsid w:val="00A9438D"/>
    <w:rsid w:val="00A943B9"/>
    <w:rsid w:val="00A9456E"/>
    <w:rsid w:val="00A946DE"/>
    <w:rsid w:val="00A9487C"/>
    <w:rsid w:val="00A94AA4"/>
    <w:rsid w:val="00A94ADF"/>
    <w:rsid w:val="00A94AE9"/>
    <w:rsid w:val="00A94B40"/>
    <w:rsid w:val="00A94C7A"/>
    <w:rsid w:val="00A94CF2"/>
    <w:rsid w:val="00A94DC5"/>
    <w:rsid w:val="00A94DCE"/>
    <w:rsid w:val="00A94EA4"/>
    <w:rsid w:val="00A94EF3"/>
    <w:rsid w:val="00A94F1E"/>
    <w:rsid w:val="00A94F84"/>
    <w:rsid w:val="00A9508B"/>
    <w:rsid w:val="00A950CE"/>
    <w:rsid w:val="00A950D8"/>
    <w:rsid w:val="00A950F1"/>
    <w:rsid w:val="00A9513E"/>
    <w:rsid w:val="00A95143"/>
    <w:rsid w:val="00A951D1"/>
    <w:rsid w:val="00A952C7"/>
    <w:rsid w:val="00A95341"/>
    <w:rsid w:val="00A9544F"/>
    <w:rsid w:val="00A95497"/>
    <w:rsid w:val="00A9551E"/>
    <w:rsid w:val="00A9557C"/>
    <w:rsid w:val="00A955B5"/>
    <w:rsid w:val="00A955CF"/>
    <w:rsid w:val="00A955EC"/>
    <w:rsid w:val="00A956F6"/>
    <w:rsid w:val="00A95719"/>
    <w:rsid w:val="00A9583B"/>
    <w:rsid w:val="00A958EC"/>
    <w:rsid w:val="00A959F9"/>
    <w:rsid w:val="00A95A2A"/>
    <w:rsid w:val="00A95A45"/>
    <w:rsid w:val="00A95C38"/>
    <w:rsid w:val="00A95D96"/>
    <w:rsid w:val="00A95DE5"/>
    <w:rsid w:val="00A95DF4"/>
    <w:rsid w:val="00A95E11"/>
    <w:rsid w:val="00A9600B"/>
    <w:rsid w:val="00A96035"/>
    <w:rsid w:val="00A9605B"/>
    <w:rsid w:val="00A960DF"/>
    <w:rsid w:val="00A96174"/>
    <w:rsid w:val="00A961AD"/>
    <w:rsid w:val="00A96240"/>
    <w:rsid w:val="00A962A2"/>
    <w:rsid w:val="00A962BC"/>
    <w:rsid w:val="00A96366"/>
    <w:rsid w:val="00A9639D"/>
    <w:rsid w:val="00A96402"/>
    <w:rsid w:val="00A9646B"/>
    <w:rsid w:val="00A96529"/>
    <w:rsid w:val="00A96604"/>
    <w:rsid w:val="00A966FB"/>
    <w:rsid w:val="00A96709"/>
    <w:rsid w:val="00A96796"/>
    <w:rsid w:val="00A967B0"/>
    <w:rsid w:val="00A9680B"/>
    <w:rsid w:val="00A96885"/>
    <w:rsid w:val="00A968DF"/>
    <w:rsid w:val="00A968F3"/>
    <w:rsid w:val="00A9693D"/>
    <w:rsid w:val="00A96AA9"/>
    <w:rsid w:val="00A96B03"/>
    <w:rsid w:val="00A96B5C"/>
    <w:rsid w:val="00A96BA8"/>
    <w:rsid w:val="00A96BEC"/>
    <w:rsid w:val="00A96BF3"/>
    <w:rsid w:val="00A96D03"/>
    <w:rsid w:val="00A96D6D"/>
    <w:rsid w:val="00A96EA3"/>
    <w:rsid w:val="00A96EF7"/>
    <w:rsid w:val="00A96F40"/>
    <w:rsid w:val="00A97011"/>
    <w:rsid w:val="00A97047"/>
    <w:rsid w:val="00A971DF"/>
    <w:rsid w:val="00A9725B"/>
    <w:rsid w:val="00A972EB"/>
    <w:rsid w:val="00A97377"/>
    <w:rsid w:val="00A97391"/>
    <w:rsid w:val="00A973A2"/>
    <w:rsid w:val="00A9751A"/>
    <w:rsid w:val="00A97709"/>
    <w:rsid w:val="00A97762"/>
    <w:rsid w:val="00A97767"/>
    <w:rsid w:val="00A977D9"/>
    <w:rsid w:val="00A97804"/>
    <w:rsid w:val="00A9788E"/>
    <w:rsid w:val="00A978A8"/>
    <w:rsid w:val="00A97AE7"/>
    <w:rsid w:val="00A97B0E"/>
    <w:rsid w:val="00A97B2C"/>
    <w:rsid w:val="00A97CB6"/>
    <w:rsid w:val="00A97CD3"/>
    <w:rsid w:val="00A97D77"/>
    <w:rsid w:val="00A97D98"/>
    <w:rsid w:val="00A97DE6"/>
    <w:rsid w:val="00A97E2D"/>
    <w:rsid w:val="00A97E50"/>
    <w:rsid w:val="00A97EE5"/>
    <w:rsid w:val="00A97EF5"/>
    <w:rsid w:val="00A97EFD"/>
    <w:rsid w:val="00A97F03"/>
    <w:rsid w:val="00A97FBD"/>
    <w:rsid w:val="00A9B6FD"/>
    <w:rsid w:val="00AA0075"/>
    <w:rsid w:val="00AA0083"/>
    <w:rsid w:val="00AA0108"/>
    <w:rsid w:val="00AA0129"/>
    <w:rsid w:val="00AA0162"/>
    <w:rsid w:val="00AA01DA"/>
    <w:rsid w:val="00AA0264"/>
    <w:rsid w:val="00AA0311"/>
    <w:rsid w:val="00AA0593"/>
    <w:rsid w:val="00AA05D2"/>
    <w:rsid w:val="00AA075F"/>
    <w:rsid w:val="00AA079E"/>
    <w:rsid w:val="00AA085C"/>
    <w:rsid w:val="00AA08C3"/>
    <w:rsid w:val="00AA09B4"/>
    <w:rsid w:val="00AA09F2"/>
    <w:rsid w:val="00AA0A56"/>
    <w:rsid w:val="00AA0AA0"/>
    <w:rsid w:val="00AA0D1F"/>
    <w:rsid w:val="00AA0D2D"/>
    <w:rsid w:val="00AA0D4A"/>
    <w:rsid w:val="00AA0DC3"/>
    <w:rsid w:val="00AA0DE2"/>
    <w:rsid w:val="00AA1073"/>
    <w:rsid w:val="00AA1081"/>
    <w:rsid w:val="00AA1095"/>
    <w:rsid w:val="00AA111B"/>
    <w:rsid w:val="00AA1245"/>
    <w:rsid w:val="00AA12A7"/>
    <w:rsid w:val="00AA134A"/>
    <w:rsid w:val="00AA1470"/>
    <w:rsid w:val="00AA148B"/>
    <w:rsid w:val="00AA163E"/>
    <w:rsid w:val="00AA1649"/>
    <w:rsid w:val="00AA17C1"/>
    <w:rsid w:val="00AA1820"/>
    <w:rsid w:val="00AA19DA"/>
    <w:rsid w:val="00AA1B1C"/>
    <w:rsid w:val="00AA1B64"/>
    <w:rsid w:val="00AA1C93"/>
    <w:rsid w:val="00AA1D26"/>
    <w:rsid w:val="00AA1D98"/>
    <w:rsid w:val="00AA1E31"/>
    <w:rsid w:val="00AA1E47"/>
    <w:rsid w:val="00AA1FA0"/>
    <w:rsid w:val="00AA2010"/>
    <w:rsid w:val="00AA206A"/>
    <w:rsid w:val="00AA2277"/>
    <w:rsid w:val="00AA233D"/>
    <w:rsid w:val="00AA236B"/>
    <w:rsid w:val="00AA24CE"/>
    <w:rsid w:val="00AA24FB"/>
    <w:rsid w:val="00AA2555"/>
    <w:rsid w:val="00AA25F1"/>
    <w:rsid w:val="00AA2648"/>
    <w:rsid w:val="00AA2661"/>
    <w:rsid w:val="00AA2682"/>
    <w:rsid w:val="00AA2693"/>
    <w:rsid w:val="00AA2754"/>
    <w:rsid w:val="00AA2872"/>
    <w:rsid w:val="00AA287D"/>
    <w:rsid w:val="00AA28A8"/>
    <w:rsid w:val="00AA291E"/>
    <w:rsid w:val="00AA29AC"/>
    <w:rsid w:val="00AA2A12"/>
    <w:rsid w:val="00AA2A33"/>
    <w:rsid w:val="00AA2A4B"/>
    <w:rsid w:val="00AA2A76"/>
    <w:rsid w:val="00AA2B5F"/>
    <w:rsid w:val="00AA2BC0"/>
    <w:rsid w:val="00AA2CC1"/>
    <w:rsid w:val="00AA2D97"/>
    <w:rsid w:val="00AA2DC6"/>
    <w:rsid w:val="00AA2E00"/>
    <w:rsid w:val="00AA2E65"/>
    <w:rsid w:val="00AA2EE2"/>
    <w:rsid w:val="00AA2F4E"/>
    <w:rsid w:val="00AA2FCC"/>
    <w:rsid w:val="00AA317F"/>
    <w:rsid w:val="00AA3507"/>
    <w:rsid w:val="00AA3515"/>
    <w:rsid w:val="00AA3648"/>
    <w:rsid w:val="00AA3662"/>
    <w:rsid w:val="00AA36C7"/>
    <w:rsid w:val="00AA371B"/>
    <w:rsid w:val="00AA3939"/>
    <w:rsid w:val="00AA39EA"/>
    <w:rsid w:val="00AA3AFA"/>
    <w:rsid w:val="00AA3B67"/>
    <w:rsid w:val="00AA3BDF"/>
    <w:rsid w:val="00AA3D5B"/>
    <w:rsid w:val="00AA3D69"/>
    <w:rsid w:val="00AA3D9E"/>
    <w:rsid w:val="00AA3DA2"/>
    <w:rsid w:val="00AA3E60"/>
    <w:rsid w:val="00AA3F23"/>
    <w:rsid w:val="00AA3F24"/>
    <w:rsid w:val="00AA3F25"/>
    <w:rsid w:val="00AA3F50"/>
    <w:rsid w:val="00AA3F6C"/>
    <w:rsid w:val="00AA3FCA"/>
    <w:rsid w:val="00AA3FDE"/>
    <w:rsid w:val="00AA3FFC"/>
    <w:rsid w:val="00AA402E"/>
    <w:rsid w:val="00AA4058"/>
    <w:rsid w:val="00AA40AB"/>
    <w:rsid w:val="00AA40BD"/>
    <w:rsid w:val="00AA40C3"/>
    <w:rsid w:val="00AA40FE"/>
    <w:rsid w:val="00AA412C"/>
    <w:rsid w:val="00AA418A"/>
    <w:rsid w:val="00AA425B"/>
    <w:rsid w:val="00AA42D4"/>
    <w:rsid w:val="00AA42ED"/>
    <w:rsid w:val="00AA43AF"/>
    <w:rsid w:val="00AA43EC"/>
    <w:rsid w:val="00AA4469"/>
    <w:rsid w:val="00AA4496"/>
    <w:rsid w:val="00AA45D7"/>
    <w:rsid w:val="00AA46C3"/>
    <w:rsid w:val="00AA46EF"/>
    <w:rsid w:val="00AA481F"/>
    <w:rsid w:val="00AA48F4"/>
    <w:rsid w:val="00AA4961"/>
    <w:rsid w:val="00AA4980"/>
    <w:rsid w:val="00AA4A59"/>
    <w:rsid w:val="00AA4B3D"/>
    <w:rsid w:val="00AA4BD6"/>
    <w:rsid w:val="00AA4BFC"/>
    <w:rsid w:val="00AA4C24"/>
    <w:rsid w:val="00AA4D3E"/>
    <w:rsid w:val="00AA4ECA"/>
    <w:rsid w:val="00AA4EF7"/>
    <w:rsid w:val="00AA4F7D"/>
    <w:rsid w:val="00AA4FF4"/>
    <w:rsid w:val="00AA5055"/>
    <w:rsid w:val="00AA5089"/>
    <w:rsid w:val="00AA5180"/>
    <w:rsid w:val="00AA518D"/>
    <w:rsid w:val="00AA5215"/>
    <w:rsid w:val="00AA5299"/>
    <w:rsid w:val="00AA52AE"/>
    <w:rsid w:val="00AA5368"/>
    <w:rsid w:val="00AA546C"/>
    <w:rsid w:val="00AA55E8"/>
    <w:rsid w:val="00AA55FD"/>
    <w:rsid w:val="00AA5602"/>
    <w:rsid w:val="00AA5697"/>
    <w:rsid w:val="00AA56BF"/>
    <w:rsid w:val="00AA573F"/>
    <w:rsid w:val="00AA5836"/>
    <w:rsid w:val="00AA58B7"/>
    <w:rsid w:val="00AA58D2"/>
    <w:rsid w:val="00AA595B"/>
    <w:rsid w:val="00AA5A13"/>
    <w:rsid w:val="00AA5AB7"/>
    <w:rsid w:val="00AA5B24"/>
    <w:rsid w:val="00AA5C03"/>
    <w:rsid w:val="00AA5C94"/>
    <w:rsid w:val="00AA5D65"/>
    <w:rsid w:val="00AA5DA4"/>
    <w:rsid w:val="00AA5DBE"/>
    <w:rsid w:val="00AA5E54"/>
    <w:rsid w:val="00AA5F80"/>
    <w:rsid w:val="00AA5FFA"/>
    <w:rsid w:val="00AA6062"/>
    <w:rsid w:val="00AA608E"/>
    <w:rsid w:val="00AA60EE"/>
    <w:rsid w:val="00AA612F"/>
    <w:rsid w:val="00AA6359"/>
    <w:rsid w:val="00AA647B"/>
    <w:rsid w:val="00AA64D0"/>
    <w:rsid w:val="00AA652E"/>
    <w:rsid w:val="00AA666E"/>
    <w:rsid w:val="00AA66B1"/>
    <w:rsid w:val="00AA66C8"/>
    <w:rsid w:val="00AA67A3"/>
    <w:rsid w:val="00AA6A30"/>
    <w:rsid w:val="00AA6AEB"/>
    <w:rsid w:val="00AA6B57"/>
    <w:rsid w:val="00AA6B71"/>
    <w:rsid w:val="00AA6B8D"/>
    <w:rsid w:val="00AA6BE3"/>
    <w:rsid w:val="00AA6BEB"/>
    <w:rsid w:val="00AA6C03"/>
    <w:rsid w:val="00AA6C63"/>
    <w:rsid w:val="00AA6CC8"/>
    <w:rsid w:val="00AA6CD0"/>
    <w:rsid w:val="00AA6CEA"/>
    <w:rsid w:val="00AA6CF5"/>
    <w:rsid w:val="00AA6D5A"/>
    <w:rsid w:val="00AA6D86"/>
    <w:rsid w:val="00AA6DF6"/>
    <w:rsid w:val="00AA6F24"/>
    <w:rsid w:val="00AA6F7C"/>
    <w:rsid w:val="00AA7020"/>
    <w:rsid w:val="00AA7054"/>
    <w:rsid w:val="00AA714B"/>
    <w:rsid w:val="00AA71A4"/>
    <w:rsid w:val="00AA73BC"/>
    <w:rsid w:val="00AA73FF"/>
    <w:rsid w:val="00AA74CD"/>
    <w:rsid w:val="00AA7527"/>
    <w:rsid w:val="00AA75DD"/>
    <w:rsid w:val="00AA7670"/>
    <w:rsid w:val="00AA7738"/>
    <w:rsid w:val="00AA7768"/>
    <w:rsid w:val="00AA7842"/>
    <w:rsid w:val="00AA7895"/>
    <w:rsid w:val="00AA78EE"/>
    <w:rsid w:val="00AA7B3D"/>
    <w:rsid w:val="00AA7C81"/>
    <w:rsid w:val="00AA7CDF"/>
    <w:rsid w:val="00AA7E52"/>
    <w:rsid w:val="00AA7E5A"/>
    <w:rsid w:val="00AA7E7A"/>
    <w:rsid w:val="00AA7EDE"/>
    <w:rsid w:val="00AA7EF2"/>
    <w:rsid w:val="00AA7EF6"/>
    <w:rsid w:val="00AA7F81"/>
    <w:rsid w:val="00AB0058"/>
    <w:rsid w:val="00AB0072"/>
    <w:rsid w:val="00AB0211"/>
    <w:rsid w:val="00AB0287"/>
    <w:rsid w:val="00AB028C"/>
    <w:rsid w:val="00AB029E"/>
    <w:rsid w:val="00AB0374"/>
    <w:rsid w:val="00AB0396"/>
    <w:rsid w:val="00AB06AB"/>
    <w:rsid w:val="00AB06F8"/>
    <w:rsid w:val="00AB0704"/>
    <w:rsid w:val="00AB0783"/>
    <w:rsid w:val="00AB07C3"/>
    <w:rsid w:val="00AB0889"/>
    <w:rsid w:val="00AB0897"/>
    <w:rsid w:val="00AB0955"/>
    <w:rsid w:val="00AB09A4"/>
    <w:rsid w:val="00AB09A8"/>
    <w:rsid w:val="00AB09B6"/>
    <w:rsid w:val="00AB0A01"/>
    <w:rsid w:val="00AB0A37"/>
    <w:rsid w:val="00AB0A51"/>
    <w:rsid w:val="00AB0CEB"/>
    <w:rsid w:val="00AB0D53"/>
    <w:rsid w:val="00AB0EC9"/>
    <w:rsid w:val="00AB0F87"/>
    <w:rsid w:val="00AB1044"/>
    <w:rsid w:val="00AB1153"/>
    <w:rsid w:val="00AB11E8"/>
    <w:rsid w:val="00AB1236"/>
    <w:rsid w:val="00AB12AC"/>
    <w:rsid w:val="00AB12CF"/>
    <w:rsid w:val="00AB13F3"/>
    <w:rsid w:val="00AB1427"/>
    <w:rsid w:val="00AB1467"/>
    <w:rsid w:val="00AB149A"/>
    <w:rsid w:val="00AB14A7"/>
    <w:rsid w:val="00AB14B8"/>
    <w:rsid w:val="00AB15A9"/>
    <w:rsid w:val="00AB15DA"/>
    <w:rsid w:val="00AB165F"/>
    <w:rsid w:val="00AB16F5"/>
    <w:rsid w:val="00AB17E6"/>
    <w:rsid w:val="00AB17F7"/>
    <w:rsid w:val="00AB183B"/>
    <w:rsid w:val="00AB18CC"/>
    <w:rsid w:val="00AB1911"/>
    <w:rsid w:val="00AB1A3C"/>
    <w:rsid w:val="00AB1ABC"/>
    <w:rsid w:val="00AB1BAA"/>
    <w:rsid w:val="00AB1D04"/>
    <w:rsid w:val="00AB1D30"/>
    <w:rsid w:val="00AB1EF4"/>
    <w:rsid w:val="00AB1FB2"/>
    <w:rsid w:val="00AB1FEF"/>
    <w:rsid w:val="00AB2062"/>
    <w:rsid w:val="00AB20C9"/>
    <w:rsid w:val="00AB20DB"/>
    <w:rsid w:val="00AB210C"/>
    <w:rsid w:val="00AB212A"/>
    <w:rsid w:val="00AB2185"/>
    <w:rsid w:val="00AB219D"/>
    <w:rsid w:val="00AB2314"/>
    <w:rsid w:val="00AB23DF"/>
    <w:rsid w:val="00AB251D"/>
    <w:rsid w:val="00AB2561"/>
    <w:rsid w:val="00AB25C4"/>
    <w:rsid w:val="00AB262F"/>
    <w:rsid w:val="00AB275A"/>
    <w:rsid w:val="00AB2765"/>
    <w:rsid w:val="00AB2A50"/>
    <w:rsid w:val="00AB2C81"/>
    <w:rsid w:val="00AB2C91"/>
    <w:rsid w:val="00AB2D31"/>
    <w:rsid w:val="00AB2DFC"/>
    <w:rsid w:val="00AB2E45"/>
    <w:rsid w:val="00AB2FA8"/>
    <w:rsid w:val="00AB2FB9"/>
    <w:rsid w:val="00AB2FDA"/>
    <w:rsid w:val="00AB2FE9"/>
    <w:rsid w:val="00AB3095"/>
    <w:rsid w:val="00AB30F0"/>
    <w:rsid w:val="00AB30FD"/>
    <w:rsid w:val="00AB325D"/>
    <w:rsid w:val="00AB3468"/>
    <w:rsid w:val="00AB34A9"/>
    <w:rsid w:val="00AB350A"/>
    <w:rsid w:val="00AB3562"/>
    <w:rsid w:val="00AB3577"/>
    <w:rsid w:val="00AB357B"/>
    <w:rsid w:val="00AB35D7"/>
    <w:rsid w:val="00AB361C"/>
    <w:rsid w:val="00AB36BE"/>
    <w:rsid w:val="00AB3871"/>
    <w:rsid w:val="00AB38C1"/>
    <w:rsid w:val="00AB38F0"/>
    <w:rsid w:val="00AB3A59"/>
    <w:rsid w:val="00AB3A77"/>
    <w:rsid w:val="00AB3C87"/>
    <w:rsid w:val="00AB3D03"/>
    <w:rsid w:val="00AB3D05"/>
    <w:rsid w:val="00AB3DA2"/>
    <w:rsid w:val="00AB3DE3"/>
    <w:rsid w:val="00AB3DE7"/>
    <w:rsid w:val="00AB3E03"/>
    <w:rsid w:val="00AB3E56"/>
    <w:rsid w:val="00AB3EE7"/>
    <w:rsid w:val="00AB3EF1"/>
    <w:rsid w:val="00AB3F72"/>
    <w:rsid w:val="00AB4151"/>
    <w:rsid w:val="00AB4223"/>
    <w:rsid w:val="00AB42A6"/>
    <w:rsid w:val="00AB42B9"/>
    <w:rsid w:val="00AB436E"/>
    <w:rsid w:val="00AB43CC"/>
    <w:rsid w:val="00AB44A3"/>
    <w:rsid w:val="00AB4526"/>
    <w:rsid w:val="00AB45FD"/>
    <w:rsid w:val="00AB471A"/>
    <w:rsid w:val="00AB4806"/>
    <w:rsid w:val="00AB4866"/>
    <w:rsid w:val="00AB487F"/>
    <w:rsid w:val="00AB48B3"/>
    <w:rsid w:val="00AB49BB"/>
    <w:rsid w:val="00AB4AA5"/>
    <w:rsid w:val="00AB4AA8"/>
    <w:rsid w:val="00AB4C0E"/>
    <w:rsid w:val="00AB4CCC"/>
    <w:rsid w:val="00AB5029"/>
    <w:rsid w:val="00AB506D"/>
    <w:rsid w:val="00AB5189"/>
    <w:rsid w:val="00AB5219"/>
    <w:rsid w:val="00AB5260"/>
    <w:rsid w:val="00AB5277"/>
    <w:rsid w:val="00AB5365"/>
    <w:rsid w:val="00AB538B"/>
    <w:rsid w:val="00AB542E"/>
    <w:rsid w:val="00AB547D"/>
    <w:rsid w:val="00AB5490"/>
    <w:rsid w:val="00AB5522"/>
    <w:rsid w:val="00AB55BA"/>
    <w:rsid w:val="00AB560F"/>
    <w:rsid w:val="00AB5689"/>
    <w:rsid w:val="00AB5785"/>
    <w:rsid w:val="00AB5822"/>
    <w:rsid w:val="00AB583F"/>
    <w:rsid w:val="00AB5842"/>
    <w:rsid w:val="00AB5861"/>
    <w:rsid w:val="00AB58C6"/>
    <w:rsid w:val="00AB58DB"/>
    <w:rsid w:val="00AB59D2"/>
    <w:rsid w:val="00AB5ACB"/>
    <w:rsid w:val="00AB5B0C"/>
    <w:rsid w:val="00AB5B1A"/>
    <w:rsid w:val="00AB5B4C"/>
    <w:rsid w:val="00AB5BBC"/>
    <w:rsid w:val="00AB5C6D"/>
    <w:rsid w:val="00AB5DB9"/>
    <w:rsid w:val="00AB6002"/>
    <w:rsid w:val="00AB6009"/>
    <w:rsid w:val="00AB601D"/>
    <w:rsid w:val="00AB60EA"/>
    <w:rsid w:val="00AB611C"/>
    <w:rsid w:val="00AB612A"/>
    <w:rsid w:val="00AB6252"/>
    <w:rsid w:val="00AB625A"/>
    <w:rsid w:val="00AB62EA"/>
    <w:rsid w:val="00AB633D"/>
    <w:rsid w:val="00AB636F"/>
    <w:rsid w:val="00AB657E"/>
    <w:rsid w:val="00AB6619"/>
    <w:rsid w:val="00AB6676"/>
    <w:rsid w:val="00AB669C"/>
    <w:rsid w:val="00AB66C6"/>
    <w:rsid w:val="00AB670F"/>
    <w:rsid w:val="00AB6723"/>
    <w:rsid w:val="00AB67A7"/>
    <w:rsid w:val="00AB6B1B"/>
    <w:rsid w:val="00AB6B7B"/>
    <w:rsid w:val="00AB6B85"/>
    <w:rsid w:val="00AB6B86"/>
    <w:rsid w:val="00AB6BA3"/>
    <w:rsid w:val="00AB6BB1"/>
    <w:rsid w:val="00AB6CD0"/>
    <w:rsid w:val="00AB6CD5"/>
    <w:rsid w:val="00AB6CE3"/>
    <w:rsid w:val="00AB6D1A"/>
    <w:rsid w:val="00AB6E23"/>
    <w:rsid w:val="00AB6F72"/>
    <w:rsid w:val="00AB708F"/>
    <w:rsid w:val="00AB70DC"/>
    <w:rsid w:val="00AB713C"/>
    <w:rsid w:val="00AB749E"/>
    <w:rsid w:val="00AB751C"/>
    <w:rsid w:val="00AB751D"/>
    <w:rsid w:val="00AB7589"/>
    <w:rsid w:val="00AB77EA"/>
    <w:rsid w:val="00AB7834"/>
    <w:rsid w:val="00AB78BB"/>
    <w:rsid w:val="00AB7907"/>
    <w:rsid w:val="00AB798E"/>
    <w:rsid w:val="00AB7991"/>
    <w:rsid w:val="00AB79D7"/>
    <w:rsid w:val="00AB7B16"/>
    <w:rsid w:val="00AB7BC2"/>
    <w:rsid w:val="00AB7BD9"/>
    <w:rsid w:val="00AB7CA8"/>
    <w:rsid w:val="00AB7D40"/>
    <w:rsid w:val="00AB7D9C"/>
    <w:rsid w:val="00AB7DB5"/>
    <w:rsid w:val="00AB7DBE"/>
    <w:rsid w:val="00AB7DC0"/>
    <w:rsid w:val="00AB7DF1"/>
    <w:rsid w:val="00AB7E07"/>
    <w:rsid w:val="00AB7F5F"/>
    <w:rsid w:val="00AB7FEA"/>
    <w:rsid w:val="00AC0051"/>
    <w:rsid w:val="00AC00B3"/>
    <w:rsid w:val="00AC00CC"/>
    <w:rsid w:val="00AC0130"/>
    <w:rsid w:val="00AC0266"/>
    <w:rsid w:val="00AC02FA"/>
    <w:rsid w:val="00AC043A"/>
    <w:rsid w:val="00AC048F"/>
    <w:rsid w:val="00AC0518"/>
    <w:rsid w:val="00AC062A"/>
    <w:rsid w:val="00AC0662"/>
    <w:rsid w:val="00AC067B"/>
    <w:rsid w:val="00AC068A"/>
    <w:rsid w:val="00AC0719"/>
    <w:rsid w:val="00AC0820"/>
    <w:rsid w:val="00AC08C0"/>
    <w:rsid w:val="00AC0963"/>
    <w:rsid w:val="00AC0967"/>
    <w:rsid w:val="00AC09AF"/>
    <w:rsid w:val="00AC0A50"/>
    <w:rsid w:val="00AC0AFF"/>
    <w:rsid w:val="00AC0B25"/>
    <w:rsid w:val="00AC0C11"/>
    <w:rsid w:val="00AC0C69"/>
    <w:rsid w:val="00AC0D22"/>
    <w:rsid w:val="00AC0DAE"/>
    <w:rsid w:val="00AC0DE0"/>
    <w:rsid w:val="00AC0DFC"/>
    <w:rsid w:val="00AC0E6A"/>
    <w:rsid w:val="00AC0E77"/>
    <w:rsid w:val="00AC0F6F"/>
    <w:rsid w:val="00AC0FC2"/>
    <w:rsid w:val="00AC0FF8"/>
    <w:rsid w:val="00AC102C"/>
    <w:rsid w:val="00AC105F"/>
    <w:rsid w:val="00AC106F"/>
    <w:rsid w:val="00AC10E2"/>
    <w:rsid w:val="00AC110F"/>
    <w:rsid w:val="00AC112A"/>
    <w:rsid w:val="00AC11B1"/>
    <w:rsid w:val="00AC13B8"/>
    <w:rsid w:val="00AC147E"/>
    <w:rsid w:val="00AC14EF"/>
    <w:rsid w:val="00AC153C"/>
    <w:rsid w:val="00AC1556"/>
    <w:rsid w:val="00AC15CA"/>
    <w:rsid w:val="00AC1606"/>
    <w:rsid w:val="00AC1687"/>
    <w:rsid w:val="00AC1699"/>
    <w:rsid w:val="00AC16AA"/>
    <w:rsid w:val="00AC16DD"/>
    <w:rsid w:val="00AC173D"/>
    <w:rsid w:val="00AC1A57"/>
    <w:rsid w:val="00AC1A5A"/>
    <w:rsid w:val="00AC1B13"/>
    <w:rsid w:val="00AC1D9D"/>
    <w:rsid w:val="00AC1EB5"/>
    <w:rsid w:val="00AC1F8A"/>
    <w:rsid w:val="00AC1FC2"/>
    <w:rsid w:val="00AC207E"/>
    <w:rsid w:val="00AC21CC"/>
    <w:rsid w:val="00AC2502"/>
    <w:rsid w:val="00AC27EE"/>
    <w:rsid w:val="00AC282B"/>
    <w:rsid w:val="00AC289A"/>
    <w:rsid w:val="00AC28B6"/>
    <w:rsid w:val="00AC2A1C"/>
    <w:rsid w:val="00AC2AA7"/>
    <w:rsid w:val="00AC2B3B"/>
    <w:rsid w:val="00AC2C61"/>
    <w:rsid w:val="00AC2D13"/>
    <w:rsid w:val="00AC2D58"/>
    <w:rsid w:val="00AC2D6A"/>
    <w:rsid w:val="00AC2DF2"/>
    <w:rsid w:val="00AC2E7D"/>
    <w:rsid w:val="00AC2F1C"/>
    <w:rsid w:val="00AC2F43"/>
    <w:rsid w:val="00AC2FD8"/>
    <w:rsid w:val="00AC304A"/>
    <w:rsid w:val="00AC311F"/>
    <w:rsid w:val="00AC3149"/>
    <w:rsid w:val="00AC3252"/>
    <w:rsid w:val="00AC3275"/>
    <w:rsid w:val="00AC3393"/>
    <w:rsid w:val="00AC344D"/>
    <w:rsid w:val="00AC3482"/>
    <w:rsid w:val="00AC34E3"/>
    <w:rsid w:val="00AC35EC"/>
    <w:rsid w:val="00AC3672"/>
    <w:rsid w:val="00AC3676"/>
    <w:rsid w:val="00AC36A3"/>
    <w:rsid w:val="00AC36C6"/>
    <w:rsid w:val="00AC36D0"/>
    <w:rsid w:val="00AC3724"/>
    <w:rsid w:val="00AC3750"/>
    <w:rsid w:val="00AC37A5"/>
    <w:rsid w:val="00AC381F"/>
    <w:rsid w:val="00AC39E5"/>
    <w:rsid w:val="00AC3A92"/>
    <w:rsid w:val="00AC3AC9"/>
    <w:rsid w:val="00AC3B45"/>
    <w:rsid w:val="00AC3C03"/>
    <w:rsid w:val="00AC3C54"/>
    <w:rsid w:val="00AC3C66"/>
    <w:rsid w:val="00AC3D79"/>
    <w:rsid w:val="00AC3DF3"/>
    <w:rsid w:val="00AC3E92"/>
    <w:rsid w:val="00AC3EB5"/>
    <w:rsid w:val="00AC3F56"/>
    <w:rsid w:val="00AC400A"/>
    <w:rsid w:val="00AC40CC"/>
    <w:rsid w:val="00AC40EB"/>
    <w:rsid w:val="00AC410A"/>
    <w:rsid w:val="00AC415C"/>
    <w:rsid w:val="00AC41E9"/>
    <w:rsid w:val="00AC4338"/>
    <w:rsid w:val="00AC436D"/>
    <w:rsid w:val="00AC4412"/>
    <w:rsid w:val="00AC44FE"/>
    <w:rsid w:val="00AC4564"/>
    <w:rsid w:val="00AC4565"/>
    <w:rsid w:val="00AC46BB"/>
    <w:rsid w:val="00AC46E8"/>
    <w:rsid w:val="00AC4710"/>
    <w:rsid w:val="00AC47B0"/>
    <w:rsid w:val="00AC4834"/>
    <w:rsid w:val="00AC4A35"/>
    <w:rsid w:val="00AC4AA5"/>
    <w:rsid w:val="00AC4BB7"/>
    <w:rsid w:val="00AC4C93"/>
    <w:rsid w:val="00AC4E17"/>
    <w:rsid w:val="00AC4E38"/>
    <w:rsid w:val="00AC4F0E"/>
    <w:rsid w:val="00AC5013"/>
    <w:rsid w:val="00AC505B"/>
    <w:rsid w:val="00AC505D"/>
    <w:rsid w:val="00AC5278"/>
    <w:rsid w:val="00AC5301"/>
    <w:rsid w:val="00AC53A9"/>
    <w:rsid w:val="00AC549D"/>
    <w:rsid w:val="00AC54C3"/>
    <w:rsid w:val="00AC5515"/>
    <w:rsid w:val="00AC5542"/>
    <w:rsid w:val="00AC555B"/>
    <w:rsid w:val="00AC55F9"/>
    <w:rsid w:val="00AC5628"/>
    <w:rsid w:val="00AC5697"/>
    <w:rsid w:val="00AC56A0"/>
    <w:rsid w:val="00AC57F2"/>
    <w:rsid w:val="00AC587E"/>
    <w:rsid w:val="00AC58CC"/>
    <w:rsid w:val="00AC58DA"/>
    <w:rsid w:val="00AC592B"/>
    <w:rsid w:val="00AC5959"/>
    <w:rsid w:val="00AC5972"/>
    <w:rsid w:val="00AC59CA"/>
    <w:rsid w:val="00AC5A7A"/>
    <w:rsid w:val="00AC5A9D"/>
    <w:rsid w:val="00AC5AB8"/>
    <w:rsid w:val="00AC5B1C"/>
    <w:rsid w:val="00AC5B29"/>
    <w:rsid w:val="00AC5B47"/>
    <w:rsid w:val="00AC5BD5"/>
    <w:rsid w:val="00AC5BE0"/>
    <w:rsid w:val="00AC5CE9"/>
    <w:rsid w:val="00AC5D2A"/>
    <w:rsid w:val="00AC5D78"/>
    <w:rsid w:val="00AC5F9E"/>
    <w:rsid w:val="00AC5FA0"/>
    <w:rsid w:val="00AC6075"/>
    <w:rsid w:val="00AC608E"/>
    <w:rsid w:val="00AC60B4"/>
    <w:rsid w:val="00AC6136"/>
    <w:rsid w:val="00AC61B9"/>
    <w:rsid w:val="00AC6242"/>
    <w:rsid w:val="00AC62BD"/>
    <w:rsid w:val="00AC62E0"/>
    <w:rsid w:val="00AC6342"/>
    <w:rsid w:val="00AC63C5"/>
    <w:rsid w:val="00AC63D7"/>
    <w:rsid w:val="00AC6403"/>
    <w:rsid w:val="00AC644B"/>
    <w:rsid w:val="00AC6599"/>
    <w:rsid w:val="00AC6613"/>
    <w:rsid w:val="00AC669B"/>
    <w:rsid w:val="00AC67A1"/>
    <w:rsid w:val="00AC67CB"/>
    <w:rsid w:val="00AC68F1"/>
    <w:rsid w:val="00AC6940"/>
    <w:rsid w:val="00AC69A4"/>
    <w:rsid w:val="00AC69E8"/>
    <w:rsid w:val="00AC6A7D"/>
    <w:rsid w:val="00AC6AF6"/>
    <w:rsid w:val="00AC6B18"/>
    <w:rsid w:val="00AC6C5A"/>
    <w:rsid w:val="00AC6C72"/>
    <w:rsid w:val="00AC6CC0"/>
    <w:rsid w:val="00AC6D07"/>
    <w:rsid w:val="00AC6D3B"/>
    <w:rsid w:val="00AC6EDE"/>
    <w:rsid w:val="00AC6EF5"/>
    <w:rsid w:val="00AC6F11"/>
    <w:rsid w:val="00AC6F3E"/>
    <w:rsid w:val="00AC6F93"/>
    <w:rsid w:val="00AC70BF"/>
    <w:rsid w:val="00AC70D5"/>
    <w:rsid w:val="00AC71F6"/>
    <w:rsid w:val="00AC7279"/>
    <w:rsid w:val="00AC72D6"/>
    <w:rsid w:val="00AC73AB"/>
    <w:rsid w:val="00AC73F3"/>
    <w:rsid w:val="00AC7417"/>
    <w:rsid w:val="00AC7457"/>
    <w:rsid w:val="00AC7459"/>
    <w:rsid w:val="00AC74BD"/>
    <w:rsid w:val="00AC76F2"/>
    <w:rsid w:val="00AC772A"/>
    <w:rsid w:val="00AC775C"/>
    <w:rsid w:val="00AC777E"/>
    <w:rsid w:val="00AC78B9"/>
    <w:rsid w:val="00AC7930"/>
    <w:rsid w:val="00AC793E"/>
    <w:rsid w:val="00AC7993"/>
    <w:rsid w:val="00AC7999"/>
    <w:rsid w:val="00AC79AE"/>
    <w:rsid w:val="00AC79FA"/>
    <w:rsid w:val="00AC7A6F"/>
    <w:rsid w:val="00AC7A81"/>
    <w:rsid w:val="00AC7AE2"/>
    <w:rsid w:val="00AC7AE6"/>
    <w:rsid w:val="00AC7B42"/>
    <w:rsid w:val="00AC7B68"/>
    <w:rsid w:val="00AC7C27"/>
    <w:rsid w:val="00AC7D5F"/>
    <w:rsid w:val="00AC7E54"/>
    <w:rsid w:val="00AC7E56"/>
    <w:rsid w:val="00AC7ED8"/>
    <w:rsid w:val="00AC7FE8"/>
    <w:rsid w:val="00AD000E"/>
    <w:rsid w:val="00AD006C"/>
    <w:rsid w:val="00AD00DB"/>
    <w:rsid w:val="00AD012B"/>
    <w:rsid w:val="00AD0137"/>
    <w:rsid w:val="00AD0196"/>
    <w:rsid w:val="00AD01B2"/>
    <w:rsid w:val="00AD0244"/>
    <w:rsid w:val="00AD0334"/>
    <w:rsid w:val="00AD034C"/>
    <w:rsid w:val="00AD0416"/>
    <w:rsid w:val="00AD0433"/>
    <w:rsid w:val="00AD056D"/>
    <w:rsid w:val="00AD0643"/>
    <w:rsid w:val="00AD06CF"/>
    <w:rsid w:val="00AD074D"/>
    <w:rsid w:val="00AD077E"/>
    <w:rsid w:val="00AD08EB"/>
    <w:rsid w:val="00AD0B98"/>
    <w:rsid w:val="00AD0BF3"/>
    <w:rsid w:val="00AD0C95"/>
    <w:rsid w:val="00AD0CAA"/>
    <w:rsid w:val="00AD0E96"/>
    <w:rsid w:val="00AD0FE3"/>
    <w:rsid w:val="00AD1026"/>
    <w:rsid w:val="00AD1134"/>
    <w:rsid w:val="00AD11A1"/>
    <w:rsid w:val="00AD1234"/>
    <w:rsid w:val="00AD1252"/>
    <w:rsid w:val="00AD12D2"/>
    <w:rsid w:val="00AD12ED"/>
    <w:rsid w:val="00AD13CD"/>
    <w:rsid w:val="00AD146B"/>
    <w:rsid w:val="00AD1474"/>
    <w:rsid w:val="00AD14B4"/>
    <w:rsid w:val="00AD14B9"/>
    <w:rsid w:val="00AD1588"/>
    <w:rsid w:val="00AD15B9"/>
    <w:rsid w:val="00AD161D"/>
    <w:rsid w:val="00AD16A9"/>
    <w:rsid w:val="00AD16AA"/>
    <w:rsid w:val="00AD16CF"/>
    <w:rsid w:val="00AD16EB"/>
    <w:rsid w:val="00AD1718"/>
    <w:rsid w:val="00AD173F"/>
    <w:rsid w:val="00AD1756"/>
    <w:rsid w:val="00AD192C"/>
    <w:rsid w:val="00AD1BC2"/>
    <w:rsid w:val="00AD1CAD"/>
    <w:rsid w:val="00AD1E03"/>
    <w:rsid w:val="00AD1E64"/>
    <w:rsid w:val="00AD1E7B"/>
    <w:rsid w:val="00AD1FCD"/>
    <w:rsid w:val="00AD204F"/>
    <w:rsid w:val="00AD2059"/>
    <w:rsid w:val="00AD205A"/>
    <w:rsid w:val="00AD2160"/>
    <w:rsid w:val="00AD2176"/>
    <w:rsid w:val="00AD2286"/>
    <w:rsid w:val="00AD22ED"/>
    <w:rsid w:val="00AD230D"/>
    <w:rsid w:val="00AD23A2"/>
    <w:rsid w:val="00AD242B"/>
    <w:rsid w:val="00AD2433"/>
    <w:rsid w:val="00AD24B1"/>
    <w:rsid w:val="00AD25A4"/>
    <w:rsid w:val="00AD2645"/>
    <w:rsid w:val="00AD2694"/>
    <w:rsid w:val="00AD26AC"/>
    <w:rsid w:val="00AD2768"/>
    <w:rsid w:val="00AD27AB"/>
    <w:rsid w:val="00AD27DF"/>
    <w:rsid w:val="00AD2955"/>
    <w:rsid w:val="00AD2978"/>
    <w:rsid w:val="00AD2A7A"/>
    <w:rsid w:val="00AD2AB6"/>
    <w:rsid w:val="00AD2B57"/>
    <w:rsid w:val="00AD2BDC"/>
    <w:rsid w:val="00AD2C05"/>
    <w:rsid w:val="00AD2C43"/>
    <w:rsid w:val="00AD2D93"/>
    <w:rsid w:val="00AD2DB0"/>
    <w:rsid w:val="00AD2E2E"/>
    <w:rsid w:val="00AD2E3F"/>
    <w:rsid w:val="00AD2EA8"/>
    <w:rsid w:val="00AD2F20"/>
    <w:rsid w:val="00AD30CE"/>
    <w:rsid w:val="00AD3105"/>
    <w:rsid w:val="00AD314B"/>
    <w:rsid w:val="00AD31CF"/>
    <w:rsid w:val="00AD324D"/>
    <w:rsid w:val="00AD3332"/>
    <w:rsid w:val="00AD3485"/>
    <w:rsid w:val="00AD348E"/>
    <w:rsid w:val="00AD3639"/>
    <w:rsid w:val="00AD366C"/>
    <w:rsid w:val="00AD3676"/>
    <w:rsid w:val="00AD36B4"/>
    <w:rsid w:val="00AD3702"/>
    <w:rsid w:val="00AD3729"/>
    <w:rsid w:val="00AD375B"/>
    <w:rsid w:val="00AD377C"/>
    <w:rsid w:val="00AD384E"/>
    <w:rsid w:val="00AD3859"/>
    <w:rsid w:val="00AD38B9"/>
    <w:rsid w:val="00AD394A"/>
    <w:rsid w:val="00AD398A"/>
    <w:rsid w:val="00AD39DB"/>
    <w:rsid w:val="00AD39E6"/>
    <w:rsid w:val="00AD39FE"/>
    <w:rsid w:val="00AD3ABA"/>
    <w:rsid w:val="00AD3B82"/>
    <w:rsid w:val="00AD3B8E"/>
    <w:rsid w:val="00AD3CA8"/>
    <w:rsid w:val="00AD3CCC"/>
    <w:rsid w:val="00AD3CDB"/>
    <w:rsid w:val="00AD3DC8"/>
    <w:rsid w:val="00AD3E43"/>
    <w:rsid w:val="00AD3EC9"/>
    <w:rsid w:val="00AD3FD6"/>
    <w:rsid w:val="00AD402A"/>
    <w:rsid w:val="00AD41E5"/>
    <w:rsid w:val="00AD422D"/>
    <w:rsid w:val="00AD4233"/>
    <w:rsid w:val="00AD4442"/>
    <w:rsid w:val="00AD4459"/>
    <w:rsid w:val="00AD44DA"/>
    <w:rsid w:val="00AD44DD"/>
    <w:rsid w:val="00AD44E4"/>
    <w:rsid w:val="00AD4584"/>
    <w:rsid w:val="00AD45B8"/>
    <w:rsid w:val="00AD4606"/>
    <w:rsid w:val="00AD4706"/>
    <w:rsid w:val="00AD485A"/>
    <w:rsid w:val="00AD48C2"/>
    <w:rsid w:val="00AD4981"/>
    <w:rsid w:val="00AD49AE"/>
    <w:rsid w:val="00AD4A1B"/>
    <w:rsid w:val="00AD4A21"/>
    <w:rsid w:val="00AD4A97"/>
    <w:rsid w:val="00AD4AB0"/>
    <w:rsid w:val="00AD4AB3"/>
    <w:rsid w:val="00AD4AF3"/>
    <w:rsid w:val="00AD4B4D"/>
    <w:rsid w:val="00AD4C3A"/>
    <w:rsid w:val="00AD4CC3"/>
    <w:rsid w:val="00AD4CF1"/>
    <w:rsid w:val="00AD4DB5"/>
    <w:rsid w:val="00AD4E73"/>
    <w:rsid w:val="00AD4EAC"/>
    <w:rsid w:val="00AD4EF3"/>
    <w:rsid w:val="00AD4F0D"/>
    <w:rsid w:val="00AD4F21"/>
    <w:rsid w:val="00AD5018"/>
    <w:rsid w:val="00AD503D"/>
    <w:rsid w:val="00AD5169"/>
    <w:rsid w:val="00AD532B"/>
    <w:rsid w:val="00AD532F"/>
    <w:rsid w:val="00AD5488"/>
    <w:rsid w:val="00AD5578"/>
    <w:rsid w:val="00AD564F"/>
    <w:rsid w:val="00AD5677"/>
    <w:rsid w:val="00AD56E3"/>
    <w:rsid w:val="00AD56E9"/>
    <w:rsid w:val="00AD576A"/>
    <w:rsid w:val="00AD5800"/>
    <w:rsid w:val="00AD59F5"/>
    <w:rsid w:val="00AD59FC"/>
    <w:rsid w:val="00AD5AB8"/>
    <w:rsid w:val="00AD5BDE"/>
    <w:rsid w:val="00AD5D0B"/>
    <w:rsid w:val="00AD5D1F"/>
    <w:rsid w:val="00AD5D70"/>
    <w:rsid w:val="00AD5DE0"/>
    <w:rsid w:val="00AD5EE7"/>
    <w:rsid w:val="00AD5F50"/>
    <w:rsid w:val="00AD5F75"/>
    <w:rsid w:val="00AD61F3"/>
    <w:rsid w:val="00AD624D"/>
    <w:rsid w:val="00AD63A4"/>
    <w:rsid w:val="00AD6402"/>
    <w:rsid w:val="00AD6419"/>
    <w:rsid w:val="00AD6441"/>
    <w:rsid w:val="00AD6612"/>
    <w:rsid w:val="00AD66FF"/>
    <w:rsid w:val="00AD672A"/>
    <w:rsid w:val="00AD6794"/>
    <w:rsid w:val="00AD67A2"/>
    <w:rsid w:val="00AD67B6"/>
    <w:rsid w:val="00AD67E1"/>
    <w:rsid w:val="00AD69AA"/>
    <w:rsid w:val="00AD6A03"/>
    <w:rsid w:val="00AD6A14"/>
    <w:rsid w:val="00AD6A1C"/>
    <w:rsid w:val="00AD6ACD"/>
    <w:rsid w:val="00AD6B3B"/>
    <w:rsid w:val="00AD6BEB"/>
    <w:rsid w:val="00AD6C5E"/>
    <w:rsid w:val="00AD6C8F"/>
    <w:rsid w:val="00AD6E7B"/>
    <w:rsid w:val="00AD6F57"/>
    <w:rsid w:val="00AD708C"/>
    <w:rsid w:val="00AD70BB"/>
    <w:rsid w:val="00AD70E9"/>
    <w:rsid w:val="00AD7190"/>
    <w:rsid w:val="00AD726A"/>
    <w:rsid w:val="00AD72B8"/>
    <w:rsid w:val="00AD73D8"/>
    <w:rsid w:val="00AD740F"/>
    <w:rsid w:val="00AD7518"/>
    <w:rsid w:val="00AD75E7"/>
    <w:rsid w:val="00AD761A"/>
    <w:rsid w:val="00AD76B6"/>
    <w:rsid w:val="00AD76BF"/>
    <w:rsid w:val="00AD7701"/>
    <w:rsid w:val="00AD7825"/>
    <w:rsid w:val="00AD7874"/>
    <w:rsid w:val="00AD78D5"/>
    <w:rsid w:val="00AD798E"/>
    <w:rsid w:val="00AD7B62"/>
    <w:rsid w:val="00AD7B7A"/>
    <w:rsid w:val="00AD7C21"/>
    <w:rsid w:val="00AD7C5A"/>
    <w:rsid w:val="00AD7C9D"/>
    <w:rsid w:val="00AD7D19"/>
    <w:rsid w:val="00AD7E6E"/>
    <w:rsid w:val="00AD7E9F"/>
    <w:rsid w:val="00AE0049"/>
    <w:rsid w:val="00AE00EE"/>
    <w:rsid w:val="00AE016E"/>
    <w:rsid w:val="00AE0203"/>
    <w:rsid w:val="00AE035F"/>
    <w:rsid w:val="00AE03A8"/>
    <w:rsid w:val="00AE03C9"/>
    <w:rsid w:val="00AE03EF"/>
    <w:rsid w:val="00AE0410"/>
    <w:rsid w:val="00AE0433"/>
    <w:rsid w:val="00AE043E"/>
    <w:rsid w:val="00AE04B5"/>
    <w:rsid w:val="00AE04DB"/>
    <w:rsid w:val="00AE056F"/>
    <w:rsid w:val="00AE06AF"/>
    <w:rsid w:val="00AE06C6"/>
    <w:rsid w:val="00AE077F"/>
    <w:rsid w:val="00AE0783"/>
    <w:rsid w:val="00AE081E"/>
    <w:rsid w:val="00AE09EF"/>
    <w:rsid w:val="00AE0A13"/>
    <w:rsid w:val="00AE0BB2"/>
    <w:rsid w:val="00AE0CBB"/>
    <w:rsid w:val="00AE0D24"/>
    <w:rsid w:val="00AE0DB8"/>
    <w:rsid w:val="00AE0E15"/>
    <w:rsid w:val="00AE0E35"/>
    <w:rsid w:val="00AE0FC2"/>
    <w:rsid w:val="00AE1018"/>
    <w:rsid w:val="00AE11DB"/>
    <w:rsid w:val="00AE126E"/>
    <w:rsid w:val="00AE12AE"/>
    <w:rsid w:val="00AE13CA"/>
    <w:rsid w:val="00AE13D5"/>
    <w:rsid w:val="00AE1476"/>
    <w:rsid w:val="00AE1522"/>
    <w:rsid w:val="00AE1565"/>
    <w:rsid w:val="00AE1577"/>
    <w:rsid w:val="00AE1609"/>
    <w:rsid w:val="00AE1832"/>
    <w:rsid w:val="00AE18F1"/>
    <w:rsid w:val="00AE197E"/>
    <w:rsid w:val="00AE1991"/>
    <w:rsid w:val="00AE1A2F"/>
    <w:rsid w:val="00AE1AE0"/>
    <w:rsid w:val="00AE1AFC"/>
    <w:rsid w:val="00AE1B01"/>
    <w:rsid w:val="00AE1B57"/>
    <w:rsid w:val="00AE1B79"/>
    <w:rsid w:val="00AE1BEE"/>
    <w:rsid w:val="00AE1D36"/>
    <w:rsid w:val="00AE1D3C"/>
    <w:rsid w:val="00AE1E2A"/>
    <w:rsid w:val="00AE1F13"/>
    <w:rsid w:val="00AE1F33"/>
    <w:rsid w:val="00AE2047"/>
    <w:rsid w:val="00AE20BC"/>
    <w:rsid w:val="00AE22AB"/>
    <w:rsid w:val="00AE230B"/>
    <w:rsid w:val="00AE23E9"/>
    <w:rsid w:val="00AE2454"/>
    <w:rsid w:val="00AE2564"/>
    <w:rsid w:val="00AE2570"/>
    <w:rsid w:val="00AE261B"/>
    <w:rsid w:val="00AE265E"/>
    <w:rsid w:val="00AE266F"/>
    <w:rsid w:val="00AE26EF"/>
    <w:rsid w:val="00AE2714"/>
    <w:rsid w:val="00AE2761"/>
    <w:rsid w:val="00AE27A6"/>
    <w:rsid w:val="00AE27CC"/>
    <w:rsid w:val="00AE2804"/>
    <w:rsid w:val="00AE2860"/>
    <w:rsid w:val="00AE2895"/>
    <w:rsid w:val="00AE28F0"/>
    <w:rsid w:val="00AE2907"/>
    <w:rsid w:val="00AE293A"/>
    <w:rsid w:val="00AE2953"/>
    <w:rsid w:val="00AE29D5"/>
    <w:rsid w:val="00AE2B86"/>
    <w:rsid w:val="00AE2C98"/>
    <w:rsid w:val="00AE2CE7"/>
    <w:rsid w:val="00AE2D29"/>
    <w:rsid w:val="00AE2DB7"/>
    <w:rsid w:val="00AE2DD1"/>
    <w:rsid w:val="00AE2E06"/>
    <w:rsid w:val="00AE2E10"/>
    <w:rsid w:val="00AE2E34"/>
    <w:rsid w:val="00AE2E78"/>
    <w:rsid w:val="00AE2EA0"/>
    <w:rsid w:val="00AE2ED6"/>
    <w:rsid w:val="00AE2ED8"/>
    <w:rsid w:val="00AE2FF1"/>
    <w:rsid w:val="00AE3011"/>
    <w:rsid w:val="00AE304B"/>
    <w:rsid w:val="00AE3106"/>
    <w:rsid w:val="00AE318C"/>
    <w:rsid w:val="00AE31AF"/>
    <w:rsid w:val="00AE31E5"/>
    <w:rsid w:val="00AE326F"/>
    <w:rsid w:val="00AE328D"/>
    <w:rsid w:val="00AE32B2"/>
    <w:rsid w:val="00AE32E5"/>
    <w:rsid w:val="00AE3366"/>
    <w:rsid w:val="00AE33DF"/>
    <w:rsid w:val="00AE3516"/>
    <w:rsid w:val="00AE3560"/>
    <w:rsid w:val="00AE3576"/>
    <w:rsid w:val="00AE3632"/>
    <w:rsid w:val="00AE3876"/>
    <w:rsid w:val="00AE3893"/>
    <w:rsid w:val="00AE3934"/>
    <w:rsid w:val="00AE3987"/>
    <w:rsid w:val="00AE3A2B"/>
    <w:rsid w:val="00AE3A8D"/>
    <w:rsid w:val="00AE3A9D"/>
    <w:rsid w:val="00AE3AE0"/>
    <w:rsid w:val="00AE3CDB"/>
    <w:rsid w:val="00AE3D5C"/>
    <w:rsid w:val="00AE3D64"/>
    <w:rsid w:val="00AE3E75"/>
    <w:rsid w:val="00AE3F63"/>
    <w:rsid w:val="00AE3FEE"/>
    <w:rsid w:val="00AE41A4"/>
    <w:rsid w:val="00AE41AA"/>
    <w:rsid w:val="00AE4272"/>
    <w:rsid w:val="00AE4310"/>
    <w:rsid w:val="00AE4325"/>
    <w:rsid w:val="00AE4398"/>
    <w:rsid w:val="00AE4461"/>
    <w:rsid w:val="00AE45B9"/>
    <w:rsid w:val="00AE45EF"/>
    <w:rsid w:val="00AE463C"/>
    <w:rsid w:val="00AE4668"/>
    <w:rsid w:val="00AE4783"/>
    <w:rsid w:val="00AE480B"/>
    <w:rsid w:val="00AE4872"/>
    <w:rsid w:val="00AE4894"/>
    <w:rsid w:val="00AE490D"/>
    <w:rsid w:val="00AE4A1B"/>
    <w:rsid w:val="00AE4A54"/>
    <w:rsid w:val="00AE4A6C"/>
    <w:rsid w:val="00AE4B6A"/>
    <w:rsid w:val="00AE4B77"/>
    <w:rsid w:val="00AE4C27"/>
    <w:rsid w:val="00AE4D11"/>
    <w:rsid w:val="00AE4D7E"/>
    <w:rsid w:val="00AE4D8E"/>
    <w:rsid w:val="00AE4D93"/>
    <w:rsid w:val="00AE4E14"/>
    <w:rsid w:val="00AE4E4D"/>
    <w:rsid w:val="00AE4EC1"/>
    <w:rsid w:val="00AE4EE7"/>
    <w:rsid w:val="00AE4F32"/>
    <w:rsid w:val="00AE5073"/>
    <w:rsid w:val="00AE51F3"/>
    <w:rsid w:val="00AE5213"/>
    <w:rsid w:val="00AE52EE"/>
    <w:rsid w:val="00AE5306"/>
    <w:rsid w:val="00AE5365"/>
    <w:rsid w:val="00AE536E"/>
    <w:rsid w:val="00AE53E3"/>
    <w:rsid w:val="00AE5419"/>
    <w:rsid w:val="00AE54DB"/>
    <w:rsid w:val="00AE57F3"/>
    <w:rsid w:val="00AE57F6"/>
    <w:rsid w:val="00AE58B6"/>
    <w:rsid w:val="00AE59E3"/>
    <w:rsid w:val="00AE5B9D"/>
    <w:rsid w:val="00AE5C47"/>
    <w:rsid w:val="00AE5C65"/>
    <w:rsid w:val="00AE5CB6"/>
    <w:rsid w:val="00AE5CCD"/>
    <w:rsid w:val="00AE5CCF"/>
    <w:rsid w:val="00AE5D32"/>
    <w:rsid w:val="00AE5D44"/>
    <w:rsid w:val="00AE5D7F"/>
    <w:rsid w:val="00AE5D8B"/>
    <w:rsid w:val="00AE5DD1"/>
    <w:rsid w:val="00AE5DF6"/>
    <w:rsid w:val="00AE5EB7"/>
    <w:rsid w:val="00AE5F2B"/>
    <w:rsid w:val="00AE5F47"/>
    <w:rsid w:val="00AE5FEB"/>
    <w:rsid w:val="00AE6042"/>
    <w:rsid w:val="00AE60AE"/>
    <w:rsid w:val="00AE62D9"/>
    <w:rsid w:val="00AE637D"/>
    <w:rsid w:val="00AE63DF"/>
    <w:rsid w:val="00AE643C"/>
    <w:rsid w:val="00AE644C"/>
    <w:rsid w:val="00AE6468"/>
    <w:rsid w:val="00AE652B"/>
    <w:rsid w:val="00AE65C6"/>
    <w:rsid w:val="00AE6707"/>
    <w:rsid w:val="00AE67F5"/>
    <w:rsid w:val="00AE696C"/>
    <w:rsid w:val="00AE69DD"/>
    <w:rsid w:val="00AE6A8C"/>
    <w:rsid w:val="00AE6B4E"/>
    <w:rsid w:val="00AE6B91"/>
    <w:rsid w:val="00AE6C35"/>
    <w:rsid w:val="00AE6D3B"/>
    <w:rsid w:val="00AE6D5A"/>
    <w:rsid w:val="00AE6DE5"/>
    <w:rsid w:val="00AE6E8A"/>
    <w:rsid w:val="00AE6F48"/>
    <w:rsid w:val="00AE7082"/>
    <w:rsid w:val="00AE70AC"/>
    <w:rsid w:val="00AE70BA"/>
    <w:rsid w:val="00AE7261"/>
    <w:rsid w:val="00AE7395"/>
    <w:rsid w:val="00AE7489"/>
    <w:rsid w:val="00AE74EB"/>
    <w:rsid w:val="00AE74F9"/>
    <w:rsid w:val="00AE7563"/>
    <w:rsid w:val="00AE75B1"/>
    <w:rsid w:val="00AE75E1"/>
    <w:rsid w:val="00AE7630"/>
    <w:rsid w:val="00AE768D"/>
    <w:rsid w:val="00AE7721"/>
    <w:rsid w:val="00AE77DF"/>
    <w:rsid w:val="00AE77E1"/>
    <w:rsid w:val="00AE7878"/>
    <w:rsid w:val="00AE7982"/>
    <w:rsid w:val="00AE798F"/>
    <w:rsid w:val="00AE7A2C"/>
    <w:rsid w:val="00AE7AF8"/>
    <w:rsid w:val="00AE7B0C"/>
    <w:rsid w:val="00AE7B76"/>
    <w:rsid w:val="00AE7BCC"/>
    <w:rsid w:val="00AE7C28"/>
    <w:rsid w:val="00AE7C36"/>
    <w:rsid w:val="00AE7E15"/>
    <w:rsid w:val="00AE7FA0"/>
    <w:rsid w:val="00AE7FAD"/>
    <w:rsid w:val="00AE7FBB"/>
    <w:rsid w:val="00AF0181"/>
    <w:rsid w:val="00AF0271"/>
    <w:rsid w:val="00AF02B9"/>
    <w:rsid w:val="00AF03C6"/>
    <w:rsid w:val="00AF041B"/>
    <w:rsid w:val="00AF04AF"/>
    <w:rsid w:val="00AF0623"/>
    <w:rsid w:val="00AF07BD"/>
    <w:rsid w:val="00AF08D3"/>
    <w:rsid w:val="00AF0926"/>
    <w:rsid w:val="00AF09A4"/>
    <w:rsid w:val="00AF0A24"/>
    <w:rsid w:val="00AF0A60"/>
    <w:rsid w:val="00AF0AEE"/>
    <w:rsid w:val="00AF0B12"/>
    <w:rsid w:val="00AF0CBB"/>
    <w:rsid w:val="00AF0DCF"/>
    <w:rsid w:val="00AF0E75"/>
    <w:rsid w:val="00AF0E98"/>
    <w:rsid w:val="00AF0FC6"/>
    <w:rsid w:val="00AF1104"/>
    <w:rsid w:val="00AF1229"/>
    <w:rsid w:val="00AF12A6"/>
    <w:rsid w:val="00AF12E3"/>
    <w:rsid w:val="00AF12FC"/>
    <w:rsid w:val="00AF130A"/>
    <w:rsid w:val="00AF130C"/>
    <w:rsid w:val="00AF1356"/>
    <w:rsid w:val="00AF1395"/>
    <w:rsid w:val="00AF1416"/>
    <w:rsid w:val="00AF1566"/>
    <w:rsid w:val="00AF1581"/>
    <w:rsid w:val="00AF15BD"/>
    <w:rsid w:val="00AF1639"/>
    <w:rsid w:val="00AF1754"/>
    <w:rsid w:val="00AF1856"/>
    <w:rsid w:val="00AF18C3"/>
    <w:rsid w:val="00AF19F5"/>
    <w:rsid w:val="00AF1C49"/>
    <w:rsid w:val="00AF1D38"/>
    <w:rsid w:val="00AF1DEA"/>
    <w:rsid w:val="00AF1E30"/>
    <w:rsid w:val="00AF1E42"/>
    <w:rsid w:val="00AF1E4F"/>
    <w:rsid w:val="00AF1E64"/>
    <w:rsid w:val="00AF1EA7"/>
    <w:rsid w:val="00AF1EE4"/>
    <w:rsid w:val="00AF1EE7"/>
    <w:rsid w:val="00AF1FBB"/>
    <w:rsid w:val="00AF2026"/>
    <w:rsid w:val="00AF2040"/>
    <w:rsid w:val="00AF209C"/>
    <w:rsid w:val="00AF20AB"/>
    <w:rsid w:val="00AF2241"/>
    <w:rsid w:val="00AF228E"/>
    <w:rsid w:val="00AF22E2"/>
    <w:rsid w:val="00AF22EF"/>
    <w:rsid w:val="00AF2361"/>
    <w:rsid w:val="00AF2362"/>
    <w:rsid w:val="00AF23D3"/>
    <w:rsid w:val="00AF248D"/>
    <w:rsid w:val="00AF2512"/>
    <w:rsid w:val="00AF25E9"/>
    <w:rsid w:val="00AF260F"/>
    <w:rsid w:val="00AF264C"/>
    <w:rsid w:val="00AF26BE"/>
    <w:rsid w:val="00AF26D6"/>
    <w:rsid w:val="00AF2712"/>
    <w:rsid w:val="00AF271F"/>
    <w:rsid w:val="00AF276E"/>
    <w:rsid w:val="00AF279D"/>
    <w:rsid w:val="00AF27B7"/>
    <w:rsid w:val="00AF28C7"/>
    <w:rsid w:val="00AF28EA"/>
    <w:rsid w:val="00AF2A7A"/>
    <w:rsid w:val="00AF2ABB"/>
    <w:rsid w:val="00AF2AE5"/>
    <w:rsid w:val="00AF2CBA"/>
    <w:rsid w:val="00AF2D05"/>
    <w:rsid w:val="00AF2D1D"/>
    <w:rsid w:val="00AF2D36"/>
    <w:rsid w:val="00AF2D3A"/>
    <w:rsid w:val="00AF2E6C"/>
    <w:rsid w:val="00AF2EF9"/>
    <w:rsid w:val="00AF2F46"/>
    <w:rsid w:val="00AF3011"/>
    <w:rsid w:val="00AF305A"/>
    <w:rsid w:val="00AF3146"/>
    <w:rsid w:val="00AF318E"/>
    <w:rsid w:val="00AF31AA"/>
    <w:rsid w:val="00AF3242"/>
    <w:rsid w:val="00AF3352"/>
    <w:rsid w:val="00AF3373"/>
    <w:rsid w:val="00AF351F"/>
    <w:rsid w:val="00AF3550"/>
    <w:rsid w:val="00AF359E"/>
    <w:rsid w:val="00AF3654"/>
    <w:rsid w:val="00AF36C8"/>
    <w:rsid w:val="00AF37EE"/>
    <w:rsid w:val="00AF3800"/>
    <w:rsid w:val="00AF38D9"/>
    <w:rsid w:val="00AF399B"/>
    <w:rsid w:val="00AF39FA"/>
    <w:rsid w:val="00AF3A3C"/>
    <w:rsid w:val="00AF3A8D"/>
    <w:rsid w:val="00AF3AD4"/>
    <w:rsid w:val="00AF3D8E"/>
    <w:rsid w:val="00AF3E95"/>
    <w:rsid w:val="00AF3FE3"/>
    <w:rsid w:val="00AF40BB"/>
    <w:rsid w:val="00AF40E5"/>
    <w:rsid w:val="00AF4140"/>
    <w:rsid w:val="00AF41C1"/>
    <w:rsid w:val="00AF4210"/>
    <w:rsid w:val="00AF4216"/>
    <w:rsid w:val="00AF4285"/>
    <w:rsid w:val="00AF42BA"/>
    <w:rsid w:val="00AF42D7"/>
    <w:rsid w:val="00AF454E"/>
    <w:rsid w:val="00AF456A"/>
    <w:rsid w:val="00AF45BA"/>
    <w:rsid w:val="00AF45F4"/>
    <w:rsid w:val="00AF46EB"/>
    <w:rsid w:val="00AF4708"/>
    <w:rsid w:val="00AF47E6"/>
    <w:rsid w:val="00AF4875"/>
    <w:rsid w:val="00AF4BB5"/>
    <w:rsid w:val="00AF4CFD"/>
    <w:rsid w:val="00AF4D35"/>
    <w:rsid w:val="00AF4D63"/>
    <w:rsid w:val="00AF4D8D"/>
    <w:rsid w:val="00AF4DB5"/>
    <w:rsid w:val="00AF4E36"/>
    <w:rsid w:val="00AF4F70"/>
    <w:rsid w:val="00AF4FAE"/>
    <w:rsid w:val="00AF5018"/>
    <w:rsid w:val="00AF5025"/>
    <w:rsid w:val="00AF5061"/>
    <w:rsid w:val="00AF515E"/>
    <w:rsid w:val="00AF5168"/>
    <w:rsid w:val="00AF51ED"/>
    <w:rsid w:val="00AF5239"/>
    <w:rsid w:val="00AF53FF"/>
    <w:rsid w:val="00AF547D"/>
    <w:rsid w:val="00AF548C"/>
    <w:rsid w:val="00AF54B1"/>
    <w:rsid w:val="00AF54E7"/>
    <w:rsid w:val="00AF5508"/>
    <w:rsid w:val="00AF553D"/>
    <w:rsid w:val="00AF57BE"/>
    <w:rsid w:val="00AF58C9"/>
    <w:rsid w:val="00AF58F1"/>
    <w:rsid w:val="00AF5983"/>
    <w:rsid w:val="00AF5A31"/>
    <w:rsid w:val="00AF5A5B"/>
    <w:rsid w:val="00AF5AA1"/>
    <w:rsid w:val="00AF5AAD"/>
    <w:rsid w:val="00AF5AD6"/>
    <w:rsid w:val="00AF5BC4"/>
    <w:rsid w:val="00AF5CE1"/>
    <w:rsid w:val="00AF5E4E"/>
    <w:rsid w:val="00AF5E6E"/>
    <w:rsid w:val="00AF603E"/>
    <w:rsid w:val="00AF6045"/>
    <w:rsid w:val="00AF6186"/>
    <w:rsid w:val="00AF6197"/>
    <w:rsid w:val="00AF61F0"/>
    <w:rsid w:val="00AF62D8"/>
    <w:rsid w:val="00AF64E2"/>
    <w:rsid w:val="00AF6501"/>
    <w:rsid w:val="00AF6513"/>
    <w:rsid w:val="00AF6561"/>
    <w:rsid w:val="00AF658E"/>
    <w:rsid w:val="00AF6789"/>
    <w:rsid w:val="00AF67DA"/>
    <w:rsid w:val="00AF684D"/>
    <w:rsid w:val="00AF6A0C"/>
    <w:rsid w:val="00AF6A28"/>
    <w:rsid w:val="00AF6AFF"/>
    <w:rsid w:val="00AF6B69"/>
    <w:rsid w:val="00AF6C57"/>
    <w:rsid w:val="00AF6D05"/>
    <w:rsid w:val="00AF6D18"/>
    <w:rsid w:val="00AF6D3A"/>
    <w:rsid w:val="00AF6DCF"/>
    <w:rsid w:val="00AF6F0E"/>
    <w:rsid w:val="00AF6F62"/>
    <w:rsid w:val="00AF73BA"/>
    <w:rsid w:val="00AF7434"/>
    <w:rsid w:val="00AF74E8"/>
    <w:rsid w:val="00AF7557"/>
    <w:rsid w:val="00AF7593"/>
    <w:rsid w:val="00AF75A5"/>
    <w:rsid w:val="00AF7775"/>
    <w:rsid w:val="00AF77FB"/>
    <w:rsid w:val="00AF78B9"/>
    <w:rsid w:val="00AF78C9"/>
    <w:rsid w:val="00AF7915"/>
    <w:rsid w:val="00AF798B"/>
    <w:rsid w:val="00AF7A38"/>
    <w:rsid w:val="00AF7C11"/>
    <w:rsid w:val="00AF7C1F"/>
    <w:rsid w:val="00AF7DFB"/>
    <w:rsid w:val="00AF7E72"/>
    <w:rsid w:val="00AF7EFA"/>
    <w:rsid w:val="00AF7EFB"/>
    <w:rsid w:val="00AF7F90"/>
    <w:rsid w:val="00AF7FF2"/>
    <w:rsid w:val="00B00023"/>
    <w:rsid w:val="00B00034"/>
    <w:rsid w:val="00B0009D"/>
    <w:rsid w:val="00B001C9"/>
    <w:rsid w:val="00B004B4"/>
    <w:rsid w:val="00B0054C"/>
    <w:rsid w:val="00B005A7"/>
    <w:rsid w:val="00B00692"/>
    <w:rsid w:val="00B006A2"/>
    <w:rsid w:val="00B006D0"/>
    <w:rsid w:val="00B006E2"/>
    <w:rsid w:val="00B00737"/>
    <w:rsid w:val="00B00755"/>
    <w:rsid w:val="00B0075A"/>
    <w:rsid w:val="00B00871"/>
    <w:rsid w:val="00B0090F"/>
    <w:rsid w:val="00B0096D"/>
    <w:rsid w:val="00B009FB"/>
    <w:rsid w:val="00B00A35"/>
    <w:rsid w:val="00B00B5C"/>
    <w:rsid w:val="00B00C82"/>
    <w:rsid w:val="00B00C85"/>
    <w:rsid w:val="00B00D50"/>
    <w:rsid w:val="00B00E53"/>
    <w:rsid w:val="00B00E81"/>
    <w:rsid w:val="00B00E96"/>
    <w:rsid w:val="00B00FB8"/>
    <w:rsid w:val="00B00FDF"/>
    <w:rsid w:val="00B00FE5"/>
    <w:rsid w:val="00B00FF9"/>
    <w:rsid w:val="00B01081"/>
    <w:rsid w:val="00B011AE"/>
    <w:rsid w:val="00B012C8"/>
    <w:rsid w:val="00B012D6"/>
    <w:rsid w:val="00B01302"/>
    <w:rsid w:val="00B0138C"/>
    <w:rsid w:val="00B013F7"/>
    <w:rsid w:val="00B014CC"/>
    <w:rsid w:val="00B014D2"/>
    <w:rsid w:val="00B0150F"/>
    <w:rsid w:val="00B0155E"/>
    <w:rsid w:val="00B01792"/>
    <w:rsid w:val="00B01A5A"/>
    <w:rsid w:val="00B01B24"/>
    <w:rsid w:val="00B01B52"/>
    <w:rsid w:val="00B01C30"/>
    <w:rsid w:val="00B01CC4"/>
    <w:rsid w:val="00B01CF3"/>
    <w:rsid w:val="00B01D5D"/>
    <w:rsid w:val="00B01D69"/>
    <w:rsid w:val="00B01D6C"/>
    <w:rsid w:val="00B01DA7"/>
    <w:rsid w:val="00B01E80"/>
    <w:rsid w:val="00B01E98"/>
    <w:rsid w:val="00B01FD5"/>
    <w:rsid w:val="00B01FE7"/>
    <w:rsid w:val="00B01FEC"/>
    <w:rsid w:val="00B0201E"/>
    <w:rsid w:val="00B02093"/>
    <w:rsid w:val="00B0211C"/>
    <w:rsid w:val="00B021A4"/>
    <w:rsid w:val="00B021CB"/>
    <w:rsid w:val="00B0225D"/>
    <w:rsid w:val="00B02406"/>
    <w:rsid w:val="00B024B8"/>
    <w:rsid w:val="00B0257B"/>
    <w:rsid w:val="00B025A1"/>
    <w:rsid w:val="00B02687"/>
    <w:rsid w:val="00B0269A"/>
    <w:rsid w:val="00B026DA"/>
    <w:rsid w:val="00B02861"/>
    <w:rsid w:val="00B02954"/>
    <w:rsid w:val="00B02A23"/>
    <w:rsid w:val="00B02A51"/>
    <w:rsid w:val="00B02A86"/>
    <w:rsid w:val="00B02AAF"/>
    <w:rsid w:val="00B02BDE"/>
    <w:rsid w:val="00B02CA2"/>
    <w:rsid w:val="00B02D22"/>
    <w:rsid w:val="00B02DEA"/>
    <w:rsid w:val="00B02EC2"/>
    <w:rsid w:val="00B02FD7"/>
    <w:rsid w:val="00B03022"/>
    <w:rsid w:val="00B0307F"/>
    <w:rsid w:val="00B031AA"/>
    <w:rsid w:val="00B032A1"/>
    <w:rsid w:val="00B03413"/>
    <w:rsid w:val="00B03484"/>
    <w:rsid w:val="00B03515"/>
    <w:rsid w:val="00B0362D"/>
    <w:rsid w:val="00B037B5"/>
    <w:rsid w:val="00B037E6"/>
    <w:rsid w:val="00B0382E"/>
    <w:rsid w:val="00B0392F"/>
    <w:rsid w:val="00B039A9"/>
    <w:rsid w:val="00B03A4C"/>
    <w:rsid w:val="00B03AA3"/>
    <w:rsid w:val="00B03AC0"/>
    <w:rsid w:val="00B03B03"/>
    <w:rsid w:val="00B03B14"/>
    <w:rsid w:val="00B03B7E"/>
    <w:rsid w:val="00B03C2F"/>
    <w:rsid w:val="00B03C58"/>
    <w:rsid w:val="00B03C7C"/>
    <w:rsid w:val="00B03C9C"/>
    <w:rsid w:val="00B03CE0"/>
    <w:rsid w:val="00B03DCA"/>
    <w:rsid w:val="00B03E27"/>
    <w:rsid w:val="00B03F13"/>
    <w:rsid w:val="00B040D0"/>
    <w:rsid w:val="00B040F8"/>
    <w:rsid w:val="00B0417A"/>
    <w:rsid w:val="00B041AB"/>
    <w:rsid w:val="00B041EF"/>
    <w:rsid w:val="00B041F4"/>
    <w:rsid w:val="00B04283"/>
    <w:rsid w:val="00B042B6"/>
    <w:rsid w:val="00B042B9"/>
    <w:rsid w:val="00B04321"/>
    <w:rsid w:val="00B0434F"/>
    <w:rsid w:val="00B04479"/>
    <w:rsid w:val="00B04507"/>
    <w:rsid w:val="00B04633"/>
    <w:rsid w:val="00B04652"/>
    <w:rsid w:val="00B04920"/>
    <w:rsid w:val="00B049A9"/>
    <w:rsid w:val="00B04A0C"/>
    <w:rsid w:val="00B04A21"/>
    <w:rsid w:val="00B04AD1"/>
    <w:rsid w:val="00B04AE8"/>
    <w:rsid w:val="00B04BD4"/>
    <w:rsid w:val="00B04C65"/>
    <w:rsid w:val="00B04CFA"/>
    <w:rsid w:val="00B04E4C"/>
    <w:rsid w:val="00B04E60"/>
    <w:rsid w:val="00B04F06"/>
    <w:rsid w:val="00B04F07"/>
    <w:rsid w:val="00B0502E"/>
    <w:rsid w:val="00B050CB"/>
    <w:rsid w:val="00B05123"/>
    <w:rsid w:val="00B0514F"/>
    <w:rsid w:val="00B05260"/>
    <w:rsid w:val="00B05386"/>
    <w:rsid w:val="00B053AF"/>
    <w:rsid w:val="00B05580"/>
    <w:rsid w:val="00B05716"/>
    <w:rsid w:val="00B057FD"/>
    <w:rsid w:val="00B058F8"/>
    <w:rsid w:val="00B059F5"/>
    <w:rsid w:val="00B05A95"/>
    <w:rsid w:val="00B05AAB"/>
    <w:rsid w:val="00B05B0B"/>
    <w:rsid w:val="00B05B5C"/>
    <w:rsid w:val="00B05BE8"/>
    <w:rsid w:val="00B05C5B"/>
    <w:rsid w:val="00B05DCC"/>
    <w:rsid w:val="00B05E1B"/>
    <w:rsid w:val="00B05E41"/>
    <w:rsid w:val="00B05E69"/>
    <w:rsid w:val="00B05F28"/>
    <w:rsid w:val="00B05F45"/>
    <w:rsid w:val="00B05FC7"/>
    <w:rsid w:val="00B060EE"/>
    <w:rsid w:val="00B0628F"/>
    <w:rsid w:val="00B06336"/>
    <w:rsid w:val="00B06355"/>
    <w:rsid w:val="00B064F2"/>
    <w:rsid w:val="00B06592"/>
    <w:rsid w:val="00B0668E"/>
    <w:rsid w:val="00B066B4"/>
    <w:rsid w:val="00B06761"/>
    <w:rsid w:val="00B0677D"/>
    <w:rsid w:val="00B067E6"/>
    <w:rsid w:val="00B0680E"/>
    <w:rsid w:val="00B069F7"/>
    <w:rsid w:val="00B06ACF"/>
    <w:rsid w:val="00B06CC5"/>
    <w:rsid w:val="00B06D4E"/>
    <w:rsid w:val="00B06E43"/>
    <w:rsid w:val="00B06E89"/>
    <w:rsid w:val="00B0705D"/>
    <w:rsid w:val="00B070D8"/>
    <w:rsid w:val="00B0710F"/>
    <w:rsid w:val="00B07286"/>
    <w:rsid w:val="00B07400"/>
    <w:rsid w:val="00B074B9"/>
    <w:rsid w:val="00B074D1"/>
    <w:rsid w:val="00B074E0"/>
    <w:rsid w:val="00B07530"/>
    <w:rsid w:val="00B075C0"/>
    <w:rsid w:val="00B07740"/>
    <w:rsid w:val="00B077C2"/>
    <w:rsid w:val="00B07938"/>
    <w:rsid w:val="00B07C75"/>
    <w:rsid w:val="00B07CF7"/>
    <w:rsid w:val="00B07D57"/>
    <w:rsid w:val="00B07E02"/>
    <w:rsid w:val="00B07E32"/>
    <w:rsid w:val="00B10074"/>
    <w:rsid w:val="00B10112"/>
    <w:rsid w:val="00B10152"/>
    <w:rsid w:val="00B101E9"/>
    <w:rsid w:val="00B10231"/>
    <w:rsid w:val="00B10361"/>
    <w:rsid w:val="00B1041A"/>
    <w:rsid w:val="00B10430"/>
    <w:rsid w:val="00B1043A"/>
    <w:rsid w:val="00B104A3"/>
    <w:rsid w:val="00B1052D"/>
    <w:rsid w:val="00B1055C"/>
    <w:rsid w:val="00B105A7"/>
    <w:rsid w:val="00B10632"/>
    <w:rsid w:val="00B106A1"/>
    <w:rsid w:val="00B106D8"/>
    <w:rsid w:val="00B10727"/>
    <w:rsid w:val="00B107FD"/>
    <w:rsid w:val="00B10A16"/>
    <w:rsid w:val="00B10A33"/>
    <w:rsid w:val="00B10AAF"/>
    <w:rsid w:val="00B10B23"/>
    <w:rsid w:val="00B10B7C"/>
    <w:rsid w:val="00B10BC5"/>
    <w:rsid w:val="00B10CAF"/>
    <w:rsid w:val="00B10DD2"/>
    <w:rsid w:val="00B10DF7"/>
    <w:rsid w:val="00B11118"/>
    <w:rsid w:val="00B1113A"/>
    <w:rsid w:val="00B111F4"/>
    <w:rsid w:val="00B11278"/>
    <w:rsid w:val="00B112C9"/>
    <w:rsid w:val="00B112DA"/>
    <w:rsid w:val="00B11376"/>
    <w:rsid w:val="00B1138F"/>
    <w:rsid w:val="00B113B9"/>
    <w:rsid w:val="00B1142B"/>
    <w:rsid w:val="00B11487"/>
    <w:rsid w:val="00B114B8"/>
    <w:rsid w:val="00B11570"/>
    <w:rsid w:val="00B11656"/>
    <w:rsid w:val="00B11657"/>
    <w:rsid w:val="00B11727"/>
    <w:rsid w:val="00B11755"/>
    <w:rsid w:val="00B11910"/>
    <w:rsid w:val="00B11965"/>
    <w:rsid w:val="00B11A18"/>
    <w:rsid w:val="00B11BC2"/>
    <w:rsid w:val="00B11BEF"/>
    <w:rsid w:val="00B11CA0"/>
    <w:rsid w:val="00B11D56"/>
    <w:rsid w:val="00B11D5F"/>
    <w:rsid w:val="00B11E01"/>
    <w:rsid w:val="00B11E24"/>
    <w:rsid w:val="00B11F49"/>
    <w:rsid w:val="00B11FED"/>
    <w:rsid w:val="00B12023"/>
    <w:rsid w:val="00B12060"/>
    <w:rsid w:val="00B12078"/>
    <w:rsid w:val="00B121A3"/>
    <w:rsid w:val="00B123E7"/>
    <w:rsid w:val="00B123E8"/>
    <w:rsid w:val="00B123F4"/>
    <w:rsid w:val="00B12465"/>
    <w:rsid w:val="00B12475"/>
    <w:rsid w:val="00B1249B"/>
    <w:rsid w:val="00B124E4"/>
    <w:rsid w:val="00B12537"/>
    <w:rsid w:val="00B12561"/>
    <w:rsid w:val="00B12608"/>
    <w:rsid w:val="00B12612"/>
    <w:rsid w:val="00B126BD"/>
    <w:rsid w:val="00B12709"/>
    <w:rsid w:val="00B12740"/>
    <w:rsid w:val="00B12824"/>
    <w:rsid w:val="00B12847"/>
    <w:rsid w:val="00B1284F"/>
    <w:rsid w:val="00B128BA"/>
    <w:rsid w:val="00B129C2"/>
    <w:rsid w:val="00B129CA"/>
    <w:rsid w:val="00B129F2"/>
    <w:rsid w:val="00B12A8A"/>
    <w:rsid w:val="00B12B08"/>
    <w:rsid w:val="00B12B23"/>
    <w:rsid w:val="00B12C13"/>
    <w:rsid w:val="00B12C6F"/>
    <w:rsid w:val="00B12D9F"/>
    <w:rsid w:val="00B12E1E"/>
    <w:rsid w:val="00B12E2F"/>
    <w:rsid w:val="00B12E3A"/>
    <w:rsid w:val="00B12E4B"/>
    <w:rsid w:val="00B12E73"/>
    <w:rsid w:val="00B12E82"/>
    <w:rsid w:val="00B13007"/>
    <w:rsid w:val="00B1300D"/>
    <w:rsid w:val="00B1305E"/>
    <w:rsid w:val="00B13142"/>
    <w:rsid w:val="00B13192"/>
    <w:rsid w:val="00B131B7"/>
    <w:rsid w:val="00B13264"/>
    <w:rsid w:val="00B13292"/>
    <w:rsid w:val="00B1332E"/>
    <w:rsid w:val="00B133C5"/>
    <w:rsid w:val="00B13415"/>
    <w:rsid w:val="00B136B5"/>
    <w:rsid w:val="00B13859"/>
    <w:rsid w:val="00B13954"/>
    <w:rsid w:val="00B13A0B"/>
    <w:rsid w:val="00B13AA6"/>
    <w:rsid w:val="00B13AD4"/>
    <w:rsid w:val="00B13B9F"/>
    <w:rsid w:val="00B13CC2"/>
    <w:rsid w:val="00B13CC5"/>
    <w:rsid w:val="00B13D6A"/>
    <w:rsid w:val="00B13EDF"/>
    <w:rsid w:val="00B14119"/>
    <w:rsid w:val="00B14342"/>
    <w:rsid w:val="00B143A7"/>
    <w:rsid w:val="00B143CC"/>
    <w:rsid w:val="00B14524"/>
    <w:rsid w:val="00B1453B"/>
    <w:rsid w:val="00B14656"/>
    <w:rsid w:val="00B1469B"/>
    <w:rsid w:val="00B14707"/>
    <w:rsid w:val="00B147F2"/>
    <w:rsid w:val="00B14927"/>
    <w:rsid w:val="00B14A0D"/>
    <w:rsid w:val="00B14A4E"/>
    <w:rsid w:val="00B14AC9"/>
    <w:rsid w:val="00B14AE4"/>
    <w:rsid w:val="00B14C00"/>
    <w:rsid w:val="00B14D62"/>
    <w:rsid w:val="00B14D64"/>
    <w:rsid w:val="00B14D73"/>
    <w:rsid w:val="00B14E4E"/>
    <w:rsid w:val="00B14E60"/>
    <w:rsid w:val="00B14EAE"/>
    <w:rsid w:val="00B14F14"/>
    <w:rsid w:val="00B14F59"/>
    <w:rsid w:val="00B14F5C"/>
    <w:rsid w:val="00B14F8F"/>
    <w:rsid w:val="00B14F9B"/>
    <w:rsid w:val="00B14FC5"/>
    <w:rsid w:val="00B1502A"/>
    <w:rsid w:val="00B15074"/>
    <w:rsid w:val="00B15075"/>
    <w:rsid w:val="00B1514B"/>
    <w:rsid w:val="00B1519F"/>
    <w:rsid w:val="00B15222"/>
    <w:rsid w:val="00B1527E"/>
    <w:rsid w:val="00B1528F"/>
    <w:rsid w:val="00B15364"/>
    <w:rsid w:val="00B15366"/>
    <w:rsid w:val="00B153B4"/>
    <w:rsid w:val="00B15447"/>
    <w:rsid w:val="00B154F7"/>
    <w:rsid w:val="00B155D4"/>
    <w:rsid w:val="00B155F7"/>
    <w:rsid w:val="00B156D2"/>
    <w:rsid w:val="00B156E3"/>
    <w:rsid w:val="00B157AA"/>
    <w:rsid w:val="00B158F3"/>
    <w:rsid w:val="00B15948"/>
    <w:rsid w:val="00B15975"/>
    <w:rsid w:val="00B159C2"/>
    <w:rsid w:val="00B15AC7"/>
    <w:rsid w:val="00B15B70"/>
    <w:rsid w:val="00B15C5D"/>
    <w:rsid w:val="00B15D01"/>
    <w:rsid w:val="00B15D1A"/>
    <w:rsid w:val="00B15DAC"/>
    <w:rsid w:val="00B15E21"/>
    <w:rsid w:val="00B15EA8"/>
    <w:rsid w:val="00B1614A"/>
    <w:rsid w:val="00B161CE"/>
    <w:rsid w:val="00B16250"/>
    <w:rsid w:val="00B162A6"/>
    <w:rsid w:val="00B1633D"/>
    <w:rsid w:val="00B16411"/>
    <w:rsid w:val="00B16440"/>
    <w:rsid w:val="00B1652C"/>
    <w:rsid w:val="00B1659B"/>
    <w:rsid w:val="00B16768"/>
    <w:rsid w:val="00B16844"/>
    <w:rsid w:val="00B1684B"/>
    <w:rsid w:val="00B16986"/>
    <w:rsid w:val="00B16A9E"/>
    <w:rsid w:val="00B16AE9"/>
    <w:rsid w:val="00B16B3B"/>
    <w:rsid w:val="00B16B9C"/>
    <w:rsid w:val="00B16C5E"/>
    <w:rsid w:val="00B16C80"/>
    <w:rsid w:val="00B16E87"/>
    <w:rsid w:val="00B16E91"/>
    <w:rsid w:val="00B16EA1"/>
    <w:rsid w:val="00B16EA5"/>
    <w:rsid w:val="00B16F60"/>
    <w:rsid w:val="00B16FD1"/>
    <w:rsid w:val="00B17190"/>
    <w:rsid w:val="00B172D5"/>
    <w:rsid w:val="00B172E3"/>
    <w:rsid w:val="00B1732D"/>
    <w:rsid w:val="00B17369"/>
    <w:rsid w:val="00B17372"/>
    <w:rsid w:val="00B173D1"/>
    <w:rsid w:val="00B1748C"/>
    <w:rsid w:val="00B174ED"/>
    <w:rsid w:val="00B174EE"/>
    <w:rsid w:val="00B1760D"/>
    <w:rsid w:val="00B176A0"/>
    <w:rsid w:val="00B177D3"/>
    <w:rsid w:val="00B178ED"/>
    <w:rsid w:val="00B179AE"/>
    <w:rsid w:val="00B179B0"/>
    <w:rsid w:val="00B17AA9"/>
    <w:rsid w:val="00B17B3B"/>
    <w:rsid w:val="00B17B70"/>
    <w:rsid w:val="00B17D3D"/>
    <w:rsid w:val="00B17EC1"/>
    <w:rsid w:val="00B17F4C"/>
    <w:rsid w:val="00B17F6A"/>
    <w:rsid w:val="00B17F93"/>
    <w:rsid w:val="00B17F9B"/>
    <w:rsid w:val="00B17F9D"/>
    <w:rsid w:val="00B17FD5"/>
    <w:rsid w:val="00B200D2"/>
    <w:rsid w:val="00B202F1"/>
    <w:rsid w:val="00B204F4"/>
    <w:rsid w:val="00B20584"/>
    <w:rsid w:val="00B205E4"/>
    <w:rsid w:val="00B2062C"/>
    <w:rsid w:val="00B20687"/>
    <w:rsid w:val="00B206BF"/>
    <w:rsid w:val="00B20826"/>
    <w:rsid w:val="00B20893"/>
    <w:rsid w:val="00B208E4"/>
    <w:rsid w:val="00B20927"/>
    <w:rsid w:val="00B209B2"/>
    <w:rsid w:val="00B209F4"/>
    <w:rsid w:val="00B20A46"/>
    <w:rsid w:val="00B20BA6"/>
    <w:rsid w:val="00B20CAB"/>
    <w:rsid w:val="00B20CF1"/>
    <w:rsid w:val="00B20F21"/>
    <w:rsid w:val="00B20F3B"/>
    <w:rsid w:val="00B20F45"/>
    <w:rsid w:val="00B20FAB"/>
    <w:rsid w:val="00B20FCD"/>
    <w:rsid w:val="00B21010"/>
    <w:rsid w:val="00B21057"/>
    <w:rsid w:val="00B211B1"/>
    <w:rsid w:val="00B211BE"/>
    <w:rsid w:val="00B211CB"/>
    <w:rsid w:val="00B21229"/>
    <w:rsid w:val="00B21239"/>
    <w:rsid w:val="00B2123A"/>
    <w:rsid w:val="00B212CB"/>
    <w:rsid w:val="00B212D5"/>
    <w:rsid w:val="00B21480"/>
    <w:rsid w:val="00B21482"/>
    <w:rsid w:val="00B21609"/>
    <w:rsid w:val="00B2163D"/>
    <w:rsid w:val="00B216E4"/>
    <w:rsid w:val="00B21811"/>
    <w:rsid w:val="00B2181D"/>
    <w:rsid w:val="00B21860"/>
    <w:rsid w:val="00B21907"/>
    <w:rsid w:val="00B21955"/>
    <w:rsid w:val="00B21990"/>
    <w:rsid w:val="00B219E0"/>
    <w:rsid w:val="00B21A16"/>
    <w:rsid w:val="00B21C1C"/>
    <w:rsid w:val="00B21C2D"/>
    <w:rsid w:val="00B21D43"/>
    <w:rsid w:val="00B21F72"/>
    <w:rsid w:val="00B22048"/>
    <w:rsid w:val="00B2213F"/>
    <w:rsid w:val="00B22190"/>
    <w:rsid w:val="00B22208"/>
    <w:rsid w:val="00B22224"/>
    <w:rsid w:val="00B222C3"/>
    <w:rsid w:val="00B222F1"/>
    <w:rsid w:val="00B22329"/>
    <w:rsid w:val="00B2246F"/>
    <w:rsid w:val="00B22584"/>
    <w:rsid w:val="00B22598"/>
    <w:rsid w:val="00B2274E"/>
    <w:rsid w:val="00B2274F"/>
    <w:rsid w:val="00B22776"/>
    <w:rsid w:val="00B22854"/>
    <w:rsid w:val="00B2286E"/>
    <w:rsid w:val="00B228DD"/>
    <w:rsid w:val="00B22A21"/>
    <w:rsid w:val="00B22A4A"/>
    <w:rsid w:val="00B22A84"/>
    <w:rsid w:val="00B22AAF"/>
    <w:rsid w:val="00B22B68"/>
    <w:rsid w:val="00B22BBD"/>
    <w:rsid w:val="00B22C03"/>
    <w:rsid w:val="00B22C9B"/>
    <w:rsid w:val="00B22E31"/>
    <w:rsid w:val="00B22E83"/>
    <w:rsid w:val="00B22F3B"/>
    <w:rsid w:val="00B22F42"/>
    <w:rsid w:val="00B22FFD"/>
    <w:rsid w:val="00B23201"/>
    <w:rsid w:val="00B23203"/>
    <w:rsid w:val="00B232FD"/>
    <w:rsid w:val="00B233C7"/>
    <w:rsid w:val="00B23448"/>
    <w:rsid w:val="00B234CB"/>
    <w:rsid w:val="00B23500"/>
    <w:rsid w:val="00B23567"/>
    <w:rsid w:val="00B23577"/>
    <w:rsid w:val="00B2364A"/>
    <w:rsid w:val="00B2368B"/>
    <w:rsid w:val="00B2371B"/>
    <w:rsid w:val="00B2379E"/>
    <w:rsid w:val="00B237A3"/>
    <w:rsid w:val="00B23855"/>
    <w:rsid w:val="00B239C3"/>
    <w:rsid w:val="00B23AB3"/>
    <w:rsid w:val="00B23BAB"/>
    <w:rsid w:val="00B23BC6"/>
    <w:rsid w:val="00B23C2E"/>
    <w:rsid w:val="00B23C92"/>
    <w:rsid w:val="00B23C9A"/>
    <w:rsid w:val="00B23CD9"/>
    <w:rsid w:val="00B23D24"/>
    <w:rsid w:val="00B23DA2"/>
    <w:rsid w:val="00B23E30"/>
    <w:rsid w:val="00B23ECF"/>
    <w:rsid w:val="00B23F15"/>
    <w:rsid w:val="00B23F3F"/>
    <w:rsid w:val="00B23FAC"/>
    <w:rsid w:val="00B23FBB"/>
    <w:rsid w:val="00B2401F"/>
    <w:rsid w:val="00B24147"/>
    <w:rsid w:val="00B24183"/>
    <w:rsid w:val="00B241F0"/>
    <w:rsid w:val="00B2427D"/>
    <w:rsid w:val="00B244B9"/>
    <w:rsid w:val="00B24599"/>
    <w:rsid w:val="00B245B3"/>
    <w:rsid w:val="00B2461B"/>
    <w:rsid w:val="00B24687"/>
    <w:rsid w:val="00B247AF"/>
    <w:rsid w:val="00B24822"/>
    <w:rsid w:val="00B24AEF"/>
    <w:rsid w:val="00B24CCE"/>
    <w:rsid w:val="00B24D43"/>
    <w:rsid w:val="00B24D5C"/>
    <w:rsid w:val="00B24DD2"/>
    <w:rsid w:val="00B24E39"/>
    <w:rsid w:val="00B24E6F"/>
    <w:rsid w:val="00B24EBE"/>
    <w:rsid w:val="00B24ECC"/>
    <w:rsid w:val="00B24FDA"/>
    <w:rsid w:val="00B25072"/>
    <w:rsid w:val="00B25078"/>
    <w:rsid w:val="00B252E5"/>
    <w:rsid w:val="00B253AF"/>
    <w:rsid w:val="00B2540E"/>
    <w:rsid w:val="00B255F7"/>
    <w:rsid w:val="00B2564A"/>
    <w:rsid w:val="00B25686"/>
    <w:rsid w:val="00B2570C"/>
    <w:rsid w:val="00B2570E"/>
    <w:rsid w:val="00B25793"/>
    <w:rsid w:val="00B25795"/>
    <w:rsid w:val="00B257AB"/>
    <w:rsid w:val="00B25840"/>
    <w:rsid w:val="00B25846"/>
    <w:rsid w:val="00B25874"/>
    <w:rsid w:val="00B2589D"/>
    <w:rsid w:val="00B25901"/>
    <w:rsid w:val="00B25AE2"/>
    <w:rsid w:val="00B25B81"/>
    <w:rsid w:val="00B25B92"/>
    <w:rsid w:val="00B25BE8"/>
    <w:rsid w:val="00B25C30"/>
    <w:rsid w:val="00B25C76"/>
    <w:rsid w:val="00B25D17"/>
    <w:rsid w:val="00B25DEF"/>
    <w:rsid w:val="00B25E24"/>
    <w:rsid w:val="00B25E69"/>
    <w:rsid w:val="00B25E6A"/>
    <w:rsid w:val="00B25F88"/>
    <w:rsid w:val="00B25FC1"/>
    <w:rsid w:val="00B26012"/>
    <w:rsid w:val="00B26023"/>
    <w:rsid w:val="00B260F1"/>
    <w:rsid w:val="00B26145"/>
    <w:rsid w:val="00B2615F"/>
    <w:rsid w:val="00B26187"/>
    <w:rsid w:val="00B262C5"/>
    <w:rsid w:val="00B26407"/>
    <w:rsid w:val="00B2645C"/>
    <w:rsid w:val="00B2660A"/>
    <w:rsid w:val="00B26618"/>
    <w:rsid w:val="00B26659"/>
    <w:rsid w:val="00B2665D"/>
    <w:rsid w:val="00B2670A"/>
    <w:rsid w:val="00B26727"/>
    <w:rsid w:val="00B26743"/>
    <w:rsid w:val="00B2677C"/>
    <w:rsid w:val="00B26786"/>
    <w:rsid w:val="00B267B8"/>
    <w:rsid w:val="00B2680F"/>
    <w:rsid w:val="00B2685C"/>
    <w:rsid w:val="00B268FE"/>
    <w:rsid w:val="00B268FF"/>
    <w:rsid w:val="00B2697C"/>
    <w:rsid w:val="00B26A13"/>
    <w:rsid w:val="00B26B7F"/>
    <w:rsid w:val="00B26C2C"/>
    <w:rsid w:val="00B26C90"/>
    <w:rsid w:val="00B26DBA"/>
    <w:rsid w:val="00B26DCA"/>
    <w:rsid w:val="00B26DF1"/>
    <w:rsid w:val="00B26DF3"/>
    <w:rsid w:val="00B26E26"/>
    <w:rsid w:val="00B26EBE"/>
    <w:rsid w:val="00B26EFE"/>
    <w:rsid w:val="00B26F60"/>
    <w:rsid w:val="00B26F94"/>
    <w:rsid w:val="00B26FE9"/>
    <w:rsid w:val="00B271EB"/>
    <w:rsid w:val="00B27329"/>
    <w:rsid w:val="00B2736D"/>
    <w:rsid w:val="00B273F4"/>
    <w:rsid w:val="00B274AD"/>
    <w:rsid w:val="00B27570"/>
    <w:rsid w:val="00B2758D"/>
    <w:rsid w:val="00B27768"/>
    <w:rsid w:val="00B2779C"/>
    <w:rsid w:val="00B2783D"/>
    <w:rsid w:val="00B27996"/>
    <w:rsid w:val="00B27ADA"/>
    <w:rsid w:val="00B27B02"/>
    <w:rsid w:val="00B27C66"/>
    <w:rsid w:val="00B27CFD"/>
    <w:rsid w:val="00B27D08"/>
    <w:rsid w:val="00B27DBF"/>
    <w:rsid w:val="00B27E05"/>
    <w:rsid w:val="00B27E9A"/>
    <w:rsid w:val="00B27F9F"/>
    <w:rsid w:val="00B30046"/>
    <w:rsid w:val="00B30105"/>
    <w:rsid w:val="00B30130"/>
    <w:rsid w:val="00B30304"/>
    <w:rsid w:val="00B30371"/>
    <w:rsid w:val="00B30380"/>
    <w:rsid w:val="00B30441"/>
    <w:rsid w:val="00B30442"/>
    <w:rsid w:val="00B30486"/>
    <w:rsid w:val="00B3056C"/>
    <w:rsid w:val="00B3057F"/>
    <w:rsid w:val="00B306F3"/>
    <w:rsid w:val="00B30718"/>
    <w:rsid w:val="00B3074B"/>
    <w:rsid w:val="00B307EB"/>
    <w:rsid w:val="00B3095B"/>
    <w:rsid w:val="00B30966"/>
    <w:rsid w:val="00B30979"/>
    <w:rsid w:val="00B309A5"/>
    <w:rsid w:val="00B30A76"/>
    <w:rsid w:val="00B30AEC"/>
    <w:rsid w:val="00B30B5B"/>
    <w:rsid w:val="00B30C3F"/>
    <w:rsid w:val="00B30CE1"/>
    <w:rsid w:val="00B30CFD"/>
    <w:rsid w:val="00B30F27"/>
    <w:rsid w:val="00B31085"/>
    <w:rsid w:val="00B31165"/>
    <w:rsid w:val="00B31180"/>
    <w:rsid w:val="00B3136C"/>
    <w:rsid w:val="00B3136F"/>
    <w:rsid w:val="00B31393"/>
    <w:rsid w:val="00B313D7"/>
    <w:rsid w:val="00B3142C"/>
    <w:rsid w:val="00B31451"/>
    <w:rsid w:val="00B3156E"/>
    <w:rsid w:val="00B315B9"/>
    <w:rsid w:val="00B31606"/>
    <w:rsid w:val="00B3169A"/>
    <w:rsid w:val="00B317E6"/>
    <w:rsid w:val="00B31A2A"/>
    <w:rsid w:val="00B31B14"/>
    <w:rsid w:val="00B31B53"/>
    <w:rsid w:val="00B31BC3"/>
    <w:rsid w:val="00B31BD8"/>
    <w:rsid w:val="00B31BE9"/>
    <w:rsid w:val="00B31C23"/>
    <w:rsid w:val="00B31C30"/>
    <w:rsid w:val="00B31C9E"/>
    <w:rsid w:val="00B31CB6"/>
    <w:rsid w:val="00B31D1A"/>
    <w:rsid w:val="00B31D3E"/>
    <w:rsid w:val="00B31D89"/>
    <w:rsid w:val="00B31DC9"/>
    <w:rsid w:val="00B31DD6"/>
    <w:rsid w:val="00B31DE7"/>
    <w:rsid w:val="00B31EC5"/>
    <w:rsid w:val="00B31F28"/>
    <w:rsid w:val="00B31F52"/>
    <w:rsid w:val="00B322D8"/>
    <w:rsid w:val="00B3235C"/>
    <w:rsid w:val="00B323BD"/>
    <w:rsid w:val="00B32447"/>
    <w:rsid w:val="00B324BE"/>
    <w:rsid w:val="00B324FA"/>
    <w:rsid w:val="00B32543"/>
    <w:rsid w:val="00B3255A"/>
    <w:rsid w:val="00B325C8"/>
    <w:rsid w:val="00B32618"/>
    <w:rsid w:val="00B326F5"/>
    <w:rsid w:val="00B3277E"/>
    <w:rsid w:val="00B32866"/>
    <w:rsid w:val="00B32916"/>
    <w:rsid w:val="00B32918"/>
    <w:rsid w:val="00B32A03"/>
    <w:rsid w:val="00B32A40"/>
    <w:rsid w:val="00B32A93"/>
    <w:rsid w:val="00B32AE9"/>
    <w:rsid w:val="00B32BFF"/>
    <w:rsid w:val="00B32C1B"/>
    <w:rsid w:val="00B32D3A"/>
    <w:rsid w:val="00B32D6C"/>
    <w:rsid w:val="00B32EBF"/>
    <w:rsid w:val="00B32F30"/>
    <w:rsid w:val="00B32FDD"/>
    <w:rsid w:val="00B331E9"/>
    <w:rsid w:val="00B3326B"/>
    <w:rsid w:val="00B3337E"/>
    <w:rsid w:val="00B3343E"/>
    <w:rsid w:val="00B33461"/>
    <w:rsid w:val="00B3349E"/>
    <w:rsid w:val="00B33552"/>
    <w:rsid w:val="00B33677"/>
    <w:rsid w:val="00B336EE"/>
    <w:rsid w:val="00B33768"/>
    <w:rsid w:val="00B33802"/>
    <w:rsid w:val="00B33833"/>
    <w:rsid w:val="00B33873"/>
    <w:rsid w:val="00B339BF"/>
    <w:rsid w:val="00B33A35"/>
    <w:rsid w:val="00B33C48"/>
    <w:rsid w:val="00B33C9C"/>
    <w:rsid w:val="00B33CF0"/>
    <w:rsid w:val="00B33D11"/>
    <w:rsid w:val="00B33D28"/>
    <w:rsid w:val="00B33D52"/>
    <w:rsid w:val="00B33DE4"/>
    <w:rsid w:val="00B33E56"/>
    <w:rsid w:val="00B33F29"/>
    <w:rsid w:val="00B33F5B"/>
    <w:rsid w:val="00B33FF2"/>
    <w:rsid w:val="00B340C1"/>
    <w:rsid w:val="00B3411D"/>
    <w:rsid w:val="00B3417B"/>
    <w:rsid w:val="00B341D5"/>
    <w:rsid w:val="00B3423D"/>
    <w:rsid w:val="00B34264"/>
    <w:rsid w:val="00B34334"/>
    <w:rsid w:val="00B34372"/>
    <w:rsid w:val="00B3445A"/>
    <w:rsid w:val="00B3453E"/>
    <w:rsid w:val="00B34608"/>
    <w:rsid w:val="00B3460C"/>
    <w:rsid w:val="00B3462D"/>
    <w:rsid w:val="00B3467E"/>
    <w:rsid w:val="00B346C1"/>
    <w:rsid w:val="00B346EF"/>
    <w:rsid w:val="00B347AC"/>
    <w:rsid w:val="00B347E9"/>
    <w:rsid w:val="00B349D5"/>
    <w:rsid w:val="00B34AAD"/>
    <w:rsid w:val="00B34CAD"/>
    <w:rsid w:val="00B34CEC"/>
    <w:rsid w:val="00B34E28"/>
    <w:rsid w:val="00B34E64"/>
    <w:rsid w:val="00B34E9A"/>
    <w:rsid w:val="00B34EC6"/>
    <w:rsid w:val="00B35040"/>
    <w:rsid w:val="00B35170"/>
    <w:rsid w:val="00B351FC"/>
    <w:rsid w:val="00B352A8"/>
    <w:rsid w:val="00B354FC"/>
    <w:rsid w:val="00B35538"/>
    <w:rsid w:val="00B3553E"/>
    <w:rsid w:val="00B355D0"/>
    <w:rsid w:val="00B355FE"/>
    <w:rsid w:val="00B35676"/>
    <w:rsid w:val="00B356DE"/>
    <w:rsid w:val="00B3574C"/>
    <w:rsid w:val="00B35851"/>
    <w:rsid w:val="00B359EC"/>
    <w:rsid w:val="00B35A00"/>
    <w:rsid w:val="00B35A23"/>
    <w:rsid w:val="00B35A7D"/>
    <w:rsid w:val="00B35BAF"/>
    <w:rsid w:val="00B35BE5"/>
    <w:rsid w:val="00B35C56"/>
    <w:rsid w:val="00B35C77"/>
    <w:rsid w:val="00B35CDE"/>
    <w:rsid w:val="00B35D7C"/>
    <w:rsid w:val="00B35F1B"/>
    <w:rsid w:val="00B35F52"/>
    <w:rsid w:val="00B35F92"/>
    <w:rsid w:val="00B35FA4"/>
    <w:rsid w:val="00B35FDB"/>
    <w:rsid w:val="00B360A6"/>
    <w:rsid w:val="00B360AD"/>
    <w:rsid w:val="00B360E9"/>
    <w:rsid w:val="00B36168"/>
    <w:rsid w:val="00B36203"/>
    <w:rsid w:val="00B3626F"/>
    <w:rsid w:val="00B362A0"/>
    <w:rsid w:val="00B36313"/>
    <w:rsid w:val="00B36316"/>
    <w:rsid w:val="00B36360"/>
    <w:rsid w:val="00B364A1"/>
    <w:rsid w:val="00B364F0"/>
    <w:rsid w:val="00B36586"/>
    <w:rsid w:val="00B365B8"/>
    <w:rsid w:val="00B365C9"/>
    <w:rsid w:val="00B36621"/>
    <w:rsid w:val="00B36685"/>
    <w:rsid w:val="00B3672B"/>
    <w:rsid w:val="00B36779"/>
    <w:rsid w:val="00B36799"/>
    <w:rsid w:val="00B368E6"/>
    <w:rsid w:val="00B368FA"/>
    <w:rsid w:val="00B369C1"/>
    <w:rsid w:val="00B36B0C"/>
    <w:rsid w:val="00B36CF5"/>
    <w:rsid w:val="00B36CF7"/>
    <w:rsid w:val="00B36E44"/>
    <w:rsid w:val="00B36FB1"/>
    <w:rsid w:val="00B370A3"/>
    <w:rsid w:val="00B370B1"/>
    <w:rsid w:val="00B37131"/>
    <w:rsid w:val="00B37150"/>
    <w:rsid w:val="00B37156"/>
    <w:rsid w:val="00B371E2"/>
    <w:rsid w:val="00B37310"/>
    <w:rsid w:val="00B3743D"/>
    <w:rsid w:val="00B3744A"/>
    <w:rsid w:val="00B374BB"/>
    <w:rsid w:val="00B374DE"/>
    <w:rsid w:val="00B375E4"/>
    <w:rsid w:val="00B37622"/>
    <w:rsid w:val="00B37644"/>
    <w:rsid w:val="00B3766F"/>
    <w:rsid w:val="00B3768A"/>
    <w:rsid w:val="00B376C9"/>
    <w:rsid w:val="00B37799"/>
    <w:rsid w:val="00B378B6"/>
    <w:rsid w:val="00B37910"/>
    <w:rsid w:val="00B37988"/>
    <w:rsid w:val="00B379D8"/>
    <w:rsid w:val="00B379FD"/>
    <w:rsid w:val="00B37B0B"/>
    <w:rsid w:val="00B37B91"/>
    <w:rsid w:val="00B37BAE"/>
    <w:rsid w:val="00B37C3F"/>
    <w:rsid w:val="00B37CB9"/>
    <w:rsid w:val="00B37D71"/>
    <w:rsid w:val="00B37EA2"/>
    <w:rsid w:val="00B37EA8"/>
    <w:rsid w:val="00B37EBF"/>
    <w:rsid w:val="00B37F1F"/>
    <w:rsid w:val="00B37F8E"/>
    <w:rsid w:val="00B4008D"/>
    <w:rsid w:val="00B400CC"/>
    <w:rsid w:val="00B40103"/>
    <w:rsid w:val="00B4017B"/>
    <w:rsid w:val="00B40195"/>
    <w:rsid w:val="00B40209"/>
    <w:rsid w:val="00B4044D"/>
    <w:rsid w:val="00B4056A"/>
    <w:rsid w:val="00B40574"/>
    <w:rsid w:val="00B4063C"/>
    <w:rsid w:val="00B40690"/>
    <w:rsid w:val="00B406AF"/>
    <w:rsid w:val="00B406D0"/>
    <w:rsid w:val="00B40822"/>
    <w:rsid w:val="00B4086D"/>
    <w:rsid w:val="00B40A03"/>
    <w:rsid w:val="00B40AAA"/>
    <w:rsid w:val="00B40AB3"/>
    <w:rsid w:val="00B40B34"/>
    <w:rsid w:val="00B40CDC"/>
    <w:rsid w:val="00B40E6E"/>
    <w:rsid w:val="00B40E8D"/>
    <w:rsid w:val="00B40ED1"/>
    <w:rsid w:val="00B40EE7"/>
    <w:rsid w:val="00B40F52"/>
    <w:rsid w:val="00B40F5E"/>
    <w:rsid w:val="00B41044"/>
    <w:rsid w:val="00B411D4"/>
    <w:rsid w:val="00B411FB"/>
    <w:rsid w:val="00B412A0"/>
    <w:rsid w:val="00B4132E"/>
    <w:rsid w:val="00B4133B"/>
    <w:rsid w:val="00B413F8"/>
    <w:rsid w:val="00B414FB"/>
    <w:rsid w:val="00B41561"/>
    <w:rsid w:val="00B415EF"/>
    <w:rsid w:val="00B41699"/>
    <w:rsid w:val="00B4179A"/>
    <w:rsid w:val="00B4184D"/>
    <w:rsid w:val="00B4195B"/>
    <w:rsid w:val="00B41A15"/>
    <w:rsid w:val="00B41CD8"/>
    <w:rsid w:val="00B41DF2"/>
    <w:rsid w:val="00B41E06"/>
    <w:rsid w:val="00B41E46"/>
    <w:rsid w:val="00B41FEA"/>
    <w:rsid w:val="00B42054"/>
    <w:rsid w:val="00B420A2"/>
    <w:rsid w:val="00B420C3"/>
    <w:rsid w:val="00B420CC"/>
    <w:rsid w:val="00B420DE"/>
    <w:rsid w:val="00B42121"/>
    <w:rsid w:val="00B4213C"/>
    <w:rsid w:val="00B4217F"/>
    <w:rsid w:val="00B421E9"/>
    <w:rsid w:val="00B4220C"/>
    <w:rsid w:val="00B4224E"/>
    <w:rsid w:val="00B422C1"/>
    <w:rsid w:val="00B42316"/>
    <w:rsid w:val="00B423DB"/>
    <w:rsid w:val="00B42459"/>
    <w:rsid w:val="00B4246F"/>
    <w:rsid w:val="00B42629"/>
    <w:rsid w:val="00B426F3"/>
    <w:rsid w:val="00B42784"/>
    <w:rsid w:val="00B427B5"/>
    <w:rsid w:val="00B42820"/>
    <w:rsid w:val="00B42822"/>
    <w:rsid w:val="00B42852"/>
    <w:rsid w:val="00B42887"/>
    <w:rsid w:val="00B428AA"/>
    <w:rsid w:val="00B42989"/>
    <w:rsid w:val="00B42995"/>
    <w:rsid w:val="00B42B8E"/>
    <w:rsid w:val="00B42C5B"/>
    <w:rsid w:val="00B42C7C"/>
    <w:rsid w:val="00B42D5C"/>
    <w:rsid w:val="00B42D78"/>
    <w:rsid w:val="00B42DB6"/>
    <w:rsid w:val="00B42DD9"/>
    <w:rsid w:val="00B42E3C"/>
    <w:rsid w:val="00B42E8D"/>
    <w:rsid w:val="00B42F64"/>
    <w:rsid w:val="00B42FE8"/>
    <w:rsid w:val="00B430D6"/>
    <w:rsid w:val="00B4318F"/>
    <w:rsid w:val="00B432D3"/>
    <w:rsid w:val="00B433DC"/>
    <w:rsid w:val="00B434AD"/>
    <w:rsid w:val="00B43562"/>
    <w:rsid w:val="00B435F6"/>
    <w:rsid w:val="00B43673"/>
    <w:rsid w:val="00B436D9"/>
    <w:rsid w:val="00B436E9"/>
    <w:rsid w:val="00B43827"/>
    <w:rsid w:val="00B438A7"/>
    <w:rsid w:val="00B438C3"/>
    <w:rsid w:val="00B43908"/>
    <w:rsid w:val="00B43931"/>
    <w:rsid w:val="00B43998"/>
    <w:rsid w:val="00B439EC"/>
    <w:rsid w:val="00B43B59"/>
    <w:rsid w:val="00B43B6C"/>
    <w:rsid w:val="00B43D77"/>
    <w:rsid w:val="00B43DC2"/>
    <w:rsid w:val="00B43E00"/>
    <w:rsid w:val="00B43E97"/>
    <w:rsid w:val="00B44036"/>
    <w:rsid w:val="00B442DF"/>
    <w:rsid w:val="00B4446A"/>
    <w:rsid w:val="00B4447A"/>
    <w:rsid w:val="00B44483"/>
    <w:rsid w:val="00B445C6"/>
    <w:rsid w:val="00B44604"/>
    <w:rsid w:val="00B446B6"/>
    <w:rsid w:val="00B446C1"/>
    <w:rsid w:val="00B44765"/>
    <w:rsid w:val="00B447A4"/>
    <w:rsid w:val="00B4481B"/>
    <w:rsid w:val="00B44950"/>
    <w:rsid w:val="00B44C5E"/>
    <w:rsid w:val="00B44CC6"/>
    <w:rsid w:val="00B44CDE"/>
    <w:rsid w:val="00B44CF2"/>
    <w:rsid w:val="00B44D8A"/>
    <w:rsid w:val="00B44DAE"/>
    <w:rsid w:val="00B44DEC"/>
    <w:rsid w:val="00B44EE4"/>
    <w:rsid w:val="00B45048"/>
    <w:rsid w:val="00B4514D"/>
    <w:rsid w:val="00B45272"/>
    <w:rsid w:val="00B45311"/>
    <w:rsid w:val="00B453AE"/>
    <w:rsid w:val="00B45497"/>
    <w:rsid w:val="00B4549E"/>
    <w:rsid w:val="00B454AE"/>
    <w:rsid w:val="00B454FA"/>
    <w:rsid w:val="00B45544"/>
    <w:rsid w:val="00B4593F"/>
    <w:rsid w:val="00B4596E"/>
    <w:rsid w:val="00B459A4"/>
    <w:rsid w:val="00B45B84"/>
    <w:rsid w:val="00B45C0C"/>
    <w:rsid w:val="00B45D70"/>
    <w:rsid w:val="00B45D81"/>
    <w:rsid w:val="00B45E07"/>
    <w:rsid w:val="00B45E83"/>
    <w:rsid w:val="00B45F7A"/>
    <w:rsid w:val="00B45F84"/>
    <w:rsid w:val="00B46114"/>
    <w:rsid w:val="00B461B0"/>
    <w:rsid w:val="00B461CA"/>
    <w:rsid w:val="00B461D3"/>
    <w:rsid w:val="00B462D5"/>
    <w:rsid w:val="00B46432"/>
    <w:rsid w:val="00B46475"/>
    <w:rsid w:val="00B46490"/>
    <w:rsid w:val="00B4650D"/>
    <w:rsid w:val="00B4658D"/>
    <w:rsid w:val="00B466A7"/>
    <w:rsid w:val="00B466CA"/>
    <w:rsid w:val="00B466EF"/>
    <w:rsid w:val="00B468F6"/>
    <w:rsid w:val="00B46926"/>
    <w:rsid w:val="00B46A06"/>
    <w:rsid w:val="00B46AA5"/>
    <w:rsid w:val="00B46B26"/>
    <w:rsid w:val="00B46B27"/>
    <w:rsid w:val="00B46B9D"/>
    <w:rsid w:val="00B46C40"/>
    <w:rsid w:val="00B46CE7"/>
    <w:rsid w:val="00B46D98"/>
    <w:rsid w:val="00B46D9D"/>
    <w:rsid w:val="00B46E76"/>
    <w:rsid w:val="00B46FDF"/>
    <w:rsid w:val="00B4706D"/>
    <w:rsid w:val="00B4724A"/>
    <w:rsid w:val="00B4740D"/>
    <w:rsid w:val="00B4750A"/>
    <w:rsid w:val="00B475B5"/>
    <w:rsid w:val="00B47722"/>
    <w:rsid w:val="00B4775C"/>
    <w:rsid w:val="00B477E6"/>
    <w:rsid w:val="00B47915"/>
    <w:rsid w:val="00B479F3"/>
    <w:rsid w:val="00B47A77"/>
    <w:rsid w:val="00B47B5F"/>
    <w:rsid w:val="00B47BDA"/>
    <w:rsid w:val="00B47C01"/>
    <w:rsid w:val="00B47DA0"/>
    <w:rsid w:val="00B47E79"/>
    <w:rsid w:val="00B47EAB"/>
    <w:rsid w:val="00B47F4B"/>
    <w:rsid w:val="00B47FD4"/>
    <w:rsid w:val="00B4BAD5"/>
    <w:rsid w:val="00B50124"/>
    <w:rsid w:val="00B50164"/>
    <w:rsid w:val="00B502C0"/>
    <w:rsid w:val="00B50354"/>
    <w:rsid w:val="00B50360"/>
    <w:rsid w:val="00B50404"/>
    <w:rsid w:val="00B505DD"/>
    <w:rsid w:val="00B50633"/>
    <w:rsid w:val="00B50748"/>
    <w:rsid w:val="00B50750"/>
    <w:rsid w:val="00B5080D"/>
    <w:rsid w:val="00B50843"/>
    <w:rsid w:val="00B5092B"/>
    <w:rsid w:val="00B50997"/>
    <w:rsid w:val="00B50A37"/>
    <w:rsid w:val="00B50B78"/>
    <w:rsid w:val="00B50B7F"/>
    <w:rsid w:val="00B50C0C"/>
    <w:rsid w:val="00B50C20"/>
    <w:rsid w:val="00B50D5A"/>
    <w:rsid w:val="00B50DC6"/>
    <w:rsid w:val="00B50DF1"/>
    <w:rsid w:val="00B50E45"/>
    <w:rsid w:val="00B50E5D"/>
    <w:rsid w:val="00B50E76"/>
    <w:rsid w:val="00B50EC3"/>
    <w:rsid w:val="00B50F98"/>
    <w:rsid w:val="00B50FCF"/>
    <w:rsid w:val="00B50FF6"/>
    <w:rsid w:val="00B51008"/>
    <w:rsid w:val="00B5105B"/>
    <w:rsid w:val="00B511A1"/>
    <w:rsid w:val="00B511CD"/>
    <w:rsid w:val="00B51216"/>
    <w:rsid w:val="00B51252"/>
    <w:rsid w:val="00B5127F"/>
    <w:rsid w:val="00B5140A"/>
    <w:rsid w:val="00B5141B"/>
    <w:rsid w:val="00B515D9"/>
    <w:rsid w:val="00B51649"/>
    <w:rsid w:val="00B51660"/>
    <w:rsid w:val="00B516DF"/>
    <w:rsid w:val="00B51704"/>
    <w:rsid w:val="00B51821"/>
    <w:rsid w:val="00B5183D"/>
    <w:rsid w:val="00B5188A"/>
    <w:rsid w:val="00B518CB"/>
    <w:rsid w:val="00B51958"/>
    <w:rsid w:val="00B51A22"/>
    <w:rsid w:val="00B51A68"/>
    <w:rsid w:val="00B51A97"/>
    <w:rsid w:val="00B51AAF"/>
    <w:rsid w:val="00B51AB4"/>
    <w:rsid w:val="00B51B7B"/>
    <w:rsid w:val="00B51BCC"/>
    <w:rsid w:val="00B51BD4"/>
    <w:rsid w:val="00B51C9C"/>
    <w:rsid w:val="00B51D14"/>
    <w:rsid w:val="00B51F38"/>
    <w:rsid w:val="00B52064"/>
    <w:rsid w:val="00B52177"/>
    <w:rsid w:val="00B5223F"/>
    <w:rsid w:val="00B52240"/>
    <w:rsid w:val="00B5227E"/>
    <w:rsid w:val="00B523C5"/>
    <w:rsid w:val="00B523D5"/>
    <w:rsid w:val="00B5247A"/>
    <w:rsid w:val="00B5247E"/>
    <w:rsid w:val="00B5250A"/>
    <w:rsid w:val="00B5252E"/>
    <w:rsid w:val="00B52538"/>
    <w:rsid w:val="00B52625"/>
    <w:rsid w:val="00B526C2"/>
    <w:rsid w:val="00B52794"/>
    <w:rsid w:val="00B5279F"/>
    <w:rsid w:val="00B528A1"/>
    <w:rsid w:val="00B528B3"/>
    <w:rsid w:val="00B529BA"/>
    <w:rsid w:val="00B52A15"/>
    <w:rsid w:val="00B52A69"/>
    <w:rsid w:val="00B52B16"/>
    <w:rsid w:val="00B52B1A"/>
    <w:rsid w:val="00B52CD0"/>
    <w:rsid w:val="00B52F0F"/>
    <w:rsid w:val="00B52FB4"/>
    <w:rsid w:val="00B52FC8"/>
    <w:rsid w:val="00B53001"/>
    <w:rsid w:val="00B53033"/>
    <w:rsid w:val="00B530A1"/>
    <w:rsid w:val="00B530FD"/>
    <w:rsid w:val="00B53170"/>
    <w:rsid w:val="00B53177"/>
    <w:rsid w:val="00B532DC"/>
    <w:rsid w:val="00B532F4"/>
    <w:rsid w:val="00B533C3"/>
    <w:rsid w:val="00B53483"/>
    <w:rsid w:val="00B534AF"/>
    <w:rsid w:val="00B534C0"/>
    <w:rsid w:val="00B534C5"/>
    <w:rsid w:val="00B53510"/>
    <w:rsid w:val="00B53625"/>
    <w:rsid w:val="00B536B6"/>
    <w:rsid w:val="00B53724"/>
    <w:rsid w:val="00B5379F"/>
    <w:rsid w:val="00B53806"/>
    <w:rsid w:val="00B53827"/>
    <w:rsid w:val="00B538FF"/>
    <w:rsid w:val="00B53989"/>
    <w:rsid w:val="00B53A5E"/>
    <w:rsid w:val="00B53A72"/>
    <w:rsid w:val="00B53BDB"/>
    <w:rsid w:val="00B53BEF"/>
    <w:rsid w:val="00B53C3B"/>
    <w:rsid w:val="00B53CB2"/>
    <w:rsid w:val="00B53D26"/>
    <w:rsid w:val="00B53D77"/>
    <w:rsid w:val="00B53D8B"/>
    <w:rsid w:val="00B53E20"/>
    <w:rsid w:val="00B53E46"/>
    <w:rsid w:val="00B53E9C"/>
    <w:rsid w:val="00B53EBF"/>
    <w:rsid w:val="00B53EEB"/>
    <w:rsid w:val="00B53F07"/>
    <w:rsid w:val="00B53F3E"/>
    <w:rsid w:val="00B53F90"/>
    <w:rsid w:val="00B540C4"/>
    <w:rsid w:val="00B540DC"/>
    <w:rsid w:val="00B54247"/>
    <w:rsid w:val="00B54395"/>
    <w:rsid w:val="00B54412"/>
    <w:rsid w:val="00B54447"/>
    <w:rsid w:val="00B54482"/>
    <w:rsid w:val="00B54527"/>
    <w:rsid w:val="00B5454E"/>
    <w:rsid w:val="00B54606"/>
    <w:rsid w:val="00B54623"/>
    <w:rsid w:val="00B54665"/>
    <w:rsid w:val="00B5475B"/>
    <w:rsid w:val="00B54785"/>
    <w:rsid w:val="00B547BB"/>
    <w:rsid w:val="00B54824"/>
    <w:rsid w:val="00B54883"/>
    <w:rsid w:val="00B54941"/>
    <w:rsid w:val="00B54B92"/>
    <w:rsid w:val="00B54D5D"/>
    <w:rsid w:val="00B54D98"/>
    <w:rsid w:val="00B54DF8"/>
    <w:rsid w:val="00B54E00"/>
    <w:rsid w:val="00B54E0C"/>
    <w:rsid w:val="00B54E30"/>
    <w:rsid w:val="00B54E33"/>
    <w:rsid w:val="00B54E7E"/>
    <w:rsid w:val="00B54ED4"/>
    <w:rsid w:val="00B54F1B"/>
    <w:rsid w:val="00B54F4A"/>
    <w:rsid w:val="00B54F9B"/>
    <w:rsid w:val="00B54FAA"/>
    <w:rsid w:val="00B5510E"/>
    <w:rsid w:val="00B551D0"/>
    <w:rsid w:val="00B551F9"/>
    <w:rsid w:val="00B5533C"/>
    <w:rsid w:val="00B5536C"/>
    <w:rsid w:val="00B55404"/>
    <w:rsid w:val="00B554BE"/>
    <w:rsid w:val="00B5551F"/>
    <w:rsid w:val="00B55570"/>
    <w:rsid w:val="00B55637"/>
    <w:rsid w:val="00B5566D"/>
    <w:rsid w:val="00B55675"/>
    <w:rsid w:val="00B55677"/>
    <w:rsid w:val="00B55772"/>
    <w:rsid w:val="00B5578E"/>
    <w:rsid w:val="00B55831"/>
    <w:rsid w:val="00B55949"/>
    <w:rsid w:val="00B55A8B"/>
    <w:rsid w:val="00B55CCA"/>
    <w:rsid w:val="00B55D6F"/>
    <w:rsid w:val="00B55E07"/>
    <w:rsid w:val="00B55ED2"/>
    <w:rsid w:val="00B55F22"/>
    <w:rsid w:val="00B55F6D"/>
    <w:rsid w:val="00B55FF3"/>
    <w:rsid w:val="00B560DB"/>
    <w:rsid w:val="00B5613E"/>
    <w:rsid w:val="00B56172"/>
    <w:rsid w:val="00B56370"/>
    <w:rsid w:val="00B56386"/>
    <w:rsid w:val="00B56541"/>
    <w:rsid w:val="00B565AA"/>
    <w:rsid w:val="00B565D6"/>
    <w:rsid w:val="00B565DE"/>
    <w:rsid w:val="00B566F0"/>
    <w:rsid w:val="00B56712"/>
    <w:rsid w:val="00B5672D"/>
    <w:rsid w:val="00B56770"/>
    <w:rsid w:val="00B5678D"/>
    <w:rsid w:val="00B567A8"/>
    <w:rsid w:val="00B568CD"/>
    <w:rsid w:val="00B5690A"/>
    <w:rsid w:val="00B56B41"/>
    <w:rsid w:val="00B56B5D"/>
    <w:rsid w:val="00B56BEA"/>
    <w:rsid w:val="00B56C11"/>
    <w:rsid w:val="00B56C4F"/>
    <w:rsid w:val="00B56D91"/>
    <w:rsid w:val="00B56E54"/>
    <w:rsid w:val="00B56FE8"/>
    <w:rsid w:val="00B57079"/>
    <w:rsid w:val="00B571E6"/>
    <w:rsid w:val="00B572FA"/>
    <w:rsid w:val="00B5730D"/>
    <w:rsid w:val="00B5737C"/>
    <w:rsid w:val="00B57385"/>
    <w:rsid w:val="00B57412"/>
    <w:rsid w:val="00B5743C"/>
    <w:rsid w:val="00B5745D"/>
    <w:rsid w:val="00B57470"/>
    <w:rsid w:val="00B57602"/>
    <w:rsid w:val="00B57716"/>
    <w:rsid w:val="00B5784C"/>
    <w:rsid w:val="00B57865"/>
    <w:rsid w:val="00B579A2"/>
    <w:rsid w:val="00B57A63"/>
    <w:rsid w:val="00B57AC3"/>
    <w:rsid w:val="00B57AEF"/>
    <w:rsid w:val="00B57BB8"/>
    <w:rsid w:val="00B57C40"/>
    <w:rsid w:val="00B57C6D"/>
    <w:rsid w:val="00B57CF3"/>
    <w:rsid w:val="00B57DBF"/>
    <w:rsid w:val="00B57F6E"/>
    <w:rsid w:val="00B57FDF"/>
    <w:rsid w:val="00B57FEB"/>
    <w:rsid w:val="00B60005"/>
    <w:rsid w:val="00B6018B"/>
    <w:rsid w:val="00B601F6"/>
    <w:rsid w:val="00B602E4"/>
    <w:rsid w:val="00B6034B"/>
    <w:rsid w:val="00B60368"/>
    <w:rsid w:val="00B6039E"/>
    <w:rsid w:val="00B603EB"/>
    <w:rsid w:val="00B60485"/>
    <w:rsid w:val="00B60505"/>
    <w:rsid w:val="00B60534"/>
    <w:rsid w:val="00B6053D"/>
    <w:rsid w:val="00B6057D"/>
    <w:rsid w:val="00B60599"/>
    <w:rsid w:val="00B605AE"/>
    <w:rsid w:val="00B6067A"/>
    <w:rsid w:val="00B60687"/>
    <w:rsid w:val="00B60700"/>
    <w:rsid w:val="00B60702"/>
    <w:rsid w:val="00B60732"/>
    <w:rsid w:val="00B607BE"/>
    <w:rsid w:val="00B60801"/>
    <w:rsid w:val="00B60811"/>
    <w:rsid w:val="00B60821"/>
    <w:rsid w:val="00B60822"/>
    <w:rsid w:val="00B6091F"/>
    <w:rsid w:val="00B609F3"/>
    <w:rsid w:val="00B60A55"/>
    <w:rsid w:val="00B60AEF"/>
    <w:rsid w:val="00B60AFF"/>
    <w:rsid w:val="00B60B08"/>
    <w:rsid w:val="00B60C55"/>
    <w:rsid w:val="00B60C74"/>
    <w:rsid w:val="00B60D51"/>
    <w:rsid w:val="00B60D82"/>
    <w:rsid w:val="00B60DF2"/>
    <w:rsid w:val="00B60E99"/>
    <w:rsid w:val="00B60EE0"/>
    <w:rsid w:val="00B60F32"/>
    <w:rsid w:val="00B61034"/>
    <w:rsid w:val="00B6103A"/>
    <w:rsid w:val="00B61097"/>
    <w:rsid w:val="00B61183"/>
    <w:rsid w:val="00B611AE"/>
    <w:rsid w:val="00B611B2"/>
    <w:rsid w:val="00B611B5"/>
    <w:rsid w:val="00B61211"/>
    <w:rsid w:val="00B6121E"/>
    <w:rsid w:val="00B61282"/>
    <w:rsid w:val="00B613B6"/>
    <w:rsid w:val="00B614AA"/>
    <w:rsid w:val="00B615D5"/>
    <w:rsid w:val="00B616E4"/>
    <w:rsid w:val="00B616EA"/>
    <w:rsid w:val="00B6174F"/>
    <w:rsid w:val="00B617D2"/>
    <w:rsid w:val="00B61802"/>
    <w:rsid w:val="00B618CB"/>
    <w:rsid w:val="00B61B36"/>
    <w:rsid w:val="00B61BC9"/>
    <w:rsid w:val="00B61C16"/>
    <w:rsid w:val="00B61C18"/>
    <w:rsid w:val="00B61C80"/>
    <w:rsid w:val="00B61C9D"/>
    <w:rsid w:val="00B61D29"/>
    <w:rsid w:val="00B61D39"/>
    <w:rsid w:val="00B61DD7"/>
    <w:rsid w:val="00B61DFB"/>
    <w:rsid w:val="00B61EEB"/>
    <w:rsid w:val="00B61F97"/>
    <w:rsid w:val="00B61FC6"/>
    <w:rsid w:val="00B62197"/>
    <w:rsid w:val="00B622DD"/>
    <w:rsid w:val="00B6235C"/>
    <w:rsid w:val="00B62371"/>
    <w:rsid w:val="00B62420"/>
    <w:rsid w:val="00B6250E"/>
    <w:rsid w:val="00B62566"/>
    <w:rsid w:val="00B625D1"/>
    <w:rsid w:val="00B6263E"/>
    <w:rsid w:val="00B627C7"/>
    <w:rsid w:val="00B62852"/>
    <w:rsid w:val="00B62934"/>
    <w:rsid w:val="00B62A28"/>
    <w:rsid w:val="00B62A2C"/>
    <w:rsid w:val="00B62AF4"/>
    <w:rsid w:val="00B62B38"/>
    <w:rsid w:val="00B62C25"/>
    <w:rsid w:val="00B62C32"/>
    <w:rsid w:val="00B62E3E"/>
    <w:rsid w:val="00B62E5B"/>
    <w:rsid w:val="00B62EAF"/>
    <w:rsid w:val="00B62FDA"/>
    <w:rsid w:val="00B631AF"/>
    <w:rsid w:val="00B632D4"/>
    <w:rsid w:val="00B632EC"/>
    <w:rsid w:val="00B6335E"/>
    <w:rsid w:val="00B63415"/>
    <w:rsid w:val="00B634B7"/>
    <w:rsid w:val="00B634F6"/>
    <w:rsid w:val="00B63685"/>
    <w:rsid w:val="00B6368B"/>
    <w:rsid w:val="00B637DF"/>
    <w:rsid w:val="00B637E1"/>
    <w:rsid w:val="00B6387E"/>
    <w:rsid w:val="00B63959"/>
    <w:rsid w:val="00B6399F"/>
    <w:rsid w:val="00B639B4"/>
    <w:rsid w:val="00B639C8"/>
    <w:rsid w:val="00B63AE1"/>
    <w:rsid w:val="00B63B09"/>
    <w:rsid w:val="00B63C2B"/>
    <w:rsid w:val="00B63D0B"/>
    <w:rsid w:val="00B63D95"/>
    <w:rsid w:val="00B63E9C"/>
    <w:rsid w:val="00B63F3C"/>
    <w:rsid w:val="00B63F89"/>
    <w:rsid w:val="00B64166"/>
    <w:rsid w:val="00B6423A"/>
    <w:rsid w:val="00B6423D"/>
    <w:rsid w:val="00B64291"/>
    <w:rsid w:val="00B64356"/>
    <w:rsid w:val="00B6441F"/>
    <w:rsid w:val="00B645AD"/>
    <w:rsid w:val="00B647A3"/>
    <w:rsid w:val="00B64806"/>
    <w:rsid w:val="00B64949"/>
    <w:rsid w:val="00B649BB"/>
    <w:rsid w:val="00B649D3"/>
    <w:rsid w:val="00B64A47"/>
    <w:rsid w:val="00B64B4D"/>
    <w:rsid w:val="00B64B71"/>
    <w:rsid w:val="00B64B9C"/>
    <w:rsid w:val="00B64C96"/>
    <w:rsid w:val="00B64D94"/>
    <w:rsid w:val="00B64ED2"/>
    <w:rsid w:val="00B64F75"/>
    <w:rsid w:val="00B65013"/>
    <w:rsid w:val="00B6505D"/>
    <w:rsid w:val="00B65191"/>
    <w:rsid w:val="00B651DF"/>
    <w:rsid w:val="00B65226"/>
    <w:rsid w:val="00B652DC"/>
    <w:rsid w:val="00B6535C"/>
    <w:rsid w:val="00B653B3"/>
    <w:rsid w:val="00B654C4"/>
    <w:rsid w:val="00B65597"/>
    <w:rsid w:val="00B655B1"/>
    <w:rsid w:val="00B655D7"/>
    <w:rsid w:val="00B6561E"/>
    <w:rsid w:val="00B6566F"/>
    <w:rsid w:val="00B6580F"/>
    <w:rsid w:val="00B65BE7"/>
    <w:rsid w:val="00B65BF2"/>
    <w:rsid w:val="00B65C30"/>
    <w:rsid w:val="00B65D75"/>
    <w:rsid w:val="00B65DD2"/>
    <w:rsid w:val="00B65E00"/>
    <w:rsid w:val="00B65F3E"/>
    <w:rsid w:val="00B66168"/>
    <w:rsid w:val="00B66208"/>
    <w:rsid w:val="00B66367"/>
    <w:rsid w:val="00B66412"/>
    <w:rsid w:val="00B66421"/>
    <w:rsid w:val="00B66423"/>
    <w:rsid w:val="00B6643E"/>
    <w:rsid w:val="00B66568"/>
    <w:rsid w:val="00B66581"/>
    <w:rsid w:val="00B666BD"/>
    <w:rsid w:val="00B6674E"/>
    <w:rsid w:val="00B66753"/>
    <w:rsid w:val="00B66782"/>
    <w:rsid w:val="00B667C5"/>
    <w:rsid w:val="00B66804"/>
    <w:rsid w:val="00B66839"/>
    <w:rsid w:val="00B6690A"/>
    <w:rsid w:val="00B66997"/>
    <w:rsid w:val="00B669AA"/>
    <w:rsid w:val="00B669F8"/>
    <w:rsid w:val="00B66A0D"/>
    <w:rsid w:val="00B66A8F"/>
    <w:rsid w:val="00B66AC8"/>
    <w:rsid w:val="00B66AF6"/>
    <w:rsid w:val="00B66B1B"/>
    <w:rsid w:val="00B66BE1"/>
    <w:rsid w:val="00B66C33"/>
    <w:rsid w:val="00B66C93"/>
    <w:rsid w:val="00B66D0C"/>
    <w:rsid w:val="00B66D2B"/>
    <w:rsid w:val="00B66D8A"/>
    <w:rsid w:val="00B66E5A"/>
    <w:rsid w:val="00B66EBB"/>
    <w:rsid w:val="00B66ED5"/>
    <w:rsid w:val="00B66EDE"/>
    <w:rsid w:val="00B66F05"/>
    <w:rsid w:val="00B66F39"/>
    <w:rsid w:val="00B66FD3"/>
    <w:rsid w:val="00B67028"/>
    <w:rsid w:val="00B6703E"/>
    <w:rsid w:val="00B6705D"/>
    <w:rsid w:val="00B670C4"/>
    <w:rsid w:val="00B670F5"/>
    <w:rsid w:val="00B67121"/>
    <w:rsid w:val="00B67245"/>
    <w:rsid w:val="00B67268"/>
    <w:rsid w:val="00B67274"/>
    <w:rsid w:val="00B672A1"/>
    <w:rsid w:val="00B67536"/>
    <w:rsid w:val="00B675B3"/>
    <w:rsid w:val="00B675C0"/>
    <w:rsid w:val="00B67755"/>
    <w:rsid w:val="00B67770"/>
    <w:rsid w:val="00B67801"/>
    <w:rsid w:val="00B6781D"/>
    <w:rsid w:val="00B67822"/>
    <w:rsid w:val="00B678BD"/>
    <w:rsid w:val="00B67AB3"/>
    <w:rsid w:val="00B67D82"/>
    <w:rsid w:val="00B67E26"/>
    <w:rsid w:val="00B67F5A"/>
    <w:rsid w:val="00B7008D"/>
    <w:rsid w:val="00B700CA"/>
    <w:rsid w:val="00B70144"/>
    <w:rsid w:val="00B70205"/>
    <w:rsid w:val="00B70214"/>
    <w:rsid w:val="00B70278"/>
    <w:rsid w:val="00B7027C"/>
    <w:rsid w:val="00B702AC"/>
    <w:rsid w:val="00B702B5"/>
    <w:rsid w:val="00B702D5"/>
    <w:rsid w:val="00B7030D"/>
    <w:rsid w:val="00B703B2"/>
    <w:rsid w:val="00B70540"/>
    <w:rsid w:val="00B705FE"/>
    <w:rsid w:val="00B706ED"/>
    <w:rsid w:val="00B706FB"/>
    <w:rsid w:val="00B707A0"/>
    <w:rsid w:val="00B708B7"/>
    <w:rsid w:val="00B70974"/>
    <w:rsid w:val="00B70A24"/>
    <w:rsid w:val="00B70A28"/>
    <w:rsid w:val="00B70A78"/>
    <w:rsid w:val="00B70C3D"/>
    <w:rsid w:val="00B70C8F"/>
    <w:rsid w:val="00B70C9B"/>
    <w:rsid w:val="00B70DC9"/>
    <w:rsid w:val="00B70DD9"/>
    <w:rsid w:val="00B70E62"/>
    <w:rsid w:val="00B70EA3"/>
    <w:rsid w:val="00B70F58"/>
    <w:rsid w:val="00B711C1"/>
    <w:rsid w:val="00B711ED"/>
    <w:rsid w:val="00B713E9"/>
    <w:rsid w:val="00B7149C"/>
    <w:rsid w:val="00B71510"/>
    <w:rsid w:val="00B715AA"/>
    <w:rsid w:val="00B715DD"/>
    <w:rsid w:val="00B71690"/>
    <w:rsid w:val="00B71702"/>
    <w:rsid w:val="00B717D6"/>
    <w:rsid w:val="00B7188B"/>
    <w:rsid w:val="00B718E5"/>
    <w:rsid w:val="00B71A38"/>
    <w:rsid w:val="00B71A9A"/>
    <w:rsid w:val="00B71B02"/>
    <w:rsid w:val="00B71C24"/>
    <w:rsid w:val="00B71D5A"/>
    <w:rsid w:val="00B71E9D"/>
    <w:rsid w:val="00B71FD7"/>
    <w:rsid w:val="00B72073"/>
    <w:rsid w:val="00B72196"/>
    <w:rsid w:val="00B7219C"/>
    <w:rsid w:val="00B721F6"/>
    <w:rsid w:val="00B72247"/>
    <w:rsid w:val="00B7233E"/>
    <w:rsid w:val="00B723A1"/>
    <w:rsid w:val="00B723A3"/>
    <w:rsid w:val="00B72490"/>
    <w:rsid w:val="00B7258E"/>
    <w:rsid w:val="00B72691"/>
    <w:rsid w:val="00B726D6"/>
    <w:rsid w:val="00B72707"/>
    <w:rsid w:val="00B72836"/>
    <w:rsid w:val="00B72856"/>
    <w:rsid w:val="00B728AB"/>
    <w:rsid w:val="00B7290A"/>
    <w:rsid w:val="00B72B6D"/>
    <w:rsid w:val="00B72BAF"/>
    <w:rsid w:val="00B72ECB"/>
    <w:rsid w:val="00B72F30"/>
    <w:rsid w:val="00B72F7F"/>
    <w:rsid w:val="00B72F86"/>
    <w:rsid w:val="00B72F8E"/>
    <w:rsid w:val="00B73043"/>
    <w:rsid w:val="00B730E8"/>
    <w:rsid w:val="00B731AC"/>
    <w:rsid w:val="00B73254"/>
    <w:rsid w:val="00B736EB"/>
    <w:rsid w:val="00B73747"/>
    <w:rsid w:val="00B737B7"/>
    <w:rsid w:val="00B7388F"/>
    <w:rsid w:val="00B73990"/>
    <w:rsid w:val="00B739F7"/>
    <w:rsid w:val="00B73AA2"/>
    <w:rsid w:val="00B73AC7"/>
    <w:rsid w:val="00B73AF5"/>
    <w:rsid w:val="00B73BF7"/>
    <w:rsid w:val="00B73D77"/>
    <w:rsid w:val="00B73E94"/>
    <w:rsid w:val="00B73ECA"/>
    <w:rsid w:val="00B73FF4"/>
    <w:rsid w:val="00B74037"/>
    <w:rsid w:val="00B74066"/>
    <w:rsid w:val="00B740D5"/>
    <w:rsid w:val="00B741AD"/>
    <w:rsid w:val="00B741D5"/>
    <w:rsid w:val="00B7423B"/>
    <w:rsid w:val="00B74241"/>
    <w:rsid w:val="00B742AA"/>
    <w:rsid w:val="00B743AA"/>
    <w:rsid w:val="00B743BF"/>
    <w:rsid w:val="00B743D1"/>
    <w:rsid w:val="00B744DF"/>
    <w:rsid w:val="00B746EE"/>
    <w:rsid w:val="00B74AB5"/>
    <w:rsid w:val="00B74B9D"/>
    <w:rsid w:val="00B74CC7"/>
    <w:rsid w:val="00B74CE7"/>
    <w:rsid w:val="00B74D29"/>
    <w:rsid w:val="00B74D60"/>
    <w:rsid w:val="00B74DCA"/>
    <w:rsid w:val="00B74EDC"/>
    <w:rsid w:val="00B74F5E"/>
    <w:rsid w:val="00B74FA4"/>
    <w:rsid w:val="00B75039"/>
    <w:rsid w:val="00B7516F"/>
    <w:rsid w:val="00B752D1"/>
    <w:rsid w:val="00B754A6"/>
    <w:rsid w:val="00B754E4"/>
    <w:rsid w:val="00B7550D"/>
    <w:rsid w:val="00B7564E"/>
    <w:rsid w:val="00B756FD"/>
    <w:rsid w:val="00B75921"/>
    <w:rsid w:val="00B75991"/>
    <w:rsid w:val="00B759F9"/>
    <w:rsid w:val="00B75A42"/>
    <w:rsid w:val="00B75A50"/>
    <w:rsid w:val="00B75B01"/>
    <w:rsid w:val="00B75DED"/>
    <w:rsid w:val="00B75E25"/>
    <w:rsid w:val="00B75E72"/>
    <w:rsid w:val="00B75EA2"/>
    <w:rsid w:val="00B75FD7"/>
    <w:rsid w:val="00B76024"/>
    <w:rsid w:val="00B76056"/>
    <w:rsid w:val="00B760F6"/>
    <w:rsid w:val="00B7614B"/>
    <w:rsid w:val="00B762C2"/>
    <w:rsid w:val="00B76349"/>
    <w:rsid w:val="00B76500"/>
    <w:rsid w:val="00B76671"/>
    <w:rsid w:val="00B766CF"/>
    <w:rsid w:val="00B76926"/>
    <w:rsid w:val="00B769EC"/>
    <w:rsid w:val="00B76B5A"/>
    <w:rsid w:val="00B76BF3"/>
    <w:rsid w:val="00B76C5B"/>
    <w:rsid w:val="00B76C7E"/>
    <w:rsid w:val="00B76CAF"/>
    <w:rsid w:val="00B76CD0"/>
    <w:rsid w:val="00B76D2A"/>
    <w:rsid w:val="00B76D5E"/>
    <w:rsid w:val="00B76DE2"/>
    <w:rsid w:val="00B76E26"/>
    <w:rsid w:val="00B77187"/>
    <w:rsid w:val="00B7718F"/>
    <w:rsid w:val="00B77258"/>
    <w:rsid w:val="00B77276"/>
    <w:rsid w:val="00B77365"/>
    <w:rsid w:val="00B7738E"/>
    <w:rsid w:val="00B773E1"/>
    <w:rsid w:val="00B77433"/>
    <w:rsid w:val="00B774AD"/>
    <w:rsid w:val="00B774EB"/>
    <w:rsid w:val="00B774F6"/>
    <w:rsid w:val="00B77737"/>
    <w:rsid w:val="00B77748"/>
    <w:rsid w:val="00B77754"/>
    <w:rsid w:val="00B777C0"/>
    <w:rsid w:val="00B777C8"/>
    <w:rsid w:val="00B77924"/>
    <w:rsid w:val="00B7793A"/>
    <w:rsid w:val="00B77A1C"/>
    <w:rsid w:val="00B77A26"/>
    <w:rsid w:val="00B77A45"/>
    <w:rsid w:val="00B77A49"/>
    <w:rsid w:val="00B77B55"/>
    <w:rsid w:val="00B77B67"/>
    <w:rsid w:val="00B77BBD"/>
    <w:rsid w:val="00B77C5D"/>
    <w:rsid w:val="00B77C7F"/>
    <w:rsid w:val="00B77EC1"/>
    <w:rsid w:val="00B77F77"/>
    <w:rsid w:val="00B77F94"/>
    <w:rsid w:val="00B77FAA"/>
    <w:rsid w:val="00B80093"/>
    <w:rsid w:val="00B80107"/>
    <w:rsid w:val="00B80178"/>
    <w:rsid w:val="00B80204"/>
    <w:rsid w:val="00B803A7"/>
    <w:rsid w:val="00B80405"/>
    <w:rsid w:val="00B80409"/>
    <w:rsid w:val="00B80478"/>
    <w:rsid w:val="00B8049E"/>
    <w:rsid w:val="00B804FA"/>
    <w:rsid w:val="00B8066B"/>
    <w:rsid w:val="00B806A8"/>
    <w:rsid w:val="00B806AC"/>
    <w:rsid w:val="00B808C8"/>
    <w:rsid w:val="00B8099F"/>
    <w:rsid w:val="00B809F6"/>
    <w:rsid w:val="00B80C9B"/>
    <w:rsid w:val="00B80CA2"/>
    <w:rsid w:val="00B80E22"/>
    <w:rsid w:val="00B8103F"/>
    <w:rsid w:val="00B8107E"/>
    <w:rsid w:val="00B8111A"/>
    <w:rsid w:val="00B81155"/>
    <w:rsid w:val="00B811ED"/>
    <w:rsid w:val="00B8121D"/>
    <w:rsid w:val="00B812C9"/>
    <w:rsid w:val="00B812DC"/>
    <w:rsid w:val="00B81351"/>
    <w:rsid w:val="00B81489"/>
    <w:rsid w:val="00B8148E"/>
    <w:rsid w:val="00B81495"/>
    <w:rsid w:val="00B8149C"/>
    <w:rsid w:val="00B81561"/>
    <w:rsid w:val="00B8169C"/>
    <w:rsid w:val="00B8178A"/>
    <w:rsid w:val="00B8178D"/>
    <w:rsid w:val="00B818BE"/>
    <w:rsid w:val="00B8194B"/>
    <w:rsid w:val="00B819F0"/>
    <w:rsid w:val="00B819FC"/>
    <w:rsid w:val="00B81A05"/>
    <w:rsid w:val="00B81A93"/>
    <w:rsid w:val="00B81AC0"/>
    <w:rsid w:val="00B81B12"/>
    <w:rsid w:val="00B81B43"/>
    <w:rsid w:val="00B81BB5"/>
    <w:rsid w:val="00B81BB9"/>
    <w:rsid w:val="00B81BFD"/>
    <w:rsid w:val="00B81C4B"/>
    <w:rsid w:val="00B81CD7"/>
    <w:rsid w:val="00B81CFD"/>
    <w:rsid w:val="00B81E6E"/>
    <w:rsid w:val="00B81F69"/>
    <w:rsid w:val="00B81FF6"/>
    <w:rsid w:val="00B8203F"/>
    <w:rsid w:val="00B820AC"/>
    <w:rsid w:val="00B821B8"/>
    <w:rsid w:val="00B821BC"/>
    <w:rsid w:val="00B82235"/>
    <w:rsid w:val="00B8226C"/>
    <w:rsid w:val="00B82349"/>
    <w:rsid w:val="00B8241B"/>
    <w:rsid w:val="00B8249F"/>
    <w:rsid w:val="00B824B6"/>
    <w:rsid w:val="00B824C9"/>
    <w:rsid w:val="00B825A6"/>
    <w:rsid w:val="00B8260A"/>
    <w:rsid w:val="00B82624"/>
    <w:rsid w:val="00B8262C"/>
    <w:rsid w:val="00B8266D"/>
    <w:rsid w:val="00B826D4"/>
    <w:rsid w:val="00B82793"/>
    <w:rsid w:val="00B82823"/>
    <w:rsid w:val="00B8282E"/>
    <w:rsid w:val="00B82916"/>
    <w:rsid w:val="00B82A19"/>
    <w:rsid w:val="00B82A71"/>
    <w:rsid w:val="00B82AF7"/>
    <w:rsid w:val="00B82B06"/>
    <w:rsid w:val="00B82BFF"/>
    <w:rsid w:val="00B82C05"/>
    <w:rsid w:val="00B82C7D"/>
    <w:rsid w:val="00B82D1B"/>
    <w:rsid w:val="00B82D5C"/>
    <w:rsid w:val="00B82DE5"/>
    <w:rsid w:val="00B82E53"/>
    <w:rsid w:val="00B82E79"/>
    <w:rsid w:val="00B82EA3"/>
    <w:rsid w:val="00B82EC3"/>
    <w:rsid w:val="00B82F2E"/>
    <w:rsid w:val="00B83081"/>
    <w:rsid w:val="00B8309A"/>
    <w:rsid w:val="00B83124"/>
    <w:rsid w:val="00B83139"/>
    <w:rsid w:val="00B83278"/>
    <w:rsid w:val="00B834AD"/>
    <w:rsid w:val="00B8356E"/>
    <w:rsid w:val="00B836C0"/>
    <w:rsid w:val="00B837EC"/>
    <w:rsid w:val="00B83818"/>
    <w:rsid w:val="00B838DA"/>
    <w:rsid w:val="00B83943"/>
    <w:rsid w:val="00B83A5F"/>
    <w:rsid w:val="00B83B79"/>
    <w:rsid w:val="00B83C97"/>
    <w:rsid w:val="00B83EB8"/>
    <w:rsid w:val="00B83F08"/>
    <w:rsid w:val="00B83FE2"/>
    <w:rsid w:val="00B84067"/>
    <w:rsid w:val="00B840C4"/>
    <w:rsid w:val="00B84100"/>
    <w:rsid w:val="00B84191"/>
    <w:rsid w:val="00B841DA"/>
    <w:rsid w:val="00B843EF"/>
    <w:rsid w:val="00B84450"/>
    <w:rsid w:val="00B84480"/>
    <w:rsid w:val="00B844F8"/>
    <w:rsid w:val="00B845C0"/>
    <w:rsid w:val="00B846FB"/>
    <w:rsid w:val="00B847C5"/>
    <w:rsid w:val="00B847F3"/>
    <w:rsid w:val="00B84906"/>
    <w:rsid w:val="00B84910"/>
    <w:rsid w:val="00B84925"/>
    <w:rsid w:val="00B84984"/>
    <w:rsid w:val="00B84996"/>
    <w:rsid w:val="00B84A01"/>
    <w:rsid w:val="00B84ACF"/>
    <w:rsid w:val="00B84B26"/>
    <w:rsid w:val="00B84BBA"/>
    <w:rsid w:val="00B84DAC"/>
    <w:rsid w:val="00B84E3E"/>
    <w:rsid w:val="00B84EC0"/>
    <w:rsid w:val="00B84EC8"/>
    <w:rsid w:val="00B84EE5"/>
    <w:rsid w:val="00B8502D"/>
    <w:rsid w:val="00B8503D"/>
    <w:rsid w:val="00B850B0"/>
    <w:rsid w:val="00B850D3"/>
    <w:rsid w:val="00B850ED"/>
    <w:rsid w:val="00B852F2"/>
    <w:rsid w:val="00B853FA"/>
    <w:rsid w:val="00B8546C"/>
    <w:rsid w:val="00B854A0"/>
    <w:rsid w:val="00B854C3"/>
    <w:rsid w:val="00B8551A"/>
    <w:rsid w:val="00B855C2"/>
    <w:rsid w:val="00B85720"/>
    <w:rsid w:val="00B857DE"/>
    <w:rsid w:val="00B85895"/>
    <w:rsid w:val="00B858EA"/>
    <w:rsid w:val="00B858EE"/>
    <w:rsid w:val="00B8596F"/>
    <w:rsid w:val="00B85A65"/>
    <w:rsid w:val="00B85AA9"/>
    <w:rsid w:val="00B85B35"/>
    <w:rsid w:val="00B85C90"/>
    <w:rsid w:val="00B85D1C"/>
    <w:rsid w:val="00B85D7A"/>
    <w:rsid w:val="00B85DA7"/>
    <w:rsid w:val="00B85DD1"/>
    <w:rsid w:val="00B85E2F"/>
    <w:rsid w:val="00B86120"/>
    <w:rsid w:val="00B86193"/>
    <w:rsid w:val="00B8628D"/>
    <w:rsid w:val="00B8630E"/>
    <w:rsid w:val="00B863A7"/>
    <w:rsid w:val="00B86418"/>
    <w:rsid w:val="00B8641E"/>
    <w:rsid w:val="00B8643A"/>
    <w:rsid w:val="00B86564"/>
    <w:rsid w:val="00B86600"/>
    <w:rsid w:val="00B8667A"/>
    <w:rsid w:val="00B86704"/>
    <w:rsid w:val="00B867AC"/>
    <w:rsid w:val="00B867C1"/>
    <w:rsid w:val="00B867E0"/>
    <w:rsid w:val="00B8686F"/>
    <w:rsid w:val="00B8689D"/>
    <w:rsid w:val="00B868C7"/>
    <w:rsid w:val="00B86926"/>
    <w:rsid w:val="00B86979"/>
    <w:rsid w:val="00B86A79"/>
    <w:rsid w:val="00B86AA2"/>
    <w:rsid w:val="00B86B4F"/>
    <w:rsid w:val="00B86D1D"/>
    <w:rsid w:val="00B86D63"/>
    <w:rsid w:val="00B86DAF"/>
    <w:rsid w:val="00B86DEF"/>
    <w:rsid w:val="00B86E78"/>
    <w:rsid w:val="00B86EE9"/>
    <w:rsid w:val="00B86FCB"/>
    <w:rsid w:val="00B87076"/>
    <w:rsid w:val="00B87083"/>
    <w:rsid w:val="00B870B1"/>
    <w:rsid w:val="00B8715C"/>
    <w:rsid w:val="00B871CF"/>
    <w:rsid w:val="00B871EA"/>
    <w:rsid w:val="00B87231"/>
    <w:rsid w:val="00B8745E"/>
    <w:rsid w:val="00B87476"/>
    <w:rsid w:val="00B87478"/>
    <w:rsid w:val="00B87496"/>
    <w:rsid w:val="00B87531"/>
    <w:rsid w:val="00B875DD"/>
    <w:rsid w:val="00B876CA"/>
    <w:rsid w:val="00B876E3"/>
    <w:rsid w:val="00B87714"/>
    <w:rsid w:val="00B87722"/>
    <w:rsid w:val="00B877CF"/>
    <w:rsid w:val="00B877E2"/>
    <w:rsid w:val="00B8787A"/>
    <w:rsid w:val="00B87921"/>
    <w:rsid w:val="00B87A30"/>
    <w:rsid w:val="00B87AB9"/>
    <w:rsid w:val="00B87B0A"/>
    <w:rsid w:val="00B87BB1"/>
    <w:rsid w:val="00B87BCF"/>
    <w:rsid w:val="00B87D05"/>
    <w:rsid w:val="00B87D4B"/>
    <w:rsid w:val="00B87DE2"/>
    <w:rsid w:val="00B87E17"/>
    <w:rsid w:val="00B87E2E"/>
    <w:rsid w:val="00B87E30"/>
    <w:rsid w:val="00B87EA8"/>
    <w:rsid w:val="00B87EDC"/>
    <w:rsid w:val="00B87FDE"/>
    <w:rsid w:val="00B87FF5"/>
    <w:rsid w:val="00B9004B"/>
    <w:rsid w:val="00B900CA"/>
    <w:rsid w:val="00B9020F"/>
    <w:rsid w:val="00B9022A"/>
    <w:rsid w:val="00B902F4"/>
    <w:rsid w:val="00B90325"/>
    <w:rsid w:val="00B90519"/>
    <w:rsid w:val="00B90731"/>
    <w:rsid w:val="00B90868"/>
    <w:rsid w:val="00B9089B"/>
    <w:rsid w:val="00B90B22"/>
    <w:rsid w:val="00B90B4D"/>
    <w:rsid w:val="00B90C56"/>
    <w:rsid w:val="00B90D3C"/>
    <w:rsid w:val="00B90D70"/>
    <w:rsid w:val="00B90DFB"/>
    <w:rsid w:val="00B90E69"/>
    <w:rsid w:val="00B90F8D"/>
    <w:rsid w:val="00B91047"/>
    <w:rsid w:val="00B9106B"/>
    <w:rsid w:val="00B91081"/>
    <w:rsid w:val="00B910B6"/>
    <w:rsid w:val="00B910CA"/>
    <w:rsid w:val="00B91178"/>
    <w:rsid w:val="00B911B2"/>
    <w:rsid w:val="00B911DD"/>
    <w:rsid w:val="00B91212"/>
    <w:rsid w:val="00B91241"/>
    <w:rsid w:val="00B912D7"/>
    <w:rsid w:val="00B9130D"/>
    <w:rsid w:val="00B9131B"/>
    <w:rsid w:val="00B91330"/>
    <w:rsid w:val="00B913CB"/>
    <w:rsid w:val="00B91433"/>
    <w:rsid w:val="00B9148C"/>
    <w:rsid w:val="00B914B9"/>
    <w:rsid w:val="00B914DC"/>
    <w:rsid w:val="00B914EB"/>
    <w:rsid w:val="00B91511"/>
    <w:rsid w:val="00B9161A"/>
    <w:rsid w:val="00B917D2"/>
    <w:rsid w:val="00B91823"/>
    <w:rsid w:val="00B9184E"/>
    <w:rsid w:val="00B9192C"/>
    <w:rsid w:val="00B91A15"/>
    <w:rsid w:val="00B91B5F"/>
    <w:rsid w:val="00B91B72"/>
    <w:rsid w:val="00B91BBE"/>
    <w:rsid w:val="00B91C47"/>
    <w:rsid w:val="00B91D5B"/>
    <w:rsid w:val="00B91E82"/>
    <w:rsid w:val="00B91FD2"/>
    <w:rsid w:val="00B9202D"/>
    <w:rsid w:val="00B9204A"/>
    <w:rsid w:val="00B920C5"/>
    <w:rsid w:val="00B9210A"/>
    <w:rsid w:val="00B92181"/>
    <w:rsid w:val="00B921C2"/>
    <w:rsid w:val="00B9223C"/>
    <w:rsid w:val="00B9237A"/>
    <w:rsid w:val="00B923BC"/>
    <w:rsid w:val="00B92464"/>
    <w:rsid w:val="00B92478"/>
    <w:rsid w:val="00B92589"/>
    <w:rsid w:val="00B92690"/>
    <w:rsid w:val="00B9269F"/>
    <w:rsid w:val="00B92830"/>
    <w:rsid w:val="00B9289A"/>
    <w:rsid w:val="00B928C1"/>
    <w:rsid w:val="00B928C8"/>
    <w:rsid w:val="00B928F1"/>
    <w:rsid w:val="00B929CA"/>
    <w:rsid w:val="00B92C0E"/>
    <w:rsid w:val="00B92CF1"/>
    <w:rsid w:val="00B92D6D"/>
    <w:rsid w:val="00B92E0B"/>
    <w:rsid w:val="00B92E3E"/>
    <w:rsid w:val="00B92E50"/>
    <w:rsid w:val="00B92EED"/>
    <w:rsid w:val="00B93002"/>
    <w:rsid w:val="00B93087"/>
    <w:rsid w:val="00B930DA"/>
    <w:rsid w:val="00B93157"/>
    <w:rsid w:val="00B9321B"/>
    <w:rsid w:val="00B93224"/>
    <w:rsid w:val="00B932EC"/>
    <w:rsid w:val="00B932F9"/>
    <w:rsid w:val="00B93330"/>
    <w:rsid w:val="00B93380"/>
    <w:rsid w:val="00B933DC"/>
    <w:rsid w:val="00B933F5"/>
    <w:rsid w:val="00B934AC"/>
    <w:rsid w:val="00B934AF"/>
    <w:rsid w:val="00B934CC"/>
    <w:rsid w:val="00B9352A"/>
    <w:rsid w:val="00B93553"/>
    <w:rsid w:val="00B9356F"/>
    <w:rsid w:val="00B935C7"/>
    <w:rsid w:val="00B936CA"/>
    <w:rsid w:val="00B93796"/>
    <w:rsid w:val="00B93941"/>
    <w:rsid w:val="00B939AE"/>
    <w:rsid w:val="00B939B6"/>
    <w:rsid w:val="00B93C06"/>
    <w:rsid w:val="00B93CB4"/>
    <w:rsid w:val="00B93CDE"/>
    <w:rsid w:val="00B93D62"/>
    <w:rsid w:val="00B93E39"/>
    <w:rsid w:val="00B93EC3"/>
    <w:rsid w:val="00B93FDB"/>
    <w:rsid w:val="00B93FF8"/>
    <w:rsid w:val="00B94088"/>
    <w:rsid w:val="00B94142"/>
    <w:rsid w:val="00B942C5"/>
    <w:rsid w:val="00B942E5"/>
    <w:rsid w:val="00B9431D"/>
    <w:rsid w:val="00B9439C"/>
    <w:rsid w:val="00B943E9"/>
    <w:rsid w:val="00B943FD"/>
    <w:rsid w:val="00B9444C"/>
    <w:rsid w:val="00B944C8"/>
    <w:rsid w:val="00B94504"/>
    <w:rsid w:val="00B945CB"/>
    <w:rsid w:val="00B94801"/>
    <w:rsid w:val="00B94841"/>
    <w:rsid w:val="00B948E4"/>
    <w:rsid w:val="00B9491A"/>
    <w:rsid w:val="00B94A71"/>
    <w:rsid w:val="00B94A92"/>
    <w:rsid w:val="00B94C54"/>
    <w:rsid w:val="00B94CB9"/>
    <w:rsid w:val="00B94CF0"/>
    <w:rsid w:val="00B94D04"/>
    <w:rsid w:val="00B94D96"/>
    <w:rsid w:val="00B94E26"/>
    <w:rsid w:val="00B94EDD"/>
    <w:rsid w:val="00B94F51"/>
    <w:rsid w:val="00B94F6A"/>
    <w:rsid w:val="00B94FC2"/>
    <w:rsid w:val="00B95033"/>
    <w:rsid w:val="00B95179"/>
    <w:rsid w:val="00B951D1"/>
    <w:rsid w:val="00B9527D"/>
    <w:rsid w:val="00B95301"/>
    <w:rsid w:val="00B9530B"/>
    <w:rsid w:val="00B9537D"/>
    <w:rsid w:val="00B9550E"/>
    <w:rsid w:val="00B9564C"/>
    <w:rsid w:val="00B956F3"/>
    <w:rsid w:val="00B95737"/>
    <w:rsid w:val="00B95784"/>
    <w:rsid w:val="00B957A6"/>
    <w:rsid w:val="00B95888"/>
    <w:rsid w:val="00B95940"/>
    <w:rsid w:val="00B95AFD"/>
    <w:rsid w:val="00B95C59"/>
    <w:rsid w:val="00B95CA6"/>
    <w:rsid w:val="00B95CAD"/>
    <w:rsid w:val="00B95D23"/>
    <w:rsid w:val="00B95D2D"/>
    <w:rsid w:val="00B95DF3"/>
    <w:rsid w:val="00B95E38"/>
    <w:rsid w:val="00B9610E"/>
    <w:rsid w:val="00B962C8"/>
    <w:rsid w:val="00B963C9"/>
    <w:rsid w:val="00B96428"/>
    <w:rsid w:val="00B9657C"/>
    <w:rsid w:val="00B965BE"/>
    <w:rsid w:val="00B96668"/>
    <w:rsid w:val="00B96680"/>
    <w:rsid w:val="00B96749"/>
    <w:rsid w:val="00B96762"/>
    <w:rsid w:val="00B967CA"/>
    <w:rsid w:val="00B9680F"/>
    <w:rsid w:val="00B968BF"/>
    <w:rsid w:val="00B969AB"/>
    <w:rsid w:val="00B96C01"/>
    <w:rsid w:val="00B96C11"/>
    <w:rsid w:val="00B96C38"/>
    <w:rsid w:val="00B96CBA"/>
    <w:rsid w:val="00B96DB3"/>
    <w:rsid w:val="00B96EDE"/>
    <w:rsid w:val="00B96FB7"/>
    <w:rsid w:val="00B970C3"/>
    <w:rsid w:val="00B971C2"/>
    <w:rsid w:val="00B971FF"/>
    <w:rsid w:val="00B97293"/>
    <w:rsid w:val="00B972D1"/>
    <w:rsid w:val="00B97332"/>
    <w:rsid w:val="00B97349"/>
    <w:rsid w:val="00B97363"/>
    <w:rsid w:val="00B97427"/>
    <w:rsid w:val="00B97457"/>
    <w:rsid w:val="00B9747D"/>
    <w:rsid w:val="00B974CB"/>
    <w:rsid w:val="00B974E2"/>
    <w:rsid w:val="00B97568"/>
    <w:rsid w:val="00B976DA"/>
    <w:rsid w:val="00B976FA"/>
    <w:rsid w:val="00B977C8"/>
    <w:rsid w:val="00B97873"/>
    <w:rsid w:val="00B978FF"/>
    <w:rsid w:val="00B97998"/>
    <w:rsid w:val="00B9799C"/>
    <w:rsid w:val="00B97A92"/>
    <w:rsid w:val="00B97AE9"/>
    <w:rsid w:val="00B97B36"/>
    <w:rsid w:val="00B97BE2"/>
    <w:rsid w:val="00B97D1A"/>
    <w:rsid w:val="00B97D2A"/>
    <w:rsid w:val="00B97D9D"/>
    <w:rsid w:val="00B97E2C"/>
    <w:rsid w:val="00B97E62"/>
    <w:rsid w:val="00B97F0C"/>
    <w:rsid w:val="00B97F3A"/>
    <w:rsid w:val="00B97FA6"/>
    <w:rsid w:val="00BA00B2"/>
    <w:rsid w:val="00BA0257"/>
    <w:rsid w:val="00BA02C8"/>
    <w:rsid w:val="00BA033B"/>
    <w:rsid w:val="00BA0382"/>
    <w:rsid w:val="00BA058E"/>
    <w:rsid w:val="00BA0622"/>
    <w:rsid w:val="00BA06B4"/>
    <w:rsid w:val="00BA06E5"/>
    <w:rsid w:val="00BA07B4"/>
    <w:rsid w:val="00BA07C0"/>
    <w:rsid w:val="00BA07F5"/>
    <w:rsid w:val="00BA08F4"/>
    <w:rsid w:val="00BA0928"/>
    <w:rsid w:val="00BA094D"/>
    <w:rsid w:val="00BA0974"/>
    <w:rsid w:val="00BA099D"/>
    <w:rsid w:val="00BA09D2"/>
    <w:rsid w:val="00BA0AB2"/>
    <w:rsid w:val="00BA0AC1"/>
    <w:rsid w:val="00BA0CDF"/>
    <w:rsid w:val="00BA0DE2"/>
    <w:rsid w:val="00BA10BB"/>
    <w:rsid w:val="00BA1137"/>
    <w:rsid w:val="00BA114A"/>
    <w:rsid w:val="00BA11DD"/>
    <w:rsid w:val="00BA13C3"/>
    <w:rsid w:val="00BA1510"/>
    <w:rsid w:val="00BA16C5"/>
    <w:rsid w:val="00BA1831"/>
    <w:rsid w:val="00BA1987"/>
    <w:rsid w:val="00BA19B3"/>
    <w:rsid w:val="00BA19C1"/>
    <w:rsid w:val="00BA1A48"/>
    <w:rsid w:val="00BA1AB2"/>
    <w:rsid w:val="00BA1AF7"/>
    <w:rsid w:val="00BA1B43"/>
    <w:rsid w:val="00BA1C69"/>
    <w:rsid w:val="00BA1D9D"/>
    <w:rsid w:val="00BA1DC9"/>
    <w:rsid w:val="00BA1DF5"/>
    <w:rsid w:val="00BA2074"/>
    <w:rsid w:val="00BA2094"/>
    <w:rsid w:val="00BA20E4"/>
    <w:rsid w:val="00BA2132"/>
    <w:rsid w:val="00BA2160"/>
    <w:rsid w:val="00BA2171"/>
    <w:rsid w:val="00BA21B8"/>
    <w:rsid w:val="00BA2368"/>
    <w:rsid w:val="00BA244C"/>
    <w:rsid w:val="00BA2566"/>
    <w:rsid w:val="00BA25BA"/>
    <w:rsid w:val="00BA2651"/>
    <w:rsid w:val="00BA27EB"/>
    <w:rsid w:val="00BA282D"/>
    <w:rsid w:val="00BA2A03"/>
    <w:rsid w:val="00BA2B21"/>
    <w:rsid w:val="00BA2CB4"/>
    <w:rsid w:val="00BA2DA4"/>
    <w:rsid w:val="00BA2EE7"/>
    <w:rsid w:val="00BA2F44"/>
    <w:rsid w:val="00BA30F9"/>
    <w:rsid w:val="00BA31B9"/>
    <w:rsid w:val="00BA324C"/>
    <w:rsid w:val="00BA3426"/>
    <w:rsid w:val="00BA371D"/>
    <w:rsid w:val="00BA375C"/>
    <w:rsid w:val="00BA37D2"/>
    <w:rsid w:val="00BA389B"/>
    <w:rsid w:val="00BA38B2"/>
    <w:rsid w:val="00BA39D0"/>
    <w:rsid w:val="00BA3A6C"/>
    <w:rsid w:val="00BA3AB8"/>
    <w:rsid w:val="00BA3AE4"/>
    <w:rsid w:val="00BA3B0F"/>
    <w:rsid w:val="00BA3BBF"/>
    <w:rsid w:val="00BA3D7F"/>
    <w:rsid w:val="00BA3E0E"/>
    <w:rsid w:val="00BA3E7C"/>
    <w:rsid w:val="00BA3EBE"/>
    <w:rsid w:val="00BA3ED5"/>
    <w:rsid w:val="00BA3EFB"/>
    <w:rsid w:val="00BA4078"/>
    <w:rsid w:val="00BA4146"/>
    <w:rsid w:val="00BA4149"/>
    <w:rsid w:val="00BA414D"/>
    <w:rsid w:val="00BA422E"/>
    <w:rsid w:val="00BA4288"/>
    <w:rsid w:val="00BA42C8"/>
    <w:rsid w:val="00BA43AF"/>
    <w:rsid w:val="00BA43F9"/>
    <w:rsid w:val="00BA446B"/>
    <w:rsid w:val="00BA446F"/>
    <w:rsid w:val="00BA4489"/>
    <w:rsid w:val="00BA45A8"/>
    <w:rsid w:val="00BA45D5"/>
    <w:rsid w:val="00BA45FF"/>
    <w:rsid w:val="00BA4785"/>
    <w:rsid w:val="00BA4866"/>
    <w:rsid w:val="00BA4990"/>
    <w:rsid w:val="00BA49C5"/>
    <w:rsid w:val="00BA49C6"/>
    <w:rsid w:val="00BA49D2"/>
    <w:rsid w:val="00BA49D3"/>
    <w:rsid w:val="00BA4A1B"/>
    <w:rsid w:val="00BA4A4F"/>
    <w:rsid w:val="00BA4A96"/>
    <w:rsid w:val="00BA4BD6"/>
    <w:rsid w:val="00BA4C8F"/>
    <w:rsid w:val="00BA4CD9"/>
    <w:rsid w:val="00BA4E3B"/>
    <w:rsid w:val="00BA4EA5"/>
    <w:rsid w:val="00BA4F85"/>
    <w:rsid w:val="00BA4FE6"/>
    <w:rsid w:val="00BA5038"/>
    <w:rsid w:val="00BA50D1"/>
    <w:rsid w:val="00BA51E7"/>
    <w:rsid w:val="00BA51FC"/>
    <w:rsid w:val="00BA5254"/>
    <w:rsid w:val="00BA52EE"/>
    <w:rsid w:val="00BA531E"/>
    <w:rsid w:val="00BA5422"/>
    <w:rsid w:val="00BA5691"/>
    <w:rsid w:val="00BA5799"/>
    <w:rsid w:val="00BA58FC"/>
    <w:rsid w:val="00BA59C7"/>
    <w:rsid w:val="00BA5A89"/>
    <w:rsid w:val="00BA5AF0"/>
    <w:rsid w:val="00BA5AFA"/>
    <w:rsid w:val="00BA5C47"/>
    <w:rsid w:val="00BA5CAA"/>
    <w:rsid w:val="00BA5CFF"/>
    <w:rsid w:val="00BA5DBC"/>
    <w:rsid w:val="00BA5E00"/>
    <w:rsid w:val="00BA5E3D"/>
    <w:rsid w:val="00BA5E80"/>
    <w:rsid w:val="00BA5F9C"/>
    <w:rsid w:val="00BA6154"/>
    <w:rsid w:val="00BA6197"/>
    <w:rsid w:val="00BA6234"/>
    <w:rsid w:val="00BA627A"/>
    <w:rsid w:val="00BA628E"/>
    <w:rsid w:val="00BA634B"/>
    <w:rsid w:val="00BA6400"/>
    <w:rsid w:val="00BA642A"/>
    <w:rsid w:val="00BA6445"/>
    <w:rsid w:val="00BA64AC"/>
    <w:rsid w:val="00BA6632"/>
    <w:rsid w:val="00BA6934"/>
    <w:rsid w:val="00BA6A1E"/>
    <w:rsid w:val="00BA6ABC"/>
    <w:rsid w:val="00BA6B4E"/>
    <w:rsid w:val="00BA6D7A"/>
    <w:rsid w:val="00BA6DBA"/>
    <w:rsid w:val="00BA6EF6"/>
    <w:rsid w:val="00BA6F20"/>
    <w:rsid w:val="00BA6FFC"/>
    <w:rsid w:val="00BA71D5"/>
    <w:rsid w:val="00BA71F5"/>
    <w:rsid w:val="00BA7355"/>
    <w:rsid w:val="00BA753F"/>
    <w:rsid w:val="00BA766D"/>
    <w:rsid w:val="00BA7745"/>
    <w:rsid w:val="00BA7785"/>
    <w:rsid w:val="00BA7793"/>
    <w:rsid w:val="00BA78AC"/>
    <w:rsid w:val="00BA7964"/>
    <w:rsid w:val="00BA79D4"/>
    <w:rsid w:val="00BA79EE"/>
    <w:rsid w:val="00BA7A7E"/>
    <w:rsid w:val="00BA7AA3"/>
    <w:rsid w:val="00BA7B3D"/>
    <w:rsid w:val="00BA7D48"/>
    <w:rsid w:val="00BA7DC7"/>
    <w:rsid w:val="00BA7E69"/>
    <w:rsid w:val="00BA7EB0"/>
    <w:rsid w:val="00BA7F4F"/>
    <w:rsid w:val="00BA7F7A"/>
    <w:rsid w:val="00BA7FEC"/>
    <w:rsid w:val="00BB0043"/>
    <w:rsid w:val="00BB00D8"/>
    <w:rsid w:val="00BB0239"/>
    <w:rsid w:val="00BB02E8"/>
    <w:rsid w:val="00BB02EB"/>
    <w:rsid w:val="00BB0354"/>
    <w:rsid w:val="00BB03A0"/>
    <w:rsid w:val="00BB0411"/>
    <w:rsid w:val="00BB0438"/>
    <w:rsid w:val="00BB0462"/>
    <w:rsid w:val="00BB04AA"/>
    <w:rsid w:val="00BB04B8"/>
    <w:rsid w:val="00BB05BB"/>
    <w:rsid w:val="00BB073C"/>
    <w:rsid w:val="00BB07E7"/>
    <w:rsid w:val="00BB07F1"/>
    <w:rsid w:val="00BB086B"/>
    <w:rsid w:val="00BB087D"/>
    <w:rsid w:val="00BB0A28"/>
    <w:rsid w:val="00BB0A30"/>
    <w:rsid w:val="00BB0B01"/>
    <w:rsid w:val="00BB0BBB"/>
    <w:rsid w:val="00BB0CBB"/>
    <w:rsid w:val="00BB0CFB"/>
    <w:rsid w:val="00BB0E2E"/>
    <w:rsid w:val="00BB0F5B"/>
    <w:rsid w:val="00BB0FF5"/>
    <w:rsid w:val="00BB100C"/>
    <w:rsid w:val="00BB10CE"/>
    <w:rsid w:val="00BB10F4"/>
    <w:rsid w:val="00BB110C"/>
    <w:rsid w:val="00BB111A"/>
    <w:rsid w:val="00BB114C"/>
    <w:rsid w:val="00BB12C2"/>
    <w:rsid w:val="00BB139D"/>
    <w:rsid w:val="00BB13AC"/>
    <w:rsid w:val="00BB14BF"/>
    <w:rsid w:val="00BB1519"/>
    <w:rsid w:val="00BB1582"/>
    <w:rsid w:val="00BB15EB"/>
    <w:rsid w:val="00BB1604"/>
    <w:rsid w:val="00BB162D"/>
    <w:rsid w:val="00BB17D1"/>
    <w:rsid w:val="00BB1831"/>
    <w:rsid w:val="00BB1836"/>
    <w:rsid w:val="00BB184A"/>
    <w:rsid w:val="00BB18F5"/>
    <w:rsid w:val="00BB1973"/>
    <w:rsid w:val="00BB198B"/>
    <w:rsid w:val="00BB1998"/>
    <w:rsid w:val="00BB19C1"/>
    <w:rsid w:val="00BB1A31"/>
    <w:rsid w:val="00BB1A41"/>
    <w:rsid w:val="00BB1A51"/>
    <w:rsid w:val="00BB1B01"/>
    <w:rsid w:val="00BB1B81"/>
    <w:rsid w:val="00BB1BAA"/>
    <w:rsid w:val="00BB1BD1"/>
    <w:rsid w:val="00BB1D8D"/>
    <w:rsid w:val="00BB1E71"/>
    <w:rsid w:val="00BB1F33"/>
    <w:rsid w:val="00BB1F5D"/>
    <w:rsid w:val="00BB2148"/>
    <w:rsid w:val="00BB233C"/>
    <w:rsid w:val="00BB235D"/>
    <w:rsid w:val="00BB2379"/>
    <w:rsid w:val="00BB238B"/>
    <w:rsid w:val="00BB238F"/>
    <w:rsid w:val="00BB2406"/>
    <w:rsid w:val="00BB2423"/>
    <w:rsid w:val="00BB24C8"/>
    <w:rsid w:val="00BB24DA"/>
    <w:rsid w:val="00BB2523"/>
    <w:rsid w:val="00BB2558"/>
    <w:rsid w:val="00BB26CA"/>
    <w:rsid w:val="00BB27D6"/>
    <w:rsid w:val="00BB28E7"/>
    <w:rsid w:val="00BB2A65"/>
    <w:rsid w:val="00BB2A7B"/>
    <w:rsid w:val="00BB2A9F"/>
    <w:rsid w:val="00BB2C0A"/>
    <w:rsid w:val="00BB2C6C"/>
    <w:rsid w:val="00BB2DBC"/>
    <w:rsid w:val="00BB2E00"/>
    <w:rsid w:val="00BB2FE8"/>
    <w:rsid w:val="00BB30A9"/>
    <w:rsid w:val="00BB30F3"/>
    <w:rsid w:val="00BB3157"/>
    <w:rsid w:val="00BB321C"/>
    <w:rsid w:val="00BB3258"/>
    <w:rsid w:val="00BB32A4"/>
    <w:rsid w:val="00BB3321"/>
    <w:rsid w:val="00BB3412"/>
    <w:rsid w:val="00BB352F"/>
    <w:rsid w:val="00BB3535"/>
    <w:rsid w:val="00BB3543"/>
    <w:rsid w:val="00BB3564"/>
    <w:rsid w:val="00BB356A"/>
    <w:rsid w:val="00BB3690"/>
    <w:rsid w:val="00BB36CB"/>
    <w:rsid w:val="00BB37FD"/>
    <w:rsid w:val="00BB382C"/>
    <w:rsid w:val="00BB3927"/>
    <w:rsid w:val="00BB3936"/>
    <w:rsid w:val="00BB3B0B"/>
    <w:rsid w:val="00BB3C40"/>
    <w:rsid w:val="00BB3CB9"/>
    <w:rsid w:val="00BB3CE4"/>
    <w:rsid w:val="00BB3D96"/>
    <w:rsid w:val="00BB3EE3"/>
    <w:rsid w:val="00BB4148"/>
    <w:rsid w:val="00BB424C"/>
    <w:rsid w:val="00BB425E"/>
    <w:rsid w:val="00BB429B"/>
    <w:rsid w:val="00BB43B1"/>
    <w:rsid w:val="00BB44D7"/>
    <w:rsid w:val="00BB44E7"/>
    <w:rsid w:val="00BB461B"/>
    <w:rsid w:val="00BB46F8"/>
    <w:rsid w:val="00BB4745"/>
    <w:rsid w:val="00BB47D2"/>
    <w:rsid w:val="00BB483E"/>
    <w:rsid w:val="00BB4879"/>
    <w:rsid w:val="00BB488E"/>
    <w:rsid w:val="00BB4C4E"/>
    <w:rsid w:val="00BB4C66"/>
    <w:rsid w:val="00BB4CF7"/>
    <w:rsid w:val="00BB4D9B"/>
    <w:rsid w:val="00BB4DA0"/>
    <w:rsid w:val="00BB4E19"/>
    <w:rsid w:val="00BB4EA7"/>
    <w:rsid w:val="00BB4EF9"/>
    <w:rsid w:val="00BB4F45"/>
    <w:rsid w:val="00BB4F76"/>
    <w:rsid w:val="00BB4FF1"/>
    <w:rsid w:val="00BB501E"/>
    <w:rsid w:val="00BB50B6"/>
    <w:rsid w:val="00BB516A"/>
    <w:rsid w:val="00BB51E2"/>
    <w:rsid w:val="00BB5245"/>
    <w:rsid w:val="00BB529D"/>
    <w:rsid w:val="00BB52D5"/>
    <w:rsid w:val="00BB5357"/>
    <w:rsid w:val="00BB539D"/>
    <w:rsid w:val="00BB53E1"/>
    <w:rsid w:val="00BB54C7"/>
    <w:rsid w:val="00BB54CB"/>
    <w:rsid w:val="00BB5536"/>
    <w:rsid w:val="00BB5599"/>
    <w:rsid w:val="00BB5637"/>
    <w:rsid w:val="00BB56D6"/>
    <w:rsid w:val="00BB56EE"/>
    <w:rsid w:val="00BB57E6"/>
    <w:rsid w:val="00BB5912"/>
    <w:rsid w:val="00BB594B"/>
    <w:rsid w:val="00BB59DE"/>
    <w:rsid w:val="00BB5A00"/>
    <w:rsid w:val="00BB5A54"/>
    <w:rsid w:val="00BB5A86"/>
    <w:rsid w:val="00BB5B56"/>
    <w:rsid w:val="00BB5C44"/>
    <w:rsid w:val="00BB5C46"/>
    <w:rsid w:val="00BB5C85"/>
    <w:rsid w:val="00BB5C87"/>
    <w:rsid w:val="00BB5D77"/>
    <w:rsid w:val="00BB5E59"/>
    <w:rsid w:val="00BB5FE8"/>
    <w:rsid w:val="00BB6058"/>
    <w:rsid w:val="00BB605C"/>
    <w:rsid w:val="00BB60B9"/>
    <w:rsid w:val="00BB6129"/>
    <w:rsid w:val="00BB6174"/>
    <w:rsid w:val="00BB61A1"/>
    <w:rsid w:val="00BB635A"/>
    <w:rsid w:val="00BB6395"/>
    <w:rsid w:val="00BB64DD"/>
    <w:rsid w:val="00BB65A5"/>
    <w:rsid w:val="00BB65F8"/>
    <w:rsid w:val="00BB660E"/>
    <w:rsid w:val="00BB66E6"/>
    <w:rsid w:val="00BB685D"/>
    <w:rsid w:val="00BB68DA"/>
    <w:rsid w:val="00BB68FC"/>
    <w:rsid w:val="00BB6C43"/>
    <w:rsid w:val="00BB6DBB"/>
    <w:rsid w:val="00BB6E2C"/>
    <w:rsid w:val="00BB6ECD"/>
    <w:rsid w:val="00BB6EE3"/>
    <w:rsid w:val="00BB6F1A"/>
    <w:rsid w:val="00BB6FEE"/>
    <w:rsid w:val="00BB7051"/>
    <w:rsid w:val="00BB708C"/>
    <w:rsid w:val="00BB708D"/>
    <w:rsid w:val="00BB70AF"/>
    <w:rsid w:val="00BB70B6"/>
    <w:rsid w:val="00BB714D"/>
    <w:rsid w:val="00BB71A8"/>
    <w:rsid w:val="00BB7279"/>
    <w:rsid w:val="00BB735D"/>
    <w:rsid w:val="00BB7543"/>
    <w:rsid w:val="00BB75DA"/>
    <w:rsid w:val="00BB7638"/>
    <w:rsid w:val="00BB7678"/>
    <w:rsid w:val="00BB768D"/>
    <w:rsid w:val="00BB769B"/>
    <w:rsid w:val="00BB7735"/>
    <w:rsid w:val="00BB795B"/>
    <w:rsid w:val="00BB7A2A"/>
    <w:rsid w:val="00BB7BC4"/>
    <w:rsid w:val="00BB7BE0"/>
    <w:rsid w:val="00BB7BFC"/>
    <w:rsid w:val="00BB7C39"/>
    <w:rsid w:val="00BB7D46"/>
    <w:rsid w:val="00BB7D72"/>
    <w:rsid w:val="00BB7E5E"/>
    <w:rsid w:val="00BB7EB3"/>
    <w:rsid w:val="00BB7EE0"/>
    <w:rsid w:val="00BB7FCB"/>
    <w:rsid w:val="00BC0019"/>
    <w:rsid w:val="00BC0037"/>
    <w:rsid w:val="00BC0288"/>
    <w:rsid w:val="00BC0311"/>
    <w:rsid w:val="00BC0314"/>
    <w:rsid w:val="00BC03FE"/>
    <w:rsid w:val="00BC0646"/>
    <w:rsid w:val="00BC0670"/>
    <w:rsid w:val="00BC067D"/>
    <w:rsid w:val="00BC06B6"/>
    <w:rsid w:val="00BC07D8"/>
    <w:rsid w:val="00BC0912"/>
    <w:rsid w:val="00BC0978"/>
    <w:rsid w:val="00BC09FA"/>
    <w:rsid w:val="00BC09FE"/>
    <w:rsid w:val="00BC0A38"/>
    <w:rsid w:val="00BC0A72"/>
    <w:rsid w:val="00BC0BDE"/>
    <w:rsid w:val="00BC0C22"/>
    <w:rsid w:val="00BC0C2F"/>
    <w:rsid w:val="00BC0D49"/>
    <w:rsid w:val="00BC0E0C"/>
    <w:rsid w:val="00BC0E8F"/>
    <w:rsid w:val="00BC0E99"/>
    <w:rsid w:val="00BC0EDF"/>
    <w:rsid w:val="00BC0FED"/>
    <w:rsid w:val="00BC10EE"/>
    <w:rsid w:val="00BC14FF"/>
    <w:rsid w:val="00BC1570"/>
    <w:rsid w:val="00BC15E5"/>
    <w:rsid w:val="00BC1685"/>
    <w:rsid w:val="00BC1748"/>
    <w:rsid w:val="00BC1761"/>
    <w:rsid w:val="00BC195E"/>
    <w:rsid w:val="00BC19EE"/>
    <w:rsid w:val="00BC1A27"/>
    <w:rsid w:val="00BC1A5B"/>
    <w:rsid w:val="00BC1A80"/>
    <w:rsid w:val="00BC1E63"/>
    <w:rsid w:val="00BC1E81"/>
    <w:rsid w:val="00BC1F06"/>
    <w:rsid w:val="00BC1FD1"/>
    <w:rsid w:val="00BC1FFF"/>
    <w:rsid w:val="00BC2128"/>
    <w:rsid w:val="00BC2164"/>
    <w:rsid w:val="00BC227B"/>
    <w:rsid w:val="00BC246F"/>
    <w:rsid w:val="00BC24FF"/>
    <w:rsid w:val="00BC2709"/>
    <w:rsid w:val="00BC2750"/>
    <w:rsid w:val="00BC276F"/>
    <w:rsid w:val="00BC280B"/>
    <w:rsid w:val="00BC2831"/>
    <w:rsid w:val="00BC2834"/>
    <w:rsid w:val="00BC285D"/>
    <w:rsid w:val="00BC2877"/>
    <w:rsid w:val="00BC28BA"/>
    <w:rsid w:val="00BC28EB"/>
    <w:rsid w:val="00BC2929"/>
    <w:rsid w:val="00BC2993"/>
    <w:rsid w:val="00BC2A09"/>
    <w:rsid w:val="00BC2B49"/>
    <w:rsid w:val="00BC2B4B"/>
    <w:rsid w:val="00BC2B63"/>
    <w:rsid w:val="00BC2B87"/>
    <w:rsid w:val="00BC2C99"/>
    <w:rsid w:val="00BC2DC7"/>
    <w:rsid w:val="00BC2F2A"/>
    <w:rsid w:val="00BC3155"/>
    <w:rsid w:val="00BC318E"/>
    <w:rsid w:val="00BC3248"/>
    <w:rsid w:val="00BC330D"/>
    <w:rsid w:val="00BC3398"/>
    <w:rsid w:val="00BC33B7"/>
    <w:rsid w:val="00BC33F2"/>
    <w:rsid w:val="00BC3403"/>
    <w:rsid w:val="00BC3468"/>
    <w:rsid w:val="00BC34E2"/>
    <w:rsid w:val="00BC3504"/>
    <w:rsid w:val="00BC352A"/>
    <w:rsid w:val="00BC3562"/>
    <w:rsid w:val="00BC3570"/>
    <w:rsid w:val="00BC35A5"/>
    <w:rsid w:val="00BC3681"/>
    <w:rsid w:val="00BC3737"/>
    <w:rsid w:val="00BC37D4"/>
    <w:rsid w:val="00BC3943"/>
    <w:rsid w:val="00BC39F3"/>
    <w:rsid w:val="00BC3A7A"/>
    <w:rsid w:val="00BC3B37"/>
    <w:rsid w:val="00BC3BCA"/>
    <w:rsid w:val="00BC3BD5"/>
    <w:rsid w:val="00BC3C76"/>
    <w:rsid w:val="00BC3CC2"/>
    <w:rsid w:val="00BC3D44"/>
    <w:rsid w:val="00BC3D6B"/>
    <w:rsid w:val="00BC3E41"/>
    <w:rsid w:val="00BC3F8A"/>
    <w:rsid w:val="00BC3FE9"/>
    <w:rsid w:val="00BC40A5"/>
    <w:rsid w:val="00BC4501"/>
    <w:rsid w:val="00BC45BF"/>
    <w:rsid w:val="00BC46A3"/>
    <w:rsid w:val="00BC472E"/>
    <w:rsid w:val="00BC480F"/>
    <w:rsid w:val="00BC4883"/>
    <w:rsid w:val="00BC493A"/>
    <w:rsid w:val="00BC4A92"/>
    <w:rsid w:val="00BC4ABD"/>
    <w:rsid w:val="00BC4B05"/>
    <w:rsid w:val="00BC4C11"/>
    <w:rsid w:val="00BC4C12"/>
    <w:rsid w:val="00BC4C7E"/>
    <w:rsid w:val="00BC4CCA"/>
    <w:rsid w:val="00BC4CF9"/>
    <w:rsid w:val="00BC4F56"/>
    <w:rsid w:val="00BC509B"/>
    <w:rsid w:val="00BC5158"/>
    <w:rsid w:val="00BC51FE"/>
    <w:rsid w:val="00BC5263"/>
    <w:rsid w:val="00BC5284"/>
    <w:rsid w:val="00BC52CA"/>
    <w:rsid w:val="00BC52F0"/>
    <w:rsid w:val="00BC54F1"/>
    <w:rsid w:val="00BC5518"/>
    <w:rsid w:val="00BC5662"/>
    <w:rsid w:val="00BC57B5"/>
    <w:rsid w:val="00BC58F0"/>
    <w:rsid w:val="00BC593A"/>
    <w:rsid w:val="00BC59D1"/>
    <w:rsid w:val="00BC5B8B"/>
    <w:rsid w:val="00BC5C7A"/>
    <w:rsid w:val="00BC5C91"/>
    <w:rsid w:val="00BC5D30"/>
    <w:rsid w:val="00BC5E12"/>
    <w:rsid w:val="00BC5F4B"/>
    <w:rsid w:val="00BC6067"/>
    <w:rsid w:val="00BC6073"/>
    <w:rsid w:val="00BC6080"/>
    <w:rsid w:val="00BC608B"/>
    <w:rsid w:val="00BC623F"/>
    <w:rsid w:val="00BC6297"/>
    <w:rsid w:val="00BC629E"/>
    <w:rsid w:val="00BC6373"/>
    <w:rsid w:val="00BC64A5"/>
    <w:rsid w:val="00BC64F6"/>
    <w:rsid w:val="00BC65E9"/>
    <w:rsid w:val="00BC660C"/>
    <w:rsid w:val="00BC66A3"/>
    <w:rsid w:val="00BC6822"/>
    <w:rsid w:val="00BC6993"/>
    <w:rsid w:val="00BC6A42"/>
    <w:rsid w:val="00BC6A9C"/>
    <w:rsid w:val="00BC6B3E"/>
    <w:rsid w:val="00BC6B76"/>
    <w:rsid w:val="00BC6C5F"/>
    <w:rsid w:val="00BC6CAE"/>
    <w:rsid w:val="00BC6CED"/>
    <w:rsid w:val="00BC6D78"/>
    <w:rsid w:val="00BC6DD0"/>
    <w:rsid w:val="00BC6E1C"/>
    <w:rsid w:val="00BC6E50"/>
    <w:rsid w:val="00BC708D"/>
    <w:rsid w:val="00BC70B9"/>
    <w:rsid w:val="00BC70F5"/>
    <w:rsid w:val="00BC71C1"/>
    <w:rsid w:val="00BC737B"/>
    <w:rsid w:val="00BC737E"/>
    <w:rsid w:val="00BC73AB"/>
    <w:rsid w:val="00BC73B9"/>
    <w:rsid w:val="00BC7431"/>
    <w:rsid w:val="00BC75E1"/>
    <w:rsid w:val="00BC7673"/>
    <w:rsid w:val="00BC7735"/>
    <w:rsid w:val="00BC77B2"/>
    <w:rsid w:val="00BC7810"/>
    <w:rsid w:val="00BC78B5"/>
    <w:rsid w:val="00BC7919"/>
    <w:rsid w:val="00BC79CD"/>
    <w:rsid w:val="00BC7A5A"/>
    <w:rsid w:val="00BC7B89"/>
    <w:rsid w:val="00BC7C27"/>
    <w:rsid w:val="00BC7C31"/>
    <w:rsid w:val="00BC7D37"/>
    <w:rsid w:val="00BC7D81"/>
    <w:rsid w:val="00BC7DF4"/>
    <w:rsid w:val="00BC7E10"/>
    <w:rsid w:val="00BC7E42"/>
    <w:rsid w:val="00BC7F1F"/>
    <w:rsid w:val="00BC7F92"/>
    <w:rsid w:val="00BC7FCE"/>
    <w:rsid w:val="00BC7FD3"/>
    <w:rsid w:val="00BD0013"/>
    <w:rsid w:val="00BD0065"/>
    <w:rsid w:val="00BD01C7"/>
    <w:rsid w:val="00BD057D"/>
    <w:rsid w:val="00BD05EE"/>
    <w:rsid w:val="00BD0623"/>
    <w:rsid w:val="00BD062B"/>
    <w:rsid w:val="00BD0671"/>
    <w:rsid w:val="00BD06C6"/>
    <w:rsid w:val="00BD0833"/>
    <w:rsid w:val="00BD0985"/>
    <w:rsid w:val="00BD09B6"/>
    <w:rsid w:val="00BD0A07"/>
    <w:rsid w:val="00BD0A58"/>
    <w:rsid w:val="00BD0A74"/>
    <w:rsid w:val="00BD0D7C"/>
    <w:rsid w:val="00BD0E59"/>
    <w:rsid w:val="00BD0E94"/>
    <w:rsid w:val="00BD0F26"/>
    <w:rsid w:val="00BD0FB7"/>
    <w:rsid w:val="00BD0FFD"/>
    <w:rsid w:val="00BD101A"/>
    <w:rsid w:val="00BD1093"/>
    <w:rsid w:val="00BD10F3"/>
    <w:rsid w:val="00BD1183"/>
    <w:rsid w:val="00BD1263"/>
    <w:rsid w:val="00BD1335"/>
    <w:rsid w:val="00BD134A"/>
    <w:rsid w:val="00BD1354"/>
    <w:rsid w:val="00BD136E"/>
    <w:rsid w:val="00BD1377"/>
    <w:rsid w:val="00BD1381"/>
    <w:rsid w:val="00BD13F8"/>
    <w:rsid w:val="00BD1437"/>
    <w:rsid w:val="00BD1471"/>
    <w:rsid w:val="00BD14BB"/>
    <w:rsid w:val="00BD14F7"/>
    <w:rsid w:val="00BD153B"/>
    <w:rsid w:val="00BD1560"/>
    <w:rsid w:val="00BD15C4"/>
    <w:rsid w:val="00BD15F1"/>
    <w:rsid w:val="00BD1607"/>
    <w:rsid w:val="00BD1749"/>
    <w:rsid w:val="00BD17D6"/>
    <w:rsid w:val="00BD1810"/>
    <w:rsid w:val="00BD1825"/>
    <w:rsid w:val="00BD18A8"/>
    <w:rsid w:val="00BD18CA"/>
    <w:rsid w:val="00BD18D3"/>
    <w:rsid w:val="00BD18E4"/>
    <w:rsid w:val="00BD1AFB"/>
    <w:rsid w:val="00BD1C0B"/>
    <w:rsid w:val="00BD1CC6"/>
    <w:rsid w:val="00BD1DA2"/>
    <w:rsid w:val="00BD1DD8"/>
    <w:rsid w:val="00BD1E21"/>
    <w:rsid w:val="00BD1F80"/>
    <w:rsid w:val="00BD1FE1"/>
    <w:rsid w:val="00BD200D"/>
    <w:rsid w:val="00BD2019"/>
    <w:rsid w:val="00BD2036"/>
    <w:rsid w:val="00BD2094"/>
    <w:rsid w:val="00BD2158"/>
    <w:rsid w:val="00BD2361"/>
    <w:rsid w:val="00BD238C"/>
    <w:rsid w:val="00BD2395"/>
    <w:rsid w:val="00BD2415"/>
    <w:rsid w:val="00BD2441"/>
    <w:rsid w:val="00BD25F4"/>
    <w:rsid w:val="00BD26A7"/>
    <w:rsid w:val="00BD2843"/>
    <w:rsid w:val="00BD2931"/>
    <w:rsid w:val="00BD295B"/>
    <w:rsid w:val="00BD2960"/>
    <w:rsid w:val="00BD29EE"/>
    <w:rsid w:val="00BD2A08"/>
    <w:rsid w:val="00BD2A13"/>
    <w:rsid w:val="00BD2A26"/>
    <w:rsid w:val="00BD2A9B"/>
    <w:rsid w:val="00BD2AF4"/>
    <w:rsid w:val="00BD2AFC"/>
    <w:rsid w:val="00BD2B55"/>
    <w:rsid w:val="00BD2C61"/>
    <w:rsid w:val="00BD2CEE"/>
    <w:rsid w:val="00BD2D22"/>
    <w:rsid w:val="00BD2E5C"/>
    <w:rsid w:val="00BD2E83"/>
    <w:rsid w:val="00BD2E8D"/>
    <w:rsid w:val="00BD2F73"/>
    <w:rsid w:val="00BD2F77"/>
    <w:rsid w:val="00BD316B"/>
    <w:rsid w:val="00BD31A3"/>
    <w:rsid w:val="00BD3252"/>
    <w:rsid w:val="00BD3255"/>
    <w:rsid w:val="00BD32C5"/>
    <w:rsid w:val="00BD32DB"/>
    <w:rsid w:val="00BD32E1"/>
    <w:rsid w:val="00BD338A"/>
    <w:rsid w:val="00BD33B1"/>
    <w:rsid w:val="00BD33DD"/>
    <w:rsid w:val="00BD3423"/>
    <w:rsid w:val="00BD34FC"/>
    <w:rsid w:val="00BD354B"/>
    <w:rsid w:val="00BD3569"/>
    <w:rsid w:val="00BD3597"/>
    <w:rsid w:val="00BD3655"/>
    <w:rsid w:val="00BD36A4"/>
    <w:rsid w:val="00BD3724"/>
    <w:rsid w:val="00BD38D8"/>
    <w:rsid w:val="00BD396C"/>
    <w:rsid w:val="00BD3A11"/>
    <w:rsid w:val="00BD3AA9"/>
    <w:rsid w:val="00BD3BCF"/>
    <w:rsid w:val="00BD3C53"/>
    <w:rsid w:val="00BD3D67"/>
    <w:rsid w:val="00BD3DFB"/>
    <w:rsid w:val="00BD3EBC"/>
    <w:rsid w:val="00BD3EEA"/>
    <w:rsid w:val="00BD3F2D"/>
    <w:rsid w:val="00BD4065"/>
    <w:rsid w:val="00BD41AB"/>
    <w:rsid w:val="00BD4219"/>
    <w:rsid w:val="00BD43A7"/>
    <w:rsid w:val="00BD44D4"/>
    <w:rsid w:val="00BD451A"/>
    <w:rsid w:val="00BD45AF"/>
    <w:rsid w:val="00BD4600"/>
    <w:rsid w:val="00BD46C0"/>
    <w:rsid w:val="00BD49C7"/>
    <w:rsid w:val="00BD4A10"/>
    <w:rsid w:val="00BD4A25"/>
    <w:rsid w:val="00BD4B1D"/>
    <w:rsid w:val="00BD4B4A"/>
    <w:rsid w:val="00BD4BBF"/>
    <w:rsid w:val="00BD4C3C"/>
    <w:rsid w:val="00BD4C3D"/>
    <w:rsid w:val="00BD4C40"/>
    <w:rsid w:val="00BD4C53"/>
    <w:rsid w:val="00BD4CC0"/>
    <w:rsid w:val="00BD4D58"/>
    <w:rsid w:val="00BD4D5B"/>
    <w:rsid w:val="00BD4DD5"/>
    <w:rsid w:val="00BD4E92"/>
    <w:rsid w:val="00BD4EC8"/>
    <w:rsid w:val="00BD4F9E"/>
    <w:rsid w:val="00BD4FE9"/>
    <w:rsid w:val="00BD50D1"/>
    <w:rsid w:val="00BD50E4"/>
    <w:rsid w:val="00BD5153"/>
    <w:rsid w:val="00BD51E5"/>
    <w:rsid w:val="00BD5257"/>
    <w:rsid w:val="00BD527C"/>
    <w:rsid w:val="00BD52B1"/>
    <w:rsid w:val="00BD53DE"/>
    <w:rsid w:val="00BD54F4"/>
    <w:rsid w:val="00BD554C"/>
    <w:rsid w:val="00BD5663"/>
    <w:rsid w:val="00BD567E"/>
    <w:rsid w:val="00BD56C1"/>
    <w:rsid w:val="00BD571B"/>
    <w:rsid w:val="00BD580A"/>
    <w:rsid w:val="00BD58B9"/>
    <w:rsid w:val="00BD58DC"/>
    <w:rsid w:val="00BD5927"/>
    <w:rsid w:val="00BD5967"/>
    <w:rsid w:val="00BD597B"/>
    <w:rsid w:val="00BD598D"/>
    <w:rsid w:val="00BD5ADA"/>
    <w:rsid w:val="00BD5B9A"/>
    <w:rsid w:val="00BD5D5F"/>
    <w:rsid w:val="00BD5D79"/>
    <w:rsid w:val="00BD5D92"/>
    <w:rsid w:val="00BD5DC4"/>
    <w:rsid w:val="00BD5DE3"/>
    <w:rsid w:val="00BD5E49"/>
    <w:rsid w:val="00BD5E4F"/>
    <w:rsid w:val="00BD5E6E"/>
    <w:rsid w:val="00BD5EF0"/>
    <w:rsid w:val="00BD5F02"/>
    <w:rsid w:val="00BD5FE0"/>
    <w:rsid w:val="00BD60A4"/>
    <w:rsid w:val="00BD612B"/>
    <w:rsid w:val="00BD6130"/>
    <w:rsid w:val="00BD6244"/>
    <w:rsid w:val="00BD625C"/>
    <w:rsid w:val="00BD62FE"/>
    <w:rsid w:val="00BD6337"/>
    <w:rsid w:val="00BD6497"/>
    <w:rsid w:val="00BD6500"/>
    <w:rsid w:val="00BD6635"/>
    <w:rsid w:val="00BD6650"/>
    <w:rsid w:val="00BD6655"/>
    <w:rsid w:val="00BD6665"/>
    <w:rsid w:val="00BD6757"/>
    <w:rsid w:val="00BD677B"/>
    <w:rsid w:val="00BD681C"/>
    <w:rsid w:val="00BD6824"/>
    <w:rsid w:val="00BD6912"/>
    <w:rsid w:val="00BD6984"/>
    <w:rsid w:val="00BD69A2"/>
    <w:rsid w:val="00BD69EE"/>
    <w:rsid w:val="00BD6A1C"/>
    <w:rsid w:val="00BD6A7C"/>
    <w:rsid w:val="00BD6B10"/>
    <w:rsid w:val="00BD6B35"/>
    <w:rsid w:val="00BD6B3E"/>
    <w:rsid w:val="00BD6B51"/>
    <w:rsid w:val="00BD6BE9"/>
    <w:rsid w:val="00BD6C57"/>
    <w:rsid w:val="00BD6C59"/>
    <w:rsid w:val="00BD6C7E"/>
    <w:rsid w:val="00BD6D55"/>
    <w:rsid w:val="00BD6E95"/>
    <w:rsid w:val="00BD6EEF"/>
    <w:rsid w:val="00BD7020"/>
    <w:rsid w:val="00BD7050"/>
    <w:rsid w:val="00BD71CF"/>
    <w:rsid w:val="00BD730D"/>
    <w:rsid w:val="00BD7384"/>
    <w:rsid w:val="00BD739A"/>
    <w:rsid w:val="00BD7492"/>
    <w:rsid w:val="00BD749D"/>
    <w:rsid w:val="00BD7528"/>
    <w:rsid w:val="00BD7572"/>
    <w:rsid w:val="00BD75BE"/>
    <w:rsid w:val="00BD75C8"/>
    <w:rsid w:val="00BD773A"/>
    <w:rsid w:val="00BD786C"/>
    <w:rsid w:val="00BD7A49"/>
    <w:rsid w:val="00BD7AA8"/>
    <w:rsid w:val="00BD7B77"/>
    <w:rsid w:val="00BD7BCF"/>
    <w:rsid w:val="00BD7C03"/>
    <w:rsid w:val="00BD7C1D"/>
    <w:rsid w:val="00BD7C26"/>
    <w:rsid w:val="00BD7C4A"/>
    <w:rsid w:val="00BD7C84"/>
    <w:rsid w:val="00BD7D61"/>
    <w:rsid w:val="00BD7F64"/>
    <w:rsid w:val="00BE0199"/>
    <w:rsid w:val="00BE01A6"/>
    <w:rsid w:val="00BE01BA"/>
    <w:rsid w:val="00BE0222"/>
    <w:rsid w:val="00BE0271"/>
    <w:rsid w:val="00BE02E4"/>
    <w:rsid w:val="00BE0449"/>
    <w:rsid w:val="00BE0543"/>
    <w:rsid w:val="00BE0642"/>
    <w:rsid w:val="00BE0769"/>
    <w:rsid w:val="00BE07E6"/>
    <w:rsid w:val="00BE08A0"/>
    <w:rsid w:val="00BE08D3"/>
    <w:rsid w:val="00BE08E1"/>
    <w:rsid w:val="00BE0A5F"/>
    <w:rsid w:val="00BE0AB4"/>
    <w:rsid w:val="00BE0B17"/>
    <w:rsid w:val="00BE0BA0"/>
    <w:rsid w:val="00BE0C5D"/>
    <w:rsid w:val="00BE0C81"/>
    <w:rsid w:val="00BE0D72"/>
    <w:rsid w:val="00BE0E0D"/>
    <w:rsid w:val="00BE0E5A"/>
    <w:rsid w:val="00BE0E74"/>
    <w:rsid w:val="00BE0F06"/>
    <w:rsid w:val="00BE0F37"/>
    <w:rsid w:val="00BE0F40"/>
    <w:rsid w:val="00BE0F84"/>
    <w:rsid w:val="00BE1108"/>
    <w:rsid w:val="00BE1124"/>
    <w:rsid w:val="00BE1131"/>
    <w:rsid w:val="00BE1241"/>
    <w:rsid w:val="00BE126D"/>
    <w:rsid w:val="00BE134B"/>
    <w:rsid w:val="00BE138D"/>
    <w:rsid w:val="00BE14A6"/>
    <w:rsid w:val="00BE14C6"/>
    <w:rsid w:val="00BE1509"/>
    <w:rsid w:val="00BE175C"/>
    <w:rsid w:val="00BE18B7"/>
    <w:rsid w:val="00BE1912"/>
    <w:rsid w:val="00BE193C"/>
    <w:rsid w:val="00BE1A13"/>
    <w:rsid w:val="00BE1AF7"/>
    <w:rsid w:val="00BE1B9B"/>
    <w:rsid w:val="00BE1C66"/>
    <w:rsid w:val="00BE1D20"/>
    <w:rsid w:val="00BE1E49"/>
    <w:rsid w:val="00BE1E9B"/>
    <w:rsid w:val="00BE1EC4"/>
    <w:rsid w:val="00BE1F45"/>
    <w:rsid w:val="00BE204E"/>
    <w:rsid w:val="00BE21B6"/>
    <w:rsid w:val="00BE2202"/>
    <w:rsid w:val="00BE225D"/>
    <w:rsid w:val="00BE22CC"/>
    <w:rsid w:val="00BE232C"/>
    <w:rsid w:val="00BE2399"/>
    <w:rsid w:val="00BE2437"/>
    <w:rsid w:val="00BE24F8"/>
    <w:rsid w:val="00BE2509"/>
    <w:rsid w:val="00BE2531"/>
    <w:rsid w:val="00BE2542"/>
    <w:rsid w:val="00BE2568"/>
    <w:rsid w:val="00BE2608"/>
    <w:rsid w:val="00BE2663"/>
    <w:rsid w:val="00BE2714"/>
    <w:rsid w:val="00BE27B8"/>
    <w:rsid w:val="00BE28AB"/>
    <w:rsid w:val="00BE2939"/>
    <w:rsid w:val="00BE29D9"/>
    <w:rsid w:val="00BE29E0"/>
    <w:rsid w:val="00BE2AE3"/>
    <w:rsid w:val="00BE2AEE"/>
    <w:rsid w:val="00BE2AFE"/>
    <w:rsid w:val="00BE2B17"/>
    <w:rsid w:val="00BE2B33"/>
    <w:rsid w:val="00BE2CFA"/>
    <w:rsid w:val="00BE2DC7"/>
    <w:rsid w:val="00BE2E6A"/>
    <w:rsid w:val="00BE2E81"/>
    <w:rsid w:val="00BE30A8"/>
    <w:rsid w:val="00BE31DB"/>
    <w:rsid w:val="00BE3242"/>
    <w:rsid w:val="00BE326F"/>
    <w:rsid w:val="00BE3289"/>
    <w:rsid w:val="00BE32AF"/>
    <w:rsid w:val="00BE3301"/>
    <w:rsid w:val="00BE332C"/>
    <w:rsid w:val="00BE337F"/>
    <w:rsid w:val="00BE344C"/>
    <w:rsid w:val="00BE34AE"/>
    <w:rsid w:val="00BE35BC"/>
    <w:rsid w:val="00BE36EF"/>
    <w:rsid w:val="00BE397E"/>
    <w:rsid w:val="00BE39C5"/>
    <w:rsid w:val="00BE3BC5"/>
    <w:rsid w:val="00BE3CA2"/>
    <w:rsid w:val="00BE3F6A"/>
    <w:rsid w:val="00BE4016"/>
    <w:rsid w:val="00BE4062"/>
    <w:rsid w:val="00BE4081"/>
    <w:rsid w:val="00BE42C0"/>
    <w:rsid w:val="00BE4381"/>
    <w:rsid w:val="00BE43A6"/>
    <w:rsid w:val="00BE43AA"/>
    <w:rsid w:val="00BE43B5"/>
    <w:rsid w:val="00BE442D"/>
    <w:rsid w:val="00BE4470"/>
    <w:rsid w:val="00BE447C"/>
    <w:rsid w:val="00BE448B"/>
    <w:rsid w:val="00BE44F6"/>
    <w:rsid w:val="00BE467E"/>
    <w:rsid w:val="00BE470D"/>
    <w:rsid w:val="00BE4724"/>
    <w:rsid w:val="00BE474B"/>
    <w:rsid w:val="00BE4774"/>
    <w:rsid w:val="00BE47F7"/>
    <w:rsid w:val="00BE482F"/>
    <w:rsid w:val="00BE48A5"/>
    <w:rsid w:val="00BE48F9"/>
    <w:rsid w:val="00BE496D"/>
    <w:rsid w:val="00BE4974"/>
    <w:rsid w:val="00BE49E6"/>
    <w:rsid w:val="00BE4A05"/>
    <w:rsid w:val="00BE4A50"/>
    <w:rsid w:val="00BE4A64"/>
    <w:rsid w:val="00BE4B0B"/>
    <w:rsid w:val="00BE4B31"/>
    <w:rsid w:val="00BE4B9E"/>
    <w:rsid w:val="00BE4D49"/>
    <w:rsid w:val="00BE4D61"/>
    <w:rsid w:val="00BE4E06"/>
    <w:rsid w:val="00BE4E1F"/>
    <w:rsid w:val="00BE4E64"/>
    <w:rsid w:val="00BE4F02"/>
    <w:rsid w:val="00BE4FA2"/>
    <w:rsid w:val="00BE4FE5"/>
    <w:rsid w:val="00BE5044"/>
    <w:rsid w:val="00BE50B7"/>
    <w:rsid w:val="00BE5131"/>
    <w:rsid w:val="00BE541C"/>
    <w:rsid w:val="00BE547F"/>
    <w:rsid w:val="00BE5487"/>
    <w:rsid w:val="00BE54B7"/>
    <w:rsid w:val="00BE56C7"/>
    <w:rsid w:val="00BE571E"/>
    <w:rsid w:val="00BE57F2"/>
    <w:rsid w:val="00BE5813"/>
    <w:rsid w:val="00BE588D"/>
    <w:rsid w:val="00BE590E"/>
    <w:rsid w:val="00BE596C"/>
    <w:rsid w:val="00BE59BA"/>
    <w:rsid w:val="00BE59FD"/>
    <w:rsid w:val="00BE5B63"/>
    <w:rsid w:val="00BE5C2B"/>
    <w:rsid w:val="00BE5D2F"/>
    <w:rsid w:val="00BE5D45"/>
    <w:rsid w:val="00BE5D81"/>
    <w:rsid w:val="00BE5DFF"/>
    <w:rsid w:val="00BE5E1B"/>
    <w:rsid w:val="00BE5E7D"/>
    <w:rsid w:val="00BE5F2E"/>
    <w:rsid w:val="00BE5FE6"/>
    <w:rsid w:val="00BE5FF3"/>
    <w:rsid w:val="00BE605F"/>
    <w:rsid w:val="00BE60AC"/>
    <w:rsid w:val="00BE60CA"/>
    <w:rsid w:val="00BE6223"/>
    <w:rsid w:val="00BE6263"/>
    <w:rsid w:val="00BE62EC"/>
    <w:rsid w:val="00BE6411"/>
    <w:rsid w:val="00BE6515"/>
    <w:rsid w:val="00BE651C"/>
    <w:rsid w:val="00BE6623"/>
    <w:rsid w:val="00BE6636"/>
    <w:rsid w:val="00BE663D"/>
    <w:rsid w:val="00BE6651"/>
    <w:rsid w:val="00BE66DB"/>
    <w:rsid w:val="00BE67B2"/>
    <w:rsid w:val="00BE67E4"/>
    <w:rsid w:val="00BE68C0"/>
    <w:rsid w:val="00BE694B"/>
    <w:rsid w:val="00BE69A4"/>
    <w:rsid w:val="00BE6A4D"/>
    <w:rsid w:val="00BE6B16"/>
    <w:rsid w:val="00BE6B33"/>
    <w:rsid w:val="00BE6B45"/>
    <w:rsid w:val="00BE6BE4"/>
    <w:rsid w:val="00BE6DB3"/>
    <w:rsid w:val="00BE6E7A"/>
    <w:rsid w:val="00BE6F2F"/>
    <w:rsid w:val="00BE6FDF"/>
    <w:rsid w:val="00BE7172"/>
    <w:rsid w:val="00BE7199"/>
    <w:rsid w:val="00BE71A8"/>
    <w:rsid w:val="00BE71FE"/>
    <w:rsid w:val="00BE724B"/>
    <w:rsid w:val="00BE724F"/>
    <w:rsid w:val="00BE74B3"/>
    <w:rsid w:val="00BE7529"/>
    <w:rsid w:val="00BE752E"/>
    <w:rsid w:val="00BE75E2"/>
    <w:rsid w:val="00BE7613"/>
    <w:rsid w:val="00BE7769"/>
    <w:rsid w:val="00BE7823"/>
    <w:rsid w:val="00BE787A"/>
    <w:rsid w:val="00BE7888"/>
    <w:rsid w:val="00BE7897"/>
    <w:rsid w:val="00BE78BA"/>
    <w:rsid w:val="00BE7961"/>
    <w:rsid w:val="00BE7B61"/>
    <w:rsid w:val="00BE7B74"/>
    <w:rsid w:val="00BE7B9A"/>
    <w:rsid w:val="00BE7BBE"/>
    <w:rsid w:val="00BE7BE7"/>
    <w:rsid w:val="00BE7CC1"/>
    <w:rsid w:val="00BE7CEF"/>
    <w:rsid w:val="00BE7D8D"/>
    <w:rsid w:val="00BE7E55"/>
    <w:rsid w:val="00BE7EA3"/>
    <w:rsid w:val="00BE7EED"/>
    <w:rsid w:val="00BE7FDE"/>
    <w:rsid w:val="00BF016E"/>
    <w:rsid w:val="00BF01A8"/>
    <w:rsid w:val="00BF01A9"/>
    <w:rsid w:val="00BF0245"/>
    <w:rsid w:val="00BF044A"/>
    <w:rsid w:val="00BF04B7"/>
    <w:rsid w:val="00BF0526"/>
    <w:rsid w:val="00BF05C9"/>
    <w:rsid w:val="00BF0636"/>
    <w:rsid w:val="00BF079B"/>
    <w:rsid w:val="00BF08A8"/>
    <w:rsid w:val="00BF0AC4"/>
    <w:rsid w:val="00BF0AE2"/>
    <w:rsid w:val="00BF0AF4"/>
    <w:rsid w:val="00BF0B93"/>
    <w:rsid w:val="00BF0C2F"/>
    <w:rsid w:val="00BF0D0A"/>
    <w:rsid w:val="00BF0DF5"/>
    <w:rsid w:val="00BF0E06"/>
    <w:rsid w:val="00BF0E4F"/>
    <w:rsid w:val="00BF1034"/>
    <w:rsid w:val="00BF1154"/>
    <w:rsid w:val="00BF11B9"/>
    <w:rsid w:val="00BF1299"/>
    <w:rsid w:val="00BF13C4"/>
    <w:rsid w:val="00BF149C"/>
    <w:rsid w:val="00BF1588"/>
    <w:rsid w:val="00BF161F"/>
    <w:rsid w:val="00BF16BD"/>
    <w:rsid w:val="00BF1711"/>
    <w:rsid w:val="00BF17BE"/>
    <w:rsid w:val="00BF18CB"/>
    <w:rsid w:val="00BF18EB"/>
    <w:rsid w:val="00BF19CA"/>
    <w:rsid w:val="00BF1A65"/>
    <w:rsid w:val="00BF1A91"/>
    <w:rsid w:val="00BF1AD9"/>
    <w:rsid w:val="00BF1B65"/>
    <w:rsid w:val="00BF1B69"/>
    <w:rsid w:val="00BF1BD1"/>
    <w:rsid w:val="00BF1BEB"/>
    <w:rsid w:val="00BF1C08"/>
    <w:rsid w:val="00BF1C74"/>
    <w:rsid w:val="00BF1CF7"/>
    <w:rsid w:val="00BF1D16"/>
    <w:rsid w:val="00BF1D17"/>
    <w:rsid w:val="00BF1DFD"/>
    <w:rsid w:val="00BF1EBB"/>
    <w:rsid w:val="00BF1F02"/>
    <w:rsid w:val="00BF2046"/>
    <w:rsid w:val="00BF20F0"/>
    <w:rsid w:val="00BF217E"/>
    <w:rsid w:val="00BF2358"/>
    <w:rsid w:val="00BF23C0"/>
    <w:rsid w:val="00BF23EB"/>
    <w:rsid w:val="00BF2418"/>
    <w:rsid w:val="00BF242D"/>
    <w:rsid w:val="00BF248B"/>
    <w:rsid w:val="00BF24C1"/>
    <w:rsid w:val="00BF265C"/>
    <w:rsid w:val="00BF2696"/>
    <w:rsid w:val="00BF271D"/>
    <w:rsid w:val="00BF2744"/>
    <w:rsid w:val="00BF279D"/>
    <w:rsid w:val="00BF27D2"/>
    <w:rsid w:val="00BF27DE"/>
    <w:rsid w:val="00BF28F6"/>
    <w:rsid w:val="00BF29F1"/>
    <w:rsid w:val="00BF2A0E"/>
    <w:rsid w:val="00BF2B9A"/>
    <w:rsid w:val="00BF2CBA"/>
    <w:rsid w:val="00BF2CF1"/>
    <w:rsid w:val="00BF2D1A"/>
    <w:rsid w:val="00BF2E19"/>
    <w:rsid w:val="00BF2E7C"/>
    <w:rsid w:val="00BF2EF0"/>
    <w:rsid w:val="00BF2F39"/>
    <w:rsid w:val="00BF2FD4"/>
    <w:rsid w:val="00BF2FDC"/>
    <w:rsid w:val="00BF2FE7"/>
    <w:rsid w:val="00BF3023"/>
    <w:rsid w:val="00BF3067"/>
    <w:rsid w:val="00BF3071"/>
    <w:rsid w:val="00BF30AE"/>
    <w:rsid w:val="00BF3144"/>
    <w:rsid w:val="00BF3172"/>
    <w:rsid w:val="00BF31AD"/>
    <w:rsid w:val="00BF3295"/>
    <w:rsid w:val="00BF32DB"/>
    <w:rsid w:val="00BF32E8"/>
    <w:rsid w:val="00BF3330"/>
    <w:rsid w:val="00BF336D"/>
    <w:rsid w:val="00BF343E"/>
    <w:rsid w:val="00BF3450"/>
    <w:rsid w:val="00BF34D6"/>
    <w:rsid w:val="00BF3557"/>
    <w:rsid w:val="00BF365B"/>
    <w:rsid w:val="00BF368D"/>
    <w:rsid w:val="00BF36CB"/>
    <w:rsid w:val="00BF373D"/>
    <w:rsid w:val="00BF3779"/>
    <w:rsid w:val="00BF3801"/>
    <w:rsid w:val="00BF3861"/>
    <w:rsid w:val="00BF390E"/>
    <w:rsid w:val="00BF391B"/>
    <w:rsid w:val="00BF3921"/>
    <w:rsid w:val="00BF392F"/>
    <w:rsid w:val="00BF3B40"/>
    <w:rsid w:val="00BF3BB4"/>
    <w:rsid w:val="00BF3BE4"/>
    <w:rsid w:val="00BF3C53"/>
    <w:rsid w:val="00BF3CED"/>
    <w:rsid w:val="00BF3CF3"/>
    <w:rsid w:val="00BF3DB5"/>
    <w:rsid w:val="00BF3DF5"/>
    <w:rsid w:val="00BF3EE4"/>
    <w:rsid w:val="00BF3FEB"/>
    <w:rsid w:val="00BF4141"/>
    <w:rsid w:val="00BF41FC"/>
    <w:rsid w:val="00BF4231"/>
    <w:rsid w:val="00BF4307"/>
    <w:rsid w:val="00BF433C"/>
    <w:rsid w:val="00BF43B1"/>
    <w:rsid w:val="00BF43B7"/>
    <w:rsid w:val="00BF440B"/>
    <w:rsid w:val="00BF4421"/>
    <w:rsid w:val="00BF443B"/>
    <w:rsid w:val="00BF4481"/>
    <w:rsid w:val="00BF450A"/>
    <w:rsid w:val="00BF4521"/>
    <w:rsid w:val="00BF4564"/>
    <w:rsid w:val="00BF4600"/>
    <w:rsid w:val="00BF460F"/>
    <w:rsid w:val="00BF4621"/>
    <w:rsid w:val="00BF462B"/>
    <w:rsid w:val="00BF4678"/>
    <w:rsid w:val="00BF46E6"/>
    <w:rsid w:val="00BF47B1"/>
    <w:rsid w:val="00BF485E"/>
    <w:rsid w:val="00BF4966"/>
    <w:rsid w:val="00BF49C6"/>
    <w:rsid w:val="00BF4A0F"/>
    <w:rsid w:val="00BF4AE0"/>
    <w:rsid w:val="00BF4AEB"/>
    <w:rsid w:val="00BF4BE2"/>
    <w:rsid w:val="00BF4C48"/>
    <w:rsid w:val="00BF4C50"/>
    <w:rsid w:val="00BF4CC9"/>
    <w:rsid w:val="00BF4D60"/>
    <w:rsid w:val="00BF4D96"/>
    <w:rsid w:val="00BF4E2C"/>
    <w:rsid w:val="00BF4F16"/>
    <w:rsid w:val="00BF4FD9"/>
    <w:rsid w:val="00BF4FEF"/>
    <w:rsid w:val="00BF502D"/>
    <w:rsid w:val="00BF5149"/>
    <w:rsid w:val="00BF517F"/>
    <w:rsid w:val="00BF522E"/>
    <w:rsid w:val="00BF52BC"/>
    <w:rsid w:val="00BF5390"/>
    <w:rsid w:val="00BF5473"/>
    <w:rsid w:val="00BF547D"/>
    <w:rsid w:val="00BF55A2"/>
    <w:rsid w:val="00BF5669"/>
    <w:rsid w:val="00BF56CF"/>
    <w:rsid w:val="00BF5738"/>
    <w:rsid w:val="00BF57BE"/>
    <w:rsid w:val="00BF587D"/>
    <w:rsid w:val="00BF5897"/>
    <w:rsid w:val="00BF58E8"/>
    <w:rsid w:val="00BF5932"/>
    <w:rsid w:val="00BF5985"/>
    <w:rsid w:val="00BF59BB"/>
    <w:rsid w:val="00BF5A43"/>
    <w:rsid w:val="00BF5A5D"/>
    <w:rsid w:val="00BF5A6B"/>
    <w:rsid w:val="00BF5A7B"/>
    <w:rsid w:val="00BF5B48"/>
    <w:rsid w:val="00BF5B9F"/>
    <w:rsid w:val="00BF5BBD"/>
    <w:rsid w:val="00BF5BE5"/>
    <w:rsid w:val="00BF5C4A"/>
    <w:rsid w:val="00BF5CCE"/>
    <w:rsid w:val="00BF5D58"/>
    <w:rsid w:val="00BF5FE4"/>
    <w:rsid w:val="00BF5FEF"/>
    <w:rsid w:val="00BF60A9"/>
    <w:rsid w:val="00BF60B4"/>
    <w:rsid w:val="00BF60FC"/>
    <w:rsid w:val="00BF617A"/>
    <w:rsid w:val="00BF6189"/>
    <w:rsid w:val="00BF61FD"/>
    <w:rsid w:val="00BF61FF"/>
    <w:rsid w:val="00BF620B"/>
    <w:rsid w:val="00BF6385"/>
    <w:rsid w:val="00BF65D6"/>
    <w:rsid w:val="00BF65DC"/>
    <w:rsid w:val="00BF664B"/>
    <w:rsid w:val="00BF6669"/>
    <w:rsid w:val="00BF683E"/>
    <w:rsid w:val="00BF69E3"/>
    <w:rsid w:val="00BF6A0E"/>
    <w:rsid w:val="00BF6ABE"/>
    <w:rsid w:val="00BF6B13"/>
    <w:rsid w:val="00BF6BAE"/>
    <w:rsid w:val="00BF6BC3"/>
    <w:rsid w:val="00BF6CF5"/>
    <w:rsid w:val="00BF6D3A"/>
    <w:rsid w:val="00BF6DC7"/>
    <w:rsid w:val="00BF6E7E"/>
    <w:rsid w:val="00BF6EED"/>
    <w:rsid w:val="00BF6F2F"/>
    <w:rsid w:val="00BF6F57"/>
    <w:rsid w:val="00BF6FDC"/>
    <w:rsid w:val="00BF7070"/>
    <w:rsid w:val="00BF7082"/>
    <w:rsid w:val="00BF7240"/>
    <w:rsid w:val="00BF7285"/>
    <w:rsid w:val="00BF7314"/>
    <w:rsid w:val="00BF736E"/>
    <w:rsid w:val="00BF7390"/>
    <w:rsid w:val="00BF73F5"/>
    <w:rsid w:val="00BF74FE"/>
    <w:rsid w:val="00BF751F"/>
    <w:rsid w:val="00BF7591"/>
    <w:rsid w:val="00BF7613"/>
    <w:rsid w:val="00BF766E"/>
    <w:rsid w:val="00BF76E6"/>
    <w:rsid w:val="00BF777A"/>
    <w:rsid w:val="00BF7802"/>
    <w:rsid w:val="00BF7877"/>
    <w:rsid w:val="00BF7A9A"/>
    <w:rsid w:val="00BF7B00"/>
    <w:rsid w:val="00BF7B43"/>
    <w:rsid w:val="00BF7BF6"/>
    <w:rsid w:val="00BF7C66"/>
    <w:rsid w:val="00BF7D12"/>
    <w:rsid w:val="00BF7D46"/>
    <w:rsid w:val="00BF7DD8"/>
    <w:rsid w:val="00BF7DE1"/>
    <w:rsid w:val="00BF7F95"/>
    <w:rsid w:val="00BF7FC0"/>
    <w:rsid w:val="00BF7FD7"/>
    <w:rsid w:val="00BF7FF2"/>
    <w:rsid w:val="00C00061"/>
    <w:rsid w:val="00C00090"/>
    <w:rsid w:val="00C000C3"/>
    <w:rsid w:val="00C00113"/>
    <w:rsid w:val="00C001F5"/>
    <w:rsid w:val="00C0037F"/>
    <w:rsid w:val="00C003BB"/>
    <w:rsid w:val="00C00473"/>
    <w:rsid w:val="00C0049C"/>
    <w:rsid w:val="00C005BA"/>
    <w:rsid w:val="00C005FA"/>
    <w:rsid w:val="00C00718"/>
    <w:rsid w:val="00C00764"/>
    <w:rsid w:val="00C007D4"/>
    <w:rsid w:val="00C007FD"/>
    <w:rsid w:val="00C00807"/>
    <w:rsid w:val="00C008AD"/>
    <w:rsid w:val="00C00B1C"/>
    <w:rsid w:val="00C00BB2"/>
    <w:rsid w:val="00C00BE2"/>
    <w:rsid w:val="00C00C3F"/>
    <w:rsid w:val="00C00C4A"/>
    <w:rsid w:val="00C00C95"/>
    <w:rsid w:val="00C00CF6"/>
    <w:rsid w:val="00C00ED9"/>
    <w:rsid w:val="00C00F14"/>
    <w:rsid w:val="00C00F86"/>
    <w:rsid w:val="00C0101E"/>
    <w:rsid w:val="00C01040"/>
    <w:rsid w:val="00C0104B"/>
    <w:rsid w:val="00C01097"/>
    <w:rsid w:val="00C01103"/>
    <w:rsid w:val="00C0117F"/>
    <w:rsid w:val="00C012E4"/>
    <w:rsid w:val="00C01338"/>
    <w:rsid w:val="00C01442"/>
    <w:rsid w:val="00C01627"/>
    <w:rsid w:val="00C0163A"/>
    <w:rsid w:val="00C01641"/>
    <w:rsid w:val="00C01687"/>
    <w:rsid w:val="00C019A4"/>
    <w:rsid w:val="00C019FB"/>
    <w:rsid w:val="00C01A09"/>
    <w:rsid w:val="00C01B5F"/>
    <w:rsid w:val="00C01B98"/>
    <w:rsid w:val="00C01BF3"/>
    <w:rsid w:val="00C01C95"/>
    <w:rsid w:val="00C01CB6"/>
    <w:rsid w:val="00C01CD2"/>
    <w:rsid w:val="00C01D66"/>
    <w:rsid w:val="00C01D96"/>
    <w:rsid w:val="00C01DE8"/>
    <w:rsid w:val="00C01E18"/>
    <w:rsid w:val="00C01E34"/>
    <w:rsid w:val="00C01E83"/>
    <w:rsid w:val="00C0209D"/>
    <w:rsid w:val="00C02143"/>
    <w:rsid w:val="00C02193"/>
    <w:rsid w:val="00C023EC"/>
    <w:rsid w:val="00C02422"/>
    <w:rsid w:val="00C0249E"/>
    <w:rsid w:val="00C02546"/>
    <w:rsid w:val="00C02624"/>
    <w:rsid w:val="00C0265C"/>
    <w:rsid w:val="00C02710"/>
    <w:rsid w:val="00C02722"/>
    <w:rsid w:val="00C027B7"/>
    <w:rsid w:val="00C0280F"/>
    <w:rsid w:val="00C0299D"/>
    <w:rsid w:val="00C029BF"/>
    <w:rsid w:val="00C029FF"/>
    <w:rsid w:val="00C02A7D"/>
    <w:rsid w:val="00C02AA1"/>
    <w:rsid w:val="00C02B37"/>
    <w:rsid w:val="00C02B80"/>
    <w:rsid w:val="00C02C60"/>
    <w:rsid w:val="00C02C80"/>
    <w:rsid w:val="00C02CAB"/>
    <w:rsid w:val="00C02F33"/>
    <w:rsid w:val="00C02FAE"/>
    <w:rsid w:val="00C02FBC"/>
    <w:rsid w:val="00C0315B"/>
    <w:rsid w:val="00C03193"/>
    <w:rsid w:val="00C03275"/>
    <w:rsid w:val="00C0327F"/>
    <w:rsid w:val="00C032E1"/>
    <w:rsid w:val="00C0349B"/>
    <w:rsid w:val="00C03567"/>
    <w:rsid w:val="00C035AD"/>
    <w:rsid w:val="00C03608"/>
    <w:rsid w:val="00C03658"/>
    <w:rsid w:val="00C036C2"/>
    <w:rsid w:val="00C0372B"/>
    <w:rsid w:val="00C037E7"/>
    <w:rsid w:val="00C037EA"/>
    <w:rsid w:val="00C039ED"/>
    <w:rsid w:val="00C03AF4"/>
    <w:rsid w:val="00C03AF8"/>
    <w:rsid w:val="00C03C8F"/>
    <w:rsid w:val="00C03D7F"/>
    <w:rsid w:val="00C03E11"/>
    <w:rsid w:val="00C03E2E"/>
    <w:rsid w:val="00C03E66"/>
    <w:rsid w:val="00C03E70"/>
    <w:rsid w:val="00C03E9F"/>
    <w:rsid w:val="00C03F47"/>
    <w:rsid w:val="00C04331"/>
    <w:rsid w:val="00C044A6"/>
    <w:rsid w:val="00C04543"/>
    <w:rsid w:val="00C04693"/>
    <w:rsid w:val="00C0471F"/>
    <w:rsid w:val="00C04760"/>
    <w:rsid w:val="00C04944"/>
    <w:rsid w:val="00C0496C"/>
    <w:rsid w:val="00C049EB"/>
    <w:rsid w:val="00C04AC7"/>
    <w:rsid w:val="00C04AD9"/>
    <w:rsid w:val="00C04B5B"/>
    <w:rsid w:val="00C04BAB"/>
    <w:rsid w:val="00C04BB6"/>
    <w:rsid w:val="00C04C11"/>
    <w:rsid w:val="00C04CC6"/>
    <w:rsid w:val="00C04CF8"/>
    <w:rsid w:val="00C04E19"/>
    <w:rsid w:val="00C04E4A"/>
    <w:rsid w:val="00C04E7D"/>
    <w:rsid w:val="00C04F0F"/>
    <w:rsid w:val="00C04F9D"/>
    <w:rsid w:val="00C04FB6"/>
    <w:rsid w:val="00C0506A"/>
    <w:rsid w:val="00C05135"/>
    <w:rsid w:val="00C051E3"/>
    <w:rsid w:val="00C052F9"/>
    <w:rsid w:val="00C0537B"/>
    <w:rsid w:val="00C053BC"/>
    <w:rsid w:val="00C054EF"/>
    <w:rsid w:val="00C05502"/>
    <w:rsid w:val="00C0555C"/>
    <w:rsid w:val="00C05575"/>
    <w:rsid w:val="00C0557D"/>
    <w:rsid w:val="00C0559D"/>
    <w:rsid w:val="00C05681"/>
    <w:rsid w:val="00C0568C"/>
    <w:rsid w:val="00C056CC"/>
    <w:rsid w:val="00C056F2"/>
    <w:rsid w:val="00C05727"/>
    <w:rsid w:val="00C05840"/>
    <w:rsid w:val="00C05877"/>
    <w:rsid w:val="00C0589A"/>
    <w:rsid w:val="00C0589B"/>
    <w:rsid w:val="00C059F5"/>
    <w:rsid w:val="00C05A42"/>
    <w:rsid w:val="00C05ADF"/>
    <w:rsid w:val="00C05AF8"/>
    <w:rsid w:val="00C05B35"/>
    <w:rsid w:val="00C05B57"/>
    <w:rsid w:val="00C05B7B"/>
    <w:rsid w:val="00C05B7C"/>
    <w:rsid w:val="00C05C10"/>
    <w:rsid w:val="00C05CB9"/>
    <w:rsid w:val="00C05E71"/>
    <w:rsid w:val="00C05EA3"/>
    <w:rsid w:val="00C05F1C"/>
    <w:rsid w:val="00C06089"/>
    <w:rsid w:val="00C06095"/>
    <w:rsid w:val="00C0615C"/>
    <w:rsid w:val="00C06225"/>
    <w:rsid w:val="00C0630B"/>
    <w:rsid w:val="00C06379"/>
    <w:rsid w:val="00C06413"/>
    <w:rsid w:val="00C06488"/>
    <w:rsid w:val="00C064BF"/>
    <w:rsid w:val="00C06546"/>
    <w:rsid w:val="00C06570"/>
    <w:rsid w:val="00C06596"/>
    <w:rsid w:val="00C065D1"/>
    <w:rsid w:val="00C0663A"/>
    <w:rsid w:val="00C06727"/>
    <w:rsid w:val="00C06795"/>
    <w:rsid w:val="00C067AF"/>
    <w:rsid w:val="00C067D0"/>
    <w:rsid w:val="00C06811"/>
    <w:rsid w:val="00C0681C"/>
    <w:rsid w:val="00C06969"/>
    <w:rsid w:val="00C06A10"/>
    <w:rsid w:val="00C06A11"/>
    <w:rsid w:val="00C06A33"/>
    <w:rsid w:val="00C06A53"/>
    <w:rsid w:val="00C06AB5"/>
    <w:rsid w:val="00C06B52"/>
    <w:rsid w:val="00C06B75"/>
    <w:rsid w:val="00C06B81"/>
    <w:rsid w:val="00C06CCE"/>
    <w:rsid w:val="00C06D0A"/>
    <w:rsid w:val="00C06D9C"/>
    <w:rsid w:val="00C06DB2"/>
    <w:rsid w:val="00C06E8C"/>
    <w:rsid w:val="00C06E8E"/>
    <w:rsid w:val="00C06EB8"/>
    <w:rsid w:val="00C06F0A"/>
    <w:rsid w:val="00C06FBC"/>
    <w:rsid w:val="00C07016"/>
    <w:rsid w:val="00C07030"/>
    <w:rsid w:val="00C070D2"/>
    <w:rsid w:val="00C07122"/>
    <w:rsid w:val="00C0732F"/>
    <w:rsid w:val="00C07347"/>
    <w:rsid w:val="00C07372"/>
    <w:rsid w:val="00C07381"/>
    <w:rsid w:val="00C07399"/>
    <w:rsid w:val="00C074FD"/>
    <w:rsid w:val="00C07566"/>
    <w:rsid w:val="00C075CA"/>
    <w:rsid w:val="00C07610"/>
    <w:rsid w:val="00C07798"/>
    <w:rsid w:val="00C077DD"/>
    <w:rsid w:val="00C07823"/>
    <w:rsid w:val="00C07913"/>
    <w:rsid w:val="00C0795D"/>
    <w:rsid w:val="00C079F8"/>
    <w:rsid w:val="00C07A81"/>
    <w:rsid w:val="00C07B01"/>
    <w:rsid w:val="00C07B59"/>
    <w:rsid w:val="00C07BDA"/>
    <w:rsid w:val="00C07D15"/>
    <w:rsid w:val="00C07DB2"/>
    <w:rsid w:val="00C07E70"/>
    <w:rsid w:val="00C07F4D"/>
    <w:rsid w:val="00C1000A"/>
    <w:rsid w:val="00C1021A"/>
    <w:rsid w:val="00C102C7"/>
    <w:rsid w:val="00C102DC"/>
    <w:rsid w:val="00C10351"/>
    <w:rsid w:val="00C1037E"/>
    <w:rsid w:val="00C103AF"/>
    <w:rsid w:val="00C103D4"/>
    <w:rsid w:val="00C10488"/>
    <w:rsid w:val="00C1049B"/>
    <w:rsid w:val="00C104B6"/>
    <w:rsid w:val="00C1051C"/>
    <w:rsid w:val="00C10541"/>
    <w:rsid w:val="00C10587"/>
    <w:rsid w:val="00C10632"/>
    <w:rsid w:val="00C10686"/>
    <w:rsid w:val="00C106D5"/>
    <w:rsid w:val="00C10714"/>
    <w:rsid w:val="00C1083D"/>
    <w:rsid w:val="00C1086F"/>
    <w:rsid w:val="00C10876"/>
    <w:rsid w:val="00C10892"/>
    <w:rsid w:val="00C108B2"/>
    <w:rsid w:val="00C109DF"/>
    <w:rsid w:val="00C10A34"/>
    <w:rsid w:val="00C10A85"/>
    <w:rsid w:val="00C10B3A"/>
    <w:rsid w:val="00C10B95"/>
    <w:rsid w:val="00C10BA5"/>
    <w:rsid w:val="00C10C16"/>
    <w:rsid w:val="00C10C17"/>
    <w:rsid w:val="00C10CC8"/>
    <w:rsid w:val="00C10CD5"/>
    <w:rsid w:val="00C10CDE"/>
    <w:rsid w:val="00C10E14"/>
    <w:rsid w:val="00C10F39"/>
    <w:rsid w:val="00C10F6D"/>
    <w:rsid w:val="00C10F94"/>
    <w:rsid w:val="00C1115A"/>
    <w:rsid w:val="00C112AD"/>
    <w:rsid w:val="00C113B0"/>
    <w:rsid w:val="00C1146B"/>
    <w:rsid w:val="00C114A7"/>
    <w:rsid w:val="00C114CD"/>
    <w:rsid w:val="00C11572"/>
    <w:rsid w:val="00C116D9"/>
    <w:rsid w:val="00C11783"/>
    <w:rsid w:val="00C117AC"/>
    <w:rsid w:val="00C11826"/>
    <w:rsid w:val="00C11A3F"/>
    <w:rsid w:val="00C11A9A"/>
    <w:rsid w:val="00C11B81"/>
    <w:rsid w:val="00C11B92"/>
    <w:rsid w:val="00C11E06"/>
    <w:rsid w:val="00C11E67"/>
    <w:rsid w:val="00C11EAF"/>
    <w:rsid w:val="00C11EB5"/>
    <w:rsid w:val="00C11F25"/>
    <w:rsid w:val="00C11F7F"/>
    <w:rsid w:val="00C12016"/>
    <w:rsid w:val="00C1206A"/>
    <w:rsid w:val="00C12099"/>
    <w:rsid w:val="00C120B5"/>
    <w:rsid w:val="00C12187"/>
    <w:rsid w:val="00C121CB"/>
    <w:rsid w:val="00C1229E"/>
    <w:rsid w:val="00C12452"/>
    <w:rsid w:val="00C12456"/>
    <w:rsid w:val="00C124E4"/>
    <w:rsid w:val="00C1253F"/>
    <w:rsid w:val="00C1259E"/>
    <w:rsid w:val="00C12685"/>
    <w:rsid w:val="00C12731"/>
    <w:rsid w:val="00C12847"/>
    <w:rsid w:val="00C128B2"/>
    <w:rsid w:val="00C128CA"/>
    <w:rsid w:val="00C12A26"/>
    <w:rsid w:val="00C12A92"/>
    <w:rsid w:val="00C12AD3"/>
    <w:rsid w:val="00C12B0B"/>
    <w:rsid w:val="00C12BCA"/>
    <w:rsid w:val="00C12BEC"/>
    <w:rsid w:val="00C12CAE"/>
    <w:rsid w:val="00C12D1C"/>
    <w:rsid w:val="00C12DB3"/>
    <w:rsid w:val="00C12DF3"/>
    <w:rsid w:val="00C12E5A"/>
    <w:rsid w:val="00C12E90"/>
    <w:rsid w:val="00C12F0F"/>
    <w:rsid w:val="00C12F58"/>
    <w:rsid w:val="00C12FAD"/>
    <w:rsid w:val="00C12FD6"/>
    <w:rsid w:val="00C12FEC"/>
    <w:rsid w:val="00C13018"/>
    <w:rsid w:val="00C1307D"/>
    <w:rsid w:val="00C13193"/>
    <w:rsid w:val="00C131BF"/>
    <w:rsid w:val="00C134F7"/>
    <w:rsid w:val="00C13553"/>
    <w:rsid w:val="00C135CE"/>
    <w:rsid w:val="00C1369F"/>
    <w:rsid w:val="00C136EE"/>
    <w:rsid w:val="00C13836"/>
    <w:rsid w:val="00C13875"/>
    <w:rsid w:val="00C138A3"/>
    <w:rsid w:val="00C138C1"/>
    <w:rsid w:val="00C138E3"/>
    <w:rsid w:val="00C1390C"/>
    <w:rsid w:val="00C13910"/>
    <w:rsid w:val="00C139E2"/>
    <w:rsid w:val="00C13A05"/>
    <w:rsid w:val="00C13A12"/>
    <w:rsid w:val="00C13A68"/>
    <w:rsid w:val="00C13A71"/>
    <w:rsid w:val="00C13AC1"/>
    <w:rsid w:val="00C13AE6"/>
    <w:rsid w:val="00C13AFA"/>
    <w:rsid w:val="00C13B55"/>
    <w:rsid w:val="00C13BCE"/>
    <w:rsid w:val="00C13C3A"/>
    <w:rsid w:val="00C13D8D"/>
    <w:rsid w:val="00C13DBF"/>
    <w:rsid w:val="00C13EC3"/>
    <w:rsid w:val="00C13F73"/>
    <w:rsid w:val="00C14010"/>
    <w:rsid w:val="00C14092"/>
    <w:rsid w:val="00C1419C"/>
    <w:rsid w:val="00C14217"/>
    <w:rsid w:val="00C14253"/>
    <w:rsid w:val="00C142DF"/>
    <w:rsid w:val="00C142F3"/>
    <w:rsid w:val="00C14308"/>
    <w:rsid w:val="00C143A1"/>
    <w:rsid w:val="00C143BC"/>
    <w:rsid w:val="00C143C1"/>
    <w:rsid w:val="00C143C9"/>
    <w:rsid w:val="00C144FC"/>
    <w:rsid w:val="00C144FD"/>
    <w:rsid w:val="00C1458C"/>
    <w:rsid w:val="00C146DC"/>
    <w:rsid w:val="00C146ED"/>
    <w:rsid w:val="00C14708"/>
    <w:rsid w:val="00C147E1"/>
    <w:rsid w:val="00C1480B"/>
    <w:rsid w:val="00C1481E"/>
    <w:rsid w:val="00C1497C"/>
    <w:rsid w:val="00C14990"/>
    <w:rsid w:val="00C149D5"/>
    <w:rsid w:val="00C14A57"/>
    <w:rsid w:val="00C14AAF"/>
    <w:rsid w:val="00C14AFF"/>
    <w:rsid w:val="00C14B35"/>
    <w:rsid w:val="00C14C96"/>
    <w:rsid w:val="00C14CE5"/>
    <w:rsid w:val="00C14DC2"/>
    <w:rsid w:val="00C14E34"/>
    <w:rsid w:val="00C14E40"/>
    <w:rsid w:val="00C14E41"/>
    <w:rsid w:val="00C14E54"/>
    <w:rsid w:val="00C1507A"/>
    <w:rsid w:val="00C15084"/>
    <w:rsid w:val="00C15133"/>
    <w:rsid w:val="00C15151"/>
    <w:rsid w:val="00C151BF"/>
    <w:rsid w:val="00C151E9"/>
    <w:rsid w:val="00C151EE"/>
    <w:rsid w:val="00C15257"/>
    <w:rsid w:val="00C152DC"/>
    <w:rsid w:val="00C15301"/>
    <w:rsid w:val="00C15314"/>
    <w:rsid w:val="00C15391"/>
    <w:rsid w:val="00C1559E"/>
    <w:rsid w:val="00C15639"/>
    <w:rsid w:val="00C156D6"/>
    <w:rsid w:val="00C15740"/>
    <w:rsid w:val="00C15788"/>
    <w:rsid w:val="00C15852"/>
    <w:rsid w:val="00C158C1"/>
    <w:rsid w:val="00C158D2"/>
    <w:rsid w:val="00C15958"/>
    <w:rsid w:val="00C15A54"/>
    <w:rsid w:val="00C15A5C"/>
    <w:rsid w:val="00C15A8B"/>
    <w:rsid w:val="00C15B9E"/>
    <w:rsid w:val="00C15C3F"/>
    <w:rsid w:val="00C15CB8"/>
    <w:rsid w:val="00C15D8E"/>
    <w:rsid w:val="00C15E92"/>
    <w:rsid w:val="00C15F1D"/>
    <w:rsid w:val="00C15F5C"/>
    <w:rsid w:val="00C15F8E"/>
    <w:rsid w:val="00C15FBC"/>
    <w:rsid w:val="00C15FD0"/>
    <w:rsid w:val="00C16012"/>
    <w:rsid w:val="00C160B9"/>
    <w:rsid w:val="00C1610E"/>
    <w:rsid w:val="00C1615C"/>
    <w:rsid w:val="00C16178"/>
    <w:rsid w:val="00C1619D"/>
    <w:rsid w:val="00C161BC"/>
    <w:rsid w:val="00C162F7"/>
    <w:rsid w:val="00C16304"/>
    <w:rsid w:val="00C16331"/>
    <w:rsid w:val="00C1635D"/>
    <w:rsid w:val="00C1661E"/>
    <w:rsid w:val="00C167C3"/>
    <w:rsid w:val="00C16888"/>
    <w:rsid w:val="00C168B3"/>
    <w:rsid w:val="00C168C3"/>
    <w:rsid w:val="00C16A7E"/>
    <w:rsid w:val="00C16D19"/>
    <w:rsid w:val="00C16E8E"/>
    <w:rsid w:val="00C16E92"/>
    <w:rsid w:val="00C16FE0"/>
    <w:rsid w:val="00C17058"/>
    <w:rsid w:val="00C17197"/>
    <w:rsid w:val="00C1723E"/>
    <w:rsid w:val="00C1727A"/>
    <w:rsid w:val="00C17539"/>
    <w:rsid w:val="00C175A1"/>
    <w:rsid w:val="00C175B2"/>
    <w:rsid w:val="00C17634"/>
    <w:rsid w:val="00C176F6"/>
    <w:rsid w:val="00C177C2"/>
    <w:rsid w:val="00C1781E"/>
    <w:rsid w:val="00C17828"/>
    <w:rsid w:val="00C17A48"/>
    <w:rsid w:val="00C17BDF"/>
    <w:rsid w:val="00C17D07"/>
    <w:rsid w:val="00C17E47"/>
    <w:rsid w:val="00C17ED7"/>
    <w:rsid w:val="00C17F46"/>
    <w:rsid w:val="00C17F64"/>
    <w:rsid w:val="00C2003F"/>
    <w:rsid w:val="00C201B1"/>
    <w:rsid w:val="00C201CA"/>
    <w:rsid w:val="00C201F2"/>
    <w:rsid w:val="00C20285"/>
    <w:rsid w:val="00C20286"/>
    <w:rsid w:val="00C202F3"/>
    <w:rsid w:val="00C20358"/>
    <w:rsid w:val="00C20452"/>
    <w:rsid w:val="00C20479"/>
    <w:rsid w:val="00C204F6"/>
    <w:rsid w:val="00C204F7"/>
    <w:rsid w:val="00C205AA"/>
    <w:rsid w:val="00C205E5"/>
    <w:rsid w:val="00C206FF"/>
    <w:rsid w:val="00C20A68"/>
    <w:rsid w:val="00C20BE1"/>
    <w:rsid w:val="00C20C06"/>
    <w:rsid w:val="00C20D61"/>
    <w:rsid w:val="00C20D82"/>
    <w:rsid w:val="00C20E60"/>
    <w:rsid w:val="00C20ED1"/>
    <w:rsid w:val="00C20EF6"/>
    <w:rsid w:val="00C20F09"/>
    <w:rsid w:val="00C21072"/>
    <w:rsid w:val="00C21085"/>
    <w:rsid w:val="00C210C3"/>
    <w:rsid w:val="00C210E7"/>
    <w:rsid w:val="00C210EF"/>
    <w:rsid w:val="00C21139"/>
    <w:rsid w:val="00C21140"/>
    <w:rsid w:val="00C21257"/>
    <w:rsid w:val="00C21273"/>
    <w:rsid w:val="00C2128B"/>
    <w:rsid w:val="00C213C7"/>
    <w:rsid w:val="00C21434"/>
    <w:rsid w:val="00C215E1"/>
    <w:rsid w:val="00C21684"/>
    <w:rsid w:val="00C216C7"/>
    <w:rsid w:val="00C21748"/>
    <w:rsid w:val="00C21865"/>
    <w:rsid w:val="00C2190A"/>
    <w:rsid w:val="00C21916"/>
    <w:rsid w:val="00C21988"/>
    <w:rsid w:val="00C2199F"/>
    <w:rsid w:val="00C219F0"/>
    <w:rsid w:val="00C21A17"/>
    <w:rsid w:val="00C21A1A"/>
    <w:rsid w:val="00C21A50"/>
    <w:rsid w:val="00C21B0D"/>
    <w:rsid w:val="00C21B3C"/>
    <w:rsid w:val="00C21C34"/>
    <w:rsid w:val="00C21C37"/>
    <w:rsid w:val="00C21C52"/>
    <w:rsid w:val="00C21D49"/>
    <w:rsid w:val="00C21ED5"/>
    <w:rsid w:val="00C2208D"/>
    <w:rsid w:val="00C220C6"/>
    <w:rsid w:val="00C22141"/>
    <w:rsid w:val="00C221A0"/>
    <w:rsid w:val="00C221EC"/>
    <w:rsid w:val="00C22249"/>
    <w:rsid w:val="00C222BF"/>
    <w:rsid w:val="00C22375"/>
    <w:rsid w:val="00C22557"/>
    <w:rsid w:val="00C2255B"/>
    <w:rsid w:val="00C226C9"/>
    <w:rsid w:val="00C226CD"/>
    <w:rsid w:val="00C227AC"/>
    <w:rsid w:val="00C22841"/>
    <w:rsid w:val="00C2292C"/>
    <w:rsid w:val="00C22967"/>
    <w:rsid w:val="00C229B7"/>
    <w:rsid w:val="00C22AB4"/>
    <w:rsid w:val="00C22AE0"/>
    <w:rsid w:val="00C22BF3"/>
    <w:rsid w:val="00C22C51"/>
    <w:rsid w:val="00C22DD4"/>
    <w:rsid w:val="00C22DE6"/>
    <w:rsid w:val="00C22E24"/>
    <w:rsid w:val="00C22E60"/>
    <w:rsid w:val="00C22F9F"/>
    <w:rsid w:val="00C23098"/>
    <w:rsid w:val="00C230BB"/>
    <w:rsid w:val="00C230C2"/>
    <w:rsid w:val="00C230D9"/>
    <w:rsid w:val="00C231F1"/>
    <w:rsid w:val="00C23254"/>
    <w:rsid w:val="00C23269"/>
    <w:rsid w:val="00C232A7"/>
    <w:rsid w:val="00C232EE"/>
    <w:rsid w:val="00C23304"/>
    <w:rsid w:val="00C2332A"/>
    <w:rsid w:val="00C23508"/>
    <w:rsid w:val="00C2351C"/>
    <w:rsid w:val="00C23573"/>
    <w:rsid w:val="00C2361F"/>
    <w:rsid w:val="00C2365D"/>
    <w:rsid w:val="00C2366D"/>
    <w:rsid w:val="00C236BA"/>
    <w:rsid w:val="00C23754"/>
    <w:rsid w:val="00C237D5"/>
    <w:rsid w:val="00C237E2"/>
    <w:rsid w:val="00C23818"/>
    <w:rsid w:val="00C23822"/>
    <w:rsid w:val="00C2398C"/>
    <w:rsid w:val="00C239EF"/>
    <w:rsid w:val="00C23A38"/>
    <w:rsid w:val="00C23B19"/>
    <w:rsid w:val="00C23B53"/>
    <w:rsid w:val="00C23B5A"/>
    <w:rsid w:val="00C23B9A"/>
    <w:rsid w:val="00C23CF5"/>
    <w:rsid w:val="00C23DAE"/>
    <w:rsid w:val="00C23F90"/>
    <w:rsid w:val="00C23FE9"/>
    <w:rsid w:val="00C23FF6"/>
    <w:rsid w:val="00C2405A"/>
    <w:rsid w:val="00C2409A"/>
    <w:rsid w:val="00C241E3"/>
    <w:rsid w:val="00C24294"/>
    <w:rsid w:val="00C243B2"/>
    <w:rsid w:val="00C2443C"/>
    <w:rsid w:val="00C244D0"/>
    <w:rsid w:val="00C244F0"/>
    <w:rsid w:val="00C24559"/>
    <w:rsid w:val="00C245ED"/>
    <w:rsid w:val="00C24638"/>
    <w:rsid w:val="00C246C1"/>
    <w:rsid w:val="00C2476E"/>
    <w:rsid w:val="00C247BF"/>
    <w:rsid w:val="00C247D7"/>
    <w:rsid w:val="00C2484D"/>
    <w:rsid w:val="00C248FF"/>
    <w:rsid w:val="00C24918"/>
    <w:rsid w:val="00C2498B"/>
    <w:rsid w:val="00C24996"/>
    <w:rsid w:val="00C24A02"/>
    <w:rsid w:val="00C24AC2"/>
    <w:rsid w:val="00C24C34"/>
    <w:rsid w:val="00C24CB2"/>
    <w:rsid w:val="00C24CF4"/>
    <w:rsid w:val="00C24D56"/>
    <w:rsid w:val="00C24D61"/>
    <w:rsid w:val="00C24D71"/>
    <w:rsid w:val="00C24DCB"/>
    <w:rsid w:val="00C24E43"/>
    <w:rsid w:val="00C24F62"/>
    <w:rsid w:val="00C251AA"/>
    <w:rsid w:val="00C251C5"/>
    <w:rsid w:val="00C25248"/>
    <w:rsid w:val="00C2526F"/>
    <w:rsid w:val="00C252E1"/>
    <w:rsid w:val="00C2539B"/>
    <w:rsid w:val="00C253E6"/>
    <w:rsid w:val="00C2544B"/>
    <w:rsid w:val="00C25487"/>
    <w:rsid w:val="00C2560A"/>
    <w:rsid w:val="00C256C7"/>
    <w:rsid w:val="00C258F9"/>
    <w:rsid w:val="00C25917"/>
    <w:rsid w:val="00C25993"/>
    <w:rsid w:val="00C25BF1"/>
    <w:rsid w:val="00C25C35"/>
    <w:rsid w:val="00C25C4D"/>
    <w:rsid w:val="00C25C94"/>
    <w:rsid w:val="00C25DE3"/>
    <w:rsid w:val="00C25E73"/>
    <w:rsid w:val="00C25ECB"/>
    <w:rsid w:val="00C25ED1"/>
    <w:rsid w:val="00C25F79"/>
    <w:rsid w:val="00C25FAE"/>
    <w:rsid w:val="00C25FE8"/>
    <w:rsid w:val="00C2616C"/>
    <w:rsid w:val="00C26360"/>
    <w:rsid w:val="00C2642C"/>
    <w:rsid w:val="00C264AF"/>
    <w:rsid w:val="00C2650E"/>
    <w:rsid w:val="00C26590"/>
    <w:rsid w:val="00C26659"/>
    <w:rsid w:val="00C2672A"/>
    <w:rsid w:val="00C26815"/>
    <w:rsid w:val="00C26832"/>
    <w:rsid w:val="00C2685E"/>
    <w:rsid w:val="00C26A38"/>
    <w:rsid w:val="00C26AC7"/>
    <w:rsid w:val="00C26B5B"/>
    <w:rsid w:val="00C26BF5"/>
    <w:rsid w:val="00C26C56"/>
    <w:rsid w:val="00C26D8E"/>
    <w:rsid w:val="00C26DB1"/>
    <w:rsid w:val="00C26E08"/>
    <w:rsid w:val="00C26E0B"/>
    <w:rsid w:val="00C26F48"/>
    <w:rsid w:val="00C26FB5"/>
    <w:rsid w:val="00C26FFB"/>
    <w:rsid w:val="00C2706D"/>
    <w:rsid w:val="00C27113"/>
    <w:rsid w:val="00C271CF"/>
    <w:rsid w:val="00C27265"/>
    <w:rsid w:val="00C272AD"/>
    <w:rsid w:val="00C272B9"/>
    <w:rsid w:val="00C2730B"/>
    <w:rsid w:val="00C273F2"/>
    <w:rsid w:val="00C2749B"/>
    <w:rsid w:val="00C275A5"/>
    <w:rsid w:val="00C27660"/>
    <w:rsid w:val="00C276D9"/>
    <w:rsid w:val="00C27729"/>
    <w:rsid w:val="00C277F5"/>
    <w:rsid w:val="00C2798C"/>
    <w:rsid w:val="00C279EB"/>
    <w:rsid w:val="00C27A15"/>
    <w:rsid w:val="00C27A33"/>
    <w:rsid w:val="00C27B7F"/>
    <w:rsid w:val="00C27BC3"/>
    <w:rsid w:val="00C27C76"/>
    <w:rsid w:val="00C27D38"/>
    <w:rsid w:val="00C27DA3"/>
    <w:rsid w:val="00C27DB1"/>
    <w:rsid w:val="00C27EA9"/>
    <w:rsid w:val="00C27F57"/>
    <w:rsid w:val="00C27FB6"/>
    <w:rsid w:val="00C3012B"/>
    <w:rsid w:val="00C30132"/>
    <w:rsid w:val="00C301E4"/>
    <w:rsid w:val="00C302D6"/>
    <w:rsid w:val="00C3044F"/>
    <w:rsid w:val="00C30482"/>
    <w:rsid w:val="00C30511"/>
    <w:rsid w:val="00C3058B"/>
    <w:rsid w:val="00C3059B"/>
    <w:rsid w:val="00C305B4"/>
    <w:rsid w:val="00C3070C"/>
    <w:rsid w:val="00C307FF"/>
    <w:rsid w:val="00C3084B"/>
    <w:rsid w:val="00C3092A"/>
    <w:rsid w:val="00C309B1"/>
    <w:rsid w:val="00C309FC"/>
    <w:rsid w:val="00C30ACA"/>
    <w:rsid w:val="00C30AE2"/>
    <w:rsid w:val="00C30B08"/>
    <w:rsid w:val="00C30B0B"/>
    <w:rsid w:val="00C30B11"/>
    <w:rsid w:val="00C30B87"/>
    <w:rsid w:val="00C30C97"/>
    <w:rsid w:val="00C30DDD"/>
    <w:rsid w:val="00C30F25"/>
    <w:rsid w:val="00C30F27"/>
    <w:rsid w:val="00C31025"/>
    <w:rsid w:val="00C310C2"/>
    <w:rsid w:val="00C3113F"/>
    <w:rsid w:val="00C31217"/>
    <w:rsid w:val="00C312A6"/>
    <w:rsid w:val="00C312FF"/>
    <w:rsid w:val="00C313B4"/>
    <w:rsid w:val="00C313D4"/>
    <w:rsid w:val="00C3141B"/>
    <w:rsid w:val="00C314D6"/>
    <w:rsid w:val="00C315F0"/>
    <w:rsid w:val="00C31639"/>
    <w:rsid w:val="00C31849"/>
    <w:rsid w:val="00C318C5"/>
    <w:rsid w:val="00C318FB"/>
    <w:rsid w:val="00C319C1"/>
    <w:rsid w:val="00C31B18"/>
    <w:rsid w:val="00C31C91"/>
    <w:rsid w:val="00C31C92"/>
    <w:rsid w:val="00C31C97"/>
    <w:rsid w:val="00C31CC2"/>
    <w:rsid w:val="00C31D63"/>
    <w:rsid w:val="00C31E6D"/>
    <w:rsid w:val="00C31E86"/>
    <w:rsid w:val="00C31FD3"/>
    <w:rsid w:val="00C31FE0"/>
    <w:rsid w:val="00C32041"/>
    <w:rsid w:val="00C3207C"/>
    <w:rsid w:val="00C3208A"/>
    <w:rsid w:val="00C32107"/>
    <w:rsid w:val="00C32108"/>
    <w:rsid w:val="00C32112"/>
    <w:rsid w:val="00C3214C"/>
    <w:rsid w:val="00C321E8"/>
    <w:rsid w:val="00C3224E"/>
    <w:rsid w:val="00C322BF"/>
    <w:rsid w:val="00C3231B"/>
    <w:rsid w:val="00C3234A"/>
    <w:rsid w:val="00C3234B"/>
    <w:rsid w:val="00C32359"/>
    <w:rsid w:val="00C32479"/>
    <w:rsid w:val="00C324FB"/>
    <w:rsid w:val="00C32512"/>
    <w:rsid w:val="00C32570"/>
    <w:rsid w:val="00C32747"/>
    <w:rsid w:val="00C32769"/>
    <w:rsid w:val="00C32821"/>
    <w:rsid w:val="00C32883"/>
    <w:rsid w:val="00C32915"/>
    <w:rsid w:val="00C3291E"/>
    <w:rsid w:val="00C3291F"/>
    <w:rsid w:val="00C32961"/>
    <w:rsid w:val="00C32B20"/>
    <w:rsid w:val="00C32C1D"/>
    <w:rsid w:val="00C32D22"/>
    <w:rsid w:val="00C32D58"/>
    <w:rsid w:val="00C32DF1"/>
    <w:rsid w:val="00C32E94"/>
    <w:rsid w:val="00C32EB7"/>
    <w:rsid w:val="00C330B0"/>
    <w:rsid w:val="00C3312C"/>
    <w:rsid w:val="00C33140"/>
    <w:rsid w:val="00C33231"/>
    <w:rsid w:val="00C3343F"/>
    <w:rsid w:val="00C334AA"/>
    <w:rsid w:val="00C33621"/>
    <w:rsid w:val="00C336A7"/>
    <w:rsid w:val="00C3371D"/>
    <w:rsid w:val="00C33736"/>
    <w:rsid w:val="00C337C9"/>
    <w:rsid w:val="00C33877"/>
    <w:rsid w:val="00C338B9"/>
    <w:rsid w:val="00C33952"/>
    <w:rsid w:val="00C339E0"/>
    <w:rsid w:val="00C33BD0"/>
    <w:rsid w:val="00C33BED"/>
    <w:rsid w:val="00C33D64"/>
    <w:rsid w:val="00C33DAB"/>
    <w:rsid w:val="00C33DDF"/>
    <w:rsid w:val="00C33F42"/>
    <w:rsid w:val="00C33F4E"/>
    <w:rsid w:val="00C33FEA"/>
    <w:rsid w:val="00C3400E"/>
    <w:rsid w:val="00C34021"/>
    <w:rsid w:val="00C34121"/>
    <w:rsid w:val="00C34126"/>
    <w:rsid w:val="00C34186"/>
    <w:rsid w:val="00C341E2"/>
    <w:rsid w:val="00C34231"/>
    <w:rsid w:val="00C34233"/>
    <w:rsid w:val="00C342A4"/>
    <w:rsid w:val="00C342A6"/>
    <w:rsid w:val="00C34319"/>
    <w:rsid w:val="00C3431F"/>
    <w:rsid w:val="00C34325"/>
    <w:rsid w:val="00C34415"/>
    <w:rsid w:val="00C3441B"/>
    <w:rsid w:val="00C34444"/>
    <w:rsid w:val="00C344C8"/>
    <w:rsid w:val="00C344DD"/>
    <w:rsid w:val="00C3452B"/>
    <w:rsid w:val="00C34534"/>
    <w:rsid w:val="00C34576"/>
    <w:rsid w:val="00C345E5"/>
    <w:rsid w:val="00C346D5"/>
    <w:rsid w:val="00C347D5"/>
    <w:rsid w:val="00C347DD"/>
    <w:rsid w:val="00C3482A"/>
    <w:rsid w:val="00C34837"/>
    <w:rsid w:val="00C34866"/>
    <w:rsid w:val="00C34AAD"/>
    <w:rsid w:val="00C34B52"/>
    <w:rsid w:val="00C34BCE"/>
    <w:rsid w:val="00C34C5C"/>
    <w:rsid w:val="00C34C9C"/>
    <w:rsid w:val="00C34CC2"/>
    <w:rsid w:val="00C34DA5"/>
    <w:rsid w:val="00C34DBF"/>
    <w:rsid w:val="00C34DFF"/>
    <w:rsid w:val="00C34E3A"/>
    <w:rsid w:val="00C34E50"/>
    <w:rsid w:val="00C350B6"/>
    <w:rsid w:val="00C35277"/>
    <w:rsid w:val="00C3529D"/>
    <w:rsid w:val="00C3537D"/>
    <w:rsid w:val="00C3538D"/>
    <w:rsid w:val="00C354E1"/>
    <w:rsid w:val="00C35506"/>
    <w:rsid w:val="00C35536"/>
    <w:rsid w:val="00C355F1"/>
    <w:rsid w:val="00C35697"/>
    <w:rsid w:val="00C35706"/>
    <w:rsid w:val="00C35709"/>
    <w:rsid w:val="00C357DD"/>
    <w:rsid w:val="00C35883"/>
    <w:rsid w:val="00C35887"/>
    <w:rsid w:val="00C358DE"/>
    <w:rsid w:val="00C3595D"/>
    <w:rsid w:val="00C35963"/>
    <w:rsid w:val="00C359F2"/>
    <w:rsid w:val="00C35AFE"/>
    <w:rsid w:val="00C35B00"/>
    <w:rsid w:val="00C35B1A"/>
    <w:rsid w:val="00C35B65"/>
    <w:rsid w:val="00C35BCF"/>
    <w:rsid w:val="00C35D48"/>
    <w:rsid w:val="00C35D6D"/>
    <w:rsid w:val="00C35DB3"/>
    <w:rsid w:val="00C35ED6"/>
    <w:rsid w:val="00C35F51"/>
    <w:rsid w:val="00C360A0"/>
    <w:rsid w:val="00C3615D"/>
    <w:rsid w:val="00C36188"/>
    <w:rsid w:val="00C36191"/>
    <w:rsid w:val="00C3626A"/>
    <w:rsid w:val="00C36284"/>
    <w:rsid w:val="00C36298"/>
    <w:rsid w:val="00C3630C"/>
    <w:rsid w:val="00C36324"/>
    <w:rsid w:val="00C3635B"/>
    <w:rsid w:val="00C3639F"/>
    <w:rsid w:val="00C363F2"/>
    <w:rsid w:val="00C36535"/>
    <w:rsid w:val="00C3653A"/>
    <w:rsid w:val="00C36594"/>
    <w:rsid w:val="00C365CF"/>
    <w:rsid w:val="00C365DB"/>
    <w:rsid w:val="00C36611"/>
    <w:rsid w:val="00C36935"/>
    <w:rsid w:val="00C3693C"/>
    <w:rsid w:val="00C369A6"/>
    <w:rsid w:val="00C369B2"/>
    <w:rsid w:val="00C36A7F"/>
    <w:rsid w:val="00C36B1C"/>
    <w:rsid w:val="00C36B2B"/>
    <w:rsid w:val="00C36B72"/>
    <w:rsid w:val="00C36BBE"/>
    <w:rsid w:val="00C36C28"/>
    <w:rsid w:val="00C36C4D"/>
    <w:rsid w:val="00C36CCB"/>
    <w:rsid w:val="00C36CFA"/>
    <w:rsid w:val="00C36D74"/>
    <w:rsid w:val="00C36ECE"/>
    <w:rsid w:val="00C36ED2"/>
    <w:rsid w:val="00C36F10"/>
    <w:rsid w:val="00C36F93"/>
    <w:rsid w:val="00C36F9B"/>
    <w:rsid w:val="00C36FB6"/>
    <w:rsid w:val="00C36FE1"/>
    <w:rsid w:val="00C3702F"/>
    <w:rsid w:val="00C37041"/>
    <w:rsid w:val="00C37215"/>
    <w:rsid w:val="00C372B3"/>
    <w:rsid w:val="00C372E5"/>
    <w:rsid w:val="00C375E3"/>
    <w:rsid w:val="00C375E8"/>
    <w:rsid w:val="00C375EB"/>
    <w:rsid w:val="00C376F8"/>
    <w:rsid w:val="00C3778A"/>
    <w:rsid w:val="00C37801"/>
    <w:rsid w:val="00C37820"/>
    <w:rsid w:val="00C3783F"/>
    <w:rsid w:val="00C3789C"/>
    <w:rsid w:val="00C378E5"/>
    <w:rsid w:val="00C378EA"/>
    <w:rsid w:val="00C37977"/>
    <w:rsid w:val="00C379C7"/>
    <w:rsid w:val="00C379D3"/>
    <w:rsid w:val="00C37C31"/>
    <w:rsid w:val="00C37D17"/>
    <w:rsid w:val="00C37D55"/>
    <w:rsid w:val="00C37D56"/>
    <w:rsid w:val="00C37F80"/>
    <w:rsid w:val="00C37F94"/>
    <w:rsid w:val="00C40008"/>
    <w:rsid w:val="00C40037"/>
    <w:rsid w:val="00C400A4"/>
    <w:rsid w:val="00C400D3"/>
    <w:rsid w:val="00C400D4"/>
    <w:rsid w:val="00C40201"/>
    <w:rsid w:val="00C404FE"/>
    <w:rsid w:val="00C40525"/>
    <w:rsid w:val="00C40536"/>
    <w:rsid w:val="00C4053B"/>
    <w:rsid w:val="00C405FE"/>
    <w:rsid w:val="00C40651"/>
    <w:rsid w:val="00C406B3"/>
    <w:rsid w:val="00C406C5"/>
    <w:rsid w:val="00C40755"/>
    <w:rsid w:val="00C4083B"/>
    <w:rsid w:val="00C409D8"/>
    <w:rsid w:val="00C409E3"/>
    <w:rsid w:val="00C40AD7"/>
    <w:rsid w:val="00C40B4D"/>
    <w:rsid w:val="00C40E94"/>
    <w:rsid w:val="00C40F03"/>
    <w:rsid w:val="00C40F37"/>
    <w:rsid w:val="00C41091"/>
    <w:rsid w:val="00C41233"/>
    <w:rsid w:val="00C41284"/>
    <w:rsid w:val="00C412F1"/>
    <w:rsid w:val="00C413F9"/>
    <w:rsid w:val="00C41420"/>
    <w:rsid w:val="00C41478"/>
    <w:rsid w:val="00C414EA"/>
    <w:rsid w:val="00C4150A"/>
    <w:rsid w:val="00C41638"/>
    <w:rsid w:val="00C41781"/>
    <w:rsid w:val="00C417AD"/>
    <w:rsid w:val="00C41818"/>
    <w:rsid w:val="00C418C8"/>
    <w:rsid w:val="00C41946"/>
    <w:rsid w:val="00C4194C"/>
    <w:rsid w:val="00C41A24"/>
    <w:rsid w:val="00C41A3A"/>
    <w:rsid w:val="00C41A4D"/>
    <w:rsid w:val="00C41A7E"/>
    <w:rsid w:val="00C41AFE"/>
    <w:rsid w:val="00C41B2F"/>
    <w:rsid w:val="00C41C1A"/>
    <w:rsid w:val="00C41D25"/>
    <w:rsid w:val="00C41DF4"/>
    <w:rsid w:val="00C41E0A"/>
    <w:rsid w:val="00C41EAF"/>
    <w:rsid w:val="00C41F27"/>
    <w:rsid w:val="00C41F39"/>
    <w:rsid w:val="00C41F54"/>
    <w:rsid w:val="00C42047"/>
    <w:rsid w:val="00C4209B"/>
    <w:rsid w:val="00C42188"/>
    <w:rsid w:val="00C42216"/>
    <w:rsid w:val="00C42242"/>
    <w:rsid w:val="00C422A9"/>
    <w:rsid w:val="00C422B0"/>
    <w:rsid w:val="00C422BC"/>
    <w:rsid w:val="00C422E7"/>
    <w:rsid w:val="00C4244B"/>
    <w:rsid w:val="00C42520"/>
    <w:rsid w:val="00C425A1"/>
    <w:rsid w:val="00C425C6"/>
    <w:rsid w:val="00C4264E"/>
    <w:rsid w:val="00C426A8"/>
    <w:rsid w:val="00C426EF"/>
    <w:rsid w:val="00C4271D"/>
    <w:rsid w:val="00C427C8"/>
    <w:rsid w:val="00C427FD"/>
    <w:rsid w:val="00C42954"/>
    <w:rsid w:val="00C42965"/>
    <w:rsid w:val="00C42984"/>
    <w:rsid w:val="00C42A03"/>
    <w:rsid w:val="00C42C7D"/>
    <w:rsid w:val="00C42D85"/>
    <w:rsid w:val="00C42E30"/>
    <w:rsid w:val="00C42E6B"/>
    <w:rsid w:val="00C42F43"/>
    <w:rsid w:val="00C42FBC"/>
    <w:rsid w:val="00C43098"/>
    <w:rsid w:val="00C4318D"/>
    <w:rsid w:val="00C4324F"/>
    <w:rsid w:val="00C434E0"/>
    <w:rsid w:val="00C4352F"/>
    <w:rsid w:val="00C4374B"/>
    <w:rsid w:val="00C4375E"/>
    <w:rsid w:val="00C43820"/>
    <w:rsid w:val="00C43872"/>
    <w:rsid w:val="00C43A85"/>
    <w:rsid w:val="00C43B10"/>
    <w:rsid w:val="00C43BE9"/>
    <w:rsid w:val="00C43CBA"/>
    <w:rsid w:val="00C43D21"/>
    <w:rsid w:val="00C43E04"/>
    <w:rsid w:val="00C43F0F"/>
    <w:rsid w:val="00C43F70"/>
    <w:rsid w:val="00C43FDB"/>
    <w:rsid w:val="00C440E2"/>
    <w:rsid w:val="00C44157"/>
    <w:rsid w:val="00C441A8"/>
    <w:rsid w:val="00C44382"/>
    <w:rsid w:val="00C443D6"/>
    <w:rsid w:val="00C444AB"/>
    <w:rsid w:val="00C444D2"/>
    <w:rsid w:val="00C4453D"/>
    <w:rsid w:val="00C44540"/>
    <w:rsid w:val="00C4455D"/>
    <w:rsid w:val="00C4457A"/>
    <w:rsid w:val="00C445AA"/>
    <w:rsid w:val="00C44652"/>
    <w:rsid w:val="00C44763"/>
    <w:rsid w:val="00C44796"/>
    <w:rsid w:val="00C447E8"/>
    <w:rsid w:val="00C44862"/>
    <w:rsid w:val="00C448C1"/>
    <w:rsid w:val="00C4493D"/>
    <w:rsid w:val="00C44A08"/>
    <w:rsid w:val="00C44A8D"/>
    <w:rsid w:val="00C44A95"/>
    <w:rsid w:val="00C44AFC"/>
    <w:rsid w:val="00C44BC6"/>
    <w:rsid w:val="00C44BE2"/>
    <w:rsid w:val="00C44CDF"/>
    <w:rsid w:val="00C44D2D"/>
    <w:rsid w:val="00C44DEB"/>
    <w:rsid w:val="00C44E16"/>
    <w:rsid w:val="00C44E2A"/>
    <w:rsid w:val="00C44FBD"/>
    <w:rsid w:val="00C4505E"/>
    <w:rsid w:val="00C45071"/>
    <w:rsid w:val="00C45140"/>
    <w:rsid w:val="00C4514A"/>
    <w:rsid w:val="00C45159"/>
    <w:rsid w:val="00C451AC"/>
    <w:rsid w:val="00C451E0"/>
    <w:rsid w:val="00C4532B"/>
    <w:rsid w:val="00C45391"/>
    <w:rsid w:val="00C453C2"/>
    <w:rsid w:val="00C454E6"/>
    <w:rsid w:val="00C4557C"/>
    <w:rsid w:val="00C4558B"/>
    <w:rsid w:val="00C45611"/>
    <w:rsid w:val="00C45626"/>
    <w:rsid w:val="00C45636"/>
    <w:rsid w:val="00C456AA"/>
    <w:rsid w:val="00C456D9"/>
    <w:rsid w:val="00C456DD"/>
    <w:rsid w:val="00C456E6"/>
    <w:rsid w:val="00C45761"/>
    <w:rsid w:val="00C45766"/>
    <w:rsid w:val="00C457AD"/>
    <w:rsid w:val="00C458F5"/>
    <w:rsid w:val="00C459D7"/>
    <w:rsid w:val="00C45BDE"/>
    <w:rsid w:val="00C45DF8"/>
    <w:rsid w:val="00C45E30"/>
    <w:rsid w:val="00C45E8B"/>
    <w:rsid w:val="00C45EF3"/>
    <w:rsid w:val="00C45FAF"/>
    <w:rsid w:val="00C45FCE"/>
    <w:rsid w:val="00C4617A"/>
    <w:rsid w:val="00C4625F"/>
    <w:rsid w:val="00C462B1"/>
    <w:rsid w:val="00C462C2"/>
    <w:rsid w:val="00C46329"/>
    <w:rsid w:val="00C46347"/>
    <w:rsid w:val="00C46348"/>
    <w:rsid w:val="00C4639B"/>
    <w:rsid w:val="00C46401"/>
    <w:rsid w:val="00C4649D"/>
    <w:rsid w:val="00C464D9"/>
    <w:rsid w:val="00C46572"/>
    <w:rsid w:val="00C4665F"/>
    <w:rsid w:val="00C467AF"/>
    <w:rsid w:val="00C467B6"/>
    <w:rsid w:val="00C46888"/>
    <w:rsid w:val="00C4696E"/>
    <w:rsid w:val="00C46A32"/>
    <w:rsid w:val="00C46A3E"/>
    <w:rsid w:val="00C46B38"/>
    <w:rsid w:val="00C46C8A"/>
    <w:rsid w:val="00C46CB7"/>
    <w:rsid w:val="00C46D5C"/>
    <w:rsid w:val="00C46E8B"/>
    <w:rsid w:val="00C46F04"/>
    <w:rsid w:val="00C46F9E"/>
    <w:rsid w:val="00C46FEC"/>
    <w:rsid w:val="00C46FF1"/>
    <w:rsid w:val="00C4705C"/>
    <w:rsid w:val="00C4709D"/>
    <w:rsid w:val="00C4711B"/>
    <w:rsid w:val="00C471BB"/>
    <w:rsid w:val="00C4724F"/>
    <w:rsid w:val="00C4726D"/>
    <w:rsid w:val="00C4741E"/>
    <w:rsid w:val="00C47462"/>
    <w:rsid w:val="00C47465"/>
    <w:rsid w:val="00C47496"/>
    <w:rsid w:val="00C47595"/>
    <w:rsid w:val="00C475B5"/>
    <w:rsid w:val="00C476C7"/>
    <w:rsid w:val="00C47736"/>
    <w:rsid w:val="00C47753"/>
    <w:rsid w:val="00C477BE"/>
    <w:rsid w:val="00C47831"/>
    <w:rsid w:val="00C4790B"/>
    <w:rsid w:val="00C47933"/>
    <w:rsid w:val="00C47996"/>
    <w:rsid w:val="00C47A04"/>
    <w:rsid w:val="00C47A12"/>
    <w:rsid w:val="00C47A3D"/>
    <w:rsid w:val="00C47B0A"/>
    <w:rsid w:val="00C47B30"/>
    <w:rsid w:val="00C47C0E"/>
    <w:rsid w:val="00C47C34"/>
    <w:rsid w:val="00C47D78"/>
    <w:rsid w:val="00C47E65"/>
    <w:rsid w:val="00C47F66"/>
    <w:rsid w:val="00C500B0"/>
    <w:rsid w:val="00C500C5"/>
    <w:rsid w:val="00C50172"/>
    <w:rsid w:val="00C5018B"/>
    <w:rsid w:val="00C50264"/>
    <w:rsid w:val="00C50527"/>
    <w:rsid w:val="00C505C4"/>
    <w:rsid w:val="00C5062B"/>
    <w:rsid w:val="00C50664"/>
    <w:rsid w:val="00C506BA"/>
    <w:rsid w:val="00C506C8"/>
    <w:rsid w:val="00C50739"/>
    <w:rsid w:val="00C5076E"/>
    <w:rsid w:val="00C507D2"/>
    <w:rsid w:val="00C50899"/>
    <w:rsid w:val="00C50910"/>
    <w:rsid w:val="00C509E6"/>
    <w:rsid w:val="00C50A0C"/>
    <w:rsid w:val="00C50A46"/>
    <w:rsid w:val="00C50A48"/>
    <w:rsid w:val="00C50AC5"/>
    <w:rsid w:val="00C50C0A"/>
    <w:rsid w:val="00C50D21"/>
    <w:rsid w:val="00C50E6A"/>
    <w:rsid w:val="00C50F7F"/>
    <w:rsid w:val="00C51078"/>
    <w:rsid w:val="00C51099"/>
    <w:rsid w:val="00C510D9"/>
    <w:rsid w:val="00C511B2"/>
    <w:rsid w:val="00C51253"/>
    <w:rsid w:val="00C514F3"/>
    <w:rsid w:val="00C515BA"/>
    <w:rsid w:val="00C515C8"/>
    <w:rsid w:val="00C51646"/>
    <w:rsid w:val="00C51676"/>
    <w:rsid w:val="00C516B8"/>
    <w:rsid w:val="00C5185F"/>
    <w:rsid w:val="00C51869"/>
    <w:rsid w:val="00C51948"/>
    <w:rsid w:val="00C51ADB"/>
    <w:rsid w:val="00C51BB8"/>
    <w:rsid w:val="00C51C3B"/>
    <w:rsid w:val="00C51D8C"/>
    <w:rsid w:val="00C51D9F"/>
    <w:rsid w:val="00C51ECE"/>
    <w:rsid w:val="00C51F37"/>
    <w:rsid w:val="00C520CE"/>
    <w:rsid w:val="00C52241"/>
    <w:rsid w:val="00C522C7"/>
    <w:rsid w:val="00C52340"/>
    <w:rsid w:val="00C52342"/>
    <w:rsid w:val="00C524EA"/>
    <w:rsid w:val="00C52630"/>
    <w:rsid w:val="00C52646"/>
    <w:rsid w:val="00C5269E"/>
    <w:rsid w:val="00C527A0"/>
    <w:rsid w:val="00C527D1"/>
    <w:rsid w:val="00C5297B"/>
    <w:rsid w:val="00C529BE"/>
    <w:rsid w:val="00C52A12"/>
    <w:rsid w:val="00C52B1B"/>
    <w:rsid w:val="00C52C1A"/>
    <w:rsid w:val="00C52D2C"/>
    <w:rsid w:val="00C52D48"/>
    <w:rsid w:val="00C52D51"/>
    <w:rsid w:val="00C52DC4"/>
    <w:rsid w:val="00C52DE2"/>
    <w:rsid w:val="00C52E43"/>
    <w:rsid w:val="00C52E58"/>
    <w:rsid w:val="00C52E90"/>
    <w:rsid w:val="00C52ED5"/>
    <w:rsid w:val="00C52EF5"/>
    <w:rsid w:val="00C52F45"/>
    <w:rsid w:val="00C52F7C"/>
    <w:rsid w:val="00C52FEC"/>
    <w:rsid w:val="00C53061"/>
    <w:rsid w:val="00C53156"/>
    <w:rsid w:val="00C531FE"/>
    <w:rsid w:val="00C5330C"/>
    <w:rsid w:val="00C53493"/>
    <w:rsid w:val="00C53544"/>
    <w:rsid w:val="00C535B4"/>
    <w:rsid w:val="00C5368C"/>
    <w:rsid w:val="00C536C1"/>
    <w:rsid w:val="00C53705"/>
    <w:rsid w:val="00C5374C"/>
    <w:rsid w:val="00C53932"/>
    <w:rsid w:val="00C53A83"/>
    <w:rsid w:val="00C53BCD"/>
    <w:rsid w:val="00C53D00"/>
    <w:rsid w:val="00C53EB6"/>
    <w:rsid w:val="00C53F9E"/>
    <w:rsid w:val="00C5413E"/>
    <w:rsid w:val="00C5432F"/>
    <w:rsid w:val="00C54351"/>
    <w:rsid w:val="00C54380"/>
    <w:rsid w:val="00C5443E"/>
    <w:rsid w:val="00C5443F"/>
    <w:rsid w:val="00C5444E"/>
    <w:rsid w:val="00C5457D"/>
    <w:rsid w:val="00C545F0"/>
    <w:rsid w:val="00C54644"/>
    <w:rsid w:val="00C54767"/>
    <w:rsid w:val="00C547B5"/>
    <w:rsid w:val="00C547B9"/>
    <w:rsid w:val="00C54895"/>
    <w:rsid w:val="00C548DC"/>
    <w:rsid w:val="00C5490D"/>
    <w:rsid w:val="00C54AEF"/>
    <w:rsid w:val="00C54B0C"/>
    <w:rsid w:val="00C54B9D"/>
    <w:rsid w:val="00C54BC1"/>
    <w:rsid w:val="00C54BFC"/>
    <w:rsid w:val="00C54C62"/>
    <w:rsid w:val="00C54CC2"/>
    <w:rsid w:val="00C54D41"/>
    <w:rsid w:val="00C54D9B"/>
    <w:rsid w:val="00C54DB0"/>
    <w:rsid w:val="00C54E98"/>
    <w:rsid w:val="00C54EB6"/>
    <w:rsid w:val="00C54EEC"/>
    <w:rsid w:val="00C54F4F"/>
    <w:rsid w:val="00C55036"/>
    <w:rsid w:val="00C5505E"/>
    <w:rsid w:val="00C55091"/>
    <w:rsid w:val="00C550CA"/>
    <w:rsid w:val="00C550CB"/>
    <w:rsid w:val="00C550DD"/>
    <w:rsid w:val="00C552D8"/>
    <w:rsid w:val="00C5531D"/>
    <w:rsid w:val="00C5532D"/>
    <w:rsid w:val="00C553A0"/>
    <w:rsid w:val="00C5545D"/>
    <w:rsid w:val="00C55485"/>
    <w:rsid w:val="00C5548E"/>
    <w:rsid w:val="00C55575"/>
    <w:rsid w:val="00C55637"/>
    <w:rsid w:val="00C556B3"/>
    <w:rsid w:val="00C557D5"/>
    <w:rsid w:val="00C558F2"/>
    <w:rsid w:val="00C5592F"/>
    <w:rsid w:val="00C559A6"/>
    <w:rsid w:val="00C55A07"/>
    <w:rsid w:val="00C55ABF"/>
    <w:rsid w:val="00C55BF8"/>
    <w:rsid w:val="00C55CA3"/>
    <w:rsid w:val="00C55D40"/>
    <w:rsid w:val="00C55D75"/>
    <w:rsid w:val="00C55DBF"/>
    <w:rsid w:val="00C55DF6"/>
    <w:rsid w:val="00C55E54"/>
    <w:rsid w:val="00C55E85"/>
    <w:rsid w:val="00C56008"/>
    <w:rsid w:val="00C56119"/>
    <w:rsid w:val="00C56200"/>
    <w:rsid w:val="00C56257"/>
    <w:rsid w:val="00C562E5"/>
    <w:rsid w:val="00C5630B"/>
    <w:rsid w:val="00C56441"/>
    <w:rsid w:val="00C5644A"/>
    <w:rsid w:val="00C564F9"/>
    <w:rsid w:val="00C56565"/>
    <w:rsid w:val="00C56645"/>
    <w:rsid w:val="00C567B6"/>
    <w:rsid w:val="00C567D5"/>
    <w:rsid w:val="00C56801"/>
    <w:rsid w:val="00C568F3"/>
    <w:rsid w:val="00C5690D"/>
    <w:rsid w:val="00C56959"/>
    <w:rsid w:val="00C56A33"/>
    <w:rsid w:val="00C56B72"/>
    <w:rsid w:val="00C56B83"/>
    <w:rsid w:val="00C56BCF"/>
    <w:rsid w:val="00C56C27"/>
    <w:rsid w:val="00C56C7C"/>
    <w:rsid w:val="00C56C98"/>
    <w:rsid w:val="00C56CA7"/>
    <w:rsid w:val="00C56D8C"/>
    <w:rsid w:val="00C56E68"/>
    <w:rsid w:val="00C56F08"/>
    <w:rsid w:val="00C56FDB"/>
    <w:rsid w:val="00C5707F"/>
    <w:rsid w:val="00C5708D"/>
    <w:rsid w:val="00C57233"/>
    <w:rsid w:val="00C5729A"/>
    <w:rsid w:val="00C572FC"/>
    <w:rsid w:val="00C5736B"/>
    <w:rsid w:val="00C5739A"/>
    <w:rsid w:val="00C573EF"/>
    <w:rsid w:val="00C574FC"/>
    <w:rsid w:val="00C57563"/>
    <w:rsid w:val="00C57576"/>
    <w:rsid w:val="00C57592"/>
    <w:rsid w:val="00C57675"/>
    <w:rsid w:val="00C5767B"/>
    <w:rsid w:val="00C57744"/>
    <w:rsid w:val="00C57848"/>
    <w:rsid w:val="00C57903"/>
    <w:rsid w:val="00C5797F"/>
    <w:rsid w:val="00C57BE8"/>
    <w:rsid w:val="00C57C8F"/>
    <w:rsid w:val="00C57D08"/>
    <w:rsid w:val="00C57E02"/>
    <w:rsid w:val="00C57E2D"/>
    <w:rsid w:val="00C57E45"/>
    <w:rsid w:val="00C57E88"/>
    <w:rsid w:val="00C57E93"/>
    <w:rsid w:val="00C57FCA"/>
    <w:rsid w:val="00C60139"/>
    <w:rsid w:val="00C60156"/>
    <w:rsid w:val="00C60394"/>
    <w:rsid w:val="00C603AD"/>
    <w:rsid w:val="00C6064A"/>
    <w:rsid w:val="00C60769"/>
    <w:rsid w:val="00C6078D"/>
    <w:rsid w:val="00C607D1"/>
    <w:rsid w:val="00C6086F"/>
    <w:rsid w:val="00C60872"/>
    <w:rsid w:val="00C608A4"/>
    <w:rsid w:val="00C608A6"/>
    <w:rsid w:val="00C608FA"/>
    <w:rsid w:val="00C609EA"/>
    <w:rsid w:val="00C60A21"/>
    <w:rsid w:val="00C60A41"/>
    <w:rsid w:val="00C60B1C"/>
    <w:rsid w:val="00C60BB9"/>
    <w:rsid w:val="00C60C58"/>
    <w:rsid w:val="00C60C9B"/>
    <w:rsid w:val="00C60D06"/>
    <w:rsid w:val="00C60D19"/>
    <w:rsid w:val="00C60F55"/>
    <w:rsid w:val="00C60FB7"/>
    <w:rsid w:val="00C6109C"/>
    <w:rsid w:val="00C610EB"/>
    <w:rsid w:val="00C6113A"/>
    <w:rsid w:val="00C61142"/>
    <w:rsid w:val="00C611C3"/>
    <w:rsid w:val="00C611D4"/>
    <w:rsid w:val="00C61219"/>
    <w:rsid w:val="00C61292"/>
    <w:rsid w:val="00C6131A"/>
    <w:rsid w:val="00C61357"/>
    <w:rsid w:val="00C613EE"/>
    <w:rsid w:val="00C613FC"/>
    <w:rsid w:val="00C6141B"/>
    <w:rsid w:val="00C61464"/>
    <w:rsid w:val="00C61496"/>
    <w:rsid w:val="00C614A3"/>
    <w:rsid w:val="00C617BA"/>
    <w:rsid w:val="00C61862"/>
    <w:rsid w:val="00C61892"/>
    <w:rsid w:val="00C618AF"/>
    <w:rsid w:val="00C618BE"/>
    <w:rsid w:val="00C618F6"/>
    <w:rsid w:val="00C61919"/>
    <w:rsid w:val="00C61921"/>
    <w:rsid w:val="00C61955"/>
    <w:rsid w:val="00C619D0"/>
    <w:rsid w:val="00C619DD"/>
    <w:rsid w:val="00C61A61"/>
    <w:rsid w:val="00C61B78"/>
    <w:rsid w:val="00C61B8E"/>
    <w:rsid w:val="00C61BC0"/>
    <w:rsid w:val="00C61C7E"/>
    <w:rsid w:val="00C61CDF"/>
    <w:rsid w:val="00C61D9F"/>
    <w:rsid w:val="00C61DAC"/>
    <w:rsid w:val="00C61DD0"/>
    <w:rsid w:val="00C61DDA"/>
    <w:rsid w:val="00C61E59"/>
    <w:rsid w:val="00C61ECD"/>
    <w:rsid w:val="00C61F23"/>
    <w:rsid w:val="00C61FAD"/>
    <w:rsid w:val="00C6228A"/>
    <w:rsid w:val="00C62294"/>
    <w:rsid w:val="00C6232B"/>
    <w:rsid w:val="00C62370"/>
    <w:rsid w:val="00C623EB"/>
    <w:rsid w:val="00C62573"/>
    <w:rsid w:val="00C6257D"/>
    <w:rsid w:val="00C626C9"/>
    <w:rsid w:val="00C626EB"/>
    <w:rsid w:val="00C627C3"/>
    <w:rsid w:val="00C62884"/>
    <w:rsid w:val="00C62895"/>
    <w:rsid w:val="00C628CD"/>
    <w:rsid w:val="00C62A65"/>
    <w:rsid w:val="00C62AB0"/>
    <w:rsid w:val="00C62AC3"/>
    <w:rsid w:val="00C62B20"/>
    <w:rsid w:val="00C62B5B"/>
    <w:rsid w:val="00C62B69"/>
    <w:rsid w:val="00C62BC6"/>
    <w:rsid w:val="00C62CA2"/>
    <w:rsid w:val="00C62CF8"/>
    <w:rsid w:val="00C62DCF"/>
    <w:rsid w:val="00C62DD6"/>
    <w:rsid w:val="00C62E38"/>
    <w:rsid w:val="00C62EBB"/>
    <w:rsid w:val="00C62EDB"/>
    <w:rsid w:val="00C62F51"/>
    <w:rsid w:val="00C6316A"/>
    <w:rsid w:val="00C631CD"/>
    <w:rsid w:val="00C63277"/>
    <w:rsid w:val="00C6333B"/>
    <w:rsid w:val="00C6336D"/>
    <w:rsid w:val="00C63374"/>
    <w:rsid w:val="00C633AE"/>
    <w:rsid w:val="00C633F4"/>
    <w:rsid w:val="00C63408"/>
    <w:rsid w:val="00C63498"/>
    <w:rsid w:val="00C634A8"/>
    <w:rsid w:val="00C63518"/>
    <w:rsid w:val="00C63606"/>
    <w:rsid w:val="00C63638"/>
    <w:rsid w:val="00C63792"/>
    <w:rsid w:val="00C6385E"/>
    <w:rsid w:val="00C639D6"/>
    <w:rsid w:val="00C63C5A"/>
    <w:rsid w:val="00C63CA0"/>
    <w:rsid w:val="00C63CAC"/>
    <w:rsid w:val="00C63CC1"/>
    <w:rsid w:val="00C63D90"/>
    <w:rsid w:val="00C63E28"/>
    <w:rsid w:val="00C63E59"/>
    <w:rsid w:val="00C63E9A"/>
    <w:rsid w:val="00C63EA8"/>
    <w:rsid w:val="00C63F72"/>
    <w:rsid w:val="00C63FC2"/>
    <w:rsid w:val="00C6408B"/>
    <w:rsid w:val="00C640D6"/>
    <w:rsid w:val="00C64123"/>
    <w:rsid w:val="00C641B1"/>
    <w:rsid w:val="00C6420C"/>
    <w:rsid w:val="00C6427C"/>
    <w:rsid w:val="00C64369"/>
    <w:rsid w:val="00C64373"/>
    <w:rsid w:val="00C643CE"/>
    <w:rsid w:val="00C643EB"/>
    <w:rsid w:val="00C64426"/>
    <w:rsid w:val="00C64549"/>
    <w:rsid w:val="00C645C5"/>
    <w:rsid w:val="00C645EB"/>
    <w:rsid w:val="00C64665"/>
    <w:rsid w:val="00C646BD"/>
    <w:rsid w:val="00C646C8"/>
    <w:rsid w:val="00C646FE"/>
    <w:rsid w:val="00C64793"/>
    <w:rsid w:val="00C6479F"/>
    <w:rsid w:val="00C647A6"/>
    <w:rsid w:val="00C64857"/>
    <w:rsid w:val="00C649E0"/>
    <w:rsid w:val="00C649E4"/>
    <w:rsid w:val="00C64AC0"/>
    <w:rsid w:val="00C64AD4"/>
    <w:rsid w:val="00C64AEE"/>
    <w:rsid w:val="00C64B39"/>
    <w:rsid w:val="00C64B43"/>
    <w:rsid w:val="00C64CF1"/>
    <w:rsid w:val="00C64D39"/>
    <w:rsid w:val="00C64D5B"/>
    <w:rsid w:val="00C64D73"/>
    <w:rsid w:val="00C64DAB"/>
    <w:rsid w:val="00C64E0C"/>
    <w:rsid w:val="00C64E27"/>
    <w:rsid w:val="00C64E94"/>
    <w:rsid w:val="00C64EEA"/>
    <w:rsid w:val="00C64F9D"/>
    <w:rsid w:val="00C6506D"/>
    <w:rsid w:val="00C65134"/>
    <w:rsid w:val="00C65149"/>
    <w:rsid w:val="00C651D3"/>
    <w:rsid w:val="00C653A2"/>
    <w:rsid w:val="00C653AC"/>
    <w:rsid w:val="00C65487"/>
    <w:rsid w:val="00C654B6"/>
    <w:rsid w:val="00C654F1"/>
    <w:rsid w:val="00C65546"/>
    <w:rsid w:val="00C6557B"/>
    <w:rsid w:val="00C655A1"/>
    <w:rsid w:val="00C655BD"/>
    <w:rsid w:val="00C65677"/>
    <w:rsid w:val="00C656C5"/>
    <w:rsid w:val="00C656F8"/>
    <w:rsid w:val="00C65793"/>
    <w:rsid w:val="00C6579C"/>
    <w:rsid w:val="00C657AE"/>
    <w:rsid w:val="00C657C3"/>
    <w:rsid w:val="00C657E2"/>
    <w:rsid w:val="00C6580C"/>
    <w:rsid w:val="00C65827"/>
    <w:rsid w:val="00C6586C"/>
    <w:rsid w:val="00C659B9"/>
    <w:rsid w:val="00C65A8E"/>
    <w:rsid w:val="00C65AE1"/>
    <w:rsid w:val="00C65B1F"/>
    <w:rsid w:val="00C65B51"/>
    <w:rsid w:val="00C65B53"/>
    <w:rsid w:val="00C65BF0"/>
    <w:rsid w:val="00C65C27"/>
    <w:rsid w:val="00C65C68"/>
    <w:rsid w:val="00C65D11"/>
    <w:rsid w:val="00C65D64"/>
    <w:rsid w:val="00C65E4D"/>
    <w:rsid w:val="00C660E9"/>
    <w:rsid w:val="00C6613E"/>
    <w:rsid w:val="00C661B1"/>
    <w:rsid w:val="00C66283"/>
    <w:rsid w:val="00C66303"/>
    <w:rsid w:val="00C66391"/>
    <w:rsid w:val="00C6643F"/>
    <w:rsid w:val="00C6646E"/>
    <w:rsid w:val="00C66620"/>
    <w:rsid w:val="00C66663"/>
    <w:rsid w:val="00C666AD"/>
    <w:rsid w:val="00C66735"/>
    <w:rsid w:val="00C6673D"/>
    <w:rsid w:val="00C6673E"/>
    <w:rsid w:val="00C6685C"/>
    <w:rsid w:val="00C6697F"/>
    <w:rsid w:val="00C66B37"/>
    <w:rsid w:val="00C66B9F"/>
    <w:rsid w:val="00C66BFA"/>
    <w:rsid w:val="00C66D3E"/>
    <w:rsid w:val="00C66DC2"/>
    <w:rsid w:val="00C66DD2"/>
    <w:rsid w:val="00C66EB5"/>
    <w:rsid w:val="00C66F60"/>
    <w:rsid w:val="00C670F9"/>
    <w:rsid w:val="00C670FF"/>
    <w:rsid w:val="00C6727A"/>
    <w:rsid w:val="00C67311"/>
    <w:rsid w:val="00C673DD"/>
    <w:rsid w:val="00C673F0"/>
    <w:rsid w:val="00C674E1"/>
    <w:rsid w:val="00C675A7"/>
    <w:rsid w:val="00C67614"/>
    <w:rsid w:val="00C67634"/>
    <w:rsid w:val="00C67653"/>
    <w:rsid w:val="00C676D7"/>
    <w:rsid w:val="00C67741"/>
    <w:rsid w:val="00C67754"/>
    <w:rsid w:val="00C6777C"/>
    <w:rsid w:val="00C677F8"/>
    <w:rsid w:val="00C677FE"/>
    <w:rsid w:val="00C67883"/>
    <w:rsid w:val="00C678F3"/>
    <w:rsid w:val="00C67A14"/>
    <w:rsid w:val="00C67A5C"/>
    <w:rsid w:val="00C67B97"/>
    <w:rsid w:val="00C67BCA"/>
    <w:rsid w:val="00C67BEB"/>
    <w:rsid w:val="00C67BF7"/>
    <w:rsid w:val="00C67C0C"/>
    <w:rsid w:val="00C67C43"/>
    <w:rsid w:val="00C67C47"/>
    <w:rsid w:val="00C67EAA"/>
    <w:rsid w:val="00C67F84"/>
    <w:rsid w:val="00C67FD0"/>
    <w:rsid w:val="00C700D5"/>
    <w:rsid w:val="00C700E0"/>
    <w:rsid w:val="00C7032E"/>
    <w:rsid w:val="00C704E9"/>
    <w:rsid w:val="00C704F7"/>
    <w:rsid w:val="00C7050F"/>
    <w:rsid w:val="00C70629"/>
    <w:rsid w:val="00C7071A"/>
    <w:rsid w:val="00C70759"/>
    <w:rsid w:val="00C7082E"/>
    <w:rsid w:val="00C7083E"/>
    <w:rsid w:val="00C70997"/>
    <w:rsid w:val="00C709A0"/>
    <w:rsid w:val="00C70ABB"/>
    <w:rsid w:val="00C70AEA"/>
    <w:rsid w:val="00C70AF7"/>
    <w:rsid w:val="00C70B7C"/>
    <w:rsid w:val="00C70B92"/>
    <w:rsid w:val="00C70C10"/>
    <w:rsid w:val="00C70C38"/>
    <w:rsid w:val="00C70C98"/>
    <w:rsid w:val="00C70E17"/>
    <w:rsid w:val="00C70FFD"/>
    <w:rsid w:val="00C710E5"/>
    <w:rsid w:val="00C71160"/>
    <w:rsid w:val="00C7119C"/>
    <w:rsid w:val="00C7119E"/>
    <w:rsid w:val="00C711CE"/>
    <w:rsid w:val="00C711E9"/>
    <w:rsid w:val="00C71222"/>
    <w:rsid w:val="00C712F2"/>
    <w:rsid w:val="00C71399"/>
    <w:rsid w:val="00C713E8"/>
    <w:rsid w:val="00C71446"/>
    <w:rsid w:val="00C71602"/>
    <w:rsid w:val="00C7161E"/>
    <w:rsid w:val="00C716A9"/>
    <w:rsid w:val="00C71712"/>
    <w:rsid w:val="00C7173B"/>
    <w:rsid w:val="00C717DC"/>
    <w:rsid w:val="00C71876"/>
    <w:rsid w:val="00C71893"/>
    <w:rsid w:val="00C718C6"/>
    <w:rsid w:val="00C71979"/>
    <w:rsid w:val="00C719F2"/>
    <w:rsid w:val="00C71AA3"/>
    <w:rsid w:val="00C71B5E"/>
    <w:rsid w:val="00C71C30"/>
    <w:rsid w:val="00C71C85"/>
    <w:rsid w:val="00C71D1B"/>
    <w:rsid w:val="00C71DDA"/>
    <w:rsid w:val="00C71E5A"/>
    <w:rsid w:val="00C71F5F"/>
    <w:rsid w:val="00C71F6A"/>
    <w:rsid w:val="00C71F87"/>
    <w:rsid w:val="00C72075"/>
    <w:rsid w:val="00C7208F"/>
    <w:rsid w:val="00C720A3"/>
    <w:rsid w:val="00C721A1"/>
    <w:rsid w:val="00C722E4"/>
    <w:rsid w:val="00C72307"/>
    <w:rsid w:val="00C72424"/>
    <w:rsid w:val="00C7249C"/>
    <w:rsid w:val="00C724D2"/>
    <w:rsid w:val="00C7250B"/>
    <w:rsid w:val="00C726F2"/>
    <w:rsid w:val="00C72746"/>
    <w:rsid w:val="00C72871"/>
    <w:rsid w:val="00C72958"/>
    <w:rsid w:val="00C72A22"/>
    <w:rsid w:val="00C72AFD"/>
    <w:rsid w:val="00C72B31"/>
    <w:rsid w:val="00C72B9C"/>
    <w:rsid w:val="00C72BF1"/>
    <w:rsid w:val="00C72C42"/>
    <w:rsid w:val="00C72C65"/>
    <w:rsid w:val="00C72C7A"/>
    <w:rsid w:val="00C72C8F"/>
    <w:rsid w:val="00C72CA6"/>
    <w:rsid w:val="00C72CFB"/>
    <w:rsid w:val="00C72DD5"/>
    <w:rsid w:val="00C72E83"/>
    <w:rsid w:val="00C72EC4"/>
    <w:rsid w:val="00C72EE3"/>
    <w:rsid w:val="00C7305B"/>
    <w:rsid w:val="00C7308D"/>
    <w:rsid w:val="00C73150"/>
    <w:rsid w:val="00C731AE"/>
    <w:rsid w:val="00C732CF"/>
    <w:rsid w:val="00C732E2"/>
    <w:rsid w:val="00C73301"/>
    <w:rsid w:val="00C7332D"/>
    <w:rsid w:val="00C73390"/>
    <w:rsid w:val="00C734C6"/>
    <w:rsid w:val="00C73533"/>
    <w:rsid w:val="00C7354D"/>
    <w:rsid w:val="00C73583"/>
    <w:rsid w:val="00C735BC"/>
    <w:rsid w:val="00C735D8"/>
    <w:rsid w:val="00C735E5"/>
    <w:rsid w:val="00C735F1"/>
    <w:rsid w:val="00C735F7"/>
    <w:rsid w:val="00C73723"/>
    <w:rsid w:val="00C73790"/>
    <w:rsid w:val="00C737A8"/>
    <w:rsid w:val="00C73869"/>
    <w:rsid w:val="00C7397F"/>
    <w:rsid w:val="00C739BA"/>
    <w:rsid w:val="00C739D6"/>
    <w:rsid w:val="00C73A3B"/>
    <w:rsid w:val="00C73A73"/>
    <w:rsid w:val="00C73D37"/>
    <w:rsid w:val="00C73E36"/>
    <w:rsid w:val="00C73E9A"/>
    <w:rsid w:val="00C73F73"/>
    <w:rsid w:val="00C73FB3"/>
    <w:rsid w:val="00C73FF4"/>
    <w:rsid w:val="00C74085"/>
    <w:rsid w:val="00C74120"/>
    <w:rsid w:val="00C74135"/>
    <w:rsid w:val="00C741AB"/>
    <w:rsid w:val="00C742D5"/>
    <w:rsid w:val="00C742FB"/>
    <w:rsid w:val="00C7433B"/>
    <w:rsid w:val="00C743DD"/>
    <w:rsid w:val="00C74554"/>
    <w:rsid w:val="00C745E8"/>
    <w:rsid w:val="00C7461B"/>
    <w:rsid w:val="00C746C4"/>
    <w:rsid w:val="00C747FC"/>
    <w:rsid w:val="00C748A2"/>
    <w:rsid w:val="00C7494A"/>
    <w:rsid w:val="00C74AE0"/>
    <w:rsid w:val="00C74B1C"/>
    <w:rsid w:val="00C74CBF"/>
    <w:rsid w:val="00C74D12"/>
    <w:rsid w:val="00C74D4E"/>
    <w:rsid w:val="00C74D5F"/>
    <w:rsid w:val="00C74E78"/>
    <w:rsid w:val="00C74EDD"/>
    <w:rsid w:val="00C74EE7"/>
    <w:rsid w:val="00C74EF0"/>
    <w:rsid w:val="00C74EF9"/>
    <w:rsid w:val="00C74F1D"/>
    <w:rsid w:val="00C750A9"/>
    <w:rsid w:val="00C7514F"/>
    <w:rsid w:val="00C75266"/>
    <w:rsid w:val="00C75386"/>
    <w:rsid w:val="00C755A1"/>
    <w:rsid w:val="00C75612"/>
    <w:rsid w:val="00C75653"/>
    <w:rsid w:val="00C7572F"/>
    <w:rsid w:val="00C759B3"/>
    <w:rsid w:val="00C759C7"/>
    <w:rsid w:val="00C75A31"/>
    <w:rsid w:val="00C75ACB"/>
    <w:rsid w:val="00C75B93"/>
    <w:rsid w:val="00C75C40"/>
    <w:rsid w:val="00C75C98"/>
    <w:rsid w:val="00C75DF3"/>
    <w:rsid w:val="00C75E4C"/>
    <w:rsid w:val="00C75EED"/>
    <w:rsid w:val="00C7603D"/>
    <w:rsid w:val="00C76076"/>
    <w:rsid w:val="00C76093"/>
    <w:rsid w:val="00C76094"/>
    <w:rsid w:val="00C760E8"/>
    <w:rsid w:val="00C760F1"/>
    <w:rsid w:val="00C760FB"/>
    <w:rsid w:val="00C761F0"/>
    <w:rsid w:val="00C76204"/>
    <w:rsid w:val="00C76285"/>
    <w:rsid w:val="00C762AF"/>
    <w:rsid w:val="00C76318"/>
    <w:rsid w:val="00C7632C"/>
    <w:rsid w:val="00C76350"/>
    <w:rsid w:val="00C765A0"/>
    <w:rsid w:val="00C765A3"/>
    <w:rsid w:val="00C76A3D"/>
    <w:rsid w:val="00C76A75"/>
    <w:rsid w:val="00C76AB4"/>
    <w:rsid w:val="00C76AFD"/>
    <w:rsid w:val="00C76BF0"/>
    <w:rsid w:val="00C76CE2"/>
    <w:rsid w:val="00C76D3B"/>
    <w:rsid w:val="00C76F22"/>
    <w:rsid w:val="00C76F9F"/>
    <w:rsid w:val="00C77028"/>
    <w:rsid w:val="00C770B7"/>
    <w:rsid w:val="00C770EB"/>
    <w:rsid w:val="00C77145"/>
    <w:rsid w:val="00C77261"/>
    <w:rsid w:val="00C772CF"/>
    <w:rsid w:val="00C775A9"/>
    <w:rsid w:val="00C776CB"/>
    <w:rsid w:val="00C77791"/>
    <w:rsid w:val="00C77825"/>
    <w:rsid w:val="00C778B8"/>
    <w:rsid w:val="00C779DC"/>
    <w:rsid w:val="00C77A16"/>
    <w:rsid w:val="00C77A74"/>
    <w:rsid w:val="00C77AEC"/>
    <w:rsid w:val="00C77B6C"/>
    <w:rsid w:val="00C77B8F"/>
    <w:rsid w:val="00C77BAF"/>
    <w:rsid w:val="00C77CF8"/>
    <w:rsid w:val="00C77D63"/>
    <w:rsid w:val="00C77F49"/>
    <w:rsid w:val="00C8000C"/>
    <w:rsid w:val="00C80100"/>
    <w:rsid w:val="00C8010A"/>
    <w:rsid w:val="00C8010B"/>
    <w:rsid w:val="00C8015C"/>
    <w:rsid w:val="00C801F9"/>
    <w:rsid w:val="00C80301"/>
    <w:rsid w:val="00C80321"/>
    <w:rsid w:val="00C80322"/>
    <w:rsid w:val="00C8037F"/>
    <w:rsid w:val="00C803F1"/>
    <w:rsid w:val="00C80417"/>
    <w:rsid w:val="00C80457"/>
    <w:rsid w:val="00C8052D"/>
    <w:rsid w:val="00C80616"/>
    <w:rsid w:val="00C8077A"/>
    <w:rsid w:val="00C807F8"/>
    <w:rsid w:val="00C80826"/>
    <w:rsid w:val="00C80846"/>
    <w:rsid w:val="00C80869"/>
    <w:rsid w:val="00C80973"/>
    <w:rsid w:val="00C80A86"/>
    <w:rsid w:val="00C80C56"/>
    <w:rsid w:val="00C80CDF"/>
    <w:rsid w:val="00C80D88"/>
    <w:rsid w:val="00C80EA4"/>
    <w:rsid w:val="00C80EC8"/>
    <w:rsid w:val="00C80EFD"/>
    <w:rsid w:val="00C80F0C"/>
    <w:rsid w:val="00C80FD3"/>
    <w:rsid w:val="00C81057"/>
    <w:rsid w:val="00C810FE"/>
    <w:rsid w:val="00C811C2"/>
    <w:rsid w:val="00C812DC"/>
    <w:rsid w:val="00C812F6"/>
    <w:rsid w:val="00C81341"/>
    <w:rsid w:val="00C81368"/>
    <w:rsid w:val="00C81440"/>
    <w:rsid w:val="00C81662"/>
    <w:rsid w:val="00C81816"/>
    <w:rsid w:val="00C81847"/>
    <w:rsid w:val="00C818DD"/>
    <w:rsid w:val="00C81975"/>
    <w:rsid w:val="00C81A77"/>
    <w:rsid w:val="00C81ACD"/>
    <w:rsid w:val="00C81B00"/>
    <w:rsid w:val="00C81B4F"/>
    <w:rsid w:val="00C81CF5"/>
    <w:rsid w:val="00C81D1F"/>
    <w:rsid w:val="00C81D3D"/>
    <w:rsid w:val="00C81E0B"/>
    <w:rsid w:val="00C81E7F"/>
    <w:rsid w:val="00C82138"/>
    <w:rsid w:val="00C821C0"/>
    <w:rsid w:val="00C82213"/>
    <w:rsid w:val="00C8224C"/>
    <w:rsid w:val="00C822F3"/>
    <w:rsid w:val="00C82300"/>
    <w:rsid w:val="00C8236D"/>
    <w:rsid w:val="00C82459"/>
    <w:rsid w:val="00C8249F"/>
    <w:rsid w:val="00C82504"/>
    <w:rsid w:val="00C82611"/>
    <w:rsid w:val="00C82667"/>
    <w:rsid w:val="00C82787"/>
    <w:rsid w:val="00C8280A"/>
    <w:rsid w:val="00C82825"/>
    <w:rsid w:val="00C828AB"/>
    <w:rsid w:val="00C82998"/>
    <w:rsid w:val="00C82A30"/>
    <w:rsid w:val="00C82B01"/>
    <w:rsid w:val="00C82B5E"/>
    <w:rsid w:val="00C82B9E"/>
    <w:rsid w:val="00C82BD9"/>
    <w:rsid w:val="00C82CBB"/>
    <w:rsid w:val="00C82D47"/>
    <w:rsid w:val="00C82DFF"/>
    <w:rsid w:val="00C82E7D"/>
    <w:rsid w:val="00C82E91"/>
    <w:rsid w:val="00C82EE4"/>
    <w:rsid w:val="00C82EE6"/>
    <w:rsid w:val="00C82F8C"/>
    <w:rsid w:val="00C82FC1"/>
    <w:rsid w:val="00C8306E"/>
    <w:rsid w:val="00C831D1"/>
    <w:rsid w:val="00C832B5"/>
    <w:rsid w:val="00C8337C"/>
    <w:rsid w:val="00C83437"/>
    <w:rsid w:val="00C8344A"/>
    <w:rsid w:val="00C8345B"/>
    <w:rsid w:val="00C834D5"/>
    <w:rsid w:val="00C834F8"/>
    <w:rsid w:val="00C8367A"/>
    <w:rsid w:val="00C836D3"/>
    <w:rsid w:val="00C8376F"/>
    <w:rsid w:val="00C837F5"/>
    <w:rsid w:val="00C83A39"/>
    <w:rsid w:val="00C83BA4"/>
    <w:rsid w:val="00C83BBD"/>
    <w:rsid w:val="00C83BC1"/>
    <w:rsid w:val="00C83BC9"/>
    <w:rsid w:val="00C83C24"/>
    <w:rsid w:val="00C83C5C"/>
    <w:rsid w:val="00C83D9C"/>
    <w:rsid w:val="00C83E1A"/>
    <w:rsid w:val="00C83E57"/>
    <w:rsid w:val="00C83F5B"/>
    <w:rsid w:val="00C83FB6"/>
    <w:rsid w:val="00C84154"/>
    <w:rsid w:val="00C84288"/>
    <w:rsid w:val="00C842D6"/>
    <w:rsid w:val="00C8436C"/>
    <w:rsid w:val="00C84384"/>
    <w:rsid w:val="00C8460C"/>
    <w:rsid w:val="00C846A9"/>
    <w:rsid w:val="00C846BC"/>
    <w:rsid w:val="00C8471F"/>
    <w:rsid w:val="00C8479F"/>
    <w:rsid w:val="00C847D0"/>
    <w:rsid w:val="00C849CD"/>
    <w:rsid w:val="00C84A56"/>
    <w:rsid w:val="00C84A7D"/>
    <w:rsid w:val="00C84A92"/>
    <w:rsid w:val="00C84AC8"/>
    <w:rsid w:val="00C84C9F"/>
    <w:rsid w:val="00C84CBA"/>
    <w:rsid w:val="00C84CE0"/>
    <w:rsid w:val="00C84D15"/>
    <w:rsid w:val="00C84D77"/>
    <w:rsid w:val="00C84E12"/>
    <w:rsid w:val="00C84E48"/>
    <w:rsid w:val="00C84EAB"/>
    <w:rsid w:val="00C84EC5"/>
    <w:rsid w:val="00C84F18"/>
    <w:rsid w:val="00C850AB"/>
    <w:rsid w:val="00C8513A"/>
    <w:rsid w:val="00C8514F"/>
    <w:rsid w:val="00C852E9"/>
    <w:rsid w:val="00C852F9"/>
    <w:rsid w:val="00C853CD"/>
    <w:rsid w:val="00C85416"/>
    <w:rsid w:val="00C85481"/>
    <w:rsid w:val="00C854A4"/>
    <w:rsid w:val="00C8551C"/>
    <w:rsid w:val="00C8555C"/>
    <w:rsid w:val="00C85569"/>
    <w:rsid w:val="00C8562B"/>
    <w:rsid w:val="00C85664"/>
    <w:rsid w:val="00C856ED"/>
    <w:rsid w:val="00C85727"/>
    <w:rsid w:val="00C8575B"/>
    <w:rsid w:val="00C85870"/>
    <w:rsid w:val="00C858A9"/>
    <w:rsid w:val="00C85946"/>
    <w:rsid w:val="00C8594C"/>
    <w:rsid w:val="00C85C85"/>
    <w:rsid w:val="00C85D1F"/>
    <w:rsid w:val="00C85D8B"/>
    <w:rsid w:val="00C85E86"/>
    <w:rsid w:val="00C85FAD"/>
    <w:rsid w:val="00C8604F"/>
    <w:rsid w:val="00C860CD"/>
    <w:rsid w:val="00C86126"/>
    <w:rsid w:val="00C86231"/>
    <w:rsid w:val="00C86390"/>
    <w:rsid w:val="00C863B3"/>
    <w:rsid w:val="00C863F5"/>
    <w:rsid w:val="00C864C6"/>
    <w:rsid w:val="00C86512"/>
    <w:rsid w:val="00C865FF"/>
    <w:rsid w:val="00C86742"/>
    <w:rsid w:val="00C86846"/>
    <w:rsid w:val="00C868FD"/>
    <w:rsid w:val="00C869AC"/>
    <w:rsid w:val="00C869D2"/>
    <w:rsid w:val="00C86A79"/>
    <w:rsid w:val="00C86AC4"/>
    <w:rsid w:val="00C86ADF"/>
    <w:rsid w:val="00C86D0D"/>
    <w:rsid w:val="00C86D67"/>
    <w:rsid w:val="00C86DC7"/>
    <w:rsid w:val="00C86DE9"/>
    <w:rsid w:val="00C86E2B"/>
    <w:rsid w:val="00C86F3C"/>
    <w:rsid w:val="00C87086"/>
    <w:rsid w:val="00C8719D"/>
    <w:rsid w:val="00C871A3"/>
    <w:rsid w:val="00C871DF"/>
    <w:rsid w:val="00C8727C"/>
    <w:rsid w:val="00C872A7"/>
    <w:rsid w:val="00C872C4"/>
    <w:rsid w:val="00C872DA"/>
    <w:rsid w:val="00C87324"/>
    <w:rsid w:val="00C87385"/>
    <w:rsid w:val="00C87404"/>
    <w:rsid w:val="00C87485"/>
    <w:rsid w:val="00C874C2"/>
    <w:rsid w:val="00C87527"/>
    <w:rsid w:val="00C8756A"/>
    <w:rsid w:val="00C875A5"/>
    <w:rsid w:val="00C875CC"/>
    <w:rsid w:val="00C875F7"/>
    <w:rsid w:val="00C87644"/>
    <w:rsid w:val="00C8766F"/>
    <w:rsid w:val="00C87696"/>
    <w:rsid w:val="00C8776C"/>
    <w:rsid w:val="00C87893"/>
    <w:rsid w:val="00C878B8"/>
    <w:rsid w:val="00C878DA"/>
    <w:rsid w:val="00C8795E"/>
    <w:rsid w:val="00C879E1"/>
    <w:rsid w:val="00C879F8"/>
    <w:rsid w:val="00C879F9"/>
    <w:rsid w:val="00C87A6A"/>
    <w:rsid w:val="00C87ABE"/>
    <w:rsid w:val="00C87AD1"/>
    <w:rsid w:val="00C87CF6"/>
    <w:rsid w:val="00C87D11"/>
    <w:rsid w:val="00C87D86"/>
    <w:rsid w:val="00C87E18"/>
    <w:rsid w:val="00C87E22"/>
    <w:rsid w:val="00C87E23"/>
    <w:rsid w:val="00C87E2D"/>
    <w:rsid w:val="00C87F68"/>
    <w:rsid w:val="00C87FC6"/>
    <w:rsid w:val="00C90026"/>
    <w:rsid w:val="00C9003C"/>
    <w:rsid w:val="00C9007F"/>
    <w:rsid w:val="00C9009E"/>
    <w:rsid w:val="00C900B7"/>
    <w:rsid w:val="00C90149"/>
    <w:rsid w:val="00C904A8"/>
    <w:rsid w:val="00C905E6"/>
    <w:rsid w:val="00C905F0"/>
    <w:rsid w:val="00C90609"/>
    <w:rsid w:val="00C90637"/>
    <w:rsid w:val="00C90685"/>
    <w:rsid w:val="00C90812"/>
    <w:rsid w:val="00C90849"/>
    <w:rsid w:val="00C90C40"/>
    <w:rsid w:val="00C90DEB"/>
    <w:rsid w:val="00C90ED3"/>
    <w:rsid w:val="00C90EEA"/>
    <w:rsid w:val="00C90EF7"/>
    <w:rsid w:val="00C90F18"/>
    <w:rsid w:val="00C90F46"/>
    <w:rsid w:val="00C90F64"/>
    <w:rsid w:val="00C90F8A"/>
    <w:rsid w:val="00C910BC"/>
    <w:rsid w:val="00C9115F"/>
    <w:rsid w:val="00C91194"/>
    <w:rsid w:val="00C911A3"/>
    <w:rsid w:val="00C91266"/>
    <w:rsid w:val="00C912FE"/>
    <w:rsid w:val="00C91346"/>
    <w:rsid w:val="00C913EB"/>
    <w:rsid w:val="00C9143A"/>
    <w:rsid w:val="00C914E5"/>
    <w:rsid w:val="00C915A8"/>
    <w:rsid w:val="00C917A1"/>
    <w:rsid w:val="00C917EB"/>
    <w:rsid w:val="00C917F3"/>
    <w:rsid w:val="00C918B4"/>
    <w:rsid w:val="00C91927"/>
    <w:rsid w:val="00C91990"/>
    <w:rsid w:val="00C91A2E"/>
    <w:rsid w:val="00C91AF5"/>
    <w:rsid w:val="00C91C12"/>
    <w:rsid w:val="00C91D4A"/>
    <w:rsid w:val="00C91E44"/>
    <w:rsid w:val="00C91F30"/>
    <w:rsid w:val="00C91FBC"/>
    <w:rsid w:val="00C9204B"/>
    <w:rsid w:val="00C920C8"/>
    <w:rsid w:val="00C9213B"/>
    <w:rsid w:val="00C92156"/>
    <w:rsid w:val="00C92209"/>
    <w:rsid w:val="00C9220A"/>
    <w:rsid w:val="00C923C8"/>
    <w:rsid w:val="00C9241F"/>
    <w:rsid w:val="00C924BC"/>
    <w:rsid w:val="00C924C2"/>
    <w:rsid w:val="00C924F7"/>
    <w:rsid w:val="00C9254F"/>
    <w:rsid w:val="00C92550"/>
    <w:rsid w:val="00C925EC"/>
    <w:rsid w:val="00C925F4"/>
    <w:rsid w:val="00C926C5"/>
    <w:rsid w:val="00C92776"/>
    <w:rsid w:val="00C927DC"/>
    <w:rsid w:val="00C9297B"/>
    <w:rsid w:val="00C92A78"/>
    <w:rsid w:val="00C92B15"/>
    <w:rsid w:val="00C92B60"/>
    <w:rsid w:val="00C92C2D"/>
    <w:rsid w:val="00C92C73"/>
    <w:rsid w:val="00C92C97"/>
    <w:rsid w:val="00C92CD7"/>
    <w:rsid w:val="00C92DBD"/>
    <w:rsid w:val="00C92F6E"/>
    <w:rsid w:val="00C92FEA"/>
    <w:rsid w:val="00C930CF"/>
    <w:rsid w:val="00C93127"/>
    <w:rsid w:val="00C932C6"/>
    <w:rsid w:val="00C9336D"/>
    <w:rsid w:val="00C9341A"/>
    <w:rsid w:val="00C9344D"/>
    <w:rsid w:val="00C934AD"/>
    <w:rsid w:val="00C934F7"/>
    <w:rsid w:val="00C93596"/>
    <w:rsid w:val="00C9359D"/>
    <w:rsid w:val="00C9361E"/>
    <w:rsid w:val="00C9366A"/>
    <w:rsid w:val="00C936BE"/>
    <w:rsid w:val="00C936DB"/>
    <w:rsid w:val="00C93764"/>
    <w:rsid w:val="00C9378A"/>
    <w:rsid w:val="00C9379D"/>
    <w:rsid w:val="00C9382E"/>
    <w:rsid w:val="00C9391C"/>
    <w:rsid w:val="00C93A2D"/>
    <w:rsid w:val="00C93A48"/>
    <w:rsid w:val="00C93A5A"/>
    <w:rsid w:val="00C93A93"/>
    <w:rsid w:val="00C93ABE"/>
    <w:rsid w:val="00C93BF0"/>
    <w:rsid w:val="00C93C10"/>
    <w:rsid w:val="00C93D1E"/>
    <w:rsid w:val="00C93D26"/>
    <w:rsid w:val="00C93D4F"/>
    <w:rsid w:val="00C93D8C"/>
    <w:rsid w:val="00C93DA3"/>
    <w:rsid w:val="00C93E18"/>
    <w:rsid w:val="00C93E6A"/>
    <w:rsid w:val="00C93EBE"/>
    <w:rsid w:val="00C94200"/>
    <w:rsid w:val="00C9429B"/>
    <w:rsid w:val="00C942C8"/>
    <w:rsid w:val="00C94342"/>
    <w:rsid w:val="00C943A7"/>
    <w:rsid w:val="00C9445E"/>
    <w:rsid w:val="00C944F2"/>
    <w:rsid w:val="00C94583"/>
    <w:rsid w:val="00C9461B"/>
    <w:rsid w:val="00C9465D"/>
    <w:rsid w:val="00C94808"/>
    <w:rsid w:val="00C9486F"/>
    <w:rsid w:val="00C94944"/>
    <w:rsid w:val="00C949D3"/>
    <w:rsid w:val="00C94AC9"/>
    <w:rsid w:val="00C94AE2"/>
    <w:rsid w:val="00C94B88"/>
    <w:rsid w:val="00C94D6A"/>
    <w:rsid w:val="00C94DCC"/>
    <w:rsid w:val="00C94EA7"/>
    <w:rsid w:val="00C94EFB"/>
    <w:rsid w:val="00C94F56"/>
    <w:rsid w:val="00C94FA6"/>
    <w:rsid w:val="00C95155"/>
    <w:rsid w:val="00C951DE"/>
    <w:rsid w:val="00C952C5"/>
    <w:rsid w:val="00C95313"/>
    <w:rsid w:val="00C9541A"/>
    <w:rsid w:val="00C9563C"/>
    <w:rsid w:val="00C95791"/>
    <w:rsid w:val="00C95804"/>
    <w:rsid w:val="00C95895"/>
    <w:rsid w:val="00C9592F"/>
    <w:rsid w:val="00C959F1"/>
    <w:rsid w:val="00C95AB8"/>
    <w:rsid w:val="00C95AC5"/>
    <w:rsid w:val="00C95AD9"/>
    <w:rsid w:val="00C95B2C"/>
    <w:rsid w:val="00C95C6B"/>
    <w:rsid w:val="00C95D42"/>
    <w:rsid w:val="00C95D8A"/>
    <w:rsid w:val="00C95DE0"/>
    <w:rsid w:val="00C95F65"/>
    <w:rsid w:val="00C9607B"/>
    <w:rsid w:val="00C96099"/>
    <w:rsid w:val="00C96188"/>
    <w:rsid w:val="00C961F8"/>
    <w:rsid w:val="00C96222"/>
    <w:rsid w:val="00C962F9"/>
    <w:rsid w:val="00C96393"/>
    <w:rsid w:val="00C96429"/>
    <w:rsid w:val="00C96545"/>
    <w:rsid w:val="00C96589"/>
    <w:rsid w:val="00C965AF"/>
    <w:rsid w:val="00C967A2"/>
    <w:rsid w:val="00C967CB"/>
    <w:rsid w:val="00C96824"/>
    <w:rsid w:val="00C9689C"/>
    <w:rsid w:val="00C96988"/>
    <w:rsid w:val="00C96ABB"/>
    <w:rsid w:val="00C96C3E"/>
    <w:rsid w:val="00C96CB4"/>
    <w:rsid w:val="00C96CD9"/>
    <w:rsid w:val="00C96CF7"/>
    <w:rsid w:val="00C96D2C"/>
    <w:rsid w:val="00C96D3F"/>
    <w:rsid w:val="00C96D89"/>
    <w:rsid w:val="00C96DE8"/>
    <w:rsid w:val="00C96DF4"/>
    <w:rsid w:val="00C96F8E"/>
    <w:rsid w:val="00C9717D"/>
    <w:rsid w:val="00C97221"/>
    <w:rsid w:val="00C972F8"/>
    <w:rsid w:val="00C97363"/>
    <w:rsid w:val="00C97367"/>
    <w:rsid w:val="00C97377"/>
    <w:rsid w:val="00C973CE"/>
    <w:rsid w:val="00C97478"/>
    <w:rsid w:val="00C976CC"/>
    <w:rsid w:val="00C977B9"/>
    <w:rsid w:val="00C977DE"/>
    <w:rsid w:val="00C97829"/>
    <w:rsid w:val="00C9791D"/>
    <w:rsid w:val="00C9795C"/>
    <w:rsid w:val="00C97978"/>
    <w:rsid w:val="00C97C1D"/>
    <w:rsid w:val="00C97C62"/>
    <w:rsid w:val="00C97C64"/>
    <w:rsid w:val="00C97CCA"/>
    <w:rsid w:val="00C97DA3"/>
    <w:rsid w:val="00C97E2F"/>
    <w:rsid w:val="00C97EA5"/>
    <w:rsid w:val="00C97EE3"/>
    <w:rsid w:val="00C97F79"/>
    <w:rsid w:val="00C9CAE6"/>
    <w:rsid w:val="00C9EFE6"/>
    <w:rsid w:val="00CA0020"/>
    <w:rsid w:val="00CA01D7"/>
    <w:rsid w:val="00CA0361"/>
    <w:rsid w:val="00CA0369"/>
    <w:rsid w:val="00CA0397"/>
    <w:rsid w:val="00CA03B5"/>
    <w:rsid w:val="00CA04A8"/>
    <w:rsid w:val="00CA0513"/>
    <w:rsid w:val="00CA053B"/>
    <w:rsid w:val="00CA05E7"/>
    <w:rsid w:val="00CA061B"/>
    <w:rsid w:val="00CA06C1"/>
    <w:rsid w:val="00CA07E4"/>
    <w:rsid w:val="00CA0844"/>
    <w:rsid w:val="00CA0847"/>
    <w:rsid w:val="00CA0C0D"/>
    <w:rsid w:val="00CA0D11"/>
    <w:rsid w:val="00CA0D21"/>
    <w:rsid w:val="00CA0DCF"/>
    <w:rsid w:val="00CA0E5E"/>
    <w:rsid w:val="00CA0F4F"/>
    <w:rsid w:val="00CA0F64"/>
    <w:rsid w:val="00CA1084"/>
    <w:rsid w:val="00CA10A0"/>
    <w:rsid w:val="00CA1143"/>
    <w:rsid w:val="00CA1157"/>
    <w:rsid w:val="00CA1162"/>
    <w:rsid w:val="00CA1174"/>
    <w:rsid w:val="00CA12DA"/>
    <w:rsid w:val="00CA146A"/>
    <w:rsid w:val="00CA15DE"/>
    <w:rsid w:val="00CA1728"/>
    <w:rsid w:val="00CA1773"/>
    <w:rsid w:val="00CA1815"/>
    <w:rsid w:val="00CA189A"/>
    <w:rsid w:val="00CA190D"/>
    <w:rsid w:val="00CA19A4"/>
    <w:rsid w:val="00CA1B01"/>
    <w:rsid w:val="00CA1D27"/>
    <w:rsid w:val="00CA1E14"/>
    <w:rsid w:val="00CA1EA0"/>
    <w:rsid w:val="00CA1EAD"/>
    <w:rsid w:val="00CA1ED6"/>
    <w:rsid w:val="00CA1EE6"/>
    <w:rsid w:val="00CA1F33"/>
    <w:rsid w:val="00CA1F3B"/>
    <w:rsid w:val="00CA2201"/>
    <w:rsid w:val="00CA225C"/>
    <w:rsid w:val="00CA226D"/>
    <w:rsid w:val="00CA2299"/>
    <w:rsid w:val="00CA22E1"/>
    <w:rsid w:val="00CA236F"/>
    <w:rsid w:val="00CA23DB"/>
    <w:rsid w:val="00CA23DF"/>
    <w:rsid w:val="00CA24D6"/>
    <w:rsid w:val="00CA2544"/>
    <w:rsid w:val="00CA25EB"/>
    <w:rsid w:val="00CA26D9"/>
    <w:rsid w:val="00CA2729"/>
    <w:rsid w:val="00CA2772"/>
    <w:rsid w:val="00CA28E4"/>
    <w:rsid w:val="00CA2A66"/>
    <w:rsid w:val="00CA2A82"/>
    <w:rsid w:val="00CA2ABF"/>
    <w:rsid w:val="00CA2B4F"/>
    <w:rsid w:val="00CA2DD0"/>
    <w:rsid w:val="00CA2DDD"/>
    <w:rsid w:val="00CA2E07"/>
    <w:rsid w:val="00CA2E1B"/>
    <w:rsid w:val="00CA2E3E"/>
    <w:rsid w:val="00CA2E4E"/>
    <w:rsid w:val="00CA2E98"/>
    <w:rsid w:val="00CA2F83"/>
    <w:rsid w:val="00CA2F8C"/>
    <w:rsid w:val="00CA2FF1"/>
    <w:rsid w:val="00CA3152"/>
    <w:rsid w:val="00CA3257"/>
    <w:rsid w:val="00CA32AA"/>
    <w:rsid w:val="00CA32E0"/>
    <w:rsid w:val="00CA3329"/>
    <w:rsid w:val="00CA345F"/>
    <w:rsid w:val="00CA34C0"/>
    <w:rsid w:val="00CA3503"/>
    <w:rsid w:val="00CA351B"/>
    <w:rsid w:val="00CA3570"/>
    <w:rsid w:val="00CA35C1"/>
    <w:rsid w:val="00CA3697"/>
    <w:rsid w:val="00CA36D3"/>
    <w:rsid w:val="00CA370E"/>
    <w:rsid w:val="00CA3834"/>
    <w:rsid w:val="00CA38AA"/>
    <w:rsid w:val="00CA38E7"/>
    <w:rsid w:val="00CA39A2"/>
    <w:rsid w:val="00CA3AA4"/>
    <w:rsid w:val="00CA3ACB"/>
    <w:rsid w:val="00CA3AFD"/>
    <w:rsid w:val="00CA3BA6"/>
    <w:rsid w:val="00CA3BBC"/>
    <w:rsid w:val="00CA3CE5"/>
    <w:rsid w:val="00CA3D10"/>
    <w:rsid w:val="00CA3D6B"/>
    <w:rsid w:val="00CA3D8C"/>
    <w:rsid w:val="00CA3E6E"/>
    <w:rsid w:val="00CA3EF6"/>
    <w:rsid w:val="00CA3F16"/>
    <w:rsid w:val="00CA3F84"/>
    <w:rsid w:val="00CA3FC6"/>
    <w:rsid w:val="00CA3FF9"/>
    <w:rsid w:val="00CA4101"/>
    <w:rsid w:val="00CA41CC"/>
    <w:rsid w:val="00CA43B0"/>
    <w:rsid w:val="00CA443D"/>
    <w:rsid w:val="00CA4463"/>
    <w:rsid w:val="00CA448A"/>
    <w:rsid w:val="00CA4490"/>
    <w:rsid w:val="00CA4496"/>
    <w:rsid w:val="00CA44B7"/>
    <w:rsid w:val="00CA45F0"/>
    <w:rsid w:val="00CA4651"/>
    <w:rsid w:val="00CA465E"/>
    <w:rsid w:val="00CA48BE"/>
    <w:rsid w:val="00CA4937"/>
    <w:rsid w:val="00CA49A2"/>
    <w:rsid w:val="00CA4A2E"/>
    <w:rsid w:val="00CA4A2F"/>
    <w:rsid w:val="00CA4A3C"/>
    <w:rsid w:val="00CA4BA5"/>
    <w:rsid w:val="00CA4BBA"/>
    <w:rsid w:val="00CA4BCE"/>
    <w:rsid w:val="00CA4E98"/>
    <w:rsid w:val="00CA4FEF"/>
    <w:rsid w:val="00CA503F"/>
    <w:rsid w:val="00CA50B3"/>
    <w:rsid w:val="00CA511D"/>
    <w:rsid w:val="00CA5159"/>
    <w:rsid w:val="00CA5168"/>
    <w:rsid w:val="00CA5187"/>
    <w:rsid w:val="00CA5197"/>
    <w:rsid w:val="00CA51E9"/>
    <w:rsid w:val="00CA52F6"/>
    <w:rsid w:val="00CA5351"/>
    <w:rsid w:val="00CA553B"/>
    <w:rsid w:val="00CA5605"/>
    <w:rsid w:val="00CA564A"/>
    <w:rsid w:val="00CA5861"/>
    <w:rsid w:val="00CA5886"/>
    <w:rsid w:val="00CA58B8"/>
    <w:rsid w:val="00CA58E0"/>
    <w:rsid w:val="00CA58E6"/>
    <w:rsid w:val="00CA59A2"/>
    <w:rsid w:val="00CA5B32"/>
    <w:rsid w:val="00CA5B57"/>
    <w:rsid w:val="00CA5B86"/>
    <w:rsid w:val="00CA5B87"/>
    <w:rsid w:val="00CA5CA9"/>
    <w:rsid w:val="00CA5DC8"/>
    <w:rsid w:val="00CA5E58"/>
    <w:rsid w:val="00CA5ECE"/>
    <w:rsid w:val="00CA5EE9"/>
    <w:rsid w:val="00CA5F26"/>
    <w:rsid w:val="00CA6017"/>
    <w:rsid w:val="00CA6073"/>
    <w:rsid w:val="00CA61B9"/>
    <w:rsid w:val="00CA6238"/>
    <w:rsid w:val="00CA62A6"/>
    <w:rsid w:val="00CA62E6"/>
    <w:rsid w:val="00CA6330"/>
    <w:rsid w:val="00CA6634"/>
    <w:rsid w:val="00CA66CC"/>
    <w:rsid w:val="00CA6709"/>
    <w:rsid w:val="00CA6739"/>
    <w:rsid w:val="00CA6812"/>
    <w:rsid w:val="00CA68CF"/>
    <w:rsid w:val="00CA691A"/>
    <w:rsid w:val="00CA6988"/>
    <w:rsid w:val="00CA6A2D"/>
    <w:rsid w:val="00CA6A59"/>
    <w:rsid w:val="00CA6C62"/>
    <w:rsid w:val="00CA6CAA"/>
    <w:rsid w:val="00CA6CAC"/>
    <w:rsid w:val="00CA6CD7"/>
    <w:rsid w:val="00CA6CDC"/>
    <w:rsid w:val="00CA6D98"/>
    <w:rsid w:val="00CA6DBC"/>
    <w:rsid w:val="00CA6DD9"/>
    <w:rsid w:val="00CA6EA5"/>
    <w:rsid w:val="00CA6EEF"/>
    <w:rsid w:val="00CA6F81"/>
    <w:rsid w:val="00CA6FB8"/>
    <w:rsid w:val="00CA6FEA"/>
    <w:rsid w:val="00CA7015"/>
    <w:rsid w:val="00CA7059"/>
    <w:rsid w:val="00CA70A3"/>
    <w:rsid w:val="00CA70CD"/>
    <w:rsid w:val="00CA70DA"/>
    <w:rsid w:val="00CA7159"/>
    <w:rsid w:val="00CA7261"/>
    <w:rsid w:val="00CA727F"/>
    <w:rsid w:val="00CA7325"/>
    <w:rsid w:val="00CA740F"/>
    <w:rsid w:val="00CA7548"/>
    <w:rsid w:val="00CA754B"/>
    <w:rsid w:val="00CA75BC"/>
    <w:rsid w:val="00CA75C6"/>
    <w:rsid w:val="00CA75DC"/>
    <w:rsid w:val="00CA762C"/>
    <w:rsid w:val="00CA77D0"/>
    <w:rsid w:val="00CA7864"/>
    <w:rsid w:val="00CA7994"/>
    <w:rsid w:val="00CA79CE"/>
    <w:rsid w:val="00CA79F8"/>
    <w:rsid w:val="00CA7A35"/>
    <w:rsid w:val="00CA7B51"/>
    <w:rsid w:val="00CA7B7F"/>
    <w:rsid w:val="00CA7B93"/>
    <w:rsid w:val="00CA7C26"/>
    <w:rsid w:val="00CA7CB5"/>
    <w:rsid w:val="00CA7D21"/>
    <w:rsid w:val="00CA7D29"/>
    <w:rsid w:val="00CA7D3F"/>
    <w:rsid w:val="00CA7DA0"/>
    <w:rsid w:val="00CA7DBA"/>
    <w:rsid w:val="00CA7E5E"/>
    <w:rsid w:val="00CA7EF2"/>
    <w:rsid w:val="00CA7F39"/>
    <w:rsid w:val="00CB0000"/>
    <w:rsid w:val="00CB001C"/>
    <w:rsid w:val="00CB00BC"/>
    <w:rsid w:val="00CB0151"/>
    <w:rsid w:val="00CB021F"/>
    <w:rsid w:val="00CB039A"/>
    <w:rsid w:val="00CB03AB"/>
    <w:rsid w:val="00CB03D8"/>
    <w:rsid w:val="00CB0464"/>
    <w:rsid w:val="00CB050D"/>
    <w:rsid w:val="00CB0585"/>
    <w:rsid w:val="00CB0676"/>
    <w:rsid w:val="00CB0693"/>
    <w:rsid w:val="00CB075D"/>
    <w:rsid w:val="00CB079A"/>
    <w:rsid w:val="00CB07B9"/>
    <w:rsid w:val="00CB0844"/>
    <w:rsid w:val="00CB08F3"/>
    <w:rsid w:val="00CB0912"/>
    <w:rsid w:val="00CB0965"/>
    <w:rsid w:val="00CB0BAC"/>
    <w:rsid w:val="00CB0C12"/>
    <w:rsid w:val="00CB0CCB"/>
    <w:rsid w:val="00CB0DA2"/>
    <w:rsid w:val="00CB0DD9"/>
    <w:rsid w:val="00CB0E06"/>
    <w:rsid w:val="00CB0E62"/>
    <w:rsid w:val="00CB0EB5"/>
    <w:rsid w:val="00CB0EFD"/>
    <w:rsid w:val="00CB0F33"/>
    <w:rsid w:val="00CB0FF8"/>
    <w:rsid w:val="00CB1012"/>
    <w:rsid w:val="00CB12DF"/>
    <w:rsid w:val="00CB13FA"/>
    <w:rsid w:val="00CB1452"/>
    <w:rsid w:val="00CB14A2"/>
    <w:rsid w:val="00CB14B4"/>
    <w:rsid w:val="00CB16D7"/>
    <w:rsid w:val="00CB1706"/>
    <w:rsid w:val="00CB1708"/>
    <w:rsid w:val="00CB17D7"/>
    <w:rsid w:val="00CB181B"/>
    <w:rsid w:val="00CB1851"/>
    <w:rsid w:val="00CB1880"/>
    <w:rsid w:val="00CB1895"/>
    <w:rsid w:val="00CB18D1"/>
    <w:rsid w:val="00CB18D5"/>
    <w:rsid w:val="00CB1982"/>
    <w:rsid w:val="00CB19B3"/>
    <w:rsid w:val="00CB19DB"/>
    <w:rsid w:val="00CB19ED"/>
    <w:rsid w:val="00CB1B91"/>
    <w:rsid w:val="00CB1BA5"/>
    <w:rsid w:val="00CB1C67"/>
    <w:rsid w:val="00CB1CC7"/>
    <w:rsid w:val="00CB1D8D"/>
    <w:rsid w:val="00CB1DC7"/>
    <w:rsid w:val="00CB1EE1"/>
    <w:rsid w:val="00CB21B5"/>
    <w:rsid w:val="00CB21C3"/>
    <w:rsid w:val="00CB21C8"/>
    <w:rsid w:val="00CB21F3"/>
    <w:rsid w:val="00CB226F"/>
    <w:rsid w:val="00CB2314"/>
    <w:rsid w:val="00CB24CE"/>
    <w:rsid w:val="00CB24DE"/>
    <w:rsid w:val="00CB25AD"/>
    <w:rsid w:val="00CB2607"/>
    <w:rsid w:val="00CB2627"/>
    <w:rsid w:val="00CB2762"/>
    <w:rsid w:val="00CB2835"/>
    <w:rsid w:val="00CB2973"/>
    <w:rsid w:val="00CB298A"/>
    <w:rsid w:val="00CB2A35"/>
    <w:rsid w:val="00CB2B37"/>
    <w:rsid w:val="00CB2B3A"/>
    <w:rsid w:val="00CB2B40"/>
    <w:rsid w:val="00CB2BDC"/>
    <w:rsid w:val="00CB2C2B"/>
    <w:rsid w:val="00CB2D71"/>
    <w:rsid w:val="00CB2DD0"/>
    <w:rsid w:val="00CB2E3E"/>
    <w:rsid w:val="00CB2E6A"/>
    <w:rsid w:val="00CB2EC0"/>
    <w:rsid w:val="00CB2EDB"/>
    <w:rsid w:val="00CB2F15"/>
    <w:rsid w:val="00CB3059"/>
    <w:rsid w:val="00CB307C"/>
    <w:rsid w:val="00CB3147"/>
    <w:rsid w:val="00CB3177"/>
    <w:rsid w:val="00CB326A"/>
    <w:rsid w:val="00CB3350"/>
    <w:rsid w:val="00CB3484"/>
    <w:rsid w:val="00CB3508"/>
    <w:rsid w:val="00CB35DA"/>
    <w:rsid w:val="00CB361A"/>
    <w:rsid w:val="00CB361B"/>
    <w:rsid w:val="00CB3654"/>
    <w:rsid w:val="00CB36AB"/>
    <w:rsid w:val="00CB36ED"/>
    <w:rsid w:val="00CB37C2"/>
    <w:rsid w:val="00CB37FC"/>
    <w:rsid w:val="00CB384A"/>
    <w:rsid w:val="00CB3860"/>
    <w:rsid w:val="00CB3908"/>
    <w:rsid w:val="00CB3918"/>
    <w:rsid w:val="00CB398E"/>
    <w:rsid w:val="00CB3C98"/>
    <w:rsid w:val="00CB3C9B"/>
    <w:rsid w:val="00CB3D54"/>
    <w:rsid w:val="00CB3DC0"/>
    <w:rsid w:val="00CB3FF9"/>
    <w:rsid w:val="00CB4089"/>
    <w:rsid w:val="00CB4132"/>
    <w:rsid w:val="00CB418C"/>
    <w:rsid w:val="00CB418F"/>
    <w:rsid w:val="00CB4233"/>
    <w:rsid w:val="00CB4264"/>
    <w:rsid w:val="00CB4278"/>
    <w:rsid w:val="00CB42FA"/>
    <w:rsid w:val="00CB44B3"/>
    <w:rsid w:val="00CB45C0"/>
    <w:rsid w:val="00CB467A"/>
    <w:rsid w:val="00CB4689"/>
    <w:rsid w:val="00CB46C1"/>
    <w:rsid w:val="00CB4799"/>
    <w:rsid w:val="00CB48DF"/>
    <w:rsid w:val="00CB491F"/>
    <w:rsid w:val="00CB49BA"/>
    <w:rsid w:val="00CB4A5E"/>
    <w:rsid w:val="00CB4B0D"/>
    <w:rsid w:val="00CB4B47"/>
    <w:rsid w:val="00CB4B91"/>
    <w:rsid w:val="00CB4B9A"/>
    <w:rsid w:val="00CB4C22"/>
    <w:rsid w:val="00CB4C2B"/>
    <w:rsid w:val="00CB4CFD"/>
    <w:rsid w:val="00CB4D3B"/>
    <w:rsid w:val="00CB4F76"/>
    <w:rsid w:val="00CB512E"/>
    <w:rsid w:val="00CB518E"/>
    <w:rsid w:val="00CB518F"/>
    <w:rsid w:val="00CB51A2"/>
    <w:rsid w:val="00CB51FD"/>
    <w:rsid w:val="00CB5203"/>
    <w:rsid w:val="00CB537C"/>
    <w:rsid w:val="00CB53C3"/>
    <w:rsid w:val="00CB53DE"/>
    <w:rsid w:val="00CB5464"/>
    <w:rsid w:val="00CB54B3"/>
    <w:rsid w:val="00CB54F7"/>
    <w:rsid w:val="00CB5545"/>
    <w:rsid w:val="00CB5655"/>
    <w:rsid w:val="00CB56A0"/>
    <w:rsid w:val="00CB56EB"/>
    <w:rsid w:val="00CB5733"/>
    <w:rsid w:val="00CB5899"/>
    <w:rsid w:val="00CB591C"/>
    <w:rsid w:val="00CB5928"/>
    <w:rsid w:val="00CB5938"/>
    <w:rsid w:val="00CB599B"/>
    <w:rsid w:val="00CB59B5"/>
    <w:rsid w:val="00CB59DB"/>
    <w:rsid w:val="00CB5A47"/>
    <w:rsid w:val="00CB5BA4"/>
    <w:rsid w:val="00CB5C3C"/>
    <w:rsid w:val="00CB5D81"/>
    <w:rsid w:val="00CB5DCC"/>
    <w:rsid w:val="00CB5E1C"/>
    <w:rsid w:val="00CB5EBB"/>
    <w:rsid w:val="00CB5F3B"/>
    <w:rsid w:val="00CB5F6B"/>
    <w:rsid w:val="00CB5F70"/>
    <w:rsid w:val="00CB5F78"/>
    <w:rsid w:val="00CB5FC2"/>
    <w:rsid w:val="00CB5FF2"/>
    <w:rsid w:val="00CB6120"/>
    <w:rsid w:val="00CB6175"/>
    <w:rsid w:val="00CB61BD"/>
    <w:rsid w:val="00CB62B2"/>
    <w:rsid w:val="00CB6316"/>
    <w:rsid w:val="00CB6462"/>
    <w:rsid w:val="00CB6556"/>
    <w:rsid w:val="00CB67BA"/>
    <w:rsid w:val="00CB6824"/>
    <w:rsid w:val="00CB686D"/>
    <w:rsid w:val="00CB686E"/>
    <w:rsid w:val="00CB6895"/>
    <w:rsid w:val="00CB68EF"/>
    <w:rsid w:val="00CB6941"/>
    <w:rsid w:val="00CB6983"/>
    <w:rsid w:val="00CB69C3"/>
    <w:rsid w:val="00CB6AC0"/>
    <w:rsid w:val="00CB6BD8"/>
    <w:rsid w:val="00CB6C38"/>
    <w:rsid w:val="00CB6C56"/>
    <w:rsid w:val="00CB6C6B"/>
    <w:rsid w:val="00CB6E7A"/>
    <w:rsid w:val="00CB6E94"/>
    <w:rsid w:val="00CB6EA5"/>
    <w:rsid w:val="00CB6FDE"/>
    <w:rsid w:val="00CB7075"/>
    <w:rsid w:val="00CB7085"/>
    <w:rsid w:val="00CB70BF"/>
    <w:rsid w:val="00CB70C7"/>
    <w:rsid w:val="00CB718B"/>
    <w:rsid w:val="00CB7357"/>
    <w:rsid w:val="00CB7384"/>
    <w:rsid w:val="00CB7416"/>
    <w:rsid w:val="00CB7486"/>
    <w:rsid w:val="00CB75E3"/>
    <w:rsid w:val="00CB7643"/>
    <w:rsid w:val="00CB7674"/>
    <w:rsid w:val="00CB77B7"/>
    <w:rsid w:val="00CB7859"/>
    <w:rsid w:val="00CB7879"/>
    <w:rsid w:val="00CB7A23"/>
    <w:rsid w:val="00CB7ACB"/>
    <w:rsid w:val="00CB7AF4"/>
    <w:rsid w:val="00CB7B3B"/>
    <w:rsid w:val="00CB7B55"/>
    <w:rsid w:val="00CB7B62"/>
    <w:rsid w:val="00CB7BA9"/>
    <w:rsid w:val="00CB7BAC"/>
    <w:rsid w:val="00CB7D20"/>
    <w:rsid w:val="00CB7D48"/>
    <w:rsid w:val="00CB7D57"/>
    <w:rsid w:val="00CB7E52"/>
    <w:rsid w:val="00CB7F35"/>
    <w:rsid w:val="00CC008B"/>
    <w:rsid w:val="00CC01C7"/>
    <w:rsid w:val="00CC0208"/>
    <w:rsid w:val="00CC0245"/>
    <w:rsid w:val="00CC030C"/>
    <w:rsid w:val="00CC0346"/>
    <w:rsid w:val="00CC04D7"/>
    <w:rsid w:val="00CC04DD"/>
    <w:rsid w:val="00CC068F"/>
    <w:rsid w:val="00CC06CD"/>
    <w:rsid w:val="00CC078C"/>
    <w:rsid w:val="00CC08C9"/>
    <w:rsid w:val="00CC0AD5"/>
    <w:rsid w:val="00CC0B40"/>
    <w:rsid w:val="00CC0CC4"/>
    <w:rsid w:val="00CC0E2F"/>
    <w:rsid w:val="00CC0F9A"/>
    <w:rsid w:val="00CC1086"/>
    <w:rsid w:val="00CC1120"/>
    <w:rsid w:val="00CC11C2"/>
    <w:rsid w:val="00CC1204"/>
    <w:rsid w:val="00CC1244"/>
    <w:rsid w:val="00CC1273"/>
    <w:rsid w:val="00CC128C"/>
    <w:rsid w:val="00CC12A0"/>
    <w:rsid w:val="00CC12FA"/>
    <w:rsid w:val="00CC132D"/>
    <w:rsid w:val="00CC1441"/>
    <w:rsid w:val="00CC15F2"/>
    <w:rsid w:val="00CC1618"/>
    <w:rsid w:val="00CC161B"/>
    <w:rsid w:val="00CC1687"/>
    <w:rsid w:val="00CC169B"/>
    <w:rsid w:val="00CC16D4"/>
    <w:rsid w:val="00CC16E2"/>
    <w:rsid w:val="00CC173B"/>
    <w:rsid w:val="00CC17B0"/>
    <w:rsid w:val="00CC1810"/>
    <w:rsid w:val="00CC1823"/>
    <w:rsid w:val="00CC1897"/>
    <w:rsid w:val="00CC1914"/>
    <w:rsid w:val="00CC1923"/>
    <w:rsid w:val="00CC1948"/>
    <w:rsid w:val="00CC197C"/>
    <w:rsid w:val="00CC19B7"/>
    <w:rsid w:val="00CC1A2B"/>
    <w:rsid w:val="00CC1A35"/>
    <w:rsid w:val="00CC1AAD"/>
    <w:rsid w:val="00CC1ABF"/>
    <w:rsid w:val="00CC1B1E"/>
    <w:rsid w:val="00CC1B25"/>
    <w:rsid w:val="00CC1BCA"/>
    <w:rsid w:val="00CC1DD5"/>
    <w:rsid w:val="00CC1E21"/>
    <w:rsid w:val="00CC1EAA"/>
    <w:rsid w:val="00CC1F43"/>
    <w:rsid w:val="00CC1FE0"/>
    <w:rsid w:val="00CC2053"/>
    <w:rsid w:val="00CC216D"/>
    <w:rsid w:val="00CC217B"/>
    <w:rsid w:val="00CC218D"/>
    <w:rsid w:val="00CC2195"/>
    <w:rsid w:val="00CC219B"/>
    <w:rsid w:val="00CC21A4"/>
    <w:rsid w:val="00CC21CB"/>
    <w:rsid w:val="00CC2392"/>
    <w:rsid w:val="00CC23B9"/>
    <w:rsid w:val="00CC23C5"/>
    <w:rsid w:val="00CC241A"/>
    <w:rsid w:val="00CC2438"/>
    <w:rsid w:val="00CC24B5"/>
    <w:rsid w:val="00CC260D"/>
    <w:rsid w:val="00CC2626"/>
    <w:rsid w:val="00CC281B"/>
    <w:rsid w:val="00CC28F0"/>
    <w:rsid w:val="00CC2977"/>
    <w:rsid w:val="00CC2A66"/>
    <w:rsid w:val="00CC2A7B"/>
    <w:rsid w:val="00CC2ACB"/>
    <w:rsid w:val="00CC2AD3"/>
    <w:rsid w:val="00CC2AE2"/>
    <w:rsid w:val="00CC2B1F"/>
    <w:rsid w:val="00CC2B3A"/>
    <w:rsid w:val="00CC2C78"/>
    <w:rsid w:val="00CC2CB8"/>
    <w:rsid w:val="00CC2D26"/>
    <w:rsid w:val="00CC2E07"/>
    <w:rsid w:val="00CC2E0E"/>
    <w:rsid w:val="00CC2F3E"/>
    <w:rsid w:val="00CC2FD8"/>
    <w:rsid w:val="00CC3041"/>
    <w:rsid w:val="00CC30B0"/>
    <w:rsid w:val="00CC30B6"/>
    <w:rsid w:val="00CC30E1"/>
    <w:rsid w:val="00CC3180"/>
    <w:rsid w:val="00CC32CE"/>
    <w:rsid w:val="00CC338E"/>
    <w:rsid w:val="00CC339C"/>
    <w:rsid w:val="00CC3410"/>
    <w:rsid w:val="00CC3421"/>
    <w:rsid w:val="00CC344A"/>
    <w:rsid w:val="00CC34BD"/>
    <w:rsid w:val="00CC34F2"/>
    <w:rsid w:val="00CC34FE"/>
    <w:rsid w:val="00CC3539"/>
    <w:rsid w:val="00CC35EC"/>
    <w:rsid w:val="00CC373D"/>
    <w:rsid w:val="00CC3757"/>
    <w:rsid w:val="00CC375D"/>
    <w:rsid w:val="00CC37F5"/>
    <w:rsid w:val="00CC3828"/>
    <w:rsid w:val="00CC3829"/>
    <w:rsid w:val="00CC3906"/>
    <w:rsid w:val="00CC3942"/>
    <w:rsid w:val="00CC39E9"/>
    <w:rsid w:val="00CC3C61"/>
    <w:rsid w:val="00CC3D21"/>
    <w:rsid w:val="00CC3D49"/>
    <w:rsid w:val="00CC3E17"/>
    <w:rsid w:val="00CC3E46"/>
    <w:rsid w:val="00CC3E49"/>
    <w:rsid w:val="00CC3E77"/>
    <w:rsid w:val="00CC3E82"/>
    <w:rsid w:val="00CC3F02"/>
    <w:rsid w:val="00CC3FE4"/>
    <w:rsid w:val="00CC4173"/>
    <w:rsid w:val="00CC45DA"/>
    <w:rsid w:val="00CC47E4"/>
    <w:rsid w:val="00CC4803"/>
    <w:rsid w:val="00CC4813"/>
    <w:rsid w:val="00CC4869"/>
    <w:rsid w:val="00CC49E1"/>
    <w:rsid w:val="00CC49F5"/>
    <w:rsid w:val="00CC4A02"/>
    <w:rsid w:val="00CC4AA6"/>
    <w:rsid w:val="00CC4AC6"/>
    <w:rsid w:val="00CC4AEE"/>
    <w:rsid w:val="00CC4C21"/>
    <w:rsid w:val="00CC4C42"/>
    <w:rsid w:val="00CC4C8D"/>
    <w:rsid w:val="00CC4CB4"/>
    <w:rsid w:val="00CC4CF1"/>
    <w:rsid w:val="00CC4E1A"/>
    <w:rsid w:val="00CC4E37"/>
    <w:rsid w:val="00CC4F2E"/>
    <w:rsid w:val="00CC4F94"/>
    <w:rsid w:val="00CC506A"/>
    <w:rsid w:val="00CC50CF"/>
    <w:rsid w:val="00CC50DF"/>
    <w:rsid w:val="00CC50FD"/>
    <w:rsid w:val="00CC50FF"/>
    <w:rsid w:val="00CC5179"/>
    <w:rsid w:val="00CC5198"/>
    <w:rsid w:val="00CC51AC"/>
    <w:rsid w:val="00CC533C"/>
    <w:rsid w:val="00CC5340"/>
    <w:rsid w:val="00CC535A"/>
    <w:rsid w:val="00CC53F7"/>
    <w:rsid w:val="00CC53F9"/>
    <w:rsid w:val="00CC5401"/>
    <w:rsid w:val="00CC5533"/>
    <w:rsid w:val="00CC559E"/>
    <w:rsid w:val="00CC55B5"/>
    <w:rsid w:val="00CC56E4"/>
    <w:rsid w:val="00CC5754"/>
    <w:rsid w:val="00CC5799"/>
    <w:rsid w:val="00CC58F2"/>
    <w:rsid w:val="00CC58FB"/>
    <w:rsid w:val="00CC5941"/>
    <w:rsid w:val="00CC5947"/>
    <w:rsid w:val="00CC59B6"/>
    <w:rsid w:val="00CC5A5E"/>
    <w:rsid w:val="00CC5A82"/>
    <w:rsid w:val="00CC5AD2"/>
    <w:rsid w:val="00CC5B5D"/>
    <w:rsid w:val="00CC5BBF"/>
    <w:rsid w:val="00CC5BC9"/>
    <w:rsid w:val="00CC5C2B"/>
    <w:rsid w:val="00CC5C40"/>
    <w:rsid w:val="00CC5D5D"/>
    <w:rsid w:val="00CC5E47"/>
    <w:rsid w:val="00CC5EDC"/>
    <w:rsid w:val="00CC5F36"/>
    <w:rsid w:val="00CC6034"/>
    <w:rsid w:val="00CC6058"/>
    <w:rsid w:val="00CC60B8"/>
    <w:rsid w:val="00CC6157"/>
    <w:rsid w:val="00CC61A5"/>
    <w:rsid w:val="00CC61E3"/>
    <w:rsid w:val="00CC621E"/>
    <w:rsid w:val="00CC6236"/>
    <w:rsid w:val="00CC62D3"/>
    <w:rsid w:val="00CC6367"/>
    <w:rsid w:val="00CC6397"/>
    <w:rsid w:val="00CC64F9"/>
    <w:rsid w:val="00CC6557"/>
    <w:rsid w:val="00CC669E"/>
    <w:rsid w:val="00CC6702"/>
    <w:rsid w:val="00CC6725"/>
    <w:rsid w:val="00CC686E"/>
    <w:rsid w:val="00CC6A29"/>
    <w:rsid w:val="00CC6A42"/>
    <w:rsid w:val="00CC6A4F"/>
    <w:rsid w:val="00CC6B07"/>
    <w:rsid w:val="00CC6B2C"/>
    <w:rsid w:val="00CC6BEF"/>
    <w:rsid w:val="00CC6CFC"/>
    <w:rsid w:val="00CC6DE5"/>
    <w:rsid w:val="00CC6F3B"/>
    <w:rsid w:val="00CC7067"/>
    <w:rsid w:val="00CC711E"/>
    <w:rsid w:val="00CC7152"/>
    <w:rsid w:val="00CC716A"/>
    <w:rsid w:val="00CC717B"/>
    <w:rsid w:val="00CC71A1"/>
    <w:rsid w:val="00CC72A3"/>
    <w:rsid w:val="00CC72D4"/>
    <w:rsid w:val="00CC7355"/>
    <w:rsid w:val="00CC7366"/>
    <w:rsid w:val="00CC7489"/>
    <w:rsid w:val="00CC74D6"/>
    <w:rsid w:val="00CC752B"/>
    <w:rsid w:val="00CC754F"/>
    <w:rsid w:val="00CC7579"/>
    <w:rsid w:val="00CC761E"/>
    <w:rsid w:val="00CC7649"/>
    <w:rsid w:val="00CC7675"/>
    <w:rsid w:val="00CC7801"/>
    <w:rsid w:val="00CC7817"/>
    <w:rsid w:val="00CC78E0"/>
    <w:rsid w:val="00CC7A62"/>
    <w:rsid w:val="00CC7A75"/>
    <w:rsid w:val="00CC7A9E"/>
    <w:rsid w:val="00CC7ADA"/>
    <w:rsid w:val="00CC7B1F"/>
    <w:rsid w:val="00CC7B8E"/>
    <w:rsid w:val="00CC7BE9"/>
    <w:rsid w:val="00CC7CBB"/>
    <w:rsid w:val="00CC7CF1"/>
    <w:rsid w:val="00CC7D03"/>
    <w:rsid w:val="00CC7D21"/>
    <w:rsid w:val="00CC7DDD"/>
    <w:rsid w:val="00CC7E0B"/>
    <w:rsid w:val="00CC7E0C"/>
    <w:rsid w:val="00CC7E4D"/>
    <w:rsid w:val="00CC7ECF"/>
    <w:rsid w:val="00CC7ED1"/>
    <w:rsid w:val="00CC7EFF"/>
    <w:rsid w:val="00CC7F3C"/>
    <w:rsid w:val="00CC7F54"/>
    <w:rsid w:val="00CC7F78"/>
    <w:rsid w:val="00CD0068"/>
    <w:rsid w:val="00CD031A"/>
    <w:rsid w:val="00CD03AD"/>
    <w:rsid w:val="00CD040F"/>
    <w:rsid w:val="00CD0632"/>
    <w:rsid w:val="00CD0777"/>
    <w:rsid w:val="00CD078A"/>
    <w:rsid w:val="00CD0858"/>
    <w:rsid w:val="00CD091E"/>
    <w:rsid w:val="00CD0975"/>
    <w:rsid w:val="00CD0B1F"/>
    <w:rsid w:val="00CD0B78"/>
    <w:rsid w:val="00CD0BB7"/>
    <w:rsid w:val="00CD0C00"/>
    <w:rsid w:val="00CD0C20"/>
    <w:rsid w:val="00CD0CBE"/>
    <w:rsid w:val="00CD0CCF"/>
    <w:rsid w:val="00CD0DC7"/>
    <w:rsid w:val="00CD0E0E"/>
    <w:rsid w:val="00CD0F76"/>
    <w:rsid w:val="00CD0FA6"/>
    <w:rsid w:val="00CD0FCD"/>
    <w:rsid w:val="00CD1095"/>
    <w:rsid w:val="00CD118D"/>
    <w:rsid w:val="00CD11DB"/>
    <w:rsid w:val="00CD1264"/>
    <w:rsid w:val="00CD129F"/>
    <w:rsid w:val="00CD132A"/>
    <w:rsid w:val="00CD134F"/>
    <w:rsid w:val="00CD13F2"/>
    <w:rsid w:val="00CD14A4"/>
    <w:rsid w:val="00CD14C5"/>
    <w:rsid w:val="00CD1612"/>
    <w:rsid w:val="00CD16AE"/>
    <w:rsid w:val="00CD1725"/>
    <w:rsid w:val="00CD17CF"/>
    <w:rsid w:val="00CD184F"/>
    <w:rsid w:val="00CD18F9"/>
    <w:rsid w:val="00CD1901"/>
    <w:rsid w:val="00CD1999"/>
    <w:rsid w:val="00CD19C0"/>
    <w:rsid w:val="00CD1AD5"/>
    <w:rsid w:val="00CD1C35"/>
    <w:rsid w:val="00CD1D73"/>
    <w:rsid w:val="00CD1D96"/>
    <w:rsid w:val="00CD1DFB"/>
    <w:rsid w:val="00CD1E95"/>
    <w:rsid w:val="00CD1ECF"/>
    <w:rsid w:val="00CD1FCC"/>
    <w:rsid w:val="00CD1FE7"/>
    <w:rsid w:val="00CD20D2"/>
    <w:rsid w:val="00CD2282"/>
    <w:rsid w:val="00CD2372"/>
    <w:rsid w:val="00CD23FD"/>
    <w:rsid w:val="00CD240C"/>
    <w:rsid w:val="00CD2427"/>
    <w:rsid w:val="00CD250A"/>
    <w:rsid w:val="00CD264A"/>
    <w:rsid w:val="00CD2859"/>
    <w:rsid w:val="00CD2877"/>
    <w:rsid w:val="00CD28EF"/>
    <w:rsid w:val="00CD291E"/>
    <w:rsid w:val="00CD2A28"/>
    <w:rsid w:val="00CD2A3C"/>
    <w:rsid w:val="00CD2A89"/>
    <w:rsid w:val="00CD2B0F"/>
    <w:rsid w:val="00CD2BF5"/>
    <w:rsid w:val="00CD2CA1"/>
    <w:rsid w:val="00CD2CEA"/>
    <w:rsid w:val="00CD2D3E"/>
    <w:rsid w:val="00CD2D7B"/>
    <w:rsid w:val="00CD2D8F"/>
    <w:rsid w:val="00CD2E26"/>
    <w:rsid w:val="00CD2F5B"/>
    <w:rsid w:val="00CD2FD2"/>
    <w:rsid w:val="00CD3417"/>
    <w:rsid w:val="00CD344B"/>
    <w:rsid w:val="00CD3468"/>
    <w:rsid w:val="00CD34FC"/>
    <w:rsid w:val="00CD35F5"/>
    <w:rsid w:val="00CD3607"/>
    <w:rsid w:val="00CD3648"/>
    <w:rsid w:val="00CD36E3"/>
    <w:rsid w:val="00CD377D"/>
    <w:rsid w:val="00CD381C"/>
    <w:rsid w:val="00CD3949"/>
    <w:rsid w:val="00CD396F"/>
    <w:rsid w:val="00CD39EA"/>
    <w:rsid w:val="00CD3B69"/>
    <w:rsid w:val="00CD3BB6"/>
    <w:rsid w:val="00CD3BEA"/>
    <w:rsid w:val="00CD3BF4"/>
    <w:rsid w:val="00CD3E6C"/>
    <w:rsid w:val="00CD3F6D"/>
    <w:rsid w:val="00CD3F81"/>
    <w:rsid w:val="00CD407C"/>
    <w:rsid w:val="00CD4134"/>
    <w:rsid w:val="00CD425B"/>
    <w:rsid w:val="00CD4269"/>
    <w:rsid w:val="00CD4285"/>
    <w:rsid w:val="00CD4311"/>
    <w:rsid w:val="00CD43CE"/>
    <w:rsid w:val="00CD43D7"/>
    <w:rsid w:val="00CD44A1"/>
    <w:rsid w:val="00CD460F"/>
    <w:rsid w:val="00CD46C6"/>
    <w:rsid w:val="00CD4767"/>
    <w:rsid w:val="00CD478C"/>
    <w:rsid w:val="00CD4867"/>
    <w:rsid w:val="00CD48D5"/>
    <w:rsid w:val="00CD4926"/>
    <w:rsid w:val="00CD494B"/>
    <w:rsid w:val="00CD4985"/>
    <w:rsid w:val="00CD49AA"/>
    <w:rsid w:val="00CD49CE"/>
    <w:rsid w:val="00CD4A47"/>
    <w:rsid w:val="00CD4AF2"/>
    <w:rsid w:val="00CD4CFE"/>
    <w:rsid w:val="00CD4D0B"/>
    <w:rsid w:val="00CD4D64"/>
    <w:rsid w:val="00CD4D68"/>
    <w:rsid w:val="00CD4D93"/>
    <w:rsid w:val="00CD4DF4"/>
    <w:rsid w:val="00CD4E63"/>
    <w:rsid w:val="00CD5068"/>
    <w:rsid w:val="00CD5098"/>
    <w:rsid w:val="00CD50A9"/>
    <w:rsid w:val="00CD52A1"/>
    <w:rsid w:val="00CD5345"/>
    <w:rsid w:val="00CD5353"/>
    <w:rsid w:val="00CD53C8"/>
    <w:rsid w:val="00CD54BF"/>
    <w:rsid w:val="00CD54EB"/>
    <w:rsid w:val="00CD564A"/>
    <w:rsid w:val="00CD578C"/>
    <w:rsid w:val="00CD58FD"/>
    <w:rsid w:val="00CD5906"/>
    <w:rsid w:val="00CD590E"/>
    <w:rsid w:val="00CD593F"/>
    <w:rsid w:val="00CD5960"/>
    <w:rsid w:val="00CD5974"/>
    <w:rsid w:val="00CD59B6"/>
    <w:rsid w:val="00CD5A50"/>
    <w:rsid w:val="00CD5A77"/>
    <w:rsid w:val="00CD5D17"/>
    <w:rsid w:val="00CD5DFB"/>
    <w:rsid w:val="00CD5F68"/>
    <w:rsid w:val="00CD5F70"/>
    <w:rsid w:val="00CD5F89"/>
    <w:rsid w:val="00CD6028"/>
    <w:rsid w:val="00CD6066"/>
    <w:rsid w:val="00CD6183"/>
    <w:rsid w:val="00CD6344"/>
    <w:rsid w:val="00CD638D"/>
    <w:rsid w:val="00CD6393"/>
    <w:rsid w:val="00CD63A7"/>
    <w:rsid w:val="00CD63DB"/>
    <w:rsid w:val="00CD649D"/>
    <w:rsid w:val="00CD65A2"/>
    <w:rsid w:val="00CD67F0"/>
    <w:rsid w:val="00CD68D4"/>
    <w:rsid w:val="00CD69BC"/>
    <w:rsid w:val="00CD6A43"/>
    <w:rsid w:val="00CD6A4B"/>
    <w:rsid w:val="00CD6B03"/>
    <w:rsid w:val="00CD6B9B"/>
    <w:rsid w:val="00CD6BAD"/>
    <w:rsid w:val="00CD6BB6"/>
    <w:rsid w:val="00CD6BDB"/>
    <w:rsid w:val="00CD6D0D"/>
    <w:rsid w:val="00CD6D99"/>
    <w:rsid w:val="00CD6DDC"/>
    <w:rsid w:val="00CD6E3D"/>
    <w:rsid w:val="00CD6E9D"/>
    <w:rsid w:val="00CD6EBB"/>
    <w:rsid w:val="00CD6F60"/>
    <w:rsid w:val="00CD7000"/>
    <w:rsid w:val="00CD7081"/>
    <w:rsid w:val="00CD70F8"/>
    <w:rsid w:val="00CD7287"/>
    <w:rsid w:val="00CD73E3"/>
    <w:rsid w:val="00CD7407"/>
    <w:rsid w:val="00CD7430"/>
    <w:rsid w:val="00CD7496"/>
    <w:rsid w:val="00CD763F"/>
    <w:rsid w:val="00CD76F1"/>
    <w:rsid w:val="00CD7841"/>
    <w:rsid w:val="00CD7996"/>
    <w:rsid w:val="00CD79EA"/>
    <w:rsid w:val="00CD7A54"/>
    <w:rsid w:val="00CD7AB5"/>
    <w:rsid w:val="00CD7AE6"/>
    <w:rsid w:val="00CD7CA4"/>
    <w:rsid w:val="00CD7CFD"/>
    <w:rsid w:val="00CD7D28"/>
    <w:rsid w:val="00CD7E85"/>
    <w:rsid w:val="00CD7EE4"/>
    <w:rsid w:val="00CD7F14"/>
    <w:rsid w:val="00CD7F61"/>
    <w:rsid w:val="00CE001B"/>
    <w:rsid w:val="00CE0177"/>
    <w:rsid w:val="00CE0190"/>
    <w:rsid w:val="00CE02F0"/>
    <w:rsid w:val="00CE03A6"/>
    <w:rsid w:val="00CE03D9"/>
    <w:rsid w:val="00CE0429"/>
    <w:rsid w:val="00CE04FE"/>
    <w:rsid w:val="00CE0505"/>
    <w:rsid w:val="00CE0586"/>
    <w:rsid w:val="00CE05AB"/>
    <w:rsid w:val="00CE067E"/>
    <w:rsid w:val="00CE07F3"/>
    <w:rsid w:val="00CE0857"/>
    <w:rsid w:val="00CE0873"/>
    <w:rsid w:val="00CE0890"/>
    <w:rsid w:val="00CE08B1"/>
    <w:rsid w:val="00CE08F7"/>
    <w:rsid w:val="00CE09FF"/>
    <w:rsid w:val="00CE0A89"/>
    <w:rsid w:val="00CE0B43"/>
    <w:rsid w:val="00CE0D0B"/>
    <w:rsid w:val="00CE0D34"/>
    <w:rsid w:val="00CE0F30"/>
    <w:rsid w:val="00CE1023"/>
    <w:rsid w:val="00CE103A"/>
    <w:rsid w:val="00CE1083"/>
    <w:rsid w:val="00CE1142"/>
    <w:rsid w:val="00CE1151"/>
    <w:rsid w:val="00CE11E0"/>
    <w:rsid w:val="00CE121D"/>
    <w:rsid w:val="00CE125F"/>
    <w:rsid w:val="00CE1331"/>
    <w:rsid w:val="00CE141C"/>
    <w:rsid w:val="00CE146A"/>
    <w:rsid w:val="00CE15F0"/>
    <w:rsid w:val="00CE1655"/>
    <w:rsid w:val="00CE16BC"/>
    <w:rsid w:val="00CE17DC"/>
    <w:rsid w:val="00CE180C"/>
    <w:rsid w:val="00CE183A"/>
    <w:rsid w:val="00CE1873"/>
    <w:rsid w:val="00CE1951"/>
    <w:rsid w:val="00CE197F"/>
    <w:rsid w:val="00CE19FC"/>
    <w:rsid w:val="00CE1AE8"/>
    <w:rsid w:val="00CE1B0C"/>
    <w:rsid w:val="00CE1B59"/>
    <w:rsid w:val="00CE1BA0"/>
    <w:rsid w:val="00CE1D10"/>
    <w:rsid w:val="00CE1DB1"/>
    <w:rsid w:val="00CE1F2F"/>
    <w:rsid w:val="00CE20A8"/>
    <w:rsid w:val="00CE2115"/>
    <w:rsid w:val="00CE2169"/>
    <w:rsid w:val="00CE2171"/>
    <w:rsid w:val="00CE2392"/>
    <w:rsid w:val="00CE23D7"/>
    <w:rsid w:val="00CE2400"/>
    <w:rsid w:val="00CE2422"/>
    <w:rsid w:val="00CE252A"/>
    <w:rsid w:val="00CE25AA"/>
    <w:rsid w:val="00CE261E"/>
    <w:rsid w:val="00CE26C5"/>
    <w:rsid w:val="00CE2714"/>
    <w:rsid w:val="00CE28B1"/>
    <w:rsid w:val="00CE28C4"/>
    <w:rsid w:val="00CE292C"/>
    <w:rsid w:val="00CE2946"/>
    <w:rsid w:val="00CE2A89"/>
    <w:rsid w:val="00CE2AE1"/>
    <w:rsid w:val="00CE2AF5"/>
    <w:rsid w:val="00CE2AFC"/>
    <w:rsid w:val="00CE2C9A"/>
    <w:rsid w:val="00CE2CAE"/>
    <w:rsid w:val="00CE2CE0"/>
    <w:rsid w:val="00CE2D02"/>
    <w:rsid w:val="00CE2D36"/>
    <w:rsid w:val="00CE2D46"/>
    <w:rsid w:val="00CE2DB5"/>
    <w:rsid w:val="00CE2DE7"/>
    <w:rsid w:val="00CE2E36"/>
    <w:rsid w:val="00CE2F17"/>
    <w:rsid w:val="00CE305E"/>
    <w:rsid w:val="00CE3077"/>
    <w:rsid w:val="00CE30D6"/>
    <w:rsid w:val="00CE3126"/>
    <w:rsid w:val="00CE31E5"/>
    <w:rsid w:val="00CE330E"/>
    <w:rsid w:val="00CE3340"/>
    <w:rsid w:val="00CE3372"/>
    <w:rsid w:val="00CE33D5"/>
    <w:rsid w:val="00CE340A"/>
    <w:rsid w:val="00CE34D5"/>
    <w:rsid w:val="00CE3506"/>
    <w:rsid w:val="00CE3599"/>
    <w:rsid w:val="00CE3635"/>
    <w:rsid w:val="00CE36E3"/>
    <w:rsid w:val="00CE37A5"/>
    <w:rsid w:val="00CE37B4"/>
    <w:rsid w:val="00CE3862"/>
    <w:rsid w:val="00CE38A9"/>
    <w:rsid w:val="00CE3927"/>
    <w:rsid w:val="00CE3929"/>
    <w:rsid w:val="00CE3A58"/>
    <w:rsid w:val="00CE3A63"/>
    <w:rsid w:val="00CE3A9E"/>
    <w:rsid w:val="00CE3AD9"/>
    <w:rsid w:val="00CE3B06"/>
    <w:rsid w:val="00CE3B5D"/>
    <w:rsid w:val="00CE3B91"/>
    <w:rsid w:val="00CE3D1C"/>
    <w:rsid w:val="00CE3DCF"/>
    <w:rsid w:val="00CE3EB6"/>
    <w:rsid w:val="00CE3F32"/>
    <w:rsid w:val="00CE4016"/>
    <w:rsid w:val="00CE4068"/>
    <w:rsid w:val="00CE40BF"/>
    <w:rsid w:val="00CE40F5"/>
    <w:rsid w:val="00CE4125"/>
    <w:rsid w:val="00CE4144"/>
    <w:rsid w:val="00CE42B1"/>
    <w:rsid w:val="00CE42B8"/>
    <w:rsid w:val="00CE4380"/>
    <w:rsid w:val="00CE43B8"/>
    <w:rsid w:val="00CE43D4"/>
    <w:rsid w:val="00CE446A"/>
    <w:rsid w:val="00CE44BE"/>
    <w:rsid w:val="00CE45E7"/>
    <w:rsid w:val="00CE4604"/>
    <w:rsid w:val="00CE46FB"/>
    <w:rsid w:val="00CE4705"/>
    <w:rsid w:val="00CE47EE"/>
    <w:rsid w:val="00CE48E7"/>
    <w:rsid w:val="00CE4957"/>
    <w:rsid w:val="00CE4965"/>
    <w:rsid w:val="00CE4BB6"/>
    <w:rsid w:val="00CE4BC4"/>
    <w:rsid w:val="00CE4BF5"/>
    <w:rsid w:val="00CE4C1E"/>
    <w:rsid w:val="00CE4C31"/>
    <w:rsid w:val="00CE4D76"/>
    <w:rsid w:val="00CE4F01"/>
    <w:rsid w:val="00CE4F4A"/>
    <w:rsid w:val="00CE5053"/>
    <w:rsid w:val="00CE515B"/>
    <w:rsid w:val="00CE5182"/>
    <w:rsid w:val="00CE519E"/>
    <w:rsid w:val="00CE52B5"/>
    <w:rsid w:val="00CE52BB"/>
    <w:rsid w:val="00CE52DB"/>
    <w:rsid w:val="00CE5368"/>
    <w:rsid w:val="00CE538C"/>
    <w:rsid w:val="00CE53E8"/>
    <w:rsid w:val="00CE5570"/>
    <w:rsid w:val="00CE55B9"/>
    <w:rsid w:val="00CE5638"/>
    <w:rsid w:val="00CE5692"/>
    <w:rsid w:val="00CE578A"/>
    <w:rsid w:val="00CE57AE"/>
    <w:rsid w:val="00CE589C"/>
    <w:rsid w:val="00CE58B5"/>
    <w:rsid w:val="00CE5929"/>
    <w:rsid w:val="00CE5980"/>
    <w:rsid w:val="00CE5988"/>
    <w:rsid w:val="00CE59F7"/>
    <w:rsid w:val="00CE5AAD"/>
    <w:rsid w:val="00CE5AFD"/>
    <w:rsid w:val="00CE5B42"/>
    <w:rsid w:val="00CE5B9D"/>
    <w:rsid w:val="00CE5BE7"/>
    <w:rsid w:val="00CE5C94"/>
    <w:rsid w:val="00CE5E06"/>
    <w:rsid w:val="00CE5E95"/>
    <w:rsid w:val="00CE5EA9"/>
    <w:rsid w:val="00CE5EDC"/>
    <w:rsid w:val="00CE5F85"/>
    <w:rsid w:val="00CE6093"/>
    <w:rsid w:val="00CE60C7"/>
    <w:rsid w:val="00CE61C3"/>
    <w:rsid w:val="00CE61E1"/>
    <w:rsid w:val="00CE61EB"/>
    <w:rsid w:val="00CE63E6"/>
    <w:rsid w:val="00CE6427"/>
    <w:rsid w:val="00CE645D"/>
    <w:rsid w:val="00CE6493"/>
    <w:rsid w:val="00CE64DA"/>
    <w:rsid w:val="00CE64F1"/>
    <w:rsid w:val="00CE6621"/>
    <w:rsid w:val="00CE670E"/>
    <w:rsid w:val="00CE6763"/>
    <w:rsid w:val="00CE67D2"/>
    <w:rsid w:val="00CE6878"/>
    <w:rsid w:val="00CE689C"/>
    <w:rsid w:val="00CE69DE"/>
    <w:rsid w:val="00CE69E0"/>
    <w:rsid w:val="00CE6AB6"/>
    <w:rsid w:val="00CE6B46"/>
    <w:rsid w:val="00CE6B6E"/>
    <w:rsid w:val="00CE6BA2"/>
    <w:rsid w:val="00CE6C46"/>
    <w:rsid w:val="00CE6C61"/>
    <w:rsid w:val="00CE6C66"/>
    <w:rsid w:val="00CE6C67"/>
    <w:rsid w:val="00CE6C71"/>
    <w:rsid w:val="00CE6CB0"/>
    <w:rsid w:val="00CE6D09"/>
    <w:rsid w:val="00CE6DB9"/>
    <w:rsid w:val="00CE6EC2"/>
    <w:rsid w:val="00CE6F60"/>
    <w:rsid w:val="00CE7024"/>
    <w:rsid w:val="00CE70BC"/>
    <w:rsid w:val="00CE71B5"/>
    <w:rsid w:val="00CE71F9"/>
    <w:rsid w:val="00CE7242"/>
    <w:rsid w:val="00CE72DC"/>
    <w:rsid w:val="00CE7315"/>
    <w:rsid w:val="00CE73F2"/>
    <w:rsid w:val="00CE73F3"/>
    <w:rsid w:val="00CE751D"/>
    <w:rsid w:val="00CE7555"/>
    <w:rsid w:val="00CE7592"/>
    <w:rsid w:val="00CE768F"/>
    <w:rsid w:val="00CE76AD"/>
    <w:rsid w:val="00CE76FF"/>
    <w:rsid w:val="00CE7728"/>
    <w:rsid w:val="00CE77B2"/>
    <w:rsid w:val="00CE77EF"/>
    <w:rsid w:val="00CE7800"/>
    <w:rsid w:val="00CE7822"/>
    <w:rsid w:val="00CE79DD"/>
    <w:rsid w:val="00CE79FD"/>
    <w:rsid w:val="00CE7ADA"/>
    <w:rsid w:val="00CE7AE9"/>
    <w:rsid w:val="00CE7B06"/>
    <w:rsid w:val="00CE7B2D"/>
    <w:rsid w:val="00CE7B60"/>
    <w:rsid w:val="00CE7B6D"/>
    <w:rsid w:val="00CE7D7E"/>
    <w:rsid w:val="00CE7DF2"/>
    <w:rsid w:val="00CE7E57"/>
    <w:rsid w:val="00CE7EC0"/>
    <w:rsid w:val="00CE7ECB"/>
    <w:rsid w:val="00CE7F5D"/>
    <w:rsid w:val="00CE7FDF"/>
    <w:rsid w:val="00CF0101"/>
    <w:rsid w:val="00CF012B"/>
    <w:rsid w:val="00CF017A"/>
    <w:rsid w:val="00CF021E"/>
    <w:rsid w:val="00CF0295"/>
    <w:rsid w:val="00CF02AA"/>
    <w:rsid w:val="00CF0458"/>
    <w:rsid w:val="00CF0485"/>
    <w:rsid w:val="00CF04CC"/>
    <w:rsid w:val="00CF04FC"/>
    <w:rsid w:val="00CF0522"/>
    <w:rsid w:val="00CF0533"/>
    <w:rsid w:val="00CF0696"/>
    <w:rsid w:val="00CF06C0"/>
    <w:rsid w:val="00CF06CA"/>
    <w:rsid w:val="00CF06E5"/>
    <w:rsid w:val="00CF073F"/>
    <w:rsid w:val="00CF089C"/>
    <w:rsid w:val="00CF0959"/>
    <w:rsid w:val="00CF0A4C"/>
    <w:rsid w:val="00CF0A58"/>
    <w:rsid w:val="00CF0C05"/>
    <w:rsid w:val="00CF0D11"/>
    <w:rsid w:val="00CF0D3F"/>
    <w:rsid w:val="00CF0DF7"/>
    <w:rsid w:val="00CF0E3E"/>
    <w:rsid w:val="00CF0E4D"/>
    <w:rsid w:val="00CF0ECA"/>
    <w:rsid w:val="00CF0FA9"/>
    <w:rsid w:val="00CF108B"/>
    <w:rsid w:val="00CF10A0"/>
    <w:rsid w:val="00CF11A6"/>
    <w:rsid w:val="00CF127C"/>
    <w:rsid w:val="00CF12BD"/>
    <w:rsid w:val="00CF12E9"/>
    <w:rsid w:val="00CF1460"/>
    <w:rsid w:val="00CF1479"/>
    <w:rsid w:val="00CF1643"/>
    <w:rsid w:val="00CF1691"/>
    <w:rsid w:val="00CF16E3"/>
    <w:rsid w:val="00CF1728"/>
    <w:rsid w:val="00CF1737"/>
    <w:rsid w:val="00CF17B7"/>
    <w:rsid w:val="00CF17EC"/>
    <w:rsid w:val="00CF1867"/>
    <w:rsid w:val="00CF18A7"/>
    <w:rsid w:val="00CF19AB"/>
    <w:rsid w:val="00CF1A7C"/>
    <w:rsid w:val="00CF1B81"/>
    <w:rsid w:val="00CF1BFC"/>
    <w:rsid w:val="00CF1C1A"/>
    <w:rsid w:val="00CF1C37"/>
    <w:rsid w:val="00CF1CDB"/>
    <w:rsid w:val="00CF1D04"/>
    <w:rsid w:val="00CF1D89"/>
    <w:rsid w:val="00CF1D97"/>
    <w:rsid w:val="00CF1DFA"/>
    <w:rsid w:val="00CF1E88"/>
    <w:rsid w:val="00CF1F05"/>
    <w:rsid w:val="00CF2397"/>
    <w:rsid w:val="00CF24DE"/>
    <w:rsid w:val="00CF2691"/>
    <w:rsid w:val="00CF26AF"/>
    <w:rsid w:val="00CF271C"/>
    <w:rsid w:val="00CF2910"/>
    <w:rsid w:val="00CF292F"/>
    <w:rsid w:val="00CF2931"/>
    <w:rsid w:val="00CF29AC"/>
    <w:rsid w:val="00CF2A2F"/>
    <w:rsid w:val="00CF2B80"/>
    <w:rsid w:val="00CF2B90"/>
    <w:rsid w:val="00CF2C53"/>
    <w:rsid w:val="00CF2C77"/>
    <w:rsid w:val="00CF2CF1"/>
    <w:rsid w:val="00CF2D4C"/>
    <w:rsid w:val="00CF2DAB"/>
    <w:rsid w:val="00CF2FE9"/>
    <w:rsid w:val="00CF2FF9"/>
    <w:rsid w:val="00CF302B"/>
    <w:rsid w:val="00CF3162"/>
    <w:rsid w:val="00CF31AE"/>
    <w:rsid w:val="00CF3232"/>
    <w:rsid w:val="00CF327C"/>
    <w:rsid w:val="00CF3280"/>
    <w:rsid w:val="00CF3316"/>
    <w:rsid w:val="00CF340D"/>
    <w:rsid w:val="00CF34CB"/>
    <w:rsid w:val="00CF3506"/>
    <w:rsid w:val="00CF3595"/>
    <w:rsid w:val="00CF3648"/>
    <w:rsid w:val="00CF381C"/>
    <w:rsid w:val="00CF389D"/>
    <w:rsid w:val="00CF3913"/>
    <w:rsid w:val="00CF39DD"/>
    <w:rsid w:val="00CF3A12"/>
    <w:rsid w:val="00CF3A73"/>
    <w:rsid w:val="00CF3B3D"/>
    <w:rsid w:val="00CF3D8E"/>
    <w:rsid w:val="00CF3D9A"/>
    <w:rsid w:val="00CF3E02"/>
    <w:rsid w:val="00CF3E2A"/>
    <w:rsid w:val="00CF3E70"/>
    <w:rsid w:val="00CF3F60"/>
    <w:rsid w:val="00CF40A1"/>
    <w:rsid w:val="00CF40B8"/>
    <w:rsid w:val="00CF4139"/>
    <w:rsid w:val="00CF418A"/>
    <w:rsid w:val="00CF4322"/>
    <w:rsid w:val="00CF4465"/>
    <w:rsid w:val="00CF446F"/>
    <w:rsid w:val="00CF44FF"/>
    <w:rsid w:val="00CF4502"/>
    <w:rsid w:val="00CF4503"/>
    <w:rsid w:val="00CF4531"/>
    <w:rsid w:val="00CF4575"/>
    <w:rsid w:val="00CF4600"/>
    <w:rsid w:val="00CF464E"/>
    <w:rsid w:val="00CF469A"/>
    <w:rsid w:val="00CF46C9"/>
    <w:rsid w:val="00CF46F1"/>
    <w:rsid w:val="00CF4708"/>
    <w:rsid w:val="00CF4933"/>
    <w:rsid w:val="00CF4989"/>
    <w:rsid w:val="00CF49CA"/>
    <w:rsid w:val="00CF4A0D"/>
    <w:rsid w:val="00CF4A32"/>
    <w:rsid w:val="00CF4A9F"/>
    <w:rsid w:val="00CF4AF1"/>
    <w:rsid w:val="00CF4B09"/>
    <w:rsid w:val="00CF4CC7"/>
    <w:rsid w:val="00CF4D2C"/>
    <w:rsid w:val="00CF4D59"/>
    <w:rsid w:val="00CF4DFB"/>
    <w:rsid w:val="00CF4EC7"/>
    <w:rsid w:val="00CF506C"/>
    <w:rsid w:val="00CF51BB"/>
    <w:rsid w:val="00CF5203"/>
    <w:rsid w:val="00CF5208"/>
    <w:rsid w:val="00CF52D8"/>
    <w:rsid w:val="00CF5410"/>
    <w:rsid w:val="00CF5431"/>
    <w:rsid w:val="00CF54BE"/>
    <w:rsid w:val="00CF5614"/>
    <w:rsid w:val="00CF574B"/>
    <w:rsid w:val="00CF579E"/>
    <w:rsid w:val="00CF57A6"/>
    <w:rsid w:val="00CF57A9"/>
    <w:rsid w:val="00CF57AC"/>
    <w:rsid w:val="00CF58C1"/>
    <w:rsid w:val="00CF5900"/>
    <w:rsid w:val="00CF59FC"/>
    <w:rsid w:val="00CF5A79"/>
    <w:rsid w:val="00CF5A8C"/>
    <w:rsid w:val="00CF5AF0"/>
    <w:rsid w:val="00CF5F76"/>
    <w:rsid w:val="00CF5FA0"/>
    <w:rsid w:val="00CF60A6"/>
    <w:rsid w:val="00CF60AA"/>
    <w:rsid w:val="00CF613C"/>
    <w:rsid w:val="00CF6148"/>
    <w:rsid w:val="00CF6280"/>
    <w:rsid w:val="00CF62BD"/>
    <w:rsid w:val="00CF62BE"/>
    <w:rsid w:val="00CF631D"/>
    <w:rsid w:val="00CF6332"/>
    <w:rsid w:val="00CF633E"/>
    <w:rsid w:val="00CF639B"/>
    <w:rsid w:val="00CF65DB"/>
    <w:rsid w:val="00CF6604"/>
    <w:rsid w:val="00CF6679"/>
    <w:rsid w:val="00CF6737"/>
    <w:rsid w:val="00CF673B"/>
    <w:rsid w:val="00CF682B"/>
    <w:rsid w:val="00CF68FD"/>
    <w:rsid w:val="00CF69BF"/>
    <w:rsid w:val="00CF69E5"/>
    <w:rsid w:val="00CF6B0D"/>
    <w:rsid w:val="00CF6B19"/>
    <w:rsid w:val="00CF6B88"/>
    <w:rsid w:val="00CF6B8D"/>
    <w:rsid w:val="00CF6C0D"/>
    <w:rsid w:val="00CF6DA0"/>
    <w:rsid w:val="00CF6EFA"/>
    <w:rsid w:val="00CF70AD"/>
    <w:rsid w:val="00CF70D0"/>
    <w:rsid w:val="00CF7113"/>
    <w:rsid w:val="00CF7279"/>
    <w:rsid w:val="00CF72A6"/>
    <w:rsid w:val="00CF7309"/>
    <w:rsid w:val="00CF731C"/>
    <w:rsid w:val="00CF7342"/>
    <w:rsid w:val="00CF74BE"/>
    <w:rsid w:val="00CF74FA"/>
    <w:rsid w:val="00CF7665"/>
    <w:rsid w:val="00CF7678"/>
    <w:rsid w:val="00CF77A5"/>
    <w:rsid w:val="00CF77DD"/>
    <w:rsid w:val="00CF780E"/>
    <w:rsid w:val="00CF78D9"/>
    <w:rsid w:val="00CF7955"/>
    <w:rsid w:val="00CF796D"/>
    <w:rsid w:val="00CF7AB5"/>
    <w:rsid w:val="00CF7B3A"/>
    <w:rsid w:val="00CF7B4A"/>
    <w:rsid w:val="00CF7C31"/>
    <w:rsid w:val="00CF7C3D"/>
    <w:rsid w:val="00CF7C74"/>
    <w:rsid w:val="00CF7C9F"/>
    <w:rsid w:val="00CF7CB9"/>
    <w:rsid w:val="00CF7D65"/>
    <w:rsid w:val="00CF7DA3"/>
    <w:rsid w:val="00CF7E0C"/>
    <w:rsid w:val="00CF7E81"/>
    <w:rsid w:val="00CF7E88"/>
    <w:rsid w:val="00CF7ED3"/>
    <w:rsid w:val="00CF7EE6"/>
    <w:rsid w:val="00CF7F87"/>
    <w:rsid w:val="00CF7F93"/>
    <w:rsid w:val="00D000BE"/>
    <w:rsid w:val="00D000D5"/>
    <w:rsid w:val="00D0017A"/>
    <w:rsid w:val="00D00216"/>
    <w:rsid w:val="00D00226"/>
    <w:rsid w:val="00D002AB"/>
    <w:rsid w:val="00D002CA"/>
    <w:rsid w:val="00D002D5"/>
    <w:rsid w:val="00D002ED"/>
    <w:rsid w:val="00D0037C"/>
    <w:rsid w:val="00D00490"/>
    <w:rsid w:val="00D005B8"/>
    <w:rsid w:val="00D00745"/>
    <w:rsid w:val="00D007BA"/>
    <w:rsid w:val="00D00886"/>
    <w:rsid w:val="00D008F7"/>
    <w:rsid w:val="00D00905"/>
    <w:rsid w:val="00D0094F"/>
    <w:rsid w:val="00D0097D"/>
    <w:rsid w:val="00D009C7"/>
    <w:rsid w:val="00D009E4"/>
    <w:rsid w:val="00D00B54"/>
    <w:rsid w:val="00D00B5D"/>
    <w:rsid w:val="00D00B93"/>
    <w:rsid w:val="00D00CB4"/>
    <w:rsid w:val="00D00CB8"/>
    <w:rsid w:val="00D00D3E"/>
    <w:rsid w:val="00D00D51"/>
    <w:rsid w:val="00D00DE4"/>
    <w:rsid w:val="00D00E42"/>
    <w:rsid w:val="00D00E74"/>
    <w:rsid w:val="00D00EC7"/>
    <w:rsid w:val="00D00EC8"/>
    <w:rsid w:val="00D00F0A"/>
    <w:rsid w:val="00D00F19"/>
    <w:rsid w:val="00D0103B"/>
    <w:rsid w:val="00D0107D"/>
    <w:rsid w:val="00D01097"/>
    <w:rsid w:val="00D0123B"/>
    <w:rsid w:val="00D0128F"/>
    <w:rsid w:val="00D01302"/>
    <w:rsid w:val="00D01319"/>
    <w:rsid w:val="00D0138E"/>
    <w:rsid w:val="00D013A4"/>
    <w:rsid w:val="00D01422"/>
    <w:rsid w:val="00D01439"/>
    <w:rsid w:val="00D0143C"/>
    <w:rsid w:val="00D01446"/>
    <w:rsid w:val="00D01496"/>
    <w:rsid w:val="00D014DF"/>
    <w:rsid w:val="00D01594"/>
    <w:rsid w:val="00D015A7"/>
    <w:rsid w:val="00D01608"/>
    <w:rsid w:val="00D0176C"/>
    <w:rsid w:val="00D01771"/>
    <w:rsid w:val="00D0181F"/>
    <w:rsid w:val="00D01886"/>
    <w:rsid w:val="00D01A22"/>
    <w:rsid w:val="00D01ABF"/>
    <w:rsid w:val="00D01B9A"/>
    <w:rsid w:val="00D01BDB"/>
    <w:rsid w:val="00D01C15"/>
    <w:rsid w:val="00D01C86"/>
    <w:rsid w:val="00D01CC9"/>
    <w:rsid w:val="00D01CDB"/>
    <w:rsid w:val="00D01D25"/>
    <w:rsid w:val="00D01D44"/>
    <w:rsid w:val="00D01F21"/>
    <w:rsid w:val="00D01F26"/>
    <w:rsid w:val="00D01F3A"/>
    <w:rsid w:val="00D01FEB"/>
    <w:rsid w:val="00D021DC"/>
    <w:rsid w:val="00D021E8"/>
    <w:rsid w:val="00D02282"/>
    <w:rsid w:val="00D02458"/>
    <w:rsid w:val="00D025DC"/>
    <w:rsid w:val="00D0266E"/>
    <w:rsid w:val="00D026A3"/>
    <w:rsid w:val="00D0273F"/>
    <w:rsid w:val="00D02799"/>
    <w:rsid w:val="00D027DF"/>
    <w:rsid w:val="00D0286E"/>
    <w:rsid w:val="00D029BF"/>
    <w:rsid w:val="00D029FC"/>
    <w:rsid w:val="00D029FD"/>
    <w:rsid w:val="00D02A12"/>
    <w:rsid w:val="00D02B31"/>
    <w:rsid w:val="00D02B32"/>
    <w:rsid w:val="00D02BA1"/>
    <w:rsid w:val="00D02BC8"/>
    <w:rsid w:val="00D02C78"/>
    <w:rsid w:val="00D02D85"/>
    <w:rsid w:val="00D02DC4"/>
    <w:rsid w:val="00D02DFA"/>
    <w:rsid w:val="00D02E70"/>
    <w:rsid w:val="00D02E79"/>
    <w:rsid w:val="00D02FE9"/>
    <w:rsid w:val="00D02FF2"/>
    <w:rsid w:val="00D03195"/>
    <w:rsid w:val="00D031AC"/>
    <w:rsid w:val="00D03244"/>
    <w:rsid w:val="00D03334"/>
    <w:rsid w:val="00D033B4"/>
    <w:rsid w:val="00D03455"/>
    <w:rsid w:val="00D0347F"/>
    <w:rsid w:val="00D03556"/>
    <w:rsid w:val="00D0355D"/>
    <w:rsid w:val="00D03568"/>
    <w:rsid w:val="00D0363E"/>
    <w:rsid w:val="00D03733"/>
    <w:rsid w:val="00D0373E"/>
    <w:rsid w:val="00D037D6"/>
    <w:rsid w:val="00D0390B"/>
    <w:rsid w:val="00D0391C"/>
    <w:rsid w:val="00D03A55"/>
    <w:rsid w:val="00D03A6E"/>
    <w:rsid w:val="00D03BFB"/>
    <w:rsid w:val="00D03C1C"/>
    <w:rsid w:val="00D03C5F"/>
    <w:rsid w:val="00D03C67"/>
    <w:rsid w:val="00D03CB2"/>
    <w:rsid w:val="00D03CDB"/>
    <w:rsid w:val="00D03D5B"/>
    <w:rsid w:val="00D03E3C"/>
    <w:rsid w:val="00D03E94"/>
    <w:rsid w:val="00D03FF2"/>
    <w:rsid w:val="00D03FF9"/>
    <w:rsid w:val="00D04053"/>
    <w:rsid w:val="00D040AC"/>
    <w:rsid w:val="00D040ED"/>
    <w:rsid w:val="00D040F5"/>
    <w:rsid w:val="00D040FC"/>
    <w:rsid w:val="00D04104"/>
    <w:rsid w:val="00D04110"/>
    <w:rsid w:val="00D041D7"/>
    <w:rsid w:val="00D042DE"/>
    <w:rsid w:val="00D04358"/>
    <w:rsid w:val="00D04383"/>
    <w:rsid w:val="00D043A4"/>
    <w:rsid w:val="00D0442D"/>
    <w:rsid w:val="00D04593"/>
    <w:rsid w:val="00D045F6"/>
    <w:rsid w:val="00D04637"/>
    <w:rsid w:val="00D04661"/>
    <w:rsid w:val="00D04700"/>
    <w:rsid w:val="00D0475D"/>
    <w:rsid w:val="00D0499F"/>
    <w:rsid w:val="00D049A1"/>
    <w:rsid w:val="00D04A26"/>
    <w:rsid w:val="00D04AA9"/>
    <w:rsid w:val="00D04AE3"/>
    <w:rsid w:val="00D04AE7"/>
    <w:rsid w:val="00D04C3C"/>
    <w:rsid w:val="00D04C79"/>
    <w:rsid w:val="00D04C85"/>
    <w:rsid w:val="00D04C91"/>
    <w:rsid w:val="00D04C96"/>
    <w:rsid w:val="00D04CA4"/>
    <w:rsid w:val="00D04D1C"/>
    <w:rsid w:val="00D04D48"/>
    <w:rsid w:val="00D04E48"/>
    <w:rsid w:val="00D04ECF"/>
    <w:rsid w:val="00D051DE"/>
    <w:rsid w:val="00D0524F"/>
    <w:rsid w:val="00D0538C"/>
    <w:rsid w:val="00D05390"/>
    <w:rsid w:val="00D053BF"/>
    <w:rsid w:val="00D053FF"/>
    <w:rsid w:val="00D0549F"/>
    <w:rsid w:val="00D054D6"/>
    <w:rsid w:val="00D0554D"/>
    <w:rsid w:val="00D05777"/>
    <w:rsid w:val="00D0579D"/>
    <w:rsid w:val="00D05826"/>
    <w:rsid w:val="00D0597F"/>
    <w:rsid w:val="00D05A43"/>
    <w:rsid w:val="00D05A86"/>
    <w:rsid w:val="00D05AE8"/>
    <w:rsid w:val="00D05B0B"/>
    <w:rsid w:val="00D05BE9"/>
    <w:rsid w:val="00D05C63"/>
    <w:rsid w:val="00D05C7C"/>
    <w:rsid w:val="00D05CE5"/>
    <w:rsid w:val="00D05DDB"/>
    <w:rsid w:val="00D05E9A"/>
    <w:rsid w:val="00D05FA6"/>
    <w:rsid w:val="00D05FD6"/>
    <w:rsid w:val="00D0601C"/>
    <w:rsid w:val="00D06044"/>
    <w:rsid w:val="00D0616F"/>
    <w:rsid w:val="00D06258"/>
    <w:rsid w:val="00D0626F"/>
    <w:rsid w:val="00D062AB"/>
    <w:rsid w:val="00D0635B"/>
    <w:rsid w:val="00D0636F"/>
    <w:rsid w:val="00D0637F"/>
    <w:rsid w:val="00D06417"/>
    <w:rsid w:val="00D06506"/>
    <w:rsid w:val="00D06520"/>
    <w:rsid w:val="00D06590"/>
    <w:rsid w:val="00D065AB"/>
    <w:rsid w:val="00D065B4"/>
    <w:rsid w:val="00D065E2"/>
    <w:rsid w:val="00D0668D"/>
    <w:rsid w:val="00D067E9"/>
    <w:rsid w:val="00D068E6"/>
    <w:rsid w:val="00D06960"/>
    <w:rsid w:val="00D069B1"/>
    <w:rsid w:val="00D06A90"/>
    <w:rsid w:val="00D06B72"/>
    <w:rsid w:val="00D06BAD"/>
    <w:rsid w:val="00D06BBF"/>
    <w:rsid w:val="00D06BEC"/>
    <w:rsid w:val="00D06C0C"/>
    <w:rsid w:val="00D06CD3"/>
    <w:rsid w:val="00D06DF2"/>
    <w:rsid w:val="00D06E91"/>
    <w:rsid w:val="00D06EA4"/>
    <w:rsid w:val="00D06EC4"/>
    <w:rsid w:val="00D06FD8"/>
    <w:rsid w:val="00D0702B"/>
    <w:rsid w:val="00D07159"/>
    <w:rsid w:val="00D072C2"/>
    <w:rsid w:val="00D072EB"/>
    <w:rsid w:val="00D07308"/>
    <w:rsid w:val="00D0741C"/>
    <w:rsid w:val="00D07430"/>
    <w:rsid w:val="00D07438"/>
    <w:rsid w:val="00D07728"/>
    <w:rsid w:val="00D07775"/>
    <w:rsid w:val="00D0779B"/>
    <w:rsid w:val="00D077AA"/>
    <w:rsid w:val="00D077B7"/>
    <w:rsid w:val="00D077C4"/>
    <w:rsid w:val="00D0786D"/>
    <w:rsid w:val="00D078A3"/>
    <w:rsid w:val="00D07919"/>
    <w:rsid w:val="00D0796B"/>
    <w:rsid w:val="00D07A4B"/>
    <w:rsid w:val="00D07AF9"/>
    <w:rsid w:val="00D07C06"/>
    <w:rsid w:val="00D07C0D"/>
    <w:rsid w:val="00D07C22"/>
    <w:rsid w:val="00D07C46"/>
    <w:rsid w:val="00D07D64"/>
    <w:rsid w:val="00D07DF0"/>
    <w:rsid w:val="00D07F59"/>
    <w:rsid w:val="00D1001E"/>
    <w:rsid w:val="00D101FA"/>
    <w:rsid w:val="00D10284"/>
    <w:rsid w:val="00D102BC"/>
    <w:rsid w:val="00D1031F"/>
    <w:rsid w:val="00D103CC"/>
    <w:rsid w:val="00D103D8"/>
    <w:rsid w:val="00D105E3"/>
    <w:rsid w:val="00D106A2"/>
    <w:rsid w:val="00D1079C"/>
    <w:rsid w:val="00D107B1"/>
    <w:rsid w:val="00D10847"/>
    <w:rsid w:val="00D108FD"/>
    <w:rsid w:val="00D1090E"/>
    <w:rsid w:val="00D10916"/>
    <w:rsid w:val="00D1092A"/>
    <w:rsid w:val="00D10A44"/>
    <w:rsid w:val="00D10AA6"/>
    <w:rsid w:val="00D10AAE"/>
    <w:rsid w:val="00D10CEE"/>
    <w:rsid w:val="00D10DA7"/>
    <w:rsid w:val="00D10E2B"/>
    <w:rsid w:val="00D10E59"/>
    <w:rsid w:val="00D10E8C"/>
    <w:rsid w:val="00D10EC1"/>
    <w:rsid w:val="00D10F16"/>
    <w:rsid w:val="00D10FA7"/>
    <w:rsid w:val="00D11034"/>
    <w:rsid w:val="00D110A5"/>
    <w:rsid w:val="00D110B3"/>
    <w:rsid w:val="00D1118A"/>
    <w:rsid w:val="00D111D5"/>
    <w:rsid w:val="00D1141C"/>
    <w:rsid w:val="00D11435"/>
    <w:rsid w:val="00D115A9"/>
    <w:rsid w:val="00D1165C"/>
    <w:rsid w:val="00D1177D"/>
    <w:rsid w:val="00D117BF"/>
    <w:rsid w:val="00D117F5"/>
    <w:rsid w:val="00D1185E"/>
    <w:rsid w:val="00D118E4"/>
    <w:rsid w:val="00D1195B"/>
    <w:rsid w:val="00D1197B"/>
    <w:rsid w:val="00D11999"/>
    <w:rsid w:val="00D11B75"/>
    <w:rsid w:val="00D11B86"/>
    <w:rsid w:val="00D11BFA"/>
    <w:rsid w:val="00D11C10"/>
    <w:rsid w:val="00D11CA0"/>
    <w:rsid w:val="00D11CC6"/>
    <w:rsid w:val="00D11D2F"/>
    <w:rsid w:val="00D11D5C"/>
    <w:rsid w:val="00D11EE2"/>
    <w:rsid w:val="00D11FB6"/>
    <w:rsid w:val="00D11FDA"/>
    <w:rsid w:val="00D12013"/>
    <w:rsid w:val="00D120C2"/>
    <w:rsid w:val="00D121B5"/>
    <w:rsid w:val="00D121DB"/>
    <w:rsid w:val="00D12229"/>
    <w:rsid w:val="00D12383"/>
    <w:rsid w:val="00D1242D"/>
    <w:rsid w:val="00D124BD"/>
    <w:rsid w:val="00D126C8"/>
    <w:rsid w:val="00D1271B"/>
    <w:rsid w:val="00D12762"/>
    <w:rsid w:val="00D1280A"/>
    <w:rsid w:val="00D1285F"/>
    <w:rsid w:val="00D128B7"/>
    <w:rsid w:val="00D12928"/>
    <w:rsid w:val="00D129EE"/>
    <w:rsid w:val="00D12A83"/>
    <w:rsid w:val="00D12AE9"/>
    <w:rsid w:val="00D12BCC"/>
    <w:rsid w:val="00D12BFF"/>
    <w:rsid w:val="00D12C07"/>
    <w:rsid w:val="00D12C93"/>
    <w:rsid w:val="00D12D1B"/>
    <w:rsid w:val="00D12F4F"/>
    <w:rsid w:val="00D12F85"/>
    <w:rsid w:val="00D13121"/>
    <w:rsid w:val="00D13130"/>
    <w:rsid w:val="00D13158"/>
    <w:rsid w:val="00D131C2"/>
    <w:rsid w:val="00D131DE"/>
    <w:rsid w:val="00D13202"/>
    <w:rsid w:val="00D13380"/>
    <w:rsid w:val="00D133E1"/>
    <w:rsid w:val="00D13404"/>
    <w:rsid w:val="00D13604"/>
    <w:rsid w:val="00D1361C"/>
    <w:rsid w:val="00D1379C"/>
    <w:rsid w:val="00D1379E"/>
    <w:rsid w:val="00D13806"/>
    <w:rsid w:val="00D1385C"/>
    <w:rsid w:val="00D138C8"/>
    <w:rsid w:val="00D13944"/>
    <w:rsid w:val="00D13B9D"/>
    <w:rsid w:val="00D13C1A"/>
    <w:rsid w:val="00D13D63"/>
    <w:rsid w:val="00D13E6B"/>
    <w:rsid w:val="00D13E71"/>
    <w:rsid w:val="00D13EB3"/>
    <w:rsid w:val="00D13F5E"/>
    <w:rsid w:val="00D13FFC"/>
    <w:rsid w:val="00D14052"/>
    <w:rsid w:val="00D14056"/>
    <w:rsid w:val="00D14106"/>
    <w:rsid w:val="00D14131"/>
    <w:rsid w:val="00D1416B"/>
    <w:rsid w:val="00D141EF"/>
    <w:rsid w:val="00D1443A"/>
    <w:rsid w:val="00D14464"/>
    <w:rsid w:val="00D14554"/>
    <w:rsid w:val="00D1466C"/>
    <w:rsid w:val="00D147E4"/>
    <w:rsid w:val="00D1480F"/>
    <w:rsid w:val="00D14830"/>
    <w:rsid w:val="00D148FD"/>
    <w:rsid w:val="00D14A3D"/>
    <w:rsid w:val="00D14A4E"/>
    <w:rsid w:val="00D14A9F"/>
    <w:rsid w:val="00D14AAB"/>
    <w:rsid w:val="00D14BFA"/>
    <w:rsid w:val="00D14CBC"/>
    <w:rsid w:val="00D14CE7"/>
    <w:rsid w:val="00D14D55"/>
    <w:rsid w:val="00D14D84"/>
    <w:rsid w:val="00D14DFC"/>
    <w:rsid w:val="00D14E25"/>
    <w:rsid w:val="00D14F22"/>
    <w:rsid w:val="00D14F40"/>
    <w:rsid w:val="00D14F52"/>
    <w:rsid w:val="00D1500C"/>
    <w:rsid w:val="00D15077"/>
    <w:rsid w:val="00D1508A"/>
    <w:rsid w:val="00D150F7"/>
    <w:rsid w:val="00D1510A"/>
    <w:rsid w:val="00D1511C"/>
    <w:rsid w:val="00D15125"/>
    <w:rsid w:val="00D15143"/>
    <w:rsid w:val="00D15194"/>
    <w:rsid w:val="00D151CC"/>
    <w:rsid w:val="00D151DE"/>
    <w:rsid w:val="00D152CC"/>
    <w:rsid w:val="00D15385"/>
    <w:rsid w:val="00D15427"/>
    <w:rsid w:val="00D15455"/>
    <w:rsid w:val="00D1548F"/>
    <w:rsid w:val="00D154C4"/>
    <w:rsid w:val="00D154EE"/>
    <w:rsid w:val="00D15715"/>
    <w:rsid w:val="00D159A5"/>
    <w:rsid w:val="00D15B65"/>
    <w:rsid w:val="00D15BA4"/>
    <w:rsid w:val="00D15BC3"/>
    <w:rsid w:val="00D15BD0"/>
    <w:rsid w:val="00D15D47"/>
    <w:rsid w:val="00D15DCC"/>
    <w:rsid w:val="00D15DD9"/>
    <w:rsid w:val="00D15EEA"/>
    <w:rsid w:val="00D15F7F"/>
    <w:rsid w:val="00D16016"/>
    <w:rsid w:val="00D16021"/>
    <w:rsid w:val="00D1606C"/>
    <w:rsid w:val="00D161B0"/>
    <w:rsid w:val="00D16201"/>
    <w:rsid w:val="00D16284"/>
    <w:rsid w:val="00D16286"/>
    <w:rsid w:val="00D1643A"/>
    <w:rsid w:val="00D16727"/>
    <w:rsid w:val="00D16757"/>
    <w:rsid w:val="00D1675E"/>
    <w:rsid w:val="00D167CB"/>
    <w:rsid w:val="00D1682C"/>
    <w:rsid w:val="00D16875"/>
    <w:rsid w:val="00D168F1"/>
    <w:rsid w:val="00D16968"/>
    <w:rsid w:val="00D169AC"/>
    <w:rsid w:val="00D16A1F"/>
    <w:rsid w:val="00D16A57"/>
    <w:rsid w:val="00D16A83"/>
    <w:rsid w:val="00D16C38"/>
    <w:rsid w:val="00D16D97"/>
    <w:rsid w:val="00D16DA4"/>
    <w:rsid w:val="00D16DBF"/>
    <w:rsid w:val="00D16E3A"/>
    <w:rsid w:val="00D17022"/>
    <w:rsid w:val="00D170AE"/>
    <w:rsid w:val="00D170CD"/>
    <w:rsid w:val="00D171AD"/>
    <w:rsid w:val="00D171B5"/>
    <w:rsid w:val="00D172FB"/>
    <w:rsid w:val="00D17418"/>
    <w:rsid w:val="00D1743C"/>
    <w:rsid w:val="00D174AD"/>
    <w:rsid w:val="00D174BA"/>
    <w:rsid w:val="00D174C1"/>
    <w:rsid w:val="00D174D7"/>
    <w:rsid w:val="00D1752B"/>
    <w:rsid w:val="00D1757F"/>
    <w:rsid w:val="00D175B2"/>
    <w:rsid w:val="00D175DA"/>
    <w:rsid w:val="00D175E5"/>
    <w:rsid w:val="00D176D9"/>
    <w:rsid w:val="00D17735"/>
    <w:rsid w:val="00D17740"/>
    <w:rsid w:val="00D178FA"/>
    <w:rsid w:val="00D1795E"/>
    <w:rsid w:val="00D17965"/>
    <w:rsid w:val="00D17984"/>
    <w:rsid w:val="00D179DB"/>
    <w:rsid w:val="00D17A48"/>
    <w:rsid w:val="00D17A8A"/>
    <w:rsid w:val="00D17AD4"/>
    <w:rsid w:val="00D17C78"/>
    <w:rsid w:val="00D17CB0"/>
    <w:rsid w:val="00D17D23"/>
    <w:rsid w:val="00D17DC3"/>
    <w:rsid w:val="00D17E3F"/>
    <w:rsid w:val="00D17E83"/>
    <w:rsid w:val="00D17EDD"/>
    <w:rsid w:val="00D17EE9"/>
    <w:rsid w:val="00D2007F"/>
    <w:rsid w:val="00D201A6"/>
    <w:rsid w:val="00D2024C"/>
    <w:rsid w:val="00D202B2"/>
    <w:rsid w:val="00D202C3"/>
    <w:rsid w:val="00D202FD"/>
    <w:rsid w:val="00D203BA"/>
    <w:rsid w:val="00D204E6"/>
    <w:rsid w:val="00D20525"/>
    <w:rsid w:val="00D20656"/>
    <w:rsid w:val="00D20766"/>
    <w:rsid w:val="00D207FC"/>
    <w:rsid w:val="00D20803"/>
    <w:rsid w:val="00D2080C"/>
    <w:rsid w:val="00D2086F"/>
    <w:rsid w:val="00D20945"/>
    <w:rsid w:val="00D20961"/>
    <w:rsid w:val="00D209BE"/>
    <w:rsid w:val="00D20A04"/>
    <w:rsid w:val="00D20A5E"/>
    <w:rsid w:val="00D20B54"/>
    <w:rsid w:val="00D20C70"/>
    <w:rsid w:val="00D20C88"/>
    <w:rsid w:val="00D20CB6"/>
    <w:rsid w:val="00D20D10"/>
    <w:rsid w:val="00D20D80"/>
    <w:rsid w:val="00D20E54"/>
    <w:rsid w:val="00D20EA4"/>
    <w:rsid w:val="00D20F04"/>
    <w:rsid w:val="00D20F4E"/>
    <w:rsid w:val="00D21059"/>
    <w:rsid w:val="00D210C1"/>
    <w:rsid w:val="00D2113B"/>
    <w:rsid w:val="00D21294"/>
    <w:rsid w:val="00D212AD"/>
    <w:rsid w:val="00D212CA"/>
    <w:rsid w:val="00D21477"/>
    <w:rsid w:val="00D2147C"/>
    <w:rsid w:val="00D214C8"/>
    <w:rsid w:val="00D2156A"/>
    <w:rsid w:val="00D216CB"/>
    <w:rsid w:val="00D216FC"/>
    <w:rsid w:val="00D2172D"/>
    <w:rsid w:val="00D2176E"/>
    <w:rsid w:val="00D21833"/>
    <w:rsid w:val="00D21855"/>
    <w:rsid w:val="00D21914"/>
    <w:rsid w:val="00D21AD1"/>
    <w:rsid w:val="00D21AF8"/>
    <w:rsid w:val="00D21C55"/>
    <w:rsid w:val="00D21D71"/>
    <w:rsid w:val="00D21D7D"/>
    <w:rsid w:val="00D21E60"/>
    <w:rsid w:val="00D21E85"/>
    <w:rsid w:val="00D21F15"/>
    <w:rsid w:val="00D21FBA"/>
    <w:rsid w:val="00D22009"/>
    <w:rsid w:val="00D2202D"/>
    <w:rsid w:val="00D2204E"/>
    <w:rsid w:val="00D221EF"/>
    <w:rsid w:val="00D22326"/>
    <w:rsid w:val="00D223A8"/>
    <w:rsid w:val="00D22410"/>
    <w:rsid w:val="00D2254A"/>
    <w:rsid w:val="00D225B0"/>
    <w:rsid w:val="00D22604"/>
    <w:rsid w:val="00D2264E"/>
    <w:rsid w:val="00D22665"/>
    <w:rsid w:val="00D22675"/>
    <w:rsid w:val="00D22704"/>
    <w:rsid w:val="00D227C0"/>
    <w:rsid w:val="00D22825"/>
    <w:rsid w:val="00D2292F"/>
    <w:rsid w:val="00D22995"/>
    <w:rsid w:val="00D22A0B"/>
    <w:rsid w:val="00D22A77"/>
    <w:rsid w:val="00D22A92"/>
    <w:rsid w:val="00D22AC4"/>
    <w:rsid w:val="00D22B46"/>
    <w:rsid w:val="00D22B7B"/>
    <w:rsid w:val="00D22D6C"/>
    <w:rsid w:val="00D22E56"/>
    <w:rsid w:val="00D22EAB"/>
    <w:rsid w:val="00D22F0B"/>
    <w:rsid w:val="00D22F1B"/>
    <w:rsid w:val="00D22FC3"/>
    <w:rsid w:val="00D23029"/>
    <w:rsid w:val="00D2313C"/>
    <w:rsid w:val="00D2317E"/>
    <w:rsid w:val="00D231FD"/>
    <w:rsid w:val="00D23322"/>
    <w:rsid w:val="00D23551"/>
    <w:rsid w:val="00D2357F"/>
    <w:rsid w:val="00D23586"/>
    <w:rsid w:val="00D235A7"/>
    <w:rsid w:val="00D235D4"/>
    <w:rsid w:val="00D235FB"/>
    <w:rsid w:val="00D23656"/>
    <w:rsid w:val="00D236AF"/>
    <w:rsid w:val="00D236C2"/>
    <w:rsid w:val="00D23856"/>
    <w:rsid w:val="00D23862"/>
    <w:rsid w:val="00D238F5"/>
    <w:rsid w:val="00D23A22"/>
    <w:rsid w:val="00D23B01"/>
    <w:rsid w:val="00D23B9E"/>
    <w:rsid w:val="00D23CC8"/>
    <w:rsid w:val="00D23CEA"/>
    <w:rsid w:val="00D23F01"/>
    <w:rsid w:val="00D24032"/>
    <w:rsid w:val="00D2407D"/>
    <w:rsid w:val="00D240CC"/>
    <w:rsid w:val="00D24113"/>
    <w:rsid w:val="00D241E7"/>
    <w:rsid w:val="00D241F4"/>
    <w:rsid w:val="00D242F5"/>
    <w:rsid w:val="00D242FC"/>
    <w:rsid w:val="00D24429"/>
    <w:rsid w:val="00D2447D"/>
    <w:rsid w:val="00D2449C"/>
    <w:rsid w:val="00D24509"/>
    <w:rsid w:val="00D245B8"/>
    <w:rsid w:val="00D246A4"/>
    <w:rsid w:val="00D2474B"/>
    <w:rsid w:val="00D247E0"/>
    <w:rsid w:val="00D24A41"/>
    <w:rsid w:val="00D24B12"/>
    <w:rsid w:val="00D24B53"/>
    <w:rsid w:val="00D24C5F"/>
    <w:rsid w:val="00D24C8D"/>
    <w:rsid w:val="00D24CF6"/>
    <w:rsid w:val="00D24ECD"/>
    <w:rsid w:val="00D24F8B"/>
    <w:rsid w:val="00D24FBC"/>
    <w:rsid w:val="00D25044"/>
    <w:rsid w:val="00D2505E"/>
    <w:rsid w:val="00D250AC"/>
    <w:rsid w:val="00D25108"/>
    <w:rsid w:val="00D2519B"/>
    <w:rsid w:val="00D251E6"/>
    <w:rsid w:val="00D2526D"/>
    <w:rsid w:val="00D25292"/>
    <w:rsid w:val="00D2536B"/>
    <w:rsid w:val="00D256A1"/>
    <w:rsid w:val="00D25713"/>
    <w:rsid w:val="00D2576C"/>
    <w:rsid w:val="00D25784"/>
    <w:rsid w:val="00D2578D"/>
    <w:rsid w:val="00D25811"/>
    <w:rsid w:val="00D25904"/>
    <w:rsid w:val="00D259DE"/>
    <w:rsid w:val="00D25AA0"/>
    <w:rsid w:val="00D25AE2"/>
    <w:rsid w:val="00D25B35"/>
    <w:rsid w:val="00D25B7C"/>
    <w:rsid w:val="00D25B9E"/>
    <w:rsid w:val="00D25BA6"/>
    <w:rsid w:val="00D25DA4"/>
    <w:rsid w:val="00D25E0E"/>
    <w:rsid w:val="00D25E19"/>
    <w:rsid w:val="00D25E82"/>
    <w:rsid w:val="00D25F22"/>
    <w:rsid w:val="00D25F24"/>
    <w:rsid w:val="00D25F43"/>
    <w:rsid w:val="00D261A4"/>
    <w:rsid w:val="00D2623F"/>
    <w:rsid w:val="00D262B0"/>
    <w:rsid w:val="00D262DE"/>
    <w:rsid w:val="00D26359"/>
    <w:rsid w:val="00D2651D"/>
    <w:rsid w:val="00D2655C"/>
    <w:rsid w:val="00D265F5"/>
    <w:rsid w:val="00D26773"/>
    <w:rsid w:val="00D26797"/>
    <w:rsid w:val="00D26833"/>
    <w:rsid w:val="00D26879"/>
    <w:rsid w:val="00D2689D"/>
    <w:rsid w:val="00D268AD"/>
    <w:rsid w:val="00D268FC"/>
    <w:rsid w:val="00D26928"/>
    <w:rsid w:val="00D26A20"/>
    <w:rsid w:val="00D26AA5"/>
    <w:rsid w:val="00D26BE1"/>
    <w:rsid w:val="00D26C65"/>
    <w:rsid w:val="00D26C92"/>
    <w:rsid w:val="00D26CA8"/>
    <w:rsid w:val="00D26CF0"/>
    <w:rsid w:val="00D26E9B"/>
    <w:rsid w:val="00D26F83"/>
    <w:rsid w:val="00D26FF6"/>
    <w:rsid w:val="00D27138"/>
    <w:rsid w:val="00D271EC"/>
    <w:rsid w:val="00D2722F"/>
    <w:rsid w:val="00D2739E"/>
    <w:rsid w:val="00D273BE"/>
    <w:rsid w:val="00D2744A"/>
    <w:rsid w:val="00D275DB"/>
    <w:rsid w:val="00D27619"/>
    <w:rsid w:val="00D27645"/>
    <w:rsid w:val="00D2765D"/>
    <w:rsid w:val="00D2770D"/>
    <w:rsid w:val="00D2783A"/>
    <w:rsid w:val="00D278FD"/>
    <w:rsid w:val="00D2793C"/>
    <w:rsid w:val="00D27944"/>
    <w:rsid w:val="00D27980"/>
    <w:rsid w:val="00D279B2"/>
    <w:rsid w:val="00D279FA"/>
    <w:rsid w:val="00D27A1B"/>
    <w:rsid w:val="00D27A56"/>
    <w:rsid w:val="00D27AB6"/>
    <w:rsid w:val="00D27AC5"/>
    <w:rsid w:val="00D27B08"/>
    <w:rsid w:val="00D27B6D"/>
    <w:rsid w:val="00D27B88"/>
    <w:rsid w:val="00D27C94"/>
    <w:rsid w:val="00D27CAC"/>
    <w:rsid w:val="00D27E5A"/>
    <w:rsid w:val="00D30030"/>
    <w:rsid w:val="00D3004E"/>
    <w:rsid w:val="00D301D7"/>
    <w:rsid w:val="00D30268"/>
    <w:rsid w:val="00D302F0"/>
    <w:rsid w:val="00D3033B"/>
    <w:rsid w:val="00D30414"/>
    <w:rsid w:val="00D304F9"/>
    <w:rsid w:val="00D305F8"/>
    <w:rsid w:val="00D30622"/>
    <w:rsid w:val="00D30654"/>
    <w:rsid w:val="00D306B5"/>
    <w:rsid w:val="00D306E7"/>
    <w:rsid w:val="00D30702"/>
    <w:rsid w:val="00D30732"/>
    <w:rsid w:val="00D30747"/>
    <w:rsid w:val="00D30775"/>
    <w:rsid w:val="00D30794"/>
    <w:rsid w:val="00D30810"/>
    <w:rsid w:val="00D308AC"/>
    <w:rsid w:val="00D309E9"/>
    <w:rsid w:val="00D30A39"/>
    <w:rsid w:val="00D30A58"/>
    <w:rsid w:val="00D30D7E"/>
    <w:rsid w:val="00D30E89"/>
    <w:rsid w:val="00D30EF0"/>
    <w:rsid w:val="00D30F7E"/>
    <w:rsid w:val="00D30FAF"/>
    <w:rsid w:val="00D3103F"/>
    <w:rsid w:val="00D310C2"/>
    <w:rsid w:val="00D310D6"/>
    <w:rsid w:val="00D31101"/>
    <w:rsid w:val="00D31129"/>
    <w:rsid w:val="00D311EB"/>
    <w:rsid w:val="00D3125E"/>
    <w:rsid w:val="00D312BE"/>
    <w:rsid w:val="00D312E3"/>
    <w:rsid w:val="00D31301"/>
    <w:rsid w:val="00D31410"/>
    <w:rsid w:val="00D31420"/>
    <w:rsid w:val="00D315CB"/>
    <w:rsid w:val="00D315DE"/>
    <w:rsid w:val="00D3166C"/>
    <w:rsid w:val="00D31763"/>
    <w:rsid w:val="00D31781"/>
    <w:rsid w:val="00D31910"/>
    <w:rsid w:val="00D3199C"/>
    <w:rsid w:val="00D319B6"/>
    <w:rsid w:val="00D31A01"/>
    <w:rsid w:val="00D31AB1"/>
    <w:rsid w:val="00D31AC2"/>
    <w:rsid w:val="00D31C22"/>
    <w:rsid w:val="00D31C9F"/>
    <w:rsid w:val="00D31D2C"/>
    <w:rsid w:val="00D31DC9"/>
    <w:rsid w:val="00D31EA0"/>
    <w:rsid w:val="00D31FF1"/>
    <w:rsid w:val="00D3201C"/>
    <w:rsid w:val="00D320FB"/>
    <w:rsid w:val="00D32130"/>
    <w:rsid w:val="00D3227C"/>
    <w:rsid w:val="00D322D5"/>
    <w:rsid w:val="00D3239B"/>
    <w:rsid w:val="00D32413"/>
    <w:rsid w:val="00D32419"/>
    <w:rsid w:val="00D32461"/>
    <w:rsid w:val="00D325B6"/>
    <w:rsid w:val="00D325DE"/>
    <w:rsid w:val="00D325EF"/>
    <w:rsid w:val="00D32679"/>
    <w:rsid w:val="00D326D8"/>
    <w:rsid w:val="00D32702"/>
    <w:rsid w:val="00D32863"/>
    <w:rsid w:val="00D3288A"/>
    <w:rsid w:val="00D3299C"/>
    <w:rsid w:val="00D329C4"/>
    <w:rsid w:val="00D329EC"/>
    <w:rsid w:val="00D329F3"/>
    <w:rsid w:val="00D32A40"/>
    <w:rsid w:val="00D32A94"/>
    <w:rsid w:val="00D32AB9"/>
    <w:rsid w:val="00D32B0B"/>
    <w:rsid w:val="00D32B5F"/>
    <w:rsid w:val="00D32B63"/>
    <w:rsid w:val="00D32BEE"/>
    <w:rsid w:val="00D32CF5"/>
    <w:rsid w:val="00D32D84"/>
    <w:rsid w:val="00D32DFD"/>
    <w:rsid w:val="00D32E4E"/>
    <w:rsid w:val="00D32F6D"/>
    <w:rsid w:val="00D32FC3"/>
    <w:rsid w:val="00D33009"/>
    <w:rsid w:val="00D33011"/>
    <w:rsid w:val="00D330B3"/>
    <w:rsid w:val="00D33180"/>
    <w:rsid w:val="00D33185"/>
    <w:rsid w:val="00D331B7"/>
    <w:rsid w:val="00D33353"/>
    <w:rsid w:val="00D33366"/>
    <w:rsid w:val="00D33451"/>
    <w:rsid w:val="00D334A0"/>
    <w:rsid w:val="00D335F2"/>
    <w:rsid w:val="00D3373E"/>
    <w:rsid w:val="00D338D6"/>
    <w:rsid w:val="00D338D9"/>
    <w:rsid w:val="00D338F3"/>
    <w:rsid w:val="00D33955"/>
    <w:rsid w:val="00D33959"/>
    <w:rsid w:val="00D3395C"/>
    <w:rsid w:val="00D3396E"/>
    <w:rsid w:val="00D339DE"/>
    <w:rsid w:val="00D33A3B"/>
    <w:rsid w:val="00D33AC1"/>
    <w:rsid w:val="00D33B7E"/>
    <w:rsid w:val="00D33C00"/>
    <w:rsid w:val="00D33DCE"/>
    <w:rsid w:val="00D33E5B"/>
    <w:rsid w:val="00D33E9F"/>
    <w:rsid w:val="00D33EAA"/>
    <w:rsid w:val="00D340E3"/>
    <w:rsid w:val="00D34307"/>
    <w:rsid w:val="00D3437E"/>
    <w:rsid w:val="00D34397"/>
    <w:rsid w:val="00D3450A"/>
    <w:rsid w:val="00D3473B"/>
    <w:rsid w:val="00D347E7"/>
    <w:rsid w:val="00D3480C"/>
    <w:rsid w:val="00D348CF"/>
    <w:rsid w:val="00D34936"/>
    <w:rsid w:val="00D34963"/>
    <w:rsid w:val="00D34A40"/>
    <w:rsid w:val="00D34A75"/>
    <w:rsid w:val="00D34C9A"/>
    <w:rsid w:val="00D34D20"/>
    <w:rsid w:val="00D34D76"/>
    <w:rsid w:val="00D34E37"/>
    <w:rsid w:val="00D34F50"/>
    <w:rsid w:val="00D35006"/>
    <w:rsid w:val="00D3500F"/>
    <w:rsid w:val="00D35085"/>
    <w:rsid w:val="00D35088"/>
    <w:rsid w:val="00D3518E"/>
    <w:rsid w:val="00D3532A"/>
    <w:rsid w:val="00D353EF"/>
    <w:rsid w:val="00D35463"/>
    <w:rsid w:val="00D3556C"/>
    <w:rsid w:val="00D355A9"/>
    <w:rsid w:val="00D35618"/>
    <w:rsid w:val="00D35636"/>
    <w:rsid w:val="00D35639"/>
    <w:rsid w:val="00D35754"/>
    <w:rsid w:val="00D35799"/>
    <w:rsid w:val="00D357E3"/>
    <w:rsid w:val="00D3586E"/>
    <w:rsid w:val="00D358D6"/>
    <w:rsid w:val="00D35906"/>
    <w:rsid w:val="00D3590A"/>
    <w:rsid w:val="00D359AE"/>
    <w:rsid w:val="00D35A01"/>
    <w:rsid w:val="00D35A8F"/>
    <w:rsid w:val="00D35B2A"/>
    <w:rsid w:val="00D35B7A"/>
    <w:rsid w:val="00D35B7B"/>
    <w:rsid w:val="00D35B89"/>
    <w:rsid w:val="00D35BD2"/>
    <w:rsid w:val="00D35C2D"/>
    <w:rsid w:val="00D35D5E"/>
    <w:rsid w:val="00D35DEE"/>
    <w:rsid w:val="00D35E82"/>
    <w:rsid w:val="00D35E9C"/>
    <w:rsid w:val="00D35F1D"/>
    <w:rsid w:val="00D35F63"/>
    <w:rsid w:val="00D3601B"/>
    <w:rsid w:val="00D3605E"/>
    <w:rsid w:val="00D3609E"/>
    <w:rsid w:val="00D360B3"/>
    <w:rsid w:val="00D360BE"/>
    <w:rsid w:val="00D36114"/>
    <w:rsid w:val="00D36165"/>
    <w:rsid w:val="00D361F0"/>
    <w:rsid w:val="00D36235"/>
    <w:rsid w:val="00D362D4"/>
    <w:rsid w:val="00D3632B"/>
    <w:rsid w:val="00D36334"/>
    <w:rsid w:val="00D3633D"/>
    <w:rsid w:val="00D363EA"/>
    <w:rsid w:val="00D36432"/>
    <w:rsid w:val="00D3647C"/>
    <w:rsid w:val="00D3656F"/>
    <w:rsid w:val="00D3657D"/>
    <w:rsid w:val="00D3659E"/>
    <w:rsid w:val="00D365A9"/>
    <w:rsid w:val="00D3661B"/>
    <w:rsid w:val="00D36629"/>
    <w:rsid w:val="00D36686"/>
    <w:rsid w:val="00D366A2"/>
    <w:rsid w:val="00D366A7"/>
    <w:rsid w:val="00D366ED"/>
    <w:rsid w:val="00D367AE"/>
    <w:rsid w:val="00D367BE"/>
    <w:rsid w:val="00D367C0"/>
    <w:rsid w:val="00D368CD"/>
    <w:rsid w:val="00D36928"/>
    <w:rsid w:val="00D3693A"/>
    <w:rsid w:val="00D36952"/>
    <w:rsid w:val="00D36A42"/>
    <w:rsid w:val="00D36AAD"/>
    <w:rsid w:val="00D36AC1"/>
    <w:rsid w:val="00D36B10"/>
    <w:rsid w:val="00D36B66"/>
    <w:rsid w:val="00D36B6A"/>
    <w:rsid w:val="00D36BD2"/>
    <w:rsid w:val="00D36D5B"/>
    <w:rsid w:val="00D36D78"/>
    <w:rsid w:val="00D36E5C"/>
    <w:rsid w:val="00D36EC3"/>
    <w:rsid w:val="00D36F79"/>
    <w:rsid w:val="00D36F93"/>
    <w:rsid w:val="00D36F99"/>
    <w:rsid w:val="00D36FFD"/>
    <w:rsid w:val="00D3700B"/>
    <w:rsid w:val="00D37019"/>
    <w:rsid w:val="00D37022"/>
    <w:rsid w:val="00D37133"/>
    <w:rsid w:val="00D3716B"/>
    <w:rsid w:val="00D37209"/>
    <w:rsid w:val="00D372A1"/>
    <w:rsid w:val="00D37365"/>
    <w:rsid w:val="00D37382"/>
    <w:rsid w:val="00D37546"/>
    <w:rsid w:val="00D37551"/>
    <w:rsid w:val="00D37587"/>
    <w:rsid w:val="00D3760F"/>
    <w:rsid w:val="00D3762A"/>
    <w:rsid w:val="00D37647"/>
    <w:rsid w:val="00D376D3"/>
    <w:rsid w:val="00D3776D"/>
    <w:rsid w:val="00D377CE"/>
    <w:rsid w:val="00D37866"/>
    <w:rsid w:val="00D37868"/>
    <w:rsid w:val="00D37954"/>
    <w:rsid w:val="00D37AAA"/>
    <w:rsid w:val="00D37AF9"/>
    <w:rsid w:val="00D37B27"/>
    <w:rsid w:val="00D37B63"/>
    <w:rsid w:val="00D37BBD"/>
    <w:rsid w:val="00D37C63"/>
    <w:rsid w:val="00D37C77"/>
    <w:rsid w:val="00D37CDE"/>
    <w:rsid w:val="00D37CFE"/>
    <w:rsid w:val="00D37D91"/>
    <w:rsid w:val="00D37DE1"/>
    <w:rsid w:val="00D40212"/>
    <w:rsid w:val="00D40274"/>
    <w:rsid w:val="00D402EC"/>
    <w:rsid w:val="00D403EA"/>
    <w:rsid w:val="00D40439"/>
    <w:rsid w:val="00D4044B"/>
    <w:rsid w:val="00D4048C"/>
    <w:rsid w:val="00D404D1"/>
    <w:rsid w:val="00D405C4"/>
    <w:rsid w:val="00D405D0"/>
    <w:rsid w:val="00D40610"/>
    <w:rsid w:val="00D40677"/>
    <w:rsid w:val="00D406D6"/>
    <w:rsid w:val="00D4078B"/>
    <w:rsid w:val="00D40809"/>
    <w:rsid w:val="00D40933"/>
    <w:rsid w:val="00D409BE"/>
    <w:rsid w:val="00D40A05"/>
    <w:rsid w:val="00D40A40"/>
    <w:rsid w:val="00D40A78"/>
    <w:rsid w:val="00D40AA1"/>
    <w:rsid w:val="00D40AD2"/>
    <w:rsid w:val="00D40B46"/>
    <w:rsid w:val="00D40BA7"/>
    <w:rsid w:val="00D40BAC"/>
    <w:rsid w:val="00D40BCE"/>
    <w:rsid w:val="00D40C8B"/>
    <w:rsid w:val="00D40E3D"/>
    <w:rsid w:val="00D40E48"/>
    <w:rsid w:val="00D40F8F"/>
    <w:rsid w:val="00D40FD9"/>
    <w:rsid w:val="00D40FF4"/>
    <w:rsid w:val="00D4103F"/>
    <w:rsid w:val="00D4109E"/>
    <w:rsid w:val="00D41115"/>
    <w:rsid w:val="00D4116C"/>
    <w:rsid w:val="00D411DC"/>
    <w:rsid w:val="00D411E8"/>
    <w:rsid w:val="00D41345"/>
    <w:rsid w:val="00D41350"/>
    <w:rsid w:val="00D41365"/>
    <w:rsid w:val="00D41492"/>
    <w:rsid w:val="00D4149D"/>
    <w:rsid w:val="00D414A5"/>
    <w:rsid w:val="00D4162D"/>
    <w:rsid w:val="00D41734"/>
    <w:rsid w:val="00D41983"/>
    <w:rsid w:val="00D41A93"/>
    <w:rsid w:val="00D41B4C"/>
    <w:rsid w:val="00D41BC1"/>
    <w:rsid w:val="00D41CAB"/>
    <w:rsid w:val="00D41CB0"/>
    <w:rsid w:val="00D41D82"/>
    <w:rsid w:val="00D41DF4"/>
    <w:rsid w:val="00D41F92"/>
    <w:rsid w:val="00D41F93"/>
    <w:rsid w:val="00D41FF4"/>
    <w:rsid w:val="00D4204F"/>
    <w:rsid w:val="00D4206D"/>
    <w:rsid w:val="00D42109"/>
    <w:rsid w:val="00D421B0"/>
    <w:rsid w:val="00D421BB"/>
    <w:rsid w:val="00D42302"/>
    <w:rsid w:val="00D4230E"/>
    <w:rsid w:val="00D423F9"/>
    <w:rsid w:val="00D42425"/>
    <w:rsid w:val="00D424D7"/>
    <w:rsid w:val="00D42600"/>
    <w:rsid w:val="00D42661"/>
    <w:rsid w:val="00D4274B"/>
    <w:rsid w:val="00D427D1"/>
    <w:rsid w:val="00D427DA"/>
    <w:rsid w:val="00D42802"/>
    <w:rsid w:val="00D428F8"/>
    <w:rsid w:val="00D42925"/>
    <w:rsid w:val="00D42AA7"/>
    <w:rsid w:val="00D42AC0"/>
    <w:rsid w:val="00D42BAA"/>
    <w:rsid w:val="00D42D44"/>
    <w:rsid w:val="00D42D6E"/>
    <w:rsid w:val="00D42E2E"/>
    <w:rsid w:val="00D42ED4"/>
    <w:rsid w:val="00D42EFD"/>
    <w:rsid w:val="00D4303E"/>
    <w:rsid w:val="00D43061"/>
    <w:rsid w:val="00D4308E"/>
    <w:rsid w:val="00D430E2"/>
    <w:rsid w:val="00D4315E"/>
    <w:rsid w:val="00D4321F"/>
    <w:rsid w:val="00D432D0"/>
    <w:rsid w:val="00D432ED"/>
    <w:rsid w:val="00D433AB"/>
    <w:rsid w:val="00D433AC"/>
    <w:rsid w:val="00D4348D"/>
    <w:rsid w:val="00D43516"/>
    <w:rsid w:val="00D43523"/>
    <w:rsid w:val="00D4357D"/>
    <w:rsid w:val="00D435CE"/>
    <w:rsid w:val="00D4362F"/>
    <w:rsid w:val="00D436CE"/>
    <w:rsid w:val="00D436F3"/>
    <w:rsid w:val="00D4378A"/>
    <w:rsid w:val="00D43823"/>
    <w:rsid w:val="00D43996"/>
    <w:rsid w:val="00D439F5"/>
    <w:rsid w:val="00D43BFD"/>
    <w:rsid w:val="00D43C8E"/>
    <w:rsid w:val="00D43D29"/>
    <w:rsid w:val="00D43D81"/>
    <w:rsid w:val="00D43E48"/>
    <w:rsid w:val="00D43E5B"/>
    <w:rsid w:val="00D43F18"/>
    <w:rsid w:val="00D43F32"/>
    <w:rsid w:val="00D43F56"/>
    <w:rsid w:val="00D43F9B"/>
    <w:rsid w:val="00D44099"/>
    <w:rsid w:val="00D440A3"/>
    <w:rsid w:val="00D442C7"/>
    <w:rsid w:val="00D44340"/>
    <w:rsid w:val="00D443D0"/>
    <w:rsid w:val="00D4447F"/>
    <w:rsid w:val="00D444FC"/>
    <w:rsid w:val="00D44611"/>
    <w:rsid w:val="00D44648"/>
    <w:rsid w:val="00D446A2"/>
    <w:rsid w:val="00D446F2"/>
    <w:rsid w:val="00D44749"/>
    <w:rsid w:val="00D44797"/>
    <w:rsid w:val="00D44948"/>
    <w:rsid w:val="00D44961"/>
    <w:rsid w:val="00D449CE"/>
    <w:rsid w:val="00D44A4B"/>
    <w:rsid w:val="00D44A52"/>
    <w:rsid w:val="00D44A57"/>
    <w:rsid w:val="00D44A89"/>
    <w:rsid w:val="00D44A9B"/>
    <w:rsid w:val="00D44AB4"/>
    <w:rsid w:val="00D44BA2"/>
    <w:rsid w:val="00D44C11"/>
    <w:rsid w:val="00D44C4A"/>
    <w:rsid w:val="00D44CAF"/>
    <w:rsid w:val="00D44D7F"/>
    <w:rsid w:val="00D44E63"/>
    <w:rsid w:val="00D44F38"/>
    <w:rsid w:val="00D4503D"/>
    <w:rsid w:val="00D45301"/>
    <w:rsid w:val="00D4537B"/>
    <w:rsid w:val="00D454F3"/>
    <w:rsid w:val="00D45538"/>
    <w:rsid w:val="00D456B7"/>
    <w:rsid w:val="00D457BD"/>
    <w:rsid w:val="00D4581F"/>
    <w:rsid w:val="00D458A4"/>
    <w:rsid w:val="00D458E0"/>
    <w:rsid w:val="00D45979"/>
    <w:rsid w:val="00D45A50"/>
    <w:rsid w:val="00D45A61"/>
    <w:rsid w:val="00D45B3A"/>
    <w:rsid w:val="00D45B6F"/>
    <w:rsid w:val="00D45C0A"/>
    <w:rsid w:val="00D45C7A"/>
    <w:rsid w:val="00D45CB5"/>
    <w:rsid w:val="00D45D0F"/>
    <w:rsid w:val="00D45D4E"/>
    <w:rsid w:val="00D45D7F"/>
    <w:rsid w:val="00D45D82"/>
    <w:rsid w:val="00D45F31"/>
    <w:rsid w:val="00D45F92"/>
    <w:rsid w:val="00D46034"/>
    <w:rsid w:val="00D460E5"/>
    <w:rsid w:val="00D4618F"/>
    <w:rsid w:val="00D46275"/>
    <w:rsid w:val="00D462AA"/>
    <w:rsid w:val="00D4635E"/>
    <w:rsid w:val="00D4638F"/>
    <w:rsid w:val="00D46394"/>
    <w:rsid w:val="00D4643F"/>
    <w:rsid w:val="00D4644F"/>
    <w:rsid w:val="00D464A2"/>
    <w:rsid w:val="00D464B6"/>
    <w:rsid w:val="00D465D7"/>
    <w:rsid w:val="00D46661"/>
    <w:rsid w:val="00D4667C"/>
    <w:rsid w:val="00D4668D"/>
    <w:rsid w:val="00D4668F"/>
    <w:rsid w:val="00D466C3"/>
    <w:rsid w:val="00D46780"/>
    <w:rsid w:val="00D467F4"/>
    <w:rsid w:val="00D46826"/>
    <w:rsid w:val="00D4685B"/>
    <w:rsid w:val="00D469D3"/>
    <w:rsid w:val="00D46AC3"/>
    <w:rsid w:val="00D46C4D"/>
    <w:rsid w:val="00D46D45"/>
    <w:rsid w:val="00D46DDF"/>
    <w:rsid w:val="00D46DF6"/>
    <w:rsid w:val="00D46E08"/>
    <w:rsid w:val="00D46EC3"/>
    <w:rsid w:val="00D46ED1"/>
    <w:rsid w:val="00D46FA6"/>
    <w:rsid w:val="00D47087"/>
    <w:rsid w:val="00D471F6"/>
    <w:rsid w:val="00D4724A"/>
    <w:rsid w:val="00D4729D"/>
    <w:rsid w:val="00D472F3"/>
    <w:rsid w:val="00D473EE"/>
    <w:rsid w:val="00D47436"/>
    <w:rsid w:val="00D47485"/>
    <w:rsid w:val="00D474A6"/>
    <w:rsid w:val="00D47633"/>
    <w:rsid w:val="00D4763B"/>
    <w:rsid w:val="00D47652"/>
    <w:rsid w:val="00D4772D"/>
    <w:rsid w:val="00D477D7"/>
    <w:rsid w:val="00D478AA"/>
    <w:rsid w:val="00D47942"/>
    <w:rsid w:val="00D47A9B"/>
    <w:rsid w:val="00D47AA4"/>
    <w:rsid w:val="00D47B4A"/>
    <w:rsid w:val="00D47B64"/>
    <w:rsid w:val="00D47CD8"/>
    <w:rsid w:val="00D47D57"/>
    <w:rsid w:val="00D47DD4"/>
    <w:rsid w:val="00D47E44"/>
    <w:rsid w:val="00D47EDF"/>
    <w:rsid w:val="00D47EE1"/>
    <w:rsid w:val="00D47EF2"/>
    <w:rsid w:val="00D50035"/>
    <w:rsid w:val="00D50091"/>
    <w:rsid w:val="00D500C4"/>
    <w:rsid w:val="00D50158"/>
    <w:rsid w:val="00D50256"/>
    <w:rsid w:val="00D50339"/>
    <w:rsid w:val="00D5034F"/>
    <w:rsid w:val="00D50351"/>
    <w:rsid w:val="00D504BD"/>
    <w:rsid w:val="00D5050D"/>
    <w:rsid w:val="00D50634"/>
    <w:rsid w:val="00D506B8"/>
    <w:rsid w:val="00D506C6"/>
    <w:rsid w:val="00D50950"/>
    <w:rsid w:val="00D50A1A"/>
    <w:rsid w:val="00D50BC0"/>
    <w:rsid w:val="00D50BD3"/>
    <w:rsid w:val="00D50C27"/>
    <w:rsid w:val="00D50CDB"/>
    <w:rsid w:val="00D50DA1"/>
    <w:rsid w:val="00D50E36"/>
    <w:rsid w:val="00D50EE1"/>
    <w:rsid w:val="00D50F2D"/>
    <w:rsid w:val="00D50F6B"/>
    <w:rsid w:val="00D50F83"/>
    <w:rsid w:val="00D50F8B"/>
    <w:rsid w:val="00D50FB7"/>
    <w:rsid w:val="00D50FC9"/>
    <w:rsid w:val="00D5115E"/>
    <w:rsid w:val="00D5116D"/>
    <w:rsid w:val="00D51192"/>
    <w:rsid w:val="00D5121D"/>
    <w:rsid w:val="00D51222"/>
    <w:rsid w:val="00D5122D"/>
    <w:rsid w:val="00D51334"/>
    <w:rsid w:val="00D51371"/>
    <w:rsid w:val="00D51394"/>
    <w:rsid w:val="00D51441"/>
    <w:rsid w:val="00D51499"/>
    <w:rsid w:val="00D5149B"/>
    <w:rsid w:val="00D514CF"/>
    <w:rsid w:val="00D514F1"/>
    <w:rsid w:val="00D514FE"/>
    <w:rsid w:val="00D515AF"/>
    <w:rsid w:val="00D515DE"/>
    <w:rsid w:val="00D51600"/>
    <w:rsid w:val="00D51626"/>
    <w:rsid w:val="00D51713"/>
    <w:rsid w:val="00D51714"/>
    <w:rsid w:val="00D51772"/>
    <w:rsid w:val="00D519EB"/>
    <w:rsid w:val="00D51A90"/>
    <w:rsid w:val="00D51B05"/>
    <w:rsid w:val="00D51B87"/>
    <w:rsid w:val="00D51C20"/>
    <w:rsid w:val="00D51CF5"/>
    <w:rsid w:val="00D51DD6"/>
    <w:rsid w:val="00D51DFC"/>
    <w:rsid w:val="00D51E25"/>
    <w:rsid w:val="00D51ED7"/>
    <w:rsid w:val="00D51F02"/>
    <w:rsid w:val="00D51F08"/>
    <w:rsid w:val="00D51FA7"/>
    <w:rsid w:val="00D51FB5"/>
    <w:rsid w:val="00D51FFA"/>
    <w:rsid w:val="00D52099"/>
    <w:rsid w:val="00D52198"/>
    <w:rsid w:val="00D52242"/>
    <w:rsid w:val="00D5228D"/>
    <w:rsid w:val="00D522D0"/>
    <w:rsid w:val="00D522E0"/>
    <w:rsid w:val="00D522EE"/>
    <w:rsid w:val="00D52427"/>
    <w:rsid w:val="00D52462"/>
    <w:rsid w:val="00D5256C"/>
    <w:rsid w:val="00D525E7"/>
    <w:rsid w:val="00D52610"/>
    <w:rsid w:val="00D52623"/>
    <w:rsid w:val="00D52658"/>
    <w:rsid w:val="00D526F9"/>
    <w:rsid w:val="00D5273E"/>
    <w:rsid w:val="00D52745"/>
    <w:rsid w:val="00D52775"/>
    <w:rsid w:val="00D528B7"/>
    <w:rsid w:val="00D52967"/>
    <w:rsid w:val="00D529C5"/>
    <w:rsid w:val="00D529D8"/>
    <w:rsid w:val="00D52A51"/>
    <w:rsid w:val="00D52A67"/>
    <w:rsid w:val="00D52AD7"/>
    <w:rsid w:val="00D52DA6"/>
    <w:rsid w:val="00D52DA7"/>
    <w:rsid w:val="00D52DBE"/>
    <w:rsid w:val="00D52DE0"/>
    <w:rsid w:val="00D52E6E"/>
    <w:rsid w:val="00D52E6F"/>
    <w:rsid w:val="00D52FDD"/>
    <w:rsid w:val="00D53011"/>
    <w:rsid w:val="00D53085"/>
    <w:rsid w:val="00D530DB"/>
    <w:rsid w:val="00D53147"/>
    <w:rsid w:val="00D5318A"/>
    <w:rsid w:val="00D5318D"/>
    <w:rsid w:val="00D5320C"/>
    <w:rsid w:val="00D532AA"/>
    <w:rsid w:val="00D53322"/>
    <w:rsid w:val="00D5337A"/>
    <w:rsid w:val="00D533D1"/>
    <w:rsid w:val="00D534B3"/>
    <w:rsid w:val="00D534BC"/>
    <w:rsid w:val="00D53507"/>
    <w:rsid w:val="00D5362A"/>
    <w:rsid w:val="00D53653"/>
    <w:rsid w:val="00D53671"/>
    <w:rsid w:val="00D536DC"/>
    <w:rsid w:val="00D536F0"/>
    <w:rsid w:val="00D53737"/>
    <w:rsid w:val="00D5377F"/>
    <w:rsid w:val="00D537BE"/>
    <w:rsid w:val="00D5381A"/>
    <w:rsid w:val="00D5394B"/>
    <w:rsid w:val="00D539B9"/>
    <w:rsid w:val="00D539E0"/>
    <w:rsid w:val="00D53A49"/>
    <w:rsid w:val="00D53B68"/>
    <w:rsid w:val="00D53BC8"/>
    <w:rsid w:val="00D53BE5"/>
    <w:rsid w:val="00D53CC8"/>
    <w:rsid w:val="00D53D00"/>
    <w:rsid w:val="00D53D62"/>
    <w:rsid w:val="00D53DE4"/>
    <w:rsid w:val="00D53E47"/>
    <w:rsid w:val="00D53EC5"/>
    <w:rsid w:val="00D53F1B"/>
    <w:rsid w:val="00D53F1D"/>
    <w:rsid w:val="00D5401A"/>
    <w:rsid w:val="00D540D8"/>
    <w:rsid w:val="00D54152"/>
    <w:rsid w:val="00D542DE"/>
    <w:rsid w:val="00D5430A"/>
    <w:rsid w:val="00D5436F"/>
    <w:rsid w:val="00D543A5"/>
    <w:rsid w:val="00D543AA"/>
    <w:rsid w:val="00D543F8"/>
    <w:rsid w:val="00D5442F"/>
    <w:rsid w:val="00D5449F"/>
    <w:rsid w:val="00D545CA"/>
    <w:rsid w:val="00D545CC"/>
    <w:rsid w:val="00D545DC"/>
    <w:rsid w:val="00D54686"/>
    <w:rsid w:val="00D5472E"/>
    <w:rsid w:val="00D547A1"/>
    <w:rsid w:val="00D547FC"/>
    <w:rsid w:val="00D54871"/>
    <w:rsid w:val="00D54887"/>
    <w:rsid w:val="00D54943"/>
    <w:rsid w:val="00D549BB"/>
    <w:rsid w:val="00D54A4A"/>
    <w:rsid w:val="00D54AB0"/>
    <w:rsid w:val="00D54AB2"/>
    <w:rsid w:val="00D54ACF"/>
    <w:rsid w:val="00D54B2E"/>
    <w:rsid w:val="00D54BA8"/>
    <w:rsid w:val="00D54D00"/>
    <w:rsid w:val="00D54D54"/>
    <w:rsid w:val="00D54D93"/>
    <w:rsid w:val="00D54E93"/>
    <w:rsid w:val="00D55066"/>
    <w:rsid w:val="00D550E4"/>
    <w:rsid w:val="00D551B8"/>
    <w:rsid w:val="00D55359"/>
    <w:rsid w:val="00D553A1"/>
    <w:rsid w:val="00D553D5"/>
    <w:rsid w:val="00D5543A"/>
    <w:rsid w:val="00D5543C"/>
    <w:rsid w:val="00D55570"/>
    <w:rsid w:val="00D555C4"/>
    <w:rsid w:val="00D55889"/>
    <w:rsid w:val="00D558D1"/>
    <w:rsid w:val="00D55907"/>
    <w:rsid w:val="00D55925"/>
    <w:rsid w:val="00D559AA"/>
    <w:rsid w:val="00D559DE"/>
    <w:rsid w:val="00D559FA"/>
    <w:rsid w:val="00D55A1D"/>
    <w:rsid w:val="00D55AEA"/>
    <w:rsid w:val="00D55AFC"/>
    <w:rsid w:val="00D55B35"/>
    <w:rsid w:val="00D55B7A"/>
    <w:rsid w:val="00D55B81"/>
    <w:rsid w:val="00D55D45"/>
    <w:rsid w:val="00D55ECB"/>
    <w:rsid w:val="00D55F00"/>
    <w:rsid w:val="00D55F70"/>
    <w:rsid w:val="00D560CC"/>
    <w:rsid w:val="00D56103"/>
    <w:rsid w:val="00D56192"/>
    <w:rsid w:val="00D56352"/>
    <w:rsid w:val="00D5636C"/>
    <w:rsid w:val="00D563F1"/>
    <w:rsid w:val="00D563F6"/>
    <w:rsid w:val="00D56574"/>
    <w:rsid w:val="00D566B2"/>
    <w:rsid w:val="00D566C0"/>
    <w:rsid w:val="00D567F6"/>
    <w:rsid w:val="00D56909"/>
    <w:rsid w:val="00D56975"/>
    <w:rsid w:val="00D569BF"/>
    <w:rsid w:val="00D56A14"/>
    <w:rsid w:val="00D56ABA"/>
    <w:rsid w:val="00D56BA0"/>
    <w:rsid w:val="00D56BE5"/>
    <w:rsid w:val="00D56C16"/>
    <w:rsid w:val="00D56CA7"/>
    <w:rsid w:val="00D56D45"/>
    <w:rsid w:val="00D56DD6"/>
    <w:rsid w:val="00D56DDE"/>
    <w:rsid w:val="00D56EEC"/>
    <w:rsid w:val="00D56F74"/>
    <w:rsid w:val="00D57036"/>
    <w:rsid w:val="00D57106"/>
    <w:rsid w:val="00D5716F"/>
    <w:rsid w:val="00D57262"/>
    <w:rsid w:val="00D572AD"/>
    <w:rsid w:val="00D573B0"/>
    <w:rsid w:val="00D573CD"/>
    <w:rsid w:val="00D57490"/>
    <w:rsid w:val="00D57512"/>
    <w:rsid w:val="00D575E1"/>
    <w:rsid w:val="00D5761D"/>
    <w:rsid w:val="00D57690"/>
    <w:rsid w:val="00D57871"/>
    <w:rsid w:val="00D579C3"/>
    <w:rsid w:val="00D579D6"/>
    <w:rsid w:val="00D57A6F"/>
    <w:rsid w:val="00D57A7F"/>
    <w:rsid w:val="00D57B10"/>
    <w:rsid w:val="00D57B15"/>
    <w:rsid w:val="00D57C8A"/>
    <w:rsid w:val="00D57CAA"/>
    <w:rsid w:val="00D57CC6"/>
    <w:rsid w:val="00D57D23"/>
    <w:rsid w:val="00D57DA5"/>
    <w:rsid w:val="00D57DD8"/>
    <w:rsid w:val="00D57E1A"/>
    <w:rsid w:val="00D57E25"/>
    <w:rsid w:val="00D57E30"/>
    <w:rsid w:val="00D57FD1"/>
    <w:rsid w:val="00D60020"/>
    <w:rsid w:val="00D6018A"/>
    <w:rsid w:val="00D60332"/>
    <w:rsid w:val="00D60350"/>
    <w:rsid w:val="00D603C2"/>
    <w:rsid w:val="00D6040A"/>
    <w:rsid w:val="00D6054F"/>
    <w:rsid w:val="00D60609"/>
    <w:rsid w:val="00D60759"/>
    <w:rsid w:val="00D60817"/>
    <w:rsid w:val="00D608CD"/>
    <w:rsid w:val="00D608FB"/>
    <w:rsid w:val="00D609E7"/>
    <w:rsid w:val="00D60A60"/>
    <w:rsid w:val="00D60AA1"/>
    <w:rsid w:val="00D60B47"/>
    <w:rsid w:val="00D60BC1"/>
    <w:rsid w:val="00D60DA3"/>
    <w:rsid w:val="00D60DC9"/>
    <w:rsid w:val="00D60E12"/>
    <w:rsid w:val="00D60E73"/>
    <w:rsid w:val="00D60E82"/>
    <w:rsid w:val="00D60F7E"/>
    <w:rsid w:val="00D60FD6"/>
    <w:rsid w:val="00D6114B"/>
    <w:rsid w:val="00D6132D"/>
    <w:rsid w:val="00D614CF"/>
    <w:rsid w:val="00D61614"/>
    <w:rsid w:val="00D61726"/>
    <w:rsid w:val="00D617C0"/>
    <w:rsid w:val="00D61868"/>
    <w:rsid w:val="00D618F9"/>
    <w:rsid w:val="00D619D8"/>
    <w:rsid w:val="00D61A5A"/>
    <w:rsid w:val="00D61A8D"/>
    <w:rsid w:val="00D61AD8"/>
    <w:rsid w:val="00D61BE5"/>
    <w:rsid w:val="00D61C5E"/>
    <w:rsid w:val="00D61C8C"/>
    <w:rsid w:val="00D61D0B"/>
    <w:rsid w:val="00D61F26"/>
    <w:rsid w:val="00D62068"/>
    <w:rsid w:val="00D621CA"/>
    <w:rsid w:val="00D621E8"/>
    <w:rsid w:val="00D621EE"/>
    <w:rsid w:val="00D622ED"/>
    <w:rsid w:val="00D62382"/>
    <w:rsid w:val="00D62476"/>
    <w:rsid w:val="00D62596"/>
    <w:rsid w:val="00D62718"/>
    <w:rsid w:val="00D62730"/>
    <w:rsid w:val="00D627D5"/>
    <w:rsid w:val="00D62856"/>
    <w:rsid w:val="00D62874"/>
    <w:rsid w:val="00D628FC"/>
    <w:rsid w:val="00D62902"/>
    <w:rsid w:val="00D62A40"/>
    <w:rsid w:val="00D62A66"/>
    <w:rsid w:val="00D62A79"/>
    <w:rsid w:val="00D62A97"/>
    <w:rsid w:val="00D62BE0"/>
    <w:rsid w:val="00D62C2E"/>
    <w:rsid w:val="00D62CF0"/>
    <w:rsid w:val="00D62DC5"/>
    <w:rsid w:val="00D62DD1"/>
    <w:rsid w:val="00D62F2C"/>
    <w:rsid w:val="00D62F7C"/>
    <w:rsid w:val="00D62F88"/>
    <w:rsid w:val="00D6310F"/>
    <w:rsid w:val="00D63250"/>
    <w:rsid w:val="00D63255"/>
    <w:rsid w:val="00D63335"/>
    <w:rsid w:val="00D633F1"/>
    <w:rsid w:val="00D633FE"/>
    <w:rsid w:val="00D63543"/>
    <w:rsid w:val="00D636A8"/>
    <w:rsid w:val="00D63752"/>
    <w:rsid w:val="00D6377F"/>
    <w:rsid w:val="00D6379E"/>
    <w:rsid w:val="00D6382A"/>
    <w:rsid w:val="00D63876"/>
    <w:rsid w:val="00D639A5"/>
    <w:rsid w:val="00D639E6"/>
    <w:rsid w:val="00D63A56"/>
    <w:rsid w:val="00D63B0A"/>
    <w:rsid w:val="00D63CC8"/>
    <w:rsid w:val="00D63CCF"/>
    <w:rsid w:val="00D63CEF"/>
    <w:rsid w:val="00D63EC0"/>
    <w:rsid w:val="00D63FF9"/>
    <w:rsid w:val="00D64044"/>
    <w:rsid w:val="00D640E6"/>
    <w:rsid w:val="00D64129"/>
    <w:rsid w:val="00D6414E"/>
    <w:rsid w:val="00D64154"/>
    <w:rsid w:val="00D64193"/>
    <w:rsid w:val="00D641BB"/>
    <w:rsid w:val="00D641ED"/>
    <w:rsid w:val="00D6422C"/>
    <w:rsid w:val="00D642E3"/>
    <w:rsid w:val="00D643AE"/>
    <w:rsid w:val="00D643D2"/>
    <w:rsid w:val="00D6440B"/>
    <w:rsid w:val="00D6448F"/>
    <w:rsid w:val="00D64552"/>
    <w:rsid w:val="00D64592"/>
    <w:rsid w:val="00D64656"/>
    <w:rsid w:val="00D6479B"/>
    <w:rsid w:val="00D647E8"/>
    <w:rsid w:val="00D648F0"/>
    <w:rsid w:val="00D64929"/>
    <w:rsid w:val="00D6498A"/>
    <w:rsid w:val="00D64A3B"/>
    <w:rsid w:val="00D64B00"/>
    <w:rsid w:val="00D64B1B"/>
    <w:rsid w:val="00D64BBC"/>
    <w:rsid w:val="00D64C25"/>
    <w:rsid w:val="00D64E25"/>
    <w:rsid w:val="00D64E9B"/>
    <w:rsid w:val="00D6526E"/>
    <w:rsid w:val="00D65330"/>
    <w:rsid w:val="00D653B5"/>
    <w:rsid w:val="00D653F1"/>
    <w:rsid w:val="00D6546D"/>
    <w:rsid w:val="00D6552D"/>
    <w:rsid w:val="00D655D0"/>
    <w:rsid w:val="00D65607"/>
    <w:rsid w:val="00D65701"/>
    <w:rsid w:val="00D65847"/>
    <w:rsid w:val="00D65889"/>
    <w:rsid w:val="00D65A48"/>
    <w:rsid w:val="00D65AF9"/>
    <w:rsid w:val="00D65B84"/>
    <w:rsid w:val="00D65BA8"/>
    <w:rsid w:val="00D65C4D"/>
    <w:rsid w:val="00D65CC9"/>
    <w:rsid w:val="00D65CCD"/>
    <w:rsid w:val="00D65CD3"/>
    <w:rsid w:val="00D65E59"/>
    <w:rsid w:val="00D65F51"/>
    <w:rsid w:val="00D65FC2"/>
    <w:rsid w:val="00D66018"/>
    <w:rsid w:val="00D66089"/>
    <w:rsid w:val="00D660AC"/>
    <w:rsid w:val="00D660EF"/>
    <w:rsid w:val="00D661B4"/>
    <w:rsid w:val="00D6622C"/>
    <w:rsid w:val="00D66295"/>
    <w:rsid w:val="00D66303"/>
    <w:rsid w:val="00D66325"/>
    <w:rsid w:val="00D663BE"/>
    <w:rsid w:val="00D66464"/>
    <w:rsid w:val="00D6649B"/>
    <w:rsid w:val="00D6653D"/>
    <w:rsid w:val="00D666A0"/>
    <w:rsid w:val="00D667D0"/>
    <w:rsid w:val="00D66801"/>
    <w:rsid w:val="00D6680A"/>
    <w:rsid w:val="00D66929"/>
    <w:rsid w:val="00D66998"/>
    <w:rsid w:val="00D66A42"/>
    <w:rsid w:val="00D66A7D"/>
    <w:rsid w:val="00D66AD7"/>
    <w:rsid w:val="00D66B59"/>
    <w:rsid w:val="00D66B6B"/>
    <w:rsid w:val="00D66CC0"/>
    <w:rsid w:val="00D66D48"/>
    <w:rsid w:val="00D66E04"/>
    <w:rsid w:val="00D66E05"/>
    <w:rsid w:val="00D66E32"/>
    <w:rsid w:val="00D66F27"/>
    <w:rsid w:val="00D66F99"/>
    <w:rsid w:val="00D66FB4"/>
    <w:rsid w:val="00D67005"/>
    <w:rsid w:val="00D671AA"/>
    <w:rsid w:val="00D6722F"/>
    <w:rsid w:val="00D67288"/>
    <w:rsid w:val="00D67371"/>
    <w:rsid w:val="00D674D1"/>
    <w:rsid w:val="00D67584"/>
    <w:rsid w:val="00D675A5"/>
    <w:rsid w:val="00D675E4"/>
    <w:rsid w:val="00D67801"/>
    <w:rsid w:val="00D679A9"/>
    <w:rsid w:val="00D679BD"/>
    <w:rsid w:val="00D67A29"/>
    <w:rsid w:val="00D67A2D"/>
    <w:rsid w:val="00D67A32"/>
    <w:rsid w:val="00D67B24"/>
    <w:rsid w:val="00D67B60"/>
    <w:rsid w:val="00D67B95"/>
    <w:rsid w:val="00D67D37"/>
    <w:rsid w:val="00D67DE9"/>
    <w:rsid w:val="00D67EBB"/>
    <w:rsid w:val="00D67F1F"/>
    <w:rsid w:val="00D67F7D"/>
    <w:rsid w:val="00D70090"/>
    <w:rsid w:val="00D70118"/>
    <w:rsid w:val="00D701DF"/>
    <w:rsid w:val="00D7037F"/>
    <w:rsid w:val="00D70392"/>
    <w:rsid w:val="00D705F2"/>
    <w:rsid w:val="00D706E3"/>
    <w:rsid w:val="00D706E9"/>
    <w:rsid w:val="00D70AEC"/>
    <w:rsid w:val="00D70C64"/>
    <w:rsid w:val="00D70DA3"/>
    <w:rsid w:val="00D70EED"/>
    <w:rsid w:val="00D710BD"/>
    <w:rsid w:val="00D71153"/>
    <w:rsid w:val="00D71229"/>
    <w:rsid w:val="00D71325"/>
    <w:rsid w:val="00D71392"/>
    <w:rsid w:val="00D714A8"/>
    <w:rsid w:val="00D714B3"/>
    <w:rsid w:val="00D714FD"/>
    <w:rsid w:val="00D71556"/>
    <w:rsid w:val="00D7158D"/>
    <w:rsid w:val="00D71776"/>
    <w:rsid w:val="00D71871"/>
    <w:rsid w:val="00D71893"/>
    <w:rsid w:val="00D718EC"/>
    <w:rsid w:val="00D71A4D"/>
    <w:rsid w:val="00D71A52"/>
    <w:rsid w:val="00D71A5A"/>
    <w:rsid w:val="00D71B00"/>
    <w:rsid w:val="00D71B20"/>
    <w:rsid w:val="00D71B28"/>
    <w:rsid w:val="00D71B5A"/>
    <w:rsid w:val="00D71C05"/>
    <w:rsid w:val="00D71CC4"/>
    <w:rsid w:val="00D71CCD"/>
    <w:rsid w:val="00D71D01"/>
    <w:rsid w:val="00D71D0D"/>
    <w:rsid w:val="00D71DE7"/>
    <w:rsid w:val="00D71E6B"/>
    <w:rsid w:val="00D71EA8"/>
    <w:rsid w:val="00D71EB0"/>
    <w:rsid w:val="00D71F85"/>
    <w:rsid w:val="00D71FCE"/>
    <w:rsid w:val="00D72040"/>
    <w:rsid w:val="00D720A0"/>
    <w:rsid w:val="00D721C5"/>
    <w:rsid w:val="00D72215"/>
    <w:rsid w:val="00D722B6"/>
    <w:rsid w:val="00D72303"/>
    <w:rsid w:val="00D72371"/>
    <w:rsid w:val="00D72426"/>
    <w:rsid w:val="00D7248C"/>
    <w:rsid w:val="00D724AD"/>
    <w:rsid w:val="00D724AE"/>
    <w:rsid w:val="00D724CE"/>
    <w:rsid w:val="00D724DE"/>
    <w:rsid w:val="00D725E6"/>
    <w:rsid w:val="00D726DA"/>
    <w:rsid w:val="00D72883"/>
    <w:rsid w:val="00D7295C"/>
    <w:rsid w:val="00D729EA"/>
    <w:rsid w:val="00D72A18"/>
    <w:rsid w:val="00D72A59"/>
    <w:rsid w:val="00D72AD1"/>
    <w:rsid w:val="00D72B73"/>
    <w:rsid w:val="00D72B9E"/>
    <w:rsid w:val="00D72BC6"/>
    <w:rsid w:val="00D72CA9"/>
    <w:rsid w:val="00D72CF3"/>
    <w:rsid w:val="00D72E10"/>
    <w:rsid w:val="00D72EE2"/>
    <w:rsid w:val="00D72F8A"/>
    <w:rsid w:val="00D72F98"/>
    <w:rsid w:val="00D73079"/>
    <w:rsid w:val="00D7320C"/>
    <w:rsid w:val="00D73333"/>
    <w:rsid w:val="00D733D6"/>
    <w:rsid w:val="00D733EE"/>
    <w:rsid w:val="00D73421"/>
    <w:rsid w:val="00D73438"/>
    <w:rsid w:val="00D7348E"/>
    <w:rsid w:val="00D735AA"/>
    <w:rsid w:val="00D735B0"/>
    <w:rsid w:val="00D73763"/>
    <w:rsid w:val="00D737C2"/>
    <w:rsid w:val="00D73838"/>
    <w:rsid w:val="00D73861"/>
    <w:rsid w:val="00D73897"/>
    <w:rsid w:val="00D73924"/>
    <w:rsid w:val="00D73994"/>
    <w:rsid w:val="00D73A1F"/>
    <w:rsid w:val="00D73A72"/>
    <w:rsid w:val="00D73AC7"/>
    <w:rsid w:val="00D73B75"/>
    <w:rsid w:val="00D73C29"/>
    <w:rsid w:val="00D73C3E"/>
    <w:rsid w:val="00D73CBC"/>
    <w:rsid w:val="00D73DE4"/>
    <w:rsid w:val="00D73E38"/>
    <w:rsid w:val="00D73E65"/>
    <w:rsid w:val="00D73E83"/>
    <w:rsid w:val="00D73F51"/>
    <w:rsid w:val="00D73FFA"/>
    <w:rsid w:val="00D7401E"/>
    <w:rsid w:val="00D740EB"/>
    <w:rsid w:val="00D74262"/>
    <w:rsid w:val="00D743EF"/>
    <w:rsid w:val="00D7441B"/>
    <w:rsid w:val="00D7444A"/>
    <w:rsid w:val="00D744C1"/>
    <w:rsid w:val="00D744DA"/>
    <w:rsid w:val="00D74594"/>
    <w:rsid w:val="00D746B7"/>
    <w:rsid w:val="00D74843"/>
    <w:rsid w:val="00D748E8"/>
    <w:rsid w:val="00D749B6"/>
    <w:rsid w:val="00D74D32"/>
    <w:rsid w:val="00D74D7E"/>
    <w:rsid w:val="00D74EA8"/>
    <w:rsid w:val="00D74F7F"/>
    <w:rsid w:val="00D74F94"/>
    <w:rsid w:val="00D74F95"/>
    <w:rsid w:val="00D74FC0"/>
    <w:rsid w:val="00D74FCB"/>
    <w:rsid w:val="00D75049"/>
    <w:rsid w:val="00D75205"/>
    <w:rsid w:val="00D75212"/>
    <w:rsid w:val="00D75220"/>
    <w:rsid w:val="00D752EE"/>
    <w:rsid w:val="00D75317"/>
    <w:rsid w:val="00D75376"/>
    <w:rsid w:val="00D7543F"/>
    <w:rsid w:val="00D7547C"/>
    <w:rsid w:val="00D754C0"/>
    <w:rsid w:val="00D75508"/>
    <w:rsid w:val="00D7562E"/>
    <w:rsid w:val="00D756DC"/>
    <w:rsid w:val="00D756E1"/>
    <w:rsid w:val="00D757A8"/>
    <w:rsid w:val="00D758F8"/>
    <w:rsid w:val="00D75A6C"/>
    <w:rsid w:val="00D75A96"/>
    <w:rsid w:val="00D75AAD"/>
    <w:rsid w:val="00D75B90"/>
    <w:rsid w:val="00D75CA6"/>
    <w:rsid w:val="00D75DD6"/>
    <w:rsid w:val="00D75DDB"/>
    <w:rsid w:val="00D75E34"/>
    <w:rsid w:val="00D75E39"/>
    <w:rsid w:val="00D75E56"/>
    <w:rsid w:val="00D75F62"/>
    <w:rsid w:val="00D75F6F"/>
    <w:rsid w:val="00D76016"/>
    <w:rsid w:val="00D7605D"/>
    <w:rsid w:val="00D76115"/>
    <w:rsid w:val="00D76276"/>
    <w:rsid w:val="00D762B4"/>
    <w:rsid w:val="00D76391"/>
    <w:rsid w:val="00D763E2"/>
    <w:rsid w:val="00D76491"/>
    <w:rsid w:val="00D76502"/>
    <w:rsid w:val="00D76543"/>
    <w:rsid w:val="00D7658B"/>
    <w:rsid w:val="00D76622"/>
    <w:rsid w:val="00D76678"/>
    <w:rsid w:val="00D7670F"/>
    <w:rsid w:val="00D768AC"/>
    <w:rsid w:val="00D76A8C"/>
    <w:rsid w:val="00D76B8F"/>
    <w:rsid w:val="00D76C7B"/>
    <w:rsid w:val="00D76C87"/>
    <w:rsid w:val="00D76C8B"/>
    <w:rsid w:val="00D76C97"/>
    <w:rsid w:val="00D76C98"/>
    <w:rsid w:val="00D76CD3"/>
    <w:rsid w:val="00D76CFB"/>
    <w:rsid w:val="00D76D39"/>
    <w:rsid w:val="00D76D62"/>
    <w:rsid w:val="00D76DA5"/>
    <w:rsid w:val="00D76DB1"/>
    <w:rsid w:val="00D76E2A"/>
    <w:rsid w:val="00D76EFB"/>
    <w:rsid w:val="00D76F53"/>
    <w:rsid w:val="00D77194"/>
    <w:rsid w:val="00D77308"/>
    <w:rsid w:val="00D77332"/>
    <w:rsid w:val="00D77479"/>
    <w:rsid w:val="00D775A7"/>
    <w:rsid w:val="00D77604"/>
    <w:rsid w:val="00D7765D"/>
    <w:rsid w:val="00D776A0"/>
    <w:rsid w:val="00D776C0"/>
    <w:rsid w:val="00D776EC"/>
    <w:rsid w:val="00D77716"/>
    <w:rsid w:val="00D777F4"/>
    <w:rsid w:val="00D77830"/>
    <w:rsid w:val="00D778CE"/>
    <w:rsid w:val="00D778D1"/>
    <w:rsid w:val="00D7798F"/>
    <w:rsid w:val="00D779AA"/>
    <w:rsid w:val="00D779C2"/>
    <w:rsid w:val="00D77AB1"/>
    <w:rsid w:val="00D77B39"/>
    <w:rsid w:val="00D77CB7"/>
    <w:rsid w:val="00D77CFD"/>
    <w:rsid w:val="00D77EB0"/>
    <w:rsid w:val="00D77F5D"/>
    <w:rsid w:val="00D80036"/>
    <w:rsid w:val="00D80065"/>
    <w:rsid w:val="00D800BE"/>
    <w:rsid w:val="00D800E2"/>
    <w:rsid w:val="00D8015D"/>
    <w:rsid w:val="00D80193"/>
    <w:rsid w:val="00D801A4"/>
    <w:rsid w:val="00D8032F"/>
    <w:rsid w:val="00D8034A"/>
    <w:rsid w:val="00D80508"/>
    <w:rsid w:val="00D8062B"/>
    <w:rsid w:val="00D80684"/>
    <w:rsid w:val="00D80695"/>
    <w:rsid w:val="00D806CB"/>
    <w:rsid w:val="00D80704"/>
    <w:rsid w:val="00D8087F"/>
    <w:rsid w:val="00D808E1"/>
    <w:rsid w:val="00D808EE"/>
    <w:rsid w:val="00D80B8B"/>
    <w:rsid w:val="00D80BF8"/>
    <w:rsid w:val="00D80C1D"/>
    <w:rsid w:val="00D80C97"/>
    <w:rsid w:val="00D80DE4"/>
    <w:rsid w:val="00D80EBF"/>
    <w:rsid w:val="00D80F62"/>
    <w:rsid w:val="00D80FEE"/>
    <w:rsid w:val="00D810D6"/>
    <w:rsid w:val="00D81104"/>
    <w:rsid w:val="00D811C9"/>
    <w:rsid w:val="00D811EA"/>
    <w:rsid w:val="00D812BB"/>
    <w:rsid w:val="00D812C3"/>
    <w:rsid w:val="00D8135E"/>
    <w:rsid w:val="00D81383"/>
    <w:rsid w:val="00D8139D"/>
    <w:rsid w:val="00D814BD"/>
    <w:rsid w:val="00D8152A"/>
    <w:rsid w:val="00D81673"/>
    <w:rsid w:val="00D8172D"/>
    <w:rsid w:val="00D8176A"/>
    <w:rsid w:val="00D8190F"/>
    <w:rsid w:val="00D81926"/>
    <w:rsid w:val="00D81AA7"/>
    <w:rsid w:val="00D81BE4"/>
    <w:rsid w:val="00D81C09"/>
    <w:rsid w:val="00D81C4C"/>
    <w:rsid w:val="00D81CBC"/>
    <w:rsid w:val="00D81CC8"/>
    <w:rsid w:val="00D81D14"/>
    <w:rsid w:val="00D81D36"/>
    <w:rsid w:val="00D81E26"/>
    <w:rsid w:val="00D81EDD"/>
    <w:rsid w:val="00D81FD4"/>
    <w:rsid w:val="00D821F3"/>
    <w:rsid w:val="00D822BC"/>
    <w:rsid w:val="00D82329"/>
    <w:rsid w:val="00D82430"/>
    <w:rsid w:val="00D8247F"/>
    <w:rsid w:val="00D824DC"/>
    <w:rsid w:val="00D82552"/>
    <w:rsid w:val="00D82569"/>
    <w:rsid w:val="00D8258B"/>
    <w:rsid w:val="00D825FC"/>
    <w:rsid w:val="00D8266D"/>
    <w:rsid w:val="00D82767"/>
    <w:rsid w:val="00D827B4"/>
    <w:rsid w:val="00D827B9"/>
    <w:rsid w:val="00D82960"/>
    <w:rsid w:val="00D82AD8"/>
    <w:rsid w:val="00D82B7D"/>
    <w:rsid w:val="00D82BAE"/>
    <w:rsid w:val="00D82D82"/>
    <w:rsid w:val="00D82DD6"/>
    <w:rsid w:val="00D82DE3"/>
    <w:rsid w:val="00D82EB8"/>
    <w:rsid w:val="00D82ED2"/>
    <w:rsid w:val="00D82EED"/>
    <w:rsid w:val="00D83008"/>
    <w:rsid w:val="00D83033"/>
    <w:rsid w:val="00D83067"/>
    <w:rsid w:val="00D83084"/>
    <w:rsid w:val="00D83132"/>
    <w:rsid w:val="00D831AD"/>
    <w:rsid w:val="00D83243"/>
    <w:rsid w:val="00D83244"/>
    <w:rsid w:val="00D83376"/>
    <w:rsid w:val="00D8353C"/>
    <w:rsid w:val="00D83581"/>
    <w:rsid w:val="00D83620"/>
    <w:rsid w:val="00D83841"/>
    <w:rsid w:val="00D838A9"/>
    <w:rsid w:val="00D839FC"/>
    <w:rsid w:val="00D83B60"/>
    <w:rsid w:val="00D83D8A"/>
    <w:rsid w:val="00D83DD3"/>
    <w:rsid w:val="00D83E2B"/>
    <w:rsid w:val="00D83F2D"/>
    <w:rsid w:val="00D83FB2"/>
    <w:rsid w:val="00D84018"/>
    <w:rsid w:val="00D8411D"/>
    <w:rsid w:val="00D841EB"/>
    <w:rsid w:val="00D84246"/>
    <w:rsid w:val="00D8434F"/>
    <w:rsid w:val="00D84372"/>
    <w:rsid w:val="00D8448A"/>
    <w:rsid w:val="00D845B6"/>
    <w:rsid w:val="00D8461A"/>
    <w:rsid w:val="00D8469D"/>
    <w:rsid w:val="00D84753"/>
    <w:rsid w:val="00D847A8"/>
    <w:rsid w:val="00D8491C"/>
    <w:rsid w:val="00D8494E"/>
    <w:rsid w:val="00D849B9"/>
    <w:rsid w:val="00D84B2C"/>
    <w:rsid w:val="00D84B6B"/>
    <w:rsid w:val="00D84B96"/>
    <w:rsid w:val="00D84C05"/>
    <w:rsid w:val="00D84C74"/>
    <w:rsid w:val="00D84C88"/>
    <w:rsid w:val="00D84CEA"/>
    <w:rsid w:val="00D84DD9"/>
    <w:rsid w:val="00D84E94"/>
    <w:rsid w:val="00D84EE1"/>
    <w:rsid w:val="00D851BE"/>
    <w:rsid w:val="00D85207"/>
    <w:rsid w:val="00D8527A"/>
    <w:rsid w:val="00D852AD"/>
    <w:rsid w:val="00D852FF"/>
    <w:rsid w:val="00D8533A"/>
    <w:rsid w:val="00D854FD"/>
    <w:rsid w:val="00D856B0"/>
    <w:rsid w:val="00D857BD"/>
    <w:rsid w:val="00D857E3"/>
    <w:rsid w:val="00D858A3"/>
    <w:rsid w:val="00D8591A"/>
    <w:rsid w:val="00D859C1"/>
    <w:rsid w:val="00D859EE"/>
    <w:rsid w:val="00D85A47"/>
    <w:rsid w:val="00D85C2C"/>
    <w:rsid w:val="00D85C92"/>
    <w:rsid w:val="00D85CDA"/>
    <w:rsid w:val="00D85E1F"/>
    <w:rsid w:val="00D85E82"/>
    <w:rsid w:val="00D85E91"/>
    <w:rsid w:val="00D85EB2"/>
    <w:rsid w:val="00D85EE1"/>
    <w:rsid w:val="00D86033"/>
    <w:rsid w:val="00D86057"/>
    <w:rsid w:val="00D8605C"/>
    <w:rsid w:val="00D860DD"/>
    <w:rsid w:val="00D86121"/>
    <w:rsid w:val="00D8612D"/>
    <w:rsid w:val="00D8612F"/>
    <w:rsid w:val="00D86250"/>
    <w:rsid w:val="00D863B7"/>
    <w:rsid w:val="00D8655B"/>
    <w:rsid w:val="00D865E1"/>
    <w:rsid w:val="00D8673B"/>
    <w:rsid w:val="00D867A9"/>
    <w:rsid w:val="00D867F2"/>
    <w:rsid w:val="00D86956"/>
    <w:rsid w:val="00D8698F"/>
    <w:rsid w:val="00D86990"/>
    <w:rsid w:val="00D869A8"/>
    <w:rsid w:val="00D86ACF"/>
    <w:rsid w:val="00D86B49"/>
    <w:rsid w:val="00D86B81"/>
    <w:rsid w:val="00D86B94"/>
    <w:rsid w:val="00D86BA4"/>
    <w:rsid w:val="00D86C94"/>
    <w:rsid w:val="00D86D07"/>
    <w:rsid w:val="00D86D10"/>
    <w:rsid w:val="00D86D7C"/>
    <w:rsid w:val="00D86D83"/>
    <w:rsid w:val="00D86DE9"/>
    <w:rsid w:val="00D86F2E"/>
    <w:rsid w:val="00D86F75"/>
    <w:rsid w:val="00D86F82"/>
    <w:rsid w:val="00D87113"/>
    <w:rsid w:val="00D8716C"/>
    <w:rsid w:val="00D8723F"/>
    <w:rsid w:val="00D87417"/>
    <w:rsid w:val="00D875BF"/>
    <w:rsid w:val="00D875F1"/>
    <w:rsid w:val="00D875F3"/>
    <w:rsid w:val="00D875F9"/>
    <w:rsid w:val="00D87673"/>
    <w:rsid w:val="00D876B8"/>
    <w:rsid w:val="00D876CE"/>
    <w:rsid w:val="00D8770B"/>
    <w:rsid w:val="00D877B0"/>
    <w:rsid w:val="00D877BC"/>
    <w:rsid w:val="00D8784D"/>
    <w:rsid w:val="00D8788E"/>
    <w:rsid w:val="00D878C1"/>
    <w:rsid w:val="00D8795C"/>
    <w:rsid w:val="00D87BE1"/>
    <w:rsid w:val="00D87BF8"/>
    <w:rsid w:val="00D87C1F"/>
    <w:rsid w:val="00D87D13"/>
    <w:rsid w:val="00D87D33"/>
    <w:rsid w:val="00D87D38"/>
    <w:rsid w:val="00D87E29"/>
    <w:rsid w:val="00D87F5B"/>
    <w:rsid w:val="00D87F86"/>
    <w:rsid w:val="00D8B339"/>
    <w:rsid w:val="00D902B8"/>
    <w:rsid w:val="00D903BB"/>
    <w:rsid w:val="00D903F9"/>
    <w:rsid w:val="00D90636"/>
    <w:rsid w:val="00D90734"/>
    <w:rsid w:val="00D9077B"/>
    <w:rsid w:val="00D907AF"/>
    <w:rsid w:val="00D908E7"/>
    <w:rsid w:val="00D9097F"/>
    <w:rsid w:val="00D909E2"/>
    <w:rsid w:val="00D90A60"/>
    <w:rsid w:val="00D90A7F"/>
    <w:rsid w:val="00D90B74"/>
    <w:rsid w:val="00D90DEF"/>
    <w:rsid w:val="00D90E2D"/>
    <w:rsid w:val="00D90E59"/>
    <w:rsid w:val="00D90EE4"/>
    <w:rsid w:val="00D90FBF"/>
    <w:rsid w:val="00D90FF7"/>
    <w:rsid w:val="00D91148"/>
    <w:rsid w:val="00D911D2"/>
    <w:rsid w:val="00D911FF"/>
    <w:rsid w:val="00D91281"/>
    <w:rsid w:val="00D912C7"/>
    <w:rsid w:val="00D912E4"/>
    <w:rsid w:val="00D91475"/>
    <w:rsid w:val="00D9148E"/>
    <w:rsid w:val="00D914D2"/>
    <w:rsid w:val="00D915C7"/>
    <w:rsid w:val="00D9173F"/>
    <w:rsid w:val="00D917A2"/>
    <w:rsid w:val="00D917F9"/>
    <w:rsid w:val="00D91876"/>
    <w:rsid w:val="00D91895"/>
    <w:rsid w:val="00D918A7"/>
    <w:rsid w:val="00D91945"/>
    <w:rsid w:val="00D91E0A"/>
    <w:rsid w:val="00D91E85"/>
    <w:rsid w:val="00D91ED4"/>
    <w:rsid w:val="00D91FB5"/>
    <w:rsid w:val="00D91FF4"/>
    <w:rsid w:val="00D920C6"/>
    <w:rsid w:val="00D92107"/>
    <w:rsid w:val="00D92167"/>
    <w:rsid w:val="00D9218D"/>
    <w:rsid w:val="00D92222"/>
    <w:rsid w:val="00D9226B"/>
    <w:rsid w:val="00D922D5"/>
    <w:rsid w:val="00D922E1"/>
    <w:rsid w:val="00D924C8"/>
    <w:rsid w:val="00D924E5"/>
    <w:rsid w:val="00D92511"/>
    <w:rsid w:val="00D92524"/>
    <w:rsid w:val="00D925C3"/>
    <w:rsid w:val="00D92718"/>
    <w:rsid w:val="00D927EE"/>
    <w:rsid w:val="00D9283D"/>
    <w:rsid w:val="00D92894"/>
    <w:rsid w:val="00D92A74"/>
    <w:rsid w:val="00D92AF4"/>
    <w:rsid w:val="00D92B16"/>
    <w:rsid w:val="00D92B38"/>
    <w:rsid w:val="00D92B76"/>
    <w:rsid w:val="00D92C29"/>
    <w:rsid w:val="00D92CF9"/>
    <w:rsid w:val="00D92D44"/>
    <w:rsid w:val="00D92F42"/>
    <w:rsid w:val="00D92F58"/>
    <w:rsid w:val="00D92FFC"/>
    <w:rsid w:val="00D93007"/>
    <w:rsid w:val="00D93011"/>
    <w:rsid w:val="00D935C8"/>
    <w:rsid w:val="00D93631"/>
    <w:rsid w:val="00D936B4"/>
    <w:rsid w:val="00D936B5"/>
    <w:rsid w:val="00D936C3"/>
    <w:rsid w:val="00D93726"/>
    <w:rsid w:val="00D93748"/>
    <w:rsid w:val="00D93823"/>
    <w:rsid w:val="00D93867"/>
    <w:rsid w:val="00D938AA"/>
    <w:rsid w:val="00D9396B"/>
    <w:rsid w:val="00D939E8"/>
    <w:rsid w:val="00D93A9C"/>
    <w:rsid w:val="00D93ABE"/>
    <w:rsid w:val="00D93B3B"/>
    <w:rsid w:val="00D93BFB"/>
    <w:rsid w:val="00D93E2B"/>
    <w:rsid w:val="00D93E7C"/>
    <w:rsid w:val="00D93F1D"/>
    <w:rsid w:val="00D94086"/>
    <w:rsid w:val="00D94225"/>
    <w:rsid w:val="00D9427D"/>
    <w:rsid w:val="00D942C6"/>
    <w:rsid w:val="00D9430A"/>
    <w:rsid w:val="00D9431E"/>
    <w:rsid w:val="00D94388"/>
    <w:rsid w:val="00D943CB"/>
    <w:rsid w:val="00D943F3"/>
    <w:rsid w:val="00D94460"/>
    <w:rsid w:val="00D94477"/>
    <w:rsid w:val="00D94499"/>
    <w:rsid w:val="00D9455D"/>
    <w:rsid w:val="00D945BB"/>
    <w:rsid w:val="00D94615"/>
    <w:rsid w:val="00D94620"/>
    <w:rsid w:val="00D9462A"/>
    <w:rsid w:val="00D94679"/>
    <w:rsid w:val="00D94766"/>
    <w:rsid w:val="00D94848"/>
    <w:rsid w:val="00D94865"/>
    <w:rsid w:val="00D9488E"/>
    <w:rsid w:val="00D948B1"/>
    <w:rsid w:val="00D9498E"/>
    <w:rsid w:val="00D94A23"/>
    <w:rsid w:val="00D94AF2"/>
    <w:rsid w:val="00D94B6B"/>
    <w:rsid w:val="00D94C12"/>
    <w:rsid w:val="00D94C6E"/>
    <w:rsid w:val="00D94D36"/>
    <w:rsid w:val="00D94D67"/>
    <w:rsid w:val="00D94D7B"/>
    <w:rsid w:val="00D94D88"/>
    <w:rsid w:val="00D94FEF"/>
    <w:rsid w:val="00D95189"/>
    <w:rsid w:val="00D95191"/>
    <w:rsid w:val="00D9524F"/>
    <w:rsid w:val="00D95272"/>
    <w:rsid w:val="00D952AB"/>
    <w:rsid w:val="00D9532A"/>
    <w:rsid w:val="00D95386"/>
    <w:rsid w:val="00D95418"/>
    <w:rsid w:val="00D9541A"/>
    <w:rsid w:val="00D95445"/>
    <w:rsid w:val="00D954B5"/>
    <w:rsid w:val="00D95534"/>
    <w:rsid w:val="00D95590"/>
    <w:rsid w:val="00D95592"/>
    <w:rsid w:val="00D955D6"/>
    <w:rsid w:val="00D956D5"/>
    <w:rsid w:val="00D957AA"/>
    <w:rsid w:val="00D959E7"/>
    <w:rsid w:val="00D95A04"/>
    <w:rsid w:val="00D95AF9"/>
    <w:rsid w:val="00D95B93"/>
    <w:rsid w:val="00D95BBB"/>
    <w:rsid w:val="00D95C3A"/>
    <w:rsid w:val="00D95D9C"/>
    <w:rsid w:val="00D95DA8"/>
    <w:rsid w:val="00D95EBE"/>
    <w:rsid w:val="00D95EDB"/>
    <w:rsid w:val="00D95EED"/>
    <w:rsid w:val="00D95F7A"/>
    <w:rsid w:val="00D96030"/>
    <w:rsid w:val="00D9615F"/>
    <w:rsid w:val="00D9619E"/>
    <w:rsid w:val="00D96285"/>
    <w:rsid w:val="00D96385"/>
    <w:rsid w:val="00D96463"/>
    <w:rsid w:val="00D96583"/>
    <w:rsid w:val="00D96586"/>
    <w:rsid w:val="00D9661C"/>
    <w:rsid w:val="00D9672F"/>
    <w:rsid w:val="00D967F3"/>
    <w:rsid w:val="00D968A2"/>
    <w:rsid w:val="00D96A11"/>
    <w:rsid w:val="00D96AAF"/>
    <w:rsid w:val="00D96B18"/>
    <w:rsid w:val="00D96BB9"/>
    <w:rsid w:val="00D96BC5"/>
    <w:rsid w:val="00D96CC4"/>
    <w:rsid w:val="00D96CEF"/>
    <w:rsid w:val="00D96D66"/>
    <w:rsid w:val="00D96F0E"/>
    <w:rsid w:val="00D96F2C"/>
    <w:rsid w:val="00D96F2E"/>
    <w:rsid w:val="00D97020"/>
    <w:rsid w:val="00D97027"/>
    <w:rsid w:val="00D97160"/>
    <w:rsid w:val="00D97245"/>
    <w:rsid w:val="00D972F9"/>
    <w:rsid w:val="00D97330"/>
    <w:rsid w:val="00D97379"/>
    <w:rsid w:val="00D97525"/>
    <w:rsid w:val="00D975BA"/>
    <w:rsid w:val="00D975FD"/>
    <w:rsid w:val="00D976E4"/>
    <w:rsid w:val="00D97741"/>
    <w:rsid w:val="00D9777D"/>
    <w:rsid w:val="00D978B0"/>
    <w:rsid w:val="00D97901"/>
    <w:rsid w:val="00D97945"/>
    <w:rsid w:val="00D97977"/>
    <w:rsid w:val="00D979A9"/>
    <w:rsid w:val="00D979D7"/>
    <w:rsid w:val="00D97B27"/>
    <w:rsid w:val="00D97B3C"/>
    <w:rsid w:val="00D97B52"/>
    <w:rsid w:val="00D97B86"/>
    <w:rsid w:val="00D97B89"/>
    <w:rsid w:val="00D97CCA"/>
    <w:rsid w:val="00D97D30"/>
    <w:rsid w:val="00D97DD2"/>
    <w:rsid w:val="00D97E54"/>
    <w:rsid w:val="00D97EA7"/>
    <w:rsid w:val="00D97FAD"/>
    <w:rsid w:val="00DA00C2"/>
    <w:rsid w:val="00DA0120"/>
    <w:rsid w:val="00DA0180"/>
    <w:rsid w:val="00DA0186"/>
    <w:rsid w:val="00DA0202"/>
    <w:rsid w:val="00DA026B"/>
    <w:rsid w:val="00DA02E2"/>
    <w:rsid w:val="00DA038C"/>
    <w:rsid w:val="00DA03F1"/>
    <w:rsid w:val="00DA03FB"/>
    <w:rsid w:val="00DA0459"/>
    <w:rsid w:val="00DA061A"/>
    <w:rsid w:val="00DA0761"/>
    <w:rsid w:val="00DA07EA"/>
    <w:rsid w:val="00DA0831"/>
    <w:rsid w:val="00DA0857"/>
    <w:rsid w:val="00DA08DF"/>
    <w:rsid w:val="00DA08F2"/>
    <w:rsid w:val="00DA0922"/>
    <w:rsid w:val="00DA0A4A"/>
    <w:rsid w:val="00DA0A78"/>
    <w:rsid w:val="00DA0A84"/>
    <w:rsid w:val="00DA0AB1"/>
    <w:rsid w:val="00DA0AEF"/>
    <w:rsid w:val="00DA0B10"/>
    <w:rsid w:val="00DA0C0A"/>
    <w:rsid w:val="00DA0C38"/>
    <w:rsid w:val="00DA0D02"/>
    <w:rsid w:val="00DA0D0F"/>
    <w:rsid w:val="00DA0D29"/>
    <w:rsid w:val="00DA0D6B"/>
    <w:rsid w:val="00DA0D99"/>
    <w:rsid w:val="00DA0EEA"/>
    <w:rsid w:val="00DA0F53"/>
    <w:rsid w:val="00DA0FEF"/>
    <w:rsid w:val="00DA102F"/>
    <w:rsid w:val="00DA10B9"/>
    <w:rsid w:val="00DA126A"/>
    <w:rsid w:val="00DA12D8"/>
    <w:rsid w:val="00DA1584"/>
    <w:rsid w:val="00DA15B5"/>
    <w:rsid w:val="00DA170A"/>
    <w:rsid w:val="00DA17F3"/>
    <w:rsid w:val="00DA1826"/>
    <w:rsid w:val="00DA1880"/>
    <w:rsid w:val="00DA1949"/>
    <w:rsid w:val="00DA1995"/>
    <w:rsid w:val="00DA199B"/>
    <w:rsid w:val="00DA19EC"/>
    <w:rsid w:val="00DA1A4C"/>
    <w:rsid w:val="00DA1B8A"/>
    <w:rsid w:val="00DA1B9B"/>
    <w:rsid w:val="00DA1BA5"/>
    <w:rsid w:val="00DA1BFF"/>
    <w:rsid w:val="00DA1CAC"/>
    <w:rsid w:val="00DA1D06"/>
    <w:rsid w:val="00DA2049"/>
    <w:rsid w:val="00DA2053"/>
    <w:rsid w:val="00DA205E"/>
    <w:rsid w:val="00DA21CA"/>
    <w:rsid w:val="00DA2212"/>
    <w:rsid w:val="00DA223B"/>
    <w:rsid w:val="00DA22D8"/>
    <w:rsid w:val="00DA22F3"/>
    <w:rsid w:val="00DA259F"/>
    <w:rsid w:val="00DA25AD"/>
    <w:rsid w:val="00DA260D"/>
    <w:rsid w:val="00DA26D4"/>
    <w:rsid w:val="00DA2859"/>
    <w:rsid w:val="00DA2951"/>
    <w:rsid w:val="00DA2986"/>
    <w:rsid w:val="00DA2A39"/>
    <w:rsid w:val="00DA2B84"/>
    <w:rsid w:val="00DA2CF7"/>
    <w:rsid w:val="00DA2D2C"/>
    <w:rsid w:val="00DA2D66"/>
    <w:rsid w:val="00DA2E04"/>
    <w:rsid w:val="00DA2E1E"/>
    <w:rsid w:val="00DA2E49"/>
    <w:rsid w:val="00DA2E5A"/>
    <w:rsid w:val="00DA2F09"/>
    <w:rsid w:val="00DA2FFE"/>
    <w:rsid w:val="00DA3013"/>
    <w:rsid w:val="00DA3090"/>
    <w:rsid w:val="00DA30A8"/>
    <w:rsid w:val="00DA30A9"/>
    <w:rsid w:val="00DA3107"/>
    <w:rsid w:val="00DA3132"/>
    <w:rsid w:val="00DA316E"/>
    <w:rsid w:val="00DA31ED"/>
    <w:rsid w:val="00DA320B"/>
    <w:rsid w:val="00DA32C0"/>
    <w:rsid w:val="00DA330E"/>
    <w:rsid w:val="00DA338C"/>
    <w:rsid w:val="00DA3400"/>
    <w:rsid w:val="00DA344E"/>
    <w:rsid w:val="00DA3529"/>
    <w:rsid w:val="00DA3562"/>
    <w:rsid w:val="00DA3624"/>
    <w:rsid w:val="00DA3657"/>
    <w:rsid w:val="00DA36B4"/>
    <w:rsid w:val="00DA3847"/>
    <w:rsid w:val="00DA38B3"/>
    <w:rsid w:val="00DA3935"/>
    <w:rsid w:val="00DA3A32"/>
    <w:rsid w:val="00DA3ADC"/>
    <w:rsid w:val="00DA3AFD"/>
    <w:rsid w:val="00DA3B05"/>
    <w:rsid w:val="00DA3BA1"/>
    <w:rsid w:val="00DA3C10"/>
    <w:rsid w:val="00DA3CCF"/>
    <w:rsid w:val="00DA3D19"/>
    <w:rsid w:val="00DA3D51"/>
    <w:rsid w:val="00DA3D54"/>
    <w:rsid w:val="00DA3E0F"/>
    <w:rsid w:val="00DA3F33"/>
    <w:rsid w:val="00DA40A4"/>
    <w:rsid w:val="00DA4184"/>
    <w:rsid w:val="00DA4245"/>
    <w:rsid w:val="00DA42C6"/>
    <w:rsid w:val="00DA43BE"/>
    <w:rsid w:val="00DA4400"/>
    <w:rsid w:val="00DA459E"/>
    <w:rsid w:val="00DA46C8"/>
    <w:rsid w:val="00DA471B"/>
    <w:rsid w:val="00DA4783"/>
    <w:rsid w:val="00DA47CF"/>
    <w:rsid w:val="00DA47F2"/>
    <w:rsid w:val="00DA48FF"/>
    <w:rsid w:val="00DA495B"/>
    <w:rsid w:val="00DA4C0B"/>
    <w:rsid w:val="00DA4CB5"/>
    <w:rsid w:val="00DA4CDE"/>
    <w:rsid w:val="00DA4CDF"/>
    <w:rsid w:val="00DA4CFD"/>
    <w:rsid w:val="00DA4DB1"/>
    <w:rsid w:val="00DA4E0F"/>
    <w:rsid w:val="00DA4F42"/>
    <w:rsid w:val="00DA4FE9"/>
    <w:rsid w:val="00DA5009"/>
    <w:rsid w:val="00DA5047"/>
    <w:rsid w:val="00DA5098"/>
    <w:rsid w:val="00DA515F"/>
    <w:rsid w:val="00DA5173"/>
    <w:rsid w:val="00DA5193"/>
    <w:rsid w:val="00DA539F"/>
    <w:rsid w:val="00DA53E0"/>
    <w:rsid w:val="00DA5471"/>
    <w:rsid w:val="00DA54CC"/>
    <w:rsid w:val="00DA55A5"/>
    <w:rsid w:val="00DA55C6"/>
    <w:rsid w:val="00DA5635"/>
    <w:rsid w:val="00DA5640"/>
    <w:rsid w:val="00DA5721"/>
    <w:rsid w:val="00DA5747"/>
    <w:rsid w:val="00DA588B"/>
    <w:rsid w:val="00DA58B5"/>
    <w:rsid w:val="00DA5906"/>
    <w:rsid w:val="00DA5AB2"/>
    <w:rsid w:val="00DA5B00"/>
    <w:rsid w:val="00DA5B49"/>
    <w:rsid w:val="00DA5CCC"/>
    <w:rsid w:val="00DA5D94"/>
    <w:rsid w:val="00DA5E7F"/>
    <w:rsid w:val="00DA5E90"/>
    <w:rsid w:val="00DA5FD3"/>
    <w:rsid w:val="00DA60D6"/>
    <w:rsid w:val="00DA610E"/>
    <w:rsid w:val="00DA6146"/>
    <w:rsid w:val="00DA61E4"/>
    <w:rsid w:val="00DA624A"/>
    <w:rsid w:val="00DA62B3"/>
    <w:rsid w:val="00DA6554"/>
    <w:rsid w:val="00DA65AA"/>
    <w:rsid w:val="00DA6668"/>
    <w:rsid w:val="00DA670B"/>
    <w:rsid w:val="00DA6770"/>
    <w:rsid w:val="00DA6909"/>
    <w:rsid w:val="00DA69DD"/>
    <w:rsid w:val="00DA6A42"/>
    <w:rsid w:val="00DA6AF9"/>
    <w:rsid w:val="00DA6B6E"/>
    <w:rsid w:val="00DA6CC1"/>
    <w:rsid w:val="00DA6CE3"/>
    <w:rsid w:val="00DA6DAC"/>
    <w:rsid w:val="00DA6E30"/>
    <w:rsid w:val="00DA6F02"/>
    <w:rsid w:val="00DA6F42"/>
    <w:rsid w:val="00DA6F7D"/>
    <w:rsid w:val="00DA6F93"/>
    <w:rsid w:val="00DA700E"/>
    <w:rsid w:val="00DA7012"/>
    <w:rsid w:val="00DA7033"/>
    <w:rsid w:val="00DA70F6"/>
    <w:rsid w:val="00DA7284"/>
    <w:rsid w:val="00DA72A4"/>
    <w:rsid w:val="00DA72B8"/>
    <w:rsid w:val="00DA72C0"/>
    <w:rsid w:val="00DA7330"/>
    <w:rsid w:val="00DA7339"/>
    <w:rsid w:val="00DA7360"/>
    <w:rsid w:val="00DA73D3"/>
    <w:rsid w:val="00DA7434"/>
    <w:rsid w:val="00DA7459"/>
    <w:rsid w:val="00DA74B9"/>
    <w:rsid w:val="00DA75C3"/>
    <w:rsid w:val="00DA7627"/>
    <w:rsid w:val="00DA76DE"/>
    <w:rsid w:val="00DA7701"/>
    <w:rsid w:val="00DA7722"/>
    <w:rsid w:val="00DA7782"/>
    <w:rsid w:val="00DA778B"/>
    <w:rsid w:val="00DA77EA"/>
    <w:rsid w:val="00DA789E"/>
    <w:rsid w:val="00DA7B36"/>
    <w:rsid w:val="00DA7BA5"/>
    <w:rsid w:val="00DA7BCC"/>
    <w:rsid w:val="00DA7C19"/>
    <w:rsid w:val="00DA7C4C"/>
    <w:rsid w:val="00DA7D5A"/>
    <w:rsid w:val="00DA7D81"/>
    <w:rsid w:val="00DA7DA1"/>
    <w:rsid w:val="00DA7E87"/>
    <w:rsid w:val="00DA7F3D"/>
    <w:rsid w:val="00DB0372"/>
    <w:rsid w:val="00DB0405"/>
    <w:rsid w:val="00DB047D"/>
    <w:rsid w:val="00DB05D4"/>
    <w:rsid w:val="00DB05EC"/>
    <w:rsid w:val="00DB06C3"/>
    <w:rsid w:val="00DB079D"/>
    <w:rsid w:val="00DB088F"/>
    <w:rsid w:val="00DB08BB"/>
    <w:rsid w:val="00DB08C9"/>
    <w:rsid w:val="00DB094A"/>
    <w:rsid w:val="00DB0986"/>
    <w:rsid w:val="00DB0A3F"/>
    <w:rsid w:val="00DB0B1D"/>
    <w:rsid w:val="00DB0B75"/>
    <w:rsid w:val="00DB0BD3"/>
    <w:rsid w:val="00DB0C0A"/>
    <w:rsid w:val="00DB0CE0"/>
    <w:rsid w:val="00DB0D5C"/>
    <w:rsid w:val="00DB0DB4"/>
    <w:rsid w:val="00DB0DD9"/>
    <w:rsid w:val="00DB0E4C"/>
    <w:rsid w:val="00DB0F23"/>
    <w:rsid w:val="00DB0F8C"/>
    <w:rsid w:val="00DB10D7"/>
    <w:rsid w:val="00DB10F6"/>
    <w:rsid w:val="00DB1161"/>
    <w:rsid w:val="00DB1171"/>
    <w:rsid w:val="00DB11F5"/>
    <w:rsid w:val="00DB1391"/>
    <w:rsid w:val="00DB146C"/>
    <w:rsid w:val="00DB14A8"/>
    <w:rsid w:val="00DB14E0"/>
    <w:rsid w:val="00DB14E1"/>
    <w:rsid w:val="00DB153D"/>
    <w:rsid w:val="00DB1553"/>
    <w:rsid w:val="00DB1568"/>
    <w:rsid w:val="00DB1581"/>
    <w:rsid w:val="00DB160C"/>
    <w:rsid w:val="00DB167E"/>
    <w:rsid w:val="00DB16D5"/>
    <w:rsid w:val="00DB1742"/>
    <w:rsid w:val="00DB179D"/>
    <w:rsid w:val="00DB17CF"/>
    <w:rsid w:val="00DB181D"/>
    <w:rsid w:val="00DB1829"/>
    <w:rsid w:val="00DB1843"/>
    <w:rsid w:val="00DB18E7"/>
    <w:rsid w:val="00DB1945"/>
    <w:rsid w:val="00DB1998"/>
    <w:rsid w:val="00DB1B82"/>
    <w:rsid w:val="00DB1BF8"/>
    <w:rsid w:val="00DB1CAB"/>
    <w:rsid w:val="00DB1CAC"/>
    <w:rsid w:val="00DB1CAD"/>
    <w:rsid w:val="00DB1CD9"/>
    <w:rsid w:val="00DB1CE0"/>
    <w:rsid w:val="00DB1D2F"/>
    <w:rsid w:val="00DB1DE6"/>
    <w:rsid w:val="00DB1E46"/>
    <w:rsid w:val="00DB1EA0"/>
    <w:rsid w:val="00DB1F0B"/>
    <w:rsid w:val="00DB1F1D"/>
    <w:rsid w:val="00DB1FA2"/>
    <w:rsid w:val="00DB1FB8"/>
    <w:rsid w:val="00DB1FC3"/>
    <w:rsid w:val="00DB20A6"/>
    <w:rsid w:val="00DB2113"/>
    <w:rsid w:val="00DB213E"/>
    <w:rsid w:val="00DB232C"/>
    <w:rsid w:val="00DB2420"/>
    <w:rsid w:val="00DB2431"/>
    <w:rsid w:val="00DB2437"/>
    <w:rsid w:val="00DB24B6"/>
    <w:rsid w:val="00DB24F7"/>
    <w:rsid w:val="00DB2562"/>
    <w:rsid w:val="00DB2606"/>
    <w:rsid w:val="00DB269C"/>
    <w:rsid w:val="00DB26D4"/>
    <w:rsid w:val="00DB2759"/>
    <w:rsid w:val="00DB2885"/>
    <w:rsid w:val="00DB28EA"/>
    <w:rsid w:val="00DB2922"/>
    <w:rsid w:val="00DB2933"/>
    <w:rsid w:val="00DB29A4"/>
    <w:rsid w:val="00DB29E8"/>
    <w:rsid w:val="00DB2A7B"/>
    <w:rsid w:val="00DB2B98"/>
    <w:rsid w:val="00DB2DD4"/>
    <w:rsid w:val="00DB2E06"/>
    <w:rsid w:val="00DB2E9E"/>
    <w:rsid w:val="00DB2FC1"/>
    <w:rsid w:val="00DB3054"/>
    <w:rsid w:val="00DB3089"/>
    <w:rsid w:val="00DB3377"/>
    <w:rsid w:val="00DB349E"/>
    <w:rsid w:val="00DB34C0"/>
    <w:rsid w:val="00DB34F8"/>
    <w:rsid w:val="00DB3571"/>
    <w:rsid w:val="00DB376F"/>
    <w:rsid w:val="00DB37BD"/>
    <w:rsid w:val="00DB37DE"/>
    <w:rsid w:val="00DB37FB"/>
    <w:rsid w:val="00DB38F7"/>
    <w:rsid w:val="00DB3902"/>
    <w:rsid w:val="00DB3916"/>
    <w:rsid w:val="00DB3AD8"/>
    <w:rsid w:val="00DB3B67"/>
    <w:rsid w:val="00DB3B77"/>
    <w:rsid w:val="00DB3C37"/>
    <w:rsid w:val="00DB3C40"/>
    <w:rsid w:val="00DB3C4E"/>
    <w:rsid w:val="00DB3C8E"/>
    <w:rsid w:val="00DB3CA4"/>
    <w:rsid w:val="00DB3CFC"/>
    <w:rsid w:val="00DB3EE7"/>
    <w:rsid w:val="00DB3F0D"/>
    <w:rsid w:val="00DB4247"/>
    <w:rsid w:val="00DB432E"/>
    <w:rsid w:val="00DB4365"/>
    <w:rsid w:val="00DB438D"/>
    <w:rsid w:val="00DB43ED"/>
    <w:rsid w:val="00DB43F0"/>
    <w:rsid w:val="00DB43F8"/>
    <w:rsid w:val="00DB44ED"/>
    <w:rsid w:val="00DB44F6"/>
    <w:rsid w:val="00DB4521"/>
    <w:rsid w:val="00DB4563"/>
    <w:rsid w:val="00DB45C2"/>
    <w:rsid w:val="00DB47FC"/>
    <w:rsid w:val="00DB489E"/>
    <w:rsid w:val="00DB48BA"/>
    <w:rsid w:val="00DB494B"/>
    <w:rsid w:val="00DB4A8C"/>
    <w:rsid w:val="00DB4D15"/>
    <w:rsid w:val="00DB4DB5"/>
    <w:rsid w:val="00DB4DB6"/>
    <w:rsid w:val="00DB4DBC"/>
    <w:rsid w:val="00DB4EB2"/>
    <w:rsid w:val="00DB4F00"/>
    <w:rsid w:val="00DB4F4B"/>
    <w:rsid w:val="00DB4F52"/>
    <w:rsid w:val="00DB4F57"/>
    <w:rsid w:val="00DB4F6A"/>
    <w:rsid w:val="00DB511C"/>
    <w:rsid w:val="00DB514C"/>
    <w:rsid w:val="00DB5159"/>
    <w:rsid w:val="00DB520B"/>
    <w:rsid w:val="00DB526D"/>
    <w:rsid w:val="00DB5285"/>
    <w:rsid w:val="00DB536C"/>
    <w:rsid w:val="00DB54A6"/>
    <w:rsid w:val="00DB5509"/>
    <w:rsid w:val="00DB56C2"/>
    <w:rsid w:val="00DB579D"/>
    <w:rsid w:val="00DB57A9"/>
    <w:rsid w:val="00DB57D7"/>
    <w:rsid w:val="00DB587C"/>
    <w:rsid w:val="00DB59C9"/>
    <w:rsid w:val="00DB5A03"/>
    <w:rsid w:val="00DB5A5D"/>
    <w:rsid w:val="00DB5A98"/>
    <w:rsid w:val="00DB5B2C"/>
    <w:rsid w:val="00DB5B51"/>
    <w:rsid w:val="00DB5C76"/>
    <w:rsid w:val="00DB5CE3"/>
    <w:rsid w:val="00DB5D0A"/>
    <w:rsid w:val="00DB5D50"/>
    <w:rsid w:val="00DB5E69"/>
    <w:rsid w:val="00DB5EB0"/>
    <w:rsid w:val="00DB5EE6"/>
    <w:rsid w:val="00DB5EF4"/>
    <w:rsid w:val="00DB6029"/>
    <w:rsid w:val="00DB60D0"/>
    <w:rsid w:val="00DB60D6"/>
    <w:rsid w:val="00DB61A7"/>
    <w:rsid w:val="00DB61FC"/>
    <w:rsid w:val="00DB6328"/>
    <w:rsid w:val="00DB632A"/>
    <w:rsid w:val="00DB63C8"/>
    <w:rsid w:val="00DB656B"/>
    <w:rsid w:val="00DB65A4"/>
    <w:rsid w:val="00DB65C0"/>
    <w:rsid w:val="00DB65CA"/>
    <w:rsid w:val="00DB67E7"/>
    <w:rsid w:val="00DB68FA"/>
    <w:rsid w:val="00DB6AC6"/>
    <w:rsid w:val="00DB6B21"/>
    <w:rsid w:val="00DB6B9C"/>
    <w:rsid w:val="00DB6C4B"/>
    <w:rsid w:val="00DB6E80"/>
    <w:rsid w:val="00DB6E9C"/>
    <w:rsid w:val="00DB6F74"/>
    <w:rsid w:val="00DB6F93"/>
    <w:rsid w:val="00DB6FC0"/>
    <w:rsid w:val="00DB700B"/>
    <w:rsid w:val="00DB7176"/>
    <w:rsid w:val="00DB723D"/>
    <w:rsid w:val="00DB72AB"/>
    <w:rsid w:val="00DB72DE"/>
    <w:rsid w:val="00DB72E4"/>
    <w:rsid w:val="00DB72E7"/>
    <w:rsid w:val="00DB72EA"/>
    <w:rsid w:val="00DB730F"/>
    <w:rsid w:val="00DB7310"/>
    <w:rsid w:val="00DB7396"/>
    <w:rsid w:val="00DB73D7"/>
    <w:rsid w:val="00DB7567"/>
    <w:rsid w:val="00DB7606"/>
    <w:rsid w:val="00DB76D5"/>
    <w:rsid w:val="00DB76EC"/>
    <w:rsid w:val="00DB7722"/>
    <w:rsid w:val="00DB77AB"/>
    <w:rsid w:val="00DB7901"/>
    <w:rsid w:val="00DB79D1"/>
    <w:rsid w:val="00DB7A4D"/>
    <w:rsid w:val="00DB7A62"/>
    <w:rsid w:val="00DB7BF4"/>
    <w:rsid w:val="00DB7CC3"/>
    <w:rsid w:val="00DB7D0C"/>
    <w:rsid w:val="00DB7DF8"/>
    <w:rsid w:val="00DB7EF2"/>
    <w:rsid w:val="00DC0084"/>
    <w:rsid w:val="00DC01C2"/>
    <w:rsid w:val="00DC01EA"/>
    <w:rsid w:val="00DC02B4"/>
    <w:rsid w:val="00DC030E"/>
    <w:rsid w:val="00DC03C4"/>
    <w:rsid w:val="00DC0420"/>
    <w:rsid w:val="00DC0495"/>
    <w:rsid w:val="00DC0539"/>
    <w:rsid w:val="00DC057E"/>
    <w:rsid w:val="00DC06B3"/>
    <w:rsid w:val="00DC0716"/>
    <w:rsid w:val="00DC077C"/>
    <w:rsid w:val="00DC0922"/>
    <w:rsid w:val="00DC0981"/>
    <w:rsid w:val="00DC09DA"/>
    <w:rsid w:val="00DC0B41"/>
    <w:rsid w:val="00DC0C2D"/>
    <w:rsid w:val="00DC0C35"/>
    <w:rsid w:val="00DC0C70"/>
    <w:rsid w:val="00DC0CAA"/>
    <w:rsid w:val="00DC0DA1"/>
    <w:rsid w:val="00DC0DB7"/>
    <w:rsid w:val="00DC0F97"/>
    <w:rsid w:val="00DC1096"/>
    <w:rsid w:val="00DC10E8"/>
    <w:rsid w:val="00DC127B"/>
    <w:rsid w:val="00DC12F6"/>
    <w:rsid w:val="00DC138C"/>
    <w:rsid w:val="00DC13B6"/>
    <w:rsid w:val="00DC1469"/>
    <w:rsid w:val="00DC153C"/>
    <w:rsid w:val="00DC15AF"/>
    <w:rsid w:val="00DC165B"/>
    <w:rsid w:val="00DC17EF"/>
    <w:rsid w:val="00DC17FB"/>
    <w:rsid w:val="00DC1A9A"/>
    <w:rsid w:val="00DC1A9E"/>
    <w:rsid w:val="00DC1BEE"/>
    <w:rsid w:val="00DC1C58"/>
    <w:rsid w:val="00DC1ED1"/>
    <w:rsid w:val="00DC1F04"/>
    <w:rsid w:val="00DC1F1F"/>
    <w:rsid w:val="00DC1F5E"/>
    <w:rsid w:val="00DC1F68"/>
    <w:rsid w:val="00DC207E"/>
    <w:rsid w:val="00DC2096"/>
    <w:rsid w:val="00DC2231"/>
    <w:rsid w:val="00DC230B"/>
    <w:rsid w:val="00DC248E"/>
    <w:rsid w:val="00DC24F6"/>
    <w:rsid w:val="00DC25AD"/>
    <w:rsid w:val="00DC25B0"/>
    <w:rsid w:val="00DC2634"/>
    <w:rsid w:val="00DC26DA"/>
    <w:rsid w:val="00DC26E3"/>
    <w:rsid w:val="00DC26EF"/>
    <w:rsid w:val="00DC272F"/>
    <w:rsid w:val="00DC278B"/>
    <w:rsid w:val="00DC2862"/>
    <w:rsid w:val="00DC2959"/>
    <w:rsid w:val="00DC29FA"/>
    <w:rsid w:val="00DC2AAC"/>
    <w:rsid w:val="00DC2AB7"/>
    <w:rsid w:val="00DC2B3D"/>
    <w:rsid w:val="00DC2B44"/>
    <w:rsid w:val="00DC2B94"/>
    <w:rsid w:val="00DC2CCD"/>
    <w:rsid w:val="00DC2D04"/>
    <w:rsid w:val="00DC2D33"/>
    <w:rsid w:val="00DC2DDD"/>
    <w:rsid w:val="00DC2EA1"/>
    <w:rsid w:val="00DC2EA6"/>
    <w:rsid w:val="00DC3168"/>
    <w:rsid w:val="00DC324C"/>
    <w:rsid w:val="00DC3266"/>
    <w:rsid w:val="00DC32BD"/>
    <w:rsid w:val="00DC349F"/>
    <w:rsid w:val="00DC34B9"/>
    <w:rsid w:val="00DC3551"/>
    <w:rsid w:val="00DC363D"/>
    <w:rsid w:val="00DC3676"/>
    <w:rsid w:val="00DC3692"/>
    <w:rsid w:val="00DC36AB"/>
    <w:rsid w:val="00DC374A"/>
    <w:rsid w:val="00DC383F"/>
    <w:rsid w:val="00DC38EA"/>
    <w:rsid w:val="00DC3932"/>
    <w:rsid w:val="00DC3A2B"/>
    <w:rsid w:val="00DC3A2C"/>
    <w:rsid w:val="00DC3A78"/>
    <w:rsid w:val="00DC3A7B"/>
    <w:rsid w:val="00DC3A8B"/>
    <w:rsid w:val="00DC3B56"/>
    <w:rsid w:val="00DC3BB0"/>
    <w:rsid w:val="00DC3C0A"/>
    <w:rsid w:val="00DC3C30"/>
    <w:rsid w:val="00DC3CCB"/>
    <w:rsid w:val="00DC3D3B"/>
    <w:rsid w:val="00DC3E14"/>
    <w:rsid w:val="00DC3EB7"/>
    <w:rsid w:val="00DC3EFC"/>
    <w:rsid w:val="00DC3F53"/>
    <w:rsid w:val="00DC3F88"/>
    <w:rsid w:val="00DC3F93"/>
    <w:rsid w:val="00DC41E5"/>
    <w:rsid w:val="00DC4263"/>
    <w:rsid w:val="00DC42BD"/>
    <w:rsid w:val="00DC430D"/>
    <w:rsid w:val="00DC43E4"/>
    <w:rsid w:val="00DC4498"/>
    <w:rsid w:val="00DC44D7"/>
    <w:rsid w:val="00DC44DF"/>
    <w:rsid w:val="00DC450E"/>
    <w:rsid w:val="00DC451D"/>
    <w:rsid w:val="00DC4611"/>
    <w:rsid w:val="00DC4682"/>
    <w:rsid w:val="00DC4760"/>
    <w:rsid w:val="00DC48CC"/>
    <w:rsid w:val="00DC49A9"/>
    <w:rsid w:val="00DC4A29"/>
    <w:rsid w:val="00DC4AD1"/>
    <w:rsid w:val="00DC4B0B"/>
    <w:rsid w:val="00DC4D9A"/>
    <w:rsid w:val="00DC4F4B"/>
    <w:rsid w:val="00DC5145"/>
    <w:rsid w:val="00DC5167"/>
    <w:rsid w:val="00DC51FE"/>
    <w:rsid w:val="00DC525A"/>
    <w:rsid w:val="00DC52FD"/>
    <w:rsid w:val="00DC5402"/>
    <w:rsid w:val="00DC5407"/>
    <w:rsid w:val="00DC558A"/>
    <w:rsid w:val="00DC5687"/>
    <w:rsid w:val="00DC569A"/>
    <w:rsid w:val="00DC584C"/>
    <w:rsid w:val="00DC5867"/>
    <w:rsid w:val="00DC5888"/>
    <w:rsid w:val="00DC5967"/>
    <w:rsid w:val="00DC5A2D"/>
    <w:rsid w:val="00DC5A64"/>
    <w:rsid w:val="00DC5A70"/>
    <w:rsid w:val="00DC5A72"/>
    <w:rsid w:val="00DC5B18"/>
    <w:rsid w:val="00DC5C35"/>
    <w:rsid w:val="00DC5C87"/>
    <w:rsid w:val="00DC5CA8"/>
    <w:rsid w:val="00DC5CBA"/>
    <w:rsid w:val="00DC5DE2"/>
    <w:rsid w:val="00DC5DFE"/>
    <w:rsid w:val="00DC5E0B"/>
    <w:rsid w:val="00DC5F05"/>
    <w:rsid w:val="00DC5F6E"/>
    <w:rsid w:val="00DC5F9D"/>
    <w:rsid w:val="00DC6161"/>
    <w:rsid w:val="00DC6164"/>
    <w:rsid w:val="00DC61FA"/>
    <w:rsid w:val="00DC6265"/>
    <w:rsid w:val="00DC634E"/>
    <w:rsid w:val="00DC637B"/>
    <w:rsid w:val="00DC63E9"/>
    <w:rsid w:val="00DC63F1"/>
    <w:rsid w:val="00DC65CC"/>
    <w:rsid w:val="00DC66C3"/>
    <w:rsid w:val="00DC66CD"/>
    <w:rsid w:val="00DC673C"/>
    <w:rsid w:val="00DC689F"/>
    <w:rsid w:val="00DC6940"/>
    <w:rsid w:val="00DC6943"/>
    <w:rsid w:val="00DC6999"/>
    <w:rsid w:val="00DC69B5"/>
    <w:rsid w:val="00DC6A0E"/>
    <w:rsid w:val="00DC6AA9"/>
    <w:rsid w:val="00DC6B92"/>
    <w:rsid w:val="00DC6BF4"/>
    <w:rsid w:val="00DC6C11"/>
    <w:rsid w:val="00DC6C3C"/>
    <w:rsid w:val="00DC6C43"/>
    <w:rsid w:val="00DC6CAA"/>
    <w:rsid w:val="00DC6CD9"/>
    <w:rsid w:val="00DC6E2C"/>
    <w:rsid w:val="00DC6E2D"/>
    <w:rsid w:val="00DC6E41"/>
    <w:rsid w:val="00DC6E95"/>
    <w:rsid w:val="00DC6FE2"/>
    <w:rsid w:val="00DC7123"/>
    <w:rsid w:val="00DC7148"/>
    <w:rsid w:val="00DC71E2"/>
    <w:rsid w:val="00DC71EF"/>
    <w:rsid w:val="00DC72C6"/>
    <w:rsid w:val="00DC72ED"/>
    <w:rsid w:val="00DC7305"/>
    <w:rsid w:val="00DC73B1"/>
    <w:rsid w:val="00DC73F3"/>
    <w:rsid w:val="00DC759A"/>
    <w:rsid w:val="00DC764B"/>
    <w:rsid w:val="00DC769A"/>
    <w:rsid w:val="00DC773D"/>
    <w:rsid w:val="00DC776D"/>
    <w:rsid w:val="00DC77AE"/>
    <w:rsid w:val="00DC7824"/>
    <w:rsid w:val="00DC796B"/>
    <w:rsid w:val="00DC7984"/>
    <w:rsid w:val="00DC799F"/>
    <w:rsid w:val="00DC79A9"/>
    <w:rsid w:val="00DC7ACE"/>
    <w:rsid w:val="00DC7AF3"/>
    <w:rsid w:val="00DC7B32"/>
    <w:rsid w:val="00DC7B8A"/>
    <w:rsid w:val="00DC7C34"/>
    <w:rsid w:val="00DC7C5B"/>
    <w:rsid w:val="00DC7C6D"/>
    <w:rsid w:val="00DC7CE2"/>
    <w:rsid w:val="00DC7D06"/>
    <w:rsid w:val="00DC7E10"/>
    <w:rsid w:val="00DC7E57"/>
    <w:rsid w:val="00DC7EAA"/>
    <w:rsid w:val="00DD0231"/>
    <w:rsid w:val="00DD028B"/>
    <w:rsid w:val="00DD0294"/>
    <w:rsid w:val="00DD048B"/>
    <w:rsid w:val="00DD04C1"/>
    <w:rsid w:val="00DD0584"/>
    <w:rsid w:val="00DD0732"/>
    <w:rsid w:val="00DD079B"/>
    <w:rsid w:val="00DD0831"/>
    <w:rsid w:val="00DD08F2"/>
    <w:rsid w:val="00DD0911"/>
    <w:rsid w:val="00DD0AD9"/>
    <w:rsid w:val="00DD0AF0"/>
    <w:rsid w:val="00DD0B81"/>
    <w:rsid w:val="00DD0CC7"/>
    <w:rsid w:val="00DD0D7B"/>
    <w:rsid w:val="00DD1049"/>
    <w:rsid w:val="00DD1080"/>
    <w:rsid w:val="00DD1225"/>
    <w:rsid w:val="00DD130B"/>
    <w:rsid w:val="00DD1327"/>
    <w:rsid w:val="00DD13FC"/>
    <w:rsid w:val="00DD1450"/>
    <w:rsid w:val="00DD14DC"/>
    <w:rsid w:val="00DD158F"/>
    <w:rsid w:val="00DD174B"/>
    <w:rsid w:val="00DD18DB"/>
    <w:rsid w:val="00DD1A40"/>
    <w:rsid w:val="00DD1A83"/>
    <w:rsid w:val="00DD1B2E"/>
    <w:rsid w:val="00DD1BB5"/>
    <w:rsid w:val="00DD1CEA"/>
    <w:rsid w:val="00DD1D46"/>
    <w:rsid w:val="00DD1D6C"/>
    <w:rsid w:val="00DD1D9A"/>
    <w:rsid w:val="00DD1DDC"/>
    <w:rsid w:val="00DD1DF1"/>
    <w:rsid w:val="00DD1E14"/>
    <w:rsid w:val="00DD1E84"/>
    <w:rsid w:val="00DD1F68"/>
    <w:rsid w:val="00DD1F9D"/>
    <w:rsid w:val="00DD1FDA"/>
    <w:rsid w:val="00DD2067"/>
    <w:rsid w:val="00DD2068"/>
    <w:rsid w:val="00DD2079"/>
    <w:rsid w:val="00DD226E"/>
    <w:rsid w:val="00DD2271"/>
    <w:rsid w:val="00DD23CB"/>
    <w:rsid w:val="00DD23F4"/>
    <w:rsid w:val="00DD2581"/>
    <w:rsid w:val="00DD25D9"/>
    <w:rsid w:val="00DD266A"/>
    <w:rsid w:val="00DD2676"/>
    <w:rsid w:val="00DD26BB"/>
    <w:rsid w:val="00DD2712"/>
    <w:rsid w:val="00DD28FD"/>
    <w:rsid w:val="00DD2B14"/>
    <w:rsid w:val="00DD2B8F"/>
    <w:rsid w:val="00DD2BDC"/>
    <w:rsid w:val="00DD2C28"/>
    <w:rsid w:val="00DD2CB6"/>
    <w:rsid w:val="00DD2CF7"/>
    <w:rsid w:val="00DD2D02"/>
    <w:rsid w:val="00DD2D43"/>
    <w:rsid w:val="00DD2D46"/>
    <w:rsid w:val="00DD2D8E"/>
    <w:rsid w:val="00DD2E36"/>
    <w:rsid w:val="00DD2EA1"/>
    <w:rsid w:val="00DD2F99"/>
    <w:rsid w:val="00DD3029"/>
    <w:rsid w:val="00DD3042"/>
    <w:rsid w:val="00DD30A0"/>
    <w:rsid w:val="00DD317F"/>
    <w:rsid w:val="00DD322C"/>
    <w:rsid w:val="00DD343A"/>
    <w:rsid w:val="00DD34A2"/>
    <w:rsid w:val="00DD34B7"/>
    <w:rsid w:val="00DD3572"/>
    <w:rsid w:val="00DD36BC"/>
    <w:rsid w:val="00DD36DF"/>
    <w:rsid w:val="00DD38DF"/>
    <w:rsid w:val="00DD39C1"/>
    <w:rsid w:val="00DD3A3D"/>
    <w:rsid w:val="00DD3AB1"/>
    <w:rsid w:val="00DD3BE0"/>
    <w:rsid w:val="00DD3C53"/>
    <w:rsid w:val="00DD3C69"/>
    <w:rsid w:val="00DD3CE5"/>
    <w:rsid w:val="00DD3DC1"/>
    <w:rsid w:val="00DD3DC6"/>
    <w:rsid w:val="00DD3E1D"/>
    <w:rsid w:val="00DD3E9C"/>
    <w:rsid w:val="00DD3FC1"/>
    <w:rsid w:val="00DD41CB"/>
    <w:rsid w:val="00DD44AA"/>
    <w:rsid w:val="00DD4617"/>
    <w:rsid w:val="00DD46FB"/>
    <w:rsid w:val="00DD489B"/>
    <w:rsid w:val="00DD48E8"/>
    <w:rsid w:val="00DD48EE"/>
    <w:rsid w:val="00DD4953"/>
    <w:rsid w:val="00DD49BB"/>
    <w:rsid w:val="00DD4A4E"/>
    <w:rsid w:val="00DD4AB0"/>
    <w:rsid w:val="00DD4B25"/>
    <w:rsid w:val="00DD4B28"/>
    <w:rsid w:val="00DD4B5C"/>
    <w:rsid w:val="00DD4D5C"/>
    <w:rsid w:val="00DD4D8E"/>
    <w:rsid w:val="00DD4DD8"/>
    <w:rsid w:val="00DD4E34"/>
    <w:rsid w:val="00DD4E3D"/>
    <w:rsid w:val="00DD4E83"/>
    <w:rsid w:val="00DD4E8D"/>
    <w:rsid w:val="00DD5041"/>
    <w:rsid w:val="00DD504E"/>
    <w:rsid w:val="00DD5098"/>
    <w:rsid w:val="00DD50C1"/>
    <w:rsid w:val="00DD519F"/>
    <w:rsid w:val="00DD51A5"/>
    <w:rsid w:val="00DD51E0"/>
    <w:rsid w:val="00DD5372"/>
    <w:rsid w:val="00DD552D"/>
    <w:rsid w:val="00DD554B"/>
    <w:rsid w:val="00DD564A"/>
    <w:rsid w:val="00DD5660"/>
    <w:rsid w:val="00DD56B0"/>
    <w:rsid w:val="00DD57D7"/>
    <w:rsid w:val="00DD58E0"/>
    <w:rsid w:val="00DD5954"/>
    <w:rsid w:val="00DD5A2C"/>
    <w:rsid w:val="00DD5B88"/>
    <w:rsid w:val="00DD5BA4"/>
    <w:rsid w:val="00DD5D1F"/>
    <w:rsid w:val="00DD5ECA"/>
    <w:rsid w:val="00DD5F64"/>
    <w:rsid w:val="00DD5F89"/>
    <w:rsid w:val="00DD601D"/>
    <w:rsid w:val="00DD60B4"/>
    <w:rsid w:val="00DD61FC"/>
    <w:rsid w:val="00DD6228"/>
    <w:rsid w:val="00DD6261"/>
    <w:rsid w:val="00DD62C3"/>
    <w:rsid w:val="00DD62F6"/>
    <w:rsid w:val="00DD6338"/>
    <w:rsid w:val="00DD637C"/>
    <w:rsid w:val="00DD643B"/>
    <w:rsid w:val="00DD6465"/>
    <w:rsid w:val="00DD650D"/>
    <w:rsid w:val="00DD65C1"/>
    <w:rsid w:val="00DD68D8"/>
    <w:rsid w:val="00DD69B3"/>
    <w:rsid w:val="00DD6A45"/>
    <w:rsid w:val="00DD6BF2"/>
    <w:rsid w:val="00DD6C79"/>
    <w:rsid w:val="00DD6CBA"/>
    <w:rsid w:val="00DD6DFC"/>
    <w:rsid w:val="00DD6E21"/>
    <w:rsid w:val="00DD6E77"/>
    <w:rsid w:val="00DD6EF0"/>
    <w:rsid w:val="00DD6EFF"/>
    <w:rsid w:val="00DD6F48"/>
    <w:rsid w:val="00DD6F61"/>
    <w:rsid w:val="00DD7151"/>
    <w:rsid w:val="00DD71A4"/>
    <w:rsid w:val="00DD72BA"/>
    <w:rsid w:val="00DD74D5"/>
    <w:rsid w:val="00DD7500"/>
    <w:rsid w:val="00DD7527"/>
    <w:rsid w:val="00DD7681"/>
    <w:rsid w:val="00DD76A4"/>
    <w:rsid w:val="00DD76B3"/>
    <w:rsid w:val="00DD7869"/>
    <w:rsid w:val="00DD788B"/>
    <w:rsid w:val="00DD7895"/>
    <w:rsid w:val="00DD7908"/>
    <w:rsid w:val="00DD7A7A"/>
    <w:rsid w:val="00DD7A7D"/>
    <w:rsid w:val="00DD7C34"/>
    <w:rsid w:val="00DD7C4D"/>
    <w:rsid w:val="00DD7C64"/>
    <w:rsid w:val="00DD7C8F"/>
    <w:rsid w:val="00DD7CAC"/>
    <w:rsid w:val="00DD7CDE"/>
    <w:rsid w:val="00DD7E12"/>
    <w:rsid w:val="00DD7EB3"/>
    <w:rsid w:val="00DD7F0C"/>
    <w:rsid w:val="00DD7F26"/>
    <w:rsid w:val="00DD7F44"/>
    <w:rsid w:val="00DE003E"/>
    <w:rsid w:val="00DE009E"/>
    <w:rsid w:val="00DE00F3"/>
    <w:rsid w:val="00DE0212"/>
    <w:rsid w:val="00DE02BA"/>
    <w:rsid w:val="00DE030A"/>
    <w:rsid w:val="00DE04BB"/>
    <w:rsid w:val="00DE050C"/>
    <w:rsid w:val="00DE051B"/>
    <w:rsid w:val="00DE05DD"/>
    <w:rsid w:val="00DE061A"/>
    <w:rsid w:val="00DE0703"/>
    <w:rsid w:val="00DE070A"/>
    <w:rsid w:val="00DE07A5"/>
    <w:rsid w:val="00DE0845"/>
    <w:rsid w:val="00DE088D"/>
    <w:rsid w:val="00DE08BF"/>
    <w:rsid w:val="00DE08C5"/>
    <w:rsid w:val="00DE08DC"/>
    <w:rsid w:val="00DE0A12"/>
    <w:rsid w:val="00DE0A98"/>
    <w:rsid w:val="00DE0B7B"/>
    <w:rsid w:val="00DE0BB2"/>
    <w:rsid w:val="00DE0BDD"/>
    <w:rsid w:val="00DE0C2B"/>
    <w:rsid w:val="00DE0C67"/>
    <w:rsid w:val="00DE0D93"/>
    <w:rsid w:val="00DE0DCE"/>
    <w:rsid w:val="00DE0DF1"/>
    <w:rsid w:val="00DE0EF1"/>
    <w:rsid w:val="00DE1040"/>
    <w:rsid w:val="00DE1155"/>
    <w:rsid w:val="00DE12BC"/>
    <w:rsid w:val="00DE12C7"/>
    <w:rsid w:val="00DE13DC"/>
    <w:rsid w:val="00DE157C"/>
    <w:rsid w:val="00DE15F7"/>
    <w:rsid w:val="00DE1635"/>
    <w:rsid w:val="00DE1711"/>
    <w:rsid w:val="00DE17D9"/>
    <w:rsid w:val="00DE18A6"/>
    <w:rsid w:val="00DE18AF"/>
    <w:rsid w:val="00DE18F8"/>
    <w:rsid w:val="00DE19DB"/>
    <w:rsid w:val="00DE1A2B"/>
    <w:rsid w:val="00DE1AC0"/>
    <w:rsid w:val="00DE1BE7"/>
    <w:rsid w:val="00DE1C73"/>
    <w:rsid w:val="00DE1D0E"/>
    <w:rsid w:val="00DE1D19"/>
    <w:rsid w:val="00DE1D4B"/>
    <w:rsid w:val="00DE1D55"/>
    <w:rsid w:val="00DE1DBF"/>
    <w:rsid w:val="00DE1E21"/>
    <w:rsid w:val="00DE1F67"/>
    <w:rsid w:val="00DE2064"/>
    <w:rsid w:val="00DE2069"/>
    <w:rsid w:val="00DE20B8"/>
    <w:rsid w:val="00DE2188"/>
    <w:rsid w:val="00DE219C"/>
    <w:rsid w:val="00DE2245"/>
    <w:rsid w:val="00DE2289"/>
    <w:rsid w:val="00DE2310"/>
    <w:rsid w:val="00DE247D"/>
    <w:rsid w:val="00DE2577"/>
    <w:rsid w:val="00DE25F3"/>
    <w:rsid w:val="00DE2676"/>
    <w:rsid w:val="00DE2791"/>
    <w:rsid w:val="00DE27CD"/>
    <w:rsid w:val="00DE2833"/>
    <w:rsid w:val="00DE28B0"/>
    <w:rsid w:val="00DE290A"/>
    <w:rsid w:val="00DE2938"/>
    <w:rsid w:val="00DE29D0"/>
    <w:rsid w:val="00DE2BDC"/>
    <w:rsid w:val="00DE2C5B"/>
    <w:rsid w:val="00DE2C87"/>
    <w:rsid w:val="00DE2D26"/>
    <w:rsid w:val="00DE2D2D"/>
    <w:rsid w:val="00DE2D38"/>
    <w:rsid w:val="00DE2DB8"/>
    <w:rsid w:val="00DE2F4F"/>
    <w:rsid w:val="00DE30E3"/>
    <w:rsid w:val="00DE3119"/>
    <w:rsid w:val="00DE3171"/>
    <w:rsid w:val="00DE31AC"/>
    <w:rsid w:val="00DE3268"/>
    <w:rsid w:val="00DE340E"/>
    <w:rsid w:val="00DE3680"/>
    <w:rsid w:val="00DE36B3"/>
    <w:rsid w:val="00DE3728"/>
    <w:rsid w:val="00DE3780"/>
    <w:rsid w:val="00DE378C"/>
    <w:rsid w:val="00DE3804"/>
    <w:rsid w:val="00DE3870"/>
    <w:rsid w:val="00DE38C0"/>
    <w:rsid w:val="00DE390D"/>
    <w:rsid w:val="00DE3A1D"/>
    <w:rsid w:val="00DE3A48"/>
    <w:rsid w:val="00DE3A8C"/>
    <w:rsid w:val="00DE3ABF"/>
    <w:rsid w:val="00DE3B14"/>
    <w:rsid w:val="00DE3BD2"/>
    <w:rsid w:val="00DE3C23"/>
    <w:rsid w:val="00DE3D09"/>
    <w:rsid w:val="00DE3D46"/>
    <w:rsid w:val="00DE3D5C"/>
    <w:rsid w:val="00DE3DA3"/>
    <w:rsid w:val="00DE3DDE"/>
    <w:rsid w:val="00DE3DE3"/>
    <w:rsid w:val="00DE3FE0"/>
    <w:rsid w:val="00DE4000"/>
    <w:rsid w:val="00DE4080"/>
    <w:rsid w:val="00DE4088"/>
    <w:rsid w:val="00DE40F2"/>
    <w:rsid w:val="00DE4133"/>
    <w:rsid w:val="00DE41C8"/>
    <w:rsid w:val="00DE434D"/>
    <w:rsid w:val="00DE43A7"/>
    <w:rsid w:val="00DE4402"/>
    <w:rsid w:val="00DE440E"/>
    <w:rsid w:val="00DE44AF"/>
    <w:rsid w:val="00DE44D7"/>
    <w:rsid w:val="00DE4573"/>
    <w:rsid w:val="00DE45DC"/>
    <w:rsid w:val="00DE45E7"/>
    <w:rsid w:val="00DE45FE"/>
    <w:rsid w:val="00DE462B"/>
    <w:rsid w:val="00DE47A4"/>
    <w:rsid w:val="00DE496B"/>
    <w:rsid w:val="00DE49AB"/>
    <w:rsid w:val="00DE49C9"/>
    <w:rsid w:val="00DE4A52"/>
    <w:rsid w:val="00DE4C14"/>
    <w:rsid w:val="00DE4C48"/>
    <w:rsid w:val="00DE4D30"/>
    <w:rsid w:val="00DE4D6E"/>
    <w:rsid w:val="00DE4E76"/>
    <w:rsid w:val="00DE5171"/>
    <w:rsid w:val="00DE51E9"/>
    <w:rsid w:val="00DE524F"/>
    <w:rsid w:val="00DE5379"/>
    <w:rsid w:val="00DE53BE"/>
    <w:rsid w:val="00DE53F9"/>
    <w:rsid w:val="00DE54A4"/>
    <w:rsid w:val="00DE54DA"/>
    <w:rsid w:val="00DE54E2"/>
    <w:rsid w:val="00DE5605"/>
    <w:rsid w:val="00DE562E"/>
    <w:rsid w:val="00DE5704"/>
    <w:rsid w:val="00DE580F"/>
    <w:rsid w:val="00DE5A3E"/>
    <w:rsid w:val="00DE5BE6"/>
    <w:rsid w:val="00DE5BF1"/>
    <w:rsid w:val="00DE5C07"/>
    <w:rsid w:val="00DE5CA8"/>
    <w:rsid w:val="00DE5CB3"/>
    <w:rsid w:val="00DE5CDD"/>
    <w:rsid w:val="00DE5D17"/>
    <w:rsid w:val="00DE5DB5"/>
    <w:rsid w:val="00DE5DCE"/>
    <w:rsid w:val="00DE5EF0"/>
    <w:rsid w:val="00DE5F27"/>
    <w:rsid w:val="00DE610B"/>
    <w:rsid w:val="00DE6340"/>
    <w:rsid w:val="00DE6378"/>
    <w:rsid w:val="00DE63A1"/>
    <w:rsid w:val="00DE63B4"/>
    <w:rsid w:val="00DE6441"/>
    <w:rsid w:val="00DE64D7"/>
    <w:rsid w:val="00DE6518"/>
    <w:rsid w:val="00DE6636"/>
    <w:rsid w:val="00DE675A"/>
    <w:rsid w:val="00DE6773"/>
    <w:rsid w:val="00DE67F8"/>
    <w:rsid w:val="00DE696A"/>
    <w:rsid w:val="00DE69CB"/>
    <w:rsid w:val="00DE69F3"/>
    <w:rsid w:val="00DE6B77"/>
    <w:rsid w:val="00DE6C75"/>
    <w:rsid w:val="00DE6C82"/>
    <w:rsid w:val="00DE6CD1"/>
    <w:rsid w:val="00DE6D24"/>
    <w:rsid w:val="00DE6DA9"/>
    <w:rsid w:val="00DE6FA4"/>
    <w:rsid w:val="00DE709F"/>
    <w:rsid w:val="00DE71F2"/>
    <w:rsid w:val="00DE7203"/>
    <w:rsid w:val="00DE7226"/>
    <w:rsid w:val="00DE723C"/>
    <w:rsid w:val="00DE7302"/>
    <w:rsid w:val="00DE7368"/>
    <w:rsid w:val="00DE73AD"/>
    <w:rsid w:val="00DE7461"/>
    <w:rsid w:val="00DE7476"/>
    <w:rsid w:val="00DE7500"/>
    <w:rsid w:val="00DE7656"/>
    <w:rsid w:val="00DE76B8"/>
    <w:rsid w:val="00DE76B9"/>
    <w:rsid w:val="00DE76F5"/>
    <w:rsid w:val="00DE7710"/>
    <w:rsid w:val="00DE78D7"/>
    <w:rsid w:val="00DE797E"/>
    <w:rsid w:val="00DE79D1"/>
    <w:rsid w:val="00DE79E1"/>
    <w:rsid w:val="00DE79F5"/>
    <w:rsid w:val="00DE7A40"/>
    <w:rsid w:val="00DE7A7F"/>
    <w:rsid w:val="00DE7AB7"/>
    <w:rsid w:val="00DE7ACB"/>
    <w:rsid w:val="00DE7AED"/>
    <w:rsid w:val="00DE7BE0"/>
    <w:rsid w:val="00DE7CE3"/>
    <w:rsid w:val="00DE7D2E"/>
    <w:rsid w:val="00DE7DBD"/>
    <w:rsid w:val="00DE7E08"/>
    <w:rsid w:val="00DE7ED4"/>
    <w:rsid w:val="00DE7EEE"/>
    <w:rsid w:val="00DE7F11"/>
    <w:rsid w:val="00DF0076"/>
    <w:rsid w:val="00DF0142"/>
    <w:rsid w:val="00DF014C"/>
    <w:rsid w:val="00DF017F"/>
    <w:rsid w:val="00DF026A"/>
    <w:rsid w:val="00DF0287"/>
    <w:rsid w:val="00DF02F8"/>
    <w:rsid w:val="00DF0592"/>
    <w:rsid w:val="00DF05DE"/>
    <w:rsid w:val="00DF0678"/>
    <w:rsid w:val="00DF06C3"/>
    <w:rsid w:val="00DF0732"/>
    <w:rsid w:val="00DF07F7"/>
    <w:rsid w:val="00DF088C"/>
    <w:rsid w:val="00DF0A18"/>
    <w:rsid w:val="00DF0A81"/>
    <w:rsid w:val="00DF0B1D"/>
    <w:rsid w:val="00DF0B28"/>
    <w:rsid w:val="00DF0C6A"/>
    <w:rsid w:val="00DF0C89"/>
    <w:rsid w:val="00DF0D39"/>
    <w:rsid w:val="00DF0D70"/>
    <w:rsid w:val="00DF0EA2"/>
    <w:rsid w:val="00DF0F1C"/>
    <w:rsid w:val="00DF0F67"/>
    <w:rsid w:val="00DF0F80"/>
    <w:rsid w:val="00DF0FF3"/>
    <w:rsid w:val="00DF101A"/>
    <w:rsid w:val="00DF1071"/>
    <w:rsid w:val="00DF10D9"/>
    <w:rsid w:val="00DF113B"/>
    <w:rsid w:val="00DF11C6"/>
    <w:rsid w:val="00DF1489"/>
    <w:rsid w:val="00DF14D3"/>
    <w:rsid w:val="00DF1635"/>
    <w:rsid w:val="00DF17B1"/>
    <w:rsid w:val="00DF17E0"/>
    <w:rsid w:val="00DF17F3"/>
    <w:rsid w:val="00DF1815"/>
    <w:rsid w:val="00DF1908"/>
    <w:rsid w:val="00DF1931"/>
    <w:rsid w:val="00DF1938"/>
    <w:rsid w:val="00DF19E2"/>
    <w:rsid w:val="00DF19F5"/>
    <w:rsid w:val="00DF1A24"/>
    <w:rsid w:val="00DF1A96"/>
    <w:rsid w:val="00DF1C06"/>
    <w:rsid w:val="00DF1CAA"/>
    <w:rsid w:val="00DF1CD9"/>
    <w:rsid w:val="00DF1CE9"/>
    <w:rsid w:val="00DF1D5D"/>
    <w:rsid w:val="00DF1DEC"/>
    <w:rsid w:val="00DF1E0E"/>
    <w:rsid w:val="00DF1E45"/>
    <w:rsid w:val="00DF1F38"/>
    <w:rsid w:val="00DF1F4C"/>
    <w:rsid w:val="00DF1FE1"/>
    <w:rsid w:val="00DF2060"/>
    <w:rsid w:val="00DF20A4"/>
    <w:rsid w:val="00DF212E"/>
    <w:rsid w:val="00DF224B"/>
    <w:rsid w:val="00DF2281"/>
    <w:rsid w:val="00DF22F6"/>
    <w:rsid w:val="00DF236E"/>
    <w:rsid w:val="00DF237C"/>
    <w:rsid w:val="00DF25B6"/>
    <w:rsid w:val="00DF2609"/>
    <w:rsid w:val="00DF26BC"/>
    <w:rsid w:val="00DF2720"/>
    <w:rsid w:val="00DF276F"/>
    <w:rsid w:val="00DF284D"/>
    <w:rsid w:val="00DF2899"/>
    <w:rsid w:val="00DF2981"/>
    <w:rsid w:val="00DF2ABD"/>
    <w:rsid w:val="00DF2B71"/>
    <w:rsid w:val="00DF2C28"/>
    <w:rsid w:val="00DF2C6E"/>
    <w:rsid w:val="00DF2CB5"/>
    <w:rsid w:val="00DF2CEF"/>
    <w:rsid w:val="00DF2D2C"/>
    <w:rsid w:val="00DF2D43"/>
    <w:rsid w:val="00DF2D52"/>
    <w:rsid w:val="00DF2E7B"/>
    <w:rsid w:val="00DF2ECB"/>
    <w:rsid w:val="00DF2EED"/>
    <w:rsid w:val="00DF2F91"/>
    <w:rsid w:val="00DF2FEF"/>
    <w:rsid w:val="00DF3087"/>
    <w:rsid w:val="00DF3157"/>
    <w:rsid w:val="00DF3190"/>
    <w:rsid w:val="00DF31B2"/>
    <w:rsid w:val="00DF31BC"/>
    <w:rsid w:val="00DF3316"/>
    <w:rsid w:val="00DF33A9"/>
    <w:rsid w:val="00DF33DB"/>
    <w:rsid w:val="00DF35E8"/>
    <w:rsid w:val="00DF35F0"/>
    <w:rsid w:val="00DF3613"/>
    <w:rsid w:val="00DF363C"/>
    <w:rsid w:val="00DF3663"/>
    <w:rsid w:val="00DF3687"/>
    <w:rsid w:val="00DF36D7"/>
    <w:rsid w:val="00DF3737"/>
    <w:rsid w:val="00DF380C"/>
    <w:rsid w:val="00DF381D"/>
    <w:rsid w:val="00DF382F"/>
    <w:rsid w:val="00DF3835"/>
    <w:rsid w:val="00DF383A"/>
    <w:rsid w:val="00DF3840"/>
    <w:rsid w:val="00DF38CC"/>
    <w:rsid w:val="00DF3993"/>
    <w:rsid w:val="00DF3A2B"/>
    <w:rsid w:val="00DF3A30"/>
    <w:rsid w:val="00DF3A5A"/>
    <w:rsid w:val="00DF3B36"/>
    <w:rsid w:val="00DF3B91"/>
    <w:rsid w:val="00DF3BCF"/>
    <w:rsid w:val="00DF3D16"/>
    <w:rsid w:val="00DF3E08"/>
    <w:rsid w:val="00DF3E5F"/>
    <w:rsid w:val="00DF3E7E"/>
    <w:rsid w:val="00DF3ED7"/>
    <w:rsid w:val="00DF3F4E"/>
    <w:rsid w:val="00DF40B2"/>
    <w:rsid w:val="00DF41B5"/>
    <w:rsid w:val="00DF4359"/>
    <w:rsid w:val="00DF4388"/>
    <w:rsid w:val="00DF4419"/>
    <w:rsid w:val="00DF4508"/>
    <w:rsid w:val="00DF4594"/>
    <w:rsid w:val="00DF45FB"/>
    <w:rsid w:val="00DF468B"/>
    <w:rsid w:val="00DF469D"/>
    <w:rsid w:val="00DF48E8"/>
    <w:rsid w:val="00DF48FE"/>
    <w:rsid w:val="00DF49E3"/>
    <w:rsid w:val="00DF4ACB"/>
    <w:rsid w:val="00DF4BD5"/>
    <w:rsid w:val="00DF4C31"/>
    <w:rsid w:val="00DF4CE2"/>
    <w:rsid w:val="00DF4E15"/>
    <w:rsid w:val="00DF4E2F"/>
    <w:rsid w:val="00DF4E34"/>
    <w:rsid w:val="00DF4ED8"/>
    <w:rsid w:val="00DF4EE4"/>
    <w:rsid w:val="00DF4F49"/>
    <w:rsid w:val="00DF5025"/>
    <w:rsid w:val="00DF503C"/>
    <w:rsid w:val="00DF5082"/>
    <w:rsid w:val="00DF5099"/>
    <w:rsid w:val="00DF50D0"/>
    <w:rsid w:val="00DF51EA"/>
    <w:rsid w:val="00DF52ED"/>
    <w:rsid w:val="00DF53D5"/>
    <w:rsid w:val="00DF543A"/>
    <w:rsid w:val="00DF54F1"/>
    <w:rsid w:val="00DF5575"/>
    <w:rsid w:val="00DF5652"/>
    <w:rsid w:val="00DF5734"/>
    <w:rsid w:val="00DF57EA"/>
    <w:rsid w:val="00DF5874"/>
    <w:rsid w:val="00DF5902"/>
    <w:rsid w:val="00DF5925"/>
    <w:rsid w:val="00DF5931"/>
    <w:rsid w:val="00DF59CE"/>
    <w:rsid w:val="00DF59E1"/>
    <w:rsid w:val="00DF5AA0"/>
    <w:rsid w:val="00DF5AB5"/>
    <w:rsid w:val="00DF5ACE"/>
    <w:rsid w:val="00DF5B43"/>
    <w:rsid w:val="00DF5B4C"/>
    <w:rsid w:val="00DF5B8E"/>
    <w:rsid w:val="00DF5B98"/>
    <w:rsid w:val="00DF5C51"/>
    <w:rsid w:val="00DF5F01"/>
    <w:rsid w:val="00DF6063"/>
    <w:rsid w:val="00DF607F"/>
    <w:rsid w:val="00DF6126"/>
    <w:rsid w:val="00DF617F"/>
    <w:rsid w:val="00DF6210"/>
    <w:rsid w:val="00DF624A"/>
    <w:rsid w:val="00DF62C7"/>
    <w:rsid w:val="00DF647B"/>
    <w:rsid w:val="00DF65A4"/>
    <w:rsid w:val="00DF660A"/>
    <w:rsid w:val="00DF6642"/>
    <w:rsid w:val="00DF66CE"/>
    <w:rsid w:val="00DF6798"/>
    <w:rsid w:val="00DF679B"/>
    <w:rsid w:val="00DF68D2"/>
    <w:rsid w:val="00DF6ABD"/>
    <w:rsid w:val="00DF6AE8"/>
    <w:rsid w:val="00DF6B37"/>
    <w:rsid w:val="00DF6B5E"/>
    <w:rsid w:val="00DF6C52"/>
    <w:rsid w:val="00DF6C56"/>
    <w:rsid w:val="00DF6C8D"/>
    <w:rsid w:val="00DF6CB8"/>
    <w:rsid w:val="00DF6D0D"/>
    <w:rsid w:val="00DF6D54"/>
    <w:rsid w:val="00DF6DF3"/>
    <w:rsid w:val="00DF6E88"/>
    <w:rsid w:val="00DF6F0F"/>
    <w:rsid w:val="00DF6FFA"/>
    <w:rsid w:val="00DF702C"/>
    <w:rsid w:val="00DF708B"/>
    <w:rsid w:val="00DF7099"/>
    <w:rsid w:val="00DF7194"/>
    <w:rsid w:val="00DF728F"/>
    <w:rsid w:val="00DF733F"/>
    <w:rsid w:val="00DF739B"/>
    <w:rsid w:val="00DF7414"/>
    <w:rsid w:val="00DF7423"/>
    <w:rsid w:val="00DF7475"/>
    <w:rsid w:val="00DF74B8"/>
    <w:rsid w:val="00DF765C"/>
    <w:rsid w:val="00DF779C"/>
    <w:rsid w:val="00DF7848"/>
    <w:rsid w:val="00DF7886"/>
    <w:rsid w:val="00DF78A5"/>
    <w:rsid w:val="00DF78A9"/>
    <w:rsid w:val="00DF7960"/>
    <w:rsid w:val="00DF7A0E"/>
    <w:rsid w:val="00DF7AEB"/>
    <w:rsid w:val="00DF7AEF"/>
    <w:rsid w:val="00DF7B80"/>
    <w:rsid w:val="00DF7B85"/>
    <w:rsid w:val="00DF7C44"/>
    <w:rsid w:val="00DF7CAF"/>
    <w:rsid w:val="00DF7CDC"/>
    <w:rsid w:val="00DF7D53"/>
    <w:rsid w:val="00DF7FF5"/>
    <w:rsid w:val="00DFF287"/>
    <w:rsid w:val="00E00185"/>
    <w:rsid w:val="00E001BB"/>
    <w:rsid w:val="00E00270"/>
    <w:rsid w:val="00E0035C"/>
    <w:rsid w:val="00E003D3"/>
    <w:rsid w:val="00E0047D"/>
    <w:rsid w:val="00E00582"/>
    <w:rsid w:val="00E005DD"/>
    <w:rsid w:val="00E00613"/>
    <w:rsid w:val="00E0066F"/>
    <w:rsid w:val="00E0075A"/>
    <w:rsid w:val="00E007A4"/>
    <w:rsid w:val="00E007F2"/>
    <w:rsid w:val="00E0085B"/>
    <w:rsid w:val="00E00906"/>
    <w:rsid w:val="00E0091F"/>
    <w:rsid w:val="00E0093E"/>
    <w:rsid w:val="00E009AA"/>
    <w:rsid w:val="00E00AAF"/>
    <w:rsid w:val="00E00AC2"/>
    <w:rsid w:val="00E00B3E"/>
    <w:rsid w:val="00E00B6B"/>
    <w:rsid w:val="00E00C1A"/>
    <w:rsid w:val="00E00C30"/>
    <w:rsid w:val="00E00C3D"/>
    <w:rsid w:val="00E00C5D"/>
    <w:rsid w:val="00E00C6C"/>
    <w:rsid w:val="00E00C75"/>
    <w:rsid w:val="00E00C7D"/>
    <w:rsid w:val="00E00C84"/>
    <w:rsid w:val="00E00C99"/>
    <w:rsid w:val="00E00CB3"/>
    <w:rsid w:val="00E00E2D"/>
    <w:rsid w:val="00E01053"/>
    <w:rsid w:val="00E01186"/>
    <w:rsid w:val="00E011F2"/>
    <w:rsid w:val="00E012E8"/>
    <w:rsid w:val="00E01314"/>
    <w:rsid w:val="00E01321"/>
    <w:rsid w:val="00E01539"/>
    <w:rsid w:val="00E015E3"/>
    <w:rsid w:val="00E01758"/>
    <w:rsid w:val="00E0176B"/>
    <w:rsid w:val="00E01820"/>
    <w:rsid w:val="00E019A4"/>
    <w:rsid w:val="00E01A33"/>
    <w:rsid w:val="00E01A8A"/>
    <w:rsid w:val="00E01C16"/>
    <w:rsid w:val="00E01C74"/>
    <w:rsid w:val="00E01CBB"/>
    <w:rsid w:val="00E01CEF"/>
    <w:rsid w:val="00E01DCC"/>
    <w:rsid w:val="00E01DD4"/>
    <w:rsid w:val="00E01DDE"/>
    <w:rsid w:val="00E01DE2"/>
    <w:rsid w:val="00E01E3C"/>
    <w:rsid w:val="00E01E6E"/>
    <w:rsid w:val="00E02017"/>
    <w:rsid w:val="00E02214"/>
    <w:rsid w:val="00E0221A"/>
    <w:rsid w:val="00E022CA"/>
    <w:rsid w:val="00E02301"/>
    <w:rsid w:val="00E02399"/>
    <w:rsid w:val="00E023DD"/>
    <w:rsid w:val="00E02554"/>
    <w:rsid w:val="00E0256B"/>
    <w:rsid w:val="00E026A5"/>
    <w:rsid w:val="00E02789"/>
    <w:rsid w:val="00E02827"/>
    <w:rsid w:val="00E02889"/>
    <w:rsid w:val="00E028B5"/>
    <w:rsid w:val="00E02918"/>
    <w:rsid w:val="00E02969"/>
    <w:rsid w:val="00E029B9"/>
    <w:rsid w:val="00E029D8"/>
    <w:rsid w:val="00E02A9B"/>
    <w:rsid w:val="00E02AF2"/>
    <w:rsid w:val="00E02B46"/>
    <w:rsid w:val="00E02B6B"/>
    <w:rsid w:val="00E02BD0"/>
    <w:rsid w:val="00E02C48"/>
    <w:rsid w:val="00E02C4A"/>
    <w:rsid w:val="00E02C4B"/>
    <w:rsid w:val="00E02D6B"/>
    <w:rsid w:val="00E02E29"/>
    <w:rsid w:val="00E02E8D"/>
    <w:rsid w:val="00E02FB0"/>
    <w:rsid w:val="00E0301F"/>
    <w:rsid w:val="00E03062"/>
    <w:rsid w:val="00E03495"/>
    <w:rsid w:val="00E034A6"/>
    <w:rsid w:val="00E034F6"/>
    <w:rsid w:val="00E03621"/>
    <w:rsid w:val="00E03671"/>
    <w:rsid w:val="00E03708"/>
    <w:rsid w:val="00E03737"/>
    <w:rsid w:val="00E03818"/>
    <w:rsid w:val="00E03986"/>
    <w:rsid w:val="00E03AA5"/>
    <w:rsid w:val="00E03AD1"/>
    <w:rsid w:val="00E03B81"/>
    <w:rsid w:val="00E03C32"/>
    <w:rsid w:val="00E03CFA"/>
    <w:rsid w:val="00E03D3B"/>
    <w:rsid w:val="00E03DC5"/>
    <w:rsid w:val="00E03E07"/>
    <w:rsid w:val="00E03E2B"/>
    <w:rsid w:val="00E03F66"/>
    <w:rsid w:val="00E0403F"/>
    <w:rsid w:val="00E04087"/>
    <w:rsid w:val="00E0411E"/>
    <w:rsid w:val="00E0419C"/>
    <w:rsid w:val="00E041EC"/>
    <w:rsid w:val="00E04229"/>
    <w:rsid w:val="00E04252"/>
    <w:rsid w:val="00E0425C"/>
    <w:rsid w:val="00E04282"/>
    <w:rsid w:val="00E04491"/>
    <w:rsid w:val="00E04601"/>
    <w:rsid w:val="00E0477E"/>
    <w:rsid w:val="00E04934"/>
    <w:rsid w:val="00E0495F"/>
    <w:rsid w:val="00E04988"/>
    <w:rsid w:val="00E049C9"/>
    <w:rsid w:val="00E049CF"/>
    <w:rsid w:val="00E04C21"/>
    <w:rsid w:val="00E04D41"/>
    <w:rsid w:val="00E04D64"/>
    <w:rsid w:val="00E04FE5"/>
    <w:rsid w:val="00E05010"/>
    <w:rsid w:val="00E050D8"/>
    <w:rsid w:val="00E050F6"/>
    <w:rsid w:val="00E053A1"/>
    <w:rsid w:val="00E05439"/>
    <w:rsid w:val="00E05465"/>
    <w:rsid w:val="00E054B8"/>
    <w:rsid w:val="00E054FA"/>
    <w:rsid w:val="00E05532"/>
    <w:rsid w:val="00E055B9"/>
    <w:rsid w:val="00E0566D"/>
    <w:rsid w:val="00E05692"/>
    <w:rsid w:val="00E05727"/>
    <w:rsid w:val="00E05774"/>
    <w:rsid w:val="00E05813"/>
    <w:rsid w:val="00E05873"/>
    <w:rsid w:val="00E0588B"/>
    <w:rsid w:val="00E05968"/>
    <w:rsid w:val="00E059D7"/>
    <w:rsid w:val="00E059E9"/>
    <w:rsid w:val="00E059FF"/>
    <w:rsid w:val="00E05A4E"/>
    <w:rsid w:val="00E05AA1"/>
    <w:rsid w:val="00E05C41"/>
    <w:rsid w:val="00E05D52"/>
    <w:rsid w:val="00E05DEE"/>
    <w:rsid w:val="00E05E57"/>
    <w:rsid w:val="00E05E74"/>
    <w:rsid w:val="00E05E9D"/>
    <w:rsid w:val="00E06157"/>
    <w:rsid w:val="00E0620C"/>
    <w:rsid w:val="00E0625A"/>
    <w:rsid w:val="00E062B6"/>
    <w:rsid w:val="00E062D3"/>
    <w:rsid w:val="00E06401"/>
    <w:rsid w:val="00E06569"/>
    <w:rsid w:val="00E065B4"/>
    <w:rsid w:val="00E065D0"/>
    <w:rsid w:val="00E065F5"/>
    <w:rsid w:val="00E06619"/>
    <w:rsid w:val="00E06693"/>
    <w:rsid w:val="00E06738"/>
    <w:rsid w:val="00E06831"/>
    <w:rsid w:val="00E06953"/>
    <w:rsid w:val="00E069CA"/>
    <w:rsid w:val="00E06A42"/>
    <w:rsid w:val="00E06AB3"/>
    <w:rsid w:val="00E06C66"/>
    <w:rsid w:val="00E06C9E"/>
    <w:rsid w:val="00E06CDF"/>
    <w:rsid w:val="00E06D8D"/>
    <w:rsid w:val="00E06E5E"/>
    <w:rsid w:val="00E06F58"/>
    <w:rsid w:val="00E06FF3"/>
    <w:rsid w:val="00E071A4"/>
    <w:rsid w:val="00E07292"/>
    <w:rsid w:val="00E072FC"/>
    <w:rsid w:val="00E07303"/>
    <w:rsid w:val="00E073D4"/>
    <w:rsid w:val="00E075D4"/>
    <w:rsid w:val="00E07645"/>
    <w:rsid w:val="00E0782E"/>
    <w:rsid w:val="00E07872"/>
    <w:rsid w:val="00E07940"/>
    <w:rsid w:val="00E07A94"/>
    <w:rsid w:val="00E07A99"/>
    <w:rsid w:val="00E07AF2"/>
    <w:rsid w:val="00E07B99"/>
    <w:rsid w:val="00E07BD4"/>
    <w:rsid w:val="00E07C3D"/>
    <w:rsid w:val="00E07C6D"/>
    <w:rsid w:val="00E07CD8"/>
    <w:rsid w:val="00E07CEF"/>
    <w:rsid w:val="00E07D42"/>
    <w:rsid w:val="00E07DA6"/>
    <w:rsid w:val="00E07E53"/>
    <w:rsid w:val="00E07E61"/>
    <w:rsid w:val="00E07E91"/>
    <w:rsid w:val="00E1002A"/>
    <w:rsid w:val="00E1009A"/>
    <w:rsid w:val="00E100B0"/>
    <w:rsid w:val="00E10120"/>
    <w:rsid w:val="00E101E9"/>
    <w:rsid w:val="00E102B2"/>
    <w:rsid w:val="00E10308"/>
    <w:rsid w:val="00E1035E"/>
    <w:rsid w:val="00E103F6"/>
    <w:rsid w:val="00E1047C"/>
    <w:rsid w:val="00E10488"/>
    <w:rsid w:val="00E10520"/>
    <w:rsid w:val="00E1052D"/>
    <w:rsid w:val="00E1052E"/>
    <w:rsid w:val="00E105E2"/>
    <w:rsid w:val="00E10620"/>
    <w:rsid w:val="00E106C1"/>
    <w:rsid w:val="00E10750"/>
    <w:rsid w:val="00E107B5"/>
    <w:rsid w:val="00E107CC"/>
    <w:rsid w:val="00E10864"/>
    <w:rsid w:val="00E10871"/>
    <w:rsid w:val="00E1091D"/>
    <w:rsid w:val="00E10A21"/>
    <w:rsid w:val="00E10AB4"/>
    <w:rsid w:val="00E10B04"/>
    <w:rsid w:val="00E10BEB"/>
    <w:rsid w:val="00E10C66"/>
    <w:rsid w:val="00E10DDA"/>
    <w:rsid w:val="00E10E0A"/>
    <w:rsid w:val="00E10E59"/>
    <w:rsid w:val="00E10EE5"/>
    <w:rsid w:val="00E10FF0"/>
    <w:rsid w:val="00E11022"/>
    <w:rsid w:val="00E11050"/>
    <w:rsid w:val="00E110F0"/>
    <w:rsid w:val="00E1130D"/>
    <w:rsid w:val="00E114FD"/>
    <w:rsid w:val="00E1152A"/>
    <w:rsid w:val="00E11591"/>
    <w:rsid w:val="00E1159B"/>
    <w:rsid w:val="00E115BA"/>
    <w:rsid w:val="00E11630"/>
    <w:rsid w:val="00E11662"/>
    <w:rsid w:val="00E11722"/>
    <w:rsid w:val="00E11779"/>
    <w:rsid w:val="00E117A2"/>
    <w:rsid w:val="00E11823"/>
    <w:rsid w:val="00E11878"/>
    <w:rsid w:val="00E118CB"/>
    <w:rsid w:val="00E118EB"/>
    <w:rsid w:val="00E119B2"/>
    <w:rsid w:val="00E11A4F"/>
    <w:rsid w:val="00E11B0F"/>
    <w:rsid w:val="00E11BDE"/>
    <w:rsid w:val="00E11D47"/>
    <w:rsid w:val="00E11D4A"/>
    <w:rsid w:val="00E11DD4"/>
    <w:rsid w:val="00E11E29"/>
    <w:rsid w:val="00E11F15"/>
    <w:rsid w:val="00E12086"/>
    <w:rsid w:val="00E120CC"/>
    <w:rsid w:val="00E121E7"/>
    <w:rsid w:val="00E121F8"/>
    <w:rsid w:val="00E1224C"/>
    <w:rsid w:val="00E122B6"/>
    <w:rsid w:val="00E124B9"/>
    <w:rsid w:val="00E124C0"/>
    <w:rsid w:val="00E12514"/>
    <w:rsid w:val="00E125C1"/>
    <w:rsid w:val="00E126C7"/>
    <w:rsid w:val="00E126D5"/>
    <w:rsid w:val="00E127BA"/>
    <w:rsid w:val="00E12853"/>
    <w:rsid w:val="00E12926"/>
    <w:rsid w:val="00E1298A"/>
    <w:rsid w:val="00E129B4"/>
    <w:rsid w:val="00E12A61"/>
    <w:rsid w:val="00E12D2F"/>
    <w:rsid w:val="00E12D72"/>
    <w:rsid w:val="00E12E1A"/>
    <w:rsid w:val="00E12EFA"/>
    <w:rsid w:val="00E12F6A"/>
    <w:rsid w:val="00E12FE7"/>
    <w:rsid w:val="00E130C5"/>
    <w:rsid w:val="00E13108"/>
    <w:rsid w:val="00E13147"/>
    <w:rsid w:val="00E131CF"/>
    <w:rsid w:val="00E1320B"/>
    <w:rsid w:val="00E13286"/>
    <w:rsid w:val="00E132F8"/>
    <w:rsid w:val="00E13309"/>
    <w:rsid w:val="00E13351"/>
    <w:rsid w:val="00E13369"/>
    <w:rsid w:val="00E13393"/>
    <w:rsid w:val="00E133C2"/>
    <w:rsid w:val="00E133CA"/>
    <w:rsid w:val="00E13422"/>
    <w:rsid w:val="00E1346C"/>
    <w:rsid w:val="00E134E8"/>
    <w:rsid w:val="00E13516"/>
    <w:rsid w:val="00E1352D"/>
    <w:rsid w:val="00E1358F"/>
    <w:rsid w:val="00E135A0"/>
    <w:rsid w:val="00E13762"/>
    <w:rsid w:val="00E13879"/>
    <w:rsid w:val="00E13899"/>
    <w:rsid w:val="00E1399C"/>
    <w:rsid w:val="00E13B11"/>
    <w:rsid w:val="00E13B81"/>
    <w:rsid w:val="00E13C7B"/>
    <w:rsid w:val="00E13CF2"/>
    <w:rsid w:val="00E13CFA"/>
    <w:rsid w:val="00E13D34"/>
    <w:rsid w:val="00E1404C"/>
    <w:rsid w:val="00E14170"/>
    <w:rsid w:val="00E14175"/>
    <w:rsid w:val="00E141A7"/>
    <w:rsid w:val="00E14355"/>
    <w:rsid w:val="00E143EB"/>
    <w:rsid w:val="00E145B7"/>
    <w:rsid w:val="00E145BC"/>
    <w:rsid w:val="00E14678"/>
    <w:rsid w:val="00E14751"/>
    <w:rsid w:val="00E14864"/>
    <w:rsid w:val="00E148C5"/>
    <w:rsid w:val="00E14962"/>
    <w:rsid w:val="00E149C9"/>
    <w:rsid w:val="00E14A22"/>
    <w:rsid w:val="00E14ACA"/>
    <w:rsid w:val="00E14AE6"/>
    <w:rsid w:val="00E14C01"/>
    <w:rsid w:val="00E14C3D"/>
    <w:rsid w:val="00E14C45"/>
    <w:rsid w:val="00E14C5A"/>
    <w:rsid w:val="00E14C6C"/>
    <w:rsid w:val="00E14C72"/>
    <w:rsid w:val="00E14DEE"/>
    <w:rsid w:val="00E14E67"/>
    <w:rsid w:val="00E15006"/>
    <w:rsid w:val="00E1501A"/>
    <w:rsid w:val="00E1508A"/>
    <w:rsid w:val="00E151A6"/>
    <w:rsid w:val="00E151DF"/>
    <w:rsid w:val="00E1520E"/>
    <w:rsid w:val="00E1527E"/>
    <w:rsid w:val="00E15328"/>
    <w:rsid w:val="00E153F7"/>
    <w:rsid w:val="00E1541F"/>
    <w:rsid w:val="00E15532"/>
    <w:rsid w:val="00E15556"/>
    <w:rsid w:val="00E155CD"/>
    <w:rsid w:val="00E155E9"/>
    <w:rsid w:val="00E156A4"/>
    <w:rsid w:val="00E156AD"/>
    <w:rsid w:val="00E1572F"/>
    <w:rsid w:val="00E15846"/>
    <w:rsid w:val="00E158EC"/>
    <w:rsid w:val="00E15916"/>
    <w:rsid w:val="00E1593D"/>
    <w:rsid w:val="00E1594E"/>
    <w:rsid w:val="00E15975"/>
    <w:rsid w:val="00E15991"/>
    <w:rsid w:val="00E15AD7"/>
    <w:rsid w:val="00E15B0F"/>
    <w:rsid w:val="00E15B2C"/>
    <w:rsid w:val="00E15BBA"/>
    <w:rsid w:val="00E15BD6"/>
    <w:rsid w:val="00E15CDD"/>
    <w:rsid w:val="00E15D51"/>
    <w:rsid w:val="00E15D9D"/>
    <w:rsid w:val="00E15E4A"/>
    <w:rsid w:val="00E15FA0"/>
    <w:rsid w:val="00E16107"/>
    <w:rsid w:val="00E16171"/>
    <w:rsid w:val="00E161F7"/>
    <w:rsid w:val="00E161F9"/>
    <w:rsid w:val="00E16293"/>
    <w:rsid w:val="00E162B3"/>
    <w:rsid w:val="00E162B9"/>
    <w:rsid w:val="00E16308"/>
    <w:rsid w:val="00E16328"/>
    <w:rsid w:val="00E1632F"/>
    <w:rsid w:val="00E1634D"/>
    <w:rsid w:val="00E16533"/>
    <w:rsid w:val="00E1659A"/>
    <w:rsid w:val="00E1661F"/>
    <w:rsid w:val="00E16645"/>
    <w:rsid w:val="00E1664E"/>
    <w:rsid w:val="00E1669A"/>
    <w:rsid w:val="00E16740"/>
    <w:rsid w:val="00E16791"/>
    <w:rsid w:val="00E167EC"/>
    <w:rsid w:val="00E16974"/>
    <w:rsid w:val="00E169FA"/>
    <w:rsid w:val="00E16A34"/>
    <w:rsid w:val="00E16AA9"/>
    <w:rsid w:val="00E16B96"/>
    <w:rsid w:val="00E16BF3"/>
    <w:rsid w:val="00E16C01"/>
    <w:rsid w:val="00E16C47"/>
    <w:rsid w:val="00E16CE0"/>
    <w:rsid w:val="00E16CEE"/>
    <w:rsid w:val="00E16E92"/>
    <w:rsid w:val="00E16EB9"/>
    <w:rsid w:val="00E170DC"/>
    <w:rsid w:val="00E17149"/>
    <w:rsid w:val="00E1716E"/>
    <w:rsid w:val="00E171BF"/>
    <w:rsid w:val="00E171C2"/>
    <w:rsid w:val="00E17246"/>
    <w:rsid w:val="00E17260"/>
    <w:rsid w:val="00E172A8"/>
    <w:rsid w:val="00E1742C"/>
    <w:rsid w:val="00E1746C"/>
    <w:rsid w:val="00E174AB"/>
    <w:rsid w:val="00E1760B"/>
    <w:rsid w:val="00E17643"/>
    <w:rsid w:val="00E176B4"/>
    <w:rsid w:val="00E176B9"/>
    <w:rsid w:val="00E1771E"/>
    <w:rsid w:val="00E17852"/>
    <w:rsid w:val="00E1787D"/>
    <w:rsid w:val="00E17901"/>
    <w:rsid w:val="00E17A96"/>
    <w:rsid w:val="00E17AE9"/>
    <w:rsid w:val="00E17C36"/>
    <w:rsid w:val="00E17E18"/>
    <w:rsid w:val="00E17E7C"/>
    <w:rsid w:val="00E17EA7"/>
    <w:rsid w:val="00E17EF2"/>
    <w:rsid w:val="00E20052"/>
    <w:rsid w:val="00E200F9"/>
    <w:rsid w:val="00E2016E"/>
    <w:rsid w:val="00E201B4"/>
    <w:rsid w:val="00E20281"/>
    <w:rsid w:val="00E2035D"/>
    <w:rsid w:val="00E203BA"/>
    <w:rsid w:val="00E203E4"/>
    <w:rsid w:val="00E20462"/>
    <w:rsid w:val="00E20653"/>
    <w:rsid w:val="00E206CC"/>
    <w:rsid w:val="00E20772"/>
    <w:rsid w:val="00E20793"/>
    <w:rsid w:val="00E207A6"/>
    <w:rsid w:val="00E207B8"/>
    <w:rsid w:val="00E207FF"/>
    <w:rsid w:val="00E20866"/>
    <w:rsid w:val="00E20982"/>
    <w:rsid w:val="00E209AD"/>
    <w:rsid w:val="00E20AAC"/>
    <w:rsid w:val="00E20B8A"/>
    <w:rsid w:val="00E20C08"/>
    <w:rsid w:val="00E20C15"/>
    <w:rsid w:val="00E20D01"/>
    <w:rsid w:val="00E20EF0"/>
    <w:rsid w:val="00E20EF9"/>
    <w:rsid w:val="00E20FBE"/>
    <w:rsid w:val="00E2100C"/>
    <w:rsid w:val="00E21178"/>
    <w:rsid w:val="00E211E5"/>
    <w:rsid w:val="00E21222"/>
    <w:rsid w:val="00E21397"/>
    <w:rsid w:val="00E21452"/>
    <w:rsid w:val="00E21503"/>
    <w:rsid w:val="00E2158F"/>
    <w:rsid w:val="00E215A0"/>
    <w:rsid w:val="00E215E9"/>
    <w:rsid w:val="00E21655"/>
    <w:rsid w:val="00E216E8"/>
    <w:rsid w:val="00E217CC"/>
    <w:rsid w:val="00E2185F"/>
    <w:rsid w:val="00E218BD"/>
    <w:rsid w:val="00E218FF"/>
    <w:rsid w:val="00E21999"/>
    <w:rsid w:val="00E219C1"/>
    <w:rsid w:val="00E219CF"/>
    <w:rsid w:val="00E21AB5"/>
    <w:rsid w:val="00E21F3A"/>
    <w:rsid w:val="00E21FB1"/>
    <w:rsid w:val="00E21FD7"/>
    <w:rsid w:val="00E21FEB"/>
    <w:rsid w:val="00E2204B"/>
    <w:rsid w:val="00E2207D"/>
    <w:rsid w:val="00E220A4"/>
    <w:rsid w:val="00E220C0"/>
    <w:rsid w:val="00E220DF"/>
    <w:rsid w:val="00E2215A"/>
    <w:rsid w:val="00E22172"/>
    <w:rsid w:val="00E2220F"/>
    <w:rsid w:val="00E22344"/>
    <w:rsid w:val="00E2237B"/>
    <w:rsid w:val="00E22389"/>
    <w:rsid w:val="00E223DA"/>
    <w:rsid w:val="00E22417"/>
    <w:rsid w:val="00E224CB"/>
    <w:rsid w:val="00E224D2"/>
    <w:rsid w:val="00E22596"/>
    <w:rsid w:val="00E22648"/>
    <w:rsid w:val="00E22676"/>
    <w:rsid w:val="00E22686"/>
    <w:rsid w:val="00E226E8"/>
    <w:rsid w:val="00E228CC"/>
    <w:rsid w:val="00E228D8"/>
    <w:rsid w:val="00E22940"/>
    <w:rsid w:val="00E229C0"/>
    <w:rsid w:val="00E22B51"/>
    <w:rsid w:val="00E22C5D"/>
    <w:rsid w:val="00E22C83"/>
    <w:rsid w:val="00E22CF0"/>
    <w:rsid w:val="00E22D5E"/>
    <w:rsid w:val="00E22DC1"/>
    <w:rsid w:val="00E22E5D"/>
    <w:rsid w:val="00E22E91"/>
    <w:rsid w:val="00E22EDC"/>
    <w:rsid w:val="00E22F29"/>
    <w:rsid w:val="00E22FE7"/>
    <w:rsid w:val="00E230D6"/>
    <w:rsid w:val="00E231EC"/>
    <w:rsid w:val="00E23237"/>
    <w:rsid w:val="00E232AB"/>
    <w:rsid w:val="00E2332A"/>
    <w:rsid w:val="00E2346D"/>
    <w:rsid w:val="00E2362E"/>
    <w:rsid w:val="00E23664"/>
    <w:rsid w:val="00E236B3"/>
    <w:rsid w:val="00E23805"/>
    <w:rsid w:val="00E238C9"/>
    <w:rsid w:val="00E238ED"/>
    <w:rsid w:val="00E23940"/>
    <w:rsid w:val="00E23A5B"/>
    <w:rsid w:val="00E23B22"/>
    <w:rsid w:val="00E23B59"/>
    <w:rsid w:val="00E23BCC"/>
    <w:rsid w:val="00E23C10"/>
    <w:rsid w:val="00E23D4B"/>
    <w:rsid w:val="00E240A5"/>
    <w:rsid w:val="00E240BD"/>
    <w:rsid w:val="00E240D9"/>
    <w:rsid w:val="00E240E4"/>
    <w:rsid w:val="00E2426E"/>
    <w:rsid w:val="00E242B9"/>
    <w:rsid w:val="00E242DD"/>
    <w:rsid w:val="00E24336"/>
    <w:rsid w:val="00E2447D"/>
    <w:rsid w:val="00E244C2"/>
    <w:rsid w:val="00E24550"/>
    <w:rsid w:val="00E24666"/>
    <w:rsid w:val="00E246AB"/>
    <w:rsid w:val="00E24749"/>
    <w:rsid w:val="00E24776"/>
    <w:rsid w:val="00E248AD"/>
    <w:rsid w:val="00E248D9"/>
    <w:rsid w:val="00E24927"/>
    <w:rsid w:val="00E249C7"/>
    <w:rsid w:val="00E249F7"/>
    <w:rsid w:val="00E24AA6"/>
    <w:rsid w:val="00E24B88"/>
    <w:rsid w:val="00E24BF0"/>
    <w:rsid w:val="00E24C27"/>
    <w:rsid w:val="00E24C46"/>
    <w:rsid w:val="00E24C5C"/>
    <w:rsid w:val="00E24CB5"/>
    <w:rsid w:val="00E24D07"/>
    <w:rsid w:val="00E24D5A"/>
    <w:rsid w:val="00E24EA1"/>
    <w:rsid w:val="00E24FAD"/>
    <w:rsid w:val="00E24FE9"/>
    <w:rsid w:val="00E25062"/>
    <w:rsid w:val="00E250D1"/>
    <w:rsid w:val="00E250D2"/>
    <w:rsid w:val="00E25102"/>
    <w:rsid w:val="00E2515D"/>
    <w:rsid w:val="00E25180"/>
    <w:rsid w:val="00E251E7"/>
    <w:rsid w:val="00E252FD"/>
    <w:rsid w:val="00E25330"/>
    <w:rsid w:val="00E2534D"/>
    <w:rsid w:val="00E253AF"/>
    <w:rsid w:val="00E25461"/>
    <w:rsid w:val="00E2546B"/>
    <w:rsid w:val="00E2548F"/>
    <w:rsid w:val="00E2558E"/>
    <w:rsid w:val="00E2572B"/>
    <w:rsid w:val="00E257CB"/>
    <w:rsid w:val="00E258DC"/>
    <w:rsid w:val="00E25B10"/>
    <w:rsid w:val="00E25B4F"/>
    <w:rsid w:val="00E25BCF"/>
    <w:rsid w:val="00E25C85"/>
    <w:rsid w:val="00E25CFE"/>
    <w:rsid w:val="00E25D55"/>
    <w:rsid w:val="00E25D88"/>
    <w:rsid w:val="00E25DD3"/>
    <w:rsid w:val="00E25E2D"/>
    <w:rsid w:val="00E25F38"/>
    <w:rsid w:val="00E25F68"/>
    <w:rsid w:val="00E25F81"/>
    <w:rsid w:val="00E26153"/>
    <w:rsid w:val="00E26167"/>
    <w:rsid w:val="00E261DB"/>
    <w:rsid w:val="00E26247"/>
    <w:rsid w:val="00E2629F"/>
    <w:rsid w:val="00E262AA"/>
    <w:rsid w:val="00E2638C"/>
    <w:rsid w:val="00E263E4"/>
    <w:rsid w:val="00E26499"/>
    <w:rsid w:val="00E264A0"/>
    <w:rsid w:val="00E26502"/>
    <w:rsid w:val="00E265AB"/>
    <w:rsid w:val="00E265AE"/>
    <w:rsid w:val="00E265DE"/>
    <w:rsid w:val="00E2679B"/>
    <w:rsid w:val="00E26972"/>
    <w:rsid w:val="00E2699D"/>
    <w:rsid w:val="00E269AC"/>
    <w:rsid w:val="00E269C5"/>
    <w:rsid w:val="00E269D7"/>
    <w:rsid w:val="00E269F3"/>
    <w:rsid w:val="00E26A28"/>
    <w:rsid w:val="00E26A50"/>
    <w:rsid w:val="00E26B25"/>
    <w:rsid w:val="00E26CCA"/>
    <w:rsid w:val="00E26CE1"/>
    <w:rsid w:val="00E26D4C"/>
    <w:rsid w:val="00E26F41"/>
    <w:rsid w:val="00E27080"/>
    <w:rsid w:val="00E27151"/>
    <w:rsid w:val="00E271A8"/>
    <w:rsid w:val="00E27285"/>
    <w:rsid w:val="00E27403"/>
    <w:rsid w:val="00E274D7"/>
    <w:rsid w:val="00E27759"/>
    <w:rsid w:val="00E2780E"/>
    <w:rsid w:val="00E27849"/>
    <w:rsid w:val="00E27890"/>
    <w:rsid w:val="00E278BD"/>
    <w:rsid w:val="00E27967"/>
    <w:rsid w:val="00E27996"/>
    <w:rsid w:val="00E279DD"/>
    <w:rsid w:val="00E27AC4"/>
    <w:rsid w:val="00E27B2F"/>
    <w:rsid w:val="00E27BA1"/>
    <w:rsid w:val="00E27BA9"/>
    <w:rsid w:val="00E27C94"/>
    <w:rsid w:val="00E27CEE"/>
    <w:rsid w:val="00E27D38"/>
    <w:rsid w:val="00E27E61"/>
    <w:rsid w:val="00E27EBE"/>
    <w:rsid w:val="00E2B02A"/>
    <w:rsid w:val="00E300A4"/>
    <w:rsid w:val="00E300B1"/>
    <w:rsid w:val="00E30130"/>
    <w:rsid w:val="00E3034D"/>
    <w:rsid w:val="00E30459"/>
    <w:rsid w:val="00E3049D"/>
    <w:rsid w:val="00E30654"/>
    <w:rsid w:val="00E30694"/>
    <w:rsid w:val="00E30743"/>
    <w:rsid w:val="00E307F9"/>
    <w:rsid w:val="00E308C2"/>
    <w:rsid w:val="00E30914"/>
    <w:rsid w:val="00E309A3"/>
    <w:rsid w:val="00E309D3"/>
    <w:rsid w:val="00E309F1"/>
    <w:rsid w:val="00E30ACD"/>
    <w:rsid w:val="00E30B4A"/>
    <w:rsid w:val="00E30B66"/>
    <w:rsid w:val="00E30B7A"/>
    <w:rsid w:val="00E30BD9"/>
    <w:rsid w:val="00E30BF9"/>
    <w:rsid w:val="00E30C7C"/>
    <w:rsid w:val="00E30DF6"/>
    <w:rsid w:val="00E30EB8"/>
    <w:rsid w:val="00E30EE0"/>
    <w:rsid w:val="00E30FC5"/>
    <w:rsid w:val="00E310E9"/>
    <w:rsid w:val="00E31104"/>
    <w:rsid w:val="00E312B9"/>
    <w:rsid w:val="00E31330"/>
    <w:rsid w:val="00E3134B"/>
    <w:rsid w:val="00E313D3"/>
    <w:rsid w:val="00E31682"/>
    <w:rsid w:val="00E316BA"/>
    <w:rsid w:val="00E31749"/>
    <w:rsid w:val="00E3181C"/>
    <w:rsid w:val="00E31899"/>
    <w:rsid w:val="00E318BA"/>
    <w:rsid w:val="00E31934"/>
    <w:rsid w:val="00E31964"/>
    <w:rsid w:val="00E31E72"/>
    <w:rsid w:val="00E31FE2"/>
    <w:rsid w:val="00E320C1"/>
    <w:rsid w:val="00E320CD"/>
    <w:rsid w:val="00E321D7"/>
    <w:rsid w:val="00E321EE"/>
    <w:rsid w:val="00E322F8"/>
    <w:rsid w:val="00E32367"/>
    <w:rsid w:val="00E32424"/>
    <w:rsid w:val="00E3244A"/>
    <w:rsid w:val="00E32522"/>
    <w:rsid w:val="00E32545"/>
    <w:rsid w:val="00E32555"/>
    <w:rsid w:val="00E325AD"/>
    <w:rsid w:val="00E326F3"/>
    <w:rsid w:val="00E3276E"/>
    <w:rsid w:val="00E327EB"/>
    <w:rsid w:val="00E32836"/>
    <w:rsid w:val="00E32908"/>
    <w:rsid w:val="00E3290F"/>
    <w:rsid w:val="00E32988"/>
    <w:rsid w:val="00E329C2"/>
    <w:rsid w:val="00E32A62"/>
    <w:rsid w:val="00E32A79"/>
    <w:rsid w:val="00E32BA6"/>
    <w:rsid w:val="00E32C69"/>
    <w:rsid w:val="00E32C9B"/>
    <w:rsid w:val="00E32CD0"/>
    <w:rsid w:val="00E32D55"/>
    <w:rsid w:val="00E32E76"/>
    <w:rsid w:val="00E32F2C"/>
    <w:rsid w:val="00E32F85"/>
    <w:rsid w:val="00E32FBC"/>
    <w:rsid w:val="00E32FC0"/>
    <w:rsid w:val="00E3305A"/>
    <w:rsid w:val="00E3309E"/>
    <w:rsid w:val="00E33153"/>
    <w:rsid w:val="00E3317B"/>
    <w:rsid w:val="00E331D7"/>
    <w:rsid w:val="00E33214"/>
    <w:rsid w:val="00E3329F"/>
    <w:rsid w:val="00E332EF"/>
    <w:rsid w:val="00E33417"/>
    <w:rsid w:val="00E33472"/>
    <w:rsid w:val="00E33537"/>
    <w:rsid w:val="00E33779"/>
    <w:rsid w:val="00E33794"/>
    <w:rsid w:val="00E337CC"/>
    <w:rsid w:val="00E3385D"/>
    <w:rsid w:val="00E338C3"/>
    <w:rsid w:val="00E339B1"/>
    <w:rsid w:val="00E339CE"/>
    <w:rsid w:val="00E33A27"/>
    <w:rsid w:val="00E33AD5"/>
    <w:rsid w:val="00E33B90"/>
    <w:rsid w:val="00E33BDF"/>
    <w:rsid w:val="00E33C66"/>
    <w:rsid w:val="00E33CA1"/>
    <w:rsid w:val="00E33CD8"/>
    <w:rsid w:val="00E33DFD"/>
    <w:rsid w:val="00E33EE9"/>
    <w:rsid w:val="00E33F09"/>
    <w:rsid w:val="00E33F3F"/>
    <w:rsid w:val="00E33FA4"/>
    <w:rsid w:val="00E33FA7"/>
    <w:rsid w:val="00E33FC9"/>
    <w:rsid w:val="00E34194"/>
    <w:rsid w:val="00E341A2"/>
    <w:rsid w:val="00E341B9"/>
    <w:rsid w:val="00E341FB"/>
    <w:rsid w:val="00E342A1"/>
    <w:rsid w:val="00E3444C"/>
    <w:rsid w:val="00E34451"/>
    <w:rsid w:val="00E34478"/>
    <w:rsid w:val="00E3459F"/>
    <w:rsid w:val="00E34642"/>
    <w:rsid w:val="00E3467E"/>
    <w:rsid w:val="00E34906"/>
    <w:rsid w:val="00E34AF8"/>
    <w:rsid w:val="00E34C9C"/>
    <w:rsid w:val="00E34D30"/>
    <w:rsid w:val="00E34D34"/>
    <w:rsid w:val="00E34D6F"/>
    <w:rsid w:val="00E34D80"/>
    <w:rsid w:val="00E34EC8"/>
    <w:rsid w:val="00E34F14"/>
    <w:rsid w:val="00E35008"/>
    <w:rsid w:val="00E3501D"/>
    <w:rsid w:val="00E35251"/>
    <w:rsid w:val="00E354C5"/>
    <w:rsid w:val="00E355CB"/>
    <w:rsid w:val="00E356B4"/>
    <w:rsid w:val="00E35810"/>
    <w:rsid w:val="00E35849"/>
    <w:rsid w:val="00E35991"/>
    <w:rsid w:val="00E359D3"/>
    <w:rsid w:val="00E359D4"/>
    <w:rsid w:val="00E359F1"/>
    <w:rsid w:val="00E35A4C"/>
    <w:rsid w:val="00E35B31"/>
    <w:rsid w:val="00E35C42"/>
    <w:rsid w:val="00E35CD5"/>
    <w:rsid w:val="00E35D0F"/>
    <w:rsid w:val="00E35E47"/>
    <w:rsid w:val="00E35E59"/>
    <w:rsid w:val="00E35EE9"/>
    <w:rsid w:val="00E35EF8"/>
    <w:rsid w:val="00E360FC"/>
    <w:rsid w:val="00E36141"/>
    <w:rsid w:val="00E361BA"/>
    <w:rsid w:val="00E36210"/>
    <w:rsid w:val="00E3624A"/>
    <w:rsid w:val="00E3629D"/>
    <w:rsid w:val="00E362DC"/>
    <w:rsid w:val="00E364A0"/>
    <w:rsid w:val="00E364A8"/>
    <w:rsid w:val="00E3672F"/>
    <w:rsid w:val="00E3681B"/>
    <w:rsid w:val="00E36829"/>
    <w:rsid w:val="00E36848"/>
    <w:rsid w:val="00E3691F"/>
    <w:rsid w:val="00E36933"/>
    <w:rsid w:val="00E36940"/>
    <w:rsid w:val="00E369F1"/>
    <w:rsid w:val="00E36B4B"/>
    <w:rsid w:val="00E36B87"/>
    <w:rsid w:val="00E36CF5"/>
    <w:rsid w:val="00E36D2F"/>
    <w:rsid w:val="00E36D4E"/>
    <w:rsid w:val="00E36D7C"/>
    <w:rsid w:val="00E36E50"/>
    <w:rsid w:val="00E36E91"/>
    <w:rsid w:val="00E36F3C"/>
    <w:rsid w:val="00E36F66"/>
    <w:rsid w:val="00E36F83"/>
    <w:rsid w:val="00E36F98"/>
    <w:rsid w:val="00E36FC3"/>
    <w:rsid w:val="00E36FFE"/>
    <w:rsid w:val="00E37031"/>
    <w:rsid w:val="00E3708D"/>
    <w:rsid w:val="00E370EB"/>
    <w:rsid w:val="00E372B8"/>
    <w:rsid w:val="00E372D7"/>
    <w:rsid w:val="00E37436"/>
    <w:rsid w:val="00E374CF"/>
    <w:rsid w:val="00E37741"/>
    <w:rsid w:val="00E377BF"/>
    <w:rsid w:val="00E377D0"/>
    <w:rsid w:val="00E377F8"/>
    <w:rsid w:val="00E3780C"/>
    <w:rsid w:val="00E37901"/>
    <w:rsid w:val="00E37A5E"/>
    <w:rsid w:val="00E37C39"/>
    <w:rsid w:val="00E37E2D"/>
    <w:rsid w:val="00E37E7C"/>
    <w:rsid w:val="00E37E90"/>
    <w:rsid w:val="00E40172"/>
    <w:rsid w:val="00E401D2"/>
    <w:rsid w:val="00E401F5"/>
    <w:rsid w:val="00E40210"/>
    <w:rsid w:val="00E40223"/>
    <w:rsid w:val="00E4027C"/>
    <w:rsid w:val="00E4037A"/>
    <w:rsid w:val="00E40449"/>
    <w:rsid w:val="00E404C2"/>
    <w:rsid w:val="00E404D1"/>
    <w:rsid w:val="00E4052F"/>
    <w:rsid w:val="00E406A8"/>
    <w:rsid w:val="00E406BD"/>
    <w:rsid w:val="00E406D6"/>
    <w:rsid w:val="00E4091D"/>
    <w:rsid w:val="00E40930"/>
    <w:rsid w:val="00E409AA"/>
    <w:rsid w:val="00E40A68"/>
    <w:rsid w:val="00E40A79"/>
    <w:rsid w:val="00E40A9D"/>
    <w:rsid w:val="00E40BA5"/>
    <w:rsid w:val="00E40CD1"/>
    <w:rsid w:val="00E40E5F"/>
    <w:rsid w:val="00E40EC0"/>
    <w:rsid w:val="00E40EFA"/>
    <w:rsid w:val="00E40F68"/>
    <w:rsid w:val="00E40F80"/>
    <w:rsid w:val="00E40FE5"/>
    <w:rsid w:val="00E41059"/>
    <w:rsid w:val="00E41144"/>
    <w:rsid w:val="00E41150"/>
    <w:rsid w:val="00E4116E"/>
    <w:rsid w:val="00E413A7"/>
    <w:rsid w:val="00E4146F"/>
    <w:rsid w:val="00E414A6"/>
    <w:rsid w:val="00E4154C"/>
    <w:rsid w:val="00E4156B"/>
    <w:rsid w:val="00E415C2"/>
    <w:rsid w:val="00E415D3"/>
    <w:rsid w:val="00E4160D"/>
    <w:rsid w:val="00E41748"/>
    <w:rsid w:val="00E41754"/>
    <w:rsid w:val="00E41854"/>
    <w:rsid w:val="00E41857"/>
    <w:rsid w:val="00E41930"/>
    <w:rsid w:val="00E41957"/>
    <w:rsid w:val="00E4195F"/>
    <w:rsid w:val="00E41961"/>
    <w:rsid w:val="00E41A52"/>
    <w:rsid w:val="00E41B45"/>
    <w:rsid w:val="00E41B70"/>
    <w:rsid w:val="00E41C01"/>
    <w:rsid w:val="00E41C30"/>
    <w:rsid w:val="00E41C42"/>
    <w:rsid w:val="00E41C9B"/>
    <w:rsid w:val="00E41D0F"/>
    <w:rsid w:val="00E41D51"/>
    <w:rsid w:val="00E41D57"/>
    <w:rsid w:val="00E42015"/>
    <w:rsid w:val="00E4204F"/>
    <w:rsid w:val="00E420F6"/>
    <w:rsid w:val="00E42120"/>
    <w:rsid w:val="00E4214A"/>
    <w:rsid w:val="00E42173"/>
    <w:rsid w:val="00E42181"/>
    <w:rsid w:val="00E421EB"/>
    <w:rsid w:val="00E4224A"/>
    <w:rsid w:val="00E4226C"/>
    <w:rsid w:val="00E42301"/>
    <w:rsid w:val="00E42328"/>
    <w:rsid w:val="00E4234C"/>
    <w:rsid w:val="00E423D5"/>
    <w:rsid w:val="00E42459"/>
    <w:rsid w:val="00E424A4"/>
    <w:rsid w:val="00E424E4"/>
    <w:rsid w:val="00E424FD"/>
    <w:rsid w:val="00E42589"/>
    <w:rsid w:val="00E425ED"/>
    <w:rsid w:val="00E4264A"/>
    <w:rsid w:val="00E42672"/>
    <w:rsid w:val="00E426CF"/>
    <w:rsid w:val="00E428F8"/>
    <w:rsid w:val="00E42A61"/>
    <w:rsid w:val="00E42AA0"/>
    <w:rsid w:val="00E42AA5"/>
    <w:rsid w:val="00E42ADD"/>
    <w:rsid w:val="00E42B26"/>
    <w:rsid w:val="00E42C2A"/>
    <w:rsid w:val="00E42C5F"/>
    <w:rsid w:val="00E42CC6"/>
    <w:rsid w:val="00E42CD5"/>
    <w:rsid w:val="00E42E50"/>
    <w:rsid w:val="00E42EAE"/>
    <w:rsid w:val="00E42EC7"/>
    <w:rsid w:val="00E42F44"/>
    <w:rsid w:val="00E42F64"/>
    <w:rsid w:val="00E430F6"/>
    <w:rsid w:val="00E43103"/>
    <w:rsid w:val="00E431B0"/>
    <w:rsid w:val="00E43260"/>
    <w:rsid w:val="00E432FE"/>
    <w:rsid w:val="00E4341E"/>
    <w:rsid w:val="00E43476"/>
    <w:rsid w:val="00E434AC"/>
    <w:rsid w:val="00E434E2"/>
    <w:rsid w:val="00E434FC"/>
    <w:rsid w:val="00E43540"/>
    <w:rsid w:val="00E4362E"/>
    <w:rsid w:val="00E436F7"/>
    <w:rsid w:val="00E43730"/>
    <w:rsid w:val="00E437C9"/>
    <w:rsid w:val="00E43855"/>
    <w:rsid w:val="00E438FB"/>
    <w:rsid w:val="00E4391E"/>
    <w:rsid w:val="00E43939"/>
    <w:rsid w:val="00E43B29"/>
    <w:rsid w:val="00E43BA8"/>
    <w:rsid w:val="00E43C39"/>
    <w:rsid w:val="00E43C81"/>
    <w:rsid w:val="00E43D62"/>
    <w:rsid w:val="00E43EDF"/>
    <w:rsid w:val="00E440B9"/>
    <w:rsid w:val="00E4410D"/>
    <w:rsid w:val="00E44123"/>
    <w:rsid w:val="00E4413D"/>
    <w:rsid w:val="00E44140"/>
    <w:rsid w:val="00E441F2"/>
    <w:rsid w:val="00E44253"/>
    <w:rsid w:val="00E4430D"/>
    <w:rsid w:val="00E44370"/>
    <w:rsid w:val="00E444F8"/>
    <w:rsid w:val="00E445AE"/>
    <w:rsid w:val="00E445E6"/>
    <w:rsid w:val="00E445F3"/>
    <w:rsid w:val="00E4461A"/>
    <w:rsid w:val="00E44682"/>
    <w:rsid w:val="00E446DA"/>
    <w:rsid w:val="00E446ED"/>
    <w:rsid w:val="00E4475F"/>
    <w:rsid w:val="00E447A2"/>
    <w:rsid w:val="00E44877"/>
    <w:rsid w:val="00E44878"/>
    <w:rsid w:val="00E44B70"/>
    <w:rsid w:val="00E44BDF"/>
    <w:rsid w:val="00E44CC1"/>
    <w:rsid w:val="00E44E6D"/>
    <w:rsid w:val="00E44ED2"/>
    <w:rsid w:val="00E44F34"/>
    <w:rsid w:val="00E44F76"/>
    <w:rsid w:val="00E450BC"/>
    <w:rsid w:val="00E4513A"/>
    <w:rsid w:val="00E4518E"/>
    <w:rsid w:val="00E451B6"/>
    <w:rsid w:val="00E45244"/>
    <w:rsid w:val="00E45308"/>
    <w:rsid w:val="00E4535F"/>
    <w:rsid w:val="00E45404"/>
    <w:rsid w:val="00E45572"/>
    <w:rsid w:val="00E45645"/>
    <w:rsid w:val="00E456CD"/>
    <w:rsid w:val="00E4586A"/>
    <w:rsid w:val="00E45870"/>
    <w:rsid w:val="00E45873"/>
    <w:rsid w:val="00E458B7"/>
    <w:rsid w:val="00E458E0"/>
    <w:rsid w:val="00E4594A"/>
    <w:rsid w:val="00E45976"/>
    <w:rsid w:val="00E459D9"/>
    <w:rsid w:val="00E459DB"/>
    <w:rsid w:val="00E45A73"/>
    <w:rsid w:val="00E45B16"/>
    <w:rsid w:val="00E45B74"/>
    <w:rsid w:val="00E45D0D"/>
    <w:rsid w:val="00E45DEC"/>
    <w:rsid w:val="00E45E61"/>
    <w:rsid w:val="00E45EA4"/>
    <w:rsid w:val="00E45EBC"/>
    <w:rsid w:val="00E46012"/>
    <w:rsid w:val="00E46080"/>
    <w:rsid w:val="00E460F1"/>
    <w:rsid w:val="00E460F4"/>
    <w:rsid w:val="00E46198"/>
    <w:rsid w:val="00E4621C"/>
    <w:rsid w:val="00E46247"/>
    <w:rsid w:val="00E4633A"/>
    <w:rsid w:val="00E46399"/>
    <w:rsid w:val="00E463B7"/>
    <w:rsid w:val="00E4647A"/>
    <w:rsid w:val="00E46480"/>
    <w:rsid w:val="00E465C8"/>
    <w:rsid w:val="00E465D9"/>
    <w:rsid w:val="00E4665A"/>
    <w:rsid w:val="00E466A4"/>
    <w:rsid w:val="00E4670F"/>
    <w:rsid w:val="00E46869"/>
    <w:rsid w:val="00E468BA"/>
    <w:rsid w:val="00E468BE"/>
    <w:rsid w:val="00E46908"/>
    <w:rsid w:val="00E469E1"/>
    <w:rsid w:val="00E46A34"/>
    <w:rsid w:val="00E46ACC"/>
    <w:rsid w:val="00E46C42"/>
    <w:rsid w:val="00E46D2D"/>
    <w:rsid w:val="00E46DBE"/>
    <w:rsid w:val="00E46E96"/>
    <w:rsid w:val="00E46EB3"/>
    <w:rsid w:val="00E46F86"/>
    <w:rsid w:val="00E46FC8"/>
    <w:rsid w:val="00E46FFC"/>
    <w:rsid w:val="00E47049"/>
    <w:rsid w:val="00E47101"/>
    <w:rsid w:val="00E47241"/>
    <w:rsid w:val="00E47244"/>
    <w:rsid w:val="00E4739D"/>
    <w:rsid w:val="00E473F0"/>
    <w:rsid w:val="00E4740A"/>
    <w:rsid w:val="00E47427"/>
    <w:rsid w:val="00E475D2"/>
    <w:rsid w:val="00E475EB"/>
    <w:rsid w:val="00E47632"/>
    <w:rsid w:val="00E47640"/>
    <w:rsid w:val="00E477BF"/>
    <w:rsid w:val="00E477E2"/>
    <w:rsid w:val="00E47802"/>
    <w:rsid w:val="00E478AE"/>
    <w:rsid w:val="00E478B5"/>
    <w:rsid w:val="00E47989"/>
    <w:rsid w:val="00E479B8"/>
    <w:rsid w:val="00E479E1"/>
    <w:rsid w:val="00E47A76"/>
    <w:rsid w:val="00E47AE0"/>
    <w:rsid w:val="00E47C91"/>
    <w:rsid w:val="00E47D84"/>
    <w:rsid w:val="00E47DA8"/>
    <w:rsid w:val="00E47E0E"/>
    <w:rsid w:val="00E47E15"/>
    <w:rsid w:val="00E47E2D"/>
    <w:rsid w:val="00E47EE8"/>
    <w:rsid w:val="00E47F25"/>
    <w:rsid w:val="00E47FAE"/>
    <w:rsid w:val="00E4F252"/>
    <w:rsid w:val="00E50031"/>
    <w:rsid w:val="00E5007B"/>
    <w:rsid w:val="00E50098"/>
    <w:rsid w:val="00E50121"/>
    <w:rsid w:val="00E50298"/>
    <w:rsid w:val="00E502E3"/>
    <w:rsid w:val="00E502EB"/>
    <w:rsid w:val="00E50317"/>
    <w:rsid w:val="00E5034C"/>
    <w:rsid w:val="00E504F7"/>
    <w:rsid w:val="00E50501"/>
    <w:rsid w:val="00E50504"/>
    <w:rsid w:val="00E5058D"/>
    <w:rsid w:val="00E50593"/>
    <w:rsid w:val="00E50658"/>
    <w:rsid w:val="00E506D7"/>
    <w:rsid w:val="00E50753"/>
    <w:rsid w:val="00E507F8"/>
    <w:rsid w:val="00E5088D"/>
    <w:rsid w:val="00E508AD"/>
    <w:rsid w:val="00E508F8"/>
    <w:rsid w:val="00E509D6"/>
    <w:rsid w:val="00E50A44"/>
    <w:rsid w:val="00E50ABC"/>
    <w:rsid w:val="00E50B3A"/>
    <w:rsid w:val="00E50D40"/>
    <w:rsid w:val="00E50D50"/>
    <w:rsid w:val="00E50DE9"/>
    <w:rsid w:val="00E51005"/>
    <w:rsid w:val="00E51102"/>
    <w:rsid w:val="00E51183"/>
    <w:rsid w:val="00E51260"/>
    <w:rsid w:val="00E512DB"/>
    <w:rsid w:val="00E512E3"/>
    <w:rsid w:val="00E51392"/>
    <w:rsid w:val="00E5139F"/>
    <w:rsid w:val="00E51467"/>
    <w:rsid w:val="00E5154E"/>
    <w:rsid w:val="00E515BF"/>
    <w:rsid w:val="00E515E9"/>
    <w:rsid w:val="00E516C6"/>
    <w:rsid w:val="00E519AF"/>
    <w:rsid w:val="00E51A26"/>
    <w:rsid w:val="00E51A54"/>
    <w:rsid w:val="00E51A59"/>
    <w:rsid w:val="00E51A8E"/>
    <w:rsid w:val="00E51AE8"/>
    <w:rsid w:val="00E51BF7"/>
    <w:rsid w:val="00E51BFE"/>
    <w:rsid w:val="00E51C33"/>
    <w:rsid w:val="00E51D3B"/>
    <w:rsid w:val="00E51E22"/>
    <w:rsid w:val="00E5228C"/>
    <w:rsid w:val="00E52521"/>
    <w:rsid w:val="00E525CE"/>
    <w:rsid w:val="00E525F5"/>
    <w:rsid w:val="00E526E7"/>
    <w:rsid w:val="00E526EF"/>
    <w:rsid w:val="00E52743"/>
    <w:rsid w:val="00E527CF"/>
    <w:rsid w:val="00E5291E"/>
    <w:rsid w:val="00E52958"/>
    <w:rsid w:val="00E52985"/>
    <w:rsid w:val="00E529EC"/>
    <w:rsid w:val="00E52A0C"/>
    <w:rsid w:val="00E52AC8"/>
    <w:rsid w:val="00E52D5A"/>
    <w:rsid w:val="00E52E25"/>
    <w:rsid w:val="00E52ED4"/>
    <w:rsid w:val="00E52FCC"/>
    <w:rsid w:val="00E52FE2"/>
    <w:rsid w:val="00E53007"/>
    <w:rsid w:val="00E53057"/>
    <w:rsid w:val="00E530DE"/>
    <w:rsid w:val="00E53215"/>
    <w:rsid w:val="00E53352"/>
    <w:rsid w:val="00E533BF"/>
    <w:rsid w:val="00E534AA"/>
    <w:rsid w:val="00E53527"/>
    <w:rsid w:val="00E53539"/>
    <w:rsid w:val="00E535EC"/>
    <w:rsid w:val="00E53640"/>
    <w:rsid w:val="00E5374D"/>
    <w:rsid w:val="00E5377C"/>
    <w:rsid w:val="00E537CC"/>
    <w:rsid w:val="00E538D3"/>
    <w:rsid w:val="00E53A06"/>
    <w:rsid w:val="00E53A2E"/>
    <w:rsid w:val="00E53AED"/>
    <w:rsid w:val="00E53B32"/>
    <w:rsid w:val="00E53BD7"/>
    <w:rsid w:val="00E53CE6"/>
    <w:rsid w:val="00E53D02"/>
    <w:rsid w:val="00E53DDB"/>
    <w:rsid w:val="00E53DDD"/>
    <w:rsid w:val="00E5405A"/>
    <w:rsid w:val="00E54116"/>
    <w:rsid w:val="00E541FE"/>
    <w:rsid w:val="00E5421B"/>
    <w:rsid w:val="00E5423A"/>
    <w:rsid w:val="00E542CD"/>
    <w:rsid w:val="00E5438F"/>
    <w:rsid w:val="00E5444C"/>
    <w:rsid w:val="00E54464"/>
    <w:rsid w:val="00E544F0"/>
    <w:rsid w:val="00E544F6"/>
    <w:rsid w:val="00E545FD"/>
    <w:rsid w:val="00E5462B"/>
    <w:rsid w:val="00E54634"/>
    <w:rsid w:val="00E54657"/>
    <w:rsid w:val="00E5466D"/>
    <w:rsid w:val="00E54732"/>
    <w:rsid w:val="00E547B3"/>
    <w:rsid w:val="00E547C2"/>
    <w:rsid w:val="00E5483F"/>
    <w:rsid w:val="00E5489F"/>
    <w:rsid w:val="00E548E0"/>
    <w:rsid w:val="00E5493D"/>
    <w:rsid w:val="00E549DE"/>
    <w:rsid w:val="00E54A38"/>
    <w:rsid w:val="00E54AF6"/>
    <w:rsid w:val="00E54B0D"/>
    <w:rsid w:val="00E54B4F"/>
    <w:rsid w:val="00E54B89"/>
    <w:rsid w:val="00E54BC6"/>
    <w:rsid w:val="00E54CED"/>
    <w:rsid w:val="00E54D0B"/>
    <w:rsid w:val="00E54D17"/>
    <w:rsid w:val="00E54D2C"/>
    <w:rsid w:val="00E54D6D"/>
    <w:rsid w:val="00E54DC1"/>
    <w:rsid w:val="00E54E16"/>
    <w:rsid w:val="00E54E54"/>
    <w:rsid w:val="00E54EB2"/>
    <w:rsid w:val="00E54EEE"/>
    <w:rsid w:val="00E54F2C"/>
    <w:rsid w:val="00E54F52"/>
    <w:rsid w:val="00E54F9F"/>
    <w:rsid w:val="00E54FE7"/>
    <w:rsid w:val="00E55021"/>
    <w:rsid w:val="00E550EC"/>
    <w:rsid w:val="00E5514B"/>
    <w:rsid w:val="00E55184"/>
    <w:rsid w:val="00E552D6"/>
    <w:rsid w:val="00E5549E"/>
    <w:rsid w:val="00E554FE"/>
    <w:rsid w:val="00E5552A"/>
    <w:rsid w:val="00E5552E"/>
    <w:rsid w:val="00E5554F"/>
    <w:rsid w:val="00E555BA"/>
    <w:rsid w:val="00E555FD"/>
    <w:rsid w:val="00E55614"/>
    <w:rsid w:val="00E5569B"/>
    <w:rsid w:val="00E556E5"/>
    <w:rsid w:val="00E5579A"/>
    <w:rsid w:val="00E5589B"/>
    <w:rsid w:val="00E55976"/>
    <w:rsid w:val="00E55A54"/>
    <w:rsid w:val="00E55B0C"/>
    <w:rsid w:val="00E55C45"/>
    <w:rsid w:val="00E55C7A"/>
    <w:rsid w:val="00E55CD0"/>
    <w:rsid w:val="00E55D31"/>
    <w:rsid w:val="00E55DD8"/>
    <w:rsid w:val="00E55E22"/>
    <w:rsid w:val="00E55E95"/>
    <w:rsid w:val="00E55FCB"/>
    <w:rsid w:val="00E560C6"/>
    <w:rsid w:val="00E560F5"/>
    <w:rsid w:val="00E5618C"/>
    <w:rsid w:val="00E561F3"/>
    <w:rsid w:val="00E562D0"/>
    <w:rsid w:val="00E56375"/>
    <w:rsid w:val="00E566AA"/>
    <w:rsid w:val="00E56716"/>
    <w:rsid w:val="00E56747"/>
    <w:rsid w:val="00E56788"/>
    <w:rsid w:val="00E5679D"/>
    <w:rsid w:val="00E5686C"/>
    <w:rsid w:val="00E568AA"/>
    <w:rsid w:val="00E568E8"/>
    <w:rsid w:val="00E56BC7"/>
    <w:rsid w:val="00E56C0B"/>
    <w:rsid w:val="00E56CEB"/>
    <w:rsid w:val="00E56DC1"/>
    <w:rsid w:val="00E56EAE"/>
    <w:rsid w:val="00E56ED9"/>
    <w:rsid w:val="00E570CD"/>
    <w:rsid w:val="00E57146"/>
    <w:rsid w:val="00E571DD"/>
    <w:rsid w:val="00E5726F"/>
    <w:rsid w:val="00E573B7"/>
    <w:rsid w:val="00E573D3"/>
    <w:rsid w:val="00E57434"/>
    <w:rsid w:val="00E57442"/>
    <w:rsid w:val="00E57480"/>
    <w:rsid w:val="00E574E4"/>
    <w:rsid w:val="00E57545"/>
    <w:rsid w:val="00E57560"/>
    <w:rsid w:val="00E5767B"/>
    <w:rsid w:val="00E57749"/>
    <w:rsid w:val="00E577E6"/>
    <w:rsid w:val="00E5788C"/>
    <w:rsid w:val="00E579B7"/>
    <w:rsid w:val="00E57A3E"/>
    <w:rsid w:val="00E57A83"/>
    <w:rsid w:val="00E57AB8"/>
    <w:rsid w:val="00E57B7E"/>
    <w:rsid w:val="00E57BF4"/>
    <w:rsid w:val="00E57D38"/>
    <w:rsid w:val="00E57E5F"/>
    <w:rsid w:val="00E57EC3"/>
    <w:rsid w:val="00E6009B"/>
    <w:rsid w:val="00E600DB"/>
    <w:rsid w:val="00E600F3"/>
    <w:rsid w:val="00E601B9"/>
    <w:rsid w:val="00E601EA"/>
    <w:rsid w:val="00E60213"/>
    <w:rsid w:val="00E6025C"/>
    <w:rsid w:val="00E6034B"/>
    <w:rsid w:val="00E60484"/>
    <w:rsid w:val="00E604EC"/>
    <w:rsid w:val="00E60537"/>
    <w:rsid w:val="00E605FE"/>
    <w:rsid w:val="00E60637"/>
    <w:rsid w:val="00E6089F"/>
    <w:rsid w:val="00E608CE"/>
    <w:rsid w:val="00E608D4"/>
    <w:rsid w:val="00E608DC"/>
    <w:rsid w:val="00E6092E"/>
    <w:rsid w:val="00E60A67"/>
    <w:rsid w:val="00E60CC0"/>
    <w:rsid w:val="00E60CE6"/>
    <w:rsid w:val="00E60D82"/>
    <w:rsid w:val="00E60DEA"/>
    <w:rsid w:val="00E60EDD"/>
    <w:rsid w:val="00E60F43"/>
    <w:rsid w:val="00E610C2"/>
    <w:rsid w:val="00E6112F"/>
    <w:rsid w:val="00E61334"/>
    <w:rsid w:val="00E613BC"/>
    <w:rsid w:val="00E613D4"/>
    <w:rsid w:val="00E613E6"/>
    <w:rsid w:val="00E614C0"/>
    <w:rsid w:val="00E61507"/>
    <w:rsid w:val="00E6153F"/>
    <w:rsid w:val="00E615B0"/>
    <w:rsid w:val="00E616C5"/>
    <w:rsid w:val="00E61772"/>
    <w:rsid w:val="00E617D9"/>
    <w:rsid w:val="00E618DF"/>
    <w:rsid w:val="00E61943"/>
    <w:rsid w:val="00E61A96"/>
    <w:rsid w:val="00E61AD7"/>
    <w:rsid w:val="00E61AF4"/>
    <w:rsid w:val="00E61B8D"/>
    <w:rsid w:val="00E61B9C"/>
    <w:rsid w:val="00E61BA8"/>
    <w:rsid w:val="00E61BEE"/>
    <w:rsid w:val="00E61D4C"/>
    <w:rsid w:val="00E61D61"/>
    <w:rsid w:val="00E61E4F"/>
    <w:rsid w:val="00E61EC0"/>
    <w:rsid w:val="00E6203D"/>
    <w:rsid w:val="00E6206F"/>
    <w:rsid w:val="00E620B3"/>
    <w:rsid w:val="00E62147"/>
    <w:rsid w:val="00E62201"/>
    <w:rsid w:val="00E62229"/>
    <w:rsid w:val="00E62331"/>
    <w:rsid w:val="00E6237A"/>
    <w:rsid w:val="00E623AA"/>
    <w:rsid w:val="00E623B3"/>
    <w:rsid w:val="00E6244A"/>
    <w:rsid w:val="00E62466"/>
    <w:rsid w:val="00E62486"/>
    <w:rsid w:val="00E62487"/>
    <w:rsid w:val="00E624B5"/>
    <w:rsid w:val="00E624F6"/>
    <w:rsid w:val="00E6252F"/>
    <w:rsid w:val="00E625E3"/>
    <w:rsid w:val="00E62613"/>
    <w:rsid w:val="00E62680"/>
    <w:rsid w:val="00E6270A"/>
    <w:rsid w:val="00E627FA"/>
    <w:rsid w:val="00E628F0"/>
    <w:rsid w:val="00E628FE"/>
    <w:rsid w:val="00E6294A"/>
    <w:rsid w:val="00E62975"/>
    <w:rsid w:val="00E62AD3"/>
    <w:rsid w:val="00E62AE7"/>
    <w:rsid w:val="00E62B22"/>
    <w:rsid w:val="00E62BAE"/>
    <w:rsid w:val="00E62BB0"/>
    <w:rsid w:val="00E62BB1"/>
    <w:rsid w:val="00E62BE8"/>
    <w:rsid w:val="00E62C4C"/>
    <w:rsid w:val="00E62D9D"/>
    <w:rsid w:val="00E62DAF"/>
    <w:rsid w:val="00E62DD5"/>
    <w:rsid w:val="00E62E05"/>
    <w:rsid w:val="00E62E72"/>
    <w:rsid w:val="00E62E90"/>
    <w:rsid w:val="00E62F49"/>
    <w:rsid w:val="00E62FB3"/>
    <w:rsid w:val="00E62FD5"/>
    <w:rsid w:val="00E63048"/>
    <w:rsid w:val="00E63051"/>
    <w:rsid w:val="00E63137"/>
    <w:rsid w:val="00E6316B"/>
    <w:rsid w:val="00E632E4"/>
    <w:rsid w:val="00E63431"/>
    <w:rsid w:val="00E634F3"/>
    <w:rsid w:val="00E63579"/>
    <w:rsid w:val="00E63601"/>
    <w:rsid w:val="00E63623"/>
    <w:rsid w:val="00E6367C"/>
    <w:rsid w:val="00E639A5"/>
    <w:rsid w:val="00E639EB"/>
    <w:rsid w:val="00E63A74"/>
    <w:rsid w:val="00E63A82"/>
    <w:rsid w:val="00E63ABC"/>
    <w:rsid w:val="00E63ACC"/>
    <w:rsid w:val="00E63AFB"/>
    <w:rsid w:val="00E63B4F"/>
    <w:rsid w:val="00E63C47"/>
    <w:rsid w:val="00E63D46"/>
    <w:rsid w:val="00E63DC9"/>
    <w:rsid w:val="00E63EAD"/>
    <w:rsid w:val="00E63FC9"/>
    <w:rsid w:val="00E64182"/>
    <w:rsid w:val="00E641BF"/>
    <w:rsid w:val="00E6425D"/>
    <w:rsid w:val="00E64281"/>
    <w:rsid w:val="00E642D2"/>
    <w:rsid w:val="00E64425"/>
    <w:rsid w:val="00E64448"/>
    <w:rsid w:val="00E64498"/>
    <w:rsid w:val="00E644EF"/>
    <w:rsid w:val="00E645CB"/>
    <w:rsid w:val="00E645E7"/>
    <w:rsid w:val="00E64614"/>
    <w:rsid w:val="00E6462C"/>
    <w:rsid w:val="00E64687"/>
    <w:rsid w:val="00E646D0"/>
    <w:rsid w:val="00E6475F"/>
    <w:rsid w:val="00E6493B"/>
    <w:rsid w:val="00E649EC"/>
    <w:rsid w:val="00E64A74"/>
    <w:rsid w:val="00E64B0E"/>
    <w:rsid w:val="00E64B97"/>
    <w:rsid w:val="00E64D2B"/>
    <w:rsid w:val="00E64D53"/>
    <w:rsid w:val="00E64DC7"/>
    <w:rsid w:val="00E64EB4"/>
    <w:rsid w:val="00E64F36"/>
    <w:rsid w:val="00E64F58"/>
    <w:rsid w:val="00E64F94"/>
    <w:rsid w:val="00E6501F"/>
    <w:rsid w:val="00E65022"/>
    <w:rsid w:val="00E65053"/>
    <w:rsid w:val="00E6510A"/>
    <w:rsid w:val="00E65128"/>
    <w:rsid w:val="00E65167"/>
    <w:rsid w:val="00E651B8"/>
    <w:rsid w:val="00E651B9"/>
    <w:rsid w:val="00E6534B"/>
    <w:rsid w:val="00E65419"/>
    <w:rsid w:val="00E65440"/>
    <w:rsid w:val="00E65618"/>
    <w:rsid w:val="00E658DB"/>
    <w:rsid w:val="00E6595A"/>
    <w:rsid w:val="00E65960"/>
    <w:rsid w:val="00E65A41"/>
    <w:rsid w:val="00E65AEF"/>
    <w:rsid w:val="00E65AFB"/>
    <w:rsid w:val="00E65AFC"/>
    <w:rsid w:val="00E65B8D"/>
    <w:rsid w:val="00E65B9F"/>
    <w:rsid w:val="00E65C01"/>
    <w:rsid w:val="00E65C33"/>
    <w:rsid w:val="00E65C6F"/>
    <w:rsid w:val="00E65E3D"/>
    <w:rsid w:val="00E65ECF"/>
    <w:rsid w:val="00E65F62"/>
    <w:rsid w:val="00E65FA7"/>
    <w:rsid w:val="00E65FEA"/>
    <w:rsid w:val="00E66048"/>
    <w:rsid w:val="00E66162"/>
    <w:rsid w:val="00E66169"/>
    <w:rsid w:val="00E66189"/>
    <w:rsid w:val="00E6620B"/>
    <w:rsid w:val="00E662CA"/>
    <w:rsid w:val="00E66304"/>
    <w:rsid w:val="00E663B9"/>
    <w:rsid w:val="00E663C1"/>
    <w:rsid w:val="00E664B1"/>
    <w:rsid w:val="00E6656B"/>
    <w:rsid w:val="00E6669E"/>
    <w:rsid w:val="00E66718"/>
    <w:rsid w:val="00E6680B"/>
    <w:rsid w:val="00E668BF"/>
    <w:rsid w:val="00E6692E"/>
    <w:rsid w:val="00E66951"/>
    <w:rsid w:val="00E669C6"/>
    <w:rsid w:val="00E66ABE"/>
    <w:rsid w:val="00E66AC1"/>
    <w:rsid w:val="00E66B2C"/>
    <w:rsid w:val="00E66CD4"/>
    <w:rsid w:val="00E66E3F"/>
    <w:rsid w:val="00E66EDC"/>
    <w:rsid w:val="00E66FF7"/>
    <w:rsid w:val="00E67067"/>
    <w:rsid w:val="00E6708C"/>
    <w:rsid w:val="00E6739B"/>
    <w:rsid w:val="00E67404"/>
    <w:rsid w:val="00E6744E"/>
    <w:rsid w:val="00E674F5"/>
    <w:rsid w:val="00E67596"/>
    <w:rsid w:val="00E675FA"/>
    <w:rsid w:val="00E67A05"/>
    <w:rsid w:val="00E67A39"/>
    <w:rsid w:val="00E67A48"/>
    <w:rsid w:val="00E67AB4"/>
    <w:rsid w:val="00E67AD0"/>
    <w:rsid w:val="00E67B46"/>
    <w:rsid w:val="00E67D2E"/>
    <w:rsid w:val="00E67E46"/>
    <w:rsid w:val="00E67ED6"/>
    <w:rsid w:val="00E67F37"/>
    <w:rsid w:val="00E7002A"/>
    <w:rsid w:val="00E7025C"/>
    <w:rsid w:val="00E702FF"/>
    <w:rsid w:val="00E70376"/>
    <w:rsid w:val="00E70380"/>
    <w:rsid w:val="00E70418"/>
    <w:rsid w:val="00E70435"/>
    <w:rsid w:val="00E705A3"/>
    <w:rsid w:val="00E705B3"/>
    <w:rsid w:val="00E70608"/>
    <w:rsid w:val="00E70671"/>
    <w:rsid w:val="00E7072C"/>
    <w:rsid w:val="00E70752"/>
    <w:rsid w:val="00E70877"/>
    <w:rsid w:val="00E70A65"/>
    <w:rsid w:val="00E70A8F"/>
    <w:rsid w:val="00E70AA4"/>
    <w:rsid w:val="00E70B6F"/>
    <w:rsid w:val="00E70C19"/>
    <w:rsid w:val="00E70CB4"/>
    <w:rsid w:val="00E70CD5"/>
    <w:rsid w:val="00E70DA3"/>
    <w:rsid w:val="00E70DA7"/>
    <w:rsid w:val="00E70DAC"/>
    <w:rsid w:val="00E70DCE"/>
    <w:rsid w:val="00E70ED0"/>
    <w:rsid w:val="00E70F3C"/>
    <w:rsid w:val="00E70F42"/>
    <w:rsid w:val="00E70FA6"/>
    <w:rsid w:val="00E7100E"/>
    <w:rsid w:val="00E710D1"/>
    <w:rsid w:val="00E71137"/>
    <w:rsid w:val="00E711BD"/>
    <w:rsid w:val="00E71298"/>
    <w:rsid w:val="00E71309"/>
    <w:rsid w:val="00E71318"/>
    <w:rsid w:val="00E71337"/>
    <w:rsid w:val="00E714FD"/>
    <w:rsid w:val="00E715AE"/>
    <w:rsid w:val="00E71685"/>
    <w:rsid w:val="00E716AF"/>
    <w:rsid w:val="00E716D6"/>
    <w:rsid w:val="00E71740"/>
    <w:rsid w:val="00E717A3"/>
    <w:rsid w:val="00E717FC"/>
    <w:rsid w:val="00E718B3"/>
    <w:rsid w:val="00E71973"/>
    <w:rsid w:val="00E71A16"/>
    <w:rsid w:val="00E71A25"/>
    <w:rsid w:val="00E71B4D"/>
    <w:rsid w:val="00E71C99"/>
    <w:rsid w:val="00E71D11"/>
    <w:rsid w:val="00E71E27"/>
    <w:rsid w:val="00E72084"/>
    <w:rsid w:val="00E7217E"/>
    <w:rsid w:val="00E721BF"/>
    <w:rsid w:val="00E721FA"/>
    <w:rsid w:val="00E72235"/>
    <w:rsid w:val="00E72265"/>
    <w:rsid w:val="00E7229F"/>
    <w:rsid w:val="00E722FD"/>
    <w:rsid w:val="00E72316"/>
    <w:rsid w:val="00E723BF"/>
    <w:rsid w:val="00E723C3"/>
    <w:rsid w:val="00E723D8"/>
    <w:rsid w:val="00E72462"/>
    <w:rsid w:val="00E724DB"/>
    <w:rsid w:val="00E7257F"/>
    <w:rsid w:val="00E72605"/>
    <w:rsid w:val="00E726D4"/>
    <w:rsid w:val="00E7271C"/>
    <w:rsid w:val="00E7278C"/>
    <w:rsid w:val="00E728A4"/>
    <w:rsid w:val="00E728EF"/>
    <w:rsid w:val="00E7294C"/>
    <w:rsid w:val="00E729B6"/>
    <w:rsid w:val="00E72A18"/>
    <w:rsid w:val="00E72A54"/>
    <w:rsid w:val="00E72A78"/>
    <w:rsid w:val="00E72A8D"/>
    <w:rsid w:val="00E72AC3"/>
    <w:rsid w:val="00E72B04"/>
    <w:rsid w:val="00E72B3C"/>
    <w:rsid w:val="00E72E0E"/>
    <w:rsid w:val="00E730B6"/>
    <w:rsid w:val="00E7318A"/>
    <w:rsid w:val="00E731E2"/>
    <w:rsid w:val="00E73308"/>
    <w:rsid w:val="00E73377"/>
    <w:rsid w:val="00E73378"/>
    <w:rsid w:val="00E73463"/>
    <w:rsid w:val="00E73472"/>
    <w:rsid w:val="00E734B3"/>
    <w:rsid w:val="00E7361A"/>
    <w:rsid w:val="00E7364C"/>
    <w:rsid w:val="00E7370E"/>
    <w:rsid w:val="00E738B5"/>
    <w:rsid w:val="00E7399F"/>
    <w:rsid w:val="00E73A77"/>
    <w:rsid w:val="00E73B18"/>
    <w:rsid w:val="00E73B6E"/>
    <w:rsid w:val="00E73C6F"/>
    <w:rsid w:val="00E73D38"/>
    <w:rsid w:val="00E73E28"/>
    <w:rsid w:val="00E73E5B"/>
    <w:rsid w:val="00E73E95"/>
    <w:rsid w:val="00E73EDC"/>
    <w:rsid w:val="00E73F13"/>
    <w:rsid w:val="00E74022"/>
    <w:rsid w:val="00E7402C"/>
    <w:rsid w:val="00E740B9"/>
    <w:rsid w:val="00E74106"/>
    <w:rsid w:val="00E74115"/>
    <w:rsid w:val="00E7420F"/>
    <w:rsid w:val="00E74373"/>
    <w:rsid w:val="00E74420"/>
    <w:rsid w:val="00E744DD"/>
    <w:rsid w:val="00E7455E"/>
    <w:rsid w:val="00E745AB"/>
    <w:rsid w:val="00E745E7"/>
    <w:rsid w:val="00E746A4"/>
    <w:rsid w:val="00E7471B"/>
    <w:rsid w:val="00E74745"/>
    <w:rsid w:val="00E74750"/>
    <w:rsid w:val="00E74826"/>
    <w:rsid w:val="00E74885"/>
    <w:rsid w:val="00E7491C"/>
    <w:rsid w:val="00E74988"/>
    <w:rsid w:val="00E74A56"/>
    <w:rsid w:val="00E74BDF"/>
    <w:rsid w:val="00E74C77"/>
    <w:rsid w:val="00E74C8B"/>
    <w:rsid w:val="00E74C8F"/>
    <w:rsid w:val="00E74D20"/>
    <w:rsid w:val="00E74DE5"/>
    <w:rsid w:val="00E74E9D"/>
    <w:rsid w:val="00E74F0C"/>
    <w:rsid w:val="00E74F48"/>
    <w:rsid w:val="00E74F5F"/>
    <w:rsid w:val="00E74F6C"/>
    <w:rsid w:val="00E74F71"/>
    <w:rsid w:val="00E7502B"/>
    <w:rsid w:val="00E75099"/>
    <w:rsid w:val="00E750B6"/>
    <w:rsid w:val="00E750F9"/>
    <w:rsid w:val="00E751B9"/>
    <w:rsid w:val="00E75256"/>
    <w:rsid w:val="00E7534A"/>
    <w:rsid w:val="00E753B9"/>
    <w:rsid w:val="00E75416"/>
    <w:rsid w:val="00E754C9"/>
    <w:rsid w:val="00E754EC"/>
    <w:rsid w:val="00E75562"/>
    <w:rsid w:val="00E75626"/>
    <w:rsid w:val="00E75767"/>
    <w:rsid w:val="00E75819"/>
    <w:rsid w:val="00E75872"/>
    <w:rsid w:val="00E75892"/>
    <w:rsid w:val="00E7594E"/>
    <w:rsid w:val="00E759F4"/>
    <w:rsid w:val="00E75B2E"/>
    <w:rsid w:val="00E75B37"/>
    <w:rsid w:val="00E75BE4"/>
    <w:rsid w:val="00E75BF6"/>
    <w:rsid w:val="00E75C24"/>
    <w:rsid w:val="00E75C50"/>
    <w:rsid w:val="00E75C6D"/>
    <w:rsid w:val="00E75C93"/>
    <w:rsid w:val="00E75D58"/>
    <w:rsid w:val="00E75DCF"/>
    <w:rsid w:val="00E75DDE"/>
    <w:rsid w:val="00E75DED"/>
    <w:rsid w:val="00E75E30"/>
    <w:rsid w:val="00E75E43"/>
    <w:rsid w:val="00E75F80"/>
    <w:rsid w:val="00E75FA2"/>
    <w:rsid w:val="00E76030"/>
    <w:rsid w:val="00E76168"/>
    <w:rsid w:val="00E762DE"/>
    <w:rsid w:val="00E76425"/>
    <w:rsid w:val="00E764D4"/>
    <w:rsid w:val="00E76505"/>
    <w:rsid w:val="00E76553"/>
    <w:rsid w:val="00E76704"/>
    <w:rsid w:val="00E76726"/>
    <w:rsid w:val="00E7676E"/>
    <w:rsid w:val="00E76942"/>
    <w:rsid w:val="00E76969"/>
    <w:rsid w:val="00E7698D"/>
    <w:rsid w:val="00E76A0E"/>
    <w:rsid w:val="00E76B53"/>
    <w:rsid w:val="00E76BD2"/>
    <w:rsid w:val="00E76C52"/>
    <w:rsid w:val="00E76EF4"/>
    <w:rsid w:val="00E76F16"/>
    <w:rsid w:val="00E77063"/>
    <w:rsid w:val="00E770A7"/>
    <w:rsid w:val="00E770B2"/>
    <w:rsid w:val="00E77156"/>
    <w:rsid w:val="00E77180"/>
    <w:rsid w:val="00E7721A"/>
    <w:rsid w:val="00E7725E"/>
    <w:rsid w:val="00E772F5"/>
    <w:rsid w:val="00E7736D"/>
    <w:rsid w:val="00E7744F"/>
    <w:rsid w:val="00E77486"/>
    <w:rsid w:val="00E77488"/>
    <w:rsid w:val="00E77537"/>
    <w:rsid w:val="00E775D5"/>
    <w:rsid w:val="00E7774A"/>
    <w:rsid w:val="00E7776E"/>
    <w:rsid w:val="00E77782"/>
    <w:rsid w:val="00E77813"/>
    <w:rsid w:val="00E77820"/>
    <w:rsid w:val="00E778CA"/>
    <w:rsid w:val="00E77918"/>
    <w:rsid w:val="00E779B9"/>
    <w:rsid w:val="00E77A51"/>
    <w:rsid w:val="00E77AB3"/>
    <w:rsid w:val="00E77ADB"/>
    <w:rsid w:val="00E77BE8"/>
    <w:rsid w:val="00E77CD6"/>
    <w:rsid w:val="00E77D9A"/>
    <w:rsid w:val="00E77DA3"/>
    <w:rsid w:val="00E77E78"/>
    <w:rsid w:val="00E80130"/>
    <w:rsid w:val="00E8028A"/>
    <w:rsid w:val="00E8037C"/>
    <w:rsid w:val="00E80396"/>
    <w:rsid w:val="00E803D1"/>
    <w:rsid w:val="00E80449"/>
    <w:rsid w:val="00E80464"/>
    <w:rsid w:val="00E80577"/>
    <w:rsid w:val="00E80647"/>
    <w:rsid w:val="00E806DA"/>
    <w:rsid w:val="00E80803"/>
    <w:rsid w:val="00E808AC"/>
    <w:rsid w:val="00E809FF"/>
    <w:rsid w:val="00E80A3B"/>
    <w:rsid w:val="00E80AEA"/>
    <w:rsid w:val="00E80B2E"/>
    <w:rsid w:val="00E80BBB"/>
    <w:rsid w:val="00E80BD1"/>
    <w:rsid w:val="00E80EA0"/>
    <w:rsid w:val="00E80FAC"/>
    <w:rsid w:val="00E8106C"/>
    <w:rsid w:val="00E8116C"/>
    <w:rsid w:val="00E8137C"/>
    <w:rsid w:val="00E8145D"/>
    <w:rsid w:val="00E8149D"/>
    <w:rsid w:val="00E814C7"/>
    <w:rsid w:val="00E8151E"/>
    <w:rsid w:val="00E81579"/>
    <w:rsid w:val="00E816FC"/>
    <w:rsid w:val="00E81753"/>
    <w:rsid w:val="00E818A8"/>
    <w:rsid w:val="00E81938"/>
    <w:rsid w:val="00E8194F"/>
    <w:rsid w:val="00E81AC8"/>
    <w:rsid w:val="00E81B2E"/>
    <w:rsid w:val="00E81C8F"/>
    <w:rsid w:val="00E81CC7"/>
    <w:rsid w:val="00E81DA0"/>
    <w:rsid w:val="00E81E2A"/>
    <w:rsid w:val="00E81E61"/>
    <w:rsid w:val="00E81EC3"/>
    <w:rsid w:val="00E81EE3"/>
    <w:rsid w:val="00E81F0A"/>
    <w:rsid w:val="00E82234"/>
    <w:rsid w:val="00E8226F"/>
    <w:rsid w:val="00E82352"/>
    <w:rsid w:val="00E8238F"/>
    <w:rsid w:val="00E823B9"/>
    <w:rsid w:val="00E824B3"/>
    <w:rsid w:val="00E824BA"/>
    <w:rsid w:val="00E82564"/>
    <w:rsid w:val="00E8256E"/>
    <w:rsid w:val="00E82614"/>
    <w:rsid w:val="00E82768"/>
    <w:rsid w:val="00E82972"/>
    <w:rsid w:val="00E8298E"/>
    <w:rsid w:val="00E829A4"/>
    <w:rsid w:val="00E82A83"/>
    <w:rsid w:val="00E82B39"/>
    <w:rsid w:val="00E82BA7"/>
    <w:rsid w:val="00E82CBF"/>
    <w:rsid w:val="00E82E22"/>
    <w:rsid w:val="00E82E66"/>
    <w:rsid w:val="00E83058"/>
    <w:rsid w:val="00E832DC"/>
    <w:rsid w:val="00E832E3"/>
    <w:rsid w:val="00E832F9"/>
    <w:rsid w:val="00E833D7"/>
    <w:rsid w:val="00E833E2"/>
    <w:rsid w:val="00E8347B"/>
    <w:rsid w:val="00E8360A"/>
    <w:rsid w:val="00E8373F"/>
    <w:rsid w:val="00E837B2"/>
    <w:rsid w:val="00E837CE"/>
    <w:rsid w:val="00E83820"/>
    <w:rsid w:val="00E83992"/>
    <w:rsid w:val="00E83A94"/>
    <w:rsid w:val="00E83AD2"/>
    <w:rsid w:val="00E83B86"/>
    <w:rsid w:val="00E83BFC"/>
    <w:rsid w:val="00E83C7D"/>
    <w:rsid w:val="00E83D64"/>
    <w:rsid w:val="00E83DDE"/>
    <w:rsid w:val="00E83F33"/>
    <w:rsid w:val="00E83F85"/>
    <w:rsid w:val="00E83FCE"/>
    <w:rsid w:val="00E840C2"/>
    <w:rsid w:val="00E840D8"/>
    <w:rsid w:val="00E84101"/>
    <w:rsid w:val="00E841B1"/>
    <w:rsid w:val="00E841E5"/>
    <w:rsid w:val="00E842CD"/>
    <w:rsid w:val="00E844FE"/>
    <w:rsid w:val="00E84506"/>
    <w:rsid w:val="00E846DE"/>
    <w:rsid w:val="00E84825"/>
    <w:rsid w:val="00E84A71"/>
    <w:rsid w:val="00E84A87"/>
    <w:rsid w:val="00E84D30"/>
    <w:rsid w:val="00E84D52"/>
    <w:rsid w:val="00E850A4"/>
    <w:rsid w:val="00E851C6"/>
    <w:rsid w:val="00E851E6"/>
    <w:rsid w:val="00E85242"/>
    <w:rsid w:val="00E8534D"/>
    <w:rsid w:val="00E8546A"/>
    <w:rsid w:val="00E85490"/>
    <w:rsid w:val="00E854B8"/>
    <w:rsid w:val="00E8566E"/>
    <w:rsid w:val="00E85701"/>
    <w:rsid w:val="00E8570E"/>
    <w:rsid w:val="00E857CF"/>
    <w:rsid w:val="00E857F2"/>
    <w:rsid w:val="00E85956"/>
    <w:rsid w:val="00E85A15"/>
    <w:rsid w:val="00E85A31"/>
    <w:rsid w:val="00E85ACB"/>
    <w:rsid w:val="00E85B3F"/>
    <w:rsid w:val="00E85BF7"/>
    <w:rsid w:val="00E85C01"/>
    <w:rsid w:val="00E85C89"/>
    <w:rsid w:val="00E85CDF"/>
    <w:rsid w:val="00E85D2F"/>
    <w:rsid w:val="00E85EB2"/>
    <w:rsid w:val="00E85EFD"/>
    <w:rsid w:val="00E85F0F"/>
    <w:rsid w:val="00E86002"/>
    <w:rsid w:val="00E86027"/>
    <w:rsid w:val="00E8604B"/>
    <w:rsid w:val="00E860D0"/>
    <w:rsid w:val="00E860E6"/>
    <w:rsid w:val="00E861A7"/>
    <w:rsid w:val="00E86211"/>
    <w:rsid w:val="00E86222"/>
    <w:rsid w:val="00E8627B"/>
    <w:rsid w:val="00E862E0"/>
    <w:rsid w:val="00E863B4"/>
    <w:rsid w:val="00E86455"/>
    <w:rsid w:val="00E86482"/>
    <w:rsid w:val="00E86497"/>
    <w:rsid w:val="00E864EF"/>
    <w:rsid w:val="00E86505"/>
    <w:rsid w:val="00E86574"/>
    <w:rsid w:val="00E86661"/>
    <w:rsid w:val="00E866B1"/>
    <w:rsid w:val="00E8671B"/>
    <w:rsid w:val="00E8680E"/>
    <w:rsid w:val="00E86AEF"/>
    <w:rsid w:val="00E86BC9"/>
    <w:rsid w:val="00E86C04"/>
    <w:rsid w:val="00E86C56"/>
    <w:rsid w:val="00E86DB5"/>
    <w:rsid w:val="00E86E4B"/>
    <w:rsid w:val="00E86E56"/>
    <w:rsid w:val="00E86F2B"/>
    <w:rsid w:val="00E870B5"/>
    <w:rsid w:val="00E870E8"/>
    <w:rsid w:val="00E871FD"/>
    <w:rsid w:val="00E8722D"/>
    <w:rsid w:val="00E873DA"/>
    <w:rsid w:val="00E873ED"/>
    <w:rsid w:val="00E873F0"/>
    <w:rsid w:val="00E87483"/>
    <w:rsid w:val="00E874FD"/>
    <w:rsid w:val="00E87513"/>
    <w:rsid w:val="00E8751D"/>
    <w:rsid w:val="00E8754D"/>
    <w:rsid w:val="00E87629"/>
    <w:rsid w:val="00E87632"/>
    <w:rsid w:val="00E876BB"/>
    <w:rsid w:val="00E8770B"/>
    <w:rsid w:val="00E87849"/>
    <w:rsid w:val="00E878C5"/>
    <w:rsid w:val="00E87902"/>
    <w:rsid w:val="00E879D3"/>
    <w:rsid w:val="00E87AF9"/>
    <w:rsid w:val="00E87BA4"/>
    <w:rsid w:val="00E87F30"/>
    <w:rsid w:val="00E9000E"/>
    <w:rsid w:val="00E90042"/>
    <w:rsid w:val="00E900DA"/>
    <w:rsid w:val="00E90152"/>
    <w:rsid w:val="00E901FD"/>
    <w:rsid w:val="00E90211"/>
    <w:rsid w:val="00E90260"/>
    <w:rsid w:val="00E90371"/>
    <w:rsid w:val="00E9039B"/>
    <w:rsid w:val="00E90432"/>
    <w:rsid w:val="00E9045C"/>
    <w:rsid w:val="00E90465"/>
    <w:rsid w:val="00E90484"/>
    <w:rsid w:val="00E904E4"/>
    <w:rsid w:val="00E90519"/>
    <w:rsid w:val="00E90542"/>
    <w:rsid w:val="00E90543"/>
    <w:rsid w:val="00E90629"/>
    <w:rsid w:val="00E907F2"/>
    <w:rsid w:val="00E90825"/>
    <w:rsid w:val="00E908D8"/>
    <w:rsid w:val="00E9096C"/>
    <w:rsid w:val="00E90A72"/>
    <w:rsid w:val="00E90D4C"/>
    <w:rsid w:val="00E90DDF"/>
    <w:rsid w:val="00E91078"/>
    <w:rsid w:val="00E910CE"/>
    <w:rsid w:val="00E910F8"/>
    <w:rsid w:val="00E9129F"/>
    <w:rsid w:val="00E9133E"/>
    <w:rsid w:val="00E913AD"/>
    <w:rsid w:val="00E91434"/>
    <w:rsid w:val="00E91472"/>
    <w:rsid w:val="00E9147B"/>
    <w:rsid w:val="00E914E5"/>
    <w:rsid w:val="00E91535"/>
    <w:rsid w:val="00E91545"/>
    <w:rsid w:val="00E91574"/>
    <w:rsid w:val="00E9160C"/>
    <w:rsid w:val="00E916C4"/>
    <w:rsid w:val="00E916ED"/>
    <w:rsid w:val="00E917FA"/>
    <w:rsid w:val="00E9182D"/>
    <w:rsid w:val="00E91917"/>
    <w:rsid w:val="00E91978"/>
    <w:rsid w:val="00E919CF"/>
    <w:rsid w:val="00E91A5F"/>
    <w:rsid w:val="00E91AF7"/>
    <w:rsid w:val="00E91BE2"/>
    <w:rsid w:val="00E91C30"/>
    <w:rsid w:val="00E91E21"/>
    <w:rsid w:val="00E91F17"/>
    <w:rsid w:val="00E91F66"/>
    <w:rsid w:val="00E91FFB"/>
    <w:rsid w:val="00E920EF"/>
    <w:rsid w:val="00E92151"/>
    <w:rsid w:val="00E92189"/>
    <w:rsid w:val="00E921C6"/>
    <w:rsid w:val="00E922EF"/>
    <w:rsid w:val="00E9241D"/>
    <w:rsid w:val="00E9263F"/>
    <w:rsid w:val="00E926D8"/>
    <w:rsid w:val="00E926ED"/>
    <w:rsid w:val="00E92764"/>
    <w:rsid w:val="00E92785"/>
    <w:rsid w:val="00E9279E"/>
    <w:rsid w:val="00E927C9"/>
    <w:rsid w:val="00E927DF"/>
    <w:rsid w:val="00E928BC"/>
    <w:rsid w:val="00E928EC"/>
    <w:rsid w:val="00E92975"/>
    <w:rsid w:val="00E92C19"/>
    <w:rsid w:val="00E92C22"/>
    <w:rsid w:val="00E92C86"/>
    <w:rsid w:val="00E92CB5"/>
    <w:rsid w:val="00E92CE3"/>
    <w:rsid w:val="00E92EBA"/>
    <w:rsid w:val="00E92F08"/>
    <w:rsid w:val="00E92F34"/>
    <w:rsid w:val="00E92F9E"/>
    <w:rsid w:val="00E9308E"/>
    <w:rsid w:val="00E930EC"/>
    <w:rsid w:val="00E930FB"/>
    <w:rsid w:val="00E93149"/>
    <w:rsid w:val="00E931C7"/>
    <w:rsid w:val="00E931CD"/>
    <w:rsid w:val="00E93241"/>
    <w:rsid w:val="00E93295"/>
    <w:rsid w:val="00E932F9"/>
    <w:rsid w:val="00E933AA"/>
    <w:rsid w:val="00E93421"/>
    <w:rsid w:val="00E9353E"/>
    <w:rsid w:val="00E93727"/>
    <w:rsid w:val="00E937F5"/>
    <w:rsid w:val="00E93860"/>
    <w:rsid w:val="00E93883"/>
    <w:rsid w:val="00E938A8"/>
    <w:rsid w:val="00E938BF"/>
    <w:rsid w:val="00E938CC"/>
    <w:rsid w:val="00E938D1"/>
    <w:rsid w:val="00E93978"/>
    <w:rsid w:val="00E93C53"/>
    <w:rsid w:val="00E93C94"/>
    <w:rsid w:val="00E93CA1"/>
    <w:rsid w:val="00E93CA3"/>
    <w:rsid w:val="00E93D02"/>
    <w:rsid w:val="00E93DC5"/>
    <w:rsid w:val="00E93DEF"/>
    <w:rsid w:val="00E93ECC"/>
    <w:rsid w:val="00E94069"/>
    <w:rsid w:val="00E94170"/>
    <w:rsid w:val="00E9417A"/>
    <w:rsid w:val="00E9421D"/>
    <w:rsid w:val="00E94276"/>
    <w:rsid w:val="00E942A1"/>
    <w:rsid w:val="00E9444D"/>
    <w:rsid w:val="00E9449A"/>
    <w:rsid w:val="00E944B5"/>
    <w:rsid w:val="00E9462F"/>
    <w:rsid w:val="00E946A2"/>
    <w:rsid w:val="00E946B8"/>
    <w:rsid w:val="00E94855"/>
    <w:rsid w:val="00E94899"/>
    <w:rsid w:val="00E94933"/>
    <w:rsid w:val="00E949B3"/>
    <w:rsid w:val="00E94A44"/>
    <w:rsid w:val="00E94A95"/>
    <w:rsid w:val="00E94AA5"/>
    <w:rsid w:val="00E94AAB"/>
    <w:rsid w:val="00E94CCE"/>
    <w:rsid w:val="00E94CFB"/>
    <w:rsid w:val="00E94DF3"/>
    <w:rsid w:val="00E94E12"/>
    <w:rsid w:val="00E94ECE"/>
    <w:rsid w:val="00E95062"/>
    <w:rsid w:val="00E95183"/>
    <w:rsid w:val="00E95276"/>
    <w:rsid w:val="00E95297"/>
    <w:rsid w:val="00E95307"/>
    <w:rsid w:val="00E95396"/>
    <w:rsid w:val="00E953EE"/>
    <w:rsid w:val="00E95502"/>
    <w:rsid w:val="00E95506"/>
    <w:rsid w:val="00E955B1"/>
    <w:rsid w:val="00E955C2"/>
    <w:rsid w:val="00E955C9"/>
    <w:rsid w:val="00E9568C"/>
    <w:rsid w:val="00E956B2"/>
    <w:rsid w:val="00E957BA"/>
    <w:rsid w:val="00E95937"/>
    <w:rsid w:val="00E95A8A"/>
    <w:rsid w:val="00E95A96"/>
    <w:rsid w:val="00E95C5E"/>
    <w:rsid w:val="00E95D67"/>
    <w:rsid w:val="00E95E58"/>
    <w:rsid w:val="00E95E5C"/>
    <w:rsid w:val="00E95E5E"/>
    <w:rsid w:val="00E95E98"/>
    <w:rsid w:val="00E95EA7"/>
    <w:rsid w:val="00E95F9E"/>
    <w:rsid w:val="00E95FC2"/>
    <w:rsid w:val="00E95FD3"/>
    <w:rsid w:val="00E96277"/>
    <w:rsid w:val="00E96320"/>
    <w:rsid w:val="00E963C6"/>
    <w:rsid w:val="00E9644D"/>
    <w:rsid w:val="00E9652B"/>
    <w:rsid w:val="00E965CA"/>
    <w:rsid w:val="00E965CB"/>
    <w:rsid w:val="00E96640"/>
    <w:rsid w:val="00E96695"/>
    <w:rsid w:val="00E967DB"/>
    <w:rsid w:val="00E967FD"/>
    <w:rsid w:val="00E9698E"/>
    <w:rsid w:val="00E96A2A"/>
    <w:rsid w:val="00E96A51"/>
    <w:rsid w:val="00E96B83"/>
    <w:rsid w:val="00E96C7A"/>
    <w:rsid w:val="00E96CA0"/>
    <w:rsid w:val="00E96DF5"/>
    <w:rsid w:val="00E96E04"/>
    <w:rsid w:val="00E96E52"/>
    <w:rsid w:val="00E96E5D"/>
    <w:rsid w:val="00E96F73"/>
    <w:rsid w:val="00E96F77"/>
    <w:rsid w:val="00E970C7"/>
    <w:rsid w:val="00E97108"/>
    <w:rsid w:val="00E9711C"/>
    <w:rsid w:val="00E971BA"/>
    <w:rsid w:val="00E97281"/>
    <w:rsid w:val="00E97305"/>
    <w:rsid w:val="00E97317"/>
    <w:rsid w:val="00E9734F"/>
    <w:rsid w:val="00E97371"/>
    <w:rsid w:val="00E97439"/>
    <w:rsid w:val="00E97498"/>
    <w:rsid w:val="00E974B3"/>
    <w:rsid w:val="00E97504"/>
    <w:rsid w:val="00E9755E"/>
    <w:rsid w:val="00E9760F"/>
    <w:rsid w:val="00E97670"/>
    <w:rsid w:val="00E977B6"/>
    <w:rsid w:val="00E977BF"/>
    <w:rsid w:val="00E977E6"/>
    <w:rsid w:val="00E978A5"/>
    <w:rsid w:val="00E97928"/>
    <w:rsid w:val="00E97989"/>
    <w:rsid w:val="00E97A15"/>
    <w:rsid w:val="00E97A23"/>
    <w:rsid w:val="00E97ADF"/>
    <w:rsid w:val="00E97C2E"/>
    <w:rsid w:val="00E97C34"/>
    <w:rsid w:val="00E97CB9"/>
    <w:rsid w:val="00E97CD2"/>
    <w:rsid w:val="00E97CF2"/>
    <w:rsid w:val="00E97D34"/>
    <w:rsid w:val="00E97DEC"/>
    <w:rsid w:val="00E97EDD"/>
    <w:rsid w:val="00EA0062"/>
    <w:rsid w:val="00EA00FC"/>
    <w:rsid w:val="00EA015C"/>
    <w:rsid w:val="00EA01A2"/>
    <w:rsid w:val="00EA029E"/>
    <w:rsid w:val="00EA02BC"/>
    <w:rsid w:val="00EA02DF"/>
    <w:rsid w:val="00EA02F0"/>
    <w:rsid w:val="00EA04E7"/>
    <w:rsid w:val="00EA059D"/>
    <w:rsid w:val="00EA05F7"/>
    <w:rsid w:val="00EA0619"/>
    <w:rsid w:val="00EA065C"/>
    <w:rsid w:val="00EA065D"/>
    <w:rsid w:val="00EA06B0"/>
    <w:rsid w:val="00EA06D7"/>
    <w:rsid w:val="00EA074C"/>
    <w:rsid w:val="00EA086D"/>
    <w:rsid w:val="00EA0943"/>
    <w:rsid w:val="00EA0A2E"/>
    <w:rsid w:val="00EA0AB2"/>
    <w:rsid w:val="00EA0B4E"/>
    <w:rsid w:val="00EA0B5C"/>
    <w:rsid w:val="00EA0C09"/>
    <w:rsid w:val="00EA0CAA"/>
    <w:rsid w:val="00EA0D1A"/>
    <w:rsid w:val="00EA0D6D"/>
    <w:rsid w:val="00EA0DC4"/>
    <w:rsid w:val="00EA0E43"/>
    <w:rsid w:val="00EA0FD2"/>
    <w:rsid w:val="00EA1094"/>
    <w:rsid w:val="00EA1234"/>
    <w:rsid w:val="00EA1319"/>
    <w:rsid w:val="00EA1335"/>
    <w:rsid w:val="00EA13C7"/>
    <w:rsid w:val="00EA14E4"/>
    <w:rsid w:val="00EA1549"/>
    <w:rsid w:val="00EA154B"/>
    <w:rsid w:val="00EA1553"/>
    <w:rsid w:val="00EA1604"/>
    <w:rsid w:val="00EA1659"/>
    <w:rsid w:val="00EA167B"/>
    <w:rsid w:val="00EA16C7"/>
    <w:rsid w:val="00EA171D"/>
    <w:rsid w:val="00EA17E4"/>
    <w:rsid w:val="00EA1873"/>
    <w:rsid w:val="00EA18A4"/>
    <w:rsid w:val="00EA1A09"/>
    <w:rsid w:val="00EA1AFF"/>
    <w:rsid w:val="00EA1C4A"/>
    <w:rsid w:val="00EA1CDF"/>
    <w:rsid w:val="00EA1D28"/>
    <w:rsid w:val="00EA1D48"/>
    <w:rsid w:val="00EA1DCB"/>
    <w:rsid w:val="00EA1E53"/>
    <w:rsid w:val="00EA1F89"/>
    <w:rsid w:val="00EA2112"/>
    <w:rsid w:val="00EA216F"/>
    <w:rsid w:val="00EA21B8"/>
    <w:rsid w:val="00EA21E4"/>
    <w:rsid w:val="00EA22A3"/>
    <w:rsid w:val="00EA22AB"/>
    <w:rsid w:val="00EA2418"/>
    <w:rsid w:val="00EA2465"/>
    <w:rsid w:val="00EA2656"/>
    <w:rsid w:val="00EA2666"/>
    <w:rsid w:val="00EA26A2"/>
    <w:rsid w:val="00EA274C"/>
    <w:rsid w:val="00EA2866"/>
    <w:rsid w:val="00EA2957"/>
    <w:rsid w:val="00EA2A52"/>
    <w:rsid w:val="00EA2A6F"/>
    <w:rsid w:val="00EA2A7E"/>
    <w:rsid w:val="00EA2C74"/>
    <w:rsid w:val="00EA2D16"/>
    <w:rsid w:val="00EA2E86"/>
    <w:rsid w:val="00EA2F24"/>
    <w:rsid w:val="00EA2F94"/>
    <w:rsid w:val="00EA2FD8"/>
    <w:rsid w:val="00EA3003"/>
    <w:rsid w:val="00EA3012"/>
    <w:rsid w:val="00EA3033"/>
    <w:rsid w:val="00EA310D"/>
    <w:rsid w:val="00EA319B"/>
    <w:rsid w:val="00EA327B"/>
    <w:rsid w:val="00EA3438"/>
    <w:rsid w:val="00EA34A0"/>
    <w:rsid w:val="00EA34CF"/>
    <w:rsid w:val="00EA35AE"/>
    <w:rsid w:val="00EA35C9"/>
    <w:rsid w:val="00EA3647"/>
    <w:rsid w:val="00EA36DE"/>
    <w:rsid w:val="00EA372E"/>
    <w:rsid w:val="00EA3761"/>
    <w:rsid w:val="00EA37B4"/>
    <w:rsid w:val="00EA37D9"/>
    <w:rsid w:val="00EA3949"/>
    <w:rsid w:val="00EA3A34"/>
    <w:rsid w:val="00EA3B59"/>
    <w:rsid w:val="00EA3BCE"/>
    <w:rsid w:val="00EA3BCF"/>
    <w:rsid w:val="00EA3C0B"/>
    <w:rsid w:val="00EA3C41"/>
    <w:rsid w:val="00EA3C7B"/>
    <w:rsid w:val="00EA3E47"/>
    <w:rsid w:val="00EA3E67"/>
    <w:rsid w:val="00EA3EC1"/>
    <w:rsid w:val="00EA4010"/>
    <w:rsid w:val="00EA4085"/>
    <w:rsid w:val="00EA41C8"/>
    <w:rsid w:val="00EA42DA"/>
    <w:rsid w:val="00EA4339"/>
    <w:rsid w:val="00EA4371"/>
    <w:rsid w:val="00EA43C6"/>
    <w:rsid w:val="00EA4408"/>
    <w:rsid w:val="00EA448C"/>
    <w:rsid w:val="00EA449D"/>
    <w:rsid w:val="00EA45A3"/>
    <w:rsid w:val="00EA4643"/>
    <w:rsid w:val="00EA4673"/>
    <w:rsid w:val="00EA4799"/>
    <w:rsid w:val="00EA4813"/>
    <w:rsid w:val="00EA486D"/>
    <w:rsid w:val="00EA4893"/>
    <w:rsid w:val="00EA48FA"/>
    <w:rsid w:val="00EA4970"/>
    <w:rsid w:val="00EA499F"/>
    <w:rsid w:val="00EA4B1D"/>
    <w:rsid w:val="00EA4B43"/>
    <w:rsid w:val="00EA4B79"/>
    <w:rsid w:val="00EA4CC2"/>
    <w:rsid w:val="00EA4DB6"/>
    <w:rsid w:val="00EA4DFA"/>
    <w:rsid w:val="00EA4E2A"/>
    <w:rsid w:val="00EA4E99"/>
    <w:rsid w:val="00EA4EBD"/>
    <w:rsid w:val="00EA4ED2"/>
    <w:rsid w:val="00EA4F19"/>
    <w:rsid w:val="00EA4F54"/>
    <w:rsid w:val="00EA4FD4"/>
    <w:rsid w:val="00EA504F"/>
    <w:rsid w:val="00EA506A"/>
    <w:rsid w:val="00EA50F9"/>
    <w:rsid w:val="00EA51B9"/>
    <w:rsid w:val="00EA51CA"/>
    <w:rsid w:val="00EA52EA"/>
    <w:rsid w:val="00EA5319"/>
    <w:rsid w:val="00EA5419"/>
    <w:rsid w:val="00EA5453"/>
    <w:rsid w:val="00EA552E"/>
    <w:rsid w:val="00EA554A"/>
    <w:rsid w:val="00EA559C"/>
    <w:rsid w:val="00EA55A4"/>
    <w:rsid w:val="00EA5673"/>
    <w:rsid w:val="00EA56A8"/>
    <w:rsid w:val="00EA56BD"/>
    <w:rsid w:val="00EA574C"/>
    <w:rsid w:val="00EA5751"/>
    <w:rsid w:val="00EA588F"/>
    <w:rsid w:val="00EA58EA"/>
    <w:rsid w:val="00EA59E3"/>
    <w:rsid w:val="00EA59FA"/>
    <w:rsid w:val="00EA5AF5"/>
    <w:rsid w:val="00EA5B98"/>
    <w:rsid w:val="00EA5BA8"/>
    <w:rsid w:val="00EA5C50"/>
    <w:rsid w:val="00EA5C77"/>
    <w:rsid w:val="00EA5CF8"/>
    <w:rsid w:val="00EA5CFF"/>
    <w:rsid w:val="00EA5E28"/>
    <w:rsid w:val="00EA5FCE"/>
    <w:rsid w:val="00EA6076"/>
    <w:rsid w:val="00EA60C2"/>
    <w:rsid w:val="00EA6219"/>
    <w:rsid w:val="00EA632D"/>
    <w:rsid w:val="00EA63CD"/>
    <w:rsid w:val="00EA65BD"/>
    <w:rsid w:val="00EA6680"/>
    <w:rsid w:val="00EA675D"/>
    <w:rsid w:val="00EA6773"/>
    <w:rsid w:val="00EA68BC"/>
    <w:rsid w:val="00EA6904"/>
    <w:rsid w:val="00EA6984"/>
    <w:rsid w:val="00EA6992"/>
    <w:rsid w:val="00EA69D1"/>
    <w:rsid w:val="00EA69D3"/>
    <w:rsid w:val="00EA69DB"/>
    <w:rsid w:val="00EA69E2"/>
    <w:rsid w:val="00EA6A43"/>
    <w:rsid w:val="00EA6A4D"/>
    <w:rsid w:val="00EA6A77"/>
    <w:rsid w:val="00EA6A8B"/>
    <w:rsid w:val="00EA6A9F"/>
    <w:rsid w:val="00EA6BCD"/>
    <w:rsid w:val="00EA6C55"/>
    <w:rsid w:val="00EA6C83"/>
    <w:rsid w:val="00EA6D36"/>
    <w:rsid w:val="00EA6E9C"/>
    <w:rsid w:val="00EA6ED6"/>
    <w:rsid w:val="00EA6F02"/>
    <w:rsid w:val="00EA705E"/>
    <w:rsid w:val="00EA719E"/>
    <w:rsid w:val="00EA71EE"/>
    <w:rsid w:val="00EA72EA"/>
    <w:rsid w:val="00EA7319"/>
    <w:rsid w:val="00EA736A"/>
    <w:rsid w:val="00EA7440"/>
    <w:rsid w:val="00EA74B8"/>
    <w:rsid w:val="00EA75F6"/>
    <w:rsid w:val="00EA761F"/>
    <w:rsid w:val="00EA7893"/>
    <w:rsid w:val="00EA78A2"/>
    <w:rsid w:val="00EA78ED"/>
    <w:rsid w:val="00EA790A"/>
    <w:rsid w:val="00EA79D6"/>
    <w:rsid w:val="00EA7A28"/>
    <w:rsid w:val="00EA7AAF"/>
    <w:rsid w:val="00EA7AF9"/>
    <w:rsid w:val="00EA7B0E"/>
    <w:rsid w:val="00EA7C03"/>
    <w:rsid w:val="00EA7C77"/>
    <w:rsid w:val="00EA7D59"/>
    <w:rsid w:val="00EA7D71"/>
    <w:rsid w:val="00EA7DBF"/>
    <w:rsid w:val="00EA7DDE"/>
    <w:rsid w:val="00EA7EB8"/>
    <w:rsid w:val="00EA7EC8"/>
    <w:rsid w:val="00EB0039"/>
    <w:rsid w:val="00EB00E1"/>
    <w:rsid w:val="00EB00F1"/>
    <w:rsid w:val="00EB022F"/>
    <w:rsid w:val="00EB02A4"/>
    <w:rsid w:val="00EB031F"/>
    <w:rsid w:val="00EB039E"/>
    <w:rsid w:val="00EB03D5"/>
    <w:rsid w:val="00EB061B"/>
    <w:rsid w:val="00EB066B"/>
    <w:rsid w:val="00EB067B"/>
    <w:rsid w:val="00EB06B2"/>
    <w:rsid w:val="00EB077A"/>
    <w:rsid w:val="00EB078A"/>
    <w:rsid w:val="00EB081B"/>
    <w:rsid w:val="00EB08E3"/>
    <w:rsid w:val="00EB08F1"/>
    <w:rsid w:val="00EB0910"/>
    <w:rsid w:val="00EB0929"/>
    <w:rsid w:val="00EB0970"/>
    <w:rsid w:val="00EB0985"/>
    <w:rsid w:val="00EB0A98"/>
    <w:rsid w:val="00EB0AA1"/>
    <w:rsid w:val="00EB0B4B"/>
    <w:rsid w:val="00EB0B5F"/>
    <w:rsid w:val="00EB0C9C"/>
    <w:rsid w:val="00EB0D6C"/>
    <w:rsid w:val="00EB0DA6"/>
    <w:rsid w:val="00EB0DEB"/>
    <w:rsid w:val="00EB0E1C"/>
    <w:rsid w:val="00EB0E72"/>
    <w:rsid w:val="00EB0E77"/>
    <w:rsid w:val="00EB0EE4"/>
    <w:rsid w:val="00EB0F42"/>
    <w:rsid w:val="00EB102E"/>
    <w:rsid w:val="00EB10C0"/>
    <w:rsid w:val="00EB1197"/>
    <w:rsid w:val="00EB1258"/>
    <w:rsid w:val="00EB1290"/>
    <w:rsid w:val="00EB12B4"/>
    <w:rsid w:val="00EB1358"/>
    <w:rsid w:val="00EB13B3"/>
    <w:rsid w:val="00EB1480"/>
    <w:rsid w:val="00EB14B5"/>
    <w:rsid w:val="00EB14FC"/>
    <w:rsid w:val="00EB1507"/>
    <w:rsid w:val="00EB1511"/>
    <w:rsid w:val="00EB1540"/>
    <w:rsid w:val="00EB1599"/>
    <w:rsid w:val="00EB1692"/>
    <w:rsid w:val="00EB16AC"/>
    <w:rsid w:val="00EB182A"/>
    <w:rsid w:val="00EB186A"/>
    <w:rsid w:val="00EB1875"/>
    <w:rsid w:val="00EB19AB"/>
    <w:rsid w:val="00EB19C9"/>
    <w:rsid w:val="00EB1A47"/>
    <w:rsid w:val="00EB1B32"/>
    <w:rsid w:val="00EB1CDA"/>
    <w:rsid w:val="00EB1D28"/>
    <w:rsid w:val="00EB1EA3"/>
    <w:rsid w:val="00EB1FC5"/>
    <w:rsid w:val="00EB2007"/>
    <w:rsid w:val="00EB2055"/>
    <w:rsid w:val="00EB212E"/>
    <w:rsid w:val="00EB21FC"/>
    <w:rsid w:val="00EB22EA"/>
    <w:rsid w:val="00EB2430"/>
    <w:rsid w:val="00EB2569"/>
    <w:rsid w:val="00EB258C"/>
    <w:rsid w:val="00EB2614"/>
    <w:rsid w:val="00EB276E"/>
    <w:rsid w:val="00EB27A3"/>
    <w:rsid w:val="00EB2977"/>
    <w:rsid w:val="00EB2996"/>
    <w:rsid w:val="00EB2A90"/>
    <w:rsid w:val="00EB2B00"/>
    <w:rsid w:val="00EB2B3D"/>
    <w:rsid w:val="00EB2BEA"/>
    <w:rsid w:val="00EB2BF5"/>
    <w:rsid w:val="00EB2C59"/>
    <w:rsid w:val="00EB2CB5"/>
    <w:rsid w:val="00EB2D8D"/>
    <w:rsid w:val="00EB2E01"/>
    <w:rsid w:val="00EB2E86"/>
    <w:rsid w:val="00EB2F4A"/>
    <w:rsid w:val="00EB2F7B"/>
    <w:rsid w:val="00EB2FA1"/>
    <w:rsid w:val="00EB3016"/>
    <w:rsid w:val="00EB3022"/>
    <w:rsid w:val="00EB3031"/>
    <w:rsid w:val="00EB30AE"/>
    <w:rsid w:val="00EB30B4"/>
    <w:rsid w:val="00EB33A1"/>
    <w:rsid w:val="00EB340B"/>
    <w:rsid w:val="00EB3546"/>
    <w:rsid w:val="00EB36F5"/>
    <w:rsid w:val="00EB389B"/>
    <w:rsid w:val="00EB38F5"/>
    <w:rsid w:val="00EB3957"/>
    <w:rsid w:val="00EB395E"/>
    <w:rsid w:val="00EB39F9"/>
    <w:rsid w:val="00EB3A1B"/>
    <w:rsid w:val="00EB3AA4"/>
    <w:rsid w:val="00EB3AD1"/>
    <w:rsid w:val="00EB3D16"/>
    <w:rsid w:val="00EB3D1D"/>
    <w:rsid w:val="00EB3D7D"/>
    <w:rsid w:val="00EB3DE1"/>
    <w:rsid w:val="00EB3E48"/>
    <w:rsid w:val="00EB3E8E"/>
    <w:rsid w:val="00EB3EAA"/>
    <w:rsid w:val="00EB3F1E"/>
    <w:rsid w:val="00EB3F80"/>
    <w:rsid w:val="00EB3FE9"/>
    <w:rsid w:val="00EB4039"/>
    <w:rsid w:val="00EB4063"/>
    <w:rsid w:val="00EB4128"/>
    <w:rsid w:val="00EB412D"/>
    <w:rsid w:val="00EB4148"/>
    <w:rsid w:val="00EB4154"/>
    <w:rsid w:val="00EB4197"/>
    <w:rsid w:val="00EB41B7"/>
    <w:rsid w:val="00EB42EB"/>
    <w:rsid w:val="00EB4471"/>
    <w:rsid w:val="00EB453D"/>
    <w:rsid w:val="00EB45D6"/>
    <w:rsid w:val="00EB4692"/>
    <w:rsid w:val="00EB46E9"/>
    <w:rsid w:val="00EB485F"/>
    <w:rsid w:val="00EB48C1"/>
    <w:rsid w:val="00EB49CD"/>
    <w:rsid w:val="00EB4A5A"/>
    <w:rsid w:val="00EB4B2D"/>
    <w:rsid w:val="00EB4B3D"/>
    <w:rsid w:val="00EB4BDB"/>
    <w:rsid w:val="00EB4C50"/>
    <w:rsid w:val="00EB4C98"/>
    <w:rsid w:val="00EB4CF5"/>
    <w:rsid w:val="00EB4EEA"/>
    <w:rsid w:val="00EB5004"/>
    <w:rsid w:val="00EB5053"/>
    <w:rsid w:val="00EB52A9"/>
    <w:rsid w:val="00EB52D7"/>
    <w:rsid w:val="00EB52EB"/>
    <w:rsid w:val="00EB53CF"/>
    <w:rsid w:val="00EB54DF"/>
    <w:rsid w:val="00EB54FD"/>
    <w:rsid w:val="00EB5515"/>
    <w:rsid w:val="00EB551D"/>
    <w:rsid w:val="00EB55B3"/>
    <w:rsid w:val="00EB55B4"/>
    <w:rsid w:val="00EB55E6"/>
    <w:rsid w:val="00EB5705"/>
    <w:rsid w:val="00EB5713"/>
    <w:rsid w:val="00EB5755"/>
    <w:rsid w:val="00EB57C0"/>
    <w:rsid w:val="00EB5888"/>
    <w:rsid w:val="00EB58BD"/>
    <w:rsid w:val="00EB590C"/>
    <w:rsid w:val="00EB5981"/>
    <w:rsid w:val="00EB5A9F"/>
    <w:rsid w:val="00EB5AFE"/>
    <w:rsid w:val="00EB5C08"/>
    <w:rsid w:val="00EB5C7E"/>
    <w:rsid w:val="00EB5C95"/>
    <w:rsid w:val="00EB5D2F"/>
    <w:rsid w:val="00EB5D31"/>
    <w:rsid w:val="00EB5D80"/>
    <w:rsid w:val="00EB5F0B"/>
    <w:rsid w:val="00EB5F38"/>
    <w:rsid w:val="00EB6092"/>
    <w:rsid w:val="00EB62A2"/>
    <w:rsid w:val="00EB62CE"/>
    <w:rsid w:val="00EB6374"/>
    <w:rsid w:val="00EB63A2"/>
    <w:rsid w:val="00EB6459"/>
    <w:rsid w:val="00EB6579"/>
    <w:rsid w:val="00EB661A"/>
    <w:rsid w:val="00EB6941"/>
    <w:rsid w:val="00EB6AA9"/>
    <w:rsid w:val="00EB6B25"/>
    <w:rsid w:val="00EB6C0E"/>
    <w:rsid w:val="00EB6C11"/>
    <w:rsid w:val="00EB6C50"/>
    <w:rsid w:val="00EB6D04"/>
    <w:rsid w:val="00EB6DEE"/>
    <w:rsid w:val="00EB6DF8"/>
    <w:rsid w:val="00EB6E57"/>
    <w:rsid w:val="00EB6EFD"/>
    <w:rsid w:val="00EB6F07"/>
    <w:rsid w:val="00EB6F79"/>
    <w:rsid w:val="00EB7127"/>
    <w:rsid w:val="00EB71AC"/>
    <w:rsid w:val="00EB724B"/>
    <w:rsid w:val="00EB73A4"/>
    <w:rsid w:val="00EB7471"/>
    <w:rsid w:val="00EB74B7"/>
    <w:rsid w:val="00EB7505"/>
    <w:rsid w:val="00EB7890"/>
    <w:rsid w:val="00EB78E0"/>
    <w:rsid w:val="00EB78FE"/>
    <w:rsid w:val="00EB7939"/>
    <w:rsid w:val="00EB79B1"/>
    <w:rsid w:val="00EB79D7"/>
    <w:rsid w:val="00EB7A12"/>
    <w:rsid w:val="00EB7AAC"/>
    <w:rsid w:val="00EB7B10"/>
    <w:rsid w:val="00EB7BFD"/>
    <w:rsid w:val="00EB7C0D"/>
    <w:rsid w:val="00EB7D26"/>
    <w:rsid w:val="00EB7D66"/>
    <w:rsid w:val="00EB7E78"/>
    <w:rsid w:val="00EC0172"/>
    <w:rsid w:val="00EC01E5"/>
    <w:rsid w:val="00EC021D"/>
    <w:rsid w:val="00EC0286"/>
    <w:rsid w:val="00EC02CB"/>
    <w:rsid w:val="00EC0376"/>
    <w:rsid w:val="00EC0453"/>
    <w:rsid w:val="00EC0511"/>
    <w:rsid w:val="00EC0536"/>
    <w:rsid w:val="00EC0721"/>
    <w:rsid w:val="00EC076A"/>
    <w:rsid w:val="00EC08EF"/>
    <w:rsid w:val="00EC0904"/>
    <w:rsid w:val="00EC0931"/>
    <w:rsid w:val="00EC0975"/>
    <w:rsid w:val="00EC0996"/>
    <w:rsid w:val="00EC0BC3"/>
    <w:rsid w:val="00EC0CB5"/>
    <w:rsid w:val="00EC0D07"/>
    <w:rsid w:val="00EC0D4D"/>
    <w:rsid w:val="00EC0D56"/>
    <w:rsid w:val="00EC0E49"/>
    <w:rsid w:val="00EC0E67"/>
    <w:rsid w:val="00EC0EED"/>
    <w:rsid w:val="00EC1061"/>
    <w:rsid w:val="00EC10DC"/>
    <w:rsid w:val="00EC118E"/>
    <w:rsid w:val="00EC1203"/>
    <w:rsid w:val="00EC128B"/>
    <w:rsid w:val="00EC14F8"/>
    <w:rsid w:val="00EC1501"/>
    <w:rsid w:val="00EC1537"/>
    <w:rsid w:val="00EC160F"/>
    <w:rsid w:val="00EC16EB"/>
    <w:rsid w:val="00EC17F0"/>
    <w:rsid w:val="00EC1853"/>
    <w:rsid w:val="00EC188E"/>
    <w:rsid w:val="00EC19C8"/>
    <w:rsid w:val="00EC19E7"/>
    <w:rsid w:val="00EC19FF"/>
    <w:rsid w:val="00EC1A30"/>
    <w:rsid w:val="00EC1AFA"/>
    <w:rsid w:val="00EC1BA3"/>
    <w:rsid w:val="00EC1CB3"/>
    <w:rsid w:val="00EC1D09"/>
    <w:rsid w:val="00EC1D0B"/>
    <w:rsid w:val="00EC1E19"/>
    <w:rsid w:val="00EC1F49"/>
    <w:rsid w:val="00EC1FD4"/>
    <w:rsid w:val="00EC2035"/>
    <w:rsid w:val="00EC208C"/>
    <w:rsid w:val="00EC218B"/>
    <w:rsid w:val="00EC21CF"/>
    <w:rsid w:val="00EC22DA"/>
    <w:rsid w:val="00EC2441"/>
    <w:rsid w:val="00EC2479"/>
    <w:rsid w:val="00EC2671"/>
    <w:rsid w:val="00EC2813"/>
    <w:rsid w:val="00EC28A4"/>
    <w:rsid w:val="00EC28E9"/>
    <w:rsid w:val="00EC2917"/>
    <w:rsid w:val="00EC2974"/>
    <w:rsid w:val="00EC29B8"/>
    <w:rsid w:val="00EC2A7F"/>
    <w:rsid w:val="00EC2ACA"/>
    <w:rsid w:val="00EC2AF2"/>
    <w:rsid w:val="00EC2B49"/>
    <w:rsid w:val="00EC2B81"/>
    <w:rsid w:val="00EC2B8E"/>
    <w:rsid w:val="00EC2C03"/>
    <w:rsid w:val="00EC2C15"/>
    <w:rsid w:val="00EC2C38"/>
    <w:rsid w:val="00EC2C89"/>
    <w:rsid w:val="00EC2CA2"/>
    <w:rsid w:val="00EC2D03"/>
    <w:rsid w:val="00EC2D45"/>
    <w:rsid w:val="00EC2F57"/>
    <w:rsid w:val="00EC3065"/>
    <w:rsid w:val="00EC30AA"/>
    <w:rsid w:val="00EC30D6"/>
    <w:rsid w:val="00EC30F9"/>
    <w:rsid w:val="00EC3111"/>
    <w:rsid w:val="00EC311E"/>
    <w:rsid w:val="00EC32F7"/>
    <w:rsid w:val="00EC3391"/>
    <w:rsid w:val="00EC341C"/>
    <w:rsid w:val="00EC3465"/>
    <w:rsid w:val="00EC349F"/>
    <w:rsid w:val="00EC34B5"/>
    <w:rsid w:val="00EC3584"/>
    <w:rsid w:val="00EC360B"/>
    <w:rsid w:val="00EC36B3"/>
    <w:rsid w:val="00EC3709"/>
    <w:rsid w:val="00EC378A"/>
    <w:rsid w:val="00EC3892"/>
    <w:rsid w:val="00EC38E3"/>
    <w:rsid w:val="00EC38F7"/>
    <w:rsid w:val="00EC3917"/>
    <w:rsid w:val="00EC3A53"/>
    <w:rsid w:val="00EC3AB6"/>
    <w:rsid w:val="00EC3B1C"/>
    <w:rsid w:val="00EC3B89"/>
    <w:rsid w:val="00EC3B94"/>
    <w:rsid w:val="00EC3D49"/>
    <w:rsid w:val="00EC3D7C"/>
    <w:rsid w:val="00EC3E53"/>
    <w:rsid w:val="00EC3FBF"/>
    <w:rsid w:val="00EC4174"/>
    <w:rsid w:val="00EC41E5"/>
    <w:rsid w:val="00EC41E6"/>
    <w:rsid w:val="00EC4225"/>
    <w:rsid w:val="00EC4287"/>
    <w:rsid w:val="00EC4378"/>
    <w:rsid w:val="00EC4406"/>
    <w:rsid w:val="00EC44A2"/>
    <w:rsid w:val="00EC4564"/>
    <w:rsid w:val="00EC46BE"/>
    <w:rsid w:val="00EC474A"/>
    <w:rsid w:val="00EC4802"/>
    <w:rsid w:val="00EC486C"/>
    <w:rsid w:val="00EC48A1"/>
    <w:rsid w:val="00EC498D"/>
    <w:rsid w:val="00EC4B39"/>
    <w:rsid w:val="00EC4B7A"/>
    <w:rsid w:val="00EC4B97"/>
    <w:rsid w:val="00EC4BAD"/>
    <w:rsid w:val="00EC4D2A"/>
    <w:rsid w:val="00EC4DB0"/>
    <w:rsid w:val="00EC4DB9"/>
    <w:rsid w:val="00EC4E58"/>
    <w:rsid w:val="00EC4E8C"/>
    <w:rsid w:val="00EC4F82"/>
    <w:rsid w:val="00EC5060"/>
    <w:rsid w:val="00EC5086"/>
    <w:rsid w:val="00EC511D"/>
    <w:rsid w:val="00EC5163"/>
    <w:rsid w:val="00EC5193"/>
    <w:rsid w:val="00EC5215"/>
    <w:rsid w:val="00EC52E2"/>
    <w:rsid w:val="00EC5306"/>
    <w:rsid w:val="00EC532C"/>
    <w:rsid w:val="00EC5360"/>
    <w:rsid w:val="00EC56E8"/>
    <w:rsid w:val="00EC58EE"/>
    <w:rsid w:val="00EC5903"/>
    <w:rsid w:val="00EC5ABB"/>
    <w:rsid w:val="00EC5AD2"/>
    <w:rsid w:val="00EC5C71"/>
    <w:rsid w:val="00EC5CA8"/>
    <w:rsid w:val="00EC5CB1"/>
    <w:rsid w:val="00EC5DA8"/>
    <w:rsid w:val="00EC5DC9"/>
    <w:rsid w:val="00EC5E4A"/>
    <w:rsid w:val="00EC5E84"/>
    <w:rsid w:val="00EC5EB9"/>
    <w:rsid w:val="00EC5EE1"/>
    <w:rsid w:val="00EC5EF3"/>
    <w:rsid w:val="00EC5F2C"/>
    <w:rsid w:val="00EC6006"/>
    <w:rsid w:val="00EC6051"/>
    <w:rsid w:val="00EC615B"/>
    <w:rsid w:val="00EC61E9"/>
    <w:rsid w:val="00EC6269"/>
    <w:rsid w:val="00EC62FF"/>
    <w:rsid w:val="00EC6329"/>
    <w:rsid w:val="00EC63C9"/>
    <w:rsid w:val="00EC63E2"/>
    <w:rsid w:val="00EC6465"/>
    <w:rsid w:val="00EC6513"/>
    <w:rsid w:val="00EC6517"/>
    <w:rsid w:val="00EC661B"/>
    <w:rsid w:val="00EC6624"/>
    <w:rsid w:val="00EC66B1"/>
    <w:rsid w:val="00EC66BF"/>
    <w:rsid w:val="00EC6774"/>
    <w:rsid w:val="00EC6815"/>
    <w:rsid w:val="00EC6840"/>
    <w:rsid w:val="00EC68F6"/>
    <w:rsid w:val="00EC6A6B"/>
    <w:rsid w:val="00EC6AEA"/>
    <w:rsid w:val="00EC6B94"/>
    <w:rsid w:val="00EC6C2B"/>
    <w:rsid w:val="00EC6C4A"/>
    <w:rsid w:val="00EC6C9E"/>
    <w:rsid w:val="00EC6D64"/>
    <w:rsid w:val="00EC6E74"/>
    <w:rsid w:val="00EC6ED5"/>
    <w:rsid w:val="00EC7188"/>
    <w:rsid w:val="00EC7248"/>
    <w:rsid w:val="00EC724D"/>
    <w:rsid w:val="00EC73FB"/>
    <w:rsid w:val="00EC7413"/>
    <w:rsid w:val="00EC7488"/>
    <w:rsid w:val="00EC7544"/>
    <w:rsid w:val="00EC758C"/>
    <w:rsid w:val="00EC75D9"/>
    <w:rsid w:val="00EC7748"/>
    <w:rsid w:val="00EC7846"/>
    <w:rsid w:val="00EC78D6"/>
    <w:rsid w:val="00EC7924"/>
    <w:rsid w:val="00EC792B"/>
    <w:rsid w:val="00EC79BD"/>
    <w:rsid w:val="00EC79C6"/>
    <w:rsid w:val="00EC7A33"/>
    <w:rsid w:val="00EC7BAA"/>
    <w:rsid w:val="00EC7C19"/>
    <w:rsid w:val="00EC7C8F"/>
    <w:rsid w:val="00EC7E4C"/>
    <w:rsid w:val="00ED0018"/>
    <w:rsid w:val="00ED0097"/>
    <w:rsid w:val="00ED0242"/>
    <w:rsid w:val="00ED0397"/>
    <w:rsid w:val="00ED03AF"/>
    <w:rsid w:val="00ED03B6"/>
    <w:rsid w:val="00ED040E"/>
    <w:rsid w:val="00ED0452"/>
    <w:rsid w:val="00ED051F"/>
    <w:rsid w:val="00ED0525"/>
    <w:rsid w:val="00ED0564"/>
    <w:rsid w:val="00ED0843"/>
    <w:rsid w:val="00ED0904"/>
    <w:rsid w:val="00ED0911"/>
    <w:rsid w:val="00ED0AD1"/>
    <w:rsid w:val="00ED0B4D"/>
    <w:rsid w:val="00ED0C2A"/>
    <w:rsid w:val="00ED0D94"/>
    <w:rsid w:val="00ED0DE4"/>
    <w:rsid w:val="00ED0EA6"/>
    <w:rsid w:val="00ED1005"/>
    <w:rsid w:val="00ED10CB"/>
    <w:rsid w:val="00ED1302"/>
    <w:rsid w:val="00ED13A2"/>
    <w:rsid w:val="00ED13BC"/>
    <w:rsid w:val="00ED13EC"/>
    <w:rsid w:val="00ED1496"/>
    <w:rsid w:val="00ED1545"/>
    <w:rsid w:val="00ED159F"/>
    <w:rsid w:val="00ED15D3"/>
    <w:rsid w:val="00ED162C"/>
    <w:rsid w:val="00ED166D"/>
    <w:rsid w:val="00ED168C"/>
    <w:rsid w:val="00ED1842"/>
    <w:rsid w:val="00ED18A7"/>
    <w:rsid w:val="00ED19BB"/>
    <w:rsid w:val="00ED19DF"/>
    <w:rsid w:val="00ED1A17"/>
    <w:rsid w:val="00ED1A3F"/>
    <w:rsid w:val="00ED1B3C"/>
    <w:rsid w:val="00ED1C8B"/>
    <w:rsid w:val="00ED1D73"/>
    <w:rsid w:val="00ED1EAD"/>
    <w:rsid w:val="00ED1F36"/>
    <w:rsid w:val="00ED1F3C"/>
    <w:rsid w:val="00ED20B0"/>
    <w:rsid w:val="00ED20FC"/>
    <w:rsid w:val="00ED2116"/>
    <w:rsid w:val="00ED2151"/>
    <w:rsid w:val="00ED2180"/>
    <w:rsid w:val="00ED232C"/>
    <w:rsid w:val="00ED2424"/>
    <w:rsid w:val="00ED2479"/>
    <w:rsid w:val="00ED24A9"/>
    <w:rsid w:val="00ED24CB"/>
    <w:rsid w:val="00ED24CE"/>
    <w:rsid w:val="00ED24DE"/>
    <w:rsid w:val="00ED252F"/>
    <w:rsid w:val="00ED25E7"/>
    <w:rsid w:val="00ED2664"/>
    <w:rsid w:val="00ED266A"/>
    <w:rsid w:val="00ED2689"/>
    <w:rsid w:val="00ED26E8"/>
    <w:rsid w:val="00ED27AF"/>
    <w:rsid w:val="00ED2892"/>
    <w:rsid w:val="00ED28CC"/>
    <w:rsid w:val="00ED2919"/>
    <w:rsid w:val="00ED295D"/>
    <w:rsid w:val="00ED2A8B"/>
    <w:rsid w:val="00ED2AE2"/>
    <w:rsid w:val="00ED2B22"/>
    <w:rsid w:val="00ED2BF6"/>
    <w:rsid w:val="00ED2C06"/>
    <w:rsid w:val="00ED2C29"/>
    <w:rsid w:val="00ED2C43"/>
    <w:rsid w:val="00ED2D17"/>
    <w:rsid w:val="00ED2D3D"/>
    <w:rsid w:val="00ED2D58"/>
    <w:rsid w:val="00ED2DB2"/>
    <w:rsid w:val="00ED2DBF"/>
    <w:rsid w:val="00ED2F1A"/>
    <w:rsid w:val="00ED2F75"/>
    <w:rsid w:val="00ED3054"/>
    <w:rsid w:val="00ED3072"/>
    <w:rsid w:val="00ED30A1"/>
    <w:rsid w:val="00ED3228"/>
    <w:rsid w:val="00ED3245"/>
    <w:rsid w:val="00ED328D"/>
    <w:rsid w:val="00ED32D9"/>
    <w:rsid w:val="00ED334D"/>
    <w:rsid w:val="00ED335A"/>
    <w:rsid w:val="00ED335C"/>
    <w:rsid w:val="00ED3467"/>
    <w:rsid w:val="00ED34BC"/>
    <w:rsid w:val="00ED354C"/>
    <w:rsid w:val="00ED3665"/>
    <w:rsid w:val="00ED368C"/>
    <w:rsid w:val="00ED37E2"/>
    <w:rsid w:val="00ED3811"/>
    <w:rsid w:val="00ED3836"/>
    <w:rsid w:val="00ED3919"/>
    <w:rsid w:val="00ED3977"/>
    <w:rsid w:val="00ED3982"/>
    <w:rsid w:val="00ED39BE"/>
    <w:rsid w:val="00ED3AE8"/>
    <w:rsid w:val="00ED3AF1"/>
    <w:rsid w:val="00ED3AFD"/>
    <w:rsid w:val="00ED3BA0"/>
    <w:rsid w:val="00ED3BA2"/>
    <w:rsid w:val="00ED3BD1"/>
    <w:rsid w:val="00ED3C43"/>
    <w:rsid w:val="00ED3D43"/>
    <w:rsid w:val="00ED3DBC"/>
    <w:rsid w:val="00ED3DC3"/>
    <w:rsid w:val="00ED3EA6"/>
    <w:rsid w:val="00ED3EE6"/>
    <w:rsid w:val="00ED3F83"/>
    <w:rsid w:val="00ED3F8C"/>
    <w:rsid w:val="00ED4073"/>
    <w:rsid w:val="00ED40E8"/>
    <w:rsid w:val="00ED411E"/>
    <w:rsid w:val="00ED4139"/>
    <w:rsid w:val="00ED418C"/>
    <w:rsid w:val="00ED4235"/>
    <w:rsid w:val="00ED4308"/>
    <w:rsid w:val="00ED432F"/>
    <w:rsid w:val="00ED4406"/>
    <w:rsid w:val="00ED4532"/>
    <w:rsid w:val="00ED46A3"/>
    <w:rsid w:val="00ED46E1"/>
    <w:rsid w:val="00ED4801"/>
    <w:rsid w:val="00ED4826"/>
    <w:rsid w:val="00ED4856"/>
    <w:rsid w:val="00ED48DF"/>
    <w:rsid w:val="00ED48E7"/>
    <w:rsid w:val="00ED494D"/>
    <w:rsid w:val="00ED496D"/>
    <w:rsid w:val="00ED4A44"/>
    <w:rsid w:val="00ED4AE0"/>
    <w:rsid w:val="00ED4B2D"/>
    <w:rsid w:val="00ED4BC7"/>
    <w:rsid w:val="00ED4C3C"/>
    <w:rsid w:val="00ED4D58"/>
    <w:rsid w:val="00ED4E74"/>
    <w:rsid w:val="00ED4FD7"/>
    <w:rsid w:val="00ED4FE1"/>
    <w:rsid w:val="00ED5006"/>
    <w:rsid w:val="00ED5171"/>
    <w:rsid w:val="00ED51CB"/>
    <w:rsid w:val="00ED51CD"/>
    <w:rsid w:val="00ED5302"/>
    <w:rsid w:val="00ED5380"/>
    <w:rsid w:val="00ED53A8"/>
    <w:rsid w:val="00ED53DB"/>
    <w:rsid w:val="00ED541A"/>
    <w:rsid w:val="00ED548D"/>
    <w:rsid w:val="00ED54A8"/>
    <w:rsid w:val="00ED54CA"/>
    <w:rsid w:val="00ED574C"/>
    <w:rsid w:val="00ED5796"/>
    <w:rsid w:val="00ED5879"/>
    <w:rsid w:val="00ED5984"/>
    <w:rsid w:val="00ED59C7"/>
    <w:rsid w:val="00ED5A38"/>
    <w:rsid w:val="00ED5AE9"/>
    <w:rsid w:val="00ED5BB8"/>
    <w:rsid w:val="00ED5BEB"/>
    <w:rsid w:val="00ED5CAA"/>
    <w:rsid w:val="00ED5CB1"/>
    <w:rsid w:val="00ED5D23"/>
    <w:rsid w:val="00ED5E49"/>
    <w:rsid w:val="00ED5E9A"/>
    <w:rsid w:val="00ED5EA1"/>
    <w:rsid w:val="00ED5F66"/>
    <w:rsid w:val="00ED60B0"/>
    <w:rsid w:val="00ED6156"/>
    <w:rsid w:val="00ED615F"/>
    <w:rsid w:val="00ED62BB"/>
    <w:rsid w:val="00ED62C4"/>
    <w:rsid w:val="00ED63A5"/>
    <w:rsid w:val="00ED648D"/>
    <w:rsid w:val="00ED6531"/>
    <w:rsid w:val="00ED6587"/>
    <w:rsid w:val="00ED65DF"/>
    <w:rsid w:val="00ED65FA"/>
    <w:rsid w:val="00ED660A"/>
    <w:rsid w:val="00ED66BA"/>
    <w:rsid w:val="00ED6958"/>
    <w:rsid w:val="00ED6A87"/>
    <w:rsid w:val="00ED6AE4"/>
    <w:rsid w:val="00ED6B24"/>
    <w:rsid w:val="00ED6BCF"/>
    <w:rsid w:val="00ED6CA9"/>
    <w:rsid w:val="00ED6D6B"/>
    <w:rsid w:val="00ED6D74"/>
    <w:rsid w:val="00ED6D8A"/>
    <w:rsid w:val="00ED6DC7"/>
    <w:rsid w:val="00ED6E79"/>
    <w:rsid w:val="00ED6F4C"/>
    <w:rsid w:val="00ED6FCE"/>
    <w:rsid w:val="00ED704A"/>
    <w:rsid w:val="00ED705A"/>
    <w:rsid w:val="00ED716C"/>
    <w:rsid w:val="00ED7182"/>
    <w:rsid w:val="00ED71A7"/>
    <w:rsid w:val="00ED71C4"/>
    <w:rsid w:val="00ED720E"/>
    <w:rsid w:val="00ED7327"/>
    <w:rsid w:val="00ED7342"/>
    <w:rsid w:val="00ED73F1"/>
    <w:rsid w:val="00ED740D"/>
    <w:rsid w:val="00ED7427"/>
    <w:rsid w:val="00ED7468"/>
    <w:rsid w:val="00ED7487"/>
    <w:rsid w:val="00ED74CE"/>
    <w:rsid w:val="00ED76E1"/>
    <w:rsid w:val="00ED77A8"/>
    <w:rsid w:val="00ED782C"/>
    <w:rsid w:val="00ED78D2"/>
    <w:rsid w:val="00ED78EA"/>
    <w:rsid w:val="00ED796D"/>
    <w:rsid w:val="00ED79AF"/>
    <w:rsid w:val="00ED79CE"/>
    <w:rsid w:val="00ED7A5B"/>
    <w:rsid w:val="00ED7BC0"/>
    <w:rsid w:val="00ED7BDD"/>
    <w:rsid w:val="00ED7BEC"/>
    <w:rsid w:val="00ED7C68"/>
    <w:rsid w:val="00ED7CA6"/>
    <w:rsid w:val="00ED7CB2"/>
    <w:rsid w:val="00ED7D49"/>
    <w:rsid w:val="00ED7E7C"/>
    <w:rsid w:val="00ED7EAA"/>
    <w:rsid w:val="00ED7ECC"/>
    <w:rsid w:val="00ED7FA1"/>
    <w:rsid w:val="00ED92E5"/>
    <w:rsid w:val="00EE0118"/>
    <w:rsid w:val="00EE0119"/>
    <w:rsid w:val="00EE011D"/>
    <w:rsid w:val="00EE01F3"/>
    <w:rsid w:val="00EE0298"/>
    <w:rsid w:val="00EE02A1"/>
    <w:rsid w:val="00EE02EF"/>
    <w:rsid w:val="00EE0364"/>
    <w:rsid w:val="00EE0763"/>
    <w:rsid w:val="00EE0A16"/>
    <w:rsid w:val="00EE0A74"/>
    <w:rsid w:val="00EE0A9F"/>
    <w:rsid w:val="00EE0C01"/>
    <w:rsid w:val="00EE0D68"/>
    <w:rsid w:val="00EE0E9A"/>
    <w:rsid w:val="00EE0F13"/>
    <w:rsid w:val="00EE0F20"/>
    <w:rsid w:val="00EE0FA7"/>
    <w:rsid w:val="00EE104B"/>
    <w:rsid w:val="00EE1073"/>
    <w:rsid w:val="00EE108C"/>
    <w:rsid w:val="00EE118D"/>
    <w:rsid w:val="00EE1261"/>
    <w:rsid w:val="00EE12A8"/>
    <w:rsid w:val="00EE134C"/>
    <w:rsid w:val="00EE139A"/>
    <w:rsid w:val="00EE1482"/>
    <w:rsid w:val="00EE1503"/>
    <w:rsid w:val="00EE1897"/>
    <w:rsid w:val="00EE1957"/>
    <w:rsid w:val="00EE1A8C"/>
    <w:rsid w:val="00EE1B7A"/>
    <w:rsid w:val="00EE1D6E"/>
    <w:rsid w:val="00EE1DD4"/>
    <w:rsid w:val="00EE1E15"/>
    <w:rsid w:val="00EE1E40"/>
    <w:rsid w:val="00EE1E48"/>
    <w:rsid w:val="00EE1EA2"/>
    <w:rsid w:val="00EE1EB7"/>
    <w:rsid w:val="00EE1F51"/>
    <w:rsid w:val="00EE1FAE"/>
    <w:rsid w:val="00EE202D"/>
    <w:rsid w:val="00EE21E6"/>
    <w:rsid w:val="00EE222F"/>
    <w:rsid w:val="00EE22A3"/>
    <w:rsid w:val="00EE22AD"/>
    <w:rsid w:val="00EE249E"/>
    <w:rsid w:val="00EE251F"/>
    <w:rsid w:val="00EE259C"/>
    <w:rsid w:val="00EE262E"/>
    <w:rsid w:val="00EE277E"/>
    <w:rsid w:val="00EE2870"/>
    <w:rsid w:val="00EE28A8"/>
    <w:rsid w:val="00EE28EB"/>
    <w:rsid w:val="00EE2930"/>
    <w:rsid w:val="00EE296D"/>
    <w:rsid w:val="00EE29A1"/>
    <w:rsid w:val="00EE2A34"/>
    <w:rsid w:val="00EE2A5E"/>
    <w:rsid w:val="00EE2B6F"/>
    <w:rsid w:val="00EE2DAC"/>
    <w:rsid w:val="00EE2DB4"/>
    <w:rsid w:val="00EE2DD4"/>
    <w:rsid w:val="00EE2E12"/>
    <w:rsid w:val="00EE2F7B"/>
    <w:rsid w:val="00EE3060"/>
    <w:rsid w:val="00EE30A5"/>
    <w:rsid w:val="00EE30CE"/>
    <w:rsid w:val="00EE30ED"/>
    <w:rsid w:val="00EE3113"/>
    <w:rsid w:val="00EE3170"/>
    <w:rsid w:val="00EE32D3"/>
    <w:rsid w:val="00EE3304"/>
    <w:rsid w:val="00EE3307"/>
    <w:rsid w:val="00EE335B"/>
    <w:rsid w:val="00EE33E7"/>
    <w:rsid w:val="00EE3623"/>
    <w:rsid w:val="00EE3754"/>
    <w:rsid w:val="00EE37EA"/>
    <w:rsid w:val="00EE38F6"/>
    <w:rsid w:val="00EE3A1B"/>
    <w:rsid w:val="00EE3A45"/>
    <w:rsid w:val="00EE3A55"/>
    <w:rsid w:val="00EE3A87"/>
    <w:rsid w:val="00EE3ACB"/>
    <w:rsid w:val="00EE3BD3"/>
    <w:rsid w:val="00EE3CDE"/>
    <w:rsid w:val="00EE3D4C"/>
    <w:rsid w:val="00EE3EB3"/>
    <w:rsid w:val="00EE3ED7"/>
    <w:rsid w:val="00EE3F96"/>
    <w:rsid w:val="00EE401F"/>
    <w:rsid w:val="00EE4054"/>
    <w:rsid w:val="00EE407A"/>
    <w:rsid w:val="00EE40FC"/>
    <w:rsid w:val="00EE4131"/>
    <w:rsid w:val="00EE4172"/>
    <w:rsid w:val="00EE41E2"/>
    <w:rsid w:val="00EE4358"/>
    <w:rsid w:val="00EE43A9"/>
    <w:rsid w:val="00EE43D0"/>
    <w:rsid w:val="00EE43D4"/>
    <w:rsid w:val="00EE4404"/>
    <w:rsid w:val="00EE4422"/>
    <w:rsid w:val="00EE46B9"/>
    <w:rsid w:val="00EE4705"/>
    <w:rsid w:val="00EE47BC"/>
    <w:rsid w:val="00EE487B"/>
    <w:rsid w:val="00EE48A3"/>
    <w:rsid w:val="00EE48C0"/>
    <w:rsid w:val="00EE48E0"/>
    <w:rsid w:val="00EE4918"/>
    <w:rsid w:val="00EE498E"/>
    <w:rsid w:val="00EE4A40"/>
    <w:rsid w:val="00EE4A5E"/>
    <w:rsid w:val="00EE4ADD"/>
    <w:rsid w:val="00EE4B0A"/>
    <w:rsid w:val="00EE4B18"/>
    <w:rsid w:val="00EE4B5D"/>
    <w:rsid w:val="00EE4DA8"/>
    <w:rsid w:val="00EE4DD9"/>
    <w:rsid w:val="00EE4FDA"/>
    <w:rsid w:val="00EE5146"/>
    <w:rsid w:val="00EE51FF"/>
    <w:rsid w:val="00EE52E8"/>
    <w:rsid w:val="00EE54DC"/>
    <w:rsid w:val="00EE5503"/>
    <w:rsid w:val="00EE5505"/>
    <w:rsid w:val="00EE551D"/>
    <w:rsid w:val="00EE5581"/>
    <w:rsid w:val="00EE5595"/>
    <w:rsid w:val="00EE5761"/>
    <w:rsid w:val="00EE577A"/>
    <w:rsid w:val="00EE57C4"/>
    <w:rsid w:val="00EE58CB"/>
    <w:rsid w:val="00EE5981"/>
    <w:rsid w:val="00EE5A3E"/>
    <w:rsid w:val="00EE5A58"/>
    <w:rsid w:val="00EE5CE1"/>
    <w:rsid w:val="00EE5D5B"/>
    <w:rsid w:val="00EE5E37"/>
    <w:rsid w:val="00EE5EB8"/>
    <w:rsid w:val="00EE5F3D"/>
    <w:rsid w:val="00EE5F40"/>
    <w:rsid w:val="00EE6049"/>
    <w:rsid w:val="00EE61C7"/>
    <w:rsid w:val="00EE6300"/>
    <w:rsid w:val="00EE637E"/>
    <w:rsid w:val="00EE63AA"/>
    <w:rsid w:val="00EE63BA"/>
    <w:rsid w:val="00EE6494"/>
    <w:rsid w:val="00EE64FE"/>
    <w:rsid w:val="00EE651A"/>
    <w:rsid w:val="00EE65CA"/>
    <w:rsid w:val="00EE6695"/>
    <w:rsid w:val="00EE672C"/>
    <w:rsid w:val="00EE67B7"/>
    <w:rsid w:val="00EE67E0"/>
    <w:rsid w:val="00EE6813"/>
    <w:rsid w:val="00EE68A0"/>
    <w:rsid w:val="00EE68C4"/>
    <w:rsid w:val="00EE693F"/>
    <w:rsid w:val="00EE6992"/>
    <w:rsid w:val="00EE6AD4"/>
    <w:rsid w:val="00EE6B2C"/>
    <w:rsid w:val="00EE6BB9"/>
    <w:rsid w:val="00EE6C56"/>
    <w:rsid w:val="00EE6C96"/>
    <w:rsid w:val="00EE6CCA"/>
    <w:rsid w:val="00EE6CDC"/>
    <w:rsid w:val="00EE6DD6"/>
    <w:rsid w:val="00EE6E39"/>
    <w:rsid w:val="00EE6EF2"/>
    <w:rsid w:val="00EE6F3B"/>
    <w:rsid w:val="00EE6F60"/>
    <w:rsid w:val="00EE7352"/>
    <w:rsid w:val="00EE7391"/>
    <w:rsid w:val="00EE73A5"/>
    <w:rsid w:val="00EE73B1"/>
    <w:rsid w:val="00EE73FD"/>
    <w:rsid w:val="00EE7410"/>
    <w:rsid w:val="00EE747F"/>
    <w:rsid w:val="00EE74E3"/>
    <w:rsid w:val="00EE7533"/>
    <w:rsid w:val="00EE7596"/>
    <w:rsid w:val="00EE76DC"/>
    <w:rsid w:val="00EE76EB"/>
    <w:rsid w:val="00EE77D7"/>
    <w:rsid w:val="00EE78C8"/>
    <w:rsid w:val="00EE7920"/>
    <w:rsid w:val="00EE7937"/>
    <w:rsid w:val="00EE796A"/>
    <w:rsid w:val="00EE79B0"/>
    <w:rsid w:val="00EE79BB"/>
    <w:rsid w:val="00EE7A0C"/>
    <w:rsid w:val="00EE7A1E"/>
    <w:rsid w:val="00EE7A41"/>
    <w:rsid w:val="00EE7A4B"/>
    <w:rsid w:val="00EE7A80"/>
    <w:rsid w:val="00EE7ABC"/>
    <w:rsid w:val="00EE7B7A"/>
    <w:rsid w:val="00EE7BF1"/>
    <w:rsid w:val="00EE7D8A"/>
    <w:rsid w:val="00EE7EE1"/>
    <w:rsid w:val="00EE7EF5"/>
    <w:rsid w:val="00EE7FBB"/>
    <w:rsid w:val="00EF008E"/>
    <w:rsid w:val="00EF00DA"/>
    <w:rsid w:val="00EF0103"/>
    <w:rsid w:val="00EF0146"/>
    <w:rsid w:val="00EF0162"/>
    <w:rsid w:val="00EF01AE"/>
    <w:rsid w:val="00EF024A"/>
    <w:rsid w:val="00EF0368"/>
    <w:rsid w:val="00EF0462"/>
    <w:rsid w:val="00EF0530"/>
    <w:rsid w:val="00EF0556"/>
    <w:rsid w:val="00EF0578"/>
    <w:rsid w:val="00EF0666"/>
    <w:rsid w:val="00EF0682"/>
    <w:rsid w:val="00EF06F2"/>
    <w:rsid w:val="00EF072F"/>
    <w:rsid w:val="00EF07F4"/>
    <w:rsid w:val="00EF085C"/>
    <w:rsid w:val="00EF085E"/>
    <w:rsid w:val="00EF08E3"/>
    <w:rsid w:val="00EF0900"/>
    <w:rsid w:val="00EF093E"/>
    <w:rsid w:val="00EF095B"/>
    <w:rsid w:val="00EF0A45"/>
    <w:rsid w:val="00EF0A88"/>
    <w:rsid w:val="00EF0B11"/>
    <w:rsid w:val="00EF0B18"/>
    <w:rsid w:val="00EF0D69"/>
    <w:rsid w:val="00EF0D7C"/>
    <w:rsid w:val="00EF0DAE"/>
    <w:rsid w:val="00EF0E4B"/>
    <w:rsid w:val="00EF0E7F"/>
    <w:rsid w:val="00EF0EE4"/>
    <w:rsid w:val="00EF0F92"/>
    <w:rsid w:val="00EF1004"/>
    <w:rsid w:val="00EF1008"/>
    <w:rsid w:val="00EF1063"/>
    <w:rsid w:val="00EF1077"/>
    <w:rsid w:val="00EF10A1"/>
    <w:rsid w:val="00EF10D7"/>
    <w:rsid w:val="00EF110C"/>
    <w:rsid w:val="00EF123B"/>
    <w:rsid w:val="00EF136B"/>
    <w:rsid w:val="00EF13A5"/>
    <w:rsid w:val="00EF13F0"/>
    <w:rsid w:val="00EF1447"/>
    <w:rsid w:val="00EF1763"/>
    <w:rsid w:val="00EF17AB"/>
    <w:rsid w:val="00EF17C9"/>
    <w:rsid w:val="00EF1A30"/>
    <w:rsid w:val="00EF1A92"/>
    <w:rsid w:val="00EF1AD2"/>
    <w:rsid w:val="00EF1AD5"/>
    <w:rsid w:val="00EF1B4C"/>
    <w:rsid w:val="00EF1BC6"/>
    <w:rsid w:val="00EF1C1D"/>
    <w:rsid w:val="00EF1CB8"/>
    <w:rsid w:val="00EF1D15"/>
    <w:rsid w:val="00EF1E3B"/>
    <w:rsid w:val="00EF1E59"/>
    <w:rsid w:val="00EF1FAD"/>
    <w:rsid w:val="00EF1FE3"/>
    <w:rsid w:val="00EF20FD"/>
    <w:rsid w:val="00EF21B6"/>
    <w:rsid w:val="00EF22E0"/>
    <w:rsid w:val="00EF22EE"/>
    <w:rsid w:val="00EF23B8"/>
    <w:rsid w:val="00EF2424"/>
    <w:rsid w:val="00EF2429"/>
    <w:rsid w:val="00EF257A"/>
    <w:rsid w:val="00EF26BE"/>
    <w:rsid w:val="00EF274D"/>
    <w:rsid w:val="00EF27B0"/>
    <w:rsid w:val="00EF27B8"/>
    <w:rsid w:val="00EF2873"/>
    <w:rsid w:val="00EF28D3"/>
    <w:rsid w:val="00EF28F6"/>
    <w:rsid w:val="00EF2A24"/>
    <w:rsid w:val="00EF2A7E"/>
    <w:rsid w:val="00EF2B71"/>
    <w:rsid w:val="00EF2BC4"/>
    <w:rsid w:val="00EF2BEE"/>
    <w:rsid w:val="00EF2C11"/>
    <w:rsid w:val="00EF2CEF"/>
    <w:rsid w:val="00EF2D6B"/>
    <w:rsid w:val="00EF2D76"/>
    <w:rsid w:val="00EF2F64"/>
    <w:rsid w:val="00EF311A"/>
    <w:rsid w:val="00EF3189"/>
    <w:rsid w:val="00EF32CC"/>
    <w:rsid w:val="00EF32D7"/>
    <w:rsid w:val="00EF34B7"/>
    <w:rsid w:val="00EF3661"/>
    <w:rsid w:val="00EF3815"/>
    <w:rsid w:val="00EF3852"/>
    <w:rsid w:val="00EF3901"/>
    <w:rsid w:val="00EF3962"/>
    <w:rsid w:val="00EF39CD"/>
    <w:rsid w:val="00EF3A92"/>
    <w:rsid w:val="00EF3B0D"/>
    <w:rsid w:val="00EF3BA3"/>
    <w:rsid w:val="00EF3BD5"/>
    <w:rsid w:val="00EF3BE9"/>
    <w:rsid w:val="00EF3C24"/>
    <w:rsid w:val="00EF3D10"/>
    <w:rsid w:val="00EF3D2E"/>
    <w:rsid w:val="00EF3E3C"/>
    <w:rsid w:val="00EF3EB8"/>
    <w:rsid w:val="00EF3F92"/>
    <w:rsid w:val="00EF4049"/>
    <w:rsid w:val="00EF4198"/>
    <w:rsid w:val="00EF41C3"/>
    <w:rsid w:val="00EF429E"/>
    <w:rsid w:val="00EF430B"/>
    <w:rsid w:val="00EF4396"/>
    <w:rsid w:val="00EF440B"/>
    <w:rsid w:val="00EF443C"/>
    <w:rsid w:val="00EF4591"/>
    <w:rsid w:val="00EF4598"/>
    <w:rsid w:val="00EF45CB"/>
    <w:rsid w:val="00EF4684"/>
    <w:rsid w:val="00EF48D0"/>
    <w:rsid w:val="00EF4A72"/>
    <w:rsid w:val="00EF4B72"/>
    <w:rsid w:val="00EF4B77"/>
    <w:rsid w:val="00EF4BC6"/>
    <w:rsid w:val="00EF4CC4"/>
    <w:rsid w:val="00EF4D15"/>
    <w:rsid w:val="00EF4DF8"/>
    <w:rsid w:val="00EF4EB1"/>
    <w:rsid w:val="00EF4EE8"/>
    <w:rsid w:val="00EF4F07"/>
    <w:rsid w:val="00EF4F91"/>
    <w:rsid w:val="00EF4FDE"/>
    <w:rsid w:val="00EF4FF2"/>
    <w:rsid w:val="00EF5008"/>
    <w:rsid w:val="00EF5022"/>
    <w:rsid w:val="00EF50A8"/>
    <w:rsid w:val="00EF5116"/>
    <w:rsid w:val="00EF517F"/>
    <w:rsid w:val="00EF51BB"/>
    <w:rsid w:val="00EF51BD"/>
    <w:rsid w:val="00EF52CD"/>
    <w:rsid w:val="00EF53AA"/>
    <w:rsid w:val="00EF53F0"/>
    <w:rsid w:val="00EF54B4"/>
    <w:rsid w:val="00EF5587"/>
    <w:rsid w:val="00EF55B2"/>
    <w:rsid w:val="00EF5761"/>
    <w:rsid w:val="00EF590E"/>
    <w:rsid w:val="00EF591E"/>
    <w:rsid w:val="00EF5955"/>
    <w:rsid w:val="00EF5991"/>
    <w:rsid w:val="00EF59D4"/>
    <w:rsid w:val="00EF59E8"/>
    <w:rsid w:val="00EF5BAF"/>
    <w:rsid w:val="00EF5C00"/>
    <w:rsid w:val="00EF5C63"/>
    <w:rsid w:val="00EF5C81"/>
    <w:rsid w:val="00EF5CEA"/>
    <w:rsid w:val="00EF5D10"/>
    <w:rsid w:val="00EF5D1D"/>
    <w:rsid w:val="00EF5F82"/>
    <w:rsid w:val="00EF6029"/>
    <w:rsid w:val="00EF6035"/>
    <w:rsid w:val="00EF614D"/>
    <w:rsid w:val="00EF6175"/>
    <w:rsid w:val="00EF6177"/>
    <w:rsid w:val="00EF626A"/>
    <w:rsid w:val="00EF62F5"/>
    <w:rsid w:val="00EF635B"/>
    <w:rsid w:val="00EF6409"/>
    <w:rsid w:val="00EF652A"/>
    <w:rsid w:val="00EF6606"/>
    <w:rsid w:val="00EF6628"/>
    <w:rsid w:val="00EF6657"/>
    <w:rsid w:val="00EF6700"/>
    <w:rsid w:val="00EF6707"/>
    <w:rsid w:val="00EF683C"/>
    <w:rsid w:val="00EF68E9"/>
    <w:rsid w:val="00EF68FD"/>
    <w:rsid w:val="00EF6942"/>
    <w:rsid w:val="00EF699C"/>
    <w:rsid w:val="00EF6A41"/>
    <w:rsid w:val="00EF6D86"/>
    <w:rsid w:val="00EF6D8F"/>
    <w:rsid w:val="00EF6DEA"/>
    <w:rsid w:val="00EF6EB1"/>
    <w:rsid w:val="00EF6ECF"/>
    <w:rsid w:val="00EF6EF3"/>
    <w:rsid w:val="00EF6F19"/>
    <w:rsid w:val="00EF6F56"/>
    <w:rsid w:val="00EF6F9C"/>
    <w:rsid w:val="00EF6FA4"/>
    <w:rsid w:val="00EF7033"/>
    <w:rsid w:val="00EF703D"/>
    <w:rsid w:val="00EF709D"/>
    <w:rsid w:val="00EF71A2"/>
    <w:rsid w:val="00EF7287"/>
    <w:rsid w:val="00EF72A2"/>
    <w:rsid w:val="00EF72DE"/>
    <w:rsid w:val="00EF72F7"/>
    <w:rsid w:val="00EF7306"/>
    <w:rsid w:val="00EF7347"/>
    <w:rsid w:val="00EF736C"/>
    <w:rsid w:val="00EF736D"/>
    <w:rsid w:val="00EF73C6"/>
    <w:rsid w:val="00EF73C7"/>
    <w:rsid w:val="00EF7450"/>
    <w:rsid w:val="00EF74A0"/>
    <w:rsid w:val="00EF77D2"/>
    <w:rsid w:val="00EF7816"/>
    <w:rsid w:val="00EF788F"/>
    <w:rsid w:val="00EF796A"/>
    <w:rsid w:val="00EF79FC"/>
    <w:rsid w:val="00EF7A06"/>
    <w:rsid w:val="00EF7A92"/>
    <w:rsid w:val="00EF7B7F"/>
    <w:rsid w:val="00EF7C3F"/>
    <w:rsid w:val="00EF7C86"/>
    <w:rsid w:val="00EF7D62"/>
    <w:rsid w:val="00EF7D75"/>
    <w:rsid w:val="00EF7D98"/>
    <w:rsid w:val="00EF7E24"/>
    <w:rsid w:val="00EF7E3C"/>
    <w:rsid w:val="00EF7EBA"/>
    <w:rsid w:val="00EF7F12"/>
    <w:rsid w:val="00EF7F21"/>
    <w:rsid w:val="00EF7FA9"/>
    <w:rsid w:val="00F0006E"/>
    <w:rsid w:val="00F0012D"/>
    <w:rsid w:val="00F00230"/>
    <w:rsid w:val="00F0028D"/>
    <w:rsid w:val="00F002E4"/>
    <w:rsid w:val="00F00392"/>
    <w:rsid w:val="00F00403"/>
    <w:rsid w:val="00F00416"/>
    <w:rsid w:val="00F00549"/>
    <w:rsid w:val="00F00587"/>
    <w:rsid w:val="00F00696"/>
    <w:rsid w:val="00F006C0"/>
    <w:rsid w:val="00F006E0"/>
    <w:rsid w:val="00F006E4"/>
    <w:rsid w:val="00F007C4"/>
    <w:rsid w:val="00F0087C"/>
    <w:rsid w:val="00F008C4"/>
    <w:rsid w:val="00F00959"/>
    <w:rsid w:val="00F009B0"/>
    <w:rsid w:val="00F00AA9"/>
    <w:rsid w:val="00F00AFF"/>
    <w:rsid w:val="00F00B70"/>
    <w:rsid w:val="00F00BE8"/>
    <w:rsid w:val="00F00C86"/>
    <w:rsid w:val="00F00C9B"/>
    <w:rsid w:val="00F00CE2"/>
    <w:rsid w:val="00F00D49"/>
    <w:rsid w:val="00F00D70"/>
    <w:rsid w:val="00F00D9E"/>
    <w:rsid w:val="00F00DF4"/>
    <w:rsid w:val="00F00ECD"/>
    <w:rsid w:val="00F00FAF"/>
    <w:rsid w:val="00F01013"/>
    <w:rsid w:val="00F010A3"/>
    <w:rsid w:val="00F010E7"/>
    <w:rsid w:val="00F010EC"/>
    <w:rsid w:val="00F01170"/>
    <w:rsid w:val="00F01178"/>
    <w:rsid w:val="00F01272"/>
    <w:rsid w:val="00F012D6"/>
    <w:rsid w:val="00F01387"/>
    <w:rsid w:val="00F01456"/>
    <w:rsid w:val="00F01461"/>
    <w:rsid w:val="00F01484"/>
    <w:rsid w:val="00F01632"/>
    <w:rsid w:val="00F016FC"/>
    <w:rsid w:val="00F0174E"/>
    <w:rsid w:val="00F017A7"/>
    <w:rsid w:val="00F017B6"/>
    <w:rsid w:val="00F018A4"/>
    <w:rsid w:val="00F018AE"/>
    <w:rsid w:val="00F019F3"/>
    <w:rsid w:val="00F01A11"/>
    <w:rsid w:val="00F01A38"/>
    <w:rsid w:val="00F01BBF"/>
    <w:rsid w:val="00F01BD9"/>
    <w:rsid w:val="00F01D11"/>
    <w:rsid w:val="00F01EC7"/>
    <w:rsid w:val="00F01F17"/>
    <w:rsid w:val="00F02019"/>
    <w:rsid w:val="00F020DD"/>
    <w:rsid w:val="00F02120"/>
    <w:rsid w:val="00F0212A"/>
    <w:rsid w:val="00F0213B"/>
    <w:rsid w:val="00F02159"/>
    <w:rsid w:val="00F02253"/>
    <w:rsid w:val="00F022A0"/>
    <w:rsid w:val="00F0240B"/>
    <w:rsid w:val="00F024D1"/>
    <w:rsid w:val="00F02511"/>
    <w:rsid w:val="00F02565"/>
    <w:rsid w:val="00F02567"/>
    <w:rsid w:val="00F02576"/>
    <w:rsid w:val="00F0272C"/>
    <w:rsid w:val="00F02735"/>
    <w:rsid w:val="00F0273C"/>
    <w:rsid w:val="00F0278B"/>
    <w:rsid w:val="00F027A8"/>
    <w:rsid w:val="00F027CF"/>
    <w:rsid w:val="00F027D0"/>
    <w:rsid w:val="00F0293B"/>
    <w:rsid w:val="00F029A8"/>
    <w:rsid w:val="00F02A5F"/>
    <w:rsid w:val="00F02ABF"/>
    <w:rsid w:val="00F02B05"/>
    <w:rsid w:val="00F02B4A"/>
    <w:rsid w:val="00F02C7B"/>
    <w:rsid w:val="00F02F83"/>
    <w:rsid w:val="00F02FA9"/>
    <w:rsid w:val="00F02FF7"/>
    <w:rsid w:val="00F03103"/>
    <w:rsid w:val="00F03128"/>
    <w:rsid w:val="00F0313B"/>
    <w:rsid w:val="00F0317A"/>
    <w:rsid w:val="00F031F8"/>
    <w:rsid w:val="00F03309"/>
    <w:rsid w:val="00F0335D"/>
    <w:rsid w:val="00F033AB"/>
    <w:rsid w:val="00F033CD"/>
    <w:rsid w:val="00F03401"/>
    <w:rsid w:val="00F035EF"/>
    <w:rsid w:val="00F035F0"/>
    <w:rsid w:val="00F036F2"/>
    <w:rsid w:val="00F0374E"/>
    <w:rsid w:val="00F03A18"/>
    <w:rsid w:val="00F03A81"/>
    <w:rsid w:val="00F03A9E"/>
    <w:rsid w:val="00F03AD2"/>
    <w:rsid w:val="00F03BA6"/>
    <w:rsid w:val="00F03C1C"/>
    <w:rsid w:val="00F03D2C"/>
    <w:rsid w:val="00F03D2D"/>
    <w:rsid w:val="00F03E23"/>
    <w:rsid w:val="00F03E27"/>
    <w:rsid w:val="00F03FCE"/>
    <w:rsid w:val="00F04057"/>
    <w:rsid w:val="00F0426D"/>
    <w:rsid w:val="00F04276"/>
    <w:rsid w:val="00F0427D"/>
    <w:rsid w:val="00F0429E"/>
    <w:rsid w:val="00F042B1"/>
    <w:rsid w:val="00F04363"/>
    <w:rsid w:val="00F044CA"/>
    <w:rsid w:val="00F0452F"/>
    <w:rsid w:val="00F04645"/>
    <w:rsid w:val="00F046A6"/>
    <w:rsid w:val="00F0475C"/>
    <w:rsid w:val="00F04894"/>
    <w:rsid w:val="00F049E6"/>
    <w:rsid w:val="00F04A7E"/>
    <w:rsid w:val="00F04ABD"/>
    <w:rsid w:val="00F04B23"/>
    <w:rsid w:val="00F04BB0"/>
    <w:rsid w:val="00F04DEC"/>
    <w:rsid w:val="00F04E3B"/>
    <w:rsid w:val="00F04EAC"/>
    <w:rsid w:val="00F04EB9"/>
    <w:rsid w:val="00F04F98"/>
    <w:rsid w:val="00F04FD6"/>
    <w:rsid w:val="00F05169"/>
    <w:rsid w:val="00F05308"/>
    <w:rsid w:val="00F053D9"/>
    <w:rsid w:val="00F054A1"/>
    <w:rsid w:val="00F0569B"/>
    <w:rsid w:val="00F0576B"/>
    <w:rsid w:val="00F05773"/>
    <w:rsid w:val="00F057DB"/>
    <w:rsid w:val="00F05907"/>
    <w:rsid w:val="00F05944"/>
    <w:rsid w:val="00F05AC0"/>
    <w:rsid w:val="00F05B6C"/>
    <w:rsid w:val="00F05BF3"/>
    <w:rsid w:val="00F05C42"/>
    <w:rsid w:val="00F05CDA"/>
    <w:rsid w:val="00F05DA4"/>
    <w:rsid w:val="00F05E7E"/>
    <w:rsid w:val="00F05ED9"/>
    <w:rsid w:val="00F05F02"/>
    <w:rsid w:val="00F06036"/>
    <w:rsid w:val="00F06093"/>
    <w:rsid w:val="00F06096"/>
    <w:rsid w:val="00F0609C"/>
    <w:rsid w:val="00F061CA"/>
    <w:rsid w:val="00F06283"/>
    <w:rsid w:val="00F062CE"/>
    <w:rsid w:val="00F06438"/>
    <w:rsid w:val="00F0643F"/>
    <w:rsid w:val="00F0646F"/>
    <w:rsid w:val="00F06572"/>
    <w:rsid w:val="00F067B0"/>
    <w:rsid w:val="00F067B1"/>
    <w:rsid w:val="00F0685F"/>
    <w:rsid w:val="00F06AAF"/>
    <w:rsid w:val="00F06B0F"/>
    <w:rsid w:val="00F06B31"/>
    <w:rsid w:val="00F06B8D"/>
    <w:rsid w:val="00F06DCE"/>
    <w:rsid w:val="00F06E7E"/>
    <w:rsid w:val="00F06EED"/>
    <w:rsid w:val="00F06FA6"/>
    <w:rsid w:val="00F07038"/>
    <w:rsid w:val="00F07050"/>
    <w:rsid w:val="00F070DC"/>
    <w:rsid w:val="00F0714E"/>
    <w:rsid w:val="00F071A1"/>
    <w:rsid w:val="00F072B4"/>
    <w:rsid w:val="00F072E2"/>
    <w:rsid w:val="00F072E9"/>
    <w:rsid w:val="00F072F7"/>
    <w:rsid w:val="00F07373"/>
    <w:rsid w:val="00F073AE"/>
    <w:rsid w:val="00F074C5"/>
    <w:rsid w:val="00F0751B"/>
    <w:rsid w:val="00F0775C"/>
    <w:rsid w:val="00F0777C"/>
    <w:rsid w:val="00F0777E"/>
    <w:rsid w:val="00F077DF"/>
    <w:rsid w:val="00F07859"/>
    <w:rsid w:val="00F078B0"/>
    <w:rsid w:val="00F07927"/>
    <w:rsid w:val="00F07AB9"/>
    <w:rsid w:val="00F07B18"/>
    <w:rsid w:val="00F07B9E"/>
    <w:rsid w:val="00F07BE8"/>
    <w:rsid w:val="00F07BF0"/>
    <w:rsid w:val="00F07D53"/>
    <w:rsid w:val="00F07E0B"/>
    <w:rsid w:val="00F07E33"/>
    <w:rsid w:val="00F07E99"/>
    <w:rsid w:val="00F07EA8"/>
    <w:rsid w:val="00F07F17"/>
    <w:rsid w:val="00F07F6C"/>
    <w:rsid w:val="00F100D6"/>
    <w:rsid w:val="00F1019F"/>
    <w:rsid w:val="00F10433"/>
    <w:rsid w:val="00F104D1"/>
    <w:rsid w:val="00F104F3"/>
    <w:rsid w:val="00F10524"/>
    <w:rsid w:val="00F1052E"/>
    <w:rsid w:val="00F105C9"/>
    <w:rsid w:val="00F1077A"/>
    <w:rsid w:val="00F107A1"/>
    <w:rsid w:val="00F107A6"/>
    <w:rsid w:val="00F107A7"/>
    <w:rsid w:val="00F107FE"/>
    <w:rsid w:val="00F1083A"/>
    <w:rsid w:val="00F1091F"/>
    <w:rsid w:val="00F109B7"/>
    <w:rsid w:val="00F109D1"/>
    <w:rsid w:val="00F10A15"/>
    <w:rsid w:val="00F10A4A"/>
    <w:rsid w:val="00F10AFB"/>
    <w:rsid w:val="00F10B87"/>
    <w:rsid w:val="00F10BB3"/>
    <w:rsid w:val="00F10BC8"/>
    <w:rsid w:val="00F10BE6"/>
    <w:rsid w:val="00F10CCC"/>
    <w:rsid w:val="00F10F16"/>
    <w:rsid w:val="00F1102C"/>
    <w:rsid w:val="00F110BA"/>
    <w:rsid w:val="00F111B2"/>
    <w:rsid w:val="00F111C9"/>
    <w:rsid w:val="00F11349"/>
    <w:rsid w:val="00F11394"/>
    <w:rsid w:val="00F11412"/>
    <w:rsid w:val="00F115A0"/>
    <w:rsid w:val="00F115AD"/>
    <w:rsid w:val="00F115FF"/>
    <w:rsid w:val="00F11620"/>
    <w:rsid w:val="00F116BA"/>
    <w:rsid w:val="00F11785"/>
    <w:rsid w:val="00F11796"/>
    <w:rsid w:val="00F11827"/>
    <w:rsid w:val="00F11916"/>
    <w:rsid w:val="00F11BD9"/>
    <w:rsid w:val="00F11BEE"/>
    <w:rsid w:val="00F11BEF"/>
    <w:rsid w:val="00F11C19"/>
    <w:rsid w:val="00F11D1E"/>
    <w:rsid w:val="00F11D7C"/>
    <w:rsid w:val="00F11D94"/>
    <w:rsid w:val="00F11E32"/>
    <w:rsid w:val="00F11ECF"/>
    <w:rsid w:val="00F11EF2"/>
    <w:rsid w:val="00F120F1"/>
    <w:rsid w:val="00F12164"/>
    <w:rsid w:val="00F121C4"/>
    <w:rsid w:val="00F12225"/>
    <w:rsid w:val="00F1227E"/>
    <w:rsid w:val="00F122AF"/>
    <w:rsid w:val="00F122D4"/>
    <w:rsid w:val="00F1244F"/>
    <w:rsid w:val="00F12480"/>
    <w:rsid w:val="00F12496"/>
    <w:rsid w:val="00F12547"/>
    <w:rsid w:val="00F12607"/>
    <w:rsid w:val="00F12639"/>
    <w:rsid w:val="00F12642"/>
    <w:rsid w:val="00F1267A"/>
    <w:rsid w:val="00F126A1"/>
    <w:rsid w:val="00F1274F"/>
    <w:rsid w:val="00F12753"/>
    <w:rsid w:val="00F1275E"/>
    <w:rsid w:val="00F12883"/>
    <w:rsid w:val="00F1289F"/>
    <w:rsid w:val="00F12A41"/>
    <w:rsid w:val="00F12A78"/>
    <w:rsid w:val="00F12AB3"/>
    <w:rsid w:val="00F12B5A"/>
    <w:rsid w:val="00F12B5F"/>
    <w:rsid w:val="00F12B73"/>
    <w:rsid w:val="00F12C9D"/>
    <w:rsid w:val="00F12CEE"/>
    <w:rsid w:val="00F12CEF"/>
    <w:rsid w:val="00F12DEB"/>
    <w:rsid w:val="00F12E6C"/>
    <w:rsid w:val="00F12F80"/>
    <w:rsid w:val="00F12FEB"/>
    <w:rsid w:val="00F13016"/>
    <w:rsid w:val="00F13067"/>
    <w:rsid w:val="00F1306F"/>
    <w:rsid w:val="00F130B8"/>
    <w:rsid w:val="00F13112"/>
    <w:rsid w:val="00F1328E"/>
    <w:rsid w:val="00F13332"/>
    <w:rsid w:val="00F13340"/>
    <w:rsid w:val="00F13441"/>
    <w:rsid w:val="00F1352C"/>
    <w:rsid w:val="00F13595"/>
    <w:rsid w:val="00F1373B"/>
    <w:rsid w:val="00F137D5"/>
    <w:rsid w:val="00F137DB"/>
    <w:rsid w:val="00F1380A"/>
    <w:rsid w:val="00F138A8"/>
    <w:rsid w:val="00F138C6"/>
    <w:rsid w:val="00F13914"/>
    <w:rsid w:val="00F1396B"/>
    <w:rsid w:val="00F1398A"/>
    <w:rsid w:val="00F1398C"/>
    <w:rsid w:val="00F139E5"/>
    <w:rsid w:val="00F13A08"/>
    <w:rsid w:val="00F13B28"/>
    <w:rsid w:val="00F13B4A"/>
    <w:rsid w:val="00F13BF4"/>
    <w:rsid w:val="00F13CA1"/>
    <w:rsid w:val="00F13CB2"/>
    <w:rsid w:val="00F14046"/>
    <w:rsid w:val="00F140BA"/>
    <w:rsid w:val="00F140BF"/>
    <w:rsid w:val="00F14149"/>
    <w:rsid w:val="00F1415A"/>
    <w:rsid w:val="00F1420F"/>
    <w:rsid w:val="00F14212"/>
    <w:rsid w:val="00F14228"/>
    <w:rsid w:val="00F1425A"/>
    <w:rsid w:val="00F1425C"/>
    <w:rsid w:val="00F14267"/>
    <w:rsid w:val="00F14277"/>
    <w:rsid w:val="00F142A0"/>
    <w:rsid w:val="00F142D8"/>
    <w:rsid w:val="00F143DA"/>
    <w:rsid w:val="00F143DC"/>
    <w:rsid w:val="00F14408"/>
    <w:rsid w:val="00F14564"/>
    <w:rsid w:val="00F14569"/>
    <w:rsid w:val="00F145D9"/>
    <w:rsid w:val="00F14654"/>
    <w:rsid w:val="00F1471E"/>
    <w:rsid w:val="00F1485E"/>
    <w:rsid w:val="00F148C8"/>
    <w:rsid w:val="00F1490A"/>
    <w:rsid w:val="00F149C5"/>
    <w:rsid w:val="00F149D2"/>
    <w:rsid w:val="00F149EB"/>
    <w:rsid w:val="00F14A7D"/>
    <w:rsid w:val="00F14A95"/>
    <w:rsid w:val="00F14AC9"/>
    <w:rsid w:val="00F14AE0"/>
    <w:rsid w:val="00F14B61"/>
    <w:rsid w:val="00F14B68"/>
    <w:rsid w:val="00F14B8A"/>
    <w:rsid w:val="00F14C55"/>
    <w:rsid w:val="00F14DE5"/>
    <w:rsid w:val="00F14DEF"/>
    <w:rsid w:val="00F14E02"/>
    <w:rsid w:val="00F14E14"/>
    <w:rsid w:val="00F14E2E"/>
    <w:rsid w:val="00F14E6C"/>
    <w:rsid w:val="00F14F41"/>
    <w:rsid w:val="00F14FFD"/>
    <w:rsid w:val="00F15015"/>
    <w:rsid w:val="00F150D3"/>
    <w:rsid w:val="00F15207"/>
    <w:rsid w:val="00F1523E"/>
    <w:rsid w:val="00F15242"/>
    <w:rsid w:val="00F15281"/>
    <w:rsid w:val="00F152BF"/>
    <w:rsid w:val="00F15553"/>
    <w:rsid w:val="00F15584"/>
    <w:rsid w:val="00F155D5"/>
    <w:rsid w:val="00F156BF"/>
    <w:rsid w:val="00F156F2"/>
    <w:rsid w:val="00F1570F"/>
    <w:rsid w:val="00F15790"/>
    <w:rsid w:val="00F1595A"/>
    <w:rsid w:val="00F15A5C"/>
    <w:rsid w:val="00F15B4D"/>
    <w:rsid w:val="00F15CB5"/>
    <w:rsid w:val="00F15D4B"/>
    <w:rsid w:val="00F15DE9"/>
    <w:rsid w:val="00F15EAA"/>
    <w:rsid w:val="00F15F11"/>
    <w:rsid w:val="00F15F4E"/>
    <w:rsid w:val="00F15FC5"/>
    <w:rsid w:val="00F15FDF"/>
    <w:rsid w:val="00F15FE6"/>
    <w:rsid w:val="00F16011"/>
    <w:rsid w:val="00F1603A"/>
    <w:rsid w:val="00F1608B"/>
    <w:rsid w:val="00F1609B"/>
    <w:rsid w:val="00F16139"/>
    <w:rsid w:val="00F1618C"/>
    <w:rsid w:val="00F161D5"/>
    <w:rsid w:val="00F162C0"/>
    <w:rsid w:val="00F16320"/>
    <w:rsid w:val="00F16325"/>
    <w:rsid w:val="00F1636A"/>
    <w:rsid w:val="00F16405"/>
    <w:rsid w:val="00F16504"/>
    <w:rsid w:val="00F16566"/>
    <w:rsid w:val="00F16581"/>
    <w:rsid w:val="00F16666"/>
    <w:rsid w:val="00F16676"/>
    <w:rsid w:val="00F16680"/>
    <w:rsid w:val="00F1668E"/>
    <w:rsid w:val="00F166DB"/>
    <w:rsid w:val="00F167AA"/>
    <w:rsid w:val="00F1681C"/>
    <w:rsid w:val="00F16842"/>
    <w:rsid w:val="00F168C5"/>
    <w:rsid w:val="00F16A37"/>
    <w:rsid w:val="00F16A38"/>
    <w:rsid w:val="00F16AF3"/>
    <w:rsid w:val="00F16AFF"/>
    <w:rsid w:val="00F16B1A"/>
    <w:rsid w:val="00F16C0E"/>
    <w:rsid w:val="00F16C67"/>
    <w:rsid w:val="00F16DE8"/>
    <w:rsid w:val="00F16DF5"/>
    <w:rsid w:val="00F1704A"/>
    <w:rsid w:val="00F17218"/>
    <w:rsid w:val="00F17299"/>
    <w:rsid w:val="00F172A0"/>
    <w:rsid w:val="00F172A9"/>
    <w:rsid w:val="00F1731E"/>
    <w:rsid w:val="00F173D2"/>
    <w:rsid w:val="00F1742A"/>
    <w:rsid w:val="00F1743F"/>
    <w:rsid w:val="00F1748B"/>
    <w:rsid w:val="00F174DE"/>
    <w:rsid w:val="00F174FD"/>
    <w:rsid w:val="00F17526"/>
    <w:rsid w:val="00F17535"/>
    <w:rsid w:val="00F1755F"/>
    <w:rsid w:val="00F176FB"/>
    <w:rsid w:val="00F1782F"/>
    <w:rsid w:val="00F17931"/>
    <w:rsid w:val="00F179AE"/>
    <w:rsid w:val="00F179FE"/>
    <w:rsid w:val="00F17A2D"/>
    <w:rsid w:val="00F17A46"/>
    <w:rsid w:val="00F17A6B"/>
    <w:rsid w:val="00F17CB7"/>
    <w:rsid w:val="00F17CD6"/>
    <w:rsid w:val="00F17D21"/>
    <w:rsid w:val="00F17D39"/>
    <w:rsid w:val="00F17DD5"/>
    <w:rsid w:val="00F17DFD"/>
    <w:rsid w:val="00F17E18"/>
    <w:rsid w:val="00F17E8E"/>
    <w:rsid w:val="00F17EB3"/>
    <w:rsid w:val="00F17EEC"/>
    <w:rsid w:val="00F17FAF"/>
    <w:rsid w:val="00F17FBA"/>
    <w:rsid w:val="00F17FD5"/>
    <w:rsid w:val="00F17FF9"/>
    <w:rsid w:val="00F1E111"/>
    <w:rsid w:val="00F200A3"/>
    <w:rsid w:val="00F200C5"/>
    <w:rsid w:val="00F200F4"/>
    <w:rsid w:val="00F201B1"/>
    <w:rsid w:val="00F20223"/>
    <w:rsid w:val="00F20228"/>
    <w:rsid w:val="00F2035C"/>
    <w:rsid w:val="00F204CD"/>
    <w:rsid w:val="00F2061C"/>
    <w:rsid w:val="00F20628"/>
    <w:rsid w:val="00F206A8"/>
    <w:rsid w:val="00F206E9"/>
    <w:rsid w:val="00F206FC"/>
    <w:rsid w:val="00F2078C"/>
    <w:rsid w:val="00F207A3"/>
    <w:rsid w:val="00F2085D"/>
    <w:rsid w:val="00F208F5"/>
    <w:rsid w:val="00F20918"/>
    <w:rsid w:val="00F209DE"/>
    <w:rsid w:val="00F209FB"/>
    <w:rsid w:val="00F20ABF"/>
    <w:rsid w:val="00F20CF7"/>
    <w:rsid w:val="00F20D6D"/>
    <w:rsid w:val="00F20DDA"/>
    <w:rsid w:val="00F20F33"/>
    <w:rsid w:val="00F20F5F"/>
    <w:rsid w:val="00F20FDD"/>
    <w:rsid w:val="00F21039"/>
    <w:rsid w:val="00F2106B"/>
    <w:rsid w:val="00F210F9"/>
    <w:rsid w:val="00F21191"/>
    <w:rsid w:val="00F21236"/>
    <w:rsid w:val="00F212E0"/>
    <w:rsid w:val="00F2148D"/>
    <w:rsid w:val="00F214B0"/>
    <w:rsid w:val="00F215BB"/>
    <w:rsid w:val="00F215C2"/>
    <w:rsid w:val="00F215FE"/>
    <w:rsid w:val="00F216D1"/>
    <w:rsid w:val="00F216F8"/>
    <w:rsid w:val="00F21765"/>
    <w:rsid w:val="00F217F5"/>
    <w:rsid w:val="00F219C0"/>
    <w:rsid w:val="00F21B82"/>
    <w:rsid w:val="00F21BB8"/>
    <w:rsid w:val="00F21BCE"/>
    <w:rsid w:val="00F21C41"/>
    <w:rsid w:val="00F21CE0"/>
    <w:rsid w:val="00F21D11"/>
    <w:rsid w:val="00F21DFB"/>
    <w:rsid w:val="00F21E35"/>
    <w:rsid w:val="00F22013"/>
    <w:rsid w:val="00F22022"/>
    <w:rsid w:val="00F2204D"/>
    <w:rsid w:val="00F22089"/>
    <w:rsid w:val="00F22101"/>
    <w:rsid w:val="00F22173"/>
    <w:rsid w:val="00F2217B"/>
    <w:rsid w:val="00F22236"/>
    <w:rsid w:val="00F22292"/>
    <w:rsid w:val="00F223A2"/>
    <w:rsid w:val="00F223FE"/>
    <w:rsid w:val="00F22405"/>
    <w:rsid w:val="00F2247F"/>
    <w:rsid w:val="00F224E7"/>
    <w:rsid w:val="00F22526"/>
    <w:rsid w:val="00F22530"/>
    <w:rsid w:val="00F22540"/>
    <w:rsid w:val="00F225CE"/>
    <w:rsid w:val="00F22781"/>
    <w:rsid w:val="00F2284D"/>
    <w:rsid w:val="00F22ABD"/>
    <w:rsid w:val="00F22AC0"/>
    <w:rsid w:val="00F22AC4"/>
    <w:rsid w:val="00F22B21"/>
    <w:rsid w:val="00F22CE7"/>
    <w:rsid w:val="00F22CF7"/>
    <w:rsid w:val="00F22E67"/>
    <w:rsid w:val="00F22FD7"/>
    <w:rsid w:val="00F22FDF"/>
    <w:rsid w:val="00F23131"/>
    <w:rsid w:val="00F23221"/>
    <w:rsid w:val="00F2334E"/>
    <w:rsid w:val="00F234E5"/>
    <w:rsid w:val="00F23521"/>
    <w:rsid w:val="00F23526"/>
    <w:rsid w:val="00F23596"/>
    <w:rsid w:val="00F235BD"/>
    <w:rsid w:val="00F23664"/>
    <w:rsid w:val="00F2372D"/>
    <w:rsid w:val="00F23774"/>
    <w:rsid w:val="00F2380C"/>
    <w:rsid w:val="00F23886"/>
    <w:rsid w:val="00F238AC"/>
    <w:rsid w:val="00F2390D"/>
    <w:rsid w:val="00F23B87"/>
    <w:rsid w:val="00F23BDF"/>
    <w:rsid w:val="00F23C66"/>
    <w:rsid w:val="00F23DF0"/>
    <w:rsid w:val="00F23EC3"/>
    <w:rsid w:val="00F23F54"/>
    <w:rsid w:val="00F23F86"/>
    <w:rsid w:val="00F2409D"/>
    <w:rsid w:val="00F241E5"/>
    <w:rsid w:val="00F24275"/>
    <w:rsid w:val="00F242A0"/>
    <w:rsid w:val="00F242AD"/>
    <w:rsid w:val="00F242F6"/>
    <w:rsid w:val="00F244BD"/>
    <w:rsid w:val="00F244CE"/>
    <w:rsid w:val="00F24582"/>
    <w:rsid w:val="00F24592"/>
    <w:rsid w:val="00F2461D"/>
    <w:rsid w:val="00F24636"/>
    <w:rsid w:val="00F247D7"/>
    <w:rsid w:val="00F24834"/>
    <w:rsid w:val="00F2485C"/>
    <w:rsid w:val="00F24870"/>
    <w:rsid w:val="00F248CD"/>
    <w:rsid w:val="00F24948"/>
    <w:rsid w:val="00F24952"/>
    <w:rsid w:val="00F249A3"/>
    <w:rsid w:val="00F24AE9"/>
    <w:rsid w:val="00F24AF2"/>
    <w:rsid w:val="00F24AF9"/>
    <w:rsid w:val="00F24CDD"/>
    <w:rsid w:val="00F24D6F"/>
    <w:rsid w:val="00F24DAF"/>
    <w:rsid w:val="00F24E13"/>
    <w:rsid w:val="00F24E3E"/>
    <w:rsid w:val="00F250DE"/>
    <w:rsid w:val="00F250EC"/>
    <w:rsid w:val="00F251A0"/>
    <w:rsid w:val="00F2521D"/>
    <w:rsid w:val="00F252B9"/>
    <w:rsid w:val="00F2530D"/>
    <w:rsid w:val="00F253D9"/>
    <w:rsid w:val="00F25431"/>
    <w:rsid w:val="00F2544F"/>
    <w:rsid w:val="00F25535"/>
    <w:rsid w:val="00F25653"/>
    <w:rsid w:val="00F2567A"/>
    <w:rsid w:val="00F2568D"/>
    <w:rsid w:val="00F2569B"/>
    <w:rsid w:val="00F256D3"/>
    <w:rsid w:val="00F2577A"/>
    <w:rsid w:val="00F2579E"/>
    <w:rsid w:val="00F257C5"/>
    <w:rsid w:val="00F257D7"/>
    <w:rsid w:val="00F257E2"/>
    <w:rsid w:val="00F25836"/>
    <w:rsid w:val="00F258A0"/>
    <w:rsid w:val="00F25A73"/>
    <w:rsid w:val="00F25A9C"/>
    <w:rsid w:val="00F25B19"/>
    <w:rsid w:val="00F25BD2"/>
    <w:rsid w:val="00F25CD0"/>
    <w:rsid w:val="00F25D41"/>
    <w:rsid w:val="00F25DC9"/>
    <w:rsid w:val="00F25E7D"/>
    <w:rsid w:val="00F25F82"/>
    <w:rsid w:val="00F25F9F"/>
    <w:rsid w:val="00F26085"/>
    <w:rsid w:val="00F260B6"/>
    <w:rsid w:val="00F261C5"/>
    <w:rsid w:val="00F26232"/>
    <w:rsid w:val="00F26256"/>
    <w:rsid w:val="00F26319"/>
    <w:rsid w:val="00F263C3"/>
    <w:rsid w:val="00F263EC"/>
    <w:rsid w:val="00F2644D"/>
    <w:rsid w:val="00F265A3"/>
    <w:rsid w:val="00F2671C"/>
    <w:rsid w:val="00F2673A"/>
    <w:rsid w:val="00F26763"/>
    <w:rsid w:val="00F2676C"/>
    <w:rsid w:val="00F2678D"/>
    <w:rsid w:val="00F2679B"/>
    <w:rsid w:val="00F267D4"/>
    <w:rsid w:val="00F267E4"/>
    <w:rsid w:val="00F268D9"/>
    <w:rsid w:val="00F26B1E"/>
    <w:rsid w:val="00F26C04"/>
    <w:rsid w:val="00F26C32"/>
    <w:rsid w:val="00F26C81"/>
    <w:rsid w:val="00F26C84"/>
    <w:rsid w:val="00F26C97"/>
    <w:rsid w:val="00F26D0A"/>
    <w:rsid w:val="00F26D34"/>
    <w:rsid w:val="00F26FC2"/>
    <w:rsid w:val="00F270A3"/>
    <w:rsid w:val="00F270C5"/>
    <w:rsid w:val="00F271D8"/>
    <w:rsid w:val="00F27223"/>
    <w:rsid w:val="00F272C6"/>
    <w:rsid w:val="00F272E8"/>
    <w:rsid w:val="00F2743F"/>
    <w:rsid w:val="00F2763F"/>
    <w:rsid w:val="00F276C7"/>
    <w:rsid w:val="00F27769"/>
    <w:rsid w:val="00F27914"/>
    <w:rsid w:val="00F27933"/>
    <w:rsid w:val="00F27A30"/>
    <w:rsid w:val="00F27A76"/>
    <w:rsid w:val="00F27A8C"/>
    <w:rsid w:val="00F27BB9"/>
    <w:rsid w:val="00F27C2F"/>
    <w:rsid w:val="00F27C33"/>
    <w:rsid w:val="00F27CDF"/>
    <w:rsid w:val="00F27DDD"/>
    <w:rsid w:val="00F27E6F"/>
    <w:rsid w:val="00F27EB7"/>
    <w:rsid w:val="00F27F04"/>
    <w:rsid w:val="00F27F0E"/>
    <w:rsid w:val="00F27F1E"/>
    <w:rsid w:val="00F27F2C"/>
    <w:rsid w:val="00F27F41"/>
    <w:rsid w:val="00F3009B"/>
    <w:rsid w:val="00F3010F"/>
    <w:rsid w:val="00F30157"/>
    <w:rsid w:val="00F30160"/>
    <w:rsid w:val="00F301FB"/>
    <w:rsid w:val="00F30287"/>
    <w:rsid w:val="00F30339"/>
    <w:rsid w:val="00F303C7"/>
    <w:rsid w:val="00F30409"/>
    <w:rsid w:val="00F30455"/>
    <w:rsid w:val="00F30506"/>
    <w:rsid w:val="00F30529"/>
    <w:rsid w:val="00F3061E"/>
    <w:rsid w:val="00F306A4"/>
    <w:rsid w:val="00F30710"/>
    <w:rsid w:val="00F30745"/>
    <w:rsid w:val="00F30791"/>
    <w:rsid w:val="00F307F6"/>
    <w:rsid w:val="00F307F7"/>
    <w:rsid w:val="00F308E5"/>
    <w:rsid w:val="00F308EA"/>
    <w:rsid w:val="00F30A59"/>
    <w:rsid w:val="00F30C5C"/>
    <w:rsid w:val="00F30C73"/>
    <w:rsid w:val="00F30CCE"/>
    <w:rsid w:val="00F30D19"/>
    <w:rsid w:val="00F30D1F"/>
    <w:rsid w:val="00F30DE1"/>
    <w:rsid w:val="00F30E4B"/>
    <w:rsid w:val="00F30EBB"/>
    <w:rsid w:val="00F30F42"/>
    <w:rsid w:val="00F30F70"/>
    <w:rsid w:val="00F31231"/>
    <w:rsid w:val="00F3128D"/>
    <w:rsid w:val="00F313A6"/>
    <w:rsid w:val="00F313C3"/>
    <w:rsid w:val="00F3155F"/>
    <w:rsid w:val="00F31578"/>
    <w:rsid w:val="00F315B9"/>
    <w:rsid w:val="00F315BF"/>
    <w:rsid w:val="00F31656"/>
    <w:rsid w:val="00F31881"/>
    <w:rsid w:val="00F31936"/>
    <w:rsid w:val="00F319DB"/>
    <w:rsid w:val="00F31C7D"/>
    <w:rsid w:val="00F31C88"/>
    <w:rsid w:val="00F31D4F"/>
    <w:rsid w:val="00F31D50"/>
    <w:rsid w:val="00F31DE4"/>
    <w:rsid w:val="00F31E63"/>
    <w:rsid w:val="00F31E85"/>
    <w:rsid w:val="00F31E96"/>
    <w:rsid w:val="00F31F8E"/>
    <w:rsid w:val="00F31FA7"/>
    <w:rsid w:val="00F32177"/>
    <w:rsid w:val="00F32277"/>
    <w:rsid w:val="00F3233E"/>
    <w:rsid w:val="00F3241A"/>
    <w:rsid w:val="00F32432"/>
    <w:rsid w:val="00F32494"/>
    <w:rsid w:val="00F324F7"/>
    <w:rsid w:val="00F3255A"/>
    <w:rsid w:val="00F325F6"/>
    <w:rsid w:val="00F326D6"/>
    <w:rsid w:val="00F32783"/>
    <w:rsid w:val="00F327A9"/>
    <w:rsid w:val="00F327CB"/>
    <w:rsid w:val="00F327D7"/>
    <w:rsid w:val="00F327F7"/>
    <w:rsid w:val="00F32926"/>
    <w:rsid w:val="00F3292F"/>
    <w:rsid w:val="00F32968"/>
    <w:rsid w:val="00F32A22"/>
    <w:rsid w:val="00F32A40"/>
    <w:rsid w:val="00F32A41"/>
    <w:rsid w:val="00F32A79"/>
    <w:rsid w:val="00F32B90"/>
    <w:rsid w:val="00F32BB2"/>
    <w:rsid w:val="00F32BD4"/>
    <w:rsid w:val="00F32D07"/>
    <w:rsid w:val="00F32E59"/>
    <w:rsid w:val="00F32E75"/>
    <w:rsid w:val="00F32EA5"/>
    <w:rsid w:val="00F32ED9"/>
    <w:rsid w:val="00F330CD"/>
    <w:rsid w:val="00F330FA"/>
    <w:rsid w:val="00F33139"/>
    <w:rsid w:val="00F3316F"/>
    <w:rsid w:val="00F3337C"/>
    <w:rsid w:val="00F33433"/>
    <w:rsid w:val="00F33497"/>
    <w:rsid w:val="00F334F1"/>
    <w:rsid w:val="00F33583"/>
    <w:rsid w:val="00F335FA"/>
    <w:rsid w:val="00F33697"/>
    <w:rsid w:val="00F336FB"/>
    <w:rsid w:val="00F3374E"/>
    <w:rsid w:val="00F337D0"/>
    <w:rsid w:val="00F337D4"/>
    <w:rsid w:val="00F3390C"/>
    <w:rsid w:val="00F33939"/>
    <w:rsid w:val="00F33959"/>
    <w:rsid w:val="00F339CC"/>
    <w:rsid w:val="00F33A3E"/>
    <w:rsid w:val="00F33B86"/>
    <w:rsid w:val="00F33BF5"/>
    <w:rsid w:val="00F33D1D"/>
    <w:rsid w:val="00F33D25"/>
    <w:rsid w:val="00F33D28"/>
    <w:rsid w:val="00F33D95"/>
    <w:rsid w:val="00F33E76"/>
    <w:rsid w:val="00F33E7E"/>
    <w:rsid w:val="00F33ED1"/>
    <w:rsid w:val="00F33F67"/>
    <w:rsid w:val="00F3409E"/>
    <w:rsid w:val="00F34199"/>
    <w:rsid w:val="00F3421A"/>
    <w:rsid w:val="00F34349"/>
    <w:rsid w:val="00F3434A"/>
    <w:rsid w:val="00F343E9"/>
    <w:rsid w:val="00F3442E"/>
    <w:rsid w:val="00F34443"/>
    <w:rsid w:val="00F34487"/>
    <w:rsid w:val="00F3449F"/>
    <w:rsid w:val="00F344D4"/>
    <w:rsid w:val="00F3452A"/>
    <w:rsid w:val="00F345E4"/>
    <w:rsid w:val="00F34642"/>
    <w:rsid w:val="00F34654"/>
    <w:rsid w:val="00F34696"/>
    <w:rsid w:val="00F34922"/>
    <w:rsid w:val="00F349D9"/>
    <w:rsid w:val="00F34A16"/>
    <w:rsid w:val="00F34A2C"/>
    <w:rsid w:val="00F34B21"/>
    <w:rsid w:val="00F34B5F"/>
    <w:rsid w:val="00F34B62"/>
    <w:rsid w:val="00F34BBD"/>
    <w:rsid w:val="00F34DAF"/>
    <w:rsid w:val="00F34E93"/>
    <w:rsid w:val="00F34FB8"/>
    <w:rsid w:val="00F34FDE"/>
    <w:rsid w:val="00F35076"/>
    <w:rsid w:val="00F35118"/>
    <w:rsid w:val="00F3518F"/>
    <w:rsid w:val="00F351B9"/>
    <w:rsid w:val="00F351C8"/>
    <w:rsid w:val="00F3526C"/>
    <w:rsid w:val="00F35416"/>
    <w:rsid w:val="00F3553D"/>
    <w:rsid w:val="00F3554F"/>
    <w:rsid w:val="00F3556B"/>
    <w:rsid w:val="00F355CE"/>
    <w:rsid w:val="00F35766"/>
    <w:rsid w:val="00F357EA"/>
    <w:rsid w:val="00F357ED"/>
    <w:rsid w:val="00F35827"/>
    <w:rsid w:val="00F35853"/>
    <w:rsid w:val="00F358AD"/>
    <w:rsid w:val="00F358C9"/>
    <w:rsid w:val="00F3592A"/>
    <w:rsid w:val="00F35951"/>
    <w:rsid w:val="00F35C24"/>
    <w:rsid w:val="00F35CC2"/>
    <w:rsid w:val="00F35D34"/>
    <w:rsid w:val="00F35DB5"/>
    <w:rsid w:val="00F35DD3"/>
    <w:rsid w:val="00F35EC0"/>
    <w:rsid w:val="00F35F25"/>
    <w:rsid w:val="00F35F9A"/>
    <w:rsid w:val="00F35FBB"/>
    <w:rsid w:val="00F36000"/>
    <w:rsid w:val="00F360D3"/>
    <w:rsid w:val="00F36274"/>
    <w:rsid w:val="00F3627C"/>
    <w:rsid w:val="00F362FC"/>
    <w:rsid w:val="00F363B2"/>
    <w:rsid w:val="00F364E5"/>
    <w:rsid w:val="00F364F8"/>
    <w:rsid w:val="00F3655C"/>
    <w:rsid w:val="00F365D8"/>
    <w:rsid w:val="00F36648"/>
    <w:rsid w:val="00F366CD"/>
    <w:rsid w:val="00F3672F"/>
    <w:rsid w:val="00F3677D"/>
    <w:rsid w:val="00F36781"/>
    <w:rsid w:val="00F367A4"/>
    <w:rsid w:val="00F368A0"/>
    <w:rsid w:val="00F369B7"/>
    <w:rsid w:val="00F36C03"/>
    <w:rsid w:val="00F36DBE"/>
    <w:rsid w:val="00F36DE4"/>
    <w:rsid w:val="00F36ECB"/>
    <w:rsid w:val="00F36F82"/>
    <w:rsid w:val="00F371B9"/>
    <w:rsid w:val="00F371E5"/>
    <w:rsid w:val="00F371E7"/>
    <w:rsid w:val="00F371FE"/>
    <w:rsid w:val="00F37352"/>
    <w:rsid w:val="00F3738D"/>
    <w:rsid w:val="00F373DD"/>
    <w:rsid w:val="00F37480"/>
    <w:rsid w:val="00F375AA"/>
    <w:rsid w:val="00F375D8"/>
    <w:rsid w:val="00F3773B"/>
    <w:rsid w:val="00F37782"/>
    <w:rsid w:val="00F37789"/>
    <w:rsid w:val="00F377A4"/>
    <w:rsid w:val="00F37806"/>
    <w:rsid w:val="00F37942"/>
    <w:rsid w:val="00F37A58"/>
    <w:rsid w:val="00F37B33"/>
    <w:rsid w:val="00F37DE6"/>
    <w:rsid w:val="00F37E77"/>
    <w:rsid w:val="00F37ED0"/>
    <w:rsid w:val="00F37F72"/>
    <w:rsid w:val="00F37FD7"/>
    <w:rsid w:val="00F37FF1"/>
    <w:rsid w:val="00F40054"/>
    <w:rsid w:val="00F40134"/>
    <w:rsid w:val="00F4016E"/>
    <w:rsid w:val="00F4021C"/>
    <w:rsid w:val="00F403BE"/>
    <w:rsid w:val="00F403FC"/>
    <w:rsid w:val="00F404B5"/>
    <w:rsid w:val="00F4053B"/>
    <w:rsid w:val="00F405DA"/>
    <w:rsid w:val="00F40726"/>
    <w:rsid w:val="00F4075D"/>
    <w:rsid w:val="00F40761"/>
    <w:rsid w:val="00F4077F"/>
    <w:rsid w:val="00F4089D"/>
    <w:rsid w:val="00F409AA"/>
    <w:rsid w:val="00F409ED"/>
    <w:rsid w:val="00F40A47"/>
    <w:rsid w:val="00F40B0E"/>
    <w:rsid w:val="00F40B13"/>
    <w:rsid w:val="00F40B1E"/>
    <w:rsid w:val="00F40C53"/>
    <w:rsid w:val="00F40CD5"/>
    <w:rsid w:val="00F40D67"/>
    <w:rsid w:val="00F40E35"/>
    <w:rsid w:val="00F40F0A"/>
    <w:rsid w:val="00F40F26"/>
    <w:rsid w:val="00F40FAF"/>
    <w:rsid w:val="00F4100E"/>
    <w:rsid w:val="00F410CA"/>
    <w:rsid w:val="00F410FB"/>
    <w:rsid w:val="00F4121E"/>
    <w:rsid w:val="00F4124B"/>
    <w:rsid w:val="00F4138E"/>
    <w:rsid w:val="00F413BA"/>
    <w:rsid w:val="00F41432"/>
    <w:rsid w:val="00F415A0"/>
    <w:rsid w:val="00F41664"/>
    <w:rsid w:val="00F4168A"/>
    <w:rsid w:val="00F416B0"/>
    <w:rsid w:val="00F41759"/>
    <w:rsid w:val="00F41770"/>
    <w:rsid w:val="00F417C2"/>
    <w:rsid w:val="00F4186C"/>
    <w:rsid w:val="00F41914"/>
    <w:rsid w:val="00F419C9"/>
    <w:rsid w:val="00F41BB2"/>
    <w:rsid w:val="00F41BDA"/>
    <w:rsid w:val="00F41CC8"/>
    <w:rsid w:val="00F41D88"/>
    <w:rsid w:val="00F41D9E"/>
    <w:rsid w:val="00F41E8E"/>
    <w:rsid w:val="00F41EAA"/>
    <w:rsid w:val="00F41EDC"/>
    <w:rsid w:val="00F41F2F"/>
    <w:rsid w:val="00F41FED"/>
    <w:rsid w:val="00F41FF2"/>
    <w:rsid w:val="00F420AD"/>
    <w:rsid w:val="00F42168"/>
    <w:rsid w:val="00F421A6"/>
    <w:rsid w:val="00F421D1"/>
    <w:rsid w:val="00F42283"/>
    <w:rsid w:val="00F422B3"/>
    <w:rsid w:val="00F42381"/>
    <w:rsid w:val="00F424B4"/>
    <w:rsid w:val="00F424E7"/>
    <w:rsid w:val="00F42559"/>
    <w:rsid w:val="00F425A3"/>
    <w:rsid w:val="00F425FE"/>
    <w:rsid w:val="00F42672"/>
    <w:rsid w:val="00F42725"/>
    <w:rsid w:val="00F42826"/>
    <w:rsid w:val="00F42830"/>
    <w:rsid w:val="00F428CC"/>
    <w:rsid w:val="00F4292A"/>
    <w:rsid w:val="00F42940"/>
    <w:rsid w:val="00F4296E"/>
    <w:rsid w:val="00F4297F"/>
    <w:rsid w:val="00F42994"/>
    <w:rsid w:val="00F429AF"/>
    <w:rsid w:val="00F429F2"/>
    <w:rsid w:val="00F429FB"/>
    <w:rsid w:val="00F42AF1"/>
    <w:rsid w:val="00F42C78"/>
    <w:rsid w:val="00F42E36"/>
    <w:rsid w:val="00F4301C"/>
    <w:rsid w:val="00F4307D"/>
    <w:rsid w:val="00F430BD"/>
    <w:rsid w:val="00F431B7"/>
    <w:rsid w:val="00F43245"/>
    <w:rsid w:val="00F43291"/>
    <w:rsid w:val="00F432EC"/>
    <w:rsid w:val="00F43311"/>
    <w:rsid w:val="00F43334"/>
    <w:rsid w:val="00F43363"/>
    <w:rsid w:val="00F43578"/>
    <w:rsid w:val="00F4357B"/>
    <w:rsid w:val="00F43696"/>
    <w:rsid w:val="00F4369B"/>
    <w:rsid w:val="00F43758"/>
    <w:rsid w:val="00F4378B"/>
    <w:rsid w:val="00F43A2C"/>
    <w:rsid w:val="00F43B5B"/>
    <w:rsid w:val="00F43B62"/>
    <w:rsid w:val="00F43DF8"/>
    <w:rsid w:val="00F43F2B"/>
    <w:rsid w:val="00F43F4E"/>
    <w:rsid w:val="00F43FFE"/>
    <w:rsid w:val="00F44010"/>
    <w:rsid w:val="00F44185"/>
    <w:rsid w:val="00F441D8"/>
    <w:rsid w:val="00F441DE"/>
    <w:rsid w:val="00F4427C"/>
    <w:rsid w:val="00F44401"/>
    <w:rsid w:val="00F44406"/>
    <w:rsid w:val="00F4446F"/>
    <w:rsid w:val="00F444DD"/>
    <w:rsid w:val="00F4458C"/>
    <w:rsid w:val="00F445A7"/>
    <w:rsid w:val="00F445EF"/>
    <w:rsid w:val="00F44616"/>
    <w:rsid w:val="00F4462E"/>
    <w:rsid w:val="00F44751"/>
    <w:rsid w:val="00F44A21"/>
    <w:rsid w:val="00F44B4B"/>
    <w:rsid w:val="00F44BA4"/>
    <w:rsid w:val="00F44C4F"/>
    <w:rsid w:val="00F44CCF"/>
    <w:rsid w:val="00F44D68"/>
    <w:rsid w:val="00F44DC9"/>
    <w:rsid w:val="00F44EBB"/>
    <w:rsid w:val="00F44F77"/>
    <w:rsid w:val="00F450AF"/>
    <w:rsid w:val="00F45166"/>
    <w:rsid w:val="00F451D3"/>
    <w:rsid w:val="00F4526D"/>
    <w:rsid w:val="00F45279"/>
    <w:rsid w:val="00F452DF"/>
    <w:rsid w:val="00F45313"/>
    <w:rsid w:val="00F453B0"/>
    <w:rsid w:val="00F453D9"/>
    <w:rsid w:val="00F453E7"/>
    <w:rsid w:val="00F45402"/>
    <w:rsid w:val="00F45441"/>
    <w:rsid w:val="00F454DD"/>
    <w:rsid w:val="00F45590"/>
    <w:rsid w:val="00F45644"/>
    <w:rsid w:val="00F45649"/>
    <w:rsid w:val="00F457DD"/>
    <w:rsid w:val="00F458B0"/>
    <w:rsid w:val="00F458D6"/>
    <w:rsid w:val="00F459D9"/>
    <w:rsid w:val="00F459EF"/>
    <w:rsid w:val="00F45AB2"/>
    <w:rsid w:val="00F45AE7"/>
    <w:rsid w:val="00F45B3F"/>
    <w:rsid w:val="00F45B78"/>
    <w:rsid w:val="00F45C68"/>
    <w:rsid w:val="00F45C6E"/>
    <w:rsid w:val="00F45CB8"/>
    <w:rsid w:val="00F45E9E"/>
    <w:rsid w:val="00F45F2E"/>
    <w:rsid w:val="00F45F5C"/>
    <w:rsid w:val="00F45F7F"/>
    <w:rsid w:val="00F45F9F"/>
    <w:rsid w:val="00F460A1"/>
    <w:rsid w:val="00F46143"/>
    <w:rsid w:val="00F46183"/>
    <w:rsid w:val="00F461A3"/>
    <w:rsid w:val="00F461BF"/>
    <w:rsid w:val="00F4625E"/>
    <w:rsid w:val="00F46260"/>
    <w:rsid w:val="00F46323"/>
    <w:rsid w:val="00F4636D"/>
    <w:rsid w:val="00F46385"/>
    <w:rsid w:val="00F464D4"/>
    <w:rsid w:val="00F46529"/>
    <w:rsid w:val="00F46564"/>
    <w:rsid w:val="00F465A3"/>
    <w:rsid w:val="00F46678"/>
    <w:rsid w:val="00F466E3"/>
    <w:rsid w:val="00F46741"/>
    <w:rsid w:val="00F4675D"/>
    <w:rsid w:val="00F4685A"/>
    <w:rsid w:val="00F46891"/>
    <w:rsid w:val="00F468BB"/>
    <w:rsid w:val="00F468C9"/>
    <w:rsid w:val="00F469ED"/>
    <w:rsid w:val="00F469FA"/>
    <w:rsid w:val="00F46AAA"/>
    <w:rsid w:val="00F46B2D"/>
    <w:rsid w:val="00F46B77"/>
    <w:rsid w:val="00F46B92"/>
    <w:rsid w:val="00F46BE3"/>
    <w:rsid w:val="00F46C0E"/>
    <w:rsid w:val="00F46C7D"/>
    <w:rsid w:val="00F46E7E"/>
    <w:rsid w:val="00F46ED7"/>
    <w:rsid w:val="00F471A6"/>
    <w:rsid w:val="00F47291"/>
    <w:rsid w:val="00F473CA"/>
    <w:rsid w:val="00F47409"/>
    <w:rsid w:val="00F474EC"/>
    <w:rsid w:val="00F474F5"/>
    <w:rsid w:val="00F47541"/>
    <w:rsid w:val="00F47588"/>
    <w:rsid w:val="00F4764D"/>
    <w:rsid w:val="00F476C7"/>
    <w:rsid w:val="00F47729"/>
    <w:rsid w:val="00F477B7"/>
    <w:rsid w:val="00F477E1"/>
    <w:rsid w:val="00F477E2"/>
    <w:rsid w:val="00F47804"/>
    <w:rsid w:val="00F478A1"/>
    <w:rsid w:val="00F4797E"/>
    <w:rsid w:val="00F47982"/>
    <w:rsid w:val="00F47A8A"/>
    <w:rsid w:val="00F47AE4"/>
    <w:rsid w:val="00F47B8B"/>
    <w:rsid w:val="00F47BDD"/>
    <w:rsid w:val="00F47D16"/>
    <w:rsid w:val="00F47D3A"/>
    <w:rsid w:val="00F47DCA"/>
    <w:rsid w:val="00F47F41"/>
    <w:rsid w:val="00F47FB7"/>
    <w:rsid w:val="00F50064"/>
    <w:rsid w:val="00F500CE"/>
    <w:rsid w:val="00F50170"/>
    <w:rsid w:val="00F50331"/>
    <w:rsid w:val="00F504D2"/>
    <w:rsid w:val="00F50671"/>
    <w:rsid w:val="00F506EF"/>
    <w:rsid w:val="00F507A5"/>
    <w:rsid w:val="00F507ED"/>
    <w:rsid w:val="00F50848"/>
    <w:rsid w:val="00F508BE"/>
    <w:rsid w:val="00F50A26"/>
    <w:rsid w:val="00F50A63"/>
    <w:rsid w:val="00F50AB8"/>
    <w:rsid w:val="00F50BB7"/>
    <w:rsid w:val="00F50C11"/>
    <w:rsid w:val="00F50C4E"/>
    <w:rsid w:val="00F50CB7"/>
    <w:rsid w:val="00F50CE6"/>
    <w:rsid w:val="00F50CEF"/>
    <w:rsid w:val="00F50D1B"/>
    <w:rsid w:val="00F50D6C"/>
    <w:rsid w:val="00F50E2A"/>
    <w:rsid w:val="00F50F38"/>
    <w:rsid w:val="00F50F67"/>
    <w:rsid w:val="00F50F76"/>
    <w:rsid w:val="00F5103F"/>
    <w:rsid w:val="00F510BE"/>
    <w:rsid w:val="00F5112D"/>
    <w:rsid w:val="00F5130A"/>
    <w:rsid w:val="00F5135B"/>
    <w:rsid w:val="00F5146B"/>
    <w:rsid w:val="00F51498"/>
    <w:rsid w:val="00F5159F"/>
    <w:rsid w:val="00F515B3"/>
    <w:rsid w:val="00F515B4"/>
    <w:rsid w:val="00F516D6"/>
    <w:rsid w:val="00F517B0"/>
    <w:rsid w:val="00F517CA"/>
    <w:rsid w:val="00F51AAB"/>
    <w:rsid w:val="00F51C88"/>
    <w:rsid w:val="00F51D60"/>
    <w:rsid w:val="00F51E9B"/>
    <w:rsid w:val="00F521D2"/>
    <w:rsid w:val="00F52257"/>
    <w:rsid w:val="00F52305"/>
    <w:rsid w:val="00F523B7"/>
    <w:rsid w:val="00F52464"/>
    <w:rsid w:val="00F52472"/>
    <w:rsid w:val="00F524C9"/>
    <w:rsid w:val="00F5277F"/>
    <w:rsid w:val="00F52805"/>
    <w:rsid w:val="00F52817"/>
    <w:rsid w:val="00F52912"/>
    <w:rsid w:val="00F5294E"/>
    <w:rsid w:val="00F52A8E"/>
    <w:rsid w:val="00F52C48"/>
    <w:rsid w:val="00F52C57"/>
    <w:rsid w:val="00F52C63"/>
    <w:rsid w:val="00F52CC7"/>
    <w:rsid w:val="00F52F61"/>
    <w:rsid w:val="00F5302C"/>
    <w:rsid w:val="00F53129"/>
    <w:rsid w:val="00F53141"/>
    <w:rsid w:val="00F531BC"/>
    <w:rsid w:val="00F531E7"/>
    <w:rsid w:val="00F53233"/>
    <w:rsid w:val="00F53268"/>
    <w:rsid w:val="00F532BE"/>
    <w:rsid w:val="00F53386"/>
    <w:rsid w:val="00F533A8"/>
    <w:rsid w:val="00F534C4"/>
    <w:rsid w:val="00F53632"/>
    <w:rsid w:val="00F536AA"/>
    <w:rsid w:val="00F536B1"/>
    <w:rsid w:val="00F53739"/>
    <w:rsid w:val="00F5384B"/>
    <w:rsid w:val="00F538A5"/>
    <w:rsid w:val="00F538F4"/>
    <w:rsid w:val="00F53902"/>
    <w:rsid w:val="00F5392D"/>
    <w:rsid w:val="00F53A22"/>
    <w:rsid w:val="00F53B2D"/>
    <w:rsid w:val="00F53BF3"/>
    <w:rsid w:val="00F53C76"/>
    <w:rsid w:val="00F53C7A"/>
    <w:rsid w:val="00F53CFA"/>
    <w:rsid w:val="00F53CFC"/>
    <w:rsid w:val="00F53D1C"/>
    <w:rsid w:val="00F53D3E"/>
    <w:rsid w:val="00F53F34"/>
    <w:rsid w:val="00F53FC0"/>
    <w:rsid w:val="00F54140"/>
    <w:rsid w:val="00F5418C"/>
    <w:rsid w:val="00F54286"/>
    <w:rsid w:val="00F542A3"/>
    <w:rsid w:val="00F5430A"/>
    <w:rsid w:val="00F543C7"/>
    <w:rsid w:val="00F5452F"/>
    <w:rsid w:val="00F545E4"/>
    <w:rsid w:val="00F545FF"/>
    <w:rsid w:val="00F546F6"/>
    <w:rsid w:val="00F54710"/>
    <w:rsid w:val="00F5475D"/>
    <w:rsid w:val="00F54766"/>
    <w:rsid w:val="00F547EA"/>
    <w:rsid w:val="00F547F1"/>
    <w:rsid w:val="00F54839"/>
    <w:rsid w:val="00F5488C"/>
    <w:rsid w:val="00F548B7"/>
    <w:rsid w:val="00F549B2"/>
    <w:rsid w:val="00F549C3"/>
    <w:rsid w:val="00F549E1"/>
    <w:rsid w:val="00F54A04"/>
    <w:rsid w:val="00F54D81"/>
    <w:rsid w:val="00F54DF4"/>
    <w:rsid w:val="00F55077"/>
    <w:rsid w:val="00F55123"/>
    <w:rsid w:val="00F5522F"/>
    <w:rsid w:val="00F552A4"/>
    <w:rsid w:val="00F552DA"/>
    <w:rsid w:val="00F5534A"/>
    <w:rsid w:val="00F55479"/>
    <w:rsid w:val="00F554A1"/>
    <w:rsid w:val="00F554BA"/>
    <w:rsid w:val="00F55548"/>
    <w:rsid w:val="00F55549"/>
    <w:rsid w:val="00F55568"/>
    <w:rsid w:val="00F55578"/>
    <w:rsid w:val="00F55587"/>
    <w:rsid w:val="00F55634"/>
    <w:rsid w:val="00F55648"/>
    <w:rsid w:val="00F5573F"/>
    <w:rsid w:val="00F55745"/>
    <w:rsid w:val="00F557FB"/>
    <w:rsid w:val="00F5580A"/>
    <w:rsid w:val="00F5583B"/>
    <w:rsid w:val="00F55876"/>
    <w:rsid w:val="00F558ED"/>
    <w:rsid w:val="00F55A79"/>
    <w:rsid w:val="00F55A9C"/>
    <w:rsid w:val="00F55C91"/>
    <w:rsid w:val="00F55DB5"/>
    <w:rsid w:val="00F55DE0"/>
    <w:rsid w:val="00F55E71"/>
    <w:rsid w:val="00F55EFA"/>
    <w:rsid w:val="00F55F89"/>
    <w:rsid w:val="00F5603C"/>
    <w:rsid w:val="00F5604B"/>
    <w:rsid w:val="00F560A6"/>
    <w:rsid w:val="00F56115"/>
    <w:rsid w:val="00F561EE"/>
    <w:rsid w:val="00F5621C"/>
    <w:rsid w:val="00F56292"/>
    <w:rsid w:val="00F5635E"/>
    <w:rsid w:val="00F5639D"/>
    <w:rsid w:val="00F5644C"/>
    <w:rsid w:val="00F56546"/>
    <w:rsid w:val="00F56667"/>
    <w:rsid w:val="00F56719"/>
    <w:rsid w:val="00F567BF"/>
    <w:rsid w:val="00F56830"/>
    <w:rsid w:val="00F5685E"/>
    <w:rsid w:val="00F568FC"/>
    <w:rsid w:val="00F56947"/>
    <w:rsid w:val="00F56992"/>
    <w:rsid w:val="00F569B2"/>
    <w:rsid w:val="00F569B3"/>
    <w:rsid w:val="00F56A3D"/>
    <w:rsid w:val="00F56A88"/>
    <w:rsid w:val="00F56A9D"/>
    <w:rsid w:val="00F56C25"/>
    <w:rsid w:val="00F56C27"/>
    <w:rsid w:val="00F56C67"/>
    <w:rsid w:val="00F56C97"/>
    <w:rsid w:val="00F56E0C"/>
    <w:rsid w:val="00F56E5C"/>
    <w:rsid w:val="00F56EBA"/>
    <w:rsid w:val="00F56EED"/>
    <w:rsid w:val="00F56EFB"/>
    <w:rsid w:val="00F56F82"/>
    <w:rsid w:val="00F56FDA"/>
    <w:rsid w:val="00F57020"/>
    <w:rsid w:val="00F5705F"/>
    <w:rsid w:val="00F570FA"/>
    <w:rsid w:val="00F57128"/>
    <w:rsid w:val="00F57157"/>
    <w:rsid w:val="00F57171"/>
    <w:rsid w:val="00F571F6"/>
    <w:rsid w:val="00F5727B"/>
    <w:rsid w:val="00F57291"/>
    <w:rsid w:val="00F57378"/>
    <w:rsid w:val="00F573F6"/>
    <w:rsid w:val="00F57562"/>
    <w:rsid w:val="00F57575"/>
    <w:rsid w:val="00F575A9"/>
    <w:rsid w:val="00F575CB"/>
    <w:rsid w:val="00F57609"/>
    <w:rsid w:val="00F57653"/>
    <w:rsid w:val="00F57679"/>
    <w:rsid w:val="00F576A0"/>
    <w:rsid w:val="00F576A6"/>
    <w:rsid w:val="00F57776"/>
    <w:rsid w:val="00F578E9"/>
    <w:rsid w:val="00F57909"/>
    <w:rsid w:val="00F57983"/>
    <w:rsid w:val="00F579AC"/>
    <w:rsid w:val="00F57A28"/>
    <w:rsid w:val="00F57A67"/>
    <w:rsid w:val="00F57AC4"/>
    <w:rsid w:val="00F57B19"/>
    <w:rsid w:val="00F57B1D"/>
    <w:rsid w:val="00F57BD8"/>
    <w:rsid w:val="00F57C4D"/>
    <w:rsid w:val="00F57CAC"/>
    <w:rsid w:val="00F57D1B"/>
    <w:rsid w:val="00F57D37"/>
    <w:rsid w:val="00F57D5D"/>
    <w:rsid w:val="00F57DF0"/>
    <w:rsid w:val="00F57E2D"/>
    <w:rsid w:val="00F57E2F"/>
    <w:rsid w:val="00F57F27"/>
    <w:rsid w:val="00F57FEF"/>
    <w:rsid w:val="00F60155"/>
    <w:rsid w:val="00F60180"/>
    <w:rsid w:val="00F603EB"/>
    <w:rsid w:val="00F6045E"/>
    <w:rsid w:val="00F6046C"/>
    <w:rsid w:val="00F604C6"/>
    <w:rsid w:val="00F6059D"/>
    <w:rsid w:val="00F605E5"/>
    <w:rsid w:val="00F60742"/>
    <w:rsid w:val="00F60790"/>
    <w:rsid w:val="00F607EC"/>
    <w:rsid w:val="00F607F6"/>
    <w:rsid w:val="00F60836"/>
    <w:rsid w:val="00F6084B"/>
    <w:rsid w:val="00F60889"/>
    <w:rsid w:val="00F60901"/>
    <w:rsid w:val="00F609C7"/>
    <w:rsid w:val="00F60A31"/>
    <w:rsid w:val="00F60B1D"/>
    <w:rsid w:val="00F60BD1"/>
    <w:rsid w:val="00F60D57"/>
    <w:rsid w:val="00F60DEB"/>
    <w:rsid w:val="00F60DFD"/>
    <w:rsid w:val="00F60EAD"/>
    <w:rsid w:val="00F60ED0"/>
    <w:rsid w:val="00F60EFB"/>
    <w:rsid w:val="00F60F54"/>
    <w:rsid w:val="00F60FAA"/>
    <w:rsid w:val="00F60FB0"/>
    <w:rsid w:val="00F60FCF"/>
    <w:rsid w:val="00F61016"/>
    <w:rsid w:val="00F6123A"/>
    <w:rsid w:val="00F6127A"/>
    <w:rsid w:val="00F6128D"/>
    <w:rsid w:val="00F612F9"/>
    <w:rsid w:val="00F612FB"/>
    <w:rsid w:val="00F61316"/>
    <w:rsid w:val="00F613D4"/>
    <w:rsid w:val="00F61548"/>
    <w:rsid w:val="00F6156F"/>
    <w:rsid w:val="00F61714"/>
    <w:rsid w:val="00F61798"/>
    <w:rsid w:val="00F617F7"/>
    <w:rsid w:val="00F61804"/>
    <w:rsid w:val="00F618B4"/>
    <w:rsid w:val="00F6198C"/>
    <w:rsid w:val="00F619A7"/>
    <w:rsid w:val="00F619C4"/>
    <w:rsid w:val="00F61A59"/>
    <w:rsid w:val="00F61AB2"/>
    <w:rsid w:val="00F61ACC"/>
    <w:rsid w:val="00F61BF5"/>
    <w:rsid w:val="00F61D89"/>
    <w:rsid w:val="00F61DC8"/>
    <w:rsid w:val="00F61DE3"/>
    <w:rsid w:val="00F61E7C"/>
    <w:rsid w:val="00F61EA2"/>
    <w:rsid w:val="00F61EB3"/>
    <w:rsid w:val="00F61ED9"/>
    <w:rsid w:val="00F61FF1"/>
    <w:rsid w:val="00F62010"/>
    <w:rsid w:val="00F62075"/>
    <w:rsid w:val="00F6211A"/>
    <w:rsid w:val="00F621CE"/>
    <w:rsid w:val="00F62491"/>
    <w:rsid w:val="00F6251B"/>
    <w:rsid w:val="00F625A9"/>
    <w:rsid w:val="00F62630"/>
    <w:rsid w:val="00F626AC"/>
    <w:rsid w:val="00F626B9"/>
    <w:rsid w:val="00F62709"/>
    <w:rsid w:val="00F62785"/>
    <w:rsid w:val="00F62911"/>
    <w:rsid w:val="00F62939"/>
    <w:rsid w:val="00F6294E"/>
    <w:rsid w:val="00F6299B"/>
    <w:rsid w:val="00F62A99"/>
    <w:rsid w:val="00F62B4C"/>
    <w:rsid w:val="00F62B6A"/>
    <w:rsid w:val="00F62BE2"/>
    <w:rsid w:val="00F62BEF"/>
    <w:rsid w:val="00F62DCE"/>
    <w:rsid w:val="00F62EAA"/>
    <w:rsid w:val="00F62F37"/>
    <w:rsid w:val="00F62F92"/>
    <w:rsid w:val="00F632B9"/>
    <w:rsid w:val="00F633B4"/>
    <w:rsid w:val="00F633CB"/>
    <w:rsid w:val="00F63445"/>
    <w:rsid w:val="00F6349E"/>
    <w:rsid w:val="00F634BD"/>
    <w:rsid w:val="00F634D6"/>
    <w:rsid w:val="00F635D9"/>
    <w:rsid w:val="00F6368A"/>
    <w:rsid w:val="00F63731"/>
    <w:rsid w:val="00F638CD"/>
    <w:rsid w:val="00F63997"/>
    <w:rsid w:val="00F6399A"/>
    <w:rsid w:val="00F639D0"/>
    <w:rsid w:val="00F639E1"/>
    <w:rsid w:val="00F63A02"/>
    <w:rsid w:val="00F63A0F"/>
    <w:rsid w:val="00F63A43"/>
    <w:rsid w:val="00F63AD1"/>
    <w:rsid w:val="00F63BB6"/>
    <w:rsid w:val="00F63BBA"/>
    <w:rsid w:val="00F63BC2"/>
    <w:rsid w:val="00F63DB3"/>
    <w:rsid w:val="00F63DB7"/>
    <w:rsid w:val="00F63E6B"/>
    <w:rsid w:val="00F63F20"/>
    <w:rsid w:val="00F63F80"/>
    <w:rsid w:val="00F64001"/>
    <w:rsid w:val="00F64058"/>
    <w:rsid w:val="00F64119"/>
    <w:rsid w:val="00F64167"/>
    <w:rsid w:val="00F641F4"/>
    <w:rsid w:val="00F6420C"/>
    <w:rsid w:val="00F64480"/>
    <w:rsid w:val="00F64582"/>
    <w:rsid w:val="00F645F8"/>
    <w:rsid w:val="00F64601"/>
    <w:rsid w:val="00F64621"/>
    <w:rsid w:val="00F64885"/>
    <w:rsid w:val="00F64898"/>
    <w:rsid w:val="00F648CD"/>
    <w:rsid w:val="00F64963"/>
    <w:rsid w:val="00F649EE"/>
    <w:rsid w:val="00F64A07"/>
    <w:rsid w:val="00F64ADD"/>
    <w:rsid w:val="00F64ADE"/>
    <w:rsid w:val="00F64AEA"/>
    <w:rsid w:val="00F64B72"/>
    <w:rsid w:val="00F64BBB"/>
    <w:rsid w:val="00F64DC0"/>
    <w:rsid w:val="00F64E37"/>
    <w:rsid w:val="00F64E6C"/>
    <w:rsid w:val="00F64E79"/>
    <w:rsid w:val="00F64EB3"/>
    <w:rsid w:val="00F64EC9"/>
    <w:rsid w:val="00F64F94"/>
    <w:rsid w:val="00F64FCE"/>
    <w:rsid w:val="00F650FB"/>
    <w:rsid w:val="00F65184"/>
    <w:rsid w:val="00F651D4"/>
    <w:rsid w:val="00F651D9"/>
    <w:rsid w:val="00F6527C"/>
    <w:rsid w:val="00F65359"/>
    <w:rsid w:val="00F6540D"/>
    <w:rsid w:val="00F654C8"/>
    <w:rsid w:val="00F654CB"/>
    <w:rsid w:val="00F65521"/>
    <w:rsid w:val="00F6555B"/>
    <w:rsid w:val="00F65574"/>
    <w:rsid w:val="00F655C2"/>
    <w:rsid w:val="00F656B9"/>
    <w:rsid w:val="00F656DA"/>
    <w:rsid w:val="00F65739"/>
    <w:rsid w:val="00F6577E"/>
    <w:rsid w:val="00F657BE"/>
    <w:rsid w:val="00F6592B"/>
    <w:rsid w:val="00F65963"/>
    <w:rsid w:val="00F65970"/>
    <w:rsid w:val="00F659D1"/>
    <w:rsid w:val="00F65B0D"/>
    <w:rsid w:val="00F65B1F"/>
    <w:rsid w:val="00F65D41"/>
    <w:rsid w:val="00F65D74"/>
    <w:rsid w:val="00F65DB2"/>
    <w:rsid w:val="00F65E07"/>
    <w:rsid w:val="00F65E6A"/>
    <w:rsid w:val="00F65E76"/>
    <w:rsid w:val="00F65E85"/>
    <w:rsid w:val="00F65F69"/>
    <w:rsid w:val="00F65FE0"/>
    <w:rsid w:val="00F6612E"/>
    <w:rsid w:val="00F661EB"/>
    <w:rsid w:val="00F6633B"/>
    <w:rsid w:val="00F663E8"/>
    <w:rsid w:val="00F663FC"/>
    <w:rsid w:val="00F663FE"/>
    <w:rsid w:val="00F66445"/>
    <w:rsid w:val="00F66570"/>
    <w:rsid w:val="00F66583"/>
    <w:rsid w:val="00F66649"/>
    <w:rsid w:val="00F66651"/>
    <w:rsid w:val="00F66655"/>
    <w:rsid w:val="00F66674"/>
    <w:rsid w:val="00F66804"/>
    <w:rsid w:val="00F66864"/>
    <w:rsid w:val="00F668BF"/>
    <w:rsid w:val="00F6695F"/>
    <w:rsid w:val="00F66968"/>
    <w:rsid w:val="00F66A2C"/>
    <w:rsid w:val="00F66A4B"/>
    <w:rsid w:val="00F66A98"/>
    <w:rsid w:val="00F66ABA"/>
    <w:rsid w:val="00F66B22"/>
    <w:rsid w:val="00F66B63"/>
    <w:rsid w:val="00F66C07"/>
    <w:rsid w:val="00F66C0D"/>
    <w:rsid w:val="00F66C6F"/>
    <w:rsid w:val="00F66D51"/>
    <w:rsid w:val="00F66DD0"/>
    <w:rsid w:val="00F66E47"/>
    <w:rsid w:val="00F66E7A"/>
    <w:rsid w:val="00F66EAD"/>
    <w:rsid w:val="00F66FBB"/>
    <w:rsid w:val="00F66FD9"/>
    <w:rsid w:val="00F671AE"/>
    <w:rsid w:val="00F67294"/>
    <w:rsid w:val="00F6736F"/>
    <w:rsid w:val="00F67575"/>
    <w:rsid w:val="00F675B3"/>
    <w:rsid w:val="00F675B8"/>
    <w:rsid w:val="00F6760D"/>
    <w:rsid w:val="00F676B0"/>
    <w:rsid w:val="00F676D4"/>
    <w:rsid w:val="00F67739"/>
    <w:rsid w:val="00F67822"/>
    <w:rsid w:val="00F67823"/>
    <w:rsid w:val="00F678AD"/>
    <w:rsid w:val="00F679ED"/>
    <w:rsid w:val="00F67A41"/>
    <w:rsid w:val="00F67AB5"/>
    <w:rsid w:val="00F67B34"/>
    <w:rsid w:val="00F67B38"/>
    <w:rsid w:val="00F67BB7"/>
    <w:rsid w:val="00F67CB1"/>
    <w:rsid w:val="00F67D6B"/>
    <w:rsid w:val="00F67D75"/>
    <w:rsid w:val="00F67DAC"/>
    <w:rsid w:val="00F67ED6"/>
    <w:rsid w:val="00F67FCA"/>
    <w:rsid w:val="00F700C3"/>
    <w:rsid w:val="00F701FA"/>
    <w:rsid w:val="00F7023E"/>
    <w:rsid w:val="00F703B1"/>
    <w:rsid w:val="00F703D0"/>
    <w:rsid w:val="00F70428"/>
    <w:rsid w:val="00F70550"/>
    <w:rsid w:val="00F705BC"/>
    <w:rsid w:val="00F70618"/>
    <w:rsid w:val="00F70670"/>
    <w:rsid w:val="00F70780"/>
    <w:rsid w:val="00F70815"/>
    <w:rsid w:val="00F7087F"/>
    <w:rsid w:val="00F708D3"/>
    <w:rsid w:val="00F7094B"/>
    <w:rsid w:val="00F70A67"/>
    <w:rsid w:val="00F70AAC"/>
    <w:rsid w:val="00F70AF3"/>
    <w:rsid w:val="00F70B15"/>
    <w:rsid w:val="00F70B52"/>
    <w:rsid w:val="00F70B9E"/>
    <w:rsid w:val="00F70BAB"/>
    <w:rsid w:val="00F70BEA"/>
    <w:rsid w:val="00F70BF2"/>
    <w:rsid w:val="00F70E5C"/>
    <w:rsid w:val="00F70EE8"/>
    <w:rsid w:val="00F70F44"/>
    <w:rsid w:val="00F70FA7"/>
    <w:rsid w:val="00F70FCF"/>
    <w:rsid w:val="00F710A9"/>
    <w:rsid w:val="00F71162"/>
    <w:rsid w:val="00F71203"/>
    <w:rsid w:val="00F71231"/>
    <w:rsid w:val="00F712D8"/>
    <w:rsid w:val="00F712EF"/>
    <w:rsid w:val="00F712F4"/>
    <w:rsid w:val="00F71377"/>
    <w:rsid w:val="00F713D9"/>
    <w:rsid w:val="00F7141D"/>
    <w:rsid w:val="00F71435"/>
    <w:rsid w:val="00F714B2"/>
    <w:rsid w:val="00F71505"/>
    <w:rsid w:val="00F7150E"/>
    <w:rsid w:val="00F7162A"/>
    <w:rsid w:val="00F71737"/>
    <w:rsid w:val="00F7175C"/>
    <w:rsid w:val="00F717AD"/>
    <w:rsid w:val="00F71887"/>
    <w:rsid w:val="00F7191E"/>
    <w:rsid w:val="00F71999"/>
    <w:rsid w:val="00F71A11"/>
    <w:rsid w:val="00F71CBB"/>
    <w:rsid w:val="00F71CF5"/>
    <w:rsid w:val="00F71CFE"/>
    <w:rsid w:val="00F71D1B"/>
    <w:rsid w:val="00F71D43"/>
    <w:rsid w:val="00F7203A"/>
    <w:rsid w:val="00F7208C"/>
    <w:rsid w:val="00F72210"/>
    <w:rsid w:val="00F722D4"/>
    <w:rsid w:val="00F7236A"/>
    <w:rsid w:val="00F723EB"/>
    <w:rsid w:val="00F72478"/>
    <w:rsid w:val="00F72517"/>
    <w:rsid w:val="00F72523"/>
    <w:rsid w:val="00F727A1"/>
    <w:rsid w:val="00F72826"/>
    <w:rsid w:val="00F72853"/>
    <w:rsid w:val="00F72892"/>
    <w:rsid w:val="00F728CD"/>
    <w:rsid w:val="00F729E0"/>
    <w:rsid w:val="00F72A37"/>
    <w:rsid w:val="00F72A94"/>
    <w:rsid w:val="00F72C0B"/>
    <w:rsid w:val="00F72C88"/>
    <w:rsid w:val="00F72CAD"/>
    <w:rsid w:val="00F72D45"/>
    <w:rsid w:val="00F72DB6"/>
    <w:rsid w:val="00F72E13"/>
    <w:rsid w:val="00F72E95"/>
    <w:rsid w:val="00F73078"/>
    <w:rsid w:val="00F730CB"/>
    <w:rsid w:val="00F73194"/>
    <w:rsid w:val="00F731AA"/>
    <w:rsid w:val="00F7321B"/>
    <w:rsid w:val="00F7335B"/>
    <w:rsid w:val="00F7349D"/>
    <w:rsid w:val="00F73528"/>
    <w:rsid w:val="00F73578"/>
    <w:rsid w:val="00F735B8"/>
    <w:rsid w:val="00F735F8"/>
    <w:rsid w:val="00F735FE"/>
    <w:rsid w:val="00F73656"/>
    <w:rsid w:val="00F736C2"/>
    <w:rsid w:val="00F736F7"/>
    <w:rsid w:val="00F737AB"/>
    <w:rsid w:val="00F73808"/>
    <w:rsid w:val="00F7384C"/>
    <w:rsid w:val="00F7386B"/>
    <w:rsid w:val="00F738A5"/>
    <w:rsid w:val="00F738B1"/>
    <w:rsid w:val="00F738D4"/>
    <w:rsid w:val="00F739C5"/>
    <w:rsid w:val="00F73A60"/>
    <w:rsid w:val="00F73ACE"/>
    <w:rsid w:val="00F73C33"/>
    <w:rsid w:val="00F73C61"/>
    <w:rsid w:val="00F73CDA"/>
    <w:rsid w:val="00F73E2A"/>
    <w:rsid w:val="00F73E2E"/>
    <w:rsid w:val="00F73E4E"/>
    <w:rsid w:val="00F74051"/>
    <w:rsid w:val="00F74150"/>
    <w:rsid w:val="00F74169"/>
    <w:rsid w:val="00F741EC"/>
    <w:rsid w:val="00F7424C"/>
    <w:rsid w:val="00F7442B"/>
    <w:rsid w:val="00F74536"/>
    <w:rsid w:val="00F745FC"/>
    <w:rsid w:val="00F74600"/>
    <w:rsid w:val="00F74671"/>
    <w:rsid w:val="00F74684"/>
    <w:rsid w:val="00F7473D"/>
    <w:rsid w:val="00F74745"/>
    <w:rsid w:val="00F747F8"/>
    <w:rsid w:val="00F74814"/>
    <w:rsid w:val="00F7483C"/>
    <w:rsid w:val="00F74869"/>
    <w:rsid w:val="00F74881"/>
    <w:rsid w:val="00F74891"/>
    <w:rsid w:val="00F748E6"/>
    <w:rsid w:val="00F74922"/>
    <w:rsid w:val="00F74929"/>
    <w:rsid w:val="00F74959"/>
    <w:rsid w:val="00F749A5"/>
    <w:rsid w:val="00F749E9"/>
    <w:rsid w:val="00F74A67"/>
    <w:rsid w:val="00F74AFC"/>
    <w:rsid w:val="00F74B56"/>
    <w:rsid w:val="00F74B6F"/>
    <w:rsid w:val="00F74B73"/>
    <w:rsid w:val="00F74BAD"/>
    <w:rsid w:val="00F74C41"/>
    <w:rsid w:val="00F74C46"/>
    <w:rsid w:val="00F74D1A"/>
    <w:rsid w:val="00F74D56"/>
    <w:rsid w:val="00F74D7B"/>
    <w:rsid w:val="00F74D8A"/>
    <w:rsid w:val="00F74DB1"/>
    <w:rsid w:val="00F74F7C"/>
    <w:rsid w:val="00F750E0"/>
    <w:rsid w:val="00F75311"/>
    <w:rsid w:val="00F753DA"/>
    <w:rsid w:val="00F753FF"/>
    <w:rsid w:val="00F75400"/>
    <w:rsid w:val="00F7540D"/>
    <w:rsid w:val="00F75492"/>
    <w:rsid w:val="00F755D5"/>
    <w:rsid w:val="00F755E9"/>
    <w:rsid w:val="00F75604"/>
    <w:rsid w:val="00F7573E"/>
    <w:rsid w:val="00F75854"/>
    <w:rsid w:val="00F7595A"/>
    <w:rsid w:val="00F759B5"/>
    <w:rsid w:val="00F759B8"/>
    <w:rsid w:val="00F75A02"/>
    <w:rsid w:val="00F75C2F"/>
    <w:rsid w:val="00F75C84"/>
    <w:rsid w:val="00F75CEE"/>
    <w:rsid w:val="00F75D11"/>
    <w:rsid w:val="00F75D91"/>
    <w:rsid w:val="00F75E83"/>
    <w:rsid w:val="00F75EC5"/>
    <w:rsid w:val="00F75ECD"/>
    <w:rsid w:val="00F75F3C"/>
    <w:rsid w:val="00F760EE"/>
    <w:rsid w:val="00F7610A"/>
    <w:rsid w:val="00F761E2"/>
    <w:rsid w:val="00F7624C"/>
    <w:rsid w:val="00F76293"/>
    <w:rsid w:val="00F7642B"/>
    <w:rsid w:val="00F76482"/>
    <w:rsid w:val="00F76500"/>
    <w:rsid w:val="00F76618"/>
    <w:rsid w:val="00F7678C"/>
    <w:rsid w:val="00F76800"/>
    <w:rsid w:val="00F7689A"/>
    <w:rsid w:val="00F7699B"/>
    <w:rsid w:val="00F76AB7"/>
    <w:rsid w:val="00F76AEA"/>
    <w:rsid w:val="00F76B90"/>
    <w:rsid w:val="00F76C65"/>
    <w:rsid w:val="00F76D27"/>
    <w:rsid w:val="00F76D49"/>
    <w:rsid w:val="00F76D5E"/>
    <w:rsid w:val="00F76E4D"/>
    <w:rsid w:val="00F76F51"/>
    <w:rsid w:val="00F76F7B"/>
    <w:rsid w:val="00F76F7E"/>
    <w:rsid w:val="00F76FB7"/>
    <w:rsid w:val="00F7709E"/>
    <w:rsid w:val="00F77184"/>
    <w:rsid w:val="00F7725A"/>
    <w:rsid w:val="00F77379"/>
    <w:rsid w:val="00F773DA"/>
    <w:rsid w:val="00F7748A"/>
    <w:rsid w:val="00F77494"/>
    <w:rsid w:val="00F7754C"/>
    <w:rsid w:val="00F77553"/>
    <w:rsid w:val="00F7763B"/>
    <w:rsid w:val="00F776E6"/>
    <w:rsid w:val="00F77757"/>
    <w:rsid w:val="00F77792"/>
    <w:rsid w:val="00F77793"/>
    <w:rsid w:val="00F777FC"/>
    <w:rsid w:val="00F7790C"/>
    <w:rsid w:val="00F77952"/>
    <w:rsid w:val="00F7796B"/>
    <w:rsid w:val="00F77AB3"/>
    <w:rsid w:val="00F77B7F"/>
    <w:rsid w:val="00F77C75"/>
    <w:rsid w:val="00F77D22"/>
    <w:rsid w:val="00F77D2E"/>
    <w:rsid w:val="00F77E04"/>
    <w:rsid w:val="00F77EE6"/>
    <w:rsid w:val="00F77EEC"/>
    <w:rsid w:val="00F77F17"/>
    <w:rsid w:val="00F77FE3"/>
    <w:rsid w:val="00F78AD0"/>
    <w:rsid w:val="00F7B838"/>
    <w:rsid w:val="00F80041"/>
    <w:rsid w:val="00F8005E"/>
    <w:rsid w:val="00F800E4"/>
    <w:rsid w:val="00F80263"/>
    <w:rsid w:val="00F802DB"/>
    <w:rsid w:val="00F80359"/>
    <w:rsid w:val="00F803E0"/>
    <w:rsid w:val="00F803E4"/>
    <w:rsid w:val="00F80434"/>
    <w:rsid w:val="00F804F1"/>
    <w:rsid w:val="00F80549"/>
    <w:rsid w:val="00F8066B"/>
    <w:rsid w:val="00F80678"/>
    <w:rsid w:val="00F8080F"/>
    <w:rsid w:val="00F80816"/>
    <w:rsid w:val="00F80988"/>
    <w:rsid w:val="00F80A70"/>
    <w:rsid w:val="00F80A9A"/>
    <w:rsid w:val="00F80BBE"/>
    <w:rsid w:val="00F80BF3"/>
    <w:rsid w:val="00F80C53"/>
    <w:rsid w:val="00F80D9F"/>
    <w:rsid w:val="00F80DE1"/>
    <w:rsid w:val="00F80E47"/>
    <w:rsid w:val="00F80F82"/>
    <w:rsid w:val="00F8118F"/>
    <w:rsid w:val="00F8124B"/>
    <w:rsid w:val="00F812A2"/>
    <w:rsid w:val="00F813AB"/>
    <w:rsid w:val="00F8148F"/>
    <w:rsid w:val="00F81531"/>
    <w:rsid w:val="00F81571"/>
    <w:rsid w:val="00F815DC"/>
    <w:rsid w:val="00F81658"/>
    <w:rsid w:val="00F8166E"/>
    <w:rsid w:val="00F816C7"/>
    <w:rsid w:val="00F816EB"/>
    <w:rsid w:val="00F8177C"/>
    <w:rsid w:val="00F81843"/>
    <w:rsid w:val="00F8184C"/>
    <w:rsid w:val="00F81861"/>
    <w:rsid w:val="00F818C0"/>
    <w:rsid w:val="00F818C4"/>
    <w:rsid w:val="00F81940"/>
    <w:rsid w:val="00F819F3"/>
    <w:rsid w:val="00F81A2E"/>
    <w:rsid w:val="00F81AFC"/>
    <w:rsid w:val="00F81B33"/>
    <w:rsid w:val="00F81B9E"/>
    <w:rsid w:val="00F81EB3"/>
    <w:rsid w:val="00F81FB1"/>
    <w:rsid w:val="00F820D1"/>
    <w:rsid w:val="00F820DF"/>
    <w:rsid w:val="00F82192"/>
    <w:rsid w:val="00F82291"/>
    <w:rsid w:val="00F822AF"/>
    <w:rsid w:val="00F822F2"/>
    <w:rsid w:val="00F822FE"/>
    <w:rsid w:val="00F8246A"/>
    <w:rsid w:val="00F8255D"/>
    <w:rsid w:val="00F82562"/>
    <w:rsid w:val="00F825B3"/>
    <w:rsid w:val="00F82636"/>
    <w:rsid w:val="00F82637"/>
    <w:rsid w:val="00F82679"/>
    <w:rsid w:val="00F826BF"/>
    <w:rsid w:val="00F82706"/>
    <w:rsid w:val="00F827FE"/>
    <w:rsid w:val="00F828B3"/>
    <w:rsid w:val="00F828F5"/>
    <w:rsid w:val="00F82B8D"/>
    <w:rsid w:val="00F82C46"/>
    <w:rsid w:val="00F82D98"/>
    <w:rsid w:val="00F82DCB"/>
    <w:rsid w:val="00F82E7D"/>
    <w:rsid w:val="00F82E82"/>
    <w:rsid w:val="00F82EBB"/>
    <w:rsid w:val="00F82EBF"/>
    <w:rsid w:val="00F82ECE"/>
    <w:rsid w:val="00F82EFB"/>
    <w:rsid w:val="00F82F34"/>
    <w:rsid w:val="00F82F86"/>
    <w:rsid w:val="00F8321A"/>
    <w:rsid w:val="00F832E8"/>
    <w:rsid w:val="00F83474"/>
    <w:rsid w:val="00F834B9"/>
    <w:rsid w:val="00F83513"/>
    <w:rsid w:val="00F83519"/>
    <w:rsid w:val="00F83520"/>
    <w:rsid w:val="00F83550"/>
    <w:rsid w:val="00F8364E"/>
    <w:rsid w:val="00F836B8"/>
    <w:rsid w:val="00F836CA"/>
    <w:rsid w:val="00F836F0"/>
    <w:rsid w:val="00F83768"/>
    <w:rsid w:val="00F839EE"/>
    <w:rsid w:val="00F83AB5"/>
    <w:rsid w:val="00F83AE5"/>
    <w:rsid w:val="00F83B85"/>
    <w:rsid w:val="00F83C2F"/>
    <w:rsid w:val="00F83C62"/>
    <w:rsid w:val="00F83CCA"/>
    <w:rsid w:val="00F83CE1"/>
    <w:rsid w:val="00F83F2E"/>
    <w:rsid w:val="00F84119"/>
    <w:rsid w:val="00F84130"/>
    <w:rsid w:val="00F841B0"/>
    <w:rsid w:val="00F841C9"/>
    <w:rsid w:val="00F84234"/>
    <w:rsid w:val="00F8432B"/>
    <w:rsid w:val="00F84512"/>
    <w:rsid w:val="00F84524"/>
    <w:rsid w:val="00F84656"/>
    <w:rsid w:val="00F846CB"/>
    <w:rsid w:val="00F84702"/>
    <w:rsid w:val="00F8470F"/>
    <w:rsid w:val="00F84721"/>
    <w:rsid w:val="00F84885"/>
    <w:rsid w:val="00F8488F"/>
    <w:rsid w:val="00F848F4"/>
    <w:rsid w:val="00F8493F"/>
    <w:rsid w:val="00F84AB1"/>
    <w:rsid w:val="00F84AD8"/>
    <w:rsid w:val="00F84AEF"/>
    <w:rsid w:val="00F84B0F"/>
    <w:rsid w:val="00F84B6C"/>
    <w:rsid w:val="00F84BE0"/>
    <w:rsid w:val="00F84C08"/>
    <w:rsid w:val="00F84C93"/>
    <w:rsid w:val="00F84C9E"/>
    <w:rsid w:val="00F84CC0"/>
    <w:rsid w:val="00F84D42"/>
    <w:rsid w:val="00F84D78"/>
    <w:rsid w:val="00F84E49"/>
    <w:rsid w:val="00F84F9A"/>
    <w:rsid w:val="00F851A2"/>
    <w:rsid w:val="00F851D7"/>
    <w:rsid w:val="00F851E7"/>
    <w:rsid w:val="00F851EA"/>
    <w:rsid w:val="00F8523A"/>
    <w:rsid w:val="00F85243"/>
    <w:rsid w:val="00F852C6"/>
    <w:rsid w:val="00F852FF"/>
    <w:rsid w:val="00F8539F"/>
    <w:rsid w:val="00F85595"/>
    <w:rsid w:val="00F85699"/>
    <w:rsid w:val="00F857BC"/>
    <w:rsid w:val="00F857DE"/>
    <w:rsid w:val="00F858A8"/>
    <w:rsid w:val="00F858C5"/>
    <w:rsid w:val="00F85915"/>
    <w:rsid w:val="00F85950"/>
    <w:rsid w:val="00F85B10"/>
    <w:rsid w:val="00F85B4E"/>
    <w:rsid w:val="00F85C0D"/>
    <w:rsid w:val="00F85C28"/>
    <w:rsid w:val="00F85D2A"/>
    <w:rsid w:val="00F85D3A"/>
    <w:rsid w:val="00F85D70"/>
    <w:rsid w:val="00F85DA5"/>
    <w:rsid w:val="00F85F02"/>
    <w:rsid w:val="00F85F2A"/>
    <w:rsid w:val="00F85F4C"/>
    <w:rsid w:val="00F85FBB"/>
    <w:rsid w:val="00F861D6"/>
    <w:rsid w:val="00F8631B"/>
    <w:rsid w:val="00F86334"/>
    <w:rsid w:val="00F8637E"/>
    <w:rsid w:val="00F86538"/>
    <w:rsid w:val="00F86774"/>
    <w:rsid w:val="00F867DD"/>
    <w:rsid w:val="00F8684A"/>
    <w:rsid w:val="00F8686A"/>
    <w:rsid w:val="00F86973"/>
    <w:rsid w:val="00F869A2"/>
    <w:rsid w:val="00F86A0F"/>
    <w:rsid w:val="00F86A43"/>
    <w:rsid w:val="00F86AD3"/>
    <w:rsid w:val="00F86B65"/>
    <w:rsid w:val="00F86BBE"/>
    <w:rsid w:val="00F86C07"/>
    <w:rsid w:val="00F86C20"/>
    <w:rsid w:val="00F86CD5"/>
    <w:rsid w:val="00F86E0E"/>
    <w:rsid w:val="00F86EE6"/>
    <w:rsid w:val="00F86FDF"/>
    <w:rsid w:val="00F870CC"/>
    <w:rsid w:val="00F871DE"/>
    <w:rsid w:val="00F871F5"/>
    <w:rsid w:val="00F874C2"/>
    <w:rsid w:val="00F8756E"/>
    <w:rsid w:val="00F875C4"/>
    <w:rsid w:val="00F875CA"/>
    <w:rsid w:val="00F876AA"/>
    <w:rsid w:val="00F87838"/>
    <w:rsid w:val="00F8784E"/>
    <w:rsid w:val="00F878B4"/>
    <w:rsid w:val="00F878C1"/>
    <w:rsid w:val="00F87920"/>
    <w:rsid w:val="00F8796B"/>
    <w:rsid w:val="00F8799A"/>
    <w:rsid w:val="00F87A87"/>
    <w:rsid w:val="00F87B02"/>
    <w:rsid w:val="00F87BBC"/>
    <w:rsid w:val="00F87C1A"/>
    <w:rsid w:val="00F87C30"/>
    <w:rsid w:val="00F87ED7"/>
    <w:rsid w:val="00F87EFC"/>
    <w:rsid w:val="00F87F53"/>
    <w:rsid w:val="00F87F59"/>
    <w:rsid w:val="00F87F71"/>
    <w:rsid w:val="00F87FD9"/>
    <w:rsid w:val="00F900F9"/>
    <w:rsid w:val="00F90120"/>
    <w:rsid w:val="00F90244"/>
    <w:rsid w:val="00F90280"/>
    <w:rsid w:val="00F902E5"/>
    <w:rsid w:val="00F90338"/>
    <w:rsid w:val="00F903D3"/>
    <w:rsid w:val="00F90445"/>
    <w:rsid w:val="00F90484"/>
    <w:rsid w:val="00F904A6"/>
    <w:rsid w:val="00F904E8"/>
    <w:rsid w:val="00F905BA"/>
    <w:rsid w:val="00F905FC"/>
    <w:rsid w:val="00F90664"/>
    <w:rsid w:val="00F90759"/>
    <w:rsid w:val="00F90775"/>
    <w:rsid w:val="00F9081A"/>
    <w:rsid w:val="00F9086D"/>
    <w:rsid w:val="00F9090C"/>
    <w:rsid w:val="00F90980"/>
    <w:rsid w:val="00F909CC"/>
    <w:rsid w:val="00F90A97"/>
    <w:rsid w:val="00F90AAF"/>
    <w:rsid w:val="00F90ABA"/>
    <w:rsid w:val="00F90AC6"/>
    <w:rsid w:val="00F90AD9"/>
    <w:rsid w:val="00F90AFD"/>
    <w:rsid w:val="00F90C4D"/>
    <w:rsid w:val="00F90E3C"/>
    <w:rsid w:val="00F90FB5"/>
    <w:rsid w:val="00F9125D"/>
    <w:rsid w:val="00F91271"/>
    <w:rsid w:val="00F91289"/>
    <w:rsid w:val="00F912C0"/>
    <w:rsid w:val="00F913BC"/>
    <w:rsid w:val="00F913E3"/>
    <w:rsid w:val="00F913ED"/>
    <w:rsid w:val="00F9145D"/>
    <w:rsid w:val="00F91468"/>
    <w:rsid w:val="00F91472"/>
    <w:rsid w:val="00F914C4"/>
    <w:rsid w:val="00F915C2"/>
    <w:rsid w:val="00F91671"/>
    <w:rsid w:val="00F91885"/>
    <w:rsid w:val="00F918E8"/>
    <w:rsid w:val="00F919B8"/>
    <w:rsid w:val="00F919DA"/>
    <w:rsid w:val="00F91A67"/>
    <w:rsid w:val="00F91AB6"/>
    <w:rsid w:val="00F91AC3"/>
    <w:rsid w:val="00F91B18"/>
    <w:rsid w:val="00F91C3A"/>
    <w:rsid w:val="00F91C65"/>
    <w:rsid w:val="00F91CF0"/>
    <w:rsid w:val="00F91D5B"/>
    <w:rsid w:val="00F91E60"/>
    <w:rsid w:val="00F91EB3"/>
    <w:rsid w:val="00F91EE1"/>
    <w:rsid w:val="00F91EF9"/>
    <w:rsid w:val="00F91F73"/>
    <w:rsid w:val="00F92016"/>
    <w:rsid w:val="00F9202E"/>
    <w:rsid w:val="00F9205E"/>
    <w:rsid w:val="00F92097"/>
    <w:rsid w:val="00F920A1"/>
    <w:rsid w:val="00F920C9"/>
    <w:rsid w:val="00F922C1"/>
    <w:rsid w:val="00F9235E"/>
    <w:rsid w:val="00F9237C"/>
    <w:rsid w:val="00F92422"/>
    <w:rsid w:val="00F924F6"/>
    <w:rsid w:val="00F92578"/>
    <w:rsid w:val="00F925C3"/>
    <w:rsid w:val="00F92709"/>
    <w:rsid w:val="00F92777"/>
    <w:rsid w:val="00F927C4"/>
    <w:rsid w:val="00F927E6"/>
    <w:rsid w:val="00F928B6"/>
    <w:rsid w:val="00F92965"/>
    <w:rsid w:val="00F92A37"/>
    <w:rsid w:val="00F92DF7"/>
    <w:rsid w:val="00F92E37"/>
    <w:rsid w:val="00F92E7A"/>
    <w:rsid w:val="00F92FB0"/>
    <w:rsid w:val="00F92FD8"/>
    <w:rsid w:val="00F930A8"/>
    <w:rsid w:val="00F93170"/>
    <w:rsid w:val="00F931FB"/>
    <w:rsid w:val="00F93354"/>
    <w:rsid w:val="00F93355"/>
    <w:rsid w:val="00F9339E"/>
    <w:rsid w:val="00F933E5"/>
    <w:rsid w:val="00F93488"/>
    <w:rsid w:val="00F9366E"/>
    <w:rsid w:val="00F93795"/>
    <w:rsid w:val="00F937CD"/>
    <w:rsid w:val="00F938B7"/>
    <w:rsid w:val="00F938D2"/>
    <w:rsid w:val="00F938E8"/>
    <w:rsid w:val="00F93979"/>
    <w:rsid w:val="00F93998"/>
    <w:rsid w:val="00F93A78"/>
    <w:rsid w:val="00F93B56"/>
    <w:rsid w:val="00F93B77"/>
    <w:rsid w:val="00F93B89"/>
    <w:rsid w:val="00F93BF4"/>
    <w:rsid w:val="00F93C4E"/>
    <w:rsid w:val="00F93CAF"/>
    <w:rsid w:val="00F93DB7"/>
    <w:rsid w:val="00F93EA8"/>
    <w:rsid w:val="00F93ED2"/>
    <w:rsid w:val="00F93F88"/>
    <w:rsid w:val="00F93F9A"/>
    <w:rsid w:val="00F94048"/>
    <w:rsid w:val="00F940FD"/>
    <w:rsid w:val="00F941F4"/>
    <w:rsid w:val="00F9422D"/>
    <w:rsid w:val="00F9427C"/>
    <w:rsid w:val="00F94369"/>
    <w:rsid w:val="00F94416"/>
    <w:rsid w:val="00F94428"/>
    <w:rsid w:val="00F94432"/>
    <w:rsid w:val="00F94582"/>
    <w:rsid w:val="00F9462A"/>
    <w:rsid w:val="00F9466E"/>
    <w:rsid w:val="00F94682"/>
    <w:rsid w:val="00F946BA"/>
    <w:rsid w:val="00F947B4"/>
    <w:rsid w:val="00F94823"/>
    <w:rsid w:val="00F94920"/>
    <w:rsid w:val="00F9498A"/>
    <w:rsid w:val="00F949AD"/>
    <w:rsid w:val="00F949BD"/>
    <w:rsid w:val="00F94ABA"/>
    <w:rsid w:val="00F94BC0"/>
    <w:rsid w:val="00F94BEB"/>
    <w:rsid w:val="00F94BF1"/>
    <w:rsid w:val="00F94C37"/>
    <w:rsid w:val="00F94D5D"/>
    <w:rsid w:val="00F94D6A"/>
    <w:rsid w:val="00F94E83"/>
    <w:rsid w:val="00F94EE1"/>
    <w:rsid w:val="00F94F19"/>
    <w:rsid w:val="00F94FB7"/>
    <w:rsid w:val="00F94FBB"/>
    <w:rsid w:val="00F9519B"/>
    <w:rsid w:val="00F95257"/>
    <w:rsid w:val="00F9527A"/>
    <w:rsid w:val="00F9531C"/>
    <w:rsid w:val="00F9532E"/>
    <w:rsid w:val="00F9537A"/>
    <w:rsid w:val="00F953E5"/>
    <w:rsid w:val="00F95407"/>
    <w:rsid w:val="00F9564A"/>
    <w:rsid w:val="00F95657"/>
    <w:rsid w:val="00F956B8"/>
    <w:rsid w:val="00F95737"/>
    <w:rsid w:val="00F957A9"/>
    <w:rsid w:val="00F95836"/>
    <w:rsid w:val="00F9588C"/>
    <w:rsid w:val="00F95900"/>
    <w:rsid w:val="00F959A8"/>
    <w:rsid w:val="00F959B3"/>
    <w:rsid w:val="00F95A02"/>
    <w:rsid w:val="00F95AE4"/>
    <w:rsid w:val="00F95B1B"/>
    <w:rsid w:val="00F95CAE"/>
    <w:rsid w:val="00F95CBA"/>
    <w:rsid w:val="00F95E9F"/>
    <w:rsid w:val="00F95EA5"/>
    <w:rsid w:val="00F95F52"/>
    <w:rsid w:val="00F95F9B"/>
    <w:rsid w:val="00F96046"/>
    <w:rsid w:val="00F96049"/>
    <w:rsid w:val="00F96076"/>
    <w:rsid w:val="00F9627B"/>
    <w:rsid w:val="00F962AD"/>
    <w:rsid w:val="00F963E9"/>
    <w:rsid w:val="00F96431"/>
    <w:rsid w:val="00F96494"/>
    <w:rsid w:val="00F965E8"/>
    <w:rsid w:val="00F96683"/>
    <w:rsid w:val="00F96768"/>
    <w:rsid w:val="00F96793"/>
    <w:rsid w:val="00F96870"/>
    <w:rsid w:val="00F96933"/>
    <w:rsid w:val="00F96986"/>
    <w:rsid w:val="00F969E9"/>
    <w:rsid w:val="00F969F4"/>
    <w:rsid w:val="00F96A74"/>
    <w:rsid w:val="00F96AA1"/>
    <w:rsid w:val="00F96B84"/>
    <w:rsid w:val="00F96BCD"/>
    <w:rsid w:val="00F96C97"/>
    <w:rsid w:val="00F96D43"/>
    <w:rsid w:val="00F96D44"/>
    <w:rsid w:val="00F96D83"/>
    <w:rsid w:val="00F96F05"/>
    <w:rsid w:val="00F96F6A"/>
    <w:rsid w:val="00F97058"/>
    <w:rsid w:val="00F970F3"/>
    <w:rsid w:val="00F97218"/>
    <w:rsid w:val="00F972E6"/>
    <w:rsid w:val="00F97349"/>
    <w:rsid w:val="00F973A4"/>
    <w:rsid w:val="00F973DF"/>
    <w:rsid w:val="00F97438"/>
    <w:rsid w:val="00F9746E"/>
    <w:rsid w:val="00F975E5"/>
    <w:rsid w:val="00F975FB"/>
    <w:rsid w:val="00F97624"/>
    <w:rsid w:val="00F976A8"/>
    <w:rsid w:val="00F976D8"/>
    <w:rsid w:val="00F976DC"/>
    <w:rsid w:val="00F976FF"/>
    <w:rsid w:val="00F97815"/>
    <w:rsid w:val="00F9789D"/>
    <w:rsid w:val="00F979E7"/>
    <w:rsid w:val="00F97A09"/>
    <w:rsid w:val="00F97AD8"/>
    <w:rsid w:val="00F97AE1"/>
    <w:rsid w:val="00F97B23"/>
    <w:rsid w:val="00F97BD2"/>
    <w:rsid w:val="00F97BF1"/>
    <w:rsid w:val="00F97DF9"/>
    <w:rsid w:val="00F97E53"/>
    <w:rsid w:val="00F97FAD"/>
    <w:rsid w:val="00FA0176"/>
    <w:rsid w:val="00FA0226"/>
    <w:rsid w:val="00FA0369"/>
    <w:rsid w:val="00FA0394"/>
    <w:rsid w:val="00FA0619"/>
    <w:rsid w:val="00FA065C"/>
    <w:rsid w:val="00FA0662"/>
    <w:rsid w:val="00FA082C"/>
    <w:rsid w:val="00FA08C3"/>
    <w:rsid w:val="00FA090C"/>
    <w:rsid w:val="00FA0ACD"/>
    <w:rsid w:val="00FA0B05"/>
    <w:rsid w:val="00FA0B44"/>
    <w:rsid w:val="00FA0CAB"/>
    <w:rsid w:val="00FA0CF1"/>
    <w:rsid w:val="00FA0D2C"/>
    <w:rsid w:val="00FA0D8B"/>
    <w:rsid w:val="00FA0EB2"/>
    <w:rsid w:val="00FA0EF7"/>
    <w:rsid w:val="00FA0FC2"/>
    <w:rsid w:val="00FA0FF6"/>
    <w:rsid w:val="00FA107C"/>
    <w:rsid w:val="00FA1087"/>
    <w:rsid w:val="00FA1181"/>
    <w:rsid w:val="00FA121B"/>
    <w:rsid w:val="00FA1276"/>
    <w:rsid w:val="00FA12CA"/>
    <w:rsid w:val="00FA1398"/>
    <w:rsid w:val="00FA139A"/>
    <w:rsid w:val="00FA1595"/>
    <w:rsid w:val="00FA1598"/>
    <w:rsid w:val="00FA15AC"/>
    <w:rsid w:val="00FA16AA"/>
    <w:rsid w:val="00FA16B6"/>
    <w:rsid w:val="00FA1702"/>
    <w:rsid w:val="00FA1799"/>
    <w:rsid w:val="00FA17E0"/>
    <w:rsid w:val="00FA180B"/>
    <w:rsid w:val="00FA1826"/>
    <w:rsid w:val="00FA1A3E"/>
    <w:rsid w:val="00FA1B89"/>
    <w:rsid w:val="00FA1BC0"/>
    <w:rsid w:val="00FA1C28"/>
    <w:rsid w:val="00FA1D07"/>
    <w:rsid w:val="00FA1D76"/>
    <w:rsid w:val="00FA1F24"/>
    <w:rsid w:val="00FA1FB2"/>
    <w:rsid w:val="00FA20AE"/>
    <w:rsid w:val="00FA21A6"/>
    <w:rsid w:val="00FA23F1"/>
    <w:rsid w:val="00FA2435"/>
    <w:rsid w:val="00FA24DF"/>
    <w:rsid w:val="00FA2610"/>
    <w:rsid w:val="00FA26CD"/>
    <w:rsid w:val="00FA2723"/>
    <w:rsid w:val="00FA273A"/>
    <w:rsid w:val="00FA278B"/>
    <w:rsid w:val="00FA2791"/>
    <w:rsid w:val="00FA2922"/>
    <w:rsid w:val="00FA2B8C"/>
    <w:rsid w:val="00FA2B9D"/>
    <w:rsid w:val="00FA2BE2"/>
    <w:rsid w:val="00FA2DB7"/>
    <w:rsid w:val="00FA2E18"/>
    <w:rsid w:val="00FA2E35"/>
    <w:rsid w:val="00FA2FC9"/>
    <w:rsid w:val="00FA2FF1"/>
    <w:rsid w:val="00FA3062"/>
    <w:rsid w:val="00FA3072"/>
    <w:rsid w:val="00FA3076"/>
    <w:rsid w:val="00FA3357"/>
    <w:rsid w:val="00FA33D8"/>
    <w:rsid w:val="00FA3458"/>
    <w:rsid w:val="00FA34DC"/>
    <w:rsid w:val="00FA350B"/>
    <w:rsid w:val="00FA3640"/>
    <w:rsid w:val="00FA3789"/>
    <w:rsid w:val="00FA38E1"/>
    <w:rsid w:val="00FA38ED"/>
    <w:rsid w:val="00FA3961"/>
    <w:rsid w:val="00FA3B61"/>
    <w:rsid w:val="00FA3B70"/>
    <w:rsid w:val="00FA3C61"/>
    <w:rsid w:val="00FA3CE6"/>
    <w:rsid w:val="00FA3E5A"/>
    <w:rsid w:val="00FA3F76"/>
    <w:rsid w:val="00FA4036"/>
    <w:rsid w:val="00FA41F1"/>
    <w:rsid w:val="00FA42FE"/>
    <w:rsid w:val="00FA44E9"/>
    <w:rsid w:val="00FA458E"/>
    <w:rsid w:val="00FA4634"/>
    <w:rsid w:val="00FA46F1"/>
    <w:rsid w:val="00FA46F6"/>
    <w:rsid w:val="00FA4798"/>
    <w:rsid w:val="00FA47FD"/>
    <w:rsid w:val="00FA4857"/>
    <w:rsid w:val="00FA492D"/>
    <w:rsid w:val="00FA49D5"/>
    <w:rsid w:val="00FA4A63"/>
    <w:rsid w:val="00FA4ADE"/>
    <w:rsid w:val="00FA4B61"/>
    <w:rsid w:val="00FA4C26"/>
    <w:rsid w:val="00FA4CDB"/>
    <w:rsid w:val="00FA4D5E"/>
    <w:rsid w:val="00FA4DBB"/>
    <w:rsid w:val="00FA4E31"/>
    <w:rsid w:val="00FA4FAA"/>
    <w:rsid w:val="00FA5090"/>
    <w:rsid w:val="00FA50AA"/>
    <w:rsid w:val="00FA50D0"/>
    <w:rsid w:val="00FA5162"/>
    <w:rsid w:val="00FA51AF"/>
    <w:rsid w:val="00FA5350"/>
    <w:rsid w:val="00FA5588"/>
    <w:rsid w:val="00FA5638"/>
    <w:rsid w:val="00FA56DE"/>
    <w:rsid w:val="00FA56F2"/>
    <w:rsid w:val="00FA5785"/>
    <w:rsid w:val="00FA5848"/>
    <w:rsid w:val="00FA5876"/>
    <w:rsid w:val="00FA587F"/>
    <w:rsid w:val="00FA5A26"/>
    <w:rsid w:val="00FA5BDB"/>
    <w:rsid w:val="00FA5D35"/>
    <w:rsid w:val="00FA5D40"/>
    <w:rsid w:val="00FA5D80"/>
    <w:rsid w:val="00FA5DFC"/>
    <w:rsid w:val="00FA5E12"/>
    <w:rsid w:val="00FA5E85"/>
    <w:rsid w:val="00FA5EEB"/>
    <w:rsid w:val="00FA5F05"/>
    <w:rsid w:val="00FA5F09"/>
    <w:rsid w:val="00FA5F46"/>
    <w:rsid w:val="00FA5F85"/>
    <w:rsid w:val="00FA606C"/>
    <w:rsid w:val="00FA606E"/>
    <w:rsid w:val="00FA6087"/>
    <w:rsid w:val="00FA61C2"/>
    <w:rsid w:val="00FA631F"/>
    <w:rsid w:val="00FA633F"/>
    <w:rsid w:val="00FA640F"/>
    <w:rsid w:val="00FA64DE"/>
    <w:rsid w:val="00FA6592"/>
    <w:rsid w:val="00FA65EF"/>
    <w:rsid w:val="00FA6638"/>
    <w:rsid w:val="00FA6640"/>
    <w:rsid w:val="00FA66CC"/>
    <w:rsid w:val="00FA6712"/>
    <w:rsid w:val="00FA6715"/>
    <w:rsid w:val="00FA67CF"/>
    <w:rsid w:val="00FA67E1"/>
    <w:rsid w:val="00FA67EB"/>
    <w:rsid w:val="00FA6817"/>
    <w:rsid w:val="00FA682D"/>
    <w:rsid w:val="00FA68B9"/>
    <w:rsid w:val="00FA6957"/>
    <w:rsid w:val="00FA69CB"/>
    <w:rsid w:val="00FA69E4"/>
    <w:rsid w:val="00FA6A48"/>
    <w:rsid w:val="00FA6B3B"/>
    <w:rsid w:val="00FA6B3C"/>
    <w:rsid w:val="00FA6B82"/>
    <w:rsid w:val="00FA6BC4"/>
    <w:rsid w:val="00FA6C0A"/>
    <w:rsid w:val="00FA6C2B"/>
    <w:rsid w:val="00FA6C63"/>
    <w:rsid w:val="00FA6D26"/>
    <w:rsid w:val="00FA6D82"/>
    <w:rsid w:val="00FA6F28"/>
    <w:rsid w:val="00FA6F74"/>
    <w:rsid w:val="00FA6FB8"/>
    <w:rsid w:val="00FA704A"/>
    <w:rsid w:val="00FA7062"/>
    <w:rsid w:val="00FA7273"/>
    <w:rsid w:val="00FA727D"/>
    <w:rsid w:val="00FA73A8"/>
    <w:rsid w:val="00FA740D"/>
    <w:rsid w:val="00FA7594"/>
    <w:rsid w:val="00FA7668"/>
    <w:rsid w:val="00FA7686"/>
    <w:rsid w:val="00FA77B0"/>
    <w:rsid w:val="00FA7820"/>
    <w:rsid w:val="00FA7876"/>
    <w:rsid w:val="00FA78CB"/>
    <w:rsid w:val="00FA7A48"/>
    <w:rsid w:val="00FA7B11"/>
    <w:rsid w:val="00FA7B58"/>
    <w:rsid w:val="00FA7C28"/>
    <w:rsid w:val="00FA7E49"/>
    <w:rsid w:val="00FA7EDA"/>
    <w:rsid w:val="00FB00B8"/>
    <w:rsid w:val="00FB00BD"/>
    <w:rsid w:val="00FB0170"/>
    <w:rsid w:val="00FB0437"/>
    <w:rsid w:val="00FB0486"/>
    <w:rsid w:val="00FB0518"/>
    <w:rsid w:val="00FB05BB"/>
    <w:rsid w:val="00FB062A"/>
    <w:rsid w:val="00FB0667"/>
    <w:rsid w:val="00FB06C0"/>
    <w:rsid w:val="00FB0727"/>
    <w:rsid w:val="00FB0729"/>
    <w:rsid w:val="00FB078B"/>
    <w:rsid w:val="00FB07AF"/>
    <w:rsid w:val="00FB0824"/>
    <w:rsid w:val="00FB0883"/>
    <w:rsid w:val="00FB0A0B"/>
    <w:rsid w:val="00FB0A78"/>
    <w:rsid w:val="00FB0B28"/>
    <w:rsid w:val="00FB0C77"/>
    <w:rsid w:val="00FB0CE3"/>
    <w:rsid w:val="00FB0D21"/>
    <w:rsid w:val="00FB0D2B"/>
    <w:rsid w:val="00FB0D2E"/>
    <w:rsid w:val="00FB0D58"/>
    <w:rsid w:val="00FB0DB6"/>
    <w:rsid w:val="00FB1016"/>
    <w:rsid w:val="00FB1166"/>
    <w:rsid w:val="00FB1181"/>
    <w:rsid w:val="00FB12BE"/>
    <w:rsid w:val="00FB13C6"/>
    <w:rsid w:val="00FB14B1"/>
    <w:rsid w:val="00FB14DF"/>
    <w:rsid w:val="00FB1555"/>
    <w:rsid w:val="00FB1569"/>
    <w:rsid w:val="00FB1703"/>
    <w:rsid w:val="00FB174A"/>
    <w:rsid w:val="00FB18FF"/>
    <w:rsid w:val="00FB1973"/>
    <w:rsid w:val="00FB19A8"/>
    <w:rsid w:val="00FB1A88"/>
    <w:rsid w:val="00FB1B2A"/>
    <w:rsid w:val="00FB1B41"/>
    <w:rsid w:val="00FB1BB3"/>
    <w:rsid w:val="00FB1C9A"/>
    <w:rsid w:val="00FB1CC3"/>
    <w:rsid w:val="00FB1E00"/>
    <w:rsid w:val="00FB1E90"/>
    <w:rsid w:val="00FB1F8F"/>
    <w:rsid w:val="00FB1F9B"/>
    <w:rsid w:val="00FB20CD"/>
    <w:rsid w:val="00FB215D"/>
    <w:rsid w:val="00FB21D8"/>
    <w:rsid w:val="00FB2229"/>
    <w:rsid w:val="00FB2291"/>
    <w:rsid w:val="00FB2390"/>
    <w:rsid w:val="00FB24A8"/>
    <w:rsid w:val="00FB24E6"/>
    <w:rsid w:val="00FB2578"/>
    <w:rsid w:val="00FB2776"/>
    <w:rsid w:val="00FB2803"/>
    <w:rsid w:val="00FB281E"/>
    <w:rsid w:val="00FB28B4"/>
    <w:rsid w:val="00FB2A14"/>
    <w:rsid w:val="00FB2A24"/>
    <w:rsid w:val="00FB2AE4"/>
    <w:rsid w:val="00FB2B28"/>
    <w:rsid w:val="00FB2CFE"/>
    <w:rsid w:val="00FB2D69"/>
    <w:rsid w:val="00FB2E5F"/>
    <w:rsid w:val="00FB2E72"/>
    <w:rsid w:val="00FB2E91"/>
    <w:rsid w:val="00FB2FD6"/>
    <w:rsid w:val="00FB3011"/>
    <w:rsid w:val="00FB30E6"/>
    <w:rsid w:val="00FB30FF"/>
    <w:rsid w:val="00FB31C0"/>
    <w:rsid w:val="00FB320D"/>
    <w:rsid w:val="00FB3348"/>
    <w:rsid w:val="00FB3374"/>
    <w:rsid w:val="00FB343F"/>
    <w:rsid w:val="00FB3572"/>
    <w:rsid w:val="00FB35C4"/>
    <w:rsid w:val="00FB35C6"/>
    <w:rsid w:val="00FB3682"/>
    <w:rsid w:val="00FB36F3"/>
    <w:rsid w:val="00FB377F"/>
    <w:rsid w:val="00FB37D7"/>
    <w:rsid w:val="00FB37FE"/>
    <w:rsid w:val="00FB3802"/>
    <w:rsid w:val="00FB3858"/>
    <w:rsid w:val="00FB3924"/>
    <w:rsid w:val="00FB3986"/>
    <w:rsid w:val="00FB3AA6"/>
    <w:rsid w:val="00FB3AFC"/>
    <w:rsid w:val="00FB3CB8"/>
    <w:rsid w:val="00FB3CEB"/>
    <w:rsid w:val="00FB3CFC"/>
    <w:rsid w:val="00FB3CFF"/>
    <w:rsid w:val="00FB3E20"/>
    <w:rsid w:val="00FB409C"/>
    <w:rsid w:val="00FB417E"/>
    <w:rsid w:val="00FB41B2"/>
    <w:rsid w:val="00FB423E"/>
    <w:rsid w:val="00FB4342"/>
    <w:rsid w:val="00FB43B4"/>
    <w:rsid w:val="00FB43E4"/>
    <w:rsid w:val="00FB44F7"/>
    <w:rsid w:val="00FB4821"/>
    <w:rsid w:val="00FB486F"/>
    <w:rsid w:val="00FB48F6"/>
    <w:rsid w:val="00FB4B02"/>
    <w:rsid w:val="00FB4B55"/>
    <w:rsid w:val="00FB4BC8"/>
    <w:rsid w:val="00FB4C84"/>
    <w:rsid w:val="00FB4D52"/>
    <w:rsid w:val="00FB4D88"/>
    <w:rsid w:val="00FB4DA4"/>
    <w:rsid w:val="00FB4DC8"/>
    <w:rsid w:val="00FB4DCE"/>
    <w:rsid w:val="00FB4E02"/>
    <w:rsid w:val="00FB4E92"/>
    <w:rsid w:val="00FB4E98"/>
    <w:rsid w:val="00FB4F56"/>
    <w:rsid w:val="00FB4F5E"/>
    <w:rsid w:val="00FB5037"/>
    <w:rsid w:val="00FB50B6"/>
    <w:rsid w:val="00FB5187"/>
    <w:rsid w:val="00FB5419"/>
    <w:rsid w:val="00FB543C"/>
    <w:rsid w:val="00FB559A"/>
    <w:rsid w:val="00FB5662"/>
    <w:rsid w:val="00FB57E9"/>
    <w:rsid w:val="00FB58F8"/>
    <w:rsid w:val="00FB595C"/>
    <w:rsid w:val="00FB59F6"/>
    <w:rsid w:val="00FB5BC6"/>
    <w:rsid w:val="00FB5D63"/>
    <w:rsid w:val="00FB5E78"/>
    <w:rsid w:val="00FB5E7F"/>
    <w:rsid w:val="00FB5F50"/>
    <w:rsid w:val="00FB60C0"/>
    <w:rsid w:val="00FB610F"/>
    <w:rsid w:val="00FB613C"/>
    <w:rsid w:val="00FB625C"/>
    <w:rsid w:val="00FB62F4"/>
    <w:rsid w:val="00FB631D"/>
    <w:rsid w:val="00FB6329"/>
    <w:rsid w:val="00FB6408"/>
    <w:rsid w:val="00FB6467"/>
    <w:rsid w:val="00FB648C"/>
    <w:rsid w:val="00FB64B7"/>
    <w:rsid w:val="00FB64FC"/>
    <w:rsid w:val="00FB65E2"/>
    <w:rsid w:val="00FB6633"/>
    <w:rsid w:val="00FB66F4"/>
    <w:rsid w:val="00FB6781"/>
    <w:rsid w:val="00FB67E4"/>
    <w:rsid w:val="00FB6833"/>
    <w:rsid w:val="00FB6843"/>
    <w:rsid w:val="00FB6878"/>
    <w:rsid w:val="00FB6A4D"/>
    <w:rsid w:val="00FB6A72"/>
    <w:rsid w:val="00FB6A73"/>
    <w:rsid w:val="00FB6ABA"/>
    <w:rsid w:val="00FB6AF3"/>
    <w:rsid w:val="00FB6C63"/>
    <w:rsid w:val="00FB6C8C"/>
    <w:rsid w:val="00FB6CAF"/>
    <w:rsid w:val="00FB6CB0"/>
    <w:rsid w:val="00FB6CC8"/>
    <w:rsid w:val="00FB6D94"/>
    <w:rsid w:val="00FB6D9F"/>
    <w:rsid w:val="00FB6DCB"/>
    <w:rsid w:val="00FB6DD2"/>
    <w:rsid w:val="00FB6DEE"/>
    <w:rsid w:val="00FB6E71"/>
    <w:rsid w:val="00FB6E8E"/>
    <w:rsid w:val="00FB6FC4"/>
    <w:rsid w:val="00FB7040"/>
    <w:rsid w:val="00FB70EF"/>
    <w:rsid w:val="00FB716B"/>
    <w:rsid w:val="00FB72F4"/>
    <w:rsid w:val="00FB7439"/>
    <w:rsid w:val="00FB7587"/>
    <w:rsid w:val="00FB7633"/>
    <w:rsid w:val="00FB76CA"/>
    <w:rsid w:val="00FB76E0"/>
    <w:rsid w:val="00FB779D"/>
    <w:rsid w:val="00FB77E1"/>
    <w:rsid w:val="00FB7886"/>
    <w:rsid w:val="00FB79EE"/>
    <w:rsid w:val="00FB7A7B"/>
    <w:rsid w:val="00FB7BD5"/>
    <w:rsid w:val="00FB7C51"/>
    <w:rsid w:val="00FB7CA3"/>
    <w:rsid w:val="00FB7D25"/>
    <w:rsid w:val="00FB7EA3"/>
    <w:rsid w:val="00FC0294"/>
    <w:rsid w:val="00FC0488"/>
    <w:rsid w:val="00FC0515"/>
    <w:rsid w:val="00FC051A"/>
    <w:rsid w:val="00FC053D"/>
    <w:rsid w:val="00FC0573"/>
    <w:rsid w:val="00FC05D4"/>
    <w:rsid w:val="00FC062D"/>
    <w:rsid w:val="00FC07E8"/>
    <w:rsid w:val="00FC0811"/>
    <w:rsid w:val="00FC084E"/>
    <w:rsid w:val="00FC08DF"/>
    <w:rsid w:val="00FC0965"/>
    <w:rsid w:val="00FC09AC"/>
    <w:rsid w:val="00FC09D8"/>
    <w:rsid w:val="00FC09E5"/>
    <w:rsid w:val="00FC0A07"/>
    <w:rsid w:val="00FC0A76"/>
    <w:rsid w:val="00FC0ACC"/>
    <w:rsid w:val="00FC0B0F"/>
    <w:rsid w:val="00FC0B93"/>
    <w:rsid w:val="00FC0BBF"/>
    <w:rsid w:val="00FC0C55"/>
    <w:rsid w:val="00FC0CDE"/>
    <w:rsid w:val="00FC0D8A"/>
    <w:rsid w:val="00FC0D91"/>
    <w:rsid w:val="00FC0DC3"/>
    <w:rsid w:val="00FC0DCB"/>
    <w:rsid w:val="00FC0EA6"/>
    <w:rsid w:val="00FC0EB4"/>
    <w:rsid w:val="00FC10EA"/>
    <w:rsid w:val="00FC1115"/>
    <w:rsid w:val="00FC119E"/>
    <w:rsid w:val="00FC12DE"/>
    <w:rsid w:val="00FC1326"/>
    <w:rsid w:val="00FC1379"/>
    <w:rsid w:val="00FC13AD"/>
    <w:rsid w:val="00FC13EC"/>
    <w:rsid w:val="00FC1404"/>
    <w:rsid w:val="00FC1451"/>
    <w:rsid w:val="00FC1499"/>
    <w:rsid w:val="00FC1767"/>
    <w:rsid w:val="00FC1792"/>
    <w:rsid w:val="00FC17AC"/>
    <w:rsid w:val="00FC1917"/>
    <w:rsid w:val="00FC1AA4"/>
    <w:rsid w:val="00FC1AC5"/>
    <w:rsid w:val="00FC1B17"/>
    <w:rsid w:val="00FC1B6D"/>
    <w:rsid w:val="00FC1B71"/>
    <w:rsid w:val="00FC1B94"/>
    <w:rsid w:val="00FC1BD0"/>
    <w:rsid w:val="00FC1CE0"/>
    <w:rsid w:val="00FC1CF7"/>
    <w:rsid w:val="00FC21D4"/>
    <w:rsid w:val="00FC2217"/>
    <w:rsid w:val="00FC2255"/>
    <w:rsid w:val="00FC2297"/>
    <w:rsid w:val="00FC22C2"/>
    <w:rsid w:val="00FC22C9"/>
    <w:rsid w:val="00FC235A"/>
    <w:rsid w:val="00FC235D"/>
    <w:rsid w:val="00FC23AA"/>
    <w:rsid w:val="00FC24D3"/>
    <w:rsid w:val="00FC2580"/>
    <w:rsid w:val="00FC2697"/>
    <w:rsid w:val="00FC26B9"/>
    <w:rsid w:val="00FC26DA"/>
    <w:rsid w:val="00FC273F"/>
    <w:rsid w:val="00FC27AF"/>
    <w:rsid w:val="00FC2880"/>
    <w:rsid w:val="00FC29F0"/>
    <w:rsid w:val="00FC2CC1"/>
    <w:rsid w:val="00FC2CF5"/>
    <w:rsid w:val="00FC2DD3"/>
    <w:rsid w:val="00FC2E6D"/>
    <w:rsid w:val="00FC2EA0"/>
    <w:rsid w:val="00FC2EF5"/>
    <w:rsid w:val="00FC2F22"/>
    <w:rsid w:val="00FC2F76"/>
    <w:rsid w:val="00FC308F"/>
    <w:rsid w:val="00FC3104"/>
    <w:rsid w:val="00FC31C8"/>
    <w:rsid w:val="00FC31F5"/>
    <w:rsid w:val="00FC3272"/>
    <w:rsid w:val="00FC3363"/>
    <w:rsid w:val="00FC3367"/>
    <w:rsid w:val="00FC33B5"/>
    <w:rsid w:val="00FC33CF"/>
    <w:rsid w:val="00FC348C"/>
    <w:rsid w:val="00FC354F"/>
    <w:rsid w:val="00FC35C0"/>
    <w:rsid w:val="00FC369D"/>
    <w:rsid w:val="00FC36FF"/>
    <w:rsid w:val="00FC386E"/>
    <w:rsid w:val="00FC38AB"/>
    <w:rsid w:val="00FC38B8"/>
    <w:rsid w:val="00FC38FA"/>
    <w:rsid w:val="00FC3924"/>
    <w:rsid w:val="00FC397F"/>
    <w:rsid w:val="00FC3A20"/>
    <w:rsid w:val="00FC3A5B"/>
    <w:rsid w:val="00FC3AED"/>
    <w:rsid w:val="00FC3B40"/>
    <w:rsid w:val="00FC3B5C"/>
    <w:rsid w:val="00FC3BB3"/>
    <w:rsid w:val="00FC3C16"/>
    <w:rsid w:val="00FC3C31"/>
    <w:rsid w:val="00FC3D04"/>
    <w:rsid w:val="00FC3DF8"/>
    <w:rsid w:val="00FC3E83"/>
    <w:rsid w:val="00FC3F28"/>
    <w:rsid w:val="00FC3FF7"/>
    <w:rsid w:val="00FC40B3"/>
    <w:rsid w:val="00FC417E"/>
    <w:rsid w:val="00FC4283"/>
    <w:rsid w:val="00FC4284"/>
    <w:rsid w:val="00FC43CE"/>
    <w:rsid w:val="00FC441E"/>
    <w:rsid w:val="00FC4489"/>
    <w:rsid w:val="00FC45C8"/>
    <w:rsid w:val="00FC45DD"/>
    <w:rsid w:val="00FC4686"/>
    <w:rsid w:val="00FC469A"/>
    <w:rsid w:val="00FC4705"/>
    <w:rsid w:val="00FC4736"/>
    <w:rsid w:val="00FC48AF"/>
    <w:rsid w:val="00FC48E8"/>
    <w:rsid w:val="00FC490B"/>
    <w:rsid w:val="00FC4A34"/>
    <w:rsid w:val="00FC4A68"/>
    <w:rsid w:val="00FC4AB3"/>
    <w:rsid w:val="00FC4BD8"/>
    <w:rsid w:val="00FC4CB6"/>
    <w:rsid w:val="00FC4D5D"/>
    <w:rsid w:val="00FC4E1A"/>
    <w:rsid w:val="00FC4E8B"/>
    <w:rsid w:val="00FC4F36"/>
    <w:rsid w:val="00FC4F59"/>
    <w:rsid w:val="00FC4FEF"/>
    <w:rsid w:val="00FC5130"/>
    <w:rsid w:val="00FC513A"/>
    <w:rsid w:val="00FC521D"/>
    <w:rsid w:val="00FC5320"/>
    <w:rsid w:val="00FC533C"/>
    <w:rsid w:val="00FC5383"/>
    <w:rsid w:val="00FC5466"/>
    <w:rsid w:val="00FC54A3"/>
    <w:rsid w:val="00FC54BD"/>
    <w:rsid w:val="00FC5513"/>
    <w:rsid w:val="00FC55D2"/>
    <w:rsid w:val="00FC55E9"/>
    <w:rsid w:val="00FC56E6"/>
    <w:rsid w:val="00FC5752"/>
    <w:rsid w:val="00FC583C"/>
    <w:rsid w:val="00FC58B9"/>
    <w:rsid w:val="00FC5933"/>
    <w:rsid w:val="00FC5973"/>
    <w:rsid w:val="00FC59FC"/>
    <w:rsid w:val="00FC5AE7"/>
    <w:rsid w:val="00FC5AEC"/>
    <w:rsid w:val="00FC5B01"/>
    <w:rsid w:val="00FC5B14"/>
    <w:rsid w:val="00FC5BD6"/>
    <w:rsid w:val="00FC5C7E"/>
    <w:rsid w:val="00FC5C83"/>
    <w:rsid w:val="00FC5E88"/>
    <w:rsid w:val="00FC5F32"/>
    <w:rsid w:val="00FC5F41"/>
    <w:rsid w:val="00FC5F78"/>
    <w:rsid w:val="00FC5F9E"/>
    <w:rsid w:val="00FC6075"/>
    <w:rsid w:val="00FC607A"/>
    <w:rsid w:val="00FC609B"/>
    <w:rsid w:val="00FC61D2"/>
    <w:rsid w:val="00FC6215"/>
    <w:rsid w:val="00FC6219"/>
    <w:rsid w:val="00FC6260"/>
    <w:rsid w:val="00FC62B9"/>
    <w:rsid w:val="00FC639A"/>
    <w:rsid w:val="00FC6401"/>
    <w:rsid w:val="00FC64CF"/>
    <w:rsid w:val="00FC6521"/>
    <w:rsid w:val="00FC6568"/>
    <w:rsid w:val="00FC65BB"/>
    <w:rsid w:val="00FC65E3"/>
    <w:rsid w:val="00FC65FC"/>
    <w:rsid w:val="00FC6636"/>
    <w:rsid w:val="00FC66E3"/>
    <w:rsid w:val="00FC674C"/>
    <w:rsid w:val="00FC68A5"/>
    <w:rsid w:val="00FC68BE"/>
    <w:rsid w:val="00FC690B"/>
    <w:rsid w:val="00FC6978"/>
    <w:rsid w:val="00FC69FE"/>
    <w:rsid w:val="00FC6BEF"/>
    <w:rsid w:val="00FC6DF5"/>
    <w:rsid w:val="00FC6E8F"/>
    <w:rsid w:val="00FC6EC6"/>
    <w:rsid w:val="00FC6F08"/>
    <w:rsid w:val="00FC700B"/>
    <w:rsid w:val="00FC702C"/>
    <w:rsid w:val="00FC703B"/>
    <w:rsid w:val="00FC7089"/>
    <w:rsid w:val="00FC70AE"/>
    <w:rsid w:val="00FC7137"/>
    <w:rsid w:val="00FC715C"/>
    <w:rsid w:val="00FC73A4"/>
    <w:rsid w:val="00FC73AF"/>
    <w:rsid w:val="00FC7446"/>
    <w:rsid w:val="00FC748C"/>
    <w:rsid w:val="00FC749F"/>
    <w:rsid w:val="00FC74B1"/>
    <w:rsid w:val="00FC76C9"/>
    <w:rsid w:val="00FC76ED"/>
    <w:rsid w:val="00FC773E"/>
    <w:rsid w:val="00FC776F"/>
    <w:rsid w:val="00FC779A"/>
    <w:rsid w:val="00FC780E"/>
    <w:rsid w:val="00FC781E"/>
    <w:rsid w:val="00FC7930"/>
    <w:rsid w:val="00FC7937"/>
    <w:rsid w:val="00FC79B8"/>
    <w:rsid w:val="00FC79C0"/>
    <w:rsid w:val="00FC7ABF"/>
    <w:rsid w:val="00FC7BD1"/>
    <w:rsid w:val="00FC7C45"/>
    <w:rsid w:val="00FC7CB3"/>
    <w:rsid w:val="00FC7CF9"/>
    <w:rsid w:val="00FC7D21"/>
    <w:rsid w:val="00FC7D6C"/>
    <w:rsid w:val="00FC7D7A"/>
    <w:rsid w:val="00FC7DCB"/>
    <w:rsid w:val="00FC7DF2"/>
    <w:rsid w:val="00FC7E04"/>
    <w:rsid w:val="00FC7E45"/>
    <w:rsid w:val="00FC7ECB"/>
    <w:rsid w:val="00FC7FA7"/>
    <w:rsid w:val="00FD0099"/>
    <w:rsid w:val="00FD00A7"/>
    <w:rsid w:val="00FD026D"/>
    <w:rsid w:val="00FD028D"/>
    <w:rsid w:val="00FD02A5"/>
    <w:rsid w:val="00FD0418"/>
    <w:rsid w:val="00FD04EA"/>
    <w:rsid w:val="00FD050D"/>
    <w:rsid w:val="00FD051D"/>
    <w:rsid w:val="00FD059D"/>
    <w:rsid w:val="00FD0807"/>
    <w:rsid w:val="00FD0843"/>
    <w:rsid w:val="00FD08E5"/>
    <w:rsid w:val="00FD08EF"/>
    <w:rsid w:val="00FD0943"/>
    <w:rsid w:val="00FD0961"/>
    <w:rsid w:val="00FD0A68"/>
    <w:rsid w:val="00FD0B16"/>
    <w:rsid w:val="00FD0B9E"/>
    <w:rsid w:val="00FD0BA8"/>
    <w:rsid w:val="00FD0BC0"/>
    <w:rsid w:val="00FD0BE9"/>
    <w:rsid w:val="00FD0CAD"/>
    <w:rsid w:val="00FD0CFC"/>
    <w:rsid w:val="00FD0E9E"/>
    <w:rsid w:val="00FD0F98"/>
    <w:rsid w:val="00FD102C"/>
    <w:rsid w:val="00FD10F4"/>
    <w:rsid w:val="00FD1109"/>
    <w:rsid w:val="00FD117F"/>
    <w:rsid w:val="00FD118C"/>
    <w:rsid w:val="00FD12BC"/>
    <w:rsid w:val="00FD12E5"/>
    <w:rsid w:val="00FD12FA"/>
    <w:rsid w:val="00FD1525"/>
    <w:rsid w:val="00FD1571"/>
    <w:rsid w:val="00FD16D9"/>
    <w:rsid w:val="00FD180D"/>
    <w:rsid w:val="00FD18A1"/>
    <w:rsid w:val="00FD194E"/>
    <w:rsid w:val="00FD19A7"/>
    <w:rsid w:val="00FD19DB"/>
    <w:rsid w:val="00FD1BF3"/>
    <w:rsid w:val="00FD1D69"/>
    <w:rsid w:val="00FD1D92"/>
    <w:rsid w:val="00FD1E17"/>
    <w:rsid w:val="00FD1EFF"/>
    <w:rsid w:val="00FD1F20"/>
    <w:rsid w:val="00FD1F81"/>
    <w:rsid w:val="00FD2157"/>
    <w:rsid w:val="00FD2288"/>
    <w:rsid w:val="00FD22C9"/>
    <w:rsid w:val="00FD22D6"/>
    <w:rsid w:val="00FD22FA"/>
    <w:rsid w:val="00FD2347"/>
    <w:rsid w:val="00FD2368"/>
    <w:rsid w:val="00FD236B"/>
    <w:rsid w:val="00FD238B"/>
    <w:rsid w:val="00FD2596"/>
    <w:rsid w:val="00FD2642"/>
    <w:rsid w:val="00FD26E8"/>
    <w:rsid w:val="00FD2795"/>
    <w:rsid w:val="00FD2822"/>
    <w:rsid w:val="00FD28F7"/>
    <w:rsid w:val="00FD2949"/>
    <w:rsid w:val="00FD29CE"/>
    <w:rsid w:val="00FD29DC"/>
    <w:rsid w:val="00FD2A3C"/>
    <w:rsid w:val="00FD2A43"/>
    <w:rsid w:val="00FD2A76"/>
    <w:rsid w:val="00FD2B27"/>
    <w:rsid w:val="00FD2CBC"/>
    <w:rsid w:val="00FD2CC3"/>
    <w:rsid w:val="00FD2D0A"/>
    <w:rsid w:val="00FD2D1D"/>
    <w:rsid w:val="00FD2D83"/>
    <w:rsid w:val="00FD2E9F"/>
    <w:rsid w:val="00FD2F60"/>
    <w:rsid w:val="00FD2FC9"/>
    <w:rsid w:val="00FD2FF0"/>
    <w:rsid w:val="00FD308D"/>
    <w:rsid w:val="00FD30A3"/>
    <w:rsid w:val="00FD31F8"/>
    <w:rsid w:val="00FD32F6"/>
    <w:rsid w:val="00FD32FC"/>
    <w:rsid w:val="00FD3369"/>
    <w:rsid w:val="00FD338F"/>
    <w:rsid w:val="00FD3394"/>
    <w:rsid w:val="00FD339D"/>
    <w:rsid w:val="00FD33F2"/>
    <w:rsid w:val="00FD3483"/>
    <w:rsid w:val="00FD3585"/>
    <w:rsid w:val="00FD36CD"/>
    <w:rsid w:val="00FD370F"/>
    <w:rsid w:val="00FD38A0"/>
    <w:rsid w:val="00FD38CF"/>
    <w:rsid w:val="00FD3955"/>
    <w:rsid w:val="00FD398D"/>
    <w:rsid w:val="00FD39B1"/>
    <w:rsid w:val="00FD39D1"/>
    <w:rsid w:val="00FD39E7"/>
    <w:rsid w:val="00FD3A69"/>
    <w:rsid w:val="00FD3B4C"/>
    <w:rsid w:val="00FD3BAD"/>
    <w:rsid w:val="00FD3BD1"/>
    <w:rsid w:val="00FD3C09"/>
    <w:rsid w:val="00FD3CFB"/>
    <w:rsid w:val="00FD3D57"/>
    <w:rsid w:val="00FD3E42"/>
    <w:rsid w:val="00FD3E49"/>
    <w:rsid w:val="00FD3E69"/>
    <w:rsid w:val="00FD3F5C"/>
    <w:rsid w:val="00FD3F71"/>
    <w:rsid w:val="00FD3F90"/>
    <w:rsid w:val="00FD3FC6"/>
    <w:rsid w:val="00FD3FCC"/>
    <w:rsid w:val="00FD3FE8"/>
    <w:rsid w:val="00FD40D9"/>
    <w:rsid w:val="00FD410E"/>
    <w:rsid w:val="00FD4154"/>
    <w:rsid w:val="00FD4224"/>
    <w:rsid w:val="00FD42E0"/>
    <w:rsid w:val="00FD437D"/>
    <w:rsid w:val="00FD4533"/>
    <w:rsid w:val="00FD46EE"/>
    <w:rsid w:val="00FD481D"/>
    <w:rsid w:val="00FD489A"/>
    <w:rsid w:val="00FD4A6C"/>
    <w:rsid w:val="00FD4AD4"/>
    <w:rsid w:val="00FD4B53"/>
    <w:rsid w:val="00FD4C0F"/>
    <w:rsid w:val="00FD4C65"/>
    <w:rsid w:val="00FD4D64"/>
    <w:rsid w:val="00FD4D68"/>
    <w:rsid w:val="00FD4DD1"/>
    <w:rsid w:val="00FD4DD9"/>
    <w:rsid w:val="00FD4E9D"/>
    <w:rsid w:val="00FD5047"/>
    <w:rsid w:val="00FD50CE"/>
    <w:rsid w:val="00FD510A"/>
    <w:rsid w:val="00FD5147"/>
    <w:rsid w:val="00FD528A"/>
    <w:rsid w:val="00FD52A5"/>
    <w:rsid w:val="00FD54AF"/>
    <w:rsid w:val="00FD551E"/>
    <w:rsid w:val="00FD559B"/>
    <w:rsid w:val="00FD55BE"/>
    <w:rsid w:val="00FD55CB"/>
    <w:rsid w:val="00FD5651"/>
    <w:rsid w:val="00FD56C9"/>
    <w:rsid w:val="00FD56F7"/>
    <w:rsid w:val="00FD5783"/>
    <w:rsid w:val="00FD581C"/>
    <w:rsid w:val="00FD5846"/>
    <w:rsid w:val="00FD5973"/>
    <w:rsid w:val="00FD59AD"/>
    <w:rsid w:val="00FD59CA"/>
    <w:rsid w:val="00FD5A0B"/>
    <w:rsid w:val="00FD5A1D"/>
    <w:rsid w:val="00FD5A39"/>
    <w:rsid w:val="00FD5ADE"/>
    <w:rsid w:val="00FD5B1E"/>
    <w:rsid w:val="00FD5B29"/>
    <w:rsid w:val="00FD5B91"/>
    <w:rsid w:val="00FD5B99"/>
    <w:rsid w:val="00FD5BCC"/>
    <w:rsid w:val="00FD5D4A"/>
    <w:rsid w:val="00FD5E46"/>
    <w:rsid w:val="00FD5EBC"/>
    <w:rsid w:val="00FD5FD0"/>
    <w:rsid w:val="00FD6146"/>
    <w:rsid w:val="00FD616E"/>
    <w:rsid w:val="00FD62FF"/>
    <w:rsid w:val="00FD64D2"/>
    <w:rsid w:val="00FD6529"/>
    <w:rsid w:val="00FD657B"/>
    <w:rsid w:val="00FD6716"/>
    <w:rsid w:val="00FD6791"/>
    <w:rsid w:val="00FD67B5"/>
    <w:rsid w:val="00FD68FB"/>
    <w:rsid w:val="00FD694B"/>
    <w:rsid w:val="00FD698F"/>
    <w:rsid w:val="00FD69B2"/>
    <w:rsid w:val="00FD6A6D"/>
    <w:rsid w:val="00FD6B28"/>
    <w:rsid w:val="00FD6B3A"/>
    <w:rsid w:val="00FD6B6F"/>
    <w:rsid w:val="00FD6B87"/>
    <w:rsid w:val="00FD6BDE"/>
    <w:rsid w:val="00FD6C18"/>
    <w:rsid w:val="00FD6CFC"/>
    <w:rsid w:val="00FD6D24"/>
    <w:rsid w:val="00FD6DC2"/>
    <w:rsid w:val="00FD6E5D"/>
    <w:rsid w:val="00FD6FB3"/>
    <w:rsid w:val="00FD705A"/>
    <w:rsid w:val="00FD70C3"/>
    <w:rsid w:val="00FD70E0"/>
    <w:rsid w:val="00FD70F3"/>
    <w:rsid w:val="00FD7160"/>
    <w:rsid w:val="00FD7195"/>
    <w:rsid w:val="00FD71B5"/>
    <w:rsid w:val="00FD724D"/>
    <w:rsid w:val="00FD726A"/>
    <w:rsid w:val="00FD7312"/>
    <w:rsid w:val="00FD732F"/>
    <w:rsid w:val="00FD743B"/>
    <w:rsid w:val="00FD7489"/>
    <w:rsid w:val="00FD768B"/>
    <w:rsid w:val="00FD7722"/>
    <w:rsid w:val="00FD77C9"/>
    <w:rsid w:val="00FD77D2"/>
    <w:rsid w:val="00FD7840"/>
    <w:rsid w:val="00FD7876"/>
    <w:rsid w:val="00FD78D0"/>
    <w:rsid w:val="00FD7A17"/>
    <w:rsid w:val="00FD7A6B"/>
    <w:rsid w:val="00FD7ADD"/>
    <w:rsid w:val="00FD7AEF"/>
    <w:rsid w:val="00FD7BD2"/>
    <w:rsid w:val="00FD7BDA"/>
    <w:rsid w:val="00FD7C0A"/>
    <w:rsid w:val="00FD7E37"/>
    <w:rsid w:val="00FD7EF5"/>
    <w:rsid w:val="00FE0013"/>
    <w:rsid w:val="00FE0065"/>
    <w:rsid w:val="00FE0066"/>
    <w:rsid w:val="00FE00A6"/>
    <w:rsid w:val="00FE01A4"/>
    <w:rsid w:val="00FE023F"/>
    <w:rsid w:val="00FE0273"/>
    <w:rsid w:val="00FE031E"/>
    <w:rsid w:val="00FE042D"/>
    <w:rsid w:val="00FE05DD"/>
    <w:rsid w:val="00FE0608"/>
    <w:rsid w:val="00FE0660"/>
    <w:rsid w:val="00FE06CC"/>
    <w:rsid w:val="00FE07CF"/>
    <w:rsid w:val="00FE07FE"/>
    <w:rsid w:val="00FE080E"/>
    <w:rsid w:val="00FE082E"/>
    <w:rsid w:val="00FE09E0"/>
    <w:rsid w:val="00FE0AFB"/>
    <w:rsid w:val="00FE0B36"/>
    <w:rsid w:val="00FE0BA4"/>
    <w:rsid w:val="00FE0BCD"/>
    <w:rsid w:val="00FE0C30"/>
    <w:rsid w:val="00FE0FB8"/>
    <w:rsid w:val="00FE0FC2"/>
    <w:rsid w:val="00FE106F"/>
    <w:rsid w:val="00FE1083"/>
    <w:rsid w:val="00FE10AE"/>
    <w:rsid w:val="00FE10C9"/>
    <w:rsid w:val="00FE1102"/>
    <w:rsid w:val="00FE113E"/>
    <w:rsid w:val="00FE116F"/>
    <w:rsid w:val="00FE11B1"/>
    <w:rsid w:val="00FE13D2"/>
    <w:rsid w:val="00FE1475"/>
    <w:rsid w:val="00FE14E8"/>
    <w:rsid w:val="00FE14EF"/>
    <w:rsid w:val="00FE14F9"/>
    <w:rsid w:val="00FE1548"/>
    <w:rsid w:val="00FE1669"/>
    <w:rsid w:val="00FE16D5"/>
    <w:rsid w:val="00FE16F2"/>
    <w:rsid w:val="00FE1772"/>
    <w:rsid w:val="00FE17A7"/>
    <w:rsid w:val="00FE1837"/>
    <w:rsid w:val="00FE1885"/>
    <w:rsid w:val="00FE196A"/>
    <w:rsid w:val="00FE1A9F"/>
    <w:rsid w:val="00FE1AD3"/>
    <w:rsid w:val="00FE1B12"/>
    <w:rsid w:val="00FE1B9F"/>
    <w:rsid w:val="00FE1C1F"/>
    <w:rsid w:val="00FE1C60"/>
    <w:rsid w:val="00FE1CDE"/>
    <w:rsid w:val="00FE1D9A"/>
    <w:rsid w:val="00FE1DD6"/>
    <w:rsid w:val="00FE1E30"/>
    <w:rsid w:val="00FE1ECA"/>
    <w:rsid w:val="00FE2132"/>
    <w:rsid w:val="00FE221C"/>
    <w:rsid w:val="00FE2261"/>
    <w:rsid w:val="00FE22A4"/>
    <w:rsid w:val="00FE230D"/>
    <w:rsid w:val="00FE2353"/>
    <w:rsid w:val="00FE23D8"/>
    <w:rsid w:val="00FE24F6"/>
    <w:rsid w:val="00FE253B"/>
    <w:rsid w:val="00FE25D6"/>
    <w:rsid w:val="00FE2651"/>
    <w:rsid w:val="00FE26ED"/>
    <w:rsid w:val="00FE288B"/>
    <w:rsid w:val="00FE2893"/>
    <w:rsid w:val="00FE2943"/>
    <w:rsid w:val="00FE2A4C"/>
    <w:rsid w:val="00FE2A4F"/>
    <w:rsid w:val="00FE2BE2"/>
    <w:rsid w:val="00FE2CE6"/>
    <w:rsid w:val="00FE2CF9"/>
    <w:rsid w:val="00FE2DC1"/>
    <w:rsid w:val="00FE2E43"/>
    <w:rsid w:val="00FE2EA0"/>
    <w:rsid w:val="00FE2EEA"/>
    <w:rsid w:val="00FE2F38"/>
    <w:rsid w:val="00FE2F7F"/>
    <w:rsid w:val="00FE3008"/>
    <w:rsid w:val="00FE303B"/>
    <w:rsid w:val="00FE3058"/>
    <w:rsid w:val="00FE3065"/>
    <w:rsid w:val="00FE3108"/>
    <w:rsid w:val="00FE3148"/>
    <w:rsid w:val="00FE31B9"/>
    <w:rsid w:val="00FE31C5"/>
    <w:rsid w:val="00FE31E0"/>
    <w:rsid w:val="00FE339E"/>
    <w:rsid w:val="00FE3413"/>
    <w:rsid w:val="00FE351E"/>
    <w:rsid w:val="00FE36D4"/>
    <w:rsid w:val="00FE3789"/>
    <w:rsid w:val="00FE379D"/>
    <w:rsid w:val="00FE38A8"/>
    <w:rsid w:val="00FE38BE"/>
    <w:rsid w:val="00FE38C6"/>
    <w:rsid w:val="00FE3975"/>
    <w:rsid w:val="00FE397E"/>
    <w:rsid w:val="00FE39DB"/>
    <w:rsid w:val="00FE3A1F"/>
    <w:rsid w:val="00FE3A64"/>
    <w:rsid w:val="00FE3B7E"/>
    <w:rsid w:val="00FE3BA6"/>
    <w:rsid w:val="00FE3C6A"/>
    <w:rsid w:val="00FE3D90"/>
    <w:rsid w:val="00FE3E28"/>
    <w:rsid w:val="00FE3FC8"/>
    <w:rsid w:val="00FE4088"/>
    <w:rsid w:val="00FE40B5"/>
    <w:rsid w:val="00FE414F"/>
    <w:rsid w:val="00FE41E2"/>
    <w:rsid w:val="00FE4218"/>
    <w:rsid w:val="00FE423F"/>
    <w:rsid w:val="00FE4580"/>
    <w:rsid w:val="00FE4747"/>
    <w:rsid w:val="00FE4812"/>
    <w:rsid w:val="00FE4839"/>
    <w:rsid w:val="00FE4B0F"/>
    <w:rsid w:val="00FE4B65"/>
    <w:rsid w:val="00FE4BC2"/>
    <w:rsid w:val="00FE4D03"/>
    <w:rsid w:val="00FE4DB0"/>
    <w:rsid w:val="00FE4DFD"/>
    <w:rsid w:val="00FE4EF4"/>
    <w:rsid w:val="00FE4FAB"/>
    <w:rsid w:val="00FE50B3"/>
    <w:rsid w:val="00FE513E"/>
    <w:rsid w:val="00FE524C"/>
    <w:rsid w:val="00FE525D"/>
    <w:rsid w:val="00FE52FF"/>
    <w:rsid w:val="00FE565B"/>
    <w:rsid w:val="00FE5662"/>
    <w:rsid w:val="00FE56B7"/>
    <w:rsid w:val="00FE57F9"/>
    <w:rsid w:val="00FE5802"/>
    <w:rsid w:val="00FE58C6"/>
    <w:rsid w:val="00FE58D3"/>
    <w:rsid w:val="00FE5A28"/>
    <w:rsid w:val="00FE5A45"/>
    <w:rsid w:val="00FE5A8C"/>
    <w:rsid w:val="00FE5A9F"/>
    <w:rsid w:val="00FE5C0D"/>
    <w:rsid w:val="00FE5D7F"/>
    <w:rsid w:val="00FE5DA0"/>
    <w:rsid w:val="00FE5DD0"/>
    <w:rsid w:val="00FE5E77"/>
    <w:rsid w:val="00FE5F28"/>
    <w:rsid w:val="00FE6031"/>
    <w:rsid w:val="00FE607C"/>
    <w:rsid w:val="00FE60A3"/>
    <w:rsid w:val="00FE60B3"/>
    <w:rsid w:val="00FE6127"/>
    <w:rsid w:val="00FE6189"/>
    <w:rsid w:val="00FE61CE"/>
    <w:rsid w:val="00FE61F4"/>
    <w:rsid w:val="00FE6236"/>
    <w:rsid w:val="00FE648D"/>
    <w:rsid w:val="00FE64E3"/>
    <w:rsid w:val="00FE64FE"/>
    <w:rsid w:val="00FE651D"/>
    <w:rsid w:val="00FE6555"/>
    <w:rsid w:val="00FE6611"/>
    <w:rsid w:val="00FE66DF"/>
    <w:rsid w:val="00FE681C"/>
    <w:rsid w:val="00FE6B3D"/>
    <w:rsid w:val="00FE6D26"/>
    <w:rsid w:val="00FE6E6D"/>
    <w:rsid w:val="00FE6ED9"/>
    <w:rsid w:val="00FE6FBD"/>
    <w:rsid w:val="00FE6FC9"/>
    <w:rsid w:val="00FE7108"/>
    <w:rsid w:val="00FE710E"/>
    <w:rsid w:val="00FE71D8"/>
    <w:rsid w:val="00FE7230"/>
    <w:rsid w:val="00FE72CF"/>
    <w:rsid w:val="00FE72FF"/>
    <w:rsid w:val="00FE73B1"/>
    <w:rsid w:val="00FE74B9"/>
    <w:rsid w:val="00FE7581"/>
    <w:rsid w:val="00FE76A3"/>
    <w:rsid w:val="00FE76B9"/>
    <w:rsid w:val="00FE77E9"/>
    <w:rsid w:val="00FE7814"/>
    <w:rsid w:val="00FE784D"/>
    <w:rsid w:val="00FE789B"/>
    <w:rsid w:val="00FE78AE"/>
    <w:rsid w:val="00FE78B1"/>
    <w:rsid w:val="00FE78D1"/>
    <w:rsid w:val="00FE797A"/>
    <w:rsid w:val="00FE79F6"/>
    <w:rsid w:val="00FE7A2B"/>
    <w:rsid w:val="00FE7BD7"/>
    <w:rsid w:val="00FE7DD0"/>
    <w:rsid w:val="00FE7F9F"/>
    <w:rsid w:val="00FF0053"/>
    <w:rsid w:val="00FF0075"/>
    <w:rsid w:val="00FF0169"/>
    <w:rsid w:val="00FF0221"/>
    <w:rsid w:val="00FF026C"/>
    <w:rsid w:val="00FF03D9"/>
    <w:rsid w:val="00FF0407"/>
    <w:rsid w:val="00FF0449"/>
    <w:rsid w:val="00FF04DD"/>
    <w:rsid w:val="00FF0677"/>
    <w:rsid w:val="00FF06E7"/>
    <w:rsid w:val="00FF0702"/>
    <w:rsid w:val="00FF071C"/>
    <w:rsid w:val="00FF075F"/>
    <w:rsid w:val="00FF0793"/>
    <w:rsid w:val="00FF0885"/>
    <w:rsid w:val="00FF095B"/>
    <w:rsid w:val="00FF09E8"/>
    <w:rsid w:val="00FF09FE"/>
    <w:rsid w:val="00FF0AA8"/>
    <w:rsid w:val="00FF0C4A"/>
    <w:rsid w:val="00FF0C9F"/>
    <w:rsid w:val="00FF0CF3"/>
    <w:rsid w:val="00FF0D2D"/>
    <w:rsid w:val="00FF0D3E"/>
    <w:rsid w:val="00FF0D5B"/>
    <w:rsid w:val="00FF0D61"/>
    <w:rsid w:val="00FF0E93"/>
    <w:rsid w:val="00FF0F12"/>
    <w:rsid w:val="00FF0FD2"/>
    <w:rsid w:val="00FF0FE1"/>
    <w:rsid w:val="00FF101D"/>
    <w:rsid w:val="00FF10C7"/>
    <w:rsid w:val="00FF11D9"/>
    <w:rsid w:val="00FF12B8"/>
    <w:rsid w:val="00FF1518"/>
    <w:rsid w:val="00FF1710"/>
    <w:rsid w:val="00FF173B"/>
    <w:rsid w:val="00FF182A"/>
    <w:rsid w:val="00FF1861"/>
    <w:rsid w:val="00FF199A"/>
    <w:rsid w:val="00FF1A49"/>
    <w:rsid w:val="00FF1B92"/>
    <w:rsid w:val="00FF1C9F"/>
    <w:rsid w:val="00FF1CAC"/>
    <w:rsid w:val="00FF1DC7"/>
    <w:rsid w:val="00FF1DD6"/>
    <w:rsid w:val="00FF1E4A"/>
    <w:rsid w:val="00FF20D1"/>
    <w:rsid w:val="00FF20DE"/>
    <w:rsid w:val="00FF20E0"/>
    <w:rsid w:val="00FF215C"/>
    <w:rsid w:val="00FF21CF"/>
    <w:rsid w:val="00FF224E"/>
    <w:rsid w:val="00FF24D7"/>
    <w:rsid w:val="00FF25AD"/>
    <w:rsid w:val="00FF25D6"/>
    <w:rsid w:val="00FF2619"/>
    <w:rsid w:val="00FF2665"/>
    <w:rsid w:val="00FF26DF"/>
    <w:rsid w:val="00FF26E2"/>
    <w:rsid w:val="00FF274E"/>
    <w:rsid w:val="00FF2775"/>
    <w:rsid w:val="00FF27CD"/>
    <w:rsid w:val="00FF29A5"/>
    <w:rsid w:val="00FF29C0"/>
    <w:rsid w:val="00FF29D6"/>
    <w:rsid w:val="00FF2A30"/>
    <w:rsid w:val="00FF2BD0"/>
    <w:rsid w:val="00FF2C44"/>
    <w:rsid w:val="00FF2C86"/>
    <w:rsid w:val="00FF2CA8"/>
    <w:rsid w:val="00FF2D2A"/>
    <w:rsid w:val="00FF2DD9"/>
    <w:rsid w:val="00FF2E24"/>
    <w:rsid w:val="00FF2EDD"/>
    <w:rsid w:val="00FF2EEA"/>
    <w:rsid w:val="00FF2F0F"/>
    <w:rsid w:val="00FF2F5A"/>
    <w:rsid w:val="00FF2FF9"/>
    <w:rsid w:val="00FF30F5"/>
    <w:rsid w:val="00FF311E"/>
    <w:rsid w:val="00FF3127"/>
    <w:rsid w:val="00FF3193"/>
    <w:rsid w:val="00FF3195"/>
    <w:rsid w:val="00FF3336"/>
    <w:rsid w:val="00FF33C2"/>
    <w:rsid w:val="00FF33FA"/>
    <w:rsid w:val="00FF343B"/>
    <w:rsid w:val="00FF366F"/>
    <w:rsid w:val="00FF3720"/>
    <w:rsid w:val="00FF3751"/>
    <w:rsid w:val="00FF3836"/>
    <w:rsid w:val="00FF397B"/>
    <w:rsid w:val="00FF3A27"/>
    <w:rsid w:val="00FF3A9B"/>
    <w:rsid w:val="00FF3BB6"/>
    <w:rsid w:val="00FF3D2F"/>
    <w:rsid w:val="00FF3D3A"/>
    <w:rsid w:val="00FF3E0E"/>
    <w:rsid w:val="00FF3F8A"/>
    <w:rsid w:val="00FF3FD6"/>
    <w:rsid w:val="00FF4012"/>
    <w:rsid w:val="00FF406C"/>
    <w:rsid w:val="00FF44C7"/>
    <w:rsid w:val="00FF450D"/>
    <w:rsid w:val="00FF451F"/>
    <w:rsid w:val="00FF4597"/>
    <w:rsid w:val="00FF46A1"/>
    <w:rsid w:val="00FF480E"/>
    <w:rsid w:val="00FF486B"/>
    <w:rsid w:val="00FF4913"/>
    <w:rsid w:val="00FF4AF0"/>
    <w:rsid w:val="00FF4D28"/>
    <w:rsid w:val="00FF4DF9"/>
    <w:rsid w:val="00FF4E50"/>
    <w:rsid w:val="00FF4EF7"/>
    <w:rsid w:val="00FF50A3"/>
    <w:rsid w:val="00FF50B5"/>
    <w:rsid w:val="00FF50E7"/>
    <w:rsid w:val="00FF51CF"/>
    <w:rsid w:val="00FF5250"/>
    <w:rsid w:val="00FF5284"/>
    <w:rsid w:val="00FF52B3"/>
    <w:rsid w:val="00FF5340"/>
    <w:rsid w:val="00FF54E8"/>
    <w:rsid w:val="00FF55A0"/>
    <w:rsid w:val="00FF55B7"/>
    <w:rsid w:val="00FF5658"/>
    <w:rsid w:val="00FF573E"/>
    <w:rsid w:val="00FF575A"/>
    <w:rsid w:val="00FF580B"/>
    <w:rsid w:val="00FF58C5"/>
    <w:rsid w:val="00FF590C"/>
    <w:rsid w:val="00FF59E4"/>
    <w:rsid w:val="00FF5A45"/>
    <w:rsid w:val="00FF5A89"/>
    <w:rsid w:val="00FF5BB7"/>
    <w:rsid w:val="00FF5C27"/>
    <w:rsid w:val="00FF5C70"/>
    <w:rsid w:val="00FF5CE6"/>
    <w:rsid w:val="00FF5DC6"/>
    <w:rsid w:val="00FF5DE2"/>
    <w:rsid w:val="00FF5E95"/>
    <w:rsid w:val="00FF5EC3"/>
    <w:rsid w:val="00FF5ED3"/>
    <w:rsid w:val="00FF5FA3"/>
    <w:rsid w:val="00FF5FCC"/>
    <w:rsid w:val="00FF6218"/>
    <w:rsid w:val="00FF62C2"/>
    <w:rsid w:val="00FF62E6"/>
    <w:rsid w:val="00FF6320"/>
    <w:rsid w:val="00FF63CB"/>
    <w:rsid w:val="00FF6485"/>
    <w:rsid w:val="00FF64AA"/>
    <w:rsid w:val="00FF64B3"/>
    <w:rsid w:val="00FF64DD"/>
    <w:rsid w:val="00FF66A8"/>
    <w:rsid w:val="00FF674C"/>
    <w:rsid w:val="00FF6762"/>
    <w:rsid w:val="00FF67C4"/>
    <w:rsid w:val="00FF682D"/>
    <w:rsid w:val="00FF687B"/>
    <w:rsid w:val="00FF691D"/>
    <w:rsid w:val="00FF698B"/>
    <w:rsid w:val="00FF6995"/>
    <w:rsid w:val="00FF69B1"/>
    <w:rsid w:val="00FF69F9"/>
    <w:rsid w:val="00FF6A31"/>
    <w:rsid w:val="00FF6A46"/>
    <w:rsid w:val="00FF6A92"/>
    <w:rsid w:val="00FF6B26"/>
    <w:rsid w:val="00FF6B93"/>
    <w:rsid w:val="00FF6C43"/>
    <w:rsid w:val="00FF6CC7"/>
    <w:rsid w:val="00FF6D0D"/>
    <w:rsid w:val="00FF6DE8"/>
    <w:rsid w:val="00FF6E3C"/>
    <w:rsid w:val="00FF6EDA"/>
    <w:rsid w:val="00FF6F42"/>
    <w:rsid w:val="00FF6F49"/>
    <w:rsid w:val="00FF70ED"/>
    <w:rsid w:val="00FF71D8"/>
    <w:rsid w:val="00FF72AF"/>
    <w:rsid w:val="00FF72E6"/>
    <w:rsid w:val="00FF73BF"/>
    <w:rsid w:val="00FF7462"/>
    <w:rsid w:val="00FF75C1"/>
    <w:rsid w:val="00FF75DE"/>
    <w:rsid w:val="00FF760E"/>
    <w:rsid w:val="00FF7650"/>
    <w:rsid w:val="00FF767F"/>
    <w:rsid w:val="00FF771A"/>
    <w:rsid w:val="00FF77E0"/>
    <w:rsid w:val="00FF7816"/>
    <w:rsid w:val="00FF7819"/>
    <w:rsid w:val="00FF782B"/>
    <w:rsid w:val="00FF7964"/>
    <w:rsid w:val="00FF79CC"/>
    <w:rsid w:val="00FF7A15"/>
    <w:rsid w:val="00FF7AB5"/>
    <w:rsid w:val="00FF7AF9"/>
    <w:rsid w:val="00FF7B5A"/>
    <w:rsid w:val="00FF7BB5"/>
    <w:rsid w:val="00FF7D4F"/>
    <w:rsid w:val="00FF7D9A"/>
    <w:rsid w:val="00FF7F0B"/>
    <w:rsid w:val="0101C260"/>
    <w:rsid w:val="0101C383"/>
    <w:rsid w:val="01025D0D"/>
    <w:rsid w:val="0106DD51"/>
    <w:rsid w:val="01081D10"/>
    <w:rsid w:val="01094489"/>
    <w:rsid w:val="010C44DC"/>
    <w:rsid w:val="011873B0"/>
    <w:rsid w:val="011D7C60"/>
    <w:rsid w:val="0120D997"/>
    <w:rsid w:val="01268313"/>
    <w:rsid w:val="012E4DFE"/>
    <w:rsid w:val="013D3152"/>
    <w:rsid w:val="0144BDD3"/>
    <w:rsid w:val="0148DAED"/>
    <w:rsid w:val="01492004"/>
    <w:rsid w:val="014B18E9"/>
    <w:rsid w:val="0153B127"/>
    <w:rsid w:val="01546C43"/>
    <w:rsid w:val="0155F8C1"/>
    <w:rsid w:val="01566BCD"/>
    <w:rsid w:val="0157B869"/>
    <w:rsid w:val="0159652C"/>
    <w:rsid w:val="015BCEF8"/>
    <w:rsid w:val="0166B703"/>
    <w:rsid w:val="0167DD9C"/>
    <w:rsid w:val="0177C4B3"/>
    <w:rsid w:val="017AB381"/>
    <w:rsid w:val="0181CA00"/>
    <w:rsid w:val="0188AFB7"/>
    <w:rsid w:val="018A3CC5"/>
    <w:rsid w:val="018A713B"/>
    <w:rsid w:val="018FD984"/>
    <w:rsid w:val="01931A06"/>
    <w:rsid w:val="0194F563"/>
    <w:rsid w:val="019BC293"/>
    <w:rsid w:val="01A96100"/>
    <w:rsid w:val="01AAA2D0"/>
    <w:rsid w:val="01ABC7B7"/>
    <w:rsid w:val="01AD6777"/>
    <w:rsid w:val="01C20820"/>
    <w:rsid w:val="01CEB615"/>
    <w:rsid w:val="01CF5477"/>
    <w:rsid w:val="01D0EA96"/>
    <w:rsid w:val="01D3356C"/>
    <w:rsid w:val="01DA5264"/>
    <w:rsid w:val="01DFD677"/>
    <w:rsid w:val="01E1EAEF"/>
    <w:rsid w:val="01E5925D"/>
    <w:rsid w:val="01EB868A"/>
    <w:rsid w:val="01EF0EC8"/>
    <w:rsid w:val="01F4F222"/>
    <w:rsid w:val="02133706"/>
    <w:rsid w:val="02147FA0"/>
    <w:rsid w:val="0223E04F"/>
    <w:rsid w:val="022602FF"/>
    <w:rsid w:val="0229FBD7"/>
    <w:rsid w:val="022B8648"/>
    <w:rsid w:val="023418EF"/>
    <w:rsid w:val="0235C4F5"/>
    <w:rsid w:val="0236EE8A"/>
    <w:rsid w:val="023C3F4B"/>
    <w:rsid w:val="023DEE6E"/>
    <w:rsid w:val="02428AF3"/>
    <w:rsid w:val="02435A60"/>
    <w:rsid w:val="0248399D"/>
    <w:rsid w:val="0249C38A"/>
    <w:rsid w:val="024C1FA7"/>
    <w:rsid w:val="02509230"/>
    <w:rsid w:val="02597D2E"/>
    <w:rsid w:val="025C33F2"/>
    <w:rsid w:val="02691E1F"/>
    <w:rsid w:val="026B79A5"/>
    <w:rsid w:val="0270E4C4"/>
    <w:rsid w:val="027D8D5F"/>
    <w:rsid w:val="027DAAA8"/>
    <w:rsid w:val="02811926"/>
    <w:rsid w:val="028E3960"/>
    <w:rsid w:val="029114F9"/>
    <w:rsid w:val="0292FE19"/>
    <w:rsid w:val="029A6DA6"/>
    <w:rsid w:val="029ABA6A"/>
    <w:rsid w:val="02A5E4AE"/>
    <w:rsid w:val="02A8EC1F"/>
    <w:rsid w:val="02B1F7B4"/>
    <w:rsid w:val="02B1FB68"/>
    <w:rsid w:val="02B50E39"/>
    <w:rsid w:val="02C01A90"/>
    <w:rsid w:val="02C3AACE"/>
    <w:rsid w:val="02CEB751"/>
    <w:rsid w:val="02D1633A"/>
    <w:rsid w:val="02DCF6AB"/>
    <w:rsid w:val="02E36D5A"/>
    <w:rsid w:val="02E85AD9"/>
    <w:rsid w:val="02EE5D75"/>
    <w:rsid w:val="02EFFCE3"/>
    <w:rsid w:val="02F0C6F3"/>
    <w:rsid w:val="02F258FB"/>
    <w:rsid w:val="02F292C2"/>
    <w:rsid w:val="02F9F768"/>
    <w:rsid w:val="02FA0F66"/>
    <w:rsid w:val="02FEFD23"/>
    <w:rsid w:val="030F406F"/>
    <w:rsid w:val="0310CDDA"/>
    <w:rsid w:val="0312509B"/>
    <w:rsid w:val="031428F5"/>
    <w:rsid w:val="031F45A5"/>
    <w:rsid w:val="03208BAD"/>
    <w:rsid w:val="0320B5FD"/>
    <w:rsid w:val="0321A648"/>
    <w:rsid w:val="0321CDCD"/>
    <w:rsid w:val="0323A6BD"/>
    <w:rsid w:val="03286E68"/>
    <w:rsid w:val="032946A9"/>
    <w:rsid w:val="032F344B"/>
    <w:rsid w:val="03350223"/>
    <w:rsid w:val="033EDE7C"/>
    <w:rsid w:val="0348D747"/>
    <w:rsid w:val="034CF3C7"/>
    <w:rsid w:val="034E89A3"/>
    <w:rsid w:val="0361FA8E"/>
    <w:rsid w:val="0373EC10"/>
    <w:rsid w:val="037623BE"/>
    <w:rsid w:val="037EE7BA"/>
    <w:rsid w:val="038326B3"/>
    <w:rsid w:val="0384A0E4"/>
    <w:rsid w:val="03880B83"/>
    <w:rsid w:val="039117FE"/>
    <w:rsid w:val="039250C9"/>
    <w:rsid w:val="039A696A"/>
    <w:rsid w:val="039D3532"/>
    <w:rsid w:val="03A07700"/>
    <w:rsid w:val="03A35A73"/>
    <w:rsid w:val="03A80E89"/>
    <w:rsid w:val="03AACA96"/>
    <w:rsid w:val="03AE8267"/>
    <w:rsid w:val="03B36325"/>
    <w:rsid w:val="03B61F12"/>
    <w:rsid w:val="03BADECD"/>
    <w:rsid w:val="03C40EB4"/>
    <w:rsid w:val="03C4AEA9"/>
    <w:rsid w:val="03CC032F"/>
    <w:rsid w:val="03CC3CE7"/>
    <w:rsid w:val="03D1D219"/>
    <w:rsid w:val="03D57B83"/>
    <w:rsid w:val="03D9EAD9"/>
    <w:rsid w:val="03DC1651"/>
    <w:rsid w:val="03E5B162"/>
    <w:rsid w:val="03F8F16D"/>
    <w:rsid w:val="04001461"/>
    <w:rsid w:val="040C6BE3"/>
    <w:rsid w:val="040EE59E"/>
    <w:rsid w:val="040F754A"/>
    <w:rsid w:val="041152CF"/>
    <w:rsid w:val="041483A4"/>
    <w:rsid w:val="0415955D"/>
    <w:rsid w:val="0415BBF4"/>
    <w:rsid w:val="04189747"/>
    <w:rsid w:val="041D07A5"/>
    <w:rsid w:val="041DCCF2"/>
    <w:rsid w:val="042D2C74"/>
    <w:rsid w:val="042D5A8D"/>
    <w:rsid w:val="042FC7BD"/>
    <w:rsid w:val="0432995A"/>
    <w:rsid w:val="04332091"/>
    <w:rsid w:val="04336794"/>
    <w:rsid w:val="0436C720"/>
    <w:rsid w:val="043873E8"/>
    <w:rsid w:val="043BAF7B"/>
    <w:rsid w:val="043C0403"/>
    <w:rsid w:val="0440A0B6"/>
    <w:rsid w:val="044222CD"/>
    <w:rsid w:val="04443A25"/>
    <w:rsid w:val="044B1AAF"/>
    <w:rsid w:val="044E5662"/>
    <w:rsid w:val="045D6023"/>
    <w:rsid w:val="046311ED"/>
    <w:rsid w:val="04667283"/>
    <w:rsid w:val="046B00C2"/>
    <w:rsid w:val="046B2396"/>
    <w:rsid w:val="046B6811"/>
    <w:rsid w:val="046BFD9E"/>
    <w:rsid w:val="0471C769"/>
    <w:rsid w:val="0472E4E0"/>
    <w:rsid w:val="04741406"/>
    <w:rsid w:val="04749C1E"/>
    <w:rsid w:val="047704EA"/>
    <w:rsid w:val="04780A37"/>
    <w:rsid w:val="047B2129"/>
    <w:rsid w:val="047B416B"/>
    <w:rsid w:val="047DE065"/>
    <w:rsid w:val="0489008D"/>
    <w:rsid w:val="048A03FE"/>
    <w:rsid w:val="04900D40"/>
    <w:rsid w:val="04932196"/>
    <w:rsid w:val="04956884"/>
    <w:rsid w:val="04A0BAB1"/>
    <w:rsid w:val="04A8D786"/>
    <w:rsid w:val="04AAC192"/>
    <w:rsid w:val="04AC381C"/>
    <w:rsid w:val="04AE4CB8"/>
    <w:rsid w:val="04AEC16A"/>
    <w:rsid w:val="04BBACB9"/>
    <w:rsid w:val="04BD2799"/>
    <w:rsid w:val="04C9EC63"/>
    <w:rsid w:val="04D789AF"/>
    <w:rsid w:val="04D9BF45"/>
    <w:rsid w:val="04DCFE52"/>
    <w:rsid w:val="04DF6099"/>
    <w:rsid w:val="04E54C0A"/>
    <w:rsid w:val="04E9FBC8"/>
    <w:rsid w:val="04F21EE8"/>
    <w:rsid w:val="04F29F17"/>
    <w:rsid w:val="04FA144A"/>
    <w:rsid w:val="04FD7E49"/>
    <w:rsid w:val="04FDAEBC"/>
    <w:rsid w:val="04FE17E8"/>
    <w:rsid w:val="0502C516"/>
    <w:rsid w:val="050708D1"/>
    <w:rsid w:val="050F9B5E"/>
    <w:rsid w:val="0513A085"/>
    <w:rsid w:val="0516016E"/>
    <w:rsid w:val="051B5C7D"/>
    <w:rsid w:val="051CED8C"/>
    <w:rsid w:val="051D9432"/>
    <w:rsid w:val="0525441B"/>
    <w:rsid w:val="0528EF32"/>
    <w:rsid w:val="052E70EA"/>
    <w:rsid w:val="05344405"/>
    <w:rsid w:val="053F6596"/>
    <w:rsid w:val="05419DAD"/>
    <w:rsid w:val="054DAA7D"/>
    <w:rsid w:val="054E2943"/>
    <w:rsid w:val="05507AEE"/>
    <w:rsid w:val="05572AD2"/>
    <w:rsid w:val="055D0795"/>
    <w:rsid w:val="055D4766"/>
    <w:rsid w:val="055D6CB6"/>
    <w:rsid w:val="055D6F29"/>
    <w:rsid w:val="0563C782"/>
    <w:rsid w:val="0563F618"/>
    <w:rsid w:val="056944AE"/>
    <w:rsid w:val="056D37D8"/>
    <w:rsid w:val="0579C725"/>
    <w:rsid w:val="0589878A"/>
    <w:rsid w:val="058CA258"/>
    <w:rsid w:val="058E5D5A"/>
    <w:rsid w:val="0590F67E"/>
    <w:rsid w:val="059E5657"/>
    <w:rsid w:val="059EB832"/>
    <w:rsid w:val="05A03124"/>
    <w:rsid w:val="05A068C5"/>
    <w:rsid w:val="05A3F9F8"/>
    <w:rsid w:val="05A6B204"/>
    <w:rsid w:val="05A6B287"/>
    <w:rsid w:val="05A9AE22"/>
    <w:rsid w:val="05AA405B"/>
    <w:rsid w:val="05AE5484"/>
    <w:rsid w:val="05C8E9A1"/>
    <w:rsid w:val="05CC06C0"/>
    <w:rsid w:val="05CE560B"/>
    <w:rsid w:val="05D7E937"/>
    <w:rsid w:val="05DDAC37"/>
    <w:rsid w:val="05DDF80E"/>
    <w:rsid w:val="05E9F65C"/>
    <w:rsid w:val="05EC6745"/>
    <w:rsid w:val="05EFD0D3"/>
    <w:rsid w:val="05F39452"/>
    <w:rsid w:val="05F7EAF0"/>
    <w:rsid w:val="0605528F"/>
    <w:rsid w:val="0606BCD0"/>
    <w:rsid w:val="0607EC13"/>
    <w:rsid w:val="06083D3C"/>
    <w:rsid w:val="060C462A"/>
    <w:rsid w:val="06151FF0"/>
    <w:rsid w:val="0615A79F"/>
    <w:rsid w:val="061A9E15"/>
    <w:rsid w:val="061AF782"/>
    <w:rsid w:val="061C6D1C"/>
    <w:rsid w:val="0620E81F"/>
    <w:rsid w:val="0622DD21"/>
    <w:rsid w:val="0624E69D"/>
    <w:rsid w:val="062585FD"/>
    <w:rsid w:val="062D2BE9"/>
    <w:rsid w:val="06319D8A"/>
    <w:rsid w:val="0640E7BE"/>
    <w:rsid w:val="064389B5"/>
    <w:rsid w:val="06472145"/>
    <w:rsid w:val="064844B6"/>
    <w:rsid w:val="0648533E"/>
    <w:rsid w:val="064A1DB4"/>
    <w:rsid w:val="065244DD"/>
    <w:rsid w:val="06588590"/>
    <w:rsid w:val="065A02AB"/>
    <w:rsid w:val="06652FE1"/>
    <w:rsid w:val="06696516"/>
    <w:rsid w:val="0679F323"/>
    <w:rsid w:val="0681503B"/>
    <w:rsid w:val="0683E16D"/>
    <w:rsid w:val="06868A36"/>
    <w:rsid w:val="0686F112"/>
    <w:rsid w:val="068A35DB"/>
    <w:rsid w:val="068B12B0"/>
    <w:rsid w:val="068EE46D"/>
    <w:rsid w:val="06942BB0"/>
    <w:rsid w:val="069549C3"/>
    <w:rsid w:val="0699B95F"/>
    <w:rsid w:val="06A0BBA9"/>
    <w:rsid w:val="06A2850B"/>
    <w:rsid w:val="06A981F5"/>
    <w:rsid w:val="06B5F7E7"/>
    <w:rsid w:val="06BD3FFB"/>
    <w:rsid w:val="06BD7C6F"/>
    <w:rsid w:val="06C0F423"/>
    <w:rsid w:val="06C4DA98"/>
    <w:rsid w:val="06C64CCC"/>
    <w:rsid w:val="06C78B50"/>
    <w:rsid w:val="06C8C660"/>
    <w:rsid w:val="06CB0868"/>
    <w:rsid w:val="06D56894"/>
    <w:rsid w:val="06D5DF64"/>
    <w:rsid w:val="06D67668"/>
    <w:rsid w:val="06D6D9BD"/>
    <w:rsid w:val="06DCF644"/>
    <w:rsid w:val="06E22A78"/>
    <w:rsid w:val="06E426A2"/>
    <w:rsid w:val="06E4B078"/>
    <w:rsid w:val="06EC99BE"/>
    <w:rsid w:val="06EDA8C7"/>
    <w:rsid w:val="06FCC0DC"/>
    <w:rsid w:val="06FE3BDC"/>
    <w:rsid w:val="06FE7929"/>
    <w:rsid w:val="07070FC5"/>
    <w:rsid w:val="0708C70F"/>
    <w:rsid w:val="070A623D"/>
    <w:rsid w:val="070CE4F5"/>
    <w:rsid w:val="070FC91B"/>
    <w:rsid w:val="0710475C"/>
    <w:rsid w:val="07123876"/>
    <w:rsid w:val="0714AC25"/>
    <w:rsid w:val="071876C6"/>
    <w:rsid w:val="071D70B7"/>
    <w:rsid w:val="072107D8"/>
    <w:rsid w:val="07217DB5"/>
    <w:rsid w:val="0722B13E"/>
    <w:rsid w:val="072FC166"/>
    <w:rsid w:val="0730A763"/>
    <w:rsid w:val="0731219A"/>
    <w:rsid w:val="07324A9C"/>
    <w:rsid w:val="073850C1"/>
    <w:rsid w:val="0739294C"/>
    <w:rsid w:val="0739BBBD"/>
    <w:rsid w:val="07446A7D"/>
    <w:rsid w:val="074CD66A"/>
    <w:rsid w:val="074D8471"/>
    <w:rsid w:val="075077DE"/>
    <w:rsid w:val="075709F4"/>
    <w:rsid w:val="075C72B8"/>
    <w:rsid w:val="076C6728"/>
    <w:rsid w:val="0776C4BE"/>
    <w:rsid w:val="077DCC7D"/>
    <w:rsid w:val="077E9186"/>
    <w:rsid w:val="0786F983"/>
    <w:rsid w:val="079A633D"/>
    <w:rsid w:val="079E577F"/>
    <w:rsid w:val="079FEDB0"/>
    <w:rsid w:val="07A126C4"/>
    <w:rsid w:val="07A8B067"/>
    <w:rsid w:val="07B21165"/>
    <w:rsid w:val="07B36861"/>
    <w:rsid w:val="07B79676"/>
    <w:rsid w:val="07BD64C9"/>
    <w:rsid w:val="07CF611C"/>
    <w:rsid w:val="07D2DEE7"/>
    <w:rsid w:val="07D3E521"/>
    <w:rsid w:val="07D5D89B"/>
    <w:rsid w:val="07D8F5BA"/>
    <w:rsid w:val="07DC0008"/>
    <w:rsid w:val="07E13554"/>
    <w:rsid w:val="07E86754"/>
    <w:rsid w:val="07F2B0EB"/>
    <w:rsid w:val="07F7E385"/>
    <w:rsid w:val="07F9AFDD"/>
    <w:rsid w:val="07FB89FC"/>
    <w:rsid w:val="08035D2F"/>
    <w:rsid w:val="08057581"/>
    <w:rsid w:val="0806C87C"/>
    <w:rsid w:val="080A2F8B"/>
    <w:rsid w:val="080B83F3"/>
    <w:rsid w:val="080FFF19"/>
    <w:rsid w:val="0816C27D"/>
    <w:rsid w:val="0816D9C3"/>
    <w:rsid w:val="0818BB36"/>
    <w:rsid w:val="081B4065"/>
    <w:rsid w:val="081CDD7D"/>
    <w:rsid w:val="082077B2"/>
    <w:rsid w:val="08313373"/>
    <w:rsid w:val="0832389A"/>
    <w:rsid w:val="08331868"/>
    <w:rsid w:val="083365D3"/>
    <w:rsid w:val="083AE8B1"/>
    <w:rsid w:val="083D7911"/>
    <w:rsid w:val="08444890"/>
    <w:rsid w:val="084D28A9"/>
    <w:rsid w:val="084EE607"/>
    <w:rsid w:val="084FC703"/>
    <w:rsid w:val="08578635"/>
    <w:rsid w:val="085952BE"/>
    <w:rsid w:val="086EA1B8"/>
    <w:rsid w:val="087FEC7F"/>
    <w:rsid w:val="0881C81F"/>
    <w:rsid w:val="0897201C"/>
    <w:rsid w:val="08991AC5"/>
    <w:rsid w:val="08A32E51"/>
    <w:rsid w:val="08A369D3"/>
    <w:rsid w:val="08A91BF9"/>
    <w:rsid w:val="08AA95DF"/>
    <w:rsid w:val="08B50AAB"/>
    <w:rsid w:val="08B74213"/>
    <w:rsid w:val="08C23B5C"/>
    <w:rsid w:val="08C294C9"/>
    <w:rsid w:val="08D181B2"/>
    <w:rsid w:val="08D1FA53"/>
    <w:rsid w:val="08D2B32A"/>
    <w:rsid w:val="08D3C451"/>
    <w:rsid w:val="08D821B0"/>
    <w:rsid w:val="08DE04E2"/>
    <w:rsid w:val="08DEE9E7"/>
    <w:rsid w:val="08E2D0B8"/>
    <w:rsid w:val="08E3663C"/>
    <w:rsid w:val="08E44162"/>
    <w:rsid w:val="08E84022"/>
    <w:rsid w:val="08EAA61A"/>
    <w:rsid w:val="08EC1CB1"/>
    <w:rsid w:val="08EDFD7F"/>
    <w:rsid w:val="08F7B79F"/>
    <w:rsid w:val="08F8B6EF"/>
    <w:rsid w:val="08F981B6"/>
    <w:rsid w:val="08FDE3FF"/>
    <w:rsid w:val="090021D4"/>
    <w:rsid w:val="090774B1"/>
    <w:rsid w:val="0907E522"/>
    <w:rsid w:val="0917AA4C"/>
    <w:rsid w:val="091A1618"/>
    <w:rsid w:val="0922757D"/>
    <w:rsid w:val="09252B3B"/>
    <w:rsid w:val="092B44A8"/>
    <w:rsid w:val="093188E6"/>
    <w:rsid w:val="0931892E"/>
    <w:rsid w:val="0931E7D0"/>
    <w:rsid w:val="09325636"/>
    <w:rsid w:val="09352ED3"/>
    <w:rsid w:val="093E5E3B"/>
    <w:rsid w:val="093FD46D"/>
    <w:rsid w:val="0947590F"/>
    <w:rsid w:val="094D1101"/>
    <w:rsid w:val="09526E14"/>
    <w:rsid w:val="095FCFA3"/>
    <w:rsid w:val="09675E1D"/>
    <w:rsid w:val="096973FF"/>
    <w:rsid w:val="096ACD34"/>
    <w:rsid w:val="096FF5B4"/>
    <w:rsid w:val="097144B3"/>
    <w:rsid w:val="097149B2"/>
    <w:rsid w:val="09732C7B"/>
    <w:rsid w:val="09770727"/>
    <w:rsid w:val="09774FA4"/>
    <w:rsid w:val="097E276A"/>
    <w:rsid w:val="098745DF"/>
    <w:rsid w:val="0987D7ED"/>
    <w:rsid w:val="0988F2BE"/>
    <w:rsid w:val="098979CA"/>
    <w:rsid w:val="098E8B40"/>
    <w:rsid w:val="0996F9AF"/>
    <w:rsid w:val="099C441F"/>
    <w:rsid w:val="09A5F8F9"/>
    <w:rsid w:val="09A7C352"/>
    <w:rsid w:val="09B46533"/>
    <w:rsid w:val="09B5A440"/>
    <w:rsid w:val="09BA117F"/>
    <w:rsid w:val="09BB9AB2"/>
    <w:rsid w:val="09BE7952"/>
    <w:rsid w:val="09BF50BE"/>
    <w:rsid w:val="09C34EDC"/>
    <w:rsid w:val="09C3B7AF"/>
    <w:rsid w:val="09D2A182"/>
    <w:rsid w:val="09D60480"/>
    <w:rsid w:val="09DF7023"/>
    <w:rsid w:val="09E81120"/>
    <w:rsid w:val="09F410C7"/>
    <w:rsid w:val="09F45CA4"/>
    <w:rsid w:val="09FCEE38"/>
    <w:rsid w:val="09FEBC88"/>
    <w:rsid w:val="0A02284A"/>
    <w:rsid w:val="0A032143"/>
    <w:rsid w:val="0A036257"/>
    <w:rsid w:val="0A092A5D"/>
    <w:rsid w:val="0A117BE7"/>
    <w:rsid w:val="0A14200C"/>
    <w:rsid w:val="0A1CFE84"/>
    <w:rsid w:val="0A1D9591"/>
    <w:rsid w:val="0A1E10C3"/>
    <w:rsid w:val="0A23CD15"/>
    <w:rsid w:val="0A30DE0E"/>
    <w:rsid w:val="0A31B96A"/>
    <w:rsid w:val="0A3A3963"/>
    <w:rsid w:val="0A3B274A"/>
    <w:rsid w:val="0A3E4A14"/>
    <w:rsid w:val="0A4005D1"/>
    <w:rsid w:val="0A400E7D"/>
    <w:rsid w:val="0A437A81"/>
    <w:rsid w:val="0A46C8F9"/>
    <w:rsid w:val="0A4D3823"/>
    <w:rsid w:val="0A4E3D09"/>
    <w:rsid w:val="0A4EB387"/>
    <w:rsid w:val="0A552867"/>
    <w:rsid w:val="0A553350"/>
    <w:rsid w:val="0A567C95"/>
    <w:rsid w:val="0A5BED61"/>
    <w:rsid w:val="0A5D6DDB"/>
    <w:rsid w:val="0A628644"/>
    <w:rsid w:val="0A6F81E5"/>
    <w:rsid w:val="0A79A0E8"/>
    <w:rsid w:val="0A7E499B"/>
    <w:rsid w:val="0A7F3F9C"/>
    <w:rsid w:val="0A80EF31"/>
    <w:rsid w:val="0A81C0BB"/>
    <w:rsid w:val="0A828A6D"/>
    <w:rsid w:val="0A8321B1"/>
    <w:rsid w:val="0A881DFE"/>
    <w:rsid w:val="0A948769"/>
    <w:rsid w:val="0A94F9D3"/>
    <w:rsid w:val="0A956675"/>
    <w:rsid w:val="0A9C59DF"/>
    <w:rsid w:val="0AAF4ACC"/>
    <w:rsid w:val="0AB1AC22"/>
    <w:rsid w:val="0AB224E0"/>
    <w:rsid w:val="0AB99E8B"/>
    <w:rsid w:val="0AC4FA67"/>
    <w:rsid w:val="0AC622C5"/>
    <w:rsid w:val="0ACAEE97"/>
    <w:rsid w:val="0AD3E8C5"/>
    <w:rsid w:val="0AD4F9C8"/>
    <w:rsid w:val="0AD9C6D8"/>
    <w:rsid w:val="0AD9E9B6"/>
    <w:rsid w:val="0ADC1BDC"/>
    <w:rsid w:val="0ADCC8AC"/>
    <w:rsid w:val="0ADD02CA"/>
    <w:rsid w:val="0ADE38E7"/>
    <w:rsid w:val="0AE224AD"/>
    <w:rsid w:val="0AE91B2B"/>
    <w:rsid w:val="0AEC00B5"/>
    <w:rsid w:val="0AEC302C"/>
    <w:rsid w:val="0AF54776"/>
    <w:rsid w:val="0AF82DE5"/>
    <w:rsid w:val="0AFB2D74"/>
    <w:rsid w:val="0AFB380A"/>
    <w:rsid w:val="0AFC373F"/>
    <w:rsid w:val="0B01DA1D"/>
    <w:rsid w:val="0B053EB1"/>
    <w:rsid w:val="0B0A5F53"/>
    <w:rsid w:val="0B0BB3B3"/>
    <w:rsid w:val="0B182EAA"/>
    <w:rsid w:val="0B1A393D"/>
    <w:rsid w:val="0B207510"/>
    <w:rsid w:val="0B260D72"/>
    <w:rsid w:val="0B2AB764"/>
    <w:rsid w:val="0B2B0ED4"/>
    <w:rsid w:val="0B3106F3"/>
    <w:rsid w:val="0B3142DF"/>
    <w:rsid w:val="0B330199"/>
    <w:rsid w:val="0B3DC289"/>
    <w:rsid w:val="0B4E248A"/>
    <w:rsid w:val="0B4FAE79"/>
    <w:rsid w:val="0B515E41"/>
    <w:rsid w:val="0B53C949"/>
    <w:rsid w:val="0B66BB8D"/>
    <w:rsid w:val="0B69A82E"/>
    <w:rsid w:val="0B6C1DBD"/>
    <w:rsid w:val="0B6C8414"/>
    <w:rsid w:val="0B70BD9D"/>
    <w:rsid w:val="0B7BB82A"/>
    <w:rsid w:val="0B84AD78"/>
    <w:rsid w:val="0B8E43BA"/>
    <w:rsid w:val="0B9D7D8B"/>
    <w:rsid w:val="0BA3E9F4"/>
    <w:rsid w:val="0BA6C258"/>
    <w:rsid w:val="0BAA696C"/>
    <w:rsid w:val="0BAFACAF"/>
    <w:rsid w:val="0BB2E83B"/>
    <w:rsid w:val="0BC3259E"/>
    <w:rsid w:val="0BCC50BA"/>
    <w:rsid w:val="0BCEE8DA"/>
    <w:rsid w:val="0BCF4FF3"/>
    <w:rsid w:val="0BD0F82A"/>
    <w:rsid w:val="0BD42CE4"/>
    <w:rsid w:val="0BD731FD"/>
    <w:rsid w:val="0BD7D3AA"/>
    <w:rsid w:val="0BDEBFA4"/>
    <w:rsid w:val="0BE16575"/>
    <w:rsid w:val="0BE613D4"/>
    <w:rsid w:val="0BE8C5A6"/>
    <w:rsid w:val="0BEDB096"/>
    <w:rsid w:val="0BEFE94A"/>
    <w:rsid w:val="0BF66761"/>
    <w:rsid w:val="0BF694CB"/>
    <w:rsid w:val="0BF7F76E"/>
    <w:rsid w:val="0C01AE25"/>
    <w:rsid w:val="0C02DE8C"/>
    <w:rsid w:val="0C03C9AD"/>
    <w:rsid w:val="0C052F2A"/>
    <w:rsid w:val="0C0A1DD4"/>
    <w:rsid w:val="0C0A73FC"/>
    <w:rsid w:val="0C0F6007"/>
    <w:rsid w:val="0C17FE16"/>
    <w:rsid w:val="0C25C0F5"/>
    <w:rsid w:val="0C2DB814"/>
    <w:rsid w:val="0C35E0E8"/>
    <w:rsid w:val="0C3EB0E0"/>
    <w:rsid w:val="0C46DB98"/>
    <w:rsid w:val="0C4701E6"/>
    <w:rsid w:val="0C47C3F5"/>
    <w:rsid w:val="0C49C0AE"/>
    <w:rsid w:val="0C4B5B5C"/>
    <w:rsid w:val="0C4BFC57"/>
    <w:rsid w:val="0C4E0CAC"/>
    <w:rsid w:val="0C50C786"/>
    <w:rsid w:val="0C58F664"/>
    <w:rsid w:val="0C5FA347"/>
    <w:rsid w:val="0C6B6944"/>
    <w:rsid w:val="0C6D24F1"/>
    <w:rsid w:val="0C75EF03"/>
    <w:rsid w:val="0C7AAF27"/>
    <w:rsid w:val="0C7BCF6A"/>
    <w:rsid w:val="0C7DA61E"/>
    <w:rsid w:val="0C80C8BE"/>
    <w:rsid w:val="0C8273B8"/>
    <w:rsid w:val="0C911B8D"/>
    <w:rsid w:val="0C952D14"/>
    <w:rsid w:val="0CA98E49"/>
    <w:rsid w:val="0CAB0A29"/>
    <w:rsid w:val="0CB5EB6F"/>
    <w:rsid w:val="0CC79125"/>
    <w:rsid w:val="0CC830A5"/>
    <w:rsid w:val="0CC9CA25"/>
    <w:rsid w:val="0CCA40DB"/>
    <w:rsid w:val="0CCB55B4"/>
    <w:rsid w:val="0CCF4635"/>
    <w:rsid w:val="0CD4DD76"/>
    <w:rsid w:val="0CD5B046"/>
    <w:rsid w:val="0CD5F7FA"/>
    <w:rsid w:val="0CD9D918"/>
    <w:rsid w:val="0CF14AF0"/>
    <w:rsid w:val="0CF3F65F"/>
    <w:rsid w:val="0CF898D7"/>
    <w:rsid w:val="0CFB02A1"/>
    <w:rsid w:val="0D002001"/>
    <w:rsid w:val="0D13DB5A"/>
    <w:rsid w:val="0D180EDC"/>
    <w:rsid w:val="0D1E74C6"/>
    <w:rsid w:val="0D3352A6"/>
    <w:rsid w:val="0D33B80C"/>
    <w:rsid w:val="0D357C6D"/>
    <w:rsid w:val="0D380EA6"/>
    <w:rsid w:val="0D3AB55F"/>
    <w:rsid w:val="0D419583"/>
    <w:rsid w:val="0D44D948"/>
    <w:rsid w:val="0D476F9C"/>
    <w:rsid w:val="0D4FC7F8"/>
    <w:rsid w:val="0D53B6B4"/>
    <w:rsid w:val="0D55A93B"/>
    <w:rsid w:val="0D67F635"/>
    <w:rsid w:val="0D6F68A1"/>
    <w:rsid w:val="0D6FF65F"/>
    <w:rsid w:val="0D71A7FC"/>
    <w:rsid w:val="0D71BABC"/>
    <w:rsid w:val="0D75C96C"/>
    <w:rsid w:val="0D8C1F51"/>
    <w:rsid w:val="0D8D6EDB"/>
    <w:rsid w:val="0D8DE074"/>
    <w:rsid w:val="0DA04B74"/>
    <w:rsid w:val="0DA0639E"/>
    <w:rsid w:val="0DA21E9A"/>
    <w:rsid w:val="0DB1AEA8"/>
    <w:rsid w:val="0DB4F8B8"/>
    <w:rsid w:val="0DBCC046"/>
    <w:rsid w:val="0DC054D6"/>
    <w:rsid w:val="0DC4933C"/>
    <w:rsid w:val="0DCC9361"/>
    <w:rsid w:val="0DCDCE7B"/>
    <w:rsid w:val="0DD589F4"/>
    <w:rsid w:val="0DE0A7D8"/>
    <w:rsid w:val="0DEBF1CC"/>
    <w:rsid w:val="0DED2880"/>
    <w:rsid w:val="0DF384B2"/>
    <w:rsid w:val="0DF588CA"/>
    <w:rsid w:val="0DFE06B4"/>
    <w:rsid w:val="0E09636F"/>
    <w:rsid w:val="0E117458"/>
    <w:rsid w:val="0E126012"/>
    <w:rsid w:val="0E14E163"/>
    <w:rsid w:val="0E1A6DC2"/>
    <w:rsid w:val="0E1CBFDF"/>
    <w:rsid w:val="0E285631"/>
    <w:rsid w:val="0E28C6E4"/>
    <w:rsid w:val="0E2B87FE"/>
    <w:rsid w:val="0E2CFD3C"/>
    <w:rsid w:val="0E2DB56B"/>
    <w:rsid w:val="0E30E485"/>
    <w:rsid w:val="0E339286"/>
    <w:rsid w:val="0E35733D"/>
    <w:rsid w:val="0E469686"/>
    <w:rsid w:val="0E47FC0E"/>
    <w:rsid w:val="0E50AF64"/>
    <w:rsid w:val="0E5D846E"/>
    <w:rsid w:val="0E62DB11"/>
    <w:rsid w:val="0E688AE7"/>
    <w:rsid w:val="0E6F6650"/>
    <w:rsid w:val="0E6FA54F"/>
    <w:rsid w:val="0E75E0A9"/>
    <w:rsid w:val="0E7B807B"/>
    <w:rsid w:val="0E7E9107"/>
    <w:rsid w:val="0E7EB457"/>
    <w:rsid w:val="0E81EDD2"/>
    <w:rsid w:val="0E8434A1"/>
    <w:rsid w:val="0E8787A6"/>
    <w:rsid w:val="0E8E8E2B"/>
    <w:rsid w:val="0E91A982"/>
    <w:rsid w:val="0E921267"/>
    <w:rsid w:val="0E92DA5D"/>
    <w:rsid w:val="0E95997E"/>
    <w:rsid w:val="0E9CBBCB"/>
    <w:rsid w:val="0EA13D31"/>
    <w:rsid w:val="0EA69971"/>
    <w:rsid w:val="0EA762D9"/>
    <w:rsid w:val="0EA9398B"/>
    <w:rsid w:val="0EA9556A"/>
    <w:rsid w:val="0EAE982D"/>
    <w:rsid w:val="0EAF7EBE"/>
    <w:rsid w:val="0EB049D8"/>
    <w:rsid w:val="0EB801D8"/>
    <w:rsid w:val="0EBAE138"/>
    <w:rsid w:val="0EBB7215"/>
    <w:rsid w:val="0EC8A24E"/>
    <w:rsid w:val="0EC92821"/>
    <w:rsid w:val="0ECE2F5E"/>
    <w:rsid w:val="0ECE3FC6"/>
    <w:rsid w:val="0ECE9E58"/>
    <w:rsid w:val="0ED5293C"/>
    <w:rsid w:val="0ED5813D"/>
    <w:rsid w:val="0EDB5AC5"/>
    <w:rsid w:val="0EE112AF"/>
    <w:rsid w:val="0EE86F05"/>
    <w:rsid w:val="0EE989CB"/>
    <w:rsid w:val="0EEA048C"/>
    <w:rsid w:val="0EFB1DB0"/>
    <w:rsid w:val="0F0221A9"/>
    <w:rsid w:val="0F07A0EC"/>
    <w:rsid w:val="0F0F6814"/>
    <w:rsid w:val="0F14F383"/>
    <w:rsid w:val="0F1BD9CF"/>
    <w:rsid w:val="0F2030E0"/>
    <w:rsid w:val="0F20F2D9"/>
    <w:rsid w:val="0F257B50"/>
    <w:rsid w:val="0F27031C"/>
    <w:rsid w:val="0F274438"/>
    <w:rsid w:val="0F2757D5"/>
    <w:rsid w:val="0F311B60"/>
    <w:rsid w:val="0F37C2E6"/>
    <w:rsid w:val="0F3CFCD9"/>
    <w:rsid w:val="0F3F7CC7"/>
    <w:rsid w:val="0F3F8DCC"/>
    <w:rsid w:val="0F420860"/>
    <w:rsid w:val="0F43EFC6"/>
    <w:rsid w:val="0F46FF74"/>
    <w:rsid w:val="0F4F16F0"/>
    <w:rsid w:val="0F536192"/>
    <w:rsid w:val="0F53D311"/>
    <w:rsid w:val="0F540DF2"/>
    <w:rsid w:val="0F5DD060"/>
    <w:rsid w:val="0F60C210"/>
    <w:rsid w:val="0F67BB4E"/>
    <w:rsid w:val="0F6D74E1"/>
    <w:rsid w:val="0F74B375"/>
    <w:rsid w:val="0F83CA92"/>
    <w:rsid w:val="0F8F3245"/>
    <w:rsid w:val="0F922AB7"/>
    <w:rsid w:val="0F952446"/>
    <w:rsid w:val="0F9B4995"/>
    <w:rsid w:val="0FA3232E"/>
    <w:rsid w:val="0FAB41D5"/>
    <w:rsid w:val="0FADE7B3"/>
    <w:rsid w:val="0FB04B11"/>
    <w:rsid w:val="0FB3086F"/>
    <w:rsid w:val="0FB86584"/>
    <w:rsid w:val="0FBAAFCC"/>
    <w:rsid w:val="0FBC2882"/>
    <w:rsid w:val="0FBEDD99"/>
    <w:rsid w:val="0FC15E2B"/>
    <w:rsid w:val="0FC623C3"/>
    <w:rsid w:val="0FCCD1AC"/>
    <w:rsid w:val="0FD05599"/>
    <w:rsid w:val="0FD398C0"/>
    <w:rsid w:val="0FD707CD"/>
    <w:rsid w:val="0FD72A0A"/>
    <w:rsid w:val="0FDC7869"/>
    <w:rsid w:val="0FDCCE3E"/>
    <w:rsid w:val="0FDEFA0C"/>
    <w:rsid w:val="0FE95D50"/>
    <w:rsid w:val="0FEDD886"/>
    <w:rsid w:val="0FF1BFFF"/>
    <w:rsid w:val="0FF4B380"/>
    <w:rsid w:val="0FF7AEE0"/>
    <w:rsid w:val="0FF7EB09"/>
    <w:rsid w:val="0FF9E9E7"/>
    <w:rsid w:val="0FFBCA13"/>
    <w:rsid w:val="10040397"/>
    <w:rsid w:val="10094CFB"/>
    <w:rsid w:val="1009D263"/>
    <w:rsid w:val="100BE4B6"/>
    <w:rsid w:val="1014C658"/>
    <w:rsid w:val="1014EFA9"/>
    <w:rsid w:val="1019640E"/>
    <w:rsid w:val="101BFA71"/>
    <w:rsid w:val="101F6009"/>
    <w:rsid w:val="10201596"/>
    <w:rsid w:val="10218C34"/>
    <w:rsid w:val="10238B14"/>
    <w:rsid w:val="1024E2C0"/>
    <w:rsid w:val="10278C60"/>
    <w:rsid w:val="102CAD7B"/>
    <w:rsid w:val="102FB1D5"/>
    <w:rsid w:val="1031BA1D"/>
    <w:rsid w:val="1034D3FC"/>
    <w:rsid w:val="1036F4D7"/>
    <w:rsid w:val="10371060"/>
    <w:rsid w:val="1040982E"/>
    <w:rsid w:val="10456374"/>
    <w:rsid w:val="104AB978"/>
    <w:rsid w:val="104C3D03"/>
    <w:rsid w:val="1052A299"/>
    <w:rsid w:val="1056E650"/>
    <w:rsid w:val="105E1896"/>
    <w:rsid w:val="1060A44E"/>
    <w:rsid w:val="106100DD"/>
    <w:rsid w:val="106136C6"/>
    <w:rsid w:val="1067B6A0"/>
    <w:rsid w:val="106A1189"/>
    <w:rsid w:val="10732018"/>
    <w:rsid w:val="107812EC"/>
    <w:rsid w:val="107C7401"/>
    <w:rsid w:val="107C9604"/>
    <w:rsid w:val="107CD408"/>
    <w:rsid w:val="10821B2C"/>
    <w:rsid w:val="108F5E46"/>
    <w:rsid w:val="109299A3"/>
    <w:rsid w:val="10977E7B"/>
    <w:rsid w:val="10996070"/>
    <w:rsid w:val="10A6C827"/>
    <w:rsid w:val="10B29CB0"/>
    <w:rsid w:val="10B3A47C"/>
    <w:rsid w:val="10BDEE86"/>
    <w:rsid w:val="10BF9A86"/>
    <w:rsid w:val="10C1333E"/>
    <w:rsid w:val="10C20DB0"/>
    <w:rsid w:val="10C7FCD8"/>
    <w:rsid w:val="10CB00A9"/>
    <w:rsid w:val="10CEDDC1"/>
    <w:rsid w:val="10D051FE"/>
    <w:rsid w:val="10D9C77A"/>
    <w:rsid w:val="10E5AFBE"/>
    <w:rsid w:val="10E68F3B"/>
    <w:rsid w:val="10EA282D"/>
    <w:rsid w:val="10F2219B"/>
    <w:rsid w:val="1104F086"/>
    <w:rsid w:val="1106560A"/>
    <w:rsid w:val="11094F19"/>
    <w:rsid w:val="110BEF43"/>
    <w:rsid w:val="110C33DE"/>
    <w:rsid w:val="11171029"/>
    <w:rsid w:val="1117A51F"/>
    <w:rsid w:val="111838D3"/>
    <w:rsid w:val="11199A63"/>
    <w:rsid w:val="111A930D"/>
    <w:rsid w:val="111BBBFF"/>
    <w:rsid w:val="112A881E"/>
    <w:rsid w:val="11300AEC"/>
    <w:rsid w:val="11365788"/>
    <w:rsid w:val="11373DA1"/>
    <w:rsid w:val="1137DB4E"/>
    <w:rsid w:val="113F598B"/>
    <w:rsid w:val="11410C64"/>
    <w:rsid w:val="11453AA9"/>
    <w:rsid w:val="1149984F"/>
    <w:rsid w:val="114AFDE5"/>
    <w:rsid w:val="115090D4"/>
    <w:rsid w:val="115593F7"/>
    <w:rsid w:val="11575FB1"/>
    <w:rsid w:val="1158944A"/>
    <w:rsid w:val="115E214A"/>
    <w:rsid w:val="116AA90B"/>
    <w:rsid w:val="116D0AB4"/>
    <w:rsid w:val="11743E50"/>
    <w:rsid w:val="1176EBED"/>
    <w:rsid w:val="1177F5D0"/>
    <w:rsid w:val="1179706B"/>
    <w:rsid w:val="117ABA28"/>
    <w:rsid w:val="118D7982"/>
    <w:rsid w:val="118FF38B"/>
    <w:rsid w:val="119038C5"/>
    <w:rsid w:val="119152A2"/>
    <w:rsid w:val="11926F68"/>
    <w:rsid w:val="1192E35A"/>
    <w:rsid w:val="11950483"/>
    <w:rsid w:val="11960885"/>
    <w:rsid w:val="119613BA"/>
    <w:rsid w:val="1196FB0C"/>
    <w:rsid w:val="11A102F5"/>
    <w:rsid w:val="11A2BC41"/>
    <w:rsid w:val="11A47D6D"/>
    <w:rsid w:val="11A9710C"/>
    <w:rsid w:val="11AB5A04"/>
    <w:rsid w:val="11B1B0F5"/>
    <w:rsid w:val="11B1DE15"/>
    <w:rsid w:val="11B883AB"/>
    <w:rsid w:val="11C37200"/>
    <w:rsid w:val="11C3B2BB"/>
    <w:rsid w:val="11C9BC16"/>
    <w:rsid w:val="11CFC025"/>
    <w:rsid w:val="11D6DCBB"/>
    <w:rsid w:val="11D7080C"/>
    <w:rsid w:val="11D80F45"/>
    <w:rsid w:val="11DD4C1F"/>
    <w:rsid w:val="11E28D45"/>
    <w:rsid w:val="11EAC560"/>
    <w:rsid w:val="11F5BE5A"/>
    <w:rsid w:val="11F685E5"/>
    <w:rsid w:val="11F6EBEC"/>
    <w:rsid w:val="11F6FB92"/>
    <w:rsid w:val="1203D3D0"/>
    <w:rsid w:val="12056E24"/>
    <w:rsid w:val="1210EC1F"/>
    <w:rsid w:val="121B08C4"/>
    <w:rsid w:val="12203807"/>
    <w:rsid w:val="1222D56E"/>
    <w:rsid w:val="122560FB"/>
    <w:rsid w:val="122A51D8"/>
    <w:rsid w:val="122CC79B"/>
    <w:rsid w:val="122CD346"/>
    <w:rsid w:val="122D9DF9"/>
    <w:rsid w:val="1232A7F4"/>
    <w:rsid w:val="1239A94E"/>
    <w:rsid w:val="123AE007"/>
    <w:rsid w:val="1244C454"/>
    <w:rsid w:val="1246064B"/>
    <w:rsid w:val="12467E42"/>
    <w:rsid w:val="124877F7"/>
    <w:rsid w:val="124F3676"/>
    <w:rsid w:val="1256C506"/>
    <w:rsid w:val="1256D6B9"/>
    <w:rsid w:val="125CF52B"/>
    <w:rsid w:val="12606A7E"/>
    <w:rsid w:val="1262F30A"/>
    <w:rsid w:val="126826F0"/>
    <w:rsid w:val="126A1F2B"/>
    <w:rsid w:val="126F1617"/>
    <w:rsid w:val="12737A2C"/>
    <w:rsid w:val="127B11A5"/>
    <w:rsid w:val="127B89F7"/>
    <w:rsid w:val="127E1B3D"/>
    <w:rsid w:val="128C14DE"/>
    <w:rsid w:val="128CD1C1"/>
    <w:rsid w:val="128E1B9A"/>
    <w:rsid w:val="128ED258"/>
    <w:rsid w:val="129B9BF8"/>
    <w:rsid w:val="12A661EA"/>
    <w:rsid w:val="12A85088"/>
    <w:rsid w:val="12A9187E"/>
    <w:rsid w:val="12A9F06F"/>
    <w:rsid w:val="12AC7E86"/>
    <w:rsid w:val="12ACB40B"/>
    <w:rsid w:val="12AF6D63"/>
    <w:rsid w:val="12B944D6"/>
    <w:rsid w:val="12CCE769"/>
    <w:rsid w:val="12D514B5"/>
    <w:rsid w:val="12D71A34"/>
    <w:rsid w:val="12D9A348"/>
    <w:rsid w:val="12DB9404"/>
    <w:rsid w:val="12DC355A"/>
    <w:rsid w:val="12DC64BA"/>
    <w:rsid w:val="12DFC28B"/>
    <w:rsid w:val="12E032B2"/>
    <w:rsid w:val="12E52E66"/>
    <w:rsid w:val="12EC3153"/>
    <w:rsid w:val="12EED622"/>
    <w:rsid w:val="12F62B15"/>
    <w:rsid w:val="12FB8287"/>
    <w:rsid w:val="12FD25BE"/>
    <w:rsid w:val="12FF2F7B"/>
    <w:rsid w:val="13044723"/>
    <w:rsid w:val="130DF0B0"/>
    <w:rsid w:val="1311CF7B"/>
    <w:rsid w:val="131384B4"/>
    <w:rsid w:val="1314F875"/>
    <w:rsid w:val="1317A580"/>
    <w:rsid w:val="131DAB22"/>
    <w:rsid w:val="131DD5CF"/>
    <w:rsid w:val="13213663"/>
    <w:rsid w:val="13223DB4"/>
    <w:rsid w:val="13265774"/>
    <w:rsid w:val="132FB2E6"/>
    <w:rsid w:val="13386BCF"/>
    <w:rsid w:val="133B866B"/>
    <w:rsid w:val="13421020"/>
    <w:rsid w:val="1342868C"/>
    <w:rsid w:val="134355D1"/>
    <w:rsid w:val="1343E4D5"/>
    <w:rsid w:val="13442A5A"/>
    <w:rsid w:val="134882C8"/>
    <w:rsid w:val="134F875D"/>
    <w:rsid w:val="13527B47"/>
    <w:rsid w:val="1357CB1E"/>
    <w:rsid w:val="135F52D9"/>
    <w:rsid w:val="136192B1"/>
    <w:rsid w:val="1365086D"/>
    <w:rsid w:val="13663236"/>
    <w:rsid w:val="136D410E"/>
    <w:rsid w:val="136E4396"/>
    <w:rsid w:val="1370D472"/>
    <w:rsid w:val="1371DC20"/>
    <w:rsid w:val="13745027"/>
    <w:rsid w:val="137E8CF0"/>
    <w:rsid w:val="13807B69"/>
    <w:rsid w:val="138378D9"/>
    <w:rsid w:val="13857AED"/>
    <w:rsid w:val="13869663"/>
    <w:rsid w:val="138C85E6"/>
    <w:rsid w:val="13935D9C"/>
    <w:rsid w:val="1395E859"/>
    <w:rsid w:val="139DEECE"/>
    <w:rsid w:val="13A99E0E"/>
    <w:rsid w:val="13AA8994"/>
    <w:rsid w:val="13AB1247"/>
    <w:rsid w:val="13AEC205"/>
    <w:rsid w:val="13B1D242"/>
    <w:rsid w:val="13B4A267"/>
    <w:rsid w:val="13B7DD00"/>
    <w:rsid w:val="13BA4DF4"/>
    <w:rsid w:val="13BA93B4"/>
    <w:rsid w:val="13BFDF7C"/>
    <w:rsid w:val="13C2291A"/>
    <w:rsid w:val="13C270C0"/>
    <w:rsid w:val="13CA3411"/>
    <w:rsid w:val="13CD01AF"/>
    <w:rsid w:val="13D37F4E"/>
    <w:rsid w:val="13D57C5B"/>
    <w:rsid w:val="13D88267"/>
    <w:rsid w:val="13DEAC73"/>
    <w:rsid w:val="13E037BC"/>
    <w:rsid w:val="13EAB359"/>
    <w:rsid w:val="13EDEE54"/>
    <w:rsid w:val="13F0114D"/>
    <w:rsid w:val="13F2CD8F"/>
    <w:rsid w:val="13F5E1EB"/>
    <w:rsid w:val="13F73D31"/>
    <w:rsid w:val="13FB00E9"/>
    <w:rsid w:val="13FC2006"/>
    <w:rsid w:val="13FF8602"/>
    <w:rsid w:val="1406B76A"/>
    <w:rsid w:val="14129580"/>
    <w:rsid w:val="142358FE"/>
    <w:rsid w:val="14236FD9"/>
    <w:rsid w:val="142AAC48"/>
    <w:rsid w:val="142E81C7"/>
    <w:rsid w:val="142EBE2F"/>
    <w:rsid w:val="1434B0B0"/>
    <w:rsid w:val="14352DB4"/>
    <w:rsid w:val="1438F23A"/>
    <w:rsid w:val="14396894"/>
    <w:rsid w:val="143A86A5"/>
    <w:rsid w:val="143AAAAE"/>
    <w:rsid w:val="143B78FD"/>
    <w:rsid w:val="143E208C"/>
    <w:rsid w:val="14446740"/>
    <w:rsid w:val="1449D80C"/>
    <w:rsid w:val="144AEBAB"/>
    <w:rsid w:val="145749F6"/>
    <w:rsid w:val="1457993A"/>
    <w:rsid w:val="14602A97"/>
    <w:rsid w:val="14604711"/>
    <w:rsid w:val="1460C0AE"/>
    <w:rsid w:val="14635F98"/>
    <w:rsid w:val="146389D3"/>
    <w:rsid w:val="14681BCC"/>
    <w:rsid w:val="146B7703"/>
    <w:rsid w:val="147121C3"/>
    <w:rsid w:val="1477A822"/>
    <w:rsid w:val="14798BF2"/>
    <w:rsid w:val="147DE34B"/>
    <w:rsid w:val="147E8ACD"/>
    <w:rsid w:val="147F5353"/>
    <w:rsid w:val="14881FE0"/>
    <w:rsid w:val="148B0EAF"/>
    <w:rsid w:val="148B2A9E"/>
    <w:rsid w:val="148CB7C0"/>
    <w:rsid w:val="148D3E65"/>
    <w:rsid w:val="148D8FF1"/>
    <w:rsid w:val="149451A3"/>
    <w:rsid w:val="149A3A0F"/>
    <w:rsid w:val="149BD451"/>
    <w:rsid w:val="149CFD0E"/>
    <w:rsid w:val="149DA7AF"/>
    <w:rsid w:val="14AA07B0"/>
    <w:rsid w:val="14B11E30"/>
    <w:rsid w:val="14B490DB"/>
    <w:rsid w:val="14B80319"/>
    <w:rsid w:val="14BAF764"/>
    <w:rsid w:val="14BB7514"/>
    <w:rsid w:val="14C7AE70"/>
    <w:rsid w:val="14CA8CEC"/>
    <w:rsid w:val="14CD1A52"/>
    <w:rsid w:val="14CD9E46"/>
    <w:rsid w:val="14DB1A12"/>
    <w:rsid w:val="14DB9FB2"/>
    <w:rsid w:val="14E20B43"/>
    <w:rsid w:val="14E3FA2C"/>
    <w:rsid w:val="14E8829E"/>
    <w:rsid w:val="14E92064"/>
    <w:rsid w:val="14E94FEB"/>
    <w:rsid w:val="14F34F29"/>
    <w:rsid w:val="151099DF"/>
    <w:rsid w:val="152DB828"/>
    <w:rsid w:val="152F6572"/>
    <w:rsid w:val="152FEB81"/>
    <w:rsid w:val="153B8C2D"/>
    <w:rsid w:val="153D6FAD"/>
    <w:rsid w:val="153D7C46"/>
    <w:rsid w:val="15454598"/>
    <w:rsid w:val="15455831"/>
    <w:rsid w:val="15483F6D"/>
    <w:rsid w:val="154CACA4"/>
    <w:rsid w:val="154FECBD"/>
    <w:rsid w:val="15511713"/>
    <w:rsid w:val="1556B84B"/>
    <w:rsid w:val="155A9333"/>
    <w:rsid w:val="155E23A5"/>
    <w:rsid w:val="155EF15F"/>
    <w:rsid w:val="15635567"/>
    <w:rsid w:val="15667811"/>
    <w:rsid w:val="156BF677"/>
    <w:rsid w:val="157C2063"/>
    <w:rsid w:val="157DD747"/>
    <w:rsid w:val="157F8C6B"/>
    <w:rsid w:val="1581D284"/>
    <w:rsid w:val="15876FAE"/>
    <w:rsid w:val="159253F0"/>
    <w:rsid w:val="15945695"/>
    <w:rsid w:val="15980EAE"/>
    <w:rsid w:val="15A42AFB"/>
    <w:rsid w:val="15A75142"/>
    <w:rsid w:val="15ABBC51"/>
    <w:rsid w:val="15ADFE60"/>
    <w:rsid w:val="15B27B9C"/>
    <w:rsid w:val="15B76328"/>
    <w:rsid w:val="15BEEB21"/>
    <w:rsid w:val="15C2ADB7"/>
    <w:rsid w:val="15C87A32"/>
    <w:rsid w:val="15CB1F41"/>
    <w:rsid w:val="15CB7832"/>
    <w:rsid w:val="15CD6959"/>
    <w:rsid w:val="15CEE532"/>
    <w:rsid w:val="15D2BA06"/>
    <w:rsid w:val="15E4C6B1"/>
    <w:rsid w:val="15E57148"/>
    <w:rsid w:val="15EA315C"/>
    <w:rsid w:val="15EA8743"/>
    <w:rsid w:val="15EAB94B"/>
    <w:rsid w:val="15F1D4E1"/>
    <w:rsid w:val="15F1FA72"/>
    <w:rsid w:val="15F36F2D"/>
    <w:rsid w:val="15F8177A"/>
    <w:rsid w:val="15FAA358"/>
    <w:rsid w:val="1603749D"/>
    <w:rsid w:val="1609349F"/>
    <w:rsid w:val="1610E419"/>
    <w:rsid w:val="161391A2"/>
    <w:rsid w:val="161B4427"/>
    <w:rsid w:val="161BD343"/>
    <w:rsid w:val="161EBD29"/>
    <w:rsid w:val="16246705"/>
    <w:rsid w:val="162EEC62"/>
    <w:rsid w:val="16343C9B"/>
    <w:rsid w:val="163A0FBB"/>
    <w:rsid w:val="163D7479"/>
    <w:rsid w:val="1640DED4"/>
    <w:rsid w:val="164224D6"/>
    <w:rsid w:val="16505907"/>
    <w:rsid w:val="1650771E"/>
    <w:rsid w:val="16510E10"/>
    <w:rsid w:val="16525918"/>
    <w:rsid w:val="1657F71D"/>
    <w:rsid w:val="1658409E"/>
    <w:rsid w:val="1659C22D"/>
    <w:rsid w:val="165A924D"/>
    <w:rsid w:val="1662F66F"/>
    <w:rsid w:val="16678907"/>
    <w:rsid w:val="166B8DD7"/>
    <w:rsid w:val="166BC553"/>
    <w:rsid w:val="166D9C79"/>
    <w:rsid w:val="1674E59A"/>
    <w:rsid w:val="16770989"/>
    <w:rsid w:val="167A947A"/>
    <w:rsid w:val="167C611C"/>
    <w:rsid w:val="167CB0A4"/>
    <w:rsid w:val="16874124"/>
    <w:rsid w:val="1691271D"/>
    <w:rsid w:val="16915A69"/>
    <w:rsid w:val="16979DFE"/>
    <w:rsid w:val="16A263B0"/>
    <w:rsid w:val="16A2EBDE"/>
    <w:rsid w:val="16A4AF25"/>
    <w:rsid w:val="16A875DE"/>
    <w:rsid w:val="16AA037C"/>
    <w:rsid w:val="16B1AE71"/>
    <w:rsid w:val="16B348C5"/>
    <w:rsid w:val="16B47DC4"/>
    <w:rsid w:val="16D51CD7"/>
    <w:rsid w:val="16DA5C8F"/>
    <w:rsid w:val="16DE77AF"/>
    <w:rsid w:val="16E97E82"/>
    <w:rsid w:val="16F4A2D5"/>
    <w:rsid w:val="16FC7486"/>
    <w:rsid w:val="16FE5130"/>
    <w:rsid w:val="17073D1B"/>
    <w:rsid w:val="1708CCF0"/>
    <w:rsid w:val="17092B99"/>
    <w:rsid w:val="17096C27"/>
    <w:rsid w:val="170A39B9"/>
    <w:rsid w:val="170DD44F"/>
    <w:rsid w:val="17134335"/>
    <w:rsid w:val="1714C5EB"/>
    <w:rsid w:val="1715D19D"/>
    <w:rsid w:val="1718990B"/>
    <w:rsid w:val="171F7A68"/>
    <w:rsid w:val="172AB20A"/>
    <w:rsid w:val="172E4235"/>
    <w:rsid w:val="17303D8C"/>
    <w:rsid w:val="1734701C"/>
    <w:rsid w:val="1740C609"/>
    <w:rsid w:val="17427601"/>
    <w:rsid w:val="174BCB3E"/>
    <w:rsid w:val="174D2CC4"/>
    <w:rsid w:val="174DC60A"/>
    <w:rsid w:val="174E957A"/>
    <w:rsid w:val="175585EA"/>
    <w:rsid w:val="17588135"/>
    <w:rsid w:val="176518FC"/>
    <w:rsid w:val="17653CB3"/>
    <w:rsid w:val="17667BEE"/>
    <w:rsid w:val="17693A34"/>
    <w:rsid w:val="17744BF4"/>
    <w:rsid w:val="177BD231"/>
    <w:rsid w:val="177CB657"/>
    <w:rsid w:val="17837596"/>
    <w:rsid w:val="1786F573"/>
    <w:rsid w:val="178B4998"/>
    <w:rsid w:val="178C85F9"/>
    <w:rsid w:val="17945BD0"/>
    <w:rsid w:val="17A626C3"/>
    <w:rsid w:val="17A99887"/>
    <w:rsid w:val="17B1BBD9"/>
    <w:rsid w:val="17B3EC75"/>
    <w:rsid w:val="17B7FFDA"/>
    <w:rsid w:val="17BE0A39"/>
    <w:rsid w:val="17C5EE73"/>
    <w:rsid w:val="17CACF9A"/>
    <w:rsid w:val="17CEA5B1"/>
    <w:rsid w:val="17D5BDD7"/>
    <w:rsid w:val="17E189BB"/>
    <w:rsid w:val="17EAF9C1"/>
    <w:rsid w:val="17EC69BE"/>
    <w:rsid w:val="17ED88D0"/>
    <w:rsid w:val="17F04830"/>
    <w:rsid w:val="17F42098"/>
    <w:rsid w:val="17F59D22"/>
    <w:rsid w:val="17F6B2D3"/>
    <w:rsid w:val="17FB3683"/>
    <w:rsid w:val="17FE5223"/>
    <w:rsid w:val="18013B67"/>
    <w:rsid w:val="180206B6"/>
    <w:rsid w:val="1804B890"/>
    <w:rsid w:val="180B0085"/>
    <w:rsid w:val="181027B0"/>
    <w:rsid w:val="18117EC0"/>
    <w:rsid w:val="18150DD5"/>
    <w:rsid w:val="1817FFB6"/>
    <w:rsid w:val="1828534A"/>
    <w:rsid w:val="18353C27"/>
    <w:rsid w:val="18360878"/>
    <w:rsid w:val="18406CF0"/>
    <w:rsid w:val="1849AB62"/>
    <w:rsid w:val="1849AFDE"/>
    <w:rsid w:val="1849B07B"/>
    <w:rsid w:val="184CFEF7"/>
    <w:rsid w:val="184D39EE"/>
    <w:rsid w:val="184D68C5"/>
    <w:rsid w:val="184FD095"/>
    <w:rsid w:val="185067B9"/>
    <w:rsid w:val="18527DA6"/>
    <w:rsid w:val="18575653"/>
    <w:rsid w:val="185AAC19"/>
    <w:rsid w:val="185CE94B"/>
    <w:rsid w:val="185D9257"/>
    <w:rsid w:val="18607E47"/>
    <w:rsid w:val="18640FEA"/>
    <w:rsid w:val="18641541"/>
    <w:rsid w:val="1866A953"/>
    <w:rsid w:val="18687970"/>
    <w:rsid w:val="186E528D"/>
    <w:rsid w:val="187239CC"/>
    <w:rsid w:val="188053C9"/>
    <w:rsid w:val="18813C19"/>
    <w:rsid w:val="1884B706"/>
    <w:rsid w:val="188D64E2"/>
    <w:rsid w:val="188FABA3"/>
    <w:rsid w:val="189238DA"/>
    <w:rsid w:val="18967061"/>
    <w:rsid w:val="189757C9"/>
    <w:rsid w:val="1899A600"/>
    <w:rsid w:val="189A7629"/>
    <w:rsid w:val="189DF0BC"/>
    <w:rsid w:val="18A31BAA"/>
    <w:rsid w:val="18A5E813"/>
    <w:rsid w:val="18AC0F05"/>
    <w:rsid w:val="18AD6F35"/>
    <w:rsid w:val="18B6B56A"/>
    <w:rsid w:val="18C14C3B"/>
    <w:rsid w:val="18C1F9DC"/>
    <w:rsid w:val="18C348D3"/>
    <w:rsid w:val="18CBF9BC"/>
    <w:rsid w:val="18D4294B"/>
    <w:rsid w:val="18DB1821"/>
    <w:rsid w:val="18DB8A08"/>
    <w:rsid w:val="18EAF93B"/>
    <w:rsid w:val="18EC9FA8"/>
    <w:rsid w:val="18EF3100"/>
    <w:rsid w:val="18F1CCA8"/>
    <w:rsid w:val="18F2B5B9"/>
    <w:rsid w:val="18F75A09"/>
    <w:rsid w:val="18FF9CB7"/>
    <w:rsid w:val="18FF9D42"/>
    <w:rsid w:val="18FFB7E2"/>
    <w:rsid w:val="1902AAC7"/>
    <w:rsid w:val="19100DA2"/>
    <w:rsid w:val="19128BC2"/>
    <w:rsid w:val="1913D3FC"/>
    <w:rsid w:val="1917754E"/>
    <w:rsid w:val="191C9016"/>
    <w:rsid w:val="191F9C03"/>
    <w:rsid w:val="192B9628"/>
    <w:rsid w:val="193757A7"/>
    <w:rsid w:val="193CBD52"/>
    <w:rsid w:val="194525D7"/>
    <w:rsid w:val="1945C8E6"/>
    <w:rsid w:val="194974CF"/>
    <w:rsid w:val="194A7444"/>
    <w:rsid w:val="194E69EB"/>
    <w:rsid w:val="194F5336"/>
    <w:rsid w:val="1955E307"/>
    <w:rsid w:val="1959BEBE"/>
    <w:rsid w:val="195AB6F2"/>
    <w:rsid w:val="195CCA3B"/>
    <w:rsid w:val="195F6573"/>
    <w:rsid w:val="195FF2F1"/>
    <w:rsid w:val="197438D0"/>
    <w:rsid w:val="197A4030"/>
    <w:rsid w:val="197BABF3"/>
    <w:rsid w:val="19812FA4"/>
    <w:rsid w:val="1986967F"/>
    <w:rsid w:val="198E5024"/>
    <w:rsid w:val="198E897E"/>
    <w:rsid w:val="199128FD"/>
    <w:rsid w:val="1994914E"/>
    <w:rsid w:val="199706E4"/>
    <w:rsid w:val="199B28E9"/>
    <w:rsid w:val="199BD7D2"/>
    <w:rsid w:val="199E2849"/>
    <w:rsid w:val="19A43DE0"/>
    <w:rsid w:val="19B37E9D"/>
    <w:rsid w:val="19B99215"/>
    <w:rsid w:val="19BC10AC"/>
    <w:rsid w:val="19BEA5B9"/>
    <w:rsid w:val="19C9940C"/>
    <w:rsid w:val="19CC4157"/>
    <w:rsid w:val="19CDB707"/>
    <w:rsid w:val="19CEF30B"/>
    <w:rsid w:val="19E38706"/>
    <w:rsid w:val="19EC3A4A"/>
    <w:rsid w:val="19EE37D4"/>
    <w:rsid w:val="19EE49BA"/>
    <w:rsid w:val="19F33E61"/>
    <w:rsid w:val="19F8FC51"/>
    <w:rsid w:val="19FBD758"/>
    <w:rsid w:val="19FE93AA"/>
    <w:rsid w:val="1A00B2FE"/>
    <w:rsid w:val="1A034F49"/>
    <w:rsid w:val="1A039857"/>
    <w:rsid w:val="1A08BC75"/>
    <w:rsid w:val="1A1793B5"/>
    <w:rsid w:val="1A1B72F4"/>
    <w:rsid w:val="1A1F3981"/>
    <w:rsid w:val="1A231170"/>
    <w:rsid w:val="1A2E2C71"/>
    <w:rsid w:val="1A2E8B5B"/>
    <w:rsid w:val="1A2FAC0E"/>
    <w:rsid w:val="1A3563BD"/>
    <w:rsid w:val="1A421458"/>
    <w:rsid w:val="1A4E92EB"/>
    <w:rsid w:val="1A52A7BB"/>
    <w:rsid w:val="1A53B691"/>
    <w:rsid w:val="1A583CAF"/>
    <w:rsid w:val="1A69F4B1"/>
    <w:rsid w:val="1A71C880"/>
    <w:rsid w:val="1A72048E"/>
    <w:rsid w:val="1A72737B"/>
    <w:rsid w:val="1A750FE5"/>
    <w:rsid w:val="1A7AF88C"/>
    <w:rsid w:val="1A7F7F14"/>
    <w:rsid w:val="1A80F79A"/>
    <w:rsid w:val="1A887F73"/>
    <w:rsid w:val="1A8A7285"/>
    <w:rsid w:val="1A8A88C1"/>
    <w:rsid w:val="1AA33B0C"/>
    <w:rsid w:val="1AB2D189"/>
    <w:rsid w:val="1AB563F4"/>
    <w:rsid w:val="1ACA5EB6"/>
    <w:rsid w:val="1ACCD9E2"/>
    <w:rsid w:val="1AD423DA"/>
    <w:rsid w:val="1AD585D4"/>
    <w:rsid w:val="1AD9E93B"/>
    <w:rsid w:val="1AE31071"/>
    <w:rsid w:val="1AECC40F"/>
    <w:rsid w:val="1AEDF3A2"/>
    <w:rsid w:val="1AEF0545"/>
    <w:rsid w:val="1AF98B34"/>
    <w:rsid w:val="1AFE5CBA"/>
    <w:rsid w:val="1B02713C"/>
    <w:rsid w:val="1B17FDE7"/>
    <w:rsid w:val="1B1FFC10"/>
    <w:rsid w:val="1B28735B"/>
    <w:rsid w:val="1B31422D"/>
    <w:rsid w:val="1B32B243"/>
    <w:rsid w:val="1B340F2B"/>
    <w:rsid w:val="1B39B14F"/>
    <w:rsid w:val="1B42B3D2"/>
    <w:rsid w:val="1B4319FC"/>
    <w:rsid w:val="1B436AE0"/>
    <w:rsid w:val="1B4A7B50"/>
    <w:rsid w:val="1B4CFF15"/>
    <w:rsid w:val="1B4E151F"/>
    <w:rsid w:val="1B5121D2"/>
    <w:rsid w:val="1B519E6C"/>
    <w:rsid w:val="1B5268D4"/>
    <w:rsid w:val="1B5504AC"/>
    <w:rsid w:val="1B55FA8C"/>
    <w:rsid w:val="1B5B9873"/>
    <w:rsid w:val="1B5BC6F2"/>
    <w:rsid w:val="1B5DA252"/>
    <w:rsid w:val="1B6CE308"/>
    <w:rsid w:val="1B6E5811"/>
    <w:rsid w:val="1B702E77"/>
    <w:rsid w:val="1B72B117"/>
    <w:rsid w:val="1B730F52"/>
    <w:rsid w:val="1B7BCFA1"/>
    <w:rsid w:val="1B88E18E"/>
    <w:rsid w:val="1B891E4D"/>
    <w:rsid w:val="1B8EB272"/>
    <w:rsid w:val="1B98D4BA"/>
    <w:rsid w:val="1B9B2880"/>
    <w:rsid w:val="1BA11760"/>
    <w:rsid w:val="1BA3BBCA"/>
    <w:rsid w:val="1BA9C480"/>
    <w:rsid w:val="1BAAFFE3"/>
    <w:rsid w:val="1BAD3A8D"/>
    <w:rsid w:val="1BB95DD0"/>
    <w:rsid w:val="1BBF7352"/>
    <w:rsid w:val="1BC1AE8B"/>
    <w:rsid w:val="1BC35F15"/>
    <w:rsid w:val="1BC5015E"/>
    <w:rsid w:val="1BC604E2"/>
    <w:rsid w:val="1BCA8538"/>
    <w:rsid w:val="1BCE43EC"/>
    <w:rsid w:val="1BCE53F3"/>
    <w:rsid w:val="1BD08CB3"/>
    <w:rsid w:val="1BD51D86"/>
    <w:rsid w:val="1BDC5CAD"/>
    <w:rsid w:val="1BDFED09"/>
    <w:rsid w:val="1BE697D4"/>
    <w:rsid w:val="1BEAD6CC"/>
    <w:rsid w:val="1BEDCB7F"/>
    <w:rsid w:val="1BEE4BCD"/>
    <w:rsid w:val="1BEF41EA"/>
    <w:rsid w:val="1C01E1A5"/>
    <w:rsid w:val="1C0665BB"/>
    <w:rsid w:val="1C06E3FA"/>
    <w:rsid w:val="1C0A4DED"/>
    <w:rsid w:val="1C0ABD2E"/>
    <w:rsid w:val="1C0AEB2A"/>
    <w:rsid w:val="1C0C5B0D"/>
    <w:rsid w:val="1C13E6CA"/>
    <w:rsid w:val="1C158454"/>
    <w:rsid w:val="1C16EA19"/>
    <w:rsid w:val="1C1807E1"/>
    <w:rsid w:val="1C1C71C2"/>
    <w:rsid w:val="1C20983C"/>
    <w:rsid w:val="1C20A0F7"/>
    <w:rsid w:val="1C233AE2"/>
    <w:rsid w:val="1C2E1FD0"/>
    <w:rsid w:val="1C2F926B"/>
    <w:rsid w:val="1C41CD7A"/>
    <w:rsid w:val="1C440617"/>
    <w:rsid w:val="1C4DF97B"/>
    <w:rsid w:val="1C544E0E"/>
    <w:rsid w:val="1C5898C8"/>
    <w:rsid w:val="1C5A99F0"/>
    <w:rsid w:val="1C6C714E"/>
    <w:rsid w:val="1C70DC5A"/>
    <w:rsid w:val="1C7811BE"/>
    <w:rsid w:val="1C7853CD"/>
    <w:rsid w:val="1C78E5A0"/>
    <w:rsid w:val="1C7C9BBA"/>
    <w:rsid w:val="1C8ABFC3"/>
    <w:rsid w:val="1C8AE045"/>
    <w:rsid w:val="1C9333AB"/>
    <w:rsid w:val="1C9377BF"/>
    <w:rsid w:val="1C95C749"/>
    <w:rsid w:val="1C95CF62"/>
    <w:rsid w:val="1C9947E2"/>
    <w:rsid w:val="1CA04DC6"/>
    <w:rsid w:val="1CB9ED21"/>
    <w:rsid w:val="1CBBE579"/>
    <w:rsid w:val="1CBD7A62"/>
    <w:rsid w:val="1CBE5F64"/>
    <w:rsid w:val="1CC1A8A5"/>
    <w:rsid w:val="1CC9883A"/>
    <w:rsid w:val="1CCFF024"/>
    <w:rsid w:val="1CD6EB49"/>
    <w:rsid w:val="1CD9559C"/>
    <w:rsid w:val="1CDB1F3F"/>
    <w:rsid w:val="1CDC49ED"/>
    <w:rsid w:val="1CDEDA9D"/>
    <w:rsid w:val="1CDF530E"/>
    <w:rsid w:val="1CE13ECB"/>
    <w:rsid w:val="1CE2FA53"/>
    <w:rsid w:val="1CE33EC1"/>
    <w:rsid w:val="1CE935AF"/>
    <w:rsid w:val="1CF27DC0"/>
    <w:rsid w:val="1CF834AB"/>
    <w:rsid w:val="1D003796"/>
    <w:rsid w:val="1D0530E8"/>
    <w:rsid w:val="1D116424"/>
    <w:rsid w:val="1D1502C0"/>
    <w:rsid w:val="1D19AFD3"/>
    <w:rsid w:val="1D1B8AFD"/>
    <w:rsid w:val="1D1DD698"/>
    <w:rsid w:val="1D203F71"/>
    <w:rsid w:val="1D2490EC"/>
    <w:rsid w:val="1D2DA10C"/>
    <w:rsid w:val="1D3303C8"/>
    <w:rsid w:val="1D3C5314"/>
    <w:rsid w:val="1D414DE2"/>
    <w:rsid w:val="1D418F3F"/>
    <w:rsid w:val="1D427AE7"/>
    <w:rsid w:val="1D43EE8D"/>
    <w:rsid w:val="1D443093"/>
    <w:rsid w:val="1D45AE91"/>
    <w:rsid w:val="1D470A23"/>
    <w:rsid w:val="1D49F788"/>
    <w:rsid w:val="1D4B0931"/>
    <w:rsid w:val="1D4EC792"/>
    <w:rsid w:val="1D5735F6"/>
    <w:rsid w:val="1D5823BC"/>
    <w:rsid w:val="1D5C034C"/>
    <w:rsid w:val="1D61315D"/>
    <w:rsid w:val="1D6A299B"/>
    <w:rsid w:val="1D6B2903"/>
    <w:rsid w:val="1D6DEE42"/>
    <w:rsid w:val="1D6F1E78"/>
    <w:rsid w:val="1D6F8E10"/>
    <w:rsid w:val="1D710762"/>
    <w:rsid w:val="1D7A3AE5"/>
    <w:rsid w:val="1D7C4B76"/>
    <w:rsid w:val="1D7EC475"/>
    <w:rsid w:val="1D811DE1"/>
    <w:rsid w:val="1D83B77D"/>
    <w:rsid w:val="1D86251C"/>
    <w:rsid w:val="1D90F219"/>
    <w:rsid w:val="1DAEBE0D"/>
    <w:rsid w:val="1DB7A0F0"/>
    <w:rsid w:val="1DB9D4F1"/>
    <w:rsid w:val="1DB9E795"/>
    <w:rsid w:val="1DBAF9E8"/>
    <w:rsid w:val="1DBD2135"/>
    <w:rsid w:val="1DC5A204"/>
    <w:rsid w:val="1DC7AF97"/>
    <w:rsid w:val="1DC9D0B7"/>
    <w:rsid w:val="1DCC39D6"/>
    <w:rsid w:val="1DCEBBDE"/>
    <w:rsid w:val="1DCECC2D"/>
    <w:rsid w:val="1DD28EF4"/>
    <w:rsid w:val="1DEC194B"/>
    <w:rsid w:val="1DFAC559"/>
    <w:rsid w:val="1DFCE81B"/>
    <w:rsid w:val="1DFF36CE"/>
    <w:rsid w:val="1E0289A9"/>
    <w:rsid w:val="1E064D13"/>
    <w:rsid w:val="1E06A789"/>
    <w:rsid w:val="1E0D16D7"/>
    <w:rsid w:val="1E11433A"/>
    <w:rsid w:val="1E25DD0D"/>
    <w:rsid w:val="1E283AC5"/>
    <w:rsid w:val="1E2BDA62"/>
    <w:rsid w:val="1E2D00D6"/>
    <w:rsid w:val="1E323DD4"/>
    <w:rsid w:val="1E456393"/>
    <w:rsid w:val="1E462C98"/>
    <w:rsid w:val="1E4E088E"/>
    <w:rsid w:val="1E53405A"/>
    <w:rsid w:val="1E54C942"/>
    <w:rsid w:val="1E5BFC76"/>
    <w:rsid w:val="1E5CACFB"/>
    <w:rsid w:val="1E5E13ED"/>
    <w:rsid w:val="1E60C3A5"/>
    <w:rsid w:val="1E61C1DE"/>
    <w:rsid w:val="1E61E5D5"/>
    <w:rsid w:val="1E6226EA"/>
    <w:rsid w:val="1E6807F5"/>
    <w:rsid w:val="1E6A7807"/>
    <w:rsid w:val="1E6AD226"/>
    <w:rsid w:val="1E6B02D2"/>
    <w:rsid w:val="1E6FBB8F"/>
    <w:rsid w:val="1E7073B2"/>
    <w:rsid w:val="1E7108BC"/>
    <w:rsid w:val="1E723006"/>
    <w:rsid w:val="1E771CB5"/>
    <w:rsid w:val="1E77EB7B"/>
    <w:rsid w:val="1E7F0F22"/>
    <w:rsid w:val="1E800644"/>
    <w:rsid w:val="1E84B3A1"/>
    <w:rsid w:val="1E8B2199"/>
    <w:rsid w:val="1E93668C"/>
    <w:rsid w:val="1EA4832F"/>
    <w:rsid w:val="1EAB808F"/>
    <w:rsid w:val="1EAB8C30"/>
    <w:rsid w:val="1EAFE145"/>
    <w:rsid w:val="1EB0E8BA"/>
    <w:rsid w:val="1EB18258"/>
    <w:rsid w:val="1EB5078B"/>
    <w:rsid w:val="1EB6EBC5"/>
    <w:rsid w:val="1EB764F9"/>
    <w:rsid w:val="1EB9C3F9"/>
    <w:rsid w:val="1EBC0773"/>
    <w:rsid w:val="1EC13B59"/>
    <w:rsid w:val="1ECB1DB5"/>
    <w:rsid w:val="1ECEDA7F"/>
    <w:rsid w:val="1ED15D6B"/>
    <w:rsid w:val="1ED804C9"/>
    <w:rsid w:val="1EDE37C1"/>
    <w:rsid w:val="1EE2E495"/>
    <w:rsid w:val="1EE57558"/>
    <w:rsid w:val="1EEEEA23"/>
    <w:rsid w:val="1EF22BCE"/>
    <w:rsid w:val="1EF2FBFD"/>
    <w:rsid w:val="1EFABE77"/>
    <w:rsid w:val="1EFF51A4"/>
    <w:rsid w:val="1F02EF85"/>
    <w:rsid w:val="1F033AA2"/>
    <w:rsid w:val="1F08DF3F"/>
    <w:rsid w:val="1F100C63"/>
    <w:rsid w:val="1F1349A7"/>
    <w:rsid w:val="1F150E16"/>
    <w:rsid w:val="1F159ADD"/>
    <w:rsid w:val="1F1EDB03"/>
    <w:rsid w:val="1F21A302"/>
    <w:rsid w:val="1F29AE14"/>
    <w:rsid w:val="1F2C844B"/>
    <w:rsid w:val="1F35C7D4"/>
    <w:rsid w:val="1F387578"/>
    <w:rsid w:val="1F3C4D3F"/>
    <w:rsid w:val="1F3E31B3"/>
    <w:rsid w:val="1F40B944"/>
    <w:rsid w:val="1F485A6D"/>
    <w:rsid w:val="1F5085DE"/>
    <w:rsid w:val="1F5D6062"/>
    <w:rsid w:val="1F636822"/>
    <w:rsid w:val="1F70E05B"/>
    <w:rsid w:val="1F71AE66"/>
    <w:rsid w:val="1F742D99"/>
    <w:rsid w:val="1F7665D4"/>
    <w:rsid w:val="1F7931E4"/>
    <w:rsid w:val="1F833701"/>
    <w:rsid w:val="1F8ADF93"/>
    <w:rsid w:val="1F8D633D"/>
    <w:rsid w:val="1F901EEA"/>
    <w:rsid w:val="1F905F00"/>
    <w:rsid w:val="1F91881F"/>
    <w:rsid w:val="1F92219E"/>
    <w:rsid w:val="1F979C0A"/>
    <w:rsid w:val="1F9AF86D"/>
    <w:rsid w:val="1FA2BDBC"/>
    <w:rsid w:val="1FA4595F"/>
    <w:rsid w:val="1FB2D743"/>
    <w:rsid w:val="1FB3488C"/>
    <w:rsid w:val="1FB8952D"/>
    <w:rsid w:val="1FBC47FF"/>
    <w:rsid w:val="1FBD3705"/>
    <w:rsid w:val="1FC28E32"/>
    <w:rsid w:val="1FC34246"/>
    <w:rsid w:val="1FCD2741"/>
    <w:rsid w:val="1FCDB498"/>
    <w:rsid w:val="1FCE5299"/>
    <w:rsid w:val="1FCE5FE6"/>
    <w:rsid w:val="1FDA08F6"/>
    <w:rsid w:val="1FE04DDC"/>
    <w:rsid w:val="1FE3807E"/>
    <w:rsid w:val="1FE8177B"/>
    <w:rsid w:val="1FEB0D9C"/>
    <w:rsid w:val="1FEC3C98"/>
    <w:rsid w:val="1FEEB58D"/>
    <w:rsid w:val="1FEF4ED0"/>
    <w:rsid w:val="1FF5BA2C"/>
    <w:rsid w:val="1FF5E49D"/>
    <w:rsid w:val="1FFB8CE5"/>
    <w:rsid w:val="20066497"/>
    <w:rsid w:val="200A9435"/>
    <w:rsid w:val="2017C00E"/>
    <w:rsid w:val="2018856A"/>
    <w:rsid w:val="2033C05B"/>
    <w:rsid w:val="203549AD"/>
    <w:rsid w:val="20360F23"/>
    <w:rsid w:val="20365B52"/>
    <w:rsid w:val="203DCA77"/>
    <w:rsid w:val="203E7AA9"/>
    <w:rsid w:val="20428A53"/>
    <w:rsid w:val="2052A5DF"/>
    <w:rsid w:val="205C9A3E"/>
    <w:rsid w:val="205E1C3C"/>
    <w:rsid w:val="205E6C47"/>
    <w:rsid w:val="205EEB69"/>
    <w:rsid w:val="206309B6"/>
    <w:rsid w:val="206421E0"/>
    <w:rsid w:val="206DD746"/>
    <w:rsid w:val="207D719F"/>
    <w:rsid w:val="20802C5E"/>
    <w:rsid w:val="20859F4E"/>
    <w:rsid w:val="2094CC2A"/>
    <w:rsid w:val="209822E4"/>
    <w:rsid w:val="20A0FDC7"/>
    <w:rsid w:val="20A187B2"/>
    <w:rsid w:val="20A1A7B8"/>
    <w:rsid w:val="20AE32A1"/>
    <w:rsid w:val="20B09FE9"/>
    <w:rsid w:val="20B398BD"/>
    <w:rsid w:val="20B8C94A"/>
    <w:rsid w:val="20C1EDF1"/>
    <w:rsid w:val="20C9A310"/>
    <w:rsid w:val="20CA1718"/>
    <w:rsid w:val="20D89F96"/>
    <w:rsid w:val="20E05F62"/>
    <w:rsid w:val="20ECD07A"/>
    <w:rsid w:val="20FA0B5B"/>
    <w:rsid w:val="20FD319E"/>
    <w:rsid w:val="2106995F"/>
    <w:rsid w:val="211C41E9"/>
    <w:rsid w:val="211D4E8E"/>
    <w:rsid w:val="21267255"/>
    <w:rsid w:val="212BFFA2"/>
    <w:rsid w:val="212D6A37"/>
    <w:rsid w:val="2131CF96"/>
    <w:rsid w:val="21336C2D"/>
    <w:rsid w:val="213561CA"/>
    <w:rsid w:val="21392534"/>
    <w:rsid w:val="2139987D"/>
    <w:rsid w:val="214443E1"/>
    <w:rsid w:val="21455285"/>
    <w:rsid w:val="214A0AED"/>
    <w:rsid w:val="214C76CE"/>
    <w:rsid w:val="215510C8"/>
    <w:rsid w:val="21636986"/>
    <w:rsid w:val="21640F22"/>
    <w:rsid w:val="2165B62E"/>
    <w:rsid w:val="21660828"/>
    <w:rsid w:val="2171B5F6"/>
    <w:rsid w:val="2175750D"/>
    <w:rsid w:val="217A8690"/>
    <w:rsid w:val="217B2190"/>
    <w:rsid w:val="2184A92E"/>
    <w:rsid w:val="2185473E"/>
    <w:rsid w:val="218EE56B"/>
    <w:rsid w:val="218FF151"/>
    <w:rsid w:val="219793BF"/>
    <w:rsid w:val="21986834"/>
    <w:rsid w:val="219F5473"/>
    <w:rsid w:val="21A20B1D"/>
    <w:rsid w:val="21A4BB42"/>
    <w:rsid w:val="21AAAE77"/>
    <w:rsid w:val="21B08CFC"/>
    <w:rsid w:val="21BAFEBB"/>
    <w:rsid w:val="21C21756"/>
    <w:rsid w:val="21C31E0E"/>
    <w:rsid w:val="21C83896"/>
    <w:rsid w:val="21CB652F"/>
    <w:rsid w:val="21CDED2B"/>
    <w:rsid w:val="21D1481B"/>
    <w:rsid w:val="21D2A46A"/>
    <w:rsid w:val="21D852F5"/>
    <w:rsid w:val="21DAB8F9"/>
    <w:rsid w:val="21DD1561"/>
    <w:rsid w:val="21E1D442"/>
    <w:rsid w:val="21E7E399"/>
    <w:rsid w:val="21EB2AA8"/>
    <w:rsid w:val="21F276CB"/>
    <w:rsid w:val="21FDC15A"/>
    <w:rsid w:val="21FEE848"/>
    <w:rsid w:val="22048E34"/>
    <w:rsid w:val="2208D098"/>
    <w:rsid w:val="220A83E1"/>
    <w:rsid w:val="220ACD62"/>
    <w:rsid w:val="2212EC91"/>
    <w:rsid w:val="221B79A5"/>
    <w:rsid w:val="2225A390"/>
    <w:rsid w:val="22270C78"/>
    <w:rsid w:val="22276C77"/>
    <w:rsid w:val="22331CCC"/>
    <w:rsid w:val="2234DAA8"/>
    <w:rsid w:val="223E5500"/>
    <w:rsid w:val="223EF8A2"/>
    <w:rsid w:val="2241B297"/>
    <w:rsid w:val="22420020"/>
    <w:rsid w:val="22458468"/>
    <w:rsid w:val="22541A14"/>
    <w:rsid w:val="225C0AC1"/>
    <w:rsid w:val="226476FC"/>
    <w:rsid w:val="22664A67"/>
    <w:rsid w:val="2270FDD7"/>
    <w:rsid w:val="228BF061"/>
    <w:rsid w:val="2293870B"/>
    <w:rsid w:val="22A94921"/>
    <w:rsid w:val="22A9F67D"/>
    <w:rsid w:val="22AD581F"/>
    <w:rsid w:val="22AF50D6"/>
    <w:rsid w:val="22B1B4E4"/>
    <w:rsid w:val="22B1E124"/>
    <w:rsid w:val="22B8BEC0"/>
    <w:rsid w:val="22C73835"/>
    <w:rsid w:val="22C743C1"/>
    <w:rsid w:val="22C861BD"/>
    <w:rsid w:val="22C8E216"/>
    <w:rsid w:val="22E70A76"/>
    <w:rsid w:val="22EA672A"/>
    <w:rsid w:val="22F14EE1"/>
    <w:rsid w:val="22FC8D25"/>
    <w:rsid w:val="22FD42A1"/>
    <w:rsid w:val="230615C4"/>
    <w:rsid w:val="23150966"/>
    <w:rsid w:val="231A999E"/>
    <w:rsid w:val="231C1F3A"/>
    <w:rsid w:val="231DFA54"/>
    <w:rsid w:val="232231CE"/>
    <w:rsid w:val="2323185C"/>
    <w:rsid w:val="23290AAD"/>
    <w:rsid w:val="232B87EE"/>
    <w:rsid w:val="23343629"/>
    <w:rsid w:val="233AE309"/>
    <w:rsid w:val="233CBFBC"/>
    <w:rsid w:val="2362711D"/>
    <w:rsid w:val="23640897"/>
    <w:rsid w:val="23687CEE"/>
    <w:rsid w:val="236A8655"/>
    <w:rsid w:val="237C4F6E"/>
    <w:rsid w:val="238C71B8"/>
    <w:rsid w:val="238F90C4"/>
    <w:rsid w:val="239BA52F"/>
    <w:rsid w:val="23A1818E"/>
    <w:rsid w:val="23A844B6"/>
    <w:rsid w:val="23B13D84"/>
    <w:rsid w:val="23B7AE8C"/>
    <w:rsid w:val="23BD255B"/>
    <w:rsid w:val="23BF6FB7"/>
    <w:rsid w:val="23C0B142"/>
    <w:rsid w:val="23D75A7D"/>
    <w:rsid w:val="23DCBEB4"/>
    <w:rsid w:val="23E159FF"/>
    <w:rsid w:val="23E5E1A0"/>
    <w:rsid w:val="23EA85C1"/>
    <w:rsid w:val="23EDE41E"/>
    <w:rsid w:val="23EE6F1D"/>
    <w:rsid w:val="23F1CBBC"/>
    <w:rsid w:val="23F6BD17"/>
    <w:rsid w:val="240747C0"/>
    <w:rsid w:val="240A66AF"/>
    <w:rsid w:val="240BBE0B"/>
    <w:rsid w:val="241072D1"/>
    <w:rsid w:val="2412171A"/>
    <w:rsid w:val="24128A7A"/>
    <w:rsid w:val="24201CFE"/>
    <w:rsid w:val="2424AAC8"/>
    <w:rsid w:val="242C1AF4"/>
    <w:rsid w:val="24331745"/>
    <w:rsid w:val="243B7B42"/>
    <w:rsid w:val="243CC125"/>
    <w:rsid w:val="243E12B3"/>
    <w:rsid w:val="243F6DEF"/>
    <w:rsid w:val="24494EC9"/>
    <w:rsid w:val="244F4D5E"/>
    <w:rsid w:val="245025C9"/>
    <w:rsid w:val="24517C99"/>
    <w:rsid w:val="24530F17"/>
    <w:rsid w:val="245D22EF"/>
    <w:rsid w:val="245F764F"/>
    <w:rsid w:val="2464AF50"/>
    <w:rsid w:val="2467F3CE"/>
    <w:rsid w:val="24696601"/>
    <w:rsid w:val="2474A5B6"/>
    <w:rsid w:val="2479D3BB"/>
    <w:rsid w:val="24952176"/>
    <w:rsid w:val="24958B65"/>
    <w:rsid w:val="24988A71"/>
    <w:rsid w:val="2498EDDB"/>
    <w:rsid w:val="24A22306"/>
    <w:rsid w:val="24A33A86"/>
    <w:rsid w:val="24AC660F"/>
    <w:rsid w:val="24B17ECE"/>
    <w:rsid w:val="24B8F262"/>
    <w:rsid w:val="24BE5EC5"/>
    <w:rsid w:val="24C01543"/>
    <w:rsid w:val="24C233C4"/>
    <w:rsid w:val="24C3FF3B"/>
    <w:rsid w:val="24C4FDFC"/>
    <w:rsid w:val="24CCA8CD"/>
    <w:rsid w:val="24CE677B"/>
    <w:rsid w:val="24D3A1DB"/>
    <w:rsid w:val="24D4AB4E"/>
    <w:rsid w:val="24D78352"/>
    <w:rsid w:val="24D7D2FF"/>
    <w:rsid w:val="24D9992E"/>
    <w:rsid w:val="24DB6646"/>
    <w:rsid w:val="24DF7BCE"/>
    <w:rsid w:val="24E1AF05"/>
    <w:rsid w:val="24E9BAC0"/>
    <w:rsid w:val="24ED62A2"/>
    <w:rsid w:val="24F5236C"/>
    <w:rsid w:val="24F676AC"/>
    <w:rsid w:val="24F74096"/>
    <w:rsid w:val="24FAA37A"/>
    <w:rsid w:val="2501CAAB"/>
    <w:rsid w:val="2504CC9B"/>
    <w:rsid w:val="250CBC2B"/>
    <w:rsid w:val="2517270B"/>
    <w:rsid w:val="251FC1BD"/>
    <w:rsid w:val="2524765B"/>
    <w:rsid w:val="252ABBDB"/>
    <w:rsid w:val="252FFD5F"/>
    <w:rsid w:val="2536AF09"/>
    <w:rsid w:val="2537A6CB"/>
    <w:rsid w:val="253942CC"/>
    <w:rsid w:val="253C63E7"/>
    <w:rsid w:val="25405727"/>
    <w:rsid w:val="2543AC3F"/>
    <w:rsid w:val="254B42EB"/>
    <w:rsid w:val="2554D86E"/>
    <w:rsid w:val="255A3F8D"/>
    <w:rsid w:val="255ACF6C"/>
    <w:rsid w:val="255E57A3"/>
    <w:rsid w:val="2563398D"/>
    <w:rsid w:val="256BFB78"/>
    <w:rsid w:val="257334B7"/>
    <w:rsid w:val="2574BF05"/>
    <w:rsid w:val="25774594"/>
    <w:rsid w:val="257A004C"/>
    <w:rsid w:val="257A591A"/>
    <w:rsid w:val="257C84AC"/>
    <w:rsid w:val="257EACD1"/>
    <w:rsid w:val="257EE732"/>
    <w:rsid w:val="258003EA"/>
    <w:rsid w:val="2588E88D"/>
    <w:rsid w:val="258BD96A"/>
    <w:rsid w:val="258DAA45"/>
    <w:rsid w:val="25933627"/>
    <w:rsid w:val="2594C51A"/>
    <w:rsid w:val="25AF0BCF"/>
    <w:rsid w:val="25BF2C7E"/>
    <w:rsid w:val="25C664F7"/>
    <w:rsid w:val="25C93BD8"/>
    <w:rsid w:val="25CB433B"/>
    <w:rsid w:val="25D05BB8"/>
    <w:rsid w:val="25D19047"/>
    <w:rsid w:val="25D50F52"/>
    <w:rsid w:val="25D61AC2"/>
    <w:rsid w:val="25DB4932"/>
    <w:rsid w:val="25DF4258"/>
    <w:rsid w:val="25DFCF6A"/>
    <w:rsid w:val="25E28607"/>
    <w:rsid w:val="25E41281"/>
    <w:rsid w:val="25E6C851"/>
    <w:rsid w:val="25E7AEB6"/>
    <w:rsid w:val="25F4F41F"/>
    <w:rsid w:val="25F882F0"/>
    <w:rsid w:val="2609D9EF"/>
    <w:rsid w:val="260B8869"/>
    <w:rsid w:val="261499AF"/>
    <w:rsid w:val="261BEC69"/>
    <w:rsid w:val="261CC99F"/>
    <w:rsid w:val="2623FC03"/>
    <w:rsid w:val="2625DB98"/>
    <w:rsid w:val="26285C78"/>
    <w:rsid w:val="262C50B2"/>
    <w:rsid w:val="262DFBDA"/>
    <w:rsid w:val="262F841D"/>
    <w:rsid w:val="263EF9BF"/>
    <w:rsid w:val="2640B3E0"/>
    <w:rsid w:val="2645C406"/>
    <w:rsid w:val="264B60C8"/>
    <w:rsid w:val="26508231"/>
    <w:rsid w:val="2651F135"/>
    <w:rsid w:val="2652D53B"/>
    <w:rsid w:val="26573F8E"/>
    <w:rsid w:val="265F575F"/>
    <w:rsid w:val="26608C6B"/>
    <w:rsid w:val="26623B4B"/>
    <w:rsid w:val="26689D97"/>
    <w:rsid w:val="266A28EA"/>
    <w:rsid w:val="266A934B"/>
    <w:rsid w:val="266ADF23"/>
    <w:rsid w:val="266D0EE6"/>
    <w:rsid w:val="267BF0FC"/>
    <w:rsid w:val="267EF214"/>
    <w:rsid w:val="267F17A3"/>
    <w:rsid w:val="26823E08"/>
    <w:rsid w:val="26852CFF"/>
    <w:rsid w:val="26899500"/>
    <w:rsid w:val="268C2B15"/>
    <w:rsid w:val="268F8660"/>
    <w:rsid w:val="26976891"/>
    <w:rsid w:val="269A1147"/>
    <w:rsid w:val="26A9DE74"/>
    <w:rsid w:val="26AF5A3C"/>
    <w:rsid w:val="26BDEB4A"/>
    <w:rsid w:val="26C438BD"/>
    <w:rsid w:val="26C5D805"/>
    <w:rsid w:val="26C9C6FA"/>
    <w:rsid w:val="26CDADA8"/>
    <w:rsid w:val="26D0ACD8"/>
    <w:rsid w:val="26D36FD0"/>
    <w:rsid w:val="26E51925"/>
    <w:rsid w:val="26E64412"/>
    <w:rsid w:val="26EB99F4"/>
    <w:rsid w:val="26ECC99A"/>
    <w:rsid w:val="26ED5BED"/>
    <w:rsid w:val="26F47DFD"/>
    <w:rsid w:val="26F5708A"/>
    <w:rsid w:val="26F7BE93"/>
    <w:rsid w:val="26F807B6"/>
    <w:rsid w:val="26FFAD20"/>
    <w:rsid w:val="27037165"/>
    <w:rsid w:val="270BDB7B"/>
    <w:rsid w:val="270FFB07"/>
    <w:rsid w:val="2710FFEC"/>
    <w:rsid w:val="27147039"/>
    <w:rsid w:val="271FF9E7"/>
    <w:rsid w:val="272ABE2F"/>
    <w:rsid w:val="272D09F2"/>
    <w:rsid w:val="272FCDE4"/>
    <w:rsid w:val="2731E42F"/>
    <w:rsid w:val="273C6409"/>
    <w:rsid w:val="273DBB1C"/>
    <w:rsid w:val="2750AFB6"/>
    <w:rsid w:val="27529C64"/>
    <w:rsid w:val="27552B24"/>
    <w:rsid w:val="275CF243"/>
    <w:rsid w:val="275D40F6"/>
    <w:rsid w:val="275DE440"/>
    <w:rsid w:val="276569F8"/>
    <w:rsid w:val="276591A3"/>
    <w:rsid w:val="2766CFBB"/>
    <w:rsid w:val="2767EFFE"/>
    <w:rsid w:val="2770FBED"/>
    <w:rsid w:val="277251BC"/>
    <w:rsid w:val="2773F4E2"/>
    <w:rsid w:val="2774C504"/>
    <w:rsid w:val="27851029"/>
    <w:rsid w:val="2789A80F"/>
    <w:rsid w:val="278A76C3"/>
    <w:rsid w:val="278A8298"/>
    <w:rsid w:val="278C6032"/>
    <w:rsid w:val="278EF7F4"/>
    <w:rsid w:val="27956D77"/>
    <w:rsid w:val="279651E0"/>
    <w:rsid w:val="27966794"/>
    <w:rsid w:val="27987FE3"/>
    <w:rsid w:val="279B9E5C"/>
    <w:rsid w:val="279E9A0E"/>
    <w:rsid w:val="27A25634"/>
    <w:rsid w:val="27A27C6B"/>
    <w:rsid w:val="27A4EEEB"/>
    <w:rsid w:val="27A88D2D"/>
    <w:rsid w:val="27B2B9F0"/>
    <w:rsid w:val="27B72786"/>
    <w:rsid w:val="27B8F9BA"/>
    <w:rsid w:val="27B95F7B"/>
    <w:rsid w:val="27BD5831"/>
    <w:rsid w:val="27BE5D39"/>
    <w:rsid w:val="27C39B95"/>
    <w:rsid w:val="27C6B428"/>
    <w:rsid w:val="27CA2A63"/>
    <w:rsid w:val="27CF4413"/>
    <w:rsid w:val="27D861EF"/>
    <w:rsid w:val="27DFF3F4"/>
    <w:rsid w:val="27E0A00D"/>
    <w:rsid w:val="27EC40D3"/>
    <w:rsid w:val="27F711BA"/>
    <w:rsid w:val="27F851EF"/>
    <w:rsid w:val="27FADFAE"/>
    <w:rsid w:val="280B40B9"/>
    <w:rsid w:val="280C3684"/>
    <w:rsid w:val="28119CF7"/>
    <w:rsid w:val="281389EB"/>
    <w:rsid w:val="281568E8"/>
    <w:rsid w:val="28182590"/>
    <w:rsid w:val="28184262"/>
    <w:rsid w:val="2819B2F5"/>
    <w:rsid w:val="281CE578"/>
    <w:rsid w:val="2821A6B8"/>
    <w:rsid w:val="2826F37D"/>
    <w:rsid w:val="2829B30F"/>
    <w:rsid w:val="282CB372"/>
    <w:rsid w:val="282FB6D1"/>
    <w:rsid w:val="28332AC5"/>
    <w:rsid w:val="2835E39D"/>
    <w:rsid w:val="283CD60D"/>
    <w:rsid w:val="283D3C5E"/>
    <w:rsid w:val="283E144F"/>
    <w:rsid w:val="283EF589"/>
    <w:rsid w:val="2845EBF6"/>
    <w:rsid w:val="284988C5"/>
    <w:rsid w:val="2851BC2E"/>
    <w:rsid w:val="28578334"/>
    <w:rsid w:val="285A58E5"/>
    <w:rsid w:val="2860F199"/>
    <w:rsid w:val="28650D5E"/>
    <w:rsid w:val="286BE7DE"/>
    <w:rsid w:val="286E018D"/>
    <w:rsid w:val="286F36CE"/>
    <w:rsid w:val="2875AD32"/>
    <w:rsid w:val="28776E97"/>
    <w:rsid w:val="287CE41D"/>
    <w:rsid w:val="28938F4A"/>
    <w:rsid w:val="28A86562"/>
    <w:rsid w:val="28A883B5"/>
    <w:rsid w:val="28B1BD7C"/>
    <w:rsid w:val="28BE6990"/>
    <w:rsid w:val="28C7CE3D"/>
    <w:rsid w:val="28C80473"/>
    <w:rsid w:val="28CE4329"/>
    <w:rsid w:val="28D1DE39"/>
    <w:rsid w:val="28D35FDC"/>
    <w:rsid w:val="28E5D157"/>
    <w:rsid w:val="28E62A88"/>
    <w:rsid w:val="28F313AE"/>
    <w:rsid w:val="28F47C3A"/>
    <w:rsid w:val="28F8985B"/>
    <w:rsid w:val="28FA4F5D"/>
    <w:rsid w:val="28FC0D7D"/>
    <w:rsid w:val="28FDB042"/>
    <w:rsid w:val="28FE4129"/>
    <w:rsid w:val="28FF3360"/>
    <w:rsid w:val="28FF79CD"/>
    <w:rsid w:val="28FFAD4C"/>
    <w:rsid w:val="29012998"/>
    <w:rsid w:val="2909CD8F"/>
    <w:rsid w:val="290B1411"/>
    <w:rsid w:val="290CB138"/>
    <w:rsid w:val="290D075E"/>
    <w:rsid w:val="290DC110"/>
    <w:rsid w:val="290F76E6"/>
    <w:rsid w:val="29143577"/>
    <w:rsid w:val="29165B71"/>
    <w:rsid w:val="291755EC"/>
    <w:rsid w:val="291C40C7"/>
    <w:rsid w:val="2928DFC6"/>
    <w:rsid w:val="292B4F18"/>
    <w:rsid w:val="292F6A38"/>
    <w:rsid w:val="29340009"/>
    <w:rsid w:val="293AA21A"/>
    <w:rsid w:val="293EA65C"/>
    <w:rsid w:val="293EEF97"/>
    <w:rsid w:val="2944DE60"/>
    <w:rsid w:val="2949C09B"/>
    <w:rsid w:val="29594DAD"/>
    <w:rsid w:val="295ABB33"/>
    <w:rsid w:val="296059FD"/>
    <w:rsid w:val="29674A57"/>
    <w:rsid w:val="2969D592"/>
    <w:rsid w:val="296E3DD6"/>
    <w:rsid w:val="29707EF5"/>
    <w:rsid w:val="29720B82"/>
    <w:rsid w:val="2972DBD8"/>
    <w:rsid w:val="2975442D"/>
    <w:rsid w:val="2979BD7F"/>
    <w:rsid w:val="297BF3AB"/>
    <w:rsid w:val="2989A493"/>
    <w:rsid w:val="298C8838"/>
    <w:rsid w:val="2991E658"/>
    <w:rsid w:val="299E3A33"/>
    <w:rsid w:val="29A087B1"/>
    <w:rsid w:val="29AC72DC"/>
    <w:rsid w:val="29AED982"/>
    <w:rsid w:val="29B0623C"/>
    <w:rsid w:val="29B3E20A"/>
    <w:rsid w:val="29B54330"/>
    <w:rsid w:val="29B9C1E8"/>
    <w:rsid w:val="29BAB2B2"/>
    <w:rsid w:val="29C4D06B"/>
    <w:rsid w:val="29C5DA3F"/>
    <w:rsid w:val="29C6530B"/>
    <w:rsid w:val="29C88A87"/>
    <w:rsid w:val="29CA0009"/>
    <w:rsid w:val="29CF27E5"/>
    <w:rsid w:val="29D29310"/>
    <w:rsid w:val="29D34A0D"/>
    <w:rsid w:val="29D8B34B"/>
    <w:rsid w:val="29DF3645"/>
    <w:rsid w:val="29EE7D46"/>
    <w:rsid w:val="29F2E347"/>
    <w:rsid w:val="29FC1306"/>
    <w:rsid w:val="29FEED39"/>
    <w:rsid w:val="2A00968C"/>
    <w:rsid w:val="2A034FFC"/>
    <w:rsid w:val="2A069A28"/>
    <w:rsid w:val="2A0E03B2"/>
    <w:rsid w:val="2A0F448E"/>
    <w:rsid w:val="2A1010A6"/>
    <w:rsid w:val="2A16CA58"/>
    <w:rsid w:val="2A1990B3"/>
    <w:rsid w:val="2A207D57"/>
    <w:rsid w:val="2A23D7B2"/>
    <w:rsid w:val="2A248C27"/>
    <w:rsid w:val="2A2911D9"/>
    <w:rsid w:val="2A2E0E7E"/>
    <w:rsid w:val="2A339522"/>
    <w:rsid w:val="2A34292B"/>
    <w:rsid w:val="2A3B0E34"/>
    <w:rsid w:val="2A3C106B"/>
    <w:rsid w:val="2A4D1AC0"/>
    <w:rsid w:val="2A50FB0A"/>
    <w:rsid w:val="2A518AED"/>
    <w:rsid w:val="2A6B5581"/>
    <w:rsid w:val="2A715C4C"/>
    <w:rsid w:val="2A778636"/>
    <w:rsid w:val="2A7945AF"/>
    <w:rsid w:val="2A7FFD5A"/>
    <w:rsid w:val="2A807B0C"/>
    <w:rsid w:val="2A81F4D7"/>
    <w:rsid w:val="2A852C19"/>
    <w:rsid w:val="2A939865"/>
    <w:rsid w:val="2A9AEA12"/>
    <w:rsid w:val="2A9B2C00"/>
    <w:rsid w:val="2AA2F15F"/>
    <w:rsid w:val="2AAC442A"/>
    <w:rsid w:val="2AAD65C7"/>
    <w:rsid w:val="2AB6C524"/>
    <w:rsid w:val="2ABA2DE2"/>
    <w:rsid w:val="2ABBCB6D"/>
    <w:rsid w:val="2AC0A020"/>
    <w:rsid w:val="2AC46CD4"/>
    <w:rsid w:val="2AC5CE9C"/>
    <w:rsid w:val="2AD9AA89"/>
    <w:rsid w:val="2AE51F26"/>
    <w:rsid w:val="2AE958D0"/>
    <w:rsid w:val="2AEC8991"/>
    <w:rsid w:val="2AED53BF"/>
    <w:rsid w:val="2AEE4245"/>
    <w:rsid w:val="2AEF7C84"/>
    <w:rsid w:val="2AF8D283"/>
    <w:rsid w:val="2AFBE54C"/>
    <w:rsid w:val="2AFC615E"/>
    <w:rsid w:val="2AFCE85B"/>
    <w:rsid w:val="2B025BF2"/>
    <w:rsid w:val="2B094EEC"/>
    <w:rsid w:val="2B0B791F"/>
    <w:rsid w:val="2B0D8BB8"/>
    <w:rsid w:val="2B0DC0C0"/>
    <w:rsid w:val="2B1626B3"/>
    <w:rsid w:val="2B18767A"/>
    <w:rsid w:val="2B1A24FA"/>
    <w:rsid w:val="2B1DA541"/>
    <w:rsid w:val="2B2247D3"/>
    <w:rsid w:val="2B22977C"/>
    <w:rsid w:val="2B2559B1"/>
    <w:rsid w:val="2B2FF385"/>
    <w:rsid w:val="2B33BB63"/>
    <w:rsid w:val="2B351329"/>
    <w:rsid w:val="2B362A6F"/>
    <w:rsid w:val="2B389B94"/>
    <w:rsid w:val="2B38D39A"/>
    <w:rsid w:val="2B3F0151"/>
    <w:rsid w:val="2B404C9B"/>
    <w:rsid w:val="2B40F93F"/>
    <w:rsid w:val="2B43B61E"/>
    <w:rsid w:val="2B4569AE"/>
    <w:rsid w:val="2B47683A"/>
    <w:rsid w:val="2B535A60"/>
    <w:rsid w:val="2B5446E6"/>
    <w:rsid w:val="2B547F45"/>
    <w:rsid w:val="2B5E7173"/>
    <w:rsid w:val="2B61B858"/>
    <w:rsid w:val="2B636A6D"/>
    <w:rsid w:val="2B68A939"/>
    <w:rsid w:val="2B6EAE46"/>
    <w:rsid w:val="2B6FA6C0"/>
    <w:rsid w:val="2B7239F6"/>
    <w:rsid w:val="2B779424"/>
    <w:rsid w:val="2B7FE3A5"/>
    <w:rsid w:val="2B8FD30A"/>
    <w:rsid w:val="2B90E869"/>
    <w:rsid w:val="2B94D1C4"/>
    <w:rsid w:val="2B99675E"/>
    <w:rsid w:val="2B9E7396"/>
    <w:rsid w:val="2BA6ECD3"/>
    <w:rsid w:val="2BA6F40D"/>
    <w:rsid w:val="2BA8DC1E"/>
    <w:rsid w:val="2BABCBEB"/>
    <w:rsid w:val="2BAE2EA3"/>
    <w:rsid w:val="2BB6A648"/>
    <w:rsid w:val="2BBEBC8E"/>
    <w:rsid w:val="2BC2EBDF"/>
    <w:rsid w:val="2BC77356"/>
    <w:rsid w:val="2BC9A6AD"/>
    <w:rsid w:val="2BD1927D"/>
    <w:rsid w:val="2BDE6474"/>
    <w:rsid w:val="2BDF9B9D"/>
    <w:rsid w:val="2BE2F9C8"/>
    <w:rsid w:val="2BE3195F"/>
    <w:rsid w:val="2BE3A92D"/>
    <w:rsid w:val="2BEC5D23"/>
    <w:rsid w:val="2BF736C0"/>
    <w:rsid w:val="2BFF5E83"/>
    <w:rsid w:val="2C0264A4"/>
    <w:rsid w:val="2C09383B"/>
    <w:rsid w:val="2C0DE757"/>
    <w:rsid w:val="2C11069F"/>
    <w:rsid w:val="2C11AA3A"/>
    <w:rsid w:val="2C145F75"/>
    <w:rsid w:val="2C186D65"/>
    <w:rsid w:val="2C19AED4"/>
    <w:rsid w:val="2C1D83F6"/>
    <w:rsid w:val="2C223E76"/>
    <w:rsid w:val="2C27A710"/>
    <w:rsid w:val="2C2A98BE"/>
    <w:rsid w:val="2C2E06E0"/>
    <w:rsid w:val="2C2EDCA1"/>
    <w:rsid w:val="2C3FD02A"/>
    <w:rsid w:val="2C48206E"/>
    <w:rsid w:val="2C493FF5"/>
    <w:rsid w:val="2C4982B7"/>
    <w:rsid w:val="2C49B761"/>
    <w:rsid w:val="2C4FC78B"/>
    <w:rsid w:val="2C515B6C"/>
    <w:rsid w:val="2C52FBC8"/>
    <w:rsid w:val="2C54DE03"/>
    <w:rsid w:val="2C595DDC"/>
    <w:rsid w:val="2C59FA3F"/>
    <w:rsid w:val="2C5A34BE"/>
    <w:rsid w:val="2C5E3FA2"/>
    <w:rsid w:val="2C61F0FD"/>
    <w:rsid w:val="2C68EB8E"/>
    <w:rsid w:val="2C6D2DFF"/>
    <w:rsid w:val="2C6F3947"/>
    <w:rsid w:val="2C78A775"/>
    <w:rsid w:val="2C803DCB"/>
    <w:rsid w:val="2C836D0E"/>
    <w:rsid w:val="2C8447CA"/>
    <w:rsid w:val="2C849636"/>
    <w:rsid w:val="2C8646D8"/>
    <w:rsid w:val="2C875D11"/>
    <w:rsid w:val="2C8B46C5"/>
    <w:rsid w:val="2C8C74B6"/>
    <w:rsid w:val="2C919271"/>
    <w:rsid w:val="2C91C67A"/>
    <w:rsid w:val="2C985470"/>
    <w:rsid w:val="2C9CDFCC"/>
    <w:rsid w:val="2C9D81AB"/>
    <w:rsid w:val="2CA1F3FE"/>
    <w:rsid w:val="2CA222D4"/>
    <w:rsid w:val="2CA518EB"/>
    <w:rsid w:val="2CB23902"/>
    <w:rsid w:val="2CB64868"/>
    <w:rsid w:val="2CB8A4E4"/>
    <w:rsid w:val="2CC59B31"/>
    <w:rsid w:val="2CC764BB"/>
    <w:rsid w:val="2CCD2E24"/>
    <w:rsid w:val="2CD5B4D5"/>
    <w:rsid w:val="2CDB5D16"/>
    <w:rsid w:val="2CDB92E0"/>
    <w:rsid w:val="2CE43C2E"/>
    <w:rsid w:val="2CE798D2"/>
    <w:rsid w:val="2CE8C69F"/>
    <w:rsid w:val="2CF25728"/>
    <w:rsid w:val="2CF37655"/>
    <w:rsid w:val="2CF3BC84"/>
    <w:rsid w:val="2CF3DB6A"/>
    <w:rsid w:val="2CF5CBEE"/>
    <w:rsid w:val="2D0035A8"/>
    <w:rsid w:val="2D031CF4"/>
    <w:rsid w:val="2D0D652F"/>
    <w:rsid w:val="2D0E320C"/>
    <w:rsid w:val="2D11F3C3"/>
    <w:rsid w:val="2D13CF9F"/>
    <w:rsid w:val="2D151053"/>
    <w:rsid w:val="2D15E421"/>
    <w:rsid w:val="2D185C77"/>
    <w:rsid w:val="2D1AF584"/>
    <w:rsid w:val="2D1BAA3F"/>
    <w:rsid w:val="2D1E32CE"/>
    <w:rsid w:val="2D25C5E8"/>
    <w:rsid w:val="2D2643A4"/>
    <w:rsid w:val="2D2D49BE"/>
    <w:rsid w:val="2D315F47"/>
    <w:rsid w:val="2D31E7BC"/>
    <w:rsid w:val="2D33CA09"/>
    <w:rsid w:val="2D3B0C6B"/>
    <w:rsid w:val="2D3EC7B2"/>
    <w:rsid w:val="2D474DD0"/>
    <w:rsid w:val="2D475804"/>
    <w:rsid w:val="2D475C85"/>
    <w:rsid w:val="2D480C3D"/>
    <w:rsid w:val="2D5AB90E"/>
    <w:rsid w:val="2D5DEABD"/>
    <w:rsid w:val="2D5E376F"/>
    <w:rsid w:val="2D5F9567"/>
    <w:rsid w:val="2D65BAF4"/>
    <w:rsid w:val="2D69751D"/>
    <w:rsid w:val="2D6D4621"/>
    <w:rsid w:val="2D6D6673"/>
    <w:rsid w:val="2D6E9F06"/>
    <w:rsid w:val="2D71A343"/>
    <w:rsid w:val="2D7BDDEA"/>
    <w:rsid w:val="2D81AA5B"/>
    <w:rsid w:val="2D82B3A9"/>
    <w:rsid w:val="2D83979F"/>
    <w:rsid w:val="2D8488B8"/>
    <w:rsid w:val="2D853F3E"/>
    <w:rsid w:val="2D8B02C8"/>
    <w:rsid w:val="2D92CCC9"/>
    <w:rsid w:val="2D938651"/>
    <w:rsid w:val="2D9A132F"/>
    <w:rsid w:val="2D9DB369"/>
    <w:rsid w:val="2DA1B04D"/>
    <w:rsid w:val="2DA2EF3D"/>
    <w:rsid w:val="2DAA7C6D"/>
    <w:rsid w:val="2DB721E2"/>
    <w:rsid w:val="2DB8F247"/>
    <w:rsid w:val="2DBBE14B"/>
    <w:rsid w:val="2DBC8DC5"/>
    <w:rsid w:val="2DC2079A"/>
    <w:rsid w:val="2DC30819"/>
    <w:rsid w:val="2DC80268"/>
    <w:rsid w:val="2DC83E67"/>
    <w:rsid w:val="2DCA3C94"/>
    <w:rsid w:val="2DCAA6E8"/>
    <w:rsid w:val="2DCBED06"/>
    <w:rsid w:val="2DE22C50"/>
    <w:rsid w:val="2DE93789"/>
    <w:rsid w:val="2DE9BCD3"/>
    <w:rsid w:val="2DF07EE8"/>
    <w:rsid w:val="2DF4EB59"/>
    <w:rsid w:val="2DF7A595"/>
    <w:rsid w:val="2DF88B48"/>
    <w:rsid w:val="2DF93366"/>
    <w:rsid w:val="2DFCF957"/>
    <w:rsid w:val="2E05824E"/>
    <w:rsid w:val="2E06B843"/>
    <w:rsid w:val="2E09C8C5"/>
    <w:rsid w:val="2E09D147"/>
    <w:rsid w:val="2E09DAC3"/>
    <w:rsid w:val="2E0F49B2"/>
    <w:rsid w:val="2E0FCC46"/>
    <w:rsid w:val="2E12FF3E"/>
    <w:rsid w:val="2E15BA00"/>
    <w:rsid w:val="2E17272B"/>
    <w:rsid w:val="2E23A878"/>
    <w:rsid w:val="2E269EF9"/>
    <w:rsid w:val="2E2A88C5"/>
    <w:rsid w:val="2E2C2B47"/>
    <w:rsid w:val="2E2DAC1A"/>
    <w:rsid w:val="2E2ECF4E"/>
    <w:rsid w:val="2E321D81"/>
    <w:rsid w:val="2E367D76"/>
    <w:rsid w:val="2E3D248B"/>
    <w:rsid w:val="2E3F0D27"/>
    <w:rsid w:val="2E3F2738"/>
    <w:rsid w:val="2E3F32A2"/>
    <w:rsid w:val="2E42ABFF"/>
    <w:rsid w:val="2E44B452"/>
    <w:rsid w:val="2E47155E"/>
    <w:rsid w:val="2E49CC0F"/>
    <w:rsid w:val="2E5B8ED7"/>
    <w:rsid w:val="2E5E4585"/>
    <w:rsid w:val="2E60091D"/>
    <w:rsid w:val="2E62861F"/>
    <w:rsid w:val="2E683853"/>
    <w:rsid w:val="2E694E3E"/>
    <w:rsid w:val="2E6E7D59"/>
    <w:rsid w:val="2E720FF3"/>
    <w:rsid w:val="2E78B6CE"/>
    <w:rsid w:val="2E7BB3CF"/>
    <w:rsid w:val="2E82E47F"/>
    <w:rsid w:val="2E8868FC"/>
    <w:rsid w:val="2E89A9A3"/>
    <w:rsid w:val="2E8BD30B"/>
    <w:rsid w:val="2E9EA09D"/>
    <w:rsid w:val="2EA64C68"/>
    <w:rsid w:val="2EA67874"/>
    <w:rsid w:val="2EA9706C"/>
    <w:rsid w:val="2EABFD76"/>
    <w:rsid w:val="2EACA623"/>
    <w:rsid w:val="2EB2836D"/>
    <w:rsid w:val="2EB7D8A8"/>
    <w:rsid w:val="2EBB1C69"/>
    <w:rsid w:val="2EBDDA4F"/>
    <w:rsid w:val="2EBE6E6A"/>
    <w:rsid w:val="2EC0333D"/>
    <w:rsid w:val="2EC28FBB"/>
    <w:rsid w:val="2EC80088"/>
    <w:rsid w:val="2EC80579"/>
    <w:rsid w:val="2EC9F95A"/>
    <w:rsid w:val="2ED45E79"/>
    <w:rsid w:val="2ED45F51"/>
    <w:rsid w:val="2ED72CBE"/>
    <w:rsid w:val="2EDF3851"/>
    <w:rsid w:val="2EE36CAD"/>
    <w:rsid w:val="2EE5129D"/>
    <w:rsid w:val="2EED4B6D"/>
    <w:rsid w:val="2EEF8DAC"/>
    <w:rsid w:val="2EF073A7"/>
    <w:rsid w:val="2EF2A53A"/>
    <w:rsid w:val="2EF45908"/>
    <w:rsid w:val="2EFBC562"/>
    <w:rsid w:val="2F087E7B"/>
    <w:rsid w:val="2F08D709"/>
    <w:rsid w:val="2F10437B"/>
    <w:rsid w:val="2F17981F"/>
    <w:rsid w:val="2F1F80F4"/>
    <w:rsid w:val="2F221540"/>
    <w:rsid w:val="2F24DFF4"/>
    <w:rsid w:val="2F256E2A"/>
    <w:rsid w:val="2F2684CA"/>
    <w:rsid w:val="2F29EA3D"/>
    <w:rsid w:val="2F2C4B69"/>
    <w:rsid w:val="2F325815"/>
    <w:rsid w:val="2F36E8D4"/>
    <w:rsid w:val="2F378B6A"/>
    <w:rsid w:val="2F391C81"/>
    <w:rsid w:val="2F3F2EEB"/>
    <w:rsid w:val="2F40E01D"/>
    <w:rsid w:val="2F436BF1"/>
    <w:rsid w:val="2F48C821"/>
    <w:rsid w:val="2F57AE06"/>
    <w:rsid w:val="2F65D3B3"/>
    <w:rsid w:val="2F686E9F"/>
    <w:rsid w:val="2F68F599"/>
    <w:rsid w:val="2F6C6292"/>
    <w:rsid w:val="2F6D745D"/>
    <w:rsid w:val="2F70D220"/>
    <w:rsid w:val="2F745840"/>
    <w:rsid w:val="2F78CDB6"/>
    <w:rsid w:val="2F85AB60"/>
    <w:rsid w:val="2F8FDBCC"/>
    <w:rsid w:val="2F9FC423"/>
    <w:rsid w:val="2FA03F90"/>
    <w:rsid w:val="2FA358CB"/>
    <w:rsid w:val="2FA5CF3B"/>
    <w:rsid w:val="2FA6F481"/>
    <w:rsid w:val="2FAA0380"/>
    <w:rsid w:val="2FACA0C2"/>
    <w:rsid w:val="2FAD3A1C"/>
    <w:rsid w:val="2FBB2865"/>
    <w:rsid w:val="2FC68A3A"/>
    <w:rsid w:val="2FCD26BB"/>
    <w:rsid w:val="2FD63AA7"/>
    <w:rsid w:val="2FF19055"/>
    <w:rsid w:val="2FF9633C"/>
    <w:rsid w:val="2FFC0461"/>
    <w:rsid w:val="2FFF19AC"/>
    <w:rsid w:val="30005EB9"/>
    <w:rsid w:val="3006615C"/>
    <w:rsid w:val="300BCB2F"/>
    <w:rsid w:val="300C0CB7"/>
    <w:rsid w:val="300DD709"/>
    <w:rsid w:val="3011C497"/>
    <w:rsid w:val="3014D4DC"/>
    <w:rsid w:val="3018D09C"/>
    <w:rsid w:val="301A887A"/>
    <w:rsid w:val="301C791A"/>
    <w:rsid w:val="301DA687"/>
    <w:rsid w:val="30215A57"/>
    <w:rsid w:val="30262E1D"/>
    <w:rsid w:val="3029CA57"/>
    <w:rsid w:val="3031FA5D"/>
    <w:rsid w:val="303F65AF"/>
    <w:rsid w:val="3040574D"/>
    <w:rsid w:val="3049CD65"/>
    <w:rsid w:val="304C13C5"/>
    <w:rsid w:val="304E436B"/>
    <w:rsid w:val="305619F3"/>
    <w:rsid w:val="305931D4"/>
    <w:rsid w:val="305AF2DA"/>
    <w:rsid w:val="305CFB04"/>
    <w:rsid w:val="305F86B8"/>
    <w:rsid w:val="30605439"/>
    <w:rsid w:val="306E754C"/>
    <w:rsid w:val="3074D1F6"/>
    <w:rsid w:val="30791F33"/>
    <w:rsid w:val="307B049D"/>
    <w:rsid w:val="307FA808"/>
    <w:rsid w:val="3088A938"/>
    <w:rsid w:val="3093F02F"/>
    <w:rsid w:val="309642DC"/>
    <w:rsid w:val="309EF293"/>
    <w:rsid w:val="30A4A8EA"/>
    <w:rsid w:val="30AE6D60"/>
    <w:rsid w:val="30B1A798"/>
    <w:rsid w:val="30B23E35"/>
    <w:rsid w:val="30B9B0B3"/>
    <w:rsid w:val="30BAC7C9"/>
    <w:rsid w:val="30BDC9C1"/>
    <w:rsid w:val="30C770BE"/>
    <w:rsid w:val="30CC6726"/>
    <w:rsid w:val="30CEBB1E"/>
    <w:rsid w:val="30D13518"/>
    <w:rsid w:val="30D30E7D"/>
    <w:rsid w:val="30D4BFCE"/>
    <w:rsid w:val="30D5AA93"/>
    <w:rsid w:val="30D7A62B"/>
    <w:rsid w:val="30D973B4"/>
    <w:rsid w:val="30E08C64"/>
    <w:rsid w:val="30E2F7A9"/>
    <w:rsid w:val="30EA9FB3"/>
    <w:rsid w:val="30ED37A8"/>
    <w:rsid w:val="30EF0524"/>
    <w:rsid w:val="30F55685"/>
    <w:rsid w:val="31017E21"/>
    <w:rsid w:val="310D66FC"/>
    <w:rsid w:val="3115135A"/>
    <w:rsid w:val="3117D6A6"/>
    <w:rsid w:val="311A38DD"/>
    <w:rsid w:val="311ACDA7"/>
    <w:rsid w:val="311D6BA8"/>
    <w:rsid w:val="31258539"/>
    <w:rsid w:val="3127BEAA"/>
    <w:rsid w:val="3129031F"/>
    <w:rsid w:val="31306AA5"/>
    <w:rsid w:val="313329AE"/>
    <w:rsid w:val="31334CDA"/>
    <w:rsid w:val="314A635F"/>
    <w:rsid w:val="3153C159"/>
    <w:rsid w:val="31563881"/>
    <w:rsid w:val="316A4E29"/>
    <w:rsid w:val="316DB0ED"/>
    <w:rsid w:val="316E2A68"/>
    <w:rsid w:val="3170E0F6"/>
    <w:rsid w:val="317D1B85"/>
    <w:rsid w:val="317FDFD4"/>
    <w:rsid w:val="318C68F7"/>
    <w:rsid w:val="3192A8AF"/>
    <w:rsid w:val="319ECF5A"/>
    <w:rsid w:val="31A09E95"/>
    <w:rsid w:val="31A453FE"/>
    <w:rsid w:val="31A887EF"/>
    <w:rsid w:val="31AA72E9"/>
    <w:rsid w:val="31AAA3CD"/>
    <w:rsid w:val="31AE92CF"/>
    <w:rsid w:val="31B0D5DF"/>
    <w:rsid w:val="31C3F50C"/>
    <w:rsid w:val="31C4FCB3"/>
    <w:rsid w:val="31C8E839"/>
    <w:rsid w:val="31CBD8C7"/>
    <w:rsid w:val="31CC6EB9"/>
    <w:rsid w:val="31D00E71"/>
    <w:rsid w:val="31D65D3C"/>
    <w:rsid w:val="31D910E5"/>
    <w:rsid w:val="31DB659D"/>
    <w:rsid w:val="31ECC887"/>
    <w:rsid w:val="31F48265"/>
    <w:rsid w:val="31F778C2"/>
    <w:rsid w:val="31F830B9"/>
    <w:rsid w:val="32028E74"/>
    <w:rsid w:val="3202E712"/>
    <w:rsid w:val="3208BEFA"/>
    <w:rsid w:val="321B3AE0"/>
    <w:rsid w:val="322557A4"/>
    <w:rsid w:val="322592AB"/>
    <w:rsid w:val="322D1C89"/>
    <w:rsid w:val="322E5D65"/>
    <w:rsid w:val="32300E13"/>
    <w:rsid w:val="3230EEB7"/>
    <w:rsid w:val="323925E0"/>
    <w:rsid w:val="323AD6D2"/>
    <w:rsid w:val="323F6F99"/>
    <w:rsid w:val="324353D6"/>
    <w:rsid w:val="324EE684"/>
    <w:rsid w:val="3259B602"/>
    <w:rsid w:val="3266A564"/>
    <w:rsid w:val="326E11DC"/>
    <w:rsid w:val="326F9EB0"/>
    <w:rsid w:val="32708BA1"/>
    <w:rsid w:val="3270902F"/>
    <w:rsid w:val="327174CB"/>
    <w:rsid w:val="32718E95"/>
    <w:rsid w:val="32728AB2"/>
    <w:rsid w:val="32795E4A"/>
    <w:rsid w:val="3287422C"/>
    <w:rsid w:val="328A41E2"/>
    <w:rsid w:val="328F302C"/>
    <w:rsid w:val="32932337"/>
    <w:rsid w:val="329418F2"/>
    <w:rsid w:val="329AD6CE"/>
    <w:rsid w:val="32A386BA"/>
    <w:rsid w:val="32ABE6B6"/>
    <w:rsid w:val="32B56D99"/>
    <w:rsid w:val="32B839A5"/>
    <w:rsid w:val="32B876A9"/>
    <w:rsid w:val="32C373B0"/>
    <w:rsid w:val="32C664EC"/>
    <w:rsid w:val="32CFDCC4"/>
    <w:rsid w:val="32D4FB62"/>
    <w:rsid w:val="32E1259A"/>
    <w:rsid w:val="32E4BA14"/>
    <w:rsid w:val="32EA6E93"/>
    <w:rsid w:val="32EC6D3E"/>
    <w:rsid w:val="32EE6C87"/>
    <w:rsid w:val="32F24496"/>
    <w:rsid w:val="32F492B6"/>
    <w:rsid w:val="32F57A15"/>
    <w:rsid w:val="32F61A64"/>
    <w:rsid w:val="32FA984C"/>
    <w:rsid w:val="3303CE59"/>
    <w:rsid w:val="3304CFCB"/>
    <w:rsid w:val="33078D82"/>
    <w:rsid w:val="330CF508"/>
    <w:rsid w:val="330E498A"/>
    <w:rsid w:val="330F1559"/>
    <w:rsid w:val="330F8D0A"/>
    <w:rsid w:val="3315C39D"/>
    <w:rsid w:val="331AE33C"/>
    <w:rsid w:val="331B3F51"/>
    <w:rsid w:val="331FA3A1"/>
    <w:rsid w:val="3321A507"/>
    <w:rsid w:val="3327CC3F"/>
    <w:rsid w:val="332DB92A"/>
    <w:rsid w:val="332FAC95"/>
    <w:rsid w:val="33342CF3"/>
    <w:rsid w:val="333B7716"/>
    <w:rsid w:val="3349C8BF"/>
    <w:rsid w:val="334E84C5"/>
    <w:rsid w:val="33513B6C"/>
    <w:rsid w:val="335601FD"/>
    <w:rsid w:val="3356E026"/>
    <w:rsid w:val="335774B9"/>
    <w:rsid w:val="3359C377"/>
    <w:rsid w:val="336107E4"/>
    <w:rsid w:val="33616DAE"/>
    <w:rsid w:val="3363078B"/>
    <w:rsid w:val="336EB2BD"/>
    <w:rsid w:val="33766B22"/>
    <w:rsid w:val="3379D467"/>
    <w:rsid w:val="337E5C69"/>
    <w:rsid w:val="33847EF6"/>
    <w:rsid w:val="338578F5"/>
    <w:rsid w:val="3385EA4F"/>
    <w:rsid w:val="338644F9"/>
    <w:rsid w:val="3388CCAF"/>
    <w:rsid w:val="338A3F3F"/>
    <w:rsid w:val="338DFD7F"/>
    <w:rsid w:val="338EAD9B"/>
    <w:rsid w:val="3392ABA2"/>
    <w:rsid w:val="339643F6"/>
    <w:rsid w:val="3399A05F"/>
    <w:rsid w:val="33A60C2D"/>
    <w:rsid w:val="33AFDC7D"/>
    <w:rsid w:val="33B07E8B"/>
    <w:rsid w:val="33B137AC"/>
    <w:rsid w:val="33B138D5"/>
    <w:rsid w:val="33B38253"/>
    <w:rsid w:val="33B74478"/>
    <w:rsid w:val="33BAB1FF"/>
    <w:rsid w:val="33BBDD17"/>
    <w:rsid w:val="33C1C249"/>
    <w:rsid w:val="33C48F9C"/>
    <w:rsid w:val="33C612E8"/>
    <w:rsid w:val="33CA9DFC"/>
    <w:rsid w:val="33CC087A"/>
    <w:rsid w:val="33D0CB12"/>
    <w:rsid w:val="33D80F5E"/>
    <w:rsid w:val="33DBCE9D"/>
    <w:rsid w:val="33E62087"/>
    <w:rsid w:val="33E826D5"/>
    <w:rsid w:val="33EA8064"/>
    <w:rsid w:val="33EBD860"/>
    <w:rsid w:val="33F14358"/>
    <w:rsid w:val="33F2D842"/>
    <w:rsid w:val="33F48A66"/>
    <w:rsid w:val="33F58663"/>
    <w:rsid w:val="33F955C5"/>
    <w:rsid w:val="33FCE749"/>
    <w:rsid w:val="33FD6E13"/>
    <w:rsid w:val="33FFDAB3"/>
    <w:rsid w:val="3402FD6B"/>
    <w:rsid w:val="3406D764"/>
    <w:rsid w:val="340B062C"/>
    <w:rsid w:val="340B6910"/>
    <w:rsid w:val="340C4FA0"/>
    <w:rsid w:val="340D96B4"/>
    <w:rsid w:val="3411CF05"/>
    <w:rsid w:val="34156ADF"/>
    <w:rsid w:val="341D6CB3"/>
    <w:rsid w:val="341F95FB"/>
    <w:rsid w:val="341FDCD2"/>
    <w:rsid w:val="3426504C"/>
    <w:rsid w:val="34287EA5"/>
    <w:rsid w:val="342E2946"/>
    <w:rsid w:val="3432144E"/>
    <w:rsid w:val="34327975"/>
    <w:rsid w:val="343415EB"/>
    <w:rsid w:val="343AD9E9"/>
    <w:rsid w:val="343BD9B2"/>
    <w:rsid w:val="3441A137"/>
    <w:rsid w:val="344AD086"/>
    <w:rsid w:val="34502A5D"/>
    <w:rsid w:val="3453A707"/>
    <w:rsid w:val="3457CA8A"/>
    <w:rsid w:val="346110DE"/>
    <w:rsid w:val="346131E6"/>
    <w:rsid w:val="346B886E"/>
    <w:rsid w:val="34706628"/>
    <w:rsid w:val="34714976"/>
    <w:rsid w:val="347B3D80"/>
    <w:rsid w:val="348292BF"/>
    <w:rsid w:val="348576F0"/>
    <w:rsid w:val="348626D1"/>
    <w:rsid w:val="34882AB8"/>
    <w:rsid w:val="348DD9DE"/>
    <w:rsid w:val="348EDD02"/>
    <w:rsid w:val="348F173B"/>
    <w:rsid w:val="348FC978"/>
    <w:rsid w:val="3492C1DE"/>
    <w:rsid w:val="34957DD4"/>
    <w:rsid w:val="3496483F"/>
    <w:rsid w:val="349A2A1C"/>
    <w:rsid w:val="34AD8924"/>
    <w:rsid w:val="34AFBBCB"/>
    <w:rsid w:val="34B9FE3B"/>
    <w:rsid w:val="34BC923D"/>
    <w:rsid w:val="34C08658"/>
    <w:rsid w:val="34C87497"/>
    <w:rsid w:val="34CBACD0"/>
    <w:rsid w:val="34CE06F3"/>
    <w:rsid w:val="34CE5E26"/>
    <w:rsid w:val="34CEC0A6"/>
    <w:rsid w:val="34CF4FDB"/>
    <w:rsid w:val="34D91491"/>
    <w:rsid w:val="34DCB268"/>
    <w:rsid w:val="34DDDE83"/>
    <w:rsid w:val="34DF64AB"/>
    <w:rsid w:val="34E3C7BD"/>
    <w:rsid w:val="34E91AA2"/>
    <w:rsid w:val="34ED88C4"/>
    <w:rsid w:val="34F20AAF"/>
    <w:rsid w:val="34F605B8"/>
    <w:rsid w:val="3509D913"/>
    <w:rsid w:val="3511EF5E"/>
    <w:rsid w:val="351347F4"/>
    <w:rsid w:val="35146B40"/>
    <w:rsid w:val="35164C17"/>
    <w:rsid w:val="351A17E0"/>
    <w:rsid w:val="351C54C8"/>
    <w:rsid w:val="352CD7B5"/>
    <w:rsid w:val="352D6D60"/>
    <w:rsid w:val="35363E39"/>
    <w:rsid w:val="35366D77"/>
    <w:rsid w:val="3536736E"/>
    <w:rsid w:val="3537A506"/>
    <w:rsid w:val="3538CE7B"/>
    <w:rsid w:val="3545E9F2"/>
    <w:rsid w:val="35487406"/>
    <w:rsid w:val="354AA47D"/>
    <w:rsid w:val="354EC6D4"/>
    <w:rsid w:val="3551CBBC"/>
    <w:rsid w:val="35575C74"/>
    <w:rsid w:val="355877EC"/>
    <w:rsid w:val="355ED21B"/>
    <w:rsid w:val="355F150D"/>
    <w:rsid w:val="3562CC7C"/>
    <w:rsid w:val="3565C486"/>
    <w:rsid w:val="356735B5"/>
    <w:rsid w:val="3568AF60"/>
    <w:rsid w:val="356AA093"/>
    <w:rsid w:val="356CCAF4"/>
    <w:rsid w:val="356F11DB"/>
    <w:rsid w:val="35720B54"/>
    <w:rsid w:val="357543E9"/>
    <w:rsid w:val="3577F169"/>
    <w:rsid w:val="35785B6F"/>
    <w:rsid w:val="35883CA7"/>
    <w:rsid w:val="358C715B"/>
    <w:rsid w:val="358FFC36"/>
    <w:rsid w:val="35974CA2"/>
    <w:rsid w:val="359E49F4"/>
    <w:rsid w:val="35AAA84E"/>
    <w:rsid w:val="35ADB474"/>
    <w:rsid w:val="35B23DF3"/>
    <w:rsid w:val="35B36FAE"/>
    <w:rsid w:val="35B9484C"/>
    <w:rsid w:val="35BE1776"/>
    <w:rsid w:val="35C003D0"/>
    <w:rsid w:val="35C1F42B"/>
    <w:rsid w:val="35C4C779"/>
    <w:rsid w:val="35CFBB73"/>
    <w:rsid w:val="35E205DD"/>
    <w:rsid w:val="35E9EDED"/>
    <w:rsid w:val="35EB8BBE"/>
    <w:rsid w:val="35EC3A7C"/>
    <w:rsid w:val="35ED1511"/>
    <w:rsid w:val="35EEE82A"/>
    <w:rsid w:val="35EFE8C8"/>
    <w:rsid w:val="35FFBEC8"/>
    <w:rsid w:val="3600985E"/>
    <w:rsid w:val="3607CDC1"/>
    <w:rsid w:val="361338CB"/>
    <w:rsid w:val="3613B643"/>
    <w:rsid w:val="3614C444"/>
    <w:rsid w:val="361E1D9A"/>
    <w:rsid w:val="361E2E91"/>
    <w:rsid w:val="361ED1DB"/>
    <w:rsid w:val="361F2565"/>
    <w:rsid w:val="36239AF3"/>
    <w:rsid w:val="36295C09"/>
    <w:rsid w:val="362A0B6D"/>
    <w:rsid w:val="362B6F40"/>
    <w:rsid w:val="362D3111"/>
    <w:rsid w:val="362FBBB1"/>
    <w:rsid w:val="36320F1C"/>
    <w:rsid w:val="3638E738"/>
    <w:rsid w:val="364196D2"/>
    <w:rsid w:val="3644D166"/>
    <w:rsid w:val="3646CB3D"/>
    <w:rsid w:val="3647CD20"/>
    <w:rsid w:val="364B34CB"/>
    <w:rsid w:val="36514EB0"/>
    <w:rsid w:val="36556C93"/>
    <w:rsid w:val="3656E1F9"/>
    <w:rsid w:val="365BEB1D"/>
    <w:rsid w:val="365D78B9"/>
    <w:rsid w:val="365EDA82"/>
    <w:rsid w:val="36666D47"/>
    <w:rsid w:val="366AA29F"/>
    <w:rsid w:val="366FA613"/>
    <w:rsid w:val="36768998"/>
    <w:rsid w:val="36834DC4"/>
    <w:rsid w:val="368519B7"/>
    <w:rsid w:val="3689688C"/>
    <w:rsid w:val="368EA989"/>
    <w:rsid w:val="368F3D07"/>
    <w:rsid w:val="3691B036"/>
    <w:rsid w:val="36991558"/>
    <w:rsid w:val="369CF6CE"/>
    <w:rsid w:val="36ACBF47"/>
    <w:rsid w:val="36AD6586"/>
    <w:rsid w:val="36AE9C77"/>
    <w:rsid w:val="36B34C8B"/>
    <w:rsid w:val="36BD4583"/>
    <w:rsid w:val="36C6DD3E"/>
    <w:rsid w:val="36D07EDE"/>
    <w:rsid w:val="36D243CF"/>
    <w:rsid w:val="36D7E9B0"/>
    <w:rsid w:val="36DDBCCA"/>
    <w:rsid w:val="36E02796"/>
    <w:rsid w:val="36E2B1A5"/>
    <w:rsid w:val="36E7543A"/>
    <w:rsid w:val="36F5573F"/>
    <w:rsid w:val="36F72B8C"/>
    <w:rsid w:val="3700AAFC"/>
    <w:rsid w:val="37040E8E"/>
    <w:rsid w:val="37045113"/>
    <w:rsid w:val="37058846"/>
    <w:rsid w:val="37077A96"/>
    <w:rsid w:val="3712F4D5"/>
    <w:rsid w:val="3729676E"/>
    <w:rsid w:val="3730328F"/>
    <w:rsid w:val="3730D099"/>
    <w:rsid w:val="37343135"/>
    <w:rsid w:val="37359681"/>
    <w:rsid w:val="3736F1B2"/>
    <w:rsid w:val="3739EDB3"/>
    <w:rsid w:val="373D3DEF"/>
    <w:rsid w:val="37465A82"/>
    <w:rsid w:val="374EFBAA"/>
    <w:rsid w:val="37524B4D"/>
    <w:rsid w:val="3758D7A6"/>
    <w:rsid w:val="375E24D3"/>
    <w:rsid w:val="37688468"/>
    <w:rsid w:val="377A7EF6"/>
    <w:rsid w:val="377BECA4"/>
    <w:rsid w:val="3780D384"/>
    <w:rsid w:val="37822025"/>
    <w:rsid w:val="3789ED66"/>
    <w:rsid w:val="379383A6"/>
    <w:rsid w:val="3795EB69"/>
    <w:rsid w:val="3798D6B0"/>
    <w:rsid w:val="379C741C"/>
    <w:rsid w:val="37A21335"/>
    <w:rsid w:val="37A6C178"/>
    <w:rsid w:val="37A775F4"/>
    <w:rsid w:val="37A89D17"/>
    <w:rsid w:val="37AD204F"/>
    <w:rsid w:val="37B11601"/>
    <w:rsid w:val="37B34C48"/>
    <w:rsid w:val="37B40BF3"/>
    <w:rsid w:val="37B5CD33"/>
    <w:rsid w:val="37C106F0"/>
    <w:rsid w:val="37C6593A"/>
    <w:rsid w:val="37C6AD13"/>
    <w:rsid w:val="37C8739C"/>
    <w:rsid w:val="37D64981"/>
    <w:rsid w:val="37D83F71"/>
    <w:rsid w:val="37D99CA6"/>
    <w:rsid w:val="37EAFF68"/>
    <w:rsid w:val="37EF4DBF"/>
    <w:rsid w:val="37F81ABE"/>
    <w:rsid w:val="37F92B1C"/>
    <w:rsid w:val="38025A4E"/>
    <w:rsid w:val="38042D48"/>
    <w:rsid w:val="3805A854"/>
    <w:rsid w:val="3807C3BB"/>
    <w:rsid w:val="3808095B"/>
    <w:rsid w:val="38096F67"/>
    <w:rsid w:val="380DA750"/>
    <w:rsid w:val="3810F9DC"/>
    <w:rsid w:val="3810FB1F"/>
    <w:rsid w:val="3814F42B"/>
    <w:rsid w:val="3815D5E8"/>
    <w:rsid w:val="381C5B19"/>
    <w:rsid w:val="381E59BD"/>
    <w:rsid w:val="3820BB64"/>
    <w:rsid w:val="38226EC8"/>
    <w:rsid w:val="38253985"/>
    <w:rsid w:val="3828F2CE"/>
    <w:rsid w:val="382B5774"/>
    <w:rsid w:val="3831D3B4"/>
    <w:rsid w:val="3834CBB9"/>
    <w:rsid w:val="383E2FED"/>
    <w:rsid w:val="383EFADB"/>
    <w:rsid w:val="3841F34D"/>
    <w:rsid w:val="384E3FA6"/>
    <w:rsid w:val="38709853"/>
    <w:rsid w:val="387596FC"/>
    <w:rsid w:val="387E69FD"/>
    <w:rsid w:val="38816D44"/>
    <w:rsid w:val="38830B35"/>
    <w:rsid w:val="388749D4"/>
    <w:rsid w:val="388E34D7"/>
    <w:rsid w:val="3893C8C6"/>
    <w:rsid w:val="38A81EF8"/>
    <w:rsid w:val="38A903AF"/>
    <w:rsid w:val="38ACE3F2"/>
    <w:rsid w:val="38AF0247"/>
    <w:rsid w:val="38B1988B"/>
    <w:rsid w:val="38B332F6"/>
    <w:rsid w:val="38B80BC6"/>
    <w:rsid w:val="38B8997B"/>
    <w:rsid w:val="38BA6BE3"/>
    <w:rsid w:val="38C143B3"/>
    <w:rsid w:val="38C1821C"/>
    <w:rsid w:val="38CD15D1"/>
    <w:rsid w:val="38D44164"/>
    <w:rsid w:val="38D5165F"/>
    <w:rsid w:val="38E25ACB"/>
    <w:rsid w:val="38E5ACA4"/>
    <w:rsid w:val="38E60B50"/>
    <w:rsid w:val="38E6D9FA"/>
    <w:rsid w:val="38EA2842"/>
    <w:rsid w:val="38EA7843"/>
    <w:rsid w:val="38EAA291"/>
    <w:rsid w:val="38F005DE"/>
    <w:rsid w:val="38F33401"/>
    <w:rsid w:val="38FA2CC1"/>
    <w:rsid w:val="390CB838"/>
    <w:rsid w:val="3929C6DB"/>
    <w:rsid w:val="392B0D8B"/>
    <w:rsid w:val="3930AD82"/>
    <w:rsid w:val="3936A2A1"/>
    <w:rsid w:val="3936CCB8"/>
    <w:rsid w:val="39381BA4"/>
    <w:rsid w:val="393C4ABE"/>
    <w:rsid w:val="393C8331"/>
    <w:rsid w:val="393ED17D"/>
    <w:rsid w:val="3941D689"/>
    <w:rsid w:val="3942FDDB"/>
    <w:rsid w:val="39456D01"/>
    <w:rsid w:val="394BEA4F"/>
    <w:rsid w:val="3950E6E3"/>
    <w:rsid w:val="3951B687"/>
    <w:rsid w:val="3953683C"/>
    <w:rsid w:val="3953879B"/>
    <w:rsid w:val="3955D28C"/>
    <w:rsid w:val="395A5545"/>
    <w:rsid w:val="395E7CB8"/>
    <w:rsid w:val="396031CC"/>
    <w:rsid w:val="396071D7"/>
    <w:rsid w:val="39614CA1"/>
    <w:rsid w:val="39648235"/>
    <w:rsid w:val="39693493"/>
    <w:rsid w:val="396F8154"/>
    <w:rsid w:val="39738F9C"/>
    <w:rsid w:val="397C9E79"/>
    <w:rsid w:val="397D7DDC"/>
    <w:rsid w:val="39824800"/>
    <w:rsid w:val="39839484"/>
    <w:rsid w:val="398487F7"/>
    <w:rsid w:val="3989A0CA"/>
    <w:rsid w:val="398C4042"/>
    <w:rsid w:val="39930FDE"/>
    <w:rsid w:val="39960ED4"/>
    <w:rsid w:val="399CD3FB"/>
    <w:rsid w:val="399EF3E8"/>
    <w:rsid w:val="39A05836"/>
    <w:rsid w:val="39B0DE36"/>
    <w:rsid w:val="39B2BA3A"/>
    <w:rsid w:val="39B5D780"/>
    <w:rsid w:val="39B6C65B"/>
    <w:rsid w:val="39C93A52"/>
    <w:rsid w:val="39D9DFAD"/>
    <w:rsid w:val="39DA8661"/>
    <w:rsid w:val="39DC7086"/>
    <w:rsid w:val="39E59A5E"/>
    <w:rsid w:val="39EAA21E"/>
    <w:rsid w:val="39F4AC4F"/>
    <w:rsid w:val="39F6D399"/>
    <w:rsid w:val="39F78862"/>
    <w:rsid w:val="39F8B4A9"/>
    <w:rsid w:val="3A05775A"/>
    <w:rsid w:val="3A166DDC"/>
    <w:rsid w:val="3A17CAC7"/>
    <w:rsid w:val="3A19994A"/>
    <w:rsid w:val="3A1B9427"/>
    <w:rsid w:val="3A1C08CD"/>
    <w:rsid w:val="3A218E84"/>
    <w:rsid w:val="3A29280C"/>
    <w:rsid w:val="3A2AB919"/>
    <w:rsid w:val="3A2DB224"/>
    <w:rsid w:val="3A3E1985"/>
    <w:rsid w:val="3A433825"/>
    <w:rsid w:val="3A43C4C4"/>
    <w:rsid w:val="3A44F4B7"/>
    <w:rsid w:val="3A5BFE81"/>
    <w:rsid w:val="3A5DAF3F"/>
    <w:rsid w:val="3A5FBA30"/>
    <w:rsid w:val="3A62A8ED"/>
    <w:rsid w:val="3A62B6D8"/>
    <w:rsid w:val="3A62E9F1"/>
    <w:rsid w:val="3A67C074"/>
    <w:rsid w:val="3A76C4DE"/>
    <w:rsid w:val="3A94389E"/>
    <w:rsid w:val="3A94551F"/>
    <w:rsid w:val="3A9B6D69"/>
    <w:rsid w:val="3A9C4C45"/>
    <w:rsid w:val="3AA5D694"/>
    <w:rsid w:val="3AA90501"/>
    <w:rsid w:val="3AB04908"/>
    <w:rsid w:val="3ABA787A"/>
    <w:rsid w:val="3AC2C29E"/>
    <w:rsid w:val="3AC41AC8"/>
    <w:rsid w:val="3AC7532E"/>
    <w:rsid w:val="3ACC00F5"/>
    <w:rsid w:val="3ACF9D71"/>
    <w:rsid w:val="3AD62216"/>
    <w:rsid w:val="3AD6A69E"/>
    <w:rsid w:val="3ADFC6F3"/>
    <w:rsid w:val="3AE25E22"/>
    <w:rsid w:val="3AEDD7AD"/>
    <w:rsid w:val="3AF1225A"/>
    <w:rsid w:val="3AF4B374"/>
    <w:rsid w:val="3AFC3834"/>
    <w:rsid w:val="3B025917"/>
    <w:rsid w:val="3B0C2AA3"/>
    <w:rsid w:val="3B0D9C71"/>
    <w:rsid w:val="3B11BE20"/>
    <w:rsid w:val="3B13697D"/>
    <w:rsid w:val="3B1769C8"/>
    <w:rsid w:val="3B1FBC64"/>
    <w:rsid w:val="3B205F03"/>
    <w:rsid w:val="3B24660B"/>
    <w:rsid w:val="3B28818B"/>
    <w:rsid w:val="3B2A5963"/>
    <w:rsid w:val="3B30D676"/>
    <w:rsid w:val="3B3802E3"/>
    <w:rsid w:val="3B3B78DB"/>
    <w:rsid w:val="3B403C56"/>
    <w:rsid w:val="3B42170F"/>
    <w:rsid w:val="3B44D1EC"/>
    <w:rsid w:val="3B48F24F"/>
    <w:rsid w:val="3B4F0665"/>
    <w:rsid w:val="3B501F41"/>
    <w:rsid w:val="3B50DD2E"/>
    <w:rsid w:val="3B57D98B"/>
    <w:rsid w:val="3B588AE0"/>
    <w:rsid w:val="3B59F673"/>
    <w:rsid w:val="3B5D6E1C"/>
    <w:rsid w:val="3B5D6EC4"/>
    <w:rsid w:val="3B6338EC"/>
    <w:rsid w:val="3B654292"/>
    <w:rsid w:val="3B66CC9E"/>
    <w:rsid w:val="3B6765F9"/>
    <w:rsid w:val="3B67E1F0"/>
    <w:rsid w:val="3B754EB5"/>
    <w:rsid w:val="3B7780CE"/>
    <w:rsid w:val="3B7908A0"/>
    <w:rsid w:val="3B7A3EEC"/>
    <w:rsid w:val="3B7A4002"/>
    <w:rsid w:val="3B7DC702"/>
    <w:rsid w:val="3B813A71"/>
    <w:rsid w:val="3B833E04"/>
    <w:rsid w:val="3B8C1419"/>
    <w:rsid w:val="3B8C899C"/>
    <w:rsid w:val="3B91A92A"/>
    <w:rsid w:val="3BA1475F"/>
    <w:rsid w:val="3BA23F97"/>
    <w:rsid w:val="3BA4EF12"/>
    <w:rsid w:val="3BA645D0"/>
    <w:rsid w:val="3BA778E6"/>
    <w:rsid w:val="3BAF9F52"/>
    <w:rsid w:val="3BAFC4C9"/>
    <w:rsid w:val="3BB14394"/>
    <w:rsid w:val="3BB65D07"/>
    <w:rsid w:val="3BB74B3B"/>
    <w:rsid w:val="3BC506CC"/>
    <w:rsid w:val="3BC53800"/>
    <w:rsid w:val="3BC7E955"/>
    <w:rsid w:val="3BCC10C4"/>
    <w:rsid w:val="3BCEBA2E"/>
    <w:rsid w:val="3BCEC546"/>
    <w:rsid w:val="3BCEFB71"/>
    <w:rsid w:val="3BD02E68"/>
    <w:rsid w:val="3BD04489"/>
    <w:rsid w:val="3BD15E7C"/>
    <w:rsid w:val="3BD701FC"/>
    <w:rsid w:val="3BDB2A81"/>
    <w:rsid w:val="3BE27396"/>
    <w:rsid w:val="3BE6A69D"/>
    <w:rsid w:val="3BED1A04"/>
    <w:rsid w:val="3BFD6D82"/>
    <w:rsid w:val="3BFEBAB3"/>
    <w:rsid w:val="3BFF7D1F"/>
    <w:rsid w:val="3BFFBD6F"/>
    <w:rsid w:val="3C0E2A2C"/>
    <w:rsid w:val="3C11D3A5"/>
    <w:rsid w:val="3C11E702"/>
    <w:rsid w:val="3C1CA977"/>
    <w:rsid w:val="3C210DBA"/>
    <w:rsid w:val="3C2332AE"/>
    <w:rsid w:val="3C341C1D"/>
    <w:rsid w:val="3C34D899"/>
    <w:rsid w:val="3C393BD1"/>
    <w:rsid w:val="3C3A672F"/>
    <w:rsid w:val="3C456E01"/>
    <w:rsid w:val="3C49241A"/>
    <w:rsid w:val="3C4B1296"/>
    <w:rsid w:val="3C4F4403"/>
    <w:rsid w:val="3C518323"/>
    <w:rsid w:val="3C529D1C"/>
    <w:rsid w:val="3C5410A9"/>
    <w:rsid w:val="3C54F349"/>
    <w:rsid w:val="3C5EF269"/>
    <w:rsid w:val="3C6ECDCA"/>
    <w:rsid w:val="3C7A80A1"/>
    <w:rsid w:val="3C7F5472"/>
    <w:rsid w:val="3C7F9F12"/>
    <w:rsid w:val="3C8F90BA"/>
    <w:rsid w:val="3C99425A"/>
    <w:rsid w:val="3C9A7252"/>
    <w:rsid w:val="3C9EF27F"/>
    <w:rsid w:val="3CA177C1"/>
    <w:rsid w:val="3CA248FF"/>
    <w:rsid w:val="3CA4937B"/>
    <w:rsid w:val="3CA54635"/>
    <w:rsid w:val="3CA84D12"/>
    <w:rsid w:val="3CA97FD9"/>
    <w:rsid w:val="3CACFBE7"/>
    <w:rsid w:val="3CAFA96E"/>
    <w:rsid w:val="3CB53DB1"/>
    <w:rsid w:val="3CBF7E70"/>
    <w:rsid w:val="3CC19CD4"/>
    <w:rsid w:val="3CC27105"/>
    <w:rsid w:val="3CC37599"/>
    <w:rsid w:val="3CC50116"/>
    <w:rsid w:val="3CC66007"/>
    <w:rsid w:val="3CCCC8FC"/>
    <w:rsid w:val="3CCFA60B"/>
    <w:rsid w:val="3CD0C806"/>
    <w:rsid w:val="3CD3E51F"/>
    <w:rsid w:val="3CDAD981"/>
    <w:rsid w:val="3CE1CD9A"/>
    <w:rsid w:val="3CE84A68"/>
    <w:rsid w:val="3CE8659A"/>
    <w:rsid w:val="3CE9A037"/>
    <w:rsid w:val="3CEB0299"/>
    <w:rsid w:val="3CEB92D3"/>
    <w:rsid w:val="3CED3108"/>
    <w:rsid w:val="3CF1A1E9"/>
    <w:rsid w:val="3CF77AB0"/>
    <w:rsid w:val="3CFA4BB0"/>
    <w:rsid w:val="3CFADA7C"/>
    <w:rsid w:val="3CFB0742"/>
    <w:rsid w:val="3CFB30B4"/>
    <w:rsid w:val="3D046F7F"/>
    <w:rsid w:val="3D0572A3"/>
    <w:rsid w:val="3D0A08FC"/>
    <w:rsid w:val="3D10504A"/>
    <w:rsid w:val="3D13CB01"/>
    <w:rsid w:val="3D1769F5"/>
    <w:rsid w:val="3D186D4C"/>
    <w:rsid w:val="3D25D861"/>
    <w:rsid w:val="3D29EC70"/>
    <w:rsid w:val="3D37643B"/>
    <w:rsid w:val="3D39EE6F"/>
    <w:rsid w:val="3D3DD3B1"/>
    <w:rsid w:val="3D439412"/>
    <w:rsid w:val="3D44F9F7"/>
    <w:rsid w:val="3D460F5D"/>
    <w:rsid w:val="3D48D4A9"/>
    <w:rsid w:val="3D4B57A1"/>
    <w:rsid w:val="3D4F3072"/>
    <w:rsid w:val="3D50D671"/>
    <w:rsid w:val="3D5223A3"/>
    <w:rsid w:val="3D53CA08"/>
    <w:rsid w:val="3D54CBF5"/>
    <w:rsid w:val="3D55CA8B"/>
    <w:rsid w:val="3D5A150B"/>
    <w:rsid w:val="3D601904"/>
    <w:rsid w:val="3D6971FF"/>
    <w:rsid w:val="3D6AE70A"/>
    <w:rsid w:val="3D72C784"/>
    <w:rsid w:val="3D78BB00"/>
    <w:rsid w:val="3D7AD978"/>
    <w:rsid w:val="3D83790C"/>
    <w:rsid w:val="3D84589E"/>
    <w:rsid w:val="3D84E236"/>
    <w:rsid w:val="3D88F6E8"/>
    <w:rsid w:val="3D8B19E7"/>
    <w:rsid w:val="3D8BC532"/>
    <w:rsid w:val="3D8C924C"/>
    <w:rsid w:val="3D8E89F0"/>
    <w:rsid w:val="3D921F3C"/>
    <w:rsid w:val="3D922F9B"/>
    <w:rsid w:val="3D948723"/>
    <w:rsid w:val="3D9C68A9"/>
    <w:rsid w:val="3DA748F1"/>
    <w:rsid w:val="3DA76613"/>
    <w:rsid w:val="3DAE0246"/>
    <w:rsid w:val="3DAE99CB"/>
    <w:rsid w:val="3DB53E31"/>
    <w:rsid w:val="3DB6B856"/>
    <w:rsid w:val="3DB6F850"/>
    <w:rsid w:val="3DBEDA16"/>
    <w:rsid w:val="3DC19847"/>
    <w:rsid w:val="3DC490C9"/>
    <w:rsid w:val="3DC4C8A8"/>
    <w:rsid w:val="3DC9F23D"/>
    <w:rsid w:val="3DCAD2FB"/>
    <w:rsid w:val="3DD17366"/>
    <w:rsid w:val="3DD49C25"/>
    <w:rsid w:val="3DD55DDC"/>
    <w:rsid w:val="3DD90182"/>
    <w:rsid w:val="3DD9A575"/>
    <w:rsid w:val="3DDC6404"/>
    <w:rsid w:val="3DE15675"/>
    <w:rsid w:val="3DE79CCA"/>
    <w:rsid w:val="3DE7EF7A"/>
    <w:rsid w:val="3DE8EDB0"/>
    <w:rsid w:val="3DEEFC70"/>
    <w:rsid w:val="3DEFCB65"/>
    <w:rsid w:val="3DF5FC53"/>
    <w:rsid w:val="3DFAB880"/>
    <w:rsid w:val="3E01B938"/>
    <w:rsid w:val="3E14C605"/>
    <w:rsid w:val="3E20162D"/>
    <w:rsid w:val="3E20C031"/>
    <w:rsid w:val="3E279FA0"/>
    <w:rsid w:val="3E2AECFC"/>
    <w:rsid w:val="3E2D01A1"/>
    <w:rsid w:val="3E2E7DC4"/>
    <w:rsid w:val="3E33AF7D"/>
    <w:rsid w:val="3E3408FF"/>
    <w:rsid w:val="3E3FD886"/>
    <w:rsid w:val="3E470ADB"/>
    <w:rsid w:val="3E520113"/>
    <w:rsid w:val="3E5ADA42"/>
    <w:rsid w:val="3E5D55CE"/>
    <w:rsid w:val="3E5E470F"/>
    <w:rsid w:val="3E618DC3"/>
    <w:rsid w:val="3E68CC75"/>
    <w:rsid w:val="3E6983BB"/>
    <w:rsid w:val="3E6FD4CA"/>
    <w:rsid w:val="3E7A3C2D"/>
    <w:rsid w:val="3E7B6DDA"/>
    <w:rsid w:val="3E8C826C"/>
    <w:rsid w:val="3E8CBD66"/>
    <w:rsid w:val="3E8D7D39"/>
    <w:rsid w:val="3E9069F5"/>
    <w:rsid w:val="3E93592C"/>
    <w:rsid w:val="3E9395E2"/>
    <w:rsid w:val="3E95648B"/>
    <w:rsid w:val="3E96B6C4"/>
    <w:rsid w:val="3E988BCE"/>
    <w:rsid w:val="3E9EA404"/>
    <w:rsid w:val="3E9FB295"/>
    <w:rsid w:val="3EA173AF"/>
    <w:rsid w:val="3EA26008"/>
    <w:rsid w:val="3EA7422F"/>
    <w:rsid w:val="3EA9A2D5"/>
    <w:rsid w:val="3EA9DFDE"/>
    <w:rsid w:val="3EAE7365"/>
    <w:rsid w:val="3EB91A38"/>
    <w:rsid w:val="3EBA0DEC"/>
    <w:rsid w:val="3EBAC2D7"/>
    <w:rsid w:val="3EBDD3C6"/>
    <w:rsid w:val="3EC0EA22"/>
    <w:rsid w:val="3EC3ECDA"/>
    <w:rsid w:val="3EC3F192"/>
    <w:rsid w:val="3EC425F9"/>
    <w:rsid w:val="3EC65478"/>
    <w:rsid w:val="3ECA99DA"/>
    <w:rsid w:val="3ED417D8"/>
    <w:rsid w:val="3ED518DE"/>
    <w:rsid w:val="3ED5D03F"/>
    <w:rsid w:val="3ED6CAD9"/>
    <w:rsid w:val="3EDBCB15"/>
    <w:rsid w:val="3EEE9D63"/>
    <w:rsid w:val="3EF0C877"/>
    <w:rsid w:val="3EF30699"/>
    <w:rsid w:val="3EF3E036"/>
    <w:rsid w:val="3EF930D9"/>
    <w:rsid w:val="3EFD78A8"/>
    <w:rsid w:val="3F0028FD"/>
    <w:rsid w:val="3F01F710"/>
    <w:rsid w:val="3F03ABBE"/>
    <w:rsid w:val="3F04A102"/>
    <w:rsid w:val="3F0AD06E"/>
    <w:rsid w:val="3F0AF2AA"/>
    <w:rsid w:val="3F0E2622"/>
    <w:rsid w:val="3F0E5E3D"/>
    <w:rsid w:val="3F1490D1"/>
    <w:rsid w:val="3F1BBBAE"/>
    <w:rsid w:val="3F209050"/>
    <w:rsid w:val="3F277BE6"/>
    <w:rsid w:val="3F2B5601"/>
    <w:rsid w:val="3F2BF046"/>
    <w:rsid w:val="3F2C4E51"/>
    <w:rsid w:val="3F2C9CF2"/>
    <w:rsid w:val="3F2F9585"/>
    <w:rsid w:val="3F332AC7"/>
    <w:rsid w:val="3F363240"/>
    <w:rsid w:val="3F3D09FA"/>
    <w:rsid w:val="3F44AD5C"/>
    <w:rsid w:val="3F468A0E"/>
    <w:rsid w:val="3F495443"/>
    <w:rsid w:val="3F4C7B72"/>
    <w:rsid w:val="3F4D0E0D"/>
    <w:rsid w:val="3F4D3533"/>
    <w:rsid w:val="3F4E82E6"/>
    <w:rsid w:val="3F513392"/>
    <w:rsid w:val="3F5276CB"/>
    <w:rsid w:val="3F5359A5"/>
    <w:rsid w:val="3F551748"/>
    <w:rsid w:val="3F5F6833"/>
    <w:rsid w:val="3F6243CC"/>
    <w:rsid w:val="3F6E9654"/>
    <w:rsid w:val="3F7837BE"/>
    <w:rsid w:val="3F7AB232"/>
    <w:rsid w:val="3F7D7B7D"/>
    <w:rsid w:val="3F860387"/>
    <w:rsid w:val="3F879B0E"/>
    <w:rsid w:val="3F8E68BC"/>
    <w:rsid w:val="3F8F1896"/>
    <w:rsid w:val="3F97614F"/>
    <w:rsid w:val="3F97C745"/>
    <w:rsid w:val="3F9CED82"/>
    <w:rsid w:val="3FABB710"/>
    <w:rsid w:val="3FBEF1E0"/>
    <w:rsid w:val="3FBFE433"/>
    <w:rsid w:val="3FC003E4"/>
    <w:rsid w:val="3FC6C3F8"/>
    <w:rsid w:val="3FCBF49A"/>
    <w:rsid w:val="3FD08DA5"/>
    <w:rsid w:val="3FD97D82"/>
    <w:rsid w:val="3FE34152"/>
    <w:rsid w:val="3FE3C7C9"/>
    <w:rsid w:val="3FE62923"/>
    <w:rsid w:val="3FEA3D21"/>
    <w:rsid w:val="3FECEE03"/>
    <w:rsid w:val="3FF299C2"/>
    <w:rsid w:val="3FF5F965"/>
    <w:rsid w:val="3FF7F4CF"/>
    <w:rsid w:val="3FF9DF7B"/>
    <w:rsid w:val="3FF9E00E"/>
    <w:rsid w:val="3FFA7D00"/>
    <w:rsid w:val="3FFF7D94"/>
    <w:rsid w:val="400C7955"/>
    <w:rsid w:val="40154223"/>
    <w:rsid w:val="4015C8AC"/>
    <w:rsid w:val="401C0BC1"/>
    <w:rsid w:val="401DC6E9"/>
    <w:rsid w:val="4021E2AC"/>
    <w:rsid w:val="40230F1E"/>
    <w:rsid w:val="4027E9A1"/>
    <w:rsid w:val="402910D6"/>
    <w:rsid w:val="402942AB"/>
    <w:rsid w:val="402E70E2"/>
    <w:rsid w:val="402F84D5"/>
    <w:rsid w:val="40304969"/>
    <w:rsid w:val="40323A48"/>
    <w:rsid w:val="4037C78F"/>
    <w:rsid w:val="403838B7"/>
    <w:rsid w:val="403983D7"/>
    <w:rsid w:val="403FBEBD"/>
    <w:rsid w:val="404D6BC4"/>
    <w:rsid w:val="4054B381"/>
    <w:rsid w:val="405D1593"/>
    <w:rsid w:val="40618C55"/>
    <w:rsid w:val="40636C4D"/>
    <w:rsid w:val="406B390D"/>
    <w:rsid w:val="406B9180"/>
    <w:rsid w:val="406BBF42"/>
    <w:rsid w:val="406CEEB4"/>
    <w:rsid w:val="407EE6E5"/>
    <w:rsid w:val="4081AEEC"/>
    <w:rsid w:val="408366F0"/>
    <w:rsid w:val="40877A5B"/>
    <w:rsid w:val="4088E0C3"/>
    <w:rsid w:val="408984FD"/>
    <w:rsid w:val="4099AE48"/>
    <w:rsid w:val="40A082EC"/>
    <w:rsid w:val="40A5443F"/>
    <w:rsid w:val="40A57B62"/>
    <w:rsid w:val="40A6473F"/>
    <w:rsid w:val="40A807A0"/>
    <w:rsid w:val="40AAFD01"/>
    <w:rsid w:val="40AF11C8"/>
    <w:rsid w:val="40B22E4A"/>
    <w:rsid w:val="40B3A7F5"/>
    <w:rsid w:val="40B471FA"/>
    <w:rsid w:val="40B4A65B"/>
    <w:rsid w:val="40B544D3"/>
    <w:rsid w:val="40BAB9D0"/>
    <w:rsid w:val="40BDB666"/>
    <w:rsid w:val="40C52B79"/>
    <w:rsid w:val="40C54A17"/>
    <w:rsid w:val="40C9E74A"/>
    <w:rsid w:val="40CA189F"/>
    <w:rsid w:val="40D57817"/>
    <w:rsid w:val="40DEFF5E"/>
    <w:rsid w:val="40E46368"/>
    <w:rsid w:val="40E6D413"/>
    <w:rsid w:val="40F19D54"/>
    <w:rsid w:val="410B0EC3"/>
    <w:rsid w:val="410CC7B6"/>
    <w:rsid w:val="410D6E70"/>
    <w:rsid w:val="410F74A5"/>
    <w:rsid w:val="41132C6C"/>
    <w:rsid w:val="411A7D8B"/>
    <w:rsid w:val="4120BB69"/>
    <w:rsid w:val="4123A172"/>
    <w:rsid w:val="4128F711"/>
    <w:rsid w:val="412F9421"/>
    <w:rsid w:val="41303ED1"/>
    <w:rsid w:val="413296C5"/>
    <w:rsid w:val="4132DC7C"/>
    <w:rsid w:val="41336CDA"/>
    <w:rsid w:val="41377760"/>
    <w:rsid w:val="413A1210"/>
    <w:rsid w:val="4144B099"/>
    <w:rsid w:val="4145608D"/>
    <w:rsid w:val="414CB451"/>
    <w:rsid w:val="414DCBB0"/>
    <w:rsid w:val="414DF1C4"/>
    <w:rsid w:val="4150D9B9"/>
    <w:rsid w:val="416006D4"/>
    <w:rsid w:val="416CE7FC"/>
    <w:rsid w:val="416F74DC"/>
    <w:rsid w:val="417743B8"/>
    <w:rsid w:val="4177BFAB"/>
    <w:rsid w:val="417DA66D"/>
    <w:rsid w:val="41847DD1"/>
    <w:rsid w:val="418A6C02"/>
    <w:rsid w:val="418CF9B0"/>
    <w:rsid w:val="41968FD9"/>
    <w:rsid w:val="41970540"/>
    <w:rsid w:val="419BFF04"/>
    <w:rsid w:val="419F568A"/>
    <w:rsid w:val="41A05009"/>
    <w:rsid w:val="41A4DB80"/>
    <w:rsid w:val="41A62E45"/>
    <w:rsid w:val="41A8EC1C"/>
    <w:rsid w:val="41ABEAAF"/>
    <w:rsid w:val="41AF3E26"/>
    <w:rsid w:val="41B546A8"/>
    <w:rsid w:val="41B7E1BD"/>
    <w:rsid w:val="41B96766"/>
    <w:rsid w:val="41B9DA9B"/>
    <w:rsid w:val="41BE0E38"/>
    <w:rsid w:val="41C0AC7E"/>
    <w:rsid w:val="41CBF01B"/>
    <w:rsid w:val="41D007DE"/>
    <w:rsid w:val="41D19688"/>
    <w:rsid w:val="41D57824"/>
    <w:rsid w:val="41E0999D"/>
    <w:rsid w:val="41E5C423"/>
    <w:rsid w:val="41EBF0E7"/>
    <w:rsid w:val="41EBF5E1"/>
    <w:rsid w:val="41F13FEF"/>
    <w:rsid w:val="41F960E1"/>
    <w:rsid w:val="420108C4"/>
    <w:rsid w:val="42036718"/>
    <w:rsid w:val="4209E16D"/>
    <w:rsid w:val="420BBA52"/>
    <w:rsid w:val="420D5E9F"/>
    <w:rsid w:val="42108E43"/>
    <w:rsid w:val="4215F4DA"/>
    <w:rsid w:val="421B5CE3"/>
    <w:rsid w:val="421C9429"/>
    <w:rsid w:val="421CB5F8"/>
    <w:rsid w:val="4225F082"/>
    <w:rsid w:val="4228342E"/>
    <w:rsid w:val="422BB3B0"/>
    <w:rsid w:val="422D99C7"/>
    <w:rsid w:val="422E1FED"/>
    <w:rsid w:val="4230CDF4"/>
    <w:rsid w:val="4232F693"/>
    <w:rsid w:val="423B3EF9"/>
    <w:rsid w:val="423B66FD"/>
    <w:rsid w:val="423C5F29"/>
    <w:rsid w:val="423DF51C"/>
    <w:rsid w:val="423FE17D"/>
    <w:rsid w:val="4244F4D8"/>
    <w:rsid w:val="4248FE50"/>
    <w:rsid w:val="424B41FE"/>
    <w:rsid w:val="424DD07A"/>
    <w:rsid w:val="424F9703"/>
    <w:rsid w:val="4261AFF8"/>
    <w:rsid w:val="42663B47"/>
    <w:rsid w:val="426F45B4"/>
    <w:rsid w:val="4270C67A"/>
    <w:rsid w:val="42735E3C"/>
    <w:rsid w:val="4274A6E1"/>
    <w:rsid w:val="4274F938"/>
    <w:rsid w:val="4278C03A"/>
    <w:rsid w:val="427AB490"/>
    <w:rsid w:val="427E4D4B"/>
    <w:rsid w:val="427FA134"/>
    <w:rsid w:val="4283209F"/>
    <w:rsid w:val="42846C68"/>
    <w:rsid w:val="428967CD"/>
    <w:rsid w:val="4289C0A0"/>
    <w:rsid w:val="42923D12"/>
    <w:rsid w:val="42999AF1"/>
    <w:rsid w:val="429AA7F6"/>
    <w:rsid w:val="429C881A"/>
    <w:rsid w:val="42A300E1"/>
    <w:rsid w:val="42A65A84"/>
    <w:rsid w:val="42A8A8E5"/>
    <w:rsid w:val="42AB9F15"/>
    <w:rsid w:val="42BA5575"/>
    <w:rsid w:val="42C0216A"/>
    <w:rsid w:val="42C25EEA"/>
    <w:rsid w:val="42C2F389"/>
    <w:rsid w:val="42C88D37"/>
    <w:rsid w:val="42D12281"/>
    <w:rsid w:val="42D21C6F"/>
    <w:rsid w:val="42D31C1F"/>
    <w:rsid w:val="42D380F0"/>
    <w:rsid w:val="42D40926"/>
    <w:rsid w:val="42D43379"/>
    <w:rsid w:val="42DA9E69"/>
    <w:rsid w:val="42DDB8C6"/>
    <w:rsid w:val="42E86BC7"/>
    <w:rsid w:val="42EA91AB"/>
    <w:rsid w:val="42F07A43"/>
    <w:rsid w:val="42F211C0"/>
    <w:rsid w:val="42F6C3A3"/>
    <w:rsid w:val="42F7F4E2"/>
    <w:rsid w:val="42F871D4"/>
    <w:rsid w:val="42F8923F"/>
    <w:rsid w:val="42FAE8A9"/>
    <w:rsid w:val="42FE604B"/>
    <w:rsid w:val="430156DE"/>
    <w:rsid w:val="43017079"/>
    <w:rsid w:val="43088A3C"/>
    <w:rsid w:val="4308FF54"/>
    <w:rsid w:val="430BA601"/>
    <w:rsid w:val="430BCBCF"/>
    <w:rsid w:val="43124289"/>
    <w:rsid w:val="43150F04"/>
    <w:rsid w:val="43160708"/>
    <w:rsid w:val="4318DD15"/>
    <w:rsid w:val="431C1BAA"/>
    <w:rsid w:val="432BA2E7"/>
    <w:rsid w:val="432BFFE9"/>
    <w:rsid w:val="432D27D2"/>
    <w:rsid w:val="432FDE7F"/>
    <w:rsid w:val="4330BC30"/>
    <w:rsid w:val="43388DBB"/>
    <w:rsid w:val="4338BC76"/>
    <w:rsid w:val="4339CC29"/>
    <w:rsid w:val="433BC5AC"/>
    <w:rsid w:val="433E717D"/>
    <w:rsid w:val="43457EEC"/>
    <w:rsid w:val="434A7462"/>
    <w:rsid w:val="434DC3F3"/>
    <w:rsid w:val="434F61F8"/>
    <w:rsid w:val="43555976"/>
    <w:rsid w:val="435FF1A7"/>
    <w:rsid w:val="436AF100"/>
    <w:rsid w:val="4381EA19"/>
    <w:rsid w:val="4386885F"/>
    <w:rsid w:val="43896B84"/>
    <w:rsid w:val="4396CEF1"/>
    <w:rsid w:val="43A3AA70"/>
    <w:rsid w:val="43A55945"/>
    <w:rsid w:val="43A680D1"/>
    <w:rsid w:val="43A856A9"/>
    <w:rsid w:val="43A9A54B"/>
    <w:rsid w:val="43ACB056"/>
    <w:rsid w:val="43AF5244"/>
    <w:rsid w:val="43B4BE9C"/>
    <w:rsid w:val="43B5FA8D"/>
    <w:rsid w:val="43B95159"/>
    <w:rsid w:val="43B958F4"/>
    <w:rsid w:val="43BD4CDC"/>
    <w:rsid w:val="43C0D5EA"/>
    <w:rsid w:val="43CD0160"/>
    <w:rsid w:val="43D3E58A"/>
    <w:rsid w:val="43E40BE1"/>
    <w:rsid w:val="43EBC9C2"/>
    <w:rsid w:val="43EC3D1D"/>
    <w:rsid w:val="43F02036"/>
    <w:rsid w:val="43F3C6D3"/>
    <w:rsid w:val="43F6B380"/>
    <w:rsid w:val="43FA163B"/>
    <w:rsid w:val="43FBEF23"/>
    <w:rsid w:val="43FCD8C8"/>
    <w:rsid w:val="4400A338"/>
    <w:rsid w:val="4402D4D8"/>
    <w:rsid w:val="44034D68"/>
    <w:rsid w:val="44052D55"/>
    <w:rsid w:val="440B686D"/>
    <w:rsid w:val="441054D4"/>
    <w:rsid w:val="44168BB1"/>
    <w:rsid w:val="441AFB2C"/>
    <w:rsid w:val="441C1397"/>
    <w:rsid w:val="441CED33"/>
    <w:rsid w:val="441EB601"/>
    <w:rsid w:val="44266615"/>
    <w:rsid w:val="44282473"/>
    <w:rsid w:val="44287ED6"/>
    <w:rsid w:val="442B8827"/>
    <w:rsid w:val="44329F19"/>
    <w:rsid w:val="44354CA7"/>
    <w:rsid w:val="443AA0F1"/>
    <w:rsid w:val="44418EBA"/>
    <w:rsid w:val="44503BA6"/>
    <w:rsid w:val="4451BB84"/>
    <w:rsid w:val="445A3D29"/>
    <w:rsid w:val="445CD9F6"/>
    <w:rsid w:val="44615040"/>
    <w:rsid w:val="446FA80E"/>
    <w:rsid w:val="4477AD19"/>
    <w:rsid w:val="447B73FB"/>
    <w:rsid w:val="44848808"/>
    <w:rsid w:val="44853D73"/>
    <w:rsid w:val="4486D044"/>
    <w:rsid w:val="448D38B8"/>
    <w:rsid w:val="448D3C2B"/>
    <w:rsid w:val="4490884C"/>
    <w:rsid w:val="44964098"/>
    <w:rsid w:val="44976EC6"/>
    <w:rsid w:val="449B6B4C"/>
    <w:rsid w:val="449E3BDB"/>
    <w:rsid w:val="449F596B"/>
    <w:rsid w:val="449FA10E"/>
    <w:rsid w:val="44A0C759"/>
    <w:rsid w:val="44A50A61"/>
    <w:rsid w:val="44A56C39"/>
    <w:rsid w:val="44AB01C4"/>
    <w:rsid w:val="44AB2818"/>
    <w:rsid w:val="44B38A62"/>
    <w:rsid w:val="44B4FB0D"/>
    <w:rsid w:val="44BF7404"/>
    <w:rsid w:val="44BF7B7E"/>
    <w:rsid w:val="44C53066"/>
    <w:rsid w:val="44CAC086"/>
    <w:rsid w:val="44CE9DC8"/>
    <w:rsid w:val="44D497C3"/>
    <w:rsid w:val="44D567C1"/>
    <w:rsid w:val="44D71DC1"/>
    <w:rsid w:val="44DB6A7D"/>
    <w:rsid w:val="44DEBBEF"/>
    <w:rsid w:val="44E0E7A5"/>
    <w:rsid w:val="44EA624B"/>
    <w:rsid w:val="44EAC215"/>
    <w:rsid w:val="44F05B0C"/>
    <w:rsid w:val="44F2BFAC"/>
    <w:rsid w:val="44F3F5E0"/>
    <w:rsid w:val="44F64849"/>
    <w:rsid w:val="44FA7BC3"/>
    <w:rsid w:val="44FEF8E1"/>
    <w:rsid w:val="45036609"/>
    <w:rsid w:val="4505F68A"/>
    <w:rsid w:val="450F6F78"/>
    <w:rsid w:val="45133310"/>
    <w:rsid w:val="45214BE5"/>
    <w:rsid w:val="4522F619"/>
    <w:rsid w:val="452E09F7"/>
    <w:rsid w:val="453C3A5A"/>
    <w:rsid w:val="453CDBF5"/>
    <w:rsid w:val="453D19FD"/>
    <w:rsid w:val="453EE3E8"/>
    <w:rsid w:val="4540E822"/>
    <w:rsid w:val="45421798"/>
    <w:rsid w:val="45461222"/>
    <w:rsid w:val="4548120C"/>
    <w:rsid w:val="454C9263"/>
    <w:rsid w:val="454F49B0"/>
    <w:rsid w:val="4558FA4B"/>
    <w:rsid w:val="4565511E"/>
    <w:rsid w:val="456ED891"/>
    <w:rsid w:val="4570371A"/>
    <w:rsid w:val="457D2A28"/>
    <w:rsid w:val="45810C0B"/>
    <w:rsid w:val="4591337D"/>
    <w:rsid w:val="4595DAC7"/>
    <w:rsid w:val="4596F626"/>
    <w:rsid w:val="459BF7A7"/>
    <w:rsid w:val="459EB7CD"/>
    <w:rsid w:val="45A43C75"/>
    <w:rsid w:val="45A77A23"/>
    <w:rsid w:val="45AA6819"/>
    <w:rsid w:val="45ADA5C9"/>
    <w:rsid w:val="45B1AACB"/>
    <w:rsid w:val="45B34BC2"/>
    <w:rsid w:val="45B620BA"/>
    <w:rsid w:val="45C29BAE"/>
    <w:rsid w:val="45C7FC5C"/>
    <w:rsid w:val="45CC5A0D"/>
    <w:rsid w:val="45CC8ECF"/>
    <w:rsid w:val="45CF769F"/>
    <w:rsid w:val="45D0DF6C"/>
    <w:rsid w:val="45D4B829"/>
    <w:rsid w:val="45DB1868"/>
    <w:rsid w:val="45EAD509"/>
    <w:rsid w:val="45EECC1B"/>
    <w:rsid w:val="45F76975"/>
    <w:rsid w:val="45F8BFBD"/>
    <w:rsid w:val="460109A6"/>
    <w:rsid w:val="4607EB08"/>
    <w:rsid w:val="460CBAD1"/>
    <w:rsid w:val="4611345C"/>
    <w:rsid w:val="4611EE24"/>
    <w:rsid w:val="4613595A"/>
    <w:rsid w:val="46180EBF"/>
    <w:rsid w:val="4620504F"/>
    <w:rsid w:val="46206E95"/>
    <w:rsid w:val="4620A594"/>
    <w:rsid w:val="462288E7"/>
    <w:rsid w:val="462818D1"/>
    <w:rsid w:val="462CAD40"/>
    <w:rsid w:val="462E1928"/>
    <w:rsid w:val="4630B6A0"/>
    <w:rsid w:val="463146C4"/>
    <w:rsid w:val="4632CE36"/>
    <w:rsid w:val="4634E3E5"/>
    <w:rsid w:val="464864D5"/>
    <w:rsid w:val="464F691F"/>
    <w:rsid w:val="4651C28D"/>
    <w:rsid w:val="4652906C"/>
    <w:rsid w:val="46533C75"/>
    <w:rsid w:val="465F4CD3"/>
    <w:rsid w:val="46609139"/>
    <w:rsid w:val="466E0286"/>
    <w:rsid w:val="466F193F"/>
    <w:rsid w:val="467BFC65"/>
    <w:rsid w:val="467FF680"/>
    <w:rsid w:val="46831F4E"/>
    <w:rsid w:val="46852FF7"/>
    <w:rsid w:val="468866A8"/>
    <w:rsid w:val="468A8169"/>
    <w:rsid w:val="468CECDC"/>
    <w:rsid w:val="4691B920"/>
    <w:rsid w:val="4694F984"/>
    <w:rsid w:val="46954C82"/>
    <w:rsid w:val="4698546E"/>
    <w:rsid w:val="469D819E"/>
    <w:rsid w:val="46B88296"/>
    <w:rsid w:val="46B938C6"/>
    <w:rsid w:val="46BE2B31"/>
    <w:rsid w:val="46D4B980"/>
    <w:rsid w:val="46DD639C"/>
    <w:rsid w:val="46E01781"/>
    <w:rsid w:val="46E0E38C"/>
    <w:rsid w:val="46E8ADD8"/>
    <w:rsid w:val="46EA9294"/>
    <w:rsid w:val="46ECA378"/>
    <w:rsid w:val="46FC6D2B"/>
    <w:rsid w:val="470620B7"/>
    <w:rsid w:val="470C501B"/>
    <w:rsid w:val="470D66D4"/>
    <w:rsid w:val="4717BD14"/>
    <w:rsid w:val="471A16AB"/>
    <w:rsid w:val="471DC942"/>
    <w:rsid w:val="471EF405"/>
    <w:rsid w:val="4722F715"/>
    <w:rsid w:val="472AF28D"/>
    <w:rsid w:val="472DC08B"/>
    <w:rsid w:val="472F93C7"/>
    <w:rsid w:val="4732093E"/>
    <w:rsid w:val="47352FED"/>
    <w:rsid w:val="47361B33"/>
    <w:rsid w:val="473B86D2"/>
    <w:rsid w:val="47446609"/>
    <w:rsid w:val="4744AEA8"/>
    <w:rsid w:val="475B28BE"/>
    <w:rsid w:val="475DDD46"/>
    <w:rsid w:val="475EBB43"/>
    <w:rsid w:val="475F1D4A"/>
    <w:rsid w:val="47684524"/>
    <w:rsid w:val="476B0163"/>
    <w:rsid w:val="476CCFE5"/>
    <w:rsid w:val="476D99B7"/>
    <w:rsid w:val="476DFA93"/>
    <w:rsid w:val="47713056"/>
    <w:rsid w:val="4775D748"/>
    <w:rsid w:val="47788400"/>
    <w:rsid w:val="477973E6"/>
    <w:rsid w:val="477A99E9"/>
    <w:rsid w:val="477F7527"/>
    <w:rsid w:val="47810B29"/>
    <w:rsid w:val="47821675"/>
    <w:rsid w:val="47847CE6"/>
    <w:rsid w:val="4787A574"/>
    <w:rsid w:val="478BAFFE"/>
    <w:rsid w:val="4792ACF3"/>
    <w:rsid w:val="47935E6D"/>
    <w:rsid w:val="479464EB"/>
    <w:rsid w:val="47949FB0"/>
    <w:rsid w:val="479BCF18"/>
    <w:rsid w:val="479F0B46"/>
    <w:rsid w:val="479FE256"/>
    <w:rsid w:val="47A36F3B"/>
    <w:rsid w:val="47A6D286"/>
    <w:rsid w:val="47AA90F0"/>
    <w:rsid w:val="47AC099A"/>
    <w:rsid w:val="47B9533B"/>
    <w:rsid w:val="47BE8391"/>
    <w:rsid w:val="47C72D29"/>
    <w:rsid w:val="47C8E83F"/>
    <w:rsid w:val="47C9AD95"/>
    <w:rsid w:val="47CAD536"/>
    <w:rsid w:val="47D10A6B"/>
    <w:rsid w:val="47D56952"/>
    <w:rsid w:val="47D891DE"/>
    <w:rsid w:val="47DAD258"/>
    <w:rsid w:val="47DCFC09"/>
    <w:rsid w:val="47DF4692"/>
    <w:rsid w:val="47E22729"/>
    <w:rsid w:val="47E4106B"/>
    <w:rsid w:val="47E47EBD"/>
    <w:rsid w:val="47ECE186"/>
    <w:rsid w:val="47ED8992"/>
    <w:rsid w:val="47EF021F"/>
    <w:rsid w:val="47F0BE5E"/>
    <w:rsid w:val="47F3F476"/>
    <w:rsid w:val="47FCA942"/>
    <w:rsid w:val="48058983"/>
    <w:rsid w:val="48064B69"/>
    <w:rsid w:val="481146B2"/>
    <w:rsid w:val="481BD540"/>
    <w:rsid w:val="48219AB5"/>
    <w:rsid w:val="4823E0C8"/>
    <w:rsid w:val="482F0B2C"/>
    <w:rsid w:val="4830C00B"/>
    <w:rsid w:val="483E21A9"/>
    <w:rsid w:val="483ECCB4"/>
    <w:rsid w:val="484145B4"/>
    <w:rsid w:val="48464326"/>
    <w:rsid w:val="48483005"/>
    <w:rsid w:val="4848644A"/>
    <w:rsid w:val="485405DF"/>
    <w:rsid w:val="485EA7E2"/>
    <w:rsid w:val="485F5AAC"/>
    <w:rsid w:val="486117FE"/>
    <w:rsid w:val="486326F5"/>
    <w:rsid w:val="48644182"/>
    <w:rsid w:val="4869852D"/>
    <w:rsid w:val="486A6FEB"/>
    <w:rsid w:val="486AFA73"/>
    <w:rsid w:val="4871192B"/>
    <w:rsid w:val="4875E6E4"/>
    <w:rsid w:val="4876CB03"/>
    <w:rsid w:val="487A6606"/>
    <w:rsid w:val="488AB52D"/>
    <w:rsid w:val="4893A99F"/>
    <w:rsid w:val="48A243BD"/>
    <w:rsid w:val="48A2E5F9"/>
    <w:rsid w:val="48A3B403"/>
    <w:rsid w:val="48A8207C"/>
    <w:rsid w:val="48AAE1FC"/>
    <w:rsid w:val="48B26B08"/>
    <w:rsid w:val="48B571D5"/>
    <w:rsid w:val="48B8356D"/>
    <w:rsid w:val="48CA2EC9"/>
    <w:rsid w:val="48CCE8EB"/>
    <w:rsid w:val="48D778DA"/>
    <w:rsid w:val="48DA9B4B"/>
    <w:rsid w:val="48E01CDA"/>
    <w:rsid w:val="48E3BB20"/>
    <w:rsid w:val="48E626B6"/>
    <w:rsid w:val="48EB8241"/>
    <w:rsid w:val="48EBFC6A"/>
    <w:rsid w:val="48ED0377"/>
    <w:rsid w:val="48ED5868"/>
    <w:rsid w:val="48EE948F"/>
    <w:rsid w:val="48F521B0"/>
    <w:rsid w:val="48F9ABA8"/>
    <w:rsid w:val="48FA7D71"/>
    <w:rsid w:val="48FA8402"/>
    <w:rsid w:val="4903E521"/>
    <w:rsid w:val="4906B326"/>
    <w:rsid w:val="490B5DB4"/>
    <w:rsid w:val="490ECE07"/>
    <w:rsid w:val="49100B55"/>
    <w:rsid w:val="49193616"/>
    <w:rsid w:val="49193E40"/>
    <w:rsid w:val="491A035B"/>
    <w:rsid w:val="4928EF6D"/>
    <w:rsid w:val="4929CEE6"/>
    <w:rsid w:val="492A1018"/>
    <w:rsid w:val="49372542"/>
    <w:rsid w:val="493D6E41"/>
    <w:rsid w:val="49447A26"/>
    <w:rsid w:val="49479282"/>
    <w:rsid w:val="4948AEF2"/>
    <w:rsid w:val="49499603"/>
    <w:rsid w:val="494DFE4C"/>
    <w:rsid w:val="49502D9A"/>
    <w:rsid w:val="495171EF"/>
    <w:rsid w:val="49523C71"/>
    <w:rsid w:val="4959CFA5"/>
    <w:rsid w:val="495A4EB8"/>
    <w:rsid w:val="49605B23"/>
    <w:rsid w:val="49638049"/>
    <w:rsid w:val="496F35E9"/>
    <w:rsid w:val="497102E8"/>
    <w:rsid w:val="4984B6A4"/>
    <w:rsid w:val="498DE081"/>
    <w:rsid w:val="499589FE"/>
    <w:rsid w:val="499CC4EA"/>
    <w:rsid w:val="49A56EAD"/>
    <w:rsid w:val="49B2D15A"/>
    <w:rsid w:val="49B864E8"/>
    <w:rsid w:val="49BC583E"/>
    <w:rsid w:val="49CFFC3F"/>
    <w:rsid w:val="49D2DE43"/>
    <w:rsid w:val="49E68F1E"/>
    <w:rsid w:val="49EA0E0D"/>
    <w:rsid w:val="49F28A9E"/>
    <w:rsid w:val="49F3A085"/>
    <w:rsid w:val="4A022FB6"/>
    <w:rsid w:val="4A0263AD"/>
    <w:rsid w:val="4A028445"/>
    <w:rsid w:val="4A03B47A"/>
    <w:rsid w:val="4A04F47D"/>
    <w:rsid w:val="4A0BFBD6"/>
    <w:rsid w:val="4A12C20A"/>
    <w:rsid w:val="4A1324E6"/>
    <w:rsid w:val="4A18DE42"/>
    <w:rsid w:val="4A1B7E03"/>
    <w:rsid w:val="4A1FE637"/>
    <w:rsid w:val="4A202479"/>
    <w:rsid w:val="4A2C8F08"/>
    <w:rsid w:val="4A2D6882"/>
    <w:rsid w:val="4A2E95FE"/>
    <w:rsid w:val="4A2F1B2C"/>
    <w:rsid w:val="4A3512FD"/>
    <w:rsid w:val="4A3556AC"/>
    <w:rsid w:val="4A36F25F"/>
    <w:rsid w:val="4A41B61E"/>
    <w:rsid w:val="4A53E672"/>
    <w:rsid w:val="4A5A78C5"/>
    <w:rsid w:val="4A5BEB9E"/>
    <w:rsid w:val="4A612448"/>
    <w:rsid w:val="4A6129BC"/>
    <w:rsid w:val="4A67B63E"/>
    <w:rsid w:val="4A6CEA79"/>
    <w:rsid w:val="4A784BCF"/>
    <w:rsid w:val="4A7EAC7E"/>
    <w:rsid w:val="4A7EE1AB"/>
    <w:rsid w:val="4A808949"/>
    <w:rsid w:val="4A81DC1D"/>
    <w:rsid w:val="4A852953"/>
    <w:rsid w:val="4A89F9B7"/>
    <w:rsid w:val="4A8A5515"/>
    <w:rsid w:val="4A8DCDBA"/>
    <w:rsid w:val="4A9000BE"/>
    <w:rsid w:val="4A92431A"/>
    <w:rsid w:val="4A94144E"/>
    <w:rsid w:val="4A9C0FC1"/>
    <w:rsid w:val="4A9E73FF"/>
    <w:rsid w:val="4AA0008C"/>
    <w:rsid w:val="4AA85B59"/>
    <w:rsid w:val="4AAE2316"/>
    <w:rsid w:val="4AAEEC27"/>
    <w:rsid w:val="4AAFEE26"/>
    <w:rsid w:val="4AB7CF99"/>
    <w:rsid w:val="4ABC153C"/>
    <w:rsid w:val="4AC0F5F6"/>
    <w:rsid w:val="4AC6456F"/>
    <w:rsid w:val="4AC729C7"/>
    <w:rsid w:val="4AD166E0"/>
    <w:rsid w:val="4AD86237"/>
    <w:rsid w:val="4AF4ECA1"/>
    <w:rsid w:val="4AF64C0A"/>
    <w:rsid w:val="4AF790D7"/>
    <w:rsid w:val="4B093A9B"/>
    <w:rsid w:val="4B0FC5C1"/>
    <w:rsid w:val="4B118D2A"/>
    <w:rsid w:val="4B157AA7"/>
    <w:rsid w:val="4B161AF7"/>
    <w:rsid w:val="4B1CDBBB"/>
    <w:rsid w:val="4B1F3FEE"/>
    <w:rsid w:val="4B220C4C"/>
    <w:rsid w:val="4B2581A3"/>
    <w:rsid w:val="4B267211"/>
    <w:rsid w:val="4B2A5ACA"/>
    <w:rsid w:val="4B365341"/>
    <w:rsid w:val="4B37E604"/>
    <w:rsid w:val="4B39115E"/>
    <w:rsid w:val="4B3B37BC"/>
    <w:rsid w:val="4B3F49B6"/>
    <w:rsid w:val="4B404A7C"/>
    <w:rsid w:val="4B40D58F"/>
    <w:rsid w:val="4B418CFE"/>
    <w:rsid w:val="4B48B1BF"/>
    <w:rsid w:val="4B4D507D"/>
    <w:rsid w:val="4B531EB7"/>
    <w:rsid w:val="4B54EE32"/>
    <w:rsid w:val="4B58D168"/>
    <w:rsid w:val="4B5A944D"/>
    <w:rsid w:val="4B5BD733"/>
    <w:rsid w:val="4B5E2F0C"/>
    <w:rsid w:val="4B5FED58"/>
    <w:rsid w:val="4B625469"/>
    <w:rsid w:val="4B65523C"/>
    <w:rsid w:val="4B6A99DA"/>
    <w:rsid w:val="4B6E6816"/>
    <w:rsid w:val="4B6EBF4C"/>
    <w:rsid w:val="4B750378"/>
    <w:rsid w:val="4B777945"/>
    <w:rsid w:val="4B778B1B"/>
    <w:rsid w:val="4B8280D9"/>
    <w:rsid w:val="4B8399A8"/>
    <w:rsid w:val="4B843E9B"/>
    <w:rsid w:val="4B89BA07"/>
    <w:rsid w:val="4B8B77C0"/>
    <w:rsid w:val="4B8CE30D"/>
    <w:rsid w:val="4B8D9F9D"/>
    <w:rsid w:val="4B90CA28"/>
    <w:rsid w:val="4B914631"/>
    <w:rsid w:val="4B9586DF"/>
    <w:rsid w:val="4B9F477B"/>
    <w:rsid w:val="4BA6367E"/>
    <w:rsid w:val="4BA6CAEA"/>
    <w:rsid w:val="4BA81B8F"/>
    <w:rsid w:val="4BB33EEC"/>
    <w:rsid w:val="4BB7BAD1"/>
    <w:rsid w:val="4BBC3553"/>
    <w:rsid w:val="4BBCF877"/>
    <w:rsid w:val="4BC35B28"/>
    <w:rsid w:val="4BC374DA"/>
    <w:rsid w:val="4BC85011"/>
    <w:rsid w:val="4BCC266F"/>
    <w:rsid w:val="4BCFEF0B"/>
    <w:rsid w:val="4BD05036"/>
    <w:rsid w:val="4BD191B0"/>
    <w:rsid w:val="4BDB47A3"/>
    <w:rsid w:val="4BE19FD4"/>
    <w:rsid w:val="4BE38074"/>
    <w:rsid w:val="4BE7227B"/>
    <w:rsid w:val="4BEB662E"/>
    <w:rsid w:val="4BF637A8"/>
    <w:rsid w:val="4C0FE544"/>
    <w:rsid w:val="4C1237BE"/>
    <w:rsid w:val="4C1981CB"/>
    <w:rsid w:val="4C1A3DB2"/>
    <w:rsid w:val="4C1D0E1E"/>
    <w:rsid w:val="4C1DBAEA"/>
    <w:rsid w:val="4C1F11C3"/>
    <w:rsid w:val="4C1F5B14"/>
    <w:rsid w:val="4C20A26E"/>
    <w:rsid w:val="4C287936"/>
    <w:rsid w:val="4C2A9EB5"/>
    <w:rsid w:val="4C32B52F"/>
    <w:rsid w:val="4C343155"/>
    <w:rsid w:val="4C3CA7F2"/>
    <w:rsid w:val="4C40B5F3"/>
    <w:rsid w:val="4C42809E"/>
    <w:rsid w:val="4C42A077"/>
    <w:rsid w:val="4C4D5672"/>
    <w:rsid w:val="4C52D90C"/>
    <w:rsid w:val="4C5804EE"/>
    <w:rsid w:val="4C607EED"/>
    <w:rsid w:val="4C617976"/>
    <w:rsid w:val="4C686A01"/>
    <w:rsid w:val="4C72CBFA"/>
    <w:rsid w:val="4C74DC71"/>
    <w:rsid w:val="4C75860A"/>
    <w:rsid w:val="4C7BFE51"/>
    <w:rsid w:val="4C7E544B"/>
    <w:rsid w:val="4C85E242"/>
    <w:rsid w:val="4C89F3C2"/>
    <w:rsid w:val="4C93A95A"/>
    <w:rsid w:val="4C93E908"/>
    <w:rsid w:val="4C94FE76"/>
    <w:rsid w:val="4C971693"/>
    <w:rsid w:val="4C973808"/>
    <w:rsid w:val="4C9B9D08"/>
    <w:rsid w:val="4C9F7365"/>
    <w:rsid w:val="4CA4EC21"/>
    <w:rsid w:val="4CAB8F92"/>
    <w:rsid w:val="4CB033B5"/>
    <w:rsid w:val="4CB09A13"/>
    <w:rsid w:val="4CBA4266"/>
    <w:rsid w:val="4CBB6485"/>
    <w:rsid w:val="4CBC5F12"/>
    <w:rsid w:val="4CBD3818"/>
    <w:rsid w:val="4CBDA641"/>
    <w:rsid w:val="4CC2D04E"/>
    <w:rsid w:val="4CC4227B"/>
    <w:rsid w:val="4CC70343"/>
    <w:rsid w:val="4CCF191E"/>
    <w:rsid w:val="4CD19AAD"/>
    <w:rsid w:val="4CDC3126"/>
    <w:rsid w:val="4CE2CC47"/>
    <w:rsid w:val="4CEA8BBA"/>
    <w:rsid w:val="4CEBD20C"/>
    <w:rsid w:val="4CF17847"/>
    <w:rsid w:val="4CF6A77A"/>
    <w:rsid w:val="4CF92BA5"/>
    <w:rsid w:val="4CFD88B9"/>
    <w:rsid w:val="4CFDD6C4"/>
    <w:rsid w:val="4D0441D2"/>
    <w:rsid w:val="4D0F7751"/>
    <w:rsid w:val="4D102B8C"/>
    <w:rsid w:val="4D108944"/>
    <w:rsid w:val="4D120AC0"/>
    <w:rsid w:val="4D19A006"/>
    <w:rsid w:val="4D1A1B92"/>
    <w:rsid w:val="4D1BC7B6"/>
    <w:rsid w:val="4D1D8978"/>
    <w:rsid w:val="4D1EB78A"/>
    <w:rsid w:val="4D1F8486"/>
    <w:rsid w:val="4D28CE20"/>
    <w:rsid w:val="4D2BF01F"/>
    <w:rsid w:val="4D2E6DAE"/>
    <w:rsid w:val="4D2FF3FA"/>
    <w:rsid w:val="4D38637E"/>
    <w:rsid w:val="4D3BFE7E"/>
    <w:rsid w:val="4D3E0618"/>
    <w:rsid w:val="4D3F9A11"/>
    <w:rsid w:val="4D45EA3F"/>
    <w:rsid w:val="4D471E01"/>
    <w:rsid w:val="4D49AE6D"/>
    <w:rsid w:val="4D4BCFEE"/>
    <w:rsid w:val="4D60D11B"/>
    <w:rsid w:val="4D63EEE4"/>
    <w:rsid w:val="4D6728F7"/>
    <w:rsid w:val="4D6B0653"/>
    <w:rsid w:val="4D6B8010"/>
    <w:rsid w:val="4D762BB2"/>
    <w:rsid w:val="4D80A94B"/>
    <w:rsid w:val="4D83167A"/>
    <w:rsid w:val="4D88EEE6"/>
    <w:rsid w:val="4D8CD6AA"/>
    <w:rsid w:val="4D8F73AA"/>
    <w:rsid w:val="4D95F6A7"/>
    <w:rsid w:val="4D9E3506"/>
    <w:rsid w:val="4DB385A3"/>
    <w:rsid w:val="4DB5F204"/>
    <w:rsid w:val="4DB97CDF"/>
    <w:rsid w:val="4DBD5AE8"/>
    <w:rsid w:val="4DBF72A1"/>
    <w:rsid w:val="4DC14F3A"/>
    <w:rsid w:val="4DC565E3"/>
    <w:rsid w:val="4DD0F380"/>
    <w:rsid w:val="4DD125B6"/>
    <w:rsid w:val="4DD3FF01"/>
    <w:rsid w:val="4DDCBCFC"/>
    <w:rsid w:val="4DE26049"/>
    <w:rsid w:val="4DF02742"/>
    <w:rsid w:val="4DF280F3"/>
    <w:rsid w:val="4DF315C5"/>
    <w:rsid w:val="4DF3C603"/>
    <w:rsid w:val="4DFE0B45"/>
    <w:rsid w:val="4E00DD28"/>
    <w:rsid w:val="4E01A8A3"/>
    <w:rsid w:val="4E03CB91"/>
    <w:rsid w:val="4E112F7B"/>
    <w:rsid w:val="4E1B694E"/>
    <w:rsid w:val="4E1D04A5"/>
    <w:rsid w:val="4E26ED2B"/>
    <w:rsid w:val="4E2B32BE"/>
    <w:rsid w:val="4E2FDECC"/>
    <w:rsid w:val="4E370A75"/>
    <w:rsid w:val="4E371BD6"/>
    <w:rsid w:val="4E378A6B"/>
    <w:rsid w:val="4E381705"/>
    <w:rsid w:val="4E3EB130"/>
    <w:rsid w:val="4E4660E0"/>
    <w:rsid w:val="4E498414"/>
    <w:rsid w:val="4E49F007"/>
    <w:rsid w:val="4E4C5C2A"/>
    <w:rsid w:val="4E5087C9"/>
    <w:rsid w:val="4E5B4B58"/>
    <w:rsid w:val="4E5D3F49"/>
    <w:rsid w:val="4E5EBC2C"/>
    <w:rsid w:val="4E63ADD9"/>
    <w:rsid w:val="4E6A6457"/>
    <w:rsid w:val="4E6C1936"/>
    <w:rsid w:val="4E6E53FC"/>
    <w:rsid w:val="4E76BBDD"/>
    <w:rsid w:val="4E77ED0F"/>
    <w:rsid w:val="4E78638C"/>
    <w:rsid w:val="4E7E7AD9"/>
    <w:rsid w:val="4E87814F"/>
    <w:rsid w:val="4E89B6BD"/>
    <w:rsid w:val="4E9F06F0"/>
    <w:rsid w:val="4EA0C870"/>
    <w:rsid w:val="4EAB2056"/>
    <w:rsid w:val="4EB38D8E"/>
    <w:rsid w:val="4EB4C291"/>
    <w:rsid w:val="4EB71D86"/>
    <w:rsid w:val="4EB7B767"/>
    <w:rsid w:val="4EB80DD0"/>
    <w:rsid w:val="4EB87B78"/>
    <w:rsid w:val="4EC0850B"/>
    <w:rsid w:val="4ECB11C8"/>
    <w:rsid w:val="4ECDC979"/>
    <w:rsid w:val="4ED3FD06"/>
    <w:rsid w:val="4ED58F40"/>
    <w:rsid w:val="4EDE219A"/>
    <w:rsid w:val="4EDECA62"/>
    <w:rsid w:val="4EDF0E48"/>
    <w:rsid w:val="4EDF1300"/>
    <w:rsid w:val="4EE06FEE"/>
    <w:rsid w:val="4EE3D453"/>
    <w:rsid w:val="4EE683C0"/>
    <w:rsid w:val="4EEB1FD5"/>
    <w:rsid w:val="4EF3196A"/>
    <w:rsid w:val="4EFA29C7"/>
    <w:rsid w:val="4F099981"/>
    <w:rsid w:val="4F165522"/>
    <w:rsid w:val="4F168338"/>
    <w:rsid w:val="4F16DBE7"/>
    <w:rsid w:val="4F1E5CED"/>
    <w:rsid w:val="4F26DE68"/>
    <w:rsid w:val="4F2B5C2D"/>
    <w:rsid w:val="4F36F30F"/>
    <w:rsid w:val="4F371097"/>
    <w:rsid w:val="4F4498CE"/>
    <w:rsid w:val="4F4BD5BC"/>
    <w:rsid w:val="4F4E81B4"/>
    <w:rsid w:val="4F52A5B8"/>
    <w:rsid w:val="4F573A61"/>
    <w:rsid w:val="4F59F711"/>
    <w:rsid w:val="4F6AFBD5"/>
    <w:rsid w:val="4F6B4CE9"/>
    <w:rsid w:val="4F6B79A1"/>
    <w:rsid w:val="4F6FB786"/>
    <w:rsid w:val="4F7003FB"/>
    <w:rsid w:val="4F71607C"/>
    <w:rsid w:val="4F726A19"/>
    <w:rsid w:val="4F7969FA"/>
    <w:rsid w:val="4F7CAA8C"/>
    <w:rsid w:val="4F7FEA2D"/>
    <w:rsid w:val="4F800321"/>
    <w:rsid w:val="4F821878"/>
    <w:rsid w:val="4F8D28D7"/>
    <w:rsid w:val="4F8D5A20"/>
    <w:rsid w:val="4F8F4A5C"/>
    <w:rsid w:val="4F90013D"/>
    <w:rsid w:val="4F90D75A"/>
    <w:rsid w:val="4F92E0DB"/>
    <w:rsid w:val="4F935BE7"/>
    <w:rsid w:val="4F98FA42"/>
    <w:rsid w:val="4F9A0EEC"/>
    <w:rsid w:val="4F9DE1F9"/>
    <w:rsid w:val="4FAB3B79"/>
    <w:rsid w:val="4FADC11B"/>
    <w:rsid w:val="4FB3E1F4"/>
    <w:rsid w:val="4FB8C0D5"/>
    <w:rsid w:val="4FBF766C"/>
    <w:rsid w:val="4FC4ED76"/>
    <w:rsid w:val="4FCB2F5A"/>
    <w:rsid w:val="4FCCFD4B"/>
    <w:rsid w:val="4FD0CEAA"/>
    <w:rsid w:val="4FD2347E"/>
    <w:rsid w:val="4FE6029B"/>
    <w:rsid w:val="4FEA9F45"/>
    <w:rsid w:val="4FF05C39"/>
    <w:rsid w:val="4FF1B13D"/>
    <w:rsid w:val="4FF5A056"/>
    <w:rsid w:val="4FFB8C03"/>
    <w:rsid w:val="5002CB48"/>
    <w:rsid w:val="500E892E"/>
    <w:rsid w:val="5011F642"/>
    <w:rsid w:val="501253C2"/>
    <w:rsid w:val="50127A61"/>
    <w:rsid w:val="50147ED7"/>
    <w:rsid w:val="5015A00A"/>
    <w:rsid w:val="5019A414"/>
    <w:rsid w:val="501A5FB3"/>
    <w:rsid w:val="5020083B"/>
    <w:rsid w:val="502164CE"/>
    <w:rsid w:val="5028DABA"/>
    <w:rsid w:val="502D1450"/>
    <w:rsid w:val="502E6FB9"/>
    <w:rsid w:val="50353246"/>
    <w:rsid w:val="5035FA8D"/>
    <w:rsid w:val="5037C825"/>
    <w:rsid w:val="503E15BE"/>
    <w:rsid w:val="503ED97F"/>
    <w:rsid w:val="504349D1"/>
    <w:rsid w:val="504C100A"/>
    <w:rsid w:val="504CC528"/>
    <w:rsid w:val="5052D04D"/>
    <w:rsid w:val="505F8C99"/>
    <w:rsid w:val="506DFFE6"/>
    <w:rsid w:val="506FF20E"/>
    <w:rsid w:val="5074B0F7"/>
    <w:rsid w:val="507AD3F4"/>
    <w:rsid w:val="508061C9"/>
    <w:rsid w:val="508A0B69"/>
    <w:rsid w:val="508B12BE"/>
    <w:rsid w:val="508CC8EF"/>
    <w:rsid w:val="50905AB6"/>
    <w:rsid w:val="5096DE6A"/>
    <w:rsid w:val="50A05B34"/>
    <w:rsid w:val="50A09B05"/>
    <w:rsid w:val="50A1487C"/>
    <w:rsid w:val="50AC7E63"/>
    <w:rsid w:val="50AD52AA"/>
    <w:rsid w:val="50AEBBE0"/>
    <w:rsid w:val="50B5CE3A"/>
    <w:rsid w:val="50B8A060"/>
    <w:rsid w:val="50BA6A07"/>
    <w:rsid w:val="50BCE62B"/>
    <w:rsid w:val="50C04965"/>
    <w:rsid w:val="50C14C85"/>
    <w:rsid w:val="50C494BA"/>
    <w:rsid w:val="50CECA2E"/>
    <w:rsid w:val="50DA52D1"/>
    <w:rsid w:val="50E34D91"/>
    <w:rsid w:val="50E47D9A"/>
    <w:rsid w:val="50E4F316"/>
    <w:rsid w:val="50EAA82D"/>
    <w:rsid w:val="50F4E4BA"/>
    <w:rsid w:val="50F64671"/>
    <w:rsid w:val="50F9B019"/>
    <w:rsid w:val="50F9D7CE"/>
    <w:rsid w:val="50FC2F4F"/>
    <w:rsid w:val="50FCEE4E"/>
    <w:rsid w:val="5100AD59"/>
    <w:rsid w:val="51024C9E"/>
    <w:rsid w:val="5103163D"/>
    <w:rsid w:val="5105B30A"/>
    <w:rsid w:val="510EDEE3"/>
    <w:rsid w:val="51104C44"/>
    <w:rsid w:val="51142E9C"/>
    <w:rsid w:val="51143621"/>
    <w:rsid w:val="51207A37"/>
    <w:rsid w:val="5126D5B1"/>
    <w:rsid w:val="512DD4A4"/>
    <w:rsid w:val="5130484A"/>
    <w:rsid w:val="5136DC89"/>
    <w:rsid w:val="513B097D"/>
    <w:rsid w:val="5140E53C"/>
    <w:rsid w:val="514305ED"/>
    <w:rsid w:val="51431D09"/>
    <w:rsid w:val="514C5707"/>
    <w:rsid w:val="51501408"/>
    <w:rsid w:val="5151288C"/>
    <w:rsid w:val="515504B5"/>
    <w:rsid w:val="5156346D"/>
    <w:rsid w:val="51575ABE"/>
    <w:rsid w:val="515D504D"/>
    <w:rsid w:val="515FA756"/>
    <w:rsid w:val="5168BB17"/>
    <w:rsid w:val="517CFCA6"/>
    <w:rsid w:val="517F32E8"/>
    <w:rsid w:val="5183A95E"/>
    <w:rsid w:val="5186374F"/>
    <w:rsid w:val="51897536"/>
    <w:rsid w:val="518B3462"/>
    <w:rsid w:val="518E43DD"/>
    <w:rsid w:val="518F343F"/>
    <w:rsid w:val="51904BEC"/>
    <w:rsid w:val="51919324"/>
    <w:rsid w:val="5195E219"/>
    <w:rsid w:val="519F5A2F"/>
    <w:rsid w:val="51A08D47"/>
    <w:rsid w:val="51A31B64"/>
    <w:rsid w:val="51A4666B"/>
    <w:rsid w:val="51A6B4DE"/>
    <w:rsid w:val="51A72351"/>
    <w:rsid w:val="51ABD361"/>
    <w:rsid w:val="51B3C155"/>
    <w:rsid w:val="51B7090D"/>
    <w:rsid w:val="51C3FE34"/>
    <w:rsid w:val="51C3FE7D"/>
    <w:rsid w:val="51C42EBA"/>
    <w:rsid w:val="51C78CCB"/>
    <w:rsid w:val="51CB8091"/>
    <w:rsid w:val="51CDC71F"/>
    <w:rsid w:val="51CFC654"/>
    <w:rsid w:val="51DFBED1"/>
    <w:rsid w:val="51E27A35"/>
    <w:rsid w:val="51E2D1A3"/>
    <w:rsid w:val="51F31625"/>
    <w:rsid w:val="51F3699D"/>
    <w:rsid w:val="51F3E022"/>
    <w:rsid w:val="51F5265D"/>
    <w:rsid w:val="51FF2C3F"/>
    <w:rsid w:val="52042342"/>
    <w:rsid w:val="52054826"/>
    <w:rsid w:val="5207AA11"/>
    <w:rsid w:val="52153B8F"/>
    <w:rsid w:val="52249120"/>
    <w:rsid w:val="5228501A"/>
    <w:rsid w:val="522C9BF6"/>
    <w:rsid w:val="523519EE"/>
    <w:rsid w:val="52360491"/>
    <w:rsid w:val="52388D3C"/>
    <w:rsid w:val="5239AD7A"/>
    <w:rsid w:val="523B18CE"/>
    <w:rsid w:val="523D7BED"/>
    <w:rsid w:val="523DD20C"/>
    <w:rsid w:val="523EB3B9"/>
    <w:rsid w:val="52442AD4"/>
    <w:rsid w:val="5247209A"/>
    <w:rsid w:val="525075B7"/>
    <w:rsid w:val="525206A1"/>
    <w:rsid w:val="52561F3E"/>
    <w:rsid w:val="52666BC2"/>
    <w:rsid w:val="526CD16E"/>
    <w:rsid w:val="526D2089"/>
    <w:rsid w:val="527086D3"/>
    <w:rsid w:val="52708CD1"/>
    <w:rsid w:val="527386C7"/>
    <w:rsid w:val="5279A264"/>
    <w:rsid w:val="527A07D2"/>
    <w:rsid w:val="52851CFD"/>
    <w:rsid w:val="52886F97"/>
    <w:rsid w:val="528C7B5B"/>
    <w:rsid w:val="528D82E4"/>
    <w:rsid w:val="528F3F0C"/>
    <w:rsid w:val="5293624D"/>
    <w:rsid w:val="5294BD2E"/>
    <w:rsid w:val="52997BC7"/>
    <w:rsid w:val="529B8EB5"/>
    <w:rsid w:val="529D96A5"/>
    <w:rsid w:val="52A7059F"/>
    <w:rsid w:val="52B2C564"/>
    <w:rsid w:val="52C3C141"/>
    <w:rsid w:val="52C6C3CD"/>
    <w:rsid w:val="52C8250D"/>
    <w:rsid w:val="52CE6D9A"/>
    <w:rsid w:val="52D3C916"/>
    <w:rsid w:val="52D41531"/>
    <w:rsid w:val="52D8F869"/>
    <w:rsid w:val="52DB1811"/>
    <w:rsid w:val="52DF781D"/>
    <w:rsid w:val="52E2F0BF"/>
    <w:rsid w:val="52E4059D"/>
    <w:rsid w:val="52E5A9B9"/>
    <w:rsid w:val="52EA7F1C"/>
    <w:rsid w:val="52EA89E6"/>
    <w:rsid w:val="52F0E145"/>
    <w:rsid w:val="52F23EB7"/>
    <w:rsid w:val="52F7A87B"/>
    <w:rsid w:val="52FE2184"/>
    <w:rsid w:val="5301F445"/>
    <w:rsid w:val="5306CFD8"/>
    <w:rsid w:val="5319FBE0"/>
    <w:rsid w:val="531E34AF"/>
    <w:rsid w:val="53272E53"/>
    <w:rsid w:val="5327C79A"/>
    <w:rsid w:val="532D08CA"/>
    <w:rsid w:val="532DD32C"/>
    <w:rsid w:val="53341045"/>
    <w:rsid w:val="533632D4"/>
    <w:rsid w:val="53370B63"/>
    <w:rsid w:val="5337198B"/>
    <w:rsid w:val="5337F0C8"/>
    <w:rsid w:val="53390E14"/>
    <w:rsid w:val="533D08E7"/>
    <w:rsid w:val="5346A681"/>
    <w:rsid w:val="534CE44D"/>
    <w:rsid w:val="535579F7"/>
    <w:rsid w:val="53560361"/>
    <w:rsid w:val="535631D2"/>
    <w:rsid w:val="5358147F"/>
    <w:rsid w:val="535CC573"/>
    <w:rsid w:val="536962CD"/>
    <w:rsid w:val="536AAF95"/>
    <w:rsid w:val="536E8018"/>
    <w:rsid w:val="53735190"/>
    <w:rsid w:val="5374B0BE"/>
    <w:rsid w:val="537A3413"/>
    <w:rsid w:val="5382DD7B"/>
    <w:rsid w:val="5387E0EA"/>
    <w:rsid w:val="538811DE"/>
    <w:rsid w:val="538CDF47"/>
    <w:rsid w:val="538EDB8A"/>
    <w:rsid w:val="538FB6A3"/>
    <w:rsid w:val="53933314"/>
    <w:rsid w:val="5394470C"/>
    <w:rsid w:val="5395414A"/>
    <w:rsid w:val="53973BC2"/>
    <w:rsid w:val="539967C7"/>
    <w:rsid w:val="5399E6BD"/>
    <w:rsid w:val="539A419D"/>
    <w:rsid w:val="539B486D"/>
    <w:rsid w:val="539F7494"/>
    <w:rsid w:val="53A316A7"/>
    <w:rsid w:val="53A6F277"/>
    <w:rsid w:val="53A83B8D"/>
    <w:rsid w:val="53A8A1C8"/>
    <w:rsid w:val="53AB7584"/>
    <w:rsid w:val="53B4DFB6"/>
    <w:rsid w:val="53B7337C"/>
    <w:rsid w:val="53B7C635"/>
    <w:rsid w:val="53BD5C18"/>
    <w:rsid w:val="53C1DBA6"/>
    <w:rsid w:val="53CAB220"/>
    <w:rsid w:val="53CD750D"/>
    <w:rsid w:val="53D3042E"/>
    <w:rsid w:val="53D3388C"/>
    <w:rsid w:val="53D8165A"/>
    <w:rsid w:val="53DEE399"/>
    <w:rsid w:val="53E29D70"/>
    <w:rsid w:val="53E62CA7"/>
    <w:rsid w:val="53E9D0D0"/>
    <w:rsid w:val="53EF941A"/>
    <w:rsid w:val="53F1C07E"/>
    <w:rsid w:val="53F6F886"/>
    <w:rsid w:val="53F93F0E"/>
    <w:rsid w:val="53FF15E0"/>
    <w:rsid w:val="53FF19C1"/>
    <w:rsid w:val="54035A44"/>
    <w:rsid w:val="5403D424"/>
    <w:rsid w:val="540493AC"/>
    <w:rsid w:val="540D282C"/>
    <w:rsid w:val="5419320A"/>
    <w:rsid w:val="541DE4B8"/>
    <w:rsid w:val="54203356"/>
    <w:rsid w:val="5427F63D"/>
    <w:rsid w:val="5434CFDF"/>
    <w:rsid w:val="54358F87"/>
    <w:rsid w:val="5435CB01"/>
    <w:rsid w:val="543F4DEB"/>
    <w:rsid w:val="5443D15D"/>
    <w:rsid w:val="54470F9C"/>
    <w:rsid w:val="54471CF7"/>
    <w:rsid w:val="544C4926"/>
    <w:rsid w:val="544D41F6"/>
    <w:rsid w:val="5451065C"/>
    <w:rsid w:val="545141A9"/>
    <w:rsid w:val="545211AB"/>
    <w:rsid w:val="545366F9"/>
    <w:rsid w:val="546042FD"/>
    <w:rsid w:val="54641D19"/>
    <w:rsid w:val="5467AC99"/>
    <w:rsid w:val="546A6069"/>
    <w:rsid w:val="546C1EED"/>
    <w:rsid w:val="546E987A"/>
    <w:rsid w:val="5474A653"/>
    <w:rsid w:val="5475F817"/>
    <w:rsid w:val="5478D9C4"/>
    <w:rsid w:val="547E253C"/>
    <w:rsid w:val="547FEE12"/>
    <w:rsid w:val="54847FDF"/>
    <w:rsid w:val="5486D85F"/>
    <w:rsid w:val="5498231E"/>
    <w:rsid w:val="549A989C"/>
    <w:rsid w:val="549E9054"/>
    <w:rsid w:val="54A26256"/>
    <w:rsid w:val="54A7A348"/>
    <w:rsid w:val="54AFB17A"/>
    <w:rsid w:val="54B1C319"/>
    <w:rsid w:val="54B24928"/>
    <w:rsid w:val="54B71C57"/>
    <w:rsid w:val="54B8A823"/>
    <w:rsid w:val="54BF9A06"/>
    <w:rsid w:val="54C12389"/>
    <w:rsid w:val="54C3E416"/>
    <w:rsid w:val="54D087FA"/>
    <w:rsid w:val="54D669CA"/>
    <w:rsid w:val="54D90925"/>
    <w:rsid w:val="54D99E1D"/>
    <w:rsid w:val="54F405FE"/>
    <w:rsid w:val="54FF759B"/>
    <w:rsid w:val="55085CC8"/>
    <w:rsid w:val="550EBF6F"/>
    <w:rsid w:val="55103C4F"/>
    <w:rsid w:val="55104A25"/>
    <w:rsid w:val="5511941F"/>
    <w:rsid w:val="551FC86B"/>
    <w:rsid w:val="55277079"/>
    <w:rsid w:val="5527BD48"/>
    <w:rsid w:val="552A1BC2"/>
    <w:rsid w:val="552BF419"/>
    <w:rsid w:val="5532EBAB"/>
    <w:rsid w:val="5532F4E8"/>
    <w:rsid w:val="553326E5"/>
    <w:rsid w:val="553413B3"/>
    <w:rsid w:val="5543376A"/>
    <w:rsid w:val="5543B185"/>
    <w:rsid w:val="5543E7BA"/>
    <w:rsid w:val="555A7A0A"/>
    <w:rsid w:val="555AF308"/>
    <w:rsid w:val="555C75A9"/>
    <w:rsid w:val="555F02F9"/>
    <w:rsid w:val="555F9DC1"/>
    <w:rsid w:val="556166D7"/>
    <w:rsid w:val="5565BC96"/>
    <w:rsid w:val="556BE3EC"/>
    <w:rsid w:val="55769B5F"/>
    <w:rsid w:val="557A87FA"/>
    <w:rsid w:val="557B9FA4"/>
    <w:rsid w:val="55845E90"/>
    <w:rsid w:val="55893371"/>
    <w:rsid w:val="558BE3A8"/>
    <w:rsid w:val="5591BEAB"/>
    <w:rsid w:val="55978EAC"/>
    <w:rsid w:val="5598EFE0"/>
    <w:rsid w:val="559D5F6F"/>
    <w:rsid w:val="55A946EB"/>
    <w:rsid w:val="55AA1AAB"/>
    <w:rsid w:val="55B7C4B1"/>
    <w:rsid w:val="55BF5E1F"/>
    <w:rsid w:val="55CE2344"/>
    <w:rsid w:val="55CE2A44"/>
    <w:rsid w:val="55D39706"/>
    <w:rsid w:val="55D60E7A"/>
    <w:rsid w:val="55D752C4"/>
    <w:rsid w:val="55DC747A"/>
    <w:rsid w:val="55E1FE98"/>
    <w:rsid w:val="55E5B604"/>
    <w:rsid w:val="55E5DD19"/>
    <w:rsid w:val="55E95C6F"/>
    <w:rsid w:val="55EA6CF8"/>
    <w:rsid w:val="55F6A898"/>
    <w:rsid w:val="55F7A2D2"/>
    <w:rsid w:val="56026FE9"/>
    <w:rsid w:val="5603209C"/>
    <w:rsid w:val="560445AE"/>
    <w:rsid w:val="560B3FB2"/>
    <w:rsid w:val="560FCD4E"/>
    <w:rsid w:val="5613B3A6"/>
    <w:rsid w:val="56168D7F"/>
    <w:rsid w:val="561EA074"/>
    <w:rsid w:val="562216EE"/>
    <w:rsid w:val="562412C9"/>
    <w:rsid w:val="562D0937"/>
    <w:rsid w:val="56326502"/>
    <w:rsid w:val="5635A1D4"/>
    <w:rsid w:val="5639ED07"/>
    <w:rsid w:val="563E2A76"/>
    <w:rsid w:val="5643156C"/>
    <w:rsid w:val="56432165"/>
    <w:rsid w:val="56470067"/>
    <w:rsid w:val="564B80B8"/>
    <w:rsid w:val="564BA577"/>
    <w:rsid w:val="564CCEA8"/>
    <w:rsid w:val="564CF9D7"/>
    <w:rsid w:val="566901F0"/>
    <w:rsid w:val="566C6D36"/>
    <w:rsid w:val="566E1E0E"/>
    <w:rsid w:val="567099D5"/>
    <w:rsid w:val="56765AB8"/>
    <w:rsid w:val="5681445C"/>
    <w:rsid w:val="568B52D3"/>
    <w:rsid w:val="56969FE9"/>
    <w:rsid w:val="569D2260"/>
    <w:rsid w:val="569DD3BF"/>
    <w:rsid w:val="56A4C1EB"/>
    <w:rsid w:val="56A861BC"/>
    <w:rsid w:val="56ADDA90"/>
    <w:rsid w:val="56AFCA55"/>
    <w:rsid w:val="56B0797B"/>
    <w:rsid w:val="56B353F7"/>
    <w:rsid w:val="56B35989"/>
    <w:rsid w:val="56B366C4"/>
    <w:rsid w:val="56B67C0A"/>
    <w:rsid w:val="56BE5336"/>
    <w:rsid w:val="56C80CC4"/>
    <w:rsid w:val="56CF454C"/>
    <w:rsid w:val="56D246CD"/>
    <w:rsid w:val="56D86B9A"/>
    <w:rsid w:val="56DAF45E"/>
    <w:rsid w:val="56DCAA6A"/>
    <w:rsid w:val="56E77B0B"/>
    <w:rsid w:val="56E93D51"/>
    <w:rsid w:val="56F39A0D"/>
    <w:rsid w:val="57003DD5"/>
    <w:rsid w:val="5701756B"/>
    <w:rsid w:val="57025EE6"/>
    <w:rsid w:val="570736C4"/>
    <w:rsid w:val="570825E0"/>
    <w:rsid w:val="570A605A"/>
    <w:rsid w:val="570CC5D5"/>
    <w:rsid w:val="57135579"/>
    <w:rsid w:val="571DA5CC"/>
    <w:rsid w:val="571E7324"/>
    <w:rsid w:val="57239F3C"/>
    <w:rsid w:val="57246BDD"/>
    <w:rsid w:val="572A1EFD"/>
    <w:rsid w:val="572C74FC"/>
    <w:rsid w:val="572D77AB"/>
    <w:rsid w:val="57338781"/>
    <w:rsid w:val="573996D9"/>
    <w:rsid w:val="573D0D96"/>
    <w:rsid w:val="573D6835"/>
    <w:rsid w:val="573DF638"/>
    <w:rsid w:val="57416283"/>
    <w:rsid w:val="57446AA4"/>
    <w:rsid w:val="5744B7D3"/>
    <w:rsid w:val="5748A4E3"/>
    <w:rsid w:val="574A1172"/>
    <w:rsid w:val="574B4D62"/>
    <w:rsid w:val="574BBC6D"/>
    <w:rsid w:val="576208E4"/>
    <w:rsid w:val="5763F4AB"/>
    <w:rsid w:val="576A7A07"/>
    <w:rsid w:val="576AD6B1"/>
    <w:rsid w:val="576B964F"/>
    <w:rsid w:val="576C8681"/>
    <w:rsid w:val="577281CE"/>
    <w:rsid w:val="57738ADA"/>
    <w:rsid w:val="5782282B"/>
    <w:rsid w:val="57893FFF"/>
    <w:rsid w:val="578B0F5A"/>
    <w:rsid w:val="578D0158"/>
    <w:rsid w:val="57924CE1"/>
    <w:rsid w:val="5792AEE4"/>
    <w:rsid w:val="579548C6"/>
    <w:rsid w:val="5796248D"/>
    <w:rsid w:val="579834D4"/>
    <w:rsid w:val="579982C4"/>
    <w:rsid w:val="579BC0AB"/>
    <w:rsid w:val="57A46751"/>
    <w:rsid w:val="57A4B278"/>
    <w:rsid w:val="57B2B19B"/>
    <w:rsid w:val="57B51F95"/>
    <w:rsid w:val="57B58246"/>
    <w:rsid w:val="57BD82E3"/>
    <w:rsid w:val="57C2AE3B"/>
    <w:rsid w:val="57C61298"/>
    <w:rsid w:val="57CA59CC"/>
    <w:rsid w:val="57D0257A"/>
    <w:rsid w:val="57D3C3A8"/>
    <w:rsid w:val="57D812AD"/>
    <w:rsid w:val="57E28B1C"/>
    <w:rsid w:val="57E3B180"/>
    <w:rsid w:val="57EADDC7"/>
    <w:rsid w:val="57EEF55B"/>
    <w:rsid w:val="57F3B89B"/>
    <w:rsid w:val="57F3F158"/>
    <w:rsid w:val="57F6A619"/>
    <w:rsid w:val="57F7B826"/>
    <w:rsid w:val="57F9C26D"/>
    <w:rsid w:val="57FCA314"/>
    <w:rsid w:val="58063449"/>
    <w:rsid w:val="580E9E1E"/>
    <w:rsid w:val="5812B5AC"/>
    <w:rsid w:val="581539AD"/>
    <w:rsid w:val="58156B18"/>
    <w:rsid w:val="5816B14C"/>
    <w:rsid w:val="581E5B6F"/>
    <w:rsid w:val="5820F7FD"/>
    <w:rsid w:val="5822F9C5"/>
    <w:rsid w:val="582F413F"/>
    <w:rsid w:val="583210C8"/>
    <w:rsid w:val="58340167"/>
    <w:rsid w:val="58340FE5"/>
    <w:rsid w:val="583565A5"/>
    <w:rsid w:val="583DA209"/>
    <w:rsid w:val="58400C0A"/>
    <w:rsid w:val="584288FE"/>
    <w:rsid w:val="584600F0"/>
    <w:rsid w:val="5848D513"/>
    <w:rsid w:val="584F50CE"/>
    <w:rsid w:val="584FAF6D"/>
    <w:rsid w:val="58535088"/>
    <w:rsid w:val="58543CBE"/>
    <w:rsid w:val="5858EC8D"/>
    <w:rsid w:val="585A6EDE"/>
    <w:rsid w:val="5864A374"/>
    <w:rsid w:val="5865F0CB"/>
    <w:rsid w:val="58685552"/>
    <w:rsid w:val="586A29A9"/>
    <w:rsid w:val="586BFC73"/>
    <w:rsid w:val="5870D253"/>
    <w:rsid w:val="5873965A"/>
    <w:rsid w:val="587B3C76"/>
    <w:rsid w:val="587CA8F4"/>
    <w:rsid w:val="5881FF75"/>
    <w:rsid w:val="58837DAD"/>
    <w:rsid w:val="5889BCF6"/>
    <w:rsid w:val="588A13C0"/>
    <w:rsid w:val="588EA8E1"/>
    <w:rsid w:val="588F6735"/>
    <w:rsid w:val="5891AC8F"/>
    <w:rsid w:val="589651D1"/>
    <w:rsid w:val="5899B07B"/>
    <w:rsid w:val="589DA828"/>
    <w:rsid w:val="58A6F037"/>
    <w:rsid w:val="58ABCF43"/>
    <w:rsid w:val="58BF0416"/>
    <w:rsid w:val="58C0AB9A"/>
    <w:rsid w:val="58CB5710"/>
    <w:rsid w:val="58CCD7D3"/>
    <w:rsid w:val="58D3C00B"/>
    <w:rsid w:val="58D79A5C"/>
    <w:rsid w:val="58DFB6BE"/>
    <w:rsid w:val="58E05189"/>
    <w:rsid w:val="58E0AF5C"/>
    <w:rsid w:val="58E9C931"/>
    <w:rsid w:val="58EC9E07"/>
    <w:rsid w:val="58EDDCFF"/>
    <w:rsid w:val="58F4677C"/>
    <w:rsid w:val="58F77A2B"/>
    <w:rsid w:val="58FA8B5F"/>
    <w:rsid w:val="58FE50C6"/>
    <w:rsid w:val="58FF24DE"/>
    <w:rsid w:val="5902419E"/>
    <w:rsid w:val="591142A0"/>
    <w:rsid w:val="59126E84"/>
    <w:rsid w:val="5915D930"/>
    <w:rsid w:val="591D59E4"/>
    <w:rsid w:val="591DF88C"/>
    <w:rsid w:val="5924BBEF"/>
    <w:rsid w:val="592B154B"/>
    <w:rsid w:val="592D20F5"/>
    <w:rsid w:val="592EF599"/>
    <w:rsid w:val="5930153D"/>
    <w:rsid w:val="59313E2B"/>
    <w:rsid w:val="5934E97E"/>
    <w:rsid w:val="5943AFFA"/>
    <w:rsid w:val="594A13B1"/>
    <w:rsid w:val="594EEE0C"/>
    <w:rsid w:val="5959CB88"/>
    <w:rsid w:val="5959E116"/>
    <w:rsid w:val="595A8B58"/>
    <w:rsid w:val="595D2AE7"/>
    <w:rsid w:val="595DCF3A"/>
    <w:rsid w:val="595E7EB0"/>
    <w:rsid w:val="595F900D"/>
    <w:rsid w:val="59603A03"/>
    <w:rsid w:val="596DC82A"/>
    <w:rsid w:val="596F9007"/>
    <w:rsid w:val="59707CEA"/>
    <w:rsid w:val="597240A2"/>
    <w:rsid w:val="5973639B"/>
    <w:rsid w:val="59754DC1"/>
    <w:rsid w:val="59765795"/>
    <w:rsid w:val="597D4690"/>
    <w:rsid w:val="5985DEA6"/>
    <w:rsid w:val="59866AAF"/>
    <w:rsid w:val="5987B934"/>
    <w:rsid w:val="59896AA4"/>
    <w:rsid w:val="598A0B67"/>
    <w:rsid w:val="59998B0D"/>
    <w:rsid w:val="599B3078"/>
    <w:rsid w:val="59A38C7D"/>
    <w:rsid w:val="59AA3995"/>
    <w:rsid w:val="59AAD1DE"/>
    <w:rsid w:val="59AF86A2"/>
    <w:rsid w:val="59B73738"/>
    <w:rsid w:val="59BB14AE"/>
    <w:rsid w:val="59BBB424"/>
    <w:rsid w:val="59CE052C"/>
    <w:rsid w:val="59D0CDC1"/>
    <w:rsid w:val="59E8F290"/>
    <w:rsid w:val="59EBD6BB"/>
    <w:rsid w:val="59ED1E6F"/>
    <w:rsid w:val="59EDB16A"/>
    <w:rsid w:val="59EE37A4"/>
    <w:rsid w:val="59F3FD67"/>
    <w:rsid w:val="59F62BCE"/>
    <w:rsid w:val="59F637E9"/>
    <w:rsid w:val="59F9B549"/>
    <w:rsid w:val="5A085F24"/>
    <w:rsid w:val="5A0A4878"/>
    <w:rsid w:val="5A0A5F53"/>
    <w:rsid w:val="5A0FDB21"/>
    <w:rsid w:val="5A20A5F8"/>
    <w:rsid w:val="5A231CD9"/>
    <w:rsid w:val="5A28B874"/>
    <w:rsid w:val="5A298701"/>
    <w:rsid w:val="5A2D6BE2"/>
    <w:rsid w:val="5A2D7E83"/>
    <w:rsid w:val="5A380389"/>
    <w:rsid w:val="5A38A4AD"/>
    <w:rsid w:val="5A3AF949"/>
    <w:rsid w:val="5A4136BC"/>
    <w:rsid w:val="5A453058"/>
    <w:rsid w:val="5A473B9A"/>
    <w:rsid w:val="5A4BF85D"/>
    <w:rsid w:val="5A4D6275"/>
    <w:rsid w:val="5A503769"/>
    <w:rsid w:val="5A63E903"/>
    <w:rsid w:val="5A64DC8D"/>
    <w:rsid w:val="5A68B498"/>
    <w:rsid w:val="5A6AA058"/>
    <w:rsid w:val="5A71D0B6"/>
    <w:rsid w:val="5A79E4EC"/>
    <w:rsid w:val="5A8650D8"/>
    <w:rsid w:val="5A866C89"/>
    <w:rsid w:val="5A8A9A9B"/>
    <w:rsid w:val="5A8D2905"/>
    <w:rsid w:val="5A964098"/>
    <w:rsid w:val="5A9EF1BF"/>
    <w:rsid w:val="5AA02CE8"/>
    <w:rsid w:val="5AA7AF67"/>
    <w:rsid w:val="5AA7E2FA"/>
    <w:rsid w:val="5AA9703B"/>
    <w:rsid w:val="5AAD4FCF"/>
    <w:rsid w:val="5AB3AB78"/>
    <w:rsid w:val="5AB555E2"/>
    <w:rsid w:val="5AB5BCDE"/>
    <w:rsid w:val="5AB6C49D"/>
    <w:rsid w:val="5AC0C883"/>
    <w:rsid w:val="5AC48861"/>
    <w:rsid w:val="5ACDC82E"/>
    <w:rsid w:val="5ACDE70E"/>
    <w:rsid w:val="5AD35223"/>
    <w:rsid w:val="5AD5801B"/>
    <w:rsid w:val="5AD67148"/>
    <w:rsid w:val="5ADCC500"/>
    <w:rsid w:val="5AE10A80"/>
    <w:rsid w:val="5AE1AB20"/>
    <w:rsid w:val="5AE4E7D2"/>
    <w:rsid w:val="5AEBCEB8"/>
    <w:rsid w:val="5AF7CC95"/>
    <w:rsid w:val="5AF90D98"/>
    <w:rsid w:val="5AFD20C5"/>
    <w:rsid w:val="5AFD42BE"/>
    <w:rsid w:val="5AFD9DFE"/>
    <w:rsid w:val="5B004F8A"/>
    <w:rsid w:val="5B0466A4"/>
    <w:rsid w:val="5B0CEABC"/>
    <w:rsid w:val="5B108AA1"/>
    <w:rsid w:val="5B17C742"/>
    <w:rsid w:val="5B269282"/>
    <w:rsid w:val="5B298C4A"/>
    <w:rsid w:val="5B2ACCE0"/>
    <w:rsid w:val="5B310811"/>
    <w:rsid w:val="5B31C82C"/>
    <w:rsid w:val="5B348D10"/>
    <w:rsid w:val="5B3722B8"/>
    <w:rsid w:val="5B374AF5"/>
    <w:rsid w:val="5B384CBE"/>
    <w:rsid w:val="5B3A8F05"/>
    <w:rsid w:val="5B3B941A"/>
    <w:rsid w:val="5B3DAEDE"/>
    <w:rsid w:val="5B465C79"/>
    <w:rsid w:val="5B46A808"/>
    <w:rsid w:val="5B479F0D"/>
    <w:rsid w:val="5B482C79"/>
    <w:rsid w:val="5B4BDB53"/>
    <w:rsid w:val="5B4E0553"/>
    <w:rsid w:val="5B500462"/>
    <w:rsid w:val="5B59EA26"/>
    <w:rsid w:val="5B69A5AE"/>
    <w:rsid w:val="5B6ED313"/>
    <w:rsid w:val="5B70CA53"/>
    <w:rsid w:val="5B749837"/>
    <w:rsid w:val="5B7C3111"/>
    <w:rsid w:val="5B89DEAC"/>
    <w:rsid w:val="5B96B905"/>
    <w:rsid w:val="5B9B0E65"/>
    <w:rsid w:val="5BA4E6A4"/>
    <w:rsid w:val="5BAC810C"/>
    <w:rsid w:val="5BB473E3"/>
    <w:rsid w:val="5BBB83EF"/>
    <w:rsid w:val="5BC2D3E7"/>
    <w:rsid w:val="5BC484CC"/>
    <w:rsid w:val="5BCDDBD8"/>
    <w:rsid w:val="5BD018AD"/>
    <w:rsid w:val="5BD02BED"/>
    <w:rsid w:val="5BD0EA83"/>
    <w:rsid w:val="5BD10857"/>
    <w:rsid w:val="5BD9A5A4"/>
    <w:rsid w:val="5BDAC48A"/>
    <w:rsid w:val="5BDB5B62"/>
    <w:rsid w:val="5BDF9788"/>
    <w:rsid w:val="5BEC22BB"/>
    <w:rsid w:val="5BEE1527"/>
    <w:rsid w:val="5BEF5EC7"/>
    <w:rsid w:val="5BF7D97B"/>
    <w:rsid w:val="5BFD7E8D"/>
    <w:rsid w:val="5C08D1FC"/>
    <w:rsid w:val="5C0C5EAC"/>
    <w:rsid w:val="5C0D3D4C"/>
    <w:rsid w:val="5C20DAC6"/>
    <w:rsid w:val="5C337EB4"/>
    <w:rsid w:val="5C36AACF"/>
    <w:rsid w:val="5C39A5E2"/>
    <w:rsid w:val="5C3DA1AD"/>
    <w:rsid w:val="5C3FC71D"/>
    <w:rsid w:val="5C418D70"/>
    <w:rsid w:val="5C48A18A"/>
    <w:rsid w:val="5C49F4CA"/>
    <w:rsid w:val="5C4D2302"/>
    <w:rsid w:val="5C4D4300"/>
    <w:rsid w:val="5C513FBA"/>
    <w:rsid w:val="5C519640"/>
    <w:rsid w:val="5C576A4E"/>
    <w:rsid w:val="5C5CE790"/>
    <w:rsid w:val="5C61553B"/>
    <w:rsid w:val="5C633285"/>
    <w:rsid w:val="5C67F6B4"/>
    <w:rsid w:val="5C692AD6"/>
    <w:rsid w:val="5C6A4294"/>
    <w:rsid w:val="5C6B5953"/>
    <w:rsid w:val="5C6C2250"/>
    <w:rsid w:val="5C6CA4E5"/>
    <w:rsid w:val="5C6F2A94"/>
    <w:rsid w:val="5C70BFB5"/>
    <w:rsid w:val="5C710EA1"/>
    <w:rsid w:val="5C71A494"/>
    <w:rsid w:val="5C748529"/>
    <w:rsid w:val="5C794262"/>
    <w:rsid w:val="5C7A720C"/>
    <w:rsid w:val="5C7D9B17"/>
    <w:rsid w:val="5C7EBCA9"/>
    <w:rsid w:val="5C89E1D9"/>
    <w:rsid w:val="5C8CB94C"/>
    <w:rsid w:val="5C91D627"/>
    <w:rsid w:val="5C96A7AA"/>
    <w:rsid w:val="5C99503E"/>
    <w:rsid w:val="5CADAB4E"/>
    <w:rsid w:val="5CB19ABD"/>
    <w:rsid w:val="5CB1C0C9"/>
    <w:rsid w:val="5CB7E894"/>
    <w:rsid w:val="5CBCE996"/>
    <w:rsid w:val="5CBFE2E1"/>
    <w:rsid w:val="5CC1DD3F"/>
    <w:rsid w:val="5CC234EE"/>
    <w:rsid w:val="5CC259D9"/>
    <w:rsid w:val="5CC50EF2"/>
    <w:rsid w:val="5CC6122E"/>
    <w:rsid w:val="5CD9707E"/>
    <w:rsid w:val="5CE04908"/>
    <w:rsid w:val="5CE0D72F"/>
    <w:rsid w:val="5CE9D5B4"/>
    <w:rsid w:val="5CEF8450"/>
    <w:rsid w:val="5CF919F7"/>
    <w:rsid w:val="5CFB108B"/>
    <w:rsid w:val="5CFF5B6C"/>
    <w:rsid w:val="5D00A25F"/>
    <w:rsid w:val="5D015AFA"/>
    <w:rsid w:val="5D03A43E"/>
    <w:rsid w:val="5D0907FD"/>
    <w:rsid w:val="5D0A59FD"/>
    <w:rsid w:val="5D0B524E"/>
    <w:rsid w:val="5D0C4B62"/>
    <w:rsid w:val="5D0EA2F6"/>
    <w:rsid w:val="5D1AAC4C"/>
    <w:rsid w:val="5D1AC740"/>
    <w:rsid w:val="5D230486"/>
    <w:rsid w:val="5D242C38"/>
    <w:rsid w:val="5D26A719"/>
    <w:rsid w:val="5D2BAAE4"/>
    <w:rsid w:val="5D2C3CD4"/>
    <w:rsid w:val="5D2DFCF2"/>
    <w:rsid w:val="5D300866"/>
    <w:rsid w:val="5D3205EB"/>
    <w:rsid w:val="5D32695E"/>
    <w:rsid w:val="5D3429C3"/>
    <w:rsid w:val="5D3466ED"/>
    <w:rsid w:val="5D363EB0"/>
    <w:rsid w:val="5D37213F"/>
    <w:rsid w:val="5D3A9BFA"/>
    <w:rsid w:val="5D3E5B5A"/>
    <w:rsid w:val="5D3ECFDA"/>
    <w:rsid w:val="5D4389F4"/>
    <w:rsid w:val="5D43D539"/>
    <w:rsid w:val="5D4B31B4"/>
    <w:rsid w:val="5D4FF6FF"/>
    <w:rsid w:val="5D54CD40"/>
    <w:rsid w:val="5D59AA63"/>
    <w:rsid w:val="5D5A5377"/>
    <w:rsid w:val="5D5B362A"/>
    <w:rsid w:val="5D5BAFD8"/>
    <w:rsid w:val="5D5E2349"/>
    <w:rsid w:val="5D5E5AE7"/>
    <w:rsid w:val="5D6DE8AD"/>
    <w:rsid w:val="5D700472"/>
    <w:rsid w:val="5D702B1B"/>
    <w:rsid w:val="5D71BB40"/>
    <w:rsid w:val="5D7B23AD"/>
    <w:rsid w:val="5D8870AA"/>
    <w:rsid w:val="5D8B49E5"/>
    <w:rsid w:val="5D8B90A9"/>
    <w:rsid w:val="5D909893"/>
    <w:rsid w:val="5D97B21C"/>
    <w:rsid w:val="5D9EDF4D"/>
    <w:rsid w:val="5DA0F974"/>
    <w:rsid w:val="5DA2E0D3"/>
    <w:rsid w:val="5DA555FD"/>
    <w:rsid w:val="5DABEDFF"/>
    <w:rsid w:val="5DB0F032"/>
    <w:rsid w:val="5DBF86AD"/>
    <w:rsid w:val="5DC2A232"/>
    <w:rsid w:val="5DCD1445"/>
    <w:rsid w:val="5DCD8907"/>
    <w:rsid w:val="5DD0AEEC"/>
    <w:rsid w:val="5DD2286A"/>
    <w:rsid w:val="5DD9822F"/>
    <w:rsid w:val="5DDE9119"/>
    <w:rsid w:val="5DDF5BB6"/>
    <w:rsid w:val="5DE2BC1E"/>
    <w:rsid w:val="5DE30583"/>
    <w:rsid w:val="5DE97C1A"/>
    <w:rsid w:val="5DEB15A9"/>
    <w:rsid w:val="5DEBB76B"/>
    <w:rsid w:val="5DF456EC"/>
    <w:rsid w:val="5DF6B9F1"/>
    <w:rsid w:val="5DFFCE85"/>
    <w:rsid w:val="5E047019"/>
    <w:rsid w:val="5E054706"/>
    <w:rsid w:val="5E0A3B89"/>
    <w:rsid w:val="5E0E786D"/>
    <w:rsid w:val="5E0F63CE"/>
    <w:rsid w:val="5E121E72"/>
    <w:rsid w:val="5E12DA97"/>
    <w:rsid w:val="5E1366E6"/>
    <w:rsid w:val="5E13C205"/>
    <w:rsid w:val="5E1BC6CB"/>
    <w:rsid w:val="5E23FF11"/>
    <w:rsid w:val="5E26C1AC"/>
    <w:rsid w:val="5E353A7E"/>
    <w:rsid w:val="5E35C689"/>
    <w:rsid w:val="5E39DE5F"/>
    <w:rsid w:val="5E46E0DB"/>
    <w:rsid w:val="5E4C2587"/>
    <w:rsid w:val="5E5256A3"/>
    <w:rsid w:val="5E5951A0"/>
    <w:rsid w:val="5E5A1CA6"/>
    <w:rsid w:val="5E5DB3DB"/>
    <w:rsid w:val="5E5FAD44"/>
    <w:rsid w:val="5E601854"/>
    <w:rsid w:val="5E68B7CC"/>
    <w:rsid w:val="5E69C6E3"/>
    <w:rsid w:val="5E73EF22"/>
    <w:rsid w:val="5E7D7103"/>
    <w:rsid w:val="5E808ED2"/>
    <w:rsid w:val="5E814C8A"/>
    <w:rsid w:val="5E83A9DE"/>
    <w:rsid w:val="5E843EBB"/>
    <w:rsid w:val="5E8A0AC3"/>
    <w:rsid w:val="5E8AC04C"/>
    <w:rsid w:val="5E8DAD57"/>
    <w:rsid w:val="5E8EBF02"/>
    <w:rsid w:val="5E8EF92D"/>
    <w:rsid w:val="5E8FE1D9"/>
    <w:rsid w:val="5E976AB1"/>
    <w:rsid w:val="5E98DF96"/>
    <w:rsid w:val="5EA6ED3A"/>
    <w:rsid w:val="5EAA666A"/>
    <w:rsid w:val="5EAF3885"/>
    <w:rsid w:val="5EB5DC01"/>
    <w:rsid w:val="5EC076B3"/>
    <w:rsid w:val="5EC4AD9C"/>
    <w:rsid w:val="5EC55E6D"/>
    <w:rsid w:val="5EC5CE6B"/>
    <w:rsid w:val="5ECE2C4E"/>
    <w:rsid w:val="5ED350AA"/>
    <w:rsid w:val="5EDA1351"/>
    <w:rsid w:val="5EE88934"/>
    <w:rsid w:val="5EE99F1F"/>
    <w:rsid w:val="5EED623A"/>
    <w:rsid w:val="5EF2B975"/>
    <w:rsid w:val="5EFC865B"/>
    <w:rsid w:val="5EFDD9B9"/>
    <w:rsid w:val="5F07C4B4"/>
    <w:rsid w:val="5F086327"/>
    <w:rsid w:val="5F11C23C"/>
    <w:rsid w:val="5F199797"/>
    <w:rsid w:val="5F1A59CE"/>
    <w:rsid w:val="5F1ED752"/>
    <w:rsid w:val="5F229E1C"/>
    <w:rsid w:val="5F24FD91"/>
    <w:rsid w:val="5F29E33A"/>
    <w:rsid w:val="5F367488"/>
    <w:rsid w:val="5F3C5F56"/>
    <w:rsid w:val="5F482C62"/>
    <w:rsid w:val="5F4CDC9C"/>
    <w:rsid w:val="5F59CD6C"/>
    <w:rsid w:val="5F5D62E6"/>
    <w:rsid w:val="5F5E3629"/>
    <w:rsid w:val="5F61C119"/>
    <w:rsid w:val="5F62365B"/>
    <w:rsid w:val="5F69AD34"/>
    <w:rsid w:val="5F6B6772"/>
    <w:rsid w:val="5F74B439"/>
    <w:rsid w:val="5F7F61D2"/>
    <w:rsid w:val="5F803011"/>
    <w:rsid w:val="5F863885"/>
    <w:rsid w:val="5F874CF0"/>
    <w:rsid w:val="5F8A14D9"/>
    <w:rsid w:val="5F9A6415"/>
    <w:rsid w:val="5F9ED03F"/>
    <w:rsid w:val="5FA58F4B"/>
    <w:rsid w:val="5FAEEFDA"/>
    <w:rsid w:val="5FB109DA"/>
    <w:rsid w:val="5FB604D3"/>
    <w:rsid w:val="5FC50E67"/>
    <w:rsid w:val="5FC98113"/>
    <w:rsid w:val="5FC99DFD"/>
    <w:rsid w:val="5FC9BA8F"/>
    <w:rsid w:val="5FCC7666"/>
    <w:rsid w:val="5FCCEEC8"/>
    <w:rsid w:val="5FCD2E20"/>
    <w:rsid w:val="5FDCB408"/>
    <w:rsid w:val="5FE11EC9"/>
    <w:rsid w:val="5FE26774"/>
    <w:rsid w:val="5FE44CB4"/>
    <w:rsid w:val="5FE85D04"/>
    <w:rsid w:val="5FEA6AED"/>
    <w:rsid w:val="5FEBABF5"/>
    <w:rsid w:val="5FEC594F"/>
    <w:rsid w:val="5FF0558E"/>
    <w:rsid w:val="5FF131E8"/>
    <w:rsid w:val="5FFDEE65"/>
    <w:rsid w:val="60002425"/>
    <w:rsid w:val="600382AA"/>
    <w:rsid w:val="60061C61"/>
    <w:rsid w:val="60072F5C"/>
    <w:rsid w:val="600814A6"/>
    <w:rsid w:val="600B20B0"/>
    <w:rsid w:val="601113CC"/>
    <w:rsid w:val="60144B3F"/>
    <w:rsid w:val="6021AE65"/>
    <w:rsid w:val="60285416"/>
    <w:rsid w:val="60291692"/>
    <w:rsid w:val="6036A89A"/>
    <w:rsid w:val="603B68B6"/>
    <w:rsid w:val="6045466F"/>
    <w:rsid w:val="6046AE8B"/>
    <w:rsid w:val="60489C51"/>
    <w:rsid w:val="6050309C"/>
    <w:rsid w:val="605430AB"/>
    <w:rsid w:val="60554C52"/>
    <w:rsid w:val="605BAE0C"/>
    <w:rsid w:val="605DEBAE"/>
    <w:rsid w:val="605F87E7"/>
    <w:rsid w:val="6060B303"/>
    <w:rsid w:val="606336BE"/>
    <w:rsid w:val="606D720B"/>
    <w:rsid w:val="606FC882"/>
    <w:rsid w:val="6084BBE1"/>
    <w:rsid w:val="60881530"/>
    <w:rsid w:val="608912DA"/>
    <w:rsid w:val="608DB568"/>
    <w:rsid w:val="608E19B6"/>
    <w:rsid w:val="608E3F18"/>
    <w:rsid w:val="6095581F"/>
    <w:rsid w:val="60959B46"/>
    <w:rsid w:val="609804D3"/>
    <w:rsid w:val="60A3372A"/>
    <w:rsid w:val="60A35CC9"/>
    <w:rsid w:val="60A68EBE"/>
    <w:rsid w:val="60A7579C"/>
    <w:rsid w:val="60A771D4"/>
    <w:rsid w:val="60AB8DF0"/>
    <w:rsid w:val="60B7C10A"/>
    <w:rsid w:val="60BD2AC7"/>
    <w:rsid w:val="60C2B345"/>
    <w:rsid w:val="60D00605"/>
    <w:rsid w:val="60D18821"/>
    <w:rsid w:val="60D246A3"/>
    <w:rsid w:val="60D57EA2"/>
    <w:rsid w:val="60D8671A"/>
    <w:rsid w:val="60DA8965"/>
    <w:rsid w:val="60DABEBB"/>
    <w:rsid w:val="60E3ECBB"/>
    <w:rsid w:val="60E427A7"/>
    <w:rsid w:val="60ECC7F8"/>
    <w:rsid w:val="60F4F3AC"/>
    <w:rsid w:val="60FDEF06"/>
    <w:rsid w:val="610B3614"/>
    <w:rsid w:val="610FADE0"/>
    <w:rsid w:val="61164170"/>
    <w:rsid w:val="6116A3BB"/>
    <w:rsid w:val="61199351"/>
    <w:rsid w:val="611B5F32"/>
    <w:rsid w:val="612863F2"/>
    <w:rsid w:val="612A5254"/>
    <w:rsid w:val="612D90D0"/>
    <w:rsid w:val="612DA053"/>
    <w:rsid w:val="612E3E76"/>
    <w:rsid w:val="61371D68"/>
    <w:rsid w:val="6137FD93"/>
    <w:rsid w:val="6138F764"/>
    <w:rsid w:val="613ED3E3"/>
    <w:rsid w:val="6144ED96"/>
    <w:rsid w:val="615235E4"/>
    <w:rsid w:val="6153D44E"/>
    <w:rsid w:val="615C5A85"/>
    <w:rsid w:val="6161296B"/>
    <w:rsid w:val="61624E5B"/>
    <w:rsid w:val="6162E69B"/>
    <w:rsid w:val="616A7FB0"/>
    <w:rsid w:val="6174D839"/>
    <w:rsid w:val="61774918"/>
    <w:rsid w:val="61787459"/>
    <w:rsid w:val="617C2781"/>
    <w:rsid w:val="617E8A46"/>
    <w:rsid w:val="6183F34E"/>
    <w:rsid w:val="61844D40"/>
    <w:rsid w:val="618D98BF"/>
    <w:rsid w:val="618DE771"/>
    <w:rsid w:val="619273CF"/>
    <w:rsid w:val="6196B6E8"/>
    <w:rsid w:val="619D8755"/>
    <w:rsid w:val="61A1871A"/>
    <w:rsid w:val="61A2E8B7"/>
    <w:rsid w:val="61A6295B"/>
    <w:rsid w:val="61AAEE6D"/>
    <w:rsid w:val="61ADEB87"/>
    <w:rsid w:val="61B28FF8"/>
    <w:rsid w:val="61B48867"/>
    <w:rsid w:val="61B6DAA4"/>
    <w:rsid w:val="61BD2FFF"/>
    <w:rsid w:val="61C0B0CE"/>
    <w:rsid w:val="61C15136"/>
    <w:rsid w:val="61C5E126"/>
    <w:rsid w:val="61D5DD4E"/>
    <w:rsid w:val="61D6B475"/>
    <w:rsid w:val="61D6D28A"/>
    <w:rsid w:val="61DA1D37"/>
    <w:rsid w:val="61DC97B3"/>
    <w:rsid w:val="61E0B83B"/>
    <w:rsid w:val="61E2BBA1"/>
    <w:rsid w:val="61EE2FD8"/>
    <w:rsid w:val="61EEB605"/>
    <w:rsid w:val="61F9D3AC"/>
    <w:rsid w:val="61FDB4C3"/>
    <w:rsid w:val="62021B6E"/>
    <w:rsid w:val="6207BCC5"/>
    <w:rsid w:val="621348FC"/>
    <w:rsid w:val="6213A2A3"/>
    <w:rsid w:val="6215DA39"/>
    <w:rsid w:val="6219E40B"/>
    <w:rsid w:val="621EDC32"/>
    <w:rsid w:val="62232DF3"/>
    <w:rsid w:val="622986EE"/>
    <w:rsid w:val="622BC086"/>
    <w:rsid w:val="62313A17"/>
    <w:rsid w:val="6235614B"/>
    <w:rsid w:val="6239A0F7"/>
    <w:rsid w:val="623C0392"/>
    <w:rsid w:val="62408EC2"/>
    <w:rsid w:val="6242A71A"/>
    <w:rsid w:val="62464254"/>
    <w:rsid w:val="62572829"/>
    <w:rsid w:val="6257FB22"/>
    <w:rsid w:val="6259B36F"/>
    <w:rsid w:val="625CD0F4"/>
    <w:rsid w:val="625FFA41"/>
    <w:rsid w:val="62635E8C"/>
    <w:rsid w:val="6266E4DA"/>
    <w:rsid w:val="626A1717"/>
    <w:rsid w:val="626C4263"/>
    <w:rsid w:val="627325F5"/>
    <w:rsid w:val="627C9FBF"/>
    <w:rsid w:val="62802F6F"/>
    <w:rsid w:val="628209B6"/>
    <w:rsid w:val="6286E35E"/>
    <w:rsid w:val="629563EF"/>
    <w:rsid w:val="62966658"/>
    <w:rsid w:val="62A13CA0"/>
    <w:rsid w:val="62A91F66"/>
    <w:rsid w:val="62AC9B20"/>
    <w:rsid w:val="62AF213F"/>
    <w:rsid w:val="62B03805"/>
    <w:rsid w:val="62B1D3FA"/>
    <w:rsid w:val="62B2CCD9"/>
    <w:rsid w:val="62B52EA7"/>
    <w:rsid w:val="62B54784"/>
    <w:rsid w:val="62B651D3"/>
    <w:rsid w:val="62C3A5BB"/>
    <w:rsid w:val="62C463AD"/>
    <w:rsid w:val="62C582BA"/>
    <w:rsid w:val="62CA9B9F"/>
    <w:rsid w:val="62CC9081"/>
    <w:rsid w:val="62E09E87"/>
    <w:rsid w:val="62E120BD"/>
    <w:rsid w:val="62E1CC60"/>
    <w:rsid w:val="62E2C77D"/>
    <w:rsid w:val="62E2E5D8"/>
    <w:rsid w:val="62E72632"/>
    <w:rsid w:val="62EF6268"/>
    <w:rsid w:val="62F1A9F6"/>
    <w:rsid w:val="62F2AD35"/>
    <w:rsid w:val="62F76FB4"/>
    <w:rsid w:val="62FA4363"/>
    <w:rsid w:val="62FC574F"/>
    <w:rsid w:val="6305CF84"/>
    <w:rsid w:val="6309EA89"/>
    <w:rsid w:val="63120BD7"/>
    <w:rsid w:val="631385BF"/>
    <w:rsid w:val="6313F7B2"/>
    <w:rsid w:val="631A7665"/>
    <w:rsid w:val="631BA80C"/>
    <w:rsid w:val="632080E8"/>
    <w:rsid w:val="63225A35"/>
    <w:rsid w:val="63259912"/>
    <w:rsid w:val="632D728F"/>
    <w:rsid w:val="6334D022"/>
    <w:rsid w:val="634661A1"/>
    <w:rsid w:val="634E4A7C"/>
    <w:rsid w:val="634E6E7B"/>
    <w:rsid w:val="635326FA"/>
    <w:rsid w:val="6353CAD4"/>
    <w:rsid w:val="635BD276"/>
    <w:rsid w:val="635E1BE9"/>
    <w:rsid w:val="635E9CD8"/>
    <w:rsid w:val="635FE940"/>
    <w:rsid w:val="6364A721"/>
    <w:rsid w:val="6373C8E4"/>
    <w:rsid w:val="6378A377"/>
    <w:rsid w:val="637A54E8"/>
    <w:rsid w:val="637D84F4"/>
    <w:rsid w:val="6388EBC3"/>
    <w:rsid w:val="638ADBDB"/>
    <w:rsid w:val="638D3216"/>
    <w:rsid w:val="63928155"/>
    <w:rsid w:val="6396AC72"/>
    <w:rsid w:val="6398F63B"/>
    <w:rsid w:val="639B569F"/>
    <w:rsid w:val="63A751C6"/>
    <w:rsid w:val="63A8E379"/>
    <w:rsid w:val="63B24B58"/>
    <w:rsid w:val="63B42530"/>
    <w:rsid w:val="63C11DA5"/>
    <w:rsid w:val="63C19DA6"/>
    <w:rsid w:val="63C596F9"/>
    <w:rsid w:val="63C73E96"/>
    <w:rsid w:val="63CF6E6B"/>
    <w:rsid w:val="63D4558F"/>
    <w:rsid w:val="63DC1D98"/>
    <w:rsid w:val="63E1043A"/>
    <w:rsid w:val="63E63249"/>
    <w:rsid w:val="63E9CC00"/>
    <w:rsid w:val="63F03BD7"/>
    <w:rsid w:val="63F1EE15"/>
    <w:rsid w:val="63F672F0"/>
    <w:rsid w:val="63F9F31E"/>
    <w:rsid w:val="63FF2BAE"/>
    <w:rsid w:val="6404B4A6"/>
    <w:rsid w:val="6407544A"/>
    <w:rsid w:val="6407D820"/>
    <w:rsid w:val="6408C748"/>
    <w:rsid w:val="6414D1ED"/>
    <w:rsid w:val="64154408"/>
    <w:rsid w:val="64215BE3"/>
    <w:rsid w:val="642AD04F"/>
    <w:rsid w:val="6430473F"/>
    <w:rsid w:val="6433907B"/>
    <w:rsid w:val="6436B5DB"/>
    <w:rsid w:val="64374430"/>
    <w:rsid w:val="643AFC9F"/>
    <w:rsid w:val="643BB3AC"/>
    <w:rsid w:val="6443FEFD"/>
    <w:rsid w:val="644CB296"/>
    <w:rsid w:val="644F4002"/>
    <w:rsid w:val="64557F4C"/>
    <w:rsid w:val="64568AC0"/>
    <w:rsid w:val="6463888B"/>
    <w:rsid w:val="64661822"/>
    <w:rsid w:val="646B85AE"/>
    <w:rsid w:val="646D0B5D"/>
    <w:rsid w:val="646DC3DF"/>
    <w:rsid w:val="646F9E55"/>
    <w:rsid w:val="64723DBB"/>
    <w:rsid w:val="6478C16C"/>
    <w:rsid w:val="647CAA48"/>
    <w:rsid w:val="64832ED7"/>
    <w:rsid w:val="648A309D"/>
    <w:rsid w:val="648AEF8A"/>
    <w:rsid w:val="648CAC96"/>
    <w:rsid w:val="648DD40B"/>
    <w:rsid w:val="648EC5D3"/>
    <w:rsid w:val="649047BF"/>
    <w:rsid w:val="6496A581"/>
    <w:rsid w:val="649CB994"/>
    <w:rsid w:val="64A96410"/>
    <w:rsid w:val="64ADE6FA"/>
    <w:rsid w:val="64B0DBF9"/>
    <w:rsid w:val="64B18071"/>
    <w:rsid w:val="64B36634"/>
    <w:rsid w:val="64B97CC4"/>
    <w:rsid w:val="64BE6C83"/>
    <w:rsid w:val="64BF9E50"/>
    <w:rsid w:val="64C1B560"/>
    <w:rsid w:val="64C4D162"/>
    <w:rsid w:val="64C85084"/>
    <w:rsid w:val="64D4EF42"/>
    <w:rsid w:val="64D8AB1A"/>
    <w:rsid w:val="64D8DFB5"/>
    <w:rsid w:val="64DC28C9"/>
    <w:rsid w:val="64DDC6E4"/>
    <w:rsid w:val="64E14E25"/>
    <w:rsid w:val="64EC7AB1"/>
    <w:rsid w:val="64EF74EF"/>
    <w:rsid w:val="64EF8C1D"/>
    <w:rsid w:val="64F048CE"/>
    <w:rsid w:val="64F6D95C"/>
    <w:rsid w:val="64FC19DC"/>
    <w:rsid w:val="64FE9E78"/>
    <w:rsid w:val="64FF2B8C"/>
    <w:rsid w:val="650CFCCF"/>
    <w:rsid w:val="6510E41B"/>
    <w:rsid w:val="6511E031"/>
    <w:rsid w:val="651F9949"/>
    <w:rsid w:val="65278EDF"/>
    <w:rsid w:val="652EEA76"/>
    <w:rsid w:val="6530C595"/>
    <w:rsid w:val="653188D7"/>
    <w:rsid w:val="65346DE1"/>
    <w:rsid w:val="65366A32"/>
    <w:rsid w:val="65390A03"/>
    <w:rsid w:val="653A3A08"/>
    <w:rsid w:val="65473863"/>
    <w:rsid w:val="654926A8"/>
    <w:rsid w:val="654CE3C8"/>
    <w:rsid w:val="6554E15D"/>
    <w:rsid w:val="655F5079"/>
    <w:rsid w:val="6569D781"/>
    <w:rsid w:val="656A9FD6"/>
    <w:rsid w:val="65801F51"/>
    <w:rsid w:val="6588AD20"/>
    <w:rsid w:val="6589056A"/>
    <w:rsid w:val="65953EF3"/>
    <w:rsid w:val="659BE45F"/>
    <w:rsid w:val="659D9EBC"/>
    <w:rsid w:val="65A411DC"/>
    <w:rsid w:val="65A8219C"/>
    <w:rsid w:val="65A8849F"/>
    <w:rsid w:val="65A9F2E2"/>
    <w:rsid w:val="65BED489"/>
    <w:rsid w:val="65C19542"/>
    <w:rsid w:val="65CC95E0"/>
    <w:rsid w:val="65CFF9AD"/>
    <w:rsid w:val="65D43D23"/>
    <w:rsid w:val="65D46A7C"/>
    <w:rsid w:val="65D883A6"/>
    <w:rsid w:val="65D932C4"/>
    <w:rsid w:val="65DBA4AC"/>
    <w:rsid w:val="65DD5F72"/>
    <w:rsid w:val="65DD7B8E"/>
    <w:rsid w:val="65E58461"/>
    <w:rsid w:val="65E5B117"/>
    <w:rsid w:val="65E89E48"/>
    <w:rsid w:val="65EAF5D0"/>
    <w:rsid w:val="65EE4E53"/>
    <w:rsid w:val="65F1283E"/>
    <w:rsid w:val="65F1F6A4"/>
    <w:rsid w:val="65F3A907"/>
    <w:rsid w:val="65FBA872"/>
    <w:rsid w:val="65FCAB00"/>
    <w:rsid w:val="65FDF285"/>
    <w:rsid w:val="65FEF6EB"/>
    <w:rsid w:val="66079AA5"/>
    <w:rsid w:val="66174A64"/>
    <w:rsid w:val="66183C96"/>
    <w:rsid w:val="66198F9E"/>
    <w:rsid w:val="661C3BFF"/>
    <w:rsid w:val="661FF965"/>
    <w:rsid w:val="662085E2"/>
    <w:rsid w:val="66227F4E"/>
    <w:rsid w:val="663021E7"/>
    <w:rsid w:val="66315D8B"/>
    <w:rsid w:val="6639530B"/>
    <w:rsid w:val="6641510E"/>
    <w:rsid w:val="664595D1"/>
    <w:rsid w:val="664A0EF3"/>
    <w:rsid w:val="664C204C"/>
    <w:rsid w:val="664E5062"/>
    <w:rsid w:val="6652CAB4"/>
    <w:rsid w:val="6657AD9E"/>
    <w:rsid w:val="66591261"/>
    <w:rsid w:val="66596722"/>
    <w:rsid w:val="665B9F0C"/>
    <w:rsid w:val="665F56D6"/>
    <w:rsid w:val="665F9F21"/>
    <w:rsid w:val="6662997D"/>
    <w:rsid w:val="666F65A9"/>
    <w:rsid w:val="66783EC4"/>
    <w:rsid w:val="667A8A49"/>
    <w:rsid w:val="6680AAFE"/>
    <w:rsid w:val="6682988F"/>
    <w:rsid w:val="6687A4EF"/>
    <w:rsid w:val="669BE3EF"/>
    <w:rsid w:val="669CB300"/>
    <w:rsid w:val="669EE4EA"/>
    <w:rsid w:val="66A08FD7"/>
    <w:rsid w:val="66A89A13"/>
    <w:rsid w:val="66AA5102"/>
    <w:rsid w:val="66AECBFA"/>
    <w:rsid w:val="66B8AEF9"/>
    <w:rsid w:val="66B97750"/>
    <w:rsid w:val="66BBD005"/>
    <w:rsid w:val="66BD5E40"/>
    <w:rsid w:val="66C727BE"/>
    <w:rsid w:val="66C85BF1"/>
    <w:rsid w:val="66C99A48"/>
    <w:rsid w:val="66C9B3C7"/>
    <w:rsid w:val="66CA9E3B"/>
    <w:rsid w:val="66CD1601"/>
    <w:rsid w:val="66CFDC84"/>
    <w:rsid w:val="66CFF1D6"/>
    <w:rsid w:val="66D12BDD"/>
    <w:rsid w:val="66DCE63E"/>
    <w:rsid w:val="66E778AD"/>
    <w:rsid w:val="66E8C8CB"/>
    <w:rsid w:val="66EA9342"/>
    <w:rsid w:val="66EB19AD"/>
    <w:rsid w:val="66F7C322"/>
    <w:rsid w:val="66F9F427"/>
    <w:rsid w:val="66FC2009"/>
    <w:rsid w:val="6711EFCA"/>
    <w:rsid w:val="67154347"/>
    <w:rsid w:val="671820BA"/>
    <w:rsid w:val="671906C5"/>
    <w:rsid w:val="672A2B05"/>
    <w:rsid w:val="672E2966"/>
    <w:rsid w:val="6737A1B4"/>
    <w:rsid w:val="6739094C"/>
    <w:rsid w:val="67398DF7"/>
    <w:rsid w:val="673B66B8"/>
    <w:rsid w:val="673DEF66"/>
    <w:rsid w:val="673F36FC"/>
    <w:rsid w:val="6741921E"/>
    <w:rsid w:val="6741DA68"/>
    <w:rsid w:val="6746390D"/>
    <w:rsid w:val="674F21EE"/>
    <w:rsid w:val="67556FC0"/>
    <w:rsid w:val="6755DCA9"/>
    <w:rsid w:val="67567487"/>
    <w:rsid w:val="6758E701"/>
    <w:rsid w:val="676E95FF"/>
    <w:rsid w:val="676F7745"/>
    <w:rsid w:val="67702FB9"/>
    <w:rsid w:val="677E021A"/>
    <w:rsid w:val="677E522B"/>
    <w:rsid w:val="678073A1"/>
    <w:rsid w:val="67813206"/>
    <w:rsid w:val="67882E00"/>
    <w:rsid w:val="67883BF3"/>
    <w:rsid w:val="678D27E5"/>
    <w:rsid w:val="678D75D9"/>
    <w:rsid w:val="6791F68F"/>
    <w:rsid w:val="6793BBA3"/>
    <w:rsid w:val="6795B5C4"/>
    <w:rsid w:val="67965C61"/>
    <w:rsid w:val="679AFCB6"/>
    <w:rsid w:val="679E9A38"/>
    <w:rsid w:val="67A2B532"/>
    <w:rsid w:val="67A34222"/>
    <w:rsid w:val="67ACBA24"/>
    <w:rsid w:val="67B01A74"/>
    <w:rsid w:val="67BE76D6"/>
    <w:rsid w:val="67C0FF6B"/>
    <w:rsid w:val="67C37CE9"/>
    <w:rsid w:val="67C73F37"/>
    <w:rsid w:val="67CE8667"/>
    <w:rsid w:val="67E0AC1B"/>
    <w:rsid w:val="67EF653B"/>
    <w:rsid w:val="67F06B6D"/>
    <w:rsid w:val="67F47E7E"/>
    <w:rsid w:val="67F7C573"/>
    <w:rsid w:val="67F7DE01"/>
    <w:rsid w:val="67F80901"/>
    <w:rsid w:val="67F88279"/>
    <w:rsid w:val="67F8FE50"/>
    <w:rsid w:val="67F9BB26"/>
    <w:rsid w:val="67F9BB6C"/>
    <w:rsid w:val="68027714"/>
    <w:rsid w:val="6802B3DF"/>
    <w:rsid w:val="6804A6A8"/>
    <w:rsid w:val="680AF9A8"/>
    <w:rsid w:val="680AFFD7"/>
    <w:rsid w:val="680E9054"/>
    <w:rsid w:val="680E93AD"/>
    <w:rsid w:val="68127AC7"/>
    <w:rsid w:val="68293AB4"/>
    <w:rsid w:val="68350A43"/>
    <w:rsid w:val="6837A5F9"/>
    <w:rsid w:val="6840E082"/>
    <w:rsid w:val="684A7705"/>
    <w:rsid w:val="68503BA8"/>
    <w:rsid w:val="6850AF52"/>
    <w:rsid w:val="68528212"/>
    <w:rsid w:val="6854056F"/>
    <w:rsid w:val="6854A422"/>
    <w:rsid w:val="68641E61"/>
    <w:rsid w:val="686C95AB"/>
    <w:rsid w:val="686E0942"/>
    <w:rsid w:val="686E3E41"/>
    <w:rsid w:val="687584B1"/>
    <w:rsid w:val="68867478"/>
    <w:rsid w:val="68874E6E"/>
    <w:rsid w:val="688E4E6F"/>
    <w:rsid w:val="6893F29E"/>
    <w:rsid w:val="68991737"/>
    <w:rsid w:val="689B0D99"/>
    <w:rsid w:val="689D2A21"/>
    <w:rsid w:val="68A043D5"/>
    <w:rsid w:val="68A0CD03"/>
    <w:rsid w:val="68A36BF4"/>
    <w:rsid w:val="68A78E22"/>
    <w:rsid w:val="68A8150F"/>
    <w:rsid w:val="68AA1E21"/>
    <w:rsid w:val="68BF37AF"/>
    <w:rsid w:val="68C3952E"/>
    <w:rsid w:val="68CABA4D"/>
    <w:rsid w:val="68CFCB1B"/>
    <w:rsid w:val="68D12646"/>
    <w:rsid w:val="68D73352"/>
    <w:rsid w:val="68D7F11C"/>
    <w:rsid w:val="68E7ABAF"/>
    <w:rsid w:val="68ED2481"/>
    <w:rsid w:val="68EEA4B5"/>
    <w:rsid w:val="68F15D14"/>
    <w:rsid w:val="68F5F916"/>
    <w:rsid w:val="68F81C94"/>
    <w:rsid w:val="68FAA7D8"/>
    <w:rsid w:val="69025892"/>
    <w:rsid w:val="69072D5C"/>
    <w:rsid w:val="690B1CE2"/>
    <w:rsid w:val="690FDACD"/>
    <w:rsid w:val="6915211C"/>
    <w:rsid w:val="69176C38"/>
    <w:rsid w:val="691C5D0A"/>
    <w:rsid w:val="691F83A0"/>
    <w:rsid w:val="6923FE61"/>
    <w:rsid w:val="692749DF"/>
    <w:rsid w:val="692ACE60"/>
    <w:rsid w:val="692C9CAC"/>
    <w:rsid w:val="6937ECDE"/>
    <w:rsid w:val="693874E5"/>
    <w:rsid w:val="693F2FC8"/>
    <w:rsid w:val="69407D53"/>
    <w:rsid w:val="6942581F"/>
    <w:rsid w:val="69467A64"/>
    <w:rsid w:val="694BC2A0"/>
    <w:rsid w:val="694C9C2A"/>
    <w:rsid w:val="6953C8A6"/>
    <w:rsid w:val="696005FA"/>
    <w:rsid w:val="69631246"/>
    <w:rsid w:val="69634DAF"/>
    <w:rsid w:val="6963E877"/>
    <w:rsid w:val="69671049"/>
    <w:rsid w:val="6967AD41"/>
    <w:rsid w:val="696DD56B"/>
    <w:rsid w:val="696FB0F7"/>
    <w:rsid w:val="6974EAB4"/>
    <w:rsid w:val="697BBE00"/>
    <w:rsid w:val="6981FCE1"/>
    <w:rsid w:val="69862803"/>
    <w:rsid w:val="699A89F9"/>
    <w:rsid w:val="699D953A"/>
    <w:rsid w:val="699F4894"/>
    <w:rsid w:val="69A717D7"/>
    <w:rsid w:val="69A8CD10"/>
    <w:rsid w:val="69B32997"/>
    <w:rsid w:val="69B33E1E"/>
    <w:rsid w:val="69B4B7CB"/>
    <w:rsid w:val="69BFF306"/>
    <w:rsid w:val="69C451CC"/>
    <w:rsid w:val="69CCD9AD"/>
    <w:rsid w:val="69D0B8DB"/>
    <w:rsid w:val="69D79386"/>
    <w:rsid w:val="69D88FD9"/>
    <w:rsid w:val="69DB928F"/>
    <w:rsid w:val="69DE4C1C"/>
    <w:rsid w:val="69E106AF"/>
    <w:rsid w:val="69E95388"/>
    <w:rsid w:val="69EBE19D"/>
    <w:rsid w:val="69F3499E"/>
    <w:rsid w:val="69F64589"/>
    <w:rsid w:val="69F6D260"/>
    <w:rsid w:val="69FD3DF0"/>
    <w:rsid w:val="6A023773"/>
    <w:rsid w:val="6A028952"/>
    <w:rsid w:val="6A0E2D41"/>
    <w:rsid w:val="6A0F6EDE"/>
    <w:rsid w:val="6A1111B1"/>
    <w:rsid w:val="6A198E5D"/>
    <w:rsid w:val="6A1F1884"/>
    <w:rsid w:val="6A221A74"/>
    <w:rsid w:val="6A2A5245"/>
    <w:rsid w:val="6A2FBD63"/>
    <w:rsid w:val="6A3111FB"/>
    <w:rsid w:val="6A393E9E"/>
    <w:rsid w:val="6A3C0E77"/>
    <w:rsid w:val="6A3CAB2F"/>
    <w:rsid w:val="6A4123D8"/>
    <w:rsid w:val="6A47D309"/>
    <w:rsid w:val="6A4C4B46"/>
    <w:rsid w:val="6A5973A3"/>
    <w:rsid w:val="6A5D44D4"/>
    <w:rsid w:val="6A66BEDB"/>
    <w:rsid w:val="6A77FC1D"/>
    <w:rsid w:val="6A825655"/>
    <w:rsid w:val="6A8305B9"/>
    <w:rsid w:val="6A869528"/>
    <w:rsid w:val="6A898E87"/>
    <w:rsid w:val="6A94A491"/>
    <w:rsid w:val="6A9AD6D7"/>
    <w:rsid w:val="6AA14680"/>
    <w:rsid w:val="6AA26387"/>
    <w:rsid w:val="6AA2A9F1"/>
    <w:rsid w:val="6AA2C599"/>
    <w:rsid w:val="6AA455C5"/>
    <w:rsid w:val="6AA99877"/>
    <w:rsid w:val="6AAA30E9"/>
    <w:rsid w:val="6AAB26E8"/>
    <w:rsid w:val="6AABB555"/>
    <w:rsid w:val="6AB05AA7"/>
    <w:rsid w:val="6AB4D47D"/>
    <w:rsid w:val="6AB50551"/>
    <w:rsid w:val="6ABBABAF"/>
    <w:rsid w:val="6ABC5730"/>
    <w:rsid w:val="6ABD2C8B"/>
    <w:rsid w:val="6ABF2A78"/>
    <w:rsid w:val="6AC3DD6B"/>
    <w:rsid w:val="6AC6F222"/>
    <w:rsid w:val="6AC77BAC"/>
    <w:rsid w:val="6AC8B6A2"/>
    <w:rsid w:val="6ACD1C32"/>
    <w:rsid w:val="6AD01CD9"/>
    <w:rsid w:val="6ADA76D3"/>
    <w:rsid w:val="6ADBA7EE"/>
    <w:rsid w:val="6ADBA81B"/>
    <w:rsid w:val="6ADF0452"/>
    <w:rsid w:val="6ADF0B08"/>
    <w:rsid w:val="6AE022D8"/>
    <w:rsid w:val="6AE04CC8"/>
    <w:rsid w:val="6AE26546"/>
    <w:rsid w:val="6AEB9EEC"/>
    <w:rsid w:val="6AF6032F"/>
    <w:rsid w:val="6AFA8B17"/>
    <w:rsid w:val="6AFC857E"/>
    <w:rsid w:val="6B00D664"/>
    <w:rsid w:val="6B063B8A"/>
    <w:rsid w:val="6B069A6B"/>
    <w:rsid w:val="6B0CF45A"/>
    <w:rsid w:val="6B1474BB"/>
    <w:rsid w:val="6B14DA02"/>
    <w:rsid w:val="6B181528"/>
    <w:rsid w:val="6B1938DC"/>
    <w:rsid w:val="6B1ABAA5"/>
    <w:rsid w:val="6B1E0186"/>
    <w:rsid w:val="6B1E90E7"/>
    <w:rsid w:val="6B241F86"/>
    <w:rsid w:val="6B2FA576"/>
    <w:rsid w:val="6B339459"/>
    <w:rsid w:val="6B391880"/>
    <w:rsid w:val="6B3AE960"/>
    <w:rsid w:val="6B48EEB2"/>
    <w:rsid w:val="6B4F3033"/>
    <w:rsid w:val="6B51F2AB"/>
    <w:rsid w:val="6B558631"/>
    <w:rsid w:val="6B680F57"/>
    <w:rsid w:val="6B682420"/>
    <w:rsid w:val="6B6A67C6"/>
    <w:rsid w:val="6B6B7EE2"/>
    <w:rsid w:val="6B70CFEE"/>
    <w:rsid w:val="6B71BB94"/>
    <w:rsid w:val="6B78E36F"/>
    <w:rsid w:val="6B82D0B7"/>
    <w:rsid w:val="6B8B1CD7"/>
    <w:rsid w:val="6B8C6098"/>
    <w:rsid w:val="6B9CECEB"/>
    <w:rsid w:val="6B9EB4DE"/>
    <w:rsid w:val="6B9EF654"/>
    <w:rsid w:val="6BA54F4E"/>
    <w:rsid w:val="6BA6F6A7"/>
    <w:rsid w:val="6BAA4DDD"/>
    <w:rsid w:val="6BAADC62"/>
    <w:rsid w:val="6BABF665"/>
    <w:rsid w:val="6BB24225"/>
    <w:rsid w:val="6BB94664"/>
    <w:rsid w:val="6BBFBB1F"/>
    <w:rsid w:val="6BC211F3"/>
    <w:rsid w:val="6BC638CC"/>
    <w:rsid w:val="6BC9C120"/>
    <w:rsid w:val="6BCA7597"/>
    <w:rsid w:val="6BCD9F70"/>
    <w:rsid w:val="6BD04FCC"/>
    <w:rsid w:val="6BEA25C7"/>
    <w:rsid w:val="6BEF9002"/>
    <w:rsid w:val="6BF1476F"/>
    <w:rsid w:val="6BFB5A1C"/>
    <w:rsid w:val="6BFCB001"/>
    <w:rsid w:val="6C008C63"/>
    <w:rsid w:val="6C013C57"/>
    <w:rsid w:val="6C02D7DF"/>
    <w:rsid w:val="6C063462"/>
    <w:rsid w:val="6C0ADDD7"/>
    <w:rsid w:val="6C0DA792"/>
    <w:rsid w:val="6C1583A3"/>
    <w:rsid w:val="6C1B0FAC"/>
    <w:rsid w:val="6C1C1308"/>
    <w:rsid w:val="6C1ECC4E"/>
    <w:rsid w:val="6C1ECCA7"/>
    <w:rsid w:val="6C21A6CB"/>
    <w:rsid w:val="6C222030"/>
    <w:rsid w:val="6C24180E"/>
    <w:rsid w:val="6C253BBC"/>
    <w:rsid w:val="6C2C35FD"/>
    <w:rsid w:val="6C2D80D1"/>
    <w:rsid w:val="6C3FC588"/>
    <w:rsid w:val="6C40160D"/>
    <w:rsid w:val="6C422127"/>
    <w:rsid w:val="6C49D611"/>
    <w:rsid w:val="6C4F0E5B"/>
    <w:rsid w:val="6C4FF40F"/>
    <w:rsid w:val="6C5425AB"/>
    <w:rsid w:val="6C5A89F0"/>
    <w:rsid w:val="6C60A9E1"/>
    <w:rsid w:val="6C66A9A9"/>
    <w:rsid w:val="6C77EB99"/>
    <w:rsid w:val="6C83320D"/>
    <w:rsid w:val="6C85FE01"/>
    <w:rsid w:val="6C86251F"/>
    <w:rsid w:val="6C8AA91F"/>
    <w:rsid w:val="6C8E660C"/>
    <w:rsid w:val="6C902C82"/>
    <w:rsid w:val="6C93FBDF"/>
    <w:rsid w:val="6C993CBE"/>
    <w:rsid w:val="6C9A50FD"/>
    <w:rsid w:val="6C9B04B4"/>
    <w:rsid w:val="6CA0DBD5"/>
    <w:rsid w:val="6CA48EE3"/>
    <w:rsid w:val="6CB1E586"/>
    <w:rsid w:val="6CB8B7C9"/>
    <w:rsid w:val="6CB8E654"/>
    <w:rsid w:val="6CC10397"/>
    <w:rsid w:val="6CCFF4F5"/>
    <w:rsid w:val="6CD1850D"/>
    <w:rsid w:val="6CD81E4F"/>
    <w:rsid w:val="6CDB4F00"/>
    <w:rsid w:val="6CDE3E50"/>
    <w:rsid w:val="6CE19749"/>
    <w:rsid w:val="6CE9C445"/>
    <w:rsid w:val="6CEC467F"/>
    <w:rsid w:val="6CEE4B70"/>
    <w:rsid w:val="6CF0902A"/>
    <w:rsid w:val="6CF66D04"/>
    <w:rsid w:val="6CFDC588"/>
    <w:rsid w:val="6D00D86C"/>
    <w:rsid w:val="6D01D702"/>
    <w:rsid w:val="6D023AE2"/>
    <w:rsid w:val="6D037F91"/>
    <w:rsid w:val="6D1328A6"/>
    <w:rsid w:val="6D13E0DB"/>
    <w:rsid w:val="6D15D424"/>
    <w:rsid w:val="6D19BA1D"/>
    <w:rsid w:val="6D1F256C"/>
    <w:rsid w:val="6D288FCF"/>
    <w:rsid w:val="6D308EBB"/>
    <w:rsid w:val="6D3643F9"/>
    <w:rsid w:val="6D3A70E9"/>
    <w:rsid w:val="6D3BB9BE"/>
    <w:rsid w:val="6D3CC601"/>
    <w:rsid w:val="6D3F53D9"/>
    <w:rsid w:val="6D4CF901"/>
    <w:rsid w:val="6D4D7212"/>
    <w:rsid w:val="6D53C859"/>
    <w:rsid w:val="6D57F996"/>
    <w:rsid w:val="6D5A1BF6"/>
    <w:rsid w:val="6D613465"/>
    <w:rsid w:val="6D62F7DC"/>
    <w:rsid w:val="6D69DFA6"/>
    <w:rsid w:val="6D6B4D3E"/>
    <w:rsid w:val="6D6DD187"/>
    <w:rsid w:val="6D72DDC8"/>
    <w:rsid w:val="6D77B48F"/>
    <w:rsid w:val="6D7A29F1"/>
    <w:rsid w:val="6D81F231"/>
    <w:rsid w:val="6D84A08F"/>
    <w:rsid w:val="6D86A63D"/>
    <w:rsid w:val="6D89DB97"/>
    <w:rsid w:val="6D8B779E"/>
    <w:rsid w:val="6D8CD095"/>
    <w:rsid w:val="6D96CFE7"/>
    <w:rsid w:val="6D996C3D"/>
    <w:rsid w:val="6DA4C160"/>
    <w:rsid w:val="6DA65480"/>
    <w:rsid w:val="6DB72A55"/>
    <w:rsid w:val="6DB8202E"/>
    <w:rsid w:val="6DBA4735"/>
    <w:rsid w:val="6DC0AD01"/>
    <w:rsid w:val="6DC2C751"/>
    <w:rsid w:val="6DC4E011"/>
    <w:rsid w:val="6DC532BB"/>
    <w:rsid w:val="6DC595A5"/>
    <w:rsid w:val="6DCD05A5"/>
    <w:rsid w:val="6DCF1E7F"/>
    <w:rsid w:val="6DD84805"/>
    <w:rsid w:val="6DD9DEAB"/>
    <w:rsid w:val="6DDA41EB"/>
    <w:rsid w:val="6DF06632"/>
    <w:rsid w:val="6DF520F2"/>
    <w:rsid w:val="6DFD6A37"/>
    <w:rsid w:val="6E010373"/>
    <w:rsid w:val="6E03ED91"/>
    <w:rsid w:val="6E045AE3"/>
    <w:rsid w:val="6E065EE3"/>
    <w:rsid w:val="6E07F6BF"/>
    <w:rsid w:val="6E09B62A"/>
    <w:rsid w:val="6E0BD8F6"/>
    <w:rsid w:val="6E139782"/>
    <w:rsid w:val="6E169B73"/>
    <w:rsid w:val="6E18134D"/>
    <w:rsid w:val="6E1AB7E2"/>
    <w:rsid w:val="6E22F8C8"/>
    <w:rsid w:val="6E22FDEC"/>
    <w:rsid w:val="6E2728E2"/>
    <w:rsid w:val="6E2826A6"/>
    <w:rsid w:val="6E29A918"/>
    <w:rsid w:val="6E2CC350"/>
    <w:rsid w:val="6E35EC10"/>
    <w:rsid w:val="6E3A22DB"/>
    <w:rsid w:val="6E413505"/>
    <w:rsid w:val="6E447723"/>
    <w:rsid w:val="6E4C21F2"/>
    <w:rsid w:val="6E4C2230"/>
    <w:rsid w:val="6E4EA33B"/>
    <w:rsid w:val="6E4F2E8B"/>
    <w:rsid w:val="6E5B1078"/>
    <w:rsid w:val="6E5B257B"/>
    <w:rsid w:val="6E5C8BD1"/>
    <w:rsid w:val="6E694B6C"/>
    <w:rsid w:val="6E735E36"/>
    <w:rsid w:val="6E752E0F"/>
    <w:rsid w:val="6E777495"/>
    <w:rsid w:val="6E79011C"/>
    <w:rsid w:val="6E7EA640"/>
    <w:rsid w:val="6E7F2CCE"/>
    <w:rsid w:val="6E85576F"/>
    <w:rsid w:val="6E87268F"/>
    <w:rsid w:val="6E8950E7"/>
    <w:rsid w:val="6E9031F1"/>
    <w:rsid w:val="6E94E673"/>
    <w:rsid w:val="6E992CB0"/>
    <w:rsid w:val="6E9C531F"/>
    <w:rsid w:val="6EAB5AD5"/>
    <w:rsid w:val="6EABAFAA"/>
    <w:rsid w:val="6EAF4F56"/>
    <w:rsid w:val="6EAFA7A4"/>
    <w:rsid w:val="6EB06855"/>
    <w:rsid w:val="6EB8353D"/>
    <w:rsid w:val="6EBB3E8E"/>
    <w:rsid w:val="6EBD4443"/>
    <w:rsid w:val="6EBD69FC"/>
    <w:rsid w:val="6EBE885A"/>
    <w:rsid w:val="6EC16411"/>
    <w:rsid w:val="6EC67B8F"/>
    <w:rsid w:val="6EC701AB"/>
    <w:rsid w:val="6EC71807"/>
    <w:rsid w:val="6ECCB44F"/>
    <w:rsid w:val="6ECCE32F"/>
    <w:rsid w:val="6ECD8117"/>
    <w:rsid w:val="6ECEFBEE"/>
    <w:rsid w:val="6EDCF681"/>
    <w:rsid w:val="6EDD6AA1"/>
    <w:rsid w:val="6EDDECE4"/>
    <w:rsid w:val="6EE2BBE7"/>
    <w:rsid w:val="6EE46A55"/>
    <w:rsid w:val="6EE77640"/>
    <w:rsid w:val="6EE7CE7F"/>
    <w:rsid w:val="6EE8E968"/>
    <w:rsid w:val="6EECBBEE"/>
    <w:rsid w:val="6EEE44D9"/>
    <w:rsid w:val="6EF5C067"/>
    <w:rsid w:val="6EF5C784"/>
    <w:rsid w:val="6EF81745"/>
    <w:rsid w:val="6EFD4F2B"/>
    <w:rsid w:val="6F033B49"/>
    <w:rsid w:val="6F05888A"/>
    <w:rsid w:val="6F0FF761"/>
    <w:rsid w:val="6F12BF94"/>
    <w:rsid w:val="6F138BD3"/>
    <w:rsid w:val="6F172B5B"/>
    <w:rsid w:val="6F182543"/>
    <w:rsid w:val="6F1CF770"/>
    <w:rsid w:val="6F1F4C46"/>
    <w:rsid w:val="6F20CFE1"/>
    <w:rsid w:val="6F20F025"/>
    <w:rsid w:val="6F26AAC2"/>
    <w:rsid w:val="6F2FCA9B"/>
    <w:rsid w:val="6F3885E5"/>
    <w:rsid w:val="6F3F65D6"/>
    <w:rsid w:val="6F41694D"/>
    <w:rsid w:val="6F440EE8"/>
    <w:rsid w:val="6F44FC52"/>
    <w:rsid w:val="6F4AE28D"/>
    <w:rsid w:val="6F4D1138"/>
    <w:rsid w:val="6F519532"/>
    <w:rsid w:val="6F55F5F2"/>
    <w:rsid w:val="6F598BFD"/>
    <w:rsid w:val="6F5CF07B"/>
    <w:rsid w:val="6F5D26DB"/>
    <w:rsid w:val="6F64C125"/>
    <w:rsid w:val="6F68AD3A"/>
    <w:rsid w:val="6F7451B3"/>
    <w:rsid w:val="6F76778F"/>
    <w:rsid w:val="6F7846DE"/>
    <w:rsid w:val="6F7DCA33"/>
    <w:rsid w:val="6F7FE402"/>
    <w:rsid w:val="6F88058A"/>
    <w:rsid w:val="6F88EF08"/>
    <w:rsid w:val="6F899E2A"/>
    <w:rsid w:val="6F8E5AB5"/>
    <w:rsid w:val="6F938715"/>
    <w:rsid w:val="6F97621A"/>
    <w:rsid w:val="6F97B335"/>
    <w:rsid w:val="6F9C76CD"/>
    <w:rsid w:val="6F9EACCB"/>
    <w:rsid w:val="6FA539D2"/>
    <w:rsid w:val="6FA6DA5A"/>
    <w:rsid w:val="6FB22ED9"/>
    <w:rsid w:val="6FB43E5B"/>
    <w:rsid w:val="6FB814D5"/>
    <w:rsid w:val="6FB934F9"/>
    <w:rsid w:val="6FBDE54F"/>
    <w:rsid w:val="6FBEE97C"/>
    <w:rsid w:val="6FBFD0F2"/>
    <w:rsid w:val="6FC4CA47"/>
    <w:rsid w:val="6FC4E5B2"/>
    <w:rsid w:val="6FC6DBB2"/>
    <w:rsid w:val="6FCAB311"/>
    <w:rsid w:val="6FCB7DB9"/>
    <w:rsid w:val="6FCDD9DE"/>
    <w:rsid w:val="6FD3496A"/>
    <w:rsid w:val="6FD427CC"/>
    <w:rsid w:val="6FD5FC17"/>
    <w:rsid w:val="6FD7A141"/>
    <w:rsid w:val="6FDA5C83"/>
    <w:rsid w:val="6FDEA57E"/>
    <w:rsid w:val="6FE1B74C"/>
    <w:rsid w:val="6FE4EEA1"/>
    <w:rsid w:val="6FE53F34"/>
    <w:rsid w:val="6FE66175"/>
    <w:rsid w:val="6FE7D65F"/>
    <w:rsid w:val="6FEFF3E4"/>
    <w:rsid w:val="6FF6528F"/>
    <w:rsid w:val="702070F2"/>
    <w:rsid w:val="70236CE6"/>
    <w:rsid w:val="7024C012"/>
    <w:rsid w:val="7029CF54"/>
    <w:rsid w:val="7030BD85"/>
    <w:rsid w:val="7032FBD8"/>
    <w:rsid w:val="7044DA94"/>
    <w:rsid w:val="7045A47B"/>
    <w:rsid w:val="7046B220"/>
    <w:rsid w:val="704DA8F2"/>
    <w:rsid w:val="7050B896"/>
    <w:rsid w:val="705711DE"/>
    <w:rsid w:val="70696B34"/>
    <w:rsid w:val="706B21EF"/>
    <w:rsid w:val="7070D09C"/>
    <w:rsid w:val="7071AFFE"/>
    <w:rsid w:val="7072F9C4"/>
    <w:rsid w:val="707483D7"/>
    <w:rsid w:val="707DD008"/>
    <w:rsid w:val="7081D16C"/>
    <w:rsid w:val="7086A85E"/>
    <w:rsid w:val="7086C2F0"/>
    <w:rsid w:val="709A55A9"/>
    <w:rsid w:val="709D4489"/>
    <w:rsid w:val="709F248F"/>
    <w:rsid w:val="70A1C7B6"/>
    <w:rsid w:val="70A59798"/>
    <w:rsid w:val="70A9695D"/>
    <w:rsid w:val="70B25B65"/>
    <w:rsid w:val="70B3725A"/>
    <w:rsid w:val="70B478E1"/>
    <w:rsid w:val="70B70278"/>
    <w:rsid w:val="70B78A74"/>
    <w:rsid w:val="70C08C5B"/>
    <w:rsid w:val="70C1EE1E"/>
    <w:rsid w:val="70C2ED09"/>
    <w:rsid w:val="70C5F5F7"/>
    <w:rsid w:val="70C89898"/>
    <w:rsid w:val="70CF655C"/>
    <w:rsid w:val="70D3F35B"/>
    <w:rsid w:val="70E33388"/>
    <w:rsid w:val="70E51404"/>
    <w:rsid w:val="70EF5F5C"/>
    <w:rsid w:val="70F23E90"/>
    <w:rsid w:val="70F6A3CF"/>
    <w:rsid w:val="70F7379B"/>
    <w:rsid w:val="70F9C319"/>
    <w:rsid w:val="70FB46F4"/>
    <w:rsid w:val="70FD256C"/>
    <w:rsid w:val="7102E715"/>
    <w:rsid w:val="7104769D"/>
    <w:rsid w:val="7104B5F1"/>
    <w:rsid w:val="710DFB5E"/>
    <w:rsid w:val="710F97DB"/>
    <w:rsid w:val="7118E3EE"/>
    <w:rsid w:val="711E39CD"/>
    <w:rsid w:val="7122D8E7"/>
    <w:rsid w:val="7122F0FD"/>
    <w:rsid w:val="712A4747"/>
    <w:rsid w:val="712A6C2F"/>
    <w:rsid w:val="713476B9"/>
    <w:rsid w:val="71359304"/>
    <w:rsid w:val="7137ED1F"/>
    <w:rsid w:val="7138B5EA"/>
    <w:rsid w:val="714040AF"/>
    <w:rsid w:val="7147739C"/>
    <w:rsid w:val="714D2D02"/>
    <w:rsid w:val="7151F005"/>
    <w:rsid w:val="71589035"/>
    <w:rsid w:val="715DB0E3"/>
    <w:rsid w:val="715DBA68"/>
    <w:rsid w:val="715F9305"/>
    <w:rsid w:val="715FC431"/>
    <w:rsid w:val="7162B90A"/>
    <w:rsid w:val="7164D645"/>
    <w:rsid w:val="717EFF76"/>
    <w:rsid w:val="7181B448"/>
    <w:rsid w:val="7184A1C4"/>
    <w:rsid w:val="718531C7"/>
    <w:rsid w:val="7185F563"/>
    <w:rsid w:val="719A610E"/>
    <w:rsid w:val="719C0C8A"/>
    <w:rsid w:val="71A77BCB"/>
    <w:rsid w:val="71AE6BB8"/>
    <w:rsid w:val="71B27FB5"/>
    <w:rsid w:val="71B5F872"/>
    <w:rsid w:val="71C384E9"/>
    <w:rsid w:val="71C96E9E"/>
    <w:rsid w:val="71D3ECCD"/>
    <w:rsid w:val="71DC66D0"/>
    <w:rsid w:val="71DE9E42"/>
    <w:rsid w:val="71E5A71F"/>
    <w:rsid w:val="71E766F0"/>
    <w:rsid w:val="71EA1EF3"/>
    <w:rsid w:val="71ECC047"/>
    <w:rsid w:val="71EF9FD0"/>
    <w:rsid w:val="71F5B281"/>
    <w:rsid w:val="720926CD"/>
    <w:rsid w:val="720C81C8"/>
    <w:rsid w:val="72121A96"/>
    <w:rsid w:val="7213D2C5"/>
    <w:rsid w:val="721709D8"/>
    <w:rsid w:val="7217DDAD"/>
    <w:rsid w:val="7229A052"/>
    <w:rsid w:val="722F4694"/>
    <w:rsid w:val="7234681F"/>
    <w:rsid w:val="723CCB2C"/>
    <w:rsid w:val="7243B3BF"/>
    <w:rsid w:val="7247CDCC"/>
    <w:rsid w:val="724FF8AD"/>
    <w:rsid w:val="7251E557"/>
    <w:rsid w:val="72543CD5"/>
    <w:rsid w:val="725AA432"/>
    <w:rsid w:val="725C07E7"/>
    <w:rsid w:val="72608E3F"/>
    <w:rsid w:val="72656A0E"/>
    <w:rsid w:val="726637C7"/>
    <w:rsid w:val="726905E2"/>
    <w:rsid w:val="726E075A"/>
    <w:rsid w:val="7272869A"/>
    <w:rsid w:val="727286EC"/>
    <w:rsid w:val="72730ECC"/>
    <w:rsid w:val="727509FC"/>
    <w:rsid w:val="727AA374"/>
    <w:rsid w:val="727DF7B8"/>
    <w:rsid w:val="72865A31"/>
    <w:rsid w:val="728904C4"/>
    <w:rsid w:val="728B32EE"/>
    <w:rsid w:val="728B34C7"/>
    <w:rsid w:val="728CB2E6"/>
    <w:rsid w:val="72904078"/>
    <w:rsid w:val="72984B31"/>
    <w:rsid w:val="72AD8692"/>
    <w:rsid w:val="72B35114"/>
    <w:rsid w:val="72B5A045"/>
    <w:rsid w:val="72BA0758"/>
    <w:rsid w:val="72BE60D7"/>
    <w:rsid w:val="72C35CD3"/>
    <w:rsid w:val="72C4CC51"/>
    <w:rsid w:val="72C76D87"/>
    <w:rsid w:val="72CD9DE4"/>
    <w:rsid w:val="72CE44F5"/>
    <w:rsid w:val="72D15ED5"/>
    <w:rsid w:val="72D30C13"/>
    <w:rsid w:val="72D3977B"/>
    <w:rsid w:val="72D6C422"/>
    <w:rsid w:val="72DA0C9D"/>
    <w:rsid w:val="72DD274D"/>
    <w:rsid w:val="72DF0E5D"/>
    <w:rsid w:val="72E3B6AE"/>
    <w:rsid w:val="72E96B03"/>
    <w:rsid w:val="72E98A5B"/>
    <w:rsid w:val="72F087B9"/>
    <w:rsid w:val="72F55F97"/>
    <w:rsid w:val="72F5B245"/>
    <w:rsid w:val="72F6C2F4"/>
    <w:rsid w:val="7303AA5E"/>
    <w:rsid w:val="73052D48"/>
    <w:rsid w:val="73109B68"/>
    <w:rsid w:val="731E5E4D"/>
    <w:rsid w:val="7321AB0B"/>
    <w:rsid w:val="7321E9AC"/>
    <w:rsid w:val="7322CA5A"/>
    <w:rsid w:val="732A1E10"/>
    <w:rsid w:val="732F33CA"/>
    <w:rsid w:val="73310374"/>
    <w:rsid w:val="733F5F33"/>
    <w:rsid w:val="733F7F5A"/>
    <w:rsid w:val="73421E9C"/>
    <w:rsid w:val="734AC8FF"/>
    <w:rsid w:val="734AC9AB"/>
    <w:rsid w:val="734B28EC"/>
    <w:rsid w:val="73536E67"/>
    <w:rsid w:val="735696D1"/>
    <w:rsid w:val="7357A944"/>
    <w:rsid w:val="73589DE3"/>
    <w:rsid w:val="735D0690"/>
    <w:rsid w:val="7363461F"/>
    <w:rsid w:val="736BD56C"/>
    <w:rsid w:val="737CFB80"/>
    <w:rsid w:val="7381ED4D"/>
    <w:rsid w:val="738B25F7"/>
    <w:rsid w:val="738EE561"/>
    <w:rsid w:val="7395EDE5"/>
    <w:rsid w:val="7399B2E7"/>
    <w:rsid w:val="739CDA85"/>
    <w:rsid w:val="73A71F9A"/>
    <w:rsid w:val="73A934E4"/>
    <w:rsid w:val="73ABD0A2"/>
    <w:rsid w:val="73B0E3E7"/>
    <w:rsid w:val="73B76A32"/>
    <w:rsid w:val="73B9B2FA"/>
    <w:rsid w:val="73BA0AFF"/>
    <w:rsid w:val="73BAA92C"/>
    <w:rsid w:val="73BC5418"/>
    <w:rsid w:val="73C83EA3"/>
    <w:rsid w:val="73CA3802"/>
    <w:rsid w:val="73CE7C4D"/>
    <w:rsid w:val="73D2F4A2"/>
    <w:rsid w:val="73DA8E9D"/>
    <w:rsid w:val="73E4F1E6"/>
    <w:rsid w:val="73E6D804"/>
    <w:rsid w:val="73EE9367"/>
    <w:rsid w:val="73F3F73F"/>
    <w:rsid w:val="73F4BD87"/>
    <w:rsid w:val="73FD90D0"/>
    <w:rsid w:val="740535CC"/>
    <w:rsid w:val="74066538"/>
    <w:rsid w:val="74088D36"/>
    <w:rsid w:val="7415752B"/>
    <w:rsid w:val="741CD57E"/>
    <w:rsid w:val="741FC42D"/>
    <w:rsid w:val="74216A5D"/>
    <w:rsid w:val="74232D43"/>
    <w:rsid w:val="742418DF"/>
    <w:rsid w:val="74288347"/>
    <w:rsid w:val="7429DD92"/>
    <w:rsid w:val="74304284"/>
    <w:rsid w:val="7431A094"/>
    <w:rsid w:val="74320EF6"/>
    <w:rsid w:val="7435C6B2"/>
    <w:rsid w:val="743CFB3C"/>
    <w:rsid w:val="744142C7"/>
    <w:rsid w:val="74430D20"/>
    <w:rsid w:val="744F3213"/>
    <w:rsid w:val="7456F95A"/>
    <w:rsid w:val="745AF844"/>
    <w:rsid w:val="745B106F"/>
    <w:rsid w:val="74672E37"/>
    <w:rsid w:val="74702045"/>
    <w:rsid w:val="74722F9C"/>
    <w:rsid w:val="74727F27"/>
    <w:rsid w:val="74750610"/>
    <w:rsid w:val="7479E8C2"/>
    <w:rsid w:val="7479EE91"/>
    <w:rsid w:val="747F374B"/>
    <w:rsid w:val="7480736B"/>
    <w:rsid w:val="74815E4C"/>
    <w:rsid w:val="748BB778"/>
    <w:rsid w:val="748CE7B7"/>
    <w:rsid w:val="748D06D1"/>
    <w:rsid w:val="74948285"/>
    <w:rsid w:val="7495718A"/>
    <w:rsid w:val="749A41F6"/>
    <w:rsid w:val="749B2617"/>
    <w:rsid w:val="749FC3CF"/>
    <w:rsid w:val="749FDECD"/>
    <w:rsid w:val="74ADAAC6"/>
    <w:rsid w:val="74B59620"/>
    <w:rsid w:val="74B6CD56"/>
    <w:rsid w:val="74B99D42"/>
    <w:rsid w:val="74B99D85"/>
    <w:rsid w:val="74C177AB"/>
    <w:rsid w:val="74C38EA0"/>
    <w:rsid w:val="74C4CF59"/>
    <w:rsid w:val="74CD07EB"/>
    <w:rsid w:val="74DE1E39"/>
    <w:rsid w:val="74E0E6AC"/>
    <w:rsid w:val="74E14F3A"/>
    <w:rsid w:val="74E94425"/>
    <w:rsid w:val="74EC1ADD"/>
    <w:rsid w:val="74F077C3"/>
    <w:rsid w:val="74F69BA0"/>
    <w:rsid w:val="74FE2F0E"/>
    <w:rsid w:val="75043CB6"/>
    <w:rsid w:val="7514641A"/>
    <w:rsid w:val="75146CF1"/>
    <w:rsid w:val="751527C6"/>
    <w:rsid w:val="7517C72C"/>
    <w:rsid w:val="7517F1D3"/>
    <w:rsid w:val="7519CE8C"/>
    <w:rsid w:val="751F040D"/>
    <w:rsid w:val="752156EA"/>
    <w:rsid w:val="7526F58D"/>
    <w:rsid w:val="75271DEC"/>
    <w:rsid w:val="752A8548"/>
    <w:rsid w:val="752AA74A"/>
    <w:rsid w:val="7540CCE0"/>
    <w:rsid w:val="7541EB81"/>
    <w:rsid w:val="75436F54"/>
    <w:rsid w:val="75441A73"/>
    <w:rsid w:val="754F000E"/>
    <w:rsid w:val="754F4B25"/>
    <w:rsid w:val="7554FEC3"/>
    <w:rsid w:val="7557AA79"/>
    <w:rsid w:val="755B3D49"/>
    <w:rsid w:val="755FFFB3"/>
    <w:rsid w:val="756407EA"/>
    <w:rsid w:val="756F110B"/>
    <w:rsid w:val="75786CA4"/>
    <w:rsid w:val="757B5A22"/>
    <w:rsid w:val="757D3047"/>
    <w:rsid w:val="75800D0A"/>
    <w:rsid w:val="7584C15E"/>
    <w:rsid w:val="758759DF"/>
    <w:rsid w:val="7588067E"/>
    <w:rsid w:val="7597DF9A"/>
    <w:rsid w:val="759F1B85"/>
    <w:rsid w:val="75A07662"/>
    <w:rsid w:val="75B22D61"/>
    <w:rsid w:val="75B2CB41"/>
    <w:rsid w:val="75B5B3D1"/>
    <w:rsid w:val="75BAC330"/>
    <w:rsid w:val="75BB0B9A"/>
    <w:rsid w:val="75C0C47C"/>
    <w:rsid w:val="75C3F7A6"/>
    <w:rsid w:val="75C4496A"/>
    <w:rsid w:val="75D18E21"/>
    <w:rsid w:val="75D4C392"/>
    <w:rsid w:val="75E2D80C"/>
    <w:rsid w:val="75E41E2E"/>
    <w:rsid w:val="7601A4C8"/>
    <w:rsid w:val="76075FAA"/>
    <w:rsid w:val="760B0CE2"/>
    <w:rsid w:val="761426A1"/>
    <w:rsid w:val="7614C80F"/>
    <w:rsid w:val="761920DA"/>
    <w:rsid w:val="761D1606"/>
    <w:rsid w:val="7620CB4F"/>
    <w:rsid w:val="7620EA15"/>
    <w:rsid w:val="76256A46"/>
    <w:rsid w:val="7628497F"/>
    <w:rsid w:val="762942E8"/>
    <w:rsid w:val="762B1D7C"/>
    <w:rsid w:val="762F3924"/>
    <w:rsid w:val="76398185"/>
    <w:rsid w:val="763C1CE9"/>
    <w:rsid w:val="763E4702"/>
    <w:rsid w:val="763EE6E4"/>
    <w:rsid w:val="764584B6"/>
    <w:rsid w:val="7645E650"/>
    <w:rsid w:val="765007F5"/>
    <w:rsid w:val="76530744"/>
    <w:rsid w:val="7657DF36"/>
    <w:rsid w:val="7659F7FD"/>
    <w:rsid w:val="765A6914"/>
    <w:rsid w:val="765FE9D9"/>
    <w:rsid w:val="766A8ED4"/>
    <w:rsid w:val="766D9956"/>
    <w:rsid w:val="766E7A89"/>
    <w:rsid w:val="7674737A"/>
    <w:rsid w:val="7674C249"/>
    <w:rsid w:val="767873F7"/>
    <w:rsid w:val="76797F1B"/>
    <w:rsid w:val="7685CD6D"/>
    <w:rsid w:val="76905917"/>
    <w:rsid w:val="769077AB"/>
    <w:rsid w:val="769526D8"/>
    <w:rsid w:val="76A22650"/>
    <w:rsid w:val="76A39469"/>
    <w:rsid w:val="76ABC414"/>
    <w:rsid w:val="76B39BE8"/>
    <w:rsid w:val="76B5E0DB"/>
    <w:rsid w:val="76BBF2C4"/>
    <w:rsid w:val="76C63F1D"/>
    <w:rsid w:val="76D1479D"/>
    <w:rsid w:val="76D9D780"/>
    <w:rsid w:val="76EDFE33"/>
    <w:rsid w:val="76EECB5A"/>
    <w:rsid w:val="76EFB0EC"/>
    <w:rsid w:val="76F4F9C5"/>
    <w:rsid w:val="76F7A00F"/>
    <w:rsid w:val="76F90151"/>
    <w:rsid w:val="77012780"/>
    <w:rsid w:val="7709426E"/>
    <w:rsid w:val="770CAB66"/>
    <w:rsid w:val="7713210C"/>
    <w:rsid w:val="77170606"/>
    <w:rsid w:val="771A0FD0"/>
    <w:rsid w:val="771E8D86"/>
    <w:rsid w:val="7723AF74"/>
    <w:rsid w:val="772A82E2"/>
    <w:rsid w:val="772D2CB3"/>
    <w:rsid w:val="773B2D18"/>
    <w:rsid w:val="774009DD"/>
    <w:rsid w:val="7741BACA"/>
    <w:rsid w:val="7742735E"/>
    <w:rsid w:val="77436FF8"/>
    <w:rsid w:val="7747F161"/>
    <w:rsid w:val="7748297C"/>
    <w:rsid w:val="774AA0AD"/>
    <w:rsid w:val="774ACD08"/>
    <w:rsid w:val="774E7A9F"/>
    <w:rsid w:val="775144B4"/>
    <w:rsid w:val="77530A6D"/>
    <w:rsid w:val="7753951E"/>
    <w:rsid w:val="77543B6C"/>
    <w:rsid w:val="77657637"/>
    <w:rsid w:val="7765DED8"/>
    <w:rsid w:val="7767FDE8"/>
    <w:rsid w:val="776D5190"/>
    <w:rsid w:val="777159BC"/>
    <w:rsid w:val="7776FCD9"/>
    <w:rsid w:val="7781D7DF"/>
    <w:rsid w:val="778B5CA9"/>
    <w:rsid w:val="77915944"/>
    <w:rsid w:val="7799101D"/>
    <w:rsid w:val="779E0C47"/>
    <w:rsid w:val="779FA7EF"/>
    <w:rsid w:val="779FF02C"/>
    <w:rsid w:val="77A002E5"/>
    <w:rsid w:val="77A12A1F"/>
    <w:rsid w:val="77A7089E"/>
    <w:rsid w:val="77A75959"/>
    <w:rsid w:val="77B10AB9"/>
    <w:rsid w:val="77B85761"/>
    <w:rsid w:val="77BA18C5"/>
    <w:rsid w:val="77BCDCDE"/>
    <w:rsid w:val="77BED63F"/>
    <w:rsid w:val="77CD54A4"/>
    <w:rsid w:val="77CEEEEE"/>
    <w:rsid w:val="77D3BF30"/>
    <w:rsid w:val="77DB5662"/>
    <w:rsid w:val="77DB9112"/>
    <w:rsid w:val="77E15EB7"/>
    <w:rsid w:val="77E1B22B"/>
    <w:rsid w:val="77E34C2A"/>
    <w:rsid w:val="77E6296A"/>
    <w:rsid w:val="77F17ECE"/>
    <w:rsid w:val="7800DC62"/>
    <w:rsid w:val="7810E834"/>
    <w:rsid w:val="7817E422"/>
    <w:rsid w:val="781A858B"/>
    <w:rsid w:val="781CF69E"/>
    <w:rsid w:val="78243DA8"/>
    <w:rsid w:val="782D69CF"/>
    <w:rsid w:val="782E7894"/>
    <w:rsid w:val="78379457"/>
    <w:rsid w:val="783F1389"/>
    <w:rsid w:val="783F3C26"/>
    <w:rsid w:val="783FE878"/>
    <w:rsid w:val="7842E225"/>
    <w:rsid w:val="784BE187"/>
    <w:rsid w:val="784CAF36"/>
    <w:rsid w:val="784CC7DC"/>
    <w:rsid w:val="7854F2E8"/>
    <w:rsid w:val="785DF94C"/>
    <w:rsid w:val="785F2C77"/>
    <w:rsid w:val="7863F30B"/>
    <w:rsid w:val="78644733"/>
    <w:rsid w:val="786493F4"/>
    <w:rsid w:val="7868FBC8"/>
    <w:rsid w:val="7875DBE0"/>
    <w:rsid w:val="787FBF2A"/>
    <w:rsid w:val="78813527"/>
    <w:rsid w:val="788730CC"/>
    <w:rsid w:val="78874C08"/>
    <w:rsid w:val="78877BD6"/>
    <w:rsid w:val="7889982E"/>
    <w:rsid w:val="788AFF3C"/>
    <w:rsid w:val="788F5992"/>
    <w:rsid w:val="788FB89C"/>
    <w:rsid w:val="7897AD55"/>
    <w:rsid w:val="78980DD5"/>
    <w:rsid w:val="789CEDC3"/>
    <w:rsid w:val="78A05662"/>
    <w:rsid w:val="78A7162E"/>
    <w:rsid w:val="78A84B12"/>
    <w:rsid w:val="78AF233E"/>
    <w:rsid w:val="78B642FD"/>
    <w:rsid w:val="78B6C5C4"/>
    <w:rsid w:val="78B7CA02"/>
    <w:rsid w:val="78BC70FE"/>
    <w:rsid w:val="78BED637"/>
    <w:rsid w:val="78C62813"/>
    <w:rsid w:val="78C775BA"/>
    <w:rsid w:val="78CA894F"/>
    <w:rsid w:val="78CCFD18"/>
    <w:rsid w:val="78CDADD4"/>
    <w:rsid w:val="78CFEB7F"/>
    <w:rsid w:val="78D02E95"/>
    <w:rsid w:val="78D793D3"/>
    <w:rsid w:val="78D99F5C"/>
    <w:rsid w:val="78DB92F8"/>
    <w:rsid w:val="78E478FE"/>
    <w:rsid w:val="78E4A830"/>
    <w:rsid w:val="78E55B8E"/>
    <w:rsid w:val="78E75138"/>
    <w:rsid w:val="78E77D76"/>
    <w:rsid w:val="78EAB993"/>
    <w:rsid w:val="78EE5E69"/>
    <w:rsid w:val="78F0F2E1"/>
    <w:rsid w:val="78F467ED"/>
    <w:rsid w:val="78FA6519"/>
    <w:rsid w:val="78FB61F8"/>
    <w:rsid w:val="78FC4DBD"/>
    <w:rsid w:val="78FE85C6"/>
    <w:rsid w:val="78FE87E6"/>
    <w:rsid w:val="790C16FF"/>
    <w:rsid w:val="7912D86E"/>
    <w:rsid w:val="791647B6"/>
    <w:rsid w:val="79190FB4"/>
    <w:rsid w:val="791D2A92"/>
    <w:rsid w:val="791FB95B"/>
    <w:rsid w:val="79236AEE"/>
    <w:rsid w:val="7927D2AC"/>
    <w:rsid w:val="79382EBD"/>
    <w:rsid w:val="79394AA7"/>
    <w:rsid w:val="79395B6D"/>
    <w:rsid w:val="7939B52B"/>
    <w:rsid w:val="7939CCB3"/>
    <w:rsid w:val="794160AA"/>
    <w:rsid w:val="79445ADF"/>
    <w:rsid w:val="79481CA6"/>
    <w:rsid w:val="7949D2E9"/>
    <w:rsid w:val="794A7659"/>
    <w:rsid w:val="795293C6"/>
    <w:rsid w:val="7953ADC3"/>
    <w:rsid w:val="79565B02"/>
    <w:rsid w:val="79591D5B"/>
    <w:rsid w:val="795FD70E"/>
    <w:rsid w:val="7961963C"/>
    <w:rsid w:val="796AAE9B"/>
    <w:rsid w:val="79726E9D"/>
    <w:rsid w:val="797421E2"/>
    <w:rsid w:val="7974B1C1"/>
    <w:rsid w:val="7976413F"/>
    <w:rsid w:val="797B01F0"/>
    <w:rsid w:val="797B93D1"/>
    <w:rsid w:val="797C88DB"/>
    <w:rsid w:val="79821EC7"/>
    <w:rsid w:val="7984F76B"/>
    <w:rsid w:val="798B915C"/>
    <w:rsid w:val="799817C1"/>
    <w:rsid w:val="79A1C2CF"/>
    <w:rsid w:val="79A6B305"/>
    <w:rsid w:val="79A7AF6B"/>
    <w:rsid w:val="79AAD6D5"/>
    <w:rsid w:val="79AE80FB"/>
    <w:rsid w:val="79AE999B"/>
    <w:rsid w:val="79B6156E"/>
    <w:rsid w:val="79BEB828"/>
    <w:rsid w:val="79CBF32D"/>
    <w:rsid w:val="79D71124"/>
    <w:rsid w:val="79DB0380"/>
    <w:rsid w:val="79DD2282"/>
    <w:rsid w:val="79DF01CA"/>
    <w:rsid w:val="79DFEB99"/>
    <w:rsid w:val="79E018A4"/>
    <w:rsid w:val="79E13880"/>
    <w:rsid w:val="79EA4569"/>
    <w:rsid w:val="79F1AA1D"/>
    <w:rsid w:val="79F574C1"/>
    <w:rsid w:val="79F91D22"/>
    <w:rsid w:val="79FA8888"/>
    <w:rsid w:val="7A012B68"/>
    <w:rsid w:val="7A037032"/>
    <w:rsid w:val="7A03D02C"/>
    <w:rsid w:val="7A08CA58"/>
    <w:rsid w:val="7A0C139A"/>
    <w:rsid w:val="7A126583"/>
    <w:rsid w:val="7A130B7E"/>
    <w:rsid w:val="7A1E1B22"/>
    <w:rsid w:val="7A1F30EC"/>
    <w:rsid w:val="7A1F3B4D"/>
    <w:rsid w:val="7A25442C"/>
    <w:rsid w:val="7A40F2B1"/>
    <w:rsid w:val="7A5160DF"/>
    <w:rsid w:val="7A547F25"/>
    <w:rsid w:val="7A56200B"/>
    <w:rsid w:val="7A578143"/>
    <w:rsid w:val="7A58A7C1"/>
    <w:rsid w:val="7A59CF2F"/>
    <w:rsid w:val="7A6338EA"/>
    <w:rsid w:val="7A6A0292"/>
    <w:rsid w:val="7A6AD293"/>
    <w:rsid w:val="7A6D1CE2"/>
    <w:rsid w:val="7A771729"/>
    <w:rsid w:val="7A786309"/>
    <w:rsid w:val="7A79C142"/>
    <w:rsid w:val="7A7BCA25"/>
    <w:rsid w:val="7A88D9A7"/>
    <w:rsid w:val="7A8ACAAD"/>
    <w:rsid w:val="7A8AFF75"/>
    <w:rsid w:val="7A8CE1A9"/>
    <w:rsid w:val="7A9E3420"/>
    <w:rsid w:val="7AA94C5F"/>
    <w:rsid w:val="7AB4EFFD"/>
    <w:rsid w:val="7AC00F28"/>
    <w:rsid w:val="7AC15836"/>
    <w:rsid w:val="7AC1EFF0"/>
    <w:rsid w:val="7AC3A30D"/>
    <w:rsid w:val="7AD09CC6"/>
    <w:rsid w:val="7AD12BFD"/>
    <w:rsid w:val="7AD68B69"/>
    <w:rsid w:val="7AD92B28"/>
    <w:rsid w:val="7ADCCB6A"/>
    <w:rsid w:val="7ADD7304"/>
    <w:rsid w:val="7AE3C8CC"/>
    <w:rsid w:val="7AE4C605"/>
    <w:rsid w:val="7AE624A8"/>
    <w:rsid w:val="7AE6616E"/>
    <w:rsid w:val="7AEC5DEC"/>
    <w:rsid w:val="7AEEA509"/>
    <w:rsid w:val="7AF1F68C"/>
    <w:rsid w:val="7AF25593"/>
    <w:rsid w:val="7AF37B56"/>
    <w:rsid w:val="7B00D04F"/>
    <w:rsid w:val="7B01549B"/>
    <w:rsid w:val="7B06C8E3"/>
    <w:rsid w:val="7B0C4548"/>
    <w:rsid w:val="7B14E44A"/>
    <w:rsid w:val="7B15FCB5"/>
    <w:rsid w:val="7B1D17E1"/>
    <w:rsid w:val="7B1D7356"/>
    <w:rsid w:val="7B294EE7"/>
    <w:rsid w:val="7B341C4C"/>
    <w:rsid w:val="7B3683DB"/>
    <w:rsid w:val="7B513687"/>
    <w:rsid w:val="7B53936F"/>
    <w:rsid w:val="7B5997FD"/>
    <w:rsid w:val="7B638C3D"/>
    <w:rsid w:val="7B68E82A"/>
    <w:rsid w:val="7B70F65A"/>
    <w:rsid w:val="7B74E3A8"/>
    <w:rsid w:val="7B78CB63"/>
    <w:rsid w:val="7B7B9CC5"/>
    <w:rsid w:val="7B838F8F"/>
    <w:rsid w:val="7B84689E"/>
    <w:rsid w:val="7B8738B2"/>
    <w:rsid w:val="7B87F711"/>
    <w:rsid w:val="7B8A2726"/>
    <w:rsid w:val="7B8C1D3F"/>
    <w:rsid w:val="7B962E51"/>
    <w:rsid w:val="7B9B1713"/>
    <w:rsid w:val="7B9FBB57"/>
    <w:rsid w:val="7BA74E86"/>
    <w:rsid w:val="7BA96669"/>
    <w:rsid w:val="7BB6E1B4"/>
    <w:rsid w:val="7BB75A48"/>
    <w:rsid w:val="7BB8BA0D"/>
    <w:rsid w:val="7BBB208D"/>
    <w:rsid w:val="7BBC3681"/>
    <w:rsid w:val="7BBE64AF"/>
    <w:rsid w:val="7BC3FB9C"/>
    <w:rsid w:val="7BC5094F"/>
    <w:rsid w:val="7BC81425"/>
    <w:rsid w:val="7BCC664E"/>
    <w:rsid w:val="7BCFC8F8"/>
    <w:rsid w:val="7BD122B5"/>
    <w:rsid w:val="7BD71368"/>
    <w:rsid w:val="7BDFBA19"/>
    <w:rsid w:val="7BE0EDD8"/>
    <w:rsid w:val="7BE159D5"/>
    <w:rsid w:val="7BE213A7"/>
    <w:rsid w:val="7BE91BD2"/>
    <w:rsid w:val="7BE9FDE7"/>
    <w:rsid w:val="7BEDB5D5"/>
    <w:rsid w:val="7BF12D83"/>
    <w:rsid w:val="7BF15C8E"/>
    <w:rsid w:val="7BFB08FB"/>
    <w:rsid w:val="7BFBFAD0"/>
    <w:rsid w:val="7BFCFD60"/>
    <w:rsid w:val="7BFD34A6"/>
    <w:rsid w:val="7C0D1B91"/>
    <w:rsid w:val="7C1116B9"/>
    <w:rsid w:val="7C18EB86"/>
    <w:rsid w:val="7C1D503A"/>
    <w:rsid w:val="7C25ADED"/>
    <w:rsid w:val="7C293435"/>
    <w:rsid w:val="7C3482A9"/>
    <w:rsid w:val="7C3F9860"/>
    <w:rsid w:val="7C435A6B"/>
    <w:rsid w:val="7C589C44"/>
    <w:rsid w:val="7C696F44"/>
    <w:rsid w:val="7C731574"/>
    <w:rsid w:val="7C75196B"/>
    <w:rsid w:val="7C759F90"/>
    <w:rsid w:val="7C77F013"/>
    <w:rsid w:val="7C8CB601"/>
    <w:rsid w:val="7C8E46D5"/>
    <w:rsid w:val="7C90FC7E"/>
    <w:rsid w:val="7C9A81D7"/>
    <w:rsid w:val="7C9BE200"/>
    <w:rsid w:val="7C9DAC83"/>
    <w:rsid w:val="7CA149AA"/>
    <w:rsid w:val="7CA26011"/>
    <w:rsid w:val="7CA3034F"/>
    <w:rsid w:val="7CA4E3E4"/>
    <w:rsid w:val="7CA79FEB"/>
    <w:rsid w:val="7CA8F490"/>
    <w:rsid w:val="7CA9EF0E"/>
    <w:rsid w:val="7CC13338"/>
    <w:rsid w:val="7CC6D7D3"/>
    <w:rsid w:val="7CC6D831"/>
    <w:rsid w:val="7CCB8D1A"/>
    <w:rsid w:val="7CD9BB3B"/>
    <w:rsid w:val="7CDA5597"/>
    <w:rsid w:val="7CDD9917"/>
    <w:rsid w:val="7CECDE43"/>
    <w:rsid w:val="7CF08405"/>
    <w:rsid w:val="7CF42ED0"/>
    <w:rsid w:val="7CF70406"/>
    <w:rsid w:val="7CF833D5"/>
    <w:rsid w:val="7CF8D93E"/>
    <w:rsid w:val="7D05CC3B"/>
    <w:rsid w:val="7D1A184E"/>
    <w:rsid w:val="7D1DA611"/>
    <w:rsid w:val="7D1F64C3"/>
    <w:rsid w:val="7D2F7E2D"/>
    <w:rsid w:val="7D31F834"/>
    <w:rsid w:val="7D3A1736"/>
    <w:rsid w:val="7D41C1DA"/>
    <w:rsid w:val="7D444BCD"/>
    <w:rsid w:val="7D47823A"/>
    <w:rsid w:val="7D47954B"/>
    <w:rsid w:val="7D48AA70"/>
    <w:rsid w:val="7D4DAF21"/>
    <w:rsid w:val="7D51BDFD"/>
    <w:rsid w:val="7D5C4CDB"/>
    <w:rsid w:val="7D5DA339"/>
    <w:rsid w:val="7D6395DC"/>
    <w:rsid w:val="7D7075F7"/>
    <w:rsid w:val="7D76D19D"/>
    <w:rsid w:val="7D7D3492"/>
    <w:rsid w:val="7D97ADBC"/>
    <w:rsid w:val="7D9E456E"/>
    <w:rsid w:val="7DA096C2"/>
    <w:rsid w:val="7DA5D658"/>
    <w:rsid w:val="7DAFEC9E"/>
    <w:rsid w:val="7DB5BCD1"/>
    <w:rsid w:val="7DB81044"/>
    <w:rsid w:val="7DBBD594"/>
    <w:rsid w:val="7DBD517C"/>
    <w:rsid w:val="7DBFCC46"/>
    <w:rsid w:val="7DC43999"/>
    <w:rsid w:val="7DC6925F"/>
    <w:rsid w:val="7DCA731D"/>
    <w:rsid w:val="7DCB644B"/>
    <w:rsid w:val="7DCB68D4"/>
    <w:rsid w:val="7DCE9251"/>
    <w:rsid w:val="7DD02A8E"/>
    <w:rsid w:val="7DD195F8"/>
    <w:rsid w:val="7DD32425"/>
    <w:rsid w:val="7DD40FA0"/>
    <w:rsid w:val="7DD5E5CD"/>
    <w:rsid w:val="7DDA8A71"/>
    <w:rsid w:val="7DDC0002"/>
    <w:rsid w:val="7DE4C763"/>
    <w:rsid w:val="7DE76875"/>
    <w:rsid w:val="7DF0ACA5"/>
    <w:rsid w:val="7DF2C174"/>
    <w:rsid w:val="7DF7291B"/>
    <w:rsid w:val="7DF972B1"/>
    <w:rsid w:val="7DFB43CF"/>
    <w:rsid w:val="7E06CA1B"/>
    <w:rsid w:val="7E0C915E"/>
    <w:rsid w:val="7E129E7A"/>
    <w:rsid w:val="7E132D45"/>
    <w:rsid w:val="7E132D8C"/>
    <w:rsid w:val="7E1355D0"/>
    <w:rsid w:val="7E13A914"/>
    <w:rsid w:val="7E196EF0"/>
    <w:rsid w:val="7E1F14C3"/>
    <w:rsid w:val="7E217FAE"/>
    <w:rsid w:val="7E235692"/>
    <w:rsid w:val="7E2372AB"/>
    <w:rsid w:val="7E245CBC"/>
    <w:rsid w:val="7E25497C"/>
    <w:rsid w:val="7E33E57B"/>
    <w:rsid w:val="7E34E4D4"/>
    <w:rsid w:val="7E3F0C0A"/>
    <w:rsid w:val="7E3F8EC1"/>
    <w:rsid w:val="7E426DE5"/>
    <w:rsid w:val="7E4C2E4C"/>
    <w:rsid w:val="7E55CB57"/>
    <w:rsid w:val="7E581C7C"/>
    <w:rsid w:val="7E65492A"/>
    <w:rsid w:val="7E66075A"/>
    <w:rsid w:val="7E67237D"/>
    <w:rsid w:val="7E69E815"/>
    <w:rsid w:val="7E6CB8F3"/>
    <w:rsid w:val="7E6FFD3B"/>
    <w:rsid w:val="7E87FD27"/>
    <w:rsid w:val="7E8869F8"/>
    <w:rsid w:val="7E894F87"/>
    <w:rsid w:val="7E89876F"/>
    <w:rsid w:val="7E8B5316"/>
    <w:rsid w:val="7E93DC9C"/>
    <w:rsid w:val="7E9671F0"/>
    <w:rsid w:val="7E9B7DF2"/>
    <w:rsid w:val="7E9BE873"/>
    <w:rsid w:val="7EA5EF66"/>
    <w:rsid w:val="7EAA23C1"/>
    <w:rsid w:val="7EB0FEDD"/>
    <w:rsid w:val="7EB39E2B"/>
    <w:rsid w:val="7EB80F8A"/>
    <w:rsid w:val="7EBCE590"/>
    <w:rsid w:val="7EC0EE13"/>
    <w:rsid w:val="7EC3FA38"/>
    <w:rsid w:val="7EC5FD5D"/>
    <w:rsid w:val="7ECACD48"/>
    <w:rsid w:val="7ECEEA16"/>
    <w:rsid w:val="7EDCB0D3"/>
    <w:rsid w:val="7EE1380B"/>
    <w:rsid w:val="7EE27D91"/>
    <w:rsid w:val="7EF1ABA1"/>
    <w:rsid w:val="7EF3AF33"/>
    <w:rsid w:val="7EF67AB7"/>
    <w:rsid w:val="7EFEBFD9"/>
    <w:rsid w:val="7EFEE1B4"/>
    <w:rsid w:val="7F00E713"/>
    <w:rsid w:val="7F0EDC05"/>
    <w:rsid w:val="7F1A9EA9"/>
    <w:rsid w:val="7F2044CE"/>
    <w:rsid w:val="7F29BF99"/>
    <w:rsid w:val="7F2DC7EF"/>
    <w:rsid w:val="7F3D4A7D"/>
    <w:rsid w:val="7F3E2619"/>
    <w:rsid w:val="7F412E0A"/>
    <w:rsid w:val="7F439FE5"/>
    <w:rsid w:val="7F47EA50"/>
    <w:rsid w:val="7F4D8C01"/>
    <w:rsid w:val="7F517988"/>
    <w:rsid w:val="7F582DBF"/>
    <w:rsid w:val="7F590ADC"/>
    <w:rsid w:val="7F5FFC44"/>
    <w:rsid w:val="7F617782"/>
    <w:rsid w:val="7F65F142"/>
    <w:rsid w:val="7F6E4838"/>
    <w:rsid w:val="7F727421"/>
    <w:rsid w:val="7F73979C"/>
    <w:rsid w:val="7F78A968"/>
    <w:rsid w:val="7F78E6BF"/>
    <w:rsid w:val="7F7AA4D6"/>
    <w:rsid w:val="7F7B1280"/>
    <w:rsid w:val="7F7C4643"/>
    <w:rsid w:val="7F7CE370"/>
    <w:rsid w:val="7F8E55FC"/>
    <w:rsid w:val="7F918367"/>
    <w:rsid w:val="7F963506"/>
    <w:rsid w:val="7F967CF0"/>
    <w:rsid w:val="7F98F226"/>
    <w:rsid w:val="7FA3A98F"/>
    <w:rsid w:val="7FA6DC0D"/>
    <w:rsid w:val="7FAFE2A5"/>
    <w:rsid w:val="7FBA58B3"/>
    <w:rsid w:val="7FBBF214"/>
    <w:rsid w:val="7FBD3446"/>
    <w:rsid w:val="7FBD8187"/>
    <w:rsid w:val="7FC09683"/>
    <w:rsid w:val="7FD011F4"/>
    <w:rsid w:val="7FD02FBC"/>
    <w:rsid w:val="7FD87BB0"/>
    <w:rsid w:val="7FDA8D34"/>
    <w:rsid w:val="7FE4E64D"/>
    <w:rsid w:val="7FEE5013"/>
    <w:rsid w:val="7FFD7A66"/>
    <w:rsid w:val="7FFD80AA"/>
    <w:rsid w:val="7FFDA59C"/>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8E02382"/>
  <w15:docId w15:val="{CC7CCCA8-F563-465A-8124-80314BC9C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2"/>
        <w:szCs w:val="22"/>
        <w:lang w:val="hr-HR" w:eastAsia="hr-H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3"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3" w:unhideWhenUsed="1"/>
    <w:lsdException w:name="page number" w:semiHidden="1" w:uiPriority="3" w:unhideWhenUsed="1"/>
    <w:lsdException w:name="endnote reference" w:semiHidden="1" w:uiPriority="99" w:unhideWhenUsed="1"/>
    <w:lsdException w:name="endnote text" w:semiHidden="1" w:uiPriority="99" w:unhideWhenUsed="1"/>
    <w:lsdException w:name="table of authorities" w:semiHidden="1" w:uiPriority="3" w:unhideWhenUsed="1"/>
    <w:lsdException w:name="macro" w:semiHidden="1" w:unhideWhenUsed="1"/>
    <w:lsdException w:name="toa heading" w:uiPriority="3"/>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3" w:unhideWhenUsed="1"/>
    <w:lsdException w:name="Signature" w:semiHidden="1" w:uiPriority="3" w:unhideWhenUsed="1"/>
    <w:lsdException w:name="Default Paragraph Font" w:semiHidden="1" w:uiPriority="1" w:unhideWhenUsed="1"/>
    <w:lsdException w:name="Body Text" w:semiHidden="1" w:uiPriority="3"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3" w:unhideWhenUsed="1"/>
    <w:lsdException w:name="Date" w:semiHidden="1" w:uiPriority="3" w:unhideWhenUsed="1"/>
    <w:lsdException w:name="Body Text First Indent" w:semiHidden="1" w:unhideWhenUsed="1"/>
    <w:lsdException w:name="Body Text First Indent 2" w:semiHidden="1" w:unhideWhenUsed="1"/>
    <w:lsdException w:name="Note Heading" w:semiHidden="1" w:uiPriority="3"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3"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ekst studije"/>
    <w:qFormat/>
    <w:rsid w:val="006F7B5C"/>
    <w:pPr>
      <w:spacing w:after="120"/>
      <w:jc w:val="both"/>
    </w:pPr>
    <w:rPr>
      <w:rFonts w:ascii="Calibri" w:eastAsiaTheme="minorEastAsia" w:hAnsi="Calibri"/>
      <w:sz w:val="24"/>
      <w:szCs w:val="24"/>
      <w:lang w:eastAsia="en-GB"/>
    </w:rPr>
  </w:style>
  <w:style w:type="paragraph" w:styleId="Heading1">
    <w:name w:val="heading 1"/>
    <w:basedOn w:val="Normal"/>
    <w:next w:val="Normal"/>
    <w:link w:val="Heading1Char"/>
    <w:uiPriority w:val="9"/>
    <w:qFormat/>
    <w:rsid w:val="00CC3E77"/>
    <w:pPr>
      <w:keepNext/>
      <w:pageBreakBefore/>
      <w:numPr>
        <w:numId w:val="177"/>
      </w:numPr>
      <w:pBdr>
        <w:top w:val="single" w:sz="48" w:space="5" w:color="F5C1C6"/>
      </w:pBdr>
      <w:tabs>
        <w:tab w:val="left" w:pos="567"/>
      </w:tabs>
      <w:autoSpaceDE w:val="0"/>
      <w:autoSpaceDN w:val="0"/>
      <w:adjustRightInd w:val="0"/>
      <w:spacing w:after="320"/>
      <w:textAlignment w:val="center"/>
      <w:outlineLvl w:val="0"/>
    </w:pPr>
    <w:rPr>
      <w:b/>
      <w:iCs/>
      <w:caps/>
      <w:color w:val="BE1D2D"/>
      <w:position w:val="24"/>
      <w:sz w:val="32"/>
      <w:szCs w:val="48"/>
    </w:rPr>
  </w:style>
  <w:style w:type="paragraph" w:styleId="Heading2">
    <w:name w:val="heading 2"/>
    <w:basedOn w:val="Normal"/>
    <w:next w:val="Normal"/>
    <w:link w:val="Heading2Char"/>
    <w:uiPriority w:val="9"/>
    <w:qFormat/>
    <w:rsid w:val="00562152"/>
    <w:pPr>
      <w:keepNext/>
      <w:widowControl w:val="0"/>
      <w:numPr>
        <w:ilvl w:val="1"/>
        <w:numId w:val="119"/>
      </w:numPr>
      <w:pBdr>
        <w:bottom w:val="single" w:sz="8" w:space="4" w:color="BE1D2D"/>
      </w:pBdr>
      <w:autoSpaceDE w:val="0"/>
      <w:autoSpaceDN w:val="0"/>
      <w:adjustRightInd w:val="0"/>
      <w:spacing w:before="400" w:after="240"/>
      <w:textAlignment w:val="center"/>
      <w:outlineLvl w:val="1"/>
    </w:pPr>
    <w:rPr>
      <w:rFonts w:cs="Myriad Pro Cond"/>
      <w:b/>
      <w:bCs/>
      <w:color w:val="5B9BD5" w:themeColor="accent1"/>
      <w:sz w:val="28"/>
      <w:szCs w:val="36"/>
    </w:rPr>
  </w:style>
  <w:style w:type="paragraph" w:styleId="Heading3">
    <w:name w:val="heading 3"/>
    <w:basedOn w:val="Normal"/>
    <w:next w:val="Normal"/>
    <w:link w:val="Heading3Char"/>
    <w:uiPriority w:val="9"/>
    <w:qFormat/>
    <w:rsid w:val="00990075"/>
    <w:pPr>
      <w:keepNext/>
      <w:widowControl w:val="0"/>
      <w:numPr>
        <w:ilvl w:val="2"/>
        <w:numId w:val="119"/>
      </w:numPr>
      <w:autoSpaceDE w:val="0"/>
      <w:autoSpaceDN w:val="0"/>
      <w:adjustRightInd w:val="0"/>
      <w:spacing w:before="360" w:after="240"/>
      <w:textAlignment w:val="center"/>
      <w:outlineLvl w:val="2"/>
    </w:pPr>
    <w:rPr>
      <w:b/>
      <w:bCs/>
      <w:iCs/>
      <w:color w:val="BE1D2D"/>
    </w:rPr>
  </w:style>
  <w:style w:type="paragraph" w:styleId="Heading4">
    <w:name w:val="heading 4"/>
    <w:basedOn w:val="Heading3"/>
    <w:next w:val="Normal"/>
    <w:link w:val="Heading4Char"/>
    <w:uiPriority w:val="9"/>
    <w:qFormat/>
    <w:rsid w:val="00443A05"/>
    <w:pPr>
      <w:widowControl/>
      <w:numPr>
        <w:ilvl w:val="3"/>
      </w:numPr>
      <w:tabs>
        <w:tab w:val="left" w:pos="709"/>
      </w:tabs>
      <w:autoSpaceDE/>
      <w:autoSpaceDN/>
      <w:adjustRightInd/>
      <w:spacing w:after="120"/>
      <w:textAlignment w:val="auto"/>
      <w:outlineLvl w:val="3"/>
    </w:pPr>
    <w:rPr>
      <w:b w:val="0"/>
      <w:bCs w:val="0"/>
      <w:kern w:val="32"/>
      <w:szCs w:val="28"/>
    </w:rPr>
  </w:style>
  <w:style w:type="paragraph" w:styleId="Heading5">
    <w:name w:val="heading 5"/>
    <w:basedOn w:val="Normal"/>
    <w:next w:val="Normal"/>
    <w:link w:val="Heading5Char"/>
    <w:uiPriority w:val="9"/>
    <w:qFormat/>
    <w:rsid w:val="00443A05"/>
    <w:pPr>
      <w:keepNext/>
      <w:outlineLvl w:val="4"/>
    </w:pPr>
    <w:rPr>
      <w:b/>
      <w:bCs/>
      <w:iCs/>
      <w:color w:val="C00000"/>
      <w:szCs w:val="26"/>
    </w:rPr>
  </w:style>
  <w:style w:type="paragraph" w:styleId="Heading6">
    <w:name w:val="heading 6"/>
    <w:basedOn w:val="Normal"/>
    <w:next w:val="Normal"/>
    <w:link w:val="Heading6Char"/>
    <w:uiPriority w:val="9"/>
    <w:unhideWhenUsed/>
    <w:qFormat/>
    <w:rsid w:val="00652E19"/>
    <w:pPr>
      <w:keepNext/>
      <w:pageBreakBefore/>
      <w:numPr>
        <w:ilvl w:val="5"/>
        <w:numId w:val="119"/>
      </w:numPr>
      <w:spacing w:after="240"/>
      <w:outlineLvl w:val="5"/>
    </w:pPr>
    <w:rPr>
      <w:bCs/>
      <w:i/>
    </w:rPr>
  </w:style>
  <w:style w:type="paragraph" w:styleId="Heading7">
    <w:name w:val="heading 7"/>
    <w:basedOn w:val="Normal"/>
    <w:next w:val="Normal"/>
    <w:link w:val="Heading7Char"/>
    <w:uiPriority w:val="9"/>
    <w:unhideWhenUsed/>
    <w:qFormat/>
    <w:rsid w:val="009F34FA"/>
    <w:pPr>
      <w:numPr>
        <w:ilvl w:val="6"/>
        <w:numId w:val="119"/>
      </w:numPr>
      <w:spacing w:after="60"/>
      <w:outlineLvl w:val="6"/>
    </w:pPr>
  </w:style>
  <w:style w:type="paragraph" w:styleId="Heading8">
    <w:name w:val="heading 8"/>
    <w:basedOn w:val="Normal"/>
    <w:next w:val="Normal"/>
    <w:link w:val="Heading8Char"/>
    <w:uiPriority w:val="9"/>
    <w:unhideWhenUsed/>
    <w:qFormat/>
    <w:rsid w:val="009F34FA"/>
    <w:pPr>
      <w:numPr>
        <w:ilvl w:val="7"/>
        <w:numId w:val="119"/>
      </w:numPr>
      <w:spacing w:after="60"/>
      <w:outlineLvl w:val="7"/>
    </w:pPr>
    <w:rPr>
      <w:i/>
      <w:iCs/>
    </w:rPr>
  </w:style>
  <w:style w:type="paragraph" w:styleId="Heading9">
    <w:name w:val="heading 9"/>
    <w:basedOn w:val="Normal"/>
    <w:next w:val="Normal"/>
    <w:link w:val="Heading9Char"/>
    <w:uiPriority w:val="9"/>
    <w:unhideWhenUsed/>
    <w:qFormat/>
    <w:rsid w:val="009F34FA"/>
    <w:pPr>
      <w:numPr>
        <w:ilvl w:val="8"/>
        <w:numId w:val="119"/>
      </w:numPr>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AA58D2"/>
    <w:pPr>
      <w:keepLines/>
      <w:pageBreakBefore w:val="0"/>
      <w:pBdr>
        <w:top w:val="none" w:sz="0" w:space="0" w:color="auto"/>
      </w:pBdr>
      <w:autoSpaceDE/>
      <w:autoSpaceDN/>
      <w:adjustRightInd/>
      <w:spacing w:after="0"/>
      <w:textAlignment w:val="auto"/>
      <w:outlineLvl w:val="9"/>
    </w:pPr>
    <w:rPr>
      <w:rFonts w:asciiTheme="majorHAnsi" w:eastAsiaTheme="majorEastAsia" w:hAnsiTheme="majorHAnsi" w:cstheme="majorBidi"/>
      <w:b w:val="0"/>
      <w:iCs w:val="0"/>
      <w:caps w:val="0"/>
      <w:color w:val="2E74B5" w:themeColor="accent1" w:themeShade="BF"/>
      <w:position w:val="0"/>
      <w:szCs w:val="32"/>
      <w:lang w:val="en-US"/>
    </w:rPr>
  </w:style>
  <w:style w:type="paragraph" w:customStyle="1" w:styleId="Body">
    <w:name w:val="Body"/>
    <w:basedOn w:val="Normal"/>
    <w:uiPriority w:val="3"/>
    <w:rsid w:val="001112B5"/>
    <w:pPr>
      <w:widowControl w:val="0"/>
      <w:autoSpaceDE w:val="0"/>
      <w:autoSpaceDN w:val="0"/>
      <w:adjustRightInd w:val="0"/>
      <w:spacing w:beforeAutospacing="1" w:afterAutospacing="1" w:line="240" w:lineRule="atLeast"/>
      <w:ind w:left="680"/>
      <w:textAlignment w:val="center"/>
    </w:pPr>
    <w:rPr>
      <w:rFonts w:cs="Myriad Pro"/>
    </w:rPr>
  </w:style>
  <w:style w:type="paragraph" w:styleId="Footer">
    <w:name w:val="footer"/>
    <w:basedOn w:val="Normal"/>
    <w:link w:val="FooterChar"/>
    <w:uiPriority w:val="99"/>
    <w:rsid w:val="004B4022"/>
    <w:pPr>
      <w:tabs>
        <w:tab w:val="right" w:pos="170"/>
        <w:tab w:val="left" w:pos="397"/>
      </w:tabs>
      <w:ind w:left="-142"/>
    </w:pPr>
    <w:rPr>
      <w:b/>
      <w:bCs/>
      <w:color w:val="5F5F5F"/>
      <w:sz w:val="20"/>
      <w:szCs w:val="20"/>
      <w:lang w:val="en-US"/>
    </w:rPr>
  </w:style>
  <w:style w:type="paragraph" w:styleId="TOC1">
    <w:name w:val="toc 1"/>
    <w:basedOn w:val="Normal"/>
    <w:next w:val="Normal"/>
    <w:autoRedefine/>
    <w:uiPriority w:val="39"/>
    <w:rsid w:val="00DB579D"/>
    <w:pPr>
      <w:tabs>
        <w:tab w:val="left" w:pos="440"/>
        <w:tab w:val="right" w:leader="dot" w:pos="9061"/>
      </w:tabs>
      <w:spacing w:line="259" w:lineRule="auto"/>
      <w:ind w:left="442" w:hanging="442"/>
      <w:jc w:val="left"/>
    </w:pPr>
    <w:rPr>
      <w:b/>
      <w:color w:val="BE1D2D"/>
      <w:sz w:val="28"/>
    </w:rPr>
  </w:style>
  <w:style w:type="paragraph" w:styleId="DocumentMap">
    <w:name w:val="Document Map"/>
    <w:basedOn w:val="Normal"/>
    <w:link w:val="DocumentMapChar"/>
    <w:semiHidden/>
    <w:rsid w:val="00306774"/>
    <w:pPr>
      <w:shd w:val="clear" w:color="auto" w:fill="000080"/>
    </w:pPr>
    <w:rPr>
      <w:rFonts w:ascii="Tahoma" w:hAnsi="Tahoma" w:cs="Tahoma"/>
      <w:sz w:val="20"/>
      <w:szCs w:val="20"/>
    </w:rPr>
  </w:style>
  <w:style w:type="paragraph" w:styleId="TOC2">
    <w:name w:val="toc 2"/>
    <w:basedOn w:val="Normal"/>
    <w:next w:val="Normal"/>
    <w:autoRedefine/>
    <w:uiPriority w:val="39"/>
    <w:rsid w:val="00EC78D6"/>
    <w:pPr>
      <w:tabs>
        <w:tab w:val="left" w:pos="1077"/>
        <w:tab w:val="right" w:leader="dot" w:pos="9061"/>
      </w:tabs>
      <w:spacing w:before="120" w:after="60"/>
      <w:ind w:left="1077" w:hanging="635"/>
    </w:pPr>
  </w:style>
  <w:style w:type="paragraph" w:styleId="TOC3">
    <w:name w:val="toc 3"/>
    <w:basedOn w:val="Normal"/>
    <w:next w:val="Normal"/>
    <w:autoRedefine/>
    <w:uiPriority w:val="39"/>
    <w:rsid w:val="00EC78D6"/>
    <w:pPr>
      <w:tabs>
        <w:tab w:val="left" w:pos="1871"/>
        <w:tab w:val="right" w:leader="dot" w:pos="9061"/>
      </w:tabs>
      <w:spacing w:before="80" w:after="80"/>
      <w:ind w:left="1871" w:hanging="794"/>
    </w:pPr>
  </w:style>
  <w:style w:type="paragraph" w:styleId="Header">
    <w:name w:val="header"/>
    <w:basedOn w:val="Normal"/>
    <w:link w:val="HeaderChar"/>
    <w:uiPriority w:val="99"/>
    <w:rsid w:val="00435DE4"/>
    <w:pPr>
      <w:tabs>
        <w:tab w:val="center" w:pos="4536"/>
        <w:tab w:val="right" w:pos="9072"/>
      </w:tabs>
    </w:pPr>
  </w:style>
  <w:style w:type="character" w:styleId="Hyperlink">
    <w:name w:val="Hyperlink"/>
    <w:uiPriority w:val="99"/>
    <w:rsid w:val="00325841"/>
    <w:rPr>
      <w:noProof/>
      <w:color w:val="0000FF"/>
      <w:u w:val="single"/>
    </w:rPr>
  </w:style>
  <w:style w:type="character" w:customStyle="1" w:styleId="HeaderChar">
    <w:name w:val="Header Char"/>
    <w:basedOn w:val="DefaultParagraphFont"/>
    <w:link w:val="Header"/>
    <w:uiPriority w:val="99"/>
    <w:rsid w:val="00CD381C"/>
    <w:rPr>
      <w:rFonts w:asciiTheme="minorHAnsi" w:hAnsiTheme="minorHAnsi"/>
      <w:sz w:val="24"/>
      <w:szCs w:val="24"/>
      <w:lang w:val="en-GB" w:eastAsia="en-GB"/>
    </w:rPr>
  </w:style>
  <w:style w:type="paragraph" w:styleId="BodyText">
    <w:name w:val="Body Text"/>
    <w:basedOn w:val="Normal"/>
    <w:link w:val="BodyTextChar"/>
    <w:uiPriority w:val="3"/>
    <w:rsid w:val="001112B5"/>
    <w:pPr>
      <w:spacing w:before="100" w:beforeAutospacing="1" w:after="100" w:afterAutospacing="1"/>
    </w:pPr>
  </w:style>
  <w:style w:type="character" w:customStyle="1" w:styleId="BodyTextChar">
    <w:name w:val="Body Text Char"/>
    <w:link w:val="BodyText"/>
    <w:uiPriority w:val="3"/>
    <w:rsid w:val="00CD381C"/>
    <w:rPr>
      <w:rFonts w:asciiTheme="minorHAnsi" w:hAnsiTheme="minorHAnsi" w:cs="Arial"/>
      <w:lang w:eastAsia="en-US"/>
    </w:rPr>
  </w:style>
  <w:style w:type="character" w:styleId="FootnoteReference">
    <w:name w:val="footnote reference"/>
    <w:aliases w:val="Footnote symbol,Fussnota,Footnote,Footnote reference number,note TESI,SUPERS,EN Footnote Reference,-E Fußnotenzeichen,ESPON Footnote No,number,Times 10 Point,Exposant 3 Point,Footnote Reference_LVL6,Footnote Reference_LVL61,BVI fnr"/>
    <w:uiPriority w:val="99"/>
    <w:rsid w:val="001450CB"/>
    <w:rPr>
      <w:rFonts w:ascii="Arial" w:hAnsi="Arial"/>
      <w:position w:val="0"/>
      <w:sz w:val="22"/>
      <w:vertAlign w:val="superscript"/>
    </w:rPr>
  </w:style>
  <w:style w:type="paragraph" w:styleId="FootnoteText">
    <w:name w:val="footnote text"/>
    <w:aliases w:val="Sprotna opomba-besedilo,Char Char Char Char,Char Char Char,Sprotna opomba - besedilo Znak1,Sprotna opomba - besedilo Znak Znak2,Sprotna opomba - besedilo Znak1 Znak Znak1,Sprotna opomba - besedilo Znak1 Znak Znak Znak,Footnote1"/>
    <w:basedOn w:val="Normal"/>
    <w:link w:val="FootnoteTextChar"/>
    <w:uiPriority w:val="99"/>
    <w:qFormat/>
    <w:rsid w:val="00FB7D25"/>
    <w:rPr>
      <w:sz w:val="16"/>
      <w:szCs w:val="20"/>
    </w:rPr>
  </w:style>
  <w:style w:type="paragraph" w:styleId="E-mailSignature">
    <w:name w:val="E-mail Signature"/>
    <w:basedOn w:val="Normal"/>
    <w:link w:val="E-mailSignatureChar"/>
    <w:semiHidden/>
    <w:rsid w:val="009F34FA"/>
  </w:style>
  <w:style w:type="paragraph" w:styleId="HTMLAddress">
    <w:name w:val="HTML Address"/>
    <w:basedOn w:val="Normal"/>
    <w:link w:val="HTMLAddressChar"/>
    <w:semiHidden/>
    <w:rsid w:val="009F34FA"/>
    <w:rPr>
      <w:i/>
      <w:iCs/>
    </w:rPr>
  </w:style>
  <w:style w:type="paragraph" w:styleId="HTMLPreformatted">
    <w:name w:val="HTML Preformatted"/>
    <w:basedOn w:val="Normal"/>
    <w:link w:val="HTMLPreformattedChar"/>
    <w:semiHidden/>
    <w:rsid w:val="009F34FA"/>
    <w:rPr>
      <w:rFonts w:ascii="Courier New" w:hAnsi="Courier New" w:cs="Courier New"/>
      <w:sz w:val="20"/>
      <w:szCs w:val="20"/>
    </w:rPr>
  </w:style>
  <w:style w:type="character" w:styleId="PageNumber">
    <w:name w:val="page number"/>
    <w:basedOn w:val="DefaultParagraphFont"/>
    <w:uiPriority w:val="3"/>
    <w:rsid w:val="009F34FA"/>
  </w:style>
  <w:style w:type="paragraph" w:customStyle="1" w:styleId="Izvor">
    <w:name w:val="Izvor"/>
    <w:basedOn w:val="Normal"/>
    <w:link w:val="IzvorChar"/>
    <w:rsid w:val="005F4F6A"/>
    <w:pPr>
      <w:spacing w:before="100" w:beforeAutospacing="1" w:after="100" w:afterAutospacing="1"/>
      <w:jc w:val="center"/>
    </w:pPr>
    <w:rPr>
      <w:i/>
      <w:sz w:val="20"/>
    </w:rPr>
  </w:style>
  <w:style w:type="paragraph" w:customStyle="1" w:styleId="Naslovstudije">
    <w:name w:val="Naslov studije"/>
    <w:basedOn w:val="Normal"/>
    <w:uiPriority w:val="3"/>
    <w:rsid w:val="008C01E8"/>
    <w:rPr>
      <w:b/>
      <w:color w:val="BE1D2D"/>
      <w:sz w:val="36"/>
      <w:szCs w:val="36"/>
    </w:rPr>
  </w:style>
  <w:style w:type="paragraph" w:customStyle="1" w:styleId="Naslovslika">
    <w:name w:val="Naslov slika"/>
    <w:basedOn w:val="Normal"/>
    <w:link w:val="NaslovslikaChar"/>
    <w:uiPriority w:val="99"/>
    <w:qFormat/>
    <w:rsid w:val="00CC0208"/>
    <w:pPr>
      <w:tabs>
        <w:tab w:val="left" w:pos="1021"/>
      </w:tabs>
      <w:spacing w:before="120" w:after="360"/>
      <w:ind w:left="1021" w:hanging="1021"/>
      <w:jc w:val="center"/>
    </w:pPr>
    <w:rPr>
      <w:b/>
      <w:sz w:val="20"/>
      <w:szCs w:val="28"/>
    </w:rPr>
  </w:style>
  <w:style w:type="paragraph" w:styleId="TableofFigures">
    <w:name w:val="table of figures"/>
    <w:basedOn w:val="Normal"/>
    <w:next w:val="Normal"/>
    <w:uiPriority w:val="99"/>
    <w:rsid w:val="00A51256"/>
    <w:pPr>
      <w:tabs>
        <w:tab w:val="left" w:pos="1247"/>
        <w:tab w:val="right" w:leader="dot" w:pos="9061"/>
      </w:tabs>
      <w:spacing w:before="120"/>
      <w:ind w:left="1247" w:hanging="1247"/>
    </w:pPr>
  </w:style>
  <w:style w:type="paragraph" w:customStyle="1" w:styleId="Literatura">
    <w:name w:val="Literatura"/>
    <w:basedOn w:val="Normal"/>
    <w:link w:val="LiteraturaCharChar"/>
    <w:uiPriority w:val="3"/>
    <w:rsid w:val="005F4F6A"/>
    <w:pPr>
      <w:numPr>
        <w:numId w:val="1"/>
      </w:numPr>
      <w:spacing w:before="100" w:beforeAutospacing="1" w:after="240"/>
    </w:pPr>
  </w:style>
  <w:style w:type="paragraph" w:customStyle="1" w:styleId="Naslovtablica">
    <w:name w:val="Naslov tablica"/>
    <w:basedOn w:val="Normal"/>
    <w:uiPriority w:val="1"/>
    <w:qFormat/>
    <w:rsid w:val="0065394E"/>
    <w:pPr>
      <w:keepNext/>
      <w:tabs>
        <w:tab w:val="left" w:pos="1247"/>
      </w:tabs>
      <w:spacing w:before="360"/>
      <w:ind w:left="1247" w:hanging="1247"/>
      <w:jc w:val="center"/>
    </w:pPr>
    <w:rPr>
      <w:b/>
      <w:sz w:val="20"/>
    </w:rPr>
  </w:style>
  <w:style w:type="paragraph" w:customStyle="1" w:styleId="zaglavlje">
    <w:name w:val="zaglavlje"/>
    <w:basedOn w:val="Normal"/>
    <w:uiPriority w:val="3"/>
    <w:rsid w:val="009F34FA"/>
    <w:pPr>
      <w:numPr>
        <w:numId w:val="2"/>
      </w:numPr>
      <w:tabs>
        <w:tab w:val="clear" w:pos="357"/>
      </w:tabs>
      <w:ind w:left="0" w:firstLine="0"/>
    </w:pPr>
    <w:rPr>
      <w:b/>
      <w:color w:val="808080"/>
      <w:sz w:val="16"/>
    </w:rPr>
  </w:style>
  <w:style w:type="paragraph" w:customStyle="1" w:styleId="Podnoje1">
    <w:name w:val="Podnožje 1"/>
    <w:basedOn w:val="Normal"/>
    <w:uiPriority w:val="3"/>
    <w:rsid w:val="009F34FA"/>
    <w:rPr>
      <w:sz w:val="20"/>
    </w:rPr>
  </w:style>
  <w:style w:type="character" w:customStyle="1" w:styleId="FooterChar">
    <w:name w:val="Footer Char"/>
    <w:basedOn w:val="DefaultParagraphFont"/>
    <w:link w:val="Footer"/>
    <w:uiPriority w:val="99"/>
    <w:rsid w:val="00CD381C"/>
    <w:rPr>
      <w:b/>
      <w:bCs/>
      <w:color w:val="5F5F5F"/>
      <w:sz w:val="20"/>
      <w:szCs w:val="20"/>
      <w:lang w:val="en-US"/>
    </w:rPr>
  </w:style>
  <w:style w:type="table" w:styleId="TableGrid">
    <w:name w:val="Table Grid"/>
    <w:aliases w:val="Izvjescetablica,TABLICA_HAOP"/>
    <w:basedOn w:val="TableNormal"/>
    <w:uiPriority w:val="59"/>
    <w:rsid w:val="007B70FD"/>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character" w:styleId="CommentReference">
    <w:name w:val="annotation reference"/>
    <w:uiPriority w:val="99"/>
    <w:rsid w:val="00434D5D"/>
    <w:rPr>
      <w:sz w:val="16"/>
      <w:szCs w:val="16"/>
    </w:rPr>
  </w:style>
  <w:style w:type="paragraph" w:styleId="CommentText">
    <w:name w:val="annotation text"/>
    <w:basedOn w:val="Normal"/>
    <w:link w:val="CommentTextChar"/>
    <w:uiPriority w:val="99"/>
    <w:rsid w:val="00434D5D"/>
    <w:pPr>
      <w:widowControl w:val="0"/>
      <w:ind w:firstLine="720"/>
    </w:pPr>
    <w:rPr>
      <w:sz w:val="20"/>
      <w:szCs w:val="20"/>
      <w:lang w:val="en-US" w:eastAsia="ru-RU"/>
    </w:rPr>
  </w:style>
  <w:style w:type="numbering" w:styleId="1ai">
    <w:name w:val="Outline List 1"/>
    <w:basedOn w:val="NoList"/>
    <w:semiHidden/>
    <w:rsid w:val="00C76204"/>
    <w:pPr>
      <w:numPr>
        <w:numId w:val="9"/>
      </w:numPr>
    </w:pPr>
  </w:style>
  <w:style w:type="numbering" w:customStyle="1" w:styleId="StyleBulleted">
    <w:name w:val="Style Bulleted"/>
    <w:basedOn w:val="NoList"/>
    <w:rsid w:val="00647F8D"/>
    <w:pPr>
      <w:numPr>
        <w:numId w:val="7"/>
      </w:numPr>
    </w:pPr>
  </w:style>
  <w:style w:type="paragraph" w:styleId="ListParagraph">
    <w:name w:val="List Paragraph"/>
    <w:aliases w:val="REPORT Bullet,Nabrajanje,Tocka,List Paragraph1,KiF bullets,UNIZG_ALU_bullet,Lettre d'introduction,FM,Akapit z listą BS,Bullet1,References,List Paragraph (numbered (a)),List_Paragraph,Multilevel para_II,Yellow Bullet,Normal bullet 2,Dot pt"/>
    <w:basedOn w:val="Normal"/>
    <w:link w:val="ListParagraphChar"/>
    <w:uiPriority w:val="1"/>
    <w:qFormat/>
    <w:rsid w:val="00B86E78"/>
    <w:pPr>
      <w:tabs>
        <w:tab w:val="left" w:pos="431"/>
      </w:tabs>
    </w:pPr>
    <w:rPr>
      <w:rFonts w:cs="Tahoma"/>
      <w:lang w:eastAsia="ar-SA"/>
    </w:rPr>
  </w:style>
  <w:style w:type="character" w:customStyle="1" w:styleId="CommentTextChar">
    <w:name w:val="Comment Text Char"/>
    <w:link w:val="CommentText"/>
    <w:uiPriority w:val="99"/>
    <w:locked/>
    <w:rsid w:val="00914F8E"/>
    <w:rPr>
      <w:rFonts w:asciiTheme="minorHAnsi" w:hAnsiTheme="minorHAnsi"/>
      <w:sz w:val="20"/>
      <w:szCs w:val="20"/>
      <w:lang w:val="en-US" w:eastAsia="ru-RU"/>
    </w:rPr>
  </w:style>
  <w:style w:type="paragraph" w:styleId="CommentSubject">
    <w:name w:val="annotation subject"/>
    <w:basedOn w:val="CommentText"/>
    <w:next w:val="CommentText"/>
    <w:link w:val="CommentSubjectChar"/>
    <w:uiPriority w:val="99"/>
    <w:semiHidden/>
    <w:rsid w:val="00BB4745"/>
    <w:pPr>
      <w:widowControl/>
      <w:ind w:firstLine="0"/>
    </w:pPr>
    <w:rPr>
      <w:rFonts w:ascii="Myriad Pro" w:hAnsi="Myriad Pro" w:cs="Myriad Pro"/>
      <w:b/>
      <w:bCs/>
      <w:lang w:val="en-GB" w:eastAsia="de-DE"/>
    </w:rPr>
  </w:style>
  <w:style w:type="character" w:customStyle="1" w:styleId="Heading6Char">
    <w:name w:val="Heading 6 Char"/>
    <w:link w:val="Heading6"/>
    <w:uiPriority w:val="9"/>
    <w:rsid w:val="00CD381C"/>
    <w:rPr>
      <w:rFonts w:ascii="Calibri" w:hAnsi="Calibri"/>
      <w:bCs/>
      <w:i/>
      <w:sz w:val="24"/>
      <w:szCs w:val="24"/>
      <w:lang w:eastAsia="en-GB"/>
    </w:rPr>
  </w:style>
  <w:style w:type="paragraph" w:styleId="TOC5">
    <w:name w:val="toc 5"/>
    <w:basedOn w:val="Normal"/>
    <w:next w:val="Normal"/>
    <w:autoRedefine/>
    <w:uiPriority w:val="39"/>
    <w:rsid w:val="00652E19"/>
    <w:pPr>
      <w:ind w:left="880"/>
    </w:pPr>
  </w:style>
  <w:style w:type="paragraph" w:styleId="TOC6">
    <w:name w:val="toc 6"/>
    <w:basedOn w:val="Normal"/>
    <w:next w:val="Normal"/>
    <w:autoRedefine/>
    <w:uiPriority w:val="39"/>
    <w:rsid w:val="00652E19"/>
    <w:pPr>
      <w:ind w:left="1100"/>
    </w:pPr>
  </w:style>
  <w:style w:type="character" w:customStyle="1" w:styleId="Heading2Char">
    <w:name w:val="Heading 2 Char"/>
    <w:link w:val="Heading2"/>
    <w:uiPriority w:val="9"/>
    <w:rsid w:val="00DA1995"/>
    <w:rPr>
      <w:rFonts w:ascii="Calibri" w:hAnsi="Calibri" w:cs="Myriad Pro Cond"/>
      <w:b/>
      <w:bCs/>
      <w:color w:val="5B9BD5" w:themeColor="accent1"/>
      <w:sz w:val="28"/>
      <w:szCs w:val="36"/>
      <w:lang w:eastAsia="en-GB"/>
    </w:rPr>
  </w:style>
  <w:style w:type="character" w:customStyle="1" w:styleId="FootnoteTextChar">
    <w:name w:val="Footnote Text Char"/>
    <w:aliases w:val="Sprotna opomba-besedilo Char,Char Char Char Char Char,Char Char Char Char1,Sprotna opomba - besedilo Znak1 Char,Sprotna opomba - besedilo Znak Znak2 Char,Sprotna opomba - besedilo Znak1 Znak Znak1 Char,Footnote1 Char"/>
    <w:link w:val="FootnoteText"/>
    <w:uiPriority w:val="99"/>
    <w:qFormat/>
    <w:rsid w:val="00FB7D25"/>
    <w:rPr>
      <w:rFonts w:asciiTheme="minorHAnsi" w:hAnsiTheme="minorHAnsi"/>
      <w:sz w:val="16"/>
      <w:szCs w:val="20"/>
      <w:lang w:val="en-GB" w:eastAsia="en-US"/>
    </w:rPr>
  </w:style>
  <w:style w:type="character" w:customStyle="1" w:styleId="Heading3Char">
    <w:name w:val="Heading 3 Char"/>
    <w:link w:val="Heading3"/>
    <w:uiPriority w:val="9"/>
    <w:rsid w:val="00990075"/>
    <w:rPr>
      <w:rFonts w:ascii="Calibri" w:hAnsi="Calibri"/>
      <w:b/>
      <w:bCs/>
      <w:iCs/>
      <w:color w:val="BE1D2D"/>
      <w:sz w:val="24"/>
      <w:szCs w:val="24"/>
      <w:lang w:eastAsia="en-GB"/>
    </w:rPr>
  </w:style>
  <w:style w:type="paragraph" w:customStyle="1" w:styleId="Slike">
    <w:name w:val="Slike"/>
    <w:basedOn w:val="Normal"/>
    <w:uiPriority w:val="3"/>
    <w:qFormat/>
    <w:rsid w:val="00376620"/>
    <w:pPr>
      <w:keepNext/>
      <w:spacing w:before="120" w:after="240"/>
      <w:jc w:val="center"/>
    </w:pPr>
    <w:rPr>
      <w:bCs/>
      <w:i/>
      <w:sz w:val="20"/>
      <w:szCs w:val="20"/>
    </w:rPr>
  </w:style>
  <w:style w:type="character" w:customStyle="1" w:styleId="Heading1Char">
    <w:name w:val="Heading 1 Char"/>
    <w:link w:val="Heading1"/>
    <w:uiPriority w:val="9"/>
    <w:rsid w:val="00CC3E77"/>
    <w:rPr>
      <w:rFonts w:ascii="Calibri" w:hAnsi="Calibri"/>
      <w:b/>
      <w:iCs/>
      <w:caps/>
      <w:color w:val="BE1D2D"/>
      <w:position w:val="24"/>
      <w:sz w:val="32"/>
      <w:szCs w:val="48"/>
      <w:lang w:eastAsia="en-GB"/>
    </w:rPr>
  </w:style>
  <w:style w:type="paragraph" w:styleId="Revision">
    <w:name w:val="Revision"/>
    <w:hidden/>
    <w:uiPriority w:val="99"/>
    <w:semiHidden/>
    <w:rsid w:val="0070389E"/>
    <w:rPr>
      <w:rFonts w:cs="Myriad Pro"/>
      <w:szCs w:val="24"/>
      <w:lang w:eastAsia="de-DE"/>
    </w:rPr>
  </w:style>
  <w:style w:type="table" w:customStyle="1" w:styleId="Svijetlatablicareetke11">
    <w:name w:val="Svijetla tablica rešetke 11"/>
    <w:basedOn w:val="TableNormal"/>
    <w:uiPriority w:val="46"/>
    <w:rsid w:val="007D74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DE76F5"/>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Normal"/>
    <w:link w:val="Style1Char"/>
    <w:rsid w:val="00386AF3"/>
    <w:pPr>
      <w:tabs>
        <w:tab w:val="left" w:pos="3960"/>
        <w:tab w:val="left" w:pos="5400"/>
      </w:tabs>
      <w:spacing w:line="276" w:lineRule="auto"/>
      <w:ind w:left="5398"/>
    </w:pPr>
    <w:rPr>
      <w:b/>
      <w:lang w:eastAsia="de-DE"/>
    </w:rPr>
  </w:style>
  <w:style w:type="character" w:customStyle="1" w:styleId="Style1Char">
    <w:name w:val="Style1 Char"/>
    <w:link w:val="Style1"/>
    <w:rsid w:val="00386AF3"/>
    <w:rPr>
      <w:rFonts w:asciiTheme="minorHAnsi" w:hAnsiTheme="minorHAnsi" w:cs="Arial"/>
      <w:b/>
      <w:lang w:eastAsia="de-DE"/>
    </w:rPr>
  </w:style>
  <w:style w:type="table" w:customStyle="1" w:styleId="Obinatablica11">
    <w:name w:val="Obična tablica 11"/>
    <w:basedOn w:val="TableNormal"/>
    <w:uiPriority w:val="41"/>
    <w:rsid w:val="006A347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aliases w:val="Figures,Map,Map Char Char Char,Map Char Char,Tabellen,Char"/>
    <w:basedOn w:val="Naslovslika"/>
    <w:next w:val="Normal"/>
    <w:link w:val="CaptionChar"/>
    <w:qFormat/>
    <w:rsid w:val="006B1A28"/>
    <w:pPr>
      <w:spacing w:after="120"/>
      <w:ind w:left="0" w:firstLine="0"/>
    </w:pPr>
    <w:rPr>
      <w:sz w:val="22"/>
    </w:rPr>
  </w:style>
  <w:style w:type="character" w:customStyle="1" w:styleId="LiteraturaCharChar">
    <w:name w:val="Literatura Char Char"/>
    <w:link w:val="Literatura"/>
    <w:uiPriority w:val="3"/>
    <w:rsid w:val="00990A6F"/>
    <w:rPr>
      <w:rFonts w:asciiTheme="minorHAnsi" w:hAnsiTheme="minorHAnsi" w:cs="Arial"/>
      <w:lang w:eastAsia="en-US"/>
    </w:rPr>
  </w:style>
  <w:style w:type="character" w:styleId="FollowedHyperlink">
    <w:name w:val="FollowedHyperlink"/>
    <w:basedOn w:val="DefaultParagraphFont"/>
    <w:semiHidden/>
    <w:unhideWhenUsed/>
    <w:rsid w:val="00990A6F"/>
    <w:rPr>
      <w:color w:val="954F72" w:themeColor="followedHyperlink"/>
      <w:u w:val="single"/>
    </w:rPr>
  </w:style>
  <w:style w:type="paragraph" w:customStyle="1" w:styleId="StyleNaslovstudije14pt">
    <w:name w:val="Style Naslov studije + 14 pt"/>
    <w:basedOn w:val="Naslovstudije"/>
    <w:link w:val="StyleNaslovstudije14ptChar"/>
    <w:rsid w:val="004305EC"/>
    <w:rPr>
      <w:rFonts w:ascii="Times New Roman" w:hAnsi="Times New Roman"/>
      <w:bCs/>
      <w:color w:val="auto"/>
      <w:sz w:val="28"/>
    </w:rPr>
  </w:style>
  <w:style w:type="character" w:customStyle="1" w:styleId="StyleNaslovstudije14ptChar">
    <w:name w:val="Style Naslov studije + 14 pt Char"/>
    <w:link w:val="StyleNaslovstudije14pt"/>
    <w:rsid w:val="004305EC"/>
    <w:rPr>
      <w:rFonts w:ascii="Times New Roman" w:hAnsi="Times New Roman" w:cs="Arial"/>
      <w:b/>
      <w:bCs/>
      <w:sz w:val="28"/>
      <w:szCs w:val="36"/>
      <w:lang w:val="en-GB" w:eastAsia="en-GB"/>
    </w:rPr>
  </w:style>
  <w:style w:type="paragraph" w:styleId="BalloonText">
    <w:name w:val="Balloon Text"/>
    <w:basedOn w:val="Normal"/>
    <w:link w:val="BalloonTextChar"/>
    <w:uiPriority w:val="99"/>
    <w:semiHidden/>
    <w:unhideWhenUsed/>
    <w:rsid w:val="002931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1B9"/>
    <w:rPr>
      <w:rFonts w:ascii="Segoe UI" w:hAnsi="Segoe UI" w:cs="Segoe UI"/>
      <w:sz w:val="18"/>
      <w:szCs w:val="18"/>
      <w:lang w:val="en-GB" w:eastAsia="en-GB"/>
    </w:rPr>
  </w:style>
  <w:style w:type="character" w:styleId="Strong">
    <w:name w:val="Strong"/>
    <w:basedOn w:val="DefaultParagraphFont"/>
    <w:uiPriority w:val="22"/>
    <w:qFormat/>
    <w:rsid w:val="00121DCE"/>
    <w:rPr>
      <w:b/>
      <w:bCs/>
    </w:rPr>
  </w:style>
  <w:style w:type="character" w:customStyle="1" w:styleId="apple-converted-space">
    <w:name w:val="apple-converted-space"/>
    <w:basedOn w:val="DefaultParagraphFont"/>
    <w:rsid w:val="00121DCE"/>
  </w:style>
  <w:style w:type="character" w:customStyle="1" w:styleId="CaptionChar">
    <w:name w:val="Caption Char"/>
    <w:aliases w:val="Figures Char,Map Char,Map Char Char Char Char,Map Char Char Char1,Tabellen Char,Char Char"/>
    <w:link w:val="Caption"/>
    <w:rsid w:val="00F149EB"/>
    <w:rPr>
      <w:rFonts w:ascii="Calibri" w:hAnsi="Calibri"/>
      <w:b/>
      <w:szCs w:val="28"/>
      <w:lang w:val="en-GB" w:eastAsia="en-GB"/>
    </w:rPr>
  </w:style>
  <w:style w:type="character" w:customStyle="1" w:styleId="TekststudijeChar">
    <w:name w:val="Tekst studije Char"/>
    <w:rsid w:val="00903928"/>
    <w:rPr>
      <w:rFonts w:ascii="Arial" w:hAnsi="Arial" w:cs="Arial"/>
      <w:sz w:val="22"/>
      <w:szCs w:val="22"/>
    </w:rPr>
  </w:style>
  <w:style w:type="paragraph" w:styleId="ListBullet5">
    <w:name w:val="List Bullet 5"/>
    <w:basedOn w:val="Normal"/>
    <w:autoRedefine/>
    <w:rsid w:val="00451D29"/>
    <w:pPr>
      <w:numPr>
        <w:numId w:val="3"/>
      </w:numPr>
      <w:spacing w:before="120" w:line="276" w:lineRule="auto"/>
    </w:pPr>
  </w:style>
  <w:style w:type="paragraph" w:styleId="PlainText">
    <w:name w:val="Plain Text"/>
    <w:basedOn w:val="Normal"/>
    <w:link w:val="PlainTextChar"/>
    <w:uiPriority w:val="99"/>
    <w:rsid w:val="00451D29"/>
    <w:pPr>
      <w:spacing w:before="120" w:line="276"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451D29"/>
    <w:rPr>
      <w:rFonts w:ascii="Courier New" w:hAnsi="Courier New" w:cs="Courier New"/>
      <w:sz w:val="20"/>
      <w:szCs w:val="20"/>
    </w:rPr>
  </w:style>
  <w:style w:type="character" w:customStyle="1" w:styleId="spelle">
    <w:name w:val="spelle"/>
    <w:basedOn w:val="DefaultParagraphFont"/>
    <w:rsid w:val="00451D29"/>
  </w:style>
  <w:style w:type="numbering" w:styleId="111111">
    <w:name w:val="Outline List 2"/>
    <w:basedOn w:val="NoList"/>
    <w:rsid w:val="000B2F63"/>
    <w:pPr>
      <w:numPr>
        <w:numId w:val="8"/>
      </w:numPr>
    </w:pPr>
  </w:style>
  <w:style w:type="paragraph" w:customStyle="1" w:styleId="Default">
    <w:name w:val="Default"/>
    <w:rsid w:val="00DC1F5E"/>
    <w:pPr>
      <w:autoSpaceDE w:val="0"/>
      <w:autoSpaceDN w:val="0"/>
      <w:adjustRightInd w:val="0"/>
    </w:pPr>
    <w:rPr>
      <w:rFonts w:cs="Arial"/>
      <w:color w:val="000000"/>
      <w:sz w:val="24"/>
      <w:szCs w:val="24"/>
    </w:rPr>
  </w:style>
  <w:style w:type="paragraph" w:styleId="NormalWeb">
    <w:name w:val="Normal (Web)"/>
    <w:basedOn w:val="Normal"/>
    <w:link w:val="NormalWebChar"/>
    <w:uiPriority w:val="99"/>
    <w:unhideWhenUsed/>
    <w:rsid w:val="000C63C2"/>
    <w:pPr>
      <w:spacing w:before="100" w:beforeAutospacing="1" w:after="100" w:afterAutospacing="1"/>
    </w:pPr>
  </w:style>
  <w:style w:type="table" w:customStyle="1" w:styleId="TableNormal1">
    <w:name w:val="Table Normal1"/>
    <w:uiPriority w:val="2"/>
    <w:semiHidden/>
    <w:unhideWhenUsed/>
    <w:qFormat/>
    <w:rsid w:val="00DE1711"/>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E1711"/>
    <w:pPr>
      <w:widowControl w:val="0"/>
    </w:pPr>
    <w:rPr>
      <w:rFonts w:eastAsiaTheme="minorHAnsi" w:cstheme="minorBidi"/>
      <w:lang w:val="en-US"/>
    </w:rPr>
  </w:style>
  <w:style w:type="paragraph" w:customStyle="1" w:styleId="Sadraj">
    <w:name w:val="Sadržaj"/>
    <w:basedOn w:val="Normal"/>
    <w:qFormat/>
    <w:rsid w:val="004E0186"/>
    <w:pPr>
      <w:pBdr>
        <w:top w:val="single" w:sz="48" w:space="5" w:color="F5C1C6"/>
      </w:pBdr>
      <w:spacing w:before="120" w:after="320"/>
    </w:pPr>
    <w:rPr>
      <w:b/>
      <w:caps/>
      <w:color w:val="BE1D2D"/>
      <w:sz w:val="32"/>
    </w:rPr>
  </w:style>
  <w:style w:type="paragraph" w:customStyle="1" w:styleId="Naslovslike">
    <w:name w:val="Naslov slike"/>
    <w:basedOn w:val="Normal"/>
    <w:link w:val="NaslovslikeChar"/>
    <w:qFormat/>
    <w:rsid w:val="00434A94"/>
    <w:pPr>
      <w:spacing w:before="120" w:after="360"/>
      <w:jc w:val="center"/>
    </w:pPr>
    <w:rPr>
      <w:b/>
      <w:sz w:val="20"/>
    </w:rPr>
  </w:style>
  <w:style w:type="character" w:customStyle="1" w:styleId="NaslovslikeChar">
    <w:name w:val="Naslov slike Char"/>
    <w:link w:val="Naslovslike"/>
    <w:rsid w:val="00434A94"/>
    <w:rPr>
      <w:rFonts w:asciiTheme="minorHAnsi" w:hAnsiTheme="minorHAnsi" w:cs="Arial"/>
      <w:b/>
      <w:sz w:val="20"/>
      <w:lang w:eastAsia="en-US"/>
    </w:rPr>
  </w:style>
  <w:style w:type="paragraph" w:customStyle="1" w:styleId="line">
    <w:name w:val="line"/>
    <w:basedOn w:val="Normal"/>
    <w:rsid w:val="00466BF8"/>
    <w:pPr>
      <w:spacing w:before="100" w:beforeAutospacing="1" w:after="100" w:afterAutospacing="1"/>
    </w:pPr>
  </w:style>
  <w:style w:type="paragraph" w:customStyle="1" w:styleId="bodytext0">
    <w:name w:val="bodytext"/>
    <w:basedOn w:val="Normal"/>
    <w:rsid w:val="00510B2E"/>
    <w:pPr>
      <w:spacing w:before="100" w:beforeAutospacing="1" w:after="100" w:afterAutospacing="1"/>
    </w:pPr>
  </w:style>
  <w:style w:type="character" w:customStyle="1" w:styleId="Heading5Char">
    <w:name w:val="Heading 5 Char"/>
    <w:basedOn w:val="DefaultParagraphFont"/>
    <w:link w:val="Heading5"/>
    <w:uiPriority w:val="9"/>
    <w:rsid w:val="00443A05"/>
    <w:rPr>
      <w:rFonts w:ascii="Calibri" w:hAnsi="Calibri"/>
      <w:b/>
      <w:bCs/>
      <w:iCs/>
      <w:color w:val="C00000"/>
      <w:sz w:val="24"/>
      <w:szCs w:val="26"/>
      <w:lang w:eastAsia="en-GB"/>
    </w:rPr>
  </w:style>
  <w:style w:type="paragraph" w:customStyle="1" w:styleId="TableofTables">
    <w:name w:val="Table of Tables"/>
    <w:basedOn w:val="TableofFigures"/>
    <w:qFormat/>
    <w:rsid w:val="00317734"/>
  </w:style>
  <w:style w:type="paragraph" w:styleId="ListBullet">
    <w:name w:val="List Bullet"/>
    <w:basedOn w:val="Normal"/>
    <w:autoRedefine/>
    <w:uiPriority w:val="99"/>
    <w:semiHidden/>
    <w:rsid w:val="003E42C4"/>
    <w:pPr>
      <w:numPr>
        <w:numId w:val="4"/>
      </w:numPr>
    </w:pPr>
  </w:style>
  <w:style w:type="table" w:customStyle="1" w:styleId="GridTable1Light2">
    <w:name w:val="Grid Table 1 Light2"/>
    <w:basedOn w:val="TableNormal"/>
    <w:next w:val="Svijetlatablicareetke11"/>
    <w:uiPriority w:val="46"/>
    <w:rsid w:val="0007533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99"/>
    <w:rsid w:val="00E1593D"/>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table" w:customStyle="1" w:styleId="GridTable1Light11">
    <w:name w:val="Grid Table 1 Light11"/>
    <w:basedOn w:val="TableNormal"/>
    <w:uiPriority w:val="46"/>
    <w:rsid w:val="00E1593D"/>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81">
    <w:name w:val="font81"/>
    <w:basedOn w:val="DefaultParagraphFont"/>
    <w:rsid w:val="00E94CFB"/>
    <w:rPr>
      <w:rFonts w:ascii="Calibri" w:hAnsi="Calibri" w:hint="default"/>
      <w:b w:val="0"/>
      <w:bCs w:val="0"/>
      <w:i w:val="0"/>
      <w:iCs w:val="0"/>
      <w:strike w:val="0"/>
      <w:dstrike w:val="0"/>
      <w:color w:val="000000"/>
      <w:sz w:val="22"/>
      <w:szCs w:val="22"/>
      <w:u w:val="none"/>
      <w:effect w:val="none"/>
    </w:rPr>
  </w:style>
  <w:style w:type="character" w:customStyle="1" w:styleId="NaslovslikaChar">
    <w:name w:val="Naslov slika Char"/>
    <w:link w:val="Naslovslika"/>
    <w:uiPriority w:val="99"/>
    <w:rsid w:val="006F6D8A"/>
    <w:rPr>
      <w:b/>
      <w:sz w:val="20"/>
      <w:szCs w:val="28"/>
    </w:rPr>
  </w:style>
  <w:style w:type="character" w:customStyle="1" w:styleId="IzvorChar">
    <w:name w:val="Izvor Char"/>
    <w:link w:val="Izvor"/>
    <w:rsid w:val="006F6D8A"/>
    <w:rPr>
      <w:rFonts w:asciiTheme="minorHAnsi" w:hAnsiTheme="minorHAnsi" w:cs="Arial"/>
      <w:i/>
      <w:sz w:val="20"/>
      <w:lang w:eastAsia="en-US"/>
    </w:rPr>
  </w:style>
  <w:style w:type="table" w:customStyle="1" w:styleId="Obinatablica41">
    <w:name w:val="Obična tablica 41"/>
    <w:basedOn w:val="TableNormal"/>
    <w:uiPriority w:val="44"/>
    <w:rsid w:val="00F01B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vijetlareetkatablice1">
    <w:name w:val="Svijetla rešetka tablice1"/>
    <w:basedOn w:val="TableNormal"/>
    <w:uiPriority w:val="40"/>
    <w:rsid w:val="00683D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inatablica31">
    <w:name w:val="Obična tablica 31"/>
    <w:basedOn w:val="TableNormal"/>
    <w:uiPriority w:val="43"/>
    <w:rsid w:val="001A55A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TMLPreformattedChar">
    <w:name w:val="HTML Preformatted Char"/>
    <w:basedOn w:val="DefaultParagraphFont"/>
    <w:link w:val="HTMLPreformatted"/>
    <w:semiHidden/>
    <w:rsid w:val="005F1038"/>
    <w:rPr>
      <w:rFonts w:ascii="Courier New" w:hAnsi="Courier New" w:cs="Courier New"/>
      <w:sz w:val="20"/>
      <w:szCs w:val="20"/>
    </w:rPr>
  </w:style>
  <w:style w:type="character" w:customStyle="1" w:styleId="UnresolvedMention1">
    <w:name w:val="Unresolved Mention1"/>
    <w:basedOn w:val="DefaultParagraphFont"/>
    <w:uiPriority w:val="99"/>
    <w:semiHidden/>
    <w:unhideWhenUsed/>
    <w:rsid w:val="00D53011"/>
    <w:rPr>
      <w:color w:val="808080"/>
      <w:shd w:val="clear" w:color="auto" w:fill="E6E6E6"/>
    </w:rPr>
  </w:style>
  <w:style w:type="paragraph" w:styleId="EndnoteText">
    <w:name w:val="endnote text"/>
    <w:basedOn w:val="Normal"/>
    <w:link w:val="EndnoteTextChar"/>
    <w:uiPriority w:val="99"/>
    <w:unhideWhenUsed/>
    <w:rsid w:val="003C50D6"/>
    <w:rPr>
      <w:sz w:val="20"/>
      <w:szCs w:val="20"/>
    </w:rPr>
  </w:style>
  <w:style w:type="character" w:customStyle="1" w:styleId="EndnoteTextChar">
    <w:name w:val="Endnote Text Char"/>
    <w:basedOn w:val="DefaultParagraphFont"/>
    <w:link w:val="EndnoteText"/>
    <w:uiPriority w:val="99"/>
    <w:rsid w:val="003C50D6"/>
    <w:rPr>
      <w:rFonts w:asciiTheme="minorHAnsi" w:hAnsiTheme="minorHAnsi"/>
      <w:sz w:val="20"/>
      <w:szCs w:val="20"/>
      <w:lang w:val="en-GB" w:eastAsia="en-GB"/>
    </w:rPr>
  </w:style>
  <w:style w:type="character" w:styleId="EndnoteReference">
    <w:name w:val="endnote reference"/>
    <w:basedOn w:val="DefaultParagraphFont"/>
    <w:uiPriority w:val="99"/>
    <w:semiHidden/>
    <w:unhideWhenUsed/>
    <w:rsid w:val="003C50D6"/>
    <w:rPr>
      <w:vertAlign w:val="superscript"/>
    </w:rPr>
  </w:style>
  <w:style w:type="paragraph" w:styleId="BodyTextIndent">
    <w:name w:val="Body Text Indent"/>
    <w:basedOn w:val="Normal"/>
    <w:link w:val="BodyTextIndentChar"/>
    <w:uiPriority w:val="99"/>
    <w:unhideWhenUsed/>
    <w:rsid w:val="0090780C"/>
    <w:pPr>
      <w:ind w:left="283"/>
    </w:pPr>
  </w:style>
  <w:style w:type="character" w:customStyle="1" w:styleId="BodyTextIndentChar">
    <w:name w:val="Body Text Indent Char"/>
    <w:basedOn w:val="DefaultParagraphFont"/>
    <w:link w:val="BodyTextIndent"/>
    <w:uiPriority w:val="99"/>
    <w:rsid w:val="0090780C"/>
    <w:rPr>
      <w:rFonts w:asciiTheme="minorHAnsi" w:hAnsiTheme="minorHAnsi"/>
      <w:sz w:val="24"/>
      <w:szCs w:val="24"/>
      <w:lang w:val="en-GB" w:eastAsia="en-GB"/>
    </w:rPr>
  </w:style>
  <w:style w:type="paragraph" w:customStyle="1" w:styleId="msonormal0">
    <w:name w:val="msonormal"/>
    <w:basedOn w:val="Normal"/>
    <w:rsid w:val="00965944"/>
    <w:pPr>
      <w:spacing w:before="100" w:beforeAutospacing="1" w:after="100" w:afterAutospacing="1"/>
    </w:pPr>
  </w:style>
  <w:style w:type="paragraph" w:styleId="NoSpacing">
    <w:name w:val="No Spacing"/>
    <w:link w:val="NoSpacingChar"/>
    <w:uiPriority w:val="1"/>
    <w:qFormat/>
    <w:rsid w:val="00965944"/>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965944"/>
    <w:rPr>
      <w:rFonts w:asciiTheme="minorHAnsi" w:eastAsiaTheme="minorEastAsia" w:hAnsiTheme="minorHAnsi" w:cstheme="minorBidi"/>
    </w:rPr>
  </w:style>
  <w:style w:type="table" w:customStyle="1" w:styleId="Svijetlatablicareetke-isticanje11">
    <w:name w:val="Svijetla tablica rešetke - isticanje 11"/>
    <w:basedOn w:val="TableNormal"/>
    <w:uiPriority w:val="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443A05"/>
    <w:rPr>
      <w:rFonts w:asciiTheme="minorHAnsi" w:hAnsiTheme="minorHAnsi" w:cs="Arial"/>
      <w:iCs/>
      <w:color w:val="BE1D2D"/>
      <w:kern w:val="32"/>
      <w:szCs w:val="28"/>
      <w:lang w:eastAsia="en-US"/>
    </w:rPr>
  </w:style>
  <w:style w:type="character" w:customStyle="1" w:styleId="Heading7Char">
    <w:name w:val="Heading 7 Char"/>
    <w:basedOn w:val="DefaultParagraphFont"/>
    <w:link w:val="Heading7"/>
    <w:uiPriority w:val="9"/>
    <w:rsid w:val="004F78AB"/>
    <w:rPr>
      <w:rFonts w:ascii="Calibri" w:hAnsi="Calibri"/>
      <w:sz w:val="24"/>
      <w:szCs w:val="24"/>
      <w:lang w:eastAsia="en-GB"/>
    </w:rPr>
  </w:style>
  <w:style w:type="character" w:customStyle="1" w:styleId="Heading8Char">
    <w:name w:val="Heading 8 Char"/>
    <w:basedOn w:val="DefaultParagraphFont"/>
    <w:link w:val="Heading8"/>
    <w:uiPriority w:val="9"/>
    <w:rsid w:val="004F78AB"/>
    <w:rPr>
      <w:rFonts w:ascii="Calibri" w:hAnsi="Calibri"/>
      <w:i/>
      <w:iCs/>
      <w:sz w:val="24"/>
      <w:szCs w:val="24"/>
      <w:lang w:eastAsia="en-GB"/>
    </w:rPr>
  </w:style>
  <w:style w:type="character" w:customStyle="1" w:styleId="Heading9Char">
    <w:name w:val="Heading 9 Char"/>
    <w:basedOn w:val="DefaultParagraphFont"/>
    <w:link w:val="Heading9"/>
    <w:uiPriority w:val="9"/>
    <w:rsid w:val="004F78AB"/>
    <w:rPr>
      <w:rFonts w:asciiTheme="minorHAnsi" w:hAnsiTheme="minorHAnsi" w:cs="Arial"/>
      <w:lang w:eastAsia="en-US"/>
    </w:rPr>
  </w:style>
  <w:style w:type="character" w:customStyle="1" w:styleId="DocumentMapChar">
    <w:name w:val="Document Map Char"/>
    <w:basedOn w:val="DefaultParagraphFont"/>
    <w:link w:val="DocumentMap"/>
    <w:semiHidden/>
    <w:rsid w:val="004F78AB"/>
    <w:rPr>
      <w:rFonts w:ascii="Tahoma" w:hAnsi="Tahoma" w:cs="Tahoma"/>
      <w:sz w:val="20"/>
      <w:szCs w:val="20"/>
      <w:shd w:val="clear" w:color="auto" w:fill="000080"/>
    </w:rPr>
  </w:style>
  <w:style w:type="character" w:customStyle="1" w:styleId="E-mailSignatureChar">
    <w:name w:val="E-mail Signature Char"/>
    <w:basedOn w:val="DefaultParagraphFont"/>
    <w:link w:val="E-mailSignature"/>
    <w:semiHidden/>
    <w:rsid w:val="004F78AB"/>
    <w:rPr>
      <w:rFonts w:asciiTheme="minorHAnsi" w:hAnsiTheme="minorHAnsi"/>
      <w:sz w:val="24"/>
      <w:szCs w:val="24"/>
      <w:lang w:val="en-GB" w:eastAsia="en-GB"/>
    </w:rPr>
  </w:style>
  <w:style w:type="character" w:customStyle="1" w:styleId="HTMLAddressChar">
    <w:name w:val="HTML Address Char"/>
    <w:basedOn w:val="DefaultParagraphFont"/>
    <w:link w:val="HTMLAddress"/>
    <w:semiHidden/>
    <w:rsid w:val="004F78AB"/>
    <w:rPr>
      <w:rFonts w:asciiTheme="minorHAnsi" w:hAnsiTheme="minorHAnsi"/>
      <w:i/>
      <w:iCs/>
      <w:sz w:val="24"/>
      <w:szCs w:val="24"/>
      <w:lang w:val="en-GB" w:eastAsia="en-GB"/>
    </w:rPr>
  </w:style>
  <w:style w:type="character" w:customStyle="1" w:styleId="CommentSubjectChar">
    <w:name w:val="Comment Subject Char"/>
    <w:basedOn w:val="CommentTextChar"/>
    <w:link w:val="CommentSubject"/>
    <w:uiPriority w:val="99"/>
    <w:semiHidden/>
    <w:rsid w:val="004F78AB"/>
    <w:rPr>
      <w:rFonts w:ascii="Myriad Pro" w:hAnsi="Myriad Pro" w:cs="Myriad Pro"/>
      <w:b/>
      <w:bCs/>
      <w:sz w:val="20"/>
      <w:szCs w:val="20"/>
      <w:lang w:val="en-GB" w:eastAsia="de-DE" w:bidi="ar-SA"/>
    </w:rPr>
  </w:style>
  <w:style w:type="table" w:customStyle="1" w:styleId="GridTable1Light12">
    <w:name w:val="Grid Table 1 Light12"/>
    <w:basedOn w:val="TableNormal"/>
    <w:uiPriority w:val="46"/>
    <w:rsid w:val="004F78AB"/>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aption-tbl">
    <w:name w:val="Caption-tbl"/>
    <w:basedOn w:val="Normal"/>
    <w:next w:val="Normal"/>
    <w:rsid w:val="004F78AB"/>
    <w:pPr>
      <w:keepNext/>
      <w:spacing w:before="270" w:after="90"/>
      <w:jc w:val="center"/>
    </w:pPr>
    <w:rPr>
      <w:b/>
      <w:i/>
      <w:sz w:val="20"/>
      <w:lang w:eastAsia="ko-KR"/>
    </w:rPr>
  </w:style>
  <w:style w:type="paragraph" w:styleId="Bibliography">
    <w:name w:val="Bibliography"/>
    <w:basedOn w:val="Normal"/>
    <w:next w:val="Normal"/>
    <w:uiPriority w:val="37"/>
    <w:unhideWhenUsed/>
    <w:rsid w:val="004F78AB"/>
    <w:pPr>
      <w:spacing w:before="120"/>
    </w:pPr>
  </w:style>
  <w:style w:type="paragraph" w:customStyle="1" w:styleId="Bullets">
    <w:name w:val="Bullets"/>
    <w:basedOn w:val="Normal"/>
    <w:rsid w:val="004F78AB"/>
    <w:pPr>
      <w:numPr>
        <w:numId w:val="5"/>
      </w:numPr>
      <w:spacing w:before="90" w:after="90"/>
    </w:pPr>
    <w:rPr>
      <w:lang w:eastAsia="ko-KR"/>
    </w:rPr>
  </w:style>
  <w:style w:type="paragraph" w:customStyle="1" w:styleId="Caption-sl">
    <w:name w:val="Caption-sl"/>
    <w:basedOn w:val="Caption"/>
    <w:next w:val="Normal"/>
    <w:link w:val="Caption-slChar"/>
    <w:rsid w:val="004F78AB"/>
    <w:pPr>
      <w:tabs>
        <w:tab w:val="clear" w:pos="1021"/>
      </w:tabs>
      <w:spacing w:before="0" w:after="270"/>
    </w:pPr>
    <w:rPr>
      <w:rFonts w:ascii="Times New Roman" w:hAnsi="Times New Roman"/>
      <w:i/>
      <w:szCs w:val="20"/>
      <w:lang w:eastAsia="ko-KR"/>
    </w:rPr>
  </w:style>
  <w:style w:type="character" w:customStyle="1" w:styleId="Caption-slChar">
    <w:name w:val="Caption-sl Char"/>
    <w:basedOn w:val="DefaultParagraphFont"/>
    <w:link w:val="Caption-sl"/>
    <w:rsid w:val="004F78AB"/>
    <w:rPr>
      <w:rFonts w:ascii="Times New Roman" w:hAnsi="Times New Roman"/>
      <w:b/>
      <w:i/>
      <w:sz w:val="20"/>
      <w:szCs w:val="20"/>
      <w:lang w:val="en-GB" w:eastAsia="ko-KR"/>
    </w:rPr>
  </w:style>
  <w:style w:type="paragraph" w:styleId="BodyText3">
    <w:name w:val="Body Text 3"/>
    <w:basedOn w:val="Normal"/>
    <w:link w:val="BodyText3Char"/>
    <w:semiHidden/>
    <w:rsid w:val="004F78AB"/>
    <w:rPr>
      <w:sz w:val="16"/>
      <w:szCs w:val="16"/>
    </w:rPr>
  </w:style>
  <w:style w:type="character" w:customStyle="1" w:styleId="BodyText3Char">
    <w:name w:val="Body Text 3 Char"/>
    <w:basedOn w:val="DefaultParagraphFont"/>
    <w:link w:val="BodyText3"/>
    <w:semiHidden/>
    <w:rsid w:val="004F78AB"/>
    <w:rPr>
      <w:rFonts w:asciiTheme="minorHAnsi" w:hAnsiTheme="minorHAnsi"/>
      <w:sz w:val="16"/>
      <w:szCs w:val="16"/>
      <w:lang w:val="en-GB" w:eastAsia="en-GB"/>
    </w:rPr>
  </w:style>
  <w:style w:type="paragraph" w:styleId="BlockText">
    <w:name w:val="Block Text"/>
    <w:basedOn w:val="Normal"/>
    <w:semiHidden/>
    <w:rsid w:val="004F78AB"/>
    <w:pPr>
      <w:ind w:left="1440" w:right="1440"/>
    </w:pPr>
  </w:style>
  <w:style w:type="table" w:customStyle="1" w:styleId="TableGrid2">
    <w:name w:val="Table Grid2"/>
    <w:basedOn w:val="TableNormal"/>
    <w:next w:val="TableGrid"/>
    <w:uiPriority w:val="39"/>
    <w:rsid w:val="004F7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4F78AB"/>
  </w:style>
  <w:style w:type="paragraph" w:customStyle="1" w:styleId="fusnota">
    <w:name w:val="fusnota"/>
    <w:basedOn w:val="FootnoteText"/>
    <w:link w:val="fusnotaChar"/>
    <w:rsid w:val="004F78AB"/>
    <w:pPr>
      <w:spacing w:before="120" w:after="60"/>
    </w:pPr>
    <w:rPr>
      <w:sz w:val="18"/>
      <w:lang w:eastAsia="hr-HR"/>
    </w:rPr>
  </w:style>
  <w:style w:type="character" w:customStyle="1" w:styleId="fusnotaChar">
    <w:name w:val="fusnota Char"/>
    <w:link w:val="fusnota"/>
    <w:rsid w:val="004F78AB"/>
    <w:rPr>
      <w:rFonts w:asciiTheme="minorHAnsi" w:hAnsiTheme="minorHAnsi" w:cs="Arial"/>
      <w:sz w:val="18"/>
      <w:szCs w:val="20"/>
    </w:rPr>
  </w:style>
  <w:style w:type="table" w:customStyle="1" w:styleId="GridTable1Light-Accent51">
    <w:name w:val="Grid Table 1 Light - Accent 51"/>
    <w:basedOn w:val="TableNormal"/>
    <w:uiPriority w:val="46"/>
    <w:rsid w:val="004F78AB"/>
    <w:rPr>
      <w:rFonts w:asciiTheme="minorHAnsi" w:eastAsiaTheme="minorHAnsi" w:hAnsiTheme="minorHAnsi" w:cstheme="minorBid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t-9-8">
    <w:name w:val="t-9-8"/>
    <w:basedOn w:val="Normal"/>
    <w:rsid w:val="004F78AB"/>
    <w:pPr>
      <w:spacing w:before="100" w:beforeAutospacing="1" w:after="100" w:afterAutospacing="1"/>
    </w:pPr>
  </w:style>
  <w:style w:type="table" w:customStyle="1" w:styleId="GridTable1Light3">
    <w:name w:val="Grid Table 1 Light3"/>
    <w:basedOn w:val="TableNormal"/>
    <w:next w:val="Svijetlatablicareetke11"/>
    <w:uiPriority w:val="46"/>
    <w:rsid w:val="00625B21"/>
    <w:rPr>
      <w:rFonts w:ascii="Calibri" w:eastAsia="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117CFE"/>
    <w:pPr>
      <w:spacing w:after="100"/>
      <w:ind w:left="660"/>
    </w:pPr>
    <w:rPr>
      <w:rFonts w:cstheme="minorBidi"/>
    </w:rPr>
  </w:style>
  <w:style w:type="paragraph" w:styleId="TOC7">
    <w:name w:val="toc 7"/>
    <w:basedOn w:val="Normal"/>
    <w:next w:val="Normal"/>
    <w:autoRedefine/>
    <w:uiPriority w:val="39"/>
    <w:unhideWhenUsed/>
    <w:rsid w:val="00117CFE"/>
    <w:pPr>
      <w:spacing w:after="100"/>
      <w:ind w:left="1320"/>
    </w:pPr>
    <w:rPr>
      <w:rFonts w:cstheme="minorBidi"/>
    </w:rPr>
  </w:style>
  <w:style w:type="paragraph" w:styleId="TOC8">
    <w:name w:val="toc 8"/>
    <w:basedOn w:val="Normal"/>
    <w:next w:val="Normal"/>
    <w:autoRedefine/>
    <w:uiPriority w:val="39"/>
    <w:unhideWhenUsed/>
    <w:rsid w:val="00117CFE"/>
    <w:pPr>
      <w:spacing w:after="100"/>
      <w:ind w:left="1540"/>
    </w:pPr>
    <w:rPr>
      <w:rFonts w:cstheme="minorBidi"/>
    </w:rPr>
  </w:style>
  <w:style w:type="paragraph" w:styleId="TOC9">
    <w:name w:val="toc 9"/>
    <w:basedOn w:val="Normal"/>
    <w:next w:val="Normal"/>
    <w:autoRedefine/>
    <w:uiPriority w:val="39"/>
    <w:unhideWhenUsed/>
    <w:rsid w:val="00117CFE"/>
    <w:pPr>
      <w:spacing w:after="100"/>
      <w:ind w:left="1760"/>
    </w:pPr>
    <w:rPr>
      <w:rFonts w:cstheme="minorBidi"/>
    </w:rPr>
  </w:style>
  <w:style w:type="character" w:customStyle="1" w:styleId="UnresolvedMention2">
    <w:name w:val="Unresolved Mention2"/>
    <w:basedOn w:val="DefaultParagraphFont"/>
    <w:uiPriority w:val="99"/>
    <w:semiHidden/>
    <w:unhideWhenUsed/>
    <w:rsid w:val="00117CFE"/>
    <w:rPr>
      <w:color w:val="605E5C"/>
      <w:shd w:val="clear" w:color="auto" w:fill="E1DFDD"/>
    </w:rPr>
  </w:style>
  <w:style w:type="character" w:customStyle="1" w:styleId="UnresolvedMention3">
    <w:name w:val="Unresolved Mention3"/>
    <w:basedOn w:val="DefaultParagraphFont"/>
    <w:uiPriority w:val="99"/>
    <w:semiHidden/>
    <w:unhideWhenUsed/>
    <w:rsid w:val="00BE30A8"/>
    <w:rPr>
      <w:color w:val="605E5C"/>
      <w:shd w:val="clear" w:color="auto" w:fill="E1DFDD"/>
    </w:rPr>
  </w:style>
  <w:style w:type="table" w:customStyle="1" w:styleId="Tamnatablicareetke5-isticanje21">
    <w:name w:val="Tamna tablica rešetke 5 - isticanje 21"/>
    <w:basedOn w:val="TableNormal"/>
    <w:uiPriority w:val="50"/>
    <w:rsid w:val="004533F1"/>
    <w:rPr>
      <w:rFonts w:asciiTheme="minorHAnsi" w:eastAsia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icareetke2-isticanje31">
    <w:name w:val="Tablica rešetke 2 - isticanje 31"/>
    <w:basedOn w:val="TableNormal"/>
    <w:uiPriority w:val="47"/>
    <w:rsid w:val="00535ECA"/>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icareetke4-isticanje31">
    <w:name w:val="Tablica rešetke 4 - isticanje 31"/>
    <w:basedOn w:val="TableNormal"/>
    <w:uiPriority w:val="49"/>
    <w:rsid w:val="00ED381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3">
    <w:name w:val="Table Grid3"/>
    <w:basedOn w:val="TableNormal"/>
    <w:next w:val="TableGrid"/>
    <w:uiPriority w:val="39"/>
    <w:rsid w:val="006D4409"/>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character" w:customStyle="1" w:styleId="ListParagraphChar">
    <w:name w:val="List Paragraph Char"/>
    <w:aliases w:val="REPORT Bullet Char,Nabrajanje Char,Tocka Char,List Paragraph1 Char,KiF bullets Char,UNIZG_ALU_bullet Char,Lettre d'introduction Char,FM Char,Akapit z listą BS Char,Bullet1 Char,References Char,List Paragraph (numbered (a)) Char"/>
    <w:link w:val="ListParagraph"/>
    <w:uiPriority w:val="1"/>
    <w:qFormat/>
    <w:locked/>
    <w:rsid w:val="00E456CD"/>
    <w:rPr>
      <w:rFonts w:asciiTheme="minorHAnsi" w:hAnsiTheme="minorHAnsi" w:cs="Tahoma"/>
      <w:sz w:val="24"/>
      <w:szCs w:val="24"/>
      <w:lang w:val="en-GB" w:eastAsia="ar-SA"/>
    </w:rPr>
  </w:style>
  <w:style w:type="table" w:customStyle="1" w:styleId="TableGrid21">
    <w:name w:val="Table Grid21"/>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A614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DA614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A6146"/>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table" w:customStyle="1" w:styleId="GridTable1Light4">
    <w:name w:val="Grid Table 1 Light4"/>
    <w:basedOn w:val="TableNormal"/>
    <w:next w:val="Svijetlatablicareetke11"/>
    <w:uiPriority w:val="46"/>
    <w:rsid w:val="00DA61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3">
    <w:name w:val="Grid Table 1 Light13"/>
    <w:basedOn w:val="TableNormal"/>
    <w:uiPriority w:val="46"/>
    <w:rsid w:val="00DA6146"/>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next w:val="Obinatablica11"/>
    <w:uiPriority w:val="41"/>
    <w:rsid w:val="00DA61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11">
    <w:name w:val="Table Normal11"/>
    <w:uiPriority w:val="2"/>
    <w:semiHidden/>
    <w:unhideWhenUsed/>
    <w:qFormat/>
    <w:rsid w:val="00DA6146"/>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GridTable1Light21">
    <w:name w:val="Grid Table 1 Light21"/>
    <w:basedOn w:val="TableNormal"/>
    <w:next w:val="Svijetlatablicareetke11"/>
    <w:uiPriority w:val="46"/>
    <w:rsid w:val="00DA61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1">
    <w:name w:val="Table Grid11"/>
    <w:basedOn w:val="TableNormal"/>
    <w:next w:val="TableGrid"/>
    <w:rsid w:val="00DA6146"/>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table" w:customStyle="1" w:styleId="GridTable1Light111">
    <w:name w:val="Grid Table 1 Light111"/>
    <w:basedOn w:val="TableNormal"/>
    <w:uiPriority w:val="46"/>
    <w:rsid w:val="00DA6146"/>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next w:val="Obinatablica41"/>
    <w:uiPriority w:val="44"/>
    <w:rsid w:val="00DA61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Svijetlareetkatablice1"/>
    <w:uiPriority w:val="40"/>
    <w:rsid w:val="00DA61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next w:val="Obinatablica31"/>
    <w:uiPriority w:val="43"/>
    <w:rsid w:val="00DA614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
    <w:name w:val="Grid Table 1 Light - Accent 11"/>
    <w:basedOn w:val="TableNormal"/>
    <w:next w:val="Svijetlatablicareetke-isticanje11"/>
    <w:uiPriority w:val="46"/>
    <w:rsid w:val="00DA61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DA6146"/>
    <w:pPr>
      <w:numPr>
        <w:ilvl w:val="1"/>
      </w:numPr>
    </w:pPr>
    <w:rPr>
      <w:rFonts w:cstheme="minorBidi"/>
      <w:color w:val="5A5A5A" w:themeColor="text1" w:themeTint="A5"/>
      <w:spacing w:val="15"/>
    </w:rPr>
  </w:style>
  <w:style w:type="character" w:customStyle="1" w:styleId="SubtitleChar">
    <w:name w:val="Subtitle Char"/>
    <w:basedOn w:val="DefaultParagraphFont"/>
    <w:link w:val="Subtitle"/>
    <w:uiPriority w:val="11"/>
    <w:rsid w:val="00DA6146"/>
    <w:rPr>
      <w:rFonts w:asciiTheme="minorHAnsi" w:eastAsiaTheme="minorEastAsia" w:hAnsiTheme="minorHAnsi" w:cstheme="minorBidi"/>
      <w:color w:val="5A5A5A" w:themeColor="text1" w:themeTint="A5"/>
      <w:spacing w:val="15"/>
      <w:lang w:eastAsia="en-US"/>
    </w:rPr>
  </w:style>
  <w:style w:type="character" w:styleId="SubtleEmphasis">
    <w:name w:val="Subtle Emphasis"/>
    <w:basedOn w:val="DefaultParagraphFont"/>
    <w:uiPriority w:val="19"/>
    <w:qFormat/>
    <w:rsid w:val="00DA6146"/>
    <w:rPr>
      <w:i/>
      <w:iCs/>
      <w:color w:val="404040" w:themeColor="text1" w:themeTint="BF"/>
    </w:rPr>
  </w:style>
  <w:style w:type="character" w:styleId="Emphasis">
    <w:name w:val="Emphasis"/>
    <w:basedOn w:val="DefaultParagraphFont"/>
    <w:uiPriority w:val="20"/>
    <w:qFormat/>
    <w:rsid w:val="00DA6146"/>
    <w:rPr>
      <w:i/>
      <w:iCs/>
    </w:rPr>
  </w:style>
  <w:style w:type="table" w:customStyle="1" w:styleId="TableGrid27">
    <w:name w:val="Table Grid27"/>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DA614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0671E6"/>
    <w:rPr>
      <w:color w:val="605E5C"/>
      <w:shd w:val="clear" w:color="auto" w:fill="E1DFDD"/>
    </w:rPr>
  </w:style>
  <w:style w:type="character" w:customStyle="1" w:styleId="UnresolvedMention5">
    <w:name w:val="Unresolved Mention5"/>
    <w:basedOn w:val="DefaultParagraphFont"/>
    <w:uiPriority w:val="99"/>
    <w:semiHidden/>
    <w:unhideWhenUsed/>
    <w:rsid w:val="007B4973"/>
    <w:rPr>
      <w:color w:val="605E5C"/>
      <w:shd w:val="clear" w:color="auto" w:fill="E1DFDD"/>
    </w:rPr>
  </w:style>
  <w:style w:type="character" w:customStyle="1" w:styleId="UnresolvedMention6">
    <w:name w:val="Unresolved Mention6"/>
    <w:basedOn w:val="DefaultParagraphFont"/>
    <w:uiPriority w:val="99"/>
    <w:semiHidden/>
    <w:unhideWhenUsed/>
    <w:rsid w:val="00524046"/>
    <w:rPr>
      <w:color w:val="605E5C"/>
      <w:shd w:val="clear" w:color="auto" w:fill="E1DFDD"/>
    </w:rPr>
  </w:style>
  <w:style w:type="character" w:customStyle="1" w:styleId="UnresolvedMention7">
    <w:name w:val="Unresolved Mention7"/>
    <w:basedOn w:val="DefaultParagraphFont"/>
    <w:uiPriority w:val="99"/>
    <w:semiHidden/>
    <w:unhideWhenUsed/>
    <w:rsid w:val="003F5A4C"/>
    <w:rPr>
      <w:color w:val="605E5C"/>
      <w:shd w:val="clear" w:color="auto" w:fill="E1DFDD"/>
    </w:rPr>
  </w:style>
  <w:style w:type="character" w:customStyle="1" w:styleId="kurziv">
    <w:name w:val="kurziv"/>
    <w:basedOn w:val="DefaultParagraphFont"/>
    <w:rsid w:val="00FD0099"/>
  </w:style>
  <w:style w:type="character" w:customStyle="1" w:styleId="fontstyle01">
    <w:name w:val="fontstyle01"/>
    <w:basedOn w:val="DefaultParagraphFont"/>
    <w:rsid w:val="0015358E"/>
    <w:rPr>
      <w:rFonts w:ascii="Times New Roman" w:hAnsi="Times New Roman" w:cs="Times New Roman" w:hint="default"/>
      <w:b w:val="0"/>
      <w:bCs w:val="0"/>
      <w:i w:val="0"/>
      <w:iCs w:val="0"/>
      <w:color w:val="000000"/>
      <w:sz w:val="24"/>
      <w:szCs w:val="24"/>
    </w:rPr>
  </w:style>
  <w:style w:type="paragraph" w:customStyle="1" w:styleId="Point0">
    <w:name w:val="Point 0"/>
    <w:basedOn w:val="Normal"/>
    <w:rsid w:val="001245E9"/>
    <w:pPr>
      <w:spacing w:before="120"/>
      <w:ind w:left="850" w:hanging="850"/>
    </w:pPr>
    <w:rPr>
      <w:rFonts w:eastAsiaTheme="minorHAnsi"/>
    </w:rPr>
  </w:style>
  <w:style w:type="character" w:customStyle="1" w:styleId="CRMarker">
    <w:name w:val="CR Marker"/>
    <w:basedOn w:val="DefaultParagraphFont"/>
    <w:uiPriority w:val="99"/>
    <w:rsid w:val="001245E9"/>
    <w:rPr>
      <w:rFonts w:ascii="Wingdings" w:hAnsi="Wingdings" w:hint="default"/>
    </w:rPr>
  </w:style>
  <w:style w:type="paragraph" w:customStyle="1" w:styleId="Slika">
    <w:name w:val="Slika"/>
    <w:basedOn w:val="Normal"/>
    <w:next w:val="Normal"/>
    <w:link w:val="SlikaChar"/>
    <w:autoRedefine/>
    <w:qFormat/>
    <w:rsid w:val="001245E9"/>
    <w:pPr>
      <w:keepNext/>
      <w:spacing w:before="120"/>
      <w:jc w:val="center"/>
    </w:pPr>
    <w:rPr>
      <w:rFonts w:ascii="Tahoma" w:hAnsi="Tahoma" w:cs="Myriad Pro"/>
      <w:sz w:val="20"/>
    </w:rPr>
  </w:style>
  <w:style w:type="character" w:customStyle="1" w:styleId="SlikaChar">
    <w:name w:val="Slika Char"/>
    <w:basedOn w:val="DefaultParagraphFont"/>
    <w:link w:val="Slika"/>
    <w:rsid w:val="001245E9"/>
    <w:rPr>
      <w:rFonts w:ascii="Tahoma" w:hAnsi="Tahoma" w:cs="Myriad Pro"/>
      <w:sz w:val="20"/>
      <w:szCs w:val="24"/>
      <w:lang w:val="en-GB" w:eastAsia="en-GB"/>
    </w:rPr>
  </w:style>
  <w:style w:type="paragraph" w:customStyle="1" w:styleId="Naslovtablice">
    <w:name w:val="Naslov tablice"/>
    <w:basedOn w:val="Caption"/>
    <w:next w:val="Normal"/>
    <w:link w:val="NaslovtabliceChar"/>
    <w:autoRedefine/>
    <w:qFormat/>
    <w:rsid w:val="001245E9"/>
    <w:pPr>
      <w:keepNext/>
      <w:keepLines/>
      <w:tabs>
        <w:tab w:val="clear" w:pos="1021"/>
      </w:tabs>
      <w:spacing w:after="60"/>
    </w:pPr>
    <w:rPr>
      <w:rFonts w:ascii="Tahoma" w:hAnsi="Tahoma" w:cs="Tahoma"/>
      <w:b w:val="0"/>
      <w:i/>
      <w:iCs/>
      <w:sz w:val="16"/>
      <w:szCs w:val="20"/>
    </w:rPr>
  </w:style>
  <w:style w:type="character" w:customStyle="1" w:styleId="NaslovtabliceChar">
    <w:name w:val="Naslov tablice Char"/>
    <w:basedOn w:val="DefaultParagraphFont"/>
    <w:link w:val="Naslovtablice"/>
    <w:rsid w:val="001245E9"/>
    <w:rPr>
      <w:rFonts w:ascii="Tahoma" w:hAnsi="Tahoma" w:cs="Tahoma"/>
      <w:i/>
      <w:iCs/>
      <w:sz w:val="16"/>
      <w:szCs w:val="20"/>
      <w:lang w:val="en-GB" w:eastAsia="en-GB"/>
    </w:rPr>
  </w:style>
  <w:style w:type="paragraph" w:customStyle="1" w:styleId="Slikanaslov">
    <w:name w:val="Slika naslov"/>
    <w:basedOn w:val="Normal"/>
    <w:next w:val="Normal"/>
    <w:link w:val="SlikanaslovChar"/>
    <w:autoRedefine/>
    <w:uiPriority w:val="99"/>
    <w:qFormat/>
    <w:rsid w:val="001245E9"/>
    <w:pPr>
      <w:keepLines/>
      <w:spacing w:before="60"/>
      <w:jc w:val="center"/>
    </w:pPr>
    <w:rPr>
      <w:rFonts w:ascii="Tahoma" w:hAnsi="Tahoma" w:cs="Tahoma"/>
      <w:bCs/>
      <w:i/>
      <w:sz w:val="16"/>
      <w:szCs w:val="28"/>
    </w:rPr>
  </w:style>
  <w:style w:type="paragraph" w:customStyle="1" w:styleId="Tblnaslov">
    <w:name w:val="Tbl naslov"/>
    <w:basedOn w:val="Normal"/>
    <w:next w:val="Normal"/>
    <w:link w:val="TblnaslovChar"/>
    <w:qFormat/>
    <w:rsid w:val="001245E9"/>
    <w:pPr>
      <w:keepNext/>
      <w:keepLines/>
      <w:spacing w:before="120" w:after="60"/>
      <w:jc w:val="right"/>
    </w:pPr>
    <w:rPr>
      <w:rFonts w:ascii="Tahoma" w:hAnsi="Tahoma" w:cs="Myriad Pro"/>
      <w:i/>
      <w:sz w:val="16"/>
      <w:lang w:eastAsia="de-DE"/>
    </w:rPr>
  </w:style>
  <w:style w:type="character" w:customStyle="1" w:styleId="SlikanaslovChar">
    <w:name w:val="Slika naslov Char"/>
    <w:basedOn w:val="DefaultParagraphFont"/>
    <w:link w:val="Slikanaslov"/>
    <w:uiPriority w:val="99"/>
    <w:rsid w:val="001245E9"/>
    <w:rPr>
      <w:rFonts w:ascii="Tahoma" w:hAnsi="Tahoma" w:cs="Tahoma"/>
      <w:bCs/>
      <w:i/>
      <w:sz w:val="16"/>
      <w:szCs w:val="28"/>
      <w:lang w:val="en-GB" w:eastAsia="en-GB"/>
    </w:rPr>
  </w:style>
  <w:style w:type="character" w:customStyle="1" w:styleId="TblnaslovChar">
    <w:name w:val="Tbl naslov Char"/>
    <w:basedOn w:val="DefaultParagraphFont"/>
    <w:link w:val="Tblnaslov"/>
    <w:rsid w:val="001245E9"/>
    <w:rPr>
      <w:rFonts w:ascii="Tahoma" w:hAnsi="Tahoma" w:cs="Myriad Pro"/>
      <w:i/>
      <w:sz w:val="16"/>
      <w:szCs w:val="24"/>
      <w:lang w:val="en-GB" w:eastAsia="de-DE"/>
    </w:rPr>
  </w:style>
  <w:style w:type="character" w:customStyle="1" w:styleId="UnresolvedMention8">
    <w:name w:val="Unresolved Mention8"/>
    <w:basedOn w:val="DefaultParagraphFont"/>
    <w:uiPriority w:val="99"/>
    <w:semiHidden/>
    <w:unhideWhenUsed/>
    <w:rsid w:val="0077091E"/>
    <w:rPr>
      <w:color w:val="605E5C"/>
      <w:shd w:val="clear" w:color="auto" w:fill="E1DFDD"/>
    </w:rPr>
  </w:style>
  <w:style w:type="paragraph" w:customStyle="1" w:styleId="normal-000013">
    <w:name w:val="normal-000013"/>
    <w:basedOn w:val="Normal"/>
    <w:rsid w:val="00FF0CF3"/>
    <w:pPr>
      <w:spacing w:after="135"/>
    </w:pPr>
    <w:rPr>
      <w:rFonts w:cs="Calibri"/>
    </w:rPr>
  </w:style>
  <w:style w:type="paragraph" w:customStyle="1" w:styleId="normal-000017">
    <w:name w:val="normal-000017"/>
    <w:basedOn w:val="Normal"/>
    <w:rsid w:val="00FF0CF3"/>
    <w:pPr>
      <w:spacing w:after="135"/>
    </w:pPr>
    <w:rPr>
      <w:rFonts w:cs="Calibri"/>
      <w:sz w:val="20"/>
      <w:szCs w:val="20"/>
    </w:rPr>
  </w:style>
  <w:style w:type="paragraph" w:customStyle="1" w:styleId="normal-000052">
    <w:name w:val="normal-000052"/>
    <w:basedOn w:val="Normal"/>
    <w:rsid w:val="00FF0CF3"/>
    <w:pPr>
      <w:spacing w:after="135"/>
      <w:jc w:val="center"/>
    </w:pPr>
    <w:rPr>
      <w:rFonts w:cs="Calibri"/>
      <w:sz w:val="20"/>
      <w:szCs w:val="20"/>
    </w:rPr>
  </w:style>
  <w:style w:type="character" w:customStyle="1" w:styleId="zadanifontodlomka-000018">
    <w:name w:val="zadanifontodlomka-000018"/>
    <w:basedOn w:val="DefaultParagraphFont"/>
    <w:rsid w:val="00FF0CF3"/>
    <w:rPr>
      <w:rFonts w:ascii="Calibri" w:hAnsi="Calibri" w:cs="Calibri" w:hint="default"/>
      <w:b w:val="0"/>
      <w:bCs w:val="0"/>
      <w:sz w:val="20"/>
      <w:szCs w:val="20"/>
    </w:rPr>
  </w:style>
  <w:style w:type="character" w:customStyle="1" w:styleId="zadanifontodlomka-000053">
    <w:name w:val="zadanifontodlomka-000053"/>
    <w:basedOn w:val="DefaultParagraphFont"/>
    <w:rsid w:val="00FF0CF3"/>
    <w:rPr>
      <w:rFonts w:ascii="Calibri" w:hAnsi="Calibri" w:cs="Calibri" w:hint="default"/>
      <w:b/>
      <w:bCs/>
      <w:sz w:val="20"/>
      <w:szCs w:val="20"/>
    </w:rPr>
  </w:style>
  <w:style w:type="paragraph" w:customStyle="1" w:styleId="normal-000139">
    <w:name w:val="normal-000139"/>
    <w:basedOn w:val="Normal"/>
    <w:rsid w:val="000527F4"/>
    <w:pPr>
      <w:spacing w:after="135"/>
    </w:pPr>
    <w:rPr>
      <w:rFonts w:cs="Calibri"/>
      <w:sz w:val="16"/>
      <w:szCs w:val="16"/>
    </w:rPr>
  </w:style>
  <w:style w:type="character" w:customStyle="1" w:styleId="zadanifontodlomka-000079">
    <w:name w:val="zadanifontodlomka-000079"/>
    <w:basedOn w:val="DefaultParagraphFont"/>
    <w:rsid w:val="000527F4"/>
    <w:rPr>
      <w:rFonts w:ascii="Calibri" w:hAnsi="Calibri" w:cs="Calibri" w:hint="default"/>
      <w:b w:val="0"/>
      <w:bCs w:val="0"/>
      <w:sz w:val="16"/>
      <w:szCs w:val="16"/>
    </w:rPr>
  </w:style>
  <w:style w:type="character" w:customStyle="1" w:styleId="zadanifontodlomka-000119">
    <w:name w:val="zadanifontodlomka-000119"/>
    <w:basedOn w:val="DefaultParagraphFont"/>
    <w:rsid w:val="000527F4"/>
    <w:rPr>
      <w:rFonts w:ascii="Calibri" w:hAnsi="Calibri" w:cs="Calibri" w:hint="default"/>
      <w:b w:val="0"/>
      <w:bCs w:val="0"/>
      <w:color w:val="000000"/>
      <w:sz w:val="20"/>
      <w:szCs w:val="20"/>
    </w:rPr>
  </w:style>
  <w:style w:type="character" w:customStyle="1" w:styleId="zadanifontodlomka-000138">
    <w:name w:val="zadanifontodlomka-000138"/>
    <w:basedOn w:val="DefaultParagraphFont"/>
    <w:rsid w:val="000527F4"/>
    <w:rPr>
      <w:rFonts w:ascii="Calibri" w:hAnsi="Calibri" w:cs="Calibri" w:hint="default"/>
      <w:b/>
      <w:bCs/>
      <w:color w:val="000000"/>
      <w:sz w:val="20"/>
      <w:szCs w:val="20"/>
    </w:rPr>
  </w:style>
  <w:style w:type="paragraph" w:customStyle="1" w:styleId="PointManual1">
    <w:name w:val="Point Manual (1)"/>
    <w:basedOn w:val="Normal"/>
    <w:rsid w:val="001E4E55"/>
    <w:pPr>
      <w:spacing w:before="120" w:line="360" w:lineRule="auto"/>
      <w:ind w:left="1134" w:hanging="567"/>
    </w:pPr>
    <w:rPr>
      <w:rFonts w:eastAsia="Calibri"/>
    </w:rPr>
  </w:style>
  <w:style w:type="character" w:customStyle="1" w:styleId="Nerijeenospominjanje1">
    <w:name w:val="Neriješeno spominjanje1"/>
    <w:basedOn w:val="DefaultParagraphFont"/>
    <w:uiPriority w:val="99"/>
    <w:semiHidden/>
    <w:unhideWhenUsed/>
    <w:rsid w:val="00EF3815"/>
    <w:rPr>
      <w:color w:val="605E5C"/>
      <w:shd w:val="clear" w:color="auto" w:fill="E1DFDD"/>
    </w:rPr>
  </w:style>
  <w:style w:type="paragraph" w:customStyle="1" w:styleId="Text2">
    <w:name w:val="Text 2"/>
    <w:basedOn w:val="Normal"/>
    <w:rsid w:val="004A5913"/>
    <w:pPr>
      <w:spacing w:before="120" w:line="360" w:lineRule="auto"/>
      <w:ind w:left="1134"/>
    </w:pPr>
    <w:rPr>
      <w:rFonts w:eastAsia="Calibri"/>
    </w:rPr>
  </w:style>
  <w:style w:type="paragraph" w:customStyle="1" w:styleId="Annex">
    <w:name w:val="Annex"/>
    <w:basedOn w:val="Normal"/>
    <w:next w:val="Normal"/>
    <w:rsid w:val="004A5913"/>
    <w:pPr>
      <w:spacing w:before="120" w:line="360" w:lineRule="auto"/>
      <w:jc w:val="right"/>
    </w:pPr>
    <w:rPr>
      <w:rFonts w:eastAsia="Calibri"/>
      <w:b/>
      <w:u w:val="single"/>
    </w:rPr>
  </w:style>
  <w:style w:type="paragraph" w:customStyle="1" w:styleId="ManualNumPar1">
    <w:name w:val="Manual NumPar 1"/>
    <w:basedOn w:val="Normal"/>
    <w:next w:val="Normal"/>
    <w:rsid w:val="004A5913"/>
    <w:pPr>
      <w:spacing w:before="120" w:line="360" w:lineRule="auto"/>
      <w:ind w:left="850" w:hanging="850"/>
    </w:pPr>
    <w:rPr>
      <w:rFonts w:eastAsia="Calibri"/>
    </w:rPr>
  </w:style>
  <w:style w:type="paragraph" w:customStyle="1" w:styleId="ManualNumPar2">
    <w:name w:val="Manual NumPar 2"/>
    <w:basedOn w:val="Normal"/>
    <w:next w:val="Normal"/>
    <w:rsid w:val="004A5913"/>
    <w:pPr>
      <w:spacing w:before="120" w:line="360" w:lineRule="auto"/>
      <w:ind w:left="850" w:hanging="850"/>
    </w:pPr>
    <w:rPr>
      <w:rFonts w:eastAsia="Calibri"/>
    </w:rPr>
  </w:style>
  <w:style w:type="character" w:customStyle="1" w:styleId="defaultparagraphfont-000015">
    <w:name w:val="defaultparagraphfont-000015"/>
    <w:basedOn w:val="DefaultParagraphFont"/>
    <w:rsid w:val="004A5913"/>
    <w:rPr>
      <w:rFonts w:ascii="Minion Pro" w:hAnsi="Minion Pro" w:hint="default"/>
      <w:b w:val="0"/>
      <w:bCs w:val="0"/>
      <w:sz w:val="24"/>
      <w:szCs w:val="24"/>
    </w:rPr>
  </w:style>
  <w:style w:type="paragraph" w:customStyle="1" w:styleId="Normal1">
    <w:name w:val="Normal1"/>
    <w:basedOn w:val="Normal"/>
    <w:rsid w:val="004A5913"/>
    <w:pPr>
      <w:spacing w:before="100" w:beforeAutospacing="1" w:after="210"/>
    </w:pPr>
  </w:style>
  <w:style w:type="character" w:customStyle="1" w:styleId="defaultparagraphfont-000005">
    <w:name w:val="defaultparagraphfont-000005"/>
    <w:basedOn w:val="DefaultParagraphFont"/>
    <w:rsid w:val="004A5913"/>
    <w:rPr>
      <w:rFonts w:ascii="Times New Roman" w:hAnsi="Times New Roman" w:cs="Times New Roman" w:hint="default"/>
      <w:b w:val="0"/>
      <w:bCs w:val="0"/>
      <w:sz w:val="24"/>
      <w:szCs w:val="24"/>
    </w:rPr>
  </w:style>
  <w:style w:type="character" w:styleId="PlaceholderText">
    <w:name w:val="Placeholder Text"/>
    <w:basedOn w:val="DefaultParagraphFont"/>
    <w:uiPriority w:val="99"/>
    <w:semiHidden/>
    <w:rsid w:val="004A5913"/>
    <w:rPr>
      <w:color w:val="808080"/>
    </w:rPr>
  </w:style>
  <w:style w:type="paragraph" w:customStyle="1" w:styleId="xmsonormal">
    <w:name w:val="x_msonormal"/>
    <w:basedOn w:val="Normal"/>
    <w:rsid w:val="002E5F2E"/>
    <w:rPr>
      <w:rFonts w:eastAsiaTheme="minorHAnsi" w:cs="Calibri"/>
    </w:rPr>
  </w:style>
  <w:style w:type="paragraph" w:customStyle="1" w:styleId="Tabletext">
    <w:name w:val="Table text"/>
    <w:basedOn w:val="Normal"/>
    <w:uiPriority w:val="99"/>
    <w:rsid w:val="00A646A2"/>
    <w:pPr>
      <w:tabs>
        <w:tab w:val="right" w:pos="8504"/>
      </w:tabs>
      <w:spacing w:before="40" w:after="40"/>
    </w:pPr>
    <w:rPr>
      <w:sz w:val="18"/>
      <w:szCs w:val="20"/>
      <w:lang w:val="de-DE" w:eastAsia="de-DE"/>
    </w:rPr>
  </w:style>
  <w:style w:type="paragraph" w:styleId="Title">
    <w:name w:val="Title"/>
    <w:basedOn w:val="Normal"/>
    <w:next w:val="Normal"/>
    <w:link w:val="TitleChar"/>
    <w:uiPriority w:val="10"/>
    <w:qFormat/>
    <w:rsid w:val="006119C9"/>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119C9"/>
    <w:rPr>
      <w:rFonts w:asciiTheme="majorHAnsi" w:eastAsiaTheme="majorEastAsia" w:hAnsiTheme="majorHAnsi" w:cstheme="majorBidi"/>
      <w:caps/>
      <w:color w:val="44546A" w:themeColor="text2"/>
      <w:spacing w:val="-15"/>
      <w:sz w:val="72"/>
      <w:szCs w:val="72"/>
      <w:lang w:val="en-GB" w:eastAsia="en-GB"/>
    </w:rPr>
  </w:style>
  <w:style w:type="paragraph" w:styleId="Quote">
    <w:name w:val="Quote"/>
    <w:basedOn w:val="Normal"/>
    <w:next w:val="Normal"/>
    <w:link w:val="QuoteChar"/>
    <w:uiPriority w:val="29"/>
    <w:qFormat/>
    <w:rsid w:val="006119C9"/>
    <w:pPr>
      <w:spacing w:before="120"/>
      <w:ind w:left="720"/>
    </w:pPr>
    <w:rPr>
      <w:rFonts w:cstheme="minorBidi"/>
      <w:color w:val="44546A" w:themeColor="text2"/>
    </w:rPr>
  </w:style>
  <w:style w:type="character" w:customStyle="1" w:styleId="QuoteChar">
    <w:name w:val="Quote Char"/>
    <w:basedOn w:val="DefaultParagraphFont"/>
    <w:link w:val="Quote"/>
    <w:uiPriority w:val="29"/>
    <w:rsid w:val="006119C9"/>
    <w:rPr>
      <w:rFonts w:asciiTheme="minorHAnsi" w:eastAsiaTheme="minorEastAsia" w:hAnsiTheme="minorHAnsi" w:cstheme="minorBidi"/>
      <w:color w:val="44546A" w:themeColor="text2"/>
      <w:lang w:eastAsia="en-US"/>
    </w:rPr>
  </w:style>
  <w:style w:type="paragraph" w:styleId="IntenseQuote">
    <w:name w:val="Intense Quote"/>
    <w:basedOn w:val="Normal"/>
    <w:next w:val="Normal"/>
    <w:link w:val="IntenseQuoteChar"/>
    <w:uiPriority w:val="30"/>
    <w:qFormat/>
    <w:rsid w:val="006119C9"/>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119C9"/>
    <w:rPr>
      <w:rFonts w:asciiTheme="majorHAnsi" w:eastAsiaTheme="majorEastAsia" w:hAnsiTheme="majorHAnsi" w:cstheme="majorBidi"/>
      <w:color w:val="44546A" w:themeColor="text2"/>
      <w:spacing w:val="-6"/>
      <w:sz w:val="32"/>
      <w:szCs w:val="32"/>
      <w:lang w:val="en-GB" w:eastAsia="en-GB"/>
    </w:rPr>
  </w:style>
  <w:style w:type="character" w:styleId="IntenseEmphasis">
    <w:name w:val="Intense Emphasis"/>
    <w:basedOn w:val="DefaultParagraphFont"/>
    <w:uiPriority w:val="21"/>
    <w:qFormat/>
    <w:rsid w:val="006119C9"/>
    <w:rPr>
      <w:b/>
      <w:bCs/>
      <w:i/>
      <w:iCs/>
    </w:rPr>
  </w:style>
  <w:style w:type="character" w:styleId="SubtleReference">
    <w:name w:val="Subtle Reference"/>
    <w:basedOn w:val="DefaultParagraphFont"/>
    <w:uiPriority w:val="31"/>
    <w:qFormat/>
    <w:rsid w:val="006119C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119C9"/>
    <w:rPr>
      <w:b/>
      <w:bCs/>
      <w:smallCaps/>
      <w:color w:val="44546A" w:themeColor="text2"/>
      <w:u w:val="single"/>
    </w:rPr>
  </w:style>
  <w:style w:type="character" w:styleId="BookTitle">
    <w:name w:val="Book Title"/>
    <w:basedOn w:val="DefaultParagraphFont"/>
    <w:uiPriority w:val="33"/>
    <w:qFormat/>
    <w:rsid w:val="006119C9"/>
    <w:rPr>
      <w:b/>
      <w:bCs/>
      <w:smallCaps/>
      <w:spacing w:val="10"/>
    </w:rPr>
  </w:style>
  <w:style w:type="paragraph" w:customStyle="1" w:styleId="tb-na16">
    <w:name w:val="tb-na16"/>
    <w:basedOn w:val="Normal"/>
    <w:rsid w:val="0049180E"/>
    <w:pPr>
      <w:spacing w:before="100" w:beforeAutospacing="1" w:after="100" w:afterAutospacing="1"/>
    </w:pPr>
  </w:style>
  <w:style w:type="paragraph" w:customStyle="1" w:styleId="t-12-9-fett-s">
    <w:name w:val="t-12-9-fett-s"/>
    <w:basedOn w:val="Normal"/>
    <w:rsid w:val="0049180E"/>
    <w:pPr>
      <w:spacing w:before="100" w:beforeAutospacing="1" w:after="100" w:afterAutospacing="1"/>
    </w:pPr>
  </w:style>
  <w:style w:type="character" w:customStyle="1" w:styleId="UnresolvedMention9">
    <w:name w:val="Unresolved Mention9"/>
    <w:basedOn w:val="DefaultParagraphFont"/>
    <w:uiPriority w:val="99"/>
    <w:semiHidden/>
    <w:unhideWhenUsed/>
    <w:rsid w:val="00661946"/>
    <w:rPr>
      <w:color w:val="605E5C"/>
      <w:shd w:val="clear" w:color="auto" w:fill="E1DFDD"/>
    </w:rPr>
  </w:style>
  <w:style w:type="paragraph" w:customStyle="1" w:styleId="ti-grseq-1">
    <w:name w:val="ti-grseq-1"/>
    <w:basedOn w:val="Normal"/>
    <w:rsid w:val="004F5734"/>
    <w:pPr>
      <w:spacing w:before="100" w:beforeAutospacing="1" w:after="100" w:afterAutospacing="1"/>
    </w:pPr>
  </w:style>
  <w:style w:type="paragraph" w:customStyle="1" w:styleId="xl174">
    <w:name w:val="xl174"/>
    <w:basedOn w:val="Normal"/>
    <w:rsid w:val="00255EB7"/>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color w:val="000000"/>
      <w:sz w:val="16"/>
      <w:szCs w:val="16"/>
    </w:rPr>
  </w:style>
  <w:style w:type="character" w:customStyle="1" w:styleId="UnresolvedMention10">
    <w:name w:val="Unresolved Mention10"/>
    <w:basedOn w:val="DefaultParagraphFont"/>
    <w:uiPriority w:val="99"/>
    <w:semiHidden/>
    <w:unhideWhenUsed/>
    <w:rsid w:val="00B172E3"/>
    <w:rPr>
      <w:color w:val="605E5C"/>
      <w:shd w:val="clear" w:color="auto" w:fill="E1DFDD"/>
    </w:rPr>
  </w:style>
  <w:style w:type="character" w:customStyle="1" w:styleId="zadanifontodlomka-000007">
    <w:name w:val="zadanifontodlomka-000007"/>
    <w:basedOn w:val="DefaultParagraphFont"/>
    <w:rsid w:val="002D4E6B"/>
    <w:rPr>
      <w:rFonts w:ascii="Calibri" w:hAnsi="Calibri" w:cs="Calibri" w:hint="default"/>
      <w:b w:val="0"/>
      <w:bCs w:val="0"/>
    </w:rPr>
  </w:style>
  <w:style w:type="paragraph" w:customStyle="1" w:styleId="000325">
    <w:name w:val="000325"/>
    <w:basedOn w:val="Normal"/>
    <w:rsid w:val="002D4E6B"/>
    <w:pPr>
      <w:spacing w:before="100" w:beforeAutospacing="1"/>
    </w:pPr>
    <w:rPr>
      <w:rFonts w:ascii="Symbol" w:hAnsi="Symbol"/>
    </w:rPr>
  </w:style>
  <w:style w:type="paragraph" w:customStyle="1" w:styleId="standardweb-000323">
    <w:name w:val="standardweb-000323"/>
    <w:basedOn w:val="Normal"/>
    <w:rsid w:val="00220C4F"/>
    <w:pPr>
      <w:spacing w:before="100" w:beforeAutospacing="1"/>
    </w:pPr>
    <w:rPr>
      <w:rFonts w:cs="Calibri"/>
    </w:rPr>
  </w:style>
  <w:style w:type="table" w:customStyle="1" w:styleId="GridTable5Dark-Accent11">
    <w:name w:val="Grid Table 5 Dark - Accent 11"/>
    <w:basedOn w:val="TableNormal"/>
    <w:uiPriority w:val="50"/>
    <w:rsid w:val="00137362"/>
    <w:rPr>
      <w:rFonts w:ascii="Times New Roman" w:hAnsi="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NormalWebChar">
    <w:name w:val="Normal (Web) Char"/>
    <w:link w:val="NormalWeb"/>
    <w:uiPriority w:val="99"/>
    <w:locked/>
    <w:rsid w:val="00785F90"/>
    <w:rPr>
      <w:rFonts w:asciiTheme="minorHAnsi" w:hAnsiTheme="minorHAnsi"/>
      <w:sz w:val="24"/>
      <w:szCs w:val="24"/>
      <w:lang w:val="en-GB" w:eastAsia="en-GB"/>
    </w:rPr>
  </w:style>
  <w:style w:type="table" w:customStyle="1" w:styleId="GridTable1Light14">
    <w:name w:val="Grid Table 1 Light14"/>
    <w:basedOn w:val="TableNormal"/>
    <w:uiPriority w:val="46"/>
    <w:rsid w:val="00C83C24"/>
    <w:rPr>
      <w:lang w:eastAsia="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5">
    <w:name w:val="Grid Table 1 Light15"/>
    <w:basedOn w:val="TableNormal"/>
    <w:uiPriority w:val="46"/>
    <w:rsid w:val="00C83C24"/>
    <w:rPr>
      <w:lang w:eastAsia="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erijeenospominjanje2">
    <w:name w:val="Neriješeno spominjanje2"/>
    <w:basedOn w:val="DefaultParagraphFont"/>
    <w:uiPriority w:val="99"/>
    <w:semiHidden/>
    <w:unhideWhenUsed/>
    <w:rsid w:val="00EF72F7"/>
    <w:rPr>
      <w:color w:val="605E5C"/>
      <w:shd w:val="clear" w:color="auto" w:fill="E1DFDD"/>
    </w:rPr>
  </w:style>
  <w:style w:type="character" w:customStyle="1" w:styleId="longtext">
    <w:name w:val="long_text"/>
    <w:uiPriority w:val="99"/>
    <w:rsid w:val="00E97DEC"/>
  </w:style>
  <w:style w:type="character" w:customStyle="1" w:styleId="Mention1">
    <w:name w:val="Mention1"/>
    <w:basedOn w:val="DefaultParagraphFont"/>
    <w:uiPriority w:val="99"/>
    <w:unhideWhenUsed/>
    <w:rsid w:val="00020EA8"/>
    <w:rPr>
      <w:color w:val="2B579A"/>
      <w:shd w:val="clear" w:color="auto" w:fill="E1DFDD"/>
    </w:rPr>
  </w:style>
  <w:style w:type="character" w:customStyle="1" w:styleId="UnresolvedMention11">
    <w:name w:val="Unresolved Mention11"/>
    <w:basedOn w:val="DefaultParagraphFont"/>
    <w:uiPriority w:val="99"/>
    <w:unhideWhenUsed/>
    <w:rsid w:val="00020EA8"/>
    <w:rPr>
      <w:color w:val="605E5C"/>
      <w:shd w:val="clear" w:color="auto" w:fill="E1DFDD"/>
    </w:rPr>
  </w:style>
  <w:style w:type="paragraph" w:customStyle="1" w:styleId="t-9">
    <w:name w:val="t-9"/>
    <w:basedOn w:val="Normal"/>
    <w:rsid w:val="00E9652B"/>
    <w:pPr>
      <w:spacing w:before="100" w:beforeAutospacing="1" w:after="100" w:afterAutospacing="1"/>
    </w:pPr>
  </w:style>
  <w:style w:type="character" w:customStyle="1" w:styleId="ui-provider">
    <w:name w:val="ui-provider"/>
    <w:basedOn w:val="DefaultParagraphFont"/>
    <w:rsid w:val="00405087"/>
    <w:rPr>
      <w:rFonts w:cs="Times New Roman"/>
    </w:rPr>
  </w:style>
  <w:style w:type="character" w:customStyle="1" w:styleId="cf01">
    <w:name w:val="cf01"/>
    <w:basedOn w:val="DefaultParagraphFont"/>
    <w:rsid w:val="00486E13"/>
    <w:rPr>
      <w:rFonts w:ascii="Segoe UI" w:hAnsi="Segoe UI" w:cs="Segoe UI" w:hint="default"/>
      <w:sz w:val="18"/>
      <w:szCs w:val="18"/>
    </w:rPr>
  </w:style>
  <w:style w:type="paragraph" w:customStyle="1" w:styleId="Broj2">
    <w:name w:val="Broj 2"/>
    <w:basedOn w:val="ListParagraph"/>
    <w:qFormat/>
    <w:rsid w:val="00976F03"/>
    <w:pPr>
      <w:keepLines/>
      <w:tabs>
        <w:tab w:val="clear" w:pos="431"/>
        <w:tab w:val="num" w:pos="360"/>
      </w:tabs>
      <w:spacing w:before="60" w:after="60"/>
      <w:ind w:left="1276" w:hanging="425"/>
    </w:pPr>
    <w:rPr>
      <w:rFonts w:ascii="Tahoma" w:hAnsi="Tahoma" w:cs="Myriad Pro"/>
      <w:sz w:val="20"/>
      <w:lang w:eastAsia="hr-HR"/>
    </w:rPr>
  </w:style>
  <w:style w:type="character" w:customStyle="1" w:styleId="doceo-font-family-base">
    <w:name w:val="doceo-font-family-base"/>
    <w:basedOn w:val="DefaultParagraphFont"/>
    <w:rsid w:val="00D12C93"/>
  </w:style>
  <w:style w:type="table" w:customStyle="1" w:styleId="Svijetlatablicareetke111">
    <w:name w:val="Svijetla tablica rešetke 111"/>
    <w:basedOn w:val="TableNormal"/>
    <w:uiPriority w:val="46"/>
    <w:rsid w:val="00D12C93"/>
    <w:rPr>
      <w:rFonts w:asciiTheme="minorHAnsi" w:eastAsia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Svijetlatablicareetke110">
    <w:name w:val="Svijetla tablica rešetke 110"/>
    <w:basedOn w:val="TableNormal"/>
    <w:uiPriority w:val="46"/>
    <w:rsid w:val="001F5C8B"/>
    <w:rPr>
      <w:rFonts w:asciiTheme="minorHAnsi" w:eastAsia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NECP">
    <w:name w:val="NECP"/>
    <w:basedOn w:val="TableNormal"/>
    <w:uiPriority w:val="99"/>
    <w:rsid w:val="001D3C67"/>
    <w:pPr>
      <w:jc w:val="center"/>
    </w:pPr>
    <w:rPr>
      <w:rFonts w:asciiTheme="minorHAnsi" w:hAnsiTheme="minorHAnsi"/>
      <w:sz w:val="20"/>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jc w:val="center"/>
    </w:trPr>
    <w:tcPr>
      <w:vAlign w:val="center"/>
    </w:tcPr>
    <w:tblStylePr w:type="firstRow">
      <w:pPr>
        <w:jc w:val="center"/>
      </w:pPr>
      <w:rPr>
        <w:b/>
      </w:rPr>
      <w:tblPr/>
      <w:tcPr>
        <w:shd w:val="clear" w:color="auto" w:fill="B4C6E7" w:themeFill="accent5" w:themeFillTint="66"/>
      </w:tcPr>
    </w:tblStylePr>
  </w:style>
  <w:style w:type="character" w:customStyle="1" w:styleId="italic">
    <w:name w:val="italic"/>
    <w:basedOn w:val="DefaultParagraphFont"/>
    <w:rsid w:val="00374C4F"/>
  </w:style>
  <w:style w:type="paragraph" w:customStyle="1" w:styleId="paragraph">
    <w:name w:val="paragraph"/>
    <w:basedOn w:val="Normal"/>
    <w:rsid w:val="00374C4F"/>
    <w:pPr>
      <w:spacing w:before="100" w:beforeAutospacing="1" w:after="100" w:afterAutospacing="1"/>
    </w:pPr>
    <w:rPr>
      <w:rFonts w:ascii="Times New Roman" w:hAnsi="Times New Roman"/>
      <w:lang w:eastAsia="hr-HR"/>
    </w:rPr>
  </w:style>
  <w:style w:type="character" w:customStyle="1" w:styleId="markedcontent">
    <w:name w:val="markedcontent"/>
    <w:basedOn w:val="DefaultParagraphFont"/>
    <w:rsid w:val="00374C4F"/>
  </w:style>
  <w:style w:type="paragraph" w:customStyle="1" w:styleId="Mjeranaslov">
    <w:name w:val="Mjera naslov"/>
    <w:basedOn w:val="Normal"/>
    <w:link w:val="MjeranaslovChar"/>
    <w:qFormat/>
    <w:rsid w:val="00CF06E5"/>
    <w:pPr>
      <w:spacing w:before="360"/>
    </w:pPr>
    <w:rPr>
      <w:b/>
      <w:bCs/>
      <w:color w:val="C00000"/>
    </w:rPr>
  </w:style>
  <w:style w:type="character" w:customStyle="1" w:styleId="MjeranaslovChar">
    <w:name w:val="Mjera naslov Char"/>
    <w:basedOn w:val="DefaultParagraphFont"/>
    <w:link w:val="Mjeranaslov"/>
    <w:rsid w:val="00CF06E5"/>
    <w:rPr>
      <w:rFonts w:ascii="Calibri" w:hAnsi="Calibri"/>
      <w:b/>
      <w:bCs/>
      <w:color w:val="C00000"/>
      <w:sz w:val="24"/>
      <w:szCs w:val="24"/>
      <w:lang w:eastAsia="en-GB"/>
    </w:rPr>
  </w:style>
  <w:style w:type="character" w:customStyle="1" w:styleId="UnresolvedMention12">
    <w:name w:val="Unresolved Mention12"/>
    <w:basedOn w:val="DefaultParagraphFont"/>
    <w:uiPriority w:val="99"/>
    <w:semiHidden/>
    <w:unhideWhenUsed/>
    <w:rsid w:val="00E600F3"/>
    <w:rPr>
      <w:color w:val="605E5C"/>
      <w:shd w:val="clear" w:color="auto" w:fill="E1DFDD"/>
    </w:rPr>
  </w:style>
  <w:style w:type="character" w:customStyle="1" w:styleId="Mention2">
    <w:name w:val="Mention2"/>
    <w:basedOn w:val="DefaultParagraphFont"/>
    <w:uiPriority w:val="99"/>
    <w:unhideWhenUsed/>
    <w:rsid w:val="009D279B"/>
    <w:rPr>
      <w:color w:val="2B579A"/>
      <w:shd w:val="clear" w:color="auto" w:fill="E1DFDD"/>
    </w:rPr>
  </w:style>
  <w:style w:type="character" w:customStyle="1" w:styleId="normaltextrun">
    <w:name w:val="normaltextrun"/>
    <w:basedOn w:val="DefaultParagraphFont"/>
    <w:rsid w:val="00776298"/>
  </w:style>
  <w:style w:type="character" w:customStyle="1" w:styleId="eop">
    <w:name w:val="eop"/>
    <w:basedOn w:val="DefaultParagraphFont"/>
    <w:rsid w:val="00776298"/>
  </w:style>
  <w:style w:type="paragraph" w:customStyle="1" w:styleId="pf0">
    <w:name w:val="pf0"/>
    <w:basedOn w:val="Normal"/>
    <w:rsid w:val="00AA3F25"/>
    <w:pPr>
      <w:spacing w:before="100" w:beforeAutospacing="1" w:after="100" w:afterAutospacing="1"/>
      <w:jc w:val="left"/>
    </w:pPr>
    <w:rPr>
      <w:rFonts w:ascii="Times New Roman" w:hAnsi="Times New Roman"/>
      <w:lang w:eastAsia="hr-HR"/>
    </w:rPr>
  </w:style>
  <w:style w:type="character" w:customStyle="1" w:styleId="Mention3">
    <w:name w:val="Mention3"/>
    <w:basedOn w:val="DefaultParagraphFont"/>
    <w:uiPriority w:val="99"/>
    <w:unhideWhenUsed/>
    <w:rsid w:val="004A3329"/>
    <w:rPr>
      <w:color w:val="2B579A"/>
      <w:shd w:val="clear" w:color="auto" w:fill="E1DFDD"/>
    </w:rPr>
  </w:style>
  <w:style w:type="character" w:styleId="Mention">
    <w:name w:val="Mention"/>
    <w:basedOn w:val="DefaultParagraphFont"/>
    <w:uiPriority w:val="99"/>
    <w:unhideWhenUsed/>
    <w:rsid w:val="00762EAE"/>
    <w:rPr>
      <w:color w:val="2B579A"/>
      <w:shd w:val="clear" w:color="auto" w:fill="E1DFDD"/>
    </w:rPr>
  </w:style>
  <w:style w:type="character" w:styleId="UnresolvedMention">
    <w:name w:val="Unresolved Mention"/>
    <w:basedOn w:val="DefaultParagraphFont"/>
    <w:uiPriority w:val="99"/>
    <w:semiHidden/>
    <w:unhideWhenUsed/>
    <w:rsid w:val="000A2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6374741">
      <w:bodyDiv w:val="1"/>
      <w:marLeft w:val="0"/>
      <w:marRight w:val="0"/>
      <w:marTop w:val="0"/>
      <w:marBottom w:val="0"/>
      <w:divBdr>
        <w:top w:val="none" w:sz="0" w:space="0" w:color="auto"/>
        <w:left w:val="none" w:sz="0" w:space="0" w:color="auto"/>
        <w:bottom w:val="none" w:sz="0" w:space="0" w:color="auto"/>
        <w:right w:val="none" w:sz="0" w:space="0" w:color="auto"/>
      </w:divBdr>
    </w:div>
    <w:div w:id="9263115">
      <w:bodyDiv w:val="1"/>
      <w:marLeft w:val="0"/>
      <w:marRight w:val="0"/>
      <w:marTop w:val="0"/>
      <w:marBottom w:val="0"/>
      <w:divBdr>
        <w:top w:val="none" w:sz="0" w:space="0" w:color="auto"/>
        <w:left w:val="none" w:sz="0" w:space="0" w:color="auto"/>
        <w:bottom w:val="none" w:sz="0" w:space="0" w:color="auto"/>
        <w:right w:val="none" w:sz="0" w:space="0" w:color="auto"/>
      </w:divBdr>
    </w:div>
    <w:div w:id="14120975">
      <w:bodyDiv w:val="1"/>
      <w:marLeft w:val="0"/>
      <w:marRight w:val="0"/>
      <w:marTop w:val="0"/>
      <w:marBottom w:val="0"/>
      <w:divBdr>
        <w:top w:val="none" w:sz="0" w:space="0" w:color="auto"/>
        <w:left w:val="none" w:sz="0" w:space="0" w:color="auto"/>
        <w:bottom w:val="none" w:sz="0" w:space="0" w:color="auto"/>
        <w:right w:val="none" w:sz="0" w:space="0" w:color="auto"/>
      </w:divBdr>
    </w:div>
    <w:div w:id="15623882">
      <w:bodyDiv w:val="1"/>
      <w:marLeft w:val="0"/>
      <w:marRight w:val="0"/>
      <w:marTop w:val="0"/>
      <w:marBottom w:val="0"/>
      <w:divBdr>
        <w:top w:val="none" w:sz="0" w:space="0" w:color="auto"/>
        <w:left w:val="none" w:sz="0" w:space="0" w:color="auto"/>
        <w:bottom w:val="none" w:sz="0" w:space="0" w:color="auto"/>
        <w:right w:val="none" w:sz="0" w:space="0" w:color="auto"/>
      </w:divBdr>
    </w:div>
    <w:div w:id="17629444">
      <w:bodyDiv w:val="1"/>
      <w:marLeft w:val="0"/>
      <w:marRight w:val="0"/>
      <w:marTop w:val="0"/>
      <w:marBottom w:val="0"/>
      <w:divBdr>
        <w:top w:val="none" w:sz="0" w:space="0" w:color="auto"/>
        <w:left w:val="none" w:sz="0" w:space="0" w:color="auto"/>
        <w:bottom w:val="none" w:sz="0" w:space="0" w:color="auto"/>
        <w:right w:val="none" w:sz="0" w:space="0" w:color="auto"/>
      </w:divBdr>
    </w:div>
    <w:div w:id="21706815">
      <w:bodyDiv w:val="1"/>
      <w:marLeft w:val="0"/>
      <w:marRight w:val="0"/>
      <w:marTop w:val="0"/>
      <w:marBottom w:val="0"/>
      <w:divBdr>
        <w:top w:val="none" w:sz="0" w:space="0" w:color="auto"/>
        <w:left w:val="none" w:sz="0" w:space="0" w:color="auto"/>
        <w:bottom w:val="none" w:sz="0" w:space="0" w:color="auto"/>
        <w:right w:val="none" w:sz="0" w:space="0" w:color="auto"/>
      </w:divBdr>
    </w:div>
    <w:div w:id="23335253">
      <w:bodyDiv w:val="1"/>
      <w:marLeft w:val="0"/>
      <w:marRight w:val="0"/>
      <w:marTop w:val="0"/>
      <w:marBottom w:val="0"/>
      <w:divBdr>
        <w:top w:val="none" w:sz="0" w:space="0" w:color="auto"/>
        <w:left w:val="none" w:sz="0" w:space="0" w:color="auto"/>
        <w:bottom w:val="none" w:sz="0" w:space="0" w:color="auto"/>
        <w:right w:val="none" w:sz="0" w:space="0" w:color="auto"/>
      </w:divBdr>
      <w:divsChild>
        <w:div w:id="468717035">
          <w:marLeft w:val="547"/>
          <w:marRight w:val="0"/>
          <w:marTop w:val="0"/>
          <w:marBottom w:val="0"/>
          <w:divBdr>
            <w:top w:val="none" w:sz="0" w:space="0" w:color="auto"/>
            <w:left w:val="none" w:sz="0" w:space="0" w:color="auto"/>
            <w:bottom w:val="none" w:sz="0" w:space="0" w:color="auto"/>
            <w:right w:val="none" w:sz="0" w:space="0" w:color="auto"/>
          </w:divBdr>
        </w:div>
      </w:divsChild>
    </w:div>
    <w:div w:id="28606079">
      <w:bodyDiv w:val="1"/>
      <w:marLeft w:val="0"/>
      <w:marRight w:val="0"/>
      <w:marTop w:val="0"/>
      <w:marBottom w:val="0"/>
      <w:divBdr>
        <w:top w:val="none" w:sz="0" w:space="0" w:color="auto"/>
        <w:left w:val="none" w:sz="0" w:space="0" w:color="auto"/>
        <w:bottom w:val="none" w:sz="0" w:space="0" w:color="auto"/>
        <w:right w:val="none" w:sz="0" w:space="0" w:color="auto"/>
      </w:divBdr>
    </w:div>
    <w:div w:id="32121989">
      <w:bodyDiv w:val="1"/>
      <w:marLeft w:val="0"/>
      <w:marRight w:val="0"/>
      <w:marTop w:val="0"/>
      <w:marBottom w:val="0"/>
      <w:divBdr>
        <w:top w:val="none" w:sz="0" w:space="0" w:color="auto"/>
        <w:left w:val="none" w:sz="0" w:space="0" w:color="auto"/>
        <w:bottom w:val="none" w:sz="0" w:space="0" w:color="auto"/>
        <w:right w:val="none" w:sz="0" w:space="0" w:color="auto"/>
      </w:divBdr>
    </w:div>
    <w:div w:id="35201226">
      <w:bodyDiv w:val="1"/>
      <w:marLeft w:val="0"/>
      <w:marRight w:val="0"/>
      <w:marTop w:val="0"/>
      <w:marBottom w:val="0"/>
      <w:divBdr>
        <w:top w:val="none" w:sz="0" w:space="0" w:color="auto"/>
        <w:left w:val="none" w:sz="0" w:space="0" w:color="auto"/>
        <w:bottom w:val="none" w:sz="0" w:space="0" w:color="auto"/>
        <w:right w:val="none" w:sz="0" w:space="0" w:color="auto"/>
      </w:divBdr>
    </w:div>
    <w:div w:id="40985381">
      <w:bodyDiv w:val="1"/>
      <w:marLeft w:val="0"/>
      <w:marRight w:val="0"/>
      <w:marTop w:val="0"/>
      <w:marBottom w:val="0"/>
      <w:divBdr>
        <w:top w:val="none" w:sz="0" w:space="0" w:color="auto"/>
        <w:left w:val="none" w:sz="0" w:space="0" w:color="auto"/>
        <w:bottom w:val="none" w:sz="0" w:space="0" w:color="auto"/>
        <w:right w:val="none" w:sz="0" w:space="0" w:color="auto"/>
      </w:divBdr>
    </w:div>
    <w:div w:id="47458682">
      <w:bodyDiv w:val="1"/>
      <w:marLeft w:val="0"/>
      <w:marRight w:val="0"/>
      <w:marTop w:val="0"/>
      <w:marBottom w:val="0"/>
      <w:divBdr>
        <w:top w:val="none" w:sz="0" w:space="0" w:color="auto"/>
        <w:left w:val="none" w:sz="0" w:space="0" w:color="auto"/>
        <w:bottom w:val="none" w:sz="0" w:space="0" w:color="auto"/>
        <w:right w:val="none" w:sz="0" w:space="0" w:color="auto"/>
      </w:divBdr>
    </w:div>
    <w:div w:id="47581193">
      <w:bodyDiv w:val="1"/>
      <w:marLeft w:val="0"/>
      <w:marRight w:val="0"/>
      <w:marTop w:val="0"/>
      <w:marBottom w:val="0"/>
      <w:divBdr>
        <w:top w:val="none" w:sz="0" w:space="0" w:color="auto"/>
        <w:left w:val="none" w:sz="0" w:space="0" w:color="auto"/>
        <w:bottom w:val="none" w:sz="0" w:space="0" w:color="auto"/>
        <w:right w:val="none" w:sz="0" w:space="0" w:color="auto"/>
      </w:divBdr>
      <w:divsChild>
        <w:div w:id="2129739954">
          <w:marLeft w:val="0"/>
          <w:marRight w:val="0"/>
          <w:marTop w:val="0"/>
          <w:marBottom w:val="0"/>
          <w:divBdr>
            <w:top w:val="none" w:sz="0" w:space="0" w:color="auto"/>
            <w:left w:val="none" w:sz="0" w:space="0" w:color="auto"/>
            <w:bottom w:val="none" w:sz="0" w:space="0" w:color="auto"/>
            <w:right w:val="none" w:sz="0" w:space="0" w:color="auto"/>
          </w:divBdr>
          <w:divsChild>
            <w:div w:id="2142844535">
              <w:marLeft w:val="0"/>
              <w:marRight w:val="0"/>
              <w:marTop w:val="218"/>
              <w:marBottom w:val="327"/>
              <w:divBdr>
                <w:top w:val="none" w:sz="0" w:space="0" w:color="auto"/>
                <w:left w:val="none" w:sz="0" w:space="0" w:color="auto"/>
                <w:bottom w:val="none" w:sz="0" w:space="0" w:color="auto"/>
                <w:right w:val="none" w:sz="0" w:space="0" w:color="auto"/>
              </w:divBdr>
            </w:div>
          </w:divsChild>
        </w:div>
      </w:divsChild>
    </w:div>
    <w:div w:id="48040230">
      <w:bodyDiv w:val="1"/>
      <w:marLeft w:val="0"/>
      <w:marRight w:val="0"/>
      <w:marTop w:val="0"/>
      <w:marBottom w:val="0"/>
      <w:divBdr>
        <w:top w:val="none" w:sz="0" w:space="0" w:color="auto"/>
        <w:left w:val="none" w:sz="0" w:space="0" w:color="auto"/>
        <w:bottom w:val="none" w:sz="0" w:space="0" w:color="auto"/>
        <w:right w:val="none" w:sz="0" w:space="0" w:color="auto"/>
      </w:divBdr>
    </w:div>
    <w:div w:id="51268827">
      <w:bodyDiv w:val="1"/>
      <w:marLeft w:val="0"/>
      <w:marRight w:val="0"/>
      <w:marTop w:val="0"/>
      <w:marBottom w:val="0"/>
      <w:divBdr>
        <w:top w:val="none" w:sz="0" w:space="0" w:color="auto"/>
        <w:left w:val="none" w:sz="0" w:space="0" w:color="auto"/>
        <w:bottom w:val="none" w:sz="0" w:space="0" w:color="auto"/>
        <w:right w:val="none" w:sz="0" w:space="0" w:color="auto"/>
      </w:divBdr>
    </w:div>
    <w:div w:id="67074934">
      <w:bodyDiv w:val="1"/>
      <w:marLeft w:val="0"/>
      <w:marRight w:val="0"/>
      <w:marTop w:val="0"/>
      <w:marBottom w:val="0"/>
      <w:divBdr>
        <w:top w:val="none" w:sz="0" w:space="0" w:color="auto"/>
        <w:left w:val="none" w:sz="0" w:space="0" w:color="auto"/>
        <w:bottom w:val="none" w:sz="0" w:space="0" w:color="auto"/>
        <w:right w:val="none" w:sz="0" w:space="0" w:color="auto"/>
      </w:divBdr>
      <w:divsChild>
        <w:div w:id="312562954">
          <w:marLeft w:val="0"/>
          <w:marRight w:val="0"/>
          <w:marTop w:val="0"/>
          <w:marBottom w:val="0"/>
          <w:divBdr>
            <w:top w:val="none" w:sz="0" w:space="0" w:color="auto"/>
            <w:left w:val="none" w:sz="0" w:space="0" w:color="auto"/>
            <w:bottom w:val="none" w:sz="0" w:space="0" w:color="auto"/>
            <w:right w:val="none" w:sz="0" w:space="0" w:color="auto"/>
          </w:divBdr>
          <w:divsChild>
            <w:div w:id="18812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206">
      <w:bodyDiv w:val="1"/>
      <w:marLeft w:val="0"/>
      <w:marRight w:val="0"/>
      <w:marTop w:val="0"/>
      <w:marBottom w:val="0"/>
      <w:divBdr>
        <w:top w:val="none" w:sz="0" w:space="0" w:color="auto"/>
        <w:left w:val="none" w:sz="0" w:space="0" w:color="auto"/>
        <w:bottom w:val="none" w:sz="0" w:space="0" w:color="auto"/>
        <w:right w:val="none" w:sz="0" w:space="0" w:color="auto"/>
      </w:divBdr>
    </w:div>
    <w:div w:id="79520714">
      <w:bodyDiv w:val="1"/>
      <w:marLeft w:val="0"/>
      <w:marRight w:val="0"/>
      <w:marTop w:val="0"/>
      <w:marBottom w:val="0"/>
      <w:divBdr>
        <w:top w:val="none" w:sz="0" w:space="0" w:color="auto"/>
        <w:left w:val="none" w:sz="0" w:space="0" w:color="auto"/>
        <w:bottom w:val="none" w:sz="0" w:space="0" w:color="auto"/>
        <w:right w:val="none" w:sz="0" w:space="0" w:color="auto"/>
      </w:divBdr>
    </w:div>
    <w:div w:id="93323844">
      <w:bodyDiv w:val="1"/>
      <w:marLeft w:val="0"/>
      <w:marRight w:val="0"/>
      <w:marTop w:val="0"/>
      <w:marBottom w:val="0"/>
      <w:divBdr>
        <w:top w:val="none" w:sz="0" w:space="0" w:color="auto"/>
        <w:left w:val="none" w:sz="0" w:space="0" w:color="auto"/>
        <w:bottom w:val="none" w:sz="0" w:space="0" w:color="auto"/>
        <w:right w:val="none" w:sz="0" w:space="0" w:color="auto"/>
      </w:divBdr>
    </w:div>
    <w:div w:id="96801129">
      <w:bodyDiv w:val="1"/>
      <w:marLeft w:val="0"/>
      <w:marRight w:val="0"/>
      <w:marTop w:val="0"/>
      <w:marBottom w:val="0"/>
      <w:divBdr>
        <w:top w:val="none" w:sz="0" w:space="0" w:color="auto"/>
        <w:left w:val="none" w:sz="0" w:space="0" w:color="auto"/>
        <w:bottom w:val="none" w:sz="0" w:space="0" w:color="auto"/>
        <w:right w:val="none" w:sz="0" w:space="0" w:color="auto"/>
      </w:divBdr>
    </w:div>
    <w:div w:id="108671580">
      <w:bodyDiv w:val="1"/>
      <w:marLeft w:val="0"/>
      <w:marRight w:val="0"/>
      <w:marTop w:val="0"/>
      <w:marBottom w:val="0"/>
      <w:divBdr>
        <w:top w:val="none" w:sz="0" w:space="0" w:color="auto"/>
        <w:left w:val="none" w:sz="0" w:space="0" w:color="auto"/>
        <w:bottom w:val="none" w:sz="0" w:space="0" w:color="auto"/>
        <w:right w:val="none" w:sz="0" w:space="0" w:color="auto"/>
      </w:divBdr>
    </w:div>
    <w:div w:id="109208041">
      <w:bodyDiv w:val="1"/>
      <w:marLeft w:val="0"/>
      <w:marRight w:val="0"/>
      <w:marTop w:val="0"/>
      <w:marBottom w:val="0"/>
      <w:divBdr>
        <w:top w:val="none" w:sz="0" w:space="0" w:color="auto"/>
        <w:left w:val="none" w:sz="0" w:space="0" w:color="auto"/>
        <w:bottom w:val="none" w:sz="0" w:space="0" w:color="auto"/>
        <w:right w:val="none" w:sz="0" w:space="0" w:color="auto"/>
      </w:divBdr>
    </w:div>
    <w:div w:id="123276633">
      <w:bodyDiv w:val="1"/>
      <w:marLeft w:val="0"/>
      <w:marRight w:val="0"/>
      <w:marTop w:val="0"/>
      <w:marBottom w:val="0"/>
      <w:divBdr>
        <w:top w:val="none" w:sz="0" w:space="0" w:color="auto"/>
        <w:left w:val="none" w:sz="0" w:space="0" w:color="auto"/>
        <w:bottom w:val="none" w:sz="0" w:space="0" w:color="auto"/>
        <w:right w:val="none" w:sz="0" w:space="0" w:color="auto"/>
      </w:divBdr>
    </w:div>
    <w:div w:id="123625212">
      <w:bodyDiv w:val="1"/>
      <w:marLeft w:val="0"/>
      <w:marRight w:val="0"/>
      <w:marTop w:val="0"/>
      <w:marBottom w:val="0"/>
      <w:divBdr>
        <w:top w:val="none" w:sz="0" w:space="0" w:color="auto"/>
        <w:left w:val="none" w:sz="0" w:space="0" w:color="auto"/>
        <w:bottom w:val="none" w:sz="0" w:space="0" w:color="auto"/>
        <w:right w:val="none" w:sz="0" w:space="0" w:color="auto"/>
      </w:divBdr>
      <w:divsChild>
        <w:div w:id="406072293">
          <w:marLeft w:val="547"/>
          <w:marRight w:val="0"/>
          <w:marTop w:val="0"/>
          <w:marBottom w:val="0"/>
          <w:divBdr>
            <w:top w:val="none" w:sz="0" w:space="0" w:color="auto"/>
            <w:left w:val="none" w:sz="0" w:space="0" w:color="auto"/>
            <w:bottom w:val="none" w:sz="0" w:space="0" w:color="auto"/>
            <w:right w:val="none" w:sz="0" w:space="0" w:color="auto"/>
          </w:divBdr>
        </w:div>
      </w:divsChild>
    </w:div>
    <w:div w:id="130946897">
      <w:bodyDiv w:val="1"/>
      <w:marLeft w:val="0"/>
      <w:marRight w:val="0"/>
      <w:marTop w:val="0"/>
      <w:marBottom w:val="0"/>
      <w:divBdr>
        <w:top w:val="none" w:sz="0" w:space="0" w:color="auto"/>
        <w:left w:val="none" w:sz="0" w:space="0" w:color="auto"/>
        <w:bottom w:val="none" w:sz="0" w:space="0" w:color="auto"/>
        <w:right w:val="none" w:sz="0" w:space="0" w:color="auto"/>
      </w:divBdr>
    </w:div>
    <w:div w:id="131559358">
      <w:bodyDiv w:val="1"/>
      <w:marLeft w:val="0"/>
      <w:marRight w:val="0"/>
      <w:marTop w:val="0"/>
      <w:marBottom w:val="0"/>
      <w:divBdr>
        <w:top w:val="none" w:sz="0" w:space="0" w:color="auto"/>
        <w:left w:val="none" w:sz="0" w:space="0" w:color="auto"/>
        <w:bottom w:val="none" w:sz="0" w:space="0" w:color="auto"/>
        <w:right w:val="none" w:sz="0" w:space="0" w:color="auto"/>
      </w:divBdr>
      <w:divsChild>
        <w:div w:id="145246609">
          <w:marLeft w:val="360"/>
          <w:marRight w:val="0"/>
          <w:marTop w:val="200"/>
          <w:marBottom w:val="0"/>
          <w:divBdr>
            <w:top w:val="none" w:sz="0" w:space="0" w:color="auto"/>
            <w:left w:val="none" w:sz="0" w:space="0" w:color="auto"/>
            <w:bottom w:val="none" w:sz="0" w:space="0" w:color="auto"/>
            <w:right w:val="none" w:sz="0" w:space="0" w:color="auto"/>
          </w:divBdr>
        </w:div>
        <w:div w:id="825125152">
          <w:marLeft w:val="806"/>
          <w:marRight w:val="0"/>
          <w:marTop w:val="200"/>
          <w:marBottom w:val="0"/>
          <w:divBdr>
            <w:top w:val="none" w:sz="0" w:space="0" w:color="auto"/>
            <w:left w:val="none" w:sz="0" w:space="0" w:color="auto"/>
            <w:bottom w:val="none" w:sz="0" w:space="0" w:color="auto"/>
            <w:right w:val="none" w:sz="0" w:space="0" w:color="auto"/>
          </w:divBdr>
        </w:div>
        <w:div w:id="1233544499">
          <w:marLeft w:val="806"/>
          <w:marRight w:val="0"/>
          <w:marTop w:val="200"/>
          <w:marBottom w:val="0"/>
          <w:divBdr>
            <w:top w:val="none" w:sz="0" w:space="0" w:color="auto"/>
            <w:left w:val="none" w:sz="0" w:space="0" w:color="auto"/>
            <w:bottom w:val="none" w:sz="0" w:space="0" w:color="auto"/>
            <w:right w:val="none" w:sz="0" w:space="0" w:color="auto"/>
          </w:divBdr>
        </w:div>
      </w:divsChild>
    </w:div>
    <w:div w:id="139352533">
      <w:bodyDiv w:val="1"/>
      <w:marLeft w:val="0"/>
      <w:marRight w:val="0"/>
      <w:marTop w:val="0"/>
      <w:marBottom w:val="0"/>
      <w:divBdr>
        <w:top w:val="none" w:sz="0" w:space="0" w:color="auto"/>
        <w:left w:val="none" w:sz="0" w:space="0" w:color="auto"/>
        <w:bottom w:val="none" w:sz="0" w:space="0" w:color="auto"/>
        <w:right w:val="none" w:sz="0" w:space="0" w:color="auto"/>
      </w:divBdr>
    </w:div>
    <w:div w:id="145900465">
      <w:bodyDiv w:val="1"/>
      <w:marLeft w:val="0"/>
      <w:marRight w:val="0"/>
      <w:marTop w:val="0"/>
      <w:marBottom w:val="0"/>
      <w:divBdr>
        <w:top w:val="none" w:sz="0" w:space="0" w:color="auto"/>
        <w:left w:val="none" w:sz="0" w:space="0" w:color="auto"/>
        <w:bottom w:val="none" w:sz="0" w:space="0" w:color="auto"/>
        <w:right w:val="none" w:sz="0" w:space="0" w:color="auto"/>
      </w:divBdr>
    </w:div>
    <w:div w:id="152335907">
      <w:bodyDiv w:val="1"/>
      <w:marLeft w:val="0"/>
      <w:marRight w:val="0"/>
      <w:marTop w:val="0"/>
      <w:marBottom w:val="0"/>
      <w:divBdr>
        <w:top w:val="none" w:sz="0" w:space="0" w:color="auto"/>
        <w:left w:val="none" w:sz="0" w:space="0" w:color="auto"/>
        <w:bottom w:val="none" w:sz="0" w:space="0" w:color="auto"/>
        <w:right w:val="none" w:sz="0" w:space="0" w:color="auto"/>
      </w:divBdr>
      <w:divsChild>
        <w:div w:id="523785242">
          <w:marLeft w:val="547"/>
          <w:marRight w:val="0"/>
          <w:marTop w:val="0"/>
          <w:marBottom w:val="0"/>
          <w:divBdr>
            <w:top w:val="none" w:sz="0" w:space="0" w:color="auto"/>
            <w:left w:val="none" w:sz="0" w:space="0" w:color="auto"/>
            <w:bottom w:val="none" w:sz="0" w:space="0" w:color="auto"/>
            <w:right w:val="none" w:sz="0" w:space="0" w:color="auto"/>
          </w:divBdr>
        </w:div>
        <w:div w:id="1395810504">
          <w:marLeft w:val="547"/>
          <w:marRight w:val="0"/>
          <w:marTop w:val="0"/>
          <w:marBottom w:val="0"/>
          <w:divBdr>
            <w:top w:val="none" w:sz="0" w:space="0" w:color="auto"/>
            <w:left w:val="none" w:sz="0" w:space="0" w:color="auto"/>
            <w:bottom w:val="none" w:sz="0" w:space="0" w:color="auto"/>
            <w:right w:val="none" w:sz="0" w:space="0" w:color="auto"/>
          </w:divBdr>
        </w:div>
      </w:divsChild>
    </w:div>
    <w:div w:id="157115672">
      <w:bodyDiv w:val="1"/>
      <w:marLeft w:val="0"/>
      <w:marRight w:val="0"/>
      <w:marTop w:val="0"/>
      <w:marBottom w:val="0"/>
      <w:divBdr>
        <w:top w:val="none" w:sz="0" w:space="0" w:color="auto"/>
        <w:left w:val="none" w:sz="0" w:space="0" w:color="auto"/>
        <w:bottom w:val="none" w:sz="0" w:space="0" w:color="auto"/>
        <w:right w:val="none" w:sz="0" w:space="0" w:color="auto"/>
      </w:divBdr>
    </w:div>
    <w:div w:id="161236162">
      <w:bodyDiv w:val="1"/>
      <w:marLeft w:val="0"/>
      <w:marRight w:val="0"/>
      <w:marTop w:val="0"/>
      <w:marBottom w:val="0"/>
      <w:divBdr>
        <w:top w:val="none" w:sz="0" w:space="0" w:color="auto"/>
        <w:left w:val="none" w:sz="0" w:space="0" w:color="auto"/>
        <w:bottom w:val="none" w:sz="0" w:space="0" w:color="auto"/>
        <w:right w:val="none" w:sz="0" w:space="0" w:color="auto"/>
      </w:divBdr>
    </w:div>
    <w:div w:id="171720636">
      <w:bodyDiv w:val="1"/>
      <w:marLeft w:val="0"/>
      <w:marRight w:val="0"/>
      <w:marTop w:val="0"/>
      <w:marBottom w:val="0"/>
      <w:divBdr>
        <w:top w:val="none" w:sz="0" w:space="0" w:color="auto"/>
        <w:left w:val="none" w:sz="0" w:space="0" w:color="auto"/>
        <w:bottom w:val="none" w:sz="0" w:space="0" w:color="auto"/>
        <w:right w:val="none" w:sz="0" w:space="0" w:color="auto"/>
      </w:divBdr>
      <w:divsChild>
        <w:div w:id="374088032">
          <w:marLeft w:val="0"/>
          <w:marRight w:val="0"/>
          <w:marTop w:val="0"/>
          <w:marBottom w:val="0"/>
          <w:divBdr>
            <w:top w:val="none" w:sz="0" w:space="0" w:color="auto"/>
            <w:left w:val="none" w:sz="0" w:space="0" w:color="auto"/>
            <w:bottom w:val="none" w:sz="0" w:space="0" w:color="auto"/>
            <w:right w:val="none" w:sz="0" w:space="0" w:color="auto"/>
          </w:divBdr>
          <w:divsChild>
            <w:div w:id="689187906">
              <w:marLeft w:val="0"/>
              <w:marRight w:val="0"/>
              <w:marTop w:val="0"/>
              <w:marBottom w:val="0"/>
              <w:divBdr>
                <w:top w:val="none" w:sz="0" w:space="0" w:color="auto"/>
                <w:left w:val="none" w:sz="0" w:space="0" w:color="auto"/>
                <w:bottom w:val="none" w:sz="0" w:space="0" w:color="auto"/>
                <w:right w:val="none" w:sz="0" w:space="0" w:color="auto"/>
              </w:divBdr>
            </w:div>
            <w:div w:id="888297245">
              <w:marLeft w:val="0"/>
              <w:marRight w:val="0"/>
              <w:marTop w:val="0"/>
              <w:marBottom w:val="0"/>
              <w:divBdr>
                <w:top w:val="none" w:sz="0" w:space="0" w:color="auto"/>
                <w:left w:val="none" w:sz="0" w:space="0" w:color="auto"/>
                <w:bottom w:val="none" w:sz="0" w:space="0" w:color="auto"/>
                <w:right w:val="none" w:sz="0" w:space="0" w:color="auto"/>
              </w:divBdr>
            </w:div>
            <w:div w:id="906650722">
              <w:marLeft w:val="0"/>
              <w:marRight w:val="0"/>
              <w:marTop w:val="0"/>
              <w:marBottom w:val="0"/>
              <w:divBdr>
                <w:top w:val="none" w:sz="0" w:space="0" w:color="auto"/>
                <w:left w:val="none" w:sz="0" w:space="0" w:color="auto"/>
                <w:bottom w:val="none" w:sz="0" w:space="0" w:color="auto"/>
                <w:right w:val="none" w:sz="0" w:space="0" w:color="auto"/>
              </w:divBdr>
            </w:div>
            <w:div w:id="2018727690">
              <w:marLeft w:val="0"/>
              <w:marRight w:val="0"/>
              <w:marTop w:val="0"/>
              <w:marBottom w:val="0"/>
              <w:divBdr>
                <w:top w:val="none" w:sz="0" w:space="0" w:color="auto"/>
                <w:left w:val="none" w:sz="0" w:space="0" w:color="auto"/>
                <w:bottom w:val="none" w:sz="0" w:space="0" w:color="auto"/>
                <w:right w:val="none" w:sz="0" w:space="0" w:color="auto"/>
              </w:divBdr>
            </w:div>
            <w:div w:id="2132700171">
              <w:marLeft w:val="0"/>
              <w:marRight w:val="0"/>
              <w:marTop w:val="0"/>
              <w:marBottom w:val="0"/>
              <w:divBdr>
                <w:top w:val="none" w:sz="0" w:space="0" w:color="auto"/>
                <w:left w:val="none" w:sz="0" w:space="0" w:color="auto"/>
                <w:bottom w:val="none" w:sz="0" w:space="0" w:color="auto"/>
                <w:right w:val="none" w:sz="0" w:space="0" w:color="auto"/>
              </w:divBdr>
            </w:div>
          </w:divsChild>
        </w:div>
        <w:div w:id="400180920">
          <w:marLeft w:val="0"/>
          <w:marRight w:val="0"/>
          <w:marTop w:val="0"/>
          <w:marBottom w:val="0"/>
          <w:divBdr>
            <w:top w:val="none" w:sz="0" w:space="0" w:color="auto"/>
            <w:left w:val="none" w:sz="0" w:space="0" w:color="auto"/>
            <w:bottom w:val="none" w:sz="0" w:space="0" w:color="auto"/>
            <w:right w:val="none" w:sz="0" w:space="0" w:color="auto"/>
          </w:divBdr>
          <w:divsChild>
            <w:div w:id="2074813410">
              <w:marLeft w:val="0"/>
              <w:marRight w:val="0"/>
              <w:marTop w:val="0"/>
              <w:marBottom w:val="0"/>
              <w:divBdr>
                <w:top w:val="none" w:sz="0" w:space="0" w:color="auto"/>
                <w:left w:val="none" w:sz="0" w:space="0" w:color="auto"/>
                <w:bottom w:val="none" w:sz="0" w:space="0" w:color="auto"/>
                <w:right w:val="none" w:sz="0" w:space="0" w:color="auto"/>
              </w:divBdr>
            </w:div>
            <w:div w:id="2115900534">
              <w:marLeft w:val="0"/>
              <w:marRight w:val="0"/>
              <w:marTop w:val="0"/>
              <w:marBottom w:val="0"/>
              <w:divBdr>
                <w:top w:val="none" w:sz="0" w:space="0" w:color="auto"/>
                <w:left w:val="none" w:sz="0" w:space="0" w:color="auto"/>
                <w:bottom w:val="none" w:sz="0" w:space="0" w:color="auto"/>
                <w:right w:val="none" w:sz="0" w:space="0" w:color="auto"/>
              </w:divBdr>
            </w:div>
          </w:divsChild>
        </w:div>
        <w:div w:id="549921483">
          <w:marLeft w:val="0"/>
          <w:marRight w:val="0"/>
          <w:marTop w:val="0"/>
          <w:marBottom w:val="0"/>
          <w:divBdr>
            <w:top w:val="none" w:sz="0" w:space="0" w:color="auto"/>
            <w:left w:val="none" w:sz="0" w:space="0" w:color="auto"/>
            <w:bottom w:val="none" w:sz="0" w:space="0" w:color="auto"/>
            <w:right w:val="none" w:sz="0" w:space="0" w:color="auto"/>
          </w:divBdr>
          <w:divsChild>
            <w:div w:id="1613855016">
              <w:marLeft w:val="0"/>
              <w:marRight w:val="0"/>
              <w:marTop w:val="0"/>
              <w:marBottom w:val="0"/>
              <w:divBdr>
                <w:top w:val="none" w:sz="0" w:space="0" w:color="auto"/>
                <w:left w:val="none" w:sz="0" w:space="0" w:color="auto"/>
                <w:bottom w:val="none" w:sz="0" w:space="0" w:color="auto"/>
                <w:right w:val="none" w:sz="0" w:space="0" w:color="auto"/>
              </w:divBdr>
            </w:div>
          </w:divsChild>
        </w:div>
        <w:div w:id="713844752">
          <w:marLeft w:val="0"/>
          <w:marRight w:val="0"/>
          <w:marTop w:val="0"/>
          <w:marBottom w:val="0"/>
          <w:divBdr>
            <w:top w:val="none" w:sz="0" w:space="0" w:color="auto"/>
            <w:left w:val="none" w:sz="0" w:space="0" w:color="auto"/>
            <w:bottom w:val="none" w:sz="0" w:space="0" w:color="auto"/>
            <w:right w:val="none" w:sz="0" w:space="0" w:color="auto"/>
          </w:divBdr>
          <w:divsChild>
            <w:div w:id="1599413661">
              <w:marLeft w:val="0"/>
              <w:marRight w:val="0"/>
              <w:marTop w:val="0"/>
              <w:marBottom w:val="0"/>
              <w:divBdr>
                <w:top w:val="none" w:sz="0" w:space="0" w:color="auto"/>
                <w:left w:val="none" w:sz="0" w:space="0" w:color="auto"/>
                <w:bottom w:val="none" w:sz="0" w:space="0" w:color="auto"/>
                <w:right w:val="none" w:sz="0" w:space="0" w:color="auto"/>
              </w:divBdr>
            </w:div>
          </w:divsChild>
        </w:div>
        <w:div w:id="971063100">
          <w:marLeft w:val="0"/>
          <w:marRight w:val="0"/>
          <w:marTop w:val="0"/>
          <w:marBottom w:val="0"/>
          <w:divBdr>
            <w:top w:val="none" w:sz="0" w:space="0" w:color="auto"/>
            <w:left w:val="none" w:sz="0" w:space="0" w:color="auto"/>
            <w:bottom w:val="none" w:sz="0" w:space="0" w:color="auto"/>
            <w:right w:val="none" w:sz="0" w:space="0" w:color="auto"/>
          </w:divBdr>
          <w:divsChild>
            <w:div w:id="482627788">
              <w:marLeft w:val="0"/>
              <w:marRight w:val="0"/>
              <w:marTop w:val="0"/>
              <w:marBottom w:val="0"/>
              <w:divBdr>
                <w:top w:val="none" w:sz="0" w:space="0" w:color="auto"/>
                <w:left w:val="none" w:sz="0" w:space="0" w:color="auto"/>
                <w:bottom w:val="none" w:sz="0" w:space="0" w:color="auto"/>
                <w:right w:val="none" w:sz="0" w:space="0" w:color="auto"/>
              </w:divBdr>
            </w:div>
            <w:div w:id="1189292236">
              <w:marLeft w:val="0"/>
              <w:marRight w:val="0"/>
              <w:marTop w:val="0"/>
              <w:marBottom w:val="0"/>
              <w:divBdr>
                <w:top w:val="none" w:sz="0" w:space="0" w:color="auto"/>
                <w:left w:val="none" w:sz="0" w:space="0" w:color="auto"/>
                <w:bottom w:val="none" w:sz="0" w:space="0" w:color="auto"/>
                <w:right w:val="none" w:sz="0" w:space="0" w:color="auto"/>
              </w:divBdr>
            </w:div>
          </w:divsChild>
        </w:div>
        <w:div w:id="1019355991">
          <w:marLeft w:val="0"/>
          <w:marRight w:val="0"/>
          <w:marTop w:val="0"/>
          <w:marBottom w:val="0"/>
          <w:divBdr>
            <w:top w:val="none" w:sz="0" w:space="0" w:color="auto"/>
            <w:left w:val="none" w:sz="0" w:space="0" w:color="auto"/>
            <w:bottom w:val="none" w:sz="0" w:space="0" w:color="auto"/>
            <w:right w:val="none" w:sz="0" w:space="0" w:color="auto"/>
          </w:divBdr>
          <w:divsChild>
            <w:div w:id="2088569254">
              <w:marLeft w:val="0"/>
              <w:marRight w:val="0"/>
              <w:marTop w:val="0"/>
              <w:marBottom w:val="0"/>
              <w:divBdr>
                <w:top w:val="none" w:sz="0" w:space="0" w:color="auto"/>
                <w:left w:val="none" w:sz="0" w:space="0" w:color="auto"/>
                <w:bottom w:val="none" w:sz="0" w:space="0" w:color="auto"/>
                <w:right w:val="none" w:sz="0" w:space="0" w:color="auto"/>
              </w:divBdr>
            </w:div>
          </w:divsChild>
        </w:div>
        <w:div w:id="1552883737">
          <w:marLeft w:val="0"/>
          <w:marRight w:val="0"/>
          <w:marTop w:val="0"/>
          <w:marBottom w:val="0"/>
          <w:divBdr>
            <w:top w:val="none" w:sz="0" w:space="0" w:color="auto"/>
            <w:left w:val="none" w:sz="0" w:space="0" w:color="auto"/>
            <w:bottom w:val="none" w:sz="0" w:space="0" w:color="auto"/>
            <w:right w:val="none" w:sz="0" w:space="0" w:color="auto"/>
          </w:divBdr>
          <w:divsChild>
            <w:div w:id="1134448638">
              <w:marLeft w:val="0"/>
              <w:marRight w:val="0"/>
              <w:marTop w:val="0"/>
              <w:marBottom w:val="0"/>
              <w:divBdr>
                <w:top w:val="none" w:sz="0" w:space="0" w:color="auto"/>
                <w:left w:val="none" w:sz="0" w:space="0" w:color="auto"/>
                <w:bottom w:val="none" w:sz="0" w:space="0" w:color="auto"/>
                <w:right w:val="none" w:sz="0" w:space="0" w:color="auto"/>
              </w:divBdr>
            </w:div>
          </w:divsChild>
        </w:div>
        <w:div w:id="1919706541">
          <w:marLeft w:val="0"/>
          <w:marRight w:val="0"/>
          <w:marTop w:val="0"/>
          <w:marBottom w:val="0"/>
          <w:divBdr>
            <w:top w:val="none" w:sz="0" w:space="0" w:color="auto"/>
            <w:left w:val="none" w:sz="0" w:space="0" w:color="auto"/>
            <w:bottom w:val="none" w:sz="0" w:space="0" w:color="auto"/>
            <w:right w:val="none" w:sz="0" w:space="0" w:color="auto"/>
          </w:divBdr>
          <w:divsChild>
            <w:div w:id="1641614413">
              <w:marLeft w:val="0"/>
              <w:marRight w:val="0"/>
              <w:marTop w:val="0"/>
              <w:marBottom w:val="0"/>
              <w:divBdr>
                <w:top w:val="none" w:sz="0" w:space="0" w:color="auto"/>
                <w:left w:val="none" w:sz="0" w:space="0" w:color="auto"/>
                <w:bottom w:val="none" w:sz="0" w:space="0" w:color="auto"/>
                <w:right w:val="none" w:sz="0" w:space="0" w:color="auto"/>
              </w:divBdr>
            </w:div>
          </w:divsChild>
        </w:div>
        <w:div w:id="2056201185">
          <w:marLeft w:val="0"/>
          <w:marRight w:val="0"/>
          <w:marTop w:val="0"/>
          <w:marBottom w:val="0"/>
          <w:divBdr>
            <w:top w:val="none" w:sz="0" w:space="0" w:color="auto"/>
            <w:left w:val="none" w:sz="0" w:space="0" w:color="auto"/>
            <w:bottom w:val="none" w:sz="0" w:space="0" w:color="auto"/>
            <w:right w:val="none" w:sz="0" w:space="0" w:color="auto"/>
          </w:divBdr>
          <w:divsChild>
            <w:div w:id="212881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3144">
      <w:bodyDiv w:val="1"/>
      <w:marLeft w:val="0"/>
      <w:marRight w:val="0"/>
      <w:marTop w:val="0"/>
      <w:marBottom w:val="0"/>
      <w:divBdr>
        <w:top w:val="none" w:sz="0" w:space="0" w:color="auto"/>
        <w:left w:val="none" w:sz="0" w:space="0" w:color="auto"/>
        <w:bottom w:val="none" w:sz="0" w:space="0" w:color="auto"/>
        <w:right w:val="none" w:sz="0" w:space="0" w:color="auto"/>
      </w:divBdr>
      <w:divsChild>
        <w:div w:id="1920670635">
          <w:marLeft w:val="0"/>
          <w:marRight w:val="0"/>
          <w:marTop w:val="0"/>
          <w:marBottom w:val="0"/>
          <w:divBdr>
            <w:top w:val="none" w:sz="0" w:space="0" w:color="auto"/>
            <w:left w:val="none" w:sz="0" w:space="0" w:color="auto"/>
            <w:bottom w:val="none" w:sz="0" w:space="0" w:color="auto"/>
            <w:right w:val="none" w:sz="0" w:space="0" w:color="auto"/>
          </w:divBdr>
          <w:divsChild>
            <w:div w:id="1843157405">
              <w:marLeft w:val="0"/>
              <w:marRight w:val="0"/>
              <w:marTop w:val="0"/>
              <w:marBottom w:val="0"/>
              <w:divBdr>
                <w:top w:val="none" w:sz="0" w:space="0" w:color="auto"/>
                <w:left w:val="none" w:sz="0" w:space="0" w:color="auto"/>
                <w:bottom w:val="none" w:sz="0" w:space="0" w:color="auto"/>
                <w:right w:val="none" w:sz="0" w:space="0" w:color="auto"/>
              </w:divBdr>
              <w:divsChild>
                <w:div w:id="125242775">
                  <w:marLeft w:val="0"/>
                  <w:marRight w:val="0"/>
                  <w:marTop w:val="0"/>
                  <w:marBottom w:val="0"/>
                  <w:divBdr>
                    <w:top w:val="none" w:sz="0" w:space="0" w:color="auto"/>
                    <w:left w:val="none" w:sz="0" w:space="0" w:color="auto"/>
                    <w:bottom w:val="none" w:sz="0" w:space="0" w:color="auto"/>
                    <w:right w:val="none" w:sz="0" w:space="0" w:color="auto"/>
                  </w:divBdr>
                  <w:divsChild>
                    <w:div w:id="1597205979">
                      <w:marLeft w:val="0"/>
                      <w:marRight w:val="0"/>
                      <w:marTop w:val="0"/>
                      <w:marBottom w:val="0"/>
                      <w:divBdr>
                        <w:top w:val="none" w:sz="0" w:space="0" w:color="auto"/>
                        <w:left w:val="none" w:sz="0" w:space="0" w:color="auto"/>
                        <w:bottom w:val="none" w:sz="0" w:space="0" w:color="auto"/>
                        <w:right w:val="none" w:sz="0" w:space="0" w:color="auto"/>
                      </w:divBdr>
                      <w:divsChild>
                        <w:div w:id="1528642053">
                          <w:marLeft w:val="0"/>
                          <w:marRight w:val="0"/>
                          <w:marTop w:val="0"/>
                          <w:marBottom w:val="0"/>
                          <w:divBdr>
                            <w:top w:val="none" w:sz="0" w:space="0" w:color="auto"/>
                            <w:left w:val="none" w:sz="0" w:space="0" w:color="auto"/>
                            <w:bottom w:val="none" w:sz="0" w:space="0" w:color="auto"/>
                            <w:right w:val="none" w:sz="0" w:space="0" w:color="auto"/>
                          </w:divBdr>
                          <w:divsChild>
                            <w:div w:id="156841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33890">
      <w:bodyDiv w:val="1"/>
      <w:marLeft w:val="0"/>
      <w:marRight w:val="0"/>
      <w:marTop w:val="0"/>
      <w:marBottom w:val="0"/>
      <w:divBdr>
        <w:top w:val="none" w:sz="0" w:space="0" w:color="auto"/>
        <w:left w:val="none" w:sz="0" w:space="0" w:color="auto"/>
        <w:bottom w:val="none" w:sz="0" w:space="0" w:color="auto"/>
        <w:right w:val="none" w:sz="0" w:space="0" w:color="auto"/>
      </w:divBdr>
    </w:div>
    <w:div w:id="183642223">
      <w:bodyDiv w:val="1"/>
      <w:marLeft w:val="0"/>
      <w:marRight w:val="0"/>
      <w:marTop w:val="0"/>
      <w:marBottom w:val="0"/>
      <w:divBdr>
        <w:top w:val="none" w:sz="0" w:space="0" w:color="auto"/>
        <w:left w:val="none" w:sz="0" w:space="0" w:color="auto"/>
        <w:bottom w:val="none" w:sz="0" w:space="0" w:color="auto"/>
        <w:right w:val="none" w:sz="0" w:space="0" w:color="auto"/>
      </w:divBdr>
    </w:div>
    <w:div w:id="184289102">
      <w:bodyDiv w:val="1"/>
      <w:marLeft w:val="0"/>
      <w:marRight w:val="0"/>
      <w:marTop w:val="0"/>
      <w:marBottom w:val="0"/>
      <w:divBdr>
        <w:top w:val="none" w:sz="0" w:space="0" w:color="auto"/>
        <w:left w:val="none" w:sz="0" w:space="0" w:color="auto"/>
        <w:bottom w:val="none" w:sz="0" w:space="0" w:color="auto"/>
        <w:right w:val="none" w:sz="0" w:space="0" w:color="auto"/>
      </w:divBdr>
    </w:div>
    <w:div w:id="188379681">
      <w:bodyDiv w:val="1"/>
      <w:marLeft w:val="0"/>
      <w:marRight w:val="0"/>
      <w:marTop w:val="0"/>
      <w:marBottom w:val="0"/>
      <w:divBdr>
        <w:top w:val="none" w:sz="0" w:space="0" w:color="auto"/>
        <w:left w:val="none" w:sz="0" w:space="0" w:color="auto"/>
        <w:bottom w:val="none" w:sz="0" w:space="0" w:color="auto"/>
        <w:right w:val="none" w:sz="0" w:space="0" w:color="auto"/>
      </w:divBdr>
      <w:divsChild>
        <w:div w:id="2064863174">
          <w:marLeft w:val="0"/>
          <w:marRight w:val="0"/>
          <w:marTop w:val="0"/>
          <w:marBottom w:val="0"/>
          <w:divBdr>
            <w:top w:val="none" w:sz="0" w:space="0" w:color="auto"/>
            <w:left w:val="none" w:sz="0" w:space="0" w:color="auto"/>
            <w:bottom w:val="none" w:sz="0" w:space="0" w:color="auto"/>
            <w:right w:val="none" w:sz="0" w:space="0" w:color="auto"/>
          </w:divBdr>
          <w:divsChild>
            <w:div w:id="6913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4858">
      <w:bodyDiv w:val="1"/>
      <w:marLeft w:val="0"/>
      <w:marRight w:val="0"/>
      <w:marTop w:val="0"/>
      <w:marBottom w:val="0"/>
      <w:divBdr>
        <w:top w:val="none" w:sz="0" w:space="0" w:color="auto"/>
        <w:left w:val="none" w:sz="0" w:space="0" w:color="auto"/>
        <w:bottom w:val="none" w:sz="0" w:space="0" w:color="auto"/>
        <w:right w:val="none" w:sz="0" w:space="0" w:color="auto"/>
      </w:divBdr>
    </w:div>
    <w:div w:id="204634508">
      <w:bodyDiv w:val="1"/>
      <w:marLeft w:val="0"/>
      <w:marRight w:val="0"/>
      <w:marTop w:val="0"/>
      <w:marBottom w:val="0"/>
      <w:divBdr>
        <w:top w:val="none" w:sz="0" w:space="0" w:color="auto"/>
        <w:left w:val="none" w:sz="0" w:space="0" w:color="auto"/>
        <w:bottom w:val="none" w:sz="0" w:space="0" w:color="auto"/>
        <w:right w:val="none" w:sz="0" w:space="0" w:color="auto"/>
      </w:divBdr>
    </w:div>
    <w:div w:id="204871384">
      <w:bodyDiv w:val="1"/>
      <w:marLeft w:val="0"/>
      <w:marRight w:val="0"/>
      <w:marTop w:val="0"/>
      <w:marBottom w:val="0"/>
      <w:divBdr>
        <w:top w:val="none" w:sz="0" w:space="0" w:color="auto"/>
        <w:left w:val="none" w:sz="0" w:space="0" w:color="auto"/>
        <w:bottom w:val="none" w:sz="0" w:space="0" w:color="auto"/>
        <w:right w:val="none" w:sz="0" w:space="0" w:color="auto"/>
      </w:divBdr>
    </w:div>
    <w:div w:id="209735225">
      <w:bodyDiv w:val="1"/>
      <w:marLeft w:val="0"/>
      <w:marRight w:val="0"/>
      <w:marTop w:val="0"/>
      <w:marBottom w:val="0"/>
      <w:divBdr>
        <w:top w:val="none" w:sz="0" w:space="0" w:color="auto"/>
        <w:left w:val="none" w:sz="0" w:space="0" w:color="auto"/>
        <w:bottom w:val="none" w:sz="0" w:space="0" w:color="auto"/>
        <w:right w:val="none" w:sz="0" w:space="0" w:color="auto"/>
      </w:divBdr>
    </w:div>
    <w:div w:id="211892062">
      <w:bodyDiv w:val="1"/>
      <w:marLeft w:val="0"/>
      <w:marRight w:val="0"/>
      <w:marTop w:val="0"/>
      <w:marBottom w:val="0"/>
      <w:divBdr>
        <w:top w:val="none" w:sz="0" w:space="0" w:color="auto"/>
        <w:left w:val="none" w:sz="0" w:space="0" w:color="auto"/>
        <w:bottom w:val="none" w:sz="0" w:space="0" w:color="auto"/>
        <w:right w:val="none" w:sz="0" w:space="0" w:color="auto"/>
      </w:divBdr>
      <w:divsChild>
        <w:div w:id="32190597">
          <w:marLeft w:val="0"/>
          <w:marRight w:val="0"/>
          <w:marTop w:val="0"/>
          <w:marBottom w:val="0"/>
          <w:divBdr>
            <w:top w:val="none" w:sz="0" w:space="0" w:color="auto"/>
            <w:left w:val="none" w:sz="0" w:space="0" w:color="auto"/>
            <w:bottom w:val="none" w:sz="0" w:space="0" w:color="auto"/>
            <w:right w:val="none" w:sz="0" w:space="0" w:color="auto"/>
          </w:divBdr>
        </w:div>
        <w:div w:id="1901792901">
          <w:marLeft w:val="0"/>
          <w:marRight w:val="0"/>
          <w:marTop w:val="0"/>
          <w:marBottom w:val="0"/>
          <w:divBdr>
            <w:top w:val="none" w:sz="0" w:space="0" w:color="auto"/>
            <w:left w:val="none" w:sz="0" w:space="0" w:color="auto"/>
            <w:bottom w:val="none" w:sz="0" w:space="0" w:color="auto"/>
            <w:right w:val="none" w:sz="0" w:space="0" w:color="auto"/>
          </w:divBdr>
          <w:divsChild>
            <w:div w:id="1928149406">
              <w:marLeft w:val="0"/>
              <w:marRight w:val="0"/>
              <w:marTop w:val="0"/>
              <w:marBottom w:val="0"/>
              <w:divBdr>
                <w:top w:val="none" w:sz="0" w:space="0" w:color="auto"/>
                <w:left w:val="none" w:sz="0" w:space="0" w:color="auto"/>
                <w:bottom w:val="none" w:sz="0" w:space="0" w:color="auto"/>
                <w:right w:val="none" w:sz="0" w:space="0" w:color="auto"/>
              </w:divBdr>
              <w:divsChild>
                <w:div w:id="1666980358">
                  <w:marLeft w:val="0"/>
                  <w:marRight w:val="0"/>
                  <w:marTop w:val="0"/>
                  <w:marBottom w:val="0"/>
                  <w:divBdr>
                    <w:top w:val="none" w:sz="0" w:space="0" w:color="auto"/>
                    <w:left w:val="none" w:sz="0" w:space="0" w:color="auto"/>
                    <w:bottom w:val="none" w:sz="0" w:space="0" w:color="auto"/>
                    <w:right w:val="none" w:sz="0" w:space="0" w:color="auto"/>
                  </w:divBdr>
                  <w:divsChild>
                    <w:div w:id="1077898130">
                      <w:marLeft w:val="0"/>
                      <w:marRight w:val="0"/>
                      <w:marTop w:val="0"/>
                      <w:marBottom w:val="0"/>
                      <w:divBdr>
                        <w:top w:val="none" w:sz="0" w:space="0" w:color="auto"/>
                        <w:left w:val="none" w:sz="0" w:space="0" w:color="auto"/>
                        <w:bottom w:val="none" w:sz="0" w:space="0" w:color="auto"/>
                        <w:right w:val="none" w:sz="0" w:space="0" w:color="auto"/>
                      </w:divBdr>
                    </w:div>
                    <w:div w:id="1090615977">
                      <w:marLeft w:val="0"/>
                      <w:marRight w:val="0"/>
                      <w:marTop w:val="0"/>
                      <w:marBottom w:val="0"/>
                      <w:divBdr>
                        <w:top w:val="none" w:sz="0" w:space="0" w:color="auto"/>
                        <w:left w:val="none" w:sz="0" w:space="0" w:color="auto"/>
                        <w:bottom w:val="none" w:sz="0" w:space="0" w:color="auto"/>
                        <w:right w:val="none" w:sz="0" w:space="0" w:color="auto"/>
                      </w:divBdr>
                    </w:div>
                    <w:div w:id="17162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79991">
      <w:bodyDiv w:val="1"/>
      <w:marLeft w:val="0"/>
      <w:marRight w:val="0"/>
      <w:marTop w:val="0"/>
      <w:marBottom w:val="0"/>
      <w:divBdr>
        <w:top w:val="none" w:sz="0" w:space="0" w:color="auto"/>
        <w:left w:val="none" w:sz="0" w:space="0" w:color="auto"/>
        <w:bottom w:val="none" w:sz="0" w:space="0" w:color="auto"/>
        <w:right w:val="none" w:sz="0" w:space="0" w:color="auto"/>
      </w:divBdr>
    </w:div>
    <w:div w:id="214701339">
      <w:bodyDiv w:val="1"/>
      <w:marLeft w:val="0"/>
      <w:marRight w:val="0"/>
      <w:marTop w:val="0"/>
      <w:marBottom w:val="0"/>
      <w:divBdr>
        <w:top w:val="none" w:sz="0" w:space="0" w:color="auto"/>
        <w:left w:val="none" w:sz="0" w:space="0" w:color="auto"/>
        <w:bottom w:val="none" w:sz="0" w:space="0" w:color="auto"/>
        <w:right w:val="none" w:sz="0" w:space="0" w:color="auto"/>
      </w:divBdr>
    </w:div>
    <w:div w:id="216019395">
      <w:bodyDiv w:val="1"/>
      <w:marLeft w:val="0"/>
      <w:marRight w:val="0"/>
      <w:marTop w:val="0"/>
      <w:marBottom w:val="0"/>
      <w:divBdr>
        <w:top w:val="none" w:sz="0" w:space="0" w:color="auto"/>
        <w:left w:val="none" w:sz="0" w:space="0" w:color="auto"/>
        <w:bottom w:val="none" w:sz="0" w:space="0" w:color="auto"/>
        <w:right w:val="none" w:sz="0" w:space="0" w:color="auto"/>
      </w:divBdr>
    </w:div>
    <w:div w:id="218442180">
      <w:bodyDiv w:val="1"/>
      <w:marLeft w:val="0"/>
      <w:marRight w:val="0"/>
      <w:marTop w:val="0"/>
      <w:marBottom w:val="0"/>
      <w:divBdr>
        <w:top w:val="none" w:sz="0" w:space="0" w:color="auto"/>
        <w:left w:val="none" w:sz="0" w:space="0" w:color="auto"/>
        <w:bottom w:val="none" w:sz="0" w:space="0" w:color="auto"/>
        <w:right w:val="none" w:sz="0" w:space="0" w:color="auto"/>
      </w:divBdr>
    </w:div>
    <w:div w:id="218514099">
      <w:bodyDiv w:val="1"/>
      <w:marLeft w:val="0"/>
      <w:marRight w:val="0"/>
      <w:marTop w:val="0"/>
      <w:marBottom w:val="0"/>
      <w:divBdr>
        <w:top w:val="none" w:sz="0" w:space="0" w:color="auto"/>
        <w:left w:val="none" w:sz="0" w:space="0" w:color="auto"/>
        <w:bottom w:val="none" w:sz="0" w:space="0" w:color="auto"/>
        <w:right w:val="none" w:sz="0" w:space="0" w:color="auto"/>
      </w:divBdr>
    </w:div>
    <w:div w:id="221714244">
      <w:bodyDiv w:val="1"/>
      <w:marLeft w:val="0"/>
      <w:marRight w:val="0"/>
      <w:marTop w:val="0"/>
      <w:marBottom w:val="0"/>
      <w:divBdr>
        <w:top w:val="none" w:sz="0" w:space="0" w:color="auto"/>
        <w:left w:val="none" w:sz="0" w:space="0" w:color="auto"/>
        <w:bottom w:val="none" w:sz="0" w:space="0" w:color="auto"/>
        <w:right w:val="none" w:sz="0" w:space="0" w:color="auto"/>
      </w:divBdr>
    </w:div>
    <w:div w:id="236861387">
      <w:bodyDiv w:val="1"/>
      <w:marLeft w:val="0"/>
      <w:marRight w:val="0"/>
      <w:marTop w:val="0"/>
      <w:marBottom w:val="0"/>
      <w:divBdr>
        <w:top w:val="none" w:sz="0" w:space="0" w:color="auto"/>
        <w:left w:val="none" w:sz="0" w:space="0" w:color="auto"/>
        <w:bottom w:val="none" w:sz="0" w:space="0" w:color="auto"/>
        <w:right w:val="none" w:sz="0" w:space="0" w:color="auto"/>
      </w:divBdr>
    </w:div>
    <w:div w:id="238906632">
      <w:bodyDiv w:val="1"/>
      <w:marLeft w:val="0"/>
      <w:marRight w:val="0"/>
      <w:marTop w:val="0"/>
      <w:marBottom w:val="0"/>
      <w:divBdr>
        <w:top w:val="none" w:sz="0" w:space="0" w:color="auto"/>
        <w:left w:val="none" w:sz="0" w:space="0" w:color="auto"/>
        <w:bottom w:val="none" w:sz="0" w:space="0" w:color="auto"/>
        <w:right w:val="none" w:sz="0" w:space="0" w:color="auto"/>
      </w:divBdr>
    </w:div>
    <w:div w:id="250092091">
      <w:bodyDiv w:val="1"/>
      <w:marLeft w:val="0"/>
      <w:marRight w:val="0"/>
      <w:marTop w:val="0"/>
      <w:marBottom w:val="0"/>
      <w:divBdr>
        <w:top w:val="none" w:sz="0" w:space="0" w:color="auto"/>
        <w:left w:val="none" w:sz="0" w:space="0" w:color="auto"/>
        <w:bottom w:val="none" w:sz="0" w:space="0" w:color="auto"/>
        <w:right w:val="none" w:sz="0" w:space="0" w:color="auto"/>
      </w:divBdr>
    </w:div>
    <w:div w:id="263611496">
      <w:bodyDiv w:val="1"/>
      <w:marLeft w:val="0"/>
      <w:marRight w:val="0"/>
      <w:marTop w:val="0"/>
      <w:marBottom w:val="0"/>
      <w:divBdr>
        <w:top w:val="none" w:sz="0" w:space="0" w:color="auto"/>
        <w:left w:val="none" w:sz="0" w:space="0" w:color="auto"/>
        <w:bottom w:val="none" w:sz="0" w:space="0" w:color="auto"/>
        <w:right w:val="none" w:sz="0" w:space="0" w:color="auto"/>
      </w:divBdr>
    </w:div>
    <w:div w:id="265767774">
      <w:bodyDiv w:val="1"/>
      <w:marLeft w:val="0"/>
      <w:marRight w:val="0"/>
      <w:marTop w:val="0"/>
      <w:marBottom w:val="0"/>
      <w:divBdr>
        <w:top w:val="none" w:sz="0" w:space="0" w:color="auto"/>
        <w:left w:val="none" w:sz="0" w:space="0" w:color="auto"/>
        <w:bottom w:val="none" w:sz="0" w:space="0" w:color="auto"/>
        <w:right w:val="none" w:sz="0" w:space="0" w:color="auto"/>
      </w:divBdr>
    </w:div>
    <w:div w:id="273830128">
      <w:bodyDiv w:val="1"/>
      <w:marLeft w:val="0"/>
      <w:marRight w:val="0"/>
      <w:marTop w:val="0"/>
      <w:marBottom w:val="0"/>
      <w:divBdr>
        <w:top w:val="none" w:sz="0" w:space="0" w:color="auto"/>
        <w:left w:val="none" w:sz="0" w:space="0" w:color="auto"/>
        <w:bottom w:val="none" w:sz="0" w:space="0" w:color="auto"/>
        <w:right w:val="none" w:sz="0" w:space="0" w:color="auto"/>
      </w:divBdr>
    </w:div>
    <w:div w:id="289166102">
      <w:bodyDiv w:val="1"/>
      <w:marLeft w:val="0"/>
      <w:marRight w:val="0"/>
      <w:marTop w:val="0"/>
      <w:marBottom w:val="0"/>
      <w:divBdr>
        <w:top w:val="none" w:sz="0" w:space="0" w:color="auto"/>
        <w:left w:val="none" w:sz="0" w:space="0" w:color="auto"/>
        <w:bottom w:val="none" w:sz="0" w:space="0" w:color="auto"/>
        <w:right w:val="none" w:sz="0" w:space="0" w:color="auto"/>
      </w:divBdr>
    </w:div>
    <w:div w:id="299575929">
      <w:bodyDiv w:val="1"/>
      <w:marLeft w:val="0"/>
      <w:marRight w:val="0"/>
      <w:marTop w:val="0"/>
      <w:marBottom w:val="0"/>
      <w:divBdr>
        <w:top w:val="none" w:sz="0" w:space="0" w:color="auto"/>
        <w:left w:val="none" w:sz="0" w:space="0" w:color="auto"/>
        <w:bottom w:val="none" w:sz="0" w:space="0" w:color="auto"/>
        <w:right w:val="none" w:sz="0" w:space="0" w:color="auto"/>
      </w:divBdr>
    </w:div>
    <w:div w:id="317808631">
      <w:bodyDiv w:val="1"/>
      <w:marLeft w:val="0"/>
      <w:marRight w:val="0"/>
      <w:marTop w:val="0"/>
      <w:marBottom w:val="0"/>
      <w:divBdr>
        <w:top w:val="none" w:sz="0" w:space="0" w:color="auto"/>
        <w:left w:val="none" w:sz="0" w:space="0" w:color="auto"/>
        <w:bottom w:val="none" w:sz="0" w:space="0" w:color="auto"/>
        <w:right w:val="none" w:sz="0" w:space="0" w:color="auto"/>
      </w:divBdr>
    </w:div>
    <w:div w:id="342823860">
      <w:bodyDiv w:val="1"/>
      <w:marLeft w:val="0"/>
      <w:marRight w:val="0"/>
      <w:marTop w:val="0"/>
      <w:marBottom w:val="0"/>
      <w:divBdr>
        <w:top w:val="none" w:sz="0" w:space="0" w:color="auto"/>
        <w:left w:val="none" w:sz="0" w:space="0" w:color="auto"/>
        <w:bottom w:val="none" w:sz="0" w:space="0" w:color="auto"/>
        <w:right w:val="none" w:sz="0" w:space="0" w:color="auto"/>
      </w:divBdr>
    </w:div>
    <w:div w:id="348215586">
      <w:bodyDiv w:val="1"/>
      <w:marLeft w:val="0"/>
      <w:marRight w:val="0"/>
      <w:marTop w:val="0"/>
      <w:marBottom w:val="0"/>
      <w:divBdr>
        <w:top w:val="none" w:sz="0" w:space="0" w:color="auto"/>
        <w:left w:val="none" w:sz="0" w:space="0" w:color="auto"/>
        <w:bottom w:val="none" w:sz="0" w:space="0" w:color="auto"/>
        <w:right w:val="none" w:sz="0" w:space="0" w:color="auto"/>
      </w:divBdr>
    </w:div>
    <w:div w:id="359671086">
      <w:bodyDiv w:val="1"/>
      <w:marLeft w:val="0"/>
      <w:marRight w:val="0"/>
      <w:marTop w:val="0"/>
      <w:marBottom w:val="0"/>
      <w:divBdr>
        <w:top w:val="none" w:sz="0" w:space="0" w:color="auto"/>
        <w:left w:val="none" w:sz="0" w:space="0" w:color="auto"/>
        <w:bottom w:val="none" w:sz="0" w:space="0" w:color="auto"/>
        <w:right w:val="none" w:sz="0" w:space="0" w:color="auto"/>
      </w:divBdr>
      <w:divsChild>
        <w:div w:id="332539136">
          <w:marLeft w:val="547"/>
          <w:marRight w:val="0"/>
          <w:marTop w:val="0"/>
          <w:marBottom w:val="0"/>
          <w:divBdr>
            <w:top w:val="none" w:sz="0" w:space="0" w:color="auto"/>
            <w:left w:val="none" w:sz="0" w:space="0" w:color="auto"/>
            <w:bottom w:val="none" w:sz="0" w:space="0" w:color="auto"/>
            <w:right w:val="none" w:sz="0" w:space="0" w:color="auto"/>
          </w:divBdr>
        </w:div>
      </w:divsChild>
    </w:div>
    <w:div w:id="360980123">
      <w:bodyDiv w:val="1"/>
      <w:marLeft w:val="0"/>
      <w:marRight w:val="0"/>
      <w:marTop w:val="0"/>
      <w:marBottom w:val="0"/>
      <w:divBdr>
        <w:top w:val="none" w:sz="0" w:space="0" w:color="auto"/>
        <w:left w:val="none" w:sz="0" w:space="0" w:color="auto"/>
        <w:bottom w:val="none" w:sz="0" w:space="0" w:color="auto"/>
        <w:right w:val="none" w:sz="0" w:space="0" w:color="auto"/>
      </w:divBdr>
    </w:div>
    <w:div w:id="363333752">
      <w:bodyDiv w:val="1"/>
      <w:marLeft w:val="0"/>
      <w:marRight w:val="0"/>
      <w:marTop w:val="0"/>
      <w:marBottom w:val="0"/>
      <w:divBdr>
        <w:top w:val="none" w:sz="0" w:space="0" w:color="auto"/>
        <w:left w:val="none" w:sz="0" w:space="0" w:color="auto"/>
        <w:bottom w:val="none" w:sz="0" w:space="0" w:color="auto"/>
        <w:right w:val="none" w:sz="0" w:space="0" w:color="auto"/>
      </w:divBdr>
    </w:div>
    <w:div w:id="366759525">
      <w:bodyDiv w:val="1"/>
      <w:marLeft w:val="0"/>
      <w:marRight w:val="0"/>
      <w:marTop w:val="0"/>
      <w:marBottom w:val="0"/>
      <w:divBdr>
        <w:top w:val="none" w:sz="0" w:space="0" w:color="auto"/>
        <w:left w:val="none" w:sz="0" w:space="0" w:color="auto"/>
        <w:bottom w:val="none" w:sz="0" w:space="0" w:color="auto"/>
        <w:right w:val="none" w:sz="0" w:space="0" w:color="auto"/>
      </w:divBdr>
    </w:div>
    <w:div w:id="369035473">
      <w:bodyDiv w:val="1"/>
      <w:marLeft w:val="0"/>
      <w:marRight w:val="0"/>
      <w:marTop w:val="0"/>
      <w:marBottom w:val="0"/>
      <w:divBdr>
        <w:top w:val="none" w:sz="0" w:space="0" w:color="auto"/>
        <w:left w:val="none" w:sz="0" w:space="0" w:color="auto"/>
        <w:bottom w:val="none" w:sz="0" w:space="0" w:color="auto"/>
        <w:right w:val="none" w:sz="0" w:space="0" w:color="auto"/>
      </w:divBdr>
    </w:div>
    <w:div w:id="386537289">
      <w:bodyDiv w:val="1"/>
      <w:marLeft w:val="0"/>
      <w:marRight w:val="0"/>
      <w:marTop w:val="0"/>
      <w:marBottom w:val="0"/>
      <w:divBdr>
        <w:top w:val="none" w:sz="0" w:space="0" w:color="auto"/>
        <w:left w:val="none" w:sz="0" w:space="0" w:color="auto"/>
        <w:bottom w:val="none" w:sz="0" w:space="0" w:color="auto"/>
        <w:right w:val="none" w:sz="0" w:space="0" w:color="auto"/>
      </w:divBdr>
    </w:div>
    <w:div w:id="386884137">
      <w:bodyDiv w:val="1"/>
      <w:marLeft w:val="0"/>
      <w:marRight w:val="0"/>
      <w:marTop w:val="0"/>
      <w:marBottom w:val="0"/>
      <w:divBdr>
        <w:top w:val="none" w:sz="0" w:space="0" w:color="auto"/>
        <w:left w:val="none" w:sz="0" w:space="0" w:color="auto"/>
        <w:bottom w:val="none" w:sz="0" w:space="0" w:color="auto"/>
        <w:right w:val="none" w:sz="0" w:space="0" w:color="auto"/>
      </w:divBdr>
    </w:div>
    <w:div w:id="395322702">
      <w:bodyDiv w:val="1"/>
      <w:marLeft w:val="0"/>
      <w:marRight w:val="0"/>
      <w:marTop w:val="0"/>
      <w:marBottom w:val="0"/>
      <w:divBdr>
        <w:top w:val="none" w:sz="0" w:space="0" w:color="auto"/>
        <w:left w:val="none" w:sz="0" w:space="0" w:color="auto"/>
        <w:bottom w:val="none" w:sz="0" w:space="0" w:color="auto"/>
        <w:right w:val="none" w:sz="0" w:space="0" w:color="auto"/>
      </w:divBdr>
    </w:div>
    <w:div w:id="396900801">
      <w:bodyDiv w:val="1"/>
      <w:marLeft w:val="0"/>
      <w:marRight w:val="0"/>
      <w:marTop w:val="0"/>
      <w:marBottom w:val="0"/>
      <w:divBdr>
        <w:top w:val="none" w:sz="0" w:space="0" w:color="auto"/>
        <w:left w:val="none" w:sz="0" w:space="0" w:color="auto"/>
        <w:bottom w:val="none" w:sz="0" w:space="0" w:color="auto"/>
        <w:right w:val="none" w:sz="0" w:space="0" w:color="auto"/>
      </w:divBdr>
    </w:div>
    <w:div w:id="400564730">
      <w:bodyDiv w:val="1"/>
      <w:marLeft w:val="0"/>
      <w:marRight w:val="0"/>
      <w:marTop w:val="0"/>
      <w:marBottom w:val="0"/>
      <w:divBdr>
        <w:top w:val="none" w:sz="0" w:space="0" w:color="auto"/>
        <w:left w:val="none" w:sz="0" w:space="0" w:color="auto"/>
        <w:bottom w:val="none" w:sz="0" w:space="0" w:color="auto"/>
        <w:right w:val="none" w:sz="0" w:space="0" w:color="auto"/>
      </w:divBdr>
    </w:div>
    <w:div w:id="410273704">
      <w:bodyDiv w:val="1"/>
      <w:marLeft w:val="0"/>
      <w:marRight w:val="0"/>
      <w:marTop w:val="0"/>
      <w:marBottom w:val="0"/>
      <w:divBdr>
        <w:top w:val="none" w:sz="0" w:space="0" w:color="auto"/>
        <w:left w:val="none" w:sz="0" w:space="0" w:color="auto"/>
        <w:bottom w:val="none" w:sz="0" w:space="0" w:color="auto"/>
        <w:right w:val="none" w:sz="0" w:space="0" w:color="auto"/>
      </w:divBdr>
    </w:div>
    <w:div w:id="418139341">
      <w:bodyDiv w:val="1"/>
      <w:marLeft w:val="0"/>
      <w:marRight w:val="0"/>
      <w:marTop w:val="0"/>
      <w:marBottom w:val="0"/>
      <w:divBdr>
        <w:top w:val="none" w:sz="0" w:space="0" w:color="auto"/>
        <w:left w:val="none" w:sz="0" w:space="0" w:color="auto"/>
        <w:bottom w:val="none" w:sz="0" w:space="0" w:color="auto"/>
        <w:right w:val="none" w:sz="0" w:space="0" w:color="auto"/>
      </w:divBdr>
      <w:divsChild>
        <w:div w:id="9647840">
          <w:marLeft w:val="0"/>
          <w:marRight w:val="0"/>
          <w:marTop w:val="0"/>
          <w:marBottom w:val="0"/>
          <w:divBdr>
            <w:top w:val="none" w:sz="0" w:space="0" w:color="auto"/>
            <w:left w:val="none" w:sz="0" w:space="0" w:color="auto"/>
            <w:bottom w:val="none" w:sz="0" w:space="0" w:color="auto"/>
            <w:right w:val="none" w:sz="0" w:space="0" w:color="auto"/>
          </w:divBdr>
          <w:divsChild>
            <w:div w:id="1231886765">
              <w:marLeft w:val="0"/>
              <w:marRight w:val="0"/>
              <w:marTop w:val="0"/>
              <w:marBottom w:val="0"/>
              <w:divBdr>
                <w:top w:val="none" w:sz="0" w:space="0" w:color="auto"/>
                <w:left w:val="none" w:sz="0" w:space="0" w:color="auto"/>
                <w:bottom w:val="none" w:sz="0" w:space="0" w:color="auto"/>
                <w:right w:val="none" w:sz="0" w:space="0" w:color="auto"/>
              </w:divBdr>
            </w:div>
            <w:div w:id="1655717427">
              <w:marLeft w:val="0"/>
              <w:marRight w:val="0"/>
              <w:marTop w:val="0"/>
              <w:marBottom w:val="0"/>
              <w:divBdr>
                <w:top w:val="none" w:sz="0" w:space="0" w:color="auto"/>
                <w:left w:val="none" w:sz="0" w:space="0" w:color="auto"/>
                <w:bottom w:val="none" w:sz="0" w:space="0" w:color="auto"/>
                <w:right w:val="none" w:sz="0" w:space="0" w:color="auto"/>
              </w:divBdr>
            </w:div>
          </w:divsChild>
        </w:div>
        <w:div w:id="19206804">
          <w:marLeft w:val="0"/>
          <w:marRight w:val="0"/>
          <w:marTop w:val="0"/>
          <w:marBottom w:val="0"/>
          <w:divBdr>
            <w:top w:val="none" w:sz="0" w:space="0" w:color="auto"/>
            <w:left w:val="none" w:sz="0" w:space="0" w:color="auto"/>
            <w:bottom w:val="none" w:sz="0" w:space="0" w:color="auto"/>
            <w:right w:val="none" w:sz="0" w:space="0" w:color="auto"/>
          </w:divBdr>
        </w:div>
        <w:div w:id="24913881">
          <w:marLeft w:val="0"/>
          <w:marRight w:val="0"/>
          <w:marTop w:val="0"/>
          <w:marBottom w:val="0"/>
          <w:divBdr>
            <w:top w:val="none" w:sz="0" w:space="0" w:color="auto"/>
            <w:left w:val="none" w:sz="0" w:space="0" w:color="auto"/>
            <w:bottom w:val="none" w:sz="0" w:space="0" w:color="auto"/>
            <w:right w:val="none" w:sz="0" w:space="0" w:color="auto"/>
          </w:divBdr>
        </w:div>
        <w:div w:id="45685725">
          <w:marLeft w:val="0"/>
          <w:marRight w:val="0"/>
          <w:marTop w:val="0"/>
          <w:marBottom w:val="0"/>
          <w:divBdr>
            <w:top w:val="none" w:sz="0" w:space="0" w:color="auto"/>
            <w:left w:val="none" w:sz="0" w:space="0" w:color="auto"/>
            <w:bottom w:val="none" w:sz="0" w:space="0" w:color="auto"/>
            <w:right w:val="none" w:sz="0" w:space="0" w:color="auto"/>
          </w:divBdr>
        </w:div>
        <w:div w:id="117838689">
          <w:marLeft w:val="0"/>
          <w:marRight w:val="0"/>
          <w:marTop w:val="0"/>
          <w:marBottom w:val="0"/>
          <w:divBdr>
            <w:top w:val="none" w:sz="0" w:space="0" w:color="auto"/>
            <w:left w:val="none" w:sz="0" w:space="0" w:color="auto"/>
            <w:bottom w:val="none" w:sz="0" w:space="0" w:color="auto"/>
            <w:right w:val="none" w:sz="0" w:space="0" w:color="auto"/>
          </w:divBdr>
        </w:div>
        <w:div w:id="133915726">
          <w:marLeft w:val="0"/>
          <w:marRight w:val="0"/>
          <w:marTop w:val="0"/>
          <w:marBottom w:val="0"/>
          <w:divBdr>
            <w:top w:val="none" w:sz="0" w:space="0" w:color="auto"/>
            <w:left w:val="none" w:sz="0" w:space="0" w:color="auto"/>
            <w:bottom w:val="none" w:sz="0" w:space="0" w:color="auto"/>
            <w:right w:val="none" w:sz="0" w:space="0" w:color="auto"/>
          </w:divBdr>
        </w:div>
        <w:div w:id="172190517">
          <w:marLeft w:val="0"/>
          <w:marRight w:val="0"/>
          <w:marTop w:val="0"/>
          <w:marBottom w:val="0"/>
          <w:divBdr>
            <w:top w:val="none" w:sz="0" w:space="0" w:color="auto"/>
            <w:left w:val="none" w:sz="0" w:space="0" w:color="auto"/>
            <w:bottom w:val="none" w:sz="0" w:space="0" w:color="auto"/>
            <w:right w:val="none" w:sz="0" w:space="0" w:color="auto"/>
          </w:divBdr>
        </w:div>
        <w:div w:id="179586601">
          <w:marLeft w:val="0"/>
          <w:marRight w:val="0"/>
          <w:marTop w:val="0"/>
          <w:marBottom w:val="0"/>
          <w:divBdr>
            <w:top w:val="none" w:sz="0" w:space="0" w:color="auto"/>
            <w:left w:val="none" w:sz="0" w:space="0" w:color="auto"/>
            <w:bottom w:val="none" w:sz="0" w:space="0" w:color="auto"/>
            <w:right w:val="none" w:sz="0" w:space="0" w:color="auto"/>
          </w:divBdr>
        </w:div>
        <w:div w:id="276255584">
          <w:marLeft w:val="0"/>
          <w:marRight w:val="0"/>
          <w:marTop w:val="0"/>
          <w:marBottom w:val="0"/>
          <w:divBdr>
            <w:top w:val="none" w:sz="0" w:space="0" w:color="auto"/>
            <w:left w:val="none" w:sz="0" w:space="0" w:color="auto"/>
            <w:bottom w:val="none" w:sz="0" w:space="0" w:color="auto"/>
            <w:right w:val="none" w:sz="0" w:space="0" w:color="auto"/>
          </w:divBdr>
        </w:div>
        <w:div w:id="282659756">
          <w:marLeft w:val="0"/>
          <w:marRight w:val="0"/>
          <w:marTop w:val="0"/>
          <w:marBottom w:val="0"/>
          <w:divBdr>
            <w:top w:val="none" w:sz="0" w:space="0" w:color="auto"/>
            <w:left w:val="none" w:sz="0" w:space="0" w:color="auto"/>
            <w:bottom w:val="none" w:sz="0" w:space="0" w:color="auto"/>
            <w:right w:val="none" w:sz="0" w:space="0" w:color="auto"/>
          </w:divBdr>
        </w:div>
        <w:div w:id="298340139">
          <w:marLeft w:val="0"/>
          <w:marRight w:val="0"/>
          <w:marTop w:val="0"/>
          <w:marBottom w:val="0"/>
          <w:divBdr>
            <w:top w:val="none" w:sz="0" w:space="0" w:color="auto"/>
            <w:left w:val="none" w:sz="0" w:space="0" w:color="auto"/>
            <w:bottom w:val="none" w:sz="0" w:space="0" w:color="auto"/>
            <w:right w:val="none" w:sz="0" w:space="0" w:color="auto"/>
          </w:divBdr>
        </w:div>
        <w:div w:id="353069199">
          <w:marLeft w:val="0"/>
          <w:marRight w:val="0"/>
          <w:marTop w:val="0"/>
          <w:marBottom w:val="0"/>
          <w:divBdr>
            <w:top w:val="none" w:sz="0" w:space="0" w:color="auto"/>
            <w:left w:val="none" w:sz="0" w:space="0" w:color="auto"/>
            <w:bottom w:val="none" w:sz="0" w:space="0" w:color="auto"/>
            <w:right w:val="none" w:sz="0" w:space="0" w:color="auto"/>
          </w:divBdr>
        </w:div>
        <w:div w:id="398788601">
          <w:marLeft w:val="0"/>
          <w:marRight w:val="0"/>
          <w:marTop w:val="0"/>
          <w:marBottom w:val="0"/>
          <w:divBdr>
            <w:top w:val="none" w:sz="0" w:space="0" w:color="auto"/>
            <w:left w:val="none" w:sz="0" w:space="0" w:color="auto"/>
            <w:bottom w:val="none" w:sz="0" w:space="0" w:color="auto"/>
            <w:right w:val="none" w:sz="0" w:space="0" w:color="auto"/>
          </w:divBdr>
        </w:div>
        <w:div w:id="408426173">
          <w:marLeft w:val="0"/>
          <w:marRight w:val="0"/>
          <w:marTop w:val="0"/>
          <w:marBottom w:val="0"/>
          <w:divBdr>
            <w:top w:val="none" w:sz="0" w:space="0" w:color="auto"/>
            <w:left w:val="none" w:sz="0" w:space="0" w:color="auto"/>
            <w:bottom w:val="none" w:sz="0" w:space="0" w:color="auto"/>
            <w:right w:val="none" w:sz="0" w:space="0" w:color="auto"/>
          </w:divBdr>
          <w:divsChild>
            <w:div w:id="646128922">
              <w:marLeft w:val="0"/>
              <w:marRight w:val="0"/>
              <w:marTop w:val="0"/>
              <w:marBottom w:val="0"/>
              <w:divBdr>
                <w:top w:val="none" w:sz="0" w:space="0" w:color="auto"/>
                <w:left w:val="none" w:sz="0" w:space="0" w:color="auto"/>
                <w:bottom w:val="none" w:sz="0" w:space="0" w:color="auto"/>
                <w:right w:val="none" w:sz="0" w:space="0" w:color="auto"/>
              </w:divBdr>
            </w:div>
            <w:div w:id="1374042577">
              <w:marLeft w:val="0"/>
              <w:marRight w:val="0"/>
              <w:marTop w:val="0"/>
              <w:marBottom w:val="0"/>
              <w:divBdr>
                <w:top w:val="none" w:sz="0" w:space="0" w:color="auto"/>
                <w:left w:val="none" w:sz="0" w:space="0" w:color="auto"/>
                <w:bottom w:val="none" w:sz="0" w:space="0" w:color="auto"/>
                <w:right w:val="none" w:sz="0" w:space="0" w:color="auto"/>
              </w:divBdr>
            </w:div>
            <w:div w:id="1542815639">
              <w:marLeft w:val="0"/>
              <w:marRight w:val="0"/>
              <w:marTop w:val="0"/>
              <w:marBottom w:val="0"/>
              <w:divBdr>
                <w:top w:val="none" w:sz="0" w:space="0" w:color="auto"/>
                <w:left w:val="none" w:sz="0" w:space="0" w:color="auto"/>
                <w:bottom w:val="none" w:sz="0" w:space="0" w:color="auto"/>
                <w:right w:val="none" w:sz="0" w:space="0" w:color="auto"/>
              </w:divBdr>
            </w:div>
            <w:div w:id="1610044667">
              <w:marLeft w:val="0"/>
              <w:marRight w:val="0"/>
              <w:marTop w:val="0"/>
              <w:marBottom w:val="0"/>
              <w:divBdr>
                <w:top w:val="none" w:sz="0" w:space="0" w:color="auto"/>
                <w:left w:val="none" w:sz="0" w:space="0" w:color="auto"/>
                <w:bottom w:val="none" w:sz="0" w:space="0" w:color="auto"/>
                <w:right w:val="none" w:sz="0" w:space="0" w:color="auto"/>
              </w:divBdr>
            </w:div>
            <w:div w:id="1914586336">
              <w:marLeft w:val="0"/>
              <w:marRight w:val="0"/>
              <w:marTop w:val="0"/>
              <w:marBottom w:val="0"/>
              <w:divBdr>
                <w:top w:val="none" w:sz="0" w:space="0" w:color="auto"/>
                <w:left w:val="none" w:sz="0" w:space="0" w:color="auto"/>
                <w:bottom w:val="none" w:sz="0" w:space="0" w:color="auto"/>
                <w:right w:val="none" w:sz="0" w:space="0" w:color="auto"/>
              </w:divBdr>
            </w:div>
          </w:divsChild>
        </w:div>
        <w:div w:id="418259278">
          <w:marLeft w:val="0"/>
          <w:marRight w:val="0"/>
          <w:marTop w:val="0"/>
          <w:marBottom w:val="0"/>
          <w:divBdr>
            <w:top w:val="none" w:sz="0" w:space="0" w:color="auto"/>
            <w:left w:val="none" w:sz="0" w:space="0" w:color="auto"/>
            <w:bottom w:val="none" w:sz="0" w:space="0" w:color="auto"/>
            <w:right w:val="none" w:sz="0" w:space="0" w:color="auto"/>
          </w:divBdr>
        </w:div>
        <w:div w:id="430245879">
          <w:marLeft w:val="0"/>
          <w:marRight w:val="0"/>
          <w:marTop w:val="0"/>
          <w:marBottom w:val="0"/>
          <w:divBdr>
            <w:top w:val="none" w:sz="0" w:space="0" w:color="auto"/>
            <w:left w:val="none" w:sz="0" w:space="0" w:color="auto"/>
            <w:bottom w:val="none" w:sz="0" w:space="0" w:color="auto"/>
            <w:right w:val="none" w:sz="0" w:space="0" w:color="auto"/>
          </w:divBdr>
        </w:div>
        <w:div w:id="467018932">
          <w:marLeft w:val="0"/>
          <w:marRight w:val="0"/>
          <w:marTop w:val="0"/>
          <w:marBottom w:val="0"/>
          <w:divBdr>
            <w:top w:val="none" w:sz="0" w:space="0" w:color="auto"/>
            <w:left w:val="none" w:sz="0" w:space="0" w:color="auto"/>
            <w:bottom w:val="none" w:sz="0" w:space="0" w:color="auto"/>
            <w:right w:val="none" w:sz="0" w:space="0" w:color="auto"/>
          </w:divBdr>
        </w:div>
        <w:div w:id="481119936">
          <w:marLeft w:val="0"/>
          <w:marRight w:val="0"/>
          <w:marTop w:val="0"/>
          <w:marBottom w:val="0"/>
          <w:divBdr>
            <w:top w:val="none" w:sz="0" w:space="0" w:color="auto"/>
            <w:left w:val="none" w:sz="0" w:space="0" w:color="auto"/>
            <w:bottom w:val="none" w:sz="0" w:space="0" w:color="auto"/>
            <w:right w:val="none" w:sz="0" w:space="0" w:color="auto"/>
          </w:divBdr>
        </w:div>
        <w:div w:id="500047478">
          <w:marLeft w:val="0"/>
          <w:marRight w:val="0"/>
          <w:marTop w:val="0"/>
          <w:marBottom w:val="0"/>
          <w:divBdr>
            <w:top w:val="none" w:sz="0" w:space="0" w:color="auto"/>
            <w:left w:val="none" w:sz="0" w:space="0" w:color="auto"/>
            <w:bottom w:val="none" w:sz="0" w:space="0" w:color="auto"/>
            <w:right w:val="none" w:sz="0" w:space="0" w:color="auto"/>
          </w:divBdr>
        </w:div>
        <w:div w:id="505748365">
          <w:marLeft w:val="0"/>
          <w:marRight w:val="0"/>
          <w:marTop w:val="0"/>
          <w:marBottom w:val="0"/>
          <w:divBdr>
            <w:top w:val="none" w:sz="0" w:space="0" w:color="auto"/>
            <w:left w:val="none" w:sz="0" w:space="0" w:color="auto"/>
            <w:bottom w:val="none" w:sz="0" w:space="0" w:color="auto"/>
            <w:right w:val="none" w:sz="0" w:space="0" w:color="auto"/>
          </w:divBdr>
          <w:divsChild>
            <w:div w:id="774134476">
              <w:marLeft w:val="0"/>
              <w:marRight w:val="0"/>
              <w:marTop w:val="0"/>
              <w:marBottom w:val="0"/>
              <w:divBdr>
                <w:top w:val="none" w:sz="0" w:space="0" w:color="auto"/>
                <w:left w:val="none" w:sz="0" w:space="0" w:color="auto"/>
                <w:bottom w:val="none" w:sz="0" w:space="0" w:color="auto"/>
                <w:right w:val="none" w:sz="0" w:space="0" w:color="auto"/>
              </w:divBdr>
            </w:div>
            <w:div w:id="1196650501">
              <w:marLeft w:val="0"/>
              <w:marRight w:val="0"/>
              <w:marTop w:val="0"/>
              <w:marBottom w:val="0"/>
              <w:divBdr>
                <w:top w:val="none" w:sz="0" w:space="0" w:color="auto"/>
                <w:left w:val="none" w:sz="0" w:space="0" w:color="auto"/>
                <w:bottom w:val="none" w:sz="0" w:space="0" w:color="auto"/>
                <w:right w:val="none" w:sz="0" w:space="0" w:color="auto"/>
              </w:divBdr>
            </w:div>
            <w:div w:id="1328748650">
              <w:marLeft w:val="0"/>
              <w:marRight w:val="0"/>
              <w:marTop w:val="0"/>
              <w:marBottom w:val="0"/>
              <w:divBdr>
                <w:top w:val="none" w:sz="0" w:space="0" w:color="auto"/>
                <w:left w:val="none" w:sz="0" w:space="0" w:color="auto"/>
                <w:bottom w:val="none" w:sz="0" w:space="0" w:color="auto"/>
                <w:right w:val="none" w:sz="0" w:space="0" w:color="auto"/>
              </w:divBdr>
            </w:div>
            <w:div w:id="1357270080">
              <w:marLeft w:val="0"/>
              <w:marRight w:val="0"/>
              <w:marTop w:val="0"/>
              <w:marBottom w:val="0"/>
              <w:divBdr>
                <w:top w:val="none" w:sz="0" w:space="0" w:color="auto"/>
                <w:left w:val="none" w:sz="0" w:space="0" w:color="auto"/>
                <w:bottom w:val="none" w:sz="0" w:space="0" w:color="auto"/>
                <w:right w:val="none" w:sz="0" w:space="0" w:color="auto"/>
              </w:divBdr>
            </w:div>
          </w:divsChild>
        </w:div>
        <w:div w:id="524909808">
          <w:marLeft w:val="0"/>
          <w:marRight w:val="0"/>
          <w:marTop w:val="0"/>
          <w:marBottom w:val="0"/>
          <w:divBdr>
            <w:top w:val="none" w:sz="0" w:space="0" w:color="auto"/>
            <w:left w:val="none" w:sz="0" w:space="0" w:color="auto"/>
            <w:bottom w:val="none" w:sz="0" w:space="0" w:color="auto"/>
            <w:right w:val="none" w:sz="0" w:space="0" w:color="auto"/>
          </w:divBdr>
        </w:div>
        <w:div w:id="581990296">
          <w:marLeft w:val="0"/>
          <w:marRight w:val="0"/>
          <w:marTop w:val="0"/>
          <w:marBottom w:val="0"/>
          <w:divBdr>
            <w:top w:val="none" w:sz="0" w:space="0" w:color="auto"/>
            <w:left w:val="none" w:sz="0" w:space="0" w:color="auto"/>
            <w:bottom w:val="none" w:sz="0" w:space="0" w:color="auto"/>
            <w:right w:val="none" w:sz="0" w:space="0" w:color="auto"/>
          </w:divBdr>
          <w:divsChild>
            <w:div w:id="1053238515">
              <w:marLeft w:val="0"/>
              <w:marRight w:val="0"/>
              <w:marTop w:val="0"/>
              <w:marBottom w:val="0"/>
              <w:divBdr>
                <w:top w:val="none" w:sz="0" w:space="0" w:color="auto"/>
                <w:left w:val="none" w:sz="0" w:space="0" w:color="auto"/>
                <w:bottom w:val="none" w:sz="0" w:space="0" w:color="auto"/>
                <w:right w:val="none" w:sz="0" w:space="0" w:color="auto"/>
              </w:divBdr>
            </w:div>
          </w:divsChild>
        </w:div>
        <w:div w:id="584991799">
          <w:marLeft w:val="0"/>
          <w:marRight w:val="0"/>
          <w:marTop w:val="0"/>
          <w:marBottom w:val="0"/>
          <w:divBdr>
            <w:top w:val="none" w:sz="0" w:space="0" w:color="auto"/>
            <w:left w:val="none" w:sz="0" w:space="0" w:color="auto"/>
            <w:bottom w:val="none" w:sz="0" w:space="0" w:color="auto"/>
            <w:right w:val="none" w:sz="0" w:space="0" w:color="auto"/>
          </w:divBdr>
        </w:div>
        <w:div w:id="594021605">
          <w:marLeft w:val="0"/>
          <w:marRight w:val="0"/>
          <w:marTop w:val="0"/>
          <w:marBottom w:val="0"/>
          <w:divBdr>
            <w:top w:val="none" w:sz="0" w:space="0" w:color="auto"/>
            <w:left w:val="none" w:sz="0" w:space="0" w:color="auto"/>
            <w:bottom w:val="none" w:sz="0" w:space="0" w:color="auto"/>
            <w:right w:val="none" w:sz="0" w:space="0" w:color="auto"/>
          </w:divBdr>
        </w:div>
        <w:div w:id="613555126">
          <w:marLeft w:val="0"/>
          <w:marRight w:val="0"/>
          <w:marTop w:val="0"/>
          <w:marBottom w:val="0"/>
          <w:divBdr>
            <w:top w:val="none" w:sz="0" w:space="0" w:color="auto"/>
            <w:left w:val="none" w:sz="0" w:space="0" w:color="auto"/>
            <w:bottom w:val="none" w:sz="0" w:space="0" w:color="auto"/>
            <w:right w:val="none" w:sz="0" w:space="0" w:color="auto"/>
          </w:divBdr>
        </w:div>
        <w:div w:id="628896150">
          <w:marLeft w:val="0"/>
          <w:marRight w:val="0"/>
          <w:marTop w:val="0"/>
          <w:marBottom w:val="0"/>
          <w:divBdr>
            <w:top w:val="none" w:sz="0" w:space="0" w:color="auto"/>
            <w:left w:val="none" w:sz="0" w:space="0" w:color="auto"/>
            <w:bottom w:val="none" w:sz="0" w:space="0" w:color="auto"/>
            <w:right w:val="none" w:sz="0" w:space="0" w:color="auto"/>
          </w:divBdr>
        </w:div>
        <w:div w:id="697465586">
          <w:marLeft w:val="0"/>
          <w:marRight w:val="0"/>
          <w:marTop w:val="0"/>
          <w:marBottom w:val="0"/>
          <w:divBdr>
            <w:top w:val="none" w:sz="0" w:space="0" w:color="auto"/>
            <w:left w:val="none" w:sz="0" w:space="0" w:color="auto"/>
            <w:bottom w:val="none" w:sz="0" w:space="0" w:color="auto"/>
            <w:right w:val="none" w:sz="0" w:space="0" w:color="auto"/>
          </w:divBdr>
        </w:div>
        <w:div w:id="707030125">
          <w:marLeft w:val="0"/>
          <w:marRight w:val="0"/>
          <w:marTop w:val="0"/>
          <w:marBottom w:val="0"/>
          <w:divBdr>
            <w:top w:val="none" w:sz="0" w:space="0" w:color="auto"/>
            <w:left w:val="none" w:sz="0" w:space="0" w:color="auto"/>
            <w:bottom w:val="none" w:sz="0" w:space="0" w:color="auto"/>
            <w:right w:val="none" w:sz="0" w:space="0" w:color="auto"/>
          </w:divBdr>
        </w:div>
        <w:div w:id="728267873">
          <w:marLeft w:val="0"/>
          <w:marRight w:val="0"/>
          <w:marTop w:val="0"/>
          <w:marBottom w:val="0"/>
          <w:divBdr>
            <w:top w:val="none" w:sz="0" w:space="0" w:color="auto"/>
            <w:left w:val="none" w:sz="0" w:space="0" w:color="auto"/>
            <w:bottom w:val="none" w:sz="0" w:space="0" w:color="auto"/>
            <w:right w:val="none" w:sz="0" w:space="0" w:color="auto"/>
          </w:divBdr>
        </w:div>
        <w:div w:id="728580038">
          <w:marLeft w:val="0"/>
          <w:marRight w:val="0"/>
          <w:marTop w:val="0"/>
          <w:marBottom w:val="0"/>
          <w:divBdr>
            <w:top w:val="none" w:sz="0" w:space="0" w:color="auto"/>
            <w:left w:val="none" w:sz="0" w:space="0" w:color="auto"/>
            <w:bottom w:val="none" w:sz="0" w:space="0" w:color="auto"/>
            <w:right w:val="none" w:sz="0" w:space="0" w:color="auto"/>
          </w:divBdr>
        </w:div>
        <w:div w:id="731732557">
          <w:marLeft w:val="0"/>
          <w:marRight w:val="0"/>
          <w:marTop w:val="0"/>
          <w:marBottom w:val="0"/>
          <w:divBdr>
            <w:top w:val="none" w:sz="0" w:space="0" w:color="auto"/>
            <w:left w:val="none" w:sz="0" w:space="0" w:color="auto"/>
            <w:bottom w:val="none" w:sz="0" w:space="0" w:color="auto"/>
            <w:right w:val="none" w:sz="0" w:space="0" w:color="auto"/>
          </w:divBdr>
        </w:div>
        <w:div w:id="739710927">
          <w:marLeft w:val="0"/>
          <w:marRight w:val="0"/>
          <w:marTop w:val="0"/>
          <w:marBottom w:val="0"/>
          <w:divBdr>
            <w:top w:val="none" w:sz="0" w:space="0" w:color="auto"/>
            <w:left w:val="none" w:sz="0" w:space="0" w:color="auto"/>
            <w:bottom w:val="none" w:sz="0" w:space="0" w:color="auto"/>
            <w:right w:val="none" w:sz="0" w:space="0" w:color="auto"/>
          </w:divBdr>
        </w:div>
        <w:div w:id="740177905">
          <w:marLeft w:val="0"/>
          <w:marRight w:val="0"/>
          <w:marTop w:val="0"/>
          <w:marBottom w:val="0"/>
          <w:divBdr>
            <w:top w:val="none" w:sz="0" w:space="0" w:color="auto"/>
            <w:left w:val="none" w:sz="0" w:space="0" w:color="auto"/>
            <w:bottom w:val="none" w:sz="0" w:space="0" w:color="auto"/>
            <w:right w:val="none" w:sz="0" w:space="0" w:color="auto"/>
          </w:divBdr>
          <w:divsChild>
            <w:div w:id="1100956749">
              <w:marLeft w:val="0"/>
              <w:marRight w:val="0"/>
              <w:marTop w:val="0"/>
              <w:marBottom w:val="0"/>
              <w:divBdr>
                <w:top w:val="none" w:sz="0" w:space="0" w:color="auto"/>
                <w:left w:val="none" w:sz="0" w:space="0" w:color="auto"/>
                <w:bottom w:val="none" w:sz="0" w:space="0" w:color="auto"/>
                <w:right w:val="none" w:sz="0" w:space="0" w:color="auto"/>
              </w:divBdr>
            </w:div>
            <w:div w:id="1549806164">
              <w:marLeft w:val="0"/>
              <w:marRight w:val="0"/>
              <w:marTop w:val="0"/>
              <w:marBottom w:val="0"/>
              <w:divBdr>
                <w:top w:val="none" w:sz="0" w:space="0" w:color="auto"/>
                <w:left w:val="none" w:sz="0" w:space="0" w:color="auto"/>
                <w:bottom w:val="none" w:sz="0" w:space="0" w:color="auto"/>
                <w:right w:val="none" w:sz="0" w:space="0" w:color="auto"/>
              </w:divBdr>
            </w:div>
            <w:div w:id="1814519682">
              <w:marLeft w:val="0"/>
              <w:marRight w:val="0"/>
              <w:marTop w:val="0"/>
              <w:marBottom w:val="0"/>
              <w:divBdr>
                <w:top w:val="none" w:sz="0" w:space="0" w:color="auto"/>
                <w:left w:val="none" w:sz="0" w:space="0" w:color="auto"/>
                <w:bottom w:val="none" w:sz="0" w:space="0" w:color="auto"/>
                <w:right w:val="none" w:sz="0" w:space="0" w:color="auto"/>
              </w:divBdr>
            </w:div>
            <w:div w:id="1831017152">
              <w:marLeft w:val="0"/>
              <w:marRight w:val="0"/>
              <w:marTop w:val="0"/>
              <w:marBottom w:val="0"/>
              <w:divBdr>
                <w:top w:val="none" w:sz="0" w:space="0" w:color="auto"/>
                <w:left w:val="none" w:sz="0" w:space="0" w:color="auto"/>
                <w:bottom w:val="none" w:sz="0" w:space="0" w:color="auto"/>
                <w:right w:val="none" w:sz="0" w:space="0" w:color="auto"/>
              </w:divBdr>
            </w:div>
          </w:divsChild>
        </w:div>
        <w:div w:id="758404575">
          <w:marLeft w:val="0"/>
          <w:marRight w:val="0"/>
          <w:marTop w:val="0"/>
          <w:marBottom w:val="0"/>
          <w:divBdr>
            <w:top w:val="none" w:sz="0" w:space="0" w:color="auto"/>
            <w:left w:val="none" w:sz="0" w:space="0" w:color="auto"/>
            <w:bottom w:val="none" w:sz="0" w:space="0" w:color="auto"/>
            <w:right w:val="none" w:sz="0" w:space="0" w:color="auto"/>
          </w:divBdr>
        </w:div>
        <w:div w:id="807481405">
          <w:marLeft w:val="0"/>
          <w:marRight w:val="0"/>
          <w:marTop w:val="0"/>
          <w:marBottom w:val="0"/>
          <w:divBdr>
            <w:top w:val="none" w:sz="0" w:space="0" w:color="auto"/>
            <w:left w:val="none" w:sz="0" w:space="0" w:color="auto"/>
            <w:bottom w:val="none" w:sz="0" w:space="0" w:color="auto"/>
            <w:right w:val="none" w:sz="0" w:space="0" w:color="auto"/>
          </w:divBdr>
        </w:div>
        <w:div w:id="824974334">
          <w:marLeft w:val="0"/>
          <w:marRight w:val="0"/>
          <w:marTop w:val="0"/>
          <w:marBottom w:val="0"/>
          <w:divBdr>
            <w:top w:val="none" w:sz="0" w:space="0" w:color="auto"/>
            <w:left w:val="none" w:sz="0" w:space="0" w:color="auto"/>
            <w:bottom w:val="none" w:sz="0" w:space="0" w:color="auto"/>
            <w:right w:val="none" w:sz="0" w:space="0" w:color="auto"/>
          </w:divBdr>
          <w:divsChild>
            <w:div w:id="652491391">
              <w:marLeft w:val="0"/>
              <w:marRight w:val="0"/>
              <w:marTop w:val="0"/>
              <w:marBottom w:val="0"/>
              <w:divBdr>
                <w:top w:val="none" w:sz="0" w:space="0" w:color="auto"/>
                <w:left w:val="none" w:sz="0" w:space="0" w:color="auto"/>
                <w:bottom w:val="none" w:sz="0" w:space="0" w:color="auto"/>
                <w:right w:val="none" w:sz="0" w:space="0" w:color="auto"/>
              </w:divBdr>
            </w:div>
          </w:divsChild>
        </w:div>
        <w:div w:id="880214584">
          <w:marLeft w:val="0"/>
          <w:marRight w:val="0"/>
          <w:marTop w:val="0"/>
          <w:marBottom w:val="0"/>
          <w:divBdr>
            <w:top w:val="none" w:sz="0" w:space="0" w:color="auto"/>
            <w:left w:val="none" w:sz="0" w:space="0" w:color="auto"/>
            <w:bottom w:val="none" w:sz="0" w:space="0" w:color="auto"/>
            <w:right w:val="none" w:sz="0" w:space="0" w:color="auto"/>
          </w:divBdr>
        </w:div>
        <w:div w:id="923227864">
          <w:marLeft w:val="0"/>
          <w:marRight w:val="0"/>
          <w:marTop w:val="0"/>
          <w:marBottom w:val="0"/>
          <w:divBdr>
            <w:top w:val="none" w:sz="0" w:space="0" w:color="auto"/>
            <w:left w:val="none" w:sz="0" w:space="0" w:color="auto"/>
            <w:bottom w:val="none" w:sz="0" w:space="0" w:color="auto"/>
            <w:right w:val="none" w:sz="0" w:space="0" w:color="auto"/>
          </w:divBdr>
          <w:divsChild>
            <w:div w:id="530072075">
              <w:marLeft w:val="0"/>
              <w:marRight w:val="0"/>
              <w:marTop w:val="0"/>
              <w:marBottom w:val="0"/>
              <w:divBdr>
                <w:top w:val="none" w:sz="0" w:space="0" w:color="auto"/>
                <w:left w:val="none" w:sz="0" w:space="0" w:color="auto"/>
                <w:bottom w:val="none" w:sz="0" w:space="0" w:color="auto"/>
                <w:right w:val="none" w:sz="0" w:space="0" w:color="auto"/>
              </w:divBdr>
            </w:div>
            <w:div w:id="770900840">
              <w:marLeft w:val="0"/>
              <w:marRight w:val="0"/>
              <w:marTop w:val="0"/>
              <w:marBottom w:val="0"/>
              <w:divBdr>
                <w:top w:val="none" w:sz="0" w:space="0" w:color="auto"/>
                <w:left w:val="none" w:sz="0" w:space="0" w:color="auto"/>
                <w:bottom w:val="none" w:sz="0" w:space="0" w:color="auto"/>
                <w:right w:val="none" w:sz="0" w:space="0" w:color="auto"/>
              </w:divBdr>
            </w:div>
          </w:divsChild>
        </w:div>
        <w:div w:id="924143075">
          <w:marLeft w:val="0"/>
          <w:marRight w:val="0"/>
          <w:marTop w:val="0"/>
          <w:marBottom w:val="0"/>
          <w:divBdr>
            <w:top w:val="none" w:sz="0" w:space="0" w:color="auto"/>
            <w:left w:val="none" w:sz="0" w:space="0" w:color="auto"/>
            <w:bottom w:val="none" w:sz="0" w:space="0" w:color="auto"/>
            <w:right w:val="none" w:sz="0" w:space="0" w:color="auto"/>
          </w:divBdr>
        </w:div>
        <w:div w:id="947009760">
          <w:marLeft w:val="0"/>
          <w:marRight w:val="0"/>
          <w:marTop w:val="0"/>
          <w:marBottom w:val="0"/>
          <w:divBdr>
            <w:top w:val="none" w:sz="0" w:space="0" w:color="auto"/>
            <w:left w:val="none" w:sz="0" w:space="0" w:color="auto"/>
            <w:bottom w:val="none" w:sz="0" w:space="0" w:color="auto"/>
            <w:right w:val="none" w:sz="0" w:space="0" w:color="auto"/>
          </w:divBdr>
        </w:div>
        <w:div w:id="949825279">
          <w:marLeft w:val="0"/>
          <w:marRight w:val="0"/>
          <w:marTop w:val="0"/>
          <w:marBottom w:val="0"/>
          <w:divBdr>
            <w:top w:val="none" w:sz="0" w:space="0" w:color="auto"/>
            <w:left w:val="none" w:sz="0" w:space="0" w:color="auto"/>
            <w:bottom w:val="none" w:sz="0" w:space="0" w:color="auto"/>
            <w:right w:val="none" w:sz="0" w:space="0" w:color="auto"/>
          </w:divBdr>
        </w:div>
        <w:div w:id="974793688">
          <w:marLeft w:val="0"/>
          <w:marRight w:val="0"/>
          <w:marTop w:val="0"/>
          <w:marBottom w:val="0"/>
          <w:divBdr>
            <w:top w:val="none" w:sz="0" w:space="0" w:color="auto"/>
            <w:left w:val="none" w:sz="0" w:space="0" w:color="auto"/>
            <w:bottom w:val="none" w:sz="0" w:space="0" w:color="auto"/>
            <w:right w:val="none" w:sz="0" w:space="0" w:color="auto"/>
          </w:divBdr>
        </w:div>
        <w:div w:id="1120294992">
          <w:marLeft w:val="0"/>
          <w:marRight w:val="0"/>
          <w:marTop w:val="0"/>
          <w:marBottom w:val="0"/>
          <w:divBdr>
            <w:top w:val="none" w:sz="0" w:space="0" w:color="auto"/>
            <w:left w:val="none" w:sz="0" w:space="0" w:color="auto"/>
            <w:bottom w:val="none" w:sz="0" w:space="0" w:color="auto"/>
            <w:right w:val="none" w:sz="0" w:space="0" w:color="auto"/>
          </w:divBdr>
          <w:divsChild>
            <w:div w:id="171644868">
              <w:marLeft w:val="0"/>
              <w:marRight w:val="0"/>
              <w:marTop w:val="0"/>
              <w:marBottom w:val="0"/>
              <w:divBdr>
                <w:top w:val="none" w:sz="0" w:space="0" w:color="auto"/>
                <w:left w:val="none" w:sz="0" w:space="0" w:color="auto"/>
                <w:bottom w:val="none" w:sz="0" w:space="0" w:color="auto"/>
                <w:right w:val="none" w:sz="0" w:space="0" w:color="auto"/>
              </w:divBdr>
            </w:div>
          </w:divsChild>
        </w:div>
        <w:div w:id="1209338841">
          <w:marLeft w:val="0"/>
          <w:marRight w:val="0"/>
          <w:marTop w:val="0"/>
          <w:marBottom w:val="0"/>
          <w:divBdr>
            <w:top w:val="none" w:sz="0" w:space="0" w:color="auto"/>
            <w:left w:val="none" w:sz="0" w:space="0" w:color="auto"/>
            <w:bottom w:val="none" w:sz="0" w:space="0" w:color="auto"/>
            <w:right w:val="none" w:sz="0" w:space="0" w:color="auto"/>
          </w:divBdr>
        </w:div>
        <w:div w:id="1244872146">
          <w:marLeft w:val="0"/>
          <w:marRight w:val="0"/>
          <w:marTop w:val="0"/>
          <w:marBottom w:val="0"/>
          <w:divBdr>
            <w:top w:val="none" w:sz="0" w:space="0" w:color="auto"/>
            <w:left w:val="none" w:sz="0" w:space="0" w:color="auto"/>
            <w:bottom w:val="none" w:sz="0" w:space="0" w:color="auto"/>
            <w:right w:val="none" w:sz="0" w:space="0" w:color="auto"/>
          </w:divBdr>
        </w:div>
        <w:div w:id="1255748940">
          <w:marLeft w:val="0"/>
          <w:marRight w:val="0"/>
          <w:marTop w:val="0"/>
          <w:marBottom w:val="0"/>
          <w:divBdr>
            <w:top w:val="none" w:sz="0" w:space="0" w:color="auto"/>
            <w:left w:val="none" w:sz="0" w:space="0" w:color="auto"/>
            <w:bottom w:val="none" w:sz="0" w:space="0" w:color="auto"/>
            <w:right w:val="none" w:sz="0" w:space="0" w:color="auto"/>
          </w:divBdr>
        </w:div>
        <w:div w:id="1270160449">
          <w:marLeft w:val="0"/>
          <w:marRight w:val="0"/>
          <w:marTop w:val="0"/>
          <w:marBottom w:val="0"/>
          <w:divBdr>
            <w:top w:val="none" w:sz="0" w:space="0" w:color="auto"/>
            <w:left w:val="none" w:sz="0" w:space="0" w:color="auto"/>
            <w:bottom w:val="none" w:sz="0" w:space="0" w:color="auto"/>
            <w:right w:val="none" w:sz="0" w:space="0" w:color="auto"/>
          </w:divBdr>
        </w:div>
        <w:div w:id="1297370186">
          <w:marLeft w:val="0"/>
          <w:marRight w:val="0"/>
          <w:marTop w:val="0"/>
          <w:marBottom w:val="0"/>
          <w:divBdr>
            <w:top w:val="none" w:sz="0" w:space="0" w:color="auto"/>
            <w:left w:val="none" w:sz="0" w:space="0" w:color="auto"/>
            <w:bottom w:val="none" w:sz="0" w:space="0" w:color="auto"/>
            <w:right w:val="none" w:sz="0" w:space="0" w:color="auto"/>
          </w:divBdr>
          <w:divsChild>
            <w:div w:id="553740954">
              <w:marLeft w:val="0"/>
              <w:marRight w:val="0"/>
              <w:marTop w:val="0"/>
              <w:marBottom w:val="0"/>
              <w:divBdr>
                <w:top w:val="none" w:sz="0" w:space="0" w:color="auto"/>
                <w:left w:val="none" w:sz="0" w:space="0" w:color="auto"/>
                <w:bottom w:val="none" w:sz="0" w:space="0" w:color="auto"/>
                <w:right w:val="none" w:sz="0" w:space="0" w:color="auto"/>
              </w:divBdr>
            </w:div>
          </w:divsChild>
        </w:div>
        <w:div w:id="1317226462">
          <w:marLeft w:val="0"/>
          <w:marRight w:val="0"/>
          <w:marTop w:val="0"/>
          <w:marBottom w:val="0"/>
          <w:divBdr>
            <w:top w:val="none" w:sz="0" w:space="0" w:color="auto"/>
            <w:left w:val="none" w:sz="0" w:space="0" w:color="auto"/>
            <w:bottom w:val="none" w:sz="0" w:space="0" w:color="auto"/>
            <w:right w:val="none" w:sz="0" w:space="0" w:color="auto"/>
          </w:divBdr>
        </w:div>
        <w:div w:id="1344168027">
          <w:marLeft w:val="0"/>
          <w:marRight w:val="0"/>
          <w:marTop w:val="0"/>
          <w:marBottom w:val="0"/>
          <w:divBdr>
            <w:top w:val="none" w:sz="0" w:space="0" w:color="auto"/>
            <w:left w:val="none" w:sz="0" w:space="0" w:color="auto"/>
            <w:bottom w:val="none" w:sz="0" w:space="0" w:color="auto"/>
            <w:right w:val="none" w:sz="0" w:space="0" w:color="auto"/>
          </w:divBdr>
        </w:div>
        <w:div w:id="1367759736">
          <w:marLeft w:val="0"/>
          <w:marRight w:val="0"/>
          <w:marTop w:val="0"/>
          <w:marBottom w:val="0"/>
          <w:divBdr>
            <w:top w:val="none" w:sz="0" w:space="0" w:color="auto"/>
            <w:left w:val="none" w:sz="0" w:space="0" w:color="auto"/>
            <w:bottom w:val="none" w:sz="0" w:space="0" w:color="auto"/>
            <w:right w:val="none" w:sz="0" w:space="0" w:color="auto"/>
          </w:divBdr>
        </w:div>
        <w:div w:id="1392653719">
          <w:marLeft w:val="0"/>
          <w:marRight w:val="0"/>
          <w:marTop w:val="0"/>
          <w:marBottom w:val="0"/>
          <w:divBdr>
            <w:top w:val="none" w:sz="0" w:space="0" w:color="auto"/>
            <w:left w:val="none" w:sz="0" w:space="0" w:color="auto"/>
            <w:bottom w:val="none" w:sz="0" w:space="0" w:color="auto"/>
            <w:right w:val="none" w:sz="0" w:space="0" w:color="auto"/>
          </w:divBdr>
        </w:div>
        <w:div w:id="1410498422">
          <w:marLeft w:val="0"/>
          <w:marRight w:val="0"/>
          <w:marTop w:val="0"/>
          <w:marBottom w:val="0"/>
          <w:divBdr>
            <w:top w:val="none" w:sz="0" w:space="0" w:color="auto"/>
            <w:left w:val="none" w:sz="0" w:space="0" w:color="auto"/>
            <w:bottom w:val="none" w:sz="0" w:space="0" w:color="auto"/>
            <w:right w:val="none" w:sz="0" w:space="0" w:color="auto"/>
          </w:divBdr>
        </w:div>
        <w:div w:id="1412004569">
          <w:marLeft w:val="0"/>
          <w:marRight w:val="0"/>
          <w:marTop w:val="0"/>
          <w:marBottom w:val="0"/>
          <w:divBdr>
            <w:top w:val="none" w:sz="0" w:space="0" w:color="auto"/>
            <w:left w:val="none" w:sz="0" w:space="0" w:color="auto"/>
            <w:bottom w:val="none" w:sz="0" w:space="0" w:color="auto"/>
            <w:right w:val="none" w:sz="0" w:space="0" w:color="auto"/>
          </w:divBdr>
        </w:div>
        <w:div w:id="1413426617">
          <w:marLeft w:val="0"/>
          <w:marRight w:val="0"/>
          <w:marTop w:val="0"/>
          <w:marBottom w:val="0"/>
          <w:divBdr>
            <w:top w:val="none" w:sz="0" w:space="0" w:color="auto"/>
            <w:left w:val="none" w:sz="0" w:space="0" w:color="auto"/>
            <w:bottom w:val="none" w:sz="0" w:space="0" w:color="auto"/>
            <w:right w:val="none" w:sz="0" w:space="0" w:color="auto"/>
          </w:divBdr>
        </w:div>
        <w:div w:id="1746024990">
          <w:marLeft w:val="0"/>
          <w:marRight w:val="0"/>
          <w:marTop w:val="0"/>
          <w:marBottom w:val="0"/>
          <w:divBdr>
            <w:top w:val="none" w:sz="0" w:space="0" w:color="auto"/>
            <w:left w:val="none" w:sz="0" w:space="0" w:color="auto"/>
            <w:bottom w:val="none" w:sz="0" w:space="0" w:color="auto"/>
            <w:right w:val="none" w:sz="0" w:space="0" w:color="auto"/>
          </w:divBdr>
        </w:div>
        <w:div w:id="1797603567">
          <w:marLeft w:val="0"/>
          <w:marRight w:val="0"/>
          <w:marTop w:val="0"/>
          <w:marBottom w:val="0"/>
          <w:divBdr>
            <w:top w:val="none" w:sz="0" w:space="0" w:color="auto"/>
            <w:left w:val="none" w:sz="0" w:space="0" w:color="auto"/>
            <w:bottom w:val="none" w:sz="0" w:space="0" w:color="auto"/>
            <w:right w:val="none" w:sz="0" w:space="0" w:color="auto"/>
          </w:divBdr>
        </w:div>
        <w:div w:id="1884488237">
          <w:marLeft w:val="0"/>
          <w:marRight w:val="0"/>
          <w:marTop w:val="0"/>
          <w:marBottom w:val="0"/>
          <w:divBdr>
            <w:top w:val="none" w:sz="0" w:space="0" w:color="auto"/>
            <w:left w:val="none" w:sz="0" w:space="0" w:color="auto"/>
            <w:bottom w:val="none" w:sz="0" w:space="0" w:color="auto"/>
            <w:right w:val="none" w:sz="0" w:space="0" w:color="auto"/>
          </w:divBdr>
        </w:div>
        <w:div w:id="1917812261">
          <w:marLeft w:val="0"/>
          <w:marRight w:val="0"/>
          <w:marTop w:val="0"/>
          <w:marBottom w:val="0"/>
          <w:divBdr>
            <w:top w:val="none" w:sz="0" w:space="0" w:color="auto"/>
            <w:left w:val="none" w:sz="0" w:space="0" w:color="auto"/>
            <w:bottom w:val="none" w:sz="0" w:space="0" w:color="auto"/>
            <w:right w:val="none" w:sz="0" w:space="0" w:color="auto"/>
          </w:divBdr>
        </w:div>
        <w:div w:id="1968663477">
          <w:marLeft w:val="0"/>
          <w:marRight w:val="0"/>
          <w:marTop w:val="0"/>
          <w:marBottom w:val="0"/>
          <w:divBdr>
            <w:top w:val="none" w:sz="0" w:space="0" w:color="auto"/>
            <w:left w:val="none" w:sz="0" w:space="0" w:color="auto"/>
            <w:bottom w:val="none" w:sz="0" w:space="0" w:color="auto"/>
            <w:right w:val="none" w:sz="0" w:space="0" w:color="auto"/>
          </w:divBdr>
        </w:div>
        <w:div w:id="1980498654">
          <w:marLeft w:val="0"/>
          <w:marRight w:val="0"/>
          <w:marTop w:val="0"/>
          <w:marBottom w:val="0"/>
          <w:divBdr>
            <w:top w:val="none" w:sz="0" w:space="0" w:color="auto"/>
            <w:left w:val="none" w:sz="0" w:space="0" w:color="auto"/>
            <w:bottom w:val="none" w:sz="0" w:space="0" w:color="auto"/>
            <w:right w:val="none" w:sz="0" w:space="0" w:color="auto"/>
          </w:divBdr>
        </w:div>
        <w:div w:id="2006012040">
          <w:marLeft w:val="0"/>
          <w:marRight w:val="0"/>
          <w:marTop w:val="0"/>
          <w:marBottom w:val="0"/>
          <w:divBdr>
            <w:top w:val="none" w:sz="0" w:space="0" w:color="auto"/>
            <w:left w:val="none" w:sz="0" w:space="0" w:color="auto"/>
            <w:bottom w:val="none" w:sz="0" w:space="0" w:color="auto"/>
            <w:right w:val="none" w:sz="0" w:space="0" w:color="auto"/>
          </w:divBdr>
        </w:div>
        <w:div w:id="2011563020">
          <w:marLeft w:val="0"/>
          <w:marRight w:val="0"/>
          <w:marTop w:val="0"/>
          <w:marBottom w:val="0"/>
          <w:divBdr>
            <w:top w:val="none" w:sz="0" w:space="0" w:color="auto"/>
            <w:left w:val="none" w:sz="0" w:space="0" w:color="auto"/>
            <w:bottom w:val="none" w:sz="0" w:space="0" w:color="auto"/>
            <w:right w:val="none" w:sz="0" w:space="0" w:color="auto"/>
          </w:divBdr>
          <w:divsChild>
            <w:div w:id="1059287295">
              <w:marLeft w:val="0"/>
              <w:marRight w:val="0"/>
              <w:marTop w:val="0"/>
              <w:marBottom w:val="0"/>
              <w:divBdr>
                <w:top w:val="none" w:sz="0" w:space="0" w:color="auto"/>
                <w:left w:val="none" w:sz="0" w:space="0" w:color="auto"/>
                <w:bottom w:val="none" w:sz="0" w:space="0" w:color="auto"/>
                <w:right w:val="none" w:sz="0" w:space="0" w:color="auto"/>
              </w:divBdr>
            </w:div>
            <w:div w:id="1528331920">
              <w:marLeft w:val="0"/>
              <w:marRight w:val="0"/>
              <w:marTop w:val="0"/>
              <w:marBottom w:val="0"/>
              <w:divBdr>
                <w:top w:val="none" w:sz="0" w:space="0" w:color="auto"/>
                <w:left w:val="none" w:sz="0" w:space="0" w:color="auto"/>
                <w:bottom w:val="none" w:sz="0" w:space="0" w:color="auto"/>
                <w:right w:val="none" w:sz="0" w:space="0" w:color="auto"/>
              </w:divBdr>
            </w:div>
            <w:div w:id="1967274947">
              <w:marLeft w:val="0"/>
              <w:marRight w:val="0"/>
              <w:marTop w:val="0"/>
              <w:marBottom w:val="0"/>
              <w:divBdr>
                <w:top w:val="none" w:sz="0" w:space="0" w:color="auto"/>
                <w:left w:val="none" w:sz="0" w:space="0" w:color="auto"/>
                <w:bottom w:val="none" w:sz="0" w:space="0" w:color="auto"/>
                <w:right w:val="none" w:sz="0" w:space="0" w:color="auto"/>
              </w:divBdr>
            </w:div>
            <w:div w:id="2127044580">
              <w:marLeft w:val="0"/>
              <w:marRight w:val="0"/>
              <w:marTop w:val="0"/>
              <w:marBottom w:val="0"/>
              <w:divBdr>
                <w:top w:val="none" w:sz="0" w:space="0" w:color="auto"/>
                <w:left w:val="none" w:sz="0" w:space="0" w:color="auto"/>
                <w:bottom w:val="none" w:sz="0" w:space="0" w:color="auto"/>
                <w:right w:val="none" w:sz="0" w:space="0" w:color="auto"/>
              </w:divBdr>
            </w:div>
          </w:divsChild>
        </w:div>
        <w:div w:id="2071146148">
          <w:marLeft w:val="0"/>
          <w:marRight w:val="0"/>
          <w:marTop w:val="0"/>
          <w:marBottom w:val="0"/>
          <w:divBdr>
            <w:top w:val="none" w:sz="0" w:space="0" w:color="auto"/>
            <w:left w:val="none" w:sz="0" w:space="0" w:color="auto"/>
            <w:bottom w:val="none" w:sz="0" w:space="0" w:color="auto"/>
            <w:right w:val="none" w:sz="0" w:space="0" w:color="auto"/>
          </w:divBdr>
        </w:div>
      </w:divsChild>
    </w:div>
    <w:div w:id="426582244">
      <w:bodyDiv w:val="1"/>
      <w:marLeft w:val="0"/>
      <w:marRight w:val="0"/>
      <w:marTop w:val="0"/>
      <w:marBottom w:val="0"/>
      <w:divBdr>
        <w:top w:val="none" w:sz="0" w:space="0" w:color="auto"/>
        <w:left w:val="none" w:sz="0" w:space="0" w:color="auto"/>
        <w:bottom w:val="none" w:sz="0" w:space="0" w:color="auto"/>
        <w:right w:val="none" w:sz="0" w:space="0" w:color="auto"/>
      </w:divBdr>
    </w:div>
    <w:div w:id="435172470">
      <w:bodyDiv w:val="1"/>
      <w:marLeft w:val="0"/>
      <w:marRight w:val="0"/>
      <w:marTop w:val="0"/>
      <w:marBottom w:val="0"/>
      <w:divBdr>
        <w:top w:val="none" w:sz="0" w:space="0" w:color="auto"/>
        <w:left w:val="none" w:sz="0" w:space="0" w:color="auto"/>
        <w:bottom w:val="none" w:sz="0" w:space="0" w:color="auto"/>
        <w:right w:val="none" w:sz="0" w:space="0" w:color="auto"/>
      </w:divBdr>
    </w:div>
    <w:div w:id="440993208">
      <w:bodyDiv w:val="1"/>
      <w:marLeft w:val="0"/>
      <w:marRight w:val="0"/>
      <w:marTop w:val="0"/>
      <w:marBottom w:val="0"/>
      <w:divBdr>
        <w:top w:val="none" w:sz="0" w:space="0" w:color="auto"/>
        <w:left w:val="none" w:sz="0" w:space="0" w:color="auto"/>
        <w:bottom w:val="none" w:sz="0" w:space="0" w:color="auto"/>
        <w:right w:val="none" w:sz="0" w:space="0" w:color="auto"/>
      </w:divBdr>
    </w:div>
    <w:div w:id="458914094">
      <w:bodyDiv w:val="1"/>
      <w:marLeft w:val="0"/>
      <w:marRight w:val="0"/>
      <w:marTop w:val="0"/>
      <w:marBottom w:val="0"/>
      <w:divBdr>
        <w:top w:val="none" w:sz="0" w:space="0" w:color="auto"/>
        <w:left w:val="none" w:sz="0" w:space="0" w:color="auto"/>
        <w:bottom w:val="none" w:sz="0" w:space="0" w:color="auto"/>
        <w:right w:val="none" w:sz="0" w:space="0" w:color="auto"/>
      </w:divBdr>
    </w:div>
    <w:div w:id="467938374">
      <w:bodyDiv w:val="1"/>
      <w:marLeft w:val="0"/>
      <w:marRight w:val="0"/>
      <w:marTop w:val="0"/>
      <w:marBottom w:val="0"/>
      <w:divBdr>
        <w:top w:val="none" w:sz="0" w:space="0" w:color="auto"/>
        <w:left w:val="none" w:sz="0" w:space="0" w:color="auto"/>
        <w:bottom w:val="none" w:sz="0" w:space="0" w:color="auto"/>
        <w:right w:val="none" w:sz="0" w:space="0" w:color="auto"/>
      </w:divBdr>
      <w:divsChild>
        <w:div w:id="66002494">
          <w:marLeft w:val="0"/>
          <w:marRight w:val="0"/>
          <w:marTop w:val="0"/>
          <w:marBottom w:val="0"/>
          <w:divBdr>
            <w:top w:val="none" w:sz="0" w:space="0" w:color="auto"/>
            <w:left w:val="none" w:sz="0" w:space="0" w:color="auto"/>
            <w:bottom w:val="none" w:sz="0" w:space="0" w:color="auto"/>
            <w:right w:val="none" w:sz="0" w:space="0" w:color="auto"/>
          </w:divBdr>
        </w:div>
        <w:div w:id="459496920">
          <w:marLeft w:val="0"/>
          <w:marRight w:val="0"/>
          <w:marTop w:val="0"/>
          <w:marBottom w:val="0"/>
          <w:divBdr>
            <w:top w:val="none" w:sz="0" w:space="0" w:color="auto"/>
            <w:left w:val="none" w:sz="0" w:space="0" w:color="auto"/>
            <w:bottom w:val="none" w:sz="0" w:space="0" w:color="auto"/>
            <w:right w:val="none" w:sz="0" w:space="0" w:color="auto"/>
          </w:divBdr>
        </w:div>
        <w:div w:id="674191651">
          <w:marLeft w:val="0"/>
          <w:marRight w:val="0"/>
          <w:marTop w:val="0"/>
          <w:marBottom w:val="0"/>
          <w:divBdr>
            <w:top w:val="none" w:sz="0" w:space="0" w:color="auto"/>
            <w:left w:val="none" w:sz="0" w:space="0" w:color="auto"/>
            <w:bottom w:val="none" w:sz="0" w:space="0" w:color="auto"/>
            <w:right w:val="none" w:sz="0" w:space="0" w:color="auto"/>
          </w:divBdr>
        </w:div>
        <w:div w:id="749274089">
          <w:marLeft w:val="0"/>
          <w:marRight w:val="0"/>
          <w:marTop w:val="0"/>
          <w:marBottom w:val="0"/>
          <w:divBdr>
            <w:top w:val="none" w:sz="0" w:space="0" w:color="auto"/>
            <w:left w:val="none" w:sz="0" w:space="0" w:color="auto"/>
            <w:bottom w:val="none" w:sz="0" w:space="0" w:color="auto"/>
            <w:right w:val="none" w:sz="0" w:space="0" w:color="auto"/>
          </w:divBdr>
        </w:div>
        <w:div w:id="766312857">
          <w:marLeft w:val="0"/>
          <w:marRight w:val="0"/>
          <w:marTop w:val="0"/>
          <w:marBottom w:val="0"/>
          <w:divBdr>
            <w:top w:val="none" w:sz="0" w:space="0" w:color="auto"/>
            <w:left w:val="none" w:sz="0" w:space="0" w:color="auto"/>
            <w:bottom w:val="none" w:sz="0" w:space="0" w:color="auto"/>
            <w:right w:val="none" w:sz="0" w:space="0" w:color="auto"/>
          </w:divBdr>
        </w:div>
        <w:div w:id="977029369">
          <w:marLeft w:val="0"/>
          <w:marRight w:val="0"/>
          <w:marTop w:val="0"/>
          <w:marBottom w:val="0"/>
          <w:divBdr>
            <w:top w:val="none" w:sz="0" w:space="0" w:color="auto"/>
            <w:left w:val="none" w:sz="0" w:space="0" w:color="auto"/>
            <w:bottom w:val="none" w:sz="0" w:space="0" w:color="auto"/>
            <w:right w:val="none" w:sz="0" w:space="0" w:color="auto"/>
          </w:divBdr>
        </w:div>
        <w:div w:id="1054894069">
          <w:marLeft w:val="0"/>
          <w:marRight w:val="0"/>
          <w:marTop w:val="0"/>
          <w:marBottom w:val="0"/>
          <w:divBdr>
            <w:top w:val="none" w:sz="0" w:space="0" w:color="auto"/>
            <w:left w:val="none" w:sz="0" w:space="0" w:color="auto"/>
            <w:bottom w:val="none" w:sz="0" w:space="0" w:color="auto"/>
            <w:right w:val="none" w:sz="0" w:space="0" w:color="auto"/>
          </w:divBdr>
        </w:div>
        <w:div w:id="1165512825">
          <w:marLeft w:val="0"/>
          <w:marRight w:val="0"/>
          <w:marTop w:val="0"/>
          <w:marBottom w:val="0"/>
          <w:divBdr>
            <w:top w:val="none" w:sz="0" w:space="0" w:color="auto"/>
            <w:left w:val="none" w:sz="0" w:space="0" w:color="auto"/>
            <w:bottom w:val="none" w:sz="0" w:space="0" w:color="auto"/>
            <w:right w:val="none" w:sz="0" w:space="0" w:color="auto"/>
          </w:divBdr>
        </w:div>
        <w:div w:id="1494373616">
          <w:marLeft w:val="0"/>
          <w:marRight w:val="0"/>
          <w:marTop w:val="0"/>
          <w:marBottom w:val="0"/>
          <w:divBdr>
            <w:top w:val="none" w:sz="0" w:space="0" w:color="auto"/>
            <w:left w:val="none" w:sz="0" w:space="0" w:color="auto"/>
            <w:bottom w:val="none" w:sz="0" w:space="0" w:color="auto"/>
            <w:right w:val="none" w:sz="0" w:space="0" w:color="auto"/>
          </w:divBdr>
        </w:div>
        <w:div w:id="1669286701">
          <w:marLeft w:val="0"/>
          <w:marRight w:val="0"/>
          <w:marTop w:val="0"/>
          <w:marBottom w:val="0"/>
          <w:divBdr>
            <w:top w:val="none" w:sz="0" w:space="0" w:color="auto"/>
            <w:left w:val="none" w:sz="0" w:space="0" w:color="auto"/>
            <w:bottom w:val="none" w:sz="0" w:space="0" w:color="auto"/>
            <w:right w:val="none" w:sz="0" w:space="0" w:color="auto"/>
          </w:divBdr>
        </w:div>
      </w:divsChild>
    </w:div>
    <w:div w:id="471558161">
      <w:bodyDiv w:val="1"/>
      <w:marLeft w:val="0"/>
      <w:marRight w:val="0"/>
      <w:marTop w:val="0"/>
      <w:marBottom w:val="0"/>
      <w:divBdr>
        <w:top w:val="none" w:sz="0" w:space="0" w:color="auto"/>
        <w:left w:val="none" w:sz="0" w:space="0" w:color="auto"/>
        <w:bottom w:val="none" w:sz="0" w:space="0" w:color="auto"/>
        <w:right w:val="none" w:sz="0" w:space="0" w:color="auto"/>
      </w:divBdr>
      <w:divsChild>
        <w:div w:id="2023319670">
          <w:marLeft w:val="547"/>
          <w:marRight w:val="0"/>
          <w:marTop w:val="0"/>
          <w:marBottom w:val="0"/>
          <w:divBdr>
            <w:top w:val="none" w:sz="0" w:space="0" w:color="auto"/>
            <w:left w:val="none" w:sz="0" w:space="0" w:color="auto"/>
            <w:bottom w:val="none" w:sz="0" w:space="0" w:color="auto"/>
            <w:right w:val="none" w:sz="0" w:space="0" w:color="auto"/>
          </w:divBdr>
        </w:div>
      </w:divsChild>
    </w:div>
    <w:div w:id="481234349">
      <w:bodyDiv w:val="1"/>
      <w:marLeft w:val="0"/>
      <w:marRight w:val="0"/>
      <w:marTop w:val="0"/>
      <w:marBottom w:val="0"/>
      <w:divBdr>
        <w:top w:val="none" w:sz="0" w:space="0" w:color="auto"/>
        <w:left w:val="none" w:sz="0" w:space="0" w:color="auto"/>
        <w:bottom w:val="none" w:sz="0" w:space="0" w:color="auto"/>
        <w:right w:val="none" w:sz="0" w:space="0" w:color="auto"/>
      </w:divBdr>
    </w:div>
    <w:div w:id="489640867">
      <w:bodyDiv w:val="1"/>
      <w:marLeft w:val="0"/>
      <w:marRight w:val="0"/>
      <w:marTop w:val="0"/>
      <w:marBottom w:val="0"/>
      <w:divBdr>
        <w:top w:val="none" w:sz="0" w:space="0" w:color="auto"/>
        <w:left w:val="none" w:sz="0" w:space="0" w:color="auto"/>
        <w:bottom w:val="none" w:sz="0" w:space="0" w:color="auto"/>
        <w:right w:val="none" w:sz="0" w:space="0" w:color="auto"/>
      </w:divBdr>
      <w:divsChild>
        <w:div w:id="1080295638">
          <w:marLeft w:val="547"/>
          <w:marRight w:val="0"/>
          <w:marTop w:val="0"/>
          <w:marBottom w:val="0"/>
          <w:divBdr>
            <w:top w:val="none" w:sz="0" w:space="0" w:color="auto"/>
            <w:left w:val="none" w:sz="0" w:space="0" w:color="auto"/>
            <w:bottom w:val="none" w:sz="0" w:space="0" w:color="auto"/>
            <w:right w:val="none" w:sz="0" w:space="0" w:color="auto"/>
          </w:divBdr>
        </w:div>
      </w:divsChild>
    </w:div>
    <w:div w:id="497774598">
      <w:bodyDiv w:val="1"/>
      <w:marLeft w:val="0"/>
      <w:marRight w:val="0"/>
      <w:marTop w:val="0"/>
      <w:marBottom w:val="0"/>
      <w:divBdr>
        <w:top w:val="none" w:sz="0" w:space="0" w:color="auto"/>
        <w:left w:val="none" w:sz="0" w:space="0" w:color="auto"/>
        <w:bottom w:val="none" w:sz="0" w:space="0" w:color="auto"/>
        <w:right w:val="none" w:sz="0" w:space="0" w:color="auto"/>
      </w:divBdr>
    </w:div>
    <w:div w:id="504632828">
      <w:bodyDiv w:val="1"/>
      <w:marLeft w:val="0"/>
      <w:marRight w:val="0"/>
      <w:marTop w:val="0"/>
      <w:marBottom w:val="0"/>
      <w:divBdr>
        <w:top w:val="none" w:sz="0" w:space="0" w:color="auto"/>
        <w:left w:val="none" w:sz="0" w:space="0" w:color="auto"/>
        <w:bottom w:val="none" w:sz="0" w:space="0" w:color="auto"/>
        <w:right w:val="none" w:sz="0" w:space="0" w:color="auto"/>
      </w:divBdr>
    </w:div>
    <w:div w:id="505824968">
      <w:bodyDiv w:val="1"/>
      <w:marLeft w:val="0"/>
      <w:marRight w:val="0"/>
      <w:marTop w:val="0"/>
      <w:marBottom w:val="0"/>
      <w:divBdr>
        <w:top w:val="none" w:sz="0" w:space="0" w:color="auto"/>
        <w:left w:val="none" w:sz="0" w:space="0" w:color="auto"/>
        <w:bottom w:val="none" w:sz="0" w:space="0" w:color="auto"/>
        <w:right w:val="none" w:sz="0" w:space="0" w:color="auto"/>
      </w:divBdr>
    </w:div>
    <w:div w:id="512693714">
      <w:bodyDiv w:val="1"/>
      <w:marLeft w:val="0"/>
      <w:marRight w:val="0"/>
      <w:marTop w:val="0"/>
      <w:marBottom w:val="0"/>
      <w:divBdr>
        <w:top w:val="none" w:sz="0" w:space="0" w:color="auto"/>
        <w:left w:val="none" w:sz="0" w:space="0" w:color="auto"/>
        <w:bottom w:val="none" w:sz="0" w:space="0" w:color="auto"/>
        <w:right w:val="none" w:sz="0" w:space="0" w:color="auto"/>
      </w:divBdr>
    </w:div>
    <w:div w:id="522672653">
      <w:bodyDiv w:val="1"/>
      <w:marLeft w:val="0"/>
      <w:marRight w:val="0"/>
      <w:marTop w:val="0"/>
      <w:marBottom w:val="0"/>
      <w:divBdr>
        <w:top w:val="none" w:sz="0" w:space="0" w:color="auto"/>
        <w:left w:val="none" w:sz="0" w:space="0" w:color="auto"/>
        <w:bottom w:val="none" w:sz="0" w:space="0" w:color="auto"/>
        <w:right w:val="none" w:sz="0" w:space="0" w:color="auto"/>
      </w:divBdr>
      <w:divsChild>
        <w:div w:id="1930460840">
          <w:marLeft w:val="0"/>
          <w:marRight w:val="0"/>
          <w:marTop w:val="0"/>
          <w:marBottom w:val="0"/>
          <w:divBdr>
            <w:top w:val="none" w:sz="0" w:space="0" w:color="auto"/>
            <w:left w:val="none" w:sz="0" w:space="0" w:color="auto"/>
            <w:bottom w:val="none" w:sz="0" w:space="0" w:color="auto"/>
            <w:right w:val="none" w:sz="0" w:space="0" w:color="auto"/>
          </w:divBdr>
        </w:div>
      </w:divsChild>
    </w:div>
    <w:div w:id="537165298">
      <w:bodyDiv w:val="1"/>
      <w:marLeft w:val="0"/>
      <w:marRight w:val="0"/>
      <w:marTop w:val="0"/>
      <w:marBottom w:val="0"/>
      <w:divBdr>
        <w:top w:val="none" w:sz="0" w:space="0" w:color="auto"/>
        <w:left w:val="none" w:sz="0" w:space="0" w:color="auto"/>
        <w:bottom w:val="none" w:sz="0" w:space="0" w:color="auto"/>
        <w:right w:val="none" w:sz="0" w:space="0" w:color="auto"/>
      </w:divBdr>
    </w:div>
    <w:div w:id="541556451">
      <w:bodyDiv w:val="1"/>
      <w:marLeft w:val="0"/>
      <w:marRight w:val="0"/>
      <w:marTop w:val="0"/>
      <w:marBottom w:val="0"/>
      <w:divBdr>
        <w:top w:val="none" w:sz="0" w:space="0" w:color="auto"/>
        <w:left w:val="none" w:sz="0" w:space="0" w:color="auto"/>
        <w:bottom w:val="none" w:sz="0" w:space="0" w:color="auto"/>
        <w:right w:val="none" w:sz="0" w:space="0" w:color="auto"/>
      </w:divBdr>
    </w:div>
    <w:div w:id="542402725">
      <w:bodyDiv w:val="1"/>
      <w:marLeft w:val="0"/>
      <w:marRight w:val="0"/>
      <w:marTop w:val="0"/>
      <w:marBottom w:val="0"/>
      <w:divBdr>
        <w:top w:val="none" w:sz="0" w:space="0" w:color="auto"/>
        <w:left w:val="none" w:sz="0" w:space="0" w:color="auto"/>
        <w:bottom w:val="none" w:sz="0" w:space="0" w:color="auto"/>
        <w:right w:val="none" w:sz="0" w:space="0" w:color="auto"/>
      </w:divBdr>
    </w:div>
    <w:div w:id="557981829">
      <w:bodyDiv w:val="1"/>
      <w:marLeft w:val="0"/>
      <w:marRight w:val="0"/>
      <w:marTop w:val="0"/>
      <w:marBottom w:val="0"/>
      <w:divBdr>
        <w:top w:val="none" w:sz="0" w:space="0" w:color="auto"/>
        <w:left w:val="none" w:sz="0" w:space="0" w:color="auto"/>
        <w:bottom w:val="none" w:sz="0" w:space="0" w:color="auto"/>
        <w:right w:val="none" w:sz="0" w:space="0" w:color="auto"/>
      </w:divBdr>
      <w:divsChild>
        <w:div w:id="697435798">
          <w:marLeft w:val="547"/>
          <w:marRight w:val="0"/>
          <w:marTop w:val="0"/>
          <w:marBottom w:val="0"/>
          <w:divBdr>
            <w:top w:val="none" w:sz="0" w:space="0" w:color="auto"/>
            <w:left w:val="none" w:sz="0" w:space="0" w:color="auto"/>
            <w:bottom w:val="none" w:sz="0" w:space="0" w:color="auto"/>
            <w:right w:val="none" w:sz="0" w:space="0" w:color="auto"/>
          </w:divBdr>
        </w:div>
      </w:divsChild>
    </w:div>
    <w:div w:id="564224535">
      <w:bodyDiv w:val="1"/>
      <w:marLeft w:val="0"/>
      <w:marRight w:val="0"/>
      <w:marTop w:val="0"/>
      <w:marBottom w:val="0"/>
      <w:divBdr>
        <w:top w:val="none" w:sz="0" w:space="0" w:color="auto"/>
        <w:left w:val="none" w:sz="0" w:space="0" w:color="auto"/>
        <w:bottom w:val="none" w:sz="0" w:space="0" w:color="auto"/>
        <w:right w:val="none" w:sz="0" w:space="0" w:color="auto"/>
      </w:divBdr>
    </w:div>
    <w:div w:id="565995238">
      <w:bodyDiv w:val="1"/>
      <w:marLeft w:val="0"/>
      <w:marRight w:val="0"/>
      <w:marTop w:val="0"/>
      <w:marBottom w:val="0"/>
      <w:divBdr>
        <w:top w:val="none" w:sz="0" w:space="0" w:color="auto"/>
        <w:left w:val="none" w:sz="0" w:space="0" w:color="auto"/>
        <w:bottom w:val="none" w:sz="0" w:space="0" w:color="auto"/>
        <w:right w:val="none" w:sz="0" w:space="0" w:color="auto"/>
      </w:divBdr>
      <w:divsChild>
        <w:div w:id="454956311">
          <w:marLeft w:val="0"/>
          <w:marRight w:val="0"/>
          <w:marTop w:val="0"/>
          <w:marBottom w:val="0"/>
          <w:divBdr>
            <w:top w:val="none" w:sz="0" w:space="0" w:color="auto"/>
            <w:left w:val="none" w:sz="0" w:space="0" w:color="auto"/>
            <w:bottom w:val="none" w:sz="0" w:space="0" w:color="auto"/>
            <w:right w:val="none" w:sz="0" w:space="0" w:color="auto"/>
          </w:divBdr>
          <w:divsChild>
            <w:div w:id="1059783384">
              <w:marLeft w:val="0"/>
              <w:marRight w:val="0"/>
              <w:marTop w:val="0"/>
              <w:marBottom w:val="0"/>
              <w:divBdr>
                <w:top w:val="none" w:sz="0" w:space="0" w:color="auto"/>
                <w:left w:val="none" w:sz="0" w:space="0" w:color="auto"/>
                <w:bottom w:val="none" w:sz="0" w:space="0" w:color="auto"/>
                <w:right w:val="none" w:sz="0" w:space="0" w:color="auto"/>
              </w:divBdr>
              <w:divsChild>
                <w:div w:id="183446217">
                  <w:marLeft w:val="0"/>
                  <w:marRight w:val="0"/>
                  <w:marTop w:val="0"/>
                  <w:marBottom w:val="0"/>
                  <w:divBdr>
                    <w:top w:val="none" w:sz="0" w:space="0" w:color="auto"/>
                    <w:left w:val="none" w:sz="0" w:space="0" w:color="auto"/>
                    <w:bottom w:val="none" w:sz="0" w:space="0" w:color="auto"/>
                    <w:right w:val="none" w:sz="0" w:space="0" w:color="auto"/>
                  </w:divBdr>
                  <w:divsChild>
                    <w:div w:id="1105618518">
                      <w:marLeft w:val="0"/>
                      <w:marRight w:val="0"/>
                      <w:marTop w:val="0"/>
                      <w:marBottom w:val="0"/>
                      <w:divBdr>
                        <w:top w:val="none" w:sz="0" w:space="0" w:color="auto"/>
                        <w:left w:val="none" w:sz="0" w:space="0" w:color="auto"/>
                        <w:bottom w:val="none" w:sz="0" w:space="0" w:color="auto"/>
                        <w:right w:val="none" w:sz="0" w:space="0" w:color="auto"/>
                      </w:divBdr>
                      <w:divsChild>
                        <w:div w:id="19984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49988">
      <w:bodyDiv w:val="1"/>
      <w:marLeft w:val="0"/>
      <w:marRight w:val="0"/>
      <w:marTop w:val="0"/>
      <w:marBottom w:val="0"/>
      <w:divBdr>
        <w:top w:val="none" w:sz="0" w:space="0" w:color="auto"/>
        <w:left w:val="none" w:sz="0" w:space="0" w:color="auto"/>
        <w:bottom w:val="none" w:sz="0" w:space="0" w:color="auto"/>
        <w:right w:val="none" w:sz="0" w:space="0" w:color="auto"/>
      </w:divBdr>
    </w:div>
    <w:div w:id="569736521">
      <w:bodyDiv w:val="1"/>
      <w:marLeft w:val="0"/>
      <w:marRight w:val="0"/>
      <w:marTop w:val="0"/>
      <w:marBottom w:val="0"/>
      <w:divBdr>
        <w:top w:val="none" w:sz="0" w:space="0" w:color="auto"/>
        <w:left w:val="none" w:sz="0" w:space="0" w:color="auto"/>
        <w:bottom w:val="none" w:sz="0" w:space="0" w:color="auto"/>
        <w:right w:val="none" w:sz="0" w:space="0" w:color="auto"/>
      </w:divBdr>
    </w:div>
    <w:div w:id="572930034">
      <w:bodyDiv w:val="1"/>
      <w:marLeft w:val="0"/>
      <w:marRight w:val="0"/>
      <w:marTop w:val="0"/>
      <w:marBottom w:val="0"/>
      <w:divBdr>
        <w:top w:val="none" w:sz="0" w:space="0" w:color="auto"/>
        <w:left w:val="none" w:sz="0" w:space="0" w:color="auto"/>
        <w:bottom w:val="none" w:sz="0" w:space="0" w:color="auto"/>
        <w:right w:val="none" w:sz="0" w:space="0" w:color="auto"/>
      </w:divBdr>
    </w:div>
    <w:div w:id="576792388">
      <w:bodyDiv w:val="1"/>
      <w:marLeft w:val="0"/>
      <w:marRight w:val="0"/>
      <w:marTop w:val="0"/>
      <w:marBottom w:val="0"/>
      <w:divBdr>
        <w:top w:val="none" w:sz="0" w:space="0" w:color="auto"/>
        <w:left w:val="none" w:sz="0" w:space="0" w:color="auto"/>
        <w:bottom w:val="none" w:sz="0" w:space="0" w:color="auto"/>
        <w:right w:val="none" w:sz="0" w:space="0" w:color="auto"/>
      </w:divBdr>
    </w:div>
    <w:div w:id="587007053">
      <w:bodyDiv w:val="1"/>
      <w:marLeft w:val="0"/>
      <w:marRight w:val="0"/>
      <w:marTop w:val="0"/>
      <w:marBottom w:val="0"/>
      <w:divBdr>
        <w:top w:val="none" w:sz="0" w:space="0" w:color="auto"/>
        <w:left w:val="none" w:sz="0" w:space="0" w:color="auto"/>
        <w:bottom w:val="none" w:sz="0" w:space="0" w:color="auto"/>
        <w:right w:val="none" w:sz="0" w:space="0" w:color="auto"/>
      </w:divBdr>
      <w:divsChild>
        <w:div w:id="1132165860">
          <w:marLeft w:val="0"/>
          <w:marRight w:val="0"/>
          <w:marTop w:val="0"/>
          <w:marBottom w:val="0"/>
          <w:divBdr>
            <w:top w:val="none" w:sz="0" w:space="0" w:color="auto"/>
            <w:left w:val="none" w:sz="0" w:space="0" w:color="auto"/>
            <w:bottom w:val="none" w:sz="0" w:space="0" w:color="auto"/>
            <w:right w:val="none" w:sz="0" w:space="0" w:color="auto"/>
          </w:divBdr>
          <w:divsChild>
            <w:div w:id="2083017318">
              <w:marLeft w:val="0"/>
              <w:marRight w:val="0"/>
              <w:marTop w:val="197"/>
              <w:marBottom w:val="296"/>
              <w:divBdr>
                <w:top w:val="none" w:sz="0" w:space="0" w:color="auto"/>
                <w:left w:val="none" w:sz="0" w:space="0" w:color="auto"/>
                <w:bottom w:val="none" w:sz="0" w:space="0" w:color="auto"/>
                <w:right w:val="none" w:sz="0" w:space="0" w:color="auto"/>
              </w:divBdr>
            </w:div>
          </w:divsChild>
        </w:div>
      </w:divsChild>
    </w:div>
    <w:div w:id="592781063">
      <w:bodyDiv w:val="1"/>
      <w:marLeft w:val="0"/>
      <w:marRight w:val="0"/>
      <w:marTop w:val="0"/>
      <w:marBottom w:val="0"/>
      <w:divBdr>
        <w:top w:val="none" w:sz="0" w:space="0" w:color="auto"/>
        <w:left w:val="none" w:sz="0" w:space="0" w:color="auto"/>
        <w:bottom w:val="none" w:sz="0" w:space="0" w:color="auto"/>
        <w:right w:val="none" w:sz="0" w:space="0" w:color="auto"/>
      </w:divBdr>
    </w:div>
    <w:div w:id="606356079">
      <w:bodyDiv w:val="1"/>
      <w:marLeft w:val="0"/>
      <w:marRight w:val="0"/>
      <w:marTop w:val="0"/>
      <w:marBottom w:val="0"/>
      <w:divBdr>
        <w:top w:val="none" w:sz="0" w:space="0" w:color="auto"/>
        <w:left w:val="none" w:sz="0" w:space="0" w:color="auto"/>
        <w:bottom w:val="none" w:sz="0" w:space="0" w:color="auto"/>
        <w:right w:val="none" w:sz="0" w:space="0" w:color="auto"/>
      </w:divBdr>
    </w:div>
    <w:div w:id="609633124">
      <w:bodyDiv w:val="1"/>
      <w:marLeft w:val="0"/>
      <w:marRight w:val="0"/>
      <w:marTop w:val="0"/>
      <w:marBottom w:val="0"/>
      <w:divBdr>
        <w:top w:val="none" w:sz="0" w:space="0" w:color="auto"/>
        <w:left w:val="none" w:sz="0" w:space="0" w:color="auto"/>
        <w:bottom w:val="none" w:sz="0" w:space="0" w:color="auto"/>
        <w:right w:val="none" w:sz="0" w:space="0" w:color="auto"/>
      </w:divBdr>
    </w:div>
    <w:div w:id="628128831">
      <w:bodyDiv w:val="1"/>
      <w:marLeft w:val="0"/>
      <w:marRight w:val="0"/>
      <w:marTop w:val="0"/>
      <w:marBottom w:val="0"/>
      <w:divBdr>
        <w:top w:val="none" w:sz="0" w:space="0" w:color="auto"/>
        <w:left w:val="none" w:sz="0" w:space="0" w:color="auto"/>
        <w:bottom w:val="none" w:sz="0" w:space="0" w:color="auto"/>
        <w:right w:val="none" w:sz="0" w:space="0" w:color="auto"/>
      </w:divBdr>
    </w:div>
    <w:div w:id="633799199">
      <w:bodyDiv w:val="1"/>
      <w:marLeft w:val="0"/>
      <w:marRight w:val="0"/>
      <w:marTop w:val="0"/>
      <w:marBottom w:val="0"/>
      <w:divBdr>
        <w:top w:val="none" w:sz="0" w:space="0" w:color="auto"/>
        <w:left w:val="none" w:sz="0" w:space="0" w:color="auto"/>
        <w:bottom w:val="none" w:sz="0" w:space="0" w:color="auto"/>
        <w:right w:val="none" w:sz="0" w:space="0" w:color="auto"/>
      </w:divBdr>
    </w:div>
    <w:div w:id="634414898">
      <w:bodyDiv w:val="1"/>
      <w:marLeft w:val="0"/>
      <w:marRight w:val="0"/>
      <w:marTop w:val="0"/>
      <w:marBottom w:val="0"/>
      <w:divBdr>
        <w:top w:val="none" w:sz="0" w:space="0" w:color="auto"/>
        <w:left w:val="none" w:sz="0" w:space="0" w:color="auto"/>
        <w:bottom w:val="none" w:sz="0" w:space="0" w:color="auto"/>
        <w:right w:val="none" w:sz="0" w:space="0" w:color="auto"/>
      </w:divBdr>
    </w:div>
    <w:div w:id="642467709">
      <w:bodyDiv w:val="1"/>
      <w:marLeft w:val="0"/>
      <w:marRight w:val="0"/>
      <w:marTop w:val="0"/>
      <w:marBottom w:val="0"/>
      <w:divBdr>
        <w:top w:val="none" w:sz="0" w:space="0" w:color="auto"/>
        <w:left w:val="none" w:sz="0" w:space="0" w:color="auto"/>
        <w:bottom w:val="none" w:sz="0" w:space="0" w:color="auto"/>
        <w:right w:val="none" w:sz="0" w:space="0" w:color="auto"/>
      </w:divBdr>
    </w:div>
    <w:div w:id="649946355">
      <w:bodyDiv w:val="1"/>
      <w:marLeft w:val="0"/>
      <w:marRight w:val="0"/>
      <w:marTop w:val="0"/>
      <w:marBottom w:val="0"/>
      <w:divBdr>
        <w:top w:val="none" w:sz="0" w:space="0" w:color="auto"/>
        <w:left w:val="none" w:sz="0" w:space="0" w:color="auto"/>
        <w:bottom w:val="none" w:sz="0" w:space="0" w:color="auto"/>
        <w:right w:val="none" w:sz="0" w:space="0" w:color="auto"/>
      </w:divBdr>
    </w:div>
    <w:div w:id="659582896">
      <w:bodyDiv w:val="1"/>
      <w:marLeft w:val="0"/>
      <w:marRight w:val="0"/>
      <w:marTop w:val="0"/>
      <w:marBottom w:val="0"/>
      <w:divBdr>
        <w:top w:val="none" w:sz="0" w:space="0" w:color="auto"/>
        <w:left w:val="none" w:sz="0" w:space="0" w:color="auto"/>
        <w:bottom w:val="none" w:sz="0" w:space="0" w:color="auto"/>
        <w:right w:val="none" w:sz="0" w:space="0" w:color="auto"/>
      </w:divBdr>
    </w:div>
    <w:div w:id="674457761">
      <w:bodyDiv w:val="1"/>
      <w:marLeft w:val="0"/>
      <w:marRight w:val="0"/>
      <w:marTop w:val="0"/>
      <w:marBottom w:val="0"/>
      <w:divBdr>
        <w:top w:val="none" w:sz="0" w:space="0" w:color="auto"/>
        <w:left w:val="none" w:sz="0" w:space="0" w:color="auto"/>
        <w:bottom w:val="none" w:sz="0" w:space="0" w:color="auto"/>
        <w:right w:val="none" w:sz="0" w:space="0" w:color="auto"/>
      </w:divBdr>
    </w:div>
    <w:div w:id="674578222">
      <w:bodyDiv w:val="1"/>
      <w:marLeft w:val="0"/>
      <w:marRight w:val="0"/>
      <w:marTop w:val="0"/>
      <w:marBottom w:val="0"/>
      <w:divBdr>
        <w:top w:val="none" w:sz="0" w:space="0" w:color="auto"/>
        <w:left w:val="none" w:sz="0" w:space="0" w:color="auto"/>
        <w:bottom w:val="none" w:sz="0" w:space="0" w:color="auto"/>
        <w:right w:val="none" w:sz="0" w:space="0" w:color="auto"/>
      </w:divBdr>
    </w:div>
    <w:div w:id="682172451">
      <w:bodyDiv w:val="1"/>
      <w:marLeft w:val="0"/>
      <w:marRight w:val="0"/>
      <w:marTop w:val="0"/>
      <w:marBottom w:val="0"/>
      <w:divBdr>
        <w:top w:val="none" w:sz="0" w:space="0" w:color="auto"/>
        <w:left w:val="none" w:sz="0" w:space="0" w:color="auto"/>
        <w:bottom w:val="none" w:sz="0" w:space="0" w:color="auto"/>
        <w:right w:val="none" w:sz="0" w:space="0" w:color="auto"/>
      </w:divBdr>
    </w:div>
    <w:div w:id="692076166">
      <w:bodyDiv w:val="1"/>
      <w:marLeft w:val="0"/>
      <w:marRight w:val="0"/>
      <w:marTop w:val="0"/>
      <w:marBottom w:val="0"/>
      <w:divBdr>
        <w:top w:val="none" w:sz="0" w:space="0" w:color="auto"/>
        <w:left w:val="none" w:sz="0" w:space="0" w:color="auto"/>
        <w:bottom w:val="none" w:sz="0" w:space="0" w:color="auto"/>
        <w:right w:val="none" w:sz="0" w:space="0" w:color="auto"/>
      </w:divBdr>
    </w:div>
    <w:div w:id="700395920">
      <w:bodyDiv w:val="1"/>
      <w:marLeft w:val="0"/>
      <w:marRight w:val="0"/>
      <w:marTop w:val="0"/>
      <w:marBottom w:val="0"/>
      <w:divBdr>
        <w:top w:val="none" w:sz="0" w:space="0" w:color="auto"/>
        <w:left w:val="none" w:sz="0" w:space="0" w:color="auto"/>
        <w:bottom w:val="none" w:sz="0" w:space="0" w:color="auto"/>
        <w:right w:val="none" w:sz="0" w:space="0" w:color="auto"/>
      </w:divBdr>
    </w:div>
    <w:div w:id="712002854">
      <w:bodyDiv w:val="1"/>
      <w:marLeft w:val="0"/>
      <w:marRight w:val="0"/>
      <w:marTop w:val="0"/>
      <w:marBottom w:val="0"/>
      <w:divBdr>
        <w:top w:val="none" w:sz="0" w:space="0" w:color="auto"/>
        <w:left w:val="none" w:sz="0" w:space="0" w:color="auto"/>
        <w:bottom w:val="none" w:sz="0" w:space="0" w:color="auto"/>
        <w:right w:val="none" w:sz="0" w:space="0" w:color="auto"/>
      </w:divBdr>
    </w:div>
    <w:div w:id="715617356">
      <w:bodyDiv w:val="1"/>
      <w:marLeft w:val="0"/>
      <w:marRight w:val="0"/>
      <w:marTop w:val="0"/>
      <w:marBottom w:val="0"/>
      <w:divBdr>
        <w:top w:val="none" w:sz="0" w:space="0" w:color="auto"/>
        <w:left w:val="none" w:sz="0" w:space="0" w:color="auto"/>
        <w:bottom w:val="none" w:sz="0" w:space="0" w:color="auto"/>
        <w:right w:val="none" w:sz="0" w:space="0" w:color="auto"/>
      </w:divBdr>
      <w:divsChild>
        <w:div w:id="303316510">
          <w:marLeft w:val="327"/>
          <w:marRight w:val="327"/>
          <w:marTop w:val="0"/>
          <w:marBottom w:val="0"/>
          <w:divBdr>
            <w:top w:val="none" w:sz="0" w:space="0" w:color="auto"/>
            <w:left w:val="none" w:sz="0" w:space="0" w:color="auto"/>
            <w:bottom w:val="none" w:sz="0" w:space="0" w:color="auto"/>
            <w:right w:val="none" w:sz="0" w:space="0" w:color="auto"/>
          </w:divBdr>
          <w:divsChild>
            <w:div w:id="70861112">
              <w:marLeft w:val="0"/>
              <w:marRight w:val="0"/>
              <w:marTop w:val="0"/>
              <w:marBottom w:val="0"/>
              <w:divBdr>
                <w:top w:val="none" w:sz="0" w:space="0" w:color="auto"/>
                <w:left w:val="none" w:sz="0" w:space="0" w:color="auto"/>
                <w:bottom w:val="none" w:sz="0" w:space="0" w:color="auto"/>
                <w:right w:val="none" w:sz="0" w:space="0" w:color="auto"/>
              </w:divBdr>
            </w:div>
            <w:div w:id="101385977">
              <w:marLeft w:val="0"/>
              <w:marRight w:val="0"/>
              <w:marTop w:val="0"/>
              <w:marBottom w:val="0"/>
              <w:divBdr>
                <w:top w:val="none" w:sz="0" w:space="0" w:color="auto"/>
                <w:left w:val="none" w:sz="0" w:space="0" w:color="auto"/>
                <w:bottom w:val="none" w:sz="0" w:space="0" w:color="auto"/>
                <w:right w:val="none" w:sz="0" w:space="0" w:color="auto"/>
              </w:divBdr>
            </w:div>
            <w:div w:id="118257989">
              <w:marLeft w:val="0"/>
              <w:marRight w:val="0"/>
              <w:marTop w:val="0"/>
              <w:marBottom w:val="0"/>
              <w:divBdr>
                <w:top w:val="none" w:sz="0" w:space="0" w:color="auto"/>
                <w:left w:val="none" w:sz="0" w:space="0" w:color="auto"/>
                <w:bottom w:val="none" w:sz="0" w:space="0" w:color="auto"/>
                <w:right w:val="none" w:sz="0" w:space="0" w:color="auto"/>
              </w:divBdr>
            </w:div>
            <w:div w:id="239097746">
              <w:marLeft w:val="0"/>
              <w:marRight w:val="0"/>
              <w:marTop w:val="0"/>
              <w:marBottom w:val="0"/>
              <w:divBdr>
                <w:top w:val="none" w:sz="0" w:space="0" w:color="auto"/>
                <w:left w:val="none" w:sz="0" w:space="0" w:color="auto"/>
                <w:bottom w:val="none" w:sz="0" w:space="0" w:color="auto"/>
                <w:right w:val="none" w:sz="0" w:space="0" w:color="auto"/>
              </w:divBdr>
            </w:div>
            <w:div w:id="265580581">
              <w:marLeft w:val="0"/>
              <w:marRight w:val="0"/>
              <w:marTop w:val="0"/>
              <w:marBottom w:val="0"/>
              <w:divBdr>
                <w:top w:val="none" w:sz="0" w:space="0" w:color="auto"/>
                <w:left w:val="none" w:sz="0" w:space="0" w:color="auto"/>
                <w:bottom w:val="none" w:sz="0" w:space="0" w:color="auto"/>
                <w:right w:val="none" w:sz="0" w:space="0" w:color="auto"/>
              </w:divBdr>
            </w:div>
            <w:div w:id="302468206">
              <w:marLeft w:val="0"/>
              <w:marRight w:val="0"/>
              <w:marTop w:val="0"/>
              <w:marBottom w:val="0"/>
              <w:divBdr>
                <w:top w:val="none" w:sz="0" w:space="0" w:color="auto"/>
                <w:left w:val="none" w:sz="0" w:space="0" w:color="auto"/>
                <w:bottom w:val="none" w:sz="0" w:space="0" w:color="auto"/>
                <w:right w:val="none" w:sz="0" w:space="0" w:color="auto"/>
              </w:divBdr>
            </w:div>
            <w:div w:id="367996783">
              <w:marLeft w:val="0"/>
              <w:marRight w:val="0"/>
              <w:marTop w:val="0"/>
              <w:marBottom w:val="0"/>
              <w:divBdr>
                <w:top w:val="none" w:sz="0" w:space="0" w:color="auto"/>
                <w:left w:val="none" w:sz="0" w:space="0" w:color="auto"/>
                <w:bottom w:val="none" w:sz="0" w:space="0" w:color="auto"/>
                <w:right w:val="none" w:sz="0" w:space="0" w:color="auto"/>
              </w:divBdr>
              <w:divsChild>
                <w:div w:id="293751497">
                  <w:marLeft w:val="0"/>
                  <w:marRight w:val="0"/>
                  <w:marTop w:val="0"/>
                  <w:marBottom w:val="0"/>
                  <w:divBdr>
                    <w:top w:val="none" w:sz="0" w:space="0" w:color="auto"/>
                    <w:left w:val="none" w:sz="0" w:space="0" w:color="auto"/>
                    <w:bottom w:val="none" w:sz="0" w:space="0" w:color="auto"/>
                    <w:right w:val="none" w:sz="0" w:space="0" w:color="auto"/>
                  </w:divBdr>
                </w:div>
              </w:divsChild>
            </w:div>
            <w:div w:id="402141752">
              <w:marLeft w:val="0"/>
              <w:marRight w:val="0"/>
              <w:marTop w:val="0"/>
              <w:marBottom w:val="0"/>
              <w:divBdr>
                <w:top w:val="none" w:sz="0" w:space="0" w:color="auto"/>
                <w:left w:val="none" w:sz="0" w:space="0" w:color="auto"/>
                <w:bottom w:val="none" w:sz="0" w:space="0" w:color="auto"/>
                <w:right w:val="none" w:sz="0" w:space="0" w:color="auto"/>
              </w:divBdr>
            </w:div>
            <w:div w:id="484591531">
              <w:marLeft w:val="0"/>
              <w:marRight w:val="0"/>
              <w:marTop w:val="0"/>
              <w:marBottom w:val="0"/>
              <w:divBdr>
                <w:top w:val="none" w:sz="0" w:space="0" w:color="auto"/>
                <w:left w:val="none" w:sz="0" w:space="0" w:color="auto"/>
                <w:bottom w:val="none" w:sz="0" w:space="0" w:color="auto"/>
                <w:right w:val="none" w:sz="0" w:space="0" w:color="auto"/>
              </w:divBdr>
            </w:div>
            <w:div w:id="595745189">
              <w:marLeft w:val="0"/>
              <w:marRight w:val="0"/>
              <w:marTop w:val="0"/>
              <w:marBottom w:val="0"/>
              <w:divBdr>
                <w:top w:val="none" w:sz="0" w:space="0" w:color="auto"/>
                <w:left w:val="none" w:sz="0" w:space="0" w:color="auto"/>
                <w:bottom w:val="none" w:sz="0" w:space="0" w:color="auto"/>
                <w:right w:val="none" w:sz="0" w:space="0" w:color="auto"/>
              </w:divBdr>
            </w:div>
            <w:div w:id="628168096">
              <w:marLeft w:val="0"/>
              <w:marRight w:val="0"/>
              <w:marTop w:val="0"/>
              <w:marBottom w:val="0"/>
              <w:divBdr>
                <w:top w:val="none" w:sz="0" w:space="0" w:color="auto"/>
                <w:left w:val="none" w:sz="0" w:space="0" w:color="auto"/>
                <w:bottom w:val="none" w:sz="0" w:space="0" w:color="auto"/>
                <w:right w:val="none" w:sz="0" w:space="0" w:color="auto"/>
              </w:divBdr>
            </w:div>
            <w:div w:id="718477339">
              <w:marLeft w:val="0"/>
              <w:marRight w:val="0"/>
              <w:marTop w:val="0"/>
              <w:marBottom w:val="0"/>
              <w:divBdr>
                <w:top w:val="none" w:sz="0" w:space="0" w:color="auto"/>
                <w:left w:val="none" w:sz="0" w:space="0" w:color="auto"/>
                <w:bottom w:val="none" w:sz="0" w:space="0" w:color="auto"/>
                <w:right w:val="none" w:sz="0" w:space="0" w:color="auto"/>
              </w:divBdr>
            </w:div>
            <w:div w:id="821771030">
              <w:marLeft w:val="0"/>
              <w:marRight w:val="0"/>
              <w:marTop w:val="0"/>
              <w:marBottom w:val="0"/>
              <w:divBdr>
                <w:top w:val="none" w:sz="0" w:space="0" w:color="auto"/>
                <w:left w:val="none" w:sz="0" w:space="0" w:color="auto"/>
                <w:bottom w:val="none" w:sz="0" w:space="0" w:color="auto"/>
                <w:right w:val="none" w:sz="0" w:space="0" w:color="auto"/>
              </w:divBdr>
            </w:div>
            <w:div w:id="1033581447">
              <w:marLeft w:val="0"/>
              <w:marRight w:val="0"/>
              <w:marTop w:val="0"/>
              <w:marBottom w:val="0"/>
              <w:divBdr>
                <w:top w:val="none" w:sz="0" w:space="0" w:color="auto"/>
                <w:left w:val="none" w:sz="0" w:space="0" w:color="auto"/>
                <w:bottom w:val="none" w:sz="0" w:space="0" w:color="auto"/>
                <w:right w:val="none" w:sz="0" w:space="0" w:color="auto"/>
              </w:divBdr>
            </w:div>
            <w:div w:id="1158614895">
              <w:marLeft w:val="0"/>
              <w:marRight w:val="0"/>
              <w:marTop w:val="0"/>
              <w:marBottom w:val="0"/>
              <w:divBdr>
                <w:top w:val="none" w:sz="0" w:space="0" w:color="auto"/>
                <w:left w:val="none" w:sz="0" w:space="0" w:color="auto"/>
                <w:bottom w:val="none" w:sz="0" w:space="0" w:color="auto"/>
                <w:right w:val="none" w:sz="0" w:space="0" w:color="auto"/>
              </w:divBdr>
            </w:div>
            <w:div w:id="1184326298">
              <w:marLeft w:val="0"/>
              <w:marRight w:val="0"/>
              <w:marTop w:val="0"/>
              <w:marBottom w:val="0"/>
              <w:divBdr>
                <w:top w:val="none" w:sz="0" w:space="0" w:color="auto"/>
                <w:left w:val="none" w:sz="0" w:space="0" w:color="auto"/>
                <w:bottom w:val="none" w:sz="0" w:space="0" w:color="auto"/>
                <w:right w:val="none" w:sz="0" w:space="0" w:color="auto"/>
              </w:divBdr>
            </w:div>
            <w:div w:id="1189029255">
              <w:marLeft w:val="0"/>
              <w:marRight w:val="0"/>
              <w:marTop w:val="0"/>
              <w:marBottom w:val="0"/>
              <w:divBdr>
                <w:top w:val="none" w:sz="0" w:space="0" w:color="auto"/>
                <w:left w:val="none" w:sz="0" w:space="0" w:color="auto"/>
                <w:bottom w:val="none" w:sz="0" w:space="0" w:color="auto"/>
                <w:right w:val="none" w:sz="0" w:space="0" w:color="auto"/>
              </w:divBdr>
            </w:div>
            <w:div w:id="1238242845">
              <w:marLeft w:val="0"/>
              <w:marRight w:val="0"/>
              <w:marTop w:val="0"/>
              <w:marBottom w:val="0"/>
              <w:divBdr>
                <w:top w:val="none" w:sz="0" w:space="0" w:color="auto"/>
                <w:left w:val="none" w:sz="0" w:space="0" w:color="auto"/>
                <w:bottom w:val="none" w:sz="0" w:space="0" w:color="auto"/>
                <w:right w:val="none" w:sz="0" w:space="0" w:color="auto"/>
              </w:divBdr>
            </w:div>
            <w:div w:id="1303391233">
              <w:marLeft w:val="0"/>
              <w:marRight w:val="0"/>
              <w:marTop w:val="0"/>
              <w:marBottom w:val="0"/>
              <w:divBdr>
                <w:top w:val="none" w:sz="0" w:space="0" w:color="auto"/>
                <w:left w:val="none" w:sz="0" w:space="0" w:color="auto"/>
                <w:bottom w:val="none" w:sz="0" w:space="0" w:color="auto"/>
                <w:right w:val="none" w:sz="0" w:space="0" w:color="auto"/>
              </w:divBdr>
            </w:div>
            <w:div w:id="1410686762">
              <w:marLeft w:val="0"/>
              <w:marRight w:val="0"/>
              <w:marTop w:val="0"/>
              <w:marBottom w:val="0"/>
              <w:divBdr>
                <w:top w:val="none" w:sz="0" w:space="0" w:color="auto"/>
                <w:left w:val="none" w:sz="0" w:space="0" w:color="auto"/>
                <w:bottom w:val="none" w:sz="0" w:space="0" w:color="auto"/>
                <w:right w:val="none" w:sz="0" w:space="0" w:color="auto"/>
              </w:divBdr>
            </w:div>
            <w:div w:id="1563443389">
              <w:marLeft w:val="0"/>
              <w:marRight w:val="0"/>
              <w:marTop w:val="0"/>
              <w:marBottom w:val="0"/>
              <w:divBdr>
                <w:top w:val="none" w:sz="0" w:space="0" w:color="auto"/>
                <w:left w:val="none" w:sz="0" w:space="0" w:color="auto"/>
                <w:bottom w:val="none" w:sz="0" w:space="0" w:color="auto"/>
                <w:right w:val="none" w:sz="0" w:space="0" w:color="auto"/>
              </w:divBdr>
            </w:div>
            <w:div w:id="1657537940">
              <w:marLeft w:val="0"/>
              <w:marRight w:val="0"/>
              <w:marTop w:val="0"/>
              <w:marBottom w:val="0"/>
              <w:divBdr>
                <w:top w:val="none" w:sz="0" w:space="0" w:color="auto"/>
                <w:left w:val="none" w:sz="0" w:space="0" w:color="auto"/>
                <w:bottom w:val="none" w:sz="0" w:space="0" w:color="auto"/>
                <w:right w:val="none" w:sz="0" w:space="0" w:color="auto"/>
              </w:divBdr>
              <w:divsChild>
                <w:div w:id="1607543360">
                  <w:marLeft w:val="0"/>
                  <w:marRight w:val="0"/>
                  <w:marTop w:val="0"/>
                  <w:marBottom w:val="0"/>
                  <w:divBdr>
                    <w:top w:val="none" w:sz="0" w:space="0" w:color="auto"/>
                    <w:left w:val="none" w:sz="0" w:space="0" w:color="auto"/>
                    <w:bottom w:val="none" w:sz="0" w:space="0" w:color="auto"/>
                    <w:right w:val="none" w:sz="0" w:space="0" w:color="auto"/>
                  </w:divBdr>
                </w:div>
              </w:divsChild>
            </w:div>
            <w:div w:id="21269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52522">
      <w:bodyDiv w:val="1"/>
      <w:marLeft w:val="0"/>
      <w:marRight w:val="0"/>
      <w:marTop w:val="0"/>
      <w:marBottom w:val="0"/>
      <w:divBdr>
        <w:top w:val="none" w:sz="0" w:space="0" w:color="auto"/>
        <w:left w:val="none" w:sz="0" w:space="0" w:color="auto"/>
        <w:bottom w:val="none" w:sz="0" w:space="0" w:color="auto"/>
        <w:right w:val="none" w:sz="0" w:space="0" w:color="auto"/>
      </w:divBdr>
    </w:div>
    <w:div w:id="725378606">
      <w:bodyDiv w:val="1"/>
      <w:marLeft w:val="0"/>
      <w:marRight w:val="0"/>
      <w:marTop w:val="0"/>
      <w:marBottom w:val="0"/>
      <w:divBdr>
        <w:top w:val="none" w:sz="0" w:space="0" w:color="auto"/>
        <w:left w:val="none" w:sz="0" w:space="0" w:color="auto"/>
        <w:bottom w:val="none" w:sz="0" w:space="0" w:color="auto"/>
        <w:right w:val="none" w:sz="0" w:space="0" w:color="auto"/>
      </w:divBdr>
    </w:div>
    <w:div w:id="726297182">
      <w:bodyDiv w:val="1"/>
      <w:marLeft w:val="0"/>
      <w:marRight w:val="0"/>
      <w:marTop w:val="0"/>
      <w:marBottom w:val="0"/>
      <w:divBdr>
        <w:top w:val="none" w:sz="0" w:space="0" w:color="auto"/>
        <w:left w:val="none" w:sz="0" w:space="0" w:color="auto"/>
        <w:bottom w:val="none" w:sz="0" w:space="0" w:color="auto"/>
        <w:right w:val="none" w:sz="0" w:space="0" w:color="auto"/>
      </w:divBdr>
    </w:div>
    <w:div w:id="726535621">
      <w:bodyDiv w:val="1"/>
      <w:marLeft w:val="0"/>
      <w:marRight w:val="0"/>
      <w:marTop w:val="0"/>
      <w:marBottom w:val="0"/>
      <w:divBdr>
        <w:top w:val="none" w:sz="0" w:space="0" w:color="auto"/>
        <w:left w:val="none" w:sz="0" w:space="0" w:color="auto"/>
        <w:bottom w:val="none" w:sz="0" w:space="0" w:color="auto"/>
        <w:right w:val="none" w:sz="0" w:space="0" w:color="auto"/>
      </w:divBdr>
      <w:divsChild>
        <w:div w:id="53555218">
          <w:marLeft w:val="0"/>
          <w:marRight w:val="0"/>
          <w:marTop w:val="0"/>
          <w:marBottom w:val="0"/>
          <w:divBdr>
            <w:top w:val="none" w:sz="0" w:space="0" w:color="auto"/>
            <w:left w:val="none" w:sz="0" w:space="0" w:color="auto"/>
            <w:bottom w:val="none" w:sz="0" w:space="0" w:color="auto"/>
            <w:right w:val="none" w:sz="0" w:space="0" w:color="auto"/>
          </w:divBdr>
        </w:div>
        <w:div w:id="1283151137">
          <w:marLeft w:val="0"/>
          <w:marRight w:val="0"/>
          <w:marTop w:val="0"/>
          <w:marBottom w:val="0"/>
          <w:divBdr>
            <w:top w:val="none" w:sz="0" w:space="0" w:color="auto"/>
            <w:left w:val="none" w:sz="0" w:space="0" w:color="auto"/>
            <w:bottom w:val="none" w:sz="0" w:space="0" w:color="auto"/>
            <w:right w:val="none" w:sz="0" w:space="0" w:color="auto"/>
          </w:divBdr>
        </w:div>
        <w:div w:id="2049066579">
          <w:marLeft w:val="0"/>
          <w:marRight w:val="0"/>
          <w:marTop w:val="0"/>
          <w:marBottom w:val="0"/>
          <w:divBdr>
            <w:top w:val="none" w:sz="0" w:space="0" w:color="auto"/>
            <w:left w:val="none" w:sz="0" w:space="0" w:color="auto"/>
            <w:bottom w:val="none" w:sz="0" w:space="0" w:color="auto"/>
            <w:right w:val="none" w:sz="0" w:space="0" w:color="auto"/>
          </w:divBdr>
        </w:div>
      </w:divsChild>
    </w:div>
    <w:div w:id="732503797">
      <w:bodyDiv w:val="1"/>
      <w:marLeft w:val="0"/>
      <w:marRight w:val="0"/>
      <w:marTop w:val="0"/>
      <w:marBottom w:val="0"/>
      <w:divBdr>
        <w:top w:val="none" w:sz="0" w:space="0" w:color="auto"/>
        <w:left w:val="none" w:sz="0" w:space="0" w:color="auto"/>
        <w:bottom w:val="none" w:sz="0" w:space="0" w:color="auto"/>
        <w:right w:val="none" w:sz="0" w:space="0" w:color="auto"/>
      </w:divBdr>
    </w:div>
    <w:div w:id="737552974">
      <w:bodyDiv w:val="1"/>
      <w:marLeft w:val="0"/>
      <w:marRight w:val="0"/>
      <w:marTop w:val="0"/>
      <w:marBottom w:val="0"/>
      <w:divBdr>
        <w:top w:val="none" w:sz="0" w:space="0" w:color="auto"/>
        <w:left w:val="none" w:sz="0" w:space="0" w:color="auto"/>
        <w:bottom w:val="none" w:sz="0" w:space="0" w:color="auto"/>
        <w:right w:val="none" w:sz="0" w:space="0" w:color="auto"/>
      </w:divBdr>
    </w:div>
    <w:div w:id="737942137">
      <w:bodyDiv w:val="1"/>
      <w:marLeft w:val="0"/>
      <w:marRight w:val="0"/>
      <w:marTop w:val="0"/>
      <w:marBottom w:val="0"/>
      <w:divBdr>
        <w:top w:val="none" w:sz="0" w:space="0" w:color="auto"/>
        <w:left w:val="none" w:sz="0" w:space="0" w:color="auto"/>
        <w:bottom w:val="none" w:sz="0" w:space="0" w:color="auto"/>
        <w:right w:val="none" w:sz="0" w:space="0" w:color="auto"/>
      </w:divBdr>
      <w:divsChild>
        <w:div w:id="465009150">
          <w:marLeft w:val="547"/>
          <w:marRight w:val="0"/>
          <w:marTop w:val="0"/>
          <w:marBottom w:val="0"/>
          <w:divBdr>
            <w:top w:val="none" w:sz="0" w:space="0" w:color="auto"/>
            <w:left w:val="none" w:sz="0" w:space="0" w:color="auto"/>
            <w:bottom w:val="none" w:sz="0" w:space="0" w:color="auto"/>
            <w:right w:val="none" w:sz="0" w:space="0" w:color="auto"/>
          </w:divBdr>
        </w:div>
      </w:divsChild>
    </w:div>
    <w:div w:id="746726457">
      <w:bodyDiv w:val="1"/>
      <w:marLeft w:val="0"/>
      <w:marRight w:val="0"/>
      <w:marTop w:val="0"/>
      <w:marBottom w:val="0"/>
      <w:divBdr>
        <w:top w:val="none" w:sz="0" w:space="0" w:color="auto"/>
        <w:left w:val="none" w:sz="0" w:space="0" w:color="auto"/>
        <w:bottom w:val="none" w:sz="0" w:space="0" w:color="auto"/>
        <w:right w:val="none" w:sz="0" w:space="0" w:color="auto"/>
      </w:divBdr>
    </w:div>
    <w:div w:id="747851698">
      <w:bodyDiv w:val="1"/>
      <w:marLeft w:val="0"/>
      <w:marRight w:val="0"/>
      <w:marTop w:val="0"/>
      <w:marBottom w:val="0"/>
      <w:divBdr>
        <w:top w:val="none" w:sz="0" w:space="0" w:color="auto"/>
        <w:left w:val="none" w:sz="0" w:space="0" w:color="auto"/>
        <w:bottom w:val="none" w:sz="0" w:space="0" w:color="auto"/>
        <w:right w:val="none" w:sz="0" w:space="0" w:color="auto"/>
      </w:divBdr>
    </w:div>
    <w:div w:id="747962553">
      <w:bodyDiv w:val="1"/>
      <w:marLeft w:val="0"/>
      <w:marRight w:val="0"/>
      <w:marTop w:val="0"/>
      <w:marBottom w:val="0"/>
      <w:divBdr>
        <w:top w:val="none" w:sz="0" w:space="0" w:color="auto"/>
        <w:left w:val="none" w:sz="0" w:space="0" w:color="auto"/>
        <w:bottom w:val="none" w:sz="0" w:space="0" w:color="auto"/>
        <w:right w:val="none" w:sz="0" w:space="0" w:color="auto"/>
      </w:divBdr>
    </w:div>
    <w:div w:id="754324039">
      <w:bodyDiv w:val="1"/>
      <w:marLeft w:val="0"/>
      <w:marRight w:val="0"/>
      <w:marTop w:val="0"/>
      <w:marBottom w:val="0"/>
      <w:divBdr>
        <w:top w:val="none" w:sz="0" w:space="0" w:color="auto"/>
        <w:left w:val="none" w:sz="0" w:space="0" w:color="auto"/>
        <w:bottom w:val="none" w:sz="0" w:space="0" w:color="auto"/>
        <w:right w:val="none" w:sz="0" w:space="0" w:color="auto"/>
      </w:divBdr>
    </w:div>
    <w:div w:id="755635203">
      <w:bodyDiv w:val="1"/>
      <w:marLeft w:val="0"/>
      <w:marRight w:val="0"/>
      <w:marTop w:val="0"/>
      <w:marBottom w:val="0"/>
      <w:divBdr>
        <w:top w:val="none" w:sz="0" w:space="0" w:color="auto"/>
        <w:left w:val="none" w:sz="0" w:space="0" w:color="auto"/>
        <w:bottom w:val="none" w:sz="0" w:space="0" w:color="auto"/>
        <w:right w:val="none" w:sz="0" w:space="0" w:color="auto"/>
      </w:divBdr>
    </w:div>
    <w:div w:id="762843329">
      <w:bodyDiv w:val="1"/>
      <w:marLeft w:val="0"/>
      <w:marRight w:val="0"/>
      <w:marTop w:val="0"/>
      <w:marBottom w:val="0"/>
      <w:divBdr>
        <w:top w:val="none" w:sz="0" w:space="0" w:color="auto"/>
        <w:left w:val="none" w:sz="0" w:space="0" w:color="auto"/>
        <w:bottom w:val="none" w:sz="0" w:space="0" w:color="auto"/>
        <w:right w:val="none" w:sz="0" w:space="0" w:color="auto"/>
      </w:divBdr>
    </w:div>
    <w:div w:id="765198620">
      <w:bodyDiv w:val="1"/>
      <w:marLeft w:val="0"/>
      <w:marRight w:val="0"/>
      <w:marTop w:val="0"/>
      <w:marBottom w:val="0"/>
      <w:divBdr>
        <w:top w:val="none" w:sz="0" w:space="0" w:color="auto"/>
        <w:left w:val="none" w:sz="0" w:space="0" w:color="auto"/>
        <w:bottom w:val="none" w:sz="0" w:space="0" w:color="auto"/>
        <w:right w:val="none" w:sz="0" w:space="0" w:color="auto"/>
      </w:divBdr>
    </w:div>
    <w:div w:id="769935873">
      <w:bodyDiv w:val="1"/>
      <w:marLeft w:val="0"/>
      <w:marRight w:val="0"/>
      <w:marTop w:val="0"/>
      <w:marBottom w:val="0"/>
      <w:divBdr>
        <w:top w:val="none" w:sz="0" w:space="0" w:color="auto"/>
        <w:left w:val="none" w:sz="0" w:space="0" w:color="auto"/>
        <w:bottom w:val="none" w:sz="0" w:space="0" w:color="auto"/>
        <w:right w:val="none" w:sz="0" w:space="0" w:color="auto"/>
      </w:divBdr>
    </w:div>
    <w:div w:id="777334340">
      <w:bodyDiv w:val="1"/>
      <w:marLeft w:val="0"/>
      <w:marRight w:val="0"/>
      <w:marTop w:val="0"/>
      <w:marBottom w:val="0"/>
      <w:divBdr>
        <w:top w:val="none" w:sz="0" w:space="0" w:color="auto"/>
        <w:left w:val="none" w:sz="0" w:space="0" w:color="auto"/>
        <w:bottom w:val="none" w:sz="0" w:space="0" w:color="auto"/>
        <w:right w:val="none" w:sz="0" w:space="0" w:color="auto"/>
      </w:divBdr>
    </w:div>
    <w:div w:id="786973307">
      <w:bodyDiv w:val="1"/>
      <w:marLeft w:val="0"/>
      <w:marRight w:val="0"/>
      <w:marTop w:val="0"/>
      <w:marBottom w:val="0"/>
      <w:divBdr>
        <w:top w:val="none" w:sz="0" w:space="0" w:color="auto"/>
        <w:left w:val="none" w:sz="0" w:space="0" w:color="auto"/>
        <w:bottom w:val="none" w:sz="0" w:space="0" w:color="auto"/>
        <w:right w:val="none" w:sz="0" w:space="0" w:color="auto"/>
      </w:divBdr>
    </w:div>
    <w:div w:id="809059507">
      <w:bodyDiv w:val="1"/>
      <w:marLeft w:val="0"/>
      <w:marRight w:val="0"/>
      <w:marTop w:val="0"/>
      <w:marBottom w:val="0"/>
      <w:divBdr>
        <w:top w:val="none" w:sz="0" w:space="0" w:color="auto"/>
        <w:left w:val="none" w:sz="0" w:space="0" w:color="auto"/>
        <w:bottom w:val="none" w:sz="0" w:space="0" w:color="auto"/>
        <w:right w:val="none" w:sz="0" w:space="0" w:color="auto"/>
      </w:divBdr>
      <w:divsChild>
        <w:div w:id="662464827">
          <w:marLeft w:val="0"/>
          <w:marRight w:val="0"/>
          <w:marTop w:val="0"/>
          <w:marBottom w:val="0"/>
          <w:divBdr>
            <w:top w:val="none" w:sz="0" w:space="0" w:color="auto"/>
            <w:left w:val="none" w:sz="0" w:space="0" w:color="auto"/>
            <w:bottom w:val="none" w:sz="0" w:space="0" w:color="auto"/>
            <w:right w:val="none" w:sz="0" w:space="0" w:color="auto"/>
          </w:divBdr>
          <w:divsChild>
            <w:div w:id="1209150745">
              <w:marLeft w:val="0"/>
              <w:marRight w:val="0"/>
              <w:marTop w:val="197"/>
              <w:marBottom w:val="296"/>
              <w:divBdr>
                <w:top w:val="none" w:sz="0" w:space="0" w:color="auto"/>
                <w:left w:val="none" w:sz="0" w:space="0" w:color="auto"/>
                <w:bottom w:val="none" w:sz="0" w:space="0" w:color="auto"/>
                <w:right w:val="none" w:sz="0" w:space="0" w:color="auto"/>
              </w:divBdr>
            </w:div>
          </w:divsChild>
        </w:div>
      </w:divsChild>
    </w:div>
    <w:div w:id="811021037">
      <w:bodyDiv w:val="1"/>
      <w:marLeft w:val="0"/>
      <w:marRight w:val="0"/>
      <w:marTop w:val="0"/>
      <w:marBottom w:val="0"/>
      <w:divBdr>
        <w:top w:val="none" w:sz="0" w:space="0" w:color="auto"/>
        <w:left w:val="none" w:sz="0" w:space="0" w:color="auto"/>
        <w:bottom w:val="none" w:sz="0" w:space="0" w:color="auto"/>
        <w:right w:val="none" w:sz="0" w:space="0" w:color="auto"/>
      </w:divBdr>
    </w:div>
    <w:div w:id="815220040">
      <w:bodyDiv w:val="1"/>
      <w:marLeft w:val="0"/>
      <w:marRight w:val="0"/>
      <w:marTop w:val="0"/>
      <w:marBottom w:val="0"/>
      <w:divBdr>
        <w:top w:val="none" w:sz="0" w:space="0" w:color="auto"/>
        <w:left w:val="none" w:sz="0" w:space="0" w:color="auto"/>
        <w:bottom w:val="none" w:sz="0" w:space="0" w:color="auto"/>
        <w:right w:val="none" w:sz="0" w:space="0" w:color="auto"/>
      </w:divBdr>
    </w:div>
    <w:div w:id="817261653">
      <w:bodyDiv w:val="1"/>
      <w:marLeft w:val="0"/>
      <w:marRight w:val="0"/>
      <w:marTop w:val="0"/>
      <w:marBottom w:val="0"/>
      <w:divBdr>
        <w:top w:val="none" w:sz="0" w:space="0" w:color="auto"/>
        <w:left w:val="none" w:sz="0" w:space="0" w:color="auto"/>
        <w:bottom w:val="none" w:sz="0" w:space="0" w:color="auto"/>
        <w:right w:val="none" w:sz="0" w:space="0" w:color="auto"/>
      </w:divBdr>
    </w:div>
    <w:div w:id="818036478">
      <w:bodyDiv w:val="1"/>
      <w:marLeft w:val="0"/>
      <w:marRight w:val="0"/>
      <w:marTop w:val="0"/>
      <w:marBottom w:val="0"/>
      <w:divBdr>
        <w:top w:val="none" w:sz="0" w:space="0" w:color="auto"/>
        <w:left w:val="none" w:sz="0" w:space="0" w:color="auto"/>
        <w:bottom w:val="none" w:sz="0" w:space="0" w:color="auto"/>
        <w:right w:val="none" w:sz="0" w:space="0" w:color="auto"/>
      </w:divBdr>
    </w:div>
    <w:div w:id="835918504">
      <w:bodyDiv w:val="1"/>
      <w:marLeft w:val="0"/>
      <w:marRight w:val="0"/>
      <w:marTop w:val="0"/>
      <w:marBottom w:val="0"/>
      <w:divBdr>
        <w:top w:val="none" w:sz="0" w:space="0" w:color="auto"/>
        <w:left w:val="none" w:sz="0" w:space="0" w:color="auto"/>
        <w:bottom w:val="none" w:sz="0" w:space="0" w:color="auto"/>
        <w:right w:val="none" w:sz="0" w:space="0" w:color="auto"/>
      </w:divBdr>
    </w:div>
    <w:div w:id="862864537">
      <w:bodyDiv w:val="1"/>
      <w:marLeft w:val="0"/>
      <w:marRight w:val="0"/>
      <w:marTop w:val="0"/>
      <w:marBottom w:val="0"/>
      <w:divBdr>
        <w:top w:val="none" w:sz="0" w:space="0" w:color="auto"/>
        <w:left w:val="none" w:sz="0" w:space="0" w:color="auto"/>
        <w:bottom w:val="none" w:sz="0" w:space="0" w:color="auto"/>
        <w:right w:val="none" w:sz="0" w:space="0" w:color="auto"/>
      </w:divBdr>
    </w:div>
    <w:div w:id="865337682">
      <w:bodyDiv w:val="1"/>
      <w:marLeft w:val="0"/>
      <w:marRight w:val="0"/>
      <w:marTop w:val="0"/>
      <w:marBottom w:val="0"/>
      <w:divBdr>
        <w:top w:val="none" w:sz="0" w:space="0" w:color="auto"/>
        <w:left w:val="none" w:sz="0" w:space="0" w:color="auto"/>
        <w:bottom w:val="none" w:sz="0" w:space="0" w:color="auto"/>
        <w:right w:val="none" w:sz="0" w:space="0" w:color="auto"/>
      </w:divBdr>
    </w:div>
    <w:div w:id="904029397">
      <w:bodyDiv w:val="1"/>
      <w:marLeft w:val="0"/>
      <w:marRight w:val="0"/>
      <w:marTop w:val="0"/>
      <w:marBottom w:val="0"/>
      <w:divBdr>
        <w:top w:val="none" w:sz="0" w:space="0" w:color="auto"/>
        <w:left w:val="none" w:sz="0" w:space="0" w:color="auto"/>
        <w:bottom w:val="none" w:sz="0" w:space="0" w:color="auto"/>
        <w:right w:val="none" w:sz="0" w:space="0" w:color="auto"/>
      </w:divBdr>
    </w:div>
    <w:div w:id="925259954">
      <w:bodyDiv w:val="1"/>
      <w:marLeft w:val="0"/>
      <w:marRight w:val="0"/>
      <w:marTop w:val="0"/>
      <w:marBottom w:val="0"/>
      <w:divBdr>
        <w:top w:val="none" w:sz="0" w:space="0" w:color="auto"/>
        <w:left w:val="none" w:sz="0" w:space="0" w:color="auto"/>
        <w:bottom w:val="none" w:sz="0" w:space="0" w:color="auto"/>
        <w:right w:val="none" w:sz="0" w:space="0" w:color="auto"/>
      </w:divBdr>
    </w:div>
    <w:div w:id="955522254">
      <w:bodyDiv w:val="1"/>
      <w:marLeft w:val="0"/>
      <w:marRight w:val="0"/>
      <w:marTop w:val="0"/>
      <w:marBottom w:val="0"/>
      <w:divBdr>
        <w:top w:val="none" w:sz="0" w:space="0" w:color="auto"/>
        <w:left w:val="none" w:sz="0" w:space="0" w:color="auto"/>
        <w:bottom w:val="none" w:sz="0" w:space="0" w:color="auto"/>
        <w:right w:val="none" w:sz="0" w:space="0" w:color="auto"/>
      </w:divBdr>
    </w:div>
    <w:div w:id="962151114">
      <w:bodyDiv w:val="1"/>
      <w:marLeft w:val="0"/>
      <w:marRight w:val="0"/>
      <w:marTop w:val="0"/>
      <w:marBottom w:val="0"/>
      <w:divBdr>
        <w:top w:val="none" w:sz="0" w:space="0" w:color="auto"/>
        <w:left w:val="none" w:sz="0" w:space="0" w:color="auto"/>
        <w:bottom w:val="none" w:sz="0" w:space="0" w:color="auto"/>
        <w:right w:val="none" w:sz="0" w:space="0" w:color="auto"/>
      </w:divBdr>
    </w:div>
    <w:div w:id="966013272">
      <w:bodyDiv w:val="1"/>
      <w:marLeft w:val="0"/>
      <w:marRight w:val="0"/>
      <w:marTop w:val="0"/>
      <w:marBottom w:val="0"/>
      <w:divBdr>
        <w:top w:val="none" w:sz="0" w:space="0" w:color="auto"/>
        <w:left w:val="none" w:sz="0" w:space="0" w:color="auto"/>
        <w:bottom w:val="none" w:sz="0" w:space="0" w:color="auto"/>
        <w:right w:val="none" w:sz="0" w:space="0" w:color="auto"/>
      </w:divBdr>
      <w:divsChild>
        <w:div w:id="1415391476">
          <w:marLeft w:val="547"/>
          <w:marRight w:val="0"/>
          <w:marTop w:val="0"/>
          <w:marBottom w:val="0"/>
          <w:divBdr>
            <w:top w:val="none" w:sz="0" w:space="0" w:color="auto"/>
            <w:left w:val="none" w:sz="0" w:space="0" w:color="auto"/>
            <w:bottom w:val="none" w:sz="0" w:space="0" w:color="auto"/>
            <w:right w:val="none" w:sz="0" w:space="0" w:color="auto"/>
          </w:divBdr>
        </w:div>
      </w:divsChild>
    </w:div>
    <w:div w:id="976643364">
      <w:bodyDiv w:val="1"/>
      <w:marLeft w:val="0"/>
      <w:marRight w:val="0"/>
      <w:marTop w:val="0"/>
      <w:marBottom w:val="0"/>
      <w:divBdr>
        <w:top w:val="none" w:sz="0" w:space="0" w:color="auto"/>
        <w:left w:val="none" w:sz="0" w:space="0" w:color="auto"/>
        <w:bottom w:val="none" w:sz="0" w:space="0" w:color="auto"/>
        <w:right w:val="none" w:sz="0" w:space="0" w:color="auto"/>
      </w:divBdr>
    </w:div>
    <w:div w:id="981348960">
      <w:bodyDiv w:val="1"/>
      <w:marLeft w:val="0"/>
      <w:marRight w:val="0"/>
      <w:marTop w:val="0"/>
      <w:marBottom w:val="0"/>
      <w:divBdr>
        <w:top w:val="none" w:sz="0" w:space="0" w:color="auto"/>
        <w:left w:val="none" w:sz="0" w:space="0" w:color="auto"/>
        <w:bottom w:val="none" w:sz="0" w:space="0" w:color="auto"/>
        <w:right w:val="none" w:sz="0" w:space="0" w:color="auto"/>
      </w:divBdr>
    </w:div>
    <w:div w:id="982152435">
      <w:bodyDiv w:val="1"/>
      <w:marLeft w:val="0"/>
      <w:marRight w:val="0"/>
      <w:marTop w:val="0"/>
      <w:marBottom w:val="0"/>
      <w:divBdr>
        <w:top w:val="none" w:sz="0" w:space="0" w:color="auto"/>
        <w:left w:val="none" w:sz="0" w:space="0" w:color="auto"/>
        <w:bottom w:val="none" w:sz="0" w:space="0" w:color="auto"/>
        <w:right w:val="none" w:sz="0" w:space="0" w:color="auto"/>
      </w:divBdr>
    </w:div>
    <w:div w:id="986711823">
      <w:bodyDiv w:val="1"/>
      <w:marLeft w:val="0"/>
      <w:marRight w:val="0"/>
      <w:marTop w:val="0"/>
      <w:marBottom w:val="0"/>
      <w:divBdr>
        <w:top w:val="none" w:sz="0" w:space="0" w:color="auto"/>
        <w:left w:val="none" w:sz="0" w:space="0" w:color="auto"/>
        <w:bottom w:val="none" w:sz="0" w:space="0" w:color="auto"/>
        <w:right w:val="none" w:sz="0" w:space="0" w:color="auto"/>
      </w:divBdr>
    </w:div>
    <w:div w:id="988630785">
      <w:bodyDiv w:val="1"/>
      <w:marLeft w:val="0"/>
      <w:marRight w:val="0"/>
      <w:marTop w:val="0"/>
      <w:marBottom w:val="0"/>
      <w:divBdr>
        <w:top w:val="none" w:sz="0" w:space="0" w:color="auto"/>
        <w:left w:val="none" w:sz="0" w:space="0" w:color="auto"/>
        <w:bottom w:val="none" w:sz="0" w:space="0" w:color="auto"/>
        <w:right w:val="none" w:sz="0" w:space="0" w:color="auto"/>
      </w:divBdr>
    </w:div>
    <w:div w:id="994262012">
      <w:bodyDiv w:val="1"/>
      <w:marLeft w:val="0"/>
      <w:marRight w:val="0"/>
      <w:marTop w:val="0"/>
      <w:marBottom w:val="0"/>
      <w:divBdr>
        <w:top w:val="none" w:sz="0" w:space="0" w:color="auto"/>
        <w:left w:val="none" w:sz="0" w:space="0" w:color="auto"/>
        <w:bottom w:val="none" w:sz="0" w:space="0" w:color="auto"/>
        <w:right w:val="none" w:sz="0" w:space="0" w:color="auto"/>
      </w:divBdr>
    </w:div>
    <w:div w:id="995915861">
      <w:bodyDiv w:val="1"/>
      <w:marLeft w:val="0"/>
      <w:marRight w:val="0"/>
      <w:marTop w:val="0"/>
      <w:marBottom w:val="0"/>
      <w:divBdr>
        <w:top w:val="none" w:sz="0" w:space="0" w:color="auto"/>
        <w:left w:val="none" w:sz="0" w:space="0" w:color="auto"/>
        <w:bottom w:val="none" w:sz="0" w:space="0" w:color="auto"/>
        <w:right w:val="none" w:sz="0" w:space="0" w:color="auto"/>
      </w:divBdr>
    </w:div>
    <w:div w:id="999885667">
      <w:bodyDiv w:val="1"/>
      <w:marLeft w:val="0"/>
      <w:marRight w:val="0"/>
      <w:marTop w:val="0"/>
      <w:marBottom w:val="0"/>
      <w:divBdr>
        <w:top w:val="none" w:sz="0" w:space="0" w:color="auto"/>
        <w:left w:val="none" w:sz="0" w:space="0" w:color="auto"/>
        <w:bottom w:val="none" w:sz="0" w:space="0" w:color="auto"/>
        <w:right w:val="none" w:sz="0" w:space="0" w:color="auto"/>
      </w:divBdr>
    </w:div>
    <w:div w:id="1005128224">
      <w:bodyDiv w:val="1"/>
      <w:marLeft w:val="0"/>
      <w:marRight w:val="0"/>
      <w:marTop w:val="0"/>
      <w:marBottom w:val="0"/>
      <w:divBdr>
        <w:top w:val="none" w:sz="0" w:space="0" w:color="auto"/>
        <w:left w:val="none" w:sz="0" w:space="0" w:color="auto"/>
        <w:bottom w:val="none" w:sz="0" w:space="0" w:color="auto"/>
        <w:right w:val="none" w:sz="0" w:space="0" w:color="auto"/>
      </w:divBdr>
    </w:div>
    <w:div w:id="1008866409">
      <w:bodyDiv w:val="1"/>
      <w:marLeft w:val="0"/>
      <w:marRight w:val="0"/>
      <w:marTop w:val="0"/>
      <w:marBottom w:val="0"/>
      <w:divBdr>
        <w:top w:val="none" w:sz="0" w:space="0" w:color="auto"/>
        <w:left w:val="none" w:sz="0" w:space="0" w:color="auto"/>
        <w:bottom w:val="none" w:sz="0" w:space="0" w:color="auto"/>
        <w:right w:val="none" w:sz="0" w:space="0" w:color="auto"/>
      </w:divBdr>
    </w:div>
    <w:div w:id="1009913449">
      <w:bodyDiv w:val="1"/>
      <w:marLeft w:val="0"/>
      <w:marRight w:val="0"/>
      <w:marTop w:val="0"/>
      <w:marBottom w:val="0"/>
      <w:divBdr>
        <w:top w:val="none" w:sz="0" w:space="0" w:color="auto"/>
        <w:left w:val="none" w:sz="0" w:space="0" w:color="auto"/>
        <w:bottom w:val="none" w:sz="0" w:space="0" w:color="auto"/>
        <w:right w:val="none" w:sz="0" w:space="0" w:color="auto"/>
      </w:divBdr>
    </w:div>
    <w:div w:id="1029839318">
      <w:bodyDiv w:val="1"/>
      <w:marLeft w:val="0"/>
      <w:marRight w:val="0"/>
      <w:marTop w:val="0"/>
      <w:marBottom w:val="0"/>
      <w:divBdr>
        <w:top w:val="none" w:sz="0" w:space="0" w:color="auto"/>
        <w:left w:val="none" w:sz="0" w:space="0" w:color="auto"/>
        <w:bottom w:val="none" w:sz="0" w:space="0" w:color="auto"/>
        <w:right w:val="none" w:sz="0" w:space="0" w:color="auto"/>
      </w:divBdr>
    </w:div>
    <w:div w:id="1034037259">
      <w:bodyDiv w:val="1"/>
      <w:marLeft w:val="0"/>
      <w:marRight w:val="0"/>
      <w:marTop w:val="0"/>
      <w:marBottom w:val="0"/>
      <w:divBdr>
        <w:top w:val="none" w:sz="0" w:space="0" w:color="auto"/>
        <w:left w:val="none" w:sz="0" w:space="0" w:color="auto"/>
        <w:bottom w:val="none" w:sz="0" w:space="0" w:color="auto"/>
        <w:right w:val="none" w:sz="0" w:space="0" w:color="auto"/>
      </w:divBdr>
    </w:div>
    <w:div w:id="1037391740">
      <w:bodyDiv w:val="1"/>
      <w:marLeft w:val="0"/>
      <w:marRight w:val="0"/>
      <w:marTop w:val="0"/>
      <w:marBottom w:val="0"/>
      <w:divBdr>
        <w:top w:val="none" w:sz="0" w:space="0" w:color="auto"/>
        <w:left w:val="none" w:sz="0" w:space="0" w:color="auto"/>
        <w:bottom w:val="none" w:sz="0" w:space="0" w:color="auto"/>
        <w:right w:val="none" w:sz="0" w:space="0" w:color="auto"/>
      </w:divBdr>
      <w:divsChild>
        <w:div w:id="2004039645">
          <w:marLeft w:val="0"/>
          <w:marRight w:val="0"/>
          <w:marTop w:val="0"/>
          <w:marBottom w:val="0"/>
          <w:divBdr>
            <w:top w:val="none" w:sz="0" w:space="0" w:color="auto"/>
            <w:left w:val="none" w:sz="0" w:space="0" w:color="auto"/>
            <w:bottom w:val="none" w:sz="0" w:space="0" w:color="auto"/>
            <w:right w:val="none" w:sz="0" w:space="0" w:color="auto"/>
          </w:divBdr>
          <w:divsChild>
            <w:div w:id="696272530">
              <w:marLeft w:val="0"/>
              <w:marRight w:val="0"/>
              <w:marTop w:val="0"/>
              <w:marBottom w:val="0"/>
              <w:divBdr>
                <w:top w:val="none" w:sz="0" w:space="0" w:color="auto"/>
                <w:left w:val="none" w:sz="0" w:space="0" w:color="auto"/>
                <w:bottom w:val="none" w:sz="0" w:space="0" w:color="auto"/>
                <w:right w:val="none" w:sz="0" w:space="0" w:color="auto"/>
              </w:divBdr>
              <w:divsChild>
                <w:div w:id="358092013">
                  <w:marLeft w:val="0"/>
                  <w:marRight w:val="0"/>
                  <w:marTop w:val="0"/>
                  <w:marBottom w:val="0"/>
                  <w:divBdr>
                    <w:top w:val="none" w:sz="0" w:space="0" w:color="auto"/>
                    <w:left w:val="none" w:sz="0" w:space="0" w:color="auto"/>
                    <w:bottom w:val="none" w:sz="0" w:space="0" w:color="auto"/>
                    <w:right w:val="none" w:sz="0" w:space="0" w:color="auto"/>
                  </w:divBdr>
                  <w:divsChild>
                    <w:div w:id="1126391605">
                      <w:marLeft w:val="0"/>
                      <w:marRight w:val="0"/>
                      <w:marTop w:val="0"/>
                      <w:marBottom w:val="0"/>
                      <w:divBdr>
                        <w:top w:val="none" w:sz="0" w:space="0" w:color="auto"/>
                        <w:left w:val="none" w:sz="0" w:space="0" w:color="auto"/>
                        <w:bottom w:val="none" w:sz="0" w:space="0" w:color="auto"/>
                        <w:right w:val="none" w:sz="0" w:space="0" w:color="auto"/>
                      </w:divBdr>
                      <w:divsChild>
                        <w:div w:id="14343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96595">
      <w:bodyDiv w:val="1"/>
      <w:marLeft w:val="0"/>
      <w:marRight w:val="0"/>
      <w:marTop w:val="0"/>
      <w:marBottom w:val="0"/>
      <w:divBdr>
        <w:top w:val="none" w:sz="0" w:space="0" w:color="auto"/>
        <w:left w:val="none" w:sz="0" w:space="0" w:color="auto"/>
        <w:bottom w:val="none" w:sz="0" w:space="0" w:color="auto"/>
        <w:right w:val="none" w:sz="0" w:space="0" w:color="auto"/>
      </w:divBdr>
    </w:div>
    <w:div w:id="1057164778">
      <w:bodyDiv w:val="1"/>
      <w:marLeft w:val="0"/>
      <w:marRight w:val="0"/>
      <w:marTop w:val="0"/>
      <w:marBottom w:val="0"/>
      <w:divBdr>
        <w:top w:val="none" w:sz="0" w:space="0" w:color="auto"/>
        <w:left w:val="none" w:sz="0" w:space="0" w:color="auto"/>
        <w:bottom w:val="none" w:sz="0" w:space="0" w:color="auto"/>
        <w:right w:val="none" w:sz="0" w:space="0" w:color="auto"/>
      </w:divBdr>
    </w:div>
    <w:div w:id="1076786390">
      <w:bodyDiv w:val="1"/>
      <w:marLeft w:val="0"/>
      <w:marRight w:val="0"/>
      <w:marTop w:val="0"/>
      <w:marBottom w:val="0"/>
      <w:divBdr>
        <w:top w:val="none" w:sz="0" w:space="0" w:color="auto"/>
        <w:left w:val="none" w:sz="0" w:space="0" w:color="auto"/>
        <w:bottom w:val="none" w:sz="0" w:space="0" w:color="auto"/>
        <w:right w:val="none" w:sz="0" w:space="0" w:color="auto"/>
      </w:divBdr>
    </w:div>
    <w:div w:id="1079522911">
      <w:bodyDiv w:val="1"/>
      <w:marLeft w:val="0"/>
      <w:marRight w:val="0"/>
      <w:marTop w:val="0"/>
      <w:marBottom w:val="0"/>
      <w:divBdr>
        <w:top w:val="none" w:sz="0" w:space="0" w:color="auto"/>
        <w:left w:val="none" w:sz="0" w:space="0" w:color="auto"/>
        <w:bottom w:val="none" w:sz="0" w:space="0" w:color="auto"/>
        <w:right w:val="none" w:sz="0" w:space="0" w:color="auto"/>
      </w:divBdr>
    </w:div>
    <w:div w:id="1085612444">
      <w:bodyDiv w:val="1"/>
      <w:marLeft w:val="0"/>
      <w:marRight w:val="0"/>
      <w:marTop w:val="0"/>
      <w:marBottom w:val="0"/>
      <w:divBdr>
        <w:top w:val="none" w:sz="0" w:space="0" w:color="auto"/>
        <w:left w:val="none" w:sz="0" w:space="0" w:color="auto"/>
        <w:bottom w:val="none" w:sz="0" w:space="0" w:color="auto"/>
        <w:right w:val="none" w:sz="0" w:space="0" w:color="auto"/>
      </w:divBdr>
    </w:div>
    <w:div w:id="1093746142">
      <w:bodyDiv w:val="1"/>
      <w:marLeft w:val="0"/>
      <w:marRight w:val="0"/>
      <w:marTop w:val="0"/>
      <w:marBottom w:val="0"/>
      <w:divBdr>
        <w:top w:val="none" w:sz="0" w:space="0" w:color="auto"/>
        <w:left w:val="none" w:sz="0" w:space="0" w:color="auto"/>
        <w:bottom w:val="none" w:sz="0" w:space="0" w:color="auto"/>
        <w:right w:val="none" w:sz="0" w:space="0" w:color="auto"/>
      </w:divBdr>
      <w:divsChild>
        <w:div w:id="1249386327">
          <w:marLeft w:val="0"/>
          <w:marRight w:val="0"/>
          <w:marTop w:val="0"/>
          <w:marBottom w:val="225"/>
          <w:divBdr>
            <w:top w:val="none" w:sz="0" w:space="0" w:color="auto"/>
            <w:left w:val="none" w:sz="0" w:space="0" w:color="auto"/>
            <w:bottom w:val="none" w:sz="0" w:space="0" w:color="auto"/>
            <w:right w:val="none" w:sz="0" w:space="0" w:color="auto"/>
          </w:divBdr>
          <w:divsChild>
            <w:div w:id="312682787">
              <w:marLeft w:val="0"/>
              <w:marRight w:val="0"/>
              <w:marTop w:val="0"/>
              <w:marBottom w:val="0"/>
              <w:divBdr>
                <w:top w:val="none" w:sz="0" w:space="0" w:color="auto"/>
                <w:left w:val="none" w:sz="0" w:space="0" w:color="auto"/>
                <w:bottom w:val="none" w:sz="0" w:space="0" w:color="auto"/>
                <w:right w:val="none" w:sz="0" w:space="0" w:color="auto"/>
              </w:divBdr>
            </w:div>
          </w:divsChild>
        </w:div>
        <w:div w:id="1442991848">
          <w:marLeft w:val="0"/>
          <w:marRight w:val="0"/>
          <w:marTop w:val="0"/>
          <w:marBottom w:val="240"/>
          <w:divBdr>
            <w:top w:val="none" w:sz="0" w:space="0" w:color="auto"/>
            <w:left w:val="none" w:sz="0" w:space="0" w:color="auto"/>
            <w:bottom w:val="dashed" w:sz="6" w:space="0" w:color="B3B3B3"/>
            <w:right w:val="none" w:sz="0" w:space="0" w:color="auto"/>
          </w:divBdr>
        </w:div>
      </w:divsChild>
    </w:div>
    <w:div w:id="1103375745">
      <w:bodyDiv w:val="1"/>
      <w:marLeft w:val="0"/>
      <w:marRight w:val="0"/>
      <w:marTop w:val="0"/>
      <w:marBottom w:val="0"/>
      <w:divBdr>
        <w:top w:val="none" w:sz="0" w:space="0" w:color="auto"/>
        <w:left w:val="none" w:sz="0" w:space="0" w:color="auto"/>
        <w:bottom w:val="none" w:sz="0" w:space="0" w:color="auto"/>
        <w:right w:val="none" w:sz="0" w:space="0" w:color="auto"/>
      </w:divBdr>
    </w:div>
    <w:div w:id="1103383457">
      <w:bodyDiv w:val="1"/>
      <w:marLeft w:val="0"/>
      <w:marRight w:val="0"/>
      <w:marTop w:val="0"/>
      <w:marBottom w:val="0"/>
      <w:divBdr>
        <w:top w:val="none" w:sz="0" w:space="0" w:color="auto"/>
        <w:left w:val="none" w:sz="0" w:space="0" w:color="auto"/>
        <w:bottom w:val="none" w:sz="0" w:space="0" w:color="auto"/>
        <w:right w:val="none" w:sz="0" w:space="0" w:color="auto"/>
      </w:divBdr>
    </w:div>
    <w:div w:id="1131821724">
      <w:bodyDiv w:val="1"/>
      <w:marLeft w:val="0"/>
      <w:marRight w:val="0"/>
      <w:marTop w:val="0"/>
      <w:marBottom w:val="0"/>
      <w:divBdr>
        <w:top w:val="none" w:sz="0" w:space="0" w:color="auto"/>
        <w:left w:val="none" w:sz="0" w:space="0" w:color="auto"/>
        <w:bottom w:val="none" w:sz="0" w:space="0" w:color="auto"/>
        <w:right w:val="none" w:sz="0" w:space="0" w:color="auto"/>
      </w:divBdr>
    </w:div>
    <w:div w:id="1143276530">
      <w:bodyDiv w:val="1"/>
      <w:marLeft w:val="0"/>
      <w:marRight w:val="0"/>
      <w:marTop w:val="0"/>
      <w:marBottom w:val="0"/>
      <w:divBdr>
        <w:top w:val="none" w:sz="0" w:space="0" w:color="auto"/>
        <w:left w:val="none" w:sz="0" w:space="0" w:color="auto"/>
        <w:bottom w:val="none" w:sz="0" w:space="0" w:color="auto"/>
        <w:right w:val="none" w:sz="0" w:space="0" w:color="auto"/>
      </w:divBdr>
    </w:div>
    <w:div w:id="1149053745">
      <w:bodyDiv w:val="1"/>
      <w:marLeft w:val="0"/>
      <w:marRight w:val="0"/>
      <w:marTop w:val="0"/>
      <w:marBottom w:val="0"/>
      <w:divBdr>
        <w:top w:val="none" w:sz="0" w:space="0" w:color="auto"/>
        <w:left w:val="none" w:sz="0" w:space="0" w:color="auto"/>
        <w:bottom w:val="none" w:sz="0" w:space="0" w:color="auto"/>
        <w:right w:val="none" w:sz="0" w:space="0" w:color="auto"/>
      </w:divBdr>
    </w:div>
    <w:div w:id="1150319960">
      <w:bodyDiv w:val="1"/>
      <w:marLeft w:val="0"/>
      <w:marRight w:val="0"/>
      <w:marTop w:val="0"/>
      <w:marBottom w:val="0"/>
      <w:divBdr>
        <w:top w:val="none" w:sz="0" w:space="0" w:color="auto"/>
        <w:left w:val="none" w:sz="0" w:space="0" w:color="auto"/>
        <w:bottom w:val="none" w:sz="0" w:space="0" w:color="auto"/>
        <w:right w:val="none" w:sz="0" w:space="0" w:color="auto"/>
      </w:divBdr>
    </w:div>
    <w:div w:id="1153062786">
      <w:bodyDiv w:val="1"/>
      <w:marLeft w:val="0"/>
      <w:marRight w:val="0"/>
      <w:marTop w:val="0"/>
      <w:marBottom w:val="0"/>
      <w:divBdr>
        <w:top w:val="none" w:sz="0" w:space="0" w:color="auto"/>
        <w:left w:val="none" w:sz="0" w:space="0" w:color="auto"/>
        <w:bottom w:val="none" w:sz="0" w:space="0" w:color="auto"/>
        <w:right w:val="none" w:sz="0" w:space="0" w:color="auto"/>
      </w:divBdr>
    </w:div>
    <w:div w:id="1153834551">
      <w:bodyDiv w:val="1"/>
      <w:marLeft w:val="0"/>
      <w:marRight w:val="0"/>
      <w:marTop w:val="0"/>
      <w:marBottom w:val="0"/>
      <w:divBdr>
        <w:top w:val="none" w:sz="0" w:space="0" w:color="auto"/>
        <w:left w:val="none" w:sz="0" w:space="0" w:color="auto"/>
        <w:bottom w:val="none" w:sz="0" w:space="0" w:color="auto"/>
        <w:right w:val="none" w:sz="0" w:space="0" w:color="auto"/>
      </w:divBdr>
    </w:div>
    <w:div w:id="1159154866">
      <w:bodyDiv w:val="1"/>
      <w:marLeft w:val="0"/>
      <w:marRight w:val="0"/>
      <w:marTop w:val="0"/>
      <w:marBottom w:val="0"/>
      <w:divBdr>
        <w:top w:val="none" w:sz="0" w:space="0" w:color="auto"/>
        <w:left w:val="none" w:sz="0" w:space="0" w:color="auto"/>
        <w:bottom w:val="none" w:sz="0" w:space="0" w:color="auto"/>
        <w:right w:val="none" w:sz="0" w:space="0" w:color="auto"/>
      </w:divBdr>
    </w:div>
    <w:div w:id="1160923874">
      <w:bodyDiv w:val="1"/>
      <w:marLeft w:val="0"/>
      <w:marRight w:val="0"/>
      <w:marTop w:val="0"/>
      <w:marBottom w:val="0"/>
      <w:divBdr>
        <w:top w:val="none" w:sz="0" w:space="0" w:color="auto"/>
        <w:left w:val="none" w:sz="0" w:space="0" w:color="auto"/>
        <w:bottom w:val="none" w:sz="0" w:space="0" w:color="auto"/>
        <w:right w:val="none" w:sz="0" w:space="0" w:color="auto"/>
      </w:divBdr>
    </w:div>
    <w:div w:id="1164198904">
      <w:bodyDiv w:val="1"/>
      <w:marLeft w:val="0"/>
      <w:marRight w:val="0"/>
      <w:marTop w:val="0"/>
      <w:marBottom w:val="0"/>
      <w:divBdr>
        <w:top w:val="none" w:sz="0" w:space="0" w:color="auto"/>
        <w:left w:val="none" w:sz="0" w:space="0" w:color="auto"/>
        <w:bottom w:val="none" w:sz="0" w:space="0" w:color="auto"/>
        <w:right w:val="none" w:sz="0" w:space="0" w:color="auto"/>
      </w:divBdr>
      <w:divsChild>
        <w:div w:id="1538469112">
          <w:marLeft w:val="547"/>
          <w:marRight w:val="0"/>
          <w:marTop w:val="0"/>
          <w:marBottom w:val="0"/>
          <w:divBdr>
            <w:top w:val="none" w:sz="0" w:space="0" w:color="auto"/>
            <w:left w:val="none" w:sz="0" w:space="0" w:color="auto"/>
            <w:bottom w:val="none" w:sz="0" w:space="0" w:color="auto"/>
            <w:right w:val="none" w:sz="0" w:space="0" w:color="auto"/>
          </w:divBdr>
        </w:div>
      </w:divsChild>
    </w:div>
    <w:div w:id="1172835736">
      <w:bodyDiv w:val="1"/>
      <w:marLeft w:val="0"/>
      <w:marRight w:val="0"/>
      <w:marTop w:val="0"/>
      <w:marBottom w:val="0"/>
      <w:divBdr>
        <w:top w:val="none" w:sz="0" w:space="0" w:color="auto"/>
        <w:left w:val="none" w:sz="0" w:space="0" w:color="auto"/>
        <w:bottom w:val="none" w:sz="0" w:space="0" w:color="auto"/>
        <w:right w:val="none" w:sz="0" w:space="0" w:color="auto"/>
      </w:divBdr>
    </w:div>
    <w:div w:id="1183280704">
      <w:bodyDiv w:val="1"/>
      <w:marLeft w:val="0"/>
      <w:marRight w:val="0"/>
      <w:marTop w:val="0"/>
      <w:marBottom w:val="0"/>
      <w:divBdr>
        <w:top w:val="none" w:sz="0" w:space="0" w:color="auto"/>
        <w:left w:val="none" w:sz="0" w:space="0" w:color="auto"/>
        <w:bottom w:val="none" w:sz="0" w:space="0" w:color="auto"/>
        <w:right w:val="none" w:sz="0" w:space="0" w:color="auto"/>
      </w:divBdr>
    </w:div>
    <w:div w:id="1185830093">
      <w:bodyDiv w:val="1"/>
      <w:marLeft w:val="0"/>
      <w:marRight w:val="0"/>
      <w:marTop w:val="0"/>
      <w:marBottom w:val="0"/>
      <w:divBdr>
        <w:top w:val="none" w:sz="0" w:space="0" w:color="auto"/>
        <w:left w:val="none" w:sz="0" w:space="0" w:color="auto"/>
        <w:bottom w:val="none" w:sz="0" w:space="0" w:color="auto"/>
        <w:right w:val="none" w:sz="0" w:space="0" w:color="auto"/>
      </w:divBdr>
    </w:div>
    <w:div w:id="1199078923">
      <w:bodyDiv w:val="1"/>
      <w:marLeft w:val="0"/>
      <w:marRight w:val="0"/>
      <w:marTop w:val="0"/>
      <w:marBottom w:val="0"/>
      <w:divBdr>
        <w:top w:val="none" w:sz="0" w:space="0" w:color="auto"/>
        <w:left w:val="none" w:sz="0" w:space="0" w:color="auto"/>
        <w:bottom w:val="none" w:sz="0" w:space="0" w:color="auto"/>
        <w:right w:val="none" w:sz="0" w:space="0" w:color="auto"/>
      </w:divBdr>
    </w:div>
    <w:div w:id="1202130286">
      <w:bodyDiv w:val="1"/>
      <w:marLeft w:val="0"/>
      <w:marRight w:val="0"/>
      <w:marTop w:val="0"/>
      <w:marBottom w:val="0"/>
      <w:divBdr>
        <w:top w:val="none" w:sz="0" w:space="0" w:color="auto"/>
        <w:left w:val="none" w:sz="0" w:space="0" w:color="auto"/>
        <w:bottom w:val="none" w:sz="0" w:space="0" w:color="auto"/>
        <w:right w:val="none" w:sz="0" w:space="0" w:color="auto"/>
      </w:divBdr>
    </w:div>
    <w:div w:id="1222063311">
      <w:bodyDiv w:val="1"/>
      <w:marLeft w:val="0"/>
      <w:marRight w:val="0"/>
      <w:marTop w:val="0"/>
      <w:marBottom w:val="0"/>
      <w:divBdr>
        <w:top w:val="none" w:sz="0" w:space="0" w:color="auto"/>
        <w:left w:val="none" w:sz="0" w:space="0" w:color="auto"/>
        <w:bottom w:val="none" w:sz="0" w:space="0" w:color="auto"/>
        <w:right w:val="none" w:sz="0" w:space="0" w:color="auto"/>
      </w:divBdr>
    </w:div>
    <w:div w:id="1237789371">
      <w:bodyDiv w:val="1"/>
      <w:marLeft w:val="0"/>
      <w:marRight w:val="0"/>
      <w:marTop w:val="0"/>
      <w:marBottom w:val="0"/>
      <w:divBdr>
        <w:top w:val="none" w:sz="0" w:space="0" w:color="auto"/>
        <w:left w:val="none" w:sz="0" w:space="0" w:color="auto"/>
        <w:bottom w:val="none" w:sz="0" w:space="0" w:color="auto"/>
        <w:right w:val="none" w:sz="0" w:space="0" w:color="auto"/>
      </w:divBdr>
    </w:div>
    <w:div w:id="1247615394">
      <w:bodyDiv w:val="1"/>
      <w:marLeft w:val="0"/>
      <w:marRight w:val="0"/>
      <w:marTop w:val="0"/>
      <w:marBottom w:val="0"/>
      <w:divBdr>
        <w:top w:val="none" w:sz="0" w:space="0" w:color="auto"/>
        <w:left w:val="none" w:sz="0" w:space="0" w:color="auto"/>
        <w:bottom w:val="none" w:sz="0" w:space="0" w:color="auto"/>
        <w:right w:val="none" w:sz="0" w:space="0" w:color="auto"/>
      </w:divBdr>
    </w:div>
    <w:div w:id="1255632515">
      <w:bodyDiv w:val="1"/>
      <w:marLeft w:val="0"/>
      <w:marRight w:val="0"/>
      <w:marTop w:val="0"/>
      <w:marBottom w:val="0"/>
      <w:divBdr>
        <w:top w:val="none" w:sz="0" w:space="0" w:color="auto"/>
        <w:left w:val="none" w:sz="0" w:space="0" w:color="auto"/>
        <w:bottom w:val="none" w:sz="0" w:space="0" w:color="auto"/>
        <w:right w:val="none" w:sz="0" w:space="0" w:color="auto"/>
      </w:divBdr>
      <w:divsChild>
        <w:div w:id="1568374504">
          <w:marLeft w:val="547"/>
          <w:marRight w:val="0"/>
          <w:marTop w:val="0"/>
          <w:marBottom w:val="0"/>
          <w:divBdr>
            <w:top w:val="none" w:sz="0" w:space="0" w:color="auto"/>
            <w:left w:val="none" w:sz="0" w:space="0" w:color="auto"/>
            <w:bottom w:val="none" w:sz="0" w:space="0" w:color="auto"/>
            <w:right w:val="none" w:sz="0" w:space="0" w:color="auto"/>
          </w:divBdr>
        </w:div>
      </w:divsChild>
    </w:div>
    <w:div w:id="1260983704">
      <w:bodyDiv w:val="1"/>
      <w:marLeft w:val="0"/>
      <w:marRight w:val="0"/>
      <w:marTop w:val="0"/>
      <w:marBottom w:val="0"/>
      <w:divBdr>
        <w:top w:val="none" w:sz="0" w:space="0" w:color="auto"/>
        <w:left w:val="none" w:sz="0" w:space="0" w:color="auto"/>
        <w:bottom w:val="none" w:sz="0" w:space="0" w:color="auto"/>
        <w:right w:val="none" w:sz="0" w:space="0" w:color="auto"/>
      </w:divBdr>
    </w:div>
    <w:div w:id="1268001800">
      <w:bodyDiv w:val="1"/>
      <w:marLeft w:val="0"/>
      <w:marRight w:val="0"/>
      <w:marTop w:val="0"/>
      <w:marBottom w:val="0"/>
      <w:divBdr>
        <w:top w:val="none" w:sz="0" w:space="0" w:color="auto"/>
        <w:left w:val="none" w:sz="0" w:space="0" w:color="auto"/>
        <w:bottom w:val="none" w:sz="0" w:space="0" w:color="auto"/>
        <w:right w:val="none" w:sz="0" w:space="0" w:color="auto"/>
      </w:divBdr>
    </w:div>
    <w:div w:id="1271163396">
      <w:bodyDiv w:val="1"/>
      <w:marLeft w:val="0"/>
      <w:marRight w:val="0"/>
      <w:marTop w:val="0"/>
      <w:marBottom w:val="0"/>
      <w:divBdr>
        <w:top w:val="none" w:sz="0" w:space="0" w:color="auto"/>
        <w:left w:val="none" w:sz="0" w:space="0" w:color="auto"/>
        <w:bottom w:val="none" w:sz="0" w:space="0" w:color="auto"/>
        <w:right w:val="none" w:sz="0" w:space="0" w:color="auto"/>
      </w:divBdr>
      <w:divsChild>
        <w:div w:id="801458443">
          <w:marLeft w:val="432"/>
          <w:marRight w:val="0"/>
          <w:marTop w:val="86"/>
          <w:marBottom w:val="0"/>
          <w:divBdr>
            <w:top w:val="none" w:sz="0" w:space="0" w:color="auto"/>
            <w:left w:val="none" w:sz="0" w:space="0" w:color="auto"/>
            <w:bottom w:val="none" w:sz="0" w:space="0" w:color="auto"/>
            <w:right w:val="none" w:sz="0" w:space="0" w:color="auto"/>
          </w:divBdr>
        </w:div>
      </w:divsChild>
    </w:div>
    <w:div w:id="1274216797">
      <w:bodyDiv w:val="1"/>
      <w:marLeft w:val="0"/>
      <w:marRight w:val="0"/>
      <w:marTop w:val="0"/>
      <w:marBottom w:val="0"/>
      <w:divBdr>
        <w:top w:val="none" w:sz="0" w:space="0" w:color="auto"/>
        <w:left w:val="none" w:sz="0" w:space="0" w:color="auto"/>
        <w:bottom w:val="none" w:sz="0" w:space="0" w:color="auto"/>
        <w:right w:val="none" w:sz="0" w:space="0" w:color="auto"/>
      </w:divBdr>
      <w:divsChild>
        <w:div w:id="1076322439">
          <w:marLeft w:val="0"/>
          <w:marRight w:val="0"/>
          <w:marTop w:val="0"/>
          <w:marBottom w:val="0"/>
          <w:divBdr>
            <w:top w:val="none" w:sz="0" w:space="0" w:color="auto"/>
            <w:left w:val="none" w:sz="0" w:space="0" w:color="auto"/>
            <w:bottom w:val="none" w:sz="0" w:space="0" w:color="auto"/>
            <w:right w:val="none" w:sz="0" w:space="0" w:color="auto"/>
          </w:divBdr>
          <w:divsChild>
            <w:div w:id="153684721">
              <w:marLeft w:val="0"/>
              <w:marRight w:val="0"/>
              <w:marTop w:val="0"/>
              <w:marBottom w:val="0"/>
              <w:divBdr>
                <w:top w:val="none" w:sz="0" w:space="0" w:color="auto"/>
                <w:left w:val="none" w:sz="0" w:space="0" w:color="auto"/>
                <w:bottom w:val="none" w:sz="0" w:space="0" w:color="auto"/>
                <w:right w:val="none" w:sz="0" w:space="0" w:color="auto"/>
              </w:divBdr>
              <w:divsChild>
                <w:div w:id="93325182">
                  <w:marLeft w:val="-225"/>
                  <w:marRight w:val="-225"/>
                  <w:marTop w:val="0"/>
                  <w:marBottom w:val="0"/>
                  <w:divBdr>
                    <w:top w:val="none" w:sz="0" w:space="0" w:color="auto"/>
                    <w:left w:val="none" w:sz="0" w:space="0" w:color="auto"/>
                    <w:bottom w:val="none" w:sz="0" w:space="0" w:color="auto"/>
                    <w:right w:val="none" w:sz="0" w:space="0" w:color="auto"/>
                  </w:divBdr>
                  <w:divsChild>
                    <w:div w:id="1148518660">
                      <w:marLeft w:val="0"/>
                      <w:marRight w:val="0"/>
                      <w:marTop w:val="0"/>
                      <w:marBottom w:val="0"/>
                      <w:divBdr>
                        <w:top w:val="none" w:sz="0" w:space="0" w:color="auto"/>
                        <w:left w:val="none" w:sz="0" w:space="0" w:color="auto"/>
                        <w:bottom w:val="none" w:sz="0" w:space="0" w:color="auto"/>
                        <w:right w:val="none" w:sz="0" w:space="0" w:color="auto"/>
                      </w:divBdr>
                      <w:divsChild>
                        <w:div w:id="950362844">
                          <w:marLeft w:val="0"/>
                          <w:marRight w:val="0"/>
                          <w:marTop w:val="0"/>
                          <w:marBottom w:val="0"/>
                          <w:divBdr>
                            <w:top w:val="none" w:sz="0" w:space="0" w:color="auto"/>
                            <w:left w:val="none" w:sz="0" w:space="0" w:color="auto"/>
                            <w:bottom w:val="none" w:sz="0" w:space="0" w:color="auto"/>
                            <w:right w:val="none" w:sz="0" w:space="0" w:color="auto"/>
                          </w:divBdr>
                          <w:divsChild>
                            <w:div w:id="696468333">
                              <w:marLeft w:val="0"/>
                              <w:marRight w:val="0"/>
                              <w:marTop w:val="0"/>
                              <w:marBottom w:val="0"/>
                              <w:divBdr>
                                <w:top w:val="none" w:sz="0" w:space="0" w:color="auto"/>
                                <w:left w:val="none" w:sz="0" w:space="0" w:color="auto"/>
                                <w:bottom w:val="none" w:sz="0" w:space="0" w:color="auto"/>
                                <w:right w:val="none" w:sz="0" w:space="0" w:color="auto"/>
                              </w:divBdr>
                              <w:divsChild>
                                <w:div w:id="1996910000">
                                  <w:marLeft w:val="0"/>
                                  <w:marRight w:val="0"/>
                                  <w:marTop w:val="0"/>
                                  <w:marBottom w:val="0"/>
                                  <w:divBdr>
                                    <w:top w:val="none" w:sz="0" w:space="0" w:color="auto"/>
                                    <w:left w:val="none" w:sz="0" w:space="0" w:color="auto"/>
                                    <w:bottom w:val="none" w:sz="0" w:space="0" w:color="auto"/>
                                    <w:right w:val="none" w:sz="0" w:space="0" w:color="auto"/>
                                  </w:divBdr>
                                  <w:divsChild>
                                    <w:div w:id="1874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213158">
      <w:bodyDiv w:val="1"/>
      <w:marLeft w:val="0"/>
      <w:marRight w:val="0"/>
      <w:marTop w:val="0"/>
      <w:marBottom w:val="0"/>
      <w:divBdr>
        <w:top w:val="none" w:sz="0" w:space="0" w:color="auto"/>
        <w:left w:val="none" w:sz="0" w:space="0" w:color="auto"/>
        <w:bottom w:val="none" w:sz="0" w:space="0" w:color="auto"/>
        <w:right w:val="none" w:sz="0" w:space="0" w:color="auto"/>
      </w:divBdr>
    </w:div>
    <w:div w:id="1286959861">
      <w:bodyDiv w:val="1"/>
      <w:marLeft w:val="0"/>
      <w:marRight w:val="0"/>
      <w:marTop w:val="0"/>
      <w:marBottom w:val="0"/>
      <w:divBdr>
        <w:top w:val="none" w:sz="0" w:space="0" w:color="auto"/>
        <w:left w:val="none" w:sz="0" w:space="0" w:color="auto"/>
        <w:bottom w:val="none" w:sz="0" w:space="0" w:color="auto"/>
        <w:right w:val="none" w:sz="0" w:space="0" w:color="auto"/>
      </w:divBdr>
    </w:div>
    <w:div w:id="1309361558">
      <w:bodyDiv w:val="1"/>
      <w:marLeft w:val="0"/>
      <w:marRight w:val="0"/>
      <w:marTop w:val="0"/>
      <w:marBottom w:val="0"/>
      <w:divBdr>
        <w:top w:val="none" w:sz="0" w:space="0" w:color="auto"/>
        <w:left w:val="none" w:sz="0" w:space="0" w:color="auto"/>
        <w:bottom w:val="none" w:sz="0" w:space="0" w:color="auto"/>
        <w:right w:val="none" w:sz="0" w:space="0" w:color="auto"/>
      </w:divBdr>
    </w:div>
    <w:div w:id="1313023223">
      <w:bodyDiv w:val="1"/>
      <w:marLeft w:val="0"/>
      <w:marRight w:val="0"/>
      <w:marTop w:val="0"/>
      <w:marBottom w:val="0"/>
      <w:divBdr>
        <w:top w:val="none" w:sz="0" w:space="0" w:color="auto"/>
        <w:left w:val="none" w:sz="0" w:space="0" w:color="auto"/>
        <w:bottom w:val="none" w:sz="0" w:space="0" w:color="auto"/>
        <w:right w:val="none" w:sz="0" w:space="0" w:color="auto"/>
      </w:divBdr>
    </w:div>
    <w:div w:id="1327856727">
      <w:bodyDiv w:val="1"/>
      <w:marLeft w:val="0"/>
      <w:marRight w:val="0"/>
      <w:marTop w:val="0"/>
      <w:marBottom w:val="0"/>
      <w:divBdr>
        <w:top w:val="none" w:sz="0" w:space="0" w:color="auto"/>
        <w:left w:val="none" w:sz="0" w:space="0" w:color="auto"/>
        <w:bottom w:val="none" w:sz="0" w:space="0" w:color="auto"/>
        <w:right w:val="none" w:sz="0" w:space="0" w:color="auto"/>
      </w:divBdr>
    </w:div>
    <w:div w:id="1336885842">
      <w:bodyDiv w:val="1"/>
      <w:marLeft w:val="0"/>
      <w:marRight w:val="0"/>
      <w:marTop w:val="0"/>
      <w:marBottom w:val="0"/>
      <w:divBdr>
        <w:top w:val="none" w:sz="0" w:space="0" w:color="auto"/>
        <w:left w:val="none" w:sz="0" w:space="0" w:color="auto"/>
        <w:bottom w:val="none" w:sz="0" w:space="0" w:color="auto"/>
        <w:right w:val="none" w:sz="0" w:space="0" w:color="auto"/>
      </w:divBdr>
    </w:div>
    <w:div w:id="1344479671">
      <w:bodyDiv w:val="1"/>
      <w:marLeft w:val="0"/>
      <w:marRight w:val="0"/>
      <w:marTop w:val="0"/>
      <w:marBottom w:val="0"/>
      <w:divBdr>
        <w:top w:val="none" w:sz="0" w:space="0" w:color="auto"/>
        <w:left w:val="none" w:sz="0" w:space="0" w:color="auto"/>
        <w:bottom w:val="none" w:sz="0" w:space="0" w:color="auto"/>
        <w:right w:val="none" w:sz="0" w:space="0" w:color="auto"/>
      </w:divBdr>
    </w:div>
    <w:div w:id="1345783186">
      <w:bodyDiv w:val="1"/>
      <w:marLeft w:val="0"/>
      <w:marRight w:val="0"/>
      <w:marTop w:val="0"/>
      <w:marBottom w:val="0"/>
      <w:divBdr>
        <w:top w:val="none" w:sz="0" w:space="0" w:color="auto"/>
        <w:left w:val="none" w:sz="0" w:space="0" w:color="auto"/>
        <w:bottom w:val="none" w:sz="0" w:space="0" w:color="auto"/>
        <w:right w:val="none" w:sz="0" w:space="0" w:color="auto"/>
      </w:divBdr>
    </w:div>
    <w:div w:id="1350912125">
      <w:bodyDiv w:val="1"/>
      <w:marLeft w:val="0"/>
      <w:marRight w:val="0"/>
      <w:marTop w:val="0"/>
      <w:marBottom w:val="0"/>
      <w:divBdr>
        <w:top w:val="none" w:sz="0" w:space="0" w:color="auto"/>
        <w:left w:val="none" w:sz="0" w:space="0" w:color="auto"/>
        <w:bottom w:val="none" w:sz="0" w:space="0" w:color="auto"/>
        <w:right w:val="none" w:sz="0" w:space="0" w:color="auto"/>
      </w:divBdr>
    </w:div>
    <w:div w:id="1354573167">
      <w:bodyDiv w:val="1"/>
      <w:marLeft w:val="0"/>
      <w:marRight w:val="0"/>
      <w:marTop w:val="0"/>
      <w:marBottom w:val="0"/>
      <w:divBdr>
        <w:top w:val="none" w:sz="0" w:space="0" w:color="auto"/>
        <w:left w:val="none" w:sz="0" w:space="0" w:color="auto"/>
        <w:bottom w:val="none" w:sz="0" w:space="0" w:color="auto"/>
        <w:right w:val="none" w:sz="0" w:space="0" w:color="auto"/>
      </w:divBdr>
    </w:div>
    <w:div w:id="1364937097">
      <w:bodyDiv w:val="1"/>
      <w:marLeft w:val="0"/>
      <w:marRight w:val="0"/>
      <w:marTop w:val="0"/>
      <w:marBottom w:val="0"/>
      <w:divBdr>
        <w:top w:val="none" w:sz="0" w:space="0" w:color="auto"/>
        <w:left w:val="none" w:sz="0" w:space="0" w:color="auto"/>
        <w:bottom w:val="none" w:sz="0" w:space="0" w:color="auto"/>
        <w:right w:val="none" w:sz="0" w:space="0" w:color="auto"/>
      </w:divBdr>
    </w:div>
    <w:div w:id="1367755279">
      <w:bodyDiv w:val="1"/>
      <w:marLeft w:val="0"/>
      <w:marRight w:val="0"/>
      <w:marTop w:val="0"/>
      <w:marBottom w:val="0"/>
      <w:divBdr>
        <w:top w:val="none" w:sz="0" w:space="0" w:color="auto"/>
        <w:left w:val="none" w:sz="0" w:space="0" w:color="auto"/>
        <w:bottom w:val="none" w:sz="0" w:space="0" w:color="auto"/>
        <w:right w:val="none" w:sz="0" w:space="0" w:color="auto"/>
      </w:divBdr>
      <w:divsChild>
        <w:div w:id="757363632">
          <w:marLeft w:val="0"/>
          <w:marRight w:val="0"/>
          <w:marTop w:val="0"/>
          <w:marBottom w:val="0"/>
          <w:divBdr>
            <w:top w:val="none" w:sz="0" w:space="0" w:color="auto"/>
            <w:left w:val="none" w:sz="0" w:space="0" w:color="auto"/>
            <w:bottom w:val="none" w:sz="0" w:space="0" w:color="auto"/>
            <w:right w:val="none" w:sz="0" w:space="0" w:color="auto"/>
          </w:divBdr>
        </w:div>
        <w:div w:id="1427530680">
          <w:marLeft w:val="0"/>
          <w:marRight w:val="0"/>
          <w:marTop w:val="0"/>
          <w:marBottom w:val="48"/>
          <w:divBdr>
            <w:top w:val="none" w:sz="0" w:space="0" w:color="auto"/>
            <w:left w:val="none" w:sz="0" w:space="0" w:color="auto"/>
            <w:bottom w:val="none" w:sz="0" w:space="0" w:color="auto"/>
            <w:right w:val="none" w:sz="0" w:space="0" w:color="auto"/>
          </w:divBdr>
        </w:div>
        <w:div w:id="1613588456">
          <w:marLeft w:val="0"/>
          <w:marRight w:val="0"/>
          <w:marTop w:val="0"/>
          <w:marBottom w:val="0"/>
          <w:divBdr>
            <w:top w:val="none" w:sz="0" w:space="0" w:color="auto"/>
            <w:left w:val="none" w:sz="0" w:space="0" w:color="auto"/>
            <w:bottom w:val="none" w:sz="0" w:space="0" w:color="auto"/>
            <w:right w:val="none" w:sz="0" w:space="0" w:color="auto"/>
          </w:divBdr>
        </w:div>
      </w:divsChild>
    </w:div>
    <w:div w:id="1377848863">
      <w:bodyDiv w:val="1"/>
      <w:marLeft w:val="0"/>
      <w:marRight w:val="0"/>
      <w:marTop w:val="0"/>
      <w:marBottom w:val="0"/>
      <w:divBdr>
        <w:top w:val="none" w:sz="0" w:space="0" w:color="auto"/>
        <w:left w:val="none" w:sz="0" w:space="0" w:color="auto"/>
        <w:bottom w:val="none" w:sz="0" w:space="0" w:color="auto"/>
        <w:right w:val="none" w:sz="0" w:space="0" w:color="auto"/>
      </w:divBdr>
    </w:div>
    <w:div w:id="1392312626">
      <w:bodyDiv w:val="1"/>
      <w:marLeft w:val="0"/>
      <w:marRight w:val="0"/>
      <w:marTop w:val="0"/>
      <w:marBottom w:val="0"/>
      <w:divBdr>
        <w:top w:val="none" w:sz="0" w:space="0" w:color="auto"/>
        <w:left w:val="none" w:sz="0" w:space="0" w:color="auto"/>
        <w:bottom w:val="none" w:sz="0" w:space="0" w:color="auto"/>
        <w:right w:val="none" w:sz="0" w:space="0" w:color="auto"/>
      </w:divBdr>
    </w:div>
    <w:div w:id="1401978481">
      <w:bodyDiv w:val="1"/>
      <w:marLeft w:val="0"/>
      <w:marRight w:val="0"/>
      <w:marTop w:val="0"/>
      <w:marBottom w:val="0"/>
      <w:divBdr>
        <w:top w:val="none" w:sz="0" w:space="0" w:color="auto"/>
        <w:left w:val="none" w:sz="0" w:space="0" w:color="auto"/>
        <w:bottom w:val="none" w:sz="0" w:space="0" w:color="auto"/>
        <w:right w:val="none" w:sz="0" w:space="0" w:color="auto"/>
      </w:divBdr>
      <w:divsChild>
        <w:div w:id="798184372">
          <w:marLeft w:val="0"/>
          <w:marRight w:val="0"/>
          <w:marTop w:val="0"/>
          <w:marBottom w:val="0"/>
          <w:divBdr>
            <w:top w:val="none" w:sz="0" w:space="0" w:color="auto"/>
            <w:left w:val="none" w:sz="0" w:space="0" w:color="auto"/>
            <w:bottom w:val="none" w:sz="0" w:space="0" w:color="auto"/>
            <w:right w:val="none" w:sz="0" w:space="0" w:color="auto"/>
          </w:divBdr>
          <w:divsChild>
            <w:div w:id="18241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5932">
      <w:bodyDiv w:val="1"/>
      <w:marLeft w:val="0"/>
      <w:marRight w:val="0"/>
      <w:marTop w:val="0"/>
      <w:marBottom w:val="0"/>
      <w:divBdr>
        <w:top w:val="none" w:sz="0" w:space="0" w:color="auto"/>
        <w:left w:val="none" w:sz="0" w:space="0" w:color="auto"/>
        <w:bottom w:val="none" w:sz="0" w:space="0" w:color="auto"/>
        <w:right w:val="none" w:sz="0" w:space="0" w:color="auto"/>
      </w:divBdr>
      <w:divsChild>
        <w:div w:id="571893746">
          <w:marLeft w:val="0"/>
          <w:marRight w:val="0"/>
          <w:marTop w:val="0"/>
          <w:marBottom w:val="0"/>
          <w:divBdr>
            <w:top w:val="none" w:sz="0" w:space="0" w:color="auto"/>
            <w:left w:val="none" w:sz="0" w:space="0" w:color="auto"/>
            <w:bottom w:val="none" w:sz="0" w:space="0" w:color="auto"/>
            <w:right w:val="none" w:sz="0" w:space="0" w:color="auto"/>
          </w:divBdr>
        </w:div>
        <w:div w:id="1291210098">
          <w:marLeft w:val="0"/>
          <w:marRight w:val="0"/>
          <w:marTop w:val="0"/>
          <w:marBottom w:val="0"/>
          <w:divBdr>
            <w:top w:val="none" w:sz="0" w:space="0" w:color="auto"/>
            <w:left w:val="none" w:sz="0" w:space="0" w:color="auto"/>
            <w:bottom w:val="none" w:sz="0" w:space="0" w:color="auto"/>
            <w:right w:val="none" w:sz="0" w:space="0" w:color="auto"/>
          </w:divBdr>
        </w:div>
        <w:div w:id="1813522637">
          <w:marLeft w:val="0"/>
          <w:marRight w:val="0"/>
          <w:marTop w:val="0"/>
          <w:marBottom w:val="0"/>
          <w:divBdr>
            <w:top w:val="none" w:sz="0" w:space="0" w:color="auto"/>
            <w:left w:val="none" w:sz="0" w:space="0" w:color="auto"/>
            <w:bottom w:val="none" w:sz="0" w:space="0" w:color="auto"/>
            <w:right w:val="none" w:sz="0" w:space="0" w:color="auto"/>
          </w:divBdr>
        </w:div>
      </w:divsChild>
    </w:div>
    <w:div w:id="1422293934">
      <w:bodyDiv w:val="1"/>
      <w:marLeft w:val="0"/>
      <w:marRight w:val="0"/>
      <w:marTop w:val="0"/>
      <w:marBottom w:val="0"/>
      <w:divBdr>
        <w:top w:val="none" w:sz="0" w:space="0" w:color="auto"/>
        <w:left w:val="none" w:sz="0" w:space="0" w:color="auto"/>
        <w:bottom w:val="none" w:sz="0" w:space="0" w:color="auto"/>
        <w:right w:val="none" w:sz="0" w:space="0" w:color="auto"/>
      </w:divBdr>
    </w:div>
    <w:div w:id="1455758462">
      <w:bodyDiv w:val="1"/>
      <w:marLeft w:val="0"/>
      <w:marRight w:val="0"/>
      <w:marTop w:val="0"/>
      <w:marBottom w:val="0"/>
      <w:divBdr>
        <w:top w:val="none" w:sz="0" w:space="0" w:color="auto"/>
        <w:left w:val="none" w:sz="0" w:space="0" w:color="auto"/>
        <w:bottom w:val="none" w:sz="0" w:space="0" w:color="auto"/>
        <w:right w:val="none" w:sz="0" w:space="0" w:color="auto"/>
      </w:divBdr>
    </w:div>
    <w:div w:id="1461150491">
      <w:bodyDiv w:val="1"/>
      <w:marLeft w:val="0"/>
      <w:marRight w:val="0"/>
      <w:marTop w:val="0"/>
      <w:marBottom w:val="0"/>
      <w:divBdr>
        <w:top w:val="none" w:sz="0" w:space="0" w:color="auto"/>
        <w:left w:val="none" w:sz="0" w:space="0" w:color="auto"/>
        <w:bottom w:val="none" w:sz="0" w:space="0" w:color="auto"/>
        <w:right w:val="none" w:sz="0" w:space="0" w:color="auto"/>
      </w:divBdr>
    </w:div>
    <w:div w:id="1467429404">
      <w:bodyDiv w:val="1"/>
      <w:marLeft w:val="0"/>
      <w:marRight w:val="0"/>
      <w:marTop w:val="0"/>
      <w:marBottom w:val="0"/>
      <w:divBdr>
        <w:top w:val="none" w:sz="0" w:space="0" w:color="auto"/>
        <w:left w:val="none" w:sz="0" w:space="0" w:color="auto"/>
        <w:bottom w:val="none" w:sz="0" w:space="0" w:color="auto"/>
        <w:right w:val="none" w:sz="0" w:space="0" w:color="auto"/>
      </w:divBdr>
      <w:divsChild>
        <w:div w:id="23558542">
          <w:marLeft w:val="547"/>
          <w:marRight w:val="0"/>
          <w:marTop w:val="0"/>
          <w:marBottom w:val="0"/>
          <w:divBdr>
            <w:top w:val="none" w:sz="0" w:space="0" w:color="auto"/>
            <w:left w:val="none" w:sz="0" w:space="0" w:color="auto"/>
            <w:bottom w:val="none" w:sz="0" w:space="0" w:color="auto"/>
            <w:right w:val="none" w:sz="0" w:space="0" w:color="auto"/>
          </w:divBdr>
        </w:div>
      </w:divsChild>
    </w:div>
    <w:div w:id="1468161552">
      <w:bodyDiv w:val="1"/>
      <w:marLeft w:val="0"/>
      <w:marRight w:val="0"/>
      <w:marTop w:val="0"/>
      <w:marBottom w:val="0"/>
      <w:divBdr>
        <w:top w:val="none" w:sz="0" w:space="0" w:color="auto"/>
        <w:left w:val="none" w:sz="0" w:space="0" w:color="auto"/>
        <w:bottom w:val="none" w:sz="0" w:space="0" w:color="auto"/>
        <w:right w:val="none" w:sz="0" w:space="0" w:color="auto"/>
      </w:divBdr>
    </w:div>
    <w:div w:id="1484393306">
      <w:bodyDiv w:val="1"/>
      <w:marLeft w:val="0"/>
      <w:marRight w:val="0"/>
      <w:marTop w:val="0"/>
      <w:marBottom w:val="0"/>
      <w:divBdr>
        <w:top w:val="none" w:sz="0" w:space="0" w:color="auto"/>
        <w:left w:val="none" w:sz="0" w:space="0" w:color="auto"/>
        <w:bottom w:val="none" w:sz="0" w:space="0" w:color="auto"/>
        <w:right w:val="none" w:sz="0" w:space="0" w:color="auto"/>
      </w:divBdr>
    </w:div>
    <w:div w:id="1486125733">
      <w:bodyDiv w:val="1"/>
      <w:marLeft w:val="0"/>
      <w:marRight w:val="0"/>
      <w:marTop w:val="0"/>
      <w:marBottom w:val="0"/>
      <w:divBdr>
        <w:top w:val="none" w:sz="0" w:space="0" w:color="auto"/>
        <w:left w:val="none" w:sz="0" w:space="0" w:color="auto"/>
        <w:bottom w:val="none" w:sz="0" w:space="0" w:color="auto"/>
        <w:right w:val="none" w:sz="0" w:space="0" w:color="auto"/>
      </w:divBdr>
    </w:div>
    <w:div w:id="1489830157">
      <w:bodyDiv w:val="1"/>
      <w:marLeft w:val="0"/>
      <w:marRight w:val="0"/>
      <w:marTop w:val="0"/>
      <w:marBottom w:val="0"/>
      <w:divBdr>
        <w:top w:val="none" w:sz="0" w:space="0" w:color="auto"/>
        <w:left w:val="none" w:sz="0" w:space="0" w:color="auto"/>
        <w:bottom w:val="none" w:sz="0" w:space="0" w:color="auto"/>
        <w:right w:val="none" w:sz="0" w:space="0" w:color="auto"/>
      </w:divBdr>
    </w:div>
    <w:div w:id="1490242836">
      <w:bodyDiv w:val="1"/>
      <w:marLeft w:val="0"/>
      <w:marRight w:val="0"/>
      <w:marTop w:val="0"/>
      <w:marBottom w:val="0"/>
      <w:divBdr>
        <w:top w:val="none" w:sz="0" w:space="0" w:color="auto"/>
        <w:left w:val="none" w:sz="0" w:space="0" w:color="auto"/>
        <w:bottom w:val="none" w:sz="0" w:space="0" w:color="auto"/>
        <w:right w:val="none" w:sz="0" w:space="0" w:color="auto"/>
      </w:divBdr>
      <w:divsChild>
        <w:div w:id="101463564">
          <w:marLeft w:val="360"/>
          <w:marRight w:val="0"/>
          <w:marTop w:val="200"/>
          <w:marBottom w:val="0"/>
          <w:divBdr>
            <w:top w:val="none" w:sz="0" w:space="0" w:color="auto"/>
            <w:left w:val="none" w:sz="0" w:space="0" w:color="auto"/>
            <w:bottom w:val="none" w:sz="0" w:space="0" w:color="auto"/>
            <w:right w:val="none" w:sz="0" w:space="0" w:color="auto"/>
          </w:divBdr>
        </w:div>
        <w:div w:id="255331559">
          <w:marLeft w:val="360"/>
          <w:marRight w:val="0"/>
          <w:marTop w:val="200"/>
          <w:marBottom w:val="0"/>
          <w:divBdr>
            <w:top w:val="none" w:sz="0" w:space="0" w:color="auto"/>
            <w:left w:val="none" w:sz="0" w:space="0" w:color="auto"/>
            <w:bottom w:val="none" w:sz="0" w:space="0" w:color="auto"/>
            <w:right w:val="none" w:sz="0" w:space="0" w:color="auto"/>
          </w:divBdr>
        </w:div>
        <w:div w:id="537622466">
          <w:marLeft w:val="806"/>
          <w:marRight w:val="0"/>
          <w:marTop w:val="200"/>
          <w:marBottom w:val="0"/>
          <w:divBdr>
            <w:top w:val="none" w:sz="0" w:space="0" w:color="auto"/>
            <w:left w:val="none" w:sz="0" w:space="0" w:color="auto"/>
            <w:bottom w:val="none" w:sz="0" w:space="0" w:color="auto"/>
            <w:right w:val="none" w:sz="0" w:space="0" w:color="auto"/>
          </w:divBdr>
        </w:div>
        <w:div w:id="611209400">
          <w:marLeft w:val="360"/>
          <w:marRight w:val="0"/>
          <w:marTop w:val="200"/>
          <w:marBottom w:val="0"/>
          <w:divBdr>
            <w:top w:val="none" w:sz="0" w:space="0" w:color="auto"/>
            <w:left w:val="none" w:sz="0" w:space="0" w:color="auto"/>
            <w:bottom w:val="none" w:sz="0" w:space="0" w:color="auto"/>
            <w:right w:val="none" w:sz="0" w:space="0" w:color="auto"/>
          </w:divBdr>
        </w:div>
        <w:div w:id="635110547">
          <w:marLeft w:val="806"/>
          <w:marRight w:val="0"/>
          <w:marTop w:val="200"/>
          <w:marBottom w:val="0"/>
          <w:divBdr>
            <w:top w:val="none" w:sz="0" w:space="0" w:color="auto"/>
            <w:left w:val="none" w:sz="0" w:space="0" w:color="auto"/>
            <w:bottom w:val="none" w:sz="0" w:space="0" w:color="auto"/>
            <w:right w:val="none" w:sz="0" w:space="0" w:color="auto"/>
          </w:divBdr>
        </w:div>
        <w:div w:id="803734805">
          <w:marLeft w:val="360"/>
          <w:marRight w:val="0"/>
          <w:marTop w:val="200"/>
          <w:marBottom w:val="0"/>
          <w:divBdr>
            <w:top w:val="none" w:sz="0" w:space="0" w:color="auto"/>
            <w:left w:val="none" w:sz="0" w:space="0" w:color="auto"/>
            <w:bottom w:val="none" w:sz="0" w:space="0" w:color="auto"/>
            <w:right w:val="none" w:sz="0" w:space="0" w:color="auto"/>
          </w:divBdr>
        </w:div>
        <w:div w:id="871576032">
          <w:marLeft w:val="360"/>
          <w:marRight w:val="0"/>
          <w:marTop w:val="200"/>
          <w:marBottom w:val="0"/>
          <w:divBdr>
            <w:top w:val="none" w:sz="0" w:space="0" w:color="auto"/>
            <w:left w:val="none" w:sz="0" w:space="0" w:color="auto"/>
            <w:bottom w:val="none" w:sz="0" w:space="0" w:color="auto"/>
            <w:right w:val="none" w:sz="0" w:space="0" w:color="auto"/>
          </w:divBdr>
        </w:div>
        <w:div w:id="929048534">
          <w:marLeft w:val="360"/>
          <w:marRight w:val="0"/>
          <w:marTop w:val="200"/>
          <w:marBottom w:val="0"/>
          <w:divBdr>
            <w:top w:val="none" w:sz="0" w:space="0" w:color="auto"/>
            <w:left w:val="none" w:sz="0" w:space="0" w:color="auto"/>
            <w:bottom w:val="none" w:sz="0" w:space="0" w:color="auto"/>
            <w:right w:val="none" w:sz="0" w:space="0" w:color="auto"/>
          </w:divBdr>
        </w:div>
      </w:divsChild>
    </w:div>
    <w:div w:id="1495532747">
      <w:bodyDiv w:val="1"/>
      <w:marLeft w:val="0"/>
      <w:marRight w:val="0"/>
      <w:marTop w:val="0"/>
      <w:marBottom w:val="0"/>
      <w:divBdr>
        <w:top w:val="none" w:sz="0" w:space="0" w:color="auto"/>
        <w:left w:val="none" w:sz="0" w:space="0" w:color="auto"/>
        <w:bottom w:val="none" w:sz="0" w:space="0" w:color="auto"/>
        <w:right w:val="none" w:sz="0" w:space="0" w:color="auto"/>
      </w:divBdr>
    </w:div>
    <w:div w:id="1497843923">
      <w:bodyDiv w:val="1"/>
      <w:marLeft w:val="0"/>
      <w:marRight w:val="0"/>
      <w:marTop w:val="0"/>
      <w:marBottom w:val="0"/>
      <w:divBdr>
        <w:top w:val="none" w:sz="0" w:space="0" w:color="auto"/>
        <w:left w:val="none" w:sz="0" w:space="0" w:color="auto"/>
        <w:bottom w:val="none" w:sz="0" w:space="0" w:color="auto"/>
        <w:right w:val="none" w:sz="0" w:space="0" w:color="auto"/>
      </w:divBdr>
    </w:div>
    <w:div w:id="1501314320">
      <w:bodyDiv w:val="1"/>
      <w:marLeft w:val="0"/>
      <w:marRight w:val="0"/>
      <w:marTop w:val="0"/>
      <w:marBottom w:val="0"/>
      <w:divBdr>
        <w:top w:val="none" w:sz="0" w:space="0" w:color="auto"/>
        <w:left w:val="none" w:sz="0" w:space="0" w:color="auto"/>
        <w:bottom w:val="none" w:sz="0" w:space="0" w:color="auto"/>
        <w:right w:val="none" w:sz="0" w:space="0" w:color="auto"/>
      </w:divBdr>
    </w:div>
    <w:div w:id="1512840452">
      <w:bodyDiv w:val="1"/>
      <w:marLeft w:val="0"/>
      <w:marRight w:val="0"/>
      <w:marTop w:val="0"/>
      <w:marBottom w:val="0"/>
      <w:divBdr>
        <w:top w:val="none" w:sz="0" w:space="0" w:color="auto"/>
        <w:left w:val="none" w:sz="0" w:space="0" w:color="auto"/>
        <w:bottom w:val="none" w:sz="0" w:space="0" w:color="auto"/>
        <w:right w:val="none" w:sz="0" w:space="0" w:color="auto"/>
      </w:divBdr>
    </w:div>
    <w:div w:id="1538159769">
      <w:bodyDiv w:val="1"/>
      <w:marLeft w:val="0"/>
      <w:marRight w:val="0"/>
      <w:marTop w:val="0"/>
      <w:marBottom w:val="0"/>
      <w:divBdr>
        <w:top w:val="none" w:sz="0" w:space="0" w:color="auto"/>
        <w:left w:val="none" w:sz="0" w:space="0" w:color="auto"/>
        <w:bottom w:val="none" w:sz="0" w:space="0" w:color="auto"/>
        <w:right w:val="none" w:sz="0" w:space="0" w:color="auto"/>
      </w:divBdr>
    </w:div>
    <w:div w:id="1538929127">
      <w:bodyDiv w:val="1"/>
      <w:marLeft w:val="0"/>
      <w:marRight w:val="0"/>
      <w:marTop w:val="0"/>
      <w:marBottom w:val="0"/>
      <w:divBdr>
        <w:top w:val="none" w:sz="0" w:space="0" w:color="auto"/>
        <w:left w:val="none" w:sz="0" w:space="0" w:color="auto"/>
        <w:bottom w:val="none" w:sz="0" w:space="0" w:color="auto"/>
        <w:right w:val="none" w:sz="0" w:space="0" w:color="auto"/>
      </w:divBdr>
    </w:div>
    <w:div w:id="1542208043">
      <w:bodyDiv w:val="1"/>
      <w:marLeft w:val="0"/>
      <w:marRight w:val="0"/>
      <w:marTop w:val="0"/>
      <w:marBottom w:val="0"/>
      <w:divBdr>
        <w:top w:val="none" w:sz="0" w:space="0" w:color="auto"/>
        <w:left w:val="none" w:sz="0" w:space="0" w:color="auto"/>
        <w:bottom w:val="none" w:sz="0" w:space="0" w:color="auto"/>
        <w:right w:val="none" w:sz="0" w:space="0" w:color="auto"/>
      </w:divBdr>
      <w:divsChild>
        <w:div w:id="1192304634">
          <w:marLeft w:val="0"/>
          <w:marRight w:val="0"/>
          <w:marTop w:val="0"/>
          <w:marBottom w:val="0"/>
          <w:divBdr>
            <w:top w:val="none" w:sz="0" w:space="0" w:color="auto"/>
            <w:left w:val="none" w:sz="0" w:space="0" w:color="auto"/>
            <w:bottom w:val="none" w:sz="0" w:space="0" w:color="auto"/>
            <w:right w:val="none" w:sz="0" w:space="0" w:color="auto"/>
          </w:divBdr>
          <w:divsChild>
            <w:div w:id="1460416107">
              <w:marLeft w:val="0"/>
              <w:marRight w:val="0"/>
              <w:marTop w:val="0"/>
              <w:marBottom w:val="0"/>
              <w:divBdr>
                <w:top w:val="none" w:sz="0" w:space="0" w:color="auto"/>
                <w:left w:val="none" w:sz="0" w:space="0" w:color="auto"/>
                <w:bottom w:val="none" w:sz="0" w:space="0" w:color="auto"/>
                <w:right w:val="none" w:sz="0" w:space="0" w:color="auto"/>
              </w:divBdr>
              <w:divsChild>
                <w:div w:id="1432778061">
                  <w:marLeft w:val="0"/>
                  <w:marRight w:val="0"/>
                  <w:marTop w:val="0"/>
                  <w:marBottom w:val="0"/>
                  <w:divBdr>
                    <w:top w:val="none" w:sz="0" w:space="0" w:color="auto"/>
                    <w:left w:val="none" w:sz="0" w:space="0" w:color="auto"/>
                    <w:bottom w:val="none" w:sz="0" w:space="0" w:color="auto"/>
                    <w:right w:val="none" w:sz="0" w:space="0" w:color="auto"/>
                  </w:divBdr>
                  <w:divsChild>
                    <w:div w:id="1293436595">
                      <w:marLeft w:val="0"/>
                      <w:marRight w:val="0"/>
                      <w:marTop w:val="0"/>
                      <w:marBottom w:val="0"/>
                      <w:divBdr>
                        <w:top w:val="none" w:sz="0" w:space="0" w:color="auto"/>
                        <w:left w:val="none" w:sz="0" w:space="0" w:color="auto"/>
                        <w:bottom w:val="none" w:sz="0" w:space="0" w:color="auto"/>
                        <w:right w:val="none" w:sz="0" w:space="0" w:color="auto"/>
                      </w:divBdr>
                      <w:divsChild>
                        <w:div w:id="2398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984585">
      <w:bodyDiv w:val="1"/>
      <w:marLeft w:val="0"/>
      <w:marRight w:val="0"/>
      <w:marTop w:val="0"/>
      <w:marBottom w:val="0"/>
      <w:divBdr>
        <w:top w:val="none" w:sz="0" w:space="0" w:color="auto"/>
        <w:left w:val="none" w:sz="0" w:space="0" w:color="auto"/>
        <w:bottom w:val="none" w:sz="0" w:space="0" w:color="auto"/>
        <w:right w:val="none" w:sz="0" w:space="0" w:color="auto"/>
      </w:divBdr>
    </w:div>
    <w:div w:id="1543245633">
      <w:bodyDiv w:val="1"/>
      <w:marLeft w:val="0"/>
      <w:marRight w:val="0"/>
      <w:marTop w:val="0"/>
      <w:marBottom w:val="0"/>
      <w:divBdr>
        <w:top w:val="none" w:sz="0" w:space="0" w:color="auto"/>
        <w:left w:val="none" w:sz="0" w:space="0" w:color="auto"/>
        <w:bottom w:val="none" w:sz="0" w:space="0" w:color="auto"/>
        <w:right w:val="none" w:sz="0" w:space="0" w:color="auto"/>
      </w:divBdr>
    </w:div>
    <w:div w:id="1546599770">
      <w:bodyDiv w:val="1"/>
      <w:marLeft w:val="0"/>
      <w:marRight w:val="0"/>
      <w:marTop w:val="0"/>
      <w:marBottom w:val="0"/>
      <w:divBdr>
        <w:top w:val="none" w:sz="0" w:space="0" w:color="auto"/>
        <w:left w:val="none" w:sz="0" w:space="0" w:color="auto"/>
        <w:bottom w:val="none" w:sz="0" w:space="0" w:color="auto"/>
        <w:right w:val="none" w:sz="0" w:space="0" w:color="auto"/>
      </w:divBdr>
    </w:div>
    <w:div w:id="1555847665">
      <w:bodyDiv w:val="1"/>
      <w:marLeft w:val="0"/>
      <w:marRight w:val="0"/>
      <w:marTop w:val="0"/>
      <w:marBottom w:val="0"/>
      <w:divBdr>
        <w:top w:val="none" w:sz="0" w:space="0" w:color="auto"/>
        <w:left w:val="none" w:sz="0" w:space="0" w:color="auto"/>
        <w:bottom w:val="none" w:sz="0" w:space="0" w:color="auto"/>
        <w:right w:val="none" w:sz="0" w:space="0" w:color="auto"/>
      </w:divBdr>
    </w:div>
    <w:div w:id="1557352952">
      <w:bodyDiv w:val="1"/>
      <w:marLeft w:val="0"/>
      <w:marRight w:val="0"/>
      <w:marTop w:val="0"/>
      <w:marBottom w:val="0"/>
      <w:divBdr>
        <w:top w:val="none" w:sz="0" w:space="0" w:color="auto"/>
        <w:left w:val="none" w:sz="0" w:space="0" w:color="auto"/>
        <w:bottom w:val="none" w:sz="0" w:space="0" w:color="auto"/>
        <w:right w:val="none" w:sz="0" w:space="0" w:color="auto"/>
      </w:divBdr>
    </w:div>
    <w:div w:id="1582569014">
      <w:bodyDiv w:val="1"/>
      <w:marLeft w:val="0"/>
      <w:marRight w:val="0"/>
      <w:marTop w:val="0"/>
      <w:marBottom w:val="0"/>
      <w:divBdr>
        <w:top w:val="none" w:sz="0" w:space="0" w:color="auto"/>
        <w:left w:val="none" w:sz="0" w:space="0" w:color="auto"/>
        <w:bottom w:val="none" w:sz="0" w:space="0" w:color="auto"/>
        <w:right w:val="none" w:sz="0" w:space="0" w:color="auto"/>
      </w:divBdr>
    </w:div>
    <w:div w:id="1586452760">
      <w:bodyDiv w:val="1"/>
      <w:marLeft w:val="0"/>
      <w:marRight w:val="0"/>
      <w:marTop w:val="0"/>
      <w:marBottom w:val="0"/>
      <w:divBdr>
        <w:top w:val="none" w:sz="0" w:space="0" w:color="auto"/>
        <w:left w:val="none" w:sz="0" w:space="0" w:color="auto"/>
        <w:bottom w:val="none" w:sz="0" w:space="0" w:color="auto"/>
        <w:right w:val="none" w:sz="0" w:space="0" w:color="auto"/>
      </w:divBdr>
    </w:div>
    <w:div w:id="1587376974">
      <w:bodyDiv w:val="1"/>
      <w:marLeft w:val="0"/>
      <w:marRight w:val="0"/>
      <w:marTop w:val="0"/>
      <w:marBottom w:val="0"/>
      <w:divBdr>
        <w:top w:val="none" w:sz="0" w:space="0" w:color="auto"/>
        <w:left w:val="none" w:sz="0" w:space="0" w:color="auto"/>
        <w:bottom w:val="none" w:sz="0" w:space="0" w:color="auto"/>
        <w:right w:val="none" w:sz="0" w:space="0" w:color="auto"/>
      </w:divBdr>
    </w:div>
    <w:div w:id="1597247190">
      <w:bodyDiv w:val="1"/>
      <w:marLeft w:val="0"/>
      <w:marRight w:val="0"/>
      <w:marTop w:val="0"/>
      <w:marBottom w:val="0"/>
      <w:divBdr>
        <w:top w:val="none" w:sz="0" w:space="0" w:color="auto"/>
        <w:left w:val="none" w:sz="0" w:space="0" w:color="auto"/>
        <w:bottom w:val="none" w:sz="0" w:space="0" w:color="auto"/>
        <w:right w:val="none" w:sz="0" w:space="0" w:color="auto"/>
      </w:divBdr>
      <w:divsChild>
        <w:div w:id="1331835302">
          <w:marLeft w:val="0"/>
          <w:marRight w:val="0"/>
          <w:marTop w:val="0"/>
          <w:marBottom w:val="225"/>
          <w:divBdr>
            <w:top w:val="none" w:sz="0" w:space="0" w:color="auto"/>
            <w:left w:val="none" w:sz="0" w:space="0" w:color="auto"/>
            <w:bottom w:val="none" w:sz="0" w:space="0" w:color="auto"/>
            <w:right w:val="none" w:sz="0" w:space="0" w:color="auto"/>
          </w:divBdr>
          <w:divsChild>
            <w:div w:id="14566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570669">
      <w:bodyDiv w:val="1"/>
      <w:marLeft w:val="0"/>
      <w:marRight w:val="0"/>
      <w:marTop w:val="0"/>
      <w:marBottom w:val="0"/>
      <w:divBdr>
        <w:top w:val="none" w:sz="0" w:space="0" w:color="auto"/>
        <w:left w:val="none" w:sz="0" w:space="0" w:color="auto"/>
        <w:bottom w:val="none" w:sz="0" w:space="0" w:color="auto"/>
        <w:right w:val="none" w:sz="0" w:space="0" w:color="auto"/>
      </w:divBdr>
    </w:div>
    <w:div w:id="1609199057">
      <w:bodyDiv w:val="1"/>
      <w:marLeft w:val="0"/>
      <w:marRight w:val="0"/>
      <w:marTop w:val="0"/>
      <w:marBottom w:val="0"/>
      <w:divBdr>
        <w:top w:val="none" w:sz="0" w:space="0" w:color="auto"/>
        <w:left w:val="none" w:sz="0" w:space="0" w:color="auto"/>
        <w:bottom w:val="none" w:sz="0" w:space="0" w:color="auto"/>
        <w:right w:val="none" w:sz="0" w:space="0" w:color="auto"/>
      </w:divBdr>
    </w:div>
    <w:div w:id="1623001100">
      <w:bodyDiv w:val="1"/>
      <w:marLeft w:val="0"/>
      <w:marRight w:val="0"/>
      <w:marTop w:val="0"/>
      <w:marBottom w:val="0"/>
      <w:divBdr>
        <w:top w:val="none" w:sz="0" w:space="0" w:color="auto"/>
        <w:left w:val="none" w:sz="0" w:space="0" w:color="auto"/>
        <w:bottom w:val="none" w:sz="0" w:space="0" w:color="auto"/>
        <w:right w:val="none" w:sz="0" w:space="0" w:color="auto"/>
      </w:divBdr>
    </w:div>
    <w:div w:id="1626351969">
      <w:bodyDiv w:val="1"/>
      <w:marLeft w:val="0"/>
      <w:marRight w:val="0"/>
      <w:marTop w:val="0"/>
      <w:marBottom w:val="0"/>
      <w:divBdr>
        <w:top w:val="none" w:sz="0" w:space="0" w:color="auto"/>
        <w:left w:val="none" w:sz="0" w:space="0" w:color="auto"/>
        <w:bottom w:val="none" w:sz="0" w:space="0" w:color="auto"/>
        <w:right w:val="none" w:sz="0" w:space="0" w:color="auto"/>
      </w:divBdr>
    </w:div>
    <w:div w:id="1632401673">
      <w:bodyDiv w:val="1"/>
      <w:marLeft w:val="0"/>
      <w:marRight w:val="0"/>
      <w:marTop w:val="0"/>
      <w:marBottom w:val="0"/>
      <w:divBdr>
        <w:top w:val="none" w:sz="0" w:space="0" w:color="auto"/>
        <w:left w:val="none" w:sz="0" w:space="0" w:color="auto"/>
        <w:bottom w:val="none" w:sz="0" w:space="0" w:color="auto"/>
        <w:right w:val="none" w:sz="0" w:space="0" w:color="auto"/>
      </w:divBdr>
    </w:div>
    <w:div w:id="1635909643">
      <w:bodyDiv w:val="1"/>
      <w:marLeft w:val="0"/>
      <w:marRight w:val="0"/>
      <w:marTop w:val="0"/>
      <w:marBottom w:val="0"/>
      <w:divBdr>
        <w:top w:val="none" w:sz="0" w:space="0" w:color="auto"/>
        <w:left w:val="none" w:sz="0" w:space="0" w:color="auto"/>
        <w:bottom w:val="none" w:sz="0" w:space="0" w:color="auto"/>
        <w:right w:val="none" w:sz="0" w:space="0" w:color="auto"/>
      </w:divBdr>
      <w:divsChild>
        <w:div w:id="1961910358">
          <w:marLeft w:val="0"/>
          <w:marRight w:val="0"/>
          <w:marTop w:val="0"/>
          <w:marBottom w:val="0"/>
          <w:divBdr>
            <w:top w:val="none" w:sz="0" w:space="0" w:color="auto"/>
            <w:left w:val="none" w:sz="0" w:space="0" w:color="auto"/>
            <w:bottom w:val="none" w:sz="0" w:space="0" w:color="auto"/>
            <w:right w:val="none" w:sz="0" w:space="0" w:color="auto"/>
          </w:divBdr>
          <w:divsChild>
            <w:div w:id="199052316">
              <w:marLeft w:val="0"/>
              <w:marRight w:val="0"/>
              <w:marTop w:val="0"/>
              <w:marBottom w:val="0"/>
              <w:divBdr>
                <w:top w:val="none" w:sz="0" w:space="0" w:color="auto"/>
                <w:left w:val="none" w:sz="0" w:space="0" w:color="auto"/>
                <w:bottom w:val="none" w:sz="0" w:space="0" w:color="auto"/>
                <w:right w:val="none" w:sz="0" w:space="0" w:color="auto"/>
              </w:divBdr>
            </w:div>
            <w:div w:id="579103790">
              <w:marLeft w:val="0"/>
              <w:marRight w:val="0"/>
              <w:marTop w:val="0"/>
              <w:marBottom w:val="0"/>
              <w:divBdr>
                <w:top w:val="none" w:sz="0" w:space="0" w:color="auto"/>
                <w:left w:val="none" w:sz="0" w:space="0" w:color="auto"/>
                <w:bottom w:val="none" w:sz="0" w:space="0" w:color="auto"/>
                <w:right w:val="none" w:sz="0" w:space="0" w:color="auto"/>
              </w:divBdr>
            </w:div>
            <w:div w:id="1149707690">
              <w:marLeft w:val="0"/>
              <w:marRight w:val="0"/>
              <w:marTop w:val="0"/>
              <w:marBottom w:val="0"/>
              <w:divBdr>
                <w:top w:val="none" w:sz="0" w:space="0" w:color="auto"/>
                <w:left w:val="none" w:sz="0" w:space="0" w:color="auto"/>
                <w:bottom w:val="none" w:sz="0" w:space="0" w:color="auto"/>
                <w:right w:val="none" w:sz="0" w:space="0" w:color="auto"/>
              </w:divBdr>
            </w:div>
            <w:div w:id="12543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96242">
      <w:bodyDiv w:val="1"/>
      <w:marLeft w:val="0"/>
      <w:marRight w:val="0"/>
      <w:marTop w:val="0"/>
      <w:marBottom w:val="0"/>
      <w:divBdr>
        <w:top w:val="none" w:sz="0" w:space="0" w:color="auto"/>
        <w:left w:val="none" w:sz="0" w:space="0" w:color="auto"/>
        <w:bottom w:val="none" w:sz="0" w:space="0" w:color="auto"/>
        <w:right w:val="none" w:sz="0" w:space="0" w:color="auto"/>
      </w:divBdr>
    </w:div>
    <w:div w:id="1657146361">
      <w:bodyDiv w:val="1"/>
      <w:marLeft w:val="0"/>
      <w:marRight w:val="0"/>
      <w:marTop w:val="0"/>
      <w:marBottom w:val="0"/>
      <w:divBdr>
        <w:top w:val="none" w:sz="0" w:space="0" w:color="auto"/>
        <w:left w:val="none" w:sz="0" w:space="0" w:color="auto"/>
        <w:bottom w:val="none" w:sz="0" w:space="0" w:color="auto"/>
        <w:right w:val="none" w:sz="0" w:space="0" w:color="auto"/>
      </w:divBdr>
    </w:div>
    <w:div w:id="1669166364">
      <w:bodyDiv w:val="1"/>
      <w:marLeft w:val="0"/>
      <w:marRight w:val="0"/>
      <w:marTop w:val="0"/>
      <w:marBottom w:val="0"/>
      <w:divBdr>
        <w:top w:val="none" w:sz="0" w:space="0" w:color="auto"/>
        <w:left w:val="none" w:sz="0" w:space="0" w:color="auto"/>
        <w:bottom w:val="none" w:sz="0" w:space="0" w:color="auto"/>
        <w:right w:val="none" w:sz="0" w:space="0" w:color="auto"/>
      </w:divBdr>
    </w:div>
    <w:div w:id="1669945606">
      <w:bodyDiv w:val="1"/>
      <w:marLeft w:val="0"/>
      <w:marRight w:val="0"/>
      <w:marTop w:val="0"/>
      <w:marBottom w:val="0"/>
      <w:divBdr>
        <w:top w:val="none" w:sz="0" w:space="0" w:color="auto"/>
        <w:left w:val="none" w:sz="0" w:space="0" w:color="auto"/>
        <w:bottom w:val="none" w:sz="0" w:space="0" w:color="auto"/>
        <w:right w:val="none" w:sz="0" w:space="0" w:color="auto"/>
      </w:divBdr>
    </w:div>
    <w:div w:id="1676031759">
      <w:bodyDiv w:val="1"/>
      <w:marLeft w:val="0"/>
      <w:marRight w:val="0"/>
      <w:marTop w:val="0"/>
      <w:marBottom w:val="0"/>
      <w:divBdr>
        <w:top w:val="none" w:sz="0" w:space="0" w:color="auto"/>
        <w:left w:val="none" w:sz="0" w:space="0" w:color="auto"/>
        <w:bottom w:val="none" w:sz="0" w:space="0" w:color="auto"/>
        <w:right w:val="none" w:sz="0" w:space="0" w:color="auto"/>
      </w:divBdr>
    </w:div>
    <w:div w:id="1678195266">
      <w:bodyDiv w:val="1"/>
      <w:marLeft w:val="0"/>
      <w:marRight w:val="0"/>
      <w:marTop w:val="0"/>
      <w:marBottom w:val="0"/>
      <w:divBdr>
        <w:top w:val="none" w:sz="0" w:space="0" w:color="auto"/>
        <w:left w:val="none" w:sz="0" w:space="0" w:color="auto"/>
        <w:bottom w:val="none" w:sz="0" w:space="0" w:color="auto"/>
        <w:right w:val="none" w:sz="0" w:space="0" w:color="auto"/>
      </w:divBdr>
    </w:div>
    <w:div w:id="1687175937">
      <w:bodyDiv w:val="1"/>
      <w:marLeft w:val="0"/>
      <w:marRight w:val="0"/>
      <w:marTop w:val="0"/>
      <w:marBottom w:val="0"/>
      <w:divBdr>
        <w:top w:val="none" w:sz="0" w:space="0" w:color="auto"/>
        <w:left w:val="none" w:sz="0" w:space="0" w:color="auto"/>
        <w:bottom w:val="none" w:sz="0" w:space="0" w:color="auto"/>
        <w:right w:val="none" w:sz="0" w:space="0" w:color="auto"/>
      </w:divBdr>
    </w:div>
    <w:div w:id="1690982510">
      <w:bodyDiv w:val="1"/>
      <w:marLeft w:val="0"/>
      <w:marRight w:val="0"/>
      <w:marTop w:val="0"/>
      <w:marBottom w:val="0"/>
      <w:divBdr>
        <w:top w:val="none" w:sz="0" w:space="0" w:color="auto"/>
        <w:left w:val="none" w:sz="0" w:space="0" w:color="auto"/>
        <w:bottom w:val="none" w:sz="0" w:space="0" w:color="auto"/>
        <w:right w:val="none" w:sz="0" w:space="0" w:color="auto"/>
      </w:divBdr>
    </w:div>
    <w:div w:id="1693872291">
      <w:bodyDiv w:val="1"/>
      <w:marLeft w:val="0"/>
      <w:marRight w:val="0"/>
      <w:marTop w:val="0"/>
      <w:marBottom w:val="0"/>
      <w:divBdr>
        <w:top w:val="none" w:sz="0" w:space="0" w:color="auto"/>
        <w:left w:val="none" w:sz="0" w:space="0" w:color="auto"/>
        <w:bottom w:val="none" w:sz="0" w:space="0" w:color="auto"/>
        <w:right w:val="none" w:sz="0" w:space="0" w:color="auto"/>
      </w:divBdr>
    </w:div>
    <w:div w:id="1709376951">
      <w:bodyDiv w:val="1"/>
      <w:marLeft w:val="0"/>
      <w:marRight w:val="0"/>
      <w:marTop w:val="0"/>
      <w:marBottom w:val="0"/>
      <w:divBdr>
        <w:top w:val="none" w:sz="0" w:space="0" w:color="auto"/>
        <w:left w:val="none" w:sz="0" w:space="0" w:color="auto"/>
        <w:bottom w:val="none" w:sz="0" w:space="0" w:color="auto"/>
        <w:right w:val="none" w:sz="0" w:space="0" w:color="auto"/>
      </w:divBdr>
    </w:div>
    <w:div w:id="1712850527">
      <w:bodyDiv w:val="1"/>
      <w:marLeft w:val="0"/>
      <w:marRight w:val="0"/>
      <w:marTop w:val="0"/>
      <w:marBottom w:val="0"/>
      <w:divBdr>
        <w:top w:val="none" w:sz="0" w:space="0" w:color="auto"/>
        <w:left w:val="none" w:sz="0" w:space="0" w:color="auto"/>
        <w:bottom w:val="none" w:sz="0" w:space="0" w:color="auto"/>
        <w:right w:val="none" w:sz="0" w:space="0" w:color="auto"/>
      </w:divBdr>
    </w:div>
    <w:div w:id="1714233899">
      <w:bodyDiv w:val="1"/>
      <w:marLeft w:val="0"/>
      <w:marRight w:val="0"/>
      <w:marTop w:val="0"/>
      <w:marBottom w:val="0"/>
      <w:divBdr>
        <w:top w:val="none" w:sz="0" w:space="0" w:color="auto"/>
        <w:left w:val="none" w:sz="0" w:space="0" w:color="auto"/>
        <w:bottom w:val="none" w:sz="0" w:space="0" w:color="auto"/>
        <w:right w:val="none" w:sz="0" w:space="0" w:color="auto"/>
      </w:divBdr>
    </w:div>
    <w:div w:id="1719624577">
      <w:bodyDiv w:val="1"/>
      <w:marLeft w:val="0"/>
      <w:marRight w:val="0"/>
      <w:marTop w:val="0"/>
      <w:marBottom w:val="0"/>
      <w:divBdr>
        <w:top w:val="none" w:sz="0" w:space="0" w:color="auto"/>
        <w:left w:val="none" w:sz="0" w:space="0" w:color="auto"/>
        <w:bottom w:val="none" w:sz="0" w:space="0" w:color="auto"/>
        <w:right w:val="none" w:sz="0" w:space="0" w:color="auto"/>
      </w:divBdr>
    </w:div>
    <w:div w:id="1724786557">
      <w:bodyDiv w:val="1"/>
      <w:marLeft w:val="0"/>
      <w:marRight w:val="0"/>
      <w:marTop w:val="0"/>
      <w:marBottom w:val="0"/>
      <w:divBdr>
        <w:top w:val="none" w:sz="0" w:space="0" w:color="auto"/>
        <w:left w:val="none" w:sz="0" w:space="0" w:color="auto"/>
        <w:bottom w:val="none" w:sz="0" w:space="0" w:color="auto"/>
        <w:right w:val="none" w:sz="0" w:space="0" w:color="auto"/>
      </w:divBdr>
    </w:div>
    <w:div w:id="1727145659">
      <w:bodyDiv w:val="1"/>
      <w:marLeft w:val="0"/>
      <w:marRight w:val="0"/>
      <w:marTop w:val="0"/>
      <w:marBottom w:val="0"/>
      <w:divBdr>
        <w:top w:val="none" w:sz="0" w:space="0" w:color="auto"/>
        <w:left w:val="none" w:sz="0" w:space="0" w:color="auto"/>
        <w:bottom w:val="none" w:sz="0" w:space="0" w:color="auto"/>
        <w:right w:val="none" w:sz="0" w:space="0" w:color="auto"/>
      </w:divBdr>
      <w:divsChild>
        <w:div w:id="113596658">
          <w:marLeft w:val="0"/>
          <w:marRight w:val="0"/>
          <w:marTop w:val="0"/>
          <w:marBottom w:val="0"/>
          <w:divBdr>
            <w:top w:val="none" w:sz="0" w:space="0" w:color="auto"/>
            <w:left w:val="none" w:sz="0" w:space="0" w:color="auto"/>
            <w:bottom w:val="none" w:sz="0" w:space="0" w:color="auto"/>
            <w:right w:val="none" w:sz="0" w:space="0" w:color="auto"/>
          </w:divBdr>
        </w:div>
        <w:div w:id="201793327">
          <w:marLeft w:val="0"/>
          <w:marRight w:val="0"/>
          <w:marTop w:val="0"/>
          <w:marBottom w:val="0"/>
          <w:divBdr>
            <w:top w:val="none" w:sz="0" w:space="0" w:color="auto"/>
            <w:left w:val="none" w:sz="0" w:space="0" w:color="auto"/>
            <w:bottom w:val="none" w:sz="0" w:space="0" w:color="auto"/>
            <w:right w:val="none" w:sz="0" w:space="0" w:color="auto"/>
          </w:divBdr>
        </w:div>
        <w:div w:id="222569019">
          <w:marLeft w:val="0"/>
          <w:marRight w:val="0"/>
          <w:marTop w:val="0"/>
          <w:marBottom w:val="0"/>
          <w:divBdr>
            <w:top w:val="none" w:sz="0" w:space="0" w:color="auto"/>
            <w:left w:val="none" w:sz="0" w:space="0" w:color="auto"/>
            <w:bottom w:val="none" w:sz="0" w:space="0" w:color="auto"/>
            <w:right w:val="none" w:sz="0" w:space="0" w:color="auto"/>
          </w:divBdr>
        </w:div>
        <w:div w:id="235483546">
          <w:marLeft w:val="0"/>
          <w:marRight w:val="0"/>
          <w:marTop w:val="0"/>
          <w:marBottom w:val="0"/>
          <w:divBdr>
            <w:top w:val="none" w:sz="0" w:space="0" w:color="auto"/>
            <w:left w:val="none" w:sz="0" w:space="0" w:color="auto"/>
            <w:bottom w:val="none" w:sz="0" w:space="0" w:color="auto"/>
            <w:right w:val="none" w:sz="0" w:space="0" w:color="auto"/>
          </w:divBdr>
        </w:div>
        <w:div w:id="287055351">
          <w:marLeft w:val="0"/>
          <w:marRight w:val="0"/>
          <w:marTop w:val="0"/>
          <w:marBottom w:val="0"/>
          <w:divBdr>
            <w:top w:val="none" w:sz="0" w:space="0" w:color="auto"/>
            <w:left w:val="none" w:sz="0" w:space="0" w:color="auto"/>
            <w:bottom w:val="none" w:sz="0" w:space="0" w:color="auto"/>
            <w:right w:val="none" w:sz="0" w:space="0" w:color="auto"/>
          </w:divBdr>
        </w:div>
        <w:div w:id="373507051">
          <w:marLeft w:val="0"/>
          <w:marRight w:val="0"/>
          <w:marTop w:val="0"/>
          <w:marBottom w:val="0"/>
          <w:divBdr>
            <w:top w:val="none" w:sz="0" w:space="0" w:color="auto"/>
            <w:left w:val="none" w:sz="0" w:space="0" w:color="auto"/>
            <w:bottom w:val="none" w:sz="0" w:space="0" w:color="auto"/>
            <w:right w:val="none" w:sz="0" w:space="0" w:color="auto"/>
          </w:divBdr>
        </w:div>
        <w:div w:id="375737807">
          <w:marLeft w:val="0"/>
          <w:marRight w:val="0"/>
          <w:marTop w:val="0"/>
          <w:marBottom w:val="0"/>
          <w:divBdr>
            <w:top w:val="none" w:sz="0" w:space="0" w:color="auto"/>
            <w:left w:val="none" w:sz="0" w:space="0" w:color="auto"/>
            <w:bottom w:val="none" w:sz="0" w:space="0" w:color="auto"/>
            <w:right w:val="none" w:sz="0" w:space="0" w:color="auto"/>
          </w:divBdr>
        </w:div>
        <w:div w:id="441653536">
          <w:marLeft w:val="0"/>
          <w:marRight w:val="0"/>
          <w:marTop w:val="0"/>
          <w:marBottom w:val="0"/>
          <w:divBdr>
            <w:top w:val="none" w:sz="0" w:space="0" w:color="auto"/>
            <w:left w:val="none" w:sz="0" w:space="0" w:color="auto"/>
            <w:bottom w:val="none" w:sz="0" w:space="0" w:color="auto"/>
            <w:right w:val="none" w:sz="0" w:space="0" w:color="auto"/>
          </w:divBdr>
        </w:div>
        <w:div w:id="520701254">
          <w:marLeft w:val="0"/>
          <w:marRight w:val="0"/>
          <w:marTop w:val="0"/>
          <w:marBottom w:val="0"/>
          <w:divBdr>
            <w:top w:val="none" w:sz="0" w:space="0" w:color="auto"/>
            <w:left w:val="none" w:sz="0" w:space="0" w:color="auto"/>
            <w:bottom w:val="none" w:sz="0" w:space="0" w:color="auto"/>
            <w:right w:val="none" w:sz="0" w:space="0" w:color="auto"/>
          </w:divBdr>
        </w:div>
        <w:div w:id="602539460">
          <w:marLeft w:val="0"/>
          <w:marRight w:val="0"/>
          <w:marTop w:val="0"/>
          <w:marBottom w:val="0"/>
          <w:divBdr>
            <w:top w:val="none" w:sz="0" w:space="0" w:color="auto"/>
            <w:left w:val="none" w:sz="0" w:space="0" w:color="auto"/>
            <w:bottom w:val="none" w:sz="0" w:space="0" w:color="auto"/>
            <w:right w:val="none" w:sz="0" w:space="0" w:color="auto"/>
          </w:divBdr>
        </w:div>
        <w:div w:id="753625996">
          <w:marLeft w:val="0"/>
          <w:marRight w:val="0"/>
          <w:marTop w:val="0"/>
          <w:marBottom w:val="0"/>
          <w:divBdr>
            <w:top w:val="none" w:sz="0" w:space="0" w:color="auto"/>
            <w:left w:val="none" w:sz="0" w:space="0" w:color="auto"/>
            <w:bottom w:val="none" w:sz="0" w:space="0" w:color="auto"/>
            <w:right w:val="none" w:sz="0" w:space="0" w:color="auto"/>
          </w:divBdr>
        </w:div>
        <w:div w:id="783504499">
          <w:marLeft w:val="0"/>
          <w:marRight w:val="0"/>
          <w:marTop w:val="0"/>
          <w:marBottom w:val="0"/>
          <w:divBdr>
            <w:top w:val="none" w:sz="0" w:space="0" w:color="auto"/>
            <w:left w:val="none" w:sz="0" w:space="0" w:color="auto"/>
            <w:bottom w:val="none" w:sz="0" w:space="0" w:color="auto"/>
            <w:right w:val="none" w:sz="0" w:space="0" w:color="auto"/>
          </w:divBdr>
        </w:div>
        <w:div w:id="837307449">
          <w:marLeft w:val="0"/>
          <w:marRight w:val="0"/>
          <w:marTop w:val="0"/>
          <w:marBottom w:val="0"/>
          <w:divBdr>
            <w:top w:val="none" w:sz="0" w:space="0" w:color="auto"/>
            <w:left w:val="none" w:sz="0" w:space="0" w:color="auto"/>
            <w:bottom w:val="none" w:sz="0" w:space="0" w:color="auto"/>
            <w:right w:val="none" w:sz="0" w:space="0" w:color="auto"/>
          </w:divBdr>
        </w:div>
        <w:div w:id="898827064">
          <w:marLeft w:val="0"/>
          <w:marRight w:val="0"/>
          <w:marTop w:val="0"/>
          <w:marBottom w:val="0"/>
          <w:divBdr>
            <w:top w:val="none" w:sz="0" w:space="0" w:color="auto"/>
            <w:left w:val="none" w:sz="0" w:space="0" w:color="auto"/>
            <w:bottom w:val="none" w:sz="0" w:space="0" w:color="auto"/>
            <w:right w:val="none" w:sz="0" w:space="0" w:color="auto"/>
          </w:divBdr>
        </w:div>
        <w:div w:id="915481402">
          <w:marLeft w:val="0"/>
          <w:marRight w:val="0"/>
          <w:marTop w:val="0"/>
          <w:marBottom w:val="0"/>
          <w:divBdr>
            <w:top w:val="none" w:sz="0" w:space="0" w:color="auto"/>
            <w:left w:val="none" w:sz="0" w:space="0" w:color="auto"/>
            <w:bottom w:val="none" w:sz="0" w:space="0" w:color="auto"/>
            <w:right w:val="none" w:sz="0" w:space="0" w:color="auto"/>
          </w:divBdr>
        </w:div>
        <w:div w:id="925848644">
          <w:marLeft w:val="0"/>
          <w:marRight w:val="0"/>
          <w:marTop w:val="0"/>
          <w:marBottom w:val="0"/>
          <w:divBdr>
            <w:top w:val="none" w:sz="0" w:space="0" w:color="auto"/>
            <w:left w:val="none" w:sz="0" w:space="0" w:color="auto"/>
            <w:bottom w:val="none" w:sz="0" w:space="0" w:color="auto"/>
            <w:right w:val="none" w:sz="0" w:space="0" w:color="auto"/>
          </w:divBdr>
        </w:div>
        <w:div w:id="982588203">
          <w:marLeft w:val="0"/>
          <w:marRight w:val="0"/>
          <w:marTop w:val="0"/>
          <w:marBottom w:val="0"/>
          <w:divBdr>
            <w:top w:val="none" w:sz="0" w:space="0" w:color="auto"/>
            <w:left w:val="none" w:sz="0" w:space="0" w:color="auto"/>
            <w:bottom w:val="none" w:sz="0" w:space="0" w:color="auto"/>
            <w:right w:val="none" w:sz="0" w:space="0" w:color="auto"/>
          </w:divBdr>
        </w:div>
        <w:div w:id="984119248">
          <w:marLeft w:val="0"/>
          <w:marRight w:val="0"/>
          <w:marTop w:val="0"/>
          <w:marBottom w:val="0"/>
          <w:divBdr>
            <w:top w:val="none" w:sz="0" w:space="0" w:color="auto"/>
            <w:left w:val="none" w:sz="0" w:space="0" w:color="auto"/>
            <w:bottom w:val="none" w:sz="0" w:space="0" w:color="auto"/>
            <w:right w:val="none" w:sz="0" w:space="0" w:color="auto"/>
          </w:divBdr>
        </w:div>
        <w:div w:id="1042554916">
          <w:marLeft w:val="0"/>
          <w:marRight w:val="0"/>
          <w:marTop w:val="0"/>
          <w:marBottom w:val="0"/>
          <w:divBdr>
            <w:top w:val="none" w:sz="0" w:space="0" w:color="auto"/>
            <w:left w:val="none" w:sz="0" w:space="0" w:color="auto"/>
            <w:bottom w:val="none" w:sz="0" w:space="0" w:color="auto"/>
            <w:right w:val="none" w:sz="0" w:space="0" w:color="auto"/>
          </w:divBdr>
        </w:div>
        <w:div w:id="1189368278">
          <w:marLeft w:val="0"/>
          <w:marRight w:val="0"/>
          <w:marTop w:val="0"/>
          <w:marBottom w:val="0"/>
          <w:divBdr>
            <w:top w:val="none" w:sz="0" w:space="0" w:color="auto"/>
            <w:left w:val="none" w:sz="0" w:space="0" w:color="auto"/>
            <w:bottom w:val="none" w:sz="0" w:space="0" w:color="auto"/>
            <w:right w:val="none" w:sz="0" w:space="0" w:color="auto"/>
          </w:divBdr>
        </w:div>
        <w:div w:id="1339115875">
          <w:marLeft w:val="0"/>
          <w:marRight w:val="0"/>
          <w:marTop w:val="0"/>
          <w:marBottom w:val="0"/>
          <w:divBdr>
            <w:top w:val="none" w:sz="0" w:space="0" w:color="auto"/>
            <w:left w:val="none" w:sz="0" w:space="0" w:color="auto"/>
            <w:bottom w:val="none" w:sz="0" w:space="0" w:color="auto"/>
            <w:right w:val="none" w:sz="0" w:space="0" w:color="auto"/>
          </w:divBdr>
        </w:div>
        <w:div w:id="1390573985">
          <w:marLeft w:val="0"/>
          <w:marRight w:val="0"/>
          <w:marTop w:val="0"/>
          <w:marBottom w:val="0"/>
          <w:divBdr>
            <w:top w:val="none" w:sz="0" w:space="0" w:color="auto"/>
            <w:left w:val="none" w:sz="0" w:space="0" w:color="auto"/>
            <w:bottom w:val="none" w:sz="0" w:space="0" w:color="auto"/>
            <w:right w:val="none" w:sz="0" w:space="0" w:color="auto"/>
          </w:divBdr>
        </w:div>
        <w:div w:id="1400322943">
          <w:marLeft w:val="0"/>
          <w:marRight w:val="0"/>
          <w:marTop w:val="0"/>
          <w:marBottom w:val="0"/>
          <w:divBdr>
            <w:top w:val="none" w:sz="0" w:space="0" w:color="auto"/>
            <w:left w:val="none" w:sz="0" w:space="0" w:color="auto"/>
            <w:bottom w:val="none" w:sz="0" w:space="0" w:color="auto"/>
            <w:right w:val="none" w:sz="0" w:space="0" w:color="auto"/>
          </w:divBdr>
        </w:div>
        <w:div w:id="1420448305">
          <w:marLeft w:val="0"/>
          <w:marRight w:val="0"/>
          <w:marTop w:val="0"/>
          <w:marBottom w:val="0"/>
          <w:divBdr>
            <w:top w:val="none" w:sz="0" w:space="0" w:color="auto"/>
            <w:left w:val="none" w:sz="0" w:space="0" w:color="auto"/>
            <w:bottom w:val="none" w:sz="0" w:space="0" w:color="auto"/>
            <w:right w:val="none" w:sz="0" w:space="0" w:color="auto"/>
          </w:divBdr>
        </w:div>
        <w:div w:id="1449930400">
          <w:marLeft w:val="0"/>
          <w:marRight w:val="0"/>
          <w:marTop w:val="0"/>
          <w:marBottom w:val="0"/>
          <w:divBdr>
            <w:top w:val="none" w:sz="0" w:space="0" w:color="auto"/>
            <w:left w:val="none" w:sz="0" w:space="0" w:color="auto"/>
            <w:bottom w:val="none" w:sz="0" w:space="0" w:color="auto"/>
            <w:right w:val="none" w:sz="0" w:space="0" w:color="auto"/>
          </w:divBdr>
        </w:div>
        <w:div w:id="1476919425">
          <w:marLeft w:val="0"/>
          <w:marRight w:val="0"/>
          <w:marTop w:val="0"/>
          <w:marBottom w:val="0"/>
          <w:divBdr>
            <w:top w:val="none" w:sz="0" w:space="0" w:color="auto"/>
            <w:left w:val="none" w:sz="0" w:space="0" w:color="auto"/>
            <w:bottom w:val="none" w:sz="0" w:space="0" w:color="auto"/>
            <w:right w:val="none" w:sz="0" w:space="0" w:color="auto"/>
          </w:divBdr>
        </w:div>
        <w:div w:id="1525440531">
          <w:marLeft w:val="0"/>
          <w:marRight w:val="0"/>
          <w:marTop w:val="0"/>
          <w:marBottom w:val="0"/>
          <w:divBdr>
            <w:top w:val="none" w:sz="0" w:space="0" w:color="auto"/>
            <w:left w:val="none" w:sz="0" w:space="0" w:color="auto"/>
            <w:bottom w:val="none" w:sz="0" w:space="0" w:color="auto"/>
            <w:right w:val="none" w:sz="0" w:space="0" w:color="auto"/>
          </w:divBdr>
        </w:div>
        <w:div w:id="1605767611">
          <w:marLeft w:val="0"/>
          <w:marRight w:val="0"/>
          <w:marTop w:val="0"/>
          <w:marBottom w:val="0"/>
          <w:divBdr>
            <w:top w:val="none" w:sz="0" w:space="0" w:color="auto"/>
            <w:left w:val="none" w:sz="0" w:space="0" w:color="auto"/>
            <w:bottom w:val="none" w:sz="0" w:space="0" w:color="auto"/>
            <w:right w:val="none" w:sz="0" w:space="0" w:color="auto"/>
          </w:divBdr>
        </w:div>
        <w:div w:id="1633748965">
          <w:marLeft w:val="0"/>
          <w:marRight w:val="0"/>
          <w:marTop w:val="0"/>
          <w:marBottom w:val="0"/>
          <w:divBdr>
            <w:top w:val="none" w:sz="0" w:space="0" w:color="auto"/>
            <w:left w:val="none" w:sz="0" w:space="0" w:color="auto"/>
            <w:bottom w:val="none" w:sz="0" w:space="0" w:color="auto"/>
            <w:right w:val="none" w:sz="0" w:space="0" w:color="auto"/>
          </w:divBdr>
        </w:div>
        <w:div w:id="1920753288">
          <w:marLeft w:val="0"/>
          <w:marRight w:val="0"/>
          <w:marTop w:val="0"/>
          <w:marBottom w:val="0"/>
          <w:divBdr>
            <w:top w:val="none" w:sz="0" w:space="0" w:color="auto"/>
            <w:left w:val="none" w:sz="0" w:space="0" w:color="auto"/>
            <w:bottom w:val="none" w:sz="0" w:space="0" w:color="auto"/>
            <w:right w:val="none" w:sz="0" w:space="0" w:color="auto"/>
          </w:divBdr>
        </w:div>
        <w:div w:id="1981307027">
          <w:marLeft w:val="0"/>
          <w:marRight w:val="0"/>
          <w:marTop w:val="0"/>
          <w:marBottom w:val="0"/>
          <w:divBdr>
            <w:top w:val="none" w:sz="0" w:space="0" w:color="auto"/>
            <w:left w:val="none" w:sz="0" w:space="0" w:color="auto"/>
            <w:bottom w:val="none" w:sz="0" w:space="0" w:color="auto"/>
            <w:right w:val="none" w:sz="0" w:space="0" w:color="auto"/>
          </w:divBdr>
        </w:div>
        <w:div w:id="2017465437">
          <w:marLeft w:val="0"/>
          <w:marRight w:val="0"/>
          <w:marTop w:val="0"/>
          <w:marBottom w:val="0"/>
          <w:divBdr>
            <w:top w:val="none" w:sz="0" w:space="0" w:color="auto"/>
            <w:left w:val="none" w:sz="0" w:space="0" w:color="auto"/>
            <w:bottom w:val="none" w:sz="0" w:space="0" w:color="auto"/>
            <w:right w:val="none" w:sz="0" w:space="0" w:color="auto"/>
          </w:divBdr>
        </w:div>
        <w:div w:id="2071725090">
          <w:marLeft w:val="0"/>
          <w:marRight w:val="0"/>
          <w:marTop w:val="0"/>
          <w:marBottom w:val="0"/>
          <w:divBdr>
            <w:top w:val="none" w:sz="0" w:space="0" w:color="auto"/>
            <w:left w:val="none" w:sz="0" w:space="0" w:color="auto"/>
            <w:bottom w:val="none" w:sz="0" w:space="0" w:color="auto"/>
            <w:right w:val="none" w:sz="0" w:space="0" w:color="auto"/>
          </w:divBdr>
        </w:div>
        <w:div w:id="2126844585">
          <w:marLeft w:val="0"/>
          <w:marRight w:val="0"/>
          <w:marTop w:val="0"/>
          <w:marBottom w:val="0"/>
          <w:divBdr>
            <w:top w:val="none" w:sz="0" w:space="0" w:color="auto"/>
            <w:left w:val="none" w:sz="0" w:space="0" w:color="auto"/>
            <w:bottom w:val="none" w:sz="0" w:space="0" w:color="auto"/>
            <w:right w:val="none" w:sz="0" w:space="0" w:color="auto"/>
          </w:divBdr>
        </w:div>
      </w:divsChild>
    </w:div>
    <w:div w:id="1731223983">
      <w:bodyDiv w:val="1"/>
      <w:marLeft w:val="0"/>
      <w:marRight w:val="0"/>
      <w:marTop w:val="0"/>
      <w:marBottom w:val="0"/>
      <w:divBdr>
        <w:top w:val="none" w:sz="0" w:space="0" w:color="auto"/>
        <w:left w:val="none" w:sz="0" w:space="0" w:color="auto"/>
        <w:bottom w:val="none" w:sz="0" w:space="0" w:color="auto"/>
        <w:right w:val="none" w:sz="0" w:space="0" w:color="auto"/>
      </w:divBdr>
    </w:div>
    <w:div w:id="1739551697">
      <w:bodyDiv w:val="1"/>
      <w:marLeft w:val="0"/>
      <w:marRight w:val="0"/>
      <w:marTop w:val="0"/>
      <w:marBottom w:val="0"/>
      <w:divBdr>
        <w:top w:val="none" w:sz="0" w:space="0" w:color="auto"/>
        <w:left w:val="none" w:sz="0" w:space="0" w:color="auto"/>
        <w:bottom w:val="none" w:sz="0" w:space="0" w:color="auto"/>
        <w:right w:val="none" w:sz="0" w:space="0" w:color="auto"/>
      </w:divBdr>
    </w:div>
    <w:div w:id="1759132753">
      <w:bodyDiv w:val="1"/>
      <w:marLeft w:val="0"/>
      <w:marRight w:val="0"/>
      <w:marTop w:val="0"/>
      <w:marBottom w:val="0"/>
      <w:divBdr>
        <w:top w:val="none" w:sz="0" w:space="0" w:color="auto"/>
        <w:left w:val="none" w:sz="0" w:space="0" w:color="auto"/>
        <w:bottom w:val="none" w:sz="0" w:space="0" w:color="auto"/>
        <w:right w:val="none" w:sz="0" w:space="0" w:color="auto"/>
      </w:divBdr>
    </w:div>
    <w:div w:id="1764109501">
      <w:bodyDiv w:val="1"/>
      <w:marLeft w:val="0"/>
      <w:marRight w:val="0"/>
      <w:marTop w:val="0"/>
      <w:marBottom w:val="0"/>
      <w:divBdr>
        <w:top w:val="none" w:sz="0" w:space="0" w:color="auto"/>
        <w:left w:val="none" w:sz="0" w:space="0" w:color="auto"/>
        <w:bottom w:val="none" w:sz="0" w:space="0" w:color="auto"/>
        <w:right w:val="none" w:sz="0" w:space="0" w:color="auto"/>
      </w:divBdr>
    </w:div>
    <w:div w:id="1766414629">
      <w:bodyDiv w:val="1"/>
      <w:marLeft w:val="0"/>
      <w:marRight w:val="0"/>
      <w:marTop w:val="0"/>
      <w:marBottom w:val="0"/>
      <w:divBdr>
        <w:top w:val="none" w:sz="0" w:space="0" w:color="auto"/>
        <w:left w:val="none" w:sz="0" w:space="0" w:color="auto"/>
        <w:bottom w:val="none" w:sz="0" w:space="0" w:color="auto"/>
        <w:right w:val="none" w:sz="0" w:space="0" w:color="auto"/>
      </w:divBdr>
      <w:divsChild>
        <w:div w:id="323436601">
          <w:marLeft w:val="547"/>
          <w:marRight w:val="0"/>
          <w:marTop w:val="0"/>
          <w:marBottom w:val="0"/>
          <w:divBdr>
            <w:top w:val="none" w:sz="0" w:space="0" w:color="auto"/>
            <w:left w:val="none" w:sz="0" w:space="0" w:color="auto"/>
            <w:bottom w:val="none" w:sz="0" w:space="0" w:color="auto"/>
            <w:right w:val="none" w:sz="0" w:space="0" w:color="auto"/>
          </w:divBdr>
        </w:div>
      </w:divsChild>
    </w:div>
    <w:div w:id="1769614993">
      <w:bodyDiv w:val="1"/>
      <w:marLeft w:val="0"/>
      <w:marRight w:val="0"/>
      <w:marTop w:val="0"/>
      <w:marBottom w:val="0"/>
      <w:divBdr>
        <w:top w:val="none" w:sz="0" w:space="0" w:color="auto"/>
        <w:left w:val="none" w:sz="0" w:space="0" w:color="auto"/>
        <w:bottom w:val="none" w:sz="0" w:space="0" w:color="auto"/>
        <w:right w:val="none" w:sz="0" w:space="0" w:color="auto"/>
      </w:divBdr>
    </w:div>
    <w:div w:id="1770660713">
      <w:bodyDiv w:val="1"/>
      <w:marLeft w:val="0"/>
      <w:marRight w:val="0"/>
      <w:marTop w:val="0"/>
      <w:marBottom w:val="0"/>
      <w:divBdr>
        <w:top w:val="none" w:sz="0" w:space="0" w:color="auto"/>
        <w:left w:val="none" w:sz="0" w:space="0" w:color="auto"/>
        <w:bottom w:val="none" w:sz="0" w:space="0" w:color="auto"/>
        <w:right w:val="none" w:sz="0" w:space="0" w:color="auto"/>
      </w:divBdr>
    </w:div>
    <w:div w:id="1777628809">
      <w:bodyDiv w:val="1"/>
      <w:marLeft w:val="0"/>
      <w:marRight w:val="0"/>
      <w:marTop w:val="0"/>
      <w:marBottom w:val="0"/>
      <w:divBdr>
        <w:top w:val="none" w:sz="0" w:space="0" w:color="auto"/>
        <w:left w:val="none" w:sz="0" w:space="0" w:color="auto"/>
        <w:bottom w:val="none" w:sz="0" w:space="0" w:color="auto"/>
        <w:right w:val="none" w:sz="0" w:space="0" w:color="auto"/>
      </w:divBdr>
      <w:divsChild>
        <w:div w:id="56905930">
          <w:marLeft w:val="547"/>
          <w:marRight w:val="0"/>
          <w:marTop w:val="96"/>
          <w:marBottom w:val="0"/>
          <w:divBdr>
            <w:top w:val="none" w:sz="0" w:space="0" w:color="auto"/>
            <w:left w:val="none" w:sz="0" w:space="0" w:color="auto"/>
            <w:bottom w:val="none" w:sz="0" w:space="0" w:color="auto"/>
            <w:right w:val="none" w:sz="0" w:space="0" w:color="auto"/>
          </w:divBdr>
        </w:div>
        <w:div w:id="619142425">
          <w:marLeft w:val="547"/>
          <w:marRight w:val="0"/>
          <w:marTop w:val="96"/>
          <w:marBottom w:val="0"/>
          <w:divBdr>
            <w:top w:val="none" w:sz="0" w:space="0" w:color="auto"/>
            <w:left w:val="none" w:sz="0" w:space="0" w:color="auto"/>
            <w:bottom w:val="none" w:sz="0" w:space="0" w:color="auto"/>
            <w:right w:val="none" w:sz="0" w:space="0" w:color="auto"/>
          </w:divBdr>
        </w:div>
        <w:div w:id="822430157">
          <w:marLeft w:val="547"/>
          <w:marRight w:val="0"/>
          <w:marTop w:val="96"/>
          <w:marBottom w:val="0"/>
          <w:divBdr>
            <w:top w:val="none" w:sz="0" w:space="0" w:color="auto"/>
            <w:left w:val="none" w:sz="0" w:space="0" w:color="auto"/>
            <w:bottom w:val="none" w:sz="0" w:space="0" w:color="auto"/>
            <w:right w:val="none" w:sz="0" w:space="0" w:color="auto"/>
          </w:divBdr>
        </w:div>
        <w:div w:id="903443524">
          <w:marLeft w:val="547"/>
          <w:marRight w:val="0"/>
          <w:marTop w:val="96"/>
          <w:marBottom w:val="0"/>
          <w:divBdr>
            <w:top w:val="none" w:sz="0" w:space="0" w:color="auto"/>
            <w:left w:val="none" w:sz="0" w:space="0" w:color="auto"/>
            <w:bottom w:val="none" w:sz="0" w:space="0" w:color="auto"/>
            <w:right w:val="none" w:sz="0" w:space="0" w:color="auto"/>
          </w:divBdr>
        </w:div>
        <w:div w:id="1702510952">
          <w:marLeft w:val="547"/>
          <w:marRight w:val="0"/>
          <w:marTop w:val="96"/>
          <w:marBottom w:val="0"/>
          <w:divBdr>
            <w:top w:val="none" w:sz="0" w:space="0" w:color="auto"/>
            <w:left w:val="none" w:sz="0" w:space="0" w:color="auto"/>
            <w:bottom w:val="none" w:sz="0" w:space="0" w:color="auto"/>
            <w:right w:val="none" w:sz="0" w:space="0" w:color="auto"/>
          </w:divBdr>
        </w:div>
        <w:div w:id="1905022693">
          <w:marLeft w:val="1166"/>
          <w:marRight w:val="0"/>
          <w:marTop w:val="77"/>
          <w:marBottom w:val="0"/>
          <w:divBdr>
            <w:top w:val="none" w:sz="0" w:space="0" w:color="auto"/>
            <w:left w:val="none" w:sz="0" w:space="0" w:color="auto"/>
            <w:bottom w:val="none" w:sz="0" w:space="0" w:color="auto"/>
            <w:right w:val="none" w:sz="0" w:space="0" w:color="auto"/>
          </w:divBdr>
        </w:div>
      </w:divsChild>
    </w:div>
    <w:div w:id="1781297305">
      <w:bodyDiv w:val="1"/>
      <w:marLeft w:val="0"/>
      <w:marRight w:val="0"/>
      <w:marTop w:val="0"/>
      <w:marBottom w:val="0"/>
      <w:divBdr>
        <w:top w:val="none" w:sz="0" w:space="0" w:color="auto"/>
        <w:left w:val="none" w:sz="0" w:space="0" w:color="auto"/>
        <w:bottom w:val="none" w:sz="0" w:space="0" w:color="auto"/>
        <w:right w:val="none" w:sz="0" w:space="0" w:color="auto"/>
      </w:divBdr>
    </w:div>
    <w:div w:id="1782187043">
      <w:bodyDiv w:val="1"/>
      <w:marLeft w:val="0"/>
      <w:marRight w:val="0"/>
      <w:marTop w:val="0"/>
      <w:marBottom w:val="0"/>
      <w:divBdr>
        <w:top w:val="none" w:sz="0" w:space="0" w:color="auto"/>
        <w:left w:val="none" w:sz="0" w:space="0" w:color="auto"/>
        <w:bottom w:val="none" w:sz="0" w:space="0" w:color="auto"/>
        <w:right w:val="none" w:sz="0" w:space="0" w:color="auto"/>
      </w:divBdr>
    </w:div>
    <w:div w:id="1808086428">
      <w:bodyDiv w:val="1"/>
      <w:marLeft w:val="0"/>
      <w:marRight w:val="0"/>
      <w:marTop w:val="0"/>
      <w:marBottom w:val="0"/>
      <w:divBdr>
        <w:top w:val="none" w:sz="0" w:space="0" w:color="auto"/>
        <w:left w:val="none" w:sz="0" w:space="0" w:color="auto"/>
        <w:bottom w:val="none" w:sz="0" w:space="0" w:color="auto"/>
        <w:right w:val="none" w:sz="0" w:space="0" w:color="auto"/>
      </w:divBdr>
    </w:div>
    <w:div w:id="1810897645">
      <w:bodyDiv w:val="1"/>
      <w:marLeft w:val="0"/>
      <w:marRight w:val="0"/>
      <w:marTop w:val="0"/>
      <w:marBottom w:val="0"/>
      <w:divBdr>
        <w:top w:val="none" w:sz="0" w:space="0" w:color="auto"/>
        <w:left w:val="none" w:sz="0" w:space="0" w:color="auto"/>
        <w:bottom w:val="none" w:sz="0" w:space="0" w:color="auto"/>
        <w:right w:val="none" w:sz="0" w:space="0" w:color="auto"/>
      </w:divBdr>
    </w:div>
    <w:div w:id="1818961534">
      <w:bodyDiv w:val="1"/>
      <w:marLeft w:val="0"/>
      <w:marRight w:val="0"/>
      <w:marTop w:val="0"/>
      <w:marBottom w:val="0"/>
      <w:divBdr>
        <w:top w:val="none" w:sz="0" w:space="0" w:color="auto"/>
        <w:left w:val="none" w:sz="0" w:space="0" w:color="auto"/>
        <w:bottom w:val="none" w:sz="0" w:space="0" w:color="auto"/>
        <w:right w:val="none" w:sz="0" w:space="0" w:color="auto"/>
      </w:divBdr>
    </w:div>
    <w:div w:id="1825775923">
      <w:bodyDiv w:val="1"/>
      <w:marLeft w:val="0"/>
      <w:marRight w:val="0"/>
      <w:marTop w:val="0"/>
      <w:marBottom w:val="0"/>
      <w:divBdr>
        <w:top w:val="none" w:sz="0" w:space="0" w:color="auto"/>
        <w:left w:val="none" w:sz="0" w:space="0" w:color="auto"/>
        <w:bottom w:val="none" w:sz="0" w:space="0" w:color="auto"/>
        <w:right w:val="none" w:sz="0" w:space="0" w:color="auto"/>
      </w:divBdr>
    </w:div>
    <w:div w:id="1826890615">
      <w:bodyDiv w:val="1"/>
      <w:marLeft w:val="0"/>
      <w:marRight w:val="0"/>
      <w:marTop w:val="0"/>
      <w:marBottom w:val="0"/>
      <w:divBdr>
        <w:top w:val="none" w:sz="0" w:space="0" w:color="auto"/>
        <w:left w:val="none" w:sz="0" w:space="0" w:color="auto"/>
        <w:bottom w:val="none" w:sz="0" w:space="0" w:color="auto"/>
        <w:right w:val="none" w:sz="0" w:space="0" w:color="auto"/>
      </w:divBdr>
    </w:div>
    <w:div w:id="1833183467">
      <w:bodyDiv w:val="1"/>
      <w:marLeft w:val="0"/>
      <w:marRight w:val="0"/>
      <w:marTop w:val="0"/>
      <w:marBottom w:val="0"/>
      <w:divBdr>
        <w:top w:val="none" w:sz="0" w:space="0" w:color="auto"/>
        <w:left w:val="none" w:sz="0" w:space="0" w:color="auto"/>
        <w:bottom w:val="none" w:sz="0" w:space="0" w:color="auto"/>
        <w:right w:val="none" w:sz="0" w:space="0" w:color="auto"/>
      </w:divBdr>
    </w:div>
    <w:div w:id="1833447714">
      <w:bodyDiv w:val="1"/>
      <w:marLeft w:val="0"/>
      <w:marRight w:val="0"/>
      <w:marTop w:val="0"/>
      <w:marBottom w:val="0"/>
      <w:divBdr>
        <w:top w:val="none" w:sz="0" w:space="0" w:color="auto"/>
        <w:left w:val="none" w:sz="0" w:space="0" w:color="auto"/>
        <w:bottom w:val="none" w:sz="0" w:space="0" w:color="auto"/>
        <w:right w:val="none" w:sz="0" w:space="0" w:color="auto"/>
      </w:divBdr>
    </w:div>
    <w:div w:id="1838881307">
      <w:bodyDiv w:val="1"/>
      <w:marLeft w:val="0"/>
      <w:marRight w:val="0"/>
      <w:marTop w:val="0"/>
      <w:marBottom w:val="0"/>
      <w:divBdr>
        <w:top w:val="none" w:sz="0" w:space="0" w:color="auto"/>
        <w:left w:val="none" w:sz="0" w:space="0" w:color="auto"/>
        <w:bottom w:val="none" w:sz="0" w:space="0" w:color="auto"/>
        <w:right w:val="none" w:sz="0" w:space="0" w:color="auto"/>
      </w:divBdr>
      <w:divsChild>
        <w:div w:id="90203483">
          <w:marLeft w:val="0"/>
          <w:marRight w:val="0"/>
          <w:marTop w:val="0"/>
          <w:marBottom w:val="0"/>
          <w:divBdr>
            <w:top w:val="none" w:sz="0" w:space="0" w:color="auto"/>
            <w:left w:val="none" w:sz="0" w:space="0" w:color="auto"/>
            <w:bottom w:val="none" w:sz="0" w:space="0" w:color="auto"/>
            <w:right w:val="none" w:sz="0" w:space="0" w:color="auto"/>
          </w:divBdr>
        </w:div>
        <w:div w:id="470176008">
          <w:marLeft w:val="0"/>
          <w:marRight w:val="0"/>
          <w:marTop w:val="0"/>
          <w:marBottom w:val="0"/>
          <w:divBdr>
            <w:top w:val="none" w:sz="0" w:space="0" w:color="auto"/>
            <w:left w:val="none" w:sz="0" w:space="0" w:color="auto"/>
            <w:bottom w:val="none" w:sz="0" w:space="0" w:color="auto"/>
            <w:right w:val="none" w:sz="0" w:space="0" w:color="auto"/>
          </w:divBdr>
        </w:div>
        <w:div w:id="1202403719">
          <w:marLeft w:val="0"/>
          <w:marRight w:val="0"/>
          <w:marTop w:val="0"/>
          <w:marBottom w:val="0"/>
          <w:divBdr>
            <w:top w:val="none" w:sz="0" w:space="0" w:color="auto"/>
            <w:left w:val="none" w:sz="0" w:space="0" w:color="auto"/>
            <w:bottom w:val="none" w:sz="0" w:space="0" w:color="auto"/>
            <w:right w:val="none" w:sz="0" w:space="0" w:color="auto"/>
          </w:divBdr>
        </w:div>
      </w:divsChild>
    </w:div>
    <w:div w:id="1840120534">
      <w:bodyDiv w:val="1"/>
      <w:marLeft w:val="0"/>
      <w:marRight w:val="0"/>
      <w:marTop w:val="0"/>
      <w:marBottom w:val="0"/>
      <w:divBdr>
        <w:top w:val="none" w:sz="0" w:space="0" w:color="auto"/>
        <w:left w:val="none" w:sz="0" w:space="0" w:color="auto"/>
        <w:bottom w:val="none" w:sz="0" w:space="0" w:color="auto"/>
        <w:right w:val="none" w:sz="0" w:space="0" w:color="auto"/>
      </w:divBdr>
    </w:div>
    <w:div w:id="1862696412">
      <w:bodyDiv w:val="1"/>
      <w:marLeft w:val="0"/>
      <w:marRight w:val="0"/>
      <w:marTop w:val="0"/>
      <w:marBottom w:val="0"/>
      <w:divBdr>
        <w:top w:val="none" w:sz="0" w:space="0" w:color="auto"/>
        <w:left w:val="none" w:sz="0" w:space="0" w:color="auto"/>
        <w:bottom w:val="none" w:sz="0" w:space="0" w:color="auto"/>
        <w:right w:val="none" w:sz="0" w:space="0" w:color="auto"/>
      </w:divBdr>
      <w:divsChild>
        <w:div w:id="1318147705">
          <w:marLeft w:val="0"/>
          <w:marRight w:val="0"/>
          <w:marTop w:val="0"/>
          <w:marBottom w:val="0"/>
          <w:divBdr>
            <w:top w:val="none" w:sz="0" w:space="0" w:color="auto"/>
            <w:left w:val="none" w:sz="0" w:space="0" w:color="auto"/>
            <w:bottom w:val="none" w:sz="0" w:space="0" w:color="auto"/>
            <w:right w:val="none" w:sz="0" w:space="0" w:color="auto"/>
          </w:divBdr>
        </w:div>
      </w:divsChild>
    </w:div>
    <w:div w:id="1864510975">
      <w:bodyDiv w:val="1"/>
      <w:marLeft w:val="0"/>
      <w:marRight w:val="0"/>
      <w:marTop w:val="0"/>
      <w:marBottom w:val="0"/>
      <w:divBdr>
        <w:top w:val="none" w:sz="0" w:space="0" w:color="auto"/>
        <w:left w:val="none" w:sz="0" w:space="0" w:color="auto"/>
        <w:bottom w:val="none" w:sz="0" w:space="0" w:color="auto"/>
        <w:right w:val="none" w:sz="0" w:space="0" w:color="auto"/>
      </w:divBdr>
    </w:div>
    <w:div w:id="1864590537">
      <w:bodyDiv w:val="1"/>
      <w:marLeft w:val="0"/>
      <w:marRight w:val="0"/>
      <w:marTop w:val="0"/>
      <w:marBottom w:val="0"/>
      <w:divBdr>
        <w:top w:val="none" w:sz="0" w:space="0" w:color="auto"/>
        <w:left w:val="none" w:sz="0" w:space="0" w:color="auto"/>
        <w:bottom w:val="none" w:sz="0" w:space="0" w:color="auto"/>
        <w:right w:val="none" w:sz="0" w:space="0" w:color="auto"/>
      </w:divBdr>
    </w:div>
    <w:div w:id="1871214274">
      <w:bodyDiv w:val="1"/>
      <w:marLeft w:val="0"/>
      <w:marRight w:val="0"/>
      <w:marTop w:val="0"/>
      <w:marBottom w:val="0"/>
      <w:divBdr>
        <w:top w:val="none" w:sz="0" w:space="0" w:color="auto"/>
        <w:left w:val="none" w:sz="0" w:space="0" w:color="auto"/>
        <w:bottom w:val="none" w:sz="0" w:space="0" w:color="auto"/>
        <w:right w:val="none" w:sz="0" w:space="0" w:color="auto"/>
      </w:divBdr>
    </w:div>
    <w:div w:id="1874492081">
      <w:bodyDiv w:val="1"/>
      <w:marLeft w:val="0"/>
      <w:marRight w:val="0"/>
      <w:marTop w:val="0"/>
      <w:marBottom w:val="0"/>
      <w:divBdr>
        <w:top w:val="none" w:sz="0" w:space="0" w:color="auto"/>
        <w:left w:val="none" w:sz="0" w:space="0" w:color="auto"/>
        <w:bottom w:val="none" w:sz="0" w:space="0" w:color="auto"/>
        <w:right w:val="none" w:sz="0" w:space="0" w:color="auto"/>
      </w:divBdr>
    </w:div>
    <w:div w:id="1875075253">
      <w:bodyDiv w:val="1"/>
      <w:marLeft w:val="0"/>
      <w:marRight w:val="0"/>
      <w:marTop w:val="0"/>
      <w:marBottom w:val="0"/>
      <w:divBdr>
        <w:top w:val="none" w:sz="0" w:space="0" w:color="auto"/>
        <w:left w:val="none" w:sz="0" w:space="0" w:color="auto"/>
        <w:bottom w:val="none" w:sz="0" w:space="0" w:color="auto"/>
        <w:right w:val="none" w:sz="0" w:space="0" w:color="auto"/>
      </w:divBdr>
    </w:div>
    <w:div w:id="1880700630">
      <w:bodyDiv w:val="1"/>
      <w:marLeft w:val="0"/>
      <w:marRight w:val="0"/>
      <w:marTop w:val="0"/>
      <w:marBottom w:val="0"/>
      <w:divBdr>
        <w:top w:val="none" w:sz="0" w:space="0" w:color="auto"/>
        <w:left w:val="none" w:sz="0" w:space="0" w:color="auto"/>
        <w:bottom w:val="none" w:sz="0" w:space="0" w:color="auto"/>
        <w:right w:val="none" w:sz="0" w:space="0" w:color="auto"/>
      </w:divBdr>
    </w:div>
    <w:div w:id="1883856982">
      <w:bodyDiv w:val="1"/>
      <w:marLeft w:val="0"/>
      <w:marRight w:val="0"/>
      <w:marTop w:val="0"/>
      <w:marBottom w:val="0"/>
      <w:divBdr>
        <w:top w:val="none" w:sz="0" w:space="0" w:color="auto"/>
        <w:left w:val="none" w:sz="0" w:space="0" w:color="auto"/>
        <w:bottom w:val="none" w:sz="0" w:space="0" w:color="auto"/>
        <w:right w:val="none" w:sz="0" w:space="0" w:color="auto"/>
      </w:divBdr>
    </w:div>
    <w:div w:id="1893690315">
      <w:bodyDiv w:val="1"/>
      <w:marLeft w:val="0"/>
      <w:marRight w:val="0"/>
      <w:marTop w:val="0"/>
      <w:marBottom w:val="0"/>
      <w:divBdr>
        <w:top w:val="none" w:sz="0" w:space="0" w:color="auto"/>
        <w:left w:val="none" w:sz="0" w:space="0" w:color="auto"/>
        <w:bottom w:val="none" w:sz="0" w:space="0" w:color="auto"/>
        <w:right w:val="none" w:sz="0" w:space="0" w:color="auto"/>
      </w:divBdr>
    </w:div>
    <w:div w:id="1896578773">
      <w:bodyDiv w:val="1"/>
      <w:marLeft w:val="0"/>
      <w:marRight w:val="0"/>
      <w:marTop w:val="0"/>
      <w:marBottom w:val="0"/>
      <w:divBdr>
        <w:top w:val="none" w:sz="0" w:space="0" w:color="auto"/>
        <w:left w:val="none" w:sz="0" w:space="0" w:color="auto"/>
        <w:bottom w:val="none" w:sz="0" w:space="0" w:color="auto"/>
        <w:right w:val="none" w:sz="0" w:space="0" w:color="auto"/>
      </w:divBdr>
    </w:div>
    <w:div w:id="1909269183">
      <w:bodyDiv w:val="1"/>
      <w:marLeft w:val="0"/>
      <w:marRight w:val="0"/>
      <w:marTop w:val="0"/>
      <w:marBottom w:val="0"/>
      <w:divBdr>
        <w:top w:val="none" w:sz="0" w:space="0" w:color="auto"/>
        <w:left w:val="none" w:sz="0" w:space="0" w:color="auto"/>
        <w:bottom w:val="none" w:sz="0" w:space="0" w:color="auto"/>
        <w:right w:val="none" w:sz="0" w:space="0" w:color="auto"/>
      </w:divBdr>
    </w:div>
    <w:div w:id="1923224271">
      <w:bodyDiv w:val="1"/>
      <w:marLeft w:val="0"/>
      <w:marRight w:val="0"/>
      <w:marTop w:val="0"/>
      <w:marBottom w:val="0"/>
      <w:divBdr>
        <w:top w:val="none" w:sz="0" w:space="0" w:color="auto"/>
        <w:left w:val="none" w:sz="0" w:space="0" w:color="auto"/>
        <w:bottom w:val="none" w:sz="0" w:space="0" w:color="auto"/>
        <w:right w:val="none" w:sz="0" w:space="0" w:color="auto"/>
      </w:divBdr>
    </w:div>
    <w:div w:id="1930189442">
      <w:bodyDiv w:val="1"/>
      <w:marLeft w:val="0"/>
      <w:marRight w:val="0"/>
      <w:marTop w:val="0"/>
      <w:marBottom w:val="0"/>
      <w:divBdr>
        <w:top w:val="none" w:sz="0" w:space="0" w:color="auto"/>
        <w:left w:val="none" w:sz="0" w:space="0" w:color="auto"/>
        <w:bottom w:val="none" w:sz="0" w:space="0" w:color="auto"/>
        <w:right w:val="none" w:sz="0" w:space="0" w:color="auto"/>
      </w:divBdr>
    </w:div>
    <w:div w:id="1939831964">
      <w:bodyDiv w:val="1"/>
      <w:marLeft w:val="0"/>
      <w:marRight w:val="0"/>
      <w:marTop w:val="0"/>
      <w:marBottom w:val="0"/>
      <w:divBdr>
        <w:top w:val="none" w:sz="0" w:space="0" w:color="auto"/>
        <w:left w:val="none" w:sz="0" w:space="0" w:color="auto"/>
        <w:bottom w:val="none" w:sz="0" w:space="0" w:color="auto"/>
        <w:right w:val="none" w:sz="0" w:space="0" w:color="auto"/>
      </w:divBdr>
    </w:div>
    <w:div w:id="1957371741">
      <w:bodyDiv w:val="1"/>
      <w:marLeft w:val="0"/>
      <w:marRight w:val="0"/>
      <w:marTop w:val="0"/>
      <w:marBottom w:val="0"/>
      <w:divBdr>
        <w:top w:val="none" w:sz="0" w:space="0" w:color="auto"/>
        <w:left w:val="none" w:sz="0" w:space="0" w:color="auto"/>
        <w:bottom w:val="none" w:sz="0" w:space="0" w:color="auto"/>
        <w:right w:val="none" w:sz="0" w:space="0" w:color="auto"/>
      </w:divBdr>
    </w:div>
    <w:div w:id="1960600705">
      <w:bodyDiv w:val="1"/>
      <w:marLeft w:val="0"/>
      <w:marRight w:val="0"/>
      <w:marTop w:val="0"/>
      <w:marBottom w:val="0"/>
      <w:divBdr>
        <w:top w:val="none" w:sz="0" w:space="0" w:color="auto"/>
        <w:left w:val="none" w:sz="0" w:space="0" w:color="auto"/>
        <w:bottom w:val="none" w:sz="0" w:space="0" w:color="auto"/>
        <w:right w:val="none" w:sz="0" w:space="0" w:color="auto"/>
      </w:divBdr>
    </w:div>
    <w:div w:id="1960646794">
      <w:bodyDiv w:val="1"/>
      <w:marLeft w:val="0"/>
      <w:marRight w:val="0"/>
      <w:marTop w:val="0"/>
      <w:marBottom w:val="0"/>
      <w:divBdr>
        <w:top w:val="none" w:sz="0" w:space="0" w:color="auto"/>
        <w:left w:val="none" w:sz="0" w:space="0" w:color="auto"/>
        <w:bottom w:val="none" w:sz="0" w:space="0" w:color="auto"/>
        <w:right w:val="none" w:sz="0" w:space="0" w:color="auto"/>
      </w:divBdr>
    </w:div>
    <w:div w:id="1966347842">
      <w:bodyDiv w:val="1"/>
      <w:marLeft w:val="0"/>
      <w:marRight w:val="0"/>
      <w:marTop w:val="0"/>
      <w:marBottom w:val="0"/>
      <w:divBdr>
        <w:top w:val="none" w:sz="0" w:space="0" w:color="auto"/>
        <w:left w:val="none" w:sz="0" w:space="0" w:color="auto"/>
        <w:bottom w:val="none" w:sz="0" w:space="0" w:color="auto"/>
        <w:right w:val="none" w:sz="0" w:space="0" w:color="auto"/>
      </w:divBdr>
    </w:div>
    <w:div w:id="1969772334">
      <w:bodyDiv w:val="1"/>
      <w:marLeft w:val="0"/>
      <w:marRight w:val="0"/>
      <w:marTop w:val="0"/>
      <w:marBottom w:val="0"/>
      <w:divBdr>
        <w:top w:val="none" w:sz="0" w:space="0" w:color="auto"/>
        <w:left w:val="none" w:sz="0" w:space="0" w:color="auto"/>
        <w:bottom w:val="none" w:sz="0" w:space="0" w:color="auto"/>
        <w:right w:val="none" w:sz="0" w:space="0" w:color="auto"/>
      </w:divBdr>
    </w:div>
    <w:div w:id="1973093464">
      <w:bodyDiv w:val="1"/>
      <w:marLeft w:val="0"/>
      <w:marRight w:val="0"/>
      <w:marTop w:val="0"/>
      <w:marBottom w:val="0"/>
      <w:divBdr>
        <w:top w:val="none" w:sz="0" w:space="0" w:color="auto"/>
        <w:left w:val="none" w:sz="0" w:space="0" w:color="auto"/>
        <w:bottom w:val="none" w:sz="0" w:space="0" w:color="auto"/>
        <w:right w:val="none" w:sz="0" w:space="0" w:color="auto"/>
      </w:divBdr>
    </w:div>
    <w:div w:id="1976838155">
      <w:bodyDiv w:val="1"/>
      <w:marLeft w:val="0"/>
      <w:marRight w:val="0"/>
      <w:marTop w:val="0"/>
      <w:marBottom w:val="0"/>
      <w:divBdr>
        <w:top w:val="none" w:sz="0" w:space="0" w:color="auto"/>
        <w:left w:val="none" w:sz="0" w:space="0" w:color="auto"/>
        <w:bottom w:val="none" w:sz="0" w:space="0" w:color="auto"/>
        <w:right w:val="none" w:sz="0" w:space="0" w:color="auto"/>
      </w:divBdr>
    </w:div>
    <w:div w:id="1979216922">
      <w:bodyDiv w:val="1"/>
      <w:marLeft w:val="0"/>
      <w:marRight w:val="0"/>
      <w:marTop w:val="0"/>
      <w:marBottom w:val="0"/>
      <w:divBdr>
        <w:top w:val="none" w:sz="0" w:space="0" w:color="auto"/>
        <w:left w:val="none" w:sz="0" w:space="0" w:color="auto"/>
        <w:bottom w:val="none" w:sz="0" w:space="0" w:color="auto"/>
        <w:right w:val="none" w:sz="0" w:space="0" w:color="auto"/>
      </w:divBdr>
    </w:div>
    <w:div w:id="1986086375">
      <w:bodyDiv w:val="1"/>
      <w:marLeft w:val="0"/>
      <w:marRight w:val="0"/>
      <w:marTop w:val="0"/>
      <w:marBottom w:val="0"/>
      <w:divBdr>
        <w:top w:val="none" w:sz="0" w:space="0" w:color="auto"/>
        <w:left w:val="none" w:sz="0" w:space="0" w:color="auto"/>
        <w:bottom w:val="none" w:sz="0" w:space="0" w:color="auto"/>
        <w:right w:val="none" w:sz="0" w:space="0" w:color="auto"/>
      </w:divBdr>
      <w:divsChild>
        <w:div w:id="906495717">
          <w:marLeft w:val="0"/>
          <w:marRight w:val="0"/>
          <w:marTop w:val="0"/>
          <w:marBottom w:val="0"/>
          <w:divBdr>
            <w:top w:val="none" w:sz="0" w:space="0" w:color="auto"/>
            <w:left w:val="none" w:sz="0" w:space="0" w:color="auto"/>
            <w:bottom w:val="none" w:sz="0" w:space="0" w:color="auto"/>
            <w:right w:val="none" w:sz="0" w:space="0" w:color="auto"/>
          </w:divBdr>
          <w:divsChild>
            <w:div w:id="1505824800">
              <w:marLeft w:val="0"/>
              <w:marRight w:val="0"/>
              <w:marTop w:val="0"/>
              <w:marBottom w:val="0"/>
              <w:divBdr>
                <w:top w:val="none" w:sz="0" w:space="0" w:color="auto"/>
                <w:left w:val="none" w:sz="0" w:space="0" w:color="auto"/>
                <w:bottom w:val="none" w:sz="0" w:space="0" w:color="auto"/>
                <w:right w:val="none" w:sz="0" w:space="0" w:color="auto"/>
              </w:divBdr>
              <w:divsChild>
                <w:div w:id="472676279">
                  <w:marLeft w:val="0"/>
                  <w:marRight w:val="0"/>
                  <w:marTop w:val="0"/>
                  <w:marBottom w:val="0"/>
                  <w:divBdr>
                    <w:top w:val="none" w:sz="0" w:space="0" w:color="auto"/>
                    <w:left w:val="none" w:sz="0" w:space="0" w:color="auto"/>
                    <w:bottom w:val="none" w:sz="0" w:space="0" w:color="auto"/>
                    <w:right w:val="none" w:sz="0" w:space="0" w:color="auto"/>
                  </w:divBdr>
                  <w:divsChild>
                    <w:div w:id="2144033756">
                      <w:marLeft w:val="-225"/>
                      <w:marRight w:val="-225"/>
                      <w:marTop w:val="0"/>
                      <w:marBottom w:val="0"/>
                      <w:divBdr>
                        <w:top w:val="none" w:sz="0" w:space="0" w:color="auto"/>
                        <w:left w:val="none" w:sz="0" w:space="0" w:color="auto"/>
                        <w:bottom w:val="none" w:sz="0" w:space="0" w:color="auto"/>
                        <w:right w:val="none" w:sz="0" w:space="0" w:color="auto"/>
                      </w:divBdr>
                      <w:divsChild>
                        <w:div w:id="1988121973">
                          <w:marLeft w:val="0"/>
                          <w:marRight w:val="0"/>
                          <w:marTop w:val="0"/>
                          <w:marBottom w:val="0"/>
                          <w:divBdr>
                            <w:top w:val="none" w:sz="0" w:space="0" w:color="auto"/>
                            <w:left w:val="none" w:sz="0" w:space="0" w:color="auto"/>
                            <w:bottom w:val="none" w:sz="0" w:space="0" w:color="auto"/>
                            <w:right w:val="none" w:sz="0" w:space="0" w:color="auto"/>
                          </w:divBdr>
                          <w:divsChild>
                            <w:div w:id="989946960">
                              <w:marLeft w:val="0"/>
                              <w:marRight w:val="0"/>
                              <w:marTop w:val="0"/>
                              <w:marBottom w:val="0"/>
                              <w:divBdr>
                                <w:top w:val="none" w:sz="0" w:space="0" w:color="auto"/>
                                <w:left w:val="none" w:sz="0" w:space="0" w:color="auto"/>
                                <w:bottom w:val="none" w:sz="0" w:space="0" w:color="auto"/>
                                <w:right w:val="none" w:sz="0" w:space="0" w:color="auto"/>
                              </w:divBdr>
                              <w:divsChild>
                                <w:div w:id="1471551771">
                                  <w:marLeft w:val="0"/>
                                  <w:marRight w:val="0"/>
                                  <w:marTop w:val="0"/>
                                  <w:marBottom w:val="0"/>
                                  <w:divBdr>
                                    <w:top w:val="none" w:sz="0" w:space="0" w:color="auto"/>
                                    <w:left w:val="none" w:sz="0" w:space="0" w:color="auto"/>
                                    <w:bottom w:val="none" w:sz="0" w:space="0" w:color="auto"/>
                                    <w:right w:val="none" w:sz="0" w:space="0" w:color="auto"/>
                                  </w:divBdr>
                                  <w:divsChild>
                                    <w:div w:id="1210729392">
                                      <w:marLeft w:val="0"/>
                                      <w:marRight w:val="0"/>
                                      <w:marTop w:val="0"/>
                                      <w:marBottom w:val="0"/>
                                      <w:divBdr>
                                        <w:top w:val="none" w:sz="0" w:space="0" w:color="auto"/>
                                        <w:left w:val="none" w:sz="0" w:space="0" w:color="auto"/>
                                        <w:bottom w:val="none" w:sz="0" w:space="0" w:color="auto"/>
                                        <w:right w:val="none" w:sz="0" w:space="0" w:color="auto"/>
                                      </w:divBdr>
                                      <w:divsChild>
                                        <w:div w:id="1550264248">
                                          <w:marLeft w:val="0"/>
                                          <w:marRight w:val="0"/>
                                          <w:marTop w:val="0"/>
                                          <w:marBottom w:val="0"/>
                                          <w:divBdr>
                                            <w:top w:val="none" w:sz="0" w:space="0" w:color="auto"/>
                                            <w:left w:val="none" w:sz="0" w:space="0" w:color="auto"/>
                                            <w:bottom w:val="none" w:sz="0" w:space="0" w:color="auto"/>
                                            <w:right w:val="none" w:sz="0" w:space="0" w:color="auto"/>
                                          </w:divBdr>
                                          <w:divsChild>
                                            <w:div w:id="20448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15925">
      <w:bodyDiv w:val="1"/>
      <w:marLeft w:val="0"/>
      <w:marRight w:val="0"/>
      <w:marTop w:val="0"/>
      <w:marBottom w:val="0"/>
      <w:divBdr>
        <w:top w:val="none" w:sz="0" w:space="0" w:color="auto"/>
        <w:left w:val="none" w:sz="0" w:space="0" w:color="auto"/>
        <w:bottom w:val="none" w:sz="0" w:space="0" w:color="auto"/>
        <w:right w:val="none" w:sz="0" w:space="0" w:color="auto"/>
      </w:divBdr>
    </w:div>
    <w:div w:id="2006781123">
      <w:bodyDiv w:val="1"/>
      <w:marLeft w:val="0"/>
      <w:marRight w:val="0"/>
      <w:marTop w:val="0"/>
      <w:marBottom w:val="0"/>
      <w:divBdr>
        <w:top w:val="none" w:sz="0" w:space="0" w:color="auto"/>
        <w:left w:val="none" w:sz="0" w:space="0" w:color="auto"/>
        <w:bottom w:val="none" w:sz="0" w:space="0" w:color="auto"/>
        <w:right w:val="none" w:sz="0" w:space="0" w:color="auto"/>
      </w:divBdr>
    </w:div>
    <w:div w:id="2027051314">
      <w:bodyDiv w:val="1"/>
      <w:marLeft w:val="0"/>
      <w:marRight w:val="0"/>
      <w:marTop w:val="0"/>
      <w:marBottom w:val="0"/>
      <w:divBdr>
        <w:top w:val="none" w:sz="0" w:space="0" w:color="auto"/>
        <w:left w:val="none" w:sz="0" w:space="0" w:color="auto"/>
        <w:bottom w:val="none" w:sz="0" w:space="0" w:color="auto"/>
        <w:right w:val="none" w:sz="0" w:space="0" w:color="auto"/>
      </w:divBdr>
      <w:divsChild>
        <w:div w:id="1133251071">
          <w:marLeft w:val="547"/>
          <w:marRight w:val="0"/>
          <w:marTop w:val="0"/>
          <w:marBottom w:val="0"/>
          <w:divBdr>
            <w:top w:val="none" w:sz="0" w:space="0" w:color="auto"/>
            <w:left w:val="none" w:sz="0" w:space="0" w:color="auto"/>
            <w:bottom w:val="none" w:sz="0" w:space="0" w:color="auto"/>
            <w:right w:val="none" w:sz="0" w:space="0" w:color="auto"/>
          </w:divBdr>
        </w:div>
      </w:divsChild>
    </w:div>
    <w:div w:id="2029065014">
      <w:bodyDiv w:val="1"/>
      <w:marLeft w:val="0"/>
      <w:marRight w:val="0"/>
      <w:marTop w:val="0"/>
      <w:marBottom w:val="0"/>
      <w:divBdr>
        <w:top w:val="none" w:sz="0" w:space="0" w:color="auto"/>
        <w:left w:val="none" w:sz="0" w:space="0" w:color="auto"/>
        <w:bottom w:val="none" w:sz="0" w:space="0" w:color="auto"/>
        <w:right w:val="none" w:sz="0" w:space="0" w:color="auto"/>
      </w:divBdr>
    </w:div>
    <w:div w:id="2029601517">
      <w:bodyDiv w:val="1"/>
      <w:marLeft w:val="0"/>
      <w:marRight w:val="0"/>
      <w:marTop w:val="0"/>
      <w:marBottom w:val="0"/>
      <w:divBdr>
        <w:top w:val="none" w:sz="0" w:space="0" w:color="auto"/>
        <w:left w:val="none" w:sz="0" w:space="0" w:color="auto"/>
        <w:bottom w:val="none" w:sz="0" w:space="0" w:color="auto"/>
        <w:right w:val="none" w:sz="0" w:space="0" w:color="auto"/>
      </w:divBdr>
    </w:div>
    <w:div w:id="2037846217">
      <w:bodyDiv w:val="1"/>
      <w:marLeft w:val="0"/>
      <w:marRight w:val="0"/>
      <w:marTop w:val="0"/>
      <w:marBottom w:val="0"/>
      <w:divBdr>
        <w:top w:val="none" w:sz="0" w:space="0" w:color="auto"/>
        <w:left w:val="none" w:sz="0" w:space="0" w:color="auto"/>
        <w:bottom w:val="none" w:sz="0" w:space="0" w:color="auto"/>
        <w:right w:val="none" w:sz="0" w:space="0" w:color="auto"/>
      </w:divBdr>
    </w:div>
    <w:div w:id="2043090574">
      <w:bodyDiv w:val="1"/>
      <w:marLeft w:val="0"/>
      <w:marRight w:val="0"/>
      <w:marTop w:val="0"/>
      <w:marBottom w:val="0"/>
      <w:divBdr>
        <w:top w:val="none" w:sz="0" w:space="0" w:color="auto"/>
        <w:left w:val="none" w:sz="0" w:space="0" w:color="auto"/>
        <w:bottom w:val="none" w:sz="0" w:space="0" w:color="auto"/>
        <w:right w:val="none" w:sz="0" w:space="0" w:color="auto"/>
      </w:divBdr>
    </w:div>
    <w:div w:id="2069068211">
      <w:bodyDiv w:val="1"/>
      <w:marLeft w:val="0"/>
      <w:marRight w:val="0"/>
      <w:marTop w:val="0"/>
      <w:marBottom w:val="0"/>
      <w:divBdr>
        <w:top w:val="none" w:sz="0" w:space="0" w:color="auto"/>
        <w:left w:val="none" w:sz="0" w:space="0" w:color="auto"/>
        <w:bottom w:val="none" w:sz="0" w:space="0" w:color="auto"/>
        <w:right w:val="none" w:sz="0" w:space="0" w:color="auto"/>
      </w:divBdr>
    </w:div>
    <w:div w:id="2092268225">
      <w:bodyDiv w:val="1"/>
      <w:marLeft w:val="0"/>
      <w:marRight w:val="0"/>
      <w:marTop w:val="0"/>
      <w:marBottom w:val="0"/>
      <w:divBdr>
        <w:top w:val="none" w:sz="0" w:space="0" w:color="auto"/>
        <w:left w:val="none" w:sz="0" w:space="0" w:color="auto"/>
        <w:bottom w:val="none" w:sz="0" w:space="0" w:color="auto"/>
        <w:right w:val="none" w:sz="0" w:space="0" w:color="auto"/>
      </w:divBdr>
    </w:div>
    <w:div w:id="2103606486">
      <w:bodyDiv w:val="1"/>
      <w:marLeft w:val="0"/>
      <w:marRight w:val="0"/>
      <w:marTop w:val="0"/>
      <w:marBottom w:val="0"/>
      <w:divBdr>
        <w:top w:val="none" w:sz="0" w:space="0" w:color="auto"/>
        <w:left w:val="none" w:sz="0" w:space="0" w:color="auto"/>
        <w:bottom w:val="none" w:sz="0" w:space="0" w:color="auto"/>
        <w:right w:val="none" w:sz="0" w:space="0" w:color="auto"/>
      </w:divBdr>
    </w:div>
    <w:div w:id="2112166929">
      <w:bodyDiv w:val="1"/>
      <w:marLeft w:val="0"/>
      <w:marRight w:val="0"/>
      <w:marTop w:val="0"/>
      <w:marBottom w:val="0"/>
      <w:divBdr>
        <w:top w:val="none" w:sz="0" w:space="0" w:color="auto"/>
        <w:left w:val="none" w:sz="0" w:space="0" w:color="auto"/>
        <w:bottom w:val="none" w:sz="0" w:space="0" w:color="auto"/>
        <w:right w:val="none" w:sz="0" w:space="0" w:color="auto"/>
      </w:divBdr>
    </w:div>
    <w:div w:id="2115897184">
      <w:bodyDiv w:val="1"/>
      <w:marLeft w:val="0"/>
      <w:marRight w:val="0"/>
      <w:marTop w:val="0"/>
      <w:marBottom w:val="0"/>
      <w:divBdr>
        <w:top w:val="none" w:sz="0" w:space="0" w:color="auto"/>
        <w:left w:val="none" w:sz="0" w:space="0" w:color="auto"/>
        <w:bottom w:val="none" w:sz="0" w:space="0" w:color="auto"/>
        <w:right w:val="none" w:sz="0" w:space="0" w:color="auto"/>
      </w:divBdr>
    </w:div>
    <w:div w:id="2117795951">
      <w:bodyDiv w:val="1"/>
      <w:marLeft w:val="0"/>
      <w:marRight w:val="0"/>
      <w:marTop w:val="0"/>
      <w:marBottom w:val="0"/>
      <w:divBdr>
        <w:top w:val="none" w:sz="0" w:space="0" w:color="auto"/>
        <w:left w:val="none" w:sz="0" w:space="0" w:color="auto"/>
        <w:bottom w:val="none" w:sz="0" w:space="0" w:color="auto"/>
        <w:right w:val="none" w:sz="0" w:space="0" w:color="auto"/>
      </w:divBdr>
    </w:div>
    <w:div w:id="2130471817">
      <w:bodyDiv w:val="1"/>
      <w:marLeft w:val="0"/>
      <w:marRight w:val="0"/>
      <w:marTop w:val="0"/>
      <w:marBottom w:val="0"/>
      <w:divBdr>
        <w:top w:val="none" w:sz="0" w:space="0" w:color="auto"/>
        <w:left w:val="none" w:sz="0" w:space="0" w:color="auto"/>
        <w:bottom w:val="none" w:sz="0" w:space="0" w:color="auto"/>
        <w:right w:val="none" w:sz="0" w:space="0" w:color="auto"/>
      </w:divBdr>
    </w:div>
    <w:div w:id="2132311406">
      <w:bodyDiv w:val="1"/>
      <w:marLeft w:val="0"/>
      <w:marRight w:val="0"/>
      <w:marTop w:val="0"/>
      <w:marBottom w:val="0"/>
      <w:divBdr>
        <w:top w:val="none" w:sz="0" w:space="0" w:color="auto"/>
        <w:left w:val="none" w:sz="0" w:space="0" w:color="auto"/>
        <w:bottom w:val="none" w:sz="0" w:space="0" w:color="auto"/>
        <w:right w:val="none" w:sz="0" w:space="0" w:color="auto"/>
      </w:divBdr>
    </w:div>
    <w:div w:id="2136604881">
      <w:bodyDiv w:val="1"/>
      <w:marLeft w:val="0"/>
      <w:marRight w:val="0"/>
      <w:marTop w:val="0"/>
      <w:marBottom w:val="0"/>
      <w:divBdr>
        <w:top w:val="none" w:sz="0" w:space="0" w:color="auto"/>
        <w:left w:val="none" w:sz="0" w:space="0" w:color="auto"/>
        <w:bottom w:val="none" w:sz="0" w:space="0" w:color="auto"/>
        <w:right w:val="none" w:sz="0" w:space="0" w:color="auto"/>
      </w:divBdr>
    </w:div>
    <w:div w:id="213732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www.zakon.hr/cms.htm?id=382" TargetMode="External"/><Relationship Id="rId42" Type="http://schemas.openxmlformats.org/officeDocument/2006/relationships/image" Target="media/image22.emf"/><Relationship Id="rId47" Type="http://schemas.openxmlformats.org/officeDocument/2006/relationships/hyperlink" Target="http://www.enu.hr" TargetMode="External"/><Relationship Id="rId63" Type="http://schemas.openxmlformats.org/officeDocument/2006/relationships/image" Target="media/image42.emf"/><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customXml" Target="../customXml/item5.xml"/><Relationship Id="rId16" Type="http://schemas.openxmlformats.org/officeDocument/2006/relationships/hyperlink" Target="https://www.zakon.hr/cms.htm?id=35295" TargetMode="Externa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emf"/><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3.emf"/><Relationship Id="rId79" Type="http://schemas.openxmlformats.org/officeDocument/2006/relationships/image" Target="media/image58.png"/><Relationship Id="rId5"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hyperlink" Target="http://www.zakon.hr/cms.htm?id=383"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zakon.hr/cms.htm?id=35297" TargetMode="External"/><Relationship Id="rId25" Type="http://schemas.openxmlformats.org/officeDocument/2006/relationships/hyperlink" Target="http://www.zakon.hr/cms.htm?id=17725" TargetMode="External"/><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image" Target="media/image46.png"/><Relationship Id="rId20" Type="http://schemas.openxmlformats.org/officeDocument/2006/relationships/hyperlink" Target="https://www.enu.hr/" TargetMode="External"/><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jpeg"/><Relationship Id="rId75" Type="http://schemas.openxmlformats.org/officeDocument/2006/relationships/image" Target="media/image54.emf"/><Relationship Id="rId83" Type="http://schemas.openxmlformats.org/officeDocument/2006/relationships/image" Target="media/image62.emf"/><Relationship Id="rId88"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zakon.hr/cms.htm?id=384"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1.png"/><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chart" Target="charts/chart1.xml"/><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hyperlink" Target="http://www.zakon.hr/cms.htm?id=385" TargetMode="External"/><Relationship Id="rId40" Type="http://schemas.openxmlformats.org/officeDocument/2006/relationships/image" Target="media/image20.emf"/><Relationship Id="rId45" Type="http://schemas.openxmlformats.org/officeDocument/2006/relationships/image" Target="media/image25.emf"/><Relationship Id="rId66" Type="http://schemas.openxmlformats.org/officeDocument/2006/relationships/image" Target="media/image45.png"/><Relationship Id="rId87" Type="http://schemas.openxmlformats.org/officeDocument/2006/relationships/theme" Target="theme/theme1.xml"/><Relationship Id="rId61" Type="http://schemas.openxmlformats.org/officeDocument/2006/relationships/image" Target="media/image40.emf"/><Relationship Id="rId82" Type="http://schemas.openxmlformats.org/officeDocument/2006/relationships/image" Target="media/image61.png"/><Relationship Id="rId19" Type="http://schemas.openxmlformats.org/officeDocument/2006/relationships/hyperlink" Target="http://narodne-novine.nn.hr/clanci/sluzbeni/2015_02_18_389.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HR/TXT/?qid=1585811887070&amp;uri=CELEX:52020DC0098" TargetMode="External"/><Relationship Id="rId13" Type="http://schemas.openxmlformats.org/officeDocument/2006/relationships/hyperlink" Target="https://podaci.dzs.hr/media/atbjbcfy/sdg-2023_hr.pdf" TargetMode="External"/><Relationship Id="rId3" Type="http://schemas.openxmlformats.org/officeDocument/2006/relationships/hyperlink" Target="https://mpgi.gov.hr/o-ministarstvu/djelokrug-50/energetska-ucinkovitost-u-zgradarstvu/povelja-o-dekarbonizaciji-zgrada/8915" TargetMode="External"/><Relationship Id="rId7" Type="http://schemas.openxmlformats.org/officeDocument/2006/relationships/hyperlink" Target="https://esavjetovanja.gov.hr/Documents/List/22083" TargetMode="External"/><Relationship Id="rId12" Type="http://schemas.openxmlformats.org/officeDocument/2006/relationships/hyperlink" Target="https://ec.europa.eu/clima/sites/lts/lts_hr_hr.pdf" TargetMode="External"/><Relationship Id="rId2" Type="http://schemas.openxmlformats.org/officeDocument/2006/relationships/hyperlink" Target="https://www.haop.hr/sites/default/files/uploads/dokumenti/012_klima/dostava_podataka/Izvjesca/HRV_RoP_2019.pdf" TargetMode="External"/><Relationship Id="rId1" Type="http://schemas.openxmlformats.org/officeDocument/2006/relationships/hyperlink" Target="https://unfccc.int/documents/638337" TargetMode="External"/><Relationship Id="rId6" Type="http://schemas.openxmlformats.org/officeDocument/2006/relationships/hyperlink" Target="https://mzo.gov.hr/vijesti/provedeno-znanstveno-i-tehnologijsko-mapiranje-u-sklopu-projekta-znanstveno-i-tehnologijsko-predvidjanje/4953" TargetMode="External"/><Relationship Id="rId11" Type="http://schemas.openxmlformats.org/officeDocument/2006/relationships/hyperlink" Target="http://mgipu.hr/default.aspx?id=12841" TargetMode="External"/><Relationship Id="rId5" Type="http://schemas.openxmlformats.org/officeDocument/2006/relationships/hyperlink" Target="https://mzo.gov.hr/UserDocsImages/dokumenti/EUfondovi/OPKK_2014-2020/ZTP/Analiticko-izvjesce-o-provedenom-znanstvenom-i-tehnologijskom-mapiranju-KK-01-1-1-03-0001.pdf" TargetMode="External"/><Relationship Id="rId15" Type="http://schemas.openxmlformats.org/officeDocument/2006/relationships/hyperlink" Target="https://ec.europa.eu/commission/presscorner/detail/hr/qanda_20_24" TargetMode="External"/><Relationship Id="rId10" Type="http://schemas.openxmlformats.org/officeDocument/2006/relationships/hyperlink" Target="https://eur-lex.europa.eu/legal-content/HR/TXT/?uri=CELEX:32008L0098" TargetMode="External"/><Relationship Id="rId4" Type="http://schemas.openxmlformats.org/officeDocument/2006/relationships/hyperlink" Target="https://mingor.gov.hr/UserDocsImages/slike/Vijesti/2022/S3%20do%202029%20Tekst%20VRH%202023%2012%2013.pdf" TargetMode="External"/><Relationship Id="rId9" Type="http://schemas.openxmlformats.org/officeDocument/2006/relationships/hyperlink" Target="https://eur-lex.europa.eu/legal-content/HR/TXT/?uri=celex%3A31999L0031" TargetMode="External"/><Relationship Id="rId14" Type="http://schemas.openxmlformats.org/officeDocument/2006/relationships/hyperlink" Target="https://climate.ec.europa.eu/eu-action/funding-climate-action/innovation-fund/legal-framework_e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Podatci!$Z$68</c:f>
              <c:strCache>
                <c:ptCount val="1"/>
                <c:pt idx="0">
                  <c:v>Potrošnja primarne energije-ostvarena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8269512985721457E-3"/>
                  <c:y val="-2.7157128910828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FB-40DA-90D2-E5B5B7ACFD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Podatci!$AA$67:$AQ$67</c:f>
              <c:strCach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strCache>
            </c:strRef>
          </c:cat>
          <c:val>
            <c:numRef>
              <c:f>Podatci!$AA$68:$AQ$68</c:f>
              <c:numCache>
                <c:formatCode>#,##0.0</c:formatCode>
                <c:ptCount val="17"/>
                <c:pt idx="0">
                  <c:v>379.80390100620474</c:v>
                </c:pt>
                <c:pt idx="1">
                  <c:v>376.51074455405791</c:v>
                </c:pt>
                <c:pt idx="2">
                  <c:v>383.98291327637492</c:v>
                </c:pt>
                <c:pt idx="3">
                  <c:v>391.51487019213778</c:v>
                </c:pt>
                <c:pt idx="4">
                  <c:v>388.60165632511854</c:v>
                </c:pt>
                <c:pt idx="5">
                  <c:v>382.09470567319153</c:v>
                </c:pt>
                <c:pt idx="6">
                  <c:v>364.55754203288262</c:v>
                </c:pt>
              </c:numCache>
            </c:numRef>
          </c:val>
          <c:smooth val="0"/>
          <c:extLst>
            <c:ext xmlns:c16="http://schemas.microsoft.com/office/drawing/2014/chart" uri="{C3380CC4-5D6E-409C-BE32-E72D297353CC}">
              <c16:uniqueId val="{00000001-FCFB-40DA-90D2-E5B5B7ACFDA4}"/>
            </c:ext>
          </c:extLst>
        </c:ser>
        <c:ser>
          <c:idx val="1"/>
          <c:order val="1"/>
          <c:tx>
            <c:strRef>
              <c:f>Podatci!$Z$69</c:f>
              <c:strCache>
                <c:ptCount val="1"/>
                <c:pt idx="0">
                  <c:v>Neposredna potrošnja energije-ostvarena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5019292856858733E-2"/>
                  <c:y val="-3.1335148743263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FB-40DA-90D2-E5B5B7ACFD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Podatci!$AA$67:$AQ$67</c:f>
              <c:strCach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strCache>
            </c:strRef>
          </c:cat>
          <c:val>
            <c:numRef>
              <c:f>Podatci!$AA$69:$AQ$69</c:f>
              <c:numCache>
                <c:formatCode>#,##0.0</c:formatCode>
                <c:ptCount val="17"/>
                <c:pt idx="0">
                  <c:v>260.72666266000004</c:v>
                </c:pt>
                <c:pt idx="1">
                  <c:v>275.078512605127</c:v>
                </c:pt>
                <c:pt idx="2">
                  <c:v>277.34487133409334</c:v>
                </c:pt>
                <c:pt idx="3">
                  <c:v>289.54920412297406</c:v>
                </c:pt>
                <c:pt idx="4">
                  <c:v>286.28698399999996</c:v>
                </c:pt>
                <c:pt idx="5">
                  <c:v>288.85941800000012</c:v>
                </c:pt>
                <c:pt idx="6">
                  <c:v>269.50490200000002</c:v>
                </c:pt>
              </c:numCache>
            </c:numRef>
          </c:val>
          <c:smooth val="0"/>
          <c:extLst>
            <c:ext xmlns:c16="http://schemas.microsoft.com/office/drawing/2014/chart" uri="{C3380CC4-5D6E-409C-BE32-E72D297353CC}">
              <c16:uniqueId val="{00000003-FCFB-40DA-90D2-E5B5B7ACFDA4}"/>
            </c:ext>
          </c:extLst>
        </c:ser>
        <c:ser>
          <c:idx val="2"/>
          <c:order val="2"/>
          <c:tx>
            <c:strRef>
              <c:f>Podatci!$Z$70</c:f>
              <c:strCache>
                <c:ptCount val="1"/>
                <c:pt idx="0">
                  <c:v>Potrošnja primarne energije - projekcije</c:v>
                </c:pt>
              </c:strCache>
            </c:strRef>
          </c:tx>
          <c:spPr>
            <a:ln w="28575" cap="rnd">
              <a:solidFill>
                <a:schemeClr val="accent1"/>
              </a:solidFill>
              <a:prstDash val="sysDot"/>
              <a:round/>
            </a:ln>
            <a:effectLst/>
          </c:spPr>
          <c:marker>
            <c:symbol val="circle"/>
            <c:size val="5"/>
            <c:spPr>
              <a:solidFill>
                <a:schemeClr val="accent1"/>
              </a:solidFill>
              <a:ln w="9525">
                <a:solidFill>
                  <a:schemeClr val="accent1"/>
                </a:solidFill>
              </a:ln>
              <a:effectLst/>
            </c:spPr>
          </c:marker>
          <c:dPt>
            <c:idx val="16"/>
            <c:marker>
              <c:symbol val="x"/>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4-FCFB-40DA-90D2-E5B5B7ACFDA4}"/>
              </c:ext>
            </c:extLst>
          </c:dPt>
          <c:dLbls>
            <c:dLbl>
              <c:idx val="6"/>
              <c:layout>
                <c:manualLayout>
                  <c:x val="-2.0480853895716487E-2"/>
                  <c:y val="-3.3424158659480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FB-40DA-90D2-E5B5B7ACFDA4}"/>
                </c:ext>
              </c:extLst>
            </c:dLbl>
            <c:dLbl>
              <c:idx val="16"/>
              <c:layout>
                <c:manualLayout>
                  <c:x val="-1.9115463636002007E-2"/>
                  <c:y val="-3.9691188408133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FB-40DA-90D2-E5B5B7ACFD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Podatci!$AA$67:$AQ$67</c:f>
              <c:strCach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strCache>
            </c:strRef>
          </c:cat>
          <c:val>
            <c:numRef>
              <c:f>Podatci!$AA$70:$AQ$70</c:f>
              <c:numCache>
                <c:formatCode>General</c:formatCode>
                <c:ptCount val="17"/>
                <c:pt idx="6" formatCode="#,##0.0">
                  <c:v>364.55754203288262</c:v>
                </c:pt>
                <c:pt idx="7" formatCode="0.0">
                  <c:v>362.48874944401496</c:v>
                </c:pt>
                <c:pt idx="8" formatCode="0.0">
                  <c:v>360.43169684755532</c:v>
                </c:pt>
                <c:pt idx="9" formatCode="0.0">
                  <c:v>358.3863176213481</c:v>
                </c:pt>
                <c:pt idx="10" formatCode="0.0">
                  <c:v>356.35254552130539</c:v>
                </c:pt>
                <c:pt idx="11" formatCode="0.0">
                  <c:v>354.33031467926151</c:v>
                </c:pt>
                <c:pt idx="12" formatCode="0.0">
                  <c:v>352.31955960083963</c:v>
                </c:pt>
                <c:pt idx="13" formatCode="0.0">
                  <c:v>350.32021516333077</c:v>
                </c:pt>
                <c:pt idx="14" formatCode="0.0">
                  <c:v>348.33221661358454</c:v>
                </c:pt>
                <c:pt idx="15" formatCode="0.0">
                  <c:v>346.35549956591188</c:v>
                </c:pt>
                <c:pt idx="16" formatCode="0.0">
                  <c:v>344.39</c:v>
                </c:pt>
              </c:numCache>
            </c:numRef>
          </c:val>
          <c:smooth val="0"/>
          <c:extLst>
            <c:ext xmlns:c16="http://schemas.microsoft.com/office/drawing/2014/chart" uri="{C3380CC4-5D6E-409C-BE32-E72D297353CC}">
              <c16:uniqueId val="{00000006-FCFB-40DA-90D2-E5B5B7ACFDA4}"/>
            </c:ext>
          </c:extLst>
        </c:ser>
        <c:ser>
          <c:idx val="3"/>
          <c:order val="3"/>
          <c:tx>
            <c:strRef>
              <c:f>Podatci!$Z$71</c:f>
              <c:strCache>
                <c:ptCount val="1"/>
                <c:pt idx="0">
                  <c:v>Neposredna potrošnja energije - projekcije</c:v>
                </c:pt>
              </c:strCache>
            </c:strRef>
          </c:tx>
          <c:spPr>
            <a:ln w="28575" cap="rnd">
              <a:solidFill>
                <a:schemeClr val="accent2"/>
              </a:solidFill>
              <a:prstDash val="sysDot"/>
              <a:round/>
            </a:ln>
            <a:effectLst/>
          </c:spPr>
          <c:marker>
            <c:symbol val="circle"/>
            <c:size val="5"/>
            <c:spPr>
              <a:solidFill>
                <a:schemeClr val="accent2"/>
              </a:solidFill>
              <a:ln w="9525">
                <a:solidFill>
                  <a:schemeClr val="accent4"/>
                </a:solidFill>
              </a:ln>
              <a:effectLst/>
            </c:spPr>
          </c:marker>
          <c:dPt>
            <c:idx val="16"/>
            <c:marker>
              <c:symbol val="x"/>
              <c:size val="8"/>
              <c:spPr>
                <a:solidFill>
                  <a:schemeClr val="accent2"/>
                </a:solidFill>
                <a:ln w="9525">
                  <a:solidFill>
                    <a:schemeClr val="accent4"/>
                  </a:solidFill>
                </a:ln>
                <a:effectLst/>
              </c:spPr>
            </c:marker>
            <c:bubble3D val="0"/>
            <c:extLst>
              <c:ext xmlns:c16="http://schemas.microsoft.com/office/drawing/2014/chart" uri="{C3380CC4-5D6E-409C-BE32-E72D297353CC}">
                <c16:uniqueId val="{00000007-FCFB-40DA-90D2-E5B5B7ACFDA4}"/>
              </c:ext>
            </c:extLst>
          </c:dPt>
          <c:dLbls>
            <c:dLbl>
              <c:idx val="6"/>
              <c:layout>
                <c:manualLayout>
                  <c:x val="-2.1846244155430915E-2"/>
                  <c:y val="-3.1335148743263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FB-40DA-90D2-E5B5B7ACFDA4}"/>
                </c:ext>
              </c:extLst>
            </c:dLbl>
            <c:dLbl>
              <c:idx val="16"/>
              <c:layout>
                <c:manualLayout>
                  <c:x val="-2.3211634415145295E-2"/>
                  <c:y val="-3.3424158659480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CFB-40DA-90D2-E5B5B7ACFD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Podatci!$AA$67:$AQ$67</c:f>
              <c:strCach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strCache>
            </c:strRef>
          </c:cat>
          <c:val>
            <c:numRef>
              <c:f>Podatci!$AA$71:$AQ$71</c:f>
              <c:numCache>
                <c:formatCode>General</c:formatCode>
                <c:ptCount val="17"/>
                <c:pt idx="6" formatCode="#,##0.0">
                  <c:v>269.50490200000002</c:v>
                </c:pt>
                <c:pt idx="7" formatCode="0.0">
                  <c:v>271.19680614724138</c:v>
                </c:pt>
                <c:pt idx="8" formatCode="0.0">
                  <c:v>272.89933176972198</c:v>
                </c:pt>
                <c:pt idx="9" formatCode="0.0">
                  <c:v>274.61254554718636</c:v>
                </c:pt>
                <c:pt idx="10" formatCode="0.0">
                  <c:v>276.33651457798265</c:v>
                </c:pt>
                <c:pt idx="11" formatCode="0.0">
                  <c:v>278.07130638169059</c:v>
                </c:pt>
                <c:pt idx="12" formatCode="0.0">
                  <c:v>279.81698890176591</c:v>
                </c:pt>
                <c:pt idx="13" formatCode="0.0">
                  <c:v>281.57363050820129</c:v>
                </c:pt>
                <c:pt idx="14" formatCode="0.0">
                  <c:v>283.34130000020423</c:v>
                </c:pt>
                <c:pt idx="15" formatCode="0.0">
                  <c:v>285.12006660889142</c:v>
                </c:pt>
                <c:pt idx="16" formatCode="0.0">
                  <c:v>286.91000000000003</c:v>
                </c:pt>
              </c:numCache>
            </c:numRef>
          </c:val>
          <c:smooth val="0"/>
          <c:extLst>
            <c:ext xmlns:c16="http://schemas.microsoft.com/office/drawing/2014/chart" uri="{C3380CC4-5D6E-409C-BE32-E72D297353CC}">
              <c16:uniqueId val="{00000009-FCFB-40DA-90D2-E5B5B7ACFDA4}"/>
            </c:ext>
          </c:extLst>
        </c:ser>
        <c:dLbls>
          <c:showLegendKey val="0"/>
          <c:showVal val="0"/>
          <c:showCatName val="0"/>
          <c:showSerName val="0"/>
          <c:showPercent val="0"/>
          <c:showBubbleSize val="0"/>
        </c:dLbls>
        <c:marker val="1"/>
        <c:smooth val="0"/>
        <c:axId val="130994063"/>
        <c:axId val="130995311"/>
      </c:lineChart>
      <c:catAx>
        <c:axId val="130994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95311"/>
        <c:crosses val="autoZero"/>
        <c:auto val="1"/>
        <c:lblAlgn val="ctr"/>
        <c:lblOffset val="100"/>
        <c:noMultiLvlLbl val="0"/>
      </c:catAx>
      <c:valAx>
        <c:axId val="130995311"/>
        <c:scaling>
          <c:orientation val="minMax"/>
          <c:min val="2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994063"/>
        <c:crosses val="autoZero"/>
        <c:crossBetween val="between"/>
      </c:valAx>
      <c:spPr>
        <a:noFill/>
        <a:ln>
          <a:solidFill>
            <a:schemeClr val="accent2"/>
          </a:solidFill>
          <a:prstDash val="sysDot"/>
        </a:ln>
        <a:effectLst/>
      </c:spPr>
    </c:plotArea>
    <c:legend>
      <c:legendPos val="b"/>
      <c:layout>
        <c:manualLayout>
          <c:xMode val="edge"/>
          <c:yMode val="edge"/>
          <c:x val="5.4676276457972101E-2"/>
          <c:y val="0.85560499728020978"/>
          <c:w val="0.92385015373611912"/>
          <c:h val="0.12174494609464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FCB5D46C-9EA0-45B9-BA07-6EB4B832C430}">
    <t:Anchor>
      <t:Comment id="670280874"/>
    </t:Anchor>
    <t:History>
      <t:Event id="{BE92435E-FDF8-46D3-8AFE-DCB14A878B67}" time="2023-04-28T12:43:31.677Z">
        <t:Attribution userId="S::rfabek@eihp.hr::6c77a94f-2efc-4533-8b47-eb0349545de0" userProvider="AD" userName="Robert Fabek"/>
        <t:Anchor>
          <t:Comment id="670456339"/>
        </t:Anchor>
        <t:Create/>
      </t:Event>
      <t:Event id="{240B1EFC-C6C7-4D95-9DDA-FE7A3A632133}" time="2023-04-28T12:43:31.677Z">
        <t:Attribution userId="S::rfabek@eihp.hr::6c77a94f-2efc-4533-8b47-eb0349545de0" userProvider="AD" userName="Robert Fabek"/>
        <t:Anchor>
          <t:Comment id="670456339"/>
        </t:Anchor>
        <t:Assign userId="S::dbalic@eihp.hr::6788773b-a791-4c5d-93b5-5ed62f553fdf" userProvider="AD" userName="Dražen Balić"/>
      </t:Event>
      <t:Event id="{E033AFF6-CA58-4E21-9BC9-25AE184EACDB}" time="2023-04-28T12:43:31.677Z">
        <t:Attribution userId="S::rfabek@eihp.hr::6c77a94f-2efc-4533-8b47-eb0349545de0" userProvider="AD" userName="Robert Fabek"/>
        <t:Anchor>
          <t:Comment id="670456339"/>
        </t:Anchor>
        <t:SetTitle title="@Dražen Balić molim te provjeri da li je ovo u skladu s projekcijama proizvodnje/instaliranih kapaciteta, ako nije onda slobodno obriši što je neusklađeno"/>
      </t:Event>
      <t:Event id="{941EB380-EC19-4B2E-A289-AC5E6A0422BA}" time="2023-04-28T13:10:58.919Z">
        <t:Attribution userId="S::dbalic@eihp.hr::6788773b-a791-4c5d-93b5-5ed62f553fdf" userProvider="AD" userName="Dražen Balić"/>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494813a-d0d8-4dad-94cb-0d196f36ba15">
      <UserInfo>
        <DisplayName>Ana Mandarić</DisplayName>
        <AccountId>60</AccountId>
        <AccountType/>
      </UserInfo>
      <UserInfo>
        <DisplayName>Maja Božičević Vrhovčak</DisplayName>
        <AccountId>25</AccountId>
        <AccountType/>
      </UserInfo>
      <UserInfo>
        <DisplayName>Bruno Židov</DisplayName>
        <AccountId>12</AccountId>
        <AccountType/>
      </UserInfo>
      <UserInfo>
        <DisplayName>Dražen Jakšić</DisplayName>
        <AccountId>65</AccountId>
        <AccountType/>
      </UserInfo>
      <UserInfo>
        <DisplayName>Jurica Brajković</DisplayName>
        <AccountId>24</AccountId>
        <AccountType/>
      </UserInfo>
      <UserInfo>
        <DisplayName>Dražen Balić</DisplayName>
        <AccountId>22</AccountId>
        <AccountType/>
      </UserInfo>
      <UserInfo>
        <DisplayName>Daniel Golja</DisplayName>
        <AccountId>32</AccountId>
        <AccountType/>
      </UserInfo>
      <UserInfo>
        <DisplayName>Robert Fabek</DisplayName>
        <AccountId>9</AccountId>
        <AccountType/>
      </UserInfo>
      <UserInfo>
        <DisplayName>Matija Vajdić</DisplayName>
        <AccountId>47</AccountId>
        <AccountType/>
      </UserInfo>
      <UserInfo>
        <DisplayName>Vesna Bukarica</DisplayName>
        <AccountId>21</AccountId>
        <AccountType/>
      </UserInfo>
      <UserInfo>
        <DisplayName>Marija Ban</DisplayName>
        <AccountId>41</AccountId>
        <AccountType/>
      </UserInfo>
      <UserInfo>
        <DisplayName>Hrvoje Dorotić</DisplayName>
        <AccountId>38</AccountId>
        <AccountType/>
      </UserInfo>
      <UserInfo>
        <DisplayName>Josip Raos</DisplayName>
        <AccountId>82</AccountId>
        <AccountType/>
      </UserInfo>
      <UserInfo>
        <DisplayName>Ilja Drmač</DisplayName>
        <AccountId>117</AccountId>
        <AccountType/>
      </UserInfo>
      <UserInfo>
        <DisplayName>Lucija Išlić</DisplayName>
        <AccountId>118</AccountId>
        <AccountType/>
      </UserInfo>
      <UserInfo>
        <DisplayName>Nikola Matijašević</DisplayName>
        <AccountId>127</AccountId>
        <AccountType/>
      </UserInfo>
      <UserInfo>
        <DisplayName>Minea Skok</DisplayName>
        <AccountId>131</AccountId>
        <AccountType/>
      </UserInfo>
    </SharedWithUsers>
    <_dlc_DocId xmlns="a494813a-d0d8-4dad-94cb-0d196f36ba15">AZJMDCZ6QSYZ-1849078857-45015</_dlc_DocId>
    <_dlc_DocIdUrl xmlns="a494813a-d0d8-4dad-94cb-0d196f36ba15">
      <Url>https://ekoordinacije.vlada.hr/koordinacija-gospodarstvo/_layouts/15/DocIdRedir.aspx?ID=AZJMDCZ6QSYZ-1849078857-45015</Url>
      <Description>AZJMDCZ6QSYZ-1849078857-45015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0307907-9A7C-475B-A1A1-4BA209757168}">
  <ds:schemaRefs>
    <ds:schemaRef ds:uri="http://schemas.openxmlformats.org/officeDocument/2006/bibliography"/>
  </ds:schemaRefs>
</ds:datastoreItem>
</file>

<file path=customXml/itemProps2.xml><?xml version="1.0" encoding="utf-8"?>
<ds:datastoreItem xmlns:ds="http://schemas.openxmlformats.org/officeDocument/2006/customXml" ds:itemID="{FE98DFF2-1367-41CF-B43A-3C4ABDE9122A}">
  <ds:schemaRefs>
    <ds:schemaRef ds:uri="http://schemas.microsoft.com/sharepoint/v3/contenttype/forms"/>
  </ds:schemaRefs>
</ds:datastoreItem>
</file>

<file path=customXml/itemProps3.xml><?xml version="1.0" encoding="utf-8"?>
<ds:datastoreItem xmlns:ds="http://schemas.openxmlformats.org/officeDocument/2006/customXml" ds:itemID="{AA986548-50F9-49CD-9680-7BEEC56D0F94}"/>
</file>

<file path=customXml/itemProps4.xml><?xml version="1.0" encoding="utf-8"?>
<ds:datastoreItem xmlns:ds="http://schemas.openxmlformats.org/officeDocument/2006/customXml" ds:itemID="{9F17A660-AC7C-4094-AD7E-86DBDD467B4E}">
  <ds:schemaRefs>
    <ds:schemaRef ds:uri="http://schemas.microsoft.com/office/2006/metadata/properties"/>
    <ds:schemaRef ds:uri="http://schemas.microsoft.com/office/infopath/2007/PartnerControls"/>
    <ds:schemaRef ds:uri="3101e956-9ccc-4c6c-bc44-90c24f899976"/>
    <ds:schemaRef ds:uri="f6d4f3ea-16ba-46eb-b833-43c6c52c9a0e"/>
  </ds:schemaRefs>
</ds:datastoreItem>
</file>

<file path=customXml/itemProps5.xml><?xml version="1.0" encoding="utf-8"?>
<ds:datastoreItem xmlns:ds="http://schemas.openxmlformats.org/officeDocument/2006/customXml" ds:itemID="{2A809D97-7B63-4322-9F9D-40E1D4DFCDE3}"/>
</file>

<file path=docProps/app.xml><?xml version="1.0" encoding="utf-8"?>
<Properties xmlns="http://schemas.openxmlformats.org/officeDocument/2006/extended-properties" xmlns:vt="http://schemas.openxmlformats.org/officeDocument/2006/docPropsVTypes">
  <Template>Normal</Template>
  <TotalTime>2</TotalTime>
  <Pages>354</Pages>
  <Words>113439</Words>
  <Characters>753229</Characters>
  <Application>Microsoft Office Word</Application>
  <DocSecurity>0</DocSecurity>
  <Lines>6276</Lines>
  <Paragraphs>1729</Paragraphs>
  <ScaleCrop>false</ScaleCrop>
  <Company/>
  <LinksUpToDate>false</LinksUpToDate>
  <CharactersWithSpaces>864939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Fabek</dc:creator>
  <cp:keywords/>
  <cp:lastModifiedBy>Vjekoslav Jukić</cp:lastModifiedBy>
  <cp:revision>2</cp:revision>
  <cp:lastPrinted>2024-06-16T11:10:00Z</cp:lastPrinted>
  <dcterms:created xsi:type="dcterms:W3CDTF">2025-03-25T07:49:00Z</dcterms:created>
  <dcterms:modified xsi:type="dcterms:W3CDTF">2025-03-25T07:49:00Z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4096">
    <vt:lpwstr>34</vt:lpwstr>
  </property>
  <property fmtid="{D5CDD505-2E9C-101B-9397-08002B2CF9AE}" pid="3" name="AuthorIds_UIVersion_5632">
    <vt:lpwstr>34,51</vt:lpwstr>
  </property>
  <property fmtid="{D5CDD505-2E9C-101B-9397-08002B2CF9AE}" pid="4" name="AuthorIds_UIVersion_6656">
    <vt:lpwstr>34</vt:lpwstr>
  </property>
  <property fmtid="{D5CDD505-2E9C-101B-9397-08002B2CF9AE}" pid="5" name="AuthorIds_UIVersion_10240">
    <vt:lpwstr>34,15</vt:lpwstr>
  </property>
  <property fmtid="{D5CDD505-2E9C-101B-9397-08002B2CF9AE}" pid="6" name="AuthorIds_UIVersion_11264">
    <vt:lpwstr>34</vt:lpwstr>
  </property>
  <property fmtid="{D5CDD505-2E9C-101B-9397-08002B2CF9AE}" pid="7" name="AuthorIds_UIVersion_11776">
    <vt:lpwstr>51</vt:lpwstr>
  </property>
  <property fmtid="{D5CDD505-2E9C-101B-9397-08002B2CF9AE}" pid="8" name="AuthorIds_UIVersion_12288">
    <vt:lpwstr>51,34</vt:lpwstr>
  </property>
  <property fmtid="{D5CDD505-2E9C-101B-9397-08002B2CF9AE}" pid="9" name="AuthorIds_UIVersion_12800">
    <vt:lpwstr>51</vt:lpwstr>
  </property>
  <property fmtid="{D5CDD505-2E9C-101B-9397-08002B2CF9AE}" pid="10" name="AuthorIds_UIVersion_13312">
    <vt:lpwstr>34</vt:lpwstr>
  </property>
  <property fmtid="{D5CDD505-2E9C-101B-9397-08002B2CF9AE}" pid="11" name="AuthorIds_UIVersion_13824">
    <vt:lpwstr>51</vt:lpwstr>
  </property>
  <property fmtid="{D5CDD505-2E9C-101B-9397-08002B2CF9AE}" pid="12" name="AuthorIds_UIVersion_16896">
    <vt:lpwstr>51</vt:lpwstr>
  </property>
  <property fmtid="{D5CDD505-2E9C-101B-9397-08002B2CF9AE}" pid="13" name="GrammarlyDocumentId">
    <vt:lpwstr>6f5275ec5f340d9de50a3a762d4ff80c2c5ff58876bc46861f4fb7c93d6dd4b1</vt:lpwstr>
  </property>
  <property fmtid="{D5CDD505-2E9C-101B-9397-08002B2CF9AE}" pid="14" name="MediaServiceImageTags">
    <vt:lpwstr/>
  </property>
  <property fmtid="{D5CDD505-2E9C-101B-9397-08002B2CF9AE}" pid="15" name="ContentTypeId">
    <vt:lpwstr>0x010100E9B0585B2CC6B7498492DEAFE3511BDC</vt:lpwstr>
  </property>
  <property fmtid="{D5CDD505-2E9C-101B-9397-08002B2CF9AE}" pid="16" name="_dlc_DocIdItemGuid">
    <vt:lpwstr>c6483870-0241-41ac-89c2-ec463b8ef0d6</vt:lpwstr>
  </property>
</Properties>
</file>